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84451330"/>
        <w:docPartObj>
          <w:docPartGallery w:val="Cover Pages"/>
          <w:docPartUnique/>
        </w:docPartObj>
      </w:sdtPr>
      <w:sdtContent>
        <w:p w:rsidR="004B4C54" w:rsidRDefault="004B4C54"/>
        <w:p w:rsidR="00A27470" w:rsidRDefault="00A27470"/>
        <w:p w:rsidR="00A63082" w:rsidRDefault="00A63082" w:rsidP="00A63082">
          <w:pPr>
            <w:pBdr>
              <w:bottom w:val="single" w:sz="4" w:space="1" w:color="auto"/>
            </w:pBdr>
            <w:ind w:left="360"/>
            <w:jc w:val="center"/>
            <w:rPr>
              <w:b/>
              <w:bCs/>
            </w:rPr>
          </w:pPr>
          <w:r>
            <w:rPr>
              <w:b/>
              <w:bCs/>
            </w:rPr>
            <w:t>VLADA REPUBLIKE HRVATSKE</w:t>
          </w:r>
        </w:p>
        <w:p w:rsidR="00A63082" w:rsidRDefault="00A63082" w:rsidP="00A63082">
          <w:pPr>
            <w:ind w:left="360"/>
            <w:jc w:val="center"/>
            <w:rPr>
              <w:b/>
              <w:bCs/>
            </w:rPr>
          </w:pPr>
        </w:p>
        <w:p w:rsidR="00A27470" w:rsidRDefault="00A27470"/>
        <w:p w:rsidR="00A27470" w:rsidRDefault="00A27470"/>
        <w:p w:rsidR="00A27470" w:rsidRDefault="00A27470"/>
        <w:p w:rsidR="00A27470" w:rsidRDefault="00A27470"/>
        <w:p w:rsidR="00A27470" w:rsidRDefault="00A27470"/>
        <w:p w:rsidR="00A63082" w:rsidRDefault="00A63082"/>
        <w:p w:rsidR="00A63082" w:rsidRDefault="00A63082"/>
        <w:p w:rsidR="00A27470" w:rsidRDefault="00A27470"/>
        <w:p w:rsidR="00A27470" w:rsidRDefault="00A27470"/>
        <w:p w:rsidR="00A63082" w:rsidRDefault="00A63082">
          <w:bookmarkStart w:id="0" w:name="_GoBack"/>
          <w:bookmarkEnd w:id="0"/>
        </w:p>
        <w:p w:rsidR="00A63082" w:rsidRDefault="00A63082"/>
        <w:p w:rsidR="00A27470" w:rsidRDefault="00A27470"/>
        <w:p w:rsidR="00A27470" w:rsidRPr="008A1BDC" w:rsidRDefault="00A27470"/>
        <w:p w:rsidR="004B4C54" w:rsidRPr="00A63082" w:rsidRDefault="004B4C54">
          <w:pPr>
            <w:rPr>
              <w:sz w:val="28"/>
              <w:szCs w:val="28"/>
            </w:rPr>
          </w:pPr>
        </w:p>
        <w:tbl>
          <w:tblPr>
            <w:tblpPr w:leftFromText="187" w:rightFromText="187" w:horzAnchor="margin" w:tblpXSpec="center" w:tblpYSpec="bottom"/>
            <w:tblW w:w="4000" w:type="pct"/>
            <w:tblLook w:val="04A0" w:firstRow="1" w:lastRow="0" w:firstColumn="1" w:lastColumn="0" w:noHBand="0" w:noVBand="1"/>
          </w:tblPr>
          <w:tblGrid>
            <w:gridCol w:w="8347"/>
          </w:tblGrid>
          <w:tr w:rsidR="004B4C54" w:rsidRPr="00A63082" w:rsidTr="00A27470">
            <w:tc>
              <w:tcPr>
                <w:tcW w:w="8347" w:type="dxa"/>
                <w:tcMar>
                  <w:top w:w="216" w:type="dxa"/>
                  <w:left w:w="115" w:type="dxa"/>
                  <w:bottom w:w="216" w:type="dxa"/>
                  <w:right w:w="115" w:type="dxa"/>
                </w:tcMar>
              </w:tcPr>
              <w:p w:rsidR="004B4C54" w:rsidRPr="00A63082" w:rsidRDefault="004B4C54">
                <w:pPr>
                  <w:pStyle w:val="NoSpacing"/>
                  <w:rPr>
                    <w:sz w:val="28"/>
                    <w:szCs w:val="28"/>
                  </w:rPr>
                </w:pPr>
              </w:p>
              <w:p w:rsidR="004B4C54" w:rsidRPr="00A63082" w:rsidRDefault="004B4C54">
                <w:pPr>
                  <w:pStyle w:val="NoSpacing"/>
                  <w:rPr>
                    <w:sz w:val="28"/>
                    <w:szCs w:val="28"/>
                  </w:rPr>
                </w:pPr>
              </w:p>
            </w:tc>
          </w:tr>
        </w:tbl>
        <w:p w:rsidR="00A63082" w:rsidRPr="00A63082" w:rsidRDefault="00A27470" w:rsidP="00A63082">
          <w:pPr>
            <w:jc w:val="center"/>
            <w:rPr>
              <w:b/>
              <w:sz w:val="28"/>
              <w:szCs w:val="28"/>
            </w:rPr>
          </w:pPr>
          <w:r w:rsidRPr="00A63082">
            <w:rPr>
              <w:b/>
              <w:sz w:val="28"/>
              <w:szCs w:val="28"/>
            </w:rPr>
            <w:t xml:space="preserve">OBRAZLOŽENJE IZVRŠENJA </w:t>
          </w:r>
          <w:r w:rsidR="00A63082" w:rsidRPr="00A63082">
            <w:rPr>
              <w:b/>
              <w:sz w:val="28"/>
              <w:szCs w:val="28"/>
            </w:rPr>
            <w:t xml:space="preserve">PROGRAMA IZ POSEBNOG DIJELA </w:t>
          </w:r>
          <w:r w:rsidRPr="00A63082">
            <w:rPr>
              <w:b/>
              <w:sz w:val="28"/>
              <w:szCs w:val="28"/>
            </w:rPr>
            <w:t xml:space="preserve">DRŽAVNOG PRORAČUNA </w:t>
          </w:r>
          <w:r w:rsidR="00A63082" w:rsidRPr="00A63082">
            <w:rPr>
              <w:b/>
              <w:sz w:val="28"/>
              <w:szCs w:val="28"/>
            </w:rPr>
            <w:t>REPUBLIKE HRVATSKE U 2016. GODINI</w:t>
          </w: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ind w:left="360"/>
            <w:jc w:val="center"/>
            <w:rPr>
              <w:b/>
              <w:bCs/>
            </w:rPr>
          </w:pPr>
        </w:p>
        <w:p w:rsidR="00A63082" w:rsidRDefault="00A63082" w:rsidP="00A63082">
          <w:pPr>
            <w:pBdr>
              <w:top w:val="single" w:sz="4" w:space="1" w:color="auto"/>
            </w:pBdr>
            <w:ind w:left="360"/>
            <w:jc w:val="center"/>
            <w:rPr>
              <w:b/>
              <w:bCs/>
            </w:rPr>
          </w:pPr>
          <w:r>
            <w:rPr>
              <w:b/>
              <w:bCs/>
            </w:rPr>
            <w:t>Zagreb, s</w:t>
          </w:r>
          <w:r>
            <w:rPr>
              <w:b/>
              <w:bCs/>
            </w:rPr>
            <w:t>v</w:t>
          </w:r>
          <w:r>
            <w:rPr>
              <w:b/>
              <w:bCs/>
            </w:rPr>
            <w:t>i</w:t>
          </w:r>
          <w:r>
            <w:rPr>
              <w:b/>
              <w:bCs/>
            </w:rPr>
            <w:t>banj</w:t>
          </w:r>
          <w:r>
            <w:rPr>
              <w:b/>
              <w:bCs/>
            </w:rPr>
            <w:t xml:space="preserve"> 201</w:t>
          </w:r>
          <w:r>
            <w:rPr>
              <w:b/>
              <w:bCs/>
            </w:rPr>
            <w:t>7</w:t>
          </w:r>
          <w:r>
            <w:rPr>
              <w:b/>
              <w:bCs/>
            </w:rPr>
            <w:t>.</w:t>
          </w:r>
        </w:p>
        <w:p w:rsidR="00A63082" w:rsidRDefault="00A63082">
          <w:pPr>
            <w:overflowPunct/>
            <w:autoSpaceDE/>
            <w:autoSpaceDN/>
            <w:adjustRightInd/>
            <w:spacing w:after="200" w:line="276" w:lineRule="auto"/>
            <w:jc w:val="left"/>
            <w:textAlignment w:val="auto"/>
            <w:rPr>
              <w:b/>
              <w:spacing w:val="20"/>
              <w:sz w:val="32"/>
              <w:szCs w:val="32"/>
            </w:rPr>
          </w:pPr>
          <w:r>
            <w:rPr>
              <w:b/>
              <w:spacing w:val="20"/>
              <w:sz w:val="32"/>
              <w:szCs w:val="32"/>
            </w:rPr>
            <w:br w:type="page"/>
          </w:r>
        </w:p>
        <w:p w:rsidR="004B4C54" w:rsidRDefault="00A63082">
          <w:pPr>
            <w:overflowPunct/>
            <w:autoSpaceDE/>
            <w:autoSpaceDN/>
            <w:adjustRightInd/>
            <w:spacing w:after="200" w:line="276" w:lineRule="auto"/>
            <w:jc w:val="left"/>
            <w:textAlignment w:val="auto"/>
            <w:rPr>
              <w:b/>
              <w:spacing w:val="20"/>
              <w:sz w:val="32"/>
              <w:szCs w:val="32"/>
            </w:rPr>
          </w:pPr>
        </w:p>
      </w:sdtContent>
    </w:sdt>
    <w:p w:rsidR="005C2091" w:rsidRDefault="00A86293">
      <w:pPr>
        <w:pStyle w:val="Heading1"/>
      </w:pPr>
      <w:r>
        <w:t>010 HRVATSKI SABOR</w:t>
      </w:r>
    </w:p>
    <w:p w:rsidR="005C2091" w:rsidRDefault="00A86293">
      <w:r>
        <w:t xml:space="preserve">Hrvatski sabor je predstavničko tijelo građana i nositelj zakonodavne vlasti u Republici Hrvatskoj. U ostvarivanju svojih Ustavnih zadaća Hrvatski sabor redovito zasjeda između 15. siječnja i 15. srpnja te između 15. rujna i 15. prosinca, a može, na zahtjev Predsjednika Republike, Vlade Republike Hrvatske ili većine zastupnika, zasjedati i izvanredno što se redovito dešava sazivanjem sjednice nakon 15. srpnja odnosno 15. prosinca. </w:t>
      </w:r>
    </w:p>
    <w:p w:rsidR="005C2091" w:rsidRDefault="00A86293">
      <w:r>
        <w:t xml:space="preserve">Osmi saziv Hrvatskoga sabora konstituiran je 28. prosinca 2015. godine, a odluku o svom raspuštanju donio je 20. lipnja 2016. koja je na snagu stupila 15. srpnja 2016.  </w:t>
      </w:r>
    </w:p>
    <w:p w:rsidR="005C2091" w:rsidRDefault="00A86293">
      <w:r>
        <w:t xml:space="preserve">Deveti saziv Hrvatskoga sabora konstituiran je 14. listopada 2016. godine na temelju rezultata prijevremenih izbora za zastupnike u Hrvatski sabor, održanih 11. rujna 2016. godine u dvanaest izbornih jedinica. Na temelju glasova građana u Hrvatski sabor je izabran 151 zastupnik. </w:t>
      </w:r>
    </w:p>
    <w:p w:rsidR="005C2091" w:rsidRDefault="00A86293">
      <w:r>
        <w:t xml:space="preserve">Unutarnje ustrojstvo Hrvatskoga sabora određeno je Poslovnikom. Prema Poslovniku, Sabor ima predsjednika i tri do pet potpredsjednika koji zajedno čine Predsjedništvo. Na poziv predsjednika Sabora, u radu Predsjedništva sudjeluje i tajnik Sabora. Tajnika Sabora imenuje i razrješuje Sabor. Tajnik donosi Pravilnik o unutarnjem redu, odgovoran je za obavljanje poslova stručne službe, osigurava financijska sredstva za rad Sabora i stručne službe, a obavlja i druge poslove propisane Poslovnikom za koje je odgovoran Saboru. Tajnika i zamjenika tajnika imenuje Sabor na rok od četiri godine. Radna tijela su važan segment zakonodavnog rada. </w:t>
      </w:r>
    </w:p>
    <w:p w:rsidR="005C2091" w:rsidRDefault="00A86293">
      <w:r>
        <w:t xml:space="preserve">Saborski Poslovnik propisuje da su radna tijela odbori i povjerenstva, poimenično ih navodi, kao i djelokrug njihova rada. Poslovnik i zastupnicima propisuje prava i dužnosti. Prema Poslovniku, zastupnici sudjeluju u radu plenarne sjednice, podnose prijedloge i postavljaju pitanja, upućuju pitanja predsjedniku i članovima Vlade, sudjeluju u radu sjednica radnih tijela, a prihvaćaju i izbore koje im odlukama odredi Sabor. Zastupnici mogu osnivati klubove pod uvjetima koje propisuje Poslovnik. Predsjednici klubova zastupnika s Predsjedništvom raspravljaju o dnevnom redu </w:t>
      </w:r>
    </w:p>
    <w:p w:rsidR="005C2091" w:rsidRDefault="00A86293">
      <w:r>
        <w:t xml:space="preserve">predstojeće sjednice Sabora i drugim važnim pitanjima za rad Sabora. Sabor osniva stručnu službu za obavljanje stručnih, administrativnih, sigurnosnih, tehničkih i drugih poslova. Rad Stručne službe Sabora usmjerava i usklađuje tajnik Sabora i odgovoran je za njezin rad. </w:t>
      </w:r>
    </w:p>
    <w:p w:rsidR="005C2091" w:rsidRDefault="00A86293">
      <w:r>
        <w:t xml:space="preserve">Poslove Stručne službe obavljaju službenici razvrstani u unutarnje ustrojstvene jedinice u: </w:t>
      </w:r>
    </w:p>
    <w:p w:rsidR="005C2091" w:rsidRDefault="00A86293">
      <w:r>
        <w:t xml:space="preserve">- Tajništvu Sabora </w:t>
      </w:r>
    </w:p>
    <w:p w:rsidR="005C2091" w:rsidRDefault="00A86293">
      <w:r>
        <w:t xml:space="preserve">- Uredu predsjednika Sabora </w:t>
      </w:r>
    </w:p>
    <w:p w:rsidR="005C2091" w:rsidRDefault="00A86293">
      <w:r>
        <w:t xml:space="preserve">- Uredima potpredsjednika Sabora </w:t>
      </w:r>
    </w:p>
    <w:p w:rsidR="005C2091" w:rsidRDefault="00A86293">
      <w:r>
        <w:t xml:space="preserve">- Uredu za protokol Sabora i </w:t>
      </w:r>
    </w:p>
    <w:p w:rsidR="005C2091" w:rsidRDefault="00A86293">
      <w:r>
        <w:t xml:space="preserve">- Uredu za međunarodne i europske poslove. </w:t>
      </w:r>
    </w:p>
    <w:p w:rsidR="005C2091" w:rsidRDefault="00A86293">
      <w:r>
        <w:t xml:space="preserve">Tajništvo Sabora poslove i zadaće obavlja putem sljedećih zasebnih jedinica: </w:t>
      </w:r>
    </w:p>
    <w:p w:rsidR="005C2091" w:rsidRDefault="00A86293">
      <w:r>
        <w:t xml:space="preserve">- Ureda tajnika Sabora </w:t>
      </w:r>
    </w:p>
    <w:p w:rsidR="005C2091" w:rsidRDefault="00A86293">
      <w:r>
        <w:t xml:space="preserve">- Službe radnih tijela </w:t>
      </w:r>
    </w:p>
    <w:p w:rsidR="005C2091" w:rsidRDefault="00A86293">
      <w:r>
        <w:t xml:space="preserve">- Službi klubova zastupnika </w:t>
      </w:r>
    </w:p>
    <w:p w:rsidR="005C2091" w:rsidRDefault="00A86293">
      <w:r>
        <w:t xml:space="preserve">- Službe za pripremu i obradu sjednica Sabora </w:t>
      </w:r>
    </w:p>
    <w:p w:rsidR="005C2091" w:rsidRDefault="00A86293">
      <w:r>
        <w:t xml:space="preserve">- Službe za pripremu akata Sabora za objavu </w:t>
      </w:r>
    </w:p>
    <w:p w:rsidR="005C2091" w:rsidRDefault="00A86293">
      <w:r>
        <w:t xml:space="preserve">- Službe za pravne poslove i ljudske potencijale </w:t>
      </w:r>
    </w:p>
    <w:p w:rsidR="005C2091" w:rsidRDefault="00A86293">
      <w:r>
        <w:t xml:space="preserve">- Službe za medije </w:t>
      </w:r>
    </w:p>
    <w:p w:rsidR="005C2091" w:rsidRDefault="00A86293">
      <w:r>
        <w:t xml:space="preserve">- Službe za građane </w:t>
      </w:r>
    </w:p>
    <w:p w:rsidR="005C2091" w:rsidRDefault="00A86293">
      <w:r>
        <w:t xml:space="preserve">- Informacijsko-dokumentacijske službe, istraživanja i mrežnih informacija </w:t>
      </w:r>
    </w:p>
    <w:p w:rsidR="005C2091" w:rsidRDefault="00A86293">
      <w:r>
        <w:t xml:space="preserve">- Knjižnice </w:t>
      </w:r>
    </w:p>
    <w:p w:rsidR="005C2091" w:rsidRDefault="00A86293">
      <w:r>
        <w:lastRenderedPageBreak/>
        <w:t xml:space="preserve">- Službe za opće poslove </w:t>
      </w:r>
    </w:p>
    <w:p w:rsidR="005C2091" w:rsidRDefault="00A86293">
      <w:r>
        <w:t xml:space="preserve">- Straže. </w:t>
      </w:r>
    </w:p>
    <w:p w:rsidR="005C2091" w:rsidRDefault="00A86293">
      <w:r>
        <w:t xml:space="preserve"> </w:t>
      </w:r>
    </w:p>
    <w:p w:rsidR="005C2091" w:rsidRDefault="00A86293">
      <w:r>
        <w:t>Tajništvo Hrvatskoga sabora obavlja zadaće koje se odnose na: stručne administrativne i sigurnosne poslove u pripremi i organiziranju sjednica Sabora, pripremi i objavi donesenih zakona, odluka i zaključaka Sabora, praćenju izvršavanja zaključaka Sabora, rad izaslanstava Sabora, poslove za zastupnike i klubove zastupnika, poslove iz djelokruga radno-pravnih odnosa, poslove u svezi s obavješćivanjem javnosti o radu Sabora i njegovih radnih tijela, materijalno i financijsko poslovanje Sabora, poslove u svezi s tiskanjem, otpremom, arhiviranjem dokumentacije i akata Sabora te poslova nadzora ulaska u zgrade Sabora.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01005-Hrvatski sabor</w:t>
            </w:r>
          </w:p>
        </w:tc>
        <w:tc>
          <w:tcPr>
            <w:tcW w:w="2041" w:type="dxa"/>
            <w:vAlign w:val="top"/>
          </w:tcPr>
          <w:p w:rsidR="005C2091" w:rsidRDefault="00A86293">
            <w:pPr>
              <w:pStyle w:val="CellColumn"/>
              <w:jc w:val="right"/>
            </w:pPr>
            <w:r>
              <w:rPr>
                <w:rFonts w:cs="Times New Roman"/>
              </w:rPr>
              <w:t>121.621.900</w:t>
            </w:r>
          </w:p>
        </w:tc>
        <w:tc>
          <w:tcPr>
            <w:tcW w:w="2041" w:type="dxa"/>
            <w:vAlign w:val="top"/>
          </w:tcPr>
          <w:p w:rsidR="005C2091" w:rsidRDefault="00A86293">
            <w:pPr>
              <w:pStyle w:val="CellColumn"/>
              <w:jc w:val="right"/>
            </w:pPr>
            <w:r>
              <w:rPr>
                <w:rFonts w:cs="Times New Roman"/>
              </w:rPr>
              <w:t>127.368.789</w:t>
            </w:r>
          </w:p>
        </w:tc>
        <w:tc>
          <w:tcPr>
            <w:tcW w:w="2041" w:type="dxa"/>
            <w:vAlign w:val="top"/>
          </w:tcPr>
          <w:p w:rsidR="005C2091" w:rsidRDefault="00A86293">
            <w:pPr>
              <w:pStyle w:val="CellColumn"/>
              <w:jc w:val="right"/>
            </w:pPr>
            <w:r>
              <w:rPr>
                <w:rFonts w:cs="Times New Roman"/>
              </w:rPr>
              <w:t>120.831.728</w:t>
            </w:r>
          </w:p>
        </w:tc>
        <w:tc>
          <w:tcPr>
            <w:tcW w:w="1224" w:type="dxa"/>
            <w:vAlign w:val="top"/>
          </w:tcPr>
          <w:p w:rsidR="005C2091" w:rsidRDefault="00A86293">
            <w:pPr>
              <w:pStyle w:val="CellColumn"/>
              <w:jc w:val="right"/>
            </w:pPr>
            <w:r>
              <w:rPr>
                <w:rFonts w:cs="Times New Roman"/>
              </w:rPr>
              <w:t>94,9</w:t>
            </w:r>
          </w:p>
        </w:tc>
        <w:tc>
          <w:tcPr>
            <w:tcW w:w="1224" w:type="dxa"/>
            <w:vAlign w:val="top"/>
          </w:tcPr>
          <w:p w:rsidR="005C2091" w:rsidRDefault="00A86293">
            <w:pPr>
              <w:pStyle w:val="CellColumn"/>
              <w:jc w:val="right"/>
            </w:pPr>
            <w:r>
              <w:rPr>
                <w:rFonts w:cs="Times New Roman"/>
              </w:rPr>
              <w:t>99,4</w:t>
            </w:r>
          </w:p>
        </w:tc>
      </w:tr>
      <w:tr w:rsidR="005C2091">
        <w:trPr>
          <w:jc w:val="center"/>
        </w:trPr>
        <w:tc>
          <w:tcPr>
            <w:tcW w:w="1632" w:type="dxa"/>
            <w:shd w:val="clear" w:color="auto" w:fill="B5C0D8"/>
          </w:tcPr>
          <w:p w:rsidR="005C2091" w:rsidRDefault="00A86293">
            <w:pPr>
              <w:pStyle w:val="CellColumn"/>
              <w:jc w:val="left"/>
            </w:pPr>
            <w:r>
              <w:rPr>
                <w:rFonts w:cs="Times New Roman"/>
              </w:rPr>
              <w:t>Ukupno 010-HRVATSKI SABOR</w:t>
            </w:r>
          </w:p>
        </w:tc>
        <w:tc>
          <w:tcPr>
            <w:tcW w:w="2041" w:type="dxa"/>
            <w:shd w:val="clear" w:color="auto" w:fill="B5C0D8"/>
          </w:tcPr>
          <w:p w:rsidR="005C2091" w:rsidRDefault="00A86293">
            <w:pPr>
              <w:pStyle w:val="CellColumn"/>
              <w:jc w:val="right"/>
            </w:pPr>
            <w:r>
              <w:rPr>
                <w:rFonts w:cs="Times New Roman"/>
              </w:rPr>
              <w:t>121.621.900</w:t>
            </w:r>
          </w:p>
        </w:tc>
        <w:tc>
          <w:tcPr>
            <w:tcW w:w="2041" w:type="dxa"/>
            <w:shd w:val="clear" w:color="auto" w:fill="B5C0D8"/>
          </w:tcPr>
          <w:p w:rsidR="005C2091" w:rsidRDefault="00A86293">
            <w:pPr>
              <w:pStyle w:val="CellColumn"/>
              <w:jc w:val="right"/>
            </w:pPr>
            <w:r>
              <w:rPr>
                <w:rFonts w:cs="Times New Roman"/>
              </w:rPr>
              <w:t>127.368.789</w:t>
            </w:r>
          </w:p>
        </w:tc>
        <w:tc>
          <w:tcPr>
            <w:tcW w:w="2041" w:type="dxa"/>
            <w:shd w:val="clear" w:color="auto" w:fill="B5C0D8"/>
          </w:tcPr>
          <w:p w:rsidR="005C2091" w:rsidRDefault="00A86293">
            <w:pPr>
              <w:pStyle w:val="CellColumn"/>
              <w:jc w:val="right"/>
            </w:pPr>
            <w:r>
              <w:rPr>
                <w:rFonts w:cs="Times New Roman"/>
              </w:rPr>
              <w:t>120.831.728</w:t>
            </w:r>
          </w:p>
        </w:tc>
        <w:tc>
          <w:tcPr>
            <w:tcW w:w="1224" w:type="dxa"/>
            <w:shd w:val="clear" w:color="auto" w:fill="B5C0D8"/>
          </w:tcPr>
          <w:p w:rsidR="005C2091" w:rsidRDefault="00A86293">
            <w:pPr>
              <w:pStyle w:val="CellColumn"/>
              <w:jc w:val="right"/>
            </w:pPr>
            <w:r>
              <w:rPr>
                <w:rFonts w:cs="Times New Roman"/>
              </w:rPr>
              <w:t>94,9</w:t>
            </w:r>
          </w:p>
        </w:tc>
        <w:tc>
          <w:tcPr>
            <w:tcW w:w="1224" w:type="dxa"/>
            <w:shd w:val="clear" w:color="auto" w:fill="B5C0D8"/>
          </w:tcPr>
          <w:p w:rsidR="005C2091" w:rsidRDefault="00A86293">
            <w:pPr>
              <w:pStyle w:val="CellColumn"/>
              <w:jc w:val="right"/>
            </w:pPr>
            <w:r>
              <w:rPr>
                <w:rFonts w:cs="Times New Roman"/>
              </w:rPr>
              <w:t>99,4</w:t>
            </w:r>
          </w:p>
        </w:tc>
      </w:tr>
    </w:tbl>
    <w:p w:rsidR="005C2091" w:rsidRDefault="005C2091">
      <w:pPr>
        <w:jc w:val="left"/>
      </w:pPr>
    </w:p>
    <w:p w:rsidR="005C2091" w:rsidRDefault="00A86293">
      <w:pPr>
        <w:pStyle w:val="Heading2"/>
      </w:pPr>
      <w:r>
        <w:t>01005 Hrvatski sabor</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01005-Hrvatski sabor</w:t>
            </w:r>
          </w:p>
        </w:tc>
        <w:tc>
          <w:tcPr>
            <w:tcW w:w="2041" w:type="dxa"/>
            <w:vAlign w:val="top"/>
          </w:tcPr>
          <w:p w:rsidR="005C2091" w:rsidRDefault="00A86293">
            <w:pPr>
              <w:pStyle w:val="CellColumn"/>
              <w:jc w:val="right"/>
            </w:pPr>
            <w:r>
              <w:rPr>
                <w:rFonts w:cs="Times New Roman"/>
              </w:rPr>
              <w:t>121.621.900</w:t>
            </w:r>
          </w:p>
        </w:tc>
        <w:tc>
          <w:tcPr>
            <w:tcW w:w="2041" w:type="dxa"/>
            <w:vAlign w:val="top"/>
          </w:tcPr>
          <w:p w:rsidR="005C2091" w:rsidRDefault="00A86293">
            <w:pPr>
              <w:pStyle w:val="CellColumn"/>
              <w:jc w:val="right"/>
            </w:pPr>
            <w:r>
              <w:rPr>
                <w:rFonts w:cs="Times New Roman"/>
              </w:rPr>
              <w:t>127.368.789</w:t>
            </w:r>
          </w:p>
        </w:tc>
        <w:tc>
          <w:tcPr>
            <w:tcW w:w="2041" w:type="dxa"/>
            <w:vAlign w:val="top"/>
          </w:tcPr>
          <w:p w:rsidR="005C2091" w:rsidRDefault="00A86293">
            <w:pPr>
              <w:pStyle w:val="CellColumn"/>
              <w:jc w:val="right"/>
            </w:pPr>
            <w:r>
              <w:rPr>
                <w:rFonts w:cs="Times New Roman"/>
              </w:rPr>
              <w:t>120.831.728</w:t>
            </w:r>
          </w:p>
        </w:tc>
        <w:tc>
          <w:tcPr>
            <w:tcW w:w="1224" w:type="dxa"/>
            <w:vAlign w:val="top"/>
          </w:tcPr>
          <w:p w:rsidR="005C2091" w:rsidRDefault="00A86293">
            <w:pPr>
              <w:pStyle w:val="CellColumn"/>
              <w:jc w:val="right"/>
            </w:pPr>
            <w:r>
              <w:rPr>
                <w:rFonts w:cs="Times New Roman"/>
              </w:rPr>
              <w:t>94,9</w:t>
            </w:r>
          </w:p>
        </w:tc>
        <w:tc>
          <w:tcPr>
            <w:tcW w:w="1224" w:type="dxa"/>
            <w:vAlign w:val="top"/>
          </w:tcPr>
          <w:p w:rsidR="005C2091" w:rsidRDefault="00A86293">
            <w:pPr>
              <w:pStyle w:val="CellColumn"/>
              <w:jc w:val="right"/>
            </w:pPr>
            <w:r>
              <w:rPr>
                <w:rFonts w:cs="Times New Roman"/>
              </w:rPr>
              <w:t>99,4</w:t>
            </w:r>
          </w:p>
        </w:tc>
      </w:tr>
      <w:tr w:rsidR="005C2091">
        <w:trPr>
          <w:jc w:val="center"/>
        </w:trPr>
        <w:tc>
          <w:tcPr>
            <w:tcW w:w="1632" w:type="dxa"/>
          </w:tcPr>
          <w:p w:rsidR="005C2091" w:rsidRDefault="00A86293">
            <w:pPr>
              <w:jc w:val="left"/>
            </w:pPr>
            <w:r>
              <w:t>2101-PROVOĐENJE ZAKONODAVNE VLASTI</w:t>
            </w:r>
          </w:p>
        </w:tc>
        <w:tc>
          <w:tcPr>
            <w:tcW w:w="2041" w:type="dxa"/>
          </w:tcPr>
          <w:p w:rsidR="005C2091" w:rsidRDefault="00A86293">
            <w:pPr>
              <w:jc w:val="right"/>
            </w:pPr>
            <w:r>
              <w:t>121.621.900</w:t>
            </w:r>
          </w:p>
        </w:tc>
        <w:tc>
          <w:tcPr>
            <w:tcW w:w="2041" w:type="dxa"/>
          </w:tcPr>
          <w:p w:rsidR="005C2091" w:rsidRDefault="00A86293">
            <w:pPr>
              <w:jc w:val="right"/>
            </w:pPr>
            <w:r>
              <w:t>127.368.789</w:t>
            </w:r>
          </w:p>
        </w:tc>
        <w:tc>
          <w:tcPr>
            <w:tcW w:w="2041" w:type="dxa"/>
          </w:tcPr>
          <w:p w:rsidR="005C2091" w:rsidRDefault="00A86293">
            <w:pPr>
              <w:jc w:val="right"/>
            </w:pPr>
            <w:r>
              <w:t>120.831.728</w:t>
            </w:r>
          </w:p>
        </w:tc>
        <w:tc>
          <w:tcPr>
            <w:tcW w:w="1224" w:type="dxa"/>
          </w:tcPr>
          <w:p w:rsidR="005C2091" w:rsidRDefault="00A86293">
            <w:pPr>
              <w:jc w:val="right"/>
            </w:pPr>
            <w:r>
              <w:t>94,9</w:t>
            </w:r>
          </w:p>
        </w:tc>
        <w:tc>
          <w:tcPr>
            <w:tcW w:w="1224" w:type="dxa"/>
          </w:tcPr>
          <w:p w:rsidR="005C2091" w:rsidRDefault="00A86293">
            <w:pPr>
              <w:jc w:val="right"/>
            </w:pPr>
            <w:r>
              <w:t>99,4</w:t>
            </w:r>
          </w:p>
        </w:tc>
      </w:tr>
    </w:tbl>
    <w:p w:rsidR="005C2091" w:rsidRDefault="005C2091">
      <w:pPr>
        <w:jc w:val="left"/>
      </w:pPr>
    </w:p>
    <w:p w:rsidR="005C2091" w:rsidRDefault="00A86293">
      <w:pPr>
        <w:pStyle w:val="Heading3"/>
      </w:pPr>
      <w:r>
        <w:rPr>
          <w:rFonts w:cs="Times New Roman"/>
        </w:rPr>
        <w:t>2101 PROVOĐENJE ZAKONODAVNE VLASTI</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2101-PROVOĐENJE ZAKONODAVNE VLASTI</w:t>
            </w:r>
          </w:p>
        </w:tc>
        <w:tc>
          <w:tcPr>
            <w:tcW w:w="2041" w:type="dxa"/>
          </w:tcPr>
          <w:p w:rsidR="005C2091" w:rsidRDefault="00A86293">
            <w:pPr>
              <w:pStyle w:val="CellColumn"/>
              <w:jc w:val="right"/>
            </w:pPr>
            <w:r>
              <w:rPr>
                <w:rFonts w:cs="Times New Roman"/>
              </w:rPr>
              <w:t>121.621.900</w:t>
            </w:r>
          </w:p>
        </w:tc>
        <w:tc>
          <w:tcPr>
            <w:tcW w:w="2041" w:type="dxa"/>
          </w:tcPr>
          <w:p w:rsidR="005C2091" w:rsidRDefault="00A86293">
            <w:pPr>
              <w:pStyle w:val="CellColumn"/>
              <w:jc w:val="right"/>
            </w:pPr>
            <w:r>
              <w:rPr>
                <w:rFonts w:cs="Times New Roman"/>
              </w:rPr>
              <w:t>127.368.789</w:t>
            </w:r>
          </w:p>
        </w:tc>
        <w:tc>
          <w:tcPr>
            <w:tcW w:w="2041" w:type="dxa"/>
          </w:tcPr>
          <w:p w:rsidR="005C2091" w:rsidRDefault="00A86293">
            <w:pPr>
              <w:pStyle w:val="CellColumn"/>
              <w:jc w:val="right"/>
            </w:pPr>
            <w:r>
              <w:rPr>
                <w:rFonts w:cs="Times New Roman"/>
              </w:rPr>
              <w:t>120.831.728</w:t>
            </w:r>
          </w:p>
        </w:tc>
        <w:tc>
          <w:tcPr>
            <w:tcW w:w="1224" w:type="dxa"/>
          </w:tcPr>
          <w:p w:rsidR="005C2091" w:rsidRDefault="00A86293">
            <w:pPr>
              <w:pStyle w:val="CellColumn"/>
              <w:jc w:val="right"/>
            </w:pPr>
            <w:r>
              <w:rPr>
                <w:rFonts w:cs="Times New Roman"/>
              </w:rPr>
              <w:t>94,9</w:t>
            </w:r>
          </w:p>
        </w:tc>
        <w:tc>
          <w:tcPr>
            <w:tcW w:w="1224" w:type="dxa"/>
          </w:tcPr>
          <w:p w:rsidR="005C2091" w:rsidRDefault="00A86293">
            <w:pPr>
              <w:pStyle w:val="CellColumn"/>
              <w:jc w:val="right"/>
            </w:pPr>
            <w:r>
              <w:rPr>
                <w:rFonts w:cs="Times New Roman"/>
              </w:rPr>
              <w:t>99,4</w:t>
            </w:r>
          </w:p>
        </w:tc>
      </w:tr>
    </w:tbl>
    <w:p w:rsidR="005C2091" w:rsidRDefault="005C2091">
      <w:pPr>
        <w:jc w:val="left"/>
      </w:pPr>
    </w:p>
    <w:p w:rsidR="005C2091" w:rsidRDefault="00A86293">
      <w:r>
        <w:t xml:space="preserve">Na temelju prava i ovlaštenja utvrđenih Ustavom, Poslovnikom i drugim propisima </w:t>
      </w:r>
    </w:p>
    <w:p w:rsidR="005C2091" w:rsidRDefault="00A86293">
      <w:r>
        <w:t xml:space="preserve">Hrvatski sabor ima sljedeće ovlasti: </w:t>
      </w:r>
    </w:p>
    <w:p w:rsidR="005C2091" w:rsidRDefault="00A86293">
      <w:r>
        <w:t xml:space="preserve">- odlučuje o donošenju i promjeni Ustava, </w:t>
      </w:r>
    </w:p>
    <w:p w:rsidR="005C2091" w:rsidRDefault="00A86293">
      <w:r>
        <w:t xml:space="preserve">- donosi zakone, </w:t>
      </w:r>
    </w:p>
    <w:p w:rsidR="005C2091" w:rsidRDefault="00A86293">
      <w:r>
        <w:lastRenderedPageBreak/>
        <w:t xml:space="preserve">- donosi državni proračun, </w:t>
      </w:r>
    </w:p>
    <w:p w:rsidR="005C2091" w:rsidRDefault="00A86293">
      <w:r>
        <w:t xml:space="preserve">- odlučuje o ratu i miru, </w:t>
      </w:r>
    </w:p>
    <w:p w:rsidR="005C2091" w:rsidRDefault="00A86293">
      <w:r>
        <w:t xml:space="preserve">- donosi akte kojima izražava politiku Hrvatskoga sabora, </w:t>
      </w:r>
    </w:p>
    <w:p w:rsidR="005C2091" w:rsidRDefault="00A86293">
      <w:r>
        <w:t xml:space="preserve">- donosi Strategiju nacionalne sigurnosti i Strategiju obrane Republike Hrvatske, </w:t>
      </w:r>
    </w:p>
    <w:p w:rsidR="005C2091" w:rsidRDefault="00A86293">
      <w:r>
        <w:t xml:space="preserve">- odlučuje o promjeni granica Republike Hrvatske, </w:t>
      </w:r>
    </w:p>
    <w:p w:rsidR="005C2091" w:rsidRDefault="00A86293">
      <w:r>
        <w:t xml:space="preserve">- raspisuje referendum, </w:t>
      </w:r>
    </w:p>
    <w:p w:rsidR="005C2091" w:rsidRDefault="00A86293">
      <w:r>
        <w:t xml:space="preserve">- obavlja izbore, imenovanja i razrješenja, u skladu s Ustavom i zakonom, </w:t>
      </w:r>
    </w:p>
    <w:p w:rsidR="005C2091" w:rsidRDefault="00A86293">
      <w:r>
        <w:t xml:space="preserve">- nadzire rad Vlade Republike Hrvatske i drugih nositelja javnih dužnosti odgovornih </w:t>
      </w:r>
    </w:p>
    <w:p w:rsidR="005C2091" w:rsidRDefault="00A86293">
      <w:r>
        <w:t xml:space="preserve">Hrvatskom saboru, u skladu s Ustavom i zakonom, </w:t>
      </w:r>
    </w:p>
    <w:p w:rsidR="005C2091" w:rsidRDefault="00A86293">
      <w:r>
        <w:t xml:space="preserve">- daje amnestiju za kaznena djela, </w:t>
      </w:r>
    </w:p>
    <w:p w:rsidR="005C2091" w:rsidRDefault="00A86293">
      <w:r>
        <w:t xml:space="preserve">- sudjeluje u europskom zakonodavnom postupku u skladu s Ugovorima na kojima se </w:t>
      </w:r>
    </w:p>
    <w:p w:rsidR="005C2091" w:rsidRDefault="00A86293">
      <w:r>
        <w:t xml:space="preserve">temelji Europska Unija </w:t>
      </w:r>
    </w:p>
    <w:p w:rsidR="005C2091" w:rsidRDefault="00A86293">
      <w:r>
        <w:t>- obavlja druge poslove utvrđene Ustavom, Poslovnikom i drugim propisima</w:t>
      </w:r>
    </w:p>
    <w:p w:rsidR="005C2091" w:rsidRDefault="00A86293">
      <w:pPr>
        <w:pStyle w:val="Heading8"/>
        <w:jc w:val="left"/>
      </w:pPr>
      <w:r>
        <w:t>Cilj 1. Donošenje zakona, odluka, izvješća, strategija, planova, programa te drugih akata sukladno Ustavnim ovlastima</w:t>
      </w:r>
    </w:p>
    <w:p w:rsidR="005C2091" w:rsidRDefault="00A86293">
      <w:pPr>
        <w:pStyle w:val="Heading8"/>
        <w:jc w:val="left"/>
      </w:pPr>
      <w:r>
        <w:t>Opis provedbe cilja programa</w:t>
      </w:r>
    </w:p>
    <w:p w:rsidR="005C2091" w:rsidRDefault="00A86293">
      <w:r>
        <w:t xml:space="preserve">Zakoni, odluke, izvješća, strategije, planovi, programi te drugi akti sukladno Ustavnim ovlastima predstavljaju instrumente putem kojih Hrvatski sabor kao predstavničko tijelo građana regulira pitanja od interesa Republike Hrvatske i svih njenih građana. </w:t>
      </w:r>
    </w:p>
    <w:p w:rsidR="005C2091" w:rsidRDefault="00A86293">
      <w:r>
        <w:t xml:space="preserve">Tijekom 2016. godine aktivnosti Hrvatskoga sabora odvijale su se u skladu sa slijedećim podacima: </w:t>
      </w:r>
    </w:p>
    <w:p w:rsidR="005C2091" w:rsidRDefault="00A86293">
      <w:r>
        <w:t xml:space="preserve">Zakoni: </w:t>
      </w:r>
      <w:r w:rsidR="000B7958">
        <w:t xml:space="preserve">doneseni (PZ+PZE) – 117, </w:t>
      </w:r>
      <w:r>
        <w:t xml:space="preserve">usklađeni (PZE) – 27 odbijeni – 1 </w:t>
      </w:r>
    </w:p>
    <w:p w:rsidR="005C2091" w:rsidRDefault="00A86293">
      <w:r>
        <w:t xml:space="preserve">Odluke: </w:t>
      </w:r>
      <w:r w:rsidR="000B7958">
        <w:t xml:space="preserve">donesene – 321, </w:t>
      </w:r>
      <w:r>
        <w:t xml:space="preserve">odbijene – 0 </w:t>
      </w:r>
    </w:p>
    <w:p w:rsidR="005C2091" w:rsidRDefault="00A86293">
      <w:r>
        <w:t xml:space="preserve">Izvješća: </w:t>
      </w:r>
      <w:r w:rsidR="000B7958">
        <w:t xml:space="preserve">donesena ili prihvaćena – 54, </w:t>
      </w:r>
      <w:r>
        <w:t xml:space="preserve">odbijena – 7 </w:t>
      </w:r>
    </w:p>
    <w:p w:rsidR="005C2091" w:rsidRDefault="00A86293">
      <w:r>
        <w:t xml:space="preserve">Plan: </w:t>
      </w:r>
      <w:r w:rsidR="000B7958">
        <w:t xml:space="preserve">donesen – 1, </w:t>
      </w:r>
      <w:r>
        <w:t xml:space="preserve">odbijen – 0 </w:t>
      </w:r>
    </w:p>
    <w:p w:rsidR="005C2091" w:rsidRDefault="00A86293">
      <w:r>
        <w:t xml:space="preserve">Poslovnik: </w:t>
      </w:r>
      <w:r w:rsidR="000B7958">
        <w:t xml:space="preserve">donesen – 1, </w:t>
      </w:r>
      <w:r>
        <w:t xml:space="preserve">odbijen – 0 </w:t>
      </w:r>
    </w:p>
    <w:p w:rsidR="005C2091" w:rsidRDefault="00A86293">
      <w:r>
        <w:t xml:space="preserve">Proračun i izmjene proračuna: </w:t>
      </w:r>
      <w:r w:rsidR="000B7958">
        <w:t xml:space="preserve">donesen – 3, </w:t>
      </w:r>
      <w:r>
        <w:t xml:space="preserve">odbijen – 0 </w:t>
      </w:r>
    </w:p>
    <w:p w:rsidR="005C2091" w:rsidRDefault="00A86293">
      <w:r>
        <w:t xml:space="preserve">Mišljenje: </w:t>
      </w:r>
      <w:r w:rsidR="000B7958">
        <w:t xml:space="preserve">prihvaćeno – 1, </w:t>
      </w:r>
      <w:r>
        <w:t xml:space="preserve">odbijeno – 0 </w:t>
      </w:r>
    </w:p>
    <w:p w:rsidR="005C2091" w:rsidRDefault="00A86293">
      <w:r>
        <w:t xml:space="preserve">Zaključak: donesen </w:t>
      </w:r>
      <w:r w:rsidR="000B7958">
        <w:t xml:space="preserve">– 1, </w:t>
      </w:r>
      <w:r>
        <w:t>odbijen – 0</w:t>
      </w:r>
    </w:p>
    <w:p w:rsidR="005C2091" w:rsidRDefault="00A86293">
      <w:r>
        <w:t xml:space="preserve">Sjednice: 8. saziv : 2. sjednica – 27 dana zasjedanja – 153 sata i 40 minuta rasprave </w:t>
      </w:r>
    </w:p>
    <w:p w:rsidR="005C2091" w:rsidRDefault="00A86293">
      <w:r>
        <w:t xml:space="preserve">o   3. sjednica – 28 dana zasjedanja – 123 sata rasprave </w:t>
      </w:r>
    </w:p>
    <w:p w:rsidR="005C2091" w:rsidRDefault="00A86293">
      <w:r>
        <w:t xml:space="preserve">- 9. saziv: </w:t>
      </w:r>
    </w:p>
    <w:p w:rsidR="005C2091" w:rsidRDefault="00A86293">
      <w:r>
        <w:t xml:space="preserve">o   1. sjednica – 18 dana zasjedanja – 108 sati i 16 minuta rasprave </w:t>
      </w:r>
    </w:p>
    <w:p w:rsidR="005C2091" w:rsidRDefault="00A86293">
      <w:r>
        <w:t>o   2. sjednica – 16 dana zasjedanja – 105 sati i 56 minuta rasprave</w:t>
      </w:r>
    </w:p>
    <w:p w:rsidR="005C2091" w:rsidRDefault="00A86293">
      <w:pPr>
        <w:pStyle w:val="Heading4"/>
      </w:pPr>
      <w:r>
        <w:t>A501000 ADMINISTRACIJA I UPRAVLJANJE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A501000-ADMINISTRACIJA I UPRAVLJANJE</w:t>
            </w:r>
          </w:p>
        </w:tc>
        <w:tc>
          <w:tcPr>
            <w:tcW w:w="2041" w:type="dxa"/>
          </w:tcPr>
          <w:p w:rsidR="005C2091" w:rsidRDefault="00A86293">
            <w:pPr>
              <w:pStyle w:val="CellColumn"/>
              <w:jc w:val="right"/>
            </w:pPr>
            <w:r>
              <w:rPr>
                <w:rFonts w:cs="Times New Roman"/>
              </w:rPr>
              <w:t>119.564.791</w:t>
            </w:r>
          </w:p>
        </w:tc>
        <w:tc>
          <w:tcPr>
            <w:tcW w:w="2041" w:type="dxa"/>
          </w:tcPr>
          <w:p w:rsidR="005C2091" w:rsidRDefault="00A86293">
            <w:pPr>
              <w:pStyle w:val="CellColumn"/>
              <w:jc w:val="right"/>
            </w:pPr>
            <w:r>
              <w:rPr>
                <w:rFonts w:cs="Times New Roman"/>
              </w:rPr>
              <w:t>123.298.289</w:t>
            </w:r>
          </w:p>
        </w:tc>
        <w:tc>
          <w:tcPr>
            <w:tcW w:w="2041" w:type="dxa"/>
          </w:tcPr>
          <w:p w:rsidR="005C2091" w:rsidRDefault="00A86293">
            <w:pPr>
              <w:pStyle w:val="CellColumn"/>
              <w:jc w:val="right"/>
            </w:pPr>
            <w:r>
              <w:rPr>
                <w:rFonts w:cs="Times New Roman"/>
              </w:rPr>
              <w:t>118.452.080</w:t>
            </w:r>
          </w:p>
        </w:tc>
        <w:tc>
          <w:tcPr>
            <w:tcW w:w="1224" w:type="dxa"/>
          </w:tcPr>
          <w:p w:rsidR="005C2091" w:rsidRDefault="00A86293">
            <w:pPr>
              <w:pStyle w:val="CellColumn"/>
              <w:jc w:val="right"/>
            </w:pPr>
            <w:r>
              <w:rPr>
                <w:rFonts w:cs="Times New Roman"/>
              </w:rPr>
              <w:t>96,1</w:t>
            </w:r>
          </w:p>
        </w:tc>
        <w:tc>
          <w:tcPr>
            <w:tcW w:w="1224" w:type="dxa"/>
          </w:tcPr>
          <w:p w:rsidR="005C2091" w:rsidRDefault="00A86293">
            <w:pPr>
              <w:pStyle w:val="CellColumn"/>
              <w:jc w:val="right"/>
            </w:pPr>
            <w:r>
              <w:rPr>
                <w:rFonts w:cs="Times New Roman"/>
              </w:rPr>
              <w:t>99,1</w:t>
            </w:r>
          </w:p>
        </w:tc>
      </w:tr>
    </w:tbl>
    <w:p w:rsidR="005C2091" w:rsidRDefault="005C2091">
      <w:pPr>
        <w:jc w:val="left"/>
      </w:pPr>
    </w:p>
    <w:p w:rsidR="005C2091" w:rsidRDefault="00A86293">
      <w:pPr>
        <w:pStyle w:val="Heading8"/>
        <w:jc w:val="left"/>
      </w:pPr>
      <w:r>
        <w:t>Zakonske i druge pravne osnove</w:t>
      </w:r>
    </w:p>
    <w:p w:rsidR="005C2091" w:rsidRDefault="00A86293">
      <w:r>
        <w:t xml:space="preserve">Ustav Republike Hrvatske </w:t>
      </w:r>
    </w:p>
    <w:p w:rsidR="005C2091" w:rsidRDefault="00A86293">
      <w:r>
        <w:t xml:space="preserve">Ustavni zakon o Ustavnom sudu Republike Hrvatske </w:t>
      </w:r>
    </w:p>
    <w:p w:rsidR="005C2091" w:rsidRDefault="00A86293">
      <w:r>
        <w:t xml:space="preserve">Ustavni zakon o pravima nacionalnih manjina </w:t>
      </w:r>
    </w:p>
    <w:p w:rsidR="005C2091" w:rsidRDefault="00A86293">
      <w:r>
        <w:t xml:space="preserve">Zakon o izborima zastupnika u Hrvatski sabor </w:t>
      </w:r>
    </w:p>
    <w:p w:rsidR="005C2091" w:rsidRDefault="00A86293">
      <w:r>
        <w:t xml:space="preserve">Zakon o izbornim jedinicama </w:t>
      </w:r>
    </w:p>
    <w:p w:rsidR="005C2091" w:rsidRDefault="00A86293">
      <w:r>
        <w:t xml:space="preserve">Zakon o političkim strankama </w:t>
      </w:r>
    </w:p>
    <w:p w:rsidR="005C2091" w:rsidRDefault="00A86293">
      <w:r>
        <w:t xml:space="preserve">Zakon o financiranju političkih aktivnosti i izborne promidžbe </w:t>
      </w:r>
    </w:p>
    <w:p w:rsidR="005C2091" w:rsidRDefault="00A86293">
      <w:r>
        <w:t xml:space="preserve">Zakon o izborima zastupnika iz Republike Hrvatske u Europski parlament </w:t>
      </w:r>
    </w:p>
    <w:p w:rsidR="005C2091" w:rsidRDefault="00A86293">
      <w:r>
        <w:t xml:space="preserve">Zakon o suradnji Hrvatskoga sabora i Vlade Republike Hrvatske u europskim poslovima </w:t>
      </w:r>
    </w:p>
    <w:p w:rsidR="005C2091" w:rsidRDefault="00A86293">
      <w:r>
        <w:t xml:space="preserve">Poslovnik Hrvatskoga sabora </w:t>
      </w:r>
    </w:p>
    <w:p w:rsidR="005C2091" w:rsidRDefault="00A86293">
      <w:r>
        <w:t xml:space="preserve">Odluka o Stručnoj službi Hrvatskoga sabora </w:t>
      </w:r>
    </w:p>
    <w:p w:rsidR="005C2091" w:rsidRDefault="00A86293">
      <w:r>
        <w:t xml:space="preserve">Pravilnik o javnosti rada Hrvatskoga sabora i radnih tijela </w:t>
      </w:r>
    </w:p>
    <w:p w:rsidR="005C2091" w:rsidRDefault="00A86293">
      <w:r>
        <w:t xml:space="preserve">Etički kodeks državnih službenika </w:t>
      </w:r>
    </w:p>
    <w:p w:rsidR="005C2091" w:rsidRDefault="00A86293">
      <w:r>
        <w:t>Kolektivni ugovor za državne službenike i namještenike</w:t>
      </w:r>
    </w:p>
    <w:p w:rsidR="005C2091" w:rsidRDefault="00A86293">
      <w:pPr>
        <w:pStyle w:val="Heading8"/>
        <w:jc w:val="left"/>
      </w:pPr>
      <w:r>
        <w:t>Opis aktivnosti</w:t>
      </w:r>
    </w:p>
    <w:p w:rsidR="00505632" w:rsidRDefault="00A86293">
      <w:r>
        <w:t>Kroz aktivnost A501000 Administracija i upravljanje tijekom 2016. godine sredstva su utrošena za podmirenje osnovnih potreba za normalno funkcioniranje Hrvatskoga sabora u obavljanju stručnih administrativnih i sigurnosnih poslova u pripremi i organiziranju sjednica Sabora, pripremi i objavi donesenih zakona, odluka i zaključaka Sabora, praćenju izvršavanja zaključaka Sabora, radu izaslanstava Sabora, poslova za zastupnike i klubove zastupnika, poslova iz djelokruga radno-pravnih odnosa, poslova u vezi s obavješćivanjem javnosti o radu Sabora i njegovih radnih tijela, materijalnog i financijskog poslovanja Sabora, poslova u svezi s tiskanjem, otpremom, arhiviranjem dokumentacije i akata Sabora te poslova nadzora ulaska u zgrade Sabora.</w:t>
      </w:r>
    </w:p>
    <w:p w:rsidR="005C2091" w:rsidRDefault="00505632" w:rsidP="000D3E46">
      <w:pPr>
        <w:overflowPunct/>
        <w:autoSpaceDE/>
        <w:autoSpaceDN/>
        <w:adjustRightInd/>
        <w:spacing w:after="200" w:line="276" w:lineRule="auto"/>
        <w:jc w:val="left"/>
        <w:textAlignment w:val="auto"/>
      </w:pPr>
      <w:r>
        <w:br w:type="page"/>
      </w:r>
    </w:p>
    <w:p w:rsidR="005C2091" w:rsidRDefault="00A86293">
      <w:pPr>
        <w:pStyle w:val="Heading1"/>
      </w:pPr>
      <w:r>
        <w:lastRenderedPageBreak/>
        <w:t>012 DRŽAVNO IZBORNO POVJERENSTVO REPUBLIKE HRVATSKE</w:t>
      </w:r>
    </w:p>
    <w:p w:rsidR="005C2091" w:rsidRDefault="00A86293">
      <w:r>
        <w:t>Državno izborno povjerenstvo Republike Hrvatske (u daljnjem tekstu: Državno izborno povjerenstvo) obavlja poslove iz svog djelokruga u skladu sa Zakonom o Državnom izbornom povjerenstvu Republike Hrvatske te zakonima koji uređuju izbor zastupnika u Hrvatski sabor, izbor predsjednika Republike Hrvatske, izbor članova u Europski parlament iz Republike Hrvatske, lokalnih izbora (izbor članova predstavničkih tijela jedinica lokalne i područne (regionalne) samouprave, izbor općinskih načelnika, gradonačelnika, župana te njihovih zamjenika i izbor zamjenika općinskih načelnika, gradonačelnika i župana iz reda pripadnika nacionalnih manjina te iz reda pripadnika hrvatskog naroda), izbor članova vijeća i predstavnika nacionalnih manjina u jedinicama lokalne i područne (regionalne) samouprave te provedbu državnog, lokalnog i savjetodavnog referenduma.</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01205-Državno izborno povjerenstvo Republike Hrvatske</w:t>
            </w:r>
          </w:p>
        </w:tc>
        <w:tc>
          <w:tcPr>
            <w:tcW w:w="2041" w:type="dxa"/>
            <w:vAlign w:val="top"/>
          </w:tcPr>
          <w:p w:rsidR="005C2091" w:rsidRDefault="00A86293">
            <w:pPr>
              <w:pStyle w:val="CellColumn"/>
              <w:jc w:val="right"/>
            </w:pPr>
            <w:r>
              <w:rPr>
                <w:rFonts w:cs="Times New Roman"/>
              </w:rPr>
              <w:t>184.505.937</w:t>
            </w:r>
          </w:p>
        </w:tc>
        <w:tc>
          <w:tcPr>
            <w:tcW w:w="2041" w:type="dxa"/>
            <w:vAlign w:val="top"/>
          </w:tcPr>
          <w:p w:rsidR="005C2091" w:rsidRDefault="00A86293">
            <w:pPr>
              <w:pStyle w:val="CellColumn"/>
              <w:jc w:val="right"/>
            </w:pPr>
            <w:r>
              <w:rPr>
                <w:rFonts w:cs="Times New Roman"/>
              </w:rPr>
              <w:t>34.256.737</w:t>
            </w:r>
          </w:p>
        </w:tc>
        <w:tc>
          <w:tcPr>
            <w:tcW w:w="2041" w:type="dxa"/>
            <w:vAlign w:val="top"/>
          </w:tcPr>
          <w:p w:rsidR="005C2091" w:rsidRDefault="00A86293">
            <w:pPr>
              <w:pStyle w:val="CellColumn"/>
              <w:jc w:val="right"/>
            </w:pPr>
            <w:r>
              <w:rPr>
                <w:rFonts w:cs="Times New Roman"/>
              </w:rPr>
              <w:t>33.666.948</w:t>
            </w:r>
          </w:p>
        </w:tc>
        <w:tc>
          <w:tcPr>
            <w:tcW w:w="1224" w:type="dxa"/>
            <w:vAlign w:val="top"/>
          </w:tcPr>
          <w:p w:rsidR="005C2091" w:rsidRDefault="00A86293">
            <w:pPr>
              <w:pStyle w:val="CellColumn"/>
              <w:jc w:val="right"/>
            </w:pPr>
            <w:r>
              <w:rPr>
                <w:rFonts w:cs="Times New Roman"/>
              </w:rPr>
              <w:t>98,3</w:t>
            </w:r>
          </w:p>
        </w:tc>
        <w:tc>
          <w:tcPr>
            <w:tcW w:w="1224" w:type="dxa"/>
            <w:vAlign w:val="top"/>
          </w:tcPr>
          <w:p w:rsidR="005C2091" w:rsidRDefault="00A86293">
            <w:pPr>
              <w:pStyle w:val="CellColumn"/>
              <w:jc w:val="right"/>
            </w:pPr>
            <w:r>
              <w:rPr>
                <w:rFonts w:cs="Times New Roman"/>
              </w:rPr>
              <w:t>18,2</w:t>
            </w:r>
          </w:p>
        </w:tc>
      </w:tr>
      <w:tr w:rsidR="005C2091">
        <w:trPr>
          <w:jc w:val="center"/>
        </w:trPr>
        <w:tc>
          <w:tcPr>
            <w:tcW w:w="1632" w:type="dxa"/>
            <w:shd w:val="clear" w:color="auto" w:fill="B5C0D8"/>
          </w:tcPr>
          <w:p w:rsidR="005C2091" w:rsidRDefault="00A86293">
            <w:pPr>
              <w:pStyle w:val="CellColumn"/>
              <w:jc w:val="left"/>
            </w:pPr>
            <w:r>
              <w:rPr>
                <w:rFonts w:cs="Times New Roman"/>
              </w:rPr>
              <w:t>Ukupno 012-DRŽAVNO IZBORNO POVJERENSTVO REPUBLIKE HRVATSKE</w:t>
            </w:r>
          </w:p>
        </w:tc>
        <w:tc>
          <w:tcPr>
            <w:tcW w:w="2041" w:type="dxa"/>
            <w:shd w:val="clear" w:color="auto" w:fill="B5C0D8"/>
          </w:tcPr>
          <w:p w:rsidR="005C2091" w:rsidRDefault="00A86293">
            <w:pPr>
              <w:pStyle w:val="CellColumn"/>
              <w:jc w:val="right"/>
            </w:pPr>
            <w:r>
              <w:rPr>
                <w:rFonts w:cs="Times New Roman"/>
              </w:rPr>
              <w:t>184.505.937</w:t>
            </w:r>
          </w:p>
        </w:tc>
        <w:tc>
          <w:tcPr>
            <w:tcW w:w="2041" w:type="dxa"/>
            <w:shd w:val="clear" w:color="auto" w:fill="B5C0D8"/>
          </w:tcPr>
          <w:p w:rsidR="005C2091" w:rsidRDefault="00A86293">
            <w:pPr>
              <w:pStyle w:val="CellColumn"/>
              <w:jc w:val="right"/>
            </w:pPr>
            <w:r>
              <w:rPr>
                <w:rFonts w:cs="Times New Roman"/>
              </w:rPr>
              <w:t>34.256.737</w:t>
            </w:r>
          </w:p>
        </w:tc>
        <w:tc>
          <w:tcPr>
            <w:tcW w:w="2041" w:type="dxa"/>
            <w:shd w:val="clear" w:color="auto" w:fill="B5C0D8"/>
          </w:tcPr>
          <w:p w:rsidR="005C2091" w:rsidRDefault="00A86293">
            <w:pPr>
              <w:pStyle w:val="CellColumn"/>
              <w:jc w:val="right"/>
            </w:pPr>
            <w:r>
              <w:rPr>
                <w:rFonts w:cs="Times New Roman"/>
              </w:rPr>
              <w:t>33.666.948</w:t>
            </w:r>
          </w:p>
        </w:tc>
        <w:tc>
          <w:tcPr>
            <w:tcW w:w="1224" w:type="dxa"/>
            <w:shd w:val="clear" w:color="auto" w:fill="B5C0D8"/>
          </w:tcPr>
          <w:p w:rsidR="005C2091" w:rsidRDefault="00A86293">
            <w:pPr>
              <w:pStyle w:val="CellColumn"/>
              <w:jc w:val="right"/>
            </w:pPr>
            <w:r>
              <w:rPr>
                <w:rFonts w:cs="Times New Roman"/>
              </w:rPr>
              <w:t>98,3</w:t>
            </w:r>
          </w:p>
        </w:tc>
        <w:tc>
          <w:tcPr>
            <w:tcW w:w="1224" w:type="dxa"/>
            <w:shd w:val="clear" w:color="auto" w:fill="B5C0D8"/>
          </w:tcPr>
          <w:p w:rsidR="005C2091" w:rsidRDefault="00A86293">
            <w:pPr>
              <w:pStyle w:val="CellColumn"/>
              <w:jc w:val="right"/>
            </w:pPr>
            <w:r>
              <w:rPr>
                <w:rFonts w:cs="Times New Roman"/>
              </w:rPr>
              <w:t>18,2</w:t>
            </w:r>
          </w:p>
        </w:tc>
      </w:tr>
    </w:tbl>
    <w:p w:rsidR="005C2091" w:rsidRDefault="005C2091">
      <w:pPr>
        <w:jc w:val="left"/>
      </w:pPr>
    </w:p>
    <w:p w:rsidR="005C2091" w:rsidRDefault="00A86293">
      <w:pPr>
        <w:pStyle w:val="Heading2"/>
      </w:pPr>
      <w:r>
        <w:t>01205 Državno izborno povjerenstvo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01205-Državno izborno povjerenstvo Republike Hrvatske</w:t>
            </w:r>
          </w:p>
        </w:tc>
        <w:tc>
          <w:tcPr>
            <w:tcW w:w="2041" w:type="dxa"/>
            <w:vAlign w:val="top"/>
          </w:tcPr>
          <w:p w:rsidR="005C2091" w:rsidRDefault="00A86293">
            <w:pPr>
              <w:pStyle w:val="CellColumn"/>
              <w:jc w:val="right"/>
            </w:pPr>
            <w:r>
              <w:rPr>
                <w:rFonts w:cs="Times New Roman"/>
              </w:rPr>
              <w:t>184.505.937</w:t>
            </w:r>
          </w:p>
        </w:tc>
        <w:tc>
          <w:tcPr>
            <w:tcW w:w="2041" w:type="dxa"/>
            <w:vAlign w:val="top"/>
          </w:tcPr>
          <w:p w:rsidR="005C2091" w:rsidRDefault="00A86293">
            <w:pPr>
              <w:pStyle w:val="CellColumn"/>
              <w:jc w:val="right"/>
            </w:pPr>
            <w:r>
              <w:rPr>
                <w:rFonts w:cs="Times New Roman"/>
              </w:rPr>
              <w:t>34.256.737</w:t>
            </w:r>
          </w:p>
        </w:tc>
        <w:tc>
          <w:tcPr>
            <w:tcW w:w="2041" w:type="dxa"/>
            <w:vAlign w:val="top"/>
          </w:tcPr>
          <w:p w:rsidR="005C2091" w:rsidRDefault="00A86293">
            <w:pPr>
              <w:pStyle w:val="CellColumn"/>
              <w:jc w:val="right"/>
            </w:pPr>
            <w:r>
              <w:rPr>
                <w:rFonts w:cs="Times New Roman"/>
              </w:rPr>
              <w:t>33.666.948</w:t>
            </w:r>
          </w:p>
        </w:tc>
        <w:tc>
          <w:tcPr>
            <w:tcW w:w="1224" w:type="dxa"/>
            <w:vAlign w:val="top"/>
          </w:tcPr>
          <w:p w:rsidR="005C2091" w:rsidRDefault="00A86293">
            <w:pPr>
              <w:pStyle w:val="CellColumn"/>
              <w:jc w:val="right"/>
            </w:pPr>
            <w:r>
              <w:rPr>
                <w:rFonts w:cs="Times New Roman"/>
              </w:rPr>
              <w:t>98,3</w:t>
            </w:r>
          </w:p>
        </w:tc>
        <w:tc>
          <w:tcPr>
            <w:tcW w:w="1224" w:type="dxa"/>
            <w:vAlign w:val="top"/>
          </w:tcPr>
          <w:p w:rsidR="005C2091" w:rsidRDefault="00A86293">
            <w:pPr>
              <w:pStyle w:val="CellColumn"/>
              <w:jc w:val="right"/>
            </w:pPr>
            <w:r>
              <w:rPr>
                <w:rFonts w:cs="Times New Roman"/>
              </w:rPr>
              <w:t>18,2</w:t>
            </w:r>
          </w:p>
        </w:tc>
      </w:tr>
      <w:tr w:rsidR="005C2091">
        <w:trPr>
          <w:jc w:val="center"/>
        </w:trPr>
        <w:tc>
          <w:tcPr>
            <w:tcW w:w="1632" w:type="dxa"/>
          </w:tcPr>
          <w:p w:rsidR="005C2091" w:rsidRDefault="00A86293">
            <w:pPr>
              <w:jc w:val="left"/>
            </w:pPr>
            <w:r>
              <w:t>2124-PROVEDBA IZBORA I REFERENDUMA</w:t>
            </w:r>
          </w:p>
        </w:tc>
        <w:tc>
          <w:tcPr>
            <w:tcW w:w="2041" w:type="dxa"/>
          </w:tcPr>
          <w:p w:rsidR="005C2091" w:rsidRDefault="00A86293">
            <w:pPr>
              <w:jc w:val="right"/>
            </w:pPr>
            <w:r>
              <w:t>184.505.937</w:t>
            </w:r>
          </w:p>
        </w:tc>
        <w:tc>
          <w:tcPr>
            <w:tcW w:w="2041" w:type="dxa"/>
          </w:tcPr>
          <w:p w:rsidR="005C2091" w:rsidRDefault="00A86293">
            <w:pPr>
              <w:jc w:val="right"/>
            </w:pPr>
            <w:r>
              <w:t>34.256.737</w:t>
            </w:r>
          </w:p>
        </w:tc>
        <w:tc>
          <w:tcPr>
            <w:tcW w:w="2041" w:type="dxa"/>
          </w:tcPr>
          <w:p w:rsidR="005C2091" w:rsidRDefault="00A86293">
            <w:pPr>
              <w:jc w:val="right"/>
            </w:pPr>
            <w:r>
              <w:t>33.666.948</w:t>
            </w:r>
          </w:p>
        </w:tc>
        <w:tc>
          <w:tcPr>
            <w:tcW w:w="1224" w:type="dxa"/>
          </w:tcPr>
          <w:p w:rsidR="005C2091" w:rsidRDefault="00A86293">
            <w:pPr>
              <w:jc w:val="right"/>
            </w:pPr>
            <w:r>
              <w:t>98,3</w:t>
            </w:r>
          </w:p>
        </w:tc>
        <w:tc>
          <w:tcPr>
            <w:tcW w:w="1224" w:type="dxa"/>
          </w:tcPr>
          <w:p w:rsidR="005C2091" w:rsidRDefault="00A86293">
            <w:pPr>
              <w:jc w:val="right"/>
            </w:pPr>
            <w:r>
              <w:t>18,2</w:t>
            </w:r>
          </w:p>
        </w:tc>
      </w:tr>
    </w:tbl>
    <w:p w:rsidR="005C2091" w:rsidRDefault="005C2091">
      <w:pPr>
        <w:jc w:val="left"/>
      </w:pPr>
    </w:p>
    <w:p w:rsidR="000B7958" w:rsidRDefault="000B7958">
      <w:pPr>
        <w:jc w:val="left"/>
      </w:pPr>
    </w:p>
    <w:p w:rsidR="00B629B0" w:rsidRDefault="00B629B0">
      <w:pPr>
        <w:jc w:val="left"/>
      </w:pPr>
    </w:p>
    <w:p w:rsidR="005C2091" w:rsidRDefault="00A86293">
      <w:pPr>
        <w:pStyle w:val="Heading3"/>
      </w:pPr>
      <w:r>
        <w:rPr>
          <w:rFonts w:cs="Times New Roman"/>
        </w:rPr>
        <w:lastRenderedPageBreak/>
        <w:t>2124 PROVEDBA IZBORA I REFERENDUMA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2124-PROVEDBA IZBORA I REFERENDUMA</w:t>
            </w:r>
          </w:p>
        </w:tc>
        <w:tc>
          <w:tcPr>
            <w:tcW w:w="2041" w:type="dxa"/>
          </w:tcPr>
          <w:p w:rsidR="005C2091" w:rsidRDefault="00A86293">
            <w:pPr>
              <w:pStyle w:val="CellColumn"/>
              <w:jc w:val="right"/>
            </w:pPr>
            <w:r>
              <w:rPr>
                <w:rFonts w:cs="Times New Roman"/>
              </w:rPr>
              <w:t>184.505.937</w:t>
            </w:r>
          </w:p>
        </w:tc>
        <w:tc>
          <w:tcPr>
            <w:tcW w:w="2041" w:type="dxa"/>
          </w:tcPr>
          <w:p w:rsidR="005C2091" w:rsidRDefault="00A86293">
            <w:pPr>
              <w:pStyle w:val="CellColumn"/>
              <w:jc w:val="right"/>
            </w:pPr>
            <w:r>
              <w:rPr>
                <w:rFonts w:cs="Times New Roman"/>
              </w:rPr>
              <w:t>34.256.737</w:t>
            </w:r>
          </w:p>
        </w:tc>
        <w:tc>
          <w:tcPr>
            <w:tcW w:w="2041" w:type="dxa"/>
          </w:tcPr>
          <w:p w:rsidR="005C2091" w:rsidRDefault="00A86293">
            <w:pPr>
              <w:pStyle w:val="CellColumn"/>
              <w:jc w:val="right"/>
            </w:pPr>
            <w:r>
              <w:rPr>
                <w:rFonts w:cs="Times New Roman"/>
              </w:rPr>
              <w:t>33.666.948</w:t>
            </w:r>
          </w:p>
        </w:tc>
        <w:tc>
          <w:tcPr>
            <w:tcW w:w="1224" w:type="dxa"/>
          </w:tcPr>
          <w:p w:rsidR="005C2091" w:rsidRDefault="00A86293">
            <w:pPr>
              <w:pStyle w:val="CellColumn"/>
              <w:jc w:val="right"/>
            </w:pPr>
            <w:r>
              <w:rPr>
                <w:rFonts w:cs="Times New Roman"/>
              </w:rPr>
              <w:t>98,3</w:t>
            </w:r>
          </w:p>
        </w:tc>
        <w:tc>
          <w:tcPr>
            <w:tcW w:w="1224" w:type="dxa"/>
          </w:tcPr>
          <w:p w:rsidR="005C2091" w:rsidRDefault="00A86293">
            <w:pPr>
              <w:pStyle w:val="CellColumn"/>
              <w:jc w:val="right"/>
            </w:pPr>
            <w:r>
              <w:rPr>
                <w:rFonts w:cs="Times New Roman"/>
              </w:rPr>
              <w:t>18,2</w:t>
            </w:r>
          </w:p>
        </w:tc>
      </w:tr>
    </w:tbl>
    <w:p w:rsidR="005C2091" w:rsidRDefault="005C2091">
      <w:pPr>
        <w:jc w:val="left"/>
      </w:pPr>
    </w:p>
    <w:p w:rsidR="005C2091" w:rsidRDefault="00A86293">
      <w:r>
        <w:t>Provedba prijevremenih izbora za zastupnike u Hrvatski sabor i prijevremenih lokalnih izbora (izbora članova predstavničkih tijela jedinica lokalne samouprave, izbora općinskih načelnika/gradonačelnika i njihovih zamjenika, izbora za zamjenika župana iz reda pripadnika nacionalne manjine, odnosno zamjenika općinskog načelnika iz reda pripadnika hrvatskog naroda).</w:t>
      </w:r>
    </w:p>
    <w:p w:rsidR="005C2091" w:rsidRDefault="00A86293">
      <w:pPr>
        <w:pStyle w:val="Heading8"/>
        <w:jc w:val="left"/>
      </w:pPr>
      <w:r>
        <w:t>Cilj 1. Zakonito, učinkovito i transparentno provedeni izbori, dostupni svim biračima sa pravovremenim i točnim rezultatima</w:t>
      </w:r>
    </w:p>
    <w:p w:rsidR="005C2091" w:rsidRDefault="00A86293">
      <w:pPr>
        <w:pStyle w:val="Heading8"/>
        <w:jc w:val="left"/>
      </w:pPr>
      <w:r>
        <w:t>Opis provedbe cilja programa</w:t>
      </w:r>
    </w:p>
    <w:p w:rsidR="005C2091" w:rsidRDefault="00A86293">
      <w:r>
        <w:t xml:space="preserve">Državno izborno povjerenstvo ima zakonom propisane ovlasti u pripremi i provedbi izbora, a organizirana i učinkovita priprema izbora, jedan je od glavnih preduvjeta transparentno provedenih izbora. </w:t>
      </w:r>
    </w:p>
    <w:p w:rsidR="005C2091" w:rsidRDefault="00A86293">
      <w:r>
        <w:t xml:space="preserve">Dostupnost biračkih mjesta biračima je preduvjet dobro provedenih izbora. Visoki standard vezano uz dostupnost biračkih mjesta biračima koji je postignut na izborima održanim u prethodnom razdoblju, održan je i na izborima provedenim tijekom 2016. Biračka mjesta u Republici Hrvatskoj bila su određena sukladno odredbama izbornih zakona, vodeći računa da svojim brojem i lokacijom budu dostupna svim biračima. </w:t>
      </w:r>
    </w:p>
    <w:p w:rsidR="005C2091" w:rsidRDefault="00A86293">
      <w:r>
        <w:t>Cjelovita informatička podrška u provedbi izbora obavljena je primjenom jedinstvene aplikacije s najvećim stupnjem informatičke sigurnosti, a što je rezultiralo pravovremenim i točnim izbornim rezultatima.</w:t>
      </w:r>
    </w:p>
    <w:p w:rsidR="005C2091" w:rsidRDefault="00A86293">
      <w:pPr>
        <w:pStyle w:val="Heading8"/>
        <w:jc w:val="left"/>
      </w:pPr>
      <w:r>
        <w:t>Cilj 2. Podizanje razine učinkovitosti izbornih procesa te jačanje povjerenja u izborni sustav</w:t>
      </w:r>
    </w:p>
    <w:p w:rsidR="005C2091" w:rsidRDefault="00A86293">
      <w:pPr>
        <w:pStyle w:val="Heading8"/>
        <w:jc w:val="left"/>
      </w:pPr>
      <w:r>
        <w:t>Opis provedbe cilja programa</w:t>
      </w:r>
    </w:p>
    <w:p w:rsidR="005C2091" w:rsidRDefault="00A86293">
      <w:r>
        <w:t>Na podizanje razine učinkovitosti izbornih procesa utjecalo se mišljenjima za dogradnju i izmjenu izbornog zakonodavstva nakon detaljne analize poslije svakih provedenih izbora, edukacijom i informiranjem svih sudionika izbornog procesa, a posebice članova izbornih tijela. Na jačanje povjerenja u izborni sustav utjecalo se transparentnošću cjelovite informatičke podrške na izborima, kako izborima koji su provedeni na državnoj razini (prijevremenim izborima za zastupnike u Hrvatski sabor), tako i izborima koji su provedeni na lokalnoj razini (prijevremenim lokalnim izborima).</w:t>
      </w:r>
    </w:p>
    <w:p w:rsidR="005C2091" w:rsidRDefault="00A86293">
      <w:pPr>
        <w:pStyle w:val="Heading8"/>
        <w:jc w:val="left"/>
      </w:pPr>
      <w:r>
        <w:t>Cilj 3. Provedba nadzora nad financijskim poslovanjem političkih stranaka, nezavisnih zastupnika, članova predstavničkih tijela jedinica lokalne i područne (regionalne) samouprave izabranih s liste grupe birača</w:t>
      </w:r>
    </w:p>
    <w:p w:rsidR="005C2091" w:rsidRDefault="00A86293">
      <w:pPr>
        <w:pStyle w:val="Heading8"/>
        <w:jc w:val="left"/>
      </w:pPr>
      <w:r>
        <w:t>Opis provedbe cilja programa</w:t>
      </w:r>
    </w:p>
    <w:p w:rsidR="005C2091" w:rsidRDefault="00A86293">
      <w:r>
        <w:t>Na temelju Zakona o financiranju političkih aktivnosti i izborne promidžbe, Državno izborno povjerenstvo nadzire godišnje financijsko poslovanje i godišnje financijske izvještaje političkih stranaka, nezavisnih zastupnika i članova predstavničkih tijela jedinica lokalne i područne (regionalne) samouprave izabranih s liste grupe birača.</w:t>
      </w:r>
    </w:p>
    <w:p w:rsidR="005C2091" w:rsidRDefault="00A86293">
      <w:pPr>
        <w:pStyle w:val="Heading8"/>
        <w:jc w:val="left"/>
      </w:pPr>
      <w:r>
        <w:t>Cilj 4. Provedba nadzora financiranja izborne promidžbe političkih stranaka, nezavisnih lista odnosno lista grupa birača i kandidata</w:t>
      </w:r>
    </w:p>
    <w:p w:rsidR="005C2091" w:rsidRDefault="00A86293">
      <w:pPr>
        <w:pStyle w:val="Heading8"/>
        <w:jc w:val="left"/>
      </w:pPr>
      <w:r>
        <w:t>Opis provedbe cilja programa</w:t>
      </w:r>
    </w:p>
    <w:p w:rsidR="005C2091" w:rsidRDefault="00A86293">
      <w:r>
        <w:t>Državno izborno povjerenstvo samostalno ili u suradnji s nadležnim izbornim povjerenstvima, nadzire poštivanje odredbi Zakona o financiranju političkih aktivnosti i izborne promidžbe koje se odnose na izbornu promidžbu, financijske račune koji se odnose na financiranje izborne promidžbe, prikupljanje donacija i troškove izborne promidžbe, izvještavanje o financiranju izborne promidžbe te ostale aktivnosti vezane uz financiranje izborne promidžbe političkih stranaka, nezavisnih lista odnosno lista grupa birača i kandidata.</w:t>
      </w:r>
    </w:p>
    <w:p w:rsidR="00290EC0" w:rsidRDefault="00290EC0"/>
    <w:p w:rsidR="005C2091" w:rsidRDefault="00A86293">
      <w:pPr>
        <w:pStyle w:val="Heading4"/>
      </w:pPr>
      <w:r>
        <w:t>A896001 PROVEDBA IZBORA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A896001-PROVEDBA IZBORA</w:t>
            </w:r>
          </w:p>
        </w:tc>
        <w:tc>
          <w:tcPr>
            <w:tcW w:w="2041" w:type="dxa"/>
          </w:tcPr>
          <w:p w:rsidR="005C2091" w:rsidRDefault="00A86293">
            <w:pPr>
              <w:pStyle w:val="CellColumn"/>
              <w:jc w:val="right"/>
            </w:pPr>
            <w:r>
              <w:rPr>
                <w:rFonts w:cs="Times New Roman"/>
              </w:rPr>
              <w:t>177.745.226</w:t>
            </w:r>
          </w:p>
        </w:tc>
        <w:tc>
          <w:tcPr>
            <w:tcW w:w="2041" w:type="dxa"/>
          </w:tcPr>
          <w:p w:rsidR="005C2091" w:rsidRDefault="00A86293">
            <w:pPr>
              <w:pStyle w:val="CellColumn"/>
              <w:jc w:val="right"/>
            </w:pPr>
            <w:r>
              <w:rPr>
                <w:rFonts w:cs="Times New Roman"/>
              </w:rPr>
              <w:t>27.898.300</w:t>
            </w:r>
          </w:p>
        </w:tc>
        <w:tc>
          <w:tcPr>
            <w:tcW w:w="2041" w:type="dxa"/>
          </w:tcPr>
          <w:p w:rsidR="005C2091" w:rsidRDefault="00A86293">
            <w:pPr>
              <w:pStyle w:val="CellColumn"/>
              <w:jc w:val="right"/>
            </w:pPr>
            <w:r>
              <w:rPr>
                <w:rFonts w:cs="Times New Roman"/>
              </w:rPr>
              <w:t>27.804.354</w:t>
            </w:r>
          </w:p>
        </w:tc>
        <w:tc>
          <w:tcPr>
            <w:tcW w:w="1224" w:type="dxa"/>
          </w:tcPr>
          <w:p w:rsidR="005C2091" w:rsidRDefault="00A86293">
            <w:pPr>
              <w:pStyle w:val="CellColumn"/>
              <w:jc w:val="right"/>
            </w:pPr>
            <w:r>
              <w:rPr>
                <w:rFonts w:cs="Times New Roman"/>
              </w:rPr>
              <w:t>99,7</w:t>
            </w:r>
          </w:p>
        </w:tc>
        <w:tc>
          <w:tcPr>
            <w:tcW w:w="1224" w:type="dxa"/>
          </w:tcPr>
          <w:p w:rsidR="005C2091" w:rsidRDefault="00A86293">
            <w:pPr>
              <w:pStyle w:val="CellColumn"/>
              <w:jc w:val="right"/>
            </w:pPr>
            <w:r>
              <w:rPr>
                <w:rFonts w:cs="Times New Roman"/>
              </w:rPr>
              <w:t>15,6</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Državnom izbornom povjerenstvu Republike Hrvatske </w:t>
      </w:r>
    </w:p>
    <w:p w:rsidR="005C2091" w:rsidRDefault="00A86293">
      <w:r>
        <w:t xml:space="preserve">- Zakon o izborima zastupnika u Hrvatski sabor </w:t>
      </w:r>
    </w:p>
    <w:p w:rsidR="005C2091" w:rsidRDefault="00A86293">
      <w:r>
        <w:t xml:space="preserve">- Zakon o lokalnim izborima </w:t>
      </w:r>
    </w:p>
    <w:p w:rsidR="005C2091" w:rsidRDefault="00A86293">
      <w:r>
        <w:t>- Zakon o financiranju političkih aktivnosti i izborne promidžbe</w:t>
      </w:r>
    </w:p>
    <w:p w:rsidR="005C2091" w:rsidRDefault="00A86293">
      <w:pPr>
        <w:pStyle w:val="Heading8"/>
        <w:jc w:val="left"/>
      </w:pPr>
      <w:r>
        <w:t>Opis aktivnosti</w:t>
      </w:r>
    </w:p>
    <w:p w:rsidR="005C2091" w:rsidRDefault="00A86293">
      <w:r>
        <w:t xml:space="preserve">Prijevremeni izbori za zastupnike u Hrvatski sabor održani su 10. i 11. rujna 2016. godine. </w:t>
      </w:r>
    </w:p>
    <w:p w:rsidR="005C2091" w:rsidRDefault="00A86293">
      <w:r>
        <w:t xml:space="preserve">20. ožujka 2016. održani su prijevremeni lokalni izbori i to: prijevremeni izbori za gradsko vijeće i gradonačelnika te zamjenike gradonačelnika u gradovima Novoj Gradišci i Novalji te za općinsko vijeće i općinskog načelnika te zamjenike općinskog načelnika u općinama Matulji, Ražanac, Kolan, Kalnik, Ližnjan - Lisignano, Cestica i Gvozd i prijevremeni izbori za zamjenika župana Šibensko-kninske županije iz reda pripadnika srpske nacionalne manjine te zamjenika općinskog načelnika Općine Jagodnjak iz reda pripadnika hrvatskog naroda. </w:t>
      </w:r>
    </w:p>
    <w:p w:rsidR="005C2091" w:rsidRDefault="00A86293">
      <w:r>
        <w:t xml:space="preserve">29. svibnja 2016. održani su prijevremeni lokalni izbori i to: prijevremeni izbori za općinsko vijeće i općinskog načelnika te zamjenika općinskog načelnika Općine Murter-Kornati. </w:t>
      </w:r>
    </w:p>
    <w:p w:rsidR="005C2091" w:rsidRDefault="00A86293">
      <w:r>
        <w:t xml:space="preserve">5. lipnja 2016. održani su prijevremeni lokalni izbori i to: prijevremeni izbori za gradsko vijeće i gradonačelnika te zamjenika gradonačelnika Grada Vrgorca. </w:t>
      </w:r>
    </w:p>
    <w:p w:rsidR="005C2091" w:rsidRDefault="00A86293">
      <w:r>
        <w:t>2. listopada 2016. održani su prijevremeni lokalni izbori i to:  prijevremeni izbori za općinsko vijeće Općine Čeminac.</w:t>
      </w:r>
    </w:p>
    <w:p w:rsidR="005C2091" w:rsidRDefault="00A86293">
      <w:pPr>
        <w:pStyle w:val="Heading4"/>
      </w:pPr>
      <w:r>
        <w:t>A896002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A896002-ADMINISTRACIJA I UPRAVLJANJE</w:t>
            </w:r>
          </w:p>
        </w:tc>
        <w:tc>
          <w:tcPr>
            <w:tcW w:w="2041" w:type="dxa"/>
          </w:tcPr>
          <w:p w:rsidR="005C2091" w:rsidRDefault="00A86293">
            <w:pPr>
              <w:pStyle w:val="CellColumn"/>
              <w:jc w:val="right"/>
            </w:pPr>
            <w:r>
              <w:rPr>
                <w:rFonts w:cs="Times New Roman"/>
              </w:rPr>
              <w:t>6.084.422</w:t>
            </w:r>
          </w:p>
        </w:tc>
        <w:tc>
          <w:tcPr>
            <w:tcW w:w="2041" w:type="dxa"/>
          </w:tcPr>
          <w:p w:rsidR="005C2091" w:rsidRDefault="00A86293">
            <w:pPr>
              <w:pStyle w:val="CellColumn"/>
              <w:jc w:val="right"/>
            </w:pPr>
            <w:r>
              <w:rPr>
                <w:rFonts w:cs="Times New Roman"/>
              </w:rPr>
              <w:t>6.112.437</w:t>
            </w:r>
          </w:p>
        </w:tc>
        <w:tc>
          <w:tcPr>
            <w:tcW w:w="2041" w:type="dxa"/>
          </w:tcPr>
          <w:p w:rsidR="005C2091" w:rsidRDefault="00A86293">
            <w:pPr>
              <w:pStyle w:val="CellColumn"/>
              <w:jc w:val="right"/>
            </w:pPr>
            <w:r>
              <w:rPr>
                <w:rFonts w:cs="Times New Roman"/>
              </w:rPr>
              <w:t>5.648.580</w:t>
            </w:r>
          </w:p>
        </w:tc>
        <w:tc>
          <w:tcPr>
            <w:tcW w:w="1224" w:type="dxa"/>
          </w:tcPr>
          <w:p w:rsidR="005C2091" w:rsidRDefault="00A86293">
            <w:pPr>
              <w:pStyle w:val="CellColumn"/>
              <w:jc w:val="right"/>
            </w:pPr>
            <w:r>
              <w:rPr>
                <w:rFonts w:cs="Times New Roman"/>
              </w:rPr>
              <w:t>92,4</w:t>
            </w:r>
          </w:p>
        </w:tc>
        <w:tc>
          <w:tcPr>
            <w:tcW w:w="1224" w:type="dxa"/>
          </w:tcPr>
          <w:p w:rsidR="005C2091" w:rsidRDefault="00A86293">
            <w:pPr>
              <w:pStyle w:val="CellColumn"/>
              <w:jc w:val="right"/>
            </w:pPr>
            <w:r>
              <w:rPr>
                <w:rFonts w:cs="Times New Roman"/>
              </w:rPr>
              <w:t>92,8</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Državnom izbornom povjerenstvu Republike Hrvatske </w:t>
      </w:r>
    </w:p>
    <w:p w:rsidR="005C2091" w:rsidRDefault="00A86293">
      <w:r>
        <w:t xml:space="preserve">- Zakon o izborima zastupnika u Hrvatski sabor </w:t>
      </w:r>
    </w:p>
    <w:p w:rsidR="005C2091" w:rsidRDefault="00A86293">
      <w:r>
        <w:t xml:space="preserve">- Zakon o lokalnim izborima </w:t>
      </w:r>
    </w:p>
    <w:p w:rsidR="005C2091" w:rsidRDefault="00A86293">
      <w:r>
        <w:t>- Zakon o financiranju političkih aktivnosti i izborne promidžbe</w:t>
      </w:r>
    </w:p>
    <w:p w:rsidR="005C2091" w:rsidRDefault="00A86293">
      <w:pPr>
        <w:pStyle w:val="Heading8"/>
        <w:jc w:val="left"/>
      </w:pPr>
      <w:r>
        <w:lastRenderedPageBreak/>
        <w:t>Opis aktivnosti</w:t>
      </w:r>
    </w:p>
    <w:p w:rsidR="005C2091" w:rsidRDefault="00A86293">
      <w:r>
        <w:t xml:space="preserve">Kroz redovnu aktivnost utrošena su sredstva za sve redovne troškove koji su bili potrebni za rad Državnog izbornog povjerenstva.  </w:t>
      </w:r>
    </w:p>
    <w:p w:rsidR="005C2091" w:rsidRDefault="00A86293" w:rsidP="00A86293">
      <w:r>
        <w:t>Tijekom 2016. provedena je mjera iz Akcijskog plana uz Strategiju suzbijanja korupcije za razdoblje 2015. – 2020. Ministarstva pravosuđa (Savjetovanje obveznika primjene Zakona o provedbi Zakona o financiranju političkih aktivnosti i izborne promidžbe u odnosu na financiranje političkih aktivnosti i financiranje izborne promidžbe na lokalnim izborima).</w:t>
      </w:r>
    </w:p>
    <w:p w:rsidR="005C2091" w:rsidRDefault="00A86293">
      <w:pPr>
        <w:pStyle w:val="Heading4"/>
      </w:pPr>
      <w:r>
        <w:t>K896003 INFORMATIZACIJA DRŽAVNOG IZBORNOG POVJERENSTVA REPUBLIKE HRVATSKE</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K896003-INFORMATIZACIJA DRŽAVNOG IZBORNOG POVJERENSTVA REPUBLIKE HRVATSKE</w:t>
            </w:r>
          </w:p>
        </w:tc>
        <w:tc>
          <w:tcPr>
            <w:tcW w:w="2041" w:type="dxa"/>
          </w:tcPr>
          <w:p w:rsidR="005C2091" w:rsidRDefault="00A86293">
            <w:pPr>
              <w:pStyle w:val="CellColumn"/>
              <w:jc w:val="right"/>
            </w:pPr>
            <w:r>
              <w:rPr>
                <w:rFonts w:cs="Times New Roman"/>
              </w:rPr>
              <w:t>419.099</w:t>
            </w:r>
          </w:p>
        </w:tc>
        <w:tc>
          <w:tcPr>
            <w:tcW w:w="2041" w:type="dxa"/>
          </w:tcPr>
          <w:p w:rsidR="005C2091" w:rsidRDefault="00A86293">
            <w:pPr>
              <w:pStyle w:val="CellColumn"/>
              <w:jc w:val="right"/>
            </w:pPr>
            <w:r>
              <w:rPr>
                <w:rFonts w:cs="Times New Roman"/>
              </w:rPr>
              <w:t>246.000</w:t>
            </w:r>
          </w:p>
        </w:tc>
        <w:tc>
          <w:tcPr>
            <w:tcW w:w="2041" w:type="dxa"/>
          </w:tcPr>
          <w:p w:rsidR="005C2091" w:rsidRDefault="00A86293">
            <w:pPr>
              <w:pStyle w:val="CellColumn"/>
              <w:jc w:val="right"/>
            </w:pPr>
            <w:r>
              <w:rPr>
                <w:rFonts w:cs="Times New Roman"/>
              </w:rPr>
              <w:t>214.013</w:t>
            </w:r>
          </w:p>
        </w:tc>
        <w:tc>
          <w:tcPr>
            <w:tcW w:w="1224" w:type="dxa"/>
          </w:tcPr>
          <w:p w:rsidR="005C2091" w:rsidRDefault="00A86293">
            <w:pPr>
              <w:pStyle w:val="CellColumn"/>
              <w:jc w:val="right"/>
            </w:pPr>
            <w:r>
              <w:rPr>
                <w:rFonts w:cs="Times New Roman"/>
              </w:rPr>
              <w:t>87,0</w:t>
            </w:r>
          </w:p>
        </w:tc>
        <w:tc>
          <w:tcPr>
            <w:tcW w:w="1224" w:type="dxa"/>
          </w:tcPr>
          <w:p w:rsidR="005C2091" w:rsidRDefault="00A86293">
            <w:pPr>
              <w:pStyle w:val="CellColumn"/>
              <w:jc w:val="right"/>
            </w:pPr>
            <w:r>
              <w:rPr>
                <w:rFonts w:cs="Times New Roman"/>
              </w:rPr>
              <w:t>51,1</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Državnom izbornom povjerenstvu Republike Hrvatske </w:t>
      </w:r>
    </w:p>
    <w:p w:rsidR="005C2091" w:rsidRDefault="00A86293">
      <w:r>
        <w:t xml:space="preserve">- Zakon o izborima zastupnika u Hrvatski sabor </w:t>
      </w:r>
    </w:p>
    <w:p w:rsidR="005C2091" w:rsidRDefault="00A86293">
      <w:r>
        <w:t xml:space="preserve">- Zakon o lokalnim izborima </w:t>
      </w:r>
    </w:p>
    <w:p w:rsidR="005C2091" w:rsidRDefault="00A86293">
      <w:r>
        <w:t>- Zakon o financiranju političkih aktivnosti i izborne promidžbe</w:t>
      </w:r>
    </w:p>
    <w:p w:rsidR="005C2091" w:rsidRDefault="00A86293">
      <w:pPr>
        <w:pStyle w:val="Heading8"/>
        <w:jc w:val="left"/>
      </w:pPr>
      <w:r>
        <w:t>Opis aktivnosti</w:t>
      </w:r>
    </w:p>
    <w:p w:rsidR="00505632" w:rsidRDefault="00A86293" w:rsidP="000B7958">
      <w:r>
        <w:t>Tijekom 2016. planirano je izvršenje mjera iz Akcijskog plana uz Strategiju suzbijanja korupcije za razdoblje 2015. – 2020. Ministarstva pravosuđa (Izrada i primjena softverske aplikacije za dostavu i objavu financijskih izvješća u provedbi nadzora financiranja političkih aktivnosti, izborne promidžbe i referendumske promidžbe), koja mjera nije izvršena budući da je izvršenje navedene mjere ovisilo o donošenju izmjena i dopuna Zakona o financiranju političkih aktivnosti i izborne promidžbe koje nisu stupile na snagu tijekom 2015.</w:t>
      </w:r>
    </w:p>
    <w:p w:rsidR="00A86293" w:rsidRDefault="00505632" w:rsidP="00D01DAA">
      <w:pPr>
        <w:overflowPunct/>
        <w:autoSpaceDE/>
        <w:autoSpaceDN/>
        <w:adjustRightInd/>
        <w:spacing w:after="200" w:line="276" w:lineRule="auto"/>
        <w:jc w:val="left"/>
        <w:textAlignment w:val="auto"/>
      </w:pPr>
      <w:r>
        <w:br w:type="page"/>
      </w:r>
    </w:p>
    <w:p w:rsidR="005C2091" w:rsidRDefault="00A86293">
      <w:pPr>
        <w:pStyle w:val="Heading1"/>
      </w:pPr>
      <w:r>
        <w:lastRenderedPageBreak/>
        <w:t>013 URED PREDSJEDNIKA REPUBLIKE HRVATSKE PO PRESTANKU OBNAŠANJA DUŽNOSTI</w:t>
      </w:r>
    </w:p>
    <w:p w:rsidR="005C2091" w:rsidRDefault="00A86293">
      <w:r>
        <w:t xml:space="preserve">Sukladno Zakonu o posebnim pravima predsjednika Republike Hrvatske po prestanku obnašanja dužnosti (Narodne Novine, 105/2004) te Uredbi o Uredu predsjednika Republike Hrvatske po prestanku obnašanja dužnosti (Narodne Novine, 134/2009) osnovan je Ured predsjednika Republike Hrvatske po prestanku obnašanja dužnosti. Ured kao stručna služba, obavlja službeničke, administrativne i ostale poslove isključivo za potrebe predsjednika Republike Hrvatske po prestanku obnašanja dužnosti.  </w:t>
      </w:r>
    </w:p>
    <w:p w:rsidR="005C2091" w:rsidRDefault="00A86293">
      <w:r>
        <w:t>Zakonom o izmjeni i dopuni Zakona o posebnim pravima predsjednika Republike Hrvatske po prestanku obnašanja dužnosti objavljeno u Narodnim novinama sa 30. svibnjem 2016. godine (Narodne novine, broj 49/16), prestaje financiranje Ureda predsjednika Republike Hrvatske po prestanku obnašanja dužnosti.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01305-Ured predsjednika Republike Hrvatske po prestanku obnašanja dužnosti</w:t>
            </w:r>
          </w:p>
        </w:tc>
        <w:tc>
          <w:tcPr>
            <w:tcW w:w="2041" w:type="dxa"/>
            <w:vAlign w:val="top"/>
          </w:tcPr>
          <w:p w:rsidR="005C2091" w:rsidRDefault="00A86293">
            <w:pPr>
              <w:pStyle w:val="CellColumn"/>
              <w:jc w:val="right"/>
            </w:pPr>
            <w:r>
              <w:rPr>
                <w:rFonts w:cs="Times New Roman"/>
              </w:rPr>
              <w:t>776.627</w:t>
            </w:r>
          </w:p>
        </w:tc>
        <w:tc>
          <w:tcPr>
            <w:tcW w:w="2041" w:type="dxa"/>
            <w:vAlign w:val="top"/>
          </w:tcPr>
          <w:p w:rsidR="005C2091" w:rsidRDefault="00A86293">
            <w:pPr>
              <w:pStyle w:val="CellColumn"/>
              <w:jc w:val="right"/>
            </w:pPr>
            <w:r>
              <w:rPr>
                <w:rFonts w:cs="Times New Roman"/>
              </w:rPr>
              <w:t>306.719</w:t>
            </w:r>
          </w:p>
        </w:tc>
        <w:tc>
          <w:tcPr>
            <w:tcW w:w="2041" w:type="dxa"/>
            <w:vAlign w:val="top"/>
          </w:tcPr>
          <w:p w:rsidR="005C2091" w:rsidRDefault="00A86293">
            <w:pPr>
              <w:pStyle w:val="CellColumn"/>
              <w:jc w:val="right"/>
            </w:pPr>
            <w:r>
              <w:rPr>
                <w:rFonts w:cs="Times New Roman"/>
              </w:rPr>
              <w:t>265.094</w:t>
            </w:r>
          </w:p>
        </w:tc>
        <w:tc>
          <w:tcPr>
            <w:tcW w:w="1224" w:type="dxa"/>
            <w:vAlign w:val="top"/>
          </w:tcPr>
          <w:p w:rsidR="005C2091" w:rsidRDefault="00A86293">
            <w:pPr>
              <w:pStyle w:val="CellColumn"/>
              <w:jc w:val="right"/>
            </w:pPr>
            <w:r>
              <w:rPr>
                <w:rFonts w:cs="Times New Roman"/>
              </w:rPr>
              <w:t>86,4</w:t>
            </w:r>
          </w:p>
        </w:tc>
        <w:tc>
          <w:tcPr>
            <w:tcW w:w="1224" w:type="dxa"/>
            <w:vAlign w:val="top"/>
          </w:tcPr>
          <w:p w:rsidR="005C2091" w:rsidRDefault="00A86293">
            <w:pPr>
              <w:pStyle w:val="CellColumn"/>
              <w:jc w:val="right"/>
            </w:pPr>
            <w:r>
              <w:rPr>
                <w:rFonts w:cs="Times New Roman"/>
              </w:rPr>
              <w:t>34,1</w:t>
            </w:r>
          </w:p>
        </w:tc>
      </w:tr>
      <w:tr w:rsidR="005C2091">
        <w:trPr>
          <w:jc w:val="center"/>
        </w:trPr>
        <w:tc>
          <w:tcPr>
            <w:tcW w:w="1632" w:type="dxa"/>
            <w:shd w:val="clear" w:color="auto" w:fill="B5C0D8"/>
          </w:tcPr>
          <w:p w:rsidR="005C2091" w:rsidRDefault="00A86293">
            <w:pPr>
              <w:pStyle w:val="CellColumn"/>
              <w:jc w:val="left"/>
            </w:pPr>
            <w:r>
              <w:rPr>
                <w:rFonts w:cs="Times New Roman"/>
              </w:rPr>
              <w:t>Ukupno 013-URED PREDSJEDNIKA REPUBLIKE HRVATSKE PO PRESTANKU OBNAŠANJA DUŽNOSTI</w:t>
            </w:r>
          </w:p>
        </w:tc>
        <w:tc>
          <w:tcPr>
            <w:tcW w:w="2041" w:type="dxa"/>
            <w:shd w:val="clear" w:color="auto" w:fill="B5C0D8"/>
          </w:tcPr>
          <w:p w:rsidR="005C2091" w:rsidRDefault="00A86293">
            <w:pPr>
              <w:pStyle w:val="CellColumn"/>
              <w:jc w:val="right"/>
            </w:pPr>
            <w:r>
              <w:rPr>
                <w:rFonts w:cs="Times New Roman"/>
              </w:rPr>
              <w:t>776.627</w:t>
            </w:r>
          </w:p>
        </w:tc>
        <w:tc>
          <w:tcPr>
            <w:tcW w:w="2041" w:type="dxa"/>
            <w:shd w:val="clear" w:color="auto" w:fill="B5C0D8"/>
          </w:tcPr>
          <w:p w:rsidR="005C2091" w:rsidRDefault="00A86293">
            <w:pPr>
              <w:pStyle w:val="CellColumn"/>
              <w:jc w:val="right"/>
            </w:pPr>
            <w:r>
              <w:rPr>
                <w:rFonts w:cs="Times New Roman"/>
              </w:rPr>
              <w:t>306.719</w:t>
            </w:r>
          </w:p>
        </w:tc>
        <w:tc>
          <w:tcPr>
            <w:tcW w:w="2041" w:type="dxa"/>
            <w:shd w:val="clear" w:color="auto" w:fill="B5C0D8"/>
          </w:tcPr>
          <w:p w:rsidR="005C2091" w:rsidRDefault="00A86293">
            <w:pPr>
              <w:pStyle w:val="CellColumn"/>
              <w:jc w:val="right"/>
            </w:pPr>
            <w:r>
              <w:rPr>
                <w:rFonts w:cs="Times New Roman"/>
              </w:rPr>
              <w:t>265.094</w:t>
            </w:r>
          </w:p>
        </w:tc>
        <w:tc>
          <w:tcPr>
            <w:tcW w:w="1224" w:type="dxa"/>
            <w:shd w:val="clear" w:color="auto" w:fill="B5C0D8"/>
          </w:tcPr>
          <w:p w:rsidR="005C2091" w:rsidRDefault="00A86293">
            <w:pPr>
              <w:pStyle w:val="CellColumn"/>
              <w:jc w:val="right"/>
            </w:pPr>
            <w:r>
              <w:rPr>
                <w:rFonts w:cs="Times New Roman"/>
              </w:rPr>
              <w:t>86,4</w:t>
            </w:r>
          </w:p>
        </w:tc>
        <w:tc>
          <w:tcPr>
            <w:tcW w:w="1224" w:type="dxa"/>
            <w:shd w:val="clear" w:color="auto" w:fill="B5C0D8"/>
          </w:tcPr>
          <w:p w:rsidR="005C2091" w:rsidRDefault="00A86293">
            <w:pPr>
              <w:pStyle w:val="CellColumn"/>
              <w:jc w:val="right"/>
            </w:pPr>
            <w:r>
              <w:rPr>
                <w:rFonts w:cs="Times New Roman"/>
              </w:rPr>
              <w:t>34,1</w:t>
            </w:r>
          </w:p>
        </w:tc>
      </w:tr>
    </w:tbl>
    <w:p w:rsidR="005C2091" w:rsidRDefault="005C2091">
      <w:pPr>
        <w:jc w:val="left"/>
      </w:pPr>
    </w:p>
    <w:p w:rsidR="005C2091" w:rsidRDefault="00A86293">
      <w:pPr>
        <w:pStyle w:val="Heading2"/>
      </w:pPr>
      <w:r>
        <w:t>01305 Ured predsjednika Republike Hrvatske po prestanku obnašanja dužnosti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01305-Ured predsjednika Republike Hrvatske po prestanku obnašanja dužnosti</w:t>
            </w:r>
          </w:p>
        </w:tc>
        <w:tc>
          <w:tcPr>
            <w:tcW w:w="2041" w:type="dxa"/>
            <w:vAlign w:val="top"/>
          </w:tcPr>
          <w:p w:rsidR="005C2091" w:rsidRDefault="00A86293">
            <w:pPr>
              <w:pStyle w:val="CellColumn"/>
              <w:jc w:val="right"/>
            </w:pPr>
            <w:r>
              <w:rPr>
                <w:rFonts w:cs="Times New Roman"/>
              </w:rPr>
              <w:t>776.627</w:t>
            </w:r>
          </w:p>
        </w:tc>
        <w:tc>
          <w:tcPr>
            <w:tcW w:w="2041" w:type="dxa"/>
            <w:vAlign w:val="top"/>
          </w:tcPr>
          <w:p w:rsidR="005C2091" w:rsidRDefault="00A86293">
            <w:pPr>
              <w:pStyle w:val="CellColumn"/>
              <w:jc w:val="right"/>
            </w:pPr>
            <w:r>
              <w:rPr>
                <w:rFonts w:cs="Times New Roman"/>
              </w:rPr>
              <w:t>306.719</w:t>
            </w:r>
          </w:p>
        </w:tc>
        <w:tc>
          <w:tcPr>
            <w:tcW w:w="2041" w:type="dxa"/>
            <w:vAlign w:val="top"/>
          </w:tcPr>
          <w:p w:rsidR="005C2091" w:rsidRDefault="00A86293">
            <w:pPr>
              <w:pStyle w:val="CellColumn"/>
              <w:jc w:val="right"/>
            </w:pPr>
            <w:r>
              <w:rPr>
                <w:rFonts w:cs="Times New Roman"/>
              </w:rPr>
              <w:t>265.094</w:t>
            </w:r>
          </w:p>
        </w:tc>
        <w:tc>
          <w:tcPr>
            <w:tcW w:w="1224" w:type="dxa"/>
            <w:vAlign w:val="top"/>
          </w:tcPr>
          <w:p w:rsidR="005C2091" w:rsidRDefault="00A86293">
            <w:pPr>
              <w:pStyle w:val="CellColumn"/>
              <w:jc w:val="right"/>
            </w:pPr>
            <w:r>
              <w:rPr>
                <w:rFonts w:cs="Times New Roman"/>
              </w:rPr>
              <w:t>86,4</w:t>
            </w:r>
          </w:p>
        </w:tc>
        <w:tc>
          <w:tcPr>
            <w:tcW w:w="1224" w:type="dxa"/>
            <w:vAlign w:val="top"/>
          </w:tcPr>
          <w:p w:rsidR="005C2091" w:rsidRDefault="00A86293">
            <w:pPr>
              <w:pStyle w:val="CellColumn"/>
              <w:jc w:val="right"/>
            </w:pPr>
            <w:r>
              <w:rPr>
                <w:rFonts w:cs="Times New Roman"/>
              </w:rPr>
              <w:t>34,1</w:t>
            </w:r>
          </w:p>
        </w:tc>
      </w:tr>
      <w:tr w:rsidR="005C2091">
        <w:trPr>
          <w:jc w:val="center"/>
        </w:trPr>
        <w:tc>
          <w:tcPr>
            <w:tcW w:w="1632" w:type="dxa"/>
          </w:tcPr>
          <w:p w:rsidR="005C2091" w:rsidRDefault="00A86293">
            <w:pPr>
              <w:jc w:val="left"/>
            </w:pPr>
            <w:r>
              <w:lastRenderedPageBreak/>
              <w:t>2105-DJELOVANJE PREDSJEDNIKA REPUBLIKE HRVATSKE PO PRESTANKU OBNAŠANJA DUŽNOSTI</w:t>
            </w:r>
          </w:p>
        </w:tc>
        <w:tc>
          <w:tcPr>
            <w:tcW w:w="2041" w:type="dxa"/>
          </w:tcPr>
          <w:p w:rsidR="005C2091" w:rsidRDefault="00A86293">
            <w:pPr>
              <w:jc w:val="right"/>
            </w:pPr>
            <w:r>
              <w:t>776.627</w:t>
            </w:r>
          </w:p>
        </w:tc>
        <w:tc>
          <w:tcPr>
            <w:tcW w:w="2041" w:type="dxa"/>
          </w:tcPr>
          <w:p w:rsidR="005C2091" w:rsidRDefault="00A86293">
            <w:pPr>
              <w:jc w:val="right"/>
            </w:pPr>
            <w:r>
              <w:t>306.719</w:t>
            </w:r>
          </w:p>
        </w:tc>
        <w:tc>
          <w:tcPr>
            <w:tcW w:w="2041" w:type="dxa"/>
          </w:tcPr>
          <w:p w:rsidR="005C2091" w:rsidRDefault="00A86293">
            <w:pPr>
              <w:jc w:val="right"/>
            </w:pPr>
            <w:r>
              <w:t>265.094</w:t>
            </w:r>
          </w:p>
        </w:tc>
        <w:tc>
          <w:tcPr>
            <w:tcW w:w="1224" w:type="dxa"/>
          </w:tcPr>
          <w:p w:rsidR="005C2091" w:rsidRDefault="00A86293">
            <w:pPr>
              <w:jc w:val="right"/>
            </w:pPr>
            <w:r>
              <w:t>86,4</w:t>
            </w:r>
          </w:p>
        </w:tc>
        <w:tc>
          <w:tcPr>
            <w:tcW w:w="1224" w:type="dxa"/>
          </w:tcPr>
          <w:p w:rsidR="005C2091" w:rsidRDefault="00A86293">
            <w:pPr>
              <w:jc w:val="right"/>
            </w:pPr>
            <w:r>
              <w:t>34,1</w:t>
            </w:r>
          </w:p>
        </w:tc>
      </w:tr>
    </w:tbl>
    <w:p w:rsidR="005C2091" w:rsidRDefault="005C2091">
      <w:pPr>
        <w:jc w:val="left"/>
      </w:pPr>
    </w:p>
    <w:p w:rsidR="005C2091" w:rsidRDefault="00A86293">
      <w:pPr>
        <w:pStyle w:val="Heading3"/>
      </w:pPr>
      <w:r>
        <w:rPr>
          <w:rFonts w:cs="Times New Roman"/>
        </w:rPr>
        <w:t>2105 DJELOVANJE PREDSJEDNIKA REPUBLIKE HRVATSKE PO PRESTANKU OBNAŠANJA DUŽNOSTI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2105-DJELOVANJE PREDSJEDNIKA REPUBLIKE HRVATSKE PO PRESTANKU OBNAŠANJA DUŽNOSTI</w:t>
            </w:r>
          </w:p>
        </w:tc>
        <w:tc>
          <w:tcPr>
            <w:tcW w:w="2041" w:type="dxa"/>
          </w:tcPr>
          <w:p w:rsidR="005C2091" w:rsidRDefault="00A86293">
            <w:pPr>
              <w:pStyle w:val="CellColumn"/>
              <w:jc w:val="right"/>
            </w:pPr>
            <w:r>
              <w:rPr>
                <w:rFonts w:cs="Times New Roman"/>
              </w:rPr>
              <w:t>776.627</w:t>
            </w:r>
          </w:p>
        </w:tc>
        <w:tc>
          <w:tcPr>
            <w:tcW w:w="2041" w:type="dxa"/>
          </w:tcPr>
          <w:p w:rsidR="005C2091" w:rsidRDefault="00A86293">
            <w:pPr>
              <w:pStyle w:val="CellColumn"/>
              <w:jc w:val="right"/>
            </w:pPr>
            <w:r>
              <w:rPr>
                <w:rFonts w:cs="Times New Roman"/>
              </w:rPr>
              <w:t>306.719</w:t>
            </w:r>
          </w:p>
        </w:tc>
        <w:tc>
          <w:tcPr>
            <w:tcW w:w="2041" w:type="dxa"/>
          </w:tcPr>
          <w:p w:rsidR="005C2091" w:rsidRDefault="00A86293">
            <w:pPr>
              <w:pStyle w:val="CellColumn"/>
              <w:jc w:val="right"/>
            </w:pPr>
            <w:r>
              <w:rPr>
                <w:rFonts w:cs="Times New Roman"/>
              </w:rPr>
              <w:t>265.094</w:t>
            </w:r>
          </w:p>
        </w:tc>
        <w:tc>
          <w:tcPr>
            <w:tcW w:w="1224" w:type="dxa"/>
          </w:tcPr>
          <w:p w:rsidR="005C2091" w:rsidRDefault="00A86293">
            <w:pPr>
              <w:pStyle w:val="CellColumn"/>
              <w:jc w:val="right"/>
            </w:pPr>
            <w:r>
              <w:rPr>
                <w:rFonts w:cs="Times New Roman"/>
              </w:rPr>
              <w:t>86,4</w:t>
            </w:r>
          </w:p>
        </w:tc>
        <w:tc>
          <w:tcPr>
            <w:tcW w:w="1224" w:type="dxa"/>
          </w:tcPr>
          <w:p w:rsidR="005C2091" w:rsidRDefault="00A86293">
            <w:pPr>
              <w:pStyle w:val="CellColumn"/>
              <w:jc w:val="right"/>
            </w:pPr>
            <w:r>
              <w:rPr>
                <w:rFonts w:cs="Times New Roman"/>
              </w:rPr>
              <w:t>34,1</w:t>
            </w:r>
          </w:p>
        </w:tc>
      </w:tr>
    </w:tbl>
    <w:p w:rsidR="005C2091" w:rsidRDefault="005C2091">
      <w:pPr>
        <w:jc w:val="left"/>
      </w:pPr>
    </w:p>
    <w:p w:rsidR="005C2091" w:rsidRDefault="00A86293">
      <w:r>
        <w:t>Obavljanjem službeničkih, administrativnih i ostalih poslova isključivo za potrebe predsjednika Republike Hrvatske po prestanku obnašanja dužnosti osigurava se nesmetano djelovanje bivšem predsjedniku u predstavljanju i zastupanju interesa Republike Hrvatske u zemlji i inozemstvu.</w:t>
      </w:r>
    </w:p>
    <w:p w:rsidR="005C2091" w:rsidRDefault="00A86293">
      <w:pPr>
        <w:pStyle w:val="Heading8"/>
        <w:jc w:val="left"/>
      </w:pPr>
      <w:r>
        <w:t xml:space="preserve">Cilj 1. Predstavljanje i zastupanje interesa RH u zemlji i inozemstvu </w:t>
      </w:r>
    </w:p>
    <w:p w:rsidR="005C2091" w:rsidRDefault="00A86293">
      <w:pPr>
        <w:pStyle w:val="Heading8"/>
        <w:jc w:val="left"/>
      </w:pPr>
      <w:r>
        <w:t>Opis provedbe cilja programa</w:t>
      </w:r>
    </w:p>
    <w:p w:rsidR="005C2091" w:rsidRDefault="00A86293">
      <w:r>
        <w:t>Omogućavanje bivšem predsjedniku Republike Hrvatske nastavak s korištenjem svojih razgranatih kontakata širom svijeta, kao i s aktivnošću u Hrvatskoj, kako bi pomogao promicanju ugleda Republike Hrvatske u međunarodnoj zajednici, prodoru hrvatskoga gospodarstva na strana tržišta, kao i privlačenju stranih investicija u Hrvatsku. Omogućavanje bivšem predsjedniku Republike Hrvatske nastavak aktivnog rada na promicanju slike o Republici Hrvatskoj, kao o demokratskoj državi, privrženoj uspostavljanju vladavine prava i borbi protiv korupcije, te poštivanju i ostvarivanju ljudskih prava, uključujući prava manjina. Omogućavanje bivšem predsjedniku Republike Hrvatske odazivanje pozivima na međunarodne skupove i na razgovore sa stranim državnicima, te da u Hrvatskoj bude domaćin političarima iz svijeta, a osobito gospodarskim izaslanstvima iz raznih zemalja, kao i da održava aktivne kontakte s diplomatskim zborom u Republici Hrvatskoj.</w:t>
      </w:r>
    </w:p>
    <w:p w:rsidR="005C2091" w:rsidRDefault="00A86293">
      <w:pPr>
        <w:pStyle w:val="Heading4"/>
      </w:pPr>
      <w:r>
        <w:t>A845001 ADMINISTRACIJA I UPRAVLJANJE</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A845001-ADMINISTRACIJA I UPRAVLJANJE</w:t>
            </w:r>
          </w:p>
        </w:tc>
        <w:tc>
          <w:tcPr>
            <w:tcW w:w="2041" w:type="dxa"/>
          </w:tcPr>
          <w:p w:rsidR="005C2091" w:rsidRDefault="00A86293">
            <w:pPr>
              <w:pStyle w:val="CellColumn"/>
              <w:jc w:val="right"/>
            </w:pPr>
            <w:r>
              <w:rPr>
                <w:rFonts w:cs="Times New Roman"/>
              </w:rPr>
              <w:t>771.733</w:t>
            </w:r>
          </w:p>
        </w:tc>
        <w:tc>
          <w:tcPr>
            <w:tcW w:w="2041" w:type="dxa"/>
          </w:tcPr>
          <w:p w:rsidR="005C2091" w:rsidRDefault="00A86293">
            <w:pPr>
              <w:pStyle w:val="CellColumn"/>
              <w:jc w:val="right"/>
            </w:pPr>
            <w:r>
              <w:rPr>
                <w:rFonts w:cs="Times New Roman"/>
              </w:rPr>
              <w:t>306.719</w:t>
            </w:r>
          </w:p>
        </w:tc>
        <w:tc>
          <w:tcPr>
            <w:tcW w:w="2041" w:type="dxa"/>
          </w:tcPr>
          <w:p w:rsidR="005C2091" w:rsidRDefault="00A86293">
            <w:pPr>
              <w:pStyle w:val="CellColumn"/>
              <w:jc w:val="right"/>
            </w:pPr>
            <w:r>
              <w:rPr>
                <w:rFonts w:cs="Times New Roman"/>
              </w:rPr>
              <w:t>265.094</w:t>
            </w:r>
          </w:p>
        </w:tc>
        <w:tc>
          <w:tcPr>
            <w:tcW w:w="1224" w:type="dxa"/>
          </w:tcPr>
          <w:p w:rsidR="005C2091" w:rsidRDefault="00A86293">
            <w:pPr>
              <w:pStyle w:val="CellColumn"/>
              <w:jc w:val="right"/>
            </w:pPr>
            <w:r>
              <w:rPr>
                <w:rFonts w:cs="Times New Roman"/>
              </w:rPr>
              <w:t>86,4</w:t>
            </w:r>
          </w:p>
        </w:tc>
        <w:tc>
          <w:tcPr>
            <w:tcW w:w="1224" w:type="dxa"/>
          </w:tcPr>
          <w:p w:rsidR="005C2091" w:rsidRDefault="00A86293">
            <w:pPr>
              <w:pStyle w:val="CellColumn"/>
              <w:jc w:val="right"/>
            </w:pPr>
            <w:r>
              <w:rPr>
                <w:rFonts w:cs="Times New Roman"/>
              </w:rPr>
              <w:t>34,4</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sidP="00A86293">
      <w:pPr>
        <w:spacing w:after="0"/>
      </w:pPr>
      <w:r>
        <w:t xml:space="preserve">- Zakon o pravima predsjednika Republike Hrvatske po prestanku obnašanja dužnosti  </w:t>
      </w:r>
    </w:p>
    <w:p w:rsidR="00A86293" w:rsidRDefault="00A86293" w:rsidP="00A86293">
      <w:pPr>
        <w:spacing w:after="0"/>
      </w:pPr>
      <w:r>
        <w:t>- Uredba o Uredu predsjednika Republike Hrvatske po prestanku obnašanja dužnosti</w:t>
      </w:r>
    </w:p>
    <w:p w:rsidR="00A86293" w:rsidRDefault="00A86293" w:rsidP="00A86293">
      <w:pPr>
        <w:spacing w:after="0"/>
      </w:pPr>
    </w:p>
    <w:p w:rsidR="005C2091" w:rsidRDefault="00A86293" w:rsidP="00A86293">
      <w:pPr>
        <w:pStyle w:val="Heading8"/>
        <w:spacing w:after="0"/>
        <w:jc w:val="left"/>
      </w:pPr>
      <w:r>
        <w:t>Opis aktivnosti</w:t>
      </w:r>
    </w:p>
    <w:p w:rsidR="005C2091" w:rsidRDefault="00A86293">
      <w:r>
        <w:t>Kroz aktivnost Administracija i upravljanje sredstva su utrošena za podmirenje osnovnih potreba za normalno funkcioniranje Ureda. To su aktivnosti posebno na području vanjske politike, ali i cjelokupna briga Ureda oko zgrade u Grškovićevoj ulici broj 13 koju je Ured dobio na korištenje od Državnog ureda za upravljanje državnom imovinom. U godini 2016. godini, osim brojnih susreta sa članovima diplomatskog zbora u Hrvatskoj, gospodin Mesić je bio u posjeti Italiji, Sloveniji, Rusiji, BiH, Azerbeđanu, Maroku, Turskoj, sudjelovao je na većem broju skupova posvećenih aktualnim problemima današnjeg svijeta i gospodarskim odnosima Hrvatske sa svijetom, te je održao brojna predavanja i u Hrvatskoj.</w:t>
      </w:r>
    </w:p>
    <w:p w:rsidR="009C22F9" w:rsidRDefault="009C22F9" w:rsidP="009C22F9">
      <w:pPr>
        <w:overflowPunct/>
        <w:autoSpaceDE/>
        <w:autoSpaceDN/>
        <w:adjustRightInd/>
        <w:spacing w:after="200" w:line="276" w:lineRule="auto"/>
        <w:jc w:val="left"/>
        <w:textAlignment w:val="auto"/>
      </w:pPr>
      <w:r>
        <w:br w:type="page"/>
      </w:r>
    </w:p>
    <w:p w:rsidR="005C2091" w:rsidRDefault="00A86293">
      <w:pPr>
        <w:pStyle w:val="Heading1"/>
      </w:pPr>
      <w:r>
        <w:lastRenderedPageBreak/>
        <w:t>015 URED PREDSJEDNICE REPUBLIKE HRVATSKE</w:t>
      </w:r>
    </w:p>
    <w:p w:rsidR="005C2091" w:rsidRDefault="00A86293">
      <w:r>
        <w:t xml:space="preserve">Odlukom o Uredu predsjednice Republike Hrvatske („Narodne novine“, broj 20/15, 81/16 i 116/16) određuje se da Ured predsjednice Republike Hrvatske, sukladno Ustavu Republike Hrvatske obavlja savjetodavne, analitičke, stručne i administrativne poslove za potrebe Predsjednice Republike Hrvatske (u daljnjem tekstu: Predsjednica Republike), a osobito: </w:t>
      </w:r>
    </w:p>
    <w:p w:rsidR="005C2091" w:rsidRDefault="00A86293">
      <w:r>
        <w:t xml:space="preserve">- poslove izrade materijala, stručnih podloga i analiza za provedbu politike Predsjednice Republike; </w:t>
      </w:r>
    </w:p>
    <w:p w:rsidR="005C2091" w:rsidRDefault="00A86293">
      <w:r>
        <w:t xml:space="preserve">- poslove koordinacije s Vladom Republike Hrvatske, Hrvatskim saborom i tijelima državne uprave; </w:t>
      </w:r>
    </w:p>
    <w:p w:rsidR="005C2091" w:rsidRDefault="00A86293">
      <w:r>
        <w:t xml:space="preserve">- poslove pripreme odluka i drugih akata koje donosi Predsjednica Republike; </w:t>
      </w:r>
    </w:p>
    <w:p w:rsidR="005C2091" w:rsidRDefault="00A86293">
      <w:r>
        <w:t xml:space="preserve">- protokolarne poslove i poslove stručne pripreme i organizacije posjeta Predsjednice Republike u zemlji i inozemstvu; </w:t>
      </w:r>
    </w:p>
    <w:p w:rsidR="005C2091" w:rsidRDefault="00A86293">
      <w:r>
        <w:t xml:space="preserve">- poslove izvješćivanja javnosti o politici i aktivnostima Predsjednice Republike; </w:t>
      </w:r>
    </w:p>
    <w:p w:rsidR="005C2091" w:rsidRDefault="00A86293">
      <w:r>
        <w:t xml:space="preserve">- poslove vezane uz predstavke i pritužbe građana; </w:t>
      </w:r>
    </w:p>
    <w:p w:rsidR="005C2091" w:rsidRDefault="00A86293">
      <w:r>
        <w:t>- druge poslove po nalogu Predsjednice Republike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01505-Ured Predsjednice Republike Hrvatske</w:t>
            </w:r>
          </w:p>
        </w:tc>
        <w:tc>
          <w:tcPr>
            <w:tcW w:w="2041" w:type="dxa"/>
            <w:vAlign w:val="top"/>
          </w:tcPr>
          <w:p w:rsidR="005C2091" w:rsidRDefault="00A86293">
            <w:pPr>
              <w:pStyle w:val="CellColumn"/>
              <w:jc w:val="right"/>
            </w:pPr>
            <w:r>
              <w:rPr>
                <w:rFonts w:cs="Times New Roman"/>
              </w:rPr>
              <w:t>36.363.911</w:t>
            </w:r>
          </w:p>
        </w:tc>
        <w:tc>
          <w:tcPr>
            <w:tcW w:w="2041" w:type="dxa"/>
            <w:vAlign w:val="top"/>
          </w:tcPr>
          <w:p w:rsidR="005C2091" w:rsidRDefault="00A86293">
            <w:pPr>
              <w:pStyle w:val="CellColumn"/>
              <w:jc w:val="right"/>
            </w:pPr>
            <w:r>
              <w:rPr>
                <w:rFonts w:cs="Times New Roman"/>
              </w:rPr>
              <w:t>37.555.465</w:t>
            </w:r>
          </w:p>
        </w:tc>
        <w:tc>
          <w:tcPr>
            <w:tcW w:w="2041" w:type="dxa"/>
            <w:vAlign w:val="top"/>
          </w:tcPr>
          <w:p w:rsidR="005C2091" w:rsidRDefault="00A86293">
            <w:pPr>
              <w:pStyle w:val="CellColumn"/>
              <w:jc w:val="right"/>
            </w:pPr>
            <w:r>
              <w:rPr>
                <w:rFonts w:cs="Times New Roman"/>
              </w:rPr>
              <w:t>33.980.930</w:t>
            </w:r>
          </w:p>
        </w:tc>
        <w:tc>
          <w:tcPr>
            <w:tcW w:w="1224" w:type="dxa"/>
            <w:vAlign w:val="top"/>
          </w:tcPr>
          <w:p w:rsidR="005C2091" w:rsidRDefault="00A86293">
            <w:pPr>
              <w:pStyle w:val="CellColumn"/>
              <w:jc w:val="right"/>
            </w:pPr>
            <w:r>
              <w:rPr>
                <w:rFonts w:cs="Times New Roman"/>
              </w:rPr>
              <w:t>90,5</w:t>
            </w:r>
          </w:p>
        </w:tc>
        <w:tc>
          <w:tcPr>
            <w:tcW w:w="1224" w:type="dxa"/>
            <w:vAlign w:val="top"/>
          </w:tcPr>
          <w:p w:rsidR="005C2091" w:rsidRDefault="00A86293">
            <w:pPr>
              <w:pStyle w:val="CellColumn"/>
              <w:jc w:val="right"/>
            </w:pPr>
            <w:r>
              <w:rPr>
                <w:rFonts w:cs="Times New Roman"/>
              </w:rPr>
              <w:t>93,4</w:t>
            </w:r>
          </w:p>
        </w:tc>
      </w:tr>
      <w:tr w:rsidR="005C2091">
        <w:trPr>
          <w:jc w:val="center"/>
        </w:trPr>
        <w:tc>
          <w:tcPr>
            <w:tcW w:w="1632" w:type="dxa"/>
            <w:shd w:val="clear" w:color="auto" w:fill="B5C0D8"/>
          </w:tcPr>
          <w:p w:rsidR="005C2091" w:rsidRDefault="00A86293">
            <w:pPr>
              <w:pStyle w:val="CellColumn"/>
              <w:jc w:val="left"/>
            </w:pPr>
            <w:r>
              <w:rPr>
                <w:rFonts w:cs="Times New Roman"/>
              </w:rPr>
              <w:t>Ukupno 015-URED PREDSJEDNICE REPUBLIKE HRVATSKE</w:t>
            </w:r>
          </w:p>
        </w:tc>
        <w:tc>
          <w:tcPr>
            <w:tcW w:w="2041" w:type="dxa"/>
            <w:shd w:val="clear" w:color="auto" w:fill="B5C0D8"/>
          </w:tcPr>
          <w:p w:rsidR="005C2091" w:rsidRDefault="00A86293">
            <w:pPr>
              <w:pStyle w:val="CellColumn"/>
              <w:jc w:val="right"/>
            </w:pPr>
            <w:r>
              <w:rPr>
                <w:rFonts w:cs="Times New Roman"/>
              </w:rPr>
              <w:t>36.363.911</w:t>
            </w:r>
          </w:p>
        </w:tc>
        <w:tc>
          <w:tcPr>
            <w:tcW w:w="2041" w:type="dxa"/>
            <w:shd w:val="clear" w:color="auto" w:fill="B5C0D8"/>
          </w:tcPr>
          <w:p w:rsidR="005C2091" w:rsidRDefault="00A86293">
            <w:pPr>
              <w:pStyle w:val="CellColumn"/>
              <w:jc w:val="right"/>
            </w:pPr>
            <w:r>
              <w:rPr>
                <w:rFonts w:cs="Times New Roman"/>
              </w:rPr>
              <w:t>37.555.465</w:t>
            </w:r>
          </w:p>
        </w:tc>
        <w:tc>
          <w:tcPr>
            <w:tcW w:w="2041" w:type="dxa"/>
            <w:shd w:val="clear" w:color="auto" w:fill="B5C0D8"/>
          </w:tcPr>
          <w:p w:rsidR="005C2091" w:rsidRDefault="00A86293">
            <w:pPr>
              <w:pStyle w:val="CellColumn"/>
              <w:jc w:val="right"/>
            </w:pPr>
            <w:r>
              <w:rPr>
                <w:rFonts w:cs="Times New Roman"/>
              </w:rPr>
              <w:t>33.980.930</w:t>
            </w:r>
          </w:p>
        </w:tc>
        <w:tc>
          <w:tcPr>
            <w:tcW w:w="1224" w:type="dxa"/>
            <w:shd w:val="clear" w:color="auto" w:fill="B5C0D8"/>
          </w:tcPr>
          <w:p w:rsidR="005C2091" w:rsidRDefault="00A86293">
            <w:pPr>
              <w:pStyle w:val="CellColumn"/>
              <w:jc w:val="right"/>
            </w:pPr>
            <w:r>
              <w:rPr>
                <w:rFonts w:cs="Times New Roman"/>
              </w:rPr>
              <w:t>90,5</w:t>
            </w:r>
          </w:p>
        </w:tc>
        <w:tc>
          <w:tcPr>
            <w:tcW w:w="1224" w:type="dxa"/>
            <w:shd w:val="clear" w:color="auto" w:fill="B5C0D8"/>
          </w:tcPr>
          <w:p w:rsidR="005C2091" w:rsidRDefault="00A86293">
            <w:pPr>
              <w:pStyle w:val="CellColumn"/>
              <w:jc w:val="right"/>
            </w:pPr>
            <w:r>
              <w:rPr>
                <w:rFonts w:cs="Times New Roman"/>
              </w:rPr>
              <w:t>93,4</w:t>
            </w:r>
          </w:p>
        </w:tc>
      </w:tr>
    </w:tbl>
    <w:p w:rsidR="005C2091" w:rsidRDefault="005C2091">
      <w:pPr>
        <w:jc w:val="left"/>
      </w:pPr>
    </w:p>
    <w:p w:rsidR="005C2091" w:rsidRDefault="00A86293">
      <w:pPr>
        <w:pStyle w:val="Heading2"/>
      </w:pPr>
      <w:r>
        <w:t>01505 Ured Predsjednice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01505-Ured Predsjednice Republike Hrvatske</w:t>
            </w:r>
          </w:p>
        </w:tc>
        <w:tc>
          <w:tcPr>
            <w:tcW w:w="2041" w:type="dxa"/>
            <w:vAlign w:val="top"/>
          </w:tcPr>
          <w:p w:rsidR="005C2091" w:rsidRDefault="00A86293">
            <w:pPr>
              <w:pStyle w:val="CellColumn"/>
              <w:jc w:val="right"/>
            </w:pPr>
            <w:r>
              <w:rPr>
                <w:rFonts w:cs="Times New Roman"/>
              </w:rPr>
              <w:t>36.363.911</w:t>
            </w:r>
          </w:p>
        </w:tc>
        <w:tc>
          <w:tcPr>
            <w:tcW w:w="2041" w:type="dxa"/>
            <w:vAlign w:val="top"/>
          </w:tcPr>
          <w:p w:rsidR="005C2091" w:rsidRDefault="00A86293">
            <w:pPr>
              <w:pStyle w:val="CellColumn"/>
              <w:jc w:val="right"/>
            </w:pPr>
            <w:r>
              <w:rPr>
                <w:rFonts w:cs="Times New Roman"/>
              </w:rPr>
              <w:t>37.555.465</w:t>
            </w:r>
          </w:p>
        </w:tc>
        <w:tc>
          <w:tcPr>
            <w:tcW w:w="2041" w:type="dxa"/>
            <w:vAlign w:val="top"/>
          </w:tcPr>
          <w:p w:rsidR="005C2091" w:rsidRDefault="00A86293">
            <w:pPr>
              <w:pStyle w:val="CellColumn"/>
              <w:jc w:val="right"/>
            </w:pPr>
            <w:r>
              <w:rPr>
                <w:rFonts w:cs="Times New Roman"/>
              </w:rPr>
              <w:t>33.980.930</w:t>
            </w:r>
          </w:p>
        </w:tc>
        <w:tc>
          <w:tcPr>
            <w:tcW w:w="1224" w:type="dxa"/>
            <w:vAlign w:val="top"/>
          </w:tcPr>
          <w:p w:rsidR="005C2091" w:rsidRDefault="00A86293">
            <w:pPr>
              <w:pStyle w:val="CellColumn"/>
              <w:jc w:val="right"/>
            </w:pPr>
            <w:r>
              <w:rPr>
                <w:rFonts w:cs="Times New Roman"/>
              </w:rPr>
              <w:t>90,5</w:t>
            </w:r>
          </w:p>
        </w:tc>
        <w:tc>
          <w:tcPr>
            <w:tcW w:w="1224" w:type="dxa"/>
            <w:vAlign w:val="top"/>
          </w:tcPr>
          <w:p w:rsidR="005C2091" w:rsidRDefault="00A86293">
            <w:pPr>
              <w:pStyle w:val="CellColumn"/>
              <w:jc w:val="right"/>
            </w:pPr>
            <w:r>
              <w:rPr>
                <w:rFonts w:cs="Times New Roman"/>
              </w:rPr>
              <w:t>93,4</w:t>
            </w:r>
          </w:p>
        </w:tc>
      </w:tr>
      <w:tr w:rsidR="005C2091">
        <w:trPr>
          <w:jc w:val="center"/>
        </w:trPr>
        <w:tc>
          <w:tcPr>
            <w:tcW w:w="1632" w:type="dxa"/>
          </w:tcPr>
          <w:p w:rsidR="005C2091" w:rsidRDefault="00A86293">
            <w:pPr>
              <w:jc w:val="left"/>
            </w:pPr>
            <w:r>
              <w:t>2104-DJELOVANJE PREDSJEDNICE REPUBLIKE HRVATSKE</w:t>
            </w:r>
          </w:p>
        </w:tc>
        <w:tc>
          <w:tcPr>
            <w:tcW w:w="2041" w:type="dxa"/>
          </w:tcPr>
          <w:p w:rsidR="005C2091" w:rsidRDefault="00A86293">
            <w:pPr>
              <w:jc w:val="right"/>
            </w:pPr>
            <w:r>
              <w:t>36.363.911</w:t>
            </w:r>
          </w:p>
        </w:tc>
        <w:tc>
          <w:tcPr>
            <w:tcW w:w="2041" w:type="dxa"/>
          </w:tcPr>
          <w:p w:rsidR="005C2091" w:rsidRDefault="00A86293">
            <w:pPr>
              <w:jc w:val="right"/>
            </w:pPr>
            <w:r>
              <w:t>37.555.465</w:t>
            </w:r>
          </w:p>
        </w:tc>
        <w:tc>
          <w:tcPr>
            <w:tcW w:w="2041" w:type="dxa"/>
          </w:tcPr>
          <w:p w:rsidR="005C2091" w:rsidRDefault="00A86293">
            <w:pPr>
              <w:jc w:val="right"/>
            </w:pPr>
            <w:r>
              <w:t>33.980.930</w:t>
            </w:r>
          </w:p>
        </w:tc>
        <w:tc>
          <w:tcPr>
            <w:tcW w:w="1224" w:type="dxa"/>
          </w:tcPr>
          <w:p w:rsidR="005C2091" w:rsidRDefault="00A86293">
            <w:pPr>
              <w:jc w:val="right"/>
            </w:pPr>
            <w:r>
              <w:t>90,5</w:t>
            </w:r>
          </w:p>
        </w:tc>
        <w:tc>
          <w:tcPr>
            <w:tcW w:w="1224" w:type="dxa"/>
          </w:tcPr>
          <w:p w:rsidR="005C2091" w:rsidRDefault="00A86293">
            <w:pPr>
              <w:jc w:val="right"/>
            </w:pPr>
            <w:r>
              <w:t>93,4</w:t>
            </w:r>
          </w:p>
        </w:tc>
      </w:tr>
    </w:tbl>
    <w:p w:rsidR="005C2091" w:rsidRDefault="005C2091">
      <w:pPr>
        <w:jc w:val="left"/>
      </w:pPr>
    </w:p>
    <w:p w:rsidR="005C2091" w:rsidRDefault="00A86293">
      <w:pPr>
        <w:pStyle w:val="Heading3"/>
      </w:pPr>
      <w:r>
        <w:rPr>
          <w:rFonts w:cs="Times New Roman"/>
        </w:rPr>
        <w:lastRenderedPageBreak/>
        <w:t>2104 DJELOVANJE PREDSJEDNICE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2104-DJELOVANJE PREDSJEDNICE REPUBLIKE HRVATSKE</w:t>
            </w:r>
          </w:p>
        </w:tc>
        <w:tc>
          <w:tcPr>
            <w:tcW w:w="2041" w:type="dxa"/>
          </w:tcPr>
          <w:p w:rsidR="005C2091" w:rsidRDefault="00A86293">
            <w:pPr>
              <w:pStyle w:val="CellColumn"/>
              <w:jc w:val="right"/>
            </w:pPr>
            <w:r>
              <w:rPr>
                <w:rFonts w:cs="Times New Roman"/>
              </w:rPr>
              <w:t>36.363.911</w:t>
            </w:r>
          </w:p>
        </w:tc>
        <w:tc>
          <w:tcPr>
            <w:tcW w:w="2041" w:type="dxa"/>
          </w:tcPr>
          <w:p w:rsidR="005C2091" w:rsidRDefault="00A86293">
            <w:pPr>
              <w:pStyle w:val="CellColumn"/>
              <w:jc w:val="right"/>
            </w:pPr>
            <w:r>
              <w:rPr>
                <w:rFonts w:cs="Times New Roman"/>
              </w:rPr>
              <w:t>37.555.465</w:t>
            </w:r>
          </w:p>
        </w:tc>
        <w:tc>
          <w:tcPr>
            <w:tcW w:w="2041" w:type="dxa"/>
          </w:tcPr>
          <w:p w:rsidR="005C2091" w:rsidRDefault="00A86293">
            <w:pPr>
              <w:pStyle w:val="CellColumn"/>
              <w:jc w:val="right"/>
            </w:pPr>
            <w:r>
              <w:rPr>
                <w:rFonts w:cs="Times New Roman"/>
              </w:rPr>
              <w:t>33.980.930</w:t>
            </w:r>
          </w:p>
        </w:tc>
        <w:tc>
          <w:tcPr>
            <w:tcW w:w="1224" w:type="dxa"/>
          </w:tcPr>
          <w:p w:rsidR="005C2091" w:rsidRDefault="00A86293">
            <w:pPr>
              <w:pStyle w:val="CellColumn"/>
              <w:jc w:val="right"/>
            </w:pPr>
            <w:r>
              <w:rPr>
                <w:rFonts w:cs="Times New Roman"/>
              </w:rPr>
              <w:t>90,5</w:t>
            </w:r>
          </w:p>
        </w:tc>
        <w:tc>
          <w:tcPr>
            <w:tcW w:w="1224" w:type="dxa"/>
          </w:tcPr>
          <w:p w:rsidR="005C2091" w:rsidRDefault="00A86293">
            <w:pPr>
              <w:pStyle w:val="CellColumn"/>
              <w:jc w:val="right"/>
            </w:pPr>
            <w:r>
              <w:rPr>
                <w:rFonts w:cs="Times New Roman"/>
              </w:rPr>
              <w:t>93,4</w:t>
            </w:r>
          </w:p>
        </w:tc>
      </w:tr>
    </w:tbl>
    <w:p w:rsidR="005C2091" w:rsidRDefault="005C2091">
      <w:pPr>
        <w:jc w:val="left"/>
      </w:pPr>
    </w:p>
    <w:p w:rsidR="005C2091" w:rsidRDefault="00A86293">
      <w:r>
        <w:t>Ovlasti Predsjednice Republike Hrvatske utvrđene su ustavnim odredbama te nizom posebnih zakona. Predsjednica Republike Hrvatske predstavlja i zastupa Republiku Hrvatsku u zemlji i inozemstvu, brine se za redovito i usklađeno djelovanje te za stabilnost državne vlasti, odgovara za obranu neovisnosti i teritorijalne cjelovitosti Republike Hrvatske, raspisuje izbore za Hrvatski sabor i saziva ga na prvo zasjedanje, raspisuje referendum u skladu s Ustavom, povjerava mandat za sastavljanje Vlade osobi koja uživa povjerenje većine svih zastupnika u Hrvatskom saboru, daje pomilovanja, dodjeljuje odlikovanja i priznanja određena zakonom te obavlja druge dužnosti određene Ustavom.</w:t>
      </w:r>
    </w:p>
    <w:p w:rsidR="005C2091" w:rsidRDefault="00A86293">
      <w:pPr>
        <w:pStyle w:val="Heading8"/>
        <w:jc w:val="left"/>
      </w:pPr>
      <w:r>
        <w:t>Cilj 1. Učinkovita koordinacija u pružanju potpore Predsjednici Republike</w:t>
      </w:r>
    </w:p>
    <w:p w:rsidR="005C2091" w:rsidRDefault="00A86293">
      <w:pPr>
        <w:pStyle w:val="Heading8"/>
        <w:jc w:val="left"/>
      </w:pPr>
      <w:r>
        <w:t>Opis provedbe cilja programa</w:t>
      </w:r>
    </w:p>
    <w:p w:rsidR="005C2091" w:rsidRDefault="00A86293">
      <w:r>
        <w:t>Sukladno navedenom programu, Ured predsjednice Republike Hrvatske je u 2016. godini nastavio obavljati poslove koji su navedeni u Uvodu, a koji su temeljem Ustava i zakona stavljeni u nadležnost Predsjednice Republike Hrvatske.</w:t>
      </w:r>
    </w:p>
    <w:p w:rsidR="005C2091" w:rsidRDefault="00A86293">
      <w:pPr>
        <w:pStyle w:val="Heading4"/>
      </w:pPr>
      <w:r>
        <w:t>A504000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A504000-ADMINISTRACIJA I UPRAVLJANJE</w:t>
            </w:r>
          </w:p>
        </w:tc>
        <w:tc>
          <w:tcPr>
            <w:tcW w:w="2041" w:type="dxa"/>
          </w:tcPr>
          <w:p w:rsidR="005C2091" w:rsidRDefault="00A86293">
            <w:pPr>
              <w:pStyle w:val="CellColumn"/>
              <w:jc w:val="right"/>
            </w:pPr>
            <w:r>
              <w:rPr>
                <w:rFonts w:cs="Times New Roman"/>
              </w:rPr>
              <w:t>28.432.756</w:t>
            </w:r>
          </w:p>
        </w:tc>
        <w:tc>
          <w:tcPr>
            <w:tcW w:w="2041" w:type="dxa"/>
          </w:tcPr>
          <w:p w:rsidR="005C2091" w:rsidRDefault="00A86293">
            <w:pPr>
              <w:pStyle w:val="CellColumn"/>
              <w:jc w:val="right"/>
            </w:pPr>
            <w:r>
              <w:rPr>
                <w:rFonts w:cs="Times New Roman"/>
              </w:rPr>
              <w:t>28.777.465</w:t>
            </w:r>
          </w:p>
        </w:tc>
        <w:tc>
          <w:tcPr>
            <w:tcW w:w="2041" w:type="dxa"/>
          </w:tcPr>
          <w:p w:rsidR="005C2091" w:rsidRDefault="00A86293">
            <w:pPr>
              <w:pStyle w:val="CellColumn"/>
              <w:jc w:val="right"/>
            </w:pPr>
            <w:r>
              <w:rPr>
                <w:rFonts w:cs="Times New Roman"/>
              </w:rPr>
              <w:t>27.048.698</w:t>
            </w:r>
          </w:p>
        </w:tc>
        <w:tc>
          <w:tcPr>
            <w:tcW w:w="1224" w:type="dxa"/>
          </w:tcPr>
          <w:p w:rsidR="005C2091" w:rsidRDefault="00A86293">
            <w:pPr>
              <w:pStyle w:val="CellColumn"/>
              <w:jc w:val="right"/>
            </w:pPr>
            <w:r>
              <w:rPr>
                <w:rFonts w:cs="Times New Roman"/>
              </w:rPr>
              <w:t>94,0</w:t>
            </w:r>
          </w:p>
        </w:tc>
        <w:tc>
          <w:tcPr>
            <w:tcW w:w="1224" w:type="dxa"/>
          </w:tcPr>
          <w:p w:rsidR="005C2091" w:rsidRDefault="00A86293">
            <w:pPr>
              <w:pStyle w:val="CellColumn"/>
              <w:jc w:val="right"/>
            </w:pPr>
            <w:r>
              <w:rPr>
                <w:rFonts w:cs="Times New Roman"/>
              </w:rPr>
              <w:t>95,1</w:t>
            </w:r>
          </w:p>
        </w:tc>
      </w:tr>
    </w:tbl>
    <w:p w:rsidR="005C2091" w:rsidRDefault="005C2091">
      <w:pPr>
        <w:jc w:val="left"/>
      </w:pPr>
    </w:p>
    <w:p w:rsidR="005C2091" w:rsidRDefault="00A86293">
      <w:pPr>
        <w:pStyle w:val="Heading8"/>
        <w:jc w:val="left"/>
      </w:pPr>
      <w:r>
        <w:t>Zakonske i druge pravne osnove</w:t>
      </w:r>
    </w:p>
    <w:p w:rsidR="005C2091" w:rsidRDefault="00A86293">
      <w:r>
        <w:t xml:space="preserve">- Ustav Republike Hrvatske </w:t>
      </w:r>
    </w:p>
    <w:p w:rsidR="005C2091" w:rsidRDefault="00A86293">
      <w:r>
        <w:t xml:space="preserve">- Odluka o Uredu predsjednice Republike Hrvatske </w:t>
      </w:r>
    </w:p>
    <w:p w:rsidR="005C2091" w:rsidRDefault="00A86293">
      <w:r>
        <w:t xml:space="preserve">- Zakon o vanjskim poslovima </w:t>
      </w:r>
    </w:p>
    <w:p w:rsidR="005C2091" w:rsidRDefault="00A86293">
      <w:r>
        <w:t xml:space="preserve">- Zakon o Oružanim snagama Republike Hrvatske </w:t>
      </w:r>
    </w:p>
    <w:p w:rsidR="005C2091" w:rsidRDefault="00A86293">
      <w:r>
        <w:t xml:space="preserve">- Zakon o obrani </w:t>
      </w:r>
    </w:p>
    <w:p w:rsidR="005C2091" w:rsidRDefault="00A86293">
      <w:r>
        <w:t xml:space="preserve">- Zakon o sigurnosno-obavještajnom sustavu Republike Hrvatske </w:t>
      </w:r>
    </w:p>
    <w:p w:rsidR="005C2091" w:rsidRDefault="00A86293">
      <w:r>
        <w:t xml:space="preserve">- Zakon o odlikovanjima i priznanjima Republike Hrvatske </w:t>
      </w:r>
    </w:p>
    <w:p w:rsidR="005C2091" w:rsidRDefault="00A86293">
      <w:r>
        <w:t xml:space="preserve">- Zakon o pomilovanju </w:t>
      </w:r>
    </w:p>
    <w:p w:rsidR="005C2091" w:rsidRDefault="00A86293">
      <w:r>
        <w:t xml:space="preserve">- Ustavni zakon o Ustavnom sudu Republike Hrvatske </w:t>
      </w:r>
    </w:p>
    <w:p w:rsidR="005C2091" w:rsidRDefault="00A86293">
      <w:r>
        <w:t xml:space="preserve">- Zakon o izborima zastupnika u Hrvatski sabor </w:t>
      </w:r>
    </w:p>
    <w:p w:rsidR="005C2091" w:rsidRDefault="00A86293">
      <w:r>
        <w:t xml:space="preserve">- Zakon o izborima zastupnika u Europski parlament iz Republike Hrvatske </w:t>
      </w:r>
    </w:p>
    <w:p w:rsidR="005C2091" w:rsidRDefault="00A86293">
      <w:r>
        <w:lastRenderedPageBreak/>
        <w:t xml:space="preserve">- Zakon o sklapanju i izvršavanju međunarodnih ugovora </w:t>
      </w:r>
    </w:p>
    <w:p w:rsidR="005C2091" w:rsidRDefault="00A86293">
      <w:r>
        <w:t xml:space="preserve">- Zakon o Vladi Republike Hrvatske </w:t>
      </w:r>
    </w:p>
    <w:p w:rsidR="005C2091" w:rsidRDefault="00A86293">
      <w:r>
        <w:t xml:space="preserve">- Zakon o sudovima </w:t>
      </w:r>
    </w:p>
    <w:p w:rsidR="005C2091" w:rsidRDefault="00A86293">
      <w:r>
        <w:t>- Zakon o pravima iz mirovinskog osiguranja djelatnih vojnih osoba, policijskih službenika i ovlaštenih službenih osoba</w:t>
      </w:r>
    </w:p>
    <w:p w:rsidR="005C2091" w:rsidRDefault="00A86293">
      <w:pPr>
        <w:pStyle w:val="Heading8"/>
        <w:jc w:val="left"/>
      </w:pPr>
      <w:r>
        <w:t>Opis aktivnosti</w:t>
      </w:r>
    </w:p>
    <w:p w:rsidR="005C2091" w:rsidRDefault="00A86293">
      <w:r>
        <w:t>Na aktivnosti A504000 Administracija i upravljanje utrošena su sredstva za podmirenje osnovnih potreba za redovito funkcioniranje Ureda predsjednice Republike Hrvatske u obavljanju savjetodavnih, analitičkih, administrativnih, stručnih i drugih poslova pripreme i provođenja odluka i akata koje donosi Predsjednica Republike Hrvatske.</w:t>
      </w:r>
    </w:p>
    <w:p w:rsidR="005C2091" w:rsidRDefault="00A86293">
      <w:pPr>
        <w:pStyle w:val="Heading4"/>
      </w:pPr>
      <w:r>
        <w:t>A504001 TEHNIČKI I POMOĆNI POSLOVI UREDA PREDSJEDNICE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A504001-TEHNIČKI I POMOĆNI POSLOVI UREDA PREDSJEDNICE</w:t>
            </w:r>
          </w:p>
        </w:tc>
        <w:tc>
          <w:tcPr>
            <w:tcW w:w="2041" w:type="dxa"/>
          </w:tcPr>
          <w:p w:rsidR="005C2091" w:rsidRDefault="00A86293">
            <w:pPr>
              <w:pStyle w:val="CellColumn"/>
              <w:jc w:val="right"/>
            </w:pPr>
            <w:r>
              <w:rPr>
                <w:rFonts w:cs="Times New Roman"/>
              </w:rPr>
              <w:t>7.187.769</w:t>
            </w:r>
          </w:p>
        </w:tc>
        <w:tc>
          <w:tcPr>
            <w:tcW w:w="2041" w:type="dxa"/>
          </w:tcPr>
          <w:p w:rsidR="005C2091" w:rsidRDefault="00A86293">
            <w:pPr>
              <w:pStyle w:val="CellColumn"/>
              <w:jc w:val="right"/>
            </w:pPr>
            <w:r>
              <w:rPr>
                <w:rFonts w:cs="Times New Roman"/>
              </w:rPr>
              <w:t>8.006.000</w:t>
            </w:r>
          </w:p>
        </w:tc>
        <w:tc>
          <w:tcPr>
            <w:tcW w:w="2041" w:type="dxa"/>
          </w:tcPr>
          <w:p w:rsidR="005C2091" w:rsidRDefault="00A86293">
            <w:pPr>
              <w:pStyle w:val="CellColumn"/>
              <w:jc w:val="right"/>
            </w:pPr>
            <w:r>
              <w:rPr>
                <w:rFonts w:cs="Times New Roman"/>
              </w:rPr>
              <w:t>6.229.407</w:t>
            </w:r>
          </w:p>
        </w:tc>
        <w:tc>
          <w:tcPr>
            <w:tcW w:w="1224" w:type="dxa"/>
          </w:tcPr>
          <w:p w:rsidR="005C2091" w:rsidRDefault="00A86293">
            <w:pPr>
              <w:pStyle w:val="CellColumn"/>
              <w:jc w:val="right"/>
            </w:pPr>
            <w:r>
              <w:rPr>
                <w:rFonts w:cs="Times New Roman"/>
              </w:rPr>
              <w:t>77,8</w:t>
            </w:r>
          </w:p>
        </w:tc>
        <w:tc>
          <w:tcPr>
            <w:tcW w:w="1224" w:type="dxa"/>
          </w:tcPr>
          <w:p w:rsidR="005C2091" w:rsidRDefault="00A86293">
            <w:pPr>
              <w:pStyle w:val="CellColumn"/>
              <w:jc w:val="right"/>
            </w:pPr>
            <w:r>
              <w:rPr>
                <w:rFonts w:cs="Times New Roman"/>
              </w:rPr>
              <w:t>86,7</w:t>
            </w:r>
          </w:p>
        </w:tc>
      </w:tr>
    </w:tbl>
    <w:p w:rsidR="005C2091" w:rsidRDefault="005C2091">
      <w:pPr>
        <w:jc w:val="left"/>
      </w:pPr>
    </w:p>
    <w:p w:rsidR="005C2091" w:rsidRDefault="00A86293">
      <w:pPr>
        <w:pStyle w:val="Heading8"/>
        <w:jc w:val="left"/>
      </w:pPr>
      <w:r>
        <w:t>Zakonske i druge pravne osnove</w:t>
      </w:r>
    </w:p>
    <w:p w:rsidR="005C2091" w:rsidRDefault="00A86293">
      <w:r>
        <w:t xml:space="preserve">- Ustav Republike Hrvatske </w:t>
      </w:r>
    </w:p>
    <w:p w:rsidR="005C2091" w:rsidRDefault="00A86293">
      <w:r>
        <w:t xml:space="preserve">- Odluka o Uredu predsjednice Republike Hrvatske </w:t>
      </w:r>
    </w:p>
    <w:p w:rsidR="005C2091" w:rsidRDefault="00A86293">
      <w:r>
        <w:t xml:space="preserve">- Zakon o vanjskim poslovima </w:t>
      </w:r>
    </w:p>
    <w:p w:rsidR="005C2091" w:rsidRDefault="00A86293">
      <w:r>
        <w:t xml:space="preserve">- Zakon o Oružanim snagama Republike Hrvatske </w:t>
      </w:r>
    </w:p>
    <w:p w:rsidR="005C2091" w:rsidRDefault="00A86293">
      <w:r>
        <w:t xml:space="preserve">- Zakon o obrani </w:t>
      </w:r>
    </w:p>
    <w:p w:rsidR="005C2091" w:rsidRDefault="00A86293">
      <w:r>
        <w:t xml:space="preserve">- Zakon o sigurnosno-obavještajnom sustavu Republike Hrvatske </w:t>
      </w:r>
    </w:p>
    <w:p w:rsidR="005C2091" w:rsidRDefault="00A86293">
      <w:r>
        <w:t xml:space="preserve">- Zakon o odlikovanjima i priznanjima Republike Hrvatske </w:t>
      </w:r>
    </w:p>
    <w:p w:rsidR="005C2091" w:rsidRDefault="00A86293">
      <w:r>
        <w:t xml:space="preserve">- Zakon o pomilovanju </w:t>
      </w:r>
    </w:p>
    <w:p w:rsidR="005C2091" w:rsidRDefault="00A86293">
      <w:r>
        <w:t xml:space="preserve">- Ustavni zakon o Ustavnom sudu Republike Hrvatske </w:t>
      </w:r>
    </w:p>
    <w:p w:rsidR="005C2091" w:rsidRDefault="00A86293">
      <w:r>
        <w:t xml:space="preserve">- Zakon o izborima zastupnika u Hrvatski sabor </w:t>
      </w:r>
    </w:p>
    <w:p w:rsidR="005C2091" w:rsidRDefault="00A86293">
      <w:r>
        <w:t xml:space="preserve">- Zakon o izborima zastupnika u Europski parlament iz Republike Hrvatske </w:t>
      </w:r>
    </w:p>
    <w:p w:rsidR="005C2091" w:rsidRDefault="00A86293">
      <w:r>
        <w:t xml:space="preserve">- Zakon o sklapanju i izvršavanju međunarodnih ugovora </w:t>
      </w:r>
    </w:p>
    <w:p w:rsidR="005C2091" w:rsidRDefault="00A86293">
      <w:r>
        <w:t xml:space="preserve">- Zakon o Vladi Republike Hrvatske </w:t>
      </w:r>
    </w:p>
    <w:p w:rsidR="005C2091" w:rsidRDefault="00A86293">
      <w:r>
        <w:t xml:space="preserve">- Zakon o sudovima </w:t>
      </w:r>
    </w:p>
    <w:p w:rsidR="005C2091" w:rsidRDefault="00A86293">
      <w:r>
        <w:t>- Zakon o pravima iz mirovinskog osiguranja djelatnih vojnih osoba, policijskih službenika i ovlaštenih službenih osoba</w:t>
      </w:r>
    </w:p>
    <w:p w:rsidR="005C2091" w:rsidRDefault="00A86293">
      <w:pPr>
        <w:pStyle w:val="Heading8"/>
        <w:jc w:val="left"/>
      </w:pPr>
      <w:r>
        <w:t>Opis aktivnosti</w:t>
      </w:r>
    </w:p>
    <w:p w:rsidR="005C2091" w:rsidRDefault="00A86293">
      <w:r>
        <w:t xml:space="preserve">Na aktivnosti A504001 Tehnički i pomoćni poslovi Ureda predsjednice utrošena su sredstva za obavljanje tehničkih, pomoćnih i drugih stručnih poslova koji se odnose na opremanje i uređenje Ureda, izradu planova i projekcija godišnjih investicijskih projekata, obavljanje poslova tekućeg i investicijskog održavanja objekata i uredskih prostora kojima upravlja Ured, vođenje zbirke umjetnina u vlasništvu Ureda te umjetnina posuđenih od </w:t>
      </w:r>
      <w:r>
        <w:lastRenderedPageBreak/>
        <w:t>galerija, muzeja, umjetnika, vođenje dokumentacije o objektima i imovini o kojoj skrbi Ured, poslove održavanja zelenih površina, instalacija, interijera.</w:t>
      </w:r>
    </w:p>
    <w:p w:rsidR="00424090" w:rsidRDefault="00424090" w:rsidP="00424090">
      <w:pPr>
        <w:overflowPunct/>
        <w:autoSpaceDE/>
        <w:autoSpaceDN/>
        <w:adjustRightInd/>
        <w:spacing w:after="200" w:line="276" w:lineRule="auto"/>
        <w:jc w:val="left"/>
        <w:textAlignment w:val="auto"/>
      </w:pPr>
      <w:r>
        <w:br w:type="page"/>
      </w:r>
    </w:p>
    <w:p w:rsidR="005C2091" w:rsidRDefault="00A86293">
      <w:pPr>
        <w:pStyle w:val="Heading1"/>
      </w:pPr>
      <w:r>
        <w:lastRenderedPageBreak/>
        <w:t>017 USTAVNI SUD REPUBLIKE HRVATSKE</w:t>
      </w:r>
    </w:p>
    <w:p w:rsidR="005C2091" w:rsidRDefault="00A86293">
      <w:r>
        <w:t xml:space="preserve">Ustavni sud Republike Hrvatske (USRH) najviše je ustavno tijelo kojeg je osnovna djelatnost usmjerena na osiguravanje ustavnog poretka i vladavinu prava s naročitim naglaskom na zaštitu ljudskih prava i temeljnih sloboda građana sukladno odredbama Ustava Republike Hrvatske (Ustav). </w:t>
      </w:r>
    </w:p>
    <w:p w:rsidR="005C2091" w:rsidRDefault="00A86293">
      <w:r>
        <w:t xml:space="preserve">Postupci pred USRH-om i način izvršavanja njegovih zadaća utvrđeni su Ustavnim zakonom o Ustavnom sudu Republike Hrvatske koji ima snagu samog Ustava. USRH svoje djelovanje temelji isključivo na odredbama Ustava i Ustavnog zakona o Ustavnom sudu Republike Hrvatske. </w:t>
      </w:r>
    </w:p>
    <w:p w:rsidR="005C2091" w:rsidRDefault="00A86293">
      <w:r>
        <w:t xml:space="preserve">Osnovni cilj ustavnog sudovanja jest osiguravanje poštovanja supremacije Ustava te razvitak načela vladavine prava i pravne sigurnosti kroz kontrolu ustavnosti zakona koje donosi Hrvatski sabor te drugih propisa koje donose predsjednik Republike, Vlada Republike Hrvatske, ministarstva i druga tijela državne uprave, odnosno tijela jedinica lokalne i područne (regionalne) samouprave i druga javnopravna tijela.  </w:t>
      </w:r>
    </w:p>
    <w:p w:rsidR="005C2091" w:rsidRDefault="00A86293">
      <w:r>
        <w:t xml:space="preserve">Zaštitu svojih ljudskih prava i temeljnih sloboda građani i drugi privatnopravni subjekti mogu zatražiti pred USRH-om institutom ustavne tužbe. Ustavnu tužbu mogu podnijeti u slučaju kad im je pojedinačnim aktom nekog državnog tijela (najčešće sudova), odnosno nekog javnopravnog tijela na državnoj ili lokalnoj (regionalnoj) razini, povrijeđeno određeno ustavno pravo ili temeljna sloboda zajamčena Ustavom. Posebno čest predmet zaštite su statusna prava građana u području radnih odnosa, prava vlasništva i socijalne sigurnosti, a posljednjih godina i prava okrivljenika odnosno optuženika u kaznenim postupcima. </w:t>
      </w:r>
    </w:p>
    <w:p w:rsidR="005C2091" w:rsidRDefault="00A86293">
      <w:r>
        <w:t xml:space="preserve">Položaj i nadležnost USRH-a u najvećoj su mjeri propisani člancima 128. i 129. Ustava. Zbog svojih ovlasti da nadzire zakonodavnu, izvršnu i sudbenu vlast USRH predstavlja, uvjetno rečeno, "međuvlast" u trodiobi vlasti.  </w:t>
      </w:r>
    </w:p>
    <w:p w:rsidR="005C2091" w:rsidRDefault="00A86293">
      <w:r>
        <w:t xml:space="preserve">USRH ne pripada tijelima državne vlasti, već je zasebno, samostalno i neovisno ustavno tijelo, koje ima poseban status među korisnicima državnog proračuna. Naime, Ustavnim zakonom o Ustavnom sudu Republike Hrvatske propisano je da USRH samostalno raspoređuje sredstva utvrđena u državnom proračunu u skladu sa svojim godišnjim proračunom i zakonom, radi funkcioniranja vlastite djelatnosti. </w:t>
      </w:r>
    </w:p>
    <w:p w:rsidR="005C2091" w:rsidRDefault="00A86293">
      <w:r>
        <w:t>Djelatnost USRH-a financira se isključivo sredstvima Državnog proračuna.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01705-Ustavni sud Republike Hrvatske</w:t>
            </w:r>
          </w:p>
        </w:tc>
        <w:tc>
          <w:tcPr>
            <w:tcW w:w="2041" w:type="dxa"/>
            <w:vAlign w:val="top"/>
          </w:tcPr>
          <w:p w:rsidR="005C2091" w:rsidRDefault="00A86293">
            <w:pPr>
              <w:pStyle w:val="CellColumn"/>
              <w:jc w:val="right"/>
            </w:pPr>
            <w:r>
              <w:rPr>
                <w:rFonts w:cs="Times New Roman"/>
              </w:rPr>
              <w:t>25.850.621</w:t>
            </w:r>
          </w:p>
        </w:tc>
        <w:tc>
          <w:tcPr>
            <w:tcW w:w="2041" w:type="dxa"/>
            <w:vAlign w:val="top"/>
          </w:tcPr>
          <w:p w:rsidR="005C2091" w:rsidRDefault="00A86293">
            <w:pPr>
              <w:pStyle w:val="CellColumn"/>
              <w:jc w:val="right"/>
            </w:pPr>
            <w:r>
              <w:rPr>
                <w:rFonts w:cs="Times New Roman"/>
              </w:rPr>
              <w:t>27.568.044</w:t>
            </w:r>
          </w:p>
        </w:tc>
        <w:tc>
          <w:tcPr>
            <w:tcW w:w="2041" w:type="dxa"/>
            <w:vAlign w:val="top"/>
          </w:tcPr>
          <w:p w:rsidR="005C2091" w:rsidRDefault="00A86293">
            <w:pPr>
              <w:pStyle w:val="CellColumn"/>
              <w:jc w:val="right"/>
            </w:pPr>
            <w:r>
              <w:rPr>
                <w:rFonts w:cs="Times New Roman"/>
              </w:rPr>
              <w:t>27.111.281</w:t>
            </w:r>
          </w:p>
        </w:tc>
        <w:tc>
          <w:tcPr>
            <w:tcW w:w="1224" w:type="dxa"/>
            <w:vAlign w:val="top"/>
          </w:tcPr>
          <w:p w:rsidR="005C2091" w:rsidRDefault="00A86293">
            <w:pPr>
              <w:pStyle w:val="CellColumn"/>
              <w:jc w:val="right"/>
            </w:pPr>
            <w:r>
              <w:rPr>
                <w:rFonts w:cs="Times New Roman"/>
              </w:rPr>
              <w:t>98,3</w:t>
            </w:r>
          </w:p>
        </w:tc>
        <w:tc>
          <w:tcPr>
            <w:tcW w:w="1224" w:type="dxa"/>
            <w:vAlign w:val="top"/>
          </w:tcPr>
          <w:p w:rsidR="005C2091" w:rsidRDefault="00A86293">
            <w:pPr>
              <w:pStyle w:val="CellColumn"/>
              <w:jc w:val="right"/>
            </w:pPr>
            <w:r>
              <w:rPr>
                <w:rFonts w:cs="Times New Roman"/>
              </w:rPr>
              <w:t>104,9</w:t>
            </w:r>
          </w:p>
        </w:tc>
      </w:tr>
      <w:tr w:rsidR="005C2091">
        <w:trPr>
          <w:jc w:val="center"/>
        </w:trPr>
        <w:tc>
          <w:tcPr>
            <w:tcW w:w="1632" w:type="dxa"/>
            <w:shd w:val="clear" w:color="auto" w:fill="B5C0D8"/>
          </w:tcPr>
          <w:p w:rsidR="005C2091" w:rsidRDefault="00A86293">
            <w:pPr>
              <w:pStyle w:val="CellColumn"/>
              <w:jc w:val="left"/>
            </w:pPr>
            <w:r>
              <w:rPr>
                <w:rFonts w:cs="Times New Roman"/>
              </w:rPr>
              <w:t>Ukupno 017-USTAVNI SUD REPUBLIKE HRVATSKE</w:t>
            </w:r>
          </w:p>
        </w:tc>
        <w:tc>
          <w:tcPr>
            <w:tcW w:w="2041" w:type="dxa"/>
            <w:shd w:val="clear" w:color="auto" w:fill="B5C0D8"/>
          </w:tcPr>
          <w:p w:rsidR="005C2091" w:rsidRDefault="00A86293">
            <w:pPr>
              <w:pStyle w:val="CellColumn"/>
              <w:jc w:val="right"/>
            </w:pPr>
            <w:r>
              <w:rPr>
                <w:rFonts w:cs="Times New Roman"/>
              </w:rPr>
              <w:t>25.850.621</w:t>
            </w:r>
          </w:p>
        </w:tc>
        <w:tc>
          <w:tcPr>
            <w:tcW w:w="2041" w:type="dxa"/>
            <w:shd w:val="clear" w:color="auto" w:fill="B5C0D8"/>
          </w:tcPr>
          <w:p w:rsidR="005C2091" w:rsidRDefault="00A86293">
            <w:pPr>
              <w:pStyle w:val="CellColumn"/>
              <w:jc w:val="right"/>
            </w:pPr>
            <w:r>
              <w:rPr>
                <w:rFonts w:cs="Times New Roman"/>
              </w:rPr>
              <w:t>27.568.044</w:t>
            </w:r>
          </w:p>
        </w:tc>
        <w:tc>
          <w:tcPr>
            <w:tcW w:w="2041" w:type="dxa"/>
            <w:shd w:val="clear" w:color="auto" w:fill="B5C0D8"/>
          </w:tcPr>
          <w:p w:rsidR="005C2091" w:rsidRDefault="00A86293">
            <w:pPr>
              <w:pStyle w:val="CellColumn"/>
              <w:jc w:val="right"/>
            </w:pPr>
            <w:r>
              <w:rPr>
                <w:rFonts w:cs="Times New Roman"/>
              </w:rPr>
              <w:t>27.111.281</w:t>
            </w:r>
          </w:p>
        </w:tc>
        <w:tc>
          <w:tcPr>
            <w:tcW w:w="1224" w:type="dxa"/>
            <w:shd w:val="clear" w:color="auto" w:fill="B5C0D8"/>
          </w:tcPr>
          <w:p w:rsidR="005C2091" w:rsidRDefault="00A86293">
            <w:pPr>
              <w:pStyle w:val="CellColumn"/>
              <w:jc w:val="right"/>
            </w:pPr>
            <w:r>
              <w:rPr>
                <w:rFonts w:cs="Times New Roman"/>
              </w:rPr>
              <w:t>98,3</w:t>
            </w:r>
          </w:p>
        </w:tc>
        <w:tc>
          <w:tcPr>
            <w:tcW w:w="1224" w:type="dxa"/>
            <w:shd w:val="clear" w:color="auto" w:fill="B5C0D8"/>
          </w:tcPr>
          <w:p w:rsidR="005C2091" w:rsidRDefault="00A86293">
            <w:pPr>
              <w:pStyle w:val="CellColumn"/>
              <w:jc w:val="right"/>
            </w:pPr>
            <w:r>
              <w:rPr>
                <w:rFonts w:cs="Times New Roman"/>
              </w:rPr>
              <w:t>104,9</w:t>
            </w:r>
          </w:p>
        </w:tc>
      </w:tr>
    </w:tbl>
    <w:p w:rsidR="005C2091" w:rsidRDefault="005C2091">
      <w:pPr>
        <w:jc w:val="left"/>
      </w:pPr>
    </w:p>
    <w:p w:rsidR="005C2091" w:rsidRDefault="00A86293">
      <w:pPr>
        <w:pStyle w:val="Heading3"/>
      </w:pPr>
      <w:r>
        <w:rPr>
          <w:rFonts w:cs="Times New Roman"/>
        </w:rPr>
        <w:t>2106 DJELOVANJE USTAVNOG SUDA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2106-DJELOVANJE USTAVNOG SUDA</w:t>
            </w:r>
          </w:p>
        </w:tc>
        <w:tc>
          <w:tcPr>
            <w:tcW w:w="2041" w:type="dxa"/>
          </w:tcPr>
          <w:p w:rsidR="005C2091" w:rsidRDefault="00A86293">
            <w:pPr>
              <w:pStyle w:val="CellColumn"/>
              <w:jc w:val="right"/>
            </w:pPr>
            <w:r>
              <w:rPr>
                <w:rFonts w:cs="Times New Roman"/>
              </w:rPr>
              <w:t>25.850.621</w:t>
            </w:r>
          </w:p>
        </w:tc>
        <w:tc>
          <w:tcPr>
            <w:tcW w:w="2041" w:type="dxa"/>
          </w:tcPr>
          <w:p w:rsidR="005C2091" w:rsidRDefault="00A86293">
            <w:pPr>
              <w:pStyle w:val="CellColumn"/>
              <w:jc w:val="right"/>
            </w:pPr>
            <w:r>
              <w:rPr>
                <w:rFonts w:cs="Times New Roman"/>
              </w:rPr>
              <w:t>27.568.044</w:t>
            </w:r>
          </w:p>
        </w:tc>
        <w:tc>
          <w:tcPr>
            <w:tcW w:w="2041" w:type="dxa"/>
          </w:tcPr>
          <w:p w:rsidR="005C2091" w:rsidRDefault="00A86293">
            <w:pPr>
              <w:pStyle w:val="CellColumn"/>
              <w:jc w:val="right"/>
            </w:pPr>
            <w:r>
              <w:rPr>
                <w:rFonts w:cs="Times New Roman"/>
              </w:rPr>
              <w:t>27.111.281</w:t>
            </w:r>
          </w:p>
        </w:tc>
        <w:tc>
          <w:tcPr>
            <w:tcW w:w="1224" w:type="dxa"/>
          </w:tcPr>
          <w:p w:rsidR="005C2091" w:rsidRDefault="00A86293">
            <w:pPr>
              <w:pStyle w:val="CellColumn"/>
              <w:jc w:val="right"/>
            </w:pPr>
            <w:r>
              <w:rPr>
                <w:rFonts w:cs="Times New Roman"/>
              </w:rPr>
              <w:t>98,3</w:t>
            </w:r>
          </w:p>
        </w:tc>
        <w:tc>
          <w:tcPr>
            <w:tcW w:w="1224" w:type="dxa"/>
          </w:tcPr>
          <w:p w:rsidR="005C2091" w:rsidRDefault="00A86293">
            <w:pPr>
              <w:pStyle w:val="CellColumn"/>
              <w:jc w:val="right"/>
            </w:pPr>
            <w:r>
              <w:rPr>
                <w:rFonts w:cs="Times New Roman"/>
              </w:rPr>
              <w:t>104,9</w:t>
            </w:r>
          </w:p>
        </w:tc>
      </w:tr>
    </w:tbl>
    <w:p w:rsidR="005C2091" w:rsidRDefault="005C2091">
      <w:pPr>
        <w:jc w:val="left"/>
      </w:pPr>
    </w:p>
    <w:p w:rsidR="005C2091" w:rsidRDefault="00A86293">
      <w:r>
        <w:lastRenderedPageBreak/>
        <w:t xml:space="preserve">USRH kroz svoj program usmjerava aktivnosti prema pozicioniranju u nacionalnom ustavnom poretku u skladu s položajem koji mu priznaje Ustav, čime se ojačava uloga samog ustavnog sudstva u zemlji te njegovo pozicioniranje na međunarodnom planu. </w:t>
      </w:r>
    </w:p>
    <w:p w:rsidR="005C2091" w:rsidRDefault="00A86293">
      <w:r>
        <w:t xml:space="preserve"> </w:t>
      </w:r>
    </w:p>
    <w:p w:rsidR="005C2091" w:rsidRDefault="00A86293">
      <w:r>
        <w:t xml:space="preserve">USRH-u u praksi treba osigurati njegov Ustavom određeni položaj. Pravilnim normativnim uređenjem treba smanjiti broj zaprimljenih predmeta na racionalnu mjeru koja odgovara zadaćama i položaju ustavnog sudstva. Potrebno je usklađivanje nadležnosti i zadaća hrvatskog USRH-a s onima Europskog suda za ljudska prava u Strasbourgu i Suda Europske unije u Luxembourgu. </w:t>
      </w:r>
    </w:p>
    <w:p w:rsidR="005C2091" w:rsidRDefault="00A86293">
      <w:r>
        <w:t xml:space="preserve">Program će se realizirati kroz sljedeće ciljeve: </w:t>
      </w:r>
    </w:p>
    <w:p w:rsidR="005C2091" w:rsidRDefault="00A86293">
      <w:r>
        <w:t>1)</w:t>
      </w:r>
      <w:r>
        <w:tab/>
        <w:t xml:space="preserve">Unapređenje prakse USRH-a, </w:t>
      </w:r>
    </w:p>
    <w:p w:rsidR="005C2091" w:rsidRDefault="00A86293">
      <w:r>
        <w:t>2)</w:t>
      </w:r>
      <w:r>
        <w:tab/>
        <w:t xml:space="preserve">Unapređenje međunarodne suradnje USRH-a i njegovo pozicioniranje na međunarodnom planu, </w:t>
      </w:r>
    </w:p>
    <w:p w:rsidR="005C2091" w:rsidRDefault="00A86293">
      <w:r>
        <w:t>3)</w:t>
      </w:r>
      <w:r>
        <w:tab/>
        <w:t xml:space="preserve">Otvaranje USRH-a javnosti i podizanje informiranosti građana o značenju i ulozi ustavnog sudovanja. </w:t>
      </w:r>
    </w:p>
    <w:p w:rsidR="005C2091" w:rsidRDefault="00A86293">
      <w:r>
        <w:t xml:space="preserve">1) Unapređenje prakse USRH-a </w:t>
      </w:r>
    </w:p>
    <w:p w:rsidR="005C2091" w:rsidRDefault="00A86293">
      <w:r>
        <w:t xml:space="preserve">Unapređenje ustavnosudske prakse pridonosi ostvarenju načela pravne države te povećava povjerenje u njezine institucije, uključujući Ustavni sud. Kroz praksu USRH-a u pravnom se poretku osiguravaju legalitet, ali i legitimitet državnog djelovanja, pravna sigurnost, poštovanje ljudskih prava, jednakost pred zakonom te zabrana arbitrarnosti i diskriminacije. Trenutno postoje nedostaci u nadležnostima USRH-a zbog čega pojedinci ostvaruju zaštitu pred Europskim sudom za ljudska prava u Strasbourgu, ali ne i pred nacionalnim Ustavnim sudom. </w:t>
      </w:r>
    </w:p>
    <w:p w:rsidR="005C2091" w:rsidRDefault="00A86293">
      <w:r>
        <w:t xml:space="preserve">Unapređenje sudske prakse ima i važan preventivni učinak jer djeluje na smanjenje nastanka različitih vrsta sporova, ali i na opće unapređenje i poboljšanje kvalitete zakona i drugih pravnih propisa, kao i povećanje stupnja unutarnje pravne konzistentnosti cjelokupnog pravnog poretka Republike Hrvatske. </w:t>
      </w:r>
    </w:p>
    <w:p w:rsidR="005C2091" w:rsidRDefault="00A86293">
      <w:r>
        <w:t xml:space="preserve">S obzirom na sve veću složenost zaprimljenih predmeta, kao i sve veće zahtjeve koje članstvo Republike Hrvatske u Europskoj uniji i Vijeću Europe postavlja pred USRH, provedena je daljnja reorganizacija rada USRH-a. Naime, u 2016. godini stekli su se uvjeti za konačnu realizaciju poslovnog cilja iz 2010. godine: ustrojavanje sudačkih referada, pri čemu se svaka referada sastoji od ustavnog suca, 2 ustavnosudska savjetnika i voditelja kabineta suca. Očekuje se da će rad u referadama za razliku od ranijeg modela kada je svaki sudac dobivao spise sa svim savjetnicima, pridonijeti ažurnosti i većoj kvaliteti obrade predmeta.     </w:t>
      </w:r>
    </w:p>
    <w:p w:rsidR="005C2091" w:rsidRDefault="00A86293">
      <w:r>
        <w:t xml:space="preserve">Tijekom 2016. godine suci USRH-a te ustavnosudski savjetnici isticali su se svojim znanstvenim i stručnim radovima, objavljenima u različitim znanstvenim i stručnim časopisima i drugim publikacijama te predavanjima i izlaganjima na različitim znanstvenim, stručnim skupovima i drugim društvenim događanjima. Navodi se nekoliko primjera. </w:t>
      </w:r>
    </w:p>
    <w:p w:rsidR="005C2091" w:rsidRDefault="00A86293">
      <w:r>
        <w:t xml:space="preserve">Predsjednica USRH-a do 6. lipnja 2016., prof. dr. sc. Jasna Omejec, napisala je i objavila sljedeće radove:  </w:t>
      </w:r>
    </w:p>
    <w:p w:rsidR="005C2091" w:rsidRDefault="00A86293">
      <w:r>
        <w:t>-</w:t>
      </w:r>
      <w:r>
        <w:tab/>
        <w:t xml:space="preserve">Grundrechte in Kroatien, u knjizi: Handbuch der Grundrechte in Deutschland und Europa, Band IX: Grundrechte in Ostmittel- und Osteuropa, ur. Detlef Merten,  Hans-Jürgen Papier i Rainer Arnold, Heilderberg: C. F. Müller, 2016, XXXIV. Str. 331‒382.  </w:t>
      </w:r>
    </w:p>
    <w:p w:rsidR="005C2091" w:rsidRDefault="00A86293">
      <w:r>
        <w:t>-</w:t>
      </w:r>
      <w:r>
        <w:tab/>
        <w:t xml:space="preserve">Veliki njemački ustav i nepromjenjiva ustavna načela u praksi Saveznog ustavnog suda, Zbornik Pravo i pravda 2015, priređivač Jasminka Hasanbegović, Beograd: Pravni fakultet Univerziteta u Beogradu, 2016. / izvorni znanstveni rad /  </w:t>
      </w:r>
    </w:p>
    <w:p w:rsidR="005C2091" w:rsidRDefault="00A86293">
      <w:r>
        <w:t>-</w:t>
      </w:r>
      <w:r>
        <w:tab/>
        <w:t xml:space="preserve">Croatia: commitment to reform: assessing the impact of the ECtHR's Case Law on Reinforcing Democratization Efforts in Croatian Legal Order, u knjizi: The Impact of the ECHR on Democratic Change in Central and Eastern Europe. Judicial Perspectives, eds. Motoc, Iulia; Ziemele, Ineta, Cambridge: Cambridge University Press, 2016 (koautorstvo: Ksenija Turković) (2016.) </w:t>
      </w:r>
    </w:p>
    <w:p w:rsidR="005C2091" w:rsidRDefault="00A86293">
      <w:r>
        <w:t xml:space="preserve">Recenzirala je slijedeće zbornike:  </w:t>
      </w:r>
    </w:p>
    <w:p w:rsidR="005C2091" w:rsidRDefault="00A86293">
      <w:r>
        <w:t>-</w:t>
      </w:r>
      <w:r>
        <w:tab/>
        <w:t xml:space="preserve">Max Planck Encyclopaedia of Comparative Constitutional Law ‒ MPECCoL, ur. dr. Daniel Gruss, dr. Tilmann J. Röder, prof. dr. Rüdiger Wolfrum, Max Planck Foundation for International Peace and the Rule of Law Heidelberg in cooperation with Oxford University Press (publiciranje planirano za 2017.) (recenzije enciklopedijskih članaka) </w:t>
      </w:r>
    </w:p>
    <w:p w:rsidR="005C2091" w:rsidRDefault="00A86293">
      <w:r>
        <w:lastRenderedPageBreak/>
        <w:t>-</w:t>
      </w:r>
      <w:r>
        <w:tab/>
        <w:t xml:space="preserve">Zbornik radova "Daytonski mirovni sporazum i budućnost Bosne i Hercegovine", Sarajevo: Akademija nauka i umetnosti Bosne i Hercegovine  (recenzija članka ‒ ožujak 2016.) </w:t>
      </w:r>
    </w:p>
    <w:p w:rsidR="005C2091" w:rsidRDefault="00A86293">
      <w:r>
        <w:t xml:space="preserve">Izlagala je na sljedećim međunarodnim skupovima: </w:t>
      </w:r>
    </w:p>
    <w:p w:rsidR="005C2091" w:rsidRDefault="00A86293">
      <w:r>
        <w:t xml:space="preserve"> </w:t>
      </w:r>
    </w:p>
    <w:p w:rsidR="005C2091" w:rsidRDefault="00A86293">
      <w:r>
        <w:t>-</w:t>
      </w:r>
      <w:r>
        <w:tab/>
        <w:t xml:space="preserve">The Parliamentary Social Justice Forum of the House of Councillors: "Promoting human dignity for living in unity", Rabat, Kraljevina Maroko, 19. i 20. veljače 2016.  </w:t>
      </w:r>
    </w:p>
    <w:p w:rsidR="005C2091" w:rsidRDefault="00A86293">
      <w:r>
        <w:t xml:space="preserve">Organizator:  Gornji dom parlamenta Kraljevine Maroko pod pokroviteljstvom njegovog veličanstva kralja Mohammeda VI. </w:t>
      </w:r>
    </w:p>
    <w:p w:rsidR="005C2091" w:rsidRDefault="00A86293">
      <w:r>
        <w:t xml:space="preserve">Pozvani predavač na temu: The Role of Constitutional Justice in Promoting Social Justice  (predavanje s prezentacijom). </w:t>
      </w:r>
    </w:p>
    <w:p w:rsidR="005C2091" w:rsidRDefault="00A86293">
      <w:r>
        <w:t>-</w:t>
      </w:r>
      <w:r>
        <w:tab/>
        <w:t xml:space="preserve">International Conference „Interpretation and Implementation of the ECHR by Constitutional Courts of the Western Balkans, Priština, Republika Kosovo, 19. i 20. siječnja 2016.  </w:t>
      </w:r>
    </w:p>
    <w:p w:rsidR="005C2091" w:rsidRDefault="00A86293">
      <w:r>
        <w:t xml:space="preserve">Organizator:  Vijeće Europe, Ustavni sud Republike Kosovo </w:t>
      </w:r>
    </w:p>
    <w:p w:rsidR="005C2091" w:rsidRDefault="00A86293">
      <w:r>
        <w:t xml:space="preserve">Pozvani predavač na temu: Države bivše SFRJ:  od zajedničkog socijalističkog pravnog nasljeđa do zajedničkog europskog pravnog nasljeđa (predavanje s prezentacijom). </w:t>
      </w:r>
    </w:p>
    <w:p w:rsidR="005C2091" w:rsidRDefault="00A86293">
      <w:r>
        <w:t xml:space="preserve">Zamjenica predsjednice dr. sc. Snježana Bagić (do 6. lipnja 2016.), te ponovno zamjenica predsjednika od 13. lipnja 2016., izlagala je na: </w:t>
      </w:r>
    </w:p>
    <w:p w:rsidR="005C2091" w:rsidRDefault="00A86293">
      <w:r>
        <w:t>-</w:t>
      </w:r>
      <w:r>
        <w:tab/>
        <w:t xml:space="preserve"> 2. simpoziju medicinskog prava održanom od 11. do 13. prosinca 2016. u Vodicama na temu Informirani pristanak u sudskoj praksi;  </w:t>
      </w:r>
    </w:p>
    <w:p w:rsidR="005C2091" w:rsidRDefault="00A86293">
      <w:r>
        <w:t>-</w:t>
      </w:r>
      <w:r>
        <w:tab/>
        <w:t xml:space="preserve">na međunarodnoj konferenciji "Protection of human rights of citizens and of national security in modern society - the role of constitutional courts", održanoj u Bukureštu, 21. i 22. rujna 2016. održala je predavanje na temu: "Is national security sufficient justification for abolishing the essence of human rights?" </w:t>
      </w:r>
    </w:p>
    <w:p w:rsidR="005C2091" w:rsidRDefault="00A86293">
      <w:r>
        <w:t xml:space="preserve">Sudac dr. sc. Mato Arlović objavio je sljedeće stručne članke:  </w:t>
      </w:r>
    </w:p>
    <w:p w:rsidR="005C2091" w:rsidRDefault="00A86293">
      <w:r>
        <w:t>-</w:t>
      </w:r>
      <w:r>
        <w:tab/>
        <w:t xml:space="preserve">Pravo na slobodu izražavanja misli (ustavnopravni okvir i ustavnosudska praksa u Republici Hrvatskoj) Zbornik radova Pravnog fakulteta u Splitu,53(2016),2(120);str.377-411. </w:t>
      </w:r>
    </w:p>
    <w:p w:rsidR="005C2091" w:rsidRDefault="00A86293">
      <w:r>
        <w:t xml:space="preserve">te je izlagao: </w:t>
      </w:r>
    </w:p>
    <w:p w:rsidR="005C2091" w:rsidRDefault="00A86293">
      <w:r>
        <w:t>-</w:t>
      </w:r>
      <w:r>
        <w:tab/>
        <w:t xml:space="preserve">na regionalnoj konferenciji Ustavnog suda Crne Gore „Ustavnosudska zaštita izbornog prava“ održanoj u Budvi od 14. do 16. veljače 2016. izlagao je na temu: "Ustavni sud Republike Hrvatske u zaštiti ustavnosti i zakonitosti izbora zastupnika u Hrvatski sabor" </w:t>
      </w:r>
    </w:p>
    <w:p w:rsidR="005C2091" w:rsidRDefault="00A86293">
      <w:r>
        <w:t>-</w:t>
      </w:r>
      <w:r>
        <w:tab/>
        <w:t xml:space="preserve">na međunarodnoj konferenciji "The role and importance of constitutional court decisions in addressing legislative gaps and legal uncertainty", održanoj u Jerevanu 20. do 23. ožujka 2016. Tema izlaganja bila je: The constitutional action framework of the constitutional court of the Republic of Croatia for the review and appraisal of the constitutionality of legal gaps.  </w:t>
      </w:r>
    </w:p>
    <w:p w:rsidR="005C2091" w:rsidRDefault="00A86293">
      <w:r>
        <w:t>-</w:t>
      </w:r>
      <w:r>
        <w:tab/>
        <w:t xml:space="preserve">na međunarodnoj konferenciji "The Place and the Importance of the Constitutional Control Body in Effective Functioning of Checks and Balances System between the Branches of State Power", održanoj u Kirgistanu 9. i 10. lipnja 2016., priložio je rad na temu: "THE CONSTITUTIONAL COURT OF THE REPUBLIC OF CROATIA IN THE PROTECTION OF SEPARATION OF POWERS" </w:t>
      </w:r>
    </w:p>
    <w:p w:rsidR="005C2091" w:rsidRDefault="00A86293">
      <w:r>
        <w:t>-</w:t>
      </w:r>
      <w:r>
        <w:tab/>
        <w:t xml:space="preserve">na međunarodnoj konferenciji "Protection of human rights of citizens and of national security in modern society - the role of constitutional courts", održanoj u Bukureštu, 21. i 22. rujna 2016., priložio je rad na temu: "Derogation from human rights and freedoms due to a state of emergency pursuant to the Constitution of the Republic of Croatia" </w:t>
      </w:r>
    </w:p>
    <w:p w:rsidR="005C2091" w:rsidRDefault="00A86293">
      <w:r>
        <w:t>-</w:t>
      </w:r>
      <w:r>
        <w:tab/>
        <w:t xml:space="preserve">na regionalnoj konferenciji Ustavnog suda Crne Gore "Uloga ustavnog suda u izgradnji vladavine prava i zaštiti ljudskih prava i sloboda" održanoj od 19. - 21. prosinca 2016. u Budvi, izlagao je na temu: "Pozitivna diskriminacija u regulaciji i zaštiti prava i sloboda pripadnika nacionalnih manjina  -  uloga Ustavnog suda Republike Hrvatske". </w:t>
      </w:r>
    </w:p>
    <w:p w:rsidR="005C2091" w:rsidRDefault="00A86293">
      <w:r>
        <w:t xml:space="preserve">Sudac dr. sc. Mario Jelušić izlagao je na međunarodnoj konferenciji "The role and importance of constitutional court decisions in addressing legislative gaps and legal uncertainty", održanoj u Jerevanu 20. do 23. ožujka 2016. na temu: "Constitutional monitoring in overcoming the deficit of constitutionalism" </w:t>
      </w:r>
    </w:p>
    <w:p w:rsidR="005C2091" w:rsidRDefault="00A86293">
      <w:r>
        <w:lastRenderedPageBreak/>
        <w:t xml:space="preserve">Sudac dr. sc. Marko Babić izlagao je na na regionalnoj konferenciji Ustavnog suda Crne Gore „Ustavnosudska zaštita izbornog prava“ održanoj u Budvi od 14. do 16. veljače 2016. na temu: "OSIGURANJE BIRAČKOG PRAVA U SLUČAJU REFERENDUMA (upozorenje Ustavnog suda Republike Hrvatske broj U-VIIR-5292/2013  i odluka Ustavnog suda broj SuP-O-1/2014)" </w:t>
      </w:r>
    </w:p>
    <w:p w:rsidR="005C2091" w:rsidRDefault="00A86293">
      <w:r>
        <w:t>Sudac mr. sc. Rajko Mlinarić izlagao je na pravnom forumu "Osigurati jedinstvenu primjenu EKLJP-a od strane ustavnih sudova i redovnih sudova", održanom u Prištini, 15. prosinca 2016. na temu: "PRIMJENA KONVENCIJE ZA ZAŠTITU LJUDSKIH PRAVA I TEMELJNIH SLOBODA U PRAKSI USTAVNOG SUDA REPUBLIKE HVATSKE U ODNOSU NA NAČELO NE BIS</w:t>
      </w:r>
      <w:r w:rsidR="002B042D">
        <w:t xml:space="preserve"> IN IDEM U KAZNENIM PREDMETIMA"</w:t>
      </w:r>
    </w:p>
    <w:p w:rsidR="005C2091" w:rsidRDefault="00A86293">
      <w:r>
        <w:t xml:space="preserve">Glavni tajnik Suda, dr. sc. Teodor Antić, objavio je sljedeće stručne članke:  </w:t>
      </w:r>
    </w:p>
    <w:p w:rsidR="005C2091" w:rsidRDefault="00A86293">
      <w:r>
        <w:t>-</w:t>
      </w:r>
      <w:r>
        <w:tab/>
        <w:t xml:space="preserve">Izdvojeno mišljenje u sudskim postupcima i praksa Ustavnog suda Republike Hrvatske Zbornik Pravnog fakulteta Sveučilišta u Rijeci / [glavna urednica, editor-in-chief Velinka Grozdanić]. - 37(2016),2; str.837-873. </w:t>
      </w:r>
    </w:p>
    <w:p w:rsidR="005C2091" w:rsidRDefault="00A86293">
      <w:r>
        <w:t xml:space="preserve">Voditeljica Centra za evidenciju i dokumentaciju, Sanja Trgovac, objavila je sljedeće stručne članke:  </w:t>
      </w:r>
    </w:p>
    <w:p w:rsidR="005C2091" w:rsidRDefault="00A86293">
      <w:r>
        <w:t>-</w:t>
      </w:r>
      <w:r>
        <w:tab/>
        <w:t xml:space="preserve">Pravo na pristup sudu kroz individualnu ustavnosudsku kontrolu / Dragan Elijaš, Sandra Marković, Sanja Trgovac /Hrvatska pravna revija / [glavni urednik Hrvoje Momčinović]. - 16(2016),4.str.1 </w:t>
      </w:r>
    </w:p>
    <w:p w:rsidR="005C2091" w:rsidRDefault="00A86293">
      <w:r>
        <w:t>-</w:t>
      </w:r>
      <w:r>
        <w:tab/>
        <w:t xml:space="preserve">Pravo na pristup sudu kao aspekt prava na pravično suđenje / Dragan Elijaš, Sandra Marković, Sanja Trgovac / Zbornik Pravnog fakulteta Sveučilišta u Rijeci / [glavna urednica, editor-in-chief Velinka Grozdanić]. - 37(2016),1;str.385-42. </w:t>
      </w:r>
    </w:p>
    <w:p w:rsidR="005C2091" w:rsidRDefault="00A86293">
      <w:r>
        <w:t>-</w:t>
      </w:r>
      <w:r>
        <w:tab/>
        <w:t xml:space="preserve">Pravo na djelotvorno pravno sredstvo i pravo na žalbu - konvencijski i ustavni aspekt u praksi / Sandra Marković, Sanja Trgovac / Aktualnosti hrvatskog zakonodavstva i pravne prakse. građansko, trgovačko, radno i procesno pravo u praksi, 23(2016), str. 1- 28. </w:t>
      </w:r>
    </w:p>
    <w:p w:rsidR="005C2091" w:rsidRDefault="00A86293">
      <w:r>
        <w:t>-</w:t>
      </w:r>
      <w:r>
        <w:tab/>
        <w:t xml:space="preserve">Postupak izvršenja presude Europskog suda za ljudska prava pred domaćim tijelima - ustavnosudski aspekt / Sandra Marković, Sanja Trgovac / Hrvatska pravna revija / [glavni urednik Hrvoje Momčinović]. - 16(2016),10, str.1-8. </w:t>
      </w:r>
    </w:p>
    <w:p w:rsidR="005C2091" w:rsidRDefault="00A86293">
      <w:r>
        <w:t xml:space="preserve">Viši ustavnosudski savjetnik, voditelj Službe za prethodni ispitni postupak, dr. sc. Dubravko Ljubić, objavio je sljedeće stručne članke:  </w:t>
      </w:r>
    </w:p>
    <w:p w:rsidR="005C2091" w:rsidRDefault="00A86293">
      <w:r>
        <w:t>-</w:t>
      </w:r>
      <w:r>
        <w:tab/>
        <w:t xml:space="preserve">Govor mržnje kao ustavnopravna kategorija / Hrvatska pravna revija / [glavni urednik Hrvoje Momčinović]. - 16(2016),11;str.1-12.. </w:t>
      </w:r>
    </w:p>
    <w:p w:rsidR="005C2091" w:rsidRDefault="00A86293">
      <w:r>
        <w:t>-</w:t>
      </w:r>
      <w:r>
        <w:tab/>
        <w:t>" Sloboda kao najviša vrednota ustavnopravnog poretka / Hrvatska pravna revija / [glavni urednik Hrvoje Momčinović]. - 16(2016),6.str.1-13.</w:t>
      </w:r>
      <w:r>
        <w:tab/>
      </w:r>
      <w:r>
        <w:tab/>
      </w:r>
      <w:r>
        <w:tab/>
      </w:r>
      <w:r>
        <w:tab/>
        <w:t xml:space="preserve"> </w:t>
      </w:r>
    </w:p>
    <w:p w:rsidR="005C2091" w:rsidRDefault="00A86293">
      <w:r>
        <w:t>-</w:t>
      </w:r>
      <w:r>
        <w:tab/>
        <w:t xml:space="preserve">Ustavni sustav i manjinska politika / Hrvatska pravna revija / [glavni urednik Hrvoje Momčinović]. - 16(2016),1;str.1-14. </w:t>
      </w:r>
    </w:p>
    <w:p w:rsidR="005C2091" w:rsidRDefault="00A86293">
      <w:r>
        <w:t>-</w:t>
      </w:r>
      <w:r>
        <w:tab/>
        <w:t xml:space="preserve">Tumačenje ustavnopravnog poretka / Hrvatska pravna revija / [glavni urednik Hrvoje Momčinović]. - 16(2016),9;str.1-12. </w:t>
      </w:r>
    </w:p>
    <w:p w:rsidR="005C2091" w:rsidRDefault="00A86293">
      <w:r>
        <w:t>-</w:t>
      </w:r>
      <w:r>
        <w:tab/>
        <w:t xml:space="preserve">Human dignity as a new constitutional value of the constitutional system of Republic of Croatia, Constitutional Law Review no. 3/16, Universul Juridic, Bucuresti, 2016. </w:t>
      </w:r>
    </w:p>
    <w:p w:rsidR="005C2091" w:rsidRDefault="00A86293">
      <w:r>
        <w:t xml:space="preserve">Viša ustavnosudska savjetnica Renata Gerkman Rudec objavila je sljedeće stručne članke:  </w:t>
      </w:r>
    </w:p>
    <w:p w:rsidR="005C2091" w:rsidRDefault="00A86293">
      <w:r>
        <w:t>-</w:t>
      </w:r>
      <w:r>
        <w:tab/>
        <w:t>Klasteri - i što o njima znamo / Pravo u gospodarstvu : časopis za gospodarsko-pravnu teoriju i praksu : a journal for business law theory and practice / [glavni i odgovorni urednik Miljenko Giunio]. - 55(2016),3;str.489-503.</w:t>
      </w:r>
      <w:r>
        <w:tab/>
      </w:r>
      <w:r>
        <w:tab/>
      </w:r>
      <w:r>
        <w:tab/>
      </w:r>
      <w:r>
        <w:tab/>
      </w:r>
      <w:r>
        <w:tab/>
        <w:t xml:space="preserve"> </w:t>
      </w:r>
    </w:p>
    <w:p w:rsidR="005C2091" w:rsidRDefault="00A86293">
      <w:r>
        <w:t>-</w:t>
      </w:r>
      <w:r>
        <w:tab/>
        <w:t xml:space="preserve">"Poznavanje načela non-refoulement i zaštita uprimjeni", Aktulanosti hrvatskog zakonodavstva i pravne prakse", XXX jubilarnog savjetovanja Hrvatskog društva za građanskopravne znanosti i praksu; UDK 341.33(497.5) Stručni rad, objavljen u Godišnjaku 22/2015 </w:t>
      </w:r>
      <w:r>
        <w:tab/>
        <w:t xml:space="preserve"> </w:t>
      </w:r>
    </w:p>
    <w:p w:rsidR="005C2091" w:rsidRDefault="00A86293">
      <w:r>
        <w:t xml:space="preserve">Viši ustavnosudski savjetnik Dragan Elijaš objavio je stručni članak:  </w:t>
      </w:r>
    </w:p>
    <w:p w:rsidR="005C2091" w:rsidRDefault="00A86293">
      <w:r>
        <w:t>-</w:t>
      </w:r>
      <w:r>
        <w:tab/>
        <w:t xml:space="preserve">Pravo na pristup sudu kroz individualnu ustavnosudsku kontrolu / Dragan Elijaš, Sandra Marković, Sanja Trgovac /Hrvatska pravna revija / [glavni urednik Hrvoje Momčinović]. - 16(2016),4.str.1 </w:t>
      </w:r>
    </w:p>
    <w:p w:rsidR="005C2091" w:rsidRDefault="00A86293">
      <w:r>
        <w:t>-</w:t>
      </w:r>
      <w:r>
        <w:tab/>
        <w:t xml:space="preserve">Pravo na pristup sudu kao aspekt prava na pravično suđenje / Dragan Elijaš, Sandra Marković, Sanja Trgovac / Zbornik Pravnog fakulteta Sveučilišta u Rijeci / [glavna urednica, editor-in-chief Velinka Grozdanić]. - 37(2016),1;str.385-420 </w:t>
      </w:r>
    </w:p>
    <w:p w:rsidR="005C2091" w:rsidRDefault="00A86293">
      <w:r>
        <w:lastRenderedPageBreak/>
        <w:t xml:space="preserve">Viša ustavnosudska savjetnica dr. sc. Sandra Marković objavila je sljedeće članke:  </w:t>
      </w:r>
    </w:p>
    <w:p w:rsidR="005C2091" w:rsidRDefault="00A86293">
      <w:r>
        <w:t>-</w:t>
      </w:r>
      <w:r>
        <w:tab/>
        <w:t xml:space="preserve">Pravo na pristup sudu kroz individualnu ustavnosudsku kontrolu / Dragan Elijaš, Sandra Marković, Sanja Trgovac /Hrvatska pravna revija / [glavni urednik Hrvoje Momčinović]. - 16(2016),4.str.1- </w:t>
      </w:r>
    </w:p>
    <w:p w:rsidR="005C2091" w:rsidRDefault="00A86293">
      <w:r>
        <w:t>-</w:t>
      </w:r>
      <w:r>
        <w:tab/>
        <w:t xml:space="preserve">Pravo na pristup sudu kao aspekt prava na pravično suđenje / Dragan Elijaš, Sandra Marković, Sanja Trgovac / Zbornik Pravnog fakulteta Sveučilišta u Rijeci / [glavna urednica, editor-in-chief Velinka Grozdanić]. - 37(2016),1;str.385-420 </w:t>
      </w:r>
    </w:p>
    <w:p w:rsidR="005C2091" w:rsidRDefault="00A86293">
      <w:r>
        <w:t xml:space="preserve"> </w:t>
      </w:r>
    </w:p>
    <w:p w:rsidR="005C2091" w:rsidRDefault="00A86293">
      <w:r>
        <w:t xml:space="preserve">Viši ustavnosudski savjetnik dr. sc. Robert Peček objavio je sljedeće stručne članke:  </w:t>
      </w:r>
    </w:p>
    <w:p w:rsidR="005C2091" w:rsidRDefault="00A86293">
      <w:r>
        <w:t>-</w:t>
      </w:r>
      <w:r>
        <w:tab/>
        <w:t xml:space="preserve">Pravo na poštovanje doma u novijoj ustavnosudskoj praksi / Hrvatska pravna revija / [glavni urednik Hrvoje Momčinović]. - 16(2016),7-8;6.str.7-14. </w:t>
      </w:r>
    </w:p>
    <w:p w:rsidR="005C2091" w:rsidRDefault="00A86293">
      <w:r>
        <w:t>-</w:t>
      </w:r>
      <w:r>
        <w:tab/>
        <w:t xml:space="preserve">Naknada štete od divljači / Aktualnosti hrvatskog zakonodavstva i pravne prakse : građansko, trgovačko, radno i procesno pravo u praksi : godišnjak. - 23(2016);str.565-570. </w:t>
      </w:r>
    </w:p>
    <w:p w:rsidR="005C2091" w:rsidRDefault="00A86293">
      <w:r>
        <w:t>-</w:t>
      </w:r>
      <w:r>
        <w:tab/>
        <w:t xml:space="preserve">Neki prijepori oko primjene članka 9. Zakona o naknadi / Informator : instruktivno-informativni list za ekonomska i pravna pitanja / [glavni urednik Dubravko Abramović]. - 64(2016),6408;str.8-9. </w:t>
      </w:r>
    </w:p>
    <w:p w:rsidR="005C2091" w:rsidRDefault="00A86293">
      <w:r>
        <w:t>-</w:t>
      </w:r>
      <w:r>
        <w:tab/>
        <w:t xml:space="preserve">Novi institut Zakona o izvlaštenju i određivanju naknade, Informator br. 6401, od 18.1.2016. </w:t>
      </w:r>
    </w:p>
    <w:p w:rsidR="005C2091" w:rsidRDefault="00A86293">
      <w:r>
        <w:t>-</w:t>
      </w:r>
      <w:r>
        <w:tab/>
        <w:t xml:space="preserve">Novi rok za denacionalizaciju za fizičke osobe koje su zahtjev podnijele 7. siječnja 2003., Informator, br. 6414, od 18. 4. 2016. </w:t>
      </w:r>
    </w:p>
    <w:p w:rsidR="005C2091" w:rsidRDefault="00A86293">
      <w:r>
        <w:t>-</w:t>
      </w:r>
      <w:r>
        <w:tab/>
        <w:t xml:space="preserve">Diskriminacija na radnom mjestu u novijoj sudskoj praksi, Informator br. 6422, od 13. 6. 2016. </w:t>
      </w:r>
    </w:p>
    <w:p w:rsidR="005C2091" w:rsidRDefault="00A86293">
      <w:r>
        <w:t>-</w:t>
      </w:r>
      <w:r>
        <w:tab/>
        <w:t xml:space="preserve">Nema više odbacivanja nepotpunih ovršnih prijedloga, Informator br. 6425 od 4.7. 2016.  </w:t>
      </w:r>
    </w:p>
    <w:p w:rsidR="005C2091" w:rsidRDefault="00A86293">
      <w:r>
        <w:t>-</w:t>
      </w:r>
      <w:r>
        <w:tab/>
        <w:t xml:space="preserve">Povreda prava vlasništva pri oduzimanju vozila, Informator br. 6426 od 11. 7. 2016. </w:t>
      </w:r>
    </w:p>
    <w:p w:rsidR="005C2091" w:rsidRDefault="00A86293">
      <w:r>
        <w:t>-</w:t>
      </w:r>
      <w:r>
        <w:tab/>
        <w:t xml:space="preserve">Naknada za nacionalizirano deposedirano zemljište, Informator, br. 6432 od 22. 8. 2016. </w:t>
      </w:r>
    </w:p>
    <w:p w:rsidR="005C2091" w:rsidRDefault="00A86293">
      <w:r>
        <w:t>-</w:t>
      </w:r>
      <w:r>
        <w:tab/>
        <w:t xml:space="preserve">Zakon o lovstvu i odluke Ustavnog suda RH, Informator, br. 6437 od 26. 9. 2016. </w:t>
      </w:r>
    </w:p>
    <w:p w:rsidR="005C2091" w:rsidRDefault="00A86293">
      <w:r>
        <w:t>-</w:t>
      </w:r>
      <w:r>
        <w:tab/>
        <w:t xml:space="preserve">Pravo na poštovanje doma u novijoj sudskoj praksi / Hrv. pravna revija, srpanj-kolovoz 2016., str. 7 - 14. </w:t>
      </w:r>
    </w:p>
    <w:p w:rsidR="005C2091" w:rsidRDefault="00A86293">
      <w:r>
        <w:t>-</w:t>
      </w:r>
      <w:r>
        <w:tab/>
        <w:t xml:space="preserve">Ukidanje čl. 79. Zakona o upravnim sporovima, Informator br. 6442, od 31. 10. 2016. </w:t>
      </w:r>
    </w:p>
    <w:p w:rsidR="005C2091" w:rsidRDefault="00A86293">
      <w:r>
        <w:t>-</w:t>
      </w:r>
      <w:r>
        <w:tab/>
        <w:t xml:space="preserve">Sloboda izražavanja u nekim specifičnim situacijama, Informator br. 6450-6451, od 26. 12. 2016. i 2. 1. 2017. </w:t>
      </w:r>
    </w:p>
    <w:p w:rsidR="005C2091" w:rsidRDefault="00A86293">
      <w:r>
        <w:t xml:space="preserve">Viša ustavnosudska savjetnica Ivana Đuras objavila je sljedeće stručne radove:  </w:t>
      </w:r>
    </w:p>
    <w:p w:rsidR="005C2091" w:rsidRDefault="00A86293">
      <w:r>
        <w:t>-</w:t>
      </w:r>
      <w:r>
        <w:tab/>
        <w:t xml:space="preserve">"Obijesna vožnja kao novo kazneno djelo", Časopis "Policija i sigurnost", broj 2./2016. </w:t>
      </w:r>
    </w:p>
    <w:p w:rsidR="005C2091" w:rsidRDefault="00A86293">
      <w:r>
        <w:t>-</w:t>
      </w:r>
      <w:r>
        <w:tab/>
        <w:t xml:space="preserve">"Dvostrukost u kaznenom i prekršajnom postupku", Časopis "Policija i sigurnost", broj 3 /2016. </w:t>
      </w:r>
    </w:p>
    <w:p w:rsidR="005C2091" w:rsidRDefault="00A86293">
      <w:r>
        <w:t>-</w:t>
      </w:r>
      <w:r>
        <w:tab/>
        <w:t xml:space="preserve">"Poništenje lokacijske dozvole po pravu nadzora", Novi informator", br. 6440/2016 </w:t>
      </w:r>
    </w:p>
    <w:p w:rsidR="005C2091" w:rsidRDefault="00A86293">
      <w:r>
        <w:t>-</w:t>
      </w:r>
      <w:r>
        <w:tab/>
        <w:t xml:space="preserve">"Arps protiv RH - jačanje jamstva pravičnog suđenja u skraćenom postupku", Novi informator", br. 6449/2016 </w:t>
      </w:r>
    </w:p>
    <w:p w:rsidR="005C2091" w:rsidRDefault="00A86293">
      <w:r>
        <w:t>-</w:t>
      </w:r>
      <w:r>
        <w:tab/>
        <w:t xml:space="preserve">"Utjecaj mjerodavnog propisa na prava trećih osoba" Hrvatska pravna revija", br. 9/2016 </w:t>
      </w:r>
    </w:p>
    <w:p w:rsidR="005C2091" w:rsidRDefault="00A86293">
      <w:r>
        <w:t>-</w:t>
      </w:r>
      <w:r>
        <w:tab/>
        <w:t xml:space="preserve">"Privilegij oslobođenja od poreza na kupnju prve nekretnine" Hrvatska pravna revija", br. 12/2016 </w:t>
      </w:r>
    </w:p>
    <w:p w:rsidR="005C2091" w:rsidRDefault="00A86293">
      <w:r>
        <w:t xml:space="preserve">Pored navedenog, USRH je u 2016. godini nastavio sa sistematiziranjem i usuglašavanjem svoje sudske prakse s praksom Europskog suda za ljudska prava u Strasbourgu (u daljnjem tekstu:  ESLJP).  </w:t>
      </w:r>
    </w:p>
    <w:p w:rsidR="005C2091" w:rsidRDefault="00A86293">
      <w:r>
        <w:t xml:space="preserve">Na internetskoj stranici USRH-a kategorizirano je i objavljeno 1.083 odluka i rješenja USRH-a. U Izboru odluka USRH-a iz 2015. (koji je izrađen dvojezično) objavljeno je 90 odluke i rješenja. U Narodnim novinama objavljeno ih je 57.  </w:t>
      </w:r>
    </w:p>
    <w:p w:rsidR="005C2091" w:rsidRDefault="00A86293">
      <w:r>
        <w:t xml:space="preserve">Na internetskoj stranici USRH-a kategorizirane su i objavljene 74 presude i odluke ESLJP-a donesene u 2016. u odnosu na Republiku Hrvatsku (presude i odluke kategoriziraju se na hrvatskom i engleskom jeziku).  </w:t>
      </w:r>
    </w:p>
    <w:p w:rsidR="005C2091" w:rsidRDefault="00A86293">
      <w:r>
        <w:t xml:space="preserve">Sadržaj baze prakse USRH-a i prakse ESLJP-a neprekidno se dopunjava novim odlukama (na hrvatskom i na engleskom jeziku). </w:t>
      </w:r>
    </w:p>
    <w:p w:rsidR="005C2091" w:rsidRDefault="00A86293" w:rsidP="002B042D">
      <w:r>
        <w:lastRenderedPageBreak/>
        <w:t xml:space="preserve">Ustavni sud je od 1. siječnja do 31. prosinca 2016. zaprimio ukupno 6.361 predmet. U tom razdoblju riješio je 6.122 predmeta. </w:t>
      </w:r>
    </w:p>
    <w:p w:rsidR="005C2091" w:rsidRDefault="00A86293" w:rsidP="002B042D">
      <w:r>
        <w:t xml:space="preserve">2) Unapređenje međunarodne suradnje USRH-a i njegovo pozicioniranje na međunarodnom planu  </w:t>
      </w:r>
    </w:p>
    <w:p w:rsidR="005C2091" w:rsidRDefault="00A86293">
      <w:r>
        <w:t xml:space="preserve">Europska perspektiva hrvatskog ustavnog sudovanja neposredno i izravno ovisi o intenzitetu i načinu predstavljanja uloge, djelovanja i rezultata rada USRH-a u međunarodnoj zajednici. Organiziranjem međunarodnih stručnih skupova, organiziranjem međudržavnih posjeta delegacija ustavnih sudova drugih država te radnih (općih ili tematskih) i društvenih sastanaka s njihovim predstavnicima, kao i aktivnim sudjelovanjem na skupovima u organizaciji drugih ustavnih sudova i/ili različitih međunarodnih organizacija ili sudišta, USRH stječe priliku prezentirati praksu i dostignuća hrvatskog ustavnog sudovanja i cjelokupnog nacionalnog pravnog sustava. Osim što na taj način bogati svoja iskustva i unaprjeđuje vlastitu sudsku praksu,  USRH time pozicionira samu Republiku Hrvatsku na međunarodnom planu kao modernu europsku demokraciju. </w:t>
      </w:r>
    </w:p>
    <w:p w:rsidR="005C2091" w:rsidRDefault="00A86293">
      <w:r>
        <w:t xml:space="preserve">Tako je predsjednica, prof. dr. sc. Jasna Omejec, na poziv predsjednika Znanstvenog vijeća za mir i ljudska prava Hrvatske akademije znanosti i umjetnosti, održala predavanje na znanstvenoj akademiji o Ustavnom sudu kao jamcu legalnosti održanoj 10. veljače 2016. u HAZU-u. </w:t>
      </w:r>
    </w:p>
    <w:p w:rsidR="005C2091" w:rsidRDefault="00A86293">
      <w:r>
        <w:t xml:space="preserve">Također je na poziv Vijeća Europe sudjelovala u radu okruglog stola o tumačenju i implementaciji Konvencije za zaštitu ljudskih prava održanom u Prištini od 19. do 21. siječnja 2016. te izlagala na temu:  Države bivše SFRJ: od zajedničkog socijalističkog pravnog nasljeđa  do zajedničkog europskog pravnog nasljeđa. </w:t>
      </w:r>
    </w:p>
    <w:p w:rsidR="005C2091" w:rsidRDefault="00A86293">
      <w:r>
        <w:t xml:space="preserve">Isto tako je na poziv Venecijanske komisije Vijeća Europe i Parlamenta Kraljevine Maroko sudjelovala u radu foruma o promoviranju ljudskog dostojanstva održanog u Rabatu, 19. i 20. veljače 2016., gdje je izlagala rad o ulozi ustavnog sudovanja u promoviranju socijalne pravde.   </w:t>
      </w:r>
    </w:p>
    <w:p w:rsidR="005C2091" w:rsidRDefault="00A86293">
      <w:r>
        <w:t xml:space="preserve">Suci dr. sc. Mato Arlović i dr. sc. Marko Babić sudjelovali su u radu regionalne konferencije koja je na temu "Ustavnosudska zaštita izbornog prava" održana u Budvi, Crna Gora, 14. - 16. veljače 2016., na kojoj su obojica izlagali referate.  </w:t>
      </w:r>
    </w:p>
    <w:p w:rsidR="005C2091" w:rsidRDefault="00A86293">
      <w:r>
        <w:t xml:space="preserve">Sudac dr. sc. Mato Arlović sudjelovao je, na poziv predsjednika Ustavnog vijeća pri Vrhovnom sudu Kirgistana, na međunarodnoj konferenciji "The Place and the Importance of the Constitutional Control Body in Effective Functioning of Checks and Balances System between the Branches of State Power", održanoj 9. i 10. lipnja 2016. u Biškeku, na kojoj je i izlagao rad.   </w:t>
      </w:r>
    </w:p>
    <w:p w:rsidR="005C2091" w:rsidRDefault="00A86293">
      <w:r>
        <w:t xml:space="preserve">Zamjenica predsjednika dr. sc. Snježana Bagić i sudac dr. sc. Mato Arlović  sudjelovali su, na poziv predsjednika Ustavnog suda Bugarske, na međunarodnom simpoziju "Protection of human rights of citizens and of national security in modern society - the role of constitutional courts", održanom u Bukureštu, 21. i 22. rujna 2016., gdje su oboje izlagali rad. </w:t>
      </w:r>
    </w:p>
    <w:p w:rsidR="005C2091" w:rsidRDefault="00A86293">
      <w:r>
        <w:t xml:space="preserve">Sudac dr. sc. Mato Arlović sudjelovao je, na poziv predsjednice Ustavnog suda Crne Gore, na regionalnoj konferenciji na temu: "Odluke Evropskog suda za ljudska prava i njihov utjecaj na standarde nacionalnih ustavnih sudova" održane u Sarajevu, od 7. do 9. travnja 2016. te izlagao rad o utjecaju odluka ESLJP-a na sadržajno ujednačavanje standarda konvencijskog i nacionalnog prava u praksi Ustavnog suda Republike Hrvatske </w:t>
      </w:r>
    </w:p>
    <w:p w:rsidR="005C2091" w:rsidRDefault="00A86293">
      <w:r>
        <w:t xml:space="preserve">Sudac mr. sc. Rajko Mlinarić, sudjelovao je na poziv predsjednice Ustavnog suda Kosova, na sudskom forumu o jedinstvenoj primjeni Europske konvencije za zaštitu ljudskih prava, na kojoj je izlagao rad o primjeni Konvencije u RH u odnosu na načelo ne bis in idem.  </w:t>
      </w:r>
    </w:p>
    <w:p w:rsidR="005C2091" w:rsidRDefault="00A86293">
      <w:r>
        <w:t xml:space="preserve">Sudac dr. sc. Mato Arlović sudjelovao je, na poziv predsjednice Ustavnog suda Crne Gore, na regionalnoj konferenciji o ulozi Ustavnog suda u izgradnji vladavine prava u Budvi od 20. do 22. prosinca 2016., na kojoj je izlagao rad "Pozitivna diskriminacija u regulaciji i zaštiti prava i sloboda pripadnika nacionalnih manjina -  uloga Ustavnog suda Republike Hrvatske". </w:t>
      </w:r>
    </w:p>
    <w:p w:rsidR="005C2091" w:rsidRDefault="00A86293">
      <w:r>
        <w:t xml:space="preserve">Viši ustavnosudski savjetnik, voditelj Službe za prethodni ispitni postupak, dr. sc. Dubravko Ljubić, na poziv Ustavnog suda Rumunjske, sudjelovao je u radu međunarodne konferencije o ulozi ustavnosudskih savjetnika te održao predavanje na temu: "The role of legal advisers  in the jurisdiction of the  Constitutional Court of the Republic of the Croatia". </w:t>
      </w:r>
    </w:p>
    <w:p w:rsidR="005C2091" w:rsidRDefault="00A86293">
      <w:r>
        <w:t xml:space="preserve">Tijekom 2016. godine zamjenica predsjednika dr. sc. Snježana Bagić održala je niz predavanja u lokalnim odvjetničkim komorama (Sisak, Rijeka, Varaždin, Pula, Dubrovnik, Koprivnica, Split) te u Hrvatskoj odvjetničkoj komori o načelu razmjernosti kako bi odvjetnike upoznala s implementacijom tog načela u praksi USRH-a i Europskog suda za ljudska prava.   </w:t>
      </w:r>
    </w:p>
    <w:p w:rsidR="005C2091" w:rsidRDefault="00A86293" w:rsidP="002B042D">
      <w:r>
        <w:lastRenderedPageBreak/>
        <w:t xml:space="preserve">Tijekom 2016. godine voditeljica Centra za dokumentaciju i evidenciju Ustavnog suda, Sanja Trgovac, održala je niz predavanja u lokalnim odvjetničkim komorama (Sisak, Rijeka, Varaždin, Pula, Dubrovnik, Koprivnica, Split) te u Hrvatskoj odvjetničkoj komori o institutu ustavne tužbe i postupovnim i materijalnim pretpostavkama za njezino podnošenje te na taj način odvjetnicima ukazala na probleme koji su u praksi USRH-a primijećeni u vezi s podnošenjem ustavne tužbe.    </w:t>
      </w:r>
    </w:p>
    <w:p w:rsidR="005C2091" w:rsidRDefault="00A86293">
      <w:r>
        <w:t xml:space="preserve">USRH u 2016. godini posjetili su: </w:t>
      </w:r>
    </w:p>
    <w:p w:rsidR="005C2091" w:rsidRDefault="00A86293">
      <w:r>
        <w:t>–</w:t>
      </w:r>
      <w:r>
        <w:tab/>
        <w:t xml:space="preserve">sudac Ustavnog suda Mađarske, dr. Istvan Stumpf </w:t>
      </w:r>
    </w:p>
    <w:p w:rsidR="005C2091" w:rsidRDefault="00A86293">
      <w:r>
        <w:t>–</w:t>
      </w:r>
      <w:r>
        <w:tab/>
        <w:t xml:space="preserve">specijalni izvjestitelj Ujedinjenih naroda o pravu na zdravlje sa suradnicima dr.  Dainius Puras (United Nations Special Rapporteur on the right to health) </w:t>
      </w:r>
    </w:p>
    <w:p w:rsidR="005C2091" w:rsidRDefault="00A86293">
      <w:r>
        <w:t>–</w:t>
      </w:r>
      <w:r>
        <w:tab/>
        <w:t xml:space="preserve">delegacija Američke odvjetničke komore (ABA), koja je u Zagreb stigla na poziv Hrvatske odvjetničke komore (HOK) i njezina predsjednika Roberta Travaša </w:t>
      </w:r>
    </w:p>
    <w:p w:rsidR="005C2091" w:rsidRDefault="00A86293">
      <w:r>
        <w:t>–</w:t>
      </w:r>
      <w:r>
        <w:tab/>
        <w:t xml:space="preserve">članovi Turske pravosudne akademije </w:t>
      </w:r>
    </w:p>
    <w:p w:rsidR="005C2091" w:rsidRDefault="00A86293">
      <w:r>
        <w:t>–</w:t>
      </w:r>
      <w:r>
        <w:tab/>
        <w:t xml:space="preserve">članovi Kongresa lokalnih i regionalnih vlasti Vijeća Europe </w:t>
      </w:r>
    </w:p>
    <w:p w:rsidR="005C2091" w:rsidRDefault="00A86293">
      <w:r>
        <w:t>–</w:t>
      </w:r>
      <w:r>
        <w:tab/>
        <w:t xml:space="preserve">zastupnici u parlamentu Republike Koreje </w:t>
      </w:r>
    </w:p>
    <w:p w:rsidR="005C2091" w:rsidRDefault="00A86293">
      <w:r>
        <w:t>–</w:t>
      </w:r>
      <w:r>
        <w:tab/>
        <w:t xml:space="preserve">ministar financija Zdravko Marić </w:t>
      </w:r>
    </w:p>
    <w:p w:rsidR="005C2091" w:rsidRDefault="00A86293">
      <w:r>
        <w:t>–</w:t>
      </w:r>
      <w:r>
        <w:tab/>
        <w:t xml:space="preserve">ministrica uprave Dubravka Jurlina Alibegović </w:t>
      </w:r>
    </w:p>
    <w:p w:rsidR="005C2091" w:rsidRDefault="00A86293">
      <w:r>
        <w:t>–</w:t>
      </w:r>
      <w:r>
        <w:tab/>
        <w:t xml:space="preserve">veleposlanik Japana u Republici Hrvatskoj, Nj. E. Keiji Takiguchi </w:t>
      </w:r>
    </w:p>
    <w:p w:rsidR="005C2091" w:rsidRDefault="00A86293">
      <w:r>
        <w:t>–</w:t>
      </w:r>
      <w:r>
        <w:tab/>
        <w:t xml:space="preserve">veleposlanica Sjedinjenih Američkih Država u Republici Hrvatskoj, Nj. E. Julieta Valls Noyes </w:t>
      </w:r>
    </w:p>
    <w:p w:rsidR="005C2091" w:rsidRDefault="00A86293">
      <w:r>
        <w:t>–</w:t>
      </w:r>
      <w:r>
        <w:tab/>
        <w:t xml:space="preserve">veleposlanica Kine u Republici Hrvatskoj, Nj. E. Deng Ying </w:t>
      </w:r>
    </w:p>
    <w:p w:rsidR="005C2091" w:rsidRDefault="00A86293">
      <w:r>
        <w:t>–</w:t>
      </w:r>
      <w:r>
        <w:tab/>
        <w:t xml:space="preserve">veleposlanik Austrije u Republici Hrvatskoj, Nj. E. Andreas Weidenhoff </w:t>
      </w:r>
    </w:p>
    <w:p w:rsidR="005C2091" w:rsidRDefault="00A86293">
      <w:r>
        <w:t>–</w:t>
      </w:r>
      <w:r>
        <w:tab/>
        <w:t xml:space="preserve">veleposlanik Azerbajdžana u Republici Hrvatskoj, Nj. E. Kamil Khasiyev </w:t>
      </w:r>
    </w:p>
    <w:p w:rsidR="005C2091" w:rsidRDefault="00A86293">
      <w:r>
        <w:t>–</w:t>
      </w:r>
      <w:r>
        <w:tab/>
        <w:t xml:space="preserve">veleposlanik Mađarske u Republici Hrvatskoj, Nj. E. József Zoltán Magyar </w:t>
      </w:r>
    </w:p>
    <w:p w:rsidR="005C2091" w:rsidRDefault="00A86293">
      <w:r>
        <w:t>–</w:t>
      </w:r>
      <w:r>
        <w:tab/>
        <w:t xml:space="preserve">veleposlanik Velike Britanije u Republici Hrvatskoj, Nj. E. Ian Cliff </w:t>
      </w:r>
    </w:p>
    <w:p w:rsidR="005C2091" w:rsidRDefault="00A86293">
      <w:r>
        <w:t>–</w:t>
      </w:r>
      <w:r>
        <w:tab/>
        <w:t xml:space="preserve">polaznici Diplomatske akademije Ministarstva vanjskih poslova RH </w:t>
      </w:r>
    </w:p>
    <w:p w:rsidR="005C2091" w:rsidRDefault="00A86293">
      <w:r>
        <w:t>–</w:t>
      </w:r>
      <w:r>
        <w:tab/>
        <w:t xml:space="preserve">delegacija službenika Ustavnog suda Albanije </w:t>
      </w:r>
    </w:p>
    <w:p w:rsidR="005C2091" w:rsidRDefault="00A86293">
      <w:r>
        <w:t>–</w:t>
      </w:r>
      <w:r>
        <w:tab/>
        <w:t xml:space="preserve">polaznici programa Judicial Training Network Exchange Programme  </w:t>
      </w:r>
    </w:p>
    <w:p w:rsidR="005C2091" w:rsidRDefault="00A86293">
      <w:r>
        <w:t xml:space="preserve">Rezultati međunarodne aktivnosti USRH-a po svojoj naravi nisu mjerljivi egzaktnim pokazateljem niti mogu trenutno pokazati svoj učinak. Ipak, kontinuirani napori uloženi u širenje spoznaja o hrvatskom ustavnom sudovanju diljem europskog kontinenta, pa i izvan njegovih granica, koji su nastavljeni i tijekom 2016., nedvojbeno su pridonijeli unapređenju međunarodnog ugleda Republike Hrvatske u svijetu. </w:t>
      </w:r>
    </w:p>
    <w:p w:rsidR="005C2091" w:rsidRDefault="00A86293">
      <w:r>
        <w:t xml:space="preserve">Razvojem međunarodnih odnosa, aktivnim sudjelovanjem na međunarodnim konferencijama i savjetovanjima, zalaganjem za normativno uređenje i neovisnost u djelovanju ustavnih sudova, Hrvatska se pozicionirala uz bok razvijenih zemalja te se na taj način promovira kao jednakopravna članica u borbi za poštovanje i zaštitu ljudskih prava i temeljnih sloboda građana. </w:t>
      </w:r>
    </w:p>
    <w:p w:rsidR="005C2091" w:rsidRDefault="00A86293" w:rsidP="002B042D">
      <w:r>
        <w:t xml:space="preserve">3) Otvaranje USRH-a javnosti i podizanje svijesti građana o značenju i ulozi ustavnog sudovanja  </w:t>
      </w:r>
    </w:p>
    <w:p w:rsidR="005C2091" w:rsidRDefault="00A86293">
      <w:r>
        <w:t xml:space="preserve">Jedna od primarnih zadaća u djelovanju USRH je stvaranje povjerenja građanstva u zaštitu njihovih temeljnih sloboda i prava utvrđenih Ustavom. Pretpostavka za to je pravilna percepcija u javnosti o ustavnom sudovanju: građani moraju biti informirani o načinima ostvarenja i zaštite svojih ustavnih prava. To između ostalog znači da građani moraju znati što trebaju i mogu očekivati od USRH-a, a što ne. U tom smislu, osim o procesno-pravnim pitanjima, oni moraju biti informirani i o načinu i uvjetima rada u Ustavnom sudu, kao i o svim aktivnostima koje on poduzima radi obavljanja svojih Ustavom propisanih nadležnosti i zadaća. </w:t>
      </w:r>
    </w:p>
    <w:p w:rsidR="005C2091" w:rsidRDefault="00A86293">
      <w:r>
        <w:t xml:space="preserve">U nastojanju da građane Republike Hrvatske što bolje informira o Ustavom zajamčenim ljudskim pravima i temeljnim slobodama i o njihovoj zaštiti, početkom 2016. godine  objavljene su nove, osuvremenjene službene internetske stranice Ustavnog suda. </w:t>
      </w:r>
    </w:p>
    <w:p w:rsidR="005C2091" w:rsidRDefault="00A86293">
      <w:r>
        <w:lastRenderedPageBreak/>
        <w:t xml:space="preserve">Tijekom 2016. godine Ustavni sud otvorio je svoju raspravnu dvoranu za edukacijska i stručna predavanja povezana s ustavnim pravom, osobito s načelima demokratskog društva, vladavine prava i zaštite ljudskih prava. Glavni tajnik USRH-a, dr. sc. Teodor Antić, održao je nekoliko predavanja o organizaciji i radu USRH-a za studente visokog učilišta Effectus i studente ELSA-e iz Zagreba i Rijeke. </w:t>
      </w:r>
    </w:p>
    <w:p w:rsidR="005C2091" w:rsidRDefault="00A86293">
      <w:r>
        <w:t xml:space="preserve">Aktivnostima provedenima tijekom 2016. godine Ustavni sud približio se ostvarenju cilja otvaranja USRH-a javnosti i podizanja svijesti građana o značenju i ulozi ustavnog sudovanja. </w:t>
      </w:r>
    </w:p>
    <w:p w:rsidR="005C2091" w:rsidRDefault="00A86293">
      <w:r>
        <w:t xml:space="preserve">Konačni rezultat otvaranja USRH-a javnosti putem javnih istupa i korištenja suvremene tehnologije jest približavanje ustavnog sudovanja građanima i nevladinim udrugama, što bi trebalo pridonijeti podizanju povjerenja građana Republike Hrvatske u institucije sustava, podizanju svijesti građana o pravnoj sigurnosti objektivnog pravnog poretka kao osnovnog čimbenika za dobro funkcioniranje i stabilnost države. </w:t>
      </w:r>
    </w:p>
    <w:p w:rsidR="002B042D" w:rsidRDefault="002B042D"/>
    <w:p w:rsidR="002B042D" w:rsidRDefault="002B042D"/>
    <w:p w:rsidR="005C2091" w:rsidRPr="002B042D" w:rsidRDefault="00A86293">
      <w:pPr>
        <w:rPr>
          <w:b/>
        </w:rPr>
      </w:pPr>
      <w:r w:rsidRPr="002B042D">
        <w:rPr>
          <w:b/>
        </w:rPr>
        <w:t xml:space="preserve">Zakonske i druge pravne osnove </w:t>
      </w:r>
    </w:p>
    <w:p w:rsidR="005C2091" w:rsidRDefault="00A86293">
      <w:r>
        <w:t>Ustav Republike Hrvatske, NN broj 56/90., 135/97., 113/00., 28/01., 76/10. i 5/14., Ustavni zakon o Ustavnom sudu Republike Hrvatske, NN 99/99, 29/02 i 49/02 - pročišćeni tekst, Poslovnik USRH-a NN 181/03, 16/06, 30/08, 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5C2091" w:rsidRDefault="00A86293">
      <w:pPr>
        <w:pStyle w:val="Heading4"/>
      </w:pPr>
      <w:r>
        <w:t>A506000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A506000-ADMINISTRACIJA I UPRAVLJANJE</w:t>
            </w:r>
          </w:p>
        </w:tc>
        <w:tc>
          <w:tcPr>
            <w:tcW w:w="2041" w:type="dxa"/>
          </w:tcPr>
          <w:p w:rsidR="005C2091" w:rsidRDefault="00A86293">
            <w:pPr>
              <w:pStyle w:val="CellColumn"/>
              <w:jc w:val="right"/>
            </w:pPr>
            <w:r>
              <w:rPr>
                <w:rFonts w:cs="Times New Roman"/>
              </w:rPr>
              <w:t>24.628.778</w:t>
            </w:r>
          </w:p>
        </w:tc>
        <w:tc>
          <w:tcPr>
            <w:tcW w:w="2041" w:type="dxa"/>
          </w:tcPr>
          <w:p w:rsidR="005C2091" w:rsidRDefault="00A86293">
            <w:pPr>
              <w:pStyle w:val="CellColumn"/>
              <w:jc w:val="right"/>
            </w:pPr>
            <w:r>
              <w:rPr>
                <w:rFonts w:cs="Times New Roman"/>
              </w:rPr>
              <w:t>26.179.044</w:t>
            </w:r>
          </w:p>
        </w:tc>
        <w:tc>
          <w:tcPr>
            <w:tcW w:w="2041" w:type="dxa"/>
          </w:tcPr>
          <w:p w:rsidR="005C2091" w:rsidRDefault="00A86293">
            <w:pPr>
              <w:pStyle w:val="CellColumn"/>
              <w:jc w:val="right"/>
            </w:pPr>
            <w:r>
              <w:rPr>
                <w:rFonts w:cs="Times New Roman"/>
              </w:rPr>
              <w:t>25.867.432</w:t>
            </w:r>
          </w:p>
        </w:tc>
        <w:tc>
          <w:tcPr>
            <w:tcW w:w="1224" w:type="dxa"/>
          </w:tcPr>
          <w:p w:rsidR="005C2091" w:rsidRDefault="00A86293">
            <w:pPr>
              <w:pStyle w:val="CellColumn"/>
              <w:jc w:val="right"/>
            </w:pPr>
            <w:r>
              <w:rPr>
                <w:rFonts w:cs="Times New Roman"/>
              </w:rPr>
              <w:t>98,8</w:t>
            </w:r>
          </w:p>
        </w:tc>
        <w:tc>
          <w:tcPr>
            <w:tcW w:w="1224" w:type="dxa"/>
          </w:tcPr>
          <w:p w:rsidR="005C2091" w:rsidRDefault="00A86293">
            <w:pPr>
              <w:pStyle w:val="CellColumn"/>
              <w:jc w:val="right"/>
            </w:pPr>
            <w:r>
              <w:rPr>
                <w:rFonts w:cs="Times New Roman"/>
              </w:rPr>
              <w:t>105,0</w:t>
            </w:r>
          </w:p>
        </w:tc>
      </w:tr>
    </w:tbl>
    <w:p w:rsidR="005C2091" w:rsidRDefault="005C2091">
      <w:pPr>
        <w:jc w:val="left"/>
      </w:pPr>
    </w:p>
    <w:p w:rsidR="005C2091" w:rsidRDefault="00A86293">
      <w:pPr>
        <w:pStyle w:val="Heading8"/>
        <w:jc w:val="left"/>
      </w:pPr>
      <w:r>
        <w:t>Zakonske i druge pravne osnove</w:t>
      </w:r>
    </w:p>
    <w:p w:rsidR="005C2091" w:rsidRDefault="00A86293">
      <w:r>
        <w:t>Ustav Republike Hrvatske, NN broj 56/90., 135/97., 113/00., 28/01., 76/10. i 5/14., Ustavni zakon o Ustavnom sudu Republike Hrvatske, NN 99/99, 29/02 i 49/02 - pročišćeni tekst, Poslovnik USRH-a NN 181/03, 16/06, 30/08, 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5C2091" w:rsidRDefault="00A86293">
      <w:pPr>
        <w:pStyle w:val="Heading8"/>
        <w:jc w:val="left"/>
      </w:pPr>
      <w:r>
        <w:t>Opis aktivnosti</w:t>
      </w:r>
    </w:p>
    <w:p w:rsidR="005C2091" w:rsidRDefault="00A86293">
      <w:r>
        <w:t xml:space="preserve">U okviru proračuna USRH-a primarna je aktivnost "Administracija i upravljanje". Kroz navedenu aktivnost financiraju se rashodi za zaposlene te materijalni i kapitalni troškovi za potrebe redovne djelatnosti. </w:t>
      </w:r>
    </w:p>
    <w:p w:rsidR="005C2091" w:rsidRDefault="00A86293">
      <w:r>
        <w:t xml:space="preserve">Za potrebe financiranja aktivnosti u 2016. godini planirana su sredstva u iznosu od 26.179.044,00 kn, što čini 94,97% proračuna USRH-a. Troškovi su ostvareni u visini 25.867.432,10 kn, odnosno 98,81% od planiranih sredstava.  </w:t>
      </w:r>
    </w:p>
    <w:p w:rsidR="005C2091" w:rsidRDefault="00A86293">
      <w:r>
        <w:t xml:space="preserve">U strukturi rashoda poslovanja, izdaci za zaposlene ostvareni su u visini od 23.082.562,90 kn ili 99,93% u odnosu na planiranih 23.099.184,00 kn. Tijekom 2016. godine u USRH-u  bilo  je zaposleno prosječno 109 djelatnika, od toga 14 državnih dužnosnika i 95 državnih službenika i namještenika. </w:t>
      </w:r>
    </w:p>
    <w:p w:rsidR="005C2091" w:rsidRDefault="00A86293">
      <w:r>
        <w:t xml:space="preserve">Materijalni i financijski troškovi ostvareni su u iznosu od 2.652.157,71 kn, odnosno 90,37% od 2.934.860,00 kn planiranih sredstava. U nominalnom iznosu uštede na materijalnim i financijskim rashodima iznose 282.702,29 kn i rezultat su kontinuiranog provođenja mjera maksimalne štednje i racionalizacije, a posebno na stavkama materijala i dijelova za tekuće i investicijsko održavanje, sitnog inventara, energije, usluga telefona, pošte i prijevoza, usluga promidžbe i informiranja, usluga tekućeg i investicijskog održavanja, intelektualnih i osobnih usluga te ostalih usluga. </w:t>
      </w:r>
    </w:p>
    <w:p w:rsidR="005C2091" w:rsidRDefault="00A86293">
      <w:r>
        <w:lastRenderedPageBreak/>
        <w:t>Za nabavku nefinancijske imovine planirano je 145.000,00 kn, od čega je izvršeno 132.711,49 kn, odnosno 91,53%. Navedeno odstupanje nastalo je iz dva razloga: prvo, provedbom postupka nabave bagatelne vrijednosti usluga mobilne telefonije i mobilnih telefona postignuta je vrlo povoljna cijena mobilnih telefona, i drugo, ciljanim smanjenjem nabavke stručne literature na početno planiranu jer je zaključeno da se i u 2016. godini nastavi s politikom štednje korištenjem e-izvora u najvećoj mogućoj mjeri.</w:t>
      </w:r>
    </w:p>
    <w:p w:rsidR="005C2091" w:rsidRDefault="00A86293">
      <w:pPr>
        <w:pStyle w:val="Heading4"/>
      </w:pPr>
      <w:r>
        <w:t>A506037 MEĐUNARODNA SURADNJA</w:t>
      </w:r>
    </w:p>
    <w:tbl>
      <w:tblPr>
        <w:tblStyle w:val="StilTablice"/>
        <w:tblW w:w="10206" w:type="dxa"/>
        <w:jc w:val="center"/>
        <w:tblLook w:val="04A0" w:firstRow="1" w:lastRow="0" w:firstColumn="1" w:lastColumn="0" w:noHBand="0" w:noVBand="1"/>
      </w:tblPr>
      <w:tblGrid>
        <w:gridCol w:w="1703"/>
        <w:gridCol w:w="2021"/>
        <w:gridCol w:w="2020"/>
        <w:gridCol w:w="2021"/>
        <w:gridCol w:w="1220"/>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A506037-MEĐUNARODNA SURADNJA</w:t>
            </w:r>
          </w:p>
        </w:tc>
        <w:tc>
          <w:tcPr>
            <w:tcW w:w="2041" w:type="dxa"/>
          </w:tcPr>
          <w:p w:rsidR="005C2091" w:rsidRDefault="00A86293">
            <w:pPr>
              <w:pStyle w:val="CellColumn"/>
              <w:jc w:val="right"/>
            </w:pPr>
            <w:r>
              <w:rPr>
                <w:rFonts w:cs="Times New Roman"/>
              </w:rPr>
              <w:t>206.945</w:t>
            </w:r>
          </w:p>
        </w:tc>
        <w:tc>
          <w:tcPr>
            <w:tcW w:w="2041" w:type="dxa"/>
          </w:tcPr>
          <w:p w:rsidR="005C2091" w:rsidRDefault="00A86293">
            <w:pPr>
              <w:pStyle w:val="CellColumn"/>
              <w:jc w:val="right"/>
            </w:pPr>
            <w:r>
              <w:rPr>
                <w:rFonts w:cs="Times New Roman"/>
              </w:rPr>
              <w:t>314.000</w:t>
            </w:r>
          </w:p>
        </w:tc>
        <w:tc>
          <w:tcPr>
            <w:tcW w:w="2041" w:type="dxa"/>
          </w:tcPr>
          <w:p w:rsidR="005C2091" w:rsidRDefault="00A86293">
            <w:pPr>
              <w:pStyle w:val="CellColumn"/>
              <w:jc w:val="right"/>
            </w:pPr>
            <w:r>
              <w:rPr>
                <w:rFonts w:cs="Times New Roman"/>
              </w:rPr>
              <w:t>221.591</w:t>
            </w:r>
          </w:p>
        </w:tc>
        <w:tc>
          <w:tcPr>
            <w:tcW w:w="1224" w:type="dxa"/>
          </w:tcPr>
          <w:p w:rsidR="005C2091" w:rsidRDefault="00A86293">
            <w:pPr>
              <w:pStyle w:val="CellColumn"/>
              <w:jc w:val="right"/>
            </w:pPr>
            <w:r>
              <w:rPr>
                <w:rFonts w:cs="Times New Roman"/>
              </w:rPr>
              <w:t>70,6</w:t>
            </w:r>
          </w:p>
        </w:tc>
        <w:tc>
          <w:tcPr>
            <w:tcW w:w="1224" w:type="dxa"/>
          </w:tcPr>
          <w:p w:rsidR="005C2091" w:rsidRDefault="00A86293">
            <w:pPr>
              <w:pStyle w:val="CellColumn"/>
              <w:jc w:val="right"/>
            </w:pPr>
            <w:r>
              <w:rPr>
                <w:rFonts w:cs="Times New Roman"/>
              </w:rPr>
              <w:t>107,1</w:t>
            </w:r>
          </w:p>
        </w:tc>
      </w:tr>
    </w:tbl>
    <w:p w:rsidR="005C2091" w:rsidRDefault="005C2091">
      <w:pPr>
        <w:jc w:val="left"/>
      </w:pPr>
    </w:p>
    <w:p w:rsidR="005C2091" w:rsidRDefault="00A86293">
      <w:pPr>
        <w:pStyle w:val="Heading8"/>
        <w:jc w:val="left"/>
      </w:pPr>
      <w:r>
        <w:t>Zakonske i druge pravne osnove</w:t>
      </w:r>
    </w:p>
    <w:p w:rsidR="005C2091" w:rsidRDefault="00A86293">
      <w:r>
        <w:t>Ustav Republike Hrvatske, NN broj 56/90., 135/97., 113/00., 28/01., 76/10. i 5/14., Ustavni zakon o Ustavnom sudu Republike Hrvatske, NN 99/99, 29/02 i 49/02 - pročišćeni tekst, Poslovnik USRH-a NN 181/03, 16/06, 30/08, 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5C2091" w:rsidRDefault="00A86293">
      <w:pPr>
        <w:pStyle w:val="Heading8"/>
        <w:jc w:val="left"/>
      </w:pPr>
      <w:r>
        <w:t>Opis aktivnosti</w:t>
      </w:r>
    </w:p>
    <w:p w:rsidR="005C2091" w:rsidRDefault="00A86293">
      <w:r>
        <w:t xml:space="preserve">U okviru "Međunarodne suradnje" ostvareni su rashodi od 70,57%, odnosno 221.590,76 kn u odnosu na planiranih 314.000,00 kn. Uzrok navedenog odstupanja leži u primjeni strogih mjera štednje prilikom redovitog održavanja bilateralnih i multilateralnih radnih susreta s ustavnim sudovima drugih država, i to u ulozi domaćina ili gosta.  </w:t>
      </w:r>
    </w:p>
    <w:p w:rsidR="005C2091" w:rsidRDefault="00A86293">
      <w:r>
        <w:t>Treba istaknuti da USRH kontinuirano surađuje s ustavnim sudovima država koje se nalaze na popisu Odbora za razvojnu pomoć OECD-a (Crna Gora, Srbija, Bosna i Hercegovina i Makedonija), ali sve više i s Kosovom, Tunisom, Marokom, kao i državama Centralne Azije.</w:t>
      </w:r>
    </w:p>
    <w:p w:rsidR="005C2091" w:rsidRDefault="00A86293">
      <w:pPr>
        <w:pStyle w:val="Heading4"/>
      </w:pPr>
      <w:r>
        <w:t>A506039 OTVARANJE USTAVNOG SUDA JAVNOSTI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A506039-OTVARANJE USTAVNOG SUDA JAVNOSTI</w:t>
            </w:r>
          </w:p>
        </w:tc>
        <w:tc>
          <w:tcPr>
            <w:tcW w:w="2041" w:type="dxa"/>
          </w:tcPr>
          <w:p w:rsidR="005C2091" w:rsidRDefault="00A86293">
            <w:pPr>
              <w:pStyle w:val="CellColumn"/>
              <w:jc w:val="right"/>
            </w:pPr>
            <w:r>
              <w:rPr>
                <w:rFonts w:cs="Times New Roman"/>
              </w:rPr>
              <w:t>82.794</w:t>
            </w:r>
          </w:p>
        </w:tc>
        <w:tc>
          <w:tcPr>
            <w:tcW w:w="2041" w:type="dxa"/>
          </w:tcPr>
          <w:p w:rsidR="005C2091" w:rsidRDefault="00A86293">
            <w:pPr>
              <w:pStyle w:val="CellColumn"/>
              <w:jc w:val="right"/>
            </w:pPr>
            <w:r>
              <w:rPr>
                <w:rFonts w:cs="Times New Roman"/>
              </w:rPr>
              <w:t>133.000</w:t>
            </w:r>
          </w:p>
        </w:tc>
        <w:tc>
          <w:tcPr>
            <w:tcW w:w="2041" w:type="dxa"/>
          </w:tcPr>
          <w:p w:rsidR="005C2091" w:rsidRDefault="00A86293">
            <w:pPr>
              <w:pStyle w:val="CellColumn"/>
              <w:jc w:val="right"/>
            </w:pPr>
            <w:r>
              <w:rPr>
                <w:rFonts w:cs="Times New Roman"/>
              </w:rPr>
              <w:t>102.369</w:t>
            </w:r>
          </w:p>
        </w:tc>
        <w:tc>
          <w:tcPr>
            <w:tcW w:w="1224" w:type="dxa"/>
          </w:tcPr>
          <w:p w:rsidR="005C2091" w:rsidRDefault="00A86293">
            <w:pPr>
              <w:pStyle w:val="CellColumn"/>
              <w:jc w:val="right"/>
            </w:pPr>
            <w:r>
              <w:rPr>
                <w:rFonts w:cs="Times New Roman"/>
              </w:rPr>
              <w:t>77,0</w:t>
            </w:r>
          </w:p>
        </w:tc>
        <w:tc>
          <w:tcPr>
            <w:tcW w:w="1224" w:type="dxa"/>
          </w:tcPr>
          <w:p w:rsidR="005C2091" w:rsidRDefault="00A86293">
            <w:pPr>
              <w:pStyle w:val="CellColumn"/>
              <w:jc w:val="right"/>
            </w:pPr>
            <w:r>
              <w:rPr>
                <w:rFonts w:cs="Times New Roman"/>
              </w:rPr>
              <w:t>123,6</w:t>
            </w:r>
          </w:p>
        </w:tc>
      </w:tr>
    </w:tbl>
    <w:p w:rsidR="005C2091" w:rsidRDefault="005C2091">
      <w:pPr>
        <w:jc w:val="left"/>
      </w:pPr>
    </w:p>
    <w:p w:rsidR="005C2091" w:rsidRDefault="00A86293">
      <w:pPr>
        <w:pStyle w:val="Heading8"/>
        <w:jc w:val="left"/>
      </w:pPr>
      <w:r>
        <w:t>Zakonske i druge pravne osnove</w:t>
      </w:r>
    </w:p>
    <w:p w:rsidR="005C2091" w:rsidRDefault="00A86293">
      <w:r>
        <w:t>Ustav Republike Hrvatske, NN broj 56/90., 135/97., 113/00., 28/01., 76/10. i 5/14., Ustavni zakon o Ustavnom sudu Republike Hrvatske, NN 99/99, 29/02 i 49/02 - pročišćeni tekst, Poslovnik USRH-a NN 181/03, 16/06, 30/08, 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5C2091" w:rsidRDefault="00A86293">
      <w:pPr>
        <w:pStyle w:val="Heading8"/>
        <w:jc w:val="left"/>
      </w:pPr>
      <w:r>
        <w:t>Opis aktivnosti</w:t>
      </w:r>
    </w:p>
    <w:p w:rsidR="005C2091" w:rsidRDefault="00A86293">
      <w:r>
        <w:t xml:space="preserve">U okviru aktivnosti "Otvaranje USRH-a javnosti", materijalni troškovi planirani su u iznosu od 133.000,00 kn, a izvršeni u iznosu od 102.368,90 kn ili 76,97%. Navedeni troškovi obuhvaćaju usluge prijevoda odluka USRH-a. </w:t>
      </w:r>
      <w:r>
        <w:lastRenderedPageBreak/>
        <w:t>Usluge prijevoda su neophodne zbog dostupnosti sistematizirane i objavljene ustavnosudske prakse u Zborniku odluka USRH-a i na službenoj internetskoj stranici. Sve važne informacije prevođene su na engleski jezik, a jednako tako prijevodi važnih materijala ESLJP-a, Suda EU u Luxembourgu i drugih relevantnih stranih institucija prevođeni su sa stranih jezika i objavljivani na internetskoj stranici USRH-a.</w:t>
      </w:r>
    </w:p>
    <w:p w:rsidR="005C2091" w:rsidRDefault="00A86293">
      <w:pPr>
        <w:pStyle w:val="Heading4"/>
      </w:pPr>
      <w:r>
        <w:t>K506003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K506003-INFORMATIZACIJA</w:t>
            </w:r>
          </w:p>
        </w:tc>
        <w:tc>
          <w:tcPr>
            <w:tcW w:w="2041" w:type="dxa"/>
          </w:tcPr>
          <w:p w:rsidR="005C2091" w:rsidRDefault="00A86293">
            <w:pPr>
              <w:pStyle w:val="CellColumn"/>
              <w:jc w:val="right"/>
            </w:pPr>
            <w:r>
              <w:rPr>
                <w:rFonts w:cs="Times New Roman"/>
              </w:rPr>
              <w:t>340.723</w:t>
            </w:r>
          </w:p>
        </w:tc>
        <w:tc>
          <w:tcPr>
            <w:tcW w:w="2041" w:type="dxa"/>
          </w:tcPr>
          <w:p w:rsidR="005C2091" w:rsidRDefault="00A86293">
            <w:pPr>
              <w:pStyle w:val="CellColumn"/>
              <w:jc w:val="right"/>
            </w:pPr>
            <w:r>
              <w:rPr>
                <w:rFonts w:cs="Times New Roman"/>
              </w:rPr>
              <w:t>372.000</w:t>
            </w:r>
          </w:p>
        </w:tc>
        <w:tc>
          <w:tcPr>
            <w:tcW w:w="2041" w:type="dxa"/>
          </w:tcPr>
          <w:p w:rsidR="005C2091" w:rsidRDefault="00A86293">
            <w:pPr>
              <w:pStyle w:val="CellColumn"/>
              <w:jc w:val="right"/>
            </w:pPr>
            <w:r>
              <w:rPr>
                <w:rFonts w:cs="Times New Roman"/>
              </w:rPr>
              <w:t>349.965</w:t>
            </w:r>
          </w:p>
        </w:tc>
        <w:tc>
          <w:tcPr>
            <w:tcW w:w="1224" w:type="dxa"/>
          </w:tcPr>
          <w:p w:rsidR="005C2091" w:rsidRDefault="00A86293">
            <w:pPr>
              <w:pStyle w:val="CellColumn"/>
              <w:jc w:val="right"/>
            </w:pPr>
            <w:r>
              <w:rPr>
                <w:rFonts w:cs="Times New Roman"/>
              </w:rPr>
              <w:t>94,1</w:t>
            </w:r>
          </w:p>
        </w:tc>
        <w:tc>
          <w:tcPr>
            <w:tcW w:w="1224" w:type="dxa"/>
          </w:tcPr>
          <w:p w:rsidR="005C2091" w:rsidRDefault="00A86293">
            <w:pPr>
              <w:pStyle w:val="CellColumn"/>
              <w:jc w:val="right"/>
            </w:pPr>
            <w:r>
              <w:rPr>
                <w:rFonts w:cs="Times New Roman"/>
              </w:rPr>
              <w:t>102,7</w:t>
            </w:r>
          </w:p>
        </w:tc>
      </w:tr>
    </w:tbl>
    <w:p w:rsidR="005C2091" w:rsidRDefault="005C2091">
      <w:pPr>
        <w:jc w:val="left"/>
      </w:pPr>
    </w:p>
    <w:p w:rsidR="005C2091" w:rsidRDefault="00A86293">
      <w:pPr>
        <w:pStyle w:val="Heading8"/>
        <w:jc w:val="left"/>
      </w:pPr>
      <w:r>
        <w:t>Zakonske i druge pravne osnove</w:t>
      </w:r>
    </w:p>
    <w:p w:rsidR="005C2091" w:rsidRDefault="00A86293">
      <w:r>
        <w:t>Ustav Republike Hrvatske, NN broj 56/90., 135/97., 113/00., 28/01., 76/10. i 5/14., Ustavni zakon o Ustavnom sudu Republike Hrvatske, NN 99/99, 29/02 i 49/02 - pročišćeni tekst, Poslovnik USRH-a NN 181/03, 16/06, 30/08, 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5C2091" w:rsidRDefault="00A86293">
      <w:pPr>
        <w:pStyle w:val="Heading8"/>
        <w:jc w:val="left"/>
      </w:pPr>
      <w:r>
        <w:t>Opis aktivnosti</w:t>
      </w:r>
    </w:p>
    <w:p w:rsidR="005C2091" w:rsidRDefault="00A86293">
      <w:r>
        <w:t>Za redovno ulaganje u osuvremenjivanje informatičke opreme, izradu nove internetske stranice i neophodno održavanje programske podrške potrebne za nesmetano obavljanje djelatnosti USRH-a, u okviru kapitalnog projekta "Informatizacija" planiran je iznos od 372.000,00 kn, od čega je realizirano 349.964,70 kn ili 94,08%. Ušteda od 22.035,30 kn rezultat je vrlo uspješnog provođenja postupka bagatelne nabave.</w:t>
      </w:r>
    </w:p>
    <w:p w:rsidR="005C2091" w:rsidRDefault="00A86293">
      <w:pPr>
        <w:pStyle w:val="Heading4"/>
      </w:pPr>
      <w:r>
        <w:t>K506036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K506036-OBNOVA VOZNOG PARKA</w:t>
            </w:r>
          </w:p>
        </w:tc>
        <w:tc>
          <w:tcPr>
            <w:tcW w:w="2041" w:type="dxa"/>
          </w:tcPr>
          <w:p w:rsidR="005C2091" w:rsidRDefault="00A86293">
            <w:pPr>
              <w:pStyle w:val="CellColumn"/>
              <w:jc w:val="right"/>
            </w:pPr>
            <w:r>
              <w:rPr>
                <w:rFonts w:cs="Times New Roman"/>
              </w:rPr>
              <w:t>591.381</w:t>
            </w:r>
          </w:p>
        </w:tc>
        <w:tc>
          <w:tcPr>
            <w:tcW w:w="2041" w:type="dxa"/>
          </w:tcPr>
          <w:p w:rsidR="005C2091" w:rsidRDefault="00A86293">
            <w:pPr>
              <w:pStyle w:val="CellColumn"/>
              <w:jc w:val="right"/>
            </w:pPr>
            <w:r>
              <w:rPr>
                <w:rFonts w:cs="Times New Roman"/>
              </w:rPr>
              <w:t>570.000</w:t>
            </w:r>
          </w:p>
        </w:tc>
        <w:tc>
          <w:tcPr>
            <w:tcW w:w="2041" w:type="dxa"/>
          </w:tcPr>
          <w:p w:rsidR="005C2091" w:rsidRDefault="00A86293">
            <w:pPr>
              <w:pStyle w:val="CellColumn"/>
              <w:jc w:val="right"/>
            </w:pPr>
            <w:r>
              <w:rPr>
                <w:rFonts w:cs="Times New Roman"/>
              </w:rPr>
              <w:t>569.925</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96,4</w:t>
            </w:r>
          </w:p>
        </w:tc>
      </w:tr>
    </w:tbl>
    <w:p w:rsidR="005C2091" w:rsidRDefault="005C2091">
      <w:pPr>
        <w:jc w:val="left"/>
      </w:pPr>
    </w:p>
    <w:p w:rsidR="005C2091" w:rsidRDefault="00A86293">
      <w:pPr>
        <w:pStyle w:val="Heading8"/>
        <w:jc w:val="left"/>
      </w:pPr>
      <w:r>
        <w:t>Zakonske i druge pravne osnove</w:t>
      </w:r>
    </w:p>
    <w:p w:rsidR="005C2091" w:rsidRDefault="00A86293">
      <w:r>
        <w:t>Ustav Republike Hrvatske, NN broj 56/90., 135/97., 113/00., 28/01., 76/10. i 5/14., Ustavni zakon o Ustavnom sudu Republike Hrvatske, NN 99/99, 29/02 i 49/02 - pročišćeni tekst, Poslovnik USRH-a NN 181/03, 16/06, 30/08, 123/09, 63/10, 121/10, 19/13, 37/14 , i 2/15; Konvencija za zaštitu ljudskih prava i temeljnih sloboda zajedno s Protokolima br. 1, 4, 6, 7, 12, 13. (kako je izmijenjena Protokolom br. 14); Povelja o temeljnim pravima Europske unije te primarno i sekundarno zakonodavstvo Europske unije.</w:t>
      </w:r>
    </w:p>
    <w:p w:rsidR="005C2091" w:rsidRDefault="00A86293">
      <w:pPr>
        <w:pStyle w:val="Heading8"/>
        <w:jc w:val="left"/>
      </w:pPr>
      <w:r>
        <w:t>Opis aktivnosti</w:t>
      </w:r>
    </w:p>
    <w:p w:rsidR="002B042D" w:rsidRDefault="00A86293">
      <w:r>
        <w:t>Kapitalni projekt "Obnova voznog parka" izvršen je u visini 99,99% u odnosu na planirana sredstva u visini od 570.000,00 kn. Nakon uspješno provedenog otvorenog postupka javne nabave, od 1. svibnja 2015. odabrana je najpovoljnija ponuda za najam pet osobnih automobila i to jednog automobila više srednje klase, tri srednje klase i jednog osobnog automobila niže klase na dizelsko pogonsko gorivo. Namjenskim sredstvima financira se najam i održavanje 4 automobila za službene potrebe prijevoza 14 državnih dužnosnika i 1 automobil za potrebe dostave i nabave te najam 5 parkirnih mjesta u garaži "Tuškanac" za parkiranje službenih automobila.</w:t>
      </w:r>
    </w:p>
    <w:p w:rsidR="005C2091" w:rsidRDefault="00A86293">
      <w:pPr>
        <w:pStyle w:val="Heading1"/>
      </w:pPr>
      <w:r>
        <w:lastRenderedPageBreak/>
        <w:t>018 AGENCIJA ZA ZAŠTITU TRŽIŠNOG NATJECANJA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01805-Agencija za zaštitu tržišnog natjecanja</w:t>
            </w:r>
          </w:p>
        </w:tc>
        <w:tc>
          <w:tcPr>
            <w:tcW w:w="2041" w:type="dxa"/>
            <w:vAlign w:val="top"/>
          </w:tcPr>
          <w:p w:rsidR="005C2091" w:rsidRDefault="00A86293">
            <w:pPr>
              <w:pStyle w:val="CellColumn"/>
              <w:jc w:val="right"/>
            </w:pPr>
            <w:r>
              <w:rPr>
                <w:rFonts w:cs="Times New Roman"/>
              </w:rPr>
              <w:t>11.036.382</w:t>
            </w:r>
          </w:p>
        </w:tc>
        <w:tc>
          <w:tcPr>
            <w:tcW w:w="2041" w:type="dxa"/>
            <w:vAlign w:val="top"/>
          </w:tcPr>
          <w:p w:rsidR="005C2091" w:rsidRDefault="00A86293">
            <w:pPr>
              <w:pStyle w:val="CellColumn"/>
              <w:jc w:val="right"/>
            </w:pPr>
            <w:r>
              <w:rPr>
                <w:rFonts w:cs="Times New Roman"/>
              </w:rPr>
              <w:t>10.343.072</w:t>
            </w:r>
          </w:p>
        </w:tc>
        <w:tc>
          <w:tcPr>
            <w:tcW w:w="2041" w:type="dxa"/>
            <w:vAlign w:val="top"/>
          </w:tcPr>
          <w:p w:rsidR="005C2091" w:rsidRDefault="00A86293">
            <w:pPr>
              <w:pStyle w:val="CellColumn"/>
              <w:jc w:val="right"/>
            </w:pPr>
            <w:r>
              <w:rPr>
                <w:rFonts w:cs="Times New Roman"/>
              </w:rPr>
              <w:t>10.195.977</w:t>
            </w:r>
          </w:p>
        </w:tc>
        <w:tc>
          <w:tcPr>
            <w:tcW w:w="1224" w:type="dxa"/>
            <w:vAlign w:val="top"/>
          </w:tcPr>
          <w:p w:rsidR="005C2091" w:rsidRDefault="00A86293">
            <w:pPr>
              <w:pStyle w:val="CellColumn"/>
              <w:jc w:val="right"/>
            </w:pPr>
            <w:r>
              <w:rPr>
                <w:rFonts w:cs="Times New Roman"/>
              </w:rPr>
              <w:t>98,6</w:t>
            </w:r>
          </w:p>
        </w:tc>
        <w:tc>
          <w:tcPr>
            <w:tcW w:w="1224" w:type="dxa"/>
            <w:vAlign w:val="top"/>
          </w:tcPr>
          <w:p w:rsidR="005C2091" w:rsidRDefault="00A86293">
            <w:pPr>
              <w:pStyle w:val="CellColumn"/>
              <w:jc w:val="right"/>
            </w:pPr>
            <w:r>
              <w:rPr>
                <w:rFonts w:cs="Times New Roman"/>
              </w:rPr>
              <w:t>92,4</w:t>
            </w:r>
          </w:p>
        </w:tc>
      </w:tr>
      <w:tr w:rsidR="005C2091">
        <w:trPr>
          <w:jc w:val="center"/>
        </w:trPr>
        <w:tc>
          <w:tcPr>
            <w:tcW w:w="1632" w:type="dxa"/>
            <w:shd w:val="clear" w:color="auto" w:fill="B5C0D8"/>
          </w:tcPr>
          <w:p w:rsidR="005C2091" w:rsidRDefault="00A86293">
            <w:pPr>
              <w:pStyle w:val="CellColumn"/>
              <w:jc w:val="left"/>
            </w:pPr>
            <w:r>
              <w:rPr>
                <w:rFonts w:cs="Times New Roman"/>
              </w:rPr>
              <w:t>Ukupno 018-AGENCIJA ZA ZAŠTITU TRŽIŠNOG NATJECANJA</w:t>
            </w:r>
          </w:p>
        </w:tc>
        <w:tc>
          <w:tcPr>
            <w:tcW w:w="2041" w:type="dxa"/>
            <w:shd w:val="clear" w:color="auto" w:fill="B5C0D8"/>
          </w:tcPr>
          <w:p w:rsidR="005C2091" w:rsidRDefault="00A86293">
            <w:pPr>
              <w:pStyle w:val="CellColumn"/>
              <w:jc w:val="right"/>
            </w:pPr>
            <w:r>
              <w:rPr>
                <w:rFonts w:cs="Times New Roman"/>
              </w:rPr>
              <w:t>11.036.382</w:t>
            </w:r>
          </w:p>
        </w:tc>
        <w:tc>
          <w:tcPr>
            <w:tcW w:w="2041" w:type="dxa"/>
            <w:shd w:val="clear" w:color="auto" w:fill="B5C0D8"/>
          </w:tcPr>
          <w:p w:rsidR="005C2091" w:rsidRDefault="00A86293">
            <w:pPr>
              <w:pStyle w:val="CellColumn"/>
              <w:jc w:val="right"/>
            </w:pPr>
            <w:r>
              <w:rPr>
                <w:rFonts w:cs="Times New Roman"/>
              </w:rPr>
              <w:t>10.343.072</w:t>
            </w:r>
          </w:p>
        </w:tc>
        <w:tc>
          <w:tcPr>
            <w:tcW w:w="2041" w:type="dxa"/>
            <w:shd w:val="clear" w:color="auto" w:fill="B5C0D8"/>
          </w:tcPr>
          <w:p w:rsidR="005C2091" w:rsidRDefault="00A86293">
            <w:pPr>
              <w:pStyle w:val="CellColumn"/>
              <w:jc w:val="right"/>
            </w:pPr>
            <w:r>
              <w:rPr>
                <w:rFonts w:cs="Times New Roman"/>
              </w:rPr>
              <w:t>10.195.977</w:t>
            </w:r>
          </w:p>
        </w:tc>
        <w:tc>
          <w:tcPr>
            <w:tcW w:w="1224" w:type="dxa"/>
            <w:shd w:val="clear" w:color="auto" w:fill="B5C0D8"/>
          </w:tcPr>
          <w:p w:rsidR="005C2091" w:rsidRDefault="00A86293">
            <w:pPr>
              <w:pStyle w:val="CellColumn"/>
              <w:jc w:val="right"/>
            </w:pPr>
            <w:r>
              <w:rPr>
                <w:rFonts w:cs="Times New Roman"/>
              </w:rPr>
              <w:t>98,6</w:t>
            </w:r>
          </w:p>
        </w:tc>
        <w:tc>
          <w:tcPr>
            <w:tcW w:w="1224" w:type="dxa"/>
            <w:shd w:val="clear" w:color="auto" w:fill="B5C0D8"/>
          </w:tcPr>
          <w:p w:rsidR="005C2091" w:rsidRDefault="00A86293">
            <w:pPr>
              <w:pStyle w:val="CellColumn"/>
              <w:jc w:val="right"/>
            </w:pPr>
            <w:r>
              <w:rPr>
                <w:rFonts w:cs="Times New Roman"/>
              </w:rPr>
              <w:t>92,4</w:t>
            </w:r>
          </w:p>
        </w:tc>
      </w:tr>
    </w:tbl>
    <w:p w:rsidR="005C2091" w:rsidRDefault="005C2091">
      <w:pPr>
        <w:jc w:val="left"/>
      </w:pPr>
    </w:p>
    <w:p w:rsidR="005C2091" w:rsidRDefault="00A86293">
      <w:pPr>
        <w:pStyle w:val="Heading2"/>
      </w:pPr>
      <w:r>
        <w:t>01805 Agencija za zaštitu tržišnog natjecanja</w:t>
      </w:r>
    </w:p>
    <w:p w:rsidR="005C2091" w:rsidRDefault="00A86293">
      <w:r>
        <w:t xml:space="preserve">Agencija za zaštitu tržišnog natjecanja (dalje: Agencija) osnovana je Odlukom Hrvatskog sabora od 20. rujna 1995., a započela je s radom početkom 1997. Agencija je pravna osoba s javnim ovlastima koja samostalno i neovisno obavlja poslove u okviru djelokruga i nadležnosti određenih Zakonom o zaštiti tržišnog natjecanja («Narodne novine», br. 79/09 i 80/13; dalje: ZZTN), Uredbom Vijeća (EZ) br. 1/2003 od 16. prosinca 2002. o provedbi pravila o tržišnom natjecanju utvrđenim člancima 81. i 82. Ugovora o osnivanju Europske zajednice, SL L 001, 4. 1. 2003. str. 1.– 25, a vezano uz primjenu članaka 101. i 102. Ugovora o funkcioniranju Europske unije, SL C 115 9. 5. 2008. (dalje: Uredba Vijeća (EZ) br. 1/2003), te Uredbom Vijeća (EZ) br. 139/2004 od 20. siječnja 2004. o kontroli koncentracija između poduzetnika (Uredba EZ o koncentracijama), SL L 24, 29.1.2004., str. 1.– 22 (dalje Uredba Vijeća (EZ) br. 139/2004). Drugim riječima, Agencija je tijelo koje postupa u javnom interesu, a ovlaštena je primjenjivati nacionalno pravo tržišnog natjecanja te izravno primjenjivati i pravnu stečevinu Europske unije i to: članak 101. Ugovora o funkcioniranju Europske unije (SL C 115 od 9. 5. 2008.; dalje: UFEU) koji uređuje zabranjene sporazume između poduzetnika sa značajnim učinkom na trgovinu između država članica Europske unije, odnosno članak 102. UFEU koji uređuje zlouporabe vladajućeg položaja poduzetnika sa značajnim učinkom na unutarnjem tržištu Europske unije.  </w:t>
      </w:r>
    </w:p>
    <w:p w:rsidR="005C2091" w:rsidRDefault="00A86293">
      <w:r>
        <w:t>Sredstva za obavljanje poslova iz djelokruga Agencije, sukladno članku 26. stavku 9. ZZTN-a, osiguravaju se u državnom proračunu Republike Hrvatske. Financiranje rada i aktivnosti Agencije isključivo proizlazi iz sredstava koja se osiguravaju u državnom proračunu Republike Hrvatske. Agencija ne ostvaruje vlastite prihode. Upravne pristojbe i upravno-kaznene mjere koje utvrđuje i izriče Agencija, sukladno članku 26. stavku 10. ZZTN-a, prihod su državnog proračuna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01805-Agencija za zaštitu tržišnog natjecanja</w:t>
            </w:r>
          </w:p>
        </w:tc>
        <w:tc>
          <w:tcPr>
            <w:tcW w:w="2041" w:type="dxa"/>
            <w:vAlign w:val="top"/>
          </w:tcPr>
          <w:p w:rsidR="005C2091" w:rsidRDefault="00A86293">
            <w:pPr>
              <w:pStyle w:val="CellColumn"/>
              <w:jc w:val="right"/>
            </w:pPr>
            <w:r>
              <w:rPr>
                <w:rFonts w:cs="Times New Roman"/>
              </w:rPr>
              <w:t>11.036.382</w:t>
            </w:r>
          </w:p>
        </w:tc>
        <w:tc>
          <w:tcPr>
            <w:tcW w:w="2041" w:type="dxa"/>
            <w:vAlign w:val="top"/>
          </w:tcPr>
          <w:p w:rsidR="005C2091" w:rsidRDefault="00A86293">
            <w:pPr>
              <w:pStyle w:val="CellColumn"/>
              <w:jc w:val="right"/>
            </w:pPr>
            <w:r>
              <w:rPr>
                <w:rFonts w:cs="Times New Roman"/>
              </w:rPr>
              <w:t>10.343.072</w:t>
            </w:r>
          </w:p>
        </w:tc>
        <w:tc>
          <w:tcPr>
            <w:tcW w:w="2041" w:type="dxa"/>
            <w:vAlign w:val="top"/>
          </w:tcPr>
          <w:p w:rsidR="005C2091" w:rsidRDefault="00A86293">
            <w:pPr>
              <w:pStyle w:val="CellColumn"/>
              <w:jc w:val="right"/>
            </w:pPr>
            <w:r>
              <w:rPr>
                <w:rFonts w:cs="Times New Roman"/>
              </w:rPr>
              <w:t>10.195.977</w:t>
            </w:r>
          </w:p>
        </w:tc>
        <w:tc>
          <w:tcPr>
            <w:tcW w:w="1224" w:type="dxa"/>
            <w:vAlign w:val="top"/>
          </w:tcPr>
          <w:p w:rsidR="005C2091" w:rsidRDefault="00A86293">
            <w:pPr>
              <w:pStyle w:val="CellColumn"/>
              <w:jc w:val="right"/>
            </w:pPr>
            <w:r>
              <w:rPr>
                <w:rFonts w:cs="Times New Roman"/>
              </w:rPr>
              <w:t>98,6</w:t>
            </w:r>
          </w:p>
        </w:tc>
        <w:tc>
          <w:tcPr>
            <w:tcW w:w="1224" w:type="dxa"/>
            <w:vAlign w:val="top"/>
          </w:tcPr>
          <w:p w:rsidR="005C2091" w:rsidRDefault="00A86293">
            <w:pPr>
              <w:pStyle w:val="CellColumn"/>
              <w:jc w:val="right"/>
            </w:pPr>
            <w:r>
              <w:rPr>
                <w:rFonts w:cs="Times New Roman"/>
              </w:rPr>
              <w:t>92,4</w:t>
            </w:r>
          </w:p>
        </w:tc>
      </w:tr>
      <w:tr w:rsidR="005C2091">
        <w:trPr>
          <w:jc w:val="center"/>
        </w:trPr>
        <w:tc>
          <w:tcPr>
            <w:tcW w:w="1632" w:type="dxa"/>
          </w:tcPr>
          <w:p w:rsidR="005C2091" w:rsidRDefault="00A86293">
            <w:pPr>
              <w:jc w:val="left"/>
            </w:pPr>
            <w:r>
              <w:t>3212-ZAŠTITA TRŽIŠNOG NATJECANJA</w:t>
            </w:r>
          </w:p>
        </w:tc>
        <w:tc>
          <w:tcPr>
            <w:tcW w:w="2041" w:type="dxa"/>
          </w:tcPr>
          <w:p w:rsidR="005C2091" w:rsidRDefault="00A86293">
            <w:pPr>
              <w:jc w:val="right"/>
            </w:pPr>
            <w:r>
              <w:t>11.036.382</w:t>
            </w:r>
          </w:p>
        </w:tc>
        <w:tc>
          <w:tcPr>
            <w:tcW w:w="2041" w:type="dxa"/>
          </w:tcPr>
          <w:p w:rsidR="005C2091" w:rsidRDefault="00A86293">
            <w:pPr>
              <w:jc w:val="right"/>
            </w:pPr>
            <w:r>
              <w:t>10.343.072</w:t>
            </w:r>
          </w:p>
        </w:tc>
        <w:tc>
          <w:tcPr>
            <w:tcW w:w="2041" w:type="dxa"/>
          </w:tcPr>
          <w:p w:rsidR="005C2091" w:rsidRDefault="00A86293">
            <w:pPr>
              <w:jc w:val="right"/>
            </w:pPr>
            <w:r>
              <w:t>10.195.977</w:t>
            </w:r>
          </w:p>
        </w:tc>
        <w:tc>
          <w:tcPr>
            <w:tcW w:w="1224" w:type="dxa"/>
          </w:tcPr>
          <w:p w:rsidR="005C2091" w:rsidRDefault="00A86293">
            <w:pPr>
              <w:jc w:val="right"/>
            </w:pPr>
            <w:r>
              <w:t>98,6</w:t>
            </w:r>
          </w:p>
        </w:tc>
        <w:tc>
          <w:tcPr>
            <w:tcW w:w="1224" w:type="dxa"/>
          </w:tcPr>
          <w:p w:rsidR="005C2091" w:rsidRDefault="00A86293">
            <w:pPr>
              <w:jc w:val="right"/>
            </w:pPr>
            <w:r>
              <w:t>92,4</w:t>
            </w:r>
          </w:p>
        </w:tc>
      </w:tr>
    </w:tbl>
    <w:p w:rsidR="005C2091" w:rsidRDefault="005C2091">
      <w:pPr>
        <w:jc w:val="left"/>
      </w:pPr>
    </w:p>
    <w:p w:rsidR="005C2091" w:rsidRDefault="00A86293">
      <w:pPr>
        <w:pStyle w:val="Heading3"/>
      </w:pPr>
      <w:r>
        <w:rPr>
          <w:rFonts w:cs="Times New Roman"/>
        </w:rPr>
        <w:lastRenderedPageBreak/>
        <w:t>3212 ZAŠTITA TRŽIŠNOG NATJECANJA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3212-ZAŠTITA TRŽIŠNOG NATJECANJA</w:t>
            </w:r>
          </w:p>
        </w:tc>
        <w:tc>
          <w:tcPr>
            <w:tcW w:w="2041" w:type="dxa"/>
          </w:tcPr>
          <w:p w:rsidR="005C2091" w:rsidRDefault="00A86293">
            <w:pPr>
              <w:pStyle w:val="CellColumn"/>
              <w:jc w:val="right"/>
            </w:pPr>
            <w:r>
              <w:rPr>
                <w:rFonts w:cs="Times New Roman"/>
              </w:rPr>
              <w:t>11.036.382</w:t>
            </w:r>
          </w:p>
        </w:tc>
        <w:tc>
          <w:tcPr>
            <w:tcW w:w="2041" w:type="dxa"/>
          </w:tcPr>
          <w:p w:rsidR="005C2091" w:rsidRDefault="00A86293">
            <w:pPr>
              <w:pStyle w:val="CellColumn"/>
              <w:jc w:val="right"/>
            </w:pPr>
            <w:r>
              <w:rPr>
                <w:rFonts w:cs="Times New Roman"/>
              </w:rPr>
              <w:t>10.343.072</w:t>
            </w:r>
          </w:p>
        </w:tc>
        <w:tc>
          <w:tcPr>
            <w:tcW w:w="2041" w:type="dxa"/>
          </w:tcPr>
          <w:p w:rsidR="005C2091" w:rsidRDefault="00A86293">
            <w:pPr>
              <w:pStyle w:val="CellColumn"/>
              <w:jc w:val="right"/>
            </w:pPr>
            <w:r>
              <w:rPr>
                <w:rFonts w:cs="Times New Roman"/>
              </w:rPr>
              <w:t>10.195.977</w:t>
            </w:r>
          </w:p>
        </w:tc>
        <w:tc>
          <w:tcPr>
            <w:tcW w:w="1224" w:type="dxa"/>
          </w:tcPr>
          <w:p w:rsidR="005C2091" w:rsidRDefault="00A86293">
            <w:pPr>
              <w:pStyle w:val="CellColumn"/>
              <w:jc w:val="right"/>
            </w:pPr>
            <w:r>
              <w:rPr>
                <w:rFonts w:cs="Times New Roman"/>
              </w:rPr>
              <w:t>98,6</w:t>
            </w:r>
          </w:p>
        </w:tc>
        <w:tc>
          <w:tcPr>
            <w:tcW w:w="1224" w:type="dxa"/>
          </w:tcPr>
          <w:p w:rsidR="005C2091" w:rsidRDefault="00A86293">
            <w:pPr>
              <w:pStyle w:val="CellColumn"/>
              <w:jc w:val="right"/>
            </w:pPr>
            <w:r>
              <w:rPr>
                <w:rFonts w:cs="Times New Roman"/>
              </w:rPr>
              <w:t>92,4</w:t>
            </w:r>
          </w:p>
        </w:tc>
      </w:tr>
    </w:tbl>
    <w:p w:rsidR="005C2091" w:rsidRDefault="005C2091">
      <w:pPr>
        <w:jc w:val="left"/>
      </w:pPr>
    </w:p>
    <w:p w:rsidR="005C2091" w:rsidRDefault="00A86293">
      <w:r>
        <w:t xml:space="preserve">Programom Zaštite tržišnog natjecanja nastoji se osigurati suvremen pristup provedbi sustava mjera zaštite tržišnog natjecanja koji će omogućiti jačanje učinkovitog tržišnog natjecanja u Republici Hrvatskoj. Riječ je o pristupu usmjerenom na preventivna djelovanja i zaustavljanje i sankcioniranje onih poduzetničkih aktivnosti koje su protivne propisima i narušavaju tržišno natjecanje i protivne su interesima potrošača i poreznih obveznika. </w:t>
      </w:r>
    </w:p>
    <w:p w:rsidR="005C2091" w:rsidRDefault="00A86293">
      <w:r>
        <w:t>Agencija provodi nacionalne propise o tržišnom natjecanju s ciljem onemogućavanja protupravnih djelovanja poduzetnika, a osobito onima koji imaju najznačajnije negativne učinke na tržišno natjecanje. Također, Agencija kroz aktivno promicanje zaštite tržišnog natjecanja djeluje preventivno te na taj način utječe na promjene ponašanja poduzetnika i usklađivanje njihova  ponašanja s propisima o zaštiti tržišnog natjecanja. Ujedno, time potiče razvoj svijesti o koristima tržišnog natjecanja odnosno na usvajanje kulture tržišnog natjecanja na svim razinama Nadalje, sustav zaštite tržišnog natjecanja na unutarnjem tržištu Europske unije, kojeg je Agencija postala dio 1. srpnja 2013., podrazumijeva paralelnu nadležnost između Europske komisije, tijela za zaštitu tržišnog natjecanja država članica Europske unije, nadležnih europskih sudova (Suda Europske unije i Općeg suda) i nacionalnih sudova u državama članicama Europske unije u primjeni pravne stečevine iz područja prava zaštite tržišnog natjecanja, sukladno Uredbi Vijeća (EZ) br. 1/2003.. Primjena spomenute Uredbe konkretno za Agenciju znači da u pojedinim postupcima određuje kada nadležnost ima Europska komisija i nacionalna tijela za zaštitu tržišnog natjecanja drugih država članica, kada hrvatska Agencija postupajući u javnom interesu, a kada nadležni nacionalni sudovi (trgovački sudovi) u slučaju privatno-pravnih sporova za utvrđenje povrede prava tržišnog natjecanja odnosno u sporovima za naknadu štete zbog povrede članaka 101. i 102. UFEU.</w:t>
      </w:r>
    </w:p>
    <w:p w:rsidR="005C2091" w:rsidRDefault="00A86293">
      <w:pPr>
        <w:pStyle w:val="Heading8"/>
        <w:jc w:val="left"/>
      </w:pPr>
      <w:r>
        <w:t>Cilj 1. Provedba sustava mjera zaštite tržišnog natjecanja na hrvatskom tržištu i integriranje u sustav zaštite tržišnog natjecanja na unutarnjem tržištu Europske unije</w:t>
      </w:r>
    </w:p>
    <w:p w:rsidR="005C2091" w:rsidRDefault="00A86293">
      <w:pPr>
        <w:pStyle w:val="Heading8"/>
        <w:jc w:val="left"/>
      </w:pPr>
      <w:r>
        <w:t>Opis provedbe cilja programa</w:t>
      </w:r>
    </w:p>
    <w:p w:rsidR="005C2091" w:rsidRDefault="00A86293">
      <w:r>
        <w:t xml:space="preserve">Za ostvarivanje općeg cilja Agencije u suvremenom pristupu provedbi mjera zaštite tržišnog natjecanja u obliku preventivnog djelovanja i prekida svih oblika djelovanja poduzetnika koji narušavaju tržišno natjecanje i nanose štetu potrošačima, potrebno je stvoriti uvjete za učinkovito tržišno natjecanje na hrvatskom tržištu.  </w:t>
      </w:r>
    </w:p>
    <w:p w:rsidR="005C2091" w:rsidRDefault="00A86293">
      <w:r>
        <w:t xml:space="preserve">Ovo iz razloga što se tim instrumentom potiče, pa i prisiljava poduzetnike, da kontinuirano rade na jačanju svoje konkurentnosti kao jedinom sigurnom načinu postizanja tržišnog uspjeha. Poduzetnici to mogu postići samo ako se unaprijed pripremaju na promjene u okruženju i stalno im se prilagođavaju. Sustav zaštite tržišnog natjecanja na unutarnjem tržištu Europske unije, kojeg je Agencija postala dio 1. srpnja 2013., podrazumijeva paralelnu nadležnost između Europske komisije, tijela za zaštitu tržišnog natjecanja država članica Europske unije, nadležnih europskih sudova (Suda Europske unije i Općeg suda) i nacionalnih sudova u državama članicama Europske unije u primjeni pravne stečevine iz područja prava zaštite tržišnog natjecanja, sukladno Uredbi Vijeća (EZ) br. 1/2003. Sukladno ovoj Uredbi, kako bi se osigurala učinkovita i dosljedna primjena spomenutih pravila o zaštiti tržišnog natjecanja, Europska komisija i nacionalna tijela uspostavili su Europsku mrežu tijela za zaštitu tržišnog natjecanja (ECN).  </w:t>
      </w:r>
    </w:p>
    <w:p w:rsidR="005C2091" w:rsidRDefault="00A86293">
      <w:r>
        <w:t xml:space="preserve">ECN mreža je forum za raspravljanje i suradnju tijela za zaštitu tržišnog natjecanja država članica u primjeni i provedbi pravila o tržišnom natjecanju koja vrijede u Europskoj uniji te predstavlja temelj za stvaranje opće, zajedničke kulture tržišnog natjecanja. Suradnja koju promiče ECN, ostvaruje se kroz zajednički rad u različitim radnim skupinama i sektorskim podskupinama koje čine predstavnici Europske komisije i tijela za tržišno natjecanje svih država članica. Tu se očituje stvarno značenje „mreže“: stalna razmjena ideja, konstruktivne rasprave i razvoj zajedničkih stajališta te praktičnih rješenja.  </w:t>
      </w:r>
    </w:p>
    <w:p w:rsidR="005C2091" w:rsidRDefault="00A86293">
      <w:r>
        <w:t xml:space="preserve">Primjena spomenute Uredbe konkretno za Agenciju znači da u pojedinim postupcima određuje kada nadležnost ima Europska komisija i nacionalna tijela za zaštitu tržišnog natjecanja drugih država članica, kada hrvatska Agencija </w:t>
      </w:r>
      <w:r>
        <w:lastRenderedPageBreak/>
        <w:t xml:space="preserve">postupajući u javnom interesu, a kada nadležni nacionalni sudovi (trgovački sudovi) u slučaju privatno-pravnih sporova za utvrđenje povrede prava tržišnog natjecanja odnosno u sporovima za naknadu štete zbog povrede članaka 101. i 102. UFEU.  </w:t>
      </w:r>
    </w:p>
    <w:p w:rsidR="005C2091" w:rsidRDefault="00A86293">
      <w:r>
        <w:t xml:space="preserve">Drugim riječima, suradnja Agencije s Europskom komisijom i nadležnim tijelima država članica unutar ECN mreže, od 1. srpnja 2013. postala je njezina obveza. Ta se suradnja ostvaruje kroz sudjelovanje predstavnika Agencije na sastancima raznih savjetodavnih odbora, kao i na sastancima radnih skupina i podskupina u okviru ECN-a. Na taj je način Agencija aktivno uključena u proces odlučivanja na razini Europske unije. Uz navedeno, bit će neophodno i nadalje kontinuirano pratiti zakonodavstvo Europske unije u ovom području, koje se neprekidno razvija i unapređuje.  </w:t>
      </w:r>
    </w:p>
    <w:p w:rsidR="005C2091" w:rsidRDefault="00A86293">
      <w:r>
        <w:t xml:space="preserve">U tom smislu, Agencija jača aktivnosti na provedbi zakona i propisa s područja zaštite tržišnog natjecanja kako bismo ojačali tržišno natjecanje u Republici Hrvatskoj i hrvatske poduzetnike odvratili od kršenja tih propisa, a u slučajevima kada se radi o teškim povredama propisa, odgovarajuće kaznili za protutržišno ponašanje.  </w:t>
      </w:r>
    </w:p>
    <w:p w:rsidR="005C2091" w:rsidRDefault="00A86293">
      <w:r>
        <w:t xml:space="preserve">Agencija će uz provedbu konkretnih postupaka i preventivnog djelovanja, aktivno promicati i ukazivati na potrebu jačanja tržišnog natjecanja i njegovog uvođenja u djelatnosti i gospodarske sektore u kojima je zakonima, drugim propisima ili djelovanjem interesnih udruga tržišno natjecanje još uvijek u cijelosti ili djelomično isključeno. </w:t>
      </w:r>
    </w:p>
    <w:p w:rsidR="005C2091" w:rsidRDefault="00A86293">
      <w:r>
        <w:t xml:space="preserve">Obrazloženje cilja </w:t>
      </w:r>
    </w:p>
    <w:p w:rsidR="005C2091" w:rsidRDefault="00A86293">
      <w:r>
        <w:t xml:space="preserve">Korisnici gore navedenih aktivnosti Agencije su poduzetnici u Republici Hrvatskoj, ali i potencijalno, svi poduzetnici na unutarnjem tržištu EU i tijela kojima se upućuju mišljenja. </w:t>
      </w:r>
    </w:p>
    <w:p w:rsidR="005C2091" w:rsidRDefault="00A86293">
      <w:r>
        <w:t xml:space="preserve">Agencija nastoji u svom radu biti što efikasnija. Međutim, nekoliko je razloga zbog kojih Agencija jedan broj postupaka nije u mogućnosti pokrenuti i okončati meritornom odlukom u istoj godini.  </w:t>
      </w:r>
    </w:p>
    <w:p w:rsidR="005C2091" w:rsidRDefault="00A86293">
      <w:r>
        <w:t xml:space="preserve">Prije svega, zbog izuzetno visokih standarda zaštite prava stranaka, ali i zaštite prava podnositelja inicijative i osoba kojima je Agencija priznala ista postupovna prava kao  i podnositeljima inicijative koje propisuje ZZTN, kao i zbog složenih pravnih i ekonomskih analiza koje s jedne strane  prethode pokretanju postupka, a s druge strane detaljnije se razrađuju tijekom dokaznog ispitnog postupka te obvezi održavanja usmenih i glavnih rasprava prije donošenja meritorne odluke kako bi se stranci dala mogućnost i usmene obrane, postupci u nadležnosti Agencije su relativno dugotrajni i u pravilu ne mogu biti okončani u manje od godinu dana.  </w:t>
      </w:r>
    </w:p>
    <w:p w:rsidR="005C2091" w:rsidRDefault="00A86293">
      <w:r>
        <w:t xml:space="preserve">Osobito se to, zbog zakonski određenih rokova i propisanoga postupka, odnosi na predmete iz nadležnosti zabranjenih sporazuma i dokazivanja zlouporaba koje nije moguće okončati u kalendarskoj godini ukoliko su isti pokrenuti u drugom tromjesečju tekuće godine (usporedbe radi, prosječno trajanje takvih postupaka koje provodi Europska komisija je oko 3 g.). </w:t>
      </w:r>
    </w:p>
    <w:p w:rsidR="005C2091" w:rsidRDefault="00A86293">
      <w:r>
        <w:t xml:space="preserve">Uz to, u vrijeme izraženih makroekonomskih neravnoteža u RH nije bilo moguće osigurati sredstava za financiranje specifičnih analiza pojedinih tržišta pa je takve analize za potrebe postupaka Agencija provodila sama.   </w:t>
      </w:r>
    </w:p>
    <w:p w:rsidR="005C2091" w:rsidRDefault="00A86293">
      <w:r>
        <w:t xml:space="preserve">Dodatno, treba napomenuti i da broj predmeta ne ovisi o Agenciji i nije pod utjecajem Agencije budući da se radi o poslovnim aktivnostima uključenih poduzetnika, pa radi toga nije moguće objektivno predvidjeti kretanje broja istih niti predviđanje porasta treba nužno gledati kao pozitivnu posljedicu djelovanja Agencije i vice versa (posebno ako se radi o predmetima iz domene ocjene koncentracija poduzetnika ).   </w:t>
      </w:r>
    </w:p>
    <w:p w:rsidR="005C2091" w:rsidRDefault="00A86293">
      <w:r>
        <w:t xml:space="preserve">Sektorska istraživanja tržišta veoma su vrijedan alat kojim Agencija dobiva dubinski uvid u funkcioniranje pojedinih tržišta i konkurentske odnose na njima. Takva istraživanja Agencija pokreće po službenoj dužnosti. Agencija je u 2016. godini zaključila četiri istraživanja, od kojih su tri dubinska, sektorska istraživanja tržišta „Istraživanje tržišta obveznog osiguranja motornih vozila u Republici Hrvatskoj , Istraživanje tržišta naftnih derivata“  te svoje redovito godišnje „Istraživanje tržišta distributivne trgovine na malo i veliko mješovitom robom, pretežno hranom, pićima i higijenskim proizvodima za domaćinstvo u Republici Hrvatskoj“. Također, provela je i „Analizu prihoda poduzetnika u predmetima koncentracija u djelatnosti radija u razdoblju od 2011. do 2016. godine“. </w:t>
      </w:r>
    </w:p>
    <w:p w:rsidR="005C2091" w:rsidRDefault="00A86293">
      <w:r>
        <w:t xml:space="preserve">Primitkom Republike Hrvatske u OECD-ov Odbor za tržišno natjecanje u lipnju 2016. godine zaokružen je dvogodišnji proces zajedničkog angažmana Ministarstva vanjskih i europskih poslova i Agencije za zaštitu tržišnog natjecanja na dobivanju “ulaznice” u ovaj značajan OECD-ov Odbor. Time je AZTN dobio priznanje za svoju dugogodišnju uspješnu suradnju s OECD-om u ovoj tematici, kao i za stručnost te ostvarene radne rezultate. </w:t>
      </w:r>
    </w:p>
    <w:p w:rsidR="005C2091" w:rsidRDefault="00A86293">
      <w:r>
        <w:t xml:space="preserve">Agencija je održala 20 sastanaka i stručnih pomoći vezanih za suradnju s drugim tijelima za zaštitu tržišnog natjecanja.  </w:t>
      </w:r>
    </w:p>
    <w:p w:rsidR="005C2091" w:rsidRDefault="00A86293">
      <w:r>
        <w:lastRenderedPageBreak/>
        <w:t xml:space="preserve"> </w:t>
      </w:r>
    </w:p>
    <w:p w:rsidR="005C2091" w:rsidRDefault="00A86293">
      <w:r>
        <w:t xml:space="preserve">U razdoblju od 1. siječnja do 31. prosinca 2016. na sastancima radnih skupina, podskupina ECN-a te savjetodavnih odbora sudjelovalo je 18 predstavnika Agencije ukupno 23 puta. U godinu dana od Europske komisije smo zaprimili i riješili 359 notifikacija koncentracija. Pokrenuli smo dva postupka temeljem EU prava, i okončali dva, od kojih je jedan bio pokrenut u 2014. godini, a drugi u 2016. godini, dok je jedan predmet iz 2015. godine još u tijeku. Zaprimili smo i odgovorili na 50 zahtjeva za dostavu informacija, a uputili smo pet zahtjeva prema ostalim državama članicama. </w:t>
      </w:r>
    </w:p>
    <w:p w:rsidR="005C2091" w:rsidRDefault="00A86293">
      <w:r>
        <w:t>Agencija u 2016. godini nije provela niti jednu nenajavljenu pretragu budući da nisu ostvarene pretpostavke potrebne za pribavljanje dokaza na taj način. Naime, nenajavljene pretrage predstavljaju najinvazivniji alat koji je na raspolaganju tijelima za zaštitu tržišnog natjecanja pa  Agencija provodi nenajavljene pretrage samo u slučajevima kada putem drugih dokaznih  sredstava nije u mogućnosti utvrditi činjenično stanje u konkretnim postupcima, što u 2016. godini nije bio slučaj.</w:t>
      </w:r>
    </w:p>
    <w:p w:rsidR="005C2091" w:rsidRDefault="00A86293">
      <w:pPr>
        <w:pStyle w:val="Heading8"/>
        <w:jc w:val="left"/>
      </w:pPr>
      <w:r>
        <w:t>Cilj 2. Promicanje svijesti o koristi koju građanima donosi tržišno natjecanje i jačanje kulture tržišnog natjecanja</w:t>
      </w:r>
    </w:p>
    <w:p w:rsidR="005C2091" w:rsidRDefault="00A86293">
      <w:pPr>
        <w:pStyle w:val="Heading8"/>
        <w:jc w:val="left"/>
      </w:pPr>
      <w:r>
        <w:t>Opis provedbe cilja programa</w:t>
      </w:r>
    </w:p>
    <w:p w:rsidR="005C2091" w:rsidRDefault="00A86293">
      <w:r>
        <w:t xml:space="preserve">Promicanje prava i politike tržišnog natjecanja te razvoj i širenje kulture tržišnog natjecanja u središtu su aktivnosti Agencije sa svrhom postizanja općeg cilja. Navedeno obuhvaća podizanje svijesti o učincima tržišnog natjecanja na rast konkurentnosti nacionalnog gospodarstva, uključujući i upoznavanje s prednostima koje tržišno natjecanje donosi potrošačima. Isto tako kultura tržišnog natjecanja podrazumijeva doprinos stvaranju i usklađenosti zakonodavnog okvira koji će poticati konkurentno okruženje za razvitak poduzetništva i služiti općem interesu. Zadaća Agencije je i praćenje postojećih propisa kako bi se osigurala njihova usklađenost s načelima prava tržišnog natjecanja, a o uočenim nepravilnostima Agencija može ukazati Vladi Republike Hrvatske ili drugim tijelima javne vlasti.  </w:t>
      </w:r>
    </w:p>
    <w:p w:rsidR="005C2091" w:rsidRDefault="00A86293">
      <w:r>
        <w:t xml:space="preserve">Konkretno, Agencija donosi stručna mišljenja o sukladnosti važećih zakona i drugih propisa s propisima o zaštiti tržišnog natjecanja, donosi mišljenja kojima se promiče znanje o tržišnom natjecanju, odnosno podiže razina svijesti i informiranosti o ulozi politike i prava tržišnog natjecanja te donosi mišljenja i stručne stavove o rješenjima i razvoju komparativne prakse iz područja prava i politike tržišnog natjecanja. </w:t>
      </w:r>
    </w:p>
    <w:p w:rsidR="005C2091" w:rsidRDefault="00A86293">
      <w:r>
        <w:t xml:space="preserve">Naime, stupanjem na snagu Zakona o procjeni učinka propisa (Narodne novine, broj 90/2011) i Uredbe o provedbi postupka procjene učinaka propisa (Narodne novine, broj 66/2012), Agencija je nadležna za davanje mišljenja o učinku propisa na tržišno natjecanje.  </w:t>
      </w:r>
    </w:p>
    <w:p w:rsidR="005C2091" w:rsidRDefault="00A86293">
      <w:r>
        <w:t xml:space="preserve">Agencija je ovlaštena ukazivati na usklađivanje propisa s propisima o zaštiti tržišnog natjecanja i prije izrade nacrta prijedloga propisa čime se potiče sustavna analiza učinaka koje bi donošenje nekog propisa moglo imati na razvitak tržišta i tržišnog natjecanja na njemu. Cilj takve analize je smanjiti mogućnost donošenja propisa kojima se svjesno ili nesvjesno narušava tržišno natjecanje.   </w:t>
      </w:r>
    </w:p>
    <w:p w:rsidR="005C2091" w:rsidRDefault="00A86293">
      <w:r>
        <w:t xml:space="preserve">Analizom propisa, kako nacrta tako i važećih propisa, Agencija djeluje preventivno odnosno smanjuje  mogućnost donošenja propisa kojima se svjesno ili nesvjesno narušava tržišno natjecanje na štetu potrošača i ukupne konkurentnosti hrvatskog gospodarstva. Istodobno, time se unaprijed smanjuje potreba za ex post postupanjima Agencije kao i broj subjekata kojima se nanosi šteta ograničavanjem tržišnog natjecanja.  </w:t>
      </w:r>
    </w:p>
    <w:p w:rsidR="005C2091" w:rsidRDefault="00A86293">
      <w:r>
        <w:t xml:space="preserve">Dodatno, inicijativama i očitovanjima koje upućuje Vladi Republike Hrvatske, ministarstvima ili drugim regulatorima i institucijama, čak i poduzetnicima, Agencija ukazuje na mogućnosti negativnih učinaka propisa i regulatornog okruženja na tržišno natjecanje.  </w:t>
      </w:r>
    </w:p>
    <w:p w:rsidR="005C2091" w:rsidRDefault="00A86293">
      <w:r>
        <w:t xml:space="preserve">Obrazloženje cilja </w:t>
      </w:r>
    </w:p>
    <w:p w:rsidR="005C2091" w:rsidRDefault="00A86293">
      <w:r>
        <w:t xml:space="preserve">U cilju širenja kulture tržišnog natjecanja i promicanja politike tržišnog natjecanja u 2016. godini nastavljena je praksa objavljivanja odluka i mišljenja Agencije, informacija o našim aktivnostima, prije svega vijesti i priopćenja sa sjednica Vijeća, godišnjih izvješća i ostalih elektronskih informacija, koje pridonose širenju učinka tih odluka i mišljenja na poduzetnike i potrošače, tijela javne vlasti i akademsku zajednicu, stručnu i širu javnost.  </w:t>
      </w:r>
    </w:p>
    <w:p w:rsidR="005C2091" w:rsidRDefault="00A86293">
      <w:r>
        <w:t xml:space="preserve">Agencija ja na svojoj mrežnoj stranici i u službenom glasilu RH objavila ukupno 112 odluke iz svoje nadležnosti. Ovdje treba dodati i 17 priopćenja za javnost, 40 vijesti iz prava i politike tržišnog natjecanja i djelokruga rada Agencije objavljenih na internetskoj stranici Agencije koje dodatno doprinose transparentnosti i jačanju kulture tržišnog natjecanja u svim segmentima javne vlasti i zainteresirane javnosti.  </w:t>
      </w:r>
    </w:p>
    <w:p w:rsidR="005C2091" w:rsidRDefault="00A86293">
      <w:r>
        <w:lastRenderedPageBreak/>
        <w:t xml:space="preserve">Od važnijih komunikacijskih aktivnosti Agencije u 2016. godini, valja izdvojiti tiskanje i objavu Vodiča za naručitelje u otkrivanju i prijavi kartela u javnoj nabavi s temeljnom svrhom edukacije naručitelja javne nabave u prepoznavanju indicija o postojanju zabranjenih sporazuma u postupcima javne nabave. </w:t>
      </w:r>
    </w:p>
    <w:p w:rsidR="005C2091" w:rsidRDefault="00A86293">
      <w:r>
        <w:t xml:space="preserve">Aktivna politika promicanja znanja o tržišnom natjecanju u 2016. godini ostvarila se davanjem stručnih mišljenja. Konkretno, riječ je o ukupno 31 stručnom mišljenju. Agencija je u 2016. godini ovaj cilj ostvarila i izdavanjem 11 brojeva (dvobroj srpanj/kolovoz) mjesečnog informativnog biltena u elektronskom obliku – AZTN info – koji ima oko 500 registriranih korisnika iz javnog i privatnog sektora u ključnim skupinama kao što su predlagatelji zakona, donositelji odluka, poduzetnici, akademska i stručna javnost i predstavnici medija. Bilteni obrađuju analize posebno važnih odluka i mišljenja Agencije, naročito onih kojima se u javnom interesu i u svrhu promicanja znanja o tržišnom natjecanju značajno utječe na razvoj kulture tržišnog natjecanja u RH, obavještava o novinama u području prava i politike tržišnog natjecanja, izvještava o aktivnostima Agencije i donose primjeri iz komparativne prakse EU. </w:t>
      </w:r>
    </w:p>
    <w:p w:rsidR="005C2091" w:rsidRDefault="00A86293">
      <w:r>
        <w:t xml:space="preserve">Nadalje, međunarodna suradnja Agencije je tijekom 2016. u bitnome obilježena nastavkom aktivnosti unutar Europske mreže tijela za zaštitu tržišnog natjecanja, a osobito je značajan iskorak ne samo za Agenciju, nego i za Republiku Hrvatsku, bilo uključenje u OECD-ov  Odbor za tržišno natjecanje. Najintenzivniju suradnju u okviru OECD-a AZTN ostvaruje kroz Regionalni centar za tržišno natjecanje u Budimpešti (RCC), u čijem obrazovnom programu sudjeluje od osnutka centra 2005. godine.  </w:t>
      </w:r>
    </w:p>
    <w:p w:rsidR="005C2091" w:rsidRDefault="00A86293">
      <w:r>
        <w:t xml:space="preserve">U organizaciji Opservatorija za promet jugoistočne Europe (South-East Europe Transport Observatory – dalje: SEETO), Agencija već četvrtu godinu za redom sudjeluje u radu Radne skupine za željeznice.  </w:t>
      </w:r>
    </w:p>
    <w:p w:rsidR="005C2091" w:rsidRDefault="00A86293">
      <w:r>
        <w:t>Agencija je 5. prosinca 2016. u Zagrebu održala Međunarodnu konferenciju “Prijenos Direktive o naknadi štete – kakva su očekivanja” Oko 100-tinjak inozemnih i domaćih stručnjaka (odvjetnika, sudaca, pravnika iz trgovačkih društava, profesora) nazočilo je konferenciji. Naime, Ministarstvo gospodarstva, poduzetništva i obrta je, kao nositelj zakonskog prijedloga, ovlast za vođenje stručne radne skupine za izradu prijedloga zakona prenijelo na Agenciju. Konferencija je održana u samoj završnici javnog savjetovanja o nacrtu prijedloga Zakona o postupcima naknade štete zbog povreda prava tržišnog natjecanja kojim se u hrvatski pravni sustav prenosi Direktiva broj 2014/104 EU Europskog Parlamenta i Vijeća od 26. studenoga 2014. o određenim pravilima kojima se, prema nacionalnom pravu, uređuju postupci za naknadu štete za povrede odredaba prava tržišnog natjecanja država članica i Europske unije.</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Provedbe mjera iz rješenja Agencije u odnosu na broj meritornih odluka Agencije</w:t>
            </w:r>
          </w:p>
        </w:tc>
        <w:tc>
          <w:tcPr>
            <w:tcW w:w="2551" w:type="dxa"/>
          </w:tcPr>
          <w:p w:rsidR="005C2091" w:rsidRDefault="00A86293">
            <w:pPr>
              <w:pStyle w:val="CellColumn"/>
              <w:jc w:val="left"/>
            </w:pPr>
            <w:r>
              <w:rPr>
                <w:rFonts w:cs="Times New Roman"/>
              </w:rPr>
              <w:t>Provedba zakona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 xml:space="preserve">Godišnje izvješće Agencije, </w:t>
            </w:r>
          </w:p>
          <w:p w:rsidR="005C2091" w:rsidRDefault="00A86293">
            <w:pPr>
              <w:pStyle w:val="CellColumn"/>
              <w:jc w:val="right"/>
            </w:pPr>
            <w:r>
              <w:rPr>
                <w:rFonts w:cs="Times New Roman"/>
              </w:rPr>
              <w:t>Internet stranica Agencije</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Broj održanih predavanja akademskoj zajednici, broj objavljenih stručnih radova, broj održanih konferencija</w:t>
            </w:r>
          </w:p>
        </w:tc>
        <w:tc>
          <w:tcPr>
            <w:tcW w:w="2551" w:type="dxa"/>
          </w:tcPr>
          <w:p w:rsidR="005C2091" w:rsidRDefault="00A86293">
            <w:pPr>
              <w:pStyle w:val="CellColumn"/>
              <w:jc w:val="left"/>
            </w:pPr>
            <w:r>
              <w:rPr>
                <w:rFonts w:cs="Times New Roman"/>
              </w:rPr>
              <w:t>Edukacija, promicanje i informiranje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Agencija</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22</w:t>
            </w:r>
          </w:p>
        </w:tc>
      </w:tr>
    </w:tbl>
    <w:p w:rsidR="005C2091" w:rsidRDefault="005C2091">
      <w:pPr>
        <w:jc w:val="left"/>
      </w:pPr>
    </w:p>
    <w:p w:rsidR="005C2091" w:rsidRDefault="00A86293">
      <w:pPr>
        <w:pStyle w:val="Heading4"/>
      </w:pPr>
      <w:r>
        <w:t>A507008 ADMINISTRACIJA I UPRAVLJANJE</w:t>
      </w:r>
    </w:p>
    <w:tbl>
      <w:tblPr>
        <w:tblStyle w:val="StilTablice"/>
        <w:tblW w:w="10206" w:type="dxa"/>
        <w:jc w:val="center"/>
        <w:tblLook w:val="04A0" w:firstRow="1" w:lastRow="0" w:firstColumn="1" w:lastColumn="0" w:noHBand="0" w:noVBand="1"/>
      </w:tblPr>
      <w:tblGrid>
        <w:gridCol w:w="1792"/>
        <w:gridCol w:w="1996"/>
        <w:gridCol w:w="1996"/>
        <w:gridCol w:w="1992"/>
        <w:gridCol w:w="1213"/>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A507008-ADMINISTRACIJA I UPRAVLJANJE</w:t>
            </w:r>
          </w:p>
        </w:tc>
        <w:tc>
          <w:tcPr>
            <w:tcW w:w="2041" w:type="dxa"/>
          </w:tcPr>
          <w:p w:rsidR="005C2091" w:rsidRDefault="00A86293">
            <w:pPr>
              <w:pStyle w:val="CellColumn"/>
              <w:jc w:val="right"/>
            </w:pPr>
            <w:r>
              <w:rPr>
                <w:rFonts w:cs="Times New Roman"/>
              </w:rPr>
              <w:t>10.624.334</w:t>
            </w:r>
          </w:p>
        </w:tc>
        <w:tc>
          <w:tcPr>
            <w:tcW w:w="2041" w:type="dxa"/>
          </w:tcPr>
          <w:p w:rsidR="005C2091" w:rsidRDefault="00A86293">
            <w:pPr>
              <w:pStyle w:val="CellColumn"/>
              <w:jc w:val="right"/>
            </w:pPr>
            <w:r>
              <w:rPr>
                <w:rFonts w:cs="Times New Roman"/>
              </w:rPr>
              <w:t>10.094.932</w:t>
            </w:r>
          </w:p>
        </w:tc>
        <w:tc>
          <w:tcPr>
            <w:tcW w:w="2041" w:type="dxa"/>
          </w:tcPr>
          <w:p w:rsidR="005C2091" w:rsidRDefault="00A86293">
            <w:pPr>
              <w:pStyle w:val="CellColumn"/>
              <w:jc w:val="right"/>
            </w:pPr>
            <w:r>
              <w:rPr>
                <w:rFonts w:cs="Times New Roman"/>
              </w:rPr>
              <w:t>9.959.562</w:t>
            </w:r>
          </w:p>
        </w:tc>
        <w:tc>
          <w:tcPr>
            <w:tcW w:w="1224" w:type="dxa"/>
          </w:tcPr>
          <w:p w:rsidR="005C2091" w:rsidRDefault="00A86293">
            <w:pPr>
              <w:pStyle w:val="CellColumn"/>
              <w:jc w:val="right"/>
            </w:pPr>
            <w:r>
              <w:rPr>
                <w:rFonts w:cs="Times New Roman"/>
              </w:rPr>
              <w:t>98,7</w:t>
            </w:r>
          </w:p>
        </w:tc>
        <w:tc>
          <w:tcPr>
            <w:tcW w:w="1224" w:type="dxa"/>
          </w:tcPr>
          <w:p w:rsidR="005C2091" w:rsidRDefault="00A86293">
            <w:pPr>
              <w:pStyle w:val="CellColumn"/>
              <w:jc w:val="right"/>
            </w:pPr>
            <w:r>
              <w:rPr>
                <w:rFonts w:cs="Times New Roman"/>
              </w:rPr>
              <w:t>93,7</w:t>
            </w:r>
          </w:p>
        </w:tc>
      </w:tr>
    </w:tbl>
    <w:p w:rsidR="005C2091" w:rsidRDefault="005C2091">
      <w:pPr>
        <w:jc w:val="left"/>
      </w:pPr>
    </w:p>
    <w:p w:rsidR="005C2091" w:rsidRDefault="00A86293">
      <w:pPr>
        <w:pStyle w:val="Heading8"/>
        <w:jc w:val="left"/>
      </w:pPr>
      <w:r>
        <w:t>Zakonske i druge pravne osnove</w:t>
      </w:r>
    </w:p>
    <w:p w:rsidR="005C2091" w:rsidRDefault="00A86293">
      <w:r>
        <w:t>Zakonodavni okvir u području zaštite tržišnog natjecanja predstavlja Zakon o zaštiti tržišnog natjecanja (Narodne novine, broj 79/09), Zakon o izmjenama i dopunama Zakona o zaštiti tržišnog natjecanja (Narodne novine, broj 80/13) u primjeni od 1. srpnja 2013. godine, Uredba Vijeća (EZ) br. 1/2003, Uredba Vijeća (EZ) br. 139/2004. te podzakonski akti neophodni za provedbu Zakona o zaštiti tržišnog natjecanja, a riječ je o sljedećim uredbama Vlade RH: Uredba o kriterijima za izricanje upravno-kaznene mjere (Narodne novine, broj 129/10 i 23/15); Uredba o kriterijima za oslobođenje ili umanjenje upravno-kaznene mjere (Narodne novine, broj 129/10); Uredba o načinu i kriterijima utvrđivanja mjerodavnog tržišta (Narodne novine, broj 09/11); Uredba o skupnom izuzeću sporazuma o prijenosu tehnologije (Narodne novine, broj 09/11); Uredba o sporazumima male vrijednosti (Narodne novine, broj 09/11); Uredba o skupnom izuzeću vertikalnih sporazuma između poduzetnika(Narodne novine, broj 37/11); Uredba o skupnom izuzeću sporazuma o distribuciji i servisiranju  motornih vozila  (Narodne novine, broj 37/11); Uredba o načinu prijave i kriterijima za ocjenu koncentracija poduzetnika (Narodne novine, broj 38/11); Uredba o skupnom izuzeću horizontalnih sporazuma između poduzetnika (Narodne novine, broj 72/11); Uredba o skupnom izuzeću sporazuma u osiguranju (Narodne novine, broj 78/11); Uredba o skupnom izuzeću sporazuma u sektoru prometa (Narodne novine, broj 78/11).</w:t>
      </w:r>
    </w:p>
    <w:p w:rsidR="005C2091" w:rsidRDefault="00A86293">
      <w:pPr>
        <w:pStyle w:val="Heading8"/>
        <w:jc w:val="left"/>
      </w:pPr>
      <w:r>
        <w:t>Opis aktivnosti</w:t>
      </w:r>
    </w:p>
    <w:p w:rsidR="005C2091" w:rsidRDefault="00A86293">
      <w:r>
        <w:t xml:space="preserve">Ova aktivnost sadrži najveći dio rashoda koji su potrebni za provođenje svih poslova koji su u nadležnosti Agencije. Rashodi ove aktivnosti čine 97,68 posto ukupno izvršenog proračuna Agencije.  </w:t>
      </w:r>
    </w:p>
    <w:p w:rsidR="005C2091" w:rsidRDefault="00A86293">
      <w:r>
        <w:t xml:space="preserve">Kroz navedenu aktivnost izvršavaju se rashodi za zaposlene, materijalni i financijski rashodi te dio rashoda za nabavu nefinancijske imovine. </w:t>
      </w:r>
    </w:p>
    <w:p w:rsidR="005C2091" w:rsidRDefault="00A86293">
      <w:r>
        <w:t xml:space="preserve">Rashodi za zaposlene izvršeni su u iznosu od 7.490.070,84 kuna, odnosno 99,50 posto u odnosu na plan. Promatrano po strukturi rashoda, rashodi za zaposlene činili su 75,20 posto rashoda ove aktivnosti ili 73,46 posto sveukupnih rashoda Agencije u 2016 godini.  </w:t>
      </w:r>
    </w:p>
    <w:p w:rsidR="005C2091" w:rsidRDefault="00A86293">
      <w:r>
        <w:t xml:space="preserve">U odnosu na 2015. godinu ukupni rashodi za zaposlene manji su za 135.552,99 kuna, odnosno za 1,78 posto, a čine podskupine: </w:t>
      </w:r>
    </w:p>
    <w:p w:rsidR="005C2091" w:rsidRDefault="00A86293">
      <w:r>
        <w:t>-</w:t>
      </w:r>
      <w:r>
        <w:tab/>
        <w:t xml:space="preserve">plaće sa doprinosima smanjenje su u iznosu od 273.623,82 kuna (smanjenja su posljedica dugotrajnih bolovanja na teret HZZO-a i odlaska u mirovinu dvoje zaposlenika.)  </w:t>
      </w:r>
    </w:p>
    <w:p w:rsidR="005C2091" w:rsidRDefault="00A86293">
      <w:r>
        <w:t>-</w:t>
      </w:r>
      <w:r>
        <w:tab/>
        <w:t xml:space="preserve">povećanje ostalih rashoda za zaposlene u iznosu od 138.070,83 kuna (povećanje se odnosi na isplatu regresa i božićnice za zaposlene). </w:t>
      </w:r>
    </w:p>
    <w:p w:rsidR="005C2091" w:rsidRDefault="00A86293">
      <w:r>
        <w:t xml:space="preserve">Materijalni rashodi ove aktivnosti izvršeni su u iznosu od 2.424.165,42, odnosno 96,18 posto u odnosu na planirane. U ovoj aktivnosti sadržano je 93,72 posto ukupnih materijalnih rashoda Agencije. Najveći udio (71,09 posto) materijalnih rashoda čine  rashodi za usluge (podskupina 323) koji su izvršeni u iznosu od 1.838.845,84 kune. Najveće učešće (50,20 posto) u ovoj podskupini imaju rashodi za zakup poslovnog prostora u iznosu od 1.298.504,75 kuna. </w:t>
      </w:r>
    </w:p>
    <w:p w:rsidR="005C2091" w:rsidRDefault="00A86293">
      <w:r>
        <w:t xml:space="preserve">Materijalni rashodi  u 2016. godine smanjeni su u odnosu na rashode 2015. godine za 539.374,01 kuna odnosno za 18,20 posto.  </w:t>
      </w:r>
    </w:p>
    <w:p w:rsidR="005C2091" w:rsidRDefault="00A86293">
      <w:r>
        <w:t xml:space="preserve">Značajno smanjenje se odnosi na naknade troškova za zaposlene u iznosu od 344.681,71 odnosno umanjenje za 49,15 posto, a čine podskupine:  </w:t>
      </w:r>
    </w:p>
    <w:p w:rsidR="005C2091" w:rsidRDefault="00A86293">
      <w:r>
        <w:t>-</w:t>
      </w:r>
      <w:r>
        <w:tab/>
        <w:t xml:space="preserve">službena putovanja u iznosu  od 209.516,99 kuna (izvršena su nužna putovanja sukladno  obvezama prisustvovanja radnih skupina ECN, dio ovih rashoda planirana su na izvoru 559 Ostale refundacije EU-A , a izvršene u iznosu 40.612,91 kuna), </w:t>
      </w:r>
    </w:p>
    <w:p w:rsidR="005C2091" w:rsidRDefault="00A86293">
      <w:r>
        <w:t>-</w:t>
      </w:r>
      <w:r>
        <w:tab/>
        <w:t xml:space="preserve">naknade za prijevoz u iznosu od 18.450,49 kuna (smanjenje broja zaposlenih) i </w:t>
      </w:r>
    </w:p>
    <w:p w:rsidR="005C2091" w:rsidRDefault="00A86293">
      <w:r>
        <w:t>-</w:t>
      </w:r>
      <w:r>
        <w:tab/>
        <w:t xml:space="preserve">stručno usavršavanje u iznosu od 116.714,23 kuna (smanjenje školovanja zaposlenika) </w:t>
      </w:r>
    </w:p>
    <w:p w:rsidR="005C2091" w:rsidRDefault="00A86293">
      <w:r>
        <w:t xml:space="preserve">Rashodi za materijal i energiju smanjeni su u odnosu na 2015. godinu u iznosu od  118.318,01 kuna a odnose se na: </w:t>
      </w:r>
    </w:p>
    <w:p w:rsidR="005C2091" w:rsidRDefault="00A86293">
      <w:r>
        <w:lastRenderedPageBreak/>
        <w:t>-</w:t>
      </w:r>
      <w:r>
        <w:tab/>
        <w:t xml:space="preserve">uredski i ostali materijal u iznosu od 105.432,13 kuna (nabavka materijala po znatno povoljnijim cijenama), </w:t>
      </w:r>
    </w:p>
    <w:p w:rsidR="005C2091" w:rsidRDefault="00A86293">
      <w:r>
        <w:t>-</w:t>
      </w:r>
      <w:r>
        <w:tab/>
        <w:t xml:space="preserve">energiju u iznosu od 11.733,72 kuna (sklopljen je ugovor s povoljnijim ponuđačem) i </w:t>
      </w:r>
    </w:p>
    <w:p w:rsidR="005C2091" w:rsidRDefault="00A86293">
      <w:r>
        <w:t>-</w:t>
      </w:r>
      <w:r>
        <w:tab/>
        <w:t xml:space="preserve">nabavka materijala, sitnog inventara i auto guma u iznosu od  1.152,16 kuna (izvršene nužne nabavke) </w:t>
      </w:r>
    </w:p>
    <w:p w:rsidR="005C2091" w:rsidRDefault="00A86293">
      <w:r>
        <w:t xml:space="preserve">Rashodi za usluge u odnosu na 2015. godinu smanjeni su 90.056,74 kuna, a odnose se na: </w:t>
      </w:r>
    </w:p>
    <w:p w:rsidR="005C2091" w:rsidRDefault="00A86293">
      <w:r>
        <w:t>-</w:t>
      </w:r>
      <w:r>
        <w:tab/>
        <w:t xml:space="preserve">usluge telefona, pošte i prijevoza u iznosu od 19.895,07 kuna (smanjen broj pismena putem pošte i ugovorene povoljnije tarife mobitela) </w:t>
      </w:r>
    </w:p>
    <w:p w:rsidR="005C2091" w:rsidRDefault="00A86293">
      <w:r>
        <w:t>-</w:t>
      </w:r>
      <w:r>
        <w:tab/>
        <w:t xml:space="preserve">usluge tekućeg održavanja u iznosu od 31.462,02 kuna (manji broj popravaka i održavanja opreme) </w:t>
      </w:r>
    </w:p>
    <w:p w:rsidR="005C2091" w:rsidRDefault="00A86293">
      <w:r>
        <w:t>-</w:t>
      </w:r>
      <w:r>
        <w:tab/>
        <w:t xml:space="preserve">zakupnine i najamnine u iznosu od 17.597,25 (ušteda na smanjenom tečaju Eura i  ugovoren je povoljniji najam garaža za službena vozila) i </w:t>
      </w:r>
    </w:p>
    <w:p w:rsidR="005C2091" w:rsidRDefault="00A86293">
      <w:r>
        <w:t>-</w:t>
      </w:r>
      <w:r>
        <w:tab/>
        <w:t xml:space="preserve">ostale nenavedene usluge u iznosu od 21.102,40 kuna (odnose se na povoljnije ugovoreno čišćenje poslovnog prostora, smanjenje broja sistematskih pregleda i dr.) </w:t>
      </w:r>
    </w:p>
    <w:p w:rsidR="005C2091" w:rsidRDefault="00A86293">
      <w:r>
        <w:t xml:space="preserve">Naknade troškova osobama izvan radnog odnosa u odnosu na 2015. godinu povećani su za 4.832,13 kuna. Do značajnog povećanja od 157,06 posto došlo je radi obveze plaćanja doprinosa za dvije osobe koje su u 2016. godini bile na stručnom usavršavanju bez zasnivanja radnog odnosa. </w:t>
      </w:r>
    </w:p>
    <w:p w:rsidR="005C2091" w:rsidRDefault="00A86293">
      <w:r>
        <w:t xml:space="preserve">Ostali nespomenuti rashodi poslovanja  u odnosu na 2015. godinu povećani su za 8.850,32 kuna. Povećanje je nastalo radi obveze plaćanja naknade za nezapošljavanje invalida koju u 2015. godini nismo bili obvezni. </w:t>
      </w:r>
    </w:p>
    <w:p w:rsidR="005C2091" w:rsidRDefault="00A86293">
      <w:r>
        <w:t xml:space="preserve">Financijski rashodi izvršeni su u iznosu od 2.689,33 kuna odnosno 67,23 posto u odnosu na planirano. Ti rashodi odnose se na  troškove vezane uz  usluge deviznog poslovanja (Hrvatske poštanske banke d.d.) i smanjeni su za 22,17 posto u odnosu na 2015. godinu radi smanjenja  službenih putovanja. </w:t>
      </w:r>
    </w:p>
    <w:p w:rsidR="005C2091" w:rsidRDefault="00A86293">
      <w:r>
        <w:t>Rashodi za nabavu proizvedene dugotrajne imovine kroz ovu aktivnost izvršeni su u iznosu 42.636,10 kuna i čine 0,43 posto u strukturi rashoda ove aktivnosti. Ovi rashodi smanjeni su u odnosu na 2015. godinu u iznosu od 10.920,79 kuna i odnosili su se na nabavu najnužnije dotrajale uredske opreme.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objavljenih odluka, priopćenja, mišljenja Agencije</w:t>
            </w:r>
          </w:p>
        </w:tc>
        <w:tc>
          <w:tcPr>
            <w:tcW w:w="2551" w:type="dxa"/>
          </w:tcPr>
          <w:p w:rsidR="005C2091" w:rsidRDefault="00A86293">
            <w:pPr>
              <w:pStyle w:val="CellColumn"/>
              <w:jc w:val="left"/>
            </w:pPr>
            <w:r>
              <w:rPr>
                <w:rFonts w:cs="Times New Roman"/>
              </w:rPr>
              <w:t>Ukazuje na aktivnost Agencije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176</w:t>
            </w:r>
          </w:p>
        </w:tc>
        <w:tc>
          <w:tcPr>
            <w:tcW w:w="1020" w:type="dxa"/>
          </w:tcPr>
          <w:p w:rsidR="005C2091" w:rsidRDefault="00A86293">
            <w:pPr>
              <w:pStyle w:val="CellColumn"/>
              <w:jc w:val="right"/>
            </w:pPr>
            <w:r>
              <w:rPr>
                <w:rFonts w:cs="Times New Roman"/>
              </w:rPr>
              <w:t xml:space="preserve">Narodne novine, </w:t>
            </w:r>
          </w:p>
          <w:p w:rsidR="005C2091" w:rsidRDefault="00A86293">
            <w:pPr>
              <w:pStyle w:val="CellColumn"/>
              <w:jc w:val="right"/>
            </w:pPr>
            <w:r>
              <w:rPr>
                <w:rFonts w:cs="Times New Roman"/>
              </w:rPr>
              <w:t>Internet stranica Agencije</w:t>
            </w:r>
          </w:p>
        </w:tc>
        <w:tc>
          <w:tcPr>
            <w:tcW w:w="1020" w:type="dxa"/>
          </w:tcPr>
          <w:p w:rsidR="005C2091" w:rsidRDefault="00A86293">
            <w:pPr>
              <w:pStyle w:val="CellColumn"/>
              <w:jc w:val="right"/>
            </w:pPr>
            <w:r>
              <w:rPr>
                <w:rFonts w:cs="Times New Roman"/>
              </w:rPr>
              <w:t>150</w:t>
            </w:r>
          </w:p>
        </w:tc>
        <w:tc>
          <w:tcPr>
            <w:tcW w:w="1020" w:type="dxa"/>
          </w:tcPr>
          <w:p w:rsidR="005C2091" w:rsidRDefault="00A86293">
            <w:pPr>
              <w:pStyle w:val="CellColumn"/>
              <w:jc w:val="right"/>
            </w:pPr>
            <w:r>
              <w:rPr>
                <w:rFonts w:cs="Times New Roman"/>
              </w:rPr>
              <w:t>169</w:t>
            </w:r>
          </w:p>
        </w:tc>
      </w:tr>
      <w:tr w:rsidR="005C2091">
        <w:trPr>
          <w:jc w:val="center"/>
        </w:trPr>
        <w:tc>
          <w:tcPr>
            <w:tcW w:w="2551" w:type="dxa"/>
          </w:tcPr>
          <w:p w:rsidR="005C2091" w:rsidRDefault="00A86293">
            <w:pPr>
              <w:pStyle w:val="CellColumn"/>
              <w:jc w:val="left"/>
            </w:pPr>
            <w:r>
              <w:rPr>
                <w:rFonts w:cs="Times New Roman"/>
              </w:rPr>
              <w:t>Broj izrađenih biltena</w:t>
            </w:r>
          </w:p>
        </w:tc>
        <w:tc>
          <w:tcPr>
            <w:tcW w:w="2551" w:type="dxa"/>
          </w:tcPr>
          <w:p w:rsidR="005C2091" w:rsidRDefault="00A86293">
            <w:pPr>
              <w:pStyle w:val="CellColumn"/>
              <w:jc w:val="left"/>
            </w:pPr>
            <w:r>
              <w:rPr>
                <w:rFonts w:cs="Times New Roman"/>
              </w:rPr>
              <w:t>Ukazuje na aktivnost Agencije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11</w:t>
            </w:r>
          </w:p>
        </w:tc>
        <w:tc>
          <w:tcPr>
            <w:tcW w:w="1020" w:type="dxa"/>
          </w:tcPr>
          <w:p w:rsidR="005C2091" w:rsidRDefault="00A86293">
            <w:pPr>
              <w:pStyle w:val="CellColumn"/>
              <w:jc w:val="right"/>
            </w:pPr>
            <w:r>
              <w:rPr>
                <w:rFonts w:cs="Times New Roman"/>
              </w:rPr>
              <w:t>Godišnje izvješće Agencije</w:t>
            </w:r>
          </w:p>
        </w:tc>
        <w:tc>
          <w:tcPr>
            <w:tcW w:w="1020" w:type="dxa"/>
          </w:tcPr>
          <w:p w:rsidR="005C2091" w:rsidRDefault="00A86293">
            <w:pPr>
              <w:pStyle w:val="CellColumn"/>
              <w:jc w:val="right"/>
            </w:pPr>
            <w:r>
              <w:rPr>
                <w:rFonts w:cs="Times New Roman"/>
              </w:rPr>
              <w:t>11</w:t>
            </w:r>
          </w:p>
        </w:tc>
        <w:tc>
          <w:tcPr>
            <w:tcW w:w="1020" w:type="dxa"/>
          </w:tcPr>
          <w:p w:rsidR="005C2091" w:rsidRDefault="00A86293">
            <w:pPr>
              <w:pStyle w:val="CellColumn"/>
              <w:jc w:val="right"/>
            </w:pPr>
            <w:r>
              <w:rPr>
                <w:rFonts w:cs="Times New Roman"/>
              </w:rPr>
              <w:t>11</w:t>
            </w:r>
          </w:p>
        </w:tc>
      </w:tr>
      <w:tr w:rsidR="005C2091">
        <w:trPr>
          <w:jc w:val="center"/>
        </w:trPr>
        <w:tc>
          <w:tcPr>
            <w:tcW w:w="2551" w:type="dxa"/>
          </w:tcPr>
          <w:p w:rsidR="005C2091" w:rsidRDefault="00A86293">
            <w:pPr>
              <w:pStyle w:val="CellColumn"/>
              <w:jc w:val="left"/>
            </w:pPr>
            <w:r>
              <w:rPr>
                <w:rFonts w:cs="Times New Roman"/>
              </w:rPr>
              <w:t>Broj danih mišljenja</w:t>
            </w:r>
          </w:p>
        </w:tc>
        <w:tc>
          <w:tcPr>
            <w:tcW w:w="2551" w:type="dxa"/>
          </w:tcPr>
          <w:p w:rsidR="005C2091" w:rsidRDefault="00A86293">
            <w:pPr>
              <w:pStyle w:val="CellColumn"/>
              <w:jc w:val="left"/>
            </w:pPr>
            <w:r>
              <w:rPr>
                <w:rFonts w:cs="Times New Roman"/>
              </w:rPr>
              <w:t>Provedba zakona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25</w:t>
            </w:r>
          </w:p>
        </w:tc>
        <w:tc>
          <w:tcPr>
            <w:tcW w:w="1020" w:type="dxa"/>
          </w:tcPr>
          <w:p w:rsidR="005C2091" w:rsidRDefault="00A86293">
            <w:pPr>
              <w:pStyle w:val="CellColumn"/>
              <w:jc w:val="right"/>
            </w:pPr>
            <w:r>
              <w:rPr>
                <w:rFonts w:cs="Times New Roman"/>
              </w:rPr>
              <w:t>Godišnje izvješće Agencije</w:t>
            </w:r>
          </w:p>
        </w:tc>
        <w:tc>
          <w:tcPr>
            <w:tcW w:w="1020" w:type="dxa"/>
          </w:tcPr>
          <w:p w:rsidR="005C2091" w:rsidRDefault="00A86293">
            <w:pPr>
              <w:pStyle w:val="CellColumn"/>
              <w:jc w:val="right"/>
            </w:pPr>
            <w:r>
              <w:rPr>
                <w:rFonts w:cs="Times New Roman"/>
              </w:rPr>
              <w:t>25</w:t>
            </w:r>
          </w:p>
        </w:tc>
        <w:tc>
          <w:tcPr>
            <w:tcW w:w="1020" w:type="dxa"/>
          </w:tcPr>
          <w:p w:rsidR="005C2091" w:rsidRDefault="00A86293">
            <w:pPr>
              <w:pStyle w:val="CellColumn"/>
              <w:jc w:val="right"/>
            </w:pPr>
            <w:r>
              <w:rPr>
                <w:rFonts w:cs="Times New Roman"/>
              </w:rPr>
              <w:t>31</w:t>
            </w:r>
          </w:p>
        </w:tc>
      </w:tr>
      <w:tr w:rsidR="005C2091">
        <w:trPr>
          <w:jc w:val="center"/>
        </w:trPr>
        <w:tc>
          <w:tcPr>
            <w:tcW w:w="2551" w:type="dxa"/>
          </w:tcPr>
          <w:p w:rsidR="005C2091" w:rsidRDefault="00A86293">
            <w:pPr>
              <w:pStyle w:val="CellColumn"/>
              <w:jc w:val="left"/>
            </w:pPr>
            <w:r>
              <w:rPr>
                <w:rFonts w:cs="Times New Roman"/>
              </w:rPr>
              <w:t>Aktivno sudjelovanje predstavnika Agencije na okruglim stolovima, konferencijama, radionicama</w:t>
            </w:r>
          </w:p>
        </w:tc>
        <w:tc>
          <w:tcPr>
            <w:tcW w:w="2551" w:type="dxa"/>
          </w:tcPr>
          <w:p w:rsidR="005C2091" w:rsidRDefault="00A86293">
            <w:pPr>
              <w:pStyle w:val="CellColumn"/>
              <w:jc w:val="left"/>
            </w:pPr>
            <w:r>
              <w:rPr>
                <w:rFonts w:cs="Times New Roman"/>
              </w:rPr>
              <w:t>Ukazuje na aktivnosti Agencije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 xml:space="preserve">Godišnje izvješće Agencije, </w:t>
            </w:r>
          </w:p>
          <w:p w:rsidR="005C2091" w:rsidRDefault="00A86293">
            <w:pPr>
              <w:pStyle w:val="CellColumn"/>
              <w:jc w:val="right"/>
            </w:pPr>
            <w:r>
              <w:rPr>
                <w:rFonts w:cs="Times New Roman"/>
              </w:rPr>
              <w:t>Internet stranica Agencije</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20</w:t>
            </w:r>
          </w:p>
        </w:tc>
      </w:tr>
      <w:tr w:rsidR="005C2091">
        <w:trPr>
          <w:jc w:val="center"/>
        </w:trPr>
        <w:tc>
          <w:tcPr>
            <w:tcW w:w="2551" w:type="dxa"/>
          </w:tcPr>
          <w:p w:rsidR="005C2091" w:rsidRDefault="00A86293">
            <w:pPr>
              <w:pStyle w:val="CellColumn"/>
              <w:jc w:val="left"/>
            </w:pPr>
            <w:r>
              <w:rPr>
                <w:rFonts w:cs="Times New Roman"/>
              </w:rPr>
              <w:lastRenderedPageBreak/>
              <w:t>Održavanje konferencije</w:t>
            </w:r>
          </w:p>
        </w:tc>
        <w:tc>
          <w:tcPr>
            <w:tcW w:w="2551" w:type="dxa"/>
          </w:tcPr>
          <w:p w:rsidR="005C2091" w:rsidRDefault="00A86293">
            <w:pPr>
              <w:pStyle w:val="CellColumn"/>
              <w:jc w:val="left"/>
            </w:pPr>
            <w:r>
              <w:rPr>
                <w:rFonts w:cs="Times New Roman"/>
              </w:rPr>
              <w:t>Ukazuje na aktivnosti Agencije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Internet stranica Agencije</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bl>
    <w:p w:rsidR="005C2091" w:rsidRDefault="005C2091">
      <w:pPr>
        <w:jc w:val="left"/>
      </w:pPr>
    </w:p>
    <w:p w:rsidR="005C2091" w:rsidRDefault="00A86293">
      <w:pPr>
        <w:pStyle w:val="Heading4"/>
      </w:pPr>
      <w:r>
        <w:t>A507017 ORGANIZACIJA MEĐUNARODNE KONFERENCIJE U PODRUČJU TRŽIŠNOG NATJECANJA</w:t>
      </w:r>
    </w:p>
    <w:tbl>
      <w:tblPr>
        <w:tblStyle w:val="StilTablice"/>
        <w:tblW w:w="10206" w:type="dxa"/>
        <w:jc w:val="center"/>
        <w:tblLook w:val="04A0" w:firstRow="1" w:lastRow="0" w:firstColumn="1" w:lastColumn="0" w:noHBand="0" w:noVBand="1"/>
      </w:tblPr>
      <w:tblGrid>
        <w:gridCol w:w="1681"/>
        <w:gridCol w:w="2028"/>
        <w:gridCol w:w="2026"/>
        <w:gridCol w:w="2028"/>
        <w:gridCol w:w="1221"/>
        <w:gridCol w:w="122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A507017-ORGANIZACIJA MEĐUNARODNE KONFERENCIJE U PODRUČJU TRŽIŠNOG NATJECANJA</w:t>
            </w:r>
          </w:p>
        </w:tc>
        <w:tc>
          <w:tcPr>
            <w:tcW w:w="2041" w:type="dxa"/>
          </w:tcPr>
          <w:p w:rsidR="005C2091" w:rsidRDefault="00A86293">
            <w:pPr>
              <w:pStyle w:val="CellColumn"/>
              <w:jc w:val="right"/>
            </w:pPr>
            <w:r>
              <w:rPr>
                <w:rFonts w:cs="Times New Roman"/>
              </w:rPr>
              <w:t>45.097</w:t>
            </w:r>
          </w:p>
        </w:tc>
        <w:tc>
          <w:tcPr>
            <w:tcW w:w="2041" w:type="dxa"/>
          </w:tcPr>
          <w:p w:rsidR="005C2091" w:rsidRDefault="00A86293">
            <w:pPr>
              <w:pStyle w:val="CellColumn"/>
              <w:jc w:val="right"/>
            </w:pPr>
            <w:r>
              <w:rPr>
                <w:rFonts w:cs="Times New Roman"/>
              </w:rPr>
              <w:t>49.500</w:t>
            </w:r>
          </w:p>
        </w:tc>
        <w:tc>
          <w:tcPr>
            <w:tcW w:w="2041" w:type="dxa"/>
          </w:tcPr>
          <w:p w:rsidR="005C2091" w:rsidRDefault="00A86293">
            <w:pPr>
              <w:pStyle w:val="CellColumn"/>
              <w:jc w:val="right"/>
            </w:pPr>
            <w:r>
              <w:rPr>
                <w:rFonts w:cs="Times New Roman"/>
              </w:rPr>
              <w:t>46.520</w:t>
            </w:r>
          </w:p>
        </w:tc>
        <w:tc>
          <w:tcPr>
            <w:tcW w:w="1224" w:type="dxa"/>
          </w:tcPr>
          <w:p w:rsidR="005C2091" w:rsidRDefault="00A86293">
            <w:pPr>
              <w:pStyle w:val="CellColumn"/>
              <w:jc w:val="right"/>
            </w:pPr>
            <w:r>
              <w:rPr>
                <w:rFonts w:cs="Times New Roman"/>
              </w:rPr>
              <w:t>94,0</w:t>
            </w:r>
          </w:p>
        </w:tc>
        <w:tc>
          <w:tcPr>
            <w:tcW w:w="1224" w:type="dxa"/>
          </w:tcPr>
          <w:p w:rsidR="005C2091" w:rsidRDefault="00A86293">
            <w:pPr>
              <w:pStyle w:val="CellColumn"/>
              <w:jc w:val="right"/>
            </w:pPr>
            <w:r>
              <w:rPr>
                <w:rFonts w:cs="Times New Roman"/>
              </w:rPr>
              <w:t>103,2</w:t>
            </w:r>
          </w:p>
        </w:tc>
      </w:tr>
    </w:tbl>
    <w:p w:rsidR="005C2091" w:rsidRDefault="005C2091">
      <w:pPr>
        <w:jc w:val="left"/>
      </w:pPr>
    </w:p>
    <w:p w:rsidR="005C2091" w:rsidRDefault="00A86293">
      <w:pPr>
        <w:pStyle w:val="Heading8"/>
        <w:jc w:val="left"/>
      </w:pPr>
      <w:r>
        <w:t>Opis aktivnosti</w:t>
      </w:r>
    </w:p>
    <w:p w:rsidR="005C2091" w:rsidRDefault="00A86293">
      <w:r>
        <w:t>Rashodi za ovu aktivnost izvršeni su 0,46 posto u odnosu na ukupno izvršenje proračuna Agencije, a odnosili su se na troškove organizacije konferencije „Prijenos Direktiva o naknadi štete-kakva su očekivanja“  i to: najam dvorane i opreme, simultano prevođenje, refundacije troškova puta sudionicima koji nisu iz Hrvatske te trošak reprezentacije. Cilj ove konferencije je razmjena znanja i stečenih iskustava među stručnjacima iz područja zaštite tržišnog natjecanja promicanje kulture prava tržišnog natjecanja i informiranje zainteresirane javnosti. U odnosu na 2015. godinu rashodi su povećani za 3,16 posto radi povećanja broja sudionika na konferenciji i drugačijeg formata konferencije.</w:t>
      </w:r>
    </w:p>
    <w:p w:rsidR="005C2091" w:rsidRDefault="00A86293">
      <w:pPr>
        <w:pStyle w:val="Heading4"/>
      </w:pPr>
      <w:r>
        <w:t>K507005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K507005-INFORMATIZACIJA</w:t>
            </w:r>
          </w:p>
        </w:tc>
        <w:tc>
          <w:tcPr>
            <w:tcW w:w="2041" w:type="dxa"/>
          </w:tcPr>
          <w:p w:rsidR="005C2091" w:rsidRDefault="00A86293">
            <w:pPr>
              <w:pStyle w:val="CellColumn"/>
              <w:jc w:val="right"/>
            </w:pPr>
            <w:r>
              <w:rPr>
                <w:rFonts w:cs="Times New Roman"/>
              </w:rPr>
              <w:t>366.951</w:t>
            </w:r>
          </w:p>
        </w:tc>
        <w:tc>
          <w:tcPr>
            <w:tcW w:w="2041" w:type="dxa"/>
          </w:tcPr>
          <w:p w:rsidR="005C2091" w:rsidRDefault="00A86293">
            <w:pPr>
              <w:pStyle w:val="CellColumn"/>
              <w:jc w:val="right"/>
            </w:pPr>
            <w:r>
              <w:rPr>
                <w:rFonts w:cs="Times New Roman"/>
              </w:rPr>
              <w:t>198.640</w:t>
            </w:r>
          </w:p>
        </w:tc>
        <w:tc>
          <w:tcPr>
            <w:tcW w:w="2041" w:type="dxa"/>
          </w:tcPr>
          <w:p w:rsidR="005C2091" w:rsidRDefault="00A86293">
            <w:pPr>
              <w:pStyle w:val="CellColumn"/>
              <w:jc w:val="right"/>
            </w:pPr>
            <w:r>
              <w:rPr>
                <w:rFonts w:cs="Times New Roman"/>
              </w:rPr>
              <w:t>189.895</w:t>
            </w:r>
          </w:p>
        </w:tc>
        <w:tc>
          <w:tcPr>
            <w:tcW w:w="1224" w:type="dxa"/>
          </w:tcPr>
          <w:p w:rsidR="005C2091" w:rsidRDefault="00A86293">
            <w:pPr>
              <w:pStyle w:val="CellColumn"/>
              <w:jc w:val="right"/>
            </w:pPr>
            <w:r>
              <w:rPr>
                <w:rFonts w:cs="Times New Roman"/>
              </w:rPr>
              <w:t>95,6</w:t>
            </w:r>
          </w:p>
        </w:tc>
        <w:tc>
          <w:tcPr>
            <w:tcW w:w="1224" w:type="dxa"/>
          </w:tcPr>
          <w:p w:rsidR="005C2091" w:rsidRDefault="00A86293">
            <w:pPr>
              <w:pStyle w:val="CellColumn"/>
              <w:jc w:val="right"/>
            </w:pPr>
            <w:r>
              <w:rPr>
                <w:rFonts w:cs="Times New Roman"/>
              </w:rPr>
              <w:t>51,7</w:t>
            </w:r>
          </w:p>
        </w:tc>
      </w:tr>
    </w:tbl>
    <w:p w:rsidR="005C2091" w:rsidRDefault="005C2091">
      <w:pPr>
        <w:jc w:val="left"/>
      </w:pPr>
    </w:p>
    <w:p w:rsidR="005C2091" w:rsidRDefault="00A86293">
      <w:pPr>
        <w:pStyle w:val="Heading8"/>
        <w:jc w:val="left"/>
      </w:pPr>
      <w:r>
        <w:t>Opis aktivnosti</w:t>
      </w:r>
    </w:p>
    <w:p w:rsidR="005C2091" w:rsidRDefault="00A86293">
      <w:r>
        <w:t>Rashodi ove aktivnosti čine 1,86 posto ukupno izvršenog proračuna Agencije, a u odnosu na 2015. godinu smanjeni su za  48,25 posto. Kroz ovu aktivnost nabavljena je informatička oprema za redovno poslovanje (računala, monitori i ostala informatička oprema) u iznosu od 73.983,70 kuna. Nabava opreme  bila je nužna radi izvršavanja redovnih aktivnosti Agencije. Kroz ovu aktivnost  financirali su se također i rashodi za računalne usluge tj. rashodi za održavanje informatičke strukture i programa koji su izvršeni u iznosu od 115.911,33 kune. Sredstva na ovoj aktivnosti planirana su u 2016. godini za zakup opreme u iznosu od 125.000 kuna te nadogradnju softvera Meridia u iznosu od 128.800 kuna, no  budući Agencija nije bila u mogućnosti  izvršiti navedena ugovaranja  u 2016. godini ostvarili smo značajne uštede proračuna.</w:t>
      </w:r>
    </w:p>
    <w:p w:rsidR="002B042D" w:rsidRDefault="002B042D"/>
    <w:p w:rsidR="002B042D" w:rsidRDefault="002B042D"/>
    <w:p w:rsidR="002B042D" w:rsidRDefault="002B042D"/>
    <w:p w:rsidR="002B042D" w:rsidRDefault="002B042D"/>
    <w:p w:rsidR="005C2091" w:rsidRDefault="00A86293">
      <w:pPr>
        <w:pStyle w:val="Heading1"/>
      </w:pPr>
      <w:r>
        <w:lastRenderedPageBreak/>
        <w:t>020 VLADA REPUBLIKE HRVATSKE</w:t>
      </w:r>
    </w:p>
    <w:p w:rsidR="002B042D" w:rsidRDefault="00A86293">
      <w:r>
        <w:t xml:space="preserve">Najznačajniji poslovi i zadaci na razini razdjela obuhvaćaju obavljanje administrativnih, analitičkih, informatičkih, informativnih, protokolarnih, savjetodavnih, stručnih i upravno-pravnih poslova kojima se osigurava redovito funkcioniranje Vlade Republike Hrvatske kao nositelja izvršne vlasti, sukladno Ustavu Republike Hrvatske i zakonima, te realizacija specifičnih vladinih programa i strategija usmjerenih na poboljšanje okruženja za razvoj civilnog društva, kvalitetnu obranu interesa Republike Hrvatske u postupcima pred Europskim sudom za ljudska prava te Odborom ministara Vijeća Europe, unapređenje kulturne autonomije nacionalnih manjina, poboljšanje procesa donošenja akata Vlade Republike Hrvatske, unapređenje cjelokupnog sustava zaštite i promicanja ljudskih prava i prava nacionalnih manjina u Republici Hrvatskoj, suzbijanje zlouporabe droga, uklanjanje spolne diskriminacije i stvaranje uvjeta za stvarnu ravnopravnost muškaraca i žena u društvu, osiguranje dostupnosti pod jednakim uvjetima i nepristrano javnoj službenoj dokumentaciji i informacijama Republike Hrvatske svim korisnicima. </w:t>
      </w:r>
    </w:p>
    <w:p w:rsidR="005C2091" w:rsidRDefault="00A86293">
      <w:r>
        <w:t xml:space="preserve">Razdjel 020 Vlada Republike Hrvatske čine sljedeći uredi: </w:t>
      </w:r>
    </w:p>
    <w:p w:rsidR="005C2091" w:rsidRDefault="00A86293">
      <w:r>
        <w:t xml:space="preserve">Vlada Republike Hrvatske, Ured predsjednika Vlade Republike Hrvatske, Ured za udruge, Ured zastupnika Republike Hrvatske pred Europskim sudom za ljudska prava, Stručna služba Savjeta za nacionalne manjine, Ured za zakonodavstvo, Ured za opće poslove Hrvatskoga sabora i Vlade Republike Hrvatske, Ured za protokol, Ured Vlade Republike Hrvatske za unutarnju reviziju, Direkcija za korištenje službenih zrakoplova, Ured za ljudska prava i prava nacionalnih manjina, Ured za suzbijanje zlouporabe droga, Ured Komisije za odnose s vjerskim zajednicama, Ured za ravnopravnost spolova, Digitalni informacijsko-dokumentacijski ured, Ured za razminiranje. </w:t>
      </w:r>
    </w:p>
    <w:p w:rsidR="005C2091" w:rsidRDefault="00A86293">
      <w:r>
        <w:t>Stupanjem na snagu Zakona o ustrojstvu i djelokrugu ministarstava i drugih središnjih tijela državne uprave (Narodne novine, 93/16) Digitalni informacijsko-dokumentacijski ured prestaje s radom, a njegove poslove preuzima Središnji državni ured za razvoj digitalnog društva.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02005-Vlada Republike Hrvatske</w:t>
            </w:r>
          </w:p>
        </w:tc>
        <w:tc>
          <w:tcPr>
            <w:tcW w:w="2041" w:type="dxa"/>
            <w:vAlign w:val="top"/>
          </w:tcPr>
          <w:p w:rsidR="005C2091" w:rsidRDefault="00A86293">
            <w:pPr>
              <w:pStyle w:val="CellColumn"/>
              <w:jc w:val="right"/>
            </w:pPr>
            <w:r>
              <w:rPr>
                <w:rFonts w:cs="Times New Roman"/>
              </w:rPr>
              <w:t>20.310.800</w:t>
            </w:r>
          </w:p>
        </w:tc>
        <w:tc>
          <w:tcPr>
            <w:tcW w:w="2041" w:type="dxa"/>
            <w:vAlign w:val="top"/>
          </w:tcPr>
          <w:p w:rsidR="005C2091" w:rsidRDefault="00A86293">
            <w:pPr>
              <w:pStyle w:val="CellColumn"/>
              <w:jc w:val="right"/>
            </w:pPr>
            <w:r>
              <w:rPr>
                <w:rFonts w:cs="Times New Roman"/>
              </w:rPr>
              <w:t>23.097.075</w:t>
            </w:r>
          </w:p>
        </w:tc>
        <w:tc>
          <w:tcPr>
            <w:tcW w:w="2041" w:type="dxa"/>
            <w:vAlign w:val="top"/>
          </w:tcPr>
          <w:p w:rsidR="005C2091" w:rsidRDefault="00A86293">
            <w:pPr>
              <w:pStyle w:val="CellColumn"/>
              <w:jc w:val="right"/>
            </w:pPr>
            <w:r>
              <w:rPr>
                <w:rFonts w:cs="Times New Roman"/>
              </w:rPr>
              <w:t>20.866.816</w:t>
            </w:r>
          </w:p>
        </w:tc>
        <w:tc>
          <w:tcPr>
            <w:tcW w:w="1224" w:type="dxa"/>
            <w:vAlign w:val="top"/>
          </w:tcPr>
          <w:p w:rsidR="005C2091" w:rsidRDefault="00A86293">
            <w:pPr>
              <w:pStyle w:val="CellColumn"/>
              <w:jc w:val="right"/>
            </w:pPr>
            <w:r>
              <w:rPr>
                <w:rFonts w:cs="Times New Roman"/>
              </w:rPr>
              <w:t>90,3</w:t>
            </w:r>
          </w:p>
        </w:tc>
        <w:tc>
          <w:tcPr>
            <w:tcW w:w="1224" w:type="dxa"/>
            <w:vAlign w:val="top"/>
          </w:tcPr>
          <w:p w:rsidR="005C2091" w:rsidRDefault="00A86293">
            <w:pPr>
              <w:pStyle w:val="CellColumn"/>
              <w:jc w:val="right"/>
            </w:pPr>
            <w:r>
              <w:rPr>
                <w:rFonts w:cs="Times New Roman"/>
              </w:rPr>
              <w:t>102,7</w:t>
            </w:r>
          </w:p>
        </w:tc>
      </w:tr>
      <w:tr w:rsidR="005C2091">
        <w:trPr>
          <w:jc w:val="center"/>
        </w:trPr>
        <w:tc>
          <w:tcPr>
            <w:tcW w:w="1632" w:type="dxa"/>
            <w:vAlign w:val="top"/>
          </w:tcPr>
          <w:p w:rsidR="005C2091" w:rsidRDefault="00A86293">
            <w:pPr>
              <w:pStyle w:val="CellColumn"/>
              <w:jc w:val="left"/>
            </w:pPr>
            <w:r>
              <w:rPr>
                <w:rFonts w:cs="Times New Roman"/>
              </w:rPr>
              <w:t>02006-Ured predsjednika Vlade Republike Hrvatske</w:t>
            </w:r>
          </w:p>
        </w:tc>
        <w:tc>
          <w:tcPr>
            <w:tcW w:w="2041" w:type="dxa"/>
            <w:vAlign w:val="top"/>
          </w:tcPr>
          <w:p w:rsidR="005C2091" w:rsidRDefault="00A86293">
            <w:pPr>
              <w:pStyle w:val="CellColumn"/>
              <w:jc w:val="right"/>
            </w:pPr>
            <w:r>
              <w:rPr>
                <w:rFonts w:cs="Times New Roman"/>
              </w:rPr>
              <w:t>7.886.472</w:t>
            </w:r>
          </w:p>
        </w:tc>
        <w:tc>
          <w:tcPr>
            <w:tcW w:w="2041" w:type="dxa"/>
            <w:vAlign w:val="top"/>
          </w:tcPr>
          <w:p w:rsidR="005C2091" w:rsidRDefault="00A86293">
            <w:pPr>
              <w:pStyle w:val="CellColumn"/>
              <w:jc w:val="right"/>
            </w:pPr>
            <w:r>
              <w:rPr>
                <w:rFonts w:cs="Times New Roman"/>
              </w:rPr>
              <w:t>8.120.013</w:t>
            </w:r>
          </w:p>
        </w:tc>
        <w:tc>
          <w:tcPr>
            <w:tcW w:w="2041" w:type="dxa"/>
            <w:vAlign w:val="top"/>
          </w:tcPr>
          <w:p w:rsidR="005C2091" w:rsidRDefault="00A86293">
            <w:pPr>
              <w:pStyle w:val="CellColumn"/>
              <w:jc w:val="right"/>
            </w:pPr>
            <w:r>
              <w:rPr>
                <w:rFonts w:cs="Times New Roman"/>
              </w:rPr>
              <w:t>7.536.362</w:t>
            </w:r>
          </w:p>
        </w:tc>
        <w:tc>
          <w:tcPr>
            <w:tcW w:w="1224" w:type="dxa"/>
            <w:vAlign w:val="top"/>
          </w:tcPr>
          <w:p w:rsidR="005C2091" w:rsidRDefault="00A86293">
            <w:pPr>
              <w:pStyle w:val="CellColumn"/>
              <w:jc w:val="right"/>
            </w:pPr>
            <w:r>
              <w:rPr>
                <w:rFonts w:cs="Times New Roman"/>
              </w:rPr>
              <w:t>92,8</w:t>
            </w:r>
          </w:p>
        </w:tc>
        <w:tc>
          <w:tcPr>
            <w:tcW w:w="1224" w:type="dxa"/>
            <w:vAlign w:val="top"/>
          </w:tcPr>
          <w:p w:rsidR="005C2091" w:rsidRDefault="00A86293">
            <w:pPr>
              <w:pStyle w:val="CellColumn"/>
              <w:jc w:val="right"/>
            </w:pPr>
            <w:r>
              <w:rPr>
                <w:rFonts w:cs="Times New Roman"/>
              </w:rPr>
              <w:t>95,6</w:t>
            </w:r>
          </w:p>
        </w:tc>
      </w:tr>
      <w:tr w:rsidR="005C2091">
        <w:trPr>
          <w:jc w:val="center"/>
        </w:trPr>
        <w:tc>
          <w:tcPr>
            <w:tcW w:w="1632" w:type="dxa"/>
            <w:vAlign w:val="top"/>
          </w:tcPr>
          <w:p w:rsidR="005C2091" w:rsidRDefault="00A86293">
            <w:pPr>
              <w:pStyle w:val="CellColumn"/>
              <w:jc w:val="left"/>
            </w:pPr>
            <w:r>
              <w:rPr>
                <w:rFonts w:cs="Times New Roman"/>
              </w:rPr>
              <w:t>02010-Ured za udruge</w:t>
            </w:r>
          </w:p>
        </w:tc>
        <w:tc>
          <w:tcPr>
            <w:tcW w:w="2041" w:type="dxa"/>
            <w:vAlign w:val="top"/>
          </w:tcPr>
          <w:p w:rsidR="005C2091" w:rsidRDefault="00A86293">
            <w:pPr>
              <w:pStyle w:val="CellColumn"/>
              <w:jc w:val="right"/>
            </w:pPr>
            <w:r>
              <w:rPr>
                <w:rFonts w:cs="Times New Roman"/>
              </w:rPr>
              <w:t>124.532.267</w:t>
            </w:r>
          </w:p>
        </w:tc>
        <w:tc>
          <w:tcPr>
            <w:tcW w:w="2041" w:type="dxa"/>
            <w:vAlign w:val="top"/>
          </w:tcPr>
          <w:p w:rsidR="005C2091" w:rsidRDefault="00A86293">
            <w:pPr>
              <w:pStyle w:val="CellColumn"/>
              <w:jc w:val="right"/>
            </w:pPr>
            <w:r>
              <w:rPr>
                <w:rFonts w:cs="Times New Roman"/>
              </w:rPr>
              <w:t>53.459.038</w:t>
            </w:r>
          </w:p>
        </w:tc>
        <w:tc>
          <w:tcPr>
            <w:tcW w:w="2041" w:type="dxa"/>
            <w:vAlign w:val="top"/>
          </w:tcPr>
          <w:p w:rsidR="005C2091" w:rsidRDefault="00A86293">
            <w:pPr>
              <w:pStyle w:val="CellColumn"/>
              <w:jc w:val="right"/>
            </w:pPr>
            <w:r>
              <w:rPr>
                <w:rFonts w:cs="Times New Roman"/>
              </w:rPr>
              <w:t>54.607.049</w:t>
            </w:r>
          </w:p>
        </w:tc>
        <w:tc>
          <w:tcPr>
            <w:tcW w:w="1224" w:type="dxa"/>
            <w:vAlign w:val="top"/>
          </w:tcPr>
          <w:p w:rsidR="005C2091" w:rsidRDefault="00A86293">
            <w:pPr>
              <w:pStyle w:val="CellColumn"/>
              <w:jc w:val="right"/>
            </w:pPr>
            <w:r>
              <w:rPr>
                <w:rFonts w:cs="Times New Roman"/>
              </w:rPr>
              <w:t>102,1</w:t>
            </w:r>
          </w:p>
        </w:tc>
        <w:tc>
          <w:tcPr>
            <w:tcW w:w="1224" w:type="dxa"/>
            <w:vAlign w:val="top"/>
          </w:tcPr>
          <w:p w:rsidR="005C2091" w:rsidRDefault="00A86293">
            <w:pPr>
              <w:pStyle w:val="CellColumn"/>
              <w:jc w:val="right"/>
            </w:pPr>
            <w:r>
              <w:rPr>
                <w:rFonts w:cs="Times New Roman"/>
              </w:rPr>
              <w:t>43,8</w:t>
            </w:r>
          </w:p>
        </w:tc>
      </w:tr>
      <w:tr w:rsidR="005C2091">
        <w:trPr>
          <w:jc w:val="center"/>
        </w:trPr>
        <w:tc>
          <w:tcPr>
            <w:tcW w:w="1632" w:type="dxa"/>
            <w:vAlign w:val="top"/>
          </w:tcPr>
          <w:p w:rsidR="005C2091" w:rsidRDefault="00A86293">
            <w:pPr>
              <w:pStyle w:val="CellColumn"/>
              <w:jc w:val="left"/>
            </w:pPr>
            <w:r>
              <w:rPr>
                <w:rFonts w:cs="Times New Roman"/>
              </w:rPr>
              <w:t>02015-Ured zastupnika Republike Hrvatske pred Europskim sudom za ljudska prava</w:t>
            </w:r>
          </w:p>
        </w:tc>
        <w:tc>
          <w:tcPr>
            <w:tcW w:w="2041" w:type="dxa"/>
            <w:vAlign w:val="top"/>
          </w:tcPr>
          <w:p w:rsidR="005C2091" w:rsidRDefault="00A86293">
            <w:pPr>
              <w:pStyle w:val="CellColumn"/>
              <w:jc w:val="right"/>
            </w:pPr>
            <w:r>
              <w:rPr>
                <w:rFonts w:cs="Times New Roman"/>
              </w:rPr>
              <w:t>2.705.509</w:t>
            </w:r>
          </w:p>
        </w:tc>
        <w:tc>
          <w:tcPr>
            <w:tcW w:w="2041" w:type="dxa"/>
            <w:vAlign w:val="top"/>
          </w:tcPr>
          <w:p w:rsidR="005C2091" w:rsidRDefault="00A86293">
            <w:pPr>
              <w:pStyle w:val="CellColumn"/>
              <w:jc w:val="right"/>
            </w:pPr>
            <w:r>
              <w:rPr>
                <w:rFonts w:cs="Times New Roman"/>
              </w:rPr>
              <w:t>5.565.195</w:t>
            </w:r>
          </w:p>
        </w:tc>
        <w:tc>
          <w:tcPr>
            <w:tcW w:w="2041" w:type="dxa"/>
            <w:vAlign w:val="top"/>
          </w:tcPr>
          <w:p w:rsidR="005C2091" w:rsidRDefault="00A86293">
            <w:pPr>
              <w:pStyle w:val="CellColumn"/>
              <w:jc w:val="right"/>
            </w:pPr>
            <w:r>
              <w:rPr>
                <w:rFonts w:cs="Times New Roman"/>
              </w:rPr>
              <w:t>4.878.436</w:t>
            </w:r>
          </w:p>
        </w:tc>
        <w:tc>
          <w:tcPr>
            <w:tcW w:w="1224" w:type="dxa"/>
            <w:vAlign w:val="top"/>
          </w:tcPr>
          <w:p w:rsidR="005C2091" w:rsidRDefault="00A86293">
            <w:pPr>
              <w:pStyle w:val="CellColumn"/>
              <w:jc w:val="right"/>
            </w:pPr>
            <w:r>
              <w:rPr>
                <w:rFonts w:cs="Times New Roman"/>
              </w:rPr>
              <w:t>87,7</w:t>
            </w:r>
          </w:p>
        </w:tc>
        <w:tc>
          <w:tcPr>
            <w:tcW w:w="1224" w:type="dxa"/>
            <w:vAlign w:val="top"/>
          </w:tcPr>
          <w:p w:rsidR="005C2091" w:rsidRDefault="00A86293">
            <w:pPr>
              <w:pStyle w:val="CellColumn"/>
              <w:jc w:val="right"/>
            </w:pPr>
            <w:r>
              <w:rPr>
                <w:rFonts w:cs="Times New Roman"/>
              </w:rPr>
              <w:t>180,3</w:t>
            </w:r>
          </w:p>
        </w:tc>
      </w:tr>
      <w:tr w:rsidR="005C2091">
        <w:trPr>
          <w:jc w:val="center"/>
        </w:trPr>
        <w:tc>
          <w:tcPr>
            <w:tcW w:w="1632" w:type="dxa"/>
            <w:vAlign w:val="top"/>
          </w:tcPr>
          <w:p w:rsidR="005C2091" w:rsidRDefault="00A86293">
            <w:pPr>
              <w:pStyle w:val="CellColumn"/>
              <w:jc w:val="left"/>
            </w:pPr>
            <w:r>
              <w:rPr>
                <w:rFonts w:cs="Times New Roman"/>
              </w:rPr>
              <w:t>02021-Stručna služba Savjeta za nacionalne manjine</w:t>
            </w:r>
          </w:p>
        </w:tc>
        <w:tc>
          <w:tcPr>
            <w:tcW w:w="2041" w:type="dxa"/>
            <w:vAlign w:val="top"/>
          </w:tcPr>
          <w:p w:rsidR="005C2091" w:rsidRDefault="00A86293">
            <w:pPr>
              <w:pStyle w:val="CellColumn"/>
              <w:jc w:val="right"/>
            </w:pPr>
            <w:r>
              <w:rPr>
                <w:rFonts w:cs="Times New Roman"/>
              </w:rPr>
              <w:t>36.850.314</w:t>
            </w:r>
          </w:p>
        </w:tc>
        <w:tc>
          <w:tcPr>
            <w:tcW w:w="2041" w:type="dxa"/>
            <w:vAlign w:val="top"/>
          </w:tcPr>
          <w:p w:rsidR="005C2091" w:rsidRDefault="00A86293">
            <w:pPr>
              <w:pStyle w:val="CellColumn"/>
              <w:jc w:val="right"/>
            </w:pPr>
            <w:r>
              <w:rPr>
                <w:rFonts w:cs="Times New Roman"/>
              </w:rPr>
              <w:t>33.265.610</w:t>
            </w:r>
          </w:p>
        </w:tc>
        <w:tc>
          <w:tcPr>
            <w:tcW w:w="2041" w:type="dxa"/>
            <w:vAlign w:val="top"/>
          </w:tcPr>
          <w:p w:rsidR="005C2091" w:rsidRDefault="00A86293">
            <w:pPr>
              <w:pStyle w:val="CellColumn"/>
              <w:jc w:val="right"/>
            </w:pPr>
            <w:r>
              <w:rPr>
                <w:rFonts w:cs="Times New Roman"/>
              </w:rPr>
              <w:t>32.795.908</w:t>
            </w:r>
          </w:p>
        </w:tc>
        <w:tc>
          <w:tcPr>
            <w:tcW w:w="1224" w:type="dxa"/>
            <w:vAlign w:val="top"/>
          </w:tcPr>
          <w:p w:rsidR="005C2091" w:rsidRDefault="00A86293">
            <w:pPr>
              <w:pStyle w:val="CellColumn"/>
              <w:jc w:val="right"/>
            </w:pPr>
            <w:r>
              <w:rPr>
                <w:rFonts w:cs="Times New Roman"/>
              </w:rPr>
              <w:t>98,6</w:t>
            </w:r>
          </w:p>
        </w:tc>
        <w:tc>
          <w:tcPr>
            <w:tcW w:w="1224" w:type="dxa"/>
            <w:vAlign w:val="top"/>
          </w:tcPr>
          <w:p w:rsidR="005C2091" w:rsidRDefault="00A86293">
            <w:pPr>
              <w:pStyle w:val="CellColumn"/>
              <w:jc w:val="right"/>
            </w:pPr>
            <w:r>
              <w:rPr>
                <w:rFonts w:cs="Times New Roman"/>
              </w:rPr>
              <w:t>89,0</w:t>
            </w:r>
          </w:p>
        </w:tc>
      </w:tr>
      <w:tr w:rsidR="005C2091">
        <w:trPr>
          <w:jc w:val="center"/>
        </w:trPr>
        <w:tc>
          <w:tcPr>
            <w:tcW w:w="1632" w:type="dxa"/>
            <w:vAlign w:val="top"/>
          </w:tcPr>
          <w:p w:rsidR="005C2091" w:rsidRDefault="00A86293">
            <w:pPr>
              <w:pStyle w:val="CellColumn"/>
              <w:jc w:val="left"/>
            </w:pPr>
            <w:r>
              <w:rPr>
                <w:rFonts w:cs="Times New Roman"/>
              </w:rPr>
              <w:t>02030-Ured za zakonodavstvo</w:t>
            </w:r>
          </w:p>
        </w:tc>
        <w:tc>
          <w:tcPr>
            <w:tcW w:w="2041" w:type="dxa"/>
            <w:vAlign w:val="top"/>
          </w:tcPr>
          <w:p w:rsidR="005C2091" w:rsidRDefault="00A86293">
            <w:pPr>
              <w:pStyle w:val="CellColumn"/>
              <w:jc w:val="right"/>
            </w:pPr>
            <w:r>
              <w:rPr>
                <w:rFonts w:cs="Times New Roman"/>
              </w:rPr>
              <w:t>4.283.529</w:t>
            </w:r>
          </w:p>
        </w:tc>
        <w:tc>
          <w:tcPr>
            <w:tcW w:w="2041" w:type="dxa"/>
            <w:vAlign w:val="top"/>
          </w:tcPr>
          <w:p w:rsidR="005C2091" w:rsidRDefault="00A86293">
            <w:pPr>
              <w:pStyle w:val="CellColumn"/>
              <w:jc w:val="right"/>
            </w:pPr>
            <w:r>
              <w:rPr>
                <w:rFonts w:cs="Times New Roman"/>
              </w:rPr>
              <w:t>3.359.010</w:t>
            </w:r>
          </w:p>
        </w:tc>
        <w:tc>
          <w:tcPr>
            <w:tcW w:w="2041" w:type="dxa"/>
            <w:vAlign w:val="top"/>
          </w:tcPr>
          <w:p w:rsidR="005C2091" w:rsidRDefault="00A86293">
            <w:pPr>
              <w:pStyle w:val="CellColumn"/>
              <w:jc w:val="right"/>
            </w:pPr>
            <w:r>
              <w:rPr>
                <w:rFonts w:cs="Times New Roman"/>
              </w:rPr>
              <w:t>2.900.481</w:t>
            </w:r>
          </w:p>
        </w:tc>
        <w:tc>
          <w:tcPr>
            <w:tcW w:w="1224" w:type="dxa"/>
            <w:vAlign w:val="top"/>
          </w:tcPr>
          <w:p w:rsidR="005C2091" w:rsidRDefault="00A86293">
            <w:pPr>
              <w:pStyle w:val="CellColumn"/>
              <w:jc w:val="right"/>
            </w:pPr>
            <w:r>
              <w:rPr>
                <w:rFonts w:cs="Times New Roman"/>
              </w:rPr>
              <w:t>86,3</w:t>
            </w:r>
          </w:p>
        </w:tc>
        <w:tc>
          <w:tcPr>
            <w:tcW w:w="1224" w:type="dxa"/>
            <w:vAlign w:val="top"/>
          </w:tcPr>
          <w:p w:rsidR="005C2091" w:rsidRDefault="00A86293">
            <w:pPr>
              <w:pStyle w:val="CellColumn"/>
              <w:jc w:val="right"/>
            </w:pPr>
            <w:r>
              <w:rPr>
                <w:rFonts w:cs="Times New Roman"/>
              </w:rPr>
              <w:t>67,7</w:t>
            </w:r>
          </w:p>
        </w:tc>
      </w:tr>
      <w:tr w:rsidR="005C2091">
        <w:trPr>
          <w:jc w:val="center"/>
        </w:trPr>
        <w:tc>
          <w:tcPr>
            <w:tcW w:w="1632" w:type="dxa"/>
            <w:vAlign w:val="top"/>
          </w:tcPr>
          <w:p w:rsidR="005C2091" w:rsidRDefault="00A86293">
            <w:pPr>
              <w:pStyle w:val="CellColumn"/>
              <w:jc w:val="left"/>
            </w:pPr>
            <w:r>
              <w:rPr>
                <w:rFonts w:cs="Times New Roman"/>
              </w:rPr>
              <w:lastRenderedPageBreak/>
              <w:t>02035-Ured za opće poslove Hrvatskoga sabora i Vlade Republike Hrvatske</w:t>
            </w:r>
          </w:p>
        </w:tc>
        <w:tc>
          <w:tcPr>
            <w:tcW w:w="2041" w:type="dxa"/>
            <w:vAlign w:val="top"/>
          </w:tcPr>
          <w:p w:rsidR="005C2091" w:rsidRDefault="00A86293">
            <w:pPr>
              <w:pStyle w:val="CellColumn"/>
              <w:jc w:val="right"/>
            </w:pPr>
            <w:r>
              <w:rPr>
                <w:rFonts w:cs="Times New Roman"/>
              </w:rPr>
              <w:t>30.544.579</w:t>
            </w:r>
          </w:p>
        </w:tc>
        <w:tc>
          <w:tcPr>
            <w:tcW w:w="2041" w:type="dxa"/>
            <w:vAlign w:val="top"/>
          </w:tcPr>
          <w:p w:rsidR="005C2091" w:rsidRDefault="00A86293">
            <w:pPr>
              <w:pStyle w:val="CellColumn"/>
              <w:jc w:val="right"/>
            </w:pPr>
            <w:r>
              <w:rPr>
                <w:rFonts w:cs="Times New Roman"/>
              </w:rPr>
              <w:t>31.543.372</w:t>
            </w:r>
          </w:p>
        </w:tc>
        <w:tc>
          <w:tcPr>
            <w:tcW w:w="2041" w:type="dxa"/>
            <w:vAlign w:val="top"/>
          </w:tcPr>
          <w:p w:rsidR="005C2091" w:rsidRDefault="00A86293">
            <w:pPr>
              <w:pStyle w:val="CellColumn"/>
              <w:jc w:val="right"/>
            </w:pPr>
            <w:r>
              <w:rPr>
                <w:rFonts w:cs="Times New Roman"/>
              </w:rPr>
              <w:t>29.029.903</w:t>
            </w:r>
          </w:p>
        </w:tc>
        <w:tc>
          <w:tcPr>
            <w:tcW w:w="1224" w:type="dxa"/>
            <w:vAlign w:val="top"/>
          </w:tcPr>
          <w:p w:rsidR="005C2091" w:rsidRDefault="00A86293">
            <w:pPr>
              <w:pStyle w:val="CellColumn"/>
              <w:jc w:val="right"/>
            </w:pPr>
            <w:r>
              <w:rPr>
                <w:rFonts w:cs="Times New Roman"/>
              </w:rPr>
              <w:t>92,0</w:t>
            </w:r>
          </w:p>
        </w:tc>
        <w:tc>
          <w:tcPr>
            <w:tcW w:w="1224" w:type="dxa"/>
            <w:vAlign w:val="top"/>
          </w:tcPr>
          <w:p w:rsidR="005C2091" w:rsidRDefault="00A86293">
            <w:pPr>
              <w:pStyle w:val="CellColumn"/>
              <w:jc w:val="right"/>
            </w:pPr>
            <w:r>
              <w:rPr>
                <w:rFonts w:cs="Times New Roman"/>
              </w:rPr>
              <w:t>95,0</w:t>
            </w:r>
          </w:p>
        </w:tc>
      </w:tr>
      <w:tr w:rsidR="005C2091">
        <w:trPr>
          <w:jc w:val="center"/>
        </w:trPr>
        <w:tc>
          <w:tcPr>
            <w:tcW w:w="1632" w:type="dxa"/>
            <w:vAlign w:val="top"/>
          </w:tcPr>
          <w:p w:rsidR="005C2091" w:rsidRDefault="00A86293">
            <w:pPr>
              <w:pStyle w:val="CellColumn"/>
              <w:jc w:val="left"/>
            </w:pPr>
            <w:r>
              <w:rPr>
                <w:rFonts w:cs="Times New Roman"/>
              </w:rPr>
              <w:t>02042-Ured za protokol</w:t>
            </w:r>
          </w:p>
        </w:tc>
        <w:tc>
          <w:tcPr>
            <w:tcW w:w="2041" w:type="dxa"/>
            <w:vAlign w:val="top"/>
          </w:tcPr>
          <w:p w:rsidR="005C2091" w:rsidRDefault="00A86293">
            <w:pPr>
              <w:pStyle w:val="CellColumn"/>
              <w:jc w:val="right"/>
            </w:pPr>
            <w:r>
              <w:rPr>
                <w:rFonts w:cs="Times New Roman"/>
              </w:rPr>
              <w:t>951.843</w:t>
            </w:r>
          </w:p>
        </w:tc>
        <w:tc>
          <w:tcPr>
            <w:tcW w:w="2041" w:type="dxa"/>
            <w:vAlign w:val="top"/>
          </w:tcPr>
          <w:p w:rsidR="005C2091" w:rsidRDefault="00A86293">
            <w:pPr>
              <w:pStyle w:val="CellColumn"/>
              <w:jc w:val="right"/>
            </w:pPr>
            <w:r>
              <w:rPr>
                <w:rFonts w:cs="Times New Roman"/>
              </w:rPr>
              <w:t>1.100.760</w:t>
            </w:r>
          </w:p>
        </w:tc>
        <w:tc>
          <w:tcPr>
            <w:tcW w:w="2041" w:type="dxa"/>
            <w:vAlign w:val="top"/>
          </w:tcPr>
          <w:p w:rsidR="005C2091" w:rsidRDefault="00A86293">
            <w:pPr>
              <w:pStyle w:val="CellColumn"/>
              <w:jc w:val="right"/>
            </w:pPr>
            <w:r>
              <w:rPr>
                <w:rFonts w:cs="Times New Roman"/>
              </w:rPr>
              <w:t>977.440</w:t>
            </w:r>
          </w:p>
        </w:tc>
        <w:tc>
          <w:tcPr>
            <w:tcW w:w="1224" w:type="dxa"/>
            <w:vAlign w:val="top"/>
          </w:tcPr>
          <w:p w:rsidR="005C2091" w:rsidRDefault="00A86293">
            <w:pPr>
              <w:pStyle w:val="CellColumn"/>
              <w:jc w:val="right"/>
            </w:pPr>
            <w:r>
              <w:rPr>
                <w:rFonts w:cs="Times New Roman"/>
              </w:rPr>
              <w:t>88,8</w:t>
            </w:r>
          </w:p>
        </w:tc>
        <w:tc>
          <w:tcPr>
            <w:tcW w:w="1224" w:type="dxa"/>
            <w:vAlign w:val="top"/>
          </w:tcPr>
          <w:p w:rsidR="005C2091" w:rsidRDefault="00A86293">
            <w:pPr>
              <w:pStyle w:val="CellColumn"/>
              <w:jc w:val="right"/>
            </w:pPr>
            <w:r>
              <w:rPr>
                <w:rFonts w:cs="Times New Roman"/>
              </w:rPr>
              <w:t>102,7</w:t>
            </w:r>
          </w:p>
        </w:tc>
      </w:tr>
      <w:tr w:rsidR="005C2091">
        <w:trPr>
          <w:jc w:val="center"/>
        </w:trPr>
        <w:tc>
          <w:tcPr>
            <w:tcW w:w="1632" w:type="dxa"/>
            <w:vAlign w:val="top"/>
          </w:tcPr>
          <w:p w:rsidR="005C2091" w:rsidRDefault="00A86293">
            <w:pPr>
              <w:pStyle w:val="CellColumn"/>
              <w:jc w:val="left"/>
            </w:pPr>
            <w:r>
              <w:rPr>
                <w:rFonts w:cs="Times New Roman"/>
              </w:rPr>
              <w:t>02044-Ured Vlade Republike Hrvatske za unutarnju reviziju</w:t>
            </w:r>
          </w:p>
        </w:tc>
        <w:tc>
          <w:tcPr>
            <w:tcW w:w="2041" w:type="dxa"/>
            <w:vAlign w:val="top"/>
          </w:tcPr>
          <w:p w:rsidR="005C2091" w:rsidRDefault="00A86293">
            <w:pPr>
              <w:pStyle w:val="CellColumn"/>
              <w:jc w:val="right"/>
            </w:pPr>
            <w:r>
              <w:rPr>
                <w:rFonts w:cs="Times New Roman"/>
              </w:rPr>
              <w:t>1.481.755</w:t>
            </w:r>
          </w:p>
        </w:tc>
        <w:tc>
          <w:tcPr>
            <w:tcW w:w="2041" w:type="dxa"/>
            <w:vAlign w:val="top"/>
          </w:tcPr>
          <w:p w:rsidR="005C2091" w:rsidRDefault="00A86293">
            <w:pPr>
              <w:pStyle w:val="CellColumn"/>
              <w:jc w:val="right"/>
            </w:pPr>
            <w:r>
              <w:rPr>
                <w:rFonts w:cs="Times New Roman"/>
              </w:rPr>
              <w:t>1.761.870</w:t>
            </w:r>
          </w:p>
        </w:tc>
        <w:tc>
          <w:tcPr>
            <w:tcW w:w="2041" w:type="dxa"/>
            <w:vAlign w:val="top"/>
          </w:tcPr>
          <w:p w:rsidR="005C2091" w:rsidRDefault="00A86293">
            <w:pPr>
              <w:pStyle w:val="CellColumn"/>
              <w:jc w:val="right"/>
            </w:pPr>
            <w:r>
              <w:rPr>
                <w:rFonts w:cs="Times New Roman"/>
              </w:rPr>
              <w:t>1.698.292</w:t>
            </w:r>
          </w:p>
        </w:tc>
        <w:tc>
          <w:tcPr>
            <w:tcW w:w="1224" w:type="dxa"/>
            <w:vAlign w:val="top"/>
          </w:tcPr>
          <w:p w:rsidR="005C2091" w:rsidRDefault="00A86293">
            <w:pPr>
              <w:pStyle w:val="CellColumn"/>
              <w:jc w:val="right"/>
            </w:pPr>
            <w:r>
              <w:rPr>
                <w:rFonts w:cs="Times New Roman"/>
              </w:rPr>
              <w:t>96,4</w:t>
            </w:r>
          </w:p>
        </w:tc>
        <w:tc>
          <w:tcPr>
            <w:tcW w:w="1224" w:type="dxa"/>
            <w:vAlign w:val="top"/>
          </w:tcPr>
          <w:p w:rsidR="005C2091" w:rsidRDefault="00A86293">
            <w:pPr>
              <w:pStyle w:val="CellColumn"/>
              <w:jc w:val="right"/>
            </w:pPr>
            <w:r>
              <w:rPr>
                <w:rFonts w:cs="Times New Roman"/>
              </w:rPr>
              <w:t>114,6</w:t>
            </w:r>
          </w:p>
        </w:tc>
      </w:tr>
      <w:tr w:rsidR="005C2091">
        <w:trPr>
          <w:jc w:val="center"/>
        </w:trPr>
        <w:tc>
          <w:tcPr>
            <w:tcW w:w="1632" w:type="dxa"/>
            <w:vAlign w:val="top"/>
          </w:tcPr>
          <w:p w:rsidR="005C2091" w:rsidRDefault="00A86293">
            <w:pPr>
              <w:pStyle w:val="CellColumn"/>
              <w:jc w:val="left"/>
            </w:pPr>
            <w:r>
              <w:rPr>
                <w:rFonts w:cs="Times New Roman"/>
              </w:rPr>
              <w:t>02046-Direkcija za korištenje službenih zrakoplova</w:t>
            </w:r>
          </w:p>
        </w:tc>
        <w:tc>
          <w:tcPr>
            <w:tcW w:w="2041" w:type="dxa"/>
            <w:vAlign w:val="top"/>
          </w:tcPr>
          <w:p w:rsidR="005C2091" w:rsidRDefault="00A86293">
            <w:pPr>
              <w:pStyle w:val="CellColumn"/>
              <w:jc w:val="right"/>
            </w:pPr>
            <w:r>
              <w:rPr>
                <w:rFonts w:cs="Times New Roman"/>
              </w:rPr>
              <w:t>11.560.070</w:t>
            </w:r>
          </w:p>
        </w:tc>
        <w:tc>
          <w:tcPr>
            <w:tcW w:w="2041" w:type="dxa"/>
            <w:vAlign w:val="top"/>
          </w:tcPr>
          <w:p w:rsidR="005C2091" w:rsidRDefault="00A86293">
            <w:pPr>
              <w:pStyle w:val="CellColumn"/>
              <w:jc w:val="right"/>
            </w:pPr>
            <w:r>
              <w:rPr>
                <w:rFonts w:cs="Times New Roman"/>
              </w:rPr>
              <w:t>10.724.550</w:t>
            </w:r>
          </w:p>
        </w:tc>
        <w:tc>
          <w:tcPr>
            <w:tcW w:w="2041" w:type="dxa"/>
            <w:vAlign w:val="top"/>
          </w:tcPr>
          <w:p w:rsidR="005C2091" w:rsidRDefault="00A86293">
            <w:pPr>
              <w:pStyle w:val="CellColumn"/>
              <w:jc w:val="right"/>
            </w:pPr>
            <w:r>
              <w:rPr>
                <w:rFonts w:cs="Times New Roman"/>
              </w:rPr>
              <w:t>10.479.646</w:t>
            </w:r>
          </w:p>
        </w:tc>
        <w:tc>
          <w:tcPr>
            <w:tcW w:w="1224" w:type="dxa"/>
            <w:vAlign w:val="top"/>
          </w:tcPr>
          <w:p w:rsidR="005C2091" w:rsidRDefault="00A86293">
            <w:pPr>
              <w:pStyle w:val="CellColumn"/>
              <w:jc w:val="right"/>
            </w:pPr>
            <w:r>
              <w:rPr>
                <w:rFonts w:cs="Times New Roman"/>
              </w:rPr>
              <w:t>97,7</w:t>
            </w:r>
          </w:p>
        </w:tc>
        <w:tc>
          <w:tcPr>
            <w:tcW w:w="1224" w:type="dxa"/>
            <w:vAlign w:val="top"/>
          </w:tcPr>
          <w:p w:rsidR="005C2091" w:rsidRDefault="00A86293">
            <w:pPr>
              <w:pStyle w:val="CellColumn"/>
              <w:jc w:val="right"/>
            </w:pPr>
            <w:r>
              <w:rPr>
                <w:rFonts w:cs="Times New Roman"/>
              </w:rPr>
              <w:t>90,7</w:t>
            </w:r>
          </w:p>
        </w:tc>
      </w:tr>
      <w:tr w:rsidR="005C2091">
        <w:trPr>
          <w:jc w:val="center"/>
        </w:trPr>
        <w:tc>
          <w:tcPr>
            <w:tcW w:w="1632" w:type="dxa"/>
            <w:vAlign w:val="top"/>
          </w:tcPr>
          <w:p w:rsidR="005C2091" w:rsidRDefault="00A86293">
            <w:pPr>
              <w:pStyle w:val="CellColumn"/>
              <w:jc w:val="left"/>
            </w:pPr>
            <w:r>
              <w:rPr>
                <w:rFonts w:cs="Times New Roman"/>
              </w:rPr>
              <w:t>02087-Ured za ljudska prava i prava nacionalnih manjina</w:t>
            </w:r>
          </w:p>
        </w:tc>
        <w:tc>
          <w:tcPr>
            <w:tcW w:w="2041" w:type="dxa"/>
            <w:vAlign w:val="top"/>
          </w:tcPr>
          <w:p w:rsidR="005C2091" w:rsidRDefault="00A86293">
            <w:pPr>
              <w:pStyle w:val="CellColumn"/>
              <w:jc w:val="right"/>
            </w:pPr>
            <w:r>
              <w:rPr>
                <w:rFonts w:cs="Times New Roman"/>
              </w:rPr>
              <w:t>23.650.530</w:t>
            </w:r>
          </w:p>
        </w:tc>
        <w:tc>
          <w:tcPr>
            <w:tcW w:w="2041" w:type="dxa"/>
            <w:vAlign w:val="top"/>
          </w:tcPr>
          <w:p w:rsidR="005C2091" w:rsidRDefault="00A86293">
            <w:pPr>
              <w:pStyle w:val="CellColumn"/>
              <w:jc w:val="right"/>
            </w:pPr>
            <w:r>
              <w:rPr>
                <w:rFonts w:cs="Times New Roman"/>
              </w:rPr>
              <w:t>23.440.899</w:t>
            </w:r>
          </w:p>
        </w:tc>
        <w:tc>
          <w:tcPr>
            <w:tcW w:w="2041" w:type="dxa"/>
            <w:vAlign w:val="top"/>
          </w:tcPr>
          <w:p w:rsidR="005C2091" w:rsidRDefault="00A86293">
            <w:pPr>
              <w:pStyle w:val="CellColumn"/>
              <w:jc w:val="right"/>
            </w:pPr>
            <w:r>
              <w:rPr>
                <w:rFonts w:cs="Times New Roman"/>
              </w:rPr>
              <w:t>18.829.565</w:t>
            </w:r>
          </w:p>
        </w:tc>
        <w:tc>
          <w:tcPr>
            <w:tcW w:w="1224" w:type="dxa"/>
            <w:vAlign w:val="top"/>
          </w:tcPr>
          <w:p w:rsidR="005C2091" w:rsidRDefault="00A86293">
            <w:pPr>
              <w:pStyle w:val="CellColumn"/>
              <w:jc w:val="right"/>
            </w:pPr>
            <w:r>
              <w:rPr>
                <w:rFonts w:cs="Times New Roman"/>
              </w:rPr>
              <w:t>80,3</w:t>
            </w:r>
          </w:p>
        </w:tc>
        <w:tc>
          <w:tcPr>
            <w:tcW w:w="1224" w:type="dxa"/>
            <w:vAlign w:val="top"/>
          </w:tcPr>
          <w:p w:rsidR="005C2091" w:rsidRDefault="00A86293">
            <w:pPr>
              <w:pStyle w:val="CellColumn"/>
              <w:jc w:val="right"/>
            </w:pPr>
            <w:r>
              <w:rPr>
                <w:rFonts w:cs="Times New Roman"/>
              </w:rPr>
              <w:t>79,6</w:t>
            </w:r>
          </w:p>
        </w:tc>
      </w:tr>
      <w:tr w:rsidR="005C2091">
        <w:trPr>
          <w:jc w:val="center"/>
        </w:trPr>
        <w:tc>
          <w:tcPr>
            <w:tcW w:w="1632" w:type="dxa"/>
            <w:vAlign w:val="top"/>
          </w:tcPr>
          <w:p w:rsidR="005C2091" w:rsidRDefault="00A86293">
            <w:pPr>
              <w:pStyle w:val="CellColumn"/>
              <w:jc w:val="left"/>
            </w:pPr>
            <w:r>
              <w:rPr>
                <w:rFonts w:cs="Times New Roman"/>
              </w:rPr>
              <w:t>02090-Ured za suzbijanje zlouporabe droga</w:t>
            </w:r>
          </w:p>
        </w:tc>
        <w:tc>
          <w:tcPr>
            <w:tcW w:w="2041" w:type="dxa"/>
            <w:vAlign w:val="top"/>
          </w:tcPr>
          <w:p w:rsidR="005C2091" w:rsidRDefault="00A86293">
            <w:pPr>
              <w:pStyle w:val="CellColumn"/>
              <w:jc w:val="right"/>
            </w:pPr>
            <w:r>
              <w:rPr>
                <w:rFonts w:cs="Times New Roman"/>
              </w:rPr>
              <w:t>2.802.441</w:t>
            </w:r>
          </w:p>
        </w:tc>
        <w:tc>
          <w:tcPr>
            <w:tcW w:w="2041" w:type="dxa"/>
            <w:vAlign w:val="top"/>
          </w:tcPr>
          <w:p w:rsidR="005C2091" w:rsidRDefault="00A86293">
            <w:pPr>
              <w:pStyle w:val="CellColumn"/>
              <w:jc w:val="right"/>
            </w:pPr>
            <w:r>
              <w:rPr>
                <w:rFonts w:cs="Times New Roman"/>
              </w:rPr>
              <w:t>4.137.423</w:t>
            </w:r>
          </w:p>
        </w:tc>
        <w:tc>
          <w:tcPr>
            <w:tcW w:w="2041" w:type="dxa"/>
            <w:vAlign w:val="top"/>
          </w:tcPr>
          <w:p w:rsidR="005C2091" w:rsidRDefault="00A86293">
            <w:pPr>
              <w:pStyle w:val="CellColumn"/>
              <w:jc w:val="right"/>
            </w:pPr>
            <w:r>
              <w:rPr>
                <w:rFonts w:cs="Times New Roman"/>
              </w:rPr>
              <w:t>3.445.398</w:t>
            </w:r>
          </w:p>
        </w:tc>
        <w:tc>
          <w:tcPr>
            <w:tcW w:w="1224" w:type="dxa"/>
            <w:vAlign w:val="top"/>
          </w:tcPr>
          <w:p w:rsidR="005C2091" w:rsidRDefault="00A86293">
            <w:pPr>
              <w:pStyle w:val="CellColumn"/>
              <w:jc w:val="right"/>
            </w:pPr>
            <w:r>
              <w:rPr>
                <w:rFonts w:cs="Times New Roman"/>
              </w:rPr>
              <w:t>83,3</w:t>
            </w:r>
          </w:p>
        </w:tc>
        <w:tc>
          <w:tcPr>
            <w:tcW w:w="1224" w:type="dxa"/>
            <w:vAlign w:val="top"/>
          </w:tcPr>
          <w:p w:rsidR="005C2091" w:rsidRDefault="00A86293">
            <w:pPr>
              <w:pStyle w:val="CellColumn"/>
              <w:jc w:val="right"/>
            </w:pPr>
            <w:r>
              <w:rPr>
                <w:rFonts w:cs="Times New Roman"/>
              </w:rPr>
              <w:t>122,9</w:t>
            </w:r>
          </w:p>
        </w:tc>
      </w:tr>
      <w:tr w:rsidR="005C2091">
        <w:trPr>
          <w:jc w:val="center"/>
        </w:trPr>
        <w:tc>
          <w:tcPr>
            <w:tcW w:w="1632" w:type="dxa"/>
            <w:vAlign w:val="top"/>
          </w:tcPr>
          <w:p w:rsidR="005C2091" w:rsidRDefault="00A86293">
            <w:pPr>
              <w:pStyle w:val="CellColumn"/>
              <w:jc w:val="left"/>
            </w:pPr>
            <w:r>
              <w:rPr>
                <w:rFonts w:cs="Times New Roman"/>
              </w:rPr>
              <w:t>02091-Ured Komisije za odnose s vjerskim zajednicama</w:t>
            </w:r>
          </w:p>
        </w:tc>
        <w:tc>
          <w:tcPr>
            <w:tcW w:w="2041" w:type="dxa"/>
            <w:vAlign w:val="top"/>
          </w:tcPr>
          <w:p w:rsidR="005C2091" w:rsidRDefault="00A86293">
            <w:pPr>
              <w:pStyle w:val="CellColumn"/>
              <w:jc w:val="right"/>
            </w:pPr>
            <w:r>
              <w:rPr>
                <w:rFonts w:cs="Times New Roman"/>
              </w:rPr>
              <w:t>364.731</w:t>
            </w:r>
          </w:p>
        </w:tc>
        <w:tc>
          <w:tcPr>
            <w:tcW w:w="2041" w:type="dxa"/>
            <w:vAlign w:val="top"/>
          </w:tcPr>
          <w:p w:rsidR="005C2091" w:rsidRDefault="00A86293">
            <w:pPr>
              <w:pStyle w:val="CellColumn"/>
              <w:jc w:val="right"/>
            </w:pPr>
            <w:r>
              <w:rPr>
                <w:rFonts w:cs="Times New Roman"/>
              </w:rPr>
              <w:t>20.476.520</w:t>
            </w:r>
          </w:p>
        </w:tc>
        <w:tc>
          <w:tcPr>
            <w:tcW w:w="2041" w:type="dxa"/>
            <w:vAlign w:val="top"/>
          </w:tcPr>
          <w:p w:rsidR="005C2091" w:rsidRDefault="00A86293">
            <w:pPr>
              <w:pStyle w:val="CellColumn"/>
              <w:jc w:val="right"/>
            </w:pPr>
            <w:r>
              <w:rPr>
                <w:rFonts w:cs="Times New Roman"/>
              </w:rPr>
              <w:t>20.341.763</w:t>
            </w:r>
          </w:p>
        </w:tc>
        <w:tc>
          <w:tcPr>
            <w:tcW w:w="1224" w:type="dxa"/>
            <w:vAlign w:val="top"/>
          </w:tcPr>
          <w:p w:rsidR="005C2091" w:rsidRDefault="00A86293">
            <w:pPr>
              <w:pStyle w:val="CellColumn"/>
              <w:jc w:val="right"/>
            </w:pPr>
            <w:r>
              <w:rPr>
                <w:rFonts w:cs="Times New Roman"/>
              </w:rPr>
              <w:t>99,3</w:t>
            </w:r>
          </w:p>
        </w:tc>
        <w:tc>
          <w:tcPr>
            <w:tcW w:w="1224" w:type="dxa"/>
            <w:vAlign w:val="top"/>
          </w:tcPr>
          <w:p w:rsidR="005C2091" w:rsidRDefault="00A86293">
            <w:pPr>
              <w:pStyle w:val="CellColumn"/>
              <w:jc w:val="right"/>
            </w:pPr>
            <w:r>
              <w:rPr>
                <w:rFonts w:cs="Times New Roman"/>
              </w:rPr>
              <w:t>5577,2</w:t>
            </w:r>
          </w:p>
        </w:tc>
      </w:tr>
      <w:tr w:rsidR="005C2091">
        <w:trPr>
          <w:jc w:val="center"/>
        </w:trPr>
        <w:tc>
          <w:tcPr>
            <w:tcW w:w="1632" w:type="dxa"/>
            <w:vAlign w:val="top"/>
          </w:tcPr>
          <w:p w:rsidR="005C2091" w:rsidRDefault="00A86293">
            <w:pPr>
              <w:pStyle w:val="CellColumn"/>
              <w:jc w:val="left"/>
            </w:pPr>
            <w:r>
              <w:rPr>
                <w:rFonts w:cs="Times New Roman"/>
              </w:rPr>
              <w:t>02092-Ured za ravnopravnost spolova</w:t>
            </w:r>
          </w:p>
        </w:tc>
        <w:tc>
          <w:tcPr>
            <w:tcW w:w="2041" w:type="dxa"/>
            <w:vAlign w:val="top"/>
          </w:tcPr>
          <w:p w:rsidR="005C2091" w:rsidRDefault="00A86293">
            <w:pPr>
              <w:pStyle w:val="CellColumn"/>
              <w:jc w:val="right"/>
            </w:pPr>
            <w:r>
              <w:rPr>
                <w:rFonts w:cs="Times New Roman"/>
              </w:rPr>
              <w:t>1.777.936</w:t>
            </w:r>
          </w:p>
        </w:tc>
        <w:tc>
          <w:tcPr>
            <w:tcW w:w="2041" w:type="dxa"/>
            <w:vAlign w:val="top"/>
          </w:tcPr>
          <w:p w:rsidR="005C2091" w:rsidRDefault="00A86293">
            <w:pPr>
              <w:pStyle w:val="CellColumn"/>
              <w:jc w:val="right"/>
            </w:pPr>
            <w:r>
              <w:rPr>
                <w:rFonts w:cs="Times New Roman"/>
              </w:rPr>
              <w:t>5.213.140</w:t>
            </w:r>
          </w:p>
        </w:tc>
        <w:tc>
          <w:tcPr>
            <w:tcW w:w="2041" w:type="dxa"/>
            <w:vAlign w:val="top"/>
          </w:tcPr>
          <w:p w:rsidR="005C2091" w:rsidRDefault="00A86293">
            <w:pPr>
              <w:pStyle w:val="CellColumn"/>
              <w:jc w:val="right"/>
            </w:pPr>
            <w:r>
              <w:rPr>
                <w:rFonts w:cs="Times New Roman"/>
              </w:rPr>
              <w:t>4.950.457</w:t>
            </w:r>
          </w:p>
        </w:tc>
        <w:tc>
          <w:tcPr>
            <w:tcW w:w="1224" w:type="dxa"/>
            <w:vAlign w:val="top"/>
          </w:tcPr>
          <w:p w:rsidR="005C2091" w:rsidRDefault="00A86293">
            <w:pPr>
              <w:pStyle w:val="CellColumn"/>
              <w:jc w:val="right"/>
            </w:pPr>
            <w:r>
              <w:rPr>
                <w:rFonts w:cs="Times New Roman"/>
              </w:rPr>
              <w:t>95,0</w:t>
            </w:r>
          </w:p>
        </w:tc>
        <w:tc>
          <w:tcPr>
            <w:tcW w:w="1224" w:type="dxa"/>
            <w:vAlign w:val="top"/>
          </w:tcPr>
          <w:p w:rsidR="005C2091" w:rsidRDefault="00A86293">
            <w:pPr>
              <w:pStyle w:val="CellColumn"/>
              <w:jc w:val="right"/>
            </w:pPr>
            <w:r>
              <w:rPr>
                <w:rFonts w:cs="Times New Roman"/>
              </w:rPr>
              <w:t>278,4</w:t>
            </w:r>
          </w:p>
        </w:tc>
      </w:tr>
      <w:tr w:rsidR="005C2091">
        <w:trPr>
          <w:jc w:val="center"/>
        </w:trPr>
        <w:tc>
          <w:tcPr>
            <w:tcW w:w="1632" w:type="dxa"/>
            <w:vAlign w:val="top"/>
          </w:tcPr>
          <w:p w:rsidR="005C2091" w:rsidRDefault="00A86293">
            <w:pPr>
              <w:pStyle w:val="CellColumn"/>
              <w:jc w:val="left"/>
            </w:pPr>
            <w:r>
              <w:rPr>
                <w:rFonts w:cs="Times New Roman"/>
              </w:rPr>
              <w:t>02097-Digitalni informacijsko-dokumentacijski ured</w:t>
            </w:r>
          </w:p>
        </w:tc>
        <w:tc>
          <w:tcPr>
            <w:tcW w:w="2041" w:type="dxa"/>
            <w:vAlign w:val="top"/>
          </w:tcPr>
          <w:p w:rsidR="005C2091" w:rsidRDefault="00A86293">
            <w:pPr>
              <w:pStyle w:val="CellColumn"/>
              <w:jc w:val="right"/>
            </w:pPr>
            <w:r>
              <w:rPr>
                <w:rFonts w:cs="Times New Roman"/>
              </w:rPr>
              <w:t>4.353.287</w:t>
            </w:r>
          </w:p>
        </w:tc>
        <w:tc>
          <w:tcPr>
            <w:tcW w:w="2041" w:type="dxa"/>
            <w:vAlign w:val="top"/>
          </w:tcPr>
          <w:p w:rsidR="005C2091" w:rsidRDefault="00A86293">
            <w:pPr>
              <w:pStyle w:val="CellColumn"/>
              <w:jc w:val="right"/>
            </w:pPr>
            <w:r>
              <w:rPr>
                <w:rFonts w:cs="Times New Roman"/>
              </w:rPr>
              <w:t>3.697.131</w:t>
            </w:r>
          </w:p>
        </w:tc>
        <w:tc>
          <w:tcPr>
            <w:tcW w:w="2041" w:type="dxa"/>
            <w:vAlign w:val="top"/>
          </w:tcPr>
          <w:p w:rsidR="005C2091" w:rsidRDefault="00A86293">
            <w:pPr>
              <w:pStyle w:val="CellColumn"/>
              <w:jc w:val="right"/>
            </w:pPr>
            <w:r>
              <w:rPr>
                <w:rFonts w:cs="Times New Roman"/>
              </w:rPr>
              <w:t>3.695.797</w:t>
            </w:r>
          </w:p>
        </w:tc>
        <w:tc>
          <w:tcPr>
            <w:tcW w:w="1224" w:type="dxa"/>
            <w:vAlign w:val="top"/>
          </w:tcPr>
          <w:p w:rsidR="005C2091" w:rsidRDefault="00A86293">
            <w:pPr>
              <w:pStyle w:val="CellColumn"/>
              <w:jc w:val="right"/>
            </w:pPr>
            <w:r>
              <w:rPr>
                <w:rFonts w:cs="Times New Roman"/>
              </w:rPr>
              <w:t>100,0</w:t>
            </w:r>
          </w:p>
        </w:tc>
        <w:tc>
          <w:tcPr>
            <w:tcW w:w="1224" w:type="dxa"/>
            <w:vAlign w:val="top"/>
          </w:tcPr>
          <w:p w:rsidR="005C2091" w:rsidRDefault="00A86293">
            <w:pPr>
              <w:pStyle w:val="CellColumn"/>
              <w:jc w:val="right"/>
            </w:pPr>
            <w:r>
              <w:rPr>
                <w:rFonts w:cs="Times New Roman"/>
              </w:rPr>
              <w:t>84,9</w:t>
            </w:r>
          </w:p>
        </w:tc>
      </w:tr>
      <w:tr w:rsidR="005C2091">
        <w:trPr>
          <w:jc w:val="center"/>
        </w:trPr>
        <w:tc>
          <w:tcPr>
            <w:tcW w:w="1632" w:type="dxa"/>
            <w:vAlign w:val="top"/>
          </w:tcPr>
          <w:p w:rsidR="005C2091" w:rsidRDefault="00A86293">
            <w:pPr>
              <w:pStyle w:val="CellColumn"/>
              <w:jc w:val="left"/>
            </w:pPr>
            <w:r>
              <w:rPr>
                <w:rFonts w:cs="Times New Roman"/>
              </w:rPr>
              <w:t>02099-Ured za razminiranje</w:t>
            </w:r>
          </w:p>
        </w:tc>
        <w:tc>
          <w:tcPr>
            <w:tcW w:w="2041" w:type="dxa"/>
            <w:vAlign w:val="top"/>
          </w:tcPr>
          <w:p w:rsidR="005C2091" w:rsidRDefault="00A86293">
            <w:pPr>
              <w:pStyle w:val="CellColumn"/>
              <w:jc w:val="right"/>
            </w:pPr>
            <w:r>
              <w:rPr>
                <w:rFonts w:cs="Times New Roman"/>
              </w:rPr>
              <w:t>1.754.171</w:t>
            </w:r>
          </w:p>
        </w:tc>
        <w:tc>
          <w:tcPr>
            <w:tcW w:w="2041" w:type="dxa"/>
            <w:vAlign w:val="top"/>
          </w:tcPr>
          <w:p w:rsidR="005C2091" w:rsidRDefault="00A86293">
            <w:pPr>
              <w:pStyle w:val="CellColumn"/>
              <w:jc w:val="right"/>
            </w:pPr>
            <w:r>
              <w:rPr>
                <w:rFonts w:cs="Times New Roman"/>
              </w:rPr>
              <w:t>732.630</w:t>
            </w:r>
          </w:p>
        </w:tc>
        <w:tc>
          <w:tcPr>
            <w:tcW w:w="2041" w:type="dxa"/>
            <w:vAlign w:val="top"/>
          </w:tcPr>
          <w:p w:rsidR="005C2091" w:rsidRDefault="00A86293">
            <w:pPr>
              <w:pStyle w:val="CellColumn"/>
              <w:jc w:val="right"/>
            </w:pPr>
            <w:r>
              <w:rPr>
                <w:rFonts w:cs="Times New Roman"/>
              </w:rPr>
              <w:t>621.017</w:t>
            </w:r>
          </w:p>
        </w:tc>
        <w:tc>
          <w:tcPr>
            <w:tcW w:w="1224" w:type="dxa"/>
            <w:vAlign w:val="top"/>
          </w:tcPr>
          <w:p w:rsidR="005C2091" w:rsidRDefault="00A86293">
            <w:pPr>
              <w:pStyle w:val="CellColumn"/>
              <w:jc w:val="right"/>
            </w:pPr>
            <w:r>
              <w:rPr>
                <w:rFonts w:cs="Times New Roman"/>
              </w:rPr>
              <w:t>84,8</w:t>
            </w:r>
          </w:p>
        </w:tc>
        <w:tc>
          <w:tcPr>
            <w:tcW w:w="1224" w:type="dxa"/>
            <w:vAlign w:val="top"/>
          </w:tcPr>
          <w:p w:rsidR="005C2091" w:rsidRDefault="00A86293">
            <w:pPr>
              <w:pStyle w:val="CellColumn"/>
              <w:jc w:val="right"/>
            </w:pPr>
            <w:r>
              <w:rPr>
                <w:rFonts w:cs="Times New Roman"/>
              </w:rPr>
              <w:t>35,4</w:t>
            </w:r>
          </w:p>
        </w:tc>
      </w:tr>
      <w:tr w:rsidR="005C2091">
        <w:trPr>
          <w:jc w:val="center"/>
        </w:trPr>
        <w:tc>
          <w:tcPr>
            <w:tcW w:w="1632" w:type="dxa"/>
            <w:shd w:val="clear" w:color="auto" w:fill="B5C0D8"/>
          </w:tcPr>
          <w:p w:rsidR="005C2091" w:rsidRDefault="00A86293">
            <w:pPr>
              <w:pStyle w:val="CellColumn"/>
              <w:jc w:val="left"/>
            </w:pPr>
            <w:r>
              <w:rPr>
                <w:rFonts w:cs="Times New Roman"/>
              </w:rPr>
              <w:t>Ukupno 020-VLADA REPUBLIKE HRVATSKE</w:t>
            </w:r>
          </w:p>
        </w:tc>
        <w:tc>
          <w:tcPr>
            <w:tcW w:w="2041" w:type="dxa"/>
            <w:shd w:val="clear" w:color="auto" w:fill="B5C0D8"/>
          </w:tcPr>
          <w:p w:rsidR="005C2091" w:rsidRDefault="00A86293">
            <w:pPr>
              <w:pStyle w:val="CellColumn"/>
              <w:jc w:val="right"/>
            </w:pPr>
            <w:r>
              <w:rPr>
                <w:rFonts w:cs="Times New Roman"/>
              </w:rPr>
              <w:t>275.810.231</w:t>
            </w:r>
          </w:p>
        </w:tc>
        <w:tc>
          <w:tcPr>
            <w:tcW w:w="2041" w:type="dxa"/>
            <w:shd w:val="clear" w:color="auto" w:fill="B5C0D8"/>
          </w:tcPr>
          <w:p w:rsidR="005C2091" w:rsidRDefault="00A86293">
            <w:pPr>
              <w:pStyle w:val="CellColumn"/>
              <w:jc w:val="right"/>
            </w:pPr>
            <w:r>
              <w:rPr>
                <w:rFonts w:cs="Times New Roman"/>
              </w:rPr>
              <w:t>229.694.236</w:t>
            </w:r>
          </w:p>
        </w:tc>
        <w:tc>
          <w:tcPr>
            <w:tcW w:w="2041" w:type="dxa"/>
            <w:shd w:val="clear" w:color="auto" w:fill="B5C0D8"/>
          </w:tcPr>
          <w:p w:rsidR="005C2091" w:rsidRDefault="00A86293">
            <w:pPr>
              <w:pStyle w:val="CellColumn"/>
              <w:jc w:val="right"/>
            </w:pPr>
            <w:r>
              <w:rPr>
                <w:rFonts w:cs="Times New Roman"/>
              </w:rPr>
              <w:t>217.654.330</w:t>
            </w:r>
          </w:p>
        </w:tc>
        <w:tc>
          <w:tcPr>
            <w:tcW w:w="1224" w:type="dxa"/>
            <w:shd w:val="clear" w:color="auto" w:fill="B5C0D8"/>
          </w:tcPr>
          <w:p w:rsidR="005C2091" w:rsidRDefault="00A86293">
            <w:pPr>
              <w:pStyle w:val="CellColumn"/>
              <w:jc w:val="right"/>
            </w:pPr>
            <w:r>
              <w:rPr>
                <w:rFonts w:cs="Times New Roman"/>
              </w:rPr>
              <w:t>94,8</w:t>
            </w:r>
          </w:p>
        </w:tc>
        <w:tc>
          <w:tcPr>
            <w:tcW w:w="1224" w:type="dxa"/>
            <w:shd w:val="clear" w:color="auto" w:fill="B5C0D8"/>
          </w:tcPr>
          <w:p w:rsidR="005C2091" w:rsidRDefault="00A86293">
            <w:pPr>
              <w:pStyle w:val="CellColumn"/>
              <w:jc w:val="right"/>
            </w:pPr>
            <w:r>
              <w:rPr>
                <w:rFonts w:cs="Times New Roman"/>
              </w:rPr>
              <w:t>78,9</w:t>
            </w:r>
          </w:p>
        </w:tc>
      </w:tr>
    </w:tbl>
    <w:p w:rsidR="005C2091" w:rsidRDefault="005C2091">
      <w:pPr>
        <w:jc w:val="left"/>
      </w:pPr>
    </w:p>
    <w:p w:rsidR="005C2091" w:rsidRDefault="00A86293">
      <w:pPr>
        <w:pStyle w:val="Heading2"/>
      </w:pPr>
      <w:r>
        <w:t>02005 Vlada Republike Hrvatske</w:t>
      </w:r>
    </w:p>
    <w:p w:rsidR="005C2091" w:rsidRDefault="00A86293">
      <w:r>
        <w:t>Sukladno Poslovniku Vlade Republike Hrvatske te Zakonu o Vladi Republike Hrvatske ustrojava se proračunska glava 05 Vlada Republike Hrvatske kojom upravlja glavna tajnica. U Glavnom tajništvu ustrojavaju se: Ured glavne tajnice, uredi radnih tijela Vlade, Služba razvoja i održavanja tehničkih sustava Vlade, Služba za uredsko poslovanje, Služba za opće poslove. Glavno tajništvo Vlade Republike Hrvatske obavlja stručne, analitičke, upravno-pravne, administrativne, opće, tehničke, pomoćne i informatičke poslove za potrebe Vlade, te potpredsjednika i članova Vlade. Za Ured predsjednika Vlade Republike Hrvatske, Glavno tajništvo obavlja opće, tehničke, pomoćne i informatičke poslove.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02005-Vlada Republike Hrvatske</w:t>
            </w:r>
          </w:p>
        </w:tc>
        <w:tc>
          <w:tcPr>
            <w:tcW w:w="2041" w:type="dxa"/>
            <w:vAlign w:val="top"/>
          </w:tcPr>
          <w:p w:rsidR="005C2091" w:rsidRDefault="00A86293">
            <w:pPr>
              <w:pStyle w:val="CellColumn"/>
              <w:jc w:val="right"/>
            </w:pPr>
            <w:r>
              <w:rPr>
                <w:rFonts w:cs="Times New Roman"/>
              </w:rPr>
              <w:t>20.310.800</w:t>
            </w:r>
          </w:p>
        </w:tc>
        <w:tc>
          <w:tcPr>
            <w:tcW w:w="2041" w:type="dxa"/>
            <w:vAlign w:val="top"/>
          </w:tcPr>
          <w:p w:rsidR="005C2091" w:rsidRDefault="00A86293">
            <w:pPr>
              <w:pStyle w:val="CellColumn"/>
              <w:jc w:val="right"/>
            </w:pPr>
            <w:r>
              <w:rPr>
                <w:rFonts w:cs="Times New Roman"/>
              </w:rPr>
              <w:t>23.097.075</w:t>
            </w:r>
          </w:p>
        </w:tc>
        <w:tc>
          <w:tcPr>
            <w:tcW w:w="2041" w:type="dxa"/>
            <w:vAlign w:val="top"/>
          </w:tcPr>
          <w:p w:rsidR="005C2091" w:rsidRDefault="00A86293">
            <w:pPr>
              <w:pStyle w:val="CellColumn"/>
              <w:jc w:val="right"/>
            </w:pPr>
            <w:r>
              <w:rPr>
                <w:rFonts w:cs="Times New Roman"/>
              </w:rPr>
              <w:t>20.866.816</w:t>
            </w:r>
          </w:p>
        </w:tc>
        <w:tc>
          <w:tcPr>
            <w:tcW w:w="1224" w:type="dxa"/>
            <w:vAlign w:val="top"/>
          </w:tcPr>
          <w:p w:rsidR="005C2091" w:rsidRDefault="00A86293">
            <w:pPr>
              <w:pStyle w:val="CellColumn"/>
              <w:jc w:val="right"/>
            </w:pPr>
            <w:r>
              <w:rPr>
                <w:rFonts w:cs="Times New Roman"/>
              </w:rPr>
              <w:t>90,3</w:t>
            </w:r>
          </w:p>
        </w:tc>
        <w:tc>
          <w:tcPr>
            <w:tcW w:w="1224" w:type="dxa"/>
            <w:vAlign w:val="top"/>
          </w:tcPr>
          <w:p w:rsidR="005C2091" w:rsidRDefault="00A86293">
            <w:pPr>
              <w:pStyle w:val="CellColumn"/>
              <w:jc w:val="right"/>
            </w:pPr>
            <w:r>
              <w:rPr>
                <w:rFonts w:cs="Times New Roman"/>
              </w:rPr>
              <w:t>102,7</w:t>
            </w:r>
          </w:p>
        </w:tc>
      </w:tr>
      <w:tr w:rsidR="005C2091">
        <w:trPr>
          <w:jc w:val="center"/>
        </w:trPr>
        <w:tc>
          <w:tcPr>
            <w:tcW w:w="1632" w:type="dxa"/>
          </w:tcPr>
          <w:p w:rsidR="005C2091" w:rsidRDefault="00A86293">
            <w:pPr>
              <w:jc w:val="left"/>
            </w:pPr>
            <w:r>
              <w:t>2107-PRUŽANJE PODRŠKE RADU VLADE REPUBLIKE HRVATSKE</w:t>
            </w:r>
          </w:p>
        </w:tc>
        <w:tc>
          <w:tcPr>
            <w:tcW w:w="2041" w:type="dxa"/>
          </w:tcPr>
          <w:p w:rsidR="005C2091" w:rsidRDefault="00A86293">
            <w:pPr>
              <w:jc w:val="right"/>
            </w:pPr>
            <w:r>
              <w:t>20.310.800</w:t>
            </w:r>
          </w:p>
        </w:tc>
        <w:tc>
          <w:tcPr>
            <w:tcW w:w="2041" w:type="dxa"/>
          </w:tcPr>
          <w:p w:rsidR="005C2091" w:rsidRDefault="00A86293">
            <w:pPr>
              <w:jc w:val="right"/>
            </w:pPr>
            <w:r>
              <w:t>23.097.075</w:t>
            </w:r>
          </w:p>
        </w:tc>
        <w:tc>
          <w:tcPr>
            <w:tcW w:w="2041" w:type="dxa"/>
          </w:tcPr>
          <w:p w:rsidR="005C2091" w:rsidRDefault="00A86293">
            <w:pPr>
              <w:jc w:val="right"/>
            </w:pPr>
            <w:r>
              <w:t>20.866.816</w:t>
            </w:r>
          </w:p>
        </w:tc>
        <w:tc>
          <w:tcPr>
            <w:tcW w:w="1224" w:type="dxa"/>
          </w:tcPr>
          <w:p w:rsidR="005C2091" w:rsidRDefault="00A86293">
            <w:pPr>
              <w:jc w:val="right"/>
            </w:pPr>
            <w:r>
              <w:t>90,3</w:t>
            </w:r>
          </w:p>
        </w:tc>
        <w:tc>
          <w:tcPr>
            <w:tcW w:w="1224" w:type="dxa"/>
          </w:tcPr>
          <w:p w:rsidR="005C2091" w:rsidRDefault="00A86293">
            <w:pPr>
              <w:jc w:val="right"/>
            </w:pPr>
            <w:r>
              <w:t>102,7</w:t>
            </w:r>
          </w:p>
        </w:tc>
      </w:tr>
    </w:tbl>
    <w:p w:rsidR="005C2091" w:rsidRDefault="005C2091">
      <w:pPr>
        <w:jc w:val="left"/>
      </w:pPr>
    </w:p>
    <w:p w:rsidR="005C2091" w:rsidRDefault="00A86293">
      <w:pPr>
        <w:pStyle w:val="Heading3"/>
      </w:pPr>
      <w:r>
        <w:rPr>
          <w:rFonts w:cs="Times New Roman"/>
        </w:rPr>
        <w:t>2107 PRUŽANJE PODRŠKE RADU VLADE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2107-PRUŽANJE PODRŠKE RADU VLADE REPUBLIKE HRVATSKE</w:t>
            </w:r>
          </w:p>
        </w:tc>
        <w:tc>
          <w:tcPr>
            <w:tcW w:w="2041" w:type="dxa"/>
          </w:tcPr>
          <w:p w:rsidR="005C2091" w:rsidRDefault="00A86293">
            <w:pPr>
              <w:pStyle w:val="CellColumn"/>
              <w:jc w:val="right"/>
            </w:pPr>
            <w:r>
              <w:rPr>
                <w:rFonts w:cs="Times New Roman"/>
              </w:rPr>
              <w:t>20.310.800</w:t>
            </w:r>
          </w:p>
        </w:tc>
        <w:tc>
          <w:tcPr>
            <w:tcW w:w="2041" w:type="dxa"/>
          </w:tcPr>
          <w:p w:rsidR="005C2091" w:rsidRDefault="00A86293">
            <w:pPr>
              <w:pStyle w:val="CellColumn"/>
              <w:jc w:val="right"/>
            </w:pPr>
            <w:r>
              <w:rPr>
                <w:rFonts w:cs="Times New Roman"/>
              </w:rPr>
              <w:t>23.097.075</w:t>
            </w:r>
          </w:p>
        </w:tc>
        <w:tc>
          <w:tcPr>
            <w:tcW w:w="2041" w:type="dxa"/>
          </w:tcPr>
          <w:p w:rsidR="005C2091" w:rsidRDefault="00A86293">
            <w:pPr>
              <w:pStyle w:val="CellColumn"/>
              <w:jc w:val="right"/>
            </w:pPr>
            <w:r>
              <w:rPr>
                <w:rFonts w:cs="Times New Roman"/>
              </w:rPr>
              <w:t>20.866.816</w:t>
            </w:r>
          </w:p>
        </w:tc>
        <w:tc>
          <w:tcPr>
            <w:tcW w:w="1224" w:type="dxa"/>
          </w:tcPr>
          <w:p w:rsidR="005C2091" w:rsidRDefault="00A86293">
            <w:pPr>
              <w:pStyle w:val="CellColumn"/>
              <w:jc w:val="right"/>
            </w:pPr>
            <w:r>
              <w:rPr>
                <w:rFonts w:cs="Times New Roman"/>
              </w:rPr>
              <w:t>90,3</w:t>
            </w:r>
          </w:p>
        </w:tc>
        <w:tc>
          <w:tcPr>
            <w:tcW w:w="1224" w:type="dxa"/>
          </w:tcPr>
          <w:p w:rsidR="005C2091" w:rsidRDefault="00A86293">
            <w:pPr>
              <w:pStyle w:val="CellColumn"/>
              <w:jc w:val="right"/>
            </w:pPr>
            <w:r>
              <w:rPr>
                <w:rFonts w:cs="Times New Roman"/>
              </w:rPr>
              <w:t>102,7</w:t>
            </w:r>
          </w:p>
        </w:tc>
      </w:tr>
    </w:tbl>
    <w:p w:rsidR="005C2091" w:rsidRDefault="005C2091">
      <w:pPr>
        <w:jc w:val="left"/>
      </w:pPr>
    </w:p>
    <w:p w:rsidR="005C2091" w:rsidRDefault="00A86293">
      <w:r>
        <w:t>Pružanje podrške radu Vlade Republike Hrvatske od strane Glavnog tajništva podrazumijeva obavljanje stručnih, analitičkih, upravno-pravnih, administrativnih iinformatičkih poslova; stručnu i administrativno-tehničku pripremu materijala za raspravu i odlučivanje na sjednicama stručnih radnih skupina i radnih tijela Vlade, Užeg kabineta Vlade i sjednicama Vlade; sazivanje i održavanje sjednica stručnih radnih skupina iradnih tijela Vlade te sjednica Vlade; praćenje tijeka sjednica stručnih radnih skupina iradnih tijela Vlade i sjednica Vlade; izradu zaključaka i stajališta stručnih radnih skupina i radnih tijela Vlade; izradu i otpremanje akata koje donosi Vlada; brigu o objavljivanju akata Vlade; izradu zapisnika sa sjednica Vlade; brigu o izvršavanju obveza Vlade prema Hrvatskome saboru, te administrativne, opće, tehničke i pomoćne poslove.</w:t>
      </w:r>
    </w:p>
    <w:p w:rsidR="005C2091" w:rsidRDefault="00A86293">
      <w:pPr>
        <w:pStyle w:val="Heading8"/>
        <w:jc w:val="left"/>
      </w:pPr>
      <w:r>
        <w:t>Cilj 1. Kontinuitet i poboljšanje efikasnosti Vlade Republike Hrvatske</w:t>
      </w:r>
    </w:p>
    <w:p w:rsidR="005C2091" w:rsidRDefault="00A86293">
      <w:pPr>
        <w:pStyle w:val="Heading8"/>
        <w:jc w:val="left"/>
      </w:pPr>
      <w:r>
        <w:t>Opis provedbe cilja programa</w:t>
      </w:r>
    </w:p>
    <w:p w:rsidR="005C2091" w:rsidRDefault="00A86293">
      <w:r>
        <w:t xml:space="preserve">Koordinacijom rada stručnih radnih skupina i radnih tijela Vlade osigurava se kontinuirano funkcioniranje te poboljšava efikasnosti Vlade Republike Hrvatske kao nositelja izvršne vlasti, sukladno Ustavu Republike Hrvatske i zakonima. Brojčani podaci o radu Vlade Republike Hrvatske u razdoblju 01.01. - 31.12.2016. godine: </w:t>
      </w:r>
    </w:p>
    <w:p w:rsidR="005C2091" w:rsidRDefault="00A86293">
      <w:r>
        <w:t xml:space="preserve">1. BROJ ODRŽANIH SJEDNICA VLADE REPUBLIKE HRVATSKE - 59  </w:t>
      </w:r>
    </w:p>
    <w:p w:rsidR="005C2091" w:rsidRDefault="002B042D" w:rsidP="002B042D">
      <w:pPr>
        <w:spacing w:after="0"/>
      </w:pPr>
      <w:r>
        <w:t xml:space="preserve">1.1. </w:t>
      </w:r>
      <w:r w:rsidR="00A86293">
        <w:t>od toga otvorenih sjednica sa</w:t>
      </w:r>
      <w:r>
        <w:t xml:space="preserve"> zatvorenim dijelom - 40</w:t>
      </w:r>
      <w:r>
        <w:tab/>
      </w:r>
      <w:r>
        <w:tab/>
      </w:r>
      <w:r>
        <w:tab/>
      </w:r>
      <w:r>
        <w:tab/>
      </w:r>
      <w:r>
        <w:tab/>
      </w:r>
      <w:r>
        <w:tab/>
      </w:r>
      <w:r w:rsidR="00A86293">
        <w:tab/>
        <w:t xml:space="preserve">     </w:t>
      </w:r>
    </w:p>
    <w:p w:rsidR="005C2091" w:rsidRDefault="00A86293" w:rsidP="002B042D">
      <w:pPr>
        <w:spacing w:after="0"/>
      </w:pPr>
      <w:r>
        <w:t xml:space="preserve">        - od toga samo </w:t>
      </w:r>
      <w:r w:rsidR="002B042D">
        <w:t>otvorenih sjednica - 0</w:t>
      </w:r>
      <w:r w:rsidR="002B042D">
        <w:tab/>
      </w:r>
      <w:r w:rsidR="002B042D">
        <w:tab/>
      </w:r>
      <w:r w:rsidR="002B042D">
        <w:tab/>
      </w:r>
      <w:r w:rsidR="002B042D">
        <w:tab/>
      </w:r>
      <w:r w:rsidR="002B042D">
        <w:tab/>
      </w:r>
      <w:r w:rsidR="002B042D">
        <w:tab/>
      </w:r>
      <w:r w:rsidR="002B042D">
        <w:tab/>
      </w:r>
      <w:r w:rsidR="002B042D">
        <w:tab/>
      </w:r>
      <w:r>
        <w:tab/>
        <w:t xml:space="preserve"> </w:t>
      </w:r>
    </w:p>
    <w:p w:rsidR="005C2091" w:rsidRDefault="002B042D" w:rsidP="002B042D">
      <w:pPr>
        <w:spacing w:after="0"/>
      </w:pPr>
      <w:r>
        <w:t xml:space="preserve">        </w:t>
      </w:r>
      <w:r w:rsidR="00A86293">
        <w:t>- od toga samo z</w:t>
      </w:r>
      <w:r>
        <w:t>atvorenih sjednica - 0</w:t>
      </w:r>
      <w:r>
        <w:tab/>
      </w:r>
      <w:r>
        <w:tab/>
      </w:r>
      <w:r>
        <w:tab/>
      </w:r>
      <w:r>
        <w:tab/>
      </w:r>
      <w:r>
        <w:tab/>
      </w:r>
      <w:r>
        <w:tab/>
      </w:r>
      <w:r>
        <w:tab/>
      </w:r>
      <w:r>
        <w:tab/>
      </w:r>
      <w:r w:rsidR="00A86293">
        <w:tab/>
        <w:t xml:space="preserve"> </w:t>
      </w:r>
    </w:p>
    <w:p w:rsidR="005C2091" w:rsidRDefault="002B042D" w:rsidP="002B042D">
      <w:pPr>
        <w:spacing w:after="0"/>
      </w:pPr>
      <w:r>
        <w:t xml:space="preserve">        </w:t>
      </w:r>
      <w:r w:rsidR="00A86293">
        <w:t xml:space="preserve">- od toga telefonskih sjednica - 19 </w:t>
      </w:r>
      <w:r w:rsidR="00A86293">
        <w:tab/>
      </w:r>
      <w:r w:rsidR="00A86293">
        <w:tab/>
      </w:r>
      <w:r w:rsidR="00A86293">
        <w:tab/>
      </w:r>
      <w:r w:rsidR="00A86293">
        <w:tab/>
      </w:r>
      <w:r w:rsidR="00A86293">
        <w:tab/>
      </w:r>
      <w:r w:rsidR="00A86293">
        <w:tab/>
      </w:r>
      <w:r w:rsidR="00A86293">
        <w:tab/>
      </w:r>
      <w:r w:rsidR="00A86293">
        <w:tab/>
      </w:r>
      <w:r w:rsidR="00A86293">
        <w:tab/>
      </w:r>
      <w:r w:rsidR="00A86293">
        <w:tab/>
      </w:r>
      <w:r w:rsidR="00A86293">
        <w:tab/>
        <w:t xml:space="preserve"> </w:t>
      </w:r>
    </w:p>
    <w:p w:rsidR="005C2091" w:rsidRDefault="002B042D">
      <w:r>
        <w:t xml:space="preserve">1.2. </w:t>
      </w:r>
      <w:r w:rsidR="00A86293">
        <w:t>od toga sjednica izvan sjedišta Vla</w:t>
      </w:r>
      <w:r>
        <w:t>de Republike Hrvatske - 1</w:t>
      </w:r>
      <w:r>
        <w:tab/>
      </w:r>
      <w:r>
        <w:tab/>
      </w:r>
      <w:r>
        <w:tab/>
      </w:r>
      <w:r>
        <w:tab/>
      </w:r>
      <w:r>
        <w:tab/>
      </w:r>
      <w:r w:rsidR="00A86293">
        <w:tab/>
        <w:t xml:space="preserve"> </w:t>
      </w:r>
    </w:p>
    <w:p w:rsidR="005C2091" w:rsidRDefault="00A86293">
      <w:r>
        <w:tab/>
        <w:t>- od toga sveč</w:t>
      </w:r>
      <w:r w:rsidR="002B042D">
        <w:t>anih sjednica - 0</w:t>
      </w:r>
      <w:r w:rsidR="002B042D">
        <w:tab/>
      </w:r>
      <w:r w:rsidR="002B042D">
        <w:tab/>
      </w:r>
      <w:r w:rsidR="002B042D">
        <w:tab/>
      </w:r>
      <w:r w:rsidR="002B042D">
        <w:tab/>
      </w:r>
      <w:r w:rsidR="002B042D">
        <w:tab/>
      </w:r>
      <w:r w:rsidR="002B042D">
        <w:tab/>
      </w:r>
      <w:r w:rsidR="002B042D">
        <w:tab/>
      </w:r>
      <w:r w:rsidR="002B042D">
        <w:tab/>
      </w:r>
      <w:r w:rsidR="002B042D">
        <w:tab/>
      </w:r>
      <w:r w:rsidR="002B042D">
        <w:tab/>
      </w:r>
    </w:p>
    <w:p w:rsidR="005C2091" w:rsidRDefault="00A86293">
      <w:r>
        <w:tab/>
        <w:t xml:space="preserve">- od toga sjednica s vladama drugih država - 0 </w:t>
      </w:r>
    </w:p>
    <w:p w:rsidR="000202FD" w:rsidRDefault="002B042D" w:rsidP="002B042D">
      <w:r>
        <w:tab/>
      </w:r>
      <w:r>
        <w:tab/>
      </w:r>
      <w:r>
        <w:tab/>
      </w:r>
      <w:r>
        <w:tab/>
      </w:r>
      <w:r>
        <w:tab/>
      </w:r>
      <w:r>
        <w:tab/>
      </w:r>
      <w:r>
        <w:tab/>
      </w:r>
      <w:r>
        <w:tab/>
      </w:r>
      <w:r>
        <w:tab/>
      </w:r>
      <w:r>
        <w:tab/>
      </w:r>
      <w:r>
        <w:tab/>
      </w:r>
      <w:r>
        <w:tab/>
      </w:r>
      <w:r>
        <w:tab/>
      </w:r>
      <w:r>
        <w:tab/>
        <w:t>2.</w:t>
      </w:r>
      <w:r w:rsidR="00A86293">
        <w:t xml:space="preserve">. </w:t>
      </w:r>
    </w:p>
    <w:p w:rsidR="000202FD" w:rsidRDefault="000202FD" w:rsidP="002B042D"/>
    <w:p w:rsidR="000202FD" w:rsidRDefault="000202FD" w:rsidP="002B042D"/>
    <w:p w:rsidR="005C2091" w:rsidRDefault="002B042D">
      <w:r>
        <w:t xml:space="preserve">2. </w:t>
      </w:r>
      <w:r w:rsidR="00A86293">
        <w:t xml:space="preserve">UKUPAN BROJ TOČAKA DNEVNOG REDA - 897  </w:t>
      </w:r>
    </w:p>
    <w:p w:rsidR="005C2091" w:rsidRDefault="00A86293" w:rsidP="002B042D">
      <w:pPr>
        <w:spacing w:after="0"/>
      </w:pPr>
      <w:r>
        <w:t>2.1.</w:t>
      </w:r>
      <w:r>
        <w:tab/>
        <w:t>- od toga točaka dnevnog reda s oznakom usklađenosti sa zakonodavstvom Europske unije (EU)</w:t>
      </w:r>
      <w:r>
        <w:tab/>
        <w:t xml:space="preserve"> - 71</w:t>
      </w:r>
      <w:r>
        <w:tab/>
        <w:t xml:space="preserve"> </w:t>
      </w:r>
    </w:p>
    <w:p w:rsidR="005C2091" w:rsidRDefault="00A86293" w:rsidP="002B042D">
      <w:pPr>
        <w:spacing w:after="0"/>
      </w:pPr>
      <w:r>
        <w:tab/>
        <w:t>- od toga skinutih točaka s dnevnog reda - 6</w:t>
      </w:r>
      <w:r>
        <w:tab/>
      </w:r>
      <w:r>
        <w:tab/>
      </w:r>
      <w:r>
        <w:tab/>
      </w:r>
      <w:r>
        <w:tab/>
      </w:r>
      <w:r>
        <w:tab/>
      </w:r>
      <w:r>
        <w:tab/>
      </w:r>
      <w:r>
        <w:tab/>
      </w:r>
      <w:r>
        <w:tab/>
        <w:t xml:space="preserve"> </w:t>
      </w:r>
    </w:p>
    <w:p w:rsidR="005C2091" w:rsidRDefault="00A86293" w:rsidP="002B042D">
      <w:pPr>
        <w:spacing w:after="0"/>
      </w:pPr>
      <w:r>
        <w:tab/>
        <w:t>- od toga povučenih iz procedure</w:t>
      </w:r>
      <w:r>
        <w:tab/>
        <w:t xml:space="preserve">- 0 </w:t>
      </w:r>
      <w:r w:rsidR="002B042D">
        <w:tab/>
      </w:r>
      <w:r w:rsidR="002B042D">
        <w:tab/>
      </w:r>
      <w:r w:rsidR="002B042D">
        <w:tab/>
      </w:r>
      <w:r w:rsidR="002B042D">
        <w:tab/>
      </w:r>
      <w:r w:rsidR="002B042D">
        <w:tab/>
      </w:r>
      <w:r w:rsidR="002B042D">
        <w:tab/>
      </w:r>
      <w:r w:rsidR="002B042D">
        <w:tab/>
      </w:r>
      <w:r w:rsidR="002B042D">
        <w:tab/>
      </w:r>
      <w:r>
        <w:t xml:space="preserve"> </w:t>
      </w:r>
    </w:p>
    <w:p w:rsidR="005C2091" w:rsidRDefault="00A86293" w:rsidP="002B042D">
      <w:pPr>
        <w:spacing w:after="0"/>
      </w:pPr>
      <w:r>
        <w:t>2.2.</w:t>
      </w:r>
      <w:r>
        <w:tab/>
        <w:t>- od toga na otvorenim sjednicama i otvorenom dijelu sjednica - 658</w:t>
      </w:r>
      <w:r>
        <w:tab/>
      </w:r>
      <w:r>
        <w:tab/>
      </w:r>
      <w:r>
        <w:tab/>
      </w:r>
      <w:r>
        <w:tab/>
      </w:r>
      <w:r>
        <w:tab/>
      </w:r>
      <w:r>
        <w:tab/>
        <w:t xml:space="preserve"> </w:t>
      </w:r>
      <w:r>
        <w:tab/>
        <w:t>- od toga na zatvorenim sjednicama i zatvorenom dijelu sjednicam - 216</w:t>
      </w:r>
      <w:r>
        <w:tab/>
      </w:r>
      <w:r>
        <w:tab/>
      </w:r>
      <w:r>
        <w:tab/>
      </w:r>
      <w:r>
        <w:tab/>
      </w:r>
      <w:r>
        <w:tab/>
      </w:r>
      <w:r>
        <w:tab/>
        <w:t xml:space="preserve"> - od toga na telefonskim sjednicama - 23</w:t>
      </w:r>
      <w:r>
        <w:tab/>
        <w:t xml:space="preserve"> </w:t>
      </w:r>
    </w:p>
    <w:p w:rsidR="005C2091" w:rsidRDefault="00A86293">
      <w:r>
        <w:tab/>
      </w:r>
      <w:r>
        <w:tab/>
      </w:r>
      <w:r>
        <w:tab/>
      </w:r>
      <w:r>
        <w:tab/>
      </w:r>
      <w:r>
        <w:tab/>
      </w:r>
      <w:r>
        <w:tab/>
      </w:r>
      <w:r>
        <w:tab/>
      </w:r>
      <w:r>
        <w:tab/>
      </w:r>
      <w:r>
        <w:tab/>
      </w:r>
      <w:r>
        <w:tab/>
      </w:r>
      <w:r>
        <w:tab/>
      </w:r>
      <w:r>
        <w:tab/>
      </w:r>
      <w:r>
        <w:tab/>
      </w:r>
      <w:r>
        <w:tab/>
        <w:t xml:space="preserve"> </w:t>
      </w:r>
    </w:p>
    <w:p w:rsidR="005C2091" w:rsidRDefault="00A86293">
      <w:r>
        <w:t xml:space="preserve">3. UKUPNO TRAJANJE SJEDNICA - 50 sati i 27 minuta </w:t>
      </w:r>
    </w:p>
    <w:p w:rsidR="005C2091" w:rsidRDefault="00A86293">
      <w:r>
        <w:t xml:space="preserve">        - od toga na otvorenim sjednicama i otvorenom dijelu sjednica - 36 sati i 3 minute </w:t>
      </w:r>
    </w:p>
    <w:p w:rsidR="005C2091" w:rsidRDefault="00A86293">
      <w:r>
        <w:t xml:space="preserve">        - od toga na zatvorenim sjednicama i zatvorenom dijelu sjednica - 14 sati i 24 minute </w:t>
      </w:r>
      <w:r>
        <w:tab/>
      </w:r>
      <w:r>
        <w:tab/>
      </w:r>
      <w:r>
        <w:tab/>
      </w:r>
      <w:r>
        <w:tab/>
      </w:r>
      <w:r>
        <w:tab/>
      </w:r>
      <w:r>
        <w:tab/>
      </w:r>
      <w:r>
        <w:tab/>
      </w:r>
      <w:r>
        <w:tab/>
      </w:r>
      <w:r>
        <w:tab/>
        <w:t xml:space="preserve"> </w:t>
      </w:r>
    </w:p>
    <w:p w:rsidR="005C2091" w:rsidRDefault="00A86293">
      <w:r>
        <w:t xml:space="preserve">4. UKUPAN BROJ ZAKONA KOJE JE HRVATSKI SABOR DONIO NA PRIJEDLOG VLADE - 76 </w:t>
      </w:r>
      <w:r w:rsidR="002B042D">
        <w:tab/>
      </w:r>
      <w:r>
        <w:tab/>
      </w:r>
      <w:r>
        <w:tab/>
      </w:r>
      <w:r>
        <w:tab/>
      </w:r>
      <w:r>
        <w:tab/>
      </w:r>
      <w:r>
        <w:tab/>
      </w:r>
      <w:r>
        <w:tab/>
      </w:r>
      <w:r>
        <w:tab/>
        <w:t xml:space="preserve"> </w:t>
      </w:r>
    </w:p>
    <w:p w:rsidR="005C2091" w:rsidRDefault="00A86293">
      <w:r>
        <w:t xml:space="preserve">        - od toga zakoni kojima je usklađeno zakonodavstvo Republike Hrvatske sa zakonodavstvom  </w:t>
      </w:r>
    </w:p>
    <w:p w:rsidR="005C2091" w:rsidRDefault="00A86293">
      <w:r>
        <w:t xml:space="preserve">          Europske unije (EU) - 27 </w:t>
      </w:r>
    </w:p>
    <w:p w:rsidR="005C2091" w:rsidRDefault="00A86293">
      <w:r>
        <w:tab/>
        <w:t xml:space="preserve">- od toga potvrđenih međunarodnih ugovora - 16 </w:t>
      </w:r>
      <w:r>
        <w:tab/>
      </w:r>
      <w:r>
        <w:tab/>
        <w:t xml:space="preserve"> </w:t>
      </w:r>
    </w:p>
    <w:p w:rsidR="005C2091" w:rsidRDefault="00A86293">
      <w:r>
        <w:t xml:space="preserve">5. UKUPAN BROJ DONESENIH AKATA VLADE - 1945  </w:t>
      </w:r>
    </w:p>
    <w:p w:rsidR="005C2091" w:rsidRDefault="00A86293">
      <w:r>
        <w:tab/>
        <w:t>- od toga donesenih akata usklađenih sa zakonoda</w:t>
      </w:r>
      <w:r w:rsidR="00BB0310">
        <w:t>vstvom Europske unije (EU) - 71</w:t>
      </w:r>
      <w:r w:rsidR="00BB0310">
        <w:tab/>
      </w:r>
      <w:r w:rsidR="00BB0310">
        <w:tab/>
      </w:r>
      <w:r w:rsidR="00BB0310">
        <w:tab/>
      </w:r>
    </w:p>
    <w:p w:rsidR="005C2091" w:rsidRDefault="00A86293">
      <w:r>
        <w:t xml:space="preserve">5.1. </w:t>
      </w:r>
      <w:r>
        <w:tab/>
        <w:t xml:space="preserve">ukupan broj utvrđenih prijedloga zakonam - 133 </w:t>
      </w:r>
      <w:r>
        <w:tab/>
        <w:t xml:space="preserve"> </w:t>
      </w:r>
    </w:p>
    <w:p w:rsidR="005C2091" w:rsidRDefault="00A86293">
      <w:r>
        <w:tab/>
        <w:t xml:space="preserve">- od toga prijedlozi zakona kojima se zakonodavstvo Republike Hrvatske usklađuje sa zakonodavstvom </w:t>
      </w:r>
    </w:p>
    <w:p w:rsidR="005C2091" w:rsidRDefault="00A86293">
      <w:r>
        <w:t xml:space="preserve">          Europske unije (EU) - 54 </w:t>
      </w:r>
      <w:r w:rsidR="00BB0310">
        <w:tab/>
      </w:r>
      <w:r w:rsidR="00BB0310">
        <w:tab/>
      </w:r>
      <w:r w:rsidR="00BB0310">
        <w:tab/>
      </w:r>
      <w:r w:rsidR="00BB0310">
        <w:tab/>
      </w:r>
      <w:r w:rsidR="00BB0310">
        <w:tab/>
      </w:r>
      <w:r w:rsidR="00BB0310">
        <w:tab/>
      </w:r>
      <w:r w:rsidR="00BB0310">
        <w:tab/>
      </w:r>
      <w:r w:rsidR="00BB0310">
        <w:tab/>
      </w:r>
      <w:r w:rsidR="00BB0310">
        <w:tab/>
      </w:r>
      <w:r w:rsidR="00BB0310">
        <w:tab/>
      </w:r>
      <w:r w:rsidR="00BB0310">
        <w:tab/>
      </w:r>
      <w:r w:rsidR="00BB0310">
        <w:tab/>
      </w:r>
      <w:r>
        <w:tab/>
        <w:t xml:space="preserve"> </w:t>
      </w:r>
    </w:p>
    <w:p w:rsidR="005C2091" w:rsidRDefault="00A86293">
      <w:r>
        <w:t xml:space="preserve">5.2. </w:t>
      </w:r>
      <w:r>
        <w:tab/>
        <w:t xml:space="preserve">prijedloga državnog proračuna - 3  </w:t>
      </w:r>
    </w:p>
    <w:p w:rsidR="005C2091" w:rsidRDefault="00A86293">
      <w:r>
        <w:t xml:space="preserve">5.3. </w:t>
      </w:r>
      <w:r>
        <w:tab/>
        <w:t xml:space="preserve">uredbi - 59 </w:t>
      </w:r>
      <w:r>
        <w:tab/>
        <w:t xml:space="preserve"> </w:t>
      </w:r>
    </w:p>
    <w:p w:rsidR="005C2091" w:rsidRDefault="00A86293">
      <w:r>
        <w:tab/>
        <w:t xml:space="preserve">- od toga uredbe usklađene sa zakonodavstvom Europske unije (EU) - 9 </w:t>
      </w:r>
    </w:p>
    <w:p w:rsidR="005C2091" w:rsidRDefault="00A86293">
      <w:r>
        <w:tab/>
        <w:t xml:space="preserve">- od toga uredbe donesene na temelju zakonske ovlasti - 5 </w:t>
      </w:r>
      <w:r>
        <w:tab/>
        <w:t xml:space="preserve"> </w:t>
      </w:r>
    </w:p>
    <w:p w:rsidR="005C2091" w:rsidRDefault="00A86293">
      <w:r>
        <w:t xml:space="preserve">5.4. </w:t>
      </w:r>
      <w:r>
        <w:tab/>
        <w:t xml:space="preserve">odluka - 449 </w:t>
      </w:r>
      <w:r>
        <w:tab/>
        <w:t xml:space="preserve"> </w:t>
      </w:r>
    </w:p>
    <w:p w:rsidR="005C2091" w:rsidRDefault="00A86293">
      <w:r>
        <w:tab/>
        <w:t xml:space="preserve">- od toga odluke usklađene sa zakonodavstvom  Europske unije (EU) - 8 </w:t>
      </w:r>
      <w:r>
        <w:tab/>
        <w:t xml:space="preserve"> </w:t>
      </w:r>
    </w:p>
    <w:p w:rsidR="005C2091" w:rsidRDefault="00A86293">
      <w:r>
        <w:t xml:space="preserve">5.5. </w:t>
      </w:r>
      <w:r>
        <w:tab/>
        <w:t xml:space="preserve">prijedlozi odluka - 34 </w:t>
      </w:r>
      <w:r>
        <w:tab/>
        <w:t xml:space="preserve"> </w:t>
      </w:r>
    </w:p>
    <w:p w:rsidR="005C2091" w:rsidRDefault="00A86293">
      <w:r>
        <w:tab/>
        <w:t>- od toga prijedlozi odluka usklađenih sa zakonod</w:t>
      </w:r>
      <w:r w:rsidR="00BB0310">
        <w:t>avstvom Europske unije (EU) - 0</w:t>
      </w:r>
      <w:r>
        <w:tab/>
      </w:r>
      <w:r>
        <w:tab/>
      </w:r>
      <w:r>
        <w:tab/>
      </w:r>
      <w:r>
        <w:tab/>
      </w:r>
      <w:r>
        <w:tab/>
      </w:r>
      <w:r>
        <w:tab/>
      </w:r>
      <w:r>
        <w:tab/>
      </w:r>
      <w:r>
        <w:tab/>
      </w:r>
      <w:r>
        <w:tab/>
      </w:r>
      <w:r>
        <w:tab/>
      </w:r>
      <w:r>
        <w:tab/>
        <w:t xml:space="preserve"> </w:t>
      </w:r>
    </w:p>
    <w:p w:rsidR="005C2091" w:rsidRDefault="00A86293">
      <w:r>
        <w:t xml:space="preserve">5.6. </w:t>
      </w:r>
      <w:r>
        <w:tab/>
        <w:t xml:space="preserve">zaključaka - 356 </w:t>
      </w:r>
    </w:p>
    <w:p w:rsidR="005C2091" w:rsidRDefault="00A86293">
      <w:r>
        <w:t xml:space="preserve">- od toga zaključaka usklađenih sa zakonodavstvom Europske unije (EU) - 0 </w:t>
      </w:r>
    </w:p>
    <w:p w:rsidR="005C2091" w:rsidRDefault="00A86293">
      <w:r>
        <w:tab/>
        <w:t xml:space="preserve">- od toga izvješća - 90 </w:t>
      </w:r>
      <w:r w:rsidR="00BB0310">
        <w:tab/>
      </w:r>
      <w:r w:rsidR="00BB0310">
        <w:tab/>
      </w:r>
      <w:r w:rsidR="00BB0310">
        <w:tab/>
      </w:r>
      <w:r w:rsidR="00BB0310">
        <w:tab/>
      </w:r>
      <w:r w:rsidR="00BB0310">
        <w:tab/>
      </w:r>
      <w:r w:rsidR="00BB0310">
        <w:tab/>
      </w:r>
      <w:r>
        <w:t xml:space="preserve"> </w:t>
      </w:r>
    </w:p>
    <w:p w:rsidR="005C2091" w:rsidRDefault="00A86293">
      <w:r>
        <w:t xml:space="preserve">5.7. </w:t>
      </w:r>
      <w:r>
        <w:tab/>
        <w:t xml:space="preserve">rješenja - 911 </w:t>
      </w:r>
    </w:p>
    <w:p w:rsidR="00035CBA" w:rsidRDefault="00035CBA" w:rsidP="00035CBA">
      <w:r>
        <w:tab/>
      </w:r>
      <w:r>
        <w:tab/>
      </w:r>
      <w:r>
        <w:tab/>
      </w:r>
      <w:r>
        <w:tab/>
      </w:r>
      <w:r>
        <w:tab/>
      </w:r>
      <w:r>
        <w:tab/>
      </w:r>
      <w:r>
        <w:tab/>
      </w:r>
      <w:r>
        <w:tab/>
      </w:r>
      <w:r>
        <w:tab/>
      </w:r>
      <w:r>
        <w:tab/>
      </w:r>
      <w:r>
        <w:tab/>
      </w:r>
      <w:r>
        <w:tab/>
      </w:r>
      <w:r>
        <w:tab/>
      </w:r>
      <w:r>
        <w:tab/>
      </w:r>
    </w:p>
    <w:p w:rsidR="005C2091" w:rsidRDefault="00A86293" w:rsidP="00035CBA">
      <w:r>
        <w:t xml:space="preserve">6. UKUPAN BROJ RAZMOTRENIH STRATEŠKIH I ANALITIČKIH MATERIJALA, STAJALIŠTA TE  </w:t>
      </w:r>
    </w:p>
    <w:p w:rsidR="005C2091" w:rsidRDefault="00A86293" w:rsidP="00035CBA">
      <w:pPr>
        <w:spacing w:after="0"/>
      </w:pPr>
      <w:r>
        <w:t xml:space="preserve">    INFORMACIJA - 81 </w:t>
      </w:r>
    </w:p>
    <w:p w:rsidR="005C2091" w:rsidRDefault="00A86293" w:rsidP="00035CBA">
      <w:pPr>
        <w:spacing w:after="0"/>
      </w:pPr>
      <w:r>
        <w:tab/>
      </w:r>
      <w:r>
        <w:tab/>
        <w:t xml:space="preserve"> </w:t>
      </w:r>
    </w:p>
    <w:p w:rsidR="005C2091" w:rsidRDefault="00A86293" w:rsidP="00035CBA">
      <w:pPr>
        <w:spacing w:after="0"/>
      </w:pPr>
      <w:r>
        <w:tab/>
        <w:t xml:space="preserve">- od toga razmotrenih strateških i analitičkih materijala, te informacija usklađenih sa zakonodavstvom </w:t>
      </w:r>
    </w:p>
    <w:p w:rsidR="005C2091" w:rsidRDefault="00A86293" w:rsidP="00035CBA">
      <w:pPr>
        <w:spacing w:after="0"/>
      </w:pPr>
      <w:r>
        <w:t xml:space="preserve">          Europske unije (EU) - 0 </w:t>
      </w:r>
    </w:p>
    <w:p w:rsidR="005C2091" w:rsidRDefault="00035CBA" w:rsidP="00035CBA">
      <w:pPr>
        <w:spacing w:after="0"/>
      </w:pPr>
      <w:r>
        <w:lastRenderedPageBreak/>
        <w:tab/>
      </w:r>
      <w:r>
        <w:tab/>
      </w:r>
      <w:r>
        <w:tab/>
      </w:r>
      <w:r>
        <w:tab/>
      </w:r>
      <w:r>
        <w:tab/>
      </w:r>
      <w:r>
        <w:tab/>
      </w:r>
      <w:r>
        <w:tab/>
      </w:r>
      <w:r>
        <w:tab/>
      </w:r>
      <w:r>
        <w:tab/>
      </w:r>
      <w:r>
        <w:tab/>
      </w:r>
      <w:r>
        <w:tab/>
      </w:r>
      <w:r>
        <w:tab/>
      </w:r>
      <w:r>
        <w:tab/>
      </w:r>
      <w:r w:rsidR="00A86293">
        <w:tab/>
        <w:t xml:space="preserve"> </w:t>
      </w:r>
    </w:p>
    <w:p w:rsidR="005C2091" w:rsidRDefault="00A86293" w:rsidP="00035CBA">
      <w:pPr>
        <w:spacing w:after="0"/>
      </w:pPr>
      <w:r>
        <w:t xml:space="preserve">7. UKUPAN BROJ RAZMOTRENIH IZVJEŠĆA UPUĆENIH U HRVATSKI SABOR - 16 </w:t>
      </w:r>
    </w:p>
    <w:p w:rsidR="005C2091" w:rsidRDefault="00A86293" w:rsidP="00035CBA">
      <w:pPr>
        <w:spacing w:after="0"/>
      </w:pPr>
      <w:r>
        <w:tab/>
      </w:r>
      <w:r>
        <w:tab/>
        <w:t xml:space="preserve"> </w:t>
      </w:r>
    </w:p>
    <w:p w:rsidR="005C2091" w:rsidRDefault="00A86293" w:rsidP="00035CBA">
      <w:pPr>
        <w:spacing w:after="0"/>
      </w:pPr>
      <w:r>
        <w:tab/>
        <w:t xml:space="preserve">- od toga razmotrenih izvješća usklađenih sa zakonodavstvom Europske unije (EU) - 0 </w:t>
      </w:r>
    </w:p>
    <w:p w:rsidR="005C2091" w:rsidRDefault="00035CBA" w:rsidP="00035CBA">
      <w:pPr>
        <w:spacing w:after="0"/>
      </w:pPr>
      <w:r>
        <w:tab/>
      </w:r>
      <w:r>
        <w:tab/>
      </w:r>
      <w:r>
        <w:tab/>
      </w:r>
      <w:r>
        <w:tab/>
      </w:r>
      <w:r>
        <w:tab/>
      </w:r>
      <w:r>
        <w:tab/>
      </w:r>
      <w:r>
        <w:tab/>
      </w:r>
      <w:r>
        <w:tab/>
      </w:r>
      <w:r>
        <w:tab/>
      </w:r>
      <w:r>
        <w:tab/>
      </w:r>
      <w:r>
        <w:tab/>
      </w:r>
      <w:r>
        <w:tab/>
      </w:r>
      <w:r w:rsidR="00A86293">
        <w:tab/>
      </w:r>
      <w:r w:rsidR="00A86293">
        <w:tab/>
        <w:t xml:space="preserve"> </w:t>
      </w:r>
    </w:p>
    <w:p w:rsidR="005C2091" w:rsidRDefault="00A86293" w:rsidP="00035CBA">
      <w:pPr>
        <w:spacing w:after="0"/>
      </w:pPr>
      <w:r>
        <w:t xml:space="preserve">8. UKUPAN BROJ MIŠLJENJA KOJE JE VLADA UPUTILA HRVATSKOM SABORU - 56 </w:t>
      </w:r>
    </w:p>
    <w:p w:rsidR="005C2091" w:rsidRDefault="00A86293" w:rsidP="00035CBA">
      <w:pPr>
        <w:spacing w:after="0"/>
      </w:pPr>
      <w:r>
        <w:tab/>
      </w:r>
      <w:r>
        <w:tab/>
      </w:r>
      <w:r>
        <w:tab/>
      </w:r>
      <w:r>
        <w:tab/>
        <w:t xml:space="preserve"> </w:t>
      </w:r>
    </w:p>
    <w:p w:rsidR="005C2091" w:rsidRDefault="00A86293" w:rsidP="00035CBA">
      <w:pPr>
        <w:spacing w:after="0"/>
      </w:pPr>
      <w:r>
        <w:t xml:space="preserve">9. BROJ INTERPELACIJA O RADU VLADE REPUBLIKE HRVATSKE - 3 </w:t>
      </w:r>
      <w:r w:rsidR="00035CBA">
        <w:tab/>
      </w:r>
      <w:r w:rsidR="00035CBA">
        <w:tab/>
      </w:r>
      <w:r w:rsidR="00035CBA">
        <w:tab/>
      </w:r>
      <w:r>
        <w:tab/>
      </w:r>
      <w:r>
        <w:tab/>
      </w:r>
      <w:r>
        <w:tab/>
      </w:r>
      <w:r>
        <w:tab/>
      </w:r>
      <w:r>
        <w:tab/>
        <w:t xml:space="preserve"> </w:t>
      </w:r>
    </w:p>
    <w:p w:rsidR="00035CBA" w:rsidRDefault="00A86293" w:rsidP="00035CBA">
      <w:pPr>
        <w:spacing w:after="0"/>
      </w:pPr>
      <w:r>
        <w:t xml:space="preserve">10. BROJ ODGOVORA VLADE REPUBLIKE HRVATSKE NA ZASTUPNIČKA PITANJA - 23 </w:t>
      </w:r>
      <w:r w:rsidR="00035CBA">
        <w:tab/>
      </w:r>
      <w:r w:rsidR="00035CBA">
        <w:tab/>
      </w:r>
    </w:p>
    <w:p w:rsidR="00035CBA" w:rsidRDefault="00A86293">
      <w:r>
        <w:t>11. UKUPAN BROJ AKATA UPUĆENIH USTAVNOM SUDU</w:t>
      </w:r>
      <w:r>
        <w:tab/>
        <w:t xml:space="preserve">- 13 </w:t>
      </w:r>
    </w:p>
    <w:p w:rsidR="005C2091" w:rsidRDefault="00A86293">
      <w:r>
        <w:t xml:space="preserve">- od toga prijedloga za pokretanje postupka za ocjenu suglasnosti s Ustavom i zakonom - 3 </w:t>
      </w:r>
    </w:p>
    <w:p w:rsidR="005C2091" w:rsidRDefault="00A86293">
      <w:r>
        <w:t xml:space="preserve">- od toga odgovora / mišljenja na zahtjeve za pokretanje postupaka za ocjenu suglasnosti s Ustavom  i zakonom - 10 </w:t>
      </w:r>
    </w:p>
    <w:p w:rsidR="005C2091" w:rsidRDefault="00A86293">
      <w:r>
        <w:t>12. UKUPAN BROJ AKATA UPUĆENIH UPRAVNOM SUDU</w:t>
      </w:r>
      <w:r>
        <w:tab/>
        <w:t>- 10</w:t>
      </w:r>
    </w:p>
    <w:p w:rsidR="005C2091" w:rsidRDefault="00A86293">
      <w:pPr>
        <w:pStyle w:val="Heading4"/>
      </w:pPr>
      <w:r>
        <w:t>A508000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A508000-ADMINISTRACIJA I UPRAVLJANJE</w:t>
            </w:r>
          </w:p>
        </w:tc>
        <w:tc>
          <w:tcPr>
            <w:tcW w:w="2041" w:type="dxa"/>
          </w:tcPr>
          <w:p w:rsidR="005C2091" w:rsidRDefault="00A86293">
            <w:pPr>
              <w:pStyle w:val="CellColumn"/>
              <w:jc w:val="right"/>
            </w:pPr>
            <w:r>
              <w:rPr>
                <w:rFonts w:cs="Times New Roman"/>
              </w:rPr>
              <w:t>12.531.357</w:t>
            </w:r>
          </w:p>
        </w:tc>
        <w:tc>
          <w:tcPr>
            <w:tcW w:w="2041" w:type="dxa"/>
          </w:tcPr>
          <w:p w:rsidR="005C2091" w:rsidRDefault="00A86293">
            <w:pPr>
              <w:pStyle w:val="CellColumn"/>
              <w:jc w:val="right"/>
            </w:pPr>
            <w:r>
              <w:rPr>
                <w:rFonts w:cs="Times New Roman"/>
              </w:rPr>
              <w:t>14.514.775</w:t>
            </w:r>
          </w:p>
        </w:tc>
        <w:tc>
          <w:tcPr>
            <w:tcW w:w="2041" w:type="dxa"/>
          </w:tcPr>
          <w:p w:rsidR="005C2091" w:rsidRDefault="00A86293">
            <w:pPr>
              <w:pStyle w:val="CellColumn"/>
              <w:jc w:val="right"/>
            </w:pPr>
            <w:r>
              <w:rPr>
                <w:rFonts w:cs="Times New Roman"/>
              </w:rPr>
              <w:t>12.885.440</w:t>
            </w:r>
          </w:p>
        </w:tc>
        <w:tc>
          <w:tcPr>
            <w:tcW w:w="1224" w:type="dxa"/>
          </w:tcPr>
          <w:p w:rsidR="005C2091" w:rsidRDefault="00A86293">
            <w:pPr>
              <w:pStyle w:val="CellColumn"/>
              <w:jc w:val="right"/>
            </w:pPr>
            <w:r>
              <w:rPr>
                <w:rFonts w:cs="Times New Roman"/>
              </w:rPr>
              <w:t>88,8</w:t>
            </w:r>
          </w:p>
        </w:tc>
        <w:tc>
          <w:tcPr>
            <w:tcW w:w="1224" w:type="dxa"/>
          </w:tcPr>
          <w:p w:rsidR="005C2091" w:rsidRDefault="00A86293">
            <w:pPr>
              <w:pStyle w:val="CellColumn"/>
              <w:jc w:val="right"/>
            </w:pPr>
            <w:r>
              <w:rPr>
                <w:rFonts w:cs="Times New Roman"/>
              </w:rPr>
              <w:t>102,8</w:t>
            </w:r>
          </w:p>
        </w:tc>
      </w:tr>
    </w:tbl>
    <w:p w:rsidR="005C2091" w:rsidRDefault="005C2091">
      <w:pPr>
        <w:jc w:val="left"/>
      </w:pPr>
    </w:p>
    <w:p w:rsidR="005C2091" w:rsidRDefault="00A86293">
      <w:pPr>
        <w:pStyle w:val="Heading8"/>
        <w:jc w:val="left"/>
      </w:pPr>
      <w:r>
        <w:t>Zakonske i druge pravne osnove</w:t>
      </w:r>
    </w:p>
    <w:p w:rsidR="005C2091" w:rsidRDefault="00A86293">
      <w:r>
        <w:t>Glavno tajništvo obavlja poslove u skladu sa Zakonom o Vladi Republike Hrvatske i Poslovnikom Vlade Republike Hrvatske, u skladu sa zaključcima i drugim aktima Vlade Republike Hrvatske, te po uputama predsjednika, potpredsjednika i glavne tajnice Vlade.</w:t>
      </w:r>
    </w:p>
    <w:p w:rsidR="005C2091" w:rsidRDefault="00A86293">
      <w:pPr>
        <w:pStyle w:val="Heading8"/>
        <w:jc w:val="left"/>
      </w:pPr>
      <w:r>
        <w:t>Opis aktivnosti</w:t>
      </w:r>
    </w:p>
    <w:p w:rsidR="005C2091" w:rsidRDefault="00A86293">
      <w:r>
        <w:t>Kroz aktivnost Administracija i upravljanje su se tijekom 2016. godine obavljali stručni, analitički, upravno-pravni, administrativni i informatički poslovi; stručna i administrativno-tehnička priprema materijala za raspravu i odlučivanje na sjednicama stručnih radnih skupina i radnih tijela Vlade, Užeg kabineta Vlade i sjednicama Vlade; sazivane su i održavane sjednice stručnih radnih skupina i radnih tijela Vlade te sjednice Vlade; pratio se tijek sjednica stručnih radnih skupina i radnih tijela Vlade i sjednica Vlade; izradili su se zaključci i stajališta stručnih radnih skupina i radnih tijela Vlade; izradili su se i otpremili akti koje je donijela Vlada; vodila se briga o objavljivanju akata Vlade; izradili su se zapisnici sa sjednica Vlade; vodila se briga o izvršavanju obveza Vlade prema Hrvatskome saboru, te su se obavili administrativni, opći, tehnički i pomoćni poslovi. Također u okviru navedene aktivnosti Glavno tajništvo je podmirilo troškove službenih putovanja predsjednika Vlade Republike Hrvatske, snosilo je udio u direktnim troškovima korištenja usluga zračnog prijevoza Direkcije za korištenje službenih zrakoplova sukladno članku 3. Uredbe o Direkciji za korištenje službenih zrakoplova (Narodne novine, 54/2013), brinulo se o održavanju zgrade Banski dvori, podmirilo je fiksne režijske troškove zgrade u kojoj su, osim Vlade Republike Hrvatske, smješteni i Vladini uredi, brinulo se o nabavi uredske opreme potrebne za učinkovito servisiranje Vlade Republike Hrvatske.</w:t>
      </w:r>
    </w:p>
    <w:p w:rsidR="005C2091" w:rsidRDefault="00A86293">
      <w:pPr>
        <w:pStyle w:val="Heading4"/>
      </w:pPr>
      <w:r>
        <w:t>A508015 NAKNADE ZASLUŽNIM OSOBAMA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A508015-NAKNADE ZASLUŽNIM OSOBAMA</w:t>
            </w:r>
          </w:p>
        </w:tc>
        <w:tc>
          <w:tcPr>
            <w:tcW w:w="2041" w:type="dxa"/>
          </w:tcPr>
          <w:p w:rsidR="005C2091" w:rsidRDefault="00A86293">
            <w:pPr>
              <w:pStyle w:val="CellColumn"/>
              <w:jc w:val="right"/>
            </w:pPr>
            <w:r>
              <w:rPr>
                <w:rFonts w:cs="Times New Roman"/>
              </w:rPr>
              <w:t>6.690.005</w:t>
            </w:r>
          </w:p>
        </w:tc>
        <w:tc>
          <w:tcPr>
            <w:tcW w:w="2041" w:type="dxa"/>
          </w:tcPr>
          <w:p w:rsidR="005C2091" w:rsidRDefault="00A86293">
            <w:pPr>
              <w:pStyle w:val="CellColumn"/>
              <w:jc w:val="right"/>
            </w:pPr>
            <w:r>
              <w:rPr>
                <w:rFonts w:cs="Times New Roman"/>
              </w:rPr>
              <w:t>6.845.000</w:t>
            </w:r>
          </w:p>
        </w:tc>
        <w:tc>
          <w:tcPr>
            <w:tcW w:w="2041" w:type="dxa"/>
          </w:tcPr>
          <w:p w:rsidR="005C2091" w:rsidRDefault="00A86293">
            <w:pPr>
              <w:pStyle w:val="CellColumn"/>
              <w:jc w:val="right"/>
            </w:pPr>
            <w:r>
              <w:rPr>
                <w:rFonts w:cs="Times New Roman"/>
              </w:rPr>
              <w:t>6.658.420</w:t>
            </w:r>
          </w:p>
        </w:tc>
        <w:tc>
          <w:tcPr>
            <w:tcW w:w="1224" w:type="dxa"/>
          </w:tcPr>
          <w:p w:rsidR="005C2091" w:rsidRDefault="00A86293">
            <w:pPr>
              <w:pStyle w:val="CellColumn"/>
              <w:jc w:val="right"/>
            </w:pPr>
            <w:r>
              <w:rPr>
                <w:rFonts w:cs="Times New Roman"/>
              </w:rPr>
              <w:t>97,3</w:t>
            </w:r>
          </w:p>
        </w:tc>
        <w:tc>
          <w:tcPr>
            <w:tcW w:w="1224" w:type="dxa"/>
          </w:tcPr>
          <w:p w:rsidR="005C2091" w:rsidRDefault="00A86293">
            <w:pPr>
              <w:pStyle w:val="CellColumn"/>
              <w:jc w:val="right"/>
            </w:pPr>
            <w:r>
              <w:rPr>
                <w:rFonts w:cs="Times New Roman"/>
              </w:rPr>
              <w:t>99,5</w:t>
            </w:r>
          </w:p>
        </w:tc>
      </w:tr>
    </w:tbl>
    <w:p w:rsidR="005C2091" w:rsidRDefault="005C2091">
      <w:pPr>
        <w:jc w:val="left"/>
      </w:pPr>
    </w:p>
    <w:p w:rsidR="005C2091" w:rsidRDefault="00A86293">
      <w:pPr>
        <w:pStyle w:val="Heading8"/>
        <w:jc w:val="left"/>
      </w:pPr>
      <w:r>
        <w:t>Zakonske i druge pravne osnove</w:t>
      </w:r>
    </w:p>
    <w:p w:rsidR="005C2091" w:rsidRDefault="00A86293">
      <w:r>
        <w:t>Glavno tajništvo obavlja poslove u skladu sa Zakonom o Vladi Republike Hrvatske i Poslovnikom Vlade Republike Hrvatske, u skladu sa zaključcima i drugim aktima Vlade Republike Hrvatske, te po uputama predsjednika, potpredsjednika i glavne tajnice Vlade.</w:t>
      </w:r>
    </w:p>
    <w:p w:rsidR="005C2091" w:rsidRDefault="00A86293">
      <w:pPr>
        <w:pStyle w:val="Heading8"/>
        <w:jc w:val="left"/>
      </w:pPr>
      <w:r>
        <w:t>Opis aktivnosti</w:t>
      </w:r>
    </w:p>
    <w:p w:rsidR="005C2091" w:rsidRDefault="00A86293">
      <w:r>
        <w:t xml:space="preserve">U okviru aktivnosti Naknade zaslužnim osobama utrošena su sredstva za isplatu stalnih novčanih nadoknada zaslužnim osobama. Na temelju članka 26. Poslovnika Vlade Republike Hrvatske sukladno Zakonu o dodjeljivanju stalnih novčanih </w:t>
      </w:r>
    </w:p>
    <w:p w:rsidR="005C2091" w:rsidRDefault="00A86293">
      <w:r>
        <w:t xml:space="preserve">naknada zaslužnim osobama, Administrativna komisija Vlade Republike Hrvatske donosi Odluku o načinu isplate stalnih novčanih nadoknada zaslužnim osobama. Isplata stalne novčane nadoknade vrši se na temelju rješenja Administrativne </w:t>
      </w:r>
    </w:p>
    <w:p w:rsidR="005C2091" w:rsidRDefault="00A86293">
      <w:r>
        <w:t>komisije Vlade Republike Hrvatske po kategorijama u mjesečnim iznosima. U 2016. godini bilo je 728 korisnika stalne novčane nadoknade.</w:t>
      </w:r>
    </w:p>
    <w:p w:rsidR="005C2091" w:rsidRDefault="00A86293">
      <w:pPr>
        <w:pStyle w:val="Heading2"/>
      </w:pPr>
      <w:r>
        <w:t>02006 Ured predsjednika Vlade Republike Hrvatske</w:t>
      </w:r>
    </w:p>
    <w:p w:rsidR="005C2091" w:rsidRDefault="00A86293">
      <w:r>
        <w:t xml:space="preserve">Radi učinkovitog obavljanja dužnosti predsjednika Vlade Republike Hrvatske, Ured predsjednika Vlade obavlja savjetodavne, analitičke, stručne i administrativne poslove za potrebe predsjednika Vlade, a osobito poslove: </w:t>
      </w:r>
    </w:p>
    <w:p w:rsidR="005C2091" w:rsidRDefault="00A86293">
      <w:r>
        <w:t xml:space="preserve">- sustavnog praćenja i analize pojedinih javnih politika radi izrade stručnih mišljenja i studija, </w:t>
      </w:r>
    </w:p>
    <w:p w:rsidR="005C2091" w:rsidRDefault="00A86293">
      <w:r>
        <w:t xml:space="preserve">- izrade strateških razvojnih planova i analiza, </w:t>
      </w:r>
    </w:p>
    <w:p w:rsidR="005C2091" w:rsidRDefault="00A86293">
      <w:r>
        <w:t xml:space="preserve">- pripreme prijedloga pojedinih projekata iz programa Vlade Republike Hrvatske (u daljnjem tekstu: Vlada) i usklađivanja njihove provedbe, </w:t>
      </w:r>
    </w:p>
    <w:p w:rsidR="005C2091" w:rsidRDefault="00A86293">
      <w:r>
        <w:t xml:space="preserve">- stručne obrade i pripreme materijala potrebnih za sudjelovanje predsjednika Vlade u radu Užega kabineta Vlade (u daljnjem tekstu: Uži kabinet), Vlade i Hrvatskoga sabora, </w:t>
      </w:r>
    </w:p>
    <w:p w:rsidR="005C2091" w:rsidRDefault="00A86293">
      <w:r>
        <w:t xml:space="preserve">- izrade odgovarajuće pripreme i prijedloga Stajališta Republike Hrvatske za sudjelovanje predsjednika Vlade na sastancima Europskog vijeća, </w:t>
      </w:r>
    </w:p>
    <w:p w:rsidR="005C2091" w:rsidRDefault="00A86293">
      <w:r>
        <w:t xml:space="preserve">- izrade materijala potrebnih za sudjelovanje predsjednika Vlade na sastancima, </w:t>
      </w:r>
    </w:p>
    <w:p w:rsidR="005C2091" w:rsidRDefault="00A86293">
      <w:r>
        <w:t xml:space="preserve">- koordinacije između Vlade i Hrvatskoga sabora za potrebe predsjednika Vlade, </w:t>
      </w:r>
    </w:p>
    <w:p w:rsidR="005C2091" w:rsidRDefault="00A86293">
      <w:r>
        <w:t xml:space="preserve">- sudjelovanja, u suradnji s Glavnim tajništvom Vlade (u daljnjem tekstu: Glavno tajništvo), u pripremi i sazivanju sjednica Užega kabineta i savjeta predsjednika Vlade, </w:t>
      </w:r>
    </w:p>
    <w:p w:rsidR="005C2091" w:rsidRDefault="00A86293">
      <w:r>
        <w:t xml:space="preserve">- usklađivanja rada ureda Vlade, </w:t>
      </w:r>
    </w:p>
    <w:p w:rsidR="005C2091" w:rsidRDefault="00A86293">
      <w:r>
        <w:t xml:space="preserve">- stručne pripreme i organizacije posjeta predsjednika Vlade u zemlji i inozemstvu, </w:t>
      </w:r>
    </w:p>
    <w:p w:rsidR="005C2091" w:rsidRDefault="00A86293">
      <w:r>
        <w:t xml:space="preserve">- stručne pripreme i organizacije posjeta stranih predsjednika vlada Republici Hrvatskoj te ostalih dužnosnika koji borave u Republici Hrvatskoj na poziv predsjednika Vlade, u suradnji s Uredom za protokol Vlade RH, </w:t>
      </w:r>
    </w:p>
    <w:p w:rsidR="005C2091" w:rsidRDefault="00A86293">
      <w:r>
        <w:t xml:space="preserve">- provedbe Zakona o pravu na pristup informacijama u Vladi Republike Hrvatske, te koordinacije rada u vezi s provedbom tog Zakona u Vladinim uredima i službama, </w:t>
      </w:r>
    </w:p>
    <w:p w:rsidR="005C2091" w:rsidRDefault="00A86293">
      <w:r>
        <w:t xml:space="preserve">- izvješćivanja javnosti o politici i aktivnostima Vlade, </w:t>
      </w:r>
    </w:p>
    <w:p w:rsidR="005C2091" w:rsidRDefault="00A86293">
      <w:r>
        <w:t xml:space="preserve">- komunikacije s medijima i građanima, </w:t>
      </w:r>
    </w:p>
    <w:p w:rsidR="005C2091" w:rsidRDefault="00A86293">
      <w:r>
        <w:t xml:space="preserve">- upoznavanja Vlade o sadržaju i stajalištima medija i javnosti, </w:t>
      </w:r>
    </w:p>
    <w:p w:rsidR="005C2091" w:rsidRDefault="00A86293">
      <w:r>
        <w:t xml:space="preserve">- koordiniranja komunikacijskih aktivnosti ministarstava i državnih ureda, </w:t>
      </w:r>
    </w:p>
    <w:p w:rsidR="005C2091" w:rsidRDefault="00A86293">
      <w:r>
        <w:t xml:space="preserve">- druge poslove po nalogu predsjednika Vlade. </w:t>
      </w:r>
    </w:p>
    <w:p w:rsidR="005C2091" w:rsidRDefault="00A86293">
      <w:r>
        <w:lastRenderedPageBreak/>
        <w:t xml:space="preserve">U Uredu su za obavljanje poslova ustrojene sljedeće unutarnje ustrojstvene jedinice: </w:t>
      </w:r>
    </w:p>
    <w:p w:rsidR="005C2091" w:rsidRDefault="00A86293">
      <w:r>
        <w:t xml:space="preserve">– Služba za javne politike i potporu predsjedniku Vlade, </w:t>
      </w:r>
    </w:p>
    <w:p w:rsidR="005C2091" w:rsidRDefault="00A86293">
      <w:r>
        <w:t xml:space="preserve">– Služba za odnose s javnošću. </w:t>
      </w:r>
    </w:p>
    <w:p w:rsidR="005C2091" w:rsidRDefault="00A86293">
      <w:r>
        <w:t xml:space="preserve">U Službi za odnose s javnošću ustrojeni su sljedeći odjeli: </w:t>
      </w:r>
    </w:p>
    <w:p w:rsidR="005C2091" w:rsidRDefault="00A86293">
      <w:r>
        <w:t xml:space="preserve">– Odjel za medije i analitiku, </w:t>
      </w:r>
    </w:p>
    <w:p w:rsidR="005C2091" w:rsidRDefault="00A86293">
      <w:r>
        <w:t>– Odjel za online komunikaciju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02006-Ured predsjednika Vlade Republike Hrvatske</w:t>
            </w:r>
          </w:p>
        </w:tc>
        <w:tc>
          <w:tcPr>
            <w:tcW w:w="2041" w:type="dxa"/>
            <w:vAlign w:val="top"/>
          </w:tcPr>
          <w:p w:rsidR="005C2091" w:rsidRDefault="00A86293">
            <w:pPr>
              <w:pStyle w:val="CellColumn"/>
              <w:jc w:val="right"/>
            </w:pPr>
            <w:r>
              <w:rPr>
                <w:rFonts w:cs="Times New Roman"/>
              </w:rPr>
              <w:t>7.886.472</w:t>
            </w:r>
          </w:p>
        </w:tc>
        <w:tc>
          <w:tcPr>
            <w:tcW w:w="2041" w:type="dxa"/>
            <w:vAlign w:val="top"/>
          </w:tcPr>
          <w:p w:rsidR="005C2091" w:rsidRDefault="00A86293">
            <w:pPr>
              <w:pStyle w:val="CellColumn"/>
              <w:jc w:val="right"/>
            </w:pPr>
            <w:r>
              <w:rPr>
                <w:rFonts w:cs="Times New Roman"/>
              </w:rPr>
              <w:t>8.120.013</w:t>
            </w:r>
          </w:p>
        </w:tc>
        <w:tc>
          <w:tcPr>
            <w:tcW w:w="2041" w:type="dxa"/>
            <w:vAlign w:val="top"/>
          </w:tcPr>
          <w:p w:rsidR="005C2091" w:rsidRDefault="00A86293">
            <w:pPr>
              <w:pStyle w:val="CellColumn"/>
              <w:jc w:val="right"/>
            </w:pPr>
            <w:r>
              <w:rPr>
                <w:rFonts w:cs="Times New Roman"/>
              </w:rPr>
              <w:t>7.536.362</w:t>
            </w:r>
          </w:p>
        </w:tc>
        <w:tc>
          <w:tcPr>
            <w:tcW w:w="1224" w:type="dxa"/>
            <w:vAlign w:val="top"/>
          </w:tcPr>
          <w:p w:rsidR="005C2091" w:rsidRDefault="00A86293">
            <w:pPr>
              <w:pStyle w:val="CellColumn"/>
              <w:jc w:val="right"/>
            </w:pPr>
            <w:r>
              <w:rPr>
                <w:rFonts w:cs="Times New Roman"/>
              </w:rPr>
              <w:t>92,8</w:t>
            </w:r>
          </w:p>
        </w:tc>
        <w:tc>
          <w:tcPr>
            <w:tcW w:w="1224" w:type="dxa"/>
            <w:vAlign w:val="top"/>
          </w:tcPr>
          <w:p w:rsidR="005C2091" w:rsidRDefault="00A86293">
            <w:pPr>
              <w:pStyle w:val="CellColumn"/>
              <w:jc w:val="right"/>
            </w:pPr>
            <w:r>
              <w:rPr>
                <w:rFonts w:cs="Times New Roman"/>
              </w:rPr>
              <w:t>95,6</w:t>
            </w:r>
          </w:p>
        </w:tc>
      </w:tr>
      <w:tr w:rsidR="005C2091">
        <w:trPr>
          <w:jc w:val="center"/>
        </w:trPr>
        <w:tc>
          <w:tcPr>
            <w:tcW w:w="1632" w:type="dxa"/>
          </w:tcPr>
          <w:p w:rsidR="005C2091" w:rsidRDefault="00A86293">
            <w:pPr>
              <w:jc w:val="left"/>
            </w:pPr>
            <w:r>
              <w:t>2107-PRUŽANJE PODRŠKE RADU VLADE REPUBLIKE HRVATSKE</w:t>
            </w:r>
          </w:p>
        </w:tc>
        <w:tc>
          <w:tcPr>
            <w:tcW w:w="2041" w:type="dxa"/>
          </w:tcPr>
          <w:p w:rsidR="005C2091" w:rsidRDefault="00A86293">
            <w:pPr>
              <w:jc w:val="right"/>
            </w:pPr>
            <w:r>
              <w:t>7.886.472</w:t>
            </w:r>
          </w:p>
        </w:tc>
        <w:tc>
          <w:tcPr>
            <w:tcW w:w="2041" w:type="dxa"/>
          </w:tcPr>
          <w:p w:rsidR="005C2091" w:rsidRDefault="00A86293">
            <w:pPr>
              <w:jc w:val="right"/>
            </w:pPr>
            <w:r>
              <w:t>8.120.013</w:t>
            </w:r>
          </w:p>
        </w:tc>
        <w:tc>
          <w:tcPr>
            <w:tcW w:w="2041" w:type="dxa"/>
          </w:tcPr>
          <w:p w:rsidR="005C2091" w:rsidRDefault="00A86293">
            <w:pPr>
              <w:jc w:val="right"/>
            </w:pPr>
            <w:r>
              <w:t>7.536.362</w:t>
            </w:r>
          </w:p>
        </w:tc>
        <w:tc>
          <w:tcPr>
            <w:tcW w:w="1224" w:type="dxa"/>
          </w:tcPr>
          <w:p w:rsidR="005C2091" w:rsidRDefault="00A86293">
            <w:pPr>
              <w:jc w:val="right"/>
            </w:pPr>
            <w:r>
              <w:t>92,8</w:t>
            </w:r>
          </w:p>
        </w:tc>
        <w:tc>
          <w:tcPr>
            <w:tcW w:w="1224" w:type="dxa"/>
          </w:tcPr>
          <w:p w:rsidR="005C2091" w:rsidRDefault="00A86293">
            <w:pPr>
              <w:jc w:val="right"/>
            </w:pPr>
            <w:r>
              <w:t>95,6</w:t>
            </w:r>
          </w:p>
        </w:tc>
      </w:tr>
    </w:tbl>
    <w:p w:rsidR="005C2091" w:rsidRDefault="005C2091">
      <w:pPr>
        <w:jc w:val="left"/>
      </w:pPr>
    </w:p>
    <w:p w:rsidR="005C2091" w:rsidRDefault="00A86293">
      <w:pPr>
        <w:pStyle w:val="Heading3"/>
      </w:pPr>
      <w:r>
        <w:rPr>
          <w:rFonts w:cs="Times New Roman"/>
        </w:rPr>
        <w:t>2107 PRUŽANJE PODRŠKE RADU VLADE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2107-PRUŽANJE PODRŠKE RADU VLADE REPUBLIKE HRVATSKE</w:t>
            </w:r>
          </w:p>
        </w:tc>
        <w:tc>
          <w:tcPr>
            <w:tcW w:w="2041" w:type="dxa"/>
          </w:tcPr>
          <w:p w:rsidR="005C2091" w:rsidRDefault="00A86293">
            <w:pPr>
              <w:pStyle w:val="CellColumn"/>
              <w:jc w:val="right"/>
            </w:pPr>
            <w:r>
              <w:rPr>
                <w:rFonts w:cs="Times New Roman"/>
              </w:rPr>
              <w:t>7.886.472</w:t>
            </w:r>
          </w:p>
        </w:tc>
        <w:tc>
          <w:tcPr>
            <w:tcW w:w="2041" w:type="dxa"/>
          </w:tcPr>
          <w:p w:rsidR="005C2091" w:rsidRDefault="00A86293">
            <w:pPr>
              <w:pStyle w:val="CellColumn"/>
              <w:jc w:val="right"/>
            </w:pPr>
            <w:r>
              <w:rPr>
                <w:rFonts w:cs="Times New Roman"/>
              </w:rPr>
              <w:t>8.120.013</w:t>
            </w:r>
          </w:p>
        </w:tc>
        <w:tc>
          <w:tcPr>
            <w:tcW w:w="2041" w:type="dxa"/>
          </w:tcPr>
          <w:p w:rsidR="005C2091" w:rsidRDefault="00A86293">
            <w:pPr>
              <w:pStyle w:val="CellColumn"/>
              <w:jc w:val="right"/>
            </w:pPr>
            <w:r>
              <w:rPr>
                <w:rFonts w:cs="Times New Roman"/>
              </w:rPr>
              <w:t>7.536.362</w:t>
            </w:r>
          </w:p>
        </w:tc>
        <w:tc>
          <w:tcPr>
            <w:tcW w:w="1224" w:type="dxa"/>
          </w:tcPr>
          <w:p w:rsidR="005C2091" w:rsidRDefault="00A86293">
            <w:pPr>
              <w:pStyle w:val="CellColumn"/>
              <w:jc w:val="right"/>
            </w:pPr>
            <w:r>
              <w:rPr>
                <w:rFonts w:cs="Times New Roman"/>
              </w:rPr>
              <w:t>92,8</w:t>
            </w:r>
          </w:p>
        </w:tc>
        <w:tc>
          <w:tcPr>
            <w:tcW w:w="1224" w:type="dxa"/>
          </w:tcPr>
          <w:p w:rsidR="005C2091" w:rsidRDefault="00A86293">
            <w:pPr>
              <w:pStyle w:val="CellColumn"/>
              <w:jc w:val="right"/>
            </w:pPr>
            <w:r>
              <w:rPr>
                <w:rFonts w:cs="Times New Roman"/>
              </w:rPr>
              <w:t>95,6</w:t>
            </w:r>
          </w:p>
        </w:tc>
      </w:tr>
    </w:tbl>
    <w:p w:rsidR="005C2091" w:rsidRDefault="005C2091">
      <w:pPr>
        <w:jc w:val="left"/>
      </w:pPr>
    </w:p>
    <w:p w:rsidR="005C2091" w:rsidRDefault="00A86293">
      <w:r>
        <w:t>Pružanje podrške radu Vlade Republike Hrvatske od strane Ureda predsjednika Vlade Republike Hrvatske podrazumijeva pripremu stručnih i analitičkih materijala potrebnih za sudjelovanje predsjednika Vlade Republike Hrvatske u radu Užeg kabineta Vlade Republike Hrvatske, Vlade Republike Hrvatske i Hrvatskoga sabora, koordinaciju između Vlade Republike Hrvatske i Hrvatskog sabora, sazivanje i pripremu sjednica Užeg kabineta i savjeta predsjednika Vlade Republike Hrvatske u suradnji s Glavnim tajništvom Vlade Republike Hrvatske, te druge poslove po nalogu predsjednika Vlade Republike Hrvatske.</w:t>
      </w:r>
    </w:p>
    <w:p w:rsidR="005C2091" w:rsidRDefault="00A86293">
      <w:pPr>
        <w:pStyle w:val="Heading8"/>
        <w:jc w:val="left"/>
      </w:pPr>
      <w:r>
        <w:t>Cilj 1. Kontinuitet i poboljšanje efikasnosti Vlade Republike Hrvatske</w:t>
      </w:r>
    </w:p>
    <w:p w:rsidR="005C2091" w:rsidRDefault="00A86293">
      <w:pPr>
        <w:pStyle w:val="Heading8"/>
        <w:jc w:val="left"/>
      </w:pPr>
      <w:r>
        <w:t>Opis provedbe cilja programa</w:t>
      </w:r>
    </w:p>
    <w:p w:rsidR="005C2091" w:rsidRDefault="00A86293">
      <w:r>
        <w:t xml:space="preserve">Obavljanjem savjetodavnih, analitičkih, stručnih i administrativnih poslova za potrebe predsjednika Vlade Republike Hrvatske osigurava se kontinuirano funkcioniranje Vlade Republike Hrvatske odnosno omogućuje se uključivanje </w:t>
      </w:r>
    </w:p>
    <w:p w:rsidR="005C2091" w:rsidRDefault="00A86293">
      <w:r>
        <w:t>predsjednika Vlade Republike Hrvatske u rad Vlade Republike Hrvatske.</w:t>
      </w:r>
    </w:p>
    <w:p w:rsidR="005C2091" w:rsidRDefault="00A86293">
      <w:pPr>
        <w:pStyle w:val="Heading4"/>
      </w:pPr>
      <w:r>
        <w:lastRenderedPageBreak/>
        <w:t>A696002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A696002-ADMINISTRACIJA I UPRAVLJANJE</w:t>
            </w:r>
          </w:p>
        </w:tc>
        <w:tc>
          <w:tcPr>
            <w:tcW w:w="2041" w:type="dxa"/>
          </w:tcPr>
          <w:p w:rsidR="005C2091" w:rsidRDefault="00A86293">
            <w:pPr>
              <w:pStyle w:val="CellColumn"/>
              <w:jc w:val="right"/>
            </w:pPr>
            <w:r>
              <w:rPr>
                <w:rFonts w:cs="Times New Roman"/>
              </w:rPr>
              <w:t>7.882.503</w:t>
            </w:r>
          </w:p>
        </w:tc>
        <w:tc>
          <w:tcPr>
            <w:tcW w:w="2041" w:type="dxa"/>
          </w:tcPr>
          <w:p w:rsidR="005C2091" w:rsidRDefault="00A86293">
            <w:pPr>
              <w:pStyle w:val="CellColumn"/>
              <w:jc w:val="right"/>
            </w:pPr>
            <w:r>
              <w:rPr>
                <w:rFonts w:cs="Times New Roman"/>
              </w:rPr>
              <w:t>8.065.013</w:t>
            </w:r>
          </w:p>
        </w:tc>
        <w:tc>
          <w:tcPr>
            <w:tcW w:w="2041" w:type="dxa"/>
          </w:tcPr>
          <w:p w:rsidR="005C2091" w:rsidRDefault="00A86293">
            <w:pPr>
              <w:pStyle w:val="CellColumn"/>
              <w:jc w:val="right"/>
            </w:pPr>
            <w:r>
              <w:rPr>
                <w:rFonts w:cs="Times New Roman"/>
              </w:rPr>
              <w:t>7.525.180</w:t>
            </w:r>
          </w:p>
        </w:tc>
        <w:tc>
          <w:tcPr>
            <w:tcW w:w="1224" w:type="dxa"/>
          </w:tcPr>
          <w:p w:rsidR="005C2091" w:rsidRDefault="00A86293">
            <w:pPr>
              <w:pStyle w:val="CellColumn"/>
              <w:jc w:val="right"/>
            </w:pPr>
            <w:r>
              <w:rPr>
                <w:rFonts w:cs="Times New Roman"/>
              </w:rPr>
              <w:t>93,3</w:t>
            </w:r>
          </w:p>
        </w:tc>
        <w:tc>
          <w:tcPr>
            <w:tcW w:w="1224" w:type="dxa"/>
          </w:tcPr>
          <w:p w:rsidR="005C2091" w:rsidRDefault="00A86293">
            <w:pPr>
              <w:pStyle w:val="CellColumn"/>
              <w:jc w:val="right"/>
            </w:pPr>
            <w:r>
              <w:rPr>
                <w:rFonts w:cs="Times New Roman"/>
              </w:rPr>
              <w:t>95,5</w:t>
            </w:r>
          </w:p>
        </w:tc>
      </w:tr>
    </w:tbl>
    <w:p w:rsidR="005C2091" w:rsidRDefault="005C2091">
      <w:pPr>
        <w:jc w:val="left"/>
      </w:pPr>
    </w:p>
    <w:p w:rsidR="005C2091" w:rsidRDefault="00A86293">
      <w:pPr>
        <w:pStyle w:val="Heading8"/>
        <w:jc w:val="left"/>
      </w:pPr>
      <w:r>
        <w:t>Zakonske i druge pravne osnove</w:t>
      </w:r>
    </w:p>
    <w:p w:rsidR="005C2091" w:rsidRDefault="00A86293">
      <w:pPr>
        <w:pStyle w:val="Heading8"/>
        <w:jc w:val="left"/>
      </w:pPr>
      <w:r>
        <w:t>Opis aktivnosti</w:t>
      </w:r>
    </w:p>
    <w:p w:rsidR="005C2091" w:rsidRDefault="00A86293">
      <w:r>
        <w:t xml:space="preserve">Ured predsjednika Vlade Republike Hrvatske tijekom 2016. godine bavio se redovnim poslovima potpore predsjedniku Vlade. No, 2016. godina bila je specifična jer su u toj godini djelovala 3 različita saziva Vlade Republike Hrvatske:  </w:t>
      </w:r>
    </w:p>
    <w:p w:rsidR="005C2091" w:rsidRDefault="00A86293">
      <w:r>
        <w:t></w:t>
      </w:r>
      <w:r>
        <w:tab/>
        <w:t xml:space="preserve">Vlada Zorana Milanovića - 01. - 22. siječnja 2016.  </w:t>
      </w:r>
    </w:p>
    <w:p w:rsidR="005C2091" w:rsidRDefault="00A86293">
      <w:r>
        <w:t></w:t>
      </w:r>
      <w:r>
        <w:tab/>
        <w:t xml:space="preserve">Vlada Tihomira Oreškovića - 23. siječnja – 19. listopada 2016.  </w:t>
      </w:r>
    </w:p>
    <w:p w:rsidR="005C2091" w:rsidRDefault="00A86293">
      <w:r>
        <w:t></w:t>
      </w:r>
      <w:r>
        <w:tab/>
        <w:t xml:space="preserve">Vlada Andreja Plenkovića - 20. listopada - 31. prosinca 2016.   </w:t>
      </w:r>
    </w:p>
    <w:p w:rsidR="005C2091" w:rsidRDefault="00A86293">
      <w:r>
        <w:t xml:space="preserve">Obrazloženje se daje za periode Vlade Tihomira Oreškovića i Vlade Andreja Plenkovića, odnosno za 13. i 14. saziv Vlade RH.  </w:t>
      </w:r>
    </w:p>
    <w:p w:rsidR="005C2091" w:rsidRDefault="00A86293">
      <w:r>
        <w:t xml:space="preserve">U skladu s Uredbom o Uredu predsjednika Vlade, Ured se u okviru Službe za javne politike i potporu predsjedniku Vlade bavio sustavnim praćenjem i analizom pojedinih javnih politika i sektora, posebice gospodarstva te vanjske i europske politike, a radi izrade stručnih mišljenja i studija za potrebe predsjednika Vlade. Pored toga Ured se bavio koordinacijom izrade strateških planova po nalogu predsjednika Vlade, praćenjem izrade sektorskih strateških razvojnih planova i analiza, koordinacijom između Vlade i Hrvatskoga sabora za potrebe predsjednika Vlade.  </w:t>
      </w:r>
    </w:p>
    <w:p w:rsidR="005C2091" w:rsidRDefault="00A86293">
      <w:r>
        <w:t xml:space="preserve">Obavljali su se i ostali savjetodavni, analitički, stručni i administrativni poslovi za potrebe predsjednika Vlade i predstojnika Ureda, a posebice stručna analiza, obrada i priprema materijala potrebnih za sudjelovanje predsjednika Vlade u radu Vlade, Užeg kabineta te u radu Hrvatskoga sabora. Ured je obavljao i nadležnosti službenika za informiranje za potrebe Vlade RH kao i vladinih ureda.  </w:t>
      </w:r>
    </w:p>
    <w:p w:rsidR="005C2091" w:rsidRDefault="00A86293">
      <w:r>
        <w:t xml:space="preserve">U dijelu poslova odnosa s javnošću u okviru Službe za odnose s javnošću, Ured je izvještavao domaću i stranu javnost o radu i politikama Vlade kroz priopćenja, vijesti, davanje odgovora i informacija na upite novinara te putem vladinog internet portala i službenih računa Vlade na društvenim mrežama, organizirao javne nastupe članova Vlade te medijski pratio rad Vlade (konferencije za novinare, izjave, intervjui, briefinzi, najave, obavijesti, akreditiranje novinara koji prate rad Vlade), pripremao i provodio medijske kampanje.  </w:t>
      </w:r>
    </w:p>
    <w:p w:rsidR="005C2091" w:rsidRDefault="00A86293">
      <w:r>
        <w:t xml:space="preserve">Također, Ured se bavio pripremom prijedloga Stajališta RH za sastanke Europskog vijeća te pripremom putovanja predsjednika Vlade u inozemstvo. Pored toga Ured je pripremio i proveo cijeli niz ključnih vanjskopolitičkih aktivnosti: </w:t>
      </w:r>
    </w:p>
    <w:p w:rsidR="005C2091" w:rsidRDefault="00A86293">
      <w:r>
        <w:t xml:space="preserve">Predsjednik Vlade RH Tihomir Orešković: </w:t>
      </w:r>
    </w:p>
    <w:p w:rsidR="005C2091" w:rsidRDefault="00A86293">
      <w:r>
        <w:t xml:space="preserve">• Bruxelles u veljači, ožujku, lipnju i rujnu 2016. sastanci Europskog vijeća  </w:t>
      </w:r>
    </w:p>
    <w:p w:rsidR="005C2091" w:rsidRDefault="00A86293">
      <w:r>
        <w:t xml:space="preserve">• Sudjelovanje na Western Balkans Investment Summitu u Londonu 21. veljače 2016. </w:t>
      </w:r>
    </w:p>
    <w:p w:rsidR="005C2091" w:rsidRDefault="00A86293">
      <w:r>
        <w:t xml:space="preserve">• SR Njemačka 01. ožujka 2016. -  Službeni posjet </w:t>
      </w:r>
    </w:p>
    <w:p w:rsidR="005C2091" w:rsidRDefault="00A86293">
      <w:r>
        <w:t xml:space="preserve">• Vatikan 07. travnja 2016. - Službeni posjet Svetoj Stolici </w:t>
      </w:r>
    </w:p>
    <w:p w:rsidR="005C2091" w:rsidRDefault="00A86293">
      <w:r>
        <w:t xml:space="preserve">• Bavarska 25. travnja 2016. – Radni posjet </w:t>
      </w:r>
    </w:p>
    <w:p w:rsidR="005C2091" w:rsidRDefault="00A86293">
      <w:r>
        <w:t xml:space="preserve">• Republika Francuska 30. svibnja 2016. – Radni posjet </w:t>
      </w:r>
    </w:p>
    <w:p w:rsidR="005C2091" w:rsidRDefault="00A86293">
      <w:r>
        <w:t xml:space="preserve">• Sudjelovanje na Summitu šefova država i vlada "Pariz – Balkan 2016" u Parizu 04. srpnja 2016. </w:t>
      </w:r>
    </w:p>
    <w:p w:rsidR="005C2091" w:rsidRDefault="00A86293">
      <w:r>
        <w:t xml:space="preserve">• Sudjelovanje na sastanku u dvorcu Meseberg (DE-AT-BG-SI-HR) kod Berlina 22. i 23. kolovoza 2016. </w:t>
      </w:r>
    </w:p>
    <w:p w:rsidR="005C2091" w:rsidRDefault="00A86293">
      <w:r>
        <w:lastRenderedPageBreak/>
        <w:t xml:space="preserve">• Sudjelovanje na Summitu o migracijama na balkanskoj ruti u Beču 24. rujna 2016. </w:t>
      </w:r>
    </w:p>
    <w:p w:rsidR="005C2091" w:rsidRDefault="00A86293">
      <w:r>
        <w:t xml:space="preserve">Predsjednik Vlade RH Andrej Plenković: </w:t>
      </w:r>
    </w:p>
    <w:p w:rsidR="005C2091" w:rsidRDefault="00A86293">
      <w:r>
        <w:t xml:space="preserve">• Bruxelles, 20. i 21. listopada 2016. Sastanak Europskog vijeća  </w:t>
      </w:r>
    </w:p>
    <w:p w:rsidR="005C2091" w:rsidRDefault="00A86293">
      <w:r>
        <w:t xml:space="preserve">• Bosna i Hercegovina, 28. i 29. listopada 2016. Prvim službenim inozemnim posjetom predsjednika Vlade Bosni i Hercegovini dala se snažna potpora europskoj budućnosti susjedne zemlje i ravnopravnosti Hrvata kao konstitutivnog naroda.  </w:t>
      </w:r>
    </w:p>
    <w:p w:rsidR="005C2091" w:rsidRDefault="00A86293">
      <w:r>
        <w:t xml:space="preserve">• Riga, 5. studenoga 2016. Predsjednik Vlade sudjelovao je na 5. sastanku šefova vlada zemalja središnje i istočne Europe i Kine u Rigi. Tom prigodom susreo se s predsjednikom Vlade Kine, predsjednicom Vlade Poljske te predsjednikom Vlade Češke.  </w:t>
      </w:r>
    </w:p>
    <w:p w:rsidR="005C2091" w:rsidRDefault="00A86293">
      <w:r>
        <w:t xml:space="preserve">• Ukrajina, 20. i 21. studenog 2016. Prilikom službenog posjeta Ukrajini predsjednik Vlade ponudio je pomoć u prenošenju iskustva Hrvatske u procesu mirne reintegracije. Održan je uspješan gospodarski forum na kojemu je sudjelovalo oko 300 hrvatskih i ukrajinskih gospodarstvenika.  </w:t>
      </w:r>
    </w:p>
    <w:p w:rsidR="005C2091" w:rsidRDefault="00A86293">
      <w:r>
        <w:t xml:space="preserve">• Njemačka, 11. i 12. prosinca 2016. Predsjednik Vlade posjetio je Berlin, gdje se susreo s njemačkom kancelarkom te su potvrđeni izvrsni politički i gospodarski odnosi Hrvatske i Njemačke.  </w:t>
      </w:r>
    </w:p>
    <w:p w:rsidR="005C2091" w:rsidRDefault="00A86293">
      <w:r>
        <w:t xml:space="preserve">• Bruxelles, 15. i 16. prosinca 2016. Sastanak Europskog vijeća.  </w:t>
      </w:r>
    </w:p>
    <w:p w:rsidR="005C2091" w:rsidRDefault="00A86293">
      <w:r>
        <w:t>U razdoblju 14. saziva Vlade RH Ured je obavljao poslove vezane uz organizaciju i pripremu posjeta predsjednika Vlade RH svim hrvatskim županijama i održavanja sastanka svih župana i članova Vlade u cilju upoznavanja s ključnim prioritetima rada i planovima na županijskoj razini.</w:t>
      </w:r>
    </w:p>
    <w:p w:rsidR="00BB0310" w:rsidRDefault="00BB0310"/>
    <w:p w:rsidR="005C2091" w:rsidRDefault="00A86293">
      <w:pPr>
        <w:pStyle w:val="Heading2"/>
      </w:pPr>
      <w:r>
        <w:t>02010 Ured za udruge</w:t>
      </w:r>
    </w:p>
    <w:p w:rsidR="005C2091" w:rsidRDefault="00A86293">
      <w:r>
        <w:t xml:space="preserve">Prema važećoj Uredbi o Uredu za udruge (NN 34/2012), Ured obavlja stručne, analitičke, savjetodavne i administrativne poslove za Vladu Republike Hrvatske usmjerene na stvaranje uvjeta za razvoj učinkovite suradnje s udrugama i drugim organizacijama civilnoga društva u Republici Hrvatskoj. Djelokrug Ured za udruge pokriva širok raspon aktivnosti koje uključuju: izradu, sustavno praćenje, analizu i ocjenu provedbe strateških programa za stvaranje poticajnog okruženja za razvoj civilnoga društva te pripremu i provedbu mjera ostalih strateških dokumenata koji obuhvaćaju aktivnosti suradnje s udrugama; sudjelovanje u izradi, sustavnom praćenju, analizi i ocjeni normativnog okvira za djelovanje udruga i ostalih organizacija civilnoga društva u Republici Hrvatskoj; koordinaciju rada tijela državne uprave i ostalih javnih institucija na području harmonizacije politike, kriterija i standarda financiranja projekata udruga i ostalih organizacija civilnoga društva iz državnog proračuna i drugih javnih izvora; pružanje stručne pomoći državnim tijelima u pripremi i provedbi natječaja za financiranje projekata i programa udruga iz državnog proračuna; suradnju u oblikovanju programa potpore razvoju civilnoga društva koje provodi Nacionalna zaklada za razvoj civilnoga društva i koji se financiraju iz sredstava državnog proračuna raspoloživih na proračunskoj poziciji Ureda; razvoj i vođenje učinkovitog sustava praćenja i vrednovanja projekata i programa udruga financiranih iz državnog proračuna i drugih javnih izvora, uključujući fondove Europske unije; pripremu analize i izvješća za Vladu Republike Hrvatske o utrošku sredstava koja su, kao potpora programskim aktivnostima, osigurana i isplaćena udrugama iz državnog proračuna i drugih javnih izvora; oblikovanje i vođenje javne baze podataka o dodijeljenim bespovratnim sredstvima za projekte i programe organizacija civilnoga društva iz državnog proračuna i drugih javnih izvora; koordinaciju rada tijela državne uprave na području razvoja savjetovanja sa zainteresiranom javnošću u postupcima donošenja zakona, drugih propisa i akata te uključivanja udruga i ostalih organizacija civilnoga društva u donošenje, provedbu i vrednovanje javnih politika; stručnu i administrativnu potporu radu pojedinih savjetodavnih tijela Vlade Republike Hrvatske; pripremu i provedbu programa stručnog osposobljavanja i usavršavanja državnih službenika i drugih korisnika u području razvoja suradnje s civilnim društvom u oblikovanju javnih politika; pružanje informacija i davanje stručne pomoći građanima i predstavnicima organizacija civilnoga društva iz nadležnosti Ureda; uspostavu, provedbu i razvoj međunarodne suradnje s tijelima Europske unije, drugim međunarodnim tijelima i srodnim institucijama sukladno djelokrugu Ureda; pripremu i provedbe aktivnosti međunarodne razvojne suradnje na području potpore razvoju civilnoga društva; pripremu, koordinaciju i provedbu projekata i programa Europske unije i drugih međunarodnih organizacija za potporu razvoju civilnoga društva; provedbe aktivnosti financijskog upravljanja i kontrole kvalitete provedbe projekata i programa za sektor civilnoga društva koji se financiraju iz fondova Europske unije; te sufinanciranja projekata udruga i ostalih organizacija civilnoga društva koji ostvaruju potporu iz fondova Europske unije. </w:t>
      </w:r>
    </w:p>
    <w:p w:rsidR="005C2091" w:rsidRDefault="00A86293">
      <w:r>
        <w:lastRenderedPageBreak/>
        <w:t xml:space="preserve"> U provođenju spomenutih zadaća, Ured usko surađuje sa Savjetom za razvoj civilnog društva kojemu ujedno pruža tehničku, administrativnu, stručnu i financijsku potporu u radu, kao i s Nacionalnom zakladom za razvoj civilnog društva.</w:t>
      </w:r>
    </w:p>
    <w:p w:rsidR="00B22329" w:rsidRDefault="00B22329"/>
    <w:p w:rsidR="00B22329" w:rsidRDefault="00B22329"/>
    <w:p w:rsidR="00B22329" w:rsidRDefault="00B22329"/>
    <w:p w:rsidR="00B22329" w:rsidRDefault="00B22329"/>
    <w:tbl>
      <w:tblPr>
        <w:tblStyle w:val="StilTablice"/>
        <w:tblW w:w="10206" w:type="dxa"/>
        <w:jc w:val="center"/>
        <w:tblLook w:val="04A0" w:firstRow="1" w:lastRow="0" w:firstColumn="1" w:lastColumn="0" w:noHBand="0" w:noVBand="1"/>
      </w:tblPr>
      <w:tblGrid>
        <w:gridCol w:w="1903"/>
        <w:gridCol w:w="1968"/>
        <w:gridCol w:w="1960"/>
        <w:gridCol w:w="1960"/>
        <w:gridCol w:w="1203"/>
        <w:gridCol w:w="121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02010-Ured za udruge</w:t>
            </w:r>
          </w:p>
        </w:tc>
        <w:tc>
          <w:tcPr>
            <w:tcW w:w="2041" w:type="dxa"/>
            <w:vAlign w:val="top"/>
          </w:tcPr>
          <w:p w:rsidR="005C2091" w:rsidRDefault="00A86293">
            <w:pPr>
              <w:pStyle w:val="CellColumn"/>
              <w:jc w:val="right"/>
            </w:pPr>
            <w:r>
              <w:rPr>
                <w:rFonts w:cs="Times New Roman"/>
              </w:rPr>
              <w:t>124.532.267</w:t>
            </w:r>
          </w:p>
        </w:tc>
        <w:tc>
          <w:tcPr>
            <w:tcW w:w="2041" w:type="dxa"/>
            <w:vAlign w:val="top"/>
          </w:tcPr>
          <w:p w:rsidR="005C2091" w:rsidRDefault="00A86293">
            <w:pPr>
              <w:pStyle w:val="CellColumn"/>
              <w:jc w:val="right"/>
            </w:pPr>
            <w:r>
              <w:rPr>
                <w:rFonts w:cs="Times New Roman"/>
              </w:rPr>
              <w:t>53.459.038</w:t>
            </w:r>
          </w:p>
        </w:tc>
        <w:tc>
          <w:tcPr>
            <w:tcW w:w="2041" w:type="dxa"/>
            <w:vAlign w:val="top"/>
          </w:tcPr>
          <w:p w:rsidR="005C2091" w:rsidRDefault="00A86293">
            <w:pPr>
              <w:pStyle w:val="CellColumn"/>
              <w:jc w:val="right"/>
            </w:pPr>
            <w:r>
              <w:rPr>
                <w:rFonts w:cs="Times New Roman"/>
              </w:rPr>
              <w:t>54.607.049</w:t>
            </w:r>
          </w:p>
        </w:tc>
        <w:tc>
          <w:tcPr>
            <w:tcW w:w="1224" w:type="dxa"/>
            <w:vAlign w:val="top"/>
          </w:tcPr>
          <w:p w:rsidR="005C2091" w:rsidRDefault="00A86293">
            <w:pPr>
              <w:pStyle w:val="CellColumn"/>
              <w:jc w:val="right"/>
            </w:pPr>
            <w:r>
              <w:rPr>
                <w:rFonts w:cs="Times New Roman"/>
              </w:rPr>
              <w:t>102,1</w:t>
            </w:r>
          </w:p>
        </w:tc>
        <w:tc>
          <w:tcPr>
            <w:tcW w:w="1224" w:type="dxa"/>
            <w:vAlign w:val="top"/>
          </w:tcPr>
          <w:p w:rsidR="005C2091" w:rsidRDefault="00A86293">
            <w:pPr>
              <w:pStyle w:val="CellColumn"/>
              <w:jc w:val="right"/>
            </w:pPr>
            <w:r>
              <w:rPr>
                <w:rFonts w:cs="Times New Roman"/>
              </w:rPr>
              <w:t>43,8</w:t>
            </w:r>
          </w:p>
        </w:tc>
      </w:tr>
      <w:tr w:rsidR="005C2091">
        <w:trPr>
          <w:jc w:val="center"/>
        </w:trPr>
        <w:tc>
          <w:tcPr>
            <w:tcW w:w="1632" w:type="dxa"/>
          </w:tcPr>
          <w:p w:rsidR="005C2091" w:rsidRDefault="00A86293">
            <w:pPr>
              <w:jc w:val="left"/>
            </w:pPr>
            <w:r>
              <w:t>2108-RAZVOJ CIVILNOG DRUŠTVA I SURADNJA S NEVLADINIM ORGANIZACIJAMA</w:t>
            </w:r>
          </w:p>
        </w:tc>
        <w:tc>
          <w:tcPr>
            <w:tcW w:w="2041" w:type="dxa"/>
          </w:tcPr>
          <w:p w:rsidR="005C2091" w:rsidRDefault="00A86293">
            <w:pPr>
              <w:jc w:val="right"/>
            </w:pPr>
            <w:r>
              <w:t>124.532.267</w:t>
            </w:r>
          </w:p>
        </w:tc>
        <w:tc>
          <w:tcPr>
            <w:tcW w:w="2041" w:type="dxa"/>
          </w:tcPr>
          <w:p w:rsidR="005C2091" w:rsidRDefault="00A86293">
            <w:pPr>
              <w:jc w:val="right"/>
            </w:pPr>
            <w:r>
              <w:t>53.459.038</w:t>
            </w:r>
          </w:p>
        </w:tc>
        <w:tc>
          <w:tcPr>
            <w:tcW w:w="2041" w:type="dxa"/>
          </w:tcPr>
          <w:p w:rsidR="005C2091" w:rsidRDefault="00A86293">
            <w:pPr>
              <w:jc w:val="right"/>
            </w:pPr>
            <w:r>
              <w:t>54.607.049</w:t>
            </w:r>
          </w:p>
        </w:tc>
        <w:tc>
          <w:tcPr>
            <w:tcW w:w="1224" w:type="dxa"/>
          </w:tcPr>
          <w:p w:rsidR="005C2091" w:rsidRDefault="00A86293">
            <w:pPr>
              <w:jc w:val="right"/>
            </w:pPr>
            <w:r>
              <w:t>102,1</w:t>
            </w:r>
          </w:p>
        </w:tc>
        <w:tc>
          <w:tcPr>
            <w:tcW w:w="1224" w:type="dxa"/>
          </w:tcPr>
          <w:p w:rsidR="005C2091" w:rsidRDefault="00A86293">
            <w:pPr>
              <w:jc w:val="right"/>
            </w:pPr>
            <w:r>
              <w:t>43,8</w:t>
            </w:r>
          </w:p>
        </w:tc>
      </w:tr>
    </w:tbl>
    <w:p w:rsidR="005C2091" w:rsidRDefault="005C2091">
      <w:pPr>
        <w:jc w:val="left"/>
      </w:pPr>
    </w:p>
    <w:p w:rsidR="005C2091" w:rsidRDefault="00A86293">
      <w:pPr>
        <w:pStyle w:val="Heading3"/>
      </w:pPr>
      <w:r>
        <w:rPr>
          <w:rFonts w:cs="Times New Roman"/>
        </w:rPr>
        <w:t>2108 RAZVOJ CIVILNOG DRUŠTVA I SURADNJA S NEVLADINIM ORGANIZACIJAMA</w:t>
      </w:r>
    </w:p>
    <w:tbl>
      <w:tblPr>
        <w:tblStyle w:val="StilTablice"/>
        <w:tblW w:w="10206" w:type="dxa"/>
        <w:jc w:val="center"/>
        <w:tblLook w:val="04A0" w:firstRow="1" w:lastRow="0" w:firstColumn="1" w:lastColumn="0" w:noHBand="0" w:noVBand="1"/>
      </w:tblPr>
      <w:tblGrid>
        <w:gridCol w:w="1903"/>
        <w:gridCol w:w="1968"/>
        <w:gridCol w:w="1960"/>
        <w:gridCol w:w="1960"/>
        <w:gridCol w:w="1203"/>
        <w:gridCol w:w="121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2108-RAZVOJ CIVILNOG DRUŠTVA I SURADNJA S NEVLADINIM ORGANIZACIJAMA</w:t>
            </w:r>
          </w:p>
        </w:tc>
        <w:tc>
          <w:tcPr>
            <w:tcW w:w="2041" w:type="dxa"/>
          </w:tcPr>
          <w:p w:rsidR="005C2091" w:rsidRDefault="00A86293">
            <w:pPr>
              <w:pStyle w:val="CellColumn"/>
              <w:jc w:val="right"/>
            </w:pPr>
            <w:r>
              <w:rPr>
                <w:rFonts w:cs="Times New Roman"/>
              </w:rPr>
              <w:t>124.532.267</w:t>
            </w:r>
          </w:p>
        </w:tc>
        <w:tc>
          <w:tcPr>
            <w:tcW w:w="2041" w:type="dxa"/>
          </w:tcPr>
          <w:p w:rsidR="005C2091" w:rsidRDefault="00A86293">
            <w:pPr>
              <w:pStyle w:val="CellColumn"/>
              <w:jc w:val="right"/>
            </w:pPr>
            <w:r>
              <w:rPr>
                <w:rFonts w:cs="Times New Roman"/>
              </w:rPr>
              <w:t>53.459.038</w:t>
            </w:r>
          </w:p>
        </w:tc>
        <w:tc>
          <w:tcPr>
            <w:tcW w:w="2041" w:type="dxa"/>
          </w:tcPr>
          <w:p w:rsidR="005C2091" w:rsidRDefault="00A86293">
            <w:pPr>
              <w:pStyle w:val="CellColumn"/>
              <w:jc w:val="right"/>
            </w:pPr>
            <w:r>
              <w:rPr>
                <w:rFonts w:cs="Times New Roman"/>
              </w:rPr>
              <w:t>54.607.049</w:t>
            </w:r>
          </w:p>
        </w:tc>
        <w:tc>
          <w:tcPr>
            <w:tcW w:w="1224" w:type="dxa"/>
          </w:tcPr>
          <w:p w:rsidR="005C2091" w:rsidRDefault="00A86293">
            <w:pPr>
              <w:pStyle w:val="CellColumn"/>
              <w:jc w:val="right"/>
            </w:pPr>
            <w:r>
              <w:rPr>
                <w:rFonts w:cs="Times New Roman"/>
              </w:rPr>
              <w:t>102,1</w:t>
            </w:r>
          </w:p>
        </w:tc>
        <w:tc>
          <w:tcPr>
            <w:tcW w:w="1224" w:type="dxa"/>
          </w:tcPr>
          <w:p w:rsidR="005C2091" w:rsidRDefault="00A86293">
            <w:pPr>
              <w:pStyle w:val="CellColumn"/>
              <w:jc w:val="right"/>
            </w:pPr>
            <w:r>
              <w:rPr>
                <w:rFonts w:cs="Times New Roman"/>
              </w:rPr>
              <w:t>43,8</w:t>
            </w:r>
          </w:p>
        </w:tc>
      </w:tr>
    </w:tbl>
    <w:p w:rsidR="005C2091" w:rsidRDefault="005C2091">
      <w:pPr>
        <w:jc w:val="left"/>
      </w:pPr>
    </w:p>
    <w:p w:rsidR="005C2091" w:rsidRDefault="00A86293">
      <w:r>
        <w:t xml:space="preserve">Program P 2108 Razvoj civilnog društva i suradnja s nevladinim organizacijama uklapa se u širi program jačanja, stabilizacije i daljnje demokratizacije političkog sustava RH u kojemu civilno društvo, a posebno udruge imaju važnu ulogu. Stvaranje poticajnog okruženja za razvoj civilnog društva iziskuje osiguranje održive potpore projektima i programima udruga i drugih organizacija civilnog društva kao ključnih čimbenika pluralizma, učinkovite zaštite temeljnih prava i sloboda te aktivnog demokratskog građanstva. Kroz ovaj program, Ured za udruge, kao tijelo zaduženo za suradnju s udrugama odnosno organizacijama civilnog društva, djeluje  u smjeru učinkovitije koordinacije rada tijela državne uprave na području razvoja, suradnje i savjetovanja s udrugama i ostalim organizacijama civilnog društva, kao i na provođenju učinkovitog praćenja i evaluacije financijskih projekata i programa udruga, te provođenja projekata i programa Europske unije za potrebu razvoja civilnog društva.  </w:t>
      </w:r>
    </w:p>
    <w:p w:rsidR="005C2091" w:rsidRDefault="00A86293">
      <w:r>
        <w:t>U okviru ovog programa sredstva su osigurana za pokrivanje osnovnih djelatnosti i funkcioniranje Ureda za udruge kao stručne službe Vlade Republike Hrvatske za potporu stvaranja uvjeta za partnerske odnose i suradnju s nevladinim, neprofitnim sektorom u RH, kao i sredstva za informiranje i izdavačku djelatnost Ureda, aktivnosti Savjeta za razvoj civilnog društva, provedbu Nacionalne strategije stvaranja poticajnog okruženja za razvoj civilnoga društva, Nacionalnog programa suzbijanja korupcije, provođenje projekata za potporu razvoju civilnog društva financiranih iz fondova Europske unije, a sufinanciranih iz državnog proračuna RH.</w:t>
      </w:r>
    </w:p>
    <w:p w:rsidR="005C2091" w:rsidRDefault="00A86293">
      <w:pPr>
        <w:pStyle w:val="Heading8"/>
        <w:jc w:val="left"/>
      </w:pPr>
      <w:r>
        <w:lastRenderedPageBreak/>
        <w:t>Cilj 1. Poboljšanje okruženja za razvoj civilnog društva</w:t>
      </w:r>
    </w:p>
    <w:p w:rsidR="005C2091" w:rsidRDefault="00A86293">
      <w:pPr>
        <w:pStyle w:val="Heading8"/>
        <w:jc w:val="left"/>
      </w:pPr>
      <w:r>
        <w:t>Opis provedbe cilja programa</w:t>
      </w:r>
    </w:p>
    <w:p w:rsidR="005C2091" w:rsidRDefault="00A86293">
      <w:r>
        <w:t xml:space="preserve">Postojeća praksa suradnje državnih tijela s udrugama još uvijek nije u potpunosti  integrirani sustav koji bi trebao omogućiti kvalitetnu podlogu za stvaranje poticajnog okruženja za razvoj civilnog društva, učinkovito praćenje rezultata financiranih projekata udruga iz javnih izvora, uspješno uključivanje udruga u korištenje sredstava iz strukturnih fondova i programa Zajednice te, u konačnici, uspješno suočavanje s izazovom višerazinskog upravljanja europskim javnim politikama. </w:t>
      </w:r>
    </w:p>
    <w:p w:rsidR="005C2091" w:rsidRDefault="00A86293">
      <w:r>
        <w:t xml:space="preserve"> </w:t>
      </w:r>
    </w:p>
    <w:p w:rsidR="005C2091" w:rsidRDefault="00A86293">
      <w:r>
        <w:t>Suradnja Vlade i tijela državne uprave s udrugama i ostalim organizacijama civilnog društva značajno se unaprjeđuje na svim razinama boljom koordinacijom i sustavnim praćenjem provedbe Nacionalne strategije stvaranja poticajnog okruženja za razvoj civilnog društva, od 2012. do 2016., jačanjem sposobnosti udruga za učinkovito korištenje raspoloživih fondova Europske unije za potporu razvoju civilnoga društva, poboljšanjem standarda za dodjelu, praćenje i vrednovanje financijskih potpora projektima i programima udruga iz državnog proračuna i drugih javnih izvora, kao i dodatnim razvojem suradnje i savjetovanja s udrugama i ostalim predstavnicima zainteresirane javnosti u donošenju i provedbi javnih politika.</w:t>
      </w:r>
    </w:p>
    <w:p w:rsidR="005C2091" w:rsidRDefault="00A86293">
      <w:pPr>
        <w:pStyle w:val="Heading4"/>
      </w:pPr>
      <w:r>
        <w:t>A509000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A509000-ADMINISTRACIJA I UPRAVLJANJE</w:t>
            </w:r>
          </w:p>
        </w:tc>
        <w:tc>
          <w:tcPr>
            <w:tcW w:w="2041" w:type="dxa"/>
          </w:tcPr>
          <w:p w:rsidR="005C2091" w:rsidRDefault="00A86293">
            <w:pPr>
              <w:pStyle w:val="CellColumn"/>
              <w:jc w:val="right"/>
            </w:pPr>
            <w:r>
              <w:rPr>
                <w:rFonts w:cs="Times New Roman"/>
              </w:rPr>
              <w:t>4.254.894</w:t>
            </w:r>
          </w:p>
        </w:tc>
        <w:tc>
          <w:tcPr>
            <w:tcW w:w="2041" w:type="dxa"/>
          </w:tcPr>
          <w:p w:rsidR="005C2091" w:rsidRDefault="00A86293">
            <w:pPr>
              <w:pStyle w:val="CellColumn"/>
              <w:jc w:val="right"/>
            </w:pPr>
            <w:r>
              <w:rPr>
                <w:rFonts w:cs="Times New Roman"/>
              </w:rPr>
              <w:t>4.326.800</w:t>
            </w:r>
          </w:p>
        </w:tc>
        <w:tc>
          <w:tcPr>
            <w:tcW w:w="2041" w:type="dxa"/>
          </w:tcPr>
          <w:p w:rsidR="005C2091" w:rsidRDefault="00A86293">
            <w:pPr>
              <w:pStyle w:val="CellColumn"/>
              <w:jc w:val="right"/>
            </w:pPr>
            <w:r>
              <w:rPr>
                <w:rFonts w:cs="Times New Roman"/>
              </w:rPr>
              <w:t>3.908.447</w:t>
            </w:r>
          </w:p>
        </w:tc>
        <w:tc>
          <w:tcPr>
            <w:tcW w:w="1224" w:type="dxa"/>
          </w:tcPr>
          <w:p w:rsidR="005C2091" w:rsidRDefault="00A86293">
            <w:pPr>
              <w:pStyle w:val="CellColumn"/>
              <w:jc w:val="right"/>
            </w:pPr>
            <w:r>
              <w:rPr>
                <w:rFonts w:cs="Times New Roman"/>
              </w:rPr>
              <w:t>90,3</w:t>
            </w:r>
          </w:p>
        </w:tc>
        <w:tc>
          <w:tcPr>
            <w:tcW w:w="1224" w:type="dxa"/>
          </w:tcPr>
          <w:p w:rsidR="005C2091" w:rsidRDefault="00A86293">
            <w:pPr>
              <w:pStyle w:val="CellColumn"/>
              <w:jc w:val="right"/>
            </w:pPr>
            <w:r>
              <w:rPr>
                <w:rFonts w:cs="Times New Roman"/>
              </w:rPr>
              <w:t>91,9</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Vladi RH </w:t>
      </w:r>
    </w:p>
    <w:p w:rsidR="005C2091" w:rsidRDefault="00A86293">
      <w:r>
        <w:t xml:space="preserve">- Zakon o sustavu državne uprave </w:t>
      </w:r>
    </w:p>
    <w:p w:rsidR="005C2091" w:rsidRDefault="00A86293">
      <w:r>
        <w:t xml:space="preserve">- Uredba o načelima za unutarnje ustrojstvo tijela državne uprave  </w:t>
      </w:r>
    </w:p>
    <w:p w:rsidR="005C2091" w:rsidRDefault="00A86293">
      <w:r>
        <w:t xml:space="preserve">- Uredba o Uredu za udruge </w:t>
      </w:r>
    </w:p>
    <w:p w:rsidR="005C2091" w:rsidRDefault="00A86293">
      <w:r>
        <w:t xml:space="preserve">- Nacionalna strategija stvaranja poticajnog okruženja za razvoj civilnog društva za razdoblje 2012. – 2016.   </w:t>
      </w:r>
    </w:p>
    <w:p w:rsidR="005C2091" w:rsidRDefault="00A86293">
      <w:r>
        <w:t xml:space="preserve">- Zakon o udrugama </w:t>
      </w:r>
    </w:p>
    <w:p w:rsidR="005C2091" w:rsidRDefault="00A86293">
      <w:r>
        <w:t xml:space="preserve">- Strategija suzbijanja korupcije i Akcijski plana njezine provedbe </w:t>
      </w:r>
    </w:p>
    <w:p w:rsidR="005C2091" w:rsidRDefault="00A86293">
      <w:r>
        <w:t xml:space="preserve">- Zakon o igrama na sreću </w:t>
      </w:r>
    </w:p>
    <w:p w:rsidR="005C2091" w:rsidRDefault="00A86293">
      <w:r>
        <w:t xml:space="preserve">- Uredba o kriterijima za utvrđivanje korisnika i načinu raspodjele dijela prihoda od igara na sreću za 2016. godinu </w:t>
      </w:r>
    </w:p>
    <w:p w:rsidR="005C2091" w:rsidRDefault="00A86293">
      <w:r>
        <w:t xml:space="preserve">- Uredba o kriterijima, mjerilima i postupcima financiranja i ugovaranja programa i projekata od interesa za opće dobro koje provode udruge </w:t>
      </w:r>
    </w:p>
    <w:p w:rsidR="005C2091" w:rsidRDefault="00A86293">
      <w:r>
        <w:t xml:space="preserve">- Drugi nacionalni programi i strategije u kojima je Ured za udruge nositelj provedbe pojedinih mjera među kojima su: Akcijski plan za provedbu inicijative Partnerstvo za otvorenu vlast; Nacionalna strategija izjednačavanja mogućnosti za osobe s invaliditetom, Nacionalni program zaštite i promicanja ljudskih prava 2013.-2016., Nacionalna politika za promicanje ravnopravnosti spolova, Program aktivnosti za prevenciju nasilja među mladima, Nacionalni program za mlade 2014.-2017.; Provedbeni program razvojne suradnje, itd. </w:t>
      </w:r>
    </w:p>
    <w:p w:rsidR="005C2091" w:rsidRDefault="00A86293">
      <w:r>
        <w:t>- Strateško planiranje i praćenje provedbe projekata financiranih iz sredstava EU provode se na temelju memoranduma o razumijevanju i godišnjih financijskih ugovora potpisanih između Europske unije i Republike Hrvatske i Odluke o strateškim dokumentima i institucionalnom okviru za korištenje strukturnih instrumenata Europske unije u Republici Hrvatskoj</w:t>
      </w:r>
    </w:p>
    <w:p w:rsidR="005C2091" w:rsidRDefault="00A86293">
      <w:pPr>
        <w:pStyle w:val="Heading8"/>
        <w:jc w:val="left"/>
      </w:pPr>
      <w:r>
        <w:lastRenderedPageBreak/>
        <w:t>Opis aktivnosti</w:t>
      </w:r>
    </w:p>
    <w:p w:rsidR="005C2091" w:rsidRDefault="00A86293">
      <w:r>
        <w:t xml:space="preserve">U sklopu svojih redovitih djelatnosti, Ured za udruge je tijekom 2016. godine kontinuirano sudjelovao u pripremi i provedbi mjera svih važnijih strateških dokumenata koji obuhvaćaju aktivnosti suradnje s udrugama; provodio aktivnosti koordinacije rada tijela državne uprave i ostalih javnih institucija na području harmonizacije politike, kriterija i standarda financiranja projekata udruga i ostalih organizacija civilnoga društva iz državnog proračuna i drugih javnih izvora; unaprjeđivao, pratio i aktivno poticao provedbu standarda vezanih uz savjetovanje sa zainteresiranom javnošću u donošenju zakona, drugih propisa i akata; pripremao i provodio programe stručnog osposobljavanja i usavršavanja državnih službenika i drugih korisnika u području razvoja suradnje s civilnim društvom u oblikovanju javnih politika; pružao informacije i davao stručnu pomoć građanima i predstavnicima organizacija civilnoga društva iz nadležnosti Ureda; pripremao i provodio aktivnosti međunarodne razvojne suradnje na području potpore razvoju civilnoga društva, kao i druge srodne aktivnosti. </w:t>
      </w:r>
    </w:p>
    <w:p w:rsidR="005C2091" w:rsidRDefault="00A86293">
      <w:r>
        <w:t xml:space="preserve"> </w:t>
      </w:r>
    </w:p>
    <w:p w:rsidR="005C2091" w:rsidRDefault="00A86293">
      <w:r>
        <w:t xml:space="preserve">Ured za udruge Vlade Republike Hrvatske organizirao je u suradnji s tijelima državne uprave, uredima Vlade RH te javnim institucijama – davateljima financijskih potpora – 16. i 17. svibnja 2016. godine u Velikoj dvorani Ministarstva znanosti, obrazovanja i sporta Info dane o natječajima za financiranje projekata i programa organizacija civilnog društva iz sredstava državnog proračuna i fondova EU za 2016. godinu. Sedmu godinu zaredom zainteresiranim udrugama predstavljeni su natječaji koje su ministarstva, Vladini uredi i druge javne institucije raspisivali u 2016. godini za financiranje projekata i programa udruga. </w:t>
      </w:r>
    </w:p>
    <w:p w:rsidR="005C2091" w:rsidRDefault="00A86293">
      <w:r>
        <w:t xml:space="preserve"> Tijekom čitavog događanja bio je omogućen prijenos uživo kako bi se omogućilo informiranje i aktivno sudjelovanje što većeg broja zainteresiranih udruga izvan Zagreba, a zainteresirani su mogli direktno putem maila postavljati pitanja te se na taj način aktivno uključiti u raspravu. Interes za Info dane i ove je godine bio velik: događanju je prisustvovalo više od 100 sudionika, dok je putem Interneta u jednom trenutku bilo više od 2500 pratitelja. Snimka događanja, kao i sve prezentacije te ostali materijali dostupni su putem mrežnih stranica Ureda za udruge. </w:t>
      </w:r>
    </w:p>
    <w:p w:rsidR="005C2091" w:rsidRDefault="00A86293">
      <w:r>
        <w:t xml:space="preserve">Dani otvorenih vrata udruga (DOVU) tradicionalna su manifestacija čiji cilj je građanima i široj javnosti približiti programe i projekte od interesa za opće dobro koje provode udruge u Hrvatskoj, organiziranjem različitih aktivnosti u prostorima udruga ili izvan njih, te otvaranjem vrata udruga u određenom danu ili danima svim zainteresiranim građanima. U 2016. godini, održani su od 23. do 25. svibnja, a sudjelovalo je više od 300 udruga diljem Hrvatske. </w:t>
      </w:r>
    </w:p>
    <w:p w:rsidR="005C2091" w:rsidRDefault="00A86293">
      <w:r>
        <w:t xml:space="preserve">Ured za udruge osmislio je mobilnu aplikaciju UdrugeInfo kojom se želi povećati vidljivost udruga u lokalnoj zajednici, te osnažiti sudjelovanje građana u aktivnostima koje udruge provode. Aplikacija je dostupna za Android, Apple i Windows mobilne telefone te omogućuje jednostavno pretraživanje podataka o aktivnostima i uslugama registriranih udruga. Putem aplikacije, građani mogu pretraživati aktivnosti udruga prema mjestu i vremenu njihovog održavanja, odnosno informacijama koje su sadržane u Registru udruga te stupiti u kontakt s pojedinom udrugom. Korištenjem aplikacije UdrugeInfo građani mogu potražiti koje su to udruge aktivne u mjestu u kojem žive, prema području vlastitog interesa te ih locirati na interaktivnoj karti Republike Hrvatske. </w:t>
      </w:r>
    </w:p>
    <w:p w:rsidR="005C2091" w:rsidRDefault="00A86293">
      <w:r>
        <w:t xml:space="preserve">Sukladno obvezi iz članka 57. Uredbe o kriterijima, mjerilima i postupcima financiranja i ugovaranja programa i projekata od interesa za opće dobro koje provode udruge (Narodne novine 26/2015), Ured za udruge izvještava Vladu te zainteresiranu i opću javnost i izrađuje cjelovite analize o financiranim programima ili projektima udruga i drugih organizacija civilnoga društva iz javnih izvora na nacionalnoj razini, područnoj i lokalnoj razini te iz fondova Europske unije, te usklađenosti postupaka financiranja i ugovaranja s ovom Uredbom. U tu svrhu Ured za udruge Vlade Republike Hrvatske u suradnji s Nacionalnom zakladom za razvoj civilnog društva pokrenuo je početkom 2016. godine izradu informacijskog sustava e-IzvještavanjeOCD u okviru informacijskog sustava Potpora_plus. Prikupljanje podataka o financiranju putem informacijskog sustava omogućilo je veći obuhvat korisnika – svih davatelja sredstava iz javnih izvora (što uključuje i javna trgovačka društva, vatrogasne, turističke i sportske zajednice, te zajednice tehničke kulture na državnoj razini i razini jedinica lokalne i područne samouprave), s krajnjim ciljem brže i sveobuhvatne obrade podataka. Tijekom 2016. godine na ovaj su način prikupljani podaci o dodijeljenim sredstvima, postupku i standardima financiranja u 2015. godini. Svim obveznicima primjene Uredbe poslani su pristupni podaci za informacijski sustav e-IzvještavanjeOCD, ali dodatni izazov u novom načinu prikupljanja i obrade podataka bila je (ne)spremnost službenika u tijelima državne uprave, jedinicama lokalne i regionalne samouprave i zaposlenika u javnim trgovačkim društvima, zajednicama tehničke kulture, sportskim, vatrogasnim i turističkim zajednicama da surađuju u ovakvom načinu izvještavanja. Obzirom da je cjelokupni proces izrade modula e-IzvještavanjeOCD trebalo prilagoditi koristeći podatke iz informacijskog sustava Potpora_plus Nacionalne zaklade za razvoj civilnoga društva, zbog tehničkih poteškoća koje su se u tom postupku pojavile, ali i zbog višestrukog povećanja obveznika dostave izvješća o financiranju temeljem Uredbe, </w:t>
      </w:r>
      <w:r>
        <w:lastRenderedPageBreak/>
        <w:t xml:space="preserve">Izvješće o financiranju projekata i programa organizacija civilnoga društva iz javnih izvora za 2015. godinu upućeno je u proceduru usvajanja nešto kasnije nego prijašnjih godine te se njegovo usvajanje očekuje u prvom kvartalu 2017. </w:t>
      </w:r>
    </w:p>
    <w:p w:rsidR="005C2091" w:rsidRDefault="00A86293">
      <w:r>
        <w:t xml:space="preserve">Tijekom 2016. nastavljene su aktivnosti Ureda za udruge u području podizanja kapaciteta državnih i javnih službenika za primjenu Uredbe o kriterijima, mjerilima i postupcima financiranja i ugovaranja programa i projekata od interesa za opće dobro koje provode udruge (Narodne novine 26/2015). U suradnji s Državnom školom za javnu upravu (DŠJU), Ured za udruge je tijekom 2016. organizirao tri dvodnevne edukacije za službenike koji upravljaju javnim sredstvima na nacionalnoj te regionalnoj i lokalnoj razini, a dodatno predstavljanje Uredbe za predstavnike udruga i jedinica lokalne samouprave Grada Cresa i Grada Malog Lošinja održano je početkom veljače u Gradskoj vijećnici Grada Cresa. </w:t>
      </w:r>
    </w:p>
    <w:p w:rsidR="005C2091" w:rsidRDefault="00A86293">
      <w:r>
        <w:t xml:space="preserve"> </w:t>
      </w:r>
    </w:p>
    <w:p w:rsidR="005C2091" w:rsidRDefault="00A86293">
      <w:r>
        <w:t>Ured za udruge je u 2016. pripremio i „Izvještaj o provedbi savjetovanja u 2015. godini“. Izvještaj je pokazao kako je od 59 državnih tijela kojima je upućen zahtjev za izvještavanjem, njih 37 provodilo savjetovanja u 2015. godini te, sukladno tome, dostavilo Uredu za udruge Vlade Republike Hrvatske izvještaj o provedenim savjetovanjima. Izvještaj također navodi kako je u 2015. godini provedeno ukupno 608 savjetovanja sa zainteresiranom javnošću u postupcima donošenja zakona, drugih propisa i akata. To je 12% savjetovanja više u odnosu na 2014. godinu kada su provedena 544 savjetovanja. U odnosu na 2013. godinu kada su provedena 374 javna savjetovanja riječ je o porastu od 62%, a u usporedi s 2012. godinom kada su državna tijela provela 144 savjetovanja, 2015. godina donosi porast od čak 323%. Izvještaj je usvojen na sjednici Vlade koja se održala 28. travnja 2016. Također valja naglasiti da je još u 2015. Ured za udruge predstavio središnji portal za savjetovanja „e-Savjetovanja“. Portal je novi korak u razvoju procesa savjetovanja sa zainteresiranom javnošću u postupcima donošenja zakona, drugih propisa i akata koji omogućuje jednostavan pristup svim otvorenim savjetovanjima na jednom mjestu, lakše komentiranje odredbi nacrta propisa te općenito pridonosi kvalitetnijoj suradnji s građanima i svim zainteresiranim društvenim skupina u procesu oblikovanja javnih politika. Na kraju 2016. godine portal je imao gotovo 9000 registriranih korisnika, a sredstva za njegovo održavanje na svojim proračunskim pozicijama osigurava Ured za udruge. U 2016. godini održano je i 10 radionica za državne službenike o korištenju alata „e-Savjetovanja“ na kojima je sudjelovalo 108 polaznika  te 2 radionice o pripremi i provođenju učinkovitog savjetovanja sa zainteresiranom javnošću u postupcima donošenja zakona, drugih propisa i akata za 37 polaznika.</w:t>
      </w:r>
    </w:p>
    <w:p w:rsidR="005C2091" w:rsidRDefault="00A86293">
      <w:pPr>
        <w:pStyle w:val="Heading4"/>
      </w:pPr>
      <w:r>
        <w:t>A509014 NACIONALNA ZAKLADA ZA RAZVOJ CIVILNOG DRUŠTVA - UDRUGE ZA RAZVOJ ZAJEDNICE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A509014-NACIONALNA ZAKLADA ZA RAZVOJ CIVILNOG DRUŠTVA - UDRUGE ZA RAZVOJ ZAJEDNICE</w:t>
            </w:r>
          </w:p>
        </w:tc>
        <w:tc>
          <w:tcPr>
            <w:tcW w:w="2041" w:type="dxa"/>
          </w:tcPr>
          <w:p w:rsidR="005C2091" w:rsidRDefault="00A86293">
            <w:pPr>
              <w:pStyle w:val="CellColumn"/>
              <w:jc w:val="right"/>
            </w:pPr>
            <w:r>
              <w:rPr>
                <w:rFonts w:cs="Times New Roman"/>
              </w:rPr>
              <w:t>47.442.394</w:t>
            </w:r>
          </w:p>
        </w:tc>
        <w:tc>
          <w:tcPr>
            <w:tcW w:w="2041" w:type="dxa"/>
          </w:tcPr>
          <w:p w:rsidR="005C2091" w:rsidRDefault="00A86293">
            <w:pPr>
              <w:pStyle w:val="CellColumn"/>
              <w:jc w:val="right"/>
            </w:pPr>
            <w:r>
              <w:rPr>
                <w:rFonts w:cs="Times New Roman"/>
              </w:rPr>
              <w:t>25.233.654</w:t>
            </w:r>
          </w:p>
        </w:tc>
        <w:tc>
          <w:tcPr>
            <w:tcW w:w="2041" w:type="dxa"/>
          </w:tcPr>
          <w:p w:rsidR="005C2091" w:rsidRDefault="00A86293">
            <w:pPr>
              <w:pStyle w:val="CellColumn"/>
              <w:jc w:val="right"/>
            </w:pPr>
            <w:r>
              <w:rPr>
                <w:rFonts w:cs="Times New Roman"/>
              </w:rPr>
              <w:t>32.274.405</w:t>
            </w:r>
          </w:p>
        </w:tc>
        <w:tc>
          <w:tcPr>
            <w:tcW w:w="1224" w:type="dxa"/>
          </w:tcPr>
          <w:p w:rsidR="005C2091" w:rsidRDefault="00A86293">
            <w:pPr>
              <w:pStyle w:val="CellColumn"/>
              <w:jc w:val="right"/>
            </w:pPr>
            <w:r>
              <w:rPr>
                <w:rFonts w:cs="Times New Roman"/>
              </w:rPr>
              <w:t>127,9</w:t>
            </w:r>
          </w:p>
        </w:tc>
        <w:tc>
          <w:tcPr>
            <w:tcW w:w="1224" w:type="dxa"/>
          </w:tcPr>
          <w:p w:rsidR="005C2091" w:rsidRDefault="00A86293">
            <w:pPr>
              <w:pStyle w:val="CellColumn"/>
              <w:jc w:val="right"/>
            </w:pPr>
            <w:r>
              <w:rPr>
                <w:rFonts w:cs="Times New Roman"/>
              </w:rPr>
              <w:t>68,0</w:t>
            </w:r>
          </w:p>
        </w:tc>
      </w:tr>
    </w:tbl>
    <w:p w:rsidR="005C2091" w:rsidRDefault="005C2091">
      <w:pPr>
        <w:jc w:val="left"/>
      </w:pPr>
    </w:p>
    <w:p w:rsidR="005C2091" w:rsidRDefault="005C2091">
      <w:pPr>
        <w:pStyle w:val="Heading8"/>
        <w:jc w:val="left"/>
      </w:pPr>
    </w:p>
    <w:p w:rsidR="005C2091" w:rsidRDefault="00A86293">
      <w:pPr>
        <w:pStyle w:val="Heading8"/>
        <w:jc w:val="left"/>
      </w:pPr>
      <w:r>
        <w:t>Opis aktivnosti</w:t>
      </w:r>
    </w:p>
    <w:p w:rsidR="005C2091" w:rsidRDefault="00A86293">
      <w:r>
        <w:t xml:space="preserve">Temeljem Uredbe o kriterijima za utvrđivanje korisnika i načinu raspodjele dijela prihoda od igara na sreću za 2016. godinu (NN, 38/2016) vršio se transfer sredstava (dijela prihoda od igara na sreću) Nacionalnoj zakladi za razvoj civilnog društva.  </w:t>
      </w:r>
    </w:p>
    <w:p w:rsidR="005C2091" w:rsidRDefault="00A86293">
      <w:r>
        <w:t xml:space="preserve">Utrošena sredstva su bila namijenjena provedbi programa financijskih podrški i nagrada (dodjela institucionalne i višegodišnje institucionalne financijske podrške putem natječaja), programa inicijalne i razvojne suradnje </w:t>
      </w:r>
      <w:r>
        <w:lastRenderedPageBreak/>
        <w:t>(inicijalna suradnja, razvojna suradnja, međusektorska i međunarodna suradnja, razvojna suradnja kroz programske podrške, razvojna suradnja – Tematski fond D2.0, razvojna suradnja u području centara znanja), programa partnerstva (decentralizirani model financiranja civilnog društva, regionalni razvoj civilnoga društva i lokalnih zajednica) te programa informiranja  i izdavaštva.</w:t>
      </w:r>
    </w:p>
    <w:p w:rsidR="00B22329" w:rsidRDefault="00B22329"/>
    <w:p w:rsidR="00B22329" w:rsidRDefault="00B22329"/>
    <w:p w:rsidR="005C2091" w:rsidRDefault="00A86293">
      <w:pPr>
        <w:pStyle w:val="Heading4"/>
      </w:pPr>
      <w:r>
        <w:t>A509024 PROVEDBA NACIONALNE STRATEGIJE STVARANJA POTICAJNOG OKRUŽENJA ZA RAZVOJ CIVILNOG DRUŠTVA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A509024-PROVEDBA NACIONALNE STRATEGIJE STVARANJA POTICAJNOG OKRUŽENJA ZA RAZVOJ CIVILNOG DRUŠTVA</w:t>
            </w:r>
          </w:p>
        </w:tc>
        <w:tc>
          <w:tcPr>
            <w:tcW w:w="2041" w:type="dxa"/>
          </w:tcPr>
          <w:p w:rsidR="005C2091" w:rsidRDefault="00A86293">
            <w:pPr>
              <w:pStyle w:val="CellColumn"/>
              <w:jc w:val="right"/>
            </w:pPr>
            <w:r>
              <w:rPr>
                <w:rFonts w:cs="Times New Roman"/>
              </w:rPr>
              <w:t>116.676</w:t>
            </w:r>
          </w:p>
        </w:tc>
        <w:tc>
          <w:tcPr>
            <w:tcW w:w="2041" w:type="dxa"/>
          </w:tcPr>
          <w:p w:rsidR="005C2091" w:rsidRDefault="00A86293">
            <w:pPr>
              <w:pStyle w:val="CellColumn"/>
              <w:jc w:val="right"/>
            </w:pPr>
            <w:r>
              <w:rPr>
                <w:rFonts w:cs="Times New Roman"/>
              </w:rPr>
              <w:t>125.000</w:t>
            </w:r>
          </w:p>
        </w:tc>
        <w:tc>
          <w:tcPr>
            <w:tcW w:w="2041" w:type="dxa"/>
          </w:tcPr>
          <w:p w:rsidR="005C2091" w:rsidRDefault="00A86293">
            <w:pPr>
              <w:pStyle w:val="CellColumn"/>
              <w:jc w:val="right"/>
            </w:pPr>
            <w:r>
              <w:rPr>
                <w:rFonts w:cs="Times New Roman"/>
              </w:rPr>
              <w:t>95.797</w:t>
            </w:r>
          </w:p>
        </w:tc>
        <w:tc>
          <w:tcPr>
            <w:tcW w:w="1224" w:type="dxa"/>
          </w:tcPr>
          <w:p w:rsidR="005C2091" w:rsidRDefault="00A86293">
            <w:pPr>
              <w:pStyle w:val="CellColumn"/>
              <w:jc w:val="right"/>
            </w:pPr>
            <w:r>
              <w:rPr>
                <w:rFonts w:cs="Times New Roman"/>
              </w:rPr>
              <w:t>76,6</w:t>
            </w:r>
          </w:p>
        </w:tc>
        <w:tc>
          <w:tcPr>
            <w:tcW w:w="1224" w:type="dxa"/>
          </w:tcPr>
          <w:p w:rsidR="005C2091" w:rsidRDefault="00A86293">
            <w:pPr>
              <w:pStyle w:val="CellColumn"/>
              <w:jc w:val="right"/>
            </w:pPr>
            <w:r>
              <w:rPr>
                <w:rFonts w:cs="Times New Roman"/>
              </w:rPr>
              <w:t>82,1</w:t>
            </w:r>
          </w:p>
        </w:tc>
      </w:tr>
    </w:tbl>
    <w:p w:rsidR="005C2091" w:rsidRDefault="005C2091">
      <w:pPr>
        <w:jc w:val="left"/>
      </w:pPr>
    </w:p>
    <w:p w:rsidR="005C2091" w:rsidRDefault="00A86293">
      <w:pPr>
        <w:pStyle w:val="Heading8"/>
        <w:jc w:val="left"/>
      </w:pPr>
      <w:r>
        <w:t>Opis aktivnosti</w:t>
      </w:r>
    </w:p>
    <w:p w:rsidR="005C2091" w:rsidRDefault="00A86293">
      <w:r>
        <w:t xml:space="preserve">Ured koordinira provedbu Nacionalne strategije i direktno provodi veći dio aktivnosti iz Strategije te prikuplja informacije o provedbi aktivnosti i objavljuje ih na web platformi izrađenoj u svrhu praćenja provedbe Nacionalne strategije: http://www.strategija.udruge.hr/. Platforma predstavlja iskorak u praćenju provedbe strateškog dokumenta budući da se provedba prati u realnom vremenu te svi posjetitelji platforme imaju mogućnost komentiranja tamo objavljenih informacija.  </w:t>
      </w:r>
    </w:p>
    <w:p w:rsidR="005C2091" w:rsidRDefault="00A86293">
      <w:r>
        <w:t xml:space="preserve">Nacionalna strategija stvaranja poticajnog okruženja za razvoj civilnoga društva od 2012. do 2016. usmjerena je na četiri prioritetna područja: I. Institucionalni okvir za potporu razvoju civilnog društva, II. Civilno društvo i sudionička demokracija, III. Osnaživanje uloge OCD-a za društveno-ekonomski razvoj i IV. Djelovanje i daljnji razvoj civilnoga društva u međunarodnom kontekstu. Okosnicu ovog dokumenta čini 26 ciljeva, 27 mjera i 91 provedbena aktivnost koje Vlada Republike Hrvatske želi poduzeti u petogodišnjem razdoblju provedbe Strategije, u suradnji s nizom dionika. Do kraja 2016. godine ukupno je provedeno 58 aktivnosti, za 28 aktivnosti provedba je u tijeku, dok provedba 6 aktivnosti nije započela. </w:t>
      </w:r>
    </w:p>
    <w:p w:rsidR="005C2091" w:rsidRDefault="00A86293">
      <w:r>
        <w:t xml:space="preserve">Ured za udruge započeo je u 2016. godini proces izrade Nacionalne strategije stvaranja poticajnog okruženja za razvoj civilnoga društva od 2017. do 2021. godine. </w:t>
      </w:r>
    </w:p>
    <w:p w:rsidR="005C2091" w:rsidRDefault="00A86293">
      <w:r>
        <w:t>Također, Deklaraciju o suradnji gradova i organizacija civilnoga društva u Republici Hrvatskoj do kraja 2016. godine potpisalo je 78 gradonačelnika. Deklaracija je rezultat suradnje Ureda za udruge s Udrugom gradova u provođenju mjera i aktivnosti predviđenih Nacionalnom strategijom stvaranja poticajnog okruženja za razvoj civilnoga društva od 2012. do 2016. godine.</w:t>
      </w:r>
    </w:p>
    <w:p w:rsidR="005C2091" w:rsidRDefault="00A86293">
      <w:pPr>
        <w:pStyle w:val="Heading4"/>
      </w:pPr>
      <w:r>
        <w:t>A509030 SAVJET ZA RAZVOJ CIVILNOG DRUŠTVA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A509030-SAVJET ZA RAZVOJ CIVILNOG DRUŠTVA</w:t>
            </w:r>
          </w:p>
        </w:tc>
        <w:tc>
          <w:tcPr>
            <w:tcW w:w="2041" w:type="dxa"/>
          </w:tcPr>
          <w:p w:rsidR="005C2091" w:rsidRDefault="00A86293">
            <w:pPr>
              <w:pStyle w:val="CellColumn"/>
              <w:jc w:val="right"/>
            </w:pPr>
            <w:r>
              <w:rPr>
                <w:rFonts w:cs="Times New Roman"/>
              </w:rPr>
              <w:t>9.206</w:t>
            </w:r>
          </w:p>
        </w:tc>
        <w:tc>
          <w:tcPr>
            <w:tcW w:w="2041" w:type="dxa"/>
          </w:tcPr>
          <w:p w:rsidR="005C2091" w:rsidRDefault="00A86293">
            <w:pPr>
              <w:pStyle w:val="CellColumn"/>
              <w:jc w:val="right"/>
            </w:pPr>
            <w:r>
              <w:rPr>
                <w:rFonts w:cs="Times New Roman"/>
              </w:rPr>
              <w:t>40.000</w:t>
            </w:r>
          </w:p>
        </w:tc>
        <w:tc>
          <w:tcPr>
            <w:tcW w:w="2041" w:type="dxa"/>
          </w:tcPr>
          <w:p w:rsidR="005C2091" w:rsidRDefault="00A86293">
            <w:pPr>
              <w:pStyle w:val="CellColumn"/>
              <w:jc w:val="right"/>
            </w:pPr>
            <w:r>
              <w:rPr>
                <w:rFonts w:cs="Times New Roman"/>
              </w:rPr>
              <w:t>7.334</w:t>
            </w:r>
          </w:p>
        </w:tc>
        <w:tc>
          <w:tcPr>
            <w:tcW w:w="1224" w:type="dxa"/>
          </w:tcPr>
          <w:p w:rsidR="005C2091" w:rsidRDefault="00A86293">
            <w:pPr>
              <w:pStyle w:val="CellColumn"/>
              <w:jc w:val="right"/>
            </w:pPr>
            <w:r>
              <w:rPr>
                <w:rFonts w:cs="Times New Roman"/>
              </w:rPr>
              <w:t>18,3</w:t>
            </w:r>
          </w:p>
        </w:tc>
        <w:tc>
          <w:tcPr>
            <w:tcW w:w="1224" w:type="dxa"/>
          </w:tcPr>
          <w:p w:rsidR="005C2091" w:rsidRDefault="00A86293">
            <w:pPr>
              <w:pStyle w:val="CellColumn"/>
              <w:jc w:val="right"/>
            </w:pPr>
            <w:r>
              <w:rPr>
                <w:rFonts w:cs="Times New Roman"/>
              </w:rPr>
              <w:t>79,7</w:t>
            </w:r>
          </w:p>
        </w:tc>
      </w:tr>
    </w:tbl>
    <w:p w:rsidR="005C2091" w:rsidRDefault="005C2091">
      <w:pPr>
        <w:jc w:val="left"/>
      </w:pPr>
    </w:p>
    <w:p w:rsidR="005C2091" w:rsidRDefault="00A86293">
      <w:pPr>
        <w:pStyle w:val="Heading8"/>
        <w:jc w:val="left"/>
      </w:pPr>
      <w:r>
        <w:t>Opis aktivnosti</w:t>
      </w:r>
    </w:p>
    <w:p w:rsidR="005C2091" w:rsidRDefault="00A86293">
      <w:r>
        <w:t xml:space="preserve">Ured za udruge pruža stručnu potporu radu Savjeta za razvoj civilnog društva, koji je osnovan Odlukom Vlade kao savjetodavno tijelo Vlade koje ima za cilj kontinuirano pratiti razvoj i provedbu javnih politika koje se tiču razvoja civilnoga društva u Republici Hrvatskoj i koji je jedino savjetodavno tijelo koje na jednom mjestu okuplja predstavnike organizacija civilnog društva iz gotovo svih područja djelovanja i predstavnike nadležnih tijela državne uprave, a u svrhu redovitog dijaloga o ključnim pitanjima od značaja za djelovanje udruga i ostalih organizacija civilnog društva, kao i općenito za stvaranje poticajnog okruženja za razvoj civilnog društva. Savjet za razvoj civilnog društva djeluje u svom petom  mandatu i nerijetko se ističe kao primjer dobre prakse u strukturiranju dijaloga sa zainteresiranom javnošću u oblikovanju javnih politika. Savjet ima 31 člana, i to: 15 predstavnika tijela javne vlasti – nadležnih ministarstava, ureda Vlade Republike Hrvatske i Nacionalne zaklade za razvoj civilnoga društva, 13 predstavnika udruga i drugih organizacija civilnoga društva i 3 predstavnika civilnoga društva iz reda zaklada, sindikata i udruga poslodavaca Savjet ima predsjednika kojeg biraju članovi Savjeta - predstavnici udruga i drugih  nevladinih, neprofitnih pravnih osoba i predstavnici stručnjaka iz civilnoga društva, iz svojih redova. </w:t>
      </w:r>
    </w:p>
    <w:p w:rsidR="005C2091" w:rsidRDefault="00A86293">
      <w:r>
        <w:t xml:space="preserve">U 2016. godini održana je jedna sjednica Savjeta. </w:t>
      </w:r>
    </w:p>
    <w:p w:rsidR="005C2091" w:rsidRDefault="00A86293">
      <w:r>
        <w:t xml:space="preserve">Savjet je, kao tijelo koje prati provedbu Nacionalne strategije stvaranja poticajnog okruženja za razvoj civilnoga društva, sudjelovao u pripremi izrade nove Nacionalne strategije za razdoblje 2017. – 2021., dajući jednoglasnu podršku participativnom modelu izrade Strategije, a članovi Savjeta aktivni su u Radnoj skupini za izradu nacrta Nacionalne strategije stvaranja poticajnog okruženja za razvoj civilnoga društva 2017. – 2021. </w:t>
      </w:r>
    </w:p>
    <w:p w:rsidR="005C2091" w:rsidRDefault="00A86293">
      <w:r>
        <w:t xml:space="preserve">Savjet je kroz izbor Povjerenstva za izbor članova Savjeta iz reda udruga osigurao provođenje izbora za članove/ice zamjenike/ice članova iz reda udruga koji su bili predloženi Vladi Republike Hrvatske za imenovanje u šestom sazivu Savjeta za razvoj civilnoga društva. </w:t>
      </w:r>
    </w:p>
    <w:p w:rsidR="005C2091" w:rsidRDefault="00A86293">
      <w:r>
        <w:t xml:space="preserve">Putem Savjeta, u jedanaest savjetodavnih/radnih državnih tijela izabrano je 16 predstavnika organizacija civilnoga društva. </w:t>
      </w:r>
    </w:p>
    <w:p w:rsidR="005C2091" w:rsidRDefault="00A86293">
      <w:r>
        <w:t xml:space="preserve">Nakon imenovanja 13. Vlade Republike Hrvatske u siječnju 2016. godine, Ured za udruge uputio je 22. veljače 2016. godine svim državnim tijelima zastupljenima u Savjetu zahtjev za imenovanjem novih ili potvrdom postojećih članova/ica i zamjenika/ica članova Savjeta za razvoj civilnoga društva. Vlada Republike Hrvatske je na sjednici održanoj 13. travnja 2016. imenovala predstavnike državnih tijela sukladno dostavljenim prijedlozima imenovanja od strane državnih tijela. </w:t>
      </w:r>
    </w:p>
    <w:p w:rsidR="005C2091" w:rsidRDefault="00A86293">
      <w:r>
        <w:t xml:space="preserve">Nakon potvrđivanja 14. Vlade Republike Hrvatske u listopadu 2016. godine, Ured za udruge je, sukladno izmjenama vezanim za djelokrug i naziv tijela državne uprave, 25. listopada 2016. ponovio tijelima državne uprave zastupljenima u Savjetu zahtjev za imenovanjem novih ili potvrdom postojećih članova/ica i zamjenika/ica članova Savjeta za razvoj civilnoga društva. Do kraja 2016. godine, Ured za udruge nije zaprimo sva tražena imenovanja. </w:t>
      </w:r>
    </w:p>
    <w:p w:rsidR="005C2091" w:rsidRDefault="00A86293">
      <w:r>
        <w:t xml:space="preserve">Budući da je mandat članovima Savjeta za razvoj civilnoga društva, predstavnicima udruga i drugih organizacija civilnoga društva, isticao u 2016. godini, Ured za udruge je 5. svibnja 2016. objavio Javni poziv za isticanje kandidata za predstavnike udruga i drugih organizacija civilnoga društva i njihove zamjenike u šestom sazivu Savjeta za razvoj civilnoga društva. Sukladno zaprimljenim kandidaturama te rezultatima glasovanja udruga, Ured za udruge je 15. srpnja 2016. objavio popis kandidata za članove/ice i zamjenike/ice članova iz reda udruga koji su predloženi Vladi Republike Hrvatske za imenovanje u šestom sazivu Savjeta za razvoj civilnoga društva, no do kraja 2016. godine Vlada Republike Hrvatske nije imenovala šesti saziv Savjeta za razvoj civilnoga društva. </w:t>
      </w:r>
    </w:p>
    <w:p w:rsidR="005C2091" w:rsidRDefault="00A86293">
      <w:r>
        <w:t>Također, nakon održane 14. sjednice Savjeta za razvoj civilnoga društva, dio članova/ica Savjeta podnio je ostavke putem medija na članstvo u Savjetu. Budući da Ured za udruge nije zaprimio zahtjeve za ostavkama pisanim putem, navedeni članovi nisu razriješeni od strane Vlade tijekom 2016.</w:t>
      </w:r>
    </w:p>
    <w:p w:rsidR="005C2091" w:rsidRDefault="00A86293">
      <w:pPr>
        <w:pStyle w:val="Heading4"/>
      </w:pPr>
      <w:r>
        <w:lastRenderedPageBreak/>
        <w:t>A509042 PROVEDBA NACIONALNOG PROGRAMA SUZBIJANJA KORUPCIJE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A509042-PROVEDBA NACIONALNOG PROGRAMA SUZBIJANJA KORUPCIJE</w:t>
            </w:r>
          </w:p>
        </w:tc>
        <w:tc>
          <w:tcPr>
            <w:tcW w:w="2041" w:type="dxa"/>
          </w:tcPr>
          <w:p w:rsidR="005C2091" w:rsidRDefault="00A86293">
            <w:pPr>
              <w:pStyle w:val="CellColumn"/>
              <w:jc w:val="right"/>
            </w:pPr>
            <w:r>
              <w:rPr>
                <w:rFonts w:cs="Times New Roman"/>
              </w:rPr>
              <w:t>19.375</w:t>
            </w:r>
          </w:p>
        </w:tc>
        <w:tc>
          <w:tcPr>
            <w:tcW w:w="2041" w:type="dxa"/>
          </w:tcPr>
          <w:p w:rsidR="005C2091" w:rsidRDefault="00A86293">
            <w:pPr>
              <w:pStyle w:val="CellColumn"/>
              <w:jc w:val="right"/>
            </w:pPr>
            <w:r>
              <w:rPr>
                <w:rFonts w:cs="Times New Roman"/>
              </w:rPr>
              <w:t>40.000</w:t>
            </w:r>
          </w:p>
        </w:tc>
        <w:tc>
          <w:tcPr>
            <w:tcW w:w="2041" w:type="dxa"/>
          </w:tcPr>
          <w:p w:rsidR="005C2091" w:rsidRDefault="00A86293">
            <w:pPr>
              <w:pStyle w:val="CellColumn"/>
              <w:jc w:val="right"/>
            </w:pPr>
            <w:r>
              <w:rPr>
                <w:rFonts w:cs="Times New Roman"/>
              </w:rPr>
              <w:t>14.062</w:t>
            </w:r>
          </w:p>
        </w:tc>
        <w:tc>
          <w:tcPr>
            <w:tcW w:w="1224" w:type="dxa"/>
          </w:tcPr>
          <w:p w:rsidR="005C2091" w:rsidRDefault="00A86293">
            <w:pPr>
              <w:pStyle w:val="CellColumn"/>
              <w:jc w:val="right"/>
            </w:pPr>
            <w:r>
              <w:rPr>
                <w:rFonts w:cs="Times New Roman"/>
              </w:rPr>
              <w:t>35,2</w:t>
            </w:r>
          </w:p>
        </w:tc>
        <w:tc>
          <w:tcPr>
            <w:tcW w:w="1224" w:type="dxa"/>
          </w:tcPr>
          <w:p w:rsidR="005C2091" w:rsidRDefault="00A86293">
            <w:pPr>
              <w:pStyle w:val="CellColumn"/>
              <w:jc w:val="right"/>
            </w:pPr>
            <w:r>
              <w:rPr>
                <w:rFonts w:cs="Times New Roman"/>
              </w:rPr>
              <w:t>72,6</w:t>
            </w:r>
          </w:p>
        </w:tc>
      </w:tr>
    </w:tbl>
    <w:p w:rsidR="005C2091" w:rsidRDefault="005C2091">
      <w:pPr>
        <w:jc w:val="left"/>
      </w:pPr>
    </w:p>
    <w:p w:rsidR="005C2091" w:rsidRDefault="00A86293">
      <w:pPr>
        <w:pStyle w:val="Heading8"/>
        <w:jc w:val="left"/>
      </w:pPr>
      <w:r>
        <w:t>Opis aktivnosti</w:t>
      </w:r>
    </w:p>
    <w:p w:rsidR="005C2091" w:rsidRDefault="00A86293">
      <w:r>
        <w:t>Ured za udruge nositelj je provedbe mjera Strategije suzbijanja korupcije za razdoblje 2015.-2020. te pratećeg Akcijskog plana za 2015. i 2016. Ured za udruge je aktivno sudjelovao u procesu pripreme Strategije i Akcijskog plana te je nadležan za pojedine aktivnosti iz Akcijskog plana, prvenstveno u dijelu koji se odnosi na ulogu organizacija civilnog društva, građana i medija u suzbijanju korupcije, s posebnim naglaskom na osiguravanje transparentnosti i otvorenosti izvještavanja o dodijeljenim financijskim sredstvima za projekte i programe organizacija civilnog društva iz državnog proračuna i drugih javnih izvora.</w:t>
      </w:r>
    </w:p>
    <w:p w:rsidR="005C2091" w:rsidRDefault="00A86293">
      <w:pPr>
        <w:pStyle w:val="Heading4"/>
      </w:pPr>
      <w:r>
        <w:t>A509044 KONTAKT TOČKA ZA PROGRAM EUROPA ZA GRAĐANE (EU-ECP)</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A509044-KONTAKT TOČKA ZA PROGRAM EUROPA ZA GRAĐANE (EU-ECP)</w:t>
            </w:r>
          </w:p>
        </w:tc>
        <w:tc>
          <w:tcPr>
            <w:tcW w:w="2041" w:type="dxa"/>
          </w:tcPr>
          <w:p w:rsidR="005C2091" w:rsidRDefault="00A86293">
            <w:pPr>
              <w:pStyle w:val="CellColumn"/>
              <w:jc w:val="right"/>
            </w:pPr>
            <w:r>
              <w:rPr>
                <w:rFonts w:cs="Times New Roman"/>
              </w:rPr>
              <w:t>129.594</w:t>
            </w:r>
          </w:p>
        </w:tc>
        <w:tc>
          <w:tcPr>
            <w:tcW w:w="2041" w:type="dxa"/>
          </w:tcPr>
          <w:p w:rsidR="005C2091" w:rsidRDefault="00A86293">
            <w:pPr>
              <w:pStyle w:val="CellColumn"/>
              <w:jc w:val="right"/>
            </w:pPr>
            <w:r>
              <w:rPr>
                <w:rFonts w:cs="Times New Roman"/>
              </w:rPr>
              <w:t>242.809</w:t>
            </w:r>
          </w:p>
        </w:tc>
        <w:tc>
          <w:tcPr>
            <w:tcW w:w="2041" w:type="dxa"/>
          </w:tcPr>
          <w:p w:rsidR="005C2091" w:rsidRDefault="00A86293">
            <w:pPr>
              <w:pStyle w:val="CellColumn"/>
              <w:jc w:val="right"/>
            </w:pPr>
            <w:r>
              <w:rPr>
                <w:rFonts w:cs="Times New Roman"/>
              </w:rPr>
              <w:t>122.503</w:t>
            </w:r>
          </w:p>
        </w:tc>
        <w:tc>
          <w:tcPr>
            <w:tcW w:w="1224" w:type="dxa"/>
          </w:tcPr>
          <w:p w:rsidR="005C2091" w:rsidRDefault="00A86293">
            <w:pPr>
              <w:pStyle w:val="CellColumn"/>
              <w:jc w:val="right"/>
            </w:pPr>
            <w:r>
              <w:rPr>
                <w:rFonts w:cs="Times New Roman"/>
              </w:rPr>
              <w:t>50,5</w:t>
            </w:r>
          </w:p>
        </w:tc>
        <w:tc>
          <w:tcPr>
            <w:tcW w:w="1224" w:type="dxa"/>
          </w:tcPr>
          <w:p w:rsidR="005C2091" w:rsidRDefault="00A86293">
            <w:pPr>
              <w:pStyle w:val="CellColumn"/>
              <w:jc w:val="right"/>
            </w:pPr>
            <w:r>
              <w:rPr>
                <w:rFonts w:cs="Times New Roman"/>
              </w:rPr>
              <w:t>94,5</w:t>
            </w:r>
          </w:p>
        </w:tc>
      </w:tr>
    </w:tbl>
    <w:p w:rsidR="005C2091" w:rsidRDefault="005C2091">
      <w:pPr>
        <w:jc w:val="left"/>
      </w:pPr>
    </w:p>
    <w:p w:rsidR="005C2091" w:rsidRDefault="00A86293">
      <w:pPr>
        <w:pStyle w:val="Heading8"/>
        <w:jc w:val="left"/>
      </w:pPr>
      <w:r>
        <w:t>Opis aktivnosti</w:t>
      </w:r>
    </w:p>
    <w:p w:rsidR="005C2091" w:rsidRDefault="00A86293">
      <w:r>
        <w:t xml:space="preserve">Ured djeluje u svojstvu Nacionalne Kontakt točke za program Europa za građane u Republici Hrvatskoj. Ovaj program Unije centraliziranog je tipa i provodi se posredstvom Izvršne agencije za obrazovne, audio-vizualne i kulturne politike u Bruxellesu. Svrha Programa jest poticati razvoj aktivnog europskog građanstva davanjem financijskih potpora organizacijama koje rade na osnaživanju osjećaja europskog identiteta i pripadnosti Europskoj uniji kroz umrežavanje i razmjenu znanja, iskustava, tradicija i vizija napretka.     </w:t>
      </w:r>
    </w:p>
    <w:p w:rsidR="005C2091" w:rsidRDefault="00A86293">
      <w:r>
        <w:t xml:space="preserve">Tijekom 2016. godine, djelatnici Nacionalne kontakt točke (ECP) programa Europa za građane održali su 8 radionica za potencijalne prijavitelje, 5 predstavljanja Programa te prezentiranje i moderiranje na regionalnoj konferenciji organiziranoj u Beogradu. Na događanjima je 596 predstavnika različitih organizacija (udruge, zaklade, vrtići, fakulteti, sveučilišta, općine, gradovi) te građana educirano o mogućnostima financiranja projekata i pripremi projektnih prijedloga u sklopu Programa. Također, zaprimaju brojne upite o pravilima i kriterijima Programa, kao i konkretne projektne prijedloge te potencijalnim prijaviteljima pružaju savjetodavnu potporu u vidu poboljšanja projektnih prijedloga. Osim toga, djelatnici Nacionalne kontakt točke redovito pružaju informacije telefonski i  putem adrese e-pošte.    </w:t>
      </w:r>
    </w:p>
    <w:p w:rsidR="005C2091" w:rsidRDefault="00A86293">
      <w:r>
        <w:t xml:space="preserve">U 2016. godini 9 je korisnika iz Hrvatske, u velikoj konkurenciji prijavitelja iz 33 zemlje sudionice, bilo uspješno na natječajima programa Europa za građane ostvarivši financijsku podršku vrijednu gotovo 5 milijuna kuna. Dodatno je 68 udruga, gradova i općina iz Republike Hrvatske u svojstvu partnera uključeno u  projekte ukupne vrijednosti 30.416.250 kuna, čime se povećava značaj ovog Programa u Republici Hrvatskoj.  </w:t>
      </w:r>
    </w:p>
    <w:p w:rsidR="005C2091" w:rsidRDefault="00A86293">
      <w:r>
        <w:lastRenderedPageBreak/>
        <w:t xml:space="preserve">Tijekom 2016. godine pokrenuta je mrežna stranica Programa, www.europazagradane.hr. U svrhu povećanja vidljivosti Programa u RH u 2016. godini izrađeno je dodatnih 1000 letaka, 150 mapa/fascikala, 250 papirnatih vrećica, 500 kemijskih olovaka i 800 označivača (bookmark). Dodatno, nabavljeno je 350 USB-ova i 100 USB-mobilnih punjača/baterija za mobilne telefone, kao novih promotivnih materijala.  </w:t>
      </w:r>
    </w:p>
    <w:p w:rsidR="005C2091" w:rsidRDefault="00A86293">
      <w:r>
        <w:t>Djelatnici Ureda za udruge aktivno sudjeluju na sastancima s predstavnicima ostalih Nacionalnih kontakt točaka iz zemalja članica Programa te Izvršne agencije za obrazovanje, audio-vizualnu politiku i kulturu (EACEA) i Europske komisije. U 2016. godini djelatnici Nacionalne kontakt točke u Republici Hrvatskoj sudjelovali su na jednom službenom sastanku i konferenciji “European Citizenship in Challenging Times” održanima u Barceloni, od 30. svibnja do 1. lipnja 2016., kao i na sastanku Odbora za program Europa za građane 18. listopada 2016., u Bruxellesu.</w:t>
      </w:r>
    </w:p>
    <w:p w:rsidR="005C2091" w:rsidRDefault="00A86293">
      <w:pPr>
        <w:pStyle w:val="Heading4"/>
      </w:pPr>
      <w:r>
        <w:t>A509051 SUFINANCIRANJE EU PROJEKATA ORGANIZACIJAMA CIVILNOG DRUŠTVA</w:t>
      </w:r>
    </w:p>
    <w:tbl>
      <w:tblPr>
        <w:tblStyle w:val="StilTablice"/>
        <w:tblW w:w="10206" w:type="dxa"/>
        <w:jc w:val="center"/>
        <w:tblLook w:val="04A0" w:firstRow="1" w:lastRow="0" w:firstColumn="1" w:lastColumn="0" w:noHBand="0" w:noVBand="1"/>
      </w:tblPr>
      <w:tblGrid>
        <w:gridCol w:w="1904"/>
        <w:gridCol w:w="1961"/>
        <w:gridCol w:w="1961"/>
        <w:gridCol w:w="1961"/>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A509051-SUFINANCIRANJE EU PROJEKATA ORGANIZACIJAMA CIVILNOG DRUŠTVA</w:t>
            </w:r>
          </w:p>
        </w:tc>
        <w:tc>
          <w:tcPr>
            <w:tcW w:w="2041" w:type="dxa"/>
          </w:tcPr>
          <w:p w:rsidR="005C2091" w:rsidRDefault="00A86293">
            <w:pPr>
              <w:pStyle w:val="CellColumn"/>
              <w:jc w:val="right"/>
            </w:pPr>
            <w:r>
              <w:rPr>
                <w:rFonts w:cs="Times New Roman"/>
              </w:rPr>
              <w:t>6.230.676</w:t>
            </w:r>
          </w:p>
        </w:tc>
        <w:tc>
          <w:tcPr>
            <w:tcW w:w="2041" w:type="dxa"/>
          </w:tcPr>
          <w:p w:rsidR="005C2091" w:rsidRDefault="00A86293">
            <w:pPr>
              <w:pStyle w:val="CellColumn"/>
              <w:jc w:val="right"/>
            </w:pPr>
            <w:r>
              <w:rPr>
                <w:rFonts w:cs="Times New Roman"/>
              </w:rPr>
              <w:t>1.913.903</w:t>
            </w:r>
          </w:p>
        </w:tc>
        <w:tc>
          <w:tcPr>
            <w:tcW w:w="2041" w:type="dxa"/>
          </w:tcPr>
          <w:p w:rsidR="005C2091" w:rsidRDefault="00A86293">
            <w:pPr>
              <w:pStyle w:val="CellColumn"/>
              <w:jc w:val="right"/>
            </w:pPr>
            <w:r>
              <w:rPr>
                <w:rFonts w:cs="Times New Roman"/>
              </w:rPr>
              <w:t>3.603.099</w:t>
            </w:r>
          </w:p>
        </w:tc>
        <w:tc>
          <w:tcPr>
            <w:tcW w:w="1224" w:type="dxa"/>
          </w:tcPr>
          <w:p w:rsidR="005C2091" w:rsidRDefault="00A86293">
            <w:pPr>
              <w:pStyle w:val="CellColumn"/>
              <w:jc w:val="right"/>
            </w:pPr>
            <w:r>
              <w:rPr>
                <w:rFonts w:cs="Times New Roman"/>
              </w:rPr>
              <w:t>188,3</w:t>
            </w:r>
          </w:p>
        </w:tc>
        <w:tc>
          <w:tcPr>
            <w:tcW w:w="1224" w:type="dxa"/>
          </w:tcPr>
          <w:p w:rsidR="005C2091" w:rsidRDefault="00A86293">
            <w:pPr>
              <w:pStyle w:val="CellColumn"/>
              <w:jc w:val="right"/>
            </w:pPr>
            <w:r>
              <w:rPr>
                <w:rFonts w:cs="Times New Roman"/>
              </w:rPr>
              <w:t>57,8</w:t>
            </w:r>
          </w:p>
        </w:tc>
      </w:tr>
    </w:tbl>
    <w:p w:rsidR="005C2091" w:rsidRDefault="005C2091">
      <w:pPr>
        <w:jc w:val="left"/>
      </w:pPr>
    </w:p>
    <w:p w:rsidR="005C2091" w:rsidRDefault="00A86293">
      <w:pPr>
        <w:pStyle w:val="Heading8"/>
        <w:jc w:val="left"/>
      </w:pPr>
      <w:r>
        <w:t>Opis aktivnosti</w:t>
      </w:r>
    </w:p>
    <w:p w:rsidR="005C2091" w:rsidRDefault="00A86293">
      <w:r>
        <w:t xml:space="preserve">U 2016. godini nastavljen je projekt sufinanciranja projekata organizacija civilnoga društva ugovorenih u okviru programa Europske unije, s ciljem da se korisnicima sredstava EU olakša zatvaranje financijskih konstrukcija njihovih projekata. U tu svrhu odvojen je dio prihoda od igara na sreću, sukladno članku 3., točke 8. Uredbe o kriterijima za utvrđivanje korisnika i načinu raspodjele dijela prihoda od igara na sreću za 2016. godinu („Narodne novine“, 28/2016), a 30. svibnja 2016. godine Ured za udruge raspisao je Javni poziv za podnošenje prijava za sufinanciranje projekata organizacija civilnoga društva ugovorenih u okviru programa Europske unije za 2016. godinu, namijenjen organizacijama civilnoga društva koji provode projekte ugovorene u sklopu sljedećih programa: IPA - I. komponenta, IPA Prekogranična suradnja, Europska teritorijalna suradnja, Operativni program Razvoj ljudskih potencijala 2007.-2013, Operativni program Učinkoviti ljudski potencijali 2014.- 2020., Erasmus +, Sedmi okvirni program (FP7), Obzor 2020, Program Europske unije za zapošljavanje i socijalne inovacije – EaSI,  Drugi programi aktivnosti Zajednice u području zdravstva,  Zdravlje za rast – Treći višegodišnji program EU u području zdravstva, Europski instrument za demokraciju i ljudska prava (EIDHR), Višekorisnička IPA, Kreativna Europa, Program o pravima, jednakosti i građanstvu, ostali natječaji koje raspisuju pojedine Opće uprave i Službe Europske komisije, odnosno njihove agencije i ostali natječaji koje raspisuju pojedine Opće uprave Europskog parlamenta, odnosno njihove agencije. </w:t>
      </w:r>
    </w:p>
    <w:p w:rsidR="005C2091" w:rsidRDefault="00A86293">
      <w:r>
        <w:t>U 2016. godini ukupno je sklopljeno 62 ugovora o sufinanciranju iz sredstava od igara na sreću. Ukupni iznos odobrenog sufinanciranja za 2016. godinu iznosio je 476.316,05 EUR, odnosno 3.620.000,98 HRK. Iznosi za sufinanciranje utvrđeni su na temelju 5 Odluka o sufinanciranju koje je donio ravnatelj Ureda za udruge na temelju izvješća Povjerenstva za procjenu prijava za sufinanciranje projekata i programa udruga prijavljenih na Javni poziv. Povjerenstvo je svoje odluke donijelo temeljem Pravila za sufinanciranje projekata organizacija civilnoga društva ugovorenih u okviru programa Europske unije za 2016. godinu. Također, tijekom 2016. godine izvršen je povrat razlike sredstava od sufinanciranja u Državni proračun za 3 projekta u ukupnom iznosu od 20.284,92 HRK.</w:t>
      </w:r>
    </w:p>
    <w:p w:rsidR="005C2091" w:rsidRDefault="00A86293">
      <w:pPr>
        <w:pStyle w:val="Heading4"/>
      </w:pPr>
      <w:r>
        <w:lastRenderedPageBreak/>
        <w:t>A509052 IPA 2011 - AKTIVNO CIVILNO DRUŠTVO ZA ODRŽIVOST POLITIČKIH REFORMI NAKON PRISTUPANJA RH U EU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A509052-IPA 2011 - AKTIVNO CIVILNO DRUŠTVO ZA ODRŽIVOST POLITIČKIH REFORMI NAKON PRISTUPANJA RH U EU</w:t>
            </w:r>
          </w:p>
        </w:tc>
        <w:tc>
          <w:tcPr>
            <w:tcW w:w="2041" w:type="dxa"/>
          </w:tcPr>
          <w:p w:rsidR="005C2091" w:rsidRDefault="00A86293">
            <w:pPr>
              <w:pStyle w:val="CellColumn"/>
              <w:jc w:val="right"/>
            </w:pPr>
            <w:r>
              <w:rPr>
                <w:rFonts w:cs="Times New Roman"/>
              </w:rPr>
              <w:t>9.863.370</w:t>
            </w:r>
          </w:p>
        </w:tc>
        <w:tc>
          <w:tcPr>
            <w:tcW w:w="2041" w:type="dxa"/>
          </w:tcPr>
          <w:p w:rsidR="005C2091" w:rsidRDefault="00A86293">
            <w:pPr>
              <w:pStyle w:val="CellColumn"/>
              <w:jc w:val="right"/>
            </w:pPr>
            <w:r>
              <w:rPr>
                <w:rFonts w:cs="Times New Roman"/>
              </w:rPr>
              <w:t>9.660.800</w:t>
            </w:r>
          </w:p>
        </w:tc>
        <w:tc>
          <w:tcPr>
            <w:tcW w:w="2041" w:type="dxa"/>
          </w:tcPr>
          <w:p w:rsidR="005C2091" w:rsidRDefault="00A86293">
            <w:pPr>
              <w:pStyle w:val="CellColumn"/>
              <w:jc w:val="right"/>
            </w:pPr>
            <w:r>
              <w:rPr>
                <w:rFonts w:cs="Times New Roman"/>
              </w:rPr>
              <w:t>8.411.307</w:t>
            </w:r>
          </w:p>
        </w:tc>
        <w:tc>
          <w:tcPr>
            <w:tcW w:w="1224" w:type="dxa"/>
          </w:tcPr>
          <w:p w:rsidR="005C2091" w:rsidRDefault="00A86293">
            <w:pPr>
              <w:pStyle w:val="CellColumn"/>
              <w:jc w:val="right"/>
            </w:pPr>
            <w:r>
              <w:rPr>
                <w:rFonts w:cs="Times New Roman"/>
              </w:rPr>
              <w:t>87,1</w:t>
            </w:r>
          </w:p>
        </w:tc>
        <w:tc>
          <w:tcPr>
            <w:tcW w:w="1224" w:type="dxa"/>
          </w:tcPr>
          <w:p w:rsidR="005C2091" w:rsidRDefault="00A86293">
            <w:pPr>
              <w:pStyle w:val="CellColumn"/>
              <w:jc w:val="right"/>
            </w:pPr>
            <w:r>
              <w:rPr>
                <w:rFonts w:cs="Times New Roman"/>
              </w:rPr>
              <w:t>85,3</w:t>
            </w:r>
          </w:p>
        </w:tc>
      </w:tr>
    </w:tbl>
    <w:p w:rsidR="005C2091" w:rsidRDefault="005C2091">
      <w:pPr>
        <w:jc w:val="left"/>
      </w:pPr>
    </w:p>
    <w:p w:rsidR="005C2091" w:rsidRDefault="00A86293">
      <w:pPr>
        <w:pStyle w:val="Heading8"/>
        <w:jc w:val="left"/>
      </w:pPr>
      <w:r>
        <w:t>Opis aktivnosti</w:t>
      </w:r>
    </w:p>
    <w:p w:rsidR="005C2091" w:rsidRDefault="00A86293">
      <w:r>
        <w:t xml:space="preserve">U sklopu ovog projekta provode se dva programa dodjele bespovratnih sredstava čija je provedba počela u prosincu 2014.   </w:t>
      </w:r>
    </w:p>
    <w:p w:rsidR="000F5517" w:rsidRDefault="000F5517" w:rsidP="000F5517">
      <w:r>
        <w:t>1.</w:t>
      </w:r>
      <w:r w:rsidR="00A86293">
        <w:t xml:space="preserve">Potpora organizacijama civilnog društva za razvijanje partnerstava za održivo korištenje zaštićenih područja u Hrvatskoj, uključujući moguća područja unutar NATURA 2000 (potpisano 6 ugovora). </w:t>
      </w:r>
    </w:p>
    <w:p w:rsidR="005C2091" w:rsidRDefault="00A86293" w:rsidP="000F5517">
      <w:r>
        <w:t xml:space="preserve">Pet projekata ovog poziva (od kojih su 4 završila s provedbom u 2016.) nastavili su se provoditi na području 9 županija u partnerstvu 8 udruga, 10 javnih ustanova za upravljanje zaštićenim prirodnim vrijednostima, 2 osnovne škole, 2 lokalne i područne (regionalne) samouprave i parkom prirode. Jedan projekt s provedbom će završiti u 2017. </w:t>
      </w:r>
    </w:p>
    <w:p w:rsidR="005C2091" w:rsidRDefault="00A86293">
      <w:r>
        <w:t xml:space="preserve">2. Jačanje potpore organizacijama civilnog društva za povećanje dobrog upravljanja i transparentnosti javne uprave u Hrvatskoj (potpisano 12 ugovora). </w:t>
      </w:r>
    </w:p>
    <w:p w:rsidR="005C2091" w:rsidRDefault="00A86293">
      <w:r>
        <w:t>U 2016. se provodilo 11 projekata, od kojih su svi i završili s provedbom. Projekti su se u okviru ovog poziva provodili na području 17 županija u partnerstvu 53 OCD-a, 5 javnih ustanova i 4 jedinice lokalne i područne (regionalne) samouprave. U okviru projekata educirano je više od 800 predstavnika civilnoga društva, javne uprave, medija i političkih stranaka o praćenju i zagovaranju javnih politika, mehanizama za sprječavanje korupcije, te sudjelovanja građana u upravljanju proračunom, prostornim planovima i prirodnim resursima.</w:t>
      </w:r>
    </w:p>
    <w:p w:rsidR="005C2091" w:rsidRDefault="00A86293">
      <w:pPr>
        <w:pStyle w:val="Heading4"/>
      </w:pPr>
      <w:r>
        <w:t>A509062 MEĐUNARODNA RAZVOJNA SURADNJA - POTPORA RAZVOJU CIVILNOG DRUŠTVA</w:t>
      </w:r>
    </w:p>
    <w:tbl>
      <w:tblPr>
        <w:tblStyle w:val="StilTablice"/>
        <w:tblW w:w="10206" w:type="dxa"/>
        <w:jc w:val="center"/>
        <w:tblLook w:val="04A0" w:firstRow="1" w:lastRow="0" w:firstColumn="1" w:lastColumn="0" w:noHBand="0" w:noVBand="1"/>
      </w:tblPr>
      <w:tblGrid>
        <w:gridCol w:w="1703"/>
        <w:gridCol w:w="2021"/>
        <w:gridCol w:w="2019"/>
        <w:gridCol w:w="2022"/>
        <w:gridCol w:w="1220"/>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A509062-MEĐUNARODNA RAZVOJNA SURADNJA - POTPORA RAZVOJU CIVILNOG DRUŠTVA</w:t>
            </w:r>
          </w:p>
        </w:tc>
        <w:tc>
          <w:tcPr>
            <w:tcW w:w="2041" w:type="dxa"/>
          </w:tcPr>
          <w:p w:rsidR="005C2091" w:rsidRDefault="00A86293">
            <w:pPr>
              <w:pStyle w:val="CellColumn"/>
              <w:jc w:val="right"/>
            </w:pPr>
            <w:r>
              <w:rPr>
                <w:rFonts w:cs="Times New Roman"/>
              </w:rPr>
              <w:t>47.862</w:t>
            </w:r>
          </w:p>
        </w:tc>
        <w:tc>
          <w:tcPr>
            <w:tcW w:w="2041" w:type="dxa"/>
          </w:tcPr>
          <w:p w:rsidR="005C2091" w:rsidRDefault="00A86293">
            <w:pPr>
              <w:pStyle w:val="CellColumn"/>
              <w:jc w:val="right"/>
            </w:pPr>
            <w:r>
              <w:rPr>
                <w:rFonts w:cs="Times New Roman"/>
              </w:rPr>
              <w:t>53.000</w:t>
            </w:r>
          </w:p>
        </w:tc>
        <w:tc>
          <w:tcPr>
            <w:tcW w:w="2041" w:type="dxa"/>
          </w:tcPr>
          <w:p w:rsidR="005C2091" w:rsidRDefault="00A86293">
            <w:pPr>
              <w:pStyle w:val="CellColumn"/>
              <w:jc w:val="right"/>
            </w:pPr>
            <w:r>
              <w:rPr>
                <w:rFonts w:cs="Times New Roman"/>
              </w:rPr>
              <w:t>19.339</w:t>
            </w:r>
          </w:p>
        </w:tc>
        <w:tc>
          <w:tcPr>
            <w:tcW w:w="1224" w:type="dxa"/>
          </w:tcPr>
          <w:p w:rsidR="005C2091" w:rsidRDefault="00A86293">
            <w:pPr>
              <w:pStyle w:val="CellColumn"/>
              <w:jc w:val="right"/>
            </w:pPr>
            <w:r>
              <w:rPr>
                <w:rFonts w:cs="Times New Roman"/>
              </w:rPr>
              <w:t>36,5</w:t>
            </w:r>
          </w:p>
        </w:tc>
        <w:tc>
          <w:tcPr>
            <w:tcW w:w="1224" w:type="dxa"/>
          </w:tcPr>
          <w:p w:rsidR="005C2091" w:rsidRDefault="00A86293">
            <w:pPr>
              <w:pStyle w:val="CellColumn"/>
              <w:jc w:val="right"/>
            </w:pPr>
            <w:r>
              <w:rPr>
                <w:rFonts w:cs="Times New Roman"/>
              </w:rPr>
              <w:t>40,4</w:t>
            </w:r>
          </w:p>
        </w:tc>
      </w:tr>
    </w:tbl>
    <w:p w:rsidR="005C2091" w:rsidRDefault="005C2091">
      <w:pPr>
        <w:jc w:val="left"/>
      </w:pPr>
    </w:p>
    <w:p w:rsidR="005C2091" w:rsidRDefault="00A86293">
      <w:pPr>
        <w:pStyle w:val="Heading8"/>
        <w:jc w:val="left"/>
      </w:pPr>
      <w:r>
        <w:lastRenderedPageBreak/>
        <w:t>Opis aktivnosti</w:t>
      </w:r>
    </w:p>
    <w:p w:rsidR="005C2091" w:rsidRDefault="00A86293">
      <w:r>
        <w:t xml:space="preserve">U okviru poticanja međunarodne suradnje na području razvoja civilnog društva, a u  skladu s Nacionalnom strategijom razvojne suradnje Republike Hrvatske za razdoblje od 2009. - 2014., Ured za udruge provodi aktivnosti razmjene iskustava u promicanju načela dobre prakse normativnih, institucionalnih i provedbenih mjera vezanih uz stvaranje poticajnog okruženja za razvoj civilnog društva.  </w:t>
      </w:r>
    </w:p>
    <w:p w:rsidR="005C2091" w:rsidRDefault="00A86293">
      <w:r>
        <w:t>Cilj ovih aktivnosti je jačanje strateškog institucionalnog okvira suradnje između vlade i civilnog društva kroz razmjenu iskustava  i dobrih praski. U tom kontekstu, Ured za udruge tijekom 2016. posjetila je delegacija iz Ukrajine, koju su činili predstavnici ukrajinskih organizacija civilnoga društva, predstavnici OSCE-a, te predstavnici tijela javne vlasti poput Ministarstva pravosuđa, Ministarstva mladih i sporta, Kabineta ministara, i drugi. Svrha ovog studijskog posjeta, u organizaciji OSCE-a Ukrajina, te u suradnji s kabinetom predsjednika Ukrajine, bila je steći međunarodno iskustvo u uspostavi institucionalnih mehanizama za provedbu Nacionalne strategije civilnog društva koja je upravo po prvi put usvojena u Ukrajini, i koja je u dobroj mjeri temeljena na hrvatskoj Strategiji, te razmijeniti znanja o uspostavljanju učinkovitih mehanizama suradnje između države i civilnog društva u provedbi Strategije. Djelatnici Ureda za udruge posjetili su Kazahstan, kako bi predstavili hrvatske standarde financiranja programa i projekata organizacija civilnoga društva iz javnih izvora te Ukrajinu, kako bi predstavili iskustva Republike Hrvatske u provedbi savjetovanja sa zainteresiranom javnošću prilikom donošenja zakona, propisa i drugih akata.</w:t>
      </w:r>
    </w:p>
    <w:p w:rsidR="005C2091" w:rsidRDefault="00A86293">
      <w:pPr>
        <w:pStyle w:val="Heading4"/>
      </w:pPr>
      <w:r>
        <w:t>A509065 DANI OTVORENIH VRATA UDRUGA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A509065-DANI OTVORENIH VRATA UDRUGA</w:t>
            </w:r>
          </w:p>
        </w:tc>
        <w:tc>
          <w:tcPr>
            <w:tcW w:w="2041" w:type="dxa"/>
          </w:tcPr>
          <w:p w:rsidR="005C2091" w:rsidRDefault="00A86293">
            <w:pPr>
              <w:pStyle w:val="CellColumn"/>
              <w:jc w:val="right"/>
            </w:pPr>
            <w:r>
              <w:rPr>
                <w:rFonts w:cs="Times New Roman"/>
              </w:rPr>
              <w:t>124.077</w:t>
            </w:r>
          </w:p>
        </w:tc>
        <w:tc>
          <w:tcPr>
            <w:tcW w:w="2041" w:type="dxa"/>
          </w:tcPr>
          <w:p w:rsidR="005C2091" w:rsidRDefault="00A86293">
            <w:pPr>
              <w:pStyle w:val="CellColumn"/>
              <w:jc w:val="right"/>
            </w:pPr>
            <w:r>
              <w:rPr>
                <w:rFonts w:cs="Times New Roman"/>
              </w:rPr>
              <w:t>172.500</w:t>
            </w:r>
          </w:p>
        </w:tc>
        <w:tc>
          <w:tcPr>
            <w:tcW w:w="2041" w:type="dxa"/>
          </w:tcPr>
          <w:p w:rsidR="005C2091" w:rsidRDefault="00A86293">
            <w:pPr>
              <w:pStyle w:val="CellColumn"/>
              <w:jc w:val="right"/>
            </w:pPr>
            <w:r>
              <w:rPr>
                <w:rFonts w:cs="Times New Roman"/>
              </w:rPr>
              <w:t>147.363</w:t>
            </w:r>
          </w:p>
        </w:tc>
        <w:tc>
          <w:tcPr>
            <w:tcW w:w="1224" w:type="dxa"/>
          </w:tcPr>
          <w:p w:rsidR="005C2091" w:rsidRDefault="00A86293">
            <w:pPr>
              <w:pStyle w:val="CellColumn"/>
              <w:jc w:val="right"/>
            </w:pPr>
            <w:r>
              <w:rPr>
                <w:rFonts w:cs="Times New Roman"/>
              </w:rPr>
              <w:t>85,4</w:t>
            </w:r>
          </w:p>
        </w:tc>
        <w:tc>
          <w:tcPr>
            <w:tcW w:w="1224" w:type="dxa"/>
          </w:tcPr>
          <w:p w:rsidR="005C2091" w:rsidRDefault="00A86293">
            <w:pPr>
              <w:pStyle w:val="CellColumn"/>
              <w:jc w:val="right"/>
            </w:pPr>
            <w:r>
              <w:rPr>
                <w:rFonts w:cs="Times New Roman"/>
              </w:rPr>
              <w:t>118,8</w:t>
            </w:r>
          </w:p>
        </w:tc>
      </w:tr>
    </w:tbl>
    <w:p w:rsidR="005C2091" w:rsidRDefault="005C2091">
      <w:pPr>
        <w:jc w:val="left"/>
      </w:pPr>
    </w:p>
    <w:p w:rsidR="005C2091" w:rsidRDefault="00A86293">
      <w:pPr>
        <w:pStyle w:val="Heading8"/>
        <w:jc w:val="left"/>
      </w:pPr>
      <w:r>
        <w:t>Opis aktivnosti</w:t>
      </w:r>
    </w:p>
    <w:p w:rsidR="005C2091" w:rsidRDefault="00A86293">
      <w:r>
        <w:t xml:space="preserve">Dani otvorenih vrata udruga (DOVU) tradicionalna su manifestacija čiji cilj je građanima i široj javnosti približiti programe i projekte od interesa za opće dobro koje provode udruge u Hrvatskoj, organiziranjem različitih aktivnosti u prostorima udruga ili izvan njih, te otvaranjem vrata udruga u određenom danu ili danima svim zainteresiranim građanima. U 2016. godini, održani su od 23. do 25. svibnja, a sudjelovalo je više od 300 udruga diljem Hrvatske. </w:t>
      </w:r>
    </w:p>
    <w:p w:rsidR="005C2091" w:rsidRDefault="00A86293">
      <w:r>
        <w:t>U sklopu Dana otvorenih vrata udruga 2016. Ured za udruge, u suradnji s Državnim arhivom u Zagrebu te s povjesničarkom dr.sc. Agnezom Szabo istražio je povijest šest udruženja koja su djelovala na prijelazu iz 19. u 20. stoljeće te pripremio „Šetnju kroz povijest udruživanja u Zagrebu“ u kojoj su zainteresirani građani obišli povijesne lokacije važne za djelovanje udruženja te se upoznali s detaljima rada i djelovanja navedenih udruženja.</w:t>
      </w:r>
    </w:p>
    <w:p w:rsidR="005C2091" w:rsidRDefault="00A86293">
      <w:pPr>
        <w:pStyle w:val="Heading4"/>
      </w:pPr>
      <w:r>
        <w:t>A509066 OP RAZVOJ LJUDSKIH POTENCIJALA, PRIORITET 4 I 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A509066-OP RAZVOJ LJUDSKIH POTENCIJALA, PRIORITET 4 I 5</w:t>
            </w:r>
          </w:p>
        </w:tc>
        <w:tc>
          <w:tcPr>
            <w:tcW w:w="2041" w:type="dxa"/>
          </w:tcPr>
          <w:p w:rsidR="005C2091" w:rsidRDefault="00A86293">
            <w:pPr>
              <w:pStyle w:val="CellColumn"/>
              <w:jc w:val="right"/>
            </w:pPr>
            <w:r>
              <w:rPr>
                <w:rFonts w:cs="Times New Roman"/>
              </w:rPr>
              <w:t>27.309.819</w:t>
            </w:r>
          </w:p>
        </w:tc>
        <w:tc>
          <w:tcPr>
            <w:tcW w:w="2041" w:type="dxa"/>
          </w:tcPr>
          <w:p w:rsidR="005C2091" w:rsidRDefault="00A86293">
            <w:pPr>
              <w:pStyle w:val="CellColumn"/>
              <w:jc w:val="right"/>
            </w:pPr>
            <w:r>
              <w:rPr>
                <w:rFonts w:cs="Times New Roman"/>
              </w:rPr>
              <w:t>6.890.000</w:t>
            </w:r>
          </w:p>
        </w:tc>
        <w:tc>
          <w:tcPr>
            <w:tcW w:w="2041" w:type="dxa"/>
          </w:tcPr>
          <w:p w:rsidR="005C2091" w:rsidRDefault="00A86293">
            <w:pPr>
              <w:pStyle w:val="CellColumn"/>
              <w:jc w:val="right"/>
            </w:pPr>
            <w:r>
              <w:rPr>
                <w:rFonts w:cs="Times New Roman"/>
              </w:rPr>
              <w:t>5.253.450</w:t>
            </w:r>
          </w:p>
        </w:tc>
        <w:tc>
          <w:tcPr>
            <w:tcW w:w="1224" w:type="dxa"/>
          </w:tcPr>
          <w:p w:rsidR="005C2091" w:rsidRDefault="00A86293">
            <w:pPr>
              <w:pStyle w:val="CellColumn"/>
              <w:jc w:val="right"/>
            </w:pPr>
            <w:r>
              <w:rPr>
                <w:rFonts w:cs="Times New Roman"/>
              </w:rPr>
              <w:t>76,2</w:t>
            </w:r>
          </w:p>
        </w:tc>
        <w:tc>
          <w:tcPr>
            <w:tcW w:w="1224" w:type="dxa"/>
          </w:tcPr>
          <w:p w:rsidR="005C2091" w:rsidRDefault="00A86293">
            <w:pPr>
              <w:pStyle w:val="CellColumn"/>
              <w:jc w:val="right"/>
            </w:pPr>
            <w:r>
              <w:rPr>
                <w:rFonts w:cs="Times New Roman"/>
              </w:rPr>
              <w:t>19,2</w:t>
            </w:r>
          </w:p>
        </w:tc>
      </w:tr>
    </w:tbl>
    <w:p w:rsidR="005C2091" w:rsidRDefault="005C2091">
      <w:pPr>
        <w:jc w:val="left"/>
      </w:pPr>
    </w:p>
    <w:p w:rsidR="005C2091" w:rsidRDefault="00A86293">
      <w:pPr>
        <w:pStyle w:val="Heading8"/>
        <w:jc w:val="left"/>
      </w:pPr>
      <w:r>
        <w:lastRenderedPageBreak/>
        <w:t>Opis aktivnosti</w:t>
      </w:r>
    </w:p>
    <w:p w:rsidR="005C2091" w:rsidRDefault="00A86293">
      <w:r>
        <w:t xml:space="preserve">Ured za udruge je tijelo akreditirano za provođenje Operativnog programa "Razvoj ljudskih potencijala"  za Prioritetnu os 5. „Jačanje uloge civilnoga društva za bolje upravljanje“, mjeru 5.2. „Jačanje uloge OCD-a za društveno-gospodarski rast i demokratski razvoj“. </w:t>
      </w:r>
    </w:p>
    <w:p w:rsidR="005C2091" w:rsidRDefault="00A86293">
      <w:r>
        <w:t xml:space="preserve">Ured je nastavio pratiti provedbu te odobravati i osiguravati isplate korisnicima koji su u sklopu tri poziva na dodjelu bespovratnih sredstava Operativnog programa Razvoj ljudskih potencijala 2007.-2013. u 2016. provodili 25 projekata.    </w:t>
      </w:r>
    </w:p>
    <w:p w:rsidR="005C2091" w:rsidRDefault="00A86293" w:rsidP="00B054CF">
      <w:r>
        <w:t xml:space="preserve">- „Podrška programima OCD-a u području zagovaranja i motivacije za društveno isključene skupine“;  u 2016. okončana je provedba 2 projekta ukupne vrijednosti oko 1,45 milijuna kuna, ostvarena u partnerstvu 5 OCD-a i 1 javne ustanove </w:t>
      </w:r>
    </w:p>
    <w:p w:rsidR="005C2091" w:rsidRDefault="00A86293" w:rsidP="00B054CF">
      <w:r>
        <w:t xml:space="preserve">- „Podrška programima OCD-a aktivnih u području volonterstva na jačanju gospodarske i društvene kohezije“; u 2016. završila provedba 3 projekta ukupne vrijednosti oko 2,43 milijuna kuna, koji su provedeni  u partnerstvu  8 OCD-a, 11 javnih ustanova i 1 jedinice lokalne i područne (regionalne) samouprave </w:t>
      </w:r>
    </w:p>
    <w:p w:rsidR="005C2091" w:rsidRDefault="00A86293" w:rsidP="00B054CF">
      <w:r>
        <w:t>- „Jačanje sposobnosti OCD-a za pružanje socijalnih usluga“; u provedbi 20 projekata ukupne vrijednosti oko 11.74 milijuna kuna sudjeluje 70 OCD-a, 5 javnih ustanova i 3 jedinice lokalne (područne) samouprave.</w:t>
      </w:r>
    </w:p>
    <w:p w:rsidR="005C2091" w:rsidRDefault="00A86293">
      <w:pPr>
        <w:pStyle w:val="Heading4"/>
      </w:pPr>
      <w:r>
        <w:t>A509067 PARTNERSTVO ZA OTVORENU VLAST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A509067-PARTNERSTVO ZA OTVORENU VLAST</w:t>
            </w:r>
          </w:p>
        </w:tc>
        <w:tc>
          <w:tcPr>
            <w:tcW w:w="2041" w:type="dxa"/>
          </w:tcPr>
          <w:p w:rsidR="005C2091" w:rsidRDefault="00A86293">
            <w:pPr>
              <w:pStyle w:val="CellColumn"/>
              <w:jc w:val="right"/>
            </w:pPr>
            <w:r>
              <w:rPr>
                <w:rFonts w:cs="Times New Roman"/>
              </w:rPr>
              <w:t>181.457</w:t>
            </w:r>
          </w:p>
        </w:tc>
        <w:tc>
          <w:tcPr>
            <w:tcW w:w="2041" w:type="dxa"/>
          </w:tcPr>
          <w:p w:rsidR="005C2091" w:rsidRDefault="00A86293">
            <w:pPr>
              <w:pStyle w:val="CellColumn"/>
              <w:jc w:val="right"/>
            </w:pPr>
            <w:r>
              <w:rPr>
                <w:rFonts w:cs="Times New Roman"/>
              </w:rPr>
              <w:t>230.000</w:t>
            </w:r>
          </w:p>
        </w:tc>
        <w:tc>
          <w:tcPr>
            <w:tcW w:w="2041" w:type="dxa"/>
          </w:tcPr>
          <w:p w:rsidR="005C2091" w:rsidRDefault="00A86293">
            <w:pPr>
              <w:pStyle w:val="CellColumn"/>
              <w:jc w:val="right"/>
            </w:pPr>
            <w:r>
              <w:rPr>
                <w:rFonts w:cs="Times New Roman"/>
              </w:rPr>
              <w:t>179.392</w:t>
            </w:r>
          </w:p>
        </w:tc>
        <w:tc>
          <w:tcPr>
            <w:tcW w:w="1224" w:type="dxa"/>
          </w:tcPr>
          <w:p w:rsidR="005C2091" w:rsidRDefault="00A86293">
            <w:pPr>
              <w:pStyle w:val="CellColumn"/>
              <w:jc w:val="right"/>
            </w:pPr>
            <w:r>
              <w:rPr>
                <w:rFonts w:cs="Times New Roman"/>
              </w:rPr>
              <w:t>78,0</w:t>
            </w:r>
          </w:p>
        </w:tc>
        <w:tc>
          <w:tcPr>
            <w:tcW w:w="1224" w:type="dxa"/>
          </w:tcPr>
          <w:p w:rsidR="005C2091" w:rsidRDefault="00A86293">
            <w:pPr>
              <w:pStyle w:val="CellColumn"/>
              <w:jc w:val="right"/>
            </w:pPr>
            <w:r>
              <w:rPr>
                <w:rFonts w:cs="Times New Roman"/>
              </w:rPr>
              <w:t>98,9</w:t>
            </w:r>
          </w:p>
        </w:tc>
      </w:tr>
    </w:tbl>
    <w:p w:rsidR="005C2091" w:rsidRDefault="005C2091">
      <w:pPr>
        <w:jc w:val="left"/>
      </w:pPr>
    </w:p>
    <w:p w:rsidR="005C2091" w:rsidRDefault="00A86293">
      <w:pPr>
        <w:pStyle w:val="Heading8"/>
        <w:jc w:val="left"/>
      </w:pPr>
      <w:r>
        <w:t>Opis aktivnosti</w:t>
      </w:r>
    </w:p>
    <w:p w:rsidR="005C2091" w:rsidRDefault="00A86293">
      <w:r>
        <w:t xml:space="preserve">Republika Hrvatska poslala je krajem kolovoza 2011. službeno pismo namjere sudjelovanja u Partnerstvu za otvorenu vlast i time je preuzela obvezu izraditi nacionalni akcijski plan. </w:t>
      </w:r>
    </w:p>
    <w:p w:rsidR="005C2091" w:rsidRDefault="00A86293">
      <w:r>
        <w:t xml:space="preserve">Slijedeći temeljno načelo partnerstva na kojemu počiva ova Inicijativa, sve mjere i aktivnosti Akcijskog plana za provedbu inicijative Partnerstvo za otvorenu vlast u razdoblju od 2014. do 2016. godine formulirane su u izravnom dijalogu s predstavnicima organizacija civilnog društva. U svim fazama razvoja dokumenta, organizacijama civilnog društva omogućeno je ravnopravno sudjelovanje.  </w:t>
      </w:r>
    </w:p>
    <w:p w:rsidR="005C2091" w:rsidRDefault="00A86293">
      <w:r>
        <w:t xml:space="preserve">Kao i tijekom provedbe prethodnog Akcijskog plana za razdoblje od 2012. do 2013. godine, Savjet inicijative Partnerstvo za otvorenu vlast je zadužen za pripremu Akcijskog plana te praćenje provedbe i predlaganje Vladi Republike Hrvatske Izmjena i dopuna Akcijskog plana. Ured za udruge Vlade Republike Hrvatske pruža stručnu i administrativnu podršku radu Savjeta, u uskoj suradnji s Ministarstvom vanjskih i europskih poslova čiji zamjenik ministrice predsjedava Savjetom. 20. travnja 2016. godine Vlada je donijela novu Odluku o osnivanju Savjeta inicijative Partnerstvo za otvorenu vlast. Slijedom okolnosti u kojima je Ured za udruge djelovao tijekom 2016., a koje su bile izvan utjecaja Ureda, Savjet nije konstituiran u 2016. već se imenovanje novih članova Savjeta očekuje u prvom kvartalu 2017. </w:t>
      </w:r>
    </w:p>
    <w:p w:rsidR="005C2091" w:rsidRDefault="00A86293">
      <w:r>
        <w:t xml:space="preserve">Provedba Akcijskog plana u većem dijelu teče prema planu i bez znatnih poteškoća, iako su uočena kašnjenja u jednom dijelu aktivnosti. U predstojećem razdoblju se planira intenziviranje provedbe aktivnosti kako bi se u cijelosti ispunili ciljevi usvajanja Akcijskog plana. </w:t>
      </w:r>
    </w:p>
    <w:p w:rsidR="005C2091" w:rsidRDefault="00A86293">
      <w:r>
        <w:t xml:space="preserve">Od ukupno 49 aktivnosti, u potpunosti je provedeno njih 12. U znatnoj mjeri je provedeno 15 aktivnosti. Odnosno, može se reći da je u potpunosti ili u većoj mjeri provedeno 55% aktivnosti. U manjoj mjeri je provedeno 17 aktivnosti. Nije započela provedba njih 5, odnosno 10 %. Provedba 16 aktivnosti (32 %) kasni s rokovima, no za većinu njih je provedba započela, a očekuje se da će sve biti provedene do kraja provedbe Akcijskog plana.   </w:t>
      </w:r>
    </w:p>
    <w:p w:rsidR="005C2091" w:rsidRDefault="00A86293">
      <w:r>
        <w:t xml:space="preserve">S obzirom na to da se aktivnosti Akcijskog plana u velikom dijelu odnose na donošenje novih regulativnih rješenja te strateških i drugih dokumenata i u slučajevima gdje su te aktivnosti provedene konkretne učinke tih aktivnosti će </w:t>
      </w:r>
      <w:r>
        <w:lastRenderedPageBreak/>
        <w:t>biti moguće procijeniti tek u narednom razdoblju. Ipak u prvoj godini provedbe Akcijskog plana ostvareni su i neki vrlo značajni rezultati s direktnim koristima za građane.</w:t>
      </w:r>
    </w:p>
    <w:p w:rsidR="005C2091" w:rsidRDefault="00A86293">
      <w:pPr>
        <w:pStyle w:val="Heading4"/>
      </w:pPr>
      <w:r>
        <w:t>A509069 OP UČINKOVITI LJUDSKI POTENCIJALI, PRIORITET 4 I 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A509069-OP UČINKOVITI LJUDSKI POTENCIJALI, PRIORITET 4 I 5</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4.365.552</w:t>
            </w:r>
          </w:p>
        </w:tc>
        <w:tc>
          <w:tcPr>
            <w:tcW w:w="2041" w:type="dxa"/>
          </w:tcPr>
          <w:p w:rsidR="005C2091" w:rsidRDefault="00A86293">
            <w:pPr>
              <w:pStyle w:val="CellColumn"/>
              <w:jc w:val="right"/>
            </w:pPr>
            <w:r>
              <w:rPr>
                <w:rFonts w:cs="Times New Roman"/>
              </w:rPr>
              <w:t>438.730</w:t>
            </w:r>
          </w:p>
        </w:tc>
        <w:tc>
          <w:tcPr>
            <w:tcW w:w="1224" w:type="dxa"/>
          </w:tcPr>
          <w:p w:rsidR="005C2091" w:rsidRDefault="00A86293">
            <w:pPr>
              <w:pStyle w:val="CellColumn"/>
              <w:jc w:val="right"/>
            </w:pPr>
            <w:r>
              <w:rPr>
                <w:rFonts w:cs="Times New Roman"/>
              </w:rPr>
              <w:t>10,0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Opis aktivnosti</w:t>
      </w:r>
    </w:p>
    <w:p w:rsidR="005C2091" w:rsidRDefault="00A86293">
      <w:r>
        <w:t xml:space="preserve">Ured za udruge je tijelo akreditirano za provođenje Operativnog programa "Razvoj ljudskih potencijala"  za Prioritetnu os 4. "Dobro upravljanje", investicijski prioritet 11.ii "Izgradnja kapaciteta za sve dionike koji osiguravaju obrazovanje, cjeloživotno obrazovanje, osposobljavanje te zapošljavanje i socijalne politike, uključujući uz pomoć sektorskih i teritorijalnih paktova radi omogućavanja reformi na nacionalnoj, regionalnoj i lokalnoj razini", specifični cilj 11.ii.1 "Razvoj kapaciteta organizacija civilnog društva, osobito udruga i socijalnih partnera, te jačanje civilnog i socijalnog dijaloga radi boljeg upravljanja". U okviru ove aktivnosti tijekom 2016. nije bilo raspisanih natječaja. </w:t>
      </w:r>
    </w:p>
    <w:p w:rsidR="005C2091" w:rsidRDefault="00A86293">
      <w:r>
        <w:t xml:space="preserve">Donošenjem Obavijesti o dodjeli bespovratnih sredstava od 31. ožujka 2016., Ministarstvo rada i mirovinskoga sustava u svojstvu Upravljačkog tijela za Operativni program „Učinkoviti ljudski potencijali 2014.-2020.“ dodijelilo je Uredu za udruge Ugovor UP.05.1.1.01.0009. u svrhu podmirivanja troškova tijekom provedbe aktivnosti Ureda za udruge kao Posredničkog tijela prve razine. </w:t>
      </w:r>
    </w:p>
    <w:p w:rsidR="005C2091" w:rsidRDefault="00A86293">
      <w:r>
        <w:t xml:space="preserve">Aktivnosti koje se financiranju odobrenim Ugovorom obuhvaćaju organizaciju informativnih, implementacijskih i edukativnih radionica u svrhu povećanje apsorpcije sredstava iz EU fondova od strane organizacija civilnoga društva, jačanje kapaciteta djelatnika i općenito Ureda za udruge čime se doprinosi jačanju Sustava za upravljanje i kontrolu EU fondova, promocija i povećanje vidljivosti ESF projekata, a predviđeno je i podmirenje troškova plaća i ostalih troškova djelatnika koji rade na poslovima provedbe Operativnog programa „Učinkoviti ljudski potencijali 2014.-2020.“ </w:t>
      </w:r>
    </w:p>
    <w:p w:rsidR="005C2091" w:rsidRDefault="00A86293">
      <w:r>
        <w:t>Razdoblje provedbe projekta je od 1. siječnja 2015. do 31. prosinca 2018., a tijekom 2016. aktivnost se provodila kroz osiguravanje sredstava za organizaciju projektnih klinika za potencijalne prijavitelje na natječaje Ureda za udruge koji će se raspisivati tijekom 2017., kao i za stručno usavršavanje zaposlenika Ureda koji rade na poslovima upravljanja projektima financiranima iz Europskog socijalnog fonda te nabavku uredske opreme.</w:t>
      </w:r>
    </w:p>
    <w:p w:rsidR="005C2091" w:rsidRDefault="00A86293">
      <w:pPr>
        <w:pStyle w:val="Heading4"/>
      </w:pPr>
      <w:r>
        <w:t>K509020 INFORMATIZACIJA UREDA ZA UDRUGE</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K509020-INFORMATIZACIJA UREDA ZA UDRUGE</w:t>
            </w:r>
          </w:p>
        </w:tc>
        <w:tc>
          <w:tcPr>
            <w:tcW w:w="2041" w:type="dxa"/>
          </w:tcPr>
          <w:p w:rsidR="005C2091" w:rsidRDefault="00A86293">
            <w:pPr>
              <w:pStyle w:val="CellColumn"/>
              <w:jc w:val="right"/>
            </w:pPr>
            <w:r>
              <w:rPr>
                <w:rFonts w:cs="Times New Roman"/>
              </w:rPr>
              <w:t>156.411</w:t>
            </w:r>
          </w:p>
        </w:tc>
        <w:tc>
          <w:tcPr>
            <w:tcW w:w="2041" w:type="dxa"/>
          </w:tcPr>
          <w:p w:rsidR="005C2091" w:rsidRDefault="00A86293">
            <w:pPr>
              <w:pStyle w:val="CellColumn"/>
              <w:jc w:val="right"/>
            </w:pPr>
            <w:r>
              <w:rPr>
                <w:rFonts w:cs="Times New Roman"/>
              </w:rPr>
              <w:t>165.020</w:t>
            </w:r>
          </w:p>
        </w:tc>
        <w:tc>
          <w:tcPr>
            <w:tcW w:w="2041" w:type="dxa"/>
          </w:tcPr>
          <w:p w:rsidR="005C2091" w:rsidRDefault="00A86293">
            <w:pPr>
              <w:pStyle w:val="CellColumn"/>
              <w:jc w:val="right"/>
            </w:pPr>
            <w:r>
              <w:rPr>
                <w:rFonts w:cs="Times New Roman"/>
              </w:rPr>
              <w:t>144.018</w:t>
            </w:r>
          </w:p>
        </w:tc>
        <w:tc>
          <w:tcPr>
            <w:tcW w:w="1224" w:type="dxa"/>
          </w:tcPr>
          <w:p w:rsidR="005C2091" w:rsidRDefault="00A86293">
            <w:pPr>
              <w:pStyle w:val="CellColumn"/>
              <w:jc w:val="right"/>
            </w:pPr>
            <w:r>
              <w:rPr>
                <w:rFonts w:cs="Times New Roman"/>
              </w:rPr>
              <w:t>87,3</w:t>
            </w:r>
          </w:p>
        </w:tc>
        <w:tc>
          <w:tcPr>
            <w:tcW w:w="1224" w:type="dxa"/>
          </w:tcPr>
          <w:p w:rsidR="005C2091" w:rsidRDefault="00A86293">
            <w:pPr>
              <w:pStyle w:val="CellColumn"/>
              <w:jc w:val="right"/>
            </w:pPr>
            <w:r>
              <w:rPr>
                <w:rFonts w:cs="Times New Roman"/>
              </w:rPr>
              <w:t>92,1</w:t>
            </w:r>
          </w:p>
        </w:tc>
      </w:tr>
    </w:tbl>
    <w:p w:rsidR="005C2091" w:rsidRDefault="005C2091">
      <w:pPr>
        <w:jc w:val="left"/>
      </w:pPr>
    </w:p>
    <w:p w:rsidR="005C2091" w:rsidRDefault="00A86293">
      <w:pPr>
        <w:pStyle w:val="Heading8"/>
        <w:jc w:val="left"/>
      </w:pPr>
      <w:r>
        <w:t>Opis aktivnosti</w:t>
      </w:r>
    </w:p>
    <w:p w:rsidR="005C2091" w:rsidRDefault="00A86293">
      <w:r>
        <w:t xml:space="preserve">Za provedbu ove aktivnosti tijekom 2016. Ured za udruge imao je troškove licenci koje obuhvaćaju antivirusnu zaštitu „F-Secure “ antivirusni sustav, namijenjen zaštiti klijentskih računala i poslužitelja (35 licenci), a trošak </w:t>
      </w:r>
      <w:r>
        <w:lastRenderedPageBreak/>
        <w:t xml:space="preserve">uključuje i cijenu instalacije i implementacije. Također, nabavljene su Microsoft licence: 14 produljenih starih klijentskih licenci i 18 novih te nekoliko poslužiteljskih (za potrebe korištenja Exchange mail  sustava te drugih poslužitelja).   </w:t>
      </w:r>
    </w:p>
    <w:p w:rsidR="005C2091" w:rsidRDefault="00A86293">
      <w:r>
        <w:t>Od informatičke uredske opreme u 2016. nabavljeno je  nekoliko  prijenosnih i stolnih računala, 1 tablet, nadograđen je IBM poslužitelj (radi kvalitetnijeg rada aplikacije Udrugeinfo) te je nabavljen zamjenski disk za pohranu podataka.</w:t>
      </w:r>
    </w:p>
    <w:p w:rsidR="005C2091" w:rsidRDefault="00A86293">
      <w:pPr>
        <w:pStyle w:val="Heading2"/>
      </w:pPr>
      <w:r>
        <w:t>02015 Ured zastupnika Republike Hrvatske pred Europskim sudom za ljudska prava</w:t>
      </w:r>
    </w:p>
    <w:p w:rsidR="005C2091" w:rsidRDefault="00A86293">
      <w:r>
        <w:t xml:space="preserve">Ured zastupnika RH pred Europskim sudom za ljudska prava je stručna služba Vlade RH u kojoj se obavljaju poslovi zastupanja državnih interesa u svim sudskim postupcima koji su pokrenuti protiv RH pred Europskim sudom za ljudska prava (ESLJP), poslovi koordiniranja  izvršenja presuda i odluka Europskog suda za ljudska prava u Hrvatskoj te predstavljanja procesa izvršenja pred Odborom ministara Vijeća Europe, kao i poslovi usklađivanja zakonodavstva s Konvencijom i širenja znanja o Konvenciji i sudskoj praksi Suda. </w:t>
      </w:r>
    </w:p>
    <w:p w:rsidR="005C2091" w:rsidRDefault="00A86293">
      <w:r>
        <w:t xml:space="preserve">U svrhu navedenog posebice se obavljaju sljedeći poslovi: </w:t>
      </w:r>
    </w:p>
    <w:p w:rsidR="005C2091" w:rsidRDefault="00A86293">
      <w:r>
        <w:t xml:space="preserve">– poslovi pripreme svih očitovanja države u postupcima pred Europskim sudom za ljudska prava, </w:t>
      </w:r>
    </w:p>
    <w:p w:rsidR="005C2091" w:rsidRDefault="00A86293">
      <w:r>
        <w:t xml:space="preserve">– poslovi pripreme i sudjelovanja na usmenim ročištima pred Europskim sudom za ljudska prava, </w:t>
      </w:r>
    </w:p>
    <w:p w:rsidR="005C2091" w:rsidRDefault="00A86293">
      <w:r>
        <w:t xml:space="preserve">– poslovi pripreme i sudjelovanja u koordiniranju izvršenja presuda i odluka Europskog suda za ljudska prava, </w:t>
      </w:r>
    </w:p>
    <w:p w:rsidR="005C2091" w:rsidRDefault="00A86293">
      <w:r>
        <w:t xml:space="preserve">– poslovi pripreme i sudjelovanja na sastancima Odbora ministara Vijeća Europe o izvršenju presuda Europskog suda za ljudska prava, </w:t>
      </w:r>
    </w:p>
    <w:p w:rsidR="005C2091" w:rsidRDefault="00A86293">
      <w:r>
        <w:t xml:space="preserve">– poslovi pripreme mišljenja o usklađenosti hrvatskih propisa s Konvencijom i sudskom praksom Europskog suda za ljudska prava, </w:t>
      </w:r>
    </w:p>
    <w:p w:rsidR="005C2091" w:rsidRDefault="00A86293">
      <w:r>
        <w:t xml:space="preserve">– te poslovi usmjereni na upoznavanje države s Konvencijom i sudskom praksom Europskog suda. </w:t>
      </w:r>
    </w:p>
    <w:p w:rsidR="005C2091" w:rsidRDefault="00A86293">
      <w:r>
        <w:t xml:space="preserve">U obavljanju povjerenih poslova zastupnik je ovlašten: </w:t>
      </w:r>
    </w:p>
    <w:p w:rsidR="005C2091" w:rsidRDefault="00A86293">
      <w:r>
        <w:t xml:space="preserve">– zastupati interese Republike Hrvatske u svim postupcima pred Europskim sudom za ljudska prava, </w:t>
      </w:r>
    </w:p>
    <w:p w:rsidR="005C2091" w:rsidRDefault="00A86293">
      <w:r>
        <w:t xml:space="preserve">– koordinirati izvršenja presuda i odluka Europskog suda za ljudska prava u Republici Hrvatskoj, </w:t>
      </w:r>
    </w:p>
    <w:p w:rsidR="005C2091" w:rsidRDefault="00A86293">
      <w:r>
        <w:t xml:space="preserve">– predstavljati Republiku Hrvatsku u postupku nadzora izvršenja pred Odborom ministara Vijeća Europe, </w:t>
      </w:r>
    </w:p>
    <w:p w:rsidR="005C2091" w:rsidRDefault="00A86293">
      <w:r>
        <w:t xml:space="preserve">– davati mišljenja o usklađenosti hrvatskih propisa s Konvencijom za zaštitu ljudskih prava i temeljnih sloboda (u daljnjem tekstu: Konvencija) i sudskom praksom Europskog suda za ljudska prava, </w:t>
      </w:r>
    </w:p>
    <w:p w:rsidR="005C2091" w:rsidRDefault="00A86293">
      <w:r>
        <w:t xml:space="preserve">– pregovarati sa strankama koje sudjeluju u postupku pred Europskim sudom za ljudska prava u svrhu postizanja prijateljskog rješenja spora sukladno članku 39. Konvencije, </w:t>
      </w:r>
    </w:p>
    <w:p w:rsidR="005C2091" w:rsidRDefault="00A86293">
      <w:r>
        <w:t xml:space="preserve">– pratiti razvoj sudske prakse Europskog suda za ljudska prava i upoznavati sve grane vlasti s istom kao i s razvojem Konvencije, te pratiti razvoj sudske prakse sudova Europske unije i drugih međunarodnih tijela u području ljudskih prava, </w:t>
      </w:r>
    </w:p>
    <w:p w:rsidR="005C2091" w:rsidRDefault="00A86293">
      <w:r>
        <w:t xml:space="preserve">– sudjelovati u postupcima izrade nacrta prijedloga zakona radi usklađivanja s Konvencijom i sudskom praksom Europskog suda za ljudska prava, </w:t>
      </w:r>
    </w:p>
    <w:p w:rsidR="005C2091" w:rsidRDefault="00A86293">
      <w:r>
        <w:t xml:space="preserve">– predstavljati Republiku Hrvatsku u stručnim tijelima Vijeća Europe vezanim za rad Europskog suda za ljudska prava, te u drugim tijelima vezanim za razvoj Konvencije i konvencijskog prava. </w:t>
      </w:r>
    </w:p>
    <w:p w:rsidR="005C2091" w:rsidRDefault="00A86293">
      <w:r>
        <w:t>Ujedno, zastupnik je i središnja točka u Republici Hrvatskoj kojoj Europski sud za ljudska prava dostavlja prijedloge za izdavanje privremenih mjera protiv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lastRenderedPageBreak/>
              <w:t>02015-Ured zastupnika Republike Hrvatske pred Europskim sudom za ljudska prava</w:t>
            </w:r>
          </w:p>
        </w:tc>
        <w:tc>
          <w:tcPr>
            <w:tcW w:w="2041" w:type="dxa"/>
            <w:vAlign w:val="top"/>
          </w:tcPr>
          <w:p w:rsidR="005C2091" w:rsidRDefault="00A86293">
            <w:pPr>
              <w:pStyle w:val="CellColumn"/>
              <w:jc w:val="right"/>
            </w:pPr>
            <w:r>
              <w:rPr>
                <w:rFonts w:cs="Times New Roman"/>
              </w:rPr>
              <w:t>2.705.509</w:t>
            </w:r>
          </w:p>
        </w:tc>
        <w:tc>
          <w:tcPr>
            <w:tcW w:w="2041" w:type="dxa"/>
            <w:vAlign w:val="top"/>
          </w:tcPr>
          <w:p w:rsidR="005C2091" w:rsidRDefault="00A86293">
            <w:pPr>
              <w:pStyle w:val="CellColumn"/>
              <w:jc w:val="right"/>
            </w:pPr>
            <w:r>
              <w:rPr>
                <w:rFonts w:cs="Times New Roman"/>
              </w:rPr>
              <w:t>5.565.195</w:t>
            </w:r>
          </w:p>
        </w:tc>
        <w:tc>
          <w:tcPr>
            <w:tcW w:w="2041" w:type="dxa"/>
            <w:vAlign w:val="top"/>
          </w:tcPr>
          <w:p w:rsidR="005C2091" w:rsidRDefault="00A86293">
            <w:pPr>
              <w:pStyle w:val="CellColumn"/>
              <w:jc w:val="right"/>
            </w:pPr>
            <w:r>
              <w:rPr>
                <w:rFonts w:cs="Times New Roman"/>
              </w:rPr>
              <w:t>4.878.436</w:t>
            </w:r>
          </w:p>
        </w:tc>
        <w:tc>
          <w:tcPr>
            <w:tcW w:w="1224" w:type="dxa"/>
            <w:vAlign w:val="top"/>
          </w:tcPr>
          <w:p w:rsidR="005C2091" w:rsidRDefault="00A86293">
            <w:pPr>
              <w:pStyle w:val="CellColumn"/>
              <w:jc w:val="right"/>
            </w:pPr>
            <w:r>
              <w:rPr>
                <w:rFonts w:cs="Times New Roman"/>
              </w:rPr>
              <w:t>87,7</w:t>
            </w:r>
          </w:p>
        </w:tc>
        <w:tc>
          <w:tcPr>
            <w:tcW w:w="1224" w:type="dxa"/>
            <w:vAlign w:val="top"/>
          </w:tcPr>
          <w:p w:rsidR="005C2091" w:rsidRDefault="00A86293">
            <w:pPr>
              <w:pStyle w:val="CellColumn"/>
              <w:jc w:val="right"/>
            </w:pPr>
            <w:r>
              <w:rPr>
                <w:rFonts w:cs="Times New Roman"/>
              </w:rPr>
              <w:t>180,3</w:t>
            </w:r>
          </w:p>
        </w:tc>
      </w:tr>
      <w:tr w:rsidR="005C2091">
        <w:trPr>
          <w:jc w:val="center"/>
        </w:trPr>
        <w:tc>
          <w:tcPr>
            <w:tcW w:w="1632" w:type="dxa"/>
          </w:tcPr>
          <w:p w:rsidR="005C2091" w:rsidRDefault="00A86293">
            <w:pPr>
              <w:jc w:val="left"/>
            </w:pPr>
            <w:r>
              <w:t>2119-ZASTUPANJE REPUBLIKE HRVATSKE PRED EUROPSKIM SUDOM ZA LJUDSKA PRAVA</w:t>
            </w:r>
          </w:p>
        </w:tc>
        <w:tc>
          <w:tcPr>
            <w:tcW w:w="2041" w:type="dxa"/>
          </w:tcPr>
          <w:p w:rsidR="005C2091" w:rsidRDefault="00A86293">
            <w:pPr>
              <w:jc w:val="right"/>
            </w:pPr>
            <w:r>
              <w:t>2.705.509</w:t>
            </w:r>
          </w:p>
        </w:tc>
        <w:tc>
          <w:tcPr>
            <w:tcW w:w="2041" w:type="dxa"/>
          </w:tcPr>
          <w:p w:rsidR="005C2091" w:rsidRDefault="00A86293">
            <w:pPr>
              <w:jc w:val="right"/>
            </w:pPr>
            <w:r>
              <w:t>5.565.195</w:t>
            </w:r>
          </w:p>
        </w:tc>
        <w:tc>
          <w:tcPr>
            <w:tcW w:w="2041" w:type="dxa"/>
          </w:tcPr>
          <w:p w:rsidR="005C2091" w:rsidRDefault="00A86293">
            <w:pPr>
              <w:jc w:val="right"/>
            </w:pPr>
            <w:r>
              <w:t>4.878.436</w:t>
            </w:r>
          </w:p>
        </w:tc>
        <w:tc>
          <w:tcPr>
            <w:tcW w:w="1224" w:type="dxa"/>
          </w:tcPr>
          <w:p w:rsidR="005C2091" w:rsidRDefault="00A86293">
            <w:pPr>
              <w:jc w:val="right"/>
            </w:pPr>
            <w:r>
              <w:t>87,7</w:t>
            </w:r>
          </w:p>
        </w:tc>
        <w:tc>
          <w:tcPr>
            <w:tcW w:w="1224" w:type="dxa"/>
          </w:tcPr>
          <w:p w:rsidR="005C2091" w:rsidRDefault="00A86293">
            <w:pPr>
              <w:jc w:val="right"/>
            </w:pPr>
            <w:r>
              <w:t>180,3</w:t>
            </w:r>
          </w:p>
        </w:tc>
      </w:tr>
    </w:tbl>
    <w:p w:rsidR="005C2091" w:rsidRDefault="005C2091">
      <w:pPr>
        <w:jc w:val="left"/>
      </w:pPr>
    </w:p>
    <w:p w:rsidR="005C2091" w:rsidRDefault="00A86293">
      <w:pPr>
        <w:pStyle w:val="Heading3"/>
      </w:pPr>
      <w:r>
        <w:rPr>
          <w:rFonts w:cs="Times New Roman"/>
        </w:rPr>
        <w:t>2119 ZASTUPANJE REPUBLIKE HRVATSKE PRED EUROPSKIM SUDOM ZA LJUDSKA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2119-ZASTUPANJE REPUBLIKE HRVATSKE PRED EUROPSKIM SUDOM ZA LJUDSKA PRAVA</w:t>
            </w:r>
          </w:p>
        </w:tc>
        <w:tc>
          <w:tcPr>
            <w:tcW w:w="2041" w:type="dxa"/>
          </w:tcPr>
          <w:p w:rsidR="005C2091" w:rsidRDefault="00A86293">
            <w:pPr>
              <w:pStyle w:val="CellColumn"/>
              <w:jc w:val="right"/>
            </w:pPr>
            <w:r>
              <w:rPr>
                <w:rFonts w:cs="Times New Roman"/>
              </w:rPr>
              <w:t>2.705.509</w:t>
            </w:r>
          </w:p>
        </w:tc>
        <w:tc>
          <w:tcPr>
            <w:tcW w:w="2041" w:type="dxa"/>
          </w:tcPr>
          <w:p w:rsidR="005C2091" w:rsidRDefault="00A86293">
            <w:pPr>
              <w:pStyle w:val="CellColumn"/>
              <w:jc w:val="right"/>
            </w:pPr>
            <w:r>
              <w:rPr>
                <w:rFonts w:cs="Times New Roman"/>
              </w:rPr>
              <w:t>5.565.195</w:t>
            </w:r>
          </w:p>
        </w:tc>
        <w:tc>
          <w:tcPr>
            <w:tcW w:w="2041" w:type="dxa"/>
          </w:tcPr>
          <w:p w:rsidR="005C2091" w:rsidRDefault="00A86293">
            <w:pPr>
              <w:pStyle w:val="CellColumn"/>
              <w:jc w:val="right"/>
            </w:pPr>
            <w:r>
              <w:rPr>
                <w:rFonts w:cs="Times New Roman"/>
              </w:rPr>
              <w:t>4.878.436</w:t>
            </w:r>
          </w:p>
        </w:tc>
        <w:tc>
          <w:tcPr>
            <w:tcW w:w="1224" w:type="dxa"/>
          </w:tcPr>
          <w:p w:rsidR="005C2091" w:rsidRDefault="00A86293">
            <w:pPr>
              <w:pStyle w:val="CellColumn"/>
              <w:jc w:val="right"/>
            </w:pPr>
            <w:r>
              <w:rPr>
                <w:rFonts w:cs="Times New Roman"/>
              </w:rPr>
              <w:t>87,7</w:t>
            </w:r>
          </w:p>
        </w:tc>
        <w:tc>
          <w:tcPr>
            <w:tcW w:w="1224" w:type="dxa"/>
          </w:tcPr>
          <w:p w:rsidR="005C2091" w:rsidRDefault="00A86293">
            <w:pPr>
              <w:pStyle w:val="CellColumn"/>
              <w:jc w:val="right"/>
            </w:pPr>
            <w:r>
              <w:rPr>
                <w:rFonts w:cs="Times New Roman"/>
              </w:rPr>
              <w:t>180,3</w:t>
            </w:r>
          </w:p>
        </w:tc>
      </w:tr>
    </w:tbl>
    <w:p w:rsidR="005C2091" w:rsidRDefault="005C2091">
      <w:pPr>
        <w:jc w:val="left"/>
      </w:pPr>
    </w:p>
    <w:p w:rsidR="005C2091" w:rsidRDefault="00A86293">
      <w:r>
        <w:t xml:space="preserve">Republika Hrvatska tužena je u velikom broju predmeta pred Europskim sudom za ljudska prava. Složenost predmeta u stalnom su porastu, dok broj novih zahtjeva (tužbi) koje Europski sud dostavlja Uredu zastupnika u rad trenutno ne raste. Međutim, raste broj donesenih presuda i odluka, kao i broj neizvršenih presuda Europskog suda za ljudska prava od strane Republike Hrvatske. U porastu su također aktivnosti Ureda usmjerene na širenje znanja o konvencijskom pravu u svrhu ranog sprječavanja povreda Konvencije, dok poslovi usklađivanja nacrta zakona s konvencijskim pravom ovise o zakonodavnoj aktivnosti Vlade RH. </w:t>
      </w:r>
    </w:p>
    <w:p w:rsidR="005C2091" w:rsidRDefault="00A86293">
      <w:r>
        <w:t xml:space="preserve">Tablica novih zahtjeva (tužbi) protiv Republike Hrvatske pred sudskim vijećem Europskog suda za ljudska prava: </w:t>
      </w:r>
    </w:p>
    <w:p w:rsidR="005C2091" w:rsidRDefault="00A86293">
      <w:r>
        <w:t xml:space="preserve">2013.     2014.     2015.     2016. </w:t>
      </w:r>
    </w:p>
    <w:p w:rsidR="005C2091" w:rsidRDefault="00A86293">
      <w:r>
        <w:t>1842</w:t>
      </w:r>
      <w:r>
        <w:tab/>
        <w:t xml:space="preserve"> 1095</w:t>
      </w:r>
      <w:r>
        <w:tab/>
        <w:t xml:space="preserve">   812</w:t>
      </w:r>
      <w:r>
        <w:tab/>
        <w:t xml:space="preserve">764 </w:t>
      </w:r>
    </w:p>
    <w:p w:rsidR="005C2091" w:rsidRDefault="00A86293">
      <w:r>
        <w:t xml:space="preserve">Tablica novih zahtjeva (tužbi) koje je Europski sud uputio Uredu čime započinje sudski spor: </w:t>
      </w:r>
    </w:p>
    <w:p w:rsidR="005C2091" w:rsidRDefault="00A86293">
      <w:r>
        <w:t>2013.</w:t>
      </w:r>
      <w:r>
        <w:tab/>
        <w:t xml:space="preserve">     2014.     2015.     2016.  </w:t>
      </w:r>
    </w:p>
    <w:p w:rsidR="005C2091" w:rsidRDefault="00A86293">
      <w:r>
        <w:t>140</w:t>
      </w:r>
      <w:r>
        <w:tab/>
        <w:t xml:space="preserve">      113</w:t>
      </w:r>
      <w:r>
        <w:tab/>
        <w:t xml:space="preserve">   </w:t>
      </w:r>
      <w:r w:rsidR="00E65456">
        <w:t xml:space="preserve">    148         </w:t>
      </w:r>
      <w:r>
        <w:t xml:space="preserve">85 </w:t>
      </w:r>
    </w:p>
    <w:p w:rsidR="005C2091" w:rsidRDefault="00A86293">
      <w:r>
        <w:t xml:space="preserve">Nastavljen je trend isticanja prigovora većeg broja kršenja raznih konvencijskih prava i sloboda, koja spadaju u najteže povrede Konvencije (npr. pravo na život, zabrana mučenja i ponižavajućeg postupanja, zabrana diskriminacije, pravo na osobnu slobodu,pravo na privatni i obiteljski život, itd.).  </w:t>
      </w:r>
    </w:p>
    <w:p w:rsidR="005C2091" w:rsidRDefault="00A86293">
      <w:r>
        <w:t xml:space="preserve">Novi predmeti (zahtjevi) odnosili su se na nove aspekte povreda Konvencije u domaćim postupcima koji do sada nisu bili u fokusu razmatranja Suda (npr. rad hrvatskih sigurnosnih službi i sudski nadzor toga rada, rad jedinica </w:t>
      </w:r>
      <w:r>
        <w:lastRenderedPageBreak/>
        <w:t xml:space="preserve">lokalne (regionalne) samouprave pri izdavanju uporabne dozvole za nekretninu, zaštita okoliša u kontekstu upravljanja odlagalištem otpada, provođenje etičkih postupaka na fakultetima zbog plagiranja, uloga države u zaštiti djece u kompleksnim obiteljskim odnosima, zaštita prava na sindikalno udruživanje).       </w:t>
      </w:r>
    </w:p>
    <w:p w:rsidR="005C2091" w:rsidRDefault="00A86293">
      <w:r>
        <w:t xml:space="preserve">Tablica donesenih presuda (p) i odluka o nedopuštenosti zahtjeva (od) koje je Europski sud donio u odnosu na Hrvatsku: </w:t>
      </w:r>
    </w:p>
    <w:p w:rsidR="005C2091" w:rsidRDefault="00A86293">
      <w:r>
        <w:t>2013.</w:t>
      </w:r>
      <w:r>
        <w:tab/>
        <w:t xml:space="preserve">                        2014.</w:t>
      </w:r>
      <w:r>
        <w:tab/>
        <w:t xml:space="preserve">                       2015.                        2016. </w:t>
      </w:r>
    </w:p>
    <w:p w:rsidR="005C2091" w:rsidRDefault="00A86293">
      <w:r>
        <w:t>24p + 6od =30</w:t>
      </w:r>
      <w:r>
        <w:tab/>
        <w:t xml:space="preserve">  27p + 16od = 43</w:t>
      </w:r>
      <w:r>
        <w:tab/>
        <w:t>25p + 20od = 45</w:t>
      </w:r>
      <w:r>
        <w:tab/>
        <w:t xml:space="preserve">34P + 27OD = 61 </w:t>
      </w:r>
    </w:p>
    <w:p w:rsidR="005C2091" w:rsidRDefault="00A86293">
      <w:r>
        <w:t xml:space="preserve">Europski sud je donio 61 presudu i odluku u odnosu na Hrvatsku što predstavlja povećanje veće od 100 % u odnosu 2013. g. odnosno 35 % u odnosu na 2015.g. Među donesenim presudama posebno se ističe presuda Velikog vijeća Muršić, trenutno vodeća presuda Europskog suda koja se odnosi na odgovarajuće uvjete smještaja u zatvoru. Europski sud je po prvi puta u odnosu na Republiku Hrvatsku presudio u presudi S.L.i J.L. državi plaćanje materijalne štete u vrlo visokom iznosu (300.000,00 EUR). Od odluka posebno se ističe odluka Glavaš u kojoj je zahtjev (tužba) podnositelja odbačena zbog zlouporabe prava na podnošenje zahtjeva Europskom sudu.       </w:t>
      </w:r>
    </w:p>
    <w:p w:rsidR="005C2091" w:rsidRDefault="00A86293">
      <w:r>
        <w:t xml:space="preserve">Povećanje broja presuda posljedično povećava opseg poslova u cilju njihovog izvršenja, te ukazuje na dalja kršenja ljudskih prava u Hrvatskoj koja su već prije detektirana od strane Europskog suda.   </w:t>
      </w:r>
    </w:p>
    <w:p w:rsidR="005C2091" w:rsidRDefault="00A86293">
      <w:r>
        <w:t xml:space="preserve"> </w:t>
      </w:r>
    </w:p>
    <w:p w:rsidR="005C2091" w:rsidRDefault="00A86293">
      <w:r>
        <w:t xml:space="preserve">Tablica presuda i odluka ESLJP u odnosu na Republiku Hrvatsku u postupku nadzora izvršenja pred Odborom ministara Vijeća Europe (OMVE): </w:t>
      </w:r>
    </w:p>
    <w:p w:rsidR="005C2091" w:rsidRDefault="00A86293">
      <w:r>
        <w:t>2013.</w:t>
      </w:r>
      <w:r>
        <w:tab/>
        <w:t xml:space="preserve">     2014.     2015.     2016. </w:t>
      </w:r>
    </w:p>
    <w:p w:rsidR="005C2091" w:rsidRDefault="00A86293">
      <w:r>
        <w:t>158</w:t>
      </w:r>
      <w:r>
        <w:tab/>
        <w:t xml:space="preserve">      188</w:t>
      </w:r>
      <w:r>
        <w:tab/>
        <w:t xml:space="preserve">   189</w:t>
      </w:r>
      <w:r>
        <w:tab/>
      </w:r>
      <w:r w:rsidR="002B7323">
        <w:t xml:space="preserve">        </w:t>
      </w:r>
      <w:r>
        <w:t xml:space="preserve">180 </w:t>
      </w:r>
    </w:p>
    <w:p w:rsidR="005C2091" w:rsidRDefault="00A86293">
      <w:r>
        <w:t xml:space="preserve">Veliki broj presuda i odluka ESLJP u postupku nadzora izvršenja rezultat je rasta broja presuda i odluka protiv Republike Hrvatske s jedne strane i teškoća državnih tijela da se problemima identificiranim u pojedinim presudama pozabave na prikladan način i uklone uzroke povrede Konvencije. To rezultira stalnim povećanjem broja tzv. </w:t>
      </w:r>
    </w:p>
    <w:p w:rsidR="005C2091" w:rsidRDefault="00A86293">
      <w:r>
        <w:t xml:space="preserve">vodećih i repetitivnih predmeta koji nisu izvršeni niti pet godina nakon konačnosti presuda tzv.„stari“ predmeti (npr. problem nerazumne duljine trajanja sudskih postupaka, neučinkovitosti istraga, problem neujednačene sudske prakse u raznim pravnim područjima, problemi vezani uz (ne)primjenu Konvencije o građansko-pravnim aspektima međunarodne otmice djece, itd.). </w:t>
      </w:r>
    </w:p>
    <w:p w:rsidR="005C2091" w:rsidRDefault="00A86293">
      <w:r>
        <w:t xml:space="preserve">Ured zastupnika Republike Hrvatske kao nacionalni koordinator za izvršenje presuda i odluka Europskog suda ukazuje na uočene probleme, predlaže moguća poboljšanja i potiče dijalog sa svim nositeljima vlasti, kako bi se osigurao dovoljan stupanj učinkovitosti postupka izvršenja presuda Europskog suda. Učinkovitost postupaka izvršenja presuda i odluka Europskog suda za ljudska prava pronalazi svoje opravdanje u preventivnom djelovanju, jer se kvalitetnim izvršenjem presuda Europskog suda preveniraju moguće buduće istovrsne povrede, i tako posljedično pridonosi smanjenju broja postupaka protiv Republike Hrvatske pred Europskim sudom za ljudska prava, a istom cilju doprinosi i kvalitetan rad na usklađivanju domaćeg zakonodavstva s konvencijskim sustavom. </w:t>
      </w:r>
    </w:p>
    <w:p w:rsidR="005C2091" w:rsidRDefault="00A86293">
      <w:r>
        <w:t xml:space="preserve">Treći segment u ostvarivanju programa predstavljaju poslovi davanja mišljenja o usklađenosti hrvatskih propisa s Konvencijom i sudskom praksom Europskog suda za ljudska prava, praćenje razvoja prakse Europskog suda za ljudska prava i drugih međunarodnih tijela na području ljudskih prava, prevođenje i sažimanje najvažnijih presuda te diseminacija konvencijskog prava u svrhu širenja znanja o Konvenciji i sudskoj praksi Suda. </w:t>
      </w:r>
    </w:p>
    <w:p w:rsidR="005C2091" w:rsidRDefault="00A86293">
      <w:r>
        <w:t xml:space="preserve">Tablica broja danih mišljenja Ureda zastupnika na nacrte prijedloga zakona: </w:t>
      </w:r>
    </w:p>
    <w:p w:rsidR="005C2091" w:rsidRDefault="00A86293">
      <w:r>
        <w:t>2013.</w:t>
      </w:r>
      <w:r>
        <w:tab/>
        <w:t xml:space="preserve">     2014.     2015.     2016.  </w:t>
      </w:r>
    </w:p>
    <w:p w:rsidR="005C2091" w:rsidRDefault="00A86293">
      <w:r>
        <w:t xml:space="preserve">   5</w:t>
      </w:r>
      <w:r>
        <w:tab/>
        <w:t xml:space="preserve">       20</w:t>
      </w:r>
      <w:r>
        <w:tab/>
        <w:t xml:space="preserve">    22</w:t>
      </w:r>
      <w:r>
        <w:tab/>
        <w:t xml:space="preserve">         11 </w:t>
      </w:r>
    </w:p>
    <w:p w:rsidR="005C2091" w:rsidRDefault="00A86293">
      <w:r>
        <w:t xml:space="preserve">Zbog smanjene zakonodavne aktivnosti Vlade u 2016. Ured nije od predlagatelja zakona dobivao veći broj nacrta prijedloga zakona na mišljenje. Međutim, u svim zaprimljenim nacrtima Ured je dao mišljenje o sukladnosti nacrta sa Konvencijom i sudskom praksom Europskog suda.  Također, izdana su 4 periodična Pregleda sudske prakse ESLJP koja obrađuju najvažnije presude i odluke Europskog suda u drugoj polovici 2015. i prvoj polovici 2016.g. koji su dostupni na mrežnoj stranici Ureda (https://uredzastupnika.gov.hr).   </w:t>
      </w:r>
    </w:p>
    <w:p w:rsidR="005C2091" w:rsidRDefault="00A86293">
      <w:r>
        <w:lastRenderedPageBreak/>
        <w:t xml:space="preserve">Zaključno, novi zahtjevi pred Sudom i teškoće u izvršenju presuda ukazuju na sve veće poznavanje konvencije od strane građana i odvjetnika, dok državne vlasti (posebice sudbena i izvršna vlast) koje bi trebale spriječiti kršenja ljudskih prava i temeljnih sloboda dok odlučuju o određenom predmetu to znanje ne posjeduju, niti Konvenciju dovoljno i kvalitetno primjenjuju u svom radu. Stoga građani, pravne osobe i nevladine udruge sve učestalije traže međunarodnu pravnu zaštitu ljudskih prava i temeljnih sloboda jer povrede tih prava i sloboda nisu sankcionirala hrvatska tijela. </w:t>
      </w:r>
    </w:p>
    <w:p w:rsidR="005C2091" w:rsidRDefault="00A86293">
      <w:r>
        <w:t>Kvaliteta i učinkovitost rada Ureda zastupnika RH bitna je zbog osiguranja poštivanja ljudskih prava kao jednog od strateških ciljeva Vlade Republike Hrvatske, prema njenom Programu. Ured je jedino tijelo u Hrvatskoj koje neposredno utječe na stvaranje konvencijskog prava koje je pravo primjenjivo u Hrvatskoj još od 1997. Jak Ured zastupnika potreban je zbog kvalitetnog zastupanja države u položaju stranke pred međunarodnim sudom, poticanja izvršenja presuda i odluka Europskog suda za ljudska prava, širenja znanja o konvencijskom pravu i sprječavanja povreda ranim detektiranjem problema.</w:t>
      </w:r>
    </w:p>
    <w:p w:rsidR="005C2091" w:rsidRDefault="00A86293">
      <w:pPr>
        <w:pStyle w:val="Heading8"/>
        <w:jc w:val="left"/>
      </w:pPr>
      <w:r>
        <w:t xml:space="preserve">Cilj 1. Zastupanje interesa Republike Hrvatske u postupcima pred Europskim sudom za ljudska prava i pred Odborom ministara Vijeća Europe, te doprinos smanjenju broja tužbi protiv Republike Hrvatske pred Europskim sudom za ljudska prava </w:t>
      </w:r>
    </w:p>
    <w:p w:rsidR="005C2091" w:rsidRDefault="00A86293">
      <w:pPr>
        <w:pStyle w:val="Heading8"/>
        <w:jc w:val="left"/>
      </w:pPr>
      <w:r>
        <w:t>Opis provedbe cilja programa</w:t>
      </w:r>
    </w:p>
    <w:p w:rsidR="005C2091" w:rsidRDefault="00A86293">
      <w:r>
        <w:t xml:space="preserve">Kvalitetno zastupanje hrvatskih interesa, a to su interesi zaštite ljudskih prava građana i zaštite hrvatskih tijela vlasti kad primjenjuju konvencijsko pravo ovisi o: poznavanju i pravilnoj primjeni konvencijskog prava svih tijela i grana vlasti i visokih predstavnika vlasti, kao i o usklađenosti hrvatskih propisa (Ustava, zakona i svih podzakonskih akata) s konvencijskim pravom. Hrvatska tijela nisu uopće ili su nedovoljno upoznata s konvencijskim pravom, pa ga ne primjenjuju na odgovarajući način, što dovodi do sve većeg broja tužbi protiv države pred Europskim sudom. </w:t>
      </w:r>
    </w:p>
    <w:p w:rsidR="005C2091" w:rsidRDefault="00A86293">
      <w:r>
        <w:t xml:space="preserve">Zbog nedostatka institucionalizirane i stalne kontrole usklađenosti hrvatskih propisa s Konvencijom za zaštitu ljudskih prava i temeljnih sloboda (zadnji puta je to učinjeno 1996. god. na ad hoc bazi) povrede ljudskih prava događaju se već i zbog samog sadržaja propisa. Presude i odluke o prijateljskom rješenju spora protiv Republike Hrvatske u 2016. odnosile su se na povrede za koje su odgovorna tijela izvršne vlasti i pravosuđa, čije </w:t>
      </w:r>
    </w:p>
    <w:p w:rsidR="005C2091" w:rsidRDefault="00A86293">
      <w:r>
        <w:t xml:space="preserve">propuste nisu sankcionirala sudbena tijela, a u konačnici niti Ustavni sud Republike Hrvatske. To su presude koje detektiraju povrede raznih aspekata prava na pošteno suđenje, uključujući i pravo na razumni rok, u različitim vrstama sporova najčešće od strane domaćih sudova raznih razina odlučivanja, neučinkovite istrage kaznenih djela kojima se krše prava žrtava i njihovih bliskih srodnika, neosnovano ograničava ili lišava građane prava na mirno uživanje njihovog vlasništva, slučajevi diskriminacije.     </w:t>
      </w:r>
    </w:p>
    <w:p w:rsidR="005C2091" w:rsidRDefault="00A86293">
      <w:r>
        <w:t xml:space="preserve">Postojanje Ureda omogućuje državi da na jednom mjestu: a) koncentrira sve poslove zastupanja u svim predmetima koji se odnose na povrede Konvencije; b) pod uvjetom da sva tijela surađuju s Uredom može učinkovito koordinirati proces izvršavanja presuda Europskog suda i u tom cilju surađivati s Odborom ministara VE koji nadzire izvršenje presuda i odluka Suda; c) da s tog mjesta širi znanje o konvencijskom pravu u hrvatski pravni poredak radi sprječavanja nastajanja novih povreda koje generiraju nove tužbe protiv države. </w:t>
      </w:r>
    </w:p>
    <w:p w:rsidR="005C2091" w:rsidRDefault="00A86293">
      <w:r>
        <w:t xml:space="preserve">Ujedno, takvim pristupom država može razviti kvalitetne pravne stručnjake specijaliste međunarodnog prava o ljudskim pravima koji rade isključivo za državu na tri različita područja, pred Europskim sudom, pred Odborom ministara, te u državi. Konvencijsko pravo je živući pravni instrument koji se mijenja. Postojanje ovog Ureda donosi državi i dodanu vrijednost jer Ured prati sve promjene konvencijskog prava u svrhu kvalitetne obrane države, te stoga može na vrijeme upoznati pravni sustav s promjenama konvencijskog prava kako bi sustav uskladio svoje propise i/ili postupanja s novim konvencijskim standardima. </w:t>
      </w:r>
    </w:p>
    <w:p w:rsidR="005C2091" w:rsidRDefault="00A86293">
      <w:r>
        <w:t>Stoga je Ured zastupnika jedan od mehanizama zaštite ljudskih prava u RH koji svojim aktivnostima utječe na jačanje zaštite ljudskih prava i temeljnih sloboda građana u Republici Hrvatskoj i na smanjenje broja tužbi protiv države pred Europskim sudom za ljudska prava, a time i smanjenja financijskih izdataka države zbog kršenja ljudskih prava njezinih tijela.</w:t>
      </w:r>
    </w:p>
    <w:p w:rsidR="005C2091" w:rsidRDefault="00A86293">
      <w:pPr>
        <w:pStyle w:val="Heading4"/>
      </w:pPr>
      <w:r>
        <w:lastRenderedPageBreak/>
        <w:t>A860006 ZASTUPANJE REPUBLIKE HRVATSKE PRED EUROPSKIM SUDOM ZA LJUDSKA PRAVA I IZVRŠENJE PRESUDA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A860006-ZASTUPANJE REPUBLIKE HRVATSKE PRED EUROPSKIM SUDOM ZA LJUDSKA PRAVA I IZVRŠENJE PRESUDA</w:t>
            </w:r>
          </w:p>
        </w:tc>
        <w:tc>
          <w:tcPr>
            <w:tcW w:w="2041" w:type="dxa"/>
          </w:tcPr>
          <w:p w:rsidR="005C2091" w:rsidRDefault="00A86293">
            <w:pPr>
              <w:pStyle w:val="CellColumn"/>
              <w:jc w:val="right"/>
            </w:pPr>
            <w:r>
              <w:rPr>
                <w:rFonts w:cs="Times New Roman"/>
              </w:rPr>
              <w:t>457.479</w:t>
            </w:r>
          </w:p>
        </w:tc>
        <w:tc>
          <w:tcPr>
            <w:tcW w:w="2041" w:type="dxa"/>
          </w:tcPr>
          <w:p w:rsidR="005C2091" w:rsidRDefault="00A86293">
            <w:pPr>
              <w:pStyle w:val="CellColumn"/>
              <w:jc w:val="right"/>
            </w:pPr>
            <w:r>
              <w:rPr>
                <w:rFonts w:cs="Times New Roman"/>
              </w:rPr>
              <w:t>2.967.900</w:t>
            </w:r>
          </w:p>
        </w:tc>
        <w:tc>
          <w:tcPr>
            <w:tcW w:w="2041" w:type="dxa"/>
          </w:tcPr>
          <w:p w:rsidR="005C2091" w:rsidRDefault="00A86293">
            <w:pPr>
              <w:pStyle w:val="CellColumn"/>
              <w:jc w:val="right"/>
            </w:pPr>
            <w:r>
              <w:rPr>
                <w:rFonts w:cs="Times New Roman"/>
              </w:rPr>
              <w:t>2.549.115</w:t>
            </w:r>
          </w:p>
        </w:tc>
        <w:tc>
          <w:tcPr>
            <w:tcW w:w="1224" w:type="dxa"/>
          </w:tcPr>
          <w:p w:rsidR="005C2091" w:rsidRDefault="00A86293">
            <w:pPr>
              <w:pStyle w:val="CellColumn"/>
              <w:jc w:val="right"/>
            </w:pPr>
            <w:r>
              <w:rPr>
                <w:rFonts w:cs="Times New Roman"/>
              </w:rPr>
              <w:t>85,9</w:t>
            </w:r>
          </w:p>
        </w:tc>
        <w:tc>
          <w:tcPr>
            <w:tcW w:w="1224" w:type="dxa"/>
          </w:tcPr>
          <w:p w:rsidR="005C2091" w:rsidRDefault="00A86293">
            <w:pPr>
              <w:pStyle w:val="CellColumn"/>
              <w:jc w:val="right"/>
            </w:pPr>
            <w:r>
              <w:rPr>
                <w:rFonts w:cs="Times New Roman"/>
              </w:rPr>
              <w:t>557,2</w:t>
            </w:r>
          </w:p>
        </w:tc>
      </w:tr>
    </w:tbl>
    <w:p w:rsidR="005C2091" w:rsidRDefault="005C2091">
      <w:pPr>
        <w:jc w:val="left"/>
      </w:pPr>
    </w:p>
    <w:p w:rsidR="005C2091" w:rsidRDefault="00A86293">
      <w:pPr>
        <w:pStyle w:val="Heading8"/>
        <w:jc w:val="left"/>
      </w:pPr>
      <w:r>
        <w:t>Opis aktivnosti</w:t>
      </w:r>
    </w:p>
    <w:p w:rsidR="003314EE" w:rsidRDefault="00A86293">
      <w:r>
        <w:t xml:space="preserve">Aktivnost zastupanja u svakom pojedinom predmetu uključuje sljedeće poslove koji se obavljaju u Uredu zastupnika: 1) analizu svakog zahtjeva (tužbe) podnositelja i činjenica definiranih od strane Suda, a na temelju dokumentacije podnositelja dostavljene Sudu;  </w:t>
      </w:r>
    </w:p>
    <w:p w:rsidR="003314EE" w:rsidRDefault="00A86293">
      <w:r>
        <w:t xml:space="preserve">2) prikupljanje svih dokumenata, najčešće preslika cjelokupnih spisa od raznih tijela vlasti (sudova, državnog odvjetništva, upravnih tijela, javnih ustanova, izvršnih tijela itd.) radi utvrđenja točnog i potpunog činjeničnog stanja svakog predmeta; </w:t>
      </w:r>
    </w:p>
    <w:p w:rsidR="005C2091" w:rsidRDefault="00A86293">
      <w:r>
        <w:t xml:space="preserve"> 3) utvrđivanje točnog i potpunog činjeničnog stanja predmeta pred Sudom na temelju dostavljene dokumentacije;  4) izradu nacrta dijela očitovanja države Sudu koji se odnosi na Izjavu države o činjenicama predmeta;  </w:t>
      </w:r>
    </w:p>
    <w:p w:rsidR="005C2091" w:rsidRDefault="00A86293">
      <w:r>
        <w:t xml:space="preserve">5) definiranje relevantnog hrvatskog prava (svih propisa), te hrvatske sudske i upravne prakse;  </w:t>
      </w:r>
    </w:p>
    <w:p w:rsidR="005C2091" w:rsidRDefault="00A86293">
      <w:r>
        <w:t xml:space="preserve">6)izradu nacrta dijela očitovanja države koje se odnosi na Relevantno domaće pravo i praksu;  </w:t>
      </w:r>
    </w:p>
    <w:p w:rsidR="005C2091" w:rsidRDefault="00A86293">
      <w:r>
        <w:t xml:space="preserve">7) proučavanje i analizu sudske prakse Europskog suda za ljudska prava koja se odnosi na procesne elemente svake povrede ljudskih prava ili temeljnih sloboda koje je utužio podnositelj, te sudske prakse koja se odnosi na meritum svake utužene povrede;  </w:t>
      </w:r>
    </w:p>
    <w:p w:rsidR="005C2091" w:rsidRDefault="00A86293">
      <w:r>
        <w:t xml:space="preserve">8) analizu dopuštenosti zahtjeva (tužbe) protiv Hrvatske, odnosno provođenje tzv. testa dopuštenosti za svaku utuženu povredu ljudskog prava ili temeljne slobode zajamčene Konvencijom u svakom predmetu (utvrđivanje postojanja ili nepostojanja formalnih pretpostavki za dopuštenost zahtjeva pred Sudom);  </w:t>
      </w:r>
    </w:p>
    <w:p w:rsidR="005C2091" w:rsidRDefault="00A86293">
      <w:r>
        <w:t xml:space="preserve">9) izrada nacrta dijela očitovanja države koje se odnosi na Formalne pretpostavke za dopuštenost zahtjeva pred Sudom;  </w:t>
      </w:r>
    </w:p>
    <w:p w:rsidR="005C2091" w:rsidRDefault="00A86293">
      <w:r>
        <w:t xml:space="preserve">10) analiza usklađenosti domaćih propisa koji su bili primijenjeni u konkretnom predmetu, te utvrđivanje usklađenosti načina postupanja ili propuštanja državnih tijela u predmetu podnositelja u Hrvatskoj sa konvencijskim standardima i sa praksom Suda;  </w:t>
      </w:r>
    </w:p>
    <w:p w:rsidR="005C2091" w:rsidRDefault="00A86293">
      <w:r>
        <w:t xml:space="preserve">11) dodatna analiza sudske prakse drugih međunarodnih sudova, ili parasudskih tijela ukoliko ne postoji praksa Europskog suda ili je ona nepovoljna za državu, ili se postupak ne vodi pred Europskim sudom već pred drugim međunarodnim parasudskim tijelom (npr. analiza prakse Suda EU Luxembourg, Međunarodnog suda pravde, Međunarodnog kaznenog suda, UN Odbora za ljudska prava, Odbora socijalne povelje itd.);  </w:t>
      </w:r>
    </w:p>
    <w:p w:rsidR="005C2091" w:rsidRDefault="00A86293">
      <w:r>
        <w:t xml:space="preserve">12) izrada nacrta dijela očitovanja države koji se odnosi na meritum predmeta, odnosno na Materijalne uvjete za dopuštenost zahtjeva pred Sudom;  </w:t>
      </w:r>
    </w:p>
    <w:p w:rsidR="005C2091" w:rsidRDefault="00A86293">
      <w:r>
        <w:t xml:space="preserve">13) objedinjavanje svih dijelova nacrta očitovanja države i izrada završnog očitovanja države (tzv. odgovora na tužbu) u svakom predmetu pred Sudom, najvažnijeg pisanog dokumenta države u svakom predmetu pred Sudom;  </w:t>
      </w:r>
    </w:p>
    <w:p w:rsidR="005C2091" w:rsidRDefault="00A86293">
      <w:r>
        <w:lastRenderedPageBreak/>
        <w:t xml:space="preserve">14) izrada svih ostalih podnesaka upućenih Sudu tijekom postupaka na engleskom jeziku koji je službeni jezik Suda; 15) komunikacija i izrada podnesaka, te traženje informacija od nadležnih tijela u Hrvatskoj;  </w:t>
      </w:r>
    </w:p>
    <w:p w:rsidR="005C2091" w:rsidRDefault="00A86293">
      <w:r>
        <w:t xml:space="preserve">16) obavještavanje Vlade i resornih ministara o tijeku postupka u određenim predmetima;  </w:t>
      </w:r>
    </w:p>
    <w:p w:rsidR="005C2091" w:rsidRDefault="00A86293">
      <w:r>
        <w:t xml:space="preserve">17) kontrola prijevoda i završna lektura svakog očitovanja upućenih Sudu. U zastupanje ulaze i poslovi, koji čine dio priprema za samo određene predmete i drugi poslovi:  </w:t>
      </w:r>
    </w:p>
    <w:p w:rsidR="005C2091" w:rsidRDefault="00A86293">
      <w:r>
        <w:t xml:space="preserve">18) analiza predmeta radi utvrđivanja je li podoban za predlaganje nagodbe, odnosno za predlaganje prijateljskog rješenja spora;  </w:t>
      </w:r>
    </w:p>
    <w:p w:rsidR="005C2091" w:rsidRDefault="00A86293">
      <w:r>
        <w:t xml:space="preserve">19) izrada nacrta prijedloga nagodbi između podnositelja i države, koji zastupnica upućuje na suglasnost resornim tijelima i Vladi RH (nakon analize i utvrđenja opravdanosti sklapanja nagodbe);  </w:t>
      </w:r>
    </w:p>
    <w:p w:rsidR="005C2091" w:rsidRDefault="00A86293">
      <w:r>
        <w:t xml:space="preserve">20) komunikacija sa Sudom u postupku sklapanja nagodbe sa podnositeljem;  </w:t>
      </w:r>
    </w:p>
    <w:p w:rsidR="005C2091" w:rsidRDefault="00A86293">
      <w:r>
        <w:t xml:space="preserve">21) izrada nacrta zahtjeva za preispitivanje određene presude vijeća Suda (tzv. refferal request) pred velikim vijećem Suda, kad se utvrdi postojanje razloga za podnošenje zahtjeva;  </w:t>
      </w:r>
    </w:p>
    <w:p w:rsidR="005C2091" w:rsidRDefault="00A86293">
      <w:r>
        <w:t xml:space="preserve">22) priprema predmeta (izrada novog očitovanja države, govora pred Sudom, priprema za odgovore na pitanja sudaca) za veliko vijeće Suda;  </w:t>
      </w:r>
    </w:p>
    <w:p w:rsidR="005C2091" w:rsidRDefault="00A86293">
      <w:r>
        <w:t xml:space="preserve">23) zastupanje države na usmenim ročištima velikog vijeća Suda;  </w:t>
      </w:r>
    </w:p>
    <w:p w:rsidR="005C2091" w:rsidRDefault="00A86293">
      <w:r>
        <w:t xml:space="preserve">24) rad po zahtjevima Suda za izdavanje privremene mjere (zastupnik je i središnja točka u državi kojoj Sud dostavlja zahtjeve za izdavanje privremene mjere. Po dostavi zahtjeva zastupnica mora u roku od 48 sati prikupiti od državnih tijela sve potrebne informacije o njihovim radnjama ili propuštanjima u povodu predmeta pred Sudom, te izraditi očitovanje države i dostaviti Sudu);  </w:t>
      </w:r>
    </w:p>
    <w:p w:rsidR="005C2091" w:rsidRDefault="00A86293">
      <w:r>
        <w:t xml:space="preserve">25) zastupanje države na redovnim sastancima zastupnika sa Sudom; 26) redovna komunikacija i suradnja sa tajnikom Vijeća Europe zaduženog za hrvatske predmete i tajnikom Suda, kao i s pravnicima u Vijeću Europe;  </w:t>
      </w:r>
    </w:p>
    <w:p w:rsidR="005C2091" w:rsidRDefault="00A86293">
      <w:r>
        <w:t xml:space="preserve">27) rad u stručnim tijelima Vijeća Europe u svrhu razvoja konvencijskog sustava zaštite ljudskih prava. </w:t>
      </w:r>
    </w:p>
    <w:p w:rsidR="005C2091" w:rsidRDefault="00A86293">
      <w:r>
        <w:t xml:space="preserve">Aktivnost koordiniranja izvršenja presuda i odluka Europskog suda uključuje sljedeće poslove koji se obavljaju u Uredu zastupnika:  </w:t>
      </w:r>
    </w:p>
    <w:p w:rsidR="005C2091" w:rsidRDefault="00A86293">
      <w:r>
        <w:t xml:space="preserve">1) obavještavanje svih državnih tijela o presudi; </w:t>
      </w:r>
    </w:p>
    <w:p w:rsidR="005C2091" w:rsidRDefault="00A86293">
      <w:r>
        <w:t xml:space="preserve">2) kontrola prijevoda i lektura svake presude/odluke o nedopuštenosti Suda, </w:t>
      </w:r>
    </w:p>
    <w:p w:rsidR="005C2091" w:rsidRDefault="00A86293">
      <w:r>
        <w:t xml:space="preserve">3) izrada pravne analize svake presude/odluke o nedopuštenosti Suda;  </w:t>
      </w:r>
    </w:p>
    <w:p w:rsidR="005C2091" w:rsidRDefault="00A86293">
      <w:r>
        <w:t xml:space="preserve">4) diseminacija svake presude i odluke Suda i obavještavanje o uzrocima utvrđenih povreda i o posljedicama presude svim tijelima koja su doprinijela kršenju ljudskih prava kada je Sud utvrdio kršenje, odnosno koja su postupala sukladno Konvenciji u slučaju kada nije došlo do kršenja ljudskih prava;  </w:t>
      </w:r>
    </w:p>
    <w:p w:rsidR="005C2091" w:rsidRDefault="00A86293">
      <w:r>
        <w:t xml:space="preserve">5) koordinacija sa UZOP Vlade i Sabora radi plaćanja pravične novčane naknade i praćenje plaćanja iste; 6) stalna komunikacija i koordinacija rada sa državnim tijelima koja trebaju osmisliti i provesti mjere za izvršenje svake presude Suda;  </w:t>
      </w:r>
    </w:p>
    <w:p w:rsidR="005C2091" w:rsidRDefault="00A86293">
      <w:r>
        <w:t xml:space="preserve">7) stalno nadgledanje izvršenja individualnih mjera po presudama Suda (npr. u slučaju duljine trajanja apeliranje na domaće sudove da završe postupke, praćenje ponavljanja postupaka po presudama Suda, apeliranje na ministarstva i druga tijela državne vlasti) i općih mjera;  </w:t>
      </w:r>
    </w:p>
    <w:p w:rsidR="005C2091" w:rsidRDefault="00A86293">
      <w:r>
        <w:t xml:space="preserve">8) upoznavanje pravosudnih, upravnih, izvršenih tijela sa obvezama u izvršenju (međuresorni sastanci), te prikupljanje informacija radi izrade akcijskih planova/ izvješća o načinima kako će RH izvršiti presudu ili odluku Suda;  </w:t>
      </w:r>
    </w:p>
    <w:p w:rsidR="005C2091" w:rsidRDefault="00A86293">
      <w:r>
        <w:t xml:space="preserve">9) izrada akcijskog plana/ izvješća države u izvršenju određene presude/odluke Suda i dostava istog OM VE;  </w:t>
      </w:r>
    </w:p>
    <w:p w:rsidR="005C2091" w:rsidRDefault="00A86293">
      <w:r>
        <w:t xml:space="preserve">10) redovno obavještavanje Odbora ministara VE o napretku u provođenju mjera izvršenja;  </w:t>
      </w:r>
    </w:p>
    <w:p w:rsidR="005C2091" w:rsidRDefault="00A86293">
      <w:r>
        <w:t xml:space="preserve">11) zastupanje aktivnosti koje je RH poduzela u izvršenju presuda, te rad u Odboru ministarskih zastupnika Vijeća Europe (DH) u okviru kojeg se razmatraju izvršenja svake pojedine presude ili skupine presuda protiv država, te konsenzusom ili glasovanjem usvajaju rezolucije o izvršenju. </w:t>
      </w:r>
    </w:p>
    <w:p w:rsidR="005C2091" w:rsidRDefault="00A86293">
      <w:r>
        <w:t xml:space="preserve">Aktivnosti usklađivanja zakonodavstva s konvencijskim pravom i širenja znanja o konvencijskom pravu, obuhvaćaju:  </w:t>
      </w:r>
    </w:p>
    <w:p w:rsidR="005C2091" w:rsidRDefault="00A86293">
      <w:r>
        <w:lastRenderedPageBreak/>
        <w:t xml:space="preserve">1) usklađivanje novih zakona i zakona koji prolaze izmjene i dopune s konvencijskim pravom, odnosno sudskom praksom Europskog suda za ljudska prava,  </w:t>
      </w:r>
    </w:p>
    <w:p w:rsidR="005C2091" w:rsidRDefault="00A86293">
      <w:r>
        <w:t xml:space="preserve">2) praćenje hrvatske sudske i upravne prakse kroz predmete u Uredu zastupnika i ukazivanje nadležnim pravosudnim i upravnim tijelima na potrebu usklađivanja svojih postupaka i odluka s konvencijskim pravom, </w:t>
      </w:r>
    </w:p>
    <w:p w:rsidR="005C2091" w:rsidRDefault="00A86293">
      <w:r>
        <w:t xml:space="preserve">3) uključivanje pravnika specijalista iz Ureda u radne skupine za donošenje novih ili izmjene i dopune zakona radi rane kontrole prijedloga nacrta sa Konvencijom,  </w:t>
      </w:r>
    </w:p>
    <w:p w:rsidR="005C2091" w:rsidRDefault="00A86293">
      <w:r>
        <w:t xml:space="preserve">4) priprema i objavljivanje najvažnijih presuda i odluka Europskog suda,  </w:t>
      </w:r>
    </w:p>
    <w:p w:rsidR="005C2091" w:rsidRDefault="00A86293">
      <w:r>
        <w:t xml:space="preserve">5) izrada i objavljivanje sentenci iz najvažnijih presuda i odluka Europskog suda u odnosu na druge države na web stranici Ureda,  </w:t>
      </w:r>
    </w:p>
    <w:p w:rsidR="005C2091" w:rsidRDefault="00A86293">
      <w:r>
        <w:t xml:space="preserve">6) periodične sastanke i seminare s najvišim tijelima vlasti, posebice pravosudne i upoznavanje s greškama radi sprječavanja repetitivnih predmeta pred Europskim sudom, </w:t>
      </w:r>
    </w:p>
    <w:p w:rsidR="005C2091" w:rsidRDefault="00A86293">
      <w:r>
        <w:t xml:space="preserve">7) izradu obrazovnih materijala za učenje o Konvenciji i sudskoj praksi Suda na temelju iskustva iz hrvatskih predmeta, </w:t>
      </w:r>
    </w:p>
    <w:p w:rsidR="005C2091" w:rsidRDefault="00A86293">
      <w:r>
        <w:t>8) periodično publiciranje izbora sudske prakse Europskog suda, kao i drugih međunarodnih tijela s područja ljudskih prava, a sve to u svrhu boljeg poznavanja konvencijskog prava i sprječavanja novih tužbi protiv RH pred Sudom.</w:t>
      </w:r>
    </w:p>
    <w:p w:rsidR="005C2091" w:rsidRDefault="00A86293">
      <w:pPr>
        <w:pStyle w:val="Heading2"/>
      </w:pPr>
      <w:r>
        <w:t>02021 Stručna služba Savjeta za nacionalne manjine</w:t>
      </w:r>
    </w:p>
    <w:p w:rsidR="005C2091" w:rsidRDefault="00A86293">
      <w:r>
        <w:t>Savjet za nacionalne manjine u cilju ostvarivanja i zaštite prava i sloboda nacionalnih manjina u Republici Hrvatskoj propisanim Ustavnim zakonom o pravima nacionalnih manjina „Narodne novine“ br.155/2002, 47/2010 i 80/2010 članka 35. stavka 4. i 36. stavak 11., osigurava sredstva iz Državnog proračuna Republike Hrvatske za potpore udrugama i ustanovama nacionalnih manjina za ostvarivanje programa kulturne autonomije nacionalnih manjina i to za programe  informiranja  i izdavaštva, kulturnog amaterizma, kulturnih manifestacija, programa koji proizlaze iz bilateralnih sporazuma, programa stvaranja pretpostavki za ostvarivanje kulturne autonomije nacionalnih manjina, zajedničke programe koja organizira Savjet za nacionalne manjine, informiranje i osposobljavanje članova Vijeća i predstavnika nacionalnih manjina, izdavanje časopisa „Manjinski forum“ i održavanje internetske stranice Savjeta za nacionalne manjine.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02021-Stručna služba Savjeta za nacionalne manjine</w:t>
            </w:r>
          </w:p>
        </w:tc>
        <w:tc>
          <w:tcPr>
            <w:tcW w:w="2041" w:type="dxa"/>
            <w:vAlign w:val="top"/>
          </w:tcPr>
          <w:p w:rsidR="005C2091" w:rsidRDefault="00A86293">
            <w:pPr>
              <w:pStyle w:val="CellColumn"/>
              <w:jc w:val="right"/>
            </w:pPr>
            <w:r>
              <w:rPr>
                <w:rFonts w:cs="Times New Roman"/>
              </w:rPr>
              <w:t>36.850.314</w:t>
            </w:r>
          </w:p>
        </w:tc>
        <w:tc>
          <w:tcPr>
            <w:tcW w:w="2041" w:type="dxa"/>
            <w:vAlign w:val="top"/>
          </w:tcPr>
          <w:p w:rsidR="005C2091" w:rsidRDefault="00A86293">
            <w:pPr>
              <w:pStyle w:val="CellColumn"/>
              <w:jc w:val="right"/>
            </w:pPr>
            <w:r>
              <w:rPr>
                <w:rFonts w:cs="Times New Roman"/>
              </w:rPr>
              <w:t>33.265.610</w:t>
            </w:r>
          </w:p>
        </w:tc>
        <w:tc>
          <w:tcPr>
            <w:tcW w:w="2041" w:type="dxa"/>
            <w:vAlign w:val="top"/>
          </w:tcPr>
          <w:p w:rsidR="005C2091" w:rsidRDefault="00A86293">
            <w:pPr>
              <w:pStyle w:val="CellColumn"/>
              <w:jc w:val="right"/>
            </w:pPr>
            <w:r>
              <w:rPr>
                <w:rFonts w:cs="Times New Roman"/>
              </w:rPr>
              <w:t>32.795.908</w:t>
            </w:r>
          </w:p>
        </w:tc>
        <w:tc>
          <w:tcPr>
            <w:tcW w:w="1224" w:type="dxa"/>
            <w:vAlign w:val="top"/>
          </w:tcPr>
          <w:p w:rsidR="005C2091" w:rsidRDefault="00A86293">
            <w:pPr>
              <w:pStyle w:val="CellColumn"/>
              <w:jc w:val="right"/>
            </w:pPr>
            <w:r>
              <w:rPr>
                <w:rFonts w:cs="Times New Roman"/>
              </w:rPr>
              <w:t>98,6</w:t>
            </w:r>
          </w:p>
        </w:tc>
        <w:tc>
          <w:tcPr>
            <w:tcW w:w="1224" w:type="dxa"/>
            <w:vAlign w:val="top"/>
          </w:tcPr>
          <w:p w:rsidR="005C2091" w:rsidRDefault="00A86293">
            <w:pPr>
              <w:pStyle w:val="CellColumn"/>
              <w:jc w:val="right"/>
            </w:pPr>
            <w:r>
              <w:rPr>
                <w:rFonts w:cs="Times New Roman"/>
              </w:rPr>
              <w:t>89,0</w:t>
            </w:r>
          </w:p>
        </w:tc>
      </w:tr>
      <w:tr w:rsidR="005C2091">
        <w:trPr>
          <w:jc w:val="center"/>
        </w:trPr>
        <w:tc>
          <w:tcPr>
            <w:tcW w:w="1632" w:type="dxa"/>
          </w:tcPr>
          <w:p w:rsidR="005C2091" w:rsidRDefault="00A86293">
            <w:pPr>
              <w:jc w:val="left"/>
            </w:pPr>
            <w:r>
              <w:t>2109-ZAŠTITA PRAVA NACIONALNIH MANJINA</w:t>
            </w:r>
          </w:p>
        </w:tc>
        <w:tc>
          <w:tcPr>
            <w:tcW w:w="2041" w:type="dxa"/>
          </w:tcPr>
          <w:p w:rsidR="005C2091" w:rsidRDefault="00A86293">
            <w:pPr>
              <w:jc w:val="right"/>
            </w:pPr>
            <w:r>
              <w:t>36.850.314</w:t>
            </w:r>
          </w:p>
        </w:tc>
        <w:tc>
          <w:tcPr>
            <w:tcW w:w="2041" w:type="dxa"/>
          </w:tcPr>
          <w:p w:rsidR="005C2091" w:rsidRDefault="00A86293">
            <w:pPr>
              <w:jc w:val="right"/>
            </w:pPr>
            <w:r>
              <w:t>33.265.610</w:t>
            </w:r>
          </w:p>
        </w:tc>
        <w:tc>
          <w:tcPr>
            <w:tcW w:w="2041" w:type="dxa"/>
          </w:tcPr>
          <w:p w:rsidR="005C2091" w:rsidRDefault="00A86293">
            <w:pPr>
              <w:jc w:val="right"/>
            </w:pPr>
            <w:r>
              <w:t>32.795.908</w:t>
            </w:r>
          </w:p>
        </w:tc>
        <w:tc>
          <w:tcPr>
            <w:tcW w:w="1224" w:type="dxa"/>
          </w:tcPr>
          <w:p w:rsidR="005C2091" w:rsidRDefault="00A86293">
            <w:pPr>
              <w:jc w:val="right"/>
            </w:pPr>
            <w:r>
              <w:t>98,6</w:t>
            </w:r>
          </w:p>
        </w:tc>
        <w:tc>
          <w:tcPr>
            <w:tcW w:w="1224" w:type="dxa"/>
          </w:tcPr>
          <w:p w:rsidR="005C2091" w:rsidRDefault="00A86293">
            <w:pPr>
              <w:jc w:val="right"/>
            </w:pPr>
            <w:r>
              <w:t>89,0</w:t>
            </w:r>
          </w:p>
        </w:tc>
      </w:tr>
    </w:tbl>
    <w:p w:rsidR="005C2091" w:rsidRDefault="005C2091">
      <w:pPr>
        <w:jc w:val="left"/>
      </w:pPr>
    </w:p>
    <w:p w:rsidR="005C2091" w:rsidRDefault="00A86293">
      <w:pPr>
        <w:pStyle w:val="Heading3"/>
      </w:pPr>
      <w:r>
        <w:rPr>
          <w:rFonts w:cs="Times New Roman"/>
        </w:rPr>
        <w:t>2109 ZAŠTITA PRAVA NACIONALNIH MANJINA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lastRenderedPageBreak/>
              <w:t>2109-ZAŠTITA PRAVA NACIONALNIH MANJINA</w:t>
            </w:r>
          </w:p>
        </w:tc>
        <w:tc>
          <w:tcPr>
            <w:tcW w:w="2041" w:type="dxa"/>
          </w:tcPr>
          <w:p w:rsidR="005C2091" w:rsidRDefault="00A86293">
            <w:pPr>
              <w:pStyle w:val="CellColumn"/>
              <w:jc w:val="right"/>
            </w:pPr>
            <w:r>
              <w:rPr>
                <w:rFonts w:cs="Times New Roman"/>
              </w:rPr>
              <w:t>36.850.314</w:t>
            </w:r>
          </w:p>
        </w:tc>
        <w:tc>
          <w:tcPr>
            <w:tcW w:w="2041" w:type="dxa"/>
          </w:tcPr>
          <w:p w:rsidR="005C2091" w:rsidRDefault="00A86293">
            <w:pPr>
              <w:pStyle w:val="CellColumn"/>
              <w:jc w:val="right"/>
            </w:pPr>
            <w:r>
              <w:rPr>
                <w:rFonts w:cs="Times New Roman"/>
              </w:rPr>
              <w:t>33.265.610</w:t>
            </w:r>
          </w:p>
        </w:tc>
        <w:tc>
          <w:tcPr>
            <w:tcW w:w="2041" w:type="dxa"/>
          </w:tcPr>
          <w:p w:rsidR="005C2091" w:rsidRDefault="00A86293">
            <w:pPr>
              <w:pStyle w:val="CellColumn"/>
              <w:jc w:val="right"/>
            </w:pPr>
            <w:r>
              <w:rPr>
                <w:rFonts w:cs="Times New Roman"/>
              </w:rPr>
              <w:t>32.795.908</w:t>
            </w:r>
          </w:p>
        </w:tc>
        <w:tc>
          <w:tcPr>
            <w:tcW w:w="1224" w:type="dxa"/>
          </w:tcPr>
          <w:p w:rsidR="005C2091" w:rsidRDefault="00A86293">
            <w:pPr>
              <w:pStyle w:val="CellColumn"/>
              <w:jc w:val="right"/>
            </w:pPr>
            <w:r>
              <w:rPr>
                <w:rFonts w:cs="Times New Roman"/>
              </w:rPr>
              <w:t>98,6</w:t>
            </w:r>
          </w:p>
        </w:tc>
        <w:tc>
          <w:tcPr>
            <w:tcW w:w="1224" w:type="dxa"/>
          </w:tcPr>
          <w:p w:rsidR="005C2091" w:rsidRDefault="00A86293">
            <w:pPr>
              <w:pStyle w:val="CellColumn"/>
              <w:jc w:val="right"/>
            </w:pPr>
            <w:r>
              <w:rPr>
                <w:rFonts w:cs="Times New Roman"/>
              </w:rPr>
              <w:t>89,0</w:t>
            </w:r>
          </w:p>
        </w:tc>
      </w:tr>
    </w:tbl>
    <w:p w:rsidR="005C2091" w:rsidRDefault="005C2091">
      <w:pPr>
        <w:jc w:val="left"/>
      </w:pPr>
    </w:p>
    <w:p w:rsidR="005C2091" w:rsidRDefault="00A86293">
      <w:r>
        <w:t xml:space="preserve">Savjet za nacionalne manjine osigurava sredstva iz Državnog proračuna za sufinanciranje programa udruga i ustanova nacionalnih manjina. </w:t>
      </w:r>
    </w:p>
    <w:p w:rsidR="005C2091" w:rsidRDefault="00A86293">
      <w:r>
        <w:t xml:space="preserve">Dodijeljena sredstva odnose se na potrebe 17 nacionalnih manjine za 1157 programa i njihovih 80 udruga ne računajući njihove članice u Republici Hrvatskoj. </w:t>
      </w:r>
    </w:p>
    <w:p w:rsidR="005C2091" w:rsidRDefault="00A86293">
      <w:r>
        <w:t xml:space="preserve">Savjet za nacionalne manjine raspisuje jednom godišnje Javni poziv udrugama i ustanovama nacionalnih manjina za potpore čime se potiče ostvarivanje kulturne autonomije u područjima :  </w:t>
      </w:r>
    </w:p>
    <w:p w:rsidR="005C2091" w:rsidRDefault="00A86293">
      <w:r>
        <w:t xml:space="preserve">informiranja, izdavaštva, kulturnog amaterizma, kulturnih manifestacija, kao i ostvarivanje bilateralnih sporazuma i stvaranje  pretpostavki za ostvarivanje kulturne autonomije. </w:t>
      </w:r>
    </w:p>
    <w:p w:rsidR="005C2091" w:rsidRDefault="00A86293">
      <w:r>
        <w:t xml:space="preserve">Predloženi iznosi sredstava, koja se u Državnom proračunu osiguravaju za potrebe nacionalnih manjina, temelji se na analizi programa udruga i ustanova nacionalnih manjina, koja kontinuirano pokazuje pozitivni razvitak, te pozitivne učinke, vezane za integraciju nacionalnih manjina u hrvatsko društvo, sa svojim identitetom, te daljnji napredak  razine financijske discipline i odgovornost za dobivena sredstva. </w:t>
      </w:r>
    </w:p>
    <w:p w:rsidR="005C2091" w:rsidRDefault="00A86293">
      <w:r>
        <w:t xml:space="preserve">Poticanjem rada udruga i ustanova nacionalnih manjina upućuje da se putem ostvarivanja programa kulturne autonomije kao krajnji rezultat vidno i značajno poboljšava položaj nacionalnih manjina u Republici Hrvatskoj, sukladno politici Vlade Republike Hrvatske i provedbi Akcijskog plana za provedbu Ustavnog zakona o pravima nacionalnih manjina. </w:t>
      </w:r>
    </w:p>
    <w:p w:rsidR="005C2091" w:rsidRDefault="00A86293">
      <w:r>
        <w:t>Savjet za nacionalne manjine  surađuje u pitanjima od interesa za nacionalne manjine u Republici Hrvatskoj s nadležnim tijelima međunarodnih organizacija i institucija koje se bave pitanjima nacionalnih manjina, kao i s nadležnim tijelima matičnih država pripadnika nacionalnih manjina u Republici Hrvatskoj; predlaže poduzimanje gospodarskih, socijalnih i drugih mjera na područjima tradicionalno ili u znatnijem broju nastanjenim pripadnicima nacionalnih manjina kako bi se očuvalo njihovo postojanje na tim područjima; analizira učinke ostvarivanja pojedinih prava pripadnika nacionalnih manjina u školstvu, dvojezičnosti, informiranja, korištenju simbola i ostale probleme u ostvarivanju prava pripadnika nacionalnih manjina; daje suglasnost na odluke koordinacija vijeća nacionalnih manjina jedinica područne (regionalne) samouprave o odlukama o znamenju i simbolima nacionalnih manjina i načinu obilježavanja praznika nacionalnih manjina, kao i mišljenja, prijedloge, analizira programe javnih radiopostaja i javne televizije namijenjenih nacionalnim manjinama, o zastupljenosti pitanja namijenjenih nacionalnim manjinama u programima javnih radiopostaja i javne televizije i drugim sredstvima priopćavanja.</w:t>
      </w:r>
    </w:p>
    <w:p w:rsidR="005C2091" w:rsidRDefault="00A86293">
      <w:pPr>
        <w:pStyle w:val="Heading8"/>
        <w:jc w:val="left"/>
      </w:pPr>
      <w:r>
        <w:t xml:space="preserve">Cilj 1. Ostvarivanje i unapređivanje prava nacionalnih manjina za kulturnom autonomijom </w:t>
      </w:r>
    </w:p>
    <w:p w:rsidR="005C2091" w:rsidRDefault="00A86293">
      <w:pPr>
        <w:pStyle w:val="Heading8"/>
        <w:jc w:val="left"/>
      </w:pPr>
      <w:r>
        <w:t>Opis provedbe cilja programa</w:t>
      </w:r>
    </w:p>
    <w:p w:rsidR="005C2091" w:rsidRDefault="00A86293">
      <w:r>
        <w:t xml:space="preserve">U cilju ostvarivanja manjinskih prava i sloboda Savjet surađuje s nadležnim državnim tijelima i tijelima jedinica samouprave, predstavnicima, vijećima i koordinacijama vijeća nacionalnih manjina, udrugama nacionalnih manjina i pravnim osobama koje obavljaju djelatnosti od interesa za nacionalne manjine, međunarodnim organizacijama i institucijama koje se bave pitanjima nacionalnih manjina, te tijelima matičnih država pripadnika nacionalnih manjina u Republici Hrvatskoj; stvara uvjete i potiče prava nacionalnih manjina na jednakost pred zakonom, nediskriminaciju, te unapređivanje položaja nacionalnih manjina, kao i uključivanje predstavnika nacionalnih manjina u javni i politički život Republike Hrvatske, kao relevantnih partnera, promicanjem tolerancije i suživota  nacionalnih manjina. </w:t>
      </w:r>
    </w:p>
    <w:p w:rsidR="005C2091" w:rsidRDefault="00A86293">
      <w:r>
        <w:t>Opći cilj je u suglasnosti sa Ustavnim zakonom o pravima nacionalnih manjina i drugih zakona i propisa kojima su regulirana prava pripadnika nacionalnih manjina.</w:t>
      </w:r>
    </w:p>
    <w:p w:rsidR="005C2091" w:rsidRDefault="00A86293">
      <w:pPr>
        <w:pStyle w:val="Heading4"/>
      </w:pPr>
      <w:r>
        <w:lastRenderedPageBreak/>
        <w:t>A732003 POTPORE ZA PROGRAME OSTVARIVANJA KULTURNE AUTONOMIJE NACIONALNIH MANJINA</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A732003-POTPORE ZA PROGRAME OSTVARIVANJA KULTURNE AUTONOMIJE NACIONALNIH MANJINA</w:t>
            </w:r>
          </w:p>
        </w:tc>
        <w:tc>
          <w:tcPr>
            <w:tcW w:w="2041" w:type="dxa"/>
          </w:tcPr>
          <w:p w:rsidR="005C2091" w:rsidRDefault="00A86293">
            <w:pPr>
              <w:pStyle w:val="CellColumn"/>
              <w:jc w:val="right"/>
            </w:pPr>
            <w:r>
              <w:rPr>
                <w:rFonts w:cs="Times New Roman"/>
              </w:rPr>
              <w:t>35.457.585</w:t>
            </w:r>
          </w:p>
        </w:tc>
        <w:tc>
          <w:tcPr>
            <w:tcW w:w="2041" w:type="dxa"/>
          </w:tcPr>
          <w:p w:rsidR="005C2091" w:rsidRDefault="00A86293">
            <w:pPr>
              <w:pStyle w:val="CellColumn"/>
              <w:jc w:val="right"/>
            </w:pPr>
            <w:r>
              <w:rPr>
                <w:rFonts w:cs="Times New Roman"/>
              </w:rPr>
              <w:t>31.807.500</w:t>
            </w:r>
          </w:p>
        </w:tc>
        <w:tc>
          <w:tcPr>
            <w:tcW w:w="2041" w:type="dxa"/>
          </w:tcPr>
          <w:p w:rsidR="005C2091" w:rsidRDefault="00A86293">
            <w:pPr>
              <w:pStyle w:val="CellColumn"/>
              <w:jc w:val="right"/>
            </w:pPr>
            <w:r>
              <w:rPr>
                <w:rFonts w:cs="Times New Roman"/>
              </w:rPr>
              <w:t>31.409.318</w:t>
            </w:r>
          </w:p>
        </w:tc>
        <w:tc>
          <w:tcPr>
            <w:tcW w:w="1224" w:type="dxa"/>
          </w:tcPr>
          <w:p w:rsidR="005C2091" w:rsidRDefault="00A86293">
            <w:pPr>
              <w:pStyle w:val="CellColumn"/>
              <w:jc w:val="right"/>
            </w:pPr>
            <w:r>
              <w:rPr>
                <w:rFonts w:cs="Times New Roman"/>
              </w:rPr>
              <w:t>98,7</w:t>
            </w:r>
          </w:p>
        </w:tc>
        <w:tc>
          <w:tcPr>
            <w:tcW w:w="1224" w:type="dxa"/>
          </w:tcPr>
          <w:p w:rsidR="005C2091" w:rsidRDefault="00A86293">
            <w:pPr>
              <w:pStyle w:val="CellColumn"/>
              <w:jc w:val="right"/>
            </w:pPr>
            <w:r>
              <w:rPr>
                <w:rFonts w:cs="Times New Roman"/>
              </w:rPr>
              <w:t>88,6</w:t>
            </w:r>
          </w:p>
        </w:tc>
      </w:tr>
    </w:tbl>
    <w:p w:rsidR="005C2091" w:rsidRDefault="005C2091">
      <w:pPr>
        <w:jc w:val="left"/>
      </w:pPr>
    </w:p>
    <w:p w:rsidR="005C2091" w:rsidRDefault="00A86293">
      <w:pPr>
        <w:pStyle w:val="Heading8"/>
        <w:jc w:val="left"/>
      </w:pPr>
      <w:r>
        <w:t>Zakonske i druge pravne osnove</w:t>
      </w:r>
    </w:p>
    <w:p w:rsidR="005C2091" w:rsidRDefault="00A86293">
      <w:r>
        <w:t xml:space="preserve">Ustavni zakon o pravima nacionalnih manjina  </w:t>
      </w:r>
    </w:p>
    <w:p w:rsidR="005C2091" w:rsidRDefault="00A86293">
      <w:r>
        <w:t xml:space="preserve">Statut Savjeta za nacionalne manjine  </w:t>
      </w:r>
    </w:p>
    <w:p w:rsidR="005C2091" w:rsidRDefault="00A86293">
      <w:r>
        <w:t xml:space="preserve">Uredba o Stručnoj službi Savjeta za nacionalne manjine  </w:t>
      </w:r>
    </w:p>
    <w:p w:rsidR="005C2091" w:rsidRDefault="00A86293">
      <w:r>
        <w:t xml:space="preserve">Kriteriji za utvrđivanje financijske potpore za programe nevladinih udruga i ustanova nacionalnih manjina  </w:t>
      </w:r>
    </w:p>
    <w:p w:rsidR="005C2091" w:rsidRDefault="00A86293">
      <w:r>
        <w:t>Metodologija praćenja ostvarivanja programa nevladinih udruga i ustanova nacionalnih manjina</w:t>
      </w:r>
    </w:p>
    <w:p w:rsidR="005C2091" w:rsidRDefault="00A86293">
      <w:pPr>
        <w:pStyle w:val="Heading8"/>
        <w:jc w:val="left"/>
      </w:pPr>
      <w:r>
        <w:t>Opis aktivnosti</w:t>
      </w:r>
    </w:p>
    <w:p w:rsidR="005C2091" w:rsidRDefault="00A86293">
      <w:r>
        <w:t xml:space="preserve">Sredstva na navedenoj aktivnosti su utrošena za davanje potpora za programe udruga i ustanova nacionalnih manjina  u ostvarivanju kulturne autonomije u područjima: informiranja, izdavaštva, kulturnog amaterizma, kulturnih manifestacija, kao i ostvarivanje bilateralnih sporazuma i stvaranje pretpostavki za ostvarivanje kulturne autonomije, zajedničke programe koja organizira Savjet za nacionalne manjine, informiranje i osposobljavanje članova Vijeća i predstavnika nacionalnih manjina, izdavanje časopisa „Manjinski forum“ i održavanje internetske stranice Savjeta za nacionalne manjine. </w:t>
      </w:r>
    </w:p>
    <w:p w:rsidR="005C2091" w:rsidRDefault="00A86293">
      <w:r>
        <w:t xml:space="preserve">Provođenje gore navedenih programa i aktivnosti se provodi u skladu sa Strategijom Vladinih programa za razdoblje 2016-2018. i neposredno je povezana sa Općim ciljem 3. Jačanje pravne države i vladavine prava i posebnim ciljem 3.3. Jačanje zaštite ljudskih prava i sloboda. </w:t>
      </w:r>
    </w:p>
    <w:p w:rsidR="005C2091" w:rsidRDefault="00A86293">
      <w:r>
        <w:t xml:space="preserve">Davanjem potpora udrugama i ustanovama nacionalnih manjina za gore navedene programe nastoji se poboljšati i unaprijediti očuvanje etničkog, kulturnog i jezičnog identiteta pripadnika nacionalnih manjina na njihovom jeziku i pismu. </w:t>
      </w:r>
    </w:p>
    <w:p w:rsidR="005C2091" w:rsidRDefault="00A86293">
      <w:r>
        <w:t>Odobrene potpore se doznačuju udrugama i ustanovama nacionalnih manjina kontinuirano tijekom cijele godine, jedanput mjesečno. Programi se provode svake godine i traju 12 mjeseci.</w:t>
      </w:r>
    </w:p>
    <w:p w:rsidR="005C2091" w:rsidRDefault="00A86293">
      <w:pPr>
        <w:pStyle w:val="Heading2"/>
      </w:pPr>
      <w:r>
        <w:t>02030 Ured za zakonodavstvo</w:t>
      </w:r>
    </w:p>
    <w:p w:rsidR="005C2091" w:rsidRDefault="00A86293">
      <w:r>
        <w:t xml:space="preserve">Djelokrug i unutarnje ustrojstvo Ureda za zakonodavstvo Vlade Republike Hrvatske propisani su Zakonom o Vladi Republike Hrvatske („Narodne novine“ br. 150/11, 119/14, 93/16), Poslovnikom Vlade Republike Hrvatske ("Narodne novine" br. 154/11, 121/12, 7/13, 61/15, 99/16), Zakonom o procjeni učinaka propisa ("Narodne novine" br. 90/11), te Uredbom o provedbi postupka procjene učinaka propisa ("Narodne novine" br. 66/12). </w:t>
      </w:r>
    </w:p>
    <w:p w:rsidR="005C2091" w:rsidRDefault="00A86293">
      <w:r>
        <w:t xml:space="preserve">Ured u okviru svog djelokruga za Vladu Republike Hrvatske, daje mišljenja o usklađenosti prijedloga zakona, propisa i drugih akata iz djelokruga Vlade s Ustavom Republike Hrvatske i  pravnim poretkom Republike Hrvatske, uvažavajući pri tome pravne propise odnosno pravni sustav Europske unije. Ured je središnje koordinativno tijelo za sustav procjene učinaka propisa u Republici Hrvatskoj i poslove objave svih propisa i drugih akata u Narodnim novinama. </w:t>
      </w:r>
    </w:p>
    <w:p w:rsidR="005C2091" w:rsidRDefault="00A86293">
      <w:r>
        <w:lastRenderedPageBreak/>
        <w:t xml:space="preserve">Djelokrug Ureda za zakonodavstvo obuhvaća davanje normativnih i drugih mišljenja vezano uz ukupnu normativnu i drugu aktivnost svih tijela državne uprave što uključuje: </w:t>
      </w:r>
    </w:p>
    <w:p w:rsidR="005C2091" w:rsidRDefault="00A86293">
      <w:r>
        <w:t xml:space="preserve">- 19 ministarstava,  </w:t>
      </w:r>
    </w:p>
    <w:p w:rsidR="005C2091" w:rsidRDefault="00A86293">
      <w:r>
        <w:t xml:space="preserve">- 6 središnjih državnih ureda, </w:t>
      </w:r>
    </w:p>
    <w:p w:rsidR="005C2091" w:rsidRDefault="00A86293">
      <w:r>
        <w:t xml:space="preserve">- 7 državnih upravnih organizacija, </w:t>
      </w:r>
    </w:p>
    <w:p w:rsidR="005C2091" w:rsidRDefault="00A86293">
      <w:r>
        <w:t xml:space="preserve">- Ured Predsjednika Vlade RH,  </w:t>
      </w:r>
    </w:p>
    <w:p w:rsidR="005C2091" w:rsidRDefault="00A86293">
      <w:r>
        <w:t xml:space="preserve">- Glavno tajništvo i sve Vladine urede, </w:t>
      </w:r>
    </w:p>
    <w:p w:rsidR="005C2091" w:rsidRDefault="00A86293">
      <w:r>
        <w:t xml:space="preserve">- poslove objave svih propisa i drugih akata u Narodnim novinama. </w:t>
      </w:r>
    </w:p>
    <w:p w:rsidR="005C2091" w:rsidRDefault="00A86293">
      <w:r>
        <w:t xml:space="preserve">Poboljšanje procesa donošenja odluka Vlade Republike Hrvatske ostvaruje se stručnim i pravovremenim postupanjem Ureda za zakonodavstvo, a koje osobito uključuje stalan, marljiv i predan rad na izradi stručnih pravnih mišljenja i prijedloga nacrta mjera te praćenje procesa usklađivanja zakona i drugih propisa s pravnom stečevinom EU i međunarodnim dokumentima, koordinaciju poslova prikupljanja, evidentiranja i analiziranja podataka o procjeni učinka propisa u suradnji s nadležnim ministarstvima. </w:t>
      </w:r>
    </w:p>
    <w:p w:rsidR="005C2091" w:rsidRDefault="00A86293">
      <w:r>
        <w:t xml:space="preserve">Sve navedene aktivnosti Ureda za zakonodavstvo iznimno su važne za daljnji razvoj i unaprjeđenje pravnoga sustava i podizanja razine kvalitete propisa, za što je neophodno osigurati primjerene i dostatne administrativne kapacitete Ureda kao i permanentnu stručnu edukaciju državnih službenika u Uredu. Pritom ističemo sljedeće: </w:t>
      </w:r>
    </w:p>
    <w:p w:rsidR="005C2091" w:rsidRDefault="00A86293">
      <w:r>
        <w:t xml:space="preserve">  1. U Uredu za zakonodavstvo uspostavljeno je takvo unutarnje ustrojstvo Ureda koje se naslanja na unutarnje ustrojstvo Glavnog tajništva i odgovara potrebama usklađenog rada ovog Ureda, Glavnog tajništva Vlade i stalnih radnih tijela Vlade. Takav ustroj temelji se na načelima utvrđenim Uredbom o načelima za unutarnje ustrojstvo tijela državne uprave ("Narodne novine", br. 154/11), a posebno uvažava potrebe funkcionalnosti fleksibilnosti u obavljanju specifičnih stručnih poslova za Vladu u okviru propisanog djelokruga ovog Ureda, </w:t>
      </w:r>
    </w:p>
    <w:p w:rsidR="005C2091" w:rsidRDefault="00A86293">
      <w:r>
        <w:t xml:space="preserve"> 2. Za učinkovito obavljanje poslova iz djelokruga Ureda ustrojene su sljedeće jedinice:  </w:t>
      </w:r>
    </w:p>
    <w:p w:rsidR="005C2091" w:rsidRDefault="00A86293">
      <w:r>
        <w:t xml:space="preserve">- Jedinica za zakonodavne poslove iz područja gospodarstva:  </w:t>
      </w:r>
    </w:p>
    <w:p w:rsidR="005C2091" w:rsidRDefault="00A86293">
      <w:r>
        <w:t xml:space="preserve">- Jedinica za zakonodavne poslove iz područja unutarnje i vanjske politike, društvenih djelatnosti i ljudska prava  </w:t>
      </w:r>
    </w:p>
    <w:p w:rsidR="005C2091" w:rsidRDefault="00A86293">
      <w:r>
        <w:t xml:space="preserve">- Jedinica za zakonodavne poslove iz područja regionalnog razvoja i fondova EU, za sustav i koordinaciju procjene učinaka propisa te poslove Europske unije i  </w:t>
      </w:r>
    </w:p>
    <w:p w:rsidR="005C2091" w:rsidRDefault="00A86293">
      <w:r>
        <w:t xml:space="preserve">- Jedinica za objavu zakona i drugih propisa u "Narodnim novinama" – službenom listu Republike Hrvatske  </w:t>
      </w:r>
    </w:p>
    <w:p w:rsidR="005C2091" w:rsidRDefault="00A86293">
      <w:r>
        <w:t xml:space="preserve"> 3. Kontinuirani stručni poslovi Ureda odnose se na: </w:t>
      </w:r>
    </w:p>
    <w:p w:rsidR="005C2091" w:rsidRDefault="00A86293">
      <w:r>
        <w:t xml:space="preserve">- davanje mišljenja o usklađenosti prijedloga zakona, propisa i akata iz djelokruga Vlade s Ustavom Republike Hrvatske i pravnim poretkom Republike Hrvatske, uvažavajući pri tome pravne propise, odnosno pravni sustav Europske unije;  </w:t>
      </w:r>
    </w:p>
    <w:p w:rsidR="005C2091" w:rsidRDefault="00A86293">
      <w:r>
        <w:t xml:space="preserve">- davanje mišljenja na uredbe i druge propise, upravne akte, akte poslovanja i druge akte koje donosi Vlada, odnosno koje Vlada predlaže Hrvatskome saboru, a u vezi njihove usklađenosti sa zakonom i pravnim sustavom;  </w:t>
      </w:r>
    </w:p>
    <w:p w:rsidR="005C2091" w:rsidRDefault="00A86293">
      <w:r>
        <w:t xml:space="preserve">- sudjelovanje u pravilnom oblikovanju pravnih odredbi u zakonima i drugim propisima i/ili aktima koje predlaže, odnosno donosi Vlada, i odgovora  za pravilnu primjenu nomotehnike;  </w:t>
      </w:r>
    </w:p>
    <w:p w:rsidR="005C2091" w:rsidRDefault="00A86293">
      <w:r>
        <w:t xml:space="preserve">- pripremanje i izrađivanje prijedloga zakona, odnosno prijedloga drugih propisa i akata po nalogu Vlade;  </w:t>
      </w:r>
    </w:p>
    <w:p w:rsidR="005C2091" w:rsidRDefault="00A86293">
      <w:r>
        <w:t xml:space="preserve">- obavljanje odgovarajućih normativnih preinaka i ispravka u prijedlogu zakona, drugog propisa i/ili akta, sukladno zaduženju Vlade i u suradnji s tijelom državne uprave koje je stručni nositelj izrade predloženog propisa, odnosno akta;  </w:t>
      </w:r>
    </w:p>
    <w:p w:rsidR="005C2091" w:rsidRDefault="00A86293">
      <w:r>
        <w:t xml:space="preserve">- davanje stručnih mišljenja središnjim tijelima državne uprave u vezi s primjenom zakona i drugih propisa, nakon prethodno iznesenog stajališta nadležnog tijela; </w:t>
      </w:r>
    </w:p>
    <w:p w:rsidR="005C2091" w:rsidRDefault="00A86293">
      <w:r>
        <w:t xml:space="preserve">- pružanje, po potrebi, stručne pomoći Uredu predsjednika Vlade o pitanjima iz njegovog djelokruga;  </w:t>
      </w:r>
    </w:p>
    <w:p w:rsidR="005C2091" w:rsidRDefault="00A86293">
      <w:r>
        <w:t xml:space="preserve">- sudjelovanje, po potrebi, u suradnji s Glavnim tajništvom Vlade, u pripremi akata koje donosi Vlada; sudjelovanje u radu stalnih radnih tijela Vlade i njihovim stručnim radnim skupinama u skladu s Poslovnikom Vlade;  </w:t>
      </w:r>
    </w:p>
    <w:p w:rsidR="005C2091" w:rsidRDefault="00A86293">
      <w:r>
        <w:t xml:space="preserve">- pripremanje objave i davanje na objavu zakona i drugih propisa u "Narodnim novinama" – službenom listu Republike Hrvatske, brine o njihovoj pravodobnoj objavi, te pripremanje ispravka tiskarskih pogrešaka;  </w:t>
      </w:r>
    </w:p>
    <w:p w:rsidR="005C2091" w:rsidRDefault="00A86293">
      <w:r>
        <w:lastRenderedPageBreak/>
        <w:t xml:space="preserve">- razmatranje pitanja razvoja pravnog sustava u suradnji s resornim ministarstvima, te pitanja ustavnosti i zakonitosti;  </w:t>
      </w:r>
    </w:p>
    <w:p w:rsidR="005C2091" w:rsidRDefault="00A86293">
      <w:r>
        <w:t xml:space="preserve">- izrađivanje i predlaganje Vladi na usvajanje Nomotehničkih smjernica kao podlogu za izradu pravnih propisa;  </w:t>
      </w:r>
    </w:p>
    <w:p w:rsidR="005C2091" w:rsidRDefault="00A86293">
      <w:r>
        <w:t xml:space="preserve">- sudjelovanje u pripremi odgovora na tužbe u postupcima u kojima je tužena strana Vlada, na temelju prethodno pripremljenog nacrta odgovora resornog tijela državne uprave;  </w:t>
      </w:r>
    </w:p>
    <w:p w:rsidR="005C2091" w:rsidRDefault="00A86293">
      <w:r>
        <w:t xml:space="preserve">- koordinaciju izrade i praćenje provedbe Godišnjeg plana normativnih aktivnosti, sukladno zakonu kojim se uređuje procjena učinaka propisa;  </w:t>
      </w:r>
    </w:p>
    <w:p w:rsidR="005C2091" w:rsidRDefault="00A86293">
      <w:r>
        <w:t xml:space="preserve">- koordinaciju propisanog sustava procjene učinaka propisa i izvršavanje poslova koji su stavljeni Uredu u djelokrug zakonom kojim se uređuje procjena učinaka propisa; </w:t>
      </w:r>
    </w:p>
    <w:p w:rsidR="005C2091" w:rsidRDefault="00A86293">
      <w:r>
        <w:t xml:space="preserve">- sudjelovanje u uspostavi, održavanju i razvoju pravnog internetskog portala »e-propisi«, koji sadrži bazu podataka važećih zakonskih i podzakonskih propisa; </w:t>
      </w:r>
    </w:p>
    <w:p w:rsidR="005C2091" w:rsidRDefault="00A86293">
      <w:r>
        <w:t xml:space="preserve">- sudjelovanje u pripremi i provedbi projekata financiranih iz fondova Europske unije i projekata drugih međunarodnih organizacija, vezano uz djelokrug Ureda; </w:t>
      </w:r>
    </w:p>
    <w:p w:rsidR="005C2091" w:rsidRDefault="00A86293">
      <w:r>
        <w:t xml:space="preserve">- uspostavljanje, provođenje i razvijanje međunarodne suradnje s tijelima Europske unije, drugim međunarodnim tijelima i srodnim institucijama sukladno djelokrugu Ureda; </w:t>
      </w:r>
    </w:p>
    <w:p w:rsidR="005C2091" w:rsidRDefault="00A86293">
      <w:r>
        <w:t xml:space="preserve">- pripremanje i provođenje programa stručnog osposobljavanja i usavršavanja državnih službenika i drugih korisnika u području procjene učinaka propisa i u području izrade propisa; </w:t>
      </w:r>
    </w:p>
    <w:p w:rsidR="005C2091" w:rsidRDefault="00A86293">
      <w:r>
        <w:t xml:space="preserve">- sudjelovanje u pravnom i pojmovnom usuglašavanju hrvatskoga zakonodavstva sa standardima Europske unije, u suradnji sa stručnim nositeljima izrade propisa; </w:t>
      </w:r>
    </w:p>
    <w:p w:rsidR="005C2091" w:rsidRDefault="00A86293">
      <w:r>
        <w:t xml:space="preserve">- obavljanje i drugih poslova u skladu sa zakonom kojim se uređuje procjena učinaka propisa. </w:t>
      </w:r>
    </w:p>
    <w:p w:rsidR="005C2091" w:rsidRDefault="00A86293">
      <w:r>
        <w:t xml:space="preserve"> Člankom 15. Zakona o procjeni učinaka propisa ("Narodne novine", broj 90/11) određena je nadležnost Ureda u odnosu na procjenu učinaka propisa u Republici Hrvatskoj, na način da je Ured nadležan za:  </w:t>
      </w:r>
    </w:p>
    <w:p w:rsidR="005C2091" w:rsidRDefault="00A86293">
      <w:r>
        <w:t xml:space="preserve">- koordinaciju procjene učinaka propisa; </w:t>
      </w:r>
    </w:p>
    <w:p w:rsidR="005C2091" w:rsidRDefault="00A86293">
      <w:r>
        <w:t xml:space="preserve">- izradu dokumenata Strategije procjene učinaka propisa, Akcijskog plana procjene učinaka propisa i predlaganje Godišnjeg plana normativnih aktivnosti; </w:t>
      </w:r>
    </w:p>
    <w:p w:rsidR="005C2091" w:rsidRDefault="00A86293">
      <w:r>
        <w:t xml:space="preserve">- davanje suglasnosti na Prijedlog iskaza o procjeni učinaka propisa; </w:t>
      </w:r>
    </w:p>
    <w:p w:rsidR="005C2091" w:rsidRDefault="00A86293">
      <w:r>
        <w:t xml:space="preserve">- izradu provedbenog propisa koji se donosi na temelju navedenog Zakona; </w:t>
      </w:r>
    </w:p>
    <w:p w:rsidR="005C2091" w:rsidRDefault="00A86293">
      <w:r>
        <w:t xml:space="preserve">- obavljanje poslova stručnog osposobljavanja i usavršavanja u području procjene učinaka propisa i području izrade propisa; </w:t>
      </w:r>
    </w:p>
    <w:p w:rsidR="005C2091" w:rsidRDefault="00A86293">
      <w:r>
        <w:t xml:space="preserve">- davanje mišljenja i izradu potrebnih akata radi postizanja pravne i pojmovne koherentnosti hrvatskoga zakonodavstva; </w:t>
      </w:r>
    </w:p>
    <w:p w:rsidR="005C2091" w:rsidRDefault="00A86293">
      <w:r>
        <w:t xml:space="preserve">- davanje mišljenja i izradu potrebnih akata radi pravnog i pojmovnog usuglašavanja hrvatskoga zakonodavstva sa standardima Europske unije; </w:t>
      </w:r>
    </w:p>
    <w:p w:rsidR="005C2091" w:rsidRDefault="00A86293">
      <w:r>
        <w:t xml:space="preserve">- izradu Nomotehničkih smjernica kao podloge za izradu pravnih propisa </w:t>
      </w:r>
    </w:p>
    <w:p w:rsidR="005C2091" w:rsidRDefault="00A86293">
      <w:r>
        <w:t xml:space="preserve">- druge poslove vezane za sustav procjene učinaka propisa koji su uređeni posebnim propisima kojima se uređuje djelokrug Vlade Republike Hrvatske i djelokrug Ureda za zakonodavstvo </w:t>
      </w:r>
    </w:p>
    <w:p w:rsidR="005C2091" w:rsidRDefault="00A86293">
      <w:r>
        <w:t xml:space="preserve"> </w:t>
      </w:r>
    </w:p>
    <w:p w:rsidR="005C2091" w:rsidRDefault="00A86293">
      <w:r>
        <w:t xml:space="preserve">Organizacija i upravljanje - Osnivanje i unutarnjih ustroj; interni normativni akti; kolegiji Ureda, priprema, izrada i provedba strateških planova i programa Ureda; izvještaji o radu Ureda i dr. </w:t>
      </w:r>
    </w:p>
    <w:p w:rsidR="005C2091" w:rsidRDefault="00A86293">
      <w:r>
        <w:t xml:space="preserve">Davanje mišljenja na postojeće propise - Vjerodostojno tumačenje; usklađenost sa Ustavom Republike Hrvatske i ocjena ustavnosti; mišljenja o usklađenosti prijedloga propisa s Ustavom Republike Hrvatske i pravnim poretkom Republike Hrvatske: zakoni, uredbe, odluke, zaključci, ugovori, izvješća, protokoli, rješenja; mišljenja na akte drugih tijela državne uprave: strategije, sporazumi, memorandumi o suglasnosti, poslovnici, godišnji planovi, statuti; postupak objave zakona i drugih propisa, primjena nomotehnike. </w:t>
      </w:r>
    </w:p>
    <w:p w:rsidR="005C2091" w:rsidRDefault="00A86293">
      <w:r>
        <w:lastRenderedPageBreak/>
        <w:t xml:space="preserve">Procjena učinaka propisa - Osnovni dokumenti procjene učinaka propisa; koordinacija i praćenje provedbe postupka procjene učinaka propisa; priprema i provođenje programa stručnog osposobljavanja i usavršavanja državnih službenika u području procjene učinaka propisa i izrade propisa i dr. </w:t>
      </w:r>
    </w:p>
    <w:p w:rsidR="005C2091" w:rsidRDefault="00A86293">
      <w:r>
        <w:t xml:space="preserve">Suradnja s međunarodnim tijelima i organizacijama - Sudjelovanje na sastancima, konferencijama i drugim događanjima u organizaciji međunarodnih tijela; sudjelovanje u međunarodnim projektima i programima. </w:t>
      </w:r>
    </w:p>
    <w:p w:rsidR="005C2091" w:rsidRDefault="00A86293">
      <w:r>
        <w:t xml:space="preserve">Informacijski resursi i dokumentacija - Dostupnost i korištenje informacija; predstavke i pritužbe građana; pravo na pristup informacijama; informiranje i odnosi s javnošću; upravljanje dokumentima; uredsko poslovanje i dr. </w:t>
      </w:r>
    </w:p>
    <w:p w:rsidR="005C2091" w:rsidRDefault="00A86293">
      <w:r>
        <w:t xml:space="preserve">Ljudski resursi, rad i radni odnosi - Planiranje i razvoj ljudskih resursa, kadrovska politika i planiranje; školovanje i stručno usavršavanje; zapošljavanje i radno vrijeme, zaštita na radu i dr. </w:t>
      </w:r>
    </w:p>
    <w:p w:rsidR="005C2091" w:rsidRDefault="00A86293">
      <w:r>
        <w:t xml:space="preserve">Financijsko poslovanje i računovodstvo - Financijska izvješća; planiranje i izrada proračuna Ureda i usklađivanje sa Državnim proračunom Republike Hrvatske; knjigovodstvo, računovodstvo; nadzor i revizija i dr. </w:t>
      </w:r>
    </w:p>
    <w:p w:rsidR="005C2091" w:rsidRDefault="00A86293">
      <w:r>
        <w:t xml:space="preserve"> 4. U Uredu za zakonodavstvo sistematizirano je 25 radnih mjesta od toga 23 radna mjesta visoke stručne spreme (VSS). U 2016. godini ukupno je bilo popunjeno 15 radnih mjesta i to 13 radnih mjesta visoke stručne spreme i 2 radna mjesta srednje stručne spreme (SSS) na poslovima administrativnog tajnika. </w:t>
      </w:r>
    </w:p>
    <w:p w:rsidR="005C2091" w:rsidRDefault="00A86293">
      <w:r>
        <w:t xml:space="preserve"> 5. Poslovi Ureda zahtijevali su izravnu i svakodnevnu suradnju sa svim središnjim tijelima državne uprave i drugim državnim tijelima, agencijama i drugim pravnim osobama na koje su prenesene javne ovlasti. Ured u okviru svog djelokruga navedenim tijelima daje pisana mišljenje i očitovanja o prijedlozima akata iz njihove nadležnosti, koji akti se, nakon provedenog postupka usuglašavanja upućuju Vladi Republike Hrvatske na usvajanje. Isto tako, ovaj Ured obavlja i druge poslove po nalogu Vlade Republike Hrvatske, najčešće sa zadanim kratkim rokovima dovršetka. Osim toga, Ured je provodio reformske mjere sukladno Nacionalnom programu reformi Vlade Republike Hrvatske i to, u dijelu koji se odnosi na jačanje sustava procjene učinaka propisa i poboljšanja kvalitete izrade propisa. Ured je provodio programe izobrazbe i to, program za primjenu pravila nomotehnike pri izradi pravnih propisa kao i program izobrazbe za procjenu učinaka propisa. </w:t>
      </w:r>
    </w:p>
    <w:p w:rsidR="005C2091" w:rsidRDefault="00A86293">
      <w:r>
        <w:t xml:space="preserve"> 6. Navedene poslove ovaj Ured je u 2016. godini obavljao s brojem službenika koji je manji od broja ustrojstvenih radnih mjesta, odnosno umjesto 25 državnih službenika poslove Ureda obavljalo je 15 državnih službenika na koncu 2016. godine. Nadalje, od postojećih broja službenika, 13 savjetnika i 2 administrativne tajnice, određeni broj službenika zbog težih zdravstvenih problema i korištenja bolovanja tijekom cijele godine ne može u potpunosti u kontinuitetu izvršavati svoje radne zadatke. Ured je dodatno kapacitiran u prosincu 2016. godine s 2 državna službenika visoke stručne spreme. Daljnje popunjavanje upražnjenih radnih mjesta nužno je kako bi se sukcesivnom zamjenom službenika osigurao kontinuitet u obavljanju svih povjerenih zadaća, i to kako redovitih tako i onih izvanrednih. Na navedeni način ujedno bi se osigurala i dostignuta razina stručnosti, kvalitete rada i pravodobnosti postupanja ovoga Ureda.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02030-Ured za zakonodavstvo</w:t>
            </w:r>
          </w:p>
        </w:tc>
        <w:tc>
          <w:tcPr>
            <w:tcW w:w="2041" w:type="dxa"/>
            <w:vAlign w:val="top"/>
          </w:tcPr>
          <w:p w:rsidR="005C2091" w:rsidRDefault="00A86293">
            <w:pPr>
              <w:pStyle w:val="CellColumn"/>
              <w:jc w:val="right"/>
            </w:pPr>
            <w:r>
              <w:rPr>
                <w:rFonts w:cs="Times New Roman"/>
              </w:rPr>
              <w:t>4.283.529</w:t>
            </w:r>
          </w:p>
        </w:tc>
        <w:tc>
          <w:tcPr>
            <w:tcW w:w="2041" w:type="dxa"/>
            <w:vAlign w:val="top"/>
          </w:tcPr>
          <w:p w:rsidR="005C2091" w:rsidRDefault="00A86293">
            <w:pPr>
              <w:pStyle w:val="CellColumn"/>
              <w:jc w:val="right"/>
            </w:pPr>
            <w:r>
              <w:rPr>
                <w:rFonts w:cs="Times New Roman"/>
              </w:rPr>
              <w:t>3.359.010</w:t>
            </w:r>
          </w:p>
        </w:tc>
        <w:tc>
          <w:tcPr>
            <w:tcW w:w="2041" w:type="dxa"/>
            <w:vAlign w:val="top"/>
          </w:tcPr>
          <w:p w:rsidR="005C2091" w:rsidRDefault="00A86293">
            <w:pPr>
              <w:pStyle w:val="CellColumn"/>
              <w:jc w:val="right"/>
            </w:pPr>
            <w:r>
              <w:rPr>
                <w:rFonts w:cs="Times New Roman"/>
              </w:rPr>
              <w:t>2.900.481</w:t>
            </w:r>
          </w:p>
        </w:tc>
        <w:tc>
          <w:tcPr>
            <w:tcW w:w="1224" w:type="dxa"/>
            <w:vAlign w:val="top"/>
          </w:tcPr>
          <w:p w:rsidR="005C2091" w:rsidRDefault="00A86293">
            <w:pPr>
              <w:pStyle w:val="CellColumn"/>
              <w:jc w:val="right"/>
            </w:pPr>
            <w:r>
              <w:rPr>
                <w:rFonts w:cs="Times New Roman"/>
              </w:rPr>
              <w:t>86,3</w:t>
            </w:r>
          </w:p>
        </w:tc>
        <w:tc>
          <w:tcPr>
            <w:tcW w:w="1224" w:type="dxa"/>
            <w:vAlign w:val="top"/>
          </w:tcPr>
          <w:p w:rsidR="005C2091" w:rsidRDefault="00A86293">
            <w:pPr>
              <w:pStyle w:val="CellColumn"/>
              <w:jc w:val="right"/>
            </w:pPr>
            <w:r>
              <w:rPr>
                <w:rFonts w:cs="Times New Roman"/>
              </w:rPr>
              <w:t>67,7</w:t>
            </w:r>
          </w:p>
        </w:tc>
      </w:tr>
      <w:tr w:rsidR="005C2091">
        <w:trPr>
          <w:jc w:val="center"/>
        </w:trPr>
        <w:tc>
          <w:tcPr>
            <w:tcW w:w="1632" w:type="dxa"/>
          </w:tcPr>
          <w:p w:rsidR="005C2091" w:rsidRDefault="00A86293">
            <w:pPr>
              <w:jc w:val="left"/>
            </w:pPr>
            <w:r>
              <w:t>2404-USKLAĐIVANJE PRAVNIH AKATA S PRAVNIM PORETKOM REPUBLIKE HRVATSKE</w:t>
            </w:r>
          </w:p>
        </w:tc>
        <w:tc>
          <w:tcPr>
            <w:tcW w:w="2041" w:type="dxa"/>
          </w:tcPr>
          <w:p w:rsidR="005C2091" w:rsidRDefault="00A86293">
            <w:pPr>
              <w:jc w:val="right"/>
            </w:pPr>
            <w:r>
              <w:t>4.283.529</w:t>
            </w:r>
          </w:p>
        </w:tc>
        <w:tc>
          <w:tcPr>
            <w:tcW w:w="2041" w:type="dxa"/>
          </w:tcPr>
          <w:p w:rsidR="005C2091" w:rsidRDefault="00A86293">
            <w:pPr>
              <w:jc w:val="right"/>
            </w:pPr>
            <w:r>
              <w:t>3.359.010</w:t>
            </w:r>
          </w:p>
        </w:tc>
        <w:tc>
          <w:tcPr>
            <w:tcW w:w="2041" w:type="dxa"/>
          </w:tcPr>
          <w:p w:rsidR="005C2091" w:rsidRDefault="00A86293">
            <w:pPr>
              <w:jc w:val="right"/>
            </w:pPr>
            <w:r>
              <w:t>2.900.481</w:t>
            </w:r>
          </w:p>
        </w:tc>
        <w:tc>
          <w:tcPr>
            <w:tcW w:w="1224" w:type="dxa"/>
          </w:tcPr>
          <w:p w:rsidR="005C2091" w:rsidRDefault="00A86293">
            <w:pPr>
              <w:jc w:val="right"/>
            </w:pPr>
            <w:r>
              <w:t>86,3</w:t>
            </w:r>
          </w:p>
        </w:tc>
        <w:tc>
          <w:tcPr>
            <w:tcW w:w="1224" w:type="dxa"/>
          </w:tcPr>
          <w:p w:rsidR="005C2091" w:rsidRDefault="00A86293">
            <w:pPr>
              <w:jc w:val="right"/>
            </w:pPr>
            <w:r>
              <w:t>67,7</w:t>
            </w:r>
          </w:p>
        </w:tc>
      </w:tr>
    </w:tbl>
    <w:p w:rsidR="005C2091" w:rsidRDefault="005C2091">
      <w:pPr>
        <w:jc w:val="left"/>
      </w:pPr>
    </w:p>
    <w:p w:rsidR="005C2091" w:rsidRDefault="00A86293">
      <w:pPr>
        <w:pStyle w:val="Heading3"/>
      </w:pPr>
      <w:r>
        <w:rPr>
          <w:rFonts w:cs="Times New Roman"/>
        </w:rPr>
        <w:lastRenderedPageBreak/>
        <w:t>2404 USKLAĐIVANJE PRAVNIH AKATA S PRAVNIM PORETKOM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2404-USKLAĐIVANJE PRAVNIH AKATA S PRAVNIM PORETKOM REPUBLIKE HRVATSKE</w:t>
            </w:r>
          </w:p>
        </w:tc>
        <w:tc>
          <w:tcPr>
            <w:tcW w:w="2041" w:type="dxa"/>
          </w:tcPr>
          <w:p w:rsidR="005C2091" w:rsidRDefault="00A86293">
            <w:pPr>
              <w:pStyle w:val="CellColumn"/>
              <w:jc w:val="right"/>
            </w:pPr>
            <w:r>
              <w:rPr>
                <w:rFonts w:cs="Times New Roman"/>
              </w:rPr>
              <w:t>4.283.529</w:t>
            </w:r>
          </w:p>
        </w:tc>
        <w:tc>
          <w:tcPr>
            <w:tcW w:w="2041" w:type="dxa"/>
          </w:tcPr>
          <w:p w:rsidR="005C2091" w:rsidRDefault="00A86293">
            <w:pPr>
              <w:pStyle w:val="CellColumn"/>
              <w:jc w:val="right"/>
            </w:pPr>
            <w:r>
              <w:rPr>
                <w:rFonts w:cs="Times New Roman"/>
              </w:rPr>
              <w:t>3.359.010</w:t>
            </w:r>
          </w:p>
        </w:tc>
        <w:tc>
          <w:tcPr>
            <w:tcW w:w="2041" w:type="dxa"/>
          </w:tcPr>
          <w:p w:rsidR="005C2091" w:rsidRDefault="00A86293">
            <w:pPr>
              <w:pStyle w:val="CellColumn"/>
              <w:jc w:val="right"/>
            </w:pPr>
            <w:r>
              <w:rPr>
                <w:rFonts w:cs="Times New Roman"/>
              </w:rPr>
              <w:t>2.900.481</w:t>
            </w:r>
          </w:p>
        </w:tc>
        <w:tc>
          <w:tcPr>
            <w:tcW w:w="1224" w:type="dxa"/>
          </w:tcPr>
          <w:p w:rsidR="005C2091" w:rsidRDefault="00A86293">
            <w:pPr>
              <w:pStyle w:val="CellColumn"/>
              <w:jc w:val="right"/>
            </w:pPr>
            <w:r>
              <w:rPr>
                <w:rFonts w:cs="Times New Roman"/>
              </w:rPr>
              <w:t>86,3</w:t>
            </w:r>
          </w:p>
        </w:tc>
        <w:tc>
          <w:tcPr>
            <w:tcW w:w="1224" w:type="dxa"/>
          </w:tcPr>
          <w:p w:rsidR="005C2091" w:rsidRDefault="00A86293">
            <w:pPr>
              <w:pStyle w:val="CellColumn"/>
              <w:jc w:val="right"/>
            </w:pPr>
            <w:r>
              <w:rPr>
                <w:rFonts w:cs="Times New Roman"/>
              </w:rPr>
              <w:t>67,7</w:t>
            </w:r>
          </w:p>
        </w:tc>
      </w:tr>
    </w:tbl>
    <w:p w:rsidR="005C2091" w:rsidRDefault="005C2091">
      <w:pPr>
        <w:jc w:val="left"/>
      </w:pPr>
    </w:p>
    <w:p w:rsidR="005C2091" w:rsidRDefault="00A86293">
      <w:r>
        <w:t xml:space="preserve">Ured za zakonodavstvo obavljao je sljedeće poslove: </w:t>
      </w:r>
    </w:p>
    <w:p w:rsidR="005C2091" w:rsidRDefault="00A86293">
      <w:r>
        <w:t xml:space="preserve"> - davanje mišljenja o usklađenosti prijedloga zakona, propisa i akata iz djelokruga Vlade s Ustavom Republike Hrvatske i pravnim poretkom Republike Hrvatske, uvažavajući pri tome pravne propise, odnosno pravni sustav Europske unije;  </w:t>
      </w:r>
    </w:p>
    <w:p w:rsidR="005C2091" w:rsidRDefault="00A86293">
      <w:r>
        <w:t xml:space="preserve">- davanje mišljenja na uredbe i druge propise, upravne akte, akte poslovanja i druge akte koje donosi Vlada, odnosno koje Vlada predlaže Hrvatskome saboru, a u vezi njihove usklađenosti sa zakonom i pravnim sustavom;  </w:t>
      </w:r>
    </w:p>
    <w:p w:rsidR="005C2091" w:rsidRDefault="00A86293">
      <w:r>
        <w:t xml:space="preserve">- sudjelovanje u pravilnom oblikovanju pravnih odredbi u zakonima i drugim propisima i/ili aktima koje predlaže, odnosno donosi Vlada, i odgovora  za pravilnu primjenu nomotehnike;  </w:t>
      </w:r>
    </w:p>
    <w:p w:rsidR="005C2091" w:rsidRDefault="00A86293">
      <w:r>
        <w:t xml:space="preserve">- pripremanje i izrađivanje prijedloga zakona, odnosno prijedloge drugih propisa i akata po nalogu Vlade;  </w:t>
      </w:r>
    </w:p>
    <w:p w:rsidR="005C2091" w:rsidRDefault="00A86293">
      <w:r>
        <w:t xml:space="preserve">- obavljanje odgovarajućih normativnih preinaka i ispravki u prijedlogu zakona, drugog propisa i/ili akta, sukladno zaduženju Vlade i u suradnji s tijelom državne uprave koje je stručni nositelj izrade predloženog propisa, odnosno akta;  </w:t>
      </w:r>
    </w:p>
    <w:p w:rsidR="005C2091" w:rsidRDefault="00A86293">
      <w:r>
        <w:t xml:space="preserve">- davanje stručnih mišljenja središnjim tijelima državne uprave u vezi s primjenom zakona i drugih propisa, nakon prethodno iznesenog stajališta nadležnog tijela; </w:t>
      </w:r>
    </w:p>
    <w:p w:rsidR="005C2091" w:rsidRDefault="00A86293">
      <w:r>
        <w:t xml:space="preserve">- pružanje, po potrebi, stručne pomoći Uredu predsjednika Vlade o pitanjima iz njegovog djelokruga;  </w:t>
      </w:r>
    </w:p>
    <w:p w:rsidR="005C2091" w:rsidRDefault="00A86293">
      <w:r>
        <w:t xml:space="preserve">- sudjelovanje, po potrebi, u suradnji s Glavnim tajništvom Vlade, u pripremi akata koje donosi Vlada; sudjeluje u radu stalnih radnih tijela Vlade i njihovim stručnim radnim skupinama u skladu s Poslovnikom Vlade;  </w:t>
      </w:r>
    </w:p>
    <w:p w:rsidR="005C2091" w:rsidRDefault="00A86293">
      <w:r>
        <w:t xml:space="preserve">- pripremanje objave i davanje na objavu zakona i drugih propisa u "Narodnim novinama" – službenom listu Republike Hrvatske, brine o njihovoj pravodobnoj objavi, te pripremanje ispravki tiskarskih pogrešaka;  </w:t>
      </w:r>
    </w:p>
    <w:p w:rsidR="005C2091" w:rsidRDefault="00A86293">
      <w:r>
        <w:t xml:space="preserve">- razmatranje pitanja razvoja pravnog sustava u suradnji s resornim ministarstvima, te pitanja ustavnosti i zakonitosti;  </w:t>
      </w:r>
    </w:p>
    <w:p w:rsidR="005C2091" w:rsidRDefault="00A86293">
      <w:r>
        <w:t xml:space="preserve">- sudjelovanje u pripremi odgovora na tužbe u postupcima u kojima je tužena strana Vlada, na temelju prethodno pripremljenog nacrta odgovora resornog tijela državne uprave;  </w:t>
      </w:r>
    </w:p>
    <w:p w:rsidR="005C2091" w:rsidRDefault="00A86293">
      <w:r>
        <w:t xml:space="preserve">- koordiniranje izrade i praćenja provedbe Godišnjeg plana normativnih aktivnosti, sukladno zakonu kojim se uređuje procjena učinaka propisa;  </w:t>
      </w:r>
    </w:p>
    <w:p w:rsidR="005C2091" w:rsidRDefault="00A86293">
      <w:r>
        <w:t xml:space="preserve">- koordiniranje propisanog sustava procjene učinaka propisa i izvršavanje poslova koji su stavljeni Uredu u djelokrug zakonom kojim se uređuje procjena učinaka propisa; </w:t>
      </w:r>
    </w:p>
    <w:p w:rsidR="005C2091" w:rsidRDefault="00A86293">
      <w:r>
        <w:t xml:space="preserve">- sudjelovanje u pripremi i provedbi projekata financiranih iz fondova Europske unije i projekata drugih međunarodnih organizacija, vezano uz djelokrug Ureda; </w:t>
      </w:r>
    </w:p>
    <w:p w:rsidR="005C2091" w:rsidRDefault="00A86293">
      <w:r>
        <w:t xml:space="preserve">- uspostavljanje, provođenje i razvijanje međunarodnu suradnju s tijelima Europske unije, drugim međunarodnim tijelima i srodnim institucijama sukladno djelokrugu Ureda; </w:t>
      </w:r>
    </w:p>
    <w:p w:rsidR="005C2091" w:rsidRDefault="00A86293">
      <w:r>
        <w:lastRenderedPageBreak/>
        <w:t xml:space="preserve">- pripremanje i provođenje programa stručnog osposobljavanja i usavršavanja državnih službenika i drugih korisnika u području procjene učinaka propisa i u području izrade propisa; </w:t>
      </w:r>
    </w:p>
    <w:p w:rsidR="005C2091" w:rsidRDefault="00A86293">
      <w:r>
        <w:t xml:space="preserve">- sudjelovanje u pravnom i pojmovnom usuglašavanju hrvatskoga zakonodavstva sa standardima Europske unije, u suradnji sa stručnim nositeljima izrade propisa; </w:t>
      </w:r>
    </w:p>
    <w:p w:rsidR="005C2091" w:rsidRDefault="00A86293">
      <w:r>
        <w:t xml:space="preserve">- obavljanje i drugih poslova u skladu sa zakonom kojim se uređuje procjena učinaka propisa. </w:t>
      </w:r>
    </w:p>
    <w:p w:rsidR="005C2091" w:rsidRDefault="00A86293">
      <w:r>
        <w:t xml:space="preserve"> Člankom 15. Zakona o procjeni učinaka propisa ("Narodne novine", broj 90/11) određena je nadležnost Ureda u odnosu na procjenu učinaka propisa u Republici Hrvatskoj, na način da je Ured nadležan za:  </w:t>
      </w:r>
    </w:p>
    <w:p w:rsidR="005C2091" w:rsidRDefault="00A86293">
      <w:r>
        <w:t xml:space="preserve">- koordinaciju procjene učinaka propisa; </w:t>
      </w:r>
    </w:p>
    <w:p w:rsidR="005C2091" w:rsidRDefault="00A86293">
      <w:r>
        <w:t xml:space="preserve">- izradu dokumenata Strategije procjene učinaka propisa, Akcijskog plana procjene učinaka propisa i predlaganje Godišnjeg plana normativnih aktivnosti; </w:t>
      </w:r>
    </w:p>
    <w:p w:rsidR="005C2091" w:rsidRDefault="00A86293">
      <w:r>
        <w:t xml:space="preserve">- davanje suglasnosti na Prijedlog iskaza o procjeni učinaka propisa; </w:t>
      </w:r>
    </w:p>
    <w:p w:rsidR="005C2091" w:rsidRDefault="00A86293">
      <w:r>
        <w:t xml:space="preserve">- izradu provedbenog propisa koji se donosi na temelju navedenog Zakona; </w:t>
      </w:r>
    </w:p>
    <w:p w:rsidR="005C2091" w:rsidRDefault="00A86293">
      <w:r>
        <w:t xml:space="preserve">- obavljanje poslova stručnog osposobljavanja i usavršavanja u području procjene učinaka propisa i području izrade propisa; </w:t>
      </w:r>
    </w:p>
    <w:p w:rsidR="005C2091" w:rsidRDefault="00A86293">
      <w:r>
        <w:t xml:space="preserve">- davanje mišljenja i izradu potrebnih akata radi postizanja pravne i pojmovne koherentnosti hrvatskoga zakonodavstva; </w:t>
      </w:r>
    </w:p>
    <w:p w:rsidR="005C2091" w:rsidRDefault="00A86293">
      <w:r>
        <w:t xml:space="preserve">- davanje mišljenja i izradu potrebnih akata radi pravnog i pojmovnog usuglašavanja hrvatskoga zakonodavstva sa standardima Europske unije; </w:t>
      </w:r>
    </w:p>
    <w:p w:rsidR="005C2091" w:rsidRDefault="00A86293">
      <w:r>
        <w:t xml:space="preserve">- izradu Nomotehničkih smjernica kao podloge za izradu pravnih propisa </w:t>
      </w:r>
    </w:p>
    <w:p w:rsidR="005C2091" w:rsidRDefault="00A86293">
      <w:r>
        <w:t xml:space="preserve"> Pored gore navedenih poslova u Uredu se obavljaju poslovi pripreme podataka vezano za financijsko materijalno poslovanje Ureda i njihove dostave nadležnim tijelima za pripremu izvješća i izradu državnog proračuna, poslove priprema i obrade izvješća koja su relevantna za praćenje unutarnjih procesa Ureda, kao i za rad unutarnje revizije te stručni i administrativni poslovi za potrebe rada Ureda kao i za potrebe pravodobne objave zakona i drugih propisa u "Narodnim novinama" – službenom listu Republike Hrvatske.</w:t>
      </w:r>
    </w:p>
    <w:p w:rsidR="005C2091" w:rsidRDefault="00A86293">
      <w:pPr>
        <w:pStyle w:val="Heading8"/>
        <w:jc w:val="left"/>
      </w:pPr>
      <w:r>
        <w:t>Cilj 1. Učinkovita koordinacija i provedba specifičnih Vladinih programa i strategija kroz poboljšanje procesa donošenja akata Vlade Republike Hrvatske</w:t>
      </w:r>
    </w:p>
    <w:p w:rsidR="005C2091" w:rsidRDefault="00A86293">
      <w:pPr>
        <w:pStyle w:val="Heading8"/>
        <w:jc w:val="left"/>
      </w:pPr>
      <w:r>
        <w:t>Opis provedbe cilja programa</w:t>
      </w:r>
    </w:p>
    <w:p w:rsidR="005C2091" w:rsidRDefault="00A86293">
      <w:r>
        <w:t xml:space="preserve">Učinkovitu koordinaciju i provedbu specifičnih Vladinih programa omogućit će poboljšanje procesa donošenja i kvalitete propisa i drugih akata Vlade Republike Hrvatske, uz kvalitetnu izradu pravnih mišljenja, kvalitetnu izradu procjene učinaka propisa, kontinuirana izobrazba stručnog kadra i jačanje administrativnog kapaciteta Ureda, kao i jačanje i održavanje kontinuirane koordinacije i suradnje sa različitim tijelima državne uprave te pravnim osobama s javnim ovlastima.  </w:t>
      </w:r>
    </w:p>
    <w:p w:rsidR="005C2091" w:rsidRDefault="00A86293">
      <w:r>
        <w:t>Poboljšanju procesa donošenja i kvalitete propisa i drugih akata Vlade doprinijet će i aktivnost Ureda za zakonodavstvo s ciljem veće uključenosti u te procese svih sudionika društva (poslovna zajednica, interesne skupine, osjetljive skupine, javnost i zainteresirana javnost, organizacije civilnog društva).</w:t>
      </w:r>
    </w:p>
    <w:p w:rsidR="003314EE" w:rsidRDefault="003314EE"/>
    <w:p w:rsidR="003314EE" w:rsidRDefault="003314EE"/>
    <w:p w:rsidR="005C2091" w:rsidRDefault="00A86293">
      <w:pPr>
        <w:pStyle w:val="Heading4"/>
      </w:pPr>
      <w:r>
        <w:t>A514000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A514000-ADMINISTRACIJA I UPRAVLJANJE</w:t>
            </w:r>
          </w:p>
        </w:tc>
        <w:tc>
          <w:tcPr>
            <w:tcW w:w="2041" w:type="dxa"/>
          </w:tcPr>
          <w:p w:rsidR="005C2091" w:rsidRDefault="00A86293">
            <w:pPr>
              <w:pStyle w:val="CellColumn"/>
              <w:jc w:val="right"/>
            </w:pPr>
            <w:r>
              <w:rPr>
                <w:rFonts w:cs="Times New Roman"/>
              </w:rPr>
              <w:t>2.931.180</w:t>
            </w:r>
          </w:p>
        </w:tc>
        <w:tc>
          <w:tcPr>
            <w:tcW w:w="2041" w:type="dxa"/>
          </w:tcPr>
          <w:p w:rsidR="005C2091" w:rsidRDefault="00A86293">
            <w:pPr>
              <w:pStyle w:val="CellColumn"/>
              <w:jc w:val="right"/>
            </w:pPr>
            <w:r>
              <w:rPr>
                <w:rFonts w:cs="Times New Roman"/>
              </w:rPr>
              <w:t>2.881.010</w:t>
            </w:r>
          </w:p>
        </w:tc>
        <w:tc>
          <w:tcPr>
            <w:tcW w:w="2041" w:type="dxa"/>
          </w:tcPr>
          <w:p w:rsidR="005C2091" w:rsidRDefault="00A86293">
            <w:pPr>
              <w:pStyle w:val="CellColumn"/>
              <w:jc w:val="right"/>
            </w:pPr>
            <w:r>
              <w:rPr>
                <w:rFonts w:cs="Times New Roman"/>
              </w:rPr>
              <w:t>2.809.872</w:t>
            </w:r>
          </w:p>
        </w:tc>
        <w:tc>
          <w:tcPr>
            <w:tcW w:w="1224" w:type="dxa"/>
          </w:tcPr>
          <w:p w:rsidR="005C2091" w:rsidRDefault="00A86293">
            <w:pPr>
              <w:pStyle w:val="CellColumn"/>
              <w:jc w:val="right"/>
            </w:pPr>
            <w:r>
              <w:rPr>
                <w:rFonts w:cs="Times New Roman"/>
              </w:rPr>
              <w:t>97,5</w:t>
            </w:r>
          </w:p>
        </w:tc>
        <w:tc>
          <w:tcPr>
            <w:tcW w:w="1224" w:type="dxa"/>
          </w:tcPr>
          <w:p w:rsidR="005C2091" w:rsidRDefault="00A86293">
            <w:pPr>
              <w:pStyle w:val="CellColumn"/>
              <w:jc w:val="right"/>
            </w:pPr>
            <w:r>
              <w:rPr>
                <w:rFonts w:cs="Times New Roman"/>
              </w:rPr>
              <w:t>95,9</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 xml:space="preserve">- Zakon o Vladi Republike Hrvatske </w:t>
      </w:r>
    </w:p>
    <w:p w:rsidR="005C2091" w:rsidRDefault="00A86293">
      <w:r>
        <w:t xml:space="preserve">- Poslovnik Vlade Republike Hrvatske  </w:t>
      </w:r>
    </w:p>
    <w:p w:rsidR="005C2091" w:rsidRDefault="00A86293">
      <w:r>
        <w:t xml:space="preserve">- Zakon o procjeni učinaka propisa  </w:t>
      </w:r>
    </w:p>
    <w:p w:rsidR="005C2091" w:rsidRDefault="00A86293">
      <w:r>
        <w:t>- Uredba o postupku procjene učinaka propisa</w:t>
      </w:r>
    </w:p>
    <w:p w:rsidR="005C2091" w:rsidRDefault="00A86293">
      <w:pPr>
        <w:pStyle w:val="Heading8"/>
        <w:jc w:val="left"/>
      </w:pPr>
      <w:r>
        <w:t>Opis aktivnosti</w:t>
      </w:r>
    </w:p>
    <w:p w:rsidR="005C2091" w:rsidRDefault="00A86293">
      <w:r>
        <w:t xml:space="preserve">Tijekom 2016. godine je u sklopu A514000 Administracija i upravljanje obavljao sljedeće redovite poslove: </w:t>
      </w:r>
    </w:p>
    <w:p w:rsidR="005C2091" w:rsidRDefault="00A86293">
      <w:r>
        <w:t xml:space="preserve">- davanje mišljenja o usklađenosti prijedloga zakona, propisa i akata iz djelokruga Vlade s Ustavom Republike Hrvatske i pravnim poretkom Republike Hrvatske, uvažavajući pri tome pravne propise, odnosno pravni sustav Europske unije;  </w:t>
      </w:r>
    </w:p>
    <w:p w:rsidR="005C2091" w:rsidRDefault="00A86293">
      <w:r>
        <w:t xml:space="preserve">- davanje mišljenja na uredbe i druge propise, upravne akte, akte poslovanja i druge akte koje donosi Vlada, odnosno koje Vlada predlaže Hrvatskome saboru, a u vezi njihove usklađenosti sa zakonom i pravnim sustavom;  </w:t>
      </w:r>
    </w:p>
    <w:p w:rsidR="005C2091" w:rsidRDefault="00A86293">
      <w:r>
        <w:t xml:space="preserve">- sudjelovanje u pravilnom oblikovanju pravnih odredbi u zakonima i drugim propisima i/ili aktima koje predlaže, odnosno donosi Vlada, i odgovora  za pravilnu primjenu nomotehnike;  </w:t>
      </w:r>
    </w:p>
    <w:p w:rsidR="005C2091" w:rsidRDefault="00A86293">
      <w:r>
        <w:t xml:space="preserve">- pripremanje i izrađivanje prijedloga zakona, odnosno prijedloga drugih propisa i akata po nalogu Vlade;  </w:t>
      </w:r>
    </w:p>
    <w:p w:rsidR="005C2091" w:rsidRDefault="00A86293">
      <w:r>
        <w:t xml:space="preserve">- obavljanje odgovarajućih normativnih preinaka i ispravka u prijedlogu zakona, drugog propisa i/ili akta, sukladno zaduženju Vlade i u suradnji s tijelom državne uprave koje je stručni nositelj izrade predloženog propisa, odnosno akta;  </w:t>
      </w:r>
    </w:p>
    <w:p w:rsidR="005C2091" w:rsidRDefault="00A86293">
      <w:r>
        <w:t xml:space="preserve">- davanje stručnih mišljenja središnjim tijelima državne uprave u vezi s primjenom zakona i drugih propisa, nakon prethodno iznesenog stajališta nadležnog tijela; </w:t>
      </w:r>
    </w:p>
    <w:p w:rsidR="005C2091" w:rsidRDefault="00A86293">
      <w:r>
        <w:t xml:space="preserve">- pružanje, po potrebi, stručne pomoći Uredu predsjednika Vlade o pitanjima iz njegovog djelokruga;  </w:t>
      </w:r>
    </w:p>
    <w:p w:rsidR="005C2091" w:rsidRDefault="00A86293">
      <w:r>
        <w:t xml:space="preserve">- sudjelovanje, po potrebi, u suradnji s Glavnim tajništvom Vlade, u pripremi akata koje donosi Vlada; sudjelovanje u radu stalnih radnih tijela Vlade i njihovim stručnim radnim skupinama u skladu s Poslovnikom Vlade;  </w:t>
      </w:r>
    </w:p>
    <w:p w:rsidR="005C2091" w:rsidRDefault="00A86293">
      <w:r>
        <w:t xml:space="preserve">- pripremanje objave i davanje na objavu zakona i drugih propisa u "Narodnim novinama" – službenom listu Republike Hrvatske, brine o njihovoj pravodobnoj objavi, te pripremanje ispravka tiskarskih pogrešaka;  </w:t>
      </w:r>
    </w:p>
    <w:p w:rsidR="005C2091" w:rsidRDefault="00A86293">
      <w:r>
        <w:t xml:space="preserve">- razmatranje pitanja razvoja pravnog sustava u suradnji s resornim ministarstvima, te pitanja ustavnosti i zakonitosti;  </w:t>
      </w:r>
    </w:p>
    <w:p w:rsidR="005C2091" w:rsidRDefault="00A86293">
      <w:r>
        <w:t xml:space="preserve">- izrađivanje i predlaganje Vladi na usvajanje Nomotehničkih smjernica kao podlogu za izradu pravnih propisa;  </w:t>
      </w:r>
    </w:p>
    <w:p w:rsidR="005C2091" w:rsidRDefault="00A86293">
      <w:r>
        <w:t xml:space="preserve">- sudjelovanje u pripremi odgovora na tužbe u postupcima u kojima je tužena strana Vlada, na temelju prethodno pripremljenog nacrta odgovora resornog tijela državne uprave;  </w:t>
      </w:r>
    </w:p>
    <w:p w:rsidR="005C2091" w:rsidRDefault="00A86293">
      <w:r>
        <w:t xml:space="preserve">- koordinaciju izrade i praćenje provedbe Godišnjeg plana normativnih aktivnosti, sukladno zakonu kojim se uređuje procjena učinaka propisa;  </w:t>
      </w:r>
    </w:p>
    <w:p w:rsidR="005C2091" w:rsidRDefault="00A86293">
      <w:r>
        <w:t xml:space="preserve">- koordinaciju propisanog sustava procjene učinaka propisa i izvršavanje poslova koji su stavljeni Uredu u djelokrug zakonom kojim se uređuje procjena učinaka propisa; </w:t>
      </w:r>
    </w:p>
    <w:p w:rsidR="005C2091" w:rsidRDefault="00A86293">
      <w:r>
        <w:t xml:space="preserve">- sudjelovanje u uspostavi, održavanju i razvoju pravnog internetskog portala »e-propisi«, koji sadrži bazu podataka važećih zakonskih i podzakonskih propisa; </w:t>
      </w:r>
    </w:p>
    <w:p w:rsidR="005C2091" w:rsidRDefault="00A86293">
      <w:r>
        <w:t xml:space="preserve">- sudjelovanje u pripremi i provedbi projekata financiranih iz fondova Europske unije i projekata drugih međunarodnih organizacija, vezano uz djelokrug Ureda; </w:t>
      </w:r>
    </w:p>
    <w:p w:rsidR="005C2091" w:rsidRDefault="00A86293">
      <w:r>
        <w:t xml:space="preserve">- uspostavljanje, provođenje i razvijanje međunarodne suradnje s tijelima Europske unije, drugim međunarodnim tijelima i srodnim institucijama sukladno djelokrugu Ureda; </w:t>
      </w:r>
    </w:p>
    <w:p w:rsidR="005C2091" w:rsidRDefault="00A86293">
      <w:r>
        <w:t xml:space="preserve">- pripremanje i provođenje programa stručnog osposobljavanja i usavršavanja državnih službenika i drugih korisnika u području izrade propisa i procjene učinaka propisa; </w:t>
      </w:r>
    </w:p>
    <w:p w:rsidR="005C2091" w:rsidRDefault="00A86293">
      <w:r>
        <w:t xml:space="preserve">- sudjelovanje u pravnom i pojmovnom usuglašavanju hrvatskoga zakonodavstva sa standardima Europske unije, u suradnji sa stručnim nositeljima izrade propisa; </w:t>
      </w:r>
    </w:p>
    <w:p w:rsidR="005C2091" w:rsidRDefault="00A86293">
      <w:r>
        <w:t xml:space="preserve">- obavljanje i drugih poslova u skladu sa zakonom kojim se uređuje procjena učinaka propisa. </w:t>
      </w:r>
    </w:p>
    <w:p w:rsidR="005C2091" w:rsidRDefault="00A86293">
      <w:r>
        <w:lastRenderedPageBreak/>
        <w:t xml:space="preserve"> Člankom 15. Zakona o procjeni učinaka propisa ("Narodne novine", broj 90/11) određena je nadležnost Ureda u odnosu na procjenu učinaka propisa u Republici Hrvatskoj, na način da je Ured nadležan za:  </w:t>
      </w:r>
    </w:p>
    <w:p w:rsidR="005C2091" w:rsidRDefault="00A86293">
      <w:r>
        <w:t xml:space="preserve">- koordinaciju procjene učinaka propisa; </w:t>
      </w:r>
    </w:p>
    <w:p w:rsidR="005C2091" w:rsidRDefault="00A86293">
      <w:r>
        <w:t xml:space="preserve">- izradu dokumenata Strategije procjene učinaka propisa, Akcijskog plana procjene učinaka propisa i predlaganje Godišnjeg plana normativnih aktivnosti; </w:t>
      </w:r>
    </w:p>
    <w:p w:rsidR="005C2091" w:rsidRDefault="00A86293">
      <w:r>
        <w:t xml:space="preserve">- davanje suglasnosti na Prijedlog iskaza o procjeni učinaka propisa; </w:t>
      </w:r>
    </w:p>
    <w:p w:rsidR="005C2091" w:rsidRDefault="00A86293">
      <w:r>
        <w:t xml:space="preserve">- izradu provedbenog propisa koji se donosi na temelju navedenog Zakona; </w:t>
      </w:r>
    </w:p>
    <w:p w:rsidR="005C2091" w:rsidRDefault="00A86293">
      <w:r>
        <w:t xml:space="preserve">- obavljanje poslova stručnog osposobljavanja i usavršavanja u području procjene učinaka propisa i području izrade propisa; </w:t>
      </w:r>
    </w:p>
    <w:p w:rsidR="005C2091" w:rsidRDefault="00A86293">
      <w:r>
        <w:t xml:space="preserve">- davanje mišljenja i izradu potrebnih akata radi postizanja pravne i pojmovne koherentnosti hrvatskoga zakonodavstva; </w:t>
      </w:r>
    </w:p>
    <w:p w:rsidR="005C2091" w:rsidRDefault="00A86293">
      <w:r>
        <w:t xml:space="preserve">- davanje mišljenja i izradu potrebnih akata radi pravnog i pojmovnog usuglašavanja hrvatskoga zakonodavstva sa standardima Europske unije; </w:t>
      </w:r>
    </w:p>
    <w:p w:rsidR="005C2091" w:rsidRDefault="00A86293">
      <w:r>
        <w:t xml:space="preserve">- izradu Nomotehničkih smjernica kao podloge za izradu pravnih propisa </w:t>
      </w:r>
    </w:p>
    <w:p w:rsidR="005C2091" w:rsidRDefault="00A86293">
      <w:r>
        <w:t xml:space="preserve">- druge poslove vezane za sustava procjene učinaka propisa koji su uređeni posebnim propisima kojima se uređuje djelokrug Vlade Republike Hrvatske i djelokrug Ureda za zakonodavstvo. </w:t>
      </w:r>
    </w:p>
    <w:p w:rsidR="005C2091" w:rsidRDefault="00A86293">
      <w:r>
        <w:t xml:space="preserve"> Pored gore navedenih poslova u Uredu se obavljaju poslovi pripreme podataka vezano za financijsko materijalno poslovanje Ureda i njihove dostave nadležnim tijelima za pripremu izvješća i izradu državnog proračuna, poslove priprema i obrade izvješća koja su relevantna za praćenje unutarnjih procesa Ureda, kao i za rad unutarnje revizije te stručni i administrativni poslovi za potrebe rada Ureda kao i za potrebe pravodobne objave zakona i drugih propisa u "Narodnim novinama" – službenom listu Republike Hrvatske.  </w:t>
      </w:r>
    </w:p>
    <w:p w:rsidR="005C2091" w:rsidRDefault="00A86293">
      <w:r>
        <w:t xml:space="preserve">Tijekom 2016. godine Ured za zakonodavstvo unaprijedio je svoj rad, preuzimajući opće prihvaćena znanja, iskustva, dobru praksu i metodologiju država članica Europske unije u pitanjima izrade i kvalitete propisa, procjenjivanje njihovih učinaka, općenito, bolje regulacije, daljnjeg jačanja transparentnosti procedura i preuzimanja novih tehnika, alata i znanja u uspostavi e-Službenog lista Republike Hrvatske, kao jedinog relevantnog i vjerodostojnog službenog lista.  </w:t>
      </w:r>
    </w:p>
    <w:p w:rsidR="005C2091" w:rsidRDefault="00A86293">
      <w:r>
        <w:t xml:space="preserve">Slijedom navedenog, a u sklopu međunarodne suradnje, Ured za zakonodavstvo redovito je sudjelovao  u radu nekoliko međunarodnih radnih skupina i foruma tijekom 2016. godine.  </w:t>
      </w:r>
    </w:p>
    <w:p w:rsidR="005C2091" w:rsidRDefault="00A86293">
      <w:r>
        <w:t xml:space="preserve">Ured za zakonodavstvo je član Better Regulation Network (Mreža za Bolje propise), a predstavnici Ureda za zakonodavstvo sudjelovali su na sastanku ove mreže u studenom 2016. godine. Mreža za bolje propise je platforma koja okuplja stručnjake u i izvan državne uprave koji su uključeni u rad na agendi Europske komisije za "Bolje propise". Ured za zakonodavstvo član je Mreže za Bolje propise, uz Ministarstvo gospodarstva, poduzetništva i obrta te Agenciju za investicije i konkurentnost. </w:t>
      </w:r>
    </w:p>
    <w:p w:rsidR="005C2091" w:rsidRDefault="00A86293">
      <w:r>
        <w:t xml:space="preserve">Svrha Mreže za Bolje propise je razmjena znanja i širenje najbolje prakse iz država članice Europske unije i Europskog gospodarskog prostora s ciljem smanjivanja administrativnih barijera i poboljšanja primjene alata za bolje propise (npr. Procjena učinaka propisa, razvoj javnih savjetovanja s javnošću, tehnike pisanja propisa, razvoj analitičkih alata, kontrola kvalitete dokumenata prije usvajanja na sjednicama vlada i parlamenata i dr.). </w:t>
      </w:r>
    </w:p>
    <w:p w:rsidR="005C2091" w:rsidRDefault="00A86293">
      <w:r>
        <w:t xml:space="preserve"> Zemlje članice Mreže za Bolje propise koriste ovu priliku da prezentiraju postignuti napredak u ovome području i imaju mogućnost zatražiti sugestije, komentare i savjete vezano za daljnji napredak, kao i kritički osvrt na provedbu mjera iz ovoga područja.Sastanci Mreže za Bolje propise održavaju od 2005. godine  u pravilu dva puta godišnje. </w:t>
      </w:r>
    </w:p>
    <w:p w:rsidR="005C2091" w:rsidRDefault="00A86293">
      <w:r>
        <w:t xml:space="preserve"> Ured za zakonodavstvo, u suradnji s Ministarstvom vanjskih i europskih poslova, sudjelovao je u listopadu 2016. godine, u provedbi twinning projekta „Daljnje jačanje organizacijskih i institucionalnih kapaciteta za EU integracijskih proces“ u Makedoniji. U okviru TAIEX instrumenta, Ured za zakonodavstvo sudjelovao je u dva TAIEX seminara koji su se održali u svibnju 2016. godine u Ukrajini i u studenom 2016. godine u Alžiru. Ovi angažmani državnih službenika Ureda za zakonodavstvo nisu teretili proračun Ureda, budući da su bili pokriveni iz proračuna twinning projekta odnosno iz TAIEX instrumenta Europske komisije. </w:t>
      </w:r>
    </w:p>
    <w:p w:rsidR="005C2091" w:rsidRDefault="00A86293">
      <w:r>
        <w:t xml:space="preserve">Ravnateljica Ureda za zakonodavstvo po svojoj funkciji je i glavna urednica „Narodnih novina“- službenog lista Republike Hrvatske. U tom kontekstu, sudjelovanje Ureda za zakonodavstvo očekuje se i na Forumu službenih </w:t>
      </w:r>
      <w:r>
        <w:lastRenderedPageBreak/>
        <w:t>listova Europe koji se održava jednom godišnje. Cilj ovog skupa je razmjena ideja i prakse te unapređenja međusobne suradnje i uspostavljanja zajedničkih ciljeva u svrhu ostvarivanja ujednačenog pristupa informacijama od strane korisnika, bez obzira na jezične različitosti i pravne sustave. Forum službenih listova čini Predsjedništvo i članovi pojedinih zemalja, a administraciju Foruma vodi službeni list Europske unije u Luksemburgu.</w:t>
      </w:r>
    </w:p>
    <w:p w:rsidR="003314EE" w:rsidRDefault="003314EE"/>
    <w:p w:rsidR="005C2091" w:rsidRDefault="00A86293">
      <w:pPr>
        <w:pStyle w:val="Heading2"/>
      </w:pPr>
      <w:r>
        <w:t>02035 Ured za opće poslove Hrvatskoga sabora i Vlade Republike Hrvatske</w:t>
      </w:r>
    </w:p>
    <w:p w:rsidR="005C2091" w:rsidRDefault="00A86293">
      <w:r>
        <w:t>Ured je zajednička stručna služba Hrvatskoga sabora, Vlade Republike Hrvatske, Ureda Predsjednice Republike Hrvatske, ureda Vlade Republike Hrvatske, Direkcije za korištenje službenih zrakoplova Vlade Republike Hrvatske i Državnog izbornog povjerenstva (u daljnjem tekstu: državna tijela), koja u okviru svog djelokruga obavlja odgovarajuće stručne pravne poslove, poslove upravljanja ljudskim potencijalima, poslove pisarnice i pismohrane, financijsko-računovodstvene poslove, poslove financijskog planiranja, pripreme, kontrole i izvršenja proračuna, poslove javne nabave, poslove tehničkog održavanja informatičke, telekomunikacijske i elektroničke opreme i uređaja te poslove sigurnosti informacijskog sustava, administrativne, opće i tehničke poslove.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02035-Ured za opće poslove Hrvatskoga sabora i Vlade Republike Hrvatske</w:t>
            </w:r>
          </w:p>
        </w:tc>
        <w:tc>
          <w:tcPr>
            <w:tcW w:w="2041" w:type="dxa"/>
            <w:vAlign w:val="top"/>
          </w:tcPr>
          <w:p w:rsidR="005C2091" w:rsidRDefault="00A86293">
            <w:pPr>
              <w:pStyle w:val="CellColumn"/>
              <w:jc w:val="right"/>
            </w:pPr>
            <w:r>
              <w:rPr>
                <w:rFonts w:cs="Times New Roman"/>
              </w:rPr>
              <w:t>30.544.579</w:t>
            </w:r>
          </w:p>
        </w:tc>
        <w:tc>
          <w:tcPr>
            <w:tcW w:w="2041" w:type="dxa"/>
            <w:vAlign w:val="top"/>
          </w:tcPr>
          <w:p w:rsidR="005C2091" w:rsidRDefault="00A86293">
            <w:pPr>
              <w:pStyle w:val="CellColumn"/>
              <w:jc w:val="right"/>
            </w:pPr>
            <w:r>
              <w:rPr>
                <w:rFonts w:cs="Times New Roman"/>
              </w:rPr>
              <w:t>31.543.372</w:t>
            </w:r>
          </w:p>
        </w:tc>
        <w:tc>
          <w:tcPr>
            <w:tcW w:w="2041" w:type="dxa"/>
            <w:vAlign w:val="top"/>
          </w:tcPr>
          <w:p w:rsidR="005C2091" w:rsidRDefault="00A86293">
            <w:pPr>
              <w:pStyle w:val="CellColumn"/>
              <w:jc w:val="right"/>
            </w:pPr>
            <w:r>
              <w:rPr>
                <w:rFonts w:cs="Times New Roman"/>
              </w:rPr>
              <w:t>29.029.903</w:t>
            </w:r>
          </w:p>
        </w:tc>
        <w:tc>
          <w:tcPr>
            <w:tcW w:w="1224" w:type="dxa"/>
            <w:vAlign w:val="top"/>
          </w:tcPr>
          <w:p w:rsidR="005C2091" w:rsidRDefault="00A86293">
            <w:pPr>
              <w:pStyle w:val="CellColumn"/>
              <w:jc w:val="right"/>
            </w:pPr>
            <w:r>
              <w:rPr>
                <w:rFonts w:cs="Times New Roman"/>
              </w:rPr>
              <w:t>92,0</w:t>
            </w:r>
          </w:p>
        </w:tc>
        <w:tc>
          <w:tcPr>
            <w:tcW w:w="1224" w:type="dxa"/>
            <w:vAlign w:val="top"/>
          </w:tcPr>
          <w:p w:rsidR="005C2091" w:rsidRDefault="00A86293">
            <w:pPr>
              <w:pStyle w:val="CellColumn"/>
              <w:jc w:val="right"/>
            </w:pPr>
            <w:r>
              <w:rPr>
                <w:rFonts w:cs="Times New Roman"/>
              </w:rPr>
              <w:t>95,0</w:t>
            </w:r>
          </w:p>
        </w:tc>
      </w:tr>
      <w:tr w:rsidR="005C2091">
        <w:trPr>
          <w:jc w:val="center"/>
        </w:trPr>
        <w:tc>
          <w:tcPr>
            <w:tcW w:w="1632" w:type="dxa"/>
          </w:tcPr>
          <w:p w:rsidR="005C2091" w:rsidRDefault="00A86293">
            <w:pPr>
              <w:jc w:val="left"/>
            </w:pPr>
            <w:r>
              <w:t>2110-OPĆI POSLOVI ZA POTREBE HRVATSKOG SABORA I VLADE REPUBLIKE HRVATSKE</w:t>
            </w:r>
          </w:p>
        </w:tc>
        <w:tc>
          <w:tcPr>
            <w:tcW w:w="2041" w:type="dxa"/>
          </w:tcPr>
          <w:p w:rsidR="005C2091" w:rsidRDefault="00A86293">
            <w:pPr>
              <w:jc w:val="right"/>
            </w:pPr>
            <w:r>
              <w:t>30.544.579</w:t>
            </w:r>
          </w:p>
        </w:tc>
        <w:tc>
          <w:tcPr>
            <w:tcW w:w="2041" w:type="dxa"/>
          </w:tcPr>
          <w:p w:rsidR="005C2091" w:rsidRDefault="00A86293">
            <w:pPr>
              <w:jc w:val="right"/>
            </w:pPr>
            <w:r>
              <w:t>31.543.372</w:t>
            </w:r>
          </w:p>
        </w:tc>
        <w:tc>
          <w:tcPr>
            <w:tcW w:w="2041" w:type="dxa"/>
          </w:tcPr>
          <w:p w:rsidR="005C2091" w:rsidRDefault="00A86293">
            <w:pPr>
              <w:jc w:val="right"/>
            </w:pPr>
            <w:r>
              <w:t>29.029.903</w:t>
            </w:r>
          </w:p>
        </w:tc>
        <w:tc>
          <w:tcPr>
            <w:tcW w:w="1224" w:type="dxa"/>
          </w:tcPr>
          <w:p w:rsidR="005C2091" w:rsidRDefault="00A86293">
            <w:pPr>
              <w:jc w:val="right"/>
            </w:pPr>
            <w:r>
              <w:t>92,0</w:t>
            </w:r>
          </w:p>
        </w:tc>
        <w:tc>
          <w:tcPr>
            <w:tcW w:w="1224" w:type="dxa"/>
          </w:tcPr>
          <w:p w:rsidR="005C2091" w:rsidRDefault="00A86293">
            <w:pPr>
              <w:jc w:val="right"/>
            </w:pPr>
            <w:r>
              <w:t>95,0</w:t>
            </w:r>
          </w:p>
        </w:tc>
      </w:tr>
    </w:tbl>
    <w:p w:rsidR="005C2091" w:rsidRDefault="005C2091">
      <w:pPr>
        <w:jc w:val="left"/>
      </w:pPr>
    </w:p>
    <w:p w:rsidR="00290EC0" w:rsidRDefault="00290EC0" w:rsidP="00290EC0"/>
    <w:p w:rsidR="00290EC0" w:rsidRPr="00290EC0" w:rsidRDefault="00290EC0" w:rsidP="00290EC0"/>
    <w:p w:rsidR="005C2091" w:rsidRDefault="00A86293">
      <w:pPr>
        <w:pStyle w:val="Heading3"/>
      </w:pPr>
      <w:r>
        <w:rPr>
          <w:rFonts w:cs="Times New Roman"/>
        </w:rPr>
        <w:t>2110 OPĆI POSLOVI ZA POTREBE HRVATSKOG SABORA I VLADE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2110-OPĆI POSLOVI ZA POTREBE HRVATSKOG SABORA I VLADE REPUBLIKE HRVATSKE</w:t>
            </w:r>
          </w:p>
        </w:tc>
        <w:tc>
          <w:tcPr>
            <w:tcW w:w="2041" w:type="dxa"/>
          </w:tcPr>
          <w:p w:rsidR="005C2091" w:rsidRDefault="00A86293">
            <w:pPr>
              <w:pStyle w:val="CellColumn"/>
              <w:jc w:val="right"/>
            </w:pPr>
            <w:r>
              <w:rPr>
                <w:rFonts w:cs="Times New Roman"/>
              </w:rPr>
              <w:t>30.544.579</w:t>
            </w:r>
          </w:p>
        </w:tc>
        <w:tc>
          <w:tcPr>
            <w:tcW w:w="2041" w:type="dxa"/>
          </w:tcPr>
          <w:p w:rsidR="005C2091" w:rsidRDefault="00A86293">
            <w:pPr>
              <w:pStyle w:val="CellColumn"/>
              <w:jc w:val="right"/>
            </w:pPr>
            <w:r>
              <w:rPr>
                <w:rFonts w:cs="Times New Roman"/>
              </w:rPr>
              <w:t>31.543.372</w:t>
            </w:r>
          </w:p>
        </w:tc>
        <w:tc>
          <w:tcPr>
            <w:tcW w:w="2041" w:type="dxa"/>
          </w:tcPr>
          <w:p w:rsidR="005C2091" w:rsidRDefault="00A86293">
            <w:pPr>
              <w:pStyle w:val="CellColumn"/>
              <w:jc w:val="right"/>
            </w:pPr>
            <w:r>
              <w:rPr>
                <w:rFonts w:cs="Times New Roman"/>
              </w:rPr>
              <w:t>29.029.903</w:t>
            </w:r>
          </w:p>
        </w:tc>
        <w:tc>
          <w:tcPr>
            <w:tcW w:w="1224" w:type="dxa"/>
          </w:tcPr>
          <w:p w:rsidR="005C2091" w:rsidRDefault="00A86293">
            <w:pPr>
              <w:pStyle w:val="CellColumn"/>
              <w:jc w:val="right"/>
            </w:pPr>
            <w:r>
              <w:rPr>
                <w:rFonts w:cs="Times New Roman"/>
              </w:rPr>
              <w:t>92,0</w:t>
            </w:r>
          </w:p>
        </w:tc>
        <w:tc>
          <w:tcPr>
            <w:tcW w:w="1224" w:type="dxa"/>
          </w:tcPr>
          <w:p w:rsidR="005C2091" w:rsidRDefault="00A86293">
            <w:pPr>
              <w:pStyle w:val="CellColumn"/>
              <w:jc w:val="right"/>
            </w:pPr>
            <w:r>
              <w:rPr>
                <w:rFonts w:cs="Times New Roman"/>
              </w:rPr>
              <w:t>95,0</w:t>
            </w:r>
          </w:p>
        </w:tc>
      </w:tr>
    </w:tbl>
    <w:p w:rsidR="005C2091" w:rsidRDefault="005C2091">
      <w:pPr>
        <w:jc w:val="left"/>
      </w:pPr>
    </w:p>
    <w:p w:rsidR="005C2091" w:rsidRDefault="00A86293">
      <w:r>
        <w:lastRenderedPageBreak/>
        <w:t xml:space="preserve">Pod navedenim programom podrazumijeva se obavljanje slijedećih poslova: </w:t>
      </w:r>
    </w:p>
    <w:p w:rsidR="005C2091" w:rsidRDefault="00A86293">
      <w:r>
        <w:t xml:space="preserve">- poslovi upravljanja ljudskim potencijalima, poslovi u svezi radno-pravnog statusa državnih službenika i namještenika, pravni poslovi u okviru djelokruga Ureda te poslovi vođenja osobnog očevidnika i registra državnih službenika i namještenika </w:t>
      </w:r>
    </w:p>
    <w:p w:rsidR="005C2091" w:rsidRDefault="00A86293">
      <w:r>
        <w:t xml:space="preserve">- poslovi vođenja urudžbenog zapisnika, prijema i otpreme pošte, poslovi pismohrane </w:t>
      </w:r>
    </w:p>
    <w:p w:rsidR="005C2091" w:rsidRDefault="00A86293">
      <w:r>
        <w:t xml:space="preserve">- poslovi financijskog planiranja pripreme, kontrole i izvršenja proračuna </w:t>
      </w:r>
    </w:p>
    <w:p w:rsidR="005C2091" w:rsidRDefault="00A86293">
      <w:r>
        <w:t xml:space="preserve">- financijsko-računovodstveni poslovi, poslovi rukovanja inventarom, opremom i umjetninama te vođenje o tome odgovarajućih očevidnika </w:t>
      </w:r>
    </w:p>
    <w:p w:rsidR="005C2091" w:rsidRDefault="00A86293">
      <w:r>
        <w:t xml:space="preserve">- poslovi javne nabave sukladno Zakonu o javnoj nabavi, poslovi skladištenja i distribucije uredskog pribora, potrošnog materijala i tiska </w:t>
      </w:r>
    </w:p>
    <w:p w:rsidR="005C2091" w:rsidRDefault="00A86293">
      <w:r>
        <w:t xml:space="preserve">- poslovi tehničkog održavanja informatičke, elektroničke i uredske opreme i uređaja te poslovi sigurnosti informacijskih sustava </w:t>
      </w:r>
    </w:p>
    <w:p w:rsidR="005C2091" w:rsidRDefault="00A86293">
      <w:r>
        <w:t>- stručno-tehnički poslovi, poslovi investicijskog i tekućeg održavanja poslovnih zgrada te drugih objekata i uredskih prostora o kojima skrbi Ured, poslovi pružanja ugostiteljskih usluga u internim restoranima i buffetima te poslovi održavanja i čišćenja poslovnog i drugog prostora, poslovi održavanja zelenila te poslove autoservisa.</w:t>
      </w:r>
    </w:p>
    <w:p w:rsidR="005C2091" w:rsidRDefault="00A86293">
      <w:pPr>
        <w:pStyle w:val="Heading8"/>
        <w:jc w:val="left"/>
      </w:pPr>
      <w:r>
        <w:t>Cilj 1. Dobro gospodarenje imovinom i sredstvima</w:t>
      </w:r>
    </w:p>
    <w:p w:rsidR="005C2091" w:rsidRDefault="00A86293">
      <w:pPr>
        <w:pStyle w:val="Heading8"/>
        <w:jc w:val="left"/>
      </w:pPr>
      <w:r>
        <w:t>Opis provedbe cilja programa</w:t>
      </w:r>
    </w:p>
    <w:p w:rsidR="005C2091" w:rsidRDefault="00A86293">
      <w:r>
        <w:t xml:space="preserve">Obavljanjem stručnih pravnih poslova, poslova upravljanja ljudskim potencijalima,poslova pisarnice i pismohrane, financijsko-računovodstvenih poslova, poslova financijskog planiranja, pripreme, kontrole i izvršenja proračuna, poslova javne nabave, poslova tehničkog održavanja informatičke, telekomunikacijske i elektroničke opreme i uređaja te poslova sigurnosti informacijskog sustava, administrativnih, općih i tehničkih poslova osigurava se kontinuirano funkcioniranje ureda o čijem poslovanju kao zajednička služba skrbi Ured za opće poslove </w:t>
      </w:r>
    </w:p>
    <w:p w:rsidR="005C2091" w:rsidRDefault="00A86293">
      <w:r>
        <w:t>Hrvatskoga sabora i Vlade Republike Hrvatske. Pored navedenih poslova bitna je i kontinuirana analiza troškova koja ukazuje na nepravilnosti rada pojedinih ureda te doprinosi boljem raspolaganju odobrenih proračunskih sredstava i kvalitetnijem donošenju odluka.</w:t>
      </w:r>
    </w:p>
    <w:p w:rsidR="00290EC0" w:rsidRDefault="00290EC0"/>
    <w:p w:rsidR="00290EC0" w:rsidRDefault="00290EC0"/>
    <w:p w:rsidR="00290EC0" w:rsidRDefault="00290EC0"/>
    <w:p w:rsidR="005C2091" w:rsidRDefault="00A86293">
      <w:pPr>
        <w:pStyle w:val="Heading4"/>
      </w:pPr>
      <w:r>
        <w:t>A515000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A515000-ADMINISTRACIJA I UPRAVLJANJE</w:t>
            </w:r>
          </w:p>
        </w:tc>
        <w:tc>
          <w:tcPr>
            <w:tcW w:w="2041" w:type="dxa"/>
          </w:tcPr>
          <w:p w:rsidR="005C2091" w:rsidRDefault="00A86293">
            <w:pPr>
              <w:pStyle w:val="CellColumn"/>
              <w:jc w:val="right"/>
            </w:pPr>
            <w:r>
              <w:rPr>
                <w:rFonts w:cs="Times New Roman"/>
              </w:rPr>
              <w:t>30.374.668</w:t>
            </w:r>
          </w:p>
        </w:tc>
        <w:tc>
          <w:tcPr>
            <w:tcW w:w="2041" w:type="dxa"/>
          </w:tcPr>
          <w:p w:rsidR="005C2091" w:rsidRDefault="00A86293">
            <w:pPr>
              <w:pStyle w:val="CellColumn"/>
              <w:jc w:val="right"/>
            </w:pPr>
            <w:r>
              <w:rPr>
                <w:rFonts w:cs="Times New Roman"/>
              </w:rPr>
              <w:t>31.274.872</w:t>
            </w:r>
          </w:p>
        </w:tc>
        <w:tc>
          <w:tcPr>
            <w:tcW w:w="2041" w:type="dxa"/>
          </w:tcPr>
          <w:p w:rsidR="005C2091" w:rsidRDefault="00A86293">
            <w:pPr>
              <w:pStyle w:val="CellColumn"/>
              <w:jc w:val="right"/>
            </w:pPr>
            <w:r>
              <w:rPr>
                <w:rFonts w:cs="Times New Roman"/>
              </w:rPr>
              <w:t>28.872.477</w:t>
            </w:r>
          </w:p>
        </w:tc>
        <w:tc>
          <w:tcPr>
            <w:tcW w:w="1224" w:type="dxa"/>
          </w:tcPr>
          <w:p w:rsidR="005C2091" w:rsidRDefault="00A86293">
            <w:pPr>
              <w:pStyle w:val="CellColumn"/>
              <w:jc w:val="right"/>
            </w:pPr>
            <w:r>
              <w:rPr>
                <w:rFonts w:cs="Times New Roman"/>
              </w:rPr>
              <w:t>92,3</w:t>
            </w:r>
          </w:p>
        </w:tc>
        <w:tc>
          <w:tcPr>
            <w:tcW w:w="1224" w:type="dxa"/>
          </w:tcPr>
          <w:p w:rsidR="005C2091" w:rsidRDefault="00A86293">
            <w:pPr>
              <w:pStyle w:val="CellColumn"/>
              <w:jc w:val="right"/>
            </w:pPr>
            <w:r>
              <w:rPr>
                <w:rFonts w:cs="Times New Roman"/>
              </w:rPr>
              <w:t>95,1</w:t>
            </w:r>
          </w:p>
        </w:tc>
      </w:tr>
    </w:tbl>
    <w:p w:rsidR="005C2091" w:rsidRDefault="005C2091">
      <w:pPr>
        <w:jc w:val="left"/>
      </w:pPr>
    </w:p>
    <w:p w:rsidR="005C2091" w:rsidRDefault="00A86293">
      <w:pPr>
        <w:pStyle w:val="Heading8"/>
        <w:jc w:val="left"/>
      </w:pPr>
      <w:r>
        <w:t>Opis aktivnosti</w:t>
      </w:r>
    </w:p>
    <w:p w:rsidR="005C2091" w:rsidRDefault="00A86293">
      <w:r>
        <w:t xml:space="preserve">Djelovanje Ureda tijekom 2016. godine najbolje se može opisati kroz aktivnosti pojedinih unutarnjih ustrojstvenih jedinica odnosno službi. </w:t>
      </w:r>
    </w:p>
    <w:p w:rsidR="005C2091" w:rsidRDefault="00A86293">
      <w:r>
        <w:t xml:space="preserve">Služba za upravljanje ljudskim potencijalima, pravne poslove, poslove pisarnice i pismohrane, temeljem evidencije dobivene od Odjela za poslove pisarnice i pismohrane, Državnog izbornog povjerenstva i Digitalno informacijsko-dokumentacijskog ureda te dalje pravnog slijednika Središnjeg državnog ureda za razvoj digitalnog društva je tijekom 2016. godine za navedene, UZOP, Urede i stručne službe Vlade RH za koje Služba obavljala poslove iz svog djelokruga rada izradila 939 upravnih predmeta, 992 pismena, 153 neupravnih predmeta te 398 pismena; izdane su 32 potvrde sukladno Zakonu o općem upravnom postupku; izrađeno je 7 uputnica za liječnički pregled </w:t>
      </w:r>
      <w:r>
        <w:lastRenderedPageBreak/>
        <w:t xml:space="preserve">službenika/namještenika te je pripremljeno i kompletirano 8 prijava ozljeda na radu, a po zahtjevu ovlaštenog liječnika izrađeno je 10 prijava s opisom poslova koje osiguranik mirovinskog i zdravstvenog osiguranja kao zaposlenik UZOP-a obavlja; obavljeno je 48 prijava te 71 odjava zaposlenika na Hrvatski zavod za mirovinsko te zdravstveno osiguranje, kao i Registra zaposlenika u javnom sektoru, a stupanjem na snagu Zakona o uskrati prava na uvećanje plaće po osnovi ostvarenih godina radnog staža („Narodne novine“, broj 41/14, 157/14 i 36/15) te je obrađeno 138 tiskanica i arhivirano 63 osobnih dosjea službenika/namještenika; objavljeni su: 1 Javni natječaj za prijam namještenika u državnu službu na neodređeno vrijeme za 6 izvršitelja i 3 na određeno vrijeme;  1 Oglas za prijam službenika u državnu službu na određeno vrijeme, za 2 izvršitelja, 1 Javni natječaj za prijam u državnu službu na neodređeno vrijeme za 14 izvršitelja (u tijeku) i 1 Javni poziv za prijam na stručno osposobljavanje bez zasnivanja radnog odnosa, za 5 polaznika (u tijeku), a kada se zbroje svi natječaji i javni poziv ukupno je obrađeno 670 prijava; u Odjelu za poslove pisarnice i pismohrane za potrebe Hrvatskoga sabora i Vlade Republike Hrvatske ukupno je otvoreno 21.247 predmeta (uključujući i račune) i urudžbirano 60.954 pismena i putnih naloga; otpremljeno je pošte u vrijednosti od 132.061,10 kuna; dostavljači - vozači ukupno su prevezli 45.180 km; u pismohranu je vraćeno 967, a posuđeno 788 akata, predmeta, svežnjeva, registratora i fotokopirano 370 stranica; primljeno je cca 124,73 d/m gradiva, a izlučeno cca 56,00 d/m gradiva; za Ured predsjednika Republike Hrvatske po prestanku obnašanja dužnosti je urudžbirano do 31. svibnja 2016. godine. </w:t>
      </w:r>
    </w:p>
    <w:p w:rsidR="005C2091" w:rsidRDefault="00A86293">
      <w:r>
        <w:t xml:space="preserve">Tijekom 2016. godine u Službi su u parničnim postupcima koje UZOP vodi pred sudovima, a radi isplate prekovremenih sati rada, u tužbama od strane zaposlenika na poslovima vozača sklopljene 2 izvansudske nagodbe. Također, 1 postupak se vodi pred građanskim sudom radi tužbe namještenika za mobing, a 1 postupak se vodi pred građanskim sudom radi tužbe namještenice zbog izvanrednog otkaza, koji je u prvom stupnju riješen presudom suda u korist UZOP-a.  </w:t>
      </w:r>
    </w:p>
    <w:p w:rsidR="005C2091" w:rsidRDefault="00A86293">
      <w:r>
        <w:t xml:space="preserve">Služba za proračun je u 2016. godini pripremila i koordinirala aktivnostima za izradom Državnog proračuna Republike Hrvatske za razdoblje 2016.-2018. tijekom prvog kvartala te izradom Državnog proračuna Republike Hrvatske za razdoblje 2017.-2019. krajem 2016. godine; pripremila je i koordinirala aktivnostima za izradom Izmjena i dopuna Državnog proračuna Republike Hrvatske tijekom mjeseca listopada, uključujući unos izmjena u Sustav državne riznice za 20 proračunskih korisnika; koordinirala je aktivnostima izrade revidiranog strateškog plana razdjela 020 Vlada Republike Hrvatske za razdoblje 2016. – 2018., uključujući i izradu popratnih priloga i izvještaja (godišnjih za 2015. godinu te polugodišnjih za 2016. godinu) za 8 proračunskih korisnika unutar razdjela 020 Vlada Republike Hrvatske; koordinirala je aktivnostima izrade strateškog plana razdjela 020 Vlada Republike Hrvatske za razdoblje 2017. – 2019., uključujući i izradu popratnih priloga za 7 proračunskih korisnika unutar razdjela 020 Vlada Republike Hrvatske; izradila je bilješke uz financijske izvještaje proračunskih korisnika za razdoblje I-XII 2015. godine, te bilješke za razdoblje I-VI 2016. godine; koordinirala je pri prikupljanju dokaza potrebnih za popunjavanje Upitnika o fiskalnoj odgovornosti za 2015. godinu za 21 proračunskog korisnika; popunila je INV-P obrasce za 2015. godinu za 20 proračunskih korisnika; koordinirala je izradom obrazloženja izvršenja financijskih planova za 2015. godinu te je ista unijela u aplikaciju Ministarstva financija za 20 proračunskih korisnika; izradila je 82 izvještaja o utrošku i stanju sredstva za razdoblja I-XII 2015. godine, I-III, I-VI i I-IX 2016. godine; u Knjizi ulaznih računa evidentirala je 12.783 ulazna računa te 552 izlazna računa; izradila je 13.397 zahtjeva za plaćanje kroz Sustav državne riznice uključujući i zahtjeve za plaćanje za sredstva pomoći Europske unije; vodila je evidenciju o 728 korisnika stalnih novčanih naknada za koje je izrađivala mjesečne obračune te zahtjeve za plaćanja; unijela je u aplikaciju Ministarstva financija 39 Obrazaca standardne metodologije za procjenu fiskalnog učinka; analizom troškova sukladno članku 46. Zakona o proračunu u Ministarstvo financija je uputila Zahtjeve za preraspodjelom sredstava: za potrebe redovnog poslovanja za 5 proračunskih korisnika, za potrebe isplate regresa za 17 proračunskih korisnika, za potrebe isplate božićnice za 14 proračunskih korisnika, za potrebe podmirenja nedostatnih sredstava drugih ministarstava za 8 proračunskih korisnika;  izradila je i odaslala u Ministarstvo financija 25 Suglasnosti za izvršavanje izvora/aktivnosti/stavke do razine ostvarenja prihoda u Državnom proračunu, te Suglasnosti za otvaranje novog izvora/aktivnosti/stavke; izradila je 2 očitovanja na mjesečna izvješća FINA-e vezano uz ovrhe plaćene iz sredstava Proračunske zalihe; izradila je i odaslala u Ministarstvo financija 4 Zahtjeva za otvaranje inozemnih dobavljača te 4 Zahtjeva za ažuriranje postojećih inozemnih dobavljača; svakodnevno je pratila i analizirala trošenje sredstava po izvorima i namjenama te ukazivala na potrebne mjere štednje po pojedinim segmentima; ostvarivala je svakodnevne kontakte s Ministarstvom financija, Središnjom agencijom za financiranje i ugovaranje projekata EU te Nacionalnim fondom. </w:t>
      </w:r>
    </w:p>
    <w:p w:rsidR="005C2091" w:rsidRDefault="00A86293">
      <w:r>
        <w:t xml:space="preserve">Služba za računovodstvo temeljem članka 2 Uredbe o Uredu za opće poslove Hrvatskoga sabora i Vlade Republike Hrvatske  tijekom 2016. izradila je: </w:t>
      </w:r>
    </w:p>
    <w:p w:rsidR="005C2091" w:rsidRDefault="00A86293">
      <w:r>
        <w:lastRenderedPageBreak/>
        <w:t xml:space="preserve">- Godišnje financijske izvještaje za razdoblje 01.-12.2015. za 22 proračunska korisnika a obuhvaćeni su obrasci: Izvještaj o prihodima i rashodima, primicima i izdacima, Bilanca ,Izvještaj o obvezama, Izvještaj o rashodima prema funkcijskoj klasifikaciji, Izvještaj o promjenama u vrijednosti i obujmu imovine i obveza. </w:t>
      </w:r>
    </w:p>
    <w:p w:rsidR="005C2091" w:rsidRDefault="00A86293">
      <w:r>
        <w:t xml:space="preserve">- Izrađeni su konsolidirani godišnji financijski izvještaji za razdoblje 01.-12.2015. za 7 proračunskih korisnika (obrasci Izvještaj o prihodima i rashodima, primicima i izdacima, Bilanca ,Izvještaj o obvezama, Izvještaj o rashodima prema funkcijskoj klasifikaciji, Izvještaj o promjenama u vrijednosti i obujmu imovine i obveza, a odnose se na:  </w:t>
      </w:r>
    </w:p>
    <w:p w:rsidR="005C2091" w:rsidRDefault="00A86293">
      <w:r>
        <w:t xml:space="preserve">Razdjel 010 Hrvatski Sabor </w:t>
      </w:r>
    </w:p>
    <w:p w:rsidR="005C2091" w:rsidRDefault="00A86293">
      <w:r>
        <w:t xml:space="preserve">             012 Državno izborno povjerenstvo </w:t>
      </w:r>
    </w:p>
    <w:p w:rsidR="005C2091" w:rsidRDefault="00A86293">
      <w:r>
        <w:t xml:space="preserve">             013 Ured predsjednika RH po prestanku obnašanja dužnosti </w:t>
      </w:r>
    </w:p>
    <w:p w:rsidR="005C2091" w:rsidRDefault="00A86293">
      <w:r>
        <w:t xml:space="preserve">             015 Ured Predsjednice RH </w:t>
      </w:r>
    </w:p>
    <w:p w:rsidR="005C2091" w:rsidRDefault="00A86293">
      <w:r>
        <w:t xml:space="preserve">             020 Vlada RH (koju čini  16 Ureda  i to: Vlada RH, Ured predsjednika Vlade RH, Ured za udruge, Ured zastupnika pred Europskim sudom za ljudska prava, Stručna služba savjeta za nacionalne manjine, Ured za zakonodavstvo, Ured za opće poslove Hrvatskoga sabora i Vlade RH, Ured za protokol, Ured Vlade RH za unutarnju reviziju, Direkcija za korištenje službenih zrakoplova, Ured za ljudska prava i prava nacionalnih manjina, Ured za suzbijanje zlouporabe droga, Ured Komisije za odnose s vjerskim zajednicama, Ured za ravnopravnost spolova, Digitalni informacijsko dokumentacijski ured i Ured za razminiranje.)  </w:t>
      </w:r>
    </w:p>
    <w:p w:rsidR="005C2091" w:rsidRDefault="00A86293">
      <w:r>
        <w:t xml:space="preserve">             028 Državni ured središnje javne nabave </w:t>
      </w:r>
    </w:p>
    <w:p w:rsidR="005C2091" w:rsidRDefault="00A86293">
      <w:r>
        <w:t xml:space="preserve">             052 Povjerenstvo za odlučivanje o sukobu interesa. </w:t>
      </w:r>
    </w:p>
    <w:p w:rsidR="005C2091" w:rsidRDefault="00A86293">
      <w:r>
        <w:t xml:space="preserve">Dodatno su izrađena dva Godišnja financijska izvještaja – prestanak rada državnih tijela i to za Ured predsjednika Republike Hrvatske po prestanku obnašanja dužnosti i za Digitalni informacijsko dokumentacijski ured. </w:t>
      </w:r>
    </w:p>
    <w:p w:rsidR="005C2091" w:rsidRDefault="00A86293">
      <w:r>
        <w:t xml:space="preserve">- Godišnji financijski izvještaj za razdoblje 01. – 05.2016. za Ured predsjednika Republike Hrvatske po prestanku obnašanja dužnosti, (obrasci Izvještaj o prihodima i rashodima, primicima i izdacima, Bilanca ,Izvještaj o obvezama, Izvještaj o rashodima prema funkcijskoj klasifikaciji, Izvještaj o promjenama u vrijednosti i obujmu imovine i obveza), nivo razdjel-glava i nivo razdjel (konsolidacija). </w:t>
      </w:r>
    </w:p>
    <w:p w:rsidR="005C2091" w:rsidRDefault="00A86293">
      <w:r>
        <w:t xml:space="preserve">- Godišnji financijski izvještaj za razdoblje 01.01. – 15.10.2016. za Digitalni informacijsko dokumentacijski ured, (obrasci Izvještaj o prihodima i rashodima, primicima i izdacima, Bilanca ,Izvještaj o obvezama, Izvještaj o rashodima prema funkcijskoj klasifikaciji, Izvještaj o promjenama u vrijednosti i obujmu imovine i obveza), nivo razdjel-glava. </w:t>
      </w:r>
    </w:p>
    <w:p w:rsidR="005C2091" w:rsidRDefault="00A86293">
      <w:r>
        <w:t xml:space="preserve">- Također su Izrađeni mjesečni obrasci Obveze za 22 proračunska korisnika za prosinac 2015. godine, nivo razdjel-glava i za 6 proračunskih korisnika obrazac Obveze nivo razdjel </w:t>
      </w:r>
    </w:p>
    <w:p w:rsidR="005C2091" w:rsidRDefault="00A86293">
      <w:r>
        <w:t xml:space="preserve">- Izrađeni su tromjesečni financijski izvještaji razdoblje 01.-03.2016. za 20 proračunskih korisnika (obrazac Izvještaj o prihodima i rashodima, primicima i izdacima, Izvještaj o obvezama) na nivou razdjel-glava, te konsolidirani obrazac Izvještaj o obveza za 5 proračunskih korisnika razina 12 (010,012,013,015,020) </w:t>
      </w:r>
    </w:p>
    <w:p w:rsidR="005C2091" w:rsidRDefault="00A86293">
      <w:r>
        <w:t xml:space="preserve">- Financijski izvještaji za šestomjesečno razdoblje 01.-06.2016. izrađen je za 19 proračunskih korisnika (obrazac Izvještaj o prihodima i rashodima, primicima i izdacima, Izvještaj o obvezama), nivo razdjel-glava, </w:t>
      </w:r>
    </w:p>
    <w:p w:rsidR="005C2091" w:rsidRDefault="00A86293">
      <w:r>
        <w:t xml:space="preserve">- Po Pravilniku o financijskom izvještavanju u proračunskom računovodstvu (NN 135/15) članak 4. konsolidirani financijski izvještaji za razdoblje 01.-06.2016. izrađeni su za 4 proračunska korisnika a obuhvaćaju obrazac Izvještaj o prihodima i rashodima, primicima i izdacima, Izvještaj o obvezama, nivo razdjel (010; 012; 015; 020), </w:t>
      </w:r>
    </w:p>
    <w:p w:rsidR="005C2091" w:rsidRDefault="00A86293">
      <w:r>
        <w:t xml:space="preserve">- Devetomjesečni financijski izvještaj, razdoblje 01.-09.2016. izrađen je za 19 proračunskih korisnika razina 11, nivo razdjel glava, a obuhvaća Izvještaj o prihodima i rashodima, primicima i izdacima te Izvještaj o obvezama. Za ovo razdoblje za 4 proračunska korisnika izrađen je konsolidirani Izvještaj o obvezama razina 12 nivo razdjel. </w:t>
      </w:r>
    </w:p>
    <w:p w:rsidR="005C2091" w:rsidRDefault="00A86293">
      <w:r>
        <w:t xml:space="preserve">Tijekom 2016. godine Služba za računovodstvo za Ured i za ostale korisnike za koje obavlja poslove iz svog djelokruga obradila je : </w:t>
      </w:r>
    </w:p>
    <w:p w:rsidR="005C2091" w:rsidRDefault="00A86293">
      <w:r>
        <w:t xml:space="preserve">- u  financijskom knjigovodstvu za 20 proračunskih korisnika obradila je 12.783 ulazne fakture i 552 izlazne fakture. Formirala  je obradila i proknjižila  4.273  temeljnice, obrađeno je i proknjiženo 5.790 izvoda,  obrađeno je 2.983  uplatnice i 6.169 isplatnica.  Obrađeno je 273 naloga 14 (plaćanje prema inozemstvu i kupovina deviznih sredstava), te 2.143 putna naloga.   </w:t>
      </w:r>
    </w:p>
    <w:p w:rsidR="005C2091" w:rsidRDefault="00A86293">
      <w:r>
        <w:lastRenderedPageBreak/>
        <w:t xml:space="preserve">- mjesečno je u prosjeku obračunala plaće za 1.088 državnih dužnosnika, službenika i namještenika zaposlenih u 20 ureda za koje Ured za opće poslove Hrvatskoga Sabora i Vlade RH  obavlja poslove.  Izradila je i dostavila Poreznoj upravi 1.292 JOPPD obrazaca  koji se odnose na plaće, prijevoz  i sve naknade zaposlenima. Izrađeno je 1.374 IP obrasca. Obavljene su 1.052 isplate.  Služba za računovodstvo izradila je i dostavila Zavodu za statistiku 24 izvještaja ( RAD-1 godišnji i RAD-1 mjesečni). Za Ministarstvo financija izradila je i dostavila 98 izvještaja. Izradila je i dostavila HZZO-u 554 izvještaja i zahtjeva. Služba je obradila 266 obračuna ugovora o djelu, autorskih honorara i naknada i za ti izradila 246 potvrda. </w:t>
      </w:r>
    </w:p>
    <w:p w:rsidR="005C2091" w:rsidRDefault="00A86293">
      <w:r>
        <w:t xml:space="preserve">- u periodu od 01.01. do 31.12.2016. godine služba je Ministarstvu financija Sektoru  za poslove Nacionalnog fonda izradila  i dostavila 16 zahtjeva za refundaciju sredstava EU. </w:t>
      </w:r>
    </w:p>
    <w:p w:rsidR="005C2091" w:rsidRDefault="00A86293">
      <w:r>
        <w:t xml:space="preserve">- Služba za računovodstvo u periodu od 01.01. do 31.12.2016. godine odgovorila je na 40 novinarskih pitanja </w:t>
      </w:r>
    </w:p>
    <w:p w:rsidR="005C2091" w:rsidRDefault="00A86293">
      <w:r>
        <w:t xml:space="preserve">- u materijalnom knjigovodstvu za 3 proračunska korisnika obradila je 5.163 primke i 4.283 izdatnice.  </w:t>
      </w:r>
    </w:p>
    <w:p w:rsidR="005C2091" w:rsidRDefault="00A86293">
      <w:r>
        <w:t xml:space="preserve">- u analitiku osnovnih sredstava i sitnog inventara za svih 20 ureda unesla je 2.629 komada  osnovnih sredstava  i sitnog inventara,  te isknjižila 1.063 komada osnovnih sredstava i sitnog inventara. </w:t>
      </w:r>
    </w:p>
    <w:p w:rsidR="005C2091" w:rsidRDefault="00A86293">
      <w:r>
        <w:t xml:space="preserve">Služba za nabavu je u 2016. godini kontinuirano obavljala poslove nabave roba, radova i usluga sukladno Zakonu o javnoj nabavi za potrebe 20 proračunkih korisnika iz svoje nadležnosti. </w:t>
      </w:r>
    </w:p>
    <w:p w:rsidR="005C2091" w:rsidRDefault="00A86293">
      <w:r>
        <w:t xml:space="preserve">Pripremila je i izradila godišnje Planove nabave za proračunske korisnike iz svoje nadležnosti, izradila i objavila u Elektroničkom oglasniku javne nabave dokumentaciju za 8 postupaka javne nabave, izvršila pregled i analizu svih zaprimljenih ponuda, izradila odluke o odabiru te izradila i sklopila 55 ugovora, prikupljala podatke o potrebama od proračunskih korisnika iz svoje nadležnosti te iste konsolidirala i prosljeđivala Državnom uredu za središnju javnu nabavu za nabavne kategorije za koje isti provodi postupke javne nabave, zatim pravovremeno ažurirala Registar ugovora o javnoj nabavi i okvirnih sporazuma za 20 proračunkih korisnika iz svoje nadležnosti, izradila Plan nabave za predmete nabave iz nadležnosti Državnog ureda za središnju javnu nabavu za proračunske korisnike iz svoje nadležnosti, izradila Registar okvirnih sporazuma i ugovora o javnoj nabavi za predmete nabave iz nadležnosti Državnog ureda za središnju javnu nabavu za proračunske korisnike iz svoje nadležnosti, izradila Statistička izvješća o javnoj nabavi za 20 proračunkih korisnika iz svoje nadležnosti i ista objavila u Elektroničkom oglasniku javne nabave. </w:t>
      </w:r>
    </w:p>
    <w:p w:rsidR="005C2091" w:rsidRDefault="00A86293">
      <w:r>
        <w:t xml:space="preserve">Na osnovi zahtjevnica od unutarnjih ustrojstvenih jedinica Ureda za opće poslove Hrvatskoga sabora i Vlade Republike Hrvatske, Služba za nabavu je izradila ukupno 276 narudžbenica. Od toga je naručena roba na 171 narudžbenicu zaprimljena i evidentirana putem skladišta tiskanica, uredskog i potrošnog materijala i materijala za čišćenje i održavanje uz propisanu dokumentaciju (izrađene su 193 primke), a ista je potom distribuirana korisnicima za što su izrađene 704 izdatnice. </w:t>
      </w:r>
    </w:p>
    <w:p w:rsidR="005C2091" w:rsidRDefault="00A86293">
      <w:r>
        <w:t xml:space="preserve">Služba za nabavu vodi brigu o skladištu namirnica za potrebe restorana Hrvatskoga sabora i restorana „Banski dvori“ te čajnih kuhinja i buffeta. Prema zaprimljenim zahtjevnicama, svakodnevno se vrši naručivanje hrane i pića za što je Ured sklopio ugovore o javnoj nabavi. Izvanredno, za namirnice koje nisu obuhvaćene ugovorima o javnoj nabavi, izrađuje se narudžbenica te su tijekom 2016. godine u tu svrhu izrađene 94 narudžbenice. Sva pristigla roba evidentira se propisanom dokumentacijom, a tijekom 2016. godine za pristiglu robu izrađeno je 2837 primki, dok je prilikom izdavanja robe korisnicima izrađena 991 izdatnica. Roba, radovi i usluge naručeni po ostalim narudžbenicama, distribuirani su krajnjim korisnicima neposredno od strane dobavljača. </w:t>
      </w:r>
    </w:p>
    <w:p w:rsidR="005C2091" w:rsidRDefault="00A86293">
      <w:r>
        <w:t xml:space="preserve">Za potrebe Hrvatskoga sabora, Služba za nabavu je izradila ukupno 564 narudžbenice od čega je skladište tiskanica, uredskog i potrošnog materijala i materijala za čišćenje i održavanje putem 142 primke zaprimilo robu naručenu temeljem 119 narudžbenica te je istu distribuiralo korisnicima putem 591 izdatnice. Roba, radovi i usluge  naručeni po ostalim narudžbenicama, distribuirani su krajnjim korisnicima neposredno od strane dobavljača. </w:t>
      </w:r>
    </w:p>
    <w:p w:rsidR="005C2091" w:rsidRDefault="00A86293">
      <w:r>
        <w:t xml:space="preserve">Za potrebe Vlade Republike Hrvatske i ostalih državnih tijela iz svoje nadležnosti, utvrđenih Uredbom o Uredu za opće poslove Hrvatskoga sabora i Vlade Republike Hrvatske, („Narodne novine“, broj  43/12 i 121/12), Služba za nabavu je prema zahtjevnicama za nabavu roba, radova i usluga izradila 981 narudžbenicu te organizirala isporuku krajnjim korisnicima neposredno od strane dobavljača. </w:t>
      </w:r>
    </w:p>
    <w:p w:rsidR="005C2091" w:rsidRDefault="00A86293">
      <w:r>
        <w:t xml:space="preserve">Služba za nabavu je kontinuirano tijekom 2016. godine naručivala strani i domaći tisak (dnevna, tjedna, mjesečna i godišnja izdanja) za proračunske korisnike iz svoje nadležnosti, a sukladno njihovim potrebama i zahtjevima. Osim naručivanja tiskovina, Služba je koordinirala isporukama naručenih tiskovina na cca 20 lokacija, vodila brigu o pravovremenosti i točnosti isporuka tiskovina korisnicima te promptno reagirala na reklamacije korisnika. Služba je izradila i distribuirala 99 narudžbenica. </w:t>
      </w:r>
    </w:p>
    <w:p w:rsidR="005C2091" w:rsidRDefault="00A86293">
      <w:r>
        <w:lastRenderedPageBreak/>
        <w:t xml:space="preserve">Služba za nabavu je u 2016. godini za Hrvatski sabor provela 2 pregovaračka postupka javne nabave bez prethodne objave ukupne ugovorene vrijednosti 1.576.629,38 kuna (sa PDV-om). Sklopljeno je 12 ugovora i izrađeno je 607 narudžbenica (uključujući narudžbenice za tisak).  </w:t>
      </w:r>
    </w:p>
    <w:p w:rsidR="005C2091" w:rsidRDefault="00A86293">
      <w:r>
        <w:t xml:space="preserve">Za Ured za opće poslove Hrvatskoga sabora i Vlade Republike Hrvatske Služba za nabavu je provela 2 postupka javne nabave, od čega 1 otvoreni postupak velike vrijednosti i 1 pregovarački postupak javne nabave bez prethodne objave ukupne ugovorene vrijednosti 2.670.100,37 kuna (sa PDV-om). Sklopljena su 4 okvirna sporazuma, 32 ugovora i izrađeno je 286 narudžbenica (uključujući narudžbenice za tisak).  </w:t>
      </w:r>
    </w:p>
    <w:p w:rsidR="005C2091" w:rsidRDefault="00A86293">
      <w:r>
        <w:t xml:space="preserve">Za Vladu Republike Hrvatske Služba za nabavu je provela 1 pregovarački postupak javne nabave bez prethodne objave ukupne ugovorene vrijednosti 878.620,00 kuna (sa PDV-om). Sklopljeno je 7 ugovora i izrađeno je 244 narudžbenica (uključujući narudžbenice za tisak).  </w:t>
      </w:r>
    </w:p>
    <w:p w:rsidR="005C2091" w:rsidRDefault="00A86293">
      <w:r>
        <w:t xml:space="preserve">Za Ured zastupnika Republike Hrvatske pred Europskim sudom za ljudska prava Služba za nabavu je provela 1 otvoreni postupak javne nabave ugovorene vrijednosti 492.500,00 kuna (sa PDV-om). Sklopljen je 1 ugovor i izrađeno je 65 narudžbenica (uključujući narudžbenice za tisak).  </w:t>
      </w:r>
    </w:p>
    <w:p w:rsidR="005C2091" w:rsidRDefault="00A86293">
      <w:r>
        <w:t xml:space="preserve">Za Direkciju za korištenje službenih zrakoplova Služba za nabavu je provela 1 pregovarački postupak javne nabave bez prethodne objave ugovorene vrijednosti 1.262.000,00 kuna (sa PDV-om). </w:t>
      </w:r>
    </w:p>
    <w:p w:rsidR="005C2091" w:rsidRDefault="00A86293">
      <w:r>
        <w:t xml:space="preserve">Za Ured Predsjednice Republike Hrvatske Služba za nabavu je provela 1 otvoreni postupak javne nabave ukupne ugovorene vrijednosti 449.820,22 kuna (sa PDV-om). Sklopljen je 1 okvirni sporazum, 1 ugovor i izrađeno je 12 narudžbenica za tisak. </w:t>
      </w:r>
    </w:p>
    <w:p w:rsidR="005C2091" w:rsidRDefault="00A86293">
      <w:r>
        <w:t xml:space="preserve">Za ostale proračunske korisnike iz nadležnosti Ureda za opće poslove Hrvatskoga sabora i Vlade Republike Hrvatske Služba za nabavu izradila je 706 narudžbenica (uključujući narudžbenice za tisak). </w:t>
      </w:r>
    </w:p>
    <w:p w:rsidR="005C2091" w:rsidRDefault="00A86293">
      <w:r>
        <w:t xml:space="preserve">Služba za telekomunikacije, informatiku i praćenje rada sjednica Hrvatskog sabora je tijekom 2016. godine obavljala usluge fiksne i mobilne telefonije za Hrvatski sabor, Vladu Republike Hrvatske i Urede Vlade RH, Direkciju za korištenje službenih zrakoplova, Državne urede i Državno izborno povjerenstvo te usluge tehničkog održavanja informatičke i uredske opreme i uređaja za Urede Vlade RH kao i Ureda za opće poslove Hrvatskoga sabora i Vlade Republike Hrvatske, usluge fotokopiranja i uveza za Hrvatski sabor i Urede Vlade RH i usluge praćenja rada (tehnička podrška, snimanje i prijepis) sjednica Hrvatskog sabora i radnih tijela Hrvatskog sabora. </w:t>
      </w:r>
    </w:p>
    <w:p w:rsidR="005C2091" w:rsidRDefault="00A86293">
      <w:r>
        <w:t xml:space="preserve">U području informacijske sigurnosti (poslovna sigurnost i sigurnost informatičkih sustava) uz ostale aktivnosti obrađena su 3 zahtjeva za sigurnosnu provjeru. </w:t>
      </w:r>
    </w:p>
    <w:p w:rsidR="005C2091" w:rsidRDefault="00A86293">
      <w:r>
        <w:t xml:space="preserve">Također se brinula za funkcionalnost sustava tehničke zaštite u objektima gdje su ti sustavi instalirani (Opatička 8, Trg Sv. Marka 3, Mesnička 23, Visoka 15 i Grškovićeva 13). </w:t>
      </w:r>
    </w:p>
    <w:p w:rsidR="005C2091" w:rsidRDefault="00A86293">
      <w:r>
        <w:t xml:space="preserve">Odjel za telekomunikacije je tijekom 2016. godine u fiksnoj telefoniji radio na daljnjoj tehnološkoj modernizaciji opreme (uvođenje i testiranje VOIP platforme). </w:t>
      </w:r>
    </w:p>
    <w:p w:rsidR="005C2091" w:rsidRDefault="00A86293">
      <w:r>
        <w:t xml:space="preserve">U fiksnoj telefoniji brinuo je o 1.800 priključaka (u što je uključeno ispitivanje telefonske centrale i izrada backup-a, snimka stanja i sanacija dijela dotrajale telefonske instalacije po objektima, uključivanje telefonskih brojeva i aparata, programiranje sekretarskih garnitura, uključivanje ADSL linija, preseljenje postojećih telefonskih brojeva i uređaja, otklanjanje kvarova i smetnji na telefonskim aparatima i linijama, otklanjanje kvarova i smetnji na FAX uređajima). </w:t>
      </w:r>
    </w:p>
    <w:p w:rsidR="005C2091" w:rsidRDefault="00A86293">
      <w:r>
        <w:t xml:space="preserve">U mobilnoj telefoniji brinuo je za 600 priključaka i uređaja (210 DECT uređaja i 60 baznih stanica u objektima Vlade Republike Hrvatske, Ureda Vlade Mesnička 23, Ureda za opće poslove Opatička 8 i Trg Sv. Marka 3, te Hrvatskoga sabora, Trg Sv. Marka i Demetrova 15 i oko 360 priključaka u mreži mobilnog operatera „ Hrvatski Telekom „). Brinuo se o narudžbi DECT telefona, digitalnih i IP telefona, GSM uređaja i uređaja za mobilni pristup Internetu. </w:t>
      </w:r>
    </w:p>
    <w:p w:rsidR="005C2091" w:rsidRDefault="00A86293">
      <w:r>
        <w:t xml:space="preserve">Odjel za informatiku je tijekom 2016. godine radio na održavanju informatičke opreme i korisničkoj podršci (instalacija antivirusnog rješenja F-Secure, nadogradnja operativnog sustava Microsoft Windows i uredskog paketa Microsoft Office, zamjena osnovne i periferne opreme) Ureda za opće poslove Hrvatskoga sabora i Vlade Republike Hrvatske i Ureda Vlade Republike Hrvatske u objektu Mesnička 23 (Ured za ljudska prava i prava nacionalnih manjina, Savjet za nacionalne manjine, Ured za ravnopravnost spolova, Ured za razminiranje i Ured Komisije za odnose s vjerskim zajednicama). Uz navedene urede i za Ured zastupnika pred Europskim sudom za ljudska prava, Ured za suzbijanje zlouporabe  droga, Ured Vlade RH za unutarnju reviziju i  Direkciju za korištenje službenih zrakoplova. </w:t>
      </w:r>
    </w:p>
    <w:p w:rsidR="005C2091" w:rsidRDefault="00A86293">
      <w:r>
        <w:lastRenderedPageBreak/>
        <w:t xml:space="preserve">Uz navedene poslove djelatnici Odjela radili su na pomoći korisnicima pri radu s pametnim telefonima i postavljanju opreme i korisničkoj podršci prilikom prezentacija u Hrvatskom saboru. </w:t>
      </w:r>
    </w:p>
    <w:p w:rsidR="005C2091" w:rsidRDefault="00A86293">
      <w:r>
        <w:t xml:space="preserve">Tijekom 2016. godine pododsjek za obavljanje poslova tiskare i knjigovežnice zaprimio je više od 1100 zahtjeva za izvršenje usluga korisnicima. U pododsjeku se obavljaju poslovi obrade (snimanja na CD medije, skeniranja, plastificiranja, uveza) i umnožavanja materijala. Veći dio posla otpada na umnožavanje sjedničkih i drugih materijala (oko 3 732 000  crno – bijelih i 25 300 u boji kopija godišnje), te je utrošeno 2 000 000 listova papira formata A4 80g/m2.  </w:t>
      </w:r>
    </w:p>
    <w:p w:rsidR="005C2091" w:rsidRDefault="00A86293">
      <w:r>
        <w:t xml:space="preserve">Pododsjek za praćenje rada sjednica Hrvatskoga sabora u 2016. godini tonski je snimao 90 dana cjelodnevnih zasjedanja  Hrvatskoga sabora, 92 sjednice Odbora i „okruglih stolova“, 33 protokolarnih razgovora gdje se u svima koristila oprema za ozvučenje i tiskovne konferencije, a u većini i oprema za simultano prevođenje. </w:t>
      </w:r>
    </w:p>
    <w:p w:rsidR="005C2091" w:rsidRDefault="00A86293">
      <w:r>
        <w:t xml:space="preserve">Temeljem snimljenih materijala u pododsjeku je napisano više od 17 000 stranica fonograma sjednica i veliki broj zakonskih tekstova koji se u pododsjeku kolacioniraju prije potpisa i objave u Narodnim novinama. </w:t>
      </w:r>
    </w:p>
    <w:p w:rsidR="005C2091" w:rsidRDefault="00A86293">
      <w:r>
        <w:t xml:space="preserve">Pododsjek je angažiran u brizi o ispravnosti audio opreme i konferencijskih sustava u Sabornici i ostalim dvoranama za sjednice radnih tijela, antenskoj instalaciji i televizijskim prijemnicima. </w:t>
      </w:r>
    </w:p>
    <w:p w:rsidR="005C2091" w:rsidRDefault="00A86293">
      <w:r>
        <w:t xml:space="preserve">Služba za opće i tehničke poslove: </w:t>
      </w:r>
    </w:p>
    <w:p w:rsidR="005C2091" w:rsidRDefault="00A86293">
      <w:r>
        <w:t xml:space="preserve">1. Pododsjek investicijskog i tekućeg održavanja: </w:t>
      </w:r>
    </w:p>
    <w:p w:rsidR="005C2091" w:rsidRDefault="00A86293">
      <w:r>
        <w:t xml:space="preserve">- svakondnevna kontrola uređaja i elektroinstalacija jake struje, zamjena i popravak rasvjetnih tijela, nabava i zamjena izvora svjetlosti, kontrola i popravak uređaja i instalacija dovoda i odvoda vode, kontrola i održavanje sustava ventilacije, kontrola i održavanje sustava centralnog grijanja i hlađenja, razni stolarski popravci na inventaru, razni popravci i servisi osobnih i maloteretnih dizala, agregata, održavanje i kontrole vatrogasnih aparata, hidrantske mreže, automatskih vrata, svakodnevno i izvanredno održavanje čistoće u objektima Hrvatskog sabora, Vlade RH, zgrade UZOP-a, ureda Vlade RH, Državnog izbornog povjerenstva te Ureda predsjednika RH po prestanku obnašanja dužnosti (ukupno 25.606 m2) koje održava 50 čistačica (cca 512 m2 po čistačici). </w:t>
      </w:r>
    </w:p>
    <w:p w:rsidR="005C2091" w:rsidRDefault="00A86293">
      <w:r>
        <w:t xml:space="preserve">Osim redovnog održavanja i redovitih servisa na objektima i opremi, od većih građevinsko-obrtničkih i instalaterskih radova, a za što su u Službi izrađeni troškovnici sa procjenom troškova, prikupljene ponude, organizirano i kontinuirano  praćeno izvođenje svih vrsta radova po objektima, kako slijedi: </w:t>
      </w:r>
    </w:p>
    <w:p w:rsidR="005C2091" w:rsidRDefault="00A86293">
      <w:r>
        <w:t xml:space="preserve">a/ zgrada Hrvatskoga sabora </w:t>
      </w:r>
    </w:p>
    <w:p w:rsidR="005C2091" w:rsidRDefault="00A86293">
      <w:r>
        <w:t xml:space="preserve">- soboslikarski radovi (dvorane, radne sobe, restoran i kuhinja)  </w:t>
      </w:r>
    </w:p>
    <w:p w:rsidR="005C2091" w:rsidRDefault="00A86293">
      <w:r>
        <w:t xml:space="preserve">- vodoinstalaterski radovi (sanitarni čvorovi) </w:t>
      </w:r>
    </w:p>
    <w:p w:rsidR="005C2091" w:rsidRDefault="00A86293">
      <w:r>
        <w:t xml:space="preserve">- stolarski radovi (zamjena prozora)  </w:t>
      </w:r>
    </w:p>
    <w:p w:rsidR="005C2091" w:rsidRDefault="00A86293">
      <w:r>
        <w:t xml:space="preserve">- elektroinst.radovi (sabornica, radne sobe)  </w:t>
      </w:r>
    </w:p>
    <w:p w:rsidR="005C2091" w:rsidRDefault="00A86293">
      <w:r>
        <w:t xml:space="preserve">- parketarski radovi (radne sobe)  </w:t>
      </w:r>
    </w:p>
    <w:p w:rsidR="005C2091" w:rsidRDefault="00A86293">
      <w:r>
        <w:t xml:space="preserve">- tapet.arsko dekoraterski radovi (zavjese)  </w:t>
      </w:r>
    </w:p>
    <w:p w:rsidR="005C2091" w:rsidRDefault="00A86293">
      <w:r>
        <w:t xml:space="preserve">- održavanje dizala, kotlovnica, postrojenja i opreme   </w:t>
      </w:r>
    </w:p>
    <w:p w:rsidR="005C2091" w:rsidRDefault="00A86293">
      <w:r>
        <w:t xml:space="preserve">- staklarski radovi   </w:t>
      </w:r>
    </w:p>
    <w:p w:rsidR="005C2091" w:rsidRDefault="00A86293">
      <w:r>
        <w:t xml:space="preserve">- zaštita od golubova   </w:t>
      </w:r>
    </w:p>
    <w:p w:rsidR="005C2091" w:rsidRDefault="00A86293">
      <w:r>
        <w:t xml:space="preserve">- bravarski radovi   </w:t>
      </w:r>
    </w:p>
    <w:p w:rsidR="005C2091" w:rsidRDefault="00A86293">
      <w:r>
        <w:t xml:space="preserve">- čišćenje i održavanje ureda (namještaj, zavjese, tepisi)   </w:t>
      </w:r>
    </w:p>
    <w:p w:rsidR="005C2091" w:rsidRDefault="00A86293">
      <w:r>
        <w:t xml:space="preserve">b/ zgrada Vlade RH </w:t>
      </w:r>
    </w:p>
    <w:p w:rsidR="005C2091" w:rsidRDefault="00A86293">
      <w:r>
        <w:t xml:space="preserve">- krovopokrivački radovi (projekat sanacije krovišta i djelomična sanacija, popravci)  </w:t>
      </w:r>
    </w:p>
    <w:p w:rsidR="005C2091" w:rsidRDefault="00A86293">
      <w:r>
        <w:t xml:space="preserve">- soboslikarski radovi (radne sobe)  </w:t>
      </w:r>
    </w:p>
    <w:p w:rsidR="005C2091" w:rsidRDefault="00A86293">
      <w:r>
        <w:t xml:space="preserve">- vodoinstalaterski radovi (sanitarni čvorovi)  </w:t>
      </w:r>
    </w:p>
    <w:p w:rsidR="005C2091" w:rsidRDefault="00A86293">
      <w:r>
        <w:t xml:space="preserve">- stolarski radovi (restoran)  </w:t>
      </w:r>
    </w:p>
    <w:p w:rsidR="005C2091" w:rsidRDefault="00A86293">
      <w:r>
        <w:t xml:space="preserve">- sanacija fasade (Matoševa-Freundereichova ulica )  </w:t>
      </w:r>
    </w:p>
    <w:p w:rsidR="005C2091" w:rsidRDefault="00A86293">
      <w:r>
        <w:lastRenderedPageBreak/>
        <w:t xml:space="preserve">- tapetarsko - dekoraterski radovi  </w:t>
      </w:r>
    </w:p>
    <w:p w:rsidR="005C2091" w:rsidRDefault="00A86293">
      <w:r>
        <w:t xml:space="preserve">- održavanje dizala, postrojenja centralnog grijanja i hlađenja  </w:t>
      </w:r>
    </w:p>
    <w:p w:rsidR="005C2091" w:rsidRDefault="00A86293">
      <w:r>
        <w:t xml:space="preserve">- ostala održavanja postrojenja i opreme  </w:t>
      </w:r>
    </w:p>
    <w:p w:rsidR="005C2091" w:rsidRDefault="00A86293">
      <w:r>
        <w:t xml:space="preserve">- čišćenje i održavanje ureda (zavjese, tepisi) </w:t>
      </w:r>
    </w:p>
    <w:p w:rsidR="005C2091" w:rsidRDefault="00A86293">
      <w:r>
        <w:t xml:space="preserve">c/ zgrade UZOP-a Opatička 8 i Mesnička 23, garaža i radionica Prisavlje </w:t>
      </w:r>
    </w:p>
    <w:p w:rsidR="005C2091" w:rsidRDefault="00A86293">
      <w:r>
        <w:t xml:space="preserve">- elektroinstalacijski radovi (rasvjetna tijela u Prisavlju) </w:t>
      </w:r>
    </w:p>
    <w:p w:rsidR="005C2091" w:rsidRDefault="00A86293">
      <w:r>
        <w:t xml:space="preserve">- održavanje dizala, klima uređaja, ugostiteljske opreme i kotlovnica   </w:t>
      </w:r>
    </w:p>
    <w:p w:rsidR="005C2091" w:rsidRDefault="00A86293">
      <w:r>
        <w:t xml:space="preserve">- redovita i periodična čišćenja ugostiteljskih napa, mastolovaca, temeljne kanalizacije   </w:t>
      </w:r>
    </w:p>
    <w:p w:rsidR="005C2091" w:rsidRDefault="00A86293">
      <w:r>
        <w:t xml:space="preserve">- krovopokrivački i limarski radovi (garaža u Tuškancu)  </w:t>
      </w:r>
    </w:p>
    <w:p w:rsidR="005C2091" w:rsidRDefault="00A86293">
      <w:r>
        <w:t xml:space="preserve">- zaštita na radu 23.000,00 kn </w:t>
      </w:r>
    </w:p>
    <w:p w:rsidR="005C2091" w:rsidRDefault="00A86293">
      <w:r>
        <w:t xml:space="preserve">- čišćenje ureda (zavjese, tepih staze, izrada novih zavjesa)  </w:t>
      </w:r>
    </w:p>
    <w:p w:rsidR="005C2091" w:rsidRDefault="00A86293">
      <w:r>
        <w:t xml:space="preserve">- servis vatrogasnih aparata  </w:t>
      </w:r>
    </w:p>
    <w:p w:rsidR="005C2091" w:rsidRDefault="00A86293">
      <w:r>
        <w:t xml:space="preserve">- DDD – usluge  </w:t>
      </w:r>
    </w:p>
    <w:p w:rsidR="005C2091" w:rsidRDefault="00A86293">
      <w:r>
        <w:t xml:space="preserve">2. Pododsjek prehrane za potrebe Hrvatskog sabora  </w:t>
      </w:r>
    </w:p>
    <w:p w:rsidR="005C2091" w:rsidRDefault="00A86293">
      <w:r>
        <w:t xml:space="preserve">- tijekom 2016. g. pripremio je  i poslužio u restoranu samoposluživanja i restoranu zastupnika 37.484 obroka,  što prosječno dnevno iznosi 200 obroka. Pododsjek je dodatno odradio 27 svečana ručka, 35 radnih ručkova  za Hrvatski sabor, 18 domjenaka u Hrvatskom saboru i 10 posluženja hrane i pića za potrebe Ureda predsjednika Hrvatskoga sabora, 8 radnih večera. </w:t>
      </w:r>
    </w:p>
    <w:p w:rsidR="005C2091" w:rsidRDefault="00A86293">
      <w:r>
        <w:t xml:space="preserve">Nadalje, u sklopu Pododsjeka posluju glavni šank i 5 čajnih kuhinja, u kojima se svakodnevno pripremaju i poslužuju topli i hladni napitci za cca 500 osoba. </w:t>
      </w:r>
    </w:p>
    <w:p w:rsidR="005C2091" w:rsidRDefault="00A86293">
      <w:r>
        <w:t xml:space="preserve">3. Pododsjek prehrane za potrebe Vlade RH i Vladinih ureda  </w:t>
      </w:r>
    </w:p>
    <w:p w:rsidR="005C2091" w:rsidRDefault="00A86293">
      <w:r>
        <w:t xml:space="preserve">- tijekom 2016. g. pripremio je  i poslužio 23.888 obroka što prosječno dnevno iznosi 110 toplih obroka, a dodatno je odradio: 4 svečana ručka, 11 domjenaka, 11 radna ručka, 20 posluženja službenih puteva, 1 posluženja hrane i pića za potrebe Ureda predsjednika Vlade RH. </w:t>
      </w:r>
    </w:p>
    <w:p w:rsidR="005C2091" w:rsidRDefault="00A86293">
      <w:r>
        <w:t xml:space="preserve">Nadalje, u sklopu Pododsjeka posluju glavni šank i 3 čajne kuhinje u kojima se svakodnevno pripremi i posluži toplim i hladnim napitcima cca 200 osoba. </w:t>
      </w:r>
    </w:p>
    <w:p w:rsidR="005C2091" w:rsidRDefault="00A86293">
      <w:r>
        <w:t xml:space="preserve">Također u Pododsjeku posluje i praonica i peglaonica rublja koja je za potrebe Pododsjeka prehrane za potrebe Hrvatskoga sabora i Pododsjeka prehrane za potrebe Vlade RH u 2016. g. oprala i ispeglala cca 16.800 kg stolnog rublja, što prosječno dnevno iznosi 70 kg stolnog rublja.  </w:t>
      </w:r>
    </w:p>
    <w:p w:rsidR="005C2091" w:rsidRDefault="00A86293">
      <w:r>
        <w:t xml:space="preserve">4. Pododsjek autoservisa  </w:t>
      </w:r>
    </w:p>
    <w:p w:rsidR="005C2091" w:rsidRDefault="00A86293">
      <w:r>
        <w:t xml:space="preserve">- u 2016. g. skrbio je o 55 službena automobila. Od toga 27 službenih automobila nabavljeno je početkom 2014. g. putem operativnog leasinga na 5 godina i vlasništvo su leasing kuća, a 28 vozila su vlasništvo Republike Hrvatske. </w:t>
      </w:r>
    </w:p>
    <w:p w:rsidR="005C2091" w:rsidRDefault="00A86293">
      <w:r>
        <w:t xml:space="preserve">Tijekom 2016. g. prodano  je  7 dotrajalih  službenih automobila za ukupno 186.812,50 kn. Prodaja je izvršena putem javnog nadmetanja (licitacije) posredstvom tvrtke TRCZ iz Zagreba. </w:t>
      </w:r>
    </w:p>
    <w:p w:rsidR="005C2091" w:rsidRDefault="00A86293">
      <w:r>
        <w:t xml:space="preserve">Prevezeno je ukupno 649.642 kilometara (3911 vožnji) od čega se 395.660 kilometara odnosi na gradsku vožnju, a 253.982 kilometara na službena putovanja. Utrošeno je 59.465,06 litara goriva. Prosječna potrošnja goriva iznosila je 9,2 l/100 km. </w:t>
      </w:r>
    </w:p>
    <w:p w:rsidR="005C2091" w:rsidRDefault="00A86293">
      <w:r>
        <w:t xml:space="preserve">U vlastitoj servisnoj radionici Pododsjeka izvršena su 150 servisa i popravaka na službenim vozilima (redoviti servisi, izvanredni popravci, kontrola i dolijevanje tekućina, priprema za tehničke preglede).  </w:t>
      </w:r>
    </w:p>
    <w:p w:rsidR="005C2091" w:rsidRDefault="00A86293">
      <w:r>
        <w:t xml:space="preserve">U ovlaštenim servisima (zbog jamstva) izvršeno je 71 servis i popravak na službenim vozilima. U vlastitoj ručnoj autopraonici u 2016. g. obavljena su 2.536 vanjska i unutarnja pranja službenih automobila. </w:t>
      </w:r>
    </w:p>
    <w:p w:rsidR="005C2091" w:rsidRDefault="00A86293">
      <w:r>
        <w:t xml:space="preserve">Svi zahtjevi - nalozi za prijevozom korisnika, svaki prevezeni kilometar, svaka utrošena litra goriva kao i svaki redovni i izvanredni popravak i servis te utrošeni materijal evidentiran je u elektroničkoj aplikaciji Pododsjeka auto servisa. Izvještaji se dostavljaju mjesečno, kvartalno i godišnje. Skladište rezervnih dijelova, auto-guma i ostalog </w:t>
      </w:r>
      <w:r>
        <w:lastRenderedPageBreak/>
        <w:t>potrošnog materijala servisne radionice također se mjesečno usklađuje s materijalnim knjigovodstvom UZOP-a u elektroničkoj aplikaciji Konto programa.</w:t>
      </w:r>
    </w:p>
    <w:p w:rsidR="005C2091" w:rsidRDefault="005C2091">
      <w:pPr>
        <w:pStyle w:val="Heading8"/>
        <w:jc w:val="left"/>
      </w:pPr>
    </w:p>
    <w:p w:rsidR="005C2091" w:rsidRDefault="00A86293">
      <w:pPr>
        <w:pStyle w:val="Heading2"/>
      </w:pPr>
      <w:r>
        <w:t>02042 Ured za protokol</w:t>
      </w:r>
    </w:p>
    <w:p w:rsidR="005C2091" w:rsidRDefault="00A86293">
      <w:r>
        <w:t>Ured obavlja ceremonijalne, stručne, organizacijske i tehničke poslove protokola za potrebe Vlade, predsjednika Vlade i potpredsjednike Vlade. Priprema i provodi aktivnosti vezane uz službene posjete i putovanja predsjednika Vlade i potpredsjednika Vlade.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02042-Ured za protokol</w:t>
            </w:r>
          </w:p>
        </w:tc>
        <w:tc>
          <w:tcPr>
            <w:tcW w:w="2041" w:type="dxa"/>
            <w:vAlign w:val="top"/>
          </w:tcPr>
          <w:p w:rsidR="005C2091" w:rsidRDefault="00A86293">
            <w:pPr>
              <w:pStyle w:val="CellColumn"/>
              <w:jc w:val="right"/>
            </w:pPr>
            <w:r>
              <w:rPr>
                <w:rFonts w:cs="Times New Roman"/>
              </w:rPr>
              <w:t>951.843</w:t>
            </w:r>
          </w:p>
        </w:tc>
        <w:tc>
          <w:tcPr>
            <w:tcW w:w="2041" w:type="dxa"/>
            <w:vAlign w:val="top"/>
          </w:tcPr>
          <w:p w:rsidR="005C2091" w:rsidRDefault="00A86293">
            <w:pPr>
              <w:pStyle w:val="CellColumn"/>
              <w:jc w:val="right"/>
            </w:pPr>
            <w:r>
              <w:rPr>
                <w:rFonts w:cs="Times New Roman"/>
              </w:rPr>
              <w:t>1.100.760</w:t>
            </w:r>
          </w:p>
        </w:tc>
        <w:tc>
          <w:tcPr>
            <w:tcW w:w="2041" w:type="dxa"/>
            <w:vAlign w:val="top"/>
          </w:tcPr>
          <w:p w:rsidR="005C2091" w:rsidRDefault="00A86293">
            <w:pPr>
              <w:pStyle w:val="CellColumn"/>
              <w:jc w:val="right"/>
            </w:pPr>
            <w:r>
              <w:rPr>
                <w:rFonts w:cs="Times New Roman"/>
              </w:rPr>
              <w:t>977.440</w:t>
            </w:r>
          </w:p>
        </w:tc>
        <w:tc>
          <w:tcPr>
            <w:tcW w:w="1224" w:type="dxa"/>
            <w:vAlign w:val="top"/>
          </w:tcPr>
          <w:p w:rsidR="005C2091" w:rsidRDefault="00A86293">
            <w:pPr>
              <w:pStyle w:val="CellColumn"/>
              <w:jc w:val="right"/>
            </w:pPr>
            <w:r>
              <w:rPr>
                <w:rFonts w:cs="Times New Roman"/>
              </w:rPr>
              <w:t>88,8</w:t>
            </w:r>
          </w:p>
        </w:tc>
        <w:tc>
          <w:tcPr>
            <w:tcW w:w="1224" w:type="dxa"/>
            <w:vAlign w:val="top"/>
          </w:tcPr>
          <w:p w:rsidR="005C2091" w:rsidRDefault="00A86293">
            <w:pPr>
              <w:pStyle w:val="CellColumn"/>
              <w:jc w:val="right"/>
            </w:pPr>
            <w:r>
              <w:rPr>
                <w:rFonts w:cs="Times New Roman"/>
              </w:rPr>
              <w:t>102,7</w:t>
            </w:r>
          </w:p>
        </w:tc>
      </w:tr>
      <w:tr w:rsidR="005C2091">
        <w:trPr>
          <w:jc w:val="center"/>
        </w:trPr>
        <w:tc>
          <w:tcPr>
            <w:tcW w:w="1632" w:type="dxa"/>
          </w:tcPr>
          <w:p w:rsidR="005C2091" w:rsidRDefault="00A86293">
            <w:pPr>
              <w:jc w:val="left"/>
            </w:pPr>
            <w:r>
              <w:t>2107-PRUŽANJE PODRŠKE RADU VLADE REPUBLIKE HRVATSKE</w:t>
            </w:r>
          </w:p>
        </w:tc>
        <w:tc>
          <w:tcPr>
            <w:tcW w:w="2041" w:type="dxa"/>
          </w:tcPr>
          <w:p w:rsidR="005C2091" w:rsidRDefault="00A86293">
            <w:pPr>
              <w:jc w:val="right"/>
            </w:pPr>
            <w:r>
              <w:t>951.843</w:t>
            </w:r>
          </w:p>
        </w:tc>
        <w:tc>
          <w:tcPr>
            <w:tcW w:w="2041" w:type="dxa"/>
          </w:tcPr>
          <w:p w:rsidR="005C2091" w:rsidRDefault="00A86293">
            <w:pPr>
              <w:jc w:val="right"/>
            </w:pPr>
            <w:r>
              <w:t>1.100.760</w:t>
            </w:r>
          </w:p>
        </w:tc>
        <w:tc>
          <w:tcPr>
            <w:tcW w:w="2041" w:type="dxa"/>
          </w:tcPr>
          <w:p w:rsidR="005C2091" w:rsidRDefault="00A86293">
            <w:pPr>
              <w:jc w:val="right"/>
            </w:pPr>
            <w:r>
              <w:t>977.440</w:t>
            </w:r>
          </w:p>
        </w:tc>
        <w:tc>
          <w:tcPr>
            <w:tcW w:w="1224" w:type="dxa"/>
          </w:tcPr>
          <w:p w:rsidR="005C2091" w:rsidRDefault="00A86293">
            <w:pPr>
              <w:jc w:val="right"/>
            </w:pPr>
            <w:r>
              <w:t>88,8</w:t>
            </w:r>
          </w:p>
        </w:tc>
        <w:tc>
          <w:tcPr>
            <w:tcW w:w="1224" w:type="dxa"/>
          </w:tcPr>
          <w:p w:rsidR="005C2091" w:rsidRDefault="00A86293">
            <w:pPr>
              <w:jc w:val="right"/>
            </w:pPr>
            <w:r>
              <w:t>102,7</w:t>
            </w:r>
          </w:p>
        </w:tc>
      </w:tr>
    </w:tbl>
    <w:p w:rsidR="005C2091" w:rsidRDefault="005C2091">
      <w:pPr>
        <w:jc w:val="left"/>
      </w:pPr>
    </w:p>
    <w:p w:rsidR="005C2091" w:rsidRDefault="00A86293">
      <w:pPr>
        <w:pStyle w:val="Heading3"/>
      </w:pPr>
      <w:r>
        <w:rPr>
          <w:rFonts w:cs="Times New Roman"/>
        </w:rPr>
        <w:t>2107 PRUŽANJE PODRŠKE RADU VLADE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2107-PRUŽANJE PODRŠKE RADU VLADE REPUBLIKE HRVATSKE</w:t>
            </w:r>
          </w:p>
        </w:tc>
        <w:tc>
          <w:tcPr>
            <w:tcW w:w="2041" w:type="dxa"/>
          </w:tcPr>
          <w:p w:rsidR="005C2091" w:rsidRDefault="00A86293">
            <w:pPr>
              <w:pStyle w:val="CellColumn"/>
              <w:jc w:val="right"/>
            </w:pPr>
            <w:r>
              <w:rPr>
                <w:rFonts w:cs="Times New Roman"/>
              </w:rPr>
              <w:t>951.843</w:t>
            </w:r>
          </w:p>
        </w:tc>
        <w:tc>
          <w:tcPr>
            <w:tcW w:w="2041" w:type="dxa"/>
          </w:tcPr>
          <w:p w:rsidR="005C2091" w:rsidRDefault="00A86293">
            <w:pPr>
              <w:pStyle w:val="CellColumn"/>
              <w:jc w:val="right"/>
            </w:pPr>
            <w:r>
              <w:rPr>
                <w:rFonts w:cs="Times New Roman"/>
              </w:rPr>
              <w:t>1.100.760</w:t>
            </w:r>
          </w:p>
        </w:tc>
        <w:tc>
          <w:tcPr>
            <w:tcW w:w="2041" w:type="dxa"/>
          </w:tcPr>
          <w:p w:rsidR="005C2091" w:rsidRDefault="00A86293">
            <w:pPr>
              <w:pStyle w:val="CellColumn"/>
              <w:jc w:val="right"/>
            </w:pPr>
            <w:r>
              <w:rPr>
                <w:rFonts w:cs="Times New Roman"/>
              </w:rPr>
              <w:t>977.440</w:t>
            </w:r>
          </w:p>
        </w:tc>
        <w:tc>
          <w:tcPr>
            <w:tcW w:w="1224" w:type="dxa"/>
          </w:tcPr>
          <w:p w:rsidR="005C2091" w:rsidRDefault="00A86293">
            <w:pPr>
              <w:pStyle w:val="CellColumn"/>
              <w:jc w:val="right"/>
            </w:pPr>
            <w:r>
              <w:rPr>
                <w:rFonts w:cs="Times New Roman"/>
              </w:rPr>
              <w:t>88,8</w:t>
            </w:r>
          </w:p>
        </w:tc>
        <w:tc>
          <w:tcPr>
            <w:tcW w:w="1224" w:type="dxa"/>
          </w:tcPr>
          <w:p w:rsidR="005C2091" w:rsidRDefault="00A86293">
            <w:pPr>
              <w:pStyle w:val="CellColumn"/>
              <w:jc w:val="right"/>
            </w:pPr>
            <w:r>
              <w:rPr>
                <w:rFonts w:cs="Times New Roman"/>
              </w:rPr>
              <w:t>102,7</w:t>
            </w:r>
          </w:p>
        </w:tc>
      </w:tr>
    </w:tbl>
    <w:p w:rsidR="005C2091" w:rsidRDefault="005C2091">
      <w:pPr>
        <w:jc w:val="left"/>
      </w:pPr>
    </w:p>
    <w:p w:rsidR="005C2091" w:rsidRDefault="00A86293">
      <w:r>
        <w:t xml:space="preserve">Pružanje podrške radu Vlade Republike Hrvatske od strane Ureda za protokol podrazumijeva obavljanje ceremonijalnih, stručnih, organizacijskih i tehničkih poslova protokola za potrebe Vlade, predsjednika Vlade i potpredsjednika Vlade. Ured također priprema i provodi aktivnosti vezane uz službene posjete i putovanja predsjednika Vlade i potpredsjednika Vlade u Republici Hrvatskoj i u inozemstvu; priprema i provodi aktivnosti vezane uz službene i radne posjete stranih dužnosnika predsjedniku Vlade i potpredsjednicima Vlade; sudjeluje u pripremi i provođenju svečanosti, obljetnica i svih drugih protokolarnih događanja od značaja za Republiku Hrvatsku u kojoj sudjeluje predsjednik Vlade, potpredsjednici Vlade i članovi Vlade bilo u Vladi, Zagrebu ili na drugim lokacijama u Republici Hrvatskoj; predlaže i skrbi o poklonima za strane i </w:t>
      </w:r>
    </w:p>
    <w:p w:rsidR="005C2091" w:rsidRDefault="00A86293">
      <w:r>
        <w:t xml:space="preserve">domaće susrete predsjednika Vlade i potpredsjednika Vlade; vodi evidenciju o uručenim poklonima; vodi evidenciju o izvršenim programima.  </w:t>
      </w:r>
    </w:p>
    <w:p w:rsidR="005C2091" w:rsidRDefault="00A86293">
      <w:r>
        <w:t>Ured u obavljanju svojih poslova ostvaruje suradnju i koordinaciju s odgovarajućim službama za protokol Predsjednice Republike Hrvatske, Hrvatskoga sabora i Ministarstva vanjskih i europskih poslova.</w:t>
      </w:r>
    </w:p>
    <w:p w:rsidR="005C2091" w:rsidRDefault="00A86293">
      <w:pPr>
        <w:pStyle w:val="Heading8"/>
        <w:jc w:val="left"/>
      </w:pPr>
      <w:r>
        <w:t>Cilj 1. Kontinuitet i poboljšanje efikasnosti Vlade Republike Hrvatske</w:t>
      </w:r>
    </w:p>
    <w:p w:rsidR="005C2091" w:rsidRDefault="00A86293">
      <w:pPr>
        <w:pStyle w:val="Heading8"/>
        <w:jc w:val="left"/>
      </w:pPr>
      <w:r>
        <w:t>Opis provedbe cilja programa</w:t>
      </w:r>
    </w:p>
    <w:p w:rsidR="005C2091" w:rsidRDefault="00A86293">
      <w:r>
        <w:t>Obavljanjem ceremonijalnih, stručnih, organizacijskih i tehničkih poslova za potrebe Vlade, predsjednika Vlade te potpredsjednika Vlade osigurava se kontinuirano funkcioniranje Vlade Republike Hrvatske kao nositelja izvršne vlasti, sukladno Ustavu Republike Hrvatske i zakonima.</w:t>
      </w:r>
    </w:p>
    <w:p w:rsidR="005C2091" w:rsidRDefault="00A86293">
      <w:pPr>
        <w:pStyle w:val="Heading4"/>
      </w:pPr>
      <w:r>
        <w:lastRenderedPageBreak/>
        <w:t>A686000 ADMINISTRACIJA I UPRAVLJANJE</w:t>
      </w:r>
    </w:p>
    <w:tbl>
      <w:tblPr>
        <w:tblStyle w:val="StilTablice"/>
        <w:tblW w:w="10206" w:type="dxa"/>
        <w:jc w:val="center"/>
        <w:tblLook w:val="04A0" w:firstRow="1" w:lastRow="0" w:firstColumn="1" w:lastColumn="0" w:noHBand="0" w:noVBand="1"/>
      </w:tblPr>
      <w:tblGrid>
        <w:gridCol w:w="1792"/>
        <w:gridCol w:w="1993"/>
        <w:gridCol w:w="1996"/>
        <w:gridCol w:w="1993"/>
        <w:gridCol w:w="1214"/>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A686000-ADMINISTRACIJA I UPRAVLJANJE</w:t>
            </w:r>
          </w:p>
        </w:tc>
        <w:tc>
          <w:tcPr>
            <w:tcW w:w="2041" w:type="dxa"/>
          </w:tcPr>
          <w:p w:rsidR="005C2091" w:rsidRDefault="00A86293">
            <w:pPr>
              <w:pStyle w:val="CellColumn"/>
              <w:jc w:val="right"/>
            </w:pPr>
            <w:r>
              <w:rPr>
                <w:rFonts w:cs="Times New Roman"/>
              </w:rPr>
              <w:t>935.057</w:t>
            </w:r>
          </w:p>
        </w:tc>
        <w:tc>
          <w:tcPr>
            <w:tcW w:w="2041" w:type="dxa"/>
          </w:tcPr>
          <w:p w:rsidR="005C2091" w:rsidRDefault="00A86293">
            <w:pPr>
              <w:pStyle w:val="CellColumn"/>
              <w:jc w:val="right"/>
            </w:pPr>
            <w:r>
              <w:rPr>
                <w:rFonts w:cs="Times New Roman"/>
              </w:rPr>
              <w:t>1.080.760</w:t>
            </w:r>
          </w:p>
        </w:tc>
        <w:tc>
          <w:tcPr>
            <w:tcW w:w="2041" w:type="dxa"/>
          </w:tcPr>
          <w:p w:rsidR="005C2091" w:rsidRDefault="00A86293">
            <w:pPr>
              <w:pStyle w:val="CellColumn"/>
              <w:jc w:val="right"/>
            </w:pPr>
            <w:r>
              <w:rPr>
                <w:rFonts w:cs="Times New Roman"/>
              </w:rPr>
              <w:t>970.800</w:t>
            </w:r>
          </w:p>
        </w:tc>
        <w:tc>
          <w:tcPr>
            <w:tcW w:w="1224" w:type="dxa"/>
          </w:tcPr>
          <w:p w:rsidR="005C2091" w:rsidRDefault="00A86293">
            <w:pPr>
              <w:pStyle w:val="CellColumn"/>
              <w:jc w:val="right"/>
            </w:pPr>
            <w:r>
              <w:rPr>
                <w:rFonts w:cs="Times New Roman"/>
              </w:rPr>
              <w:t>89,8</w:t>
            </w:r>
          </w:p>
        </w:tc>
        <w:tc>
          <w:tcPr>
            <w:tcW w:w="1224" w:type="dxa"/>
          </w:tcPr>
          <w:p w:rsidR="005C2091" w:rsidRDefault="00A86293">
            <w:pPr>
              <w:pStyle w:val="CellColumn"/>
              <w:jc w:val="right"/>
            </w:pPr>
            <w:r>
              <w:rPr>
                <w:rFonts w:cs="Times New Roman"/>
              </w:rPr>
              <w:t>103,8</w:t>
            </w:r>
          </w:p>
        </w:tc>
      </w:tr>
    </w:tbl>
    <w:p w:rsidR="005C2091" w:rsidRDefault="005C2091">
      <w:pPr>
        <w:jc w:val="left"/>
      </w:pPr>
    </w:p>
    <w:p w:rsidR="005C2091" w:rsidRDefault="00A86293">
      <w:pPr>
        <w:pStyle w:val="Heading8"/>
        <w:jc w:val="left"/>
      </w:pPr>
      <w:r>
        <w:t>Opis aktivnosti</w:t>
      </w:r>
    </w:p>
    <w:p w:rsidR="005C2091" w:rsidRDefault="00A86293">
      <w:r>
        <w:t xml:space="preserve">Izvješće o radu Ureda za protokol u 2016. godini uključuje pregled organiziranih i realiziranih programa za predsjednika i potpredsjednike Vlade RH kako slijedi: </w:t>
      </w:r>
    </w:p>
    <w:p w:rsidR="005C2091" w:rsidRDefault="00A86293">
      <w:r>
        <w:t xml:space="preserve">- 67 programa u zgradi Vlade RH </w:t>
      </w:r>
    </w:p>
    <w:p w:rsidR="005C2091" w:rsidRDefault="00A86293">
      <w:r>
        <w:t xml:space="preserve">- 122 programa izvan zgrade Vlade RH (u Republici Hrvatskoj) </w:t>
      </w:r>
    </w:p>
    <w:p w:rsidR="005C2091" w:rsidRDefault="00A86293">
      <w:r>
        <w:t xml:space="preserve">- 87 programa posjeta stranih dužnosnika predsjedniku i potpredsjednicima Vlade RH </w:t>
      </w:r>
    </w:p>
    <w:p w:rsidR="005C2091" w:rsidRDefault="00A86293">
      <w:r>
        <w:t xml:space="preserve">- 24 programa putovanja predsjednika i potpredsjednika Vlade RH izvan Republike Hrvatske </w:t>
      </w:r>
    </w:p>
    <w:p w:rsidR="005C2091" w:rsidRDefault="00A86293">
      <w:r>
        <w:t>- 38 programa za ministre, zamjenike ministara i izaslanike predsjednika Vlade RH</w:t>
      </w:r>
    </w:p>
    <w:p w:rsidR="003314EE" w:rsidRDefault="003314EE"/>
    <w:p w:rsidR="005C2091" w:rsidRDefault="00A86293">
      <w:pPr>
        <w:pStyle w:val="Heading2"/>
      </w:pPr>
      <w:r>
        <w:t>02044 Ured Vlade Republike Hrvatske za unutarnju reviziju</w:t>
      </w:r>
    </w:p>
    <w:p w:rsidR="005C2091" w:rsidRDefault="00A86293">
      <w:r>
        <w:t xml:space="preserve">Ured Vlade Republike Hrvatske za unutarnju reviziju, kao zajednička jedinica za unutarnju reviziju ureda i drugih stručnih službi Vlade, tijekom 2016. godine obavljao je: </w:t>
      </w:r>
    </w:p>
    <w:p w:rsidR="005C2091" w:rsidRDefault="00A86293">
      <w:r>
        <w:t xml:space="preserve">- unutarnje revizije sustava poslovanja i unutarnje revizije provedbe programa i projekata financiranih iz sredstava Europske unije, </w:t>
      </w:r>
    </w:p>
    <w:p w:rsidR="005C2091" w:rsidRDefault="00A86293">
      <w:r>
        <w:t xml:space="preserve">- davanje stručnih mišljenja u svrhu poboljšanja poslovanja ureda i službi Vlade, </w:t>
      </w:r>
    </w:p>
    <w:p w:rsidR="005C2091" w:rsidRDefault="00A86293">
      <w:r>
        <w:t xml:space="preserve">- izradu izvješća o obavljenim unutarnjim revizijama, </w:t>
      </w:r>
    </w:p>
    <w:p w:rsidR="005C2091" w:rsidRDefault="00A86293">
      <w:r>
        <w:t xml:space="preserve">- praćenje provedbe preporuka prema planu djelovanja iz prethodno obavljenih revizija, </w:t>
      </w:r>
    </w:p>
    <w:p w:rsidR="005C2091" w:rsidRDefault="00A86293">
      <w:r>
        <w:t xml:space="preserve">- izradu strateškog i godišnjeg plana unutarnje revizije ureda i službi Vlade, </w:t>
      </w:r>
    </w:p>
    <w:p w:rsidR="005C2091" w:rsidRDefault="00A86293">
      <w:r>
        <w:t xml:space="preserve">- izradu godišnjeg izvješća o radu Ureda za 2016. godinu, </w:t>
      </w:r>
    </w:p>
    <w:p w:rsidR="005C2091" w:rsidRDefault="00A86293">
      <w:r>
        <w:t xml:space="preserve">- izradu mišljenja unutarnje revizije o sustavu unutarnjih kontrola za područja koja su bila revidirana u 2015. godini, kao prilog izjave o fiskalnoj odgovornosti, </w:t>
      </w:r>
    </w:p>
    <w:p w:rsidR="005C2091" w:rsidRDefault="00A86293">
      <w:r>
        <w:t xml:space="preserve">- aktivnosti vezane uz provedbu javnog natječaja te administrativne i ostale stručne poslove neophodne za funkcioniranje Ureda. </w:t>
      </w:r>
    </w:p>
    <w:p w:rsidR="005C2091" w:rsidRDefault="00A86293">
      <w:r>
        <w:t>Ured je također tijekom 2016. godine izrađivao strateške i godišnje planove unutarnje revizije te obavljao poslove unutarnje revizije za proračunske korisnike s kojima ima potpisane sporazume o obavljanju poslova unutarnje revizije.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02044-Ured Vlade Republike Hrvatske za unutarnju reviziju</w:t>
            </w:r>
          </w:p>
        </w:tc>
        <w:tc>
          <w:tcPr>
            <w:tcW w:w="2041" w:type="dxa"/>
            <w:vAlign w:val="top"/>
          </w:tcPr>
          <w:p w:rsidR="005C2091" w:rsidRDefault="00A86293">
            <w:pPr>
              <w:pStyle w:val="CellColumn"/>
              <w:jc w:val="right"/>
            </w:pPr>
            <w:r>
              <w:rPr>
                <w:rFonts w:cs="Times New Roman"/>
              </w:rPr>
              <w:t>1.481.755</w:t>
            </w:r>
          </w:p>
        </w:tc>
        <w:tc>
          <w:tcPr>
            <w:tcW w:w="2041" w:type="dxa"/>
            <w:vAlign w:val="top"/>
          </w:tcPr>
          <w:p w:rsidR="005C2091" w:rsidRDefault="00A86293">
            <w:pPr>
              <w:pStyle w:val="CellColumn"/>
              <w:jc w:val="right"/>
            </w:pPr>
            <w:r>
              <w:rPr>
                <w:rFonts w:cs="Times New Roman"/>
              </w:rPr>
              <w:t>1.761.870</w:t>
            </w:r>
          </w:p>
        </w:tc>
        <w:tc>
          <w:tcPr>
            <w:tcW w:w="2041" w:type="dxa"/>
            <w:vAlign w:val="top"/>
          </w:tcPr>
          <w:p w:rsidR="005C2091" w:rsidRDefault="00A86293">
            <w:pPr>
              <w:pStyle w:val="CellColumn"/>
              <w:jc w:val="right"/>
            </w:pPr>
            <w:r>
              <w:rPr>
                <w:rFonts w:cs="Times New Roman"/>
              </w:rPr>
              <w:t>1.698.292</w:t>
            </w:r>
          </w:p>
        </w:tc>
        <w:tc>
          <w:tcPr>
            <w:tcW w:w="1224" w:type="dxa"/>
            <w:vAlign w:val="top"/>
          </w:tcPr>
          <w:p w:rsidR="005C2091" w:rsidRDefault="00A86293">
            <w:pPr>
              <w:pStyle w:val="CellColumn"/>
              <w:jc w:val="right"/>
            </w:pPr>
            <w:r>
              <w:rPr>
                <w:rFonts w:cs="Times New Roman"/>
              </w:rPr>
              <w:t>96,4</w:t>
            </w:r>
          </w:p>
        </w:tc>
        <w:tc>
          <w:tcPr>
            <w:tcW w:w="1224" w:type="dxa"/>
            <w:vAlign w:val="top"/>
          </w:tcPr>
          <w:p w:rsidR="005C2091" w:rsidRDefault="00A86293">
            <w:pPr>
              <w:pStyle w:val="CellColumn"/>
              <w:jc w:val="right"/>
            </w:pPr>
            <w:r>
              <w:rPr>
                <w:rFonts w:cs="Times New Roman"/>
              </w:rPr>
              <w:t>114,6</w:t>
            </w:r>
          </w:p>
        </w:tc>
      </w:tr>
      <w:tr w:rsidR="005C2091">
        <w:trPr>
          <w:jc w:val="center"/>
        </w:trPr>
        <w:tc>
          <w:tcPr>
            <w:tcW w:w="1632" w:type="dxa"/>
          </w:tcPr>
          <w:p w:rsidR="005C2091" w:rsidRDefault="00A86293">
            <w:pPr>
              <w:jc w:val="left"/>
            </w:pPr>
            <w:r>
              <w:lastRenderedPageBreak/>
              <w:t>2107-PRUŽANJE PODRŠKE RADU VLADE REPUBLIKE HRVATSKE</w:t>
            </w:r>
          </w:p>
        </w:tc>
        <w:tc>
          <w:tcPr>
            <w:tcW w:w="2041" w:type="dxa"/>
          </w:tcPr>
          <w:p w:rsidR="005C2091" w:rsidRDefault="00A86293">
            <w:pPr>
              <w:jc w:val="right"/>
            </w:pPr>
            <w:r>
              <w:t>1.481.755</w:t>
            </w:r>
          </w:p>
        </w:tc>
        <w:tc>
          <w:tcPr>
            <w:tcW w:w="2041" w:type="dxa"/>
          </w:tcPr>
          <w:p w:rsidR="005C2091" w:rsidRDefault="00A86293">
            <w:pPr>
              <w:jc w:val="right"/>
            </w:pPr>
            <w:r>
              <w:t>1.761.870</w:t>
            </w:r>
          </w:p>
        </w:tc>
        <w:tc>
          <w:tcPr>
            <w:tcW w:w="2041" w:type="dxa"/>
          </w:tcPr>
          <w:p w:rsidR="005C2091" w:rsidRDefault="00A86293">
            <w:pPr>
              <w:jc w:val="right"/>
            </w:pPr>
            <w:r>
              <w:t>1.698.292</w:t>
            </w:r>
          </w:p>
        </w:tc>
        <w:tc>
          <w:tcPr>
            <w:tcW w:w="1224" w:type="dxa"/>
          </w:tcPr>
          <w:p w:rsidR="005C2091" w:rsidRDefault="00A86293">
            <w:pPr>
              <w:jc w:val="right"/>
            </w:pPr>
            <w:r>
              <w:t>96,4</w:t>
            </w:r>
          </w:p>
        </w:tc>
        <w:tc>
          <w:tcPr>
            <w:tcW w:w="1224" w:type="dxa"/>
          </w:tcPr>
          <w:p w:rsidR="005C2091" w:rsidRDefault="00A86293">
            <w:pPr>
              <w:jc w:val="right"/>
            </w:pPr>
            <w:r>
              <w:t>114,6</w:t>
            </w:r>
          </w:p>
        </w:tc>
      </w:tr>
    </w:tbl>
    <w:p w:rsidR="005C2091" w:rsidRDefault="005C2091">
      <w:pPr>
        <w:jc w:val="left"/>
      </w:pPr>
    </w:p>
    <w:p w:rsidR="005C2091" w:rsidRDefault="00A86293">
      <w:pPr>
        <w:pStyle w:val="Heading3"/>
      </w:pPr>
      <w:r>
        <w:rPr>
          <w:rFonts w:cs="Times New Roman"/>
        </w:rPr>
        <w:t>2107 PRUŽANJE PODRŠKE RADU VLADE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2107-PRUŽANJE PODRŠKE RADU VLADE REPUBLIKE HRVATSKE</w:t>
            </w:r>
          </w:p>
        </w:tc>
        <w:tc>
          <w:tcPr>
            <w:tcW w:w="2041" w:type="dxa"/>
          </w:tcPr>
          <w:p w:rsidR="005C2091" w:rsidRDefault="00A86293">
            <w:pPr>
              <w:pStyle w:val="CellColumn"/>
              <w:jc w:val="right"/>
            </w:pPr>
            <w:r>
              <w:rPr>
                <w:rFonts w:cs="Times New Roman"/>
              </w:rPr>
              <w:t>1.481.755</w:t>
            </w:r>
          </w:p>
        </w:tc>
        <w:tc>
          <w:tcPr>
            <w:tcW w:w="2041" w:type="dxa"/>
          </w:tcPr>
          <w:p w:rsidR="005C2091" w:rsidRDefault="00A86293">
            <w:pPr>
              <w:pStyle w:val="CellColumn"/>
              <w:jc w:val="right"/>
            </w:pPr>
            <w:r>
              <w:rPr>
                <w:rFonts w:cs="Times New Roman"/>
              </w:rPr>
              <w:t>1.761.870</w:t>
            </w:r>
          </w:p>
        </w:tc>
        <w:tc>
          <w:tcPr>
            <w:tcW w:w="2041" w:type="dxa"/>
          </w:tcPr>
          <w:p w:rsidR="005C2091" w:rsidRDefault="00A86293">
            <w:pPr>
              <w:pStyle w:val="CellColumn"/>
              <w:jc w:val="right"/>
            </w:pPr>
            <w:r>
              <w:rPr>
                <w:rFonts w:cs="Times New Roman"/>
              </w:rPr>
              <w:t>1.698.292</w:t>
            </w:r>
          </w:p>
        </w:tc>
        <w:tc>
          <w:tcPr>
            <w:tcW w:w="1224" w:type="dxa"/>
          </w:tcPr>
          <w:p w:rsidR="005C2091" w:rsidRDefault="00A86293">
            <w:pPr>
              <w:pStyle w:val="CellColumn"/>
              <w:jc w:val="right"/>
            </w:pPr>
            <w:r>
              <w:rPr>
                <w:rFonts w:cs="Times New Roman"/>
              </w:rPr>
              <w:t>96,4</w:t>
            </w:r>
          </w:p>
        </w:tc>
        <w:tc>
          <w:tcPr>
            <w:tcW w:w="1224" w:type="dxa"/>
          </w:tcPr>
          <w:p w:rsidR="005C2091" w:rsidRDefault="00A86293">
            <w:pPr>
              <w:pStyle w:val="CellColumn"/>
              <w:jc w:val="right"/>
            </w:pPr>
            <w:r>
              <w:rPr>
                <w:rFonts w:cs="Times New Roman"/>
              </w:rPr>
              <w:t>114,6</w:t>
            </w:r>
          </w:p>
        </w:tc>
      </w:tr>
    </w:tbl>
    <w:p w:rsidR="005C2091" w:rsidRDefault="005C2091">
      <w:pPr>
        <w:jc w:val="left"/>
      </w:pPr>
    </w:p>
    <w:p w:rsidR="005C2091" w:rsidRDefault="00A86293">
      <w:r>
        <w:t xml:space="preserve">Primarna zadaća Ureda za unutarnju reviziju je da, kao zajednička jedinica za unutarnju reviziju ureda i drugih stručnih službi Vlade, obavlja unutarnju reviziju neovisno i objektivno, utvrđuje ostvarenje njihovih cjelovitih zadaća i funkcija na temelju analize i procjene sustava unutarnjih kontrola. </w:t>
      </w:r>
    </w:p>
    <w:p w:rsidR="005C2091" w:rsidRDefault="00A86293">
      <w:r>
        <w:t>Cilj provedbe programa je povećanje efikasnosti i ekonomičnosti poslovanja ureda i stručnih službi Vlade koji je Ured proveo obavljanjem unutarnjih revizija za koje su izrađena konačna izvješća te povećanjem kvalitete obavljanja poslova iz djelokruga rada Ureda.</w:t>
      </w:r>
    </w:p>
    <w:p w:rsidR="005C2091" w:rsidRDefault="00A86293">
      <w:pPr>
        <w:pStyle w:val="Heading8"/>
        <w:jc w:val="left"/>
      </w:pPr>
      <w:r>
        <w:t>Cilj 1. Povećanje efikasnosti i ekonomičnosti poslovanja ureda i stručnih služba Vlade Republike Hrvatske</w:t>
      </w:r>
    </w:p>
    <w:p w:rsidR="005C2091" w:rsidRDefault="00A86293">
      <w:pPr>
        <w:pStyle w:val="Heading8"/>
        <w:jc w:val="left"/>
      </w:pPr>
      <w:r>
        <w:t>Opis provedbe cilja programa</w:t>
      </w:r>
    </w:p>
    <w:p w:rsidR="005C2091" w:rsidRDefault="00A86293">
      <w:r>
        <w:t xml:space="preserve">Obavljanjem poslova unutarnje revizije kod ureda i drugih stručnih službi Vlade analizira se i utvrđuje ostvarivanje njihovih cjelovitih zadaća i funkcija na temelju procjena sustava unutarnjih kontrola, a davanjem preporuka za otklanjanje uočenih slabosti i nedostataka te praćenjem njihove provedbe utječe se na povećanje efikasnosti i ekonomičnosti njihova poslovanja. </w:t>
      </w:r>
    </w:p>
    <w:p w:rsidR="005C2091" w:rsidRDefault="00A86293">
      <w:r>
        <w:t xml:space="preserve">Poslovi unutarnje revizije obavljaju se na temelju godišnjeg plana odobrenog od strane čelnika ureda i stručnih službi Vlade odnosno proračunskih korisnika čiji je proces bio predmet revizije. </w:t>
      </w:r>
    </w:p>
    <w:p w:rsidR="005C2091" w:rsidRDefault="00A86293">
      <w:r>
        <w:t xml:space="preserve">Temeljem Godišnjeg plana unutarnje revizije ureda i službi Vlade Republike Hrvatske za 2016. godinu, njegovih izmjena i dopuna te godišnjih planova proračunskih korisnika s kojima Ured ima potpisane sporazume o obavljanju poslova unutarnje revizije za 2016. godinu, a sukladno raspoloživim ljudskim resursima, planirano je obavljanje sveukupno petnaest (15) revizija. Sve planirane revizije su provedene i za njih su izrađena konačna revizorska izvješća. </w:t>
      </w:r>
    </w:p>
    <w:p w:rsidR="005C2091" w:rsidRDefault="00A86293">
      <w:r>
        <w:t>U okviru obavljenih petnaest (15) revizija u uredima i drugim stručnim službama Vlade te proračunskim korisnicima s kojima Ured ima potpisane sporazume o obavljanju poslova unutarnje revizije, dano je pedeset i tri (53) preporuka za uklanjanje uočenih slabosti i nedostataka od kojih dvije (2) nisu prihvaćene. Od ukupnog broja prihvaćenih preporuka, dvadeset i šest (26) preporuka je provedeno do konca 2016. godine, dok preostalih dvadeset i pet (25) preporuka nije provedeno iz razloga što tijekom izvještajne godine nije istekao rok njihove provedbe ili je od čelnika revidiranog subjekta zatraženo produljenje roka za provedbu preporuka.</w:t>
      </w:r>
    </w:p>
    <w:p w:rsidR="005C2091" w:rsidRDefault="00A86293">
      <w:pPr>
        <w:pStyle w:val="Heading4"/>
      </w:pPr>
      <w:r>
        <w:t>A687000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A687000-ADMINISTRACIJA I UPRAVLJANJE</w:t>
            </w:r>
          </w:p>
        </w:tc>
        <w:tc>
          <w:tcPr>
            <w:tcW w:w="2041" w:type="dxa"/>
          </w:tcPr>
          <w:p w:rsidR="005C2091" w:rsidRDefault="00A86293">
            <w:pPr>
              <w:pStyle w:val="CellColumn"/>
              <w:jc w:val="right"/>
            </w:pPr>
            <w:r>
              <w:rPr>
                <w:rFonts w:cs="Times New Roman"/>
              </w:rPr>
              <w:t>1.456.159</w:t>
            </w:r>
          </w:p>
        </w:tc>
        <w:tc>
          <w:tcPr>
            <w:tcW w:w="2041" w:type="dxa"/>
          </w:tcPr>
          <w:p w:rsidR="005C2091" w:rsidRDefault="00A86293">
            <w:pPr>
              <w:pStyle w:val="CellColumn"/>
              <w:jc w:val="right"/>
            </w:pPr>
            <w:r>
              <w:rPr>
                <w:rFonts w:cs="Times New Roman"/>
              </w:rPr>
              <w:t>1.731.195</w:t>
            </w:r>
          </w:p>
        </w:tc>
        <w:tc>
          <w:tcPr>
            <w:tcW w:w="2041" w:type="dxa"/>
          </w:tcPr>
          <w:p w:rsidR="005C2091" w:rsidRDefault="00A86293">
            <w:pPr>
              <w:pStyle w:val="CellColumn"/>
              <w:jc w:val="right"/>
            </w:pPr>
            <w:r>
              <w:rPr>
                <w:rFonts w:cs="Times New Roman"/>
              </w:rPr>
              <w:t>1.671.872</w:t>
            </w:r>
          </w:p>
        </w:tc>
        <w:tc>
          <w:tcPr>
            <w:tcW w:w="1224" w:type="dxa"/>
          </w:tcPr>
          <w:p w:rsidR="005C2091" w:rsidRDefault="00A86293">
            <w:pPr>
              <w:pStyle w:val="CellColumn"/>
              <w:jc w:val="right"/>
            </w:pPr>
            <w:r>
              <w:rPr>
                <w:rFonts w:cs="Times New Roman"/>
              </w:rPr>
              <w:t>96,6</w:t>
            </w:r>
          </w:p>
        </w:tc>
        <w:tc>
          <w:tcPr>
            <w:tcW w:w="1224" w:type="dxa"/>
          </w:tcPr>
          <w:p w:rsidR="005C2091" w:rsidRDefault="00A86293">
            <w:pPr>
              <w:pStyle w:val="CellColumn"/>
              <w:jc w:val="right"/>
            </w:pPr>
            <w:r>
              <w:rPr>
                <w:rFonts w:cs="Times New Roman"/>
              </w:rPr>
              <w:t>114,8</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sustavu unutarnjih financijskih kontrola u javnom sektoru </w:t>
      </w:r>
    </w:p>
    <w:p w:rsidR="005C2091" w:rsidRDefault="00A86293">
      <w:r>
        <w:t xml:space="preserve">- Uredba o Uredu Vlade Republike Hrvatske za unutarnju reviziju </w:t>
      </w:r>
    </w:p>
    <w:p w:rsidR="005C2091" w:rsidRDefault="00A86293">
      <w:r>
        <w:t xml:space="preserve">- Pravilnik o unutarnjoj reviziji korisnika proračuna  </w:t>
      </w:r>
    </w:p>
    <w:p w:rsidR="005C2091" w:rsidRDefault="00A86293">
      <w:r>
        <w:t xml:space="preserve">- Pravilnik o sustavu unutarnjih kontrola u javnom sektoru </w:t>
      </w:r>
    </w:p>
    <w:p w:rsidR="005C2091" w:rsidRDefault="00A86293">
      <w:r>
        <w:t xml:space="preserve">- Zakon o fiskalnoj odgovornosti  </w:t>
      </w:r>
    </w:p>
    <w:p w:rsidR="005C2091" w:rsidRDefault="00A86293">
      <w:r>
        <w:t>- Uredba o sastavljanju i predaji Izjave o fiskalnoj odgovornosti i izvještaja o primjeni fiskalnih pravila</w:t>
      </w:r>
    </w:p>
    <w:p w:rsidR="005C2091" w:rsidRDefault="00A86293">
      <w:pPr>
        <w:pStyle w:val="Heading8"/>
        <w:jc w:val="left"/>
      </w:pPr>
      <w:r>
        <w:t>Opis aktivnosti</w:t>
      </w:r>
    </w:p>
    <w:p w:rsidR="005C2091" w:rsidRDefault="00A86293">
      <w:r>
        <w:t>Aktivnost Administracija i upravljanje odnosi se na jedinu djelatnost koju Ured može obavljati, a to su poslovi unutarnje revizije ureda i stručnih službi Vlade te proračunskih korisnika s kojima Ured ima potpisane sporazume o obavljanju poslova unutarnje revizije.</w:t>
      </w:r>
    </w:p>
    <w:p w:rsidR="005C2091" w:rsidRDefault="00A86293">
      <w:pPr>
        <w:pStyle w:val="Heading2"/>
      </w:pPr>
      <w:r>
        <w:t>02046 Direkcija za korištenje službenih zrakoplova</w:t>
      </w:r>
    </w:p>
    <w:p w:rsidR="005C2091" w:rsidRDefault="00A86293">
      <w:r>
        <w:t>Direkcija za korištenje službenih zrakoplova Vlade RH (u daljnjem tekstu Direkcija) je stručna služba Vlade Republike Hrvatske za obavljanje zračnog prijevoza za vlastite potrebe tijela državne vlasti Republike Hrvatske, te za obavljanje zračnog prijevoza za potrebe pravnih osoba kojih je osnivač ili vlasnik Vlada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02046-Direkcija za korištenje službenih zrakoplova</w:t>
            </w:r>
          </w:p>
        </w:tc>
        <w:tc>
          <w:tcPr>
            <w:tcW w:w="2041" w:type="dxa"/>
            <w:vAlign w:val="top"/>
          </w:tcPr>
          <w:p w:rsidR="005C2091" w:rsidRDefault="00A86293">
            <w:pPr>
              <w:pStyle w:val="CellColumn"/>
              <w:jc w:val="right"/>
            </w:pPr>
            <w:r>
              <w:rPr>
                <w:rFonts w:cs="Times New Roman"/>
              </w:rPr>
              <w:t>11.560.070</w:t>
            </w:r>
          </w:p>
        </w:tc>
        <w:tc>
          <w:tcPr>
            <w:tcW w:w="2041" w:type="dxa"/>
            <w:vAlign w:val="top"/>
          </w:tcPr>
          <w:p w:rsidR="005C2091" w:rsidRDefault="00A86293">
            <w:pPr>
              <w:pStyle w:val="CellColumn"/>
              <w:jc w:val="right"/>
            </w:pPr>
            <w:r>
              <w:rPr>
                <w:rFonts w:cs="Times New Roman"/>
              </w:rPr>
              <w:t>10.724.550</w:t>
            </w:r>
          </w:p>
        </w:tc>
        <w:tc>
          <w:tcPr>
            <w:tcW w:w="2041" w:type="dxa"/>
            <w:vAlign w:val="top"/>
          </w:tcPr>
          <w:p w:rsidR="005C2091" w:rsidRDefault="00A86293">
            <w:pPr>
              <w:pStyle w:val="CellColumn"/>
              <w:jc w:val="right"/>
            </w:pPr>
            <w:r>
              <w:rPr>
                <w:rFonts w:cs="Times New Roman"/>
              </w:rPr>
              <w:t>10.479.646</w:t>
            </w:r>
          </w:p>
        </w:tc>
        <w:tc>
          <w:tcPr>
            <w:tcW w:w="1224" w:type="dxa"/>
            <w:vAlign w:val="top"/>
          </w:tcPr>
          <w:p w:rsidR="005C2091" w:rsidRDefault="00A86293">
            <w:pPr>
              <w:pStyle w:val="CellColumn"/>
              <w:jc w:val="right"/>
            </w:pPr>
            <w:r>
              <w:rPr>
                <w:rFonts w:cs="Times New Roman"/>
              </w:rPr>
              <w:t>97,7</w:t>
            </w:r>
          </w:p>
        </w:tc>
        <w:tc>
          <w:tcPr>
            <w:tcW w:w="1224" w:type="dxa"/>
            <w:vAlign w:val="top"/>
          </w:tcPr>
          <w:p w:rsidR="005C2091" w:rsidRDefault="00A86293">
            <w:pPr>
              <w:pStyle w:val="CellColumn"/>
              <w:jc w:val="right"/>
            </w:pPr>
            <w:r>
              <w:rPr>
                <w:rFonts w:cs="Times New Roman"/>
              </w:rPr>
              <w:t>90,7</w:t>
            </w:r>
          </w:p>
        </w:tc>
      </w:tr>
      <w:tr w:rsidR="005C2091">
        <w:trPr>
          <w:jc w:val="center"/>
        </w:trPr>
        <w:tc>
          <w:tcPr>
            <w:tcW w:w="1632" w:type="dxa"/>
          </w:tcPr>
          <w:p w:rsidR="005C2091" w:rsidRDefault="00A86293">
            <w:pPr>
              <w:jc w:val="left"/>
            </w:pPr>
            <w:r>
              <w:t>2406-ZRAČNI PRIJEVOZ ZA TIJELA DRŽAVNE VLASTI</w:t>
            </w:r>
          </w:p>
        </w:tc>
        <w:tc>
          <w:tcPr>
            <w:tcW w:w="2041" w:type="dxa"/>
          </w:tcPr>
          <w:p w:rsidR="005C2091" w:rsidRDefault="00A86293">
            <w:pPr>
              <w:jc w:val="right"/>
            </w:pPr>
            <w:r>
              <w:t>11.560.070</w:t>
            </w:r>
          </w:p>
        </w:tc>
        <w:tc>
          <w:tcPr>
            <w:tcW w:w="2041" w:type="dxa"/>
          </w:tcPr>
          <w:p w:rsidR="005C2091" w:rsidRDefault="00A86293">
            <w:pPr>
              <w:jc w:val="right"/>
            </w:pPr>
            <w:r>
              <w:t>10.724.550</w:t>
            </w:r>
          </w:p>
        </w:tc>
        <w:tc>
          <w:tcPr>
            <w:tcW w:w="2041" w:type="dxa"/>
          </w:tcPr>
          <w:p w:rsidR="005C2091" w:rsidRDefault="00A86293">
            <w:pPr>
              <w:jc w:val="right"/>
            </w:pPr>
            <w:r>
              <w:t>10.479.646</w:t>
            </w:r>
          </w:p>
        </w:tc>
        <w:tc>
          <w:tcPr>
            <w:tcW w:w="1224" w:type="dxa"/>
          </w:tcPr>
          <w:p w:rsidR="005C2091" w:rsidRDefault="00A86293">
            <w:pPr>
              <w:jc w:val="right"/>
            </w:pPr>
            <w:r>
              <w:t>97,7</w:t>
            </w:r>
          </w:p>
        </w:tc>
        <w:tc>
          <w:tcPr>
            <w:tcW w:w="1224" w:type="dxa"/>
          </w:tcPr>
          <w:p w:rsidR="005C2091" w:rsidRDefault="00A86293">
            <w:pPr>
              <w:jc w:val="right"/>
            </w:pPr>
            <w:r>
              <w:t>90,7</w:t>
            </w:r>
          </w:p>
        </w:tc>
      </w:tr>
    </w:tbl>
    <w:p w:rsidR="005C2091" w:rsidRDefault="005C2091">
      <w:pPr>
        <w:jc w:val="left"/>
      </w:pPr>
    </w:p>
    <w:p w:rsidR="005C2091" w:rsidRDefault="00A86293">
      <w:pPr>
        <w:pStyle w:val="Heading3"/>
      </w:pPr>
      <w:r>
        <w:rPr>
          <w:rFonts w:cs="Times New Roman"/>
        </w:rPr>
        <w:t>2406 ZRAČNI PRIJEVOZ ZA TIJELA DRŽAVNE VLASTI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2406-ZRAČNI PRIJEVOZ ZA TIJELA DRŽAVNE VLASTI</w:t>
            </w:r>
          </w:p>
        </w:tc>
        <w:tc>
          <w:tcPr>
            <w:tcW w:w="2041" w:type="dxa"/>
          </w:tcPr>
          <w:p w:rsidR="005C2091" w:rsidRDefault="00A86293">
            <w:pPr>
              <w:pStyle w:val="CellColumn"/>
              <w:jc w:val="right"/>
            </w:pPr>
            <w:r>
              <w:rPr>
                <w:rFonts w:cs="Times New Roman"/>
              </w:rPr>
              <w:t>11.560.070</w:t>
            </w:r>
          </w:p>
        </w:tc>
        <w:tc>
          <w:tcPr>
            <w:tcW w:w="2041" w:type="dxa"/>
          </w:tcPr>
          <w:p w:rsidR="005C2091" w:rsidRDefault="00A86293">
            <w:pPr>
              <w:pStyle w:val="CellColumn"/>
              <w:jc w:val="right"/>
            </w:pPr>
            <w:r>
              <w:rPr>
                <w:rFonts w:cs="Times New Roman"/>
              </w:rPr>
              <w:t>10.724.550</w:t>
            </w:r>
          </w:p>
        </w:tc>
        <w:tc>
          <w:tcPr>
            <w:tcW w:w="2041" w:type="dxa"/>
          </w:tcPr>
          <w:p w:rsidR="005C2091" w:rsidRDefault="00A86293">
            <w:pPr>
              <w:pStyle w:val="CellColumn"/>
              <w:jc w:val="right"/>
            </w:pPr>
            <w:r>
              <w:rPr>
                <w:rFonts w:cs="Times New Roman"/>
              </w:rPr>
              <w:t>10.479.646</w:t>
            </w:r>
          </w:p>
        </w:tc>
        <w:tc>
          <w:tcPr>
            <w:tcW w:w="1224" w:type="dxa"/>
          </w:tcPr>
          <w:p w:rsidR="005C2091" w:rsidRDefault="00A86293">
            <w:pPr>
              <w:pStyle w:val="CellColumn"/>
              <w:jc w:val="right"/>
            </w:pPr>
            <w:r>
              <w:rPr>
                <w:rFonts w:cs="Times New Roman"/>
              </w:rPr>
              <w:t>97,7</w:t>
            </w:r>
          </w:p>
        </w:tc>
        <w:tc>
          <w:tcPr>
            <w:tcW w:w="1224" w:type="dxa"/>
          </w:tcPr>
          <w:p w:rsidR="005C2091" w:rsidRDefault="00A86293">
            <w:pPr>
              <w:pStyle w:val="CellColumn"/>
              <w:jc w:val="right"/>
            </w:pPr>
            <w:r>
              <w:rPr>
                <w:rFonts w:cs="Times New Roman"/>
              </w:rPr>
              <w:t>90,7</w:t>
            </w:r>
          </w:p>
        </w:tc>
      </w:tr>
    </w:tbl>
    <w:p w:rsidR="005C2091" w:rsidRDefault="005C2091">
      <w:pPr>
        <w:jc w:val="left"/>
      </w:pPr>
    </w:p>
    <w:p w:rsidR="005C2091" w:rsidRDefault="00A86293">
      <w:r>
        <w:lastRenderedPageBreak/>
        <w:t xml:space="preserve">Direkcija u okviru osnovnog programa ima obvezu redovnog i kvalitetnog održavanja zrakoplova sukladno postavljenim nacionalnim i europskim standardima i propisima. Navedeni propisi i standardi obvezuju nas kao operatera zrakoplova na puno poštivanje istih, odnosno vrlo su bitan segment sigurnosti kod zračnog prijevoza najviših državnih dužnosnika. </w:t>
      </w:r>
    </w:p>
    <w:p w:rsidR="005C2091" w:rsidRDefault="00A86293">
      <w:r>
        <w:t xml:space="preserve"> Sustav održavanja zrakoplova propisan je na način da zahtijeva povećani obujam pregleda, servisa i popravaka u inozemnim ovlaštenim organizacijama za održavanje zrakoplova, odnosno isključivo ugradnju originalnih dijelova po procedurama danim od strane proizvođača zrakoplova. U slučaju bilo kakvog odstupanja od zadanih elemenata gubi se svako pravo na osiguranje zrakoplova. </w:t>
      </w:r>
    </w:p>
    <w:p w:rsidR="005C2091" w:rsidRDefault="00A86293">
      <w:r>
        <w:t xml:space="preserve">  Za sigurno i kvalitetno odvijanje letova vrlo je važno stručno osposobljeno osoblje koji se permanentno usavršava u skladu s normama i propisima danima od Europske agencije za sigurnost zračnog prometa, a u slučaju nepoštivanja istih moguće su sankcije koje uključuju ukidanje svjedodžbe o plovidbenosti i prizemljenje zrakoplova od strane Hrvatske agencije za civilno zrakoplovstvo.</w:t>
      </w:r>
    </w:p>
    <w:p w:rsidR="005C2091" w:rsidRDefault="00A86293">
      <w:pPr>
        <w:pStyle w:val="Heading8"/>
        <w:jc w:val="left"/>
      </w:pPr>
      <w:r>
        <w:t xml:space="preserve">Cilj 1. Sigurnost i kvaliteta letačkih operacija </w:t>
      </w:r>
    </w:p>
    <w:p w:rsidR="005C2091" w:rsidRDefault="00A86293">
      <w:pPr>
        <w:pStyle w:val="Heading8"/>
        <w:jc w:val="left"/>
      </w:pPr>
      <w:r>
        <w:t>Opis provedbe cilja programa</w:t>
      </w:r>
    </w:p>
    <w:p w:rsidR="005C2091" w:rsidRDefault="00A86293">
      <w:r>
        <w:t>Prvenstveni cilj Direkcije je sigurnost i kvaliteta letačkih operacija, a da bi se isti realizirao, pored tehnički ispravnog i redovno održavanog zrakoplova važno je i konstantno usavršavanje stručnog osoblja odnosno posade zrakoplova.</w:t>
      </w:r>
    </w:p>
    <w:p w:rsidR="005C2091" w:rsidRDefault="00A86293">
      <w:pPr>
        <w:pStyle w:val="Heading4"/>
      </w:pPr>
      <w:r>
        <w:t>A691000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A691000-ADMINISTRACIJA I UPRAVLJANJE</w:t>
            </w:r>
          </w:p>
        </w:tc>
        <w:tc>
          <w:tcPr>
            <w:tcW w:w="2041" w:type="dxa"/>
          </w:tcPr>
          <w:p w:rsidR="005C2091" w:rsidRDefault="00A86293">
            <w:pPr>
              <w:pStyle w:val="CellColumn"/>
              <w:jc w:val="right"/>
            </w:pPr>
            <w:r>
              <w:rPr>
                <w:rFonts w:cs="Times New Roman"/>
              </w:rPr>
              <w:t>11.534.634</w:t>
            </w:r>
          </w:p>
        </w:tc>
        <w:tc>
          <w:tcPr>
            <w:tcW w:w="2041" w:type="dxa"/>
          </w:tcPr>
          <w:p w:rsidR="005C2091" w:rsidRDefault="00A86293">
            <w:pPr>
              <w:pStyle w:val="CellColumn"/>
              <w:jc w:val="right"/>
            </w:pPr>
            <w:r>
              <w:rPr>
                <w:rFonts w:cs="Times New Roman"/>
              </w:rPr>
              <w:t>10.704.550</w:t>
            </w:r>
          </w:p>
        </w:tc>
        <w:tc>
          <w:tcPr>
            <w:tcW w:w="2041" w:type="dxa"/>
          </w:tcPr>
          <w:p w:rsidR="005C2091" w:rsidRDefault="00A86293">
            <w:pPr>
              <w:pStyle w:val="CellColumn"/>
              <w:jc w:val="right"/>
            </w:pPr>
            <w:r>
              <w:rPr>
                <w:rFonts w:cs="Times New Roman"/>
              </w:rPr>
              <w:t>10.473.722</w:t>
            </w:r>
          </w:p>
        </w:tc>
        <w:tc>
          <w:tcPr>
            <w:tcW w:w="1224" w:type="dxa"/>
          </w:tcPr>
          <w:p w:rsidR="005C2091" w:rsidRDefault="00A86293">
            <w:pPr>
              <w:pStyle w:val="CellColumn"/>
              <w:jc w:val="right"/>
            </w:pPr>
            <w:r>
              <w:rPr>
                <w:rFonts w:cs="Times New Roman"/>
              </w:rPr>
              <w:t>97,8</w:t>
            </w:r>
          </w:p>
        </w:tc>
        <w:tc>
          <w:tcPr>
            <w:tcW w:w="1224" w:type="dxa"/>
          </w:tcPr>
          <w:p w:rsidR="005C2091" w:rsidRDefault="00A86293">
            <w:pPr>
              <w:pStyle w:val="CellColumn"/>
              <w:jc w:val="right"/>
            </w:pPr>
            <w:r>
              <w:rPr>
                <w:rFonts w:cs="Times New Roman"/>
              </w:rPr>
              <w:t>90,8</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Vladi RH </w:t>
      </w:r>
    </w:p>
    <w:p w:rsidR="005C2091" w:rsidRDefault="00A86293">
      <w:r>
        <w:t xml:space="preserve">- Zakon o sustavu državne uprave </w:t>
      </w:r>
    </w:p>
    <w:p w:rsidR="005C2091" w:rsidRDefault="00A86293">
      <w:r>
        <w:t xml:space="preserve">- Uredba o načelima za unutarnje ustrojstvo tijela državne uprave </w:t>
      </w:r>
    </w:p>
    <w:p w:rsidR="005C2091" w:rsidRDefault="00A86293">
      <w:r>
        <w:t xml:space="preserve">- Uredba o Direkciji za korištenje službenih zrakoplova </w:t>
      </w:r>
    </w:p>
    <w:p w:rsidR="005C2091" w:rsidRDefault="00A86293">
      <w:r>
        <w:t xml:space="preserve">- Zakon o zračnom prometu </w:t>
      </w:r>
    </w:p>
    <w:p w:rsidR="005C2091" w:rsidRDefault="00A86293">
      <w:r>
        <w:t xml:space="preserve">- Zakon o obveznim i stvarno-pravnim odnosima u zračnom prometu </w:t>
      </w:r>
    </w:p>
    <w:p w:rsidR="005C2091" w:rsidRDefault="00A86293">
      <w:r>
        <w:t xml:space="preserve">- Zakon o obveznim osiguranjima u prometu </w:t>
      </w:r>
    </w:p>
    <w:p w:rsidR="005C2091" w:rsidRDefault="00A86293">
      <w:r>
        <w:t xml:space="preserve">- Pravilnik o zahtjevima za izvođenje operacija zrakoplovima i o organizacijskim zahtjevima kojima moraju udovoljavati operatori zrakoplova </w:t>
      </w:r>
    </w:p>
    <w:p w:rsidR="005C2091" w:rsidRDefault="00A86293">
      <w:r>
        <w:t xml:space="preserve">- Pravilnik o letenju zrakoplova </w:t>
      </w:r>
    </w:p>
    <w:p w:rsidR="005C2091" w:rsidRDefault="00A86293">
      <w:r>
        <w:t xml:space="preserve">- Pravilnik o kontinuiranoj plovidbenosti zrakoplova i aeronautičkih proizvoda, dijelova uređaja, te o ovlaštenju organizacija i osoblja uključenih u te poslove </w:t>
      </w:r>
    </w:p>
    <w:p w:rsidR="005C2091" w:rsidRDefault="00A86293">
      <w:r>
        <w:t xml:space="preserve">- Pravilnik o zajedničkim pravilima u području civilnog zrakoplovstva i nadležnostima Europske agencije za sigurnost zračnog prometa </w:t>
      </w:r>
    </w:p>
    <w:p w:rsidR="005C2091" w:rsidRDefault="00A86293">
      <w:r>
        <w:t xml:space="preserve">- Pravilnik o uvjetima i načinu stjecanja, izdavanja, obnavljanja i produžavanja dozvole i ovlaštenja zrakoplovnom osoblju – pilotima aviona </w:t>
      </w:r>
    </w:p>
    <w:p w:rsidR="005C2091" w:rsidRDefault="00A86293">
      <w:r>
        <w:t xml:space="preserve">- Pravilnik o radnom vremenu članova posade zrakoplova </w:t>
      </w:r>
    </w:p>
    <w:p w:rsidR="005C2091" w:rsidRDefault="00A86293">
      <w:r>
        <w:lastRenderedPageBreak/>
        <w:t xml:space="preserve">- Pravilnik o uvjetima i načinu stjecanja, izdavanja, obnavljanja i produžavanja dozvole i ovlaštenja zrakoplovnom osoblju za pripremu, otpremu i praćenje leta </w:t>
      </w:r>
    </w:p>
    <w:p w:rsidR="005C2091" w:rsidRDefault="00A86293">
      <w:r>
        <w:t>- Ostalim propisima i zakonskim aktima iz područja civilnog zračnog prometa važećima u Republici Hrvatskoj koji se tiču rada Direkcije</w:t>
      </w:r>
    </w:p>
    <w:p w:rsidR="005C2091" w:rsidRDefault="00A86293">
      <w:pPr>
        <w:pStyle w:val="Heading8"/>
        <w:jc w:val="left"/>
      </w:pPr>
      <w:r>
        <w:t>Opis aktivnosti</w:t>
      </w:r>
    </w:p>
    <w:p w:rsidR="005C2091" w:rsidRDefault="00A86293">
      <w:r>
        <w:t>Direkcija je u 2016. godini ostvarila 102 leta: za potrebe Predsjednice RH 28, predsjednika Vlade RH 43, Ministarstva vanjskih i europskih poslova 7, Ministarstva pravosuđa 2, Medicinskih letova - pacijenti 2, Medicinskih letova - organi 16, Servis/ tehničkih letova 4.</w:t>
      </w:r>
    </w:p>
    <w:p w:rsidR="003314EE" w:rsidRDefault="003314EE"/>
    <w:p w:rsidR="005C2091" w:rsidRDefault="00A86293">
      <w:pPr>
        <w:pStyle w:val="Heading2"/>
      </w:pPr>
      <w:r>
        <w:t>02087 Ured za ljudska prava i prava nacionalnih manjina</w:t>
      </w:r>
    </w:p>
    <w:p w:rsidR="005C2091" w:rsidRDefault="00A86293">
      <w:r>
        <w:t xml:space="preserve">Ured za ljudska prava i prava nacionalnih manjina osnovan je Zakonom o Vladi Republike Hrvatske (NN 150/11). Uredbom o Uredu za ljudska prava i prava nacionalnih manjina (NN 42/2012) Ured je stručna služba Vlade Republike Hrvatske za obavljanje stručnih poslova u vezi s ostvarivanjem utvrđenih politika zaštite i promicanja ljudskih prava i prava nacionalnih manjina u Republici Hrvatskoj. </w:t>
      </w:r>
    </w:p>
    <w:p w:rsidR="005C2091" w:rsidRDefault="00A86293">
      <w:r>
        <w:t xml:space="preserve">Unutar Ureda za ljudska prava i prava nacionalnih manjina ustrojene su sljedeće unutarnje ustrojstvene jedinice: Jedinica za suzbijanje trgovanja ljudima i poslove međunarodne suradnje; Jedinica za praćenje provedbe Nacionalnog programa zaštite i promicanja ljudskih prava i preporuka pučkog pravobranitelja, te suradnju s organizacijama civilnoga društva; Jedinica za provedbu nacionalnih programa i projekata za nacionalne manjine i Jedinica za izradu i provedbu politika i strategija za nacionalne manjine.  </w:t>
      </w:r>
    </w:p>
    <w:p w:rsidR="005C2091" w:rsidRDefault="00A86293">
      <w:r>
        <w:t xml:space="preserve">Ured:  </w:t>
      </w:r>
    </w:p>
    <w:p w:rsidR="005C2091" w:rsidRDefault="00A86293">
      <w:r>
        <w:t xml:space="preserve">• razmatra stanje pojedinih ljudskih prava i prava nacionalnih manjina u Republici Hrvatskoj i sukladnost domaćeg zakonodavstva s odredbama Ustava Republike Hrvatske i Ustavnog zakona o pravima nacionalnih manjina, kao i s međunarodnim instrumentima iz područja ljudskih prava i područja suzbijanja trgovanja ljudima, te predlaže mjere za ostvarivanje tih prava; </w:t>
      </w:r>
    </w:p>
    <w:p w:rsidR="005C2091" w:rsidRDefault="00A86293">
      <w:r>
        <w:t xml:space="preserve">• surađuje s nadležnim ministarstvima i drugim tijelima državne uprave te drugim institucijama, surađuje s tijelima lokalne i područne (regionalne) samouprave, pučkim pravobraniteljem i Savjetom za nacionalne manjine; </w:t>
      </w:r>
    </w:p>
    <w:p w:rsidR="005C2091" w:rsidRDefault="00A86293">
      <w:r>
        <w:t xml:space="preserve">• prati provođenje Ustavnog zakona o pravima nacionalnih manjina te koordinira izradu izvješća o provedbi navedenih akata; </w:t>
      </w:r>
    </w:p>
    <w:p w:rsidR="005C2091" w:rsidRDefault="00A86293">
      <w:r>
        <w:t xml:space="preserve">• izrađuje, prati provedbu i koordinira izradu izvješća o provedbi Nacionalnog programa zaštite i promicanja ljudskih prava, Nacionalnog plana za borbu protiv diskriminacije, Nacionalnog plana suzbijanja trgovanja ljudima, Nacionalne strategije za uključivanje Roma za razdoblje 2013.-2020., Akcijskog plana za integraciju te Akcijskog plana za provedbu Nacionalne strategije za uključivanje Roma 2013.-2020, za razdoblje 2017.-2019; </w:t>
      </w:r>
    </w:p>
    <w:p w:rsidR="005C2091" w:rsidRDefault="00A86293">
      <w:r>
        <w:t xml:space="preserve">• prati provedbu Okvirne konvencije Vijeća Europe za zaštitu nacionalnih manjina te koordinira izradu izvješća o njenoj provedbi; </w:t>
      </w:r>
    </w:p>
    <w:p w:rsidR="005C2091" w:rsidRDefault="00A86293">
      <w:r>
        <w:t xml:space="preserve">• prati ostvarivanje prava vijeća i predstavnika nacionalnih manjina te prati suradnju udruga i ustanova nacionalnih manjina s institucijama u njihovim matičnim državama; </w:t>
      </w:r>
    </w:p>
    <w:p w:rsidR="005C2091" w:rsidRDefault="00A86293">
      <w:r>
        <w:t xml:space="preserve">• prati provedbu preporuka iz godišnjih izvješća pučkog pravobranitelja, i to: izvješća o radu, izvješća o pojavama diskriminacije i izvješća o obavljanju poslova Nacionalnog preventivnog mehanizma za sprječavanje mučenja i drugih okrutnih, neljudskih ili ponižavajućih postupaka ili kažnjavanja; </w:t>
      </w:r>
    </w:p>
    <w:p w:rsidR="005C2091" w:rsidRDefault="00A86293">
      <w:r>
        <w:t xml:space="preserve">• je središnje tijelo za prikupljanje i objavu podataka o zločinima iz mržnje, suradnju s organizacijama civilnoga društva i međunarodnim organizacijama, te daje pravna očitovanja na predstavke građana upućene Uredu; </w:t>
      </w:r>
    </w:p>
    <w:p w:rsidR="005C2091" w:rsidRDefault="00A86293">
      <w:r>
        <w:t xml:space="preserve">• surađuje s međunarodnom zajednicom i međunarodnim regionalnim organizacijama u svrhu poboljšanja nacionalnih standarda zaštite i promicanja ljudskih prava i prava nacionalnih manjina; </w:t>
      </w:r>
    </w:p>
    <w:p w:rsidR="005C2091" w:rsidRDefault="00A86293">
      <w:r>
        <w:t xml:space="preserve">• prati međunarodne dokumente, priprema mišljenja i stručne analize u vezi s primjenom međunarodnih dokumenata u ostvarivanju zaštite i promicanja ljudskih prava i prava pripadnika nacionalnih manjina; </w:t>
      </w:r>
    </w:p>
    <w:p w:rsidR="005C2091" w:rsidRDefault="00A86293">
      <w:r>
        <w:t xml:space="preserve">• je tijelo ovlašteno za suradnju s Organizacijom za europsku sigurnost i suradnju te drugim međunarodnim organizacijama, vezano uz pitanja zločina iz mržnje; </w:t>
      </w:r>
    </w:p>
    <w:p w:rsidR="005C2091" w:rsidRDefault="00A86293">
      <w:r>
        <w:lastRenderedPageBreak/>
        <w:t xml:space="preserve">• provodi projekte i programe Europske unije iz svoga djelokruga; </w:t>
      </w:r>
    </w:p>
    <w:p w:rsidR="005C2091" w:rsidRDefault="00A86293">
      <w:r>
        <w:t>• obavlja i druge poslove povjerene od strane Vlade Republike Hrvatske u okviru djelokruga Ureda.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02087-Ured za ljudska prava i prava nacionalnih manjina</w:t>
            </w:r>
          </w:p>
        </w:tc>
        <w:tc>
          <w:tcPr>
            <w:tcW w:w="2041" w:type="dxa"/>
            <w:vAlign w:val="top"/>
          </w:tcPr>
          <w:p w:rsidR="005C2091" w:rsidRDefault="00A86293">
            <w:pPr>
              <w:pStyle w:val="CellColumn"/>
              <w:jc w:val="right"/>
            </w:pPr>
            <w:r>
              <w:rPr>
                <w:rFonts w:cs="Times New Roman"/>
              </w:rPr>
              <w:t>23.650.530</w:t>
            </w:r>
          </w:p>
        </w:tc>
        <w:tc>
          <w:tcPr>
            <w:tcW w:w="2041" w:type="dxa"/>
            <w:vAlign w:val="top"/>
          </w:tcPr>
          <w:p w:rsidR="005C2091" w:rsidRDefault="00A86293">
            <w:pPr>
              <w:pStyle w:val="CellColumn"/>
              <w:jc w:val="right"/>
            </w:pPr>
            <w:r>
              <w:rPr>
                <w:rFonts w:cs="Times New Roman"/>
              </w:rPr>
              <w:t>23.440.899</w:t>
            </w:r>
          </w:p>
        </w:tc>
        <w:tc>
          <w:tcPr>
            <w:tcW w:w="2041" w:type="dxa"/>
            <w:vAlign w:val="top"/>
          </w:tcPr>
          <w:p w:rsidR="005C2091" w:rsidRDefault="00A86293">
            <w:pPr>
              <w:pStyle w:val="CellColumn"/>
              <w:jc w:val="right"/>
            </w:pPr>
            <w:r>
              <w:rPr>
                <w:rFonts w:cs="Times New Roman"/>
              </w:rPr>
              <w:t>18.829.565</w:t>
            </w:r>
          </w:p>
        </w:tc>
        <w:tc>
          <w:tcPr>
            <w:tcW w:w="1224" w:type="dxa"/>
            <w:vAlign w:val="top"/>
          </w:tcPr>
          <w:p w:rsidR="005C2091" w:rsidRDefault="00A86293">
            <w:pPr>
              <w:pStyle w:val="CellColumn"/>
              <w:jc w:val="right"/>
            </w:pPr>
            <w:r>
              <w:rPr>
                <w:rFonts w:cs="Times New Roman"/>
              </w:rPr>
              <w:t>80,3</w:t>
            </w:r>
          </w:p>
        </w:tc>
        <w:tc>
          <w:tcPr>
            <w:tcW w:w="1224" w:type="dxa"/>
            <w:vAlign w:val="top"/>
          </w:tcPr>
          <w:p w:rsidR="005C2091" w:rsidRDefault="00A86293">
            <w:pPr>
              <w:pStyle w:val="CellColumn"/>
              <w:jc w:val="right"/>
            </w:pPr>
            <w:r>
              <w:rPr>
                <w:rFonts w:cs="Times New Roman"/>
              </w:rPr>
              <w:t>79,6</w:t>
            </w:r>
          </w:p>
        </w:tc>
      </w:tr>
      <w:tr w:rsidR="005C2091">
        <w:trPr>
          <w:jc w:val="center"/>
        </w:trPr>
        <w:tc>
          <w:tcPr>
            <w:tcW w:w="1632" w:type="dxa"/>
          </w:tcPr>
          <w:p w:rsidR="005C2091" w:rsidRDefault="00A86293">
            <w:pPr>
              <w:jc w:val="left"/>
            </w:pPr>
            <w:r>
              <w:t>2109-ZAŠTITA PRAVA NACIONALNIH MANJINA</w:t>
            </w:r>
          </w:p>
        </w:tc>
        <w:tc>
          <w:tcPr>
            <w:tcW w:w="2041" w:type="dxa"/>
          </w:tcPr>
          <w:p w:rsidR="005C2091" w:rsidRDefault="00A86293">
            <w:pPr>
              <w:jc w:val="right"/>
            </w:pPr>
            <w:r>
              <w:t>19.972.080</w:t>
            </w:r>
          </w:p>
        </w:tc>
        <w:tc>
          <w:tcPr>
            <w:tcW w:w="2041" w:type="dxa"/>
          </w:tcPr>
          <w:p w:rsidR="005C2091" w:rsidRDefault="00A86293">
            <w:pPr>
              <w:jc w:val="right"/>
            </w:pPr>
            <w:r>
              <w:t>19.442.292</w:t>
            </w:r>
          </w:p>
        </w:tc>
        <w:tc>
          <w:tcPr>
            <w:tcW w:w="2041" w:type="dxa"/>
          </w:tcPr>
          <w:p w:rsidR="005C2091" w:rsidRDefault="00A86293">
            <w:pPr>
              <w:jc w:val="right"/>
            </w:pPr>
            <w:r>
              <w:t>15.854.886</w:t>
            </w:r>
          </w:p>
        </w:tc>
        <w:tc>
          <w:tcPr>
            <w:tcW w:w="1224" w:type="dxa"/>
          </w:tcPr>
          <w:p w:rsidR="005C2091" w:rsidRDefault="00A86293">
            <w:pPr>
              <w:jc w:val="right"/>
            </w:pPr>
            <w:r>
              <w:t>81,5</w:t>
            </w:r>
          </w:p>
        </w:tc>
        <w:tc>
          <w:tcPr>
            <w:tcW w:w="1224" w:type="dxa"/>
          </w:tcPr>
          <w:p w:rsidR="005C2091" w:rsidRDefault="00A86293">
            <w:pPr>
              <w:jc w:val="right"/>
            </w:pPr>
            <w:r>
              <w:t>79,4</w:t>
            </w:r>
          </w:p>
        </w:tc>
      </w:tr>
      <w:tr w:rsidR="005C2091">
        <w:trPr>
          <w:jc w:val="center"/>
        </w:trPr>
        <w:tc>
          <w:tcPr>
            <w:tcW w:w="1632" w:type="dxa"/>
          </w:tcPr>
          <w:p w:rsidR="005C2091" w:rsidRDefault="00A86293">
            <w:pPr>
              <w:jc w:val="left"/>
            </w:pPr>
            <w:r>
              <w:t>2111-PROMICANJE LJUDSKIH PRAVA</w:t>
            </w:r>
          </w:p>
        </w:tc>
        <w:tc>
          <w:tcPr>
            <w:tcW w:w="2041" w:type="dxa"/>
          </w:tcPr>
          <w:p w:rsidR="005C2091" w:rsidRDefault="00A86293">
            <w:pPr>
              <w:jc w:val="right"/>
            </w:pPr>
            <w:r>
              <w:t>3.678.450</w:t>
            </w:r>
          </w:p>
        </w:tc>
        <w:tc>
          <w:tcPr>
            <w:tcW w:w="2041" w:type="dxa"/>
          </w:tcPr>
          <w:p w:rsidR="005C2091" w:rsidRDefault="00A86293">
            <w:pPr>
              <w:jc w:val="right"/>
            </w:pPr>
            <w:r>
              <w:t>3.998.607</w:t>
            </w:r>
          </w:p>
        </w:tc>
        <w:tc>
          <w:tcPr>
            <w:tcW w:w="2041" w:type="dxa"/>
          </w:tcPr>
          <w:p w:rsidR="005C2091" w:rsidRDefault="00A86293">
            <w:pPr>
              <w:jc w:val="right"/>
            </w:pPr>
            <w:r>
              <w:t>2.974.679</w:t>
            </w:r>
          </w:p>
        </w:tc>
        <w:tc>
          <w:tcPr>
            <w:tcW w:w="1224" w:type="dxa"/>
          </w:tcPr>
          <w:p w:rsidR="005C2091" w:rsidRDefault="00A86293">
            <w:pPr>
              <w:jc w:val="right"/>
            </w:pPr>
            <w:r>
              <w:t>74,4</w:t>
            </w:r>
          </w:p>
        </w:tc>
        <w:tc>
          <w:tcPr>
            <w:tcW w:w="1224" w:type="dxa"/>
          </w:tcPr>
          <w:p w:rsidR="005C2091" w:rsidRDefault="00A86293">
            <w:pPr>
              <w:jc w:val="right"/>
            </w:pPr>
            <w:r>
              <w:t>80,9</w:t>
            </w:r>
          </w:p>
        </w:tc>
      </w:tr>
    </w:tbl>
    <w:p w:rsidR="005C2091" w:rsidRDefault="005C2091">
      <w:pPr>
        <w:jc w:val="left"/>
      </w:pPr>
    </w:p>
    <w:p w:rsidR="005C2091" w:rsidRDefault="00A86293">
      <w:pPr>
        <w:pStyle w:val="Heading3"/>
      </w:pPr>
      <w:r>
        <w:rPr>
          <w:rFonts w:cs="Times New Roman"/>
        </w:rPr>
        <w:t>2109 ZAŠTITA PRAVA NACIONALNIH MANJINA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2109-ZAŠTITA PRAVA NACIONALNIH MANJINA</w:t>
            </w:r>
          </w:p>
        </w:tc>
        <w:tc>
          <w:tcPr>
            <w:tcW w:w="2041" w:type="dxa"/>
          </w:tcPr>
          <w:p w:rsidR="005C2091" w:rsidRDefault="00A86293">
            <w:pPr>
              <w:pStyle w:val="CellColumn"/>
              <w:jc w:val="right"/>
            </w:pPr>
            <w:r>
              <w:rPr>
                <w:rFonts w:cs="Times New Roman"/>
              </w:rPr>
              <w:t>19.972.080</w:t>
            </w:r>
          </w:p>
        </w:tc>
        <w:tc>
          <w:tcPr>
            <w:tcW w:w="2041" w:type="dxa"/>
          </w:tcPr>
          <w:p w:rsidR="005C2091" w:rsidRDefault="00A86293">
            <w:pPr>
              <w:pStyle w:val="CellColumn"/>
              <w:jc w:val="right"/>
            </w:pPr>
            <w:r>
              <w:rPr>
                <w:rFonts w:cs="Times New Roman"/>
              </w:rPr>
              <w:t>19.442.292</w:t>
            </w:r>
          </w:p>
        </w:tc>
        <w:tc>
          <w:tcPr>
            <w:tcW w:w="2041" w:type="dxa"/>
          </w:tcPr>
          <w:p w:rsidR="005C2091" w:rsidRDefault="00A86293">
            <w:pPr>
              <w:pStyle w:val="CellColumn"/>
              <w:jc w:val="right"/>
            </w:pPr>
            <w:r>
              <w:rPr>
                <w:rFonts w:cs="Times New Roman"/>
              </w:rPr>
              <w:t>15.854.886</w:t>
            </w:r>
          </w:p>
        </w:tc>
        <w:tc>
          <w:tcPr>
            <w:tcW w:w="1224" w:type="dxa"/>
          </w:tcPr>
          <w:p w:rsidR="005C2091" w:rsidRDefault="00A86293">
            <w:pPr>
              <w:pStyle w:val="CellColumn"/>
              <w:jc w:val="right"/>
            </w:pPr>
            <w:r>
              <w:rPr>
                <w:rFonts w:cs="Times New Roman"/>
              </w:rPr>
              <w:t>81,5</w:t>
            </w:r>
          </w:p>
        </w:tc>
        <w:tc>
          <w:tcPr>
            <w:tcW w:w="1224" w:type="dxa"/>
          </w:tcPr>
          <w:p w:rsidR="005C2091" w:rsidRDefault="00A86293">
            <w:pPr>
              <w:pStyle w:val="CellColumn"/>
              <w:jc w:val="right"/>
            </w:pPr>
            <w:r>
              <w:rPr>
                <w:rFonts w:cs="Times New Roman"/>
              </w:rPr>
              <w:t>79,4</w:t>
            </w:r>
          </w:p>
        </w:tc>
      </w:tr>
    </w:tbl>
    <w:p w:rsidR="005C2091" w:rsidRDefault="005C2091">
      <w:pPr>
        <w:jc w:val="left"/>
      </w:pPr>
    </w:p>
    <w:p w:rsidR="005C2091" w:rsidRDefault="00A86293">
      <w:r>
        <w:t xml:space="preserve">U okviru programa 2109  Zaštita prava nacionalnih manjina Ured za ljudska prava i prava nacionalnih manjina Vlade Republike Hrvatske koordinira izradu izvješća o provedbi   Ustavnog zakona o pravima nacionalnih manjina, Nacionalne strategije za uključivanje Roma 2013.-2020. godine i Akcijskog plana za provedbu Nacionalne strategije za uključivanje Roma 2017.-2019. godine. Ured je tajništvo  Povjerenstva za praćenje provedbe Nacionalne strategije za uključivanje Roma 2013.-2020 godine. </w:t>
      </w:r>
    </w:p>
    <w:p w:rsidR="005C2091" w:rsidRDefault="00A86293">
      <w:r>
        <w:t xml:space="preserve"> U cilju provedbe Ustavnog zakona o pravima nacionalnih manjina Ured kontinuirano organizira seminare o educiranju i osposobljavanju vijeća i predstavnika nacionalnih manjina,  organizira okrugle stolove o unaprjeđenju provedbe Ustavnog zakona o pravima nacionalnih manjina, te predlaže prijedlog Odluke o financiranju programa vijeća i predstavnika nacionalnih manjina koju donosi Vlada Republike Hrvatske.  </w:t>
      </w:r>
    </w:p>
    <w:p w:rsidR="005C2091" w:rsidRDefault="00A86293">
      <w:r>
        <w:t xml:space="preserve">Za unaprjeđenje prava nacionalnih manjina posebno je važna provedba međunarodnih dokumenata kojih je Republika Hrvatska stranka, prije svega Okvirne konvencije za zaštitu nacionalnih manjina. Ured je koordinirao izradu Četvrtog izvješća o provedbi tog međunarodnog dokumenta koji je usvojila Vlada Republike Hrvatske. Mišljenje o Izvješću RH za navedeno razdoblje donio je Savjetodavni odbor Vijeća Europe u 2016. godini, te se očekuje   rezolucija  Odbora ministara o provedbi Okvirne konvencije od strane RH. </w:t>
      </w:r>
    </w:p>
    <w:p w:rsidR="005C2091" w:rsidRDefault="00A86293">
      <w:r>
        <w:t>Ured svake godine organizira seminare o provedbi Okvirne konvencije za zaštitu nacionalnih manjina. U Zagrebu je 3. svibnja  2016. godine održan sastanak s predstavnicima nacionalnih manjina  i predstavnicima nadležnih tijela o aktivnostima vezanim za provedbu tog dokumenta.</w:t>
      </w:r>
    </w:p>
    <w:p w:rsidR="005C2091" w:rsidRDefault="00A86293">
      <w:pPr>
        <w:pStyle w:val="Heading8"/>
        <w:jc w:val="left"/>
      </w:pPr>
      <w:r>
        <w:lastRenderedPageBreak/>
        <w:t xml:space="preserve">Cilj 1. Unapređenje cjelokupnog sustava zaštite i promicanja prava nacionalnih manjina u Republici Hrvatskoj </w:t>
      </w:r>
    </w:p>
    <w:p w:rsidR="005C2091" w:rsidRDefault="00A86293">
      <w:pPr>
        <w:pStyle w:val="Heading8"/>
        <w:jc w:val="left"/>
      </w:pPr>
      <w:r>
        <w:t>Opis provedbe cilja programa</w:t>
      </w:r>
    </w:p>
    <w:p w:rsidR="005C2091" w:rsidRDefault="00A86293">
      <w:r>
        <w:t xml:space="preserve">Ustavni zakon o pravima nacionalnih manjina sveobuhvatan je zakon koji uređuje gotovo  sva prava nacionalnih manjina, dok je jedan manji dio odredbi uređen posebnim zakonima. Ustavni zakon o pravima nacionalnih manjina i cijeli zakonodavni okvir u Republici Hrvatskoj osigurao je visoku razinu prava nacionalnih manjina sukladno međunarodnim dokumentima.  </w:t>
      </w:r>
    </w:p>
    <w:p w:rsidR="005C2091" w:rsidRDefault="00A86293">
      <w:r>
        <w:t>Vlada Republike Hrvatske, sukladno odredbi članka 37. stavak 3. Ustavnog zakona o pravima nacionalnih manjina (NN, br. 155/02, 47/10. i 80/10.), najmanje jednom godišnje podnosi Hrvatskome saboru Izvješće o provođenju Ustavnog zakona o pravima nacionalnih manjina i o utrošku sredstava koja se u Državnom proračunu Republike Hrvatske osiguravaju za potrebe nacionalnih manjina.</w:t>
      </w:r>
    </w:p>
    <w:p w:rsidR="005C2091" w:rsidRDefault="00A86293">
      <w:pPr>
        <w:pStyle w:val="Heading4"/>
      </w:pPr>
      <w:r>
        <w:t>A513002 PROGRAMI ZA NACIONALNE MANJINE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A513002-PROGRAMI ZA NACIONALNE MANJINE</w:t>
            </w:r>
          </w:p>
        </w:tc>
        <w:tc>
          <w:tcPr>
            <w:tcW w:w="2041" w:type="dxa"/>
          </w:tcPr>
          <w:p w:rsidR="005C2091" w:rsidRDefault="00A86293">
            <w:pPr>
              <w:pStyle w:val="CellColumn"/>
              <w:jc w:val="right"/>
            </w:pPr>
            <w:r>
              <w:rPr>
                <w:rFonts w:cs="Times New Roman"/>
              </w:rPr>
              <w:t>43.647</w:t>
            </w:r>
          </w:p>
        </w:tc>
        <w:tc>
          <w:tcPr>
            <w:tcW w:w="2041" w:type="dxa"/>
          </w:tcPr>
          <w:p w:rsidR="005C2091" w:rsidRDefault="00A86293">
            <w:pPr>
              <w:pStyle w:val="CellColumn"/>
              <w:jc w:val="right"/>
            </w:pPr>
            <w:r>
              <w:rPr>
                <w:rFonts w:cs="Times New Roman"/>
              </w:rPr>
              <w:t>11.113.400</w:t>
            </w:r>
          </w:p>
        </w:tc>
        <w:tc>
          <w:tcPr>
            <w:tcW w:w="2041" w:type="dxa"/>
          </w:tcPr>
          <w:p w:rsidR="005C2091" w:rsidRDefault="00A86293">
            <w:pPr>
              <w:pStyle w:val="CellColumn"/>
              <w:jc w:val="right"/>
            </w:pPr>
            <w:r>
              <w:rPr>
                <w:rFonts w:cs="Times New Roman"/>
              </w:rPr>
              <w:t>11.035.334</w:t>
            </w:r>
          </w:p>
        </w:tc>
        <w:tc>
          <w:tcPr>
            <w:tcW w:w="1224" w:type="dxa"/>
          </w:tcPr>
          <w:p w:rsidR="005C2091" w:rsidRDefault="00A86293">
            <w:pPr>
              <w:pStyle w:val="CellColumn"/>
              <w:jc w:val="right"/>
            </w:pPr>
            <w:r>
              <w:rPr>
                <w:rFonts w:cs="Times New Roman"/>
              </w:rPr>
              <w:t>99,3</w:t>
            </w:r>
          </w:p>
        </w:tc>
        <w:tc>
          <w:tcPr>
            <w:tcW w:w="1224" w:type="dxa"/>
          </w:tcPr>
          <w:p w:rsidR="005C2091" w:rsidRDefault="00A86293">
            <w:pPr>
              <w:pStyle w:val="CellColumn"/>
              <w:jc w:val="right"/>
            </w:pPr>
            <w:r>
              <w:rPr>
                <w:rFonts w:cs="Times New Roman"/>
              </w:rPr>
              <w:t>25283,4</w:t>
            </w:r>
          </w:p>
        </w:tc>
      </w:tr>
    </w:tbl>
    <w:p w:rsidR="005C2091" w:rsidRDefault="005C2091">
      <w:pPr>
        <w:jc w:val="left"/>
      </w:pPr>
    </w:p>
    <w:p w:rsidR="005C2091" w:rsidRDefault="00A86293">
      <w:pPr>
        <w:pStyle w:val="Heading8"/>
        <w:jc w:val="left"/>
      </w:pPr>
      <w:r>
        <w:t>Opis aktivnosti</w:t>
      </w:r>
    </w:p>
    <w:p w:rsidR="005C2091" w:rsidRDefault="00A86293">
      <w:r>
        <w:t xml:space="preserve">Za pripadnike nacionalnih manjina važno je njihovo sudjelovanje u procesu odlučivanja. U cilju provedbe Ustavnog zakon o pravima nacionalnih manjina Ured kontinuirano organizira seminare o vijećima i predstavnicima nacionalnih manjina. Vijeća i predstavnici nacionalnih manjina kao savjetodavna  tijela  imaju prava i ovlasti predlagati tijelima jedinice samouprave mjere za unapređivanje položaja nacionalne manjine u državi ili na nekom njenom području, uključujući davanje prijedloga općih akata kojima se uređuju pitanja od značaja za nacionalnu manjinu tijelima koja ih donose; isticati kandidate za dužnosti u tijelima državne uprave i tijelima lokalnih jedinica; biti obaviješteni o svakom pitanju o kome će raspravljati radna tijela predstavničkog tijela lokalne jedinice, a tiče se položaja nacionalne manjine; davati mišljenja i prijedloge na programe radijskih i televizijskih postaja na lokalnoj i regionalnoj razini namijenjene nacionalnim manjinama ili na programe koji se odnose na manjinska pitanja. Ured kontinuirano radi na educiranju vijeća i predstavnika nacionalnih manjina organizirajući seminare o njihovom osposobljavanju te boljoj i učinkovitijoj suradnji s predstavnicima tijela jedinica lokalne i područne samouprave.  </w:t>
      </w:r>
    </w:p>
    <w:p w:rsidR="005C2091" w:rsidRDefault="00A86293">
      <w:r>
        <w:t xml:space="preserve">Ured za ljudska prava i prava nacionalnih manjina je u suradnji sa Savjetom za nacionalne manjine održao 9. studenoga 2016. godine seminar za vijeća i predstavnike nacionalnih manjina te predstavnike lokalnih jedinica. Ovi seminari se održavaju s ciljem analiziranja i rješavanja problema funkcioniranja vijeća i predstavnika nacionalnih manjina na lokalnoj razini, kao i poticanja njihove suradnje s upravnim tijelima županija i gradova.  </w:t>
      </w:r>
    </w:p>
    <w:p w:rsidR="005C2091" w:rsidRDefault="00A86293">
      <w:r>
        <w:t xml:space="preserve">Ustavni zakon o pravima nacionalnih manjina (Narodne novine, br. 155/02,47/10., 80/10. i 93/11.) temeljni je zakon kojim se uređuju prava pripadnika nacionalnih manjina u Republici Hrvatskoj. Sukladno članku 28. Ustavnog zakona jedinice lokalne i područne (regionalne) samouprave u obvezi su osigurati sredstva za rad vijeća nacionalnih manjina, uključujući sredstva za obavljanje administrativnih poslova za njihove potrebe, a mogu osigurati i sredstva za provođenje određenih aktivnosti utvrđenih programom rada vijeća nacionalne manjine. Stavkom 2. istog članka je propisano da se sredstva za ostvarivanje određenih programa vijeća nacionalnih manjina mogu osigurati i u državnom proračunu Republike Hrvatske. </w:t>
      </w:r>
    </w:p>
    <w:p w:rsidR="005C2091" w:rsidRDefault="00A86293">
      <w:r>
        <w:t xml:space="preserve">Posebna pozornost se posvećuje poboljšanju ostvarivanja prava nacionalnih manjina na pristup medijima. Ured za ljudska prava i prava nacionalnih manjina Vlade Republike Hrvatske je u suradnji sa Savjetom za nacionalne manjine Republike Hrvatske organizirao seminar „Mediji i nacionalne manjine u Republici Hrvatskoj“ koji je održan 15. lipnja  2016. godine  u Opatiji. U okviru ove aktivnosti u 2016. godini su temljem potpisanih ugovora isplaćena sredstva za programe udruga nacionalnih manjina i to za:  </w:t>
      </w:r>
    </w:p>
    <w:p w:rsidR="005C2091" w:rsidRDefault="00A86293">
      <w:r>
        <w:lastRenderedPageBreak/>
        <w:t xml:space="preserve">- Talijansku uniju, Rijeka (središnja udruga talijanske nacionalne manjine koja predstavlja interese talijanske nacionalne manjine u Republici Hrvatskoj te u kojoj djeluje pedeset zajednica Talijana i tri kulturna društva); </w:t>
      </w:r>
    </w:p>
    <w:p w:rsidR="005C2091" w:rsidRDefault="00A86293">
      <w:r>
        <w:t xml:space="preserve">- Savez Čeha u RH, Daruvar (krovna udruga češke nacionalne manjine koja objedinjuje 31 češku besedu. U 2016. godini Savez Čeha je usmjeravao aktivnosti na stvaranje pretpostavki za rad novonastalih udruga, kao i na razvoj materijalne strukture te promotivne aktivnosti češke zajednice);  </w:t>
      </w:r>
    </w:p>
    <w:p w:rsidR="005C2091" w:rsidRDefault="00A86293">
      <w:r>
        <w:t xml:space="preserve">- Savez Slovaka u RH, Našice (udruga slovačke nacionalne manjine koja okuplja 16 matica Slovaka te ostvaruje programe u cilju njegovanja kulturnog, jezičnog i nacionalnog identiteta Slovaka u RH);  </w:t>
      </w:r>
    </w:p>
    <w:p w:rsidR="005C2091" w:rsidRDefault="00A86293">
      <w:r>
        <w:t xml:space="preserve">- Demokratsku zajednicu Mađara Hrvatske, Osijek (krovna organizacija pripadnika mađarske nacionalne manjine u Republici Hrvatskoj koja djeluje od 1993. godine osnovana s ciljem očuvanja i unaprjeđenja kulture i običaja Mađara);  </w:t>
      </w:r>
    </w:p>
    <w:p w:rsidR="005C2091" w:rsidRDefault="00A86293">
      <w:r>
        <w:t xml:space="preserve">- Srpsko narodno vijeće-Zagreb, nacionalnu koordinaciju (udruga srpske nacionalne manjine koja u cilju zaštite i unaprjeđenja nacionalnog  kulturnog, jezičnog i vjerskog identiteta koordinira i usklađuje interese srpske nacionalne manjine na području Republike Hrvatske. Vijeće je utemeljeno na vrijednostima demokracije, civilnog društva, tolerancije i multikulturalnosti. Pored toga jedan od ciljeva Vijeća je i stvaranje uvjeta za rad postojećih i osnivanje i razvoj novih organizacija i institucija od interesa za Srbe na području Republike Hrvatske);  </w:t>
      </w:r>
    </w:p>
    <w:p w:rsidR="005C2091" w:rsidRDefault="00A86293">
      <w:r>
        <w:t xml:space="preserve">- Zajedničko vijeće općina Vukovar (udruga srpske nacionalne manjine koja usklađuje interese srpske nacionalne manjine na području Vukovarsko-srijemske i Osječko-baranjske županije);  </w:t>
      </w:r>
    </w:p>
    <w:p w:rsidR="005C2091" w:rsidRDefault="00A86293">
      <w:r>
        <w:t xml:space="preserve">- Uniju zajednica Albanaca u RH (središnja udruga albanske nacionalne manjine koja ostvaruje programe u cilju njegovanja kulturnog, nacionalnog, vjerskog i jezičnog  identiteta Albanaca u RH);  </w:t>
      </w:r>
    </w:p>
    <w:p w:rsidR="005C2091" w:rsidRDefault="00A86293">
      <w:r>
        <w:t>- Udrugu za promicanje obrazovanja Roma u RH, Kali Sara (središnja udruga romske nacionalne manjine u Hrvatskoj koja okuplja 40 udruga. Aktivnosti udruge usmjerene su na unaprjeđenje položaja romske nacionalne manjine i obrazovanje, njegovanje kulture i običaja te integracije u društvo).</w:t>
      </w:r>
    </w:p>
    <w:p w:rsidR="005C2091" w:rsidRDefault="00A86293">
      <w:pPr>
        <w:pStyle w:val="Heading4"/>
      </w:pPr>
      <w:r>
        <w:t>A513030 PROGRAMI ZA ROME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A513030-PROGRAMI ZA ROME</w:t>
            </w:r>
          </w:p>
        </w:tc>
        <w:tc>
          <w:tcPr>
            <w:tcW w:w="2041" w:type="dxa"/>
          </w:tcPr>
          <w:p w:rsidR="005C2091" w:rsidRDefault="00A86293">
            <w:pPr>
              <w:pStyle w:val="CellColumn"/>
              <w:jc w:val="right"/>
            </w:pPr>
            <w:r>
              <w:rPr>
                <w:rFonts w:cs="Times New Roman"/>
              </w:rPr>
              <w:t>517.304</w:t>
            </w:r>
          </w:p>
        </w:tc>
        <w:tc>
          <w:tcPr>
            <w:tcW w:w="2041" w:type="dxa"/>
          </w:tcPr>
          <w:p w:rsidR="005C2091" w:rsidRDefault="00A86293">
            <w:pPr>
              <w:pStyle w:val="CellColumn"/>
              <w:jc w:val="right"/>
            </w:pPr>
            <w:r>
              <w:rPr>
                <w:rFonts w:cs="Times New Roman"/>
              </w:rPr>
              <w:t>388.700</w:t>
            </w:r>
          </w:p>
        </w:tc>
        <w:tc>
          <w:tcPr>
            <w:tcW w:w="2041" w:type="dxa"/>
          </w:tcPr>
          <w:p w:rsidR="005C2091" w:rsidRDefault="00A86293">
            <w:pPr>
              <w:pStyle w:val="CellColumn"/>
              <w:jc w:val="right"/>
            </w:pPr>
            <w:r>
              <w:rPr>
                <w:rFonts w:cs="Times New Roman"/>
              </w:rPr>
              <w:t>49.366</w:t>
            </w:r>
          </w:p>
        </w:tc>
        <w:tc>
          <w:tcPr>
            <w:tcW w:w="1224" w:type="dxa"/>
          </w:tcPr>
          <w:p w:rsidR="005C2091" w:rsidRDefault="00A86293">
            <w:pPr>
              <w:pStyle w:val="CellColumn"/>
              <w:jc w:val="right"/>
            </w:pPr>
            <w:r>
              <w:rPr>
                <w:rFonts w:cs="Times New Roman"/>
              </w:rPr>
              <w:t>12,7</w:t>
            </w:r>
          </w:p>
        </w:tc>
        <w:tc>
          <w:tcPr>
            <w:tcW w:w="1224" w:type="dxa"/>
          </w:tcPr>
          <w:p w:rsidR="005C2091" w:rsidRDefault="00A86293">
            <w:pPr>
              <w:pStyle w:val="CellColumn"/>
              <w:jc w:val="right"/>
            </w:pPr>
            <w:r>
              <w:rPr>
                <w:rFonts w:cs="Times New Roman"/>
              </w:rPr>
              <w:t>9,5</w:t>
            </w:r>
          </w:p>
        </w:tc>
      </w:tr>
    </w:tbl>
    <w:p w:rsidR="005C2091" w:rsidRDefault="005C2091">
      <w:pPr>
        <w:jc w:val="left"/>
      </w:pPr>
    </w:p>
    <w:p w:rsidR="005C2091" w:rsidRDefault="00A86293">
      <w:pPr>
        <w:pStyle w:val="Heading8"/>
        <w:jc w:val="left"/>
      </w:pPr>
      <w:r>
        <w:t>Opis aktivnosti</w:t>
      </w:r>
    </w:p>
    <w:p w:rsidR="005C2091" w:rsidRDefault="00A86293">
      <w:r>
        <w:t xml:space="preserve">Vlada Republike Hrvatske trebala je sukladno Odluci imenovati Povjerenstvo za praćenje provedbe Nacionalne strategije za uključivanje Roma. Zadaće Povjerenstva su sustavno praćenje i koordiniranje provedbe Nacionalne strategije za Rome, predlaganje mjera za unaprjeđenje provođenja Strategije, izrada preporuka, mišljenja, stručnih analiza i obrazloženja u svezi s provedbom Strategije, predlaganje izmjena i dopuna Strategije, praćenje rasporeda sredstava za provođenje mjera Strategije za Rome koja se izdvajaju iz državnog proračuna, te raspodjela financijskih sredstava za rješavanje problema i poboljšanje uvjeta života pripadnika romske nacionalne manjine. Stručne i administrativne poslove za Povjerenstvo obavlja Ured. Sukladno kriterijima Povjerenstvo raspoređuje sredstva za romsku nacionalnu manjinu. </w:t>
      </w:r>
    </w:p>
    <w:p w:rsidR="005C2091" w:rsidRDefault="00A86293">
      <w:r>
        <w:t xml:space="preserve">ULJPPNM je tradicionalno obilježio i međunarodni  Dan ljudskih prava provedbom kampanje „Dosta!“, održanom 09. prosinca 2016. u Kinu Europa, u Zagrebu, uz projekciju dokumentarnog filma „Korita – Skăldră“ romske zajednice grada Kutine i OŠ Stjepana Kefelje Kutina o baštinskom nasljeđu Roma Bajaša.  Organizirana je i izložba Romski otvoreni muzej,  koju su pokrenuli mladi Romi iz RKUD-a Darda, kulturno umjetničkog društva koje se bori kulturom protiv diskriminacije.  Članovi neformalne Inicijative mladih Roma sudjelovali su  u Živoj knjižnici, prigodi za informiranje o problemima s kojima se suočavaju mladi Romi, ali i pozitivnim pričama.  Održana je i zajednička rasprava o položaju mladih Roma i njihovoj ulozi u društvu, mogućnostima integracije i održavanja kulturnog identiteta. </w:t>
      </w:r>
    </w:p>
    <w:p w:rsidR="005C2091" w:rsidRDefault="00A86293">
      <w:r>
        <w:lastRenderedPageBreak/>
        <w:t xml:space="preserve">U okviru ove aktivnosti osigurano je i sufinanciranje za  provedbu dvije fokusirane grupe u Kuršancu (Čakovec) i Palanjku (Sisak) usmjerenih na mlade Romkinje s ciljem dobivanja priloga za izradu novog Akcijskog plana za provedbu Nacionalne strategije za uključivanje Roma za razdoblje 2017.-2018. godina.  </w:t>
      </w:r>
    </w:p>
    <w:p w:rsidR="005C2091" w:rsidRDefault="00A86293">
      <w:r>
        <w:t>Održan je i sastanak predstavnika mladih Roma i Romkinja s ciljem jačanja njihovih kapaciteta te umrežavanja, 6. prosinca 2016. godine.</w:t>
      </w:r>
    </w:p>
    <w:p w:rsidR="005C2091" w:rsidRDefault="00A86293">
      <w:pPr>
        <w:pStyle w:val="Heading4"/>
      </w:pPr>
      <w:r>
        <w:t>A513031 ZAJEDNIČKO VIJEĆE OPĆINA, VUKOVAR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A513031-ZAJEDNIČKO VIJEĆE OPĆINA, VUKOVAR</w:t>
            </w:r>
          </w:p>
        </w:tc>
        <w:tc>
          <w:tcPr>
            <w:tcW w:w="2041" w:type="dxa"/>
          </w:tcPr>
          <w:p w:rsidR="005C2091" w:rsidRDefault="00A86293">
            <w:pPr>
              <w:pStyle w:val="CellColumn"/>
              <w:jc w:val="right"/>
            </w:pPr>
            <w:r>
              <w:rPr>
                <w:rFonts w:cs="Times New Roman"/>
              </w:rPr>
              <w:t>1.500.000</w:t>
            </w:r>
          </w:p>
        </w:tc>
        <w:tc>
          <w:tcPr>
            <w:tcW w:w="2041" w:type="dxa"/>
          </w:tcPr>
          <w:p w:rsidR="005C2091" w:rsidRDefault="00A86293">
            <w:pPr>
              <w:pStyle w:val="CellColumn"/>
              <w:jc w:val="right"/>
            </w:pPr>
            <w:r>
              <w:rPr>
                <w:rFonts w:cs="Times New Roman"/>
              </w:rPr>
              <w:t>375.000</w:t>
            </w:r>
          </w:p>
        </w:tc>
        <w:tc>
          <w:tcPr>
            <w:tcW w:w="2041" w:type="dxa"/>
          </w:tcPr>
          <w:p w:rsidR="005C2091" w:rsidRDefault="00A86293">
            <w:pPr>
              <w:pStyle w:val="CellColumn"/>
              <w:jc w:val="right"/>
            </w:pPr>
            <w:r>
              <w:rPr>
                <w:rFonts w:cs="Times New Roman"/>
              </w:rPr>
              <w:t>375.000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25,0</w:t>
            </w:r>
          </w:p>
        </w:tc>
      </w:tr>
    </w:tbl>
    <w:p w:rsidR="005C2091" w:rsidRDefault="005C2091">
      <w:pPr>
        <w:jc w:val="left"/>
      </w:pPr>
    </w:p>
    <w:p w:rsidR="005C2091" w:rsidRDefault="00A86293">
      <w:pPr>
        <w:pStyle w:val="Heading8"/>
        <w:jc w:val="left"/>
      </w:pPr>
      <w:r>
        <w:t>Opis aktivnosti</w:t>
      </w:r>
    </w:p>
    <w:p w:rsidR="005C2091" w:rsidRDefault="00A86293">
      <w:r>
        <w:t>Sredstva se odnose na prvo tromjesečje 2016. godine.</w:t>
      </w:r>
    </w:p>
    <w:p w:rsidR="005C2091" w:rsidRDefault="00A86293">
      <w:pPr>
        <w:pStyle w:val="Heading4"/>
      </w:pPr>
      <w:r>
        <w:t>A513034 SRPSKO NARODNO VIJEĆE - NACIONALNA KOORDINACIJA VIJEĆA SRPSKE NACIONALNE ZAJEDNICE U REPUBLICI HRVATSKOJ, ZAGREB</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A513034-SRPSKO NARODNO VIJEĆE - NACIONALNA KOORDINACIJA VIJEĆA SRPSKE NACIONALNE ZAJEDNICE U REPUBLICI HRVATSKOJ, ZAGREB</w:t>
            </w:r>
          </w:p>
        </w:tc>
        <w:tc>
          <w:tcPr>
            <w:tcW w:w="2041" w:type="dxa"/>
          </w:tcPr>
          <w:p w:rsidR="005C2091" w:rsidRDefault="00A86293">
            <w:pPr>
              <w:pStyle w:val="CellColumn"/>
              <w:jc w:val="right"/>
            </w:pPr>
            <w:r>
              <w:rPr>
                <w:rFonts w:cs="Times New Roman"/>
              </w:rPr>
              <w:t>7.500.000</w:t>
            </w:r>
          </w:p>
        </w:tc>
        <w:tc>
          <w:tcPr>
            <w:tcW w:w="2041" w:type="dxa"/>
          </w:tcPr>
          <w:p w:rsidR="005C2091" w:rsidRDefault="00A86293">
            <w:pPr>
              <w:pStyle w:val="CellColumn"/>
              <w:jc w:val="right"/>
            </w:pPr>
            <w:r>
              <w:rPr>
                <w:rFonts w:cs="Times New Roman"/>
              </w:rPr>
              <w:t>1.875.000</w:t>
            </w:r>
          </w:p>
        </w:tc>
        <w:tc>
          <w:tcPr>
            <w:tcW w:w="2041" w:type="dxa"/>
          </w:tcPr>
          <w:p w:rsidR="005C2091" w:rsidRDefault="00A86293">
            <w:pPr>
              <w:pStyle w:val="CellColumn"/>
              <w:jc w:val="right"/>
            </w:pPr>
            <w:r>
              <w:rPr>
                <w:rFonts w:cs="Times New Roman"/>
              </w:rPr>
              <w:t>1.875.000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25,0</w:t>
            </w:r>
          </w:p>
        </w:tc>
      </w:tr>
    </w:tbl>
    <w:p w:rsidR="005C2091" w:rsidRDefault="005C2091">
      <w:pPr>
        <w:jc w:val="left"/>
      </w:pPr>
    </w:p>
    <w:p w:rsidR="005C2091" w:rsidRDefault="00A86293">
      <w:pPr>
        <w:pStyle w:val="Heading8"/>
        <w:jc w:val="left"/>
      </w:pPr>
      <w:r>
        <w:t>Opis aktivnosti</w:t>
      </w:r>
    </w:p>
    <w:p w:rsidR="005C2091" w:rsidRDefault="00A86293">
      <w:r>
        <w:t>Sredstva se odnose na prvo tromjesečje 2016. godine.</w:t>
      </w:r>
    </w:p>
    <w:p w:rsidR="003314EE" w:rsidRDefault="003314EE"/>
    <w:p w:rsidR="003314EE" w:rsidRDefault="003314EE"/>
    <w:p w:rsidR="005C2091" w:rsidRDefault="00A86293">
      <w:pPr>
        <w:pStyle w:val="Heading4"/>
      </w:pPr>
      <w:r>
        <w:t>A513035 ROMSKO NACIONALNO VIJEĆE, ZAGREB</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A513035-ROMSKO NACIONALNO VIJEĆE, ZAGREB</w:t>
            </w:r>
          </w:p>
        </w:tc>
        <w:tc>
          <w:tcPr>
            <w:tcW w:w="2041" w:type="dxa"/>
          </w:tcPr>
          <w:p w:rsidR="005C2091" w:rsidRDefault="00A86293">
            <w:pPr>
              <w:pStyle w:val="CellColumn"/>
              <w:jc w:val="right"/>
            </w:pPr>
            <w:r>
              <w:rPr>
                <w:rFonts w:cs="Times New Roman"/>
              </w:rPr>
              <w:t>2.998.000</w:t>
            </w:r>
          </w:p>
        </w:tc>
        <w:tc>
          <w:tcPr>
            <w:tcW w:w="2041" w:type="dxa"/>
          </w:tcPr>
          <w:p w:rsidR="005C2091" w:rsidRDefault="00A86293">
            <w:pPr>
              <w:pStyle w:val="CellColumn"/>
              <w:jc w:val="right"/>
            </w:pPr>
            <w:r>
              <w:rPr>
                <w:rFonts w:cs="Times New Roman"/>
              </w:rPr>
              <w:t>375.000</w:t>
            </w:r>
          </w:p>
        </w:tc>
        <w:tc>
          <w:tcPr>
            <w:tcW w:w="2041" w:type="dxa"/>
          </w:tcPr>
          <w:p w:rsidR="005C2091" w:rsidRDefault="00A86293">
            <w:pPr>
              <w:pStyle w:val="CellColumn"/>
              <w:jc w:val="right"/>
            </w:pPr>
            <w:r>
              <w:rPr>
                <w:rFonts w:cs="Times New Roman"/>
              </w:rPr>
              <w:t>375.000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12,5</w:t>
            </w:r>
          </w:p>
        </w:tc>
      </w:tr>
    </w:tbl>
    <w:p w:rsidR="005C2091" w:rsidRDefault="005C2091">
      <w:pPr>
        <w:jc w:val="left"/>
      </w:pPr>
    </w:p>
    <w:p w:rsidR="005C2091" w:rsidRDefault="00A86293">
      <w:pPr>
        <w:pStyle w:val="Heading8"/>
        <w:jc w:val="left"/>
      </w:pPr>
      <w:r>
        <w:t>Opis aktivnosti</w:t>
      </w:r>
    </w:p>
    <w:p w:rsidR="005C2091" w:rsidRDefault="00A86293">
      <w:r>
        <w:t>Romsko nacionalno vijeće, Zagreb udruga je romske nacionalne manjine koja djeluje na području Republike Hrvatske.  Sredstva se odnose na prvo tromjesečje 2016. godine.</w:t>
      </w:r>
    </w:p>
    <w:p w:rsidR="005C2091" w:rsidRDefault="00A86293">
      <w:pPr>
        <w:pStyle w:val="Heading4"/>
      </w:pPr>
      <w:r>
        <w:t>A513036 SAVEZ MAĐARSKIH UDRUGA, BELI MANASTIR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A513036-SAVEZ MAĐARSKIH UDRUGA, BELI MANASTIR</w:t>
            </w:r>
          </w:p>
        </w:tc>
        <w:tc>
          <w:tcPr>
            <w:tcW w:w="2041" w:type="dxa"/>
          </w:tcPr>
          <w:p w:rsidR="005C2091" w:rsidRDefault="00A86293">
            <w:pPr>
              <w:pStyle w:val="CellColumn"/>
              <w:jc w:val="right"/>
            </w:pPr>
            <w:r>
              <w:rPr>
                <w:rFonts w:cs="Times New Roman"/>
              </w:rPr>
              <w:t>2.700.000</w:t>
            </w:r>
          </w:p>
        </w:tc>
        <w:tc>
          <w:tcPr>
            <w:tcW w:w="2041" w:type="dxa"/>
          </w:tcPr>
          <w:p w:rsidR="005C2091" w:rsidRDefault="00A86293">
            <w:pPr>
              <w:pStyle w:val="CellColumn"/>
              <w:jc w:val="right"/>
            </w:pPr>
            <w:r>
              <w:rPr>
                <w:rFonts w:cs="Times New Roman"/>
              </w:rPr>
              <w:t>300.000</w:t>
            </w:r>
          </w:p>
        </w:tc>
        <w:tc>
          <w:tcPr>
            <w:tcW w:w="2041" w:type="dxa"/>
          </w:tcPr>
          <w:p w:rsidR="005C2091" w:rsidRDefault="00A86293">
            <w:pPr>
              <w:pStyle w:val="CellColumn"/>
              <w:jc w:val="right"/>
            </w:pPr>
            <w:r>
              <w:rPr>
                <w:rFonts w:cs="Times New Roman"/>
              </w:rPr>
              <w:t>300.000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11,1</w:t>
            </w:r>
          </w:p>
        </w:tc>
      </w:tr>
    </w:tbl>
    <w:p w:rsidR="005C2091" w:rsidRDefault="005C2091">
      <w:pPr>
        <w:jc w:val="left"/>
      </w:pPr>
    </w:p>
    <w:p w:rsidR="005C2091" w:rsidRDefault="00A86293">
      <w:pPr>
        <w:pStyle w:val="Heading8"/>
        <w:jc w:val="left"/>
      </w:pPr>
      <w:r>
        <w:t>Opis aktivnosti</w:t>
      </w:r>
    </w:p>
    <w:p w:rsidR="005C2091" w:rsidRDefault="00A86293">
      <w:r>
        <w:t xml:space="preserve">Savez mađarskih udruga, Beli Manastir je organizacija mađarske nacionalne manjine koja predstavlja interese mađarske nacionalne manjine u Republici Hrvatskoj. Putem brojnih kulturnih društava, zajednica i udruga ostvaruje programe informiranja, izdavaštva, kulturnog amaterizma i kulturnih manifestacija u cilju njegovanja i razvijanja kulturnog nacionalnog i vjerskog identiteta mađarske nacionalne manjine u Republici Hrvatskoj. </w:t>
      </w:r>
    </w:p>
    <w:p w:rsidR="005C2091" w:rsidRDefault="00A86293">
      <w:r>
        <w:t>Sredstva se odnose na prvo tromjesečje 2016. godine.</w:t>
      </w:r>
    </w:p>
    <w:p w:rsidR="005C2091" w:rsidRDefault="00A86293">
      <w:pPr>
        <w:pStyle w:val="Heading4"/>
      </w:pPr>
      <w:r>
        <w:t>A513041 PROVEDBA NACIONALNE STRATEGIJE ZA UKLJUČIVANJE ROMA 2013-2020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A513041-PROVEDBA NACIONALNE STRATEGIJE ZA UKLJUČIVANJE ROMA 2013-2020</w:t>
            </w:r>
          </w:p>
        </w:tc>
        <w:tc>
          <w:tcPr>
            <w:tcW w:w="2041" w:type="dxa"/>
          </w:tcPr>
          <w:p w:rsidR="005C2091" w:rsidRDefault="00A86293">
            <w:pPr>
              <w:pStyle w:val="CellColumn"/>
              <w:jc w:val="right"/>
            </w:pPr>
            <w:r>
              <w:rPr>
                <w:rFonts w:cs="Times New Roman"/>
              </w:rPr>
              <w:t>125.168</w:t>
            </w:r>
          </w:p>
        </w:tc>
        <w:tc>
          <w:tcPr>
            <w:tcW w:w="2041" w:type="dxa"/>
          </w:tcPr>
          <w:p w:rsidR="005C2091" w:rsidRDefault="00A86293">
            <w:pPr>
              <w:pStyle w:val="CellColumn"/>
              <w:jc w:val="right"/>
            </w:pPr>
            <w:r>
              <w:rPr>
                <w:rFonts w:cs="Times New Roman"/>
              </w:rPr>
              <w:t>133.171</w:t>
            </w:r>
          </w:p>
        </w:tc>
        <w:tc>
          <w:tcPr>
            <w:tcW w:w="2041" w:type="dxa"/>
          </w:tcPr>
          <w:p w:rsidR="005C2091" w:rsidRDefault="00A86293">
            <w:pPr>
              <w:pStyle w:val="CellColumn"/>
              <w:jc w:val="right"/>
            </w:pPr>
            <w:r>
              <w:rPr>
                <w:rFonts w:cs="Times New Roman"/>
              </w:rPr>
              <w:t>105.648</w:t>
            </w:r>
          </w:p>
        </w:tc>
        <w:tc>
          <w:tcPr>
            <w:tcW w:w="1224" w:type="dxa"/>
          </w:tcPr>
          <w:p w:rsidR="005C2091" w:rsidRDefault="00A86293">
            <w:pPr>
              <w:pStyle w:val="CellColumn"/>
              <w:jc w:val="right"/>
            </w:pPr>
            <w:r>
              <w:rPr>
                <w:rFonts w:cs="Times New Roman"/>
              </w:rPr>
              <w:t>79,3</w:t>
            </w:r>
          </w:p>
        </w:tc>
        <w:tc>
          <w:tcPr>
            <w:tcW w:w="1224" w:type="dxa"/>
          </w:tcPr>
          <w:p w:rsidR="005C2091" w:rsidRDefault="00A86293">
            <w:pPr>
              <w:pStyle w:val="CellColumn"/>
              <w:jc w:val="right"/>
            </w:pPr>
            <w:r>
              <w:rPr>
                <w:rFonts w:cs="Times New Roman"/>
              </w:rPr>
              <w:t>84,4</w:t>
            </w:r>
          </w:p>
        </w:tc>
      </w:tr>
    </w:tbl>
    <w:p w:rsidR="005C2091" w:rsidRDefault="005C2091">
      <w:pPr>
        <w:jc w:val="left"/>
      </w:pPr>
    </w:p>
    <w:p w:rsidR="005C2091" w:rsidRDefault="00A86293">
      <w:pPr>
        <w:pStyle w:val="Heading8"/>
        <w:jc w:val="left"/>
      </w:pPr>
      <w:r>
        <w:t>Opis aktivnosti</w:t>
      </w:r>
    </w:p>
    <w:p w:rsidR="005C2091" w:rsidRDefault="00A86293">
      <w:r>
        <w:t xml:space="preserve">Vlada Republike Hrvatske donijela je Nacionalnu strategiju za uključivanje Roma za razdoblje 2013.-2020. godine u cilju poboljšanja položaja romske nacionalne manjine kojim se na sustavan način pripadnicima romske nacionalne manjine nastoje osigurati poboljšani uvjeti života u više područja. Nacionalna strategija usklađena je s temeljnim strateškim i programskim dokumentima EU, Europa 2020 i Okvir EU za nacionalne strategije integracije Roma do 2020. Opći cilj ovog novog dokumenta usmjeren je na poboljšanje položaja romske nacionalne manjine u Republici Hrvatskoj smanjivanjem višedimenzionalnog socioekonomskog jaza između romske i neromske populacije u cilju postizanja  sveobuhvatnog uključivanja Roma u sve segmente društva što će se postići podizanjem razine općeg i ciljanog obrazovanja, poboljšanjem ekonomskog i zdravstvenog statusa, te poboljšanjem društvenog položaja Roma, uključujući statusna pitanja, zdravstvo, socijalnu skrb, stanovanje i prostorno uređenje, </w:t>
      </w:r>
      <w:r>
        <w:lastRenderedPageBreak/>
        <w:t xml:space="preserve">obrazovanje, zapošljavanje, suzbijanje diskriminacije, očuvanje tradicijske kulture, zaštita obitelji, materinstva i mladeži te uključivanje u društveni i politički život.  </w:t>
      </w:r>
    </w:p>
    <w:p w:rsidR="005C2091" w:rsidRDefault="00A86293">
      <w:r>
        <w:t xml:space="preserve"> Tijekom 2016. godine Ured je od UNICEF – Ured Hrvatska osigurao financijska sredstva u iznosu od 88.400,00 kn, te proveo šest fokusiranih grupa prema strateškim područjima Nacionalne strategije za uključivanje Roma s ciljem izrade novog Akcijskog plana za provedbu Nacionalne strategije za uključivanje Roma za razdoblje 2017.-2018. godina. Fokusirane grupe provedene su s nadležnim tijelima, organizacijama civilnog društva, članovima akademske zajednice te legitimnim predstavnicima romske nacionalne manjine, kao i aktivistima iste, a zasebno su organizirane dvije fokusirane grupe u romskim naseljima sa ženama kako bi se dobio uvid u potrebe i prioritete pripadnica romske nacionalne manjine i djece. Rezultat rada članova fokusiranih grupa bila je nacrtna verzija novog Akcijskog plana koja je poslužila kao podloga za rad predstavnicima nadležnih tijela imenovanim u Radnu skupinu za izradu novog Akcijskog plana.</w:t>
      </w:r>
    </w:p>
    <w:p w:rsidR="005C2091" w:rsidRDefault="00A86293">
      <w:pPr>
        <w:pStyle w:val="Heading4"/>
      </w:pPr>
      <w:r>
        <w:t>A513045 IPA 2012 - POTPORA VIJEĆIMA NACIONALNIH MANJINA NA LOKALNOJ RAZINI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A513045-IPA 2012 - POTPORA VIJEĆIMA NACIONALNIH MANJINA NA LOKALNOJ RAZINI</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2.184.844</w:t>
            </w:r>
          </w:p>
        </w:tc>
        <w:tc>
          <w:tcPr>
            <w:tcW w:w="2041" w:type="dxa"/>
          </w:tcPr>
          <w:p w:rsidR="005C2091" w:rsidRDefault="00A86293">
            <w:pPr>
              <w:pStyle w:val="CellColumn"/>
              <w:jc w:val="right"/>
            </w:pPr>
            <w:r>
              <w:rPr>
                <w:rFonts w:cs="Times New Roman"/>
              </w:rPr>
              <w:t>848.396</w:t>
            </w:r>
          </w:p>
        </w:tc>
        <w:tc>
          <w:tcPr>
            <w:tcW w:w="1224" w:type="dxa"/>
          </w:tcPr>
          <w:p w:rsidR="005C2091" w:rsidRDefault="00A86293">
            <w:pPr>
              <w:pStyle w:val="CellColumn"/>
              <w:jc w:val="right"/>
            </w:pPr>
            <w:r>
              <w:rPr>
                <w:rFonts w:cs="Times New Roman"/>
              </w:rPr>
              <w:t>38,8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Opis aktivnosti</w:t>
      </w:r>
    </w:p>
    <w:p w:rsidR="005C2091" w:rsidRDefault="00A86293">
      <w:r>
        <w:t xml:space="preserve">Komponenta II „Potpora vijećima nacionalnih manjina na lokalnoj razini“ (ugovor potpisan 11. siječnja 2016.,  broj ugovora 2012-01-23-030101 – ugovorena vrijednost projekta: 567.489,28 EUR) – projektom će se učiniti analiza kapaciteta vijeća nacionalnih manjina za preuzimanjem uloga definiranih Ustavnim zakonom o pravima nacionalnih manjina, izradit će se web-sučelje za on-line praćenje Ustavnog zakona o pravima nacionalnih manjina iz perspektive vijeća te educirati članovi vijeća i predstavnici nacionalnih manjina za unos podataka u on-line sustav praćenja Ustavnog zakona o pravima nacionalnih manjina. </w:t>
      </w:r>
    </w:p>
    <w:p w:rsidR="005C2091" w:rsidRDefault="00A86293">
      <w:r>
        <w:t>Ugovoreni iznos je 567.489,28 EUR, od toga 90% (510.740,35 EUR) ugovorenog iznosa je iz IPA programa (izvor 51), a 10 % (56.748,93 EUR) nacionalno financiranje (izvor 12). Provedba aktivnosti projekta je započela s 1. veljače 2016., te su tijekom 2016. godine izvršene sve planirane aktivnosti. U 2106. godini bilo je isplaćen je predujam (20% iznosa Ugovora), a planirana je isplata i  dodatnog predujma – dodatnih 30% iznosa Ugovora, međutim Ugovaratelj nije na vrijeme predao zahtjev za isplatom te su ta sredstva isplaćena početkom 2017. godine (i biti će potrebno nadoknaditi ta sredstva u proračunu za 2017. godinu).</w:t>
      </w:r>
    </w:p>
    <w:p w:rsidR="003314EE" w:rsidRDefault="003314EE"/>
    <w:p w:rsidR="003314EE" w:rsidRDefault="003314EE"/>
    <w:p w:rsidR="003314EE" w:rsidRDefault="003314EE"/>
    <w:p w:rsidR="005C2091" w:rsidRDefault="00A86293">
      <w:pPr>
        <w:pStyle w:val="Heading4"/>
      </w:pPr>
      <w:r>
        <w:t>A513046 IPA 2012 - POTPORA LOKALNIM INICIJATIVAMA ZA INTEGRACIJU PRIPADNIKA ROMSKE ZAJEDNICE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A513046-IPA 2012 - POTPORA LOKALNIM INICIJATIVAMA ZA INTEGRACIJU PRIPADNIKA ROMSKE ZAJEDNICE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1.540.000</w:t>
            </w:r>
          </w:p>
        </w:tc>
        <w:tc>
          <w:tcPr>
            <w:tcW w:w="2041"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Opis aktivnosti</w:t>
      </w:r>
    </w:p>
    <w:p w:rsidR="005C2091" w:rsidRDefault="00A86293">
      <w:r>
        <w:t xml:space="preserve">Komponenta III „Potpora lokalnim inicijativama za uključivanje Roma“ – od izrade projektne dokumentacije za infrastrukturne radove jedinicama lokalne samouprave se odustalo te se zbog odustajanja pokreće postupak izmjene Projektnog sažetka u dijelu Komponente III, postupak izmjene Projektnog sažetka odobrava EK. Ured odnosno JPP je u fazi programiranja nove komponente III i pisanja obrazloženja i zahtjeva za promjenom projektnog sažetka (planirana vrijednost nove Komponente III – 1.000.000,00 EUR). </w:t>
      </w:r>
    </w:p>
    <w:p w:rsidR="005C2091" w:rsidRDefault="00A86293">
      <w:r>
        <w:t>Tijekom 2016. godine, Ured je pripremio potrebnu dokumentaciju za nadležnu opću upravu Europske komisije vezano uz izmjene Projektnog sažetka te izradio natječajnu dokumentaciju (Opis posla) za postupak javne nabave po novo odobrenom projektu: „Prikupljanje i praćenje baznih podataka za učinkovitu provedbu Nacionalne strategije za uključivanje Roma“. Ugovor je potpisan 29. studenog 2016. godine (broj ugovora 2012-01-23-030301, vrijednost Ugovora: 689.278,35 EUR), a provedba aktivnosti planirana je tijekom 2017. i 2018. godine. Predujam još uvijek nije isplaćen.</w:t>
      </w:r>
    </w:p>
    <w:p w:rsidR="005C2091" w:rsidRDefault="00A86293">
      <w:pPr>
        <w:pStyle w:val="Heading4"/>
      </w:pPr>
      <w:r>
        <w:t>A513048 TALIJANSKA UNIJA, RIJEKA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A513048-TALIJANSKA UNIJA, RIJEKA</w:t>
            </w:r>
          </w:p>
        </w:tc>
        <w:tc>
          <w:tcPr>
            <w:tcW w:w="2041" w:type="dxa"/>
          </w:tcPr>
          <w:p w:rsidR="005C2091" w:rsidRDefault="00A86293">
            <w:pPr>
              <w:pStyle w:val="CellColumn"/>
              <w:jc w:val="right"/>
            </w:pPr>
            <w:r>
              <w:rPr>
                <w:rFonts w:cs="Times New Roman"/>
              </w:rPr>
              <w:t>2.000.000</w:t>
            </w:r>
          </w:p>
        </w:tc>
        <w:tc>
          <w:tcPr>
            <w:tcW w:w="2041" w:type="dxa"/>
          </w:tcPr>
          <w:p w:rsidR="005C2091" w:rsidRDefault="00A86293">
            <w:pPr>
              <w:pStyle w:val="CellColumn"/>
              <w:jc w:val="right"/>
            </w:pPr>
            <w:r>
              <w:rPr>
                <w:rFonts w:cs="Times New Roman"/>
              </w:rPr>
              <w:t>500.000</w:t>
            </w:r>
          </w:p>
        </w:tc>
        <w:tc>
          <w:tcPr>
            <w:tcW w:w="2041" w:type="dxa"/>
          </w:tcPr>
          <w:p w:rsidR="005C2091" w:rsidRDefault="00A86293">
            <w:pPr>
              <w:pStyle w:val="CellColumn"/>
              <w:jc w:val="right"/>
            </w:pPr>
            <w:r>
              <w:rPr>
                <w:rFonts w:cs="Times New Roman"/>
              </w:rPr>
              <w:t>500.000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25,0</w:t>
            </w:r>
          </w:p>
        </w:tc>
      </w:tr>
    </w:tbl>
    <w:p w:rsidR="005C2091" w:rsidRDefault="005C2091">
      <w:pPr>
        <w:jc w:val="left"/>
      </w:pPr>
    </w:p>
    <w:p w:rsidR="005C2091" w:rsidRDefault="00A86293">
      <w:pPr>
        <w:pStyle w:val="Heading8"/>
        <w:jc w:val="left"/>
      </w:pPr>
      <w:r>
        <w:t>Opis aktivnosti</w:t>
      </w:r>
    </w:p>
    <w:p w:rsidR="003314EE" w:rsidRDefault="00A86293">
      <w:r>
        <w:t>Talijanska unija je središnja udruga talijanske nacionalne manjine koja predstavlja interese talijanske nacionalne manjine u Republici Hrvatskoj. U okviru Talijanske unije djeluje  pedeset zajednica Talijana i tri kulturna društva. Sredstva se odnose na prvo tromjesečje 2016. godine.</w:t>
      </w:r>
    </w:p>
    <w:p w:rsidR="00290EC0" w:rsidRDefault="00290EC0"/>
    <w:p w:rsidR="00290EC0" w:rsidRDefault="00290EC0"/>
    <w:p w:rsidR="00290EC0" w:rsidRDefault="00290EC0"/>
    <w:p w:rsidR="005C2091" w:rsidRDefault="00A86293">
      <w:pPr>
        <w:pStyle w:val="Heading4"/>
      </w:pPr>
      <w:r>
        <w:t>A513049 SAVEZ ČEHA U REPUBLICI HRVATSKOJ, DARUVAR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A513049-SAVEZ ČEHA U REPUBLICI HRVATSKOJ, DARUVAR</w:t>
            </w:r>
          </w:p>
        </w:tc>
        <w:tc>
          <w:tcPr>
            <w:tcW w:w="2041" w:type="dxa"/>
          </w:tcPr>
          <w:p w:rsidR="005C2091" w:rsidRDefault="00A86293">
            <w:pPr>
              <w:pStyle w:val="CellColumn"/>
              <w:jc w:val="right"/>
            </w:pPr>
            <w:r>
              <w:rPr>
                <w:rFonts w:cs="Times New Roman"/>
              </w:rPr>
              <w:t>700.000</w:t>
            </w:r>
          </w:p>
        </w:tc>
        <w:tc>
          <w:tcPr>
            <w:tcW w:w="2041" w:type="dxa"/>
          </w:tcPr>
          <w:p w:rsidR="005C2091" w:rsidRDefault="00A86293">
            <w:pPr>
              <w:pStyle w:val="CellColumn"/>
              <w:jc w:val="right"/>
            </w:pPr>
            <w:r>
              <w:rPr>
                <w:rFonts w:cs="Times New Roman"/>
              </w:rPr>
              <w:t>210.000</w:t>
            </w:r>
          </w:p>
        </w:tc>
        <w:tc>
          <w:tcPr>
            <w:tcW w:w="2041" w:type="dxa"/>
          </w:tcPr>
          <w:p w:rsidR="005C2091" w:rsidRDefault="00A86293">
            <w:pPr>
              <w:pStyle w:val="CellColumn"/>
              <w:jc w:val="right"/>
            </w:pPr>
            <w:r>
              <w:rPr>
                <w:rFonts w:cs="Times New Roman"/>
              </w:rPr>
              <w:t>210.000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30,0</w:t>
            </w:r>
          </w:p>
        </w:tc>
      </w:tr>
    </w:tbl>
    <w:p w:rsidR="005C2091" w:rsidRDefault="005C2091">
      <w:pPr>
        <w:jc w:val="left"/>
      </w:pPr>
    </w:p>
    <w:p w:rsidR="005C2091" w:rsidRDefault="00A86293">
      <w:pPr>
        <w:pStyle w:val="Heading8"/>
        <w:jc w:val="left"/>
      </w:pPr>
      <w:r>
        <w:t>Opis aktivnosti</w:t>
      </w:r>
    </w:p>
    <w:p w:rsidR="005C2091" w:rsidRDefault="00A86293">
      <w:r>
        <w:t>Savez Čeha u Republici Hrvatskoj krovna je udruga češke nacionalne manjine koja objedinjuje 31 češku besedu.  U okviru raspoloživih sredstava Savez Čeha je usmjeravao aktivnosti na stvaranje pretpostavki za rad  novonastalih udruga, kao i na  razvoj materijalne strukture te promotivne aktivnosti češke zajednice. Sredstva se odnose na prvo tromjesečje 2016. godine.</w:t>
      </w:r>
    </w:p>
    <w:p w:rsidR="005C2091" w:rsidRDefault="00A86293">
      <w:pPr>
        <w:pStyle w:val="Heading4"/>
      </w:pPr>
      <w:r>
        <w:t>A513051 NACIONALNA PLATFORMA ZA ROME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A513051-NACIONALNA PLATFORMA ZA ROME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447.177</w:t>
            </w:r>
          </w:p>
        </w:tc>
        <w:tc>
          <w:tcPr>
            <w:tcW w:w="2041" w:type="dxa"/>
          </w:tcPr>
          <w:p w:rsidR="005C2091" w:rsidRDefault="00A86293">
            <w:pPr>
              <w:pStyle w:val="CellColumn"/>
              <w:jc w:val="right"/>
            </w:pPr>
            <w:r>
              <w:rPr>
                <w:rFonts w:cs="Times New Roman"/>
              </w:rPr>
              <w:t>180.191</w:t>
            </w:r>
          </w:p>
        </w:tc>
        <w:tc>
          <w:tcPr>
            <w:tcW w:w="1224" w:type="dxa"/>
          </w:tcPr>
          <w:p w:rsidR="005C2091" w:rsidRDefault="00A86293">
            <w:pPr>
              <w:pStyle w:val="CellColumn"/>
              <w:jc w:val="right"/>
            </w:pPr>
            <w:r>
              <w:rPr>
                <w:rFonts w:cs="Times New Roman"/>
              </w:rPr>
              <w:t>40,3</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Opis aktivnosti</w:t>
      </w:r>
    </w:p>
    <w:p w:rsidR="005C2091" w:rsidRDefault="00A86293">
      <w:r>
        <w:t>„LIVING EQUALITY“ – (REC PROGRAM DG JUSTICE): „Nacionalna Platforma za Rome (65.268,00 EUR) – EU sredstva: 51.928,00 eura nacionalna sredstva: 13.340,00 eura. Projekt ima za cilj otvoriti prostor za razgovor, konzultacije i uključivanje u provedbu NSUR-a svih dionika, a posebno Roma. Projekt se provodi od travnja 2016. godine i sve su aktivnosti provedene u skladu s projektnim sažetkom (1 nacionalna konferencija, 4 regionalne diskusije, 4 događanja za žene i mlade pripadnike romske nacionalne manjine). Provedba projekta završava u svibnju 2017. godine.</w:t>
      </w:r>
    </w:p>
    <w:p w:rsidR="005C2091" w:rsidRDefault="00A86293">
      <w:pPr>
        <w:pStyle w:val="Heading3"/>
      </w:pPr>
      <w:r>
        <w:rPr>
          <w:rFonts w:cs="Times New Roman"/>
        </w:rPr>
        <w:t>2111 PROMICANJE LJUDSKIH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2111-PROMICANJE LJUDSKIH PRAVA</w:t>
            </w:r>
          </w:p>
        </w:tc>
        <w:tc>
          <w:tcPr>
            <w:tcW w:w="2041" w:type="dxa"/>
          </w:tcPr>
          <w:p w:rsidR="005C2091" w:rsidRDefault="00A86293">
            <w:pPr>
              <w:pStyle w:val="CellColumn"/>
              <w:jc w:val="right"/>
            </w:pPr>
            <w:r>
              <w:rPr>
                <w:rFonts w:cs="Times New Roman"/>
              </w:rPr>
              <w:t>3.678.450</w:t>
            </w:r>
          </w:p>
        </w:tc>
        <w:tc>
          <w:tcPr>
            <w:tcW w:w="2041" w:type="dxa"/>
          </w:tcPr>
          <w:p w:rsidR="005C2091" w:rsidRDefault="00A86293">
            <w:pPr>
              <w:pStyle w:val="CellColumn"/>
              <w:jc w:val="right"/>
            </w:pPr>
            <w:r>
              <w:rPr>
                <w:rFonts w:cs="Times New Roman"/>
              </w:rPr>
              <w:t>3.998.607</w:t>
            </w:r>
          </w:p>
        </w:tc>
        <w:tc>
          <w:tcPr>
            <w:tcW w:w="2041" w:type="dxa"/>
          </w:tcPr>
          <w:p w:rsidR="005C2091" w:rsidRDefault="00A86293">
            <w:pPr>
              <w:pStyle w:val="CellColumn"/>
              <w:jc w:val="right"/>
            </w:pPr>
            <w:r>
              <w:rPr>
                <w:rFonts w:cs="Times New Roman"/>
              </w:rPr>
              <w:t>2.974.679</w:t>
            </w:r>
          </w:p>
        </w:tc>
        <w:tc>
          <w:tcPr>
            <w:tcW w:w="1224" w:type="dxa"/>
          </w:tcPr>
          <w:p w:rsidR="005C2091" w:rsidRDefault="00A86293">
            <w:pPr>
              <w:pStyle w:val="CellColumn"/>
              <w:jc w:val="right"/>
            </w:pPr>
            <w:r>
              <w:rPr>
                <w:rFonts w:cs="Times New Roman"/>
              </w:rPr>
              <w:t>74,4</w:t>
            </w:r>
          </w:p>
        </w:tc>
        <w:tc>
          <w:tcPr>
            <w:tcW w:w="1224" w:type="dxa"/>
          </w:tcPr>
          <w:p w:rsidR="005C2091" w:rsidRDefault="00A86293">
            <w:pPr>
              <w:pStyle w:val="CellColumn"/>
              <w:jc w:val="right"/>
            </w:pPr>
            <w:r>
              <w:rPr>
                <w:rFonts w:cs="Times New Roman"/>
              </w:rPr>
              <w:t>80,9</w:t>
            </w:r>
          </w:p>
        </w:tc>
      </w:tr>
    </w:tbl>
    <w:p w:rsidR="005C2091" w:rsidRDefault="005C2091">
      <w:pPr>
        <w:jc w:val="left"/>
      </w:pPr>
    </w:p>
    <w:p w:rsidR="005C2091" w:rsidRDefault="00A86293">
      <w:r>
        <w:t xml:space="preserve">U okviru programa 2111 Promicanje ljudskih prava, Ured za ljudska prava i prava nacionalnih manjina koordinira i nadzire provođenje Nacionalnog programa zaštite i promicanja ljudskih prava, Nacionalnog plana za borbu protiv diskriminacije i pridružene mu Akcijske planove, Nacionalnog plana suzbijanja trgovanja ljudima, Akcijskog plana za uklanjanje prepreka pri ostvarivanju pojedinih prava u području integracije stranaca. Ured je tajništvo Nacionalnog odbora za suzbijanje trgovanja ljudima, Operativnog tima nacionalnog odbora za suzbijanje trgovanja ljudima i Povjerenstva za  ljudska prava.  </w:t>
      </w:r>
    </w:p>
    <w:p w:rsidR="005C2091" w:rsidRDefault="00A86293">
      <w:r>
        <w:t xml:space="preserve">Ured koordinira i pruža stručnu podršku županijskim koordinacijama za ljudska prava te organizira niz okruglih stolova i seminara u cilju promocije i zaštite ljudskih prava i prava nacionalnih manjina. U cilju promocije i zaštite ljudskih prava Ured svake godine organizira proslavu Međunarodnog dana ljudskih prava i Europskog dana suzbijanja trgovanja ljudima.  </w:t>
      </w:r>
    </w:p>
    <w:p w:rsidR="005C2091" w:rsidRDefault="00A86293">
      <w:r>
        <w:t xml:space="preserve">Također, u cilju jačanja sustava zaštite ljudskih prava Ured za ljudska prava i prava nacionalnih manjina prati preporuke Pučkog pravobranitelja te osigurava njihovu provedbu. </w:t>
      </w:r>
    </w:p>
    <w:p w:rsidR="005C2091" w:rsidRDefault="00A86293">
      <w:r>
        <w:t xml:space="preserve">Nadalje, Vlada RH donijela je zaključak Vlade RH kojim se utvrđuju tijela državne uprave nadležna za koordinaciju sudjelovanja Republike Hrvatske u Programima Unije u financijskom razdoblju 2014. – 2020., imenuju odgovorne osobe za koordinaciju sudjelovanja RH u Programima Unije te propisuje sudjelovanje tijela </w:t>
      </w:r>
      <w:r>
        <w:lastRenderedPageBreak/>
        <w:t xml:space="preserve">državne uprave u provedbi Programa Unije. Sukladno zaključku Ured za ljudska prava i prava nacionalnih manjina uključen je kao tijelo državne uprave u provedbu Programa o pravima, jednakosti i građanstvu.  </w:t>
      </w:r>
    </w:p>
    <w:p w:rsidR="005C2091" w:rsidRDefault="00A86293">
      <w:r>
        <w:t xml:space="preserve">Nadalje, Ured je središnje tijelo za prikupljanje i objavu podataka o zločinima iz mržnje, suradnju s organizacijama civilnoga društava i međunarodnim organizacijama. Ured po potrebi organizira preventivne kampanje radi osvješćivanja javnosti i sprečavanja širenja zločina iz mržnje, koordinira radom Radne skupine za praćenje zločina iz mržnje te potiče međuinstitucionalnu suradnju u sustavu praćenja zločina iz mržnje. Ured je tijelo ovlašteno za suradnju s Organizacijom za europsku sigurnost i suradnju, te drugim međunarodnim organizacijama, vezano uz pitanja zločina iz mržnje.  </w:t>
      </w:r>
    </w:p>
    <w:p w:rsidR="005C2091" w:rsidRDefault="00A86293">
      <w:r>
        <w:t>Ured za ljudska osigurava podršku organizacijama civilnog društva aktivnim u području zaštite i promicanja ljudskih prava.</w:t>
      </w:r>
    </w:p>
    <w:p w:rsidR="005C2091" w:rsidRDefault="00A86293">
      <w:pPr>
        <w:pStyle w:val="Heading8"/>
        <w:jc w:val="left"/>
      </w:pPr>
      <w:r>
        <w:t xml:space="preserve">Cilj 1. Unapređenje cjelokupnog sustava zaštite i promicanja ljudskih prava u Republici Hrvatskoj </w:t>
      </w:r>
    </w:p>
    <w:p w:rsidR="005C2091" w:rsidRDefault="00A86293">
      <w:pPr>
        <w:pStyle w:val="Heading8"/>
        <w:jc w:val="left"/>
      </w:pPr>
      <w:r>
        <w:t>Opis provedbe cilja programa</w:t>
      </w:r>
    </w:p>
    <w:p w:rsidR="005C2091" w:rsidRDefault="00A86293">
      <w:r>
        <w:t>Ured kontinuirano radi na: (1) zaštiti, promicanju i unapređenju ljudskih prava i prava nacionalnih manjina u Republici Hrvatskoj, posebice onih područja koja iziskuju prioritetno rješavanje postojećih problema; (2) podizanju javne svijesti o važnosti poznavanja i ostvarivanja ljudskih prava i prava nacionalnih manjina; (3) unaprjeđivanju suradnje u sustavu tijela Republike Hrvatske za zaštitu i promicanje ljudskih prava i prava nacionalnih manjina; (4) jačanju sustava obrazovanja za ljudska prava i prava nacionalnih manjina te (5) stvaranju uvjeta za kvalitetnu suradnju s organizacijama civilnoga društva na području ljudskih prava i prava nacionalnih manjina.</w:t>
      </w:r>
    </w:p>
    <w:p w:rsidR="005C2091" w:rsidRDefault="00A86293">
      <w:pPr>
        <w:pStyle w:val="Heading4"/>
      </w:pPr>
      <w:r>
        <w:t>A513039 PROVEDBA MIGRACIJSKE POLITIKE 2013-2015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A513039-PROVEDBA MIGRACIJSKE POLITIKE 2013-2015</w:t>
            </w:r>
          </w:p>
        </w:tc>
        <w:tc>
          <w:tcPr>
            <w:tcW w:w="2041" w:type="dxa"/>
          </w:tcPr>
          <w:p w:rsidR="005C2091" w:rsidRDefault="00A86293">
            <w:pPr>
              <w:pStyle w:val="CellColumn"/>
              <w:jc w:val="right"/>
            </w:pPr>
            <w:r>
              <w:rPr>
                <w:rFonts w:cs="Times New Roman"/>
              </w:rPr>
              <w:t>19.903</w:t>
            </w:r>
          </w:p>
        </w:tc>
        <w:tc>
          <w:tcPr>
            <w:tcW w:w="2041" w:type="dxa"/>
          </w:tcPr>
          <w:p w:rsidR="005C2091" w:rsidRDefault="00A86293">
            <w:pPr>
              <w:pStyle w:val="CellColumn"/>
              <w:jc w:val="right"/>
            </w:pPr>
            <w:r>
              <w:rPr>
                <w:rFonts w:cs="Times New Roman"/>
              </w:rPr>
              <w:t>30.100</w:t>
            </w:r>
          </w:p>
        </w:tc>
        <w:tc>
          <w:tcPr>
            <w:tcW w:w="2041" w:type="dxa"/>
          </w:tcPr>
          <w:p w:rsidR="005C2091" w:rsidRDefault="00A86293">
            <w:pPr>
              <w:pStyle w:val="CellColumn"/>
              <w:jc w:val="right"/>
            </w:pPr>
            <w:r>
              <w:rPr>
                <w:rFonts w:cs="Times New Roman"/>
              </w:rPr>
              <w:t>12.839</w:t>
            </w:r>
          </w:p>
        </w:tc>
        <w:tc>
          <w:tcPr>
            <w:tcW w:w="1224" w:type="dxa"/>
          </w:tcPr>
          <w:p w:rsidR="005C2091" w:rsidRDefault="00A86293">
            <w:pPr>
              <w:pStyle w:val="CellColumn"/>
              <w:jc w:val="right"/>
            </w:pPr>
            <w:r>
              <w:rPr>
                <w:rFonts w:cs="Times New Roman"/>
              </w:rPr>
              <w:t>42,7</w:t>
            </w:r>
          </w:p>
        </w:tc>
        <w:tc>
          <w:tcPr>
            <w:tcW w:w="1224" w:type="dxa"/>
          </w:tcPr>
          <w:p w:rsidR="005C2091" w:rsidRDefault="00A86293">
            <w:pPr>
              <w:pStyle w:val="CellColumn"/>
              <w:jc w:val="right"/>
            </w:pPr>
            <w:r>
              <w:rPr>
                <w:rFonts w:cs="Times New Roman"/>
              </w:rPr>
              <w:t>64,5</w:t>
            </w:r>
          </w:p>
        </w:tc>
      </w:tr>
    </w:tbl>
    <w:p w:rsidR="005C2091" w:rsidRDefault="005C2091">
      <w:pPr>
        <w:jc w:val="left"/>
      </w:pPr>
    </w:p>
    <w:p w:rsidR="005C2091" w:rsidRDefault="00A86293">
      <w:pPr>
        <w:pStyle w:val="Heading8"/>
        <w:jc w:val="left"/>
      </w:pPr>
      <w:r>
        <w:t>Opis aktivnosti</w:t>
      </w:r>
    </w:p>
    <w:p w:rsidR="005C2091" w:rsidRDefault="00A86293">
      <w:r>
        <w:t xml:space="preserve">Vlada Republike Hrvatske donijela je Migracijsku politiku za razdoblje od 2013.-2015. godine. U kontekstu zakonitih migracija u Republici Hrvatskoj integracija stranaca u hrvatsko društvo predstavlja jedan od prioriteta kako bi se postigla svrha Migracijske politike - reguliranje migracijskih kretanja u Republici Hrvatskoj u cilju gospodarskog, socijalnog i kulturnog razvitka društva i države. Radi uspješne implementacije integracijske politike nužno je osigurati usklađenost djelovanja svih relevantnih dionika kao što su državna tijela, organizacije civilnoga društva, mediji, ali i građani kao takvi. </w:t>
      </w:r>
    </w:p>
    <w:p w:rsidR="005C2091" w:rsidRDefault="00A86293">
      <w:r>
        <w:t xml:space="preserve">Sukladno mjeri 5.3. Migracijske politike donesen je  Akcijski plan za uklanjanje prepreka u ostvarivanju pojedinih prava u području integracije stranaca za razdoblje od 2013. do 2015. godine. Nositelj navedene mjere je bio Ured za ljudska prava i prava nacionalnih manjina Vlade Republike Hrvatske, sa ciljem uspješne provedbe integracije stranaca u hrvatsko društvo.  </w:t>
      </w:r>
    </w:p>
    <w:p w:rsidR="005C2091" w:rsidRDefault="00A86293">
      <w:r>
        <w:t xml:space="preserve">Prilikom definiranja strateških područja i mjera u Akcijskom planu Radna skupina za operativnu provedbu zadaća Stalnog povjerenstva za provedbu integracije stranaca u hrvatsko društvo uzela je u obzir zatečeno stanje u području zakonitih migracija u Republici Hrvatskoj, kao i izazove iz prethodnih politika kao što su sprječavanje diskriminirajućih postupaka i ponašanja prema doseljenicima te osiguravanje prava na ravnopravan status u odnosu na državljane Republike Hrvatske u gospodarskom, društvenom i kulturnom životu, s usmjerenjem prema stjecanju državljanstva.  </w:t>
      </w:r>
    </w:p>
    <w:p w:rsidR="005C2091" w:rsidRDefault="00A86293">
      <w:r>
        <w:t>Izvješće o provedbi navedenog Akcijskog plana upućen je u vladinu proceduru početkom 2017. godine.</w:t>
      </w:r>
    </w:p>
    <w:p w:rsidR="005C2091" w:rsidRDefault="00A86293">
      <w:pPr>
        <w:pStyle w:val="Heading4"/>
      </w:pPr>
      <w:r>
        <w:lastRenderedPageBreak/>
        <w:t>A513040 PROVEDBA NACIONALNOG PROGRAMA ZAŠTITE I PROMICANJA LJUDSKIH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A513040-PROVEDBA NACIONALNOG PROGRAMA ZAŠTITE I PROMICANJA LJUDSKIH PRAVA</w:t>
            </w:r>
          </w:p>
        </w:tc>
        <w:tc>
          <w:tcPr>
            <w:tcW w:w="2041" w:type="dxa"/>
          </w:tcPr>
          <w:p w:rsidR="005C2091" w:rsidRDefault="00A86293">
            <w:pPr>
              <w:pStyle w:val="CellColumn"/>
              <w:jc w:val="right"/>
            </w:pPr>
            <w:r>
              <w:rPr>
                <w:rFonts w:cs="Times New Roman"/>
              </w:rPr>
              <w:t>12.979</w:t>
            </w:r>
          </w:p>
        </w:tc>
        <w:tc>
          <w:tcPr>
            <w:tcW w:w="2041" w:type="dxa"/>
          </w:tcPr>
          <w:p w:rsidR="005C2091" w:rsidRDefault="00A86293">
            <w:pPr>
              <w:pStyle w:val="CellColumn"/>
              <w:jc w:val="right"/>
            </w:pPr>
            <w:r>
              <w:rPr>
                <w:rFonts w:cs="Times New Roman"/>
              </w:rPr>
              <w:t>17.100</w:t>
            </w:r>
          </w:p>
        </w:tc>
        <w:tc>
          <w:tcPr>
            <w:tcW w:w="2041" w:type="dxa"/>
          </w:tcPr>
          <w:p w:rsidR="005C2091" w:rsidRDefault="00A86293">
            <w:pPr>
              <w:pStyle w:val="CellColumn"/>
              <w:jc w:val="right"/>
            </w:pPr>
            <w:r>
              <w:rPr>
                <w:rFonts w:cs="Times New Roman"/>
              </w:rPr>
              <w:t>1.235</w:t>
            </w:r>
          </w:p>
        </w:tc>
        <w:tc>
          <w:tcPr>
            <w:tcW w:w="1224" w:type="dxa"/>
          </w:tcPr>
          <w:p w:rsidR="005C2091" w:rsidRDefault="00A86293">
            <w:pPr>
              <w:pStyle w:val="CellColumn"/>
              <w:jc w:val="right"/>
            </w:pPr>
            <w:r>
              <w:rPr>
                <w:rFonts w:cs="Times New Roman"/>
              </w:rPr>
              <w:t>7,2</w:t>
            </w:r>
          </w:p>
        </w:tc>
        <w:tc>
          <w:tcPr>
            <w:tcW w:w="1224" w:type="dxa"/>
          </w:tcPr>
          <w:p w:rsidR="005C2091" w:rsidRDefault="00A86293">
            <w:pPr>
              <w:pStyle w:val="CellColumn"/>
              <w:jc w:val="right"/>
            </w:pPr>
            <w:r>
              <w:rPr>
                <w:rFonts w:cs="Times New Roman"/>
              </w:rPr>
              <w:t>9,5</w:t>
            </w:r>
          </w:p>
        </w:tc>
      </w:tr>
    </w:tbl>
    <w:p w:rsidR="005C2091" w:rsidRDefault="005C2091">
      <w:pPr>
        <w:jc w:val="left"/>
      </w:pPr>
    </w:p>
    <w:p w:rsidR="005C2091" w:rsidRDefault="00A86293">
      <w:pPr>
        <w:pStyle w:val="Heading8"/>
        <w:jc w:val="left"/>
      </w:pPr>
      <w:r>
        <w:t>Opis aktivnosti</w:t>
      </w:r>
    </w:p>
    <w:p w:rsidR="005C2091" w:rsidRDefault="00A86293">
      <w:r>
        <w:t xml:space="preserve">Vlada Republike Hrvatske donijela je Nacionalni program zaštite i promicanja ljudskih prava za razdoblje od 2013. do 2016. godine i predstavlja strateški dokument Vlade Republike Hrvatske, donošenje kojeg proizlazi iz obveza koje je Republike Hrvatska preuzela slijedom preporuka Bečke deklaracije (1993.) Ujedinjenih naroda o izradi nacionalnih planova djelovanja u zaštiti ljudskih prava. U okviru dokumenta utvrđena su prioritetna područja na lokalnoj, nacionalnoj, regionalnoj i međunarodnoj razini u cilju zaštite, promicanja i unaprjeđenja ljudskih prava u Republici Hrvatskoj, kao i u svrhu podizanja javne svijesti o važnosti poznavanja i ostvarivanja ljudskih prava. Nacionalni program čini šest poglavlja u okviru kojeg je definirano 30 područja kao što su ravnopravnost spolova, suzbijanje rasne i druge diskriminacije, prava nacionalnih manjina, nestale osobe u RH, prava aktivnih sudionika i stradalnika Domovinskog rata, pravo na besplatnu pravnu pomoć, sloboda medija, pravo na pristup informacijama, pravo na zaštitu osobnih podataka, vjerska prava i slobode, zaštita prava i dostojanstva radnika, posebna zaštita obitelji, zaštita prava djece, zaštita prava mladih, zaštita prava osoba s invaliditetom i drugi. Izradu godišnjih izvješća o provedbi mjera iz navedenog dokumenta koordinira Ured. </w:t>
      </w:r>
    </w:p>
    <w:p w:rsidR="004D6F9D" w:rsidRDefault="00A86293">
      <w:r>
        <w:t>S ciljem unapređenja sustava ljudskih prava u RH, osvješćivanja javnosti o problemima ostvarivanja ljudskih prava, primjene Zakona o suzbijanju diskriminacije, osiguranja razvoja kapaciteta i standarde djelovanja organizacija civilnoga društva u zaštiti ljudskih prava, u 2016. organizirani su okrugli stolovi i radionica o ljudskim pravima za ciljane skupine te događanja u suradnji s jedinicama lokalne i regionalne samouprave – putem županijskih koordinacija za ljudska prava.</w:t>
      </w:r>
    </w:p>
    <w:p w:rsidR="004D6F9D" w:rsidRDefault="004D6F9D"/>
    <w:p w:rsidR="004D6F9D" w:rsidRDefault="004D6F9D"/>
    <w:p w:rsidR="004D6F9D" w:rsidRDefault="004D6F9D"/>
    <w:p w:rsidR="004D6F9D" w:rsidRDefault="004D6F9D"/>
    <w:p w:rsidR="004D6F9D" w:rsidRDefault="004D6F9D"/>
    <w:p w:rsidR="005C2091" w:rsidRDefault="00A86293">
      <w:pPr>
        <w:pStyle w:val="Heading4"/>
      </w:pPr>
      <w:r>
        <w:t>A513052 NACIONALNI PLAN ZA BORBU PROTIV DISKRIMINACIJE ZA RAZDOBLJE 2015.-2020.</w:t>
      </w:r>
    </w:p>
    <w:tbl>
      <w:tblPr>
        <w:tblStyle w:val="StilTablice"/>
        <w:tblW w:w="10206" w:type="dxa"/>
        <w:jc w:val="center"/>
        <w:tblLook w:val="04A0" w:firstRow="1" w:lastRow="0" w:firstColumn="1" w:lastColumn="0" w:noHBand="0" w:noVBand="1"/>
      </w:tblPr>
      <w:tblGrid>
        <w:gridCol w:w="1715"/>
        <w:gridCol w:w="2018"/>
        <w:gridCol w:w="2015"/>
        <w:gridCol w:w="2018"/>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A513052-NACIONALNI PLAN ZA BORBU PROTIV DISKRIMINACIJE ZA RAZDOBLJE 2015.-2020.</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33.000</w:t>
            </w:r>
          </w:p>
        </w:tc>
        <w:tc>
          <w:tcPr>
            <w:tcW w:w="2041" w:type="dxa"/>
          </w:tcPr>
          <w:p w:rsidR="005C2091" w:rsidRDefault="00A86293">
            <w:pPr>
              <w:pStyle w:val="CellColumn"/>
              <w:jc w:val="right"/>
            </w:pPr>
            <w:r>
              <w:rPr>
                <w:rFonts w:cs="Times New Roman"/>
              </w:rPr>
              <w:t>5.080</w:t>
            </w:r>
          </w:p>
        </w:tc>
        <w:tc>
          <w:tcPr>
            <w:tcW w:w="1224" w:type="dxa"/>
          </w:tcPr>
          <w:p w:rsidR="005C2091" w:rsidRDefault="00A86293">
            <w:pPr>
              <w:pStyle w:val="CellColumn"/>
              <w:jc w:val="right"/>
            </w:pPr>
            <w:r>
              <w:rPr>
                <w:rFonts w:cs="Times New Roman"/>
              </w:rPr>
              <w:t>15,4</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Opis aktivnosti</w:t>
      </w:r>
    </w:p>
    <w:p w:rsidR="005C2091" w:rsidRDefault="00A86293">
      <w:r>
        <w:t xml:space="preserve">Nacionalni plan za borbu protiv diskriminacije strateški je dokument kojim Vlada Republike Hrvatske na temelju analize stanja postavlja prioritete, predlaže ciljeve te usmjerava svoje napore prema izgradnji cjelovitog sustava zaštite od diskriminacije u Republici Hrvatskoj. Ciljevi Nacionalnog plana su zaštita, promicanje i unaprjeđenje prava na nediskriminaciju i jednako postupanje u Republici Hrvatskoj te podizanje javne svijesti o važnosti poznavanja i ostvarivanja ovog prava. </w:t>
      </w:r>
    </w:p>
    <w:p w:rsidR="005C2091" w:rsidRDefault="00A86293">
      <w:r>
        <w:t xml:space="preserve">Ovaj Nacionalni plan nadovezuje se na prvi Nacionalni plan za borbu protiv diskriminacije 2008.–2013. koji je Vlada Republike Hrvatske usvojila 17. rujna 2008. godine. Za provedbu mjera utvrđenih prvim Nacionalnim planom za borbu protiv diskriminacije Vlada Republike Hrvatske donijela je Akcijski plan za razdoblje od 2008. do 2009. godine, kao i Akcijski plan za razdoblje od 2011 do 2013., koji su sadržavali mjere, nositelje i rokove za izvršenje mjera te iznose i izvore sredstava osiguranih za provedbu pojedinih mjera.  </w:t>
      </w:r>
    </w:p>
    <w:p w:rsidR="005C2091" w:rsidRDefault="00A86293">
      <w:r>
        <w:t xml:space="preserve">Također, ovaj Nacionalni plan predstavlja i provedbu preporuka koje je Republika Hrvatska dobila u okviru obrane UPR izvješća. </w:t>
      </w:r>
    </w:p>
    <w:p w:rsidR="005C2091" w:rsidRDefault="00A86293">
      <w:r>
        <w:t>Tijekom 2016. godine, Ured za ljudska prava i prava nacionalnih manjina koordinirao je aktivnosti na doradi nacrta Nacionalnog plana za borbu protiv diskriminacije za razdoblje 2016.-2021. godine i nacrta pratećeg Akcijskog plana za provedbu Nacionalnog plana za borbu protiv diskriminacije za razdoblje 2016.-2018. godine koje su zbog objektivnih okolnosti nastavljene i u narednoj godini. U skladu s donošenjem državnog proračuna za 2017. godinu Ured je redefinirao razdoblje primjene navedenih akata te pokrenuo proces ponovnog osnivanja radne skupine za izradu Nacionalnog plana za borbu protiv diskriminacije za razdoblje od 2017. do 2022.</w:t>
      </w:r>
    </w:p>
    <w:p w:rsidR="005C2091" w:rsidRDefault="00A86293">
      <w:pPr>
        <w:pStyle w:val="Heading4"/>
      </w:pPr>
      <w:r>
        <w:t>A681023 PROVEDBA NACIONALNOG PLANA ZA SUZBIJANJE TRGOVANJA LJUDIMA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A681023-PROVEDBA NACIONALNOG PLANA ZA SUZBIJANJE TRGOVANJA LJUDIMA</w:t>
            </w:r>
          </w:p>
        </w:tc>
        <w:tc>
          <w:tcPr>
            <w:tcW w:w="2041" w:type="dxa"/>
          </w:tcPr>
          <w:p w:rsidR="005C2091" w:rsidRDefault="00A86293">
            <w:pPr>
              <w:pStyle w:val="CellColumn"/>
              <w:jc w:val="right"/>
            </w:pPr>
            <w:r>
              <w:rPr>
                <w:rFonts w:cs="Times New Roman"/>
              </w:rPr>
              <w:t>71.144</w:t>
            </w:r>
          </w:p>
        </w:tc>
        <w:tc>
          <w:tcPr>
            <w:tcW w:w="2041" w:type="dxa"/>
          </w:tcPr>
          <w:p w:rsidR="005C2091" w:rsidRDefault="00A86293">
            <w:pPr>
              <w:pStyle w:val="CellColumn"/>
              <w:jc w:val="right"/>
            </w:pPr>
            <w:r>
              <w:rPr>
                <w:rFonts w:cs="Times New Roman"/>
              </w:rPr>
              <w:t>78.600</w:t>
            </w:r>
          </w:p>
        </w:tc>
        <w:tc>
          <w:tcPr>
            <w:tcW w:w="2041" w:type="dxa"/>
          </w:tcPr>
          <w:p w:rsidR="005C2091" w:rsidRDefault="00A86293">
            <w:pPr>
              <w:pStyle w:val="CellColumn"/>
              <w:jc w:val="right"/>
            </w:pPr>
            <w:r>
              <w:rPr>
                <w:rFonts w:cs="Times New Roman"/>
              </w:rPr>
              <w:t>27.104</w:t>
            </w:r>
          </w:p>
        </w:tc>
        <w:tc>
          <w:tcPr>
            <w:tcW w:w="1224" w:type="dxa"/>
          </w:tcPr>
          <w:p w:rsidR="005C2091" w:rsidRDefault="00A86293">
            <w:pPr>
              <w:pStyle w:val="CellColumn"/>
              <w:jc w:val="right"/>
            </w:pPr>
            <w:r>
              <w:rPr>
                <w:rFonts w:cs="Times New Roman"/>
              </w:rPr>
              <w:t>34,5</w:t>
            </w:r>
          </w:p>
        </w:tc>
        <w:tc>
          <w:tcPr>
            <w:tcW w:w="1224" w:type="dxa"/>
          </w:tcPr>
          <w:p w:rsidR="005C2091" w:rsidRDefault="00A86293">
            <w:pPr>
              <w:pStyle w:val="CellColumn"/>
              <w:jc w:val="right"/>
            </w:pPr>
            <w:r>
              <w:rPr>
                <w:rFonts w:cs="Times New Roman"/>
              </w:rPr>
              <w:t>38,1</w:t>
            </w:r>
          </w:p>
        </w:tc>
      </w:tr>
    </w:tbl>
    <w:p w:rsidR="005C2091" w:rsidRDefault="005C2091">
      <w:pPr>
        <w:jc w:val="left"/>
      </w:pPr>
    </w:p>
    <w:p w:rsidR="005C2091" w:rsidRDefault="00A86293">
      <w:pPr>
        <w:pStyle w:val="Heading8"/>
        <w:jc w:val="left"/>
      </w:pPr>
      <w:r>
        <w:t>Opis aktivnosti</w:t>
      </w:r>
    </w:p>
    <w:p w:rsidR="005C2091" w:rsidRDefault="00A86293">
      <w:r>
        <w:t xml:space="preserve">Ured koordinira i nadzire provedbu Nacionalnog plana za suzbijanje trgovanja ljudima 2012.-2015 (u daljnjem tekstu: NAP). Ured je ujedno tajništvo Nacionalnog odbora za suzbijanje trgovanja ljudima, koji je zadužen za donošenje programa i planova u području suzbijanja trgovanja ljudima te predlaže najvažnije političke smjernice na ovom području. NAP predstavlja ključni strateški dokument u pogledu suzbijanja trgovanja ljudima. </w:t>
      </w:r>
    </w:p>
    <w:p w:rsidR="005C2091" w:rsidRDefault="00A86293">
      <w:r>
        <w:t xml:space="preserve">Ured je koordinirao radom Operativnog tima, kroz koji Nacionalni odbor djeluje. U 2016. godini sastanci Operativnog tima odvijali su se redovito.  Ured je sudjelovao na brojnim seminarima, radionicama i konferencijama na temu suzbijanja trgovanja ljudima kako u Republici Hrvatskoj tako i u inozemstvu.  </w:t>
      </w:r>
    </w:p>
    <w:p w:rsidR="005C2091" w:rsidRDefault="00A86293">
      <w:r>
        <w:lastRenderedPageBreak/>
        <w:t>Svake godine 18. listopada se obilježava Europski dan suzbijanja trgovanja ljudima, pa je tako obilježen i 2016. organizacijom Okruglog stola na temu „Trgovanje ljudima i migracije – poveznice i rizici“. Također, dio sredstava utrošen je i na koordiniranje radom Radne skupine za izradu prijedloga novog Nacionalnog plana za suzbijanje trgovanja ljudima 2017-2020 te izmjena i dopuna važećih Protokola, kao i za intelektualne usluge prevođenja vezano uz suradnju sa Vijećem Europe.  U 2016. godini Ured je sudjelovao na brojnim radionicama i okruglim stolovima, na kojima je o problematici trgovanja ljudima educirano 175 sudionika.</w:t>
      </w:r>
    </w:p>
    <w:p w:rsidR="005C2091" w:rsidRDefault="00A86293">
      <w:pPr>
        <w:pStyle w:val="Heading4"/>
      </w:pPr>
      <w:r>
        <w:t>A681053 IPA 2012 FFRAC - PODRŠKA PROVEDBI INTEGRACIJE MIGRANATA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A681053-IPA 2012 FFRAC - PODRŠKA PROVEDBI INTEGRACIJE MIGRANATA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616.000</w:t>
            </w:r>
          </w:p>
        </w:tc>
        <w:tc>
          <w:tcPr>
            <w:tcW w:w="2041"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Opis aktivnosti</w:t>
      </w:r>
    </w:p>
    <w:p w:rsidR="005C2091" w:rsidRDefault="00A86293">
      <w:r>
        <w:t xml:space="preserve">„Podrška provedbi politike za integraciju migranata“– projektom bi trebala biti učinjena evaluacija integrativne politike u RH, razvijen novi AP za provedbu integracije migranata te web-sučelje za on-line praćenje integracije migranata, te educirani zaposlenici tijela na državnoj i regionalnoj/lokalnoj razini koji su uključeni u proces izvještavanja o integrativnoj politici. Također, projektom su planirane i edukativne aktivnosti namijenjene zaposlenicima obrazovnog sustava i sustava socijalne skrbi za direktan rad s migrantima.  </w:t>
      </w:r>
    </w:p>
    <w:p w:rsidR="005C2091" w:rsidRDefault="00A86293">
      <w:r>
        <w:t>Tijekom 2016. godine, Ured je pripremio potrebnu dokumentaciju za odobrenje projektnog sažetka te izradio natječajnu dokumentaciju za provedbu javne nabave po predmetnom projektu. Projekt je ugovoren (broj ugovora 2012-04-40-011801, vrijednost ugovora: 393.636,60 EUR, ugovor je potpisan 28. listopada 2016. godine), a provedba aktivnosti planirana je tijekom 2017. i 2018. godine.</w:t>
      </w:r>
    </w:p>
    <w:p w:rsidR="005C2091" w:rsidRDefault="00A86293">
      <w:pPr>
        <w:pStyle w:val="Heading4"/>
      </w:pPr>
      <w:r>
        <w:t>A681055 MJERENJE (NE)JEDNAKOSTI U REPUBLICI HRVATSKOJ - MIND THE GAP</w:t>
      </w:r>
    </w:p>
    <w:tbl>
      <w:tblPr>
        <w:tblStyle w:val="StilTablice"/>
        <w:tblW w:w="10206" w:type="dxa"/>
        <w:jc w:val="center"/>
        <w:tblLook w:val="04A0" w:firstRow="1" w:lastRow="0" w:firstColumn="1" w:lastColumn="0" w:noHBand="0" w:noVBand="1"/>
      </w:tblPr>
      <w:tblGrid>
        <w:gridCol w:w="1737"/>
        <w:gridCol w:w="2011"/>
        <w:gridCol w:w="2009"/>
        <w:gridCol w:w="2011"/>
        <w:gridCol w:w="1218"/>
        <w:gridCol w:w="1220"/>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A681055-MJERENJE (NE)JEDNAKOSTI U REPUBLICI HRVATSKOJ - MIND THE GAP</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161.622</w:t>
            </w:r>
          </w:p>
        </w:tc>
        <w:tc>
          <w:tcPr>
            <w:tcW w:w="2041"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Opis aktivnosti</w:t>
      </w:r>
    </w:p>
    <w:p w:rsidR="005C2091" w:rsidRDefault="00A86293">
      <w:r>
        <w:t xml:space="preserve">Ured za ljudska prava i prava nacionalnih manjina je u suradnji s Centrom za mirovne studije, Ludwig Boltzman institutom iz Austrije, Uredom pučke pravobraniteljice te Srpskim narodnim vijećem prijavio prijedlog projekta JUST/2014/ACTION GRANTS „Mind the Gap – Measuring inequality in Croatia“ (Mind the Gap – Mjerenje nejednakosti u Republici Hrvatskoj) u iznosu od 243.422,50 eura, te po evaluacijskom postupku ostvario dodjelu sredstava za isti.  </w:t>
      </w:r>
    </w:p>
    <w:p w:rsidR="005C2091" w:rsidRDefault="00A86293">
      <w:r>
        <w:lastRenderedPageBreak/>
        <w:t xml:space="preserve">Ukupan iznos alociranih sredstava dodijeljen glavnom partneru (Centru za mirovne studije) zatim je podijeljen tzv. Partnerskim sporazumom razmjerno aktivnostima u kojima je pojedini partner preuzeo vodeću ulogu. Uloga vodećeg partnera pojedinih aktivnosti podrazumijeva organizacijske, financijske i izvještajne obveze u kontekstu provedbe istih. </w:t>
      </w:r>
    </w:p>
    <w:p w:rsidR="005C2091" w:rsidRDefault="00A86293">
      <w:r>
        <w:t>Partnerskim sporazumom Centar za mirovne studije je od ukupne svote ustupio Uredu za ljudska prava i prava nacionalnih manjina iznos od  33.769,20 eura za  aktivnosti u kojima je Ured vodeći partner. Provedba aktivnosti za koje su Uredu za ljudska prava i prava nacionalnih manjina dodijeljena sredstava planirane su tijekom 2017. godine.</w:t>
      </w:r>
    </w:p>
    <w:p w:rsidR="005C2091" w:rsidRDefault="00A86293">
      <w:pPr>
        <w:pStyle w:val="Heading2"/>
      </w:pPr>
      <w:r>
        <w:t>02090 Ured za suzbijanje zlouporabe droga</w:t>
      </w:r>
    </w:p>
    <w:p w:rsidR="005C2091" w:rsidRDefault="00A86293">
      <w:r>
        <w:t xml:space="preserve">Na temelju Zakona o suzbijanju zlouporabe droga i Uredbe o osnivanju Ureda za suzbijanje zlouporabe droga, Vlada RH je ustrojila Ured za suzbijanje zlouporabe droga (u daljnjem tekstu: Ured). </w:t>
      </w:r>
    </w:p>
    <w:p w:rsidR="005C2091" w:rsidRDefault="00A86293">
      <w:r>
        <w:t xml:space="preserve"> Zadaće i opis djelokruga rada Ureda su sustavno praćenje pojava, razmatranje pitanja, obavljanje stručnih, analitičkih, savjetodavnih i drugih poslova vezanih uz suzbijanje zlouporabe droga, primjenu Zakona o suzbijanju zlouporabe droga, te provedbu Nacionalne strategije suzbijanja zlouporabe droga (u daljnjem tekstu: Nacionalna strategija) i Akcijskih planova suzbijanja zlouporabe droga. Osim toga, Ured na prijedlog nadležnih ministarstava predlaže donošenje općeg programa za suzbijanje zlouporabe droga te na prijedlog nadležnih ministarstava prijedlog posebnog programa za suzbijanje zlouporabe droga. Nadalje, izrađuje nacrt i razrađuje provedbu Nacionalne strategije koje dostavlja Vladi Republike Hrvatske, koordinira i prati učinkovitost provedbe Nacionalne strategije, dostavlja zaključke Povjerenstva za suzbijanje zlouporabe droga Vlade Republike Hrvatske resornim ministarstvima i prati izvršenje istih, prati učinkovitost aktivnosti ministarstava u provedbi programa,  analizira podatke službenih evidencija na području suzbijanja zlouporabe droga, surađuje s tijelima državne vlasti i jedinicama lokalne i područne (regionalne) samouprave, ustanovama socijalne skrbi, odgojnim, prosvjetnim, kulturnim, zdravstvenim i drugim ustanovama, vjerskim zajednicama, udrugama, zakladama, sredstvima javnog priopćavanja te pravnim i fizičkim osobama, vodi nacionalni informacijski sustav o drogama radi objave prikupljenih, objektivnih, usporedivih i pouzdanih podataka o drogama, provodi samostalno i u suradnji s tijelima državne vlasti i jedinicama lokalne i područne (regionalne) samouprave te stručnim ustanovama, obrazovanja i istraživanja vezana uz problematiku ovisnosti o drogama i zlouporabu droga, u svrhu prevencije i obrazovanja vezano za zlouporabu droga, a u cilju informiranja građana o utjecaju i štetnosti istih, osmišljava, koordinira i provodi obrazovnu i medijsku kampanju, surađuje s međunarodnim tijelima, ustanovama, udrugama i pravnim i fizičkim osobama te obavlja i druge poslove na području suzbijanja zlouporabe droga koje mu povjeri Vlada Republike Hrvatske. </w:t>
      </w:r>
    </w:p>
    <w:p w:rsidR="005C2091" w:rsidRDefault="00A86293">
      <w:r>
        <w:t xml:space="preserve"> S obzirom na to da je pri Uredu osnovana nacionalna kontaktna točka za suradnju s Europskim centrom za praćenje droga i ovisnosti o drogama, te da Ured ostvaruje redovnu suradnju s međunarodnim organizacijama iz područja problematike droga, jačanje međunarodne suradnje s nadležnim EU strukturama i međunarodnim organizacijama predstavlja neizostavni aspekt djelovanja Ureda.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02090-Ured za suzbijanje zlouporabe droga</w:t>
            </w:r>
          </w:p>
        </w:tc>
        <w:tc>
          <w:tcPr>
            <w:tcW w:w="2041" w:type="dxa"/>
            <w:vAlign w:val="top"/>
          </w:tcPr>
          <w:p w:rsidR="005C2091" w:rsidRDefault="00A86293">
            <w:pPr>
              <w:pStyle w:val="CellColumn"/>
              <w:jc w:val="right"/>
            </w:pPr>
            <w:r>
              <w:rPr>
                <w:rFonts w:cs="Times New Roman"/>
              </w:rPr>
              <w:t>2.802.441</w:t>
            </w:r>
          </w:p>
        </w:tc>
        <w:tc>
          <w:tcPr>
            <w:tcW w:w="2041" w:type="dxa"/>
            <w:vAlign w:val="top"/>
          </w:tcPr>
          <w:p w:rsidR="005C2091" w:rsidRDefault="00A86293">
            <w:pPr>
              <w:pStyle w:val="CellColumn"/>
              <w:jc w:val="right"/>
            </w:pPr>
            <w:r>
              <w:rPr>
                <w:rFonts w:cs="Times New Roman"/>
              </w:rPr>
              <w:t>4.137.423</w:t>
            </w:r>
          </w:p>
        </w:tc>
        <w:tc>
          <w:tcPr>
            <w:tcW w:w="2041" w:type="dxa"/>
            <w:vAlign w:val="top"/>
          </w:tcPr>
          <w:p w:rsidR="005C2091" w:rsidRDefault="00A86293">
            <w:pPr>
              <w:pStyle w:val="CellColumn"/>
              <w:jc w:val="right"/>
            </w:pPr>
            <w:r>
              <w:rPr>
                <w:rFonts w:cs="Times New Roman"/>
              </w:rPr>
              <w:t>3.445.398</w:t>
            </w:r>
          </w:p>
        </w:tc>
        <w:tc>
          <w:tcPr>
            <w:tcW w:w="1224" w:type="dxa"/>
            <w:vAlign w:val="top"/>
          </w:tcPr>
          <w:p w:rsidR="005C2091" w:rsidRDefault="00A86293">
            <w:pPr>
              <w:pStyle w:val="CellColumn"/>
              <w:jc w:val="right"/>
            </w:pPr>
            <w:r>
              <w:rPr>
                <w:rFonts w:cs="Times New Roman"/>
              </w:rPr>
              <w:t>83,3</w:t>
            </w:r>
          </w:p>
        </w:tc>
        <w:tc>
          <w:tcPr>
            <w:tcW w:w="1224" w:type="dxa"/>
            <w:vAlign w:val="top"/>
          </w:tcPr>
          <w:p w:rsidR="005C2091" w:rsidRDefault="00A86293">
            <w:pPr>
              <w:pStyle w:val="CellColumn"/>
              <w:jc w:val="right"/>
            </w:pPr>
            <w:r>
              <w:rPr>
                <w:rFonts w:cs="Times New Roman"/>
              </w:rPr>
              <w:t>122,9</w:t>
            </w:r>
          </w:p>
        </w:tc>
      </w:tr>
      <w:tr w:rsidR="005C2091">
        <w:trPr>
          <w:jc w:val="center"/>
        </w:trPr>
        <w:tc>
          <w:tcPr>
            <w:tcW w:w="1632" w:type="dxa"/>
          </w:tcPr>
          <w:p w:rsidR="005C2091" w:rsidRDefault="00A86293">
            <w:pPr>
              <w:jc w:val="left"/>
            </w:pPr>
            <w:r>
              <w:t>3607-SUZBIJANJE ZLOUPORABE DROGA I OVISNOSTI</w:t>
            </w:r>
          </w:p>
        </w:tc>
        <w:tc>
          <w:tcPr>
            <w:tcW w:w="2041" w:type="dxa"/>
          </w:tcPr>
          <w:p w:rsidR="005C2091" w:rsidRDefault="00A86293">
            <w:pPr>
              <w:jc w:val="right"/>
            </w:pPr>
            <w:r>
              <w:t>2.802.441</w:t>
            </w:r>
          </w:p>
        </w:tc>
        <w:tc>
          <w:tcPr>
            <w:tcW w:w="2041" w:type="dxa"/>
          </w:tcPr>
          <w:p w:rsidR="005C2091" w:rsidRDefault="00A86293">
            <w:pPr>
              <w:jc w:val="right"/>
            </w:pPr>
            <w:r>
              <w:t>4.137.423</w:t>
            </w:r>
          </w:p>
        </w:tc>
        <w:tc>
          <w:tcPr>
            <w:tcW w:w="2041" w:type="dxa"/>
          </w:tcPr>
          <w:p w:rsidR="005C2091" w:rsidRDefault="00A86293">
            <w:pPr>
              <w:jc w:val="right"/>
            </w:pPr>
            <w:r>
              <w:t>3.445.398</w:t>
            </w:r>
          </w:p>
        </w:tc>
        <w:tc>
          <w:tcPr>
            <w:tcW w:w="1224" w:type="dxa"/>
          </w:tcPr>
          <w:p w:rsidR="005C2091" w:rsidRDefault="00A86293">
            <w:pPr>
              <w:jc w:val="right"/>
            </w:pPr>
            <w:r>
              <w:t>83,3</w:t>
            </w:r>
          </w:p>
        </w:tc>
        <w:tc>
          <w:tcPr>
            <w:tcW w:w="1224" w:type="dxa"/>
          </w:tcPr>
          <w:p w:rsidR="005C2091" w:rsidRDefault="00A86293">
            <w:pPr>
              <w:jc w:val="right"/>
            </w:pPr>
            <w:r>
              <w:t>122,9</w:t>
            </w:r>
          </w:p>
        </w:tc>
      </w:tr>
    </w:tbl>
    <w:p w:rsidR="005C2091" w:rsidRDefault="005C2091">
      <w:pPr>
        <w:jc w:val="left"/>
      </w:pPr>
    </w:p>
    <w:p w:rsidR="005C2091" w:rsidRDefault="00A86293">
      <w:pPr>
        <w:pStyle w:val="Heading3"/>
      </w:pPr>
      <w:r>
        <w:rPr>
          <w:rFonts w:cs="Times New Roman"/>
        </w:rPr>
        <w:lastRenderedPageBreak/>
        <w:t>3607 SUZBIJANJE ZLOUPORABE DROGA I OVISNOSTI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3607-SUZBIJANJE ZLOUPORABE DROGA I OVISNOSTI</w:t>
            </w:r>
          </w:p>
        </w:tc>
        <w:tc>
          <w:tcPr>
            <w:tcW w:w="2041" w:type="dxa"/>
          </w:tcPr>
          <w:p w:rsidR="005C2091" w:rsidRDefault="00A86293">
            <w:pPr>
              <w:pStyle w:val="CellColumn"/>
              <w:jc w:val="right"/>
            </w:pPr>
            <w:r>
              <w:rPr>
                <w:rFonts w:cs="Times New Roman"/>
              </w:rPr>
              <w:t>2.802.441</w:t>
            </w:r>
          </w:p>
        </w:tc>
        <w:tc>
          <w:tcPr>
            <w:tcW w:w="2041" w:type="dxa"/>
          </w:tcPr>
          <w:p w:rsidR="005C2091" w:rsidRDefault="00A86293">
            <w:pPr>
              <w:pStyle w:val="CellColumn"/>
              <w:jc w:val="right"/>
            </w:pPr>
            <w:r>
              <w:rPr>
                <w:rFonts w:cs="Times New Roman"/>
              </w:rPr>
              <w:t>4.137.423</w:t>
            </w:r>
          </w:p>
        </w:tc>
        <w:tc>
          <w:tcPr>
            <w:tcW w:w="2041" w:type="dxa"/>
          </w:tcPr>
          <w:p w:rsidR="005C2091" w:rsidRDefault="00A86293">
            <w:pPr>
              <w:pStyle w:val="CellColumn"/>
              <w:jc w:val="right"/>
            </w:pPr>
            <w:r>
              <w:rPr>
                <w:rFonts w:cs="Times New Roman"/>
              </w:rPr>
              <w:t>3.445.398</w:t>
            </w:r>
          </w:p>
        </w:tc>
        <w:tc>
          <w:tcPr>
            <w:tcW w:w="1224" w:type="dxa"/>
          </w:tcPr>
          <w:p w:rsidR="005C2091" w:rsidRDefault="00A86293">
            <w:pPr>
              <w:pStyle w:val="CellColumn"/>
              <w:jc w:val="right"/>
            </w:pPr>
            <w:r>
              <w:rPr>
                <w:rFonts w:cs="Times New Roman"/>
              </w:rPr>
              <w:t>83,3</w:t>
            </w:r>
          </w:p>
        </w:tc>
        <w:tc>
          <w:tcPr>
            <w:tcW w:w="1224" w:type="dxa"/>
          </w:tcPr>
          <w:p w:rsidR="005C2091" w:rsidRDefault="00A86293">
            <w:pPr>
              <w:pStyle w:val="CellColumn"/>
              <w:jc w:val="right"/>
            </w:pPr>
            <w:r>
              <w:rPr>
                <w:rFonts w:cs="Times New Roman"/>
              </w:rPr>
              <w:t>122,9</w:t>
            </w:r>
          </w:p>
        </w:tc>
      </w:tr>
    </w:tbl>
    <w:p w:rsidR="005C2091" w:rsidRDefault="005C2091">
      <w:pPr>
        <w:jc w:val="left"/>
      </w:pPr>
    </w:p>
    <w:p w:rsidR="005C2091" w:rsidRDefault="00A86293">
      <w:r>
        <w:t>Kroz zadaće i djelokrug rada Ureda navedene u uvodu, sredstva utrošena za ovaj program imaju za cilj povećanu učinkovitost i koordiniranost sustava suzbijanja zlouporabe droga, smanjenje broja ovisnika, smanjene potražnje i smanjenje ponude  droga na ilegalnom tržištu droga, veći broj zapljena droga, bolju informiranost javnosti o utjecaju i štetnosti droga, bolju organiziranost nacionalnog informacijskog sustava praćenja, prikupljanja, analiziranja i posredovanja podataka vezanih uz droge i ovisnosti o drogama, utvrđenu metodologiju prikupljanja podataka o drogama, poremećaja povezanih s uporabom droga i posljedicama zlouporabe droga, educiranost svih subjekata uključenih u sustav borbe protiv ovisnosti, međuresornu i međunarodnu razmjenu informacija, a osobito jačanje suradnje s nevladinim sektorom budući da isti kroz svoje programe koje provode pružaju pomoć velikom broj osoba koje se susretnu s problemom ovisnosti.</w:t>
      </w:r>
    </w:p>
    <w:p w:rsidR="005C2091" w:rsidRDefault="00A86293">
      <w:pPr>
        <w:pStyle w:val="Heading8"/>
        <w:jc w:val="left"/>
      </w:pPr>
      <w:r>
        <w:t>Cilj 1. Suzbijanje zlouporabe droga i uspostava integriranog nacionalnog informacijskog sustava za droge</w:t>
      </w:r>
    </w:p>
    <w:p w:rsidR="005C2091" w:rsidRDefault="00A86293">
      <w:pPr>
        <w:pStyle w:val="Heading8"/>
        <w:jc w:val="left"/>
      </w:pPr>
      <w:r>
        <w:t>Opis provedbe cilja programa</w:t>
      </w:r>
    </w:p>
    <w:p w:rsidR="005C2091" w:rsidRDefault="00A86293">
      <w:r>
        <w:t xml:space="preserve">Postignuti ciljevi i rezultati programa koji se provode ogledaju se u sustavnom pristupu rješavanja problema zlouporabe droga i to institucionalno, formiranje novih timova koji unutar pojedinih tijela državne uprave rade na području suzbijanja zlouporabe droga, veći broj preventivnih i edukativnih programa koji se provede kako od strane državnih institucija, tako i od strane nevladinih institucija, resocijalizacija ovisnika, medijska informiranost javnosti, izvršenje mjera Nacionalne strategije i Akcijskog plana suzbijanja zlouporabe droga, kao i rezultati postignuti na temelju provođenja programa međunarodne suradnje i EU projekata. Nastavljeno je s kontinuiranom provedbom Nacionalnog programa prevencije ovisnosti za djecu i mlade u odgojno – obrazovnom sustavu, te djecu i mlade u sustavu socijalne skrbi, pri čemu je Ured koordinirao suradnju i pružao stručnu podršku u provedbi programa prevencije ovisnosti na razini županija. Izrađeno je Izvješće o provedbi Nacionalnog programa prevencije ovisnosti za djecu i mlade u odgojno–obrazovnom sustavu te djecu i mlade u sustavu socijalne skrbi za razdoblje od 2015. do 2017. U studenom 2016. godine izrađen je konačni nacrt Minimalnih standarda za djecu predškolske i školske dobi koje će sve odgojno-obrazovne ustanove biti dužne provoditi tijekom školske godine. Nadalje, potrebno je spomenuti i ulaganja u unaprjeđenje kvalitete projekata smanjenja potražnje droga (osobito preventivnih intervencija). U skladu s tim, od 2011. godine Ured je, u suradnji  s Edukacijsko-rehabilitacijskim fakultetom Sveučilišta u Zagrebu i nevladinim organizacijama, provodio aktivnosti unaprjeđenja intervencija, što je prepoznato od strane Europskog partnerstva za standarde (eng. European Standards Partnership) kao primjer dobre prakse (dostupno na http://prevention-standards.eu/croatia/).   </w:t>
      </w:r>
    </w:p>
    <w:p w:rsidR="005C2091" w:rsidRDefault="00A86293">
      <w:r>
        <w:t>U 2016. nastavljen je intenzivan rad na jačanju Nacionalne informacijske jedinice za droge koja djeluje pri Uredu u suradnji sa svim partnerima uključenim u Nacionalni informacijski sustav. Izrađeno je deseto Izvješće o stanju problematike droga u RH sukladno EU standardima kao obveza redovnog godišnjeg izvješćivanja Europskog centra za praćenje droga i ovisnosti o drogama (EMCDDA), Vlade Republike Hrvatske i Hrvatskog sabora. Uspostavljen je sustav koji osigurava sudjelovanje svih relevantnih tijela u prikupljanju i prosljeđivanju podataka čime su povećani kapaciteti za dobivanje objektivnih, usporedivih i relevantnih podataka za sagledavanje učinka provedbe politike na području droga, u odnosu na prethodne godine. Također, provedeno je niz istraživanja s ciljem kreiranja znanstveno utemeljenog pristupa u provedbi mjera i aktivnosti politike o drogama.</w:t>
      </w:r>
    </w:p>
    <w:p w:rsidR="005F75C0" w:rsidRDefault="005F75C0"/>
    <w:p w:rsidR="005F75C0" w:rsidRDefault="005F75C0"/>
    <w:p w:rsidR="005C2091" w:rsidRDefault="00A86293">
      <w:pPr>
        <w:pStyle w:val="Heading8"/>
        <w:jc w:val="left"/>
      </w:pPr>
      <w:r>
        <w:lastRenderedPageBreak/>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Postotak mjera koje su poduzete radi smanjenja potražnje i ponude droga i usklađene među nositeljima na nacionalnoj i lokalnoj razini</w:t>
            </w:r>
          </w:p>
        </w:tc>
        <w:tc>
          <w:tcPr>
            <w:tcW w:w="2551" w:type="dxa"/>
          </w:tcPr>
          <w:p w:rsidR="005C2091" w:rsidRDefault="00A86293">
            <w:pPr>
              <w:pStyle w:val="CellColumn"/>
              <w:jc w:val="left"/>
            </w:pPr>
            <w:r>
              <w:rPr>
                <w:rFonts w:cs="Times New Roman"/>
              </w:rPr>
              <w:t>Smanjenje potražnje i ponude droga, otklanjanja zdravstvene, socijalne i gospodarske posljedice koje proizlaze iz zlouporabe droga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46</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47</w:t>
            </w:r>
          </w:p>
        </w:tc>
        <w:tc>
          <w:tcPr>
            <w:tcW w:w="1020" w:type="dxa"/>
          </w:tcPr>
          <w:p w:rsidR="005C2091" w:rsidRDefault="00A86293">
            <w:pPr>
              <w:pStyle w:val="CellColumn"/>
              <w:jc w:val="right"/>
            </w:pPr>
            <w:r>
              <w:rPr>
                <w:rFonts w:cs="Times New Roman"/>
              </w:rPr>
              <w:t>47</w:t>
            </w:r>
          </w:p>
        </w:tc>
      </w:tr>
    </w:tbl>
    <w:p w:rsidR="005C2091" w:rsidRDefault="005C2091">
      <w:pPr>
        <w:jc w:val="left"/>
      </w:pPr>
    </w:p>
    <w:p w:rsidR="005C2091" w:rsidRDefault="00A86293">
      <w:pPr>
        <w:pStyle w:val="Heading4"/>
      </w:pPr>
      <w:r>
        <w:t>A530000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A530000-ADMINISTRACIJA I UPRAVLJANJE</w:t>
            </w:r>
          </w:p>
        </w:tc>
        <w:tc>
          <w:tcPr>
            <w:tcW w:w="2041" w:type="dxa"/>
          </w:tcPr>
          <w:p w:rsidR="005C2091" w:rsidRDefault="00A86293">
            <w:pPr>
              <w:pStyle w:val="CellColumn"/>
              <w:jc w:val="right"/>
            </w:pPr>
            <w:r>
              <w:rPr>
                <w:rFonts w:cs="Times New Roman"/>
              </w:rPr>
              <w:t>1.720.630</w:t>
            </w:r>
          </w:p>
        </w:tc>
        <w:tc>
          <w:tcPr>
            <w:tcW w:w="2041" w:type="dxa"/>
          </w:tcPr>
          <w:p w:rsidR="005C2091" w:rsidRDefault="00A86293">
            <w:pPr>
              <w:pStyle w:val="CellColumn"/>
              <w:jc w:val="right"/>
            </w:pPr>
            <w:r>
              <w:rPr>
                <w:rFonts w:cs="Times New Roman"/>
              </w:rPr>
              <w:t>1.859.900</w:t>
            </w:r>
          </w:p>
        </w:tc>
        <w:tc>
          <w:tcPr>
            <w:tcW w:w="2041" w:type="dxa"/>
          </w:tcPr>
          <w:p w:rsidR="005C2091" w:rsidRDefault="00A86293">
            <w:pPr>
              <w:pStyle w:val="CellColumn"/>
              <w:jc w:val="right"/>
            </w:pPr>
            <w:r>
              <w:rPr>
                <w:rFonts w:cs="Times New Roman"/>
              </w:rPr>
              <w:t>1.784.612</w:t>
            </w:r>
          </w:p>
        </w:tc>
        <w:tc>
          <w:tcPr>
            <w:tcW w:w="1224" w:type="dxa"/>
          </w:tcPr>
          <w:p w:rsidR="005C2091" w:rsidRDefault="00A86293">
            <w:pPr>
              <w:pStyle w:val="CellColumn"/>
              <w:jc w:val="right"/>
            </w:pPr>
            <w:r>
              <w:rPr>
                <w:rFonts w:cs="Times New Roman"/>
              </w:rPr>
              <w:t>96,0</w:t>
            </w:r>
          </w:p>
        </w:tc>
        <w:tc>
          <w:tcPr>
            <w:tcW w:w="1224" w:type="dxa"/>
          </w:tcPr>
          <w:p w:rsidR="005C2091" w:rsidRDefault="00A86293">
            <w:pPr>
              <w:pStyle w:val="CellColumn"/>
              <w:jc w:val="right"/>
            </w:pPr>
            <w:r>
              <w:rPr>
                <w:rFonts w:cs="Times New Roman"/>
              </w:rPr>
              <w:t>103,7</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Vladi RH  </w:t>
      </w:r>
    </w:p>
    <w:p w:rsidR="005C2091" w:rsidRDefault="00A86293">
      <w:r>
        <w:t xml:space="preserve">- Zakon o sustavu državne uprave  </w:t>
      </w:r>
    </w:p>
    <w:p w:rsidR="005C2091" w:rsidRDefault="00A86293">
      <w:r>
        <w:t xml:space="preserve">- Uredba o načelima za unutarnje ustrojstvo tijela državne uprave </w:t>
      </w:r>
    </w:p>
    <w:p w:rsidR="005C2091" w:rsidRDefault="00A86293">
      <w:r>
        <w:t xml:space="preserve">- Uredba o osnivanju Ureda za suzbijanje zlouporabe droga  </w:t>
      </w:r>
    </w:p>
    <w:p w:rsidR="005C2091" w:rsidRDefault="00A86293">
      <w:r>
        <w:t xml:space="preserve">- Zakon o suzbijanju zlouporabe droga </w:t>
      </w:r>
    </w:p>
    <w:p w:rsidR="005C2091" w:rsidRDefault="00A86293">
      <w:r>
        <w:t>- Nacionalna strategija suzbijanja zlouporabe droga</w:t>
      </w:r>
    </w:p>
    <w:p w:rsidR="005C2091" w:rsidRDefault="00A86293">
      <w:pPr>
        <w:pStyle w:val="Heading8"/>
        <w:jc w:val="left"/>
      </w:pPr>
      <w:r>
        <w:t>Opis aktivnosti</w:t>
      </w:r>
    </w:p>
    <w:p w:rsidR="005C2091" w:rsidRDefault="00A86293">
      <w:r>
        <w:t>Na navedenoj aktivnosti utrošena su sredstva potrebna za redovno poslovanje Ureda, te za obavljanje aktivnosti u cilju smanjivanja posljedica zlouporabe droga i njihovog zadržavanja u granicama snošljivosti.</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edukacija za subjekte uključene u sustav suzbijanja zlouporabe droga u odnosu na prethodnu godinu</w:t>
            </w:r>
          </w:p>
        </w:tc>
        <w:tc>
          <w:tcPr>
            <w:tcW w:w="2551" w:type="dxa"/>
          </w:tcPr>
          <w:p w:rsidR="005C2091" w:rsidRDefault="00A86293">
            <w:pPr>
              <w:pStyle w:val="CellColumn"/>
              <w:jc w:val="left"/>
            </w:pPr>
            <w:r>
              <w:rPr>
                <w:rFonts w:cs="Times New Roman"/>
              </w:rPr>
              <w:t>Povećanjem broja edukacija omogućit će se  kvalitetna provedba politike o drogama i veća informiranost o planiranim mjerama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68</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75</w:t>
            </w:r>
          </w:p>
        </w:tc>
        <w:tc>
          <w:tcPr>
            <w:tcW w:w="1020" w:type="dxa"/>
          </w:tcPr>
          <w:p w:rsidR="005C2091" w:rsidRDefault="00A86293">
            <w:pPr>
              <w:pStyle w:val="CellColumn"/>
              <w:jc w:val="right"/>
            </w:pPr>
            <w:r>
              <w:rPr>
                <w:rFonts w:cs="Times New Roman"/>
              </w:rPr>
              <w:t>77</w:t>
            </w:r>
          </w:p>
        </w:tc>
      </w:tr>
      <w:tr w:rsidR="005C2091">
        <w:trPr>
          <w:jc w:val="center"/>
        </w:trPr>
        <w:tc>
          <w:tcPr>
            <w:tcW w:w="2551" w:type="dxa"/>
          </w:tcPr>
          <w:p w:rsidR="005C2091" w:rsidRDefault="00A86293">
            <w:pPr>
              <w:pStyle w:val="CellColumn"/>
              <w:jc w:val="left"/>
            </w:pPr>
            <w:r>
              <w:rPr>
                <w:rFonts w:cs="Times New Roman"/>
              </w:rPr>
              <w:t>Povećanje broja financiranih projekata i programa udruga i terapijskih zajednica u odnosu na prethodnu godinu</w:t>
            </w:r>
          </w:p>
        </w:tc>
        <w:tc>
          <w:tcPr>
            <w:tcW w:w="2551" w:type="dxa"/>
          </w:tcPr>
          <w:p w:rsidR="005C2091" w:rsidRDefault="00A86293">
            <w:pPr>
              <w:pStyle w:val="CellColumn"/>
              <w:jc w:val="left"/>
            </w:pPr>
            <w:r>
              <w:rPr>
                <w:rFonts w:cs="Times New Roman"/>
              </w:rPr>
              <w:t>Povećanjem broja financiranih programa udruga i terapijskih zajednica povećat će se kapaciteti nevladinog sektora za pružanje usluga na području borbe protiv ovisnosti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8</w:t>
            </w:r>
          </w:p>
        </w:tc>
      </w:tr>
      <w:tr w:rsidR="005C2091">
        <w:trPr>
          <w:jc w:val="center"/>
        </w:trPr>
        <w:tc>
          <w:tcPr>
            <w:tcW w:w="2551" w:type="dxa"/>
          </w:tcPr>
          <w:p w:rsidR="005C2091" w:rsidRDefault="00A86293">
            <w:pPr>
              <w:pStyle w:val="CellColumn"/>
              <w:jc w:val="left"/>
            </w:pPr>
            <w:r>
              <w:rPr>
                <w:rFonts w:cs="Times New Roman"/>
              </w:rPr>
              <w:lastRenderedPageBreak/>
              <w:t>Povećanje broja ovisnika uključenih u Projekt resocijalizacije u odnosu na prethodnu godinu</w:t>
            </w:r>
          </w:p>
        </w:tc>
        <w:tc>
          <w:tcPr>
            <w:tcW w:w="2551" w:type="dxa"/>
          </w:tcPr>
          <w:p w:rsidR="005C2091" w:rsidRDefault="00A86293">
            <w:pPr>
              <w:pStyle w:val="CellColumn"/>
              <w:jc w:val="left"/>
            </w:pPr>
            <w:r>
              <w:rPr>
                <w:rFonts w:cs="Times New Roman"/>
              </w:rPr>
              <w:t>Povećanjem broja ovisnika uključenih u Projekt resocijalizacije omogućit će se bolja socijalna integracija u društvo i normalan život</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1219</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1250</w:t>
            </w:r>
          </w:p>
        </w:tc>
        <w:tc>
          <w:tcPr>
            <w:tcW w:w="1020" w:type="dxa"/>
          </w:tcPr>
          <w:p w:rsidR="005C2091" w:rsidRDefault="00A86293">
            <w:pPr>
              <w:pStyle w:val="CellColumn"/>
              <w:jc w:val="right"/>
            </w:pPr>
            <w:r>
              <w:rPr>
                <w:rFonts w:cs="Times New Roman"/>
              </w:rPr>
              <w:t>1276</w:t>
            </w:r>
          </w:p>
        </w:tc>
      </w:tr>
      <w:tr w:rsidR="005C2091">
        <w:trPr>
          <w:jc w:val="center"/>
        </w:trPr>
        <w:tc>
          <w:tcPr>
            <w:tcW w:w="2551" w:type="dxa"/>
          </w:tcPr>
          <w:p w:rsidR="005C2091" w:rsidRDefault="00A86293">
            <w:pPr>
              <w:pStyle w:val="CellColumn"/>
              <w:jc w:val="left"/>
            </w:pPr>
            <w:r>
              <w:rPr>
                <w:rFonts w:cs="Times New Roman"/>
              </w:rPr>
              <w:t>Povećanje broja izvješća i programa koja su unesena u informatičku bazu</w:t>
            </w:r>
          </w:p>
        </w:tc>
        <w:tc>
          <w:tcPr>
            <w:tcW w:w="2551" w:type="dxa"/>
          </w:tcPr>
          <w:p w:rsidR="005C2091" w:rsidRDefault="00A86293">
            <w:pPr>
              <w:pStyle w:val="CellColumn"/>
              <w:jc w:val="left"/>
            </w:pPr>
            <w:r>
              <w:rPr>
                <w:rFonts w:cs="Times New Roman"/>
              </w:rPr>
              <w:t>Unošenjem izvješća i programa u Informatičku bazu omogućit će se analitički pregled mjera koje se provede od stane različitih subjekata i podatka o stanju problematike droga, ali i identificirati kvalitetni programi i projekti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200</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210</w:t>
            </w:r>
          </w:p>
        </w:tc>
        <w:tc>
          <w:tcPr>
            <w:tcW w:w="1020" w:type="dxa"/>
          </w:tcPr>
          <w:p w:rsidR="005C2091" w:rsidRDefault="00A86293">
            <w:pPr>
              <w:pStyle w:val="CellColumn"/>
              <w:jc w:val="right"/>
            </w:pPr>
            <w:r>
              <w:rPr>
                <w:rFonts w:cs="Times New Roman"/>
              </w:rPr>
              <w:t>461</w:t>
            </w:r>
          </w:p>
        </w:tc>
      </w:tr>
    </w:tbl>
    <w:p w:rsidR="005C2091" w:rsidRDefault="005C2091">
      <w:pPr>
        <w:jc w:val="left"/>
      </w:pPr>
    </w:p>
    <w:p w:rsidR="005C2091" w:rsidRDefault="00A86293">
      <w:pPr>
        <w:pStyle w:val="Heading4"/>
      </w:pPr>
      <w:r>
        <w:t>A530001 PROVEDBA NACIONALNE STRATEGIJE I AKCIJSKOG PLANA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A530001-PROVEDBA NACIONALNE STRATEGIJE I AKCIJSKOG PLANA</w:t>
            </w:r>
          </w:p>
        </w:tc>
        <w:tc>
          <w:tcPr>
            <w:tcW w:w="2041" w:type="dxa"/>
          </w:tcPr>
          <w:p w:rsidR="005C2091" w:rsidRDefault="00A86293">
            <w:pPr>
              <w:pStyle w:val="CellColumn"/>
              <w:jc w:val="right"/>
            </w:pPr>
            <w:r>
              <w:rPr>
                <w:rFonts w:cs="Times New Roman"/>
              </w:rPr>
              <w:t>100.889</w:t>
            </w:r>
          </w:p>
        </w:tc>
        <w:tc>
          <w:tcPr>
            <w:tcW w:w="2041" w:type="dxa"/>
          </w:tcPr>
          <w:p w:rsidR="005C2091" w:rsidRDefault="00A86293">
            <w:pPr>
              <w:pStyle w:val="CellColumn"/>
              <w:jc w:val="right"/>
            </w:pPr>
            <w:r>
              <w:rPr>
                <w:rFonts w:cs="Times New Roman"/>
              </w:rPr>
              <w:t>62.161</w:t>
            </w:r>
          </w:p>
        </w:tc>
        <w:tc>
          <w:tcPr>
            <w:tcW w:w="2041" w:type="dxa"/>
          </w:tcPr>
          <w:p w:rsidR="005C2091" w:rsidRDefault="00A86293">
            <w:pPr>
              <w:pStyle w:val="CellColumn"/>
              <w:jc w:val="right"/>
            </w:pPr>
            <w:r>
              <w:rPr>
                <w:rFonts w:cs="Times New Roman"/>
              </w:rPr>
              <w:t>26.348</w:t>
            </w:r>
          </w:p>
        </w:tc>
        <w:tc>
          <w:tcPr>
            <w:tcW w:w="1224" w:type="dxa"/>
          </w:tcPr>
          <w:p w:rsidR="005C2091" w:rsidRDefault="00A86293">
            <w:pPr>
              <w:pStyle w:val="CellColumn"/>
              <w:jc w:val="right"/>
            </w:pPr>
            <w:r>
              <w:rPr>
                <w:rFonts w:cs="Times New Roman"/>
              </w:rPr>
              <w:t>42,4</w:t>
            </w:r>
          </w:p>
        </w:tc>
        <w:tc>
          <w:tcPr>
            <w:tcW w:w="1224" w:type="dxa"/>
          </w:tcPr>
          <w:p w:rsidR="005C2091" w:rsidRDefault="00A86293">
            <w:pPr>
              <w:pStyle w:val="CellColumn"/>
              <w:jc w:val="right"/>
            </w:pPr>
            <w:r>
              <w:rPr>
                <w:rFonts w:cs="Times New Roman"/>
              </w:rPr>
              <w:t>26,1</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Vladi RH  </w:t>
      </w:r>
    </w:p>
    <w:p w:rsidR="005C2091" w:rsidRDefault="00A86293">
      <w:r>
        <w:t xml:space="preserve">- Zakon o sustavu državne uprave  </w:t>
      </w:r>
    </w:p>
    <w:p w:rsidR="005C2091" w:rsidRDefault="00A86293">
      <w:r>
        <w:t xml:space="preserve">- Uredba o načelima za unutarnje ustrojstvo tijela državne uprave </w:t>
      </w:r>
    </w:p>
    <w:p w:rsidR="005C2091" w:rsidRDefault="00A86293">
      <w:r>
        <w:t xml:space="preserve">- Uredba o osnivanju Ureda za suzbijanje zlouporabe droga  </w:t>
      </w:r>
    </w:p>
    <w:p w:rsidR="005C2091" w:rsidRDefault="00A86293">
      <w:r>
        <w:t xml:space="preserve">- Zakon o suzbijanju zlouporabe droga </w:t>
      </w:r>
    </w:p>
    <w:p w:rsidR="005C2091" w:rsidRDefault="00A86293">
      <w:r>
        <w:t>- Nacionalna strategija suzbijanja zlouporabe droga</w:t>
      </w:r>
    </w:p>
    <w:p w:rsidR="005C2091" w:rsidRDefault="00A86293">
      <w:pPr>
        <w:pStyle w:val="Heading8"/>
        <w:jc w:val="left"/>
      </w:pPr>
      <w:r>
        <w:t>Opis aktivnosti</w:t>
      </w:r>
    </w:p>
    <w:p w:rsidR="005C2091" w:rsidRDefault="00A86293">
      <w:r>
        <w:t xml:space="preserve">Utrošena sredstva su imala za cilj uključivanje svih društvenih sektora od državnih do nevladinih u provođenju zakonodavstva, prevencije, edukacije, liječenja i odvikavanja od ovisnosti, resocijalizacije i ostalih oblika suzbijanja zlouporabe droga kao i na provođenje mjera i zadataka za koje su resorna ministarstva pojedinačno zadužena, kao i koordinaciju i nadzor nad izvršavanjem posebnih programa mjera za suzbijanje zlouporabe droga od prevencije, liječenja, međunarodne suradnje, pomoći nositeljima aktivnosti na lokalnoj, regionalnoj i državnoj razini, te nevladinim organizacijama u obliku sufinanciranja programa koji su usmjereni na otklanjanje uzroka i posljedica zlouporabe droga na kvalitetu života ljudi. Održano je niz edukacija i tematskih radionica namijenjenih subjektima uključenih u provedbu aktivnosti suzbijanja zlouporabe droga, zatim stručne tematske edukacije iz područja suzbijanja zlouporabe droga čiji cilj je bio jačanje suradnje između sustava tretmana i represivnog sustava te druge edukacije na temu prevencije, liječenja i psihosocijalnog tretmana ovisnika, resocijalizacije ali i sustava ranog upozoravanja u slučaju pojave novih droga. Organizirani su stručni skupovi na nacionalnoj i lokalnoj razini s ciljem edukacije o izradi programa prevencije i evaluacije namijenjene subjektima uključenim u provedbu preventivnih programa. S ciljem daljnjeg unapređenja provedbe Projekta resocijalizacije ovisnika održan je Okrugli stol s gospodarstvenicima na temu: „Resocijalizacija liječenih ovisnika o drogama - zapošljavanje i uključivanje na </w:t>
      </w:r>
      <w:r>
        <w:lastRenderedPageBreak/>
        <w:t xml:space="preserve">tržište rada“, u organizaciji Ureda za suzbijanje zlouporabe droga, Hrvatskog zavoda za zapošljavanje i Ministarstvu gospodarstva,  poduzetništva i  obrta. </w:t>
      </w:r>
    </w:p>
    <w:p w:rsidR="005C2091" w:rsidRDefault="00A86293">
      <w:r>
        <w:t xml:space="preserve">Jačana je suradnja s organizacijama civilnog društva putem organiziranja različitih edukacija, seminara i konferencija, predstavnici udruga bili su uključeni u stručne rade skupine za izradu strateških dokumenata kojima koordinira Ured. Tijekom 2016. godine je Ured je u suradnji s EMCDDA-om pilotirao projekt „Europsko web istraživanje droga: obrasci uporabe“ u sedam europskih država (uključujući Hrvatsku). </w:t>
      </w:r>
    </w:p>
    <w:p w:rsidR="005C2091" w:rsidRDefault="00A86293">
      <w:r>
        <w:t xml:space="preserve">Ured je tijekom 2016. inicirao i organizirao brojne sastanke na kojima se s nadležnim tijelima raspravljalo o adekvatnim rješenjima za sprječavanje širenja dostupnosti i problema vezanih uz pojavu novih psihoaktivnih tvari.  </w:t>
      </w:r>
    </w:p>
    <w:p w:rsidR="005C2091" w:rsidRDefault="00A86293">
      <w:r>
        <w:t>Ured je aktivno sudjelovao u radu nadležnih međunarodnih tijela, kao i u regionalnim inicijativama. Od 2013. godine Republika Hrvatska redovito sudjeluje u radu Horizontalne radne grupe za droge Vijeća EU (HDG), a Ured je određen za nositelja suradnje s ovom grupom. Riječ je o radnom tijelu Vijeća koje je zaduženo za kreiranje EU politike na području problematike droga te posebno za pripremu relevantnog zakonodavstva i političkih dokumenata. Osim toga, Ured je u sklopu TAIEX-a organizirao studijsku posjetu za stručnjake iz regije u svrhu upoznavanja sa nacionalnim sustavom za praćenje problematike zlouporabe droga te predstavljanja i razmjene najboljih praksi na tom području. Također, predstavnici Ureda sudjelovali su kao pozvani stručnjaci u TAIEX edukacijama i misijama koje su se 2016. održale u zemljama regije.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edukacija za subjekte uključene u sustav suzbijanja zlouporabe droga u odnosu na prethodnu godinu</w:t>
            </w:r>
          </w:p>
        </w:tc>
        <w:tc>
          <w:tcPr>
            <w:tcW w:w="2551" w:type="dxa"/>
          </w:tcPr>
          <w:p w:rsidR="005C2091" w:rsidRDefault="00A86293">
            <w:pPr>
              <w:pStyle w:val="CellColumn"/>
              <w:jc w:val="left"/>
            </w:pPr>
            <w:r>
              <w:rPr>
                <w:rFonts w:cs="Times New Roman"/>
              </w:rPr>
              <w:t>Povećanjem broja edukacija omogućit će se  kvalitetna provedba politike o drogama i veća informiranost o planiranim mjerama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68</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75</w:t>
            </w:r>
          </w:p>
        </w:tc>
        <w:tc>
          <w:tcPr>
            <w:tcW w:w="1020" w:type="dxa"/>
          </w:tcPr>
          <w:p w:rsidR="005C2091" w:rsidRDefault="00A86293">
            <w:pPr>
              <w:pStyle w:val="CellColumn"/>
              <w:jc w:val="right"/>
            </w:pPr>
            <w:r>
              <w:rPr>
                <w:rFonts w:cs="Times New Roman"/>
              </w:rPr>
              <w:t>77</w:t>
            </w:r>
          </w:p>
        </w:tc>
      </w:tr>
      <w:tr w:rsidR="005C2091">
        <w:trPr>
          <w:jc w:val="center"/>
        </w:trPr>
        <w:tc>
          <w:tcPr>
            <w:tcW w:w="2551" w:type="dxa"/>
          </w:tcPr>
          <w:p w:rsidR="005C2091" w:rsidRDefault="00A86293">
            <w:pPr>
              <w:pStyle w:val="CellColumn"/>
              <w:jc w:val="left"/>
            </w:pPr>
            <w:r>
              <w:rPr>
                <w:rFonts w:cs="Times New Roman"/>
              </w:rPr>
              <w:t>Povećanje broja financiranih projekata i programa udruga i terapijskih zajednica u odnosu na prethodnu godinu</w:t>
            </w:r>
          </w:p>
        </w:tc>
        <w:tc>
          <w:tcPr>
            <w:tcW w:w="2551" w:type="dxa"/>
          </w:tcPr>
          <w:p w:rsidR="005C2091" w:rsidRDefault="00A86293">
            <w:pPr>
              <w:pStyle w:val="CellColumn"/>
              <w:jc w:val="left"/>
            </w:pPr>
            <w:r>
              <w:rPr>
                <w:rFonts w:cs="Times New Roman"/>
              </w:rPr>
              <w:t>Povećanjem broja financiranih programa udruga i terapijskih zajednica povećat će se kapaciteti nevladinog sektora za pružanje usluga na području borbe protiv ovisnosti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8</w:t>
            </w:r>
          </w:p>
        </w:tc>
      </w:tr>
      <w:tr w:rsidR="005C2091">
        <w:trPr>
          <w:jc w:val="center"/>
        </w:trPr>
        <w:tc>
          <w:tcPr>
            <w:tcW w:w="2551" w:type="dxa"/>
          </w:tcPr>
          <w:p w:rsidR="005C2091" w:rsidRDefault="00A86293">
            <w:pPr>
              <w:pStyle w:val="CellColumn"/>
              <w:jc w:val="left"/>
            </w:pPr>
            <w:r>
              <w:rPr>
                <w:rFonts w:cs="Times New Roman"/>
              </w:rPr>
              <w:t>Povećanje broja ovisnika uključenih u Projekt resocijalizacije u odnosu na prethodnu godinu</w:t>
            </w:r>
          </w:p>
        </w:tc>
        <w:tc>
          <w:tcPr>
            <w:tcW w:w="2551" w:type="dxa"/>
          </w:tcPr>
          <w:p w:rsidR="005C2091" w:rsidRDefault="00A86293">
            <w:pPr>
              <w:pStyle w:val="CellColumn"/>
              <w:jc w:val="left"/>
            </w:pPr>
            <w:r>
              <w:rPr>
                <w:rFonts w:cs="Times New Roman"/>
              </w:rPr>
              <w:t>Povećanjem broja ovisnika uključenih u Projekt resocijalizacije omogućit će se bolja socijalna integracija u društvo i normalan život</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1219</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1250</w:t>
            </w:r>
          </w:p>
        </w:tc>
        <w:tc>
          <w:tcPr>
            <w:tcW w:w="1020" w:type="dxa"/>
          </w:tcPr>
          <w:p w:rsidR="005C2091" w:rsidRDefault="00A86293">
            <w:pPr>
              <w:pStyle w:val="CellColumn"/>
              <w:jc w:val="right"/>
            </w:pPr>
            <w:r>
              <w:rPr>
                <w:rFonts w:cs="Times New Roman"/>
              </w:rPr>
              <w:t>1276</w:t>
            </w:r>
          </w:p>
        </w:tc>
      </w:tr>
      <w:tr w:rsidR="005C2091">
        <w:trPr>
          <w:jc w:val="center"/>
        </w:trPr>
        <w:tc>
          <w:tcPr>
            <w:tcW w:w="2551" w:type="dxa"/>
          </w:tcPr>
          <w:p w:rsidR="005C2091" w:rsidRDefault="00A86293">
            <w:pPr>
              <w:pStyle w:val="CellColumn"/>
              <w:jc w:val="left"/>
            </w:pPr>
            <w:r>
              <w:rPr>
                <w:rFonts w:cs="Times New Roman"/>
              </w:rPr>
              <w:t>Povećanje broja izvješća i programa koja su unesena u informatičku bazu</w:t>
            </w:r>
          </w:p>
        </w:tc>
        <w:tc>
          <w:tcPr>
            <w:tcW w:w="2551" w:type="dxa"/>
          </w:tcPr>
          <w:p w:rsidR="005C2091" w:rsidRDefault="00A86293">
            <w:pPr>
              <w:pStyle w:val="CellColumn"/>
              <w:jc w:val="left"/>
            </w:pPr>
            <w:r>
              <w:rPr>
                <w:rFonts w:cs="Times New Roman"/>
              </w:rPr>
              <w:t>Unošenjem izvješća i programa u Informatičku bazu omogućit će se analitički pregled mjera koje se provede od stane različitih subjekata i podatka o stanju problematike droga, ali i identificirati kvalitetni programi i projekti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200</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210</w:t>
            </w:r>
          </w:p>
        </w:tc>
        <w:tc>
          <w:tcPr>
            <w:tcW w:w="1020" w:type="dxa"/>
          </w:tcPr>
          <w:p w:rsidR="005C2091" w:rsidRDefault="00A86293">
            <w:pPr>
              <w:pStyle w:val="CellColumn"/>
              <w:jc w:val="right"/>
            </w:pPr>
            <w:r>
              <w:rPr>
                <w:rFonts w:cs="Times New Roman"/>
              </w:rPr>
              <w:t>461</w:t>
            </w:r>
          </w:p>
        </w:tc>
      </w:tr>
    </w:tbl>
    <w:p w:rsidR="005C2091" w:rsidRDefault="005C2091">
      <w:pPr>
        <w:jc w:val="left"/>
      </w:pPr>
    </w:p>
    <w:p w:rsidR="005F75C0" w:rsidRDefault="005F75C0">
      <w:pPr>
        <w:jc w:val="left"/>
      </w:pPr>
    </w:p>
    <w:p w:rsidR="005F75C0" w:rsidRDefault="005F75C0">
      <w:pPr>
        <w:jc w:val="left"/>
      </w:pPr>
    </w:p>
    <w:p w:rsidR="005F75C0" w:rsidRDefault="005F75C0">
      <w:pPr>
        <w:jc w:val="left"/>
      </w:pPr>
    </w:p>
    <w:p w:rsidR="005C2091" w:rsidRDefault="00A86293">
      <w:pPr>
        <w:pStyle w:val="Heading4"/>
      </w:pPr>
      <w:r>
        <w:lastRenderedPageBreak/>
        <w:t>A530020 NACIONALNA INFORMACIJSKA JEDINICA ZA DROGE</w:t>
      </w:r>
    </w:p>
    <w:tbl>
      <w:tblPr>
        <w:tblStyle w:val="StilTablice"/>
        <w:tblW w:w="10206" w:type="dxa"/>
        <w:jc w:val="center"/>
        <w:tblLook w:val="04A0" w:firstRow="1" w:lastRow="0" w:firstColumn="1" w:lastColumn="0" w:noHBand="0" w:noVBand="1"/>
      </w:tblPr>
      <w:tblGrid>
        <w:gridCol w:w="1715"/>
        <w:gridCol w:w="2017"/>
        <w:gridCol w:w="2016"/>
        <w:gridCol w:w="2018"/>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A530020-NACIONALNA INFORMACIJSKA JEDINICA ZA DROGE</w:t>
            </w:r>
          </w:p>
        </w:tc>
        <w:tc>
          <w:tcPr>
            <w:tcW w:w="2041" w:type="dxa"/>
          </w:tcPr>
          <w:p w:rsidR="005C2091" w:rsidRDefault="00A86293">
            <w:pPr>
              <w:pStyle w:val="CellColumn"/>
              <w:jc w:val="right"/>
            </w:pPr>
            <w:r>
              <w:rPr>
                <w:rFonts w:cs="Times New Roman"/>
              </w:rPr>
              <w:t>807.828</w:t>
            </w:r>
          </w:p>
        </w:tc>
        <w:tc>
          <w:tcPr>
            <w:tcW w:w="2041" w:type="dxa"/>
          </w:tcPr>
          <w:p w:rsidR="005C2091" w:rsidRDefault="00A86293">
            <w:pPr>
              <w:pStyle w:val="CellColumn"/>
              <w:jc w:val="right"/>
            </w:pPr>
            <w:r>
              <w:rPr>
                <w:rFonts w:cs="Times New Roman"/>
              </w:rPr>
              <w:t>736.000</w:t>
            </w:r>
          </w:p>
        </w:tc>
        <w:tc>
          <w:tcPr>
            <w:tcW w:w="2041" w:type="dxa"/>
          </w:tcPr>
          <w:p w:rsidR="005C2091" w:rsidRDefault="00A86293">
            <w:pPr>
              <w:pStyle w:val="CellColumn"/>
              <w:jc w:val="right"/>
            </w:pPr>
            <w:r>
              <w:rPr>
                <w:rFonts w:cs="Times New Roman"/>
              </w:rPr>
              <w:t>645.651</w:t>
            </w:r>
          </w:p>
        </w:tc>
        <w:tc>
          <w:tcPr>
            <w:tcW w:w="1224" w:type="dxa"/>
          </w:tcPr>
          <w:p w:rsidR="005C2091" w:rsidRDefault="00A86293">
            <w:pPr>
              <w:pStyle w:val="CellColumn"/>
              <w:jc w:val="right"/>
            </w:pPr>
            <w:r>
              <w:rPr>
                <w:rFonts w:cs="Times New Roman"/>
              </w:rPr>
              <w:t>87,7</w:t>
            </w:r>
          </w:p>
        </w:tc>
        <w:tc>
          <w:tcPr>
            <w:tcW w:w="1224" w:type="dxa"/>
          </w:tcPr>
          <w:p w:rsidR="005C2091" w:rsidRDefault="00A86293">
            <w:pPr>
              <w:pStyle w:val="CellColumn"/>
              <w:jc w:val="right"/>
            </w:pPr>
            <w:r>
              <w:rPr>
                <w:rFonts w:cs="Times New Roman"/>
              </w:rPr>
              <w:t>79,9</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Vladi RH  </w:t>
      </w:r>
    </w:p>
    <w:p w:rsidR="005C2091" w:rsidRDefault="00A86293">
      <w:r>
        <w:t xml:space="preserve">- Zakon o sustavu državne uprave  </w:t>
      </w:r>
    </w:p>
    <w:p w:rsidR="005C2091" w:rsidRDefault="00A86293">
      <w:r>
        <w:t xml:space="preserve">- Uredba o načelima za unutarnje ustrojstvo tijela državne uprave </w:t>
      </w:r>
    </w:p>
    <w:p w:rsidR="005C2091" w:rsidRDefault="00A86293">
      <w:r>
        <w:t xml:space="preserve">- Uredba o osnivanju Ureda za suzbijanje zlouporabe droga  </w:t>
      </w:r>
    </w:p>
    <w:p w:rsidR="005C2091" w:rsidRDefault="00A86293">
      <w:r>
        <w:t xml:space="preserve">- Zakon o suzbijanju zlouporabe droga </w:t>
      </w:r>
    </w:p>
    <w:p w:rsidR="005C2091" w:rsidRDefault="00A86293">
      <w:r>
        <w:t>- Nacionalna strategija suzbijanja zlouporabe droga</w:t>
      </w:r>
    </w:p>
    <w:p w:rsidR="005C2091" w:rsidRDefault="00A86293">
      <w:pPr>
        <w:pStyle w:val="Heading8"/>
        <w:jc w:val="left"/>
      </w:pPr>
      <w:r>
        <w:t>Opis aktivnosti</w:t>
      </w:r>
    </w:p>
    <w:p w:rsidR="005C2091" w:rsidRDefault="00A86293">
      <w:r>
        <w:t xml:space="preserve">Nastavljen je intenzivan rad na jačanju Nacionalnog informacijskog sustava za droge koji je ustrojen sukladno standardima Europskog centra za praćenje droga i ovisnosti o drogama (EMCDDA). Izrađen je Akcijski plan o Nacionalnom informacijskom sustavu za droge za 2017. godinu, koji ima za cilj unaprijediti praćenje cjelokupne problematike droga, aktivnosti nadležnih tijela i razvoj politika prema drogama, sukladno standardima i preporukama Europskog centra za praćenje droga i ovisnosti o drogama.  </w:t>
      </w:r>
    </w:p>
    <w:p w:rsidR="005C2091" w:rsidRDefault="00A86293">
      <w:r>
        <w:t xml:space="preserve">Dana 13. travnja 2016. između Ureda za suzbijanje zlouporabe droga Vlade Republike Hrvatske i Europskog centra za praćenje droga i ovisnosti o drogama potpisan je Grant sporazum broj GA.16.RTX.028.1.0. Prilikom donošenja Državnog proračuna za 2016. godinu zbog smanjenja planiranih sredstava na izvoru financiranja 12 – Učešće RH u EU, odustalo se od pojedinih aktivnosti u Grantu, te smo slijedom toga s EMCDDA-om morali potpisati amandman temeljnog sporazuma. Uredu je isplaćena prva tranša bespovratnih grant sredstava u iznosu od 32.367,50,00 Eura. Navedeni iznos je služio kao doprinos provođenju sljedećih aktivnosti koje opisujemo u nastavku. U 2016. godini u suradnji Ureda za suzbijanje zlouporabe droga Vlade RH i Edukacijsko-rehabilitacijskog fakulteta Sveučilišta u Zagrebu provedeno je Istraživanje o usklađenosti programa prevencije ovisnosti s Europskim standardima za kvalitetnu prevenciju zlouporabe droga (EDPQS) s ciljem doprinosa unaprjeđenju prevencije ovisnosti u Hrvatskoj. Na inicijativu Ureda u 2016. godini provedeno je „Istraživanje tržišta droga u Republici Hrvatskoj – uloga sekundarnog kriminaliteta“ u suradnji Edukacijsko-rehabilitacijskog fakulteta Sveučilišta u Zagrebu, Visoke policijske škole, MUP RH, Filozofskog fakulteta Sveučilišta u Mostaru i Zatvora u Zagrebu. Također na inicijativu Ureda u suradnji s Institutom Ruđer Bošković provedeno je Istraživanje potrošnje droga primjenom analize odabranih urinarnih biomarkera droga u otpadnoj vodi, za grad Split. Provedena je Studija ostvarivosti i provedivosti znanstveno-istraživačkog projekta „Istraživanje socijalnih troškova u području suzbijanja zlouporabe droga u Republici Hrvatskoj“ (Ekonomski institut Zagreb) s ciljem pružanja pregleda osnovnih spoznaja o područjima u kojima su sadržani socijalni troškovi u području suzbijanja zlouporabe droga u Republici Hrvatskoj. S ciljem procjene sustava tretmana u Republici Hrvatskoj općenito te dobivanja odgovora na ključna pitanja kao što su sostupnost tretmanskih intervencija i pokrivenost potreba korisnika, Ured je tijekom 2016. izvršio analizu postojećeg stanja u području tretmana te u okviru toga izradio prijedlog za provedbu Projekta evaluacije tretmana koji će se provesti u okviru  Granta te u suradnji s Trimbos institutom. Također je organizirano niz regionalnih edukacija, seminara i radionica od kojih izdvajamo seminare o problematici novih psihoaktivnih tvari održane u Valbandonu, Mariji Bistrici i Zagrebu. U 2016. godini nastavljen je novi ciklus provedbe edukacija za preventivni program „MOVE- Kratka motivacijska intervencija“. Ured za suzbijanje zlouporabe droga organizirao je ciklus edukativnih radionica o uvodu u kemiju psihoaktivnih tvari za dionike Radne skupine Sustava ranog upozoravanja u slučaju pojave novih psihoaktivnih tvari u Republici Hrvatskoj. Djelatnici Ureda aktivno su </w:t>
      </w:r>
      <w:r>
        <w:lastRenderedPageBreak/>
        <w:t>sudjelovali u radu Europskog centra za praćenje droga i ovisnosti o drogama (EMCDDA) kroz redovne i stručne sastanke i druge aktivnosti. Također, nastavljen je i razvoj Baze novih droga koja je namijenjena edukaciji svih vrsta profesionalaca.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podataka o drogama, bolesti ovisnosti i posljedicama zlouporabe droga koji su usporedivi s europskim podacima u odnosu na prethodnu godinu</w:t>
            </w:r>
          </w:p>
        </w:tc>
        <w:tc>
          <w:tcPr>
            <w:tcW w:w="2551" w:type="dxa"/>
          </w:tcPr>
          <w:p w:rsidR="005C2091" w:rsidRDefault="00A86293">
            <w:pPr>
              <w:pStyle w:val="CellColumn"/>
              <w:jc w:val="left"/>
            </w:pPr>
            <w:r>
              <w:rPr>
                <w:rFonts w:cs="Times New Roman"/>
              </w:rPr>
              <w:t>Usklađena metodologija prikupljanja podataka sa zahtjevima EMCDDA-a, a provedba nacionalne politike o drogama temelji se na objektivnim potrebama sukladno rezultatima provedenih analiza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11</w:t>
            </w:r>
          </w:p>
        </w:tc>
        <w:tc>
          <w:tcPr>
            <w:tcW w:w="1020" w:type="dxa"/>
          </w:tcPr>
          <w:p w:rsidR="005C2091" w:rsidRDefault="00A86293">
            <w:pPr>
              <w:pStyle w:val="CellColumn"/>
              <w:jc w:val="right"/>
            </w:pPr>
            <w:r>
              <w:rPr>
                <w:rFonts w:cs="Times New Roman"/>
              </w:rPr>
              <w:t>11</w:t>
            </w:r>
          </w:p>
        </w:tc>
      </w:tr>
      <w:tr w:rsidR="005C2091">
        <w:trPr>
          <w:jc w:val="center"/>
        </w:trPr>
        <w:tc>
          <w:tcPr>
            <w:tcW w:w="2551" w:type="dxa"/>
          </w:tcPr>
          <w:p w:rsidR="005C2091" w:rsidRDefault="00A86293">
            <w:pPr>
              <w:pStyle w:val="CellColumn"/>
              <w:jc w:val="left"/>
            </w:pPr>
            <w:r>
              <w:rPr>
                <w:rFonts w:cs="Times New Roman"/>
              </w:rPr>
              <w:t>Povećanje broja projekata koji ispunjavaju kriterije EDDRA kvalitete</w:t>
            </w:r>
          </w:p>
        </w:tc>
        <w:tc>
          <w:tcPr>
            <w:tcW w:w="2551" w:type="dxa"/>
          </w:tcPr>
          <w:p w:rsidR="005C2091" w:rsidRDefault="00A86293">
            <w:pPr>
              <w:pStyle w:val="CellColumn"/>
              <w:jc w:val="left"/>
            </w:pPr>
            <w:r>
              <w:rPr>
                <w:rFonts w:cs="Times New Roman"/>
              </w:rPr>
              <w:t>Povećanjem broja projekata koji ispunjavaju kriterije EDDRA kvalitete osigurat će se financiranje onih programa koji jamče učinkovitost i kvalitetu te identificiranje kvalitetnih, evaluiranih i učinkovitih programa koji će se moći predložiti kao primjeri dobre prakse iz Republike Hrvatske u EDDRA bazu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3</w:t>
            </w:r>
          </w:p>
        </w:tc>
        <w:tc>
          <w:tcPr>
            <w:tcW w:w="1020" w:type="dxa"/>
          </w:tcPr>
          <w:p w:rsidR="005C2091" w:rsidRDefault="00A86293">
            <w:pPr>
              <w:pStyle w:val="CellColumn"/>
              <w:jc w:val="right"/>
            </w:pPr>
            <w:r>
              <w:rPr>
                <w:rFonts w:cs="Times New Roman"/>
              </w:rPr>
              <w:t>2</w:t>
            </w:r>
          </w:p>
        </w:tc>
      </w:tr>
      <w:tr w:rsidR="005C2091">
        <w:trPr>
          <w:jc w:val="center"/>
        </w:trPr>
        <w:tc>
          <w:tcPr>
            <w:tcW w:w="2551" w:type="dxa"/>
          </w:tcPr>
          <w:p w:rsidR="005C2091" w:rsidRDefault="00A86293">
            <w:pPr>
              <w:pStyle w:val="CellColumn"/>
              <w:jc w:val="left"/>
            </w:pPr>
            <w:r>
              <w:rPr>
                <w:rFonts w:cs="Times New Roman"/>
              </w:rPr>
              <w:t>Povećanje broja prikupljenih i proslijeđenih informacija o novim drogama koje su otkrivene putem sustava ranog upozoravanja</w:t>
            </w:r>
          </w:p>
        </w:tc>
        <w:tc>
          <w:tcPr>
            <w:tcW w:w="2551" w:type="dxa"/>
          </w:tcPr>
          <w:p w:rsidR="005C2091" w:rsidRDefault="00A86293">
            <w:pPr>
              <w:pStyle w:val="CellColumn"/>
              <w:jc w:val="left"/>
            </w:pPr>
            <w:r>
              <w:rPr>
                <w:rFonts w:cs="Times New Roman"/>
              </w:rPr>
              <w:t>Prikupljanje kvalitativnih informacija o novim psihoaktivnim tvarima koje se pojavljuju na europskoj i hrvatskoj sceni omogućit će procjenu mogućih rizika koje nove droge mogu predstavljati za zdravlje korisnika i društvo, širenje upozorenja te pravovremenu zakonsku kontrolu i smanjenje dostupnosti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57</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62</w:t>
            </w:r>
          </w:p>
        </w:tc>
        <w:tc>
          <w:tcPr>
            <w:tcW w:w="1020" w:type="dxa"/>
          </w:tcPr>
          <w:p w:rsidR="005C2091" w:rsidRDefault="00A86293">
            <w:pPr>
              <w:pStyle w:val="CellColumn"/>
              <w:jc w:val="right"/>
            </w:pPr>
            <w:r>
              <w:rPr>
                <w:rFonts w:cs="Times New Roman"/>
              </w:rPr>
              <w:t>72</w:t>
            </w:r>
          </w:p>
        </w:tc>
      </w:tr>
      <w:tr w:rsidR="005C2091">
        <w:trPr>
          <w:jc w:val="center"/>
        </w:trPr>
        <w:tc>
          <w:tcPr>
            <w:tcW w:w="2551" w:type="dxa"/>
          </w:tcPr>
          <w:p w:rsidR="005C2091" w:rsidRDefault="00A86293">
            <w:pPr>
              <w:pStyle w:val="CellColumn"/>
              <w:jc w:val="left"/>
            </w:pPr>
            <w:r>
              <w:rPr>
                <w:rFonts w:cs="Times New Roman"/>
              </w:rPr>
              <w:t>Povećanje broja provedenih istraživanja vezanih za područje problematike ovisnosti i zlouporabe droga</w:t>
            </w:r>
          </w:p>
        </w:tc>
        <w:tc>
          <w:tcPr>
            <w:tcW w:w="2551" w:type="dxa"/>
          </w:tcPr>
          <w:p w:rsidR="005C2091" w:rsidRDefault="00A86293">
            <w:pPr>
              <w:pStyle w:val="CellColumn"/>
              <w:jc w:val="left"/>
            </w:pPr>
            <w:r>
              <w:rPr>
                <w:rFonts w:cs="Times New Roman"/>
              </w:rPr>
              <w:t>Provedba istraživanja pridonijet će povećanju znanja u području zlouporabe droga, ali i omogućiti razvoj i provedbu znanstveno utemeljenih programa koji imaju učinak</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11</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12</w:t>
            </w:r>
          </w:p>
        </w:tc>
        <w:tc>
          <w:tcPr>
            <w:tcW w:w="1020" w:type="dxa"/>
          </w:tcPr>
          <w:p w:rsidR="005C2091" w:rsidRDefault="00A86293">
            <w:pPr>
              <w:pStyle w:val="CellColumn"/>
              <w:jc w:val="right"/>
            </w:pPr>
            <w:r>
              <w:rPr>
                <w:rFonts w:cs="Times New Roman"/>
              </w:rPr>
              <w:t>14</w:t>
            </w:r>
          </w:p>
        </w:tc>
      </w:tr>
    </w:tbl>
    <w:p w:rsidR="005C2091" w:rsidRDefault="005C2091">
      <w:pPr>
        <w:jc w:val="left"/>
      </w:pPr>
    </w:p>
    <w:p w:rsidR="005F75C0" w:rsidRDefault="005F75C0">
      <w:pPr>
        <w:jc w:val="left"/>
      </w:pPr>
    </w:p>
    <w:p w:rsidR="005F75C0" w:rsidRDefault="005F75C0">
      <w:pPr>
        <w:jc w:val="left"/>
      </w:pPr>
    </w:p>
    <w:p w:rsidR="005C2091" w:rsidRDefault="00A86293">
      <w:pPr>
        <w:pStyle w:val="Heading4"/>
      </w:pPr>
      <w:r>
        <w:lastRenderedPageBreak/>
        <w:t>A530026 INOVATIVNI PROGRAMI U PODRUČJU PREVENCIJE I RESOCIJALIZACIJE OVISNIKA</w:t>
      </w:r>
    </w:p>
    <w:tbl>
      <w:tblPr>
        <w:tblStyle w:val="StilTablice"/>
        <w:tblW w:w="10206" w:type="dxa"/>
        <w:jc w:val="center"/>
        <w:tblLook w:val="04A0" w:firstRow="1" w:lastRow="0" w:firstColumn="1" w:lastColumn="0" w:noHBand="0" w:noVBand="1"/>
      </w:tblPr>
      <w:tblGrid>
        <w:gridCol w:w="1903"/>
        <w:gridCol w:w="1960"/>
        <w:gridCol w:w="1964"/>
        <w:gridCol w:w="1960"/>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A530026-INOVATIVNI PROGRAMI U PODRUČJU PREVENCIJE I RESOCIJALIZACIJE OVISNIKA</w:t>
            </w:r>
          </w:p>
        </w:tc>
        <w:tc>
          <w:tcPr>
            <w:tcW w:w="2041" w:type="dxa"/>
          </w:tcPr>
          <w:p w:rsidR="005C2091" w:rsidRDefault="00A86293">
            <w:pPr>
              <w:pStyle w:val="CellColumn"/>
              <w:jc w:val="right"/>
            </w:pPr>
            <w:r>
              <w:rPr>
                <w:rFonts w:cs="Times New Roman"/>
              </w:rPr>
              <w:t>146.034</w:t>
            </w:r>
          </w:p>
        </w:tc>
        <w:tc>
          <w:tcPr>
            <w:tcW w:w="2041" w:type="dxa"/>
          </w:tcPr>
          <w:p w:rsidR="005C2091" w:rsidRDefault="00A86293">
            <w:pPr>
              <w:pStyle w:val="CellColumn"/>
              <w:jc w:val="right"/>
            </w:pPr>
            <w:r>
              <w:rPr>
                <w:rFonts w:cs="Times New Roman"/>
              </w:rPr>
              <w:t>1.455.362</w:t>
            </w:r>
          </w:p>
        </w:tc>
        <w:tc>
          <w:tcPr>
            <w:tcW w:w="2041" w:type="dxa"/>
          </w:tcPr>
          <w:p w:rsidR="005C2091" w:rsidRDefault="00A86293">
            <w:pPr>
              <w:pStyle w:val="CellColumn"/>
              <w:jc w:val="right"/>
            </w:pPr>
            <w:r>
              <w:rPr>
                <w:rFonts w:cs="Times New Roman"/>
              </w:rPr>
              <w:t>971.123</w:t>
            </w:r>
          </w:p>
        </w:tc>
        <w:tc>
          <w:tcPr>
            <w:tcW w:w="1224" w:type="dxa"/>
          </w:tcPr>
          <w:p w:rsidR="005C2091" w:rsidRDefault="00A86293">
            <w:pPr>
              <w:pStyle w:val="CellColumn"/>
              <w:jc w:val="right"/>
            </w:pPr>
            <w:r>
              <w:rPr>
                <w:rFonts w:cs="Times New Roman"/>
              </w:rPr>
              <w:t>66,7</w:t>
            </w:r>
          </w:p>
        </w:tc>
        <w:tc>
          <w:tcPr>
            <w:tcW w:w="1224" w:type="dxa"/>
          </w:tcPr>
          <w:p w:rsidR="005C2091" w:rsidRDefault="00A86293">
            <w:pPr>
              <w:pStyle w:val="CellColumn"/>
              <w:jc w:val="right"/>
            </w:pPr>
            <w:r>
              <w:rPr>
                <w:rFonts w:cs="Times New Roman"/>
              </w:rPr>
              <w:t>665,0</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Vladi RH  </w:t>
      </w:r>
    </w:p>
    <w:p w:rsidR="005C2091" w:rsidRDefault="00A86293">
      <w:r>
        <w:t xml:space="preserve">- Zakon o sustavu državne uprave  </w:t>
      </w:r>
    </w:p>
    <w:p w:rsidR="005C2091" w:rsidRDefault="00A86293">
      <w:r>
        <w:t xml:space="preserve">- Uredba o načelima za unutarnje ustrojstvo tijela državne uprave </w:t>
      </w:r>
    </w:p>
    <w:p w:rsidR="005C2091" w:rsidRDefault="00A86293">
      <w:r>
        <w:t xml:space="preserve">- Uredba o osnivanju Ureda za suzbijanje zlouporabe droga  </w:t>
      </w:r>
    </w:p>
    <w:p w:rsidR="005C2091" w:rsidRDefault="00A86293">
      <w:r>
        <w:t xml:space="preserve">- Zakon o suzbijanju zlouporabe droga </w:t>
      </w:r>
    </w:p>
    <w:p w:rsidR="005C2091" w:rsidRDefault="00A86293">
      <w:r>
        <w:t>- Nacionalna strategija suzbijanja zlouporabe droga</w:t>
      </w:r>
    </w:p>
    <w:p w:rsidR="005C2091" w:rsidRDefault="00A86293">
      <w:pPr>
        <w:pStyle w:val="Heading8"/>
        <w:jc w:val="left"/>
      </w:pPr>
      <w:r>
        <w:t>Opis aktivnosti</w:t>
      </w:r>
    </w:p>
    <w:p w:rsidR="005C2091" w:rsidRDefault="00A86293">
      <w:r>
        <w:t>U 2016. godine temeljem Uredbe o raspodjeli dijela prihoda od igara na sreću (Narodne novine, broj 38/16), Ured je bio korisnik dijela lutrijskih sredstava. 8. srpnja 2016. godine Ured je u suradnji s Ministarstvom zdravstva i Ministarstvom pravosuđa objavio zajednički natječaj za prijavu projekata/programa udruga i zdravstvenih organizacija za financijsku potporu iz sredstava Državnog proračuna iz dijela prihoda od igara na sreću u 2016. godini. U Uredu za suzbijanje zlouporabe droga, za prioritetna područja Inovativni programi u području prevencije i resocijalizacija ovisnika, utrošeno je sveukupno 957.420,84 kuna za 8 projekata (konto 3811).</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financiranih projekata i programa udruga i terapijskih zajednica u odnosu na prethodnu godinu</w:t>
            </w:r>
          </w:p>
        </w:tc>
        <w:tc>
          <w:tcPr>
            <w:tcW w:w="2551" w:type="dxa"/>
          </w:tcPr>
          <w:p w:rsidR="005C2091" w:rsidRDefault="00A86293">
            <w:pPr>
              <w:pStyle w:val="CellColumn"/>
              <w:jc w:val="left"/>
            </w:pPr>
            <w:r>
              <w:rPr>
                <w:rFonts w:cs="Times New Roman"/>
              </w:rPr>
              <w:t>Povećanjem broja financiranih programa udruga i terapijskih zajednica povećat će se kapaciteti nevladinog sektora za pružanje usluga na području borbe protiv ovisnosti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8</w:t>
            </w:r>
          </w:p>
        </w:tc>
      </w:tr>
    </w:tbl>
    <w:p w:rsidR="005C2091" w:rsidRDefault="005C2091">
      <w:pPr>
        <w:jc w:val="left"/>
      </w:pPr>
    </w:p>
    <w:p w:rsidR="005F75C0" w:rsidRDefault="005F75C0">
      <w:pPr>
        <w:jc w:val="left"/>
      </w:pPr>
    </w:p>
    <w:p w:rsidR="005F75C0" w:rsidRDefault="005F75C0">
      <w:pPr>
        <w:jc w:val="left"/>
      </w:pPr>
    </w:p>
    <w:p w:rsidR="005C2091" w:rsidRDefault="00A86293">
      <w:pPr>
        <w:pStyle w:val="Heading4"/>
      </w:pPr>
      <w:r>
        <w:lastRenderedPageBreak/>
        <w:t>K530017 INFORMATIZACIJA UREDA ZA SUZBIJANJE ZLOUPORABE DROGA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K530017-INFORMATIZACIJA UREDA ZA SUZBIJANJE ZLOUPORABE DROGA</w:t>
            </w:r>
          </w:p>
        </w:tc>
        <w:tc>
          <w:tcPr>
            <w:tcW w:w="2041" w:type="dxa"/>
          </w:tcPr>
          <w:p w:rsidR="005C2091" w:rsidRDefault="00A86293">
            <w:pPr>
              <w:pStyle w:val="CellColumn"/>
              <w:jc w:val="right"/>
            </w:pPr>
            <w:r>
              <w:rPr>
                <w:rFonts w:cs="Times New Roman"/>
              </w:rPr>
              <w:t>27.061</w:t>
            </w:r>
          </w:p>
        </w:tc>
        <w:tc>
          <w:tcPr>
            <w:tcW w:w="2041" w:type="dxa"/>
          </w:tcPr>
          <w:p w:rsidR="005C2091" w:rsidRDefault="00A86293">
            <w:pPr>
              <w:pStyle w:val="CellColumn"/>
              <w:jc w:val="right"/>
            </w:pPr>
            <w:r>
              <w:rPr>
                <w:rFonts w:cs="Times New Roman"/>
              </w:rPr>
              <w:t>24.000</w:t>
            </w:r>
          </w:p>
        </w:tc>
        <w:tc>
          <w:tcPr>
            <w:tcW w:w="2041" w:type="dxa"/>
          </w:tcPr>
          <w:p w:rsidR="005C2091" w:rsidRDefault="00A86293">
            <w:pPr>
              <w:pStyle w:val="CellColumn"/>
              <w:jc w:val="right"/>
            </w:pPr>
            <w:r>
              <w:rPr>
                <w:rFonts w:cs="Times New Roman"/>
              </w:rPr>
              <w:t>17.665</w:t>
            </w:r>
          </w:p>
        </w:tc>
        <w:tc>
          <w:tcPr>
            <w:tcW w:w="1224" w:type="dxa"/>
          </w:tcPr>
          <w:p w:rsidR="005C2091" w:rsidRDefault="00A86293">
            <w:pPr>
              <w:pStyle w:val="CellColumn"/>
              <w:jc w:val="right"/>
            </w:pPr>
            <w:r>
              <w:rPr>
                <w:rFonts w:cs="Times New Roman"/>
              </w:rPr>
              <w:t>73,6</w:t>
            </w:r>
          </w:p>
        </w:tc>
        <w:tc>
          <w:tcPr>
            <w:tcW w:w="1224" w:type="dxa"/>
          </w:tcPr>
          <w:p w:rsidR="005C2091" w:rsidRDefault="00A86293">
            <w:pPr>
              <w:pStyle w:val="CellColumn"/>
              <w:jc w:val="right"/>
            </w:pPr>
            <w:r>
              <w:rPr>
                <w:rFonts w:cs="Times New Roman"/>
              </w:rPr>
              <w:t>65,3</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Vladi RH  </w:t>
      </w:r>
    </w:p>
    <w:p w:rsidR="005C2091" w:rsidRDefault="00A86293">
      <w:r>
        <w:t xml:space="preserve">- Zakon o sustavu državne uprave  </w:t>
      </w:r>
    </w:p>
    <w:p w:rsidR="005C2091" w:rsidRDefault="00A86293">
      <w:r>
        <w:t xml:space="preserve">- Uredba o načelima za unutarnje ustrojstvo tijela državne uprave </w:t>
      </w:r>
    </w:p>
    <w:p w:rsidR="005C2091" w:rsidRDefault="00A86293">
      <w:r>
        <w:t xml:space="preserve">- Uredba o osnivanju Ureda za suzbijanje zlouporabe droga  </w:t>
      </w:r>
    </w:p>
    <w:p w:rsidR="005C2091" w:rsidRDefault="00A86293">
      <w:r>
        <w:t xml:space="preserve">- Zakon o suzbijanju zlouporabe droga </w:t>
      </w:r>
    </w:p>
    <w:p w:rsidR="005C2091" w:rsidRDefault="00A86293">
      <w:r>
        <w:t>- Nacionalna strategija suzbijanja zlouporabe droga</w:t>
      </w:r>
    </w:p>
    <w:p w:rsidR="005C2091" w:rsidRDefault="00A86293">
      <w:pPr>
        <w:pStyle w:val="Heading8"/>
        <w:jc w:val="left"/>
      </w:pPr>
      <w:r>
        <w:t>Opis aktivnosti</w:t>
      </w:r>
    </w:p>
    <w:p w:rsidR="005C2091" w:rsidRDefault="00A86293">
      <w:r>
        <w:t>Sredstva su utrošena u većem dijelu za nabavu dotrajale računalne opreme, te antivirusne licence i licence za korištenje Microsoftovih softverskih proizvoda.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edukacija za subjekte uključene u sustav suzbijanja zlouporabe droga u odnosu na prethodnu godinu</w:t>
            </w:r>
          </w:p>
        </w:tc>
        <w:tc>
          <w:tcPr>
            <w:tcW w:w="2551" w:type="dxa"/>
          </w:tcPr>
          <w:p w:rsidR="005C2091" w:rsidRDefault="00A86293">
            <w:pPr>
              <w:pStyle w:val="CellColumn"/>
              <w:jc w:val="left"/>
            </w:pPr>
            <w:r>
              <w:rPr>
                <w:rFonts w:cs="Times New Roman"/>
              </w:rPr>
              <w:t>Povećanjem broja edukacija omogućit će se  kvalitetna provedba politike o drogama i veća informiranost o planiranim mjerama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68</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75</w:t>
            </w:r>
          </w:p>
        </w:tc>
        <w:tc>
          <w:tcPr>
            <w:tcW w:w="1020" w:type="dxa"/>
          </w:tcPr>
          <w:p w:rsidR="005C2091" w:rsidRDefault="00A86293">
            <w:pPr>
              <w:pStyle w:val="CellColumn"/>
              <w:jc w:val="right"/>
            </w:pPr>
            <w:r>
              <w:rPr>
                <w:rFonts w:cs="Times New Roman"/>
              </w:rPr>
              <w:t>77</w:t>
            </w:r>
          </w:p>
        </w:tc>
      </w:tr>
      <w:tr w:rsidR="005C2091">
        <w:trPr>
          <w:jc w:val="center"/>
        </w:trPr>
        <w:tc>
          <w:tcPr>
            <w:tcW w:w="2551" w:type="dxa"/>
          </w:tcPr>
          <w:p w:rsidR="005C2091" w:rsidRDefault="00A86293">
            <w:pPr>
              <w:pStyle w:val="CellColumn"/>
              <w:jc w:val="left"/>
            </w:pPr>
            <w:r>
              <w:rPr>
                <w:rFonts w:cs="Times New Roman"/>
              </w:rPr>
              <w:t>Povećanje broja financiranih projekata i programa udruga i terapijskih zajednica u odnosu na prethodnu godinu</w:t>
            </w:r>
          </w:p>
        </w:tc>
        <w:tc>
          <w:tcPr>
            <w:tcW w:w="2551" w:type="dxa"/>
          </w:tcPr>
          <w:p w:rsidR="005C2091" w:rsidRDefault="00A86293">
            <w:pPr>
              <w:pStyle w:val="CellColumn"/>
              <w:jc w:val="left"/>
            </w:pPr>
            <w:r>
              <w:rPr>
                <w:rFonts w:cs="Times New Roman"/>
              </w:rPr>
              <w:t>Povećanjem broja financiranih programa udruga i terapijskih zajednica povećat će se kapaciteti nevladinog sektora za pružanje usluga na području borbe protiv ovisnosti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8</w:t>
            </w:r>
          </w:p>
        </w:tc>
      </w:tr>
      <w:tr w:rsidR="005C2091">
        <w:trPr>
          <w:jc w:val="center"/>
        </w:trPr>
        <w:tc>
          <w:tcPr>
            <w:tcW w:w="2551" w:type="dxa"/>
          </w:tcPr>
          <w:p w:rsidR="005C2091" w:rsidRDefault="00A86293">
            <w:pPr>
              <w:pStyle w:val="CellColumn"/>
              <w:jc w:val="left"/>
            </w:pPr>
            <w:r>
              <w:rPr>
                <w:rFonts w:cs="Times New Roman"/>
              </w:rPr>
              <w:t>Povećanje broja ovisnika uključenih u Projekt resocijalizacije u odnosu na prethodnu godinu</w:t>
            </w:r>
          </w:p>
        </w:tc>
        <w:tc>
          <w:tcPr>
            <w:tcW w:w="2551" w:type="dxa"/>
          </w:tcPr>
          <w:p w:rsidR="005C2091" w:rsidRDefault="00A86293">
            <w:pPr>
              <w:pStyle w:val="CellColumn"/>
              <w:jc w:val="left"/>
            </w:pPr>
            <w:r>
              <w:rPr>
                <w:rFonts w:cs="Times New Roman"/>
              </w:rPr>
              <w:t>Povećanjem broja ovisnika uključenih u Projekt resocijalizacije omogućit će se bolja socijalna integracija u društvo i normalan život</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1219</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1250</w:t>
            </w:r>
          </w:p>
        </w:tc>
        <w:tc>
          <w:tcPr>
            <w:tcW w:w="1020" w:type="dxa"/>
          </w:tcPr>
          <w:p w:rsidR="005C2091" w:rsidRDefault="00A86293">
            <w:pPr>
              <w:pStyle w:val="CellColumn"/>
              <w:jc w:val="right"/>
            </w:pPr>
            <w:r>
              <w:rPr>
                <w:rFonts w:cs="Times New Roman"/>
              </w:rPr>
              <w:t>1276</w:t>
            </w:r>
          </w:p>
        </w:tc>
      </w:tr>
      <w:tr w:rsidR="005C2091">
        <w:trPr>
          <w:jc w:val="center"/>
        </w:trPr>
        <w:tc>
          <w:tcPr>
            <w:tcW w:w="2551" w:type="dxa"/>
          </w:tcPr>
          <w:p w:rsidR="005C2091" w:rsidRDefault="00A86293">
            <w:pPr>
              <w:pStyle w:val="CellColumn"/>
              <w:jc w:val="left"/>
            </w:pPr>
            <w:r>
              <w:rPr>
                <w:rFonts w:cs="Times New Roman"/>
              </w:rPr>
              <w:lastRenderedPageBreak/>
              <w:t>Povećanje broja izvješća i programa koja su unesena u informatičku bazu</w:t>
            </w:r>
          </w:p>
        </w:tc>
        <w:tc>
          <w:tcPr>
            <w:tcW w:w="2551" w:type="dxa"/>
          </w:tcPr>
          <w:p w:rsidR="005C2091" w:rsidRDefault="00A86293">
            <w:pPr>
              <w:pStyle w:val="CellColumn"/>
              <w:jc w:val="left"/>
            </w:pPr>
            <w:r>
              <w:rPr>
                <w:rFonts w:cs="Times New Roman"/>
              </w:rPr>
              <w:t>Unošenjem izvješća i programa u Informatičku bazu omogućit će se analitički pregled mjera koje se provede od stane različitih subjekata i podatka o stanju problematike droga, ali i identificirati kvalitetni programi i projekti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200</w:t>
            </w:r>
          </w:p>
        </w:tc>
        <w:tc>
          <w:tcPr>
            <w:tcW w:w="1020" w:type="dxa"/>
          </w:tcPr>
          <w:p w:rsidR="005C2091" w:rsidRDefault="00A86293">
            <w:pPr>
              <w:pStyle w:val="CellColumn"/>
              <w:jc w:val="right"/>
            </w:pPr>
            <w:r>
              <w:rPr>
                <w:rFonts w:cs="Times New Roman"/>
              </w:rPr>
              <w:t>Ured za suzbijanje zlouporabe droga</w:t>
            </w:r>
          </w:p>
        </w:tc>
        <w:tc>
          <w:tcPr>
            <w:tcW w:w="1020" w:type="dxa"/>
          </w:tcPr>
          <w:p w:rsidR="005C2091" w:rsidRDefault="00A86293">
            <w:pPr>
              <w:pStyle w:val="CellColumn"/>
              <w:jc w:val="right"/>
            </w:pPr>
            <w:r>
              <w:rPr>
                <w:rFonts w:cs="Times New Roman"/>
              </w:rPr>
              <w:t>210</w:t>
            </w:r>
          </w:p>
        </w:tc>
        <w:tc>
          <w:tcPr>
            <w:tcW w:w="1020" w:type="dxa"/>
          </w:tcPr>
          <w:p w:rsidR="005C2091" w:rsidRDefault="00A86293">
            <w:pPr>
              <w:pStyle w:val="CellColumn"/>
              <w:jc w:val="right"/>
            </w:pPr>
            <w:r>
              <w:rPr>
                <w:rFonts w:cs="Times New Roman"/>
              </w:rPr>
              <w:t>461</w:t>
            </w:r>
          </w:p>
        </w:tc>
      </w:tr>
    </w:tbl>
    <w:p w:rsidR="005C2091" w:rsidRDefault="005C2091">
      <w:pPr>
        <w:jc w:val="left"/>
      </w:pPr>
    </w:p>
    <w:p w:rsidR="005C2091" w:rsidRDefault="00A86293">
      <w:pPr>
        <w:pStyle w:val="Heading2"/>
      </w:pPr>
      <w:r>
        <w:t>02091 Ured Komisije za odnose s vjerskim zajednicama</w:t>
      </w:r>
    </w:p>
    <w:p w:rsidR="005C2091" w:rsidRDefault="00A86293">
      <w:r>
        <w:t xml:space="preserve">Zakonom o pravnom položaju vjerskih zajednica („Narodne novine“ br. 83/2002 i 73/2013), određeno je da Vlada Republike Hrvatske radi provedbe akata koji uređuju odnos države i vjerskih zajednica, kao i drugih pitanja od značenja za položaj i djelovanje vjerskih zajednica, osniva Komisiju za odnose s vjerskim zajednicama (Komisija).  </w:t>
      </w:r>
    </w:p>
    <w:p w:rsidR="005C2091" w:rsidRDefault="00A86293">
      <w:r>
        <w:t xml:space="preserve">Komisija i Ured Komisije za odnose s vjerskim zajednicama (Ured Komisije) osnovani su Uredbom o osnivanju Komisije za odnose s vjerskim zajednicama i Ureda Komisije za odnose s vjerskim zajednicama (Narodne novine, broj 126/2013 i 145/2013) (Uredba o osnivanju). Uredba o osnivanju stupila je na snagu dana 24. listopada 2013. godine. Komisija je do stupanja na snagu Uredbe o osnivanju bila osnovana Poslovnikom Vlade Republike Hrvatske („Narodne novine“ broj 154/2011, 121/2012 i 7/2013) kao radno tijelo Vlade Republike Hrvatske.  </w:t>
      </w:r>
    </w:p>
    <w:p w:rsidR="005C2091" w:rsidRDefault="00A86293">
      <w:r>
        <w:t xml:space="preserve">Sukladno članku 1. stavku 2. Uredbe o osnivanju Ured Komisije djeluje kao stručna služba Vlade Republike Hrvatske. Radom Ureda Komisije rukovodi ravnatelj Ureda Komisije. Detaljan djelokrug Ureda Komisije određen je člankom 5. Uredbe o osnivanju. U skladu s navedenim člankom Ured Komisije obavlja stručne i administrativne poslove vezane uz odnose s vjerskim zajednicama, a osobito: </w:t>
      </w:r>
    </w:p>
    <w:p w:rsidR="005C2091" w:rsidRDefault="00A86293">
      <w:r>
        <w:t xml:space="preserve">– priprema i u ime predsjednika Komisije saziva sjednice Komisije; </w:t>
      </w:r>
    </w:p>
    <w:p w:rsidR="005C2091" w:rsidRDefault="00A86293">
      <w:r>
        <w:t xml:space="preserve">– priprema i saziva sjednice mješovitih povjerenstava i komisija; </w:t>
      </w:r>
    </w:p>
    <w:p w:rsidR="005C2091" w:rsidRDefault="00A86293">
      <w:r>
        <w:t xml:space="preserve">– obavlja stručne poslove u vezi s ostvarivanjem utvrđene politike zaštite prava vjerskih zajednica u Republici Hrvatskoj; </w:t>
      </w:r>
    </w:p>
    <w:p w:rsidR="005C2091" w:rsidRDefault="00A86293">
      <w:r>
        <w:t xml:space="preserve">– surađuje s nadležnim ministarstvima i drugim tijelima državne uprave, kao i drugim institucijama, u radu na ostvarivanju prava vjerskih zajednica; </w:t>
      </w:r>
    </w:p>
    <w:p w:rsidR="005C2091" w:rsidRDefault="00A86293">
      <w:r>
        <w:t xml:space="preserve">– prati međunarodne dokumente, priprema mišljenja i stručne analize u vezi s ostvarivanjem prava vjerskih zajednica, a koje su potrebne za rad Komisije; </w:t>
      </w:r>
    </w:p>
    <w:p w:rsidR="005C2091" w:rsidRDefault="00A86293">
      <w:r>
        <w:t xml:space="preserve">– vodi evidenciju o vjerskim blagdanima vjerskih zajednica u Republici Hrvatskoj, te u ime Vlade Republike Hrvatske i Komisije upućuje prigodne čestitke; </w:t>
      </w:r>
    </w:p>
    <w:p w:rsidR="005C2091" w:rsidRDefault="00A86293">
      <w:r>
        <w:t xml:space="preserve">– priprema nacrta akata i prati izvršavanje financijskih obveza Republike Hrvatske prema vjerskim zajednicama utvrđenih državnim proračunom Republike Hrvatske; </w:t>
      </w:r>
    </w:p>
    <w:p w:rsidR="005C2091" w:rsidRDefault="00A86293">
      <w:r>
        <w:t xml:space="preserve">– obavlja i druge poslove koje mu povjere Vlada i Komisija. </w:t>
      </w:r>
    </w:p>
    <w:p w:rsidR="005C2091" w:rsidRDefault="00A86293">
      <w:r>
        <w:t xml:space="preserve">Stručni poslovi obuhvaćaju prikupljanje i obradu podataka; prikupljanje i pripremu  materijala u pisanom i elektroničkom obliku za sjednice Komisije, te stručne i radne sastanke mješovitih povjerenstva i mješovitih komisija; sudjelovanje u radnim skupinama za izradu nacrta zakona i podzakonskih akata; priprema izrade i sudjelovanje u izradi prijedloga akata koje donosi Vlada Republike Hrvatske; stručnu obradu predmeta; izrada pisanih mišljenja, priopćenja, očitovanja, izviješća, zapisnika i ostalih dopisa; praćenje propisa i temeljnih pravila, prakse Ustavnog suda Republike Hrvatske i Europskog suda za ljudska prava i standarda koji su izgrađeni u specijaliziranom području odnosa države i vjerskih zajednica; poslove prijama stranaka i komuniciranje s javnošću.  </w:t>
      </w:r>
    </w:p>
    <w:p w:rsidR="005C2091" w:rsidRDefault="00A86293">
      <w:r>
        <w:t xml:space="preserve">Prijedlozi uredbi i drugih propisa koje donosi Vlada dostavljaju se u obliku pravnih odredbi, a prijedlozi drugih akata (strategije, deklaracije, izvješća, rezolucije i sl.) moraju sadržavati prikaz svih pitanja potrebnih za raspravu i odlučivanje o njima, kao i prijedlog zaključka ili drugog akta čije se donošenje predlaže Vladi. </w:t>
      </w:r>
    </w:p>
    <w:p w:rsidR="005C2091" w:rsidRDefault="00A86293">
      <w:r>
        <w:t>Administrativni poslovi obuhvaćaju poslove upravljanja telefonskim pozivima; vođenje knjiga ulazne i izlazne pošte; zaprimanje, sortiranje, klasificiranje, pohranjivanje i čuvanje dokumentacije, poslove otpreme i dostavljanja pošte, kao i ostale opće administrativne poslove koji se odnose na uredsko poslovanje.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02091-Ured Komisije za odnose s vjerskim zajednicama</w:t>
            </w:r>
          </w:p>
        </w:tc>
        <w:tc>
          <w:tcPr>
            <w:tcW w:w="2041" w:type="dxa"/>
            <w:vAlign w:val="top"/>
          </w:tcPr>
          <w:p w:rsidR="005C2091" w:rsidRDefault="00A86293">
            <w:pPr>
              <w:pStyle w:val="CellColumn"/>
              <w:jc w:val="right"/>
            </w:pPr>
            <w:r>
              <w:rPr>
                <w:rFonts w:cs="Times New Roman"/>
              </w:rPr>
              <w:t>364.731</w:t>
            </w:r>
          </w:p>
        </w:tc>
        <w:tc>
          <w:tcPr>
            <w:tcW w:w="2041" w:type="dxa"/>
            <w:vAlign w:val="top"/>
          </w:tcPr>
          <w:p w:rsidR="005C2091" w:rsidRDefault="00A86293">
            <w:pPr>
              <w:pStyle w:val="CellColumn"/>
              <w:jc w:val="right"/>
            </w:pPr>
            <w:r>
              <w:rPr>
                <w:rFonts w:cs="Times New Roman"/>
              </w:rPr>
              <w:t>20.476.520</w:t>
            </w:r>
          </w:p>
        </w:tc>
        <w:tc>
          <w:tcPr>
            <w:tcW w:w="2041" w:type="dxa"/>
            <w:vAlign w:val="top"/>
          </w:tcPr>
          <w:p w:rsidR="005C2091" w:rsidRDefault="00A86293">
            <w:pPr>
              <w:pStyle w:val="CellColumn"/>
              <w:jc w:val="right"/>
            </w:pPr>
            <w:r>
              <w:rPr>
                <w:rFonts w:cs="Times New Roman"/>
              </w:rPr>
              <w:t>20.341.763</w:t>
            </w:r>
          </w:p>
        </w:tc>
        <w:tc>
          <w:tcPr>
            <w:tcW w:w="1224" w:type="dxa"/>
            <w:vAlign w:val="top"/>
          </w:tcPr>
          <w:p w:rsidR="005C2091" w:rsidRDefault="00A86293">
            <w:pPr>
              <w:pStyle w:val="CellColumn"/>
              <w:jc w:val="right"/>
            </w:pPr>
            <w:r>
              <w:rPr>
                <w:rFonts w:cs="Times New Roman"/>
              </w:rPr>
              <w:t>99,3</w:t>
            </w:r>
          </w:p>
        </w:tc>
        <w:tc>
          <w:tcPr>
            <w:tcW w:w="1224" w:type="dxa"/>
            <w:vAlign w:val="top"/>
          </w:tcPr>
          <w:p w:rsidR="005C2091" w:rsidRDefault="00A86293">
            <w:pPr>
              <w:pStyle w:val="CellColumn"/>
              <w:jc w:val="right"/>
            </w:pPr>
            <w:r>
              <w:rPr>
                <w:rFonts w:cs="Times New Roman"/>
              </w:rPr>
              <w:t>5577,2</w:t>
            </w:r>
          </w:p>
        </w:tc>
      </w:tr>
      <w:tr w:rsidR="005C2091">
        <w:trPr>
          <w:jc w:val="center"/>
        </w:trPr>
        <w:tc>
          <w:tcPr>
            <w:tcW w:w="1632" w:type="dxa"/>
          </w:tcPr>
          <w:p w:rsidR="005C2091" w:rsidRDefault="00A86293">
            <w:pPr>
              <w:jc w:val="left"/>
            </w:pPr>
            <w:r>
              <w:t>3916-ODNOSI REPUBLIKE HRVATSKE I VJERSKIH ZAJEDNICA</w:t>
            </w:r>
          </w:p>
        </w:tc>
        <w:tc>
          <w:tcPr>
            <w:tcW w:w="2041" w:type="dxa"/>
          </w:tcPr>
          <w:p w:rsidR="005C2091" w:rsidRDefault="00A86293">
            <w:pPr>
              <w:jc w:val="right"/>
            </w:pPr>
            <w:r>
              <w:t>364.731</w:t>
            </w:r>
          </w:p>
        </w:tc>
        <w:tc>
          <w:tcPr>
            <w:tcW w:w="2041" w:type="dxa"/>
          </w:tcPr>
          <w:p w:rsidR="005C2091" w:rsidRDefault="00A86293">
            <w:pPr>
              <w:jc w:val="right"/>
            </w:pPr>
            <w:r>
              <w:t>439.620</w:t>
            </w:r>
          </w:p>
        </w:tc>
        <w:tc>
          <w:tcPr>
            <w:tcW w:w="2041" w:type="dxa"/>
          </w:tcPr>
          <w:p w:rsidR="005C2091" w:rsidRDefault="00A86293">
            <w:pPr>
              <w:jc w:val="right"/>
            </w:pPr>
            <w:r>
              <w:t>366.192</w:t>
            </w:r>
          </w:p>
        </w:tc>
        <w:tc>
          <w:tcPr>
            <w:tcW w:w="1224" w:type="dxa"/>
          </w:tcPr>
          <w:p w:rsidR="005C2091" w:rsidRDefault="00A86293">
            <w:pPr>
              <w:jc w:val="right"/>
            </w:pPr>
            <w:r>
              <w:t>83,3</w:t>
            </w:r>
          </w:p>
        </w:tc>
        <w:tc>
          <w:tcPr>
            <w:tcW w:w="1224" w:type="dxa"/>
          </w:tcPr>
          <w:p w:rsidR="005C2091" w:rsidRDefault="00A86293">
            <w:pPr>
              <w:jc w:val="right"/>
            </w:pPr>
            <w:r>
              <w:t>100,4</w:t>
            </w:r>
          </w:p>
        </w:tc>
      </w:tr>
      <w:tr w:rsidR="005C2091">
        <w:trPr>
          <w:jc w:val="center"/>
        </w:trPr>
        <w:tc>
          <w:tcPr>
            <w:tcW w:w="1632" w:type="dxa"/>
          </w:tcPr>
          <w:p w:rsidR="005C2091" w:rsidRDefault="00A86293">
            <w:pPr>
              <w:jc w:val="left"/>
            </w:pPr>
            <w:r>
              <w:t>3917-POTPORE VJERSKIM ZAJEDNICAMA</w:t>
            </w:r>
          </w:p>
        </w:tc>
        <w:tc>
          <w:tcPr>
            <w:tcW w:w="2041" w:type="dxa"/>
          </w:tcPr>
          <w:p w:rsidR="005C2091" w:rsidRDefault="00A86293">
            <w:pPr>
              <w:jc w:val="right"/>
            </w:pPr>
            <w:r>
              <w:t>00</w:t>
            </w:r>
          </w:p>
        </w:tc>
        <w:tc>
          <w:tcPr>
            <w:tcW w:w="2041" w:type="dxa"/>
          </w:tcPr>
          <w:p w:rsidR="005C2091" w:rsidRDefault="00A86293">
            <w:pPr>
              <w:jc w:val="right"/>
            </w:pPr>
            <w:r>
              <w:t>20.036.900</w:t>
            </w:r>
          </w:p>
        </w:tc>
        <w:tc>
          <w:tcPr>
            <w:tcW w:w="2041" w:type="dxa"/>
          </w:tcPr>
          <w:p w:rsidR="005C2091" w:rsidRDefault="00A86293">
            <w:pPr>
              <w:jc w:val="right"/>
            </w:pPr>
            <w:r>
              <w:t>19.975.571</w:t>
            </w:r>
          </w:p>
        </w:tc>
        <w:tc>
          <w:tcPr>
            <w:tcW w:w="1224" w:type="dxa"/>
          </w:tcPr>
          <w:p w:rsidR="005C2091" w:rsidRDefault="00A86293">
            <w:pPr>
              <w:jc w:val="right"/>
            </w:pPr>
            <w:r>
              <w:t>99,7</w:t>
            </w:r>
          </w:p>
        </w:tc>
        <w:tc>
          <w:tcPr>
            <w:tcW w:w="1224"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t>3916 ODNOSI REPUBLIKE HRVATSKE I VJERSKIH ZAJEDNICA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3916-ODNOSI REPUBLIKE HRVATSKE I VJERSKIH ZAJEDNICA</w:t>
            </w:r>
          </w:p>
        </w:tc>
        <w:tc>
          <w:tcPr>
            <w:tcW w:w="2041" w:type="dxa"/>
          </w:tcPr>
          <w:p w:rsidR="005C2091" w:rsidRDefault="00A86293">
            <w:pPr>
              <w:pStyle w:val="CellColumn"/>
              <w:jc w:val="right"/>
            </w:pPr>
            <w:r>
              <w:rPr>
                <w:rFonts w:cs="Times New Roman"/>
              </w:rPr>
              <w:t>364.731</w:t>
            </w:r>
          </w:p>
        </w:tc>
        <w:tc>
          <w:tcPr>
            <w:tcW w:w="2041" w:type="dxa"/>
          </w:tcPr>
          <w:p w:rsidR="005C2091" w:rsidRDefault="00A86293">
            <w:pPr>
              <w:pStyle w:val="CellColumn"/>
              <w:jc w:val="right"/>
            </w:pPr>
            <w:r>
              <w:rPr>
                <w:rFonts w:cs="Times New Roman"/>
              </w:rPr>
              <w:t>439.620</w:t>
            </w:r>
          </w:p>
        </w:tc>
        <w:tc>
          <w:tcPr>
            <w:tcW w:w="2041" w:type="dxa"/>
          </w:tcPr>
          <w:p w:rsidR="005C2091" w:rsidRDefault="00A86293">
            <w:pPr>
              <w:pStyle w:val="CellColumn"/>
              <w:jc w:val="right"/>
            </w:pPr>
            <w:r>
              <w:rPr>
                <w:rFonts w:cs="Times New Roman"/>
              </w:rPr>
              <w:t>366.192</w:t>
            </w:r>
          </w:p>
        </w:tc>
        <w:tc>
          <w:tcPr>
            <w:tcW w:w="1224" w:type="dxa"/>
          </w:tcPr>
          <w:p w:rsidR="005C2091" w:rsidRDefault="00A86293">
            <w:pPr>
              <w:pStyle w:val="CellColumn"/>
              <w:jc w:val="right"/>
            </w:pPr>
            <w:r>
              <w:rPr>
                <w:rFonts w:cs="Times New Roman"/>
              </w:rPr>
              <w:t>83,3</w:t>
            </w:r>
          </w:p>
        </w:tc>
        <w:tc>
          <w:tcPr>
            <w:tcW w:w="1224" w:type="dxa"/>
          </w:tcPr>
          <w:p w:rsidR="005C2091" w:rsidRDefault="00A86293">
            <w:pPr>
              <w:pStyle w:val="CellColumn"/>
              <w:jc w:val="right"/>
            </w:pPr>
            <w:r>
              <w:rPr>
                <w:rFonts w:cs="Times New Roman"/>
              </w:rPr>
              <w:t>100,4</w:t>
            </w:r>
          </w:p>
        </w:tc>
      </w:tr>
    </w:tbl>
    <w:p w:rsidR="005C2091" w:rsidRDefault="005C2091">
      <w:pPr>
        <w:jc w:val="left"/>
      </w:pPr>
    </w:p>
    <w:p w:rsidR="005C2091" w:rsidRDefault="00A86293">
      <w:r>
        <w:t>Ustav Republiku Hrvatsku određuje kao laičku državu u kojoj je Crkva odvojena od države. Navedeno ustavno određenje apostrofira potpunu neutralnost države u vjerskim i crkvenim pitanjima. S druge strane, vjerske su zajednice ovlaštene neometano vršiti svoje poslanje koje se očituje kroz javno obavljanje vjerskih obreda, kroz osnivanje vjerskih škola, učilišta i drugih zavoda te kroz organizaciju socijalnih i dobrotvornih ustanova. Sukladno Ustavu Republike Hrvatske vjerske zajednice u svojoj djelatnosti uživaju zaštitu i pomoć države, čime se stvaraju uvjeti za ostvarivanje temeljnog ljudskog prava, prava na vjeru. Sveukupno, vjerskim zajednicama u ostvarivanju prava i sloboda propisanih Ustavom Republike Hrvatske, međunarodnim ugovorima i konvencijama, zakonima Republike Hrvatske i ugovorima sklopljenim između Vlade Republike Hrvatske i vjerskih zajednica pomaže Komisija. Komisija razmatra pitanja odnosa između vjerskih zajednica i države, posebice pojedinih tijela državne vlasti te pitanja vezana uz sklapanje i izvršavanje međunarodnih ugovora i ugovora Vlade Republike Hrvatske koji se odnose na uređivanje položaja i prava vjerskih zajednica. Pružanjem stručne i administrativne podrške u radu Komisije od strane Ureda Komisije, Ured Komisije doprinosi učinkovitoj provedbi pravnog okvira koji uređuje odnos države i vjerskih zajednica.</w:t>
      </w:r>
    </w:p>
    <w:p w:rsidR="005C2091" w:rsidRDefault="00A86293">
      <w:pPr>
        <w:pStyle w:val="Heading4"/>
      </w:pPr>
      <w:r>
        <w:t>A872001 ADMINISTRACIJA I UPRAVLJANJE</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A872001-ADMINISTRACIJA I UPRAVLJANJE</w:t>
            </w:r>
          </w:p>
        </w:tc>
        <w:tc>
          <w:tcPr>
            <w:tcW w:w="2041" w:type="dxa"/>
          </w:tcPr>
          <w:p w:rsidR="005C2091" w:rsidRDefault="00A86293">
            <w:pPr>
              <w:pStyle w:val="CellColumn"/>
              <w:jc w:val="right"/>
            </w:pPr>
            <w:r>
              <w:rPr>
                <w:rFonts w:cs="Times New Roman"/>
              </w:rPr>
              <w:t>359.327</w:t>
            </w:r>
          </w:p>
        </w:tc>
        <w:tc>
          <w:tcPr>
            <w:tcW w:w="2041" w:type="dxa"/>
          </w:tcPr>
          <w:p w:rsidR="005C2091" w:rsidRDefault="00A86293">
            <w:pPr>
              <w:pStyle w:val="CellColumn"/>
              <w:jc w:val="right"/>
            </w:pPr>
            <w:r>
              <w:rPr>
                <w:rFonts w:cs="Times New Roman"/>
              </w:rPr>
              <w:t>424.620</w:t>
            </w:r>
          </w:p>
        </w:tc>
        <w:tc>
          <w:tcPr>
            <w:tcW w:w="2041" w:type="dxa"/>
          </w:tcPr>
          <w:p w:rsidR="005C2091" w:rsidRDefault="00A86293">
            <w:pPr>
              <w:pStyle w:val="CellColumn"/>
              <w:jc w:val="right"/>
            </w:pPr>
            <w:r>
              <w:rPr>
                <w:rFonts w:cs="Times New Roman"/>
              </w:rPr>
              <w:t>361.795</w:t>
            </w:r>
          </w:p>
        </w:tc>
        <w:tc>
          <w:tcPr>
            <w:tcW w:w="1224" w:type="dxa"/>
          </w:tcPr>
          <w:p w:rsidR="005C2091" w:rsidRDefault="00A86293">
            <w:pPr>
              <w:pStyle w:val="CellColumn"/>
              <w:jc w:val="right"/>
            </w:pPr>
            <w:r>
              <w:rPr>
                <w:rFonts w:cs="Times New Roman"/>
              </w:rPr>
              <w:t>85,2</w:t>
            </w:r>
          </w:p>
        </w:tc>
        <w:tc>
          <w:tcPr>
            <w:tcW w:w="1224" w:type="dxa"/>
          </w:tcPr>
          <w:p w:rsidR="005C2091" w:rsidRDefault="00A86293">
            <w:pPr>
              <w:pStyle w:val="CellColumn"/>
              <w:jc w:val="right"/>
            </w:pPr>
            <w:r>
              <w:rPr>
                <w:rFonts w:cs="Times New Roman"/>
              </w:rPr>
              <w:t>100,7</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pravnom položaju vjerskih zajednica  </w:t>
      </w:r>
    </w:p>
    <w:p w:rsidR="005C2091" w:rsidRDefault="00A86293">
      <w:r>
        <w:t>- Uredba o osnivanju Komisije za odnose s vjerskim zajednicama i Ureda Komisije za odnose s vjerskim zajednicama</w:t>
      </w:r>
    </w:p>
    <w:p w:rsidR="005C2091" w:rsidRDefault="00A86293">
      <w:pPr>
        <w:pStyle w:val="Heading8"/>
        <w:jc w:val="left"/>
      </w:pPr>
      <w:r>
        <w:t>Opis aktivnosti</w:t>
      </w:r>
    </w:p>
    <w:p w:rsidR="005C2091" w:rsidRDefault="00A86293">
      <w:r>
        <w:t>Djelatnost Ureda Komisije se povezuje s okvirom općeg programa Komisije kao međuresornog tijela Vlade Republike Hrvatske koji se odnosi na osiguravanje provedbe akata koji uređuju odnose države i vjerskih zajednica. U tom kontekstu, pored navedenih stručnih i administrativnih poslova koje je Ured Komisije odradio za Komisiju, ravnatelj Ureda Komisije je predstavnik Republike Hrvatske po položaju u mješovitim povjerenstvima: Republike Hrvatske i Katoličke crkve/Hrvatske biskupske konferencije (za rješavanje pitanja povrata imovine, za rješavanje gospodarskih pitanja, za vjeronauk u javnim školama i vjerski odgoj u javnim predškolskim ustanovama), u Mješovitoj komisiji Republike Hrvatske i Katoličke crkve za rješavanje pravnih pitanja, u Mješovitoj komisiji Republike Hrvatske i Katoličke crkve za očuvanje kulturne i umjetničke baštine Katoličke crkve i u Mješovitom povjerenstvu Republike Hrvatske i Katoličke crkve za rješavanje pitanja katoličkih predškolskih ustanova, katoličkih škola i katoličkih visokih učilišta koja na temelju četiri Međunarodna Ugovora koje je Republika Hrvatska sklopila sa Svetom Stolicom. Također, ravnatelj Ureda Komisije predstavnik je Republike Hrvatske po položaju i u Mješovitom povjerenstvu za provedbu odredaba Zakona o pravnom položaju vjerskih zajednica i odredaba Ugovora o pitanjima od zajedničkog interesa sklopljenih između Vlade Republike Hrvatske i crkava, odnosno vjerskih zajednica. Tijekom 2016. godine ravnatelj je sudjelovao u radu mješovitih komisija i povjerenstava. Također Ured Komisije je putem izrađenih mišljenja i očitovanja imao savjetodavnu i informativnu ulogu, u slučajevima kad su ministarstva, tijela sudbene vlasti i različita upravna tijela u odnosu na vjerske zajednice provodila pozitivno-pravne propise. Na radnim sastancima s predstavnicima vjerskih zajednica i putem očitovanja po zahtjevima vjerskih zajednica Ured Komisije je u pojedinačnim slučajevima rješavao pitanja ostvarivanja prava vjerskih zajednica.</w:t>
      </w:r>
    </w:p>
    <w:p w:rsidR="005C2091" w:rsidRDefault="00A86293">
      <w:pPr>
        <w:pStyle w:val="Heading4"/>
      </w:pPr>
      <w:r>
        <w:t>K872002 INFORMATIZACIJA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K872002-INFORMATIZACIJA</w:t>
            </w:r>
          </w:p>
        </w:tc>
        <w:tc>
          <w:tcPr>
            <w:tcW w:w="2041" w:type="dxa"/>
          </w:tcPr>
          <w:p w:rsidR="005C2091" w:rsidRDefault="00A86293">
            <w:pPr>
              <w:pStyle w:val="CellColumn"/>
              <w:jc w:val="right"/>
            </w:pPr>
            <w:r>
              <w:rPr>
                <w:rFonts w:cs="Times New Roman"/>
              </w:rPr>
              <w:t>5.404</w:t>
            </w:r>
          </w:p>
        </w:tc>
        <w:tc>
          <w:tcPr>
            <w:tcW w:w="2041" w:type="dxa"/>
          </w:tcPr>
          <w:p w:rsidR="005C2091" w:rsidRDefault="00A86293">
            <w:pPr>
              <w:pStyle w:val="CellColumn"/>
              <w:jc w:val="right"/>
            </w:pPr>
            <w:r>
              <w:rPr>
                <w:rFonts w:cs="Times New Roman"/>
              </w:rPr>
              <w:t>15.000</w:t>
            </w:r>
          </w:p>
        </w:tc>
        <w:tc>
          <w:tcPr>
            <w:tcW w:w="2041" w:type="dxa"/>
          </w:tcPr>
          <w:p w:rsidR="005C2091" w:rsidRDefault="00A86293">
            <w:pPr>
              <w:pStyle w:val="CellColumn"/>
              <w:jc w:val="right"/>
            </w:pPr>
            <w:r>
              <w:rPr>
                <w:rFonts w:cs="Times New Roman"/>
              </w:rPr>
              <w:t>4.397</w:t>
            </w:r>
          </w:p>
        </w:tc>
        <w:tc>
          <w:tcPr>
            <w:tcW w:w="1224" w:type="dxa"/>
          </w:tcPr>
          <w:p w:rsidR="005C2091" w:rsidRDefault="00A86293">
            <w:pPr>
              <w:pStyle w:val="CellColumn"/>
              <w:jc w:val="right"/>
            </w:pPr>
            <w:r>
              <w:rPr>
                <w:rFonts w:cs="Times New Roman"/>
              </w:rPr>
              <w:t>29,3</w:t>
            </w:r>
          </w:p>
        </w:tc>
        <w:tc>
          <w:tcPr>
            <w:tcW w:w="1224" w:type="dxa"/>
          </w:tcPr>
          <w:p w:rsidR="005C2091" w:rsidRDefault="00A86293">
            <w:pPr>
              <w:pStyle w:val="CellColumn"/>
              <w:jc w:val="right"/>
            </w:pPr>
            <w:r>
              <w:rPr>
                <w:rFonts w:cs="Times New Roman"/>
              </w:rPr>
              <w:t>81,4</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pravnom položaju vjerskih zajednica  </w:t>
      </w:r>
    </w:p>
    <w:p w:rsidR="005C2091" w:rsidRDefault="00A86293">
      <w:r>
        <w:t>- Uredba o osnivanju Komisije za odnose s vjerskim zajednicama i Ureda Komisije za odnose s vjerskim zajednicama</w:t>
      </w:r>
    </w:p>
    <w:p w:rsidR="005C2091" w:rsidRDefault="00A86293">
      <w:pPr>
        <w:pStyle w:val="Heading8"/>
        <w:jc w:val="left"/>
      </w:pPr>
      <w:r>
        <w:t>Opis aktivnosti</w:t>
      </w:r>
    </w:p>
    <w:p w:rsidR="005C2091" w:rsidRDefault="00A86293">
      <w:r>
        <w:t>Tijekom 2016. godine Ured Komisije je obnovio dio svoje računalne i informatičke opreme.</w:t>
      </w:r>
    </w:p>
    <w:p w:rsidR="005C2091" w:rsidRDefault="00A86293">
      <w:pPr>
        <w:pStyle w:val="Heading3"/>
      </w:pPr>
      <w:r>
        <w:rPr>
          <w:rFonts w:cs="Times New Roman"/>
        </w:rPr>
        <w:lastRenderedPageBreak/>
        <w:t>3917 POTPORE VJERSKIM ZAJEDNICAMA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3917-POTPORE VJERSKIM ZAJEDNICAMA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20.036.900</w:t>
            </w:r>
          </w:p>
        </w:tc>
        <w:tc>
          <w:tcPr>
            <w:tcW w:w="2041" w:type="dxa"/>
          </w:tcPr>
          <w:p w:rsidR="005C2091" w:rsidRDefault="00A86293">
            <w:pPr>
              <w:pStyle w:val="CellColumn"/>
              <w:jc w:val="right"/>
            </w:pPr>
            <w:r>
              <w:rPr>
                <w:rFonts w:cs="Times New Roman"/>
              </w:rPr>
              <w:t>19.975.571</w:t>
            </w:r>
          </w:p>
        </w:tc>
        <w:tc>
          <w:tcPr>
            <w:tcW w:w="1224" w:type="dxa"/>
          </w:tcPr>
          <w:p w:rsidR="005C2091" w:rsidRDefault="00A86293">
            <w:pPr>
              <w:pStyle w:val="CellColumn"/>
              <w:jc w:val="right"/>
            </w:pPr>
            <w:r>
              <w:rPr>
                <w:rFonts w:cs="Times New Roman"/>
              </w:rPr>
              <w:t>99,7</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U skladu s Ustavom RH, međunarodnim ugovorima i konvencijama, zakonima RH i ugovorima sklopljenima između Vlade RH i vjerskih zajednica doprinijeti ostvarivanju vjerskih prava i sloboda, kao i održavanju i unapređenju odnosa države s crkvama i vjerskim zajednicama.</w:t>
      </w:r>
    </w:p>
    <w:p w:rsidR="005C2091" w:rsidRDefault="00A86293">
      <w:pPr>
        <w:pStyle w:val="Heading4"/>
      </w:pPr>
      <w:r>
        <w:t>A872003 POTICAJI PREMA UGOVORIMA VLADE RH I VJERSKIH ZAJEDNICA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A872003-POTICAJI PREMA UGOVORIMA VLADE RH I VJERSKIH ZAJEDNICA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20.036.900</w:t>
            </w:r>
          </w:p>
        </w:tc>
        <w:tc>
          <w:tcPr>
            <w:tcW w:w="2041" w:type="dxa"/>
          </w:tcPr>
          <w:p w:rsidR="005C2091" w:rsidRDefault="00A86293">
            <w:pPr>
              <w:pStyle w:val="CellColumn"/>
              <w:jc w:val="right"/>
            </w:pPr>
            <w:r>
              <w:rPr>
                <w:rFonts w:cs="Times New Roman"/>
              </w:rPr>
              <w:t>19.975.571</w:t>
            </w:r>
          </w:p>
        </w:tc>
        <w:tc>
          <w:tcPr>
            <w:tcW w:w="1224" w:type="dxa"/>
          </w:tcPr>
          <w:p w:rsidR="005C2091" w:rsidRDefault="00A86293">
            <w:pPr>
              <w:pStyle w:val="CellColumn"/>
              <w:jc w:val="right"/>
            </w:pPr>
            <w:r>
              <w:rPr>
                <w:rFonts w:cs="Times New Roman"/>
              </w:rPr>
              <w:t>99,7</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pravnom položaju vjerskih zajednica  </w:t>
      </w:r>
    </w:p>
    <w:p w:rsidR="005C2091" w:rsidRDefault="00A86293">
      <w:r>
        <w:t xml:space="preserve">- Uredba o osnivanju Komisije za odnose s vjerskim zajednicama i Ureda Komisije za odnose s vjerskim zajednicama  </w:t>
      </w:r>
    </w:p>
    <w:p w:rsidR="005C2091" w:rsidRDefault="00A86293">
      <w:r>
        <w:t xml:space="preserve">- Ugovor između Svete Stolice i Republike Hrvatske o dušobrižništvu katoličkih vjernika, pripadnika oružanih snaga i redarstvenih službi Republike Hrvatske </w:t>
      </w:r>
    </w:p>
    <w:p w:rsidR="005C2091" w:rsidRDefault="00A86293">
      <w:r>
        <w:t xml:space="preserve">- Ugovor između Svete Stolice i Republike Hrvatske o suradnji na području odgoja i kulture </w:t>
      </w:r>
    </w:p>
    <w:p w:rsidR="005C2091" w:rsidRDefault="00A86293">
      <w:r>
        <w:t xml:space="preserve">- Ugovor između Svete Stolice i Republike Hrvatske o pravnim pitanjima </w:t>
      </w:r>
    </w:p>
    <w:p w:rsidR="005C2091" w:rsidRDefault="00A86293">
      <w:r>
        <w:t xml:space="preserve">- Ugovor između Svete Stolice i Republike Hrvatske o gospodarskim pitanjima </w:t>
      </w:r>
    </w:p>
    <w:p w:rsidR="005C2091" w:rsidRDefault="00A86293">
      <w:r>
        <w:t xml:space="preserve">- Ugovor o pitanjima od zajedničkog interesa sa Srpskom pravoslavnom crkvom u Hrvatskoj  </w:t>
      </w:r>
    </w:p>
    <w:p w:rsidR="005C2091" w:rsidRDefault="00A86293">
      <w:r>
        <w:t xml:space="preserve">- Ugovor o pitanjima od zajedničkog interesa sa Islamskom zajednicom u Hrvatskoj  </w:t>
      </w:r>
    </w:p>
    <w:p w:rsidR="005C2091" w:rsidRDefault="00A86293">
      <w:r>
        <w:t xml:space="preserve">- Ugovor o pitanjima od zajedničkog interesa sa Evangeličkom crkvom u Republici Hrvatskoj i Reformiranom kršćanskom (kalvinskom) crkvom u Hrvatskoj  </w:t>
      </w:r>
    </w:p>
    <w:p w:rsidR="005C2091" w:rsidRDefault="00A86293">
      <w:r>
        <w:t xml:space="preserve">- Ugovor o pitanjima od zajedničkog interesa sa Evanđeoskom pentekostnom crkvom u Republici Hrvatskoj, Kršćanskom adventističkom crkvom u Republici Hrvatskoj i Savezom baptističkih crkava u Republici Hrvatskoj  </w:t>
      </w:r>
    </w:p>
    <w:p w:rsidR="005C2091" w:rsidRDefault="00A86293">
      <w:r>
        <w:t xml:space="preserve">- Ugovor o pitanjima od zajedničkog interesa sa Bugarskom pravoslavnom crkvom u Hrvatskoj, Hrvatskom starokatoličkom crkvom i Makedonskom pravoslavnom crkvom u Hrvatskoj  </w:t>
      </w:r>
    </w:p>
    <w:p w:rsidR="005C2091" w:rsidRDefault="00A86293">
      <w:r>
        <w:t xml:space="preserve">- Ugovor o pitanjima od zajedničkog interesa sa Koordinacijom židovskih općina u Republici Hrvatskoj  </w:t>
      </w:r>
    </w:p>
    <w:p w:rsidR="005C2091" w:rsidRDefault="00A86293">
      <w:r>
        <w:t xml:space="preserve">- Ugovor o pitanjima od zajedničkog interesa sa Židovskom vjerskom zajednicom Bet Israel u Hrvatsko </w:t>
      </w:r>
    </w:p>
    <w:p w:rsidR="005C2091" w:rsidRDefault="00A86293">
      <w:r>
        <w:lastRenderedPageBreak/>
        <w:t>- Ugovor o pitanjima od zajedničkog interesa sa Savezom crkava „Riječ života“, Crkvom cjelovitog evanđelja  i Protestantskom reformiranom kršćanskom crkvom u Republici Hrvatskoj</w:t>
      </w:r>
    </w:p>
    <w:p w:rsidR="005C2091" w:rsidRDefault="00A86293">
      <w:pPr>
        <w:pStyle w:val="Heading8"/>
        <w:jc w:val="left"/>
      </w:pPr>
      <w:r>
        <w:t>Opis aktivnosti</w:t>
      </w:r>
    </w:p>
    <w:p w:rsidR="005C2091" w:rsidRDefault="00A86293">
      <w:r>
        <w:t>Temeljem navedenih Ugovora o pitanjima od zajedničkog interesa Vlade Republike Hrvatske Katoličkoj crkvi i 19 vjerskih zajednica novčana sredstva Iz Državnog proračuna RH se isplaćuju s Razdjela 020 Vlada Republike Hrvatske, Glava 91 Ured Komisije za odnose s vjerskim zajednicama (Ured Komisije) Aktivnost A 872003 - Poticaji prema ugovorima Vlade Republike Hrvatske i vjerskih zajednica. Ured Komisije planira sredstava prema Ugovorima Vlade Republike Hrvatske i vjerskih zajednica sukladno odredbama Ugovora. Početkom svake godine Predsjednik Komisije i ovlašteni predstavnici vjerske zajednice potpisuju Protokole o izvršavanju određenih financijskih obveza Republike Hrvatske prema vjerskim zajednicama potpisnicama Ugovora o pitanjima od zajedničkog interesa.</w:t>
      </w:r>
    </w:p>
    <w:p w:rsidR="005C2091" w:rsidRDefault="00A86293">
      <w:pPr>
        <w:pStyle w:val="Heading2"/>
      </w:pPr>
      <w:r>
        <w:t>02092 Ured za ravnopravnost spolova</w:t>
      </w:r>
    </w:p>
    <w:p w:rsidR="005C2091" w:rsidRDefault="00A86293">
      <w:r>
        <w:t xml:space="preserve">Ured za ravnopravnost spolova osnovan je 2004. godine kao stručna služba Vlade RH kojoj su djelokrug rada i zadaće propisani Zakonom o ravnopravnosti spolova (NN 114/03, i NN 82/08). Zakonom o ravnopravnosti spolova iz 2008. (NN 82/08) propisano je da Ured obavlja stručne i druge poslove na način da:  </w:t>
      </w:r>
    </w:p>
    <w:p w:rsidR="005C2091" w:rsidRDefault="00A86293">
      <w:r>
        <w:t xml:space="preserve">1. koordinira sve aktivnosti kojima je cilj uspostavljanje ravnopravnosti spolova, izrađuje cjeloviti sustav zaštite i promicanja ravnopravnosti spolova u Republici Hrvatskoj i prati njegovu učinkovitost, </w:t>
      </w:r>
    </w:p>
    <w:p w:rsidR="005C2091" w:rsidRDefault="00A86293">
      <w:r>
        <w:t xml:space="preserve">2. odobrava tijelima iz članka 11. ovoga Zakona provedbu planova djelovanja, </w:t>
      </w:r>
    </w:p>
    <w:p w:rsidR="005C2091" w:rsidRDefault="00A86293">
      <w:r>
        <w:t xml:space="preserve">3. predlaže Vladi Republike Hrvatske i državnim tijelima donošenje ili izmjene zakona i drugih propisa kao i usvajanje drugih mjera, </w:t>
      </w:r>
    </w:p>
    <w:p w:rsidR="005C2091" w:rsidRDefault="00A86293">
      <w:r>
        <w:t xml:space="preserve">4. izrađuje nacionalnu politiku za promicanje ravnopravnosti spolova i nadzire njezinu provedbu, </w:t>
      </w:r>
    </w:p>
    <w:p w:rsidR="005C2091" w:rsidRDefault="00A86293">
      <w:r>
        <w:t xml:space="preserve">5. provodi istraživanja, izrađuje analize i svake dvije godine Vladu Republike Hrvatske izvještava o provedbi nacionalne politike, </w:t>
      </w:r>
    </w:p>
    <w:p w:rsidR="005C2091" w:rsidRDefault="00A86293">
      <w:r>
        <w:t xml:space="preserve">6. prati usklađenost i primjenu zakona i drugih propisa koji se odnose na ravnopravnost spolova u odnosu na međunarodne dokumente, </w:t>
      </w:r>
    </w:p>
    <w:p w:rsidR="005C2091" w:rsidRDefault="00A86293">
      <w:r>
        <w:t xml:space="preserve">7. priprema nacionalna izvješća o ispunjavanju međunarodnih obveza u području ravnopravnosti spolova, </w:t>
      </w:r>
    </w:p>
    <w:p w:rsidR="005C2091" w:rsidRDefault="00A86293">
      <w:r>
        <w:t xml:space="preserve">8. surađuje s nevladinim udrugama koje su aktivne u području ravnopravnosti spolova i osigurava djelomično financiranje njihovih projekata ili aktivnosti, </w:t>
      </w:r>
    </w:p>
    <w:p w:rsidR="005C2091" w:rsidRDefault="00A86293">
      <w:r>
        <w:t xml:space="preserve">9. promiče znanje i svijest o ravnopravnosti spolova, </w:t>
      </w:r>
    </w:p>
    <w:p w:rsidR="005C2091" w:rsidRDefault="00A86293">
      <w:r>
        <w:t xml:space="preserve">10. prima predstavke stranaka o povredama odredbi ovoga Zakona i drugih propisa i prosljeđuje ih pravobraniteljstvu i drugim nadležnim državnim tijelima,  </w:t>
      </w:r>
    </w:p>
    <w:p w:rsidR="005C2091" w:rsidRDefault="00A86293">
      <w:r>
        <w:t xml:space="preserve">11. koordinira rad županijskih povjerenstava za ravnopravnost spolova, </w:t>
      </w:r>
    </w:p>
    <w:p w:rsidR="005C2091" w:rsidRDefault="00A86293">
      <w:r>
        <w:t>12. izvještava Vladu Republike Hrvatske svake godine, najkasnije krajem travnja za prethodnu godinu o svojim aktivnostima.</w:t>
      </w:r>
    </w:p>
    <w:tbl>
      <w:tblPr>
        <w:tblStyle w:val="StilTablice"/>
        <w:tblW w:w="10206" w:type="dxa"/>
        <w:jc w:val="center"/>
        <w:tblLook w:val="04A0" w:firstRow="1" w:lastRow="0" w:firstColumn="1" w:lastColumn="0" w:noHBand="0" w:noVBand="1"/>
      </w:tblPr>
      <w:tblGrid>
        <w:gridCol w:w="1948"/>
        <w:gridCol w:w="1948"/>
        <w:gridCol w:w="1948"/>
        <w:gridCol w:w="1948"/>
        <w:gridCol w:w="1203"/>
        <w:gridCol w:w="121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02092-Ured za ravnopravnost spolova</w:t>
            </w:r>
          </w:p>
        </w:tc>
        <w:tc>
          <w:tcPr>
            <w:tcW w:w="2041" w:type="dxa"/>
            <w:vAlign w:val="top"/>
          </w:tcPr>
          <w:p w:rsidR="005C2091" w:rsidRDefault="00A86293">
            <w:pPr>
              <w:pStyle w:val="CellColumn"/>
              <w:jc w:val="right"/>
            </w:pPr>
            <w:r>
              <w:rPr>
                <w:rFonts w:cs="Times New Roman"/>
              </w:rPr>
              <w:t>1.777.936</w:t>
            </w:r>
          </w:p>
        </w:tc>
        <w:tc>
          <w:tcPr>
            <w:tcW w:w="2041" w:type="dxa"/>
            <w:vAlign w:val="top"/>
          </w:tcPr>
          <w:p w:rsidR="005C2091" w:rsidRDefault="00A86293">
            <w:pPr>
              <w:pStyle w:val="CellColumn"/>
              <w:jc w:val="right"/>
            </w:pPr>
            <w:r>
              <w:rPr>
                <w:rFonts w:cs="Times New Roman"/>
              </w:rPr>
              <w:t>5.213.140</w:t>
            </w:r>
          </w:p>
        </w:tc>
        <w:tc>
          <w:tcPr>
            <w:tcW w:w="2041" w:type="dxa"/>
            <w:vAlign w:val="top"/>
          </w:tcPr>
          <w:p w:rsidR="005C2091" w:rsidRDefault="00A86293">
            <w:pPr>
              <w:pStyle w:val="CellColumn"/>
              <w:jc w:val="right"/>
            </w:pPr>
            <w:r>
              <w:rPr>
                <w:rFonts w:cs="Times New Roman"/>
              </w:rPr>
              <w:t>4.950.457</w:t>
            </w:r>
          </w:p>
        </w:tc>
        <w:tc>
          <w:tcPr>
            <w:tcW w:w="1224" w:type="dxa"/>
            <w:vAlign w:val="top"/>
          </w:tcPr>
          <w:p w:rsidR="005C2091" w:rsidRDefault="00A86293">
            <w:pPr>
              <w:pStyle w:val="CellColumn"/>
              <w:jc w:val="right"/>
            </w:pPr>
            <w:r>
              <w:rPr>
                <w:rFonts w:cs="Times New Roman"/>
              </w:rPr>
              <w:t>95,0</w:t>
            </w:r>
          </w:p>
        </w:tc>
        <w:tc>
          <w:tcPr>
            <w:tcW w:w="1224" w:type="dxa"/>
            <w:vAlign w:val="top"/>
          </w:tcPr>
          <w:p w:rsidR="005C2091" w:rsidRDefault="00A86293">
            <w:pPr>
              <w:pStyle w:val="CellColumn"/>
              <w:jc w:val="right"/>
            </w:pPr>
            <w:r>
              <w:rPr>
                <w:rFonts w:cs="Times New Roman"/>
              </w:rPr>
              <w:t>278,4</w:t>
            </w:r>
          </w:p>
        </w:tc>
      </w:tr>
      <w:tr w:rsidR="005C2091">
        <w:trPr>
          <w:jc w:val="center"/>
        </w:trPr>
        <w:tc>
          <w:tcPr>
            <w:tcW w:w="1632" w:type="dxa"/>
          </w:tcPr>
          <w:p w:rsidR="005C2091" w:rsidRDefault="00A86293">
            <w:pPr>
              <w:jc w:val="left"/>
            </w:pPr>
            <w:r>
              <w:t>2113-PROMICANJE RAVNOPRAVNOSTI SPOLOVA</w:t>
            </w:r>
          </w:p>
        </w:tc>
        <w:tc>
          <w:tcPr>
            <w:tcW w:w="2041" w:type="dxa"/>
          </w:tcPr>
          <w:p w:rsidR="005C2091" w:rsidRDefault="00A86293">
            <w:pPr>
              <w:jc w:val="right"/>
            </w:pPr>
            <w:r>
              <w:t>1.777.936</w:t>
            </w:r>
          </w:p>
        </w:tc>
        <w:tc>
          <w:tcPr>
            <w:tcW w:w="2041" w:type="dxa"/>
          </w:tcPr>
          <w:p w:rsidR="005C2091" w:rsidRDefault="00A86293">
            <w:pPr>
              <w:jc w:val="right"/>
            </w:pPr>
            <w:r>
              <w:t>5.213.140</w:t>
            </w:r>
          </w:p>
        </w:tc>
        <w:tc>
          <w:tcPr>
            <w:tcW w:w="2041" w:type="dxa"/>
          </w:tcPr>
          <w:p w:rsidR="005C2091" w:rsidRDefault="00A86293">
            <w:pPr>
              <w:jc w:val="right"/>
            </w:pPr>
            <w:r>
              <w:t>4.950.457</w:t>
            </w:r>
          </w:p>
        </w:tc>
        <w:tc>
          <w:tcPr>
            <w:tcW w:w="1224" w:type="dxa"/>
          </w:tcPr>
          <w:p w:rsidR="005C2091" w:rsidRDefault="00A86293">
            <w:pPr>
              <w:jc w:val="right"/>
            </w:pPr>
            <w:r>
              <w:t>95,0</w:t>
            </w:r>
          </w:p>
        </w:tc>
        <w:tc>
          <w:tcPr>
            <w:tcW w:w="1224" w:type="dxa"/>
          </w:tcPr>
          <w:p w:rsidR="005C2091" w:rsidRDefault="00A86293">
            <w:pPr>
              <w:jc w:val="right"/>
            </w:pPr>
            <w:r>
              <w:t>278,4</w:t>
            </w:r>
          </w:p>
        </w:tc>
      </w:tr>
    </w:tbl>
    <w:p w:rsidR="005C2091" w:rsidRDefault="005C2091">
      <w:pPr>
        <w:jc w:val="left"/>
      </w:pPr>
    </w:p>
    <w:p w:rsidR="005C2091" w:rsidRDefault="00A86293">
      <w:pPr>
        <w:pStyle w:val="Heading3"/>
      </w:pPr>
      <w:r>
        <w:rPr>
          <w:rFonts w:cs="Times New Roman"/>
        </w:rPr>
        <w:lastRenderedPageBreak/>
        <w:t>2113 PROMICANJE RAVNOPRAVNOSTI SPOLOVA</w:t>
      </w:r>
    </w:p>
    <w:tbl>
      <w:tblPr>
        <w:tblStyle w:val="StilTablice"/>
        <w:tblW w:w="10206" w:type="dxa"/>
        <w:jc w:val="center"/>
        <w:tblLook w:val="04A0" w:firstRow="1" w:lastRow="0" w:firstColumn="1" w:lastColumn="0" w:noHBand="0" w:noVBand="1"/>
      </w:tblPr>
      <w:tblGrid>
        <w:gridCol w:w="1948"/>
        <w:gridCol w:w="1948"/>
        <w:gridCol w:w="1948"/>
        <w:gridCol w:w="1948"/>
        <w:gridCol w:w="1203"/>
        <w:gridCol w:w="121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2113-PROMICANJE RAVNOPRAVNOSTI SPOLOVA</w:t>
            </w:r>
          </w:p>
        </w:tc>
        <w:tc>
          <w:tcPr>
            <w:tcW w:w="2041" w:type="dxa"/>
          </w:tcPr>
          <w:p w:rsidR="005C2091" w:rsidRDefault="00A86293">
            <w:pPr>
              <w:pStyle w:val="CellColumn"/>
              <w:jc w:val="right"/>
            </w:pPr>
            <w:r>
              <w:rPr>
                <w:rFonts w:cs="Times New Roman"/>
              </w:rPr>
              <w:t>1.777.936</w:t>
            </w:r>
          </w:p>
        </w:tc>
        <w:tc>
          <w:tcPr>
            <w:tcW w:w="2041" w:type="dxa"/>
          </w:tcPr>
          <w:p w:rsidR="005C2091" w:rsidRDefault="00A86293">
            <w:pPr>
              <w:pStyle w:val="CellColumn"/>
              <w:jc w:val="right"/>
            </w:pPr>
            <w:r>
              <w:rPr>
                <w:rFonts w:cs="Times New Roman"/>
              </w:rPr>
              <w:t>5.213.140</w:t>
            </w:r>
          </w:p>
        </w:tc>
        <w:tc>
          <w:tcPr>
            <w:tcW w:w="2041" w:type="dxa"/>
          </w:tcPr>
          <w:p w:rsidR="005C2091" w:rsidRDefault="00A86293">
            <w:pPr>
              <w:pStyle w:val="CellColumn"/>
              <w:jc w:val="right"/>
            </w:pPr>
            <w:r>
              <w:rPr>
                <w:rFonts w:cs="Times New Roman"/>
              </w:rPr>
              <w:t>4.950.457</w:t>
            </w:r>
          </w:p>
        </w:tc>
        <w:tc>
          <w:tcPr>
            <w:tcW w:w="1224" w:type="dxa"/>
          </w:tcPr>
          <w:p w:rsidR="005C2091" w:rsidRDefault="00A86293">
            <w:pPr>
              <w:pStyle w:val="CellColumn"/>
              <w:jc w:val="right"/>
            </w:pPr>
            <w:r>
              <w:rPr>
                <w:rFonts w:cs="Times New Roman"/>
              </w:rPr>
              <w:t>95,0</w:t>
            </w:r>
          </w:p>
        </w:tc>
        <w:tc>
          <w:tcPr>
            <w:tcW w:w="1224" w:type="dxa"/>
          </w:tcPr>
          <w:p w:rsidR="005C2091" w:rsidRDefault="00A86293">
            <w:pPr>
              <w:pStyle w:val="CellColumn"/>
              <w:jc w:val="right"/>
            </w:pPr>
            <w:r>
              <w:rPr>
                <w:rFonts w:cs="Times New Roman"/>
              </w:rPr>
              <w:t>278,4</w:t>
            </w:r>
          </w:p>
        </w:tc>
      </w:tr>
    </w:tbl>
    <w:p w:rsidR="005C2091" w:rsidRDefault="005C2091">
      <w:pPr>
        <w:jc w:val="left"/>
      </w:pPr>
    </w:p>
    <w:p w:rsidR="005C2091" w:rsidRDefault="00A86293">
      <w:r>
        <w:t xml:space="preserve">Kroz Program Ured, sukladno posebnom cilju 1.7. Strategije Vladinih programa 2016.-208., djeluje na uklanjanju spolne diskriminacije i stvaranju uvjeta za stvarnu ravnopravnost muškaraca i žena u društvu. </w:t>
      </w:r>
    </w:p>
    <w:p w:rsidR="005C2091" w:rsidRDefault="00A86293">
      <w:r>
        <w:t>Program se ostvaruje kroz primjenu odredbi Zakona o ravnopravnosti spolova, realizacijom specifičnih mjera definiranih u Nacionalnoj politici za ravnopravnost spolova i drugim nacionalnim i međunarodnim obvezujućim dokumentima, osvještavanjem javnosti te edukacijom i osnaživanjem koordinatora u tijelima državne uprave i županijskih povjerenstava za ravnopravnost spolova kao nacionalnih mehanizama za ravnopravnost spolova.</w:t>
      </w:r>
    </w:p>
    <w:p w:rsidR="005C2091" w:rsidRDefault="00A86293">
      <w:pPr>
        <w:pStyle w:val="Heading8"/>
        <w:jc w:val="left"/>
      </w:pPr>
      <w:r>
        <w:t xml:space="preserve">Cilj 1. Uklanjanje spolne diskriminacije i stvaranje uvjeta za stvarnu ravnopravnost muškaraca i žena u društvu </w:t>
      </w:r>
    </w:p>
    <w:p w:rsidR="005C2091" w:rsidRDefault="00A86293">
      <w:pPr>
        <w:pStyle w:val="Heading8"/>
        <w:jc w:val="left"/>
      </w:pPr>
      <w:r>
        <w:t>Opis provedbe cilja programa</w:t>
      </w:r>
    </w:p>
    <w:p w:rsidR="005C2091" w:rsidRDefault="00A86293">
      <w:r>
        <w:t xml:space="preserve">Programom se želi ukloniti još uvijek prisutne oblike spolne diskriminacije, ukloniti predrasude i stereotipe te osvijestiti javnost o mogućnostima zaštite prava na jednako postupanje i jednake mogućnosti te uvesti načelo ravnopravnosti spolova u sve segmente i razine društva. Pokazatelj učinka, odnosno uspješnost u provedbi cilja i smanjenje diskriminacije u društvu, mjeri se rastom vrijednosti na Indeksu ravnopravnosti spolova (Gender Equality Index). Indeks mjeri stanje u području rada, platežne moći, znanja, raspolaganja vremenom, političke participacije i zdravlja te uključuje područje nasilja nad ženama i višestruke nejednakosti.  </w:t>
      </w:r>
    </w:p>
    <w:p w:rsidR="005C2091" w:rsidRDefault="00A86293">
      <w:r>
        <w:t xml:space="preserve">Istraživanje provodi Europski institut za ravnopravnost spolova prikupljanjem sveobuhvatnih dostupnih podataka. U izvještaju EIGE-a, objavljenom 2015. godine uvršteni su podaci iz 2012. godine za 28 zemalja članica EU. Vrijednost Indeksa za Republiku Hrvatsku iznosila je 39,8 bodova, na skali od 1 do 100. Prosjek EU-28 iznosio je 52,9 bodova.  </w:t>
      </w:r>
    </w:p>
    <w:p w:rsidR="005C2091" w:rsidRDefault="00A86293">
      <w:r>
        <w:t>Unatoč brojnim aktivnostima Ureda i za 2016. godinu ostaju relevantni podaci iz 2015. godine, kao i vrijednost indeksa manja od očekivanog, a najveća pojedinačna razlika u odnosu na EU je u području platežne moći i obrazovanja.  Istraživanje EIGE-a koje će biti predstavljeno u listopadu 2017. godine će tek dati podatke o rezultatima aktivnosti poduzetima u 2015. godini.</w:t>
      </w:r>
    </w:p>
    <w:p w:rsidR="005C2091" w:rsidRDefault="00A86293">
      <w:pPr>
        <w:pStyle w:val="Heading4"/>
      </w:pPr>
      <w:r>
        <w:t>A532009 PROVEDBA ZAKONA O RAVNOPRAVNOSTI SPOLOVA I NACIONALNE POLITIKE</w:t>
      </w:r>
    </w:p>
    <w:tbl>
      <w:tblPr>
        <w:tblStyle w:val="StilTablice"/>
        <w:tblW w:w="10206" w:type="dxa"/>
        <w:jc w:val="center"/>
        <w:tblLook w:val="04A0" w:firstRow="1" w:lastRow="0" w:firstColumn="1" w:lastColumn="0" w:noHBand="0" w:noVBand="1"/>
      </w:tblPr>
      <w:tblGrid>
        <w:gridCol w:w="1949"/>
        <w:gridCol w:w="1949"/>
        <w:gridCol w:w="1943"/>
        <w:gridCol w:w="1949"/>
        <w:gridCol w:w="1204"/>
        <w:gridCol w:w="121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A532009-PROVEDBA ZAKONA O RAVNOPRAVNOSTI SPOLOVA I NACIONALNE POLITIKE</w:t>
            </w:r>
          </w:p>
        </w:tc>
        <w:tc>
          <w:tcPr>
            <w:tcW w:w="2041" w:type="dxa"/>
          </w:tcPr>
          <w:p w:rsidR="005C2091" w:rsidRDefault="00A86293">
            <w:pPr>
              <w:pStyle w:val="CellColumn"/>
              <w:jc w:val="right"/>
            </w:pPr>
            <w:r>
              <w:rPr>
                <w:rFonts w:cs="Times New Roman"/>
              </w:rPr>
              <w:t>169.513</w:t>
            </w:r>
          </w:p>
        </w:tc>
        <w:tc>
          <w:tcPr>
            <w:tcW w:w="2041" w:type="dxa"/>
          </w:tcPr>
          <w:p w:rsidR="005C2091" w:rsidRDefault="00A86293">
            <w:pPr>
              <w:pStyle w:val="CellColumn"/>
              <w:jc w:val="right"/>
            </w:pPr>
            <w:r>
              <w:rPr>
                <w:rFonts w:cs="Times New Roman"/>
              </w:rPr>
              <w:t>165.250</w:t>
            </w:r>
          </w:p>
        </w:tc>
        <w:tc>
          <w:tcPr>
            <w:tcW w:w="2041" w:type="dxa"/>
          </w:tcPr>
          <w:p w:rsidR="005C2091" w:rsidRDefault="00A86293">
            <w:pPr>
              <w:pStyle w:val="CellColumn"/>
              <w:jc w:val="right"/>
            </w:pPr>
            <w:r>
              <w:rPr>
                <w:rFonts w:cs="Times New Roman"/>
              </w:rPr>
              <w:t>75.303</w:t>
            </w:r>
          </w:p>
        </w:tc>
        <w:tc>
          <w:tcPr>
            <w:tcW w:w="1224" w:type="dxa"/>
          </w:tcPr>
          <w:p w:rsidR="005C2091" w:rsidRDefault="00A86293">
            <w:pPr>
              <w:pStyle w:val="CellColumn"/>
              <w:jc w:val="right"/>
            </w:pPr>
            <w:r>
              <w:rPr>
                <w:rFonts w:cs="Times New Roman"/>
              </w:rPr>
              <w:t>45,6</w:t>
            </w:r>
          </w:p>
        </w:tc>
        <w:tc>
          <w:tcPr>
            <w:tcW w:w="1224" w:type="dxa"/>
          </w:tcPr>
          <w:p w:rsidR="005C2091" w:rsidRDefault="00A86293">
            <w:pPr>
              <w:pStyle w:val="CellColumn"/>
              <w:jc w:val="right"/>
            </w:pPr>
            <w:r>
              <w:rPr>
                <w:rFonts w:cs="Times New Roman"/>
              </w:rPr>
              <w:t>44,4</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 xml:space="preserve">Zakonom o ravnopravnosti  spolova (NN 82/08), definiran je djelokrug i zadaće Ureda za ravnopravnost spolova, a posebno je potrebno istaknuti izradu i praćenje provedbe Nacionalne politike za ravnopravnost spolova koju donosi Hrvatski sabor, a obvezuje sva tijela državne uprave, jedinice lokalne i područne (regionalne) samouprave i druga tijela na poduzimanje aktivnosti kojima se sustavno uklanja spolna diskriminacija i uspostavlja ravnopravnost spolova.  </w:t>
      </w:r>
    </w:p>
    <w:p w:rsidR="005C2091" w:rsidRDefault="00A86293">
      <w:r>
        <w:t xml:space="preserve"> Ured provodi čitav niz aktivnosti temeljem zaduženja u svojstvu nositelja mjera Nacionalne politike za ravnopravnost spolova. Obveza Ureda je nadzor nad njenom provedbom s ciljem koordinacije aktivnosti na uklanjanju diskriminacije u području ljudskih prava žena, obrazovanju, tržištu rada, u procesima odlučivanja i međunarodnoj suradnji.  </w:t>
      </w:r>
    </w:p>
    <w:p w:rsidR="005C2091" w:rsidRDefault="00A86293">
      <w:r>
        <w:t xml:space="preserve">Predstavnice Ureda sudjeluju u velikom broju radnih skupina i povjerenstava pri tijelima državne uprave. Njihov angažman temelji se na drugim zakonskim i podzakonskim aktima, funkcioniranju tijela u skladu s odredbama institucija EU te međunarodnim obvezama Republike Hrvatske.  </w:t>
      </w:r>
    </w:p>
    <w:p w:rsidR="005C2091" w:rsidRDefault="00A86293">
      <w:r>
        <w:t xml:space="preserve">Ured aktivno sudjeluje u dva Odbora za praćenje Operativnih programa (OP KK i OPULJP) kojima je uređeno povlačenje financijskih sredstava iz europskih strukturnih i investicijskih fondova tijekom financijskog semestra 2014. -2020.        </w:t>
      </w:r>
    </w:p>
    <w:p w:rsidR="005C2091" w:rsidRDefault="00A86293">
      <w:r>
        <w:t xml:space="preserve"> </w:t>
      </w:r>
    </w:p>
    <w:p w:rsidR="005C2091" w:rsidRDefault="00A86293">
      <w:r>
        <w:t xml:space="preserve">Određeni broj zaduženja definiran je međunarodnim sporazumima  (UN Konvencijom o uklanjanju svih oblika diskriminacije žena, Održivim ciljevima razvoja, Pekinškom deklaracijom i Platformom za djelovanje, Paktom o građanskim i političkim pravima, i dr.). </w:t>
      </w:r>
    </w:p>
    <w:p w:rsidR="005C2091" w:rsidRDefault="00A86293">
      <w:r>
        <w:t xml:space="preserve">Predstavnica Ureda je članica Skupine visoke razine za uvođenje načela ravnopravnosti spolova i Savjetodavne skupine za ravnopravnost spolova pri Europskoj komisiji, te nacionalna kontakt osoba za ravnopravnost spolova pri Vijeću Europe. Ured je također vrlo aktivan u realizaciji suradnje s Europskim institutom za ravnopravnost spolova u Vilniusu. </w:t>
      </w:r>
    </w:p>
    <w:p w:rsidR="005C2091" w:rsidRDefault="00A86293">
      <w:r>
        <w:t>Ured ima i obveze koje su definirane drugim nacionalnim strategijama (primjerice Strategijom razvoja poduzetništva žena u Republici Hrvatskoj za razdoblje od 2014. do 2020. godine, Nacionalnim programom zaštite i promicanja ljudskih prava 2013.-2016., Nacionalnom strategijom zaštite od nasilja u obitelji 2011.-2016.)</w:t>
      </w:r>
    </w:p>
    <w:p w:rsidR="005C2091" w:rsidRDefault="00A86293">
      <w:pPr>
        <w:pStyle w:val="Heading8"/>
        <w:jc w:val="left"/>
      </w:pPr>
      <w:r>
        <w:t>Opis aktivnosti</w:t>
      </w:r>
    </w:p>
    <w:p w:rsidR="005C2091" w:rsidRDefault="00A86293">
      <w:r>
        <w:t xml:space="preserve">Aktivnosti koje je Ured 2016. godine proveo temeljene su na zaduženjima Ureda definiranima u Zakonu o ravnopravnosti spolova i nastavku provedbe mjera iz Nacionalne politike za ravnopravnost spolova 2011.-2015.  </w:t>
      </w:r>
    </w:p>
    <w:p w:rsidR="005C2091" w:rsidRDefault="00A86293">
      <w:r>
        <w:t xml:space="preserve">Među značajnijim aktivnostima potrebno je spomenuti sljedeće:  </w:t>
      </w:r>
    </w:p>
    <w:p w:rsidR="005C2091" w:rsidRDefault="00A86293">
      <w:r>
        <w:t xml:space="preserve">a) URS je sudjelovanjem u obilježavanju značajnih datuma vezanih uz različite aspekte </w:t>
      </w:r>
    </w:p>
    <w:p w:rsidR="005C2091" w:rsidRDefault="00A86293">
      <w:r>
        <w:t xml:space="preserve">ravnopravnosti spolova skretao pozornost javnosti i stručnjaka na još uvijek prisutne nejednakosti u društvu.   </w:t>
      </w:r>
    </w:p>
    <w:p w:rsidR="005C2091" w:rsidRDefault="00A86293">
      <w:r>
        <w:t xml:space="preserve">Povodom obilježavanja Međunarodnog dana žena potrebno je spomenuti sudjelovanje na tematskoj sjednici Odbora za ravnopravnost spolova Hrvatskoga sabora pod nazivom "Uloga žena u demografskoj obnovi: bez uvažavanja koncepta ravnopravnosti spolova nema kvalitetne demografske politike“.  Predstavnice Ureda sudjelovale su na tematskoj sjednici Povjerenstva za ravnopravnost spolova Krapinsko-zagorske županije, kao i na tribini „Uloga žena u politici: zastupljenosti i ravnopravno sudjelovanje“, u organizaciji Europskog parlamenta. Ured je podržao i Konferenciju o ženama u digitalnoj i tehnološkoj ekonomiji „Ladies of New Business“.    </w:t>
      </w:r>
    </w:p>
    <w:p w:rsidR="005C2091" w:rsidRDefault="00A86293">
      <w:r>
        <w:t xml:space="preserve">Povodom obilježavanja Nacionalnog dana borbe protiv nasilja nad ženama i Međunarodnog dana borbe protiv nasilja nad ženama, v.d. ravnateljice URS-a sudjelovala je na okruglom stolu „Glas za žrtve seksualnog nasilja“ kojeg je povodom Međunarodnog dana borbe protiv nasilja nad ženama organizirala Ženska soba – Centar za seksualna prava. </w:t>
      </w:r>
    </w:p>
    <w:p w:rsidR="005C2091" w:rsidRDefault="00A86293">
      <w:r>
        <w:t xml:space="preserve">b) URS je kontinuirano provodio aktivnosti podizanja razine znanja i svijesti javnosti o antidiskriminacijskom zakonodavstvu te mehanizmima zaštite od rodne diskriminacije. URS je tiskao publikaciju Strateško djelovanje za ravnopravnost spolova 2016.-2019. Europske komisije, a početkom 2016. i Preporuku CM/Rec (2005)2 Odbora ministara/ministrica VE o rodno osviještenoj politici u sportu.  U prosincu 2016. godine, URS je preveo i objavio Opću preporuku br. 33 o pristupu žena pravosuđu, te Opću preporuku br. 34 o pravima žena u ruralnim područjima  UN Odbora za uklanjanje diskriminacije žena. Ukupno je distribuirano 3.362 primjeraka publikacija i drugog </w:t>
      </w:r>
      <w:r>
        <w:lastRenderedPageBreak/>
        <w:t xml:space="preserve">promidžbenog materijala, ali su i ponovno tiskane brojne publikacije i promidžbeni materijal. Sve publikacije u izdanju URS-a dostupne su i u velikom broju knjižnica. Primjerci svih tiskanih izdanja, kao i podaci o dokumentima i istraživanjima, koji su u elektroničkom obliku objavljeni na internetskoj stranici URS-a dostavljeni su za potrebe objavljivanja redovitog izdanja Kataloga službenih publikacija i baza podataka u RH Digitalnom informacijsko-dokumentacijskom uredu odnosno Središnjem državnom uredu za razvoj digitalnog društva. Internetska stranica URS-a svakodnevno se ažurira nizom relevantnih informacija u području promicanja znanja i svijesti o ravnopravnosti spolova, kako na nacionalnoj tako i na međunarodnoj razini. </w:t>
      </w:r>
    </w:p>
    <w:p w:rsidR="005C2091" w:rsidRDefault="00A86293">
      <w:r>
        <w:t xml:space="preserve">c) Ravnateljica je sudjelovala 18 puta na nacionalnim i lokalnim televizijskim i radijskim postajama te je dala veliki broj izjava u elektroničkim i tiskanim medijima. Internetski portali, tiskani i elektronički mediji objavili su 406 članaka o provedenim aktivnostima.  </w:t>
      </w:r>
    </w:p>
    <w:p w:rsidR="005C2091" w:rsidRDefault="00A86293">
      <w:r>
        <w:t xml:space="preserve">d) Nastavljena je suradnja sa organizacijama civilnog društva, no zbog smanjenja financijskih sredstava u proračunu, URS nije u 2016. godini raspisivao javni natječaj za potporu projektima udruga.  </w:t>
      </w:r>
    </w:p>
    <w:p w:rsidR="005C2091" w:rsidRDefault="00A86293">
      <w:r>
        <w:t xml:space="preserve">e) Tijekom 2016. godine djelatnice URS-a sudjelovale su na tribinama, okruglim stolovima i drugim događanjima vezanim uz tematiku unaprjeđenja položaja žena s invaliditetom. URS je kao jedan od partnera nastavio redovito godišnje sudjelovanje u provedbi i podršci pojedinih aktivnosti Kampanje „Bijele vrpce“ SOIH-a. </w:t>
      </w:r>
    </w:p>
    <w:p w:rsidR="005C2091" w:rsidRDefault="00A86293">
      <w:r>
        <w:t xml:space="preserve">f) U 2016. godini URS je tradicionalno bio pokrovitelj izbora za „Ženu godine“ u  organizaciji časopisa Zaposlena, koji ima za cilj promovirati uspješne žene iz svih područja društvenog života - poduzetništva, kulture, znanosti, društvenog života. Osim toga, URS je preuzeo i pokroviteljstvo nad konferencijom „Mentorstvo kao oblik networkinga među ženama“ koja se u ožujku održala u organizaciji časopisa „Zaposlena“. </w:t>
      </w:r>
    </w:p>
    <w:p w:rsidR="005C2091" w:rsidRDefault="00A86293">
      <w:r>
        <w:t xml:space="preserve">g) Ured je izradio izvješće o provedbi Nacionalne politike za ravnopravnost spolova, za razdoblje od 2011.-2015, za 2014. i 2015. godinu koje je podneseno Vladi RH u prosincu 2016. godine. Radna skupina za izradu nove Nacionalne politike za ravnopravnost spolova za razdoblje od 2017. do 2020. godine, koja je sastavljena od predstavnika svih tijela državne uprave, predstavnika civilnog društva i drugih dionika, u 2016. godini nastavila je s radom te je pripremljen nacrt mjera nove Nacionalne politike.  </w:t>
      </w:r>
    </w:p>
    <w:p w:rsidR="005C2091" w:rsidRDefault="00A86293">
      <w:r>
        <w:t xml:space="preserve">h) Različitim oblicima suradnje s Europskom komisijom, Vijećem Europe i Europskim institutom za ravnopravnost spolova, kroz sudjelovanja na stručnim skupovima, konferencijama i seminarima u zemljama članicama Europske unije te radom u Odborima i radnim skupinama, djelatnice Ureda su u svojstvu predstavnica Republike Hrvatske razmjenjivale iskustva i dobre prakse, produbljivale svoja znanja, upoznavale se s novim strategijama i zakonskim prijedlozima, te osposobljavale za prijenos znanja i stručnih stajališta u nacionalni sustav za promicanje i uspostavljanje ravnopravnosti spolova. Tako je URS povodom Međunarodnog dana ljudskih prava, 5. prosinca organizirao predstavljanje hrvatskog izdanja Strateškog djelovanja EK za ravnopravnost spolova 2016.-2019. godine. Također, v.d. ravnateljice URS-a imenovana je članicom Upravnog odbora Europskog instituta za ravnopravnost spolova (EIGE). </w:t>
      </w:r>
    </w:p>
    <w:p w:rsidR="005C2091" w:rsidRDefault="00A86293" w:rsidP="005F75C0">
      <w:r>
        <w:t xml:space="preserve">i) Ministarstvo za demografiju, obitelj, mlade i socijalnu politiku osnovalo je radnu skupinu za izradu nove Nacionalne strategije zaštite od nasilja u obitelji za razdoblje od 2017. do 2022. godine, čija je članica i v.d. ravnateljice Ureda. Radna skupina započela je s radom u studenom 2016. godine. </w:t>
      </w:r>
      <w:r w:rsidR="005F75C0">
        <w:t xml:space="preserve"> </w:t>
      </w:r>
    </w:p>
    <w:p w:rsidR="005C2091" w:rsidRDefault="00A86293">
      <w:r>
        <w:t xml:space="preserve">S ciljem podizanja razine stručnosti nacionalnih mehanizama za ravnopravnost spolova i ostalih djelatnika u sustavu državne i lokalne samouprave o ravnopravnosti spolova proveden je niz aktivnosti.  </w:t>
      </w:r>
    </w:p>
    <w:p w:rsidR="005C2091" w:rsidRDefault="00A86293">
      <w:r>
        <w:t xml:space="preserve">a) U 2016. godini savjetnica u URS održala je jedan cjelodnevni seminar o ravnopravnosti spolova za ukupno 21 državnog službenika/cu u Državnoj školi za javnu upravu (8. prosinca).  </w:t>
      </w:r>
    </w:p>
    <w:p w:rsidR="005C2091" w:rsidRDefault="00A86293">
      <w:r>
        <w:t xml:space="preserve">URS je bio uključen i u edukaciju zaposlenih u sustavu upravljanja i kontrole ESI fondova pod nazivom „Antidiskriminacija, ravnopravnost spolova i primjena Konvencije UN-a o pravima osoba s invaliditetom u ESI fondovima“. U sklopu obveze RH u ispunjavanju općih ex-ante uvjeta za korištenje europskih strukturnih i investicijskih (ESI) fondova u financijskom razdoblju 2014.-2020. Ministarstvo rada i mirovinskoga sustava i Ministarstvo regionalnoga razvoja i fondova Europske unije uveli su edukaciju zaposlenih u sustavu upravljanja i kontrole ESI fondova koja je započela u 2015. godini i nastavljena u 2016. Tijekom 2016. godine educirano je oko 900 državnih službenika/ca. </w:t>
      </w:r>
    </w:p>
    <w:p w:rsidR="005C2091" w:rsidRDefault="00A86293">
      <w:r>
        <w:t xml:space="preserve">b) Ravnateljica je u svibnju održala predavanje o aspektima ravnopravnosti spolova za polaznike „UN Akademije“, u suradnji s Diplomatskom akademijom Ministarstva vanjskih i europskih poslova. </w:t>
      </w:r>
    </w:p>
    <w:p w:rsidR="005C2091" w:rsidRDefault="00A86293">
      <w:r>
        <w:t xml:space="preserve">c) Županijska povjerenstva za ravnopravnost spolova su poticala osnivanje gradskih i općinskih povjerenstava za ravnopravnost spolova upućivanjem dopisa i preporuka jedinicama lokalne samouprave, kao i raznim drugim </w:t>
      </w:r>
      <w:r>
        <w:lastRenderedPageBreak/>
        <w:t xml:space="preserve">aktivnostima. Prema dostupnim informacijama djeluje 90-tak gradskih i općinskih povjerenstava za ravnopravnost spolova te se suradnja sa županijskim povjerenstvima provodila kroz održavanje zajedničkih sastanaka, dostavljanje publikacija i drugih promidžbeno-informativnih materijala. Sukladno dostavljenim informacijama URS je objavljivao medijska izvještavanja o aktivnostima i ažurirao bazu osnovanih gradskih i općinskih povjerenstava izrađenu u okviru svoje internetske stranice.  </w:t>
      </w:r>
    </w:p>
    <w:p w:rsidR="005C2091" w:rsidRDefault="00A86293">
      <w:r>
        <w:t>d) Akcijske planove za provedbu Nacionalne politike do kraja 2015. godine donijelo je 18 Županijskih skupština i Gradska skupština Grada Zagreba, osim Splitsko-dalmatinske i Šibensko-kninske županije. Na internetskim stranicama URS-a www.ravnopravnost.gov.hr formirana je baza usvojenih Akcijskih planova.</w:t>
      </w:r>
    </w:p>
    <w:p w:rsidR="005C2091" w:rsidRDefault="005C2091">
      <w:pPr>
        <w:pStyle w:val="Heading8"/>
        <w:jc w:val="left"/>
      </w:pPr>
    </w:p>
    <w:p w:rsidR="005F75C0" w:rsidRDefault="005F75C0" w:rsidP="005F75C0"/>
    <w:p w:rsidR="005F75C0" w:rsidRPr="005F75C0" w:rsidRDefault="005F75C0" w:rsidP="005F75C0"/>
    <w:p w:rsidR="005C2091" w:rsidRDefault="00A86293">
      <w:pPr>
        <w:pStyle w:val="Heading4"/>
      </w:pPr>
      <w:r>
        <w:t>A532017 JAČANJE KAPACITETA ZA USPOSTAVLJANJE RAVNOPRAVNOSTI SPOLOVA - TRANSITION FACILITY INSTRUMENT EU POMOĆI</w:t>
      </w:r>
    </w:p>
    <w:tbl>
      <w:tblPr>
        <w:tblStyle w:val="StilTablice"/>
        <w:tblW w:w="10206" w:type="dxa"/>
        <w:jc w:val="center"/>
        <w:tblLook w:val="04A0" w:firstRow="1" w:lastRow="0" w:firstColumn="1" w:lastColumn="0" w:noHBand="0" w:noVBand="1"/>
      </w:tblPr>
      <w:tblGrid>
        <w:gridCol w:w="1948"/>
        <w:gridCol w:w="1943"/>
        <w:gridCol w:w="1950"/>
        <w:gridCol w:w="1950"/>
        <w:gridCol w:w="1203"/>
        <w:gridCol w:w="121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A532017-JAČANJE KAPACITETA ZA USPOSTAVLJANJE RAVNOPRAVNOSTI SPOLOVA - TRANSITION FACILITY INSTRUMENT EU POMOĆI</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3.713.200</w:t>
            </w:r>
          </w:p>
        </w:tc>
        <w:tc>
          <w:tcPr>
            <w:tcW w:w="2041" w:type="dxa"/>
          </w:tcPr>
          <w:p w:rsidR="005C2091" w:rsidRDefault="00A86293">
            <w:pPr>
              <w:pStyle w:val="CellColumn"/>
              <w:jc w:val="right"/>
            </w:pPr>
            <w:r>
              <w:rPr>
                <w:rFonts w:cs="Times New Roman"/>
              </w:rPr>
              <w:t>3.583.341</w:t>
            </w:r>
          </w:p>
        </w:tc>
        <w:tc>
          <w:tcPr>
            <w:tcW w:w="1224" w:type="dxa"/>
          </w:tcPr>
          <w:p w:rsidR="005C2091" w:rsidRDefault="00A86293">
            <w:pPr>
              <w:pStyle w:val="CellColumn"/>
              <w:jc w:val="right"/>
            </w:pPr>
            <w:r>
              <w:rPr>
                <w:rFonts w:cs="Times New Roman"/>
              </w:rPr>
              <w:t>96,5</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Opis aktivnosti</w:t>
      </w:r>
    </w:p>
    <w:p w:rsidR="005C2091" w:rsidRDefault="00A86293">
      <w:r>
        <w:t xml:space="preserve">Podrška ravnopravnosti spolova (Support to the Gender Equality - CRO GENDER – Ugovor br.: TF/HR/P1-M3-O3-0101, TW br.: HR 14 IB JH 02)  je projekt financiran u okviru Prijelaznog instrumenta pomoći EU. Projekt je vrijedan 600.000,00 €, od čega je nacionalno učešće 30.000,00 €, a ostatak iz EU fondova. Trajanje projekta je 18 mjeseci. </w:t>
      </w:r>
    </w:p>
    <w:p w:rsidR="005C2091" w:rsidRDefault="00A86293">
      <w:r>
        <w:t xml:space="preserve">Opći cilj projekta je razviti institucionalne kapacitete za koordiniranu primjenu, praćenje i vrednovanje nacionalnih i međunarodnih načela ravnopravnosti spolova te povećati svijest i povjerenje javnosti u sposobnosti Republike Hrvatske da zaštiti građane/ke od rodne diskriminacije. Projektom je predviđeno održavanje niza aktivnosti za jačanje institucionalnih mehanizama za uvođenje aspekta ravnopravnosti spolova u sve politike na svim razinama, aktivnosti za povećanje učinkovitosti sudstva te za osvještavanje građana o zakonodavstvu i mehanizmima zaštite od diskriminacije temeljem spola. </w:t>
      </w:r>
    </w:p>
    <w:p w:rsidR="005C2091" w:rsidRDefault="00A86293">
      <w:r>
        <w:t xml:space="preserve">Odabrani partner na projektu je Institut za zdravstvo i socijalnu skrb Republike Finske Ugovor o suradnji potpisan je u travnju i s 26. travnjem službeno je započela provedba projekta. Za potrebe projekta osiguran je prostor i oprema. Stalna twinning savjetnica došla je u Zagreb 2. svibnja. Svečano obilježavanje početka projekta održano je u Hrvatskom saboru 24. svibnja uz nazočnost velikog broja gostiju iz društvenog i javnog života. Svoje obveze prema SAFU Ured je redovito izvršavao sudjelovanjem na mjesečnim sastancima u SAFU i dostavljanjem mjesečnih izvješća. U Uredu je održano šest mjesečnih sastanaka s twinning partnerima, predstavnicima MRRFEU i SAFU. Upravni odbor projekta održao je dva redovita sastanka (srpanj i studeni) na kojima su raspravljani svi detalji provedbe projekta. U SAFU je dostavljeno dva kvartalna izvješća (1. izvješće koje obuhvaća razdoblje od kolovoza do studenog 2016. godine te 2. izvješće koje obuhvaća razdoblje od studenog 2016. do veljače 2017. godine). </w:t>
      </w:r>
    </w:p>
    <w:p w:rsidR="005C2091" w:rsidRDefault="00A86293">
      <w:r>
        <w:t xml:space="preserve">Kao jedan od glavnih modela suradnje na ovom projektu dolazak je tzv. kratkoročnih stručnjaka koji su zaduženi za prijenos dobrih praksi iz svojih zemalja, a raspored njihovih dolazaka vezan je za Radni plan projekta i svaku </w:t>
      </w:r>
      <w:r>
        <w:lastRenderedPageBreak/>
        <w:t xml:space="preserve">pojedinu aktivnost. Tako je tijekom izvještajnog razdoblja u Zagrebu boravilo sedam kratkoročnih stručnjaka koji su zajedno s Jedinicom za provedbu projekta radili na provedbi zacrtanih aktivnosti.  </w:t>
      </w:r>
    </w:p>
    <w:p w:rsidR="005C2091" w:rsidRDefault="00A86293">
      <w:r>
        <w:t>U periodu od svibnja 2016. godine do kraja 2016. godine, putem radnih sastanaka s ciljanim skupinama i analize njihovih odgovora na upitnik, izrađena je analiza potreba za edukacijom koordinatora/ica za ravnopravnost spolova u tijelima državne uprave, županijskih povjerenstava za ravnopravnost spolova te Ureda za ravnopravnost spolova. Izrađena je također analiza njihove umreženosti s drugim dionicima te je napravljen plan za edukaciju o uključivanju perspektive ravnopravnosti spolova u javne politike. Dnevni red i sadržaj seminara osmišljeni su krajem godine. Nadalje, uz finske je stručnjake napravljen plan javne kampanje, raspravljalo se o sadržaju radio spota te o izboru najboljih javnih površina za promotivne materijale, otvorena je web podstranica Ureda u svrhu informiranja javnosti o projektu te facebook stranica projekta.  Pravosudni stručnjaci započeli su planiranje sadržaja seminara za suce te je uspostavljena dobra suradnja s Pravosudnom akademijom.</w:t>
      </w:r>
    </w:p>
    <w:p w:rsidR="005C2091" w:rsidRDefault="00A86293">
      <w:pPr>
        <w:pStyle w:val="Heading2"/>
      </w:pPr>
      <w:r>
        <w:t>02097 Digitalni informacijsko-dokumentacijski ured</w:t>
      </w:r>
    </w:p>
    <w:p w:rsidR="005C2091" w:rsidRDefault="00A86293">
      <w:r>
        <w:t xml:space="preserve">Digitalni informacijsko-dokumentacijski ured (dalje: Digitalni ured) je stručna služba Vlade Republike Hrvatske nadležna za obavljanje informacijsko-dokumentacijskih poslova. Digitalni ured osigurava jedinstvenu i trajnu dostupnost javnih službenih dokumenata i informacija Republike Hrvatske radi informiranja i ponovne uporabe. Dostupnost i ponovnu uporabu Ured osigurava svim korisnicima pod jednakim uvjetima i nepristrano. Radi ostvarenja uvjeta za informiranje i ponovnu uporabu dokumenata i informacija, Digitalni ured obavlja stručne, analitičke, savjetodavne, koordinacijske i administrativne poslove. Koordinira i prati dostavljanje dokumenata te izgrađuje i vodi Središnji katalog službenih dokumenata Republike Hrvatske; izgrađuje i vodi i druge baze podataka o tijelima javne vlasti i političkim strankama; oblikuje i održava portal za prikaz i ponovnu uporabu službenih informacija i dokumentacije te sudjeluje u pripremi sadržaja Središnjeg državnog portala; sudjeluje u izgradnji informacijske infrastrukture tijela javne vlasti izgradnjom dokumentacijskih alata za područje službenih informacija, oblikovanjem kriterija i preporuka za prikupljanje i razmjenu dokumenata te sudjelovanjem u izgradnji programa za prihvat, obradu i diseminaciju javnih službenih informacija i dokumentacije; prezentacijama, radionicama i predavanjima širi stručno znanje i korištenje vlastitih informacijskih servisa te sudjeluje u programima stručnog osposobljavanja i usavršavanja državnih službenika i drugih korisnika u području informacijsko-dokumentacijske djelatnosti.  </w:t>
      </w:r>
    </w:p>
    <w:p w:rsidR="005C2091" w:rsidRDefault="00A86293">
      <w:r>
        <w:t>Stupanjem na snagu Zakona o ustrojstvu i djelokrugu ministarstava i drugih središnjih tijela državne uprave (Narodne novine, 93/16) Digitalni informacijsko-dokumentacijski ured prestaje s radom, a njegove poslove preuzima Središnji državni ured za razvoj digitalnog društva.</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02097-Digitalni informacijsko-dokumentacijski ured</w:t>
            </w:r>
          </w:p>
        </w:tc>
        <w:tc>
          <w:tcPr>
            <w:tcW w:w="2041" w:type="dxa"/>
            <w:vAlign w:val="top"/>
          </w:tcPr>
          <w:p w:rsidR="005C2091" w:rsidRDefault="00A86293">
            <w:pPr>
              <w:pStyle w:val="CellColumn"/>
              <w:jc w:val="right"/>
            </w:pPr>
            <w:r>
              <w:rPr>
                <w:rFonts w:cs="Times New Roman"/>
              </w:rPr>
              <w:t>4.353.287</w:t>
            </w:r>
          </w:p>
        </w:tc>
        <w:tc>
          <w:tcPr>
            <w:tcW w:w="2041" w:type="dxa"/>
            <w:vAlign w:val="top"/>
          </w:tcPr>
          <w:p w:rsidR="005C2091" w:rsidRDefault="00A86293">
            <w:pPr>
              <w:pStyle w:val="CellColumn"/>
              <w:jc w:val="right"/>
            </w:pPr>
            <w:r>
              <w:rPr>
                <w:rFonts w:cs="Times New Roman"/>
              </w:rPr>
              <w:t>3.697.131</w:t>
            </w:r>
          </w:p>
        </w:tc>
        <w:tc>
          <w:tcPr>
            <w:tcW w:w="2041" w:type="dxa"/>
            <w:vAlign w:val="top"/>
          </w:tcPr>
          <w:p w:rsidR="005C2091" w:rsidRDefault="00A86293">
            <w:pPr>
              <w:pStyle w:val="CellColumn"/>
              <w:jc w:val="right"/>
            </w:pPr>
            <w:r>
              <w:rPr>
                <w:rFonts w:cs="Times New Roman"/>
              </w:rPr>
              <w:t>3.695.797</w:t>
            </w:r>
          </w:p>
        </w:tc>
        <w:tc>
          <w:tcPr>
            <w:tcW w:w="1224" w:type="dxa"/>
            <w:vAlign w:val="top"/>
          </w:tcPr>
          <w:p w:rsidR="005C2091" w:rsidRDefault="00A86293">
            <w:pPr>
              <w:pStyle w:val="CellColumn"/>
              <w:jc w:val="right"/>
            </w:pPr>
            <w:r>
              <w:rPr>
                <w:rFonts w:cs="Times New Roman"/>
              </w:rPr>
              <w:t>100,0</w:t>
            </w:r>
          </w:p>
        </w:tc>
        <w:tc>
          <w:tcPr>
            <w:tcW w:w="1224" w:type="dxa"/>
            <w:vAlign w:val="top"/>
          </w:tcPr>
          <w:p w:rsidR="005C2091" w:rsidRDefault="00A86293">
            <w:pPr>
              <w:pStyle w:val="CellColumn"/>
              <w:jc w:val="right"/>
            </w:pPr>
            <w:r>
              <w:rPr>
                <w:rFonts w:cs="Times New Roman"/>
              </w:rPr>
              <w:t>84,9</w:t>
            </w:r>
          </w:p>
        </w:tc>
      </w:tr>
      <w:tr w:rsidR="005C2091">
        <w:trPr>
          <w:jc w:val="center"/>
        </w:trPr>
        <w:tc>
          <w:tcPr>
            <w:tcW w:w="1632" w:type="dxa"/>
          </w:tcPr>
          <w:p w:rsidR="005C2091" w:rsidRDefault="00A86293">
            <w:pPr>
              <w:jc w:val="left"/>
            </w:pPr>
            <w:r>
              <w:t>2413-INFORMACIJSKI SUSTAV JAVNE SLUŽBENE DOKUMENTACIJE</w:t>
            </w:r>
          </w:p>
        </w:tc>
        <w:tc>
          <w:tcPr>
            <w:tcW w:w="2041" w:type="dxa"/>
          </w:tcPr>
          <w:p w:rsidR="005C2091" w:rsidRDefault="00A86293">
            <w:pPr>
              <w:jc w:val="right"/>
            </w:pPr>
            <w:r>
              <w:t>4.353.287</w:t>
            </w:r>
          </w:p>
        </w:tc>
        <w:tc>
          <w:tcPr>
            <w:tcW w:w="2041" w:type="dxa"/>
          </w:tcPr>
          <w:p w:rsidR="005C2091" w:rsidRDefault="00A86293">
            <w:pPr>
              <w:jc w:val="right"/>
            </w:pPr>
            <w:r>
              <w:t>3.697.131</w:t>
            </w:r>
          </w:p>
        </w:tc>
        <w:tc>
          <w:tcPr>
            <w:tcW w:w="2041" w:type="dxa"/>
          </w:tcPr>
          <w:p w:rsidR="005C2091" w:rsidRDefault="00A86293">
            <w:pPr>
              <w:jc w:val="right"/>
            </w:pPr>
            <w:r>
              <w:t>3.695.797</w:t>
            </w:r>
          </w:p>
        </w:tc>
        <w:tc>
          <w:tcPr>
            <w:tcW w:w="1224" w:type="dxa"/>
          </w:tcPr>
          <w:p w:rsidR="005C2091" w:rsidRDefault="00A86293">
            <w:pPr>
              <w:jc w:val="right"/>
            </w:pPr>
            <w:r>
              <w:t>100,0</w:t>
            </w:r>
          </w:p>
        </w:tc>
        <w:tc>
          <w:tcPr>
            <w:tcW w:w="1224" w:type="dxa"/>
          </w:tcPr>
          <w:p w:rsidR="005C2091" w:rsidRDefault="00A86293">
            <w:pPr>
              <w:jc w:val="right"/>
            </w:pPr>
            <w:r>
              <w:t>84,9</w:t>
            </w:r>
          </w:p>
        </w:tc>
      </w:tr>
    </w:tbl>
    <w:p w:rsidR="005C2091" w:rsidRDefault="005C2091">
      <w:pPr>
        <w:jc w:val="left"/>
      </w:pPr>
    </w:p>
    <w:p w:rsidR="005C2091" w:rsidRDefault="00A86293">
      <w:pPr>
        <w:pStyle w:val="Heading3"/>
      </w:pPr>
      <w:r>
        <w:rPr>
          <w:rFonts w:cs="Times New Roman"/>
        </w:rPr>
        <w:lastRenderedPageBreak/>
        <w:t>2413 INFORMACIJSKI SUSTAV JAVNE SLUŽBENE DOKUMENTACIJE</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2413-INFORMACIJSKI SUSTAV JAVNE SLUŽBENE DOKUMENTACIJE</w:t>
            </w:r>
          </w:p>
        </w:tc>
        <w:tc>
          <w:tcPr>
            <w:tcW w:w="2041" w:type="dxa"/>
          </w:tcPr>
          <w:p w:rsidR="005C2091" w:rsidRDefault="00A86293">
            <w:pPr>
              <w:pStyle w:val="CellColumn"/>
              <w:jc w:val="right"/>
            </w:pPr>
            <w:r>
              <w:rPr>
                <w:rFonts w:cs="Times New Roman"/>
              </w:rPr>
              <w:t>4.353.287</w:t>
            </w:r>
          </w:p>
        </w:tc>
        <w:tc>
          <w:tcPr>
            <w:tcW w:w="2041" w:type="dxa"/>
          </w:tcPr>
          <w:p w:rsidR="005C2091" w:rsidRDefault="00A86293">
            <w:pPr>
              <w:pStyle w:val="CellColumn"/>
              <w:jc w:val="right"/>
            </w:pPr>
            <w:r>
              <w:rPr>
                <w:rFonts w:cs="Times New Roman"/>
              </w:rPr>
              <w:t>3.697.131</w:t>
            </w:r>
          </w:p>
        </w:tc>
        <w:tc>
          <w:tcPr>
            <w:tcW w:w="2041" w:type="dxa"/>
          </w:tcPr>
          <w:p w:rsidR="005C2091" w:rsidRDefault="00A86293">
            <w:pPr>
              <w:pStyle w:val="CellColumn"/>
              <w:jc w:val="right"/>
            </w:pPr>
            <w:r>
              <w:rPr>
                <w:rFonts w:cs="Times New Roman"/>
              </w:rPr>
              <w:t>3.695.797</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84,9</w:t>
            </w:r>
          </w:p>
        </w:tc>
      </w:tr>
    </w:tbl>
    <w:p w:rsidR="005C2091" w:rsidRDefault="005C2091">
      <w:pPr>
        <w:jc w:val="left"/>
      </w:pPr>
    </w:p>
    <w:p w:rsidR="005C2091" w:rsidRDefault="00A86293">
      <w:r>
        <w:t>Program sadrži cjelovit sustav koji obuhvaća prikupljanje, obradu, pohranu, diseminaciju javnih službenih informacija i dokumentacije Republike Hrvatske te izradu dokumentacijskih alata u službi izgradnje javne službene informacijske infrastrukture koja se temelji na suvremenoj tehnologiji i međunarodno utvrđenim normama. Aktivnost je namijenjena osiguranju dostupnosti javne službene dokumentacije i informacija Republike Hrvatske svim korisnicima nepristrano i pod jednakim uvjetima.</w:t>
      </w:r>
    </w:p>
    <w:p w:rsidR="005C2091" w:rsidRDefault="00A86293">
      <w:pPr>
        <w:pStyle w:val="Heading4"/>
      </w:pPr>
      <w:r>
        <w:t>A871001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A871001-ADMINISTRACIJA I UPRAVLJANJE</w:t>
            </w:r>
          </w:p>
        </w:tc>
        <w:tc>
          <w:tcPr>
            <w:tcW w:w="2041" w:type="dxa"/>
          </w:tcPr>
          <w:p w:rsidR="005C2091" w:rsidRDefault="00A86293">
            <w:pPr>
              <w:pStyle w:val="CellColumn"/>
              <w:jc w:val="right"/>
            </w:pPr>
            <w:r>
              <w:rPr>
                <w:rFonts w:cs="Times New Roman"/>
              </w:rPr>
              <w:t>3.895.815</w:t>
            </w:r>
          </w:p>
        </w:tc>
        <w:tc>
          <w:tcPr>
            <w:tcW w:w="2041" w:type="dxa"/>
          </w:tcPr>
          <w:p w:rsidR="005C2091" w:rsidRDefault="00A86293">
            <w:pPr>
              <w:pStyle w:val="CellColumn"/>
              <w:jc w:val="right"/>
            </w:pPr>
            <w:r>
              <w:rPr>
                <w:rFonts w:cs="Times New Roman"/>
              </w:rPr>
              <w:t>3.446.118</w:t>
            </w:r>
          </w:p>
        </w:tc>
        <w:tc>
          <w:tcPr>
            <w:tcW w:w="2041" w:type="dxa"/>
          </w:tcPr>
          <w:p w:rsidR="005C2091" w:rsidRDefault="00A86293">
            <w:pPr>
              <w:pStyle w:val="CellColumn"/>
              <w:jc w:val="right"/>
            </w:pPr>
            <w:r>
              <w:rPr>
                <w:rFonts w:cs="Times New Roman"/>
              </w:rPr>
              <w:t>3.444.786</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88,4</w:t>
            </w:r>
          </w:p>
        </w:tc>
      </w:tr>
    </w:tbl>
    <w:p w:rsidR="005C2091" w:rsidRDefault="005C2091">
      <w:pPr>
        <w:jc w:val="left"/>
      </w:pPr>
    </w:p>
    <w:p w:rsidR="005C2091" w:rsidRDefault="00A86293">
      <w:pPr>
        <w:pStyle w:val="Heading8"/>
        <w:jc w:val="left"/>
      </w:pPr>
      <w:r>
        <w:t>Zakonske i druge pravne osnove</w:t>
      </w:r>
    </w:p>
    <w:p w:rsidR="005C2091" w:rsidRDefault="00A86293">
      <w:r>
        <w:t>• Uredba o Digitalnom informacijsko-dokumentacijskom uredu</w:t>
      </w:r>
    </w:p>
    <w:p w:rsidR="005C2091" w:rsidRDefault="00A86293">
      <w:pPr>
        <w:pStyle w:val="Heading8"/>
        <w:jc w:val="left"/>
      </w:pPr>
      <w:r>
        <w:t>Opis aktivnosti</w:t>
      </w:r>
    </w:p>
    <w:p w:rsidR="005C2091" w:rsidRDefault="00A86293">
      <w:r>
        <w:t>Sredstva se odnose na administrativne i financijske obveze Ureda.</w:t>
      </w:r>
    </w:p>
    <w:p w:rsidR="005C2091" w:rsidRDefault="00A86293">
      <w:pPr>
        <w:pStyle w:val="Heading4"/>
      </w:pPr>
      <w:r>
        <w:t>A871002 PRIKUPLJANJE, OBRADA I DISEMINACIJA SLUŽBENE DOKUMENTACIJE I PODATAKA</w:t>
      </w:r>
    </w:p>
    <w:tbl>
      <w:tblPr>
        <w:tblStyle w:val="StilTablice"/>
        <w:tblW w:w="10206" w:type="dxa"/>
        <w:jc w:val="center"/>
        <w:tblLook w:val="04A0" w:firstRow="1" w:lastRow="0" w:firstColumn="1" w:lastColumn="0" w:noHBand="0" w:noVBand="1"/>
      </w:tblPr>
      <w:tblGrid>
        <w:gridCol w:w="1803"/>
        <w:gridCol w:w="1992"/>
        <w:gridCol w:w="1988"/>
        <w:gridCol w:w="1992"/>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A871002-PRIKUPLJANJE, OBRADA I DISEMINACIJA SLUŽBENE DOKUMENTACIJE I PODATAKA</w:t>
            </w:r>
          </w:p>
        </w:tc>
        <w:tc>
          <w:tcPr>
            <w:tcW w:w="2041" w:type="dxa"/>
          </w:tcPr>
          <w:p w:rsidR="005C2091" w:rsidRDefault="00A86293">
            <w:pPr>
              <w:pStyle w:val="CellColumn"/>
              <w:jc w:val="right"/>
            </w:pPr>
            <w:r>
              <w:rPr>
                <w:rFonts w:cs="Times New Roman"/>
              </w:rPr>
              <w:t>386.163</w:t>
            </w:r>
          </w:p>
        </w:tc>
        <w:tc>
          <w:tcPr>
            <w:tcW w:w="2041" w:type="dxa"/>
          </w:tcPr>
          <w:p w:rsidR="005C2091" w:rsidRDefault="00A86293">
            <w:pPr>
              <w:pStyle w:val="CellColumn"/>
              <w:jc w:val="right"/>
            </w:pPr>
            <w:r>
              <w:rPr>
                <w:rFonts w:cs="Times New Roman"/>
              </w:rPr>
              <w:t>232.480</w:t>
            </w:r>
          </w:p>
        </w:tc>
        <w:tc>
          <w:tcPr>
            <w:tcW w:w="2041" w:type="dxa"/>
          </w:tcPr>
          <w:p w:rsidR="005C2091" w:rsidRDefault="00A86293">
            <w:pPr>
              <w:pStyle w:val="CellColumn"/>
              <w:jc w:val="right"/>
            </w:pPr>
            <w:r>
              <w:rPr>
                <w:rFonts w:cs="Times New Roman"/>
              </w:rPr>
              <w:t>232.479</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60,2</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 xml:space="preserve">• Uredba o Digitalnom informacijsko-dokumentacijskom uredu  </w:t>
      </w:r>
    </w:p>
    <w:p w:rsidR="005C2091" w:rsidRDefault="00A86293">
      <w:r>
        <w:t xml:space="preserve">• Članak 10a Zakona o pravu na pristup informacijama  </w:t>
      </w:r>
    </w:p>
    <w:p w:rsidR="005C2091" w:rsidRDefault="00A86293">
      <w:r>
        <w:t xml:space="preserve">• Zakon o financiranju političkih aktivnosti i izborne promidžbe  </w:t>
      </w:r>
    </w:p>
    <w:p w:rsidR="005C2091" w:rsidRDefault="00A86293">
      <w:r>
        <w:t>• Pravilnik o Središnjem katalogu službenih dokumenata Republike Hrvatske</w:t>
      </w:r>
    </w:p>
    <w:p w:rsidR="005C2091" w:rsidRDefault="00A86293">
      <w:pPr>
        <w:pStyle w:val="Heading8"/>
        <w:jc w:val="left"/>
      </w:pPr>
      <w:r>
        <w:t>Opis aktivnosti</w:t>
      </w:r>
    </w:p>
    <w:p w:rsidR="005C2091" w:rsidRDefault="00A86293">
      <w:r>
        <w:t>Sredstva se odnose na aktivnosti vođenja i održavanja Središnjeg kataloga službenih dokumenata Republike Hrvatske te osiguranju trajne dostupnosti javne službene dokumentacije i informacija tijela javne vlasti Republike Hrvatske koje Ured prikuplja, obrađuje i pohranjuje te povećanju opsega sadržaja Središnjeg kataloga.</w:t>
      </w:r>
    </w:p>
    <w:p w:rsidR="005C2091" w:rsidRDefault="00A86293">
      <w:pPr>
        <w:pStyle w:val="Heading4"/>
      </w:pPr>
      <w:r>
        <w:t>K871003 INFORMATIZACIJA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K871003-INFORMATIZACIJA</w:t>
            </w:r>
          </w:p>
        </w:tc>
        <w:tc>
          <w:tcPr>
            <w:tcW w:w="2041" w:type="dxa"/>
          </w:tcPr>
          <w:p w:rsidR="005C2091" w:rsidRDefault="00A86293">
            <w:pPr>
              <w:pStyle w:val="CellColumn"/>
              <w:jc w:val="right"/>
            </w:pPr>
            <w:r>
              <w:rPr>
                <w:rFonts w:cs="Times New Roman"/>
              </w:rPr>
              <w:t>71.309</w:t>
            </w:r>
          </w:p>
        </w:tc>
        <w:tc>
          <w:tcPr>
            <w:tcW w:w="2041" w:type="dxa"/>
          </w:tcPr>
          <w:p w:rsidR="005C2091" w:rsidRDefault="00A86293">
            <w:pPr>
              <w:pStyle w:val="CellColumn"/>
              <w:jc w:val="right"/>
            </w:pPr>
            <w:r>
              <w:rPr>
                <w:rFonts w:cs="Times New Roman"/>
              </w:rPr>
              <w:t>18.533</w:t>
            </w:r>
          </w:p>
        </w:tc>
        <w:tc>
          <w:tcPr>
            <w:tcW w:w="2041" w:type="dxa"/>
          </w:tcPr>
          <w:p w:rsidR="005C2091" w:rsidRDefault="00A86293">
            <w:pPr>
              <w:pStyle w:val="CellColumn"/>
              <w:jc w:val="right"/>
            </w:pPr>
            <w:r>
              <w:rPr>
                <w:rFonts w:cs="Times New Roman"/>
              </w:rPr>
              <w:t>18.532</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26,0</w:t>
            </w:r>
          </w:p>
        </w:tc>
      </w:tr>
    </w:tbl>
    <w:p w:rsidR="005C2091" w:rsidRDefault="005C2091">
      <w:pPr>
        <w:jc w:val="left"/>
      </w:pPr>
    </w:p>
    <w:p w:rsidR="005C2091" w:rsidRDefault="00A86293">
      <w:pPr>
        <w:pStyle w:val="Heading8"/>
        <w:jc w:val="left"/>
      </w:pPr>
      <w:r>
        <w:t>Zakonske i druge pravne osnove</w:t>
      </w:r>
    </w:p>
    <w:p w:rsidR="005C2091" w:rsidRDefault="00A86293">
      <w:r>
        <w:t xml:space="preserve">• Uredba o Digitalnom informacijsko-dokumentacijskom uredu  </w:t>
      </w:r>
    </w:p>
    <w:p w:rsidR="005C2091" w:rsidRDefault="00A86293">
      <w:r>
        <w:t xml:space="preserve">• Članak 10a Zakona o pravu na pristup informacijama </w:t>
      </w:r>
    </w:p>
    <w:p w:rsidR="005C2091" w:rsidRDefault="00A86293">
      <w:r>
        <w:t xml:space="preserve">• Odluka Vlade RH o priključenju baze pravnih propisa Republike Hrvatske koju vodi Digitalni informacijsko-dokumentacijski ured na portal N-Lex </w:t>
      </w:r>
    </w:p>
    <w:p w:rsidR="005C2091" w:rsidRDefault="00A86293">
      <w:r>
        <w:t>• Pravilnik o Središnjem katalogu službenih dokumenata Republike Hrvatske</w:t>
      </w:r>
    </w:p>
    <w:p w:rsidR="005C2091" w:rsidRDefault="00A86293">
      <w:pPr>
        <w:pStyle w:val="Heading8"/>
        <w:jc w:val="left"/>
      </w:pPr>
      <w:r>
        <w:t>Opis aktivnosti</w:t>
      </w:r>
    </w:p>
    <w:p w:rsidR="005C2091" w:rsidRDefault="00A86293">
      <w:r>
        <w:t>Sredstva se odnose na aktivnosti vezane uz komunikacijsko-računalnu infrastrukturu Ureda. Aktivnost je namijenjena razvoju i održavanju programskih rješenja koja se odnose na Središnji katalog službenih dokumenata Republike Hrvatske te lokalnu računalnu mrežu Ureda.</w:t>
      </w:r>
    </w:p>
    <w:p w:rsidR="005C2091" w:rsidRDefault="00A86293">
      <w:pPr>
        <w:pStyle w:val="Heading2"/>
      </w:pPr>
      <w:r>
        <w:t>02099 Ured za razminiranje</w:t>
      </w:r>
    </w:p>
    <w:p w:rsidR="005C2091" w:rsidRDefault="00A86293">
      <w:r>
        <w:t xml:space="preserve">Ured za razminiranje je stručna služba Vlade Republike Hrvatske, osnovan Uredbom o Uredu za razminiranje koju je Vlada Republike Hrvatske donijela na sjednici održanoj 16. veljače 2012. godine, a koja je stupila na snagu 22. veljače 2012. godine odnosno danom objave u ”Narodnim novinama”. Ured za razminiranje obavlja stručne, analitičke, savjetodavne i druge poslove vezane uz protuminsko djelovanje u Republici Hrvatskoj kao i druge poslove koje mu povjeri Vlada Republike Hrvatske </w:t>
      </w:r>
    </w:p>
    <w:p w:rsidR="005C2091" w:rsidRDefault="00A86293">
      <w:r>
        <w:t xml:space="preserve">Djelokrug rada Ureda razminiranje (u daljnjem tekstu: Ured) je kako slijedi: </w:t>
      </w:r>
    </w:p>
    <w:p w:rsidR="005C2091" w:rsidRDefault="00A86293">
      <w:r>
        <w:t xml:space="preserve">- predlaganje, unaprjeđenje i usklađivanje zakonskih, podzakonskih i drugih propisa kojima se uređuju pitanja humanitarnog razminiranja i protuminskog djelovanja s nacionalnim i međunarodnim propisima i dokumentima, </w:t>
      </w:r>
    </w:p>
    <w:p w:rsidR="005C2091" w:rsidRDefault="00A86293">
      <w:r>
        <w:t xml:space="preserve">-suradnja u međuresornoj suradnji u području protuminskog djelovanja u Republici Hrvatskoj, </w:t>
      </w:r>
    </w:p>
    <w:p w:rsidR="005C2091" w:rsidRDefault="00A86293">
      <w:r>
        <w:t xml:space="preserve">-suradnja s nadležnim tijelima u provedbi obaveza iz međunarodnih ugovora i konvencija o zabrani ili ograničenju uporabe određenih vrsta konvencionalnih oružja koja imaju neprihvatljiv humanitarni učinak, </w:t>
      </w:r>
    </w:p>
    <w:p w:rsidR="005C2091" w:rsidRDefault="00A86293">
      <w:r>
        <w:t xml:space="preserve">-sudjelovanje u izradi zakonskih, podzakonskih i drugih propisa kojima se sustavno uređuju pitanja pomoći osobama stradalim od minsko-eksplozivnih i neeksplodiranih ubojitih sredstava u Republici Hrvatskoj, </w:t>
      </w:r>
    </w:p>
    <w:p w:rsidR="005C2091" w:rsidRDefault="00A86293">
      <w:r>
        <w:t xml:space="preserve">-obavljanje poslova pripreme, provedbe i praćenja projekata za korištenje sredstava fondova Europske unije i ostalih međunarodnih izvora financiranja na području protuminskog djelovanja, </w:t>
      </w:r>
    </w:p>
    <w:p w:rsidR="005C2091" w:rsidRDefault="00A86293">
      <w:r>
        <w:lastRenderedPageBreak/>
        <w:t xml:space="preserve">-praćenje rada, aktivnosti i djelovanja Hrvatskog centra za razminiranje, </w:t>
      </w:r>
    </w:p>
    <w:p w:rsidR="005C2091" w:rsidRDefault="00A86293">
      <w:r>
        <w:t xml:space="preserve">-sustavne aktivnosti na podizanju svijesti stanovništva o opasnosti od minsko-eksplozivnih sredstava kroz medijske kampanje i u izravnom kontaktu s građanima, </w:t>
      </w:r>
    </w:p>
    <w:p w:rsidR="005C2091" w:rsidRDefault="00A86293">
      <w:r>
        <w:t xml:space="preserve">-poticanje zaključivanja međudržavnih sporazuma o suradnji na području protuminskog djelovanja i humanitarnog razminaranja, </w:t>
      </w:r>
    </w:p>
    <w:p w:rsidR="005C2091" w:rsidRDefault="00A86293">
      <w:r>
        <w:t>-praćenje i sudjelovanje u poslovima koji se odnose na sudjelovanje Republike Hrvatske u radu tijela Europske unije na području protuminskog djelovanja.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02099-Ured za razminiranje</w:t>
            </w:r>
          </w:p>
        </w:tc>
        <w:tc>
          <w:tcPr>
            <w:tcW w:w="2041" w:type="dxa"/>
            <w:vAlign w:val="top"/>
          </w:tcPr>
          <w:p w:rsidR="005C2091" w:rsidRDefault="00A86293">
            <w:pPr>
              <w:pStyle w:val="CellColumn"/>
              <w:jc w:val="right"/>
            </w:pPr>
            <w:r>
              <w:rPr>
                <w:rFonts w:cs="Times New Roman"/>
              </w:rPr>
              <w:t>1.754.171</w:t>
            </w:r>
          </w:p>
        </w:tc>
        <w:tc>
          <w:tcPr>
            <w:tcW w:w="2041" w:type="dxa"/>
            <w:vAlign w:val="top"/>
          </w:tcPr>
          <w:p w:rsidR="005C2091" w:rsidRDefault="00A86293">
            <w:pPr>
              <w:pStyle w:val="CellColumn"/>
              <w:jc w:val="right"/>
            </w:pPr>
            <w:r>
              <w:rPr>
                <w:rFonts w:cs="Times New Roman"/>
              </w:rPr>
              <w:t>732.630</w:t>
            </w:r>
          </w:p>
        </w:tc>
        <w:tc>
          <w:tcPr>
            <w:tcW w:w="2041" w:type="dxa"/>
            <w:vAlign w:val="top"/>
          </w:tcPr>
          <w:p w:rsidR="005C2091" w:rsidRDefault="00A86293">
            <w:pPr>
              <w:pStyle w:val="CellColumn"/>
              <w:jc w:val="right"/>
            </w:pPr>
            <w:r>
              <w:rPr>
                <w:rFonts w:cs="Times New Roman"/>
              </w:rPr>
              <w:t>621.017</w:t>
            </w:r>
          </w:p>
        </w:tc>
        <w:tc>
          <w:tcPr>
            <w:tcW w:w="1224" w:type="dxa"/>
            <w:vAlign w:val="top"/>
          </w:tcPr>
          <w:p w:rsidR="005C2091" w:rsidRDefault="00A86293">
            <w:pPr>
              <w:pStyle w:val="CellColumn"/>
              <w:jc w:val="right"/>
            </w:pPr>
            <w:r>
              <w:rPr>
                <w:rFonts w:cs="Times New Roman"/>
              </w:rPr>
              <w:t>84,8</w:t>
            </w:r>
          </w:p>
        </w:tc>
        <w:tc>
          <w:tcPr>
            <w:tcW w:w="1224" w:type="dxa"/>
            <w:vAlign w:val="top"/>
          </w:tcPr>
          <w:p w:rsidR="005C2091" w:rsidRDefault="00A86293">
            <w:pPr>
              <w:pStyle w:val="CellColumn"/>
              <w:jc w:val="right"/>
            </w:pPr>
            <w:r>
              <w:rPr>
                <w:rFonts w:cs="Times New Roman"/>
              </w:rPr>
              <w:t>35,4</w:t>
            </w:r>
          </w:p>
        </w:tc>
      </w:tr>
      <w:tr w:rsidR="005C2091">
        <w:trPr>
          <w:jc w:val="center"/>
        </w:trPr>
        <w:tc>
          <w:tcPr>
            <w:tcW w:w="1632" w:type="dxa"/>
          </w:tcPr>
          <w:p w:rsidR="005C2091" w:rsidRDefault="00A86293">
            <w:pPr>
              <w:jc w:val="left"/>
            </w:pPr>
            <w:r>
              <w:t>2605-RAZMINIRANJE</w:t>
            </w:r>
          </w:p>
        </w:tc>
        <w:tc>
          <w:tcPr>
            <w:tcW w:w="2041" w:type="dxa"/>
          </w:tcPr>
          <w:p w:rsidR="005C2091" w:rsidRDefault="00A86293">
            <w:pPr>
              <w:jc w:val="right"/>
            </w:pPr>
            <w:r>
              <w:t>1.754.171</w:t>
            </w:r>
          </w:p>
        </w:tc>
        <w:tc>
          <w:tcPr>
            <w:tcW w:w="2041" w:type="dxa"/>
          </w:tcPr>
          <w:p w:rsidR="005C2091" w:rsidRDefault="00A86293">
            <w:pPr>
              <w:jc w:val="right"/>
            </w:pPr>
            <w:r>
              <w:t>732.630</w:t>
            </w:r>
          </w:p>
        </w:tc>
        <w:tc>
          <w:tcPr>
            <w:tcW w:w="2041" w:type="dxa"/>
          </w:tcPr>
          <w:p w:rsidR="005C2091" w:rsidRDefault="00A86293">
            <w:pPr>
              <w:jc w:val="right"/>
            </w:pPr>
            <w:r>
              <w:t>621.017</w:t>
            </w:r>
          </w:p>
        </w:tc>
        <w:tc>
          <w:tcPr>
            <w:tcW w:w="1224" w:type="dxa"/>
          </w:tcPr>
          <w:p w:rsidR="005C2091" w:rsidRDefault="00A86293">
            <w:pPr>
              <w:jc w:val="right"/>
            </w:pPr>
            <w:r>
              <w:t>84,8</w:t>
            </w:r>
          </w:p>
        </w:tc>
        <w:tc>
          <w:tcPr>
            <w:tcW w:w="1224" w:type="dxa"/>
          </w:tcPr>
          <w:p w:rsidR="005C2091" w:rsidRDefault="00A86293">
            <w:pPr>
              <w:jc w:val="right"/>
            </w:pPr>
            <w:r>
              <w:t>35,4</w:t>
            </w:r>
          </w:p>
        </w:tc>
      </w:tr>
    </w:tbl>
    <w:p w:rsidR="005C2091" w:rsidRDefault="005C2091">
      <w:pPr>
        <w:jc w:val="left"/>
      </w:pPr>
    </w:p>
    <w:p w:rsidR="005C2091" w:rsidRDefault="00A86293">
      <w:pPr>
        <w:pStyle w:val="Heading3"/>
      </w:pPr>
      <w:r>
        <w:rPr>
          <w:rFonts w:cs="Times New Roman"/>
        </w:rPr>
        <w:t>2605 RAZMINIRANJE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2605-RAZMINIRANJE</w:t>
            </w:r>
          </w:p>
        </w:tc>
        <w:tc>
          <w:tcPr>
            <w:tcW w:w="2041" w:type="dxa"/>
          </w:tcPr>
          <w:p w:rsidR="005C2091" w:rsidRDefault="00A86293">
            <w:pPr>
              <w:pStyle w:val="CellColumn"/>
              <w:jc w:val="right"/>
            </w:pPr>
            <w:r>
              <w:rPr>
                <w:rFonts w:cs="Times New Roman"/>
              </w:rPr>
              <w:t>1.754.171</w:t>
            </w:r>
          </w:p>
        </w:tc>
        <w:tc>
          <w:tcPr>
            <w:tcW w:w="2041" w:type="dxa"/>
          </w:tcPr>
          <w:p w:rsidR="005C2091" w:rsidRDefault="00A86293">
            <w:pPr>
              <w:pStyle w:val="CellColumn"/>
              <w:jc w:val="right"/>
            </w:pPr>
            <w:r>
              <w:rPr>
                <w:rFonts w:cs="Times New Roman"/>
              </w:rPr>
              <w:t>732.630</w:t>
            </w:r>
          </w:p>
        </w:tc>
        <w:tc>
          <w:tcPr>
            <w:tcW w:w="2041" w:type="dxa"/>
          </w:tcPr>
          <w:p w:rsidR="005C2091" w:rsidRDefault="00A86293">
            <w:pPr>
              <w:pStyle w:val="CellColumn"/>
              <w:jc w:val="right"/>
            </w:pPr>
            <w:r>
              <w:rPr>
                <w:rFonts w:cs="Times New Roman"/>
              </w:rPr>
              <w:t>621.017</w:t>
            </w:r>
          </w:p>
        </w:tc>
        <w:tc>
          <w:tcPr>
            <w:tcW w:w="1224" w:type="dxa"/>
          </w:tcPr>
          <w:p w:rsidR="005C2091" w:rsidRDefault="00A86293">
            <w:pPr>
              <w:pStyle w:val="CellColumn"/>
              <w:jc w:val="right"/>
            </w:pPr>
            <w:r>
              <w:rPr>
                <w:rFonts w:cs="Times New Roman"/>
              </w:rPr>
              <w:t>84,8</w:t>
            </w:r>
          </w:p>
        </w:tc>
        <w:tc>
          <w:tcPr>
            <w:tcW w:w="1224" w:type="dxa"/>
          </w:tcPr>
          <w:p w:rsidR="005C2091" w:rsidRDefault="00A86293">
            <w:pPr>
              <w:pStyle w:val="CellColumn"/>
              <w:jc w:val="right"/>
            </w:pPr>
            <w:r>
              <w:rPr>
                <w:rFonts w:cs="Times New Roman"/>
              </w:rPr>
              <w:t>35,4</w:t>
            </w:r>
          </w:p>
        </w:tc>
      </w:tr>
    </w:tbl>
    <w:p w:rsidR="005C2091" w:rsidRDefault="005C2091">
      <w:pPr>
        <w:jc w:val="left"/>
      </w:pPr>
    </w:p>
    <w:p w:rsidR="005C2091" w:rsidRDefault="00A86293">
      <w:r>
        <w:t>Primarna zadaća Ureda je obavljanje svih analitičkih, savjetodavnih i stručnih poslova vezanih uz razminiranje i protuminsko djelovanje u Republici Hrvatskoj.</w:t>
      </w:r>
    </w:p>
    <w:p w:rsidR="005C2091" w:rsidRDefault="00A86293">
      <w:pPr>
        <w:pStyle w:val="Heading8"/>
        <w:jc w:val="left"/>
      </w:pPr>
      <w:r>
        <w:t>Cilj 1. Priprema i koordinacija aktivnosti usmjerenih unaprjeđenju sustava protuminskog djelovanja u Republici Hrvatskoj</w:t>
      </w:r>
    </w:p>
    <w:p w:rsidR="005C2091" w:rsidRDefault="00A86293">
      <w:pPr>
        <w:pStyle w:val="Heading8"/>
        <w:jc w:val="left"/>
      </w:pPr>
      <w:r>
        <w:t>Opis provedbe cilja programa</w:t>
      </w:r>
    </w:p>
    <w:p w:rsidR="005C2091" w:rsidRDefault="00A86293">
      <w:r>
        <w:t xml:space="preserve">Ured je kontinuirano pratio rad, aktivnosti i djelovanje Hrvatskog centra za razminiranje kao operativno-tehničkog tijela u sustavu protuminskog djelovanja te je svojim djelovanjem, kao kreator politika u navedenom području, stvarao pretpostavke za njegovo uspješnije i ekonomičnije djelovanje. Praćenje rada HCR-a ostvaruje se kroz praćenje izvještaja o radu HCR-a, Plana humanitarnog razminiranja koji donosi Vlada Republike Hrvatske, Izvješća o ostvarenju tog Plana koje usvaja Hrvatski sabor te sastancima na svim razinama upravljanja. </w:t>
      </w:r>
    </w:p>
    <w:p w:rsidR="005C2091" w:rsidRDefault="00A86293">
      <w:r>
        <w:t>Ured je redovno sudjelovao na sastancima Koordinacijskog tijela za pomoć osobama stradalima od minsko-eksplozivnih sredstava i neeksplodiranih ubojnih sredstava  te na sastancima Koordinacije za poboljšanja sustava protuminskog djelovanja s ciljem rješavanja aktualnih problema u sustavu protuminskog djelovanja te je koordinirao provedbu aktivnosti informiranja i edukacije o opasnostima od MES-a, NUS-a i njihovih dijelova koje provodi Hrvatski centar za razminiranje u suradnji s tijelima državne uprave, jedinicama lokalne i regionalne samouprave i civilnim sektorom.</w:t>
      </w:r>
    </w:p>
    <w:p w:rsidR="005C2091" w:rsidRDefault="00A86293">
      <w:pPr>
        <w:pStyle w:val="Heading8"/>
        <w:jc w:val="left"/>
      </w:pPr>
      <w:r>
        <w:t>Cilj 2. Sudjelovanje u međunarodnim aktivnostima sa svrhom promicanja i zastupanja politika i interesa Republike Hrvatske na području protuminskog djelovanja.</w:t>
      </w:r>
    </w:p>
    <w:p w:rsidR="005C2091" w:rsidRDefault="00A86293">
      <w:pPr>
        <w:pStyle w:val="Heading8"/>
        <w:jc w:val="left"/>
      </w:pPr>
      <w:r>
        <w:t>Opis provedbe cilja programa</w:t>
      </w:r>
    </w:p>
    <w:p w:rsidR="005C2091" w:rsidRDefault="00A86293">
      <w:r>
        <w:t xml:space="preserve">Ured je u 2016. godini sudjelovao na redovnim sastancima i konferencijama humanitarno-sigurnosnih konvencija kojih je Republika Hrvatska stranka (Ottawska konvencija, Konvencija o kazetnom streljivu, Konvencija o određenom konvencionalnom naoružanju) s ciljem praćenja i verifikacije mjera i obveza koje je RH dužna </w:t>
      </w:r>
      <w:r>
        <w:lastRenderedPageBreak/>
        <w:t xml:space="preserve">provoditi kao stranka ključnih humanitarno-sigurnosnih režima u razoružanju. Sukladno obvezi koja proizlazi iz konvencija, Ured je na temelju podataka dostavljenih od  HCR-a i Ministarstva obrane  izradio i dostavio godišnja izvješća UN-ovom Uredu za poslove razoružanja. </w:t>
      </w:r>
    </w:p>
    <w:p w:rsidR="005C2091" w:rsidRDefault="00A86293">
      <w:r>
        <w:t xml:space="preserve">U suradnji s  RACVIAC-Središtem za sigurnosnu suradnju Ured je organizirao radionicu o primjeni Konvencije o kazetnom streljivu na kojoj su sudjelovali predstavnici zemalja JIE i međunarodnih organizacija. </w:t>
      </w:r>
    </w:p>
    <w:p w:rsidR="005C2091" w:rsidRDefault="00A86293">
      <w:r>
        <w:t>Ured je sudjelovao u organizaciji 13. međunarodnog simpozija i sajma opreme na kojem je naglasak bio na razmjeni iskustava između zemalja zagađenim eksplozivnim ostacima rata te predstavljanju najnovijih tehnologija i opreme.  Simpozij je bio prilika za susrete poslovnog sektora, znanstvenika te udruga civilnog društva koji djeluju na području protuminskog djelovanja. Takvim konceptom suradnje daje se značajan doprinos pronalasku novih tehnoloških rješenja koja za cilj imaju ubrzavanje poslova razminiranja, porast učinkovitosti, kvalitete i sigurnosti.</w:t>
      </w:r>
    </w:p>
    <w:p w:rsidR="005C2091" w:rsidRDefault="00A86293">
      <w:pPr>
        <w:pStyle w:val="Heading8"/>
        <w:jc w:val="left"/>
      </w:pPr>
      <w:r>
        <w:t>Cilj 3. Provedba i praćenje projekata za korištenje sredstava EU</w:t>
      </w:r>
    </w:p>
    <w:p w:rsidR="005C2091" w:rsidRDefault="00A86293">
      <w:pPr>
        <w:pStyle w:val="Heading8"/>
        <w:jc w:val="left"/>
      </w:pPr>
      <w:r>
        <w:t>Opis provedbe cilja programa</w:t>
      </w:r>
    </w:p>
    <w:p w:rsidR="005C2091" w:rsidRDefault="00A86293">
      <w:r>
        <w:t xml:space="preserve">Ured je u procesu pripreme projekta „Razminiranje, i društveno-gospodarska integracija“ koji je  jedan od projekata u okviru Švicarsko – hrvatskog programa suradnje intenzivno radio na pripremi konačnog prijedloga projekta i definiranju institucionalne strukture u okviru projekta te redovito sudjelovao na sastancima sa Švicarskom agencijom za razvoj i suradnju koja djeluje u ime Švicarske u provedbi programa suradnje i MRRFEU kao Nacionalnom koordinacijskom jedinicom. Riječ je o projektu u kojem će poslovi razminiranja zaštićenih šuma i šumskog zemljišta (razminiranje Kotar šume u blizini naselja Mošćenićki Lug i Klobučak u Sisačko-Moslavačkoj županiji) biti povezani s psihološkom i društveno-gospodarskom reintegracijom i rehabilitacijom žrtava mina kroz relevantne edukacije. Također, jedna od aktivnosti u okviru navedenog projekta je i izrada jedinstvene baze podataka u kojoj će biti evidentirani svi stradalnici od mina. Za navedeni projekt predviđena je darovnica u iznosu od 3,53 milijuna CHF, a Ured će u projektu imati ulogu Posredničkog tijela.  </w:t>
      </w:r>
    </w:p>
    <w:p w:rsidR="005C2091" w:rsidRDefault="00A86293">
      <w:r>
        <w:t>Ured je kao partner u projektu “Razminiranje, obnova i zaštita šuma i šumskog zemljišta u zaštićenim i Natura 2000 područjima u dunavsko-dravskoj regiji – Naturavita“, a čija je  vrijednost 300 milijuna kuna sudjelovao u izradi Studije izvodljivosti i svih ostalim aktivnostima vezanim uz pripremu projekta (sudjelovanje na sastancima Projektnog tima i Odbora za praćenje pripreme projekta, izrada prijedloga proračuna projekta, izrada opisa uloge Ureda u projektu i sl.) Projektne aktivnosti trebale bi započeti u drugoj polovici 2017. godine pri čemu će Ured pružati stručnu i tehničku pomoć u provođenju aktivnosti  radnog paketa „Diseminacija i vidljivost“.</w:t>
      </w:r>
    </w:p>
    <w:p w:rsidR="005C2091" w:rsidRDefault="00A86293">
      <w:pPr>
        <w:pStyle w:val="Heading4"/>
      </w:pPr>
      <w:r>
        <w:t>A855001 ADMINISTRACIJA I UPRAVLJANJE</w:t>
      </w:r>
    </w:p>
    <w:tbl>
      <w:tblPr>
        <w:tblStyle w:val="StilTablice"/>
        <w:tblW w:w="10206" w:type="dxa"/>
        <w:jc w:val="center"/>
        <w:tblLook w:val="04A0" w:firstRow="1" w:lastRow="0" w:firstColumn="1" w:lastColumn="0" w:noHBand="0" w:noVBand="1"/>
      </w:tblPr>
      <w:tblGrid>
        <w:gridCol w:w="1792"/>
        <w:gridCol w:w="1997"/>
        <w:gridCol w:w="1991"/>
        <w:gridCol w:w="1994"/>
        <w:gridCol w:w="1214"/>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A855001-ADMINISTRACIJA I UPRAVLJANJE</w:t>
            </w:r>
          </w:p>
        </w:tc>
        <w:tc>
          <w:tcPr>
            <w:tcW w:w="2041" w:type="dxa"/>
          </w:tcPr>
          <w:p w:rsidR="005C2091" w:rsidRDefault="00A86293">
            <w:pPr>
              <w:pStyle w:val="CellColumn"/>
              <w:jc w:val="right"/>
            </w:pPr>
            <w:r>
              <w:rPr>
                <w:rFonts w:cs="Times New Roman"/>
              </w:rPr>
              <w:t>1.214.388</w:t>
            </w:r>
          </w:p>
        </w:tc>
        <w:tc>
          <w:tcPr>
            <w:tcW w:w="2041" w:type="dxa"/>
          </w:tcPr>
          <w:p w:rsidR="005C2091" w:rsidRDefault="00A86293">
            <w:pPr>
              <w:pStyle w:val="CellColumn"/>
              <w:jc w:val="right"/>
            </w:pPr>
            <w:r>
              <w:rPr>
                <w:rFonts w:cs="Times New Roman"/>
              </w:rPr>
              <w:t>713.630</w:t>
            </w:r>
          </w:p>
        </w:tc>
        <w:tc>
          <w:tcPr>
            <w:tcW w:w="2041" w:type="dxa"/>
          </w:tcPr>
          <w:p w:rsidR="005C2091" w:rsidRDefault="00A86293">
            <w:pPr>
              <w:pStyle w:val="CellColumn"/>
              <w:jc w:val="right"/>
            </w:pPr>
            <w:r>
              <w:rPr>
                <w:rFonts w:cs="Times New Roman"/>
              </w:rPr>
              <w:t>604.296</w:t>
            </w:r>
          </w:p>
        </w:tc>
        <w:tc>
          <w:tcPr>
            <w:tcW w:w="1224" w:type="dxa"/>
          </w:tcPr>
          <w:p w:rsidR="005C2091" w:rsidRDefault="00A86293">
            <w:pPr>
              <w:pStyle w:val="CellColumn"/>
              <w:jc w:val="right"/>
            </w:pPr>
            <w:r>
              <w:rPr>
                <w:rFonts w:cs="Times New Roman"/>
              </w:rPr>
              <w:t>84,7</w:t>
            </w:r>
          </w:p>
        </w:tc>
        <w:tc>
          <w:tcPr>
            <w:tcW w:w="1224" w:type="dxa"/>
          </w:tcPr>
          <w:p w:rsidR="005C2091" w:rsidRDefault="00A86293">
            <w:pPr>
              <w:pStyle w:val="CellColumn"/>
              <w:jc w:val="right"/>
            </w:pPr>
            <w:r>
              <w:rPr>
                <w:rFonts w:cs="Times New Roman"/>
              </w:rPr>
              <w:t>49,8</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protuminskom djelovanju  </w:t>
      </w:r>
    </w:p>
    <w:p w:rsidR="005C2091" w:rsidRDefault="00A86293">
      <w:r>
        <w:t xml:space="preserve">Uredba o Uredu za razminiranje  </w:t>
      </w:r>
    </w:p>
    <w:p w:rsidR="005C2091" w:rsidRDefault="00A86293">
      <w:r>
        <w:t>Nacionalni program protuminskog djelovanja Republike Hrvatske 2009.-2019.</w:t>
      </w:r>
    </w:p>
    <w:p w:rsidR="005C2091" w:rsidRDefault="00A86293">
      <w:pPr>
        <w:pStyle w:val="Heading8"/>
        <w:jc w:val="left"/>
      </w:pPr>
      <w:r>
        <w:t>Opis aktivnosti</w:t>
      </w:r>
    </w:p>
    <w:p w:rsidR="005C2091" w:rsidRDefault="00A86293">
      <w:r>
        <w:t>Kroz aktivnost administracija i upravljanje podmirene su osnovne potrebe za normalno funkcioniranje Ureda u obavljanju stručnih, analitičkih i savjetodavnih poslova vezanih uz razminiranje i protuminsko djelovanje u Republici Hrvatskoj.</w:t>
      </w:r>
    </w:p>
    <w:p w:rsidR="005C2091" w:rsidRDefault="00A86293">
      <w:pPr>
        <w:pStyle w:val="Heading4"/>
      </w:pPr>
      <w:r>
        <w:lastRenderedPageBreak/>
        <w:t>K855002 INFORMATIZACIJA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K855002-INFORMATIZACIJA</w:t>
            </w:r>
          </w:p>
        </w:tc>
        <w:tc>
          <w:tcPr>
            <w:tcW w:w="2041" w:type="dxa"/>
          </w:tcPr>
          <w:p w:rsidR="005C2091" w:rsidRDefault="00A86293">
            <w:pPr>
              <w:pStyle w:val="CellColumn"/>
              <w:jc w:val="right"/>
            </w:pPr>
            <w:r>
              <w:rPr>
                <w:rFonts w:cs="Times New Roman"/>
              </w:rPr>
              <w:t>26.563</w:t>
            </w:r>
          </w:p>
        </w:tc>
        <w:tc>
          <w:tcPr>
            <w:tcW w:w="2041" w:type="dxa"/>
          </w:tcPr>
          <w:p w:rsidR="005C2091" w:rsidRDefault="00A86293">
            <w:pPr>
              <w:pStyle w:val="CellColumn"/>
              <w:jc w:val="right"/>
            </w:pPr>
            <w:r>
              <w:rPr>
                <w:rFonts w:cs="Times New Roman"/>
              </w:rPr>
              <w:t>19.000</w:t>
            </w:r>
          </w:p>
        </w:tc>
        <w:tc>
          <w:tcPr>
            <w:tcW w:w="2041" w:type="dxa"/>
          </w:tcPr>
          <w:p w:rsidR="005C2091" w:rsidRDefault="00A86293">
            <w:pPr>
              <w:pStyle w:val="CellColumn"/>
              <w:jc w:val="right"/>
            </w:pPr>
            <w:r>
              <w:rPr>
                <w:rFonts w:cs="Times New Roman"/>
              </w:rPr>
              <w:t>16.721</w:t>
            </w:r>
          </w:p>
        </w:tc>
        <w:tc>
          <w:tcPr>
            <w:tcW w:w="1224" w:type="dxa"/>
          </w:tcPr>
          <w:p w:rsidR="005C2091" w:rsidRDefault="00A86293">
            <w:pPr>
              <w:pStyle w:val="CellColumn"/>
              <w:jc w:val="right"/>
            </w:pPr>
            <w:r>
              <w:rPr>
                <w:rFonts w:cs="Times New Roman"/>
              </w:rPr>
              <w:t>88,0</w:t>
            </w:r>
          </w:p>
        </w:tc>
        <w:tc>
          <w:tcPr>
            <w:tcW w:w="1224" w:type="dxa"/>
          </w:tcPr>
          <w:p w:rsidR="005C2091" w:rsidRDefault="00A86293">
            <w:pPr>
              <w:pStyle w:val="CellColumn"/>
              <w:jc w:val="right"/>
            </w:pPr>
            <w:r>
              <w:rPr>
                <w:rFonts w:cs="Times New Roman"/>
              </w:rPr>
              <w:t>62,9</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protuminskom djelovanju </w:t>
      </w:r>
    </w:p>
    <w:p w:rsidR="005C2091" w:rsidRDefault="00A86293">
      <w:r>
        <w:t xml:space="preserve">Uredba o Uredu za razminiranje  </w:t>
      </w:r>
    </w:p>
    <w:p w:rsidR="005C2091" w:rsidRDefault="00A86293">
      <w:r>
        <w:t>Nacionalni program protuminskog djelovanja Republike Hrvatske 2009.-2019.</w:t>
      </w:r>
    </w:p>
    <w:p w:rsidR="005C2091" w:rsidRDefault="00A86293">
      <w:pPr>
        <w:pStyle w:val="Heading8"/>
        <w:jc w:val="left"/>
      </w:pPr>
      <w:r>
        <w:t>Opis aktivnosti</w:t>
      </w:r>
    </w:p>
    <w:p w:rsidR="005C2091" w:rsidRDefault="00A86293">
      <w:r>
        <w:t>Kroz aktivnost informatizacija utrošena su sredstva za plaćanje licenci za operativni sustav i antivirusnu zaštitu.</w:t>
      </w:r>
    </w:p>
    <w:p w:rsidR="005F75C0" w:rsidRDefault="005F75C0"/>
    <w:p w:rsidR="005F75C0" w:rsidRDefault="005F75C0"/>
    <w:p w:rsidR="005F75C0" w:rsidRDefault="00884161" w:rsidP="00884161">
      <w:pPr>
        <w:overflowPunct/>
        <w:autoSpaceDE/>
        <w:autoSpaceDN/>
        <w:adjustRightInd/>
        <w:spacing w:after="200" w:line="276" w:lineRule="auto"/>
        <w:jc w:val="left"/>
        <w:textAlignment w:val="auto"/>
      </w:pPr>
      <w:r>
        <w:br w:type="page"/>
      </w:r>
    </w:p>
    <w:p w:rsidR="005C2091" w:rsidRDefault="00A86293">
      <w:pPr>
        <w:pStyle w:val="Heading1"/>
      </w:pPr>
      <w:r>
        <w:lastRenderedPageBreak/>
        <w:t>025 MINISTARSTVO FINANCIJA</w:t>
      </w:r>
    </w:p>
    <w:p w:rsidR="005C2091" w:rsidRDefault="00A86293">
      <w:r>
        <w:t xml:space="preserve">Jedan od najvažnijih poslova Ministarstva financija je priprema državnog proračuna te upravljanje proračunskim prihodima i rashodima, odnosno novcem poreznih obveznika.   </w:t>
      </w:r>
    </w:p>
    <w:p w:rsidR="005C2091" w:rsidRDefault="00A86293">
      <w:r>
        <w:t xml:space="preserve">Ministarstvo financija obavlja upravne i druge poslove koji se odnose na:   </w:t>
      </w:r>
    </w:p>
    <w:p w:rsidR="005C2091" w:rsidRDefault="00A86293">
      <w:r>
        <w:t>•</w:t>
      </w:r>
      <w:r>
        <w:tab/>
        <w:t xml:space="preserve">analize i prognoze makroekonomskih kretanja koje su temelj za utvrđivanje ekonomske i fiskalne politike i izradu konsolidiranog proračuna države;   </w:t>
      </w:r>
    </w:p>
    <w:p w:rsidR="005C2091" w:rsidRDefault="00A86293">
      <w:r>
        <w:t>•</w:t>
      </w:r>
      <w:r>
        <w:tab/>
        <w:t xml:space="preserve">izradu osnova za financiranje javnih potreba i nacrt državnog proračuna i izvanproračunskih korisnika te lokalnih proračuna;   </w:t>
      </w:r>
    </w:p>
    <w:p w:rsidR="005C2091" w:rsidRDefault="00A86293">
      <w:r>
        <w:t>•</w:t>
      </w:r>
      <w:r>
        <w:tab/>
        <w:t xml:space="preserve">konsolidaciju proračuna, izradu prijedloga sustava financiranja javnih potreba i jedinica lokalne i područne (regionalne) samouprave;   </w:t>
      </w:r>
    </w:p>
    <w:p w:rsidR="005C2091" w:rsidRDefault="00A86293">
      <w:r>
        <w:t>•</w:t>
      </w:r>
      <w:r>
        <w:tab/>
        <w:t xml:space="preserve">izvršavanje državnog proračuna;   </w:t>
      </w:r>
    </w:p>
    <w:p w:rsidR="005C2091" w:rsidRDefault="00A86293">
      <w:r>
        <w:t>•</w:t>
      </w:r>
      <w:r>
        <w:tab/>
        <w:t xml:space="preserve">planiranje likvidnosti državnog proračuna;   </w:t>
      </w:r>
    </w:p>
    <w:p w:rsidR="005C2091" w:rsidRDefault="00A86293">
      <w:r>
        <w:t>•</w:t>
      </w:r>
      <w:r>
        <w:tab/>
        <w:t xml:space="preserve">upravljanje financijskim tijekovima;   </w:t>
      </w:r>
    </w:p>
    <w:p w:rsidR="005C2091" w:rsidRDefault="00A86293">
      <w:r>
        <w:t>•</w:t>
      </w:r>
      <w:r>
        <w:tab/>
        <w:t xml:space="preserve">proračunski nadzor;   </w:t>
      </w:r>
    </w:p>
    <w:p w:rsidR="005C2091" w:rsidRDefault="00A86293">
      <w:r>
        <w:t>•</w:t>
      </w:r>
      <w:r>
        <w:tab/>
        <w:t xml:space="preserve">razvoj sustava proračunskog računovodstva i financijskog izvještavanja,   </w:t>
      </w:r>
    </w:p>
    <w:p w:rsidR="005C2091" w:rsidRDefault="00A86293">
      <w:r>
        <w:t>•</w:t>
      </w:r>
      <w:r>
        <w:tab/>
        <w:t xml:space="preserve">vođenje glavne knjige državne riznice i sastavljanje konsolidiranih financijskih izvještaja proračuna Republike Hrvatske;   </w:t>
      </w:r>
    </w:p>
    <w:p w:rsidR="005C2091" w:rsidRDefault="00A86293">
      <w:r>
        <w:t>•</w:t>
      </w:r>
      <w:r>
        <w:tab/>
        <w:t xml:space="preserve">upravljanje proračunskim ulaganjima, izradu izvješća o kratkoročnim financijskim potrebama, praćenje bilance prihoda, rashoda i gotovinskih sredstava, registrira neposredne i uvjetne obveze po javnom dugu, ugovara kreditna zaduženja i provodi postupak izdavanja vrijednosnih papira na domaćem i inozemnom tržištu sukladno utvrđenom računu financiranja državnog proračuna, upravlja portfeljem javnog duga;   </w:t>
      </w:r>
    </w:p>
    <w:p w:rsidR="005C2091" w:rsidRDefault="00A86293">
      <w:r>
        <w:t>•</w:t>
      </w:r>
      <w:r>
        <w:tab/>
        <w:t xml:space="preserve">pripremu nacrta zakonskih i drugih propisa te osnove za vođenje pregovora iz područja financijskih odnosa s inozemstvom što proizlazi iz multilateralne i bilateralne te kreditne suradnje s međunarodnim i regionalnim financijskim institucijama, inozemnim vladama i poslovnim bankama; operativne poslove u vezi sa članstvom Republike Hrvatske u međunarodnim financijskim organizacijama;   </w:t>
      </w:r>
    </w:p>
    <w:p w:rsidR="005C2091" w:rsidRDefault="00A86293">
      <w:r>
        <w:t>•</w:t>
      </w:r>
      <w:r>
        <w:tab/>
        <w:t xml:space="preserve">prikupljanje i obradu podataka o štetama nastalim uslijed djelovanja elementarnih nepogoda;   </w:t>
      </w:r>
    </w:p>
    <w:p w:rsidR="005C2091" w:rsidRDefault="00A86293">
      <w:r>
        <w:t>•</w:t>
      </w:r>
      <w:r>
        <w:tab/>
        <w:t xml:space="preserve">vođenje registra koncesija;   </w:t>
      </w:r>
    </w:p>
    <w:p w:rsidR="005C2091" w:rsidRDefault="00A86293">
      <w:r>
        <w:t>•</w:t>
      </w:r>
      <w:r>
        <w:tab/>
        <w:t xml:space="preserve">razvoj, unapređenje i koordinaciju sustava politike koncesija;   </w:t>
      </w:r>
    </w:p>
    <w:p w:rsidR="005C2091" w:rsidRDefault="00A86293">
      <w:r>
        <w:t>•</w:t>
      </w:r>
      <w:r>
        <w:tab/>
        <w:t xml:space="preserve">davanje prijedloga i mjera za unapređenje sustava koncesija;   </w:t>
      </w:r>
    </w:p>
    <w:p w:rsidR="005C2091" w:rsidRDefault="00A86293">
      <w:r>
        <w:t>•</w:t>
      </w:r>
      <w:r>
        <w:tab/>
        <w:t xml:space="preserve">nadzor nad provedbom Zakona o koncesijama;   </w:t>
      </w:r>
    </w:p>
    <w:p w:rsidR="005C2091" w:rsidRDefault="00A86293">
      <w:r>
        <w:t>•</w:t>
      </w:r>
      <w:r>
        <w:tab/>
        <w:t xml:space="preserve">sudjeluje u procedurama i analizira prijedloge različitih koncesijskih i modela javno-privatnog partnerstva, davanje prijedloga i mišljenja na prijedloge ugovora o javno-privatnom partnerstvu s osnove proračunskih rizika, ocjene projekata i procjenu rizika u području javno-privatnog partnerstva iz djelokruga Ministarstva i u skladu s procedurama izrade i realizacije projekta javno-privatnog partnerstva, davanje prijedloga i mišljenja za poboljšanje i unapređenje sustava javno-privatnog partnerstva iz djelokruga Ministarstva;   </w:t>
      </w:r>
    </w:p>
    <w:p w:rsidR="005C2091" w:rsidRDefault="00A86293">
      <w:r>
        <w:t>•</w:t>
      </w:r>
      <w:r>
        <w:tab/>
        <w:t xml:space="preserve">praćenje poslovanja društava od posebnoga državnog interesa;   </w:t>
      </w:r>
    </w:p>
    <w:p w:rsidR="005C2091" w:rsidRDefault="00A86293">
      <w:r>
        <w:t>•</w:t>
      </w:r>
      <w:r>
        <w:tab/>
        <w:t xml:space="preserve">izradu analiza u postupcima restrukturiranja poduzeća;   </w:t>
      </w:r>
    </w:p>
    <w:p w:rsidR="005C2091" w:rsidRDefault="00A86293">
      <w:r>
        <w:t>•</w:t>
      </w:r>
      <w:r>
        <w:tab/>
        <w:t xml:space="preserve">praćenje i analizu državnih potpora, unapređenje sustava projiciranja i intenziteta dodjele državnih potpora;   </w:t>
      </w:r>
    </w:p>
    <w:p w:rsidR="005C2091" w:rsidRDefault="00A86293">
      <w:r>
        <w:t>•</w:t>
      </w:r>
      <w:r>
        <w:tab/>
        <w:t xml:space="preserve">izradu analiza i praćenje ekonomskih kretanja iz područja financijskog sustava, predlaganje i provođenje mjera za unapređenje sustava kreditnih institucija i osiguranja depozita, sustava osiguranja, sustava tržišta kapitala, investicijskih fondova i zaštite ulagatelja, platnih sustava i sustava nadzora financijskih institucija, nadzor financijskih institucija sukladno zakonskim ovlastima;   </w:t>
      </w:r>
    </w:p>
    <w:p w:rsidR="005C2091" w:rsidRDefault="00A86293">
      <w:r>
        <w:t>•</w:t>
      </w:r>
      <w:r>
        <w:tab/>
        <w:t xml:space="preserve">porezni sustav i poreznu politiku, carinski sustav i politiku carinske i izvancarinske zaštite, nadzor i inspekcijske poslove u području poreza, carina i drugih javnih prihoda, deviznog i vanjskotrgovinskog poslovanja, priređivanja igara na sreću i nagradnih igara;   </w:t>
      </w:r>
    </w:p>
    <w:p w:rsidR="005C2091" w:rsidRDefault="00A86293">
      <w:r>
        <w:lastRenderedPageBreak/>
        <w:t>•</w:t>
      </w:r>
      <w:r>
        <w:tab/>
        <w:t xml:space="preserve">poduzimanje mjera za sprječavanje pranja novca i financiranja terorizma; izgradnju i održavanje graničnih prijelaza.   </w:t>
      </w:r>
    </w:p>
    <w:p w:rsidR="005C2091" w:rsidRDefault="00A86293">
      <w:r>
        <w:t xml:space="preserve">Ministarstvo obavlja upravne i stručne poslove koji se odnose na uspostavu i razvoj sustava unutarnjih financijskih kontrola u javnom sektoru, na državnoj i lokalnim razinama.  </w:t>
      </w:r>
    </w:p>
    <w:p w:rsidR="005C2091" w:rsidRDefault="00A86293">
      <w:r>
        <w:t xml:space="preserve">Ministarstvo obavlja poslove financijskog upravljanja u okviru decentraliziranog sustava provedbe pomoći Europske zajednice u Republici Hrvatskoj.  </w:t>
      </w:r>
    </w:p>
    <w:p w:rsidR="005C2091" w:rsidRDefault="00A86293">
      <w:r>
        <w:t>Ministarstvo obavlja i druge poslove koji su mu stavljeni u nadležnost posebnim zakonom.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02505-Ministarstvo financija</w:t>
            </w:r>
          </w:p>
        </w:tc>
        <w:tc>
          <w:tcPr>
            <w:tcW w:w="2041" w:type="dxa"/>
            <w:vAlign w:val="top"/>
          </w:tcPr>
          <w:p w:rsidR="005C2091" w:rsidRDefault="00A86293">
            <w:pPr>
              <w:pStyle w:val="CellColumn"/>
              <w:jc w:val="right"/>
            </w:pPr>
            <w:r>
              <w:rPr>
                <w:rFonts w:cs="Times New Roman"/>
              </w:rPr>
              <w:t>270.102.048</w:t>
            </w:r>
          </w:p>
        </w:tc>
        <w:tc>
          <w:tcPr>
            <w:tcW w:w="2041" w:type="dxa"/>
            <w:vAlign w:val="top"/>
          </w:tcPr>
          <w:p w:rsidR="005C2091" w:rsidRDefault="00A86293">
            <w:pPr>
              <w:pStyle w:val="CellColumn"/>
              <w:jc w:val="right"/>
            </w:pPr>
            <w:r>
              <w:rPr>
                <w:rFonts w:cs="Times New Roman"/>
              </w:rPr>
              <w:t>305.980.000</w:t>
            </w:r>
          </w:p>
        </w:tc>
        <w:tc>
          <w:tcPr>
            <w:tcW w:w="2041" w:type="dxa"/>
            <w:vAlign w:val="top"/>
          </w:tcPr>
          <w:p w:rsidR="005C2091" w:rsidRDefault="00A86293">
            <w:pPr>
              <w:pStyle w:val="CellColumn"/>
              <w:jc w:val="right"/>
            </w:pPr>
            <w:r>
              <w:rPr>
                <w:rFonts w:cs="Times New Roman"/>
              </w:rPr>
              <w:t>260.165.146</w:t>
            </w:r>
          </w:p>
        </w:tc>
        <w:tc>
          <w:tcPr>
            <w:tcW w:w="1224" w:type="dxa"/>
            <w:vAlign w:val="top"/>
          </w:tcPr>
          <w:p w:rsidR="005C2091" w:rsidRDefault="00A86293">
            <w:pPr>
              <w:pStyle w:val="CellColumn"/>
              <w:jc w:val="right"/>
            </w:pPr>
            <w:r>
              <w:rPr>
                <w:rFonts w:cs="Times New Roman"/>
              </w:rPr>
              <w:t>85,0</w:t>
            </w:r>
          </w:p>
        </w:tc>
        <w:tc>
          <w:tcPr>
            <w:tcW w:w="1224" w:type="dxa"/>
            <w:vAlign w:val="top"/>
          </w:tcPr>
          <w:p w:rsidR="005C2091" w:rsidRDefault="00A86293">
            <w:pPr>
              <w:pStyle w:val="CellColumn"/>
              <w:jc w:val="right"/>
            </w:pPr>
            <w:r>
              <w:rPr>
                <w:rFonts w:cs="Times New Roman"/>
              </w:rPr>
              <w:t>96,3</w:t>
            </w:r>
          </w:p>
        </w:tc>
      </w:tr>
      <w:tr w:rsidR="005C2091">
        <w:trPr>
          <w:jc w:val="center"/>
        </w:trPr>
        <w:tc>
          <w:tcPr>
            <w:tcW w:w="1632" w:type="dxa"/>
            <w:vAlign w:val="top"/>
          </w:tcPr>
          <w:p w:rsidR="005C2091" w:rsidRDefault="00A86293">
            <w:pPr>
              <w:pStyle w:val="CellColumn"/>
              <w:jc w:val="left"/>
            </w:pPr>
            <w:r>
              <w:rPr>
                <w:rFonts w:cs="Times New Roman"/>
              </w:rPr>
              <w:t>02506-Ministarstvo financija - ostali izdaci države</w:t>
            </w:r>
          </w:p>
        </w:tc>
        <w:tc>
          <w:tcPr>
            <w:tcW w:w="2041" w:type="dxa"/>
            <w:vAlign w:val="top"/>
          </w:tcPr>
          <w:p w:rsidR="005C2091" w:rsidRDefault="00A86293">
            <w:pPr>
              <w:pStyle w:val="CellColumn"/>
              <w:jc w:val="right"/>
            </w:pPr>
            <w:r>
              <w:rPr>
                <w:rFonts w:cs="Times New Roman"/>
              </w:rPr>
              <w:t>41.868.725.214</w:t>
            </w:r>
          </w:p>
        </w:tc>
        <w:tc>
          <w:tcPr>
            <w:tcW w:w="2041" w:type="dxa"/>
            <w:vAlign w:val="top"/>
          </w:tcPr>
          <w:p w:rsidR="005C2091" w:rsidRDefault="00A86293">
            <w:pPr>
              <w:pStyle w:val="CellColumn"/>
              <w:jc w:val="right"/>
            </w:pPr>
            <w:r>
              <w:rPr>
                <w:rFonts w:cs="Times New Roman"/>
              </w:rPr>
              <w:t>34.668.279.709</w:t>
            </w:r>
          </w:p>
        </w:tc>
        <w:tc>
          <w:tcPr>
            <w:tcW w:w="2041" w:type="dxa"/>
            <w:vAlign w:val="top"/>
          </w:tcPr>
          <w:p w:rsidR="005C2091" w:rsidRDefault="00A86293">
            <w:pPr>
              <w:pStyle w:val="CellColumn"/>
              <w:jc w:val="right"/>
            </w:pPr>
            <w:r>
              <w:rPr>
                <w:rFonts w:cs="Times New Roman"/>
              </w:rPr>
              <w:t>34.276.743.419</w:t>
            </w:r>
          </w:p>
        </w:tc>
        <w:tc>
          <w:tcPr>
            <w:tcW w:w="1224" w:type="dxa"/>
            <w:vAlign w:val="top"/>
          </w:tcPr>
          <w:p w:rsidR="005C2091" w:rsidRDefault="00A86293">
            <w:pPr>
              <w:pStyle w:val="CellColumn"/>
              <w:jc w:val="right"/>
            </w:pPr>
            <w:r>
              <w:rPr>
                <w:rFonts w:cs="Times New Roman"/>
              </w:rPr>
              <w:t>98,9</w:t>
            </w:r>
          </w:p>
        </w:tc>
        <w:tc>
          <w:tcPr>
            <w:tcW w:w="1224" w:type="dxa"/>
            <w:vAlign w:val="top"/>
          </w:tcPr>
          <w:p w:rsidR="005C2091" w:rsidRDefault="00A86293">
            <w:pPr>
              <w:pStyle w:val="CellColumn"/>
              <w:jc w:val="right"/>
            </w:pPr>
            <w:r>
              <w:rPr>
                <w:rFonts w:cs="Times New Roman"/>
              </w:rPr>
              <w:t>81,9</w:t>
            </w:r>
          </w:p>
        </w:tc>
      </w:tr>
      <w:tr w:rsidR="005C2091">
        <w:trPr>
          <w:jc w:val="center"/>
        </w:trPr>
        <w:tc>
          <w:tcPr>
            <w:tcW w:w="1632" w:type="dxa"/>
            <w:vAlign w:val="top"/>
          </w:tcPr>
          <w:p w:rsidR="005C2091" w:rsidRDefault="00A86293">
            <w:pPr>
              <w:pStyle w:val="CellColumn"/>
              <w:jc w:val="left"/>
            </w:pPr>
            <w:r>
              <w:rPr>
                <w:rFonts w:cs="Times New Roman"/>
              </w:rPr>
              <w:t>02510-Carinska uprava</w:t>
            </w:r>
          </w:p>
        </w:tc>
        <w:tc>
          <w:tcPr>
            <w:tcW w:w="2041" w:type="dxa"/>
            <w:vAlign w:val="top"/>
          </w:tcPr>
          <w:p w:rsidR="005C2091" w:rsidRDefault="00A86293">
            <w:pPr>
              <w:pStyle w:val="CellColumn"/>
              <w:jc w:val="right"/>
            </w:pPr>
            <w:r>
              <w:rPr>
                <w:rFonts w:cs="Times New Roman"/>
              </w:rPr>
              <w:t>538.147.021</w:t>
            </w:r>
          </w:p>
        </w:tc>
        <w:tc>
          <w:tcPr>
            <w:tcW w:w="2041" w:type="dxa"/>
            <w:vAlign w:val="top"/>
          </w:tcPr>
          <w:p w:rsidR="005C2091" w:rsidRDefault="00A86293">
            <w:pPr>
              <w:pStyle w:val="CellColumn"/>
              <w:jc w:val="right"/>
            </w:pPr>
            <w:r>
              <w:rPr>
                <w:rFonts w:cs="Times New Roman"/>
              </w:rPr>
              <w:t>548.702.477</w:t>
            </w:r>
          </w:p>
        </w:tc>
        <w:tc>
          <w:tcPr>
            <w:tcW w:w="2041" w:type="dxa"/>
            <w:vAlign w:val="top"/>
          </w:tcPr>
          <w:p w:rsidR="005C2091" w:rsidRDefault="00A86293">
            <w:pPr>
              <w:pStyle w:val="CellColumn"/>
              <w:jc w:val="right"/>
            </w:pPr>
            <w:r>
              <w:rPr>
                <w:rFonts w:cs="Times New Roman"/>
              </w:rPr>
              <w:t>544.611.283</w:t>
            </w:r>
          </w:p>
        </w:tc>
        <w:tc>
          <w:tcPr>
            <w:tcW w:w="1224" w:type="dxa"/>
            <w:vAlign w:val="top"/>
          </w:tcPr>
          <w:p w:rsidR="005C2091" w:rsidRDefault="00A86293">
            <w:pPr>
              <w:pStyle w:val="CellColumn"/>
              <w:jc w:val="right"/>
            </w:pPr>
            <w:r>
              <w:rPr>
                <w:rFonts w:cs="Times New Roman"/>
              </w:rPr>
              <w:t>99,3</w:t>
            </w:r>
          </w:p>
        </w:tc>
        <w:tc>
          <w:tcPr>
            <w:tcW w:w="1224" w:type="dxa"/>
            <w:vAlign w:val="top"/>
          </w:tcPr>
          <w:p w:rsidR="005C2091" w:rsidRDefault="00A86293">
            <w:pPr>
              <w:pStyle w:val="CellColumn"/>
              <w:jc w:val="right"/>
            </w:pPr>
            <w:r>
              <w:rPr>
                <w:rFonts w:cs="Times New Roman"/>
              </w:rPr>
              <w:t>101,2</w:t>
            </w:r>
          </w:p>
        </w:tc>
      </w:tr>
      <w:tr w:rsidR="005C2091">
        <w:trPr>
          <w:jc w:val="center"/>
        </w:trPr>
        <w:tc>
          <w:tcPr>
            <w:tcW w:w="1632" w:type="dxa"/>
            <w:vAlign w:val="top"/>
          </w:tcPr>
          <w:p w:rsidR="005C2091" w:rsidRDefault="00A86293">
            <w:pPr>
              <w:pStyle w:val="CellColumn"/>
              <w:jc w:val="left"/>
            </w:pPr>
            <w:r>
              <w:rPr>
                <w:rFonts w:cs="Times New Roman"/>
              </w:rPr>
              <w:t>02515-Porezna uprava</w:t>
            </w:r>
          </w:p>
        </w:tc>
        <w:tc>
          <w:tcPr>
            <w:tcW w:w="2041" w:type="dxa"/>
            <w:vAlign w:val="top"/>
          </w:tcPr>
          <w:p w:rsidR="005C2091" w:rsidRDefault="00A86293">
            <w:pPr>
              <w:pStyle w:val="CellColumn"/>
              <w:jc w:val="right"/>
            </w:pPr>
            <w:r>
              <w:rPr>
                <w:rFonts w:cs="Times New Roman"/>
              </w:rPr>
              <w:t>791.880.653</w:t>
            </w:r>
          </w:p>
        </w:tc>
        <w:tc>
          <w:tcPr>
            <w:tcW w:w="2041" w:type="dxa"/>
            <w:vAlign w:val="top"/>
          </w:tcPr>
          <w:p w:rsidR="005C2091" w:rsidRDefault="00A86293">
            <w:pPr>
              <w:pStyle w:val="CellColumn"/>
              <w:jc w:val="right"/>
            </w:pPr>
            <w:r>
              <w:rPr>
                <w:rFonts w:cs="Times New Roman"/>
              </w:rPr>
              <w:t>841.320.833</w:t>
            </w:r>
          </w:p>
        </w:tc>
        <w:tc>
          <w:tcPr>
            <w:tcW w:w="2041" w:type="dxa"/>
            <w:vAlign w:val="top"/>
          </w:tcPr>
          <w:p w:rsidR="005C2091" w:rsidRDefault="00A86293">
            <w:pPr>
              <w:pStyle w:val="CellColumn"/>
              <w:jc w:val="right"/>
            </w:pPr>
            <w:r>
              <w:rPr>
                <w:rFonts w:cs="Times New Roman"/>
              </w:rPr>
              <w:t>789.621.001</w:t>
            </w:r>
          </w:p>
        </w:tc>
        <w:tc>
          <w:tcPr>
            <w:tcW w:w="1224" w:type="dxa"/>
            <w:vAlign w:val="top"/>
          </w:tcPr>
          <w:p w:rsidR="005C2091" w:rsidRDefault="00A86293">
            <w:pPr>
              <w:pStyle w:val="CellColumn"/>
              <w:jc w:val="right"/>
            </w:pPr>
            <w:r>
              <w:rPr>
                <w:rFonts w:cs="Times New Roman"/>
              </w:rPr>
              <w:t>93,9</w:t>
            </w:r>
          </w:p>
        </w:tc>
        <w:tc>
          <w:tcPr>
            <w:tcW w:w="1224" w:type="dxa"/>
            <w:vAlign w:val="top"/>
          </w:tcPr>
          <w:p w:rsidR="005C2091" w:rsidRDefault="00A86293">
            <w:pPr>
              <w:pStyle w:val="CellColumn"/>
              <w:jc w:val="right"/>
            </w:pPr>
            <w:r>
              <w:rPr>
                <w:rFonts w:cs="Times New Roman"/>
              </w:rPr>
              <w:t>99,7</w:t>
            </w:r>
          </w:p>
        </w:tc>
      </w:tr>
      <w:tr w:rsidR="005C2091">
        <w:trPr>
          <w:jc w:val="center"/>
        </w:trPr>
        <w:tc>
          <w:tcPr>
            <w:tcW w:w="1632" w:type="dxa"/>
            <w:vAlign w:val="top"/>
          </w:tcPr>
          <w:p w:rsidR="005C2091" w:rsidRDefault="00A86293">
            <w:pPr>
              <w:pStyle w:val="CellColumn"/>
              <w:jc w:val="left"/>
            </w:pPr>
            <w:r>
              <w:rPr>
                <w:rFonts w:cs="Times New Roman"/>
              </w:rPr>
              <w:t>02540-Agencija za reviziju sustava provedbe programa Europske unije</w:t>
            </w:r>
          </w:p>
        </w:tc>
        <w:tc>
          <w:tcPr>
            <w:tcW w:w="2041" w:type="dxa"/>
            <w:vAlign w:val="top"/>
          </w:tcPr>
          <w:p w:rsidR="005C2091" w:rsidRDefault="00A86293">
            <w:pPr>
              <w:pStyle w:val="CellColumn"/>
              <w:jc w:val="right"/>
            </w:pPr>
            <w:r>
              <w:rPr>
                <w:rFonts w:cs="Times New Roman"/>
              </w:rPr>
              <w:t>12.696.751</w:t>
            </w:r>
          </w:p>
        </w:tc>
        <w:tc>
          <w:tcPr>
            <w:tcW w:w="2041" w:type="dxa"/>
            <w:vAlign w:val="top"/>
          </w:tcPr>
          <w:p w:rsidR="005C2091" w:rsidRDefault="00A86293">
            <w:pPr>
              <w:pStyle w:val="CellColumn"/>
              <w:jc w:val="right"/>
            </w:pPr>
            <w:r>
              <w:rPr>
                <w:rFonts w:cs="Times New Roman"/>
              </w:rPr>
              <w:t>20.017.150</w:t>
            </w:r>
          </w:p>
        </w:tc>
        <w:tc>
          <w:tcPr>
            <w:tcW w:w="2041" w:type="dxa"/>
            <w:vAlign w:val="top"/>
          </w:tcPr>
          <w:p w:rsidR="005C2091" w:rsidRDefault="00A86293">
            <w:pPr>
              <w:pStyle w:val="CellColumn"/>
              <w:jc w:val="right"/>
            </w:pPr>
            <w:r>
              <w:rPr>
                <w:rFonts w:cs="Times New Roman"/>
              </w:rPr>
              <w:t>17.401.145</w:t>
            </w:r>
          </w:p>
        </w:tc>
        <w:tc>
          <w:tcPr>
            <w:tcW w:w="1224" w:type="dxa"/>
            <w:vAlign w:val="top"/>
          </w:tcPr>
          <w:p w:rsidR="005C2091" w:rsidRDefault="00A86293">
            <w:pPr>
              <w:pStyle w:val="CellColumn"/>
              <w:jc w:val="right"/>
            </w:pPr>
            <w:r>
              <w:rPr>
                <w:rFonts w:cs="Times New Roman"/>
              </w:rPr>
              <w:t>86,9</w:t>
            </w:r>
          </w:p>
        </w:tc>
        <w:tc>
          <w:tcPr>
            <w:tcW w:w="1224" w:type="dxa"/>
            <w:vAlign w:val="top"/>
          </w:tcPr>
          <w:p w:rsidR="005C2091" w:rsidRDefault="00A86293">
            <w:pPr>
              <w:pStyle w:val="CellColumn"/>
              <w:jc w:val="right"/>
            </w:pPr>
            <w:r>
              <w:rPr>
                <w:rFonts w:cs="Times New Roman"/>
              </w:rPr>
              <w:t>137,1</w:t>
            </w:r>
          </w:p>
        </w:tc>
      </w:tr>
      <w:tr w:rsidR="005C2091">
        <w:trPr>
          <w:jc w:val="center"/>
        </w:trPr>
        <w:tc>
          <w:tcPr>
            <w:tcW w:w="1632" w:type="dxa"/>
            <w:vAlign w:val="top"/>
          </w:tcPr>
          <w:p w:rsidR="005C2091" w:rsidRDefault="00A86293">
            <w:pPr>
              <w:pStyle w:val="CellColumn"/>
              <w:jc w:val="left"/>
            </w:pPr>
            <w:r>
              <w:rPr>
                <w:rFonts w:cs="Times New Roman"/>
              </w:rPr>
              <w:t>02545-Fond za naknadu oduzete imovine</w:t>
            </w:r>
          </w:p>
        </w:tc>
        <w:tc>
          <w:tcPr>
            <w:tcW w:w="2041" w:type="dxa"/>
            <w:vAlign w:val="top"/>
          </w:tcPr>
          <w:p w:rsidR="005C2091" w:rsidRDefault="00A86293">
            <w:pPr>
              <w:pStyle w:val="CellColumn"/>
              <w:jc w:val="right"/>
            </w:pPr>
            <w:r>
              <w:rPr>
                <w:rFonts w:cs="Times New Roman"/>
              </w:rPr>
              <w:t>173.410.556</w:t>
            </w:r>
          </w:p>
        </w:tc>
        <w:tc>
          <w:tcPr>
            <w:tcW w:w="2041" w:type="dxa"/>
            <w:vAlign w:val="top"/>
          </w:tcPr>
          <w:p w:rsidR="005C2091" w:rsidRDefault="00A86293">
            <w:pPr>
              <w:pStyle w:val="CellColumn"/>
              <w:jc w:val="right"/>
            </w:pPr>
            <w:r>
              <w:rPr>
                <w:rFonts w:cs="Times New Roman"/>
              </w:rPr>
              <w:t>161.677.280</w:t>
            </w:r>
          </w:p>
        </w:tc>
        <w:tc>
          <w:tcPr>
            <w:tcW w:w="2041" w:type="dxa"/>
            <w:vAlign w:val="top"/>
          </w:tcPr>
          <w:p w:rsidR="005C2091" w:rsidRDefault="00A86293">
            <w:pPr>
              <w:pStyle w:val="CellColumn"/>
              <w:jc w:val="right"/>
            </w:pPr>
            <w:r>
              <w:rPr>
                <w:rFonts w:cs="Times New Roman"/>
              </w:rPr>
              <w:t>158.504.545</w:t>
            </w:r>
          </w:p>
        </w:tc>
        <w:tc>
          <w:tcPr>
            <w:tcW w:w="1224" w:type="dxa"/>
            <w:vAlign w:val="top"/>
          </w:tcPr>
          <w:p w:rsidR="005C2091" w:rsidRDefault="00A86293">
            <w:pPr>
              <w:pStyle w:val="CellColumn"/>
              <w:jc w:val="right"/>
            </w:pPr>
            <w:r>
              <w:rPr>
                <w:rFonts w:cs="Times New Roman"/>
              </w:rPr>
              <w:t>98,0</w:t>
            </w:r>
          </w:p>
        </w:tc>
        <w:tc>
          <w:tcPr>
            <w:tcW w:w="1224" w:type="dxa"/>
            <w:vAlign w:val="top"/>
          </w:tcPr>
          <w:p w:rsidR="005C2091" w:rsidRDefault="00A86293">
            <w:pPr>
              <w:pStyle w:val="CellColumn"/>
              <w:jc w:val="right"/>
            </w:pPr>
            <w:r>
              <w:rPr>
                <w:rFonts w:cs="Times New Roman"/>
              </w:rPr>
              <w:t>91,4</w:t>
            </w:r>
          </w:p>
        </w:tc>
      </w:tr>
      <w:tr w:rsidR="005C2091">
        <w:trPr>
          <w:jc w:val="center"/>
        </w:trPr>
        <w:tc>
          <w:tcPr>
            <w:tcW w:w="1632" w:type="dxa"/>
            <w:vAlign w:val="top"/>
          </w:tcPr>
          <w:p w:rsidR="005C2091" w:rsidRDefault="00A86293">
            <w:pPr>
              <w:pStyle w:val="CellColumn"/>
              <w:jc w:val="left"/>
            </w:pPr>
            <w:r>
              <w:rPr>
                <w:rFonts w:cs="Times New Roman"/>
              </w:rPr>
              <w:t>02550-Odbori iz nadležnosti Ministarstva financija</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910.000</w:t>
            </w:r>
          </w:p>
        </w:tc>
        <w:tc>
          <w:tcPr>
            <w:tcW w:w="2041" w:type="dxa"/>
            <w:vAlign w:val="top"/>
          </w:tcPr>
          <w:p w:rsidR="005C2091" w:rsidRDefault="00A86293">
            <w:pPr>
              <w:pStyle w:val="CellColumn"/>
              <w:jc w:val="right"/>
            </w:pPr>
            <w:r>
              <w:rPr>
                <w:rFonts w:cs="Times New Roman"/>
              </w:rPr>
              <w:t>800.953</w:t>
            </w:r>
          </w:p>
        </w:tc>
        <w:tc>
          <w:tcPr>
            <w:tcW w:w="1224" w:type="dxa"/>
            <w:vAlign w:val="top"/>
          </w:tcPr>
          <w:p w:rsidR="005C2091" w:rsidRDefault="00A86293">
            <w:pPr>
              <w:pStyle w:val="CellColumn"/>
              <w:jc w:val="right"/>
            </w:pPr>
            <w:r>
              <w:rPr>
                <w:rFonts w:cs="Times New Roman"/>
              </w:rPr>
              <w:t>88,0</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shd w:val="clear" w:color="auto" w:fill="B5C0D8"/>
          </w:tcPr>
          <w:p w:rsidR="005C2091" w:rsidRDefault="00A86293">
            <w:pPr>
              <w:pStyle w:val="CellColumn"/>
              <w:jc w:val="left"/>
            </w:pPr>
            <w:r>
              <w:rPr>
                <w:rFonts w:cs="Times New Roman"/>
              </w:rPr>
              <w:t>Ukupno 025-MINISTARSTVO FINANCIJA</w:t>
            </w:r>
          </w:p>
        </w:tc>
        <w:tc>
          <w:tcPr>
            <w:tcW w:w="2041" w:type="dxa"/>
            <w:shd w:val="clear" w:color="auto" w:fill="B5C0D8"/>
          </w:tcPr>
          <w:p w:rsidR="005C2091" w:rsidRDefault="00A86293">
            <w:pPr>
              <w:pStyle w:val="CellColumn"/>
              <w:jc w:val="right"/>
            </w:pPr>
            <w:r>
              <w:rPr>
                <w:rFonts w:cs="Times New Roman"/>
              </w:rPr>
              <w:t>43.654.962.244</w:t>
            </w:r>
          </w:p>
        </w:tc>
        <w:tc>
          <w:tcPr>
            <w:tcW w:w="2041" w:type="dxa"/>
            <w:shd w:val="clear" w:color="auto" w:fill="B5C0D8"/>
          </w:tcPr>
          <w:p w:rsidR="005C2091" w:rsidRDefault="00A86293">
            <w:pPr>
              <w:pStyle w:val="CellColumn"/>
              <w:jc w:val="right"/>
            </w:pPr>
            <w:r>
              <w:rPr>
                <w:rFonts w:cs="Times New Roman"/>
              </w:rPr>
              <w:t>36.546.887.449</w:t>
            </w:r>
          </w:p>
        </w:tc>
        <w:tc>
          <w:tcPr>
            <w:tcW w:w="2041" w:type="dxa"/>
            <w:shd w:val="clear" w:color="auto" w:fill="B5C0D8"/>
          </w:tcPr>
          <w:p w:rsidR="005C2091" w:rsidRDefault="00A86293">
            <w:pPr>
              <w:pStyle w:val="CellColumn"/>
              <w:jc w:val="right"/>
            </w:pPr>
            <w:r>
              <w:rPr>
                <w:rFonts w:cs="Times New Roman"/>
              </w:rPr>
              <w:t>36.047.847.491</w:t>
            </w:r>
          </w:p>
        </w:tc>
        <w:tc>
          <w:tcPr>
            <w:tcW w:w="1224" w:type="dxa"/>
            <w:shd w:val="clear" w:color="auto" w:fill="B5C0D8"/>
          </w:tcPr>
          <w:p w:rsidR="005C2091" w:rsidRDefault="00A86293">
            <w:pPr>
              <w:pStyle w:val="CellColumn"/>
              <w:jc w:val="right"/>
            </w:pPr>
            <w:r>
              <w:rPr>
                <w:rFonts w:cs="Times New Roman"/>
              </w:rPr>
              <w:t>98,6</w:t>
            </w:r>
          </w:p>
        </w:tc>
        <w:tc>
          <w:tcPr>
            <w:tcW w:w="1224" w:type="dxa"/>
            <w:shd w:val="clear" w:color="auto" w:fill="B5C0D8"/>
          </w:tcPr>
          <w:p w:rsidR="005C2091" w:rsidRDefault="00A86293">
            <w:pPr>
              <w:pStyle w:val="CellColumn"/>
              <w:jc w:val="right"/>
            </w:pPr>
            <w:r>
              <w:rPr>
                <w:rFonts w:cs="Times New Roman"/>
              </w:rPr>
              <w:t>82,6</w:t>
            </w:r>
          </w:p>
        </w:tc>
      </w:tr>
    </w:tbl>
    <w:p w:rsidR="005C2091" w:rsidRDefault="005C2091">
      <w:pPr>
        <w:jc w:val="left"/>
      </w:pPr>
    </w:p>
    <w:p w:rsidR="005C2091" w:rsidRDefault="00A86293">
      <w:pPr>
        <w:pStyle w:val="Heading2"/>
      </w:pPr>
      <w:r>
        <w:t>02505 Ministarstvo financija</w:t>
      </w:r>
    </w:p>
    <w:p w:rsidR="005C2091" w:rsidRDefault="00A86293">
      <w:r>
        <w:t>Unutar svog djelokruga Ministarstvo financija u užem smislu nadležno je za poslove koji se odnose na: analize i prognoze makroekonomskih kretanja; pripremu, konsolidaciju i izvršavanje državnog proračuna; upravljanje portfeljem javnog duga; suradnju s međunarodnim financijskim institucijama; praćenje kretanja i unapređenje financijskog sustava; razvoj, unapređenje i koordinaciju sustava politike koncesija; sprečavanje pranja novca i financijskog terorizma; nadzor i inspekcijske poslove u području poreza, carina i drugih javnih prihoda; devizno i vanjskotrgovinsko poslovanje; izgradnju i održavanje graničnih prijelaza; uspostavu i razvoj sustava unutarnjih financijskih kontrola u javnom sektoru na državnoj i lokalnim razinama; financijsko upravljanje u okviru decentraliziranog sustava provedbe pomoći Europske zajednice Republici Hrvatskoj.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02505-Ministarstvo financija</w:t>
            </w:r>
          </w:p>
        </w:tc>
        <w:tc>
          <w:tcPr>
            <w:tcW w:w="2041" w:type="dxa"/>
            <w:vAlign w:val="top"/>
          </w:tcPr>
          <w:p w:rsidR="005C2091" w:rsidRDefault="00A86293">
            <w:pPr>
              <w:pStyle w:val="CellColumn"/>
              <w:jc w:val="right"/>
            </w:pPr>
            <w:r>
              <w:rPr>
                <w:rFonts w:cs="Times New Roman"/>
              </w:rPr>
              <w:t>270.102.048</w:t>
            </w:r>
          </w:p>
        </w:tc>
        <w:tc>
          <w:tcPr>
            <w:tcW w:w="2041" w:type="dxa"/>
            <w:vAlign w:val="top"/>
          </w:tcPr>
          <w:p w:rsidR="005C2091" w:rsidRDefault="00A86293">
            <w:pPr>
              <w:pStyle w:val="CellColumn"/>
              <w:jc w:val="right"/>
            </w:pPr>
            <w:r>
              <w:rPr>
                <w:rFonts w:cs="Times New Roman"/>
              </w:rPr>
              <w:t>305.980.000</w:t>
            </w:r>
          </w:p>
        </w:tc>
        <w:tc>
          <w:tcPr>
            <w:tcW w:w="2041" w:type="dxa"/>
            <w:vAlign w:val="top"/>
          </w:tcPr>
          <w:p w:rsidR="005C2091" w:rsidRDefault="00A86293">
            <w:pPr>
              <w:pStyle w:val="CellColumn"/>
              <w:jc w:val="right"/>
            </w:pPr>
            <w:r>
              <w:rPr>
                <w:rFonts w:cs="Times New Roman"/>
              </w:rPr>
              <w:t>260.165.146</w:t>
            </w:r>
          </w:p>
        </w:tc>
        <w:tc>
          <w:tcPr>
            <w:tcW w:w="1224" w:type="dxa"/>
            <w:vAlign w:val="top"/>
          </w:tcPr>
          <w:p w:rsidR="005C2091" w:rsidRDefault="00A86293">
            <w:pPr>
              <w:pStyle w:val="CellColumn"/>
              <w:jc w:val="right"/>
            </w:pPr>
            <w:r>
              <w:rPr>
                <w:rFonts w:cs="Times New Roman"/>
              </w:rPr>
              <w:t>85,0</w:t>
            </w:r>
          </w:p>
        </w:tc>
        <w:tc>
          <w:tcPr>
            <w:tcW w:w="1224" w:type="dxa"/>
            <w:vAlign w:val="top"/>
          </w:tcPr>
          <w:p w:rsidR="005C2091" w:rsidRDefault="00A86293">
            <w:pPr>
              <w:pStyle w:val="CellColumn"/>
              <w:jc w:val="right"/>
            </w:pPr>
            <w:r>
              <w:rPr>
                <w:rFonts w:cs="Times New Roman"/>
              </w:rPr>
              <w:t>96,3</w:t>
            </w:r>
          </w:p>
        </w:tc>
      </w:tr>
      <w:tr w:rsidR="005C2091">
        <w:trPr>
          <w:jc w:val="center"/>
        </w:trPr>
        <w:tc>
          <w:tcPr>
            <w:tcW w:w="1632" w:type="dxa"/>
          </w:tcPr>
          <w:p w:rsidR="005C2091" w:rsidRDefault="00A86293">
            <w:pPr>
              <w:jc w:val="left"/>
            </w:pPr>
            <w:r>
              <w:t>2203-UPRAVLJANJE SUSTAVOM JAVNIH FINANCIJA</w:t>
            </w:r>
          </w:p>
        </w:tc>
        <w:tc>
          <w:tcPr>
            <w:tcW w:w="2041" w:type="dxa"/>
          </w:tcPr>
          <w:p w:rsidR="005C2091" w:rsidRDefault="00A86293">
            <w:pPr>
              <w:jc w:val="right"/>
            </w:pPr>
            <w:r>
              <w:t>98.081.593</w:t>
            </w:r>
          </w:p>
        </w:tc>
        <w:tc>
          <w:tcPr>
            <w:tcW w:w="2041" w:type="dxa"/>
          </w:tcPr>
          <w:p w:rsidR="005C2091" w:rsidRDefault="00A86293">
            <w:pPr>
              <w:jc w:val="right"/>
            </w:pPr>
            <w:r>
              <w:t>114.510.000</w:t>
            </w:r>
          </w:p>
        </w:tc>
        <w:tc>
          <w:tcPr>
            <w:tcW w:w="2041" w:type="dxa"/>
          </w:tcPr>
          <w:p w:rsidR="005C2091" w:rsidRDefault="00A86293">
            <w:pPr>
              <w:jc w:val="right"/>
            </w:pPr>
            <w:r>
              <w:t>92.331.921</w:t>
            </w:r>
          </w:p>
        </w:tc>
        <w:tc>
          <w:tcPr>
            <w:tcW w:w="1224" w:type="dxa"/>
          </w:tcPr>
          <w:p w:rsidR="005C2091" w:rsidRDefault="00A86293">
            <w:pPr>
              <w:jc w:val="right"/>
            </w:pPr>
            <w:r>
              <w:t>80,6</w:t>
            </w:r>
          </w:p>
        </w:tc>
        <w:tc>
          <w:tcPr>
            <w:tcW w:w="1224" w:type="dxa"/>
          </w:tcPr>
          <w:p w:rsidR="005C2091" w:rsidRDefault="00A86293">
            <w:pPr>
              <w:jc w:val="right"/>
            </w:pPr>
            <w:r>
              <w:t>94,1</w:t>
            </w:r>
          </w:p>
        </w:tc>
      </w:tr>
      <w:tr w:rsidR="005C2091">
        <w:trPr>
          <w:jc w:val="center"/>
        </w:trPr>
        <w:tc>
          <w:tcPr>
            <w:tcW w:w="1632" w:type="dxa"/>
          </w:tcPr>
          <w:p w:rsidR="005C2091" w:rsidRDefault="00A86293">
            <w:pPr>
              <w:jc w:val="left"/>
            </w:pPr>
            <w:r>
              <w:t>2207-DJELATNOST CARINSKOG I POREZNOG SUSTAVA</w:t>
            </w:r>
          </w:p>
        </w:tc>
        <w:tc>
          <w:tcPr>
            <w:tcW w:w="2041" w:type="dxa"/>
          </w:tcPr>
          <w:p w:rsidR="005C2091" w:rsidRDefault="00A86293">
            <w:pPr>
              <w:jc w:val="right"/>
            </w:pPr>
            <w:r>
              <w:t>172.020.456</w:t>
            </w:r>
          </w:p>
        </w:tc>
        <w:tc>
          <w:tcPr>
            <w:tcW w:w="2041" w:type="dxa"/>
          </w:tcPr>
          <w:p w:rsidR="005C2091" w:rsidRDefault="00A86293">
            <w:pPr>
              <w:jc w:val="right"/>
            </w:pPr>
            <w:r>
              <w:t>191.470.000</w:t>
            </w:r>
          </w:p>
        </w:tc>
        <w:tc>
          <w:tcPr>
            <w:tcW w:w="2041" w:type="dxa"/>
          </w:tcPr>
          <w:p w:rsidR="005C2091" w:rsidRDefault="00A86293">
            <w:pPr>
              <w:jc w:val="right"/>
            </w:pPr>
            <w:r>
              <w:t>167.833.225</w:t>
            </w:r>
          </w:p>
        </w:tc>
        <w:tc>
          <w:tcPr>
            <w:tcW w:w="1224" w:type="dxa"/>
          </w:tcPr>
          <w:p w:rsidR="005C2091" w:rsidRDefault="00A86293">
            <w:pPr>
              <w:jc w:val="right"/>
            </w:pPr>
            <w:r>
              <w:t>87,7</w:t>
            </w:r>
          </w:p>
        </w:tc>
        <w:tc>
          <w:tcPr>
            <w:tcW w:w="1224" w:type="dxa"/>
          </w:tcPr>
          <w:p w:rsidR="005C2091" w:rsidRDefault="00A86293">
            <w:pPr>
              <w:jc w:val="right"/>
            </w:pPr>
            <w:r>
              <w:t>97,6</w:t>
            </w:r>
          </w:p>
        </w:tc>
      </w:tr>
    </w:tbl>
    <w:p w:rsidR="005C2091" w:rsidRDefault="005C2091">
      <w:pPr>
        <w:jc w:val="left"/>
      </w:pPr>
    </w:p>
    <w:p w:rsidR="005C2091" w:rsidRDefault="00A86293">
      <w:pPr>
        <w:pStyle w:val="Heading3"/>
      </w:pPr>
      <w:r>
        <w:rPr>
          <w:rFonts w:cs="Times New Roman"/>
        </w:rPr>
        <w:t>2203 UPRAVLJANJE SUSTAVOM JAVNIH FINANCIJA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2203-UPRAVLJANJE SUSTAVOM JAVNIH FINANCIJA</w:t>
            </w:r>
          </w:p>
        </w:tc>
        <w:tc>
          <w:tcPr>
            <w:tcW w:w="2041" w:type="dxa"/>
          </w:tcPr>
          <w:p w:rsidR="005C2091" w:rsidRDefault="00A86293">
            <w:pPr>
              <w:pStyle w:val="CellColumn"/>
              <w:jc w:val="right"/>
            </w:pPr>
            <w:r>
              <w:rPr>
                <w:rFonts w:cs="Times New Roman"/>
              </w:rPr>
              <w:t>98.081.593</w:t>
            </w:r>
          </w:p>
        </w:tc>
        <w:tc>
          <w:tcPr>
            <w:tcW w:w="2041" w:type="dxa"/>
          </w:tcPr>
          <w:p w:rsidR="005C2091" w:rsidRDefault="00A86293">
            <w:pPr>
              <w:pStyle w:val="CellColumn"/>
              <w:jc w:val="right"/>
            </w:pPr>
            <w:r>
              <w:rPr>
                <w:rFonts w:cs="Times New Roman"/>
              </w:rPr>
              <w:t>114.510.000</w:t>
            </w:r>
          </w:p>
        </w:tc>
        <w:tc>
          <w:tcPr>
            <w:tcW w:w="2041" w:type="dxa"/>
          </w:tcPr>
          <w:p w:rsidR="005C2091" w:rsidRDefault="00A86293">
            <w:pPr>
              <w:pStyle w:val="CellColumn"/>
              <w:jc w:val="right"/>
            </w:pPr>
            <w:r>
              <w:rPr>
                <w:rFonts w:cs="Times New Roman"/>
              </w:rPr>
              <w:t>92.331.921</w:t>
            </w:r>
          </w:p>
        </w:tc>
        <w:tc>
          <w:tcPr>
            <w:tcW w:w="1224" w:type="dxa"/>
          </w:tcPr>
          <w:p w:rsidR="005C2091" w:rsidRDefault="00A86293">
            <w:pPr>
              <w:pStyle w:val="CellColumn"/>
              <w:jc w:val="right"/>
            </w:pPr>
            <w:r>
              <w:rPr>
                <w:rFonts w:cs="Times New Roman"/>
              </w:rPr>
              <w:t>80,6</w:t>
            </w:r>
          </w:p>
        </w:tc>
        <w:tc>
          <w:tcPr>
            <w:tcW w:w="1224" w:type="dxa"/>
          </w:tcPr>
          <w:p w:rsidR="005C2091" w:rsidRDefault="00A86293">
            <w:pPr>
              <w:pStyle w:val="CellColumn"/>
              <w:jc w:val="right"/>
            </w:pPr>
            <w:r>
              <w:rPr>
                <w:rFonts w:cs="Times New Roman"/>
              </w:rPr>
              <w:t>94,1</w:t>
            </w:r>
          </w:p>
        </w:tc>
      </w:tr>
    </w:tbl>
    <w:p w:rsidR="005C2091" w:rsidRDefault="005C2091">
      <w:pPr>
        <w:jc w:val="left"/>
      </w:pPr>
    </w:p>
    <w:p w:rsidR="005C2091" w:rsidRDefault="00A86293">
      <w:r>
        <w:t>Cilj ovog programa je učinkovito upravljanje proračunskim sredstvima što se postiže kroz kontinuirano unapređenje proračunskih procesa i sustava za upravljanje financijama proračunskih korisnika, fiskalnu konsolidaciju i učinkovito upravljanje javnim dugom, jačanje sustava unutarnjih financijskih kontrola i unutarnje revizije, razvoj makroekonomske statistike te jačanje kapaciteta za korištenje fondova Europske unije. Kontinuiranim unapređenjem upravljanja javnim financijama osigurati će se sveukupna fiskalna disciplina koja je neophodna za makroekonomsku stabilnost, održivost postojećih programa i politike javnog duga te učinkovita alokacija resursa u skladu sa strateškim prioritetim.</w:t>
      </w:r>
    </w:p>
    <w:p w:rsidR="005C2091" w:rsidRDefault="00A86293">
      <w:pPr>
        <w:pStyle w:val="Heading4"/>
      </w:pPr>
      <w:r>
        <w:t>K113290 RAZVOJ SUSTAVA DRŽAVNE RIZNICE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K113290-RAZVOJ SUSTAVA DRŽAVNE RIZNICE</w:t>
            </w:r>
          </w:p>
        </w:tc>
        <w:tc>
          <w:tcPr>
            <w:tcW w:w="2041" w:type="dxa"/>
          </w:tcPr>
          <w:p w:rsidR="005C2091" w:rsidRDefault="00A86293">
            <w:pPr>
              <w:pStyle w:val="CellColumn"/>
              <w:jc w:val="right"/>
            </w:pPr>
            <w:r>
              <w:rPr>
                <w:rFonts w:cs="Times New Roman"/>
              </w:rPr>
              <w:t>10.602.509</w:t>
            </w:r>
          </w:p>
        </w:tc>
        <w:tc>
          <w:tcPr>
            <w:tcW w:w="2041" w:type="dxa"/>
          </w:tcPr>
          <w:p w:rsidR="005C2091" w:rsidRDefault="00A86293">
            <w:pPr>
              <w:pStyle w:val="CellColumn"/>
              <w:jc w:val="right"/>
            </w:pPr>
            <w:r>
              <w:rPr>
                <w:rFonts w:cs="Times New Roman"/>
              </w:rPr>
              <w:t>16.305.000</w:t>
            </w:r>
          </w:p>
        </w:tc>
        <w:tc>
          <w:tcPr>
            <w:tcW w:w="2041" w:type="dxa"/>
          </w:tcPr>
          <w:p w:rsidR="005C2091" w:rsidRDefault="00A86293">
            <w:pPr>
              <w:pStyle w:val="CellColumn"/>
              <w:jc w:val="right"/>
            </w:pPr>
            <w:r>
              <w:rPr>
                <w:rFonts w:cs="Times New Roman"/>
              </w:rPr>
              <w:t>11.092.725</w:t>
            </w:r>
          </w:p>
        </w:tc>
        <w:tc>
          <w:tcPr>
            <w:tcW w:w="1224" w:type="dxa"/>
          </w:tcPr>
          <w:p w:rsidR="005C2091" w:rsidRDefault="00A86293">
            <w:pPr>
              <w:pStyle w:val="CellColumn"/>
              <w:jc w:val="right"/>
            </w:pPr>
            <w:r>
              <w:rPr>
                <w:rFonts w:cs="Times New Roman"/>
              </w:rPr>
              <w:t>68,0</w:t>
            </w:r>
          </w:p>
        </w:tc>
        <w:tc>
          <w:tcPr>
            <w:tcW w:w="1224" w:type="dxa"/>
          </w:tcPr>
          <w:p w:rsidR="005C2091" w:rsidRDefault="00A86293">
            <w:pPr>
              <w:pStyle w:val="CellColumn"/>
              <w:jc w:val="right"/>
            </w:pPr>
            <w:r>
              <w:rPr>
                <w:rFonts w:cs="Times New Roman"/>
              </w:rPr>
              <w:t>104,6</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 Zakon o proračunu (Narodne novin</w:t>
      </w:r>
      <w:r w:rsidR="00290EC0">
        <w:t xml:space="preserve">e, br. 87/08, 136/12 i 15/15) </w:t>
      </w:r>
    </w:p>
    <w:p w:rsidR="005C2091" w:rsidRDefault="00A86293">
      <w:r>
        <w:t xml:space="preserve">- Zakon o izvršavanju Državnog proračuna Republike Hrvatske za 2016. godinu </w:t>
      </w:r>
    </w:p>
    <w:p w:rsidR="005C2091" w:rsidRDefault="00A86293">
      <w:pPr>
        <w:pStyle w:val="Heading8"/>
        <w:jc w:val="left"/>
      </w:pPr>
      <w:r>
        <w:t>Opis aktivnosti</w:t>
      </w:r>
    </w:p>
    <w:p w:rsidR="005C2091" w:rsidRDefault="00A86293">
      <w:r>
        <w:t xml:space="preserve">U 2016. godini nastavilo se s povezivanje informacijskih sustava za upravljanje financijama proračunskih korisnika sa središnjim informacijskim sustavom Državne riznice. Uključenje novih sustava realizirano je manjim opsegom od planiranog zbog promjena unutar tijela državne uprave (promjene u organizacijskoj strukturi nakon ponovljenih izbora, zaustavljeni procesi javne nabave i sl.) koje su onemogućile nastavak predviđenih aktivnosti.  </w:t>
      </w:r>
    </w:p>
    <w:p w:rsidR="005C2091" w:rsidRDefault="00A86293">
      <w:r>
        <w:t xml:space="preserve">U sklopu nastavka aktivnosti unapređenja platnog prometa s inozemstvom, nakon uspostavljene automatizacije deviznih plaćanja preko HNB-a, u 2016. godini provedena je prilagodba aplikacije za devizni platni promet propisanom SEPA formatu platnih naloga te izvršen prijelaz na produkcijski rad, u skladu sa zadanim rokovima implementacije SEPA jedinstvenog sustava platnog prometa za članice EU kojima službena valuta nije euro. Tokom 2016. godine vršene su i dorade funkcionalnosti, sukladno potrebama ključnih korisnika koji provode aktivnosti deviznog platnog prometa.  </w:t>
      </w:r>
    </w:p>
    <w:p w:rsidR="005C2091" w:rsidRDefault="00A86293">
      <w:r>
        <w:t xml:space="preserve">Nastavljena je započeta konsolidacije informatičke imovine u računskom centru FINA-e (tj. objedinjavanje opreme, aplikacijskih i sistemskih resursa informacijskog sustava Državne riznice, s ciljem povećanja efikasnosti i pouzdanosti resursa, boljeg nadzora i održavanja, te kvalitetnijeg upravljanja aplikacijama) preseljenjem web aplikacija Proračunskih klasifikacija, Proračunskih obrazloženja i Procjene financijskog učinka. Izrađena je još i aplikacija za upravljanje aplikacijskim ulogama radi jednoobraznog upravljanja autorizacijskim sustavom svih web aplikacija. </w:t>
      </w:r>
    </w:p>
    <w:p w:rsidR="005C2091" w:rsidRDefault="00A86293">
      <w:r>
        <w:t>U sklopu ove konsolodacije započete su i aktivnosti s ciljem preseljenja FMIS Gateway-a iz sistem sale Ministarstva financija u računski centar FINA-e (proveden javni natječaj, sklopljen ugovor i tripartitni sporazum odabranog izvođača (IBM),  FINA-e i Ministarstva financija kojim se definiraju ovlaštenja, dužnosti i načina rada za vrijeme planiranog zahvata).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 xml:space="preserve">Povećanje broja uključenih    </w:t>
            </w:r>
          </w:p>
          <w:p w:rsidR="005C2091" w:rsidRDefault="00A86293">
            <w:pPr>
              <w:pStyle w:val="CellColumn"/>
              <w:jc w:val="left"/>
            </w:pPr>
            <w:r>
              <w:rPr>
                <w:rFonts w:cs="Times New Roman"/>
              </w:rPr>
              <w:t xml:space="preserve">tijela u jedinstveni informacijski sustav    </w:t>
            </w:r>
          </w:p>
          <w:p w:rsidR="005C2091" w:rsidRDefault="00A86293">
            <w:pPr>
              <w:pStyle w:val="CellColumn"/>
              <w:jc w:val="left"/>
            </w:pPr>
            <w:r>
              <w:rPr>
                <w:rFonts w:cs="Times New Roman"/>
              </w:rPr>
              <w:t>financijskog upravljanja (FMIS)</w:t>
            </w:r>
          </w:p>
        </w:tc>
        <w:tc>
          <w:tcPr>
            <w:tcW w:w="2551" w:type="dxa"/>
          </w:tcPr>
          <w:p w:rsidR="005C2091" w:rsidRDefault="00A86293">
            <w:pPr>
              <w:pStyle w:val="CellColumn"/>
              <w:jc w:val="left"/>
            </w:pPr>
            <w:r>
              <w:rPr>
                <w:rFonts w:cs="Times New Roman"/>
              </w:rPr>
              <w:t>Uključivanjem pojedinačnih tijela državne uprave u jedinstveni sustav doprinosi se efikasnijem upravljanju proračunskim sredstvima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17</w:t>
            </w:r>
          </w:p>
        </w:tc>
        <w:tc>
          <w:tcPr>
            <w:tcW w:w="1020" w:type="dxa"/>
          </w:tcPr>
          <w:p w:rsidR="005C2091" w:rsidRDefault="00A86293">
            <w:pPr>
              <w:pStyle w:val="CellColumn"/>
              <w:jc w:val="right"/>
            </w:pPr>
            <w:r>
              <w:rPr>
                <w:rFonts w:cs="Times New Roman"/>
              </w:rPr>
              <w:t>MFIN</w:t>
            </w:r>
          </w:p>
        </w:tc>
        <w:tc>
          <w:tcPr>
            <w:tcW w:w="1020" w:type="dxa"/>
          </w:tcPr>
          <w:p w:rsidR="005C2091" w:rsidRDefault="00A86293">
            <w:pPr>
              <w:pStyle w:val="CellColumn"/>
              <w:jc w:val="right"/>
            </w:pPr>
            <w:r>
              <w:rPr>
                <w:rFonts w:cs="Times New Roman"/>
              </w:rPr>
              <w:t>18</w:t>
            </w:r>
          </w:p>
        </w:tc>
        <w:tc>
          <w:tcPr>
            <w:tcW w:w="1020" w:type="dxa"/>
          </w:tcPr>
          <w:p w:rsidR="005C2091" w:rsidRDefault="00A86293">
            <w:pPr>
              <w:pStyle w:val="CellColumn"/>
              <w:jc w:val="right"/>
            </w:pPr>
            <w:r>
              <w:rPr>
                <w:rFonts w:cs="Times New Roman"/>
              </w:rPr>
              <w:t>21</w:t>
            </w:r>
          </w:p>
        </w:tc>
      </w:tr>
    </w:tbl>
    <w:p w:rsidR="005C2091" w:rsidRDefault="005C2091">
      <w:pPr>
        <w:jc w:val="left"/>
      </w:pPr>
    </w:p>
    <w:p w:rsidR="005C2091" w:rsidRDefault="00A86293">
      <w:pPr>
        <w:pStyle w:val="Heading3"/>
      </w:pPr>
      <w:r>
        <w:rPr>
          <w:rFonts w:cs="Times New Roman"/>
        </w:rPr>
        <w:t>2207 DJELATNOST CARINSKOG I POREZNOG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2207-DJELATNOST CARINSKOG I POREZNOG SUSTAVA</w:t>
            </w:r>
          </w:p>
        </w:tc>
        <w:tc>
          <w:tcPr>
            <w:tcW w:w="2041" w:type="dxa"/>
          </w:tcPr>
          <w:p w:rsidR="005C2091" w:rsidRDefault="00A86293">
            <w:pPr>
              <w:pStyle w:val="CellColumn"/>
              <w:jc w:val="right"/>
            </w:pPr>
            <w:r>
              <w:rPr>
                <w:rFonts w:cs="Times New Roman"/>
              </w:rPr>
              <w:t>172.020.456</w:t>
            </w:r>
          </w:p>
        </w:tc>
        <w:tc>
          <w:tcPr>
            <w:tcW w:w="2041" w:type="dxa"/>
          </w:tcPr>
          <w:p w:rsidR="005C2091" w:rsidRDefault="00A86293">
            <w:pPr>
              <w:pStyle w:val="CellColumn"/>
              <w:jc w:val="right"/>
            </w:pPr>
            <w:r>
              <w:rPr>
                <w:rFonts w:cs="Times New Roman"/>
              </w:rPr>
              <w:t>191.470.000</w:t>
            </w:r>
          </w:p>
        </w:tc>
        <w:tc>
          <w:tcPr>
            <w:tcW w:w="2041" w:type="dxa"/>
          </w:tcPr>
          <w:p w:rsidR="005C2091" w:rsidRDefault="00A86293">
            <w:pPr>
              <w:pStyle w:val="CellColumn"/>
              <w:jc w:val="right"/>
            </w:pPr>
            <w:r>
              <w:rPr>
                <w:rFonts w:cs="Times New Roman"/>
              </w:rPr>
              <w:t>167.833.225</w:t>
            </w:r>
          </w:p>
        </w:tc>
        <w:tc>
          <w:tcPr>
            <w:tcW w:w="1224" w:type="dxa"/>
          </w:tcPr>
          <w:p w:rsidR="005C2091" w:rsidRDefault="00A86293">
            <w:pPr>
              <w:pStyle w:val="CellColumn"/>
              <w:jc w:val="right"/>
            </w:pPr>
            <w:r>
              <w:rPr>
                <w:rFonts w:cs="Times New Roman"/>
              </w:rPr>
              <w:t>87,7</w:t>
            </w:r>
          </w:p>
        </w:tc>
        <w:tc>
          <w:tcPr>
            <w:tcW w:w="1224" w:type="dxa"/>
          </w:tcPr>
          <w:p w:rsidR="005C2091" w:rsidRDefault="00A86293">
            <w:pPr>
              <w:pStyle w:val="CellColumn"/>
              <w:jc w:val="right"/>
            </w:pPr>
            <w:r>
              <w:rPr>
                <w:rFonts w:cs="Times New Roman"/>
              </w:rPr>
              <w:t>97,6</w:t>
            </w:r>
          </w:p>
        </w:tc>
      </w:tr>
    </w:tbl>
    <w:p w:rsidR="005C2091" w:rsidRDefault="005C2091">
      <w:pPr>
        <w:jc w:val="left"/>
      </w:pPr>
    </w:p>
    <w:p w:rsidR="005C2091" w:rsidRDefault="00A86293">
      <w:r>
        <w:t xml:space="preserve">Program obuhvaća poslove na izgradnji, opremanju te održavanju graničnih prijelaza. Glavni je cilj programa uspostava i održavanje kvalitetnog graničnog prometa sa susjednim državama ostvarenjem kojega ovaj program </w:t>
      </w:r>
      <w:r>
        <w:lastRenderedPageBreak/>
        <w:t>pridonosi realizaciji posebnog cilja 1.3. Zaštita i sigurnost tržišta i društva kao i financijskih interesa u području carina, posebnih poreza i trošarina te olakšavanje trgovine.</w:t>
      </w:r>
    </w:p>
    <w:p w:rsidR="005C2091" w:rsidRDefault="00A86293">
      <w:pPr>
        <w:pStyle w:val="Heading8"/>
        <w:jc w:val="left"/>
      </w:pPr>
      <w:r>
        <w:t>Cilj 1. Uspostaviti i održavati kvalitetan granični promet sa susjednim državama</w:t>
      </w:r>
    </w:p>
    <w:p w:rsidR="005C2091" w:rsidRDefault="00A86293">
      <w:pPr>
        <w:pStyle w:val="Heading8"/>
        <w:jc w:val="left"/>
      </w:pPr>
      <w:r>
        <w:t>Opis provedbe cilja programa</w:t>
      </w:r>
    </w:p>
    <w:p w:rsidR="005C2091" w:rsidRDefault="00A86293">
      <w:r>
        <w:t>Sukladno Odluci Vlade Republike Hrvatske o Strategiji integriranog upravljanja granicom donesen je Akcijski plan za provedbu sustava upravljanja i kontrole za Schengenski režim kojim bi se ostvarilo osiguranje uvjeta za obavljanje granične kontrole sukladno standardima Europske unije. Akcijski plan unapređenja stanja na graničnim prijelazima i ispunjavanja obveza iz 24. Poglavlja u vezi pristupanja Europskoj uniji sadrži četrdeset lokacija graničnih prijelaza koje je potrebno uskladiti sa traženim standardima te sadrži aktivnosti koje je potrebno provesti s definiranim rokovima za njihovu realizaciju. Sukladno Uredbi o graničnim prijelazima Republike Hrvatske (NN 79/13) radi se o trideset i devet stalnih graničnih prijelaza i to granični prijelazi za međunarodni promet putnika i roba, granični prijelazi za međunarodni promet putnika te granični prijelazi za pogranični promet. Pored navedenog u okviru ovog programa provode se kontinuirane aktivnosti na poslovima održavanja graničnih prijelaza.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05"/>
        <w:gridCol w:w="2512"/>
        <w:gridCol w:w="1012"/>
        <w:gridCol w:w="1017"/>
        <w:gridCol w:w="1126"/>
        <w:gridCol w:w="1017"/>
        <w:gridCol w:w="1017"/>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protočnosti osoba i roba kao i poboljšanje uvjeta rada na graničnim prijelazima</w:t>
            </w:r>
          </w:p>
        </w:tc>
        <w:tc>
          <w:tcPr>
            <w:tcW w:w="2551" w:type="dxa"/>
          </w:tcPr>
          <w:p w:rsidR="005C2091" w:rsidRDefault="00A86293">
            <w:pPr>
              <w:pStyle w:val="CellColumn"/>
              <w:jc w:val="left"/>
            </w:pPr>
            <w:r>
              <w:rPr>
                <w:rFonts w:cs="Times New Roman"/>
              </w:rPr>
              <w:t>Izgradnjom objkata na graničnim prijelazima kao i kontinuiranim održavanjem graničnih prijelaza uspostaviti će se kvalitetan granični promet sa susjednim državama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173</w:t>
            </w:r>
          </w:p>
        </w:tc>
        <w:tc>
          <w:tcPr>
            <w:tcW w:w="1020" w:type="dxa"/>
          </w:tcPr>
          <w:p w:rsidR="005C2091" w:rsidRDefault="00A86293">
            <w:pPr>
              <w:pStyle w:val="CellColumn"/>
              <w:jc w:val="right"/>
            </w:pPr>
            <w:r>
              <w:rPr>
                <w:rFonts w:cs="Times New Roman"/>
              </w:rPr>
              <w:t>Ministarstvo financija</w:t>
            </w:r>
          </w:p>
        </w:tc>
        <w:tc>
          <w:tcPr>
            <w:tcW w:w="1020" w:type="dxa"/>
          </w:tcPr>
          <w:p w:rsidR="005C2091" w:rsidRDefault="00A86293">
            <w:pPr>
              <w:pStyle w:val="CellColumn"/>
              <w:jc w:val="right"/>
            </w:pPr>
            <w:r>
              <w:rPr>
                <w:rFonts w:cs="Times New Roman"/>
              </w:rPr>
              <w:t>173</w:t>
            </w:r>
          </w:p>
        </w:tc>
        <w:tc>
          <w:tcPr>
            <w:tcW w:w="1020" w:type="dxa"/>
          </w:tcPr>
          <w:p w:rsidR="005C2091" w:rsidRDefault="00A86293">
            <w:pPr>
              <w:pStyle w:val="CellColumn"/>
              <w:jc w:val="right"/>
            </w:pPr>
            <w:r>
              <w:rPr>
                <w:rFonts w:cs="Times New Roman"/>
              </w:rPr>
              <w:t>173</w:t>
            </w:r>
          </w:p>
        </w:tc>
      </w:tr>
    </w:tbl>
    <w:p w:rsidR="005C2091" w:rsidRDefault="005C2091">
      <w:pPr>
        <w:jc w:val="left"/>
      </w:pPr>
    </w:p>
    <w:p w:rsidR="005C2091" w:rsidRDefault="00A86293">
      <w:pPr>
        <w:pStyle w:val="Heading4"/>
      </w:pPr>
      <w:r>
        <w:t>K538043 IZGRADNJA GRANIČNIH PRIJELAZA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K538043-IZGRADNJA GRANIČNIH PRIJELAZA</w:t>
            </w:r>
          </w:p>
        </w:tc>
        <w:tc>
          <w:tcPr>
            <w:tcW w:w="2041" w:type="dxa"/>
          </w:tcPr>
          <w:p w:rsidR="005C2091" w:rsidRDefault="00A86293">
            <w:pPr>
              <w:pStyle w:val="CellColumn"/>
              <w:jc w:val="right"/>
            </w:pPr>
            <w:r>
              <w:rPr>
                <w:rFonts w:cs="Times New Roman"/>
              </w:rPr>
              <w:t>136.587.131</w:t>
            </w:r>
          </w:p>
        </w:tc>
        <w:tc>
          <w:tcPr>
            <w:tcW w:w="2041" w:type="dxa"/>
          </w:tcPr>
          <w:p w:rsidR="005C2091" w:rsidRDefault="00A86293">
            <w:pPr>
              <w:pStyle w:val="CellColumn"/>
              <w:jc w:val="right"/>
            </w:pPr>
            <w:r>
              <w:rPr>
                <w:rFonts w:cs="Times New Roman"/>
              </w:rPr>
              <w:t>152.475.000</w:t>
            </w:r>
          </w:p>
        </w:tc>
        <w:tc>
          <w:tcPr>
            <w:tcW w:w="2041" w:type="dxa"/>
          </w:tcPr>
          <w:p w:rsidR="005C2091" w:rsidRDefault="00A86293">
            <w:pPr>
              <w:pStyle w:val="CellColumn"/>
              <w:jc w:val="right"/>
            </w:pPr>
            <w:r>
              <w:rPr>
                <w:rFonts w:cs="Times New Roman"/>
              </w:rPr>
              <w:t>133.287.778</w:t>
            </w:r>
          </w:p>
        </w:tc>
        <w:tc>
          <w:tcPr>
            <w:tcW w:w="1224" w:type="dxa"/>
          </w:tcPr>
          <w:p w:rsidR="005C2091" w:rsidRDefault="00A86293">
            <w:pPr>
              <w:pStyle w:val="CellColumn"/>
              <w:jc w:val="right"/>
            </w:pPr>
            <w:r>
              <w:rPr>
                <w:rFonts w:cs="Times New Roman"/>
              </w:rPr>
              <w:t>87,4</w:t>
            </w:r>
          </w:p>
        </w:tc>
        <w:tc>
          <w:tcPr>
            <w:tcW w:w="1224" w:type="dxa"/>
          </w:tcPr>
          <w:p w:rsidR="005C2091" w:rsidRDefault="00A86293">
            <w:pPr>
              <w:pStyle w:val="CellColumn"/>
              <w:jc w:val="right"/>
            </w:pPr>
            <w:r>
              <w:rPr>
                <w:rFonts w:cs="Times New Roman"/>
              </w:rPr>
              <w:t>97,6</w:t>
            </w:r>
          </w:p>
        </w:tc>
      </w:tr>
    </w:tbl>
    <w:p w:rsidR="005C2091" w:rsidRDefault="005C2091">
      <w:pPr>
        <w:jc w:val="left"/>
      </w:pPr>
    </w:p>
    <w:p w:rsidR="005C2091" w:rsidRDefault="00A86293">
      <w:pPr>
        <w:pStyle w:val="Heading8"/>
        <w:jc w:val="left"/>
      </w:pPr>
      <w:r>
        <w:t>Zakonske i druge pravne osnove</w:t>
      </w:r>
    </w:p>
    <w:p w:rsidR="005C2091" w:rsidRDefault="00A86293">
      <w:r>
        <w:t xml:space="preserve">Odluka o upravljanju imovinom na graničnim prijelazima (Narodne novine br. 15/95) </w:t>
      </w:r>
    </w:p>
    <w:p w:rsidR="005C2091" w:rsidRDefault="00A86293">
      <w:r>
        <w:t>Strategija integriranog upravljanja granicom (Odluka Vlade RH od 11. travnja 2013.)</w:t>
      </w:r>
    </w:p>
    <w:p w:rsidR="005C2091" w:rsidRDefault="00A86293">
      <w:pPr>
        <w:pStyle w:val="Heading8"/>
        <w:jc w:val="left"/>
      </w:pPr>
      <w:r>
        <w:t>Opis aktivnosti</w:t>
      </w:r>
    </w:p>
    <w:p w:rsidR="005C2091" w:rsidRDefault="00A86293">
      <w:r>
        <w:t xml:space="preserve">Sukladno Odluci Vlade RH o Strategiji integriranog upravljanja granicom temeljem kojeg je donijet Akcijski plan za provedbu sustava upravljanja i kontrole za Schengenski režim, Republika Hrvatska bila je u obvezi izgraditi trideset devet graničnih prijelaza kao preduvjet za početak uvođenja Schengenskog režima na vanjskoj granici Republike Hrvatske prema Srbiji, Bosni i Hercegovini i Crnoj Gori. Tijekom 2016. najznačajniji građevinski radovi na izgradnji graničnih prijelaza bili su na graničnom prijelazu Tovarnik, Mali Prolog,Županja, Metković-Doljani, Slavonski Brod, Aržano, Bogovolja, Imotica, Čepikuće, Podprolog. Gejkovac. Zaključno sa 2016. izgrađeni su granični prijelazi: Orah, Vinjani Donji, Cera, Dvorine, Vukov Klanac, Gunja, Kamensko, Ilok, Tovarnik, Kordunski Ljeskovac, Bogovolja, Užljebić, Lička Kaldrma, Pašin Potok, Aržano, Bili Brig, Mali Prolog, Podprolog dok se na graničnim prijelauzima Slano, Čepikuće i Imotica čeka priključak HEP ODS-a nakon čega će se podnijeti zahtjev za uporabnu dozvolu. U 2016. započeta je izgradnja na graničnim prijelazima Slavonski Brod, Županja, </w:t>
      </w:r>
      <w:r>
        <w:lastRenderedPageBreak/>
        <w:t>Vinjani donji, Slivno za koje se predviđa završetak radova u prvom polugopdištu 2017. dok su na graničnom prijelazu Gejkovac radovi završeni u veljači 2017. te je podnesen zahtjev za uporabnu dozvolu.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07"/>
        <w:gridCol w:w="2510"/>
        <w:gridCol w:w="1012"/>
        <w:gridCol w:w="1017"/>
        <w:gridCol w:w="1126"/>
        <w:gridCol w:w="1017"/>
        <w:gridCol w:w="1017"/>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Granični prijelazi na kojima su dovršeni radovi na izgradnji i rekonstrukciji</w:t>
            </w:r>
          </w:p>
        </w:tc>
        <w:tc>
          <w:tcPr>
            <w:tcW w:w="2551" w:type="dxa"/>
          </w:tcPr>
          <w:p w:rsidR="005C2091" w:rsidRDefault="00A86293">
            <w:pPr>
              <w:pStyle w:val="CellColumn"/>
              <w:jc w:val="left"/>
            </w:pPr>
            <w:r>
              <w:rPr>
                <w:rFonts w:cs="Times New Roman"/>
              </w:rPr>
              <w:t>Završetkom radova na graničnim prijelazima ispunisti će se preduvjeti za početak uvođenja Schengenskog režima na vanjskoj granici Republike  Hrvatske prema Srbiji, Bosni i Hercegovini i Crnoj gori.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39</w:t>
            </w:r>
          </w:p>
        </w:tc>
        <w:tc>
          <w:tcPr>
            <w:tcW w:w="1020" w:type="dxa"/>
          </w:tcPr>
          <w:p w:rsidR="005C2091" w:rsidRDefault="00A86293">
            <w:pPr>
              <w:pStyle w:val="CellColumn"/>
              <w:jc w:val="right"/>
            </w:pPr>
            <w:r>
              <w:rPr>
                <w:rFonts w:cs="Times New Roman"/>
              </w:rPr>
              <w:t>Ministarstvo financija</w:t>
            </w:r>
          </w:p>
        </w:tc>
        <w:tc>
          <w:tcPr>
            <w:tcW w:w="1020" w:type="dxa"/>
          </w:tcPr>
          <w:p w:rsidR="005C2091" w:rsidRDefault="00A86293">
            <w:pPr>
              <w:pStyle w:val="CellColumn"/>
              <w:jc w:val="right"/>
            </w:pPr>
            <w:r>
              <w:rPr>
                <w:rFonts w:cs="Times New Roman"/>
              </w:rPr>
              <w:t>24</w:t>
            </w:r>
          </w:p>
        </w:tc>
        <w:tc>
          <w:tcPr>
            <w:tcW w:w="1020" w:type="dxa"/>
          </w:tcPr>
          <w:p w:rsidR="005C2091" w:rsidRDefault="00A86293">
            <w:pPr>
              <w:pStyle w:val="CellColumn"/>
              <w:jc w:val="right"/>
            </w:pPr>
            <w:r>
              <w:rPr>
                <w:rFonts w:cs="Times New Roman"/>
              </w:rPr>
              <w:t>21</w:t>
            </w:r>
          </w:p>
        </w:tc>
      </w:tr>
    </w:tbl>
    <w:p w:rsidR="005C2091" w:rsidRDefault="005C2091">
      <w:pPr>
        <w:jc w:val="left"/>
      </w:pPr>
    </w:p>
    <w:p w:rsidR="005C2091" w:rsidRDefault="00A86293">
      <w:pPr>
        <w:pStyle w:val="Heading2"/>
      </w:pPr>
      <w:r>
        <w:t>02506 Ministarstvo financija - ostali izdaci države</w:t>
      </w:r>
    </w:p>
    <w:p w:rsidR="005C2091" w:rsidRDefault="00A86293">
      <w:r>
        <w:t>U razdjelu 025 – Ministarstvo financija ustanovljena je Glava 06 kao obračunska jedinica s ciljem jedinstvenog i transparentnog praćenja prvenstveno onih rashoda i izdataka koji se ne mogu povezati uz druge pojedinačne razdjele odnosno glave, već se odnose na više njih ili na Republiku Hrvatsku u cjelini. Ova Glava za razliku od ostalih u Državnom proračunu ne predstavlja organizacijsku cjelinu sa zaposlenim djelatnicima.</w:t>
      </w:r>
    </w:p>
    <w:tbl>
      <w:tblPr>
        <w:tblStyle w:val="StilTablice"/>
        <w:tblW w:w="10206" w:type="dxa"/>
        <w:jc w:val="center"/>
        <w:tblLook w:val="04A0" w:firstRow="1" w:lastRow="0" w:firstColumn="1" w:lastColumn="0" w:noHBand="0" w:noVBand="1"/>
      </w:tblPr>
      <w:tblGrid>
        <w:gridCol w:w="2192"/>
        <w:gridCol w:w="1886"/>
        <w:gridCol w:w="1887"/>
        <w:gridCol w:w="1887"/>
        <w:gridCol w:w="1165"/>
        <w:gridCol w:w="1189"/>
      </w:tblGrid>
      <w:tr w:rsidR="005C2091" w:rsidTr="009D6D56">
        <w:trPr>
          <w:jc w:val="center"/>
        </w:trPr>
        <w:tc>
          <w:tcPr>
            <w:tcW w:w="2192" w:type="dxa"/>
            <w:shd w:val="clear" w:color="auto" w:fill="B5C0D8"/>
          </w:tcPr>
          <w:p w:rsidR="005C2091" w:rsidRDefault="005C2091">
            <w:pPr>
              <w:pStyle w:val="CellHeader"/>
              <w:jc w:val="center"/>
            </w:pPr>
          </w:p>
        </w:tc>
        <w:tc>
          <w:tcPr>
            <w:tcW w:w="1886" w:type="dxa"/>
            <w:shd w:val="clear" w:color="auto" w:fill="B5C0D8"/>
          </w:tcPr>
          <w:p w:rsidR="005C2091" w:rsidRDefault="00A86293">
            <w:pPr>
              <w:pStyle w:val="CellHeader"/>
              <w:jc w:val="center"/>
            </w:pPr>
            <w:r>
              <w:rPr>
                <w:rFonts w:cs="Times New Roman"/>
              </w:rPr>
              <w:t>Izvršenje 2015. (kn)</w:t>
            </w:r>
          </w:p>
        </w:tc>
        <w:tc>
          <w:tcPr>
            <w:tcW w:w="1887" w:type="dxa"/>
            <w:shd w:val="clear" w:color="auto" w:fill="B5C0D8"/>
          </w:tcPr>
          <w:p w:rsidR="005C2091" w:rsidRDefault="00A86293">
            <w:pPr>
              <w:pStyle w:val="CellHeader"/>
              <w:jc w:val="center"/>
            </w:pPr>
            <w:r>
              <w:rPr>
                <w:rFonts w:cs="Times New Roman"/>
              </w:rPr>
              <w:t>Plan 2016. (kn)</w:t>
            </w:r>
          </w:p>
        </w:tc>
        <w:tc>
          <w:tcPr>
            <w:tcW w:w="1887" w:type="dxa"/>
            <w:shd w:val="clear" w:color="auto" w:fill="B5C0D8"/>
          </w:tcPr>
          <w:p w:rsidR="005C2091" w:rsidRDefault="00A86293">
            <w:pPr>
              <w:pStyle w:val="CellHeader"/>
              <w:jc w:val="center"/>
            </w:pPr>
            <w:r>
              <w:rPr>
                <w:rFonts w:cs="Times New Roman"/>
              </w:rPr>
              <w:t>Izvršenje 2016. (kn)</w:t>
            </w:r>
          </w:p>
        </w:tc>
        <w:tc>
          <w:tcPr>
            <w:tcW w:w="1165" w:type="dxa"/>
            <w:shd w:val="clear" w:color="auto" w:fill="B5C0D8"/>
          </w:tcPr>
          <w:p w:rsidR="005C2091" w:rsidRDefault="00A86293">
            <w:pPr>
              <w:pStyle w:val="CellHeader"/>
              <w:jc w:val="center"/>
            </w:pPr>
            <w:r>
              <w:rPr>
                <w:rFonts w:cs="Times New Roman"/>
              </w:rPr>
              <w:t>Indeks izvršenje 2016./plan 2016.</w:t>
            </w:r>
          </w:p>
        </w:tc>
        <w:tc>
          <w:tcPr>
            <w:tcW w:w="1189" w:type="dxa"/>
            <w:shd w:val="clear" w:color="auto" w:fill="B5C0D8"/>
          </w:tcPr>
          <w:p w:rsidR="005C2091" w:rsidRDefault="00A86293">
            <w:pPr>
              <w:pStyle w:val="CellHeader"/>
              <w:jc w:val="center"/>
            </w:pPr>
            <w:r>
              <w:rPr>
                <w:rFonts w:cs="Times New Roman"/>
              </w:rPr>
              <w:t>Indeks izvršenje 2016./2015.</w:t>
            </w:r>
          </w:p>
        </w:tc>
      </w:tr>
      <w:tr w:rsidR="005C2091" w:rsidTr="009D6D56">
        <w:trPr>
          <w:jc w:val="center"/>
        </w:trPr>
        <w:tc>
          <w:tcPr>
            <w:tcW w:w="2192" w:type="dxa"/>
            <w:vAlign w:val="top"/>
          </w:tcPr>
          <w:p w:rsidR="005C2091" w:rsidRDefault="00A86293">
            <w:pPr>
              <w:pStyle w:val="CellColumn"/>
              <w:jc w:val="left"/>
            </w:pPr>
            <w:r>
              <w:rPr>
                <w:rFonts w:cs="Times New Roman"/>
              </w:rPr>
              <w:t>02506-Ministarstvo financija - ostali izdaci države</w:t>
            </w:r>
          </w:p>
        </w:tc>
        <w:tc>
          <w:tcPr>
            <w:tcW w:w="1886" w:type="dxa"/>
            <w:vAlign w:val="top"/>
          </w:tcPr>
          <w:p w:rsidR="005C2091" w:rsidRDefault="00A86293">
            <w:pPr>
              <w:pStyle w:val="CellColumn"/>
              <w:jc w:val="right"/>
            </w:pPr>
            <w:r>
              <w:rPr>
                <w:rFonts w:cs="Times New Roman"/>
              </w:rPr>
              <w:t>41.868.725.214</w:t>
            </w:r>
          </w:p>
        </w:tc>
        <w:tc>
          <w:tcPr>
            <w:tcW w:w="1887" w:type="dxa"/>
            <w:vAlign w:val="top"/>
          </w:tcPr>
          <w:p w:rsidR="005C2091" w:rsidRDefault="00A86293">
            <w:pPr>
              <w:pStyle w:val="CellColumn"/>
              <w:jc w:val="right"/>
            </w:pPr>
            <w:r>
              <w:rPr>
                <w:rFonts w:cs="Times New Roman"/>
              </w:rPr>
              <w:t>34.668.279.709</w:t>
            </w:r>
          </w:p>
        </w:tc>
        <w:tc>
          <w:tcPr>
            <w:tcW w:w="1887" w:type="dxa"/>
            <w:vAlign w:val="top"/>
          </w:tcPr>
          <w:p w:rsidR="005C2091" w:rsidRDefault="00A86293">
            <w:pPr>
              <w:pStyle w:val="CellColumn"/>
              <w:jc w:val="right"/>
            </w:pPr>
            <w:r>
              <w:rPr>
                <w:rFonts w:cs="Times New Roman"/>
              </w:rPr>
              <w:t>34.276.743.419</w:t>
            </w:r>
          </w:p>
        </w:tc>
        <w:tc>
          <w:tcPr>
            <w:tcW w:w="1165" w:type="dxa"/>
            <w:vAlign w:val="top"/>
          </w:tcPr>
          <w:p w:rsidR="005C2091" w:rsidRDefault="00A86293">
            <w:pPr>
              <w:pStyle w:val="CellColumn"/>
              <w:jc w:val="right"/>
            </w:pPr>
            <w:r>
              <w:rPr>
                <w:rFonts w:cs="Times New Roman"/>
              </w:rPr>
              <w:t>98,9</w:t>
            </w:r>
          </w:p>
        </w:tc>
        <w:tc>
          <w:tcPr>
            <w:tcW w:w="1189" w:type="dxa"/>
            <w:vAlign w:val="top"/>
          </w:tcPr>
          <w:p w:rsidR="005C2091" w:rsidRDefault="00A86293">
            <w:pPr>
              <w:pStyle w:val="CellColumn"/>
              <w:jc w:val="right"/>
            </w:pPr>
            <w:r>
              <w:rPr>
                <w:rFonts w:cs="Times New Roman"/>
              </w:rPr>
              <w:t>81,9</w:t>
            </w:r>
          </w:p>
        </w:tc>
      </w:tr>
      <w:tr w:rsidR="005C2091" w:rsidTr="009D6D56">
        <w:trPr>
          <w:jc w:val="center"/>
        </w:trPr>
        <w:tc>
          <w:tcPr>
            <w:tcW w:w="2192" w:type="dxa"/>
          </w:tcPr>
          <w:p w:rsidR="005C2091" w:rsidRDefault="00A86293">
            <w:pPr>
              <w:jc w:val="left"/>
            </w:pPr>
            <w:r>
              <w:t>2114-POTPORE POLITIČKIM STRANKAMA</w:t>
            </w:r>
          </w:p>
        </w:tc>
        <w:tc>
          <w:tcPr>
            <w:tcW w:w="1886" w:type="dxa"/>
          </w:tcPr>
          <w:p w:rsidR="005C2091" w:rsidRDefault="00A86293">
            <w:pPr>
              <w:jc w:val="right"/>
            </w:pPr>
            <w:r>
              <w:t>54.986.434</w:t>
            </w:r>
          </w:p>
        </w:tc>
        <w:tc>
          <w:tcPr>
            <w:tcW w:w="1887" w:type="dxa"/>
          </w:tcPr>
          <w:p w:rsidR="005C2091" w:rsidRDefault="00A86293">
            <w:pPr>
              <w:jc w:val="right"/>
            </w:pPr>
            <w:r>
              <w:t>55.000.000</w:t>
            </w:r>
          </w:p>
        </w:tc>
        <w:tc>
          <w:tcPr>
            <w:tcW w:w="1887" w:type="dxa"/>
          </w:tcPr>
          <w:p w:rsidR="005C2091" w:rsidRDefault="00A86293">
            <w:pPr>
              <w:jc w:val="right"/>
            </w:pPr>
            <w:r>
              <w:t>54.964.234</w:t>
            </w:r>
          </w:p>
        </w:tc>
        <w:tc>
          <w:tcPr>
            <w:tcW w:w="1165" w:type="dxa"/>
          </w:tcPr>
          <w:p w:rsidR="005C2091" w:rsidRDefault="00A86293">
            <w:pPr>
              <w:jc w:val="right"/>
            </w:pPr>
            <w:r>
              <w:t>99,9</w:t>
            </w:r>
          </w:p>
        </w:tc>
        <w:tc>
          <w:tcPr>
            <w:tcW w:w="1189" w:type="dxa"/>
          </w:tcPr>
          <w:p w:rsidR="005C2091" w:rsidRDefault="00A86293">
            <w:pPr>
              <w:jc w:val="right"/>
            </w:pPr>
            <w:r>
              <w:t>100,0</w:t>
            </w:r>
          </w:p>
        </w:tc>
      </w:tr>
      <w:tr w:rsidR="005C2091" w:rsidTr="009D6D56">
        <w:trPr>
          <w:jc w:val="center"/>
        </w:trPr>
        <w:tc>
          <w:tcPr>
            <w:tcW w:w="2192" w:type="dxa"/>
          </w:tcPr>
          <w:p w:rsidR="005C2091" w:rsidRDefault="00A86293">
            <w:pPr>
              <w:jc w:val="left"/>
            </w:pPr>
            <w:r>
              <w:t>2203-UPRAVLJANJE SUSTAVOM JAVNIH FINANCIJA</w:t>
            </w:r>
          </w:p>
        </w:tc>
        <w:tc>
          <w:tcPr>
            <w:tcW w:w="1886" w:type="dxa"/>
          </w:tcPr>
          <w:p w:rsidR="005C2091" w:rsidRDefault="00A86293">
            <w:pPr>
              <w:jc w:val="right"/>
            </w:pPr>
            <w:r>
              <w:t>381.988.033</w:t>
            </w:r>
          </w:p>
        </w:tc>
        <w:tc>
          <w:tcPr>
            <w:tcW w:w="1887" w:type="dxa"/>
          </w:tcPr>
          <w:p w:rsidR="005C2091" w:rsidRDefault="00A86293">
            <w:pPr>
              <w:jc w:val="right"/>
            </w:pPr>
            <w:r>
              <w:t>194.557.217</w:t>
            </w:r>
          </w:p>
        </w:tc>
        <w:tc>
          <w:tcPr>
            <w:tcW w:w="1887" w:type="dxa"/>
          </w:tcPr>
          <w:p w:rsidR="005C2091" w:rsidRDefault="00A86293">
            <w:pPr>
              <w:jc w:val="right"/>
            </w:pPr>
            <w:r>
              <w:t>333.672.271</w:t>
            </w:r>
          </w:p>
        </w:tc>
        <w:tc>
          <w:tcPr>
            <w:tcW w:w="1165" w:type="dxa"/>
          </w:tcPr>
          <w:p w:rsidR="005C2091" w:rsidRDefault="00A86293">
            <w:pPr>
              <w:jc w:val="right"/>
            </w:pPr>
            <w:r>
              <w:t>171,5</w:t>
            </w:r>
          </w:p>
        </w:tc>
        <w:tc>
          <w:tcPr>
            <w:tcW w:w="1189" w:type="dxa"/>
          </w:tcPr>
          <w:p w:rsidR="005C2091" w:rsidRDefault="00A86293">
            <w:pPr>
              <w:jc w:val="right"/>
            </w:pPr>
            <w:r>
              <w:t>87,4</w:t>
            </w:r>
          </w:p>
        </w:tc>
      </w:tr>
      <w:tr w:rsidR="005C2091" w:rsidTr="009D6D56">
        <w:trPr>
          <w:jc w:val="center"/>
        </w:trPr>
        <w:tc>
          <w:tcPr>
            <w:tcW w:w="2192" w:type="dxa"/>
          </w:tcPr>
          <w:p w:rsidR="005C2091" w:rsidRDefault="00A86293">
            <w:pPr>
              <w:jc w:val="left"/>
            </w:pPr>
            <w:r>
              <w:t>2204-FINANCIRANJE DECENTRALIZIRANIH FUNKCIJA</w:t>
            </w:r>
          </w:p>
        </w:tc>
        <w:tc>
          <w:tcPr>
            <w:tcW w:w="1886" w:type="dxa"/>
          </w:tcPr>
          <w:p w:rsidR="005C2091" w:rsidRDefault="00A86293">
            <w:pPr>
              <w:jc w:val="right"/>
            </w:pPr>
            <w:r>
              <w:t>1.676.938.127</w:t>
            </w:r>
          </w:p>
        </w:tc>
        <w:tc>
          <w:tcPr>
            <w:tcW w:w="1887" w:type="dxa"/>
          </w:tcPr>
          <w:p w:rsidR="005C2091" w:rsidRDefault="00A86293">
            <w:pPr>
              <w:jc w:val="right"/>
            </w:pPr>
            <w:r>
              <w:t>1.575.815.939</w:t>
            </w:r>
          </w:p>
        </w:tc>
        <w:tc>
          <w:tcPr>
            <w:tcW w:w="1887" w:type="dxa"/>
          </w:tcPr>
          <w:p w:rsidR="005C2091" w:rsidRDefault="00A86293">
            <w:pPr>
              <w:jc w:val="right"/>
            </w:pPr>
            <w:r>
              <w:t>1.562.505.056</w:t>
            </w:r>
          </w:p>
        </w:tc>
        <w:tc>
          <w:tcPr>
            <w:tcW w:w="1165" w:type="dxa"/>
          </w:tcPr>
          <w:p w:rsidR="005C2091" w:rsidRDefault="00A86293">
            <w:pPr>
              <w:jc w:val="right"/>
            </w:pPr>
            <w:r>
              <w:t>99,2</w:t>
            </w:r>
          </w:p>
        </w:tc>
        <w:tc>
          <w:tcPr>
            <w:tcW w:w="1189" w:type="dxa"/>
          </w:tcPr>
          <w:p w:rsidR="005C2091" w:rsidRDefault="00A86293">
            <w:pPr>
              <w:jc w:val="right"/>
            </w:pPr>
            <w:r>
              <w:t>93,2</w:t>
            </w:r>
          </w:p>
        </w:tc>
      </w:tr>
      <w:tr w:rsidR="005C2091" w:rsidTr="009D6D56">
        <w:trPr>
          <w:jc w:val="center"/>
        </w:trPr>
        <w:tc>
          <w:tcPr>
            <w:tcW w:w="2192" w:type="dxa"/>
          </w:tcPr>
          <w:p w:rsidR="005C2091" w:rsidRDefault="00A86293">
            <w:pPr>
              <w:jc w:val="left"/>
            </w:pPr>
            <w:r>
              <w:t>2205-POMOĆI LOKALNOJ I PODRUČNOJ (REGIONALNOJ) SAMOUPRAVI</w:t>
            </w:r>
          </w:p>
        </w:tc>
        <w:tc>
          <w:tcPr>
            <w:tcW w:w="1886" w:type="dxa"/>
          </w:tcPr>
          <w:p w:rsidR="005C2091" w:rsidRDefault="00A86293">
            <w:pPr>
              <w:jc w:val="right"/>
            </w:pPr>
            <w:r>
              <w:t>674.800.134</w:t>
            </w:r>
          </w:p>
        </w:tc>
        <w:tc>
          <w:tcPr>
            <w:tcW w:w="1887" w:type="dxa"/>
          </w:tcPr>
          <w:p w:rsidR="005C2091" w:rsidRDefault="00A86293">
            <w:pPr>
              <w:jc w:val="right"/>
            </w:pPr>
            <w:r>
              <w:t>694.800.134</w:t>
            </w:r>
          </w:p>
        </w:tc>
        <w:tc>
          <w:tcPr>
            <w:tcW w:w="1887" w:type="dxa"/>
          </w:tcPr>
          <w:p w:rsidR="005C2091" w:rsidRDefault="00A86293">
            <w:pPr>
              <w:jc w:val="right"/>
            </w:pPr>
            <w:r>
              <w:t>694.800.134</w:t>
            </w:r>
          </w:p>
        </w:tc>
        <w:tc>
          <w:tcPr>
            <w:tcW w:w="1165" w:type="dxa"/>
          </w:tcPr>
          <w:p w:rsidR="005C2091" w:rsidRDefault="00A86293">
            <w:pPr>
              <w:jc w:val="right"/>
            </w:pPr>
            <w:r>
              <w:t>100,0</w:t>
            </w:r>
          </w:p>
        </w:tc>
        <w:tc>
          <w:tcPr>
            <w:tcW w:w="1189" w:type="dxa"/>
          </w:tcPr>
          <w:p w:rsidR="005C2091" w:rsidRDefault="00A86293">
            <w:pPr>
              <w:jc w:val="right"/>
            </w:pPr>
            <w:r>
              <w:t>103,0</w:t>
            </w:r>
          </w:p>
        </w:tc>
      </w:tr>
      <w:tr w:rsidR="005C2091" w:rsidTr="009D6D56">
        <w:trPr>
          <w:jc w:val="center"/>
        </w:trPr>
        <w:tc>
          <w:tcPr>
            <w:tcW w:w="2192" w:type="dxa"/>
          </w:tcPr>
          <w:p w:rsidR="005C2091" w:rsidRDefault="00A86293">
            <w:pPr>
              <w:jc w:val="left"/>
            </w:pPr>
            <w:r>
              <w:t>2206-UPRAVLJANJE PRETPRISTUPNIM FONDOVIMA</w:t>
            </w:r>
          </w:p>
        </w:tc>
        <w:tc>
          <w:tcPr>
            <w:tcW w:w="1886" w:type="dxa"/>
          </w:tcPr>
          <w:p w:rsidR="005C2091" w:rsidRDefault="00A86293">
            <w:pPr>
              <w:jc w:val="right"/>
            </w:pPr>
            <w:r>
              <w:t>23.134.781</w:t>
            </w:r>
          </w:p>
        </w:tc>
        <w:tc>
          <w:tcPr>
            <w:tcW w:w="1887" w:type="dxa"/>
          </w:tcPr>
          <w:p w:rsidR="005C2091" w:rsidRDefault="00A86293">
            <w:pPr>
              <w:jc w:val="right"/>
            </w:pPr>
            <w:r>
              <w:t>36.888.500</w:t>
            </w:r>
          </w:p>
        </w:tc>
        <w:tc>
          <w:tcPr>
            <w:tcW w:w="1887" w:type="dxa"/>
          </w:tcPr>
          <w:p w:rsidR="005C2091" w:rsidRDefault="00A86293">
            <w:pPr>
              <w:jc w:val="right"/>
            </w:pPr>
            <w:r>
              <w:t>24.859.353</w:t>
            </w:r>
          </w:p>
        </w:tc>
        <w:tc>
          <w:tcPr>
            <w:tcW w:w="1165" w:type="dxa"/>
          </w:tcPr>
          <w:p w:rsidR="005C2091" w:rsidRDefault="00A86293">
            <w:pPr>
              <w:jc w:val="right"/>
            </w:pPr>
            <w:r>
              <w:t>67,4</w:t>
            </w:r>
          </w:p>
        </w:tc>
        <w:tc>
          <w:tcPr>
            <w:tcW w:w="1189" w:type="dxa"/>
          </w:tcPr>
          <w:p w:rsidR="005C2091" w:rsidRDefault="00A86293">
            <w:pPr>
              <w:jc w:val="right"/>
            </w:pPr>
            <w:r>
              <w:t>107,5</w:t>
            </w:r>
          </w:p>
        </w:tc>
      </w:tr>
      <w:tr w:rsidR="005C2091" w:rsidTr="009D6D56">
        <w:trPr>
          <w:jc w:val="center"/>
        </w:trPr>
        <w:tc>
          <w:tcPr>
            <w:tcW w:w="2192" w:type="dxa"/>
          </w:tcPr>
          <w:p w:rsidR="005C2091" w:rsidRDefault="00A86293">
            <w:pPr>
              <w:jc w:val="left"/>
            </w:pPr>
            <w:r>
              <w:lastRenderedPageBreak/>
              <w:t>2304-ČLANSTVO REPUBLIKE HRVATSKE U MEĐUNARODNIM FINANCIJSKIM INSTITUCIJAMA</w:t>
            </w:r>
          </w:p>
        </w:tc>
        <w:tc>
          <w:tcPr>
            <w:tcW w:w="1886" w:type="dxa"/>
          </w:tcPr>
          <w:p w:rsidR="005C2091" w:rsidRDefault="00A86293">
            <w:pPr>
              <w:jc w:val="right"/>
            </w:pPr>
            <w:r>
              <w:t>206.199.628</w:t>
            </w:r>
          </w:p>
        </w:tc>
        <w:tc>
          <w:tcPr>
            <w:tcW w:w="1887" w:type="dxa"/>
          </w:tcPr>
          <w:p w:rsidR="005C2091" w:rsidRDefault="00A86293">
            <w:pPr>
              <w:jc w:val="right"/>
            </w:pPr>
            <w:r>
              <w:t>408.396.362</w:t>
            </w:r>
          </w:p>
        </w:tc>
        <w:tc>
          <w:tcPr>
            <w:tcW w:w="1887" w:type="dxa"/>
          </w:tcPr>
          <w:p w:rsidR="005C2091" w:rsidRDefault="00A86293">
            <w:pPr>
              <w:jc w:val="right"/>
            </w:pPr>
            <w:r>
              <w:t>399.324.390</w:t>
            </w:r>
          </w:p>
        </w:tc>
        <w:tc>
          <w:tcPr>
            <w:tcW w:w="1165" w:type="dxa"/>
          </w:tcPr>
          <w:p w:rsidR="005C2091" w:rsidRDefault="00A86293">
            <w:pPr>
              <w:jc w:val="right"/>
            </w:pPr>
            <w:r>
              <w:t>97,8</w:t>
            </w:r>
          </w:p>
        </w:tc>
        <w:tc>
          <w:tcPr>
            <w:tcW w:w="1189" w:type="dxa"/>
          </w:tcPr>
          <w:p w:rsidR="005C2091" w:rsidRDefault="00A86293">
            <w:pPr>
              <w:jc w:val="right"/>
            </w:pPr>
            <w:r>
              <w:t>193,7</w:t>
            </w:r>
          </w:p>
        </w:tc>
      </w:tr>
      <w:tr w:rsidR="005C2091" w:rsidTr="009D6D56">
        <w:trPr>
          <w:jc w:val="center"/>
        </w:trPr>
        <w:tc>
          <w:tcPr>
            <w:tcW w:w="2192" w:type="dxa"/>
          </w:tcPr>
          <w:p w:rsidR="005C2091" w:rsidRDefault="00A86293">
            <w:pPr>
              <w:jc w:val="left"/>
            </w:pPr>
            <w:r>
              <w:t>2307-DOPRINOS REPUBLIKE HRVATSKE PRORAČUNU EUROPSKE UNIJE</w:t>
            </w:r>
          </w:p>
        </w:tc>
        <w:tc>
          <w:tcPr>
            <w:tcW w:w="1886" w:type="dxa"/>
          </w:tcPr>
          <w:p w:rsidR="005C2091" w:rsidRDefault="00A86293">
            <w:pPr>
              <w:jc w:val="right"/>
            </w:pPr>
            <w:r>
              <w:t>3.018.478.892</w:t>
            </w:r>
          </w:p>
        </w:tc>
        <w:tc>
          <w:tcPr>
            <w:tcW w:w="1887" w:type="dxa"/>
          </w:tcPr>
          <w:p w:rsidR="005C2091" w:rsidRDefault="00A86293">
            <w:pPr>
              <w:jc w:val="right"/>
            </w:pPr>
            <w:r>
              <w:t>3.220.425.983</w:t>
            </w:r>
          </w:p>
        </w:tc>
        <w:tc>
          <w:tcPr>
            <w:tcW w:w="1887" w:type="dxa"/>
          </w:tcPr>
          <w:p w:rsidR="005C2091" w:rsidRDefault="00A86293">
            <w:pPr>
              <w:jc w:val="right"/>
            </w:pPr>
            <w:r>
              <w:t>3.220.425.982</w:t>
            </w:r>
          </w:p>
        </w:tc>
        <w:tc>
          <w:tcPr>
            <w:tcW w:w="1165" w:type="dxa"/>
          </w:tcPr>
          <w:p w:rsidR="005C2091" w:rsidRDefault="00A86293">
            <w:pPr>
              <w:jc w:val="right"/>
            </w:pPr>
            <w:r>
              <w:t>100,0</w:t>
            </w:r>
          </w:p>
        </w:tc>
        <w:tc>
          <w:tcPr>
            <w:tcW w:w="1189" w:type="dxa"/>
          </w:tcPr>
          <w:p w:rsidR="005C2091" w:rsidRDefault="00A86293">
            <w:pPr>
              <w:jc w:val="right"/>
            </w:pPr>
            <w:r>
              <w:t>106,7</w:t>
            </w:r>
          </w:p>
        </w:tc>
      </w:tr>
      <w:tr w:rsidR="005C2091" w:rsidTr="009D6D56">
        <w:trPr>
          <w:jc w:val="center"/>
        </w:trPr>
        <w:tc>
          <w:tcPr>
            <w:tcW w:w="2192" w:type="dxa"/>
          </w:tcPr>
          <w:p w:rsidR="005C2091" w:rsidRDefault="00A86293">
            <w:pPr>
              <w:jc w:val="left"/>
            </w:pPr>
            <w:r>
              <w:t>2403-PROVEDBA OSIGURANJA ZAPOSLENIH I IMOVINE PRORAČUNSKIH KORISNIKA</w:t>
            </w:r>
          </w:p>
        </w:tc>
        <w:tc>
          <w:tcPr>
            <w:tcW w:w="1886" w:type="dxa"/>
          </w:tcPr>
          <w:p w:rsidR="005C2091" w:rsidRDefault="00A86293">
            <w:pPr>
              <w:jc w:val="right"/>
            </w:pPr>
            <w:r>
              <w:t>13.114.446</w:t>
            </w:r>
          </w:p>
        </w:tc>
        <w:tc>
          <w:tcPr>
            <w:tcW w:w="1887" w:type="dxa"/>
          </w:tcPr>
          <w:p w:rsidR="005C2091" w:rsidRDefault="00A86293">
            <w:pPr>
              <w:jc w:val="right"/>
            </w:pPr>
            <w:r>
              <w:t>12.000.000</w:t>
            </w:r>
          </w:p>
        </w:tc>
        <w:tc>
          <w:tcPr>
            <w:tcW w:w="1887" w:type="dxa"/>
          </w:tcPr>
          <w:p w:rsidR="005C2091" w:rsidRDefault="00A86293">
            <w:pPr>
              <w:jc w:val="right"/>
            </w:pPr>
            <w:r>
              <w:t>11.223.793</w:t>
            </w:r>
          </w:p>
        </w:tc>
        <w:tc>
          <w:tcPr>
            <w:tcW w:w="1165" w:type="dxa"/>
          </w:tcPr>
          <w:p w:rsidR="005C2091" w:rsidRDefault="00A86293">
            <w:pPr>
              <w:jc w:val="right"/>
            </w:pPr>
            <w:r>
              <w:t>93,5</w:t>
            </w:r>
          </w:p>
        </w:tc>
        <w:tc>
          <w:tcPr>
            <w:tcW w:w="1189" w:type="dxa"/>
          </w:tcPr>
          <w:p w:rsidR="005C2091" w:rsidRDefault="00A86293">
            <w:pPr>
              <w:jc w:val="right"/>
            </w:pPr>
            <w:r>
              <w:t>85,6</w:t>
            </w:r>
          </w:p>
        </w:tc>
      </w:tr>
      <w:tr w:rsidR="005C2091" w:rsidTr="009D6D56">
        <w:trPr>
          <w:jc w:val="center"/>
        </w:trPr>
        <w:tc>
          <w:tcPr>
            <w:tcW w:w="2192" w:type="dxa"/>
          </w:tcPr>
          <w:p w:rsidR="005C2091" w:rsidRDefault="00A86293">
            <w:pPr>
              <w:jc w:val="left"/>
            </w:pPr>
            <w:r>
              <w:t>2813-NAKNADE ZA ODUZETU IMOVINU I ISPLATE PO SUDSKIM RJEŠENJIMA</w:t>
            </w:r>
          </w:p>
        </w:tc>
        <w:tc>
          <w:tcPr>
            <w:tcW w:w="1886" w:type="dxa"/>
          </w:tcPr>
          <w:p w:rsidR="005C2091" w:rsidRDefault="00A86293">
            <w:pPr>
              <w:jc w:val="right"/>
            </w:pPr>
            <w:r>
              <w:t>70.928</w:t>
            </w:r>
          </w:p>
        </w:tc>
        <w:tc>
          <w:tcPr>
            <w:tcW w:w="1887" w:type="dxa"/>
          </w:tcPr>
          <w:p w:rsidR="005C2091" w:rsidRDefault="00A86293">
            <w:pPr>
              <w:jc w:val="right"/>
            </w:pPr>
            <w:r>
              <w:t>300.000</w:t>
            </w:r>
          </w:p>
        </w:tc>
        <w:tc>
          <w:tcPr>
            <w:tcW w:w="1887" w:type="dxa"/>
          </w:tcPr>
          <w:p w:rsidR="005C2091" w:rsidRDefault="00A86293">
            <w:pPr>
              <w:jc w:val="right"/>
            </w:pPr>
            <w:r>
              <w:t>26.481</w:t>
            </w:r>
          </w:p>
        </w:tc>
        <w:tc>
          <w:tcPr>
            <w:tcW w:w="1165" w:type="dxa"/>
          </w:tcPr>
          <w:p w:rsidR="005C2091" w:rsidRDefault="00A86293">
            <w:pPr>
              <w:jc w:val="right"/>
            </w:pPr>
            <w:r>
              <w:t>8,8</w:t>
            </w:r>
          </w:p>
        </w:tc>
        <w:tc>
          <w:tcPr>
            <w:tcW w:w="1189" w:type="dxa"/>
          </w:tcPr>
          <w:p w:rsidR="005C2091" w:rsidRDefault="00A86293">
            <w:pPr>
              <w:jc w:val="right"/>
            </w:pPr>
            <w:r>
              <w:t>37,3</w:t>
            </w:r>
          </w:p>
        </w:tc>
      </w:tr>
      <w:tr w:rsidR="005C2091" w:rsidTr="009D6D56">
        <w:trPr>
          <w:jc w:val="center"/>
        </w:trPr>
        <w:tc>
          <w:tcPr>
            <w:tcW w:w="2192" w:type="dxa"/>
          </w:tcPr>
          <w:p w:rsidR="005C2091" w:rsidRDefault="00A86293">
            <w:pPr>
              <w:jc w:val="left"/>
            </w:pPr>
            <w:r>
              <w:t>3210-KREDITNI I JAMSTVENI PROGRAMI U GOSPODARSTVU</w:t>
            </w:r>
          </w:p>
        </w:tc>
        <w:tc>
          <w:tcPr>
            <w:tcW w:w="1886" w:type="dxa"/>
          </w:tcPr>
          <w:p w:rsidR="005C2091" w:rsidRDefault="00A86293">
            <w:pPr>
              <w:jc w:val="right"/>
            </w:pPr>
            <w:r>
              <w:t>549.974.485</w:t>
            </w:r>
          </w:p>
        </w:tc>
        <w:tc>
          <w:tcPr>
            <w:tcW w:w="1887" w:type="dxa"/>
          </w:tcPr>
          <w:p w:rsidR="005C2091" w:rsidRDefault="00A86293">
            <w:pPr>
              <w:jc w:val="right"/>
            </w:pPr>
            <w:r>
              <w:t>580.684.426</w:t>
            </w:r>
          </w:p>
        </w:tc>
        <w:tc>
          <w:tcPr>
            <w:tcW w:w="1887" w:type="dxa"/>
          </w:tcPr>
          <w:p w:rsidR="005C2091" w:rsidRDefault="00A86293">
            <w:pPr>
              <w:jc w:val="right"/>
            </w:pPr>
            <w:r>
              <w:t>302.376.422</w:t>
            </w:r>
          </w:p>
        </w:tc>
        <w:tc>
          <w:tcPr>
            <w:tcW w:w="1165" w:type="dxa"/>
          </w:tcPr>
          <w:p w:rsidR="005C2091" w:rsidRDefault="00A86293">
            <w:pPr>
              <w:jc w:val="right"/>
            </w:pPr>
            <w:r>
              <w:t>52,1</w:t>
            </w:r>
          </w:p>
        </w:tc>
        <w:tc>
          <w:tcPr>
            <w:tcW w:w="1189" w:type="dxa"/>
          </w:tcPr>
          <w:p w:rsidR="005C2091" w:rsidRDefault="00A86293">
            <w:pPr>
              <w:jc w:val="right"/>
            </w:pPr>
            <w:r>
              <w:t>55,0</w:t>
            </w:r>
          </w:p>
        </w:tc>
      </w:tr>
      <w:tr w:rsidR="005C2091" w:rsidTr="009D6D56">
        <w:trPr>
          <w:jc w:val="center"/>
        </w:trPr>
        <w:tc>
          <w:tcPr>
            <w:tcW w:w="2192" w:type="dxa"/>
          </w:tcPr>
          <w:p w:rsidR="005C2091" w:rsidRDefault="00A86293">
            <w:pPr>
              <w:jc w:val="left"/>
            </w:pPr>
            <w:r>
              <w:t>3404-OBNOVA I RAZVITAK LOKALNE INFRASTRUKTURE I ZAŠTITA OKOLIŠA - MEIP</w:t>
            </w:r>
          </w:p>
        </w:tc>
        <w:tc>
          <w:tcPr>
            <w:tcW w:w="1886" w:type="dxa"/>
          </w:tcPr>
          <w:p w:rsidR="005C2091" w:rsidRDefault="00A86293">
            <w:pPr>
              <w:jc w:val="right"/>
            </w:pPr>
            <w:r>
              <w:t>10.000.000</w:t>
            </w:r>
          </w:p>
        </w:tc>
        <w:tc>
          <w:tcPr>
            <w:tcW w:w="1887" w:type="dxa"/>
          </w:tcPr>
          <w:p w:rsidR="005C2091" w:rsidRDefault="00A86293">
            <w:pPr>
              <w:jc w:val="right"/>
            </w:pPr>
            <w:r>
              <w:t>10.000.000</w:t>
            </w:r>
          </w:p>
        </w:tc>
        <w:tc>
          <w:tcPr>
            <w:tcW w:w="1887" w:type="dxa"/>
          </w:tcPr>
          <w:p w:rsidR="005C2091" w:rsidRDefault="00A86293">
            <w:pPr>
              <w:jc w:val="right"/>
            </w:pPr>
            <w:r>
              <w:t>10.000.000</w:t>
            </w:r>
          </w:p>
        </w:tc>
        <w:tc>
          <w:tcPr>
            <w:tcW w:w="1165" w:type="dxa"/>
          </w:tcPr>
          <w:p w:rsidR="005C2091" w:rsidRDefault="00A86293">
            <w:pPr>
              <w:jc w:val="right"/>
            </w:pPr>
            <w:r>
              <w:t>100,0</w:t>
            </w:r>
          </w:p>
        </w:tc>
        <w:tc>
          <w:tcPr>
            <w:tcW w:w="1189" w:type="dxa"/>
          </w:tcPr>
          <w:p w:rsidR="005C2091" w:rsidRDefault="00A86293">
            <w:pPr>
              <w:jc w:val="right"/>
            </w:pPr>
            <w:r>
              <w:t>100,0</w:t>
            </w:r>
          </w:p>
        </w:tc>
      </w:tr>
      <w:tr w:rsidR="005C2091" w:rsidTr="009D6D56">
        <w:trPr>
          <w:jc w:val="center"/>
        </w:trPr>
        <w:tc>
          <w:tcPr>
            <w:tcW w:w="2192" w:type="dxa"/>
          </w:tcPr>
          <w:p w:rsidR="005C2091" w:rsidRDefault="00A86293">
            <w:pPr>
              <w:jc w:val="left"/>
            </w:pPr>
            <w:r>
              <w:t>3506-POTICANJE STAMBENE ŠTEDNJE</w:t>
            </w:r>
          </w:p>
        </w:tc>
        <w:tc>
          <w:tcPr>
            <w:tcW w:w="1886" w:type="dxa"/>
          </w:tcPr>
          <w:p w:rsidR="005C2091" w:rsidRDefault="00A86293">
            <w:pPr>
              <w:jc w:val="right"/>
            </w:pPr>
            <w:r>
              <w:t>00</w:t>
            </w:r>
          </w:p>
        </w:tc>
        <w:tc>
          <w:tcPr>
            <w:tcW w:w="1887" w:type="dxa"/>
          </w:tcPr>
          <w:p w:rsidR="005C2091" w:rsidRDefault="00A86293">
            <w:pPr>
              <w:jc w:val="right"/>
            </w:pPr>
            <w:r>
              <w:t>38.000.000</w:t>
            </w:r>
          </w:p>
        </w:tc>
        <w:tc>
          <w:tcPr>
            <w:tcW w:w="1887" w:type="dxa"/>
          </w:tcPr>
          <w:p w:rsidR="005C2091" w:rsidRDefault="00A86293">
            <w:pPr>
              <w:jc w:val="right"/>
            </w:pPr>
            <w:r>
              <w:t>37.927.836</w:t>
            </w:r>
          </w:p>
        </w:tc>
        <w:tc>
          <w:tcPr>
            <w:tcW w:w="1165" w:type="dxa"/>
          </w:tcPr>
          <w:p w:rsidR="005C2091" w:rsidRDefault="00A86293">
            <w:pPr>
              <w:jc w:val="right"/>
            </w:pPr>
            <w:r>
              <w:t>99,8</w:t>
            </w:r>
          </w:p>
        </w:tc>
        <w:tc>
          <w:tcPr>
            <w:tcW w:w="1189" w:type="dxa"/>
          </w:tcPr>
          <w:p w:rsidR="005C2091" w:rsidRDefault="00A86293">
            <w:pPr>
              <w:jc w:val="right"/>
            </w:pPr>
            <w:r>
              <w:t>0,0</w:t>
            </w:r>
          </w:p>
        </w:tc>
      </w:tr>
      <w:tr w:rsidR="005C2091" w:rsidTr="009D6D56">
        <w:trPr>
          <w:jc w:val="center"/>
        </w:trPr>
        <w:tc>
          <w:tcPr>
            <w:tcW w:w="2192" w:type="dxa"/>
          </w:tcPr>
          <w:p w:rsidR="005C2091" w:rsidRDefault="00A86293">
            <w:pPr>
              <w:jc w:val="left"/>
            </w:pPr>
            <w:r>
              <w:t>3913-POTPORE VJERSKIM ZAJEDNICAMA</w:t>
            </w:r>
          </w:p>
        </w:tc>
        <w:tc>
          <w:tcPr>
            <w:tcW w:w="1886" w:type="dxa"/>
          </w:tcPr>
          <w:p w:rsidR="005C2091" w:rsidRDefault="00A86293">
            <w:pPr>
              <w:jc w:val="right"/>
            </w:pPr>
            <w:r>
              <w:t>375.306.372</w:t>
            </w:r>
          </w:p>
        </w:tc>
        <w:tc>
          <w:tcPr>
            <w:tcW w:w="1887" w:type="dxa"/>
          </w:tcPr>
          <w:p w:rsidR="005C2091" w:rsidRDefault="00A86293">
            <w:pPr>
              <w:jc w:val="right"/>
            </w:pPr>
            <w:r>
              <w:t>285.660.728</w:t>
            </w:r>
          </w:p>
        </w:tc>
        <w:tc>
          <w:tcPr>
            <w:tcW w:w="1887" w:type="dxa"/>
          </w:tcPr>
          <w:p w:rsidR="005C2091" w:rsidRDefault="00A86293">
            <w:pPr>
              <w:jc w:val="right"/>
            </w:pPr>
            <w:r>
              <w:t>285.660.728</w:t>
            </w:r>
          </w:p>
        </w:tc>
        <w:tc>
          <w:tcPr>
            <w:tcW w:w="1165" w:type="dxa"/>
          </w:tcPr>
          <w:p w:rsidR="005C2091" w:rsidRDefault="00A86293">
            <w:pPr>
              <w:jc w:val="right"/>
            </w:pPr>
            <w:r>
              <w:t>100,0</w:t>
            </w:r>
          </w:p>
        </w:tc>
        <w:tc>
          <w:tcPr>
            <w:tcW w:w="1189" w:type="dxa"/>
          </w:tcPr>
          <w:p w:rsidR="005C2091" w:rsidRDefault="00A86293">
            <w:pPr>
              <w:jc w:val="right"/>
            </w:pPr>
            <w:r>
              <w:t>76,1</w:t>
            </w:r>
          </w:p>
        </w:tc>
      </w:tr>
      <w:tr w:rsidR="005C2091" w:rsidTr="009D6D56">
        <w:trPr>
          <w:jc w:val="center"/>
        </w:trPr>
        <w:tc>
          <w:tcPr>
            <w:tcW w:w="2192" w:type="dxa"/>
          </w:tcPr>
          <w:p w:rsidR="005C2091" w:rsidRDefault="00A86293">
            <w:pPr>
              <w:jc w:val="left"/>
            </w:pPr>
            <w:r>
              <w:t>4104-POTICAJI ZA ČLANOVE DOBROVOLJNIH MIROVINSKIH FONDOVA</w:t>
            </w:r>
          </w:p>
        </w:tc>
        <w:tc>
          <w:tcPr>
            <w:tcW w:w="1886" w:type="dxa"/>
          </w:tcPr>
          <w:p w:rsidR="005C2091" w:rsidRDefault="00A86293">
            <w:pPr>
              <w:jc w:val="right"/>
            </w:pPr>
            <w:r>
              <w:t>44.770.828</w:t>
            </w:r>
          </w:p>
        </w:tc>
        <w:tc>
          <w:tcPr>
            <w:tcW w:w="1887" w:type="dxa"/>
          </w:tcPr>
          <w:p w:rsidR="005C2091" w:rsidRDefault="00A86293">
            <w:pPr>
              <w:jc w:val="right"/>
            </w:pPr>
            <w:r>
              <w:t>49.900.000</w:t>
            </w:r>
          </w:p>
        </w:tc>
        <w:tc>
          <w:tcPr>
            <w:tcW w:w="1887" w:type="dxa"/>
          </w:tcPr>
          <w:p w:rsidR="005C2091" w:rsidRDefault="00A86293">
            <w:pPr>
              <w:jc w:val="right"/>
            </w:pPr>
            <w:r>
              <w:t>49.653.647</w:t>
            </w:r>
          </w:p>
        </w:tc>
        <w:tc>
          <w:tcPr>
            <w:tcW w:w="1165" w:type="dxa"/>
          </w:tcPr>
          <w:p w:rsidR="005C2091" w:rsidRDefault="00A86293">
            <w:pPr>
              <w:jc w:val="right"/>
            </w:pPr>
            <w:r>
              <w:t>99,5</w:t>
            </w:r>
          </w:p>
        </w:tc>
        <w:tc>
          <w:tcPr>
            <w:tcW w:w="1189" w:type="dxa"/>
          </w:tcPr>
          <w:p w:rsidR="005C2091" w:rsidRDefault="00A86293">
            <w:pPr>
              <w:jc w:val="right"/>
            </w:pPr>
            <w:r>
              <w:t>110,9</w:t>
            </w:r>
          </w:p>
        </w:tc>
      </w:tr>
      <w:tr w:rsidR="005C2091" w:rsidTr="009D6D56">
        <w:trPr>
          <w:jc w:val="center"/>
        </w:trPr>
        <w:tc>
          <w:tcPr>
            <w:tcW w:w="2192" w:type="dxa"/>
          </w:tcPr>
          <w:p w:rsidR="005C2091" w:rsidRDefault="00A86293">
            <w:pPr>
              <w:jc w:val="left"/>
            </w:pPr>
            <w:r>
              <w:t>4201-SERVISIRANJE UNUTARNJEG DUGA</w:t>
            </w:r>
          </w:p>
        </w:tc>
        <w:tc>
          <w:tcPr>
            <w:tcW w:w="1886" w:type="dxa"/>
          </w:tcPr>
          <w:p w:rsidR="005C2091" w:rsidRDefault="00A86293">
            <w:pPr>
              <w:jc w:val="right"/>
            </w:pPr>
            <w:r>
              <w:t>21.340.547.863</w:t>
            </w:r>
          </w:p>
        </w:tc>
        <w:tc>
          <w:tcPr>
            <w:tcW w:w="1887" w:type="dxa"/>
          </w:tcPr>
          <w:p w:rsidR="005C2091" w:rsidRDefault="00A86293">
            <w:pPr>
              <w:jc w:val="right"/>
            </w:pPr>
            <w:r>
              <w:t>19.410.587.743</w:t>
            </w:r>
          </w:p>
        </w:tc>
        <w:tc>
          <w:tcPr>
            <w:tcW w:w="1887" w:type="dxa"/>
          </w:tcPr>
          <w:p w:rsidR="005C2091" w:rsidRDefault="00A86293">
            <w:pPr>
              <w:jc w:val="right"/>
            </w:pPr>
            <w:r>
              <w:t>19.364.277.298</w:t>
            </w:r>
          </w:p>
        </w:tc>
        <w:tc>
          <w:tcPr>
            <w:tcW w:w="1165" w:type="dxa"/>
          </w:tcPr>
          <w:p w:rsidR="005C2091" w:rsidRDefault="00A86293">
            <w:pPr>
              <w:jc w:val="right"/>
            </w:pPr>
            <w:r>
              <w:t>99,8</w:t>
            </w:r>
          </w:p>
        </w:tc>
        <w:tc>
          <w:tcPr>
            <w:tcW w:w="1189" w:type="dxa"/>
          </w:tcPr>
          <w:p w:rsidR="005C2091" w:rsidRDefault="00A86293">
            <w:pPr>
              <w:jc w:val="right"/>
            </w:pPr>
            <w:r>
              <w:t>90,7</w:t>
            </w:r>
          </w:p>
        </w:tc>
      </w:tr>
      <w:tr w:rsidR="005C2091" w:rsidTr="009D6D56">
        <w:trPr>
          <w:jc w:val="center"/>
        </w:trPr>
        <w:tc>
          <w:tcPr>
            <w:tcW w:w="2192" w:type="dxa"/>
          </w:tcPr>
          <w:p w:rsidR="005C2091" w:rsidRDefault="00A86293">
            <w:pPr>
              <w:jc w:val="left"/>
            </w:pPr>
            <w:r>
              <w:t>4202-SERVISIRANJE VANJSKOG DUGA</w:t>
            </w:r>
          </w:p>
        </w:tc>
        <w:tc>
          <w:tcPr>
            <w:tcW w:w="1886" w:type="dxa"/>
          </w:tcPr>
          <w:p w:rsidR="005C2091" w:rsidRDefault="00A86293">
            <w:pPr>
              <w:jc w:val="right"/>
            </w:pPr>
            <w:r>
              <w:t>13.254.300.495</w:t>
            </w:r>
          </w:p>
        </w:tc>
        <w:tc>
          <w:tcPr>
            <w:tcW w:w="1887" w:type="dxa"/>
          </w:tcPr>
          <w:p w:rsidR="005C2091" w:rsidRDefault="00A86293">
            <w:pPr>
              <w:jc w:val="right"/>
            </w:pPr>
            <w:r>
              <w:t>7.845.236.177</w:t>
            </w:r>
          </w:p>
        </w:tc>
        <w:tc>
          <w:tcPr>
            <w:tcW w:w="1887" w:type="dxa"/>
          </w:tcPr>
          <w:p w:rsidR="005C2091" w:rsidRDefault="00A86293">
            <w:pPr>
              <w:jc w:val="right"/>
            </w:pPr>
            <w:r>
              <w:t>7.692.913.290</w:t>
            </w:r>
          </w:p>
        </w:tc>
        <w:tc>
          <w:tcPr>
            <w:tcW w:w="1165" w:type="dxa"/>
          </w:tcPr>
          <w:p w:rsidR="005C2091" w:rsidRDefault="00A86293">
            <w:pPr>
              <w:jc w:val="right"/>
            </w:pPr>
            <w:r>
              <w:t>98,1</w:t>
            </w:r>
          </w:p>
        </w:tc>
        <w:tc>
          <w:tcPr>
            <w:tcW w:w="1189" w:type="dxa"/>
          </w:tcPr>
          <w:p w:rsidR="005C2091" w:rsidRDefault="00A86293">
            <w:pPr>
              <w:jc w:val="right"/>
            </w:pPr>
            <w:r>
              <w:t>58,0</w:t>
            </w:r>
          </w:p>
        </w:tc>
      </w:tr>
      <w:tr w:rsidR="005C2091" w:rsidTr="009D6D56">
        <w:trPr>
          <w:jc w:val="center"/>
        </w:trPr>
        <w:tc>
          <w:tcPr>
            <w:tcW w:w="2192" w:type="dxa"/>
          </w:tcPr>
          <w:p w:rsidR="005C2091" w:rsidRDefault="00A86293">
            <w:pPr>
              <w:jc w:val="left"/>
            </w:pPr>
            <w:r>
              <w:t>4301-PRORAČUNSKA ZALIHA</w:t>
            </w:r>
          </w:p>
        </w:tc>
        <w:tc>
          <w:tcPr>
            <w:tcW w:w="1886" w:type="dxa"/>
          </w:tcPr>
          <w:p w:rsidR="005C2091" w:rsidRDefault="00A86293">
            <w:pPr>
              <w:jc w:val="right"/>
            </w:pPr>
            <w:r>
              <w:t>224.723.048</w:t>
            </w:r>
          </w:p>
        </w:tc>
        <w:tc>
          <w:tcPr>
            <w:tcW w:w="1887" w:type="dxa"/>
          </w:tcPr>
          <w:p w:rsidR="005C2091" w:rsidRDefault="00A86293">
            <w:pPr>
              <w:jc w:val="right"/>
            </w:pPr>
            <w:r>
              <w:t>230.000.000</w:t>
            </w:r>
          </w:p>
        </w:tc>
        <w:tc>
          <w:tcPr>
            <w:tcW w:w="1887" w:type="dxa"/>
          </w:tcPr>
          <w:p w:rsidR="005C2091" w:rsidRDefault="00A86293">
            <w:pPr>
              <w:jc w:val="right"/>
            </w:pPr>
            <w:r>
              <w:t>212.126.425</w:t>
            </w:r>
          </w:p>
        </w:tc>
        <w:tc>
          <w:tcPr>
            <w:tcW w:w="1165" w:type="dxa"/>
          </w:tcPr>
          <w:p w:rsidR="005C2091" w:rsidRDefault="00A86293">
            <w:pPr>
              <w:jc w:val="right"/>
            </w:pPr>
            <w:r>
              <w:t>92,2</w:t>
            </w:r>
          </w:p>
        </w:tc>
        <w:tc>
          <w:tcPr>
            <w:tcW w:w="1189" w:type="dxa"/>
          </w:tcPr>
          <w:p w:rsidR="005C2091" w:rsidRDefault="00A86293">
            <w:pPr>
              <w:jc w:val="right"/>
            </w:pPr>
            <w:r>
              <w:t>94,4</w:t>
            </w:r>
          </w:p>
        </w:tc>
      </w:tr>
      <w:tr w:rsidR="005C2091" w:rsidTr="009D6D56">
        <w:trPr>
          <w:jc w:val="center"/>
        </w:trPr>
        <w:tc>
          <w:tcPr>
            <w:tcW w:w="2192" w:type="dxa"/>
          </w:tcPr>
          <w:p w:rsidR="005C2091" w:rsidRDefault="00A86293">
            <w:pPr>
              <w:jc w:val="left"/>
            </w:pPr>
            <w:r>
              <w:lastRenderedPageBreak/>
              <w:t>4303-OTKLANJANJE POSLJEDICA ELEMENTARNIH NEPOGODA</w:t>
            </w:r>
          </w:p>
        </w:tc>
        <w:tc>
          <w:tcPr>
            <w:tcW w:w="1886" w:type="dxa"/>
          </w:tcPr>
          <w:p w:rsidR="005C2091" w:rsidRDefault="00A86293">
            <w:pPr>
              <w:jc w:val="right"/>
            </w:pPr>
            <w:r>
              <w:t>19.390.720</w:t>
            </w:r>
          </w:p>
        </w:tc>
        <w:tc>
          <w:tcPr>
            <w:tcW w:w="1887" w:type="dxa"/>
          </w:tcPr>
          <w:p w:rsidR="005C2091" w:rsidRDefault="00A86293">
            <w:pPr>
              <w:jc w:val="right"/>
            </w:pPr>
            <w:r>
              <w:t>20.026.500</w:t>
            </w:r>
          </w:p>
        </w:tc>
        <w:tc>
          <w:tcPr>
            <w:tcW w:w="1887" w:type="dxa"/>
          </w:tcPr>
          <w:p w:rsidR="005C2091" w:rsidRDefault="00A86293">
            <w:pPr>
              <w:jc w:val="right"/>
            </w:pPr>
            <w:r>
              <w:t>20.006.079</w:t>
            </w:r>
          </w:p>
        </w:tc>
        <w:tc>
          <w:tcPr>
            <w:tcW w:w="1165" w:type="dxa"/>
          </w:tcPr>
          <w:p w:rsidR="005C2091" w:rsidRDefault="00A86293">
            <w:pPr>
              <w:jc w:val="right"/>
            </w:pPr>
            <w:r>
              <w:t>99,9</w:t>
            </w:r>
          </w:p>
        </w:tc>
        <w:tc>
          <w:tcPr>
            <w:tcW w:w="1189" w:type="dxa"/>
          </w:tcPr>
          <w:p w:rsidR="005C2091" w:rsidRDefault="00A86293">
            <w:pPr>
              <w:jc w:val="right"/>
            </w:pPr>
            <w:r>
              <w:t>103,2</w:t>
            </w:r>
          </w:p>
        </w:tc>
      </w:tr>
    </w:tbl>
    <w:p w:rsidR="005C2091" w:rsidRDefault="005C2091">
      <w:pPr>
        <w:jc w:val="left"/>
      </w:pPr>
    </w:p>
    <w:p w:rsidR="005C2091" w:rsidRDefault="00A86293">
      <w:pPr>
        <w:pStyle w:val="Heading4"/>
      </w:pPr>
      <w:r>
        <w:t>A539232 POTPORE POLITIČKIM STRANKAMA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A539232-POTPORE POLITIČKIM STRANKAMA</w:t>
            </w:r>
          </w:p>
        </w:tc>
        <w:tc>
          <w:tcPr>
            <w:tcW w:w="2041" w:type="dxa"/>
          </w:tcPr>
          <w:p w:rsidR="005C2091" w:rsidRDefault="00A86293">
            <w:pPr>
              <w:pStyle w:val="CellColumn"/>
              <w:jc w:val="right"/>
            </w:pPr>
            <w:r>
              <w:rPr>
                <w:rFonts w:cs="Times New Roman"/>
              </w:rPr>
              <w:t>54.986.434</w:t>
            </w:r>
          </w:p>
        </w:tc>
        <w:tc>
          <w:tcPr>
            <w:tcW w:w="2041" w:type="dxa"/>
          </w:tcPr>
          <w:p w:rsidR="005C2091" w:rsidRDefault="00A86293">
            <w:pPr>
              <w:pStyle w:val="CellColumn"/>
              <w:jc w:val="right"/>
            </w:pPr>
            <w:r>
              <w:rPr>
                <w:rFonts w:cs="Times New Roman"/>
              </w:rPr>
              <w:t>55.000.000</w:t>
            </w:r>
          </w:p>
        </w:tc>
        <w:tc>
          <w:tcPr>
            <w:tcW w:w="2041" w:type="dxa"/>
          </w:tcPr>
          <w:p w:rsidR="005C2091" w:rsidRDefault="00A86293">
            <w:pPr>
              <w:pStyle w:val="CellColumn"/>
              <w:jc w:val="right"/>
            </w:pPr>
            <w:r>
              <w:rPr>
                <w:rFonts w:cs="Times New Roman"/>
              </w:rPr>
              <w:t>54.964.234</w:t>
            </w:r>
          </w:p>
        </w:tc>
        <w:tc>
          <w:tcPr>
            <w:tcW w:w="1224" w:type="dxa"/>
          </w:tcPr>
          <w:p w:rsidR="005C2091" w:rsidRDefault="00A86293">
            <w:pPr>
              <w:pStyle w:val="CellColumn"/>
              <w:jc w:val="right"/>
            </w:pPr>
            <w:r>
              <w:rPr>
                <w:rFonts w:cs="Times New Roman"/>
              </w:rPr>
              <w:t>99,9</w:t>
            </w:r>
          </w:p>
        </w:tc>
        <w:tc>
          <w:tcPr>
            <w:tcW w:w="1224" w:type="dxa"/>
          </w:tcPr>
          <w:p w:rsidR="005C2091" w:rsidRDefault="00A86293">
            <w:pPr>
              <w:pStyle w:val="CellColumn"/>
              <w:jc w:val="right"/>
            </w:pPr>
            <w:r>
              <w:rPr>
                <w:rFonts w:cs="Times New Roman"/>
              </w:rPr>
              <w:t>100,0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financiranju političkih aktivnosti i izborne promidžbe (Narodne novine, br. 24/11, 61/11, 27/13, 48/13 – </w:t>
      </w:r>
    </w:p>
    <w:p w:rsidR="005C2091" w:rsidRDefault="00A86293">
      <w:r>
        <w:t xml:space="preserve">pročišćeni tekst, 2/14 – Odluka Ustavnog suda Republike Hrvatske broj U-I-2986/2013 od 20. prosinca 2013. i </w:t>
      </w:r>
    </w:p>
    <w:p w:rsidR="005C2091" w:rsidRDefault="00A86293">
      <w:r>
        <w:t xml:space="preserve">96/16) </w:t>
      </w:r>
    </w:p>
    <w:p w:rsidR="005C2091" w:rsidRDefault="00A86293">
      <w:r>
        <w:t>- Odluka o raspoređivanju sredstava za rad političkih stranaka i nezavisnih zastupnika (Narodne novine broj: 45/2016 i 102/2016)</w:t>
      </w:r>
    </w:p>
    <w:p w:rsidR="005C2091" w:rsidRDefault="00A86293">
      <w:pPr>
        <w:pStyle w:val="Heading8"/>
        <w:jc w:val="left"/>
      </w:pPr>
      <w:r>
        <w:t>Opis aktivnosti</w:t>
      </w:r>
    </w:p>
    <w:p w:rsidR="005C2091" w:rsidRDefault="00A86293">
      <w:r>
        <w:t>U 2016. godini iz sredstava državnog proračuna financirane su političke stranke koje imaju zastupnika u Hrvatskom saboru i nezavisni zastupnici koji su izabrani s nezavisnih lista. Sredstva su doznačena temeljem odluka o raspoređivanju sredstava za rad političkih stranaka i nezavisnih zastupnika, koje su donesene od strane Odbora za Ustav, na središnji račun političkih stranaka, odnosno na posebni račun nezavisnih zastupnika tromjesečno.</w:t>
      </w:r>
    </w:p>
    <w:p w:rsidR="005C2091" w:rsidRDefault="00A86293">
      <w:pPr>
        <w:pStyle w:val="Heading3"/>
      </w:pPr>
      <w:r>
        <w:rPr>
          <w:rFonts w:cs="Times New Roman"/>
        </w:rPr>
        <w:t>2203 UPRAVLJANJE SUSTAVOM JAVNIH FINANCIJA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2203-UPRAVLJANJE SUSTAVOM JAVNIH FINANCIJA</w:t>
            </w:r>
          </w:p>
        </w:tc>
        <w:tc>
          <w:tcPr>
            <w:tcW w:w="2041" w:type="dxa"/>
          </w:tcPr>
          <w:p w:rsidR="005C2091" w:rsidRDefault="00A86293">
            <w:pPr>
              <w:pStyle w:val="CellColumn"/>
              <w:jc w:val="right"/>
            </w:pPr>
            <w:r>
              <w:rPr>
                <w:rFonts w:cs="Times New Roman"/>
              </w:rPr>
              <w:t>381.988.033</w:t>
            </w:r>
          </w:p>
        </w:tc>
        <w:tc>
          <w:tcPr>
            <w:tcW w:w="2041" w:type="dxa"/>
          </w:tcPr>
          <w:p w:rsidR="005C2091" w:rsidRDefault="00A86293">
            <w:pPr>
              <w:pStyle w:val="CellColumn"/>
              <w:jc w:val="right"/>
            </w:pPr>
            <w:r>
              <w:rPr>
                <w:rFonts w:cs="Times New Roman"/>
              </w:rPr>
              <w:t>194.557.217</w:t>
            </w:r>
          </w:p>
        </w:tc>
        <w:tc>
          <w:tcPr>
            <w:tcW w:w="2041" w:type="dxa"/>
          </w:tcPr>
          <w:p w:rsidR="005C2091" w:rsidRDefault="00A86293">
            <w:pPr>
              <w:pStyle w:val="CellColumn"/>
              <w:jc w:val="right"/>
            </w:pPr>
            <w:r>
              <w:rPr>
                <w:rFonts w:cs="Times New Roman"/>
              </w:rPr>
              <w:t>333.672.271</w:t>
            </w:r>
          </w:p>
        </w:tc>
        <w:tc>
          <w:tcPr>
            <w:tcW w:w="1224" w:type="dxa"/>
          </w:tcPr>
          <w:p w:rsidR="005C2091" w:rsidRDefault="00A86293">
            <w:pPr>
              <w:pStyle w:val="CellColumn"/>
              <w:jc w:val="right"/>
            </w:pPr>
            <w:r>
              <w:rPr>
                <w:rFonts w:cs="Times New Roman"/>
              </w:rPr>
              <w:t>171,5</w:t>
            </w:r>
          </w:p>
        </w:tc>
        <w:tc>
          <w:tcPr>
            <w:tcW w:w="1224" w:type="dxa"/>
          </w:tcPr>
          <w:p w:rsidR="005C2091" w:rsidRDefault="00A86293">
            <w:pPr>
              <w:pStyle w:val="CellColumn"/>
              <w:jc w:val="right"/>
            </w:pPr>
            <w:r>
              <w:rPr>
                <w:rFonts w:cs="Times New Roman"/>
              </w:rPr>
              <w:t>87,4</w:t>
            </w:r>
          </w:p>
        </w:tc>
      </w:tr>
    </w:tbl>
    <w:p w:rsidR="005C2091" w:rsidRDefault="005C2091">
      <w:pPr>
        <w:jc w:val="left"/>
      </w:pPr>
    </w:p>
    <w:p w:rsidR="005C2091" w:rsidRDefault="00A86293">
      <w:pPr>
        <w:pStyle w:val="Heading8"/>
        <w:jc w:val="left"/>
      </w:pPr>
      <w:r>
        <w:lastRenderedPageBreak/>
        <w:t>Cilj 1. Pružiti informatičko-tehnološku podršku radu sustava državne riznice, sustavu prikupljanja javnih prihoda, REGOS-u i dr. te obaviti određene vrste poslova u ime i za račun RH uz naknadu</w:t>
      </w:r>
    </w:p>
    <w:p w:rsidR="005C2091" w:rsidRDefault="00A86293">
      <w:pPr>
        <w:pStyle w:val="Heading8"/>
        <w:jc w:val="left"/>
      </w:pPr>
      <w:r>
        <w:t>Cilj 2. Prikupiti i objediniti podatke o korištenju državnih potpora i potpora male vrijednosti na području Republike Hrvatske u Registar državnih potpora</w:t>
      </w:r>
    </w:p>
    <w:p w:rsidR="005C2091" w:rsidRDefault="00A86293">
      <w:pPr>
        <w:pStyle w:val="Heading4"/>
      </w:pPr>
      <w:r>
        <w:t>A539161 USLUGE PLATNOG PROMETA I OBRADE PODATAKA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A539161-USLUGE PLATNOG PROMETA I OBRADE PODATAKA</w:t>
            </w:r>
          </w:p>
        </w:tc>
        <w:tc>
          <w:tcPr>
            <w:tcW w:w="2041" w:type="dxa"/>
          </w:tcPr>
          <w:p w:rsidR="005C2091" w:rsidRDefault="00A86293">
            <w:pPr>
              <w:pStyle w:val="CellColumn"/>
              <w:jc w:val="right"/>
            </w:pPr>
            <w:r>
              <w:rPr>
                <w:rFonts w:cs="Times New Roman"/>
              </w:rPr>
              <w:t>138.034.634</w:t>
            </w:r>
          </w:p>
        </w:tc>
        <w:tc>
          <w:tcPr>
            <w:tcW w:w="2041" w:type="dxa"/>
          </w:tcPr>
          <w:p w:rsidR="005C2091" w:rsidRDefault="00A86293">
            <w:pPr>
              <w:pStyle w:val="CellColumn"/>
              <w:jc w:val="right"/>
            </w:pPr>
            <w:r>
              <w:rPr>
                <w:rFonts w:cs="Times New Roman"/>
              </w:rPr>
              <w:t>135.192.603</w:t>
            </w:r>
          </w:p>
        </w:tc>
        <w:tc>
          <w:tcPr>
            <w:tcW w:w="2041" w:type="dxa"/>
          </w:tcPr>
          <w:p w:rsidR="005C2091" w:rsidRDefault="00A86293">
            <w:pPr>
              <w:pStyle w:val="CellColumn"/>
              <w:jc w:val="right"/>
            </w:pPr>
            <w:r>
              <w:rPr>
                <w:rFonts w:cs="Times New Roman"/>
              </w:rPr>
              <w:t>132.360.681</w:t>
            </w:r>
          </w:p>
        </w:tc>
        <w:tc>
          <w:tcPr>
            <w:tcW w:w="1224" w:type="dxa"/>
          </w:tcPr>
          <w:p w:rsidR="005C2091" w:rsidRDefault="00A86293">
            <w:pPr>
              <w:pStyle w:val="CellColumn"/>
              <w:jc w:val="right"/>
            </w:pPr>
            <w:r>
              <w:rPr>
                <w:rFonts w:cs="Times New Roman"/>
              </w:rPr>
              <w:t>97,9</w:t>
            </w:r>
          </w:p>
        </w:tc>
        <w:tc>
          <w:tcPr>
            <w:tcW w:w="1224" w:type="dxa"/>
          </w:tcPr>
          <w:p w:rsidR="005C2091" w:rsidRDefault="00A86293">
            <w:pPr>
              <w:pStyle w:val="CellColumn"/>
              <w:jc w:val="right"/>
            </w:pPr>
            <w:r>
              <w:rPr>
                <w:rFonts w:cs="Times New Roman"/>
              </w:rPr>
              <w:t>95,9</w:t>
            </w:r>
          </w:p>
        </w:tc>
      </w:tr>
    </w:tbl>
    <w:p w:rsidR="005C2091" w:rsidRDefault="005C2091">
      <w:pPr>
        <w:jc w:val="left"/>
      </w:pPr>
    </w:p>
    <w:p w:rsidR="005C2091" w:rsidRDefault="00A86293">
      <w:pPr>
        <w:pStyle w:val="Heading8"/>
        <w:jc w:val="left"/>
      </w:pPr>
      <w:r>
        <w:t>Zakonske i druge pravne osnove</w:t>
      </w:r>
    </w:p>
    <w:p w:rsidR="005C2091" w:rsidRDefault="00A86293">
      <w:r>
        <w:t>Ugovori s Financijskom agencijom (FINA) i Hrvatskom narodnom bankom (HNB)</w:t>
      </w:r>
    </w:p>
    <w:p w:rsidR="005C2091" w:rsidRDefault="00A86293">
      <w:pPr>
        <w:pStyle w:val="Heading8"/>
        <w:jc w:val="left"/>
      </w:pPr>
      <w:r>
        <w:t>Opis aktivnosti</w:t>
      </w:r>
    </w:p>
    <w:p w:rsidR="005C2091" w:rsidRDefault="00A86293">
      <w:r>
        <w:t xml:space="preserve">Planirana sredstva po ovoj aktivnosti temelje se na sklopljenim ugovorima sa Hrvatskom narodnom bankom i </w:t>
      </w:r>
    </w:p>
    <w:p w:rsidR="005C2091" w:rsidRDefault="00A86293">
      <w:r>
        <w:t xml:space="preserve">Financijskom agencijom za usluge platnog prometa u zemlji, poslove obrade financijskih i statističkih izvještaja, </w:t>
      </w:r>
    </w:p>
    <w:p w:rsidR="005C2091" w:rsidRDefault="00A86293">
      <w:r>
        <w:t xml:space="preserve">usluge tehhnološke, informatičke i operativne podrške sustavu Državne riznice, poslove vođenja registara i druge </w:t>
      </w:r>
    </w:p>
    <w:p w:rsidR="005C2091" w:rsidRDefault="00A86293">
      <w:r>
        <w:t>ugovorene usluge.</w:t>
      </w:r>
    </w:p>
    <w:p w:rsidR="005C2091" w:rsidRDefault="00A86293">
      <w:pPr>
        <w:pStyle w:val="Heading4"/>
      </w:pPr>
      <w:r>
        <w:t>A539231 USLUGE BANAKA - NAKNADE HBOR-U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A539231-USLUGE BANAKA - NAKNADE HBOR-U</w:t>
            </w:r>
          </w:p>
        </w:tc>
        <w:tc>
          <w:tcPr>
            <w:tcW w:w="2041" w:type="dxa"/>
          </w:tcPr>
          <w:p w:rsidR="005C2091" w:rsidRDefault="00A86293">
            <w:pPr>
              <w:pStyle w:val="CellColumn"/>
              <w:jc w:val="right"/>
            </w:pPr>
            <w:r>
              <w:rPr>
                <w:rFonts w:cs="Times New Roman"/>
              </w:rPr>
              <w:t>9.453.054</w:t>
            </w:r>
          </w:p>
        </w:tc>
        <w:tc>
          <w:tcPr>
            <w:tcW w:w="2041" w:type="dxa"/>
          </w:tcPr>
          <w:p w:rsidR="005C2091" w:rsidRDefault="00A86293">
            <w:pPr>
              <w:pStyle w:val="CellColumn"/>
              <w:jc w:val="right"/>
            </w:pPr>
            <w:r>
              <w:rPr>
                <w:rFonts w:cs="Times New Roman"/>
              </w:rPr>
              <w:t>12.065.000</w:t>
            </w:r>
          </w:p>
        </w:tc>
        <w:tc>
          <w:tcPr>
            <w:tcW w:w="2041" w:type="dxa"/>
          </w:tcPr>
          <w:p w:rsidR="005C2091" w:rsidRDefault="00A86293">
            <w:pPr>
              <w:pStyle w:val="CellColumn"/>
              <w:jc w:val="right"/>
            </w:pPr>
            <w:r>
              <w:rPr>
                <w:rFonts w:cs="Times New Roman"/>
              </w:rPr>
              <w:t>9.578.034</w:t>
            </w:r>
          </w:p>
        </w:tc>
        <w:tc>
          <w:tcPr>
            <w:tcW w:w="1224" w:type="dxa"/>
          </w:tcPr>
          <w:p w:rsidR="005C2091" w:rsidRDefault="00A86293">
            <w:pPr>
              <w:pStyle w:val="CellColumn"/>
              <w:jc w:val="right"/>
            </w:pPr>
            <w:r>
              <w:rPr>
                <w:rFonts w:cs="Times New Roman"/>
              </w:rPr>
              <w:t>79,4</w:t>
            </w:r>
          </w:p>
        </w:tc>
        <w:tc>
          <w:tcPr>
            <w:tcW w:w="1224" w:type="dxa"/>
          </w:tcPr>
          <w:p w:rsidR="005C2091" w:rsidRDefault="00A86293">
            <w:pPr>
              <w:pStyle w:val="CellColumn"/>
              <w:jc w:val="right"/>
            </w:pPr>
            <w:r>
              <w:rPr>
                <w:rFonts w:cs="Times New Roman"/>
              </w:rPr>
              <w:t>101,3</w:t>
            </w:r>
          </w:p>
        </w:tc>
      </w:tr>
    </w:tbl>
    <w:p w:rsidR="005C2091" w:rsidRDefault="005C2091">
      <w:pPr>
        <w:jc w:val="left"/>
      </w:pPr>
    </w:p>
    <w:p w:rsidR="005C2091" w:rsidRDefault="00A86293">
      <w:pPr>
        <w:pStyle w:val="Heading8"/>
        <w:jc w:val="left"/>
      </w:pPr>
      <w:r>
        <w:t>Zakonske i druge pravne osnove</w:t>
      </w:r>
    </w:p>
    <w:p w:rsidR="005C2091" w:rsidRDefault="00A86293">
      <w:r>
        <w:t xml:space="preserve">- Ugovor o nalogu za obavljanje poslova osiguranja izvoza u ime i za račun RH od 4. ožujka 2008. godine, Dodatak </w:t>
      </w:r>
    </w:p>
    <w:p w:rsidR="005C2091" w:rsidRDefault="00A86293">
      <w:r>
        <w:t xml:space="preserve">I od 9. listopada 2009. godine, Dodatak II od 4. siječnja 2010. godine i Dodatak III od 26. svibnja 2015. godine </w:t>
      </w:r>
    </w:p>
    <w:p w:rsidR="005C2091" w:rsidRDefault="00A86293">
      <w:r>
        <w:t xml:space="preserve">(Poslovi osiguranja izvoza od političkih i komercijalnih rizika). Osiguranje izvoznih poslova obavlja se u ime i za </w:t>
      </w:r>
    </w:p>
    <w:p w:rsidR="005C2091" w:rsidRDefault="00A86293">
      <w:r>
        <w:t xml:space="preserve">račun RH temeljem Uredbe o osiguranju izvoza (NN 61/2007., NN 92/2008. i NN 79/2010.) te Rješenja Agencije </w:t>
      </w:r>
    </w:p>
    <w:p w:rsidR="005C2091" w:rsidRDefault="00A86293">
      <w:r>
        <w:t xml:space="preserve">za zaštitu tržišnog natjecanja od 7. listopada 2010. godine, 27. prosinca 2012. godine i 9. svibnja 2013. godine o </w:t>
      </w:r>
    </w:p>
    <w:p w:rsidR="005C2091" w:rsidRDefault="00A86293">
      <w:r>
        <w:t xml:space="preserve">obnovi primjene klauzule izuzeća na poslove izvozno kreditnog osiguranja od utrživih rizika </w:t>
      </w:r>
    </w:p>
    <w:p w:rsidR="005C2091" w:rsidRDefault="00A86293">
      <w:r>
        <w:t xml:space="preserve">- Ugovor o obavljanju poslova u ime i za račun od 14. lipnja 1996. godine (Program zapošljavanja razvojačenih </w:t>
      </w:r>
    </w:p>
    <w:p w:rsidR="005C2091" w:rsidRDefault="00A86293">
      <w:r>
        <w:t xml:space="preserve">pripadnika HV-a) </w:t>
      </w:r>
    </w:p>
    <w:p w:rsidR="005C2091" w:rsidRDefault="00A86293">
      <w:r>
        <w:lastRenderedPageBreak/>
        <w:t xml:space="preserve">- Ugovor o obavljanju poslova u ime i za račun od 25. lipnja 1997. godine (Program kreditiranja razvitka i obnove </w:t>
      </w:r>
    </w:p>
    <w:p w:rsidR="005C2091" w:rsidRDefault="00A86293">
      <w:r>
        <w:t xml:space="preserve">poljodjelskih domaćinstava) </w:t>
      </w:r>
    </w:p>
    <w:p w:rsidR="005C2091" w:rsidRDefault="00A86293">
      <w:r>
        <w:t xml:space="preserve">- Ugovor o obavljanju poslova u ime i za račun od 9. lipnja 1998. godine (Program kreditiranja uzgoja i tova </w:t>
      </w:r>
    </w:p>
    <w:p w:rsidR="005C2091" w:rsidRDefault="00A86293">
      <w:r>
        <w:t xml:space="preserve">kvalitetne teladi u 1998. godini) </w:t>
      </w:r>
    </w:p>
    <w:p w:rsidR="005C2091" w:rsidRDefault="00A86293">
      <w:r>
        <w:t xml:space="preserve">- Ugovor o otplati kredita po stanoobnovi </w:t>
      </w:r>
    </w:p>
    <w:p w:rsidR="005C2091" w:rsidRDefault="00A86293">
      <w:r>
        <w:t xml:space="preserve">- Ugovor o nalogu za obavljanje poslova ulaganja u Fondove za gospodarsku suradnju od 26. siječnja 2011. godine, </w:t>
      </w:r>
    </w:p>
    <w:p w:rsidR="005C2091" w:rsidRDefault="00A86293">
      <w:r>
        <w:t>Dodatak I od 26. siječnja 2012. godine i Dodatak II od 5. srpnja 2016. godine.</w:t>
      </w:r>
    </w:p>
    <w:p w:rsidR="005C2091" w:rsidRDefault="00A86293">
      <w:pPr>
        <w:pStyle w:val="Heading8"/>
        <w:jc w:val="left"/>
      </w:pPr>
      <w:r>
        <w:t>Opis aktivnosti</w:t>
      </w:r>
    </w:p>
    <w:p w:rsidR="005C2091" w:rsidRDefault="00A86293">
      <w:r>
        <w:t>Sredstava s navedene aktivnosti isplaćena su za podmirenje naknada za poslove koje obavlja HBOR za račun Vlade Republike Hrvatske sukladno odredbama potpisanih Ugovorima.</w:t>
      </w:r>
    </w:p>
    <w:p w:rsidR="005C2091" w:rsidRDefault="00A86293">
      <w:pPr>
        <w:pStyle w:val="Heading4"/>
      </w:pPr>
      <w:r>
        <w:t>K767051 REGISTAR DRŽAVNIH POTPORA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K767051-REGISTAR DRŽAVNIH POTPORA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500.000</w:t>
            </w:r>
          </w:p>
        </w:tc>
        <w:tc>
          <w:tcPr>
            <w:tcW w:w="2041"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Zakon o državnim potporama („Narodne novine“, broj 47/14) i Pravilnik o dostavi prijedloga državnih potpora i podataka o državnim potporama („Narodne novine“, broj 99/13).</w:t>
      </w:r>
    </w:p>
    <w:p w:rsidR="005C2091" w:rsidRDefault="00A86293">
      <w:pPr>
        <w:pStyle w:val="Heading8"/>
        <w:jc w:val="left"/>
      </w:pPr>
      <w:r>
        <w:t>Opis aktivnosti</w:t>
      </w:r>
    </w:p>
    <w:p w:rsidR="005C2091" w:rsidRDefault="00A86293">
      <w:r>
        <w:t>Registar državnih potpora je jedinstvena elektronička baza podataka o svim prijavljenim državnim potporama te podataka o korištenju državnih potpora i potpora male vrijednosti koje dodjeljuju tijela državne vlasti u Republici Hrvatskoj kako na centralnoj tako i na lokalnoj razini. Ministarstvo financija u obvezi je voditi Registar državnih potpora i potpora male vrijednosti na temelju primljenih podataka od strane davatelja državnih potpora i potpora male vrijednosti te analizu učinkovitosti dodijeljenih državnih potpora. Izrada Registra državnih potpora sukladna je zakonskim obvezama, pravilima o državnim potporama, te obvezama, propisima i zahtjevima Europske komisije koji se odnose na postupanje u okviru modernizacije državnih potpora u Europskoj uniji.</w:t>
      </w:r>
    </w:p>
    <w:p w:rsidR="005C2091" w:rsidRDefault="00A86293">
      <w:pPr>
        <w:pStyle w:val="Heading3"/>
      </w:pPr>
      <w:r>
        <w:rPr>
          <w:rFonts w:cs="Times New Roman"/>
        </w:rPr>
        <w:t>2204 FINANCIRANJE DECENTRALIZIRANIH FUNKCIJA</w:t>
      </w:r>
    </w:p>
    <w:tbl>
      <w:tblPr>
        <w:tblStyle w:val="StilTablice"/>
        <w:tblW w:w="10206" w:type="dxa"/>
        <w:jc w:val="center"/>
        <w:tblLook w:val="04A0" w:firstRow="1" w:lastRow="0" w:firstColumn="1" w:lastColumn="0" w:noHBand="0" w:noVBand="1"/>
      </w:tblPr>
      <w:tblGrid>
        <w:gridCol w:w="2193"/>
        <w:gridCol w:w="1883"/>
        <w:gridCol w:w="1883"/>
        <w:gridCol w:w="1883"/>
        <w:gridCol w:w="1171"/>
        <w:gridCol w:w="1193"/>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2204-FINANCIRANJE DECENTRALIZIRANIH FUNKCIJA</w:t>
            </w:r>
          </w:p>
        </w:tc>
        <w:tc>
          <w:tcPr>
            <w:tcW w:w="2041" w:type="dxa"/>
          </w:tcPr>
          <w:p w:rsidR="005C2091" w:rsidRDefault="00A86293">
            <w:pPr>
              <w:pStyle w:val="CellColumn"/>
              <w:jc w:val="right"/>
            </w:pPr>
            <w:r>
              <w:rPr>
                <w:rFonts w:cs="Times New Roman"/>
              </w:rPr>
              <w:t>1.676.938.127</w:t>
            </w:r>
          </w:p>
        </w:tc>
        <w:tc>
          <w:tcPr>
            <w:tcW w:w="2041" w:type="dxa"/>
          </w:tcPr>
          <w:p w:rsidR="005C2091" w:rsidRDefault="00A86293">
            <w:pPr>
              <w:pStyle w:val="CellColumn"/>
              <w:jc w:val="right"/>
            </w:pPr>
            <w:r>
              <w:rPr>
                <w:rFonts w:cs="Times New Roman"/>
              </w:rPr>
              <w:t>1.575.815.939</w:t>
            </w:r>
          </w:p>
        </w:tc>
        <w:tc>
          <w:tcPr>
            <w:tcW w:w="2041" w:type="dxa"/>
          </w:tcPr>
          <w:p w:rsidR="005C2091" w:rsidRDefault="00A86293">
            <w:pPr>
              <w:pStyle w:val="CellColumn"/>
              <w:jc w:val="right"/>
            </w:pPr>
            <w:r>
              <w:rPr>
                <w:rFonts w:cs="Times New Roman"/>
              </w:rPr>
              <w:t>1.562.505.056</w:t>
            </w:r>
          </w:p>
        </w:tc>
        <w:tc>
          <w:tcPr>
            <w:tcW w:w="1224" w:type="dxa"/>
          </w:tcPr>
          <w:p w:rsidR="005C2091" w:rsidRDefault="00A86293">
            <w:pPr>
              <w:pStyle w:val="CellColumn"/>
              <w:jc w:val="right"/>
            </w:pPr>
            <w:r>
              <w:rPr>
                <w:rFonts w:cs="Times New Roman"/>
              </w:rPr>
              <w:t>99,2</w:t>
            </w:r>
          </w:p>
        </w:tc>
        <w:tc>
          <w:tcPr>
            <w:tcW w:w="1224" w:type="dxa"/>
          </w:tcPr>
          <w:p w:rsidR="005C2091" w:rsidRDefault="00A86293">
            <w:pPr>
              <w:pStyle w:val="CellColumn"/>
              <w:jc w:val="right"/>
            </w:pPr>
            <w:r>
              <w:rPr>
                <w:rFonts w:cs="Times New Roman"/>
              </w:rPr>
              <w:t>93,2</w:t>
            </w:r>
          </w:p>
        </w:tc>
      </w:tr>
    </w:tbl>
    <w:p w:rsidR="005C2091" w:rsidRDefault="005C2091">
      <w:pPr>
        <w:jc w:val="left"/>
      </w:pPr>
    </w:p>
    <w:p w:rsidR="005C2091" w:rsidRDefault="00A86293">
      <w:r>
        <w:t xml:space="preserve">Decentralizirane funkcije su rashodi koji su posebnim zakonima za osnovno i srednje školstvo, socijalnu skrb, zdravstvo i vatrogastvo preneseni na jedinice lokalne i područne (regionalne) samouprave, a financiraju se iz dodatnog udjela u porezu na dohodak i iz pomoći izravnanja za decentralizirane funkcije. Dodatni udio u porezu na dohodak propisan je Zakonom o financiranju jedinica lokalne i područne (regionalne) samouprave. Pomoći izravnanja za decentralizirane funkcije planiraju se u državnom proračunu Republike Hrvatske za pomoć </w:t>
      </w:r>
      <w:r>
        <w:lastRenderedPageBreak/>
        <w:t xml:space="preserve">jedinicama lokalne i područne (regionalne) samouprave (nositeljima financiranja preuzetih decentraliziranih funkcija) za financiranje decentraliziranih funkcija kada prihodi ostvareni iz dodatnog udjela u porezu na dohodak nisu dovoljni za financiranje minimalnih financijskih standarda.  </w:t>
      </w:r>
    </w:p>
    <w:p w:rsidR="005C2091" w:rsidRDefault="00A86293">
      <w:r>
        <w:t xml:space="preserve">Uredbom Vlade Republike Hrvatske utvrđuje se način izračuna iznosa pomoći izravnanja za decentralizirane funkcije jedinica lokalne i područne (regionalne) samouprave, iz državnog proračuna Republike Hrvatske za određenu godinu, prema posebnim zakonima i odlukama Vlade RH o kriterijima i mjerilima za osiguravanje minimalnog financijskog standarda javnih potreba u djelatnostima osnovnog i srednjeg školstva, zdravstva i socijalne skrbi te vatrogastva. </w:t>
      </w:r>
    </w:p>
    <w:p w:rsidR="005C2091" w:rsidRDefault="00A86293">
      <w:r>
        <w:t xml:space="preserve">Zakonske i druge pravne osnove </w:t>
      </w:r>
    </w:p>
    <w:p w:rsidR="005C2091" w:rsidRDefault="00A86293">
      <w:r>
        <w:t xml:space="preserve">- članak 45.a i 45.b Zakona o financiranju jedinica lokalne i područne (regionalne) samouprave (Narodne novine, br. 117/93, 69/97, 33/00, 73/00, 127/00, 59/01, 107/01, 117/01, 150/02, 147/03, 132/06, 26/07 – Odluka Ustavnog suda Republike Hrvatske, 73/08, 25/12, 147/14 i 115/16),    </w:t>
      </w:r>
    </w:p>
    <w:p w:rsidR="005C2091" w:rsidRDefault="00A86293">
      <w:r>
        <w:t xml:space="preserve">- Uredba Vlade Republike Hrvatske o načinu izračuna iznosa pomoći izravnanja za decentralizirane funkcije jedinica lokalne i područne (regionalne) samouprave za 2016. godinu (Narodne novine, br. 33/16)    </w:t>
      </w:r>
    </w:p>
    <w:p w:rsidR="005C2091" w:rsidRDefault="00A86293">
      <w:r>
        <w:t>- odluke Vlade RH o minimalnim financijskim standardima u djelatnostima osnovnog i srednjeg školstva, socijalne skrbi, zdravstva i vatrogastva za 2016. godinu.</w:t>
      </w:r>
    </w:p>
    <w:p w:rsidR="005C2091" w:rsidRDefault="00A86293">
      <w:pPr>
        <w:pStyle w:val="Heading8"/>
        <w:jc w:val="left"/>
      </w:pPr>
      <w:r>
        <w:t>Cilj 1. Osigurati redovno izvršavanje decentraliziranih funkcija županijama, Gradu Zagrebu, gradovima i općinama (korisnicima pomoći izravnanja) do visine sredstva (bilančnih prava) potrebnih za osiguravanje minimalnih financijskih standarda utvrđenih u odlukama o minimalnim financijskim standardima i uredbom Vlade Republike Hrvatske za određenu godinu</w:t>
      </w:r>
    </w:p>
    <w:p w:rsidR="005C2091" w:rsidRDefault="00A86293">
      <w:pPr>
        <w:pStyle w:val="Heading8"/>
        <w:jc w:val="left"/>
      </w:pPr>
      <w:r>
        <w:t>Opis provedbe cilja programa</w:t>
      </w:r>
    </w:p>
    <w:p w:rsidR="005C2091" w:rsidRDefault="00A86293">
      <w:r>
        <w:t>Ukupan iznos sredstava za provedbu Programa 2204 odnosno aktivnosti A539150 Dodatna sredstva izravnanja za decentralizirane funkcije za 2016. godinu planiran je u iznosu od 1.575.815.939,00 kuna, a izvršen u iznosu od 1.562.505.055,67 kuna, odnosno 99,2% planiranih sredstava.</w:t>
      </w:r>
    </w:p>
    <w:p w:rsidR="005C2091" w:rsidRDefault="00A86293">
      <w:pPr>
        <w:pStyle w:val="Heading3"/>
      </w:pPr>
      <w:r>
        <w:rPr>
          <w:rFonts w:cs="Times New Roman"/>
        </w:rPr>
        <w:t>2205 POMOĆI LOKALNOJ I PODRUČNOJ (REGIONALNOJ) SAMOUPRAVI</w:t>
      </w:r>
    </w:p>
    <w:tbl>
      <w:tblPr>
        <w:tblStyle w:val="StilTablice"/>
        <w:tblW w:w="10206" w:type="dxa"/>
        <w:jc w:val="center"/>
        <w:tblLook w:val="04A0" w:firstRow="1" w:lastRow="0" w:firstColumn="1" w:lastColumn="0" w:noHBand="0" w:noVBand="1"/>
      </w:tblPr>
      <w:tblGrid>
        <w:gridCol w:w="1636"/>
        <w:gridCol w:w="2040"/>
        <w:gridCol w:w="2041"/>
        <w:gridCol w:w="2041"/>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2205-POMOĆI LOKALNOJ I PODRUČNOJ (REGIONALNOJ) SAMOUPRAVI</w:t>
            </w:r>
          </w:p>
        </w:tc>
        <w:tc>
          <w:tcPr>
            <w:tcW w:w="2041" w:type="dxa"/>
          </w:tcPr>
          <w:p w:rsidR="005C2091" w:rsidRDefault="00A86293">
            <w:pPr>
              <w:pStyle w:val="CellColumn"/>
              <w:jc w:val="right"/>
            </w:pPr>
            <w:r>
              <w:rPr>
                <w:rFonts w:cs="Times New Roman"/>
              </w:rPr>
              <w:t>674.800.134</w:t>
            </w:r>
          </w:p>
        </w:tc>
        <w:tc>
          <w:tcPr>
            <w:tcW w:w="2041" w:type="dxa"/>
          </w:tcPr>
          <w:p w:rsidR="005C2091" w:rsidRDefault="00A86293">
            <w:pPr>
              <w:pStyle w:val="CellColumn"/>
              <w:jc w:val="right"/>
            </w:pPr>
            <w:r>
              <w:rPr>
                <w:rFonts w:cs="Times New Roman"/>
              </w:rPr>
              <w:t>694.800.134</w:t>
            </w:r>
          </w:p>
        </w:tc>
        <w:tc>
          <w:tcPr>
            <w:tcW w:w="2041" w:type="dxa"/>
          </w:tcPr>
          <w:p w:rsidR="005C2091" w:rsidRDefault="00A86293">
            <w:pPr>
              <w:pStyle w:val="CellColumn"/>
              <w:jc w:val="right"/>
            </w:pPr>
            <w:r>
              <w:rPr>
                <w:rFonts w:cs="Times New Roman"/>
              </w:rPr>
              <w:t>694.800.134</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103,0</w:t>
            </w:r>
          </w:p>
        </w:tc>
      </w:tr>
    </w:tbl>
    <w:p w:rsidR="005C2091" w:rsidRDefault="005C2091">
      <w:pPr>
        <w:jc w:val="left"/>
      </w:pPr>
    </w:p>
    <w:p w:rsidR="005C2091" w:rsidRDefault="00A86293">
      <w:r>
        <w:t xml:space="preserve">Jedinicama lokalne i područne (regionalne) samouprave koje su, temeljem Odluke o razvrstavanju jedinica lokalne i područne (regionalne) samouprave prema stupnju razvijenosti (Narodne novine, br. 158/13), razvrstane u I. i II. skupinu jedinica lokalne samouprave odnosno I. skupinu jedinica područne (regionalne) samouprave čija je vrijednost indeksa razvijenosti manja od 75% prosjeka Republike Hrvatske, isplaćivala se pomoć u visini izvršenog povrata poreza na dohodak po godišnjoj prijavi obveznicima na njihovom području u godini koja prethodi godini izrade proračuna, te se jedinicama lokalne samouprave isplatila razlika do visine stvarno utvrđenog povrata poreza na dohodak u 2014. godini. Iznimno od navedenog, jedinicama lokalne samouprave koje su status potpomognutog područja stekle u 2014. godini pomoć se isplaćivala u visini izvršenog povrata poreza na dohodak po godišnjoj prijavi obveznicima na njihovu području u 2015. godini.  </w:t>
      </w:r>
    </w:p>
    <w:p w:rsidR="005C2091" w:rsidRDefault="00A86293">
      <w:r>
        <w:t xml:space="preserve">Na na ime povrata poreza na dohodak u 2016. isplaćeno je 372.526.584,00 kn.  </w:t>
      </w:r>
    </w:p>
    <w:p w:rsidR="005C2091" w:rsidRDefault="00A86293">
      <w:r>
        <w:t xml:space="preserve">Prihod od poreza na dobit koji se ostvario na području jedinica lokalne samouprave razvrstanih u I. i II. skupinu iz članka 35. stavka 1.  Zakona o regionalnom razvoju, a prihod je države, isplaćivao se tim jedinicama kao pomoć iz </w:t>
      </w:r>
      <w:r>
        <w:lastRenderedPageBreak/>
        <w:t xml:space="preserve">državnog proračuna u visini prihoda od poreza na dobit ostvarenog na njihovom području u godini koja prethodi godini izrade proračuna ako su i u 2014. ostvarivali pravo na tu pomoć, odnosno u visini 50% ostvarenog prihoda od poreza na dobit ako 2014. nisu ostvarivali pravo na tu pomoć. Navedenim jedinicama se na ime pomoći u visini ostvarenog poreza na dobit u 2016. godini isplatilo 150.793.776,00 kn. </w:t>
      </w:r>
    </w:p>
    <w:p w:rsidR="005C2091" w:rsidRDefault="00A86293">
      <w:r>
        <w:t xml:space="preserve">Jedinicama lokalne samouprave koje su Odlukom o razvrstavanju jedinica lokalne i područne (regionalne) samouprave prema stupnju razvijenosti (Narodne novine, br. 158/13) razvrstane u I. i II. skupinu jedinica lokalne samouprave isplaćivala se pomoć u visini pomoći planiranih u Državnom proračunu Republike Hrvatske za 2014. godinu i projekcijama za 2015. i 2016. godinu i to samo onim jedinicama koje su u 2014. godini ostvarivale pravo na tu pomoć. Za navedenu namjenu isplaćeno je 37.572.646,00 kn. </w:t>
      </w:r>
    </w:p>
    <w:p w:rsidR="005C2091" w:rsidRDefault="00A86293">
      <w:r>
        <w:t xml:space="preserve">Jedinicama lokalne samouprave prema stupnju razvijenosti razvrstanih u I. i II. skupinu jedinica lokalne samouprave i jedinicama područne (regionalne) samouprave razvrstanih u I. skupinu jedinica područne (regionalne) samouprave isplaćivala se dodatna pomoć obrnuto proporcionalno njihovu indeksu razvijenosti u ukupnom iznosu od 93.084.960,00 kn. </w:t>
      </w:r>
    </w:p>
    <w:p w:rsidR="005C2091" w:rsidRDefault="00A86293">
      <w:r>
        <w:t xml:space="preserve">Jedinicama lokalne samouprave sa statusom područja posebne državne skrbi (u cijelosti), a koje su temeljem Odluke o razvrstavanju jedinica lokalne i područne (regionalne) samouprave prema stupnju razvijenosti razvrstane u III., IV. ili V. skupinu jedinica lokalne samouprave isplaćivala se pomoć, ovisno o pripadnosti skupini, u visini prihoda od poreza na dobit ostvarenog u 2013. na području jedinice lokalne samouprave koja prima pomoć uvećanog za dio poreza na dohodak koji je ta jedinica u 2013. ostvarila iz uvećanog udjela u porezu na dohodak zbog svoje pripadnosti području posebne državne skrbi. Na ime navedene pomoći isplaćeno je 29.905.692,00 kn.  </w:t>
      </w:r>
    </w:p>
    <w:p w:rsidR="005C2091" w:rsidRDefault="00A86293">
      <w:r>
        <w:t xml:space="preserve">Jedinicama lokalne samouprave sa statusom brdsko-planinskih područja, a koje su, temeljem Odluke o razvrstavanju jedinica lokalne i područne (regionalne) samouprave prema stupnju razvijenosti razvrstane u III., IV. ili V. skupinu jedinica lokalne samouprave čija vrijednost indeksa razvijenosti prelazi 75% prosjeka Republike Hrvatske, isplaćivala se pomoć sukladno kriterijima iz članka 39. stavka 1. Zakona o izvršavanju Državnog proračuna Republike Hrvatske za 2016. godinu  koja se umanjuje za iznos razlike prihoda od poreza na dohodak koji te jedinice ostvaruju temeljem članka 45. stavka 9. Zakona o izmjenama Zakona o financiranju jedinica lokalne i područne (regionalne) samouprave (Narodne novine, br. 100/15.) te prihoda koje bi ostvarile temeljem osnovne raspodjele prihoda od poreza na dohodak propisane člankom 45. stavkom 5. Zakona o izmjenama Zakona o financiranju jedinica lokalne i područne (regionalne) samouprave (Narodne novine, br. 100/15). U 2016. po ovoj osnovi isplaćeno je 10.916.476,00 kn. </w:t>
      </w:r>
    </w:p>
    <w:p w:rsidR="005C2091" w:rsidRDefault="00A86293">
      <w:r>
        <w:t xml:space="preserve">Zakonske i druge pravne osnove </w:t>
      </w:r>
    </w:p>
    <w:p w:rsidR="005C2091" w:rsidRDefault="00A86293">
      <w:r>
        <w:t xml:space="preserve">Zakon o regionalnom razvoju Republike Hrvatske (Narodne novine, br. 147/14)  </w:t>
      </w:r>
    </w:p>
    <w:p w:rsidR="005C2091" w:rsidRDefault="00A86293">
      <w:r>
        <w:t xml:space="preserve">Zakon o izvršavanju Državnog proračuna Republike Hrvatske za 2016. godinu (Narodne novine, br. 26/16 i 111/16)  </w:t>
      </w:r>
    </w:p>
    <w:p w:rsidR="005C2091" w:rsidRDefault="00A86293">
      <w:r>
        <w:t>Odluka o razvrstavanju jedinica lokalne i područne (regionalne) samouprave prema stupnju razvijenosti (Narodne novine, br. 158/13)</w:t>
      </w:r>
    </w:p>
    <w:p w:rsidR="005C2091" w:rsidRDefault="00A86293">
      <w:pPr>
        <w:pStyle w:val="Heading8"/>
        <w:jc w:val="left"/>
      </w:pPr>
      <w:r>
        <w:t>Cilj 1. Korekcija fiskalnog kapaciteta ispodprosječno razvijenih jedinica lokalne i područne (regionalne) samouprave</w:t>
      </w:r>
    </w:p>
    <w:p w:rsidR="005C2091" w:rsidRDefault="00A86293">
      <w:pPr>
        <w:pStyle w:val="Heading8"/>
        <w:jc w:val="left"/>
      </w:pPr>
      <w:r>
        <w:t>Opis provedbe cilja programa</w:t>
      </w:r>
    </w:p>
    <w:p w:rsidR="005C2091" w:rsidRDefault="00A86293">
      <w:r>
        <w:t>Ukupan iznos sredstava za provedbu Programa 2205 Pomoći lokalnoj i područnoj (regionalnoj) samoupravi planiran je za 2016. godinu u iznosu od 694.800.134,00 kuna te su sredstva isplaćena u istom iznosu, odnosno 100% planiranih sredstava.</w:t>
      </w:r>
    </w:p>
    <w:p w:rsidR="005C2091" w:rsidRDefault="00A86293">
      <w:pPr>
        <w:pStyle w:val="Heading3"/>
      </w:pPr>
      <w:r>
        <w:rPr>
          <w:rFonts w:cs="Times New Roman"/>
        </w:rPr>
        <w:t>2206 UPRAVLJANJE PRETPRISTUPNIM FONDOVIMA</w:t>
      </w:r>
    </w:p>
    <w:tbl>
      <w:tblPr>
        <w:tblStyle w:val="StilTablice"/>
        <w:tblW w:w="10206" w:type="dxa"/>
        <w:jc w:val="center"/>
        <w:tblLook w:val="04A0" w:firstRow="1" w:lastRow="0" w:firstColumn="1" w:lastColumn="0" w:noHBand="0" w:noVBand="1"/>
      </w:tblPr>
      <w:tblGrid>
        <w:gridCol w:w="1793"/>
        <w:gridCol w:w="1994"/>
        <w:gridCol w:w="1995"/>
        <w:gridCol w:w="1995"/>
        <w:gridCol w:w="1212"/>
        <w:gridCol w:w="1217"/>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lastRenderedPageBreak/>
              <w:t>2206-UPRAVLJANJE PRETPRISTUPNIM FONDOVIMA</w:t>
            </w:r>
          </w:p>
        </w:tc>
        <w:tc>
          <w:tcPr>
            <w:tcW w:w="2041" w:type="dxa"/>
          </w:tcPr>
          <w:p w:rsidR="005C2091" w:rsidRDefault="00A86293">
            <w:pPr>
              <w:pStyle w:val="CellColumn"/>
              <w:jc w:val="right"/>
            </w:pPr>
            <w:r>
              <w:rPr>
                <w:rFonts w:cs="Times New Roman"/>
              </w:rPr>
              <w:t>23.134.781</w:t>
            </w:r>
          </w:p>
        </w:tc>
        <w:tc>
          <w:tcPr>
            <w:tcW w:w="2041" w:type="dxa"/>
          </w:tcPr>
          <w:p w:rsidR="005C2091" w:rsidRDefault="00A86293">
            <w:pPr>
              <w:pStyle w:val="CellColumn"/>
              <w:jc w:val="right"/>
            </w:pPr>
            <w:r>
              <w:rPr>
                <w:rFonts w:cs="Times New Roman"/>
              </w:rPr>
              <w:t>36.888.500</w:t>
            </w:r>
          </w:p>
        </w:tc>
        <w:tc>
          <w:tcPr>
            <w:tcW w:w="2041" w:type="dxa"/>
          </w:tcPr>
          <w:p w:rsidR="005C2091" w:rsidRDefault="00A86293">
            <w:pPr>
              <w:pStyle w:val="CellColumn"/>
              <w:jc w:val="right"/>
            </w:pPr>
            <w:r>
              <w:rPr>
                <w:rFonts w:cs="Times New Roman"/>
              </w:rPr>
              <w:t>24.859.353</w:t>
            </w:r>
          </w:p>
        </w:tc>
        <w:tc>
          <w:tcPr>
            <w:tcW w:w="1224" w:type="dxa"/>
          </w:tcPr>
          <w:p w:rsidR="005C2091" w:rsidRDefault="00A86293">
            <w:pPr>
              <w:pStyle w:val="CellColumn"/>
              <w:jc w:val="right"/>
            </w:pPr>
            <w:r>
              <w:rPr>
                <w:rFonts w:cs="Times New Roman"/>
              </w:rPr>
              <w:t>67,4</w:t>
            </w:r>
          </w:p>
        </w:tc>
        <w:tc>
          <w:tcPr>
            <w:tcW w:w="1224" w:type="dxa"/>
          </w:tcPr>
          <w:p w:rsidR="005C2091" w:rsidRDefault="00A86293">
            <w:pPr>
              <w:pStyle w:val="CellColumn"/>
              <w:jc w:val="right"/>
            </w:pPr>
            <w:r>
              <w:rPr>
                <w:rFonts w:cs="Times New Roman"/>
              </w:rPr>
              <w:t>107,5</w:t>
            </w:r>
          </w:p>
        </w:tc>
      </w:tr>
    </w:tbl>
    <w:p w:rsidR="005C2091" w:rsidRDefault="005C2091">
      <w:pPr>
        <w:jc w:val="left"/>
      </w:pPr>
    </w:p>
    <w:p w:rsidR="005C2091" w:rsidRDefault="00A86293">
      <w:r>
        <w:t xml:space="preserve">U procesu korištenja sredstava EU pomoći potrebno je osigurati njihovo zakonito trošenje kao i pružanje pomoći tijelima državne uprave i jedinicama lokalne samouprave u korištenju sredstava. Program je namijenjen i za povrat nepravilno utrošenih sredstava iz fondova Europske unije. </w:t>
      </w:r>
    </w:p>
    <w:p w:rsidR="005C2091" w:rsidRDefault="00A86293">
      <w:r>
        <w:t xml:space="preserve">Zakonske i druge pravne osnove: </w:t>
      </w:r>
    </w:p>
    <w:p w:rsidR="005C2091" w:rsidRDefault="00A86293">
      <w:r>
        <w:t xml:space="preserve">Zakon o potvrđivanju Okvirnog sporazuma između Vlade Republike Hrvatske i Komisije europskih zajednica o pravilima za suradnju u svezi financijske pomoći Europske zajednice Republici Hrvatskoj u provedbi pomoći u okviru Instrumenta pretpristupne pomoći (IPA) (Narodne novine, broj 10/07) i Financijski sporazumi po pojedinim IPA komponentama;     </w:t>
      </w:r>
    </w:p>
    <w:p w:rsidR="005C2091" w:rsidRDefault="00A86293">
      <w:r>
        <w:t>Ugovor o financiranju između Republike Hrvatske i Europske investicijske banke za projekt sufinanciranja EU IPA ISPA 2007-2011 (Narodne novine, Međunarodni ugovori, broj 10/10).</w:t>
      </w:r>
    </w:p>
    <w:p w:rsidR="005C2091" w:rsidRDefault="00A86293">
      <w:pPr>
        <w:pStyle w:val="Heading8"/>
        <w:jc w:val="left"/>
      </w:pPr>
      <w:r>
        <w:t>Cilj 1. Osigurati zakonitost i provedivost korištenja sredstava pomoći Europske unije</w:t>
      </w:r>
    </w:p>
    <w:p w:rsidR="005C2091" w:rsidRDefault="00A86293">
      <w:pPr>
        <w:pStyle w:val="Heading4"/>
      </w:pPr>
      <w:r>
        <w:t>A818027 ZAJMOVI ZA SUFINANCIRANJE IPA PROJEKATA (EIB)</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A818027-ZAJMOVI ZA SUFINANCIRANJE IPA PROJEKATA (EIB)</w:t>
            </w:r>
          </w:p>
        </w:tc>
        <w:tc>
          <w:tcPr>
            <w:tcW w:w="2041" w:type="dxa"/>
          </w:tcPr>
          <w:p w:rsidR="005C2091" w:rsidRDefault="00A86293">
            <w:pPr>
              <w:pStyle w:val="CellColumn"/>
              <w:jc w:val="right"/>
            </w:pPr>
            <w:r>
              <w:rPr>
                <w:rFonts w:cs="Times New Roman"/>
              </w:rPr>
              <w:t>22.930.794</w:t>
            </w:r>
          </w:p>
        </w:tc>
        <w:tc>
          <w:tcPr>
            <w:tcW w:w="2041" w:type="dxa"/>
          </w:tcPr>
          <w:p w:rsidR="005C2091" w:rsidRDefault="00A86293">
            <w:pPr>
              <w:pStyle w:val="CellColumn"/>
              <w:jc w:val="right"/>
            </w:pPr>
            <w:r>
              <w:rPr>
                <w:rFonts w:cs="Times New Roman"/>
              </w:rPr>
              <w:t>32.125.000</w:t>
            </w:r>
          </w:p>
        </w:tc>
        <w:tc>
          <w:tcPr>
            <w:tcW w:w="2041" w:type="dxa"/>
          </w:tcPr>
          <w:p w:rsidR="005C2091" w:rsidRDefault="00A86293">
            <w:pPr>
              <w:pStyle w:val="CellColumn"/>
              <w:jc w:val="right"/>
            </w:pPr>
            <w:r>
              <w:rPr>
                <w:rFonts w:cs="Times New Roman"/>
              </w:rPr>
              <w:t>22.760.913</w:t>
            </w:r>
          </w:p>
        </w:tc>
        <w:tc>
          <w:tcPr>
            <w:tcW w:w="1224" w:type="dxa"/>
          </w:tcPr>
          <w:p w:rsidR="005C2091" w:rsidRDefault="00A86293">
            <w:pPr>
              <w:pStyle w:val="CellColumn"/>
              <w:jc w:val="right"/>
            </w:pPr>
            <w:r>
              <w:rPr>
                <w:rFonts w:cs="Times New Roman"/>
              </w:rPr>
              <w:t>70,9</w:t>
            </w:r>
          </w:p>
        </w:tc>
        <w:tc>
          <w:tcPr>
            <w:tcW w:w="1224" w:type="dxa"/>
          </w:tcPr>
          <w:p w:rsidR="005C2091" w:rsidRDefault="00A86293">
            <w:pPr>
              <w:pStyle w:val="CellColumn"/>
              <w:jc w:val="right"/>
            </w:pPr>
            <w:r>
              <w:rPr>
                <w:rFonts w:cs="Times New Roman"/>
              </w:rPr>
              <w:t>99,3</w:t>
            </w:r>
          </w:p>
        </w:tc>
      </w:tr>
    </w:tbl>
    <w:p w:rsidR="005C2091" w:rsidRDefault="005C2091">
      <w:pPr>
        <w:jc w:val="left"/>
      </w:pPr>
    </w:p>
    <w:p w:rsidR="005C2091" w:rsidRDefault="00A86293">
      <w:pPr>
        <w:pStyle w:val="Heading8"/>
        <w:jc w:val="left"/>
      </w:pPr>
      <w:r>
        <w:t>Zakonske i druge pravne osnove</w:t>
      </w:r>
    </w:p>
    <w:p w:rsidR="005C2091" w:rsidRDefault="00A86293">
      <w:r>
        <w:t xml:space="preserve">Ugovor o financiranju između Republike Hrvatske i Europske investicijske banke za projekt sufinanciranja EU IPA </w:t>
      </w:r>
    </w:p>
    <w:p w:rsidR="005C2091" w:rsidRDefault="00A86293">
      <w:r>
        <w:t>ISPA 2007-2011 (Narodne novine, Međunarodni ugovori, broj 10/10)</w:t>
      </w:r>
    </w:p>
    <w:p w:rsidR="005C2091" w:rsidRDefault="00A86293">
      <w:pPr>
        <w:pStyle w:val="Heading8"/>
        <w:jc w:val="left"/>
      </w:pPr>
      <w:r>
        <w:t>Opis aktivnosti</w:t>
      </w:r>
    </w:p>
    <w:p w:rsidR="005C2091" w:rsidRDefault="00A86293">
      <w:r>
        <w:t>Prema Projektu sufinanciranja EU IPA ISPA 2007-2011, a u skladu s odredbama potpisanog Ugovora o financiranju između Republike Hrvatske i Europske investicijske banke, Ministarstvo financija je sklopilo ugovore o zajmu za sufinanciranje projekata s: Primorsko-goranskom županijom, Gradom Rijekom i Ekoplus d.o.o. Rijeka, trgovačkim društvom za gospodarenje otpadom za sufinanciranje izgradnje Županijskog centra za gospodarenjem otpadom Marišćina, s Istarskom županijom za sufinanciranje izgradnje Županijskog centra za gospodarenjem otpadom Kaštijun te s Gradom Šibenikom za sufinanciranje izgradnje Regionalnog centra za gospodarenjem otpadom Bikarac.</w:t>
      </w:r>
    </w:p>
    <w:p w:rsidR="005C2091" w:rsidRDefault="00A86293">
      <w:pPr>
        <w:pStyle w:val="Heading3"/>
      </w:pPr>
      <w:r>
        <w:rPr>
          <w:rFonts w:cs="Times New Roman"/>
        </w:rPr>
        <w:t>2304 ČLANSTVO REPUBLIKE HRVATSKE U MEĐUNARODNIM FINANCIJSKIM INSTITUCIJAMA</w:t>
      </w:r>
    </w:p>
    <w:tbl>
      <w:tblPr>
        <w:tblStyle w:val="StilTablice"/>
        <w:tblW w:w="10206" w:type="dxa"/>
        <w:jc w:val="center"/>
        <w:tblLook w:val="04A0" w:firstRow="1" w:lastRow="0" w:firstColumn="1" w:lastColumn="0" w:noHBand="0" w:noVBand="1"/>
      </w:tblPr>
      <w:tblGrid>
        <w:gridCol w:w="1804"/>
        <w:gridCol w:w="1992"/>
        <w:gridCol w:w="1992"/>
        <w:gridCol w:w="1992"/>
        <w:gridCol w:w="1210"/>
        <w:gridCol w:w="1216"/>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lastRenderedPageBreak/>
              <w:t>2304-ČLANSTVO REPUBLIKE HRVATSKE U MEĐUNARODNIM FINANCIJSKIM INSTITUCIJAMA</w:t>
            </w:r>
          </w:p>
        </w:tc>
        <w:tc>
          <w:tcPr>
            <w:tcW w:w="2041" w:type="dxa"/>
          </w:tcPr>
          <w:p w:rsidR="005C2091" w:rsidRDefault="00A86293">
            <w:pPr>
              <w:pStyle w:val="CellColumn"/>
              <w:jc w:val="right"/>
            </w:pPr>
            <w:r>
              <w:rPr>
                <w:rFonts w:cs="Times New Roman"/>
              </w:rPr>
              <w:t>206.199.628</w:t>
            </w:r>
          </w:p>
        </w:tc>
        <w:tc>
          <w:tcPr>
            <w:tcW w:w="2041" w:type="dxa"/>
          </w:tcPr>
          <w:p w:rsidR="005C2091" w:rsidRDefault="00A86293">
            <w:pPr>
              <w:pStyle w:val="CellColumn"/>
              <w:jc w:val="right"/>
            </w:pPr>
            <w:r>
              <w:rPr>
                <w:rFonts w:cs="Times New Roman"/>
              </w:rPr>
              <w:t>408.396.362</w:t>
            </w:r>
          </w:p>
        </w:tc>
        <w:tc>
          <w:tcPr>
            <w:tcW w:w="2041" w:type="dxa"/>
          </w:tcPr>
          <w:p w:rsidR="005C2091" w:rsidRDefault="00A86293">
            <w:pPr>
              <w:pStyle w:val="CellColumn"/>
              <w:jc w:val="right"/>
            </w:pPr>
            <w:r>
              <w:rPr>
                <w:rFonts w:cs="Times New Roman"/>
              </w:rPr>
              <w:t>399.324.390</w:t>
            </w:r>
          </w:p>
        </w:tc>
        <w:tc>
          <w:tcPr>
            <w:tcW w:w="1224" w:type="dxa"/>
          </w:tcPr>
          <w:p w:rsidR="005C2091" w:rsidRDefault="00A86293">
            <w:pPr>
              <w:pStyle w:val="CellColumn"/>
              <w:jc w:val="right"/>
            </w:pPr>
            <w:r>
              <w:rPr>
                <w:rFonts w:cs="Times New Roman"/>
              </w:rPr>
              <w:t>97,8</w:t>
            </w:r>
          </w:p>
        </w:tc>
        <w:tc>
          <w:tcPr>
            <w:tcW w:w="1224" w:type="dxa"/>
          </w:tcPr>
          <w:p w:rsidR="005C2091" w:rsidRDefault="00A86293">
            <w:pPr>
              <w:pStyle w:val="CellColumn"/>
              <w:jc w:val="right"/>
            </w:pPr>
            <w:r>
              <w:rPr>
                <w:rFonts w:cs="Times New Roman"/>
              </w:rPr>
              <w:t>193,7</w:t>
            </w:r>
          </w:p>
        </w:tc>
      </w:tr>
    </w:tbl>
    <w:p w:rsidR="005C2091" w:rsidRDefault="005C2091">
      <w:pPr>
        <w:jc w:val="left"/>
      </w:pPr>
    </w:p>
    <w:p w:rsidR="005C2091" w:rsidRDefault="00A86293">
      <w:pPr>
        <w:pStyle w:val="Heading8"/>
        <w:jc w:val="left"/>
      </w:pPr>
      <w:r>
        <w:t>Cilj 1. Jačati bilateralnu i multilateralnu suradnju Republike Hrvatske s međunarodnim tijelima i organizacijama te uredno podmirivati preuzete obveze.</w:t>
      </w:r>
    </w:p>
    <w:p w:rsidR="005C2091" w:rsidRDefault="00A86293">
      <w:pPr>
        <w:pStyle w:val="Heading8"/>
        <w:jc w:val="left"/>
      </w:pPr>
      <w:r>
        <w:t>Cilj 2. Povećati sudjelovanje u radu međunarodnih financijskih institucija te povećati korištenje sredstava tih institucija kroz različite vrste projekata.</w:t>
      </w:r>
    </w:p>
    <w:p w:rsidR="00290EC0" w:rsidRPr="00290EC0" w:rsidRDefault="00290EC0" w:rsidP="00290EC0"/>
    <w:p w:rsidR="005C2091" w:rsidRDefault="00A86293">
      <w:pPr>
        <w:pStyle w:val="Heading4"/>
      </w:pPr>
      <w:r>
        <w:t>A539053 UDJELI U KAPITALU MEĐUNARODNIH FINANCIJSKIH INSTITUCIJA</w:t>
      </w:r>
    </w:p>
    <w:tbl>
      <w:tblPr>
        <w:tblStyle w:val="StilTablice"/>
        <w:tblW w:w="10206" w:type="dxa"/>
        <w:jc w:val="center"/>
        <w:tblLook w:val="04A0" w:firstRow="1" w:lastRow="0" w:firstColumn="1" w:lastColumn="0" w:noHBand="0" w:noVBand="1"/>
      </w:tblPr>
      <w:tblGrid>
        <w:gridCol w:w="1770"/>
        <w:gridCol w:w="2002"/>
        <w:gridCol w:w="2002"/>
        <w:gridCol w:w="2002"/>
        <w:gridCol w:w="1213"/>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A539053-UDJELI U KAPITALU MEĐUNARODNIH FINANCIJSKIH INSTITUCIJA</w:t>
            </w:r>
          </w:p>
        </w:tc>
        <w:tc>
          <w:tcPr>
            <w:tcW w:w="2041" w:type="dxa"/>
          </w:tcPr>
          <w:p w:rsidR="005C2091" w:rsidRDefault="00A86293">
            <w:pPr>
              <w:pStyle w:val="CellColumn"/>
              <w:jc w:val="right"/>
            </w:pPr>
            <w:r>
              <w:rPr>
                <w:rFonts w:cs="Times New Roman"/>
              </w:rPr>
              <w:t>206.169.438</w:t>
            </w:r>
          </w:p>
        </w:tc>
        <w:tc>
          <w:tcPr>
            <w:tcW w:w="2041" w:type="dxa"/>
          </w:tcPr>
          <w:p w:rsidR="005C2091" w:rsidRDefault="00A86293">
            <w:pPr>
              <w:pStyle w:val="CellColumn"/>
              <w:jc w:val="right"/>
            </w:pPr>
            <w:r>
              <w:rPr>
                <w:rFonts w:cs="Times New Roman"/>
              </w:rPr>
              <w:t>408.396.362</w:t>
            </w:r>
          </w:p>
        </w:tc>
        <w:tc>
          <w:tcPr>
            <w:tcW w:w="2041" w:type="dxa"/>
          </w:tcPr>
          <w:p w:rsidR="005C2091" w:rsidRDefault="00A86293">
            <w:pPr>
              <w:pStyle w:val="CellColumn"/>
              <w:jc w:val="right"/>
            </w:pPr>
            <w:r>
              <w:rPr>
                <w:rFonts w:cs="Times New Roman"/>
              </w:rPr>
              <w:t>399.324.390</w:t>
            </w:r>
          </w:p>
        </w:tc>
        <w:tc>
          <w:tcPr>
            <w:tcW w:w="1224" w:type="dxa"/>
          </w:tcPr>
          <w:p w:rsidR="005C2091" w:rsidRDefault="00A86293">
            <w:pPr>
              <w:pStyle w:val="CellColumn"/>
              <w:jc w:val="right"/>
            </w:pPr>
            <w:r>
              <w:rPr>
                <w:rFonts w:cs="Times New Roman"/>
              </w:rPr>
              <w:t>97,8</w:t>
            </w:r>
          </w:p>
        </w:tc>
        <w:tc>
          <w:tcPr>
            <w:tcW w:w="1224" w:type="dxa"/>
          </w:tcPr>
          <w:p w:rsidR="005C2091" w:rsidRDefault="00A86293">
            <w:pPr>
              <w:pStyle w:val="CellColumn"/>
              <w:jc w:val="right"/>
            </w:pPr>
            <w:r>
              <w:rPr>
                <w:rFonts w:cs="Times New Roman"/>
              </w:rPr>
              <w:t>193,7</w:t>
            </w:r>
          </w:p>
        </w:tc>
      </w:tr>
    </w:tbl>
    <w:p w:rsidR="005C2091" w:rsidRDefault="005C2091">
      <w:pPr>
        <w:jc w:val="left"/>
      </w:pPr>
    </w:p>
    <w:p w:rsidR="005C2091" w:rsidRDefault="00A86293">
      <w:pPr>
        <w:pStyle w:val="Heading8"/>
        <w:jc w:val="left"/>
      </w:pPr>
      <w:r>
        <w:t>Zakonske i druge pravne osnove</w:t>
      </w:r>
    </w:p>
    <w:p w:rsidR="005C2091" w:rsidRDefault="00A86293">
      <w:r>
        <w:t xml:space="preserve">Rezolucija Odbora guvernera Inter-američke banke za razvoj (IDB) br. AG-1/12 i AB-2764-12 i Odluka Vlade Republike Hrvatske (Narodne novine 16/11) o 9. Općem povećanju kapitala IDB-a; </w:t>
      </w:r>
    </w:p>
    <w:p w:rsidR="005C2091" w:rsidRDefault="00A86293">
      <w:r>
        <w:t xml:space="preserve">Ugovor o pristupanju Republike Hrvatske Europskoj uniji (Narodne novine – Međunarodni ugovori, broj 2/12) te Odluka Odbora guvernera Europske investicijske banke (EIB) od 31. prosinca 2012. i 01. srpnja 2013. o općem povećanju kapitala EIB-a; </w:t>
      </w:r>
    </w:p>
    <w:p w:rsidR="005C2091" w:rsidRDefault="00A86293">
      <w:r>
        <w:t>Rezolucija Odbora guvernera Međunarodnog monetarnog fonda o 14. općoj reviziji kvota br. 66-2 od 15/12/2010 i Uredba Vlade Republike Hrvatske (Narodne novine 142/2011).</w:t>
      </w:r>
    </w:p>
    <w:p w:rsidR="005C2091" w:rsidRDefault="00A86293">
      <w:pPr>
        <w:pStyle w:val="Heading8"/>
        <w:jc w:val="left"/>
      </w:pPr>
      <w:r>
        <w:t>Opis aktivnosti</w:t>
      </w:r>
    </w:p>
    <w:p w:rsidR="005C2091" w:rsidRDefault="00A86293">
      <w:r>
        <w:t xml:space="preserve">Temeljem zakona i odluka Vlade Republike Hrvatske, Republika Hrvatska je članica više međunarodnih financijskih institucija (MFI): Međunarodni monetarni fond (MMF), Međunarodna banka za obnovu i razvoj (IBRD), Međunarodna financijska korporacija (IFC), Agencija za multilateralno garantiranje investicija (MIGA), Međunarodno udruženje za razvoj (IDA), Međunarodni centar za rješavanje ulagačkih sporova (ICSID), Europska banka za obnovu i razvoj (EBRD), Inter-američka banka za razvoj (IDB), Razvoja banka Vijeća Europe (CEB), Europska investicijska banka (EIB). Aktivnost se koristi za planiranje sredstava potrebnih za podmirenje obveza RH po osnovi uplate članskog kapitala u MFI-ima te na uplate doprinosa rezervama, fondovima i kvotama u MFI-ima. </w:t>
      </w:r>
    </w:p>
    <w:p w:rsidR="005C2091" w:rsidRDefault="00A86293">
      <w:r>
        <w:t xml:space="preserve"> Sredstva po ovoj aktivnosti odnose se na uplate Republike Hrvatske vezane uz:   </w:t>
      </w:r>
    </w:p>
    <w:p w:rsidR="005C2091" w:rsidRDefault="00A86293">
      <w:r>
        <w:t xml:space="preserve">a) deveto opće povećanje kapitala IDB-a;   </w:t>
      </w:r>
    </w:p>
    <w:p w:rsidR="005C2091" w:rsidRDefault="00A86293">
      <w:r>
        <w:t xml:space="preserve">plaćen je peti (zadnji) obrok obveza RH za kapital IDB-a u iznosu od 168,9 tisuća USD;  </w:t>
      </w:r>
    </w:p>
    <w:p w:rsidR="005C2091" w:rsidRDefault="00A86293">
      <w:r>
        <w:t xml:space="preserve">b) kapital i rezerve EIB-a;   </w:t>
      </w:r>
    </w:p>
    <w:p w:rsidR="005C2091" w:rsidRDefault="00A86293">
      <w:r>
        <w:t xml:space="preserve">plaćen je četvrti i peti od osam obroka obveza RH za kapital i rezerve EIB-a u iznosu od 51,97 milijuna EUR; </w:t>
      </w:r>
    </w:p>
    <w:p w:rsidR="005C2091" w:rsidRDefault="00A86293">
      <w:r>
        <w:t xml:space="preserve">c) povećanje kvote Republike Hrvatske u MMF-u;  </w:t>
      </w:r>
    </w:p>
    <w:p w:rsidR="005C2091" w:rsidRDefault="00A86293">
      <w:r>
        <w:lastRenderedPageBreak/>
        <w:t>plaćen je iznos od 8,52 milijuna HRK.</w:t>
      </w:r>
    </w:p>
    <w:p w:rsidR="00786F04" w:rsidRDefault="00786F04"/>
    <w:p w:rsidR="00B7677F" w:rsidRDefault="00B7677F"/>
    <w:p w:rsidR="00B7677F" w:rsidRDefault="00B7677F"/>
    <w:p w:rsidR="00B7677F" w:rsidRDefault="00B7677F"/>
    <w:p w:rsidR="005C2091" w:rsidRDefault="00A86293">
      <w:pPr>
        <w:pStyle w:val="Heading3"/>
      </w:pPr>
      <w:r>
        <w:rPr>
          <w:rFonts w:cs="Times New Roman"/>
        </w:rPr>
        <w:t>2307 DOPRINOS REPUBLIKE HRVATSKE PRORAČUNU EUROPSKE UNIJE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2307-DOPRINOS REPUBLIKE HRVATSKE PRORAČUNU EUROPSKE UNIJE</w:t>
            </w:r>
          </w:p>
        </w:tc>
        <w:tc>
          <w:tcPr>
            <w:tcW w:w="2041" w:type="dxa"/>
          </w:tcPr>
          <w:p w:rsidR="005C2091" w:rsidRDefault="00A86293">
            <w:pPr>
              <w:pStyle w:val="CellColumn"/>
              <w:jc w:val="right"/>
            </w:pPr>
            <w:r>
              <w:rPr>
                <w:rFonts w:cs="Times New Roman"/>
              </w:rPr>
              <w:t>3.018.478.892</w:t>
            </w:r>
          </w:p>
        </w:tc>
        <w:tc>
          <w:tcPr>
            <w:tcW w:w="2041" w:type="dxa"/>
          </w:tcPr>
          <w:p w:rsidR="005C2091" w:rsidRDefault="00A86293">
            <w:pPr>
              <w:pStyle w:val="CellColumn"/>
              <w:jc w:val="right"/>
            </w:pPr>
            <w:r>
              <w:rPr>
                <w:rFonts w:cs="Times New Roman"/>
              </w:rPr>
              <w:t>3.220.425.983</w:t>
            </w:r>
          </w:p>
        </w:tc>
        <w:tc>
          <w:tcPr>
            <w:tcW w:w="2041" w:type="dxa"/>
          </w:tcPr>
          <w:p w:rsidR="005C2091" w:rsidRDefault="00A86293">
            <w:pPr>
              <w:pStyle w:val="CellColumn"/>
              <w:jc w:val="right"/>
            </w:pPr>
            <w:r>
              <w:rPr>
                <w:rFonts w:cs="Times New Roman"/>
              </w:rPr>
              <w:t>3.220.425.982</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106,7</w:t>
            </w:r>
          </w:p>
        </w:tc>
      </w:tr>
    </w:tbl>
    <w:p w:rsidR="005C2091" w:rsidRDefault="005C2091">
      <w:pPr>
        <w:jc w:val="left"/>
      </w:pPr>
    </w:p>
    <w:p w:rsidR="005C2091" w:rsidRDefault="00A86293">
      <w:r>
        <w:t>Ovaj program uključuje aktivnosti koje se odnose na doprinos Republike Hrvatske proračunu Europske unije na temelju vlastitih sredstava Europske unije. Naime, Republika Hrvatska, kao i sve ostale države članice Europske unije, obavezna je sudjelovati u financiranju proračuna Europske unije u skladu s pravnom stečevinom Europske unije o sustavu vlastitih sredstava.</w:t>
      </w:r>
    </w:p>
    <w:p w:rsidR="005C2091" w:rsidRDefault="00A86293">
      <w:pPr>
        <w:pStyle w:val="Heading8"/>
        <w:jc w:val="left"/>
      </w:pPr>
      <w:r>
        <w:t>Cilj 1. Ispuniti financijske obveze iz članstva u Europskoj uniji</w:t>
      </w:r>
    </w:p>
    <w:p w:rsidR="005C2091" w:rsidRDefault="00A86293">
      <w:pPr>
        <w:pStyle w:val="Heading4"/>
      </w:pPr>
      <w:r>
        <w:t>A544023 DOPRINOS REPUBLIKE HRVATSKE PRORAČUNU EUROPSKE UNIJE NA TEMELJU VLASTITIH SREDSTAVA OD BND-a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A544023-DOPRINOS REPUBLIKE HRVATSKE PRORAČUNU EUROPSKE UNIJE NA TEMELJU VLASTITIH SREDSTAVA OD BND-a</w:t>
            </w:r>
          </w:p>
        </w:tc>
        <w:tc>
          <w:tcPr>
            <w:tcW w:w="2041" w:type="dxa"/>
          </w:tcPr>
          <w:p w:rsidR="005C2091" w:rsidRDefault="00A86293">
            <w:pPr>
              <w:pStyle w:val="CellColumn"/>
              <w:jc w:val="right"/>
            </w:pPr>
            <w:r>
              <w:rPr>
                <w:rFonts w:cs="Times New Roman"/>
              </w:rPr>
              <w:t>2.058.664.808</w:t>
            </w:r>
          </w:p>
        </w:tc>
        <w:tc>
          <w:tcPr>
            <w:tcW w:w="2041" w:type="dxa"/>
          </w:tcPr>
          <w:p w:rsidR="005C2091" w:rsidRDefault="00A86293">
            <w:pPr>
              <w:pStyle w:val="CellColumn"/>
              <w:jc w:val="right"/>
            </w:pPr>
            <w:r>
              <w:rPr>
                <w:rFonts w:cs="Times New Roman"/>
              </w:rPr>
              <w:t>2.107.395.263</w:t>
            </w:r>
          </w:p>
        </w:tc>
        <w:tc>
          <w:tcPr>
            <w:tcW w:w="2041" w:type="dxa"/>
          </w:tcPr>
          <w:p w:rsidR="005C2091" w:rsidRDefault="00A86293">
            <w:pPr>
              <w:pStyle w:val="CellColumn"/>
              <w:jc w:val="right"/>
            </w:pPr>
            <w:r>
              <w:rPr>
                <w:rFonts w:cs="Times New Roman"/>
              </w:rPr>
              <w:t>2.107.395.263</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102,4</w:t>
            </w:r>
          </w:p>
        </w:tc>
      </w:tr>
    </w:tbl>
    <w:p w:rsidR="005C2091" w:rsidRDefault="005C2091">
      <w:pPr>
        <w:jc w:val="left"/>
      </w:pPr>
    </w:p>
    <w:p w:rsidR="005C2091" w:rsidRDefault="00A86293">
      <w:pPr>
        <w:pStyle w:val="Heading8"/>
        <w:jc w:val="left"/>
      </w:pPr>
      <w:r>
        <w:t>Zakonske i druge pravne osnove</w:t>
      </w:r>
    </w:p>
    <w:p w:rsidR="005C2091" w:rsidRDefault="00A86293">
      <w:r>
        <w:t xml:space="preserve">Ugovor o pristupanju Republike Hrvatske Europskoj uniji  </w:t>
      </w:r>
    </w:p>
    <w:p w:rsidR="005C2091" w:rsidRDefault="00A86293">
      <w:r>
        <w:t xml:space="preserve">Odluka Vijeća o sustavu vlastitih sredstava Europske unije (EZ, EURATOM) br. 2014/335. </w:t>
      </w:r>
    </w:p>
    <w:p w:rsidR="005C2091" w:rsidRDefault="00A86293">
      <w:r>
        <w:t>Uredba Vijeća o izmjeni Uredbe (EU, Euratom) br. 609/2014 o metodama i postupku za stavljanje na raspolaganje tradicionalnih vlastitih sredstava i vlastitih sredstava koja se temelje na PDV-u i BND-u te o mjerama za zadovoljavanje potreba za gotovinom (EZ, EURATOM) br. 2016/804.</w:t>
      </w:r>
    </w:p>
    <w:p w:rsidR="005C2091" w:rsidRDefault="00A86293">
      <w:pPr>
        <w:pStyle w:val="Heading8"/>
        <w:jc w:val="left"/>
      </w:pPr>
      <w:r>
        <w:lastRenderedPageBreak/>
        <w:t>Opis aktivnosti</w:t>
      </w:r>
    </w:p>
    <w:p w:rsidR="005C2091" w:rsidRDefault="00A86293">
      <w:r>
        <w:t>Republika Hrvatska, kao i sve ostale države članice Europske unije, obvezna je sudjelovati u financiranju proračuna Europske unije u skladu s pravnom stečevinom Europske unije o sustavu vlastitih sredstava. Temeljem Uredbe Vijeća br. 2016/804, Republika Hrvatska obvezna je doznačiti doprinos Republike Hrvatske proračunu Europske unije na temelju vlastitih sredstava Europske unije na račun Europske komisije. U skladu sa zahtjevima za plaćanjem doprinosa Republike Hrvatske u proračun Europske unije na temelju bruto nacionalnog dohotka, primljenim od Europske komisije, Republika Hrvatska izvršila je svoje obveze uplata za ovu aktivnost.</w:t>
      </w:r>
    </w:p>
    <w:p w:rsidR="00290EC0" w:rsidRDefault="00290EC0"/>
    <w:p w:rsidR="005C2091" w:rsidRDefault="00A86293">
      <w:pPr>
        <w:pStyle w:val="Heading4"/>
      </w:pPr>
      <w:r>
        <w:t>A557040 DOPRINOS REPUBLIKE HRVATSKE PRORAČUNU EUROPSKE UNIJE NA TEMELJU UK KOREKCIJE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A557040-DOPRINOS REPUBLIKE HRVATSKE PRORAČUNU EUROPSKE UNIJE NA TEMELJU UK KOREKCIJE</w:t>
            </w:r>
          </w:p>
        </w:tc>
        <w:tc>
          <w:tcPr>
            <w:tcW w:w="2041" w:type="dxa"/>
          </w:tcPr>
          <w:p w:rsidR="005C2091" w:rsidRDefault="00A86293">
            <w:pPr>
              <w:pStyle w:val="CellColumn"/>
              <w:jc w:val="right"/>
            </w:pPr>
            <w:r>
              <w:rPr>
                <w:rFonts w:cs="Times New Roman"/>
              </w:rPr>
              <w:t>203.885.724</w:t>
            </w:r>
          </w:p>
        </w:tc>
        <w:tc>
          <w:tcPr>
            <w:tcW w:w="2041" w:type="dxa"/>
          </w:tcPr>
          <w:p w:rsidR="005C2091" w:rsidRDefault="00A86293">
            <w:pPr>
              <w:pStyle w:val="CellColumn"/>
              <w:jc w:val="right"/>
            </w:pPr>
            <w:r>
              <w:rPr>
                <w:rFonts w:cs="Times New Roman"/>
              </w:rPr>
              <w:t>211.406.723</w:t>
            </w:r>
          </w:p>
        </w:tc>
        <w:tc>
          <w:tcPr>
            <w:tcW w:w="2041" w:type="dxa"/>
          </w:tcPr>
          <w:p w:rsidR="005C2091" w:rsidRDefault="00A86293">
            <w:pPr>
              <w:pStyle w:val="CellColumn"/>
              <w:jc w:val="right"/>
            </w:pPr>
            <w:r>
              <w:rPr>
                <w:rFonts w:cs="Times New Roman"/>
              </w:rPr>
              <w:t>211.406.723</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103,7</w:t>
            </w:r>
          </w:p>
        </w:tc>
      </w:tr>
    </w:tbl>
    <w:p w:rsidR="005C2091" w:rsidRDefault="005C2091">
      <w:pPr>
        <w:jc w:val="left"/>
      </w:pPr>
    </w:p>
    <w:p w:rsidR="005C2091" w:rsidRDefault="00A86293">
      <w:pPr>
        <w:pStyle w:val="Heading8"/>
        <w:jc w:val="left"/>
      </w:pPr>
      <w:r>
        <w:t>Zakonske i druge pravne osnove</w:t>
      </w:r>
    </w:p>
    <w:p w:rsidR="005C2091" w:rsidRDefault="00A86293">
      <w:r>
        <w:t xml:space="preserve">Ugovor o pristupanju Republike Hrvatske Europskoj uniji  </w:t>
      </w:r>
    </w:p>
    <w:p w:rsidR="005C2091" w:rsidRDefault="00A86293">
      <w:r>
        <w:t xml:space="preserve">Odluka Vijeća o sustavu vlastitih sredstava Europske unije (EZ, EURATOM) br. 2014/335. </w:t>
      </w:r>
    </w:p>
    <w:p w:rsidR="005C2091" w:rsidRDefault="00A86293">
      <w:r>
        <w:t>Uredba Vijeća o izmjeni Uredbe (EU, Euratom) br. 609/2014 o metodama i postupku za stavljanje na raspolaganje tradicionalnih vlastitih sredstava i vlastitih sredstava koja se temelje na PDV-u i BND-u te o mjerama za zadovoljavanje potreba za gotovinom (EZ, EURATOM) br. 2016/804.</w:t>
      </w:r>
    </w:p>
    <w:p w:rsidR="005C2091" w:rsidRDefault="00A86293">
      <w:pPr>
        <w:pStyle w:val="Heading8"/>
        <w:jc w:val="left"/>
      </w:pPr>
      <w:r>
        <w:t>Opis aktivnosti</w:t>
      </w:r>
    </w:p>
    <w:p w:rsidR="005C2091" w:rsidRDefault="00A86293">
      <w:r>
        <w:t>Republika Hrvatska, kao i sve ostale države članice Europske unije, obvezna je sudjelovati u financiranju proračuna Europske unije u skladu s pravnom stečevinom Europske unije o sustavu vlastitih sredstava. Temeljem Uredbe Vijeća br. 2016/804, Republika Hrvatska obvezna je doznačiti doprinos Republike Hrvatske proračunu Europske unije na temelju vlastitih sredstava Europske unije na račun Europske komisije. U skladu sa zahtjevima za plaćanjem doprinosa Republike Hrvatske u proračun Europske unije na temelju korekcije za Ujedinjeno Kraljevstvo, primljenim od Europske komisije, Republika Hrvatska izvršila je svoje obveze uplata za ovu aktivnost.</w:t>
      </w:r>
    </w:p>
    <w:p w:rsidR="005C2091" w:rsidRDefault="00A86293">
      <w:pPr>
        <w:pStyle w:val="Heading4"/>
      </w:pPr>
      <w:r>
        <w:t>A767039 DOPRINOS REPUBLIKE HRVATSKE PRORAČUNU EUROPSKE UNIJE NA TEMELJU VLASTITIH SREDSTAVA OD PDV-a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A767039-DOPRINOS REPUBLIKE HRVATSKE PRORAČUNU EUROPSKE UNIJE NA TEMELJU VLASTITIH SREDSTAVA OD PDV-a</w:t>
            </w:r>
          </w:p>
        </w:tc>
        <w:tc>
          <w:tcPr>
            <w:tcW w:w="2041" w:type="dxa"/>
          </w:tcPr>
          <w:p w:rsidR="005C2091" w:rsidRDefault="00A86293">
            <w:pPr>
              <w:pStyle w:val="CellColumn"/>
              <w:jc w:val="right"/>
            </w:pPr>
            <w:r>
              <w:rPr>
                <w:rFonts w:cs="Times New Roman"/>
              </w:rPr>
              <w:t>448.459.369</w:t>
            </w:r>
          </w:p>
        </w:tc>
        <w:tc>
          <w:tcPr>
            <w:tcW w:w="2041" w:type="dxa"/>
          </w:tcPr>
          <w:p w:rsidR="005C2091" w:rsidRDefault="00A86293">
            <w:pPr>
              <w:pStyle w:val="CellColumn"/>
              <w:jc w:val="right"/>
            </w:pPr>
            <w:r>
              <w:rPr>
                <w:rFonts w:cs="Times New Roman"/>
              </w:rPr>
              <w:t>476.183.190</w:t>
            </w:r>
          </w:p>
        </w:tc>
        <w:tc>
          <w:tcPr>
            <w:tcW w:w="2041" w:type="dxa"/>
          </w:tcPr>
          <w:p w:rsidR="005C2091" w:rsidRDefault="00A86293">
            <w:pPr>
              <w:pStyle w:val="CellColumn"/>
              <w:jc w:val="right"/>
            </w:pPr>
            <w:r>
              <w:rPr>
                <w:rFonts w:cs="Times New Roman"/>
              </w:rPr>
              <w:t>476.183.190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106,2</w:t>
            </w:r>
          </w:p>
        </w:tc>
      </w:tr>
    </w:tbl>
    <w:p w:rsidR="005C2091" w:rsidRDefault="005C2091">
      <w:pPr>
        <w:jc w:val="left"/>
      </w:pPr>
    </w:p>
    <w:p w:rsidR="005C2091" w:rsidRDefault="00A86293">
      <w:pPr>
        <w:pStyle w:val="Heading8"/>
        <w:jc w:val="left"/>
      </w:pPr>
      <w:r>
        <w:t>Zakonske i druge pravne osnove</w:t>
      </w:r>
    </w:p>
    <w:p w:rsidR="005C2091" w:rsidRDefault="00A86293">
      <w:r>
        <w:t xml:space="preserve">Ugovor o pristupanju Republike Hrvatske Europskoj uniji  </w:t>
      </w:r>
    </w:p>
    <w:p w:rsidR="005C2091" w:rsidRDefault="00A86293">
      <w:r>
        <w:t xml:space="preserve">Odluka Vijeća o sustavu vlastitih sredstava Europske unije (EZ, EURATOM) br. 2014/335. </w:t>
      </w:r>
    </w:p>
    <w:p w:rsidR="005C2091" w:rsidRDefault="00A86293">
      <w:r>
        <w:t>Uredba Vijeća o izmjeni Uredbe (EU, Euratom) br. 609/2014 o metodama i postupku za stavljanje na raspolaganje tradicionalnih vlastitih sredstava i vlastitih sredstava koja se temelje na PDV-u i BND-u te o mjerama za zadovoljavanje potreba za gotovinom (EZ, EURATOM) br. 2016/804.</w:t>
      </w:r>
    </w:p>
    <w:p w:rsidR="005C2091" w:rsidRDefault="00A86293">
      <w:pPr>
        <w:pStyle w:val="Heading8"/>
        <w:jc w:val="left"/>
      </w:pPr>
      <w:r>
        <w:t>Opis aktivnosti</w:t>
      </w:r>
    </w:p>
    <w:p w:rsidR="005C2091" w:rsidRDefault="00A86293">
      <w:r>
        <w:t>Republika Hrvatska, kao i sve ostale države članice Europske unije, obvezna je sudjelovati u financiranju proračuna Europske unije u skladu s pravnom stečevinom Europske unije o sustavu vlastitih sredstava. Temeljem Uredbe Vijeća br. 2016/804, Republika Hrvatska obvezna je doznačiti doprinos Republike Hrvatske proračunu Europske unije na temelju vlastitih sredstava Europske unije na račun Europske komisije. U skladu sa zahtjevima za plaćanjem doprinosa Republike Hrvatske u proračun Europske unije na temelju poreza na dodanu vrijednost, primljenim od Europske komisije, Republika Hrvatska izvršila je svoje obveze uplata za ovu aktivnost.</w:t>
      </w:r>
    </w:p>
    <w:p w:rsidR="005C2091" w:rsidRDefault="00A86293">
      <w:pPr>
        <w:pStyle w:val="Heading4"/>
      </w:pPr>
      <w:r>
        <w:t>A818039 DOPRINOS REPUBLIKE HRVATSKE PRORAČUNU EUROPSKE UNIJE NA TEMELJU TRADICIONALNIH VLASTITIH SREDSTAVA</w:t>
      </w:r>
    </w:p>
    <w:tbl>
      <w:tblPr>
        <w:tblStyle w:val="StilTablice"/>
        <w:tblW w:w="10206" w:type="dxa"/>
        <w:jc w:val="center"/>
        <w:tblLook w:val="04A0" w:firstRow="1" w:lastRow="0" w:firstColumn="1" w:lastColumn="0" w:noHBand="0" w:noVBand="1"/>
      </w:tblPr>
      <w:tblGrid>
        <w:gridCol w:w="1836"/>
        <w:gridCol w:w="1982"/>
        <w:gridCol w:w="1983"/>
        <w:gridCol w:w="1983"/>
        <w:gridCol w:w="1208"/>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A818039-DOPRINOS REPUBLIKE HRVATSKE PRORAČUNU EUROPSKE UNIJE NA TEMELJU TRADICIONALNIH VLASTITIH SREDSTAVA</w:t>
            </w:r>
          </w:p>
        </w:tc>
        <w:tc>
          <w:tcPr>
            <w:tcW w:w="2041" w:type="dxa"/>
          </w:tcPr>
          <w:p w:rsidR="005C2091" w:rsidRDefault="00A86293">
            <w:pPr>
              <w:pStyle w:val="CellColumn"/>
              <w:jc w:val="right"/>
            </w:pPr>
            <w:r>
              <w:rPr>
                <w:rFonts w:cs="Times New Roman"/>
              </w:rPr>
              <w:t>307.468.991</w:t>
            </w:r>
          </w:p>
        </w:tc>
        <w:tc>
          <w:tcPr>
            <w:tcW w:w="2041" w:type="dxa"/>
          </w:tcPr>
          <w:p w:rsidR="005C2091" w:rsidRDefault="00A86293">
            <w:pPr>
              <w:pStyle w:val="CellColumn"/>
              <w:jc w:val="right"/>
            </w:pPr>
            <w:r>
              <w:rPr>
                <w:rFonts w:cs="Times New Roman"/>
              </w:rPr>
              <w:t>376.063.177</w:t>
            </w:r>
          </w:p>
        </w:tc>
        <w:tc>
          <w:tcPr>
            <w:tcW w:w="2041" w:type="dxa"/>
          </w:tcPr>
          <w:p w:rsidR="005C2091" w:rsidRDefault="00A86293">
            <w:pPr>
              <w:pStyle w:val="CellColumn"/>
              <w:jc w:val="right"/>
            </w:pPr>
            <w:r>
              <w:rPr>
                <w:rFonts w:cs="Times New Roman"/>
              </w:rPr>
              <w:t>376.063.177</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122,3</w:t>
            </w:r>
          </w:p>
        </w:tc>
      </w:tr>
    </w:tbl>
    <w:p w:rsidR="005C2091" w:rsidRDefault="005C2091">
      <w:pPr>
        <w:jc w:val="left"/>
      </w:pPr>
    </w:p>
    <w:p w:rsidR="005C2091" w:rsidRDefault="00A86293">
      <w:pPr>
        <w:pStyle w:val="Heading8"/>
        <w:jc w:val="left"/>
      </w:pPr>
      <w:r>
        <w:t>Zakonske i druge pravne osnove</w:t>
      </w:r>
    </w:p>
    <w:p w:rsidR="005C2091" w:rsidRDefault="00A86293">
      <w:r>
        <w:t xml:space="preserve">Ugovor o pristupanju Republike Hrvatske Europskoj uniji  </w:t>
      </w:r>
    </w:p>
    <w:p w:rsidR="005C2091" w:rsidRDefault="00A86293">
      <w:r>
        <w:t xml:space="preserve">Odluka Vijeća o sustavu vlastitih sredstava Europske unije (EZ, EURATOM) br. 2014/335. </w:t>
      </w:r>
    </w:p>
    <w:p w:rsidR="005C2091" w:rsidRDefault="00A86293">
      <w:r>
        <w:t>Uredba Vijeća o izmjeni Uredbe (EU, Euratom) br. 609/2014 o metodama i postupku za stavljanje na raspolaganje tradicionalnih vlastitih sredstava i vlastitih sredstava koja se temelje na PDV-u i BND-u te o mjerama za zadovoljavanje potreba za gotovinom (EZ, EURATOM) br. 2016/804.</w:t>
      </w:r>
    </w:p>
    <w:p w:rsidR="005C2091" w:rsidRDefault="00A86293">
      <w:pPr>
        <w:pStyle w:val="Heading8"/>
        <w:jc w:val="left"/>
      </w:pPr>
      <w:r>
        <w:lastRenderedPageBreak/>
        <w:t>Opis aktivnosti</w:t>
      </w:r>
    </w:p>
    <w:p w:rsidR="005C2091" w:rsidRDefault="00A86293">
      <w:r>
        <w:t>Republika Hrvatska, kao i sve ostale države članice Europske unije, obvezna je sudjelovati u financiranju proračuna Europske unije u skladu s pravnom stečevinom Europske unije o sustavu vlastitih sredstava. Temeljem Uredbe Vijeća br. 2016/804, Republika Hrvatska obvezna je doznačiti doprinos Republike Hrvatske proračunu Europske unije na temelju vlastitih sredstava Europske unije na račun Europske komisije. U skladu s izvješćima za tradicionalna vlastita sredstva, primljenim od Središnjeg ureda Carinske uprave, Republika Hrvatska izvršila je svoje obveze uplata za ovu aktivnost.</w:t>
      </w:r>
    </w:p>
    <w:p w:rsidR="00786F04" w:rsidRDefault="00786F04"/>
    <w:p w:rsidR="00786F04" w:rsidRDefault="00786F04"/>
    <w:p w:rsidR="005C2091" w:rsidRDefault="00A86293">
      <w:pPr>
        <w:pStyle w:val="Heading3"/>
      </w:pPr>
      <w:r>
        <w:rPr>
          <w:rFonts w:cs="Times New Roman"/>
        </w:rPr>
        <w:t>2403 PROVEDBA OSIGURANJA ZAPOSLENIH I IMOVINE PRORAČUNSKIH KORISNIKA</w:t>
      </w:r>
    </w:p>
    <w:tbl>
      <w:tblPr>
        <w:tblStyle w:val="StilTablice"/>
        <w:tblW w:w="10206" w:type="dxa"/>
        <w:jc w:val="center"/>
        <w:tblLook w:val="04A0" w:firstRow="1" w:lastRow="0" w:firstColumn="1" w:lastColumn="0" w:noHBand="0" w:noVBand="1"/>
      </w:tblPr>
      <w:tblGrid>
        <w:gridCol w:w="1670"/>
        <w:gridCol w:w="2031"/>
        <w:gridCol w:w="2031"/>
        <w:gridCol w:w="2031"/>
        <w:gridCol w:w="1221"/>
        <w:gridCol w:w="122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2403-PROVEDBA OSIGURANJA ZAPOSLENIH I IMOVINE PRORAČUNSKIH KORISNIKA</w:t>
            </w:r>
          </w:p>
        </w:tc>
        <w:tc>
          <w:tcPr>
            <w:tcW w:w="2041" w:type="dxa"/>
          </w:tcPr>
          <w:p w:rsidR="005C2091" w:rsidRDefault="00A86293">
            <w:pPr>
              <w:pStyle w:val="CellColumn"/>
              <w:jc w:val="right"/>
            </w:pPr>
            <w:r>
              <w:rPr>
                <w:rFonts w:cs="Times New Roman"/>
              </w:rPr>
              <w:t>13.114.446</w:t>
            </w:r>
          </w:p>
        </w:tc>
        <w:tc>
          <w:tcPr>
            <w:tcW w:w="2041" w:type="dxa"/>
          </w:tcPr>
          <w:p w:rsidR="005C2091" w:rsidRDefault="00A86293">
            <w:pPr>
              <w:pStyle w:val="CellColumn"/>
              <w:jc w:val="right"/>
            </w:pPr>
            <w:r>
              <w:rPr>
                <w:rFonts w:cs="Times New Roman"/>
              </w:rPr>
              <w:t>12.000.000</w:t>
            </w:r>
          </w:p>
        </w:tc>
        <w:tc>
          <w:tcPr>
            <w:tcW w:w="2041" w:type="dxa"/>
          </w:tcPr>
          <w:p w:rsidR="005C2091" w:rsidRDefault="00A86293">
            <w:pPr>
              <w:pStyle w:val="CellColumn"/>
              <w:jc w:val="right"/>
            </w:pPr>
            <w:r>
              <w:rPr>
                <w:rFonts w:cs="Times New Roman"/>
              </w:rPr>
              <w:t>11.223.793</w:t>
            </w:r>
          </w:p>
        </w:tc>
        <w:tc>
          <w:tcPr>
            <w:tcW w:w="1224" w:type="dxa"/>
          </w:tcPr>
          <w:p w:rsidR="005C2091" w:rsidRDefault="00A86293">
            <w:pPr>
              <w:pStyle w:val="CellColumn"/>
              <w:jc w:val="right"/>
            </w:pPr>
            <w:r>
              <w:rPr>
                <w:rFonts w:cs="Times New Roman"/>
              </w:rPr>
              <w:t>93,5</w:t>
            </w:r>
          </w:p>
        </w:tc>
        <w:tc>
          <w:tcPr>
            <w:tcW w:w="1224" w:type="dxa"/>
          </w:tcPr>
          <w:p w:rsidR="005C2091" w:rsidRDefault="00A86293">
            <w:pPr>
              <w:pStyle w:val="CellColumn"/>
              <w:jc w:val="right"/>
            </w:pPr>
            <w:r>
              <w:rPr>
                <w:rFonts w:cs="Times New Roman"/>
              </w:rPr>
              <w:t>85,6</w:t>
            </w:r>
          </w:p>
        </w:tc>
      </w:tr>
    </w:tbl>
    <w:p w:rsidR="005C2091" w:rsidRDefault="005C2091">
      <w:pPr>
        <w:jc w:val="left"/>
      </w:pPr>
    </w:p>
    <w:p w:rsidR="005C2091" w:rsidRDefault="00A86293">
      <w:pPr>
        <w:pStyle w:val="Heading8"/>
        <w:jc w:val="left"/>
      </w:pPr>
      <w:r>
        <w:t>Cilj 1. Osigurati državne službenike, namještenike i dužnosnike od posljedica nesretnog slučaja i podmiriti nastalu štetu na neosiguranoj imovini proračunskih korisnika</w:t>
      </w:r>
    </w:p>
    <w:p w:rsidR="005C2091" w:rsidRDefault="00A86293">
      <w:pPr>
        <w:pStyle w:val="Heading4"/>
      </w:pPr>
      <w:r>
        <w:t>A539005 OSIGURANJE ZAPOSLENIH I IMOVINE PRORAČUNSKIH KORISNIKA</w:t>
      </w:r>
    </w:p>
    <w:tbl>
      <w:tblPr>
        <w:tblStyle w:val="StilTablice"/>
        <w:tblW w:w="10206" w:type="dxa"/>
        <w:jc w:val="center"/>
        <w:tblLook w:val="04A0" w:firstRow="1" w:lastRow="0" w:firstColumn="1" w:lastColumn="0" w:noHBand="0" w:noVBand="1"/>
      </w:tblPr>
      <w:tblGrid>
        <w:gridCol w:w="1670"/>
        <w:gridCol w:w="2031"/>
        <w:gridCol w:w="2031"/>
        <w:gridCol w:w="2031"/>
        <w:gridCol w:w="1221"/>
        <w:gridCol w:w="122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A539005-OSIGURANJE ZAPOSLENIH I IMOVINE PRORAČUNSKIH KORISNIKA</w:t>
            </w:r>
          </w:p>
        </w:tc>
        <w:tc>
          <w:tcPr>
            <w:tcW w:w="2041" w:type="dxa"/>
          </w:tcPr>
          <w:p w:rsidR="005C2091" w:rsidRDefault="00A86293">
            <w:pPr>
              <w:pStyle w:val="CellColumn"/>
              <w:jc w:val="right"/>
            </w:pPr>
            <w:r>
              <w:rPr>
                <w:rFonts w:cs="Times New Roman"/>
              </w:rPr>
              <w:t>13.114.446</w:t>
            </w:r>
          </w:p>
        </w:tc>
        <w:tc>
          <w:tcPr>
            <w:tcW w:w="2041" w:type="dxa"/>
          </w:tcPr>
          <w:p w:rsidR="005C2091" w:rsidRDefault="00A86293">
            <w:pPr>
              <w:pStyle w:val="CellColumn"/>
              <w:jc w:val="right"/>
            </w:pPr>
            <w:r>
              <w:rPr>
                <w:rFonts w:cs="Times New Roman"/>
              </w:rPr>
              <w:t>12.000.000</w:t>
            </w:r>
          </w:p>
        </w:tc>
        <w:tc>
          <w:tcPr>
            <w:tcW w:w="2041" w:type="dxa"/>
          </w:tcPr>
          <w:p w:rsidR="005C2091" w:rsidRDefault="00A86293">
            <w:pPr>
              <w:pStyle w:val="CellColumn"/>
              <w:jc w:val="right"/>
            </w:pPr>
            <w:r>
              <w:rPr>
                <w:rFonts w:cs="Times New Roman"/>
              </w:rPr>
              <w:t>11.223.793</w:t>
            </w:r>
          </w:p>
        </w:tc>
        <w:tc>
          <w:tcPr>
            <w:tcW w:w="1224" w:type="dxa"/>
          </w:tcPr>
          <w:p w:rsidR="005C2091" w:rsidRDefault="00A86293">
            <w:pPr>
              <w:pStyle w:val="CellColumn"/>
              <w:jc w:val="right"/>
            </w:pPr>
            <w:r>
              <w:rPr>
                <w:rFonts w:cs="Times New Roman"/>
              </w:rPr>
              <w:t>93,5</w:t>
            </w:r>
          </w:p>
        </w:tc>
        <w:tc>
          <w:tcPr>
            <w:tcW w:w="1224" w:type="dxa"/>
          </w:tcPr>
          <w:p w:rsidR="005C2091" w:rsidRDefault="00A86293">
            <w:pPr>
              <w:pStyle w:val="CellColumn"/>
              <w:jc w:val="right"/>
            </w:pPr>
            <w:r>
              <w:rPr>
                <w:rFonts w:cs="Times New Roman"/>
              </w:rPr>
              <w:t>85,6</w:t>
            </w:r>
          </w:p>
        </w:tc>
      </w:tr>
    </w:tbl>
    <w:p w:rsidR="005C2091" w:rsidRDefault="005C2091">
      <w:pPr>
        <w:jc w:val="left"/>
      </w:pPr>
    </w:p>
    <w:p w:rsidR="005C2091" w:rsidRDefault="00A86293">
      <w:pPr>
        <w:pStyle w:val="Heading8"/>
        <w:jc w:val="left"/>
      </w:pPr>
      <w:r>
        <w:t>Zakonske i druge pravne osnove</w:t>
      </w:r>
    </w:p>
    <w:p w:rsidR="005C2091" w:rsidRDefault="00A86293">
      <w:r>
        <w:t>Zakon o izvršavanju Državnog proračuna Republike Hrvatske za 2016. godinu (Narodne novine, br. 26/16 i 111/16) i Zakon o osiguranju (Narodne novine, br. 151/05, 87/08 , 82/09 , 54/13 i 94/14).</w:t>
      </w:r>
    </w:p>
    <w:p w:rsidR="005C2091" w:rsidRDefault="00A86293">
      <w:pPr>
        <w:pStyle w:val="Heading8"/>
        <w:jc w:val="left"/>
      </w:pPr>
      <w:r>
        <w:t>Opis aktivnosti</w:t>
      </w:r>
    </w:p>
    <w:p w:rsidR="005C2091" w:rsidRDefault="00A86293">
      <w:r>
        <w:t xml:space="preserve">Unutar ove aktivnosti osiguravaju se sredstva za osiguranje službenika, namještenika i dužnosnika od posljedica </w:t>
      </w:r>
    </w:p>
    <w:p w:rsidR="005C2091" w:rsidRDefault="00A86293">
      <w:r>
        <w:t xml:space="preserve">nesretnog slučaja. Također se osiguravaju sredstva za nadoknadu štete na neosiguranoj imovini (poslovne zgrade, </w:t>
      </w:r>
    </w:p>
    <w:p w:rsidR="005C2091" w:rsidRDefault="00A86293">
      <w:r>
        <w:t>uređaji, instalacije, oprema i dr.), a doznačavaju se korisnicima na njihov zahtjev</w:t>
      </w:r>
      <w:r w:rsidR="00786F04">
        <w:t>.</w:t>
      </w:r>
    </w:p>
    <w:p w:rsidR="00786F04" w:rsidRDefault="00786F04"/>
    <w:p w:rsidR="00786F04" w:rsidRDefault="00786F04"/>
    <w:p w:rsidR="00786F04" w:rsidRDefault="00786F04"/>
    <w:p w:rsidR="00786F04" w:rsidRDefault="00786F04"/>
    <w:p w:rsidR="00786F04" w:rsidRDefault="00786F04"/>
    <w:p w:rsidR="00786F04" w:rsidRDefault="00786F04"/>
    <w:p w:rsidR="005C2091" w:rsidRDefault="00A86293">
      <w:pPr>
        <w:pStyle w:val="Heading3"/>
      </w:pPr>
      <w:r>
        <w:rPr>
          <w:rFonts w:cs="Times New Roman"/>
        </w:rPr>
        <w:t>3210 KREDITNI I JAMSTVENI PROGRAMI U GOSPODARSTVU</w:t>
      </w:r>
    </w:p>
    <w:tbl>
      <w:tblPr>
        <w:tblStyle w:val="StilTablice"/>
        <w:tblW w:w="10206" w:type="dxa"/>
        <w:jc w:val="center"/>
        <w:tblLook w:val="04A0" w:firstRow="1" w:lastRow="0" w:firstColumn="1" w:lastColumn="0" w:noHBand="0" w:noVBand="1"/>
      </w:tblPr>
      <w:tblGrid>
        <w:gridCol w:w="1715"/>
        <w:gridCol w:w="2018"/>
        <w:gridCol w:w="2018"/>
        <w:gridCol w:w="2018"/>
        <w:gridCol w:w="1217"/>
        <w:gridCol w:w="122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3210-KREDITNI I JAMSTVENI PROGRAMI U GOSPODARSTVU</w:t>
            </w:r>
          </w:p>
        </w:tc>
        <w:tc>
          <w:tcPr>
            <w:tcW w:w="2041" w:type="dxa"/>
          </w:tcPr>
          <w:p w:rsidR="005C2091" w:rsidRDefault="00A86293">
            <w:pPr>
              <w:pStyle w:val="CellColumn"/>
              <w:jc w:val="right"/>
            </w:pPr>
            <w:r>
              <w:rPr>
                <w:rFonts w:cs="Times New Roman"/>
              </w:rPr>
              <w:t>549.974.485</w:t>
            </w:r>
          </w:p>
        </w:tc>
        <w:tc>
          <w:tcPr>
            <w:tcW w:w="2041" w:type="dxa"/>
          </w:tcPr>
          <w:p w:rsidR="005C2091" w:rsidRDefault="00A86293">
            <w:pPr>
              <w:pStyle w:val="CellColumn"/>
              <w:jc w:val="right"/>
            </w:pPr>
            <w:r>
              <w:rPr>
                <w:rFonts w:cs="Times New Roman"/>
              </w:rPr>
              <w:t>580.684.426</w:t>
            </w:r>
          </w:p>
        </w:tc>
        <w:tc>
          <w:tcPr>
            <w:tcW w:w="2041" w:type="dxa"/>
          </w:tcPr>
          <w:p w:rsidR="005C2091" w:rsidRDefault="00A86293">
            <w:pPr>
              <w:pStyle w:val="CellColumn"/>
              <w:jc w:val="right"/>
            </w:pPr>
            <w:r>
              <w:rPr>
                <w:rFonts w:cs="Times New Roman"/>
              </w:rPr>
              <w:t>302.376.422</w:t>
            </w:r>
          </w:p>
        </w:tc>
        <w:tc>
          <w:tcPr>
            <w:tcW w:w="1224" w:type="dxa"/>
          </w:tcPr>
          <w:p w:rsidR="005C2091" w:rsidRDefault="00A86293">
            <w:pPr>
              <w:pStyle w:val="CellColumn"/>
              <w:jc w:val="right"/>
            </w:pPr>
            <w:r>
              <w:rPr>
                <w:rFonts w:cs="Times New Roman"/>
              </w:rPr>
              <w:t>52,1</w:t>
            </w:r>
          </w:p>
        </w:tc>
        <w:tc>
          <w:tcPr>
            <w:tcW w:w="1224" w:type="dxa"/>
          </w:tcPr>
          <w:p w:rsidR="005C2091" w:rsidRDefault="00A86293">
            <w:pPr>
              <w:pStyle w:val="CellColumn"/>
              <w:jc w:val="right"/>
            </w:pPr>
            <w:r>
              <w:rPr>
                <w:rFonts w:cs="Times New Roman"/>
              </w:rPr>
              <w:t>55,0</w:t>
            </w:r>
          </w:p>
        </w:tc>
      </w:tr>
    </w:tbl>
    <w:p w:rsidR="005C2091" w:rsidRDefault="005C2091">
      <w:pPr>
        <w:jc w:val="left"/>
      </w:pPr>
    </w:p>
    <w:p w:rsidR="005C2091" w:rsidRDefault="00A86293">
      <w:r>
        <w:t>Odobrenim sredstvima po ovom Programu potiče se razvoj konkurentnosti hrvatskog gospodarstva putem jačanja konkurentskih sposobnosti hrvatskih gospodarskih subjekata na hrvatskom i međunarodnom tržištu. Programom se provode aktivnosti kojima se razvija infrastruktura, jačaju postojeći i pokreću novi gospodarski subjekti, povećava izvoz, zadržavaju sadašnja i stvaraju nova radna mjesta te ostvaruje ravnomjeran gospodarski i društveni razvitak Republike Hrvatske. Ciljevi programa ostvaruju se putem kreditiranja gospodarskih subjekata od strane HBOR-a po povoljnijim uvjetima u odnosu na tržišne uvjete.</w:t>
      </w:r>
    </w:p>
    <w:p w:rsidR="005C2091" w:rsidRDefault="00A86293">
      <w:pPr>
        <w:pStyle w:val="Heading8"/>
        <w:jc w:val="left"/>
      </w:pPr>
      <w:r>
        <w:t>Cilj 1. Povećanje konkurentnosti hrvatskih gospodarskih subjekata.</w:t>
      </w:r>
    </w:p>
    <w:p w:rsidR="005C2091" w:rsidRDefault="00A86293">
      <w:pPr>
        <w:pStyle w:val="Heading8"/>
        <w:jc w:val="left"/>
      </w:pPr>
      <w:r>
        <w:t>Opis provedbe cilja programa</w:t>
      </w:r>
    </w:p>
    <w:p w:rsidR="005C2091" w:rsidRDefault="00A86293">
      <w:r>
        <w:t>Omogućavanjem financiranja hrvatskih gospodarskih subjekata po povoljnim uvjetima povećava se njihova konkurentnost na hrvatskom i međunarodnom tržištu. Veća konkurentnost gospodarskih subjekata pozitivno utječe na povećanje izvoza, zadržavanje sadašnjih i stvaranje novih radnih mjesta. Financiranje gospodarskih subjekata po povoljnim uvjetima realizira se kreditiranjem gospodarskih subjekata putem kreditnih programa HBOR-a.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Ukupne ostvarene investicije na jedinicu uloženih sredstava HBOR-a</w:t>
            </w:r>
          </w:p>
        </w:tc>
        <w:tc>
          <w:tcPr>
            <w:tcW w:w="2551" w:type="dxa"/>
          </w:tcPr>
          <w:p w:rsidR="005C2091" w:rsidRDefault="00A86293">
            <w:pPr>
              <w:pStyle w:val="CellColumn"/>
              <w:jc w:val="left"/>
            </w:pPr>
            <w:r>
              <w:rPr>
                <w:rFonts w:cs="Times New Roman"/>
              </w:rPr>
              <w:t>Pokazatelj pokazuje koliko se kuna investicija generira plasmanom jedne kune HBOR-ovih sredstava</w:t>
            </w:r>
          </w:p>
        </w:tc>
        <w:tc>
          <w:tcPr>
            <w:tcW w:w="1020" w:type="dxa"/>
          </w:tcPr>
          <w:p w:rsidR="005C2091" w:rsidRDefault="00A86293">
            <w:pPr>
              <w:pStyle w:val="CellColumn"/>
              <w:jc w:val="right"/>
            </w:pPr>
            <w:r>
              <w:rPr>
                <w:rFonts w:cs="Times New Roman"/>
              </w:rPr>
              <w:t>kuna</w:t>
            </w:r>
          </w:p>
        </w:tc>
        <w:tc>
          <w:tcPr>
            <w:tcW w:w="1020" w:type="dxa"/>
          </w:tcPr>
          <w:p w:rsidR="005C2091" w:rsidRDefault="00A86293">
            <w:pPr>
              <w:pStyle w:val="CellColumn"/>
              <w:jc w:val="right"/>
            </w:pPr>
            <w:r>
              <w:rPr>
                <w:rFonts w:cs="Times New Roman"/>
              </w:rPr>
              <w:t>1,3</w:t>
            </w:r>
          </w:p>
        </w:tc>
        <w:tc>
          <w:tcPr>
            <w:tcW w:w="1020" w:type="dxa"/>
          </w:tcPr>
          <w:p w:rsidR="005C2091" w:rsidRDefault="00A86293">
            <w:pPr>
              <w:pStyle w:val="CellColumn"/>
              <w:jc w:val="right"/>
            </w:pPr>
            <w:r>
              <w:rPr>
                <w:rFonts w:cs="Times New Roman"/>
              </w:rPr>
              <w:t>HBOR</w:t>
            </w:r>
          </w:p>
        </w:tc>
        <w:tc>
          <w:tcPr>
            <w:tcW w:w="1020" w:type="dxa"/>
          </w:tcPr>
          <w:p w:rsidR="005C2091" w:rsidRDefault="00A86293">
            <w:pPr>
              <w:pStyle w:val="CellColumn"/>
              <w:jc w:val="right"/>
            </w:pPr>
            <w:r>
              <w:rPr>
                <w:rFonts w:cs="Times New Roman"/>
              </w:rPr>
              <w:t>&gt;1,4</w:t>
            </w:r>
          </w:p>
        </w:tc>
        <w:tc>
          <w:tcPr>
            <w:tcW w:w="1020" w:type="dxa"/>
          </w:tcPr>
          <w:p w:rsidR="005C2091" w:rsidRDefault="00A86293">
            <w:pPr>
              <w:pStyle w:val="CellColumn"/>
              <w:jc w:val="right"/>
            </w:pPr>
            <w:r>
              <w:rPr>
                <w:rFonts w:cs="Times New Roman"/>
              </w:rPr>
              <w:t>1,44</w:t>
            </w:r>
          </w:p>
        </w:tc>
      </w:tr>
    </w:tbl>
    <w:p w:rsidR="005C2091" w:rsidRDefault="005C2091">
      <w:pPr>
        <w:jc w:val="left"/>
      </w:pPr>
    </w:p>
    <w:p w:rsidR="005C2091" w:rsidRDefault="00A86293">
      <w:pPr>
        <w:pStyle w:val="Heading4"/>
      </w:pPr>
      <w:r>
        <w:t>A539052 JAMSTVENA PRIČUVA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A539052-JAMSTVENA PRIČUVA</w:t>
            </w:r>
          </w:p>
        </w:tc>
        <w:tc>
          <w:tcPr>
            <w:tcW w:w="2041" w:type="dxa"/>
          </w:tcPr>
          <w:p w:rsidR="005C2091" w:rsidRDefault="00A86293">
            <w:pPr>
              <w:pStyle w:val="CellColumn"/>
              <w:jc w:val="right"/>
            </w:pPr>
            <w:r>
              <w:rPr>
                <w:rFonts w:cs="Times New Roman"/>
              </w:rPr>
              <w:t>257.366.971</w:t>
            </w:r>
          </w:p>
        </w:tc>
        <w:tc>
          <w:tcPr>
            <w:tcW w:w="2041" w:type="dxa"/>
          </w:tcPr>
          <w:p w:rsidR="005C2091" w:rsidRDefault="00A86293">
            <w:pPr>
              <w:pStyle w:val="CellColumn"/>
              <w:jc w:val="right"/>
            </w:pPr>
            <w:r>
              <w:rPr>
                <w:rFonts w:cs="Times New Roman"/>
              </w:rPr>
              <w:t>271.000.000</w:t>
            </w:r>
          </w:p>
        </w:tc>
        <w:tc>
          <w:tcPr>
            <w:tcW w:w="2041" w:type="dxa"/>
          </w:tcPr>
          <w:p w:rsidR="005C2091" w:rsidRDefault="00A86293">
            <w:pPr>
              <w:pStyle w:val="CellColumn"/>
              <w:jc w:val="right"/>
            </w:pPr>
            <w:r>
              <w:rPr>
                <w:rFonts w:cs="Times New Roman"/>
              </w:rPr>
              <w:t>250.404.233</w:t>
            </w:r>
          </w:p>
        </w:tc>
        <w:tc>
          <w:tcPr>
            <w:tcW w:w="1224" w:type="dxa"/>
          </w:tcPr>
          <w:p w:rsidR="005C2091" w:rsidRDefault="00A86293">
            <w:pPr>
              <w:pStyle w:val="CellColumn"/>
              <w:jc w:val="right"/>
            </w:pPr>
            <w:r>
              <w:rPr>
                <w:rFonts w:cs="Times New Roman"/>
              </w:rPr>
              <w:t>92,4</w:t>
            </w:r>
          </w:p>
        </w:tc>
        <w:tc>
          <w:tcPr>
            <w:tcW w:w="1224" w:type="dxa"/>
          </w:tcPr>
          <w:p w:rsidR="005C2091" w:rsidRDefault="00A86293">
            <w:pPr>
              <w:pStyle w:val="CellColumn"/>
              <w:jc w:val="right"/>
            </w:pPr>
            <w:r>
              <w:rPr>
                <w:rFonts w:cs="Times New Roman"/>
              </w:rPr>
              <w:t>97,3</w:t>
            </w:r>
          </w:p>
        </w:tc>
      </w:tr>
    </w:tbl>
    <w:p w:rsidR="005C2091" w:rsidRDefault="005C2091">
      <w:pPr>
        <w:jc w:val="left"/>
      </w:pPr>
    </w:p>
    <w:p w:rsidR="005C2091" w:rsidRDefault="00A86293">
      <w:pPr>
        <w:pStyle w:val="Heading8"/>
        <w:jc w:val="left"/>
      </w:pPr>
      <w:r>
        <w:lastRenderedPageBreak/>
        <w:t>Opis aktivnosti</w:t>
      </w:r>
    </w:p>
    <w:p w:rsidR="005C2091" w:rsidRDefault="00A86293">
      <w:r>
        <w:t xml:space="preserve">Iznos jamstvene pričuve za financijska i činidbena jamstva utvrđuje se svake godine u Državnom proračunu RH.  </w:t>
      </w:r>
    </w:p>
    <w:p w:rsidR="005C2091" w:rsidRDefault="00A86293">
      <w:r>
        <w:t xml:space="preserve">U državnom proračunu za 2016. godinu na stavci izdataka za jamstvenu pričuvu planirana su sredstva u iznosu 271.000.000,00 kuna.  </w:t>
      </w:r>
    </w:p>
    <w:p w:rsidR="005C2091" w:rsidRDefault="00A86293">
      <w:r>
        <w:t xml:space="preserve">U razdoblju od 1. siječnja do 31. prosinca 2016. godine na ime protestiranih jamstava izvršena su plaćanja na teret jamstvene pričuve u iznosu od 250.404.233,06 kuna.  </w:t>
      </w:r>
    </w:p>
    <w:p w:rsidR="005C2091" w:rsidRDefault="00A86293">
      <w:r>
        <w:t>Najznačajniji iznosi po protestiranim jamstvima odnose se na zaduženja društava: HŽ Infrastruktura d.o.o. u iznosu od 277.695.588,34 kuna, HŽ Putnički prijevoz d.o.o. u iznosu od 8.649.961,77 kuna, Imunološki zavod u iznosu od 8.349.665,98 kuna te Hrvatski zavod za transfuzijsku medicinu u iznosu od 5.709.016,97 kuna.</w:t>
      </w:r>
    </w:p>
    <w:p w:rsidR="00786F04" w:rsidRDefault="00786F04"/>
    <w:p w:rsidR="005C2091" w:rsidRDefault="00A86293">
      <w:pPr>
        <w:pStyle w:val="Heading4"/>
      </w:pPr>
      <w:r>
        <w:t>A544005 KREDITIRANJE (KROZ OSNIVAČKI KAPITAL HBOR-A) - POTICANJA IZVOZA, INFRASTRUKTURE I GOSPODARSKIH DJELATNOSTI TE MALOG I SREDNJEG PODUZETNIŠTVA</w:t>
      </w:r>
    </w:p>
    <w:tbl>
      <w:tblPr>
        <w:tblStyle w:val="StilTablice"/>
        <w:tblW w:w="10206" w:type="dxa"/>
        <w:jc w:val="center"/>
        <w:tblLook w:val="04A0" w:firstRow="1" w:lastRow="0" w:firstColumn="1" w:lastColumn="0" w:noHBand="0" w:noVBand="1"/>
      </w:tblPr>
      <w:tblGrid>
        <w:gridCol w:w="1893"/>
        <w:gridCol w:w="1965"/>
        <w:gridCol w:w="1965"/>
        <w:gridCol w:w="1965"/>
        <w:gridCol w:w="1205"/>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A544005-KREDITIRANJE (KROZ OSNIVAČKI KAPITAL HBOR-A) - POTICANJA IZVOZA, INFRASTRUKTURE I GOSPODARSKIH DJELATNOSTI TE MALOG I SREDNJEG PODUZETNIŠTVA</w:t>
            </w:r>
          </w:p>
        </w:tc>
        <w:tc>
          <w:tcPr>
            <w:tcW w:w="2041" w:type="dxa"/>
          </w:tcPr>
          <w:p w:rsidR="005C2091" w:rsidRDefault="00A86293">
            <w:pPr>
              <w:pStyle w:val="CellColumn"/>
              <w:jc w:val="right"/>
            </w:pPr>
            <w:r>
              <w:rPr>
                <w:rFonts w:cs="Times New Roman"/>
              </w:rPr>
              <w:t>32.892.800</w:t>
            </w:r>
          </w:p>
        </w:tc>
        <w:tc>
          <w:tcPr>
            <w:tcW w:w="2041" w:type="dxa"/>
          </w:tcPr>
          <w:p w:rsidR="005C2091" w:rsidRDefault="00A86293">
            <w:pPr>
              <w:pStyle w:val="CellColumn"/>
              <w:jc w:val="right"/>
            </w:pPr>
            <w:r>
              <w:rPr>
                <w:rFonts w:cs="Times New Roman"/>
              </w:rPr>
              <w:t>33.000.000</w:t>
            </w:r>
          </w:p>
        </w:tc>
        <w:tc>
          <w:tcPr>
            <w:tcW w:w="2041" w:type="dxa"/>
          </w:tcPr>
          <w:p w:rsidR="005C2091" w:rsidRDefault="00A86293">
            <w:pPr>
              <w:pStyle w:val="CellColumn"/>
              <w:jc w:val="right"/>
            </w:pPr>
            <w:r>
              <w:rPr>
                <w:rFonts w:cs="Times New Roman"/>
              </w:rPr>
              <w:t>33.000.000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100,3</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izvršavanju Državnog proračuna Republike Hrvatske za 2016. godinu </w:t>
      </w:r>
    </w:p>
    <w:p w:rsidR="005C2091" w:rsidRDefault="00A86293">
      <w:pPr>
        <w:pStyle w:val="Heading8"/>
        <w:jc w:val="left"/>
      </w:pPr>
      <w:r>
        <w:t>Opis aktivnosti</w:t>
      </w:r>
    </w:p>
    <w:p w:rsidR="005C2091" w:rsidRDefault="00A86293">
      <w:r>
        <w:t xml:space="preserve">Sredstvima proračuna koja su uplaćena u osnivački kapital HBOR-a, a kojima se izravno utjecalo na razvoj gospodarstva Republike Hrvatske financiralo se sljedeće: </w:t>
      </w:r>
    </w:p>
    <w:p w:rsidR="005C2091" w:rsidRDefault="00A86293">
      <w:r>
        <w:t>1.</w:t>
      </w:r>
      <w:r>
        <w:tab/>
        <w:t xml:space="preserve">Financiranje izvoza, koje se provodilo kroz: </w:t>
      </w:r>
    </w:p>
    <w:p w:rsidR="005C2091" w:rsidRDefault="00A86293">
      <w:r>
        <w:t></w:t>
      </w:r>
      <w:r>
        <w:tab/>
        <w:t xml:space="preserve">Program kreditiranja pripreme i naplate izvoznih poslova </w:t>
      </w:r>
    </w:p>
    <w:p w:rsidR="005C2091" w:rsidRDefault="00A86293">
      <w:r>
        <w:t></w:t>
      </w:r>
      <w:r>
        <w:tab/>
        <w:t xml:space="preserve">Program kreditiranja kupaca-banaka u inozemstvu </w:t>
      </w:r>
    </w:p>
    <w:p w:rsidR="005C2091" w:rsidRDefault="00A86293">
      <w:r>
        <w:t></w:t>
      </w:r>
      <w:r>
        <w:tab/>
        <w:t xml:space="preserve">Program kreditiranja dobavljača kod izvoznih poslova </w:t>
      </w:r>
    </w:p>
    <w:p w:rsidR="005C2091" w:rsidRDefault="00A86293">
      <w:r>
        <w:t></w:t>
      </w:r>
      <w:r>
        <w:tab/>
        <w:t xml:space="preserve">Program kreditiranja turističkog sektora i </w:t>
      </w:r>
    </w:p>
    <w:p w:rsidR="005C2091" w:rsidRDefault="00A86293">
      <w:r>
        <w:t></w:t>
      </w:r>
      <w:r>
        <w:tab/>
        <w:t xml:space="preserve">Program kreditiranja pripreme turističke sezone. </w:t>
      </w:r>
    </w:p>
    <w:p w:rsidR="005C2091" w:rsidRDefault="00A86293">
      <w:r>
        <w:t xml:space="preserve">Osim putem spomenutih programa HBOR je pratio hrvatske izvoznike i kroz: </w:t>
      </w:r>
    </w:p>
    <w:p w:rsidR="005C2091" w:rsidRDefault="00A86293">
      <w:r>
        <w:t></w:t>
      </w:r>
      <w:r>
        <w:tab/>
        <w:t xml:space="preserve">Program kreditiranja financijskog restrukturiranja i  </w:t>
      </w:r>
    </w:p>
    <w:p w:rsidR="005C2091" w:rsidRDefault="00A86293">
      <w:r>
        <w:t></w:t>
      </w:r>
      <w:r>
        <w:tab/>
        <w:t xml:space="preserve">Program kreditiranja gospodarstva. </w:t>
      </w:r>
    </w:p>
    <w:p w:rsidR="005C2091" w:rsidRDefault="00A86293">
      <w:r>
        <w:lastRenderedPageBreak/>
        <w:t xml:space="preserve">Rezultati djelovanja HBOR-a vidljivi su iz realizacije odobrenja kredita za financiranje izvoza koja u 2016. godini iznosi 2.735,5 milijuna kuna. </w:t>
      </w:r>
    </w:p>
    <w:p w:rsidR="005C2091" w:rsidRDefault="00A86293">
      <w:r>
        <w:t>2.</w:t>
      </w:r>
      <w:r>
        <w:tab/>
        <w:t xml:space="preserve">Financiranje projekata infrastrukture provodilo se kroz programe kreditiranja komunalne infrastrukture i projekte zaštite okoliša, energetske učinkovitosti i obnovljivih izvora energije. </w:t>
      </w:r>
    </w:p>
    <w:p w:rsidR="005C2091" w:rsidRDefault="00A86293">
      <w:r>
        <w:t xml:space="preserve">Tijekom 2016. godine HBOR je nastavio aktivnosti na poticanju ulaganja u infrastrukturne projekte. Glavni cilj ovih projekata je razvoj infrastrukture kao temelj razvoja gospodarstva, malog i srednjeg poduzetništva, turizma i poljoprivrede. Osim toga, razvojem infrastrukture poboljšavaju se i ujednačavaju životni uvjeti kućanstava na cjelokupnom području Republike Hrvatske. </w:t>
      </w:r>
    </w:p>
    <w:p w:rsidR="005C2091" w:rsidRDefault="00A86293">
      <w:r>
        <w:t xml:space="preserve">S ciljem jačanja podrške projektima namijenjenim zaštiti okoliša, racionalnom korištenju prirodnih resursa te prilagodbi energetskog sektora Republike Hrvatske standardima Europske unije, HBOR je provodio Program kreditiranja projekata zaštite okoliša, energetske učinkovitosti i obnovljivih izvora energije. Kroz navedeni Program HBOR je omogućio hrvatskim gospodarstvenicima unapređenje proizvodnje u skladu sa suvremenim standardima zbrinjavanja i prerade otpada te povećanje energetske učinkovitosti kao jednim od strateških interesa Republike Hrvatske. </w:t>
      </w:r>
    </w:p>
    <w:p w:rsidR="005C2091" w:rsidRDefault="00A86293">
      <w:r>
        <w:t xml:space="preserve">Tijekom  2016. godine HBOR je provodio program Kreditiranje EU projekata javnog sektora s ciljem kreditiranja projekata javnog sektora koji se sufinanciraju sredstvima Europskih strukturnih i investicijskih fondova. </w:t>
      </w:r>
    </w:p>
    <w:p w:rsidR="005C2091" w:rsidRDefault="00A86293">
      <w:r>
        <w:t xml:space="preserve">Za kreditiranje projekata infrastrukture HBOR je 2016. godine odobrio 1.050,5 milijuna kuna. </w:t>
      </w:r>
    </w:p>
    <w:p w:rsidR="005C2091" w:rsidRDefault="00A86293">
      <w:r>
        <w:t>3.</w:t>
      </w:r>
      <w:r>
        <w:tab/>
        <w:t xml:space="preserve">Poticanje malog i srednjeg poduzetništva provodilo se kreditiranjem obrta i malog gospodarstva, kao značajnog čimbenika gospodarskog razvitka Republike Hrvatske. </w:t>
      </w:r>
    </w:p>
    <w:p w:rsidR="005C2091" w:rsidRDefault="00A86293">
      <w:r>
        <w:t xml:space="preserve">Mala i srednja trgovačka društva predstavljaju osnovu ubrzanog rasta gospodarstva i novog zapošljavanja. HBOR je i tijekom 2016. godine značajan dio svoje kreditne aktivnosti usmjeravao u razvoj malog i srednjeg poduzetništva kroz: </w:t>
      </w:r>
    </w:p>
    <w:p w:rsidR="005C2091" w:rsidRDefault="00A86293">
      <w:r>
        <w:t></w:t>
      </w:r>
      <w:r>
        <w:tab/>
        <w:t xml:space="preserve">Program kreditiranja razvitka malog i srednjeg poduzetništva </w:t>
      </w:r>
    </w:p>
    <w:p w:rsidR="005C2091" w:rsidRDefault="00A86293">
      <w:r>
        <w:t></w:t>
      </w:r>
      <w:r>
        <w:tab/>
        <w:t xml:space="preserve">Program kreditiranja financijskog restrukturiranja </w:t>
      </w:r>
    </w:p>
    <w:p w:rsidR="005C2091" w:rsidRDefault="00A86293">
      <w:r>
        <w:t></w:t>
      </w:r>
      <w:r>
        <w:tab/>
        <w:t xml:space="preserve">Program kreditiranja poljoprivrede i malog gospodarstva na područjima posebne državne skrbi </w:t>
      </w:r>
    </w:p>
    <w:p w:rsidR="005C2091" w:rsidRDefault="00A86293">
      <w:r>
        <w:t></w:t>
      </w:r>
      <w:r>
        <w:tab/>
        <w:t xml:space="preserve">Program financiranja pronalazaka </w:t>
      </w:r>
    </w:p>
    <w:p w:rsidR="005C2091" w:rsidRDefault="00A86293">
      <w:r>
        <w:t></w:t>
      </w:r>
      <w:r>
        <w:tab/>
        <w:t xml:space="preserve">Program kreditiranja poduzetnika početnika </w:t>
      </w:r>
    </w:p>
    <w:p w:rsidR="005C2091" w:rsidRDefault="00A86293">
      <w:r>
        <w:t></w:t>
      </w:r>
      <w:r>
        <w:tab/>
        <w:t xml:space="preserve">Program kreditiranja projekata kandidata za IPARD Mjeru 101. i Mjeru 103. </w:t>
      </w:r>
    </w:p>
    <w:p w:rsidR="005C2091" w:rsidRDefault="00A86293">
      <w:r>
        <w:t></w:t>
      </w:r>
      <w:r>
        <w:tab/>
        <w:t xml:space="preserve">Program kreditiranja projekata kandidata za IPARD Mjeru 302. </w:t>
      </w:r>
    </w:p>
    <w:p w:rsidR="005C2091" w:rsidRDefault="00A86293">
      <w:r>
        <w:t></w:t>
      </w:r>
      <w:r>
        <w:tab/>
        <w:t xml:space="preserve">Program kreditiranja pripreme poljoprivredne proizvodnje </w:t>
      </w:r>
    </w:p>
    <w:p w:rsidR="005C2091" w:rsidRDefault="00A86293">
      <w:r>
        <w:t></w:t>
      </w:r>
      <w:r>
        <w:tab/>
        <w:t xml:space="preserve">Program kreditiranja ženskog poduzetništva i </w:t>
      </w:r>
    </w:p>
    <w:p w:rsidR="005C2091" w:rsidRDefault="00A86293">
      <w:r>
        <w:t></w:t>
      </w:r>
      <w:r>
        <w:tab/>
        <w:t xml:space="preserve">Program kreditiranja poduzetništva mladih. </w:t>
      </w:r>
    </w:p>
    <w:p w:rsidR="005C2091" w:rsidRDefault="00A86293">
      <w:r>
        <w:t xml:space="preserve">U 2016. godini provodio se program kreditiranja EU projekata ruralnog razvoja ribarstva i vinske omotnice s ciljem kreditiranja projekata koji se kandidiraju za sufinanciranje sredstvima Europskog poljoprivrednog fonda za ruralni razvoj, Europskog garancijskog poljoprivrednog fonda te Europskog fonda za pomorstvo i ribarstvo. </w:t>
      </w:r>
    </w:p>
    <w:p w:rsidR="005C2091" w:rsidRDefault="00A86293">
      <w:r>
        <w:t xml:space="preserve">Tijekom 2016. godine, s ciljem pružanja efikasnije podrške malim i srednjim poduzetnicima, HBOR je s poslovnim bankama nastavio suradnju po modelu okvirnih kredita za financiranje malih i srednjih poduzetnika te poslovnu suradnju s leasing društvima za financiranje malih i srednjih poduzetnika putem okvirnih kredita leasing društvima. </w:t>
      </w:r>
    </w:p>
    <w:p w:rsidR="005C2091" w:rsidRDefault="00A86293">
      <w:r>
        <w:t xml:space="preserve">Za kreditiranje malog i srednjeg poduzetništva HBOR je 2016. godine odobrio 3.522,6 milijuna kuna. </w:t>
      </w:r>
    </w:p>
    <w:p w:rsidR="005C2091" w:rsidRDefault="00A86293">
      <w:r>
        <w:t>4.</w:t>
      </w:r>
      <w:r>
        <w:tab/>
        <w:t xml:space="preserve">Financiranje razvitka gospodarskih djelatnosti važan je projekt kreditiranja s ciljem jačanja gospodarstva Republike Hrvatske, u okviru kojeg se kroz ponudu financiranja modernizacije proizvodnih kapaciteta, nabavku nove opreme te uvođenje novih tehnologija i proizvoda, omogućuje jačanje proizvodnih kapaciteta te ulaganje u širenje opsega postojećih poslovnih aktivnosti hrvatskih gospodarstvenika. Tijekom 2016. godine provodio se program Kreditiranje EU projekata privatnog sektora s ciljem kreditiranja projekata privatnog sektora koji se sufinanciraju sredstvima Europskih strukturnih i investicijskih fondova. </w:t>
      </w:r>
    </w:p>
    <w:p w:rsidR="005C2091" w:rsidRDefault="00A86293">
      <w:r>
        <w:t>Za realizaciju kreditiranja razvoja gospodarskih djelatnosti u 2016. godini HBOR je odobrio 1.350,4 milijuna kuna.</w:t>
      </w:r>
    </w:p>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Kreditna aktivnost iz kapitala HBOR-a</w:t>
            </w:r>
          </w:p>
        </w:tc>
        <w:tc>
          <w:tcPr>
            <w:tcW w:w="2551" w:type="dxa"/>
          </w:tcPr>
          <w:p w:rsidR="005C2091" w:rsidRDefault="00A86293">
            <w:pPr>
              <w:pStyle w:val="CellColumn"/>
              <w:jc w:val="left"/>
            </w:pPr>
            <w:r>
              <w:rPr>
                <w:rFonts w:cs="Times New Roman"/>
              </w:rPr>
              <w:t>Visina kreditne aktivnosti iz kapitala HBOR-a tijekom promatranog razdoblja</w:t>
            </w:r>
          </w:p>
        </w:tc>
        <w:tc>
          <w:tcPr>
            <w:tcW w:w="1020" w:type="dxa"/>
          </w:tcPr>
          <w:p w:rsidR="005C2091" w:rsidRDefault="00A86293">
            <w:pPr>
              <w:pStyle w:val="CellColumn"/>
              <w:jc w:val="right"/>
            </w:pPr>
            <w:r>
              <w:rPr>
                <w:rFonts w:cs="Times New Roman"/>
              </w:rPr>
              <w:t>milijuni kuna</w:t>
            </w:r>
          </w:p>
        </w:tc>
        <w:tc>
          <w:tcPr>
            <w:tcW w:w="1020" w:type="dxa"/>
          </w:tcPr>
          <w:p w:rsidR="005C2091" w:rsidRDefault="00A86293">
            <w:pPr>
              <w:pStyle w:val="CellColumn"/>
              <w:jc w:val="right"/>
            </w:pPr>
            <w:r>
              <w:rPr>
                <w:rFonts w:cs="Times New Roman"/>
              </w:rPr>
              <w:t>32,9</w:t>
            </w:r>
          </w:p>
        </w:tc>
        <w:tc>
          <w:tcPr>
            <w:tcW w:w="1020" w:type="dxa"/>
          </w:tcPr>
          <w:p w:rsidR="005C2091" w:rsidRDefault="00A86293">
            <w:pPr>
              <w:pStyle w:val="CellColumn"/>
              <w:jc w:val="right"/>
            </w:pPr>
            <w:r>
              <w:rPr>
                <w:rFonts w:cs="Times New Roman"/>
              </w:rPr>
              <w:t>HBOR</w:t>
            </w:r>
          </w:p>
        </w:tc>
        <w:tc>
          <w:tcPr>
            <w:tcW w:w="1020" w:type="dxa"/>
          </w:tcPr>
          <w:p w:rsidR="005C2091" w:rsidRDefault="00A86293">
            <w:pPr>
              <w:pStyle w:val="CellColumn"/>
              <w:jc w:val="right"/>
            </w:pPr>
            <w:r>
              <w:rPr>
                <w:rFonts w:cs="Times New Roman"/>
              </w:rPr>
              <w:t>33,0</w:t>
            </w:r>
          </w:p>
        </w:tc>
        <w:tc>
          <w:tcPr>
            <w:tcW w:w="1020" w:type="dxa"/>
          </w:tcPr>
          <w:p w:rsidR="005C2091" w:rsidRDefault="00A86293">
            <w:pPr>
              <w:pStyle w:val="CellColumn"/>
              <w:jc w:val="right"/>
            </w:pPr>
            <w:r>
              <w:rPr>
                <w:rFonts w:cs="Times New Roman"/>
              </w:rPr>
              <w:t>33,0</w:t>
            </w:r>
          </w:p>
        </w:tc>
      </w:tr>
    </w:tbl>
    <w:p w:rsidR="005C2091" w:rsidRDefault="005C2091">
      <w:pPr>
        <w:jc w:val="left"/>
      </w:pPr>
    </w:p>
    <w:p w:rsidR="005C2091" w:rsidRDefault="00A86293">
      <w:pPr>
        <w:pStyle w:val="Heading4"/>
      </w:pPr>
      <w:r>
        <w:t>A544011 OSIGURANJE IZVOZA - GARANTNI FOND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A544011-OSIGURANJE IZVOZA - GARANTNI FOND</w:t>
            </w:r>
          </w:p>
        </w:tc>
        <w:tc>
          <w:tcPr>
            <w:tcW w:w="2041" w:type="dxa"/>
          </w:tcPr>
          <w:p w:rsidR="005C2091" w:rsidRDefault="00A86293">
            <w:pPr>
              <w:pStyle w:val="CellColumn"/>
              <w:jc w:val="right"/>
            </w:pPr>
            <w:r>
              <w:rPr>
                <w:rFonts w:cs="Times New Roman"/>
              </w:rPr>
              <w:t>10.000.000</w:t>
            </w:r>
          </w:p>
        </w:tc>
        <w:tc>
          <w:tcPr>
            <w:tcW w:w="2041" w:type="dxa"/>
          </w:tcPr>
          <w:p w:rsidR="005C2091" w:rsidRDefault="00A86293">
            <w:pPr>
              <w:pStyle w:val="CellColumn"/>
              <w:jc w:val="right"/>
            </w:pPr>
            <w:r>
              <w:rPr>
                <w:rFonts w:cs="Times New Roman"/>
              </w:rPr>
              <w:t>10.000.000</w:t>
            </w:r>
          </w:p>
        </w:tc>
        <w:tc>
          <w:tcPr>
            <w:tcW w:w="2041" w:type="dxa"/>
          </w:tcPr>
          <w:p w:rsidR="005C2091" w:rsidRDefault="00A86293">
            <w:pPr>
              <w:pStyle w:val="CellColumn"/>
              <w:jc w:val="right"/>
            </w:pPr>
            <w:r>
              <w:rPr>
                <w:rFonts w:cs="Times New Roman"/>
              </w:rPr>
              <w:t>10.000.000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izvršavanju Državnog proračuna Republike Hrvatske za 2016. godinu (Narodne novine, br. 26/16 i 111/16)   </w:t>
      </w:r>
    </w:p>
    <w:p w:rsidR="005C2091" w:rsidRDefault="00A86293">
      <w:r>
        <w:t>Uredba o osiguranju izvoza</w:t>
      </w:r>
    </w:p>
    <w:p w:rsidR="005C2091" w:rsidRDefault="00A86293">
      <w:pPr>
        <w:pStyle w:val="Heading8"/>
        <w:jc w:val="left"/>
      </w:pPr>
      <w:r>
        <w:t>Opis aktivnosti</w:t>
      </w:r>
    </w:p>
    <w:p w:rsidR="005C2091" w:rsidRDefault="00A86293">
      <w:r>
        <w:t xml:space="preserve">Hrvatska banka za obnovu i razvitak od 1998. godine u ime i za račun Republike Hrvatske obavlja poslove osiguranja izvoza od neutrživih političkih i komercijalnih rizika, a koji za cilj imaju poticanje hrvatskog izvoza, internacionalizaciju poslovanja te povećanje konkurentnosti hrvatskih izvoznika na stranim tržištima. </w:t>
      </w:r>
    </w:p>
    <w:p w:rsidR="005C2091" w:rsidRDefault="00A86293">
      <w:r>
        <w:t xml:space="preserve">HBOR-ovi programi osiguranja izvoza su: </w:t>
      </w:r>
    </w:p>
    <w:p w:rsidR="005C2091" w:rsidRDefault="00A86293">
      <w:r>
        <w:t>1.</w:t>
      </w:r>
      <w:r>
        <w:tab/>
        <w:t xml:space="preserve">Kratkoročno osiguranje i reosiguranje izvoznih potraživanja </w:t>
      </w:r>
    </w:p>
    <w:p w:rsidR="005C2091" w:rsidRDefault="00A86293">
      <w:r>
        <w:t>2.</w:t>
      </w:r>
      <w:r>
        <w:tab/>
        <w:t xml:space="preserve">Srednjoročno-dugoročno osiguranje izvoznih potraživanja </w:t>
      </w:r>
    </w:p>
    <w:p w:rsidR="005C2091" w:rsidRDefault="00A86293">
      <w:r>
        <w:t>3.</w:t>
      </w:r>
      <w:r>
        <w:tab/>
        <w:t xml:space="preserve">Osiguranje kredita za pripremu izvoza </w:t>
      </w:r>
    </w:p>
    <w:p w:rsidR="005C2091" w:rsidRDefault="00A86293">
      <w:r>
        <w:t>4.</w:t>
      </w:r>
      <w:r>
        <w:tab/>
        <w:t xml:space="preserve">Osiguranje garancija izdanih radi zaključenja ili izvršenja izvoznog ugovora i </w:t>
      </w:r>
    </w:p>
    <w:p w:rsidR="005C2091" w:rsidRDefault="00A86293">
      <w:r>
        <w:t>5.</w:t>
      </w:r>
      <w:r>
        <w:tab/>
        <w:t xml:space="preserve">Program osiguranja naplate izvoznih potraživanja namijenjen izvoznicima s godišnjim izvoznim prometom do 2 milijuna eura (provodi se od studenoga 2014. godine, kao dodatna mjera poticanja izvoza). </w:t>
      </w:r>
    </w:p>
    <w:p w:rsidR="005C2091" w:rsidRDefault="00A86293">
      <w:r>
        <w:t xml:space="preserve">Sredstva za obavljanje poslova osiguranja sukladno čl. 31. st. 2. Uredbe o osiguranju izvoza služe za isplatu odšteta, pokriće troškova sprječavanja nastanka štete i za pokriće ostalih troškova osiguratelja u provedbi osiguranja izvoza. Sredstva Garantnog fonda ujedno predstavljaju potencijal za preuzimanje novih poslova u osiguranje.  </w:t>
      </w:r>
    </w:p>
    <w:p w:rsidR="005C2091" w:rsidRDefault="00A86293">
      <w:r>
        <w:t xml:space="preserve">Sredstva Garantnog fonda čine uplate Republike Hrvatske, naplaćene premije osiguranja i regresno naplaćena sredstava po isplaćenim odštetama te priljevi od ulaganja sredstava Garantnog fonda. </w:t>
      </w:r>
    </w:p>
    <w:p w:rsidR="005C2091" w:rsidRDefault="00A86293">
      <w:r>
        <w:t xml:space="preserve">Sukladno čl. 31. st. 5. Uredbe o osiguranju izvoza, u slučaju da je ukupni iznos odštete veći od ukupnog iznosa sredstava za obavljanje poslova osiguranja izvoza, Republika Hrvatska je dužna prije dospijeća odštete, razliku iznosa uplatiti HBOR-u. </w:t>
      </w:r>
    </w:p>
    <w:p w:rsidR="005C2091" w:rsidRDefault="00A86293">
      <w:r>
        <w:t xml:space="preserve"> Pokazatelji poslovanja u razdoblju:2016. </w:t>
      </w:r>
    </w:p>
    <w:p w:rsidR="005C2091" w:rsidRDefault="00A86293">
      <w:r>
        <w:t xml:space="preserve">Osigurani izvozni promet 1,44 mlrd. kn </w:t>
      </w:r>
    </w:p>
    <w:p w:rsidR="005C2091" w:rsidRDefault="00A86293">
      <w:r>
        <w:lastRenderedPageBreak/>
        <w:t xml:space="preserve">Udio osiguranog izvoznog prometa u ukupnom izvozu RH 1,55% </w:t>
      </w:r>
    </w:p>
    <w:p w:rsidR="005C2091" w:rsidRDefault="00A86293">
      <w:r>
        <w:t xml:space="preserve">Ukupno odobreno novo osiguranje 759,52 mil. kn </w:t>
      </w:r>
    </w:p>
    <w:p w:rsidR="005C2091" w:rsidRDefault="00A86293">
      <w:r>
        <w:t xml:space="preserve">Naplaćena premija osiguranja 16,38 mil kn </w:t>
      </w:r>
    </w:p>
    <w:p w:rsidR="005C2091" w:rsidRDefault="00A86293">
      <w:r>
        <w:t>Isplaćene odštete i troškovi</w:t>
      </w:r>
      <w:r>
        <w:tab/>
        <w:t xml:space="preserve">9,26 mil. kn </w:t>
      </w:r>
    </w:p>
    <w:p w:rsidR="005C2091" w:rsidRDefault="00A86293">
      <w:r>
        <w:t xml:space="preserve">Pokazatelji poslovanja sa stanjem na dan: 31.12.2016. </w:t>
      </w:r>
    </w:p>
    <w:p w:rsidR="005C2091" w:rsidRDefault="00A86293">
      <w:r>
        <w:t xml:space="preserve">Ukupna bruto izloženost HBOR-a 1,66 mlrd. kn </w:t>
      </w:r>
    </w:p>
    <w:p w:rsidR="005C2091" w:rsidRDefault="00A86293">
      <w:r>
        <w:t>Rezervacije za identificirane rizike</w:t>
      </w:r>
      <w:r>
        <w:tab/>
        <w:t xml:space="preserve">43,25 mil. kn </w:t>
      </w:r>
    </w:p>
    <w:p w:rsidR="005C2091" w:rsidRDefault="00A86293">
      <w:r>
        <w:t xml:space="preserve">Stanje Garantnog fonda 332,36 mil. kn </w:t>
      </w:r>
    </w:p>
    <w:p w:rsidR="005C2091" w:rsidRDefault="00A86293">
      <w:r>
        <w:t xml:space="preserve"> HBOR je u 2016. godini ukupno osigurao izvozni promet hrvatskih izvoznika u visini od 1,44 milijarde kuna. </w:t>
      </w:r>
    </w:p>
    <w:p w:rsidR="005C2091" w:rsidRDefault="00A86293">
      <w:r>
        <w:t xml:space="preserve">Hrvatskim izvoznicima i bankama koje financijski prate izvoznike, HBOR je u 2016. godini odobrio ukupnu osiguranu svotu u vrijednosti od 759,52 milijuna kuna za novougovorene izvozne poslove.  </w:t>
      </w:r>
    </w:p>
    <w:p w:rsidR="005C2091" w:rsidRDefault="00A86293">
      <w:r>
        <w:t xml:space="preserve">Na dan 31.12.2016. godine bruto izloženost po poslovima osiguranja izvoza iznosila je 1,66 milijardi kuna. </w:t>
      </w:r>
    </w:p>
    <w:p w:rsidR="005C2091" w:rsidRDefault="00A86293">
      <w:r>
        <w:t xml:space="preserve">Po poslovima osiguranja izvoza u 2016. godini naplaćeno je 16,38 milijuna kuna premije osiguranja. </w:t>
      </w:r>
    </w:p>
    <w:p w:rsidR="005C2091" w:rsidRDefault="00A86293">
      <w:r>
        <w:t xml:space="preserve">Tijekom 2016. godine iz Garantnog fonda isplaćeno je 6 odšteta u ukupnom iznosu 8,81 milijuna kuna Odštete isplaćene tijekom 2016. godine posljedica su ostvarenja komercijalnog rizika produženog neplaćanja kupaca iz Hrvatske, Italije, Azerbajdžana, Crne Gore i Kosova. </w:t>
      </w:r>
    </w:p>
    <w:p w:rsidR="005C2091" w:rsidRDefault="00A86293">
      <w:r>
        <w:t>Na 31.12.2016. godine sredstva Garantnog fonda iznose 332,36 milijuna kuna.</w:t>
      </w:r>
    </w:p>
    <w:p w:rsidR="005C2091" w:rsidRDefault="00A86293">
      <w:pPr>
        <w:pStyle w:val="Heading3"/>
      </w:pPr>
      <w:r>
        <w:rPr>
          <w:rFonts w:cs="Times New Roman"/>
        </w:rPr>
        <w:t>3404 OBNOVA I RAZVITAK LOKALNE INFRASTRUKTURE I ZAŠTITA OKOLIŠA - MEIP</w:t>
      </w:r>
    </w:p>
    <w:tbl>
      <w:tblPr>
        <w:tblStyle w:val="StilTablice"/>
        <w:tblW w:w="10206" w:type="dxa"/>
        <w:jc w:val="center"/>
        <w:tblLook w:val="04A0" w:firstRow="1" w:lastRow="0" w:firstColumn="1" w:lastColumn="0" w:noHBand="0" w:noVBand="1"/>
      </w:tblPr>
      <w:tblGrid>
        <w:gridCol w:w="1893"/>
        <w:gridCol w:w="1965"/>
        <w:gridCol w:w="1965"/>
        <w:gridCol w:w="1965"/>
        <w:gridCol w:w="1205"/>
        <w:gridCol w:w="1213"/>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3404-OBNOVA I RAZVITAK LOKALNE INFRASTRUKTURE I ZAŠTITA OKOLIŠA - MEIP</w:t>
            </w:r>
          </w:p>
        </w:tc>
        <w:tc>
          <w:tcPr>
            <w:tcW w:w="2041" w:type="dxa"/>
          </w:tcPr>
          <w:p w:rsidR="005C2091" w:rsidRDefault="00A86293">
            <w:pPr>
              <w:pStyle w:val="CellColumn"/>
              <w:jc w:val="right"/>
            </w:pPr>
            <w:r>
              <w:rPr>
                <w:rFonts w:cs="Times New Roman"/>
              </w:rPr>
              <w:t>10.000.000</w:t>
            </w:r>
          </w:p>
        </w:tc>
        <w:tc>
          <w:tcPr>
            <w:tcW w:w="2041" w:type="dxa"/>
          </w:tcPr>
          <w:p w:rsidR="005C2091" w:rsidRDefault="00A86293">
            <w:pPr>
              <w:pStyle w:val="CellColumn"/>
              <w:jc w:val="right"/>
            </w:pPr>
            <w:r>
              <w:rPr>
                <w:rFonts w:cs="Times New Roman"/>
              </w:rPr>
              <w:t>10.000.000</w:t>
            </w:r>
          </w:p>
        </w:tc>
        <w:tc>
          <w:tcPr>
            <w:tcW w:w="2041" w:type="dxa"/>
          </w:tcPr>
          <w:p w:rsidR="005C2091" w:rsidRDefault="00A86293">
            <w:pPr>
              <w:pStyle w:val="CellColumn"/>
              <w:jc w:val="right"/>
            </w:pPr>
            <w:r>
              <w:rPr>
                <w:rFonts w:cs="Times New Roman"/>
              </w:rPr>
              <w:t>10.000.000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100,0</w:t>
            </w:r>
          </w:p>
        </w:tc>
      </w:tr>
    </w:tbl>
    <w:p w:rsidR="005C2091" w:rsidRDefault="005C2091">
      <w:pPr>
        <w:jc w:val="left"/>
      </w:pPr>
    </w:p>
    <w:p w:rsidR="005C2091" w:rsidRDefault="00A86293">
      <w:r>
        <w:t xml:space="preserve">U okviru svojih aktivnosti, HBOR sudjeluje u projektima obnove i razvitka infrastrukture i zaštite okoliša. Program MEIP obuhvaća dva projekta: </w:t>
      </w:r>
    </w:p>
    <w:p w:rsidR="005C2091" w:rsidRDefault="00A86293">
      <w:r>
        <w:t xml:space="preserve">-Integralni ekološki projekt zaštite Kaštelanskog zaljeva –  EKO projekt i  </w:t>
      </w:r>
    </w:p>
    <w:p w:rsidR="005C2091" w:rsidRDefault="00A86293">
      <w:r>
        <w:t>-Projekt pročišćavanja i odvodnje otpadnih voda grada Pule – Projekt Pula.</w:t>
      </w:r>
    </w:p>
    <w:p w:rsidR="005C2091" w:rsidRDefault="00A86293">
      <w:pPr>
        <w:pStyle w:val="Heading8"/>
        <w:jc w:val="left"/>
      </w:pPr>
      <w:r>
        <w:t>Cilj 1. Smanjiti zagađenost Kaštelanskog zaljeva sukladno standardima zaštite okoliša i poboljšati vodoopskrbu izgradnjom novih i proširenjem postojećih vodoopskrbnih kapaciteta.</w:t>
      </w:r>
    </w:p>
    <w:p w:rsidR="005C2091" w:rsidRDefault="00A86293">
      <w:pPr>
        <w:pStyle w:val="Heading8"/>
        <w:jc w:val="left"/>
      </w:pPr>
      <w:r>
        <w:t>Cilj 2. Smanjiti zagađenost Pulskog zaljeva, riješiti problem prikupljanja otpadnih i oborinskih voda koje onečišćuju pulsku luku i zaštiti bunar pitke vode vodoopskrbnog sustava Pule dogradnjom kanalizacijskog sustava.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63"/>
        <w:gridCol w:w="2477"/>
        <w:gridCol w:w="1009"/>
        <w:gridCol w:w="1014"/>
        <w:gridCol w:w="1214"/>
        <w:gridCol w:w="1014"/>
        <w:gridCol w:w="1015"/>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Zaštita priobalnog mora</w:t>
            </w:r>
          </w:p>
        </w:tc>
        <w:tc>
          <w:tcPr>
            <w:tcW w:w="2551" w:type="dxa"/>
          </w:tcPr>
          <w:p w:rsidR="005C2091" w:rsidRDefault="00A86293">
            <w:pPr>
              <w:pStyle w:val="CellColumn"/>
              <w:jc w:val="left"/>
            </w:pPr>
            <w:r>
              <w:rPr>
                <w:rFonts w:cs="Times New Roman"/>
              </w:rPr>
              <w:t>Bakteriološka ispravnost mora 300m od crte obale</w:t>
            </w:r>
          </w:p>
        </w:tc>
        <w:tc>
          <w:tcPr>
            <w:tcW w:w="1020" w:type="dxa"/>
          </w:tcPr>
          <w:p w:rsidR="005C2091" w:rsidRDefault="00A86293">
            <w:pPr>
              <w:pStyle w:val="CellColumn"/>
              <w:jc w:val="right"/>
            </w:pPr>
            <w:r>
              <w:rPr>
                <w:rFonts w:cs="Times New Roman"/>
              </w:rPr>
              <w:t>broj bakterija x 106ml-1</w:t>
            </w:r>
          </w:p>
        </w:tc>
        <w:tc>
          <w:tcPr>
            <w:tcW w:w="1020" w:type="dxa"/>
          </w:tcPr>
          <w:p w:rsidR="005C2091" w:rsidRDefault="00A86293">
            <w:pPr>
              <w:pStyle w:val="CellColumn"/>
              <w:jc w:val="right"/>
            </w:pPr>
            <w:r>
              <w:rPr>
                <w:rFonts w:cs="Times New Roman"/>
              </w:rPr>
              <w:t>1,1</w:t>
            </w:r>
          </w:p>
        </w:tc>
        <w:tc>
          <w:tcPr>
            <w:tcW w:w="1020" w:type="dxa"/>
          </w:tcPr>
          <w:p w:rsidR="005C2091" w:rsidRDefault="00A86293">
            <w:pPr>
              <w:pStyle w:val="CellColumn"/>
              <w:jc w:val="right"/>
            </w:pPr>
            <w:r>
              <w:rPr>
                <w:rFonts w:cs="Times New Roman"/>
              </w:rPr>
              <w:t>Institut za oceanografiju i ribarstvo Split</w:t>
            </w:r>
          </w:p>
        </w:tc>
        <w:tc>
          <w:tcPr>
            <w:tcW w:w="1020" w:type="dxa"/>
          </w:tcPr>
          <w:p w:rsidR="005C2091" w:rsidRDefault="00A86293">
            <w:pPr>
              <w:pStyle w:val="CellColumn"/>
              <w:jc w:val="right"/>
            </w:pPr>
            <w:r>
              <w:rPr>
                <w:rFonts w:cs="Times New Roman"/>
              </w:rPr>
              <w:t>0,7</w:t>
            </w:r>
          </w:p>
        </w:tc>
        <w:tc>
          <w:tcPr>
            <w:tcW w:w="1020" w:type="dxa"/>
          </w:tcPr>
          <w:p w:rsidR="005C2091" w:rsidRDefault="00A86293">
            <w:pPr>
              <w:pStyle w:val="CellColumn"/>
              <w:jc w:val="right"/>
            </w:pPr>
            <w:r>
              <w:rPr>
                <w:rFonts w:cs="Times New Roman"/>
              </w:rPr>
              <w:t>0,7</w:t>
            </w:r>
          </w:p>
        </w:tc>
      </w:tr>
    </w:tbl>
    <w:p w:rsidR="005C2091" w:rsidRDefault="005C2091">
      <w:pPr>
        <w:jc w:val="left"/>
      </w:pPr>
    </w:p>
    <w:p w:rsidR="00290EC0" w:rsidRDefault="00290EC0">
      <w:pPr>
        <w:jc w:val="left"/>
      </w:pPr>
    </w:p>
    <w:p w:rsidR="00290EC0" w:rsidRDefault="00290EC0">
      <w:pPr>
        <w:jc w:val="left"/>
      </w:pPr>
    </w:p>
    <w:p w:rsidR="005C2091" w:rsidRDefault="00A86293">
      <w:pPr>
        <w:pStyle w:val="Heading4"/>
      </w:pPr>
      <w:r>
        <w:t>A544002 PROGRAM MEIP - OBNOVA I RAZVITAK LOKALNE INFRASTRUKTURE I ZAŠTITA OKOLIŠA - (KREDIT EBRD I IBRD-UDIO RH)</w:t>
      </w:r>
    </w:p>
    <w:tbl>
      <w:tblPr>
        <w:tblStyle w:val="StilTablice"/>
        <w:tblW w:w="10206" w:type="dxa"/>
        <w:jc w:val="center"/>
        <w:tblLook w:val="04A0" w:firstRow="1" w:lastRow="0" w:firstColumn="1" w:lastColumn="0" w:noHBand="0" w:noVBand="1"/>
      </w:tblPr>
      <w:tblGrid>
        <w:gridCol w:w="1893"/>
        <w:gridCol w:w="1965"/>
        <w:gridCol w:w="1965"/>
        <w:gridCol w:w="1965"/>
        <w:gridCol w:w="1205"/>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A544002-PROGRAM MEIP - OBNOVA I RAZVITAK LOKALNE INFRASTRUKTURE I ZAŠTITA OKOLIŠA - (KREDIT EBRD I IBRD-UDIO RH)</w:t>
            </w:r>
          </w:p>
        </w:tc>
        <w:tc>
          <w:tcPr>
            <w:tcW w:w="2041" w:type="dxa"/>
          </w:tcPr>
          <w:p w:rsidR="005C2091" w:rsidRDefault="00A86293">
            <w:pPr>
              <w:pStyle w:val="CellColumn"/>
              <w:jc w:val="right"/>
            </w:pPr>
            <w:r>
              <w:rPr>
                <w:rFonts w:cs="Times New Roman"/>
              </w:rPr>
              <w:t>10.000.000</w:t>
            </w:r>
          </w:p>
        </w:tc>
        <w:tc>
          <w:tcPr>
            <w:tcW w:w="2041" w:type="dxa"/>
          </w:tcPr>
          <w:p w:rsidR="005C2091" w:rsidRDefault="00A86293">
            <w:pPr>
              <w:pStyle w:val="CellColumn"/>
              <w:jc w:val="right"/>
            </w:pPr>
            <w:r>
              <w:rPr>
                <w:rFonts w:cs="Times New Roman"/>
              </w:rPr>
              <w:t>10.000.000</w:t>
            </w:r>
          </w:p>
        </w:tc>
        <w:tc>
          <w:tcPr>
            <w:tcW w:w="2041" w:type="dxa"/>
          </w:tcPr>
          <w:p w:rsidR="005C2091" w:rsidRDefault="00A86293">
            <w:pPr>
              <w:pStyle w:val="CellColumn"/>
              <w:jc w:val="right"/>
            </w:pPr>
            <w:r>
              <w:rPr>
                <w:rFonts w:cs="Times New Roman"/>
              </w:rPr>
              <w:t>10.000.000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-Ugovor o obavljanju poslova po nalogu broj 5100-MF-1/99 zaključen između Republike Hrvatske – Ministarstva financija i HBOR-a od 4. veljače 1999. godine </w:t>
      </w:r>
    </w:p>
    <w:p w:rsidR="005C2091" w:rsidRDefault="00A86293">
      <w:r>
        <w:t xml:space="preserve">-Dodatak I Ugovoru o obavljanju poslova po nalogu zaključen između Republike Hrvatske – Ministarstva financija i HBOR-a od 2. veljače 2000. godine </w:t>
      </w:r>
    </w:p>
    <w:p w:rsidR="005C2091" w:rsidRDefault="00A86293">
      <w:r>
        <w:t xml:space="preserve">-Dodatak II Ugovoru o obavljanju poslova po nalogu zaključen između Republike Hrvatske – Ministarstva financija i HBOR-a od 18. srpnja 2002. godine </w:t>
      </w:r>
    </w:p>
    <w:p w:rsidR="005C2091" w:rsidRDefault="00A86293">
      <w:r>
        <w:t xml:space="preserve">-Dodatak III Ugovoru o obavljanju poslova po nalogu zaključen između Republike Hrvatske – Ministarstva financija i HBOR-a od 26. lipnja 2006. godine </w:t>
      </w:r>
    </w:p>
    <w:p w:rsidR="005C2091" w:rsidRDefault="00A86293">
      <w:r>
        <w:t xml:space="preserve">-Dodatak IV Ugovoru o obavljanju poslova po nalogu zaključen između Republike Hrvatske – Ministarstva financija i HBOR-a od 15. prosinca 2007. godine </w:t>
      </w:r>
    </w:p>
    <w:p w:rsidR="005C2091" w:rsidRDefault="00A86293">
      <w:r>
        <w:t xml:space="preserve">-Dodatak V Ugovoru o obavljanju poslova po nalogu zaključen između Republike Hrvatske – Ministarstva financija i HBOR-a od 19. svibnja 2014. godine </w:t>
      </w:r>
    </w:p>
    <w:p w:rsidR="005C2091" w:rsidRDefault="00A86293">
      <w:r>
        <w:t xml:space="preserve">-Investicijski programi EKO projekta i Projekta Pula i </w:t>
      </w:r>
    </w:p>
    <w:p w:rsidR="005C2091" w:rsidRDefault="00A86293">
      <w:r>
        <w:t>-Izvješće i zaključci Vlade RH o provedbi Integralnog ekološkog projekta zaštite Kaštelanskog zaljeva iz lipnja 2007. i lipnja 2009. godine.</w:t>
      </w:r>
    </w:p>
    <w:p w:rsidR="005C2091" w:rsidRDefault="00A86293">
      <w:pPr>
        <w:pStyle w:val="Heading8"/>
        <w:jc w:val="left"/>
      </w:pPr>
      <w:r>
        <w:t>Opis aktivnosti</w:t>
      </w:r>
    </w:p>
    <w:p w:rsidR="005C2091" w:rsidRDefault="00A86293">
      <w:r>
        <w:t xml:space="preserve">Integralni projekt zaštite Kaštelanskog zaljeva – EKO projekt  </w:t>
      </w:r>
    </w:p>
    <w:p w:rsidR="005C2091" w:rsidRDefault="00A86293">
      <w:r>
        <w:t xml:space="preserve">Zaključcima Vlade RH iz 2007. i 2009. godine, potvrđen je interes RH za završetak EKO projekta s ciljem razvoja gospodarstva i turizma te zaštite okoliša sukladno odredbama Zakona o vodama.  </w:t>
      </w:r>
    </w:p>
    <w:p w:rsidR="005C2091" w:rsidRDefault="00A86293">
      <w:r>
        <w:t xml:space="preserve">EKO projekt se provodi na širem području gradova Splita, Solina, Kaštela i Trogira. Osobitost regije čini veliki priljev stanovništva, intenzivna stambena i industrijska izgradnja koju nije pratila odgovarajuća izgradnja komunalne infrastrukture. </w:t>
      </w:r>
    </w:p>
    <w:p w:rsidR="005C2091" w:rsidRDefault="00A86293">
      <w:r>
        <w:lastRenderedPageBreak/>
        <w:t xml:space="preserve">Uplatama iz državnog proračuna financira se izgradnja: </w:t>
      </w:r>
    </w:p>
    <w:p w:rsidR="005C2091" w:rsidRDefault="00A86293">
      <w:r>
        <w:t xml:space="preserve">kanalizacijskog sustava Split-Solin  </w:t>
      </w:r>
    </w:p>
    <w:p w:rsidR="005C2091" w:rsidRDefault="00A86293">
      <w:r>
        <w:t xml:space="preserve">vodoopskrbnog sustava Split-Solin-Kaštela-Trogir </w:t>
      </w:r>
    </w:p>
    <w:p w:rsidR="005C2091" w:rsidRDefault="00A86293">
      <w:r>
        <w:t xml:space="preserve">kanalizacijskog sustava Kaštela-Trogir i </w:t>
      </w:r>
    </w:p>
    <w:p w:rsidR="005C2091" w:rsidRDefault="00A86293">
      <w:r>
        <w:t xml:space="preserve">optimalizacija sustava kroz izgradnju dodatnih objekata radi ostvarivanja povoljnih uvjeta rada i omogućavanja priključivanja većeg broja potrošača. </w:t>
      </w:r>
    </w:p>
    <w:p w:rsidR="005C2091" w:rsidRDefault="00A86293">
      <w:r>
        <w:t xml:space="preserve">Ranije planirani rok za završetak EKO projekta prolongiran je Revidiranim investicijskim programom EKO projekta koji je usvojen krajem 2015. godine. Zbog toga što je uočena potreba za izgradnjom dodatnih objekata kako bi postojeći sustavi optimalno funkcionirali, novi rok za završetak predviđen je u 2023. godini. </w:t>
      </w:r>
    </w:p>
    <w:p w:rsidR="005C2091" w:rsidRDefault="00A86293">
      <w:r>
        <w:t xml:space="preserve">Za izgradnju objekata u okviru EKO projekta koji su potrebni radi zaštite Kaštelanskog zaljeva do 31. prosinca 2016. godine ukupno je utrošeno 1.917,9 milijuna kuna. Od navedenog iznosa, iz državnog proračuna RH isplaćeno  je 802,1 milijuna kuna.  </w:t>
      </w:r>
    </w:p>
    <w:p w:rsidR="005C2091" w:rsidRDefault="00A86293">
      <w:r>
        <w:t xml:space="preserve">Projekt pročišćavanja i odvodnje otpadnih voda grada Pule – Projekt Pula </w:t>
      </w:r>
    </w:p>
    <w:p w:rsidR="005C2091" w:rsidRDefault="00A86293">
      <w:r>
        <w:t xml:space="preserve">Realizacija ovog projekta započela je 1998. godine, a svi planirani radovi završeni su u drugoj polovici 2014. godine. </w:t>
      </w:r>
    </w:p>
    <w:p w:rsidR="005C2091" w:rsidRDefault="00A86293">
      <w:r>
        <w:t xml:space="preserve">Za Projekt Pula do 2003. godine doznačeno je ukupno 33,1 milijun kuna. Sredstva proračuna RH doznačena za sufinanciranje Projekta Pula su u cijelosti iskorištena. </w:t>
      </w:r>
    </w:p>
    <w:p w:rsidR="005C2091" w:rsidRDefault="00A86293">
      <w:r>
        <w:t>Osnovni cilj Programa MEIP je približavanje Republike Hrvatske europskim standardima očuvanja okoliša i zaštite prirode te stvaranje pretpostavki za dugoročni razvitak hrvatskog turizma i gospodarstva u cjelini.</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33"/>
        <w:gridCol w:w="2452"/>
        <w:gridCol w:w="1001"/>
        <w:gridCol w:w="1214"/>
        <w:gridCol w:w="1081"/>
        <w:gridCol w:w="1012"/>
        <w:gridCol w:w="1013"/>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Zaštita voda i mora</w:t>
            </w:r>
          </w:p>
        </w:tc>
        <w:tc>
          <w:tcPr>
            <w:tcW w:w="2551" w:type="dxa"/>
          </w:tcPr>
          <w:p w:rsidR="005C2091" w:rsidRDefault="00A86293">
            <w:pPr>
              <w:pStyle w:val="CellColumn"/>
              <w:jc w:val="left"/>
            </w:pPr>
            <w:r>
              <w:rPr>
                <w:rFonts w:cs="Times New Roman"/>
              </w:rPr>
              <w:t>Dužina izgrađene magistralne ili sekundarne mreže odvodnje otpadnih voda izražene u km</w:t>
            </w:r>
          </w:p>
        </w:tc>
        <w:tc>
          <w:tcPr>
            <w:tcW w:w="1020" w:type="dxa"/>
          </w:tcPr>
          <w:p w:rsidR="005C2091" w:rsidRDefault="00A86293">
            <w:pPr>
              <w:pStyle w:val="CellColumn"/>
              <w:jc w:val="right"/>
            </w:pPr>
            <w:r>
              <w:rPr>
                <w:rFonts w:cs="Times New Roman"/>
              </w:rPr>
              <w:t>km</w:t>
            </w:r>
          </w:p>
        </w:tc>
        <w:tc>
          <w:tcPr>
            <w:tcW w:w="1020" w:type="dxa"/>
          </w:tcPr>
          <w:p w:rsidR="005C2091" w:rsidRDefault="00A86293">
            <w:pPr>
              <w:pStyle w:val="CellColumn"/>
              <w:jc w:val="right"/>
            </w:pPr>
            <w:r>
              <w:rPr>
                <w:rFonts w:cs="Times New Roman"/>
              </w:rPr>
              <w:t>170</w:t>
            </w:r>
          </w:p>
        </w:tc>
        <w:tc>
          <w:tcPr>
            <w:tcW w:w="1020" w:type="dxa"/>
          </w:tcPr>
          <w:p w:rsidR="005C2091" w:rsidRDefault="00A86293">
            <w:pPr>
              <w:pStyle w:val="CellColumn"/>
              <w:jc w:val="right"/>
            </w:pPr>
            <w:r>
              <w:rPr>
                <w:rFonts w:cs="Times New Roman"/>
              </w:rPr>
              <w:t>Revidirani investicijski program 2015</w:t>
            </w:r>
          </w:p>
        </w:tc>
        <w:tc>
          <w:tcPr>
            <w:tcW w:w="1020" w:type="dxa"/>
          </w:tcPr>
          <w:p w:rsidR="005C2091" w:rsidRDefault="00A86293">
            <w:pPr>
              <w:pStyle w:val="CellColumn"/>
              <w:jc w:val="right"/>
            </w:pPr>
            <w:r>
              <w:rPr>
                <w:rFonts w:cs="Times New Roman"/>
              </w:rPr>
              <w:t>196</w:t>
            </w:r>
          </w:p>
        </w:tc>
        <w:tc>
          <w:tcPr>
            <w:tcW w:w="1020" w:type="dxa"/>
          </w:tcPr>
          <w:p w:rsidR="005C2091" w:rsidRDefault="00A86293">
            <w:pPr>
              <w:pStyle w:val="CellColumn"/>
              <w:jc w:val="right"/>
            </w:pPr>
            <w:r>
              <w:rPr>
                <w:rFonts w:cs="Times New Roman"/>
              </w:rPr>
              <w:t>196</w:t>
            </w:r>
          </w:p>
        </w:tc>
      </w:tr>
      <w:tr w:rsidR="005C2091">
        <w:trPr>
          <w:jc w:val="center"/>
        </w:trPr>
        <w:tc>
          <w:tcPr>
            <w:tcW w:w="2551" w:type="dxa"/>
          </w:tcPr>
          <w:p w:rsidR="005C2091" w:rsidRDefault="00A86293">
            <w:pPr>
              <w:pStyle w:val="CellColumn"/>
              <w:jc w:val="left"/>
            </w:pPr>
            <w:r>
              <w:rPr>
                <w:rFonts w:cs="Times New Roman"/>
              </w:rPr>
              <w:t>Zaštita voda i mora</w:t>
            </w:r>
          </w:p>
        </w:tc>
        <w:tc>
          <w:tcPr>
            <w:tcW w:w="2551" w:type="dxa"/>
          </w:tcPr>
          <w:p w:rsidR="005C2091" w:rsidRDefault="00A86293">
            <w:pPr>
              <w:pStyle w:val="CellColumn"/>
              <w:jc w:val="left"/>
            </w:pPr>
            <w:r>
              <w:rPr>
                <w:rFonts w:cs="Times New Roman"/>
              </w:rPr>
              <w:t>Broj izgrađenih vodnih građevina (osim mreže) uključujući i uređaje za pročišćavanje i zbrinjavanje mulja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48 crpnih stanica + 6 (2 uređaja za pročišćavanje + 2 tunela i 2 podmorska ispusta) = 54</w:t>
            </w:r>
          </w:p>
        </w:tc>
        <w:tc>
          <w:tcPr>
            <w:tcW w:w="1020" w:type="dxa"/>
          </w:tcPr>
          <w:p w:rsidR="005C2091" w:rsidRDefault="00A86293">
            <w:pPr>
              <w:pStyle w:val="CellColumn"/>
              <w:jc w:val="right"/>
            </w:pPr>
            <w:r>
              <w:rPr>
                <w:rFonts w:cs="Times New Roman"/>
              </w:rPr>
              <w:t>Revidirani investicijski program 2015</w:t>
            </w:r>
          </w:p>
        </w:tc>
        <w:tc>
          <w:tcPr>
            <w:tcW w:w="1020" w:type="dxa"/>
          </w:tcPr>
          <w:p w:rsidR="005C2091" w:rsidRDefault="00A86293">
            <w:pPr>
              <w:pStyle w:val="CellColumn"/>
              <w:jc w:val="right"/>
            </w:pPr>
            <w:r>
              <w:rPr>
                <w:rFonts w:cs="Times New Roman"/>
              </w:rPr>
              <w:t>54</w:t>
            </w:r>
          </w:p>
        </w:tc>
        <w:tc>
          <w:tcPr>
            <w:tcW w:w="1020" w:type="dxa"/>
          </w:tcPr>
          <w:p w:rsidR="005C2091" w:rsidRDefault="00A86293">
            <w:pPr>
              <w:pStyle w:val="CellColumn"/>
              <w:jc w:val="right"/>
            </w:pPr>
            <w:r>
              <w:rPr>
                <w:rFonts w:cs="Times New Roman"/>
              </w:rPr>
              <w:t>54</w:t>
            </w:r>
          </w:p>
        </w:tc>
      </w:tr>
    </w:tbl>
    <w:p w:rsidR="005C2091" w:rsidRDefault="005C2091">
      <w:pPr>
        <w:jc w:val="left"/>
      </w:pPr>
    </w:p>
    <w:p w:rsidR="005C2091" w:rsidRDefault="00A86293">
      <w:pPr>
        <w:pStyle w:val="Heading3"/>
      </w:pPr>
      <w:r>
        <w:rPr>
          <w:rFonts w:cs="Times New Roman"/>
        </w:rPr>
        <w:t>3506 POTICANJE STAMBENE ŠTEDNJE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3506-POTICANJE STAMBENE ŠTEDNJE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38.000.000</w:t>
            </w:r>
          </w:p>
        </w:tc>
        <w:tc>
          <w:tcPr>
            <w:tcW w:w="2041" w:type="dxa"/>
          </w:tcPr>
          <w:p w:rsidR="005C2091" w:rsidRDefault="00A86293">
            <w:pPr>
              <w:pStyle w:val="CellColumn"/>
              <w:jc w:val="right"/>
            </w:pPr>
            <w:r>
              <w:rPr>
                <w:rFonts w:cs="Times New Roman"/>
              </w:rPr>
              <w:t>37.927.836</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lastRenderedPageBreak/>
        <w:t>Cilj 1. Podizanje kvalitete stanovanja građana Hrvatske</w:t>
      </w:r>
    </w:p>
    <w:p w:rsidR="005C2091" w:rsidRDefault="00A86293">
      <w:pPr>
        <w:pStyle w:val="Heading8"/>
        <w:jc w:val="left"/>
      </w:pPr>
      <w:r>
        <w:t>Opis provedbe cilja programa</w:t>
      </w:r>
    </w:p>
    <w:p w:rsidR="005C2091" w:rsidRDefault="00A86293">
      <w:r>
        <w:t xml:space="preserve">Državna poticajna sredstva u ukupnom iznosu od 37.927.836,35 kuna, isplaćena su nakon temeljite provjere, usklađenja i kontrole zaprimljenih pisanih i dokumentiranih zahtjeva stambenih štedionica, uključujući i sve korigirane zahtjeve, koja su sadržavala zbirne i analitičke podatke o prikupljenoj stambenoj štednji stambenih štediša tijekom prethodne 2015. godine.  </w:t>
      </w:r>
    </w:p>
    <w:p w:rsidR="005C2091" w:rsidRDefault="00A86293">
      <w:r>
        <w:t>Isplatom državnih poticajnih sredstava 2016. godine za raspoloživu stambenu štednju, prikupljenu tijekom 2015. godine,  obuhvaćeno je ukupno 277.425 stambenih štediša, odnosno ukupno 289.482 računa stambene štednje za koje je postavljen zahtjev za isplatu državnih poticajnih sredstava.</w:t>
      </w:r>
    </w:p>
    <w:p w:rsidR="005C2091" w:rsidRDefault="00A86293">
      <w:pPr>
        <w:pStyle w:val="Heading4"/>
      </w:pPr>
      <w:r>
        <w:t>A539042 POTICANJE STAMBENE ŠTEDNJE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A539042-POTICANJE STAMBENE ŠTEDNJE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38.000.000</w:t>
            </w:r>
          </w:p>
        </w:tc>
        <w:tc>
          <w:tcPr>
            <w:tcW w:w="2041" w:type="dxa"/>
          </w:tcPr>
          <w:p w:rsidR="005C2091" w:rsidRDefault="00A86293">
            <w:pPr>
              <w:pStyle w:val="CellColumn"/>
              <w:jc w:val="right"/>
            </w:pPr>
            <w:r>
              <w:rPr>
                <w:rFonts w:cs="Times New Roman"/>
              </w:rPr>
              <w:t>37.927.836</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stambenoj štednji i državnom poticanju stambene štednje (Narodne novine, br. 109/97, 117/97, 76/99, 10/01, 92/05, 21/10, 15/13, 139/13, 151/14 i 110/15),  </w:t>
      </w:r>
    </w:p>
    <w:p w:rsidR="005C2091" w:rsidRDefault="00A86293">
      <w:r>
        <w:t>Odluka o iznosu državnih poticajnih sredstava za stambenu štednju prikupljenu u 2015. godini (Narodne novine, br. 154/14).</w:t>
      </w:r>
    </w:p>
    <w:p w:rsidR="005C2091" w:rsidRDefault="00A86293">
      <w:pPr>
        <w:pStyle w:val="Heading8"/>
        <w:jc w:val="left"/>
      </w:pPr>
      <w:r>
        <w:t>Opis aktivnosti</w:t>
      </w:r>
    </w:p>
    <w:p w:rsidR="005C2091" w:rsidRDefault="00A86293">
      <w:r>
        <w:t xml:space="preserve">Program obuhvaća jednu aktivnost: A 539042 Poticanje stambene štednje. </w:t>
      </w:r>
    </w:p>
    <w:p w:rsidR="005C2091" w:rsidRDefault="00A86293">
      <w:r>
        <w:t xml:space="preserve">Stambena štednja je posebna namjenska štednja koja predstavlja organizirano prikupljanje novčanih sredstava – depozita od fizičkih i pravnih osoba radi rješavanja stambenih potreba građana odobravanjem kredita uz financijsku potporu države na području Republike Hrvatske. Stambeni štediša može biti državljanin Republike Hrvatske i svaka fizička osoba koja ima prebivalište u Republici Hrvatskoj.  </w:t>
      </w:r>
    </w:p>
    <w:p w:rsidR="005C2091" w:rsidRDefault="00A86293">
      <w:r>
        <w:t xml:space="preserve">Državna poticajna sredstva za stambene štediše odobravaju se stambenoj štedionici iz državnog proračuna Republike Hrvatske na osnovu dokumentiranih podataka o prikupljenoj stambenoj štednji u prethodnoj kalendarskoj godini.    </w:t>
      </w:r>
    </w:p>
    <w:p w:rsidR="005C2091" w:rsidRDefault="00A86293">
      <w:r>
        <w:t xml:space="preserve">Državna poticajna sredstva isplaćuju se prema postotku do iznosa raspoložive stambene štednje uplaćene u godini za koju se isplaćuju državna poticajna sredstva, a najviše do iznosa 5.000,00 kuna raspoložive stambene štednje po stambenom štediši tijekom jedne kalendarske godine. </w:t>
      </w:r>
    </w:p>
    <w:p w:rsidR="005C2091" w:rsidRDefault="00A86293">
      <w:r>
        <w:t xml:space="preserve">Visina državnih poticajnih sredstava izračunava prema postotku - utvrđenom formulom (tzv. varijabilni postotak), koji se svake godine do 31. listopada, Odlukom Vlade Republike Hrvatske, na prijedlog Ministarstva financija, određuje/propisuje za stambenu štednju prikupljenu u sljedećoj kalendarskoj godini. </w:t>
      </w:r>
    </w:p>
    <w:p w:rsidR="005C2091" w:rsidRDefault="00A86293">
      <w:r>
        <w:t>Državna poticajna sredstva za stambenu štednju prikupljenu u 2015. godini iznosila su 4,9%, odnosno najviše 245,00 kuna po stambenom štediši (uz pretpostavku 5.000,00 kuna raspoložive stambene štednje).</w:t>
      </w:r>
    </w:p>
    <w:p w:rsidR="005C2091" w:rsidRDefault="00A86293">
      <w:pPr>
        <w:pStyle w:val="Heading3"/>
      </w:pPr>
      <w:r>
        <w:rPr>
          <w:rFonts w:cs="Times New Roman"/>
        </w:rPr>
        <w:t>3913 POTPORE VJERSKIM ZAJEDNICAMA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lastRenderedPageBreak/>
              <w:t>3913-POTPORE VJERSKIM ZAJEDNICAMA</w:t>
            </w:r>
          </w:p>
        </w:tc>
        <w:tc>
          <w:tcPr>
            <w:tcW w:w="2041" w:type="dxa"/>
          </w:tcPr>
          <w:p w:rsidR="005C2091" w:rsidRDefault="00A86293">
            <w:pPr>
              <w:pStyle w:val="CellColumn"/>
              <w:jc w:val="right"/>
            </w:pPr>
            <w:r>
              <w:rPr>
                <w:rFonts w:cs="Times New Roman"/>
              </w:rPr>
              <w:t>375.306.372</w:t>
            </w:r>
          </w:p>
        </w:tc>
        <w:tc>
          <w:tcPr>
            <w:tcW w:w="2041" w:type="dxa"/>
          </w:tcPr>
          <w:p w:rsidR="005C2091" w:rsidRDefault="00A86293">
            <w:pPr>
              <w:pStyle w:val="CellColumn"/>
              <w:jc w:val="right"/>
            </w:pPr>
            <w:r>
              <w:rPr>
                <w:rFonts w:cs="Times New Roman"/>
              </w:rPr>
              <w:t>285.660.728</w:t>
            </w:r>
          </w:p>
        </w:tc>
        <w:tc>
          <w:tcPr>
            <w:tcW w:w="2041" w:type="dxa"/>
          </w:tcPr>
          <w:p w:rsidR="005C2091" w:rsidRDefault="00A86293">
            <w:pPr>
              <w:pStyle w:val="CellColumn"/>
              <w:jc w:val="right"/>
            </w:pPr>
            <w:r>
              <w:rPr>
                <w:rFonts w:cs="Times New Roman"/>
              </w:rPr>
              <w:t>285.660.728</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76,1</w:t>
            </w:r>
          </w:p>
        </w:tc>
      </w:tr>
    </w:tbl>
    <w:p w:rsidR="005C2091" w:rsidRDefault="005C2091">
      <w:pPr>
        <w:jc w:val="left"/>
      </w:pPr>
    </w:p>
    <w:p w:rsidR="005C2091" w:rsidRDefault="00A86293">
      <w:pPr>
        <w:pStyle w:val="Heading8"/>
        <w:jc w:val="left"/>
      </w:pPr>
      <w:r>
        <w:t xml:space="preserve">Cilj 1. Redovito izvršavanje obveza po Ugovoru između Svete Stolice i Republike Hrvatske </w:t>
      </w:r>
    </w:p>
    <w:p w:rsidR="005C2091" w:rsidRDefault="00A86293">
      <w:pPr>
        <w:pStyle w:val="Heading4"/>
      </w:pPr>
      <w:r>
        <w:t>A539026 MEĐUNARODNI SPORAZUM - SVETA STOLICA I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A539026-MEĐUNARODNI SPORAZUM - SVETA STOLICA I RH</w:t>
            </w:r>
          </w:p>
        </w:tc>
        <w:tc>
          <w:tcPr>
            <w:tcW w:w="2041" w:type="dxa"/>
          </w:tcPr>
          <w:p w:rsidR="005C2091" w:rsidRDefault="00A86293">
            <w:pPr>
              <w:pStyle w:val="CellColumn"/>
              <w:jc w:val="right"/>
            </w:pPr>
            <w:r>
              <w:rPr>
                <w:rFonts w:cs="Times New Roman"/>
              </w:rPr>
              <w:t>295.330.800</w:t>
            </w:r>
          </w:p>
        </w:tc>
        <w:tc>
          <w:tcPr>
            <w:tcW w:w="2041" w:type="dxa"/>
          </w:tcPr>
          <w:p w:rsidR="005C2091" w:rsidRDefault="00A86293">
            <w:pPr>
              <w:pStyle w:val="CellColumn"/>
              <w:jc w:val="right"/>
            </w:pPr>
            <w:r>
              <w:rPr>
                <w:rFonts w:cs="Times New Roman"/>
              </w:rPr>
              <w:t>285.660.728</w:t>
            </w:r>
          </w:p>
        </w:tc>
        <w:tc>
          <w:tcPr>
            <w:tcW w:w="2041" w:type="dxa"/>
          </w:tcPr>
          <w:p w:rsidR="005C2091" w:rsidRDefault="00A86293">
            <w:pPr>
              <w:pStyle w:val="CellColumn"/>
              <w:jc w:val="right"/>
            </w:pPr>
            <w:r>
              <w:rPr>
                <w:rFonts w:cs="Times New Roman"/>
              </w:rPr>
              <w:t>285.660.728</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96,7</w:t>
            </w:r>
          </w:p>
        </w:tc>
      </w:tr>
    </w:tbl>
    <w:p w:rsidR="005C2091" w:rsidRDefault="005C2091">
      <w:pPr>
        <w:jc w:val="left"/>
      </w:pPr>
    </w:p>
    <w:p w:rsidR="005C2091" w:rsidRDefault="00A86293">
      <w:pPr>
        <w:pStyle w:val="Heading8"/>
        <w:jc w:val="left"/>
      </w:pPr>
      <w:r>
        <w:t>Zakonske i druge pravne osnove</w:t>
      </w:r>
    </w:p>
    <w:p w:rsidR="005C2091" w:rsidRDefault="00A86293">
      <w:r>
        <w:t>Ugovor između Svete Stolice i Republike Hrvatske o gospodarskim pitanjima (Narodne novine– Međunarodni ugovori br. 18/1998).</w:t>
      </w:r>
    </w:p>
    <w:p w:rsidR="005C2091" w:rsidRDefault="00A86293">
      <w:pPr>
        <w:pStyle w:val="Heading8"/>
        <w:jc w:val="left"/>
      </w:pPr>
      <w:r>
        <w:t>Opis aktivnosti</w:t>
      </w:r>
    </w:p>
    <w:p w:rsidR="005C2091" w:rsidRDefault="00A86293">
      <w:r>
        <w:t>Financijska sredstva isplaćena su Katoličkoj crkvi prema Ugovoru između Svete Stolice i Republike Hrvatske o gospodarskim pitanjima. Sredstva se odnose na troškove za opće društveno vrijedan rad Katoličke Crkve u službi građana na kulturnom, odgojnom, društveno i etičkom polju, troškove uzdržavanja klera i drugih crkvenih službenika, troškove izgradnje i uzdržavanje crkava i pastoralnih središta koja nisu u popisu spomenika kulture te doprinos za karitativnu djelatnost Katoličke Crkve.</w:t>
      </w:r>
    </w:p>
    <w:p w:rsidR="005C2091" w:rsidRDefault="00A86293">
      <w:pPr>
        <w:pStyle w:val="Heading3"/>
      </w:pPr>
      <w:r>
        <w:rPr>
          <w:rFonts w:cs="Times New Roman"/>
        </w:rPr>
        <w:t>4104 POTICAJI ZA ČLANOVE DOBROVOLJNIH MIROVINSKIH FONDOVA</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4104-POTICAJI ZA ČLANOVE DOBROVOLJNIH MIROVINSKIH FONDOVA</w:t>
            </w:r>
          </w:p>
        </w:tc>
        <w:tc>
          <w:tcPr>
            <w:tcW w:w="2041" w:type="dxa"/>
          </w:tcPr>
          <w:p w:rsidR="005C2091" w:rsidRDefault="00A86293">
            <w:pPr>
              <w:pStyle w:val="CellColumn"/>
              <w:jc w:val="right"/>
            </w:pPr>
            <w:r>
              <w:rPr>
                <w:rFonts w:cs="Times New Roman"/>
              </w:rPr>
              <w:t>44.770.828</w:t>
            </w:r>
          </w:p>
        </w:tc>
        <w:tc>
          <w:tcPr>
            <w:tcW w:w="2041" w:type="dxa"/>
          </w:tcPr>
          <w:p w:rsidR="005C2091" w:rsidRDefault="00A86293">
            <w:pPr>
              <w:pStyle w:val="CellColumn"/>
              <w:jc w:val="right"/>
            </w:pPr>
            <w:r>
              <w:rPr>
                <w:rFonts w:cs="Times New Roman"/>
              </w:rPr>
              <w:t>49.900.000</w:t>
            </w:r>
          </w:p>
        </w:tc>
        <w:tc>
          <w:tcPr>
            <w:tcW w:w="2041" w:type="dxa"/>
          </w:tcPr>
          <w:p w:rsidR="005C2091" w:rsidRDefault="00A86293">
            <w:pPr>
              <w:pStyle w:val="CellColumn"/>
              <w:jc w:val="right"/>
            </w:pPr>
            <w:r>
              <w:rPr>
                <w:rFonts w:cs="Times New Roman"/>
              </w:rPr>
              <w:t>49.653.647</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110,9</w:t>
            </w:r>
          </w:p>
        </w:tc>
      </w:tr>
    </w:tbl>
    <w:p w:rsidR="005C2091" w:rsidRDefault="005C2091">
      <w:pPr>
        <w:jc w:val="left"/>
      </w:pPr>
    </w:p>
    <w:p w:rsidR="005C2091" w:rsidRDefault="00A86293">
      <w:pPr>
        <w:pStyle w:val="Heading8"/>
        <w:jc w:val="left"/>
      </w:pPr>
      <w:r>
        <w:t>Cilj 1.  Poticati razvoj sustava mirovinskog osiguranja</w:t>
      </w:r>
    </w:p>
    <w:p w:rsidR="005C2091" w:rsidRDefault="00A86293">
      <w:pPr>
        <w:pStyle w:val="Heading8"/>
        <w:jc w:val="left"/>
      </w:pPr>
      <w:r>
        <w:t>Opis provedbe cilja programa</w:t>
      </w:r>
    </w:p>
    <w:p w:rsidR="005C2091" w:rsidRDefault="00A86293">
      <w:r>
        <w:t xml:space="preserve">Državna poticajna sredstva u ukupnom iznosu od 49.653.647,13 kuna, isplaćena su nakon temeljite provjere, usklađenja i kontrole zaprimljenih pisanih i dokumentiranih zahtjeva mirovinskih društava, uključujući i sve korigirane zahtjeve, koja su sadržavala zbirne i analitičke podatke o prikupljenim uplatama na osobne račune članova fonda tijekom prethodne 2015. godine.  </w:t>
      </w:r>
    </w:p>
    <w:p w:rsidR="005C2091" w:rsidRDefault="00A86293">
      <w:r>
        <w:t>Isplatom državnih poticajnih sredstava 2016. godine za članove dobrovoljnih mirovinskih fondova, temeljem njihovih uplaćenih doprinosa tijekom 2015. godine,  obuhvaćeno je ukupno 127.482 osiguranika III. stupa mirovinskog osiguranja.</w:t>
      </w:r>
    </w:p>
    <w:p w:rsidR="005C2091" w:rsidRDefault="00A86293">
      <w:pPr>
        <w:pStyle w:val="Heading4"/>
      </w:pPr>
      <w:r>
        <w:lastRenderedPageBreak/>
        <w:t>A539274 POTICAJI ZA ČLANOVE DOBROVOLJNIH MIROVINSKIH FONDOVA</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A539274-POTICAJI ZA ČLANOVE DOBROVOLJNIH MIROVINSKIH FONDOVA</w:t>
            </w:r>
          </w:p>
        </w:tc>
        <w:tc>
          <w:tcPr>
            <w:tcW w:w="2041" w:type="dxa"/>
          </w:tcPr>
          <w:p w:rsidR="005C2091" w:rsidRDefault="00A86293">
            <w:pPr>
              <w:pStyle w:val="CellColumn"/>
              <w:jc w:val="right"/>
            </w:pPr>
            <w:r>
              <w:rPr>
                <w:rFonts w:cs="Times New Roman"/>
              </w:rPr>
              <w:t>44.770.828</w:t>
            </w:r>
          </w:p>
        </w:tc>
        <w:tc>
          <w:tcPr>
            <w:tcW w:w="2041" w:type="dxa"/>
          </w:tcPr>
          <w:p w:rsidR="005C2091" w:rsidRDefault="00A86293">
            <w:pPr>
              <w:pStyle w:val="CellColumn"/>
              <w:jc w:val="right"/>
            </w:pPr>
            <w:r>
              <w:rPr>
                <w:rFonts w:cs="Times New Roman"/>
              </w:rPr>
              <w:t>49.900.000</w:t>
            </w:r>
          </w:p>
        </w:tc>
        <w:tc>
          <w:tcPr>
            <w:tcW w:w="2041" w:type="dxa"/>
          </w:tcPr>
          <w:p w:rsidR="005C2091" w:rsidRDefault="00A86293">
            <w:pPr>
              <w:pStyle w:val="CellColumn"/>
              <w:jc w:val="right"/>
            </w:pPr>
            <w:r>
              <w:rPr>
                <w:rFonts w:cs="Times New Roman"/>
              </w:rPr>
              <w:t>49.653.647</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110,9</w:t>
            </w:r>
          </w:p>
        </w:tc>
      </w:tr>
    </w:tbl>
    <w:p w:rsidR="005C2091" w:rsidRDefault="005C2091">
      <w:pPr>
        <w:jc w:val="left"/>
      </w:pPr>
    </w:p>
    <w:p w:rsidR="005C2091" w:rsidRDefault="00A86293">
      <w:pPr>
        <w:pStyle w:val="Heading8"/>
        <w:jc w:val="left"/>
      </w:pPr>
      <w:r>
        <w:t>Zakonske i druge pravne osnove</w:t>
      </w:r>
    </w:p>
    <w:p w:rsidR="005C2091" w:rsidRDefault="00A86293">
      <w:r>
        <w:t>Zakon o dobrovoljnim mirovinskim fondovima (Narodne novine, broj 19/2014)</w:t>
      </w:r>
    </w:p>
    <w:p w:rsidR="005C2091" w:rsidRDefault="00A86293">
      <w:pPr>
        <w:pStyle w:val="Heading8"/>
        <w:jc w:val="left"/>
      </w:pPr>
      <w:r>
        <w:t>Opis aktivnosti</w:t>
      </w:r>
    </w:p>
    <w:p w:rsidR="005C2091" w:rsidRDefault="00A86293">
      <w:r>
        <w:t xml:space="preserve">U okviru III. stupa mirovinskog osiguranja Republike Hrvatske - dobrovoljnog mirovinskog osiguranja temeljem individualne kapitalizirane štednje, članovima dobrovoljnih mirovinskih fondova odobravaju se poticajna sredstva iz državnog proračuna na osnovu dokumentiranih podataka mirovinskih društava o prikupljenim uplatama na osobne račune članova fondova u prethodnoj kalendarskoj godini.  </w:t>
      </w:r>
    </w:p>
    <w:p w:rsidR="005C2091" w:rsidRDefault="00A86293">
      <w:r>
        <w:t xml:space="preserve">Državna poticajna sredstva iznose 15% od ukupno uplaćenog doprinosa pojedinog člana fonda u prethodnoj kalendarskoj godini, ali najviše do uplaćenog iznosa od 5.000,00 kuna po članu fonda tijekom jedne kalendarske godine.  </w:t>
      </w:r>
    </w:p>
    <w:p w:rsidR="005C2091" w:rsidRDefault="00A86293">
      <w:r>
        <w:t xml:space="preserve">Maksimalni iznos državnih poticajnih sredstava koje član dobrovoljnog mirovinskog fonda može ostvariti u jednoj kalendarskoj godini (uz pretpostavljenu uplatu od 5.000,00 kuna) iznosi 750,00 kuna.  </w:t>
      </w:r>
    </w:p>
    <w:p w:rsidR="005C2091" w:rsidRDefault="00A86293">
      <w:r>
        <w:t xml:space="preserve">Ova državna poticajna sredstva namijenjena su poticanju isključivo dugoročne namjenske štednje građana za primjerenu mirovinu, odnosno poticanju što ranijeg započinjanja izdvajanja novčanih sredstava za mirovinu na osobne račune u dobrovoljnim mirovinskim fondovima.  </w:t>
      </w:r>
    </w:p>
    <w:p w:rsidR="005C2091" w:rsidRDefault="00A86293">
      <w:r>
        <w:t>Poticanjem mirovinske štednje građana putem dobrovoljnih mirovinskih fondova istovremeno se potiče razvoj trećeg stupa sustava mirovinskog osiguranja.</w:t>
      </w:r>
    </w:p>
    <w:p w:rsidR="005C2091" w:rsidRDefault="00A86293">
      <w:pPr>
        <w:pStyle w:val="Heading3"/>
      </w:pPr>
      <w:r>
        <w:rPr>
          <w:rFonts w:cs="Times New Roman"/>
        </w:rPr>
        <w:t>4201 SERVISIRANJE UNUTARNJEG DUGA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4201-SERVISIRANJE UNUTARNJEG DUGA</w:t>
            </w:r>
          </w:p>
        </w:tc>
        <w:tc>
          <w:tcPr>
            <w:tcW w:w="2041" w:type="dxa"/>
          </w:tcPr>
          <w:p w:rsidR="005C2091" w:rsidRDefault="00A86293">
            <w:pPr>
              <w:pStyle w:val="CellColumn"/>
              <w:jc w:val="right"/>
            </w:pPr>
            <w:r>
              <w:rPr>
                <w:rFonts w:cs="Times New Roman"/>
              </w:rPr>
              <w:t>21.340.547.863</w:t>
            </w:r>
          </w:p>
        </w:tc>
        <w:tc>
          <w:tcPr>
            <w:tcW w:w="2041" w:type="dxa"/>
          </w:tcPr>
          <w:p w:rsidR="005C2091" w:rsidRDefault="00A86293">
            <w:pPr>
              <w:pStyle w:val="CellColumn"/>
              <w:jc w:val="right"/>
            </w:pPr>
            <w:r>
              <w:rPr>
                <w:rFonts w:cs="Times New Roman"/>
              </w:rPr>
              <w:t>19.410.587.743</w:t>
            </w:r>
          </w:p>
        </w:tc>
        <w:tc>
          <w:tcPr>
            <w:tcW w:w="2041" w:type="dxa"/>
          </w:tcPr>
          <w:p w:rsidR="005C2091" w:rsidRDefault="00A86293">
            <w:pPr>
              <w:pStyle w:val="CellColumn"/>
              <w:jc w:val="right"/>
            </w:pPr>
            <w:r>
              <w:rPr>
                <w:rFonts w:cs="Times New Roman"/>
              </w:rPr>
              <w:t>19.364.277.298</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90,7</w:t>
            </w:r>
          </w:p>
        </w:tc>
      </w:tr>
    </w:tbl>
    <w:p w:rsidR="005C2091" w:rsidRDefault="005C2091">
      <w:pPr>
        <w:jc w:val="left"/>
      </w:pPr>
    </w:p>
    <w:p w:rsidR="005C2091" w:rsidRDefault="00A86293">
      <w:r>
        <w:t xml:space="preserve">Rashodi i izdaci po ovoj osnovi planirani su za servisiranje obveza po izdanim vrijednosnim papirima u zemlji, za servisiranje kreditnih obveza prema tuzemnim bankama, za servisiranje preuzetih obveza proisteklih temeljem sklopljenih ugovora i izdanih jamstava brodogradilištima, željeznicama, zdravstvu kao i za servisiranje obveza po kreditima sveučilištima. </w:t>
      </w:r>
    </w:p>
    <w:p w:rsidR="005C2091" w:rsidRDefault="00A86293">
      <w:r>
        <w:t xml:space="preserve">Sredstva se unutar ovog programa osiguravaju temeljem: 17 Odluka o izdavanju obveznica RH uz plasmana na </w:t>
      </w:r>
    </w:p>
    <w:p w:rsidR="005C2091" w:rsidRDefault="00A86293">
      <w:r>
        <w:t xml:space="preserve">domaćem tržištu kapitala, 4 Odluke o zaduživanju RH deviznim kreditom sindiciranim kod domaćih banaka te </w:t>
      </w:r>
    </w:p>
    <w:p w:rsidR="005C2091" w:rsidRDefault="00A86293">
      <w:r>
        <w:lastRenderedPageBreak/>
        <w:t>Ugovora o zajmu za sveučilišta u Rijeci, Osijeku, Zagrebu, Splitu, Dubrovniku i Mostaru.</w:t>
      </w:r>
    </w:p>
    <w:p w:rsidR="005C2091" w:rsidRDefault="00A86293">
      <w:pPr>
        <w:pStyle w:val="Heading8"/>
        <w:jc w:val="left"/>
      </w:pPr>
      <w:r>
        <w:t>Cilj 1. Pravovremena otplata dospijeća obveza po zaduživanju na domaćem tržištu kapitala</w:t>
      </w:r>
    </w:p>
    <w:p w:rsidR="005C2091" w:rsidRDefault="00A86293">
      <w:pPr>
        <w:pStyle w:val="Heading3"/>
      </w:pPr>
      <w:r>
        <w:rPr>
          <w:rFonts w:cs="Times New Roman"/>
        </w:rPr>
        <w:t>4202 SERVISIRANJE VANJSKOG DUGA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4202-SERVISIRANJE VANJSKOG DUGA</w:t>
            </w:r>
          </w:p>
        </w:tc>
        <w:tc>
          <w:tcPr>
            <w:tcW w:w="2041" w:type="dxa"/>
          </w:tcPr>
          <w:p w:rsidR="005C2091" w:rsidRDefault="00A86293">
            <w:pPr>
              <w:pStyle w:val="CellColumn"/>
              <w:jc w:val="right"/>
            </w:pPr>
            <w:r>
              <w:rPr>
                <w:rFonts w:cs="Times New Roman"/>
              </w:rPr>
              <w:t>13.254.300.495</w:t>
            </w:r>
          </w:p>
        </w:tc>
        <w:tc>
          <w:tcPr>
            <w:tcW w:w="2041" w:type="dxa"/>
          </w:tcPr>
          <w:p w:rsidR="005C2091" w:rsidRDefault="00A86293">
            <w:pPr>
              <w:pStyle w:val="CellColumn"/>
              <w:jc w:val="right"/>
            </w:pPr>
            <w:r>
              <w:rPr>
                <w:rFonts w:cs="Times New Roman"/>
              </w:rPr>
              <w:t>7.845.236.177</w:t>
            </w:r>
          </w:p>
        </w:tc>
        <w:tc>
          <w:tcPr>
            <w:tcW w:w="2041" w:type="dxa"/>
          </w:tcPr>
          <w:p w:rsidR="005C2091" w:rsidRDefault="00A86293">
            <w:pPr>
              <w:pStyle w:val="CellColumn"/>
              <w:jc w:val="right"/>
            </w:pPr>
            <w:r>
              <w:rPr>
                <w:rFonts w:cs="Times New Roman"/>
              </w:rPr>
              <w:t>7.692.913.290</w:t>
            </w:r>
          </w:p>
        </w:tc>
        <w:tc>
          <w:tcPr>
            <w:tcW w:w="1224" w:type="dxa"/>
          </w:tcPr>
          <w:p w:rsidR="005C2091" w:rsidRDefault="00A86293">
            <w:pPr>
              <w:pStyle w:val="CellColumn"/>
              <w:jc w:val="right"/>
            </w:pPr>
            <w:r>
              <w:rPr>
                <w:rFonts w:cs="Times New Roman"/>
              </w:rPr>
              <w:t>98,1</w:t>
            </w:r>
          </w:p>
        </w:tc>
        <w:tc>
          <w:tcPr>
            <w:tcW w:w="1224" w:type="dxa"/>
          </w:tcPr>
          <w:p w:rsidR="005C2091" w:rsidRDefault="00A86293">
            <w:pPr>
              <w:pStyle w:val="CellColumn"/>
              <w:jc w:val="right"/>
            </w:pPr>
            <w:r>
              <w:rPr>
                <w:rFonts w:cs="Times New Roman"/>
              </w:rPr>
              <w:t>58,0</w:t>
            </w:r>
          </w:p>
        </w:tc>
      </w:tr>
    </w:tbl>
    <w:p w:rsidR="005C2091" w:rsidRDefault="005C2091">
      <w:pPr>
        <w:jc w:val="left"/>
      </w:pPr>
    </w:p>
    <w:p w:rsidR="005C2091" w:rsidRDefault="00A86293">
      <w:pPr>
        <w:pStyle w:val="Heading8"/>
        <w:jc w:val="left"/>
      </w:pPr>
      <w:r>
        <w:t>Cilj 1. Pravovremena otplata dospijeća obveza po zaduživanju na vanjskom tržištu kapitala.</w:t>
      </w:r>
    </w:p>
    <w:p w:rsidR="005C2091" w:rsidRDefault="00A86293">
      <w:pPr>
        <w:pStyle w:val="Heading8"/>
        <w:jc w:val="left"/>
      </w:pPr>
      <w:r>
        <w:t>Opis provedbe cilja programa</w:t>
      </w:r>
    </w:p>
    <w:p w:rsidR="005C2091" w:rsidRDefault="00A86293">
      <w:r>
        <w:t>Pravovremena otplata dospijeća obveza po zaduživanju na vanjskom tržištu kapitala proizašlih iz povlačenja zajmova i izdavanja vrijednosnih papira uz najniže moguće troškove.</w:t>
      </w:r>
    </w:p>
    <w:p w:rsidR="005C2091" w:rsidRDefault="00A86293">
      <w:pPr>
        <w:pStyle w:val="Heading4"/>
      </w:pPr>
      <w:r>
        <w:t>A539098 ZAJMOVI OD MEĐUNARODNIH ORGANIZACIJA</w:t>
      </w:r>
    </w:p>
    <w:tbl>
      <w:tblPr>
        <w:tblStyle w:val="StilTablice"/>
        <w:tblW w:w="10206" w:type="dxa"/>
        <w:jc w:val="center"/>
        <w:tblLook w:val="04A0" w:firstRow="1" w:lastRow="0" w:firstColumn="1" w:lastColumn="0" w:noHBand="0" w:noVBand="1"/>
      </w:tblPr>
      <w:tblGrid>
        <w:gridCol w:w="1770"/>
        <w:gridCol w:w="2003"/>
        <w:gridCol w:w="2003"/>
        <w:gridCol w:w="2003"/>
        <w:gridCol w:w="1211"/>
        <w:gridCol w:w="121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A539098-ZAJMOVI OD MEĐUNARODNIH ORGANIZACIJA</w:t>
            </w:r>
          </w:p>
        </w:tc>
        <w:tc>
          <w:tcPr>
            <w:tcW w:w="2041" w:type="dxa"/>
          </w:tcPr>
          <w:p w:rsidR="005C2091" w:rsidRDefault="00A86293">
            <w:pPr>
              <w:pStyle w:val="CellColumn"/>
              <w:jc w:val="right"/>
            </w:pPr>
            <w:r>
              <w:rPr>
                <w:rFonts w:cs="Times New Roman"/>
              </w:rPr>
              <w:t>2.253.676.994</w:t>
            </w:r>
          </w:p>
        </w:tc>
        <w:tc>
          <w:tcPr>
            <w:tcW w:w="2041" w:type="dxa"/>
          </w:tcPr>
          <w:p w:rsidR="005C2091" w:rsidRDefault="00A86293">
            <w:pPr>
              <w:pStyle w:val="CellColumn"/>
              <w:jc w:val="right"/>
            </w:pPr>
            <w:r>
              <w:rPr>
                <w:rFonts w:cs="Times New Roman"/>
              </w:rPr>
              <w:t>1.252.726.719</w:t>
            </w:r>
          </w:p>
        </w:tc>
        <w:tc>
          <w:tcPr>
            <w:tcW w:w="2041" w:type="dxa"/>
          </w:tcPr>
          <w:p w:rsidR="005C2091" w:rsidRDefault="00A86293">
            <w:pPr>
              <w:pStyle w:val="CellColumn"/>
              <w:jc w:val="right"/>
            </w:pPr>
            <w:r>
              <w:rPr>
                <w:rFonts w:cs="Times New Roman"/>
              </w:rPr>
              <w:t>1.160.407.184</w:t>
            </w:r>
          </w:p>
        </w:tc>
        <w:tc>
          <w:tcPr>
            <w:tcW w:w="1224" w:type="dxa"/>
          </w:tcPr>
          <w:p w:rsidR="005C2091" w:rsidRDefault="00A86293">
            <w:pPr>
              <w:pStyle w:val="CellColumn"/>
              <w:jc w:val="right"/>
            </w:pPr>
            <w:r>
              <w:rPr>
                <w:rFonts w:cs="Times New Roman"/>
              </w:rPr>
              <w:t>92,6</w:t>
            </w:r>
          </w:p>
        </w:tc>
        <w:tc>
          <w:tcPr>
            <w:tcW w:w="1224" w:type="dxa"/>
          </w:tcPr>
          <w:p w:rsidR="005C2091" w:rsidRDefault="00A86293">
            <w:pPr>
              <w:pStyle w:val="CellColumn"/>
              <w:jc w:val="right"/>
            </w:pPr>
            <w:r>
              <w:rPr>
                <w:rFonts w:cs="Times New Roman"/>
              </w:rPr>
              <w:t>51,5</w:t>
            </w:r>
          </w:p>
        </w:tc>
      </w:tr>
    </w:tbl>
    <w:p w:rsidR="005C2091" w:rsidRDefault="005C2091">
      <w:pPr>
        <w:jc w:val="left"/>
      </w:pPr>
    </w:p>
    <w:p w:rsidR="005C2091" w:rsidRDefault="00A86293">
      <w:pPr>
        <w:pStyle w:val="Heading8"/>
        <w:jc w:val="left"/>
      </w:pPr>
      <w:r>
        <w:t>Zakonske i druge pravne osnove</w:t>
      </w:r>
    </w:p>
    <w:p w:rsidR="005C2091" w:rsidRDefault="00A86293">
      <w:r>
        <w:t>40 zakona o potvrđivanju ugovora o zajmovima između Republike Hrvatske i međunarodnih financijskih institucija (IBRD, EIB i CEB) koji su objavljeni u Narodnim novinama - Međunarodni ugovori.</w:t>
      </w:r>
    </w:p>
    <w:p w:rsidR="005C2091" w:rsidRDefault="00A86293">
      <w:pPr>
        <w:pStyle w:val="Heading8"/>
        <w:jc w:val="left"/>
      </w:pPr>
      <w:r>
        <w:t>Opis aktivnosti</w:t>
      </w:r>
    </w:p>
    <w:p w:rsidR="005C2091" w:rsidRDefault="00A86293">
      <w:r>
        <w:t xml:space="preserve">Rashodi i izdaci po ovoj osnovi (za glavnice i kamate) planirani su prema podacima o dospijeću obveza po izdanim obveznicama na međunarodnom tržištu kapitala kao i preuzetih obveza prema inozemnim vladama, međunarodnim financijskim institucijama za primljene kredite za projekte iz djelokruga IBRD-a, EIB-a, EBRD-a, CEB-a, EUROFIMA-e (za rekonstrukciju i izgradnju cesta, željeznica, reformu pravosuđa, zdravstveni sektor, obnovu i izgradnju škola, poljoprivredu, gospodarski oporavak područja posebne državne skrbi, zaštitu od onečišćenja voda u priobalju, itd.). Za neke od ovih projekata koriste se i krediti inozemnih banaka. Na ovoj aktivnosti planirana su i sredstva za troškove i naknade koje proizlaze iz postupka povlačenja kredita i troškove i naknade izdavanja vrijednosnih papira. </w:t>
      </w:r>
    </w:p>
    <w:p w:rsidR="005C2091" w:rsidRDefault="00A86293">
      <w:r>
        <w:t xml:space="preserve">Sredstva po ovoj aktivnosti odnose se na otplatu glavnice i plaćanje kamata te naknada po primljenim kreditima i zajmovima od međunarodnih organizacija, institucija i tijela EU te inozemnih vlada.  </w:t>
      </w:r>
    </w:p>
    <w:p w:rsidR="005C2091" w:rsidRDefault="00A86293">
      <w:r>
        <w:t xml:space="preserve">Dodatno, odlukom Europske središnje banke (ESB) uvedene su početkom lipnja 2014.g. negativne kamatne stope na depozitna sredstva. Promjenom depozitne stope, ESB ujedno utječe i na kamatne stope na eurske depozite centralnih banaka, kao i na prinose od kamata na kratkoročne investicije. </w:t>
      </w:r>
    </w:p>
    <w:p w:rsidR="005C2091" w:rsidRDefault="00A86293">
      <w:r>
        <w:t xml:space="preserve">Devizni priljevi državnog proračuna uplaćuju se na račun otvoren kod Hrvatske narodne banke (HNB). Uvođenjem novih monetarnih mjera ESB i sredstva HNB-a, a posljedično tome i sredstva državnog proračuna (kao deponenta sredstava u EUR i još nekim valutama, kod HNB-a) podložna su obračunu negativnih kamatnih stopa. </w:t>
      </w:r>
    </w:p>
    <w:p w:rsidR="005C2091" w:rsidRDefault="00A86293">
      <w:r>
        <w:lastRenderedPageBreak/>
        <w:t>U okviru aktivnosti A539098, na analitičkom kontu 342130001 evidentirani su i rashodi nastali temeljem obračunatih negativnih kamata na depozitna i kratkoročno oročena i investirana devizna sredstva kod HNB-a u 2016.g.</w:t>
      </w:r>
    </w:p>
    <w:p w:rsidR="005C2091" w:rsidRDefault="00A86293">
      <w:pPr>
        <w:pStyle w:val="Heading3"/>
      </w:pPr>
      <w:r>
        <w:rPr>
          <w:rFonts w:cs="Times New Roman"/>
        </w:rPr>
        <w:t>4301 PRORAČUNSKA ZALIHA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4301-PRORAČUNSKA ZALIHA</w:t>
            </w:r>
          </w:p>
        </w:tc>
        <w:tc>
          <w:tcPr>
            <w:tcW w:w="2041" w:type="dxa"/>
          </w:tcPr>
          <w:p w:rsidR="005C2091" w:rsidRDefault="00A86293">
            <w:pPr>
              <w:pStyle w:val="CellColumn"/>
              <w:jc w:val="right"/>
            </w:pPr>
            <w:r>
              <w:rPr>
                <w:rFonts w:cs="Times New Roman"/>
              </w:rPr>
              <w:t>224.723.048</w:t>
            </w:r>
          </w:p>
        </w:tc>
        <w:tc>
          <w:tcPr>
            <w:tcW w:w="2041" w:type="dxa"/>
          </w:tcPr>
          <w:p w:rsidR="005C2091" w:rsidRDefault="00A86293">
            <w:pPr>
              <w:pStyle w:val="CellColumn"/>
              <w:jc w:val="right"/>
            </w:pPr>
            <w:r>
              <w:rPr>
                <w:rFonts w:cs="Times New Roman"/>
              </w:rPr>
              <w:t>230.000.000</w:t>
            </w:r>
          </w:p>
        </w:tc>
        <w:tc>
          <w:tcPr>
            <w:tcW w:w="2041" w:type="dxa"/>
          </w:tcPr>
          <w:p w:rsidR="005C2091" w:rsidRDefault="00A86293">
            <w:pPr>
              <w:pStyle w:val="CellColumn"/>
              <w:jc w:val="right"/>
            </w:pPr>
            <w:r>
              <w:rPr>
                <w:rFonts w:cs="Times New Roman"/>
              </w:rPr>
              <w:t>212.126.425</w:t>
            </w:r>
          </w:p>
        </w:tc>
        <w:tc>
          <w:tcPr>
            <w:tcW w:w="1224" w:type="dxa"/>
          </w:tcPr>
          <w:p w:rsidR="005C2091" w:rsidRDefault="00A86293">
            <w:pPr>
              <w:pStyle w:val="CellColumn"/>
              <w:jc w:val="right"/>
            </w:pPr>
            <w:r>
              <w:rPr>
                <w:rFonts w:cs="Times New Roman"/>
              </w:rPr>
              <w:t>92,2</w:t>
            </w:r>
          </w:p>
        </w:tc>
        <w:tc>
          <w:tcPr>
            <w:tcW w:w="1224" w:type="dxa"/>
          </w:tcPr>
          <w:p w:rsidR="005C2091" w:rsidRDefault="00A86293">
            <w:pPr>
              <w:pStyle w:val="CellColumn"/>
              <w:jc w:val="right"/>
            </w:pPr>
            <w:r>
              <w:rPr>
                <w:rFonts w:cs="Times New Roman"/>
              </w:rPr>
              <w:t>94,4</w:t>
            </w:r>
          </w:p>
        </w:tc>
      </w:tr>
    </w:tbl>
    <w:p w:rsidR="005C2091" w:rsidRDefault="005C2091">
      <w:pPr>
        <w:jc w:val="left"/>
      </w:pPr>
    </w:p>
    <w:p w:rsidR="005C2091" w:rsidRDefault="00A86293">
      <w:r>
        <w:t>Zakonom o proračunu (NN 87/08, 136/12 i 15/15), člancima 56. do 58. definira se pojam proračunske zalihe, utvrđuje visina i namjene za koje se koristi. To je financiranje nepredviđenih namjena za koje u proračunu nisu osigurana sredstva, nisu dostatno osigurana sredstva, ili ih pri planiranju proračuna nije bilo moguće predvidjeti.</w:t>
      </w:r>
    </w:p>
    <w:p w:rsidR="005C2091" w:rsidRDefault="00A86293">
      <w:pPr>
        <w:pStyle w:val="Heading8"/>
        <w:jc w:val="left"/>
      </w:pPr>
      <w:r>
        <w:t>Cilj 1. Osigurati sredstva za financiranje nepredviđenih namjena ili izvanrednih događaja</w:t>
      </w:r>
    </w:p>
    <w:p w:rsidR="005C2091" w:rsidRDefault="00A86293">
      <w:pPr>
        <w:pStyle w:val="Heading8"/>
        <w:jc w:val="left"/>
      </w:pPr>
      <w:r>
        <w:t>Opis provedbe cilja programa</w:t>
      </w:r>
    </w:p>
    <w:p w:rsidR="005C2091" w:rsidRDefault="00A86293">
      <w:r>
        <w:t>Osigurati sredstva za financiranje nepredviđenih namjena za koje u proračunu nisu osigurana sredstva, nisu dostatno osigurana sredstva, ili ih pri planiranju proračuna nije bilo moguće predvidjeti.</w:t>
      </w:r>
    </w:p>
    <w:p w:rsidR="005C2091" w:rsidRDefault="00A86293">
      <w:pPr>
        <w:pStyle w:val="Heading4"/>
      </w:pPr>
      <w:r>
        <w:t>A539019 PRORAČUNSKA ZALIHA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A539019-PRORAČUNSKA ZALIHA</w:t>
            </w:r>
          </w:p>
        </w:tc>
        <w:tc>
          <w:tcPr>
            <w:tcW w:w="2041" w:type="dxa"/>
          </w:tcPr>
          <w:p w:rsidR="005C2091" w:rsidRDefault="00A86293">
            <w:pPr>
              <w:pStyle w:val="CellColumn"/>
              <w:jc w:val="right"/>
            </w:pPr>
            <w:r>
              <w:rPr>
                <w:rFonts w:cs="Times New Roman"/>
              </w:rPr>
              <w:t>224.723.048</w:t>
            </w:r>
          </w:p>
        </w:tc>
        <w:tc>
          <w:tcPr>
            <w:tcW w:w="2041" w:type="dxa"/>
          </w:tcPr>
          <w:p w:rsidR="005C2091" w:rsidRDefault="00A86293">
            <w:pPr>
              <w:pStyle w:val="CellColumn"/>
              <w:jc w:val="right"/>
            </w:pPr>
            <w:r>
              <w:rPr>
                <w:rFonts w:cs="Times New Roman"/>
              </w:rPr>
              <w:t>230.000.000</w:t>
            </w:r>
          </w:p>
        </w:tc>
        <w:tc>
          <w:tcPr>
            <w:tcW w:w="2041" w:type="dxa"/>
          </w:tcPr>
          <w:p w:rsidR="005C2091" w:rsidRDefault="00A86293">
            <w:pPr>
              <w:pStyle w:val="CellColumn"/>
              <w:jc w:val="right"/>
            </w:pPr>
            <w:r>
              <w:rPr>
                <w:rFonts w:cs="Times New Roman"/>
              </w:rPr>
              <w:t>212.126.425</w:t>
            </w:r>
          </w:p>
        </w:tc>
        <w:tc>
          <w:tcPr>
            <w:tcW w:w="1224" w:type="dxa"/>
          </w:tcPr>
          <w:p w:rsidR="005C2091" w:rsidRDefault="00A86293">
            <w:pPr>
              <w:pStyle w:val="CellColumn"/>
              <w:jc w:val="right"/>
            </w:pPr>
            <w:r>
              <w:rPr>
                <w:rFonts w:cs="Times New Roman"/>
              </w:rPr>
              <w:t>92,2</w:t>
            </w:r>
          </w:p>
        </w:tc>
        <w:tc>
          <w:tcPr>
            <w:tcW w:w="1224" w:type="dxa"/>
          </w:tcPr>
          <w:p w:rsidR="005C2091" w:rsidRDefault="00A86293">
            <w:pPr>
              <w:pStyle w:val="CellColumn"/>
              <w:jc w:val="right"/>
            </w:pPr>
            <w:r>
              <w:rPr>
                <w:rFonts w:cs="Times New Roman"/>
              </w:rPr>
              <w:t>94,4</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proračunu (Narodne novine br. 87/08, 136/12 i 15/15)    </w:t>
      </w:r>
    </w:p>
    <w:p w:rsidR="005C2091" w:rsidRDefault="00A86293">
      <w:r>
        <w:t>Zakon o izvršavanju Državnog proračuna Repu</w:t>
      </w:r>
      <w:r w:rsidR="008846BB">
        <w:t xml:space="preserve">blike Hrvatske za 2016. godinu </w:t>
      </w:r>
    </w:p>
    <w:p w:rsidR="005C2091" w:rsidRDefault="00A86293">
      <w:pPr>
        <w:pStyle w:val="Heading8"/>
        <w:jc w:val="left"/>
      </w:pPr>
      <w:r>
        <w:t>Opis aktivnosti</w:t>
      </w:r>
    </w:p>
    <w:p w:rsidR="005C2091" w:rsidRDefault="00A86293">
      <w:r>
        <w:t xml:space="preserve">U 2016. godini Proračunska zaliha terećena je u iznosu od 212.126.425,04 kuna od čega:    </w:t>
      </w:r>
    </w:p>
    <w:p w:rsidR="005C2091" w:rsidRDefault="00A86293">
      <w:r>
        <w:t xml:space="preserve">- za doznačena sredstava po Rješenju Vlade Republike Hrvatske iznos od 184.631.097,61 kuna,   </w:t>
      </w:r>
    </w:p>
    <w:p w:rsidR="005C2091" w:rsidRDefault="00A86293">
      <w:r>
        <w:t xml:space="preserve">- za isplatu mjesečnih renti po sudskim presudama 3.573.446,66 kuna,   </w:t>
      </w:r>
    </w:p>
    <w:p w:rsidR="005C2091" w:rsidRDefault="00A86293">
      <w:r>
        <w:t xml:space="preserve">- za podmirenje naknada i troškova po sudskim presudama - sudske ovrhe 23.921.880,77 kuna.   </w:t>
      </w:r>
    </w:p>
    <w:p w:rsidR="005C2091" w:rsidRDefault="00A86293">
      <w:r>
        <w:t xml:space="preserve">U 2016. godini Proračunska zaliha je u najvećej mjeri terećena za podmirenje troškova vezanih za održavanje prijevremenih izbore za zastupnike u Hrvatski saboru održanih u rujnu 2016. u ukupnom iznosu od 109,9 milijun kuna.  </w:t>
      </w:r>
    </w:p>
    <w:p w:rsidR="005C2091" w:rsidRDefault="00A86293">
      <w:r>
        <w:t>Detaljni podaci o korisnicima Proračunske zalihe po Riješenima Vlade RH, isplaćenim iznosima i datumima isplate dani su u Izvještaju o korištenju Proračunske zalihe u 2016. godini, a koji je sastavni dio Godišnjeg izvještaja o izvršenju Državnog proračuna Republike Hrvatske za 2016. godinu.</w:t>
      </w:r>
    </w:p>
    <w:p w:rsidR="008846BB" w:rsidRDefault="008846BB"/>
    <w:p w:rsidR="005C2091" w:rsidRDefault="00A86293">
      <w:pPr>
        <w:pStyle w:val="Heading3"/>
      </w:pPr>
      <w:r>
        <w:rPr>
          <w:rFonts w:cs="Times New Roman"/>
        </w:rPr>
        <w:lastRenderedPageBreak/>
        <w:t>4303 OTKLANJANJE POSLJEDICA ELEMENTARNIH NEPOGODA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4303-OTKLANJANJE POSLJEDICA ELEMENTARNIH NEPOGODA</w:t>
            </w:r>
          </w:p>
        </w:tc>
        <w:tc>
          <w:tcPr>
            <w:tcW w:w="2041" w:type="dxa"/>
          </w:tcPr>
          <w:p w:rsidR="005C2091" w:rsidRDefault="00A86293">
            <w:pPr>
              <w:pStyle w:val="CellColumn"/>
              <w:jc w:val="right"/>
            </w:pPr>
            <w:r>
              <w:rPr>
                <w:rFonts w:cs="Times New Roman"/>
              </w:rPr>
              <w:t>19.390.720</w:t>
            </w:r>
          </w:p>
        </w:tc>
        <w:tc>
          <w:tcPr>
            <w:tcW w:w="2041" w:type="dxa"/>
          </w:tcPr>
          <w:p w:rsidR="005C2091" w:rsidRDefault="00A86293">
            <w:pPr>
              <w:pStyle w:val="CellColumn"/>
              <w:jc w:val="right"/>
            </w:pPr>
            <w:r>
              <w:rPr>
                <w:rFonts w:cs="Times New Roman"/>
              </w:rPr>
              <w:t>20.026.500</w:t>
            </w:r>
          </w:p>
        </w:tc>
        <w:tc>
          <w:tcPr>
            <w:tcW w:w="2041" w:type="dxa"/>
          </w:tcPr>
          <w:p w:rsidR="005C2091" w:rsidRDefault="00A86293">
            <w:pPr>
              <w:pStyle w:val="CellColumn"/>
              <w:jc w:val="right"/>
            </w:pPr>
            <w:r>
              <w:rPr>
                <w:rFonts w:cs="Times New Roman"/>
              </w:rPr>
              <w:t>20.006.079</w:t>
            </w:r>
          </w:p>
        </w:tc>
        <w:tc>
          <w:tcPr>
            <w:tcW w:w="1224" w:type="dxa"/>
          </w:tcPr>
          <w:p w:rsidR="005C2091" w:rsidRDefault="00A86293">
            <w:pPr>
              <w:pStyle w:val="CellColumn"/>
              <w:jc w:val="right"/>
            </w:pPr>
            <w:r>
              <w:rPr>
                <w:rFonts w:cs="Times New Roman"/>
              </w:rPr>
              <w:t>99,9</w:t>
            </w:r>
          </w:p>
        </w:tc>
        <w:tc>
          <w:tcPr>
            <w:tcW w:w="1224" w:type="dxa"/>
          </w:tcPr>
          <w:p w:rsidR="005C2091" w:rsidRDefault="00A86293">
            <w:pPr>
              <w:pStyle w:val="CellColumn"/>
              <w:jc w:val="right"/>
            </w:pPr>
            <w:r>
              <w:rPr>
                <w:rFonts w:cs="Times New Roman"/>
              </w:rPr>
              <w:t>103,2</w:t>
            </w:r>
          </w:p>
        </w:tc>
      </w:tr>
    </w:tbl>
    <w:p w:rsidR="005C2091" w:rsidRDefault="005C2091">
      <w:pPr>
        <w:jc w:val="left"/>
      </w:pPr>
    </w:p>
    <w:p w:rsidR="005C2091" w:rsidRDefault="00A86293">
      <w:r>
        <w:t xml:space="preserve">Procjenu šteta od elementarnih nepogoda obavljaju općinska, gradska i županijska povjerenstva, uz konačnu suglasnost nadležnih ministarstava za potvrdu šteta i Državnog povjerenstva za procjenu šteta od elementarnih nepogoda (u daljnjem tekstu: Državno povjerenstvo). Zahtjevi za pomoć iz državnog proračuna za otklanjanje posljedica šteta dostavljaju se, u zakonom određenim rokovima, u Registar šteta od elementarnih nepogoda i na znanje Državnom povjerenstvu kao samostalnom saborskom tijelu sa sjedištem u Ministarstvu financija. Da bi se dobila pomoć, moraju biti zadovoljeni određeni uvjeti iz članka 31. Zakona o zaštiti od elementarnih nepogoda i Metodologije za procjenu štete od elementarnih nepogoda čija potvrđena vrijednost prelazi 20% izvornih prihoda proračuna jedinica lokalne samouprave za prethodnu godinu. Prijedlog pomoći podnosi se Hrvatskom saboru na usvajanje odnosno Vladi Republike Hrvatske. </w:t>
      </w:r>
    </w:p>
    <w:p w:rsidR="005C2091" w:rsidRDefault="00A86293">
      <w:r>
        <w:t>Uspostava Registra šteta od elementarnih nepogoda, jedinstvene elektroničke baze podataka, predviđena je navedenom Metodologijom koja je donesena na temelju članka 26. navedenog Zakona. Registar je ustrojen potpunosti krajem 2015. godine, unutar Ministarstva financija, Sektora za gospodarstvo.</w:t>
      </w:r>
    </w:p>
    <w:p w:rsidR="005C2091" w:rsidRDefault="00A86293">
      <w:pPr>
        <w:pStyle w:val="Heading8"/>
        <w:jc w:val="left"/>
      </w:pPr>
      <w:r>
        <w:t>Cilj 1. Ublažiti i ukloniti izravne posljedice elementarnih nepogoda</w:t>
      </w:r>
    </w:p>
    <w:p w:rsidR="005C2091" w:rsidRDefault="00A86293">
      <w:pPr>
        <w:pStyle w:val="Heading8"/>
        <w:jc w:val="left"/>
      </w:pPr>
      <w:r>
        <w:t>Opis provedbe cilja programa</w:t>
      </w:r>
    </w:p>
    <w:p w:rsidR="005C2091" w:rsidRDefault="00A86293">
      <w:r>
        <w:t>Radi normalizacije života stanovništva, obnove pojedinih gospodarskih djelatnosti i/ili određenih javnih službi, potrebno je svake godine prema mogućnostima Proračuna, osigurati sredstva za uklanjanje posljedica elementarnih nepogoda te za održavanje uspostavljenog Registra šteta.</w:t>
      </w:r>
    </w:p>
    <w:p w:rsidR="005C2091" w:rsidRDefault="00A86293">
      <w:pPr>
        <w:pStyle w:val="Heading2"/>
      </w:pPr>
      <w:r>
        <w:t>02510 Carinska uprava</w:t>
      </w:r>
    </w:p>
    <w:p w:rsidR="005C2091" w:rsidRDefault="00A86293">
      <w:r>
        <w:t xml:space="preserve">Ministarstvo financija, Carinska uprava je u 2016. godini sukladno planiranim i definiranim odrednicama koje proizlaze iz strateških dokumenata bila usmjerena na ostvarenje ciljeva u dijelu zaštite financijskih interesa Republike Hrvatske i Europske unije kao i u dijelu zaštite društva i olakšavanja trgovine.  </w:t>
      </w:r>
    </w:p>
    <w:p w:rsidR="005C2091" w:rsidRDefault="00A86293">
      <w:r>
        <w:t xml:space="preserve">Sigurnost svake države i njena financijska, odnosno fiskalna stabilnost bitno ovise o učinkovitosti tijela nadležnih za provedbu carinskih i poreznih propisa. Stoga je nemjerljiva važnost postojanja učinkovite i funkcionalno ustrojene carinske službe usmjerene potrebama gospodarstva, zaštiti financijskih interesa države te zaštiti sigurnosti društva i njezinih građana. </w:t>
      </w:r>
    </w:p>
    <w:p w:rsidR="005C2091" w:rsidRDefault="00A86293">
      <w:r>
        <w:t xml:space="preserve">Carinska uprava organizacijski je ustrojena na tri strateške razine u odnosu na djelokrug i složenost poslova, a koje čine nacionalna i međunarodna razina (1 Središnji ured), područna ili regionalna razina (4 područna carinska ureda) te lokalna razina (10 graničnih carinski ureda i 18 carinskih ureda).  </w:t>
      </w:r>
    </w:p>
    <w:p w:rsidR="005C2091" w:rsidRDefault="00A86293">
      <w:r>
        <w:t xml:space="preserve">Unutarnje ustrojstvene jedinice u Središnjem uredu Carinske uprave podijeljene su na 11 sektora, 36 službi i 44 odjela. U 4 područna carinska ureda ustrojeno je ukupno 28 službi i 24 odjela dok je u 18 carinskih ureda ustrojeno 18 Službi za nadzor, 18 Službi za trošarine i posebne poreze i 27 Službi za robno granične procedure. Ustrojstvene jedinice 10 graničnih carinskih ureda čine 25 Službi za robno granične procedure. </w:t>
      </w:r>
    </w:p>
    <w:p w:rsidR="005C2091" w:rsidRDefault="00A86293">
      <w:r>
        <w:t xml:space="preserve">Stvarni broj zaposlenih službenika u Carinskoj upravi tijekom 2016. godine iznosi 2.895 od čega je 812 službenika sa visokom stručnom spremom (VSS) što čini 28% od ukupno zaposlenih, dok su 572 službenika sa višom stručnom spremom (VŠS) ili 20%, a najveći broj zaposlenih njih 1.511 je sa srednjom stručnom spremom (SSS) što čini 52% od ukupnog broja zaposlenih.  </w:t>
      </w:r>
    </w:p>
    <w:p w:rsidR="005C2091" w:rsidRDefault="00A86293">
      <w:r>
        <w:lastRenderedPageBreak/>
        <w:t xml:space="preserve">Za Carinsku upravu su Državnim proračunom Republike Hrvatske za 2016. godinu planirana  sredstva u iznosu 548.702.477,00 kn. Izvršenje plana je u iznosu 544.611.282,55 kn uz postotak izvršenja plana 99,25%. </w:t>
      </w:r>
    </w:p>
    <w:p w:rsidR="005C2091" w:rsidRDefault="00A86293">
      <w:r>
        <w:t xml:space="preserve">Rashodi su financirani iz izvora financiranja u slijedećim iznosima: </w:t>
      </w:r>
    </w:p>
    <w:p w:rsidR="005C2091" w:rsidRDefault="00A86293">
      <w:r>
        <w:t xml:space="preserve">- 11 Opći prihodi i primici u strukturi ukupno planiranih sredstava za 2016. godinu čine 96,84%. Sredstva su planirana u iznosu 531.381.947,00 kn dok je izvršenje plana u iznosu 527.394.053,89 kn odnosno 99,25%.  </w:t>
      </w:r>
    </w:p>
    <w:p w:rsidR="005C2091" w:rsidRDefault="00A86293">
      <w:r>
        <w:t xml:space="preserve">-  12 Sredstva učešća za pomoći u strukturi ukupno planiranih sredstava za 2016. godinu čine 0,15%. Sredstva su planirana u iznosu 849.730,00 kn dok je izvršenje plana u iznosu 831.765,01 kn odnosno 97,89%. </w:t>
      </w:r>
    </w:p>
    <w:p w:rsidR="005C2091" w:rsidRDefault="00A86293">
      <w:r>
        <w:t xml:space="preserve">- 31 Vlastiti prihodi u strukturi ukupno planiranih sredstava za 2016. godinu čine 0,02%. Isti su planirani u iznosu 624.000,00 kn dok je izvršenje plana iznosilo 127.774,91 kn odnosno 20,48%. Prihod je ostvaren s osnova pruženih usluga čajne kuhinje, najmova za postavljene samoposlužne aparate za napitke te u većem obimu s osnova obavljanja poslova obračuna naknada za gospodarenje otpadnim vozilima temeljem Sporazuma o uređivanju međusobnih odnosa radi obavljanja poslova vezanih za naknadu za gospodarenje otpadnim vozilima sklopljenim sa Fondom za zaštitu okoliša, a koji je u primjeni od 01. lipnja 2015. godine. </w:t>
      </w:r>
    </w:p>
    <w:p w:rsidR="005C2091" w:rsidRDefault="00A86293">
      <w:r>
        <w:t xml:space="preserve">- 43 Ostali prihodi za posebne namjene ostvareni temeljem prihoda od obilježavajućih markice za duhan i alkohol, prihoda od naknade za pristup polaganju stručnog ispita kod komisije za carinskog zastupnika, od naknada za izdavanje carinskih iskaznica temeljem odobrenja za obavljanje poslova ovlaštenog carinskog zastupnika, u strukturi ukupno planiranih sredstava za 2016. godinu čine 1,44%. Sredstva su planirana u iznosu 8.000.000,00 kn dok izvršenje plana iznosi 7.837.660,77 kn odnosno 97,97%.  </w:t>
      </w:r>
    </w:p>
    <w:p w:rsidR="005C2091" w:rsidRDefault="00A86293">
      <w:r>
        <w:t xml:space="preserve">- 51 Pomoći Europske unije u strukturi ukupno planiranih sredstava za 2016. godinu čine 1,40%. Sredstva su planirana u iznosu 7.521.300,00 kn dok je izvršenje plana u iznosu 7.624.243,32 kn odnosno 101,37%. Izvršenje je veće od plana sukladno članku 50. Zakona o proračunu (NN, br. 87/08, 136/12, 15/15) na temelju kojeg se uplaćene i prenesene, a manje planirane pomoći, donacije i prihodi za posebne namjene mogu izvršavati iznad iznosa utvrđenih u državnom proračunu, a do visine uplaćenih, odnosno prenesenih sredstava. </w:t>
      </w:r>
    </w:p>
    <w:p w:rsidR="005C2091" w:rsidRDefault="00A86293">
      <w:r>
        <w:t>- 52 Pomoći su ostvareni s osnova doprinosa za mirovinsko osiguranje za osobe na stručnom osposobljavanju bez zasnivanja radnog odnosa. Sredstva su planirana u iznosu 300.000,00 kn dok je izvršenje plana u iznosu 795.784,65 kn odnosno 265,26%. Izvršenje je veće od plana sukladno članku 50. Zakona o proračunu (NN, br. 87/08, 136/12, 15/15) na temelju kojeg se uplaćene i prenesene, a manje planirane pomoći, donacije i prihodi za posebne namjene mogu izvršavati iznad iznosa utvrđenih u državnom proračunu, a do visine uplaćenih, odnosno prenesenih sredstava.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02510-Carinska uprava</w:t>
            </w:r>
          </w:p>
        </w:tc>
        <w:tc>
          <w:tcPr>
            <w:tcW w:w="2041" w:type="dxa"/>
            <w:vAlign w:val="top"/>
          </w:tcPr>
          <w:p w:rsidR="005C2091" w:rsidRDefault="00A86293">
            <w:pPr>
              <w:pStyle w:val="CellColumn"/>
              <w:jc w:val="right"/>
            </w:pPr>
            <w:r>
              <w:rPr>
                <w:rFonts w:cs="Times New Roman"/>
              </w:rPr>
              <w:t>538.147.021</w:t>
            </w:r>
          </w:p>
        </w:tc>
        <w:tc>
          <w:tcPr>
            <w:tcW w:w="2041" w:type="dxa"/>
            <w:vAlign w:val="top"/>
          </w:tcPr>
          <w:p w:rsidR="005C2091" w:rsidRDefault="00A86293">
            <w:pPr>
              <w:pStyle w:val="CellColumn"/>
              <w:jc w:val="right"/>
            </w:pPr>
            <w:r>
              <w:rPr>
                <w:rFonts w:cs="Times New Roman"/>
              </w:rPr>
              <w:t>548.702.477</w:t>
            </w:r>
          </w:p>
        </w:tc>
        <w:tc>
          <w:tcPr>
            <w:tcW w:w="2041" w:type="dxa"/>
            <w:vAlign w:val="top"/>
          </w:tcPr>
          <w:p w:rsidR="005C2091" w:rsidRDefault="00A86293">
            <w:pPr>
              <w:pStyle w:val="CellColumn"/>
              <w:jc w:val="right"/>
            </w:pPr>
            <w:r>
              <w:rPr>
                <w:rFonts w:cs="Times New Roman"/>
              </w:rPr>
              <w:t>544.611.283</w:t>
            </w:r>
          </w:p>
        </w:tc>
        <w:tc>
          <w:tcPr>
            <w:tcW w:w="1224" w:type="dxa"/>
            <w:vAlign w:val="top"/>
          </w:tcPr>
          <w:p w:rsidR="005C2091" w:rsidRDefault="00A86293">
            <w:pPr>
              <w:pStyle w:val="CellColumn"/>
              <w:jc w:val="right"/>
            </w:pPr>
            <w:r>
              <w:rPr>
                <w:rFonts w:cs="Times New Roman"/>
              </w:rPr>
              <w:t>99,3</w:t>
            </w:r>
          </w:p>
        </w:tc>
        <w:tc>
          <w:tcPr>
            <w:tcW w:w="1224" w:type="dxa"/>
            <w:vAlign w:val="top"/>
          </w:tcPr>
          <w:p w:rsidR="005C2091" w:rsidRDefault="00A86293">
            <w:pPr>
              <w:pStyle w:val="CellColumn"/>
              <w:jc w:val="right"/>
            </w:pPr>
            <w:r>
              <w:rPr>
                <w:rFonts w:cs="Times New Roman"/>
              </w:rPr>
              <w:t>101,2</w:t>
            </w:r>
          </w:p>
        </w:tc>
      </w:tr>
      <w:tr w:rsidR="005C2091">
        <w:trPr>
          <w:jc w:val="center"/>
        </w:trPr>
        <w:tc>
          <w:tcPr>
            <w:tcW w:w="1632" w:type="dxa"/>
          </w:tcPr>
          <w:p w:rsidR="005C2091" w:rsidRDefault="00A86293">
            <w:pPr>
              <w:jc w:val="left"/>
            </w:pPr>
            <w:r>
              <w:t>2207-DJELATNOST CARINSKOG I POREZNOG SUSTAVA</w:t>
            </w:r>
          </w:p>
        </w:tc>
        <w:tc>
          <w:tcPr>
            <w:tcW w:w="2041" w:type="dxa"/>
          </w:tcPr>
          <w:p w:rsidR="005C2091" w:rsidRDefault="00A86293">
            <w:pPr>
              <w:jc w:val="right"/>
            </w:pPr>
            <w:r>
              <w:t>538.147.021</w:t>
            </w:r>
          </w:p>
        </w:tc>
        <w:tc>
          <w:tcPr>
            <w:tcW w:w="2041" w:type="dxa"/>
          </w:tcPr>
          <w:p w:rsidR="005C2091" w:rsidRDefault="00A86293">
            <w:pPr>
              <w:jc w:val="right"/>
            </w:pPr>
            <w:r>
              <w:t>548.702.477</w:t>
            </w:r>
          </w:p>
        </w:tc>
        <w:tc>
          <w:tcPr>
            <w:tcW w:w="2041" w:type="dxa"/>
          </w:tcPr>
          <w:p w:rsidR="005C2091" w:rsidRDefault="00A86293">
            <w:pPr>
              <w:jc w:val="right"/>
            </w:pPr>
            <w:r>
              <w:t>544.611.283</w:t>
            </w:r>
          </w:p>
        </w:tc>
        <w:tc>
          <w:tcPr>
            <w:tcW w:w="1224" w:type="dxa"/>
          </w:tcPr>
          <w:p w:rsidR="005C2091" w:rsidRDefault="00A86293">
            <w:pPr>
              <w:jc w:val="right"/>
            </w:pPr>
            <w:r>
              <w:t>99,3</w:t>
            </w:r>
          </w:p>
        </w:tc>
        <w:tc>
          <w:tcPr>
            <w:tcW w:w="1224" w:type="dxa"/>
          </w:tcPr>
          <w:p w:rsidR="005C2091" w:rsidRDefault="00A86293">
            <w:pPr>
              <w:jc w:val="right"/>
            </w:pPr>
            <w:r>
              <w:t>101,2</w:t>
            </w:r>
          </w:p>
        </w:tc>
      </w:tr>
    </w:tbl>
    <w:p w:rsidR="005C2091" w:rsidRDefault="005C2091">
      <w:pPr>
        <w:jc w:val="left"/>
      </w:pPr>
    </w:p>
    <w:p w:rsidR="008846BB" w:rsidRDefault="008846BB">
      <w:pPr>
        <w:jc w:val="left"/>
      </w:pPr>
    </w:p>
    <w:p w:rsidR="005C2091" w:rsidRDefault="00A86293">
      <w:pPr>
        <w:pStyle w:val="Heading3"/>
      </w:pPr>
      <w:r>
        <w:rPr>
          <w:rFonts w:cs="Times New Roman"/>
        </w:rPr>
        <w:t>2207 DJELATNOST CARINSKOG I POREZNOG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lastRenderedPageBreak/>
              <w:t>2207-DJELATNOST CARINSKOG I POREZNOG SUSTAVA</w:t>
            </w:r>
          </w:p>
        </w:tc>
        <w:tc>
          <w:tcPr>
            <w:tcW w:w="2041" w:type="dxa"/>
          </w:tcPr>
          <w:p w:rsidR="005C2091" w:rsidRDefault="00A86293">
            <w:pPr>
              <w:pStyle w:val="CellColumn"/>
              <w:jc w:val="right"/>
            </w:pPr>
            <w:r>
              <w:rPr>
                <w:rFonts w:cs="Times New Roman"/>
              </w:rPr>
              <w:t>538.147.021</w:t>
            </w:r>
          </w:p>
        </w:tc>
        <w:tc>
          <w:tcPr>
            <w:tcW w:w="2041" w:type="dxa"/>
          </w:tcPr>
          <w:p w:rsidR="005C2091" w:rsidRDefault="00A86293">
            <w:pPr>
              <w:pStyle w:val="CellColumn"/>
              <w:jc w:val="right"/>
            </w:pPr>
            <w:r>
              <w:rPr>
                <w:rFonts w:cs="Times New Roman"/>
              </w:rPr>
              <w:t>548.702.477</w:t>
            </w:r>
          </w:p>
        </w:tc>
        <w:tc>
          <w:tcPr>
            <w:tcW w:w="2041" w:type="dxa"/>
          </w:tcPr>
          <w:p w:rsidR="005C2091" w:rsidRDefault="00A86293">
            <w:pPr>
              <w:pStyle w:val="CellColumn"/>
              <w:jc w:val="right"/>
            </w:pPr>
            <w:r>
              <w:rPr>
                <w:rFonts w:cs="Times New Roman"/>
              </w:rPr>
              <w:t>544.611.283</w:t>
            </w:r>
          </w:p>
        </w:tc>
        <w:tc>
          <w:tcPr>
            <w:tcW w:w="1224" w:type="dxa"/>
          </w:tcPr>
          <w:p w:rsidR="005C2091" w:rsidRDefault="00A86293">
            <w:pPr>
              <w:pStyle w:val="CellColumn"/>
              <w:jc w:val="right"/>
            </w:pPr>
            <w:r>
              <w:rPr>
                <w:rFonts w:cs="Times New Roman"/>
              </w:rPr>
              <w:t>99,3</w:t>
            </w:r>
          </w:p>
        </w:tc>
        <w:tc>
          <w:tcPr>
            <w:tcW w:w="1224" w:type="dxa"/>
          </w:tcPr>
          <w:p w:rsidR="005C2091" w:rsidRDefault="00A86293">
            <w:pPr>
              <w:pStyle w:val="CellColumn"/>
              <w:jc w:val="right"/>
            </w:pPr>
            <w:r>
              <w:rPr>
                <w:rFonts w:cs="Times New Roman"/>
              </w:rPr>
              <w:t>101,2</w:t>
            </w:r>
          </w:p>
        </w:tc>
      </w:tr>
    </w:tbl>
    <w:p w:rsidR="005C2091" w:rsidRDefault="005C2091">
      <w:pPr>
        <w:jc w:val="left"/>
      </w:pPr>
    </w:p>
    <w:p w:rsidR="005C2091" w:rsidRDefault="00A86293">
      <w:r>
        <w:t xml:space="preserve">Program Djelatnost carinskog i poreznog sustava usmjeren je na provedbu efikasnog prikupljanja javnih prihoda, učinkovitih mjera carinskog nadzora u svrhu osiguranja zaštite i sigurnost tržišta i društva, kao i stvaranje najpovoljnijih uvjeta za razvoj gospodarstva i olakšavanje trgovine. Cilj Carinske uprave je jačanje administrativnih i operativnih kapaciteta za obavljanje zakonitog, učinkovitog, djelotvornog i ekonomičnog rada u skladu s pravnom stečevinom i najboljom praksom carinskih službi zemalja članica Europske unije.  </w:t>
      </w:r>
    </w:p>
    <w:p w:rsidR="005C2091" w:rsidRDefault="00A86293">
      <w:r>
        <w:t>Državnim proračunom Republike Hrvatske za 2016. godinu planirana su sredstva u iznosu 548.702,477,00 kn. Izvršenje plana je u iznosu 544.611.282,55 kn uz postotak izvršenja 99,25%.</w:t>
      </w:r>
    </w:p>
    <w:p w:rsidR="005C2091" w:rsidRDefault="00A86293">
      <w:pPr>
        <w:pStyle w:val="Heading8"/>
        <w:jc w:val="left"/>
      </w:pPr>
      <w:r>
        <w:t>Cilj 1. Zaštita i sigurnost tržišta i društva kao i financijskih interesa u području carina, posebnih poreza i trošarina te olakšavanje trgovine</w:t>
      </w:r>
    </w:p>
    <w:p w:rsidR="005C2091" w:rsidRDefault="00A86293">
      <w:pPr>
        <w:pStyle w:val="Heading8"/>
        <w:jc w:val="left"/>
      </w:pPr>
      <w:r>
        <w:t>Opis provedbe cilja programa</w:t>
      </w:r>
    </w:p>
    <w:p w:rsidR="005C2091" w:rsidRDefault="00A86293">
      <w:r>
        <w:t xml:space="preserve">Carinska uprava kao upravna organizacija u sastavu Ministarstva financija Republike Hrvatske, koja je u cilju ostvarenja fiskalne i sigurnosne uloge, odgovorna za primjenu carinskih, trošarinskih, poreznih i drugih propisa, i u 2016. godini usmjerila je svoj rad na pozitivno ostvarenje prikupljanja prihoda kao i na provedbu propisanih mjera i radnji u svrhu osiguranja zaštite i sigurnosti tržišta i društva, te stvaranja uvjeta za olakšavanje trgovine.  </w:t>
      </w:r>
    </w:p>
    <w:p w:rsidR="005C2091" w:rsidRDefault="00A86293">
      <w:r>
        <w:t xml:space="preserve">Ciljanim unaprjeđenjem i modernizacijom carinskog i trošarinskog sustava u zakonodavnom, stručnom, organizacijskom, funkcionalnom i administrativnom području, ostvaruju se zadani strateški ciljevi te se postiže potrebna razina ustrojstvenog i stručnog koncepta za kvalitetno poslovanje na jedinstvenom unutarnjem europskom tržištu.  </w:t>
      </w:r>
    </w:p>
    <w:p w:rsidR="005C2091" w:rsidRDefault="00A86293">
      <w:r>
        <w:t>Usmjeren sustav nadzornih poslova kao i modernizirani carinski i trošarinski sustav, kroz integraciju koncepta jačanja partnerskih odnosa s gospodarstvom, stvaranja novih povoljnih okruženja za konkurentnost domaćeg gospodarstva te bliska i kontinuirana suradnja carinske službe Republike Hrvatske s carinskim službama drugih država članica te Europskom komisijom, preduvjet su ostvarenju uspješnosti Carinske uprave, što će biti i odrednice za rad u slijedećim strateškim i proračunskim razdobljima.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Smanjivanje ukupne izloženosti rizicima koji sprječavaju pravilnu provedbu mjera</w:t>
            </w:r>
          </w:p>
        </w:tc>
        <w:tc>
          <w:tcPr>
            <w:tcW w:w="2551" w:type="dxa"/>
          </w:tcPr>
          <w:p w:rsidR="005C2091" w:rsidRDefault="00A86293">
            <w:pPr>
              <w:pStyle w:val="CellColumn"/>
              <w:jc w:val="left"/>
            </w:pPr>
            <w:r>
              <w:rPr>
                <w:rFonts w:cs="Times New Roman"/>
              </w:rPr>
              <w:t>Smanjivanje ukupne izloženosti rizicima koji sprječavaju pravilnu provedbu mjera Zajednice ili nacionalnih mjera ili ugrožavaju financijske interese Zajednice ili njezinih zemalja članica, ili predstavljaju prijetnju sigurnosti Zajednice, zaštiti zdravlja i života ljudi, okolini, ili potrošačima.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9</w:t>
            </w:r>
          </w:p>
        </w:tc>
        <w:tc>
          <w:tcPr>
            <w:tcW w:w="1020" w:type="dxa"/>
          </w:tcPr>
          <w:p w:rsidR="005C2091" w:rsidRDefault="00A86293">
            <w:pPr>
              <w:pStyle w:val="CellColumn"/>
              <w:jc w:val="right"/>
            </w:pPr>
            <w:r>
              <w:rPr>
                <w:rFonts w:cs="Times New Roman"/>
              </w:rPr>
              <w:t>MFCU</w:t>
            </w:r>
          </w:p>
        </w:tc>
        <w:tc>
          <w:tcPr>
            <w:tcW w:w="1020" w:type="dxa"/>
          </w:tcPr>
          <w:p w:rsidR="005C2091" w:rsidRDefault="00A86293">
            <w:pPr>
              <w:pStyle w:val="CellColumn"/>
              <w:jc w:val="right"/>
            </w:pPr>
            <w:r>
              <w:rPr>
                <w:rFonts w:cs="Times New Roman"/>
              </w:rPr>
              <w:t>8,3</w:t>
            </w:r>
          </w:p>
        </w:tc>
        <w:tc>
          <w:tcPr>
            <w:tcW w:w="1020" w:type="dxa"/>
          </w:tcPr>
          <w:p w:rsidR="005C2091" w:rsidRDefault="00A86293">
            <w:pPr>
              <w:pStyle w:val="CellColumn"/>
              <w:jc w:val="right"/>
            </w:pPr>
            <w:r>
              <w:rPr>
                <w:rFonts w:cs="Times New Roman"/>
              </w:rPr>
              <w:t>7,9</w:t>
            </w:r>
          </w:p>
        </w:tc>
      </w:tr>
    </w:tbl>
    <w:p w:rsidR="005C2091" w:rsidRDefault="005C2091">
      <w:pPr>
        <w:jc w:val="left"/>
      </w:pPr>
    </w:p>
    <w:p w:rsidR="005C2091" w:rsidRDefault="00A86293">
      <w:pPr>
        <w:pStyle w:val="Heading4"/>
      </w:pPr>
      <w:r>
        <w:lastRenderedPageBreak/>
        <w:t>A540000 ADMINISTRACIJA I UPRAVLJANJE CARINSKE UPRAVE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A540000-ADMINISTRACIJA I UPRAVLJANJE CARINSKE UPRAVE</w:t>
            </w:r>
          </w:p>
        </w:tc>
        <w:tc>
          <w:tcPr>
            <w:tcW w:w="2041" w:type="dxa"/>
          </w:tcPr>
          <w:p w:rsidR="005C2091" w:rsidRDefault="00A86293">
            <w:pPr>
              <w:pStyle w:val="CellColumn"/>
              <w:jc w:val="right"/>
            </w:pPr>
            <w:r>
              <w:rPr>
                <w:rFonts w:cs="Times New Roman"/>
              </w:rPr>
              <w:t>403.427.091</w:t>
            </w:r>
          </w:p>
        </w:tc>
        <w:tc>
          <w:tcPr>
            <w:tcW w:w="2041" w:type="dxa"/>
          </w:tcPr>
          <w:p w:rsidR="005C2091" w:rsidRDefault="00A86293">
            <w:pPr>
              <w:pStyle w:val="CellColumn"/>
              <w:jc w:val="right"/>
            </w:pPr>
            <w:r>
              <w:rPr>
                <w:rFonts w:cs="Times New Roman"/>
              </w:rPr>
              <w:t>412.487.947</w:t>
            </w:r>
          </w:p>
        </w:tc>
        <w:tc>
          <w:tcPr>
            <w:tcW w:w="2041" w:type="dxa"/>
          </w:tcPr>
          <w:p w:rsidR="005C2091" w:rsidRDefault="00A86293">
            <w:pPr>
              <w:pStyle w:val="CellColumn"/>
              <w:jc w:val="right"/>
            </w:pPr>
            <w:r>
              <w:rPr>
                <w:rFonts w:cs="Times New Roman"/>
              </w:rPr>
              <w:t>410.600.984</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101,8</w:t>
            </w:r>
          </w:p>
        </w:tc>
      </w:tr>
    </w:tbl>
    <w:p w:rsidR="005C2091" w:rsidRDefault="005C2091">
      <w:pPr>
        <w:jc w:val="left"/>
      </w:pPr>
    </w:p>
    <w:p w:rsidR="005C2091" w:rsidRDefault="00A86293">
      <w:pPr>
        <w:pStyle w:val="Heading8"/>
        <w:jc w:val="left"/>
      </w:pPr>
      <w:r>
        <w:t>Zakonske i druge pravne osnove</w:t>
      </w:r>
    </w:p>
    <w:p w:rsidR="005C2091" w:rsidRDefault="00A86293">
      <w:r>
        <w:t>Aktivnost A540000 Administracija i upravljanje Carinske uprave osnovna je aktivnost koja se ostvaruje u skladu sa Zakonom o carinskoj službi (Narodne novine br. 68/2013 i 30/2014),  Uredbom o unutarnjem ustrojstvu Ministarstva financija (Narodne novine, br. 32/2012 do 154/2014), Zakonom o provedbi carinskog zakonodavstva Europske unije (Narodne novine broj  40/2016)), Zakonom o trošarinama (Narodne novine broj 22/2013, 32/2013, 81/2013, 100/2015 i 120/2015), Zakonom o posebnom porezu na motorna vozila (Narodne novine broj 15/2013 i 108/2013) i Zakonom o posebnom porezu na  kavu i bezalkoholna pića (Narodne novine broj 72/2013).</w:t>
      </w:r>
    </w:p>
    <w:p w:rsidR="005C2091" w:rsidRDefault="00A86293">
      <w:pPr>
        <w:pStyle w:val="Heading8"/>
        <w:jc w:val="left"/>
      </w:pPr>
      <w:r>
        <w:t>Opis aktivnosti</w:t>
      </w:r>
    </w:p>
    <w:p w:rsidR="005C2091" w:rsidRDefault="00A86293">
      <w:r>
        <w:t xml:space="preserve">Carinska uprava je odgovorna za primjenu carinskih, trošarinskih, poreznih i drugih propisa iz svoje nadležnosti s ciljem ostvarenja fiskalne i sigurnosne uloge. Stoga Carinska uprava provodi propisane mjere i radnje s ciljem osiguranja zaštite i sigurnosti tržišta i društva, zaštite financijskih interesa (na nacionalnoj i EU razini) te stvaranja uvjeta za olakšavanje trgovine kao ključne pretpostavke za jačanje stupnja gospodarskog napretka i jačanja konkurentnosti gospodarskih subjekata. </w:t>
      </w:r>
    </w:p>
    <w:p w:rsidR="005C2091" w:rsidRDefault="00A86293">
      <w:r>
        <w:t xml:space="preserve">Ukupno ostvareni prihodi Carinske uprave u 2016. godini iznosili su 22.712.389.414 kn (što čini 19,86 % udjela u ukupnim prihodima Državnog proračuna Republike Hrvatske). Uspoređujući ukupne prihode u 2016. godini u odnosu na isto razdoblje prethodne godine,  ostvaren je porast ukupnog prihoda u iznosu od 1.263.023.634 kn ili 5,9%.  </w:t>
      </w:r>
    </w:p>
    <w:p w:rsidR="005C2091" w:rsidRDefault="00A86293">
      <w:r>
        <w:t xml:space="preserve">Od ukupnih prihoda Carinske uprave u 2016. godini, prihodi od trošarina i posebnih poreza iznosili su 14.752.562.925 kn ili 65%.  </w:t>
      </w:r>
    </w:p>
    <w:p w:rsidR="005C2091" w:rsidRDefault="00A86293">
      <w:r>
        <w:t xml:space="preserve">Ukupni prihodi od carina i posebnih uvoznih pristojbi u 2016. godini iznosili su 410.066.673 kn ili 2% dok su prihodi prikupljeni po osnovi PDV-a pri uvozu i poreza na promet iznosili 7.517.737.465 kn ili 33%.  </w:t>
      </w:r>
    </w:p>
    <w:p w:rsidR="005C2091" w:rsidRDefault="00A86293">
      <w:r>
        <w:t xml:space="preserve">Prihodi koji se odnose na pristojbe u poljoprivredi – naknada za špekulativne zalihe iznosili su 1.612.355 kn ili 0,007% dok su ostali prihodi iznosili 27.720.601 kn ili 0,12%.  </w:t>
      </w:r>
    </w:p>
    <w:p w:rsidR="005C2091" w:rsidRDefault="00A86293">
      <w:r>
        <w:t xml:space="preserve">Sagledavajući postupanja koja se u okviru redovne djelatnosti provode u Carinskoj upravi, ostvarene su aktivnosti koje navodimo u daljnjem tekstu. </w:t>
      </w:r>
    </w:p>
    <w:p w:rsidR="005C2091" w:rsidRDefault="00A86293">
      <w:r>
        <w:t xml:space="preserve">U 2016. godini u uvoznim postupcima obrađeno je ukupno 245.571 carinskih deklaracija. Broj uvoznih carinskih deklaracija u 2016. godini povećan je za 7,62% u odnosu na 2015. godinu kada je ukupno obrađenih uvoznih deklaracija bilo 228.750. </w:t>
      </w:r>
    </w:p>
    <w:p w:rsidR="005C2091" w:rsidRDefault="00A86293">
      <w:r>
        <w:t xml:space="preserve">Broj carinskih deklaracija obrađenih u izvoznom postupku u 2016. godini bio je 256.559. Broj izvoznih carinskih deklaracija u 2016. godini povećan je za 12,44% u odnosu na 2015. godinu kada je ukupno obrađenih izvoznih deklaracija bilo 228.167. </w:t>
      </w:r>
    </w:p>
    <w:p w:rsidR="005C2091" w:rsidRDefault="00A86293">
      <w:r>
        <w:t xml:space="preserve">Broj otpremljenih pošiljki obuhvaćenih u provoznom postupku u 2016. godini iznosi ukupno 458.039. Broj provoznih carinskih deklaracija u 2016. godini povećan je za 7,95% u odnosu na 2015. godinu kada je broj obrađeno provoznih deklaracija iznosio 424.279. </w:t>
      </w:r>
    </w:p>
    <w:p w:rsidR="005C2091" w:rsidRDefault="00A86293">
      <w:r>
        <w:t xml:space="preserve">Nadalje, od 1.137.883 carinskih deklaracija obrađenih u 2016. godini kroz Sustav analize rizika sukladno zadanim rutama kontrolirano je ukupno 132.358 deklaracija ili 11,63%.  </w:t>
      </w:r>
    </w:p>
    <w:p w:rsidR="005C2091" w:rsidRDefault="00A86293">
      <w:r>
        <w:lastRenderedPageBreak/>
        <w:t xml:space="preserve">U 2016. godini obrađeno je kroz sustav analize rizika ukupno 1.137.883 carinskih deklaracija od čega je najviše bilo provoznih i to 458.039 ili 40,25%, a onda uvoznih 245.571 ili 21,58%, izvoznih 256.559 ili 22.55% te ulaznih skraćenih deklaracija 177.241 odnosno 15.58%.  </w:t>
      </w:r>
    </w:p>
    <w:p w:rsidR="005C2091" w:rsidRDefault="00A86293">
      <w:r>
        <w:t xml:space="preserve">Broj aktivnih pravila rizika na dan 31.prosinca 2016. godine po postupcima i vrsti rizika bio je 568, dok je na dan 31.prosinca 2015. godine taj broj bio 425.  </w:t>
      </w:r>
    </w:p>
    <w:p w:rsidR="005C2091" w:rsidRDefault="00A86293">
      <w:r>
        <w:t xml:space="preserve">Od ukupnog broja aktivnih pravila rizika na dan 31. prosinca 2016., 357 ili 62,85% pravila se odnosilo na financijske rizike, a 211 ili 37,15% se odnosilo na sigurnosne rizike. </w:t>
      </w:r>
    </w:p>
    <w:p w:rsidR="005C2091" w:rsidRDefault="00A86293">
      <w:r>
        <w:t xml:space="preserve">Tijekom 2016. godine na carinskom području Republike Hrvatske provedeno je ukupno 17.367 nadzora. Najveći broj nadzora – 4.582 odnosi se na nadzore nezakonite trgovine, a 3.511 nadzora odnosi se na nadzor neregistrirane djelatnosti. Najmanji broj nadzora 2.654 odnosi se na ostale vrste nadzornih aktivnosti.  </w:t>
      </w:r>
    </w:p>
    <w:p w:rsidR="005C2091" w:rsidRDefault="00A86293">
      <w:r>
        <w:t xml:space="preserve">U navedenom je razdoblju izvršen obračun naknada za koncesije u iznosu od 43.855.218,24 kn.  </w:t>
      </w:r>
    </w:p>
    <w:p w:rsidR="005C2091" w:rsidRDefault="00A86293">
      <w:r>
        <w:t xml:space="preserve">Od ukupno provedenih nadzora u 2016. godini ukupno je obračunato naknadno utvrđenog duga u iznosu od 48.433.973,91 kn po osnovi carine, trošarine, posebnog poreza, PDV-a i kamata. </w:t>
      </w:r>
    </w:p>
    <w:p w:rsidR="005C2091" w:rsidRDefault="00A86293">
      <w:r>
        <w:t xml:space="preserve">Tijekom 2016. godine provodeći redovne i pojačane mjere nadzora oduzeto je ukupno 28.056.852 komada raznih vrsta i marki cigareta, 52.616,94 kg duhana, gotovine u protuvrijednosti od 307.615,00 EUR te ukupno 15.763,64 litara alkohola i alkoholnih pića i 5.575,20 litara vina. </w:t>
      </w:r>
    </w:p>
    <w:p w:rsidR="005C2091" w:rsidRDefault="00A86293">
      <w:r>
        <w:t xml:space="preserve">Zaplijenjeno je ukupno 997.988,10 grama različitih vrsta droga i 5.134 komada lijekova. </w:t>
      </w:r>
    </w:p>
    <w:p w:rsidR="005C2091" w:rsidRDefault="00A86293">
      <w:r>
        <w:t xml:space="preserve">Prilikom nadzora i provedbi odredaba o prekograničnom prometu i trgovini divljim vrstama utvrđeno je 14 pokušaja krijumčarenja ugroženih vrsta divljih biljaka i životinja. Otkriven je 39 pokušaja krijumčarenja oružja te 80 pokušaja ilegalnog prelaska osoba preko državne granice.  </w:t>
      </w:r>
    </w:p>
    <w:p w:rsidR="005C2091" w:rsidRDefault="00A86293">
      <w:r>
        <w:t xml:space="preserve">U okviru provedbe zaštite prava intelektualnog vlasništva i carinskih mjera pri uvozu zaustavljeno je 1.204 pošiljaka temeljem čega je pokrenuto ukupno 1.288 postupaka privremenog zadržavanja robe, a time je obuhvaćeno ukupno 10.383.276 predmeta za koje se sumnja da se njima povređuju prava intelektualnog vlasništva. Na domaćem tržištu provedbom nadzora i temeljem utvrđenih nepravilnosti podneseno je 493 prekršajnih prijava i 17 kaznenih prijava te je ukupno oduzeto 102.595 komada proizvoda za koje se sumnja da povrjeđuju pravo intelektualnog vlasništva.  </w:t>
      </w:r>
    </w:p>
    <w:p w:rsidR="005C2091" w:rsidRDefault="00A86293">
      <w:r>
        <w:t xml:space="preserve">U 2016. godini provodeći ciljane i planirane mjere nadzora i provjera od strane svih ustrojstvenih jedinica Carinske uprave izdano je ukupno 14.339 prekršajna naloga te je podneseno ukupno 513 optužnih prijedloga temeljem utvrđenih nepravilnosti. </w:t>
      </w:r>
    </w:p>
    <w:p w:rsidR="005C2091" w:rsidRDefault="00A86293">
      <w:r>
        <w:t xml:space="preserve">U odnosu na ukupan broj izdanih prekršajnih naloga u 2016. godini, na 95% njih nije podnesen prigovor. Navedeno ukazuje da je primjena instituta prekršajnog naloga koji se izdaje pri otkrivanju nezakonitih radnji u nadzornim postupcima koje provodi Carinska uprava postigla svrhu ekonomičnosti i racionalnosti kod provođenja prekršajnih postupaka.   </w:t>
      </w:r>
    </w:p>
    <w:p w:rsidR="005C2091" w:rsidRDefault="00A86293">
      <w:r>
        <w:t xml:space="preserve">U 2016. godini iznos obračunatih kazni i ostalih troškova u postupcima koje provodi Carinska uprava, bio je 28.166.983,38 kn, dok je iznos naplaćenih kazni iznosio 22.118.131,83 kn.  </w:t>
      </w:r>
    </w:p>
    <w:p w:rsidR="005C2091" w:rsidRDefault="00A86293">
      <w:r>
        <w:t xml:space="preserve">Sagledavajući zakonodavne aktivnosti, tijekom 2016. godine donijeti su slijedeći zakonski i podzakonski akti:  </w:t>
      </w:r>
    </w:p>
    <w:p w:rsidR="005C2091" w:rsidRDefault="00A86293">
      <w:r>
        <w:t xml:space="preserve">Zakon o izmjenama i dopunama Zakona o carinskoj službi (NN broj 115/16), Zakon o izmjenama i dopunama Zakona o trošarinama objavljen u (NN broj 115/16), Zakon o izmjenama i dopunama Zakona o posebnom porezu na motorna vozila (NN broj 115/16), Zakon o provedbi carinskog zakonodavstva EU (NN broj 40/16), Zakon o potvrđivanju Konvencije o centraliziranom carinjenju u vezi sa dodjelom nacionalnih troškova naplate zadržanih kad se tradicionalna vlastita sredstva osiguraju za proračun EU-a (NN MU broj 3/16), Uredba o visini trošarine na cigarete, sitno rezani duhan i ostali duhan za pušenje (NN broj 109/16), Pravilnik o odobravanju službenog mjesta (NN broj 100/16), Pravilnik o postupanju s oduzetom i ustupljenom robom (NN broj 100/16), Pravilnik o primjeni Zakona o trošarinama što se odnosi na plinsko ulje obojano plavom bojom za namjene u poljoprivredi, ribolovstvu, ribogojstvu, akvakulturi te na povrat plaćene trošarine na bezolovni motorni benzin za namjene u ribolovu (NN broj 2/16), Pravilnik o izmjenama i dopunama Pravilnika o trošarinama (NN broj 45/16), Uputa za privremeni uvoz i izvoz ambalaže (NN broj 4/16), Uputa o primjeni sustava analize rizika u obradi carinskih deklaracija (NN broj 27/15), Uputa o provedbi postupka izvoza (NN broj 5/16), Uputa za provedbu postupka provoza Unije i zajedničkog provoznog postupka (NN broj 6/16), Uputa o provedbi pojednostavnjenog postupka provoza pri prijevozu robe željeznicom (NN broj 7/16), Uputa o provedbi mjera carinskog nadzora nad robama Unije koje se </w:t>
      </w:r>
      <w:r>
        <w:lastRenderedPageBreak/>
        <w:t xml:space="preserve">prevoze preko Neumskog koridora (NN broj 19/16), Uputa o statusu osobe ovlaštene za vaganje svježih banana i provedbi postupka utvrđivanja neto težine svježih banana (NN broj 24/16), Uputa o postupanju s poštanskim pošiljkama i određivanju Hrvatske pošte d.d. kao deklaranta u poštanskom prometu (NN broj 26/16), Uputa o ostvarivanju oslobođenja od plaćanja uvoznih davanja (NN broj 28/16), Uputa o povratu i otpustu carinskog duga (NN broj 44/16), Uputa o posebnostima carinskog nadzora nad robom koja se prodaje u prodajnim mjestima u zračnim lukama i lukama Unije otvorenim za međunarodni promet (NN broj 20/16), Uputa o provedbi postupka opskrbi plovila i zrakoplova (NN broj 27/16), Uputa o uporabi pojednostavnjenog postupka zajedničkog provoza/provoza Unije za robu koja se prevozi zrakom (NN 10/16), Uputa – Sumnja u deklariranu carinsku vrijednost (NN broj 46/16),  Uputa – Uvozna davanja koja ovisne o vrijednosti robe i referentnim cijenama (NN broj 45/16), Uputa – Nepovlašteno podrijetlo robe (NN broj 50/16), Uputa – Izdavanje potvrda o prometu robe (NN broj 49/16), Uputa o puštanju u slobodni promet oružja i vojne opreme (NN broj 23/16), Uputa za provedbu carinskih postupaka pri nadzoru robe u putničkom prometu – pročišćena verzija (NN broj 25/16), Uputa o Ulaznoj skraćenoj deklaraciji (NN broj 13/16), Uputa o provedbi pojednostavnjenih postupaka pri uvozu i izvozu (NN broj 15/16), Uputa o uporabi pojednostavnjenog postupka provoza unije za robu koja se prevozi morem (NN broj 11/16), Uputa o provedbi mjera carinskog nadzora u slobodnim zonama (NN broj 17/16), Uputa o deklaraciji prije otpreme (NN broj 37/16), Uputa – Uvozne dozvole za poljoprivredne proizvode (NN broj 47/16), Uputa o odobravanju posebnih postupaka (NN broj 33/16), Uputa – Uvoz vina, mošta, soka od grožđa i grožđa (NN broj 53/16), Uputa – Uvoz proizvoda od željeza ili čelika (NN broj 54/16), Uputa za dodjeljivanje statusa ovlaštenog gospodarskog subjekta - AEO (NN broj 29/16), Uputa o uvozu ekoloških proizvoda iz trećih zemalja (NN broj 31/16), Uputa za primjenu postupka unutarnje proizvodnje (NN broj 38/16), Uputa – Deklariranje količine i sastava robe, odlučivanje o uzorkovanju i osporavanje razvrstavanja (NN broj 57/16), Uputa o načinu i uvjetima postupanja te deklariranju podataka pri uvozu predmeta opće uporabe (NN broj 59/16), Uputa o uvozu drva i drvnih proizvoda temeljem FLEGT dozvole iz partnerskih zemalja (NN broj 61/16). </w:t>
      </w:r>
    </w:p>
    <w:p w:rsidR="005C2091" w:rsidRDefault="00A86293">
      <w:r>
        <w:t xml:space="preserve">U suradnji sa Hrvatskom gospodarskom komorom u 2016. godini održano je 20 seminara na kojima su gospodarstvenici educirani o posebnostima početka primjene novog Carinskog zakonika Unije čija je primjena započela 1. svibnja 2016. godine. Edukacijom je obuhvaćeno 1.033 osobe iz gospodarskog sektora, a seminari su održavani u svim važnijim gospodarskim središtima Republike Hrvatske. Osim toga, u organizaciji drugih institucija za provedbu edukacija održano je 6 edukacija gospodarstva o temama vezanih za provedbu carinskih i trošarinskih postupaka. </w:t>
      </w:r>
    </w:p>
    <w:p w:rsidR="005C2091" w:rsidRDefault="00A86293">
      <w:r>
        <w:t xml:space="preserve">U cilju olakšavanja trgovine i stvaranja učinkovitih postupaka te pojednostavnjenja carinskih  formalnosti u prekograničnom kretanju roba i omogućavanja najpovoljnijih uvjeta poslovanja gospodarstva u 2016. godini nastavljeno je promicanje korištenja instituta carinskih pojednostavljenja pa je doneseno 5 rješenja o odobravanju statusa ovlaštenog gospodarskog subjekta (AEO),  33 odobrenja za ovlaštenog izvoznika te 2 odobrenja za ovlaštenog primatelja. </w:t>
      </w:r>
    </w:p>
    <w:p w:rsidR="005C2091" w:rsidRDefault="00A86293">
      <w:r>
        <w:t xml:space="preserve">U 2016. godini registrirano je ukupno 960 trošarinska obveznika u sustavu odgode (ovlašteni držatelji trošarinskih skladišta, registrirani primatelji, pošiljatelji, oslobođeni korisnici) od kojih je najveći broj evidentiranih obveznika u PCU Zagreb njih 492.  </w:t>
      </w:r>
    </w:p>
    <w:p w:rsidR="005C2091" w:rsidRDefault="00A86293">
      <w:r>
        <w:t xml:space="preserve">Tijekom 2016. godine u okviru redovnog i ciljanog postupka unutarnjeg nadzora i kontrole provedeno je ukupno 319 aktivnosti i to 161 unutarnja kontrola i 10 unutarnjih nadzora. Sukladno odredbama provedbenih propisa kojima se obvezuju ustrojstvene jedinice na provođenje nadzora i kontrole svih organizacijskih oblika u svome ustroju, a s ciljem otklanjanja nepravilnosti, nadzora zakonitosti rada i ujednačavanja prakse postupanja, provedeno je ukupno 148 unutarnjih nadzora i kontrole. </w:t>
      </w:r>
    </w:p>
    <w:p w:rsidR="005C2091" w:rsidRDefault="00A86293">
      <w:r>
        <w:t xml:space="preserve">Državnim proračunom Republike Hrvatske za aktivnost A540000 Administracija i upravljanje Carinske uprave u 2016. godini planirana su sredstva u iznosu 412.487.947,00 kn. Ostvareni su rashodi u iznosu 410.600.984,12 kn uz postotak izvršenja proračuna 99,54%.  </w:t>
      </w:r>
    </w:p>
    <w:p w:rsidR="005C2091" w:rsidRDefault="00A86293">
      <w:r>
        <w:t xml:space="preserve">Sagledavajući strukturu ukupno ostvarenih rashoda na aktivnosti A540000 Administracija i upravljanje Carinske uprave, rashodi za zaposlene su u 2016. godini iznosili 84,34% ukupnog izvršenja na navedenoj aktivnosti. Isti su planirani u iznosu od 346.300.000,00 kuna, a ostvareni u iznosu od 346.290.096,84 kuna. </w:t>
      </w:r>
    </w:p>
    <w:p w:rsidR="005C2091" w:rsidRDefault="00A86293">
      <w:r>
        <w:t xml:space="preserve">Materijalni rashodi su u strukturi ostvarenih rashoda na aktivnosti A540000 Administracija i upravljanje Carinske uprave iznosili 15,02%, isti su izvršeni na način da osiguravaju funkcioniranje carinske službe na jedinstvenom carinskom području Europske unije te ujedno osiguravaju sve pretpostavke kako bi carinska služba djelotvorno i u potpunosti osigurala učinkovitu primjenu  carinskog, trošarinskog i poreznog sustava Europske unije i Republike Hrvatske.  </w:t>
      </w:r>
    </w:p>
    <w:p w:rsidR="005C2091" w:rsidRDefault="00A86293">
      <w:r>
        <w:lastRenderedPageBreak/>
        <w:t xml:space="preserve">Financijski rashodi su u strukturi ostvarenih rashoda na navedenoj aktivnosti iznosili 0,00%, a odnosili su se na neznatne rashode za bankarske usluge i usluge platnog prometa. </w:t>
      </w:r>
    </w:p>
    <w:p w:rsidR="005C2091" w:rsidRDefault="00A86293">
      <w:r>
        <w:t xml:space="preserve">Ostali rashodi su u strukturi ostvarenih rashoda na aktivnosti A540000 Administracija i upravljanje Carinske uprave iznosili 0,64%, a odnosili su se na rashode ostvarene s osnova naplate naknada po presudi suda za štete i troškove parničnog postupaka te izvršenih ovrha temeljem postupaka provedenih od strane Financijske agencije. </w:t>
      </w:r>
    </w:p>
    <w:p w:rsidR="005C2091" w:rsidRDefault="00A86293">
      <w:r>
        <w:t>Sredstvima utrošenim u 2016. godini Carinska uprava ostvarila je sve zadane ciljeve koji se odnose na navedenu aktivnost.</w:t>
      </w:r>
    </w:p>
    <w:p w:rsidR="00290EC0" w:rsidRDefault="00290EC0"/>
    <w:p w:rsidR="00290EC0" w:rsidRDefault="00290EC0"/>
    <w:p w:rsidR="00290EC0" w:rsidRDefault="00290EC0"/>
    <w:p w:rsidR="00290EC0" w:rsidRDefault="00290EC0"/>
    <w:p w:rsidR="00290EC0" w:rsidRDefault="00290EC0"/>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192"/>
        <w:gridCol w:w="2297"/>
        <w:gridCol w:w="955"/>
        <w:gridCol w:w="993"/>
        <w:gridCol w:w="1781"/>
        <w:gridCol w:w="993"/>
        <w:gridCol w:w="99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provedenih inspekcijskih nadzora i provjera (nakon postupka carinjenja)</w:t>
            </w:r>
          </w:p>
        </w:tc>
        <w:tc>
          <w:tcPr>
            <w:tcW w:w="2551" w:type="dxa"/>
          </w:tcPr>
          <w:p w:rsidR="005C2091" w:rsidRDefault="00A86293">
            <w:pPr>
              <w:pStyle w:val="CellColumn"/>
              <w:jc w:val="left"/>
            </w:pPr>
            <w:r>
              <w:rPr>
                <w:rFonts w:cs="Times New Roman"/>
              </w:rPr>
              <w:t>Povećanjem broja naknadnih kontrola osigurat će se zakonito postupanje sudionika u carinskim postupcima, smanjenje carinskih formalnosti i troškova postupka te rast prihoda proračuna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2.500</w:t>
            </w:r>
          </w:p>
        </w:tc>
        <w:tc>
          <w:tcPr>
            <w:tcW w:w="1020" w:type="dxa"/>
          </w:tcPr>
          <w:p w:rsidR="005C2091" w:rsidRDefault="00A86293">
            <w:pPr>
              <w:pStyle w:val="CellColumn"/>
              <w:jc w:val="right"/>
            </w:pPr>
            <w:r>
              <w:rPr>
                <w:rFonts w:cs="Times New Roman"/>
              </w:rPr>
              <w:t>Izvješće o radu Carinske uprave</w:t>
            </w:r>
          </w:p>
        </w:tc>
        <w:tc>
          <w:tcPr>
            <w:tcW w:w="1020" w:type="dxa"/>
          </w:tcPr>
          <w:p w:rsidR="005C2091" w:rsidRDefault="00A86293">
            <w:pPr>
              <w:pStyle w:val="CellColumn"/>
              <w:jc w:val="right"/>
            </w:pPr>
            <w:r>
              <w:rPr>
                <w:rFonts w:cs="Times New Roman"/>
              </w:rPr>
              <w:t>2.600</w:t>
            </w:r>
          </w:p>
        </w:tc>
        <w:tc>
          <w:tcPr>
            <w:tcW w:w="1020" w:type="dxa"/>
          </w:tcPr>
          <w:p w:rsidR="005C2091" w:rsidRDefault="00A86293">
            <w:pPr>
              <w:pStyle w:val="CellColumn"/>
              <w:jc w:val="right"/>
            </w:pPr>
            <w:r>
              <w:rPr>
                <w:rFonts w:cs="Times New Roman"/>
              </w:rPr>
              <w:t>776</w:t>
            </w:r>
          </w:p>
        </w:tc>
      </w:tr>
      <w:tr w:rsidR="005C2091">
        <w:trPr>
          <w:jc w:val="center"/>
        </w:trPr>
        <w:tc>
          <w:tcPr>
            <w:tcW w:w="2551" w:type="dxa"/>
          </w:tcPr>
          <w:p w:rsidR="005C2091" w:rsidRDefault="00A86293">
            <w:pPr>
              <w:pStyle w:val="CellColumn"/>
              <w:jc w:val="left"/>
            </w:pPr>
            <w:r>
              <w:rPr>
                <w:rFonts w:cs="Times New Roman"/>
              </w:rPr>
              <w:t>Broj otkrivenih nepravilnosti  prilikom provođenja inspekcijskih nadzora i provjera</w:t>
            </w:r>
          </w:p>
        </w:tc>
        <w:tc>
          <w:tcPr>
            <w:tcW w:w="2551" w:type="dxa"/>
          </w:tcPr>
          <w:p w:rsidR="005C2091" w:rsidRDefault="00A86293">
            <w:pPr>
              <w:pStyle w:val="CellColumn"/>
              <w:jc w:val="left"/>
            </w:pPr>
            <w:r>
              <w:rPr>
                <w:rFonts w:cs="Times New Roman"/>
              </w:rPr>
              <w:t>Učinkovitom provedbom postupka inspekcijskih nadzora i provjera stvorit će se pretpostavke za pojavom manjeg broja nepravilonosti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750</w:t>
            </w:r>
          </w:p>
        </w:tc>
        <w:tc>
          <w:tcPr>
            <w:tcW w:w="1020" w:type="dxa"/>
          </w:tcPr>
          <w:p w:rsidR="005C2091" w:rsidRDefault="00A86293">
            <w:pPr>
              <w:pStyle w:val="CellColumn"/>
              <w:jc w:val="right"/>
            </w:pPr>
            <w:r>
              <w:rPr>
                <w:rFonts w:cs="Times New Roman"/>
              </w:rPr>
              <w:t>Izvješće o radu Carinske uprave</w:t>
            </w:r>
          </w:p>
        </w:tc>
        <w:tc>
          <w:tcPr>
            <w:tcW w:w="1020" w:type="dxa"/>
          </w:tcPr>
          <w:p w:rsidR="005C2091" w:rsidRDefault="00A86293">
            <w:pPr>
              <w:pStyle w:val="CellColumn"/>
              <w:jc w:val="right"/>
            </w:pPr>
            <w:r>
              <w:rPr>
                <w:rFonts w:cs="Times New Roman"/>
              </w:rPr>
              <w:t>740</w:t>
            </w:r>
          </w:p>
        </w:tc>
        <w:tc>
          <w:tcPr>
            <w:tcW w:w="1020" w:type="dxa"/>
          </w:tcPr>
          <w:p w:rsidR="005C2091" w:rsidRDefault="00A86293">
            <w:pPr>
              <w:pStyle w:val="CellColumn"/>
              <w:jc w:val="right"/>
            </w:pPr>
            <w:r>
              <w:rPr>
                <w:rFonts w:cs="Times New Roman"/>
              </w:rPr>
              <w:t>197</w:t>
            </w:r>
          </w:p>
        </w:tc>
      </w:tr>
      <w:tr w:rsidR="005C2091">
        <w:trPr>
          <w:jc w:val="center"/>
        </w:trPr>
        <w:tc>
          <w:tcPr>
            <w:tcW w:w="2551" w:type="dxa"/>
          </w:tcPr>
          <w:p w:rsidR="005C2091" w:rsidRDefault="00A86293">
            <w:pPr>
              <w:pStyle w:val="CellColumn"/>
              <w:jc w:val="left"/>
            </w:pPr>
            <w:r>
              <w:rPr>
                <w:rFonts w:cs="Times New Roman"/>
              </w:rPr>
              <w:t>Broj odobrenih povlaštenih statusa</w:t>
            </w:r>
          </w:p>
        </w:tc>
        <w:tc>
          <w:tcPr>
            <w:tcW w:w="2551" w:type="dxa"/>
          </w:tcPr>
          <w:p w:rsidR="005C2091" w:rsidRDefault="00A86293">
            <w:pPr>
              <w:pStyle w:val="CellColumn"/>
              <w:jc w:val="left"/>
            </w:pPr>
            <w:r>
              <w:rPr>
                <w:rFonts w:cs="Times New Roman"/>
              </w:rPr>
              <w:t>Olakšavanje trgovine i pojednostavnjenje carinskih procedura i bržim obavljanjem carinskih formalnosti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400</w:t>
            </w:r>
          </w:p>
        </w:tc>
        <w:tc>
          <w:tcPr>
            <w:tcW w:w="1020" w:type="dxa"/>
          </w:tcPr>
          <w:p w:rsidR="005C2091" w:rsidRDefault="00A86293">
            <w:pPr>
              <w:pStyle w:val="CellColumn"/>
              <w:jc w:val="right"/>
            </w:pPr>
            <w:r>
              <w:rPr>
                <w:rFonts w:cs="Times New Roman"/>
              </w:rPr>
              <w:t>Evidencije CU o odobrenim pojednostavnjenjima</w:t>
            </w:r>
          </w:p>
        </w:tc>
        <w:tc>
          <w:tcPr>
            <w:tcW w:w="1020" w:type="dxa"/>
          </w:tcPr>
          <w:p w:rsidR="005C2091" w:rsidRDefault="00A86293">
            <w:pPr>
              <w:pStyle w:val="CellColumn"/>
              <w:jc w:val="right"/>
            </w:pPr>
            <w:r>
              <w:rPr>
                <w:rFonts w:cs="Times New Roman"/>
              </w:rPr>
              <w:t>425</w:t>
            </w:r>
          </w:p>
        </w:tc>
        <w:tc>
          <w:tcPr>
            <w:tcW w:w="1020" w:type="dxa"/>
          </w:tcPr>
          <w:p w:rsidR="005C2091" w:rsidRDefault="00A86293">
            <w:pPr>
              <w:pStyle w:val="CellColumn"/>
              <w:jc w:val="right"/>
            </w:pPr>
            <w:r>
              <w:rPr>
                <w:rFonts w:cs="Times New Roman"/>
              </w:rPr>
              <w:t>440</w:t>
            </w:r>
          </w:p>
        </w:tc>
      </w:tr>
    </w:tbl>
    <w:p w:rsidR="005C2091" w:rsidRDefault="005C2091">
      <w:pPr>
        <w:jc w:val="left"/>
      </w:pPr>
    </w:p>
    <w:p w:rsidR="005C2091" w:rsidRDefault="00A86293">
      <w:pPr>
        <w:pStyle w:val="Heading4"/>
      </w:pPr>
      <w:r>
        <w:t>A540005 ODRŽAVANJE INFORMACIJSKOG SUSTAVA CARINSKE UPRAVE</w:t>
      </w:r>
    </w:p>
    <w:tbl>
      <w:tblPr>
        <w:tblStyle w:val="StilTablice"/>
        <w:tblW w:w="10206" w:type="dxa"/>
        <w:jc w:val="center"/>
        <w:tblLook w:val="04A0" w:firstRow="1" w:lastRow="0" w:firstColumn="1" w:lastColumn="0" w:noHBand="0" w:noVBand="1"/>
      </w:tblPr>
      <w:tblGrid>
        <w:gridCol w:w="1859"/>
        <w:gridCol w:w="1976"/>
        <w:gridCol w:w="1976"/>
        <w:gridCol w:w="1976"/>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A540005-ODRŽAVANJE INFORMACIJSKOG SUSTAVA CARINSKE UPRAVE</w:t>
            </w:r>
          </w:p>
        </w:tc>
        <w:tc>
          <w:tcPr>
            <w:tcW w:w="2041" w:type="dxa"/>
          </w:tcPr>
          <w:p w:rsidR="005C2091" w:rsidRDefault="00A86293">
            <w:pPr>
              <w:pStyle w:val="CellColumn"/>
              <w:jc w:val="right"/>
            </w:pPr>
            <w:r>
              <w:rPr>
                <w:rFonts w:cs="Times New Roman"/>
              </w:rPr>
              <w:t>125.744.507</w:t>
            </w:r>
          </w:p>
        </w:tc>
        <w:tc>
          <w:tcPr>
            <w:tcW w:w="2041" w:type="dxa"/>
          </w:tcPr>
          <w:p w:rsidR="005C2091" w:rsidRDefault="00A86293">
            <w:pPr>
              <w:pStyle w:val="CellColumn"/>
              <w:jc w:val="right"/>
            </w:pPr>
            <w:r>
              <w:rPr>
                <w:rFonts w:cs="Times New Roman"/>
              </w:rPr>
              <w:t>122.500.000</w:t>
            </w:r>
          </w:p>
        </w:tc>
        <w:tc>
          <w:tcPr>
            <w:tcW w:w="2041" w:type="dxa"/>
          </w:tcPr>
          <w:p w:rsidR="005C2091" w:rsidRDefault="00A86293">
            <w:pPr>
              <w:pStyle w:val="CellColumn"/>
              <w:jc w:val="right"/>
            </w:pPr>
            <w:r>
              <w:rPr>
                <w:rFonts w:cs="Times New Roman"/>
              </w:rPr>
              <w:t>122.284.909</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97,2</w:t>
            </w:r>
          </w:p>
        </w:tc>
      </w:tr>
    </w:tbl>
    <w:p w:rsidR="005C2091" w:rsidRDefault="005C2091">
      <w:pPr>
        <w:jc w:val="left"/>
      </w:pPr>
    </w:p>
    <w:p w:rsidR="005C2091" w:rsidRDefault="00A86293">
      <w:pPr>
        <w:pStyle w:val="Heading8"/>
        <w:jc w:val="left"/>
      </w:pPr>
      <w:r>
        <w:t>Zakonske i druge pravne osnove</w:t>
      </w:r>
    </w:p>
    <w:p w:rsidR="005C2091" w:rsidRDefault="00A86293">
      <w:r>
        <w:t>Aktivnost A540005 Održavanje informacijskog sustava Carinske uprave ostvaruje se u razvoju informacijskog sustava temeljem Zakona o carinskoj službi (Narodne novine br. 68/13 i 30/14) i vezano uz Zakon o provedbi carinskog zakonodavstva Europske unije (Narodne novine broj  40/2016)), Zakon o trošarinama (Narodne novine broj 22/2013, 32/2013, 81/2013, 100/2015 i 120/2015), Zakon o posebnom porezu na motorna vozila (Narodne novine broj 15/2013 i 108/2013), Zakon o posebnom porezu na  kavu i bezalkoholna pića  (Narodne novine broj 72/2013).</w:t>
      </w:r>
    </w:p>
    <w:p w:rsidR="005C2091" w:rsidRDefault="00A86293">
      <w:pPr>
        <w:pStyle w:val="Heading8"/>
        <w:jc w:val="left"/>
      </w:pPr>
      <w:r>
        <w:t>Opis aktivnosti</w:t>
      </w:r>
    </w:p>
    <w:p w:rsidR="005C2091" w:rsidRDefault="00A86293">
      <w:r>
        <w:t xml:space="preserve">Carinske postupke i kontrole nužno je utemeljiti na maksimalnoj uporabi informacijske tehnologije, sa ciljem pojednostavnjenja carinskih procedura i smanjenja troškova, kako za carinu tako i za gospodarstvenike.  </w:t>
      </w:r>
    </w:p>
    <w:p w:rsidR="005C2091" w:rsidRDefault="00A86293">
      <w:r>
        <w:t xml:space="preserve">Sam proces pojednostavnjenja i informatizacije podrazumijeva angažman samih carinskih službi kao i suradnju drugih tijela uključenih u carinske procedure, radi postizanja jeftinijih, efikasnijih i djelotvornijih kontrola u koje su odnosna tijela uključena. </w:t>
      </w:r>
    </w:p>
    <w:p w:rsidR="005C2091" w:rsidRDefault="00A86293">
      <w:r>
        <w:t xml:space="preserve">Tijekom 2016. godine izvršen je daljnji razvoj i usklađivanje s EU specifikacijama za sustave: NCTS, EOS (EORI i AEO alike), CS/RD i CS/MIS i CS/MISE, ECS, ICS, SEED, EMCS, a koji je obuhvatio dodatni razvoj usklađivanja, kao i poboljšanje/ izmjene/dorade implementiranih funkcionalnosti sukladno Carinskom zakoniku Unije, Višegodišnjem strateškom planu (MASP), nacionalnom zakonodavstvu i potrebama te sigurnosnim standardima i najboljoj praksi (ISMS). S tim u vezi izvršena je nadogradnja zajedničke informacijske infrastrukture carine (ZIISC), a koja je obuhvatila CCN/ CSI, G2B servis, Help desk funkcionalnosti, te monitoring nad samim sustavom. Izvršen je razvoj i nadogradnja Intrastat aplikacije, te aplikacije za evidenciju A i B računa. U odnosu na sustav obrade uvoznih carinskih deklaracija (HRAIS) izvršen je razvoj i poboljšanje postojećih funkcionalnosti u odnosu na implementirane.  </w:t>
      </w:r>
    </w:p>
    <w:p w:rsidR="005C2091" w:rsidRDefault="00A86293">
      <w:r>
        <w:t xml:space="preserve">Vezano uz područje trošarina i posebnih poreza izvršeno je daljnje usklađivanje aplikativnih podsustava s promjenama u legislativi, kao i poboljšanje postojećih implementiranih rješenja, te izgradnja izvještajnog sustava s tog područja.  </w:t>
      </w:r>
    </w:p>
    <w:p w:rsidR="005C2091" w:rsidRDefault="00A86293">
      <w:r>
        <w:t xml:space="preserve">Izvršena je prilagodba sustava bankovnih garancija EU sustavima, a koji koriste sustav upravljanja bankovnim garancijama.  </w:t>
      </w:r>
    </w:p>
    <w:p w:rsidR="005C2091" w:rsidRDefault="00A86293">
      <w:r>
        <w:t xml:space="preserve">Izvršen je daljnji razvoj podsustava izvještavanja iz aplikativnih transakcijskih podsustava Informacijskog sustava Carinske uprave.  </w:t>
      </w:r>
    </w:p>
    <w:p w:rsidR="005C2091" w:rsidRDefault="00A86293">
      <w:r>
        <w:t xml:space="preserve">Izvršen je daljnji razvoj i unapređenje te održavanje sustava FMIS (riznica), aplikacije za carinske prekršaje ePrekršaji, aplikacije ePisarnica u kojoj su razvijane nove funkcionalnosti, daljnji razvoj sustava i usklađivanje s EU zakonodavstvom i planovima razvoja (MASP) za integrirano upravljanje tarifom (ITMS). Također, nastavljen je rad na razvoju aplikacija koje pokrivaju sustav za upravljanje rizicima, te je poboljšanja aplikacija HelpDeska radi kvalitetnije obrade prijave grešaka i kvarova. </w:t>
      </w:r>
    </w:p>
    <w:p w:rsidR="005C2091" w:rsidRDefault="00A86293">
      <w:r>
        <w:t xml:space="preserve">Nastavno na zahtjeve fiskalizacije utrošeno je puno resursa u razvoju potrebnih rješenja te je iz tog razloga bilo potrebno zastati s razvojem aplikacije za carinski laboratorij eLaboratorij i aplikacije za upravljanje oduzetom robom eRoba, dok se s dodatnim razvojem aplikacije inspekcijskog nadzora eNadzor (koji pokriva poslovne procese vezane uz inspekcijski nadzor nad koncesijama) zastalo zbog toga što se čeka promjena zakonodavnog okvira iz tog područja.  </w:t>
      </w:r>
    </w:p>
    <w:p w:rsidR="005C2091" w:rsidRDefault="00A86293">
      <w:r>
        <w:t xml:space="preserve">Izvršena je nabava 215 komada računala tankih klijenata (TC) i sve u jednom ( AIO) radi obnavljanja dijela IT opreme koji je stariji preko 10 godina.  </w:t>
      </w:r>
    </w:p>
    <w:p w:rsidR="005C2091" w:rsidRDefault="00A86293">
      <w:r>
        <w:t xml:space="preserve">Tijekom 2016 godine izvršili smo nabavu sigurnosne i mrežne opreme za potrebe centralne i rezervne komunikacijske lokacije. </w:t>
      </w:r>
    </w:p>
    <w:p w:rsidR="005C2091" w:rsidRDefault="00A86293">
      <w:r>
        <w:t xml:space="preserve">Izvršena je obnova i nabava novih SW licenci koje se koriste u Informacijskom sustavu Carinske uprave. Provedeni su postupci obnavljanja i produženja valjanosti licenci vezano na Citrix (virtulalizacija aplikacija i računala), VMWare (virtualizacija servera), TrendMicro (Antivirus i Antispam), Bluecoat i Ironport, IBM (Tivoli, WebSphere, DB2, Maximo), Microsoft te su nabavljene nove licence CmmVault za potrebe provedbe back up te budućeg projekta arhiviranja poslovnih sadržaja službenika Carinske uprave.  </w:t>
      </w:r>
    </w:p>
    <w:p w:rsidR="005C2091" w:rsidRDefault="00A86293">
      <w:r>
        <w:t xml:space="preserve">Uz redovito održavanje ICT sustava izvršena je i nadogradnja starih poslužitelja s windows 2003 na noviju verziju. </w:t>
      </w:r>
    </w:p>
    <w:p w:rsidR="005C2091" w:rsidRDefault="00A86293">
      <w:r>
        <w:lastRenderedPageBreak/>
        <w:t xml:space="preserve">Ujedno, povećana je brzina linkova za prijenos podataka na centralnoj i rezervnoj komunikacijskoj lokaciji, uspostavljeni su novi linkovi ili im je brzina povećana na potrebnim lokacijama  </w:t>
      </w:r>
    </w:p>
    <w:p w:rsidR="005C2091" w:rsidRDefault="00A86293">
      <w:r>
        <w:t xml:space="preserve">Izvršena je usluga uspostave sustava informacijske sigurnosti te ujedno i certifikacije po ISO/IEC 27001 za Sektor za informacijski sustav te primarnu i pričuvnu lokaciju. </w:t>
      </w:r>
    </w:p>
    <w:p w:rsidR="005C2091" w:rsidRDefault="00A86293">
      <w:r>
        <w:t xml:space="preserve">Izvršena je edukacija službenika sukladno ITIL metodologiji i najboljoj praksi. </w:t>
      </w:r>
    </w:p>
    <w:p w:rsidR="005C2091" w:rsidRDefault="00A86293">
      <w:r>
        <w:t>Državnim proračunom Republike Hrvatske za aktivnost A540005 Održavanje informacijskog sustava Carinske uprave u 2016. godini planirana su financijska sredstva u visini 122.500.000,00 kn. Izvršenje je iznosilo 122.284.908,90 kn uz postotak izvršenja 99,82%.</w:t>
      </w:r>
    </w:p>
    <w:p w:rsidR="00290EC0" w:rsidRDefault="00290EC0"/>
    <w:p w:rsidR="00290EC0" w:rsidRDefault="00290EC0"/>
    <w:p w:rsidR="00290EC0" w:rsidRDefault="00290EC0"/>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04"/>
        <w:gridCol w:w="2507"/>
        <w:gridCol w:w="1010"/>
        <w:gridCol w:w="1016"/>
        <w:gridCol w:w="1137"/>
        <w:gridCol w:w="1016"/>
        <w:gridCol w:w="1016"/>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Funkcionalne IT usluge carinskog i općeg poslovanja</w:t>
            </w:r>
          </w:p>
        </w:tc>
        <w:tc>
          <w:tcPr>
            <w:tcW w:w="2551" w:type="dxa"/>
          </w:tcPr>
          <w:p w:rsidR="005C2091" w:rsidRDefault="00A86293">
            <w:pPr>
              <w:pStyle w:val="CellColumn"/>
              <w:jc w:val="left"/>
            </w:pPr>
            <w:r>
              <w:rPr>
                <w:rFonts w:cs="Times New Roman"/>
              </w:rPr>
              <w:t>Funkcionalan i siguran informatički sustav za učinkovitu provedbu carinskih postupaka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75</w:t>
            </w:r>
          </w:p>
        </w:tc>
        <w:tc>
          <w:tcPr>
            <w:tcW w:w="1020" w:type="dxa"/>
          </w:tcPr>
          <w:p w:rsidR="005C2091" w:rsidRDefault="00A86293">
            <w:pPr>
              <w:pStyle w:val="CellColumn"/>
              <w:jc w:val="right"/>
            </w:pPr>
            <w:r>
              <w:rPr>
                <w:rFonts w:cs="Times New Roman"/>
              </w:rPr>
              <w:t>Sustav praćenja pokazatelja uspješnosti (KPI) opsan u internoj metodologiji Sektora za IS</w:t>
            </w:r>
          </w:p>
        </w:tc>
        <w:tc>
          <w:tcPr>
            <w:tcW w:w="1020" w:type="dxa"/>
          </w:tcPr>
          <w:p w:rsidR="005C2091" w:rsidRDefault="00A86293">
            <w:pPr>
              <w:pStyle w:val="CellColumn"/>
              <w:jc w:val="right"/>
            </w:pPr>
            <w:r>
              <w:rPr>
                <w:rFonts w:cs="Times New Roman"/>
              </w:rPr>
              <w:t>80</w:t>
            </w:r>
          </w:p>
        </w:tc>
        <w:tc>
          <w:tcPr>
            <w:tcW w:w="1020" w:type="dxa"/>
          </w:tcPr>
          <w:p w:rsidR="005C2091" w:rsidRDefault="00A86293">
            <w:pPr>
              <w:pStyle w:val="CellColumn"/>
              <w:jc w:val="right"/>
            </w:pPr>
            <w:r>
              <w:rPr>
                <w:rFonts w:cs="Times New Roman"/>
              </w:rPr>
              <w:t>77</w:t>
            </w:r>
          </w:p>
        </w:tc>
      </w:tr>
      <w:tr w:rsidR="005C2091">
        <w:trPr>
          <w:jc w:val="center"/>
        </w:trPr>
        <w:tc>
          <w:tcPr>
            <w:tcW w:w="2551" w:type="dxa"/>
          </w:tcPr>
          <w:p w:rsidR="005C2091" w:rsidRDefault="00A86293">
            <w:pPr>
              <w:pStyle w:val="CellColumn"/>
              <w:jc w:val="left"/>
            </w:pPr>
            <w:r>
              <w:rPr>
                <w:rFonts w:cs="Times New Roman"/>
              </w:rPr>
              <w:t>Funkcionalna infrastruktura i oprema</w:t>
            </w:r>
          </w:p>
        </w:tc>
        <w:tc>
          <w:tcPr>
            <w:tcW w:w="2551" w:type="dxa"/>
          </w:tcPr>
          <w:p w:rsidR="005C2091" w:rsidRDefault="00A86293">
            <w:pPr>
              <w:pStyle w:val="CellColumn"/>
              <w:jc w:val="left"/>
            </w:pPr>
            <w:r>
              <w:rPr>
                <w:rFonts w:cs="Times New Roman"/>
              </w:rPr>
              <w:t>Praćenja rada svih ključnih komponenata sustava (mreža, HW, SW), provođenjem tehnoloških promjena sukladno preporukama proizvođača i ICT industrije te podrška poslovnim korisnicima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60</w:t>
            </w:r>
          </w:p>
        </w:tc>
        <w:tc>
          <w:tcPr>
            <w:tcW w:w="1020" w:type="dxa"/>
          </w:tcPr>
          <w:p w:rsidR="005C2091" w:rsidRDefault="00A86293">
            <w:pPr>
              <w:pStyle w:val="CellColumn"/>
              <w:jc w:val="right"/>
            </w:pPr>
            <w:r>
              <w:rPr>
                <w:rFonts w:cs="Times New Roman"/>
              </w:rPr>
              <w:t>Sustav praćenja pokazatelja uspješnosti (KPI) opsan u internoj metodologiji Sektora za IS</w:t>
            </w:r>
          </w:p>
        </w:tc>
        <w:tc>
          <w:tcPr>
            <w:tcW w:w="1020" w:type="dxa"/>
          </w:tcPr>
          <w:p w:rsidR="005C2091" w:rsidRDefault="00A86293">
            <w:pPr>
              <w:pStyle w:val="CellColumn"/>
              <w:jc w:val="right"/>
            </w:pPr>
            <w:r>
              <w:rPr>
                <w:rFonts w:cs="Times New Roman"/>
              </w:rPr>
              <w:t>60</w:t>
            </w:r>
          </w:p>
        </w:tc>
        <w:tc>
          <w:tcPr>
            <w:tcW w:w="1020" w:type="dxa"/>
          </w:tcPr>
          <w:p w:rsidR="005C2091" w:rsidRDefault="00A86293">
            <w:pPr>
              <w:pStyle w:val="CellColumn"/>
              <w:jc w:val="right"/>
            </w:pPr>
            <w:r>
              <w:rPr>
                <w:rFonts w:cs="Times New Roman"/>
              </w:rPr>
              <w:t>60</w:t>
            </w:r>
          </w:p>
        </w:tc>
      </w:tr>
      <w:tr w:rsidR="005C2091">
        <w:trPr>
          <w:jc w:val="center"/>
        </w:trPr>
        <w:tc>
          <w:tcPr>
            <w:tcW w:w="2551" w:type="dxa"/>
          </w:tcPr>
          <w:p w:rsidR="005C2091" w:rsidRDefault="00A86293">
            <w:pPr>
              <w:pStyle w:val="CellColumn"/>
              <w:jc w:val="left"/>
            </w:pPr>
            <w:r>
              <w:rPr>
                <w:rFonts w:cs="Times New Roman"/>
              </w:rPr>
              <w:t>Usklađenost s međunarodnim normama i preporukama</w:t>
            </w:r>
          </w:p>
        </w:tc>
        <w:tc>
          <w:tcPr>
            <w:tcW w:w="2551" w:type="dxa"/>
          </w:tcPr>
          <w:p w:rsidR="005C2091" w:rsidRDefault="00A86293">
            <w:pPr>
              <w:pStyle w:val="CellColumn"/>
              <w:jc w:val="left"/>
            </w:pPr>
            <w:r>
              <w:rPr>
                <w:rFonts w:cs="Times New Roman"/>
              </w:rPr>
              <w:t>Učinkovita i kvalitetna IT usluga kao rezultat je usklađenosti s međunarodnim normama (ISO/IEC12207 i ISO/IEC20000), osiguranje neprekinutosti poslovanja i unaprjeđenje sigurnosti informacijskog sustava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Sustav praćenja pokazatelja uspješnosti (KPI) opsan u internoj metodologiji Sektora za IS</w:t>
            </w:r>
          </w:p>
        </w:tc>
        <w:tc>
          <w:tcPr>
            <w:tcW w:w="1020" w:type="dxa"/>
          </w:tcPr>
          <w:p w:rsidR="005C2091" w:rsidRDefault="00A86293">
            <w:pPr>
              <w:pStyle w:val="CellColumn"/>
              <w:jc w:val="right"/>
            </w:pPr>
            <w:r>
              <w:rPr>
                <w:rFonts w:cs="Times New Roman"/>
              </w:rPr>
              <w:t>60</w:t>
            </w:r>
          </w:p>
        </w:tc>
        <w:tc>
          <w:tcPr>
            <w:tcW w:w="1020" w:type="dxa"/>
          </w:tcPr>
          <w:p w:rsidR="005C2091" w:rsidRDefault="00A86293">
            <w:pPr>
              <w:pStyle w:val="CellColumn"/>
              <w:jc w:val="right"/>
            </w:pPr>
            <w:r>
              <w:rPr>
                <w:rFonts w:cs="Times New Roman"/>
              </w:rPr>
              <w:t>58</w:t>
            </w:r>
          </w:p>
        </w:tc>
      </w:tr>
    </w:tbl>
    <w:p w:rsidR="005C2091" w:rsidRDefault="005C2091">
      <w:pPr>
        <w:jc w:val="left"/>
      </w:pPr>
    </w:p>
    <w:p w:rsidR="005C2091" w:rsidRDefault="00A86293">
      <w:pPr>
        <w:pStyle w:val="Heading4"/>
      </w:pPr>
      <w:r>
        <w:t>A540036 CUSTOMS 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A540036-CUSTOMS 2020</w:t>
            </w:r>
          </w:p>
        </w:tc>
        <w:tc>
          <w:tcPr>
            <w:tcW w:w="2041" w:type="dxa"/>
          </w:tcPr>
          <w:p w:rsidR="005C2091" w:rsidRDefault="00A86293">
            <w:pPr>
              <w:pStyle w:val="CellColumn"/>
              <w:jc w:val="right"/>
            </w:pPr>
            <w:r>
              <w:rPr>
                <w:rFonts w:cs="Times New Roman"/>
              </w:rPr>
              <w:t>1.336.464</w:t>
            </w:r>
          </w:p>
        </w:tc>
        <w:tc>
          <w:tcPr>
            <w:tcW w:w="2041" w:type="dxa"/>
          </w:tcPr>
          <w:p w:rsidR="005C2091" w:rsidRDefault="00A86293">
            <w:pPr>
              <w:pStyle w:val="CellColumn"/>
              <w:jc w:val="right"/>
            </w:pPr>
            <w:r>
              <w:rPr>
                <w:rFonts w:cs="Times New Roman"/>
              </w:rPr>
              <w:t>1.450.000</w:t>
            </w:r>
          </w:p>
        </w:tc>
        <w:tc>
          <w:tcPr>
            <w:tcW w:w="2041" w:type="dxa"/>
          </w:tcPr>
          <w:p w:rsidR="005C2091" w:rsidRDefault="00A86293">
            <w:pPr>
              <w:pStyle w:val="CellColumn"/>
              <w:jc w:val="right"/>
            </w:pPr>
            <w:r>
              <w:rPr>
                <w:rFonts w:cs="Times New Roman"/>
              </w:rPr>
              <w:t>1.342.453</w:t>
            </w:r>
          </w:p>
        </w:tc>
        <w:tc>
          <w:tcPr>
            <w:tcW w:w="1224" w:type="dxa"/>
          </w:tcPr>
          <w:p w:rsidR="005C2091" w:rsidRDefault="00A86293">
            <w:pPr>
              <w:pStyle w:val="CellColumn"/>
              <w:jc w:val="right"/>
            </w:pPr>
            <w:r>
              <w:rPr>
                <w:rFonts w:cs="Times New Roman"/>
              </w:rPr>
              <w:t>92,6</w:t>
            </w:r>
          </w:p>
        </w:tc>
        <w:tc>
          <w:tcPr>
            <w:tcW w:w="1224" w:type="dxa"/>
          </w:tcPr>
          <w:p w:rsidR="005C2091" w:rsidRDefault="00A86293">
            <w:pPr>
              <w:pStyle w:val="CellColumn"/>
              <w:jc w:val="right"/>
            </w:pPr>
            <w:r>
              <w:rPr>
                <w:rFonts w:cs="Times New Roman"/>
              </w:rPr>
              <w:t>100,4</w:t>
            </w:r>
          </w:p>
        </w:tc>
      </w:tr>
    </w:tbl>
    <w:p w:rsidR="005C2091" w:rsidRDefault="005C2091">
      <w:pPr>
        <w:jc w:val="left"/>
      </w:pPr>
    </w:p>
    <w:p w:rsidR="005C2091" w:rsidRDefault="00A86293">
      <w:pPr>
        <w:pStyle w:val="Heading8"/>
        <w:jc w:val="left"/>
      </w:pPr>
      <w:r>
        <w:t>Zakonske i druge pravne osnove</w:t>
      </w:r>
    </w:p>
    <w:p w:rsidR="005C2091" w:rsidRDefault="00A86293">
      <w:r>
        <w:t>Aktivnost A540036 CUSTOMS 2020 je aktivnost koja se ostvaruje  temeljem Uredbe (EU) br. 1294/2013 Europskog Parlamenta i Vijeća od 11. prosinca 2013. kojom se uspostavlja program djelovanja za carinu u zemljama Europske unije za razdoblje 2014. - 2020.  (Customs 2020).</w:t>
      </w:r>
    </w:p>
    <w:p w:rsidR="005C2091" w:rsidRDefault="00A86293">
      <w:pPr>
        <w:pStyle w:val="Heading8"/>
        <w:jc w:val="left"/>
      </w:pPr>
      <w:r>
        <w:t>Opis aktivnosti</w:t>
      </w:r>
    </w:p>
    <w:p w:rsidR="005C2091" w:rsidRDefault="00A86293">
      <w:r>
        <w:t xml:space="preserve">Program pruža podršku suradnji carinskih uprava zemalja članica Europske unije i poboljšanju njihove učinkovitosti u cilju efikasnijeg funkcioniranja Carinske unije kroz dodjelu bespovratnih sredstava zemljama članicama odnosno zemljama korisnicama programa.  </w:t>
      </w:r>
    </w:p>
    <w:p w:rsidR="005C2091" w:rsidRDefault="00A86293">
      <w:r>
        <w:t xml:space="preserve">Bespovratna sredstva koriste se u skladu s odredbama i uvjetima navedenim u ugovorima koji se potpisuju na godišnjoj razini.  </w:t>
      </w:r>
    </w:p>
    <w:p w:rsidR="005C2091" w:rsidRDefault="00A86293">
      <w:r>
        <w:t xml:space="preserve">Sredstva su namjenjena za podmirivanje putnih troškova i troškova dnevnica za hrvatske predstavnike i stručnjake u svrhu sudjelovanja u radu odbora na koje se upućuju te drugih sastanaka, seminara i radnih posjeta vezanih uz provedbu Programa.    </w:t>
      </w:r>
    </w:p>
    <w:p w:rsidR="005C2091" w:rsidRDefault="00A86293">
      <w:r>
        <w:t>Na navednoj aktivnosti planirana su sredstva u iznosu 1.450.000,00 kn, dok je izvršenje iznosilo 1.342.452,64 kn odnosno 92,58%.</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Sklopljeni međunarodni instrumenti (međunarodni ugovori i akti)</w:t>
            </w:r>
          </w:p>
        </w:tc>
        <w:tc>
          <w:tcPr>
            <w:tcW w:w="2551" w:type="dxa"/>
          </w:tcPr>
          <w:p w:rsidR="005C2091" w:rsidRDefault="00A86293">
            <w:pPr>
              <w:pStyle w:val="CellColumn"/>
              <w:jc w:val="left"/>
            </w:pPr>
            <w:r>
              <w:rPr>
                <w:rFonts w:cs="Times New Roman"/>
              </w:rPr>
              <w:t>Sklapanje međunarodnih ugovora s drugim državama i međunarodnih akata sa stranim carinskim administracijama u područjima carinske suradnje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Izvješće o radu</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1</w:t>
            </w:r>
          </w:p>
        </w:tc>
      </w:tr>
      <w:tr w:rsidR="005C2091">
        <w:trPr>
          <w:jc w:val="center"/>
        </w:trPr>
        <w:tc>
          <w:tcPr>
            <w:tcW w:w="2551" w:type="dxa"/>
          </w:tcPr>
          <w:p w:rsidR="005C2091" w:rsidRDefault="00A86293">
            <w:pPr>
              <w:pStyle w:val="CellColumn"/>
              <w:jc w:val="left"/>
            </w:pPr>
            <w:r>
              <w:rPr>
                <w:rFonts w:cs="Times New Roman"/>
              </w:rPr>
              <w:t>Ostvareni bilateralni sastanci sa carinskim administracijama DČ i trećih zemalja</w:t>
            </w:r>
          </w:p>
        </w:tc>
        <w:tc>
          <w:tcPr>
            <w:tcW w:w="2551" w:type="dxa"/>
          </w:tcPr>
          <w:p w:rsidR="005C2091" w:rsidRDefault="00A86293">
            <w:pPr>
              <w:pStyle w:val="CellColumn"/>
              <w:jc w:val="left"/>
            </w:pPr>
            <w:r>
              <w:rPr>
                <w:rFonts w:cs="Times New Roman"/>
              </w:rPr>
              <w:t>Suradnja i razmjena iskustava sa stručnjacima stranih carinskih administracija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Izvješće o radu</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5</w:t>
            </w:r>
          </w:p>
        </w:tc>
      </w:tr>
    </w:tbl>
    <w:p w:rsidR="005C2091" w:rsidRDefault="005C2091">
      <w:pPr>
        <w:jc w:val="left"/>
      </w:pPr>
    </w:p>
    <w:p w:rsidR="005C2091" w:rsidRDefault="00A86293">
      <w:pPr>
        <w:pStyle w:val="Heading4"/>
      </w:pPr>
      <w:r>
        <w:t>A540040 OPERATIVNI PROGRAM UČINKOVITI LJUDSKI POTENCIJALI 2014. - 2020.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A540040-OPERATIVNI PROGRAM UČINKOVITI LJUDSKI POTENCIJALI 2014. - 2020.</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30.000</w:t>
            </w:r>
          </w:p>
        </w:tc>
        <w:tc>
          <w:tcPr>
            <w:tcW w:w="2041"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Aktivnost 540040 Operativni program učinkoviti ljudski potencijali 2014. - 2020. se temelji na  Zakonu o uspostavi institucionalnog okvira za provedbu europskih strukturnih i investicijskih fondova u Republici Hrvatskoj u financijskom razdoblju 2014. – 2020. (Narodne novine broj 92/2014).</w:t>
      </w:r>
    </w:p>
    <w:p w:rsidR="005C2091" w:rsidRDefault="00A86293">
      <w:pPr>
        <w:pStyle w:val="Heading8"/>
        <w:jc w:val="left"/>
      </w:pPr>
      <w:r>
        <w:t>Opis aktivnosti</w:t>
      </w:r>
    </w:p>
    <w:p w:rsidR="005C2091" w:rsidRDefault="00A86293">
      <w:r>
        <w:t xml:space="preserve">Europska komisija potvrdila je Sporazum o partnerstvu 30. listopada 2014. godine čime je stavljen fokus na poticanje novih radnih mjesta i stvaranje snažnijeg i konkurentnijeg gospodarstva i kojim se opisuje na koji način će Republika Hrvatska pristupiti ispunjavanju zajedničkih ciljeva Strategije Europa 2020, te ujedno predstavlja okvir za korištenje Europskih strukturnih i investicijskih fondova u financijskom razdoblju 2014.-2020. Operativni program učinkoviti ljudski potencijali 2014. - 2020. koristi sredstva iz Europskog socijalnog fonda.  </w:t>
      </w:r>
    </w:p>
    <w:p w:rsidR="005C2091" w:rsidRDefault="00A86293">
      <w:r>
        <w:t xml:space="preserve">Cilj Operativnog program učinkoviti ljudski potencijali je ulaganje u institucionalne kapacitete te u učinkovitost javnih uprava i javnih usluga na nacionalnoj, regionalnoj i lokalnoj razini s ciljem reformiranja, boljeg uređivanja i dobrog upravljanja. Kroz navedeni program planirana su ulaganje u razvoj IT sustava u cilju poboljšanja kapaciteta i usluga Carinske uprave te ulaganje u jačanje znanja i vještina carinskih službenika kroz 17 projekata. </w:t>
      </w:r>
    </w:p>
    <w:p w:rsidR="005C2091" w:rsidRDefault="00A86293">
      <w:r>
        <w:t xml:space="preserve">Ukupna vrijednosti projekata iznosi cca 76 milijuna kn.  Za 7 projekata je projektna dokumentacija u visokoj fazi pripremljenosti. Omjer financiranja za sredstva iz ESF-a je 85% EU, a 15% RH.  </w:t>
      </w:r>
    </w:p>
    <w:p w:rsidR="005C2091" w:rsidRDefault="00A86293">
      <w:r>
        <w:t xml:space="preserve">Planirana sredstva u 2016. godini za projekte koji su započeli nisu utrošena sa EU i nacionalnog razdjela jer nije došlo do potpisivanja ugovora sa Upravljačkim tijelom zbog suspenzije Europske komisije. Suspenzija se odnosila na operacije/projekte namijenjene jačanju kapaciteta javne uprave te poboljšanju pružanja usluga javne uprave u iznosu od 88 milijuna eura.  </w:t>
      </w:r>
    </w:p>
    <w:p w:rsidR="005C2091" w:rsidRDefault="00A86293">
      <w:r>
        <w:t xml:space="preserve">Iznosi koji su utrošeni po projektima, financirani su do sada sa izvora 11 proračuna Carinske uprave te će iste biti nakon potpisivanja ugovora moguće refundirati direktno u državni proračun. </w:t>
      </w:r>
    </w:p>
    <w:p w:rsidR="005C2091" w:rsidRDefault="00A86293">
      <w:r>
        <w:t xml:space="preserve">Projekt OP ULJP 2014.-2020. - Tehnička pomoć, odobren je od strane Ministarstva rada i mirovinskog sustava u prosincu 2016. u iznosu od 598.125,00 kn za pripremu preostalih 10 projektnih prijedloga.  </w:t>
      </w:r>
    </w:p>
    <w:p w:rsidR="005C2091" w:rsidRDefault="00A86293">
      <w:r>
        <w:t>Donesena je Odluka o imenovanju upravljačkog projektnog tima i u tijeku je priprema javne nabave. Planirana sredstva nisu korištena u 2016. godini zbog kasnog odobrenja te su ista preraspodijeljena sa Izmjenama i dopunama Državnog proračuna Republike Hrvatske za 2016. godinu i projekcijama za 2017. i 2018. godinu objavljenim u Narodnim novinama broj 111 od 1.12.2016. godine ista će se koristiti u 2017. godini.</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08"/>
        <w:gridCol w:w="2506"/>
        <w:gridCol w:w="1009"/>
        <w:gridCol w:w="1015"/>
        <w:gridCol w:w="1137"/>
        <w:gridCol w:w="1015"/>
        <w:gridCol w:w="1016"/>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educiranih službenika kroz programe usavršavanja i osposobljavanja prilagođenih kompetencijskom okviru</w:t>
            </w:r>
          </w:p>
        </w:tc>
        <w:tc>
          <w:tcPr>
            <w:tcW w:w="2551" w:type="dxa"/>
          </w:tcPr>
          <w:p w:rsidR="005C2091" w:rsidRDefault="00A86293">
            <w:pPr>
              <w:pStyle w:val="CellColumn"/>
              <w:jc w:val="left"/>
            </w:pPr>
            <w:r>
              <w:rPr>
                <w:rFonts w:cs="Times New Roman"/>
              </w:rPr>
              <w:t>Ciljana edukacija u odnosu na potrebe i specifičnosti radnoga mjesta, a u skladu s jednoobraznim, europskim kompetencijskim okvirom carinskih službenika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1.200</w:t>
            </w:r>
          </w:p>
        </w:tc>
        <w:tc>
          <w:tcPr>
            <w:tcW w:w="1020" w:type="dxa"/>
          </w:tcPr>
          <w:p w:rsidR="005C2091" w:rsidRDefault="00A86293">
            <w:pPr>
              <w:pStyle w:val="CellColumn"/>
              <w:jc w:val="right"/>
            </w:pPr>
            <w:r>
              <w:rPr>
                <w:rFonts w:cs="Times New Roman"/>
              </w:rPr>
              <w:t>Izvješće o radu</w:t>
            </w:r>
          </w:p>
        </w:tc>
        <w:tc>
          <w:tcPr>
            <w:tcW w:w="1020" w:type="dxa"/>
          </w:tcPr>
          <w:p w:rsidR="005C2091" w:rsidRDefault="00A86293">
            <w:pPr>
              <w:pStyle w:val="CellColumn"/>
              <w:jc w:val="right"/>
            </w:pPr>
            <w:r>
              <w:rPr>
                <w:rFonts w:cs="Times New Roman"/>
              </w:rPr>
              <w:t>1.300</w:t>
            </w:r>
          </w:p>
        </w:tc>
        <w:tc>
          <w:tcPr>
            <w:tcW w:w="1020" w:type="dxa"/>
          </w:tcPr>
          <w:p w:rsidR="005C2091" w:rsidRDefault="00A86293">
            <w:pPr>
              <w:pStyle w:val="CellColumn"/>
              <w:jc w:val="right"/>
            </w:pPr>
            <w:r>
              <w:rPr>
                <w:rFonts w:cs="Times New Roman"/>
              </w:rPr>
              <w:t>4.801</w:t>
            </w:r>
          </w:p>
        </w:tc>
      </w:tr>
      <w:tr w:rsidR="005C2091">
        <w:trPr>
          <w:jc w:val="center"/>
        </w:trPr>
        <w:tc>
          <w:tcPr>
            <w:tcW w:w="2551" w:type="dxa"/>
          </w:tcPr>
          <w:p w:rsidR="005C2091" w:rsidRDefault="00A86293">
            <w:pPr>
              <w:pStyle w:val="CellColumn"/>
              <w:jc w:val="left"/>
            </w:pPr>
            <w:r>
              <w:rPr>
                <w:rFonts w:cs="Times New Roman"/>
              </w:rPr>
              <w:t>Stupanj realizacije MASP i e-carine</w:t>
            </w:r>
          </w:p>
        </w:tc>
        <w:tc>
          <w:tcPr>
            <w:tcW w:w="2551" w:type="dxa"/>
          </w:tcPr>
          <w:p w:rsidR="005C2091" w:rsidRDefault="00A86293">
            <w:pPr>
              <w:pStyle w:val="CellColumn"/>
              <w:jc w:val="left"/>
            </w:pPr>
            <w:r>
              <w:rPr>
                <w:rFonts w:cs="Times New Roman"/>
              </w:rPr>
              <w:t>Razvijeni i implementirani sustav u okviru eCarine,  MASP  i radnog programa Carinskog zakonika Unije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Sustav praćenja pokazatelja uspješnosti (KPI) opsan u internoj metodologiji Sektora za IS</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80</w:t>
            </w:r>
          </w:p>
        </w:tc>
      </w:tr>
    </w:tbl>
    <w:p w:rsidR="005C2091" w:rsidRDefault="005C2091">
      <w:pPr>
        <w:jc w:val="left"/>
      </w:pPr>
    </w:p>
    <w:p w:rsidR="005C2091" w:rsidRDefault="00A86293">
      <w:pPr>
        <w:pStyle w:val="Heading4"/>
      </w:pPr>
      <w:r>
        <w:lastRenderedPageBreak/>
        <w:t>K310009 MODERNIZACIJA I OPREMANJE CARINSKE UPRAVE</w:t>
      </w:r>
    </w:p>
    <w:tbl>
      <w:tblPr>
        <w:tblStyle w:val="StilTablice"/>
        <w:tblW w:w="10206" w:type="dxa"/>
        <w:jc w:val="center"/>
        <w:tblLook w:val="04A0" w:firstRow="1" w:lastRow="0" w:firstColumn="1" w:lastColumn="0" w:noHBand="0" w:noVBand="1"/>
      </w:tblPr>
      <w:tblGrid>
        <w:gridCol w:w="1737"/>
        <w:gridCol w:w="2010"/>
        <w:gridCol w:w="2011"/>
        <w:gridCol w:w="2011"/>
        <w:gridCol w:w="1217"/>
        <w:gridCol w:w="1220"/>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K310009-MODERNIZACIJA I OPREMANJE CARINSKE UPRAVE</w:t>
            </w:r>
          </w:p>
        </w:tc>
        <w:tc>
          <w:tcPr>
            <w:tcW w:w="2041" w:type="dxa"/>
          </w:tcPr>
          <w:p w:rsidR="005C2091" w:rsidRDefault="00A86293">
            <w:pPr>
              <w:pStyle w:val="CellColumn"/>
              <w:jc w:val="right"/>
            </w:pPr>
            <w:r>
              <w:rPr>
                <w:rFonts w:cs="Times New Roman"/>
              </w:rPr>
              <w:t>6.517.448</w:t>
            </w:r>
          </w:p>
        </w:tc>
        <w:tc>
          <w:tcPr>
            <w:tcW w:w="2041" w:type="dxa"/>
          </w:tcPr>
          <w:p w:rsidR="005C2091" w:rsidRDefault="00A86293">
            <w:pPr>
              <w:pStyle w:val="CellColumn"/>
              <w:jc w:val="right"/>
            </w:pPr>
            <w:r>
              <w:rPr>
                <w:rFonts w:cs="Times New Roman"/>
              </w:rPr>
              <w:t>4.688.000</w:t>
            </w:r>
          </w:p>
        </w:tc>
        <w:tc>
          <w:tcPr>
            <w:tcW w:w="2041" w:type="dxa"/>
          </w:tcPr>
          <w:p w:rsidR="005C2091" w:rsidRDefault="00A86293">
            <w:pPr>
              <w:pStyle w:val="CellColumn"/>
              <w:jc w:val="right"/>
            </w:pPr>
            <w:r>
              <w:rPr>
                <w:rFonts w:cs="Times New Roman"/>
              </w:rPr>
              <w:t>3.007.010</w:t>
            </w:r>
          </w:p>
        </w:tc>
        <w:tc>
          <w:tcPr>
            <w:tcW w:w="1224" w:type="dxa"/>
          </w:tcPr>
          <w:p w:rsidR="005C2091" w:rsidRDefault="00A86293">
            <w:pPr>
              <w:pStyle w:val="CellColumn"/>
              <w:jc w:val="right"/>
            </w:pPr>
            <w:r>
              <w:rPr>
                <w:rFonts w:cs="Times New Roman"/>
              </w:rPr>
              <w:t>64,1</w:t>
            </w:r>
          </w:p>
        </w:tc>
        <w:tc>
          <w:tcPr>
            <w:tcW w:w="1224" w:type="dxa"/>
          </w:tcPr>
          <w:p w:rsidR="005C2091" w:rsidRDefault="00A86293">
            <w:pPr>
              <w:pStyle w:val="CellColumn"/>
              <w:jc w:val="right"/>
            </w:pPr>
            <w:r>
              <w:rPr>
                <w:rFonts w:cs="Times New Roman"/>
              </w:rPr>
              <w:t>46,1</w:t>
            </w:r>
          </w:p>
        </w:tc>
      </w:tr>
    </w:tbl>
    <w:p w:rsidR="005C2091" w:rsidRDefault="005C2091">
      <w:pPr>
        <w:jc w:val="left"/>
      </w:pPr>
    </w:p>
    <w:p w:rsidR="005C2091" w:rsidRDefault="00A86293">
      <w:pPr>
        <w:pStyle w:val="Heading8"/>
        <w:jc w:val="left"/>
      </w:pPr>
      <w:r>
        <w:t>Zakonske i druge pravne osnove</w:t>
      </w:r>
    </w:p>
    <w:p w:rsidR="005C2091" w:rsidRDefault="00A86293">
      <w:r>
        <w:t>Kapitalni projekt K310009 Modernizacija i opremanje Carinske uprave ostvaruje se temeljem Zakona o carinskoj službi (Narodne novine br. 68/13 i 30/14).</w:t>
      </w:r>
    </w:p>
    <w:p w:rsidR="005C2091" w:rsidRDefault="00A86293">
      <w:pPr>
        <w:pStyle w:val="Heading8"/>
        <w:jc w:val="left"/>
      </w:pPr>
      <w:r>
        <w:t>Opis aktivnosti</w:t>
      </w:r>
    </w:p>
    <w:p w:rsidR="005C2091" w:rsidRDefault="00A86293">
      <w:r>
        <w:t xml:space="preserve">U svrhu modernizacije Carinska uprava kontinuirano poduzima aktivnosti prema jačanju vlastitih administrativnih i operativnih kapaciteta. Nabava te kontinuirana modernizacija suvremene  opreme važan je preduvjet za brže i efikasnije otkrivanje metoda i tehnika krijumčarenja kao i  olakšanje u provedbi kvalitetnog nadzora. </w:t>
      </w:r>
    </w:p>
    <w:p w:rsidR="005C2091" w:rsidRDefault="00A86293">
      <w:r>
        <w:t xml:space="preserve">S tog razloga te u svrhu učinkovitijeg prikupljanja proračunskih sredstava s aspekta carina, trošarina i drugih javnih davanja, djelotvornije zaštite financijskih i sigurnosnih interesa u cjelini, neophodno je nabavljanje suvremene opremu kojom se provode mjere iz sveukupne nadležnosti Carinske uprave. </w:t>
      </w:r>
    </w:p>
    <w:p w:rsidR="005C2091" w:rsidRDefault="00A86293">
      <w:r>
        <w:t xml:space="preserve">Ostvarenje i jačanje sigurnosne uloge carinske službe postiže se prvenstveno unaprjeđivanjem razina, taktika i tehnika provedbe carinskog nadzora u cilju sprječavanja, suzbijanja i otkrivanja svih oblika i modaliteta obavljanja gospodarskih aktivnosti ili transakcija na načine koji odstupaju od legitimnih normi poznatih kao siva ekonomija i s time povezanih pojava porezne evazije i drugih oblika kažnjivih ponašanja.  </w:t>
      </w:r>
    </w:p>
    <w:p w:rsidR="005C2091" w:rsidRDefault="00A86293">
      <w:r>
        <w:t xml:space="preserve">U tom kontekstu, u sklopu pojačanih mjera nadzora, tijekom 2016. godine provodile su se kontrole namjenske uporabe energenata na cjelokupnom carinskom području Republike Hrvatske te je obavljena kontrola pogonskog goriva u 23.505 spremnika. Pri tome su nepravilnosti u vezi namjenskog korištenja pogonskog goriva utvrđene u 771 slučaja (3%). U strukturi nepravilnosti po vrstama prijevoznih sredstava najviše su zastupljena osobna vozila sa 69%, zatim teretna vozila sa 19%, dok ostala vozila odnosno plovila te radni strojevi čine 11%. </w:t>
      </w:r>
    </w:p>
    <w:p w:rsidR="005C2091" w:rsidRDefault="00A86293">
      <w:r>
        <w:t xml:space="preserve">Nadalje, u okviru obavljanja nadležnih poslova, Sektor za carinski laboratorij zaprimio je tijekom 2016. godine u rad 1.156 uzoraka za laboratorijsku analizu pri čemu su 509 uzorka uzeta prilikom carinjenja robe, 586 tijekom vršenja nadzora, dok je 61 uzorak bio zaprimljen od vanjskih korisnika. Izdano je 585 analitičkih izvješća za uzorke uzete prilikom carinjenja robe, 586 analitičkih izvješća za uzorke uzete tijekom nadzora i 61 analitičko izvješće koje se odnosilo na uzorke vanjskih korisnika.  </w:t>
      </w:r>
    </w:p>
    <w:p w:rsidR="005C2091" w:rsidRDefault="00A86293">
      <w:r>
        <w:t xml:space="preserve">Za potrebe Sektor za carinski laboratorij izvršene su nabave: sigurnosnog rashladnog ormara za laboratorij, dijelova za uređaj HPL te mikroskop.  </w:t>
      </w:r>
    </w:p>
    <w:p w:rsidR="005C2091" w:rsidRDefault="00A86293">
      <w:r>
        <w:t xml:space="preserve">Za potrebe Sektora za nadzor nabavljena je oprema: za detekciju zračenja sa pripadajućim sustavom ustupljena od Ministarstva za energetiku Sjedinjenih Američkih Država. </w:t>
      </w:r>
    </w:p>
    <w:p w:rsidR="005C2091" w:rsidRDefault="00A86293">
      <w:r>
        <w:t xml:space="preserve">Ujedno je, u okviru osuvremenjivanja uredskog prostora, izvršena nabava uredskog namještaja - ergonomskih radnih stolica i ostale uredske opreme poput kamera, projektora i oprema za hlađenje – klima uređaja.  </w:t>
      </w:r>
    </w:p>
    <w:p w:rsidR="005C2091" w:rsidRDefault="00A86293">
      <w:r>
        <w:t xml:space="preserve">Dodatna ulaganja na građevinskim objektima iznosila su 2.008.951,00 kn, a radovi su se odnosili na sanacije poslovnih prostora koje koristi Carinska uprava, u svrhu poboljšanja kvalitete rada i poboljšanja uvjeta s obzirom na trenutnu funkcionalnosti objekata.                                                              </w:t>
      </w:r>
    </w:p>
    <w:p w:rsidR="005C2091" w:rsidRDefault="00A86293">
      <w:r>
        <w:t>Sredstva za navedeni kapitalni projekt planirana su u iznosu 4.688.000,00 kn dok izvršenje plana iznosi 3.007.010,03 kn odnosno 64,14%.</w:t>
      </w:r>
    </w:p>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50"/>
        <w:gridCol w:w="2551"/>
        <w:gridCol w:w="1020"/>
        <w:gridCol w:w="1020"/>
        <w:gridCol w:w="1025"/>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zapljena robe povezane sa zaštitom i sigurnosti tržišta i društva (oružja, droga, prekursora, robe kojom se povrijeđuje pravo intelektualnog vlasništva i dr.)</w:t>
            </w:r>
          </w:p>
        </w:tc>
        <w:tc>
          <w:tcPr>
            <w:tcW w:w="2551" w:type="dxa"/>
          </w:tcPr>
          <w:p w:rsidR="005C2091" w:rsidRDefault="00A86293">
            <w:pPr>
              <w:pStyle w:val="CellColumn"/>
              <w:jc w:val="left"/>
            </w:pPr>
            <w:r>
              <w:rPr>
                <w:rFonts w:cs="Times New Roman"/>
              </w:rPr>
              <w:t>Provedba mjera carinskog nadzora na cjelokupnom carinskom području, temeljem analize rizika koji su povezani sa robom kojom se ugrožava zaštita i sigurnost društava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1.250</w:t>
            </w:r>
          </w:p>
        </w:tc>
        <w:tc>
          <w:tcPr>
            <w:tcW w:w="1020" w:type="dxa"/>
          </w:tcPr>
          <w:p w:rsidR="005C2091" w:rsidRDefault="00A86293">
            <w:pPr>
              <w:pStyle w:val="CellColumn"/>
              <w:jc w:val="right"/>
            </w:pPr>
            <w:r>
              <w:rPr>
                <w:rFonts w:cs="Times New Roman"/>
              </w:rPr>
              <w:t>Izvješće o obavljenim kontrolama povezanim sa zaštitom i sigurnosti tržišta i društava</w:t>
            </w:r>
          </w:p>
        </w:tc>
        <w:tc>
          <w:tcPr>
            <w:tcW w:w="1020" w:type="dxa"/>
          </w:tcPr>
          <w:p w:rsidR="005C2091" w:rsidRDefault="00A86293">
            <w:pPr>
              <w:pStyle w:val="CellColumn"/>
              <w:jc w:val="right"/>
            </w:pPr>
            <w:r>
              <w:rPr>
                <w:rFonts w:cs="Times New Roman"/>
              </w:rPr>
              <w:t>1.300</w:t>
            </w:r>
          </w:p>
        </w:tc>
        <w:tc>
          <w:tcPr>
            <w:tcW w:w="1020" w:type="dxa"/>
          </w:tcPr>
          <w:p w:rsidR="005C2091" w:rsidRDefault="00A86293">
            <w:pPr>
              <w:pStyle w:val="CellColumn"/>
              <w:jc w:val="right"/>
            </w:pPr>
            <w:r>
              <w:rPr>
                <w:rFonts w:cs="Times New Roman"/>
              </w:rPr>
              <w:t>1.832</w:t>
            </w:r>
          </w:p>
        </w:tc>
      </w:tr>
    </w:tbl>
    <w:p w:rsidR="005C2091" w:rsidRDefault="005C2091">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5C2091" w:rsidRDefault="00A86293">
      <w:pPr>
        <w:pStyle w:val="Heading4"/>
      </w:pPr>
      <w:r>
        <w:t>K540030 IPA 2012 - NABAVA IT OPREME ZA CARINSKU UPRAVU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K540030-IPA 2012 - NABAVA IT OPREME ZA CARINSKU UPRAVU</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3.021.530</w:t>
            </w:r>
          </w:p>
        </w:tc>
        <w:tc>
          <w:tcPr>
            <w:tcW w:w="2041" w:type="dxa"/>
          </w:tcPr>
          <w:p w:rsidR="005C2091" w:rsidRDefault="00A86293">
            <w:pPr>
              <w:pStyle w:val="CellColumn"/>
              <w:jc w:val="right"/>
            </w:pPr>
            <w:r>
              <w:rPr>
                <w:rFonts w:cs="Times New Roman"/>
              </w:rPr>
              <w:t>2.987.764</w:t>
            </w:r>
          </w:p>
        </w:tc>
        <w:tc>
          <w:tcPr>
            <w:tcW w:w="1224" w:type="dxa"/>
          </w:tcPr>
          <w:p w:rsidR="005C2091" w:rsidRDefault="00A86293">
            <w:pPr>
              <w:pStyle w:val="CellColumn"/>
              <w:jc w:val="right"/>
            </w:pPr>
            <w:r>
              <w:rPr>
                <w:rFonts w:cs="Times New Roman"/>
              </w:rPr>
              <w:t>98,9</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Kapitalni projekt K540030 IPA 2012 – Nabava IT opreme za Carinsku upravu temelji se na Sporazumu o stabilizaciji i pridruživanju između Republike Hrvatske i Europskih zajendica i njihovih članica.</w:t>
      </w:r>
    </w:p>
    <w:p w:rsidR="005C2091" w:rsidRDefault="00A86293">
      <w:pPr>
        <w:pStyle w:val="Heading8"/>
        <w:jc w:val="left"/>
      </w:pPr>
      <w:r>
        <w:t>Opis aktivnosti</w:t>
      </w:r>
    </w:p>
    <w:p w:rsidR="005C2091" w:rsidRDefault="00A86293">
      <w:r>
        <w:t xml:space="preserve">Svrha projekta K540030 IPA 2012 Nabava IT opreme za Carinsku upravu je pružiti potporu Republici Hrvatskoj u pogledu učinkovitog i djelotvornog povezivanja carinskih  IT sustava  s IT sustavima EU s ciljem da se omogući kvalitetnu razmjenu informacija između Europske komisije te  ostalih država članica EU. </w:t>
      </w:r>
    </w:p>
    <w:p w:rsidR="005C2091" w:rsidRDefault="00A86293">
      <w:r>
        <w:t xml:space="preserve">Tijekom 2015. godine planirano je no prolongirano potpisivanje ugovora o nabavi IT opreme, a koji je sklopljen i realiziran u 2016. godine. Kroz projekt je nabavljena IT oprema za centralnu lokaciju i ukupno 120 računala. </w:t>
      </w:r>
    </w:p>
    <w:p w:rsidR="005C2091" w:rsidRDefault="00A86293">
      <w:r>
        <w:t>Sredstva za navedeni kapitalni projekt planirana su u iznosu 3.021.530,00 kn dok izvršenje plana iznosi 2.987.763,68 kn odnosno 98,88%. Pri tome se prema Ugovorom definiranim uvjetima plaćanje provodi na način da se 15% navedenog iznosa odnosi na nacionalno financiranje i 85% na financiranje iz Europske unije.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99"/>
        <w:gridCol w:w="2510"/>
        <w:gridCol w:w="1011"/>
        <w:gridCol w:w="1016"/>
        <w:gridCol w:w="1137"/>
        <w:gridCol w:w="1016"/>
        <w:gridCol w:w="1017"/>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Tehnološki razvijena oprema</w:t>
            </w:r>
          </w:p>
        </w:tc>
        <w:tc>
          <w:tcPr>
            <w:tcW w:w="2551" w:type="dxa"/>
          </w:tcPr>
          <w:p w:rsidR="005C2091" w:rsidRDefault="00A86293">
            <w:pPr>
              <w:pStyle w:val="CellColumn"/>
              <w:jc w:val="left"/>
            </w:pPr>
            <w:r>
              <w:rPr>
                <w:rFonts w:cs="Times New Roman"/>
              </w:rPr>
              <w:t>Pravodobna obnova korištenih licenci, upravljanje mrežnom infrastrukturom i usklađivanje mrežnih resursa s potrebama poslovanja te stalno praćenje ICT razvoja i zanavljanje opreme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60</w:t>
            </w:r>
          </w:p>
        </w:tc>
        <w:tc>
          <w:tcPr>
            <w:tcW w:w="1020" w:type="dxa"/>
          </w:tcPr>
          <w:p w:rsidR="005C2091" w:rsidRDefault="00A86293">
            <w:pPr>
              <w:pStyle w:val="CellColumn"/>
              <w:jc w:val="right"/>
            </w:pPr>
            <w:r>
              <w:rPr>
                <w:rFonts w:cs="Times New Roman"/>
              </w:rPr>
              <w:t>Sustav praćenja pokazatelja uspješnosti (KPI) opsan u internoj metodologiji Sektora za IS</w:t>
            </w:r>
          </w:p>
        </w:tc>
        <w:tc>
          <w:tcPr>
            <w:tcW w:w="1020" w:type="dxa"/>
          </w:tcPr>
          <w:p w:rsidR="005C2091" w:rsidRDefault="00A86293">
            <w:pPr>
              <w:pStyle w:val="CellColumn"/>
              <w:jc w:val="right"/>
            </w:pPr>
            <w:r>
              <w:rPr>
                <w:rFonts w:cs="Times New Roman"/>
              </w:rPr>
              <w:t>65</w:t>
            </w:r>
          </w:p>
        </w:tc>
        <w:tc>
          <w:tcPr>
            <w:tcW w:w="1020" w:type="dxa"/>
          </w:tcPr>
          <w:p w:rsidR="005C2091" w:rsidRDefault="00A86293">
            <w:pPr>
              <w:pStyle w:val="CellColumn"/>
              <w:jc w:val="right"/>
            </w:pPr>
            <w:r>
              <w:rPr>
                <w:rFonts w:cs="Times New Roman"/>
              </w:rPr>
              <w:t>63</w:t>
            </w:r>
          </w:p>
        </w:tc>
      </w:tr>
    </w:tbl>
    <w:p w:rsidR="005C2091" w:rsidRDefault="005C2091">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5C2091" w:rsidRDefault="00A86293">
      <w:pPr>
        <w:pStyle w:val="Heading4"/>
      </w:pPr>
      <w:r>
        <w:t>K540034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K540034-OBNOVA VOZNOG PARKA</w:t>
            </w:r>
          </w:p>
        </w:tc>
        <w:tc>
          <w:tcPr>
            <w:tcW w:w="2041" w:type="dxa"/>
          </w:tcPr>
          <w:p w:rsidR="005C2091" w:rsidRDefault="00A86293">
            <w:pPr>
              <w:pStyle w:val="CellColumn"/>
              <w:jc w:val="right"/>
            </w:pPr>
            <w:r>
              <w:rPr>
                <w:rFonts w:cs="Times New Roman"/>
              </w:rPr>
              <w:t>646.489</w:t>
            </w:r>
          </w:p>
        </w:tc>
        <w:tc>
          <w:tcPr>
            <w:tcW w:w="2041" w:type="dxa"/>
          </w:tcPr>
          <w:p w:rsidR="005C2091" w:rsidRDefault="00A86293">
            <w:pPr>
              <w:pStyle w:val="CellColumn"/>
              <w:jc w:val="right"/>
            </w:pPr>
            <w:r>
              <w:rPr>
                <w:rFonts w:cs="Times New Roman"/>
              </w:rPr>
              <w:t>630.000</w:t>
            </w:r>
          </w:p>
        </w:tc>
        <w:tc>
          <w:tcPr>
            <w:tcW w:w="2041" w:type="dxa"/>
          </w:tcPr>
          <w:p w:rsidR="005C2091" w:rsidRDefault="00A86293">
            <w:pPr>
              <w:pStyle w:val="CellColumn"/>
              <w:jc w:val="right"/>
            </w:pPr>
            <w:r>
              <w:rPr>
                <w:rFonts w:cs="Times New Roman"/>
              </w:rPr>
              <w:t>553.024</w:t>
            </w:r>
          </w:p>
        </w:tc>
        <w:tc>
          <w:tcPr>
            <w:tcW w:w="1224" w:type="dxa"/>
          </w:tcPr>
          <w:p w:rsidR="005C2091" w:rsidRDefault="00A86293">
            <w:pPr>
              <w:pStyle w:val="CellColumn"/>
              <w:jc w:val="right"/>
            </w:pPr>
            <w:r>
              <w:rPr>
                <w:rFonts w:cs="Times New Roman"/>
              </w:rPr>
              <w:t>87,8</w:t>
            </w:r>
          </w:p>
        </w:tc>
        <w:tc>
          <w:tcPr>
            <w:tcW w:w="1224" w:type="dxa"/>
          </w:tcPr>
          <w:p w:rsidR="005C2091" w:rsidRDefault="00A86293">
            <w:pPr>
              <w:pStyle w:val="CellColumn"/>
              <w:jc w:val="right"/>
            </w:pPr>
            <w:r>
              <w:rPr>
                <w:rFonts w:cs="Times New Roman"/>
              </w:rPr>
              <w:t>85,5</w:t>
            </w:r>
          </w:p>
        </w:tc>
      </w:tr>
    </w:tbl>
    <w:p w:rsidR="005C2091" w:rsidRDefault="005C2091">
      <w:pPr>
        <w:jc w:val="left"/>
      </w:pPr>
    </w:p>
    <w:p w:rsidR="005C2091" w:rsidRDefault="00A86293">
      <w:pPr>
        <w:pStyle w:val="Heading8"/>
        <w:jc w:val="left"/>
      </w:pPr>
      <w:r>
        <w:t>Zakonske i druge pravne osnove</w:t>
      </w:r>
    </w:p>
    <w:p w:rsidR="005C2091" w:rsidRDefault="00A86293">
      <w:r>
        <w:t>Kapitalni projekt K540034 Obnova voznog parka ostvaruje se temeljem Zakona o carinskoj službi (Narodne novine br. 68/13 i 30/14).</w:t>
      </w:r>
    </w:p>
    <w:p w:rsidR="005C2091" w:rsidRDefault="00A86293">
      <w:pPr>
        <w:pStyle w:val="Heading8"/>
        <w:jc w:val="left"/>
      </w:pPr>
      <w:r>
        <w:t>Opis aktivnosti</w:t>
      </w:r>
    </w:p>
    <w:p w:rsidR="005C2091" w:rsidRDefault="00A86293">
      <w:r>
        <w:t xml:space="preserve">Kapitalnim projektom K540034 Obnova voznog parka planirana su sredstva za nabavu službenih vozila u svrhu obnove voznog parka, zbog starosti i velikog broja prijeđenih kilometara postojećih službenih vozila kao i novih poslovnih zahtjeva nastalih po pristupanju Republike Hrvatske Europskoj uniji. </w:t>
      </w:r>
    </w:p>
    <w:p w:rsidR="005C2091" w:rsidRDefault="00A86293">
      <w:r>
        <w:t xml:space="preserve">Zbog starosnog vijeka i velikog broja prijeđenih kilometara postojećih službenih vozila, te s obzirom na dislociranost ustrojstvenih jedinica, potkraj 2014. i početkom 2015. godine nabavljana su  službenih vozila putem operativnog leasinga te se sa realizacijom otplate nastavilo tijekom 2016. godine za 22 vozila.  </w:t>
      </w:r>
    </w:p>
    <w:p w:rsidR="005C2091" w:rsidRDefault="00A86293">
      <w:r>
        <w:t>Na kapitalnom projektu K540034 Obnova voznog parka planirana su sredstva u iznosu 630.000,00 kn a izvršenje iznosi 553.023,79 kn odnosno 87,78% od planiranog iznosa.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Broj provedenih inspekcijskih nadzora i provjera</w:t>
            </w:r>
          </w:p>
        </w:tc>
        <w:tc>
          <w:tcPr>
            <w:tcW w:w="2551" w:type="dxa"/>
          </w:tcPr>
          <w:p w:rsidR="005C2091" w:rsidRDefault="00A86293">
            <w:pPr>
              <w:pStyle w:val="CellColumn"/>
              <w:jc w:val="left"/>
            </w:pPr>
            <w:r>
              <w:rPr>
                <w:rFonts w:cs="Times New Roman"/>
              </w:rPr>
              <w:t>Otkrivanje i sprječavanje nedozvoljene i protuzakonite trgovine te sprječavanja obavljanja neregistrirane djelatnosti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8.000</w:t>
            </w:r>
          </w:p>
        </w:tc>
        <w:tc>
          <w:tcPr>
            <w:tcW w:w="1020" w:type="dxa"/>
          </w:tcPr>
          <w:p w:rsidR="005C2091" w:rsidRDefault="00A86293">
            <w:pPr>
              <w:pStyle w:val="CellColumn"/>
              <w:jc w:val="right"/>
            </w:pPr>
            <w:r>
              <w:rPr>
                <w:rFonts w:cs="Times New Roman"/>
              </w:rPr>
              <w:t>Izvješće o radu Carinske uprave</w:t>
            </w:r>
          </w:p>
        </w:tc>
        <w:tc>
          <w:tcPr>
            <w:tcW w:w="1020" w:type="dxa"/>
          </w:tcPr>
          <w:p w:rsidR="005C2091" w:rsidRDefault="00A86293">
            <w:pPr>
              <w:pStyle w:val="CellColumn"/>
              <w:jc w:val="right"/>
            </w:pPr>
            <w:r>
              <w:rPr>
                <w:rFonts w:cs="Times New Roman"/>
              </w:rPr>
              <w:t>8.050</w:t>
            </w:r>
          </w:p>
        </w:tc>
        <w:tc>
          <w:tcPr>
            <w:tcW w:w="1020" w:type="dxa"/>
          </w:tcPr>
          <w:p w:rsidR="005C2091" w:rsidRDefault="00A86293">
            <w:pPr>
              <w:pStyle w:val="CellColumn"/>
              <w:jc w:val="right"/>
            </w:pPr>
            <w:r>
              <w:rPr>
                <w:rFonts w:cs="Times New Roman"/>
              </w:rPr>
              <w:t>17.367</w:t>
            </w:r>
          </w:p>
        </w:tc>
      </w:tr>
    </w:tbl>
    <w:p w:rsidR="005C2091" w:rsidRDefault="005C2091">
      <w:pPr>
        <w:jc w:val="left"/>
      </w:pPr>
    </w:p>
    <w:p w:rsidR="005C2091" w:rsidRDefault="00A86293">
      <w:pPr>
        <w:pStyle w:val="Heading4"/>
      </w:pPr>
      <w:r>
        <w:t>T540037 TAIEX - TEHNIČKA POMOĆ</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T540037-TAIEX - TEHNIČKA POMOĆ</w:t>
            </w:r>
          </w:p>
        </w:tc>
        <w:tc>
          <w:tcPr>
            <w:tcW w:w="2041" w:type="dxa"/>
          </w:tcPr>
          <w:p w:rsidR="005C2091" w:rsidRDefault="00A86293">
            <w:pPr>
              <w:pStyle w:val="CellColumn"/>
              <w:jc w:val="right"/>
            </w:pPr>
            <w:r>
              <w:rPr>
                <w:rFonts w:cs="Times New Roman"/>
              </w:rPr>
              <w:t>2.113</w:t>
            </w:r>
          </w:p>
        </w:tc>
        <w:tc>
          <w:tcPr>
            <w:tcW w:w="2041" w:type="dxa"/>
          </w:tcPr>
          <w:p w:rsidR="005C2091" w:rsidRDefault="00A86293">
            <w:pPr>
              <w:pStyle w:val="CellColumn"/>
              <w:jc w:val="right"/>
            </w:pPr>
            <w:r>
              <w:rPr>
                <w:rFonts w:cs="Times New Roman"/>
              </w:rPr>
              <w:t>5.000</w:t>
            </w:r>
          </w:p>
        </w:tc>
        <w:tc>
          <w:tcPr>
            <w:tcW w:w="2041" w:type="dxa"/>
          </w:tcPr>
          <w:p w:rsidR="005C2091" w:rsidRDefault="00A86293">
            <w:pPr>
              <w:pStyle w:val="CellColumn"/>
              <w:jc w:val="right"/>
            </w:pPr>
            <w:r>
              <w:rPr>
                <w:rFonts w:cs="Times New Roman"/>
              </w:rPr>
              <w:t>2.017</w:t>
            </w:r>
          </w:p>
        </w:tc>
        <w:tc>
          <w:tcPr>
            <w:tcW w:w="1224" w:type="dxa"/>
          </w:tcPr>
          <w:p w:rsidR="005C2091" w:rsidRDefault="00A86293">
            <w:pPr>
              <w:pStyle w:val="CellColumn"/>
              <w:jc w:val="right"/>
            </w:pPr>
            <w:r>
              <w:rPr>
                <w:rFonts w:cs="Times New Roman"/>
              </w:rPr>
              <w:t>40,3</w:t>
            </w:r>
          </w:p>
        </w:tc>
        <w:tc>
          <w:tcPr>
            <w:tcW w:w="1224" w:type="dxa"/>
          </w:tcPr>
          <w:p w:rsidR="005C2091" w:rsidRDefault="00A86293">
            <w:pPr>
              <w:pStyle w:val="CellColumn"/>
              <w:jc w:val="right"/>
            </w:pPr>
            <w:r>
              <w:rPr>
                <w:rFonts w:cs="Times New Roman"/>
              </w:rPr>
              <w:t>95,5</w:t>
            </w:r>
          </w:p>
        </w:tc>
      </w:tr>
    </w:tbl>
    <w:p w:rsidR="005C2091" w:rsidRDefault="005C2091">
      <w:pPr>
        <w:jc w:val="left"/>
      </w:pPr>
    </w:p>
    <w:p w:rsidR="005C2091" w:rsidRDefault="00A86293">
      <w:pPr>
        <w:pStyle w:val="Heading8"/>
        <w:jc w:val="left"/>
      </w:pPr>
      <w:r>
        <w:t>Zakonske i druge pravne osnove</w:t>
      </w:r>
    </w:p>
    <w:p w:rsidR="005C2091" w:rsidRDefault="00A86293">
      <w:r>
        <w:t>Tekući projekt T540037 Taiex – tehnička pomoć ostvaruje se temeljem Uredbe Vijeća (EZ-a) br. 1085/2006 od 17. srpnja 2006. kojom se uspostavlja Instrument pretpristupne pomoći (IPA), sukladno čl. 1.</w:t>
      </w:r>
    </w:p>
    <w:p w:rsidR="005C2091" w:rsidRDefault="00A86293">
      <w:pPr>
        <w:pStyle w:val="Heading8"/>
        <w:jc w:val="left"/>
      </w:pPr>
      <w:r>
        <w:t>Opis aktivnosti</w:t>
      </w:r>
    </w:p>
    <w:p w:rsidR="005C2091" w:rsidRDefault="00A86293">
      <w:r>
        <w:t xml:space="preserve">Projekt TAIEX – TEHNIČKA POMOĆ predstavlja tehničku pomoć Europske komisije koja podržava zemlje korisnice u upoznavanju zakonodavstva EU-a i njezinoj primjeni. Ministarstvu financija  </w:t>
      </w:r>
    </w:p>
    <w:p w:rsidR="005C2091" w:rsidRDefault="00A86293">
      <w:r>
        <w:t xml:space="preserve">Na projektu T540037 Taiex – tehnička pomoć planirana su sredstva u iznosu 5.000,00 kn, a izvršenje iznosi 2.017,36 kn. </w:t>
      </w:r>
    </w:p>
    <w:p w:rsidR="005C2091" w:rsidRDefault="00A86293">
      <w:r>
        <w:t>Dodijeljena sredstva namijenjena su za pokriće troškova organizacije studijskih posjeta. Tijekom 2016. godine održano je 6 TAIEX ekspert misija, te su s tog osnova dodijeljena sredstva utrošena u svrhu podmirivanja rashoda za njihovu organizaciju.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Pružena tehnička pomoć trećim zemljama</w:t>
            </w:r>
          </w:p>
        </w:tc>
        <w:tc>
          <w:tcPr>
            <w:tcW w:w="2551" w:type="dxa"/>
          </w:tcPr>
          <w:p w:rsidR="005C2091" w:rsidRDefault="00A86293">
            <w:pPr>
              <w:pStyle w:val="CellColumn"/>
              <w:jc w:val="left"/>
            </w:pPr>
            <w:r>
              <w:rPr>
                <w:rFonts w:cs="Times New Roman"/>
              </w:rPr>
              <w:t>Sudjelovanje CURH-a u programima tehničke pomoći (TAIEX, twinning programi i dr.)</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Podaci Sektora iz 2015.</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6</w:t>
            </w:r>
          </w:p>
        </w:tc>
      </w:tr>
    </w:tbl>
    <w:p w:rsidR="005C2091" w:rsidRDefault="005C2091">
      <w:pPr>
        <w:jc w:val="left"/>
      </w:pPr>
    </w:p>
    <w:p w:rsidR="005C2091" w:rsidRDefault="00A86293">
      <w:pPr>
        <w:pStyle w:val="Heading4"/>
      </w:pPr>
      <w:r>
        <w:t>T540039 DALJNJE USKLAĐIVANJE CARINSKE UPRAVE S PRAVNOM STEČEVINOM EU U PODRUČJU OBAVLJANJA INSPEKCIJSKIH NADZORA (PRIJELAZNI INSTRUMENT)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T540039-DALJNJE USKLAĐIVANJE CARINSKE UPRAVE S PRAVNOM STEČEVINOM EU U PODRUČJU OBAVLJANJA INSPEKCIJSKIH NADZORA (PRIJELAZNI INSTRUMENT)</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3.890.000</w:t>
            </w:r>
          </w:p>
        </w:tc>
        <w:tc>
          <w:tcPr>
            <w:tcW w:w="2041" w:type="dxa"/>
          </w:tcPr>
          <w:p w:rsidR="005C2091" w:rsidRDefault="00A86293">
            <w:pPr>
              <w:pStyle w:val="CellColumn"/>
              <w:jc w:val="right"/>
            </w:pPr>
            <w:r>
              <w:rPr>
                <w:rFonts w:cs="Times New Roman"/>
              </w:rPr>
              <w:t>3.833.122</w:t>
            </w:r>
          </w:p>
        </w:tc>
        <w:tc>
          <w:tcPr>
            <w:tcW w:w="1224" w:type="dxa"/>
          </w:tcPr>
          <w:p w:rsidR="005C2091" w:rsidRDefault="00A86293">
            <w:pPr>
              <w:pStyle w:val="CellColumn"/>
              <w:jc w:val="right"/>
            </w:pPr>
            <w:r>
              <w:rPr>
                <w:rFonts w:cs="Times New Roman"/>
              </w:rPr>
              <w:t>98,5</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Tekući projekt T540039 Daljnje usklađivanje Carinske uprave s pravnom stečevinom EU u području obavljanja inspekcijskih nadzora ostvaruje se temeljem Operativnog sporazuma kojim se utvrđuje podjela dužnosti i odgovornosti između dužnosnika ovlaštenoga za ovjeravanje programa (DOOP) i voditelja programa (VP) u okviru provedbe IPA programa – komponenta I. (Pomoć u tranziciji i jačanju institucija) i Prijelaznog instrumenta (Transition Facility), čl. 7. Potpisan 22.10.2014. između DOOP i VP.</w:t>
      </w:r>
    </w:p>
    <w:p w:rsidR="005C2091" w:rsidRDefault="00A86293">
      <w:pPr>
        <w:pStyle w:val="Heading8"/>
        <w:jc w:val="left"/>
      </w:pPr>
      <w:r>
        <w:t>Opis aktivnosti</w:t>
      </w:r>
    </w:p>
    <w:p w:rsidR="005C2091" w:rsidRDefault="00A86293">
      <w:r>
        <w:t xml:space="preserve">Tekući projekt Daljnje usklađivanje Carinske uprave s pravnom stečevinom EU u području obavljanja inspekcijskih nadzora kao privremeni instrument usmjeren je na je pomoć Europske unije Republici Hrvatskoj u financiranju mjera za razvoj i jačanje nacionalnih i administrativnih sposobnosti za provedbu i primjenu zakonodavstva EU u prvim godinama članstva.  </w:t>
      </w:r>
    </w:p>
    <w:p w:rsidR="005C2091" w:rsidRDefault="00A86293">
      <w:r>
        <w:t xml:space="preserve">Kroz navedeni projekt osigurava se pomoć Carinskoj upravi u nastojanju da postupa u potpunosti u skladu s novim zahtjevima pravne stečevine EU i to primjenom modernih i dosljednih procedura nadzora u carinskim i poreznim službama, čime se omogućuje povećanje prihoda i poboljšanje suradnje između gospodarstvenika, Carinske uprave i Porezne uprave.  </w:t>
      </w:r>
    </w:p>
    <w:p w:rsidR="005C2091" w:rsidRDefault="00A86293">
      <w:r>
        <w:t>27. listopada 2016. godine potpisan je Ugovor za navedeni projekt o čemu je izdana Obavijest o potpisu ugovora 16. prosinca 2016. godine. Prvo plaćanje izvršeno je 23.12.2016. u iznosu 3.833.122,03 kn, od čega 383.600,49 kn iz nacionalnog financiranja i 3.449.521,54 kn iz EU financiranja. Provedba projekta i aktivnosti po navedenom ugovoru nije bilo u 2016. već je početak provedbe započeo u siječnju 2017. godine.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utvrđenih nepravilnosti (podnešenih optužnih prijedloga, prekršajnih naloga i kaznenih prijava)</w:t>
            </w:r>
          </w:p>
        </w:tc>
        <w:tc>
          <w:tcPr>
            <w:tcW w:w="2551" w:type="dxa"/>
          </w:tcPr>
          <w:p w:rsidR="005C2091" w:rsidRDefault="00A86293">
            <w:pPr>
              <w:pStyle w:val="CellColumn"/>
              <w:jc w:val="left"/>
            </w:pPr>
            <w:r>
              <w:rPr>
                <w:rFonts w:cs="Times New Roman"/>
              </w:rPr>
              <w:t>Provedba mjera carinskog nadzora na cjelokupnom carinskom području protiv svih oblika prekograničnog kriminala, sive ekomnomije kao i neleglnog prometa roba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2.050</w:t>
            </w:r>
          </w:p>
        </w:tc>
        <w:tc>
          <w:tcPr>
            <w:tcW w:w="1020" w:type="dxa"/>
          </w:tcPr>
          <w:p w:rsidR="005C2091" w:rsidRDefault="00A86293">
            <w:pPr>
              <w:pStyle w:val="CellColumn"/>
              <w:jc w:val="right"/>
            </w:pPr>
            <w:r>
              <w:rPr>
                <w:rFonts w:cs="Times New Roman"/>
              </w:rPr>
              <w:t>Izvješće o rezultatima provedenih mjera nadzora</w:t>
            </w:r>
          </w:p>
        </w:tc>
        <w:tc>
          <w:tcPr>
            <w:tcW w:w="1020" w:type="dxa"/>
          </w:tcPr>
          <w:p w:rsidR="005C2091" w:rsidRDefault="00A86293">
            <w:pPr>
              <w:pStyle w:val="CellColumn"/>
              <w:jc w:val="right"/>
            </w:pPr>
            <w:r>
              <w:rPr>
                <w:rFonts w:cs="Times New Roman"/>
              </w:rPr>
              <w:t>2.020</w:t>
            </w:r>
          </w:p>
        </w:tc>
        <w:tc>
          <w:tcPr>
            <w:tcW w:w="1020" w:type="dxa"/>
          </w:tcPr>
          <w:p w:rsidR="005C2091" w:rsidRDefault="00A86293">
            <w:pPr>
              <w:pStyle w:val="CellColumn"/>
              <w:jc w:val="right"/>
            </w:pPr>
            <w:r>
              <w:rPr>
                <w:rFonts w:cs="Times New Roman"/>
              </w:rPr>
              <w:t>3.997</w:t>
            </w:r>
          </w:p>
        </w:tc>
      </w:tr>
    </w:tbl>
    <w:p w:rsidR="005C2091" w:rsidRDefault="005C2091">
      <w:pPr>
        <w:jc w:val="left"/>
      </w:pPr>
    </w:p>
    <w:p w:rsidR="005C2091" w:rsidRDefault="00A86293">
      <w:pPr>
        <w:pStyle w:val="Heading2"/>
      </w:pPr>
      <w:r>
        <w:t>02515 Porezna uprava</w:t>
      </w:r>
    </w:p>
    <w:p w:rsidR="005C2091" w:rsidRDefault="00A86293">
      <w:r>
        <w:t xml:space="preserve">Ministarstvo financija, Porezna uprava je upravna organizacija u sastavu Ministarstva financija Republike Hrvatske čija je temeljna zadaća primjena i nadzor primjene poreznih propisi i propisa o prikupljanju doprinos na načelima jednakosti i pravednosti.  </w:t>
      </w:r>
    </w:p>
    <w:p w:rsidR="005C2091" w:rsidRDefault="00A86293">
      <w:r>
        <w:t xml:space="preserve">Ministarstvo financija, Porezna uprava obavlja upravne i druge poslove koji se odnose na: </w:t>
      </w:r>
    </w:p>
    <w:p w:rsidR="005C2091" w:rsidRDefault="00A86293">
      <w:r>
        <w:lastRenderedPageBreak/>
        <w:t xml:space="preserve">- pripremi i izradu nacrta prijedloga zakona i drugih propisa radi unapređenja poreznog sustava i učinkovitijeg ubiranja poreza i doprinosa,  </w:t>
      </w:r>
    </w:p>
    <w:p w:rsidR="005C2091" w:rsidRDefault="00A86293">
      <w:r>
        <w:t xml:space="preserve">- predlaganje promjene porezne politike, poreznih i drugih propisa,  </w:t>
      </w:r>
    </w:p>
    <w:p w:rsidR="005C2091" w:rsidRDefault="00A86293">
      <w:r>
        <w:t xml:space="preserve">- prikupljanje i obrađivanje podataka o utvrđenim i naplaćenim porezima i doprinosima,  </w:t>
      </w:r>
    </w:p>
    <w:p w:rsidR="005C2091" w:rsidRDefault="00A86293">
      <w:r>
        <w:t xml:space="preserve">- zaprimanje poreznih prijava, bilježenje poreznih obveza u poreznom knjigovodstvu, </w:t>
      </w:r>
    </w:p>
    <w:p w:rsidR="005C2091" w:rsidRDefault="00A86293">
      <w:r>
        <w:t xml:space="preserve">- utvrđivanje pravodobnosti, zakonitosti i pravilnosti poreznih prijava, </w:t>
      </w:r>
    </w:p>
    <w:p w:rsidR="005C2091" w:rsidRDefault="00A86293">
      <w:r>
        <w:t xml:space="preserve">- utvrđivanje porezne osnovice i porezne obveze, </w:t>
      </w:r>
    </w:p>
    <w:p w:rsidR="005C2091" w:rsidRDefault="00A86293">
      <w:r>
        <w:t xml:space="preserve">- obavljanje poslova naplate i povrata poreznih prihoda i doprinosa, </w:t>
      </w:r>
    </w:p>
    <w:p w:rsidR="005C2091" w:rsidRDefault="00A86293">
      <w:r>
        <w:t xml:space="preserve">- obavljanje poslova provođenje ovrhe radi naplate poreza, </w:t>
      </w:r>
    </w:p>
    <w:p w:rsidR="005C2091" w:rsidRDefault="00A86293">
      <w:r>
        <w:t xml:space="preserve">- obavljanje poslova provođenje ovrhe radi naplate i drugih javnih davanja po zahtjevima tijela državne uprave, </w:t>
      </w:r>
    </w:p>
    <w:p w:rsidR="005C2091" w:rsidRDefault="00A86293">
      <w:r>
        <w:t xml:space="preserve">- obavljanje poslova provođenja inspekcijskog nadzora, </w:t>
      </w:r>
    </w:p>
    <w:p w:rsidR="005C2091" w:rsidRDefault="00A86293">
      <w:r>
        <w:t xml:space="preserve">- podnošenje prijave za pokretanje prekršajnog, prijestupovnog i kaznenog postupka, </w:t>
      </w:r>
    </w:p>
    <w:p w:rsidR="005C2091" w:rsidRDefault="00A86293">
      <w:r>
        <w:t xml:space="preserve">- vođenje prvostupanjskog prekršajnog postupka zbog povrede poreznih propisa, </w:t>
      </w:r>
    </w:p>
    <w:p w:rsidR="005C2091" w:rsidRDefault="00A86293">
      <w:r>
        <w:t xml:space="preserve">- davanje stručnog mišljenja i objašnjenja u pojedinačnim predmetima o primjeni propisa iz djelokruga Porezne uprave, </w:t>
      </w:r>
    </w:p>
    <w:p w:rsidR="005C2091" w:rsidRDefault="00A86293">
      <w:r>
        <w:t xml:space="preserve">- sudjeluje u radu institucija Europske unije radi provođenja zajedničke porezne politike, </w:t>
      </w:r>
    </w:p>
    <w:p w:rsidR="005C2091" w:rsidRDefault="00A86293">
      <w:r>
        <w:t xml:space="preserve">- obavlja poslove administrativne suradnje s državama članicama Europske unije i trećim državama </w:t>
      </w:r>
    </w:p>
    <w:p w:rsidR="005C2091" w:rsidRDefault="00A86293">
      <w:r>
        <w:t xml:space="preserve">- sudjeluje u pripremi i sklapanju međunarodnih ugovora te surađuje s međunarodnim organizacijama. </w:t>
      </w:r>
    </w:p>
    <w:p w:rsidR="005C2091" w:rsidRDefault="00A86293">
      <w:r>
        <w:t xml:space="preserve">Ustrojstvo i rad Ministarstva financija, Porezne uprave određen je Zakonom o Poreznoj upravi. </w:t>
      </w:r>
    </w:p>
    <w:p w:rsidR="005C2091" w:rsidRDefault="00A86293">
      <w:r>
        <w:t xml:space="preserve">Ukupni rashodi Ministarstva financija, Porezne uprave za 2016. godinu su planirani u iznosu od 841.320.833 kuna. Od ukupnog iznosa planiranih rashoda, iz izvora 1 - Opći prihodi i primici planirano je 784.777.961 kuna, iz izvora 31 planirano je 1.000.000 kuna, iz izvora 43 planirano je 40.000.000 kuna, iz izvora 5 planirano je 15.542.872 kuna. </w:t>
      </w:r>
    </w:p>
    <w:p w:rsidR="005C2091" w:rsidRDefault="00A86293">
      <w:r>
        <w:t xml:space="preserve"> </w:t>
      </w:r>
    </w:p>
    <w:p w:rsidR="005C2091" w:rsidRDefault="00A86293">
      <w:r>
        <w:t>Ukupno izvršenje Ministarstva financija, Porezne uprave za 2016. godinu iznosilo je 789.621.000 kuna. Od ukupno iznosa planiranih rashoda, sa izvora 1 - Opći prihodi i primici utrošeno je 760.035.215 kuna, sa izvora 43 utrošeno je 21.980.617 kuna, sa izvora 5 utrošeno je 7.605.168 kuna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02515-Porezna uprava</w:t>
            </w:r>
          </w:p>
        </w:tc>
        <w:tc>
          <w:tcPr>
            <w:tcW w:w="2041" w:type="dxa"/>
            <w:vAlign w:val="top"/>
          </w:tcPr>
          <w:p w:rsidR="005C2091" w:rsidRDefault="00A86293">
            <w:pPr>
              <w:pStyle w:val="CellColumn"/>
              <w:jc w:val="right"/>
            </w:pPr>
            <w:r>
              <w:rPr>
                <w:rFonts w:cs="Times New Roman"/>
              </w:rPr>
              <w:t>791.880.653</w:t>
            </w:r>
          </w:p>
        </w:tc>
        <w:tc>
          <w:tcPr>
            <w:tcW w:w="2041" w:type="dxa"/>
            <w:vAlign w:val="top"/>
          </w:tcPr>
          <w:p w:rsidR="005C2091" w:rsidRDefault="00A86293">
            <w:pPr>
              <w:pStyle w:val="CellColumn"/>
              <w:jc w:val="right"/>
            </w:pPr>
            <w:r>
              <w:rPr>
                <w:rFonts w:cs="Times New Roman"/>
              </w:rPr>
              <w:t>841.320.833</w:t>
            </w:r>
          </w:p>
        </w:tc>
        <w:tc>
          <w:tcPr>
            <w:tcW w:w="2041" w:type="dxa"/>
            <w:vAlign w:val="top"/>
          </w:tcPr>
          <w:p w:rsidR="005C2091" w:rsidRDefault="00A86293">
            <w:pPr>
              <w:pStyle w:val="CellColumn"/>
              <w:jc w:val="right"/>
            </w:pPr>
            <w:r>
              <w:rPr>
                <w:rFonts w:cs="Times New Roman"/>
              </w:rPr>
              <w:t>789.621.001</w:t>
            </w:r>
          </w:p>
        </w:tc>
        <w:tc>
          <w:tcPr>
            <w:tcW w:w="1224" w:type="dxa"/>
            <w:vAlign w:val="top"/>
          </w:tcPr>
          <w:p w:rsidR="005C2091" w:rsidRDefault="00A86293">
            <w:pPr>
              <w:pStyle w:val="CellColumn"/>
              <w:jc w:val="right"/>
            </w:pPr>
            <w:r>
              <w:rPr>
                <w:rFonts w:cs="Times New Roman"/>
              </w:rPr>
              <w:t>93,9</w:t>
            </w:r>
          </w:p>
        </w:tc>
        <w:tc>
          <w:tcPr>
            <w:tcW w:w="1224" w:type="dxa"/>
            <w:vAlign w:val="top"/>
          </w:tcPr>
          <w:p w:rsidR="005C2091" w:rsidRDefault="00A86293">
            <w:pPr>
              <w:pStyle w:val="CellColumn"/>
              <w:jc w:val="right"/>
            </w:pPr>
            <w:r>
              <w:rPr>
                <w:rFonts w:cs="Times New Roman"/>
              </w:rPr>
              <w:t>99,7</w:t>
            </w:r>
          </w:p>
        </w:tc>
      </w:tr>
      <w:tr w:rsidR="005C2091">
        <w:trPr>
          <w:jc w:val="center"/>
        </w:trPr>
        <w:tc>
          <w:tcPr>
            <w:tcW w:w="1632" w:type="dxa"/>
          </w:tcPr>
          <w:p w:rsidR="005C2091" w:rsidRDefault="00A86293">
            <w:pPr>
              <w:jc w:val="left"/>
            </w:pPr>
            <w:r>
              <w:t>2207-DJELATNOST CARINSKOG I POREZNOG SUSTAVA</w:t>
            </w:r>
          </w:p>
        </w:tc>
        <w:tc>
          <w:tcPr>
            <w:tcW w:w="2041" w:type="dxa"/>
          </w:tcPr>
          <w:p w:rsidR="005C2091" w:rsidRDefault="00A86293">
            <w:pPr>
              <w:jc w:val="right"/>
            </w:pPr>
            <w:r>
              <w:t>791.880.653</w:t>
            </w:r>
          </w:p>
        </w:tc>
        <w:tc>
          <w:tcPr>
            <w:tcW w:w="2041" w:type="dxa"/>
          </w:tcPr>
          <w:p w:rsidR="005C2091" w:rsidRDefault="00A86293">
            <w:pPr>
              <w:jc w:val="right"/>
            </w:pPr>
            <w:r>
              <w:t>841.320.833</w:t>
            </w:r>
          </w:p>
        </w:tc>
        <w:tc>
          <w:tcPr>
            <w:tcW w:w="2041" w:type="dxa"/>
          </w:tcPr>
          <w:p w:rsidR="005C2091" w:rsidRDefault="00A86293">
            <w:pPr>
              <w:jc w:val="right"/>
            </w:pPr>
            <w:r>
              <w:t>789.621.001</w:t>
            </w:r>
          </w:p>
        </w:tc>
        <w:tc>
          <w:tcPr>
            <w:tcW w:w="1224" w:type="dxa"/>
          </w:tcPr>
          <w:p w:rsidR="005C2091" w:rsidRDefault="00A86293">
            <w:pPr>
              <w:jc w:val="right"/>
            </w:pPr>
            <w:r>
              <w:t>93,9</w:t>
            </w:r>
          </w:p>
        </w:tc>
        <w:tc>
          <w:tcPr>
            <w:tcW w:w="1224" w:type="dxa"/>
          </w:tcPr>
          <w:p w:rsidR="005C2091" w:rsidRDefault="00A86293">
            <w:pPr>
              <w:jc w:val="right"/>
            </w:pPr>
            <w:r>
              <w:t>99,7</w:t>
            </w:r>
          </w:p>
        </w:tc>
      </w:tr>
    </w:tbl>
    <w:p w:rsidR="005C2091" w:rsidRDefault="005C2091">
      <w:pPr>
        <w:jc w:val="left"/>
      </w:pPr>
    </w:p>
    <w:p w:rsidR="005C2091" w:rsidRDefault="00A86293">
      <w:pPr>
        <w:pStyle w:val="Heading3"/>
      </w:pPr>
      <w:r>
        <w:rPr>
          <w:rFonts w:cs="Times New Roman"/>
        </w:rPr>
        <w:lastRenderedPageBreak/>
        <w:t>2207 DJELATNOST CARINSKOG I POREZNOG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2207-DJELATNOST CARINSKOG I POREZNOG SUSTAVA</w:t>
            </w:r>
          </w:p>
        </w:tc>
        <w:tc>
          <w:tcPr>
            <w:tcW w:w="2041" w:type="dxa"/>
          </w:tcPr>
          <w:p w:rsidR="005C2091" w:rsidRDefault="00A86293">
            <w:pPr>
              <w:pStyle w:val="CellColumn"/>
              <w:jc w:val="right"/>
            </w:pPr>
            <w:r>
              <w:rPr>
                <w:rFonts w:cs="Times New Roman"/>
              </w:rPr>
              <w:t>791.880.653</w:t>
            </w:r>
          </w:p>
        </w:tc>
        <w:tc>
          <w:tcPr>
            <w:tcW w:w="2041" w:type="dxa"/>
          </w:tcPr>
          <w:p w:rsidR="005C2091" w:rsidRDefault="00A86293">
            <w:pPr>
              <w:pStyle w:val="CellColumn"/>
              <w:jc w:val="right"/>
            </w:pPr>
            <w:r>
              <w:rPr>
                <w:rFonts w:cs="Times New Roman"/>
              </w:rPr>
              <w:t>841.320.833</w:t>
            </w:r>
          </w:p>
        </w:tc>
        <w:tc>
          <w:tcPr>
            <w:tcW w:w="2041" w:type="dxa"/>
          </w:tcPr>
          <w:p w:rsidR="005C2091" w:rsidRDefault="00A86293">
            <w:pPr>
              <w:pStyle w:val="CellColumn"/>
              <w:jc w:val="right"/>
            </w:pPr>
            <w:r>
              <w:rPr>
                <w:rFonts w:cs="Times New Roman"/>
              </w:rPr>
              <w:t>789.621.001</w:t>
            </w:r>
          </w:p>
        </w:tc>
        <w:tc>
          <w:tcPr>
            <w:tcW w:w="1224" w:type="dxa"/>
          </w:tcPr>
          <w:p w:rsidR="005C2091" w:rsidRDefault="00A86293">
            <w:pPr>
              <w:pStyle w:val="CellColumn"/>
              <w:jc w:val="right"/>
            </w:pPr>
            <w:r>
              <w:rPr>
                <w:rFonts w:cs="Times New Roman"/>
              </w:rPr>
              <w:t>93,9</w:t>
            </w:r>
          </w:p>
        </w:tc>
        <w:tc>
          <w:tcPr>
            <w:tcW w:w="1224" w:type="dxa"/>
          </w:tcPr>
          <w:p w:rsidR="005C2091" w:rsidRDefault="00A86293">
            <w:pPr>
              <w:pStyle w:val="CellColumn"/>
              <w:jc w:val="right"/>
            </w:pPr>
            <w:r>
              <w:rPr>
                <w:rFonts w:cs="Times New Roman"/>
              </w:rPr>
              <w:t>99,7</w:t>
            </w:r>
          </w:p>
        </w:tc>
      </w:tr>
    </w:tbl>
    <w:p w:rsidR="005C2091" w:rsidRDefault="005C2091">
      <w:pPr>
        <w:jc w:val="left"/>
      </w:pPr>
    </w:p>
    <w:p w:rsidR="005C2091" w:rsidRDefault="00A86293">
      <w:r>
        <w:t xml:space="preserve">Cilj ovog programa je učinkovita primjena poreznih propisa i propisa o plaćanju obveznih doprinosa u svrhu podmirenja javnih troškova u skladu s gospodarskim mogućnostima Republike Hrvatske </w:t>
      </w:r>
    </w:p>
    <w:p w:rsidR="005C2091" w:rsidRDefault="00A86293">
      <w:r>
        <w:t xml:space="preserve">Ovaj program provodit će se u sljedećim aktivnostima i projektima: </w:t>
      </w:r>
    </w:p>
    <w:p w:rsidR="005C2091" w:rsidRDefault="00A86293">
      <w:r>
        <w:t>•</w:t>
      </w:r>
      <w:r>
        <w:tab/>
        <w:t xml:space="preserve">A541000 Administracija i upravljanje Porezne uprave </w:t>
      </w:r>
    </w:p>
    <w:p w:rsidR="005C2091" w:rsidRDefault="00A86293">
      <w:r>
        <w:t>•</w:t>
      </w:r>
      <w:r>
        <w:tab/>
        <w:t xml:space="preserve">A541018 Troškovi stečajnog postupka </w:t>
      </w:r>
    </w:p>
    <w:p w:rsidR="005C2091" w:rsidRDefault="00A86293">
      <w:r>
        <w:t>•</w:t>
      </w:r>
      <w:r>
        <w:tab/>
        <w:t xml:space="preserve">A541023 Isplata ovrha po sudskim presudama                                                     </w:t>
      </w:r>
    </w:p>
    <w:p w:rsidR="005C2091" w:rsidRDefault="00A86293">
      <w:r>
        <w:t>•</w:t>
      </w:r>
      <w:r>
        <w:tab/>
        <w:t xml:space="preserve">A541024 IPA 2011 Sudjelovanje Republike Hrvatske u programima EZ-Fiscalis 2013 </w:t>
      </w:r>
    </w:p>
    <w:p w:rsidR="005C2091" w:rsidRDefault="00A86293">
      <w:r>
        <w:t>•</w:t>
      </w:r>
      <w:r>
        <w:tab/>
        <w:t xml:space="preserve">K270143 Objekti za potrbe Porezne uprave </w:t>
      </w:r>
    </w:p>
    <w:p w:rsidR="005C2091" w:rsidRDefault="00A86293">
      <w:r>
        <w:t>•</w:t>
      </w:r>
      <w:r>
        <w:tab/>
        <w:t xml:space="preserve">K270151 Opremanje </w:t>
      </w:r>
    </w:p>
    <w:p w:rsidR="005C2091" w:rsidRDefault="00A86293">
      <w:r>
        <w:t>•</w:t>
      </w:r>
      <w:r>
        <w:tab/>
        <w:t xml:space="preserve">K270160 Informatizacija Porezne uprave </w:t>
      </w:r>
    </w:p>
    <w:p w:rsidR="005C2091" w:rsidRDefault="00A86293">
      <w:r>
        <w:t>•</w:t>
      </w:r>
      <w:r>
        <w:tab/>
        <w:t xml:space="preserve">K541007 Obnova voznog parka </w:t>
      </w:r>
    </w:p>
    <w:p w:rsidR="005C2091" w:rsidRDefault="00A86293">
      <w:r>
        <w:t>•</w:t>
      </w:r>
      <w:r>
        <w:tab/>
        <w:t xml:space="preserve">T541034 IPA 2011 FF RAC Jačanje administrativnih kapadciteta Porezne uprave vezanih uz istrage porezno kaznenih dijela </w:t>
      </w:r>
    </w:p>
    <w:p w:rsidR="005C2091" w:rsidRDefault="00A86293">
      <w:r>
        <w:t>•</w:t>
      </w:r>
      <w:r>
        <w:tab/>
        <w:t xml:space="preserve">T541036 IPA 2013 Jačanje kapaciteta Porezne uprave RH prema poreznim obveznicima - tvrtkama (G2B) kroz konsolidaciju IT sustava </w:t>
      </w:r>
    </w:p>
    <w:p w:rsidR="005C2091" w:rsidRDefault="00A86293">
      <w:r>
        <w:t>•</w:t>
      </w:r>
      <w:r>
        <w:tab/>
        <w:t xml:space="preserve">T541037 IPA 2012 FAC Razvoj informacijskog sistema za potrebe upravljanja ljudskim resursima Porezne uprave </w:t>
      </w:r>
    </w:p>
    <w:p w:rsidR="005C2091" w:rsidRDefault="00A86293">
      <w:r>
        <w:t>•</w:t>
      </w:r>
      <w:r>
        <w:tab/>
        <w:t xml:space="preserve">T541039 Transition facility program "Nove aplikacije informacijskog sistema Porezne uprave"(Prijelazni instrument) </w:t>
      </w:r>
    </w:p>
    <w:p w:rsidR="005C2091" w:rsidRDefault="00A86293">
      <w:r>
        <w:t>•</w:t>
      </w:r>
      <w:r>
        <w:tab/>
        <w:t xml:space="preserve">T541041 Operativni program "Učinkoviti ljudski potencijali 2014-2020 </w:t>
      </w:r>
    </w:p>
    <w:p w:rsidR="005C2091" w:rsidRDefault="00A86293">
      <w:r>
        <w:t>•</w:t>
      </w:r>
      <w:r>
        <w:tab/>
        <w:t xml:space="preserve">T541042 Implementacija monitoringa i nadzora e-trgovine (Prijelazni instrument) </w:t>
      </w:r>
    </w:p>
    <w:p w:rsidR="005C2091" w:rsidRDefault="00A86293">
      <w:r>
        <w:t xml:space="preserve"> Zakonske i druge pravne osnove </w:t>
      </w:r>
    </w:p>
    <w:p w:rsidR="005C2091" w:rsidRDefault="00A86293">
      <w:r>
        <w:t xml:space="preserve"> Zakonske i druge pravne osnove: </w:t>
      </w:r>
    </w:p>
    <w:p w:rsidR="005C2091" w:rsidRDefault="00A86293">
      <w:r>
        <w:t xml:space="preserve"> Zakon o Poreznoj upravi, </w:t>
      </w:r>
    </w:p>
    <w:p w:rsidR="005C2091" w:rsidRDefault="00A86293">
      <w:r>
        <w:t xml:space="preserve">Uredba o unutarnjem ustrojstvu Ministarstva financija, </w:t>
      </w:r>
    </w:p>
    <w:p w:rsidR="005C2091" w:rsidRDefault="00A86293">
      <w:r>
        <w:t xml:space="preserve">Zakon o državnim službenicima, </w:t>
      </w:r>
    </w:p>
    <w:p w:rsidR="005C2091" w:rsidRDefault="00A86293">
      <w:r>
        <w:t xml:space="preserve">Kolektivni ugovor za državne službenike i namještenike s dodatcima I., II., III., </w:t>
      </w:r>
    </w:p>
    <w:p w:rsidR="005C2091" w:rsidRDefault="00A86293">
      <w:r>
        <w:t xml:space="preserve">Sporazum o izmjenama i dopunama Dodatka Sporazumu o osnovici za plaće u državnim službama od 23. ožujka 2009., </w:t>
      </w:r>
    </w:p>
    <w:p w:rsidR="005C2091" w:rsidRDefault="00A86293">
      <w:r>
        <w:t xml:space="preserve">Uredba o nazivima radnih mjesta i koeficijentima složenosti poslova, dodatku na uvjete rada te kriterijima i najvišem mogućem iznosu dodatka za natprosječne rezultate u radu za službenike Porezne uprave, </w:t>
      </w:r>
    </w:p>
    <w:p w:rsidR="005C2091" w:rsidRDefault="00A86293">
      <w:r>
        <w:t xml:space="preserve">Zakon o javnoj nabavi, </w:t>
      </w:r>
    </w:p>
    <w:p w:rsidR="005C2091" w:rsidRDefault="00A86293">
      <w:r>
        <w:lastRenderedPageBreak/>
        <w:t xml:space="preserve"> Okvirni sporazumi: </w:t>
      </w:r>
    </w:p>
    <w:p w:rsidR="005C2091" w:rsidRDefault="00A86293">
      <w:r>
        <w:t xml:space="preserve"> Okvirni sporazum – za opskrbu prirodnim plinom </w:t>
      </w:r>
    </w:p>
    <w:p w:rsidR="005C2091" w:rsidRDefault="00A86293">
      <w:r>
        <w:t xml:space="preserve">Okvirni sporazum DUSJN – za nabavu poštanskih usluga - grupa A i B </w:t>
      </w:r>
    </w:p>
    <w:p w:rsidR="005C2091" w:rsidRDefault="00A86293">
      <w:r>
        <w:t xml:space="preserve">Okvirni sporazum – održavanje kuhinjskih napa, ventilacionih kanala i mastolovaca </w:t>
      </w:r>
    </w:p>
    <w:p w:rsidR="005C2091" w:rsidRDefault="00A86293">
      <w:r>
        <w:t xml:space="preserve">Okvirni sporazum – javna nabava tonera i tinti – DUSJN </w:t>
      </w:r>
    </w:p>
    <w:p w:rsidR="005C2091" w:rsidRDefault="00A86293">
      <w:r>
        <w:t xml:space="preserve">Okvirni sporazum – održavanje fotokopirnih multifunkcijskih, ispisnih i telefax uređaja, te programskog rješenja uni FLOW </w:t>
      </w:r>
    </w:p>
    <w:p w:rsidR="005C2091" w:rsidRDefault="00A86293">
      <w:r>
        <w:t xml:space="preserve">Okvirni sporazum ( OS ) – Središnja javna nabava potrošnog materijala (sredstva za čišćenje i održavanje i materijal za higijenske potrebe i njegu) </w:t>
      </w:r>
    </w:p>
    <w:p w:rsidR="005C2091" w:rsidRDefault="00A86293">
      <w:r>
        <w:t xml:space="preserve">Okvirni sporazum – nabava guma za vozila i usluga povezanih s isporukom guma za vozila (vulkanizerske usluge, zbrinjavanje starih guma te čuvanje tj "hoteli za gume") – DUSJN </w:t>
      </w:r>
    </w:p>
    <w:p w:rsidR="005C2091" w:rsidRDefault="00A86293">
      <w:r>
        <w:t xml:space="preserve">Okvirni sporazum – nabava telekomunikacijskih usluga </w:t>
      </w:r>
    </w:p>
    <w:p w:rsidR="005C2091" w:rsidRDefault="00A86293">
      <w:r>
        <w:t xml:space="preserve">Okvirni sporazum –  nabava goriva – DUSJN </w:t>
      </w:r>
    </w:p>
    <w:p w:rsidR="005C2091" w:rsidRDefault="00A86293">
      <w:r>
        <w:t xml:space="preserve">Okvirni sporazum – o javnoj nabavi usluga prevođenja </w:t>
      </w:r>
    </w:p>
    <w:p w:rsidR="005C2091" w:rsidRDefault="00A86293">
      <w:r>
        <w:t xml:space="preserve">Okvirni sporazum DUSJN – za nabavu usluge obveznog osiguranja od automobilske odgovornosti i kasko osiguranja </w:t>
      </w:r>
    </w:p>
    <w:p w:rsidR="005C2091" w:rsidRDefault="00A86293">
      <w:r>
        <w:t xml:space="preserve">Okvirni sporazum (OS) DUSJN – čišćenje poslovnih prostora </w:t>
      </w:r>
    </w:p>
    <w:p w:rsidR="005C2091" w:rsidRDefault="00A86293">
      <w:r>
        <w:t xml:space="preserve">Okvirni sporazum – za nabavu usluge korištenja, održavanja i razvoja novih funkcionalnosti, te prilagodbe zahtjevima EU informacijskog sustava Ministarstva financija </w:t>
      </w:r>
    </w:p>
    <w:p w:rsidR="005C2091" w:rsidRDefault="00A86293">
      <w:r>
        <w:t xml:space="preserve">Okvirni sporazum DUSJN – za nabavu uredskog materijala </w:t>
      </w:r>
    </w:p>
    <w:p w:rsidR="005C2091" w:rsidRDefault="00A86293">
      <w:r>
        <w:t xml:space="preserve">Okvirni sporazum DUSJN – za usluge u pokretnoj elektroničkoj komunikacijskoj mreži, s uređajima i elektroničkim karticama za korištenje tih usluga (grupa A) </w:t>
      </w:r>
    </w:p>
    <w:p w:rsidR="005C2091" w:rsidRDefault="00A86293">
      <w:r>
        <w:t xml:space="preserve">Okvirni sporazum DUSJN – za opskrbu električnom energijom </w:t>
      </w:r>
    </w:p>
    <w:p w:rsidR="005C2091" w:rsidRDefault="00A86293">
      <w:r>
        <w:t>Okvirna sporazum o nabavi usluga ispitivanja sustava za zaštitu od požara i sustava zaštite na radu</w:t>
      </w:r>
    </w:p>
    <w:p w:rsidR="005C2091" w:rsidRDefault="00A86293">
      <w:pPr>
        <w:pStyle w:val="Heading8"/>
        <w:jc w:val="left"/>
      </w:pPr>
      <w:r>
        <w:t xml:space="preserve">Cilj 1. Unapređenje usluga poreznim obveznicima </w:t>
      </w:r>
    </w:p>
    <w:p w:rsidR="005C2091" w:rsidRDefault="00A86293">
      <w:pPr>
        <w:pStyle w:val="Heading8"/>
        <w:jc w:val="left"/>
      </w:pPr>
      <w:r>
        <w:t>Opis provedbe cilja programa</w:t>
      </w:r>
    </w:p>
    <w:p w:rsidR="005C2091" w:rsidRDefault="00A86293">
      <w:r>
        <w:t xml:space="preserve">Povećanje broja usluga u sustavu ePorezna </w:t>
      </w:r>
    </w:p>
    <w:p w:rsidR="005C2091" w:rsidRDefault="00A86293">
      <w:r>
        <w:t xml:space="preserve"> Sustav ePorezna broji 28 uslugu i elektroničkih obrazaca. EPorezna omogućava olakšanu komunikaciju poreznih obveznika s Poreznom upravom korištenjem interneta kao komunikacijske infrastrukture te jednostavnije i brže ispunjenje poreznih obveza uz smanjenje utroška vremena na fizički odlazak u Poreznu upravu. Porezni obveznik u svakom trenutku ima kontrolu nad dostavom i obradom obrazaca te ne ovisi o radnom vremenu Porezne uprave. </w:t>
      </w:r>
    </w:p>
    <w:p w:rsidR="005C2091" w:rsidRDefault="00A86293">
      <w:r>
        <w:t xml:space="preserve"> </w:t>
      </w:r>
    </w:p>
    <w:p w:rsidR="005C2091" w:rsidRDefault="00A86293">
      <w:r>
        <w:t xml:space="preserve">Povećanje broja podnesenih poreznih prijava u sustavu ePorezna </w:t>
      </w:r>
    </w:p>
    <w:p w:rsidR="005C2091" w:rsidRDefault="00A86293">
      <w:r>
        <w:t xml:space="preserve"> Povećanjem podnošenja obrazaca elektroničkim putem smanjuje se utrošak vremena poreznih obveznika na fizički odlazak u Poreznu upravu te se smanjuje neposredni kontakt službenika s poreznim obveznicima. Smanjuje se radno opterećenje službenika s obzirom na smanjenje ručnog unosa obrazaca, a time se omogućava i racionalnije korištenje ljudskih resursa. </w:t>
      </w:r>
    </w:p>
    <w:p w:rsidR="005C2091" w:rsidRDefault="00A86293">
      <w:r>
        <w:t xml:space="preserve"> Povećanje broja  edukacija i informativnih kampanja </w:t>
      </w:r>
    </w:p>
    <w:p w:rsidR="005C2091" w:rsidRDefault="00A86293">
      <w:r>
        <w:t xml:space="preserve"> Ovaj pokazatelj se odnosi na broj održanih sastanaka sa strukovnim udrugama i poreznim obveznicima te educiranje i informiranje poreznih obveznika o poreznoj tematici putem brošura i priručnika.</w:t>
      </w:r>
    </w:p>
    <w:p w:rsidR="005C2091" w:rsidRDefault="00A86293">
      <w:pPr>
        <w:pStyle w:val="Heading8"/>
        <w:jc w:val="left"/>
      </w:pPr>
      <w:r>
        <w:lastRenderedPageBreak/>
        <w:t>Cilj 2. Uspostava modernog i učinkovitog poreznog nadzora</w:t>
      </w:r>
    </w:p>
    <w:p w:rsidR="005C2091" w:rsidRDefault="00A86293">
      <w:pPr>
        <w:pStyle w:val="Heading8"/>
        <w:jc w:val="left"/>
      </w:pPr>
      <w:r>
        <w:t>Opis provedbe cilja programa</w:t>
      </w:r>
    </w:p>
    <w:p w:rsidR="005C2091" w:rsidRDefault="00A86293">
      <w:r>
        <w:t xml:space="preserve">Način ostvarenja Uspostava modernog i učinkovitog poreznog nadzora se odvija prema planu što je vidljivo iz niže navedenih pokazatelja: </w:t>
      </w:r>
    </w:p>
    <w:p w:rsidR="005C2091" w:rsidRDefault="00A86293">
      <w:r>
        <w:t xml:space="preserve"> Povećanje broja nadzora kod velikih poreznih obveznika </w:t>
      </w:r>
    </w:p>
    <w:p w:rsidR="005C2091" w:rsidRDefault="00A86293">
      <w:r>
        <w:t xml:space="preserve"> Analizom rizika i odabirom rizičnih poreznih obveznika za nadzor velikih poreznih obveznika prilikom izrade godišnjeg plana nadzora, provođenjem detaljne pripreme nadzora te primjenom suvremenih metoda i tehnika u provođenju nadzora i edukacijom inspektora povećala se učinkovitost nadzora kroz povećanje broja poreznih nadzora, a time i povećanje novoutvrđenih obveza u nadzoru  kod velikih poreznih obveznika. </w:t>
      </w:r>
    </w:p>
    <w:p w:rsidR="005C2091" w:rsidRDefault="00A86293">
      <w:r>
        <w:t xml:space="preserve">Ciljana vrijednost je premašena u 2016. godini te postotno povećanje broja nadzora iznosi 12%. </w:t>
      </w:r>
    </w:p>
    <w:p w:rsidR="005C2091" w:rsidRDefault="00A86293">
      <w:r>
        <w:t xml:space="preserve"> Povećanje novoutvrđenih obveza po inspektoru </w:t>
      </w:r>
    </w:p>
    <w:p w:rsidR="005C2091" w:rsidRDefault="00A86293">
      <w:r>
        <w:t xml:space="preserve"> Primjenom suvremenih metoda i tehnika u nadzoru i pojačanom edukacijom inspektora, te odabirom rizičnih poreznih obveznika za nadzor povećana je učinkovitost u nadzoru kroz povećanje novoutvrđenih obveza po inspektoru. </w:t>
      </w:r>
    </w:p>
    <w:p w:rsidR="005C2091" w:rsidRDefault="00A86293">
      <w:r>
        <w:t xml:space="preserve">Ciljana vrijednost je premašena u 2016. godini te postotno povećanje novoutvrđenih obveza po inspektoru iznosi 181%. </w:t>
      </w:r>
    </w:p>
    <w:p w:rsidR="005C2091" w:rsidRDefault="00A86293">
      <w:r>
        <w:t xml:space="preserve"> Smanjenje iznosa iskazanog poreznog gubitka </w:t>
      </w:r>
    </w:p>
    <w:p w:rsidR="005C2091" w:rsidRDefault="00A86293">
      <w:r>
        <w:t xml:space="preserve">Jedan od rizika koji su imali prioritet u nadzoru su porezni obveznici koji su u prijavama poreza na dobit iskazali porezne gubitke. </w:t>
      </w:r>
    </w:p>
    <w:p w:rsidR="005C2091" w:rsidRDefault="00A86293">
      <w:r>
        <w:t>Ciljana vrijednost je premašena u 2016. godini te postotno smanjenje iznosa iskazanog poreznog gubitka iznosi 635%.</w:t>
      </w:r>
    </w:p>
    <w:p w:rsidR="005C2091" w:rsidRDefault="00A86293">
      <w:pPr>
        <w:pStyle w:val="Heading8"/>
        <w:jc w:val="left"/>
      </w:pPr>
      <w:r>
        <w:t>Pokazatelji učinka</w:t>
      </w:r>
    </w:p>
    <w:tbl>
      <w:tblPr>
        <w:tblStyle w:val="StilTablice"/>
        <w:tblW w:w="7701" w:type="dxa"/>
        <w:jc w:val="center"/>
        <w:tblLook w:val="04A0" w:firstRow="1" w:lastRow="0" w:firstColumn="1" w:lastColumn="0" w:noHBand="0" w:noVBand="1"/>
      </w:tblPr>
      <w:tblGrid>
        <w:gridCol w:w="2516"/>
        <w:gridCol w:w="1013"/>
        <w:gridCol w:w="1020"/>
        <w:gridCol w:w="1018"/>
        <w:gridCol w:w="1020"/>
        <w:gridCol w:w="1114"/>
      </w:tblGrid>
      <w:tr w:rsidR="008846BB" w:rsidTr="008846BB">
        <w:trPr>
          <w:jc w:val="center"/>
        </w:trPr>
        <w:tc>
          <w:tcPr>
            <w:tcW w:w="2516" w:type="dxa"/>
            <w:shd w:val="clear" w:color="auto" w:fill="B5C0D8"/>
          </w:tcPr>
          <w:p w:rsidR="008846BB" w:rsidRDefault="008846BB">
            <w:pPr>
              <w:jc w:val="center"/>
            </w:pPr>
            <w:r>
              <w:t>Pokazatelj učinka</w:t>
            </w:r>
          </w:p>
        </w:tc>
        <w:tc>
          <w:tcPr>
            <w:tcW w:w="1013" w:type="dxa"/>
            <w:shd w:val="clear" w:color="auto" w:fill="B5C0D8"/>
          </w:tcPr>
          <w:p w:rsidR="008846BB" w:rsidRDefault="008846BB">
            <w:pPr>
              <w:pStyle w:val="CellHeader"/>
              <w:jc w:val="center"/>
            </w:pPr>
            <w:r>
              <w:rPr>
                <w:rFonts w:cs="Times New Roman"/>
              </w:rPr>
              <w:t>Jedinica</w:t>
            </w:r>
          </w:p>
        </w:tc>
        <w:tc>
          <w:tcPr>
            <w:tcW w:w="1020" w:type="dxa"/>
            <w:shd w:val="clear" w:color="auto" w:fill="B5C0D8"/>
          </w:tcPr>
          <w:p w:rsidR="008846BB" w:rsidRDefault="008846BB">
            <w:pPr>
              <w:pStyle w:val="CellHeader"/>
              <w:jc w:val="center"/>
            </w:pPr>
            <w:r>
              <w:rPr>
                <w:rFonts w:cs="Times New Roman"/>
              </w:rPr>
              <w:t>Polazna vrijednost</w:t>
            </w:r>
          </w:p>
        </w:tc>
        <w:tc>
          <w:tcPr>
            <w:tcW w:w="1018" w:type="dxa"/>
            <w:shd w:val="clear" w:color="auto" w:fill="B5C0D8"/>
          </w:tcPr>
          <w:p w:rsidR="008846BB" w:rsidRDefault="008846BB">
            <w:pPr>
              <w:pStyle w:val="CellHeader"/>
              <w:jc w:val="center"/>
            </w:pPr>
            <w:r>
              <w:rPr>
                <w:rFonts w:cs="Times New Roman"/>
              </w:rPr>
              <w:t>Izvor podataka</w:t>
            </w:r>
          </w:p>
        </w:tc>
        <w:tc>
          <w:tcPr>
            <w:tcW w:w="1020" w:type="dxa"/>
            <w:shd w:val="clear" w:color="auto" w:fill="B5C0D8"/>
          </w:tcPr>
          <w:p w:rsidR="008846BB" w:rsidRDefault="008846BB">
            <w:pPr>
              <w:pStyle w:val="CellHeader"/>
              <w:jc w:val="center"/>
            </w:pPr>
            <w:r>
              <w:rPr>
                <w:rFonts w:cs="Times New Roman"/>
              </w:rPr>
              <w:t>Ciljana vrijednost (2016.)</w:t>
            </w:r>
          </w:p>
        </w:tc>
        <w:tc>
          <w:tcPr>
            <w:tcW w:w="1114" w:type="dxa"/>
            <w:shd w:val="clear" w:color="auto" w:fill="B5C0D8"/>
          </w:tcPr>
          <w:p w:rsidR="008846BB" w:rsidRDefault="008846BB">
            <w:pPr>
              <w:pStyle w:val="CellHeader"/>
              <w:jc w:val="center"/>
            </w:pPr>
            <w:r>
              <w:rPr>
                <w:rFonts w:cs="Times New Roman"/>
              </w:rPr>
              <w:t>Ostvarena vrijednost (2016.)</w:t>
            </w:r>
          </w:p>
        </w:tc>
      </w:tr>
      <w:tr w:rsidR="008846BB" w:rsidTr="008846BB">
        <w:trPr>
          <w:jc w:val="center"/>
        </w:trPr>
        <w:tc>
          <w:tcPr>
            <w:tcW w:w="2516" w:type="dxa"/>
          </w:tcPr>
          <w:p w:rsidR="008846BB" w:rsidRDefault="008846BB">
            <w:pPr>
              <w:pStyle w:val="CellColumn"/>
              <w:jc w:val="left"/>
            </w:pPr>
            <w:r>
              <w:rPr>
                <w:rFonts w:cs="Times New Roman"/>
              </w:rPr>
              <w:t>Povećanje broja usluga u sustavu ePorezna</w:t>
            </w:r>
          </w:p>
        </w:tc>
        <w:tc>
          <w:tcPr>
            <w:tcW w:w="1013" w:type="dxa"/>
          </w:tcPr>
          <w:p w:rsidR="008846BB" w:rsidRDefault="008846BB">
            <w:pPr>
              <w:pStyle w:val="CellColumn"/>
              <w:jc w:val="right"/>
            </w:pPr>
            <w:r>
              <w:rPr>
                <w:rFonts w:cs="Times New Roman"/>
              </w:rPr>
              <w:t>broj</w:t>
            </w:r>
          </w:p>
        </w:tc>
        <w:tc>
          <w:tcPr>
            <w:tcW w:w="1020" w:type="dxa"/>
          </w:tcPr>
          <w:p w:rsidR="008846BB" w:rsidRDefault="008846BB">
            <w:pPr>
              <w:pStyle w:val="CellColumn"/>
              <w:jc w:val="right"/>
            </w:pPr>
            <w:r>
              <w:rPr>
                <w:rFonts w:cs="Times New Roman"/>
              </w:rPr>
              <w:t>25</w:t>
            </w:r>
          </w:p>
        </w:tc>
        <w:tc>
          <w:tcPr>
            <w:tcW w:w="1018" w:type="dxa"/>
          </w:tcPr>
          <w:p w:rsidR="008846BB" w:rsidRDefault="008846BB">
            <w:pPr>
              <w:pStyle w:val="CellColumn"/>
              <w:jc w:val="right"/>
            </w:pPr>
            <w:r>
              <w:rPr>
                <w:rFonts w:cs="Times New Roman"/>
              </w:rPr>
              <w:t>Godišnji izvještaj Strateškog plana Porezne uprave za 2016.g.</w:t>
            </w:r>
          </w:p>
        </w:tc>
        <w:tc>
          <w:tcPr>
            <w:tcW w:w="1020" w:type="dxa"/>
          </w:tcPr>
          <w:p w:rsidR="008846BB" w:rsidRDefault="008846BB">
            <w:pPr>
              <w:pStyle w:val="CellColumn"/>
              <w:jc w:val="right"/>
            </w:pPr>
            <w:r>
              <w:rPr>
                <w:rFonts w:cs="Times New Roman"/>
              </w:rPr>
              <w:t>28</w:t>
            </w:r>
          </w:p>
        </w:tc>
        <w:tc>
          <w:tcPr>
            <w:tcW w:w="1114" w:type="dxa"/>
          </w:tcPr>
          <w:p w:rsidR="008846BB" w:rsidRDefault="008846BB">
            <w:pPr>
              <w:pStyle w:val="CellColumn"/>
              <w:jc w:val="right"/>
            </w:pPr>
            <w:r>
              <w:rPr>
                <w:rFonts w:cs="Times New Roman"/>
              </w:rPr>
              <w:t>28</w:t>
            </w:r>
          </w:p>
        </w:tc>
      </w:tr>
      <w:tr w:rsidR="008846BB" w:rsidTr="008846BB">
        <w:trPr>
          <w:jc w:val="center"/>
        </w:trPr>
        <w:tc>
          <w:tcPr>
            <w:tcW w:w="2516" w:type="dxa"/>
          </w:tcPr>
          <w:p w:rsidR="008846BB" w:rsidRDefault="008846BB">
            <w:pPr>
              <w:pStyle w:val="CellColumn"/>
              <w:jc w:val="left"/>
            </w:pPr>
            <w:r>
              <w:rPr>
                <w:rFonts w:cs="Times New Roman"/>
              </w:rPr>
              <w:t>Povećanje broja podnesenih poreznih prijava u sustavu ePorezna</w:t>
            </w:r>
          </w:p>
        </w:tc>
        <w:tc>
          <w:tcPr>
            <w:tcW w:w="1013" w:type="dxa"/>
          </w:tcPr>
          <w:p w:rsidR="008846BB" w:rsidRDefault="008846BB">
            <w:pPr>
              <w:pStyle w:val="CellColumn"/>
              <w:jc w:val="right"/>
            </w:pPr>
            <w:r>
              <w:rPr>
                <w:rFonts w:cs="Times New Roman"/>
              </w:rPr>
              <w:t>%</w:t>
            </w:r>
          </w:p>
        </w:tc>
        <w:tc>
          <w:tcPr>
            <w:tcW w:w="1020" w:type="dxa"/>
          </w:tcPr>
          <w:p w:rsidR="008846BB" w:rsidRDefault="008846BB">
            <w:pPr>
              <w:pStyle w:val="CellColumn"/>
              <w:jc w:val="right"/>
            </w:pPr>
            <w:r>
              <w:rPr>
                <w:rFonts w:cs="Times New Roman"/>
              </w:rPr>
              <w:t>84</w:t>
            </w:r>
          </w:p>
        </w:tc>
        <w:tc>
          <w:tcPr>
            <w:tcW w:w="1018" w:type="dxa"/>
          </w:tcPr>
          <w:p w:rsidR="008846BB" w:rsidRDefault="008846BB">
            <w:pPr>
              <w:pStyle w:val="CellColumn"/>
              <w:jc w:val="right"/>
            </w:pPr>
            <w:r>
              <w:rPr>
                <w:rFonts w:cs="Times New Roman"/>
              </w:rPr>
              <w:t>Godišnji izvještaj Strateškog plana Porezne uprave za 2016.g.</w:t>
            </w:r>
          </w:p>
        </w:tc>
        <w:tc>
          <w:tcPr>
            <w:tcW w:w="1020" w:type="dxa"/>
          </w:tcPr>
          <w:p w:rsidR="008846BB" w:rsidRDefault="008846BB">
            <w:pPr>
              <w:pStyle w:val="CellColumn"/>
              <w:jc w:val="right"/>
            </w:pPr>
            <w:r>
              <w:rPr>
                <w:rFonts w:cs="Times New Roman"/>
              </w:rPr>
              <w:t>90</w:t>
            </w:r>
          </w:p>
        </w:tc>
        <w:tc>
          <w:tcPr>
            <w:tcW w:w="1114" w:type="dxa"/>
          </w:tcPr>
          <w:p w:rsidR="008846BB" w:rsidRDefault="008846BB">
            <w:pPr>
              <w:pStyle w:val="CellColumn"/>
              <w:jc w:val="right"/>
            </w:pPr>
            <w:r>
              <w:rPr>
                <w:rFonts w:cs="Times New Roman"/>
              </w:rPr>
              <w:t>92</w:t>
            </w:r>
          </w:p>
        </w:tc>
      </w:tr>
      <w:tr w:rsidR="008846BB" w:rsidTr="008846BB">
        <w:trPr>
          <w:jc w:val="center"/>
        </w:trPr>
        <w:tc>
          <w:tcPr>
            <w:tcW w:w="2516" w:type="dxa"/>
          </w:tcPr>
          <w:p w:rsidR="008846BB" w:rsidRDefault="008846BB">
            <w:pPr>
              <w:pStyle w:val="CellColumn"/>
              <w:jc w:val="left"/>
            </w:pPr>
            <w:r>
              <w:rPr>
                <w:rFonts w:cs="Times New Roman"/>
              </w:rPr>
              <w:t>Povećanje broja  edukacija i informativnih kampanja</w:t>
            </w:r>
          </w:p>
        </w:tc>
        <w:tc>
          <w:tcPr>
            <w:tcW w:w="1013" w:type="dxa"/>
          </w:tcPr>
          <w:p w:rsidR="008846BB" w:rsidRDefault="008846BB">
            <w:pPr>
              <w:pStyle w:val="CellColumn"/>
              <w:jc w:val="right"/>
            </w:pPr>
            <w:r>
              <w:rPr>
                <w:rFonts w:cs="Times New Roman"/>
              </w:rPr>
              <w:t>broj</w:t>
            </w:r>
          </w:p>
        </w:tc>
        <w:tc>
          <w:tcPr>
            <w:tcW w:w="1020" w:type="dxa"/>
          </w:tcPr>
          <w:p w:rsidR="008846BB" w:rsidRDefault="008846BB">
            <w:pPr>
              <w:pStyle w:val="CellColumn"/>
              <w:jc w:val="right"/>
            </w:pPr>
            <w:r>
              <w:rPr>
                <w:rFonts w:cs="Times New Roman"/>
              </w:rPr>
              <w:t>14</w:t>
            </w:r>
          </w:p>
        </w:tc>
        <w:tc>
          <w:tcPr>
            <w:tcW w:w="1018" w:type="dxa"/>
          </w:tcPr>
          <w:p w:rsidR="008846BB" w:rsidRDefault="008846BB">
            <w:pPr>
              <w:pStyle w:val="CellColumn"/>
              <w:jc w:val="right"/>
            </w:pPr>
            <w:r>
              <w:rPr>
                <w:rFonts w:cs="Times New Roman"/>
              </w:rPr>
              <w:t>Godišnji izvještaj Strateškog plana Porezne uprave za 2016.g.</w:t>
            </w:r>
          </w:p>
        </w:tc>
        <w:tc>
          <w:tcPr>
            <w:tcW w:w="1020" w:type="dxa"/>
          </w:tcPr>
          <w:p w:rsidR="008846BB" w:rsidRDefault="008846BB">
            <w:pPr>
              <w:pStyle w:val="CellColumn"/>
              <w:jc w:val="right"/>
            </w:pPr>
            <w:r>
              <w:rPr>
                <w:rFonts w:cs="Times New Roman"/>
              </w:rPr>
              <w:t>16</w:t>
            </w:r>
          </w:p>
        </w:tc>
        <w:tc>
          <w:tcPr>
            <w:tcW w:w="1114" w:type="dxa"/>
          </w:tcPr>
          <w:p w:rsidR="008846BB" w:rsidRDefault="008846BB">
            <w:pPr>
              <w:pStyle w:val="CellColumn"/>
              <w:jc w:val="right"/>
            </w:pPr>
            <w:r>
              <w:rPr>
                <w:rFonts w:cs="Times New Roman"/>
              </w:rPr>
              <w:t>46</w:t>
            </w:r>
          </w:p>
        </w:tc>
      </w:tr>
      <w:tr w:rsidR="008846BB" w:rsidTr="008846BB">
        <w:trPr>
          <w:jc w:val="center"/>
        </w:trPr>
        <w:tc>
          <w:tcPr>
            <w:tcW w:w="2516" w:type="dxa"/>
          </w:tcPr>
          <w:p w:rsidR="008846BB" w:rsidRDefault="008846BB">
            <w:pPr>
              <w:pStyle w:val="CellColumn"/>
              <w:jc w:val="left"/>
            </w:pPr>
            <w:r>
              <w:rPr>
                <w:rFonts w:cs="Times New Roman"/>
              </w:rPr>
              <w:lastRenderedPageBreak/>
              <w:t>Povećanje broja posjeta web stranici Porezne uprave i OIB stranici</w:t>
            </w:r>
          </w:p>
        </w:tc>
        <w:tc>
          <w:tcPr>
            <w:tcW w:w="1013" w:type="dxa"/>
          </w:tcPr>
          <w:p w:rsidR="008846BB" w:rsidRDefault="008846BB">
            <w:pPr>
              <w:pStyle w:val="CellColumn"/>
              <w:jc w:val="right"/>
            </w:pPr>
            <w:r>
              <w:rPr>
                <w:rFonts w:cs="Times New Roman"/>
              </w:rPr>
              <w:t>broj</w:t>
            </w:r>
          </w:p>
        </w:tc>
        <w:tc>
          <w:tcPr>
            <w:tcW w:w="1020" w:type="dxa"/>
          </w:tcPr>
          <w:p w:rsidR="008846BB" w:rsidRDefault="008846BB">
            <w:pPr>
              <w:pStyle w:val="CellColumn"/>
              <w:jc w:val="right"/>
            </w:pPr>
            <w:r>
              <w:rPr>
                <w:rFonts w:cs="Times New Roman"/>
              </w:rPr>
              <w:t>8.717.000</w:t>
            </w:r>
          </w:p>
        </w:tc>
        <w:tc>
          <w:tcPr>
            <w:tcW w:w="1018" w:type="dxa"/>
          </w:tcPr>
          <w:p w:rsidR="008846BB" w:rsidRDefault="008846BB">
            <w:pPr>
              <w:pStyle w:val="CellColumn"/>
              <w:jc w:val="right"/>
            </w:pPr>
            <w:r>
              <w:rPr>
                <w:rFonts w:cs="Times New Roman"/>
              </w:rPr>
              <w:t>Godišnji izvještaj Strateškog plana Porezne uprave za 2016.g.</w:t>
            </w:r>
          </w:p>
        </w:tc>
        <w:tc>
          <w:tcPr>
            <w:tcW w:w="1020" w:type="dxa"/>
          </w:tcPr>
          <w:p w:rsidR="008846BB" w:rsidRDefault="008846BB">
            <w:pPr>
              <w:pStyle w:val="CellColumn"/>
              <w:jc w:val="right"/>
            </w:pPr>
            <w:r>
              <w:rPr>
                <w:rFonts w:cs="Times New Roman"/>
              </w:rPr>
              <w:t>8.800.000</w:t>
            </w:r>
          </w:p>
        </w:tc>
        <w:tc>
          <w:tcPr>
            <w:tcW w:w="1114" w:type="dxa"/>
          </w:tcPr>
          <w:p w:rsidR="008846BB" w:rsidRDefault="008846BB">
            <w:pPr>
              <w:pStyle w:val="CellColumn"/>
              <w:jc w:val="right"/>
            </w:pPr>
            <w:r>
              <w:rPr>
                <w:rFonts w:cs="Times New Roman"/>
              </w:rPr>
              <w:t>11.981.774</w:t>
            </w:r>
          </w:p>
        </w:tc>
      </w:tr>
      <w:tr w:rsidR="008846BB" w:rsidTr="008846BB">
        <w:trPr>
          <w:jc w:val="center"/>
        </w:trPr>
        <w:tc>
          <w:tcPr>
            <w:tcW w:w="2516" w:type="dxa"/>
          </w:tcPr>
          <w:p w:rsidR="008846BB" w:rsidRDefault="008846BB">
            <w:pPr>
              <w:pStyle w:val="CellColumn"/>
              <w:jc w:val="left"/>
            </w:pPr>
            <w:r>
              <w:rPr>
                <w:rFonts w:cs="Times New Roman"/>
              </w:rPr>
              <w:t>Povećanje broja obrađenih upita u Kontakt centru</w:t>
            </w:r>
          </w:p>
        </w:tc>
        <w:tc>
          <w:tcPr>
            <w:tcW w:w="1013" w:type="dxa"/>
          </w:tcPr>
          <w:p w:rsidR="008846BB" w:rsidRDefault="008846BB">
            <w:pPr>
              <w:pStyle w:val="CellColumn"/>
              <w:jc w:val="right"/>
            </w:pPr>
            <w:r>
              <w:rPr>
                <w:rFonts w:cs="Times New Roman"/>
              </w:rPr>
              <w:t>broj</w:t>
            </w:r>
          </w:p>
        </w:tc>
        <w:tc>
          <w:tcPr>
            <w:tcW w:w="1020" w:type="dxa"/>
          </w:tcPr>
          <w:p w:rsidR="008846BB" w:rsidRDefault="008846BB">
            <w:pPr>
              <w:pStyle w:val="CellColumn"/>
              <w:jc w:val="right"/>
            </w:pPr>
            <w:r>
              <w:rPr>
                <w:rFonts w:cs="Times New Roman"/>
              </w:rPr>
              <w:t>127.000</w:t>
            </w:r>
          </w:p>
        </w:tc>
        <w:tc>
          <w:tcPr>
            <w:tcW w:w="1018" w:type="dxa"/>
          </w:tcPr>
          <w:p w:rsidR="008846BB" w:rsidRDefault="008846BB">
            <w:pPr>
              <w:pStyle w:val="CellColumn"/>
              <w:jc w:val="right"/>
            </w:pPr>
            <w:r>
              <w:rPr>
                <w:rFonts w:cs="Times New Roman"/>
              </w:rPr>
              <w:t>Godišnji izvještaj Strateškog plana Porezne uprave za 2016.g.</w:t>
            </w:r>
          </w:p>
        </w:tc>
        <w:tc>
          <w:tcPr>
            <w:tcW w:w="1020" w:type="dxa"/>
          </w:tcPr>
          <w:p w:rsidR="008846BB" w:rsidRDefault="008846BB">
            <w:pPr>
              <w:pStyle w:val="CellColumn"/>
              <w:jc w:val="right"/>
            </w:pPr>
            <w:r>
              <w:rPr>
                <w:rFonts w:cs="Times New Roman"/>
              </w:rPr>
              <w:t>150.000</w:t>
            </w:r>
          </w:p>
        </w:tc>
        <w:tc>
          <w:tcPr>
            <w:tcW w:w="1114" w:type="dxa"/>
          </w:tcPr>
          <w:p w:rsidR="008846BB" w:rsidRDefault="008846BB">
            <w:pPr>
              <w:pStyle w:val="CellColumn"/>
              <w:jc w:val="right"/>
            </w:pPr>
            <w:r>
              <w:rPr>
                <w:rFonts w:cs="Times New Roman"/>
              </w:rPr>
              <w:t>164.475</w:t>
            </w:r>
          </w:p>
        </w:tc>
      </w:tr>
      <w:tr w:rsidR="008846BB" w:rsidTr="008846BB">
        <w:trPr>
          <w:jc w:val="center"/>
        </w:trPr>
        <w:tc>
          <w:tcPr>
            <w:tcW w:w="2516" w:type="dxa"/>
          </w:tcPr>
          <w:p w:rsidR="008846BB" w:rsidRDefault="008846BB">
            <w:pPr>
              <w:pStyle w:val="CellColumn"/>
              <w:jc w:val="left"/>
            </w:pPr>
            <w:r>
              <w:rPr>
                <w:rFonts w:cs="Times New Roman"/>
              </w:rPr>
              <w:t>Povećanje broja nadzora kod velikih poreznih obveznika</w:t>
            </w:r>
          </w:p>
        </w:tc>
        <w:tc>
          <w:tcPr>
            <w:tcW w:w="1013" w:type="dxa"/>
          </w:tcPr>
          <w:p w:rsidR="008846BB" w:rsidRDefault="008846BB">
            <w:pPr>
              <w:pStyle w:val="CellColumn"/>
              <w:jc w:val="right"/>
            </w:pPr>
            <w:r>
              <w:rPr>
                <w:rFonts w:cs="Times New Roman"/>
              </w:rPr>
              <w:t>broj</w:t>
            </w:r>
          </w:p>
        </w:tc>
        <w:tc>
          <w:tcPr>
            <w:tcW w:w="1020" w:type="dxa"/>
          </w:tcPr>
          <w:p w:rsidR="008846BB" w:rsidRDefault="008846BB">
            <w:pPr>
              <w:pStyle w:val="CellColumn"/>
              <w:jc w:val="right"/>
            </w:pPr>
            <w:r>
              <w:rPr>
                <w:rFonts w:cs="Times New Roman"/>
              </w:rPr>
              <w:t>58</w:t>
            </w:r>
          </w:p>
        </w:tc>
        <w:tc>
          <w:tcPr>
            <w:tcW w:w="1018" w:type="dxa"/>
          </w:tcPr>
          <w:p w:rsidR="008846BB" w:rsidRDefault="008846BB">
            <w:pPr>
              <w:pStyle w:val="CellColumn"/>
              <w:jc w:val="right"/>
            </w:pPr>
            <w:r>
              <w:rPr>
                <w:rFonts w:cs="Times New Roman"/>
              </w:rPr>
              <w:t>Godišnji izvještaj Strateškog plana Porezne uprave za 2016.g.</w:t>
            </w:r>
          </w:p>
        </w:tc>
        <w:tc>
          <w:tcPr>
            <w:tcW w:w="1020" w:type="dxa"/>
          </w:tcPr>
          <w:p w:rsidR="008846BB" w:rsidRDefault="008846BB">
            <w:pPr>
              <w:pStyle w:val="CellColumn"/>
              <w:jc w:val="right"/>
            </w:pPr>
            <w:r>
              <w:rPr>
                <w:rFonts w:cs="Times New Roman"/>
              </w:rPr>
              <w:t>64</w:t>
            </w:r>
          </w:p>
        </w:tc>
        <w:tc>
          <w:tcPr>
            <w:tcW w:w="1114" w:type="dxa"/>
          </w:tcPr>
          <w:p w:rsidR="008846BB" w:rsidRDefault="008846BB">
            <w:pPr>
              <w:pStyle w:val="CellColumn"/>
              <w:jc w:val="right"/>
            </w:pPr>
            <w:r>
              <w:rPr>
                <w:rFonts w:cs="Times New Roman"/>
              </w:rPr>
              <w:t>65</w:t>
            </w:r>
          </w:p>
        </w:tc>
      </w:tr>
      <w:tr w:rsidR="008846BB" w:rsidTr="008846BB">
        <w:trPr>
          <w:jc w:val="center"/>
        </w:trPr>
        <w:tc>
          <w:tcPr>
            <w:tcW w:w="2516" w:type="dxa"/>
          </w:tcPr>
          <w:p w:rsidR="008846BB" w:rsidRDefault="008846BB">
            <w:pPr>
              <w:pStyle w:val="CellColumn"/>
              <w:jc w:val="left"/>
            </w:pPr>
            <w:r>
              <w:rPr>
                <w:rFonts w:cs="Times New Roman"/>
              </w:rPr>
              <w:t>Povećanje novoutvrđenih obveza po inspektoru</w:t>
            </w:r>
          </w:p>
        </w:tc>
        <w:tc>
          <w:tcPr>
            <w:tcW w:w="1013" w:type="dxa"/>
          </w:tcPr>
          <w:p w:rsidR="008846BB" w:rsidRDefault="008846BB">
            <w:pPr>
              <w:pStyle w:val="CellColumn"/>
              <w:jc w:val="right"/>
            </w:pPr>
            <w:r>
              <w:rPr>
                <w:rFonts w:cs="Times New Roman"/>
              </w:rPr>
              <w:t>kn</w:t>
            </w:r>
          </w:p>
        </w:tc>
        <w:tc>
          <w:tcPr>
            <w:tcW w:w="1020" w:type="dxa"/>
          </w:tcPr>
          <w:p w:rsidR="008846BB" w:rsidRDefault="008846BB">
            <w:pPr>
              <w:pStyle w:val="CellColumn"/>
              <w:jc w:val="right"/>
            </w:pPr>
            <w:r>
              <w:rPr>
                <w:rFonts w:cs="Times New Roman"/>
              </w:rPr>
              <w:t>1.400.000</w:t>
            </w:r>
          </w:p>
        </w:tc>
        <w:tc>
          <w:tcPr>
            <w:tcW w:w="1018" w:type="dxa"/>
          </w:tcPr>
          <w:p w:rsidR="008846BB" w:rsidRDefault="008846BB">
            <w:pPr>
              <w:pStyle w:val="CellColumn"/>
              <w:jc w:val="right"/>
            </w:pPr>
            <w:r>
              <w:rPr>
                <w:rFonts w:cs="Times New Roman"/>
              </w:rPr>
              <w:t>Godišnji izvještaj Strateškog plana Porezne uprave za 2016.g.</w:t>
            </w:r>
          </w:p>
        </w:tc>
        <w:tc>
          <w:tcPr>
            <w:tcW w:w="1020" w:type="dxa"/>
          </w:tcPr>
          <w:p w:rsidR="008846BB" w:rsidRDefault="008846BB">
            <w:pPr>
              <w:pStyle w:val="CellColumn"/>
              <w:jc w:val="right"/>
            </w:pPr>
            <w:r>
              <w:rPr>
                <w:rFonts w:cs="Times New Roman"/>
              </w:rPr>
              <w:t>1.526.000</w:t>
            </w:r>
          </w:p>
        </w:tc>
        <w:tc>
          <w:tcPr>
            <w:tcW w:w="1114" w:type="dxa"/>
          </w:tcPr>
          <w:p w:rsidR="008846BB" w:rsidRDefault="008846BB">
            <w:pPr>
              <w:pStyle w:val="CellColumn"/>
              <w:jc w:val="right"/>
            </w:pPr>
            <w:r>
              <w:rPr>
                <w:rFonts w:cs="Times New Roman"/>
              </w:rPr>
              <w:t>2.354.000</w:t>
            </w:r>
          </w:p>
        </w:tc>
      </w:tr>
      <w:tr w:rsidR="008846BB" w:rsidTr="008846BB">
        <w:trPr>
          <w:jc w:val="center"/>
        </w:trPr>
        <w:tc>
          <w:tcPr>
            <w:tcW w:w="2516" w:type="dxa"/>
          </w:tcPr>
          <w:p w:rsidR="008846BB" w:rsidRDefault="008846BB">
            <w:pPr>
              <w:pStyle w:val="CellColumn"/>
              <w:jc w:val="left"/>
            </w:pPr>
            <w:r>
              <w:rPr>
                <w:rFonts w:cs="Times New Roman"/>
              </w:rPr>
              <w:t>Smanjenje iznosa iskazanog poreznog gubitka</w:t>
            </w:r>
          </w:p>
        </w:tc>
        <w:tc>
          <w:tcPr>
            <w:tcW w:w="1013" w:type="dxa"/>
          </w:tcPr>
          <w:p w:rsidR="008846BB" w:rsidRDefault="008846BB">
            <w:pPr>
              <w:pStyle w:val="CellColumn"/>
              <w:jc w:val="right"/>
            </w:pPr>
            <w:r>
              <w:rPr>
                <w:rFonts w:cs="Times New Roman"/>
              </w:rPr>
              <w:t>kn</w:t>
            </w:r>
          </w:p>
        </w:tc>
        <w:tc>
          <w:tcPr>
            <w:tcW w:w="1020" w:type="dxa"/>
          </w:tcPr>
          <w:p w:rsidR="008846BB" w:rsidRDefault="008846BB">
            <w:pPr>
              <w:pStyle w:val="CellColumn"/>
              <w:jc w:val="right"/>
            </w:pPr>
            <w:r>
              <w:rPr>
                <w:rFonts w:cs="Times New Roman"/>
              </w:rPr>
              <w:t>80.000.000</w:t>
            </w:r>
          </w:p>
        </w:tc>
        <w:tc>
          <w:tcPr>
            <w:tcW w:w="1018" w:type="dxa"/>
          </w:tcPr>
          <w:p w:rsidR="008846BB" w:rsidRDefault="008846BB">
            <w:pPr>
              <w:pStyle w:val="CellColumn"/>
              <w:jc w:val="right"/>
            </w:pPr>
            <w:r>
              <w:rPr>
                <w:rFonts w:cs="Times New Roman"/>
              </w:rPr>
              <w:t>Godišnji izvještaj Strateškog plana Porezne uprave za 2016.g.</w:t>
            </w:r>
          </w:p>
        </w:tc>
        <w:tc>
          <w:tcPr>
            <w:tcW w:w="1020" w:type="dxa"/>
          </w:tcPr>
          <w:p w:rsidR="008846BB" w:rsidRDefault="008846BB">
            <w:pPr>
              <w:pStyle w:val="CellColumn"/>
              <w:jc w:val="right"/>
            </w:pPr>
            <w:r>
              <w:rPr>
                <w:rFonts w:cs="Times New Roman"/>
              </w:rPr>
              <w:t>88.000.000</w:t>
            </w:r>
          </w:p>
        </w:tc>
        <w:tc>
          <w:tcPr>
            <w:tcW w:w="1114" w:type="dxa"/>
          </w:tcPr>
          <w:p w:rsidR="008846BB" w:rsidRDefault="008846BB">
            <w:pPr>
              <w:pStyle w:val="CellColumn"/>
              <w:jc w:val="right"/>
            </w:pPr>
            <w:r>
              <w:rPr>
                <w:rFonts w:cs="Times New Roman"/>
              </w:rPr>
              <w:t>508.000.000</w:t>
            </w:r>
          </w:p>
        </w:tc>
      </w:tr>
    </w:tbl>
    <w:p w:rsidR="005C2091" w:rsidRDefault="005C2091">
      <w:pPr>
        <w:jc w:val="left"/>
      </w:pPr>
    </w:p>
    <w:p w:rsidR="005C2091" w:rsidRDefault="00A86293">
      <w:pPr>
        <w:pStyle w:val="Heading4"/>
      </w:pPr>
      <w:r>
        <w:t>A541000 ADMINISTRACIJA I UPRAVLJANJE POREZNE UPRAVE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A541000-ADMINISTRACIJA I UPRAVLJANJE POREZNE UPRAVE</w:t>
            </w:r>
          </w:p>
        </w:tc>
        <w:tc>
          <w:tcPr>
            <w:tcW w:w="2041" w:type="dxa"/>
          </w:tcPr>
          <w:p w:rsidR="005C2091" w:rsidRDefault="00A86293">
            <w:pPr>
              <w:pStyle w:val="CellColumn"/>
              <w:jc w:val="right"/>
            </w:pPr>
            <w:r>
              <w:rPr>
                <w:rFonts w:cs="Times New Roman"/>
              </w:rPr>
              <w:t>747.987.348</w:t>
            </w:r>
          </w:p>
        </w:tc>
        <w:tc>
          <w:tcPr>
            <w:tcW w:w="2041" w:type="dxa"/>
          </w:tcPr>
          <w:p w:rsidR="005C2091" w:rsidRDefault="00A86293">
            <w:pPr>
              <w:pStyle w:val="CellColumn"/>
              <w:jc w:val="right"/>
            </w:pPr>
            <w:r>
              <w:rPr>
                <w:rFonts w:cs="Times New Roman"/>
              </w:rPr>
              <w:t>734.392.500</w:t>
            </w:r>
          </w:p>
        </w:tc>
        <w:tc>
          <w:tcPr>
            <w:tcW w:w="2041" w:type="dxa"/>
          </w:tcPr>
          <w:p w:rsidR="005C2091" w:rsidRDefault="00A86293">
            <w:pPr>
              <w:pStyle w:val="CellColumn"/>
              <w:jc w:val="right"/>
            </w:pPr>
            <w:r>
              <w:rPr>
                <w:rFonts w:cs="Times New Roman"/>
              </w:rPr>
              <w:t>723.861.835</w:t>
            </w:r>
          </w:p>
        </w:tc>
        <w:tc>
          <w:tcPr>
            <w:tcW w:w="1224" w:type="dxa"/>
          </w:tcPr>
          <w:p w:rsidR="005C2091" w:rsidRDefault="00A86293">
            <w:pPr>
              <w:pStyle w:val="CellColumn"/>
              <w:jc w:val="right"/>
            </w:pPr>
            <w:r>
              <w:rPr>
                <w:rFonts w:cs="Times New Roman"/>
              </w:rPr>
              <w:t>98,6</w:t>
            </w:r>
          </w:p>
        </w:tc>
        <w:tc>
          <w:tcPr>
            <w:tcW w:w="1224" w:type="dxa"/>
          </w:tcPr>
          <w:p w:rsidR="005C2091" w:rsidRDefault="00A86293">
            <w:pPr>
              <w:pStyle w:val="CellColumn"/>
              <w:jc w:val="right"/>
            </w:pPr>
            <w:r>
              <w:rPr>
                <w:rFonts w:cs="Times New Roman"/>
              </w:rPr>
              <w:t>96,8</w:t>
            </w:r>
          </w:p>
        </w:tc>
      </w:tr>
    </w:tbl>
    <w:p w:rsidR="005C2091" w:rsidRDefault="005C2091">
      <w:pPr>
        <w:jc w:val="left"/>
      </w:pPr>
    </w:p>
    <w:p w:rsidR="005C2091" w:rsidRDefault="00A86293">
      <w:pPr>
        <w:pStyle w:val="Heading8"/>
        <w:jc w:val="left"/>
      </w:pPr>
      <w:r>
        <w:t>Opis aktivnosti</w:t>
      </w:r>
    </w:p>
    <w:p w:rsidR="005C2091" w:rsidRDefault="00A86293">
      <w:r>
        <w:t xml:space="preserve">Kroz Aktivnost A541000 planirana su sredstva za podmirenje osnovnih potreba za normalno funkcioniranje rada Ministarstva financija, Porezne uprave (rashodi za zaposlene, materijalni, financijski i nefinancijski rashodi) te izvršenje dijela ciljeva iz strateškog plana Porezne uprave za razdoblje 2016. – 2018.  </w:t>
      </w:r>
    </w:p>
    <w:p w:rsidR="005C2091" w:rsidRDefault="00A86293">
      <w:r>
        <w:lastRenderedPageBreak/>
        <w:t xml:space="preserve"> Ukupni planirani rashodi po ovoj aktivnosti za 2016. godinu iznose 733.792.500 kuna. Od ukupnog iznosa planiranih rashoda, iz izvora 1 - Opći prihodi i primici planirano je 731.442.500 kuna, iz izvora 31 planirano je 600.000 kuna, iz izvora 43 planirano je 550.000 kuna, iz izvora 5 planirano je 1.800.000 kuna. </w:t>
      </w:r>
    </w:p>
    <w:p w:rsidR="005C2091" w:rsidRDefault="00A86293">
      <w:r>
        <w:t xml:space="preserve"> Ukupno izvršenje po ovoj aktivnosti za 2016. godinu iznosi 723.861.834 kuna. Od ukupno iznosa planiranih rashoda, sa izvora 1 - Opći prihodi i primici utrošeno je 721.856.390 kuna, sa izvora 43 utrošeno je 490.899 kuna, sa izvora 5 utrošeno je 1.514.545 kuna.</w:t>
      </w:r>
    </w:p>
    <w:p w:rsidR="005C2091" w:rsidRDefault="00A86293">
      <w:pPr>
        <w:pStyle w:val="Heading4"/>
      </w:pPr>
      <w:r>
        <w:t>A541018 TROŠKOVI STEČAJNIH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A541018-TROŠKOVI STEČAJNIH POSTUPAKA</w:t>
            </w:r>
          </w:p>
        </w:tc>
        <w:tc>
          <w:tcPr>
            <w:tcW w:w="2041" w:type="dxa"/>
          </w:tcPr>
          <w:p w:rsidR="005C2091" w:rsidRDefault="00A86293">
            <w:pPr>
              <w:pStyle w:val="CellColumn"/>
              <w:jc w:val="right"/>
            </w:pPr>
            <w:r>
              <w:rPr>
                <w:rFonts w:cs="Times New Roman"/>
              </w:rPr>
              <w:t>1.976.148</w:t>
            </w:r>
          </w:p>
        </w:tc>
        <w:tc>
          <w:tcPr>
            <w:tcW w:w="2041" w:type="dxa"/>
          </w:tcPr>
          <w:p w:rsidR="005C2091" w:rsidRDefault="00A86293">
            <w:pPr>
              <w:pStyle w:val="CellColumn"/>
              <w:jc w:val="right"/>
            </w:pPr>
            <w:r>
              <w:rPr>
                <w:rFonts w:cs="Times New Roman"/>
              </w:rPr>
              <w:t>2.375.000</w:t>
            </w:r>
          </w:p>
        </w:tc>
        <w:tc>
          <w:tcPr>
            <w:tcW w:w="2041" w:type="dxa"/>
          </w:tcPr>
          <w:p w:rsidR="005C2091" w:rsidRDefault="00A86293">
            <w:pPr>
              <w:pStyle w:val="CellColumn"/>
              <w:jc w:val="right"/>
            </w:pPr>
            <w:r>
              <w:rPr>
                <w:rFonts w:cs="Times New Roman"/>
              </w:rPr>
              <w:t>1.638.798</w:t>
            </w:r>
          </w:p>
        </w:tc>
        <w:tc>
          <w:tcPr>
            <w:tcW w:w="1224" w:type="dxa"/>
          </w:tcPr>
          <w:p w:rsidR="005C2091" w:rsidRDefault="00A86293">
            <w:pPr>
              <w:pStyle w:val="CellColumn"/>
              <w:jc w:val="right"/>
            </w:pPr>
            <w:r>
              <w:rPr>
                <w:rFonts w:cs="Times New Roman"/>
              </w:rPr>
              <w:t>69,0</w:t>
            </w:r>
          </w:p>
        </w:tc>
        <w:tc>
          <w:tcPr>
            <w:tcW w:w="1224" w:type="dxa"/>
          </w:tcPr>
          <w:p w:rsidR="005C2091" w:rsidRDefault="00A86293">
            <w:pPr>
              <w:pStyle w:val="CellColumn"/>
              <w:jc w:val="right"/>
            </w:pPr>
            <w:r>
              <w:rPr>
                <w:rFonts w:cs="Times New Roman"/>
              </w:rPr>
              <w:t>82,9</w:t>
            </w:r>
          </w:p>
        </w:tc>
      </w:tr>
    </w:tbl>
    <w:p w:rsidR="005C2091" w:rsidRDefault="005C2091">
      <w:pPr>
        <w:jc w:val="left"/>
      </w:pPr>
    </w:p>
    <w:p w:rsidR="005C2091" w:rsidRDefault="00A86293">
      <w:pPr>
        <w:pStyle w:val="Heading8"/>
        <w:jc w:val="left"/>
      </w:pPr>
      <w:r>
        <w:t>Opis aktivnosti</w:t>
      </w:r>
    </w:p>
    <w:p w:rsidR="005C2091" w:rsidRDefault="00A86293">
      <w:r>
        <w:t>S ove aktivnosti se podmiruju troškovi trgovačkog suda za pokretanje postupka stečajnog postupka. Pokretanje postupka stečaja pokreće Porezna uprava po službenoj dužnosti. Akcijskim planom Porezne uprave od listopada 2014. predviđeno je preuzimanje nekretnina i pokretnina stečajnih dužnika, na kojima Ministarstvo financija, Porezna uprava ima upisano razlučno pravo, kako bi se spriječila šteta za proračun Republike Hrvatske daljnjim snižavanjem cijene te radi okončanja dugotrajno vođenih stečajni postupaka.</w:t>
      </w:r>
    </w:p>
    <w:p w:rsidR="005C2091" w:rsidRDefault="00A86293">
      <w:pPr>
        <w:pStyle w:val="Heading4"/>
      </w:pPr>
      <w:r>
        <w:t>K270143 OBJEKTI ZA POTREBE POREZNE UPRAVE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K270143-OBJEKTI ZA POTREBE POREZNE UPRAVE</w:t>
            </w:r>
          </w:p>
        </w:tc>
        <w:tc>
          <w:tcPr>
            <w:tcW w:w="2041" w:type="dxa"/>
          </w:tcPr>
          <w:p w:rsidR="005C2091" w:rsidRDefault="00A86293">
            <w:pPr>
              <w:pStyle w:val="CellColumn"/>
              <w:jc w:val="right"/>
            </w:pPr>
            <w:r>
              <w:rPr>
                <w:rFonts w:cs="Times New Roman"/>
              </w:rPr>
              <w:t>3.457.175</w:t>
            </w:r>
          </w:p>
        </w:tc>
        <w:tc>
          <w:tcPr>
            <w:tcW w:w="2041" w:type="dxa"/>
          </w:tcPr>
          <w:p w:rsidR="005C2091" w:rsidRDefault="00A86293">
            <w:pPr>
              <w:pStyle w:val="CellColumn"/>
              <w:jc w:val="right"/>
            </w:pPr>
            <w:r>
              <w:rPr>
                <w:rFonts w:cs="Times New Roman"/>
              </w:rPr>
              <w:t>10.700.000</w:t>
            </w:r>
          </w:p>
        </w:tc>
        <w:tc>
          <w:tcPr>
            <w:tcW w:w="2041" w:type="dxa"/>
          </w:tcPr>
          <w:p w:rsidR="005C2091" w:rsidRDefault="00A86293">
            <w:pPr>
              <w:pStyle w:val="CellColumn"/>
              <w:jc w:val="right"/>
            </w:pPr>
            <w:r>
              <w:rPr>
                <w:rFonts w:cs="Times New Roman"/>
              </w:rPr>
              <w:t>4.195.460</w:t>
            </w:r>
          </w:p>
        </w:tc>
        <w:tc>
          <w:tcPr>
            <w:tcW w:w="1224" w:type="dxa"/>
          </w:tcPr>
          <w:p w:rsidR="005C2091" w:rsidRDefault="00A86293">
            <w:pPr>
              <w:pStyle w:val="CellColumn"/>
              <w:jc w:val="right"/>
            </w:pPr>
            <w:r>
              <w:rPr>
                <w:rFonts w:cs="Times New Roman"/>
              </w:rPr>
              <w:t>39,2</w:t>
            </w:r>
          </w:p>
        </w:tc>
        <w:tc>
          <w:tcPr>
            <w:tcW w:w="1224" w:type="dxa"/>
          </w:tcPr>
          <w:p w:rsidR="005C2091" w:rsidRDefault="00A86293">
            <w:pPr>
              <w:pStyle w:val="CellColumn"/>
              <w:jc w:val="right"/>
            </w:pPr>
            <w:r>
              <w:rPr>
                <w:rFonts w:cs="Times New Roman"/>
              </w:rPr>
              <w:t>121,4</w:t>
            </w:r>
          </w:p>
        </w:tc>
      </w:tr>
    </w:tbl>
    <w:p w:rsidR="005C2091" w:rsidRDefault="005C2091">
      <w:pPr>
        <w:jc w:val="left"/>
      </w:pPr>
    </w:p>
    <w:p w:rsidR="005C2091" w:rsidRDefault="00A86293">
      <w:pPr>
        <w:pStyle w:val="Heading8"/>
        <w:jc w:val="left"/>
      </w:pPr>
      <w:r>
        <w:t>Zakonske i druge pravne osnove</w:t>
      </w:r>
    </w:p>
    <w:p w:rsidR="005C2091" w:rsidRDefault="00A86293">
      <w:r>
        <w:t xml:space="preserve">Okvirni sporazum (OS) –  Održavanje poslovnih prostora </w:t>
      </w:r>
    </w:p>
    <w:p w:rsidR="005C2091" w:rsidRDefault="00A86293">
      <w:r>
        <w:t>Ugovor o izvođenju građevinskih radova za projekt Rekonstrukcije i dogradnje Ispostave Porezne uprave Vinkovci i smještaj  Pričuvnog Podatkovnog Centra za oporavak nakon nesreća (RAMP/W/03-09/NCB)</w:t>
      </w:r>
    </w:p>
    <w:p w:rsidR="005C2091" w:rsidRDefault="00A86293">
      <w:pPr>
        <w:pStyle w:val="Heading8"/>
        <w:jc w:val="left"/>
      </w:pPr>
      <w:r>
        <w:t>Opis aktivnosti</w:t>
      </w:r>
    </w:p>
    <w:p w:rsidR="005C2091" w:rsidRDefault="00A86293">
      <w:r>
        <w:t xml:space="preserve">Kroz Aktivnost K270143 planirana su sredstva za podmirenje osnovnih potreba za normalno funkcioniranje rada Ministarstva financija, Porezne uprave u vidu ulaganja u poslovne objekte kojima se Ministarstvo financija, Porezna uprava koristi u svom radu kao i izgradnju i smještaj Pričuvnog Podatkovnog Centra.  </w:t>
      </w:r>
    </w:p>
    <w:p w:rsidR="005C2091" w:rsidRDefault="00A86293">
      <w:r>
        <w:t xml:space="preserve"> </w:t>
      </w:r>
    </w:p>
    <w:p w:rsidR="005C2091" w:rsidRDefault="00A86293">
      <w:r>
        <w:t xml:space="preserve">Ukupni planirani rashodi po ovoj aktivnosti za 2016. godinu iznose 10.700.000 kuna. Od ukupnog iznosa planiranih rashoda, iz izvora 1 - Opći prihodi i primici planirano je 3.000.000 kuna, iz izvora 31 planirano je 400.000 kuna, iz izvora 43 planirano je 7.300.000 kuna. </w:t>
      </w:r>
    </w:p>
    <w:p w:rsidR="005C2091" w:rsidRDefault="00A86293">
      <w:r>
        <w:lastRenderedPageBreak/>
        <w:t xml:space="preserve"> Ukupno izvršenje po ovoj aktivnosti za 2016. godinu iznosi 4.195.460 kuna. Od ukupno iznosa planiranih rashoda, sa izvora 1 - Opći prihodi i primici utrošeno je 1.235.867 kuna, sa izvora 43 utrošeno je 2.959.593 kuna</w:t>
      </w:r>
    </w:p>
    <w:p w:rsidR="005C2091" w:rsidRDefault="00A86293">
      <w:pPr>
        <w:pStyle w:val="Heading4"/>
      </w:pPr>
      <w:r>
        <w:t>K270151 OPREMANJE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K270151-OPREMANJE</w:t>
            </w:r>
          </w:p>
        </w:tc>
        <w:tc>
          <w:tcPr>
            <w:tcW w:w="2041" w:type="dxa"/>
          </w:tcPr>
          <w:p w:rsidR="005C2091" w:rsidRDefault="00A86293">
            <w:pPr>
              <w:pStyle w:val="CellColumn"/>
              <w:jc w:val="right"/>
            </w:pPr>
            <w:r>
              <w:rPr>
                <w:rFonts w:cs="Times New Roman"/>
              </w:rPr>
              <w:t>3.182.236</w:t>
            </w:r>
          </w:p>
        </w:tc>
        <w:tc>
          <w:tcPr>
            <w:tcW w:w="2041" w:type="dxa"/>
          </w:tcPr>
          <w:p w:rsidR="005C2091" w:rsidRDefault="00A86293">
            <w:pPr>
              <w:pStyle w:val="CellColumn"/>
              <w:jc w:val="right"/>
            </w:pPr>
            <w:r>
              <w:rPr>
                <w:rFonts w:cs="Times New Roman"/>
              </w:rPr>
              <w:t>4.000.000</w:t>
            </w:r>
          </w:p>
        </w:tc>
        <w:tc>
          <w:tcPr>
            <w:tcW w:w="2041" w:type="dxa"/>
          </w:tcPr>
          <w:p w:rsidR="005C2091" w:rsidRDefault="00A86293">
            <w:pPr>
              <w:pStyle w:val="CellColumn"/>
              <w:jc w:val="right"/>
            </w:pPr>
            <w:r>
              <w:rPr>
                <w:rFonts w:cs="Times New Roman"/>
              </w:rPr>
              <w:t>2.359.390</w:t>
            </w:r>
          </w:p>
        </w:tc>
        <w:tc>
          <w:tcPr>
            <w:tcW w:w="1224" w:type="dxa"/>
          </w:tcPr>
          <w:p w:rsidR="005C2091" w:rsidRDefault="00A86293">
            <w:pPr>
              <w:pStyle w:val="CellColumn"/>
              <w:jc w:val="right"/>
            </w:pPr>
            <w:r>
              <w:rPr>
                <w:rFonts w:cs="Times New Roman"/>
              </w:rPr>
              <w:t>59,0</w:t>
            </w:r>
          </w:p>
        </w:tc>
        <w:tc>
          <w:tcPr>
            <w:tcW w:w="1224" w:type="dxa"/>
          </w:tcPr>
          <w:p w:rsidR="005C2091" w:rsidRDefault="00A86293">
            <w:pPr>
              <w:pStyle w:val="CellColumn"/>
              <w:jc w:val="right"/>
            </w:pPr>
            <w:r>
              <w:rPr>
                <w:rFonts w:cs="Times New Roman"/>
              </w:rPr>
              <w:t>74,1</w:t>
            </w:r>
          </w:p>
        </w:tc>
      </w:tr>
    </w:tbl>
    <w:p w:rsidR="005C2091" w:rsidRDefault="005C2091">
      <w:pPr>
        <w:jc w:val="left"/>
      </w:pPr>
    </w:p>
    <w:p w:rsidR="005C2091" w:rsidRDefault="00A86293">
      <w:pPr>
        <w:pStyle w:val="Heading8"/>
        <w:jc w:val="left"/>
      </w:pPr>
      <w:r>
        <w:t>Zakonske i druge pravne osnove</w:t>
      </w:r>
    </w:p>
    <w:p w:rsidR="005C2091" w:rsidRDefault="00A86293">
      <w:r>
        <w:t xml:space="preserve">Okvirni sporazum –  Uredski namještaj Arhivska oprema </w:t>
      </w:r>
    </w:p>
    <w:p w:rsidR="005C2091" w:rsidRDefault="00A86293">
      <w:r>
        <w:t xml:space="preserve">Okvirni sporazum – za servis i održavanje telekomunikacijskog sustava, poslovne IP telefonske mreže sa telekomunikacijskim uređajima i telefonima </w:t>
      </w:r>
    </w:p>
    <w:p w:rsidR="005C2091" w:rsidRDefault="00A86293">
      <w:r>
        <w:t xml:space="preserve">Okvirni sporazum – nabava usluge servisa i održavanja opreme za klimatizaciju, grijanje, hlađenje, ventilaciju i automatsku regulaciju </w:t>
      </w:r>
    </w:p>
    <w:p w:rsidR="005C2091" w:rsidRDefault="00A86293">
      <w:r>
        <w:t xml:space="preserve">Okvirni sporazum – o nabavi nadogradnje servisa i opreme u mrežnom (data i voice) podsustavu </w:t>
      </w:r>
    </w:p>
    <w:p w:rsidR="005C2091" w:rsidRDefault="00A86293">
      <w:r>
        <w:t xml:space="preserve">Okvirni sporazum – za servis i održavanje opreme za klimatizaciju, grijanje, hlađenje, ventilaciju i automatsku regulaciju </w:t>
      </w:r>
    </w:p>
    <w:p w:rsidR="005C2091" w:rsidRDefault="00A86293">
      <w:r>
        <w:t>Okvirni sporazum – nabava i instalacija klimatizacijske opreme</w:t>
      </w:r>
    </w:p>
    <w:p w:rsidR="005C2091" w:rsidRDefault="00A86293">
      <w:pPr>
        <w:pStyle w:val="Heading8"/>
        <w:jc w:val="left"/>
      </w:pPr>
      <w:r>
        <w:t>Opis aktivnosti</w:t>
      </w:r>
    </w:p>
    <w:p w:rsidR="005C2091" w:rsidRDefault="00A86293">
      <w:r>
        <w:t xml:space="preserve">Kroz Aktivnost K270151 planirana su sredstva za podmirenje osnovnih potreba za normalno funkcioniranje rada Ministarstva financija, Porezne uprave u vidu nabave nove uredske opreme i namještaja. </w:t>
      </w:r>
    </w:p>
    <w:p w:rsidR="005C2091" w:rsidRDefault="00A86293">
      <w:r>
        <w:t xml:space="preserve">Ukupni planirani rashodi po ovoj aktivnosti za 2016. godinu iznose 4.000.000 kuna. Od ukupnog iznosa planiranih rashoda, iz izvora 1 - Opći prihodi i primici planirano je 2.200.000 kuna, iz izvora 43 planirano je 1.800.000 kuna. </w:t>
      </w:r>
    </w:p>
    <w:p w:rsidR="005C2091" w:rsidRDefault="00A86293">
      <w:r>
        <w:t xml:space="preserve"> Ukupno izvršenje po ovoj aktivnosti za 2016. godinu iznosi 2.359.390 kuna. Od ukupno iznosa planiranih rashoda, sa izvora 1 - Opći prihodi i primici utrošeno je 1.401.655 kuna, sa izvora 43 utrošeno je 957.735 kuna.</w:t>
      </w:r>
    </w:p>
    <w:p w:rsidR="005C2091" w:rsidRDefault="00A86293">
      <w:pPr>
        <w:pStyle w:val="Heading4"/>
      </w:pPr>
      <w:r>
        <w:t>K270160 INFORMATIZACIJA POREZNE UPRAVE</w:t>
      </w:r>
    </w:p>
    <w:tbl>
      <w:tblPr>
        <w:tblStyle w:val="StilTablice"/>
        <w:tblW w:w="10206" w:type="dxa"/>
        <w:jc w:val="center"/>
        <w:tblLook w:val="04A0" w:firstRow="1" w:lastRow="0" w:firstColumn="1" w:lastColumn="0" w:noHBand="0" w:noVBand="1"/>
      </w:tblPr>
      <w:tblGrid>
        <w:gridCol w:w="1914"/>
        <w:gridCol w:w="1959"/>
        <w:gridCol w:w="1959"/>
        <w:gridCol w:w="1959"/>
        <w:gridCol w:w="1203"/>
        <w:gridCol w:w="121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K270160-INFORMATIZACIJA POREZNE UPRAVE</w:t>
            </w:r>
          </w:p>
        </w:tc>
        <w:tc>
          <w:tcPr>
            <w:tcW w:w="2041" w:type="dxa"/>
          </w:tcPr>
          <w:p w:rsidR="005C2091" w:rsidRDefault="00A86293">
            <w:pPr>
              <w:pStyle w:val="CellColumn"/>
              <w:jc w:val="right"/>
            </w:pPr>
            <w:r>
              <w:rPr>
                <w:rFonts w:cs="Times New Roman"/>
              </w:rPr>
              <w:t>10.731.812</w:t>
            </w:r>
          </w:p>
        </w:tc>
        <w:tc>
          <w:tcPr>
            <w:tcW w:w="2041" w:type="dxa"/>
          </w:tcPr>
          <w:p w:rsidR="005C2091" w:rsidRDefault="00A86293">
            <w:pPr>
              <w:pStyle w:val="CellColumn"/>
              <w:jc w:val="right"/>
            </w:pPr>
            <w:r>
              <w:rPr>
                <w:rFonts w:cs="Times New Roman"/>
              </w:rPr>
              <w:t>70.660.000</w:t>
            </w:r>
          </w:p>
        </w:tc>
        <w:tc>
          <w:tcPr>
            <w:tcW w:w="2041" w:type="dxa"/>
          </w:tcPr>
          <w:p w:rsidR="005C2091" w:rsidRDefault="00A86293">
            <w:pPr>
              <w:pStyle w:val="CellColumn"/>
              <w:jc w:val="right"/>
            </w:pPr>
            <w:r>
              <w:rPr>
                <w:rFonts w:cs="Times New Roman"/>
              </w:rPr>
              <w:t>48.071.445</w:t>
            </w:r>
          </w:p>
        </w:tc>
        <w:tc>
          <w:tcPr>
            <w:tcW w:w="1224" w:type="dxa"/>
          </w:tcPr>
          <w:p w:rsidR="005C2091" w:rsidRDefault="00A86293">
            <w:pPr>
              <w:pStyle w:val="CellColumn"/>
              <w:jc w:val="right"/>
            </w:pPr>
            <w:r>
              <w:rPr>
                <w:rFonts w:cs="Times New Roman"/>
              </w:rPr>
              <w:t>68,0</w:t>
            </w:r>
          </w:p>
        </w:tc>
        <w:tc>
          <w:tcPr>
            <w:tcW w:w="1224" w:type="dxa"/>
          </w:tcPr>
          <w:p w:rsidR="005C2091" w:rsidRDefault="00A86293">
            <w:pPr>
              <w:pStyle w:val="CellColumn"/>
              <w:jc w:val="right"/>
            </w:pPr>
            <w:r>
              <w:rPr>
                <w:rFonts w:cs="Times New Roman"/>
              </w:rPr>
              <w:t>447,9</w:t>
            </w:r>
          </w:p>
        </w:tc>
      </w:tr>
    </w:tbl>
    <w:p w:rsidR="005C2091" w:rsidRDefault="005C2091">
      <w:pPr>
        <w:jc w:val="left"/>
      </w:pPr>
    </w:p>
    <w:p w:rsidR="005C2091" w:rsidRDefault="00A86293">
      <w:pPr>
        <w:pStyle w:val="Heading8"/>
        <w:jc w:val="left"/>
      </w:pPr>
      <w:r>
        <w:t>Zakonske i druge pravne osnove</w:t>
      </w:r>
    </w:p>
    <w:p w:rsidR="005C2091" w:rsidRDefault="00A86293">
      <w:r>
        <w:t xml:space="preserve">Okvirni sporazum - o nabavi Microsoft licenci za korištenje softverskih proizvoda i usluga </w:t>
      </w:r>
    </w:p>
    <w:p w:rsidR="005C2091" w:rsidRDefault="00A86293">
      <w:r>
        <w:t xml:space="preserve">Okvirni sporazum - o nabavi usluga održavanja EU sustava </w:t>
      </w:r>
    </w:p>
    <w:p w:rsidR="005C2091" w:rsidRDefault="00A86293">
      <w:r>
        <w:t xml:space="preserve">Okvirni sporazum - DUSJN - za nabavu računala i računalne opreme </w:t>
      </w:r>
    </w:p>
    <w:p w:rsidR="005C2091" w:rsidRDefault="00A86293">
      <w:r>
        <w:t xml:space="preserve">Okvirni sporazum- za nabavu usluge korištenja, održavanja i razvoja novih funkcionalnosti, te prilagodbe zahtjevima EU informacijskog sustava Ministarstva financija </w:t>
      </w:r>
    </w:p>
    <w:p w:rsidR="005C2091" w:rsidRDefault="00A86293">
      <w:r>
        <w:t>Okvirni sporazum - o nabavi održavanja informatičkog i komunikacijskog sustava</w:t>
      </w:r>
    </w:p>
    <w:p w:rsidR="005C2091" w:rsidRDefault="00A86293">
      <w:pPr>
        <w:pStyle w:val="Heading8"/>
        <w:jc w:val="left"/>
      </w:pPr>
      <w:r>
        <w:lastRenderedPageBreak/>
        <w:t>Opis aktivnosti</w:t>
      </w:r>
    </w:p>
    <w:p w:rsidR="005C2091" w:rsidRDefault="00A86293">
      <w:r>
        <w:t xml:space="preserve">Kroz Aktivnost K270160 planirana su sredstva za podmirenje osnovnih potreba za normalno funkcioniranje rada Ministarstva financija, Porezne uprave u vidu nabave novih i održavanje postojećih računalnih programa u vlasništvu Ministarstva financija, Porezne uprave. </w:t>
      </w:r>
    </w:p>
    <w:p w:rsidR="005C2091" w:rsidRDefault="00A86293">
      <w:r>
        <w:t xml:space="preserve">Ukupni planirani rashodi po ovoj aktivnosti za 2016. godinu iznose 70.660.000 kuna. Od ukupnog iznosa planiranih rashoda, iz izvora 1 - Opći prihodi i primici planirano je 40.510.000 kuna, iz izvora 43 planirano je 30.150.000 kuna. </w:t>
      </w:r>
    </w:p>
    <w:p w:rsidR="005C2091" w:rsidRDefault="00A86293">
      <w:r>
        <w:t xml:space="preserve"> Ukupno izvršenje po ovoj aktivnosti za 2016. godinu iznosi 48.071.445 kuna. Od ukupno iznosa planiranih rashoda, sa izvora 1 - Opći prihodi i primici utrošeno je 30.519.055 kuna, sa izvora 43 utrošeno je 17.552.390 kuna</w:t>
      </w:r>
    </w:p>
    <w:p w:rsidR="005C2091" w:rsidRDefault="00A86293">
      <w:pPr>
        <w:pStyle w:val="Heading4"/>
      </w:pPr>
      <w:r>
        <w:t>K541007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K541007-OBNOVA VOZNOG PARKA</w:t>
            </w:r>
          </w:p>
        </w:tc>
        <w:tc>
          <w:tcPr>
            <w:tcW w:w="2041" w:type="dxa"/>
          </w:tcPr>
          <w:p w:rsidR="005C2091" w:rsidRDefault="00A86293">
            <w:pPr>
              <w:pStyle w:val="CellColumn"/>
              <w:jc w:val="right"/>
            </w:pPr>
            <w:r>
              <w:rPr>
                <w:rFonts w:cs="Times New Roman"/>
              </w:rPr>
              <w:t>5.629.795</w:t>
            </w:r>
          </w:p>
        </w:tc>
        <w:tc>
          <w:tcPr>
            <w:tcW w:w="2041" w:type="dxa"/>
          </w:tcPr>
          <w:p w:rsidR="005C2091" w:rsidRDefault="00A86293">
            <w:pPr>
              <w:pStyle w:val="CellColumn"/>
              <w:jc w:val="right"/>
            </w:pPr>
            <w:r>
              <w:rPr>
                <w:rFonts w:cs="Times New Roman"/>
              </w:rPr>
              <w:t>3.581.582</w:t>
            </w:r>
          </w:p>
        </w:tc>
        <w:tc>
          <w:tcPr>
            <w:tcW w:w="2041" w:type="dxa"/>
          </w:tcPr>
          <w:p w:rsidR="005C2091" w:rsidRDefault="00A86293">
            <w:pPr>
              <w:pStyle w:val="CellColumn"/>
              <w:jc w:val="right"/>
            </w:pPr>
            <w:r>
              <w:rPr>
                <w:rFonts w:cs="Times New Roman"/>
              </w:rPr>
              <w:t>2.528.241</w:t>
            </w:r>
          </w:p>
        </w:tc>
        <w:tc>
          <w:tcPr>
            <w:tcW w:w="1224" w:type="dxa"/>
          </w:tcPr>
          <w:p w:rsidR="005C2091" w:rsidRDefault="00A86293">
            <w:pPr>
              <w:pStyle w:val="CellColumn"/>
              <w:jc w:val="right"/>
            </w:pPr>
            <w:r>
              <w:rPr>
                <w:rFonts w:cs="Times New Roman"/>
              </w:rPr>
              <w:t>70,6</w:t>
            </w:r>
          </w:p>
        </w:tc>
        <w:tc>
          <w:tcPr>
            <w:tcW w:w="1224" w:type="dxa"/>
          </w:tcPr>
          <w:p w:rsidR="005C2091" w:rsidRDefault="00A86293">
            <w:pPr>
              <w:pStyle w:val="CellColumn"/>
              <w:jc w:val="right"/>
            </w:pPr>
            <w:r>
              <w:rPr>
                <w:rFonts w:cs="Times New Roman"/>
              </w:rPr>
              <w:t>44,9</w:t>
            </w:r>
          </w:p>
        </w:tc>
      </w:tr>
    </w:tbl>
    <w:p w:rsidR="005C2091" w:rsidRDefault="005C2091">
      <w:pPr>
        <w:jc w:val="left"/>
      </w:pPr>
    </w:p>
    <w:p w:rsidR="005C2091" w:rsidRDefault="00A86293">
      <w:pPr>
        <w:pStyle w:val="Heading8"/>
        <w:jc w:val="left"/>
      </w:pPr>
      <w:r>
        <w:t>Opis aktivnosti</w:t>
      </w:r>
    </w:p>
    <w:p w:rsidR="005C2091" w:rsidRDefault="00A86293">
      <w:r>
        <w:t>Kapitalnim projektom K541007 Obnova voznog parka predviđena je nabava službenih vozila sukladno potrebama Porezne uprave putem operativnog leasinga s ostatkom vrijednosti. Prosječna starosti službenih vozila u vlasništvu Porezne uprave iznosi 16 godina. Troškovi održavanja s obzirom na starost vozila su stoga izuzetno visoki. Temeljem navedenog, i sukladno ovlastima i potrebi za obavljanje poslova iz djelokruga rada Porezne uprave proizlazi potreba za obnovom i proširenjem voznog parka putem operativnog leasinga, sukladno postupku javne nabave koji provodi Državni ured za središnju javnu nabavu. Planirani rashodi unutar navedenog kapitalnog projekta odnose se na otplatu operativnog leasinga za službena vozila nabavljena u 2010. i 2014.</w:t>
      </w:r>
    </w:p>
    <w:p w:rsidR="005C2091" w:rsidRDefault="00A86293">
      <w:pPr>
        <w:pStyle w:val="Heading2"/>
      </w:pPr>
      <w:r>
        <w:t>02540 Agencija za reviziju sustava provedbe programa Europske unije</w:t>
      </w:r>
    </w:p>
    <w:p w:rsidR="005C2091" w:rsidRDefault="00A86293">
      <w:r>
        <w:t xml:space="preserve">Jedan od glavnih čimbenika za provedbu programa Europske Unije je Tijelo za reviziju (eng. Audit Authority). Ulogu Tijela za reviziju u Republici Hrvatskoj ima Agencija za reviziju sustava provedbe programa Europske Unije (dalje u tekstu: ARPA).  </w:t>
      </w:r>
    </w:p>
    <w:p w:rsidR="005C2091" w:rsidRDefault="00A86293">
      <w:r>
        <w:t xml:space="preserve"> ARPA je funkcionalno neovisna od svih sudionika u sustavu upravljanja i kontrole sredstvima EU. Svoje aktivnosti obavlja prema međunarodno prihvaćenim revizijskim standardima. Odgovorna je za potvrđivanje djelotvornog i dobrog rada sustava upravljanja i kontrole, odnosno provodi ulogu vanjske revizije u sustavu EU fondova.  </w:t>
      </w:r>
    </w:p>
    <w:p w:rsidR="005C2091" w:rsidRDefault="00A86293">
      <w:r>
        <w:t xml:space="preserve"> ARPA izrađuje i dostavlja godišnja revizijska (kontrolna) izvješća te revizijska mišljenja i službama Europske komisije pri čemu izvještava o učinkovitosti i djelotvornosti sustava upravljanja i  kontrole EU fondova u Republici Hrvatskoj, te o valjanosti, ispravnosti i zakonitosti svih računovodstvenih evidencija i izvršenih transakcija.   </w:t>
      </w:r>
    </w:p>
    <w:p w:rsidR="005C2091" w:rsidRDefault="00A86293">
      <w:r>
        <w:t xml:space="preserve">Poslovi revizije programa Europske Unije, njihovo kvalitetno ustrojavanje i provođenje su izuzetno značajni i njihova provedba predstavlja dodanu vrijednost radu državne uprave.   </w:t>
      </w:r>
    </w:p>
    <w:p w:rsidR="005C2091" w:rsidRDefault="00A86293">
      <w:r>
        <w:t>U okviru svojih odgovornosti za revidiranje IPA programa, a od 1. srpnja 2013. godine i Europskog fonda za regionalni razvoj, Europskog socijalnog fonda, Kohezijskog fonda, Europskog fonda za jamstva u poljoprivredi, Europskog fonda za poljoprivredu i ruralni razvoj, Europskog fonda za pomorstvo i ribarstvo, Schengen Facilitya, te 13 programa Europske teritorijalne suradnje, ARPA je dužna osigurati djelotvorne i učinkovite revizije s ciljem izražavanja mišljenja o sustavu upravljanja i kontrola te pouzdanosti računovodstvenih podataka. ARPA je ukupno odgovorna za reviziju 21 operativnog programa koji se financiraju iz 11 različitih EU fondova.</w:t>
      </w:r>
    </w:p>
    <w:tbl>
      <w:tblPr>
        <w:tblStyle w:val="StilTablice"/>
        <w:tblW w:w="10206" w:type="dxa"/>
        <w:jc w:val="center"/>
        <w:tblLook w:val="04A0" w:firstRow="1" w:lastRow="0" w:firstColumn="1" w:lastColumn="0" w:noHBand="0" w:noVBand="1"/>
      </w:tblPr>
      <w:tblGrid>
        <w:gridCol w:w="1793"/>
        <w:gridCol w:w="1994"/>
        <w:gridCol w:w="1995"/>
        <w:gridCol w:w="1995"/>
        <w:gridCol w:w="1212"/>
        <w:gridCol w:w="1217"/>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02540-Agencija za reviziju sustava provedbe programa Europske unije</w:t>
            </w:r>
          </w:p>
        </w:tc>
        <w:tc>
          <w:tcPr>
            <w:tcW w:w="2041" w:type="dxa"/>
            <w:vAlign w:val="top"/>
          </w:tcPr>
          <w:p w:rsidR="005C2091" w:rsidRDefault="00A86293">
            <w:pPr>
              <w:pStyle w:val="CellColumn"/>
              <w:jc w:val="right"/>
            </w:pPr>
            <w:r>
              <w:rPr>
                <w:rFonts w:cs="Times New Roman"/>
              </w:rPr>
              <w:t>12.696.751</w:t>
            </w:r>
          </w:p>
        </w:tc>
        <w:tc>
          <w:tcPr>
            <w:tcW w:w="2041" w:type="dxa"/>
            <w:vAlign w:val="top"/>
          </w:tcPr>
          <w:p w:rsidR="005C2091" w:rsidRDefault="00A86293">
            <w:pPr>
              <w:pStyle w:val="CellColumn"/>
              <w:jc w:val="right"/>
            </w:pPr>
            <w:r>
              <w:rPr>
                <w:rFonts w:cs="Times New Roman"/>
              </w:rPr>
              <w:t>20.017.150</w:t>
            </w:r>
          </w:p>
        </w:tc>
        <w:tc>
          <w:tcPr>
            <w:tcW w:w="2041" w:type="dxa"/>
            <w:vAlign w:val="top"/>
          </w:tcPr>
          <w:p w:rsidR="005C2091" w:rsidRDefault="00A86293">
            <w:pPr>
              <w:pStyle w:val="CellColumn"/>
              <w:jc w:val="right"/>
            </w:pPr>
            <w:r>
              <w:rPr>
                <w:rFonts w:cs="Times New Roman"/>
              </w:rPr>
              <w:t>17.401.145</w:t>
            </w:r>
          </w:p>
        </w:tc>
        <w:tc>
          <w:tcPr>
            <w:tcW w:w="1224" w:type="dxa"/>
            <w:vAlign w:val="top"/>
          </w:tcPr>
          <w:p w:rsidR="005C2091" w:rsidRDefault="00A86293">
            <w:pPr>
              <w:pStyle w:val="CellColumn"/>
              <w:jc w:val="right"/>
            </w:pPr>
            <w:r>
              <w:rPr>
                <w:rFonts w:cs="Times New Roman"/>
              </w:rPr>
              <w:t>86,9</w:t>
            </w:r>
          </w:p>
        </w:tc>
        <w:tc>
          <w:tcPr>
            <w:tcW w:w="1224" w:type="dxa"/>
            <w:vAlign w:val="top"/>
          </w:tcPr>
          <w:p w:rsidR="005C2091" w:rsidRDefault="00A86293">
            <w:pPr>
              <w:pStyle w:val="CellColumn"/>
              <w:jc w:val="right"/>
            </w:pPr>
            <w:r>
              <w:rPr>
                <w:rFonts w:cs="Times New Roman"/>
              </w:rPr>
              <w:t>137,1</w:t>
            </w:r>
          </w:p>
        </w:tc>
      </w:tr>
      <w:tr w:rsidR="005C2091">
        <w:trPr>
          <w:jc w:val="center"/>
        </w:trPr>
        <w:tc>
          <w:tcPr>
            <w:tcW w:w="1632" w:type="dxa"/>
          </w:tcPr>
          <w:p w:rsidR="005C2091" w:rsidRDefault="00A86293">
            <w:pPr>
              <w:jc w:val="left"/>
            </w:pPr>
            <w:r>
              <w:t>2206-UPRAVLJANJE PRETPRISTUPNIM FONDOVIMA</w:t>
            </w:r>
          </w:p>
        </w:tc>
        <w:tc>
          <w:tcPr>
            <w:tcW w:w="2041" w:type="dxa"/>
          </w:tcPr>
          <w:p w:rsidR="005C2091" w:rsidRDefault="00A86293">
            <w:pPr>
              <w:jc w:val="right"/>
            </w:pPr>
            <w:r>
              <w:t>12.696.751</w:t>
            </w:r>
          </w:p>
        </w:tc>
        <w:tc>
          <w:tcPr>
            <w:tcW w:w="2041" w:type="dxa"/>
          </w:tcPr>
          <w:p w:rsidR="005C2091" w:rsidRDefault="00A86293">
            <w:pPr>
              <w:jc w:val="right"/>
            </w:pPr>
            <w:r>
              <w:t>20.017.150</w:t>
            </w:r>
          </w:p>
        </w:tc>
        <w:tc>
          <w:tcPr>
            <w:tcW w:w="2041" w:type="dxa"/>
          </w:tcPr>
          <w:p w:rsidR="005C2091" w:rsidRDefault="00A86293">
            <w:pPr>
              <w:jc w:val="right"/>
            </w:pPr>
            <w:r>
              <w:t>17.401.145</w:t>
            </w:r>
          </w:p>
        </w:tc>
        <w:tc>
          <w:tcPr>
            <w:tcW w:w="1224" w:type="dxa"/>
          </w:tcPr>
          <w:p w:rsidR="005C2091" w:rsidRDefault="00A86293">
            <w:pPr>
              <w:jc w:val="right"/>
            </w:pPr>
            <w:r>
              <w:t>86,9</w:t>
            </w:r>
          </w:p>
        </w:tc>
        <w:tc>
          <w:tcPr>
            <w:tcW w:w="1224" w:type="dxa"/>
          </w:tcPr>
          <w:p w:rsidR="005C2091" w:rsidRDefault="00A86293">
            <w:pPr>
              <w:jc w:val="right"/>
            </w:pPr>
            <w:r>
              <w:t>137,1</w:t>
            </w:r>
          </w:p>
        </w:tc>
      </w:tr>
    </w:tbl>
    <w:p w:rsidR="005C2091" w:rsidRDefault="005C2091">
      <w:pPr>
        <w:jc w:val="left"/>
      </w:pPr>
    </w:p>
    <w:p w:rsidR="005C2091" w:rsidRDefault="00A86293">
      <w:pPr>
        <w:pStyle w:val="Heading3"/>
      </w:pPr>
      <w:r>
        <w:rPr>
          <w:rFonts w:cs="Times New Roman"/>
        </w:rPr>
        <w:t>2206 UPRAVLJANJE PRETPRISTUPNIM FONDOVIMA</w:t>
      </w:r>
    </w:p>
    <w:tbl>
      <w:tblPr>
        <w:tblStyle w:val="StilTablice"/>
        <w:tblW w:w="10206" w:type="dxa"/>
        <w:jc w:val="center"/>
        <w:tblLook w:val="04A0" w:firstRow="1" w:lastRow="0" w:firstColumn="1" w:lastColumn="0" w:noHBand="0" w:noVBand="1"/>
      </w:tblPr>
      <w:tblGrid>
        <w:gridCol w:w="1793"/>
        <w:gridCol w:w="1994"/>
        <w:gridCol w:w="1995"/>
        <w:gridCol w:w="1995"/>
        <w:gridCol w:w="1212"/>
        <w:gridCol w:w="1217"/>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2206-UPRAVLJANJE PRETPRISTUPNIM FONDOVIMA</w:t>
            </w:r>
          </w:p>
        </w:tc>
        <w:tc>
          <w:tcPr>
            <w:tcW w:w="2041" w:type="dxa"/>
          </w:tcPr>
          <w:p w:rsidR="005C2091" w:rsidRDefault="00A86293">
            <w:pPr>
              <w:pStyle w:val="CellColumn"/>
              <w:jc w:val="right"/>
            </w:pPr>
            <w:r>
              <w:rPr>
                <w:rFonts w:cs="Times New Roman"/>
              </w:rPr>
              <w:t>12.696.751</w:t>
            </w:r>
          </w:p>
        </w:tc>
        <w:tc>
          <w:tcPr>
            <w:tcW w:w="2041" w:type="dxa"/>
          </w:tcPr>
          <w:p w:rsidR="005C2091" w:rsidRDefault="00A86293">
            <w:pPr>
              <w:pStyle w:val="CellColumn"/>
              <w:jc w:val="right"/>
            </w:pPr>
            <w:r>
              <w:rPr>
                <w:rFonts w:cs="Times New Roman"/>
              </w:rPr>
              <w:t>20.017.150</w:t>
            </w:r>
          </w:p>
        </w:tc>
        <w:tc>
          <w:tcPr>
            <w:tcW w:w="2041" w:type="dxa"/>
          </w:tcPr>
          <w:p w:rsidR="005C2091" w:rsidRDefault="00A86293">
            <w:pPr>
              <w:pStyle w:val="CellColumn"/>
              <w:jc w:val="right"/>
            </w:pPr>
            <w:r>
              <w:rPr>
                <w:rFonts w:cs="Times New Roman"/>
              </w:rPr>
              <w:t>17.401.145</w:t>
            </w:r>
          </w:p>
        </w:tc>
        <w:tc>
          <w:tcPr>
            <w:tcW w:w="1224" w:type="dxa"/>
          </w:tcPr>
          <w:p w:rsidR="005C2091" w:rsidRDefault="00A86293">
            <w:pPr>
              <w:pStyle w:val="CellColumn"/>
              <w:jc w:val="right"/>
            </w:pPr>
            <w:r>
              <w:rPr>
                <w:rFonts w:cs="Times New Roman"/>
              </w:rPr>
              <w:t>86,9</w:t>
            </w:r>
          </w:p>
        </w:tc>
        <w:tc>
          <w:tcPr>
            <w:tcW w:w="1224" w:type="dxa"/>
          </w:tcPr>
          <w:p w:rsidR="005C2091" w:rsidRDefault="00A86293">
            <w:pPr>
              <w:pStyle w:val="CellColumn"/>
              <w:jc w:val="right"/>
            </w:pPr>
            <w:r>
              <w:rPr>
                <w:rFonts w:cs="Times New Roman"/>
              </w:rPr>
              <w:t>137,1</w:t>
            </w:r>
          </w:p>
        </w:tc>
      </w:tr>
    </w:tbl>
    <w:p w:rsidR="005C2091" w:rsidRDefault="005C2091">
      <w:pPr>
        <w:jc w:val="left"/>
      </w:pPr>
    </w:p>
    <w:p w:rsidR="005C2091" w:rsidRDefault="00A86293">
      <w:r>
        <w:t>Uloga i značaj revizije proizlaze iz potrebe kontinuiranog praćenja i procjene učinkovitosti sustava upravljanja, odnosno adekvatnosti i funkcionalnosti uspostavljenih kontrolnih mehanizama, ukazivanja na slabosti i poteškoće koje mogu nastati u sustavu te davanja preporuka za poboljšanje poslovanja. I unutarnja i vanjska revizija imaju za cilj dati neovisno stručno mišljenje o sustavu i procesima te preporuke i savjete za njihovo poboljšanje i postizanje što veće učinkovitosti. Pravovremenim i pravilnim korištenjem sredstava iz  EU fondova omogućuje se stvaranje optimalnog ozračja za razvoj konkurentnog gospodarstva, ravnomjernog regionalnog razvoja, te stvaranje konkurentnog poljoprivredno – prehrambenog i ribarskog sektora.</w:t>
      </w:r>
    </w:p>
    <w:p w:rsidR="005C2091" w:rsidRDefault="00A86293">
      <w:pPr>
        <w:pStyle w:val="Heading8"/>
        <w:jc w:val="left"/>
      </w:pPr>
      <w:r>
        <w:t>Cilj 1. Povećati djelotvornost i učinkovitost svih subjekata uključenih u upravljanje pretpristupnim fondovima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postotak obavljenih revizija u odnosu na planirane revizije</w:t>
            </w:r>
          </w:p>
        </w:tc>
        <w:tc>
          <w:tcPr>
            <w:tcW w:w="2551" w:type="dxa"/>
          </w:tcPr>
          <w:p w:rsidR="005C2091" w:rsidRDefault="00A86293">
            <w:pPr>
              <w:pStyle w:val="CellColumn"/>
              <w:jc w:val="left"/>
            </w:pPr>
            <w:r>
              <w:rPr>
                <w:rFonts w:cs="Times New Roman"/>
              </w:rPr>
              <w:t>obaviti planirane revizije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67%</w:t>
            </w:r>
          </w:p>
        </w:tc>
        <w:tc>
          <w:tcPr>
            <w:tcW w:w="1020" w:type="dxa"/>
          </w:tcPr>
          <w:p w:rsidR="005C2091" w:rsidRDefault="00A86293">
            <w:pPr>
              <w:pStyle w:val="CellColumn"/>
              <w:jc w:val="right"/>
            </w:pPr>
            <w:r>
              <w:rPr>
                <w:rFonts w:cs="Times New Roman"/>
              </w:rPr>
              <w:t>ARPA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94%</w:t>
            </w:r>
          </w:p>
        </w:tc>
      </w:tr>
      <w:tr w:rsidR="005C2091">
        <w:trPr>
          <w:jc w:val="center"/>
        </w:trPr>
        <w:tc>
          <w:tcPr>
            <w:tcW w:w="2551" w:type="dxa"/>
          </w:tcPr>
          <w:p w:rsidR="005C2091" w:rsidRDefault="00A86293">
            <w:pPr>
              <w:pStyle w:val="CellColumn"/>
              <w:jc w:val="left"/>
            </w:pPr>
            <w:r>
              <w:rPr>
                <w:rFonts w:cs="Times New Roman"/>
              </w:rPr>
              <w:t>postotak zaposlenih revizora u odnosu na sistematizirani broj revizora</w:t>
            </w:r>
          </w:p>
        </w:tc>
        <w:tc>
          <w:tcPr>
            <w:tcW w:w="2551" w:type="dxa"/>
          </w:tcPr>
          <w:p w:rsidR="005C2091" w:rsidRDefault="00A86293">
            <w:pPr>
              <w:pStyle w:val="CellColumn"/>
              <w:jc w:val="left"/>
            </w:pPr>
            <w:r>
              <w:rPr>
                <w:rFonts w:cs="Times New Roman"/>
              </w:rPr>
              <w:t>zapošljavanje revizora prema sistematizaciji</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96%</w:t>
            </w:r>
          </w:p>
        </w:tc>
        <w:tc>
          <w:tcPr>
            <w:tcW w:w="1020" w:type="dxa"/>
          </w:tcPr>
          <w:p w:rsidR="005C2091" w:rsidRDefault="00A86293">
            <w:pPr>
              <w:pStyle w:val="CellColumn"/>
              <w:jc w:val="right"/>
            </w:pPr>
            <w:r>
              <w:rPr>
                <w:rFonts w:cs="Times New Roman"/>
              </w:rPr>
              <w:t>kadrovska evidencija ARPE</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98%</w:t>
            </w:r>
          </w:p>
        </w:tc>
      </w:tr>
    </w:tbl>
    <w:p w:rsidR="005C2091" w:rsidRDefault="005C2091">
      <w:pPr>
        <w:jc w:val="left"/>
      </w:pPr>
    </w:p>
    <w:p w:rsidR="005C2091" w:rsidRDefault="00A86293">
      <w:pPr>
        <w:pStyle w:val="Heading4"/>
      </w:pPr>
      <w:r>
        <w:lastRenderedPageBreak/>
        <w:t>A829002 ADMINISTRACIJA I UPRAVLJANJE AGENCIJE ZA REVIZIJU SUSTAVA PROVEDBE PROGRAMA EUROPSKE UNIJE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A829002-ADMINISTRACIJA I UPRAVLJANJE AGENCIJE ZA REVIZIJU SUSTAVA PROVEDBE PROGRAMA EUROPSKE UNIJE</w:t>
            </w:r>
          </w:p>
        </w:tc>
        <w:tc>
          <w:tcPr>
            <w:tcW w:w="2041" w:type="dxa"/>
          </w:tcPr>
          <w:p w:rsidR="005C2091" w:rsidRDefault="00A86293">
            <w:pPr>
              <w:pStyle w:val="CellColumn"/>
              <w:jc w:val="right"/>
            </w:pPr>
            <w:r>
              <w:rPr>
                <w:rFonts w:cs="Times New Roman"/>
              </w:rPr>
              <w:t>8.642.456</w:t>
            </w:r>
          </w:p>
        </w:tc>
        <w:tc>
          <w:tcPr>
            <w:tcW w:w="2041" w:type="dxa"/>
          </w:tcPr>
          <w:p w:rsidR="005C2091" w:rsidRDefault="00A86293">
            <w:pPr>
              <w:pStyle w:val="CellColumn"/>
              <w:jc w:val="right"/>
            </w:pPr>
            <w:r>
              <w:rPr>
                <w:rFonts w:cs="Times New Roman"/>
              </w:rPr>
              <w:t>8.716.600</w:t>
            </w:r>
          </w:p>
        </w:tc>
        <w:tc>
          <w:tcPr>
            <w:tcW w:w="2041" w:type="dxa"/>
          </w:tcPr>
          <w:p w:rsidR="005C2091" w:rsidRDefault="00A86293">
            <w:pPr>
              <w:pStyle w:val="CellColumn"/>
              <w:jc w:val="right"/>
            </w:pPr>
            <w:r>
              <w:rPr>
                <w:rFonts w:cs="Times New Roman"/>
              </w:rPr>
              <w:t>8.104.390</w:t>
            </w:r>
          </w:p>
        </w:tc>
        <w:tc>
          <w:tcPr>
            <w:tcW w:w="1224" w:type="dxa"/>
          </w:tcPr>
          <w:p w:rsidR="005C2091" w:rsidRDefault="00A86293">
            <w:pPr>
              <w:pStyle w:val="CellColumn"/>
              <w:jc w:val="right"/>
            </w:pPr>
            <w:r>
              <w:rPr>
                <w:rFonts w:cs="Times New Roman"/>
              </w:rPr>
              <w:t>93,0</w:t>
            </w:r>
          </w:p>
        </w:tc>
        <w:tc>
          <w:tcPr>
            <w:tcW w:w="1224" w:type="dxa"/>
          </w:tcPr>
          <w:p w:rsidR="005C2091" w:rsidRDefault="00A86293">
            <w:pPr>
              <w:pStyle w:val="CellColumn"/>
              <w:jc w:val="right"/>
            </w:pPr>
            <w:r>
              <w:rPr>
                <w:rFonts w:cs="Times New Roman"/>
              </w:rPr>
              <w:t>93,8</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sustavu unutarnjih financijskih kontrola u javnom sektoru (NN 141/2006.)  </w:t>
      </w:r>
    </w:p>
    <w:p w:rsidR="005C2091" w:rsidRDefault="00A86293">
      <w:r>
        <w:t xml:space="preserve">- Zakon o uspostavi institucionalnog okvira za korištenje strukturnih instrumenata Europske Unije u Republici Hrvatskoj (Narodne novine 78/2012)  </w:t>
      </w:r>
    </w:p>
    <w:p w:rsidR="005C2091" w:rsidRDefault="00A86293">
      <w:r>
        <w:t xml:space="preserve">- Uredba o tijelima u sustavu upravljanja i kontrole korištenja strukturnih instrumenata Europske Unije u Republici Hrvatskoj (Narodne novine 97/2012)  </w:t>
      </w:r>
    </w:p>
    <w:p w:rsidR="005C2091" w:rsidRDefault="00A86293">
      <w:r>
        <w:t xml:space="preserve">- Zakon o uspostavi institucionalnog okvira za provedbu europskih strukturnih i investicijskih fondova u Republici Hrvatskoj u financijskom razdoblju 2014. – 2020. (Narodne novine 92/2014).  </w:t>
      </w:r>
    </w:p>
    <w:p w:rsidR="005C2091" w:rsidRDefault="00A86293">
      <w:r>
        <w:t xml:space="preserve">- Strategija Europske komisije za proširenje  </w:t>
      </w:r>
    </w:p>
    <w:p w:rsidR="005C2091" w:rsidRDefault="00A86293">
      <w:r>
        <w:t xml:space="preserve">- Sporazum o stabilizaciji i pridruživanju i Pristupno partnerstvo  </w:t>
      </w:r>
    </w:p>
    <w:p w:rsidR="005C2091" w:rsidRDefault="00A86293">
      <w:r>
        <w:t xml:space="preserve">- Strateški okvir Vlade RH za razvoj  </w:t>
      </w:r>
    </w:p>
    <w:p w:rsidR="005C2091" w:rsidRDefault="00A86293">
      <w:r>
        <w:t xml:space="preserve">- Delegirana  uredba  Komisije o dopuni  Uredbe  (EU)  br.  1303/2013  Europskog parlamenta  i  Vijeća  o  utvrđivanju  zajedničkih  odredbi  Europskog  fonda  za  regionalni razvoj,  Europskog  socijalnog fonda, Kohezijskog fonda, Europskog poljoprivrednog fonda za ruralni razvoj i Europskog fonda za pomorstvo i ribarstvo te o utvrđivanju općih odredbi Europskog fonda za regionalni razvoj, Europskog socijalnog fonda, Kohezijskog fonda i Europskog fonda za pomorstvo i ribarstvo  </w:t>
      </w:r>
    </w:p>
    <w:p w:rsidR="005C2091" w:rsidRDefault="00A86293">
      <w:r>
        <w:t>- Provedbena uredba Komisije o utvrđivanju pravila u skladu s Uredbom (EU) br.1303/2013 Europskog parlamenta i Vijeća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u vezi s modelima za potporu ciljevima u području klimatskih promjena, određivanjem ključnih etapa i ciljeva u okviru uspješnosti i nazivljem kategorija intervencija za europske strukturne i investicijske fondove (2105/2014)</w:t>
      </w:r>
    </w:p>
    <w:p w:rsidR="005C2091" w:rsidRDefault="00A86293">
      <w:pPr>
        <w:pStyle w:val="Heading8"/>
        <w:jc w:val="left"/>
      </w:pPr>
      <w:r>
        <w:t>Opis aktivnosti</w:t>
      </w:r>
    </w:p>
    <w:p w:rsidR="005C2091" w:rsidRDefault="00A86293">
      <w:r>
        <w:t xml:space="preserve">Djelatnost Agencije  je revizija  i ovjeravanje usklađenosti provedbe programa Europske unije u kojima su  upravljanje i odgovornost preneseni na Republiku Hrvatsku s ciljevima, zadacima i postupcima utvrđenim međunarodno preuzetim obvezama Republike Hrvatske.  </w:t>
      </w:r>
    </w:p>
    <w:p w:rsidR="005C2091" w:rsidRDefault="00A86293">
      <w:r>
        <w:t xml:space="preserve">Revizori na terenu nastoje prikupiti uvjerljive dokaze kako bi potvrdili da sustavi upravljanja i sustavi kontrola funkcioniraju u skladu sa propisima, da osiguravaju usklađenost izdataka s propisima i da osiguravaju cjelovitost i transparentnost financijskih  informacija.   </w:t>
      </w:r>
    </w:p>
    <w:p w:rsidR="005C2091" w:rsidRDefault="00A86293">
      <w:r>
        <w:t>U slučajevima kada sustavi kontrola nisu zadovoljavajući, revizori trebaju provesti opsežnije postupke i povećati uzrok s ciljem dobivanja točnijeg mišljenja o subjektu revizije.</w:t>
      </w:r>
      <w:r>
        <w:tab/>
      </w:r>
      <w:r>
        <w:tab/>
      </w:r>
      <w:r>
        <w:tab/>
      </w:r>
      <w:r>
        <w:tab/>
        <w:t xml:space="preserve">  </w:t>
      </w:r>
    </w:p>
    <w:p w:rsidR="005C2091" w:rsidRDefault="00A86293">
      <w:r>
        <w:lastRenderedPageBreak/>
        <w:t xml:space="preserve">  </w:t>
      </w:r>
    </w:p>
    <w:p w:rsidR="005C2091" w:rsidRDefault="00A86293">
      <w:r>
        <w:t>Upravljanje rizicima je neizostavni dio sustava upravljanja i korištenja sredstava pomoći Europske unije, a provodi se kroz identifikaciju, procjenu rizika, određivanje mjera, rokova i odgovornih osoba za otklanjanje rizika,  kao i analiza  rezultata  poduzetih  akcija  za  smanjenje odnosno otklanjanje rizika. Sva tijela koja upravljaju i koriste sredstva pomoći EU kontinuirano provode sveobuhvatnu analizu rizika u skladu s priručnicima.</w:t>
      </w:r>
      <w:r>
        <w:tab/>
        <w:t xml:space="preserve">  </w:t>
      </w:r>
    </w:p>
    <w:p w:rsidR="005C2091" w:rsidRDefault="00A86293">
      <w:r>
        <w:t xml:space="preserve">ARPA je mlada institucija koja je u 8 godina od 7 zaposlenika narasla na 56 zaposlenika, od čega su 51 revizora. Od 56 zaposlenika 54 ih je visoke stručne spreme, od kojih 3 magistra, te 2 zaposlenika srednje stručne spreme. Iz navedenog proizlazi da su najvažniji element ARPA-e ljudski potencijali, te je nužno osigurati pravovremeno zapošljavanje kvalitetnih kadrova i zadržavanje postojećih.  </w:t>
      </w:r>
    </w:p>
    <w:p w:rsidR="005C2091" w:rsidRDefault="00A86293">
      <w:r>
        <w:t xml:space="preserve">Od samog početka do danas na edukaciju i stručno usavršavanje uloženo je mnogo vremena i truda, s ciljem da se stekne odgovarajuće stručno znanje. Zapošljavanje novih djelatnika, prvenstveno revizora, je neophodno jer bez njih ARPA neće biti u mogućnosti provesti sve zadaće koje su joj stavljene u nadležnost, prije svega izrada kvalitetnog i pravovremenog godišnjeg revizijskog izvješća i godišnjeg revizijskog mišljenja.  </w:t>
      </w:r>
    </w:p>
    <w:p w:rsidR="005C2091" w:rsidRDefault="00A86293">
      <w:r>
        <w:t>Radna opterećenost ARPA-e kao Tijela za reviziju povećava se u odnosu na prethodne godine, prvenstveno poradi značajnog povećanja broja fondova, povećanja dodijeljenih sredstava te znatnog povećanja broja operacija (projekata, ugovora, plaćanja) u usporedbi s IPA programom, te s financijskim razdobljem 2007.-2013. U razdoblju 2017-2018 osim redovnih revizijskih aktivnosti (revizija sustava i revizija operacija) očekuje se zatvaranje operativnih programa iz financijskog razdoblja 2007. – 2013. (tijekom 2017. i 2018.), zatim revizija usklađenosti (designacija) za programsko razdoblje 2014. – 2020. za nekoliko operativnih programa. Također, osim preklapanja dva financijska razdoblja (2007-2013 i 2014-2020), uvode se i nove aktivnosti, prvenstveno revizije godišnjih računa, što stavlja dodatni teret na ARPA-u.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postotak sastavljenih dokumenata (planovi, izvješća, mišljenja) prema pravnoj regulativi i dostavljenih korisnicima u planiranim rokovima</w:t>
            </w:r>
          </w:p>
        </w:tc>
        <w:tc>
          <w:tcPr>
            <w:tcW w:w="2551" w:type="dxa"/>
          </w:tcPr>
          <w:p w:rsidR="005C2091" w:rsidRDefault="00A86293">
            <w:pPr>
              <w:pStyle w:val="CellColumn"/>
              <w:jc w:val="left"/>
            </w:pPr>
            <w:r>
              <w:rPr>
                <w:rFonts w:cs="Times New Roman"/>
              </w:rPr>
              <w:t>dostaviti u roku i prema pravnoj regulativi sve dokumente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izvješća ARPE</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postotak obavljenih revizija u odnosu na planirane revizije</w:t>
            </w:r>
          </w:p>
        </w:tc>
        <w:tc>
          <w:tcPr>
            <w:tcW w:w="2551" w:type="dxa"/>
          </w:tcPr>
          <w:p w:rsidR="005C2091" w:rsidRDefault="00A86293">
            <w:pPr>
              <w:pStyle w:val="CellColumn"/>
              <w:jc w:val="left"/>
            </w:pPr>
            <w:r>
              <w:rPr>
                <w:rFonts w:cs="Times New Roman"/>
              </w:rPr>
              <w:t>obaviti planirane revizije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67%</w:t>
            </w:r>
          </w:p>
        </w:tc>
        <w:tc>
          <w:tcPr>
            <w:tcW w:w="1020" w:type="dxa"/>
          </w:tcPr>
          <w:p w:rsidR="005C2091" w:rsidRDefault="00A86293">
            <w:pPr>
              <w:pStyle w:val="CellColumn"/>
              <w:jc w:val="right"/>
            </w:pPr>
            <w:r>
              <w:rPr>
                <w:rFonts w:cs="Times New Roman"/>
              </w:rPr>
              <w:t>ARPA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94%</w:t>
            </w:r>
          </w:p>
        </w:tc>
      </w:tr>
      <w:tr w:rsidR="005C2091">
        <w:trPr>
          <w:jc w:val="center"/>
        </w:trPr>
        <w:tc>
          <w:tcPr>
            <w:tcW w:w="2551" w:type="dxa"/>
          </w:tcPr>
          <w:p w:rsidR="005C2091" w:rsidRDefault="00A86293">
            <w:pPr>
              <w:pStyle w:val="CellColumn"/>
              <w:jc w:val="left"/>
            </w:pPr>
            <w:r>
              <w:rPr>
                <w:rFonts w:cs="Times New Roman"/>
              </w:rPr>
              <w:t>postotak zaposlenih revizora u odnosu na sistematizirani broj revizora</w:t>
            </w:r>
          </w:p>
        </w:tc>
        <w:tc>
          <w:tcPr>
            <w:tcW w:w="2551" w:type="dxa"/>
          </w:tcPr>
          <w:p w:rsidR="005C2091" w:rsidRDefault="00A86293">
            <w:pPr>
              <w:pStyle w:val="CellColumn"/>
              <w:jc w:val="left"/>
            </w:pPr>
            <w:r>
              <w:rPr>
                <w:rFonts w:cs="Times New Roman"/>
              </w:rPr>
              <w:t>zapošljavanje revizora prema sistematizaciji</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96%</w:t>
            </w:r>
          </w:p>
        </w:tc>
        <w:tc>
          <w:tcPr>
            <w:tcW w:w="1020" w:type="dxa"/>
          </w:tcPr>
          <w:p w:rsidR="005C2091" w:rsidRDefault="00A86293">
            <w:pPr>
              <w:pStyle w:val="CellColumn"/>
              <w:jc w:val="right"/>
            </w:pPr>
            <w:r>
              <w:rPr>
                <w:rFonts w:cs="Times New Roman"/>
              </w:rPr>
              <w:t>kadrovska evidencija ARPE</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98%</w:t>
            </w:r>
          </w:p>
        </w:tc>
      </w:tr>
    </w:tbl>
    <w:p w:rsidR="005C2091" w:rsidRDefault="005C2091">
      <w:pPr>
        <w:jc w:val="left"/>
      </w:pPr>
    </w:p>
    <w:p w:rsidR="005C2091" w:rsidRDefault="00A86293">
      <w:pPr>
        <w:pStyle w:val="Heading2"/>
      </w:pPr>
      <w:r>
        <w:t>02545 Fond za naknadu oduzete imovine</w:t>
      </w:r>
    </w:p>
    <w:p w:rsidR="005C2091" w:rsidRDefault="00A86293">
      <w:r>
        <w:t xml:space="preserve">Fond za naknadu oduzete imovine (u daljnjem tekstu: Fond) osnovan je Zakonom o Fondu za naknadu oduzete imovine (NN 69/97, 105/99, 64/00 i 141/13) i upisan u sudski registar dana 16. srpnja 1998. godine. </w:t>
      </w:r>
    </w:p>
    <w:p w:rsidR="005C2091" w:rsidRDefault="00A86293">
      <w:r>
        <w:t xml:space="preserve">Fond je osnovan radi isplate naknade u novcu i obveznicama Republike Hrvatske kada je naknada u tim oblicima propisana Zakonom o naknadi za imovinu oduzetu za vrijeme jugoslavenske komunističke vladavine (NN 92/96, 29/99, 39/99, 92/99, 43/00, 131/00, 27/01, 65/01, 118/01, 80/02 i 81/02, u daljnjem tekstu: Zakon o naknadi). </w:t>
      </w:r>
    </w:p>
    <w:p w:rsidR="005C2091" w:rsidRDefault="00A86293">
      <w:r>
        <w:t xml:space="preserve">Fond obavlja sljedeće poslove: </w:t>
      </w:r>
    </w:p>
    <w:p w:rsidR="005C2091" w:rsidRDefault="00A86293">
      <w:r>
        <w:t>-</w:t>
      </w:r>
      <w:r>
        <w:tab/>
        <w:t xml:space="preserve">isplaćuje naknadu u novcu i obveznicama ovlaštenicima naknade temeljem zaprimljenih pravomoćnih rješenja o naknadi za oduzetu imovinu </w:t>
      </w:r>
    </w:p>
    <w:p w:rsidR="005C2091" w:rsidRDefault="00A86293">
      <w:r>
        <w:t>-</w:t>
      </w:r>
      <w:r>
        <w:tab/>
        <w:t xml:space="preserve">prodaje nacionalizirane i konfiscirane stanove i to isključivo nositeljima stanarskog prava (najčešće na obročnu otplatu do 20 godina) te prikuplja sredstava ostvarena njihovom prodajom </w:t>
      </w:r>
    </w:p>
    <w:p w:rsidR="005C2091" w:rsidRDefault="00A86293">
      <w:r>
        <w:lastRenderedPageBreak/>
        <w:t>-</w:t>
      </w:r>
      <w:r>
        <w:tab/>
        <w:t xml:space="preserve">sudjeluje u upravnim postupcima u kojima, sukladno Zakonu o naknadi, Fond ima status stranke odnosno obveznika naknade </w:t>
      </w:r>
    </w:p>
    <w:p w:rsidR="005C2091" w:rsidRDefault="00A86293">
      <w:r>
        <w:t>-</w:t>
      </w:r>
      <w:r>
        <w:tab/>
        <w:t xml:space="preserve">sudjeluje u sudskim postupcima u kojima je ovaj Fond tuženik u parnicama koje se odnose na prodaju nacionaliziranih i konfisciranih stanova i na privremene mjere u svezi s istima </w:t>
      </w:r>
    </w:p>
    <w:p w:rsidR="005C2091" w:rsidRDefault="00A86293">
      <w:r>
        <w:t>-</w:t>
      </w:r>
      <w:r>
        <w:tab/>
        <w:t>sudjeluje u provedbi Ugovora između Svete Stolice i Republike Hrvatske o gospodarskim pitanjima.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02545-Fond za naknadu oduzete imovine</w:t>
            </w:r>
          </w:p>
        </w:tc>
        <w:tc>
          <w:tcPr>
            <w:tcW w:w="2041" w:type="dxa"/>
            <w:vAlign w:val="top"/>
          </w:tcPr>
          <w:p w:rsidR="005C2091" w:rsidRDefault="00A86293">
            <w:pPr>
              <w:pStyle w:val="CellColumn"/>
              <w:jc w:val="right"/>
            </w:pPr>
            <w:r>
              <w:rPr>
                <w:rFonts w:cs="Times New Roman"/>
              </w:rPr>
              <w:t>173.410.556</w:t>
            </w:r>
          </w:p>
        </w:tc>
        <w:tc>
          <w:tcPr>
            <w:tcW w:w="2041" w:type="dxa"/>
            <w:vAlign w:val="top"/>
          </w:tcPr>
          <w:p w:rsidR="005C2091" w:rsidRDefault="00A86293">
            <w:pPr>
              <w:pStyle w:val="CellColumn"/>
              <w:jc w:val="right"/>
            </w:pPr>
            <w:r>
              <w:rPr>
                <w:rFonts w:cs="Times New Roman"/>
              </w:rPr>
              <w:t>161.677.280</w:t>
            </w:r>
          </w:p>
        </w:tc>
        <w:tc>
          <w:tcPr>
            <w:tcW w:w="2041" w:type="dxa"/>
            <w:vAlign w:val="top"/>
          </w:tcPr>
          <w:p w:rsidR="005C2091" w:rsidRDefault="00A86293">
            <w:pPr>
              <w:pStyle w:val="CellColumn"/>
              <w:jc w:val="right"/>
            </w:pPr>
            <w:r>
              <w:rPr>
                <w:rFonts w:cs="Times New Roman"/>
              </w:rPr>
              <w:t>158.504.545</w:t>
            </w:r>
          </w:p>
        </w:tc>
        <w:tc>
          <w:tcPr>
            <w:tcW w:w="1224" w:type="dxa"/>
            <w:vAlign w:val="top"/>
          </w:tcPr>
          <w:p w:rsidR="005C2091" w:rsidRDefault="00A86293">
            <w:pPr>
              <w:pStyle w:val="CellColumn"/>
              <w:jc w:val="right"/>
            </w:pPr>
            <w:r>
              <w:rPr>
                <w:rFonts w:cs="Times New Roman"/>
              </w:rPr>
              <w:t>98,0</w:t>
            </w:r>
          </w:p>
        </w:tc>
        <w:tc>
          <w:tcPr>
            <w:tcW w:w="1224" w:type="dxa"/>
            <w:vAlign w:val="top"/>
          </w:tcPr>
          <w:p w:rsidR="005C2091" w:rsidRDefault="00A86293">
            <w:pPr>
              <w:pStyle w:val="CellColumn"/>
              <w:jc w:val="right"/>
            </w:pPr>
            <w:r>
              <w:rPr>
                <w:rFonts w:cs="Times New Roman"/>
              </w:rPr>
              <w:t>91,4</w:t>
            </w:r>
          </w:p>
        </w:tc>
      </w:tr>
      <w:tr w:rsidR="005C2091">
        <w:trPr>
          <w:jc w:val="center"/>
        </w:trPr>
        <w:tc>
          <w:tcPr>
            <w:tcW w:w="1632" w:type="dxa"/>
          </w:tcPr>
          <w:p w:rsidR="005C2091" w:rsidRDefault="00A86293">
            <w:pPr>
              <w:jc w:val="left"/>
            </w:pPr>
            <w:r>
              <w:t>2813-NAKNADE ZA ODUZETU IMOVINU I ISPLATE PO SUDSKIM RJEŠENJIMA</w:t>
            </w:r>
          </w:p>
        </w:tc>
        <w:tc>
          <w:tcPr>
            <w:tcW w:w="2041" w:type="dxa"/>
          </w:tcPr>
          <w:p w:rsidR="005C2091" w:rsidRDefault="00A86293">
            <w:pPr>
              <w:jc w:val="right"/>
            </w:pPr>
            <w:r>
              <w:t>158.556.436</w:t>
            </w:r>
          </w:p>
        </w:tc>
        <w:tc>
          <w:tcPr>
            <w:tcW w:w="2041" w:type="dxa"/>
          </w:tcPr>
          <w:p w:rsidR="005C2091" w:rsidRDefault="00A86293">
            <w:pPr>
              <w:jc w:val="right"/>
            </w:pPr>
            <w:r>
              <w:t>159.177.280</w:t>
            </w:r>
          </w:p>
        </w:tc>
        <w:tc>
          <w:tcPr>
            <w:tcW w:w="2041" w:type="dxa"/>
          </w:tcPr>
          <w:p w:rsidR="005C2091" w:rsidRDefault="00A86293">
            <w:pPr>
              <w:jc w:val="right"/>
            </w:pPr>
            <w:r>
              <w:t>156.167.320</w:t>
            </w:r>
          </w:p>
        </w:tc>
        <w:tc>
          <w:tcPr>
            <w:tcW w:w="1224" w:type="dxa"/>
          </w:tcPr>
          <w:p w:rsidR="005C2091" w:rsidRDefault="00A86293">
            <w:pPr>
              <w:jc w:val="right"/>
            </w:pPr>
            <w:r>
              <w:t>98,1</w:t>
            </w:r>
          </w:p>
        </w:tc>
        <w:tc>
          <w:tcPr>
            <w:tcW w:w="1224" w:type="dxa"/>
          </w:tcPr>
          <w:p w:rsidR="005C2091" w:rsidRDefault="00A86293">
            <w:pPr>
              <w:jc w:val="right"/>
            </w:pPr>
            <w:r>
              <w:t>98,5</w:t>
            </w:r>
          </w:p>
        </w:tc>
      </w:tr>
      <w:tr w:rsidR="005C2091">
        <w:trPr>
          <w:jc w:val="center"/>
        </w:trPr>
        <w:tc>
          <w:tcPr>
            <w:tcW w:w="1632" w:type="dxa"/>
          </w:tcPr>
          <w:p w:rsidR="005C2091" w:rsidRDefault="00A86293">
            <w:pPr>
              <w:jc w:val="left"/>
            </w:pPr>
            <w:r>
              <w:t>3913-POTPORE VJERSKIM ZAJEDNICAMA</w:t>
            </w:r>
          </w:p>
        </w:tc>
        <w:tc>
          <w:tcPr>
            <w:tcW w:w="2041" w:type="dxa"/>
          </w:tcPr>
          <w:p w:rsidR="005C2091" w:rsidRDefault="00A86293">
            <w:pPr>
              <w:jc w:val="right"/>
            </w:pPr>
            <w:r>
              <w:t>14.854.120</w:t>
            </w:r>
          </w:p>
        </w:tc>
        <w:tc>
          <w:tcPr>
            <w:tcW w:w="2041" w:type="dxa"/>
          </w:tcPr>
          <w:p w:rsidR="005C2091" w:rsidRDefault="00A86293">
            <w:pPr>
              <w:jc w:val="right"/>
            </w:pPr>
            <w:r>
              <w:t>2.500.000</w:t>
            </w:r>
          </w:p>
        </w:tc>
        <w:tc>
          <w:tcPr>
            <w:tcW w:w="2041" w:type="dxa"/>
          </w:tcPr>
          <w:p w:rsidR="005C2091" w:rsidRDefault="00A86293">
            <w:pPr>
              <w:jc w:val="right"/>
            </w:pPr>
            <w:r>
              <w:t>2.337.225</w:t>
            </w:r>
          </w:p>
        </w:tc>
        <w:tc>
          <w:tcPr>
            <w:tcW w:w="1224" w:type="dxa"/>
          </w:tcPr>
          <w:p w:rsidR="005C2091" w:rsidRDefault="00A86293">
            <w:pPr>
              <w:jc w:val="right"/>
            </w:pPr>
            <w:r>
              <w:t>93,5</w:t>
            </w:r>
          </w:p>
        </w:tc>
        <w:tc>
          <w:tcPr>
            <w:tcW w:w="1224" w:type="dxa"/>
          </w:tcPr>
          <w:p w:rsidR="005C2091" w:rsidRDefault="00A86293">
            <w:pPr>
              <w:jc w:val="right"/>
            </w:pPr>
            <w:r>
              <w:t>15,7</w:t>
            </w:r>
          </w:p>
        </w:tc>
      </w:tr>
    </w:tbl>
    <w:p w:rsidR="005C2091" w:rsidRDefault="005C2091">
      <w:pPr>
        <w:jc w:val="left"/>
      </w:pPr>
    </w:p>
    <w:p w:rsidR="005C2091" w:rsidRDefault="00A86293">
      <w:pPr>
        <w:pStyle w:val="Heading3"/>
      </w:pPr>
      <w:r>
        <w:rPr>
          <w:rFonts w:cs="Times New Roman"/>
        </w:rPr>
        <w:t>2813 NAKNADE ZA ODUZETU IMOVINU I ISPLATE PO SUDSKIM RJEŠENJIMA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2813-NAKNADE ZA ODUZETU IMOVINU I ISPLATE PO SUDSKIM RJEŠENJIMA</w:t>
            </w:r>
          </w:p>
        </w:tc>
        <w:tc>
          <w:tcPr>
            <w:tcW w:w="2041" w:type="dxa"/>
          </w:tcPr>
          <w:p w:rsidR="005C2091" w:rsidRDefault="00A86293">
            <w:pPr>
              <w:pStyle w:val="CellColumn"/>
              <w:jc w:val="right"/>
            </w:pPr>
            <w:r>
              <w:rPr>
                <w:rFonts w:cs="Times New Roman"/>
              </w:rPr>
              <w:t>158.556.436</w:t>
            </w:r>
          </w:p>
        </w:tc>
        <w:tc>
          <w:tcPr>
            <w:tcW w:w="2041" w:type="dxa"/>
          </w:tcPr>
          <w:p w:rsidR="005C2091" w:rsidRDefault="00A86293">
            <w:pPr>
              <w:pStyle w:val="CellColumn"/>
              <w:jc w:val="right"/>
            </w:pPr>
            <w:r>
              <w:rPr>
                <w:rFonts w:cs="Times New Roman"/>
              </w:rPr>
              <w:t>159.177.280</w:t>
            </w:r>
          </w:p>
        </w:tc>
        <w:tc>
          <w:tcPr>
            <w:tcW w:w="2041" w:type="dxa"/>
          </w:tcPr>
          <w:p w:rsidR="005C2091" w:rsidRDefault="00A86293">
            <w:pPr>
              <w:pStyle w:val="CellColumn"/>
              <w:jc w:val="right"/>
            </w:pPr>
            <w:r>
              <w:rPr>
                <w:rFonts w:cs="Times New Roman"/>
              </w:rPr>
              <w:t>156.167.320</w:t>
            </w:r>
          </w:p>
        </w:tc>
        <w:tc>
          <w:tcPr>
            <w:tcW w:w="1224" w:type="dxa"/>
          </w:tcPr>
          <w:p w:rsidR="005C2091" w:rsidRDefault="00A86293">
            <w:pPr>
              <w:pStyle w:val="CellColumn"/>
              <w:jc w:val="right"/>
            </w:pPr>
            <w:r>
              <w:rPr>
                <w:rFonts w:cs="Times New Roman"/>
              </w:rPr>
              <w:t>98,1</w:t>
            </w:r>
          </w:p>
        </w:tc>
        <w:tc>
          <w:tcPr>
            <w:tcW w:w="1224" w:type="dxa"/>
          </w:tcPr>
          <w:p w:rsidR="005C2091" w:rsidRDefault="00A86293">
            <w:pPr>
              <w:pStyle w:val="CellColumn"/>
              <w:jc w:val="right"/>
            </w:pPr>
            <w:r>
              <w:rPr>
                <w:rFonts w:cs="Times New Roman"/>
              </w:rPr>
              <w:t>98,5</w:t>
            </w:r>
          </w:p>
        </w:tc>
      </w:tr>
    </w:tbl>
    <w:p w:rsidR="005C2091" w:rsidRDefault="005C2091">
      <w:pPr>
        <w:jc w:val="left"/>
      </w:pPr>
    </w:p>
    <w:p w:rsidR="005C2091" w:rsidRDefault="00A86293">
      <w:r>
        <w:t>Program obuhvaća aktivnosti uz poslovanje Fonda za naknadu oduzete imovine, isplatu naknade u novcu i obveznicama ovlaštenicima naknade temeljem zaprimljenih pravomoćnih rješenja o naknadi za oduzetu imovinu i isplatu polugodišnjih anuiteta do 1. srpnja 2019. godine.</w:t>
      </w:r>
    </w:p>
    <w:p w:rsidR="005C2091" w:rsidRDefault="00A86293">
      <w:pPr>
        <w:pStyle w:val="Heading8"/>
        <w:jc w:val="left"/>
      </w:pPr>
      <w:r>
        <w:t>Cilj 1. Pravodobno isplatiti naknadu u novcu i obveznicama ovlaštenicima naknade temeljem zaprimljenih pravomoćnih rješenja o naknadi za oduzetu imovinu</w:t>
      </w:r>
    </w:p>
    <w:p w:rsidR="005C2091" w:rsidRDefault="00A86293">
      <w:pPr>
        <w:pStyle w:val="Heading8"/>
        <w:jc w:val="left"/>
      </w:pPr>
      <w:r>
        <w:t>Opis provedbe cilja programa</w:t>
      </w:r>
    </w:p>
    <w:p w:rsidR="005C2091" w:rsidRDefault="00A86293">
      <w:r>
        <w:t xml:space="preserve">U tijeku 2016. godine u Fondu je zaprimljeno 545 pravomoćnih rješenja, kojima je utvrđena naknada u ukupnom iznosu od 71.512.418,55 kuna za 1.306 ovlaštenika naknade.  </w:t>
      </w:r>
    </w:p>
    <w:p w:rsidR="005C2091" w:rsidRDefault="00A86293">
      <w:r>
        <w:t xml:space="preserve">Po primitku pravomoćnih rješenja izvješćuju se ovlaštenici naknade o obvezi popunjavanja zahtjeva za isplatu naknade u obveznicama, prikupljaju se zahtjevi za isplatu s podatcima o ovlašteniku i uputama za plaćanje anuiteta, te se dodjeljuju obveznički udjeli ovlaštenicima naknade. Instruktivni rok za isplatu rješenja kojima je određena isplata naknade u obveznicama je, u pravilu, 60 dana. Poslovi koji prethode isplati naknade obavljaju se sa iznimno </w:t>
      </w:r>
      <w:r>
        <w:lastRenderedPageBreak/>
        <w:t xml:space="preserve">visokom razinom odgovornosti uvažavajući činjenicu da se isplata treba uskladiti s dinamikom priliva sredstava uz uvjet da se poštuju svi propisani rokovi. Stoga u radu u pravilu nema kašnjenja u postupanju osim objektivnih okolnosti (prvostupanjska tijela ne dostavljaju rješenja, stranke se ne odazivaju na naše dopise u duljem razdoblju, smrt stranaka i ostavinski postupak koji često traje dulje od 6 mjeseci, neispravni podatci o ovlašteniku i sl.).  </w:t>
      </w:r>
    </w:p>
    <w:p w:rsidR="005C2091" w:rsidRDefault="00A86293">
      <w:r>
        <w:t>U 2016. godini Fond je isplatio naknade u novcu i obveznicama u ukupnom iznosu od 146.781.350 kuna.</w:t>
      </w:r>
    </w:p>
    <w:p w:rsidR="005C2091" w:rsidRDefault="00A86293">
      <w:pPr>
        <w:pStyle w:val="Heading8"/>
        <w:jc w:val="left"/>
      </w:pPr>
      <w:r>
        <w:t xml:space="preserve">Cilj 2. Pravodobno sklopiti ugovore o prodaji nacionaliziranih i konfisciranih stanova  </w:t>
      </w:r>
    </w:p>
    <w:p w:rsidR="005C2091" w:rsidRDefault="00A86293">
      <w:pPr>
        <w:pStyle w:val="Heading8"/>
        <w:jc w:val="left"/>
      </w:pPr>
      <w:r>
        <w:t>Opis provedbe cilja programa</w:t>
      </w:r>
    </w:p>
    <w:p w:rsidR="005C2091" w:rsidRDefault="00A86293">
      <w:r>
        <w:t xml:space="preserve">Prodaja nacionaliziranih i konfisciranih stanova započela je 1997. godine i kontinuirano traje do danas. Naime,  Zakonom o naknadi propisano je da se nacionalizirani stanovi prodaju nositelju stanarskog prava odnosno zaštićenom najmoprimcu, a prijašnjem vlasniku se isplaćuje naknada i to 25% u novcu, a ostatak u obveznicama Republike Hrvatske. Kada su ispunjeni zakonski uvjeti, konfiscirani se stanovi u pravilu vraćaju prijašnjem vlasniku, dok se manji dio istih prodaje stanarima.  </w:t>
      </w:r>
    </w:p>
    <w:p w:rsidR="005C2091" w:rsidRDefault="00A86293">
      <w:r>
        <w:t xml:space="preserve">Fond je ustrojio bazu podataka svih sklopljenih ugovora o prodaji nacionaliziranih i konfisciranih stanova u Republici Hrvatskoj koja se neprestano nadopunjava novim ugovorima i aneksima istih. Baza podataka putem koje se prati otkup nacionaliziranih i konfisciranih stanova uz obročnu otplatu je ustrojena po uzoru na banke i ostale financijske institucije koje se bave kreditiranjem fizičkih i pravnih osoba što znači da Fond redovito šalje obavijesti o stanju duga, opomene zbog neplaćanja duga, vrši reprogramiranje duga, omogućava jednokratne otplate cijene stana, obračunava zatezne kamate i sl. Također, programski su povezane baza podataka otkupa nacionaliziranih i konfisciranih stanova i baza podataka isplate naknade te se na taj način uspoređuju i provjeravaju podatci o oduzetim stanovima prilikom utvrđenja visine naknade za te iste stanove. </w:t>
      </w:r>
    </w:p>
    <w:p w:rsidR="005C2091" w:rsidRDefault="00A86293">
      <w:r>
        <w:t xml:space="preserve">Od 1997. godine, kada je započela prodaja nacionaliziranih i konfisciranih stanova, do 31. prosinca 2016. godine ukupno je sklopljeno 21.058 ugovora o prodaji stanova. Najveći broj ugovora o prodaji nacionaliziranih i konfisciranih stanova sklopljen je u Gradu Zagrebu, 13.263 ugovora, što predstavlja 62,98% od svih prodanih stanova.  </w:t>
      </w:r>
    </w:p>
    <w:p w:rsidR="005C2091" w:rsidRDefault="00A86293">
      <w:r>
        <w:t>Do 31. prosinca 2016. godine ukupno je otplaćeno 13.079 ugovora, od čega je 8.618 jednokratnih ugovora, 2.868 sklopljena aneksa ugovora kojima se ugovara prijevremena otplata, a preostali broj odnosi se na prijevremenu otplatu bez sklapanja aneksa ugovora (ubrzana otplata), stoga Fond u bazi podataka prati otplatu 7.705 ugovora o prodaji nacionaliziranih i konfisciranih stanova sklopljenih na obročnu otplatu, od čega se najveći dio odnosi na Grad Zagreb, 4.529 ugovora, Grad Osijek 737, Grad Rijeku 564 te Grad Split 497 ugovora.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07"/>
        <w:gridCol w:w="2408"/>
        <w:gridCol w:w="997"/>
        <w:gridCol w:w="1007"/>
        <w:gridCol w:w="1159"/>
        <w:gridCol w:w="1114"/>
        <w:gridCol w:w="1114"/>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Pravodobna isplata naknade u novcu i obveznicama</w:t>
            </w:r>
          </w:p>
        </w:tc>
        <w:tc>
          <w:tcPr>
            <w:tcW w:w="2551" w:type="dxa"/>
          </w:tcPr>
          <w:p w:rsidR="005C2091" w:rsidRDefault="00A86293">
            <w:pPr>
              <w:pStyle w:val="CellColumn"/>
              <w:jc w:val="left"/>
            </w:pPr>
            <w:r>
              <w:rPr>
                <w:rFonts w:cs="Times New Roman"/>
              </w:rPr>
              <w:t>Pravodobna isplata naknade u novcu i obveznicama</w:t>
            </w:r>
          </w:p>
        </w:tc>
        <w:tc>
          <w:tcPr>
            <w:tcW w:w="1020" w:type="dxa"/>
          </w:tcPr>
          <w:p w:rsidR="005C2091" w:rsidRDefault="00A86293">
            <w:pPr>
              <w:pStyle w:val="CellColumn"/>
              <w:jc w:val="right"/>
            </w:pPr>
            <w:r>
              <w:rPr>
                <w:rFonts w:cs="Times New Roman"/>
              </w:rPr>
              <w:t>Postotak izvršenja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Mjesečna izvješća Službi za Kolegij Fonda, kvartalna izvješća o Nadzoru učinkovitosti procesa u okviru ISO 9001</w:t>
            </w:r>
          </w:p>
        </w:tc>
        <w:tc>
          <w:tcPr>
            <w:tcW w:w="1020" w:type="dxa"/>
          </w:tcPr>
          <w:p w:rsidR="005C2091" w:rsidRDefault="00A86293">
            <w:pPr>
              <w:pStyle w:val="CellColumn"/>
              <w:jc w:val="right"/>
            </w:pPr>
            <w:r>
              <w:rPr>
                <w:rFonts w:cs="Times New Roman"/>
              </w:rPr>
              <w:t>148.637.180</w:t>
            </w:r>
          </w:p>
        </w:tc>
        <w:tc>
          <w:tcPr>
            <w:tcW w:w="1020" w:type="dxa"/>
          </w:tcPr>
          <w:p w:rsidR="005C2091" w:rsidRDefault="00A86293">
            <w:pPr>
              <w:pStyle w:val="CellColumn"/>
              <w:jc w:val="right"/>
            </w:pPr>
            <w:r>
              <w:rPr>
                <w:rFonts w:cs="Times New Roman"/>
              </w:rPr>
              <w:t>146.781.350</w:t>
            </w:r>
          </w:p>
        </w:tc>
      </w:tr>
      <w:tr w:rsidR="005C2091">
        <w:trPr>
          <w:jc w:val="center"/>
        </w:trPr>
        <w:tc>
          <w:tcPr>
            <w:tcW w:w="2551" w:type="dxa"/>
          </w:tcPr>
          <w:p w:rsidR="005C2091" w:rsidRDefault="00A86293">
            <w:pPr>
              <w:pStyle w:val="CellColumn"/>
              <w:jc w:val="left"/>
            </w:pPr>
            <w:r>
              <w:rPr>
                <w:rFonts w:cs="Times New Roman"/>
              </w:rPr>
              <w:lastRenderedPageBreak/>
              <w:t>Povećanje naplate nacionaliziranih i konfisciranih stanova</w:t>
            </w:r>
          </w:p>
        </w:tc>
        <w:tc>
          <w:tcPr>
            <w:tcW w:w="2551" w:type="dxa"/>
          </w:tcPr>
          <w:p w:rsidR="005C2091" w:rsidRDefault="00A86293">
            <w:pPr>
              <w:pStyle w:val="CellColumn"/>
              <w:jc w:val="left"/>
            </w:pPr>
            <w:r>
              <w:rPr>
                <w:rFonts w:cs="Times New Roman"/>
              </w:rPr>
              <w:t>Prodaja nacionaliziranih i konfisciranih stanova</w:t>
            </w:r>
          </w:p>
        </w:tc>
        <w:tc>
          <w:tcPr>
            <w:tcW w:w="1020" w:type="dxa"/>
          </w:tcPr>
          <w:p w:rsidR="005C2091" w:rsidRDefault="00A86293">
            <w:pPr>
              <w:pStyle w:val="CellColumn"/>
              <w:jc w:val="right"/>
            </w:pPr>
            <w:r>
              <w:rPr>
                <w:rFonts w:cs="Times New Roman"/>
              </w:rPr>
              <w:t>Postotak izvršenja</w:t>
            </w:r>
          </w:p>
        </w:tc>
        <w:tc>
          <w:tcPr>
            <w:tcW w:w="1020" w:type="dxa"/>
          </w:tcPr>
          <w:p w:rsidR="005C2091" w:rsidRDefault="00A86293">
            <w:pPr>
              <w:pStyle w:val="CellColumn"/>
              <w:jc w:val="right"/>
            </w:pPr>
            <w:r>
              <w:rPr>
                <w:rFonts w:cs="Times New Roman"/>
              </w:rPr>
              <w:t>96%</w:t>
            </w:r>
          </w:p>
        </w:tc>
        <w:tc>
          <w:tcPr>
            <w:tcW w:w="1020" w:type="dxa"/>
          </w:tcPr>
          <w:p w:rsidR="005C2091" w:rsidRDefault="00A86293">
            <w:pPr>
              <w:pStyle w:val="CellColumn"/>
              <w:jc w:val="right"/>
            </w:pPr>
            <w:r>
              <w:rPr>
                <w:rFonts w:cs="Times New Roman"/>
              </w:rPr>
              <w:t>Baza podataka sklopljenih ugovora o prodaji nac. i konf. stanova -analitika Fonda</w:t>
            </w:r>
            <w:r>
              <w:rPr>
                <w:rFonts w:cs="Times New Roman"/>
              </w:rPr>
              <w:tab/>
              <w:t>96%</w:t>
            </w:r>
          </w:p>
        </w:tc>
        <w:tc>
          <w:tcPr>
            <w:tcW w:w="1020" w:type="dxa"/>
          </w:tcPr>
          <w:p w:rsidR="005C2091" w:rsidRDefault="00A86293">
            <w:pPr>
              <w:pStyle w:val="CellColumn"/>
              <w:jc w:val="right"/>
            </w:pPr>
            <w:r>
              <w:rPr>
                <w:rFonts w:cs="Times New Roman"/>
              </w:rPr>
              <w:t>25.000.000</w:t>
            </w:r>
          </w:p>
        </w:tc>
        <w:tc>
          <w:tcPr>
            <w:tcW w:w="1020" w:type="dxa"/>
          </w:tcPr>
          <w:p w:rsidR="005C2091" w:rsidRDefault="00A86293">
            <w:pPr>
              <w:pStyle w:val="CellColumn"/>
              <w:jc w:val="right"/>
            </w:pPr>
            <w:r>
              <w:rPr>
                <w:rFonts w:cs="Times New Roman"/>
              </w:rPr>
              <w:t>24.382.847</w:t>
            </w:r>
          </w:p>
        </w:tc>
      </w:tr>
    </w:tbl>
    <w:p w:rsidR="005C2091" w:rsidRDefault="005C2091">
      <w:pPr>
        <w:jc w:val="left"/>
      </w:pPr>
    </w:p>
    <w:p w:rsidR="005C2091" w:rsidRDefault="00A86293">
      <w:pPr>
        <w:pStyle w:val="Heading4"/>
      </w:pPr>
      <w:r>
        <w:t>A873001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A873001-ADMINISTRACIJA I UPRAVLJANJE</w:t>
            </w:r>
          </w:p>
        </w:tc>
        <w:tc>
          <w:tcPr>
            <w:tcW w:w="2041" w:type="dxa"/>
          </w:tcPr>
          <w:p w:rsidR="005C2091" w:rsidRDefault="00A86293">
            <w:pPr>
              <w:pStyle w:val="CellColumn"/>
              <w:jc w:val="right"/>
            </w:pPr>
            <w:r>
              <w:rPr>
                <w:rFonts w:cs="Times New Roman"/>
              </w:rPr>
              <w:t>9.920.362</w:t>
            </w:r>
          </w:p>
        </w:tc>
        <w:tc>
          <w:tcPr>
            <w:tcW w:w="2041" w:type="dxa"/>
          </w:tcPr>
          <w:p w:rsidR="005C2091" w:rsidRDefault="00A86293">
            <w:pPr>
              <w:pStyle w:val="CellColumn"/>
              <w:jc w:val="right"/>
            </w:pPr>
            <w:r>
              <w:rPr>
                <w:rFonts w:cs="Times New Roman"/>
              </w:rPr>
              <w:t>9.830.100</w:t>
            </w:r>
          </w:p>
        </w:tc>
        <w:tc>
          <w:tcPr>
            <w:tcW w:w="2041" w:type="dxa"/>
          </w:tcPr>
          <w:p w:rsidR="005C2091" w:rsidRDefault="00A86293">
            <w:pPr>
              <w:pStyle w:val="CellColumn"/>
              <w:jc w:val="right"/>
            </w:pPr>
            <w:r>
              <w:rPr>
                <w:rFonts w:cs="Times New Roman"/>
              </w:rPr>
              <w:t>8.698.880</w:t>
            </w:r>
          </w:p>
        </w:tc>
        <w:tc>
          <w:tcPr>
            <w:tcW w:w="1224" w:type="dxa"/>
          </w:tcPr>
          <w:p w:rsidR="005C2091" w:rsidRDefault="00A86293">
            <w:pPr>
              <w:pStyle w:val="CellColumn"/>
              <w:jc w:val="right"/>
            </w:pPr>
            <w:r>
              <w:rPr>
                <w:rFonts w:cs="Times New Roman"/>
              </w:rPr>
              <w:t>88,5</w:t>
            </w:r>
          </w:p>
        </w:tc>
        <w:tc>
          <w:tcPr>
            <w:tcW w:w="1224" w:type="dxa"/>
          </w:tcPr>
          <w:p w:rsidR="005C2091" w:rsidRDefault="00A86293">
            <w:pPr>
              <w:pStyle w:val="CellColumn"/>
              <w:jc w:val="right"/>
            </w:pPr>
            <w:r>
              <w:rPr>
                <w:rFonts w:cs="Times New Roman"/>
              </w:rPr>
              <w:t>87,7</w:t>
            </w:r>
          </w:p>
        </w:tc>
      </w:tr>
    </w:tbl>
    <w:p w:rsidR="005C2091" w:rsidRDefault="005C2091">
      <w:pPr>
        <w:jc w:val="left"/>
      </w:pPr>
    </w:p>
    <w:p w:rsidR="005C2091" w:rsidRDefault="00A86293">
      <w:pPr>
        <w:pStyle w:val="Heading8"/>
        <w:jc w:val="left"/>
      </w:pPr>
      <w:r>
        <w:t>Zakonske i druge pravne osnove</w:t>
      </w:r>
    </w:p>
    <w:p w:rsidR="005C2091" w:rsidRDefault="00A86293">
      <w:r>
        <w:t>Zakon o Fondu za naknadu oduzete imovine (NN 69/97, 105/99, 64/00 i 141/13), članak 5. stavak (1) i (2).</w:t>
      </w:r>
    </w:p>
    <w:p w:rsidR="005C2091" w:rsidRDefault="00A86293">
      <w:pPr>
        <w:pStyle w:val="Heading8"/>
        <w:jc w:val="left"/>
      </w:pPr>
      <w:r>
        <w:t>Opis aktivnosti</w:t>
      </w:r>
    </w:p>
    <w:p w:rsidR="005C2091" w:rsidRDefault="00A86293">
      <w:r>
        <w:t>U okviru ove aktivnosti izvršeni su rashodi za zaposlene, materijalni rashodi koji uključuju naknade troškova zaposlenima, rashode za materijal i energiju, rashode za usluge i ostale nespomenute rashode poslovanja, financijske rashode i rashode za nabavu nefinancijske imovine. Optimizacija materijalnih troškova i njihovo postepeno smanjenje uz istodobno pružanje najkvalitetnije javne usluge postiže se dodatnim ulaganjem u stručno osposobljavanje i informatizaciju, a istodobno smanjenje broja zaposlenih. Naprijed navedeno dokazuje podatak da su ukupni troškovi Fonda koji se odnose na administraciju i upravljanje u 2016. godini izvršeni u visini 88,50% planiranih. Trend postepenog pada troškova Fonda koji se odnose na administraciju i upravljanje iskazani su i u indeksu izvršenja 2016. u odnosu na 2015. godinu, koji iznosi 87,70%.</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Optimizacija troškova</w:t>
            </w:r>
          </w:p>
        </w:tc>
        <w:tc>
          <w:tcPr>
            <w:tcW w:w="2551" w:type="dxa"/>
          </w:tcPr>
          <w:p w:rsidR="005C2091" w:rsidRDefault="00A86293">
            <w:pPr>
              <w:pStyle w:val="CellColumn"/>
              <w:jc w:val="left"/>
            </w:pPr>
            <w:r>
              <w:rPr>
                <w:rFonts w:cs="Times New Roman"/>
              </w:rPr>
              <w:t>Optimizacija troškova</w:t>
            </w:r>
          </w:p>
        </w:tc>
        <w:tc>
          <w:tcPr>
            <w:tcW w:w="1020" w:type="dxa"/>
          </w:tcPr>
          <w:p w:rsidR="005C2091" w:rsidRDefault="00A86293">
            <w:pPr>
              <w:pStyle w:val="CellColumn"/>
              <w:jc w:val="right"/>
            </w:pPr>
            <w:r>
              <w:rPr>
                <w:rFonts w:cs="Times New Roman"/>
              </w:rPr>
              <w:t>Visina utrošenih sredstava</w:t>
            </w:r>
          </w:p>
        </w:tc>
        <w:tc>
          <w:tcPr>
            <w:tcW w:w="1020" w:type="dxa"/>
          </w:tcPr>
          <w:p w:rsidR="005C2091" w:rsidRDefault="00A86293">
            <w:pPr>
              <w:pStyle w:val="CellColumn"/>
              <w:jc w:val="right"/>
            </w:pPr>
            <w:r>
              <w:rPr>
                <w:rFonts w:cs="Times New Roman"/>
              </w:rPr>
              <w:t>9.830.100</w:t>
            </w:r>
          </w:p>
        </w:tc>
        <w:tc>
          <w:tcPr>
            <w:tcW w:w="1020" w:type="dxa"/>
          </w:tcPr>
          <w:p w:rsidR="005C2091" w:rsidRDefault="00A86293">
            <w:pPr>
              <w:pStyle w:val="CellColumn"/>
              <w:jc w:val="right"/>
            </w:pPr>
            <w:r>
              <w:rPr>
                <w:rFonts w:cs="Times New Roman"/>
              </w:rPr>
              <w:t>Mjesečna izvješća Službi za Kolegij Fonda</w:t>
            </w:r>
          </w:p>
        </w:tc>
        <w:tc>
          <w:tcPr>
            <w:tcW w:w="1020" w:type="dxa"/>
          </w:tcPr>
          <w:p w:rsidR="005C2091" w:rsidRDefault="00A86293">
            <w:pPr>
              <w:pStyle w:val="CellColumn"/>
              <w:jc w:val="right"/>
            </w:pPr>
            <w:r>
              <w:rPr>
                <w:rFonts w:cs="Times New Roman"/>
              </w:rPr>
              <w:t>9.830.100</w:t>
            </w:r>
          </w:p>
        </w:tc>
        <w:tc>
          <w:tcPr>
            <w:tcW w:w="1020" w:type="dxa"/>
          </w:tcPr>
          <w:p w:rsidR="005C2091" w:rsidRDefault="00A86293">
            <w:pPr>
              <w:pStyle w:val="CellColumn"/>
              <w:jc w:val="right"/>
            </w:pPr>
            <w:r>
              <w:rPr>
                <w:rFonts w:cs="Times New Roman"/>
              </w:rPr>
              <w:t>8.698.880</w:t>
            </w:r>
          </w:p>
        </w:tc>
      </w:tr>
    </w:tbl>
    <w:p w:rsidR="005C2091" w:rsidRDefault="005C2091">
      <w:pPr>
        <w:jc w:val="left"/>
      </w:pPr>
    </w:p>
    <w:p w:rsidR="005C2091" w:rsidRDefault="00A86293">
      <w:pPr>
        <w:pStyle w:val="Heading4"/>
      </w:pPr>
      <w:r>
        <w:t>T544013 ISPLATA NAKNADE ZA ODUZETU IMOVINU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T544013-ISPLATA NAKNADE ZA ODUZETU IMOVINU</w:t>
            </w:r>
          </w:p>
        </w:tc>
        <w:tc>
          <w:tcPr>
            <w:tcW w:w="2041" w:type="dxa"/>
          </w:tcPr>
          <w:p w:rsidR="005C2091" w:rsidRDefault="00A86293">
            <w:pPr>
              <w:pStyle w:val="CellColumn"/>
              <w:jc w:val="right"/>
            </w:pPr>
            <w:r>
              <w:rPr>
                <w:rFonts w:cs="Times New Roman"/>
              </w:rPr>
              <w:t>148.636.075</w:t>
            </w:r>
          </w:p>
        </w:tc>
        <w:tc>
          <w:tcPr>
            <w:tcW w:w="2041" w:type="dxa"/>
          </w:tcPr>
          <w:p w:rsidR="005C2091" w:rsidRDefault="00A86293">
            <w:pPr>
              <w:pStyle w:val="CellColumn"/>
              <w:jc w:val="right"/>
            </w:pPr>
            <w:r>
              <w:rPr>
                <w:rFonts w:cs="Times New Roman"/>
              </w:rPr>
              <w:t>149.347.180</w:t>
            </w:r>
          </w:p>
        </w:tc>
        <w:tc>
          <w:tcPr>
            <w:tcW w:w="2041" w:type="dxa"/>
          </w:tcPr>
          <w:p w:rsidR="005C2091" w:rsidRDefault="00A86293">
            <w:pPr>
              <w:pStyle w:val="CellColumn"/>
              <w:jc w:val="right"/>
            </w:pPr>
            <w:r>
              <w:rPr>
                <w:rFonts w:cs="Times New Roman"/>
              </w:rPr>
              <w:t>147.468.439</w:t>
            </w:r>
          </w:p>
        </w:tc>
        <w:tc>
          <w:tcPr>
            <w:tcW w:w="1224" w:type="dxa"/>
          </w:tcPr>
          <w:p w:rsidR="005C2091" w:rsidRDefault="00A86293">
            <w:pPr>
              <w:pStyle w:val="CellColumn"/>
              <w:jc w:val="right"/>
            </w:pPr>
            <w:r>
              <w:rPr>
                <w:rFonts w:cs="Times New Roman"/>
              </w:rPr>
              <w:t>98,7</w:t>
            </w:r>
          </w:p>
        </w:tc>
        <w:tc>
          <w:tcPr>
            <w:tcW w:w="1224" w:type="dxa"/>
          </w:tcPr>
          <w:p w:rsidR="005C2091" w:rsidRDefault="00A86293">
            <w:pPr>
              <w:pStyle w:val="CellColumn"/>
              <w:jc w:val="right"/>
            </w:pPr>
            <w:r>
              <w:rPr>
                <w:rFonts w:cs="Times New Roman"/>
              </w:rPr>
              <w:t>99,2</w:t>
            </w:r>
          </w:p>
        </w:tc>
      </w:tr>
    </w:tbl>
    <w:p w:rsidR="005C2091" w:rsidRDefault="005C2091">
      <w:pPr>
        <w:jc w:val="left"/>
      </w:pPr>
    </w:p>
    <w:p w:rsidR="005C2091" w:rsidRDefault="00A86293">
      <w:pPr>
        <w:pStyle w:val="Heading8"/>
        <w:jc w:val="left"/>
      </w:pPr>
      <w:r>
        <w:t>Zakonske i druge pravne osnove</w:t>
      </w:r>
    </w:p>
    <w:p w:rsidR="005C2091" w:rsidRDefault="00A86293">
      <w:r>
        <w:t>1.</w:t>
      </w:r>
      <w:r>
        <w:tab/>
        <w:t xml:space="preserve">Zakon o naknadi za imovinu oduzetu za vrijeme jugoslavenske komunističke vladavine (NN 92/96, 39/99, 42/99, 92/99, 43/00,131/00, 27/01, 65/01, 118/01, 80/02, i 81/02) - članak 62. </w:t>
      </w:r>
    </w:p>
    <w:p w:rsidR="005C2091" w:rsidRDefault="00A86293">
      <w:r>
        <w:t>2.</w:t>
      </w:r>
      <w:r>
        <w:tab/>
        <w:t xml:space="preserve">Zakon o Fondu za naknadu oduzete imovine (NN 69/97, 105/99, 64/00 i 141/13) - članak 1. stavak 2, članak 3. i 4.  </w:t>
      </w:r>
    </w:p>
    <w:p w:rsidR="005C2091" w:rsidRDefault="00A86293">
      <w:r>
        <w:t>3.</w:t>
      </w:r>
      <w:r>
        <w:tab/>
        <w:t xml:space="preserve">Pravilnik o mjerilima za utvrđivanje naknade za oduzeto građevinsko zemljište i poslovni prostor (NN 204/03 i 3/04) </w:t>
      </w:r>
    </w:p>
    <w:p w:rsidR="005C2091" w:rsidRDefault="00A86293">
      <w:r>
        <w:t>4.</w:t>
      </w:r>
      <w:r>
        <w:tab/>
        <w:t xml:space="preserve">Pravilnik o mjerilima za utvrđivanje vrijednosti oduzetog poljoprivrednog zemljišta, šuma i šumskog zemljišta (NN 18/04) </w:t>
      </w:r>
    </w:p>
    <w:p w:rsidR="005C2091" w:rsidRDefault="00A86293">
      <w:r>
        <w:t>5.</w:t>
      </w:r>
      <w:r>
        <w:tab/>
        <w:t xml:space="preserve">Pravilnik o mjerilima za utvrđivanje vrijednosti stana (NN 66/98) </w:t>
      </w:r>
    </w:p>
    <w:p w:rsidR="005C2091" w:rsidRDefault="00A86293">
      <w:r>
        <w:t>6.</w:t>
      </w:r>
      <w:r>
        <w:tab/>
        <w:t xml:space="preserve">Pravilnik o mjerilima za utvrđivanje vrijednosti oduzetih brodova i brodica (NN 64/05) </w:t>
      </w:r>
    </w:p>
    <w:p w:rsidR="005C2091" w:rsidRDefault="00A86293">
      <w:r>
        <w:t>7.</w:t>
      </w:r>
      <w:r>
        <w:tab/>
        <w:t>Pravilnik o mjerilima za utvrđivanje vrijednosti pokretnina koje imaju kulturnu, umjetničku ili povijesnu vrijednost (NN 77/04)</w:t>
      </w:r>
    </w:p>
    <w:p w:rsidR="005C2091" w:rsidRDefault="00A86293">
      <w:pPr>
        <w:pStyle w:val="Heading8"/>
        <w:jc w:val="left"/>
      </w:pPr>
      <w:r>
        <w:t>Opis aktivnosti</w:t>
      </w:r>
    </w:p>
    <w:p w:rsidR="005C2091" w:rsidRDefault="00A86293">
      <w:r>
        <w:t xml:space="preserve">Aktivnost obuhvaća isplatu naknade za oduzetu imovinu koja se isplaćuje za oduzete stanove, poslovne prostore, poljoprivredna zemljišta, šume i šumska zemljišta, brodove i brodice, i građevinska zemljišta, utvrđenu u obveznicama Republike Hrvatske dok je iznimno za stanove utvrđena i isplata dijela naknade u novcu od 25%, koja se isplaćuje u roku 6 mjeseci od pravomoćnosti svakog zaprimljenog rješenja.  </w:t>
      </w:r>
    </w:p>
    <w:p w:rsidR="005C2091" w:rsidRDefault="00A86293">
      <w:r>
        <w:t xml:space="preserve">Fond je u 2016. godini alocirao 43.207 obvezničkih udjela Globalne obveznice serije E (17,66% od ukupnog broja obvezničkih udjela) na 990 ovlaštenika naknade kojima je pravo na naknadu za oduzetu imovinu u obveznicama Republike Hrvatske kao i visina naknade utvrđena u 514 pravomoćna rješenja koja su zaprimljena u Fondu na izvršenje.  </w:t>
      </w:r>
    </w:p>
    <w:p w:rsidR="005C2091" w:rsidRDefault="00A86293">
      <w:r>
        <w:t xml:space="preserve">Fond je o dospijeću isplatio po dva Anuiteta Globalne obveznice Republike Hrvatske serije A, B, C, D i E, u kunskoj protuvrijednosti po prodajnom tečaju za devize za EUR Privredne banke Zagreb d.d. Anuiteti su isplaćeni 1. siječnja i 1. srpnja.  </w:t>
      </w:r>
    </w:p>
    <w:p w:rsidR="005C2091" w:rsidRDefault="00A86293">
      <w:r>
        <w:t>Za usluge Središnjeg klirinškog depozitarnog društva Fond je isplatio iznos od 687.088 kuna. Izvršenje u 2016. godini na aktivnosti ISPLATA NAKNADE ZA ODUZETU IMOVINU iznosi 98,7% planiranih sredstava.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4"/>
        <w:gridCol w:w="2482"/>
        <w:gridCol w:w="1036"/>
        <w:gridCol w:w="1015"/>
        <w:gridCol w:w="1159"/>
        <w:gridCol w:w="1015"/>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dodijeljenih obezničkih udjela</w:t>
            </w:r>
          </w:p>
        </w:tc>
        <w:tc>
          <w:tcPr>
            <w:tcW w:w="2551" w:type="dxa"/>
          </w:tcPr>
          <w:p w:rsidR="005C2091" w:rsidRDefault="00A86293">
            <w:pPr>
              <w:pStyle w:val="CellColumn"/>
              <w:jc w:val="left"/>
            </w:pPr>
            <w:r>
              <w:rPr>
                <w:rFonts w:cs="Times New Roman"/>
              </w:rPr>
              <w:t>Isplata naknade u novcu i obveznicama</w:t>
            </w:r>
          </w:p>
        </w:tc>
        <w:tc>
          <w:tcPr>
            <w:tcW w:w="1020" w:type="dxa"/>
          </w:tcPr>
          <w:p w:rsidR="005C2091" w:rsidRDefault="00A86293">
            <w:pPr>
              <w:pStyle w:val="CellColumn"/>
              <w:jc w:val="right"/>
            </w:pPr>
            <w:r>
              <w:rPr>
                <w:rFonts w:cs="Times New Roman"/>
              </w:rPr>
              <w:t>Obveznički udjel</w:t>
            </w:r>
          </w:p>
        </w:tc>
        <w:tc>
          <w:tcPr>
            <w:tcW w:w="1020" w:type="dxa"/>
          </w:tcPr>
          <w:p w:rsidR="005C2091" w:rsidRDefault="00A86293">
            <w:pPr>
              <w:pStyle w:val="CellColumn"/>
              <w:jc w:val="right"/>
            </w:pPr>
            <w:r>
              <w:rPr>
                <w:rFonts w:cs="Times New Roman"/>
              </w:rPr>
              <w:t>45.000</w:t>
            </w:r>
          </w:p>
        </w:tc>
        <w:tc>
          <w:tcPr>
            <w:tcW w:w="1020" w:type="dxa"/>
          </w:tcPr>
          <w:p w:rsidR="005C2091" w:rsidRDefault="00A86293">
            <w:pPr>
              <w:pStyle w:val="CellColumn"/>
              <w:jc w:val="right"/>
            </w:pPr>
            <w:r>
              <w:rPr>
                <w:rFonts w:cs="Times New Roman"/>
              </w:rPr>
              <w:t>Zaprimljeni predmeti, predmeti po kojima se postupilo, predmeti po kojima se isplaćuje naknada</w:t>
            </w:r>
          </w:p>
        </w:tc>
        <w:tc>
          <w:tcPr>
            <w:tcW w:w="1020" w:type="dxa"/>
          </w:tcPr>
          <w:p w:rsidR="005C2091" w:rsidRDefault="00A86293">
            <w:pPr>
              <w:pStyle w:val="CellColumn"/>
              <w:jc w:val="right"/>
            </w:pPr>
            <w:r>
              <w:rPr>
                <w:rFonts w:cs="Times New Roman"/>
              </w:rPr>
              <w:t>50.000</w:t>
            </w:r>
          </w:p>
        </w:tc>
        <w:tc>
          <w:tcPr>
            <w:tcW w:w="1020" w:type="dxa"/>
          </w:tcPr>
          <w:p w:rsidR="005C2091" w:rsidRDefault="00A86293">
            <w:pPr>
              <w:pStyle w:val="CellColumn"/>
              <w:jc w:val="right"/>
            </w:pPr>
            <w:r>
              <w:rPr>
                <w:rFonts w:cs="Times New Roman"/>
              </w:rPr>
              <w:t>43.207</w:t>
            </w:r>
          </w:p>
        </w:tc>
      </w:tr>
      <w:tr w:rsidR="005C2091">
        <w:trPr>
          <w:jc w:val="center"/>
        </w:trPr>
        <w:tc>
          <w:tcPr>
            <w:tcW w:w="2551" w:type="dxa"/>
          </w:tcPr>
          <w:p w:rsidR="005C2091" w:rsidRDefault="00A86293">
            <w:pPr>
              <w:pStyle w:val="CellColumn"/>
              <w:jc w:val="left"/>
            </w:pPr>
            <w:r>
              <w:rPr>
                <w:rFonts w:cs="Times New Roman"/>
              </w:rPr>
              <w:lastRenderedPageBreak/>
              <w:t>Postupanje po pravomoćnim rješenjima u propisanim rokovima</w:t>
            </w:r>
          </w:p>
        </w:tc>
        <w:tc>
          <w:tcPr>
            <w:tcW w:w="2551" w:type="dxa"/>
          </w:tcPr>
          <w:p w:rsidR="005C2091" w:rsidRDefault="00A86293">
            <w:pPr>
              <w:pStyle w:val="CellColumn"/>
              <w:jc w:val="left"/>
            </w:pPr>
            <w:r>
              <w:rPr>
                <w:rFonts w:cs="Times New Roman"/>
              </w:rPr>
              <w:t>Isplata naknade u novcu i obveznicama</w:t>
            </w:r>
          </w:p>
        </w:tc>
        <w:tc>
          <w:tcPr>
            <w:tcW w:w="1020" w:type="dxa"/>
          </w:tcPr>
          <w:p w:rsidR="005C2091" w:rsidRDefault="00A86293">
            <w:pPr>
              <w:pStyle w:val="CellColumn"/>
              <w:jc w:val="right"/>
            </w:pPr>
            <w:r>
              <w:rPr>
                <w:rFonts w:cs="Times New Roman"/>
              </w:rPr>
              <w:t>Postotak izvršenja</w:t>
            </w:r>
          </w:p>
        </w:tc>
        <w:tc>
          <w:tcPr>
            <w:tcW w:w="1020" w:type="dxa"/>
          </w:tcPr>
          <w:p w:rsidR="005C2091" w:rsidRDefault="00A86293">
            <w:pPr>
              <w:pStyle w:val="CellColumn"/>
              <w:jc w:val="right"/>
            </w:pPr>
            <w:r>
              <w:rPr>
                <w:rFonts w:cs="Times New Roman"/>
              </w:rPr>
              <w:t>Plan rada</w:t>
            </w:r>
          </w:p>
        </w:tc>
        <w:tc>
          <w:tcPr>
            <w:tcW w:w="1020" w:type="dxa"/>
          </w:tcPr>
          <w:p w:rsidR="005C2091" w:rsidRDefault="00A86293">
            <w:pPr>
              <w:pStyle w:val="CellColumn"/>
              <w:jc w:val="right"/>
            </w:pPr>
            <w:r>
              <w:rPr>
                <w:rFonts w:cs="Times New Roman"/>
              </w:rPr>
              <w:t>Mjesečna izvješća za Kolegij Fonda, kvartalna izvješća o Nadzoru učinkovitosti procesa u okviru ISO 9001</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99%</w:t>
            </w:r>
          </w:p>
        </w:tc>
      </w:tr>
    </w:tbl>
    <w:p w:rsidR="005C2091" w:rsidRDefault="005C2091">
      <w:pPr>
        <w:jc w:val="left"/>
      </w:pPr>
    </w:p>
    <w:p w:rsidR="008846BB" w:rsidRDefault="008846BB">
      <w:pPr>
        <w:jc w:val="left"/>
      </w:pPr>
    </w:p>
    <w:p w:rsidR="005C2091" w:rsidRDefault="00A86293">
      <w:pPr>
        <w:pStyle w:val="Heading3"/>
      </w:pPr>
      <w:r>
        <w:rPr>
          <w:rFonts w:cs="Times New Roman"/>
        </w:rPr>
        <w:t>3913 POTPORE VJERSKIM ZAJEDNICAMA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3913-POTPORE VJERSKIM ZAJEDNICAMA</w:t>
            </w:r>
          </w:p>
        </w:tc>
        <w:tc>
          <w:tcPr>
            <w:tcW w:w="2041" w:type="dxa"/>
          </w:tcPr>
          <w:p w:rsidR="005C2091" w:rsidRDefault="00A86293">
            <w:pPr>
              <w:pStyle w:val="CellColumn"/>
              <w:jc w:val="right"/>
            </w:pPr>
            <w:r>
              <w:rPr>
                <w:rFonts w:cs="Times New Roman"/>
              </w:rPr>
              <w:t>14.854.120</w:t>
            </w:r>
          </w:p>
        </w:tc>
        <w:tc>
          <w:tcPr>
            <w:tcW w:w="2041" w:type="dxa"/>
          </w:tcPr>
          <w:p w:rsidR="005C2091" w:rsidRDefault="00A86293">
            <w:pPr>
              <w:pStyle w:val="CellColumn"/>
              <w:jc w:val="right"/>
            </w:pPr>
            <w:r>
              <w:rPr>
                <w:rFonts w:cs="Times New Roman"/>
              </w:rPr>
              <w:t>2.500.000</w:t>
            </w:r>
          </w:p>
        </w:tc>
        <w:tc>
          <w:tcPr>
            <w:tcW w:w="2041" w:type="dxa"/>
          </w:tcPr>
          <w:p w:rsidR="005C2091" w:rsidRDefault="00A86293">
            <w:pPr>
              <w:pStyle w:val="CellColumn"/>
              <w:jc w:val="right"/>
            </w:pPr>
            <w:r>
              <w:rPr>
                <w:rFonts w:cs="Times New Roman"/>
              </w:rPr>
              <w:t>2.337.225</w:t>
            </w:r>
          </w:p>
        </w:tc>
        <w:tc>
          <w:tcPr>
            <w:tcW w:w="1224" w:type="dxa"/>
          </w:tcPr>
          <w:p w:rsidR="005C2091" w:rsidRDefault="00A86293">
            <w:pPr>
              <w:pStyle w:val="CellColumn"/>
              <w:jc w:val="right"/>
            </w:pPr>
            <w:r>
              <w:rPr>
                <w:rFonts w:cs="Times New Roman"/>
              </w:rPr>
              <w:t>93,5</w:t>
            </w:r>
          </w:p>
        </w:tc>
        <w:tc>
          <w:tcPr>
            <w:tcW w:w="1224" w:type="dxa"/>
          </w:tcPr>
          <w:p w:rsidR="005C2091" w:rsidRDefault="00A86293">
            <w:pPr>
              <w:pStyle w:val="CellColumn"/>
              <w:jc w:val="right"/>
            </w:pPr>
            <w:r>
              <w:rPr>
                <w:rFonts w:cs="Times New Roman"/>
              </w:rPr>
              <w:t>15,7</w:t>
            </w:r>
          </w:p>
        </w:tc>
      </w:tr>
    </w:tbl>
    <w:p w:rsidR="005C2091" w:rsidRDefault="005C2091">
      <w:pPr>
        <w:jc w:val="left"/>
      </w:pPr>
    </w:p>
    <w:p w:rsidR="005C2091" w:rsidRDefault="00A86293">
      <w:r>
        <w:t xml:space="preserve">Sukladno Zaključku Mješovitog povjerenstva Vlade Republike Hrvatske i Hrvatske biskupske konferencije za izradu popisa imovine oduzete Katoličkoj crkvi za vrijeme jugoslavenske komunističke vladavine i za izradu prijedloga rješavanja problema te koordinaciju aktivnosti tijela državne uprave u poslovima povrata imovine, temeljem zaprimljenih pravomoćnih rješenja Fond za sada isplaćuje naknadu pravnim osobama Katoličke crkve samo za oduzete stanove. </w:t>
      </w:r>
    </w:p>
    <w:p w:rsidR="005C2091" w:rsidRDefault="00A86293">
      <w:r>
        <w:t>Financijska sredstva se na ovoj aktivnosti planiraju temeljem zaprimljenih pravomoćnih i nepravomoćnih rješenja Ureda državne uprave u županijama i Grada Zagreba, kojima se pravnim osobama Katoličke crkve utvrđuje naknada u novcu za oduzete stanove.</w:t>
      </w:r>
    </w:p>
    <w:p w:rsidR="005C2091" w:rsidRDefault="00A86293">
      <w:pPr>
        <w:pStyle w:val="Heading8"/>
        <w:jc w:val="left"/>
      </w:pPr>
      <w:r>
        <w:t>Cilj 1. Izvršiti obveze po sklopljenom Ugovoru između Svete Stolice i Republike Hrvatske o gospodarskim pitanjima.</w:t>
      </w:r>
    </w:p>
    <w:p w:rsidR="005C2091" w:rsidRDefault="00A86293">
      <w:pPr>
        <w:pStyle w:val="Heading8"/>
        <w:jc w:val="left"/>
      </w:pPr>
      <w:r>
        <w:t>Opis provedbe cilja programa</w:t>
      </w:r>
    </w:p>
    <w:p w:rsidR="005C2091" w:rsidRDefault="00A86293">
      <w:r>
        <w:t xml:space="preserve">Fond je aktivno sudjelovao u provođenju Ugovora između Svete Stolice i Republike Hrvatske o gospodarskim pitanjima (NN, Međunarodni ugovori 18/98), kao i u dosadašnjem radu Mješovitog povjerenstva Vlade Republike Hrvatske i Hrvatske biskupske konferencije za izradu popisa imovine oduzete Katoličkoj crkvi za vrijeme jugoslavenske komunističke vladavine i za izradu prijedloga rješavanja problema te koordinaciju aktivnosti tijela državne uprave u poslovima povrata imovine, u kojem je predsjednica Fonda sudjelovala u svojstvu jednog od predstavnika Vlade Republike Hrvatske. </w:t>
      </w:r>
    </w:p>
    <w:p w:rsidR="005C2091" w:rsidRDefault="00A86293">
      <w:r>
        <w:t>Sveukupno je do 31. prosinca 2016. godine u Fondu zaprimljeno 110 rješenja kojima je utvrđena naknada u sveukupnom iznosu od 98.432.926,18 kuna. Od navedenih rješenja pravomoćna su postala 94 rješenja, kojima je utvrđena naknada u ukupnom iznosu od 89.432.889,31 kuna. Nadalje, Fond je sukladno Zaključcima gore navedenog Mješovitog povjerenstva i osiguranim sredstvima u Državnom proračunu Republike Hrvatske do 31. prosinca 2016. godine izvršio sveukupno 90 rješenja kojima je pravnim osobama Katoličke crkve utvrđeno pravo na naknadu za oduzete stanove u ukupnom iznosu od 87.513.436,83 kuna.</w:t>
      </w:r>
    </w:p>
    <w:p w:rsidR="005C2091" w:rsidRDefault="00A86293">
      <w:pPr>
        <w:pStyle w:val="Heading4"/>
      </w:pPr>
      <w:r>
        <w:lastRenderedPageBreak/>
        <w:t>A539214 NAKNADA PRAVNIM OSOBAMA KATOLIČKE CRKVE ZA ODUZETU IMOVINU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A539214-NAKNADA PRAVNIM OSOBAMA KATOLIČKE CRKVE ZA ODUZETU IMOVINU</w:t>
            </w:r>
          </w:p>
        </w:tc>
        <w:tc>
          <w:tcPr>
            <w:tcW w:w="2041" w:type="dxa"/>
          </w:tcPr>
          <w:p w:rsidR="005C2091" w:rsidRDefault="00A86293">
            <w:pPr>
              <w:pStyle w:val="CellColumn"/>
              <w:jc w:val="right"/>
            </w:pPr>
            <w:r>
              <w:rPr>
                <w:rFonts w:cs="Times New Roman"/>
              </w:rPr>
              <w:t>14.854.120</w:t>
            </w:r>
          </w:p>
        </w:tc>
        <w:tc>
          <w:tcPr>
            <w:tcW w:w="2041" w:type="dxa"/>
          </w:tcPr>
          <w:p w:rsidR="005C2091" w:rsidRDefault="00A86293">
            <w:pPr>
              <w:pStyle w:val="CellColumn"/>
              <w:jc w:val="right"/>
            </w:pPr>
            <w:r>
              <w:rPr>
                <w:rFonts w:cs="Times New Roman"/>
              </w:rPr>
              <w:t>2.500.000</w:t>
            </w:r>
          </w:p>
        </w:tc>
        <w:tc>
          <w:tcPr>
            <w:tcW w:w="2041" w:type="dxa"/>
          </w:tcPr>
          <w:p w:rsidR="005C2091" w:rsidRDefault="00A86293">
            <w:pPr>
              <w:pStyle w:val="CellColumn"/>
              <w:jc w:val="right"/>
            </w:pPr>
            <w:r>
              <w:rPr>
                <w:rFonts w:cs="Times New Roman"/>
              </w:rPr>
              <w:t>2.337.225</w:t>
            </w:r>
          </w:p>
        </w:tc>
        <w:tc>
          <w:tcPr>
            <w:tcW w:w="1224" w:type="dxa"/>
          </w:tcPr>
          <w:p w:rsidR="005C2091" w:rsidRDefault="00A86293">
            <w:pPr>
              <w:pStyle w:val="CellColumn"/>
              <w:jc w:val="right"/>
            </w:pPr>
            <w:r>
              <w:rPr>
                <w:rFonts w:cs="Times New Roman"/>
              </w:rPr>
              <w:t>93,5</w:t>
            </w:r>
          </w:p>
        </w:tc>
        <w:tc>
          <w:tcPr>
            <w:tcW w:w="1224" w:type="dxa"/>
          </w:tcPr>
          <w:p w:rsidR="005C2091" w:rsidRDefault="00A86293">
            <w:pPr>
              <w:pStyle w:val="CellColumn"/>
              <w:jc w:val="right"/>
            </w:pPr>
            <w:r>
              <w:rPr>
                <w:rFonts w:cs="Times New Roman"/>
              </w:rPr>
              <w:t>15,7</w:t>
            </w:r>
          </w:p>
        </w:tc>
      </w:tr>
    </w:tbl>
    <w:p w:rsidR="005C2091" w:rsidRDefault="005C2091">
      <w:pPr>
        <w:jc w:val="left"/>
      </w:pPr>
    </w:p>
    <w:p w:rsidR="005C2091" w:rsidRDefault="00A86293">
      <w:pPr>
        <w:pStyle w:val="Heading8"/>
        <w:jc w:val="left"/>
      </w:pPr>
      <w:r>
        <w:t>Zakonske i druge pravne osnove</w:t>
      </w:r>
    </w:p>
    <w:p w:rsidR="005C2091" w:rsidRDefault="00A86293">
      <w:r>
        <w:t>1.</w:t>
      </w:r>
      <w:r>
        <w:tab/>
        <w:t xml:space="preserve">Zakon o naknadi za imovinu oduzetu za vrijeme jugoslavenske komunističke vladavine (NN 92/96, 39/99, 42/99, 92/99, 43/00,131/00, 27/01, 65/01, 118/01, 80/02, i 81/02) </w:t>
      </w:r>
    </w:p>
    <w:p w:rsidR="005C2091" w:rsidRDefault="00A86293">
      <w:r>
        <w:t>2.</w:t>
      </w:r>
      <w:r>
        <w:tab/>
        <w:t xml:space="preserve">Zakon o Fondu za naknadu oduzete imovine (NN 69/97, 105/99, 64/00 i 141/13) – članak 1. stavak 2. </w:t>
      </w:r>
    </w:p>
    <w:p w:rsidR="005C2091" w:rsidRDefault="00A86293">
      <w:r>
        <w:t>3.</w:t>
      </w:r>
      <w:r>
        <w:tab/>
        <w:t xml:space="preserve">Ugovor između Svete Stolice i Republike Hrvatske o gospodarskim pitanjima (NN, Međunarodni ugovori 18/98), - članak 2. točka 1.c) i članak 5. točka 1. i 3. </w:t>
      </w:r>
    </w:p>
    <w:p w:rsidR="005C2091" w:rsidRDefault="00A86293">
      <w:r>
        <w:t>4.</w:t>
      </w:r>
      <w:r>
        <w:tab/>
        <w:t>Odluka o utvrđivanju Fonda za naknadu oduzete imovine kao mjerodavnog tijela za primjenu Ugovora između Svete Stolice i Republike Hrvatske o gospodarskim pitanjima, Klasa: 018-05/99-01/04, Urbroj: 5030106-04-1 od 27. kolovoza 2004. godine.</w:t>
      </w:r>
    </w:p>
    <w:p w:rsidR="005C2091" w:rsidRDefault="00A86293">
      <w:pPr>
        <w:pStyle w:val="Heading8"/>
        <w:jc w:val="left"/>
      </w:pPr>
      <w:r>
        <w:t>Opis aktivnosti</w:t>
      </w:r>
    </w:p>
    <w:p w:rsidR="005C2091" w:rsidRDefault="00A86293">
      <w:r>
        <w:t xml:space="preserve">U 2016. godini Fond za naknadu oduzete imovine je isplatio naknadu temeljem 6 rješenja kojima je pravnim osobama Katoličke crkve utrvđena naknada za oduzete stanove u iznosu od 2.337.225 kuna, što iznosi 93,50% planiranih sredstava. </w:t>
      </w:r>
    </w:p>
    <w:p w:rsidR="005C2091" w:rsidRDefault="00A86293">
      <w:r>
        <w:t>Sukladno Zaključku Mješovitog povjerenstva Vlade Republike Hrvatske sredstva se prosljeđuju na račun Hrvatske biskupske konferencije - Središnjeg fonda za crkvene ustanove, a za pravnu osobu kojoj je oduzeta imovina.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9"/>
        <w:gridCol w:w="2491"/>
        <w:gridCol w:w="1017"/>
        <w:gridCol w:w="1019"/>
        <w:gridCol w:w="1159"/>
        <w:gridCol w:w="1015"/>
        <w:gridCol w:w="1016"/>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Isplata zaprimljenih pravomoćnih rješenja</w:t>
            </w:r>
          </w:p>
        </w:tc>
        <w:tc>
          <w:tcPr>
            <w:tcW w:w="2551" w:type="dxa"/>
          </w:tcPr>
          <w:p w:rsidR="005C2091" w:rsidRDefault="00A86293">
            <w:pPr>
              <w:pStyle w:val="CellColumn"/>
              <w:jc w:val="left"/>
            </w:pPr>
            <w:r>
              <w:rPr>
                <w:rFonts w:cs="Times New Roman"/>
              </w:rPr>
              <w:t>Isplata naknade za Katoličku crkvu za oduzete stanove</w:t>
            </w:r>
          </w:p>
        </w:tc>
        <w:tc>
          <w:tcPr>
            <w:tcW w:w="1020" w:type="dxa"/>
          </w:tcPr>
          <w:p w:rsidR="005C2091" w:rsidRDefault="00A86293">
            <w:pPr>
              <w:pStyle w:val="CellColumn"/>
              <w:jc w:val="right"/>
            </w:pPr>
            <w:r>
              <w:rPr>
                <w:rFonts w:cs="Times New Roman"/>
              </w:rPr>
              <w:t>Vrijednost u kunama</w:t>
            </w:r>
          </w:p>
        </w:tc>
        <w:tc>
          <w:tcPr>
            <w:tcW w:w="1020" w:type="dxa"/>
          </w:tcPr>
          <w:p w:rsidR="005C2091" w:rsidRDefault="00A86293">
            <w:pPr>
              <w:pStyle w:val="CellColumn"/>
              <w:jc w:val="right"/>
            </w:pPr>
            <w:r>
              <w:rPr>
                <w:rFonts w:cs="Times New Roman"/>
              </w:rPr>
              <w:t>Financijski plan za tekuću godinu</w:t>
            </w:r>
          </w:p>
        </w:tc>
        <w:tc>
          <w:tcPr>
            <w:tcW w:w="1020" w:type="dxa"/>
          </w:tcPr>
          <w:p w:rsidR="005C2091" w:rsidRDefault="00A86293">
            <w:pPr>
              <w:pStyle w:val="CellColumn"/>
              <w:jc w:val="right"/>
            </w:pPr>
            <w:r>
              <w:rPr>
                <w:rFonts w:cs="Times New Roman"/>
              </w:rPr>
              <w:t>Financijski plan za tekuću godinu</w:t>
            </w:r>
          </w:p>
        </w:tc>
        <w:tc>
          <w:tcPr>
            <w:tcW w:w="1020" w:type="dxa"/>
          </w:tcPr>
          <w:p w:rsidR="005C2091" w:rsidRDefault="00A86293">
            <w:pPr>
              <w:pStyle w:val="CellColumn"/>
              <w:jc w:val="right"/>
            </w:pPr>
            <w:r>
              <w:rPr>
                <w:rFonts w:cs="Times New Roman"/>
              </w:rPr>
              <w:t>2.500.000</w:t>
            </w:r>
          </w:p>
        </w:tc>
        <w:tc>
          <w:tcPr>
            <w:tcW w:w="1020" w:type="dxa"/>
          </w:tcPr>
          <w:p w:rsidR="005C2091" w:rsidRDefault="00A86293">
            <w:pPr>
              <w:pStyle w:val="CellColumn"/>
              <w:jc w:val="right"/>
            </w:pPr>
            <w:r>
              <w:rPr>
                <w:rFonts w:cs="Times New Roman"/>
              </w:rPr>
              <w:t>2.337.225</w:t>
            </w:r>
          </w:p>
        </w:tc>
      </w:tr>
      <w:tr w:rsidR="005C2091">
        <w:trPr>
          <w:jc w:val="center"/>
        </w:trPr>
        <w:tc>
          <w:tcPr>
            <w:tcW w:w="2551" w:type="dxa"/>
          </w:tcPr>
          <w:p w:rsidR="005C2091" w:rsidRDefault="00A86293">
            <w:pPr>
              <w:pStyle w:val="CellColumn"/>
              <w:jc w:val="left"/>
            </w:pPr>
            <w:r>
              <w:rPr>
                <w:rFonts w:cs="Times New Roman"/>
              </w:rPr>
              <w:t>Isplata naknade za Katoličku crkvu za oduzete stanove</w:t>
            </w:r>
          </w:p>
        </w:tc>
        <w:tc>
          <w:tcPr>
            <w:tcW w:w="2551" w:type="dxa"/>
          </w:tcPr>
          <w:p w:rsidR="005C2091" w:rsidRDefault="00A86293">
            <w:pPr>
              <w:pStyle w:val="CellColumn"/>
              <w:jc w:val="left"/>
            </w:pPr>
            <w:r>
              <w:rPr>
                <w:rFonts w:cs="Times New Roman"/>
              </w:rPr>
              <w:t>Postupanje po zaprimljenim pravomoćnim rješenjima u propisanim rokovima</w:t>
            </w:r>
          </w:p>
        </w:tc>
        <w:tc>
          <w:tcPr>
            <w:tcW w:w="1020" w:type="dxa"/>
          </w:tcPr>
          <w:p w:rsidR="005C2091" w:rsidRDefault="00A86293">
            <w:pPr>
              <w:pStyle w:val="CellColumn"/>
              <w:jc w:val="right"/>
            </w:pPr>
            <w:r>
              <w:rPr>
                <w:rFonts w:cs="Times New Roman"/>
              </w:rPr>
              <w:t>Postotak izvršenja</w:t>
            </w:r>
          </w:p>
        </w:tc>
        <w:tc>
          <w:tcPr>
            <w:tcW w:w="1020" w:type="dxa"/>
          </w:tcPr>
          <w:p w:rsidR="005C2091" w:rsidRDefault="00A86293">
            <w:pPr>
              <w:pStyle w:val="CellColumn"/>
              <w:jc w:val="right"/>
            </w:pPr>
            <w:r>
              <w:rPr>
                <w:rFonts w:cs="Times New Roman"/>
              </w:rPr>
              <w:t>Financijski plan Fonda za 2017</w:t>
            </w:r>
          </w:p>
        </w:tc>
        <w:tc>
          <w:tcPr>
            <w:tcW w:w="1020" w:type="dxa"/>
          </w:tcPr>
          <w:p w:rsidR="005C2091" w:rsidRDefault="00A86293">
            <w:pPr>
              <w:pStyle w:val="CellColumn"/>
              <w:jc w:val="right"/>
            </w:pPr>
            <w:r>
              <w:rPr>
                <w:rFonts w:cs="Times New Roman"/>
              </w:rPr>
              <w:t>Mjesečna izvješća za Kolegij Fonda, kvartalna izvješća o Nadzoru učinkovitosti procesa u okviru ISO 9001</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    6 rješenja</w:t>
            </w:r>
          </w:p>
        </w:tc>
      </w:tr>
    </w:tbl>
    <w:p w:rsidR="005C2091" w:rsidRDefault="005C2091">
      <w:pPr>
        <w:jc w:val="left"/>
      </w:pPr>
    </w:p>
    <w:p w:rsidR="005C2091" w:rsidRDefault="00A86293">
      <w:pPr>
        <w:pStyle w:val="Heading3"/>
      </w:pPr>
      <w:r>
        <w:rPr>
          <w:rFonts w:cs="Times New Roman"/>
        </w:rPr>
        <w:t>49286 Odbor za standarde financijskog izvještavanja</w:t>
      </w:r>
    </w:p>
    <w:p w:rsidR="005C2091" w:rsidRDefault="00A86293">
      <w:r>
        <w:t xml:space="preserve">Odbor za standarde financijskog izvještavanja osnovan je temeljem Zakona o računovodstvu (Narodne novine, broj 78/15, 134/2015,120/2016) kao stručno tijelo od devet članova, koje na prijedlog ministra financija imenuje i razrješava Vlada Republike Hrvatske. Mandat članova Odbora traje pet godina.   </w:t>
      </w:r>
    </w:p>
    <w:p w:rsidR="005C2091" w:rsidRDefault="00A86293">
      <w:r>
        <w:t xml:space="preserve">Odbor kao stručno tijelo u području računovodstva obavlja poslove koji su mu povjereni Zakonom o računovodstvu. Način rada Odbora određen je Pravilnikom o načinu rada Odbora za standarde financijskog izvještavanja (Narodne novine, br. 1/16) kojeg je donio ministar financija.  </w:t>
      </w:r>
    </w:p>
    <w:p w:rsidR="005C2091" w:rsidRDefault="00A86293">
      <w:r>
        <w:t xml:space="preserve">Sukladno članku 18. Zakona o računovodstvu Odbor obavlja slijedeće zadatke:  </w:t>
      </w:r>
    </w:p>
    <w:p w:rsidR="005C2091" w:rsidRDefault="00A86293">
      <w:r>
        <w:t xml:space="preserve">1. donosi Hrvatske standarde financijskog izvještavanja,  </w:t>
      </w:r>
    </w:p>
    <w:p w:rsidR="005C2091" w:rsidRDefault="00A86293">
      <w:r>
        <w:t xml:space="preserve">2. priprema za objavu i objavljuje u Narodnim novinama Hrvatske standarde financijskog izvještavanja,  </w:t>
      </w:r>
    </w:p>
    <w:p w:rsidR="005C2091" w:rsidRDefault="00A86293">
      <w:r>
        <w:t xml:space="preserve">3. daje tumačenja Hrvatskih standarda financijskog izvještavanja kada Odbor ocijeni da je to bitno za primjenu istih,  </w:t>
      </w:r>
    </w:p>
    <w:p w:rsidR="005C2091" w:rsidRDefault="00A86293">
      <w:r>
        <w:t xml:space="preserve">4. utvrđuje okvirni kontni plan sukladno članku 11. stavku 1. Zakona o računovodstvu,  </w:t>
      </w:r>
    </w:p>
    <w:p w:rsidR="005C2091" w:rsidRDefault="00A86293">
      <w:r>
        <w:t xml:space="preserve">5. dostavlja ministru financija prijedlog pravilnika o strukturi i sadržaju godišnjih financijskih izvještaja sukladno članku 19. stavcima 5. i 6. Zakona o računovodstvu,  </w:t>
      </w:r>
    </w:p>
    <w:p w:rsidR="005C2091" w:rsidRDefault="00A86293">
      <w:r>
        <w:t xml:space="preserve">6. daje stručna mišljenja na zahtjev Ministarstva financija, o prijedlozima zakonodavnih akata Europske unije i drugim pitanjima iz područja računovodstva,  </w:t>
      </w:r>
    </w:p>
    <w:p w:rsidR="005C2091" w:rsidRDefault="00A86293">
      <w:r>
        <w:t xml:space="preserve">7. analizira i prati razvoj računovodstvene teorije i prakse i  </w:t>
      </w:r>
    </w:p>
    <w:p w:rsidR="005C2091" w:rsidRDefault="00A86293">
      <w:r>
        <w:t>8. obavlja ostale poslove iz svog djelokruga po nalogu ministra financija.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49286-Odbor za standarde financijskog izvještavanja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510.000</w:t>
            </w:r>
          </w:p>
        </w:tc>
        <w:tc>
          <w:tcPr>
            <w:tcW w:w="2041" w:type="dxa"/>
          </w:tcPr>
          <w:p w:rsidR="005C2091" w:rsidRDefault="00A86293">
            <w:pPr>
              <w:pStyle w:val="CellColumn"/>
              <w:jc w:val="right"/>
            </w:pPr>
            <w:r>
              <w:rPr>
                <w:rFonts w:cs="Times New Roman"/>
              </w:rPr>
              <w:t>455.444</w:t>
            </w:r>
          </w:p>
        </w:tc>
        <w:tc>
          <w:tcPr>
            <w:tcW w:w="1224" w:type="dxa"/>
          </w:tcPr>
          <w:p w:rsidR="005C2091" w:rsidRDefault="00A86293">
            <w:pPr>
              <w:pStyle w:val="CellColumn"/>
              <w:jc w:val="right"/>
            </w:pPr>
            <w:r>
              <w:rPr>
                <w:rFonts w:cs="Times New Roman"/>
              </w:rPr>
              <w:t>89,3</w:t>
            </w:r>
          </w:p>
        </w:tc>
        <w:tc>
          <w:tcPr>
            <w:tcW w:w="1224" w:type="dxa"/>
          </w:tcPr>
          <w:p w:rsidR="005C2091" w:rsidRDefault="00A86293">
            <w:pPr>
              <w:pStyle w:val="CellColumn"/>
              <w:jc w:val="right"/>
            </w:pPr>
            <w:r>
              <w:rPr>
                <w:rFonts w:cs="Times New Roman"/>
              </w:rPr>
              <w:t>0,0</w:t>
            </w:r>
          </w:p>
        </w:tc>
      </w:tr>
      <w:tr w:rsidR="005C2091">
        <w:trPr>
          <w:jc w:val="center"/>
        </w:trPr>
        <w:tc>
          <w:tcPr>
            <w:tcW w:w="1632" w:type="dxa"/>
          </w:tcPr>
          <w:p w:rsidR="005C2091" w:rsidRDefault="00A86293">
            <w:pPr>
              <w:jc w:val="left"/>
            </w:pPr>
            <w:r>
              <w:t>2203-UPRAVLJANJE SUSTAVOM JAVNIH FINANCIJA</w:t>
            </w:r>
          </w:p>
        </w:tc>
        <w:tc>
          <w:tcPr>
            <w:tcW w:w="2041" w:type="dxa"/>
          </w:tcPr>
          <w:p w:rsidR="005C2091" w:rsidRDefault="00A86293">
            <w:pPr>
              <w:jc w:val="right"/>
            </w:pPr>
            <w:r>
              <w:t>00</w:t>
            </w:r>
          </w:p>
        </w:tc>
        <w:tc>
          <w:tcPr>
            <w:tcW w:w="2041" w:type="dxa"/>
          </w:tcPr>
          <w:p w:rsidR="005C2091" w:rsidRDefault="00A86293">
            <w:pPr>
              <w:jc w:val="right"/>
            </w:pPr>
            <w:r>
              <w:t>510.000</w:t>
            </w:r>
          </w:p>
        </w:tc>
        <w:tc>
          <w:tcPr>
            <w:tcW w:w="2041" w:type="dxa"/>
          </w:tcPr>
          <w:p w:rsidR="005C2091" w:rsidRDefault="00A86293">
            <w:pPr>
              <w:jc w:val="right"/>
            </w:pPr>
            <w:r>
              <w:t>455.444</w:t>
            </w:r>
          </w:p>
        </w:tc>
        <w:tc>
          <w:tcPr>
            <w:tcW w:w="1224" w:type="dxa"/>
          </w:tcPr>
          <w:p w:rsidR="005C2091" w:rsidRDefault="00A86293">
            <w:pPr>
              <w:jc w:val="right"/>
            </w:pPr>
            <w:r>
              <w:t>89,3</w:t>
            </w:r>
          </w:p>
        </w:tc>
        <w:tc>
          <w:tcPr>
            <w:tcW w:w="1224"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t>49294 Odbor za javni nadzor revizije</w:t>
      </w:r>
    </w:p>
    <w:p w:rsidR="005C2091" w:rsidRDefault="00A86293">
      <w:r>
        <w:t xml:space="preserve">Zakonom o izmjenama i dopunama Zakona o reviziji koji je stupio na snagu u prosincu 2008. godine (Narodne novine, broj 139/2008), zakonodavni okvir u području revizije usklađen je s Direktivom Europskog parlamenta i Vijeća 2006/43/EZ o zakonom propisanim revizijama godišnjih financijskih izvještaja i konsolidiranih izvještaja, a radi ustrojavanja učinkovitog sustava nadzora i provjere kvalitete rada revizorskih društava, samostalnih revizora i ovlaštenih revizora u Republici Hrvatskoj.  </w:t>
      </w:r>
    </w:p>
    <w:p w:rsidR="005C2091" w:rsidRDefault="00A86293">
      <w:r>
        <w:t xml:space="preserve">Javni nadzor povjeren je Odboru za javni nadzor revizije, koji je prema odredbama članka 42. stavka 1. Zakona o reviziji neovisno i samostalno tijelo javnog nadzora nad Hrvatskom revizorskom komorom, revizorskim društvima, samostalnim revizorima i ovlaštenim revizorima.    </w:t>
      </w:r>
    </w:p>
    <w:p w:rsidR="005C2091" w:rsidRDefault="00A86293">
      <w:r>
        <w:t xml:space="preserve">Sukladno članku 42.d stavku 1. Zakona o reviziji (Narodne novine, br. 146/05, 139/08 i 144/12) Odbor ima sedam članova koje na prijedlog ministra financija imenuje i razrješava Vlada Republike Hrvatske. Konstituirajuća </w:t>
      </w:r>
      <w:r>
        <w:lastRenderedPageBreak/>
        <w:t xml:space="preserve">sjednica Odbora, sazvana temeljem Rješenja o imenovanju članova Odbora koje je Vlada Republike Hrvatske donijela na sjednici održanoj 26. veljače 2009. godine, održana je 10. ožujka 2009. godine.  </w:t>
      </w:r>
    </w:p>
    <w:p w:rsidR="005C2091" w:rsidRDefault="00A86293">
      <w:r>
        <w:t xml:space="preserve">Sukladno Zakonu o reviziji Odbor u obavljanju poslova ima ovlasti nadzora nad aktivnostima koje provodi Hrvatska revizorska komora.   </w:t>
      </w:r>
    </w:p>
    <w:p w:rsidR="005C2091" w:rsidRDefault="00A86293">
      <w:r>
        <w:t xml:space="preserve">U svrhu provedbe ovlasti nadzora, po službenoj dužnosti ili na prijedlog zainteresirane strane po pravu nadzora Odbor poništava, ukida ili mijenja akte Hrvatske revizorske komore.  </w:t>
      </w:r>
    </w:p>
    <w:p w:rsidR="005C2091" w:rsidRDefault="00A86293">
      <w:r>
        <w:t xml:space="preserve">Uloga revizije u razvijenim gospodarstvima od izuzetne je važnosti jer se na temelju financijskih izvještaja donose brojne važne odluke, ne samo na razini poslovnih subjekata već na ukupnoj gospodarskoj razini. Revizija je značajna djelatnost od javnog interesa, a povjerenje u financijske izvještaje jedna od glavnih poluga razvoja gospodarstva. Stoga je cilj rada Odbora poticanje razvoja revizorske struke i osiguravanje visoke kvalitete rada revizora što u konačnici pridonosi većoj poslovnoj disciplini.  </w:t>
      </w:r>
    </w:p>
    <w:p w:rsidR="005C2091" w:rsidRDefault="00A86293">
      <w:r>
        <w:t xml:space="preserve">Prema odredbama Zakona o reviziji i Poslovniku Odbora, Odbor nadzire sljedeće aktivnosti:  </w:t>
      </w:r>
    </w:p>
    <w:p w:rsidR="005C2091" w:rsidRDefault="00A86293">
      <w:r>
        <w:t>1.</w:t>
      </w:r>
      <w:r>
        <w:tab/>
        <w:t xml:space="preserve">izdavanje i oduzimanje dozvola i certifikata te registraciju ovlaštenih revizora i revizorskih društava i samostalnih revizora,  </w:t>
      </w:r>
    </w:p>
    <w:p w:rsidR="005C2091" w:rsidRDefault="00A86293">
      <w:r>
        <w:t>2.</w:t>
      </w:r>
      <w:r>
        <w:tab/>
        <w:t xml:space="preserve">usvajanje i primjenu Međunarodnih revizijskih standarda,  </w:t>
      </w:r>
    </w:p>
    <w:p w:rsidR="005C2091" w:rsidRDefault="00A86293">
      <w:r>
        <w:t>3.</w:t>
      </w:r>
      <w:r>
        <w:tab/>
        <w:t xml:space="preserve">usvajanje i primjenu standarda o pitanjima profesionalne etike,  </w:t>
      </w:r>
    </w:p>
    <w:p w:rsidR="005C2091" w:rsidRDefault="00A86293">
      <w:r>
        <w:t>4.</w:t>
      </w:r>
      <w:r>
        <w:tab/>
        <w:t xml:space="preserve">internu kontrolu kvalitete revizorskih društava i samostalnih revizora,  </w:t>
      </w:r>
    </w:p>
    <w:p w:rsidR="005C2091" w:rsidRDefault="00A86293">
      <w:r>
        <w:t>5.</w:t>
      </w:r>
      <w:r>
        <w:tab/>
        <w:t xml:space="preserve">stalno obrazovanje putem programa Hrvatske revizorske komore,  </w:t>
      </w:r>
    </w:p>
    <w:p w:rsidR="005C2091" w:rsidRDefault="00A86293">
      <w:r>
        <w:t>6.</w:t>
      </w:r>
      <w:r>
        <w:tab/>
        <w:t xml:space="preserve">organizaciju ispita i izdavanja certifikata za stjecanje zvanja ovlaštenog revizora,  </w:t>
      </w:r>
    </w:p>
    <w:p w:rsidR="005C2091" w:rsidRDefault="00A86293">
      <w:r>
        <w:t>7.</w:t>
      </w:r>
      <w:r>
        <w:tab/>
        <w:t xml:space="preserve">nostrifikaciju stranih isprava – certifikata ovlaštenih revizora,  </w:t>
      </w:r>
    </w:p>
    <w:p w:rsidR="005C2091" w:rsidRDefault="00A86293">
      <w:r>
        <w:t>8.</w:t>
      </w:r>
      <w:r>
        <w:tab/>
        <w:t xml:space="preserve">osiguranje sustava provjere kvalitete rada,  </w:t>
      </w:r>
    </w:p>
    <w:p w:rsidR="005C2091" w:rsidRDefault="00A86293">
      <w:r>
        <w:t>9.</w:t>
      </w:r>
      <w:r>
        <w:tab/>
        <w:t xml:space="preserve">metodologiju koju donosi Hrvatska revizorska komora za obavljanje provjere kvalitete rada revizorskih društava, samostalnih revizora i ovlaštenih revizora,  </w:t>
      </w:r>
    </w:p>
    <w:p w:rsidR="005C2091" w:rsidRDefault="00A86293">
      <w:r>
        <w:t>10.</w:t>
      </w:r>
      <w:r>
        <w:tab/>
        <w:t xml:space="preserve">provjeru kvalitete rada revizorskih društava, samostalnih revizora i ovlaštenih revizora koje provodi Hrvatska revizorska komora,  </w:t>
      </w:r>
    </w:p>
    <w:p w:rsidR="005C2091" w:rsidRDefault="00A86293">
      <w:r>
        <w:t>11.</w:t>
      </w:r>
      <w:r>
        <w:tab/>
        <w:t xml:space="preserve">zaračunatih revizorskih naknada,  </w:t>
      </w:r>
    </w:p>
    <w:p w:rsidR="005C2091" w:rsidRDefault="00A86293">
      <w:r>
        <w:t>12.</w:t>
      </w:r>
      <w:r>
        <w:tab/>
        <w:t xml:space="preserve">stegovne postupke i druge mjere, odnosno istražne i disciplinske postupke koji se provode s ciljem otklanjanja i sankcioniranja nepravilnosti i  </w:t>
      </w:r>
    </w:p>
    <w:p w:rsidR="005C2091" w:rsidRDefault="00A86293">
      <w:r>
        <w:t>13.</w:t>
      </w:r>
      <w:r>
        <w:tab/>
        <w:t>prijevode tumačenja, stručnih mišljenja i obrazloženja koja izdaje Hrvatska revizorska komora u vezi s primjenom propisa o reviziji.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49294-Odbor za javni nadzor revizije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400.000</w:t>
            </w:r>
          </w:p>
        </w:tc>
        <w:tc>
          <w:tcPr>
            <w:tcW w:w="2041" w:type="dxa"/>
          </w:tcPr>
          <w:p w:rsidR="005C2091" w:rsidRDefault="00A86293">
            <w:pPr>
              <w:pStyle w:val="CellColumn"/>
              <w:jc w:val="right"/>
            </w:pPr>
            <w:r>
              <w:rPr>
                <w:rFonts w:cs="Times New Roman"/>
              </w:rPr>
              <w:t>345.510</w:t>
            </w:r>
          </w:p>
        </w:tc>
        <w:tc>
          <w:tcPr>
            <w:tcW w:w="1224" w:type="dxa"/>
          </w:tcPr>
          <w:p w:rsidR="005C2091" w:rsidRDefault="00A86293">
            <w:pPr>
              <w:pStyle w:val="CellColumn"/>
              <w:jc w:val="right"/>
            </w:pPr>
            <w:r>
              <w:rPr>
                <w:rFonts w:cs="Times New Roman"/>
              </w:rPr>
              <w:t>86,4</w:t>
            </w:r>
          </w:p>
        </w:tc>
        <w:tc>
          <w:tcPr>
            <w:tcW w:w="1224" w:type="dxa"/>
          </w:tcPr>
          <w:p w:rsidR="005C2091" w:rsidRDefault="00A86293">
            <w:pPr>
              <w:pStyle w:val="CellColumn"/>
              <w:jc w:val="right"/>
            </w:pPr>
            <w:r>
              <w:rPr>
                <w:rFonts w:cs="Times New Roman"/>
              </w:rPr>
              <w:t>0,0</w:t>
            </w:r>
          </w:p>
        </w:tc>
      </w:tr>
      <w:tr w:rsidR="005C2091">
        <w:trPr>
          <w:jc w:val="center"/>
        </w:trPr>
        <w:tc>
          <w:tcPr>
            <w:tcW w:w="1632" w:type="dxa"/>
          </w:tcPr>
          <w:p w:rsidR="005C2091" w:rsidRDefault="00A86293">
            <w:pPr>
              <w:jc w:val="left"/>
            </w:pPr>
            <w:r>
              <w:t>2203-UPRAVLJANJE SUSTAVOM JAVNIH FINANCIJA</w:t>
            </w:r>
          </w:p>
        </w:tc>
        <w:tc>
          <w:tcPr>
            <w:tcW w:w="2041" w:type="dxa"/>
          </w:tcPr>
          <w:p w:rsidR="005C2091" w:rsidRDefault="00A86293">
            <w:pPr>
              <w:jc w:val="right"/>
            </w:pPr>
            <w:r>
              <w:t>00</w:t>
            </w:r>
          </w:p>
        </w:tc>
        <w:tc>
          <w:tcPr>
            <w:tcW w:w="2041" w:type="dxa"/>
          </w:tcPr>
          <w:p w:rsidR="005C2091" w:rsidRDefault="00A86293">
            <w:pPr>
              <w:jc w:val="right"/>
            </w:pPr>
            <w:r>
              <w:t>400.000</w:t>
            </w:r>
          </w:p>
        </w:tc>
        <w:tc>
          <w:tcPr>
            <w:tcW w:w="2041" w:type="dxa"/>
          </w:tcPr>
          <w:p w:rsidR="005C2091" w:rsidRDefault="00A86293">
            <w:pPr>
              <w:jc w:val="right"/>
            </w:pPr>
            <w:r>
              <w:t>345.510</w:t>
            </w:r>
          </w:p>
        </w:tc>
        <w:tc>
          <w:tcPr>
            <w:tcW w:w="1224" w:type="dxa"/>
          </w:tcPr>
          <w:p w:rsidR="005C2091" w:rsidRDefault="00A86293">
            <w:pPr>
              <w:jc w:val="right"/>
            </w:pPr>
            <w:r>
              <w:t>86,4</w:t>
            </w:r>
          </w:p>
        </w:tc>
        <w:tc>
          <w:tcPr>
            <w:tcW w:w="1224" w:type="dxa"/>
          </w:tcPr>
          <w:p w:rsidR="005C2091" w:rsidRDefault="00A86293">
            <w:pPr>
              <w:jc w:val="right"/>
            </w:pPr>
            <w:r>
              <w:t>0,0</w:t>
            </w:r>
          </w:p>
        </w:tc>
      </w:tr>
    </w:tbl>
    <w:p w:rsidR="0057389E" w:rsidRDefault="0057389E">
      <w:pPr>
        <w:jc w:val="left"/>
      </w:pPr>
    </w:p>
    <w:p w:rsidR="0057389E" w:rsidRDefault="0057389E">
      <w:pPr>
        <w:overflowPunct/>
        <w:autoSpaceDE/>
        <w:autoSpaceDN/>
        <w:adjustRightInd/>
        <w:spacing w:after="200" w:line="276" w:lineRule="auto"/>
        <w:jc w:val="left"/>
        <w:textAlignment w:val="auto"/>
      </w:pPr>
      <w:r>
        <w:br w:type="page"/>
      </w:r>
    </w:p>
    <w:p w:rsidR="005C2091" w:rsidRDefault="005C2091">
      <w:pPr>
        <w:jc w:val="left"/>
      </w:pPr>
    </w:p>
    <w:p w:rsidR="005C2091" w:rsidRDefault="00A86293">
      <w:pPr>
        <w:pStyle w:val="Heading1"/>
      </w:pPr>
      <w:r>
        <w:t>028 SREDIŠNJI DRŽAVNI URED ZA SREDIŠNJU JAVNU NABAVU</w:t>
      </w:r>
    </w:p>
    <w:p w:rsidR="005C2091" w:rsidRDefault="00A86293">
      <w:r>
        <w:t>Člankom 27. Zakona o ustrojstvu i djelokrugu ministarstava i drugih središnjih tijela državne uprave, („Narodne novine“, broj 93/16 i 104/16) koji je Hrvatski sabor donio na sjednici 14. listopada 2016.,  definirana je nadležnost Središnjeg državnog ureda za središnju javnu nabavu (dalje u tekstu: Središnji državni ured) kao i preuzimanje poslova dotadašnje Državnog ureda za središnju javnu nabavu.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02805-Središnji državni ured za središnju javnu nabavu</w:t>
            </w:r>
          </w:p>
        </w:tc>
        <w:tc>
          <w:tcPr>
            <w:tcW w:w="2041" w:type="dxa"/>
            <w:vAlign w:val="top"/>
          </w:tcPr>
          <w:p w:rsidR="005C2091" w:rsidRDefault="00A86293">
            <w:pPr>
              <w:pStyle w:val="CellColumn"/>
              <w:jc w:val="right"/>
            </w:pPr>
            <w:r>
              <w:rPr>
                <w:rFonts w:cs="Times New Roman"/>
              </w:rPr>
              <w:t>3.660.793</w:t>
            </w:r>
          </w:p>
        </w:tc>
        <w:tc>
          <w:tcPr>
            <w:tcW w:w="2041" w:type="dxa"/>
            <w:vAlign w:val="top"/>
          </w:tcPr>
          <w:p w:rsidR="005C2091" w:rsidRDefault="00A86293">
            <w:pPr>
              <w:pStyle w:val="CellColumn"/>
              <w:jc w:val="right"/>
            </w:pPr>
            <w:r>
              <w:rPr>
                <w:rFonts w:cs="Times New Roman"/>
              </w:rPr>
              <w:t>6.801.307</w:t>
            </w:r>
          </w:p>
        </w:tc>
        <w:tc>
          <w:tcPr>
            <w:tcW w:w="2041" w:type="dxa"/>
            <w:vAlign w:val="top"/>
          </w:tcPr>
          <w:p w:rsidR="005C2091" w:rsidRDefault="00A86293">
            <w:pPr>
              <w:pStyle w:val="CellColumn"/>
              <w:jc w:val="right"/>
            </w:pPr>
            <w:r>
              <w:rPr>
                <w:rFonts w:cs="Times New Roman"/>
              </w:rPr>
              <w:t>6.206.050</w:t>
            </w:r>
          </w:p>
        </w:tc>
        <w:tc>
          <w:tcPr>
            <w:tcW w:w="1224" w:type="dxa"/>
            <w:vAlign w:val="top"/>
          </w:tcPr>
          <w:p w:rsidR="005C2091" w:rsidRDefault="00A86293">
            <w:pPr>
              <w:pStyle w:val="CellColumn"/>
              <w:jc w:val="right"/>
            </w:pPr>
            <w:r>
              <w:rPr>
                <w:rFonts w:cs="Times New Roman"/>
              </w:rPr>
              <w:t>91,2</w:t>
            </w:r>
          </w:p>
        </w:tc>
        <w:tc>
          <w:tcPr>
            <w:tcW w:w="1224" w:type="dxa"/>
            <w:vAlign w:val="top"/>
          </w:tcPr>
          <w:p w:rsidR="005C2091" w:rsidRDefault="00A86293">
            <w:pPr>
              <w:pStyle w:val="CellColumn"/>
              <w:jc w:val="right"/>
            </w:pPr>
            <w:r>
              <w:rPr>
                <w:rFonts w:cs="Times New Roman"/>
              </w:rPr>
              <w:t>169,5</w:t>
            </w:r>
          </w:p>
        </w:tc>
      </w:tr>
      <w:tr w:rsidR="005C2091">
        <w:trPr>
          <w:jc w:val="center"/>
        </w:trPr>
        <w:tc>
          <w:tcPr>
            <w:tcW w:w="1632" w:type="dxa"/>
            <w:shd w:val="clear" w:color="auto" w:fill="B5C0D8"/>
          </w:tcPr>
          <w:p w:rsidR="005C2091" w:rsidRDefault="00A86293">
            <w:pPr>
              <w:pStyle w:val="CellColumn"/>
              <w:jc w:val="left"/>
            </w:pPr>
            <w:r>
              <w:rPr>
                <w:rFonts w:cs="Times New Roman"/>
              </w:rPr>
              <w:t>Ukupno 028-SREDIŠNJI DRŽAVNI URED ZA SREDIŠNJU JAVNU NABAVU</w:t>
            </w:r>
          </w:p>
        </w:tc>
        <w:tc>
          <w:tcPr>
            <w:tcW w:w="2041" w:type="dxa"/>
            <w:shd w:val="clear" w:color="auto" w:fill="B5C0D8"/>
          </w:tcPr>
          <w:p w:rsidR="005C2091" w:rsidRDefault="00A86293">
            <w:pPr>
              <w:pStyle w:val="CellColumn"/>
              <w:jc w:val="right"/>
            </w:pPr>
            <w:r>
              <w:rPr>
                <w:rFonts w:cs="Times New Roman"/>
              </w:rPr>
              <w:t>3.660.793</w:t>
            </w:r>
          </w:p>
        </w:tc>
        <w:tc>
          <w:tcPr>
            <w:tcW w:w="2041" w:type="dxa"/>
            <w:shd w:val="clear" w:color="auto" w:fill="B5C0D8"/>
          </w:tcPr>
          <w:p w:rsidR="005C2091" w:rsidRDefault="00A86293">
            <w:pPr>
              <w:pStyle w:val="CellColumn"/>
              <w:jc w:val="right"/>
            </w:pPr>
            <w:r>
              <w:rPr>
                <w:rFonts w:cs="Times New Roman"/>
              </w:rPr>
              <w:t>6.801.307</w:t>
            </w:r>
          </w:p>
        </w:tc>
        <w:tc>
          <w:tcPr>
            <w:tcW w:w="2041" w:type="dxa"/>
            <w:shd w:val="clear" w:color="auto" w:fill="B5C0D8"/>
          </w:tcPr>
          <w:p w:rsidR="005C2091" w:rsidRDefault="00A86293">
            <w:pPr>
              <w:pStyle w:val="CellColumn"/>
              <w:jc w:val="right"/>
            </w:pPr>
            <w:r>
              <w:rPr>
                <w:rFonts w:cs="Times New Roman"/>
              </w:rPr>
              <w:t>6.206.050</w:t>
            </w:r>
          </w:p>
        </w:tc>
        <w:tc>
          <w:tcPr>
            <w:tcW w:w="1224" w:type="dxa"/>
            <w:shd w:val="clear" w:color="auto" w:fill="B5C0D8"/>
          </w:tcPr>
          <w:p w:rsidR="005C2091" w:rsidRDefault="00A86293">
            <w:pPr>
              <w:pStyle w:val="CellColumn"/>
              <w:jc w:val="right"/>
            </w:pPr>
            <w:r>
              <w:rPr>
                <w:rFonts w:cs="Times New Roman"/>
              </w:rPr>
              <w:t>91,2</w:t>
            </w:r>
          </w:p>
        </w:tc>
        <w:tc>
          <w:tcPr>
            <w:tcW w:w="1224" w:type="dxa"/>
            <w:shd w:val="clear" w:color="auto" w:fill="B5C0D8"/>
          </w:tcPr>
          <w:p w:rsidR="005C2091" w:rsidRDefault="00A86293">
            <w:pPr>
              <w:pStyle w:val="CellColumn"/>
              <w:jc w:val="right"/>
            </w:pPr>
            <w:r>
              <w:rPr>
                <w:rFonts w:cs="Times New Roman"/>
              </w:rPr>
              <w:t>169,5</w:t>
            </w:r>
          </w:p>
        </w:tc>
      </w:tr>
    </w:tbl>
    <w:p w:rsidR="005C2091" w:rsidRDefault="005C2091">
      <w:pPr>
        <w:jc w:val="left"/>
      </w:pPr>
    </w:p>
    <w:p w:rsidR="005C2091" w:rsidRDefault="00A86293">
      <w:pPr>
        <w:pStyle w:val="Heading2"/>
      </w:pPr>
      <w:r>
        <w:t>02805 Središnji državni ured za središnju javnu nabavu</w:t>
      </w:r>
    </w:p>
    <w:p w:rsidR="005C2091" w:rsidRDefault="00A86293">
      <w:r>
        <w:t>Tijekom 2016 godine, nadležnost Središnjeg državnog ureda odnosno Državnog ureda za središnju javnu nabavu definirana je Uredbom o unutarnjem ustrojstvu Državnog ureda za središnju javnu nabavu (NN 3/2015).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02805-Središnji državni ured za središnju javnu nabavu</w:t>
            </w:r>
          </w:p>
        </w:tc>
        <w:tc>
          <w:tcPr>
            <w:tcW w:w="2041" w:type="dxa"/>
            <w:vAlign w:val="top"/>
          </w:tcPr>
          <w:p w:rsidR="005C2091" w:rsidRDefault="00A86293">
            <w:pPr>
              <w:pStyle w:val="CellColumn"/>
              <w:jc w:val="right"/>
            </w:pPr>
            <w:r>
              <w:rPr>
                <w:rFonts w:cs="Times New Roman"/>
              </w:rPr>
              <w:t>3.660.793</w:t>
            </w:r>
          </w:p>
        </w:tc>
        <w:tc>
          <w:tcPr>
            <w:tcW w:w="2041" w:type="dxa"/>
            <w:vAlign w:val="top"/>
          </w:tcPr>
          <w:p w:rsidR="005C2091" w:rsidRDefault="00A86293">
            <w:pPr>
              <w:pStyle w:val="CellColumn"/>
              <w:jc w:val="right"/>
            </w:pPr>
            <w:r>
              <w:rPr>
                <w:rFonts w:cs="Times New Roman"/>
              </w:rPr>
              <w:t>6.801.307</w:t>
            </w:r>
          </w:p>
        </w:tc>
        <w:tc>
          <w:tcPr>
            <w:tcW w:w="2041" w:type="dxa"/>
            <w:vAlign w:val="top"/>
          </w:tcPr>
          <w:p w:rsidR="005C2091" w:rsidRDefault="00A86293">
            <w:pPr>
              <w:pStyle w:val="CellColumn"/>
              <w:jc w:val="right"/>
            </w:pPr>
            <w:r>
              <w:rPr>
                <w:rFonts w:cs="Times New Roman"/>
              </w:rPr>
              <w:t>6.206.050</w:t>
            </w:r>
          </w:p>
        </w:tc>
        <w:tc>
          <w:tcPr>
            <w:tcW w:w="1224" w:type="dxa"/>
            <w:vAlign w:val="top"/>
          </w:tcPr>
          <w:p w:rsidR="005C2091" w:rsidRDefault="00A86293">
            <w:pPr>
              <w:pStyle w:val="CellColumn"/>
              <w:jc w:val="right"/>
            </w:pPr>
            <w:r>
              <w:rPr>
                <w:rFonts w:cs="Times New Roman"/>
              </w:rPr>
              <w:t>91,2</w:t>
            </w:r>
          </w:p>
        </w:tc>
        <w:tc>
          <w:tcPr>
            <w:tcW w:w="1224" w:type="dxa"/>
            <w:vAlign w:val="top"/>
          </w:tcPr>
          <w:p w:rsidR="005C2091" w:rsidRDefault="00A86293">
            <w:pPr>
              <w:pStyle w:val="CellColumn"/>
              <w:jc w:val="right"/>
            </w:pPr>
            <w:r>
              <w:rPr>
                <w:rFonts w:cs="Times New Roman"/>
              </w:rPr>
              <w:t>169,5</w:t>
            </w:r>
          </w:p>
        </w:tc>
      </w:tr>
      <w:tr w:rsidR="005C2091">
        <w:trPr>
          <w:jc w:val="center"/>
        </w:trPr>
        <w:tc>
          <w:tcPr>
            <w:tcW w:w="1632" w:type="dxa"/>
          </w:tcPr>
          <w:p w:rsidR="005C2091" w:rsidRDefault="00A86293">
            <w:pPr>
              <w:jc w:val="left"/>
            </w:pPr>
            <w:r>
              <w:t>2411-SREDIŠNJA JAVNA NABAVA</w:t>
            </w:r>
          </w:p>
        </w:tc>
        <w:tc>
          <w:tcPr>
            <w:tcW w:w="2041" w:type="dxa"/>
          </w:tcPr>
          <w:p w:rsidR="005C2091" w:rsidRDefault="00A86293">
            <w:pPr>
              <w:jc w:val="right"/>
            </w:pPr>
            <w:r>
              <w:t>3.660.793</w:t>
            </w:r>
          </w:p>
        </w:tc>
        <w:tc>
          <w:tcPr>
            <w:tcW w:w="2041" w:type="dxa"/>
          </w:tcPr>
          <w:p w:rsidR="005C2091" w:rsidRDefault="00A86293">
            <w:pPr>
              <w:jc w:val="right"/>
            </w:pPr>
            <w:r>
              <w:t>6.801.307</w:t>
            </w:r>
          </w:p>
        </w:tc>
        <w:tc>
          <w:tcPr>
            <w:tcW w:w="2041" w:type="dxa"/>
          </w:tcPr>
          <w:p w:rsidR="005C2091" w:rsidRDefault="00A86293">
            <w:pPr>
              <w:jc w:val="right"/>
            </w:pPr>
            <w:r>
              <w:t>6.206.050</w:t>
            </w:r>
          </w:p>
        </w:tc>
        <w:tc>
          <w:tcPr>
            <w:tcW w:w="1224" w:type="dxa"/>
          </w:tcPr>
          <w:p w:rsidR="005C2091" w:rsidRDefault="00A86293">
            <w:pPr>
              <w:jc w:val="right"/>
            </w:pPr>
            <w:r>
              <w:t>91,2</w:t>
            </w:r>
          </w:p>
        </w:tc>
        <w:tc>
          <w:tcPr>
            <w:tcW w:w="1224" w:type="dxa"/>
          </w:tcPr>
          <w:p w:rsidR="005C2091" w:rsidRDefault="00A86293">
            <w:pPr>
              <w:jc w:val="right"/>
            </w:pPr>
            <w:r>
              <w:t>169,5</w:t>
            </w:r>
          </w:p>
        </w:tc>
      </w:tr>
    </w:tbl>
    <w:p w:rsidR="005C2091" w:rsidRDefault="005C2091">
      <w:pPr>
        <w:jc w:val="left"/>
      </w:pPr>
    </w:p>
    <w:p w:rsidR="005C2091" w:rsidRDefault="00A86293">
      <w:pPr>
        <w:pStyle w:val="Heading3"/>
      </w:pPr>
      <w:r>
        <w:rPr>
          <w:rFonts w:cs="Times New Roman"/>
        </w:rPr>
        <w:t>2411 SREDIŠNJA JAVNA NABAVA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lastRenderedPageBreak/>
              <w:t>2411-SREDIŠNJA JAVNA NABAVA</w:t>
            </w:r>
          </w:p>
        </w:tc>
        <w:tc>
          <w:tcPr>
            <w:tcW w:w="2041" w:type="dxa"/>
          </w:tcPr>
          <w:p w:rsidR="005C2091" w:rsidRDefault="00A86293">
            <w:pPr>
              <w:pStyle w:val="CellColumn"/>
              <w:jc w:val="right"/>
            </w:pPr>
            <w:r>
              <w:rPr>
                <w:rFonts w:cs="Times New Roman"/>
              </w:rPr>
              <w:t>3.660.793</w:t>
            </w:r>
          </w:p>
        </w:tc>
        <w:tc>
          <w:tcPr>
            <w:tcW w:w="2041" w:type="dxa"/>
          </w:tcPr>
          <w:p w:rsidR="005C2091" w:rsidRDefault="00A86293">
            <w:pPr>
              <w:pStyle w:val="CellColumn"/>
              <w:jc w:val="right"/>
            </w:pPr>
            <w:r>
              <w:rPr>
                <w:rFonts w:cs="Times New Roman"/>
              </w:rPr>
              <w:t>6.801.307</w:t>
            </w:r>
          </w:p>
        </w:tc>
        <w:tc>
          <w:tcPr>
            <w:tcW w:w="2041" w:type="dxa"/>
          </w:tcPr>
          <w:p w:rsidR="005C2091" w:rsidRDefault="00A86293">
            <w:pPr>
              <w:pStyle w:val="CellColumn"/>
              <w:jc w:val="right"/>
            </w:pPr>
            <w:r>
              <w:rPr>
                <w:rFonts w:cs="Times New Roman"/>
              </w:rPr>
              <w:t>6.206.050</w:t>
            </w:r>
          </w:p>
        </w:tc>
        <w:tc>
          <w:tcPr>
            <w:tcW w:w="1224" w:type="dxa"/>
          </w:tcPr>
          <w:p w:rsidR="005C2091" w:rsidRDefault="00A86293">
            <w:pPr>
              <w:pStyle w:val="CellColumn"/>
              <w:jc w:val="right"/>
            </w:pPr>
            <w:r>
              <w:rPr>
                <w:rFonts w:cs="Times New Roman"/>
              </w:rPr>
              <w:t>91,2</w:t>
            </w:r>
          </w:p>
        </w:tc>
        <w:tc>
          <w:tcPr>
            <w:tcW w:w="1224" w:type="dxa"/>
          </w:tcPr>
          <w:p w:rsidR="005C2091" w:rsidRDefault="00A86293">
            <w:pPr>
              <w:pStyle w:val="CellColumn"/>
              <w:jc w:val="right"/>
            </w:pPr>
            <w:r>
              <w:rPr>
                <w:rFonts w:cs="Times New Roman"/>
              </w:rPr>
              <w:t>169,5</w:t>
            </w:r>
          </w:p>
        </w:tc>
      </w:tr>
    </w:tbl>
    <w:p w:rsidR="005C2091" w:rsidRDefault="005C2091">
      <w:pPr>
        <w:jc w:val="left"/>
      </w:pPr>
    </w:p>
    <w:p w:rsidR="005C2091" w:rsidRDefault="00A86293">
      <w:r>
        <w:t xml:space="preserve">Središnji državni ured za središnju javnu nabavu provodi postupke javne nabave za središnja tijela državne uprave, Vladu Republike Hrvatske, urede i stručne službe Vlade Republike Hrvatske, Hrvatski sabor i Ured Predsjednice Republike Hrvatske u cilju optimizacije/standardizacije proizvoda i usluga i ostvarivanja ušteda u javnoj potrošnji  kao i uspostave učinkovitog sustava središnje javne nabave.  </w:t>
      </w:r>
    </w:p>
    <w:p w:rsidR="005C2091" w:rsidRDefault="00A86293">
      <w:r>
        <w:t>Na godišnjoj razini mogu se očekivati uštede od oko 10-15% u odnosu na procijenjenu vrijednost nabave odnosno cca 100 milijuna kuna, čime je opravdan prijedlog financijskog plana ureda.</w:t>
      </w:r>
    </w:p>
    <w:p w:rsidR="005C2091" w:rsidRDefault="00A86293">
      <w:pPr>
        <w:pStyle w:val="Heading8"/>
        <w:jc w:val="left"/>
      </w:pPr>
      <w:r>
        <w:t>Cilj 1. Daljnji razvoj suvremene nabavne funkcije na razini obveznika središnje javne nabave</w:t>
      </w:r>
    </w:p>
    <w:p w:rsidR="005C2091" w:rsidRDefault="00A86293">
      <w:pPr>
        <w:pStyle w:val="Heading8"/>
        <w:jc w:val="left"/>
      </w:pPr>
      <w:r>
        <w:t>Opis provedbe cilja programa</w:t>
      </w:r>
    </w:p>
    <w:p w:rsidR="005C2091" w:rsidRDefault="00A86293">
      <w:r>
        <w:t xml:space="preserve">Prema planu Središnjeg državnog ureda, tijekom 2016. godine objavljena su 3 postupaka nabave procijenjene vrijednosti cca. 500 milijuna kuna, s proširenim brojem korisnika u postupcima za gorivo i Microsoft licence. Do kraja 2016. godine očekuje se objava za nabavne kategorije: zaštitarske usluge, ispisna rješenja, računala i računalna oprema te opskrba prirodnim plinom.  </w:t>
      </w:r>
    </w:p>
    <w:p w:rsidR="005C2091" w:rsidRDefault="00A86293">
      <w:r>
        <w:t>Pored direktnih ušteda, od prosječno cca 10% procijenjene vrijednosti u svakoj nabavnoj kategoriji postoje  i dodatni učinci koji se očekuju u svakoj kategoriji. Naime, središnjom nabavom indirektno se utječe na procese i smanjivanje troškova kod korisnika (npr. uređivanje obračunskih mjernih mjesta kod opskrbe plinom itd). Nadalje, kod nabave Microsoft licenci, donesena je odluka da se za korisnike ne nabavlja tehnološko jamstvo za Office, čime su u ovoj postupku ostvarene dodatne uštede od cca 40.000.000,00 kn, a s druge strane, povećan je broj kvalificiranih uređaja / računala uključenih u objedinjeni postupak javne nabave čime je pokrivenost licenciranja Okvirnim sporazumom koji nudi povoljnije uvjete povećana za 30% u odnosu na prethodni postupak.</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92"/>
        <w:gridCol w:w="2507"/>
        <w:gridCol w:w="1011"/>
        <w:gridCol w:w="1016"/>
        <w:gridCol w:w="1148"/>
        <w:gridCol w:w="1016"/>
        <w:gridCol w:w="1016"/>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Uštede u proračunu</w:t>
            </w:r>
          </w:p>
        </w:tc>
        <w:tc>
          <w:tcPr>
            <w:tcW w:w="2551" w:type="dxa"/>
          </w:tcPr>
          <w:p w:rsidR="005C2091" w:rsidRDefault="00A86293">
            <w:pPr>
              <w:pStyle w:val="CellColumn"/>
              <w:jc w:val="left"/>
            </w:pPr>
            <w:r>
              <w:rPr>
                <w:rFonts w:cs="Times New Roman"/>
              </w:rPr>
              <w:t>Postizanje direktnih ušteda kroz smanjenje ugovorenih jediničnih cijena te postizanje indirektnih ušteda kroz administrativne uštede i dodatne učinke</w:t>
            </w:r>
          </w:p>
        </w:tc>
        <w:tc>
          <w:tcPr>
            <w:tcW w:w="1020" w:type="dxa"/>
          </w:tcPr>
          <w:p w:rsidR="005C2091" w:rsidRDefault="00A86293">
            <w:pPr>
              <w:pStyle w:val="CellColumn"/>
              <w:jc w:val="right"/>
            </w:pPr>
            <w:r>
              <w:rPr>
                <w:rFonts w:cs="Times New Roman"/>
              </w:rPr>
              <w:t>Milijun kuna</w:t>
            </w:r>
          </w:p>
        </w:tc>
        <w:tc>
          <w:tcPr>
            <w:tcW w:w="1020" w:type="dxa"/>
          </w:tcPr>
          <w:p w:rsidR="005C2091" w:rsidRDefault="00A86293">
            <w:pPr>
              <w:pStyle w:val="CellColumn"/>
              <w:jc w:val="right"/>
            </w:pPr>
            <w:r>
              <w:rPr>
                <w:rFonts w:cs="Times New Roman"/>
              </w:rPr>
              <w:t>382</w:t>
            </w:r>
          </w:p>
        </w:tc>
        <w:tc>
          <w:tcPr>
            <w:tcW w:w="1020" w:type="dxa"/>
          </w:tcPr>
          <w:p w:rsidR="005C2091" w:rsidRDefault="00A86293">
            <w:pPr>
              <w:pStyle w:val="CellColumn"/>
              <w:jc w:val="right"/>
            </w:pPr>
            <w:r>
              <w:rPr>
                <w:rFonts w:cs="Times New Roman"/>
              </w:rPr>
              <w:t>okvirni sporazumi sklopljeni između Središenjg državnog ureda i odabranih ponuditelja te ugovori pojedinačnih naručitelja</w:t>
            </w:r>
          </w:p>
        </w:tc>
        <w:tc>
          <w:tcPr>
            <w:tcW w:w="1020" w:type="dxa"/>
          </w:tcPr>
          <w:p w:rsidR="005C2091" w:rsidRDefault="00A86293">
            <w:pPr>
              <w:pStyle w:val="CellColumn"/>
              <w:jc w:val="right"/>
            </w:pPr>
            <w:r>
              <w:rPr>
                <w:rFonts w:cs="Times New Roman"/>
              </w:rPr>
              <w:t>550</w:t>
            </w:r>
          </w:p>
        </w:tc>
        <w:tc>
          <w:tcPr>
            <w:tcW w:w="1020" w:type="dxa"/>
          </w:tcPr>
          <w:p w:rsidR="005C2091" w:rsidRDefault="00A86293">
            <w:pPr>
              <w:pStyle w:val="CellColumn"/>
              <w:jc w:val="right"/>
            </w:pPr>
            <w:r>
              <w:rPr>
                <w:rFonts w:cs="Times New Roman"/>
              </w:rPr>
              <w:t>535</w:t>
            </w:r>
          </w:p>
        </w:tc>
      </w:tr>
    </w:tbl>
    <w:p w:rsidR="005C2091" w:rsidRDefault="005C2091">
      <w:pPr>
        <w:jc w:val="left"/>
      </w:pPr>
    </w:p>
    <w:p w:rsidR="005C2091" w:rsidRDefault="00A86293">
      <w:pPr>
        <w:pStyle w:val="Heading4"/>
      </w:pPr>
      <w:r>
        <w:t>A857001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A857001-ADMINISTRACIJA I UPRAVLJANJE</w:t>
            </w:r>
          </w:p>
        </w:tc>
        <w:tc>
          <w:tcPr>
            <w:tcW w:w="2041" w:type="dxa"/>
          </w:tcPr>
          <w:p w:rsidR="005C2091" w:rsidRDefault="00A86293">
            <w:pPr>
              <w:pStyle w:val="CellColumn"/>
              <w:jc w:val="right"/>
            </w:pPr>
            <w:r>
              <w:rPr>
                <w:rFonts w:cs="Times New Roman"/>
              </w:rPr>
              <w:t>3.508.644</w:t>
            </w:r>
          </w:p>
        </w:tc>
        <w:tc>
          <w:tcPr>
            <w:tcW w:w="2041" w:type="dxa"/>
          </w:tcPr>
          <w:p w:rsidR="005C2091" w:rsidRDefault="00A86293">
            <w:pPr>
              <w:pStyle w:val="CellColumn"/>
              <w:jc w:val="right"/>
            </w:pPr>
            <w:r>
              <w:rPr>
                <w:rFonts w:cs="Times New Roman"/>
              </w:rPr>
              <w:t>6.421.807</w:t>
            </w:r>
          </w:p>
        </w:tc>
        <w:tc>
          <w:tcPr>
            <w:tcW w:w="2041" w:type="dxa"/>
          </w:tcPr>
          <w:p w:rsidR="005C2091" w:rsidRDefault="00A86293">
            <w:pPr>
              <w:pStyle w:val="CellColumn"/>
              <w:jc w:val="right"/>
            </w:pPr>
            <w:r>
              <w:rPr>
                <w:rFonts w:cs="Times New Roman"/>
              </w:rPr>
              <w:t>5.913.467</w:t>
            </w:r>
          </w:p>
        </w:tc>
        <w:tc>
          <w:tcPr>
            <w:tcW w:w="1224" w:type="dxa"/>
          </w:tcPr>
          <w:p w:rsidR="005C2091" w:rsidRDefault="00A86293">
            <w:pPr>
              <w:pStyle w:val="CellColumn"/>
              <w:jc w:val="right"/>
            </w:pPr>
            <w:r>
              <w:rPr>
                <w:rFonts w:cs="Times New Roman"/>
              </w:rPr>
              <w:t>92,1</w:t>
            </w:r>
          </w:p>
        </w:tc>
        <w:tc>
          <w:tcPr>
            <w:tcW w:w="1224" w:type="dxa"/>
          </w:tcPr>
          <w:p w:rsidR="005C2091" w:rsidRDefault="00A86293">
            <w:pPr>
              <w:pStyle w:val="CellColumn"/>
              <w:jc w:val="right"/>
            </w:pPr>
            <w:r>
              <w:rPr>
                <w:rFonts w:cs="Times New Roman"/>
              </w:rPr>
              <w:t>168,5</w:t>
            </w:r>
          </w:p>
        </w:tc>
      </w:tr>
    </w:tbl>
    <w:p w:rsidR="005C2091" w:rsidRDefault="005C2091">
      <w:pPr>
        <w:jc w:val="left"/>
      </w:pPr>
    </w:p>
    <w:p w:rsidR="005C2091" w:rsidRDefault="00A86293">
      <w:pPr>
        <w:pStyle w:val="Heading8"/>
        <w:jc w:val="left"/>
      </w:pPr>
      <w:r>
        <w:t>Zakonske i druge pravne osnove</w:t>
      </w:r>
    </w:p>
    <w:p w:rsidR="005C2091" w:rsidRDefault="00A86293">
      <w:r>
        <w:t>Nacionalnim programom reformi 2016. godine kao jedna od reformskih mjera predviđena je i mjera  daljnjeg razvoja sustava objedinjene javne nabave kroz proširenje broja institucija za koje se provodi postupak objedinjene javne nabave putem Središnjeg državnog ureda te uvođenje novih nabavnih kategorija. S tim u vezi, Vlada Republike Hrvatske je donijela Odluku o davanju ovlasti Državnom uredu za središnju javnu nabavu za provedbu postupaka javne nabave za javne naručitelje koji nisu obuhvaćeni člankom 12. Uredbe o unutarnjem ustrojstvu Državnog ureda (Odluka je objavljena u Narodnim novinama 64/2016), čime je proširen broj korisnika središnje nabave za kategorije gorivo i opskrba prirodnim plinom. Na istoj sjednici Vlada Republike Hrvatske je donijela i Odluku o nabavnim kategorijama Središnjeg državnog ureda (Narodne novine 64/2016) sa obuhvaćenim novim kategorijama središnje nabave - opskrba prirodnim plinom, usluga ispisa, zaštitarske usluge, zrakoplovne karte i hotelski smještaj u službene svrhe.</w:t>
      </w:r>
    </w:p>
    <w:p w:rsidR="005C2091" w:rsidRDefault="00A86293">
      <w:pPr>
        <w:pStyle w:val="Heading8"/>
        <w:jc w:val="left"/>
      </w:pPr>
      <w:r>
        <w:t>Opis aktivnosti</w:t>
      </w:r>
    </w:p>
    <w:p w:rsidR="005C2091" w:rsidRDefault="00A86293">
      <w:r>
        <w:t>Središnji državni ured je u 2016. godini objavio 3 postupaka javne nabave (MS licence, gorivo i usluge čišćenja) te je u prvoj polovini godine završeno 5 postupaka započetih 2015. godine (uredski materijal, potrošni materijal, toneri i tinte, poštanske usluge te pilot projekt usluga upravljanja ispisom). Od početka rada ureda, ukupno je sklopljeno 183 okvirnih sporazuma ili ugovora, od čega je trenutno  65 aktivnih s 52 različita dobavljača. Ukupna vrijednost važećih okvirnih sporazuma bez PDV-a iznosi 1.5 milijarde kn. Sa aktivnosti A857001 namiruju se troškovi plaća zaposlenika, troškovi najma i režijskih troškova te ostali troškovi za redovno poslovanje, uključujući i naknade po eventualnim žalbenim postupcima pred Državnom komisijom za kontrolu postupaka javne nabave.</w:t>
      </w:r>
    </w:p>
    <w:p w:rsidR="008846BB" w:rsidRDefault="008846BB"/>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Provođenje postupaka u kojima je kao kriterij odabira primijenjena ekonomski najpovoljnija ponuda</w:t>
            </w:r>
          </w:p>
        </w:tc>
        <w:tc>
          <w:tcPr>
            <w:tcW w:w="2551" w:type="dxa"/>
          </w:tcPr>
          <w:p w:rsidR="005C2091" w:rsidRDefault="00A86293">
            <w:pPr>
              <w:pStyle w:val="CellColumn"/>
              <w:jc w:val="left"/>
            </w:pPr>
            <w:r>
              <w:rPr>
                <w:rFonts w:cs="Times New Roman"/>
              </w:rPr>
              <w:t>Postizanje najbolje vrijednosti za uloženi novac</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Središnji državni ured, EOJN</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4</w:t>
            </w:r>
          </w:p>
        </w:tc>
      </w:tr>
      <w:tr w:rsidR="005C2091">
        <w:trPr>
          <w:jc w:val="center"/>
        </w:trPr>
        <w:tc>
          <w:tcPr>
            <w:tcW w:w="2551" w:type="dxa"/>
          </w:tcPr>
          <w:p w:rsidR="005C2091" w:rsidRDefault="00A86293">
            <w:pPr>
              <w:pStyle w:val="CellColumn"/>
              <w:jc w:val="left"/>
            </w:pPr>
            <w:r>
              <w:rPr>
                <w:rFonts w:cs="Times New Roman"/>
              </w:rPr>
              <w:t>Provođenje postupaka u kojima su primijenjena načela zelene nabave</w:t>
            </w:r>
          </w:p>
        </w:tc>
        <w:tc>
          <w:tcPr>
            <w:tcW w:w="2551" w:type="dxa"/>
          </w:tcPr>
          <w:p w:rsidR="005C2091" w:rsidRDefault="00A86293">
            <w:pPr>
              <w:pStyle w:val="CellColumn"/>
              <w:jc w:val="left"/>
            </w:pPr>
            <w:r>
              <w:rPr>
                <w:rFonts w:cs="Times New Roman"/>
              </w:rPr>
              <w:t>Postizanje najbolje vrijednosti za uloženi novac</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Središnji državni ured, EOJN</w:t>
            </w:r>
          </w:p>
        </w:tc>
        <w:tc>
          <w:tcPr>
            <w:tcW w:w="1020" w:type="dxa"/>
          </w:tcPr>
          <w:p w:rsidR="005C2091" w:rsidRDefault="00A86293">
            <w:pPr>
              <w:pStyle w:val="CellColumn"/>
              <w:jc w:val="right"/>
            </w:pPr>
            <w:r>
              <w:rPr>
                <w:rFonts w:cs="Times New Roman"/>
              </w:rPr>
              <w:t>7</w:t>
            </w:r>
          </w:p>
        </w:tc>
        <w:tc>
          <w:tcPr>
            <w:tcW w:w="1020" w:type="dxa"/>
          </w:tcPr>
          <w:p w:rsidR="005C2091" w:rsidRDefault="00A86293">
            <w:pPr>
              <w:pStyle w:val="CellColumn"/>
              <w:jc w:val="right"/>
            </w:pPr>
            <w:r>
              <w:rPr>
                <w:rFonts w:cs="Times New Roman"/>
              </w:rPr>
              <w:t>5</w:t>
            </w:r>
          </w:p>
        </w:tc>
      </w:tr>
      <w:tr w:rsidR="005C2091">
        <w:trPr>
          <w:jc w:val="center"/>
        </w:trPr>
        <w:tc>
          <w:tcPr>
            <w:tcW w:w="2551" w:type="dxa"/>
          </w:tcPr>
          <w:p w:rsidR="005C2091" w:rsidRDefault="00A86293">
            <w:pPr>
              <w:pStyle w:val="CellColumn"/>
              <w:jc w:val="left"/>
            </w:pPr>
            <w:r>
              <w:rPr>
                <w:rFonts w:cs="Times New Roman"/>
              </w:rPr>
              <w:t>Dostupnost dokumentacije i izvadaka nacrta dokumentacije  na internetskoj stranici Središnjeg državnog ureda</w:t>
            </w:r>
          </w:p>
        </w:tc>
        <w:tc>
          <w:tcPr>
            <w:tcW w:w="2551" w:type="dxa"/>
          </w:tcPr>
          <w:p w:rsidR="005C2091" w:rsidRDefault="00A86293">
            <w:pPr>
              <w:pStyle w:val="CellColumn"/>
              <w:jc w:val="left"/>
            </w:pPr>
            <w:r>
              <w:rPr>
                <w:rFonts w:cs="Times New Roman"/>
              </w:rPr>
              <w:t>Osiguravanje veće transparentnosti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46</w:t>
            </w:r>
          </w:p>
        </w:tc>
        <w:tc>
          <w:tcPr>
            <w:tcW w:w="1020" w:type="dxa"/>
          </w:tcPr>
          <w:p w:rsidR="005C2091" w:rsidRDefault="00A86293">
            <w:pPr>
              <w:pStyle w:val="CellColumn"/>
              <w:jc w:val="right"/>
            </w:pPr>
            <w:r>
              <w:rPr>
                <w:rFonts w:cs="Times New Roman"/>
              </w:rPr>
              <w:t>Središnji državni ured, EOJN</w:t>
            </w:r>
          </w:p>
        </w:tc>
        <w:tc>
          <w:tcPr>
            <w:tcW w:w="1020" w:type="dxa"/>
          </w:tcPr>
          <w:p w:rsidR="005C2091" w:rsidRDefault="00A86293">
            <w:pPr>
              <w:pStyle w:val="CellColumn"/>
              <w:jc w:val="right"/>
            </w:pPr>
            <w:r>
              <w:rPr>
                <w:rFonts w:cs="Times New Roman"/>
              </w:rPr>
              <w:t>56</w:t>
            </w:r>
          </w:p>
        </w:tc>
        <w:tc>
          <w:tcPr>
            <w:tcW w:w="1020" w:type="dxa"/>
          </w:tcPr>
          <w:p w:rsidR="005C2091" w:rsidRDefault="00A86293">
            <w:pPr>
              <w:pStyle w:val="CellColumn"/>
              <w:jc w:val="right"/>
            </w:pPr>
            <w:r>
              <w:rPr>
                <w:rFonts w:cs="Times New Roman"/>
              </w:rPr>
              <w:t>51</w:t>
            </w:r>
          </w:p>
        </w:tc>
      </w:tr>
      <w:tr w:rsidR="005C2091">
        <w:trPr>
          <w:jc w:val="center"/>
        </w:trPr>
        <w:tc>
          <w:tcPr>
            <w:tcW w:w="2551" w:type="dxa"/>
          </w:tcPr>
          <w:p w:rsidR="005C2091" w:rsidRDefault="00A86293">
            <w:pPr>
              <w:pStyle w:val="CellColumn"/>
              <w:jc w:val="left"/>
            </w:pPr>
            <w:r>
              <w:rPr>
                <w:rFonts w:cs="Times New Roman"/>
              </w:rPr>
              <w:t>Održavanje tehničkih konzultacija -savjetovanja</w:t>
            </w:r>
          </w:p>
        </w:tc>
        <w:tc>
          <w:tcPr>
            <w:tcW w:w="2551" w:type="dxa"/>
          </w:tcPr>
          <w:p w:rsidR="005C2091" w:rsidRDefault="00A86293">
            <w:pPr>
              <w:pStyle w:val="CellColumn"/>
              <w:jc w:val="left"/>
            </w:pPr>
            <w:r>
              <w:rPr>
                <w:rFonts w:cs="Times New Roman"/>
              </w:rPr>
              <w:t>Osiguravanje veće transparentnosti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17</w:t>
            </w:r>
          </w:p>
        </w:tc>
        <w:tc>
          <w:tcPr>
            <w:tcW w:w="1020" w:type="dxa"/>
          </w:tcPr>
          <w:p w:rsidR="005C2091" w:rsidRDefault="00A86293">
            <w:pPr>
              <w:pStyle w:val="CellColumn"/>
              <w:jc w:val="right"/>
            </w:pPr>
            <w:r>
              <w:rPr>
                <w:rFonts w:cs="Times New Roman"/>
              </w:rPr>
              <w:t>Središnji državni ured, EOJN</w:t>
            </w:r>
          </w:p>
        </w:tc>
        <w:tc>
          <w:tcPr>
            <w:tcW w:w="1020" w:type="dxa"/>
          </w:tcPr>
          <w:p w:rsidR="005C2091" w:rsidRDefault="00A86293">
            <w:pPr>
              <w:pStyle w:val="CellColumn"/>
              <w:jc w:val="right"/>
            </w:pPr>
            <w:r>
              <w:rPr>
                <w:rFonts w:cs="Times New Roman"/>
              </w:rPr>
              <w:t>21</w:t>
            </w:r>
          </w:p>
        </w:tc>
        <w:tc>
          <w:tcPr>
            <w:tcW w:w="1020" w:type="dxa"/>
          </w:tcPr>
          <w:p w:rsidR="005C2091" w:rsidRDefault="00A86293">
            <w:pPr>
              <w:pStyle w:val="CellColumn"/>
              <w:jc w:val="right"/>
            </w:pPr>
            <w:r>
              <w:rPr>
                <w:rFonts w:cs="Times New Roman"/>
              </w:rPr>
              <w:t>23</w:t>
            </w:r>
          </w:p>
        </w:tc>
      </w:tr>
      <w:tr w:rsidR="005C2091">
        <w:trPr>
          <w:jc w:val="center"/>
        </w:trPr>
        <w:tc>
          <w:tcPr>
            <w:tcW w:w="2551" w:type="dxa"/>
          </w:tcPr>
          <w:p w:rsidR="005C2091" w:rsidRDefault="00A86293">
            <w:pPr>
              <w:pStyle w:val="CellColumn"/>
              <w:jc w:val="left"/>
            </w:pPr>
            <w:r>
              <w:rPr>
                <w:rFonts w:cs="Times New Roman"/>
              </w:rPr>
              <w:t>Dijeljenje predmeta nabave po grupama (granama gospodarstva, strukovnim područjima, vrsti, količini i mjestu isporuke)</w:t>
            </w:r>
          </w:p>
        </w:tc>
        <w:tc>
          <w:tcPr>
            <w:tcW w:w="2551" w:type="dxa"/>
          </w:tcPr>
          <w:p w:rsidR="005C2091" w:rsidRDefault="00A86293">
            <w:pPr>
              <w:pStyle w:val="CellColumn"/>
              <w:jc w:val="left"/>
            </w:pPr>
            <w:r>
              <w:rPr>
                <w:rFonts w:cs="Times New Roman"/>
              </w:rPr>
              <w:t>Poticanje tržišnog nadmetanja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24</w:t>
            </w:r>
          </w:p>
        </w:tc>
        <w:tc>
          <w:tcPr>
            <w:tcW w:w="1020" w:type="dxa"/>
          </w:tcPr>
          <w:p w:rsidR="005C2091" w:rsidRDefault="00A86293">
            <w:pPr>
              <w:pStyle w:val="CellColumn"/>
              <w:jc w:val="right"/>
            </w:pPr>
            <w:r>
              <w:rPr>
                <w:rFonts w:cs="Times New Roman"/>
              </w:rPr>
              <w:t>Središnji državni ured, EOJN</w:t>
            </w:r>
          </w:p>
        </w:tc>
        <w:tc>
          <w:tcPr>
            <w:tcW w:w="1020" w:type="dxa"/>
          </w:tcPr>
          <w:p w:rsidR="005C2091" w:rsidRDefault="00A86293">
            <w:pPr>
              <w:pStyle w:val="CellColumn"/>
              <w:jc w:val="right"/>
            </w:pPr>
            <w:r>
              <w:rPr>
                <w:rFonts w:cs="Times New Roman"/>
              </w:rPr>
              <w:t>27</w:t>
            </w:r>
          </w:p>
        </w:tc>
        <w:tc>
          <w:tcPr>
            <w:tcW w:w="1020" w:type="dxa"/>
          </w:tcPr>
          <w:p w:rsidR="005C2091" w:rsidRDefault="00A86293">
            <w:pPr>
              <w:pStyle w:val="CellColumn"/>
              <w:jc w:val="right"/>
            </w:pPr>
            <w:r>
              <w:rPr>
                <w:rFonts w:cs="Times New Roman"/>
              </w:rPr>
              <w:t>27</w:t>
            </w:r>
          </w:p>
        </w:tc>
      </w:tr>
      <w:tr w:rsidR="005C2091">
        <w:trPr>
          <w:jc w:val="center"/>
        </w:trPr>
        <w:tc>
          <w:tcPr>
            <w:tcW w:w="2551" w:type="dxa"/>
          </w:tcPr>
          <w:p w:rsidR="005C2091" w:rsidRDefault="00A86293">
            <w:pPr>
              <w:pStyle w:val="CellColumn"/>
              <w:jc w:val="left"/>
            </w:pPr>
            <w:r>
              <w:rPr>
                <w:rFonts w:cs="Times New Roman"/>
              </w:rPr>
              <w:lastRenderedPageBreak/>
              <w:t>Broj potvrda o pohađanju programa redovitog usavršavanja</w:t>
            </w:r>
          </w:p>
        </w:tc>
        <w:tc>
          <w:tcPr>
            <w:tcW w:w="2551" w:type="dxa"/>
          </w:tcPr>
          <w:p w:rsidR="005C2091" w:rsidRDefault="00A86293">
            <w:pPr>
              <w:pStyle w:val="CellColumn"/>
              <w:jc w:val="left"/>
            </w:pPr>
            <w:r>
              <w:rPr>
                <w:rFonts w:cs="Times New Roman"/>
              </w:rPr>
              <w:t>Kontinuirana izobrazba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19</w:t>
            </w:r>
          </w:p>
        </w:tc>
        <w:tc>
          <w:tcPr>
            <w:tcW w:w="1020" w:type="dxa"/>
          </w:tcPr>
          <w:p w:rsidR="005C2091" w:rsidRDefault="00A86293">
            <w:pPr>
              <w:pStyle w:val="CellColumn"/>
              <w:jc w:val="right"/>
            </w:pPr>
            <w:r>
              <w:rPr>
                <w:rFonts w:cs="Times New Roman"/>
              </w:rPr>
              <w:t>Baza podataka SDU</w:t>
            </w:r>
          </w:p>
        </w:tc>
        <w:tc>
          <w:tcPr>
            <w:tcW w:w="1020" w:type="dxa"/>
          </w:tcPr>
          <w:p w:rsidR="005C2091" w:rsidRDefault="00A86293">
            <w:pPr>
              <w:pStyle w:val="CellColumn"/>
              <w:jc w:val="right"/>
            </w:pPr>
            <w:r>
              <w:rPr>
                <w:rFonts w:cs="Times New Roman"/>
              </w:rPr>
              <w:t>25</w:t>
            </w:r>
          </w:p>
        </w:tc>
        <w:tc>
          <w:tcPr>
            <w:tcW w:w="1020" w:type="dxa"/>
          </w:tcPr>
          <w:p w:rsidR="005C2091" w:rsidRDefault="00A86293">
            <w:pPr>
              <w:pStyle w:val="CellColumn"/>
              <w:jc w:val="right"/>
            </w:pPr>
            <w:r>
              <w:rPr>
                <w:rFonts w:cs="Times New Roman"/>
              </w:rPr>
              <w:t>21</w:t>
            </w:r>
          </w:p>
        </w:tc>
      </w:tr>
      <w:tr w:rsidR="005C2091">
        <w:trPr>
          <w:jc w:val="center"/>
        </w:trPr>
        <w:tc>
          <w:tcPr>
            <w:tcW w:w="2551" w:type="dxa"/>
          </w:tcPr>
          <w:p w:rsidR="005C2091" w:rsidRDefault="00A86293">
            <w:pPr>
              <w:pStyle w:val="CellColumn"/>
              <w:jc w:val="left"/>
            </w:pPr>
            <w:r>
              <w:rPr>
                <w:rFonts w:cs="Times New Roman"/>
              </w:rPr>
              <w:t>Broj dostavljenih e-ponuda</w:t>
            </w:r>
          </w:p>
        </w:tc>
        <w:tc>
          <w:tcPr>
            <w:tcW w:w="2551" w:type="dxa"/>
          </w:tcPr>
          <w:p w:rsidR="005C2091" w:rsidRDefault="00A86293">
            <w:pPr>
              <w:pStyle w:val="CellColumn"/>
              <w:jc w:val="left"/>
            </w:pPr>
            <w:r>
              <w:rPr>
                <w:rFonts w:cs="Times New Roman"/>
              </w:rPr>
              <w:t>Proširenje nadležnosti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Baza podataka SDU</w:t>
            </w:r>
          </w:p>
        </w:tc>
        <w:tc>
          <w:tcPr>
            <w:tcW w:w="1020" w:type="dxa"/>
          </w:tcPr>
          <w:p w:rsidR="005C2091" w:rsidRDefault="00A86293">
            <w:pPr>
              <w:pStyle w:val="CellColumn"/>
              <w:jc w:val="right"/>
            </w:pPr>
            <w:r>
              <w:rPr>
                <w:rFonts w:cs="Times New Roman"/>
              </w:rPr>
              <w:t>7</w:t>
            </w:r>
          </w:p>
        </w:tc>
        <w:tc>
          <w:tcPr>
            <w:tcW w:w="1020" w:type="dxa"/>
          </w:tcPr>
          <w:p w:rsidR="005C2091" w:rsidRDefault="00A86293">
            <w:pPr>
              <w:pStyle w:val="CellColumn"/>
              <w:jc w:val="right"/>
            </w:pPr>
            <w:r>
              <w:rPr>
                <w:rFonts w:cs="Times New Roman"/>
              </w:rPr>
              <w:t>6</w:t>
            </w:r>
          </w:p>
        </w:tc>
      </w:tr>
    </w:tbl>
    <w:p w:rsidR="005C2091" w:rsidRDefault="005C2091">
      <w:pPr>
        <w:jc w:val="left"/>
      </w:pPr>
    </w:p>
    <w:p w:rsidR="005C2091" w:rsidRDefault="00A86293">
      <w:pPr>
        <w:pStyle w:val="Heading4"/>
      </w:pPr>
      <w:r>
        <w:t>K857002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K857002-INFORMATIZACIJA</w:t>
            </w:r>
          </w:p>
        </w:tc>
        <w:tc>
          <w:tcPr>
            <w:tcW w:w="2041" w:type="dxa"/>
          </w:tcPr>
          <w:p w:rsidR="005C2091" w:rsidRDefault="00A86293">
            <w:pPr>
              <w:pStyle w:val="CellColumn"/>
              <w:jc w:val="right"/>
            </w:pPr>
            <w:r>
              <w:rPr>
                <w:rFonts w:cs="Times New Roman"/>
              </w:rPr>
              <w:t>152.149</w:t>
            </w:r>
          </w:p>
        </w:tc>
        <w:tc>
          <w:tcPr>
            <w:tcW w:w="2041" w:type="dxa"/>
          </w:tcPr>
          <w:p w:rsidR="005C2091" w:rsidRDefault="00A86293">
            <w:pPr>
              <w:pStyle w:val="CellColumn"/>
              <w:jc w:val="right"/>
            </w:pPr>
            <w:r>
              <w:rPr>
                <w:rFonts w:cs="Times New Roman"/>
              </w:rPr>
              <w:t>379.500</w:t>
            </w:r>
          </w:p>
        </w:tc>
        <w:tc>
          <w:tcPr>
            <w:tcW w:w="2041" w:type="dxa"/>
          </w:tcPr>
          <w:p w:rsidR="005C2091" w:rsidRDefault="00A86293">
            <w:pPr>
              <w:pStyle w:val="CellColumn"/>
              <w:jc w:val="right"/>
            </w:pPr>
            <w:r>
              <w:rPr>
                <w:rFonts w:cs="Times New Roman"/>
              </w:rPr>
              <w:t>292.582</w:t>
            </w:r>
          </w:p>
        </w:tc>
        <w:tc>
          <w:tcPr>
            <w:tcW w:w="1224" w:type="dxa"/>
          </w:tcPr>
          <w:p w:rsidR="005C2091" w:rsidRDefault="00A86293">
            <w:pPr>
              <w:pStyle w:val="CellColumn"/>
              <w:jc w:val="right"/>
            </w:pPr>
            <w:r>
              <w:rPr>
                <w:rFonts w:cs="Times New Roman"/>
              </w:rPr>
              <w:t>77,1</w:t>
            </w:r>
          </w:p>
        </w:tc>
        <w:tc>
          <w:tcPr>
            <w:tcW w:w="1224" w:type="dxa"/>
          </w:tcPr>
          <w:p w:rsidR="005C2091" w:rsidRDefault="00A86293">
            <w:pPr>
              <w:pStyle w:val="CellColumn"/>
              <w:jc w:val="right"/>
            </w:pPr>
            <w:r>
              <w:rPr>
                <w:rFonts w:cs="Times New Roman"/>
              </w:rPr>
              <w:t>192,3</w:t>
            </w:r>
          </w:p>
        </w:tc>
      </w:tr>
    </w:tbl>
    <w:p w:rsidR="005C2091" w:rsidRDefault="005C2091">
      <w:pPr>
        <w:jc w:val="left"/>
      </w:pPr>
    </w:p>
    <w:p w:rsidR="005C2091" w:rsidRDefault="00A86293">
      <w:pPr>
        <w:pStyle w:val="Heading8"/>
        <w:jc w:val="left"/>
      </w:pPr>
      <w:r>
        <w:t>Zakonske i druge pravne osnove</w:t>
      </w:r>
    </w:p>
    <w:p w:rsidR="005C2091" w:rsidRDefault="00A86293">
      <w:r>
        <w:t>Nacionalnim programom reformi 2016. godine kao jedna od reformskih mjera predviđena je i mjera  daljnjeg razvoja sustava objedinjene javne nabave kroz proširenje broja institucija za koje se provodi postupak objedinjene javne nabave putem Središnjeg državnog ureda te uvođenje novih nabavnih kategorija te je neophodno održavanje aplikacije za praćenje ugovora i okvirnih sporazuma za povećani broj korisnika i kategorija. Također je Uredbom o unutarnjem ustrojstvu Državnog ureda (NN 3/2015) propisano da ured obavlja poslove upravljanja, nadzora i koordinacije povezane s IT uslugama u sustavu središnje javne nabave; nadgledanja rada poslovnih aplikacija s područja djelovanja Državnog ureda; te sudjeluje u izradi i održavanju raznih registara i kataloga za potrebe Državnog ureda.</w:t>
      </w:r>
    </w:p>
    <w:p w:rsidR="005C2091" w:rsidRDefault="00A86293">
      <w:pPr>
        <w:pStyle w:val="Heading8"/>
        <w:jc w:val="left"/>
      </w:pPr>
      <w:r>
        <w:t>Opis aktivnosti</w:t>
      </w:r>
    </w:p>
    <w:p w:rsidR="005C2091" w:rsidRDefault="00A86293">
      <w:r>
        <w:t>Početkom 2016 nabavljena je aplikacija za vođenje registra ugovora te baze podataka za vozila, te je tijekom 2016 provedeno ažuriranje aplikacije za vođenje registra ugovora za sve korisnike središnje javne nabave te baze podataka za vozila obuhvaćenih okvirnim sporazumima iz nadležnosti Središnjeg državnog ureda.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Poboljšanje baze podataka za vozila i registra ugovora</w:t>
            </w:r>
          </w:p>
        </w:tc>
        <w:tc>
          <w:tcPr>
            <w:tcW w:w="2551" w:type="dxa"/>
          </w:tcPr>
          <w:p w:rsidR="005C2091" w:rsidRDefault="00A86293">
            <w:pPr>
              <w:pStyle w:val="CellColumn"/>
              <w:jc w:val="left"/>
            </w:pPr>
            <w:r>
              <w:rPr>
                <w:rFonts w:cs="Times New Roman"/>
              </w:rPr>
              <w:t>Vođenje evidencije o okvirnim sporazumima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Baza podataka SDU</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bl>
    <w:p w:rsidR="005C2091" w:rsidRDefault="005C2091" w:rsidP="00055947">
      <w:pPr>
        <w:overflowPunct/>
        <w:autoSpaceDE/>
        <w:autoSpaceDN/>
        <w:adjustRightInd/>
        <w:spacing w:after="200" w:line="276" w:lineRule="auto"/>
        <w:jc w:val="left"/>
        <w:textAlignment w:val="auto"/>
      </w:pPr>
    </w:p>
    <w:p w:rsidR="005C2091" w:rsidRDefault="00A86293">
      <w:pPr>
        <w:pStyle w:val="Heading2"/>
      </w:pPr>
      <w:r>
        <w:t>02905 Državni ured za upravljanje državnom imovinom</w:t>
      </w:r>
    </w:p>
    <w:p w:rsidR="005C2091" w:rsidRDefault="00A86293">
      <w:r>
        <w:t xml:space="preserve">Središnji državni ured za upravljanje državnom imovinom rukovodi se zadacima koji za njega proizlaze iz članka 13. Zakona o izmjenama i dopunama Zakona o ustrojstvu i djelokrugu ministarstava i drugih središnjih tijela državne uprave (NN 22/12) i Zakona o izmjenama i dopunama Zakona o sustavu državne uprave (NN 93/16), a organiziran je sukladno odredbama Uredbe o unutarnjem ustrojstvu državnog ureda za upravljanje državnom imovinom (NN 118/13) i Pravilnika u unutarnjem redu državnog ureda, te Zakonom o upravljanju i raspolaganju imovinom u vlasništvu Republike Hrvatske. </w:t>
      </w:r>
    </w:p>
    <w:p w:rsidR="005C2091" w:rsidRDefault="00A86293">
      <w:r>
        <w:t xml:space="preserve">Središnji državni ured za upravljanje državnom imovinom prestao je postojati s danom 12. studeni 2016. godine sukladno odredbama Zakona o izmjenama i dopunama Zakona o ustrojstvu i djelokrugu ministarstava i drugih središnjih tijela državne uprave (NN 104/2016) </w:t>
      </w:r>
    </w:p>
    <w:p w:rsidR="005C2091" w:rsidRDefault="00A86293">
      <w:r>
        <w:lastRenderedPageBreak/>
        <w:t>Središnji državni ured za upravljanje državnom imovinom (dalje u tekstu: Državni ured) svojim Financijskim planom za 2016. godinu planiralo je sredstva potrebna za upravljanje nekretninama u 2016. godini u okviru aktivnosti A861001 - Administracija i upravljanje, A861008 - Promjena statusa društva Imunološki zavod, K861006 - Opremanje ureda, K861007 - Informatizacija.</w:t>
      </w:r>
    </w:p>
    <w:p w:rsidR="00055947" w:rsidRDefault="00055947"/>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rsidTr="008846BB">
        <w:trPr>
          <w:jc w:val="center"/>
        </w:trPr>
        <w:tc>
          <w:tcPr>
            <w:tcW w:w="1632" w:type="dxa"/>
            <w:shd w:val="clear" w:color="auto" w:fill="B5C0D8"/>
          </w:tcPr>
          <w:p w:rsidR="005C2091" w:rsidRDefault="005C2091">
            <w:pPr>
              <w:pStyle w:val="CellHeader"/>
              <w:jc w:val="center"/>
            </w:pPr>
          </w:p>
        </w:tc>
        <w:tc>
          <w:tcPr>
            <w:tcW w:w="2042" w:type="dxa"/>
            <w:shd w:val="clear" w:color="auto" w:fill="B5C0D8"/>
          </w:tcPr>
          <w:p w:rsidR="005C2091" w:rsidRDefault="00A86293">
            <w:pPr>
              <w:pStyle w:val="CellHeader"/>
              <w:jc w:val="center"/>
            </w:pPr>
            <w:r>
              <w:rPr>
                <w:rFonts w:cs="Times New Roman"/>
              </w:rPr>
              <w:t>Izvršenje 2015. (kn)</w:t>
            </w:r>
          </w:p>
        </w:tc>
        <w:tc>
          <w:tcPr>
            <w:tcW w:w="2042" w:type="dxa"/>
            <w:shd w:val="clear" w:color="auto" w:fill="B5C0D8"/>
          </w:tcPr>
          <w:p w:rsidR="005C2091" w:rsidRDefault="00A86293">
            <w:pPr>
              <w:pStyle w:val="CellHeader"/>
              <w:jc w:val="center"/>
            </w:pPr>
            <w:r>
              <w:rPr>
                <w:rFonts w:cs="Times New Roman"/>
              </w:rPr>
              <w:t>Plan 2016. (kn)</w:t>
            </w:r>
          </w:p>
        </w:tc>
        <w:tc>
          <w:tcPr>
            <w:tcW w:w="2042"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rsidTr="008846BB">
        <w:trPr>
          <w:jc w:val="center"/>
        </w:trPr>
        <w:tc>
          <w:tcPr>
            <w:tcW w:w="1632" w:type="dxa"/>
            <w:vAlign w:val="top"/>
          </w:tcPr>
          <w:p w:rsidR="005C2091" w:rsidRDefault="00A86293">
            <w:pPr>
              <w:pStyle w:val="CellColumn"/>
              <w:jc w:val="left"/>
            </w:pPr>
            <w:r>
              <w:rPr>
                <w:rFonts w:cs="Times New Roman"/>
              </w:rPr>
              <w:t>02905-Državni ured za upravljanje državnom imovinom</w:t>
            </w:r>
          </w:p>
        </w:tc>
        <w:tc>
          <w:tcPr>
            <w:tcW w:w="2042" w:type="dxa"/>
            <w:vAlign w:val="top"/>
          </w:tcPr>
          <w:p w:rsidR="005C2091" w:rsidRDefault="00A86293">
            <w:pPr>
              <w:pStyle w:val="CellColumn"/>
              <w:jc w:val="right"/>
            </w:pPr>
            <w:r>
              <w:rPr>
                <w:rFonts w:cs="Times New Roman"/>
              </w:rPr>
              <w:t>30.522.810</w:t>
            </w:r>
          </w:p>
        </w:tc>
        <w:tc>
          <w:tcPr>
            <w:tcW w:w="2042" w:type="dxa"/>
            <w:vAlign w:val="top"/>
          </w:tcPr>
          <w:p w:rsidR="005C2091" w:rsidRDefault="00A86293">
            <w:pPr>
              <w:pStyle w:val="CellColumn"/>
              <w:jc w:val="right"/>
            </w:pPr>
            <w:r>
              <w:rPr>
                <w:rFonts w:cs="Times New Roman"/>
              </w:rPr>
              <w:t>28.473.627</w:t>
            </w:r>
          </w:p>
        </w:tc>
        <w:tc>
          <w:tcPr>
            <w:tcW w:w="2042" w:type="dxa"/>
            <w:vAlign w:val="top"/>
          </w:tcPr>
          <w:p w:rsidR="005C2091" w:rsidRDefault="00A86293">
            <w:pPr>
              <w:pStyle w:val="CellColumn"/>
              <w:jc w:val="right"/>
            </w:pPr>
            <w:r>
              <w:rPr>
                <w:rFonts w:cs="Times New Roman"/>
              </w:rPr>
              <w:t>28.439.600</w:t>
            </w:r>
          </w:p>
        </w:tc>
        <w:tc>
          <w:tcPr>
            <w:tcW w:w="1224" w:type="dxa"/>
            <w:vAlign w:val="top"/>
          </w:tcPr>
          <w:p w:rsidR="005C2091" w:rsidRDefault="00A86293">
            <w:pPr>
              <w:pStyle w:val="CellColumn"/>
              <w:jc w:val="right"/>
            </w:pPr>
            <w:r>
              <w:rPr>
                <w:rFonts w:cs="Times New Roman"/>
              </w:rPr>
              <w:t>99,9</w:t>
            </w:r>
          </w:p>
        </w:tc>
        <w:tc>
          <w:tcPr>
            <w:tcW w:w="1224" w:type="dxa"/>
            <w:vAlign w:val="top"/>
          </w:tcPr>
          <w:p w:rsidR="005C2091" w:rsidRDefault="00A86293">
            <w:pPr>
              <w:pStyle w:val="CellColumn"/>
              <w:jc w:val="right"/>
            </w:pPr>
            <w:r>
              <w:rPr>
                <w:rFonts w:cs="Times New Roman"/>
              </w:rPr>
              <w:t>93,2</w:t>
            </w:r>
          </w:p>
        </w:tc>
      </w:tr>
      <w:tr w:rsidR="005C2091" w:rsidTr="008846BB">
        <w:trPr>
          <w:jc w:val="center"/>
        </w:trPr>
        <w:tc>
          <w:tcPr>
            <w:tcW w:w="1632" w:type="dxa"/>
          </w:tcPr>
          <w:p w:rsidR="005C2091" w:rsidRDefault="00A86293">
            <w:pPr>
              <w:jc w:val="left"/>
            </w:pPr>
            <w:r>
              <w:t>2412-UPRAVLJANJE I KONTROLA DRŽAVNOM IMOVINOM</w:t>
            </w:r>
          </w:p>
        </w:tc>
        <w:tc>
          <w:tcPr>
            <w:tcW w:w="2042" w:type="dxa"/>
          </w:tcPr>
          <w:p w:rsidR="005C2091" w:rsidRDefault="00A86293">
            <w:pPr>
              <w:jc w:val="right"/>
            </w:pPr>
            <w:r>
              <w:t>30.522.810</w:t>
            </w:r>
          </w:p>
        </w:tc>
        <w:tc>
          <w:tcPr>
            <w:tcW w:w="2042" w:type="dxa"/>
          </w:tcPr>
          <w:p w:rsidR="005C2091" w:rsidRDefault="00A86293">
            <w:pPr>
              <w:jc w:val="right"/>
            </w:pPr>
            <w:r>
              <w:t>28.473.627</w:t>
            </w:r>
          </w:p>
        </w:tc>
        <w:tc>
          <w:tcPr>
            <w:tcW w:w="2042" w:type="dxa"/>
          </w:tcPr>
          <w:p w:rsidR="005C2091" w:rsidRDefault="00A86293">
            <w:pPr>
              <w:jc w:val="right"/>
            </w:pPr>
            <w:r>
              <w:t>28.439.600</w:t>
            </w:r>
          </w:p>
        </w:tc>
        <w:tc>
          <w:tcPr>
            <w:tcW w:w="1224" w:type="dxa"/>
          </w:tcPr>
          <w:p w:rsidR="005C2091" w:rsidRDefault="00A86293">
            <w:pPr>
              <w:jc w:val="right"/>
            </w:pPr>
            <w:r>
              <w:t>99,9</w:t>
            </w:r>
          </w:p>
        </w:tc>
        <w:tc>
          <w:tcPr>
            <w:tcW w:w="1224" w:type="dxa"/>
          </w:tcPr>
          <w:p w:rsidR="005C2091" w:rsidRDefault="00A86293">
            <w:pPr>
              <w:jc w:val="right"/>
            </w:pPr>
            <w:r>
              <w:t>93,2</w:t>
            </w:r>
          </w:p>
        </w:tc>
      </w:tr>
    </w:tbl>
    <w:p w:rsidR="005C2091" w:rsidRDefault="005C2091">
      <w:pPr>
        <w:jc w:val="left"/>
      </w:pPr>
    </w:p>
    <w:p w:rsidR="008846BB" w:rsidRDefault="008846BB">
      <w:pPr>
        <w:jc w:val="left"/>
      </w:pPr>
    </w:p>
    <w:p w:rsidR="005C2091" w:rsidRDefault="00A86293">
      <w:pPr>
        <w:pStyle w:val="Heading3"/>
      </w:pPr>
      <w:r>
        <w:rPr>
          <w:rFonts w:cs="Times New Roman"/>
        </w:rPr>
        <w:t>2412 UPRAVLJANJE I KONTROLA DRŽAVNOM IMOVINOM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2412-UPRAVLJANJE I KONTROLA DRŽAVNOM IMOVINOM</w:t>
            </w:r>
          </w:p>
        </w:tc>
        <w:tc>
          <w:tcPr>
            <w:tcW w:w="2041" w:type="dxa"/>
          </w:tcPr>
          <w:p w:rsidR="005C2091" w:rsidRDefault="00A86293">
            <w:pPr>
              <w:pStyle w:val="CellColumn"/>
              <w:jc w:val="right"/>
            </w:pPr>
            <w:r>
              <w:rPr>
                <w:rFonts w:cs="Times New Roman"/>
              </w:rPr>
              <w:t>30.522.810</w:t>
            </w:r>
          </w:p>
        </w:tc>
        <w:tc>
          <w:tcPr>
            <w:tcW w:w="2041" w:type="dxa"/>
          </w:tcPr>
          <w:p w:rsidR="005C2091" w:rsidRDefault="00A86293">
            <w:pPr>
              <w:pStyle w:val="CellColumn"/>
              <w:jc w:val="right"/>
            </w:pPr>
            <w:r>
              <w:rPr>
                <w:rFonts w:cs="Times New Roman"/>
              </w:rPr>
              <w:t>28.473.627</w:t>
            </w:r>
          </w:p>
        </w:tc>
        <w:tc>
          <w:tcPr>
            <w:tcW w:w="2041" w:type="dxa"/>
          </w:tcPr>
          <w:p w:rsidR="005C2091" w:rsidRDefault="00A86293">
            <w:pPr>
              <w:pStyle w:val="CellColumn"/>
              <w:jc w:val="right"/>
            </w:pPr>
            <w:r>
              <w:rPr>
                <w:rFonts w:cs="Times New Roman"/>
              </w:rPr>
              <w:t>28.439.600</w:t>
            </w:r>
          </w:p>
        </w:tc>
        <w:tc>
          <w:tcPr>
            <w:tcW w:w="1224" w:type="dxa"/>
          </w:tcPr>
          <w:p w:rsidR="005C2091" w:rsidRDefault="00A86293">
            <w:pPr>
              <w:pStyle w:val="CellColumn"/>
              <w:jc w:val="right"/>
            </w:pPr>
            <w:r>
              <w:rPr>
                <w:rFonts w:cs="Times New Roman"/>
              </w:rPr>
              <w:t>99,9</w:t>
            </w:r>
          </w:p>
        </w:tc>
        <w:tc>
          <w:tcPr>
            <w:tcW w:w="1224" w:type="dxa"/>
          </w:tcPr>
          <w:p w:rsidR="005C2091" w:rsidRDefault="00A86293">
            <w:pPr>
              <w:pStyle w:val="CellColumn"/>
              <w:jc w:val="right"/>
            </w:pPr>
            <w:r>
              <w:rPr>
                <w:rFonts w:cs="Times New Roman"/>
              </w:rPr>
              <w:t>93,2</w:t>
            </w:r>
          </w:p>
        </w:tc>
      </w:tr>
    </w:tbl>
    <w:p w:rsidR="005C2091" w:rsidRDefault="005C2091">
      <w:pPr>
        <w:jc w:val="left"/>
      </w:pPr>
    </w:p>
    <w:p w:rsidR="005C2091" w:rsidRDefault="00A86293">
      <w:r>
        <w:t xml:space="preserve">Izvršenje financijskog plana Državnog ureda bilo je u iznosu od 68,0% u odnosu na planirana sredstva u iznosu od 41.791.921. Razlika sredstava između planiranog i izvršenog preraspoređena je rebalansom Državnog proračuna na Ministarstvo državne imovine. Razlog neiskorištavanja planiranih sredstava najvećim dijelom odnosi se na činjenicu da je Središnji državni ured za upravljanje državnom imovinom  prestao postojati s danom 12. studeni 2016. godine sukladno odredbama Zakona o izmjenama i dopunama Zakona o ustrojstvu i djelokrugu ministarstava i drugih središnjih tijela državne uprave (NN 104/2016), a neiskorištena sredstva rebalansom Državnog proračuna preraspoređena su na pravnog sljednika Ministarstvo državne imovine. </w:t>
      </w:r>
    </w:p>
    <w:p w:rsidR="005C2091" w:rsidRDefault="00A86293">
      <w:r>
        <w:t xml:space="preserve">Državni ured djeluje kao koordinacijsko tijelo za upravljanje imovinom u vlasništvu Republike Hrvatske u odnosu na središnja tijela državne uprave i druga tijela, odnosno pravne osobe osnovane posebnim zakonima, koji su imatelji, odnosno raspolažu imovinom u vlasništvu Republike Hrvatske. </w:t>
      </w:r>
    </w:p>
    <w:p w:rsidR="005C2091" w:rsidRDefault="00A86293">
      <w:r>
        <w:t>Efikasno upravljanje i raspolaganje državnom imovinom pretpostavlja učinkovitu državnu upravu i pronalaženje optimalnih rješenja koja će s jedne strane povećati odgovorno i racionalno upravljanje državnom imovinom, a time i državnim i javnim poduzećima, te tako generirati gospodarski rast, dok će s druge strane fizički, ekonomski i pravno štititi državnu imovinu.</w:t>
      </w:r>
    </w:p>
    <w:p w:rsidR="005C2091" w:rsidRDefault="00A86293">
      <w:pPr>
        <w:pStyle w:val="Heading4"/>
      </w:pPr>
      <w:r>
        <w:lastRenderedPageBreak/>
        <w:t>A861001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A861001-ADMINISTRACIJA I UPRAVLJANJE</w:t>
            </w:r>
          </w:p>
        </w:tc>
        <w:tc>
          <w:tcPr>
            <w:tcW w:w="2041" w:type="dxa"/>
          </w:tcPr>
          <w:p w:rsidR="005C2091" w:rsidRDefault="00A86293">
            <w:pPr>
              <w:pStyle w:val="CellColumn"/>
              <w:jc w:val="right"/>
            </w:pPr>
            <w:r>
              <w:rPr>
                <w:rFonts w:cs="Times New Roman"/>
              </w:rPr>
              <w:t>29.784.621</w:t>
            </w:r>
          </w:p>
        </w:tc>
        <w:tc>
          <w:tcPr>
            <w:tcW w:w="2041" w:type="dxa"/>
          </w:tcPr>
          <w:p w:rsidR="005C2091" w:rsidRDefault="00A86293">
            <w:pPr>
              <w:pStyle w:val="CellColumn"/>
              <w:jc w:val="right"/>
            </w:pPr>
            <w:r>
              <w:rPr>
                <w:rFonts w:cs="Times New Roman"/>
              </w:rPr>
              <w:t>27.581.065</w:t>
            </w:r>
          </w:p>
        </w:tc>
        <w:tc>
          <w:tcPr>
            <w:tcW w:w="2041" w:type="dxa"/>
          </w:tcPr>
          <w:p w:rsidR="005C2091" w:rsidRDefault="00A86293">
            <w:pPr>
              <w:pStyle w:val="CellColumn"/>
              <w:jc w:val="right"/>
            </w:pPr>
            <w:r>
              <w:rPr>
                <w:rFonts w:cs="Times New Roman"/>
              </w:rPr>
              <w:t>27.547.038</w:t>
            </w:r>
          </w:p>
        </w:tc>
        <w:tc>
          <w:tcPr>
            <w:tcW w:w="1224" w:type="dxa"/>
          </w:tcPr>
          <w:p w:rsidR="005C2091" w:rsidRDefault="00A86293">
            <w:pPr>
              <w:pStyle w:val="CellColumn"/>
              <w:jc w:val="right"/>
            </w:pPr>
            <w:r>
              <w:rPr>
                <w:rFonts w:cs="Times New Roman"/>
              </w:rPr>
              <w:t>99,9</w:t>
            </w:r>
          </w:p>
        </w:tc>
        <w:tc>
          <w:tcPr>
            <w:tcW w:w="1224" w:type="dxa"/>
          </w:tcPr>
          <w:p w:rsidR="005C2091" w:rsidRDefault="00A86293">
            <w:pPr>
              <w:pStyle w:val="CellColumn"/>
              <w:jc w:val="right"/>
            </w:pPr>
            <w:r>
              <w:rPr>
                <w:rFonts w:cs="Times New Roman"/>
              </w:rPr>
              <w:t>92,5</w:t>
            </w:r>
          </w:p>
        </w:tc>
      </w:tr>
    </w:tbl>
    <w:p w:rsidR="005C2091" w:rsidRDefault="005C2091">
      <w:pPr>
        <w:jc w:val="left"/>
      </w:pPr>
    </w:p>
    <w:p w:rsidR="005C2091" w:rsidRDefault="00A86293">
      <w:pPr>
        <w:pStyle w:val="Heading8"/>
        <w:jc w:val="left"/>
      </w:pPr>
      <w:r>
        <w:t>Zakonske i druge pravne osnove</w:t>
      </w:r>
    </w:p>
    <w:p w:rsidR="005C2091" w:rsidRDefault="00A86293">
      <w:r>
        <w:t>1.</w:t>
      </w:r>
      <w:r>
        <w:tab/>
        <w:t xml:space="preserve">Zakon o upravljanju i raspolaganju imovinom u vlasništvu Republike Hrvatske (NN 94/13, 18/16) </w:t>
      </w:r>
    </w:p>
    <w:p w:rsidR="005C2091" w:rsidRDefault="00A86293">
      <w:r>
        <w:t>2.</w:t>
      </w:r>
      <w:r>
        <w:tab/>
        <w:t xml:space="preserve">Zakon o ustrojstvu i djelokrugu ministarstva i drugih središnjih tijela državne uprave (NN 150/11, 22/12, 39/13, 125/13, 148/13) </w:t>
      </w:r>
    </w:p>
    <w:p w:rsidR="005C2091" w:rsidRDefault="00A86293">
      <w:r>
        <w:t>3.</w:t>
      </w:r>
      <w:r>
        <w:tab/>
        <w:t xml:space="preserve">Zakon o uređivanju imovinskopravnih odnosa u svrhu izgradnje infrastrukturnih građevina (NN 80/11) </w:t>
      </w:r>
    </w:p>
    <w:p w:rsidR="005C2091" w:rsidRDefault="00A86293">
      <w:r>
        <w:t>4.</w:t>
      </w:r>
      <w:r>
        <w:tab/>
        <w:t xml:space="preserve">Zakon o zakupu i kupoprodaji poslovnog prostora (NN 125/11, 64/15) </w:t>
      </w:r>
    </w:p>
    <w:p w:rsidR="005C2091" w:rsidRDefault="00A86293">
      <w:r>
        <w:t>5.</w:t>
      </w:r>
      <w:r>
        <w:tab/>
        <w:t xml:space="preserve">Zakon o šumama (NN 140/05, 82/06, 129/08, 80/10, 124/10, 25/12, 68/12, 148/13, 94/14) </w:t>
      </w:r>
    </w:p>
    <w:p w:rsidR="005C2091" w:rsidRDefault="00A86293">
      <w:r>
        <w:t>6.</w:t>
      </w:r>
      <w:r>
        <w:tab/>
        <w:t xml:space="preserve">Zakon o vodama (NN 153/63/11,130/11, 56/13,14/14 ) </w:t>
      </w:r>
    </w:p>
    <w:p w:rsidR="005C2091" w:rsidRDefault="00A86293">
      <w:r>
        <w:t>7.</w:t>
      </w:r>
      <w:r>
        <w:tab/>
        <w:t xml:space="preserve">Zakon o poljoprivrednom zemljištu (NN 39/13, 48/15) </w:t>
      </w:r>
    </w:p>
    <w:p w:rsidR="005C2091" w:rsidRDefault="00A86293">
      <w:r>
        <w:t>8.</w:t>
      </w:r>
      <w:r>
        <w:tab/>
        <w:t xml:space="preserve">Zakon o cestama (NN 84/11, 22/13, 54/13, 148/13, 92/14) </w:t>
      </w:r>
    </w:p>
    <w:p w:rsidR="005C2091" w:rsidRDefault="00A86293">
      <w:r>
        <w:t>9.</w:t>
      </w:r>
      <w:r>
        <w:tab/>
        <w:t xml:space="preserve">Zakon o željeznici (NN 94/13, 148/13) </w:t>
      </w:r>
    </w:p>
    <w:p w:rsidR="005C2091" w:rsidRDefault="00A86293">
      <w:r>
        <w:t>10.</w:t>
      </w:r>
      <w:r>
        <w:tab/>
        <w:t xml:space="preserve">Zakon o prostornom uređenju i gradnji (NN 76/07, 38/09, 55/11, 90/11, 50/12, 80/13, 78/15) </w:t>
      </w:r>
    </w:p>
    <w:p w:rsidR="005C2091" w:rsidRDefault="00A86293">
      <w:r>
        <w:t>11.</w:t>
      </w:r>
      <w:r>
        <w:tab/>
        <w:t xml:space="preserve">Zakon o Vladi RH (NN 150/11, 119/14) </w:t>
      </w:r>
    </w:p>
    <w:p w:rsidR="005C2091" w:rsidRDefault="00A86293">
      <w:r>
        <w:t>12.</w:t>
      </w:r>
      <w:r>
        <w:tab/>
        <w:t xml:space="preserve">Zakon o komunalnom gospodarstvu (NN 36/95, 70/97, 128/99, 57/00, 129/00, 59/01, 26/03, 82/04, 110/04, 178/04, 38/09, 79/09, 153/09, 49/11, 84/11, 90/11, 144/12, 94/13, 153/13, 147/14, 36/15) </w:t>
      </w:r>
    </w:p>
    <w:p w:rsidR="005C2091" w:rsidRDefault="00A86293">
      <w:r>
        <w:t xml:space="preserve">PODZAKONASKI PROPISI I DRUGI AKTI: </w:t>
      </w:r>
    </w:p>
    <w:p w:rsidR="005C2091" w:rsidRDefault="00A86293">
      <w:r>
        <w:t>13.</w:t>
      </w:r>
      <w:r>
        <w:tab/>
        <w:t xml:space="preserve">Odluka o kriterijima, mjerilima i postupku dodjele prostora u vlasništvu RH na korištenje organizacijama civilnog društva radi provođenja programa i projekta od interesa za opće dobro (Povjerenstvo VRH, 03.10.2013) </w:t>
      </w:r>
    </w:p>
    <w:p w:rsidR="005C2091" w:rsidRDefault="00A86293">
      <w:r>
        <w:t>14.</w:t>
      </w:r>
      <w:r>
        <w:tab/>
        <w:t xml:space="preserve">Uredba o Registru državne imovine (NN 55/11) </w:t>
      </w:r>
    </w:p>
    <w:p w:rsidR="005C2091" w:rsidRDefault="00A86293">
      <w:r>
        <w:t>15.</w:t>
      </w:r>
      <w:r>
        <w:tab/>
        <w:t xml:space="preserve">Uredba o osnivanju prava građenja i prava služnosti na nekretninama u vlasništvu RH (NN 78/11) </w:t>
      </w:r>
    </w:p>
    <w:p w:rsidR="005C2091" w:rsidRDefault="00A86293">
      <w:r>
        <w:t>16.</w:t>
      </w:r>
      <w:r>
        <w:tab/>
        <w:t xml:space="preserve">Odluka o prodaji stanova u vlasništvu RH kojima upravlja MORH (NN 116/11, 28/15) </w:t>
      </w:r>
    </w:p>
    <w:p w:rsidR="005C2091" w:rsidRDefault="00A86293">
      <w:r>
        <w:t>17.</w:t>
      </w:r>
      <w:r>
        <w:tab/>
        <w:t xml:space="preserve">Odluka o davanju ovlasti Agenciji za pravni promet i posredovanje nekretninama za raspolaganjem nekretninama u vlasništvu Republike Hrvatske (sjednica Vlade 12.05.2011; KLASA: 940-01/11-01/01; URBROJ: 5030105-11-1) </w:t>
      </w:r>
    </w:p>
    <w:p w:rsidR="005C2091" w:rsidRDefault="00A86293">
      <w:r>
        <w:t>18.</w:t>
      </w:r>
      <w:r>
        <w:tab/>
        <w:t xml:space="preserve">Odluka o prodaji stanova u vlasništvu Republike Hrvatske (NN 144/13) </w:t>
      </w:r>
    </w:p>
    <w:p w:rsidR="005C2091" w:rsidRDefault="00A86293">
      <w:r>
        <w:t>19.</w:t>
      </w:r>
      <w:r>
        <w:tab/>
        <w:t xml:space="preserve">Uredba o kriterijima za predlaganje članova Uprava i Nadzornih odbora trgovačkih društava u vlasništvu države (NN 19/12) </w:t>
      </w:r>
    </w:p>
    <w:p w:rsidR="005C2091" w:rsidRDefault="00A86293">
      <w:r>
        <w:t>20.</w:t>
      </w:r>
      <w:r>
        <w:tab/>
        <w:t xml:space="preserve">Izmjene i dopune Odluke o utvrđivanju plaća i drugih primanja predsjednika i članova uprava trgovačkih društava (NN 83/09, 03/11, 03/12, 46/12, 22/13 i 25/14) </w:t>
      </w:r>
    </w:p>
    <w:p w:rsidR="005C2091" w:rsidRDefault="00A86293">
      <w:r>
        <w:t>21.</w:t>
      </w:r>
      <w:r>
        <w:tab/>
        <w:t xml:space="preserve">Temeljem Odluke o korištenju rezidencijalnih objekata u vlasništvu Republike Hrvatske (od 26.07.2012.), članka VI., predstojnik DUUDI-ja donosi Odluku o visini naknade za korištenje rezidencijalnih objekata. </w:t>
      </w:r>
    </w:p>
    <w:p w:rsidR="005C2091" w:rsidRDefault="00A86293">
      <w:r>
        <w:t>22.</w:t>
      </w:r>
      <w:r>
        <w:tab/>
        <w:t xml:space="preserve">Uredba o unutarnjem ustrojstvu Državnog ureda za upravljanje državnom imovinom (NN 118/13) </w:t>
      </w:r>
    </w:p>
    <w:p w:rsidR="005C2091" w:rsidRDefault="00A86293">
      <w:r>
        <w:t>23.</w:t>
      </w:r>
      <w:r>
        <w:tab/>
        <w:t xml:space="preserve">Odluka o utvrđivanju popisa trgovačkih društava i drugih pravnih osoba od strateškog i posebnog interesa za Republiku Hrvatsku (NN 120/13) </w:t>
      </w:r>
    </w:p>
    <w:p w:rsidR="005C2091" w:rsidRDefault="00A86293">
      <w:r>
        <w:lastRenderedPageBreak/>
        <w:t>24.</w:t>
      </w:r>
      <w:r>
        <w:tab/>
        <w:t xml:space="preserve">Uredba o metodama procjene tržišne vrijednosti, naknade za osnivanje prava građenja i naknade za osnivanje prava služnosti na nekretninama u vlasništvu RH (NN 127/13) </w:t>
      </w:r>
    </w:p>
    <w:p w:rsidR="005C2091" w:rsidRDefault="00A86293">
      <w:r>
        <w:t>25.</w:t>
      </w:r>
      <w:r>
        <w:tab/>
        <w:t xml:space="preserve">Uredba o mjerilima i kriterijima dodjele na korištenje nekretnina za potrebe tijela državne uprave ili drugih tijela korisnika državnog proračuna te drugih osoba (NN 127/13) </w:t>
      </w:r>
    </w:p>
    <w:p w:rsidR="005C2091" w:rsidRDefault="00A86293">
      <w:r>
        <w:t>26.</w:t>
      </w:r>
      <w:r>
        <w:tab/>
        <w:t xml:space="preserve">Uredba o darovanju nekretnina u vlasništvu Republike Hrvatske (NN 127/13) </w:t>
      </w:r>
    </w:p>
    <w:p w:rsidR="005C2091" w:rsidRDefault="00A86293">
      <w:r>
        <w:t>27.</w:t>
      </w:r>
      <w:r>
        <w:tab/>
        <w:t xml:space="preserve">Uredba o načinima raspolaganja nekretninama u vlasništvu Republike Hrvatske (NN 127/13) </w:t>
      </w:r>
    </w:p>
    <w:p w:rsidR="005C2091" w:rsidRDefault="00A86293">
      <w:r>
        <w:t>28.</w:t>
      </w:r>
      <w:r>
        <w:tab/>
        <w:t xml:space="preserve">Uredba o načinu prodaje dionica i poslovnih udjela (NN 129/13) </w:t>
      </w:r>
    </w:p>
    <w:p w:rsidR="005C2091" w:rsidRDefault="00A86293">
      <w:r>
        <w:t>29.</w:t>
      </w:r>
      <w:r>
        <w:tab/>
        <w:t xml:space="preserve">Uredba o visini naknade za obavljanje poslova upravljanja dionicama i poslovnim udjelima (NN 130/13) </w:t>
      </w:r>
    </w:p>
    <w:p w:rsidR="005C2091" w:rsidRDefault="00A86293">
      <w:r>
        <w:t>30.</w:t>
      </w:r>
      <w:r>
        <w:tab/>
        <w:t xml:space="preserve">Odluka o prodaji stanova u vlasništvu Republike Hrvatske (NN 144/13) </w:t>
      </w:r>
    </w:p>
    <w:p w:rsidR="005C2091" w:rsidRDefault="00A86293">
      <w:r>
        <w:t>31.</w:t>
      </w:r>
      <w:r>
        <w:tab/>
        <w:t xml:space="preserve">Odluka o prodaji stanova u vlasništvu Republike Hrvatske na području hrvatskog Podunavlja (NN 1/14) </w:t>
      </w:r>
    </w:p>
    <w:p w:rsidR="005C2091" w:rsidRDefault="00A86293">
      <w:r>
        <w:t>32.</w:t>
      </w:r>
      <w:r>
        <w:tab/>
        <w:t xml:space="preserve">Uredba o osnivanju prava građenja i prava služnosti na nekretninama u vlasništvu Republike Hrvatske (NN 10/14) </w:t>
      </w:r>
    </w:p>
    <w:p w:rsidR="005C2091" w:rsidRDefault="00A86293">
      <w:r>
        <w:t>33.</w:t>
      </w:r>
      <w:r>
        <w:tab/>
        <w:t xml:space="preserve">Uredba o obveznom sadržaju Plana upravljanja imovinom u vlasništvu Republike Hrvatske (NN 24/14) </w:t>
      </w:r>
    </w:p>
    <w:p w:rsidR="005C2091" w:rsidRDefault="00A86293">
      <w:r>
        <w:t>34.</w:t>
      </w:r>
      <w:r>
        <w:tab/>
        <w:t xml:space="preserve">Odluka o pokretanju postupka radi preoblikovanja trgovačkog društva Imunološki zavod d.d. u ustanovu za obavljanje djelatnosti zdravstva Imunološki zavod (Klasa: 022-03/15-04/326, Urbroj: 50301-05/18-15-3),  od 30. srpnja 2015.g. </w:t>
      </w:r>
    </w:p>
    <w:p w:rsidR="005C2091" w:rsidRDefault="00A86293">
      <w:r>
        <w:t>35.</w:t>
      </w:r>
      <w:r>
        <w:tab/>
        <w:t xml:space="preserve">Odluka o prijenosu upravljanja i raspolaganja poslovnim prostorima s Ministarstva obrane na Državni ured za upravljanje državnom imovinom (Klasa: 022-03/15-04/87, Urbroj: 50301-09/06-15-2), od 12. ožujka 2015. godine </w:t>
      </w:r>
    </w:p>
    <w:p w:rsidR="005C2091" w:rsidRDefault="00A86293">
      <w:r>
        <w:t>36.</w:t>
      </w:r>
      <w:r>
        <w:tab/>
        <w:t xml:space="preserve">Revidirani Strateški plan Državnog ureda za upravljanje državnom imovinom 2016. -2018. </w:t>
      </w:r>
    </w:p>
    <w:p w:rsidR="005C2091" w:rsidRDefault="00A86293">
      <w:r>
        <w:t>37.</w:t>
      </w:r>
      <w:r>
        <w:tab/>
        <w:t>Plan upravljanja imovinom u vlasništvu Republike Hrvatske za 2016. godinu</w:t>
      </w:r>
    </w:p>
    <w:p w:rsidR="005C2091" w:rsidRDefault="00A86293">
      <w:pPr>
        <w:pStyle w:val="Heading8"/>
        <w:jc w:val="left"/>
      </w:pPr>
      <w:r>
        <w:t>Opis aktivnosti</w:t>
      </w:r>
    </w:p>
    <w:p w:rsidR="005C2091" w:rsidRDefault="00A86293">
      <w:r>
        <w:t>U Aktivnosti administracija i upravljanje najveća stavka izvršenja odnosi se na Rashode za zaposlene u iznosu od 11.598.306, zatim na Komunalne usluge u iznosu od 6.531.183 od čega najveći dio otpada na usluge zajedničke pričuve, zatim na troškove opskrbe vodom te troškove odvoza smeća za nekretnine pod upravljanjem, zatim na troškove opskrbe energijom u iznosu od 2.450.125, na intelektualne i osobne usluge u iznosu od 1.967.644 od čega se najveći dio odnosi na troškove izrade elaborata i vještačenje prilikom prodaje nekretnina te na ostale nespomenute rashode poslovanja u iznosu od 1.129.145 od čega se najveći dio odnosi na troškove ovrha. Preostali iznos od 3.870.635 odnose se na ostale pozicije unutar aktivnosti administracija i upravljanje kao što su usluge tekućeg i investicijskog održavanje, usluge pošte, telefona i prijevoza, naknade za prijevoz i rad na terenu itd.</w:t>
      </w:r>
    </w:p>
    <w:p w:rsidR="005C2091" w:rsidRDefault="00A86293">
      <w:pPr>
        <w:pStyle w:val="Heading4"/>
      </w:pPr>
      <w:r>
        <w:t>K861006 OPREMANJE UREDA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K861006-OPREMANJE UREDA</w:t>
            </w:r>
          </w:p>
        </w:tc>
        <w:tc>
          <w:tcPr>
            <w:tcW w:w="2041" w:type="dxa"/>
          </w:tcPr>
          <w:p w:rsidR="005C2091" w:rsidRDefault="00A86293">
            <w:pPr>
              <w:pStyle w:val="CellColumn"/>
              <w:jc w:val="right"/>
            </w:pPr>
            <w:r>
              <w:rPr>
                <w:rFonts w:cs="Times New Roman"/>
              </w:rPr>
              <w:t>519.713</w:t>
            </w:r>
          </w:p>
        </w:tc>
        <w:tc>
          <w:tcPr>
            <w:tcW w:w="2041" w:type="dxa"/>
          </w:tcPr>
          <w:p w:rsidR="005C2091" w:rsidRDefault="00A86293">
            <w:pPr>
              <w:pStyle w:val="CellColumn"/>
              <w:jc w:val="right"/>
            </w:pPr>
            <w:r>
              <w:rPr>
                <w:rFonts w:cs="Times New Roman"/>
              </w:rPr>
              <w:t>183.062</w:t>
            </w:r>
          </w:p>
        </w:tc>
        <w:tc>
          <w:tcPr>
            <w:tcW w:w="2041" w:type="dxa"/>
          </w:tcPr>
          <w:p w:rsidR="005C2091" w:rsidRDefault="00A86293">
            <w:pPr>
              <w:pStyle w:val="CellColumn"/>
              <w:jc w:val="right"/>
            </w:pPr>
            <w:r>
              <w:rPr>
                <w:rFonts w:cs="Times New Roman"/>
              </w:rPr>
              <w:t>183.062</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35,2</w:t>
            </w:r>
          </w:p>
        </w:tc>
      </w:tr>
    </w:tbl>
    <w:p w:rsidR="008846BB" w:rsidRDefault="008846BB">
      <w:pPr>
        <w:pStyle w:val="Heading8"/>
        <w:jc w:val="left"/>
      </w:pPr>
    </w:p>
    <w:p w:rsidR="005C2091" w:rsidRDefault="00A86293">
      <w:pPr>
        <w:pStyle w:val="Heading8"/>
        <w:jc w:val="left"/>
      </w:pPr>
      <w:r>
        <w:t>Opis aktivnosti</w:t>
      </w:r>
    </w:p>
    <w:p w:rsidR="005C2091" w:rsidRDefault="00A86293">
      <w:r>
        <w:t>U aktivnosti Opremanje ureda ukupno je utrošeno 183.061 kuna. Razlog male utrošenosti sredstava leži u činjenici da je novo serversko računalo za potrebe aplikacije ISUDIO u iznosu od 460.266,14 kuna, kao i računala za novozaposlene djelatnike u iznosu od kn*141.978,00 te računalna oprema za novi Urudžbeni program u iznosu od 55.950,00 kuna, plaćena iz proračuna Ministarstva državne imovine krajem 2016. godine.</w:t>
      </w:r>
    </w:p>
    <w:p w:rsidR="005C2091" w:rsidRDefault="00A86293">
      <w:pPr>
        <w:pStyle w:val="Heading4"/>
      </w:pPr>
      <w:r>
        <w:lastRenderedPageBreak/>
        <w:t>K861007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K861007-INFORMATIZACIJA</w:t>
            </w:r>
          </w:p>
        </w:tc>
        <w:tc>
          <w:tcPr>
            <w:tcW w:w="2041" w:type="dxa"/>
          </w:tcPr>
          <w:p w:rsidR="005C2091" w:rsidRDefault="00A86293">
            <w:pPr>
              <w:pStyle w:val="CellColumn"/>
              <w:jc w:val="right"/>
            </w:pPr>
            <w:r>
              <w:rPr>
                <w:rFonts w:cs="Times New Roman"/>
              </w:rPr>
              <w:t>218.476</w:t>
            </w:r>
          </w:p>
        </w:tc>
        <w:tc>
          <w:tcPr>
            <w:tcW w:w="2041" w:type="dxa"/>
          </w:tcPr>
          <w:p w:rsidR="005C2091" w:rsidRDefault="00A86293">
            <w:pPr>
              <w:pStyle w:val="CellColumn"/>
              <w:jc w:val="right"/>
            </w:pPr>
            <w:r>
              <w:rPr>
                <w:rFonts w:cs="Times New Roman"/>
              </w:rPr>
              <w:t>709.500</w:t>
            </w:r>
          </w:p>
        </w:tc>
        <w:tc>
          <w:tcPr>
            <w:tcW w:w="2041" w:type="dxa"/>
          </w:tcPr>
          <w:p w:rsidR="005C2091" w:rsidRDefault="00A86293">
            <w:pPr>
              <w:pStyle w:val="CellColumn"/>
              <w:jc w:val="right"/>
            </w:pPr>
            <w:r>
              <w:rPr>
                <w:rFonts w:cs="Times New Roman"/>
              </w:rPr>
              <w:t>709.500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324,7</w:t>
            </w:r>
          </w:p>
        </w:tc>
      </w:tr>
    </w:tbl>
    <w:p w:rsidR="005C2091" w:rsidRDefault="005C2091">
      <w:pPr>
        <w:jc w:val="left"/>
      </w:pPr>
    </w:p>
    <w:p w:rsidR="005C2091" w:rsidRDefault="00A86293">
      <w:pPr>
        <w:pStyle w:val="Heading8"/>
        <w:jc w:val="left"/>
      </w:pPr>
      <w:r>
        <w:t>Opis aktivnosti</w:t>
      </w:r>
    </w:p>
    <w:p w:rsidR="005C2091" w:rsidRDefault="00A86293">
      <w:r>
        <w:t>U okviru aktivnosti Informatizacija indeks izvršenja iznosi 30,19% a razlog navedenom je kašnjenje raspisivanja natječaja za drugu fazu izrade Integralnog informacijskog sustava za upravljanje državnom imovinom (ISUDIO) uslijed ustrojstvenih promjena. Razlika sredstava između planiranog i izvršenog preraspoređena je rebalansom Državnog proračuna na Ministarstvo državne imovine. Najveće stavke na aktivnosti Informatizacija otpadaju na Licence u iznosu od 310.625 i Ulaganja u računalne programe u iznosu od 398.875, a odnose se na plaćanje prve faze projekta ISUDIO.</w:t>
      </w:r>
    </w:p>
    <w:p w:rsidR="008846BB" w:rsidRDefault="008846BB"/>
    <w:p w:rsidR="008846BB" w:rsidRDefault="008846BB"/>
    <w:p w:rsidR="008846BB" w:rsidRDefault="008846BB"/>
    <w:p w:rsidR="008846BB" w:rsidRDefault="008846BB"/>
    <w:p w:rsidR="008846BB" w:rsidRDefault="008846BB"/>
    <w:p w:rsidR="008846BB" w:rsidRDefault="008846BB"/>
    <w:p w:rsidR="008846BB" w:rsidRDefault="008846BB">
      <w:pPr>
        <w:overflowPunct/>
        <w:autoSpaceDE/>
        <w:autoSpaceDN/>
        <w:adjustRightInd/>
        <w:spacing w:after="200" w:line="276" w:lineRule="auto"/>
        <w:jc w:val="left"/>
        <w:textAlignment w:val="auto"/>
        <w:rPr>
          <w:b/>
          <w:spacing w:val="20"/>
          <w:sz w:val="32"/>
          <w:szCs w:val="32"/>
        </w:rPr>
      </w:pPr>
      <w:r>
        <w:br w:type="page"/>
      </w:r>
    </w:p>
    <w:p w:rsidR="005C2091" w:rsidRDefault="00A86293">
      <w:pPr>
        <w:pStyle w:val="Heading1"/>
      </w:pPr>
      <w:r>
        <w:lastRenderedPageBreak/>
        <w:t>030 MINISTARSTVO OBRANE</w:t>
      </w:r>
    </w:p>
    <w:p w:rsidR="005C2091" w:rsidRDefault="00A86293">
      <w:r>
        <w:t>Ministarstvo obrane obavlja upravne i druge poslove koji se odnose na planiranje i razvoj sustava nacionalne i kolektivne obrane, te osigurava referentni okvir za planiranje vojnih sposobnosti. U sklopu Ministarstva ustrojen je Glavni stožer Oružanih snaga Republike Hrvatske (GS OS RH) kao združeno tijelo Oružanih snaga za zapovijedanje, pripremu i uporabu Oružanih snaga RH. Oružane snage Republike Hrvatske štite njezin suverenitet i neovisnost te brane njenu teritorijalnu cjelovitost. Ulaskom u NATO savez RH je dobila jamstvo kolektivne obrane i preuzela partnerske obveze da štiti zajedničke vrijednosti i interese te jača međunarodnu sigurnost i očuvanje mira, promovira međunarodnu suradnju i razvija demokraciju i vladavinu prava. Ulaskom u Europsku uniju (EU) Ministarstvo obrane se uključilo u sigurnosnu i obrambenu dimenziju EU-a, te u skladu s tim razvija svoje upravne i vojne sposobnosti.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03005-Ministarstvo obrane</w:t>
            </w:r>
          </w:p>
        </w:tc>
        <w:tc>
          <w:tcPr>
            <w:tcW w:w="2041" w:type="dxa"/>
            <w:vAlign w:val="top"/>
          </w:tcPr>
          <w:p w:rsidR="005C2091" w:rsidRDefault="00A86293">
            <w:pPr>
              <w:pStyle w:val="CellColumn"/>
              <w:jc w:val="right"/>
            </w:pPr>
            <w:r>
              <w:rPr>
                <w:rFonts w:cs="Times New Roman"/>
              </w:rPr>
              <w:t>4.236.748.710</w:t>
            </w:r>
          </w:p>
        </w:tc>
        <w:tc>
          <w:tcPr>
            <w:tcW w:w="2041" w:type="dxa"/>
            <w:vAlign w:val="top"/>
          </w:tcPr>
          <w:p w:rsidR="005C2091" w:rsidRDefault="00A86293">
            <w:pPr>
              <w:pStyle w:val="CellColumn"/>
              <w:jc w:val="right"/>
            </w:pPr>
            <w:r>
              <w:rPr>
                <w:rFonts w:cs="Times New Roman"/>
              </w:rPr>
              <w:t>3.982.609.178</w:t>
            </w:r>
          </w:p>
        </w:tc>
        <w:tc>
          <w:tcPr>
            <w:tcW w:w="2041" w:type="dxa"/>
            <w:vAlign w:val="top"/>
          </w:tcPr>
          <w:p w:rsidR="005C2091" w:rsidRDefault="00A86293">
            <w:pPr>
              <w:pStyle w:val="CellColumn"/>
              <w:jc w:val="right"/>
            </w:pPr>
            <w:r>
              <w:rPr>
                <w:rFonts w:cs="Times New Roman"/>
              </w:rPr>
              <w:t>4.073.429.914</w:t>
            </w:r>
          </w:p>
        </w:tc>
        <w:tc>
          <w:tcPr>
            <w:tcW w:w="1224" w:type="dxa"/>
            <w:vAlign w:val="top"/>
          </w:tcPr>
          <w:p w:rsidR="005C2091" w:rsidRDefault="00A86293">
            <w:pPr>
              <w:pStyle w:val="CellColumn"/>
              <w:jc w:val="right"/>
            </w:pPr>
            <w:r>
              <w:rPr>
                <w:rFonts w:cs="Times New Roman"/>
              </w:rPr>
              <w:t>102,3</w:t>
            </w:r>
          </w:p>
        </w:tc>
        <w:tc>
          <w:tcPr>
            <w:tcW w:w="1224" w:type="dxa"/>
            <w:vAlign w:val="top"/>
          </w:tcPr>
          <w:p w:rsidR="005C2091" w:rsidRDefault="00A86293">
            <w:pPr>
              <w:pStyle w:val="CellColumn"/>
              <w:jc w:val="right"/>
            </w:pPr>
            <w:r>
              <w:rPr>
                <w:rFonts w:cs="Times New Roman"/>
              </w:rPr>
              <w:t>96,1</w:t>
            </w:r>
          </w:p>
        </w:tc>
      </w:tr>
      <w:tr w:rsidR="005C2091">
        <w:trPr>
          <w:jc w:val="center"/>
        </w:trPr>
        <w:tc>
          <w:tcPr>
            <w:tcW w:w="1632" w:type="dxa"/>
            <w:shd w:val="clear" w:color="auto" w:fill="B5C0D8"/>
          </w:tcPr>
          <w:p w:rsidR="005C2091" w:rsidRDefault="00A86293">
            <w:pPr>
              <w:pStyle w:val="CellColumn"/>
              <w:jc w:val="left"/>
            </w:pPr>
            <w:r>
              <w:rPr>
                <w:rFonts w:cs="Times New Roman"/>
              </w:rPr>
              <w:t>Ukupno 030-MINISTARSTVO OBRANE</w:t>
            </w:r>
          </w:p>
        </w:tc>
        <w:tc>
          <w:tcPr>
            <w:tcW w:w="2041" w:type="dxa"/>
            <w:shd w:val="clear" w:color="auto" w:fill="B5C0D8"/>
          </w:tcPr>
          <w:p w:rsidR="005C2091" w:rsidRDefault="00A86293">
            <w:pPr>
              <w:pStyle w:val="CellColumn"/>
              <w:jc w:val="right"/>
            </w:pPr>
            <w:r>
              <w:rPr>
                <w:rFonts w:cs="Times New Roman"/>
              </w:rPr>
              <w:t>4.236.748.710</w:t>
            </w:r>
          </w:p>
        </w:tc>
        <w:tc>
          <w:tcPr>
            <w:tcW w:w="2041" w:type="dxa"/>
            <w:shd w:val="clear" w:color="auto" w:fill="B5C0D8"/>
          </w:tcPr>
          <w:p w:rsidR="005C2091" w:rsidRDefault="00A86293">
            <w:pPr>
              <w:pStyle w:val="CellColumn"/>
              <w:jc w:val="right"/>
            </w:pPr>
            <w:r>
              <w:rPr>
                <w:rFonts w:cs="Times New Roman"/>
              </w:rPr>
              <w:t>3.982.609.178</w:t>
            </w:r>
          </w:p>
        </w:tc>
        <w:tc>
          <w:tcPr>
            <w:tcW w:w="2041" w:type="dxa"/>
            <w:shd w:val="clear" w:color="auto" w:fill="B5C0D8"/>
          </w:tcPr>
          <w:p w:rsidR="005C2091" w:rsidRDefault="00A86293">
            <w:pPr>
              <w:pStyle w:val="CellColumn"/>
              <w:jc w:val="right"/>
            </w:pPr>
            <w:r>
              <w:rPr>
                <w:rFonts w:cs="Times New Roman"/>
              </w:rPr>
              <w:t>4.073.429.914</w:t>
            </w:r>
          </w:p>
        </w:tc>
        <w:tc>
          <w:tcPr>
            <w:tcW w:w="1224" w:type="dxa"/>
            <w:shd w:val="clear" w:color="auto" w:fill="B5C0D8"/>
          </w:tcPr>
          <w:p w:rsidR="005C2091" w:rsidRDefault="00A86293">
            <w:pPr>
              <w:pStyle w:val="CellColumn"/>
              <w:jc w:val="right"/>
            </w:pPr>
            <w:r>
              <w:rPr>
                <w:rFonts w:cs="Times New Roman"/>
              </w:rPr>
              <w:t>102,3</w:t>
            </w:r>
          </w:p>
        </w:tc>
        <w:tc>
          <w:tcPr>
            <w:tcW w:w="1224" w:type="dxa"/>
            <w:shd w:val="clear" w:color="auto" w:fill="B5C0D8"/>
          </w:tcPr>
          <w:p w:rsidR="005C2091" w:rsidRDefault="00A86293">
            <w:pPr>
              <w:pStyle w:val="CellColumn"/>
              <w:jc w:val="right"/>
            </w:pPr>
            <w:r>
              <w:rPr>
                <w:rFonts w:cs="Times New Roman"/>
              </w:rPr>
              <w:t>96,1</w:t>
            </w:r>
          </w:p>
        </w:tc>
      </w:tr>
    </w:tbl>
    <w:p w:rsidR="005C2091" w:rsidRDefault="005C2091">
      <w:pPr>
        <w:jc w:val="left"/>
      </w:pPr>
    </w:p>
    <w:p w:rsidR="005C2091" w:rsidRDefault="00A86293">
      <w:pPr>
        <w:pStyle w:val="Heading2"/>
      </w:pPr>
      <w:r>
        <w:t>03005 Ministarstvo obrane</w:t>
      </w:r>
    </w:p>
    <w:p w:rsidR="005C2091" w:rsidRDefault="00A86293">
      <w:r>
        <w:t>Izvršenje Financijskog plana Ministarstva obrane za 2016. godinu bilo je usmjereno na daljnji razvoj obrambenog sustava i razvijanje sposobnosti potrebnih za obavljanje zadaća zaštite suvereniteta i teritorijalne cjelovitosti Republike Hrvatske, sudjelovanja u kolektivnoj obrani, doprinosa izgradnji stabilnosti u međunarodnom okruženju te pomoći civilnim institucijama. Izvršenje Financijskog plana obuhvatilo je sredstva za  funkcioniranje i razvoj sustava ljudskih resursa, za izgradnju, adaptaciju i održavanje postojećih objekata i infrastrukture, opskrbu materijalnim sredstvima i uslugama, održavanje borbenih, neborbenih i sredstava opće namjene, provedbu obuke i vježbi, sudjelovanje u misijama i operacijama te obavljanje netradicionalnih vojnih zadaća kroz aktivnosti pomoći i potpore civilnim institucijama. Nastavljeno je opremanje naoružanjem i opremom, nastavljeni su projekti opremanja Oružanih snaga dalekometnim topničkim sustavom, obalnim ophodnim brodovima, oklopnih vozila s naoružanjem i opremom, osiguranja infrastrukture te uređenja podatkovnog središta i opremanja računalnom opremom, uspostavljanja i opremanja nacionalnog razmjestivog komunikacijskog modula za uvezivanje s NATO komunikacijskim i informatičkim sustavima za pružanje podrške u NATO operacijama i vježbama te daljnju integraciju sustava protuzračne obrane Republike Hrvatske u NATO sustav. Izvršenje je veće od plana za 2016. godinu jer su u izvršenju obuhvaćeni rashodi iz ostvarenih prihoda Ministarstva obrane po ostalim izvorima financiranja, a koji se sukladno Zakonu o proračunu mogu izvršavati iznad planiranog iznosa, a do visine ostvarenih prihoda.</w:t>
      </w:r>
    </w:p>
    <w:tbl>
      <w:tblPr>
        <w:tblStyle w:val="StilTablice"/>
        <w:tblW w:w="10206" w:type="dxa"/>
        <w:jc w:val="center"/>
        <w:tblLook w:val="04A0" w:firstRow="1" w:lastRow="0" w:firstColumn="1" w:lastColumn="0" w:noHBand="0" w:noVBand="1"/>
      </w:tblPr>
      <w:tblGrid>
        <w:gridCol w:w="1971"/>
        <w:gridCol w:w="1946"/>
        <w:gridCol w:w="1946"/>
        <w:gridCol w:w="1946"/>
        <w:gridCol w:w="1192"/>
        <w:gridCol w:w="1205"/>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03005-Ministarstvo obrane</w:t>
            </w:r>
          </w:p>
        </w:tc>
        <w:tc>
          <w:tcPr>
            <w:tcW w:w="2041" w:type="dxa"/>
            <w:vAlign w:val="top"/>
          </w:tcPr>
          <w:p w:rsidR="005C2091" w:rsidRDefault="00A86293">
            <w:pPr>
              <w:pStyle w:val="CellColumn"/>
              <w:jc w:val="right"/>
            </w:pPr>
            <w:r>
              <w:rPr>
                <w:rFonts w:cs="Times New Roman"/>
              </w:rPr>
              <w:t>4.236.748.710</w:t>
            </w:r>
          </w:p>
        </w:tc>
        <w:tc>
          <w:tcPr>
            <w:tcW w:w="2041" w:type="dxa"/>
            <w:vAlign w:val="top"/>
          </w:tcPr>
          <w:p w:rsidR="005C2091" w:rsidRDefault="00A86293">
            <w:pPr>
              <w:pStyle w:val="CellColumn"/>
              <w:jc w:val="right"/>
            </w:pPr>
            <w:r>
              <w:rPr>
                <w:rFonts w:cs="Times New Roman"/>
              </w:rPr>
              <w:t>3.982.609.178</w:t>
            </w:r>
          </w:p>
        </w:tc>
        <w:tc>
          <w:tcPr>
            <w:tcW w:w="2041" w:type="dxa"/>
            <w:vAlign w:val="top"/>
          </w:tcPr>
          <w:p w:rsidR="005C2091" w:rsidRDefault="00A86293">
            <w:pPr>
              <w:pStyle w:val="CellColumn"/>
              <w:jc w:val="right"/>
            </w:pPr>
            <w:r>
              <w:rPr>
                <w:rFonts w:cs="Times New Roman"/>
              </w:rPr>
              <w:t>4.073.429.914</w:t>
            </w:r>
          </w:p>
        </w:tc>
        <w:tc>
          <w:tcPr>
            <w:tcW w:w="1224" w:type="dxa"/>
            <w:vAlign w:val="top"/>
          </w:tcPr>
          <w:p w:rsidR="005C2091" w:rsidRDefault="00A86293">
            <w:pPr>
              <w:pStyle w:val="CellColumn"/>
              <w:jc w:val="right"/>
            </w:pPr>
            <w:r>
              <w:rPr>
                <w:rFonts w:cs="Times New Roman"/>
              </w:rPr>
              <w:t>102,3</w:t>
            </w:r>
          </w:p>
        </w:tc>
        <w:tc>
          <w:tcPr>
            <w:tcW w:w="1224" w:type="dxa"/>
            <w:vAlign w:val="top"/>
          </w:tcPr>
          <w:p w:rsidR="005C2091" w:rsidRDefault="00A86293">
            <w:pPr>
              <w:pStyle w:val="CellColumn"/>
              <w:jc w:val="right"/>
            </w:pPr>
            <w:r>
              <w:rPr>
                <w:rFonts w:cs="Times New Roman"/>
              </w:rPr>
              <w:t>96,1</w:t>
            </w:r>
          </w:p>
        </w:tc>
      </w:tr>
      <w:tr w:rsidR="005C2091">
        <w:trPr>
          <w:jc w:val="center"/>
        </w:trPr>
        <w:tc>
          <w:tcPr>
            <w:tcW w:w="1632" w:type="dxa"/>
          </w:tcPr>
          <w:p w:rsidR="005C2091" w:rsidRDefault="00A86293">
            <w:pPr>
              <w:jc w:val="left"/>
            </w:pPr>
            <w:r>
              <w:t>2504-OPREMANJE, MODERNIZACIJA I IZGRADNJA</w:t>
            </w:r>
          </w:p>
        </w:tc>
        <w:tc>
          <w:tcPr>
            <w:tcW w:w="2041" w:type="dxa"/>
          </w:tcPr>
          <w:p w:rsidR="005C2091" w:rsidRDefault="00A86293">
            <w:pPr>
              <w:jc w:val="right"/>
            </w:pPr>
            <w:r>
              <w:t>910.677.156</w:t>
            </w:r>
          </w:p>
        </w:tc>
        <w:tc>
          <w:tcPr>
            <w:tcW w:w="2041" w:type="dxa"/>
          </w:tcPr>
          <w:p w:rsidR="005C2091" w:rsidRDefault="00A86293">
            <w:pPr>
              <w:jc w:val="right"/>
            </w:pPr>
            <w:r>
              <w:t>769.313.160</w:t>
            </w:r>
          </w:p>
        </w:tc>
        <w:tc>
          <w:tcPr>
            <w:tcW w:w="2041" w:type="dxa"/>
          </w:tcPr>
          <w:p w:rsidR="005C2091" w:rsidRDefault="00A86293">
            <w:pPr>
              <w:jc w:val="right"/>
            </w:pPr>
            <w:r>
              <w:t>880.059.742</w:t>
            </w:r>
          </w:p>
        </w:tc>
        <w:tc>
          <w:tcPr>
            <w:tcW w:w="1224" w:type="dxa"/>
          </w:tcPr>
          <w:p w:rsidR="005C2091" w:rsidRDefault="00A86293">
            <w:pPr>
              <w:jc w:val="right"/>
            </w:pPr>
            <w:r>
              <w:t>114,4</w:t>
            </w:r>
          </w:p>
        </w:tc>
        <w:tc>
          <w:tcPr>
            <w:tcW w:w="1224" w:type="dxa"/>
          </w:tcPr>
          <w:p w:rsidR="005C2091" w:rsidRDefault="00A86293">
            <w:pPr>
              <w:jc w:val="right"/>
            </w:pPr>
            <w:r>
              <w:t>96,6</w:t>
            </w:r>
          </w:p>
        </w:tc>
      </w:tr>
      <w:tr w:rsidR="005C2091">
        <w:trPr>
          <w:jc w:val="center"/>
        </w:trPr>
        <w:tc>
          <w:tcPr>
            <w:tcW w:w="1632" w:type="dxa"/>
          </w:tcPr>
          <w:p w:rsidR="005C2091" w:rsidRDefault="00A86293">
            <w:pPr>
              <w:jc w:val="left"/>
            </w:pPr>
            <w:r>
              <w:lastRenderedPageBreak/>
              <w:t>2505-UPRAVLJANJE I POTPORA OSOBLJU</w:t>
            </w:r>
          </w:p>
        </w:tc>
        <w:tc>
          <w:tcPr>
            <w:tcW w:w="2041" w:type="dxa"/>
          </w:tcPr>
          <w:p w:rsidR="005C2091" w:rsidRDefault="00A86293">
            <w:pPr>
              <w:jc w:val="right"/>
            </w:pPr>
            <w:r>
              <w:t>2.487.086.279</w:t>
            </w:r>
          </w:p>
        </w:tc>
        <w:tc>
          <w:tcPr>
            <w:tcW w:w="2041" w:type="dxa"/>
          </w:tcPr>
          <w:p w:rsidR="005C2091" w:rsidRDefault="00A86293">
            <w:pPr>
              <w:jc w:val="right"/>
            </w:pPr>
            <w:r>
              <w:t>2.463.412.718</w:t>
            </w:r>
          </w:p>
        </w:tc>
        <w:tc>
          <w:tcPr>
            <w:tcW w:w="2041" w:type="dxa"/>
          </w:tcPr>
          <w:p w:rsidR="005C2091" w:rsidRDefault="00A86293">
            <w:pPr>
              <w:jc w:val="right"/>
            </w:pPr>
            <w:r>
              <w:t>2.462.438.060</w:t>
            </w:r>
          </w:p>
        </w:tc>
        <w:tc>
          <w:tcPr>
            <w:tcW w:w="1224" w:type="dxa"/>
          </w:tcPr>
          <w:p w:rsidR="005C2091" w:rsidRDefault="00A86293">
            <w:pPr>
              <w:jc w:val="right"/>
            </w:pPr>
            <w:r>
              <w:t>100,0</w:t>
            </w:r>
          </w:p>
        </w:tc>
        <w:tc>
          <w:tcPr>
            <w:tcW w:w="1224" w:type="dxa"/>
          </w:tcPr>
          <w:p w:rsidR="005C2091" w:rsidRDefault="00A86293">
            <w:pPr>
              <w:jc w:val="right"/>
            </w:pPr>
            <w:r>
              <w:t>99,0</w:t>
            </w:r>
          </w:p>
        </w:tc>
      </w:tr>
      <w:tr w:rsidR="005C2091">
        <w:trPr>
          <w:jc w:val="center"/>
        </w:trPr>
        <w:tc>
          <w:tcPr>
            <w:tcW w:w="1632" w:type="dxa"/>
          </w:tcPr>
          <w:p w:rsidR="005C2091" w:rsidRDefault="00A86293">
            <w:pPr>
              <w:jc w:val="left"/>
            </w:pPr>
            <w:r>
              <w:t>2506-KOMUNIKACIJSKO-INFORMACIJSKI SUSTAVI I POTPORA</w:t>
            </w:r>
          </w:p>
        </w:tc>
        <w:tc>
          <w:tcPr>
            <w:tcW w:w="2041" w:type="dxa"/>
          </w:tcPr>
          <w:p w:rsidR="005C2091" w:rsidRDefault="00A86293">
            <w:pPr>
              <w:jc w:val="right"/>
            </w:pPr>
            <w:r>
              <w:t>248.827.991</w:t>
            </w:r>
          </w:p>
        </w:tc>
        <w:tc>
          <w:tcPr>
            <w:tcW w:w="2041" w:type="dxa"/>
          </w:tcPr>
          <w:p w:rsidR="005C2091" w:rsidRDefault="00A86293">
            <w:pPr>
              <w:jc w:val="right"/>
            </w:pPr>
            <w:r>
              <w:t>186.970.135</w:t>
            </w:r>
          </w:p>
        </w:tc>
        <w:tc>
          <w:tcPr>
            <w:tcW w:w="2041" w:type="dxa"/>
          </w:tcPr>
          <w:p w:rsidR="005C2091" w:rsidRDefault="00A86293">
            <w:pPr>
              <w:jc w:val="right"/>
            </w:pPr>
            <w:r>
              <w:t>182.392.674</w:t>
            </w:r>
          </w:p>
        </w:tc>
        <w:tc>
          <w:tcPr>
            <w:tcW w:w="1224" w:type="dxa"/>
          </w:tcPr>
          <w:p w:rsidR="005C2091" w:rsidRDefault="00A86293">
            <w:pPr>
              <w:jc w:val="right"/>
            </w:pPr>
            <w:r>
              <w:t>97,6</w:t>
            </w:r>
          </w:p>
        </w:tc>
        <w:tc>
          <w:tcPr>
            <w:tcW w:w="1224" w:type="dxa"/>
          </w:tcPr>
          <w:p w:rsidR="005C2091" w:rsidRDefault="00A86293">
            <w:pPr>
              <w:jc w:val="right"/>
            </w:pPr>
            <w:r>
              <w:t>73,3</w:t>
            </w:r>
          </w:p>
        </w:tc>
      </w:tr>
      <w:tr w:rsidR="005C2091">
        <w:trPr>
          <w:jc w:val="center"/>
        </w:trPr>
        <w:tc>
          <w:tcPr>
            <w:tcW w:w="1632" w:type="dxa"/>
          </w:tcPr>
          <w:p w:rsidR="005C2091" w:rsidRDefault="00A86293">
            <w:pPr>
              <w:jc w:val="left"/>
            </w:pPr>
            <w:r>
              <w:t>2507-OBUKA I LOGISTIČKA POTPORA ORUŽANIH SNAGA</w:t>
            </w:r>
          </w:p>
        </w:tc>
        <w:tc>
          <w:tcPr>
            <w:tcW w:w="2041" w:type="dxa"/>
          </w:tcPr>
          <w:p w:rsidR="005C2091" w:rsidRDefault="00A86293">
            <w:pPr>
              <w:jc w:val="right"/>
            </w:pPr>
            <w:r>
              <w:t>320.029.560</w:t>
            </w:r>
          </w:p>
        </w:tc>
        <w:tc>
          <w:tcPr>
            <w:tcW w:w="2041" w:type="dxa"/>
          </w:tcPr>
          <w:p w:rsidR="005C2091" w:rsidRDefault="00A86293">
            <w:pPr>
              <w:jc w:val="right"/>
            </w:pPr>
            <w:r>
              <w:t>315.649.280</w:t>
            </w:r>
          </w:p>
        </w:tc>
        <w:tc>
          <w:tcPr>
            <w:tcW w:w="2041" w:type="dxa"/>
          </w:tcPr>
          <w:p w:rsidR="005C2091" w:rsidRDefault="00A86293">
            <w:pPr>
              <w:jc w:val="right"/>
            </w:pPr>
            <w:r>
              <w:t>302.848.024</w:t>
            </w:r>
          </w:p>
        </w:tc>
        <w:tc>
          <w:tcPr>
            <w:tcW w:w="1224" w:type="dxa"/>
          </w:tcPr>
          <w:p w:rsidR="005C2091" w:rsidRDefault="00A86293">
            <w:pPr>
              <w:jc w:val="right"/>
            </w:pPr>
            <w:r>
              <w:t>95,9</w:t>
            </w:r>
          </w:p>
        </w:tc>
        <w:tc>
          <w:tcPr>
            <w:tcW w:w="1224" w:type="dxa"/>
          </w:tcPr>
          <w:p w:rsidR="005C2091" w:rsidRDefault="00A86293">
            <w:pPr>
              <w:jc w:val="right"/>
            </w:pPr>
            <w:r>
              <w:t>94,6</w:t>
            </w:r>
          </w:p>
        </w:tc>
      </w:tr>
      <w:tr w:rsidR="005C2091">
        <w:trPr>
          <w:jc w:val="center"/>
        </w:trPr>
        <w:tc>
          <w:tcPr>
            <w:tcW w:w="1632" w:type="dxa"/>
          </w:tcPr>
          <w:p w:rsidR="005C2091" w:rsidRDefault="00A86293">
            <w:pPr>
              <w:jc w:val="left"/>
            </w:pPr>
            <w:r>
              <w:t>2508-MEĐUNARODNA SURADNJA</w:t>
            </w:r>
          </w:p>
        </w:tc>
        <w:tc>
          <w:tcPr>
            <w:tcW w:w="2041" w:type="dxa"/>
          </w:tcPr>
          <w:p w:rsidR="005C2091" w:rsidRDefault="00A86293">
            <w:pPr>
              <w:jc w:val="right"/>
            </w:pPr>
            <w:r>
              <w:t>66.115.882</w:t>
            </w:r>
          </w:p>
        </w:tc>
        <w:tc>
          <w:tcPr>
            <w:tcW w:w="2041" w:type="dxa"/>
          </w:tcPr>
          <w:p w:rsidR="005C2091" w:rsidRDefault="00A86293">
            <w:pPr>
              <w:jc w:val="right"/>
            </w:pPr>
            <w:r>
              <w:t>60.533.000</w:t>
            </w:r>
          </w:p>
        </w:tc>
        <w:tc>
          <w:tcPr>
            <w:tcW w:w="2041" w:type="dxa"/>
          </w:tcPr>
          <w:p w:rsidR="005C2091" w:rsidRDefault="00A86293">
            <w:pPr>
              <w:jc w:val="right"/>
            </w:pPr>
            <w:r>
              <w:t>59.862.455</w:t>
            </w:r>
          </w:p>
        </w:tc>
        <w:tc>
          <w:tcPr>
            <w:tcW w:w="1224" w:type="dxa"/>
          </w:tcPr>
          <w:p w:rsidR="005C2091" w:rsidRDefault="00A86293">
            <w:pPr>
              <w:jc w:val="right"/>
            </w:pPr>
            <w:r>
              <w:t>98,9</w:t>
            </w:r>
          </w:p>
        </w:tc>
        <w:tc>
          <w:tcPr>
            <w:tcW w:w="1224" w:type="dxa"/>
          </w:tcPr>
          <w:p w:rsidR="005C2091" w:rsidRDefault="00A86293">
            <w:pPr>
              <w:jc w:val="right"/>
            </w:pPr>
            <w:r>
              <w:t>90,5</w:t>
            </w:r>
          </w:p>
        </w:tc>
      </w:tr>
      <w:tr w:rsidR="005C2091">
        <w:trPr>
          <w:jc w:val="center"/>
        </w:trPr>
        <w:tc>
          <w:tcPr>
            <w:tcW w:w="1632" w:type="dxa"/>
          </w:tcPr>
          <w:p w:rsidR="005C2091" w:rsidRDefault="00A86293">
            <w:pPr>
              <w:jc w:val="left"/>
            </w:pPr>
            <w:r>
              <w:t>2509-MIROVNE MISIJE</w:t>
            </w:r>
          </w:p>
        </w:tc>
        <w:tc>
          <w:tcPr>
            <w:tcW w:w="2041" w:type="dxa"/>
          </w:tcPr>
          <w:p w:rsidR="005C2091" w:rsidRDefault="00A86293">
            <w:pPr>
              <w:jc w:val="right"/>
            </w:pPr>
            <w:r>
              <w:t>90.527.930</w:t>
            </w:r>
          </w:p>
        </w:tc>
        <w:tc>
          <w:tcPr>
            <w:tcW w:w="2041" w:type="dxa"/>
          </w:tcPr>
          <w:p w:rsidR="005C2091" w:rsidRDefault="00A86293">
            <w:pPr>
              <w:jc w:val="right"/>
            </w:pPr>
            <w:r>
              <w:t>81.886.900</w:t>
            </w:r>
          </w:p>
        </w:tc>
        <w:tc>
          <w:tcPr>
            <w:tcW w:w="2041" w:type="dxa"/>
          </w:tcPr>
          <w:p w:rsidR="005C2091" w:rsidRDefault="00A86293">
            <w:pPr>
              <w:jc w:val="right"/>
            </w:pPr>
            <w:r>
              <w:t>81.439.074</w:t>
            </w:r>
          </w:p>
        </w:tc>
        <w:tc>
          <w:tcPr>
            <w:tcW w:w="1224" w:type="dxa"/>
          </w:tcPr>
          <w:p w:rsidR="005C2091" w:rsidRDefault="00A86293">
            <w:pPr>
              <w:jc w:val="right"/>
            </w:pPr>
            <w:r>
              <w:t>99,5</w:t>
            </w:r>
          </w:p>
        </w:tc>
        <w:tc>
          <w:tcPr>
            <w:tcW w:w="1224" w:type="dxa"/>
          </w:tcPr>
          <w:p w:rsidR="005C2091" w:rsidRDefault="00A86293">
            <w:pPr>
              <w:jc w:val="right"/>
            </w:pPr>
            <w:r>
              <w:t>90,0</w:t>
            </w:r>
          </w:p>
        </w:tc>
      </w:tr>
      <w:tr w:rsidR="005C2091">
        <w:trPr>
          <w:jc w:val="center"/>
        </w:trPr>
        <w:tc>
          <w:tcPr>
            <w:tcW w:w="1632" w:type="dxa"/>
          </w:tcPr>
          <w:p w:rsidR="005C2091" w:rsidRDefault="00A86293">
            <w:pPr>
              <w:jc w:val="left"/>
            </w:pPr>
            <w:r>
              <w:t>2606-KORIŠTENJE ORUŽANIH SNAGA ZA POMOĆ CIVILNIM INSTITUCIJAMA I STANOVNIŠTVU</w:t>
            </w:r>
          </w:p>
        </w:tc>
        <w:tc>
          <w:tcPr>
            <w:tcW w:w="2041" w:type="dxa"/>
          </w:tcPr>
          <w:p w:rsidR="005C2091" w:rsidRDefault="00A86293">
            <w:pPr>
              <w:jc w:val="right"/>
            </w:pPr>
            <w:r>
              <w:t>113.483.911</w:t>
            </w:r>
          </w:p>
        </w:tc>
        <w:tc>
          <w:tcPr>
            <w:tcW w:w="2041" w:type="dxa"/>
          </w:tcPr>
          <w:p w:rsidR="005C2091" w:rsidRDefault="00A86293">
            <w:pPr>
              <w:jc w:val="right"/>
            </w:pPr>
            <w:r>
              <w:t>104.843.985</w:t>
            </w:r>
          </w:p>
        </w:tc>
        <w:tc>
          <w:tcPr>
            <w:tcW w:w="2041" w:type="dxa"/>
          </w:tcPr>
          <w:p w:rsidR="005C2091" w:rsidRDefault="00A86293">
            <w:pPr>
              <w:jc w:val="right"/>
            </w:pPr>
            <w:r>
              <w:t>104.389.885</w:t>
            </w:r>
          </w:p>
        </w:tc>
        <w:tc>
          <w:tcPr>
            <w:tcW w:w="1224" w:type="dxa"/>
          </w:tcPr>
          <w:p w:rsidR="005C2091" w:rsidRDefault="00A86293">
            <w:pPr>
              <w:jc w:val="right"/>
            </w:pPr>
            <w:r>
              <w:t>99,6</w:t>
            </w:r>
          </w:p>
        </w:tc>
        <w:tc>
          <w:tcPr>
            <w:tcW w:w="1224" w:type="dxa"/>
          </w:tcPr>
          <w:p w:rsidR="005C2091" w:rsidRDefault="00A86293">
            <w:pPr>
              <w:jc w:val="right"/>
            </w:pPr>
            <w:r>
              <w:t>92,0</w:t>
            </w:r>
          </w:p>
        </w:tc>
      </w:tr>
    </w:tbl>
    <w:p w:rsidR="005C2091" w:rsidRDefault="005C2091">
      <w:pPr>
        <w:jc w:val="left"/>
      </w:pPr>
    </w:p>
    <w:p w:rsidR="005C2091" w:rsidRDefault="00A86293">
      <w:pPr>
        <w:pStyle w:val="Heading3"/>
      </w:pPr>
      <w:r>
        <w:rPr>
          <w:rFonts w:cs="Times New Roman"/>
        </w:rPr>
        <w:t>2504 OPREMANJE, MODERNIZACIJA I IZGRADNJA</w:t>
      </w:r>
    </w:p>
    <w:tbl>
      <w:tblPr>
        <w:tblStyle w:val="StilTablice"/>
        <w:tblW w:w="10206" w:type="dxa"/>
        <w:jc w:val="center"/>
        <w:tblLook w:val="04A0" w:firstRow="1" w:lastRow="0" w:firstColumn="1" w:lastColumn="0" w:noHBand="0" w:noVBand="1"/>
      </w:tblPr>
      <w:tblGrid>
        <w:gridCol w:w="1738"/>
        <w:gridCol w:w="2011"/>
        <w:gridCol w:w="2011"/>
        <w:gridCol w:w="2011"/>
        <w:gridCol w:w="1216"/>
        <w:gridCol w:w="1219"/>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2504-OPREMANJE, MODERNIZACIJA I IZGRADNJA</w:t>
            </w:r>
          </w:p>
        </w:tc>
        <w:tc>
          <w:tcPr>
            <w:tcW w:w="2041" w:type="dxa"/>
          </w:tcPr>
          <w:p w:rsidR="005C2091" w:rsidRDefault="00A86293">
            <w:pPr>
              <w:pStyle w:val="CellColumn"/>
              <w:jc w:val="right"/>
            </w:pPr>
            <w:r>
              <w:rPr>
                <w:rFonts w:cs="Times New Roman"/>
              </w:rPr>
              <w:t>910.677.156</w:t>
            </w:r>
          </w:p>
        </w:tc>
        <w:tc>
          <w:tcPr>
            <w:tcW w:w="2041" w:type="dxa"/>
          </w:tcPr>
          <w:p w:rsidR="005C2091" w:rsidRDefault="00A86293">
            <w:pPr>
              <w:pStyle w:val="CellColumn"/>
              <w:jc w:val="right"/>
            </w:pPr>
            <w:r>
              <w:rPr>
                <w:rFonts w:cs="Times New Roman"/>
              </w:rPr>
              <w:t>769.313.160</w:t>
            </w:r>
          </w:p>
        </w:tc>
        <w:tc>
          <w:tcPr>
            <w:tcW w:w="2041" w:type="dxa"/>
          </w:tcPr>
          <w:p w:rsidR="005C2091" w:rsidRDefault="00A86293">
            <w:pPr>
              <w:pStyle w:val="CellColumn"/>
              <w:jc w:val="right"/>
            </w:pPr>
            <w:r>
              <w:rPr>
                <w:rFonts w:cs="Times New Roman"/>
              </w:rPr>
              <w:t>880.059.742</w:t>
            </w:r>
          </w:p>
        </w:tc>
        <w:tc>
          <w:tcPr>
            <w:tcW w:w="1224" w:type="dxa"/>
          </w:tcPr>
          <w:p w:rsidR="005C2091" w:rsidRDefault="00A86293">
            <w:pPr>
              <w:pStyle w:val="CellColumn"/>
              <w:jc w:val="right"/>
            </w:pPr>
            <w:r>
              <w:rPr>
                <w:rFonts w:cs="Times New Roman"/>
              </w:rPr>
              <w:t>114,4</w:t>
            </w:r>
          </w:p>
        </w:tc>
        <w:tc>
          <w:tcPr>
            <w:tcW w:w="1224" w:type="dxa"/>
          </w:tcPr>
          <w:p w:rsidR="005C2091" w:rsidRDefault="00A86293">
            <w:pPr>
              <w:pStyle w:val="CellColumn"/>
              <w:jc w:val="right"/>
            </w:pPr>
            <w:r>
              <w:rPr>
                <w:rFonts w:cs="Times New Roman"/>
              </w:rPr>
              <w:t>96,6</w:t>
            </w:r>
          </w:p>
        </w:tc>
      </w:tr>
    </w:tbl>
    <w:p w:rsidR="005C2091" w:rsidRDefault="005C2091">
      <w:pPr>
        <w:jc w:val="left"/>
      </w:pPr>
    </w:p>
    <w:p w:rsidR="005C2091" w:rsidRDefault="00A86293">
      <w:r>
        <w:t>Kako bi Oružane snage mogle ostvarivati svoje zadaće zaštite suvereniteta i teritorijalnog integriteta RH te izvršavati obveze sudjelovanja u potpori programima osiguranja mira i stabilnosti u svijetu, moraju biti opremljene modernom opremom i naoružanjem. Uz opremu, potrebno je adaptirati i održavati postojeće objekte i infrastrukturu kao i izgraditi potrebne vojne komplekse. Za redovno funkcioniranje ustrojstvenih jedinica Ministarstva obrane i Oružanih snaga potrebna je kontinuirana opskrba materijalnim sredstvima i uslugama (odjeća, obuća, energenti, prehrana i dr.) vodeći računa o pravodobnom i učinkovitom upravljanju zalihama kako bi se osigurao kontinuitet u opskrbi.</w:t>
      </w:r>
    </w:p>
    <w:p w:rsidR="005C2091" w:rsidRDefault="00A86293">
      <w:pPr>
        <w:pStyle w:val="Heading8"/>
        <w:jc w:val="left"/>
      </w:pPr>
      <w:r>
        <w:t>Cilj 1. Poboljšati materijalnu komponentu sposobnosti Oružanih snaga RH, izgraditi i modernizirati objekte i infrastrukturu</w:t>
      </w:r>
    </w:p>
    <w:p w:rsidR="005C2091" w:rsidRDefault="00A86293">
      <w:pPr>
        <w:pStyle w:val="Heading8"/>
        <w:jc w:val="left"/>
      </w:pPr>
      <w:r>
        <w:t>Opis provedbe cilja programa</w:t>
      </w:r>
    </w:p>
    <w:p w:rsidR="005C2091" w:rsidRDefault="00A86293">
      <w:r>
        <w:t xml:space="preserve">Za ostvarenje zadanih misija i zadaća Oružane snage moraju biti opremljene modernom opremom i naoružanjem. Uz opremanje, adaptiraju se i održavaju postojeći objekti i infrastruktura kao i izgrađuju potrebni vojni kompleksi. Izgradnjom potrebnih vojno-skladišnih objekata te održavanjem postojećih objekata i infrastrukture postiže se planirani teritorijalni razmještaj snaga u vojnim objektima, povećava se kvaliteta života i rada djelatnika te </w:t>
      </w:r>
      <w:r>
        <w:lastRenderedPageBreak/>
        <w:t>unaprjeđuju prioritetne sposobnosti Oružanih snaga. Navedene sposobnosti ostvaruju se implementacijom ciljeva sposobnosti u skladu s NATO ciljevima sposobnosti (Capability Targets) u dijelu koji se odnosi na Republiku Hrvatsku.</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 xml:space="preserve">Nabavljeno naoružanje i oprema te izgrađeni objekti i infrastruktura odgovaraju iskazanim  </w:t>
            </w:r>
          </w:p>
          <w:p w:rsidR="005C2091" w:rsidRDefault="00A86293">
            <w:pPr>
              <w:pStyle w:val="CellColumn"/>
              <w:jc w:val="left"/>
            </w:pPr>
            <w:r>
              <w:rPr>
                <w:rFonts w:cs="Times New Roman"/>
              </w:rPr>
              <w:t>potrebama Oružanih snaga</w:t>
            </w:r>
          </w:p>
        </w:tc>
        <w:tc>
          <w:tcPr>
            <w:tcW w:w="2551" w:type="dxa"/>
          </w:tcPr>
          <w:p w:rsidR="005C2091" w:rsidRDefault="00A86293">
            <w:pPr>
              <w:pStyle w:val="CellColumn"/>
              <w:jc w:val="left"/>
            </w:pPr>
            <w:r>
              <w:rPr>
                <w:rFonts w:cs="Times New Roman"/>
              </w:rPr>
              <w:t xml:space="preserve">Povećanjem postotka realizacije opremanja i izgradnje postići optimum između  </w:t>
            </w:r>
          </w:p>
          <w:p w:rsidR="005C2091" w:rsidRDefault="00A86293">
            <w:pPr>
              <w:pStyle w:val="CellColumn"/>
              <w:jc w:val="left"/>
            </w:pPr>
            <w:r>
              <w:rPr>
                <w:rFonts w:cs="Times New Roman"/>
              </w:rPr>
              <w:t>iskazanih potreba Oružanih snaga i raspoloživih financijskih sredstava</w:t>
            </w:r>
          </w:p>
        </w:tc>
        <w:tc>
          <w:tcPr>
            <w:tcW w:w="1020" w:type="dxa"/>
          </w:tcPr>
          <w:p w:rsidR="005C2091" w:rsidRDefault="00A86293">
            <w:pPr>
              <w:pStyle w:val="CellColumn"/>
              <w:jc w:val="right"/>
            </w:pPr>
            <w:r>
              <w:rPr>
                <w:rFonts w:cs="Times New Roman"/>
              </w:rPr>
              <w:t>% realizacije</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bl>
    <w:p w:rsidR="005C2091" w:rsidRDefault="005C2091">
      <w:pPr>
        <w:jc w:val="left"/>
      </w:pPr>
    </w:p>
    <w:p w:rsidR="005C2091" w:rsidRDefault="00A86293">
      <w:pPr>
        <w:pStyle w:val="Heading4"/>
      </w:pPr>
      <w:r>
        <w:t>A545042 OPREMANJE MATERIJALNO TEHNIČKIM SREDSTVIMA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A545042-OPREMANJE MATERIJALNO TEHNIČKIM SREDSTVIMA</w:t>
            </w:r>
          </w:p>
        </w:tc>
        <w:tc>
          <w:tcPr>
            <w:tcW w:w="2041" w:type="dxa"/>
          </w:tcPr>
          <w:p w:rsidR="005C2091" w:rsidRDefault="00A86293">
            <w:pPr>
              <w:pStyle w:val="CellColumn"/>
              <w:jc w:val="right"/>
            </w:pPr>
            <w:r>
              <w:rPr>
                <w:rFonts w:cs="Times New Roman"/>
              </w:rPr>
              <w:t>225.015.837</w:t>
            </w:r>
          </w:p>
        </w:tc>
        <w:tc>
          <w:tcPr>
            <w:tcW w:w="2041" w:type="dxa"/>
          </w:tcPr>
          <w:p w:rsidR="005C2091" w:rsidRDefault="00A86293">
            <w:pPr>
              <w:pStyle w:val="CellColumn"/>
              <w:jc w:val="right"/>
            </w:pPr>
            <w:r>
              <w:rPr>
                <w:rFonts w:cs="Times New Roman"/>
              </w:rPr>
              <w:t>236.716.380</w:t>
            </w:r>
          </w:p>
        </w:tc>
        <w:tc>
          <w:tcPr>
            <w:tcW w:w="2041" w:type="dxa"/>
          </w:tcPr>
          <w:p w:rsidR="005C2091" w:rsidRDefault="00A86293">
            <w:pPr>
              <w:pStyle w:val="CellColumn"/>
              <w:jc w:val="right"/>
            </w:pPr>
            <w:r>
              <w:rPr>
                <w:rFonts w:cs="Times New Roman"/>
              </w:rPr>
              <w:t>366.718.017</w:t>
            </w:r>
          </w:p>
        </w:tc>
        <w:tc>
          <w:tcPr>
            <w:tcW w:w="1224" w:type="dxa"/>
          </w:tcPr>
          <w:p w:rsidR="005C2091" w:rsidRDefault="00A86293">
            <w:pPr>
              <w:pStyle w:val="CellColumn"/>
              <w:jc w:val="right"/>
            </w:pPr>
            <w:r>
              <w:rPr>
                <w:rFonts w:cs="Times New Roman"/>
              </w:rPr>
              <w:t>154,9</w:t>
            </w:r>
          </w:p>
        </w:tc>
        <w:tc>
          <w:tcPr>
            <w:tcW w:w="1224" w:type="dxa"/>
          </w:tcPr>
          <w:p w:rsidR="005C2091" w:rsidRDefault="00A86293">
            <w:pPr>
              <w:pStyle w:val="CellColumn"/>
              <w:jc w:val="right"/>
            </w:pPr>
            <w:r>
              <w:rPr>
                <w:rFonts w:cs="Times New Roman"/>
              </w:rPr>
              <w:t>163,0</w:t>
            </w:r>
          </w:p>
        </w:tc>
      </w:tr>
    </w:tbl>
    <w:p w:rsidR="005C2091" w:rsidRDefault="005C2091">
      <w:pPr>
        <w:jc w:val="left"/>
      </w:pPr>
    </w:p>
    <w:p w:rsidR="005C2091" w:rsidRDefault="00A86293">
      <w:pPr>
        <w:pStyle w:val="Heading8"/>
        <w:jc w:val="left"/>
      </w:pPr>
      <w:r>
        <w:t>Zakonske i druge pravne osnove</w:t>
      </w:r>
    </w:p>
    <w:p w:rsidR="005C2091" w:rsidRDefault="00A86293">
      <w:r>
        <w:t>Zakon o obrani, Pravilnik o načinu materijalnog zbrinjavanja OS RH (glava 4), Dugoročni plan razvoja OS RH za razdoblje 2015.-2024., Odluka Vlade o davanju suglasnosti Ministarstvu obrane za preuzimanje obveza na teret sredstava državnog proračuna Republike Hrvatske u razdoblju od 2013. do 2019. godine za nabavu neophodnog broja vozila za potrebe Oružanih snaga RH putem operativnog leasinga KLASA:817-01/12-01/04; URBROJ:50301-09/06-12-2 od 06.12.2012., Odluka Vlade o davanju suglasnosti Ministarstvu obrane za preuzimanje obveza na teret sredstava državnog proračuna Republike Hrvatske u razdoblju od 2014. do 2017. godine za nabavu 116 vozila putem operativnog leasinga KLASA: 022-03/13-04/150, URBROJ: 50301-09/06-13-2 od 09.05.2013.</w:t>
      </w:r>
    </w:p>
    <w:p w:rsidR="005C2091" w:rsidRDefault="00A86293">
      <w:pPr>
        <w:pStyle w:val="Heading8"/>
        <w:jc w:val="left"/>
      </w:pPr>
      <w:r>
        <w:t>Opis aktivnosti</w:t>
      </w:r>
    </w:p>
    <w:p w:rsidR="005C2091" w:rsidRDefault="00A86293">
      <w:r>
        <w:t>Potreba za opremanjem materijalno tehničkim sredstvima proizlazi iz postojećih i budućih misija i zadaća OS RH i preuzetih obveza u međunarodnoj obrambenoj suradnji. Opremanje materijalno tehničkim sredstvima obuhvatilo je opremanje helikopterima Kiowa Warrior s opremom i pripadajućim trenažerima za obuku, pješačko naoružanje,  borbeno zaštitnu opremu i osobnu opremu vojnika, opremu za taborovanje, inženjerijske strojeve i opremu, sustav za obuku i nadzor gađanja tenka, opremu za NBK zaštitu, navigacijsku opremu, roniteljsku opremu, čamce, osobnu opremu pilota, medicinsku i sportsku opremu, nebojna vozila (sanitetska vozila, višenamjenske platforme za prijevoz tereta), opremu za održavanje i specijalne alate, kao i najam vozila. Izvršenje aktivnosti veće je od plana za 2016. godinu jer je u izvršenju obuhvaćena vrijednost ostvarenih prihoda od primljene pomoći koja se odnosi na helikoptere Kiowa Warrior, a koja se sukladno Zakonu o proračunu može izvršavati iznad planiranog iznosa, a do visine ostvarenih prihoda.</w:t>
      </w:r>
    </w:p>
    <w:p w:rsidR="008846BB" w:rsidRDefault="008846BB"/>
    <w:p w:rsidR="008846BB" w:rsidRDefault="008846BB"/>
    <w:p w:rsidR="008846BB" w:rsidRDefault="008846BB"/>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motornih vozila predanih na uporabu u OS RH</w:t>
            </w:r>
          </w:p>
        </w:tc>
        <w:tc>
          <w:tcPr>
            <w:tcW w:w="2551" w:type="dxa"/>
          </w:tcPr>
          <w:p w:rsidR="005C2091" w:rsidRDefault="00A86293">
            <w:pPr>
              <w:pStyle w:val="CellColumn"/>
              <w:jc w:val="left"/>
            </w:pPr>
            <w:r>
              <w:rPr>
                <w:rFonts w:cs="Times New Roman"/>
              </w:rPr>
              <w:t xml:space="preserve">Opremanjem OS RH poboljšat će se borbena spremnost </w:t>
            </w:r>
          </w:p>
          <w:p w:rsidR="005C2091" w:rsidRDefault="00A86293">
            <w:pPr>
              <w:pStyle w:val="CellColumn"/>
              <w:jc w:val="left"/>
            </w:pPr>
            <w:r>
              <w:rPr>
                <w:rFonts w:cs="Times New Roman"/>
              </w:rPr>
              <w:t>(kumulativ)</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259</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279</w:t>
            </w:r>
          </w:p>
        </w:tc>
        <w:tc>
          <w:tcPr>
            <w:tcW w:w="1020" w:type="dxa"/>
          </w:tcPr>
          <w:p w:rsidR="005C2091" w:rsidRDefault="00A86293">
            <w:pPr>
              <w:pStyle w:val="CellColumn"/>
              <w:jc w:val="right"/>
            </w:pPr>
            <w:r>
              <w:rPr>
                <w:rFonts w:cs="Times New Roman"/>
              </w:rPr>
              <w:t>304</w:t>
            </w:r>
          </w:p>
        </w:tc>
      </w:tr>
      <w:tr w:rsidR="005C2091">
        <w:trPr>
          <w:jc w:val="center"/>
        </w:trPr>
        <w:tc>
          <w:tcPr>
            <w:tcW w:w="2551" w:type="dxa"/>
          </w:tcPr>
          <w:p w:rsidR="005C2091" w:rsidRDefault="00A86293">
            <w:pPr>
              <w:pStyle w:val="CellColumn"/>
              <w:jc w:val="left"/>
            </w:pPr>
            <w:r>
              <w:rPr>
                <w:rFonts w:cs="Times New Roman"/>
              </w:rPr>
              <w:t>Broj nabavljenih helikoptera KIOWA</w:t>
            </w:r>
          </w:p>
        </w:tc>
        <w:tc>
          <w:tcPr>
            <w:tcW w:w="2551" w:type="dxa"/>
          </w:tcPr>
          <w:p w:rsidR="005C2091" w:rsidRDefault="00A86293">
            <w:pPr>
              <w:pStyle w:val="CellColumn"/>
              <w:jc w:val="left"/>
            </w:pPr>
            <w:r>
              <w:rPr>
                <w:rFonts w:cs="Times New Roman"/>
              </w:rPr>
              <w:t>Opremanjem OS RH poboljšat će se borbena spremnost i povećati standardi interoperabilnosti s NATO-om</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16</w:t>
            </w:r>
          </w:p>
        </w:tc>
        <w:tc>
          <w:tcPr>
            <w:tcW w:w="1020" w:type="dxa"/>
          </w:tcPr>
          <w:p w:rsidR="005C2091" w:rsidRDefault="00A86293">
            <w:pPr>
              <w:pStyle w:val="CellColumn"/>
              <w:jc w:val="right"/>
            </w:pPr>
            <w:r>
              <w:rPr>
                <w:rFonts w:cs="Times New Roman"/>
              </w:rPr>
              <w:t>16</w:t>
            </w:r>
          </w:p>
        </w:tc>
      </w:tr>
    </w:tbl>
    <w:p w:rsidR="005C2091" w:rsidRDefault="005C2091">
      <w:pPr>
        <w:jc w:val="left"/>
      </w:pPr>
    </w:p>
    <w:p w:rsidR="005C2091" w:rsidRDefault="00A86293">
      <w:pPr>
        <w:pStyle w:val="Heading4"/>
      </w:pPr>
      <w:r>
        <w:t>A545049 OPSKRBA MATERIJALNIM SREDSTVIMA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A545049-OPSKRBA MATERIJALNIM SREDSTVIMA</w:t>
            </w:r>
          </w:p>
        </w:tc>
        <w:tc>
          <w:tcPr>
            <w:tcW w:w="2041" w:type="dxa"/>
          </w:tcPr>
          <w:p w:rsidR="005C2091" w:rsidRDefault="00A86293">
            <w:pPr>
              <w:pStyle w:val="CellColumn"/>
              <w:jc w:val="right"/>
            </w:pPr>
            <w:r>
              <w:rPr>
                <w:rFonts w:cs="Times New Roman"/>
              </w:rPr>
              <w:t>350.556.961</w:t>
            </w:r>
          </w:p>
        </w:tc>
        <w:tc>
          <w:tcPr>
            <w:tcW w:w="2041" w:type="dxa"/>
          </w:tcPr>
          <w:p w:rsidR="005C2091" w:rsidRDefault="00A86293">
            <w:pPr>
              <w:pStyle w:val="CellColumn"/>
              <w:jc w:val="right"/>
            </w:pPr>
            <w:r>
              <w:rPr>
                <w:rFonts w:cs="Times New Roman"/>
              </w:rPr>
              <w:t>360.347.000</w:t>
            </w:r>
          </w:p>
        </w:tc>
        <w:tc>
          <w:tcPr>
            <w:tcW w:w="2041" w:type="dxa"/>
          </w:tcPr>
          <w:p w:rsidR="005C2091" w:rsidRDefault="00A86293">
            <w:pPr>
              <w:pStyle w:val="CellColumn"/>
              <w:jc w:val="right"/>
            </w:pPr>
            <w:r>
              <w:rPr>
                <w:rFonts w:cs="Times New Roman"/>
              </w:rPr>
              <w:t>344.921.466</w:t>
            </w:r>
          </w:p>
        </w:tc>
        <w:tc>
          <w:tcPr>
            <w:tcW w:w="1224" w:type="dxa"/>
          </w:tcPr>
          <w:p w:rsidR="005C2091" w:rsidRDefault="00A86293">
            <w:pPr>
              <w:pStyle w:val="CellColumn"/>
              <w:jc w:val="right"/>
            </w:pPr>
            <w:r>
              <w:rPr>
                <w:rFonts w:cs="Times New Roman"/>
              </w:rPr>
              <w:t>95,7</w:t>
            </w:r>
          </w:p>
        </w:tc>
        <w:tc>
          <w:tcPr>
            <w:tcW w:w="1224" w:type="dxa"/>
          </w:tcPr>
          <w:p w:rsidR="005C2091" w:rsidRDefault="00A86293">
            <w:pPr>
              <w:pStyle w:val="CellColumn"/>
              <w:jc w:val="right"/>
            </w:pPr>
            <w:r>
              <w:rPr>
                <w:rFonts w:cs="Times New Roman"/>
              </w:rPr>
              <w:t>98,4</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službi u OS RH (glava VI), Dugoročni plan razvoja OS RH za razdoblje 2015.-2024., Pravilnik o načinu materijalnog zbrinjavanja OS RH (glava 6), Pravilnik o vojnim odorama, Pravilnik o prehrani pripadnika OS RH.</w:t>
      </w:r>
    </w:p>
    <w:p w:rsidR="005C2091" w:rsidRDefault="00A86293">
      <w:pPr>
        <w:pStyle w:val="Heading8"/>
        <w:jc w:val="left"/>
      </w:pPr>
      <w:r>
        <w:t>Opis aktivnosti</w:t>
      </w:r>
    </w:p>
    <w:p w:rsidR="005C2091" w:rsidRDefault="00A86293">
      <w:r>
        <w:t>Kako bi se omogućio redoviti život i rad ustrojstvenih cjelina MORH-a i Oružanih snaga osigurana je kontinuirana opskrba sredstvima potrebnima za funkcioniranje i redovan život i rad, što uključuje prehranu, energente (pogonsko gorivo, električna energija, loživo ulje, drva), naknade za komunalne usluge, uredski materijal, materijal i sredstva za čišćenje te materijal za higijenske potrebe. Osigurani su kompleti odjeće i obuće za pripadnike OS RH, kao i pravodobno, plansko i učinkovito upravljanje zalihama i kontinuitet u opskrbi. Nabavljeno je streljivo i minsko eksplozivna sredstva.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nabavljenih kompleta prikrivnih odora</w:t>
            </w:r>
          </w:p>
        </w:tc>
        <w:tc>
          <w:tcPr>
            <w:tcW w:w="2551" w:type="dxa"/>
          </w:tcPr>
          <w:p w:rsidR="005C2091" w:rsidRDefault="00A86293">
            <w:pPr>
              <w:pStyle w:val="CellColumn"/>
              <w:jc w:val="left"/>
            </w:pPr>
            <w:r>
              <w:rPr>
                <w:rFonts w:cs="Times New Roman"/>
              </w:rPr>
              <w:t>Opremanjem prikrivnim odorama doprinosi se postizanju zahtijevane razine borbene opremljenosti (kumulativ)</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8565</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15065</w:t>
            </w:r>
          </w:p>
        </w:tc>
        <w:tc>
          <w:tcPr>
            <w:tcW w:w="1020" w:type="dxa"/>
          </w:tcPr>
          <w:p w:rsidR="005C2091" w:rsidRDefault="00A86293">
            <w:pPr>
              <w:pStyle w:val="CellColumn"/>
              <w:jc w:val="right"/>
            </w:pPr>
            <w:r>
              <w:rPr>
                <w:rFonts w:cs="Times New Roman"/>
              </w:rPr>
              <w:t>15025</w:t>
            </w:r>
          </w:p>
        </w:tc>
      </w:tr>
      <w:tr w:rsidR="005C2091">
        <w:trPr>
          <w:jc w:val="center"/>
        </w:trPr>
        <w:tc>
          <w:tcPr>
            <w:tcW w:w="2551" w:type="dxa"/>
          </w:tcPr>
          <w:p w:rsidR="005C2091" w:rsidRDefault="00A86293">
            <w:pPr>
              <w:pStyle w:val="CellColumn"/>
              <w:jc w:val="left"/>
            </w:pPr>
            <w:r>
              <w:rPr>
                <w:rFonts w:cs="Times New Roman"/>
              </w:rPr>
              <w:lastRenderedPageBreak/>
              <w:t>Broj nabavljenih kompleta službenih odora</w:t>
            </w:r>
          </w:p>
        </w:tc>
        <w:tc>
          <w:tcPr>
            <w:tcW w:w="2551" w:type="dxa"/>
          </w:tcPr>
          <w:p w:rsidR="005C2091" w:rsidRDefault="00A86293">
            <w:pPr>
              <w:pStyle w:val="CellColumn"/>
              <w:jc w:val="left"/>
            </w:pPr>
            <w:r>
              <w:rPr>
                <w:rFonts w:cs="Times New Roman"/>
              </w:rPr>
              <w:t>Opremanjem pripadnika OS RH i MORH-a službenim odorama doprinosi se postizanju propisanog standarda opremljenosti (kumulativ)</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2972</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3344</w:t>
            </w:r>
          </w:p>
        </w:tc>
        <w:tc>
          <w:tcPr>
            <w:tcW w:w="1020" w:type="dxa"/>
          </w:tcPr>
          <w:p w:rsidR="005C2091" w:rsidRDefault="00A86293">
            <w:pPr>
              <w:pStyle w:val="CellColumn"/>
              <w:jc w:val="right"/>
            </w:pPr>
            <w:r>
              <w:rPr>
                <w:rFonts w:cs="Times New Roman"/>
              </w:rPr>
              <w:t>6572</w:t>
            </w:r>
          </w:p>
        </w:tc>
      </w:tr>
      <w:tr w:rsidR="005C2091">
        <w:trPr>
          <w:jc w:val="center"/>
        </w:trPr>
        <w:tc>
          <w:tcPr>
            <w:tcW w:w="2551" w:type="dxa"/>
          </w:tcPr>
          <w:p w:rsidR="005C2091" w:rsidRDefault="00A86293">
            <w:pPr>
              <w:pStyle w:val="CellColumn"/>
              <w:jc w:val="left"/>
            </w:pPr>
            <w:r>
              <w:rPr>
                <w:rFonts w:cs="Times New Roman"/>
              </w:rPr>
              <w:t>Broj nabavljenih kompleta svečanih odora</w:t>
            </w:r>
          </w:p>
        </w:tc>
        <w:tc>
          <w:tcPr>
            <w:tcW w:w="2551" w:type="dxa"/>
          </w:tcPr>
          <w:p w:rsidR="005C2091" w:rsidRDefault="00A86293">
            <w:pPr>
              <w:pStyle w:val="CellColumn"/>
              <w:jc w:val="left"/>
            </w:pPr>
            <w:r>
              <w:rPr>
                <w:rFonts w:cs="Times New Roman"/>
              </w:rPr>
              <w:t>Opremanjem pripadnika OS RH i MORH-a službenim odorama doprinosi se postizanju propisanog standarda opremljenosti (kumulativ)</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1018</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1445</w:t>
            </w:r>
          </w:p>
        </w:tc>
        <w:tc>
          <w:tcPr>
            <w:tcW w:w="1020" w:type="dxa"/>
          </w:tcPr>
          <w:p w:rsidR="005C2091" w:rsidRDefault="00A86293">
            <w:pPr>
              <w:pStyle w:val="CellColumn"/>
              <w:jc w:val="right"/>
            </w:pPr>
            <w:r>
              <w:rPr>
                <w:rFonts w:cs="Times New Roman"/>
              </w:rPr>
              <w:t>1018</w:t>
            </w:r>
          </w:p>
        </w:tc>
      </w:tr>
    </w:tbl>
    <w:p w:rsidR="005C2091" w:rsidRDefault="005C2091">
      <w:pPr>
        <w:jc w:val="left"/>
      </w:pPr>
    </w:p>
    <w:p w:rsidR="005C2091" w:rsidRDefault="00A86293">
      <w:pPr>
        <w:pStyle w:val="Heading4"/>
      </w:pPr>
      <w:r>
        <w:t>A545076 IZGRADNJA, REKONSTRUKCIJA I ADAPTACIJA OBJEKATA I INFRASTRUKTURE</w:t>
      </w:r>
    </w:p>
    <w:tbl>
      <w:tblPr>
        <w:tblStyle w:val="StilTablice"/>
        <w:tblW w:w="10206" w:type="dxa"/>
        <w:jc w:val="center"/>
        <w:tblLook w:val="04A0" w:firstRow="1" w:lastRow="0" w:firstColumn="1" w:lastColumn="0" w:noHBand="0" w:noVBand="1"/>
      </w:tblPr>
      <w:tblGrid>
        <w:gridCol w:w="1892"/>
        <w:gridCol w:w="1957"/>
        <w:gridCol w:w="1969"/>
        <w:gridCol w:w="196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A545076-IZGRADNJA, REKONSTRUKCIJA I ADAPTACIJA OBJEKATA I INFRASTRUKTURE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89.093.000</w:t>
            </w:r>
          </w:p>
        </w:tc>
        <w:tc>
          <w:tcPr>
            <w:tcW w:w="2041" w:type="dxa"/>
          </w:tcPr>
          <w:p w:rsidR="005C2091" w:rsidRDefault="00A86293">
            <w:pPr>
              <w:pStyle w:val="CellColumn"/>
              <w:jc w:val="right"/>
            </w:pPr>
            <w:r>
              <w:rPr>
                <w:rFonts w:cs="Times New Roman"/>
              </w:rPr>
              <w:t>75.591.782</w:t>
            </w:r>
          </w:p>
        </w:tc>
        <w:tc>
          <w:tcPr>
            <w:tcW w:w="1224" w:type="dxa"/>
          </w:tcPr>
          <w:p w:rsidR="005C2091" w:rsidRDefault="00A86293">
            <w:pPr>
              <w:pStyle w:val="CellColumn"/>
              <w:jc w:val="right"/>
            </w:pPr>
            <w:r>
              <w:rPr>
                <w:rFonts w:cs="Times New Roman"/>
              </w:rPr>
              <w:t>84,8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Zakon o obrani, Dugoročni plan razvoja Oružanih snaga Republike Hrvatske za razdoblje 2015. do 2024., Pravilnik o načinu materijalnog zbrinjavanja OS RH (glava 5), Odluka Vlade Republike Hrvatske o davanju suglasnosti Ministarstvu obrane za preuzimanje obveza na teret sredstava državnog proračuna Republike Hrvatske u 2015. i 2016. godini za potrebe izgradnje skladišnih objekata u vojno-skladišnom kompleksu "Hrvatski ždral" u Doljanima KLASA: 022-03/14-04/86, URBROJ: 50301-09/09-14-1 od 19.03.2014., Odluka Vlade Republike Hrvatske o davanju suglasnosti Ministarstvu obrane za preuzimanje obveza na teret sredstava državnog proračuna Republike Hrvatske u 2016. godini za potrebe izvođenja radova na izgradnji nastavne građevine u vojarni ¨Pukovnik Predrag Matanović¨ u Petrinji KLASA: 022-03/15-04/409, URBROJ: 50301-09/09-15-2 od 24.09.2015.</w:t>
      </w:r>
    </w:p>
    <w:p w:rsidR="005C2091" w:rsidRDefault="00A86293">
      <w:pPr>
        <w:pStyle w:val="Heading8"/>
        <w:jc w:val="left"/>
      </w:pPr>
      <w:r>
        <w:t>Opis aktivnosti</w:t>
      </w:r>
    </w:p>
    <w:p w:rsidR="005C2091" w:rsidRDefault="00A86293">
      <w:r>
        <w:t>Izgradnjom, rekonstrukcijom i adaptacijom objekata i infrastrukture omogućuje se poboljšanje kvalitete prostora za život i rad djelatnika Ministarstva obrane i Oružanih snaga RH, osigurava se racionalno trošenje energije, zaštita okoliša i zaštita od požara te se povećava ukupna kvaliteta življenja. Postizanjem planiranog teritorijalnog razmještaja snaga u vojnim objektima te izgradnjom dodatnih kapaciteta i nove prateće infrastrukture unapređuju se prioritetne sposobnosti Oružanih snaga. U 2016. godini završena je izgradnja nastavne građevine i infrastrukture u vojarni Petrinja, završena je izgradnja tri skladišne građevine u VSK Doljani. Nastavlja se izgradnja zapovjedne građevine u vojarni Petrinja, skladišnih objekata i tehničke zaštite u VSK Doljani, trenažne građevine i kontejnerskog naselja na poligonu Slunj. Rekonstrukcija i adaptacija odnosi se na objekte na raznim lokacijama - kompleks MORH-a u Zagrebu, vojarna Croatia u Zagrebu, ZB Pleso, ZB Zemunik, vojarna Velika Buna, HVU Zagreb, vojarna Divulje, poligon Gašinci i druge lokacije.</w:t>
      </w:r>
    </w:p>
    <w:p w:rsidR="008846BB" w:rsidRDefault="008846BB"/>
    <w:p w:rsidR="008846BB" w:rsidRDefault="008846BB"/>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izgrađenih građevina</w:t>
            </w:r>
          </w:p>
        </w:tc>
        <w:tc>
          <w:tcPr>
            <w:tcW w:w="2551" w:type="dxa"/>
          </w:tcPr>
          <w:p w:rsidR="005C2091" w:rsidRDefault="00A86293">
            <w:pPr>
              <w:pStyle w:val="CellColumn"/>
              <w:jc w:val="left"/>
            </w:pPr>
            <w:r>
              <w:rPr>
                <w:rFonts w:cs="Times New Roman"/>
              </w:rPr>
              <w:t>Izgradnjom objekata osigurat će se postavljeni standardi u smještaju ljudi i skladištenju materijalnih sredstava</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7</w:t>
            </w:r>
          </w:p>
        </w:tc>
        <w:tc>
          <w:tcPr>
            <w:tcW w:w="1020" w:type="dxa"/>
          </w:tcPr>
          <w:p w:rsidR="005C2091" w:rsidRDefault="00A86293">
            <w:pPr>
              <w:pStyle w:val="CellColumn"/>
              <w:jc w:val="right"/>
            </w:pPr>
            <w:r>
              <w:rPr>
                <w:rFonts w:cs="Times New Roman"/>
              </w:rPr>
              <w:t>4</w:t>
            </w:r>
          </w:p>
        </w:tc>
      </w:tr>
      <w:tr w:rsidR="005C2091">
        <w:trPr>
          <w:jc w:val="center"/>
        </w:trPr>
        <w:tc>
          <w:tcPr>
            <w:tcW w:w="2551" w:type="dxa"/>
          </w:tcPr>
          <w:p w:rsidR="005C2091" w:rsidRDefault="00A86293">
            <w:pPr>
              <w:pStyle w:val="CellColumn"/>
              <w:jc w:val="left"/>
            </w:pPr>
            <w:r>
              <w:rPr>
                <w:rFonts w:cs="Times New Roman"/>
              </w:rPr>
              <w:t>Komplet projektne dokumentacije za izgradnju vojnih lokacija</w:t>
            </w:r>
          </w:p>
        </w:tc>
        <w:tc>
          <w:tcPr>
            <w:tcW w:w="2551" w:type="dxa"/>
          </w:tcPr>
          <w:p w:rsidR="005C2091" w:rsidRDefault="00A86293">
            <w:pPr>
              <w:pStyle w:val="CellColumn"/>
              <w:jc w:val="left"/>
            </w:pPr>
            <w:r>
              <w:rPr>
                <w:rFonts w:cs="Times New Roman"/>
              </w:rPr>
              <w:t>Izrada projektne dokumentacije preduvjet je za početak izgradnje</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9</w:t>
            </w:r>
          </w:p>
        </w:tc>
        <w:tc>
          <w:tcPr>
            <w:tcW w:w="1020" w:type="dxa"/>
          </w:tcPr>
          <w:p w:rsidR="005C2091" w:rsidRDefault="00A86293">
            <w:pPr>
              <w:pStyle w:val="CellColumn"/>
              <w:jc w:val="right"/>
            </w:pPr>
            <w:r>
              <w:rPr>
                <w:rFonts w:cs="Times New Roman"/>
              </w:rPr>
              <w:t>18</w:t>
            </w:r>
          </w:p>
        </w:tc>
      </w:tr>
      <w:tr w:rsidR="005C2091">
        <w:trPr>
          <w:jc w:val="center"/>
        </w:trPr>
        <w:tc>
          <w:tcPr>
            <w:tcW w:w="2551" w:type="dxa"/>
          </w:tcPr>
          <w:p w:rsidR="005C2091" w:rsidRDefault="00A86293">
            <w:pPr>
              <w:pStyle w:val="CellColumn"/>
              <w:jc w:val="left"/>
            </w:pPr>
            <w:r>
              <w:rPr>
                <w:rFonts w:cs="Times New Roman"/>
              </w:rPr>
              <w:t>Broj adaptiranih građevina</w:t>
            </w:r>
          </w:p>
        </w:tc>
        <w:tc>
          <w:tcPr>
            <w:tcW w:w="2551" w:type="dxa"/>
          </w:tcPr>
          <w:p w:rsidR="005C2091" w:rsidRDefault="00A86293">
            <w:pPr>
              <w:pStyle w:val="CellColumn"/>
              <w:jc w:val="left"/>
            </w:pPr>
            <w:r>
              <w:rPr>
                <w:rFonts w:cs="Times New Roman"/>
              </w:rPr>
              <w:t>Adaptacijom objekata poboljšat će se smještajni uvjeti</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10</w:t>
            </w:r>
          </w:p>
        </w:tc>
      </w:tr>
    </w:tbl>
    <w:p w:rsidR="005C2091" w:rsidRDefault="005C2091">
      <w:pPr>
        <w:jc w:val="left"/>
      </w:pPr>
    </w:p>
    <w:p w:rsidR="005C2091" w:rsidRDefault="00A86293">
      <w:pPr>
        <w:pStyle w:val="Heading4"/>
      </w:pPr>
      <w:r>
        <w:t>K545043 BORBENO OKLOPNO VOZILO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K545043-BORBENO OKLOPNO VOZILO</w:t>
            </w:r>
          </w:p>
        </w:tc>
        <w:tc>
          <w:tcPr>
            <w:tcW w:w="2041" w:type="dxa"/>
          </w:tcPr>
          <w:p w:rsidR="005C2091" w:rsidRDefault="00A86293">
            <w:pPr>
              <w:pStyle w:val="CellColumn"/>
              <w:jc w:val="right"/>
            </w:pPr>
            <w:r>
              <w:rPr>
                <w:rFonts w:cs="Times New Roman"/>
              </w:rPr>
              <w:t>87.547.508</w:t>
            </w:r>
          </w:p>
        </w:tc>
        <w:tc>
          <w:tcPr>
            <w:tcW w:w="2041" w:type="dxa"/>
          </w:tcPr>
          <w:p w:rsidR="005C2091" w:rsidRDefault="00A86293">
            <w:pPr>
              <w:pStyle w:val="CellColumn"/>
              <w:jc w:val="right"/>
            </w:pPr>
            <w:r>
              <w:rPr>
                <w:rFonts w:cs="Times New Roman"/>
              </w:rPr>
              <w:t>6.543.000</w:t>
            </w:r>
          </w:p>
        </w:tc>
        <w:tc>
          <w:tcPr>
            <w:tcW w:w="2041" w:type="dxa"/>
          </w:tcPr>
          <w:p w:rsidR="005C2091" w:rsidRDefault="00A86293">
            <w:pPr>
              <w:pStyle w:val="CellColumn"/>
              <w:jc w:val="right"/>
            </w:pPr>
            <w:r>
              <w:rPr>
                <w:rFonts w:cs="Times New Roman"/>
              </w:rPr>
              <w:t>5.513.321</w:t>
            </w:r>
          </w:p>
        </w:tc>
        <w:tc>
          <w:tcPr>
            <w:tcW w:w="1224" w:type="dxa"/>
          </w:tcPr>
          <w:p w:rsidR="005C2091" w:rsidRDefault="00A86293">
            <w:pPr>
              <w:pStyle w:val="CellColumn"/>
              <w:jc w:val="right"/>
            </w:pPr>
            <w:r>
              <w:rPr>
                <w:rFonts w:cs="Times New Roman"/>
              </w:rPr>
              <w:t>84,3</w:t>
            </w:r>
          </w:p>
        </w:tc>
        <w:tc>
          <w:tcPr>
            <w:tcW w:w="1224" w:type="dxa"/>
          </w:tcPr>
          <w:p w:rsidR="005C2091" w:rsidRDefault="00A86293">
            <w:pPr>
              <w:pStyle w:val="CellColumn"/>
              <w:jc w:val="right"/>
            </w:pPr>
            <w:r>
              <w:rPr>
                <w:rFonts w:cs="Times New Roman"/>
              </w:rPr>
              <w:t>6,3</w:t>
            </w:r>
          </w:p>
        </w:tc>
      </w:tr>
    </w:tbl>
    <w:p w:rsidR="005C2091" w:rsidRDefault="005C2091">
      <w:pPr>
        <w:jc w:val="left"/>
      </w:pPr>
    </w:p>
    <w:p w:rsidR="005C2091" w:rsidRDefault="00A86293">
      <w:pPr>
        <w:pStyle w:val="Heading8"/>
        <w:jc w:val="left"/>
      </w:pPr>
      <w:r>
        <w:t>Zakonske i druge pravne osnove</w:t>
      </w:r>
    </w:p>
    <w:p w:rsidR="005C2091" w:rsidRDefault="00A86293">
      <w:r>
        <w:t>Zakon o obrani, Dugoročni plan razvoja OS RH 2015. – 2024., Pravilnik o načinu materijalnog zbrinjavanja OS RH (glava 4)</w:t>
      </w:r>
    </w:p>
    <w:p w:rsidR="005C2091" w:rsidRDefault="00A86293">
      <w:pPr>
        <w:pStyle w:val="Heading8"/>
        <w:jc w:val="left"/>
      </w:pPr>
      <w:r>
        <w:t>Opis aktivnosti</w:t>
      </w:r>
    </w:p>
    <w:p w:rsidR="005C2091" w:rsidRDefault="00A86293">
      <w:r>
        <w:t>Opremanjem postrojbi Oružanih snaga borbenim oklopnim vozilima poboljšava se borbena spremnost i dostižu postavljeni standardi interoperabilnosti s NATO-om te omogućuje postrojbama Hrvatske kopnene vojske sudjelovanje u NATO i UN operacijama, u skladu s preuzetim ciljevima snaga. Završetkom proizvodnje baznih borbenih oklopnih vozila nastavlja se opremanje tih vozila s raspoloživim naoružanjem i specijalnom opremom. U 2016. godini ostvarena vrijednost niža je od očekivane zbog redefinirane dinamike nabave ključnih podsustava naoružanja i specijalne opreme.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kompletiranih borbenih oklopnih vozila predanih na uporabu u Oružane snage</w:t>
            </w:r>
          </w:p>
        </w:tc>
        <w:tc>
          <w:tcPr>
            <w:tcW w:w="2551" w:type="dxa"/>
          </w:tcPr>
          <w:p w:rsidR="005C2091" w:rsidRDefault="00A86293">
            <w:pPr>
              <w:pStyle w:val="CellColumn"/>
              <w:jc w:val="left"/>
            </w:pPr>
            <w:r>
              <w:rPr>
                <w:rFonts w:cs="Times New Roman"/>
              </w:rPr>
              <w:t>Opremanjem OS RH borbenim vozilima poboljšat će se borbena spremnost postrojbi (kumulativ)</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64</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118</w:t>
            </w:r>
          </w:p>
        </w:tc>
        <w:tc>
          <w:tcPr>
            <w:tcW w:w="1020" w:type="dxa"/>
          </w:tcPr>
          <w:p w:rsidR="005C2091" w:rsidRDefault="00A86293">
            <w:pPr>
              <w:pStyle w:val="CellColumn"/>
              <w:jc w:val="right"/>
            </w:pPr>
            <w:r>
              <w:rPr>
                <w:rFonts w:cs="Times New Roman"/>
              </w:rPr>
              <w:t>73</w:t>
            </w:r>
          </w:p>
        </w:tc>
      </w:tr>
    </w:tbl>
    <w:p w:rsidR="005C2091" w:rsidRDefault="005C2091">
      <w:pPr>
        <w:jc w:val="left"/>
      </w:pPr>
    </w:p>
    <w:p w:rsidR="005C2091" w:rsidRDefault="00A86293">
      <w:pPr>
        <w:pStyle w:val="Heading4"/>
      </w:pPr>
      <w:r>
        <w:lastRenderedPageBreak/>
        <w:t>K545044 OBALNI OPHODNI BROD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K545044-OBALNI OPHODNI BROD</w:t>
            </w:r>
          </w:p>
        </w:tc>
        <w:tc>
          <w:tcPr>
            <w:tcW w:w="2041" w:type="dxa"/>
          </w:tcPr>
          <w:p w:rsidR="005C2091" w:rsidRDefault="00A86293">
            <w:pPr>
              <w:pStyle w:val="CellColumn"/>
              <w:jc w:val="right"/>
            </w:pPr>
            <w:r>
              <w:rPr>
                <w:rFonts w:cs="Times New Roman"/>
              </w:rPr>
              <w:t>39.423.960</w:t>
            </w:r>
          </w:p>
        </w:tc>
        <w:tc>
          <w:tcPr>
            <w:tcW w:w="2041" w:type="dxa"/>
          </w:tcPr>
          <w:p w:rsidR="005C2091" w:rsidRDefault="00A86293">
            <w:pPr>
              <w:pStyle w:val="CellColumn"/>
              <w:jc w:val="right"/>
            </w:pPr>
            <w:r>
              <w:rPr>
                <w:rFonts w:cs="Times New Roman"/>
              </w:rPr>
              <w:t>15.393.700</w:t>
            </w:r>
          </w:p>
        </w:tc>
        <w:tc>
          <w:tcPr>
            <w:tcW w:w="2041" w:type="dxa"/>
          </w:tcPr>
          <w:p w:rsidR="005C2091" w:rsidRDefault="00A86293">
            <w:pPr>
              <w:pStyle w:val="CellColumn"/>
              <w:jc w:val="right"/>
            </w:pPr>
            <w:r>
              <w:rPr>
                <w:rFonts w:cs="Times New Roman"/>
              </w:rPr>
              <w:t>14.418.220</w:t>
            </w:r>
          </w:p>
        </w:tc>
        <w:tc>
          <w:tcPr>
            <w:tcW w:w="1224" w:type="dxa"/>
          </w:tcPr>
          <w:p w:rsidR="005C2091" w:rsidRDefault="00A86293">
            <w:pPr>
              <w:pStyle w:val="CellColumn"/>
              <w:jc w:val="right"/>
            </w:pPr>
            <w:r>
              <w:rPr>
                <w:rFonts w:cs="Times New Roman"/>
              </w:rPr>
              <w:t>93,7</w:t>
            </w:r>
          </w:p>
        </w:tc>
        <w:tc>
          <w:tcPr>
            <w:tcW w:w="1224" w:type="dxa"/>
          </w:tcPr>
          <w:p w:rsidR="005C2091" w:rsidRDefault="00A86293">
            <w:pPr>
              <w:pStyle w:val="CellColumn"/>
              <w:jc w:val="right"/>
            </w:pPr>
            <w:r>
              <w:rPr>
                <w:rFonts w:cs="Times New Roman"/>
              </w:rPr>
              <w:t>36,6</w:t>
            </w:r>
          </w:p>
        </w:tc>
      </w:tr>
    </w:tbl>
    <w:p w:rsidR="005C2091" w:rsidRDefault="005C2091">
      <w:pPr>
        <w:jc w:val="left"/>
      </w:pPr>
    </w:p>
    <w:p w:rsidR="005C2091" w:rsidRDefault="00A86293">
      <w:pPr>
        <w:pStyle w:val="Heading8"/>
        <w:jc w:val="left"/>
      </w:pPr>
      <w:r>
        <w:t>Zakonske i druge pravne osnove</w:t>
      </w:r>
    </w:p>
    <w:p w:rsidR="005C2091" w:rsidRDefault="00A86293">
      <w:r>
        <w:t>Zakon o obrani, Dugoročni plan razvoja OS RH 2015. – 2024., Pravilnik o načinu materijalnog zbrinjavanja OS RH (glava 4), Odluka Vlade o davanju suglasnosti Ministarstvu obrane za preuzimanje obveza na teret sredstava državnog proračuna Republike Hrvatske u 2015., 2016., 2017. i 2018. godini za potrebe nabave obalnih ophodnih brodova KLASA: 022-03/14-04/462, URBROJ: 50301-09/09-14-2 od 26.11.2014.</w:t>
      </w:r>
    </w:p>
    <w:p w:rsidR="005C2091" w:rsidRDefault="00A86293">
      <w:pPr>
        <w:pStyle w:val="Heading8"/>
        <w:jc w:val="left"/>
      </w:pPr>
      <w:r>
        <w:t>Opis aktivnosti</w:t>
      </w:r>
    </w:p>
    <w:p w:rsidR="005C2091" w:rsidRDefault="00A86293">
      <w:r>
        <w:t>Opremanjem Obalne straže obalnim ophodnim brodovima poboljšava se nadzor i zaštita prava i interesa RH na hrvatskom dijelu Jadranskog mora. U mirnodopskim uvjetima brodovi će nadzirati provedbu legislative RH na moru, pomagati drugim tijelima i stanovništvu u izvanrednim situacijama, provoditi akcije traganja i spašavanja sukladno Zakonu o obalnoj straži Republike Hrvatske. Projekt obuhvaća gradnju 5 obalnih ophodnih brodova, prototip plus četiri broda u seriji, a u tijeku je izrada prototipa. Dinamika projekta je redefinirana, a realizirani iznos u 2016. se odnosi na gradnju prototipa te na dokumentaciju glavnog projekta, radioničku dokumentaciju, ključnu opremu, petu fazu modelskih ispitivanja, te ostalu specijalnu opremu za dijagnostiku sustava.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obalnih ophodnih brodova predanih na uporabu u Oružane snage</w:t>
            </w:r>
          </w:p>
        </w:tc>
        <w:tc>
          <w:tcPr>
            <w:tcW w:w="2551" w:type="dxa"/>
          </w:tcPr>
          <w:p w:rsidR="005C2091" w:rsidRDefault="00A86293">
            <w:pPr>
              <w:pStyle w:val="CellColumn"/>
              <w:jc w:val="left"/>
            </w:pPr>
            <w:r>
              <w:rPr>
                <w:rFonts w:cs="Times New Roman"/>
              </w:rPr>
              <w:t>Izgradnjom obalnih ophodnih brodova osigurat će se bolja operativnost Obalne straže</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0</w:t>
            </w:r>
          </w:p>
        </w:tc>
      </w:tr>
    </w:tbl>
    <w:p w:rsidR="005C2091" w:rsidRDefault="005C2091">
      <w:pPr>
        <w:jc w:val="left"/>
      </w:pPr>
    </w:p>
    <w:p w:rsidR="005C2091" w:rsidRDefault="00A86293">
      <w:pPr>
        <w:pStyle w:val="Heading4"/>
      </w:pPr>
      <w:r>
        <w:t>K545046 NATO INTEGRIRANI SUSTAV PROTUZRAČNE OBRANE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K545046-NATO INTEGRIRANI SUSTAV PROTUZRAČNE OBRANE</w:t>
            </w:r>
          </w:p>
        </w:tc>
        <w:tc>
          <w:tcPr>
            <w:tcW w:w="2041" w:type="dxa"/>
          </w:tcPr>
          <w:p w:rsidR="005C2091" w:rsidRDefault="00A86293">
            <w:pPr>
              <w:pStyle w:val="CellColumn"/>
              <w:jc w:val="right"/>
            </w:pPr>
            <w:r>
              <w:rPr>
                <w:rFonts w:cs="Times New Roman"/>
              </w:rPr>
              <w:t>1.385.574</w:t>
            </w:r>
          </w:p>
        </w:tc>
        <w:tc>
          <w:tcPr>
            <w:tcW w:w="2041" w:type="dxa"/>
          </w:tcPr>
          <w:p w:rsidR="005C2091" w:rsidRDefault="00A86293">
            <w:pPr>
              <w:pStyle w:val="CellColumn"/>
              <w:jc w:val="right"/>
            </w:pPr>
            <w:r>
              <w:rPr>
                <w:rFonts w:cs="Times New Roman"/>
              </w:rPr>
              <w:t>3.754.000</w:t>
            </w:r>
          </w:p>
        </w:tc>
        <w:tc>
          <w:tcPr>
            <w:tcW w:w="2041" w:type="dxa"/>
          </w:tcPr>
          <w:p w:rsidR="005C2091" w:rsidRDefault="00A86293">
            <w:pPr>
              <w:pStyle w:val="CellColumn"/>
              <w:jc w:val="right"/>
            </w:pPr>
            <w:r>
              <w:rPr>
                <w:rFonts w:cs="Times New Roman"/>
              </w:rPr>
              <w:t>2.875.058</w:t>
            </w:r>
          </w:p>
        </w:tc>
        <w:tc>
          <w:tcPr>
            <w:tcW w:w="1224" w:type="dxa"/>
          </w:tcPr>
          <w:p w:rsidR="005C2091" w:rsidRDefault="00A86293">
            <w:pPr>
              <w:pStyle w:val="CellColumn"/>
              <w:jc w:val="right"/>
            </w:pPr>
            <w:r>
              <w:rPr>
                <w:rFonts w:cs="Times New Roman"/>
              </w:rPr>
              <w:t>76,6</w:t>
            </w:r>
          </w:p>
        </w:tc>
        <w:tc>
          <w:tcPr>
            <w:tcW w:w="1224" w:type="dxa"/>
          </w:tcPr>
          <w:p w:rsidR="005C2091" w:rsidRDefault="00A86293">
            <w:pPr>
              <w:pStyle w:val="CellColumn"/>
              <w:jc w:val="right"/>
            </w:pPr>
            <w:r>
              <w:rPr>
                <w:rFonts w:cs="Times New Roman"/>
              </w:rPr>
              <w:t>207,5</w:t>
            </w:r>
          </w:p>
        </w:tc>
      </w:tr>
    </w:tbl>
    <w:p w:rsidR="005C2091" w:rsidRDefault="005C2091">
      <w:pPr>
        <w:jc w:val="left"/>
      </w:pPr>
    </w:p>
    <w:p w:rsidR="005C2091" w:rsidRDefault="00A86293">
      <w:pPr>
        <w:pStyle w:val="Heading8"/>
        <w:jc w:val="left"/>
      </w:pPr>
      <w:r>
        <w:t>Zakonske i druge pravne osnove</w:t>
      </w:r>
    </w:p>
    <w:p w:rsidR="005C2091" w:rsidRDefault="00A86293">
      <w:r>
        <w:t>Zakon o obrani, Dugoročni plan razvoja OS RH 2015. – 2024., Pravilnik o načinu materijalnog zbrinjavanja OS RH (glava 4)</w:t>
      </w:r>
    </w:p>
    <w:p w:rsidR="005C2091" w:rsidRDefault="00A86293">
      <w:pPr>
        <w:pStyle w:val="Heading8"/>
        <w:jc w:val="left"/>
      </w:pPr>
      <w:r>
        <w:lastRenderedPageBreak/>
        <w:t>Opis aktivnosti</w:t>
      </w:r>
    </w:p>
    <w:p w:rsidR="005C2091" w:rsidRDefault="00A86293">
      <w:r>
        <w:t>Integracijom sustava protuzračne obrane Republike Hrvatske u NATO sustav osigurava se nadzor i zaštita zračnog prostora. Provedbom I faze projekta osigurane su početne operativne sposobnosti, a u nastavku se osigurava puna operativna sposobnost. Projekt se dijelom financira iz NATO NSIP programa, a MORH osigurava komercijalnu opremu, graditeljsko uređenje lokacija, te obuku djelatnika u inozemstvu za rad na novoj opremi. Realizacija u 2016. godini odnosi se na plaćanje PDV-a za komunikacijsku infrastrukturu i nabavu komunikacijske opreme.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Postotak nabavljene komunikacijske opreme</w:t>
            </w:r>
          </w:p>
        </w:tc>
        <w:tc>
          <w:tcPr>
            <w:tcW w:w="2551" w:type="dxa"/>
          </w:tcPr>
          <w:p w:rsidR="005C2091" w:rsidRDefault="00A86293">
            <w:pPr>
              <w:pStyle w:val="CellColumn"/>
              <w:jc w:val="left"/>
            </w:pPr>
            <w:r>
              <w:rPr>
                <w:rFonts w:cs="Times New Roman"/>
              </w:rPr>
              <w:t xml:space="preserve">Integracijom sustava protuzračne obrane Republike Hrvatske u NATO sustav postiže se sposobnost nadzora i zaštite zračnog prostora.  </w:t>
            </w:r>
          </w:p>
          <w:p w:rsidR="005C2091" w:rsidRDefault="00A86293">
            <w:pPr>
              <w:pStyle w:val="CellColumn"/>
              <w:jc w:val="left"/>
            </w:pPr>
            <w:r>
              <w:rPr>
                <w:rFonts w:cs="Times New Roman"/>
              </w:rPr>
              <w:t>(kumulativ)</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2</w:t>
            </w:r>
          </w:p>
        </w:tc>
      </w:tr>
    </w:tbl>
    <w:p w:rsidR="005C2091" w:rsidRDefault="005C2091">
      <w:pPr>
        <w:jc w:val="left"/>
      </w:pPr>
    </w:p>
    <w:p w:rsidR="005C2091" w:rsidRDefault="00A86293">
      <w:pPr>
        <w:pStyle w:val="Heading4"/>
      </w:pPr>
      <w:r>
        <w:t>K545047 MODERNIZACIJA RADARSKOG SUSTAVA ENHANCED PEREGRINE</w:t>
      </w:r>
    </w:p>
    <w:tbl>
      <w:tblPr>
        <w:tblStyle w:val="StilTablice"/>
        <w:tblW w:w="10206" w:type="dxa"/>
        <w:jc w:val="center"/>
        <w:tblLook w:val="04A0" w:firstRow="1" w:lastRow="0" w:firstColumn="1" w:lastColumn="0" w:noHBand="0" w:noVBand="1"/>
      </w:tblPr>
      <w:tblGrid>
        <w:gridCol w:w="1737"/>
        <w:gridCol w:w="2012"/>
        <w:gridCol w:w="2006"/>
        <w:gridCol w:w="2013"/>
        <w:gridCol w:w="1218"/>
        <w:gridCol w:w="1220"/>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K545047-MODERNIZACIJA RADARSKOG SUSTAVA ENHANCED PEREGRINE</w:t>
            </w:r>
          </w:p>
        </w:tc>
        <w:tc>
          <w:tcPr>
            <w:tcW w:w="2041" w:type="dxa"/>
          </w:tcPr>
          <w:p w:rsidR="005C2091" w:rsidRDefault="00A86293">
            <w:pPr>
              <w:pStyle w:val="CellColumn"/>
              <w:jc w:val="right"/>
            </w:pPr>
            <w:r>
              <w:rPr>
                <w:rFonts w:cs="Times New Roman"/>
              </w:rPr>
              <w:t>750</w:t>
            </w:r>
          </w:p>
        </w:tc>
        <w:tc>
          <w:tcPr>
            <w:tcW w:w="2041" w:type="dxa"/>
          </w:tcPr>
          <w:p w:rsidR="005C2091" w:rsidRDefault="00A86293">
            <w:pPr>
              <w:pStyle w:val="CellColumn"/>
              <w:jc w:val="right"/>
            </w:pPr>
            <w:r>
              <w:rPr>
                <w:rFonts w:cs="Times New Roman"/>
              </w:rPr>
              <w:t>2.080</w:t>
            </w:r>
          </w:p>
        </w:tc>
        <w:tc>
          <w:tcPr>
            <w:tcW w:w="2041" w:type="dxa"/>
          </w:tcPr>
          <w:p w:rsidR="005C2091" w:rsidRDefault="00A86293">
            <w:pPr>
              <w:pStyle w:val="CellColumn"/>
              <w:jc w:val="right"/>
            </w:pPr>
            <w:r>
              <w:rPr>
                <w:rFonts w:cs="Times New Roman"/>
              </w:rPr>
              <w:t>1.998</w:t>
            </w:r>
          </w:p>
        </w:tc>
        <w:tc>
          <w:tcPr>
            <w:tcW w:w="1224" w:type="dxa"/>
          </w:tcPr>
          <w:p w:rsidR="005C2091" w:rsidRDefault="00A86293">
            <w:pPr>
              <w:pStyle w:val="CellColumn"/>
              <w:jc w:val="right"/>
            </w:pPr>
            <w:r>
              <w:rPr>
                <w:rFonts w:cs="Times New Roman"/>
              </w:rPr>
              <w:t>96,1</w:t>
            </w:r>
          </w:p>
        </w:tc>
        <w:tc>
          <w:tcPr>
            <w:tcW w:w="1224" w:type="dxa"/>
          </w:tcPr>
          <w:p w:rsidR="005C2091" w:rsidRDefault="00A86293">
            <w:pPr>
              <w:pStyle w:val="CellColumn"/>
              <w:jc w:val="right"/>
            </w:pPr>
            <w:r>
              <w:rPr>
                <w:rFonts w:cs="Times New Roman"/>
              </w:rPr>
              <w:t>266,5</w:t>
            </w:r>
          </w:p>
        </w:tc>
      </w:tr>
    </w:tbl>
    <w:p w:rsidR="005C2091" w:rsidRDefault="005C2091">
      <w:pPr>
        <w:jc w:val="left"/>
      </w:pPr>
    </w:p>
    <w:p w:rsidR="005C2091" w:rsidRDefault="00A86293">
      <w:pPr>
        <w:pStyle w:val="Heading8"/>
        <w:jc w:val="left"/>
      </w:pPr>
      <w:r>
        <w:t>Zakonske i druge pravne osnove</w:t>
      </w:r>
    </w:p>
    <w:p w:rsidR="005C2091" w:rsidRDefault="00A86293">
      <w:r>
        <w:t>Zakon o obrani, Dugoročni plan razvoja OS RH 2015. – 2024., Pravilnik o načinu materijalnog zbrinjavanja OS RH (glava 4)</w:t>
      </w:r>
    </w:p>
    <w:p w:rsidR="005C2091" w:rsidRDefault="00A86293">
      <w:pPr>
        <w:pStyle w:val="Heading8"/>
        <w:jc w:val="left"/>
      </w:pPr>
      <w:r>
        <w:t>Opis aktivnosti</w:t>
      </w:r>
    </w:p>
    <w:p w:rsidR="005C2091" w:rsidRDefault="00A86293">
      <w:r>
        <w:t>Modernizacijom radarskog sustava «Enhanced Peregrine» povećat će se sposobnost Hrvatske ratne mornarice za kontrolom Jadranskog mora, otoka i priobalja. Tako modernizirani sustav omogućit će pružanje podataka o stanju na Jadranskom moru i ostalim korisnicima unutar Oružanih snaga, Ministarstvu unutarnjih poslova i drugim državnim institucijama. Projekt se ne odvija prema planiranoj dinamici. U 2016. godini zbog izostanka odaziva ponuditelja u drugom krugu nije bilo moguće provesti natječaj za osposobljavanje i modernizaciju radarskog sustava.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Broj moderniziranih radara</w:t>
            </w:r>
          </w:p>
        </w:tc>
        <w:tc>
          <w:tcPr>
            <w:tcW w:w="2551" w:type="dxa"/>
          </w:tcPr>
          <w:p w:rsidR="005C2091" w:rsidRDefault="00A86293">
            <w:pPr>
              <w:pStyle w:val="CellColumn"/>
              <w:jc w:val="left"/>
            </w:pPr>
            <w:r>
              <w:rPr>
                <w:rFonts w:cs="Times New Roman"/>
              </w:rPr>
              <w:t>Modernizacijom radarskog sustava povećat će se sposobnost Hrvatske ratne mornarice za nadzor mora i obale</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0</w:t>
            </w:r>
          </w:p>
        </w:tc>
      </w:tr>
    </w:tbl>
    <w:p w:rsidR="005C2091" w:rsidRDefault="005C2091">
      <w:pPr>
        <w:jc w:val="left"/>
      </w:pPr>
    </w:p>
    <w:p w:rsidR="005C2091" w:rsidRDefault="00A86293">
      <w:pPr>
        <w:pStyle w:val="Heading4"/>
      </w:pPr>
      <w:r>
        <w:t>K545074 OPREMANJE DALEKOMETNIM TOPNIČKIM SUSTAVOM</w:t>
      </w:r>
    </w:p>
    <w:tbl>
      <w:tblPr>
        <w:tblStyle w:val="StilTablice"/>
        <w:tblW w:w="10206" w:type="dxa"/>
        <w:jc w:val="center"/>
        <w:tblLook w:val="04A0" w:firstRow="1" w:lastRow="0" w:firstColumn="1" w:lastColumn="0" w:noHBand="0" w:noVBand="1"/>
      </w:tblPr>
      <w:tblGrid>
        <w:gridCol w:w="1748"/>
        <w:gridCol w:w="2007"/>
        <w:gridCol w:w="2008"/>
        <w:gridCol w:w="2008"/>
        <w:gridCol w:w="1216"/>
        <w:gridCol w:w="121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K545074-OPREMANJE DALEKOMETNIM TOPNIČKIM SUSTAVOM</w:t>
            </w:r>
          </w:p>
        </w:tc>
        <w:tc>
          <w:tcPr>
            <w:tcW w:w="2041" w:type="dxa"/>
          </w:tcPr>
          <w:p w:rsidR="005C2091" w:rsidRDefault="00A86293">
            <w:pPr>
              <w:pStyle w:val="CellColumn"/>
              <w:jc w:val="right"/>
            </w:pPr>
            <w:r>
              <w:rPr>
                <w:rFonts w:cs="Times New Roman"/>
              </w:rPr>
              <w:t>77.308.684</w:t>
            </w:r>
          </w:p>
        </w:tc>
        <w:tc>
          <w:tcPr>
            <w:tcW w:w="2041" w:type="dxa"/>
          </w:tcPr>
          <w:p w:rsidR="005C2091" w:rsidRDefault="00A86293">
            <w:pPr>
              <w:pStyle w:val="CellColumn"/>
              <w:jc w:val="right"/>
            </w:pPr>
            <w:r>
              <w:rPr>
                <w:rFonts w:cs="Times New Roman"/>
              </w:rPr>
              <w:t>46.279.000</w:t>
            </w:r>
          </w:p>
        </w:tc>
        <w:tc>
          <w:tcPr>
            <w:tcW w:w="2041" w:type="dxa"/>
          </w:tcPr>
          <w:p w:rsidR="005C2091" w:rsidRDefault="00A86293">
            <w:pPr>
              <w:pStyle w:val="CellColumn"/>
              <w:jc w:val="right"/>
            </w:pPr>
            <w:r>
              <w:rPr>
                <w:rFonts w:cs="Times New Roman"/>
              </w:rPr>
              <w:t>59.196.474</w:t>
            </w:r>
          </w:p>
        </w:tc>
        <w:tc>
          <w:tcPr>
            <w:tcW w:w="1224" w:type="dxa"/>
          </w:tcPr>
          <w:p w:rsidR="005C2091" w:rsidRDefault="00A86293">
            <w:pPr>
              <w:pStyle w:val="CellColumn"/>
              <w:jc w:val="right"/>
            </w:pPr>
            <w:r>
              <w:rPr>
                <w:rFonts w:cs="Times New Roman"/>
              </w:rPr>
              <w:t>127,9</w:t>
            </w:r>
          </w:p>
        </w:tc>
        <w:tc>
          <w:tcPr>
            <w:tcW w:w="1224" w:type="dxa"/>
          </w:tcPr>
          <w:p w:rsidR="005C2091" w:rsidRDefault="00A86293">
            <w:pPr>
              <w:pStyle w:val="CellColumn"/>
              <w:jc w:val="right"/>
            </w:pPr>
            <w:r>
              <w:rPr>
                <w:rFonts w:cs="Times New Roman"/>
              </w:rPr>
              <w:t>76,6</w:t>
            </w:r>
          </w:p>
        </w:tc>
      </w:tr>
    </w:tbl>
    <w:p w:rsidR="005C2091" w:rsidRDefault="005C2091">
      <w:pPr>
        <w:jc w:val="left"/>
      </w:pPr>
    </w:p>
    <w:p w:rsidR="005C2091" w:rsidRDefault="00A86293">
      <w:pPr>
        <w:pStyle w:val="Heading8"/>
        <w:jc w:val="left"/>
      </w:pPr>
      <w:r>
        <w:t>Zakonske i druge pravne osnove</w:t>
      </w:r>
    </w:p>
    <w:p w:rsidR="005C2091" w:rsidRDefault="00A86293">
      <w:r>
        <w:t>Zakon o obrani, Dugoročni plan razvoja OS RH 2015. – 2024., Pravilnik o načinu materijalnog zbrinjavanja OS RH (glava 4), Odluka Vlade o davanju suglasnosti Ministarstvu obrane za preuzimanje obveza na teret sredstava državnog proračuna Republike Hrvatske u 2015., 2016., 2017. i 2018. godini KLASA: OGR-022-03/14-04/23, URBROJ: 50301-09/09-14-2 od 26.11.2014. godine, Odluka Vlade o davanju suglasnosti Ministarstvu obrane za preuzimanje obveza na teret sredstava državnog proračuna Republike Hrvatske u 2016. i 2017. godini KLASA: 022-03/15-04/432, URBROJ: 50301-09/09-15-2 od 24.09.2015. godine</w:t>
      </w:r>
    </w:p>
    <w:p w:rsidR="005C2091" w:rsidRDefault="00A86293">
      <w:pPr>
        <w:pStyle w:val="Heading8"/>
        <w:jc w:val="left"/>
      </w:pPr>
      <w:r>
        <w:t>Opis aktivnosti</w:t>
      </w:r>
    </w:p>
    <w:p w:rsidR="005C2091" w:rsidRDefault="00A86293">
      <w:r>
        <w:t>Opremanje Oružanih snaga RH topničkim sustavima provodi se s ciljem razvoja potrebnih obrambenih sposobnosti za zaštitu suvereniteta RH te sukladno preuzetim obvezama u NATO ciljevima snaga. Opremanje dalekometnim samohodnim topničkim sustavom doprinosi modernizaciji topništva za potporu te povećava mobilnost i interoperabilnost Oružanih snaga RH u zajedničkom djelovanju sa snagama NATO-a I EU-a. Projekt uključuje opremanje sa 16 oklopnih samovoznih haubica PzH2000 koje su zaprimljene u 2015. godini te je prije stavljanja u upotrebu potreban njihov servis, modifikacija i prilagodba. Do kašnjenja u dinamici isporuke haubica došlo je zbog neplanirano dužeg pregovaračkog postupka u vezi ugovaranja servisa, modifikacije i prilagodbe haubica između NATO agencije (NSPA) i KMW-a, kompanije iz Savezne Republike Njemačke koja ih servisira. Izvršenje projekta veće je od plana za 2016. godinu jer su u izvršenju obuhvaćeni rashodi koji su financirani iz ostvarenih prihoda Ministarstva obrane, a koji se sukladno Zakonu o proračunu mogu izvršavati iznad planiranog iznosa, a do visine ostvarenih prihoda.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kompletnih samohodnih haubica predanih na uporabu u Oružane snage</w:t>
            </w:r>
          </w:p>
        </w:tc>
        <w:tc>
          <w:tcPr>
            <w:tcW w:w="2551" w:type="dxa"/>
          </w:tcPr>
          <w:p w:rsidR="005C2091" w:rsidRDefault="00A86293">
            <w:pPr>
              <w:pStyle w:val="CellColumn"/>
              <w:jc w:val="left"/>
            </w:pPr>
            <w:r>
              <w:rPr>
                <w:rFonts w:cs="Times New Roman"/>
              </w:rPr>
              <w:t>Opremanjem dalekometnim topničkim sustavom unaprijedi t će se sposobnosti Oružanih snaga i povećati interoperabilnost s NATO-om</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0</w:t>
            </w:r>
          </w:p>
        </w:tc>
      </w:tr>
    </w:tbl>
    <w:p w:rsidR="005C2091" w:rsidRDefault="005C2091">
      <w:pPr>
        <w:jc w:val="left"/>
      </w:pPr>
    </w:p>
    <w:p w:rsidR="005C2091" w:rsidRDefault="00A86293">
      <w:pPr>
        <w:pStyle w:val="Heading3"/>
      </w:pPr>
      <w:r>
        <w:rPr>
          <w:rFonts w:cs="Times New Roman"/>
        </w:rPr>
        <w:lastRenderedPageBreak/>
        <w:t>2505 UPRAVLJANJE I POTPORA OSOBLJU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2505-UPRAVLJANJE I POTPORA OSOBLJU</w:t>
            </w:r>
          </w:p>
        </w:tc>
        <w:tc>
          <w:tcPr>
            <w:tcW w:w="2041" w:type="dxa"/>
          </w:tcPr>
          <w:p w:rsidR="005C2091" w:rsidRDefault="00A86293">
            <w:pPr>
              <w:pStyle w:val="CellColumn"/>
              <w:jc w:val="right"/>
            </w:pPr>
            <w:r>
              <w:rPr>
                <w:rFonts w:cs="Times New Roman"/>
              </w:rPr>
              <w:t>2.487.086.279</w:t>
            </w:r>
          </w:p>
        </w:tc>
        <w:tc>
          <w:tcPr>
            <w:tcW w:w="2041" w:type="dxa"/>
          </w:tcPr>
          <w:p w:rsidR="005C2091" w:rsidRDefault="00A86293">
            <w:pPr>
              <w:pStyle w:val="CellColumn"/>
              <w:jc w:val="right"/>
            </w:pPr>
            <w:r>
              <w:rPr>
                <w:rFonts w:cs="Times New Roman"/>
              </w:rPr>
              <w:t>2.463.412.718</w:t>
            </w:r>
          </w:p>
        </w:tc>
        <w:tc>
          <w:tcPr>
            <w:tcW w:w="2041" w:type="dxa"/>
          </w:tcPr>
          <w:p w:rsidR="005C2091" w:rsidRDefault="00A86293">
            <w:pPr>
              <w:pStyle w:val="CellColumn"/>
              <w:jc w:val="right"/>
            </w:pPr>
            <w:r>
              <w:rPr>
                <w:rFonts w:cs="Times New Roman"/>
              </w:rPr>
              <w:t>2.462.438.060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99,0</w:t>
            </w:r>
          </w:p>
        </w:tc>
      </w:tr>
    </w:tbl>
    <w:p w:rsidR="005C2091" w:rsidRDefault="005C2091">
      <w:pPr>
        <w:jc w:val="left"/>
      </w:pPr>
    </w:p>
    <w:p w:rsidR="005C2091" w:rsidRDefault="00A86293">
      <w:r>
        <w:t>U dinamičnom sigurnosnom okruženju, razvoj i održavanje vojnih sposobnosti zahtijeva promjene u strukturi osoblja, uvođenje novih kategorija osoblja odgovarajućeg profila te održavanje zadovoljavajuće dobne strukture. Kvalitetna organizacijska i personalna struktura preduvjet je za razvoj, unapređenje i održavanje obrambenih sposobnosti potrebnih za zaštitu suvereniteta i teritorijalnog integriteta RH, obrane RH i saveznika. Veličina i struktura Ministarstva obrane i Oružanih snaga RH mora biti primjerena sigurnosnim izazovima i proizlazi iz realne procjene prijetnji i rizika, postojećih i očekivanih misija i zadaća te preuzetih obveza u međunarodnim okvirima. Razvoj i održavanje vojnih sposobnosti zahtijeva promjene u strukturi osoblja, uvođenje novih kategorija osoblja te održavanje zadovoljavajuće dobne strukture. Cilj ovog programa je dostići zadovoljavajuću organizacijsku, obrazovnu i dobnu strukturu. Dostizanje ciljane organizacijske i personalne strukture postiže se planskim pribavljanjem osoblja kojem prethodi selekcija, izobrazbom i profesionalnim razvojem te planskim izdvajanjem i tranzicijom osoblja. Uspostavlja se učinkovit sustav potpore svim kategorijama osoblja u Ministarstvu obrane i Oružanim snagama Republike Hrvatske, s naglaskom na poboljšanje upravljanja osobljem i na razvoj Oružanih snaga Republike Hrvatske. Izdvajanjem neperspektivnog osoblja osigurava se protočnost osoblja u obrambenom sustavu i popravlja njegova dobna i kvalifikacijska struktura.</w:t>
      </w:r>
    </w:p>
    <w:p w:rsidR="005C2091" w:rsidRDefault="00A86293">
      <w:pPr>
        <w:pStyle w:val="Heading8"/>
        <w:jc w:val="left"/>
      </w:pPr>
      <w:r>
        <w:t xml:space="preserve">Cilj 1. Dostići ciljanu organizacijsku, obrazovnu i dobnu strukturu </w:t>
      </w:r>
    </w:p>
    <w:p w:rsidR="005C2091" w:rsidRDefault="00A86293">
      <w:pPr>
        <w:pStyle w:val="Heading8"/>
        <w:jc w:val="left"/>
      </w:pPr>
      <w:r>
        <w:t>Opis provedbe cilja programa</w:t>
      </w:r>
    </w:p>
    <w:p w:rsidR="005C2091" w:rsidRDefault="00A86293">
      <w:r>
        <w:t>Dostizanje ciljane organizacijske i personalne strukture Ministarstva obrane i Oružanih snaga RH postiže se planskim pribavljanjem osoblja, izobrazbom i profesionalnim razvojem te planskim izdvajanjem i tranzicijom osoblja. Uspostavlja se učinkovit sustav potpore svim kategorijama osoblja, s naglaskom na poboljšanje upravljanja osobljem i na razvoj Oružanih snaga. Veličina Oružanih snaga Republike Hrvatske mora biti primjerena sigurnosnim izazovima. Planirana veličina i struktura proizlazi iz realne procjene prijetnji i rizika, postojećih anticipiranih misija i zadaća, preuzetih obveza u međunarodnim okvirima u skladu s financijskim mogućnostima. U dinamičnom sigurnosnom okruženju, razvoj i održavanje vojnih sposobnosti zahtijeva promjene u strukturi osoblja, uvođenje novih kategorija osoblja te održavanje zadovoljavajuće dobne strukture. Ostvarena dobna struktura u 2016. povoljnija je od ciljane, a ostvarena je pribavljanje i izdvajanje osoblja.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 xml:space="preserve">Dosegnuto ostvarenje ciljane dobne i  </w:t>
            </w:r>
          </w:p>
          <w:p w:rsidR="005C2091" w:rsidRDefault="00A86293">
            <w:pPr>
              <w:pStyle w:val="CellColumn"/>
              <w:jc w:val="left"/>
            </w:pPr>
            <w:r>
              <w:rPr>
                <w:rFonts w:cs="Times New Roman"/>
              </w:rPr>
              <w:t>obrazovne strukture</w:t>
            </w:r>
          </w:p>
        </w:tc>
        <w:tc>
          <w:tcPr>
            <w:tcW w:w="2551" w:type="dxa"/>
          </w:tcPr>
          <w:p w:rsidR="005C2091" w:rsidRDefault="00A86293">
            <w:pPr>
              <w:pStyle w:val="CellColumn"/>
              <w:jc w:val="left"/>
            </w:pPr>
            <w:r>
              <w:rPr>
                <w:rFonts w:cs="Times New Roman"/>
              </w:rPr>
              <w:t>Postizanje željene dobne i obrazovne strukture osoblja primjerene za obavljanje poslova i zadaća MO i OS RH</w:t>
            </w:r>
          </w:p>
        </w:tc>
        <w:tc>
          <w:tcPr>
            <w:tcW w:w="1020" w:type="dxa"/>
          </w:tcPr>
          <w:p w:rsidR="005C2091" w:rsidRDefault="00A86293">
            <w:pPr>
              <w:pStyle w:val="CellColumn"/>
              <w:jc w:val="right"/>
            </w:pPr>
            <w:r>
              <w:rPr>
                <w:rFonts w:cs="Times New Roman"/>
              </w:rPr>
              <w:t>Prosječna dob</w:t>
            </w:r>
          </w:p>
        </w:tc>
        <w:tc>
          <w:tcPr>
            <w:tcW w:w="1020" w:type="dxa"/>
          </w:tcPr>
          <w:p w:rsidR="005C2091" w:rsidRDefault="00A86293">
            <w:pPr>
              <w:pStyle w:val="CellColumn"/>
              <w:jc w:val="right"/>
            </w:pPr>
            <w:r>
              <w:rPr>
                <w:rFonts w:cs="Times New Roman"/>
              </w:rPr>
              <w:t>38,39</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38,4</w:t>
            </w:r>
          </w:p>
        </w:tc>
        <w:tc>
          <w:tcPr>
            <w:tcW w:w="1020" w:type="dxa"/>
          </w:tcPr>
          <w:p w:rsidR="005C2091" w:rsidRDefault="00A86293">
            <w:pPr>
              <w:pStyle w:val="CellColumn"/>
              <w:jc w:val="right"/>
            </w:pPr>
            <w:r>
              <w:rPr>
                <w:rFonts w:cs="Times New Roman"/>
              </w:rPr>
              <w:t>38,24</w:t>
            </w:r>
          </w:p>
        </w:tc>
      </w:tr>
    </w:tbl>
    <w:p w:rsidR="005C2091" w:rsidRDefault="005C2091">
      <w:pPr>
        <w:jc w:val="left"/>
      </w:pPr>
    </w:p>
    <w:p w:rsidR="005C2091" w:rsidRDefault="00A86293">
      <w:pPr>
        <w:pStyle w:val="Heading4"/>
      </w:pPr>
      <w:r>
        <w:lastRenderedPageBreak/>
        <w:t>A545052 TROŠKOVI OSOBLJA I PERSONALNA POTPORA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A545052-TROŠKOVI OSOBLJA I PERSONALNA POTPORA</w:t>
            </w:r>
          </w:p>
        </w:tc>
        <w:tc>
          <w:tcPr>
            <w:tcW w:w="2041" w:type="dxa"/>
          </w:tcPr>
          <w:p w:rsidR="005C2091" w:rsidRDefault="00A86293">
            <w:pPr>
              <w:pStyle w:val="CellColumn"/>
              <w:jc w:val="right"/>
            </w:pPr>
            <w:r>
              <w:rPr>
                <w:rFonts w:cs="Times New Roman"/>
              </w:rPr>
              <w:t>2.476.496.963</w:t>
            </w:r>
          </w:p>
        </w:tc>
        <w:tc>
          <w:tcPr>
            <w:tcW w:w="2041" w:type="dxa"/>
          </w:tcPr>
          <w:p w:rsidR="005C2091" w:rsidRDefault="00A86293">
            <w:pPr>
              <w:pStyle w:val="CellColumn"/>
              <w:jc w:val="right"/>
            </w:pPr>
            <w:r>
              <w:rPr>
                <w:rFonts w:cs="Times New Roman"/>
              </w:rPr>
              <w:t>2.452.122.168</w:t>
            </w:r>
          </w:p>
        </w:tc>
        <w:tc>
          <w:tcPr>
            <w:tcW w:w="2041" w:type="dxa"/>
          </w:tcPr>
          <w:p w:rsidR="005C2091" w:rsidRDefault="00A86293">
            <w:pPr>
              <w:pStyle w:val="CellColumn"/>
              <w:jc w:val="right"/>
            </w:pPr>
            <w:r>
              <w:rPr>
                <w:rFonts w:cs="Times New Roman"/>
              </w:rPr>
              <w:t>2.451.662.292</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99,0</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službi u OS RH, Dugoročni plan razvoja OS RH 2015. – 2024., Zakon o državnim službenicima, Zakon o državnim službenicima i namještenicima, Zakon o radu, Zakon o mirovinskom osiguranju, Zakon o obveznom zdravstvenom osiguranju, Zakon o doprinosima za obvezna osiguranja, Zakon o porezu na dohodak, Kolektivni ugovor za državne službenike i namještenike, Uredba o vrijednosti koeficijenta osobnog čina za izračun plaće djelatne vojne osobe, Uredba o utvrđivanju dužnosti djelatnih vojnih osoba na kojima se staž osiguranja računa s povećanim trajanjem i načinu računanja toga staža, Uredba o nazivima radnih mjesta i koeficijentima složenosti poslova u državnoj službi, Pravilnik o dodacima na plaću djelatnih vojnih osoba, Pravilnik o uvjetima i postupku ostvarivanja naknade troškova prijevoza, Pravilnik o iznosu, uvjetima i postupku za ostvarivanje prava za jednokratnu novčanu pomoć, Pravilnik o vrstama pohvala i nagrada, uvjetima i postupku njihove dodjele, Pravilnik o standardima profesionalnog razvoja i postupku utvrđivanja nemogućnosti daljnjeg profesionalnog razvoja časnika, Pravilnik o standardima profesionalnog razvoja i postupku utvrđivanja nemogućnosti daljnjeg profesionalnog razvoja vojnika i dočasnika, Pravilnik o uvjetima i načinu ostvarivanja prava na kolektivno osiguranje od posljedica nesretnog slučaja, Pravilnik o postupku ostvarivanja prava i iznosu troškova pogreba, Pravilnik o stambenom zbrinjavanju, Pravilnik o utvrđivanju zdravstvene sposobnosti za vojnu službu, Pravilnik o postupku i ovlastima za ostvarivanje prava na zdravstvenu zaštitu i prava na zdravstveno osiguranje pripadnika OS, Pravilnik o zdravstvenoj potpori u OS RH, Odluka o radnim uvjetima na kojima se zbog potrebnih uvjeta rada, težine i naravi poslova i odgovornosti uvećava osnovna plaća državnih službenika i namještenika, Odluka o veličini, sastavu i mobilizacijskom razvoju OS RH, Odluka o rasporedu radnog vremena, Odluka o visini otpremnine za djelatne vojne osobe kojima služba prestane zbog preustroja ili smanjenja snaga s pravom na mirovinu, Odluka o visini otpremnine za državne službenike i namještenike MO i OS RH kojima služba prestaje zbog preustroja ili smanjenja snaga, Odluka o naknadi za stanovanje, Odluka o utvrđivanju programa tranzicije i zbrinjavanja i načinu njegove provedbe, Odluka o naknadama za sudjelovanje u nastavi na Hrvatskom vojnom učilištu „Petar Zrinski.</w:t>
      </w:r>
    </w:p>
    <w:p w:rsidR="005C2091" w:rsidRDefault="00A86293">
      <w:pPr>
        <w:pStyle w:val="Heading8"/>
        <w:jc w:val="left"/>
      </w:pPr>
      <w:r>
        <w:t>Opis aktivnosti</w:t>
      </w:r>
    </w:p>
    <w:p w:rsidR="005C2091" w:rsidRDefault="00A86293">
      <w:r>
        <w:t xml:space="preserve">Aktivnost se ostvaruje kroz učinkoviti sustav potpore svim kategorijama zaposlenih u Ministarstvu obrane i Oružanim snagama Republike Hrvatske. Cilj aktivnosti je omogućiti nesmetano funkcioniranje sustava ljudskih resursa, koji svojom veličinom i strukturom moraju odgovoriti na realne procjene prijetnji, rizika, misija i zadaća te preuzetih obveza u međunarodnim okvirima. Troškovi osoblja obuhvaćaju plaće, doprinose, naknade i ostale rashode za zaposlene. Izdvajanjem neperspektivnog osoblja osigurava se protočnost osoblja u obrambenom sustavu i popravlja njegova dobna i kvalifikacijska struktura. Jedan od segmenata potpore i organizacijske kulture je i uspostava standarda dostojanstvenog izdvajanja, kao i institucionalne potpore u prijelazu iz vojne karijere u civilnu. Personalna potpora obuhvaća područja skrbi o obitelji, psihološke potpore, stambenog zbrinjavanja, zdravstvene skrbi. Obuhvaća i kineziološke aktivnosti vezane uz odmor, dopust i slobodno vrijeme, održavanje i unapređenje opće tjelesne i radne sposobnosti te poboljšanje motoričkih sposobnosti djelatnika Ministarstva obrane i pripadnika Oružanih snaga RH. Zdravstvena skrb, pored brige o zaštiti zdravlja djelatnika Ministarstva obrane i pripadnika Oružanih snaga RH, obuhvaća i zaštitu zdravlja službenih životinja. Svrha personalne potpore je podizanje kvalitete življenja pojedinca koja izravno utječe na pribavljanje i zadržavanje kvalitetnog osoblja te profesionalni razvoj svih kategorija osoblja. Realizacija u 2016. odnosi se na isplatu plaća i doprinosa, otpremnina, jubilarnih nagrada, nagrada vojnicima, regresa, božićnice, dara za djecu, naknada zaposlenima, na rashode za usluge prijevoza na posao i s posla, zdravstvene preglede, lijekove, zdravstveni, stomatološki, veterinarski i laboratorijski </w:t>
      </w:r>
      <w:r>
        <w:lastRenderedPageBreak/>
        <w:t>materijal,  psihološka testiranja, osiguranje djelatnika, refundaciju troškova obrazovanja za novu karijeru, novčanu pomoć djeci djelatnika umrlih u svezi s obavljanjem službe, za troškove pogreba umrlih djelatnika.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zaposlenih</w:t>
            </w:r>
          </w:p>
        </w:tc>
        <w:tc>
          <w:tcPr>
            <w:tcW w:w="2551" w:type="dxa"/>
          </w:tcPr>
          <w:p w:rsidR="005C2091" w:rsidRDefault="00A86293">
            <w:pPr>
              <w:pStyle w:val="CellColumn"/>
              <w:jc w:val="left"/>
            </w:pPr>
            <w:r>
              <w:rPr>
                <w:rFonts w:cs="Times New Roman"/>
              </w:rPr>
              <w:t>Ukupan broj djelatnog vojnog i civilnog osoblja u MO i OS RH</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17368</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17160</w:t>
            </w:r>
          </w:p>
        </w:tc>
        <w:tc>
          <w:tcPr>
            <w:tcW w:w="1020" w:type="dxa"/>
          </w:tcPr>
          <w:p w:rsidR="005C2091" w:rsidRDefault="00A86293">
            <w:pPr>
              <w:pStyle w:val="CellColumn"/>
              <w:jc w:val="right"/>
            </w:pPr>
            <w:r>
              <w:rPr>
                <w:rFonts w:cs="Times New Roman"/>
              </w:rPr>
              <w:t>17249</w:t>
            </w:r>
          </w:p>
        </w:tc>
      </w:tr>
      <w:tr w:rsidR="005C2091">
        <w:trPr>
          <w:jc w:val="center"/>
        </w:trPr>
        <w:tc>
          <w:tcPr>
            <w:tcW w:w="2551" w:type="dxa"/>
          </w:tcPr>
          <w:p w:rsidR="005C2091" w:rsidRDefault="00A86293">
            <w:pPr>
              <w:pStyle w:val="CellColumn"/>
              <w:jc w:val="left"/>
            </w:pPr>
            <w:r>
              <w:rPr>
                <w:rFonts w:cs="Times New Roman"/>
              </w:rPr>
              <w:t>Broj izdvojenih osoba</w:t>
            </w:r>
          </w:p>
        </w:tc>
        <w:tc>
          <w:tcPr>
            <w:tcW w:w="2551" w:type="dxa"/>
          </w:tcPr>
          <w:p w:rsidR="005C2091" w:rsidRDefault="00A86293">
            <w:pPr>
              <w:pStyle w:val="CellColumn"/>
              <w:jc w:val="left"/>
            </w:pPr>
            <w:r>
              <w:rPr>
                <w:rFonts w:cs="Times New Roman"/>
              </w:rPr>
              <w:t>Izdvajanjem neperspektivnog osoblja osigurava se protočnost osoblja u obramben om sustavu i popravlja njegova dobna i kvalifikacijska struktura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1385</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800</w:t>
            </w:r>
          </w:p>
        </w:tc>
        <w:tc>
          <w:tcPr>
            <w:tcW w:w="1020" w:type="dxa"/>
          </w:tcPr>
          <w:p w:rsidR="005C2091" w:rsidRDefault="00A86293">
            <w:pPr>
              <w:pStyle w:val="CellColumn"/>
              <w:jc w:val="right"/>
            </w:pPr>
            <w:r>
              <w:rPr>
                <w:rFonts w:cs="Times New Roman"/>
              </w:rPr>
              <w:t>1025</w:t>
            </w:r>
          </w:p>
        </w:tc>
      </w:tr>
      <w:tr w:rsidR="005C2091">
        <w:trPr>
          <w:jc w:val="center"/>
        </w:trPr>
        <w:tc>
          <w:tcPr>
            <w:tcW w:w="2551" w:type="dxa"/>
          </w:tcPr>
          <w:p w:rsidR="005C2091" w:rsidRDefault="00A86293">
            <w:pPr>
              <w:pStyle w:val="CellColumn"/>
              <w:jc w:val="left"/>
            </w:pPr>
            <w:r>
              <w:rPr>
                <w:rFonts w:cs="Times New Roman"/>
              </w:rPr>
              <w:t>Broj zdravstvenih pregleda</w:t>
            </w:r>
          </w:p>
        </w:tc>
        <w:tc>
          <w:tcPr>
            <w:tcW w:w="2551" w:type="dxa"/>
          </w:tcPr>
          <w:p w:rsidR="005C2091" w:rsidRDefault="00A86293">
            <w:pPr>
              <w:pStyle w:val="CellColumn"/>
              <w:jc w:val="left"/>
            </w:pPr>
            <w:r>
              <w:rPr>
                <w:rFonts w:cs="Times New Roman"/>
              </w:rPr>
              <w:t>Redovitim zdravstvenim pregledima skrbi se o zdravlju osoblja i povećava se spremnost Oružanih snaga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4355</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4500</w:t>
            </w:r>
          </w:p>
        </w:tc>
        <w:tc>
          <w:tcPr>
            <w:tcW w:w="1020" w:type="dxa"/>
          </w:tcPr>
          <w:p w:rsidR="005C2091" w:rsidRDefault="00A86293">
            <w:pPr>
              <w:pStyle w:val="CellColumn"/>
              <w:jc w:val="right"/>
            </w:pPr>
            <w:r>
              <w:rPr>
                <w:rFonts w:cs="Times New Roman"/>
              </w:rPr>
              <w:t>4414</w:t>
            </w:r>
          </w:p>
        </w:tc>
      </w:tr>
    </w:tbl>
    <w:p w:rsidR="005C2091" w:rsidRDefault="005C2091">
      <w:pPr>
        <w:jc w:val="left"/>
      </w:pPr>
    </w:p>
    <w:p w:rsidR="005C2091" w:rsidRDefault="00A86293">
      <w:pPr>
        <w:pStyle w:val="Heading4"/>
      </w:pPr>
      <w:r>
        <w:t>A545053 PRIBAVLJANJE OSOBLJA I IZOBRAZBA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A545053-PRIBAVLJANJE OSOBLJA I IZOBRAZBA</w:t>
            </w:r>
          </w:p>
        </w:tc>
        <w:tc>
          <w:tcPr>
            <w:tcW w:w="2041" w:type="dxa"/>
          </w:tcPr>
          <w:p w:rsidR="005C2091" w:rsidRDefault="00A86293">
            <w:pPr>
              <w:pStyle w:val="CellColumn"/>
              <w:jc w:val="right"/>
            </w:pPr>
            <w:r>
              <w:rPr>
                <w:rFonts w:cs="Times New Roman"/>
              </w:rPr>
              <w:t>10.589.316</w:t>
            </w:r>
          </w:p>
        </w:tc>
        <w:tc>
          <w:tcPr>
            <w:tcW w:w="2041" w:type="dxa"/>
          </w:tcPr>
          <w:p w:rsidR="005C2091" w:rsidRDefault="00A86293">
            <w:pPr>
              <w:pStyle w:val="CellColumn"/>
              <w:jc w:val="right"/>
            </w:pPr>
            <w:r>
              <w:rPr>
                <w:rFonts w:cs="Times New Roman"/>
              </w:rPr>
              <w:t>11.290.550</w:t>
            </w:r>
          </w:p>
        </w:tc>
        <w:tc>
          <w:tcPr>
            <w:tcW w:w="2041" w:type="dxa"/>
          </w:tcPr>
          <w:p w:rsidR="005C2091" w:rsidRDefault="00A86293">
            <w:pPr>
              <w:pStyle w:val="CellColumn"/>
              <w:jc w:val="right"/>
            </w:pPr>
            <w:r>
              <w:rPr>
                <w:rFonts w:cs="Times New Roman"/>
              </w:rPr>
              <w:t>10.775.768</w:t>
            </w:r>
          </w:p>
        </w:tc>
        <w:tc>
          <w:tcPr>
            <w:tcW w:w="1224" w:type="dxa"/>
          </w:tcPr>
          <w:p w:rsidR="005C2091" w:rsidRDefault="00A86293">
            <w:pPr>
              <w:pStyle w:val="CellColumn"/>
              <w:jc w:val="right"/>
            </w:pPr>
            <w:r>
              <w:rPr>
                <w:rFonts w:cs="Times New Roman"/>
              </w:rPr>
              <w:t>95,4</w:t>
            </w:r>
          </w:p>
        </w:tc>
        <w:tc>
          <w:tcPr>
            <w:tcW w:w="1224" w:type="dxa"/>
          </w:tcPr>
          <w:p w:rsidR="005C2091" w:rsidRDefault="00A86293">
            <w:pPr>
              <w:pStyle w:val="CellColumn"/>
              <w:jc w:val="right"/>
            </w:pPr>
            <w:r>
              <w:rPr>
                <w:rFonts w:cs="Times New Roman"/>
              </w:rPr>
              <w:t>101,8</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službi u Oružanim snagama, Zakon o državnim službenicima, Pravilnik o dragovoljnom vojnom osposobljavanju, Pravilnik o utvrđivanju zdravstvenih, psihičkih, tjelesnih i sigurnosnih uvjeta za prijam u službu u Oružane snage Republike Hrvatske, Pravilnik o načinu i postupku privlačenja, oglašavanja i odabira za prijam u djelatnu vojnu službu i kadetsku službu, Pravilnik o kriterijima i postupku odabira osoba koje se upućuju na osposobljavanje za časnika, Pravilnik o ugovornoj pričuvi, Pravilnik o pravima, uvjetima i načinu korištenja zdravstvene zaštite u inozemstvu, Dugoročni plan razvoja OS RH 2015.-2024., Upute o vođenju evidencije vojnih obveznika, Pravilnik o izobrazbi, Uredba o oblicima, načinima i uvjetima izobrazbe državnih službenika, Koncept izobrazbe za potrebe OS RH, Odluka ministra obrane o provedbi programa izobrazbe pripadnika Oružanih snaga RH i djelatnika MORH-a u školama stranih jezika u RH, Odluka o civilno-vojnom školovanju i stipendiranju studenata od viših godina studija na preddiplomskim i diplomskim studijima u RH, Odluka o posebnoj naknadi djelatnoj vojnoj osobi upućenoj na izobrazbu i vojnu obuku u inozemstvo i djelatnoj vojnoj osobi upućenoj na izobrazbu izvan mjesta prebivališta u RH, Odluka o provedbi međunarodne vojne izobrazbe, Odluka o načinu i uvjetima sklapanja ugovora o kadetskoj službi i ugovora o stipendiranju, Odluka o civilno-vojnom školovanju i stipendiranju studenata-kadeta na preddiplomskim studijima u RH, Koncept civilno-vojnog školovanja i vojne obuke kadeta</w:t>
      </w:r>
    </w:p>
    <w:p w:rsidR="005C2091" w:rsidRDefault="00A86293">
      <w:pPr>
        <w:pStyle w:val="Heading8"/>
        <w:jc w:val="left"/>
      </w:pPr>
      <w:r>
        <w:t>Opis aktivnosti</w:t>
      </w:r>
    </w:p>
    <w:p w:rsidR="005C2091" w:rsidRDefault="00A86293">
      <w:r>
        <w:t xml:space="preserve">Pribavljanjem odgovarajućeg osoblja osigurava se poboljšanje dobne i kvalifikacijske strukture osoblja. Prijemu prethodi selekcija kandidata za dragovoljno vojno osposobljavanje, selekcija kandidata za prijam u djelatnu vojnu </w:t>
      </w:r>
      <w:r>
        <w:lastRenderedPageBreak/>
        <w:t>službu i selekcija kandidata za prijam u državnu službu. Izobrazbom pripadnika Ministarstva obrane i Oružanih snaga RH stječu se zahtijevana znanja, vještine i sposobnosti kompatibilne zahtjevima članstva u EU i NATO-u. Izobrazbe svih oblika provode se dijelom u zemlji, a dijelom i u inozemstvu. Realizacija u 2016. godini odnosi se na rashode vezane uz pribavljanje osoblja (zdravstveni pregledi, promidžba u medijima, troškovi putovanja), rashode za školovanje i izobrazbu (školarine, stipendije, stručno osposobljavanje, izobrazba u inozemstvu), rashode za redovno funkcioniranje područnih odjela i odsjeka za poslove obrane.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upućenih osoba na dragovoljno vojno osposobljavanje</w:t>
            </w:r>
          </w:p>
        </w:tc>
        <w:tc>
          <w:tcPr>
            <w:tcW w:w="2551" w:type="dxa"/>
          </w:tcPr>
          <w:p w:rsidR="005C2091" w:rsidRDefault="00A86293">
            <w:pPr>
              <w:pStyle w:val="CellColumn"/>
              <w:jc w:val="left"/>
            </w:pPr>
            <w:r>
              <w:rPr>
                <w:rFonts w:cs="Times New Roman"/>
              </w:rPr>
              <w:t>Dragovoljnim osposobljavanjem osigurava se kontingent za odabir za prijem u djelatnu službu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1002</w:t>
            </w:r>
          </w:p>
        </w:tc>
      </w:tr>
      <w:tr w:rsidR="005C2091">
        <w:trPr>
          <w:jc w:val="center"/>
        </w:trPr>
        <w:tc>
          <w:tcPr>
            <w:tcW w:w="2551" w:type="dxa"/>
          </w:tcPr>
          <w:p w:rsidR="005C2091" w:rsidRDefault="00A86293">
            <w:pPr>
              <w:pStyle w:val="CellColumn"/>
              <w:jc w:val="left"/>
            </w:pPr>
            <w:r>
              <w:rPr>
                <w:rFonts w:cs="Times New Roman"/>
              </w:rPr>
              <w:t>Broj pribavljenih osoba: vojnici, časnici i ugovorni pričuvnici</w:t>
            </w:r>
          </w:p>
        </w:tc>
        <w:tc>
          <w:tcPr>
            <w:tcW w:w="2551" w:type="dxa"/>
          </w:tcPr>
          <w:p w:rsidR="005C2091" w:rsidRDefault="00A86293">
            <w:pPr>
              <w:pStyle w:val="CellColumn"/>
              <w:jc w:val="left"/>
            </w:pPr>
            <w:r>
              <w:rPr>
                <w:rFonts w:cs="Times New Roman"/>
              </w:rPr>
              <w:t>Planskim pribavljanjem osigurava se potreban broj osoblja za popunu MO i OS RH</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633</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862</w:t>
            </w:r>
          </w:p>
        </w:tc>
        <w:tc>
          <w:tcPr>
            <w:tcW w:w="1020" w:type="dxa"/>
          </w:tcPr>
          <w:p w:rsidR="005C2091" w:rsidRDefault="00A86293">
            <w:pPr>
              <w:pStyle w:val="CellColumn"/>
              <w:jc w:val="right"/>
            </w:pPr>
            <w:r>
              <w:rPr>
                <w:rFonts w:cs="Times New Roman"/>
              </w:rPr>
              <w:t>908</w:t>
            </w:r>
          </w:p>
        </w:tc>
      </w:tr>
      <w:tr w:rsidR="005C2091">
        <w:trPr>
          <w:jc w:val="center"/>
        </w:trPr>
        <w:tc>
          <w:tcPr>
            <w:tcW w:w="2551" w:type="dxa"/>
          </w:tcPr>
          <w:p w:rsidR="005C2091" w:rsidRDefault="00A86293">
            <w:pPr>
              <w:pStyle w:val="CellColumn"/>
              <w:jc w:val="left"/>
            </w:pPr>
            <w:r>
              <w:rPr>
                <w:rFonts w:cs="Times New Roman"/>
              </w:rPr>
              <w:t>Broj polaznika izobrazbe</w:t>
            </w:r>
          </w:p>
        </w:tc>
        <w:tc>
          <w:tcPr>
            <w:tcW w:w="2551" w:type="dxa"/>
          </w:tcPr>
          <w:p w:rsidR="005C2091" w:rsidRDefault="00A86293">
            <w:pPr>
              <w:pStyle w:val="CellColumn"/>
              <w:jc w:val="left"/>
            </w:pPr>
            <w:r>
              <w:rPr>
                <w:rFonts w:cs="Times New Roman"/>
              </w:rPr>
              <w:t>Izobrazbo m se postiže viši stupanj osposobljenosti za obnašanje dužnosti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1234</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907</w:t>
            </w:r>
          </w:p>
        </w:tc>
      </w:tr>
    </w:tbl>
    <w:p w:rsidR="005C2091" w:rsidRDefault="005C2091">
      <w:pPr>
        <w:jc w:val="left"/>
      </w:pPr>
    </w:p>
    <w:p w:rsidR="005C2091" w:rsidRDefault="00A86293">
      <w:pPr>
        <w:pStyle w:val="Heading3"/>
      </w:pPr>
      <w:r>
        <w:rPr>
          <w:rFonts w:cs="Times New Roman"/>
        </w:rPr>
        <w:t>2506 KOMUNIKACIJSKO-INFORMACIJSKI SUSTAVI I POTPORA</w:t>
      </w:r>
    </w:p>
    <w:tbl>
      <w:tblPr>
        <w:tblStyle w:val="StilTablice"/>
        <w:tblW w:w="10206" w:type="dxa"/>
        <w:jc w:val="center"/>
        <w:tblLook w:val="04A0" w:firstRow="1" w:lastRow="0" w:firstColumn="1" w:lastColumn="0" w:noHBand="0" w:noVBand="1"/>
      </w:tblPr>
      <w:tblGrid>
        <w:gridCol w:w="1970"/>
        <w:gridCol w:w="1943"/>
        <w:gridCol w:w="1944"/>
        <w:gridCol w:w="1944"/>
        <w:gridCol w:w="1197"/>
        <w:gridCol w:w="1208"/>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2506-KOMUNIKACIJSKO-INFORMACIJSKI SUSTAVI I POTPORA</w:t>
            </w:r>
          </w:p>
        </w:tc>
        <w:tc>
          <w:tcPr>
            <w:tcW w:w="2041" w:type="dxa"/>
          </w:tcPr>
          <w:p w:rsidR="005C2091" w:rsidRDefault="00A86293">
            <w:pPr>
              <w:pStyle w:val="CellColumn"/>
              <w:jc w:val="right"/>
            </w:pPr>
            <w:r>
              <w:rPr>
                <w:rFonts w:cs="Times New Roman"/>
              </w:rPr>
              <w:t>248.827.991</w:t>
            </w:r>
          </w:p>
        </w:tc>
        <w:tc>
          <w:tcPr>
            <w:tcW w:w="2041" w:type="dxa"/>
          </w:tcPr>
          <w:p w:rsidR="005C2091" w:rsidRDefault="00A86293">
            <w:pPr>
              <w:pStyle w:val="CellColumn"/>
              <w:jc w:val="right"/>
            </w:pPr>
            <w:r>
              <w:rPr>
                <w:rFonts w:cs="Times New Roman"/>
              </w:rPr>
              <w:t>186.970.135</w:t>
            </w:r>
          </w:p>
        </w:tc>
        <w:tc>
          <w:tcPr>
            <w:tcW w:w="2041" w:type="dxa"/>
          </w:tcPr>
          <w:p w:rsidR="005C2091" w:rsidRDefault="00A86293">
            <w:pPr>
              <w:pStyle w:val="CellColumn"/>
              <w:jc w:val="right"/>
            </w:pPr>
            <w:r>
              <w:rPr>
                <w:rFonts w:cs="Times New Roman"/>
              </w:rPr>
              <w:t>182.392.674</w:t>
            </w:r>
          </w:p>
        </w:tc>
        <w:tc>
          <w:tcPr>
            <w:tcW w:w="1224" w:type="dxa"/>
          </w:tcPr>
          <w:p w:rsidR="005C2091" w:rsidRDefault="00A86293">
            <w:pPr>
              <w:pStyle w:val="CellColumn"/>
              <w:jc w:val="right"/>
            </w:pPr>
            <w:r>
              <w:rPr>
                <w:rFonts w:cs="Times New Roman"/>
              </w:rPr>
              <w:t>97,6</w:t>
            </w:r>
          </w:p>
        </w:tc>
        <w:tc>
          <w:tcPr>
            <w:tcW w:w="1224" w:type="dxa"/>
          </w:tcPr>
          <w:p w:rsidR="005C2091" w:rsidRDefault="00A86293">
            <w:pPr>
              <w:pStyle w:val="CellColumn"/>
              <w:jc w:val="right"/>
            </w:pPr>
            <w:r>
              <w:rPr>
                <w:rFonts w:cs="Times New Roman"/>
              </w:rPr>
              <w:t>73,3</w:t>
            </w:r>
          </w:p>
        </w:tc>
      </w:tr>
    </w:tbl>
    <w:p w:rsidR="005C2091" w:rsidRDefault="005C2091">
      <w:pPr>
        <w:jc w:val="left"/>
      </w:pPr>
    </w:p>
    <w:p w:rsidR="005C2091" w:rsidRDefault="00A86293">
      <w:r>
        <w:t>Planskim opremanjem, modernizacijom i održavanjem komunikacijsko¬informacijskih sustava, te osiguranjem potrebnih komunikacijsko-informacijskih usluga osigurava se funkcionalni komunikacijsko-informacijski sustav. Provodi se i opća potpora u učinkovitom funkcioniranju Ministarstva obrane kroz administrativnu  i sigurnosnu potporu, izdavačku djelatnost te ostvarivanje duhovne skrbi djelatnika.</w:t>
      </w:r>
    </w:p>
    <w:p w:rsidR="005C2091" w:rsidRDefault="00A86293">
      <w:pPr>
        <w:pStyle w:val="Heading8"/>
        <w:jc w:val="left"/>
      </w:pPr>
      <w:r>
        <w:t xml:space="preserve">Cilj 1. Konsolidirati komunikacijsko-informacijski sustav i osigurati učinkovitu opću potporu </w:t>
      </w:r>
    </w:p>
    <w:p w:rsidR="005C2091" w:rsidRDefault="00A86293">
      <w:pPr>
        <w:pStyle w:val="Heading8"/>
        <w:jc w:val="left"/>
      </w:pPr>
      <w:r>
        <w:t>Opis provedbe cilja programa</w:t>
      </w:r>
    </w:p>
    <w:p w:rsidR="005C2091" w:rsidRDefault="00A86293">
      <w:r>
        <w:t>Konsolidacijom komunikacijsko-informacijskog sustava osigurava se unapređenje učinkovitosti informacijskih sustava uz potrebnu modernizaciju, promjenu aplikativnih rješenja, realizaciju deklariranih ciljeva snaga i uspostavu nove organizacijske komunikacijsko-informacijske strukture. U provedbi cilja osigurava se potpora u funkcioniranju Ministarstva obrane te primjena standarda i protokola kojima se osigurava učinkovito ispunjavanje operativnih zahtjeva na nacionalnoj razini, prema NATO-u te interoperabilnost.</w:t>
      </w:r>
    </w:p>
    <w:p w:rsidR="005C2091" w:rsidRDefault="00A86293">
      <w:pPr>
        <w:pStyle w:val="Heading8"/>
        <w:jc w:val="left"/>
      </w:pPr>
      <w:r>
        <w:lastRenderedPageBreak/>
        <w:t>Pokazatelji učinka</w:t>
      </w:r>
    </w:p>
    <w:tbl>
      <w:tblPr>
        <w:tblStyle w:val="StilTablice"/>
        <w:tblW w:w="10206" w:type="dxa"/>
        <w:jc w:val="center"/>
        <w:tblLook w:val="04A0" w:firstRow="1" w:lastRow="0" w:firstColumn="1" w:lastColumn="0" w:noHBand="0" w:noVBand="1"/>
      </w:tblPr>
      <w:tblGrid>
        <w:gridCol w:w="2487"/>
        <w:gridCol w:w="2487"/>
        <w:gridCol w:w="1181"/>
        <w:gridCol w:w="1014"/>
        <w:gridCol w:w="1009"/>
        <w:gridCol w:w="1014"/>
        <w:gridCol w:w="1014"/>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Ostvarenje ciljane funkcionalnosti komunikacijsko-informacijskog sustava i osiguranje učinkovite opće potpore</w:t>
            </w:r>
          </w:p>
        </w:tc>
        <w:tc>
          <w:tcPr>
            <w:tcW w:w="2551" w:type="dxa"/>
          </w:tcPr>
          <w:p w:rsidR="005C2091" w:rsidRDefault="00A86293">
            <w:pPr>
              <w:pStyle w:val="CellColumn"/>
              <w:jc w:val="left"/>
            </w:pPr>
            <w:r>
              <w:rPr>
                <w:rFonts w:cs="Times New Roman"/>
              </w:rPr>
              <w:t>Modularno izgrađeni interoperabilni komunikacijsko-informacijski sustavi podižu učinkovitost obavljanja poslova i zadaća</w:t>
            </w:r>
          </w:p>
        </w:tc>
        <w:tc>
          <w:tcPr>
            <w:tcW w:w="1020" w:type="dxa"/>
          </w:tcPr>
          <w:p w:rsidR="005C2091" w:rsidRDefault="00A86293">
            <w:pPr>
              <w:pStyle w:val="CellColumn"/>
              <w:jc w:val="right"/>
            </w:pPr>
            <w:r>
              <w:rPr>
                <w:rFonts w:cs="Times New Roman"/>
              </w:rPr>
              <w:t>% konsolidacije</w:t>
            </w:r>
          </w:p>
        </w:tc>
        <w:tc>
          <w:tcPr>
            <w:tcW w:w="1020" w:type="dxa"/>
          </w:tcPr>
          <w:p w:rsidR="005C2091" w:rsidRDefault="00A86293">
            <w:pPr>
              <w:pStyle w:val="CellColumn"/>
              <w:jc w:val="right"/>
            </w:pPr>
            <w:r>
              <w:rPr>
                <w:rFonts w:cs="Times New Roman"/>
              </w:rPr>
              <w:t>40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45</w:t>
            </w:r>
          </w:p>
        </w:tc>
      </w:tr>
    </w:tbl>
    <w:p w:rsidR="005C2091" w:rsidRDefault="005C2091">
      <w:pPr>
        <w:jc w:val="left"/>
      </w:pPr>
    </w:p>
    <w:p w:rsidR="008846BB" w:rsidRDefault="008846BB">
      <w:pPr>
        <w:jc w:val="left"/>
      </w:pPr>
    </w:p>
    <w:p w:rsidR="005C2091" w:rsidRDefault="00A86293">
      <w:pPr>
        <w:pStyle w:val="Heading4"/>
      </w:pPr>
      <w:r>
        <w:t>A545054 OPREMANJE I MODERNIZACIJA KOMUNIKACIJSKO-INFORMACIJSKIM SUSTAVIMA</w:t>
      </w:r>
    </w:p>
    <w:tbl>
      <w:tblPr>
        <w:tblStyle w:val="StilTablice"/>
        <w:tblW w:w="10206" w:type="dxa"/>
        <w:jc w:val="center"/>
        <w:tblLook w:val="04A0" w:firstRow="1" w:lastRow="0" w:firstColumn="1" w:lastColumn="0" w:noHBand="0" w:noVBand="1"/>
      </w:tblPr>
      <w:tblGrid>
        <w:gridCol w:w="1970"/>
        <w:gridCol w:w="1942"/>
        <w:gridCol w:w="1943"/>
        <w:gridCol w:w="1943"/>
        <w:gridCol w:w="1199"/>
        <w:gridCol w:w="120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A545054-OPREMANJE I MODERNIZACIJA KOMUNIKACIJSKO-INFORMACIJSKIM SUSTAVIMA</w:t>
            </w:r>
          </w:p>
        </w:tc>
        <w:tc>
          <w:tcPr>
            <w:tcW w:w="2041" w:type="dxa"/>
          </w:tcPr>
          <w:p w:rsidR="005C2091" w:rsidRDefault="00A86293">
            <w:pPr>
              <w:pStyle w:val="CellColumn"/>
              <w:jc w:val="right"/>
            </w:pPr>
            <w:r>
              <w:rPr>
                <w:rFonts w:cs="Times New Roman"/>
              </w:rPr>
              <w:t>51.655.407</w:t>
            </w:r>
          </w:p>
        </w:tc>
        <w:tc>
          <w:tcPr>
            <w:tcW w:w="2041" w:type="dxa"/>
          </w:tcPr>
          <w:p w:rsidR="005C2091" w:rsidRDefault="00A86293">
            <w:pPr>
              <w:pStyle w:val="CellColumn"/>
              <w:jc w:val="right"/>
            </w:pPr>
            <w:r>
              <w:rPr>
                <w:rFonts w:cs="Times New Roman"/>
              </w:rPr>
              <w:t>32.159.965</w:t>
            </w:r>
          </w:p>
        </w:tc>
        <w:tc>
          <w:tcPr>
            <w:tcW w:w="2041" w:type="dxa"/>
          </w:tcPr>
          <w:p w:rsidR="005C2091" w:rsidRDefault="00A86293">
            <w:pPr>
              <w:pStyle w:val="CellColumn"/>
              <w:jc w:val="right"/>
            </w:pPr>
            <w:r>
              <w:rPr>
                <w:rFonts w:cs="Times New Roman"/>
              </w:rPr>
              <w:t>33.858.257</w:t>
            </w:r>
          </w:p>
        </w:tc>
        <w:tc>
          <w:tcPr>
            <w:tcW w:w="1224" w:type="dxa"/>
          </w:tcPr>
          <w:p w:rsidR="005C2091" w:rsidRDefault="00A86293">
            <w:pPr>
              <w:pStyle w:val="CellColumn"/>
              <w:jc w:val="right"/>
            </w:pPr>
            <w:r>
              <w:rPr>
                <w:rFonts w:cs="Times New Roman"/>
              </w:rPr>
              <w:t>105,3</w:t>
            </w:r>
          </w:p>
        </w:tc>
        <w:tc>
          <w:tcPr>
            <w:tcW w:w="1224" w:type="dxa"/>
          </w:tcPr>
          <w:p w:rsidR="005C2091" w:rsidRDefault="00A86293">
            <w:pPr>
              <w:pStyle w:val="CellColumn"/>
              <w:jc w:val="right"/>
            </w:pPr>
            <w:r>
              <w:rPr>
                <w:rFonts w:cs="Times New Roman"/>
              </w:rPr>
              <w:t>65,5</w:t>
            </w:r>
          </w:p>
        </w:tc>
      </w:tr>
    </w:tbl>
    <w:p w:rsidR="005C2091" w:rsidRDefault="005C2091">
      <w:pPr>
        <w:jc w:val="left"/>
      </w:pPr>
    </w:p>
    <w:p w:rsidR="005C2091" w:rsidRDefault="00A86293">
      <w:pPr>
        <w:pStyle w:val="Heading8"/>
        <w:jc w:val="left"/>
      </w:pPr>
      <w:r>
        <w:t>Zakonske i druge pravne osnove</w:t>
      </w:r>
    </w:p>
    <w:p w:rsidR="005C2091" w:rsidRDefault="00A86293">
      <w:r>
        <w:t>Zakon o obrani, Dugoročni plan razvoja OS RH 2015. – 2024., Pravilnik o načinu materijalnog zbrinjavanja OS RH (glava 4), Zakon o informacijskoj sigurnosti,  Pravilnik o upotrebi nepokretnih telefonskih priključaka, Pravilnik o standardima organizacije i upravljanja područjem sigurnosti informacijskih sustava, Pravilnik o informacijskoj sigurnosti MO i OS RH, Pravilnik o postupanju s kriptografskim dokumentima i kriptografskom opremom za zaštitu klasificiranih podataka, Pravilnik o standardima sigurnosti informacijskih sustava, Uredba o mjerama informacijske sigurnosti</w:t>
      </w:r>
    </w:p>
    <w:p w:rsidR="005C2091" w:rsidRDefault="00A86293">
      <w:pPr>
        <w:pStyle w:val="Heading8"/>
        <w:jc w:val="left"/>
      </w:pPr>
      <w:r>
        <w:t>Opis aktivnosti</w:t>
      </w:r>
    </w:p>
    <w:p w:rsidR="005C2091" w:rsidRDefault="00A86293">
      <w:r>
        <w:t>Opremanjem i modernizacijom komunikacijsko-informacijskog sustava uspostavlja se integrirani i cjeloviti način upravljanja najvažnijim obrambenim resursima (ljudski, materijalni, financijski). Aktivnost se realizira opremanjem i modernizacijom vojne informacijsko-komunikacijske opreme, razvojem informacijskih sustava, opremanjem programskom podrškom (nabava licenci), opremanjem i modernizacijom računalne, mrežne i komunikacijske opreme. Tijekom 2016. nabavljena je komunikacijska oprema za opremanje vojnika i vojnih komunikacijskih sustava te elektronička vojna oprema.  Izvršena je nadogradnja i modernizacija informacijskih sustava za upravljanje poslovnim procesima financija i proračuna te ljudskih resursa. Nabavljeni su programski alati, sistemski softveri i licence,  korisnička računala i ostala računalna oprema, mrežna oprema za modernizaciju komunikacijsko-informacijske infrastrukture, te rješenja za podizanje sigurnosti komunikacijsko-informacijskog sustava. Izvršenje aktivnosti veće je od plana za 2016. godinu jer su u izvršenju obuhvaćeni rashodi koji su financirani iz ostvarenih prihoda Ministarstva obrane, a koji se sukladno Zakonu o proračunu mogu izvršavati iznad planiranog iznosa, a do visine ostvarenih prihoda.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Broj novih informatiziranih poslovnih modula</w:t>
            </w:r>
          </w:p>
        </w:tc>
        <w:tc>
          <w:tcPr>
            <w:tcW w:w="2551" w:type="dxa"/>
          </w:tcPr>
          <w:p w:rsidR="005C2091" w:rsidRDefault="00A86293">
            <w:pPr>
              <w:pStyle w:val="CellColumn"/>
              <w:jc w:val="left"/>
            </w:pPr>
            <w:r>
              <w:rPr>
                <w:rFonts w:cs="Times New Roman"/>
              </w:rPr>
              <w:t>Dijelovi poslovnih procesa koji su informatizirani</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3</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3</w:t>
            </w:r>
          </w:p>
        </w:tc>
      </w:tr>
      <w:tr w:rsidR="005C2091">
        <w:trPr>
          <w:jc w:val="center"/>
        </w:trPr>
        <w:tc>
          <w:tcPr>
            <w:tcW w:w="2551" w:type="dxa"/>
          </w:tcPr>
          <w:p w:rsidR="005C2091" w:rsidRDefault="00A86293">
            <w:pPr>
              <w:pStyle w:val="CellColumn"/>
              <w:jc w:val="left"/>
            </w:pPr>
            <w:r>
              <w:rPr>
                <w:rFonts w:cs="Times New Roman"/>
              </w:rPr>
              <w:t>Broj nabavljenih korisničkih računala</w:t>
            </w:r>
          </w:p>
        </w:tc>
        <w:tc>
          <w:tcPr>
            <w:tcW w:w="2551" w:type="dxa"/>
          </w:tcPr>
          <w:p w:rsidR="005C2091" w:rsidRDefault="00A86293">
            <w:pPr>
              <w:pStyle w:val="CellColumn"/>
              <w:jc w:val="left"/>
            </w:pPr>
            <w:r>
              <w:rPr>
                <w:rFonts w:cs="Times New Roman"/>
              </w:rPr>
              <w:t>Opremanjem računalima podiže se razina učinkovitosti</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800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800</w:t>
            </w:r>
          </w:p>
        </w:tc>
        <w:tc>
          <w:tcPr>
            <w:tcW w:w="1020" w:type="dxa"/>
          </w:tcPr>
          <w:p w:rsidR="005C2091" w:rsidRDefault="00A86293">
            <w:pPr>
              <w:pStyle w:val="CellColumn"/>
              <w:jc w:val="right"/>
            </w:pPr>
            <w:r>
              <w:rPr>
                <w:rFonts w:cs="Times New Roman"/>
              </w:rPr>
              <w:t>800</w:t>
            </w:r>
          </w:p>
        </w:tc>
      </w:tr>
      <w:tr w:rsidR="005C2091">
        <w:trPr>
          <w:jc w:val="center"/>
        </w:trPr>
        <w:tc>
          <w:tcPr>
            <w:tcW w:w="2551" w:type="dxa"/>
          </w:tcPr>
          <w:p w:rsidR="005C2091" w:rsidRDefault="00A86293">
            <w:pPr>
              <w:pStyle w:val="CellColumn"/>
              <w:jc w:val="left"/>
            </w:pPr>
            <w:r>
              <w:rPr>
                <w:rFonts w:cs="Times New Roman"/>
              </w:rPr>
              <w:t>Broj nabavljenih vojnih komunikacijskih uređaja</w:t>
            </w:r>
          </w:p>
        </w:tc>
        <w:tc>
          <w:tcPr>
            <w:tcW w:w="2551" w:type="dxa"/>
          </w:tcPr>
          <w:p w:rsidR="005C2091" w:rsidRDefault="00A86293">
            <w:pPr>
              <w:pStyle w:val="CellColumn"/>
              <w:jc w:val="left"/>
            </w:pPr>
            <w:r>
              <w:rPr>
                <w:rFonts w:cs="Times New Roman"/>
              </w:rPr>
              <w:t>Opremanjem komunikacijskim uređajima unapređuju se sposobnosti Oružanih snaga</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250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250</w:t>
            </w:r>
          </w:p>
        </w:tc>
        <w:tc>
          <w:tcPr>
            <w:tcW w:w="1020" w:type="dxa"/>
          </w:tcPr>
          <w:p w:rsidR="005C2091" w:rsidRDefault="00A86293">
            <w:pPr>
              <w:pStyle w:val="CellColumn"/>
              <w:jc w:val="right"/>
            </w:pPr>
            <w:r>
              <w:rPr>
                <w:rFonts w:cs="Times New Roman"/>
              </w:rPr>
              <w:t>250</w:t>
            </w:r>
          </w:p>
        </w:tc>
      </w:tr>
    </w:tbl>
    <w:p w:rsidR="005C2091" w:rsidRDefault="005C2091">
      <w:pPr>
        <w:jc w:val="left"/>
      </w:pPr>
    </w:p>
    <w:p w:rsidR="005C2091" w:rsidRDefault="00A86293">
      <w:pPr>
        <w:pStyle w:val="Heading4"/>
      </w:pPr>
      <w:r>
        <w:t>A545055 ODRŽAVANJE KOMUNIKACIJSKO-INFORMACIJSKIH SUSTAVA</w:t>
      </w:r>
    </w:p>
    <w:tbl>
      <w:tblPr>
        <w:tblStyle w:val="StilTablice"/>
        <w:tblW w:w="10206" w:type="dxa"/>
        <w:jc w:val="center"/>
        <w:tblLook w:val="04A0" w:firstRow="1" w:lastRow="0" w:firstColumn="1" w:lastColumn="0" w:noHBand="0" w:noVBand="1"/>
      </w:tblPr>
      <w:tblGrid>
        <w:gridCol w:w="1970"/>
        <w:gridCol w:w="1942"/>
        <w:gridCol w:w="1943"/>
        <w:gridCol w:w="1943"/>
        <w:gridCol w:w="1199"/>
        <w:gridCol w:w="120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A545055-ODRŽAVANJE KOMUNIKACIJSKO-INFORMACIJSKIH SUSTAVA</w:t>
            </w:r>
          </w:p>
        </w:tc>
        <w:tc>
          <w:tcPr>
            <w:tcW w:w="2041" w:type="dxa"/>
          </w:tcPr>
          <w:p w:rsidR="005C2091" w:rsidRDefault="00A86293">
            <w:pPr>
              <w:pStyle w:val="CellColumn"/>
              <w:jc w:val="right"/>
            </w:pPr>
            <w:r>
              <w:rPr>
                <w:rFonts w:cs="Times New Roman"/>
              </w:rPr>
              <w:t>26.816.366</w:t>
            </w:r>
          </w:p>
        </w:tc>
        <w:tc>
          <w:tcPr>
            <w:tcW w:w="2041" w:type="dxa"/>
          </w:tcPr>
          <w:p w:rsidR="005C2091" w:rsidRDefault="00A86293">
            <w:pPr>
              <w:pStyle w:val="CellColumn"/>
              <w:jc w:val="right"/>
            </w:pPr>
            <w:r>
              <w:rPr>
                <w:rFonts w:cs="Times New Roman"/>
              </w:rPr>
              <w:t>32.140.400</w:t>
            </w:r>
          </w:p>
        </w:tc>
        <w:tc>
          <w:tcPr>
            <w:tcW w:w="2041" w:type="dxa"/>
          </w:tcPr>
          <w:p w:rsidR="005C2091" w:rsidRDefault="00A86293">
            <w:pPr>
              <w:pStyle w:val="CellColumn"/>
              <w:jc w:val="right"/>
            </w:pPr>
            <w:r>
              <w:rPr>
                <w:rFonts w:cs="Times New Roman"/>
              </w:rPr>
              <w:t>30.497.597</w:t>
            </w:r>
          </w:p>
        </w:tc>
        <w:tc>
          <w:tcPr>
            <w:tcW w:w="1224" w:type="dxa"/>
          </w:tcPr>
          <w:p w:rsidR="005C2091" w:rsidRDefault="00A86293">
            <w:pPr>
              <w:pStyle w:val="CellColumn"/>
              <w:jc w:val="right"/>
            </w:pPr>
            <w:r>
              <w:rPr>
                <w:rFonts w:cs="Times New Roman"/>
              </w:rPr>
              <w:t>94,9</w:t>
            </w:r>
          </w:p>
        </w:tc>
        <w:tc>
          <w:tcPr>
            <w:tcW w:w="1224" w:type="dxa"/>
          </w:tcPr>
          <w:p w:rsidR="005C2091" w:rsidRDefault="00A86293">
            <w:pPr>
              <w:pStyle w:val="CellColumn"/>
              <w:jc w:val="right"/>
            </w:pPr>
            <w:r>
              <w:rPr>
                <w:rFonts w:cs="Times New Roman"/>
              </w:rPr>
              <w:t>113,7</w:t>
            </w:r>
          </w:p>
        </w:tc>
      </w:tr>
    </w:tbl>
    <w:p w:rsidR="005C2091" w:rsidRDefault="005C2091">
      <w:pPr>
        <w:jc w:val="left"/>
      </w:pPr>
    </w:p>
    <w:p w:rsidR="005C2091" w:rsidRDefault="00A86293">
      <w:pPr>
        <w:pStyle w:val="Heading8"/>
        <w:jc w:val="left"/>
      </w:pPr>
      <w:r>
        <w:t>Zakonske i druge pravne osnove</w:t>
      </w:r>
    </w:p>
    <w:p w:rsidR="005C2091" w:rsidRDefault="00A86293">
      <w:r>
        <w:t>Zakon o obrani, Dugoročni plan razvoja OS RH 2015. – 2024., Pravilnik o načinu materijalnog zbrinjavanja OS RH (glava 4), Zakon o informacijskoj sigurnosti,  Pravilnik o upotrebi nepokretnih telefonskih priključaka, Pravilnik o standardima organizacije i upravljanja područjem sigurnosti informacijskih sustava, Pravilnik o informacijskoj sigurnosti MO i OS RH, Pravilnik o postupanju s kriptografskim dokumentima i kriptografskom opremom za zaštitu klasificiranih podataka, Pravilnik o standardima sigurnosti informacijskih sustava, Uredba o mjerama informacijske sigurnosti, Odluka o korištenju službenih mobilnih priključaka u MO i OS RH</w:t>
      </w:r>
    </w:p>
    <w:p w:rsidR="005C2091" w:rsidRDefault="00A86293">
      <w:pPr>
        <w:pStyle w:val="Heading8"/>
        <w:jc w:val="left"/>
      </w:pPr>
      <w:r>
        <w:t>Opis aktivnosti</w:t>
      </w:r>
    </w:p>
    <w:p w:rsidR="005C2091" w:rsidRDefault="00A86293">
      <w:r>
        <w:t>Održavanjem komunikacijsko-informacijskih sustava osiguravaju se mjere i sredstva za održavanje funkcionalnosti komunikacijsko-informacijskih sustava na uporabi u Ministarstvu obrane i Oružanih snaga RH. Aktivnost se realizira zakupom i korištenjem telefonskih i srodnih usluga, održavanjem računala i računalne opreme, održavanjem računalnog softvera i komunikacijske opreme. Ostvarene vrijednosti pokazatelja broja održavanih računala i poslužitelja su manje u odnosu na ciljane zbog odobravanja samo isplativih popravaka te činjenice da je dio opreme zanovljen novom opremom koja je još u garantnom roku i smanjeno je održavanje.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održavanih korisničkih računala</w:t>
            </w:r>
          </w:p>
        </w:tc>
        <w:tc>
          <w:tcPr>
            <w:tcW w:w="2551" w:type="dxa"/>
          </w:tcPr>
          <w:p w:rsidR="005C2091" w:rsidRDefault="00A86293">
            <w:pPr>
              <w:pStyle w:val="CellColumn"/>
              <w:jc w:val="left"/>
            </w:pPr>
            <w:r>
              <w:rPr>
                <w:rFonts w:cs="Times New Roman"/>
              </w:rPr>
              <w:t>Osigurati ispravnost uređaja</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900</w:t>
            </w:r>
          </w:p>
        </w:tc>
      </w:tr>
      <w:tr w:rsidR="005C2091">
        <w:trPr>
          <w:jc w:val="center"/>
        </w:trPr>
        <w:tc>
          <w:tcPr>
            <w:tcW w:w="2551" w:type="dxa"/>
          </w:tcPr>
          <w:p w:rsidR="005C2091" w:rsidRDefault="00A86293">
            <w:pPr>
              <w:pStyle w:val="CellColumn"/>
              <w:jc w:val="left"/>
            </w:pPr>
            <w:r>
              <w:rPr>
                <w:rFonts w:cs="Times New Roman"/>
              </w:rPr>
              <w:t>Broj održavanih poslužitelja</w:t>
            </w:r>
          </w:p>
        </w:tc>
        <w:tc>
          <w:tcPr>
            <w:tcW w:w="2551" w:type="dxa"/>
          </w:tcPr>
          <w:p w:rsidR="005C2091" w:rsidRDefault="00A86293">
            <w:pPr>
              <w:pStyle w:val="CellColumn"/>
              <w:jc w:val="left"/>
            </w:pPr>
            <w:r>
              <w:rPr>
                <w:rFonts w:cs="Times New Roman"/>
              </w:rPr>
              <w:t>Osigurati ispravnost uređaja</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40</w:t>
            </w:r>
          </w:p>
        </w:tc>
      </w:tr>
      <w:tr w:rsidR="005C2091">
        <w:trPr>
          <w:jc w:val="center"/>
        </w:trPr>
        <w:tc>
          <w:tcPr>
            <w:tcW w:w="2551" w:type="dxa"/>
          </w:tcPr>
          <w:p w:rsidR="005C2091" w:rsidRDefault="00A86293">
            <w:pPr>
              <w:pStyle w:val="CellColumn"/>
              <w:jc w:val="left"/>
            </w:pPr>
            <w:r>
              <w:rPr>
                <w:rFonts w:cs="Times New Roman"/>
              </w:rPr>
              <w:t>Broj informacijskih sustava i licenci</w:t>
            </w:r>
          </w:p>
        </w:tc>
        <w:tc>
          <w:tcPr>
            <w:tcW w:w="2551" w:type="dxa"/>
          </w:tcPr>
          <w:p w:rsidR="005C2091" w:rsidRDefault="00A86293">
            <w:pPr>
              <w:pStyle w:val="CellColumn"/>
              <w:jc w:val="left"/>
            </w:pPr>
            <w:r>
              <w:rPr>
                <w:rFonts w:cs="Times New Roman"/>
              </w:rPr>
              <w:t>Osigurati ispravnost</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40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40</w:t>
            </w:r>
          </w:p>
        </w:tc>
        <w:tc>
          <w:tcPr>
            <w:tcW w:w="1020" w:type="dxa"/>
          </w:tcPr>
          <w:p w:rsidR="005C2091" w:rsidRDefault="00A86293">
            <w:pPr>
              <w:pStyle w:val="CellColumn"/>
              <w:jc w:val="right"/>
            </w:pPr>
            <w:r>
              <w:rPr>
                <w:rFonts w:cs="Times New Roman"/>
              </w:rPr>
              <w:t>40</w:t>
            </w:r>
          </w:p>
        </w:tc>
      </w:tr>
      <w:tr w:rsidR="005C2091">
        <w:trPr>
          <w:jc w:val="center"/>
        </w:trPr>
        <w:tc>
          <w:tcPr>
            <w:tcW w:w="2551" w:type="dxa"/>
          </w:tcPr>
          <w:p w:rsidR="005C2091" w:rsidRDefault="00A86293">
            <w:pPr>
              <w:pStyle w:val="CellColumn"/>
              <w:jc w:val="left"/>
            </w:pPr>
            <w:r>
              <w:rPr>
                <w:rFonts w:cs="Times New Roman"/>
              </w:rPr>
              <w:t>Broj telefonskih centrala</w:t>
            </w:r>
          </w:p>
        </w:tc>
        <w:tc>
          <w:tcPr>
            <w:tcW w:w="2551" w:type="dxa"/>
          </w:tcPr>
          <w:p w:rsidR="005C2091" w:rsidRDefault="00A86293">
            <w:pPr>
              <w:pStyle w:val="CellColumn"/>
              <w:jc w:val="left"/>
            </w:pPr>
            <w:r>
              <w:rPr>
                <w:rFonts w:cs="Times New Roman"/>
              </w:rPr>
              <w:t>Osigurati ispravnost uređaja</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110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110</w:t>
            </w:r>
          </w:p>
        </w:tc>
        <w:tc>
          <w:tcPr>
            <w:tcW w:w="1020" w:type="dxa"/>
          </w:tcPr>
          <w:p w:rsidR="005C2091" w:rsidRDefault="00A86293">
            <w:pPr>
              <w:pStyle w:val="CellColumn"/>
              <w:jc w:val="right"/>
            </w:pPr>
            <w:r>
              <w:rPr>
                <w:rFonts w:cs="Times New Roman"/>
              </w:rPr>
              <w:t>110</w:t>
            </w:r>
          </w:p>
        </w:tc>
      </w:tr>
      <w:tr w:rsidR="005C2091">
        <w:trPr>
          <w:jc w:val="center"/>
        </w:trPr>
        <w:tc>
          <w:tcPr>
            <w:tcW w:w="2551" w:type="dxa"/>
          </w:tcPr>
          <w:p w:rsidR="005C2091" w:rsidRDefault="00A86293">
            <w:pPr>
              <w:pStyle w:val="CellColumn"/>
              <w:jc w:val="left"/>
            </w:pPr>
            <w:r>
              <w:rPr>
                <w:rFonts w:cs="Times New Roman"/>
              </w:rPr>
              <w:lastRenderedPageBreak/>
              <w:t>Broj zakupljenih vodova podatkovne i govorne mreže</w:t>
            </w:r>
          </w:p>
        </w:tc>
        <w:tc>
          <w:tcPr>
            <w:tcW w:w="2551" w:type="dxa"/>
          </w:tcPr>
          <w:p w:rsidR="005C2091" w:rsidRDefault="00A86293">
            <w:pPr>
              <w:pStyle w:val="CellColumn"/>
              <w:jc w:val="left"/>
            </w:pPr>
            <w:r>
              <w:rPr>
                <w:rFonts w:cs="Times New Roman"/>
              </w:rPr>
              <w:t>Osigurati zakup usluge</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175</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175</w:t>
            </w:r>
          </w:p>
        </w:tc>
        <w:tc>
          <w:tcPr>
            <w:tcW w:w="1020" w:type="dxa"/>
          </w:tcPr>
          <w:p w:rsidR="005C2091" w:rsidRDefault="00A86293">
            <w:pPr>
              <w:pStyle w:val="CellColumn"/>
              <w:jc w:val="right"/>
            </w:pPr>
            <w:r>
              <w:rPr>
                <w:rFonts w:cs="Times New Roman"/>
              </w:rPr>
              <w:t>175</w:t>
            </w:r>
          </w:p>
        </w:tc>
      </w:tr>
    </w:tbl>
    <w:p w:rsidR="005C2091" w:rsidRDefault="005C2091">
      <w:pPr>
        <w:jc w:val="left"/>
      </w:pPr>
    </w:p>
    <w:p w:rsidR="005C2091" w:rsidRDefault="00A86293">
      <w:pPr>
        <w:pStyle w:val="Heading4"/>
      </w:pPr>
      <w:r>
        <w:t>A545059 IZDAVAŠTVO I INFORMIRANJE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A545059-IZDAVAŠTVO I INFORMIRANJE</w:t>
            </w:r>
          </w:p>
        </w:tc>
        <w:tc>
          <w:tcPr>
            <w:tcW w:w="2041" w:type="dxa"/>
          </w:tcPr>
          <w:p w:rsidR="005C2091" w:rsidRDefault="00A86293">
            <w:pPr>
              <w:pStyle w:val="CellColumn"/>
              <w:jc w:val="right"/>
            </w:pPr>
            <w:r>
              <w:rPr>
                <w:rFonts w:cs="Times New Roman"/>
              </w:rPr>
              <w:t>5.225.819</w:t>
            </w:r>
          </w:p>
        </w:tc>
        <w:tc>
          <w:tcPr>
            <w:tcW w:w="2041" w:type="dxa"/>
          </w:tcPr>
          <w:p w:rsidR="005C2091" w:rsidRDefault="00A86293">
            <w:pPr>
              <w:pStyle w:val="CellColumn"/>
              <w:jc w:val="right"/>
            </w:pPr>
            <w:r>
              <w:rPr>
                <w:rFonts w:cs="Times New Roman"/>
              </w:rPr>
              <w:t>5.103.300</w:t>
            </w:r>
          </w:p>
        </w:tc>
        <w:tc>
          <w:tcPr>
            <w:tcW w:w="2041" w:type="dxa"/>
          </w:tcPr>
          <w:p w:rsidR="005C2091" w:rsidRDefault="00A86293">
            <w:pPr>
              <w:pStyle w:val="CellColumn"/>
              <w:jc w:val="right"/>
            </w:pPr>
            <w:r>
              <w:rPr>
                <w:rFonts w:cs="Times New Roman"/>
              </w:rPr>
              <w:t>4.927.850</w:t>
            </w:r>
          </w:p>
        </w:tc>
        <w:tc>
          <w:tcPr>
            <w:tcW w:w="1224" w:type="dxa"/>
          </w:tcPr>
          <w:p w:rsidR="005C2091" w:rsidRDefault="00A86293">
            <w:pPr>
              <w:pStyle w:val="CellColumn"/>
              <w:jc w:val="right"/>
            </w:pPr>
            <w:r>
              <w:rPr>
                <w:rFonts w:cs="Times New Roman"/>
              </w:rPr>
              <w:t>96,6</w:t>
            </w:r>
          </w:p>
        </w:tc>
        <w:tc>
          <w:tcPr>
            <w:tcW w:w="1224" w:type="dxa"/>
          </w:tcPr>
          <w:p w:rsidR="005C2091" w:rsidRDefault="00A86293">
            <w:pPr>
              <w:pStyle w:val="CellColumn"/>
              <w:jc w:val="right"/>
            </w:pPr>
            <w:r>
              <w:rPr>
                <w:rFonts w:cs="Times New Roman"/>
              </w:rPr>
              <w:t>94,3</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medijima, Odluka o tiskanju tiskovine Hrvatski vojnik, Odluka o nastavku izlaženja časopisa CROMIL, Odluka o vojnoj izdavačkoj djelatnosti u OS RH, Odluke ministra obrane o tiskanju promidžbenih informativnih i edukativnih knjižnih izdanja, Odluka o vrijednosti boda za određivanje autorskih i drugih naknada u vojnoj izdavačkoj djelatnosti Oružanih snaga RH, Cjenik autorskih naknada za tiskovinu Hrvatski vojnik, Cjenik autorskih naknada za izradu filmova i TV emisija</w:t>
      </w:r>
    </w:p>
    <w:p w:rsidR="005C2091" w:rsidRDefault="00A86293">
      <w:pPr>
        <w:pStyle w:val="Heading8"/>
        <w:jc w:val="left"/>
      </w:pPr>
      <w:r>
        <w:t>Opis aktivnosti</w:t>
      </w:r>
    </w:p>
    <w:p w:rsidR="005C2091" w:rsidRDefault="00A86293">
      <w:r>
        <w:t>Provedba komunikacijske strategije, izdavanje literature i promidžbenih materijala u funkciji je opće potpore Ministarstva obrane. Izdavanje vojnih stručnih publikacija i drugih izdanja Ministarstva obrane, svojevrsni je spoj edukacije, informiranja i promidžbe, koji izradom niza tiskanih i multimedijalnih izdanja osigurava neophodnu potporu provedbi procesa razvoja doktrine, obuke i školovanja Oružanih snaga te omogućava informiranje javnosti i promidžbu njihovih postignuća i mogućnosti. Komunikacijska strategija omogućava pravovremeno, točno, kvalitetno i transparentno informiranje javnosti o aktivnostima, događajima i projektima vezanima uz Ministarstvo obrane i Oružane snage Republike Hrvatske.</w:t>
      </w:r>
    </w:p>
    <w:p w:rsidR="005C2091" w:rsidRDefault="00A86293">
      <w:pPr>
        <w:pStyle w:val="Heading4"/>
      </w:pPr>
      <w:r>
        <w:t>A545071 SUDSKE PRESUDE I OVRHE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A545071-SUDSKE PRESUDE I OVRHE</w:t>
            </w:r>
          </w:p>
        </w:tc>
        <w:tc>
          <w:tcPr>
            <w:tcW w:w="2041" w:type="dxa"/>
          </w:tcPr>
          <w:p w:rsidR="005C2091" w:rsidRDefault="00A86293">
            <w:pPr>
              <w:pStyle w:val="CellColumn"/>
              <w:jc w:val="right"/>
            </w:pPr>
            <w:r>
              <w:rPr>
                <w:rFonts w:cs="Times New Roman"/>
              </w:rPr>
              <w:t>126.659.951</w:t>
            </w:r>
          </w:p>
        </w:tc>
        <w:tc>
          <w:tcPr>
            <w:tcW w:w="2041" w:type="dxa"/>
          </w:tcPr>
          <w:p w:rsidR="005C2091" w:rsidRDefault="00A86293">
            <w:pPr>
              <w:pStyle w:val="CellColumn"/>
              <w:jc w:val="right"/>
            </w:pPr>
            <w:r>
              <w:rPr>
                <w:rFonts w:cs="Times New Roman"/>
              </w:rPr>
              <w:t>69.000.000</w:t>
            </w:r>
          </w:p>
        </w:tc>
        <w:tc>
          <w:tcPr>
            <w:tcW w:w="2041" w:type="dxa"/>
          </w:tcPr>
          <w:p w:rsidR="005C2091" w:rsidRDefault="00A86293">
            <w:pPr>
              <w:pStyle w:val="CellColumn"/>
              <w:jc w:val="right"/>
            </w:pPr>
            <w:r>
              <w:rPr>
                <w:rFonts w:cs="Times New Roman"/>
              </w:rPr>
              <w:t>69.000.000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54,5</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službi u Oružanim snagama Republike Hrvatske, Zakon o obveznim odnosima, pravomoćna rješenja</w:t>
      </w:r>
    </w:p>
    <w:p w:rsidR="005C2091" w:rsidRDefault="00A86293">
      <w:pPr>
        <w:pStyle w:val="Heading8"/>
        <w:jc w:val="left"/>
      </w:pPr>
      <w:r>
        <w:t>Opis aktivnosti</w:t>
      </w:r>
    </w:p>
    <w:p w:rsidR="005C2091" w:rsidRDefault="00A86293">
      <w:r>
        <w:t>U ovoj aktivnosti se podmiruju obveze Ministarstva obrane prema sudskim presudama u imovinsko-pravnim sporovima i postupcima u kojima je stranka Ministarstvo obrane.</w:t>
      </w:r>
    </w:p>
    <w:p w:rsidR="005C2091" w:rsidRDefault="00A86293">
      <w:pPr>
        <w:pStyle w:val="Heading4"/>
      </w:pPr>
      <w:r>
        <w:lastRenderedPageBreak/>
        <w:t>K545056 MREŽNI RAČUNALNI SUSTAVI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K545056-MREŽNI RAČUNALNI SUSTAVI</w:t>
            </w:r>
          </w:p>
        </w:tc>
        <w:tc>
          <w:tcPr>
            <w:tcW w:w="2041" w:type="dxa"/>
          </w:tcPr>
          <w:p w:rsidR="005C2091" w:rsidRDefault="00A86293">
            <w:pPr>
              <w:pStyle w:val="CellColumn"/>
              <w:jc w:val="right"/>
            </w:pPr>
            <w:r>
              <w:rPr>
                <w:rFonts w:cs="Times New Roman"/>
              </w:rPr>
              <w:t>3.961.424</w:t>
            </w:r>
          </w:p>
        </w:tc>
        <w:tc>
          <w:tcPr>
            <w:tcW w:w="2041" w:type="dxa"/>
          </w:tcPr>
          <w:p w:rsidR="005C2091" w:rsidRDefault="00A86293">
            <w:pPr>
              <w:pStyle w:val="CellColumn"/>
              <w:jc w:val="right"/>
            </w:pPr>
            <w:r>
              <w:rPr>
                <w:rFonts w:cs="Times New Roman"/>
              </w:rPr>
              <w:t>3.562.700</w:t>
            </w:r>
          </w:p>
        </w:tc>
        <w:tc>
          <w:tcPr>
            <w:tcW w:w="2041" w:type="dxa"/>
          </w:tcPr>
          <w:p w:rsidR="005C2091" w:rsidRDefault="00A86293">
            <w:pPr>
              <w:pStyle w:val="CellColumn"/>
              <w:jc w:val="right"/>
            </w:pPr>
            <w:r>
              <w:rPr>
                <w:rFonts w:cs="Times New Roman"/>
              </w:rPr>
              <w:t>3.326.564</w:t>
            </w:r>
          </w:p>
        </w:tc>
        <w:tc>
          <w:tcPr>
            <w:tcW w:w="1224" w:type="dxa"/>
          </w:tcPr>
          <w:p w:rsidR="005C2091" w:rsidRDefault="00A86293">
            <w:pPr>
              <w:pStyle w:val="CellColumn"/>
              <w:jc w:val="right"/>
            </w:pPr>
            <w:r>
              <w:rPr>
                <w:rFonts w:cs="Times New Roman"/>
              </w:rPr>
              <w:t>93,4</w:t>
            </w:r>
          </w:p>
        </w:tc>
        <w:tc>
          <w:tcPr>
            <w:tcW w:w="1224" w:type="dxa"/>
          </w:tcPr>
          <w:p w:rsidR="005C2091" w:rsidRDefault="00A86293">
            <w:pPr>
              <w:pStyle w:val="CellColumn"/>
              <w:jc w:val="right"/>
            </w:pPr>
            <w:r>
              <w:rPr>
                <w:rFonts w:cs="Times New Roman"/>
              </w:rPr>
              <w:t>84,0</w:t>
            </w:r>
          </w:p>
        </w:tc>
      </w:tr>
    </w:tbl>
    <w:p w:rsidR="005C2091" w:rsidRDefault="005C2091">
      <w:pPr>
        <w:jc w:val="left"/>
      </w:pPr>
    </w:p>
    <w:p w:rsidR="005C2091" w:rsidRDefault="00A86293">
      <w:pPr>
        <w:pStyle w:val="Heading8"/>
        <w:jc w:val="left"/>
      </w:pPr>
      <w:r>
        <w:t>Zakonske i druge pravne osnove</w:t>
      </w:r>
    </w:p>
    <w:p w:rsidR="005C2091" w:rsidRDefault="00A86293">
      <w:r>
        <w:t>Zakon o obrani, Dugoročni plan razvoja OS RH 2015. – 2024., Pravilnik o načinu materijalnog zbrinjavanja OS RH (glava 4), Zakon o informacijskoj sigurnosti, Pravilnik o standardima organizacije i upravljanja područjem sigurnosti informacijskih sustava, Pravilnik o informacijskoj sigurnosti MO i OS RH, Pravilnik o postupanju s kriptografskim dokumentima i kriptografskom opremom za zaštitu klasificiranih podataka, Pravilnik o standardima sigurnosti informacijskih sustava, Uredba o mjerama informacijske sigurnosti</w:t>
      </w:r>
    </w:p>
    <w:p w:rsidR="005C2091" w:rsidRDefault="00A86293">
      <w:pPr>
        <w:pStyle w:val="Heading8"/>
        <w:jc w:val="left"/>
      </w:pPr>
      <w:r>
        <w:t>Opis aktivnosti</w:t>
      </w:r>
    </w:p>
    <w:p w:rsidR="005C2091" w:rsidRDefault="00A86293">
      <w:r>
        <w:t>Projekt osigurava potrebnu infrastrukturu za NNEC (NATO Network Enabled Capability), definira sveukupni pristup kao i specifične radnje koje trebaju poduzimati stvaratelji podataka, korisnici podataka, osobe koje rade na razvoju softverskih aplikacija te oni koji upravljaju podacima i standardizacijom u sklopu NATO-a, a s ciljem potpore mrežno orijentiranim i vođenim operacijama. Projekt se provodi kroz radove za uređenje podatkovnog središta te opremanje računalnom opremom. Tijekom 2016. nabavljena je računalna, mrežna aktivna i pasivna oprema za potrebe širenja mrežne infrastrukture u MO i OS RH, te nadogradnja kontakt centra. Pokazatelj broja korisnika na jedinstvenoj domeni nije  realiziran u 2016. godini zbog redefiniranja dinamike provedbe migracije korisnika na jedinstvenu domenu , tako da su tijekom 2016. provedene pripremne radnje za migraciju.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korisnika na jedinstvenoj domeni MO i OSRH</w:t>
            </w:r>
          </w:p>
        </w:tc>
        <w:tc>
          <w:tcPr>
            <w:tcW w:w="2551" w:type="dxa"/>
          </w:tcPr>
          <w:p w:rsidR="005C2091" w:rsidRDefault="00A86293">
            <w:pPr>
              <w:pStyle w:val="CellColumn"/>
              <w:jc w:val="left"/>
            </w:pPr>
            <w:r>
              <w:rPr>
                <w:rFonts w:cs="Times New Roman"/>
              </w:rPr>
              <w:t>Broj korisnika na jedinstvenoj domeni</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Broj implementiranih poslužitelja u podatkovnom središtu</w:t>
            </w:r>
          </w:p>
        </w:tc>
        <w:tc>
          <w:tcPr>
            <w:tcW w:w="2551" w:type="dxa"/>
          </w:tcPr>
          <w:p w:rsidR="005C2091" w:rsidRDefault="00A86293">
            <w:pPr>
              <w:pStyle w:val="CellColumn"/>
              <w:jc w:val="left"/>
            </w:pPr>
            <w:r>
              <w:rPr>
                <w:rFonts w:cs="Times New Roman"/>
              </w:rPr>
              <w:t>Broj implementiranih poslužitelja</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180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180</w:t>
            </w:r>
          </w:p>
        </w:tc>
        <w:tc>
          <w:tcPr>
            <w:tcW w:w="1020" w:type="dxa"/>
          </w:tcPr>
          <w:p w:rsidR="005C2091" w:rsidRDefault="00A86293">
            <w:pPr>
              <w:pStyle w:val="CellColumn"/>
              <w:jc w:val="right"/>
            </w:pPr>
            <w:r>
              <w:rPr>
                <w:rFonts w:cs="Times New Roman"/>
              </w:rPr>
              <w:t>180</w:t>
            </w:r>
          </w:p>
        </w:tc>
      </w:tr>
    </w:tbl>
    <w:p w:rsidR="005C2091" w:rsidRDefault="005C2091">
      <w:pPr>
        <w:jc w:val="left"/>
      </w:pPr>
    </w:p>
    <w:p w:rsidR="005C2091" w:rsidRDefault="00A86293">
      <w:pPr>
        <w:pStyle w:val="Heading4"/>
      </w:pPr>
      <w:r>
        <w:t>K545075 RAZMJESTIVI KOMUNIKACIJSKI MODUL (DCM F)</w:t>
      </w:r>
    </w:p>
    <w:tbl>
      <w:tblPr>
        <w:tblStyle w:val="StilTablice"/>
        <w:tblW w:w="10206" w:type="dxa"/>
        <w:jc w:val="center"/>
        <w:tblLook w:val="04A0" w:firstRow="1" w:lastRow="0" w:firstColumn="1" w:lastColumn="0" w:noHBand="0" w:noVBand="1"/>
      </w:tblPr>
      <w:tblGrid>
        <w:gridCol w:w="1827"/>
        <w:gridCol w:w="1984"/>
        <w:gridCol w:w="1984"/>
        <w:gridCol w:w="1984"/>
        <w:gridCol w:w="1211"/>
        <w:gridCol w:w="121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K545075-RAZMJESTIVI KOMUNIKACIJSKI MODUL (DCM F)</w:t>
            </w:r>
          </w:p>
        </w:tc>
        <w:tc>
          <w:tcPr>
            <w:tcW w:w="2041" w:type="dxa"/>
          </w:tcPr>
          <w:p w:rsidR="005C2091" w:rsidRDefault="00A86293">
            <w:pPr>
              <w:pStyle w:val="CellColumn"/>
              <w:jc w:val="right"/>
            </w:pPr>
            <w:r>
              <w:rPr>
                <w:rFonts w:cs="Times New Roman"/>
              </w:rPr>
              <w:t>3.739.983</w:t>
            </w:r>
          </w:p>
        </w:tc>
        <w:tc>
          <w:tcPr>
            <w:tcW w:w="2041" w:type="dxa"/>
          </w:tcPr>
          <w:p w:rsidR="005C2091" w:rsidRDefault="00A86293">
            <w:pPr>
              <w:pStyle w:val="CellColumn"/>
              <w:jc w:val="right"/>
            </w:pPr>
            <w:r>
              <w:rPr>
                <w:rFonts w:cs="Times New Roman"/>
              </w:rPr>
              <w:t>4.350.000</w:t>
            </w:r>
          </w:p>
        </w:tc>
        <w:tc>
          <w:tcPr>
            <w:tcW w:w="2041" w:type="dxa"/>
          </w:tcPr>
          <w:p w:rsidR="005C2091" w:rsidRDefault="00A86293">
            <w:pPr>
              <w:pStyle w:val="CellColumn"/>
              <w:jc w:val="right"/>
            </w:pPr>
            <w:r>
              <w:rPr>
                <w:rFonts w:cs="Times New Roman"/>
              </w:rPr>
              <w:t>3.879.889</w:t>
            </w:r>
          </w:p>
        </w:tc>
        <w:tc>
          <w:tcPr>
            <w:tcW w:w="1224" w:type="dxa"/>
          </w:tcPr>
          <w:p w:rsidR="005C2091" w:rsidRDefault="00A86293">
            <w:pPr>
              <w:pStyle w:val="CellColumn"/>
              <w:jc w:val="right"/>
            </w:pPr>
            <w:r>
              <w:rPr>
                <w:rFonts w:cs="Times New Roman"/>
              </w:rPr>
              <w:t>89,2</w:t>
            </w:r>
          </w:p>
        </w:tc>
        <w:tc>
          <w:tcPr>
            <w:tcW w:w="1224" w:type="dxa"/>
          </w:tcPr>
          <w:p w:rsidR="005C2091" w:rsidRDefault="00A86293">
            <w:pPr>
              <w:pStyle w:val="CellColumn"/>
              <w:jc w:val="right"/>
            </w:pPr>
            <w:r>
              <w:rPr>
                <w:rFonts w:cs="Times New Roman"/>
              </w:rPr>
              <w:t>103,7</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Zakon o obrani, Dugoročni plan razvoja OS RH 2015. – 2024., Pravilnik o načinu materijalnog zbrinjavanja OS RH (glava 4), Pravilnik o standardima organizacije i upravljanja područjem sigurnosti informacijskih sustava</w:t>
      </w:r>
    </w:p>
    <w:p w:rsidR="005C2091" w:rsidRDefault="00A86293">
      <w:pPr>
        <w:pStyle w:val="Heading8"/>
        <w:jc w:val="left"/>
      </w:pPr>
      <w:r>
        <w:t>Opis aktivnosti</w:t>
      </w:r>
    </w:p>
    <w:p w:rsidR="005C2091" w:rsidRDefault="00A86293">
      <w:r>
        <w:t>Projektom se uspostavlja i oprema nacionalni razmjestivi komunikacijski modul za uvezivanje s NATO komunikacijskim i informatičkim sustavima za pružanje podrške u NATO operacijama i vježbama. Tijekom 2016. nastavljena je izgradnja smještajnih kapaciteta koja se financira od strane NATO, a MORH plaća trošak PDV-a.</w:t>
      </w:r>
    </w:p>
    <w:p w:rsidR="005C2091" w:rsidRDefault="00A86293">
      <w:pPr>
        <w:pStyle w:val="Heading3"/>
      </w:pPr>
      <w:r>
        <w:rPr>
          <w:rFonts w:cs="Times New Roman"/>
        </w:rPr>
        <w:t>2507 OBUKA I LOGISTIČKA POTPORA ORUŽANIH SNAGA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2507-OBUKA I LOGISTIČKA POTPORA ORUŽANIH SNAGA</w:t>
            </w:r>
          </w:p>
        </w:tc>
        <w:tc>
          <w:tcPr>
            <w:tcW w:w="2041" w:type="dxa"/>
          </w:tcPr>
          <w:p w:rsidR="005C2091" w:rsidRDefault="00A86293">
            <w:pPr>
              <w:pStyle w:val="CellColumn"/>
              <w:jc w:val="right"/>
            </w:pPr>
            <w:r>
              <w:rPr>
                <w:rFonts w:cs="Times New Roman"/>
              </w:rPr>
              <w:t>320.029.560</w:t>
            </w:r>
          </w:p>
        </w:tc>
        <w:tc>
          <w:tcPr>
            <w:tcW w:w="2041" w:type="dxa"/>
          </w:tcPr>
          <w:p w:rsidR="005C2091" w:rsidRDefault="00A86293">
            <w:pPr>
              <w:pStyle w:val="CellColumn"/>
              <w:jc w:val="right"/>
            </w:pPr>
            <w:r>
              <w:rPr>
                <w:rFonts w:cs="Times New Roman"/>
              </w:rPr>
              <w:t>315.649.280</w:t>
            </w:r>
          </w:p>
        </w:tc>
        <w:tc>
          <w:tcPr>
            <w:tcW w:w="2041" w:type="dxa"/>
          </w:tcPr>
          <w:p w:rsidR="005C2091" w:rsidRDefault="00A86293">
            <w:pPr>
              <w:pStyle w:val="CellColumn"/>
              <w:jc w:val="right"/>
            </w:pPr>
            <w:r>
              <w:rPr>
                <w:rFonts w:cs="Times New Roman"/>
              </w:rPr>
              <w:t>302.848.024</w:t>
            </w:r>
          </w:p>
        </w:tc>
        <w:tc>
          <w:tcPr>
            <w:tcW w:w="1224" w:type="dxa"/>
          </w:tcPr>
          <w:p w:rsidR="005C2091" w:rsidRDefault="00A86293">
            <w:pPr>
              <w:pStyle w:val="CellColumn"/>
              <w:jc w:val="right"/>
            </w:pPr>
            <w:r>
              <w:rPr>
                <w:rFonts w:cs="Times New Roman"/>
              </w:rPr>
              <w:t>95,9</w:t>
            </w:r>
          </w:p>
        </w:tc>
        <w:tc>
          <w:tcPr>
            <w:tcW w:w="1224" w:type="dxa"/>
          </w:tcPr>
          <w:p w:rsidR="005C2091" w:rsidRDefault="00A86293">
            <w:pPr>
              <w:pStyle w:val="CellColumn"/>
              <w:jc w:val="right"/>
            </w:pPr>
            <w:r>
              <w:rPr>
                <w:rFonts w:cs="Times New Roman"/>
              </w:rPr>
              <w:t>94,6</w:t>
            </w:r>
          </w:p>
        </w:tc>
      </w:tr>
    </w:tbl>
    <w:p w:rsidR="005C2091" w:rsidRDefault="005C2091">
      <w:pPr>
        <w:jc w:val="left"/>
      </w:pPr>
    </w:p>
    <w:p w:rsidR="005C2091" w:rsidRDefault="00A86293">
      <w:r>
        <w:t>Provođenjem obuke pripadnika Oružanih snaga postiže se potrebna razina borbene spremnosti te se razvijaju sposobnosti potrebne za obavljanje njihovih misija i zadaća. U Oružanim snagama provodi se obuka djelatnog sastava i dragovoljnih ročnika. Pojedinačnom obukom, obukom postrojbi i združenom obukom osposobljavaju se pojedinci, postrojbe i zapovjedništva za učinkovitu provedbu misija i zadaća. Vojne vježbe su najsloženiji oblik vojne obuke kojim se provjerava i održava spremnost zapovjedništava i postrojbi za provedbu misija i zadaća Oružanih snaga. Logistička potpora osigurava se optimalnom uporabom raspoloživih materijalnih resursa radi postizanja najpovoljnijih uvjeta za djelovanje Oružanih snaga. Održavanje materijalnih sredstava Oružanih snaga predstavlja skup aktivnosti kojima se ona zadržavaju ili vraćaju u stanje ispravnosti i pouzdanosti radi očuvanja sposobnosti snaga za provedbu zadaća.</w:t>
      </w:r>
    </w:p>
    <w:p w:rsidR="005C2091" w:rsidRDefault="00A86293">
      <w:pPr>
        <w:pStyle w:val="Heading8"/>
        <w:jc w:val="left"/>
      </w:pPr>
      <w:r>
        <w:t>Cilj 1. Osigurati obučenost, uvježbanost i logističku održivost Oružanih snaga Republike Hrvatske</w:t>
      </w:r>
    </w:p>
    <w:p w:rsidR="005C2091" w:rsidRDefault="00A86293">
      <w:pPr>
        <w:pStyle w:val="Heading8"/>
        <w:jc w:val="left"/>
      </w:pPr>
      <w:r>
        <w:t>Opis provedbe cilja programa</w:t>
      </w:r>
    </w:p>
    <w:p w:rsidR="005C2091" w:rsidRDefault="00A86293">
      <w:r>
        <w:t>Oružane snage moraju biti sposobne odgovoriti na sigurnosne izazove i ugroze te imati sposobnost nadzora teritorija RH, odvraćanja od potencijalne agresije i provođenja borbenih operacija. Oružane snage moraju biti sposobne ostvarivati svoje misije i zadaće, moraju biti kvalitetno obučene i posjedovati ispravnu opremu i naoružanje u skladu s potrebama i mogućnostima. Realizacijom ovog cilja, Oružane snage stječu sposobnost zaštite suvereniteta i teritorijalnog integriteta RH, te obrane RH i saveznika.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79"/>
        <w:gridCol w:w="2458"/>
        <w:gridCol w:w="1018"/>
        <w:gridCol w:w="1081"/>
        <w:gridCol w:w="1008"/>
        <w:gridCol w:w="1081"/>
        <w:gridCol w:w="1081"/>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Dostizanje zahtijevane razine borbene spremnosti pojedinaca, postrojbi i zapovjedništava</w:t>
            </w:r>
          </w:p>
        </w:tc>
        <w:tc>
          <w:tcPr>
            <w:tcW w:w="2551" w:type="dxa"/>
          </w:tcPr>
          <w:p w:rsidR="005C2091" w:rsidRDefault="00A86293">
            <w:pPr>
              <w:pStyle w:val="CellColumn"/>
              <w:jc w:val="left"/>
            </w:pPr>
            <w:r>
              <w:rPr>
                <w:rFonts w:cs="Times New Roman"/>
              </w:rPr>
              <w:t>Dostizanje stupnja deklariranih sposobnosti OS RH</w:t>
            </w:r>
          </w:p>
        </w:tc>
        <w:tc>
          <w:tcPr>
            <w:tcW w:w="1020" w:type="dxa"/>
          </w:tcPr>
          <w:p w:rsidR="005C2091" w:rsidRDefault="00A86293">
            <w:pPr>
              <w:pStyle w:val="CellColumn"/>
              <w:jc w:val="right"/>
            </w:pPr>
            <w:r>
              <w:rPr>
                <w:rFonts w:cs="Times New Roman"/>
              </w:rPr>
              <w:t>ocjena borbene spremnosti</w:t>
            </w:r>
          </w:p>
        </w:tc>
        <w:tc>
          <w:tcPr>
            <w:tcW w:w="1020" w:type="dxa"/>
          </w:tcPr>
          <w:p w:rsidR="005C2091" w:rsidRDefault="00A86293">
            <w:pPr>
              <w:pStyle w:val="CellColumn"/>
              <w:jc w:val="right"/>
            </w:pPr>
            <w:r>
              <w:rPr>
                <w:rFonts w:cs="Times New Roman"/>
              </w:rPr>
              <w:t>zadovoljava</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zadovoljava</w:t>
            </w:r>
          </w:p>
        </w:tc>
        <w:tc>
          <w:tcPr>
            <w:tcW w:w="1020" w:type="dxa"/>
          </w:tcPr>
          <w:p w:rsidR="005C2091" w:rsidRDefault="00A86293">
            <w:pPr>
              <w:pStyle w:val="CellColumn"/>
              <w:jc w:val="right"/>
            </w:pPr>
            <w:r>
              <w:rPr>
                <w:rFonts w:cs="Times New Roman"/>
              </w:rPr>
              <w:t>zadovoljava</w:t>
            </w:r>
          </w:p>
        </w:tc>
      </w:tr>
    </w:tbl>
    <w:p w:rsidR="005C2091" w:rsidRDefault="005C2091">
      <w:pPr>
        <w:jc w:val="left"/>
      </w:pPr>
    </w:p>
    <w:p w:rsidR="005C2091" w:rsidRDefault="00A86293">
      <w:pPr>
        <w:pStyle w:val="Heading4"/>
      </w:pPr>
      <w:r>
        <w:lastRenderedPageBreak/>
        <w:t>A545060 OBUKA I VJEŽBE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A545060-OBUKA I VJEŽBE</w:t>
            </w:r>
          </w:p>
        </w:tc>
        <w:tc>
          <w:tcPr>
            <w:tcW w:w="2041" w:type="dxa"/>
          </w:tcPr>
          <w:p w:rsidR="005C2091" w:rsidRDefault="00A86293">
            <w:pPr>
              <w:pStyle w:val="CellColumn"/>
              <w:jc w:val="right"/>
            </w:pPr>
            <w:r>
              <w:rPr>
                <w:rFonts w:cs="Times New Roman"/>
              </w:rPr>
              <w:t>68.751.706</w:t>
            </w:r>
          </w:p>
        </w:tc>
        <w:tc>
          <w:tcPr>
            <w:tcW w:w="2041" w:type="dxa"/>
          </w:tcPr>
          <w:p w:rsidR="005C2091" w:rsidRDefault="00A86293">
            <w:pPr>
              <w:pStyle w:val="CellColumn"/>
              <w:jc w:val="right"/>
            </w:pPr>
            <w:r>
              <w:rPr>
                <w:rFonts w:cs="Times New Roman"/>
              </w:rPr>
              <w:t>78.635.000</w:t>
            </w:r>
          </w:p>
        </w:tc>
        <w:tc>
          <w:tcPr>
            <w:tcW w:w="2041" w:type="dxa"/>
          </w:tcPr>
          <w:p w:rsidR="005C2091" w:rsidRDefault="00A86293">
            <w:pPr>
              <w:pStyle w:val="CellColumn"/>
              <w:jc w:val="right"/>
            </w:pPr>
            <w:r>
              <w:rPr>
                <w:rFonts w:cs="Times New Roman"/>
              </w:rPr>
              <w:t>62.598.993</w:t>
            </w:r>
          </w:p>
        </w:tc>
        <w:tc>
          <w:tcPr>
            <w:tcW w:w="1224" w:type="dxa"/>
          </w:tcPr>
          <w:p w:rsidR="005C2091" w:rsidRDefault="00A86293">
            <w:pPr>
              <w:pStyle w:val="CellColumn"/>
              <w:jc w:val="right"/>
            </w:pPr>
            <w:r>
              <w:rPr>
                <w:rFonts w:cs="Times New Roman"/>
              </w:rPr>
              <w:t>79,6</w:t>
            </w:r>
          </w:p>
        </w:tc>
        <w:tc>
          <w:tcPr>
            <w:tcW w:w="1224" w:type="dxa"/>
          </w:tcPr>
          <w:p w:rsidR="005C2091" w:rsidRDefault="00A86293">
            <w:pPr>
              <w:pStyle w:val="CellColumn"/>
              <w:jc w:val="right"/>
            </w:pPr>
            <w:r>
              <w:rPr>
                <w:rFonts w:cs="Times New Roman"/>
              </w:rPr>
              <w:t>91,1</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službi u OS RH, Dugoročni plan razvoja OS RH 2006. – 2015. , Pravilnik o načinu materijalnog zbrinjavanja OS RH (glava 6, 7, 8, 11), Pravilnik o dragovoljnom služenju vojnog roka, MTEP 2016-2020 (NATO Military Training and Exercise Programme), Smjernice za obuku i vježbe OS RH</w:t>
      </w:r>
    </w:p>
    <w:p w:rsidR="005C2091" w:rsidRDefault="00A86293">
      <w:pPr>
        <w:pStyle w:val="Heading8"/>
        <w:jc w:val="left"/>
      </w:pPr>
      <w:r>
        <w:t>Opis aktivnosti</w:t>
      </w:r>
    </w:p>
    <w:p w:rsidR="005C2091" w:rsidRDefault="00A86293">
      <w:r>
        <w:t>Obuka je najvažnija zadaća Oružanih snaga Republike Hrvatske u miru i provodi se kao obuka usredotočena na misiju. Sastoji se od obuke pojedinaca (osposobljavanje za stjecanje vojnostručnih specijalnosti u rodovima, službama i strukama, funkcionalna obuka), zajedničke obuke (obuka postrojbi, stožera i zapovjedništava) te preduputne obuke za međunarodne misije i operacije. Značajnije obučne aktivnosti u 2016. odnosile su se na preduputnu obuku kontingenata za mirovne misije i operacije, obuku ročnika prijavljenih za dragovoljno vojno osposobljavanje, razne oblike specijalističke obuke, obuku kadeta, obuku za potporu civilnim institucijama te obuku pilota Kraljevskih zračnih snaga Sultanata Oman. Od provedenih vježbi najznačajnije su bile Udar 16, Harpun 16, Anakonda 16 i Immediate Response 16.</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obučnih aktivnosti</w:t>
            </w:r>
          </w:p>
        </w:tc>
        <w:tc>
          <w:tcPr>
            <w:tcW w:w="2551" w:type="dxa"/>
          </w:tcPr>
          <w:p w:rsidR="005C2091" w:rsidRDefault="00A86293">
            <w:pPr>
              <w:pStyle w:val="CellColumn"/>
              <w:jc w:val="left"/>
            </w:pPr>
            <w:r>
              <w:rPr>
                <w:rFonts w:cs="Times New Roman"/>
              </w:rPr>
              <w:t>Provedba svih oblika obuke u cilju dostizanja obučnih standarda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530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540</w:t>
            </w:r>
          </w:p>
        </w:tc>
        <w:tc>
          <w:tcPr>
            <w:tcW w:w="1020" w:type="dxa"/>
          </w:tcPr>
          <w:p w:rsidR="005C2091" w:rsidRDefault="00A86293">
            <w:pPr>
              <w:pStyle w:val="CellColumn"/>
              <w:jc w:val="right"/>
            </w:pPr>
            <w:r>
              <w:rPr>
                <w:rFonts w:cs="Times New Roman"/>
              </w:rPr>
              <w:t>535</w:t>
            </w:r>
          </w:p>
        </w:tc>
      </w:tr>
      <w:tr w:rsidR="005C2091">
        <w:trPr>
          <w:jc w:val="center"/>
        </w:trPr>
        <w:tc>
          <w:tcPr>
            <w:tcW w:w="2551" w:type="dxa"/>
          </w:tcPr>
          <w:p w:rsidR="005C2091" w:rsidRDefault="00A86293">
            <w:pPr>
              <w:pStyle w:val="CellColumn"/>
              <w:jc w:val="left"/>
            </w:pPr>
            <w:r>
              <w:rPr>
                <w:rFonts w:cs="Times New Roman"/>
              </w:rPr>
              <w:t>Broj izvršenih vježbi</w:t>
            </w:r>
          </w:p>
        </w:tc>
        <w:tc>
          <w:tcPr>
            <w:tcW w:w="2551" w:type="dxa"/>
          </w:tcPr>
          <w:p w:rsidR="005C2091" w:rsidRDefault="00A86293">
            <w:pPr>
              <w:pStyle w:val="CellColumn"/>
              <w:jc w:val="left"/>
            </w:pPr>
            <w:r>
              <w:rPr>
                <w:rFonts w:cs="Times New Roman"/>
              </w:rPr>
              <w:t>Provedba vojnih vježbi u svrhu dostizanja i održavanja spremnosti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44</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62</w:t>
            </w:r>
          </w:p>
        </w:tc>
        <w:tc>
          <w:tcPr>
            <w:tcW w:w="1020" w:type="dxa"/>
          </w:tcPr>
          <w:p w:rsidR="005C2091" w:rsidRDefault="00A86293">
            <w:pPr>
              <w:pStyle w:val="CellColumn"/>
              <w:jc w:val="right"/>
            </w:pPr>
            <w:r>
              <w:rPr>
                <w:rFonts w:cs="Times New Roman"/>
              </w:rPr>
              <w:t>55</w:t>
            </w:r>
          </w:p>
        </w:tc>
      </w:tr>
      <w:tr w:rsidR="005C2091">
        <w:trPr>
          <w:jc w:val="center"/>
        </w:trPr>
        <w:tc>
          <w:tcPr>
            <w:tcW w:w="2551" w:type="dxa"/>
          </w:tcPr>
          <w:p w:rsidR="005C2091" w:rsidRDefault="00A86293">
            <w:pPr>
              <w:pStyle w:val="CellColumn"/>
              <w:jc w:val="left"/>
            </w:pPr>
            <w:r>
              <w:rPr>
                <w:rFonts w:cs="Times New Roman"/>
              </w:rPr>
              <w:t>Broj obučenih ročnika</w:t>
            </w:r>
          </w:p>
        </w:tc>
        <w:tc>
          <w:tcPr>
            <w:tcW w:w="2551" w:type="dxa"/>
          </w:tcPr>
          <w:p w:rsidR="005C2091" w:rsidRDefault="00A86293">
            <w:pPr>
              <w:pStyle w:val="CellColumn"/>
              <w:jc w:val="left"/>
            </w:pPr>
            <w:r>
              <w:rPr>
                <w:rFonts w:cs="Times New Roman"/>
              </w:rPr>
              <w:t>Provedba obuke ročnika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951</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956</w:t>
            </w:r>
          </w:p>
        </w:tc>
      </w:tr>
    </w:tbl>
    <w:p w:rsidR="005C2091" w:rsidRDefault="005C2091">
      <w:pPr>
        <w:jc w:val="left"/>
      </w:pPr>
    </w:p>
    <w:p w:rsidR="005C2091" w:rsidRDefault="00A86293">
      <w:pPr>
        <w:pStyle w:val="Heading4"/>
      </w:pPr>
      <w:r>
        <w:t>A545061 ODRŽAVANJE MATERIJALNIH SREDSTAVA I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A545061-ODRŽAVANJE MATERIJALNIH SREDSTAVA I SUSTAVA</w:t>
            </w:r>
          </w:p>
        </w:tc>
        <w:tc>
          <w:tcPr>
            <w:tcW w:w="2041" w:type="dxa"/>
          </w:tcPr>
          <w:p w:rsidR="005C2091" w:rsidRDefault="00A86293">
            <w:pPr>
              <w:pStyle w:val="CellColumn"/>
              <w:jc w:val="right"/>
            </w:pPr>
            <w:r>
              <w:rPr>
                <w:rFonts w:cs="Times New Roman"/>
              </w:rPr>
              <w:t>218.549.388</w:t>
            </w:r>
          </w:p>
        </w:tc>
        <w:tc>
          <w:tcPr>
            <w:tcW w:w="2041" w:type="dxa"/>
          </w:tcPr>
          <w:p w:rsidR="005C2091" w:rsidRDefault="00A86293">
            <w:pPr>
              <w:pStyle w:val="CellColumn"/>
              <w:jc w:val="right"/>
            </w:pPr>
            <w:r>
              <w:rPr>
                <w:rFonts w:cs="Times New Roman"/>
              </w:rPr>
              <w:t>189.172.530</w:t>
            </w:r>
          </w:p>
        </w:tc>
        <w:tc>
          <w:tcPr>
            <w:tcW w:w="2041" w:type="dxa"/>
          </w:tcPr>
          <w:p w:rsidR="005C2091" w:rsidRDefault="00A86293">
            <w:pPr>
              <w:pStyle w:val="CellColumn"/>
              <w:jc w:val="right"/>
            </w:pPr>
            <w:r>
              <w:rPr>
                <w:rFonts w:cs="Times New Roman"/>
              </w:rPr>
              <w:t>192.325.543</w:t>
            </w:r>
          </w:p>
        </w:tc>
        <w:tc>
          <w:tcPr>
            <w:tcW w:w="1224" w:type="dxa"/>
          </w:tcPr>
          <w:p w:rsidR="005C2091" w:rsidRDefault="00A86293">
            <w:pPr>
              <w:pStyle w:val="CellColumn"/>
              <w:jc w:val="right"/>
            </w:pPr>
            <w:r>
              <w:rPr>
                <w:rFonts w:cs="Times New Roman"/>
              </w:rPr>
              <w:t>101,7</w:t>
            </w:r>
          </w:p>
        </w:tc>
        <w:tc>
          <w:tcPr>
            <w:tcW w:w="1224" w:type="dxa"/>
          </w:tcPr>
          <w:p w:rsidR="005C2091" w:rsidRDefault="00A86293">
            <w:pPr>
              <w:pStyle w:val="CellColumn"/>
              <w:jc w:val="right"/>
            </w:pPr>
            <w:r>
              <w:rPr>
                <w:rFonts w:cs="Times New Roman"/>
              </w:rPr>
              <w:t>88,0</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Zakon o obrani, Dugoročni plan razvoja OS RH 2006. – 2015., Pravilnik o načinu materijalnog zbrinjavanja OS RH (glava 4, 7), Naputak o održavanju tehničkih materijalnih sredstava u OSRH</w:t>
      </w:r>
    </w:p>
    <w:p w:rsidR="005C2091" w:rsidRDefault="00A86293">
      <w:pPr>
        <w:pStyle w:val="Heading8"/>
        <w:jc w:val="left"/>
      </w:pPr>
      <w:r>
        <w:t>Opis aktivnosti</w:t>
      </w:r>
    </w:p>
    <w:p w:rsidR="005C2091" w:rsidRDefault="00A86293">
      <w:r>
        <w:t>Održavanje borbenih materijalno-tehničkih (MTS) sredstava je skup aktivnosti kojima se ona zadržavaju ili vraćaju u stanje ispravnosti i pouzdanosti radi očuvanja sposobnosti snaga za provedbu zadaća. Planskim korištenjem raspoloživih kapaciteta za održavanje u Oružanim snagama te gospodarskim kapacitetima u zemlji, uz primjenu propisanih mjera i postupaka, postiže se i održava ispravnost sredstava. Uspostavlja se sustav održavanja neborbenih sredstava i sredstava opće namjene te njegova implementacija tako da odabrane metode i postupci održavanja proizvedu optimalni učinak na ukupne sposobnosti Oružanih snaga. Osigurava se dovoljno visoki stupanj ispravnosti i pouzdanosti neborbenih materijalno-tehničkih sredstava i sredstava opće namjene s težištem na održavanju sredstava bitnih za provedbu redovnih zadaća postrojbi. Održavanjem ubojitih sredstava (UbS) osigurava se produljenje vijeka njihove uporabe te se stvaraju uvjeti za primjenu propisanih mjera pirotehničke sigurnosti, zaštite na radu, zaštite od požara i zaštite okoliša pri skladištenju, čuvanju, rukovanju, prevoženju, uporabi i održavanju zaliha. Tijekom 2016. provedeno je održavanje naoružanja i opreme koje uključuje nastavak generalne reviziju tenkova M-84 tako da je u 2016. godini dovršena revizija 10 tenkova, te su nabavljeni pričuvni dijelovi za tenkove. Provedeno je redovno održavanje zaprimljenih novih borbenih oklopnih vozila i nabava potrebnih pričuvnih dijelova. Provedeno je održavanje i nabava pričuvnih dijelova za vozila zaprimljena kroz programe pomoći američke vojske, te održavanje nebojnih vozila i inženjerijske opreme. Nastavljen je remont transportnih helikoptera Mi-8 i provedeno redovno održavanje drugih letjelica, kao i radarskog sustava FPS-117. Provedeno je redovno održavanje brodova i drugih plovila, brodskih sustava naoružanja, obalnog naoružanja i radarskih sustava. Izvršenje aktivnosti veće je od plana za 2016. godinu jer su u izvršenju obuhvaćeni rashodi koji su financirani iz ostvarenih prihoda Ministarstva obrane, a koji se sukladno Zakonu o proračunu mogu izvršavati iznad planiranog iznosa, a do visine ostvarenih prihoda.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održavanih borbenih MTS-a na uporabi (plovila, zrakoplovi, oklopna sredstva, radarski sustavi)</w:t>
            </w:r>
          </w:p>
        </w:tc>
        <w:tc>
          <w:tcPr>
            <w:tcW w:w="2551" w:type="dxa"/>
          </w:tcPr>
          <w:p w:rsidR="005C2091" w:rsidRDefault="00A86293">
            <w:pPr>
              <w:pStyle w:val="CellColumn"/>
              <w:jc w:val="left"/>
            </w:pPr>
            <w:r>
              <w:rPr>
                <w:rFonts w:cs="Times New Roman"/>
              </w:rPr>
              <w:t>Osigurati ispravnost ključne borbene tehnike</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943</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959</w:t>
            </w:r>
          </w:p>
        </w:tc>
        <w:tc>
          <w:tcPr>
            <w:tcW w:w="1020" w:type="dxa"/>
          </w:tcPr>
          <w:p w:rsidR="005C2091" w:rsidRDefault="00A86293">
            <w:pPr>
              <w:pStyle w:val="CellColumn"/>
              <w:jc w:val="right"/>
            </w:pPr>
            <w:r>
              <w:rPr>
                <w:rFonts w:cs="Times New Roman"/>
              </w:rPr>
              <w:t>959</w:t>
            </w:r>
          </w:p>
        </w:tc>
      </w:tr>
      <w:tr w:rsidR="005C2091">
        <w:trPr>
          <w:jc w:val="center"/>
        </w:trPr>
        <w:tc>
          <w:tcPr>
            <w:tcW w:w="2551" w:type="dxa"/>
          </w:tcPr>
          <w:p w:rsidR="005C2091" w:rsidRDefault="00A86293">
            <w:pPr>
              <w:pStyle w:val="CellColumn"/>
              <w:jc w:val="left"/>
            </w:pPr>
            <w:r>
              <w:rPr>
                <w:rFonts w:cs="Times New Roman"/>
              </w:rPr>
              <w:t>Broj održavanih neborbenih MTS-a i sustava</w:t>
            </w:r>
          </w:p>
        </w:tc>
        <w:tc>
          <w:tcPr>
            <w:tcW w:w="2551" w:type="dxa"/>
          </w:tcPr>
          <w:p w:rsidR="005C2091" w:rsidRDefault="00A86293">
            <w:pPr>
              <w:pStyle w:val="CellColumn"/>
              <w:jc w:val="left"/>
            </w:pPr>
            <w:r>
              <w:rPr>
                <w:rFonts w:cs="Times New Roman"/>
              </w:rPr>
              <w:t>Osigurati ispravnost ključne neborbene tehnike</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1742</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1742</w:t>
            </w:r>
          </w:p>
        </w:tc>
        <w:tc>
          <w:tcPr>
            <w:tcW w:w="1020" w:type="dxa"/>
          </w:tcPr>
          <w:p w:rsidR="005C2091" w:rsidRDefault="00A86293">
            <w:pPr>
              <w:pStyle w:val="CellColumn"/>
              <w:jc w:val="right"/>
            </w:pPr>
            <w:r>
              <w:rPr>
                <w:rFonts w:cs="Times New Roman"/>
              </w:rPr>
              <w:t>1742</w:t>
            </w:r>
          </w:p>
        </w:tc>
      </w:tr>
      <w:tr w:rsidR="005C2091">
        <w:trPr>
          <w:jc w:val="center"/>
        </w:trPr>
        <w:tc>
          <w:tcPr>
            <w:tcW w:w="2551" w:type="dxa"/>
          </w:tcPr>
          <w:p w:rsidR="005C2091" w:rsidRDefault="00A86293">
            <w:pPr>
              <w:pStyle w:val="CellColumn"/>
              <w:jc w:val="left"/>
            </w:pPr>
            <w:r>
              <w:rPr>
                <w:rFonts w:cs="Times New Roman"/>
              </w:rPr>
              <w:t>Količina održavanih UbS-a</w:t>
            </w:r>
          </w:p>
        </w:tc>
        <w:tc>
          <w:tcPr>
            <w:tcW w:w="2551" w:type="dxa"/>
          </w:tcPr>
          <w:p w:rsidR="005C2091" w:rsidRDefault="00A86293">
            <w:pPr>
              <w:pStyle w:val="CellColumn"/>
              <w:jc w:val="left"/>
            </w:pPr>
            <w:r>
              <w:rPr>
                <w:rFonts w:cs="Times New Roman"/>
              </w:rPr>
              <w:t>Osigurati ispravnost perspektivnih UbS te zbrinjavanje neperspektivnih uz smanjenje ukupnih količina u skladištima</w:t>
            </w:r>
          </w:p>
        </w:tc>
        <w:tc>
          <w:tcPr>
            <w:tcW w:w="1020" w:type="dxa"/>
          </w:tcPr>
          <w:p w:rsidR="005C2091" w:rsidRDefault="00A86293">
            <w:pPr>
              <w:pStyle w:val="CellColumn"/>
              <w:jc w:val="right"/>
            </w:pPr>
            <w:r>
              <w:rPr>
                <w:rFonts w:cs="Times New Roman"/>
              </w:rPr>
              <w:t>t (tona)</w:t>
            </w:r>
          </w:p>
        </w:tc>
        <w:tc>
          <w:tcPr>
            <w:tcW w:w="1020" w:type="dxa"/>
          </w:tcPr>
          <w:p w:rsidR="005C2091" w:rsidRDefault="00A86293">
            <w:pPr>
              <w:pStyle w:val="CellColumn"/>
              <w:jc w:val="right"/>
            </w:pPr>
            <w:r>
              <w:rPr>
                <w:rFonts w:cs="Times New Roman"/>
              </w:rPr>
              <w:t>12000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10000</w:t>
            </w:r>
          </w:p>
        </w:tc>
        <w:tc>
          <w:tcPr>
            <w:tcW w:w="1020" w:type="dxa"/>
          </w:tcPr>
          <w:p w:rsidR="005C2091" w:rsidRDefault="00A86293">
            <w:pPr>
              <w:pStyle w:val="CellColumn"/>
              <w:jc w:val="right"/>
            </w:pPr>
            <w:r>
              <w:rPr>
                <w:rFonts w:cs="Times New Roman"/>
              </w:rPr>
              <w:t>10000</w:t>
            </w:r>
          </w:p>
        </w:tc>
      </w:tr>
    </w:tbl>
    <w:p w:rsidR="005C2091" w:rsidRDefault="005C2091">
      <w:pPr>
        <w:jc w:val="left"/>
      </w:pPr>
    </w:p>
    <w:p w:rsidR="005C2091" w:rsidRDefault="00A86293">
      <w:pPr>
        <w:pStyle w:val="Heading4"/>
      </w:pPr>
      <w:r>
        <w:t>A545062 TEMELJNO ODRŽAVANJE OBJEKATA I INFRASTRUKTURE</w:t>
      </w:r>
    </w:p>
    <w:tbl>
      <w:tblPr>
        <w:tblStyle w:val="StilTablice"/>
        <w:tblW w:w="10206" w:type="dxa"/>
        <w:jc w:val="center"/>
        <w:tblLook w:val="04A0" w:firstRow="1" w:lastRow="0" w:firstColumn="1" w:lastColumn="0" w:noHBand="0" w:noVBand="1"/>
      </w:tblPr>
      <w:tblGrid>
        <w:gridCol w:w="1893"/>
        <w:gridCol w:w="1965"/>
        <w:gridCol w:w="1965"/>
        <w:gridCol w:w="1965"/>
        <w:gridCol w:w="1205"/>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A545062-TEMELJNO ODRŽAVANJE OBJEKATA I INFRASTRUKTURE</w:t>
            </w:r>
          </w:p>
        </w:tc>
        <w:tc>
          <w:tcPr>
            <w:tcW w:w="2041" w:type="dxa"/>
          </w:tcPr>
          <w:p w:rsidR="005C2091" w:rsidRDefault="00A86293">
            <w:pPr>
              <w:pStyle w:val="CellColumn"/>
              <w:jc w:val="right"/>
            </w:pPr>
            <w:r>
              <w:rPr>
                <w:rFonts w:cs="Times New Roman"/>
              </w:rPr>
              <w:t>32.728.466</w:t>
            </w:r>
          </w:p>
        </w:tc>
        <w:tc>
          <w:tcPr>
            <w:tcW w:w="2041" w:type="dxa"/>
          </w:tcPr>
          <w:p w:rsidR="005C2091" w:rsidRDefault="00A86293">
            <w:pPr>
              <w:pStyle w:val="CellColumn"/>
              <w:jc w:val="right"/>
            </w:pPr>
            <w:r>
              <w:rPr>
                <w:rFonts w:cs="Times New Roman"/>
              </w:rPr>
              <w:t>47.841.750</w:t>
            </w:r>
          </w:p>
        </w:tc>
        <w:tc>
          <w:tcPr>
            <w:tcW w:w="2041" w:type="dxa"/>
          </w:tcPr>
          <w:p w:rsidR="005C2091" w:rsidRDefault="00A86293">
            <w:pPr>
              <w:pStyle w:val="CellColumn"/>
              <w:jc w:val="right"/>
            </w:pPr>
            <w:r>
              <w:rPr>
                <w:rFonts w:cs="Times New Roman"/>
              </w:rPr>
              <w:t>47.923.489</w:t>
            </w:r>
          </w:p>
        </w:tc>
        <w:tc>
          <w:tcPr>
            <w:tcW w:w="1224" w:type="dxa"/>
          </w:tcPr>
          <w:p w:rsidR="005C2091" w:rsidRDefault="00A86293">
            <w:pPr>
              <w:pStyle w:val="CellColumn"/>
              <w:jc w:val="right"/>
            </w:pPr>
            <w:r>
              <w:rPr>
                <w:rFonts w:cs="Times New Roman"/>
              </w:rPr>
              <w:t>100,2</w:t>
            </w:r>
          </w:p>
        </w:tc>
        <w:tc>
          <w:tcPr>
            <w:tcW w:w="1224" w:type="dxa"/>
          </w:tcPr>
          <w:p w:rsidR="005C2091" w:rsidRDefault="00A86293">
            <w:pPr>
              <w:pStyle w:val="CellColumn"/>
              <w:jc w:val="right"/>
            </w:pPr>
            <w:r>
              <w:rPr>
                <w:rFonts w:cs="Times New Roman"/>
              </w:rPr>
              <w:t>146,4</w:t>
            </w:r>
          </w:p>
        </w:tc>
      </w:tr>
    </w:tbl>
    <w:p w:rsidR="005C2091" w:rsidRDefault="005C2091">
      <w:pPr>
        <w:jc w:val="left"/>
      </w:pPr>
    </w:p>
    <w:p w:rsidR="005C2091" w:rsidRDefault="00A86293">
      <w:pPr>
        <w:pStyle w:val="Heading8"/>
        <w:jc w:val="left"/>
      </w:pPr>
      <w:r>
        <w:t>Zakonske i druge pravne osnove</w:t>
      </w:r>
    </w:p>
    <w:p w:rsidR="005C2091" w:rsidRDefault="00A86293">
      <w:r>
        <w:t>Zakon o obrani, Dugoročni plan razvoja Oružanih snaga Republike Hrvatske za razdoblje 2015. do 2024., Pravilnik o načinu materijalnog zbrinjavanja OS RH (glava 5), Zakon o zaštiti okoliša, Zakon o zaštiti prirode, Zakon o zaštiti na radu, Zakon o zaštiti od požara, Zakon o održivom gospodarenju otpadom</w:t>
      </w:r>
    </w:p>
    <w:p w:rsidR="005C2091" w:rsidRDefault="00A86293">
      <w:pPr>
        <w:pStyle w:val="Heading8"/>
        <w:jc w:val="left"/>
      </w:pPr>
      <w:r>
        <w:t>Opis aktivnosti</w:t>
      </w:r>
    </w:p>
    <w:p w:rsidR="005C2091" w:rsidRDefault="00A86293">
      <w:r>
        <w:t>Sustavnim održavanjem građevina i infrastrukture provode se zakonski propisane aktivnosti u cilju očuvanja temeljnih zahtjeva pojedine građevine tijekom njezinog trajanja: zakonske obveze ispitivanja, pregleda i održavanja iz područja termoenergetike, elektroenergetike, zaštite od požara, zaštite na radu, zaštite okoliša kao i redovna provedba komunalnih usluga. Kroz aktivnost se poboljšavaju i održavanju uvjeti za sigurno i ekonomično skladištenje ubojitih sredstava, naoružanja i vojne opreme, pogonskih sredstava i MTS-a, uvjeti rada, obuke i standarda smještaja postrojbi kroz radove uređenja smještajnih prostora, sanitarnih prostora, prostora za održavanje higijene, učionica, kabineta, prostora za obuku te strelišta i vježbališta poštujući načela bolje energetske učinkovitosti vojnih građevina. Pored redovnog održavanja i hitnih intervencija obavljeni su sanacijski radovi u vojarnama u Delnicama, Brijunima, Splitu, Zemuniku, Vinkovcima, Velikoj buni, Zagrebu, na poligonu u Gašincima, vježbalištu u Gakovu, radarskim postajama Papuk, Borinci i Sljeme. Izvršenje aktivnosti veće je od plana za 2016. godinu jer su u izvršenju obuhvaćeni rashodi koji su financirani iz ostvarenih prihoda Ministarstva obrane, a koji se sukladno Zakonu o proračunu mogu izvršavati iznad planiranog iznosa, a do visine ostvarenih prihoda.</w:t>
      </w:r>
    </w:p>
    <w:p w:rsidR="008846BB" w:rsidRDefault="008846BB"/>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termoenergetskih postrojenja U OS RH</w:t>
            </w:r>
          </w:p>
        </w:tc>
        <w:tc>
          <w:tcPr>
            <w:tcW w:w="2551" w:type="dxa"/>
          </w:tcPr>
          <w:p w:rsidR="005C2091" w:rsidRDefault="00A86293">
            <w:pPr>
              <w:pStyle w:val="CellColumn"/>
              <w:jc w:val="left"/>
            </w:pPr>
            <w:r>
              <w:rPr>
                <w:rFonts w:cs="Times New Roman"/>
              </w:rPr>
              <w:t>Održavanje TE postrojenja u OS RH</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160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160</w:t>
            </w:r>
          </w:p>
        </w:tc>
        <w:tc>
          <w:tcPr>
            <w:tcW w:w="1020" w:type="dxa"/>
          </w:tcPr>
          <w:p w:rsidR="005C2091" w:rsidRDefault="00A86293">
            <w:pPr>
              <w:pStyle w:val="CellColumn"/>
              <w:jc w:val="right"/>
            </w:pPr>
            <w:r>
              <w:rPr>
                <w:rFonts w:cs="Times New Roman"/>
              </w:rPr>
              <w:t>164</w:t>
            </w:r>
          </w:p>
        </w:tc>
      </w:tr>
      <w:tr w:rsidR="005C2091">
        <w:trPr>
          <w:jc w:val="center"/>
        </w:trPr>
        <w:tc>
          <w:tcPr>
            <w:tcW w:w="2551" w:type="dxa"/>
          </w:tcPr>
          <w:p w:rsidR="005C2091" w:rsidRDefault="00A86293">
            <w:pPr>
              <w:pStyle w:val="CellColumn"/>
              <w:jc w:val="left"/>
            </w:pPr>
            <w:r>
              <w:rPr>
                <w:rFonts w:cs="Times New Roman"/>
              </w:rPr>
              <w:t>Broj trafostanica</w:t>
            </w:r>
          </w:p>
        </w:tc>
        <w:tc>
          <w:tcPr>
            <w:tcW w:w="2551" w:type="dxa"/>
          </w:tcPr>
          <w:p w:rsidR="005C2091" w:rsidRDefault="00A86293">
            <w:pPr>
              <w:pStyle w:val="CellColumn"/>
              <w:jc w:val="left"/>
            </w:pPr>
            <w:r>
              <w:rPr>
                <w:rFonts w:cs="Times New Roman"/>
              </w:rPr>
              <w:t>Osigurati ispravnost trafostanica u OS RH</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137</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137</w:t>
            </w:r>
          </w:p>
        </w:tc>
        <w:tc>
          <w:tcPr>
            <w:tcW w:w="1020" w:type="dxa"/>
          </w:tcPr>
          <w:p w:rsidR="005C2091" w:rsidRDefault="00A86293">
            <w:pPr>
              <w:pStyle w:val="CellColumn"/>
              <w:jc w:val="right"/>
            </w:pPr>
            <w:r>
              <w:rPr>
                <w:rFonts w:cs="Times New Roman"/>
              </w:rPr>
              <w:t>137</w:t>
            </w:r>
          </w:p>
        </w:tc>
      </w:tr>
      <w:tr w:rsidR="005C2091">
        <w:trPr>
          <w:jc w:val="center"/>
        </w:trPr>
        <w:tc>
          <w:tcPr>
            <w:tcW w:w="2551" w:type="dxa"/>
          </w:tcPr>
          <w:p w:rsidR="005C2091" w:rsidRDefault="00A86293">
            <w:pPr>
              <w:pStyle w:val="CellColumn"/>
              <w:jc w:val="left"/>
            </w:pPr>
            <w:r>
              <w:rPr>
                <w:rFonts w:cs="Times New Roman"/>
              </w:rPr>
              <w:t>Količina zbrinutog otpada</w:t>
            </w:r>
          </w:p>
        </w:tc>
        <w:tc>
          <w:tcPr>
            <w:tcW w:w="2551" w:type="dxa"/>
          </w:tcPr>
          <w:p w:rsidR="005C2091" w:rsidRDefault="00A86293">
            <w:pPr>
              <w:pStyle w:val="CellColumn"/>
              <w:jc w:val="left"/>
            </w:pPr>
            <w:r>
              <w:rPr>
                <w:rFonts w:cs="Times New Roman"/>
              </w:rPr>
              <w:t>Zbrinuti opasni otpad na lokacijama u OS RH (kumulativ)</w:t>
            </w:r>
          </w:p>
        </w:tc>
        <w:tc>
          <w:tcPr>
            <w:tcW w:w="1020" w:type="dxa"/>
          </w:tcPr>
          <w:p w:rsidR="005C2091" w:rsidRDefault="00A86293">
            <w:pPr>
              <w:pStyle w:val="CellColumn"/>
              <w:jc w:val="right"/>
            </w:pPr>
            <w:r>
              <w:rPr>
                <w:rFonts w:cs="Times New Roman"/>
              </w:rPr>
              <w:t>t (tona)</w:t>
            </w:r>
          </w:p>
        </w:tc>
        <w:tc>
          <w:tcPr>
            <w:tcW w:w="1020" w:type="dxa"/>
          </w:tcPr>
          <w:p w:rsidR="005C2091" w:rsidRDefault="00A86293">
            <w:pPr>
              <w:pStyle w:val="CellColumn"/>
              <w:jc w:val="right"/>
            </w:pPr>
            <w:r>
              <w:rPr>
                <w:rFonts w:cs="Times New Roman"/>
              </w:rPr>
              <w:t>350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400</w:t>
            </w:r>
          </w:p>
        </w:tc>
        <w:tc>
          <w:tcPr>
            <w:tcW w:w="1020" w:type="dxa"/>
          </w:tcPr>
          <w:p w:rsidR="005C2091" w:rsidRDefault="00A86293">
            <w:pPr>
              <w:pStyle w:val="CellColumn"/>
              <w:jc w:val="right"/>
            </w:pPr>
            <w:r>
              <w:rPr>
                <w:rFonts w:cs="Times New Roman"/>
              </w:rPr>
              <w:t>400</w:t>
            </w:r>
          </w:p>
        </w:tc>
      </w:tr>
    </w:tbl>
    <w:p w:rsidR="005C2091" w:rsidRDefault="005C2091">
      <w:pPr>
        <w:jc w:val="left"/>
      </w:pPr>
    </w:p>
    <w:p w:rsidR="005C2091" w:rsidRDefault="00A86293">
      <w:pPr>
        <w:pStyle w:val="Heading3"/>
      </w:pPr>
      <w:r>
        <w:rPr>
          <w:rFonts w:cs="Times New Roman"/>
        </w:rPr>
        <w:t>2508 MEĐUNARODNA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2508-MEĐUNARODNA SURADNJA</w:t>
            </w:r>
          </w:p>
        </w:tc>
        <w:tc>
          <w:tcPr>
            <w:tcW w:w="2041" w:type="dxa"/>
          </w:tcPr>
          <w:p w:rsidR="005C2091" w:rsidRDefault="00A86293">
            <w:pPr>
              <w:pStyle w:val="CellColumn"/>
              <w:jc w:val="right"/>
            </w:pPr>
            <w:r>
              <w:rPr>
                <w:rFonts w:cs="Times New Roman"/>
              </w:rPr>
              <w:t>66.115.882</w:t>
            </w:r>
          </w:p>
        </w:tc>
        <w:tc>
          <w:tcPr>
            <w:tcW w:w="2041" w:type="dxa"/>
          </w:tcPr>
          <w:p w:rsidR="005C2091" w:rsidRDefault="00A86293">
            <w:pPr>
              <w:pStyle w:val="CellColumn"/>
              <w:jc w:val="right"/>
            </w:pPr>
            <w:r>
              <w:rPr>
                <w:rFonts w:cs="Times New Roman"/>
              </w:rPr>
              <w:t>60.533.000</w:t>
            </w:r>
          </w:p>
        </w:tc>
        <w:tc>
          <w:tcPr>
            <w:tcW w:w="2041" w:type="dxa"/>
          </w:tcPr>
          <w:p w:rsidR="005C2091" w:rsidRDefault="00A86293">
            <w:pPr>
              <w:pStyle w:val="CellColumn"/>
              <w:jc w:val="right"/>
            </w:pPr>
            <w:r>
              <w:rPr>
                <w:rFonts w:cs="Times New Roman"/>
              </w:rPr>
              <w:t>59.862.455</w:t>
            </w:r>
          </w:p>
        </w:tc>
        <w:tc>
          <w:tcPr>
            <w:tcW w:w="1224" w:type="dxa"/>
          </w:tcPr>
          <w:p w:rsidR="005C2091" w:rsidRDefault="00A86293">
            <w:pPr>
              <w:pStyle w:val="CellColumn"/>
              <w:jc w:val="right"/>
            </w:pPr>
            <w:r>
              <w:rPr>
                <w:rFonts w:cs="Times New Roman"/>
              </w:rPr>
              <w:t>98,9</w:t>
            </w:r>
          </w:p>
        </w:tc>
        <w:tc>
          <w:tcPr>
            <w:tcW w:w="1224" w:type="dxa"/>
          </w:tcPr>
          <w:p w:rsidR="005C2091" w:rsidRDefault="00A86293">
            <w:pPr>
              <w:pStyle w:val="CellColumn"/>
              <w:jc w:val="right"/>
            </w:pPr>
            <w:r>
              <w:rPr>
                <w:rFonts w:cs="Times New Roman"/>
              </w:rPr>
              <w:t>90,5</w:t>
            </w:r>
          </w:p>
        </w:tc>
      </w:tr>
    </w:tbl>
    <w:p w:rsidR="005C2091" w:rsidRDefault="005C2091">
      <w:pPr>
        <w:jc w:val="left"/>
      </w:pPr>
    </w:p>
    <w:p w:rsidR="005C2091" w:rsidRDefault="00A86293">
      <w:r>
        <w:lastRenderedPageBreak/>
        <w:t>Ulaskom u NATO i u EU, jača i uloga Republike Hrvatske na međunarodnoj sigurnosnoj sceni. Članstvom u NATO-u Republika Hrvatska se uključila u sustav kolektivne obrane, koji joj daje najveću moguću razinu sigurnosti, ali zahtijeva i njezin doprinos. Ulaskom u EU Republika Hrvatska se u potpunosti uključila u procese Zajedničke sigurnosne i obrambene politike EU-a i djelovanje u obrambenim tijelima EU-a, što je komplementarno s općim strateškim ciljevima vanjske politike Republike Hrvatske. U području međunarodne vojne suradnje provodi se niz aktivnosti izgradnje sigurnosti i povjerenja. Doprinos stabilnosti regije putem obrambene suradnje i aktivnog sudjelovanja u regionalnim inicijativama nezaobilazna je stavka u razvoju uspješnih političkih i gospodarskih odnosa u regiji. Provedbom međunarodno prihvaćenih obveza u području nadzora naoružanja poboljšava se puna implementacija mjera za izgradnju sigurnosti i povjerenja, kao i provedba prihvaćenih konvencija, globalnih i regionalnih sporazuma, ugovora, programa i mjera na području međunarodne sigurnosti. Članstvo u NATO-u i drugim međunarodnim institucijama podrazumijeva sudjelovanje i u podmirenju troškova funkcioniranja i rada, što uključuje troškove poput članarina, financiranja zajedničkih projekata i slično.</w:t>
      </w:r>
    </w:p>
    <w:p w:rsidR="005C2091" w:rsidRDefault="00A86293">
      <w:pPr>
        <w:pStyle w:val="Heading8"/>
        <w:jc w:val="left"/>
      </w:pPr>
      <w:r>
        <w:t>Cilj 1. Unaprijediti međunarodnu obrambenu suradnju</w:t>
      </w:r>
    </w:p>
    <w:p w:rsidR="005C2091" w:rsidRDefault="00A86293">
      <w:pPr>
        <w:pStyle w:val="Heading8"/>
        <w:jc w:val="left"/>
      </w:pPr>
      <w:r>
        <w:t>Opis provedbe cilja programa</w:t>
      </w:r>
    </w:p>
    <w:p w:rsidR="005C2091" w:rsidRDefault="00A86293">
      <w:r>
        <w:t>Međunarodna obrambena suradnja podrazumijeva bilateralnu i regionalnu suradnju, multilateralnu obrambenu suradnju i međunarodnu sigurnost, sudjelovanje u radu obrambenih tijela NATO-a i EU-a te ostalih međunarodnih organizacija (UN, OESS i slično), kao i vojnu diplomaciju. U sklopu međunarodne obrambene suradnje poduzima se niz aktivnosti kojima se zastupaju interesi RH u međunarodnim tijelima i organizacijama, kao i djelatnost vojne diplomacije. Aktivno djelovanje Republike Hrvatske u UN-u, NATO-u, EU i ostalim organizacijama te unapređenje međunarodne obrambene suradnje pridonosi jačanju uloge Republike Hrvatske u međunarodnom sigurnosnom i obrambenom prostoru, provođenju reformi i razvoju obrambenog sustava Republike Hrvatske, poboljšanju dobrosusjedskih odnosa te jačanju regionalne suradnje.</w:t>
      </w:r>
    </w:p>
    <w:p w:rsidR="008846BB" w:rsidRDefault="008846BB"/>
    <w:p w:rsidR="008846BB" w:rsidRDefault="008846BB"/>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40"/>
        <w:gridCol w:w="2442"/>
        <w:gridCol w:w="1009"/>
        <w:gridCol w:w="1103"/>
        <w:gridCol w:w="1006"/>
        <w:gridCol w:w="1103"/>
        <w:gridCol w:w="1103"/>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Doprinos jačanju obrambenih sposobnosti</w:t>
            </w:r>
          </w:p>
        </w:tc>
        <w:tc>
          <w:tcPr>
            <w:tcW w:w="2551" w:type="dxa"/>
          </w:tcPr>
          <w:p w:rsidR="005C2091" w:rsidRDefault="00A86293">
            <w:pPr>
              <w:pStyle w:val="CellColumn"/>
              <w:jc w:val="left"/>
            </w:pPr>
            <w:r>
              <w:rPr>
                <w:rFonts w:cs="Times New Roman"/>
              </w:rPr>
              <w:t>Podizanjem razine suradnje sa strateškim partnerima doprinosi se unapređenju obrambenih sposobnosti</w:t>
            </w:r>
          </w:p>
        </w:tc>
        <w:tc>
          <w:tcPr>
            <w:tcW w:w="1020" w:type="dxa"/>
          </w:tcPr>
          <w:p w:rsidR="005C2091" w:rsidRDefault="00A86293">
            <w:pPr>
              <w:pStyle w:val="CellColumn"/>
              <w:jc w:val="right"/>
            </w:pPr>
            <w:r>
              <w:rPr>
                <w:rFonts w:cs="Times New Roman"/>
              </w:rPr>
              <w:t>Intenzitet suradnje</w:t>
            </w:r>
          </w:p>
        </w:tc>
        <w:tc>
          <w:tcPr>
            <w:tcW w:w="1020" w:type="dxa"/>
          </w:tcPr>
          <w:p w:rsidR="005C2091" w:rsidRDefault="00A86293">
            <w:pPr>
              <w:pStyle w:val="CellColumn"/>
              <w:jc w:val="right"/>
            </w:pPr>
            <w:r>
              <w:rPr>
                <w:rFonts w:cs="Times New Roman"/>
              </w:rPr>
              <w:t>Zadržavanje postignutog</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Zadržavanje postignutog</w:t>
            </w:r>
          </w:p>
        </w:tc>
        <w:tc>
          <w:tcPr>
            <w:tcW w:w="1020" w:type="dxa"/>
          </w:tcPr>
          <w:p w:rsidR="005C2091" w:rsidRDefault="00A86293">
            <w:pPr>
              <w:pStyle w:val="CellColumn"/>
              <w:jc w:val="right"/>
            </w:pPr>
            <w:r>
              <w:rPr>
                <w:rFonts w:cs="Times New Roman"/>
              </w:rPr>
              <w:t>Zadržavanje postignutog</w:t>
            </w:r>
          </w:p>
        </w:tc>
      </w:tr>
    </w:tbl>
    <w:p w:rsidR="005C2091" w:rsidRDefault="005C2091">
      <w:pPr>
        <w:jc w:val="left"/>
      </w:pPr>
    </w:p>
    <w:p w:rsidR="005C2091" w:rsidRDefault="00A86293">
      <w:pPr>
        <w:pStyle w:val="Heading4"/>
      </w:pPr>
      <w:r>
        <w:t>A545063 BILATERALNA I MULTILATERALNA SURADNJA</w:t>
      </w:r>
    </w:p>
    <w:tbl>
      <w:tblPr>
        <w:tblStyle w:val="StilTablice"/>
        <w:tblW w:w="10206" w:type="dxa"/>
        <w:jc w:val="center"/>
        <w:tblLook w:val="04A0" w:firstRow="1" w:lastRow="0" w:firstColumn="1" w:lastColumn="0" w:noHBand="0" w:noVBand="1"/>
      </w:tblPr>
      <w:tblGrid>
        <w:gridCol w:w="1948"/>
        <w:gridCol w:w="1949"/>
        <w:gridCol w:w="1949"/>
        <w:gridCol w:w="1949"/>
        <w:gridCol w:w="1201"/>
        <w:gridCol w:w="1210"/>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A545063-BILATERALNA I MULTILATERALNA SURADNJA</w:t>
            </w:r>
          </w:p>
        </w:tc>
        <w:tc>
          <w:tcPr>
            <w:tcW w:w="2041" w:type="dxa"/>
          </w:tcPr>
          <w:p w:rsidR="005C2091" w:rsidRDefault="00A86293">
            <w:pPr>
              <w:pStyle w:val="CellColumn"/>
              <w:jc w:val="right"/>
            </w:pPr>
            <w:r>
              <w:rPr>
                <w:rFonts w:cs="Times New Roman"/>
              </w:rPr>
              <w:t>11.175.548</w:t>
            </w:r>
          </w:p>
        </w:tc>
        <w:tc>
          <w:tcPr>
            <w:tcW w:w="2041" w:type="dxa"/>
          </w:tcPr>
          <w:p w:rsidR="005C2091" w:rsidRDefault="00A86293">
            <w:pPr>
              <w:pStyle w:val="CellColumn"/>
              <w:jc w:val="right"/>
            </w:pPr>
            <w:r>
              <w:rPr>
                <w:rFonts w:cs="Times New Roman"/>
              </w:rPr>
              <w:t>11.036.000</w:t>
            </w:r>
          </w:p>
        </w:tc>
        <w:tc>
          <w:tcPr>
            <w:tcW w:w="2041" w:type="dxa"/>
          </w:tcPr>
          <w:p w:rsidR="005C2091" w:rsidRDefault="00A86293">
            <w:pPr>
              <w:pStyle w:val="CellColumn"/>
              <w:jc w:val="right"/>
            </w:pPr>
            <w:r>
              <w:rPr>
                <w:rFonts w:cs="Times New Roman"/>
              </w:rPr>
              <w:t>10.614.782</w:t>
            </w:r>
          </w:p>
        </w:tc>
        <w:tc>
          <w:tcPr>
            <w:tcW w:w="1224" w:type="dxa"/>
          </w:tcPr>
          <w:p w:rsidR="005C2091" w:rsidRDefault="00A86293">
            <w:pPr>
              <w:pStyle w:val="CellColumn"/>
              <w:jc w:val="right"/>
            </w:pPr>
            <w:r>
              <w:rPr>
                <w:rFonts w:cs="Times New Roman"/>
              </w:rPr>
              <w:t>96,2</w:t>
            </w:r>
          </w:p>
        </w:tc>
        <w:tc>
          <w:tcPr>
            <w:tcW w:w="1224" w:type="dxa"/>
          </w:tcPr>
          <w:p w:rsidR="005C2091" w:rsidRDefault="00A86293">
            <w:pPr>
              <w:pStyle w:val="CellColumn"/>
              <w:jc w:val="right"/>
            </w:pPr>
            <w:r>
              <w:rPr>
                <w:rFonts w:cs="Times New Roman"/>
              </w:rPr>
              <w:t>95,0</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službi u OS RH (članak 62, glava VI, VII, VIII), Pravilnik o ustroju i zadaćama vojno-diplomatskih predstavništava RH u inozemstvu, Pravilnik o načinu materijalnog zbrinjavanja OS RH (glava 4, 5, 6, 7, 8, 11), Pravilnik o mjerilima za određivanje plaće vojnodiplomatskim osobama, osobama upućenim na rad u međunarodne organizacije, administrativno-tehničkom osoblju, odnosno nediplomatskom osoblju te članovima njihove uže obitelji</w:t>
      </w:r>
    </w:p>
    <w:p w:rsidR="005C2091" w:rsidRDefault="00A86293">
      <w:pPr>
        <w:pStyle w:val="Heading8"/>
        <w:jc w:val="left"/>
      </w:pPr>
      <w:r>
        <w:lastRenderedPageBreak/>
        <w:t>Opis aktivnosti</w:t>
      </w:r>
    </w:p>
    <w:p w:rsidR="005C2091" w:rsidRDefault="00A86293">
      <w:r>
        <w:t>Aktivnost obuhvaća provedbu bilateralnih, multilateralnih međunarodnih aktivnosti, aktivnosti iz domene nadzora naoružanja te aktivnosti vojno diplomatske mreže. Provedbom aktivnosti osigurano je uspješno funkcioniranje međunarodne obrambene suradnje koja je težišno usmjerena na strateški značajne partnere i ostale članice NATO-a i EU-a. S državama koje su važne s aspekta vanjskopolitičkog i sigurnosnog interesa Republike Hrvatske, a nisu članice NATO-a i EU, razvija se vojno-tehnička suradnja i suradnja na području vojne izobrazbe.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aktivnosti bilateralne obrambene suradnje</w:t>
            </w:r>
          </w:p>
        </w:tc>
        <w:tc>
          <w:tcPr>
            <w:tcW w:w="2551" w:type="dxa"/>
          </w:tcPr>
          <w:p w:rsidR="005C2091" w:rsidRDefault="00A86293">
            <w:pPr>
              <w:pStyle w:val="CellColumn"/>
              <w:jc w:val="left"/>
            </w:pPr>
            <w:r>
              <w:rPr>
                <w:rFonts w:cs="Times New Roman"/>
              </w:rPr>
              <w:t>Zadržavanje postignute razine suradnje uz fokusiranje na strateške partnere i zemlje regije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215</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235</w:t>
            </w:r>
          </w:p>
        </w:tc>
        <w:tc>
          <w:tcPr>
            <w:tcW w:w="1020" w:type="dxa"/>
          </w:tcPr>
          <w:p w:rsidR="005C2091" w:rsidRDefault="00A86293">
            <w:pPr>
              <w:pStyle w:val="CellColumn"/>
              <w:jc w:val="right"/>
            </w:pPr>
            <w:r>
              <w:rPr>
                <w:rFonts w:cs="Times New Roman"/>
              </w:rPr>
              <w:t>198</w:t>
            </w:r>
          </w:p>
        </w:tc>
      </w:tr>
      <w:tr w:rsidR="005C2091">
        <w:trPr>
          <w:jc w:val="center"/>
        </w:trPr>
        <w:tc>
          <w:tcPr>
            <w:tcW w:w="2551" w:type="dxa"/>
          </w:tcPr>
          <w:p w:rsidR="005C2091" w:rsidRDefault="00A86293">
            <w:pPr>
              <w:pStyle w:val="CellColumn"/>
              <w:jc w:val="left"/>
            </w:pPr>
            <w:r>
              <w:rPr>
                <w:rFonts w:cs="Times New Roman"/>
              </w:rPr>
              <w:t>Broj aktivnosti multilateralne obrambene suradnje</w:t>
            </w:r>
          </w:p>
        </w:tc>
        <w:tc>
          <w:tcPr>
            <w:tcW w:w="2551" w:type="dxa"/>
          </w:tcPr>
          <w:p w:rsidR="005C2091" w:rsidRDefault="00A86293">
            <w:pPr>
              <w:pStyle w:val="CellColumn"/>
              <w:jc w:val="left"/>
            </w:pPr>
            <w:r>
              <w:rPr>
                <w:rFonts w:cs="Times New Roman"/>
              </w:rPr>
              <w:t>Zadržavanje postignute razine suradnje uz fokusiranje na najvažnije međunarodne organizacije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443</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450</w:t>
            </w:r>
          </w:p>
        </w:tc>
        <w:tc>
          <w:tcPr>
            <w:tcW w:w="1020" w:type="dxa"/>
          </w:tcPr>
          <w:p w:rsidR="005C2091" w:rsidRDefault="00A86293">
            <w:pPr>
              <w:pStyle w:val="CellColumn"/>
              <w:jc w:val="right"/>
            </w:pPr>
            <w:r>
              <w:rPr>
                <w:rFonts w:cs="Times New Roman"/>
              </w:rPr>
              <w:t>349</w:t>
            </w:r>
          </w:p>
        </w:tc>
      </w:tr>
      <w:tr w:rsidR="005C2091">
        <w:trPr>
          <w:jc w:val="center"/>
        </w:trPr>
        <w:tc>
          <w:tcPr>
            <w:tcW w:w="2551" w:type="dxa"/>
          </w:tcPr>
          <w:p w:rsidR="005C2091" w:rsidRDefault="00A86293">
            <w:pPr>
              <w:pStyle w:val="CellColumn"/>
              <w:jc w:val="left"/>
            </w:pPr>
            <w:r>
              <w:rPr>
                <w:rFonts w:cs="Times New Roman"/>
              </w:rPr>
              <w:t>Broj vojnodiplomatskih predstavništava</w:t>
            </w:r>
          </w:p>
        </w:tc>
        <w:tc>
          <w:tcPr>
            <w:tcW w:w="2551" w:type="dxa"/>
          </w:tcPr>
          <w:p w:rsidR="005C2091" w:rsidRDefault="00A86293">
            <w:pPr>
              <w:pStyle w:val="CellColumn"/>
              <w:jc w:val="left"/>
            </w:pPr>
            <w:r>
              <w:rPr>
                <w:rFonts w:cs="Times New Roman"/>
              </w:rPr>
              <w:t>Redovno funkcioniranje vojno-diplomatske mreže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14</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14</w:t>
            </w:r>
          </w:p>
        </w:tc>
        <w:tc>
          <w:tcPr>
            <w:tcW w:w="1020" w:type="dxa"/>
          </w:tcPr>
          <w:p w:rsidR="005C2091" w:rsidRDefault="00A86293">
            <w:pPr>
              <w:pStyle w:val="CellColumn"/>
              <w:jc w:val="right"/>
            </w:pPr>
            <w:r>
              <w:rPr>
                <w:rFonts w:cs="Times New Roman"/>
              </w:rPr>
              <w:t>14</w:t>
            </w:r>
          </w:p>
        </w:tc>
      </w:tr>
    </w:tbl>
    <w:p w:rsidR="005C2091" w:rsidRDefault="005C2091">
      <w:pPr>
        <w:jc w:val="left"/>
      </w:pPr>
    </w:p>
    <w:p w:rsidR="005C2091" w:rsidRDefault="00A86293">
      <w:pPr>
        <w:pStyle w:val="Heading4"/>
      </w:pPr>
      <w:r>
        <w:t>A545064 AKTIVNOSTI U OKVIRU NATO I EU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A545064-AKTIVNOSTI U OKVIRU NATO I EU</w:t>
            </w:r>
          </w:p>
        </w:tc>
        <w:tc>
          <w:tcPr>
            <w:tcW w:w="2041" w:type="dxa"/>
          </w:tcPr>
          <w:p w:rsidR="005C2091" w:rsidRDefault="00A86293">
            <w:pPr>
              <w:pStyle w:val="CellColumn"/>
              <w:jc w:val="right"/>
            </w:pPr>
            <w:r>
              <w:rPr>
                <w:rFonts w:cs="Times New Roman"/>
              </w:rPr>
              <w:t>54.940.334</w:t>
            </w:r>
          </w:p>
        </w:tc>
        <w:tc>
          <w:tcPr>
            <w:tcW w:w="2041" w:type="dxa"/>
          </w:tcPr>
          <w:p w:rsidR="005C2091" w:rsidRDefault="00A86293">
            <w:pPr>
              <w:pStyle w:val="CellColumn"/>
              <w:jc w:val="right"/>
            </w:pPr>
            <w:r>
              <w:rPr>
                <w:rFonts w:cs="Times New Roman"/>
              </w:rPr>
              <w:t>49.497.000</w:t>
            </w:r>
          </w:p>
        </w:tc>
        <w:tc>
          <w:tcPr>
            <w:tcW w:w="2041" w:type="dxa"/>
          </w:tcPr>
          <w:p w:rsidR="005C2091" w:rsidRDefault="00A86293">
            <w:pPr>
              <w:pStyle w:val="CellColumn"/>
              <w:jc w:val="right"/>
            </w:pPr>
            <w:r>
              <w:rPr>
                <w:rFonts w:cs="Times New Roman"/>
              </w:rPr>
              <w:t>49.247.672</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89,6</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službi u OS RH (članak 62, glava VI, VII, VIII), Pravilnik o načinu materijalnog zbrinjavanja OS RH  (glava 4, 5, 6, 7, 8, 11), Pravilnik o mjerilima za određivanje plaće vojnodiplomatskim osobama, osobama upućenim na rad u međunarodne organizacije, administrativno - tehničkom osoblju, odnosno nediplomatskom osoblju te članovima njihove uže obitelji, Odluka Hrvatskog Sabora o upućivanju pripadnika OS RH na dužnostima u NATO zapovjednoj strukturi, NATO strukturi snaga i drugim nacionalnim (multinacionalnim) zapovjedništvima u operacije i druge aktivnosti u inozemstvu pod vodstvom NATO-a.</w:t>
      </w:r>
    </w:p>
    <w:p w:rsidR="005C2091" w:rsidRDefault="00A86293">
      <w:pPr>
        <w:pStyle w:val="Heading8"/>
        <w:jc w:val="left"/>
      </w:pPr>
      <w:r>
        <w:t>Opis aktivnosti</w:t>
      </w:r>
    </w:p>
    <w:p w:rsidR="005C2091" w:rsidRDefault="00A86293">
      <w:r>
        <w:t>Republika Hrvatska pridonosi sposobnostima NATO-a i EU te se povećavaju zahtjevi u pogledu stručnih i operativnih kapaciteta rada Stalne misije Republike Hrvatske pri Sjevernoatlantskom savezu, uključujući njezin vojni i obrambeni dio. Članstvo u EU povećava zahtjeve za svestranijim i intenzivnijim praćenjem te uključivanjem u aktivnosti na području Zajedničke sigurnosne i obrambene politike kao što je sudjelovanje u radu zajedničkih tijela i stožera, te doprinos njihovom funkcioniranju i izgradnji zajedničkih sposobnosti Saveza i EU. Aktivnost se provodi sudjelovanjem i potporom radu NATO-a kroz provedbu i participaciju u dijelu aktivnosti NATO-a, sudjelovanjem na zasjedanjima NATO-ovih tijela, odbora i radnih skupina, djelovanjem vojnog i obrambenog dijela Stalne misije Republike Hrvatske pri NATO-u.</w:t>
      </w:r>
    </w:p>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NATO odbora na kojima sudjeluju djelatnici Stalnog predstavništva RH pri organizaciji Sjeveroatlanskog ugovora</w:t>
            </w:r>
          </w:p>
        </w:tc>
        <w:tc>
          <w:tcPr>
            <w:tcW w:w="2551" w:type="dxa"/>
          </w:tcPr>
          <w:p w:rsidR="005C2091" w:rsidRDefault="00A86293">
            <w:pPr>
              <w:pStyle w:val="CellColumn"/>
              <w:jc w:val="left"/>
            </w:pPr>
            <w:r>
              <w:rPr>
                <w:rFonts w:cs="Times New Roman"/>
              </w:rPr>
              <w:t>Sudjelovanjem u radu NATO odbora postiže se aktivnija uloga RH u radu NATO-a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37</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71</w:t>
            </w:r>
          </w:p>
        </w:tc>
        <w:tc>
          <w:tcPr>
            <w:tcW w:w="1020" w:type="dxa"/>
          </w:tcPr>
          <w:p w:rsidR="005C2091" w:rsidRDefault="00A86293">
            <w:pPr>
              <w:pStyle w:val="CellColumn"/>
              <w:jc w:val="right"/>
            </w:pPr>
            <w:r>
              <w:rPr>
                <w:rFonts w:cs="Times New Roman"/>
              </w:rPr>
              <w:t>83</w:t>
            </w:r>
          </w:p>
        </w:tc>
      </w:tr>
      <w:tr w:rsidR="005C2091">
        <w:trPr>
          <w:jc w:val="center"/>
        </w:trPr>
        <w:tc>
          <w:tcPr>
            <w:tcW w:w="2551" w:type="dxa"/>
          </w:tcPr>
          <w:p w:rsidR="005C2091" w:rsidRDefault="00A86293">
            <w:pPr>
              <w:pStyle w:val="CellColumn"/>
              <w:jc w:val="left"/>
            </w:pPr>
            <w:r>
              <w:rPr>
                <w:rFonts w:cs="Times New Roman"/>
              </w:rPr>
              <w:t>Broj djelatnika u Stalnom predstavništvu RH pri NATO-u te NATO i EU tijelima, zapovjedništvima i stožerima</w:t>
            </w:r>
          </w:p>
        </w:tc>
        <w:tc>
          <w:tcPr>
            <w:tcW w:w="2551" w:type="dxa"/>
          </w:tcPr>
          <w:p w:rsidR="005C2091" w:rsidRDefault="00A86293">
            <w:pPr>
              <w:pStyle w:val="CellColumn"/>
              <w:jc w:val="left"/>
            </w:pPr>
            <w:r>
              <w:rPr>
                <w:rFonts w:cs="Times New Roman"/>
              </w:rPr>
              <w:t>Sudjelovanjem djelatnika postiže se veća integriranost RH u NATO i EU tijela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53</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53</w:t>
            </w:r>
          </w:p>
        </w:tc>
        <w:tc>
          <w:tcPr>
            <w:tcW w:w="1020" w:type="dxa"/>
          </w:tcPr>
          <w:p w:rsidR="005C2091" w:rsidRDefault="00A86293">
            <w:pPr>
              <w:pStyle w:val="CellColumn"/>
              <w:jc w:val="right"/>
            </w:pPr>
            <w:r>
              <w:rPr>
                <w:rFonts w:cs="Times New Roman"/>
              </w:rPr>
              <w:t>61</w:t>
            </w:r>
          </w:p>
        </w:tc>
      </w:tr>
    </w:tbl>
    <w:p w:rsidR="005C2091" w:rsidRDefault="005C2091">
      <w:pPr>
        <w:jc w:val="left"/>
      </w:pPr>
    </w:p>
    <w:p w:rsidR="005C2091" w:rsidRDefault="00A86293">
      <w:pPr>
        <w:pStyle w:val="Heading3"/>
      </w:pPr>
      <w:r>
        <w:rPr>
          <w:rFonts w:cs="Times New Roman"/>
        </w:rPr>
        <w:t>2509 MIROVNE MISIJE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2509-MIROVNE MISIJE</w:t>
            </w:r>
          </w:p>
        </w:tc>
        <w:tc>
          <w:tcPr>
            <w:tcW w:w="2041" w:type="dxa"/>
          </w:tcPr>
          <w:p w:rsidR="005C2091" w:rsidRDefault="00A86293">
            <w:pPr>
              <w:pStyle w:val="CellColumn"/>
              <w:jc w:val="right"/>
            </w:pPr>
            <w:r>
              <w:rPr>
                <w:rFonts w:cs="Times New Roman"/>
              </w:rPr>
              <w:t>90.527.930</w:t>
            </w:r>
          </w:p>
        </w:tc>
        <w:tc>
          <w:tcPr>
            <w:tcW w:w="2041" w:type="dxa"/>
          </w:tcPr>
          <w:p w:rsidR="005C2091" w:rsidRDefault="00A86293">
            <w:pPr>
              <w:pStyle w:val="CellColumn"/>
              <w:jc w:val="right"/>
            </w:pPr>
            <w:r>
              <w:rPr>
                <w:rFonts w:cs="Times New Roman"/>
              </w:rPr>
              <w:t>81.886.900</w:t>
            </w:r>
          </w:p>
        </w:tc>
        <w:tc>
          <w:tcPr>
            <w:tcW w:w="2041" w:type="dxa"/>
          </w:tcPr>
          <w:p w:rsidR="005C2091" w:rsidRDefault="00A86293">
            <w:pPr>
              <w:pStyle w:val="CellColumn"/>
              <w:jc w:val="right"/>
            </w:pPr>
            <w:r>
              <w:rPr>
                <w:rFonts w:cs="Times New Roman"/>
              </w:rPr>
              <w:t>81.439.074</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90,0</w:t>
            </w:r>
          </w:p>
        </w:tc>
      </w:tr>
    </w:tbl>
    <w:p w:rsidR="005C2091" w:rsidRDefault="005C2091">
      <w:pPr>
        <w:jc w:val="left"/>
      </w:pPr>
    </w:p>
    <w:p w:rsidR="005C2091" w:rsidRDefault="00A86293">
      <w:r>
        <w:t>Sudjelovanjem u mirovnim misijama i operacijama Republika Hrvatska ispunjava preuzete međunarodne obveze. Sudjelovanje pripadnika OS RH u međunarodnim mirovnim misijama i operacijama, kako pojedinaca tako i postrojbi OS RH, temelji se na učinkovitoj pripremi prije upućivanja na zadaće te stvaranju uvjeta najviše sigurnosti pripadnika OS RH na području izvršenja misija i operacija. Postrojbe OS RH se deklariraju i pripremaju za sudjelovanje u snagama brzog odgovora NATO-a (NRF), misijama i operacijama pod okriljem UN te borbenim skupinama EU-a (EU Battlegroups). RH doprinosi sposobnostima NATO-a u promjenjivom međunarodnom sigurnosnom okruženju u odgovoru na sadašnje i buduće izazove, te nastavlja sudjelovanje u NATO i EU vođenim operacijama.</w:t>
      </w:r>
    </w:p>
    <w:p w:rsidR="005C2091" w:rsidRDefault="00A86293">
      <w:pPr>
        <w:pStyle w:val="Heading8"/>
        <w:jc w:val="left"/>
      </w:pPr>
      <w:r>
        <w:t>Cilj 1. Aktivno sudjelovati u izgradnji sigurnosnog međunarodnog okruženja</w:t>
      </w:r>
    </w:p>
    <w:p w:rsidR="005C2091" w:rsidRDefault="00A86293">
      <w:pPr>
        <w:pStyle w:val="Heading8"/>
        <w:jc w:val="left"/>
      </w:pPr>
      <w:r>
        <w:t>Opis provedbe cilja programa</w:t>
      </w:r>
    </w:p>
    <w:p w:rsidR="005C2091" w:rsidRDefault="00A86293">
      <w:r>
        <w:t>Republika Hrvatska ispunjava preuzete međunarodne obveze sudjelovanjem umeđunarodnim mirovnim misijama i operacijama. Sudjelovanje pripadnika Oružanih snaga u međunarodnim mirovnim misijama i operacijama temelji se na učinkovitojpripremi prije upućivanja na zadaću te na stvaranju sigurnosnih uvjeta pripadnikaOružanih snaga na području provedbe misija i operacija. Provedba cilja obuhvaća aktivno sudjelovanje snaga i stožernog osoblja u NATO i EU vođenim mirovnim operacijama, sudjelovanje s deklariranim i ocijenjenim postrojbama u statusu spremnosti, stožernim časnicima i časnicima za vezu u sastavu NATO i EU snaga za odgovor, sudjelovanje u UN vođenim misijama s angažiranim postrojbama te vojnim promatračima, stožernim časnicima i vojnim stručnjacima u pojedinačnim mirovnimmisijama UN-a.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Doprinos RH stabilnosti, miru i demokraciji u svijetu</w:t>
            </w:r>
          </w:p>
        </w:tc>
        <w:tc>
          <w:tcPr>
            <w:tcW w:w="2551" w:type="dxa"/>
          </w:tcPr>
          <w:p w:rsidR="005C2091" w:rsidRDefault="00A86293">
            <w:pPr>
              <w:pStyle w:val="CellColumn"/>
              <w:jc w:val="left"/>
            </w:pPr>
            <w:r>
              <w:rPr>
                <w:rFonts w:cs="Times New Roman"/>
              </w:rPr>
              <w:t>Združenim djelovanjem sa saveznicima u misijama i operacijama pridonosi se smanjenju kriznih točaka u svijetu</w:t>
            </w:r>
          </w:p>
        </w:tc>
        <w:tc>
          <w:tcPr>
            <w:tcW w:w="1020" w:type="dxa"/>
          </w:tcPr>
          <w:p w:rsidR="005C2091" w:rsidRDefault="00A86293">
            <w:pPr>
              <w:pStyle w:val="CellColumn"/>
              <w:jc w:val="right"/>
            </w:pPr>
            <w:r>
              <w:rPr>
                <w:rFonts w:cs="Times New Roman"/>
              </w:rPr>
              <w:t>Ispunjeni ciljevi definirani međunaro dnim ugovorima</w:t>
            </w:r>
          </w:p>
        </w:tc>
        <w:tc>
          <w:tcPr>
            <w:tcW w:w="1020" w:type="dxa"/>
          </w:tcPr>
          <w:p w:rsidR="005C2091" w:rsidRDefault="00A86293">
            <w:pPr>
              <w:pStyle w:val="CellColumn"/>
              <w:jc w:val="right"/>
            </w:pPr>
            <w:r>
              <w:rPr>
                <w:rFonts w:cs="Times New Roman"/>
              </w:rPr>
              <w:t>DA</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DA</w:t>
            </w:r>
          </w:p>
        </w:tc>
        <w:tc>
          <w:tcPr>
            <w:tcW w:w="1020" w:type="dxa"/>
          </w:tcPr>
          <w:p w:rsidR="005C2091" w:rsidRDefault="00A86293">
            <w:pPr>
              <w:pStyle w:val="CellColumn"/>
              <w:jc w:val="right"/>
            </w:pPr>
            <w:r>
              <w:rPr>
                <w:rFonts w:cs="Times New Roman"/>
              </w:rPr>
              <w:t>DA</w:t>
            </w:r>
          </w:p>
        </w:tc>
      </w:tr>
    </w:tbl>
    <w:p w:rsidR="005C2091" w:rsidRDefault="005C2091">
      <w:pPr>
        <w:jc w:val="left"/>
      </w:pPr>
    </w:p>
    <w:p w:rsidR="005C2091" w:rsidRDefault="00A86293">
      <w:pPr>
        <w:pStyle w:val="Heading4"/>
      </w:pPr>
      <w:r>
        <w:t>A545065 UN MISIJE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A545065-UN MISIJE</w:t>
            </w:r>
          </w:p>
        </w:tc>
        <w:tc>
          <w:tcPr>
            <w:tcW w:w="2041" w:type="dxa"/>
          </w:tcPr>
          <w:p w:rsidR="005C2091" w:rsidRDefault="00A86293">
            <w:pPr>
              <w:pStyle w:val="CellColumn"/>
              <w:jc w:val="right"/>
            </w:pPr>
            <w:r>
              <w:rPr>
                <w:rFonts w:cs="Times New Roman"/>
              </w:rPr>
              <w:t>1.571.695</w:t>
            </w:r>
          </w:p>
        </w:tc>
        <w:tc>
          <w:tcPr>
            <w:tcW w:w="2041" w:type="dxa"/>
          </w:tcPr>
          <w:p w:rsidR="005C2091" w:rsidRDefault="00A86293">
            <w:pPr>
              <w:pStyle w:val="CellColumn"/>
              <w:jc w:val="right"/>
            </w:pPr>
            <w:r>
              <w:rPr>
                <w:rFonts w:cs="Times New Roman"/>
              </w:rPr>
              <w:t>2.107.000</w:t>
            </w:r>
          </w:p>
        </w:tc>
        <w:tc>
          <w:tcPr>
            <w:tcW w:w="2041" w:type="dxa"/>
          </w:tcPr>
          <w:p w:rsidR="005C2091" w:rsidRDefault="00A86293">
            <w:pPr>
              <w:pStyle w:val="CellColumn"/>
              <w:jc w:val="right"/>
            </w:pPr>
            <w:r>
              <w:rPr>
                <w:rFonts w:cs="Times New Roman"/>
              </w:rPr>
              <w:t>2.091.669</w:t>
            </w:r>
          </w:p>
        </w:tc>
        <w:tc>
          <w:tcPr>
            <w:tcW w:w="1224" w:type="dxa"/>
          </w:tcPr>
          <w:p w:rsidR="005C2091" w:rsidRDefault="00A86293">
            <w:pPr>
              <w:pStyle w:val="CellColumn"/>
              <w:jc w:val="right"/>
            </w:pPr>
            <w:r>
              <w:rPr>
                <w:rFonts w:cs="Times New Roman"/>
              </w:rPr>
              <w:t>99,3</w:t>
            </w:r>
          </w:p>
        </w:tc>
        <w:tc>
          <w:tcPr>
            <w:tcW w:w="1224" w:type="dxa"/>
          </w:tcPr>
          <w:p w:rsidR="005C2091" w:rsidRDefault="00A86293">
            <w:pPr>
              <w:pStyle w:val="CellColumn"/>
              <w:jc w:val="right"/>
            </w:pPr>
            <w:r>
              <w:rPr>
                <w:rFonts w:cs="Times New Roman"/>
              </w:rPr>
              <w:t>133,1</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službi u OS RH (članak 61, glava VI, VII, VIII), Pravilnik o načinu materijalnog zbrinjavanja OS RH  (glava 4, 5, 6, 7, 8, 11), Zakon o sudjelovanju pripadnika OS RH, policije, civilne zaštite te državnih službenika i namještenika u mirovnim operacijama i drugim aktivnostima u inozemstvu, Odluka Hrvatskog sabora o sudjelovanju pripadnika Oružanih snaga Republike Hrvatske u operacijama potpore miru Ujedinjenih naroda</w:t>
      </w:r>
    </w:p>
    <w:p w:rsidR="005C2091" w:rsidRDefault="00A86293">
      <w:pPr>
        <w:pStyle w:val="Heading8"/>
        <w:jc w:val="left"/>
      </w:pPr>
      <w:r>
        <w:t>Opis aktivnosti</w:t>
      </w:r>
    </w:p>
    <w:p w:rsidR="005C2091" w:rsidRDefault="00A86293">
      <w:r>
        <w:t>Oružane snage Republike Hrvatske sudjelovale su u 2016. godini u 3 mirovne misije UN-a: UN misiji Indija/Pakistan UNMOGIP, UN misiji u Libanonu UNIFIL i UN misiji u Zapadnoj Sahari MINURSO, u kojima je participiralo 16 pripadnika OS RH (zbog redovnih rotacija tijekom godine ukupno se u 2016. godini razmijenilo 30 pripadnika).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UN misija</w:t>
            </w:r>
          </w:p>
        </w:tc>
        <w:tc>
          <w:tcPr>
            <w:tcW w:w="2551" w:type="dxa"/>
          </w:tcPr>
          <w:p w:rsidR="005C2091" w:rsidRDefault="00A86293">
            <w:pPr>
              <w:pStyle w:val="CellColumn"/>
              <w:jc w:val="left"/>
            </w:pPr>
            <w:r>
              <w:rPr>
                <w:rFonts w:cs="Times New Roman"/>
              </w:rPr>
              <w:t>Očuvanje mira i stabilnosti sudjelova njem u mirovnim misijama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3</w:t>
            </w:r>
          </w:p>
        </w:tc>
        <w:tc>
          <w:tcPr>
            <w:tcW w:w="1020" w:type="dxa"/>
          </w:tcPr>
          <w:p w:rsidR="005C2091" w:rsidRDefault="00A86293">
            <w:pPr>
              <w:pStyle w:val="CellColumn"/>
              <w:jc w:val="right"/>
            </w:pPr>
            <w:r>
              <w:rPr>
                <w:rFonts w:cs="Times New Roman"/>
              </w:rPr>
              <w:t>3</w:t>
            </w:r>
          </w:p>
        </w:tc>
      </w:tr>
      <w:tr w:rsidR="005C2091">
        <w:trPr>
          <w:jc w:val="center"/>
        </w:trPr>
        <w:tc>
          <w:tcPr>
            <w:tcW w:w="2551" w:type="dxa"/>
          </w:tcPr>
          <w:p w:rsidR="005C2091" w:rsidRDefault="00A86293">
            <w:pPr>
              <w:pStyle w:val="CellColumn"/>
              <w:jc w:val="left"/>
            </w:pPr>
            <w:r>
              <w:rPr>
                <w:rFonts w:cs="Times New Roman"/>
              </w:rPr>
              <w:t>Broj djelatnika u UN misijama</w:t>
            </w:r>
          </w:p>
        </w:tc>
        <w:tc>
          <w:tcPr>
            <w:tcW w:w="2551" w:type="dxa"/>
          </w:tcPr>
          <w:p w:rsidR="005C2091" w:rsidRDefault="00A86293">
            <w:pPr>
              <w:pStyle w:val="CellColumn"/>
              <w:jc w:val="left"/>
            </w:pPr>
            <w:r>
              <w:rPr>
                <w:rFonts w:cs="Times New Roman"/>
              </w:rPr>
              <w:t>Kvalitetnim obavljanjem zadaća pridonijeti provedbi misije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16</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17</w:t>
            </w:r>
          </w:p>
        </w:tc>
        <w:tc>
          <w:tcPr>
            <w:tcW w:w="1020" w:type="dxa"/>
          </w:tcPr>
          <w:p w:rsidR="005C2091" w:rsidRDefault="00A86293">
            <w:pPr>
              <w:pStyle w:val="CellColumn"/>
              <w:jc w:val="right"/>
            </w:pPr>
            <w:r>
              <w:rPr>
                <w:rFonts w:cs="Times New Roman"/>
              </w:rPr>
              <w:t>16</w:t>
            </w:r>
          </w:p>
        </w:tc>
      </w:tr>
    </w:tbl>
    <w:p w:rsidR="005C2091" w:rsidRDefault="005C2091">
      <w:pPr>
        <w:jc w:val="left"/>
      </w:pPr>
    </w:p>
    <w:p w:rsidR="005C2091" w:rsidRDefault="00A86293">
      <w:pPr>
        <w:pStyle w:val="Heading4"/>
      </w:pPr>
      <w:r>
        <w:t>A545066 NATO OPERACIJE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A545066-NATO OPERACIJE</w:t>
            </w:r>
          </w:p>
        </w:tc>
        <w:tc>
          <w:tcPr>
            <w:tcW w:w="2041" w:type="dxa"/>
          </w:tcPr>
          <w:p w:rsidR="005C2091" w:rsidRDefault="00A86293">
            <w:pPr>
              <w:pStyle w:val="CellColumn"/>
              <w:jc w:val="right"/>
            </w:pPr>
            <w:r>
              <w:rPr>
                <w:rFonts w:cs="Times New Roman"/>
              </w:rPr>
              <w:t>81.658.443</w:t>
            </w:r>
          </w:p>
        </w:tc>
        <w:tc>
          <w:tcPr>
            <w:tcW w:w="2041" w:type="dxa"/>
          </w:tcPr>
          <w:p w:rsidR="005C2091" w:rsidRDefault="00A86293">
            <w:pPr>
              <w:pStyle w:val="CellColumn"/>
              <w:jc w:val="right"/>
            </w:pPr>
            <w:r>
              <w:rPr>
                <w:rFonts w:cs="Times New Roman"/>
              </w:rPr>
              <w:t>77.035.000</w:t>
            </w:r>
          </w:p>
        </w:tc>
        <w:tc>
          <w:tcPr>
            <w:tcW w:w="2041" w:type="dxa"/>
          </w:tcPr>
          <w:p w:rsidR="005C2091" w:rsidRDefault="00A86293">
            <w:pPr>
              <w:pStyle w:val="CellColumn"/>
              <w:jc w:val="right"/>
            </w:pPr>
            <w:r>
              <w:rPr>
                <w:rFonts w:cs="Times New Roman"/>
              </w:rPr>
              <w:t>75.945.805</w:t>
            </w:r>
          </w:p>
        </w:tc>
        <w:tc>
          <w:tcPr>
            <w:tcW w:w="1224" w:type="dxa"/>
          </w:tcPr>
          <w:p w:rsidR="005C2091" w:rsidRDefault="00A86293">
            <w:pPr>
              <w:pStyle w:val="CellColumn"/>
              <w:jc w:val="right"/>
            </w:pPr>
            <w:r>
              <w:rPr>
                <w:rFonts w:cs="Times New Roman"/>
              </w:rPr>
              <w:t>98,6</w:t>
            </w:r>
          </w:p>
        </w:tc>
        <w:tc>
          <w:tcPr>
            <w:tcW w:w="1224" w:type="dxa"/>
          </w:tcPr>
          <w:p w:rsidR="005C2091" w:rsidRDefault="00A86293">
            <w:pPr>
              <w:pStyle w:val="CellColumn"/>
              <w:jc w:val="right"/>
            </w:pPr>
            <w:r>
              <w:rPr>
                <w:rFonts w:cs="Times New Roman"/>
              </w:rPr>
              <w:t>93,0</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Zakon o obrani, Zakon o službi u OS RH (članak 61, glava VI, VII, VIII), Pravilnik o načinu materijalnog zbrinjavanja OS RH  (glava 4, 5, 6, 7, 8, 11), Zakon o sudjelovanju pripadnika OS RH, policije, civilne zaštite te državnih službenika i namještenika u mirovnim operacijama i drugim aktivnostima u inozemstvu, Odluka Hrvatskog sabora o sudjelovanju pripadnika Oružanih snaga Republike Hrvatske u misiji potpore miru »Resolute Support« u Afganistanu, Odluka Hrvatskog sabora o sudjelovanju pripadnika Oružanih snaga Republike Hrvatske u operaciji potpore miru KFOR na Kosovu</w:t>
      </w:r>
    </w:p>
    <w:p w:rsidR="005C2091" w:rsidRDefault="00A86293">
      <w:pPr>
        <w:pStyle w:val="Heading8"/>
        <w:jc w:val="left"/>
      </w:pPr>
      <w:r>
        <w:t>Opis aktivnosti</w:t>
      </w:r>
    </w:p>
    <w:p w:rsidR="005C2091" w:rsidRDefault="00A86293">
      <w:r>
        <w:t>OS RH su tijekom 2016. nastavile sudjelovati u dvije NATO vođene operacije: Resolute Support u Afganistanu i KFOR na Kosovu u kojima su participirale sa 117 pripadnika (u redovitim rotacijama tijekom 2016. u sastavima hrvatskih kontingenata razmijenilo se 377 pripadnika Oružanih snaga RH, od čega 291 u Afganistanu i 86 na Kosovu). Sastav hrvatskih kontingenata u Afganistanu bio je angažiran na obučavanju i osposobljavanju afganistanskih snaga, te na zaštiti snaga. U 2016. u Afganistan je upućeno i 5 pripadnika DCM (Deployable Communications Module) koji je dio zapovjedne strukture NATO za osiguranje komunikacija. Također je proširena suradnja s partnerskim zemljama, tako da su pripadnici oružanih snaga Albanije, BiH, Crne Gore i Makedonije sudjelovali u hrvatskom kontingentu s 9 pripadnika. Hrvatski kontingent na Kosovu sastojao se od logističkog osoblja, posade dvaju helikoptera Mi-171Sh te stožernog osoblja u zapovjedništvu KFOR-a.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NATO operacija u tijeku</w:t>
            </w:r>
          </w:p>
        </w:tc>
        <w:tc>
          <w:tcPr>
            <w:tcW w:w="2551" w:type="dxa"/>
          </w:tcPr>
          <w:p w:rsidR="005C2091" w:rsidRDefault="00A86293">
            <w:pPr>
              <w:pStyle w:val="CellColumn"/>
              <w:jc w:val="left"/>
            </w:pPr>
            <w:r>
              <w:rPr>
                <w:rFonts w:cs="Times New Roman"/>
              </w:rPr>
              <w:t>Očuvanje mira i stabilnosti sudjelovanjem u NATO operacijama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2</w:t>
            </w:r>
          </w:p>
        </w:tc>
      </w:tr>
      <w:tr w:rsidR="005C2091">
        <w:trPr>
          <w:jc w:val="center"/>
        </w:trPr>
        <w:tc>
          <w:tcPr>
            <w:tcW w:w="2551" w:type="dxa"/>
          </w:tcPr>
          <w:p w:rsidR="005C2091" w:rsidRDefault="00A86293">
            <w:pPr>
              <w:pStyle w:val="CellColumn"/>
              <w:jc w:val="left"/>
            </w:pPr>
            <w:r>
              <w:rPr>
                <w:rFonts w:cs="Times New Roman"/>
              </w:rPr>
              <w:t>Broj djelatnika u NATO operacijama</w:t>
            </w:r>
          </w:p>
        </w:tc>
        <w:tc>
          <w:tcPr>
            <w:tcW w:w="2551" w:type="dxa"/>
          </w:tcPr>
          <w:p w:rsidR="005C2091" w:rsidRDefault="00A86293">
            <w:pPr>
              <w:pStyle w:val="CellColumn"/>
              <w:jc w:val="left"/>
            </w:pPr>
            <w:r>
              <w:rPr>
                <w:rFonts w:cs="Times New Roman"/>
              </w:rPr>
              <w:t>Kvalitetnim obavljanjem zadaća pridonijeti provedbi operacije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129</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116</w:t>
            </w:r>
          </w:p>
        </w:tc>
        <w:tc>
          <w:tcPr>
            <w:tcW w:w="1020" w:type="dxa"/>
          </w:tcPr>
          <w:p w:rsidR="005C2091" w:rsidRDefault="00A86293">
            <w:pPr>
              <w:pStyle w:val="CellColumn"/>
              <w:jc w:val="right"/>
            </w:pPr>
            <w:r>
              <w:rPr>
                <w:rFonts w:cs="Times New Roman"/>
              </w:rPr>
              <w:t>117</w:t>
            </w:r>
          </w:p>
        </w:tc>
      </w:tr>
    </w:tbl>
    <w:p w:rsidR="005C2091" w:rsidRDefault="005C2091">
      <w:pPr>
        <w:jc w:val="left"/>
      </w:pPr>
    </w:p>
    <w:p w:rsidR="005C2091" w:rsidRDefault="00A86293">
      <w:pPr>
        <w:pStyle w:val="Heading4"/>
      </w:pPr>
      <w:r>
        <w:t>A545067 EU MISIJE I OPERACIJE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A545067-EU MISIJE I OPERACIJE</w:t>
            </w:r>
          </w:p>
        </w:tc>
        <w:tc>
          <w:tcPr>
            <w:tcW w:w="2041" w:type="dxa"/>
          </w:tcPr>
          <w:p w:rsidR="005C2091" w:rsidRDefault="00A86293">
            <w:pPr>
              <w:pStyle w:val="CellColumn"/>
              <w:jc w:val="right"/>
            </w:pPr>
            <w:r>
              <w:rPr>
                <w:rFonts w:cs="Times New Roman"/>
              </w:rPr>
              <w:t>7.297.791</w:t>
            </w:r>
          </w:p>
        </w:tc>
        <w:tc>
          <w:tcPr>
            <w:tcW w:w="2041" w:type="dxa"/>
          </w:tcPr>
          <w:p w:rsidR="005C2091" w:rsidRDefault="00A86293">
            <w:pPr>
              <w:pStyle w:val="CellColumn"/>
              <w:jc w:val="right"/>
            </w:pPr>
            <w:r>
              <w:rPr>
                <w:rFonts w:cs="Times New Roman"/>
              </w:rPr>
              <w:t>2.744.900</w:t>
            </w:r>
          </w:p>
        </w:tc>
        <w:tc>
          <w:tcPr>
            <w:tcW w:w="2041" w:type="dxa"/>
          </w:tcPr>
          <w:p w:rsidR="005C2091" w:rsidRDefault="00A86293">
            <w:pPr>
              <w:pStyle w:val="CellColumn"/>
              <w:jc w:val="right"/>
            </w:pPr>
            <w:r>
              <w:rPr>
                <w:rFonts w:cs="Times New Roman"/>
              </w:rPr>
              <w:t>3.401.600</w:t>
            </w:r>
          </w:p>
        </w:tc>
        <w:tc>
          <w:tcPr>
            <w:tcW w:w="1224" w:type="dxa"/>
          </w:tcPr>
          <w:p w:rsidR="005C2091" w:rsidRDefault="00A86293">
            <w:pPr>
              <w:pStyle w:val="CellColumn"/>
              <w:jc w:val="right"/>
            </w:pPr>
            <w:r>
              <w:rPr>
                <w:rFonts w:cs="Times New Roman"/>
              </w:rPr>
              <w:t>123,9</w:t>
            </w:r>
          </w:p>
        </w:tc>
        <w:tc>
          <w:tcPr>
            <w:tcW w:w="1224" w:type="dxa"/>
          </w:tcPr>
          <w:p w:rsidR="005C2091" w:rsidRDefault="00A86293">
            <w:pPr>
              <w:pStyle w:val="CellColumn"/>
              <w:jc w:val="right"/>
            </w:pPr>
            <w:r>
              <w:rPr>
                <w:rFonts w:cs="Times New Roman"/>
              </w:rPr>
              <w:t>46,6</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službi u OS RH (članak 61, glava VI, VII, VIII), Pravilnik o načinu materijalnog zbrinjavanja OS RH  (glava 4, 5, 6, 7, 8, 11), Zakon o sudjelovanju pripadnika OS RH, policije, civilne zaštite te državnih službenika i namještenika u mirovnim operacijama i drugim aktivnostima u inozemstvu, Odluka Hrvatskog sabora o sudjelovanju pripadnika Oružanih snaga Republike Hrvatske u operaciji potpore miru »EU NAVFOR SOMALIJA – ATALANTA«</w:t>
      </w:r>
    </w:p>
    <w:p w:rsidR="005C2091" w:rsidRDefault="00A86293">
      <w:pPr>
        <w:pStyle w:val="Heading8"/>
        <w:jc w:val="left"/>
      </w:pPr>
      <w:r>
        <w:t>Opis aktivnosti</w:t>
      </w:r>
    </w:p>
    <w:p w:rsidR="005C2091" w:rsidRDefault="00A86293">
      <w:r>
        <w:t xml:space="preserve">Oružane snage RH sudjelovale su u 2016. godini u operaciji EUNAVFOR ATALANTA s 14 pripadnika OS RH - 1 pripadnik na ratnom brodu Kraljevine Nizozemske, 12 pripadnika bilo je u sastavu jednog autonomnog tima za zaštitu brodova (AVPD) koji je bio ukrcan na trgovački brod Svjetskog programa za hranu (WFP) i 1 pripadnik u operativnom zapovjedništvu operacije u Northwoodu, Velika Britanija. Na 1 poziciji u Northwoodu tijekom godine </w:t>
      </w:r>
      <w:r>
        <w:lastRenderedPageBreak/>
        <w:t>rotirala su se 3 djelatnika, što znači da je tijekom godine upućeno u operaciju ATALANTA ukupno 16 pripadnika koji su popunjavali 14 pozicija. Izvršenje aktivnosti veće je od plana za 2016. godinu jer su u izvršenju obuhvaćeni rashodi financirani iz ostvarenih prihoda od primljene pomoći EU, a koji se sukladno Zakonu o proračunu mogu izvršavati iznad planiranog iznosa, a do visine ostvarenih prihoda.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EU operacija</w:t>
            </w:r>
          </w:p>
        </w:tc>
        <w:tc>
          <w:tcPr>
            <w:tcW w:w="2551" w:type="dxa"/>
          </w:tcPr>
          <w:p w:rsidR="005C2091" w:rsidRDefault="00A86293">
            <w:pPr>
              <w:pStyle w:val="CellColumn"/>
              <w:jc w:val="left"/>
            </w:pPr>
            <w:r>
              <w:rPr>
                <w:rFonts w:cs="Times New Roman"/>
              </w:rPr>
              <w:t>Očuvanje mira i stabilnosti sudjelovanjem u EU operacijama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r w:rsidR="005C2091">
        <w:trPr>
          <w:jc w:val="center"/>
        </w:trPr>
        <w:tc>
          <w:tcPr>
            <w:tcW w:w="2551" w:type="dxa"/>
          </w:tcPr>
          <w:p w:rsidR="005C2091" w:rsidRDefault="00A86293">
            <w:pPr>
              <w:pStyle w:val="CellColumn"/>
              <w:jc w:val="left"/>
            </w:pPr>
            <w:r>
              <w:rPr>
                <w:rFonts w:cs="Times New Roman"/>
              </w:rPr>
              <w:t>Broj djelatnika u EU operacijama</w:t>
            </w:r>
          </w:p>
        </w:tc>
        <w:tc>
          <w:tcPr>
            <w:tcW w:w="2551" w:type="dxa"/>
          </w:tcPr>
          <w:p w:rsidR="005C2091" w:rsidRDefault="00A86293">
            <w:pPr>
              <w:pStyle w:val="CellColumn"/>
              <w:jc w:val="left"/>
            </w:pPr>
            <w:r>
              <w:rPr>
                <w:rFonts w:cs="Times New Roman"/>
              </w:rPr>
              <w:t>Kvalitetnim obavljanjem zadaća pridonijeti provedbi misija i operacija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14</w:t>
            </w:r>
          </w:p>
        </w:tc>
        <w:tc>
          <w:tcPr>
            <w:tcW w:w="1020" w:type="dxa"/>
          </w:tcPr>
          <w:p w:rsidR="005C2091" w:rsidRDefault="00A86293">
            <w:pPr>
              <w:pStyle w:val="CellColumn"/>
              <w:jc w:val="right"/>
            </w:pPr>
            <w:r>
              <w:rPr>
                <w:rFonts w:cs="Times New Roman"/>
              </w:rPr>
              <w:t>14</w:t>
            </w:r>
          </w:p>
        </w:tc>
      </w:tr>
    </w:tbl>
    <w:p w:rsidR="005C2091" w:rsidRDefault="005C2091">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5C2091" w:rsidRDefault="00A86293">
      <w:pPr>
        <w:pStyle w:val="Heading3"/>
      </w:pPr>
      <w:r>
        <w:rPr>
          <w:rFonts w:cs="Times New Roman"/>
        </w:rPr>
        <w:t>2606 KORIŠTENJE ORUŽANIH SNAGA ZA POMOĆ CIVILNIM INSTITUCIJAMA I STANOVNIŠTVU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2606-KORIŠTENJE ORUŽANIH SNAGA ZA POMOĆ CIVILNIM INSTITUCIJAMA I STANOVNIŠTVU</w:t>
            </w:r>
          </w:p>
        </w:tc>
        <w:tc>
          <w:tcPr>
            <w:tcW w:w="2041" w:type="dxa"/>
          </w:tcPr>
          <w:p w:rsidR="005C2091" w:rsidRDefault="00A86293">
            <w:pPr>
              <w:pStyle w:val="CellColumn"/>
              <w:jc w:val="right"/>
            </w:pPr>
            <w:r>
              <w:rPr>
                <w:rFonts w:cs="Times New Roman"/>
              </w:rPr>
              <w:t>113.483.911</w:t>
            </w:r>
          </w:p>
        </w:tc>
        <w:tc>
          <w:tcPr>
            <w:tcW w:w="2041" w:type="dxa"/>
          </w:tcPr>
          <w:p w:rsidR="005C2091" w:rsidRDefault="00A86293">
            <w:pPr>
              <w:pStyle w:val="CellColumn"/>
              <w:jc w:val="right"/>
            </w:pPr>
            <w:r>
              <w:rPr>
                <w:rFonts w:cs="Times New Roman"/>
              </w:rPr>
              <w:t>104.843.985</w:t>
            </w:r>
          </w:p>
        </w:tc>
        <w:tc>
          <w:tcPr>
            <w:tcW w:w="2041" w:type="dxa"/>
          </w:tcPr>
          <w:p w:rsidR="005C2091" w:rsidRDefault="00A86293">
            <w:pPr>
              <w:pStyle w:val="CellColumn"/>
              <w:jc w:val="right"/>
            </w:pPr>
            <w:r>
              <w:rPr>
                <w:rFonts w:cs="Times New Roman"/>
              </w:rPr>
              <w:t>104.389.885</w:t>
            </w:r>
          </w:p>
        </w:tc>
        <w:tc>
          <w:tcPr>
            <w:tcW w:w="1224" w:type="dxa"/>
          </w:tcPr>
          <w:p w:rsidR="005C2091" w:rsidRDefault="00A86293">
            <w:pPr>
              <w:pStyle w:val="CellColumn"/>
              <w:jc w:val="right"/>
            </w:pPr>
            <w:r>
              <w:rPr>
                <w:rFonts w:cs="Times New Roman"/>
              </w:rPr>
              <w:t>99,6</w:t>
            </w:r>
          </w:p>
        </w:tc>
        <w:tc>
          <w:tcPr>
            <w:tcW w:w="1224" w:type="dxa"/>
          </w:tcPr>
          <w:p w:rsidR="005C2091" w:rsidRDefault="00A86293">
            <w:pPr>
              <w:pStyle w:val="CellColumn"/>
              <w:jc w:val="right"/>
            </w:pPr>
            <w:r>
              <w:rPr>
                <w:rFonts w:cs="Times New Roman"/>
              </w:rPr>
              <w:t>92,0</w:t>
            </w:r>
          </w:p>
        </w:tc>
      </w:tr>
    </w:tbl>
    <w:p w:rsidR="005C2091" w:rsidRDefault="005C2091">
      <w:pPr>
        <w:jc w:val="left"/>
      </w:pPr>
    </w:p>
    <w:p w:rsidR="005C2091" w:rsidRDefault="00A86293">
      <w:r>
        <w:t>Pored obavljanja tradicionalnih vojnih zadaća, važna zadaća obrambenog sustava u mirnodopskim uvjetima je potpora civilnim institucijama i stanovništvu u zemlji. Povezivanjem s drugim ministarstvima i drugim tijelima državne uprave te civilnim institucijama, MO i OS RH pružaju pomoć i angažiraju se u čitavom nizu nevojnih aktivnosti usmjerenih na povećanje sigurnosti građana RH, prevenciju i uklanjanje posljedica radnji i događaja štetnih po građane, imovinu i prirodna bogatstva RH te pružanje zdravstvene, humanitarne i druge pomoći. Vođeno načelima vanjske politike Republike Hrvatske, Ministarstvo obrane sposobnosti razvijene za potporu civilnim vlastima angažira prema potrebi i u humanitarnim aktivnostima u inozemstvu. U ovim netradicionalnim vojnim aktivnostima obrambeni sustav u mirnodopsko vrijeme na najbolji način pokazuje svoju opću društvenu korisnost.</w:t>
      </w:r>
    </w:p>
    <w:p w:rsidR="005C2091" w:rsidRDefault="00A86293">
      <w:pPr>
        <w:pStyle w:val="Heading8"/>
        <w:jc w:val="left"/>
      </w:pPr>
      <w:r>
        <w:lastRenderedPageBreak/>
        <w:t xml:space="preserve">Cilj 1. Pomoći drugim državnim tijelima, institucijama i stanovništvu </w:t>
      </w:r>
    </w:p>
    <w:p w:rsidR="005C2091" w:rsidRDefault="00A86293">
      <w:pPr>
        <w:pStyle w:val="Heading8"/>
        <w:jc w:val="left"/>
      </w:pPr>
      <w:r>
        <w:t>Opis provedbe cilja programa</w:t>
      </w:r>
    </w:p>
    <w:p w:rsidR="005C2091" w:rsidRDefault="00A86293">
      <w:r>
        <w:t>Osim zaštite suvereniteta i teritorijalne cjelovitosti Republike Hrvatske te doprinosa kolektivnoj obrani i međunarodnoj sigurnosti, obrambeni sustav u mirnodopskim uvjetima ima važnu ulogu u potpori civilnim institucijama u zemlji. Cilj navedene potpore je zaštita interesa Republike Hrvatske na moru, sprečavanje i umanjenje štete od šumskih požara, obrana od poplava i druge pomoći u zaštiti imovine i građana.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48"/>
        <w:gridCol w:w="2462"/>
        <w:gridCol w:w="1248"/>
        <w:gridCol w:w="1013"/>
        <w:gridCol w:w="1008"/>
        <w:gridCol w:w="1013"/>
        <w:gridCol w:w="1014"/>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Zaštita prava i interesa RH te povećanje sigurnosti građana</w:t>
            </w:r>
          </w:p>
        </w:tc>
        <w:tc>
          <w:tcPr>
            <w:tcW w:w="2551" w:type="dxa"/>
          </w:tcPr>
          <w:p w:rsidR="005C2091" w:rsidRDefault="00A86293">
            <w:pPr>
              <w:pStyle w:val="CellColumn"/>
              <w:jc w:val="left"/>
            </w:pPr>
            <w:r>
              <w:rPr>
                <w:rFonts w:cs="Times New Roman"/>
              </w:rPr>
              <w:t>Provođenjem zadaća zaštite i spašavanja pružiti pomoć civilnim institucijama</w:t>
            </w:r>
          </w:p>
        </w:tc>
        <w:tc>
          <w:tcPr>
            <w:tcW w:w="1020" w:type="dxa"/>
          </w:tcPr>
          <w:p w:rsidR="005C2091" w:rsidRDefault="00A86293">
            <w:pPr>
              <w:pStyle w:val="CellColumn"/>
              <w:jc w:val="right"/>
            </w:pPr>
            <w:r>
              <w:rPr>
                <w:rFonts w:cs="Times New Roman"/>
              </w:rPr>
              <w:t>% udovoljavanja zahtjevima civilnih institucija</w:t>
            </w:r>
          </w:p>
        </w:tc>
        <w:tc>
          <w:tcPr>
            <w:tcW w:w="1020" w:type="dxa"/>
          </w:tcPr>
          <w:p w:rsidR="005C2091" w:rsidRDefault="00A86293">
            <w:pPr>
              <w:pStyle w:val="CellColumn"/>
              <w:jc w:val="right"/>
            </w:pPr>
            <w:r>
              <w:rPr>
                <w:rFonts w:cs="Times New Roman"/>
              </w:rPr>
              <w:t>90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92</w:t>
            </w:r>
          </w:p>
        </w:tc>
        <w:tc>
          <w:tcPr>
            <w:tcW w:w="1020" w:type="dxa"/>
          </w:tcPr>
          <w:p w:rsidR="005C2091" w:rsidRDefault="00A86293">
            <w:pPr>
              <w:pStyle w:val="CellColumn"/>
              <w:jc w:val="right"/>
            </w:pPr>
            <w:r>
              <w:rPr>
                <w:rFonts w:cs="Times New Roman"/>
              </w:rPr>
              <w:t>92</w:t>
            </w:r>
          </w:p>
        </w:tc>
      </w:tr>
    </w:tbl>
    <w:p w:rsidR="005C2091" w:rsidRDefault="005C2091">
      <w:pPr>
        <w:jc w:val="left"/>
      </w:pPr>
    </w:p>
    <w:p w:rsidR="005C2091" w:rsidRDefault="00A86293">
      <w:pPr>
        <w:pStyle w:val="Heading4"/>
      </w:pPr>
      <w:r>
        <w:t>A545035 PROTUPOŽARNA ZAŠTITA</w:t>
      </w:r>
    </w:p>
    <w:tbl>
      <w:tblPr>
        <w:tblStyle w:val="StilTablice"/>
        <w:tblW w:w="10206" w:type="dxa"/>
        <w:jc w:val="center"/>
        <w:tblLook w:val="04A0" w:firstRow="1" w:lastRow="0" w:firstColumn="1" w:lastColumn="0" w:noHBand="0" w:noVBand="1"/>
      </w:tblPr>
      <w:tblGrid>
        <w:gridCol w:w="1716"/>
        <w:gridCol w:w="2018"/>
        <w:gridCol w:w="2017"/>
        <w:gridCol w:w="2017"/>
        <w:gridCol w:w="1218"/>
        <w:gridCol w:w="1220"/>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A545035-PROTUPOŽARNA ZAŠTITA</w:t>
            </w:r>
          </w:p>
        </w:tc>
        <w:tc>
          <w:tcPr>
            <w:tcW w:w="2041" w:type="dxa"/>
          </w:tcPr>
          <w:p w:rsidR="005C2091" w:rsidRDefault="00A86293">
            <w:pPr>
              <w:pStyle w:val="CellColumn"/>
              <w:jc w:val="right"/>
            </w:pPr>
            <w:r>
              <w:rPr>
                <w:rFonts w:cs="Times New Roman"/>
              </w:rPr>
              <w:t>77.107.388</w:t>
            </w:r>
          </w:p>
        </w:tc>
        <w:tc>
          <w:tcPr>
            <w:tcW w:w="2041" w:type="dxa"/>
          </w:tcPr>
          <w:p w:rsidR="005C2091" w:rsidRDefault="00A86293">
            <w:pPr>
              <w:pStyle w:val="CellColumn"/>
              <w:jc w:val="right"/>
            </w:pPr>
            <w:r>
              <w:rPr>
                <w:rFonts w:cs="Times New Roman"/>
              </w:rPr>
              <w:t>70.308.300</w:t>
            </w:r>
          </w:p>
        </w:tc>
        <w:tc>
          <w:tcPr>
            <w:tcW w:w="2041" w:type="dxa"/>
          </w:tcPr>
          <w:p w:rsidR="005C2091" w:rsidRDefault="00A86293">
            <w:pPr>
              <w:pStyle w:val="CellColumn"/>
              <w:jc w:val="right"/>
            </w:pPr>
            <w:r>
              <w:rPr>
                <w:rFonts w:cs="Times New Roman"/>
              </w:rPr>
              <w:t>70.139.782</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91,0</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zaštiti i spašavanju, Pravilnik o načinu materijalnog zbrinjavanja OS RH (glava 4, 6, 7), Program aktivnosti u provedbi posebnih mjera zaštite od požara od interesa za Republiku Hrvatsku, Odluka o ostvarivanju prava na naknadu za protupožarnu zaštitu djelatnim vojnim osobama neposredno angažiranim u provedbi posebnih mjera zaštite od požara od interesa za Republiku Hrvatsku</w:t>
      </w:r>
    </w:p>
    <w:p w:rsidR="005C2091" w:rsidRDefault="00A86293">
      <w:pPr>
        <w:pStyle w:val="Heading8"/>
        <w:jc w:val="left"/>
      </w:pPr>
      <w:r>
        <w:t>Opis aktivnosti</w:t>
      </w:r>
    </w:p>
    <w:p w:rsidR="005C2091" w:rsidRDefault="00A86293">
      <w:r>
        <w:t>U OS RH za provedbu Protupožarne sezone ustrojavaju se NOS (namjenski organizirane snage) sastavljene od dijelova snaga Hrvatske kopnene vojske, Hrvatskog ratnog zrakoplovstva i protuzračne obrane i Hrvatske ratne mornarice, radi pružanja pomoći i potpore vatrogasnim postrojbama u gašenju požara otvorenog prostora iz zraka i sa zemlje te prevoženja morem i opskrbe gasitelja vodom. Za provedbu zadaća Oružane snage RH osigurale su 6 zrakoplova Canadair CL-415, 5 zrakoplova Air Tractor AT-802 A/F i 2 helikoptera Mi-8 MTV1, 2 broda, čamce i motorna vozila. Tijekom 2016. godine Oružane snage gasile su požare na 170 lokacija. Pri tome su ostvarena 6364 leta u trajanju od 937:05  sati. Također su pripadnici Oružanih snaga sudjelovali u gašenju požara u Izraelu, gdje je ostvareno 10 letova na 6 lokacija u trajanju od 34:35 sati.</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angažiranih pripadnika</w:t>
            </w:r>
          </w:p>
        </w:tc>
        <w:tc>
          <w:tcPr>
            <w:tcW w:w="2551" w:type="dxa"/>
          </w:tcPr>
          <w:p w:rsidR="005C2091" w:rsidRDefault="00A86293">
            <w:pPr>
              <w:pStyle w:val="CellColumn"/>
              <w:jc w:val="left"/>
            </w:pPr>
            <w:r>
              <w:rPr>
                <w:rFonts w:cs="Times New Roman"/>
              </w:rPr>
              <w:t>Angažiranjem pripadnika OS RH pridonijeti zaštiti od požara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236</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230</w:t>
            </w:r>
          </w:p>
        </w:tc>
        <w:tc>
          <w:tcPr>
            <w:tcW w:w="1020" w:type="dxa"/>
          </w:tcPr>
          <w:p w:rsidR="005C2091" w:rsidRDefault="00A86293">
            <w:pPr>
              <w:pStyle w:val="CellColumn"/>
              <w:jc w:val="right"/>
            </w:pPr>
            <w:r>
              <w:rPr>
                <w:rFonts w:cs="Times New Roman"/>
              </w:rPr>
              <w:t>236</w:t>
            </w:r>
          </w:p>
        </w:tc>
      </w:tr>
      <w:tr w:rsidR="005C2091">
        <w:trPr>
          <w:jc w:val="center"/>
        </w:trPr>
        <w:tc>
          <w:tcPr>
            <w:tcW w:w="2551" w:type="dxa"/>
          </w:tcPr>
          <w:p w:rsidR="005C2091" w:rsidRDefault="00A86293">
            <w:pPr>
              <w:pStyle w:val="CellColumn"/>
              <w:jc w:val="left"/>
            </w:pPr>
            <w:r>
              <w:rPr>
                <w:rFonts w:cs="Times New Roman"/>
              </w:rPr>
              <w:lastRenderedPageBreak/>
              <w:t>Broj angažiranih temeljnih sredstava</w:t>
            </w:r>
          </w:p>
        </w:tc>
        <w:tc>
          <w:tcPr>
            <w:tcW w:w="2551" w:type="dxa"/>
          </w:tcPr>
          <w:p w:rsidR="005C2091" w:rsidRDefault="00A86293">
            <w:pPr>
              <w:pStyle w:val="CellColumn"/>
              <w:jc w:val="left"/>
            </w:pPr>
            <w:r>
              <w:rPr>
                <w:rFonts w:cs="Times New Roman"/>
              </w:rPr>
              <w:t>Angažiranjem opreme pridonijeti zaštiti od požara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23</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21</w:t>
            </w:r>
          </w:p>
        </w:tc>
        <w:tc>
          <w:tcPr>
            <w:tcW w:w="1020" w:type="dxa"/>
          </w:tcPr>
          <w:p w:rsidR="005C2091" w:rsidRDefault="00A86293">
            <w:pPr>
              <w:pStyle w:val="CellColumn"/>
              <w:jc w:val="right"/>
            </w:pPr>
            <w:r>
              <w:rPr>
                <w:rFonts w:cs="Times New Roman"/>
              </w:rPr>
              <w:t>23</w:t>
            </w:r>
          </w:p>
        </w:tc>
      </w:tr>
      <w:tr w:rsidR="005C2091">
        <w:trPr>
          <w:jc w:val="center"/>
        </w:trPr>
        <w:tc>
          <w:tcPr>
            <w:tcW w:w="2551" w:type="dxa"/>
          </w:tcPr>
          <w:p w:rsidR="005C2091" w:rsidRDefault="00A86293">
            <w:pPr>
              <w:pStyle w:val="CellColumn"/>
              <w:jc w:val="left"/>
            </w:pPr>
            <w:r>
              <w:rPr>
                <w:rFonts w:cs="Times New Roman"/>
              </w:rPr>
              <w:t>Sati naleta zrakoplova</w:t>
            </w:r>
          </w:p>
        </w:tc>
        <w:tc>
          <w:tcPr>
            <w:tcW w:w="2551" w:type="dxa"/>
          </w:tcPr>
          <w:p w:rsidR="005C2091" w:rsidRDefault="00A86293">
            <w:pPr>
              <w:pStyle w:val="CellColumn"/>
              <w:jc w:val="left"/>
            </w:pPr>
            <w:r>
              <w:rPr>
                <w:rFonts w:cs="Times New Roman"/>
              </w:rPr>
              <w:t>Ostvareni sati naleta protupožarnih zrakoplova</w:t>
            </w:r>
          </w:p>
        </w:tc>
        <w:tc>
          <w:tcPr>
            <w:tcW w:w="1020" w:type="dxa"/>
          </w:tcPr>
          <w:p w:rsidR="005C2091" w:rsidRDefault="00A86293">
            <w:pPr>
              <w:pStyle w:val="CellColumn"/>
              <w:jc w:val="right"/>
            </w:pPr>
            <w:r>
              <w:rPr>
                <w:rFonts w:cs="Times New Roman"/>
              </w:rPr>
              <w:t>Sat</w:t>
            </w:r>
          </w:p>
        </w:tc>
        <w:tc>
          <w:tcPr>
            <w:tcW w:w="1020" w:type="dxa"/>
          </w:tcPr>
          <w:p w:rsidR="005C2091" w:rsidRDefault="00A86293">
            <w:pPr>
              <w:pStyle w:val="CellColumn"/>
              <w:jc w:val="right"/>
            </w:pPr>
            <w:r>
              <w:rPr>
                <w:rFonts w:cs="Times New Roman"/>
              </w:rPr>
              <w:t>1242</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1100</w:t>
            </w:r>
          </w:p>
        </w:tc>
        <w:tc>
          <w:tcPr>
            <w:tcW w:w="1020" w:type="dxa"/>
          </w:tcPr>
          <w:p w:rsidR="005C2091" w:rsidRDefault="00A86293">
            <w:pPr>
              <w:pStyle w:val="CellColumn"/>
              <w:jc w:val="right"/>
            </w:pPr>
            <w:r>
              <w:rPr>
                <w:rFonts w:cs="Times New Roman"/>
              </w:rPr>
              <w:t>937</w:t>
            </w:r>
          </w:p>
        </w:tc>
      </w:tr>
    </w:tbl>
    <w:p w:rsidR="005C2091" w:rsidRDefault="005C2091">
      <w:pPr>
        <w:jc w:val="left"/>
      </w:pPr>
    </w:p>
    <w:p w:rsidR="005C2091" w:rsidRDefault="00A86293">
      <w:pPr>
        <w:pStyle w:val="Heading4"/>
      </w:pPr>
      <w:r>
        <w:t>A545039 OBALNA STRAŽA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A545039-OBALNA STRAŽA</w:t>
            </w:r>
          </w:p>
        </w:tc>
        <w:tc>
          <w:tcPr>
            <w:tcW w:w="2041" w:type="dxa"/>
          </w:tcPr>
          <w:p w:rsidR="005C2091" w:rsidRDefault="00A86293">
            <w:pPr>
              <w:pStyle w:val="CellColumn"/>
              <w:jc w:val="right"/>
            </w:pPr>
            <w:r>
              <w:rPr>
                <w:rFonts w:cs="Times New Roman"/>
              </w:rPr>
              <w:t>26.842.646</w:t>
            </w:r>
          </w:p>
        </w:tc>
        <w:tc>
          <w:tcPr>
            <w:tcW w:w="2041" w:type="dxa"/>
          </w:tcPr>
          <w:p w:rsidR="005C2091" w:rsidRDefault="00A86293">
            <w:pPr>
              <w:pStyle w:val="CellColumn"/>
              <w:jc w:val="right"/>
            </w:pPr>
            <w:r>
              <w:rPr>
                <w:rFonts w:cs="Times New Roman"/>
              </w:rPr>
              <w:t>24.196.700</w:t>
            </w:r>
          </w:p>
        </w:tc>
        <w:tc>
          <w:tcPr>
            <w:tcW w:w="2041" w:type="dxa"/>
          </w:tcPr>
          <w:p w:rsidR="005C2091" w:rsidRDefault="00A86293">
            <w:pPr>
              <w:pStyle w:val="CellColumn"/>
              <w:jc w:val="right"/>
            </w:pPr>
            <w:r>
              <w:rPr>
                <w:rFonts w:cs="Times New Roman"/>
              </w:rPr>
              <w:t>24.673.559</w:t>
            </w:r>
          </w:p>
        </w:tc>
        <w:tc>
          <w:tcPr>
            <w:tcW w:w="1224" w:type="dxa"/>
          </w:tcPr>
          <w:p w:rsidR="005C2091" w:rsidRDefault="00A86293">
            <w:pPr>
              <w:pStyle w:val="CellColumn"/>
              <w:jc w:val="right"/>
            </w:pPr>
            <w:r>
              <w:rPr>
                <w:rFonts w:cs="Times New Roman"/>
              </w:rPr>
              <w:t>102,0</w:t>
            </w:r>
          </w:p>
        </w:tc>
        <w:tc>
          <w:tcPr>
            <w:tcW w:w="1224" w:type="dxa"/>
          </w:tcPr>
          <w:p w:rsidR="005C2091" w:rsidRDefault="00A86293">
            <w:pPr>
              <w:pStyle w:val="CellColumn"/>
              <w:jc w:val="right"/>
            </w:pPr>
            <w:r>
              <w:rPr>
                <w:rFonts w:cs="Times New Roman"/>
              </w:rPr>
              <w:t>91,9</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obalnoj straži Republike Hrvatske, Zakon o zaštiti i spašavanju, Pravilnik o načinu materijalnog zbrinjavanja OS RH (glava 4, 6)</w:t>
      </w:r>
    </w:p>
    <w:p w:rsidR="005C2091" w:rsidRDefault="00A86293">
      <w:pPr>
        <w:pStyle w:val="Heading8"/>
        <w:jc w:val="left"/>
      </w:pPr>
      <w:r>
        <w:t>Opis aktivnosti</w:t>
      </w:r>
    </w:p>
    <w:p w:rsidR="005C2091" w:rsidRDefault="00A86293">
      <w:r>
        <w:t>Obalna straža obuhvaća provođenje učinkovitog nadzora i zaštitu prava i interesa Republike Hrvatske na moru samostalno ili pružanjem potpore drugim državnim tijelima. Područja obuhvaćena djelovanjem Obalne straže su suzbijanje i sprječavanje terorizma, organiziranog međunarodnog kriminala i širenja oružja za masovno uništenje; suzbijanje piratstva i drugih oblika korištenja otvorenog mora u nemiroljubive svrhe; sigurnost plovidbe; traganje i spašavanje; zaštita morskog okoliša, prirode i kulturne baštine te nadzor morskog ribarstva. Tijekom 2016. pomorske snage Obalne straže u plovidbi su provele 224 dana, a zračne snage su ostvarile 70 naleta u trajanju od 83 sata. Izvršenje aktivnosti veće je od plana za 2016. godinu jer su u izvršenju obuhvaćeni rashodi koji su financirani iz ostvarenih prihoda Ministarstva obrane, a koji se sukladno Zakonu o proračunu mogu izvršavati iznad planiranog iznosa, a do visine ostvarenih prihoda.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angažiranih pripadnika</w:t>
            </w:r>
          </w:p>
        </w:tc>
        <w:tc>
          <w:tcPr>
            <w:tcW w:w="2551" w:type="dxa"/>
          </w:tcPr>
          <w:p w:rsidR="005C2091" w:rsidRDefault="00A86293">
            <w:pPr>
              <w:pStyle w:val="CellColumn"/>
              <w:jc w:val="left"/>
            </w:pPr>
            <w:r>
              <w:rPr>
                <w:rFonts w:cs="Times New Roman"/>
              </w:rPr>
              <w:t>Angažiranjem pripadnika OS RH pridonijeti zaštiti prava i interesa RH na moru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180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200</w:t>
            </w:r>
          </w:p>
        </w:tc>
        <w:tc>
          <w:tcPr>
            <w:tcW w:w="1020" w:type="dxa"/>
          </w:tcPr>
          <w:p w:rsidR="005C2091" w:rsidRDefault="00A86293">
            <w:pPr>
              <w:pStyle w:val="CellColumn"/>
              <w:jc w:val="right"/>
            </w:pPr>
            <w:r>
              <w:rPr>
                <w:rFonts w:cs="Times New Roman"/>
              </w:rPr>
              <w:t>185</w:t>
            </w:r>
          </w:p>
        </w:tc>
      </w:tr>
      <w:tr w:rsidR="005C2091">
        <w:trPr>
          <w:jc w:val="center"/>
        </w:trPr>
        <w:tc>
          <w:tcPr>
            <w:tcW w:w="2551" w:type="dxa"/>
          </w:tcPr>
          <w:p w:rsidR="005C2091" w:rsidRDefault="00A86293">
            <w:pPr>
              <w:pStyle w:val="CellColumn"/>
              <w:jc w:val="left"/>
            </w:pPr>
            <w:r>
              <w:rPr>
                <w:rFonts w:cs="Times New Roman"/>
              </w:rPr>
              <w:t>Broj angažiranih temeljnih sredstava</w:t>
            </w:r>
          </w:p>
        </w:tc>
        <w:tc>
          <w:tcPr>
            <w:tcW w:w="2551" w:type="dxa"/>
          </w:tcPr>
          <w:p w:rsidR="005C2091" w:rsidRDefault="00A86293">
            <w:pPr>
              <w:pStyle w:val="CellColumn"/>
              <w:jc w:val="left"/>
            </w:pPr>
            <w:r>
              <w:rPr>
                <w:rFonts w:cs="Times New Roman"/>
              </w:rPr>
              <w:t>Angažiranjem vojne opreme na zadaćama obalne straže pridonijeti zaštiti prava i interesa na moru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17</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18</w:t>
            </w:r>
          </w:p>
        </w:tc>
      </w:tr>
    </w:tbl>
    <w:p w:rsidR="005C2091" w:rsidRDefault="005C2091">
      <w:pPr>
        <w:jc w:val="left"/>
      </w:pPr>
    </w:p>
    <w:p w:rsidR="005C2091" w:rsidRDefault="00A86293">
      <w:pPr>
        <w:pStyle w:val="Heading4"/>
      </w:pPr>
      <w:r>
        <w:t>A545068 HITNI MEDICINSKI PRIJEVOZ</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A545068-HITNI MEDICINSKI PRIJEVOZ</w:t>
            </w:r>
          </w:p>
        </w:tc>
        <w:tc>
          <w:tcPr>
            <w:tcW w:w="2041" w:type="dxa"/>
          </w:tcPr>
          <w:p w:rsidR="005C2091" w:rsidRDefault="00A86293">
            <w:pPr>
              <w:pStyle w:val="CellColumn"/>
              <w:jc w:val="right"/>
            </w:pPr>
            <w:r>
              <w:rPr>
                <w:rFonts w:cs="Times New Roman"/>
              </w:rPr>
              <w:t>5.543.825</w:t>
            </w:r>
          </w:p>
        </w:tc>
        <w:tc>
          <w:tcPr>
            <w:tcW w:w="2041" w:type="dxa"/>
          </w:tcPr>
          <w:p w:rsidR="005C2091" w:rsidRDefault="00A86293">
            <w:pPr>
              <w:pStyle w:val="CellColumn"/>
              <w:jc w:val="right"/>
            </w:pPr>
            <w:r>
              <w:rPr>
                <w:rFonts w:cs="Times New Roman"/>
              </w:rPr>
              <w:t>6.952.235</w:t>
            </w:r>
          </w:p>
        </w:tc>
        <w:tc>
          <w:tcPr>
            <w:tcW w:w="2041" w:type="dxa"/>
          </w:tcPr>
          <w:p w:rsidR="005C2091" w:rsidRDefault="00A86293">
            <w:pPr>
              <w:pStyle w:val="CellColumn"/>
              <w:jc w:val="right"/>
            </w:pPr>
            <w:r>
              <w:rPr>
                <w:rFonts w:cs="Times New Roman"/>
              </w:rPr>
              <w:t>6.765.498</w:t>
            </w:r>
          </w:p>
        </w:tc>
        <w:tc>
          <w:tcPr>
            <w:tcW w:w="1224" w:type="dxa"/>
          </w:tcPr>
          <w:p w:rsidR="005C2091" w:rsidRDefault="00A86293">
            <w:pPr>
              <w:pStyle w:val="CellColumn"/>
              <w:jc w:val="right"/>
            </w:pPr>
            <w:r>
              <w:rPr>
                <w:rFonts w:cs="Times New Roman"/>
              </w:rPr>
              <w:t>97,3</w:t>
            </w:r>
          </w:p>
        </w:tc>
        <w:tc>
          <w:tcPr>
            <w:tcW w:w="1224" w:type="dxa"/>
          </w:tcPr>
          <w:p w:rsidR="005C2091" w:rsidRDefault="00A86293">
            <w:pPr>
              <w:pStyle w:val="CellColumn"/>
              <w:jc w:val="right"/>
            </w:pPr>
            <w:r>
              <w:rPr>
                <w:rFonts w:cs="Times New Roman"/>
              </w:rPr>
              <w:t>122,0</w:t>
            </w:r>
          </w:p>
        </w:tc>
      </w:tr>
    </w:tbl>
    <w:p w:rsidR="005C2091" w:rsidRDefault="005C2091">
      <w:pPr>
        <w:jc w:val="left"/>
      </w:pPr>
    </w:p>
    <w:p w:rsidR="005C2091" w:rsidRDefault="00A86293">
      <w:pPr>
        <w:pStyle w:val="Heading8"/>
        <w:jc w:val="left"/>
      </w:pPr>
      <w:r>
        <w:t>Zakonske i druge pravne osnove</w:t>
      </w:r>
    </w:p>
    <w:p w:rsidR="005C2091" w:rsidRDefault="00A86293">
      <w:r>
        <w:t>Zakon o obrani, Pravilnik o načinu materijalnog zbrinjavanja OS RH (glava 4, 6), Sporazum između Ministarstva obrane Republike Hrvatske i Ministarstva zdravlja o suradnji u provedbi hitnog zračnog medicinskog prijevoza u svrhu pružanja zdravstvene zaštite na području Republike Hrvatske, Odluka o novčanoj naknadi za letačku posadu, zrakoplovno-tehničko osoblje i vojno-medicinski tim angažiranima u provedbi zadaća hitnog zračnog medicinskog prijevoza</w:t>
      </w:r>
    </w:p>
    <w:p w:rsidR="005C2091" w:rsidRDefault="00A86293">
      <w:pPr>
        <w:pStyle w:val="Heading8"/>
        <w:jc w:val="left"/>
      </w:pPr>
      <w:r>
        <w:t>Opis aktivnosti</w:t>
      </w:r>
    </w:p>
    <w:p w:rsidR="005C2091" w:rsidRDefault="00A86293">
      <w:r>
        <w:t>Aktivnosti hitnog zračnog medicinskog prijevoza ozlijeđenih i/ili oboljelih osoba i hitnog zračnog prijevoza organa za transplantaciju Oružane snage izvršavaju tijekom cijele godine. Najveći broj letova je na području Splitsko-dalmatinske županije, s obzirom na broj otoka i njihovu slabu prometnu povezanost. Intenzitet prevoženja se povećava tijekom turističke sezone kada se prevozi i ozlijeđene i/ili oboljele turiste. Angažiraju se helikopteri na lokacijama u Divuljama i na otoku Krku. Tijekom 2016. godine zaprimljeno je 739 zahtjeva za prijevoz, od čega 736 zahtjeva za prijevoz pacijenata i 3 zahtjeva za prijevoz organa za transplataciju), prevezeno je 805 pacijenata i 1498 pratitelja. Pritom su izvršena 2033 leta u trajanju od 791 sata.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zahtjeva za hitni medicinski prijevoz</w:t>
            </w:r>
          </w:p>
        </w:tc>
        <w:tc>
          <w:tcPr>
            <w:tcW w:w="2551" w:type="dxa"/>
          </w:tcPr>
          <w:p w:rsidR="005C2091" w:rsidRDefault="00A86293">
            <w:pPr>
              <w:pStyle w:val="CellColumn"/>
              <w:jc w:val="left"/>
            </w:pPr>
            <w:r>
              <w:rPr>
                <w:rFonts w:cs="Times New Roman"/>
              </w:rPr>
              <w:t>Angažiranjem helikoptera osigurati hitan medicinski prijevoz</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464</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450</w:t>
            </w:r>
          </w:p>
        </w:tc>
        <w:tc>
          <w:tcPr>
            <w:tcW w:w="1020" w:type="dxa"/>
          </w:tcPr>
          <w:p w:rsidR="005C2091" w:rsidRDefault="00A86293">
            <w:pPr>
              <w:pStyle w:val="CellColumn"/>
              <w:jc w:val="right"/>
            </w:pPr>
            <w:r>
              <w:rPr>
                <w:rFonts w:cs="Times New Roman"/>
              </w:rPr>
              <w:t>736</w:t>
            </w:r>
          </w:p>
        </w:tc>
      </w:tr>
      <w:tr w:rsidR="005C2091">
        <w:trPr>
          <w:jc w:val="center"/>
        </w:trPr>
        <w:tc>
          <w:tcPr>
            <w:tcW w:w="2551" w:type="dxa"/>
          </w:tcPr>
          <w:p w:rsidR="005C2091" w:rsidRDefault="00A86293">
            <w:pPr>
              <w:pStyle w:val="CellColumn"/>
              <w:jc w:val="left"/>
            </w:pPr>
            <w:r>
              <w:rPr>
                <w:rFonts w:cs="Times New Roman"/>
              </w:rPr>
              <w:t>Broj letova helikoptera</w:t>
            </w:r>
          </w:p>
        </w:tc>
        <w:tc>
          <w:tcPr>
            <w:tcW w:w="2551" w:type="dxa"/>
          </w:tcPr>
          <w:p w:rsidR="005C2091" w:rsidRDefault="00A86293">
            <w:pPr>
              <w:pStyle w:val="CellColumn"/>
              <w:jc w:val="left"/>
            </w:pPr>
            <w:r>
              <w:rPr>
                <w:rFonts w:cs="Times New Roman"/>
              </w:rPr>
              <w:t>Ostvareni letovi helikoptera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2033</w:t>
            </w:r>
          </w:p>
        </w:tc>
      </w:tr>
    </w:tbl>
    <w:p w:rsidR="005C2091" w:rsidRDefault="005C2091">
      <w:pPr>
        <w:jc w:val="left"/>
      </w:pPr>
    </w:p>
    <w:p w:rsidR="005C2091" w:rsidRDefault="00A86293">
      <w:pPr>
        <w:pStyle w:val="Heading4"/>
      </w:pPr>
      <w:r>
        <w:t>A545069 POTRAGA I SPAŠAVANJE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A545069-POTRAGA I SPAŠAVANJE</w:t>
            </w:r>
          </w:p>
        </w:tc>
        <w:tc>
          <w:tcPr>
            <w:tcW w:w="2041" w:type="dxa"/>
          </w:tcPr>
          <w:p w:rsidR="005C2091" w:rsidRDefault="00A86293">
            <w:pPr>
              <w:pStyle w:val="CellColumn"/>
              <w:jc w:val="right"/>
            </w:pPr>
            <w:r>
              <w:rPr>
                <w:rFonts w:cs="Times New Roman"/>
              </w:rPr>
              <w:t>1.231.812</w:t>
            </w:r>
          </w:p>
        </w:tc>
        <w:tc>
          <w:tcPr>
            <w:tcW w:w="2041" w:type="dxa"/>
          </w:tcPr>
          <w:p w:rsidR="005C2091" w:rsidRDefault="00A86293">
            <w:pPr>
              <w:pStyle w:val="CellColumn"/>
              <w:jc w:val="right"/>
            </w:pPr>
            <w:r>
              <w:rPr>
                <w:rFonts w:cs="Times New Roman"/>
              </w:rPr>
              <w:t>1.081.000</w:t>
            </w:r>
          </w:p>
        </w:tc>
        <w:tc>
          <w:tcPr>
            <w:tcW w:w="2041" w:type="dxa"/>
          </w:tcPr>
          <w:p w:rsidR="005C2091" w:rsidRDefault="00A86293">
            <w:pPr>
              <w:pStyle w:val="CellColumn"/>
              <w:jc w:val="right"/>
            </w:pPr>
            <w:r>
              <w:rPr>
                <w:rFonts w:cs="Times New Roman"/>
              </w:rPr>
              <w:t>990.482</w:t>
            </w:r>
          </w:p>
        </w:tc>
        <w:tc>
          <w:tcPr>
            <w:tcW w:w="1224" w:type="dxa"/>
          </w:tcPr>
          <w:p w:rsidR="005C2091" w:rsidRDefault="00A86293">
            <w:pPr>
              <w:pStyle w:val="CellColumn"/>
              <w:jc w:val="right"/>
            </w:pPr>
            <w:r>
              <w:rPr>
                <w:rFonts w:cs="Times New Roman"/>
              </w:rPr>
              <w:t>91,6</w:t>
            </w:r>
          </w:p>
        </w:tc>
        <w:tc>
          <w:tcPr>
            <w:tcW w:w="1224" w:type="dxa"/>
          </w:tcPr>
          <w:p w:rsidR="005C2091" w:rsidRDefault="00A86293">
            <w:pPr>
              <w:pStyle w:val="CellColumn"/>
              <w:jc w:val="right"/>
            </w:pPr>
            <w:r>
              <w:rPr>
                <w:rFonts w:cs="Times New Roman"/>
              </w:rPr>
              <w:t>80,4</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zaštiti i spašavanju, Uredba Vlade RH o uvjetima i načinu obavljanja potrage i spašavanja zrakoplova, Sporazum o suradnji MORH i HGSS u provođenju aktivnosti helikopterskog spašavanja s nepristupačnih terena i obuke pripadnika OSRH i HGSS-a za zajedničko provođenje helikopterskog spašavanja</w:t>
      </w:r>
    </w:p>
    <w:p w:rsidR="005C2091" w:rsidRDefault="00A86293">
      <w:pPr>
        <w:pStyle w:val="Heading8"/>
        <w:jc w:val="left"/>
      </w:pPr>
      <w:r>
        <w:t>Opis aktivnosti</w:t>
      </w:r>
    </w:p>
    <w:p w:rsidR="005C2091" w:rsidRDefault="00A86293">
      <w:r>
        <w:t>Potraga i spašavanje provodi se u suradnji s Državnom upravom za zaštitu i spašavanje, Hrvatskom gorskom službom spašavanja i Obalnom stražom Republike Hrvatske. Osim izviđanja terena, zrakoplovi Hrvatskog ratnog zrakoplovstva i protuzračne obrane sudjeluju i u izvlačenju osoba s nepristupačnog područja, odnosno područja u kojem kretanje i transport nisu mogući uobičajenim javnim sredstvima. Za ove aktivnosti koriste se helikopteri Mi-</w:t>
      </w:r>
      <w:r>
        <w:lastRenderedPageBreak/>
        <w:t>8 MTV i Mi-171Sh te zrakoplovi PC-9. Tijekom 2016. godine, u 22 zadaće potrage i spašavanja ostvareno je 77 letova u trajanju od 46 sati. Pritom je spašeno 8 osoba.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provedenih akcija</w:t>
            </w:r>
          </w:p>
        </w:tc>
        <w:tc>
          <w:tcPr>
            <w:tcW w:w="2551" w:type="dxa"/>
          </w:tcPr>
          <w:p w:rsidR="005C2091" w:rsidRDefault="00A86293">
            <w:pPr>
              <w:pStyle w:val="CellColumn"/>
              <w:jc w:val="left"/>
            </w:pPr>
            <w:r>
              <w:rPr>
                <w:rFonts w:cs="Times New Roman"/>
              </w:rPr>
              <w:t>Angažiranjem ljudstva i opreme pridonijeti potrazi i spašavanju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27</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25</w:t>
            </w:r>
          </w:p>
        </w:tc>
        <w:tc>
          <w:tcPr>
            <w:tcW w:w="1020" w:type="dxa"/>
          </w:tcPr>
          <w:p w:rsidR="005C2091" w:rsidRDefault="00A86293">
            <w:pPr>
              <w:pStyle w:val="CellColumn"/>
              <w:jc w:val="right"/>
            </w:pPr>
            <w:r>
              <w:rPr>
                <w:rFonts w:cs="Times New Roman"/>
              </w:rPr>
              <w:t>22</w:t>
            </w:r>
          </w:p>
        </w:tc>
      </w:tr>
      <w:tr w:rsidR="005C2091">
        <w:trPr>
          <w:jc w:val="center"/>
        </w:trPr>
        <w:tc>
          <w:tcPr>
            <w:tcW w:w="2551" w:type="dxa"/>
          </w:tcPr>
          <w:p w:rsidR="005C2091" w:rsidRDefault="00A86293">
            <w:pPr>
              <w:pStyle w:val="CellColumn"/>
              <w:jc w:val="left"/>
            </w:pPr>
            <w:r>
              <w:rPr>
                <w:rFonts w:cs="Times New Roman"/>
              </w:rPr>
              <w:t>Sati naleta zrakoplova</w:t>
            </w:r>
          </w:p>
        </w:tc>
        <w:tc>
          <w:tcPr>
            <w:tcW w:w="2551" w:type="dxa"/>
          </w:tcPr>
          <w:p w:rsidR="005C2091" w:rsidRDefault="00A86293">
            <w:pPr>
              <w:pStyle w:val="CellColumn"/>
              <w:jc w:val="left"/>
            </w:pPr>
            <w:r>
              <w:rPr>
                <w:rFonts w:cs="Times New Roman"/>
              </w:rPr>
              <w:t>Ostvareni sati naleta zrakoplova</w:t>
            </w:r>
          </w:p>
        </w:tc>
        <w:tc>
          <w:tcPr>
            <w:tcW w:w="1020" w:type="dxa"/>
          </w:tcPr>
          <w:p w:rsidR="005C2091" w:rsidRDefault="00A86293">
            <w:pPr>
              <w:pStyle w:val="CellColumn"/>
              <w:jc w:val="right"/>
            </w:pPr>
            <w:r>
              <w:rPr>
                <w:rFonts w:cs="Times New Roman"/>
              </w:rPr>
              <w:t>Sat</w:t>
            </w:r>
          </w:p>
        </w:tc>
        <w:tc>
          <w:tcPr>
            <w:tcW w:w="1020" w:type="dxa"/>
          </w:tcPr>
          <w:p w:rsidR="005C2091" w:rsidRDefault="00A86293">
            <w:pPr>
              <w:pStyle w:val="CellColumn"/>
              <w:jc w:val="right"/>
            </w:pPr>
            <w:r>
              <w:rPr>
                <w:rFonts w:cs="Times New Roman"/>
              </w:rPr>
              <w:t>55</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60</w:t>
            </w:r>
          </w:p>
        </w:tc>
        <w:tc>
          <w:tcPr>
            <w:tcW w:w="1020" w:type="dxa"/>
          </w:tcPr>
          <w:p w:rsidR="005C2091" w:rsidRDefault="00A86293">
            <w:pPr>
              <w:pStyle w:val="CellColumn"/>
              <w:jc w:val="right"/>
            </w:pPr>
            <w:r>
              <w:rPr>
                <w:rFonts w:cs="Times New Roman"/>
              </w:rPr>
              <w:t>46</w:t>
            </w:r>
          </w:p>
        </w:tc>
      </w:tr>
    </w:tbl>
    <w:p w:rsidR="005C2091" w:rsidRDefault="005C2091">
      <w:pPr>
        <w:jc w:val="left"/>
      </w:pPr>
    </w:p>
    <w:p w:rsidR="005C2091" w:rsidRDefault="00A86293">
      <w:pPr>
        <w:pStyle w:val="Heading4"/>
      </w:pPr>
      <w:r>
        <w:t>A545070 POMOĆ LOKALNOJ ZAJEDNICI I USTANOVAMA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A545070-POMOĆ LOKALNOJ ZAJEDNICI I USTANOVAMA</w:t>
            </w:r>
          </w:p>
        </w:tc>
        <w:tc>
          <w:tcPr>
            <w:tcW w:w="2041" w:type="dxa"/>
          </w:tcPr>
          <w:p w:rsidR="005C2091" w:rsidRDefault="00A86293">
            <w:pPr>
              <w:pStyle w:val="CellColumn"/>
              <w:jc w:val="right"/>
            </w:pPr>
            <w:r>
              <w:rPr>
                <w:rFonts w:cs="Times New Roman"/>
              </w:rPr>
              <w:t>2.758.240</w:t>
            </w:r>
          </w:p>
        </w:tc>
        <w:tc>
          <w:tcPr>
            <w:tcW w:w="2041" w:type="dxa"/>
          </w:tcPr>
          <w:p w:rsidR="005C2091" w:rsidRDefault="00A86293">
            <w:pPr>
              <w:pStyle w:val="CellColumn"/>
              <w:jc w:val="right"/>
            </w:pPr>
            <w:r>
              <w:rPr>
                <w:rFonts w:cs="Times New Roman"/>
              </w:rPr>
              <w:t>2.305.750</w:t>
            </w:r>
          </w:p>
        </w:tc>
        <w:tc>
          <w:tcPr>
            <w:tcW w:w="2041" w:type="dxa"/>
          </w:tcPr>
          <w:p w:rsidR="005C2091" w:rsidRDefault="00A86293">
            <w:pPr>
              <w:pStyle w:val="CellColumn"/>
              <w:jc w:val="right"/>
            </w:pPr>
            <w:r>
              <w:rPr>
                <w:rFonts w:cs="Times New Roman"/>
              </w:rPr>
              <w:t>1.820.564</w:t>
            </w:r>
          </w:p>
        </w:tc>
        <w:tc>
          <w:tcPr>
            <w:tcW w:w="1224" w:type="dxa"/>
          </w:tcPr>
          <w:p w:rsidR="005C2091" w:rsidRDefault="00A86293">
            <w:pPr>
              <w:pStyle w:val="CellColumn"/>
              <w:jc w:val="right"/>
            </w:pPr>
            <w:r>
              <w:rPr>
                <w:rFonts w:cs="Times New Roman"/>
              </w:rPr>
              <w:t>79,0</w:t>
            </w:r>
          </w:p>
        </w:tc>
        <w:tc>
          <w:tcPr>
            <w:tcW w:w="1224" w:type="dxa"/>
          </w:tcPr>
          <w:p w:rsidR="005C2091" w:rsidRDefault="00A86293">
            <w:pPr>
              <w:pStyle w:val="CellColumn"/>
              <w:jc w:val="right"/>
            </w:pPr>
            <w:r>
              <w:rPr>
                <w:rFonts w:cs="Times New Roman"/>
              </w:rPr>
              <w:t>66,0</w:t>
            </w:r>
          </w:p>
        </w:tc>
      </w:tr>
    </w:tbl>
    <w:p w:rsidR="005C2091" w:rsidRDefault="005C2091">
      <w:pPr>
        <w:jc w:val="left"/>
      </w:pPr>
    </w:p>
    <w:p w:rsidR="005C2091" w:rsidRDefault="00A86293">
      <w:pPr>
        <w:pStyle w:val="Heading8"/>
        <w:jc w:val="left"/>
      </w:pPr>
      <w:r>
        <w:t>Zakonske i druge pravne osnove</w:t>
      </w:r>
    </w:p>
    <w:p w:rsidR="005C2091" w:rsidRDefault="00A86293">
      <w:r>
        <w:t>Zakon o obrani, Zakon o zaštiti i spašavanju, Zakon o zaštiti od elementarnih nepogoda, Odluke MO o pružanju pomoći u skladu sa zahtjevima civilnih institucija</w:t>
      </w:r>
    </w:p>
    <w:p w:rsidR="005C2091" w:rsidRDefault="00A86293">
      <w:pPr>
        <w:pStyle w:val="Heading8"/>
        <w:jc w:val="left"/>
      </w:pPr>
      <w:r>
        <w:t>Opis aktivnosti</w:t>
      </w:r>
    </w:p>
    <w:p w:rsidR="005C2091" w:rsidRDefault="00A86293">
      <w:r>
        <w:t>Ministarstvo obrane i Oružane snage svoje pripadnike i postrojbe angažiraju kroz samostalno ili združeno djelovanje s drugim institucijama Republike Hrvatske kada namjenski resursi civilnih vlasti nisu dovoljni u sprječavanju nastanka štetnih događaja ili prilikom otklanjanja njihovih posljedica te u svakodnevnim aktivnostima. Tijekom 2016. godine OS RH su pomagale lokalnoj zajednici inženjerijskim radovima na infrastrukturi: uklanjanje ruševina u Pakracu, uređenje javne površine u Miljevcima, uklanjanje zaklona izgrađenih u Domovinskom ratu u Trbounju, zatrpavanje rovova iz Domovinskog rata u Mateškom selu, sanacija prometnica u Medulinu, demontaža lansirne konstrukcije mosta u Račinovcima, pontonska skela za sanaciju Podsusedskog mosta u Zagrebu, obnova OŠ Dubovac u Karlovcu, uređenje eksponata iz Domovinskog rata na lokaciji Turanj u Karlovcu, uređenje okoliša i postavljanje ograde za Opću bolnicu Karlovac, gradnja sportskog parka hrvatskih branitelja u Donjoj Voći, uređenje Veleučilišta u Karlovcu.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izvršenih pomoći civilnim institucijama</w:t>
            </w:r>
          </w:p>
        </w:tc>
        <w:tc>
          <w:tcPr>
            <w:tcW w:w="2551" w:type="dxa"/>
          </w:tcPr>
          <w:p w:rsidR="005C2091" w:rsidRDefault="00A86293">
            <w:pPr>
              <w:pStyle w:val="CellColumn"/>
              <w:jc w:val="left"/>
            </w:pPr>
            <w:r>
              <w:rPr>
                <w:rFonts w:cs="Times New Roman"/>
              </w:rPr>
              <w:t>Angažiranjem djelatnika i opreme sudjelovati u pomoći civilnim institucijama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12</w:t>
            </w:r>
          </w:p>
        </w:tc>
      </w:tr>
      <w:tr w:rsidR="005C2091">
        <w:trPr>
          <w:jc w:val="center"/>
        </w:trPr>
        <w:tc>
          <w:tcPr>
            <w:tcW w:w="2551" w:type="dxa"/>
          </w:tcPr>
          <w:p w:rsidR="005C2091" w:rsidRDefault="00A86293">
            <w:pPr>
              <w:pStyle w:val="CellColumn"/>
              <w:jc w:val="left"/>
            </w:pPr>
            <w:r>
              <w:rPr>
                <w:rFonts w:cs="Times New Roman"/>
              </w:rPr>
              <w:lastRenderedPageBreak/>
              <w:t>Broj odavanja počasti na pogrebima hrvatskih branitelja</w:t>
            </w:r>
          </w:p>
        </w:tc>
        <w:tc>
          <w:tcPr>
            <w:tcW w:w="2551" w:type="dxa"/>
          </w:tcPr>
          <w:p w:rsidR="005C2091" w:rsidRDefault="00A86293">
            <w:pPr>
              <w:pStyle w:val="CellColumn"/>
              <w:jc w:val="left"/>
            </w:pPr>
            <w:r>
              <w:rPr>
                <w:rFonts w:cs="Times New Roman"/>
              </w:rPr>
              <w:t>Sudjelovanje postrojbi OS RH u odavanju počasti prilikom sahrane hrvatskih branitelja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2307</w:t>
            </w:r>
          </w:p>
        </w:tc>
        <w:tc>
          <w:tcPr>
            <w:tcW w:w="1020" w:type="dxa"/>
          </w:tcPr>
          <w:p w:rsidR="005C2091" w:rsidRDefault="00A86293">
            <w:pPr>
              <w:pStyle w:val="CellColumn"/>
              <w:jc w:val="right"/>
            </w:pPr>
            <w:r>
              <w:rPr>
                <w:rFonts w:cs="Times New Roman"/>
              </w:rPr>
              <w:t>MORH</w:t>
            </w:r>
          </w:p>
        </w:tc>
        <w:tc>
          <w:tcPr>
            <w:tcW w:w="1020" w:type="dxa"/>
          </w:tcPr>
          <w:p w:rsidR="005C2091" w:rsidRDefault="00A86293">
            <w:pPr>
              <w:pStyle w:val="CellColumn"/>
              <w:jc w:val="right"/>
            </w:pPr>
            <w:r>
              <w:rPr>
                <w:rFonts w:cs="Times New Roman"/>
              </w:rPr>
              <w:t>2300</w:t>
            </w:r>
          </w:p>
        </w:tc>
        <w:tc>
          <w:tcPr>
            <w:tcW w:w="1020" w:type="dxa"/>
          </w:tcPr>
          <w:p w:rsidR="005C2091" w:rsidRDefault="00A86293">
            <w:pPr>
              <w:pStyle w:val="CellColumn"/>
              <w:jc w:val="right"/>
            </w:pPr>
            <w:r>
              <w:rPr>
                <w:rFonts w:cs="Times New Roman"/>
              </w:rPr>
              <w:t>2431</w:t>
            </w:r>
          </w:p>
        </w:tc>
      </w:tr>
    </w:tbl>
    <w:p w:rsidR="005C2091" w:rsidRDefault="005C2091">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jc w:val="left"/>
      </w:pPr>
    </w:p>
    <w:p w:rsidR="008846BB" w:rsidRDefault="008846BB">
      <w:pPr>
        <w:overflowPunct/>
        <w:autoSpaceDE/>
        <w:autoSpaceDN/>
        <w:adjustRightInd/>
        <w:spacing w:after="200" w:line="276" w:lineRule="auto"/>
        <w:jc w:val="left"/>
        <w:textAlignment w:val="auto"/>
        <w:rPr>
          <w:b/>
          <w:spacing w:val="20"/>
          <w:sz w:val="32"/>
          <w:szCs w:val="32"/>
        </w:rPr>
      </w:pPr>
      <w:r>
        <w:br w:type="page"/>
      </w:r>
    </w:p>
    <w:p w:rsidR="005C2091" w:rsidRDefault="00A86293">
      <w:pPr>
        <w:pStyle w:val="Heading1"/>
      </w:pPr>
      <w:r>
        <w:lastRenderedPageBreak/>
        <w:t>032 SREDIŠNJI DRŽAVNI URED ZA HRVATE IZVAN REPUBLIKE HRVATSKE</w:t>
      </w:r>
    </w:p>
    <w:p w:rsidR="005C2091" w:rsidRDefault="00A86293">
      <w:r>
        <w:t xml:space="preserve">Skrb za Hrvate izvan Republike Hrvatske sastavni je dio unutarnje i vanjske politike Republike Hrvatske. U cilju promicanja veza s Republikom Hrvatskom svoj odnos s Hrvatima izvan Republike Hrvatske, Republika Hrvatska temelji na uzajamnoj suradnji i pružanju pomoći te jačanju njihovih zajednica, uvažavajući pri tome sve posebnosti i različite potrebe hrvatskih zajednica izvan Republike Hrvatske. </w:t>
      </w:r>
    </w:p>
    <w:p w:rsidR="005C2091" w:rsidRDefault="00A86293">
      <w:r>
        <w:t>Središnji Državni ured za Hrvate izvan Republike Hrvatske (dalje u tekstu: SDUHIRH) središnje je tijelo državne uprave nadležno za područje odnosa između Republike Hrvatske i Hrvata izvan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03205-Središnji državni ured za Hrvate izvan Republike Hrvatske</w:t>
            </w:r>
          </w:p>
        </w:tc>
        <w:tc>
          <w:tcPr>
            <w:tcW w:w="2041" w:type="dxa"/>
            <w:vAlign w:val="top"/>
          </w:tcPr>
          <w:p w:rsidR="005C2091" w:rsidRDefault="00A86293">
            <w:pPr>
              <w:pStyle w:val="CellColumn"/>
              <w:jc w:val="right"/>
            </w:pPr>
            <w:r>
              <w:rPr>
                <w:rFonts w:cs="Times New Roman"/>
              </w:rPr>
              <w:t>51.138.786</w:t>
            </w:r>
          </w:p>
        </w:tc>
        <w:tc>
          <w:tcPr>
            <w:tcW w:w="2041" w:type="dxa"/>
            <w:vAlign w:val="top"/>
          </w:tcPr>
          <w:p w:rsidR="005C2091" w:rsidRDefault="00A86293">
            <w:pPr>
              <w:pStyle w:val="CellColumn"/>
              <w:jc w:val="right"/>
            </w:pPr>
            <w:r>
              <w:rPr>
                <w:rFonts w:cs="Times New Roman"/>
              </w:rPr>
              <w:t>49.801.474</w:t>
            </w:r>
          </w:p>
        </w:tc>
        <w:tc>
          <w:tcPr>
            <w:tcW w:w="2041" w:type="dxa"/>
            <w:vAlign w:val="top"/>
          </w:tcPr>
          <w:p w:rsidR="005C2091" w:rsidRDefault="00A86293">
            <w:pPr>
              <w:pStyle w:val="CellColumn"/>
              <w:jc w:val="right"/>
            </w:pPr>
            <w:r>
              <w:rPr>
                <w:rFonts w:cs="Times New Roman"/>
              </w:rPr>
              <w:t>50.051.315</w:t>
            </w:r>
          </w:p>
        </w:tc>
        <w:tc>
          <w:tcPr>
            <w:tcW w:w="1224" w:type="dxa"/>
            <w:vAlign w:val="top"/>
          </w:tcPr>
          <w:p w:rsidR="005C2091" w:rsidRDefault="00A86293">
            <w:pPr>
              <w:pStyle w:val="CellColumn"/>
              <w:jc w:val="right"/>
            </w:pPr>
            <w:r>
              <w:rPr>
                <w:rFonts w:cs="Times New Roman"/>
              </w:rPr>
              <w:t>100,5</w:t>
            </w:r>
          </w:p>
        </w:tc>
        <w:tc>
          <w:tcPr>
            <w:tcW w:w="1224" w:type="dxa"/>
            <w:vAlign w:val="top"/>
          </w:tcPr>
          <w:p w:rsidR="005C2091" w:rsidRDefault="00A86293">
            <w:pPr>
              <w:pStyle w:val="CellColumn"/>
              <w:jc w:val="right"/>
            </w:pPr>
            <w:r>
              <w:rPr>
                <w:rFonts w:cs="Times New Roman"/>
              </w:rPr>
              <w:t>97,9</w:t>
            </w:r>
          </w:p>
        </w:tc>
      </w:tr>
      <w:tr w:rsidR="005C2091">
        <w:trPr>
          <w:jc w:val="center"/>
        </w:trPr>
        <w:tc>
          <w:tcPr>
            <w:tcW w:w="1632" w:type="dxa"/>
            <w:vAlign w:val="top"/>
          </w:tcPr>
          <w:p w:rsidR="005C2091" w:rsidRDefault="00A86293">
            <w:pPr>
              <w:pStyle w:val="CellColumn"/>
              <w:jc w:val="left"/>
            </w:pPr>
            <w:r>
              <w:rPr>
                <w:rFonts w:cs="Times New Roman"/>
              </w:rPr>
              <w:t>03210-Hrvatska matica iseljenika</w:t>
            </w:r>
          </w:p>
        </w:tc>
        <w:tc>
          <w:tcPr>
            <w:tcW w:w="2041" w:type="dxa"/>
            <w:vAlign w:val="top"/>
          </w:tcPr>
          <w:p w:rsidR="005C2091" w:rsidRDefault="00A86293">
            <w:pPr>
              <w:pStyle w:val="CellColumn"/>
              <w:jc w:val="right"/>
            </w:pPr>
            <w:r>
              <w:rPr>
                <w:rFonts w:cs="Times New Roman"/>
              </w:rPr>
              <w:t>4.493.764</w:t>
            </w:r>
          </w:p>
        </w:tc>
        <w:tc>
          <w:tcPr>
            <w:tcW w:w="2041" w:type="dxa"/>
            <w:vAlign w:val="top"/>
          </w:tcPr>
          <w:p w:rsidR="005C2091" w:rsidRDefault="00A86293">
            <w:pPr>
              <w:pStyle w:val="CellColumn"/>
              <w:jc w:val="right"/>
            </w:pPr>
            <w:r>
              <w:rPr>
                <w:rFonts w:cs="Times New Roman"/>
              </w:rPr>
              <w:t>4.397.635</w:t>
            </w:r>
          </w:p>
        </w:tc>
        <w:tc>
          <w:tcPr>
            <w:tcW w:w="2041" w:type="dxa"/>
            <w:vAlign w:val="top"/>
          </w:tcPr>
          <w:p w:rsidR="005C2091" w:rsidRDefault="00A86293">
            <w:pPr>
              <w:pStyle w:val="CellColumn"/>
              <w:jc w:val="right"/>
            </w:pPr>
            <w:r>
              <w:rPr>
                <w:rFonts w:cs="Times New Roman"/>
              </w:rPr>
              <w:t>4.395.440</w:t>
            </w:r>
          </w:p>
        </w:tc>
        <w:tc>
          <w:tcPr>
            <w:tcW w:w="1224" w:type="dxa"/>
            <w:vAlign w:val="top"/>
          </w:tcPr>
          <w:p w:rsidR="005C2091" w:rsidRDefault="00A86293">
            <w:pPr>
              <w:pStyle w:val="CellColumn"/>
              <w:jc w:val="right"/>
            </w:pPr>
            <w:r>
              <w:rPr>
                <w:rFonts w:cs="Times New Roman"/>
              </w:rPr>
              <w:t>100,0</w:t>
            </w:r>
          </w:p>
        </w:tc>
        <w:tc>
          <w:tcPr>
            <w:tcW w:w="1224" w:type="dxa"/>
            <w:vAlign w:val="top"/>
          </w:tcPr>
          <w:p w:rsidR="005C2091" w:rsidRDefault="00A86293">
            <w:pPr>
              <w:pStyle w:val="CellColumn"/>
              <w:jc w:val="right"/>
            </w:pPr>
            <w:r>
              <w:rPr>
                <w:rFonts w:cs="Times New Roman"/>
              </w:rPr>
              <w:t>97,8</w:t>
            </w:r>
          </w:p>
        </w:tc>
      </w:tr>
      <w:tr w:rsidR="005C2091">
        <w:trPr>
          <w:jc w:val="center"/>
        </w:trPr>
        <w:tc>
          <w:tcPr>
            <w:tcW w:w="1632" w:type="dxa"/>
            <w:shd w:val="clear" w:color="auto" w:fill="B5C0D8"/>
          </w:tcPr>
          <w:p w:rsidR="005C2091" w:rsidRDefault="00A86293">
            <w:pPr>
              <w:pStyle w:val="CellColumn"/>
              <w:jc w:val="left"/>
            </w:pPr>
            <w:r>
              <w:rPr>
                <w:rFonts w:cs="Times New Roman"/>
              </w:rPr>
              <w:t>Ukupno 032-SREDIŠNJI DRŽAVNI URED ZA HRVATE IZVAN REPUBLIKE HRVATSKE</w:t>
            </w:r>
          </w:p>
        </w:tc>
        <w:tc>
          <w:tcPr>
            <w:tcW w:w="2041" w:type="dxa"/>
            <w:shd w:val="clear" w:color="auto" w:fill="B5C0D8"/>
          </w:tcPr>
          <w:p w:rsidR="005C2091" w:rsidRDefault="00A86293">
            <w:pPr>
              <w:pStyle w:val="CellColumn"/>
              <w:jc w:val="right"/>
            </w:pPr>
            <w:r>
              <w:rPr>
                <w:rFonts w:cs="Times New Roman"/>
              </w:rPr>
              <w:t>55.632.550</w:t>
            </w:r>
          </w:p>
        </w:tc>
        <w:tc>
          <w:tcPr>
            <w:tcW w:w="2041" w:type="dxa"/>
            <w:shd w:val="clear" w:color="auto" w:fill="B5C0D8"/>
          </w:tcPr>
          <w:p w:rsidR="005C2091" w:rsidRDefault="00A86293">
            <w:pPr>
              <w:pStyle w:val="CellColumn"/>
              <w:jc w:val="right"/>
            </w:pPr>
            <w:r>
              <w:rPr>
                <w:rFonts w:cs="Times New Roman"/>
              </w:rPr>
              <w:t>54.199.109</w:t>
            </w:r>
          </w:p>
        </w:tc>
        <w:tc>
          <w:tcPr>
            <w:tcW w:w="2041" w:type="dxa"/>
            <w:shd w:val="clear" w:color="auto" w:fill="B5C0D8"/>
          </w:tcPr>
          <w:p w:rsidR="005C2091" w:rsidRDefault="00A86293">
            <w:pPr>
              <w:pStyle w:val="CellColumn"/>
              <w:jc w:val="right"/>
            </w:pPr>
            <w:r>
              <w:rPr>
                <w:rFonts w:cs="Times New Roman"/>
              </w:rPr>
              <w:t>54.446.755</w:t>
            </w:r>
          </w:p>
        </w:tc>
        <w:tc>
          <w:tcPr>
            <w:tcW w:w="1224" w:type="dxa"/>
            <w:shd w:val="clear" w:color="auto" w:fill="B5C0D8"/>
          </w:tcPr>
          <w:p w:rsidR="005C2091" w:rsidRDefault="00A86293">
            <w:pPr>
              <w:pStyle w:val="CellColumn"/>
              <w:jc w:val="right"/>
            </w:pPr>
            <w:r>
              <w:rPr>
                <w:rFonts w:cs="Times New Roman"/>
              </w:rPr>
              <w:t>100,5</w:t>
            </w:r>
          </w:p>
        </w:tc>
        <w:tc>
          <w:tcPr>
            <w:tcW w:w="1224" w:type="dxa"/>
            <w:shd w:val="clear" w:color="auto" w:fill="B5C0D8"/>
          </w:tcPr>
          <w:p w:rsidR="005C2091" w:rsidRDefault="00A86293">
            <w:pPr>
              <w:pStyle w:val="CellColumn"/>
              <w:jc w:val="right"/>
            </w:pPr>
            <w:r>
              <w:rPr>
                <w:rFonts w:cs="Times New Roman"/>
              </w:rPr>
              <w:t>97,9</w:t>
            </w:r>
          </w:p>
        </w:tc>
      </w:tr>
    </w:tbl>
    <w:p w:rsidR="005C2091" w:rsidRDefault="005C2091">
      <w:pPr>
        <w:jc w:val="left"/>
      </w:pPr>
    </w:p>
    <w:p w:rsidR="005C2091" w:rsidRDefault="00A86293">
      <w:pPr>
        <w:pStyle w:val="Heading2"/>
      </w:pPr>
      <w:r>
        <w:t>03205 Središnji državni ured za Hrvate izvan Republike Hrvatske</w:t>
      </w:r>
    </w:p>
    <w:p w:rsidR="005C2091" w:rsidRDefault="00A86293">
      <w:r>
        <w:t xml:space="preserve">SDUHIRH središnje je tijelo državne uprave mjerodavno za odnose između Republike Hrvatske i Hrvata izvan njezinih granica. Skrbi za više od 3 milijuna Hrvata koji žive izvan granica Republike Hrvatske. SDUHIRH je osnovan temeljem Zakona o odnosima Republike Hrvatske s Hrvatima  izvan  Republike  Hrvatske  (Narodne Novine  124/2011  i  Narodne novine 16/2012,  dalje u tekstu: Zakon),  a  njegov djelokrug je definiran člankom 13. navedenog Zakona kako slijedi: </w:t>
      </w:r>
    </w:p>
    <w:p w:rsidR="005C2091" w:rsidRDefault="00A86293">
      <w:r>
        <w:t xml:space="preserve">•    briga za zaštitu prava i interesa Hrvata izvan Republike Hrvatske, </w:t>
      </w:r>
    </w:p>
    <w:p w:rsidR="005C2091" w:rsidRDefault="00A86293">
      <w:r>
        <w:t xml:space="preserve">•    briga za očuvanje i jačanje identiteta Hrvata izvan Republike Hrvatske, </w:t>
      </w:r>
    </w:p>
    <w:p w:rsidR="005C2091" w:rsidRDefault="00A86293">
      <w:r>
        <w:t xml:space="preserve">•    uspostavljanje, održavanje i promicanje veza s Hrvatima izvan Republike Hrvatske, </w:t>
      </w:r>
    </w:p>
    <w:p w:rsidR="005C2091" w:rsidRDefault="00A86293">
      <w:r>
        <w:t xml:space="preserve">•    jačanje suradnje s Hrvatima izvan Republike Hrvatske i izrada komunikacijske strategije za </w:t>
      </w:r>
    </w:p>
    <w:p w:rsidR="005C2091" w:rsidRDefault="00A86293">
      <w:r>
        <w:t xml:space="preserve">Hrvate izvan Republike Hrvatske, </w:t>
      </w:r>
    </w:p>
    <w:p w:rsidR="005C2091" w:rsidRDefault="00A86293">
      <w:r>
        <w:t xml:space="preserve">•    koordinacija i nadzor aktivnosti između nadležnih ministarstava, drugih tijela državne uprave i ostalih nositelja suradnje Republike Hrvatske s Hrvatima izvan Republike Hrvatske, </w:t>
      </w:r>
    </w:p>
    <w:p w:rsidR="005C2091" w:rsidRDefault="00A86293">
      <w:r>
        <w:t xml:space="preserve">•    u suradnji s drugim nadležnim ministarstvima, obavlja poslove koji se odnose na stvaranje uvjeta za povratak iseljenika/dijaspore u Republiku Hrvatsku i njihovo uključivanje u gospodarski i društveni život u Republici Hrvatskoj, </w:t>
      </w:r>
    </w:p>
    <w:p w:rsidR="005C2091" w:rsidRDefault="00A86293">
      <w:r>
        <w:t xml:space="preserve">•    predlaže politiku poticanja i pomoći povratka i useljavanja, </w:t>
      </w:r>
    </w:p>
    <w:p w:rsidR="005C2091" w:rsidRDefault="00A86293">
      <w:r>
        <w:t xml:space="preserve">•    provođenje mjera i programa za integraciju Hrvata povratnika i useljenika, </w:t>
      </w:r>
    </w:p>
    <w:p w:rsidR="005C2091" w:rsidRDefault="00A86293">
      <w:r>
        <w:t xml:space="preserve">•    pružanje pomoći u poduzetničkim ulaganjima, </w:t>
      </w:r>
    </w:p>
    <w:p w:rsidR="005C2091" w:rsidRDefault="00A86293">
      <w:r>
        <w:lastRenderedPageBreak/>
        <w:t xml:space="preserve">•    gospodarska potpora povratku i održivom opstanku Hrvata kao konstitutivnog naroda u Bosni i Hercegovini, </w:t>
      </w:r>
    </w:p>
    <w:p w:rsidR="005C2091" w:rsidRDefault="00A86293">
      <w:r>
        <w:t xml:space="preserve">•    potpora hrvatskoj manjini u 12 europskih zemalja za očuvanje i njegovanje hrvatskekulture, baštine i jezika kao i jačanje hrvatskog kulturnog zajedništva </w:t>
      </w:r>
    </w:p>
    <w:p w:rsidR="005C2091" w:rsidRDefault="00A86293">
      <w:r>
        <w:t xml:space="preserve">•    gospodarska potpora i drugim hrvatskim zajednicama po potrebi, </w:t>
      </w:r>
    </w:p>
    <w:p w:rsidR="005C2091" w:rsidRDefault="00A86293">
      <w:r>
        <w:t xml:space="preserve">•    provođenje Strategije i predlaganje projekata i provedbenih planova, kao i nadzor njihove provedbe, </w:t>
      </w:r>
    </w:p>
    <w:p w:rsidR="005C2091" w:rsidRDefault="00A86293">
      <w:r>
        <w:t xml:space="preserve">•    vođenje propisanih evidencija o Hrvatima izvan Republike Hrvatske, </w:t>
      </w:r>
    </w:p>
    <w:p w:rsidR="005C2091" w:rsidRDefault="00A86293">
      <w:r>
        <w:t xml:space="preserve">•    planiranje i osiguranje financijskih sredstava za programe i projekte Hrvatima izvan Republike Hrvatske i </w:t>
      </w:r>
    </w:p>
    <w:p w:rsidR="005C2091" w:rsidRDefault="00A86293">
      <w:r>
        <w:t>•    drugi poslovi propisani posebnim zakonom.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03205-Središnji državni ured za Hrvate izvan Republike Hrvatske</w:t>
            </w:r>
          </w:p>
        </w:tc>
        <w:tc>
          <w:tcPr>
            <w:tcW w:w="2041" w:type="dxa"/>
            <w:vAlign w:val="top"/>
          </w:tcPr>
          <w:p w:rsidR="005C2091" w:rsidRDefault="00A86293">
            <w:pPr>
              <w:pStyle w:val="CellColumn"/>
              <w:jc w:val="right"/>
            </w:pPr>
            <w:r>
              <w:rPr>
                <w:rFonts w:cs="Times New Roman"/>
              </w:rPr>
              <w:t>51.138.786</w:t>
            </w:r>
          </w:p>
        </w:tc>
        <w:tc>
          <w:tcPr>
            <w:tcW w:w="2041" w:type="dxa"/>
            <w:vAlign w:val="top"/>
          </w:tcPr>
          <w:p w:rsidR="005C2091" w:rsidRDefault="00A86293">
            <w:pPr>
              <w:pStyle w:val="CellColumn"/>
              <w:jc w:val="right"/>
            </w:pPr>
            <w:r>
              <w:rPr>
                <w:rFonts w:cs="Times New Roman"/>
              </w:rPr>
              <w:t>49.801.474</w:t>
            </w:r>
          </w:p>
        </w:tc>
        <w:tc>
          <w:tcPr>
            <w:tcW w:w="2041" w:type="dxa"/>
            <w:vAlign w:val="top"/>
          </w:tcPr>
          <w:p w:rsidR="005C2091" w:rsidRDefault="00A86293">
            <w:pPr>
              <w:pStyle w:val="CellColumn"/>
              <w:jc w:val="right"/>
            </w:pPr>
            <w:r>
              <w:rPr>
                <w:rFonts w:cs="Times New Roman"/>
              </w:rPr>
              <w:t>50.051.315</w:t>
            </w:r>
          </w:p>
        </w:tc>
        <w:tc>
          <w:tcPr>
            <w:tcW w:w="1224" w:type="dxa"/>
            <w:vAlign w:val="top"/>
          </w:tcPr>
          <w:p w:rsidR="005C2091" w:rsidRDefault="00A86293">
            <w:pPr>
              <w:pStyle w:val="CellColumn"/>
              <w:jc w:val="right"/>
            </w:pPr>
            <w:r>
              <w:rPr>
                <w:rFonts w:cs="Times New Roman"/>
              </w:rPr>
              <w:t>100,5</w:t>
            </w:r>
          </w:p>
        </w:tc>
        <w:tc>
          <w:tcPr>
            <w:tcW w:w="1224" w:type="dxa"/>
            <w:vAlign w:val="top"/>
          </w:tcPr>
          <w:p w:rsidR="005C2091" w:rsidRDefault="00A86293">
            <w:pPr>
              <w:pStyle w:val="CellColumn"/>
              <w:jc w:val="right"/>
            </w:pPr>
            <w:r>
              <w:rPr>
                <w:rFonts w:cs="Times New Roman"/>
              </w:rPr>
              <w:t>97,9</w:t>
            </w:r>
          </w:p>
        </w:tc>
      </w:tr>
      <w:tr w:rsidR="005C2091">
        <w:trPr>
          <w:jc w:val="center"/>
        </w:trPr>
        <w:tc>
          <w:tcPr>
            <w:tcW w:w="1632" w:type="dxa"/>
          </w:tcPr>
          <w:p w:rsidR="005C2091" w:rsidRDefault="00A86293">
            <w:pPr>
              <w:jc w:val="left"/>
            </w:pPr>
            <w:r>
              <w:t>2306-PROGRAMI HRVATA IZVAN REPUBLIKE HRVATSKE</w:t>
            </w:r>
          </w:p>
        </w:tc>
        <w:tc>
          <w:tcPr>
            <w:tcW w:w="2041" w:type="dxa"/>
          </w:tcPr>
          <w:p w:rsidR="005C2091" w:rsidRDefault="00A86293">
            <w:pPr>
              <w:jc w:val="right"/>
            </w:pPr>
            <w:r>
              <w:t>51.138.786</w:t>
            </w:r>
          </w:p>
        </w:tc>
        <w:tc>
          <w:tcPr>
            <w:tcW w:w="2041" w:type="dxa"/>
          </w:tcPr>
          <w:p w:rsidR="005C2091" w:rsidRDefault="00A86293">
            <w:pPr>
              <w:jc w:val="right"/>
            </w:pPr>
            <w:r>
              <w:t>49.801.474</w:t>
            </w:r>
          </w:p>
        </w:tc>
        <w:tc>
          <w:tcPr>
            <w:tcW w:w="2041" w:type="dxa"/>
          </w:tcPr>
          <w:p w:rsidR="005C2091" w:rsidRDefault="00A86293">
            <w:pPr>
              <w:jc w:val="right"/>
            </w:pPr>
            <w:r>
              <w:t>50.051.315</w:t>
            </w:r>
          </w:p>
        </w:tc>
        <w:tc>
          <w:tcPr>
            <w:tcW w:w="1224" w:type="dxa"/>
          </w:tcPr>
          <w:p w:rsidR="005C2091" w:rsidRDefault="00A86293">
            <w:pPr>
              <w:jc w:val="right"/>
            </w:pPr>
            <w:r>
              <w:t>100,5</w:t>
            </w:r>
          </w:p>
        </w:tc>
        <w:tc>
          <w:tcPr>
            <w:tcW w:w="1224" w:type="dxa"/>
          </w:tcPr>
          <w:p w:rsidR="005C2091" w:rsidRDefault="00A86293">
            <w:pPr>
              <w:jc w:val="right"/>
            </w:pPr>
            <w:r>
              <w:t>97,9</w:t>
            </w:r>
          </w:p>
        </w:tc>
      </w:tr>
    </w:tbl>
    <w:p w:rsidR="005C2091" w:rsidRDefault="005C2091">
      <w:pPr>
        <w:jc w:val="left"/>
      </w:pPr>
    </w:p>
    <w:p w:rsidR="005C2091" w:rsidRDefault="00A86293">
      <w:pPr>
        <w:pStyle w:val="Heading3"/>
      </w:pPr>
      <w:r>
        <w:rPr>
          <w:rFonts w:cs="Times New Roman"/>
        </w:rPr>
        <w:t>2306 PROGRAMI HRVATA IZVAN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2306-PROGRAMI HRVATA IZVAN REPUBLIKE HRVATSKE</w:t>
            </w:r>
          </w:p>
        </w:tc>
        <w:tc>
          <w:tcPr>
            <w:tcW w:w="2041" w:type="dxa"/>
          </w:tcPr>
          <w:p w:rsidR="005C2091" w:rsidRDefault="00A86293">
            <w:pPr>
              <w:pStyle w:val="CellColumn"/>
              <w:jc w:val="right"/>
            </w:pPr>
            <w:r>
              <w:rPr>
                <w:rFonts w:cs="Times New Roman"/>
              </w:rPr>
              <w:t>51.138.786</w:t>
            </w:r>
          </w:p>
        </w:tc>
        <w:tc>
          <w:tcPr>
            <w:tcW w:w="2041" w:type="dxa"/>
          </w:tcPr>
          <w:p w:rsidR="005C2091" w:rsidRDefault="00A86293">
            <w:pPr>
              <w:pStyle w:val="CellColumn"/>
              <w:jc w:val="right"/>
            </w:pPr>
            <w:r>
              <w:rPr>
                <w:rFonts w:cs="Times New Roman"/>
              </w:rPr>
              <w:t>49.801.474</w:t>
            </w:r>
          </w:p>
        </w:tc>
        <w:tc>
          <w:tcPr>
            <w:tcW w:w="2041" w:type="dxa"/>
          </w:tcPr>
          <w:p w:rsidR="005C2091" w:rsidRDefault="00A86293">
            <w:pPr>
              <w:pStyle w:val="CellColumn"/>
              <w:jc w:val="right"/>
            </w:pPr>
            <w:r>
              <w:rPr>
                <w:rFonts w:cs="Times New Roman"/>
              </w:rPr>
              <w:t>50.051.315</w:t>
            </w:r>
          </w:p>
        </w:tc>
        <w:tc>
          <w:tcPr>
            <w:tcW w:w="1224" w:type="dxa"/>
          </w:tcPr>
          <w:p w:rsidR="005C2091" w:rsidRDefault="00A86293">
            <w:pPr>
              <w:pStyle w:val="CellColumn"/>
              <w:jc w:val="right"/>
            </w:pPr>
            <w:r>
              <w:rPr>
                <w:rFonts w:cs="Times New Roman"/>
              </w:rPr>
              <w:t>100,5</w:t>
            </w:r>
          </w:p>
        </w:tc>
        <w:tc>
          <w:tcPr>
            <w:tcW w:w="1224" w:type="dxa"/>
          </w:tcPr>
          <w:p w:rsidR="005C2091" w:rsidRDefault="00A86293">
            <w:pPr>
              <w:pStyle w:val="CellColumn"/>
              <w:jc w:val="right"/>
            </w:pPr>
            <w:r>
              <w:rPr>
                <w:rFonts w:cs="Times New Roman"/>
              </w:rPr>
              <w:t>97,9</w:t>
            </w:r>
          </w:p>
        </w:tc>
      </w:tr>
    </w:tbl>
    <w:p w:rsidR="005C2091" w:rsidRDefault="005C2091">
      <w:pPr>
        <w:jc w:val="left"/>
      </w:pPr>
    </w:p>
    <w:p w:rsidR="005C2091" w:rsidRDefault="00A86293">
      <w:r>
        <w:t>Kroz Program Hrvata izvan Republike Hrvatske,   a u svrhu očuvanja i jačanja hrvatskog identiteta i prosperiteta, kao i zaštite prava i interesa svih hrvatskih građana, ostvaruje se povezivanje Republike Hrvatske i Hrvata izvan Republike Hrvatske. Unutar svog djelokruga SDUHIRH štiti prava i interese Hrvata izvan Republike Hrvatske te skrbi za očuvanje i jačanje njihovog identiteta; radi na uspostavljanju, održavanju i promicanju veza s Hrvatima izvan Republike Hrvatske; radi na jačanju suradnje s Hrvatima izvan Republike Hrvatske te obavlja poslove koji se odnose na stvaranje uvjeta za povratak iseljenika/dijaspore u Republiku Hrvatsku i njihovo uključivanje u gospodarski i društveni život u Republici Hrvatskoj. U okviru svoje nadležnosti, SDUHIRH koordinira i nadzire aktivnosti između nadležnih ministarstava, drugih tijela državne uprave i ostalih nositelja suradnje Republike Hrvatske s Hrvatima izvan Republike Hrvatske.</w:t>
      </w:r>
    </w:p>
    <w:p w:rsidR="005C2091" w:rsidRDefault="00A86293">
      <w:pPr>
        <w:pStyle w:val="Heading8"/>
        <w:jc w:val="left"/>
      </w:pPr>
      <w:r>
        <w:lastRenderedPageBreak/>
        <w:t>Cilj 1. Skrb za očuvanje nacionalnog identiteta Hrvata izvan Republike Hrvatske te njihovo povezivanje s Republikom Hrvatskom</w:t>
      </w:r>
    </w:p>
    <w:p w:rsidR="005C2091" w:rsidRDefault="00A86293">
      <w:pPr>
        <w:pStyle w:val="Heading8"/>
        <w:jc w:val="left"/>
      </w:pPr>
      <w:r>
        <w:t>Opis provedbe cilja programa</w:t>
      </w:r>
    </w:p>
    <w:p w:rsidR="005C2091" w:rsidRDefault="00A86293">
      <w:r>
        <w:t xml:space="preserve">Skrb za očuvanje nacionalnog identiteta svih naraštaja Hrvata izvan Republike Hrvatske te njihovo povezivanje s Republikom Hrvatskom opći je cilj rada i ustroja SDUHIRH. S tim ciljem, jačat će se suradnja sa svim oblicima organiziranja Hrvata u svijetu (udruge, organizacije, institucije, kulturni centri, hrvatske katoličke misije i dr.), kao i pružati potpora tim institucijama u svrhu promicanja hrvatskoga jezika, kulture te znanstvene, gospodarske i druge suradnje. Podržavajući ove zajednice, Republika Hrvatska pridonosi njihovom razvoju i boljem položaju u zemljama nastanjenja uvažavajući pri tome sve posebnosti i različite potrebe hrvatskih zajednica izvan Republike Hrvatske. </w:t>
      </w:r>
    </w:p>
    <w:p w:rsidR="005C2091" w:rsidRDefault="00A86293">
      <w:r>
        <w:t xml:space="preserve">Navedeni cilj ostvaruje se jačanjem zaštite prava i interesa Hrvata izvan Republike Hrvatske te jačanjem njihovih zajednica. Skrb o Hrvatima kao jednakopravnom, suverenom i konstitutivnom narodu u Bosni i Hercegovini, uvažavanje statusa hrvatskih autohtonih manjina i ostvarivanje njihovih manjinskih prava te briga za hrvatsko iseljeništvo, njegov pravni, kulturni i jezični položaj, ustavna su obveza Republike Hrvatske. </w:t>
      </w:r>
    </w:p>
    <w:p w:rsidR="005C2091" w:rsidRDefault="00A86293">
      <w:r>
        <w:t>Ciljevi SDUHIRH ostvaruju se kroz slijedeće aktivnosti/projekte za koje se osiguravaju sredstva u Državnom proračunu.</w:t>
      </w:r>
    </w:p>
    <w:p w:rsidR="005C2091" w:rsidRDefault="00A86293">
      <w:pPr>
        <w:pStyle w:val="Heading4"/>
      </w:pPr>
      <w:r>
        <w:t>A565026 MEĐUNARODNI PROGRAM HRVATSKOG RADIJA "GLAS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A565026-MEĐUNARODNI PROGRAM HRVATSKOG RADIJA "GLAS HRVATSKE"</w:t>
            </w:r>
          </w:p>
        </w:tc>
        <w:tc>
          <w:tcPr>
            <w:tcW w:w="2041" w:type="dxa"/>
          </w:tcPr>
          <w:p w:rsidR="005C2091" w:rsidRDefault="00A86293">
            <w:pPr>
              <w:pStyle w:val="CellColumn"/>
              <w:jc w:val="right"/>
            </w:pPr>
            <w:r>
              <w:rPr>
                <w:rFonts w:cs="Times New Roman"/>
              </w:rPr>
              <w:t>10.000.000</w:t>
            </w:r>
          </w:p>
        </w:tc>
        <w:tc>
          <w:tcPr>
            <w:tcW w:w="2041" w:type="dxa"/>
          </w:tcPr>
          <w:p w:rsidR="005C2091" w:rsidRDefault="00A86293">
            <w:pPr>
              <w:pStyle w:val="CellColumn"/>
              <w:jc w:val="right"/>
            </w:pPr>
            <w:r>
              <w:rPr>
                <w:rFonts w:cs="Times New Roman"/>
              </w:rPr>
              <w:t>8.100.000</w:t>
            </w:r>
          </w:p>
        </w:tc>
        <w:tc>
          <w:tcPr>
            <w:tcW w:w="2041" w:type="dxa"/>
          </w:tcPr>
          <w:p w:rsidR="005C2091" w:rsidRDefault="00A86293">
            <w:pPr>
              <w:pStyle w:val="CellColumn"/>
              <w:jc w:val="right"/>
            </w:pPr>
            <w:r>
              <w:rPr>
                <w:rFonts w:cs="Times New Roman"/>
              </w:rPr>
              <w:t>8.100.000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81,0</w:t>
            </w:r>
          </w:p>
        </w:tc>
      </w:tr>
    </w:tbl>
    <w:p w:rsidR="005C2091" w:rsidRDefault="005C2091">
      <w:pPr>
        <w:jc w:val="left"/>
      </w:pPr>
    </w:p>
    <w:p w:rsidR="005C2091" w:rsidRDefault="00A86293">
      <w:pPr>
        <w:pStyle w:val="Heading8"/>
        <w:jc w:val="left"/>
      </w:pPr>
      <w:r>
        <w:t>Zakonske i druge pravne osnove</w:t>
      </w:r>
    </w:p>
    <w:p w:rsidR="005C2091" w:rsidRDefault="00A86293">
      <w:r>
        <w:t>Zakon o odnosima Republike Hrvatske s Hrvatima izvan Republike Hrvatske članak 34. (Narodne novine, 124/2011; 16/2012); Sporazum o provedbi programskih obaveza za Hrvate izvan RH, sklopljen između Hrvatske radiotelevizije i Državnog ureda, a temeljem Ugovora između Vlade RH i Hrvatske radiotelevizije (Zakon o Hrvatskoj radioteleviziji - II. PROGRAMSKA NAČELA I OBVEZE - članak 5., Anex ugovora između HRT-a i Vlade RH od 01. siječnja 2013. godine do 31. prosinca 2017. godine.).</w:t>
      </w:r>
    </w:p>
    <w:p w:rsidR="005C2091" w:rsidRDefault="00A86293">
      <w:pPr>
        <w:pStyle w:val="Heading8"/>
        <w:jc w:val="left"/>
      </w:pPr>
      <w:r>
        <w:t>Opis aktivnosti</w:t>
      </w:r>
    </w:p>
    <w:p w:rsidR="005C2091" w:rsidRDefault="00A86293">
      <w:r>
        <w:t xml:space="preserve">Glas Hrvatske je dvadeset i četiri satni međunarodni višejezični program Hrvatskoga radija namijenjen informiranju Hrvata koji žive izvan Republike Hrvatske, nacionalnih manjina u Hrvatskoj i međunarodne javnosti. Taj program sustavno i sveobuhvatno izvještava o aktualnim društvenim i političkim zbivanjima u domovini o hrvatskoj baštini, zbivanjima u kulturi te prenosi najvažnije sportske događaje itd. Cilj je stvaranje neovisne pozitivne slike o RH, promicanje Hrvatske u svijetu – turistički, politički i društveno, čuvanje hrvatske kulturne i jezične baštine, učenje hrvatskog jezika, i poticanje mladih na povratak i život u RH. </w:t>
      </w:r>
    </w:p>
    <w:p w:rsidR="005C2091" w:rsidRDefault="00A86293">
      <w:r>
        <w:t xml:space="preserve">Glas Hrvatske zajednički je projekt HRT-a i hrvatske Vlade. SDUHIRH surađuje sa Upravom HRT-a u kreiranju i provođenju zajedničkih projekata. </w:t>
      </w:r>
    </w:p>
    <w:p w:rsidR="005C2091" w:rsidRDefault="00A86293">
      <w:r>
        <w:t xml:space="preserve">Glas Hrvatske emitirao je sadržaje  na hrvatskome jeziku koje je preuzimao iz ostalih programa HR-a (HRl, HR2, HR3 i regionalni programi HR-a), ali je i sam dnevno proizvodio oko 125 minuta programa na hrvatskome jeziku te oko 70 minuta informativnog programa na engleskom, španjolskom i njemačkom jeziku. To uključuje jedanaest informativnih emisija  na tri strana jezika, u trajanju od 5 do 15 minuta, magazinske teme vikendom("features") na spomenutim jezicima  u trajanju od 5 do 15 minuta, u kojima se obrađuju teme iz kulture, znanosti, tradicije, o </w:t>
      </w:r>
      <w:r>
        <w:lastRenderedPageBreak/>
        <w:t xml:space="preserve">prirodnim ljepotama, turizmu ... Jednom tjedno emitirane su i kratke radijske forme: na njemačkom jeziku "Wochenchronik", na španjolskom "Cronica Semanal", kao tjedni pregledi aktualnih dogadaja u Hrvatskoj, te "Panorama deportivo", sportska kronika na španjolskom jeziku </w:t>
      </w:r>
    </w:p>
    <w:p w:rsidR="005C2091" w:rsidRDefault="00A86293">
      <w:r>
        <w:t xml:space="preserve">Dnevnim informativnim emisijama na engleskom, španjolskom i njemačkom jeziku svakodnevno se informirala međunarodna javnost i potomci hrvatskih iseljenika koji ne govore hrvatski jezik o svim važnim političkim, gospodarskim, kulturnim, znanstvenim i sportskim događajima u Hrvatskoj. Od regionalnih centara Radio Rijeke i Radio Osijeka preuzimane su desetominutne vijesti na talijanskom i mađarskom jeziku, a petominutne vijesti iz BiH radio je lokalni novinar (u produkciji Glasa Hrvatske). </w:t>
      </w:r>
    </w:p>
    <w:p w:rsidR="005C2091" w:rsidRDefault="00A86293">
      <w:r>
        <w:t xml:space="preserve">Od programa  na hrvatskome jeziku, izdvajamo specijalizirane emisije koje govore o životu hrvatskog iseljeništva i njihovih potomaka: Ovdje Hrvatska, a tko je tamo?, emisija posvećena aktivnostima hrvatskih zajednica u svijetu; Na valovima staroga kraja, emisija koja prati život Hrvata kao autohtonog naroda u susjednim zemljama; Hrvatska slikovnica koja obrađuje događaje i specifičnosti iz hrvatske kulture, znanosti, povijesti i suvremenosti; Živjeti put nade,  religijska emisija u čijem je fokusu vjerski život Hrvata u svijetu i djelovanje hrvatskih katoličkih misija.  </w:t>
      </w:r>
    </w:p>
    <w:p w:rsidR="005C2091" w:rsidRDefault="00A86293">
      <w:r>
        <w:t xml:space="preserve">Središnja radijska emisija Hrvatima izvan domovine, koja se istodobno izravno emitira i na HRl, kruna je cjelokupnog tjednog programskog rada i sadržaja koje prati međunarodni kanal Glas Hrvatske. U sklopu spomenute radijske emisije, od jeseni 2016. godine, počelo je emitiranje dva nova multimedijska serijala Otkrivamo Hrvatsku i Hrvatska, moj izbor, koje su pokrenute u suradnji s SDUHIRH i Dokumentarnim programom Hrvatske televizije (HRT – HTV). To je prvi put da se usporedno stvara televizijski, radijski i mrežni sadržaj, odnosno sadržaj prilagođen trima platformama: emitirat će se na Četvrtome programu Hrvatske televizije (HRT – HTV 4), međunarodnome radijskom programu HRT − Glas Hrvatske, mrežnoj stranici Hrvatske radiotelevizije www.hrt.hr  te putem multimedijske platforme HRTi.  </w:t>
      </w:r>
    </w:p>
    <w:p w:rsidR="005C2091" w:rsidRDefault="00A86293">
      <w:r>
        <w:t>Emisije Otkrivamo Hrvatsku i Hrvatska, moj izbor rezultat su suradnje Hrvatske radiotelevizije i SDUHIRH usmjerene širenju programskih sadržaja namijenjenih Hrvatima izvan Hrvatske i međunarodnoj javnosti, a koji se već 13 godina proizvode u okviru međunarodnoga radijskog programa HRT – Glas Hrvatske na hrvatskome, engleskome, njemačkome i španjolskome jeziku.</w:t>
      </w:r>
    </w:p>
    <w:p w:rsidR="005C2091" w:rsidRDefault="00A86293">
      <w:pPr>
        <w:pStyle w:val="Heading4"/>
      </w:pPr>
      <w:r>
        <w:t>A570036 PROIZVODNJA TV PROGRAMSKIH SADRŽAJA ZA MEĐUNARODNO EMITIRANJE</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A570036-PROIZVODNJA TV PROGRAMSKIH SADRŽAJA ZA MEĐUNARODNO EMITIRANJE</w:t>
            </w:r>
          </w:p>
        </w:tc>
        <w:tc>
          <w:tcPr>
            <w:tcW w:w="2041" w:type="dxa"/>
          </w:tcPr>
          <w:p w:rsidR="005C2091" w:rsidRDefault="00A86293">
            <w:pPr>
              <w:pStyle w:val="CellColumn"/>
              <w:jc w:val="right"/>
            </w:pPr>
            <w:r>
              <w:rPr>
                <w:rFonts w:cs="Times New Roman"/>
              </w:rPr>
              <w:t>3.300.000</w:t>
            </w:r>
          </w:p>
        </w:tc>
        <w:tc>
          <w:tcPr>
            <w:tcW w:w="2041" w:type="dxa"/>
          </w:tcPr>
          <w:p w:rsidR="005C2091" w:rsidRDefault="00A86293">
            <w:pPr>
              <w:pStyle w:val="CellColumn"/>
              <w:jc w:val="right"/>
            </w:pPr>
            <w:r>
              <w:rPr>
                <w:rFonts w:cs="Times New Roman"/>
              </w:rPr>
              <w:t>2.700.000</w:t>
            </w:r>
          </w:p>
        </w:tc>
        <w:tc>
          <w:tcPr>
            <w:tcW w:w="2041" w:type="dxa"/>
          </w:tcPr>
          <w:p w:rsidR="005C2091" w:rsidRDefault="00A86293">
            <w:pPr>
              <w:pStyle w:val="CellColumn"/>
              <w:jc w:val="right"/>
            </w:pPr>
            <w:r>
              <w:rPr>
                <w:rFonts w:cs="Times New Roman"/>
              </w:rPr>
              <w:t>2.700.000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81,8</w:t>
            </w:r>
          </w:p>
        </w:tc>
      </w:tr>
    </w:tbl>
    <w:p w:rsidR="005C2091" w:rsidRDefault="005C2091">
      <w:pPr>
        <w:jc w:val="left"/>
      </w:pPr>
    </w:p>
    <w:p w:rsidR="005C2091" w:rsidRDefault="00A86293">
      <w:pPr>
        <w:pStyle w:val="Heading8"/>
        <w:jc w:val="left"/>
      </w:pPr>
      <w:r>
        <w:t>Zakonske i druge pravne osnove</w:t>
      </w:r>
    </w:p>
    <w:p w:rsidR="005C2091" w:rsidRDefault="00A86293">
      <w:r>
        <w:t>Zakon o odnosima Republike Hrvatske s Hrvatima izvan Republike Hrvatske članak 34. (Narodne novine, 124/2011; 16/2012); Sporazum o provedbi programskih obaveza za Hrvate izvan RH, sklopljen između Hrvatske radiotelevizije i Državnog ureda, a temeljem Ugovora između Vlade RH i Hrvatske radiotelevizije (Zakon o Hrvatskoj radioteleviziji - II. PROGRAMSKA NAČELA I OBVEZE - članak 5., Anex ugovora između HRT-a i Vlade RH od 01. siječnja 2013. godine do 31. prosinca 2017. godine.).</w:t>
      </w:r>
    </w:p>
    <w:p w:rsidR="005C2091" w:rsidRDefault="00A86293">
      <w:pPr>
        <w:pStyle w:val="Heading8"/>
        <w:jc w:val="left"/>
      </w:pPr>
      <w:r>
        <w:t>Opis aktivnosti</w:t>
      </w:r>
    </w:p>
    <w:p w:rsidR="005C2091" w:rsidRDefault="00A86293">
      <w:r>
        <w:t xml:space="preserve">Riječ je o proizvodnji zasebnog te emitiranja izbora iz redovitog televizijskog programa vlastite produkcije HTV-a koji donosi najiscrpnije informacije o zbivanjima u Hrvatskoj putem internetske distribucije viših prijenosnih brzina i standarda emitiranja </w:t>
      </w:r>
    </w:p>
    <w:p w:rsidR="005C2091" w:rsidRDefault="00A86293">
      <w:r>
        <w:lastRenderedPageBreak/>
        <w:t xml:space="preserve">Program je namijenjen hrvatskim iseljenicima diljem svijeta. Cilj je stvaranje neovisne pozitivne slike o RH, političkog i društvenog ugleda Hrvatske, stvaranje poželjne gospodarske destinacije, napraviti globalni brand te stvoriti čvrste veze s Hrvatima izvan Republike Hrvatske. </w:t>
      </w:r>
    </w:p>
    <w:p w:rsidR="005C2091" w:rsidRDefault="00A86293">
      <w:r>
        <w:t xml:space="preserve">Stvaranjem realne slike o Hrvatskoj ovaj multimedijalni program pozitivno utječe na ulaganja Hrvata izvan Republike Hrvatske, na bolje rezultate hrvatskog gospodarstva i turizma, na poboljšanje demografskih vrijednosti te Hrvatima u inozemstvu približava kulturni i društveni život Republike Hrvatske i neizravno potiče na povratak. </w:t>
      </w:r>
    </w:p>
    <w:p w:rsidR="005C2091" w:rsidRDefault="00A86293">
      <w:r>
        <w:t xml:space="preserve">Hrvatska radiotelevizija, kao javna ustanova, na temelju svojih zakonskih obveza, izrađuje plan i program rada za radio, televiziju i javne radiodifuzijske usluge za Hrvate izvan Republike Hrvatske te usklađuje termine emitiranja i čini ih dostupnima. </w:t>
      </w:r>
    </w:p>
    <w:p w:rsidR="005C2091" w:rsidRDefault="00A86293">
      <w:r>
        <w:t xml:space="preserve">Programski sadržaji su prošireni sa dva  nova dokumentarna polusatna serijala:   </w:t>
      </w:r>
    </w:p>
    <w:p w:rsidR="005C2091" w:rsidRDefault="00A86293">
      <w:r>
        <w:t>•</w:t>
      </w:r>
      <w:r>
        <w:tab/>
        <w:t xml:space="preserve">Otkrivamo Hrvatsku – serijal emisija o kulturnoj i  prirodnoj baštini RH   </w:t>
      </w:r>
    </w:p>
    <w:p w:rsidR="005C2091" w:rsidRDefault="00A86293">
      <w:r>
        <w:t>•</w:t>
      </w:r>
      <w:r>
        <w:tab/>
        <w:t xml:space="preserve">Hrvatska je moj izbor – serijal emisija o povratnicima – Hrvatima 1.2. i 3.generacije hrvatskog iseljeništva –  u RH.  </w:t>
      </w:r>
    </w:p>
    <w:p w:rsidR="005C2091" w:rsidRDefault="00A86293">
      <w:r>
        <w:t xml:space="preserve">Hrvatska radiotelevizija u potpunosti je zamijenila međunarodni televizijski kanal Slika Hrvatske novom mutimedijskom OTT (eng. Over the top) platformom – HRTi.  Nova platforma omogućuje nelinearno emitiranje putem javne otvorene internetske infrastrukture kojom se se sadržaj brže i kvalitetnije plasira korisnicima umjesto dosadašnjeg  odgođenog i snimljenog repriznog programa (3x8).  </w:t>
      </w:r>
    </w:p>
    <w:p w:rsidR="005C2091" w:rsidRDefault="00A86293">
      <w:r>
        <w:t xml:space="preserve">Ostvaren je izuzetan pomak u broju korisnika sadržaja putem multimedijske platforme u odnosu na dosadašnju satelitski kodiranu uslugu. Usporedbe radi u listopadu 2016. godine zabilježeno je više od 113.000 korisnika izvan Republike Hrvatske dok je Slika Hrvatske bilježila najviše do 10.000 korisnika  </w:t>
      </w:r>
    </w:p>
    <w:p w:rsidR="005C2091" w:rsidRDefault="00A86293">
      <w:r>
        <w:t xml:space="preserve">Uz najiscrpnije informacije o zbivanjima u Hrvatskoj koje se emitiraju na platformi HTV 4  novi programski sadržaji doprinose boljem informiranju Hrvata diljem svijeta o hrvatskoj kulturnoj, tradicijskoj, povijesnoj i prirodnoj baštini te čvršćem povezivanju s matičnom domovinom. Cilj novih programskih sadržaja je i promicanje hrvatske kulturne, tradicijske, prirodne, turističke i inih posebnosti.  </w:t>
      </w:r>
    </w:p>
    <w:p w:rsidR="005C2091" w:rsidRDefault="00A86293">
      <w:r>
        <w:t xml:space="preserve">Napominjemo da  HTV 4, uz informativne, emitiraa i obrazovne, dokumentarne i zabavne sadržaje proizvedene i odabrane za Hrvate izvan Republike Hrvatske. </w:t>
      </w:r>
    </w:p>
    <w:p w:rsidR="005C2091" w:rsidRDefault="00A86293">
      <w:r>
        <w:t xml:space="preserve">Web portal namijenjen Hrvatima u svijetu i inozemnoj javnosti s adresom www.glashrvatske.hrt.hr , koji ima 3 inačice na engleskom, njemačkom i španjolskom jeziku: www.voiceofcroatia.hrt.hr , www.stimmekroatiens.hrt.hr  i www.vozdecroacia.hrt.hr , pokrenut u skladu sa zakonskom obvezom početkom 2014. godine redovito prati svakodnevne vijesti na engleskom, njemačkom i španjolskom jeziku i radijske emisije na hrvatskom jeziku, te nudi multimedijske višejezične, interaktivne, internacionalno vrijedne sadržaje preuzete od HTV-a i prilagođene internetskom mediju. </w:t>
      </w:r>
    </w:p>
    <w:p w:rsidR="005C2091" w:rsidRDefault="00A86293">
      <w:r>
        <w:t xml:space="preserve">Na web stranicama se svakodnevno mogu pogledati novi video sadržaji, preslušati radio sadržaji, ali i radijski program koji se preko stream-a  emitira 24 sata na dan. </w:t>
      </w:r>
    </w:p>
    <w:p w:rsidR="005C2091" w:rsidRDefault="00A86293">
      <w:r>
        <w:t xml:space="preserve">Posebna pozornost na web portalu poklanja se interaktivnosti, tj. izravnom komuniciranju s korisnicima koji sve više stječu navike da šalju vlastite informacije, fotografije, kratke videe i tako se zajednički pridonosi realnom umrežavanju domovinske i iseljene Hrvatske u relanom vremenu. Tome znatno pridonosi i živa aktivnost na društvenim mrežama. </w:t>
      </w:r>
    </w:p>
    <w:p w:rsidR="005C2091" w:rsidRDefault="00A86293">
      <w:r>
        <w:t xml:space="preserve">Primjetan je znatan porast broja videosadržaja, te njegove kvalitete s obzirom na usavršavanje multimedijskih novostečenih znanja cijelog programskog tima.  </w:t>
      </w:r>
    </w:p>
    <w:p w:rsidR="005C2091" w:rsidRDefault="00A86293">
      <w:r>
        <w:t>I dalje se bilježi stalni porast aktivnosti i kvalitete sadržaja koje novinari objavljuju na društvenim mrežama te je uočljiv razvoj interakcije s korisnicima čiji broj se sad broji u tisućama.</w:t>
      </w:r>
    </w:p>
    <w:p w:rsidR="005C2091" w:rsidRDefault="00A86293">
      <w:pPr>
        <w:pStyle w:val="Heading4"/>
      </w:pPr>
      <w:r>
        <w:t>A862001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A862001-ADMINISTRACIJA I UPRAVLJANJE</w:t>
            </w:r>
          </w:p>
        </w:tc>
        <w:tc>
          <w:tcPr>
            <w:tcW w:w="2041" w:type="dxa"/>
          </w:tcPr>
          <w:p w:rsidR="005C2091" w:rsidRDefault="00A86293">
            <w:pPr>
              <w:pStyle w:val="CellColumn"/>
              <w:jc w:val="right"/>
            </w:pPr>
            <w:r>
              <w:rPr>
                <w:rFonts w:cs="Times New Roman"/>
              </w:rPr>
              <w:t>6.497.903</w:t>
            </w:r>
          </w:p>
        </w:tc>
        <w:tc>
          <w:tcPr>
            <w:tcW w:w="2041" w:type="dxa"/>
          </w:tcPr>
          <w:p w:rsidR="005C2091" w:rsidRDefault="00A86293">
            <w:pPr>
              <w:pStyle w:val="CellColumn"/>
              <w:jc w:val="right"/>
            </w:pPr>
            <w:r>
              <w:rPr>
                <w:rFonts w:cs="Times New Roman"/>
              </w:rPr>
              <w:t>7.909.982</w:t>
            </w:r>
          </w:p>
        </w:tc>
        <w:tc>
          <w:tcPr>
            <w:tcW w:w="2041" w:type="dxa"/>
          </w:tcPr>
          <w:p w:rsidR="005C2091" w:rsidRDefault="00A86293">
            <w:pPr>
              <w:pStyle w:val="CellColumn"/>
              <w:jc w:val="right"/>
            </w:pPr>
            <w:r>
              <w:rPr>
                <w:rFonts w:cs="Times New Roman"/>
              </w:rPr>
              <w:t>7.463.491</w:t>
            </w:r>
          </w:p>
        </w:tc>
        <w:tc>
          <w:tcPr>
            <w:tcW w:w="1224" w:type="dxa"/>
          </w:tcPr>
          <w:p w:rsidR="005C2091" w:rsidRDefault="00A86293">
            <w:pPr>
              <w:pStyle w:val="CellColumn"/>
              <w:jc w:val="right"/>
            </w:pPr>
            <w:r>
              <w:rPr>
                <w:rFonts w:cs="Times New Roman"/>
              </w:rPr>
              <w:t>94,4</w:t>
            </w:r>
          </w:p>
        </w:tc>
        <w:tc>
          <w:tcPr>
            <w:tcW w:w="1224" w:type="dxa"/>
          </w:tcPr>
          <w:p w:rsidR="005C2091" w:rsidRDefault="00A86293">
            <w:pPr>
              <w:pStyle w:val="CellColumn"/>
              <w:jc w:val="right"/>
            </w:pPr>
            <w:r>
              <w:rPr>
                <w:rFonts w:cs="Times New Roman"/>
              </w:rPr>
              <w:t>114,9</w:t>
            </w:r>
          </w:p>
        </w:tc>
      </w:tr>
    </w:tbl>
    <w:p w:rsidR="005C2091" w:rsidRDefault="005C2091">
      <w:pPr>
        <w:jc w:val="left"/>
      </w:pPr>
    </w:p>
    <w:p w:rsidR="005C2091" w:rsidRDefault="00A86293">
      <w:pPr>
        <w:pStyle w:val="Heading8"/>
        <w:jc w:val="left"/>
      </w:pPr>
      <w:r>
        <w:t>Zakonske i druge pravne osnove</w:t>
      </w:r>
    </w:p>
    <w:p w:rsidR="005C2091" w:rsidRDefault="00A86293">
      <w:r>
        <w:t>Zakon o odnosima Republike Hrvatske s Hrvatima izvan Republike Hrvatske čl. 12., 13., 14. i 15. (Narodne novine 124/11, 16/2012); Uredba o unutarnjem ustrojstvu Državnog ureda za Hrvate izvan Republike Hrvatske (Narodne novine 52/2012)</w:t>
      </w:r>
    </w:p>
    <w:p w:rsidR="005C2091" w:rsidRDefault="00A86293">
      <w:pPr>
        <w:pStyle w:val="Heading8"/>
        <w:jc w:val="left"/>
      </w:pPr>
      <w:r>
        <w:t>Opis aktivnosti</w:t>
      </w:r>
    </w:p>
    <w:p w:rsidR="005C2091" w:rsidRDefault="00A86293">
      <w:r>
        <w:t xml:space="preserve">Sredstva na ovoj aktivnosti utrošena su za redovno funkcioniranje SDUHIRH. </w:t>
      </w:r>
    </w:p>
    <w:p w:rsidR="005C2091" w:rsidRDefault="00A86293">
      <w:r>
        <w:t xml:space="preserve">Tijekom 2016. godine SDUHIRH je cijelo vrijeme poslovao na lokaciji Trg hrvatskih velikana 6, u prostorijama na I i III etaži koje su mu Odlukom Agencije za upravljanje državnom imovinom od 25. siječnja 2013. godine dodijeljene na korištenje. </w:t>
      </w:r>
    </w:p>
    <w:p w:rsidR="005C2091" w:rsidRDefault="00A86293">
      <w:r>
        <w:t xml:space="preserve">SDUHIRH je imao 59 sistematiziranih radnih mjesta od čega je koncem godine bilo popunjeno 31. </w:t>
      </w:r>
    </w:p>
    <w:p w:rsidR="005C2091" w:rsidRDefault="00A86293">
      <w:r>
        <w:t xml:space="preserve">SDUHIRH samostalno obavlja sve poslove administracije i upravljanja i to: </w:t>
      </w:r>
    </w:p>
    <w:p w:rsidR="005C2091" w:rsidRDefault="00A86293">
      <w:r>
        <w:t>•</w:t>
      </w:r>
      <w:r>
        <w:tab/>
        <w:t xml:space="preserve">upravljanja i razvoja ljudskih potencijala </w:t>
      </w:r>
    </w:p>
    <w:p w:rsidR="005C2091" w:rsidRDefault="00A86293">
      <w:r>
        <w:t>•</w:t>
      </w:r>
      <w:r>
        <w:tab/>
        <w:t xml:space="preserve">pravne i druge opće poslove i poslove pisarnice </w:t>
      </w:r>
    </w:p>
    <w:p w:rsidR="005C2091" w:rsidRDefault="00A86293">
      <w:r>
        <w:t>•</w:t>
      </w:r>
      <w:r>
        <w:tab/>
        <w:t xml:space="preserve">financijsko-planske i računovodstvene poslove </w:t>
      </w:r>
    </w:p>
    <w:p w:rsidR="005C2091" w:rsidRDefault="00A86293">
      <w:r>
        <w:t>•</w:t>
      </w:r>
      <w:r>
        <w:tab/>
        <w:t xml:space="preserve">centralni obračun plaća </w:t>
      </w:r>
    </w:p>
    <w:p w:rsidR="005C2091" w:rsidRDefault="00A86293">
      <w:r>
        <w:t>•</w:t>
      </w:r>
      <w:r>
        <w:tab/>
        <w:t>poslovanje u riznici</w:t>
      </w:r>
    </w:p>
    <w:p w:rsidR="005C2091" w:rsidRDefault="00A86293">
      <w:pPr>
        <w:pStyle w:val="Heading4"/>
      </w:pPr>
      <w:r>
        <w:t>A862006 PROGRAMI HRVATA IZVAN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A862006-PROGRAMI HRVATA IZVAN REPUBLIKE HRVATSKE</w:t>
            </w:r>
          </w:p>
        </w:tc>
        <w:tc>
          <w:tcPr>
            <w:tcW w:w="2041" w:type="dxa"/>
          </w:tcPr>
          <w:p w:rsidR="005C2091" w:rsidRDefault="00A86293">
            <w:pPr>
              <w:pStyle w:val="CellColumn"/>
              <w:jc w:val="right"/>
            </w:pPr>
            <w:r>
              <w:rPr>
                <w:rFonts w:cs="Times New Roman"/>
              </w:rPr>
              <w:t>1.436.008</w:t>
            </w:r>
          </w:p>
        </w:tc>
        <w:tc>
          <w:tcPr>
            <w:tcW w:w="2041" w:type="dxa"/>
          </w:tcPr>
          <w:p w:rsidR="005C2091" w:rsidRDefault="00A86293">
            <w:pPr>
              <w:pStyle w:val="CellColumn"/>
              <w:jc w:val="right"/>
            </w:pPr>
            <w:r>
              <w:rPr>
                <w:rFonts w:cs="Times New Roman"/>
              </w:rPr>
              <w:t>1.860.791</w:t>
            </w:r>
          </w:p>
        </w:tc>
        <w:tc>
          <w:tcPr>
            <w:tcW w:w="2041" w:type="dxa"/>
          </w:tcPr>
          <w:p w:rsidR="005C2091" w:rsidRDefault="00A86293">
            <w:pPr>
              <w:pStyle w:val="CellColumn"/>
              <w:jc w:val="right"/>
            </w:pPr>
            <w:r>
              <w:rPr>
                <w:rFonts w:cs="Times New Roman"/>
              </w:rPr>
              <w:t>1.471.910</w:t>
            </w:r>
          </w:p>
        </w:tc>
        <w:tc>
          <w:tcPr>
            <w:tcW w:w="1224" w:type="dxa"/>
          </w:tcPr>
          <w:p w:rsidR="005C2091" w:rsidRDefault="00A86293">
            <w:pPr>
              <w:pStyle w:val="CellColumn"/>
              <w:jc w:val="right"/>
            </w:pPr>
            <w:r>
              <w:rPr>
                <w:rFonts w:cs="Times New Roman"/>
              </w:rPr>
              <w:t>79,1</w:t>
            </w:r>
          </w:p>
        </w:tc>
        <w:tc>
          <w:tcPr>
            <w:tcW w:w="1224" w:type="dxa"/>
          </w:tcPr>
          <w:p w:rsidR="005C2091" w:rsidRDefault="00A86293">
            <w:pPr>
              <w:pStyle w:val="CellColumn"/>
              <w:jc w:val="right"/>
            </w:pPr>
            <w:r>
              <w:rPr>
                <w:rFonts w:cs="Times New Roman"/>
              </w:rPr>
              <w:t>102,5</w:t>
            </w:r>
          </w:p>
        </w:tc>
      </w:tr>
    </w:tbl>
    <w:p w:rsidR="005C2091" w:rsidRDefault="005C2091">
      <w:pPr>
        <w:jc w:val="left"/>
      </w:pPr>
    </w:p>
    <w:p w:rsidR="005C2091" w:rsidRDefault="00A86293">
      <w:pPr>
        <w:pStyle w:val="Heading8"/>
        <w:jc w:val="left"/>
      </w:pPr>
      <w:r>
        <w:t>Zakonske i druge pravne osnove</w:t>
      </w:r>
    </w:p>
    <w:p w:rsidR="005C2091" w:rsidRDefault="00A86293">
      <w:r>
        <w:t>Zakon o odnosima Republike Hrvatske s Hrvatima izvan Republike Hrvatske čl. 9., 13., 35., 46. i 59. (Narodne novine 124/11, 16/2012)</w:t>
      </w:r>
    </w:p>
    <w:p w:rsidR="005C2091" w:rsidRDefault="00A86293">
      <w:pPr>
        <w:pStyle w:val="Heading8"/>
        <w:jc w:val="left"/>
      </w:pPr>
      <w:r>
        <w:t>Opis aktivnosti</w:t>
      </w:r>
    </w:p>
    <w:p w:rsidR="005C2091" w:rsidRDefault="00A86293">
      <w:r>
        <w:t xml:space="preserve">Temeljem provedenog Javnog poziva za prijavu posebnih potreba i projekata od interesa za Hrvate izvan Republike Hrvatske dodijeljena su sredstva za programe i projekte Hrvatima izvan Republike Hrvatske kao što su: razne kulturne manifestacije, znanstveno istraživački projekti, završni građevinski radovi na obnovi vjerskih i kulturnih objekata, potpora tiskanju knjiga, gospodarski projekti, i sl. </w:t>
      </w:r>
    </w:p>
    <w:p w:rsidR="005C2091" w:rsidRDefault="00A86293">
      <w:r>
        <w:t xml:space="preserve">Sredstvima na ovoj aktivnosti financirani su sljedeći projekti: </w:t>
      </w:r>
    </w:p>
    <w:p w:rsidR="005C2091" w:rsidRDefault="00A86293">
      <w:r>
        <w:t>•</w:t>
      </w:r>
      <w:r>
        <w:tab/>
        <w:t xml:space="preserve">Sufinanciranje  rada  Centra  hrvatskih  studija  Sveučilišta  Macquarie  u  Sydneyu, Australija (50.000,00 AUD) (Sporazum Vlade RH, Ministarstva znanosti, obrazovanja i sporta, Središnjeg državnog ureda za Hrvate izvan Republike Hrvatske i Sveučilišta Macquarie u Sydneyu) u iznosu od 250.500,00 kn </w:t>
      </w:r>
    </w:p>
    <w:p w:rsidR="005C2091" w:rsidRDefault="00A86293">
      <w:r>
        <w:lastRenderedPageBreak/>
        <w:t>•</w:t>
      </w:r>
      <w:r>
        <w:tab/>
        <w:t xml:space="preserve">Potpora projektu Izgradnja dvorišta za odmor i sport Hrvatskog vrtića, osnovne škole, gimnazije i učeničkog doma "Miroslav Krleža" u Pečuhu Mađarskoj (Zaključak sa XI. I XII.  Zasjedanja  hrvatsko-mađarskog  Mješovitog  odbora  za  manjine)  u  iznosu  od 263.550,00 kn </w:t>
      </w:r>
    </w:p>
    <w:p w:rsidR="005C2091" w:rsidRDefault="00A86293">
      <w:r>
        <w:t>•</w:t>
      </w:r>
      <w:r>
        <w:tab/>
        <w:t xml:space="preserve">Potpore temeljem Odluke nakon provedenog 2. Javnog poziva za prijavu posebnih potreba i projekata od interesa za Hrvate izvan RH (raspisanog u 2015.) u iznosu od 105.000,00 kn </w:t>
      </w:r>
    </w:p>
    <w:p w:rsidR="005C2091" w:rsidRDefault="00A86293">
      <w:r>
        <w:t>•</w:t>
      </w:r>
      <w:r>
        <w:tab/>
        <w:t xml:space="preserve">Potpore temeljem Odluke nakon provedenog 1. Javnog poziva za prijavu posebnih potreba i projekata od interesa za Hrvate izvan RH u 2016. u iznosu od 306.507,10 kn </w:t>
      </w:r>
    </w:p>
    <w:p w:rsidR="005C2091" w:rsidRDefault="00A86293">
      <w:r>
        <w:t>•</w:t>
      </w:r>
      <w:r>
        <w:tab/>
        <w:t xml:space="preserve">Potpore temeljem Odluke nakon provedenog 2. Javnog poziva zaprijavu posebnih potreba i projekata od interesa za Hrvate izvan RH u 2016. u iznosu od 274.566,49 kn </w:t>
      </w:r>
    </w:p>
    <w:p w:rsidR="005C2091" w:rsidRDefault="00A86293">
      <w:r>
        <w:t>•</w:t>
      </w:r>
      <w:r>
        <w:tab/>
        <w:t>i drugi programi i projekti.</w:t>
      </w:r>
    </w:p>
    <w:p w:rsidR="005C2091" w:rsidRDefault="00A86293">
      <w:pPr>
        <w:pStyle w:val="Heading4"/>
      </w:pPr>
      <w:r>
        <w:t>A862018 PROGRAMI POMOĆI HRVATSKOJ MANJINI U INOZEMSTVU -  MEĐUNARODNA RAZVOJNA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A862018-PROGRAMI POMOĆI HRVATSKOJ MANJINI U INOZEMSTVU -  MEĐUNARODNA RAZVOJNA SURADNJA</w:t>
            </w:r>
          </w:p>
        </w:tc>
        <w:tc>
          <w:tcPr>
            <w:tcW w:w="2041" w:type="dxa"/>
          </w:tcPr>
          <w:p w:rsidR="005C2091" w:rsidRDefault="00A86293">
            <w:pPr>
              <w:pStyle w:val="CellColumn"/>
              <w:jc w:val="right"/>
            </w:pPr>
            <w:r>
              <w:rPr>
                <w:rFonts w:cs="Times New Roman"/>
              </w:rPr>
              <w:t>1.505.434</w:t>
            </w:r>
          </w:p>
        </w:tc>
        <w:tc>
          <w:tcPr>
            <w:tcW w:w="2041" w:type="dxa"/>
          </w:tcPr>
          <w:p w:rsidR="005C2091" w:rsidRDefault="00A86293">
            <w:pPr>
              <w:pStyle w:val="CellColumn"/>
              <w:jc w:val="right"/>
            </w:pPr>
            <w:r>
              <w:rPr>
                <w:rFonts w:cs="Times New Roman"/>
              </w:rPr>
              <w:t>1.508.000</w:t>
            </w:r>
          </w:p>
        </w:tc>
        <w:tc>
          <w:tcPr>
            <w:tcW w:w="2041" w:type="dxa"/>
          </w:tcPr>
          <w:p w:rsidR="005C2091" w:rsidRDefault="00A86293">
            <w:pPr>
              <w:pStyle w:val="CellColumn"/>
              <w:jc w:val="right"/>
            </w:pPr>
            <w:r>
              <w:rPr>
                <w:rFonts w:cs="Times New Roman"/>
              </w:rPr>
              <w:t>1.504.306</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99,9</w:t>
            </w:r>
          </w:p>
        </w:tc>
      </w:tr>
    </w:tbl>
    <w:p w:rsidR="005C2091" w:rsidRDefault="005C2091">
      <w:pPr>
        <w:jc w:val="left"/>
      </w:pPr>
    </w:p>
    <w:p w:rsidR="005C2091" w:rsidRDefault="00A86293">
      <w:pPr>
        <w:pStyle w:val="Heading8"/>
        <w:jc w:val="left"/>
      </w:pPr>
      <w:r>
        <w:t>Zakonske i druge pravne osnove</w:t>
      </w:r>
    </w:p>
    <w:p w:rsidR="005C2091" w:rsidRDefault="00A86293">
      <w:r>
        <w:t>Ustav Republike Hrvatske, Zakon o odnosima Republike Hrvatske s Hrvatima izvan Republike Hrvatske, članci 6. i 13. (Naroden novine 124/2011; 16/2012) te potpisani sporazumi između Republike Hrvatske i zemalja u kojima prebiva hrvatska manjina (Sporazum između Republike Hrvatske i Republike Mađarske o zaštiti mađarske manjine u RH i hrvatske manjine u Mađarskoj (Narodne novine – Međunarodni ugovori, br 8/1995.); Sporazum između Republike Hrvatske i Srbije i Crne Gore o zaštiti prava hrvatske manjine u Srbiji i Crnoj Gori i srpske i crnogorske manjine u Republici Hrvatskoj (Narodne novine – Međunarodni ugovori, br 3/2005); Sporazum između Republike Hrvatske i Republike Makedonije o zaštiti prava hrvatske manjine u Republici Makedoniji i makedonske manjine u Republici Hrvatskoj (Narodne novine – Međunarodni ugovori, br. 3/2008.); Sporazum između Republike Hrvatske i Crne Gore  o zaštiti prava hrvatske manjine u Crnoj Gori i crnogorske manjine u Republici Hrvatskoj (Narodne novine – Međunarodni ugovori, br 9/2009)).</w:t>
      </w:r>
    </w:p>
    <w:p w:rsidR="005C2091" w:rsidRDefault="00A86293">
      <w:pPr>
        <w:pStyle w:val="Heading8"/>
        <w:jc w:val="left"/>
      </w:pPr>
      <w:r>
        <w:t>Opis aktivnosti</w:t>
      </w:r>
    </w:p>
    <w:p w:rsidR="005C2091" w:rsidRDefault="00A86293">
      <w:r>
        <w:t xml:space="preserve">Program se odnosi na financiranje hrvatske manjinske zajednice u europskim državama. </w:t>
      </w:r>
    </w:p>
    <w:p w:rsidR="005C2091" w:rsidRDefault="00A86293">
      <w:r>
        <w:t xml:space="preserve">Kroz stalnu značajniju financijsku potporu hrvatskim udrugama cilj je osnažiti hrvatsku manjinsku zajednicu u domicilnim državama u ostvarivanju manjinskih prava, pogotovo etničku, vjersku, kulturnu i jezičnu samosvijest te ih učiniti punopravnim čimbenikom domicilne države. </w:t>
      </w:r>
    </w:p>
    <w:p w:rsidR="005C2091" w:rsidRDefault="00A86293">
      <w:r>
        <w:t xml:space="preserve">Programima pomoći hrvatskoj nacionalnoj manjini želi se ostvariti bolja pravna zaštita te očuvanje materinskog jezika, kulture i tradicije. </w:t>
      </w:r>
    </w:p>
    <w:p w:rsidR="005C2091" w:rsidRDefault="00A86293">
      <w:r>
        <w:t xml:space="preserve">Prema prijedlogu teksta natječaja i popratne dokumentacije SDUHIRH putem nadležnih Veleposlanstava Republike Hrvatske u 12 europskih država raspisuje su i provodi Javni natječaj za prijavu programa i projekata udruga i ustanova hrvatske nacionalne manjine. Povjerenstva, pri Veleposlanstvima Republike Hrvatske, donose prijedlog rasporeda sredstava za financiranje rada manjinskih udruga. </w:t>
      </w:r>
    </w:p>
    <w:p w:rsidR="005C2091" w:rsidRDefault="00A86293">
      <w:r>
        <w:lastRenderedPageBreak/>
        <w:t xml:space="preserve">Povjerenstvo SDUHIRH je prihvatilo predloženi raspored sredstava po udrugama te su Odlukom čelnika SDUHIRH sredstva u 2016. godini raspoređena po matičnim državama hrvatske nacionalne manjine. </w:t>
      </w:r>
    </w:p>
    <w:p w:rsidR="005C2091" w:rsidRDefault="00A86293">
      <w:r>
        <w:t xml:space="preserve">U okviru ovih aktivnosti sredstva su putem Veleposlanstava Republike Hrvatske dodijeljena manjinskim zajednicama u Austriji, Bugarskoj, Crnoj Gori, Češkoj, Italiji, Kosovu, Mađarskoj, Makedoniji, Rumunjskoj, Slovačkoj, Sloveniji i Srbiji prema slijedećem rasporedu: </w:t>
      </w:r>
    </w:p>
    <w:p w:rsidR="005C2091" w:rsidRDefault="00A86293">
      <w:r>
        <w:t>•</w:t>
      </w:r>
      <w:r>
        <w:tab/>
        <w:t xml:space="preserve">Veleposlanstvo Republike Hrvatske u Austriji – iznos od 340.000,00 kn </w:t>
      </w:r>
    </w:p>
    <w:p w:rsidR="005C2091" w:rsidRDefault="00A86293">
      <w:r>
        <w:t>•</w:t>
      </w:r>
      <w:r>
        <w:tab/>
        <w:t xml:space="preserve">Veleposlanstvo Republike Hrvatske u Bugarskoj – iznos od 35.000,00 kn </w:t>
      </w:r>
    </w:p>
    <w:p w:rsidR="005C2091" w:rsidRDefault="00A86293">
      <w:r>
        <w:t>•</w:t>
      </w:r>
      <w:r>
        <w:tab/>
        <w:t xml:space="preserve">Veleposlanstvo Republike Hrvatske u Crnoj Gori – iznos od 230.000,00 kn </w:t>
      </w:r>
    </w:p>
    <w:p w:rsidR="005C2091" w:rsidRDefault="00A86293">
      <w:r>
        <w:t>•</w:t>
      </w:r>
      <w:r>
        <w:tab/>
        <w:t xml:space="preserve">Veleposlanstvo Republike Hrvatske u Češkoj – iznos od 76.000,00 kn </w:t>
      </w:r>
    </w:p>
    <w:p w:rsidR="005C2091" w:rsidRDefault="00A86293">
      <w:r>
        <w:t>•</w:t>
      </w:r>
      <w:r>
        <w:tab/>
        <w:t xml:space="preserve">Veleposlanstvo Republike Hrvatske u Italiji – iznos od 304.000,00 kn </w:t>
      </w:r>
    </w:p>
    <w:p w:rsidR="005C2091" w:rsidRDefault="00A86293">
      <w:r>
        <w:t>•</w:t>
      </w:r>
      <w:r>
        <w:tab/>
        <w:t xml:space="preserve">Veleposlanstvo Republike Hrvatske u Republici Kosovo – iznos od 155.000,00 kn </w:t>
      </w:r>
    </w:p>
    <w:p w:rsidR="005C2091" w:rsidRDefault="00A86293">
      <w:r>
        <w:t>•</w:t>
      </w:r>
      <w:r>
        <w:tab/>
        <w:t xml:space="preserve">Veleposlanstvo Republike Hrvatske u Mađarskoj – iznos od 341.000,00 kn </w:t>
      </w:r>
    </w:p>
    <w:p w:rsidR="005C2091" w:rsidRDefault="00A86293">
      <w:r>
        <w:t>•</w:t>
      </w:r>
      <w:r>
        <w:tab/>
        <w:t xml:space="preserve">Veleposlanstvo Republike Hrvatske u Makedoniji – iznos od 190.000,00 kn </w:t>
      </w:r>
    </w:p>
    <w:p w:rsidR="005C2091" w:rsidRDefault="00A86293">
      <w:r>
        <w:t>•</w:t>
      </w:r>
      <w:r>
        <w:tab/>
        <w:t xml:space="preserve">Veleposlanstvo Republike Hrvatske u Rumunjskoj – iznos od 190.000,00 kn </w:t>
      </w:r>
    </w:p>
    <w:p w:rsidR="005C2091" w:rsidRDefault="00A86293">
      <w:r>
        <w:t>•</w:t>
      </w:r>
      <w:r>
        <w:tab/>
        <w:t xml:space="preserve">Veleposlanstvo Republike Hrvatske u Slovačkoj – iznos od 152.000,00 kn </w:t>
      </w:r>
    </w:p>
    <w:p w:rsidR="005C2091" w:rsidRDefault="00A86293">
      <w:r>
        <w:t>•</w:t>
      </w:r>
      <w:r>
        <w:tab/>
        <w:t xml:space="preserve">Veleposlanstvo Republike Hrvatske u Sloveniji – iznos od 342.000,00 kn </w:t>
      </w:r>
    </w:p>
    <w:p w:rsidR="005C2091" w:rsidRDefault="00A86293">
      <w:r>
        <w:t>•</w:t>
      </w:r>
      <w:r>
        <w:tab/>
        <w:t xml:space="preserve">Veleposlanstvo Republike Hrvatske u Srbiji – iznos od 645.000,00 kn </w:t>
      </w:r>
    </w:p>
    <w:p w:rsidR="005C2091" w:rsidRDefault="00A86293">
      <w:r>
        <w:t xml:space="preserve"> U 2016. godini sa aktivnosti A862011 i A862018 financirano je 259 projekta hrvatske nacionalne manjine. </w:t>
      </w:r>
    </w:p>
    <w:p w:rsidR="005C2091" w:rsidRDefault="00A86293">
      <w:r>
        <w:t xml:space="preserve"> Posebno ističemo: </w:t>
      </w:r>
    </w:p>
    <w:p w:rsidR="005C2091" w:rsidRDefault="00A86293">
      <w:r>
        <w:t>•</w:t>
      </w:r>
      <w:r>
        <w:tab/>
        <w:t xml:space="preserve">organiziranje seminara za hrvatsku manjinu iz Republike Srbije s ciljem stjecanja znanja i kompetencija potrebnih za zaštitu i unaprjeđenje manjinskih prava tijekom pristupnih pregovora Republike Srbije u Europsku uniju. </w:t>
      </w:r>
    </w:p>
    <w:p w:rsidR="005C2091" w:rsidRDefault="00A86293">
      <w:r>
        <w:t>•</w:t>
      </w:r>
      <w:r>
        <w:tab/>
        <w:t xml:space="preserve">potporu pravovremenom ispunjavanju kulturnih i obrazovnih potreba pripadnika hrvatske manjine, poput nabave udžbenika učenicima u Vojvodini i potpore lektoratu hrvatskoga jezika i književnosti na Sveučilištu Jan Panonius u Pečuhu </w:t>
      </w:r>
    </w:p>
    <w:p w:rsidR="005C2091" w:rsidRDefault="00A86293">
      <w:r>
        <w:t>•</w:t>
      </w:r>
      <w:r>
        <w:tab/>
        <w:t xml:space="preserve">pružanje pomoći za izradu EU projekata hrvatskoj manjini u Republici Srbiji </w:t>
      </w:r>
    </w:p>
    <w:p w:rsidR="005C2091" w:rsidRDefault="00A86293">
      <w:r>
        <w:t>•</w:t>
      </w:r>
      <w:r>
        <w:tab/>
        <w:t>pomoć jačanju medija na hrvatskom jeziku hrvatskoj manjini u Republici Srbiji, Mađarskoj i Austriji</w:t>
      </w:r>
    </w:p>
    <w:p w:rsidR="005C2091" w:rsidRDefault="00A86293">
      <w:pPr>
        <w:pStyle w:val="Heading8"/>
        <w:jc w:val="left"/>
      </w:pPr>
      <w:r>
        <w:t>Pokazatelji rezultata</w:t>
      </w:r>
    </w:p>
    <w:tbl>
      <w:tblPr>
        <w:tblStyle w:val="StilTablice"/>
        <w:tblW w:w="9814" w:type="dxa"/>
        <w:jc w:val="center"/>
        <w:tblInd w:w="-2161" w:type="dxa"/>
        <w:tblLook w:val="04A0" w:firstRow="1" w:lastRow="0" w:firstColumn="1" w:lastColumn="0" w:noHBand="0" w:noVBand="1"/>
      </w:tblPr>
      <w:tblGrid>
        <w:gridCol w:w="3970"/>
        <w:gridCol w:w="1417"/>
        <w:gridCol w:w="992"/>
        <w:gridCol w:w="1395"/>
        <w:gridCol w:w="1020"/>
        <w:gridCol w:w="1020"/>
      </w:tblGrid>
      <w:tr w:rsidR="0079370A" w:rsidTr="0079370A">
        <w:trPr>
          <w:jc w:val="center"/>
        </w:trPr>
        <w:tc>
          <w:tcPr>
            <w:tcW w:w="3970" w:type="dxa"/>
            <w:shd w:val="clear" w:color="auto" w:fill="B5C0D8"/>
          </w:tcPr>
          <w:p w:rsidR="0079370A" w:rsidRDefault="0079370A">
            <w:pPr>
              <w:jc w:val="center"/>
            </w:pPr>
            <w:r>
              <w:t>Pokazatelj rezultata</w:t>
            </w:r>
          </w:p>
        </w:tc>
        <w:tc>
          <w:tcPr>
            <w:tcW w:w="1417" w:type="dxa"/>
            <w:shd w:val="clear" w:color="auto" w:fill="B5C0D8"/>
          </w:tcPr>
          <w:p w:rsidR="0079370A" w:rsidRDefault="0079370A">
            <w:pPr>
              <w:pStyle w:val="CellHeader"/>
              <w:jc w:val="center"/>
            </w:pPr>
            <w:r>
              <w:rPr>
                <w:rFonts w:cs="Times New Roman"/>
              </w:rPr>
              <w:t>Jedinica</w:t>
            </w:r>
          </w:p>
        </w:tc>
        <w:tc>
          <w:tcPr>
            <w:tcW w:w="992" w:type="dxa"/>
            <w:shd w:val="clear" w:color="auto" w:fill="B5C0D8"/>
          </w:tcPr>
          <w:p w:rsidR="0079370A" w:rsidRDefault="0079370A">
            <w:pPr>
              <w:pStyle w:val="CellHeader"/>
              <w:jc w:val="center"/>
            </w:pPr>
            <w:r>
              <w:rPr>
                <w:rFonts w:cs="Times New Roman"/>
              </w:rPr>
              <w:t>Polazna vrijednost</w:t>
            </w:r>
          </w:p>
        </w:tc>
        <w:tc>
          <w:tcPr>
            <w:tcW w:w="1395" w:type="dxa"/>
            <w:shd w:val="clear" w:color="auto" w:fill="B5C0D8"/>
          </w:tcPr>
          <w:p w:rsidR="0079370A" w:rsidRDefault="0079370A">
            <w:pPr>
              <w:pStyle w:val="CellHeader"/>
              <w:jc w:val="center"/>
            </w:pPr>
            <w:r>
              <w:rPr>
                <w:rFonts w:cs="Times New Roman"/>
              </w:rPr>
              <w:t>Izvor podataka</w:t>
            </w:r>
          </w:p>
        </w:tc>
        <w:tc>
          <w:tcPr>
            <w:tcW w:w="1020" w:type="dxa"/>
            <w:shd w:val="clear" w:color="auto" w:fill="B5C0D8"/>
          </w:tcPr>
          <w:p w:rsidR="0079370A" w:rsidRDefault="0079370A">
            <w:pPr>
              <w:pStyle w:val="CellHeader"/>
              <w:jc w:val="center"/>
            </w:pPr>
            <w:r>
              <w:rPr>
                <w:rFonts w:cs="Times New Roman"/>
              </w:rPr>
              <w:t>Ciljana vrijednost (2016.)</w:t>
            </w:r>
          </w:p>
        </w:tc>
        <w:tc>
          <w:tcPr>
            <w:tcW w:w="1020" w:type="dxa"/>
            <w:shd w:val="clear" w:color="auto" w:fill="B5C0D8"/>
          </w:tcPr>
          <w:p w:rsidR="0079370A" w:rsidRDefault="0079370A">
            <w:pPr>
              <w:pStyle w:val="CellHeader"/>
              <w:jc w:val="center"/>
            </w:pPr>
            <w:r>
              <w:rPr>
                <w:rFonts w:cs="Times New Roman"/>
              </w:rPr>
              <w:t>Ostvarena vrijednost (2016.)</w:t>
            </w:r>
          </w:p>
        </w:tc>
      </w:tr>
      <w:tr w:rsidR="0079370A" w:rsidTr="0079370A">
        <w:trPr>
          <w:jc w:val="center"/>
        </w:trPr>
        <w:tc>
          <w:tcPr>
            <w:tcW w:w="3970" w:type="dxa"/>
          </w:tcPr>
          <w:p w:rsidR="0079370A" w:rsidRDefault="0079370A">
            <w:pPr>
              <w:pStyle w:val="CellColumn"/>
              <w:jc w:val="left"/>
            </w:pPr>
            <w:r>
              <w:rPr>
                <w:rFonts w:cs="Times New Roman"/>
              </w:rPr>
              <w:t xml:space="preserve">financiranih projekata </w:t>
            </w:r>
          </w:p>
          <w:p w:rsidR="0079370A" w:rsidRDefault="0079370A">
            <w:pPr>
              <w:pStyle w:val="CellColumn"/>
              <w:jc w:val="left"/>
            </w:pPr>
            <w:r>
              <w:rPr>
                <w:rFonts w:cs="Times New Roman"/>
              </w:rPr>
              <w:t>udruga i institucija hrvatske manjine</w:t>
            </w:r>
          </w:p>
        </w:tc>
        <w:tc>
          <w:tcPr>
            <w:tcW w:w="1417" w:type="dxa"/>
          </w:tcPr>
          <w:p w:rsidR="0079370A" w:rsidRDefault="0079370A">
            <w:pPr>
              <w:pStyle w:val="CellColumn"/>
              <w:jc w:val="right"/>
            </w:pPr>
            <w:r>
              <w:rPr>
                <w:rFonts w:cs="Times New Roman"/>
              </w:rPr>
              <w:t>Broj</w:t>
            </w:r>
          </w:p>
        </w:tc>
        <w:tc>
          <w:tcPr>
            <w:tcW w:w="992" w:type="dxa"/>
          </w:tcPr>
          <w:p w:rsidR="0079370A" w:rsidRDefault="0079370A">
            <w:pPr>
              <w:pStyle w:val="CellColumn"/>
              <w:jc w:val="right"/>
            </w:pPr>
            <w:r>
              <w:rPr>
                <w:rFonts w:cs="Times New Roman"/>
              </w:rPr>
              <w:t>296</w:t>
            </w:r>
          </w:p>
        </w:tc>
        <w:tc>
          <w:tcPr>
            <w:tcW w:w="1395" w:type="dxa"/>
          </w:tcPr>
          <w:p w:rsidR="0079370A" w:rsidRDefault="0079370A">
            <w:pPr>
              <w:pStyle w:val="CellColumn"/>
              <w:jc w:val="right"/>
            </w:pPr>
            <w:r>
              <w:rPr>
                <w:rFonts w:cs="Times New Roman"/>
              </w:rPr>
              <w:t>Strateški plan Središnjeg državnog ureda za Hrvate izvan Republike Hrvatske za razdoblje 2016.-2018.</w:t>
            </w:r>
          </w:p>
        </w:tc>
        <w:tc>
          <w:tcPr>
            <w:tcW w:w="1020" w:type="dxa"/>
          </w:tcPr>
          <w:p w:rsidR="0079370A" w:rsidRDefault="0079370A">
            <w:pPr>
              <w:pStyle w:val="CellColumn"/>
              <w:jc w:val="right"/>
            </w:pPr>
            <w:r>
              <w:rPr>
                <w:rFonts w:cs="Times New Roman"/>
              </w:rPr>
              <w:t>297</w:t>
            </w:r>
          </w:p>
        </w:tc>
        <w:tc>
          <w:tcPr>
            <w:tcW w:w="1020" w:type="dxa"/>
          </w:tcPr>
          <w:p w:rsidR="0079370A" w:rsidRDefault="0079370A">
            <w:pPr>
              <w:pStyle w:val="CellColumn"/>
              <w:jc w:val="right"/>
            </w:pPr>
            <w:r>
              <w:rPr>
                <w:rFonts w:cs="Times New Roman"/>
              </w:rPr>
              <w:t>259</w:t>
            </w:r>
          </w:p>
        </w:tc>
      </w:tr>
    </w:tbl>
    <w:p w:rsidR="005C2091" w:rsidRDefault="005C2091">
      <w:pPr>
        <w:jc w:val="left"/>
      </w:pPr>
    </w:p>
    <w:p w:rsidR="0079370A" w:rsidRDefault="0079370A">
      <w:pPr>
        <w:jc w:val="left"/>
      </w:pPr>
    </w:p>
    <w:p w:rsidR="005C2091" w:rsidRDefault="00A86293">
      <w:pPr>
        <w:pStyle w:val="Heading4"/>
      </w:pPr>
      <w:r>
        <w:lastRenderedPageBreak/>
        <w:t>A862019 STIPENDIJE ZA STUDENTE I UČENIKE PRIPADNIKE HRVATSKOG NARODA IZVAN RH - MEĐUNARODNA RAZVOJNA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A862019-STIPENDIJE ZA STUDENTE I UČENIKE PRIPADNIKE HRVATSKOG NARODA IZVAN RH - MEĐUNARODNA RAZVOJNA SURADNJA</w:t>
            </w:r>
          </w:p>
        </w:tc>
        <w:tc>
          <w:tcPr>
            <w:tcW w:w="2041" w:type="dxa"/>
          </w:tcPr>
          <w:p w:rsidR="005C2091" w:rsidRDefault="00A86293">
            <w:pPr>
              <w:pStyle w:val="CellColumn"/>
              <w:jc w:val="right"/>
            </w:pPr>
            <w:r>
              <w:rPr>
                <w:rFonts w:cs="Times New Roman"/>
              </w:rPr>
              <w:t>2.223.000</w:t>
            </w:r>
          </w:p>
        </w:tc>
        <w:tc>
          <w:tcPr>
            <w:tcW w:w="2041" w:type="dxa"/>
          </w:tcPr>
          <w:p w:rsidR="005C2091" w:rsidRDefault="00A86293">
            <w:pPr>
              <w:pStyle w:val="CellColumn"/>
              <w:jc w:val="right"/>
            </w:pPr>
            <w:r>
              <w:rPr>
                <w:rFonts w:cs="Times New Roman"/>
              </w:rPr>
              <w:t>3.070.000</w:t>
            </w:r>
          </w:p>
        </w:tc>
        <w:tc>
          <w:tcPr>
            <w:tcW w:w="2041" w:type="dxa"/>
          </w:tcPr>
          <w:p w:rsidR="005C2091" w:rsidRDefault="00A86293">
            <w:pPr>
              <w:pStyle w:val="CellColumn"/>
              <w:jc w:val="right"/>
            </w:pPr>
            <w:r>
              <w:rPr>
                <w:rFonts w:cs="Times New Roman"/>
              </w:rPr>
              <w:t>3.070.000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138,1</w:t>
            </w:r>
          </w:p>
        </w:tc>
      </w:tr>
    </w:tbl>
    <w:p w:rsidR="005C2091" w:rsidRDefault="005C2091">
      <w:pPr>
        <w:jc w:val="left"/>
      </w:pPr>
    </w:p>
    <w:p w:rsidR="005C2091" w:rsidRDefault="00A86293">
      <w:pPr>
        <w:pStyle w:val="Heading8"/>
        <w:jc w:val="left"/>
      </w:pPr>
      <w:r>
        <w:t>Zakonske i druge pravne osnove</w:t>
      </w:r>
    </w:p>
    <w:p w:rsidR="005C2091" w:rsidRDefault="00A86293">
      <w:r>
        <w:t>Zakon o odnosima Republike Hrvatske s Hrvatima izvan Republike Hrvatske, članak 33. (Narodne novine, 124/2011; 16/2012).</w:t>
      </w:r>
    </w:p>
    <w:p w:rsidR="005C2091" w:rsidRDefault="00A86293">
      <w:pPr>
        <w:pStyle w:val="Heading8"/>
        <w:jc w:val="left"/>
      </w:pPr>
      <w:r>
        <w:t>Opis aktivnosti</w:t>
      </w:r>
    </w:p>
    <w:p w:rsidR="005C2091" w:rsidRDefault="00A86293">
      <w:r>
        <w:t xml:space="preserve">Stipendije za studente i učenike pripadnike hrvatskog naroda planirane na ovoj aktivnosti dodjeljuju se temeljem Pravilnika o stipendiranju studenata – pripadnika hrvatskog naroda izvan Republike Hrvatske. Pravo na stipendiju ostvaruje se putem Javnog natječaja za dodjelu stipendija redovitim studentima – pripadnicima hrvatskoga naroda izvan Republike Hrvatske prema utvrđenim kriterijima za dodjeljivanje stipendija. </w:t>
      </w:r>
    </w:p>
    <w:p w:rsidR="005C2091" w:rsidRDefault="00A86293">
      <w:r>
        <w:t xml:space="preserve">Cilj ovog programa je jačanje obrazovnih i znanstvenih kapaciteta hrvatske zajednice izvan Republike Hrvatske, jačanje položaja i uloge obrazovanih pojedinaca u sredinama u kojima žive te ujedno aktivno uključivanje Hrvata izvan Republike Hrvatske u društveni i politički život Republike Hrvatske. </w:t>
      </w:r>
    </w:p>
    <w:p w:rsidR="005C2091" w:rsidRDefault="00A86293">
      <w:r>
        <w:t xml:space="preserve">Odlukom, temeljem provedenog  Javnog natječaja, o dodjeli stipendija za akademsku godinu 2015/2016 dodijeljeno je 450 stipendija pripadnicima hrvatskog naroda izvan Republike Hrvatske od čega 100 stipendija za studente koji studiraju u Republici Hrvatskoj te 350 stipendija za studente koji studiraju u Bosni i Hercegovini. U prethodnoj akademskoj godini dodijeljeno je  250 stipendija za studente koji studiraju u Republici Hrvatskoj te 200 stipendija za studente koji studiraju u Bosni i Hercegovini. </w:t>
      </w:r>
    </w:p>
    <w:p w:rsidR="0079370A" w:rsidRDefault="00A86293">
      <w:r>
        <w:t>Financijskim planom SDUHIRH za 2016. godinu u  okviru ove aktivnosti osigurana su sredstva za isplatu 369 stipendija, a preostalih 80 stipendija isplaćeno je sa aktivnosti A862021.</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Broj dodijeljenih studentskih stipendija</w:t>
            </w:r>
          </w:p>
        </w:tc>
        <w:tc>
          <w:tcPr>
            <w:tcW w:w="2551" w:type="dxa"/>
          </w:tcPr>
          <w:p w:rsidR="005C2091" w:rsidRDefault="00A86293">
            <w:pPr>
              <w:pStyle w:val="CellColumn"/>
              <w:jc w:val="left"/>
            </w:pPr>
            <w:r>
              <w:rPr>
                <w:rFonts w:cs="Times New Roman"/>
              </w:rPr>
              <w:t>Broj dodijeljenih studentskih stipendija       je pokazatelj ostvarenosti programa         i aktivnosti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492</w:t>
            </w:r>
          </w:p>
        </w:tc>
        <w:tc>
          <w:tcPr>
            <w:tcW w:w="1020" w:type="dxa"/>
          </w:tcPr>
          <w:p w:rsidR="005C2091" w:rsidRDefault="00A86293">
            <w:pPr>
              <w:pStyle w:val="CellColumn"/>
              <w:jc w:val="right"/>
            </w:pPr>
            <w:r>
              <w:rPr>
                <w:rFonts w:cs="Times New Roman"/>
              </w:rPr>
              <w:t>Strateški plan Središnjeg državnog ureda za Hrvate izvan Republike Hrvatske za razdoblje 2016.-2018.</w:t>
            </w:r>
          </w:p>
        </w:tc>
        <w:tc>
          <w:tcPr>
            <w:tcW w:w="1020" w:type="dxa"/>
          </w:tcPr>
          <w:p w:rsidR="005C2091" w:rsidRDefault="00A86293">
            <w:pPr>
              <w:pStyle w:val="CellColumn"/>
              <w:jc w:val="right"/>
            </w:pPr>
            <w:r>
              <w:rPr>
                <w:rFonts w:cs="Times New Roman"/>
              </w:rPr>
              <w:t>450</w:t>
            </w:r>
          </w:p>
        </w:tc>
        <w:tc>
          <w:tcPr>
            <w:tcW w:w="1020" w:type="dxa"/>
          </w:tcPr>
          <w:p w:rsidR="005C2091" w:rsidRDefault="00A86293">
            <w:pPr>
              <w:pStyle w:val="CellColumn"/>
              <w:jc w:val="right"/>
            </w:pPr>
            <w:r>
              <w:rPr>
                <w:rFonts w:cs="Times New Roman"/>
              </w:rPr>
              <w:t>449</w:t>
            </w:r>
          </w:p>
        </w:tc>
      </w:tr>
    </w:tbl>
    <w:p w:rsidR="005C2091" w:rsidRDefault="005C2091">
      <w:pPr>
        <w:jc w:val="left"/>
      </w:pPr>
    </w:p>
    <w:p w:rsidR="005C2091" w:rsidRDefault="00A86293">
      <w:pPr>
        <w:pStyle w:val="Heading4"/>
      </w:pPr>
      <w:r>
        <w:t>A862020 POTICAJI ZA OBRAZOVANJE, KULTURU, ZNANOST I ZDRAVSTVO U BIH - MEĐUNARODNA RAZVOJNA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A862020-POTICAJI ZA OBRAZOVANJE, KULTURU, ZNANOST I ZDRAVSTVO U BIH - MEĐUNARODNA RAZVOJNA SURADNJA</w:t>
            </w:r>
          </w:p>
        </w:tc>
        <w:tc>
          <w:tcPr>
            <w:tcW w:w="2041" w:type="dxa"/>
          </w:tcPr>
          <w:p w:rsidR="005C2091" w:rsidRDefault="00A86293">
            <w:pPr>
              <w:pStyle w:val="CellColumn"/>
              <w:jc w:val="right"/>
            </w:pPr>
            <w:r>
              <w:rPr>
                <w:rFonts w:cs="Times New Roman"/>
              </w:rPr>
              <w:t>18.074.501</w:t>
            </w:r>
          </w:p>
        </w:tc>
        <w:tc>
          <w:tcPr>
            <w:tcW w:w="2041" w:type="dxa"/>
          </w:tcPr>
          <w:p w:rsidR="005C2091" w:rsidRDefault="00A86293">
            <w:pPr>
              <w:pStyle w:val="CellColumn"/>
              <w:jc w:val="right"/>
            </w:pPr>
            <w:r>
              <w:rPr>
                <w:rFonts w:cs="Times New Roman"/>
              </w:rPr>
              <w:t>18.100.000</w:t>
            </w:r>
          </w:p>
        </w:tc>
        <w:tc>
          <w:tcPr>
            <w:tcW w:w="2041" w:type="dxa"/>
          </w:tcPr>
          <w:p w:rsidR="005C2091" w:rsidRDefault="00A86293">
            <w:pPr>
              <w:pStyle w:val="CellColumn"/>
              <w:jc w:val="right"/>
            </w:pPr>
            <w:r>
              <w:rPr>
                <w:rFonts w:cs="Times New Roman"/>
              </w:rPr>
              <w:t>18.057.236</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99,9</w:t>
            </w:r>
          </w:p>
        </w:tc>
      </w:tr>
    </w:tbl>
    <w:p w:rsidR="005C2091" w:rsidRDefault="005C2091">
      <w:pPr>
        <w:jc w:val="left"/>
      </w:pPr>
    </w:p>
    <w:p w:rsidR="005C2091" w:rsidRDefault="00A86293">
      <w:pPr>
        <w:pStyle w:val="Heading8"/>
        <w:jc w:val="left"/>
      </w:pPr>
      <w:r>
        <w:t>Zakonske i druge pravne osnove</w:t>
      </w:r>
    </w:p>
    <w:p w:rsidR="005C2091" w:rsidRDefault="00A86293">
      <w:r>
        <w:t>Zakon o odnosima Republike Hrvatske s Hrvatima izvan Republike Hrvatske članci 13. i 46. (Narodne novine 124/2011; 16/2012)</w:t>
      </w:r>
    </w:p>
    <w:p w:rsidR="005C2091" w:rsidRDefault="00A86293">
      <w:pPr>
        <w:pStyle w:val="Heading8"/>
        <w:jc w:val="left"/>
      </w:pPr>
      <w:r>
        <w:t>Opis aktivnosti</w:t>
      </w:r>
    </w:p>
    <w:p w:rsidR="005C2091" w:rsidRDefault="00A86293">
      <w:r>
        <w:t xml:space="preserve">Povezivanje s Hrvatima u BiH, potpora njihovu povratku i ostanku te  očuvanje njihove pune jednakopravnosti strateški su interes Republike Hrvatske. Jedan od načina ostvarenja tog cilja je i financiranje obrazovnih, kulturnih, znanstvenih i zdravstvenih programa i projekata koji su od interesa za hrvatski narod u Bosni i Hercegovini. </w:t>
      </w:r>
    </w:p>
    <w:p w:rsidR="005C2091" w:rsidRDefault="00A86293">
      <w:r>
        <w:t xml:space="preserve">Prilikom dodijeljivanja sredstava poseno je pridana pažnja: </w:t>
      </w:r>
    </w:p>
    <w:p w:rsidR="005C2091" w:rsidRDefault="00A86293">
      <w:r>
        <w:t xml:space="preserve">•    Financiranju većih strateških projekata </w:t>
      </w:r>
    </w:p>
    <w:p w:rsidR="005C2091" w:rsidRDefault="00A86293">
      <w:r>
        <w:t xml:space="preserve">•    Financiranju projekata za ostvarivanje šireg interesa i značaja za društvenu zajednicu </w:t>
      </w:r>
    </w:p>
    <w:p w:rsidR="005C2091" w:rsidRDefault="00A86293">
      <w:r>
        <w:t xml:space="preserve">•    Ravnomjernoj zemljopisnoj raspoređenosti financiranih projekata u cijeloj BiH </w:t>
      </w:r>
    </w:p>
    <w:p w:rsidR="005C2091" w:rsidRDefault="00A86293">
      <w:r>
        <w:t xml:space="preserve">•    Obavljanju nadzora namjenskog trošenja dodijeljenih sredstava </w:t>
      </w:r>
    </w:p>
    <w:p w:rsidR="005C2091" w:rsidRDefault="00A86293">
      <w:r>
        <w:t xml:space="preserve">Temeljem provedenog Javnog natječaja za financiranje kulturnih, obrazovnih, znanstvenih, zdravstvenih i ostalih programa i projekata od interesa za hrvatski narod u Bosni i Hercegovini za 2016. godinu dodijeljena su sredstva za 65 programa i projekata koji su od posebnog interesa za hrvatski narod u BiH u iznosu od 20.0000.000,00 kuna. Sredstva su osigurana u proračunu SDUHIRH na način da je sa aktivnosti A862020 osigurano 18.000.000,00 kn, a sa aktivnosti A862021 osigurano je dodatnih 2.000.000,00 kn. </w:t>
      </w:r>
    </w:p>
    <w:p w:rsidR="005C2091" w:rsidRDefault="00A86293">
      <w:r>
        <w:t>•</w:t>
      </w:r>
      <w:r>
        <w:tab/>
        <w:t xml:space="preserve">Programima i projektima iz područja kulture (22 projekta) dodijeljeno 5.345.000,00 kuna </w:t>
      </w:r>
    </w:p>
    <w:p w:rsidR="005C2091" w:rsidRDefault="00A86293">
      <w:r>
        <w:lastRenderedPageBreak/>
        <w:t>•</w:t>
      </w:r>
      <w:r>
        <w:tab/>
        <w:t xml:space="preserve">Programima i projektima iz područja obrazovanja i znanosti (16 projekata) dodijeljeno je 4.820.000,00 kuna </w:t>
      </w:r>
    </w:p>
    <w:p w:rsidR="005C2091" w:rsidRDefault="00A86293">
      <w:r>
        <w:t>•</w:t>
      </w:r>
      <w:r>
        <w:tab/>
        <w:t xml:space="preserve">Programima i projektima iz područja zdravstva (12 projekata) dodijeljeno je 5.000.000,00 kuna </w:t>
      </w:r>
    </w:p>
    <w:p w:rsidR="005C2091" w:rsidRDefault="00A86293">
      <w:r>
        <w:t>•</w:t>
      </w:r>
      <w:r>
        <w:tab/>
        <w:t xml:space="preserve">Programima i projektima iz ostalih područja (15 projekata) dodijeljeno je 4.835.000,00 kuna. </w:t>
      </w:r>
    </w:p>
    <w:p w:rsidR="005C2091" w:rsidRDefault="00A86293">
      <w:r>
        <w:t>Prednost u dobivanju financijske potpore imali su veći projekti koji proizvode dugoročnije učinke za opstojnost hrvatskoga naroda u BiH, programi i projekti koji se provode u partnerstvu s pravnim osobama iz RH u smislu prekogranične suradnje, kao i programi i projekti koje financijski podupire lokalna zajednica.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 xml:space="preserve">Broj financiranih projekata </w:t>
            </w:r>
          </w:p>
          <w:p w:rsidR="005C2091" w:rsidRDefault="00A86293">
            <w:pPr>
              <w:pStyle w:val="CellColumn"/>
              <w:jc w:val="left"/>
            </w:pPr>
            <w:r>
              <w:rPr>
                <w:rFonts w:cs="Times New Roman"/>
              </w:rPr>
              <w:t>udruga</w:t>
            </w:r>
            <w:r w:rsidR="0079370A">
              <w:rPr>
                <w:rFonts w:cs="Times New Roman"/>
              </w:rPr>
              <w:t xml:space="preserve"> </w:t>
            </w:r>
            <w:r>
              <w:rPr>
                <w:rFonts w:cs="Times New Roman"/>
              </w:rPr>
              <w:t xml:space="preserve"> i institucija </w:t>
            </w:r>
          </w:p>
          <w:p w:rsidR="005C2091" w:rsidRDefault="00A86293">
            <w:pPr>
              <w:pStyle w:val="CellColumn"/>
              <w:jc w:val="left"/>
            </w:pPr>
            <w:r>
              <w:rPr>
                <w:rFonts w:cs="Times New Roman"/>
              </w:rPr>
              <w:t xml:space="preserve">Hrvata u Bosni i </w:t>
            </w:r>
          </w:p>
          <w:p w:rsidR="005C2091" w:rsidRDefault="00A86293">
            <w:pPr>
              <w:pStyle w:val="CellColumn"/>
              <w:jc w:val="left"/>
            </w:pPr>
            <w:r>
              <w:rPr>
                <w:rFonts w:cs="Times New Roman"/>
              </w:rPr>
              <w:t>Hercegovini</w:t>
            </w:r>
          </w:p>
        </w:tc>
        <w:tc>
          <w:tcPr>
            <w:tcW w:w="2551" w:type="dxa"/>
          </w:tcPr>
          <w:p w:rsidR="005C2091" w:rsidRDefault="00A86293">
            <w:pPr>
              <w:pStyle w:val="CellColumn"/>
              <w:jc w:val="left"/>
            </w:pPr>
            <w:r>
              <w:rPr>
                <w:rFonts w:cs="Times New Roman"/>
              </w:rPr>
              <w:t>Broj projekata je pokazatelj ostvarenja programa i aktivnosti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37</w:t>
            </w:r>
          </w:p>
        </w:tc>
        <w:tc>
          <w:tcPr>
            <w:tcW w:w="1020" w:type="dxa"/>
          </w:tcPr>
          <w:p w:rsidR="005C2091" w:rsidRDefault="00A86293">
            <w:pPr>
              <w:pStyle w:val="CellColumn"/>
              <w:jc w:val="right"/>
            </w:pPr>
            <w:r>
              <w:rPr>
                <w:rFonts w:cs="Times New Roman"/>
              </w:rPr>
              <w:t>Strateški plan Središnjeg državnog ureda za Hrvate izvan Republike Hrvatske za razdoblje 2016.-2018.</w:t>
            </w:r>
          </w:p>
        </w:tc>
        <w:tc>
          <w:tcPr>
            <w:tcW w:w="1020" w:type="dxa"/>
          </w:tcPr>
          <w:p w:rsidR="005C2091" w:rsidRDefault="00A86293">
            <w:pPr>
              <w:pStyle w:val="CellColumn"/>
              <w:jc w:val="right"/>
            </w:pPr>
            <w:r>
              <w:rPr>
                <w:rFonts w:cs="Times New Roman"/>
              </w:rPr>
              <w:t>38</w:t>
            </w:r>
          </w:p>
        </w:tc>
        <w:tc>
          <w:tcPr>
            <w:tcW w:w="1020" w:type="dxa"/>
          </w:tcPr>
          <w:p w:rsidR="005C2091" w:rsidRDefault="00A86293">
            <w:pPr>
              <w:pStyle w:val="CellColumn"/>
              <w:jc w:val="right"/>
            </w:pPr>
            <w:r>
              <w:rPr>
                <w:rFonts w:cs="Times New Roman"/>
              </w:rPr>
              <w:t>65</w:t>
            </w:r>
          </w:p>
        </w:tc>
      </w:tr>
    </w:tbl>
    <w:p w:rsidR="005C2091" w:rsidRDefault="005C2091">
      <w:pPr>
        <w:jc w:val="left"/>
      </w:pPr>
    </w:p>
    <w:p w:rsidR="005C2091" w:rsidRDefault="00A86293">
      <w:pPr>
        <w:pStyle w:val="Heading4"/>
      </w:pPr>
      <w:r>
        <w:t>A862021 PROGRAMI HRVATA IZVAN RH - MEĐUNARODNA RAZVOJNA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A862021-PROGRAMI HRVATA IZVAN RH - MEĐUNARODNA RAZVOJNA SURADNJA</w:t>
            </w:r>
          </w:p>
        </w:tc>
        <w:tc>
          <w:tcPr>
            <w:tcW w:w="2041" w:type="dxa"/>
          </w:tcPr>
          <w:p w:rsidR="005C2091" w:rsidRDefault="00A86293">
            <w:pPr>
              <w:pStyle w:val="CellColumn"/>
              <w:jc w:val="right"/>
            </w:pPr>
            <w:r>
              <w:rPr>
                <w:rFonts w:cs="Times New Roman"/>
              </w:rPr>
              <w:t>5.937.480</w:t>
            </w:r>
          </w:p>
        </w:tc>
        <w:tc>
          <w:tcPr>
            <w:tcW w:w="2041" w:type="dxa"/>
          </w:tcPr>
          <w:p w:rsidR="005C2091" w:rsidRDefault="00A86293">
            <w:pPr>
              <w:pStyle w:val="CellColumn"/>
              <w:jc w:val="right"/>
            </w:pPr>
            <w:r>
              <w:rPr>
                <w:rFonts w:cs="Times New Roman"/>
              </w:rPr>
              <w:t>4.309.201</w:t>
            </w:r>
          </w:p>
        </w:tc>
        <w:tc>
          <w:tcPr>
            <w:tcW w:w="2041" w:type="dxa"/>
          </w:tcPr>
          <w:p w:rsidR="005C2091" w:rsidRDefault="00A86293">
            <w:pPr>
              <w:pStyle w:val="CellColumn"/>
              <w:jc w:val="right"/>
            </w:pPr>
            <w:r>
              <w:rPr>
                <w:rFonts w:cs="Times New Roman"/>
              </w:rPr>
              <w:t>5.572.715</w:t>
            </w:r>
          </w:p>
        </w:tc>
        <w:tc>
          <w:tcPr>
            <w:tcW w:w="1224" w:type="dxa"/>
          </w:tcPr>
          <w:p w:rsidR="005C2091" w:rsidRDefault="00A86293">
            <w:pPr>
              <w:pStyle w:val="CellColumn"/>
              <w:jc w:val="right"/>
            </w:pPr>
            <w:r>
              <w:rPr>
                <w:rFonts w:cs="Times New Roman"/>
              </w:rPr>
              <w:t>129,3</w:t>
            </w:r>
          </w:p>
        </w:tc>
        <w:tc>
          <w:tcPr>
            <w:tcW w:w="1224" w:type="dxa"/>
          </w:tcPr>
          <w:p w:rsidR="005C2091" w:rsidRDefault="00A86293">
            <w:pPr>
              <w:pStyle w:val="CellColumn"/>
              <w:jc w:val="right"/>
            </w:pPr>
            <w:r>
              <w:rPr>
                <w:rFonts w:cs="Times New Roman"/>
              </w:rPr>
              <w:t>93,9</w:t>
            </w:r>
          </w:p>
        </w:tc>
      </w:tr>
    </w:tbl>
    <w:p w:rsidR="005C2091" w:rsidRDefault="005C2091">
      <w:pPr>
        <w:jc w:val="left"/>
      </w:pPr>
    </w:p>
    <w:p w:rsidR="005C2091" w:rsidRDefault="00A86293">
      <w:pPr>
        <w:pStyle w:val="Heading8"/>
        <w:jc w:val="left"/>
      </w:pPr>
      <w:r>
        <w:t>Zakonske i druge pravne osnove</w:t>
      </w:r>
    </w:p>
    <w:p w:rsidR="005C2091" w:rsidRDefault="00A86293">
      <w:r>
        <w:t>Zakon o odnosima Republike Hrvatske s Hrvatima izvan Republike Hrvatske čl. 9., 13., 35., 46. i 59. (Narodne novine 124/11, 16/2012)</w:t>
      </w:r>
    </w:p>
    <w:p w:rsidR="005C2091" w:rsidRDefault="00A86293">
      <w:pPr>
        <w:pStyle w:val="Heading8"/>
        <w:jc w:val="left"/>
      </w:pPr>
      <w:r>
        <w:t>Opis aktivnosti</w:t>
      </w:r>
    </w:p>
    <w:p w:rsidR="005C2091" w:rsidRDefault="00A86293">
      <w:r>
        <w:t xml:space="preserve">Sredstvima sa ove aktivnosti financirani su sljedeći projekti: </w:t>
      </w:r>
    </w:p>
    <w:p w:rsidR="005C2091" w:rsidRDefault="00A86293">
      <w:r>
        <w:t xml:space="preserve"> 1.</w:t>
      </w:r>
      <w:r>
        <w:tab/>
        <w:t xml:space="preserve">Javni poziv za učenje hrvatskoga jezika u Republici Hrvatskoj u iznosu od 487.744,30 kn (88 naknada za učenje hrvatskoga jezika) </w:t>
      </w:r>
    </w:p>
    <w:p w:rsidR="005C2091" w:rsidRDefault="00A86293">
      <w:r>
        <w:t>•</w:t>
      </w:r>
      <w:r>
        <w:tab/>
        <w:t xml:space="preserve">Ciljevi koji se postižu ovim programom jesu promicanje i učvršćivanje svekolike povezanosti Hrvata izvan RH s Republikom Hrvatskom, što doprinosi ostvarenju duhovnog jedinstva i kulturnog zajedništva.Program učenja hrvatskoga jezika ima osobitu važnost u smislu njegovanja i promicanja hrvatskoga jezika i kulture. Ovim se </w:t>
      </w:r>
      <w:r>
        <w:lastRenderedPageBreak/>
        <w:t xml:space="preserve">programom potiče povratak hrvatskih iseljenika i njihovih potomaka u Republiku Hrvatsku te se stvaraju preduvjeti za lakše uključivanje u gospodarski i društveni život Republike Hrvatske. Unatoč činjenici da se većina polaznika tečaja vraća u zemlje iz kojih su došli, smisao programa „Croaticum“ nije umanjen jer će oni u svojim zemljama zasigurno bili dobri promicatelji hrvatske kulture i jezika. </w:t>
      </w:r>
    </w:p>
    <w:p w:rsidR="005C2091" w:rsidRDefault="00A86293">
      <w:r>
        <w:t>•</w:t>
      </w:r>
      <w:r>
        <w:tab/>
        <w:t xml:space="preserve">Temeljem Pravilnika o dodjeli naknada/stipendija za učenje hrvatskoga jezika u Republici Hrvatskoj i za internetsko učenje hrvatskoga jezika, SDUHIRH dodjeljuje stipendije pripadnicima hrvatskoga naroda izvan Republike Hrvatske, za učenje hrvatskoga jezika u sklopu programa „Croaticum“. Pravo na školarinu ostvaruje se putem Javnog poziva za dodjelu naknada/stipendija za učenje hrvatskoga jezika u Republici Hrvatskoj, na koji se prijavljuju potomci hrvatskih iseljenika iz cijelog svijeta. Odluku o dodjeli naknada donosi državni tajnik SDUHIRH, na prijedlog Povjerenstva. Tečaj učenja hrvatskog jezika „Croaticum“ organizira Filozofski fakultet – Odsjek za kroatistiku Sveučilišta u Zagrebu. Program učenja hrvatskog jezika u RH proširen je i na druge sveučilišne centre u RH. Osim   na Filozofskom fakultetu u Zagrebu, od 2013. godine se provodi i u Splitu i Rijeci. </w:t>
      </w:r>
    </w:p>
    <w:p w:rsidR="005C2091" w:rsidRDefault="00A86293">
      <w:r>
        <w:t>•</w:t>
      </w:r>
      <w:r>
        <w:tab/>
        <w:t xml:space="preserve">SDUHIRH, temeljem Pravilnika, preuzima obvezu plaćanja školarine u trajanju do dva semestra za kandidate hrvatskog podrijetla s prebivalištem izvan Republike Hrvatske. Također, podmiruje i troškove subvencionirane prehrane i smještaja, a od akademske 2013/14 godine dodjeljuje  svim korisnicima naknade u razdoblju tečaja određeni novčani iznos mjesečno za osobne potrebe. </w:t>
      </w:r>
    </w:p>
    <w:p w:rsidR="005C2091" w:rsidRDefault="00A86293">
      <w:r>
        <w:t>•</w:t>
      </w:r>
      <w:r>
        <w:tab/>
        <w:t xml:space="preserve">Svi oblici nastave na tečaju „Croaticum“ obuhvaćaju izvannastavne aktivnosti koje se stalno organiziraju i u koje se studenti aktivno uključuju kako bi jezik i kulturu učili na praktičan način. U svakom se semestru za studente organiziraju i kraća, jednodnevna putovanja u pojedine nacionalne parkove i hrvatske gradove tijekom kojih se upoznaje hrvatska kulturna povijest i baština. Polaznicima viših stupnjeva priređuju se odlasci na kazališne i filmske predstave, a polaznicima početnih stupnjeva nude se projekcije s prijevodom  na  engleskom  jeziku.  U  svakom  se  semestru  organiziraju  i  gostovanja različitih hrvatskih kulturnih djelatnika. Iz godine u godinu zamjetan je povećan broj naknada za učenje hrvatskog jezika u Republici Hrvatskoj. </w:t>
      </w:r>
    </w:p>
    <w:p w:rsidR="005C2091" w:rsidRDefault="00A86293">
      <w:r>
        <w:t xml:space="preserve"> 2.</w:t>
      </w:r>
      <w:r>
        <w:tab/>
        <w:t xml:space="preserve">Temeljem provedenog Javnog poziva za prijavu posebnih potreba i projekata od interesa za Hrvate izvan Republike Hrvatske dodijeljena su sredstva za programe i projekte Hrvatima izvan Republike Hrvatske kao što su: razne kulturne manifestacije, znanstveno istraživački projekti, završni građevinski radovi na obnovi vjerskih i kulturnih objekata, potpora tiskanju knjiga, gospodarski projekti, i sl. </w:t>
      </w:r>
    </w:p>
    <w:p w:rsidR="005C2091" w:rsidRDefault="00A86293">
      <w:r>
        <w:t xml:space="preserve"> </w:t>
      </w:r>
    </w:p>
    <w:p w:rsidR="005C2091" w:rsidRDefault="00A86293">
      <w:r>
        <w:t>•</w:t>
      </w:r>
      <w:r>
        <w:tab/>
        <w:t xml:space="preserve">Potpore temeljem Odluke nakon provedenog 2. Javnog poziva za prijavu posebnih potreba i projekata od interesa za Hrvate izvan RH (raspisanog u 2015.) u iznosu od 205.500,00 kn </w:t>
      </w:r>
    </w:p>
    <w:p w:rsidR="005C2091" w:rsidRDefault="00A86293">
      <w:r>
        <w:t>•</w:t>
      </w:r>
      <w:r>
        <w:tab/>
        <w:t xml:space="preserve">Potpore temeljem Odluke nakon provedenog 1. Javnog poziva za prijavu posebnih potreba i projekata od interesa za Hrvate izvan RH u 2016. u iznosu od 869.000,00 kn </w:t>
      </w:r>
    </w:p>
    <w:p w:rsidR="005C2091" w:rsidRDefault="00A86293">
      <w:r>
        <w:t>•</w:t>
      </w:r>
      <w:r>
        <w:tab/>
        <w:t xml:space="preserve">Potpore temeljem Odluke nakon provedenog 2. Javnog poziva zaprijavu posebnih potreba i projekata od interesa za Hrvate izvan RH u 2016. u iznosu od 361.000,00 kn </w:t>
      </w:r>
    </w:p>
    <w:p w:rsidR="005C2091" w:rsidRDefault="00A86293">
      <w:r>
        <w:t xml:space="preserve">  3.</w:t>
      </w:r>
      <w:r>
        <w:tab/>
        <w:t xml:space="preserve">Temeljem provedenog Javnog natječaja za prijavu programa i projekata neprofitnih organizacija hrvatskog iseljeništva u Južnoj Americi i Republici Južnoj Africi u svrhu ostvarenja financijske potpore za 2016. godinu, putem Veleposlanstava RH, doznačene su potpore u ukupnom iznosu od 950.000,00 kn kako slijedi: </w:t>
      </w:r>
    </w:p>
    <w:p w:rsidR="005C2091" w:rsidRDefault="00A86293">
      <w:r>
        <w:t xml:space="preserve"> •</w:t>
      </w:r>
      <w:r>
        <w:tab/>
        <w:t xml:space="preserve">Brazil, Kolumbija, Venezuela                200.000,00 kuna </w:t>
      </w:r>
    </w:p>
    <w:p w:rsidR="005C2091" w:rsidRDefault="00A86293">
      <w:r>
        <w:t>•</w:t>
      </w:r>
      <w:r>
        <w:tab/>
        <w:t xml:space="preserve">Argentina, Paragvaj i Urugvaj              450.000,00 kuna </w:t>
      </w:r>
    </w:p>
    <w:p w:rsidR="005C2091" w:rsidRDefault="00A86293">
      <w:r>
        <w:t>•</w:t>
      </w:r>
      <w:r>
        <w:tab/>
        <w:t xml:space="preserve">Čile, Bolivija, Ekvador i Peru                450.000,00 kuna </w:t>
      </w:r>
    </w:p>
    <w:p w:rsidR="005C2091" w:rsidRDefault="00A86293">
      <w:r>
        <w:t xml:space="preserve"> 4.</w:t>
      </w:r>
      <w:r>
        <w:tab/>
        <w:t xml:space="preserve">Temeljem provedenog Javnog natječaja za financiranje kulturnih, obrazovnih, znanstvenih, zdravstvenih i ostalih programa i projekata od interesa za hrvatski narod u Bosni i Hercegovini za 2016. sa ove aktivnosti isplaćena su sredstva u iznosu od 2.000.000,0 kn za 6 projekta iz područja kulture. </w:t>
      </w:r>
    </w:p>
    <w:p w:rsidR="005C2091" w:rsidRDefault="00A86293">
      <w:r>
        <w:t xml:space="preserve"> 5.</w:t>
      </w:r>
      <w:r>
        <w:tab/>
        <w:t>Odlukom, temeljem provedenog  Javnog natječaja, o dodjeli stipendija za akademsku godinu 2015/2016 sa ove aktivnosti isplaćeno je 80 stipendija – ostatak stipendija je isplaćen sa aktivnosti A862019</w:t>
      </w:r>
      <w:r w:rsidR="00C17231">
        <w:t>.</w:t>
      </w:r>
      <w:r>
        <w:t xml:space="preserve">  </w:t>
      </w:r>
    </w:p>
    <w:p w:rsidR="005C2091" w:rsidRDefault="00A86293">
      <w:r>
        <w:t>Izvršenje na ovoj aktivnosti iznosi 129 % u odnosu na plan iz razloga što su projekti financirani sredstvima od igara na sreću planiranih i ostvarenih u 2016. godini te neutrošenim sredstvima iz prethodne godine u preostalom iznosu.</w:t>
      </w:r>
    </w:p>
    <w:p w:rsidR="005C2091" w:rsidRDefault="00A86293">
      <w:pPr>
        <w:pStyle w:val="Heading8"/>
        <w:jc w:val="left"/>
      </w:pPr>
      <w:r>
        <w:lastRenderedPageBreak/>
        <w:t>Pokazatelji rezultata</w:t>
      </w:r>
    </w:p>
    <w:tbl>
      <w:tblPr>
        <w:tblStyle w:val="StilTablice"/>
        <w:tblW w:w="8502" w:type="dxa"/>
        <w:jc w:val="center"/>
        <w:tblInd w:w="-849" w:type="dxa"/>
        <w:tblLook w:val="04A0" w:firstRow="1" w:lastRow="0" w:firstColumn="1" w:lastColumn="0" w:noHBand="0" w:noVBand="1"/>
      </w:tblPr>
      <w:tblGrid>
        <w:gridCol w:w="3402"/>
        <w:gridCol w:w="1020"/>
        <w:gridCol w:w="1020"/>
        <w:gridCol w:w="1020"/>
        <w:gridCol w:w="1020"/>
        <w:gridCol w:w="1020"/>
      </w:tblGrid>
      <w:tr w:rsidR="00C17231" w:rsidTr="00C17231">
        <w:trPr>
          <w:jc w:val="center"/>
        </w:trPr>
        <w:tc>
          <w:tcPr>
            <w:tcW w:w="3402" w:type="dxa"/>
            <w:shd w:val="clear" w:color="auto" w:fill="B5C0D8"/>
          </w:tcPr>
          <w:p w:rsidR="00C17231" w:rsidRDefault="00C17231">
            <w:pPr>
              <w:jc w:val="center"/>
            </w:pPr>
            <w:r>
              <w:t>Pokazatelj rezultata</w:t>
            </w:r>
          </w:p>
        </w:tc>
        <w:tc>
          <w:tcPr>
            <w:tcW w:w="1020" w:type="dxa"/>
            <w:shd w:val="clear" w:color="auto" w:fill="B5C0D8"/>
          </w:tcPr>
          <w:p w:rsidR="00C17231" w:rsidRDefault="00C17231">
            <w:pPr>
              <w:pStyle w:val="CellHeader"/>
              <w:jc w:val="center"/>
            </w:pPr>
            <w:r>
              <w:rPr>
                <w:rFonts w:cs="Times New Roman"/>
              </w:rPr>
              <w:t>Jedinica</w:t>
            </w:r>
          </w:p>
        </w:tc>
        <w:tc>
          <w:tcPr>
            <w:tcW w:w="1020" w:type="dxa"/>
            <w:shd w:val="clear" w:color="auto" w:fill="B5C0D8"/>
          </w:tcPr>
          <w:p w:rsidR="00C17231" w:rsidRDefault="00C17231">
            <w:pPr>
              <w:pStyle w:val="CellHeader"/>
              <w:jc w:val="center"/>
            </w:pPr>
            <w:r>
              <w:rPr>
                <w:rFonts w:cs="Times New Roman"/>
              </w:rPr>
              <w:t>Polazna vrijednost</w:t>
            </w:r>
          </w:p>
        </w:tc>
        <w:tc>
          <w:tcPr>
            <w:tcW w:w="1020" w:type="dxa"/>
            <w:shd w:val="clear" w:color="auto" w:fill="B5C0D8"/>
          </w:tcPr>
          <w:p w:rsidR="00C17231" w:rsidRDefault="00C17231">
            <w:pPr>
              <w:pStyle w:val="CellHeader"/>
              <w:jc w:val="center"/>
            </w:pPr>
            <w:r>
              <w:rPr>
                <w:rFonts w:cs="Times New Roman"/>
              </w:rPr>
              <w:t>Izvor podataka</w:t>
            </w:r>
          </w:p>
        </w:tc>
        <w:tc>
          <w:tcPr>
            <w:tcW w:w="1020" w:type="dxa"/>
            <w:shd w:val="clear" w:color="auto" w:fill="B5C0D8"/>
          </w:tcPr>
          <w:p w:rsidR="00C17231" w:rsidRDefault="00C17231">
            <w:pPr>
              <w:pStyle w:val="CellHeader"/>
              <w:jc w:val="center"/>
            </w:pPr>
            <w:r>
              <w:rPr>
                <w:rFonts w:cs="Times New Roman"/>
              </w:rPr>
              <w:t>Ciljana vrijednost (2016.)</w:t>
            </w:r>
          </w:p>
        </w:tc>
        <w:tc>
          <w:tcPr>
            <w:tcW w:w="1020" w:type="dxa"/>
            <w:shd w:val="clear" w:color="auto" w:fill="B5C0D8"/>
          </w:tcPr>
          <w:p w:rsidR="00C17231" w:rsidRDefault="00C17231">
            <w:pPr>
              <w:pStyle w:val="CellHeader"/>
              <w:jc w:val="center"/>
            </w:pPr>
            <w:r>
              <w:rPr>
                <w:rFonts w:cs="Times New Roman"/>
              </w:rPr>
              <w:t>Ostvarena vrijednost (2016.)</w:t>
            </w:r>
          </w:p>
        </w:tc>
      </w:tr>
      <w:tr w:rsidR="00C17231" w:rsidTr="00C17231">
        <w:trPr>
          <w:jc w:val="center"/>
        </w:trPr>
        <w:tc>
          <w:tcPr>
            <w:tcW w:w="3402" w:type="dxa"/>
          </w:tcPr>
          <w:p w:rsidR="00C17231" w:rsidRDefault="00C17231">
            <w:pPr>
              <w:pStyle w:val="CellColumn"/>
              <w:jc w:val="left"/>
            </w:pPr>
            <w:r>
              <w:rPr>
                <w:rFonts w:cs="Times New Roman"/>
              </w:rPr>
              <w:t>Broj dodijeljenih naknada za učenje hrvatskog jezika</w:t>
            </w:r>
          </w:p>
        </w:tc>
        <w:tc>
          <w:tcPr>
            <w:tcW w:w="1020" w:type="dxa"/>
          </w:tcPr>
          <w:p w:rsidR="00C17231" w:rsidRDefault="00C17231">
            <w:pPr>
              <w:pStyle w:val="CellColumn"/>
              <w:jc w:val="right"/>
            </w:pPr>
            <w:r>
              <w:rPr>
                <w:rFonts w:cs="Times New Roman"/>
              </w:rPr>
              <w:t>Broj</w:t>
            </w:r>
          </w:p>
        </w:tc>
        <w:tc>
          <w:tcPr>
            <w:tcW w:w="1020" w:type="dxa"/>
          </w:tcPr>
          <w:p w:rsidR="00C17231" w:rsidRDefault="00C17231">
            <w:pPr>
              <w:pStyle w:val="CellColumn"/>
              <w:jc w:val="right"/>
            </w:pPr>
            <w:r>
              <w:rPr>
                <w:rFonts w:cs="Times New Roman"/>
              </w:rPr>
              <w:t>145</w:t>
            </w:r>
          </w:p>
        </w:tc>
        <w:tc>
          <w:tcPr>
            <w:tcW w:w="1020" w:type="dxa"/>
          </w:tcPr>
          <w:p w:rsidR="00C17231" w:rsidRDefault="00C17231">
            <w:pPr>
              <w:pStyle w:val="CellColumn"/>
              <w:jc w:val="right"/>
            </w:pPr>
            <w:r>
              <w:rPr>
                <w:rFonts w:cs="Times New Roman"/>
              </w:rPr>
              <w:t>Strateški plan Središnjeg državnog ureda za Hrvate izvan Republike Hrvatske za razdoblje 2016.-2018.</w:t>
            </w:r>
          </w:p>
        </w:tc>
        <w:tc>
          <w:tcPr>
            <w:tcW w:w="1020" w:type="dxa"/>
          </w:tcPr>
          <w:p w:rsidR="00C17231" w:rsidRDefault="00C17231">
            <w:pPr>
              <w:pStyle w:val="CellColumn"/>
              <w:jc w:val="right"/>
            </w:pPr>
            <w:r>
              <w:rPr>
                <w:rFonts w:cs="Times New Roman"/>
              </w:rPr>
              <w:t>146</w:t>
            </w:r>
          </w:p>
        </w:tc>
        <w:tc>
          <w:tcPr>
            <w:tcW w:w="1020" w:type="dxa"/>
          </w:tcPr>
          <w:p w:rsidR="00C17231" w:rsidRDefault="00C17231">
            <w:pPr>
              <w:pStyle w:val="CellColumn"/>
              <w:jc w:val="right"/>
            </w:pPr>
            <w:r>
              <w:rPr>
                <w:rFonts w:cs="Times New Roman"/>
              </w:rPr>
              <w:t>88</w:t>
            </w:r>
          </w:p>
        </w:tc>
      </w:tr>
      <w:tr w:rsidR="00C17231" w:rsidTr="00C17231">
        <w:trPr>
          <w:jc w:val="center"/>
        </w:trPr>
        <w:tc>
          <w:tcPr>
            <w:tcW w:w="3402" w:type="dxa"/>
          </w:tcPr>
          <w:p w:rsidR="00C17231" w:rsidRDefault="00C17231">
            <w:pPr>
              <w:pStyle w:val="CellColumn"/>
              <w:jc w:val="left"/>
            </w:pPr>
            <w:r>
              <w:rPr>
                <w:rFonts w:cs="Times New Roman"/>
              </w:rPr>
              <w:t xml:space="preserve">Broj ostvarenih smještaja u </w:t>
            </w:r>
          </w:p>
          <w:p w:rsidR="00C17231" w:rsidRDefault="00C17231">
            <w:pPr>
              <w:pStyle w:val="CellColumn"/>
              <w:jc w:val="left"/>
            </w:pPr>
            <w:r>
              <w:rPr>
                <w:rFonts w:cs="Times New Roman"/>
              </w:rPr>
              <w:t>domovima</w:t>
            </w:r>
          </w:p>
        </w:tc>
        <w:tc>
          <w:tcPr>
            <w:tcW w:w="1020" w:type="dxa"/>
          </w:tcPr>
          <w:p w:rsidR="00C17231" w:rsidRDefault="00C17231">
            <w:pPr>
              <w:pStyle w:val="CellColumn"/>
              <w:jc w:val="right"/>
            </w:pPr>
            <w:r>
              <w:rPr>
                <w:rFonts w:cs="Times New Roman"/>
              </w:rPr>
              <w:t>Broj</w:t>
            </w:r>
          </w:p>
        </w:tc>
        <w:tc>
          <w:tcPr>
            <w:tcW w:w="1020" w:type="dxa"/>
          </w:tcPr>
          <w:p w:rsidR="00C17231" w:rsidRDefault="00C17231">
            <w:pPr>
              <w:pStyle w:val="CellColumn"/>
              <w:jc w:val="right"/>
            </w:pPr>
            <w:r>
              <w:rPr>
                <w:rFonts w:cs="Times New Roman"/>
              </w:rPr>
              <w:t>47</w:t>
            </w:r>
          </w:p>
        </w:tc>
        <w:tc>
          <w:tcPr>
            <w:tcW w:w="1020" w:type="dxa"/>
          </w:tcPr>
          <w:p w:rsidR="00C17231" w:rsidRDefault="00C17231">
            <w:pPr>
              <w:pStyle w:val="CellColumn"/>
              <w:jc w:val="right"/>
            </w:pPr>
            <w:r>
              <w:rPr>
                <w:rFonts w:cs="Times New Roman"/>
              </w:rPr>
              <w:t>Strateški plan Središnjeg državnog ureda za Hrvate izvan Republike Hrvatske za razdoblje 2016.-2018.</w:t>
            </w:r>
          </w:p>
        </w:tc>
        <w:tc>
          <w:tcPr>
            <w:tcW w:w="1020" w:type="dxa"/>
          </w:tcPr>
          <w:p w:rsidR="00C17231" w:rsidRDefault="00C17231">
            <w:pPr>
              <w:pStyle w:val="CellColumn"/>
              <w:jc w:val="right"/>
            </w:pPr>
            <w:r>
              <w:rPr>
                <w:rFonts w:cs="Times New Roman"/>
              </w:rPr>
              <w:t>50</w:t>
            </w:r>
          </w:p>
        </w:tc>
        <w:tc>
          <w:tcPr>
            <w:tcW w:w="1020" w:type="dxa"/>
          </w:tcPr>
          <w:p w:rsidR="00C17231" w:rsidRDefault="00C17231">
            <w:pPr>
              <w:pStyle w:val="CellColumn"/>
              <w:jc w:val="right"/>
            </w:pPr>
            <w:r>
              <w:rPr>
                <w:rFonts w:cs="Times New Roman"/>
              </w:rPr>
              <w:t>54</w:t>
            </w:r>
          </w:p>
        </w:tc>
      </w:tr>
    </w:tbl>
    <w:p w:rsidR="005C2091" w:rsidRDefault="005C2091">
      <w:pPr>
        <w:jc w:val="left"/>
      </w:pPr>
    </w:p>
    <w:p w:rsidR="005C2091" w:rsidRDefault="00A86293">
      <w:pPr>
        <w:pStyle w:val="Heading4"/>
      </w:pPr>
      <w:r>
        <w:t>A862022 SAVJET VLADE REPUBLIKE HRVATSKE ZA HRVATE IZVAN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A862022-SAVJET VLADE REPUBLIKE HRVATSKE ZA HRVATE IZVAN REPUBLIKE HRVATSKE</w:t>
            </w:r>
          </w:p>
        </w:tc>
        <w:tc>
          <w:tcPr>
            <w:tcW w:w="2041" w:type="dxa"/>
          </w:tcPr>
          <w:p w:rsidR="005C2091" w:rsidRDefault="00A86293">
            <w:pPr>
              <w:pStyle w:val="CellColumn"/>
              <w:jc w:val="right"/>
            </w:pPr>
            <w:r>
              <w:rPr>
                <w:rFonts w:cs="Times New Roman"/>
              </w:rPr>
              <w:t>327.019</w:t>
            </w:r>
          </w:p>
        </w:tc>
        <w:tc>
          <w:tcPr>
            <w:tcW w:w="2041" w:type="dxa"/>
          </w:tcPr>
          <w:p w:rsidR="005C2091" w:rsidRDefault="00A86293">
            <w:pPr>
              <w:pStyle w:val="CellColumn"/>
              <w:jc w:val="right"/>
            </w:pPr>
            <w:r>
              <w:rPr>
                <w:rFonts w:cs="Times New Roman"/>
              </w:rPr>
              <w:t>452.500</w:t>
            </w:r>
          </w:p>
        </w:tc>
        <w:tc>
          <w:tcPr>
            <w:tcW w:w="2041" w:type="dxa"/>
          </w:tcPr>
          <w:p w:rsidR="005C2091" w:rsidRDefault="00A86293">
            <w:pPr>
              <w:pStyle w:val="CellColumn"/>
              <w:jc w:val="right"/>
            </w:pPr>
            <w:r>
              <w:rPr>
                <w:rFonts w:cs="Times New Roman"/>
              </w:rPr>
              <w:t>370.677</w:t>
            </w:r>
          </w:p>
        </w:tc>
        <w:tc>
          <w:tcPr>
            <w:tcW w:w="1224" w:type="dxa"/>
          </w:tcPr>
          <w:p w:rsidR="005C2091" w:rsidRDefault="00A86293">
            <w:pPr>
              <w:pStyle w:val="CellColumn"/>
              <w:jc w:val="right"/>
            </w:pPr>
            <w:r>
              <w:rPr>
                <w:rFonts w:cs="Times New Roman"/>
              </w:rPr>
              <w:t>81,9</w:t>
            </w:r>
          </w:p>
        </w:tc>
        <w:tc>
          <w:tcPr>
            <w:tcW w:w="1224" w:type="dxa"/>
          </w:tcPr>
          <w:p w:rsidR="005C2091" w:rsidRDefault="00A86293">
            <w:pPr>
              <w:pStyle w:val="CellColumn"/>
              <w:jc w:val="right"/>
            </w:pPr>
            <w:r>
              <w:rPr>
                <w:rFonts w:cs="Times New Roman"/>
              </w:rPr>
              <w:t>113,4</w:t>
            </w:r>
          </w:p>
        </w:tc>
      </w:tr>
    </w:tbl>
    <w:p w:rsidR="005C2091" w:rsidRDefault="005C2091">
      <w:pPr>
        <w:jc w:val="left"/>
      </w:pPr>
    </w:p>
    <w:p w:rsidR="005C2091" w:rsidRDefault="00A86293">
      <w:pPr>
        <w:pStyle w:val="Heading8"/>
        <w:jc w:val="left"/>
      </w:pPr>
      <w:r>
        <w:t>Zakonske i druge pravne osnove</w:t>
      </w:r>
    </w:p>
    <w:p w:rsidR="005C2091" w:rsidRDefault="00A86293">
      <w:r>
        <w:t>Zakon o odnosima Republike Hrvatske s Hrvatima izvan Republike Hrvatske članci od 17 do. 29 (Narodne novine, 124/2011; 16/2012).</w:t>
      </w:r>
    </w:p>
    <w:p w:rsidR="005C2091" w:rsidRDefault="00A86293">
      <w:pPr>
        <w:pStyle w:val="Heading8"/>
        <w:jc w:val="left"/>
      </w:pPr>
      <w:r>
        <w:t>Opis aktivnosti</w:t>
      </w:r>
    </w:p>
    <w:p w:rsidR="005C2091" w:rsidRDefault="00A86293">
      <w:r>
        <w:t xml:space="preserve">Sukladno Odluci Vlade RH od 6. lipnja 2013. godine, osnovan je Savjet Vlade Republike Hrvatske za Hrvate izvan Republike Hrvatske. Najmanje jednom godišnje, održat će se sastanak članova Savjeta u Republici Hrvatskoj, od </w:t>
      </w:r>
      <w:r>
        <w:lastRenderedPageBreak/>
        <w:t xml:space="preserve">kojih 55 dolazi iz inozemstva. Kao savjetodavno tijelo, Savjet ima zadaću pružati pomoć Vladi RH u kreiranju i provedbi politike, aktivnosti i programa. </w:t>
      </w:r>
    </w:p>
    <w:p w:rsidR="005C2091" w:rsidRDefault="00A86293">
      <w:r>
        <w:t xml:space="preserve">Temeljem članka 9. Odluke, troškovi organizacije sastanka Savjeta pokrivaju se iz sredstava Državnog ureda za Hrvate izvan Republike Hrvatske. </w:t>
      </w:r>
    </w:p>
    <w:p w:rsidR="005C2091" w:rsidRDefault="00A86293">
      <w:r>
        <w:t xml:space="preserve">3.sjednica Savjeta održana je u razdoblju od 9.- 10. prosinca 2016. godine u Vukovaru – na najvišoj razini. </w:t>
      </w:r>
    </w:p>
    <w:p w:rsidR="005C2091" w:rsidRDefault="00A86293">
      <w:r>
        <w:t xml:space="preserve">Na sjednici Vladina Savjeta za Hrvate izvan Republike Hrvatske razgovaralo se o prijedlozima izmjena i dopuna Zakona o odnosima Republike Hrvatske s Hrvatima izvan Republike Hrvatske, te pripadajuće Strategije s naglaskom na predlaganje mjera i aktivnosti s ciljem poticanja povratka hrvatskih iseljenika i njihovih potomaka. Tijekom sjednice Savjeta predstavljeni su i rezultati rada te aktivnosti, programi i projekti koje provodi SDUHIRH. </w:t>
      </w:r>
    </w:p>
    <w:p w:rsidR="005C2091" w:rsidRDefault="00A86293">
      <w:r>
        <w:t xml:space="preserve">Na sjednici Savjeta, održan je poseban panel Kultura/obrazovanje/znanost na kojemu je, uz članove Savjeta i djelatnike Ureda, sudjelovao državni tajnik u Ministarstvu znanosti i obrazovanja dr. sc. Matko Glunčić i rektor Sveučilišta u Zagrebu dr. sc. Damir Boras, koji je rezultirao zaključcima od kojih posebno ističemo potrebu osiguravanja posebnih upisnih kvota za Hrvate izvan Republike Hrvatske na sveučilištima u Republici Hrvatskoj te potporu učenju i poučavanju hrvatskoga jezika u inozemstvu. </w:t>
      </w:r>
    </w:p>
    <w:p w:rsidR="005C2091" w:rsidRDefault="00A86293">
      <w:r>
        <w:t xml:space="preserve">Nadalje, na sjednici Savjeta održan je i poseban panel na temu investicija, gospodarske suradnje i konkurentnosti na kojemu su, uz članove Savjeta i djelatnike SDUHIRH-a, sudjelovali predstavnici Agencije za regionalni razvoj Republike Hrvatske i Agencije za investicije i konkurentnost. Članovima Savjeta Vlade Republike Hrvatske za Hrvate izvan Republike Hrvatske predstavljene su investicijske mogućnosti u Republiku Hrvatsku, modeli gospodarske suradnje i umrežavanja hrvatskih poduzetnika diljem svijeta, mogućnosti korištenja sredstava fondova Europske unije, modeli prekogranične suradnje te načini jačanja konkurentnosti hrvatskog gospodarstva. </w:t>
      </w:r>
    </w:p>
    <w:p w:rsidR="005C2091" w:rsidRDefault="00A86293">
      <w:r>
        <w:t>SDUHIRH je osigurao administrativnu, tehničku i   drugu potporu radu članova Savjeta.</w:t>
      </w:r>
    </w:p>
    <w:p w:rsidR="00C17231" w:rsidRDefault="00C17231"/>
    <w:p w:rsidR="00C17231" w:rsidRDefault="00C17231"/>
    <w:p w:rsidR="00C17231" w:rsidRDefault="00C17231"/>
    <w:p w:rsidR="005C2091" w:rsidRDefault="00A86293">
      <w:pPr>
        <w:pStyle w:val="Heading4"/>
      </w:pPr>
      <w:r>
        <w:t>A862024 MEĐUVLADINI MJEŠOVITI ODBORI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A862024-MEĐUVLADINI MJEŠOVITI ODBORI</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36.000</w:t>
            </w:r>
          </w:p>
        </w:tc>
        <w:tc>
          <w:tcPr>
            <w:tcW w:w="2041"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Sporazum između Republike Hrvatske i Republike Mađarske o zaštiti mađarske manjine u RH i hrvatske manjine u Mađarskoj (Narodne novine – Međunarodni ugovori, br 8/1995. ); Sporazum između Republike Hrvatske i Srbije i Crne Gore o zaštiti prava hrvatske manjine u Srbiji i Crnoj Gori i srpske i crnogorske manjine u Republici Hrvatskoj (Narodne novine – Međunarodni ugovori, br 3/2005); Sporazum između Republike Hrvatske i Republike Makedonije o zaštiti prava hrvatske manjine u Republici Makedoniji i makedonske manjine u Republici Hrvatskoj (Narodne novine – Međunarodni ugovori, br. 3/2008.); Sporazum između Republike Hrvatske i Crne Gore  o zaštiti prava hrvatske manjine u Crnoj Gori i crnogorske manjine u Republici Hrvatskoj (Narodne novine – Međunarodni ugovori, br 9/2009).</w:t>
      </w:r>
    </w:p>
    <w:p w:rsidR="005C2091" w:rsidRDefault="00A86293">
      <w:pPr>
        <w:pStyle w:val="Heading8"/>
        <w:jc w:val="left"/>
      </w:pPr>
      <w:r>
        <w:t>Opis aktivnosti</w:t>
      </w:r>
    </w:p>
    <w:p w:rsidR="005C2091" w:rsidRDefault="00A86293">
      <w:r>
        <w:t xml:space="preserve">Međuvladini Mješoviti odbori za manjine osnovani su temeljem potpisanih Sporazuma Republike Hrvatske sa zemljama u kojima živi hrvatska nacionalna manjina (Crna Gora, Mađarska, Makedonija i Srbija), sa zadaćom praćenja ostvarivanja odredbi sporazuma između zemalja potpisnica o uzajamnoj zaštiti prava manjina. </w:t>
      </w:r>
    </w:p>
    <w:p w:rsidR="005C2091" w:rsidRDefault="00A86293">
      <w:r>
        <w:lastRenderedPageBreak/>
        <w:t xml:space="preserve">Međuvladini Mješoviti odbori sastaju se po potrebi, a najmanje jedanput godišnje, naizmjence u Republici Hrvatskoj odnosno zemlji potpisnici ugovora. </w:t>
      </w:r>
    </w:p>
    <w:p w:rsidR="005C2091" w:rsidRDefault="00A86293">
      <w:r>
        <w:t xml:space="preserve">Zadaci međuvladinih Mješovitih odbora su slijedeći: </w:t>
      </w:r>
    </w:p>
    <w:p w:rsidR="005C2091" w:rsidRDefault="00A86293">
      <w:r>
        <w:t>•</w:t>
      </w:r>
      <w:r>
        <w:tab/>
        <w:t xml:space="preserve">raspravljati o aktualnim pitanjima manjina; </w:t>
      </w:r>
    </w:p>
    <w:p w:rsidR="005C2091" w:rsidRDefault="00A86293">
      <w:r>
        <w:t>•</w:t>
      </w:r>
      <w:r>
        <w:tab/>
        <w:t xml:space="preserve">ocjenjivati ostvarivanje obveza prema sporazumu; </w:t>
      </w:r>
    </w:p>
    <w:p w:rsidR="005C2091" w:rsidRDefault="00A86293">
      <w:r>
        <w:t>•</w:t>
      </w:r>
      <w:r>
        <w:tab/>
        <w:t xml:space="preserve">pripremati i usvajati preporuke vlastitoj vladi u svezi s ostvarivanjem i, u slučaju potrebe, izmjenom Sporazuma </w:t>
      </w:r>
    </w:p>
    <w:p w:rsidR="005C2091" w:rsidRDefault="00A86293">
      <w:r>
        <w:t xml:space="preserve">Odluke Mješovitog odbora usvajaju se konsenzusom ugovornih stranaka. </w:t>
      </w:r>
    </w:p>
    <w:p w:rsidR="005C2091" w:rsidRDefault="00A86293">
      <w:r>
        <w:t xml:space="preserve">Hrvatska strana je više puta predlagala moguće termine zasjedanja Crnoj Gori, Mađarskoj, Makedoniji i Srbiji, ipak termin održavanja nije dogovoren te zasjedanja MMO-a nisu održana u 2016. godini. </w:t>
      </w:r>
    </w:p>
    <w:p w:rsidR="005C2091" w:rsidRDefault="00A86293">
      <w:r>
        <w:t>Nastavak aktivnosti planiran je u 2017. godini.</w:t>
      </w:r>
    </w:p>
    <w:p w:rsidR="005C2091" w:rsidRDefault="00A86293">
      <w:pPr>
        <w:pStyle w:val="Heading4"/>
      </w:pPr>
      <w:r>
        <w:t>K862017 INFORMATIZACIJA DRŽAVNOG UREDA ZA HRVATE IZVAN REPUBLIKE HRVATSKE</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K862017-INFORMATIZACIJA DRŽAVNOG UREDA ZA HRVATE IZVAN REPUBLIKE HRVATSKE</w:t>
            </w:r>
          </w:p>
        </w:tc>
        <w:tc>
          <w:tcPr>
            <w:tcW w:w="2041" w:type="dxa"/>
          </w:tcPr>
          <w:p w:rsidR="005C2091" w:rsidRDefault="00A86293">
            <w:pPr>
              <w:pStyle w:val="CellColumn"/>
              <w:jc w:val="right"/>
            </w:pPr>
            <w:r>
              <w:rPr>
                <w:rFonts w:cs="Times New Roman"/>
              </w:rPr>
              <w:t>52.440</w:t>
            </w:r>
          </w:p>
        </w:tc>
        <w:tc>
          <w:tcPr>
            <w:tcW w:w="2041" w:type="dxa"/>
          </w:tcPr>
          <w:p w:rsidR="005C2091" w:rsidRDefault="00A86293">
            <w:pPr>
              <w:pStyle w:val="CellColumn"/>
              <w:jc w:val="right"/>
            </w:pPr>
            <w:r>
              <w:rPr>
                <w:rFonts w:cs="Times New Roman"/>
              </w:rPr>
              <w:t>47.000</w:t>
            </w:r>
          </w:p>
        </w:tc>
        <w:tc>
          <w:tcPr>
            <w:tcW w:w="2041" w:type="dxa"/>
          </w:tcPr>
          <w:p w:rsidR="005C2091" w:rsidRDefault="00A86293">
            <w:pPr>
              <w:pStyle w:val="CellColumn"/>
              <w:jc w:val="right"/>
            </w:pPr>
            <w:r>
              <w:rPr>
                <w:rFonts w:cs="Times New Roman"/>
              </w:rPr>
              <w:t>37.907</w:t>
            </w:r>
          </w:p>
        </w:tc>
        <w:tc>
          <w:tcPr>
            <w:tcW w:w="1224" w:type="dxa"/>
          </w:tcPr>
          <w:p w:rsidR="005C2091" w:rsidRDefault="00A86293">
            <w:pPr>
              <w:pStyle w:val="CellColumn"/>
              <w:jc w:val="right"/>
            </w:pPr>
            <w:r>
              <w:rPr>
                <w:rFonts w:cs="Times New Roman"/>
              </w:rPr>
              <w:t>80,7</w:t>
            </w:r>
          </w:p>
        </w:tc>
        <w:tc>
          <w:tcPr>
            <w:tcW w:w="1224" w:type="dxa"/>
          </w:tcPr>
          <w:p w:rsidR="005C2091" w:rsidRDefault="00A86293">
            <w:pPr>
              <w:pStyle w:val="CellColumn"/>
              <w:jc w:val="right"/>
            </w:pPr>
            <w:r>
              <w:rPr>
                <w:rFonts w:cs="Times New Roman"/>
              </w:rPr>
              <w:t>72,3</w:t>
            </w:r>
          </w:p>
        </w:tc>
      </w:tr>
    </w:tbl>
    <w:p w:rsidR="005C2091" w:rsidRDefault="005C2091">
      <w:pPr>
        <w:jc w:val="left"/>
      </w:pPr>
    </w:p>
    <w:p w:rsidR="005C2091" w:rsidRDefault="00A86293">
      <w:pPr>
        <w:pStyle w:val="Heading8"/>
        <w:jc w:val="left"/>
      </w:pPr>
      <w:r>
        <w:t>Opis aktivnosti</w:t>
      </w:r>
    </w:p>
    <w:p w:rsidR="005C2091" w:rsidRDefault="00A86293">
      <w:r>
        <w:t>Na ovoj aktivnosti osigurana su sredstva za informatizaciju SDUHIRH, a utrošena su na nabavu informatičke opreme.</w:t>
      </w:r>
    </w:p>
    <w:p w:rsidR="005C2091" w:rsidRDefault="00A86293">
      <w:pPr>
        <w:pStyle w:val="Heading2"/>
      </w:pPr>
      <w:r>
        <w:t>03210 Hrvatska matica iseljenika</w:t>
      </w:r>
    </w:p>
    <w:p w:rsidR="005C2091" w:rsidRDefault="00A86293">
      <w:r>
        <w:t xml:space="preserve">Hrvatska matica iseljenika (HMI), utemeljena 1951., nacionalna je ustanova čija je misija očuvanje materinskog jezika i kulture te identiteta među pripadnicima hrvatskog naroda izvan Republike Hrvatske, kojih u svijetu ima više od tri i pol milijuna - s ciljem njihovog doprinosa u svim područjima ljudske djelatnosti razvoju matične zemlje te zapošljavanju povratnika u domovini. Djeluje u skladu s Zakonom o HMI (1990.). Unutarnji ustroj određen joj je Statutom, koji je Upravni odbor HMI prihvatio 6. 2. 1992. Osnivač HMI je RH, čija osnivačka prava obavlja Državni ured za Hrvate izvan Republike Hrvatske. </w:t>
      </w:r>
    </w:p>
    <w:p w:rsidR="005C2091" w:rsidRDefault="00A86293">
      <w:r>
        <w:t>Temeljni dokumenti HMI definiraju kao središnju nacionalnu ustanovu za obavljanje društvene i neprofitne gospodarske djelatnosti od značenja za položaj hrvatskih iseljeničkih zajednica i manjina u četrdesetak zemalja svijeta. HMI stoga u zemlji i inozemstvu provodi brojne jezične, kulturne, obrazovne, nakladničke, informativne, ekološke, marketinške i sportske programe - prilagođavajući ih specifičnostima suvremene mobilnosti hrvatskih zajednica iz višejezičnih i višekulturnih sredina od Sjeverne i Južne Amerike, preko juga Afrike do Australije i Novoga Zelanda, uključivši i zemlje iz europskih prostora u kojima privremeno boravi naše brojno radništvo ili višestoljetno žive hrvatske manjinske zajednice poput onih iz zemalja srednje i jugoistočne Europe.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lastRenderedPageBreak/>
              <w:t>03210-Hrvatska matica iseljenika</w:t>
            </w:r>
          </w:p>
        </w:tc>
        <w:tc>
          <w:tcPr>
            <w:tcW w:w="2041" w:type="dxa"/>
            <w:vAlign w:val="top"/>
          </w:tcPr>
          <w:p w:rsidR="005C2091" w:rsidRDefault="00A86293">
            <w:pPr>
              <w:pStyle w:val="CellColumn"/>
              <w:jc w:val="right"/>
            </w:pPr>
            <w:r>
              <w:rPr>
                <w:rFonts w:cs="Times New Roman"/>
              </w:rPr>
              <w:t>4.493.764</w:t>
            </w:r>
          </w:p>
        </w:tc>
        <w:tc>
          <w:tcPr>
            <w:tcW w:w="2041" w:type="dxa"/>
            <w:vAlign w:val="top"/>
          </w:tcPr>
          <w:p w:rsidR="005C2091" w:rsidRDefault="00A86293">
            <w:pPr>
              <w:pStyle w:val="CellColumn"/>
              <w:jc w:val="right"/>
            </w:pPr>
            <w:r>
              <w:rPr>
                <w:rFonts w:cs="Times New Roman"/>
              </w:rPr>
              <w:t>4.397.635</w:t>
            </w:r>
          </w:p>
        </w:tc>
        <w:tc>
          <w:tcPr>
            <w:tcW w:w="2041" w:type="dxa"/>
            <w:vAlign w:val="top"/>
          </w:tcPr>
          <w:p w:rsidR="005C2091" w:rsidRDefault="00A86293">
            <w:pPr>
              <w:pStyle w:val="CellColumn"/>
              <w:jc w:val="right"/>
            </w:pPr>
            <w:r>
              <w:rPr>
                <w:rFonts w:cs="Times New Roman"/>
              </w:rPr>
              <w:t>4.395.440</w:t>
            </w:r>
          </w:p>
        </w:tc>
        <w:tc>
          <w:tcPr>
            <w:tcW w:w="1224" w:type="dxa"/>
            <w:vAlign w:val="top"/>
          </w:tcPr>
          <w:p w:rsidR="005C2091" w:rsidRDefault="00A86293">
            <w:pPr>
              <w:pStyle w:val="CellColumn"/>
              <w:jc w:val="right"/>
            </w:pPr>
            <w:r>
              <w:rPr>
                <w:rFonts w:cs="Times New Roman"/>
              </w:rPr>
              <w:t>100,0</w:t>
            </w:r>
          </w:p>
        </w:tc>
        <w:tc>
          <w:tcPr>
            <w:tcW w:w="1224" w:type="dxa"/>
            <w:vAlign w:val="top"/>
          </w:tcPr>
          <w:p w:rsidR="005C2091" w:rsidRDefault="00A86293">
            <w:pPr>
              <w:pStyle w:val="CellColumn"/>
              <w:jc w:val="right"/>
            </w:pPr>
            <w:r>
              <w:rPr>
                <w:rFonts w:cs="Times New Roman"/>
              </w:rPr>
              <w:t>97,8</w:t>
            </w:r>
          </w:p>
        </w:tc>
      </w:tr>
      <w:tr w:rsidR="005C2091">
        <w:trPr>
          <w:jc w:val="center"/>
        </w:trPr>
        <w:tc>
          <w:tcPr>
            <w:tcW w:w="1632" w:type="dxa"/>
          </w:tcPr>
          <w:p w:rsidR="005C2091" w:rsidRDefault="00A86293">
            <w:pPr>
              <w:jc w:val="left"/>
            </w:pPr>
            <w:r>
              <w:t>2306-PROGRAMI HRVATA IZVAN REPUBLIKE HRVATSKE</w:t>
            </w:r>
          </w:p>
        </w:tc>
        <w:tc>
          <w:tcPr>
            <w:tcW w:w="2041" w:type="dxa"/>
          </w:tcPr>
          <w:p w:rsidR="005C2091" w:rsidRDefault="00A86293">
            <w:pPr>
              <w:jc w:val="right"/>
            </w:pPr>
            <w:r>
              <w:t>4.493.764</w:t>
            </w:r>
          </w:p>
        </w:tc>
        <w:tc>
          <w:tcPr>
            <w:tcW w:w="2041" w:type="dxa"/>
          </w:tcPr>
          <w:p w:rsidR="005C2091" w:rsidRDefault="00A86293">
            <w:pPr>
              <w:jc w:val="right"/>
            </w:pPr>
            <w:r>
              <w:t>4.397.635</w:t>
            </w:r>
          </w:p>
        </w:tc>
        <w:tc>
          <w:tcPr>
            <w:tcW w:w="2041" w:type="dxa"/>
          </w:tcPr>
          <w:p w:rsidR="005C2091" w:rsidRDefault="00A86293">
            <w:pPr>
              <w:jc w:val="right"/>
            </w:pPr>
            <w:r>
              <w:t>4.395.440</w:t>
            </w:r>
          </w:p>
        </w:tc>
        <w:tc>
          <w:tcPr>
            <w:tcW w:w="1224" w:type="dxa"/>
          </w:tcPr>
          <w:p w:rsidR="005C2091" w:rsidRDefault="00A86293">
            <w:pPr>
              <w:jc w:val="right"/>
            </w:pPr>
            <w:r>
              <w:t>100,0</w:t>
            </w:r>
          </w:p>
        </w:tc>
        <w:tc>
          <w:tcPr>
            <w:tcW w:w="1224" w:type="dxa"/>
          </w:tcPr>
          <w:p w:rsidR="005C2091" w:rsidRDefault="00A86293">
            <w:pPr>
              <w:jc w:val="right"/>
            </w:pPr>
            <w:r>
              <w:t>97,8</w:t>
            </w:r>
          </w:p>
        </w:tc>
      </w:tr>
    </w:tbl>
    <w:p w:rsidR="005C2091" w:rsidRDefault="005C2091">
      <w:pPr>
        <w:jc w:val="left"/>
      </w:pPr>
    </w:p>
    <w:p w:rsidR="005C2091" w:rsidRDefault="00A86293">
      <w:pPr>
        <w:pStyle w:val="Heading3"/>
      </w:pPr>
      <w:r>
        <w:rPr>
          <w:rFonts w:cs="Times New Roman"/>
        </w:rPr>
        <w:t>2306 PROGRAMI HRVATA IZVAN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2306-PROGRAMI HRVATA IZVAN REPUBLIKE HRVATSKE</w:t>
            </w:r>
          </w:p>
        </w:tc>
        <w:tc>
          <w:tcPr>
            <w:tcW w:w="2041" w:type="dxa"/>
          </w:tcPr>
          <w:p w:rsidR="005C2091" w:rsidRDefault="00A86293">
            <w:pPr>
              <w:pStyle w:val="CellColumn"/>
              <w:jc w:val="right"/>
            </w:pPr>
            <w:r>
              <w:rPr>
                <w:rFonts w:cs="Times New Roman"/>
              </w:rPr>
              <w:t>4.493.764</w:t>
            </w:r>
          </w:p>
        </w:tc>
        <w:tc>
          <w:tcPr>
            <w:tcW w:w="2041" w:type="dxa"/>
          </w:tcPr>
          <w:p w:rsidR="005C2091" w:rsidRDefault="00A86293">
            <w:pPr>
              <w:pStyle w:val="CellColumn"/>
              <w:jc w:val="right"/>
            </w:pPr>
            <w:r>
              <w:rPr>
                <w:rFonts w:cs="Times New Roman"/>
              </w:rPr>
              <w:t>4.397.635</w:t>
            </w:r>
          </w:p>
        </w:tc>
        <w:tc>
          <w:tcPr>
            <w:tcW w:w="2041" w:type="dxa"/>
          </w:tcPr>
          <w:p w:rsidR="005C2091" w:rsidRDefault="00A86293">
            <w:pPr>
              <w:pStyle w:val="CellColumn"/>
              <w:jc w:val="right"/>
            </w:pPr>
            <w:r>
              <w:rPr>
                <w:rFonts w:cs="Times New Roman"/>
              </w:rPr>
              <w:t>4.395.440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97,8</w:t>
            </w:r>
          </w:p>
        </w:tc>
      </w:tr>
    </w:tbl>
    <w:p w:rsidR="005C2091" w:rsidRDefault="005C2091">
      <w:pPr>
        <w:jc w:val="left"/>
      </w:pPr>
    </w:p>
    <w:p w:rsidR="005C2091" w:rsidRDefault="00A86293">
      <w:r>
        <w:t>Hrvatska matica iseljenika organizira i provodi obrazovne, jezične, kulturne, baštinske, nakladničke, ekološke, neprofitne gospodarske, sportske i informativne programe uz podršku suvremenih informacijsko-komunikacijskih tehnologija. Tako se u zemlji i inozemstvu tradicionalno priređuju: radionice i škole hrvatskog jezika, povijesti i kulture; radionice tradicijske plesne i glazbene kulture; filmske i kazališne radionice; seminari za usavršavanje novinara za rad s novim medijima; festivali i glazbeno-scenske manifestacije kulturnoga stvaralaštva; manifestacije iz svijeta knjige, prevodilaštva i knjižničarske djelatnosti te literarna natjecanja i stručne tribine s migrantskom tematikom, uz stvaranje digitalnog repozitorija iseljeničkih knjiga i ostalih on line publikacija; objelodanjuju se časopisi i serijske publikacije (elektronički dnevnik tj. web portal HMI, elektronički tjednik, mjesečnik Matica, godišnjak Hrvatski iseljenički zbornik); Tiskaju se knjige s tematikom iz života migranata raznih provenijencija i prezentira se nakladništvo na klasičnim i novim medijima; izložbe i manifestacije iz izvedbenih umjetnosti te područja likovnog stvaralaštva, kao i galerijsko- muzejske djelatnosti s tendencijom izgradnje središnjeg baštinskog depoa iseljeništva; stručni skupovi iz područja stvaralaštva izvan matične zemlje; stručne ekskurzije kulturnog turizma učenika i studenata kao i sportaša hrvatskih korijena po RH i BiH; gostovanja i razmjene kulturnih udruga i sportskih grupa iz domovine i svijeta; sportski susreti i natjecanja.</w:t>
      </w:r>
    </w:p>
    <w:p w:rsidR="005C2091" w:rsidRDefault="00A86293">
      <w:pPr>
        <w:pStyle w:val="Heading8"/>
        <w:jc w:val="left"/>
      </w:pPr>
      <w:r>
        <w:t xml:space="preserve">Cilj 1. Razvoj  i  poticanje  dijaloga s Hrvatima  u iseljeništvu </w:t>
      </w:r>
    </w:p>
    <w:p w:rsidR="005C2091" w:rsidRDefault="00A86293">
      <w:pPr>
        <w:pStyle w:val="Heading4"/>
      </w:pPr>
      <w:r>
        <w:t>A565022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A565022-ADMINISTRACIJA I UPRAVLJANJE</w:t>
            </w:r>
          </w:p>
        </w:tc>
        <w:tc>
          <w:tcPr>
            <w:tcW w:w="2041" w:type="dxa"/>
          </w:tcPr>
          <w:p w:rsidR="005C2091" w:rsidRDefault="00A86293">
            <w:pPr>
              <w:pStyle w:val="CellColumn"/>
              <w:jc w:val="right"/>
            </w:pPr>
            <w:r>
              <w:rPr>
                <w:rFonts w:cs="Times New Roman"/>
              </w:rPr>
              <w:t>4.493.764</w:t>
            </w:r>
          </w:p>
        </w:tc>
        <w:tc>
          <w:tcPr>
            <w:tcW w:w="2041" w:type="dxa"/>
          </w:tcPr>
          <w:p w:rsidR="005C2091" w:rsidRDefault="00A86293">
            <w:pPr>
              <w:pStyle w:val="CellColumn"/>
              <w:jc w:val="right"/>
            </w:pPr>
            <w:r>
              <w:rPr>
                <w:rFonts w:cs="Times New Roman"/>
              </w:rPr>
              <w:t>4.397.635</w:t>
            </w:r>
          </w:p>
        </w:tc>
        <w:tc>
          <w:tcPr>
            <w:tcW w:w="2041" w:type="dxa"/>
          </w:tcPr>
          <w:p w:rsidR="005C2091" w:rsidRDefault="00A86293">
            <w:pPr>
              <w:pStyle w:val="CellColumn"/>
              <w:jc w:val="right"/>
            </w:pPr>
            <w:r>
              <w:rPr>
                <w:rFonts w:cs="Times New Roman"/>
              </w:rPr>
              <w:t>4.395.440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97,8</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Hrvatskoj matici iseljenika (Narodne Novine 59/90.); Strategija o suradnji RH s Hrvatima  izvan RH i Zakon o odnosima RH s Hrvatima izvan RH (Narodne Novine 124/11, 16/12). Skrb za Hrvate izvan RH sastavni je dio unutarnje i vanjske politike RH. Uz Strategiju, potkraj 2011., usvojen je Zakon o odnosima RH s Hrvatima izvan RH. Početkom 2012. g. osnovan je Državni ured zaHrvate izvan RH. Savjet je utemeljen Odlukom Vlade </w:t>
      </w:r>
      <w:r>
        <w:lastRenderedPageBreak/>
        <w:t>Republike Hrvatske, 6. 06. 2013. Time su stvorene temeljne pravne i institucionalne pretpostavke za izgradnju sustavne suradnje s pripadnicima hrvatskog naroda koji žive izvan granica RH: 1. bosanskohercegovačkimHrvatima, 2. hrvatskoj nacionalnoj manjini u 12 europskih i susjednih zemalja, 3. te s hrvatskim europskim i prekooceanskim iseljeništvom.</w:t>
      </w:r>
    </w:p>
    <w:p w:rsidR="005C2091" w:rsidRDefault="00A86293">
      <w:pPr>
        <w:pStyle w:val="Heading8"/>
        <w:jc w:val="left"/>
      </w:pPr>
      <w:r>
        <w:t>Opis aktivnosti</w:t>
      </w:r>
    </w:p>
    <w:p w:rsidR="005C2091" w:rsidRDefault="00A86293">
      <w:r>
        <w:t xml:space="preserve">I. Programi i projekti učenja hrvatskoga jezika, povijesti i kulture na svim obrazovnim razinama </w:t>
      </w:r>
    </w:p>
    <w:p w:rsidR="005C2091" w:rsidRDefault="00A86293">
      <w:r>
        <w:t xml:space="preserve"> Sveučilišna škola hrvatskoga jezika i kulture (ljetna i zimska sesija); </w:t>
      </w:r>
    </w:p>
    <w:p w:rsidR="005C2091" w:rsidRDefault="00A86293">
      <w:r>
        <w:t>1.</w:t>
      </w:r>
      <w:r>
        <w:tab/>
        <w:t xml:space="preserve">Mala škola hrvatskog jezika i kulture; </w:t>
      </w:r>
    </w:p>
    <w:p w:rsidR="005C2091" w:rsidRDefault="00A86293">
      <w:r>
        <w:t>2.</w:t>
      </w:r>
      <w:r>
        <w:tab/>
        <w:t xml:space="preserve">HOLA - nastava hrvatskoga jezika i kulture u zemljama španjolskoga govornoga područja u Južnoj Americi; </w:t>
      </w:r>
    </w:p>
    <w:p w:rsidR="005C2091" w:rsidRDefault="00A86293">
      <w:r>
        <w:t>3.</w:t>
      </w:r>
      <w:r>
        <w:tab/>
        <w:t xml:space="preserve">Hrvatski dani u višejezičnim sredinama s hrvatskim zajednicama; </w:t>
      </w:r>
    </w:p>
    <w:p w:rsidR="005C2091" w:rsidRDefault="00A86293">
      <w:r>
        <w:t xml:space="preserve"> 4.</w:t>
      </w:r>
      <w:r>
        <w:tab/>
        <w:t xml:space="preserve">Hrvatski internetski tečaj HiT1, on-line tečaj hrvatskoga jezika i kulture; </w:t>
      </w:r>
    </w:p>
    <w:p w:rsidR="005C2091" w:rsidRDefault="00A86293">
      <w:r>
        <w:t xml:space="preserve"> 5.</w:t>
      </w:r>
      <w:r>
        <w:tab/>
        <w:t xml:space="preserve">Digitalni repozitorij Hrvatski izvan domovine - hrID rastuća je Matičina baza udžbenika i priručnika te ostalih nastavnih materijala namijenjenih učenicima, učiteljima i roditeljima za poučavanje hrvatskoga jezika u višejezičnim i višekulturnim sredinama (s metodikom inojezičnog hrvatskog). </w:t>
      </w:r>
    </w:p>
    <w:p w:rsidR="005C2091" w:rsidRDefault="00A86293">
      <w:r>
        <w:t xml:space="preserve"> 6.</w:t>
      </w:r>
      <w:r>
        <w:tab/>
        <w:t xml:space="preserve">Literarni natječaji učenika u hrvatskom jeziku; </w:t>
      </w:r>
    </w:p>
    <w:p w:rsidR="005C2091" w:rsidRDefault="00A86293">
      <w:r>
        <w:t xml:space="preserve"> •</w:t>
      </w:r>
      <w:r>
        <w:tab/>
        <w:t xml:space="preserve">Stručna pomoć učiteljima i lektorima hrvatskoga jezika u svijetu, sudjelovanje na simpozijima dodirnoga jezikoslovlja, ekskurzije učenika u domovinu, razmjena učenika i studenata; </w:t>
      </w:r>
    </w:p>
    <w:p w:rsidR="005C2091" w:rsidRDefault="00A86293">
      <w:r>
        <w:t xml:space="preserve"> •</w:t>
      </w:r>
      <w:r>
        <w:tab/>
        <w:t xml:space="preserve">Stipendije za Matičine radionice i škole te humanitarna pomoć djeci i mladima iz iseljeništva. </w:t>
      </w:r>
    </w:p>
    <w:p w:rsidR="005C2091" w:rsidRDefault="00A86293">
      <w:r>
        <w:t xml:space="preserve">  II</w:t>
      </w:r>
      <w:r>
        <w:tab/>
        <w:t xml:space="preserve">Programi i projekti razvika hrvatske kulture i očuvanja baštine </w:t>
      </w:r>
    </w:p>
    <w:p w:rsidR="005C2091" w:rsidRDefault="00A86293">
      <w:r>
        <w:t xml:space="preserve"> •</w:t>
      </w:r>
      <w:r>
        <w:tab/>
        <w:t xml:space="preserve">Škola hrvatskoga folklora (ljetna i zimska sesija); </w:t>
      </w:r>
    </w:p>
    <w:p w:rsidR="005C2091" w:rsidRDefault="00A86293">
      <w:r>
        <w:t xml:space="preserve"> •</w:t>
      </w:r>
      <w:r>
        <w:tab/>
        <w:t xml:space="preserve">Rukotvorstvo „Hrvatska etnoriznica“ – radionica narodnih nošnji;  </w:t>
      </w:r>
    </w:p>
    <w:p w:rsidR="005C2091" w:rsidRDefault="00A86293">
      <w:r>
        <w:t xml:space="preserve"> •</w:t>
      </w:r>
      <w:r>
        <w:tab/>
        <w:t xml:space="preserve">Manifestacije glazbeno-scenskih projekata </w:t>
      </w:r>
    </w:p>
    <w:p w:rsidR="005C2091" w:rsidRDefault="00A86293">
      <w:r>
        <w:t xml:space="preserve"> •</w:t>
      </w:r>
      <w:r>
        <w:tab/>
        <w:t xml:space="preserve">Turneje folklornih ansambala iz iseljeništva </w:t>
      </w:r>
    </w:p>
    <w:p w:rsidR="005C2091" w:rsidRDefault="00A86293">
      <w:r>
        <w:t xml:space="preserve"> </w:t>
      </w:r>
    </w:p>
    <w:p w:rsidR="005C2091" w:rsidRDefault="00A86293">
      <w:r>
        <w:t>•</w:t>
      </w:r>
      <w:r>
        <w:tab/>
        <w:t xml:space="preserve">Dani hrvatskog pučkog teatra </w:t>
      </w:r>
    </w:p>
    <w:p w:rsidR="005C2091" w:rsidRDefault="00A86293">
      <w:r>
        <w:t xml:space="preserve"> •</w:t>
      </w:r>
      <w:r>
        <w:tab/>
        <w:t xml:space="preserve">Kazališni seminar „Stvaranje kazališta“;  </w:t>
      </w:r>
    </w:p>
    <w:p w:rsidR="005C2091" w:rsidRDefault="00A86293">
      <w:r>
        <w:t xml:space="preserve"> •</w:t>
      </w:r>
      <w:r>
        <w:tab/>
        <w:t xml:space="preserve"> Dani hrvatskog pučkog teatra </w:t>
      </w:r>
    </w:p>
    <w:p w:rsidR="005C2091" w:rsidRDefault="00A86293">
      <w:r>
        <w:t xml:space="preserve"> •</w:t>
      </w:r>
      <w:r>
        <w:tab/>
        <w:t xml:space="preserve">Kazališni seminar „Stvaranje kazališta“; </w:t>
      </w:r>
    </w:p>
    <w:p w:rsidR="005C2091" w:rsidRDefault="00A86293">
      <w:r>
        <w:t>•</w:t>
      </w:r>
      <w:r>
        <w:tab/>
        <w:t xml:space="preserve"> Dani hrvatskoga filma </w:t>
      </w:r>
    </w:p>
    <w:p w:rsidR="005C2091" w:rsidRDefault="00A86293">
      <w:r>
        <w:t>•</w:t>
      </w:r>
      <w:r>
        <w:tab/>
        <w:t xml:space="preserve">Izložbe hrvatskih slikara iz inozemstva u domovini </w:t>
      </w:r>
    </w:p>
    <w:p w:rsidR="005C2091" w:rsidRDefault="00A86293">
      <w:r>
        <w:t>•</w:t>
      </w:r>
      <w:r>
        <w:tab/>
        <w:t xml:space="preserve">Forum hrvatskih manjina </w:t>
      </w:r>
    </w:p>
    <w:p w:rsidR="005C2091" w:rsidRDefault="00A86293">
      <w:r>
        <w:t>•</w:t>
      </w:r>
      <w:r>
        <w:tab/>
        <w:t xml:space="preserve">Dokumentarne izložbe o hrvatskim zajednicama iz svijeta </w:t>
      </w:r>
    </w:p>
    <w:p w:rsidR="005C2091" w:rsidRDefault="00A86293">
      <w:r>
        <w:t>•</w:t>
      </w:r>
      <w:r>
        <w:tab/>
        <w:t xml:space="preserve">Muzejsko-galerijska djelatnost HMI </w:t>
      </w:r>
    </w:p>
    <w:p w:rsidR="005C2091" w:rsidRDefault="00A86293">
      <w:r>
        <w:t>•</w:t>
      </w:r>
      <w:r>
        <w:tab/>
        <w:t xml:space="preserve">Ekološko-obnoviteljski program za mlade „Eco Heritage Task Force“ </w:t>
      </w:r>
    </w:p>
    <w:p w:rsidR="005C2091" w:rsidRDefault="00A86293">
      <w:r>
        <w:t>•</w:t>
      </w:r>
      <w:r>
        <w:tab/>
        <w:t xml:space="preserve">Stručna pomoć kulturno-umjetničkim udrugama iseljenika, organiziranje izložbi, </w:t>
      </w:r>
    </w:p>
    <w:p w:rsidR="005C2091" w:rsidRDefault="00A86293">
      <w:r>
        <w:t xml:space="preserve">predstavljanje knjiga kao i pomoć kulturnim programima koje organiziraju manjinske </w:t>
      </w:r>
    </w:p>
    <w:p w:rsidR="005C2091" w:rsidRDefault="00A86293">
      <w:r>
        <w:t xml:space="preserve">zajednice u svojim domicilnim zemljama. </w:t>
      </w:r>
    </w:p>
    <w:p w:rsidR="005C2091" w:rsidRDefault="00A86293">
      <w:r>
        <w:t xml:space="preserve"> III. Programi i projekti nakladničke djelatnosti u klasičnom i elektroničkom obliku </w:t>
      </w:r>
    </w:p>
    <w:p w:rsidR="005C2091" w:rsidRDefault="00A86293">
      <w:r>
        <w:t xml:space="preserve"> 1. Mjesečna revija Hrvatske matice iseljenika – Časopis „Matica“ </w:t>
      </w:r>
    </w:p>
    <w:p w:rsidR="005C2091" w:rsidRDefault="00A86293">
      <w:r>
        <w:t xml:space="preserve">2. Godišnjak Hrvatski iseljenički zbornik  </w:t>
      </w:r>
    </w:p>
    <w:p w:rsidR="005C2091" w:rsidRDefault="00A86293">
      <w:r>
        <w:lastRenderedPageBreak/>
        <w:t xml:space="preserve">3. Digitalni repozitorij časopisa Matica  </w:t>
      </w:r>
    </w:p>
    <w:p w:rsidR="005C2091" w:rsidRDefault="00A86293">
      <w:r>
        <w:t xml:space="preserve">4. Digitalni repozitorij godišnjaka Hrvatskog iseljeničkog zbornika </w:t>
      </w:r>
    </w:p>
    <w:p w:rsidR="005C2091" w:rsidRDefault="00A86293">
      <w:r>
        <w:t xml:space="preserve">5. Web portal HMI – elektronički dnevnik Hrvatske matice iseljenika </w:t>
      </w:r>
    </w:p>
    <w:p w:rsidR="005C2091" w:rsidRDefault="00A86293">
      <w:r>
        <w:t xml:space="preserve">6. Tribina Hrvatske matice iseljenika </w:t>
      </w:r>
    </w:p>
    <w:p w:rsidR="005C2091" w:rsidRDefault="00A86293">
      <w:r>
        <w:t xml:space="preserve">7. Specijalna knjižnica Hrvatske matice iseljenika </w:t>
      </w:r>
    </w:p>
    <w:p w:rsidR="005C2091" w:rsidRDefault="00A86293">
      <w:r>
        <w:t xml:space="preserve">8. Sunakladništvo s nakladnicima u domovini migrantske tematike </w:t>
      </w:r>
    </w:p>
    <w:p w:rsidR="005C2091" w:rsidRDefault="00A86293">
      <w:r>
        <w:t xml:space="preserve">9. Suradnja s hrvatskim medijima u svijetu </w:t>
      </w:r>
    </w:p>
    <w:p w:rsidR="005C2091" w:rsidRDefault="00A86293">
      <w:r>
        <w:t xml:space="preserve">10. Sudjelovanje na stručnim i znanstvenim skupovima posvećenim hrvatskome </w:t>
      </w:r>
    </w:p>
    <w:p w:rsidR="005C2091" w:rsidRDefault="00A86293">
      <w:r>
        <w:t>iseljeništvu i pisanoj riječi u migrantskim prilikama</w:t>
      </w:r>
    </w:p>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Pr>
        <w:overflowPunct/>
        <w:autoSpaceDE/>
        <w:autoSpaceDN/>
        <w:adjustRightInd/>
        <w:spacing w:after="200" w:line="276" w:lineRule="auto"/>
        <w:jc w:val="left"/>
        <w:textAlignment w:val="auto"/>
        <w:rPr>
          <w:b/>
          <w:spacing w:val="20"/>
          <w:sz w:val="32"/>
          <w:szCs w:val="32"/>
        </w:rPr>
      </w:pPr>
      <w:r>
        <w:br w:type="page"/>
      </w:r>
    </w:p>
    <w:p w:rsidR="005C2091" w:rsidRDefault="00A86293">
      <w:pPr>
        <w:pStyle w:val="Heading1"/>
      </w:pPr>
      <w:r>
        <w:lastRenderedPageBreak/>
        <w:t>033 SREDIŠNJI DRŽAVNI URED ZA OBNOVU I STAMBENO ZBRINJAVANJE</w:t>
      </w:r>
    </w:p>
    <w:p w:rsidR="005C2091" w:rsidRDefault="00A86293">
      <w:r>
        <w:t xml:space="preserve">Središnji državni ured za obnovu i stambeno zbrinjavanje obavlja upravne, stručne, provedbene i druge poslove koji se odnose na planiranje, pripremu, provedbu i nadzor provedbe programa obnove i popravka u Domovinskom ratu oštećenih ili uništenih stambenih jedinica kao i programe stambenog zbrinjavanja prognanika, povratnika i izbjeglica, naseljavanje i zadržavanja stanovništva na ratom stradalom području i drugim demografski ugroženim područjima te program pomoći izbjeglicama za povratak u zemlje iz kojih su izbjegli. </w:t>
      </w:r>
    </w:p>
    <w:p w:rsidR="005C2091" w:rsidRDefault="00A86293">
      <w:r>
        <w:t>Središnji državni ured za obnovu i stambeno zbrinjavanje planira, organizira i provodi aktivnosti efikasnog i učinkovitog upravljanja i gospodarenja stambenim jedinicama u državnom vlasništvu kroz potpisivanje ugovora o najmu, postupke darovanja i prodaje stambenih jedinica obiteljima korisnika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03305-Središnji državni ured za obnovu i stambeno zbrinjavanje</w:t>
            </w:r>
          </w:p>
        </w:tc>
        <w:tc>
          <w:tcPr>
            <w:tcW w:w="2041" w:type="dxa"/>
            <w:vAlign w:val="top"/>
          </w:tcPr>
          <w:p w:rsidR="005C2091" w:rsidRDefault="00A86293">
            <w:pPr>
              <w:pStyle w:val="CellColumn"/>
              <w:jc w:val="right"/>
            </w:pPr>
            <w:r>
              <w:rPr>
                <w:rFonts w:cs="Times New Roman"/>
              </w:rPr>
              <w:t>186.904.297</w:t>
            </w:r>
          </w:p>
        </w:tc>
        <w:tc>
          <w:tcPr>
            <w:tcW w:w="2041" w:type="dxa"/>
            <w:vAlign w:val="top"/>
          </w:tcPr>
          <w:p w:rsidR="005C2091" w:rsidRDefault="00A86293">
            <w:pPr>
              <w:pStyle w:val="CellColumn"/>
              <w:jc w:val="right"/>
            </w:pPr>
            <w:r>
              <w:rPr>
                <w:rFonts w:cs="Times New Roman"/>
              </w:rPr>
              <w:t>236.599.241</w:t>
            </w:r>
          </w:p>
        </w:tc>
        <w:tc>
          <w:tcPr>
            <w:tcW w:w="2041" w:type="dxa"/>
            <w:vAlign w:val="top"/>
          </w:tcPr>
          <w:p w:rsidR="005C2091" w:rsidRDefault="00A86293">
            <w:pPr>
              <w:pStyle w:val="CellColumn"/>
              <w:jc w:val="right"/>
            </w:pPr>
            <w:r>
              <w:rPr>
                <w:rFonts w:cs="Times New Roman"/>
              </w:rPr>
              <w:t>208.801.911</w:t>
            </w:r>
          </w:p>
        </w:tc>
        <w:tc>
          <w:tcPr>
            <w:tcW w:w="1224" w:type="dxa"/>
            <w:vAlign w:val="top"/>
          </w:tcPr>
          <w:p w:rsidR="005C2091" w:rsidRDefault="00A86293">
            <w:pPr>
              <w:pStyle w:val="CellColumn"/>
              <w:jc w:val="right"/>
            </w:pPr>
            <w:r>
              <w:rPr>
                <w:rFonts w:cs="Times New Roman"/>
              </w:rPr>
              <w:t>88,3</w:t>
            </w:r>
          </w:p>
        </w:tc>
        <w:tc>
          <w:tcPr>
            <w:tcW w:w="1224" w:type="dxa"/>
            <w:vAlign w:val="top"/>
          </w:tcPr>
          <w:p w:rsidR="005C2091" w:rsidRDefault="00A86293">
            <w:pPr>
              <w:pStyle w:val="CellColumn"/>
              <w:jc w:val="right"/>
            </w:pPr>
            <w:r>
              <w:rPr>
                <w:rFonts w:cs="Times New Roman"/>
              </w:rPr>
              <w:t>111,7</w:t>
            </w:r>
          </w:p>
        </w:tc>
      </w:tr>
      <w:tr w:rsidR="005C2091">
        <w:trPr>
          <w:jc w:val="center"/>
        </w:trPr>
        <w:tc>
          <w:tcPr>
            <w:tcW w:w="1632" w:type="dxa"/>
            <w:shd w:val="clear" w:color="auto" w:fill="B5C0D8"/>
          </w:tcPr>
          <w:p w:rsidR="005C2091" w:rsidRDefault="00A86293">
            <w:pPr>
              <w:pStyle w:val="CellColumn"/>
              <w:jc w:val="left"/>
            </w:pPr>
            <w:r>
              <w:rPr>
                <w:rFonts w:cs="Times New Roman"/>
              </w:rPr>
              <w:t>Ukupno 033-SREDIŠNJI DRŽAVNI URED ZA OBNOVU I STAMBENO ZBRINJAVANJE</w:t>
            </w:r>
          </w:p>
        </w:tc>
        <w:tc>
          <w:tcPr>
            <w:tcW w:w="2041" w:type="dxa"/>
            <w:shd w:val="clear" w:color="auto" w:fill="B5C0D8"/>
          </w:tcPr>
          <w:p w:rsidR="005C2091" w:rsidRDefault="00A86293">
            <w:pPr>
              <w:pStyle w:val="CellColumn"/>
              <w:jc w:val="right"/>
            </w:pPr>
            <w:r>
              <w:rPr>
                <w:rFonts w:cs="Times New Roman"/>
              </w:rPr>
              <w:t>186.904.297</w:t>
            </w:r>
          </w:p>
        </w:tc>
        <w:tc>
          <w:tcPr>
            <w:tcW w:w="2041" w:type="dxa"/>
            <w:shd w:val="clear" w:color="auto" w:fill="B5C0D8"/>
          </w:tcPr>
          <w:p w:rsidR="005C2091" w:rsidRDefault="00A86293">
            <w:pPr>
              <w:pStyle w:val="CellColumn"/>
              <w:jc w:val="right"/>
            </w:pPr>
            <w:r>
              <w:rPr>
                <w:rFonts w:cs="Times New Roman"/>
              </w:rPr>
              <w:t>236.599.241</w:t>
            </w:r>
          </w:p>
        </w:tc>
        <w:tc>
          <w:tcPr>
            <w:tcW w:w="2041" w:type="dxa"/>
            <w:shd w:val="clear" w:color="auto" w:fill="B5C0D8"/>
          </w:tcPr>
          <w:p w:rsidR="005C2091" w:rsidRDefault="00A86293">
            <w:pPr>
              <w:pStyle w:val="CellColumn"/>
              <w:jc w:val="right"/>
            </w:pPr>
            <w:r>
              <w:rPr>
                <w:rFonts w:cs="Times New Roman"/>
              </w:rPr>
              <w:t>208.801.911</w:t>
            </w:r>
          </w:p>
        </w:tc>
        <w:tc>
          <w:tcPr>
            <w:tcW w:w="1224" w:type="dxa"/>
            <w:shd w:val="clear" w:color="auto" w:fill="B5C0D8"/>
          </w:tcPr>
          <w:p w:rsidR="005C2091" w:rsidRDefault="00A86293">
            <w:pPr>
              <w:pStyle w:val="CellColumn"/>
              <w:jc w:val="right"/>
            </w:pPr>
            <w:r>
              <w:rPr>
                <w:rFonts w:cs="Times New Roman"/>
              </w:rPr>
              <w:t>88,3</w:t>
            </w:r>
          </w:p>
        </w:tc>
        <w:tc>
          <w:tcPr>
            <w:tcW w:w="1224" w:type="dxa"/>
            <w:shd w:val="clear" w:color="auto" w:fill="B5C0D8"/>
          </w:tcPr>
          <w:p w:rsidR="005C2091" w:rsidRDefault="00A86293">
            <w:pPr>
              <w:pStyle w:val="CellColumn"/>
              <w:jc w:val="right"/>
            </w:pPr>
            <w:r>
              <w:rPr>
                <w:rFonts w:cs="Times New Roman"/>
              </w:rPr>
              <w:t>111,7</w:t>
            </w:r>
          </w:p>
        </w:tc>
      </w:tr>
    </w:tbl>
    <w:p w:rsidR="005C2091" w:rsidRDefault="005C2091">
      <w:pPr>
        <w:jc w:val="left"/>
      </w:pPr>
    </w:p>
    <w:p w:rsidR="005C2091" w:rsidRDefault="00A86293">
      <w:pPr>
        <w:pStyle w:val="Heading2"/>
      </w:pPr>
      <w:r>
        <w:t>03305 Središnji državni ured za obnovu i stambeno zbrinjavanje</w:t>
      </w:r>
    </w:p>
    <w:p w:rsidR="005C2091" w:rsidRDefault="00A86293">
      <w:r>
        <w:t xml:space="preserve">Programom stambenog zbrinjavanja na područjima posebne državne skrbi potiče se povratak i ostanak stanovništva koje je prebivalo na tim područjima prije Domovinskog rata, kao i naseljavanje državljana Republike Hrvatske svih zanimanja, osobito onih koji mogu obavljanjem djelatnosti pridonijeti gospodarskom i društvenom razvoju tih područja. Vezano za navedeni program provodi se povratak Hrvata u BiH prema modelu dodjele građevinskog materijala za obnovu ili izgradnju obiteljskih kuća Hrvata povratnika u BiH koji su u potrebi stambenog zbrinjavanja. Stambeno zbrinjavanje nužno se naslanja na program obnove ratom oštećenih stambenih objekata, jer se pretežito i u velikoj mjeri oba programa odnose na ista područja. Ovim Programom nastoje se smanjiti posljedice rata i omogućiti život na ratom stradalim područjima, osigurati povratak, ostanak i naseljavanje potpomognutih područja. </w:t>
      </w:r>
    </w:p>
    <w:p w:rsidR="005C2091" w:rsidRDefault="00A86293">
      <w:r>
        <w:t>Zatim osigurati uvjete za povratak kroz stambeno zbrinjavanje bivših nositelja stanarskog prava na područjima posebne državne skrbi i izvan područja posebne državne skrbi. Ovim programom se osigurava skrb prognanika, povratnika i izbjeglica u objektima organiziranog i privatnog smještaja, dok se trajno ne riješi pitanje njihovog stambenog zbrinjavanja ili povratka.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03305-Središnji državni ured za obnovu i stambeno zbrinjavanje</w:t>
            </w:r>
          </w:p>
        </w:tc>
        <w:tc>
          <w:tcPr>
            <w:tcW w:w="2041" w:type="dxa"/>
            <w:vAlign w:val="top"/>
          </w:tcPr>
          <w:p w:rsidR="005C2091" w:rsidRDefault="00A86293">
            <w:pPr>
              <w:pStyle w:val="CellColumn"/>
              <w:jc w:val="right"/>
            </w:pPr>
            <w:r>
              <w:rPr>
                <w:rFonts w:cs="Times New Roman"/>
              </w:rPr>
              <w:t>186.904.297</w:t>
            </w:r>
          </w:p>
        </w:tc>
        <w:tc>
          <w:tcPr>
            <w:tcW w:w="2041" w:type="dxa"/>
            <w:vAlign w:val="top"/>
          </w:tcPr>
          <w:p w:rsidR="005C2091" w:rsidRDefault="00A86293">
            <w:pPr>
              <w:pStyle w:val="CellColumn"/>
              <w:jc w:val="right"/>
            </w:pPr>
            <w:r>
              <w:rPr>
                <w:rFonts w:cs="Times New Roman"/>
              </w:rPr>
              <w:t>236.599.241</w:t>
            </w:r>
          </w:p>
        </w:tc>
        <w:tc>
          <w:tcPr>
            <w:tcW w:w="2041" w:type="dxa"/>
            <w:vAlign w:val="top"/>
          </w:tcPr>
          <w:p w:rsidR="005C2091" w:rsidRDefault="00A86293">
            <w:pPr>
              <w:pStyle w:val="CellColumn"/>
              <w:jc w:val="right"/>
            </w:pPr>
            <w:r>
              <w:rPr>
                <w:rFonts w:cs="Times New Roman"/>
              </w:rPr>
              <w:t>208.801.911</w:t>
            </w:r>
          </w:p>
        </w:tc>
        <w:tc>
          <w:tcPr>
            <w:tcW w:w="1224" w:type="dxa"/>
            <w:vAlign w:val="top"/>
          </w:tcPr>
          <w:p w:rsidR="005C2091" w:rsidRDefault="00A86293">
            <w:pPr>
              <w:pStyle w:val="CellColumn"/>
              <w:jc w:val="right"/>
            </w:pPr>
            <w:r>
              <w:rPr>
                <w:rFonts w:cs="Times New Roman"/>
              </w:rPr>
              <w:t>88,3</w:t>
            </w:r>
          </w:p>
        </w:tc>
        <w:tc>
          <w:tcPr>
            <w:tcW w:w="1224" w:type="dxa"/>
            <w:vAlign w:val="top"/>
          </w:tcPr>
          <w:p w:rsidR="005C2091" w:rsidRDefault="00A86293">
            <w:pPr>
              <w:pStyle w:val="CellColumn"/>
              <w:jc w:val="right"/>
            </w:pPr>
            <w:r>
              <w:rPr>
                <w:rFonts w:cs="Times New Roman"/>
              </w:rPr>
              <w:t>111,7</w:t>
            </w:r>
          </w:p>
        </w:tc>
      </w:tr>
      <w:tr w:rsidR="005C2091">
        <w:trPr>
          <w:jc w:val="center"/>
        </w:trPr>
        <w:tc>
          <w:tcPr>
            <w:tcW w:w="1632" w:type="dxa"/>
          </w:tcPr>
          <w:p w:rsidR="005C2091" w:rsidRDefault="00A86293">
            <w:pPr>
              <w:jc w:val="left"/>
            </w:pPr>
            <w:r>
              <w:lastRenderedPageBreak/>
              <w:t>4014-STAMBENO ZBRINJAVANJE PROGNANIKA, POVRATNIKA I IZBJEGLICA</w:t>
            </w:r>
          </w:p>
        </w:tc>
        <w:tc>
          <w:tcPr>
            <w:tcW w:w="2041" w:type="dxa"/>
          </w:tcPr>
          <w:p w:rsidR="005C2091" w:rsidRDefault="00A86293">
            <w:pPr>
              <w:jc w:val="right"/>
            </w:pPr>
            <w:r>
              <w:t>186.904.297</w:t>
            </w:r>
          </w:p>
        </w:tc>
        <w:tc>
          <w:tcPr>
            <w:tcW w:w="2041" w:type="dxa"/>
          </w:tcPr>
          <w:p w:rsidR="005C2091" w:rsidRDefault="00A86293">
            <w:pPr>
              <w:jc w:val="right"/>
            </w:pPr>
            <w:r>
              <w:t>236.599.241</w:t>
            </w:r>
          </w:p>
        </w:tc>
        <w:tc>
          <w:tcPr>
            <w:tcW w:w="2041" w:type="dxa"/>
          </w:tcPr>
          <w:p w:rsidR="005C2091" w:rsidRDefault="00A86293">
            <w:pPr>
              <w:jc w:val="right"/>
            </w:pPr>
            <w:r>
              <w:t>208.801.911</w:t>
            </w:r>
          </w:p>
        </w:tc>
        <w:tc>
          <w:tcPr>
            <w:tcW w:w="1224" w:type="dxa"/>
          </w:tcPr>
          <w:p w:rsidR="005C2091" w:rsidRDefault="00A86293">
            <w:pPr>
              <w:jc w:val="right"/>
            </w:pPr>
            <w:r>
              <w:t>88,3</w:t>
            </w:r>
          </w:p>
        </w:tc>
        <w:tc>
          <w:tcPr>
            <w:tcW w:w="1224" w:type="dxa"/>
          </w:tcPr>
          <w:p w:rsidR="005C2091" w:rsidRDefault="00A86293">
            <w:pPr>
              <w:jc w:val="right"/>
            </w:pPr>
            <w:r>
              <w:t>111,7</w:t>
            </w:r>
          </w:p>
        </w:tc>
      </w:tr>
    </w:tbl>
    <w:p w:rsidR="005C2091" w:rsidRDefault="005C2091">
      <w:pPr>
        <w:jc w:val="left"/>
      </w:pPr>
    </w:p>
    <w:p w:rsidR="005C2091" w:rsidRDefault="00A86293">
      <w:pPr>
        <w:pStyle w:val="Heading3"/>
      </w:pPr>
      <w:r>
        <w:rPr>
          <w:rFonts w:cs="Times New Roman"/>
        </w:rPr>
        <w:t>4014 STAMBENO ZBRINJAVANJE PROGNANIKA, POVRATNIKA I IZBJEGLICA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4014-STAMBENO ZBRINJAVANJE PROGNANIKA, POVRATNIKA I IZBJEGLICA</w:t>
            </w:r>
          </w:p>
        </w:tc>
        <w:tc>
          <w:tcPr>
            <w:tcW w:w="2041" w:type="dxa"/>
          </w:tcPr>
          <w:p w:rsidR="005C2091" w:rsidRDefault="00A86293">
            <w:pPr>
              <w:pStyle w:val="CellColumn"/>
              <w:jc w:val="right"/>
            </w:pPr>
            <w:r>
              <w:rPr>
                <w:rFonts w:cs="Times New Roman"/>
              </w:rPr>
              <w:t>186.904.297</w:t>
            </w:r>
          </w:p>
        </w:tc>
        <w:tc>
          <w:tcPr>
            <w:tcW w:w="2041" w:type="dxa"/>
          </w:tcPr>
          <w:p w:rsidR="005C2091" w:rsidRDefault="00A86293">
            <w:pPr>
              <w:pStyle w:val="CellColumn"/>
              <w:jc w:val="right"/>
            </w:pPr>
            <w:r>
              <w:rPr>
                <w:rFonts w:cs="Times New Roman"/>
              </w:rPr>
              <w:t>236.599.241</w:t>
            </w:r>
          </w:p>
        </w:tc>
        <w:tc>
          <w:tcPr>
            <w:tcW w:w="2041" w:type="dxa"/>
          </w:tcPr>
          <w:p w:rsidR="005C2091" w:rsidRDefault="00A86293">
            <w:pPr>
              <w:pStyle w:val="CellColumn"/>
              <w:jc w:val="right"/>
            </w:pPr>
            <w:r>
              <w:rPr>
                <w:rFonts w:cs="Times New Roman"/>
              </w:rPr>
              <w:t>208.801.911</w:t>
            </w:r>
          </w:p>
        </w:tc>
        <w:tc>
          <w:tcPr>
            <w:tcW w:w="1224" w:type="dxa"/>
          </w:tcPr>
          <w:p w:rsidR="005C2091" w:rsidRDefault="00A86293">
            <w:pPr>
              <w:pStyle w:val="CellColumn"/>
              <w:jc w:val="right"/>
            </w:pPr>
            <w:r>
              <w:rPr>
                <w:rFonts w:cs="Times New Roman"/>
              </w:rPr>
              <w:t>88,3</w:t>
            </w:r>
          </w:p>
        </w:tc>
        <w:tc>
          <w:tcPr>
            <w:tcW w:w="1224" w:type="dxa"/>
          </w:tcPr>
          <w:p w:rsidR="005C2091" w:rsidRDefault="00A86293">
            <w:pPr>
              <w:pStyle w:val="CellColumn"/>
              <w:jc w:val="right"/>
            </w:pPr>
            <w:r>
              <w:rPr>
                <w:rFonts w:cs="Times New Roman"/>
              </w:rPr>
              <w:t>111,7</w:t>
            </w:r>
          </w:p>
        </w:tc>
      </w:tr>
    </w:tbl>
    <w:p w:rsidR="005C2091" w:rsidRDefault="005C2091">
      <w:pPr>
        <w:jc w:val="left"/>
      </w:pPr>
    </w:p>
    <w:p w:rsidR="005C2091" w:rsidRDefault="00A86293">
      <w:r>
        <w:t xml:space="preserve">Programom stambenog zbrinjavanja na područjima posebne državne skrbi potiče se povratak i ostanak stanovništva koje je prebivalo na tim područjima prije Domovinskog rata, kao i naseljavanje državljana Republike Hrvatske svih zanimanja, osobito onih koji mogu obavljanjem djelatnosti pridonijeti gospodarskom i društvenom razvoju tih područja. Vezano za navedeni program provodi se povratak Hrvata u BiH prema modelu dodjele građevinskog materijala za obnovu ili izgradnju obiteljskih kuća Hrvata povratnika u BiH koji su u potrebi stambenog zbrinjavanja. Stambeno zbrinjavanje nužno se naslanja na program obnove ratom oštećenih stambenih objekata, jer se pretežito i u velikoj mjeri oba programa odnose na ista područja. Ovim Programom nastoje se smanjiti posljedice rata i omogućiti život na ratom stradalim područjima, osigurati povratak, ostanak i naseljavanje potpomognutih područja. </w:t>
      </w:r>
    </w:p>
    <w:p w:rsidR="005C2091" w:rsidRDefault="00A86293">
      <w:r>
        <w:t>Zatim osigurati uvjete za povratak kroz stambeno zbrinjavanje bivših nositelja stanarskog prava na područjima posebne državne skrbi i izvan područja posebne državne skrbi. Ovim programom se osigurava skrb prognanika, povratnika i izbjeglica u objektima organiziranog i privatnog smještaja, dok se trajno ne riješi pitanje njihovog stambenog zbrinjavanja ili povratka.</w:t>
      </w:r>
    </w:p>
    <w:p w:rsidR="005C2091" w:rsidRDefault="00A86293">
      <w:pPr>
        <w:pStyle w:val="Heading8"/>
        <w:jc w:val="left"/>
      </w:pPr>
      <w:r>
        <w:t>Cilj 1. Stambeno zbrinjavanje prognanika, povratnika i izbjeglica</w:t>
      </w:r>
    </w:p>
    <w:p w:rsidR="005C2091" w:rsidRDefault="00A86293">
      <w:pPr>
        <w:pStyle w:val="Heading8"/>
        <w:jc w:val="left"/>
      </w:pPr>
      <w:r>
        <w:t>Opis provedbe cilja programa</w:t>
      </w:r>
    </w:p>
    <w:p w:rsidR="005C2091" w:rsidRDefault="00A86293">
      <w:r>
        <w:t>Cilj stambenog zbrinjavanja prognanika, povratnika i izbjeglica je osiguravanje osnovnih uvjeta za povratak stanovništva koje je tijekom rata izbjeglo iz svojih prijeratnih prebivališta, bilo da su privremeni smještaj našli u drugim područjima Hrvatske ili u inozemstvu, kao i osiguravanje uvjeta za lokalnu integraciju izbjeglica iz drugih država bivše Jugoslavije koje su odustale od povratka u svoje države porijekla. Ostvarenjem ovog posebnog cilja značajno se pridonosi poboljšanju stambenih uvjeta u slabije razvijenim područjima, budući da područja koja su bila zahvaćena ratom u najvećoj mjeri ujedno i  najnerazvijenija područja Republike Hrvatske.</w:t>
      </w:r>
    </w:p>
    <w:p w:rsidR="005C2091" w:rsidRDefault="00A86293">
      <w:pPr>
        <w:pStyle w:val="Heading8"/>
        <w:jc w:val="left"/>
      </w:pPr>
      <w:r>
        <w:t xml:space="preserve">Cilj 2. Stambeno zbrinjavanje za ostale ciljne skupine </w:t>
      </w:r>
    </w:p>
    <w:p w:rsidR="005C2091" w:rsidRDefault="00A86293">
      <w:pPr>
        <w:pStyle w:val="Heading8"/>
        <w:jc w:val="left"/>
      </w:pPr>
      <w:r>
        <w:t>Opis provedbe cilja programa</w:t>
      </w:r>
    </w:p>
    <w:p w:rsidR="005C2091" w:rsidRDefault="00A86293">
      <w:r>
        <w:t>Stambenim zbrinjavanjem ostalih ciljanih skupina potiče se ostanak i naseljavanje stanovništva u slabije razvijenim područjima Republike Hrvatske. Stambeno zbrinjavanje jedno je od glavnih područja stimuliranja razvoja koji ima potencijala zadržati postojeće i privući novo stanovništvo. Analiza iz studije o potpomognutim područjima je potvrdila da područja sa razvojnim poteškoćama imaju poraznu demografsku sliku. Za razliku od pozitivne dinamike gospodarstva, podaci o kretanju stanovništva su negativni i pokazuju da se ionako loša demografska situacija kontinuirano pogoršava. Stoga je očito da sadašnje mjere poticanja demografskog razvitka nisu dovoljne.</w:t>
      </w:r>
    </w:p>
    <w:p w:rsidR="005C2091" w:rsidRDefault="00A86293">
      <w:pPr>
        <w:pStyle w:val="Heading8"/>
        <w:jc w:val="left"/>
      </w:pPr>
      <w:r>
        <w:lastRenderedPageBreak/>
        <w:t>Cilj 3.  Stambeno zbrinjavanje prognanika, povratnika i izbjeglica kroz međunarodne projekte</w:t>
      </w:r>
    </w:p>
    <w:p w:rsidR="005C2091" w:rsidRDefault="00A86293">
      <w:pPr>
        <w:pStyle w:val="Heading8"/>
        <w:jc w:val="left"/>
      </w:pPr>
      <w:r>
        <w:t>Opis provedbe cilja programa</w:t>
      </w:r>
    </w:p>
    <w:p w:rsidR="005C2091" w:rsidRDefault="00A86293">
      <w:r>
        <w:t>Cilj stambenog zbrinjavanja prognanika, povratnika i izbjeglica kroz međunarodne programe je trajno osiguravanje osnovnih uvjeta za povratak stanovništva koje je tijekom rata izbjeglo iz svojih prijeratnih prebivališta, bilo da su privremeni smještaj našli u drugim područjima Hrvatske ili u inozemstvu, kao i osiguravanje uvjeta za lokalnu integraciju izbjeglica iz drugih država bivše Jugoslavije koje su odustale od povratka u svoje države porijekla. Ostvarenjem ovog posebnog cilja značajno se pridonosi poboljšanju stambenih uvjeta u slabije razvijenim područjima, budući da su područja koja su bila zahvaćena ratom u najvećoj mjeri ujedno i najnerazvijenija područja Republike Hrvatske. Osiguravanje trajnog stambenog zbrinjavanja osnovni je uvjet za povratak stanovništva i osnova za ostvarivanje pune reintegracije povratnika u Republici Hrvatskoj.</w:t>
      </w:r>
    </w:p>
    <w:p w:rsidR="005C2091" w:rsidRDefault="00A86293">
      <w:pPr>
        <w:pStyle w:val="Heading8"/>
        <w:jc w:val="left"/>
      </w:pPr>
      <w:r>
        <w:t>Cilj 4. Upravljanje stambenim jedinicama u državnom vlasništvu</w:t>
      </w:r>
    </w:p>
    <w:p w:rsidR="005C2091" w:rsidRDefault="00A86293">
      <w:pPr>
        <w:pStyle w:val="Heading8"/>
        <w:jc w:val="left"/>
      </w:pPr>
      <w:r>
        <w:t>Opis provedbe cilja programa</w:t>
      </w:r>
    </w:p>
    <w:p w:rsidR="005C2091" w:rsidRDefault="00A86293">
      <w:r>
        <w:t xml:space="preserve">Od početka provedbe programa stambenog zbrinjavanje pravni prednici Središnjeg državnog ureda upravljali su sa 25.305 nekretnina. Središnji državni ured je nakon ustroja preuzeo upravljanje i nadležnost nad ukupno 18.809 nekretnina. Razliku čine stambene jedinice koje su u proteklom periodu prodane ili darovane. </w:t>
      </w:r>
    </w:p>
    <w:p w:rsidR="005C2091" w:rsidRDefault="00A86293">
      <w:r>
        <w:t>Trenutno, ovaj Ured upravlja i raspolaže s 16.533 stambene jedinice budući da je od ustroja Središnjeg državnog ureda prodano i darovano 2.455 te kupljeno 179 stambenih jedinica putem APN-a u svrhu stambenog zbrinjavanja.</w:t>
      </w:r>
    </w:p>
    <w:p w:rsidR="005C2091" w:rsidRDefault="00A86293">
      <w:pPr>
        <w:pStyle w:val="Heading8"/>
        <w:jc w:val="left"/>
      </w:pPr>
      <w:r>
        <w:t>Cilj 5. Provedba pomoći Hrvatima u Bosni i Hercegovini</w:t>
      </w:r>
    </w:p>
    <w:p w:rsidR="005C2091" w:rsidRDefault="00A86293">
      <w:pPr>
        <w:pStyle w:val="Heading8"/>
        <w:jc w:val="left"/>
      </w:pPr>
      <w:r>
        <w:t>Opis provedbe cilja programa</w:t>
      </w:r>
    </w:p>
    <w:p w:rsidR="005C2091" w:rsidRDefault="00A86293">
      <w:r>
        <w:t>Program pomoći Vlade Republike Hrvatske Hrvatima u Bosni i Hercegovini koji se provodi od 2001. godine, temelji se na ustavnoj obvezi pomoći Hrvatima u Bosni i Hercegovini. Provodi se kao oblik službene razvojne i humanitarne pomoći Republike Hrvatske inozemstvu s ciljem post-konfliktne stabilizacije Bosne i Hercegovine prema Nacionalnoj strategiji razvojne suradnje za razdoblje od 2015.-2020. (prva i predthodna od 2009. do 2014. godine). Program se provodi u punoj suradnji Državnog ureda za obnovu i stambeno zbrinjavanje Republike Hrvatske i Ministarstva za ljudska prava i izbjeglice Bosne i Hercegovine.</w:t>
      </w:r>
    </w:p>
    <w:p w:rsidR="005C2091" w:rsidRDefault="00A86293">
      <w:pPr>
        <w:pStyle w:val="Heading8"/>
        <w:jc w:val="left"/>
      </w:pPr>
      <w:r>
        <w:t>Cilj 6. Osiguravanje trajnih rješenja za korisnika iz objekata organiziranog smještaja</w:t>
      </w:r>
    </w:p>
    <w:p w:rsidR="005C2091" w:rsidRDefault="00A86293">
      <w:pPr>
        <w:pStyle w:val="Heading8"/>
        <w:jc w:val="left"/>
      </w:pPr>
      <w:r>
        <w:t>Opis provedbe cilja programa</w:t>
      </w:r>
    </w:p>
    <w:p w:rsidR="005C2091" w:rsidRDefault="00A86293">
      <w:r>
        <w:t xml:space="preserve">Trenutno su u funkciji četiri objekta organiziranog smještaja u kojima boravi 339 osoba u statusu prognanika, povratnika ili izbjeglice a čije troškove smještaja snosi Središnji državni ured za obnovu i stambeno zbrinjavanje. Od navedenog broja, najveći dio korisnika je u organiziranom smještaju Mala Gorica, 204 korisnika, a njihovo preseljenje u novo naselje Dumače, grad Petrinja se očekuje početkom 2017. godine. </w:t>
      </w:r>
    </w:p>
    <w:p w:rsidR="005C2091" w:rsidRDefault="00A86293">
      <w:r>
        <w:t>Za  preostali broj osoba koje su smještene u organiziranim oblicima smještaja tijekom 2017. godine pronaći adekvatan oblik i model stambenog zbrinjavanja i na taj način staviti van trenutne funkcije sve organizirane centre za privremeni smještaj.</w:t>
      </w:r>
    </w:p>
    <w:p w:rsidR="005C2091" w:rsidRDefault="00A86293">
      <w:pPr>
        <w:pStyle w:val="Heading8"/>
        <w:jc w:val="left"/>
      </w:pPr>
      <w:r>
        <w:t>Cilj 7. Ostvarivanje prava korisnika iz upravnih područja obnove i stambenog zbrinjavanja, te aktivnosti na provedbi zakona i dr.propisa u odnosima korisnika i državnih tijela</w:t>
      </w:r>
    </w:p>
    <w:p w:rsidR="005C2091" w:rsidRDefault="00A86293">
      <w:pPr>
        <w:pStyle w:val="Heading8"/>
        <w:jc w:val="left"/>
      </w:pPr>
      <w:r>
        <w:t>Opis provedbe cilja programa</w:t>
      </w:r>
    </w:p>
    <w:p w:rsidR="005C2091" w:rsidRDefault="00A86293">
      <w:r>
        <w:t xml:space="preserve">Stranke ostvaruju svoja prava iz upravnih područja obnove i stambenog zbrinjavanja pred nadležnim tijelima državne uprave i to uredima državne uprave u županijama te pred Državnim uredom za obnovu i stambeno zbrinjavanje, ovo potonje, osobito u žalbenim postupcima te u postupcima kada ovaj državni ured donosi odluku u prvom stupnju. </w:t>
      </w:r>
    </w:p>
    <w:p w:rsidR="005C2091" w:rsidRDefault="00A86293">
      <w:r>
        <w:t xml:space="preserve">U žalbenim predmetima rješavaju se žalbe u predmetima obnove i stambenog zbrinjavanja a na rješenje žalbe u lipnju 2016. godine se čeka cca godinu dana. </w:t>
      </w:r>
    </w:p>
    <w:p w:rsidR="005C2091" w:rsidRDefault="00A86293">
      <w:r>
        <w:t xml:space="preserve">Cilj naših aktivnosti je skratiti rješavanje žalbi na rok od 6 mjeseci što imamo ambiciju postići u narednom razdoblju. </w:t>
      </w:r>
    </w:p>
    <w:p w:rsidR="005C2091" w:rsidRDefault="00A86293">
      <w:r>
        <w:t xml:space="preserve">U slučajevima nepropisnog ponašanja stranaka ovaj Državni ured pokreće postupke iseljenja iz stambenih jedinica osoba koje nezakonito borave u istim te također pokreće sudske postupke protiv stranaka koje ne plaćaju ugovorenu najamninu ali niti ostale režijske troškove stanovanja. </w:t>
      </w:r>
    </w:p>
    <w:p w:rsidR="005C2091" w:rsidRDefault="00A86293">
      <w:r>
        <w:lastRenderedPageBreak/>
        <w:t xml:space="preserve">U odnosu na kontrolu zakonitosti rada prvostupanjskih tijela bit će pokretani postupci upravnih nadzora, a cilj i ambicija je da se u narednim godinama broj tih predmeta kontinuirano povećava što bi trebalo dovesti do boljeg i kvalitetnijeg rada Ureda državne uprave u predmetima obnove i stambenog zbrinjavanja. </w:t>
      </w:r>
    </w:p>
    <w:p w:rsidR="005C2091" w:rsidRDefault="00A86293">
      <w:r>
        <w:t>U pogledu uređenja posjedovne i vlasničke evidencije cilj je, nekretnine koje su u vlasništvu RH, a službe za obnovu i stambeno zbrinjavanje korisnika odnosno prodaju nekretnina istima, vlasničko-pravno urediti da stanje u zemljišnim knjigama bude čisto i uredno.</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95"/>
        <w:gridCol w:w="2494"/>
        <w:gridCol w:w="1159"/>
        <w:gridCol w:w="1015"/>
        <w:gridCol w:w="1012"/>
        <w:gridCol w:w="1015"/>
        <w:gridCol w:w="1016"/>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trajno stambeno zbrinutih obitelji povratnika, prognanika i izbjeglica koje su se vratile u prijeratna prebivališta</w:t>
            </w:r>
          </w:p>
        </w:tc>
        <w:tc>
          <w:tcPr>
            <w:tcW w:w="2551" w:type="dxa"/>
          </w:tcPr>
          <w:p w:rsidR="005C2091" w:rsidRDefault="00A86293">
            <w:pPr>
              <w:pStyle w:val="CellColumn"/>
              <w:jc w:val="left"/>
            </w:pPr>
            <w:r>
              <w:rPr>
                <w:rFonts w:cs="Times New Roman"/>
              </w:rPr>
              <w:t>Povećanje broja trajno stambeno zbrinutih obitelji povratnika, prognanika i izbjeglica koje su se vratile u prijeratna prebivališta</w:t>
            </w:r>
          </w:p>
        </w:tc>
        <w:tc>
          <w:tcPr>
            <w:tcW w:w="1020" w:type="dxa"/>
          </w:tcPr>
          <w:p w:rsidR="005C2091" w:rsidRDefault="00A86293">
            <w:pPr>
              <w:pStyle w:val="CellColumn"/>
              <w:jc w:val="right"/>
            </w:pPr>
            <w:r>
              <w:rPr>
                <w:rFonts w:cs="Times New Roman"/>
              </w:rPr>
              <w:t>broj obitelji</w:t>
            </w:r>
          </w:p>
        </w:tc>
        <w:tc>
          <w:tcPr>
            <w:tcW w:w="1020" w:type="dxa"/>
          </w:tcPr>
          <w:p w:rsidR="005C2091" w:rsidRDefault="00A86293">
            <w:pPr>
              <w:pStyle w:val="CellColumn"/>
              <w:jc w:val="right"/>
            </w:pPr>
            <w:r>
              <w:rPr>
                <w:rFonts w:cs="Times New Roman"/>
              </w:rPr>
              <w:t>175.376</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175.503</w:t>
            </w:r>
          </w:p>
        </w:tc>
        <w:tc>
          <w:tcPr>
            <w:tcW w:w="1020" w:type="dxa"/>
          </w:tcPr>
          <w:p w:rsidR="005C2091" w:rsidRDefault="00A86293">
            <w:pPr>
              <w:pStyle w:val="CellColumn"/>
              <w:jc w:val="right"/>
            </w:pPr>
            <w:r>
              <w:rPr>
                <w:rFonts w:cs="Times New Roman"/>
              </w:rPr>
              <w:t>175.504</w:t>
            </w:r>
          </w:p>
        </w:tc>
      </w:tr>
      <w:tr w:rsidR="005C2091">
        <w:trPr>
          <w:jc w:val="center"/>
        </w:trPr>
        <w:tc>
          <w:tcPr>
            <w:tcW w:w="2551" w:type="dxa"/>
          </w:tcPr>
          <w:p w:rsidR="005C2091" w:rsidRDefault="00A86293">
            <w:pPr>
              <w:pStyle w:val="CellColumn"/>
              <w:jc w:val="left"/>
            </w:pPr>
            <w:r>
              <w:rPr>
                <w:rFonts w:cs="Times New Roman"/>
              </w:rPr>
              <w:t>Povećanje broja obitelji koje su trajno stambeno zbrinute ili su im poboljšani uvjeti stanovanja</w:t>
            </w:r>
          </w:p>
        </w:tc>
        <w:tc>
          <w:tcPr>
            <w:tcW w:w="2551" w:type="dxa"/>
          </w:tcPr>
          <w:p w:rsidR="005C2091" w:rsidRDefault="00A86293">
            <w:pPr>
              <w:pStyle w:val="CellColumn"/>
              <w:jc w:val="left"/>
            </w:pPr>
            <w:r>
              <w:rPr>
                <w:rFonts w:cs="Times New Roman"/>
              </w:rPr>
              <w:t>Povećanje broja obitelji koje su trajno stambeno zbrinute ili su im poboljšani uvjeti stanovanja</w:t>
            </w:r>
          </w:p>
        </w:tc>
        <w:tc>
          <w:tcPr>
            <w:tcW w:w="1020" w:type="dxa"/>
          </w:tcPr>
          <w:p w:rsidR="005C2091" w:rsidRDefault="00A86293">
            <w:pPr>
              <w:pStyle w:val="CellColumn"/>
              <w:jc w:val="right"/>
            </w:pPr>
            <w:r>
              <w:rPr>
                <w:rFonts w:cs="Times New Roman"/>
              </w:rPr>
              <w:t>broj obitelji</w:t>
            </w:r>
          </w:p>
        </w:tc>
        <w:tc>
          <w:tcPr>
            <w:tcW w:w="1020" w:type="dxa"/>
          </w:tcPr>
          <w:p w:rsidR="005C2091" w:rsidRDefault="00A86293">
            <w:pPr>
              <w:pStyle w:val="CellColumn"/>
              <w:jc w:val="right"/>
            </w:pPr>
            <w:r>
              <w:rPr>
                <w:rFonts w:cs="Times New Roman"/>
              </w:rPr>
              <w:t>14.776</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15.171</w:t>
            </w:r>
          </w:p>
        </w:tc>
        <w:tc>
          <w:tcPr>
            <w:tcW w:w="1020" w:type="dxa"/>
          </w:tcPr>
          <w:p w:rsidR="005C2091" w:rsidRDefault="00A86293">
            <w:pPr>
              <w:pStyle w:val="CellColumn"/>
              <w:jc w:val="right"/>
            </w:pPr>
            <w:r>
              <w:rPr>
                <w:rFonts w:cs="Times New Roman"/>
              </w:rPr>
              <w:t>15.121</w:t>
            </w:r>
          </w:p>
        </w:tc>
      </w:tr>
      <w:tr w:rsidR="005C2091">
        <w:trPr>
          <w:jc w:val="center"/>
        </w:trPr>
        <w:tc>
          <w:tcPr>
            <w:tcW w:w="2551" w:type="dxa"/>
          </w:tcPr>
          <w:p w:rsidR="005C2091" w:rsidRDefault="00A86293">
            <w:pPr>
              <w:pStyle w:val="CellColumn"/>
              <w:jc w:val="left"/>
            </w:pPr>
            <w:r>
              <w:rPr>
                <w:rFonts w:cs="Times New Roman"/>
              </w:rPr>
              <w:t>Povećanje broja trajno stambeno zbrinutih obitelji povratnika, prognanika i izbjeglica koje su se vratile u prijeratna prebivališta</w:t>
            </w:r>
          </w:p>
        </w:tc>
        <w:tc>
          <w:tcPr>
            <w:tcW w:w="2551" w:type="dxa"/>
          </w:tcPr>
          <w:p w:rsidR="005C2091" w:rsidRDefault="00A86293">
            <w:pPr>
              <w:pStyle w:val="CellColumn"/>
              <w:jc w:val="left"/>
            </w:pPr>
            <w:r>
              <w:rPr>
                <w:rFonts w:cs="Times New Roman"/>
              </w:rPr>
              <w:t>Povećanje broja trajno stambeno zbrinutih obitelji povratnika, prognanika i izbjeglica koje su se vratile u prijeratna prebivališta</w:t>
            </w:r>
          </w:p>
        </w:tc>
        <w:tc>
          <w:tcPr>
            <w:tcW w:w="1020" w:type="dxa"/>
          </w:tcPr>
          <w:p w:rsidR="005C2091" w:rsidRDefault="00A86293">
            <w:pPr>
              <w:pStyle w:val="CellColumn"/>
              <w:jc w:val="right"/>
            </w:pPr>
            <w:r>
              <w:rPr>
                <w:rFonts w:cs="Times New Roman"/>
              </w:rPr>
              <w:t>broj obitelji</w:t>
            </w:r>
          </w:p>
        </w:tc>
        <w:tc>
          <w:tcPr>
            <w:tcW w:w="1020" w:type="dxa"/>
          </w:tcPr>
          <w:p w:rsidR="005C2091" w:rsidRDefault="00A86293">
            <w:pPr>
              <w:pStyle w:val="CellColumn"/>
              <w:jc w:val="right"/>
            </w:pPr>
            <w:r>
              <w:rPr>
                <w:rFonts w:cs="Times New Roman"/>
              </w:rPr>
              <w:t>132</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593</w:t>
            </w:r>
          </w:p>
        </w:tc>
        <w:tc>
          <w:tcPr>
            <w:tcW w:w="1020" w:type="dxa"/>
          </w:tcPr>
          <w:p w:rsidR="005C2091" w:rsidRDefault="00A86293">
            <w:pPr>
              <w:pStyle w:val="CellColumn"/>
              <w:jc w:val="right"/>
            </w:pPr>
            <w:r>
              <w:rPr>
                <w:rFonts w:cs="Times New Roman"/>
              </w:rPr>
              <w:t>78</w:t>
            </w:r>
          </w:p>
        </w:tc>
      </w:tr>
      <w:tr w:rsidR="005C2091">
        <w:trPr>
          <w:jc w:val="center"/>
        </w:trPr>
        <w:tc>
          <w:tcPr>
            <w:tcW w:w="2551" w:type="dxa"/>
          </w:tcPr>
          <w:p w:rsidR="005C2091" w:rsidRDefault="00A86293">
            <w:pPr>
              <w:pStyle w:val="CellColumn"/>
              <w:jc w:val="left"/>
            </w:pPr>
            <w:r>
              <w:rPr>
                <w:rFonts w:cs="Times New Roman"/>
              </w:rPr>
              <w:t>Broj obostrano potpisanih ugovora o najmu, te praćenje naplate istih</w:t>
            </w:r>
          </w:p>
        </w:tc>
        <w:tc>
          <w:tcPr>
            <w:tcW w:w="2551" w:type="dxa"/>
          </w:tcPr>
          <w:p w:rsidR="005C2091" w:rsidRDefault="00A86293">
            <w:pPr>
              <w:pStyle w:val="CellColumn"/>
              <w:jc w:val="left"/>
            </w:pPr>
            <w:r>
              <w:rPr>
                <w:rFonts w:cs="Times New Roman"/>
              </w:rPr>
              <w:t>Broj obostrano potpisanih ugovora o najmu, te praćenje naplate istih</w:t>
            </w:r>
          </w:p>
        </w:tc>
        <w:tc>
          <w:tcPr>
            <w:tcW w:w="1020" w:type="dxa"/>
          </w:tcPr>
          <w:p w:rsidR="005C2091" w:rsidRDefault="00A86293">
            <w:pPr>
              <w:pStyle w:val="CellColumn"/>
              <w:jc w:val="right"/>
            </w:pPr>
            <w:r>
              <w:rPr>
                <w:rFonts w:cs="Times New Roman"/>
              </w:rPr>
              <w:t>broj ugovora</w:t>
            </w:r>
          </w:p>
        </w:tc>
        <w:tc>
          <w:tcPr>
            <w:tcW w:w="1020" w:type="dxa"/>
          </w:tcPr>
          <w:p w:rsidR="005C2091" w:rsidRDefault="00A86293">
            <w:pPr>
              <w:pStyle w:val="CellColumn"/>
              <w:jc w:val="right"/>
            </w:pPr>
            <w:r>
              <w:rPr>
                <w:rFonts w:cs="Times New Roman"/>
              </w:rPr>
              <w:t>5000</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1524</w:t>
            </w:r>
          </w:p>
        </w:tc>
        <w:tc>
          <w:tcPr>
            <w:tcW w:w="1020" w:type="dxa"/>
          </w:tcPr>
          <w:p w:rsidR="005C2091" w:rsidRDefault="00A86293">
            <w:pPr>
              <w:pStyle w:val="CellColumn"/>
              <w:jc w:val="right"/>
            </w:pPr>
            <w:r>
              <w:rPr>
                <w:rFonts w:cs="Times New Roman"/>
              </w:rPr>
              <w:t>1500</w:t>
            </w:r>
          </w:p>
        </w:tc>
      </w:tr>
      <w:tr w:rsidR="005C2091">
        <w:trPr>
          <w:jc w:val="center"/>
        </w:trPr>
        <w:tc>
          <w:tcPr>
            <w:tcW w:w="2551" w:type="dxa"/>
          </w:tcPr>
          <w:p w:rsidR="005C2091" w:rsidRDefault="00A86293">
            <w:pPr>
              <w:pStyle w:val="CellColumn"/>
              <w:jc w:val="left"/>
            </w:pPr>
            <w:r>
              <w:rPr>
                <w:rFonts w:cs="Times New Roman"/>
              </w:rPr>
              <w:t>Prodaja  stambenih jedinica reflektira prihode Državnog proračuna i Jedinica lokalne samouprave i uprave</w:t>
            </w:r>
          </w:p>
        </w:tc>
        <w:tc>
          <w:tcPr>
            <w:tcW w:w="2551" w:type="dxa"/>
          </w:tcPr>
          <w:p w:rsidR="005C2091" w:rsidRDefault="00A86293">
            <w:pPr>
              <w:pStyle w:val="CellColumn"/>
              <w:jc w:val="left"/>
            </w:pPr>
            <w:r>
              <w:rPr>
                <w:rFonts w:cs="Times New Roman"/>
              </w:rPr>
              <w:t>Prodaja stambenih jedinica reflektira prihode Državnog proračuna i Jedinica lokalne samouprave i uprave</w:t>
            </w:r>
          </w:p>
        </w:tc>
        <w:tc>
          <w:tcPr>
            <w:tcW w:w="1020" w:type="dxa"/>
          </w:tcPr>
          <w:p w:rsidR="005C2091" w:rsidRDefault="00A86293">
            <w:pPr>
              <w:pStyle w:val="CellColumn"/>
              <w:jc w:val="right"/>
            </w:pPr>
            <w:r>
              <w:rPr>
                <w:rFonts w:cs="Times New Roman"/>
              </w:rPr>
              <w:t>broj ugovora o prodaji</w:t>
            </w:r>
          </w:p>
        </w:tc>
        <w:tc>
          <w:tcPr>
            <w:tcW w:w="1020" w:type="dxa"/>
          </w:tcPr>
          <w:p w:rsidR="005C2091" w:rsidRDefault="00A86293">
            <w:pPr>
              <w:pStyle w:val="CellColumn"/>
              <w:jc w:val="right"/>
            </w:pPr>
            <w:r>
              <w:rPr>
                <w:rFonts w:cs="Times New Roman"/>
              </w:rPr>
              <w:t>3168</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600</w:t>
            </w:r>
          </w:p>
        </w:tc>
        <w:tc>
          <w:tcPr>
            <w:tcW w:w="1020" w:type="dxa"/>
          </w:tcPr>
          <w:p w:rsidR="005C2091" w:rsidRDefault="00A86293">
            <w:pPr>
              <w:pStyle w:val="CellColumn"/>
              <w:jc w:val="right"/>
            </w:pPr>
            <w:r>
              <w:rPr>
                <w:rFonts w:cs="Times New Roman"/>
              </w:rPr>
              <w:t>321</w:t>
            </w:r>
          </w:p>
        </w:tc>
      </w:tr>
      <w:tr w:rsidR="005C2091">
        <w:trPr>
          <w:jc w:val="center"/>
        </w:trPr>
        <w:tc>
          <w:tcPr>
            <w:tcW w:w="2551" w:type="dxa"/>
          </w:tcPr>
          <w:p w:rsidR="005C2091" w:rsidRDefault="00A86293">
            <w:pPr>
              <w:pStyle w:val="CellColumn"/>
              <w:jc w:val="left"/>
            </w:pPr>
            <w:r>
              <w:rPr>
                <w:rFonts w:cs="Times New Roman"/>
              </w:rPr>
              <w:t>Darovanje stambenih jedinica</w:t>
            </w:r>
          </w:p>
        </w:tc>
        <w:tc>
          <w:tcPr>
            <w:tcW w:w="2551" w:type="dxa"/>
          </w:tcPr>
          <w:p w:rsidR="005C2091" w:rsidRDefault="00A86293">
            <w:pPr>
              <w:pStyle w:val="CellColumn"/>
              <w:jc w:val="left"/>
            </w:pPr>
            <w:r>
              <w:rPr>
                <w:rFonts w:cs="Times New Roman"/>
              </w:rPr>
              <w:t>Darovanje stambenih jedinica</w:t>
            </w:r>
          </w:p>
        </w:tc>
        <w:tc>
          <w:tcPr>
            <w:tcW w:w="1020" w:type="dxa"/>
          </w:tcPr>
          <w:p w:rsidR="005C2091" w:rsidRDefault="00A86293">
            <w:pPr>
              <w:pStyle w:val="CellColumn"/>
              <w:jc w:val="right"/>
            </w:pPr>
            <w:r>
              <w:rPr>
                <w:rFonts w:cs="Times New Roman"/>
              </w:rPr>
              <w:t>broj ugovora o darovanju</w:t>
            </w:r>
          </w:p>
        </w:tc>
        <w:tc>
          <w:tcPr>
            <w:tcW w:w="1020" w:type="dxa"/>
          </w:tcPr>
          <w:p w:rsidR="005C2091" w:rsidRDefault="00A86293">
            <w:pPr>
              <w:pStyle w:val="CellColumn"/>
              <w:jc w:val="right"/>
            </w:pPr>
            <w:r>
              <w:rPr>
                <w:rFonts w:cs="Times New Roman"/>
              </w:rPr>
              <w:t>7795</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800</w:t>
            </w:r>
          </w:p>
        </w:tc>
        <w:tc>
          <w:tcPr>
            <w:tcW w:w="1020" w:type="dxa"/>
          </w:tcPr>
          <w:p w:rsidR="005C2091" w:rsidRDefault="00A86293">
            <w:pPr>
              <w:pStyle w:val="CellColumn"/>
              <w:jc w:val="right"/>
            </w:pPr>
            <w:r>
              <w:rPr>
                <w:rFonts w:cs="Times New Roman"/>
              </w:rPr>
              <w:t>1200</w:t>
            </w:r>
          </w:p>
        </w:tc>
      </w:tr>
      <w:tr w:rsidR="005C2091">
        <w:trPr>
          <w:jc w:val="center"/>
        </w:trPr>
        <w:tc>
          <w:tcPr>
            <w:tcW w:w="2551" w:type="dxa"/>
          </w:tcPr>
          <w:p w:rsidR="005C2091" w:rsidRDefault="00A86293">
            <w:pPr>
              <w:pStyle w:val="CellColumn"/>
              <w:jc w:val="left"/>
            </w:pPr>
            <w:r>
              <w:rPr>
                <w:rFonts w:cs="Times New Roman"/>
              </w:rPr>
              <w:t>Povećanje broja sufinanciranih objekata."</w:t>
            </w:r>
          </w:p>
        </w:tc>
        <w:tc>
          <w:tcPr>
            <w:tcW w:w="2551" w:type="dxa"/>
          </w:tcPr>
          <w:p w:rsidR="005C2091" w:rsidRDefault="005C2091">
            <w:pPr>
              <w:pStyle w:val="CellColumn"/>
              <w:jc w:val="left"/>
            </w:pPr>
          </w:p>
          <w:p w:rsidR="005C2091" w:rsidRDefault="00A86293">
            <w:pPr>
              <w:pStyle w:val="CellColumn"/>
              <w:jc w:val="left"/>
            </w:pPr>
            <w:r>
              <w:rPr>
                <w:rFonts w:cs="Times New Roman"/>
              </w:rPr>
              <w:t>Povećanje</w:t>
            </w:r>
            <w:r w:rsidR="00C17231">
              <w:rPr>
                <w:rFonts w:cs="Times New Roman"/>
              </w:rPr>
              <w:t xml:space="preserve"> broja sufinanciranih objekata.</w:t>
            </w:r>
          </w:p>
        </w:tc>
        <w:tc>
          <w:tcPr>
            <w:tcW w:w="1020" w:type="dxa"/>
          </w:tcPr>
          <w:p w:rsidR="005C2091" w:rsidRDefault="00A86293">
            <w:pPr>
              <w:pStyle w:val="CellColumn"/>
              <w:jc w:val="right"/>
            </w:pPr>
            <w:r>
              <w:rPr>
                <w:rFonts w:cs="Times New Roman"/>
              </w:rPr>
              <w:t xml:space="preserve">" </w:t>
            </w:r>
          </w:p>
          <w:p w:rsidR="005C2091" w:rsidRDefault="00A86293">
            <w:pPr>
              <w:pStyle w:val="CellColumn"/>
              <w:jc w:val="right"/>
            </w:pPr>
            <w:r>
              <w:rPr>
                <w:rFonts w:cs="Times New Roman"/>
              </w:rPr>
              <w:t xml:space="preserve"> </w:t>
            </w:r>
          </w:p>
          <w:p w:rsidR="005C2091" w:rsidRDefault="00A86293">
            <w:pPr>
              <w:pStyle w:val="CellColumn"/>
              <w:jc w:val="right"/>
            </w:pPr>
            <w:r>
              <w:rPr>
                <w:rFonts w:cs="Times New Roman"/>
              </w:rPr>
              <w:t xml:space="preserve">broj sufinancirani projekata </w:t>
            </w:r>
          </w:p>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66</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28</w:t>
            </w:r>
          </w:p>
        </w:tc>
        <w:tc>
          <w:tcPr>
            <w:tcW w:w="1020" w:type="dxa"/>
          </w:tcPr>
          <w:p w:rsidR="005C2091" w:rsidRDefault="00A86293">
            <w:pPr>
              <w:pStyle w:val="CellColumn"/>
              <w:jc w:val="right"/>
            </w:pPr>
            <w:r>
              <w:rPr>
                <w:rFonts w:cs="Times New Roman"/>
              </w:rPr>
              <w:t>28</w:t>
            </w:r>
          </w:p>
        </w:tc>
      </w:tr>
      <w:tr w:rsidR="005C2091">
        <w:trPr>
          <w:jc w:val="center"/>
        </w:trPr>
        <w:tc>
          <w:tcPr>
            <w:tcW w:w="2551" w:type="dxa"/>
          </w:tcPr>
          <w:p w:rsidR="005C2091" w:rsidRDefault="00A86293">
            <w:pPr>
              <w:pStyle w:val="CellColumn"/>
              <w:jc w:val="left"/>
            </w:pPr>
            <w:r>
              <w:rPr>
                <w:rFonts w:cs="Times New Roman"/>
              </w:rPr>
              <w:t>Zatvaranje objekata organiziranog smještaja i smanjenje broja korisnika preostalih na smještaju</w:t>
            </w:r>
          </w:p>
        </w:tc>
        <w:tc>
          <w:tcPr>
            <w:tcW w:w="2551" w:type="dxa"/>
          </w:tcPr>
          <w:p w:rsidR="005C2091" w:rsidRDefault="00A86293">
            <w:pPr>
              <w:pStyle w:val="CellColumn"/>
              <w:jc w:val="left"/>
            </w:pPr>
            <w:r>
              <w:rPr>
                <w:rFonts w:cs="Times New Roman"/>
              </w:rPr>
              <w:t>Zatvaranje objekata organiziranog smještaja i smanjenje broja korisnika preostalih na smještaju</w:t>
            </w:r>
          </w:p>
        </w:tc>
        <w:tc>
          <w:tcPr>
            <w:tcW w:w="1020" w:type="dxa"/>
          </w:tcPr>
          <w:p w:rsidR="005C2091" w:rsidRDefault="00A86293">
            <w:pPr>
              <w:pStyle w:val="CellColumn"/>
              <w:jc w:val="right"/>
            </w:pPr>
            <w:r>
              <w:rPr>
                <w:rFonts w:cs="Times New Roman"/>
              </w:rPr>
              <w:t>broj korisnika</w:t>
            </w:r>
          </w:p>
        </w:tc>
        <w:tc>
          <w:tcPr>
            <w:tcW w:w="1020" w:type="dxa"/>
          </w:tcPr>
          <w:p w:rsidR="005C2091" w:rsidRDefault="00A86293">
            <w:pPr>
              <w:pStyle w:val="CellColumn"/>
              <w:jc w:val="right"/>
            </w:pPr>
            <w:r>
              <w:rPr>
                <w:rFonts w:cs="Times New Roman"/>
              </w:rPr>
              <w:t>348</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198</w:t>
            </w:r>
          </w:p>
        </w:tc>
        <w:tc>
          <w:tcPr>
            <w:tcW w:w="1020" w:type="dxa"/>
          </w:tcPr>
          <w:p w:rsidR="005C2091" w:rsidRDefault="00A86293">
            <w:pPr>
              <w:pStyle w:val="CellColumn"/>
              <w:jc w:val="right"/>
            </w:pPr>
            <w:r>
              <w:rPr>
                <w:rFonts w:cs="Times New Roman"/>
              </w:rPr>
              <w:t>339</w:t>
            </w:r>
          </w:p>
        </w:tc>
      </w:tr>
      <w:tr w:rsidR="005C2091">
        <w:trPr>
          <w:jc w:val="center"/>
        </w:trPr>
        <w:tc>
          <w:tcPr>
            <w:tcW w:w="2551" w:type="dxa"/>
          </w:tcPr>
          <w:p w:rsidR="005C2091" w:rsidRDefault="00A86293">
            <w:pPr>
              <w:pStyle w:val="CellColumn"/>
              <w:jc w:val="left"/>
            </w:pPr>
            <w:r>
              <w:rPr>
                <w:rFonts w:cs="Times New Roman"/>
              </w:rPr>
              <w:t>Ostvarivanje prava stranka na obnovu i stambeno zbrinjavanje</w:t>
            </w:r>
          </w:p>
        </w:tc>
        <w:tc>
          <w:tcPr>
            <w:tcW w:w="2551" w:type="dxa"/>
          </w:tcPr>
          <w:p w:rsidR="005C2091" w:rsidRDefault="00A86293">
            <w:pPr>
              <w:pStyle w:val="CellColumn"/>
              <w:jc w:val="left"/>
            </w:pPr>
            <w:r>
              <w:rPr>
                <w:rFonts w:cs="Times New Roman"/>
              </w:rPr>
              <w:t>Ostvarivanje prava stranka na obnovu i stambeno zbrinjavanje</w:t>
            </w:r>
          </w:p>
        </w:tc>
        <w:tc>
          <w:tcPr>
            <w:tcW w:w="1020" w:type="dxa"/>
          </w:tcPr>
          <w:p w:rsidR="005C2091" w:rsidRDefault="00A86293">
            <w:pPr>
              <w:pStyle w:val="CellColumn"/>
              <w:jc w:val="right"/>
            </w:pPr>
            <w:r>
              <w:rPr>
                <w:rFonts w:cs="Times New Roman"/>
              </w:rPr>
              <w:t>broj predmeta</w:t>
            </w:r>
          </w:p>
        </w:tc>
        <w:tc>
          <w:tcPr>
            <w:tcW w:w="1020" w:type="dxa"/>
          </w:tcPr>
          <w:p w:rsidR="005C2091" w:rsidRDefault="00A86293">
            <w:pPr>
              <w:pStyle w:val="CellColumn"/>
              <w:jc w:val="right"/>
            </w:pPr>
            <w:r>
              <w:rPr>
                <w:rFonts w:cs="Times New Roman"/>
              </w:rPr>
              <w:t>1100</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850</w:t>
            </w:r>
          </w:p>
        </w:tc>
        <w:tc>
          <w:tcPr>
            <w:tcW w:w="1020" w:type="dxa"/>
          </w:tcPr>
          <w:p w:rsidR="005C2091" w:rsidRDefault="00A86293">
            <w:pPr>
              <w:pStyle w:val="CellColumn"/>
              <w:jc w:val="right"/>
            </w:pPr>
            <w:r>
              <w:rPr>
                <w:rFonts w:cs="Times New Roman"/>
              </w:rPr>
              <w:t>841</w:t>
            </w:r>
          </w:p>
        </w:tc>
      </w:tr>
    </w:tbl>
    <w:p w:rsidR="005C2091" w:rsidRDefault="005C2091">
      <w:pPr>
        <w:jc w:val="left"/>
      </w:pPr>
    </w:p>
    <w:p w:rsidR="005C2091" w:rsidRDefault="00A86293">
      <w:pPr>
        <w:pStyle w:val="Heading4"/>
      </w:pPr>
      <w:r>
        <w:lastRenderedPageBreak/>
        <w:t>A761060 POTPORA POVRATKA U BIH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A761060-POTPORA POVRATKA U BIH</w:t>
            </w:r>
          </w:p>
        </w:tc>
        <w:tc>
          <w:tcPr>
            <w:tcW w:w="2041" w:type="dxa"/>
          </w:tcPr>
          <w:p w:rsidR="005C2091" w:rsidRDefault="00A86293">
            <w:pPr>
              <w:pStyle w:val="CellColumn"/>
              <w:jc w:val="right"/>
            </w:pPr>
            <w:r>
              <w:rPr>
                <w:rFonts w:cs="Times New Roman"/>
              </w:rPr>
              <w:t>6.468.102</w:t>
            </w:r>
          </w:p>
        </w:tc>
        <w:tc>
          <w:tcPr>
            <w:tcW w:w="2041" w:type="dxa"/>
          </w:tcPr>
          <w:p w:rsidR="005C2091" w:rsidRDefault="00A86293">
            <w:pPr>
              <w:pStyle w:val="CellColumn"/>
              <w:jc w:val="right"/>
            </w:pPr>
            <w:r>
              <w:rPr>
                <w:rFonts w:cs="Times New Roman"/>
              </w:rPr>
              <w:t>6.500.000</w:t>
            </w:r>
          </w:p>
        </w:tc>
        <w:tc>
          <w:tcPr>
            <w:tcW w:w="2041" w:type="dxa"/>
          </w:tcPr>
          <w:p w:rsidR="005C2091" w:rsidRDefault="00A86293">
            <w:pPr>
              <w:pStyle w:val="CellColumn"/>
              <w:jc w:val="right"/>
            </w:pPr>
            <w:r>
              <w:rPr>
                <w:rFonts w:cs="Times New Roman"/>
              </w:rPr>
              <w:t>6.499.974</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100,5</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"Zaključak Vlade Republike Hrvatske o Programu pomoći Vlade Republike Hrvatske za povratak Hrvata u Bosnu i Hercegovinu od 29. ožujka 2001., te Zaključak Vlade Republike Hrvatske od 7. rujna 2006. godine  </w:t>
      </w:r>
    </w:p>
    <w:p w:rsidR="005C2091" w:rsidRDefault="00A86293">
      <w:r>
        <w:t xml:space="preserve">- Sporazum o provedbi programa pomoći Vlade Republike Hrvatske Bosni i Hercegovini između MMTPR i BiH Ministarstva za ljudska prava i izbjeglice </w:t>
      </w:r>
    </w:p>
    <w:p w:rsidR="005C2091" w:rsidRDefault="00A86293">
      <w:r>
        <w:t>- međudržavni ugovor Vlade RH i Vijeća ministara BiH te Zakon o područjima posebne državne skrbi "</w:t>
      </w:r>
    </w:p>
    <w:p w:rsidR="005C2091" w:rsidRDefault="00A86293">
      <w:pPr>
        <w:pStyle w:val="Heading8"/>
        <w:jc w:val="left"/>
      </w:pPr>
      <w:r>
        <w:t>Opis aktivnosti</w:t>
      </w:r>
    </w:p>
    <w:p w:rsidR="005C2091" w:rsidRDefault="00A86293">
      <w:r>
        <w:t xml:space="preserve">'Program pomoći Vlade Republike Hrvatske za povratak Hrvata u Bosnu i Hercegovinu u okviru kojeg se provodi i organizira isporuka osnovnog građevinskog materijala za obnovu obiteljskih kuća u Bosni i Hercegovini, radi trajnog rješavanja stambenih potreba najugroženijih kategorija izbjeglih i interno raseljenih lica, a kojeg Vlada Republike Hrvatske provodi s ciljem stvaranja osnovnih preduvjeta za održivi povratak osoba koje su radi ratnih djelovanja izbjegle s tih područja, a koje se žele vratiti i ostati živjeti u mjestima prijeratnih prebivališta. </w:t>
      </w:r>
    </w:p>
    <w:p w:rsidR="005C2091" w:rsidRDefault="00A86293">
      <w:r>
        <w:t>Ciljana vrijednost nije ostvarena zbog neizdavanja potvrde o oslobađanju plaćanja uvoznih pristojbi za građevni materijal od strane Ministarstva financija BiH. Proračunska sredstva su utrošena na sufinanciranje 28 projekata za poticanje povratka Hrvata i stvaranje održivih uvjeta života u Bosni i Hercegovini.</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22"/>
        <w:gridCol w:w="2522"/>
        <w:gridCol w:w="1092"/>
        <w:gridCol w:w="1018"/>
        <w:gridCol w:w="1016"/>
        <w:gridCol w:w="1018"/>
        <w:gridCol w:w="1018"/>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izgrađenih kuća od isporučenih kompleta građevnog materijala za izgradnju ili obnovu kuće u vlasništvu Hrvata u BiH (tehnički pregledi)</w:t>
            </w:r>
          </w:p>
        </w:tc>
        <w:tc>
          <w:tcPr>
            <w:tcW w:w="2551" w:type="dxa"/>
          </w:tcPr>
          <w:p w:rsidR="005C2091" w:rsidRDefault="00A86293">
            <w:pPr>
              <w:pStyle w:val="CellColumn"/>
              <w:jc w:val="left"/>
            </w:pPr>
            <w:r>
              <w:rPr>
                <w:rFonts w:cs="Times New Roman"/>
              </w:rPr>
              <w:t>Povećanje broja izgrađenih kuća od isporučenih kompleta građevnog materijala za izgradnju ili obnovu kuće u vlasništvu Hrvata u BiH (tehnički pregledi)</w:t>
            </w:r>
          </w:p>
        </w:tc>
        <w:tc>
          <w:tcPr>
            <w:tcW w:w="1020" w:type="dxa"/>
          </w:tcPr>
          <w:p w:rsidR="005C2091" w:rsidRDefault="00A86293">
            <w:pPr>
              <w:pStyle w:val="CellColumn"/>
              <w:jc w:val="right"/>
            </w:pPr>
            <w:r>
              <w:rPr>
                <w:rFonts w:cs="Times New Roman"/>
              </w:rPr>
              <w:t>broj izgrađenih kuća od isporučenog građevnog materijala</w:t>
            </w:r>
          </w:p>
        </w:tc>
        <w:tc>
          <w:tcPr>
            <w:tcW w:w="1020" w:type="dxa"/>
          </w:tcPr>
          <w:p w:rsidR="005C2091" w:rsidRDefault="00A86293">
            <w:pPr>
              <w:pStyle w:val="CellColumn"/>
              <w:jc w:val="right"/>
            </w:pPr>
            <w:r>
              <w:rPr>
                <w:rFonts w:cs="Times New Roman"/>
              </w:rPr>
              <w:t>2655</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71</w:t>
            </w:r>
          </w:p>
        </w:tc>
        <w:tc>
          <w:tcPr>
            <w:tcW w:w="1020" w:type="dxa"/>
          </w:tcPr>
          <w:p w:rsidR="005C2091" w:rsidRDefault="00A86293">
            <w:pPr>
              <w:pStyle w:val="CellColumn"/>
              <w:jc w:val="right"/>
            </w:pPr>
            <w:r>
              <w:rPr>
                <w:rFonts w:cs="Times New Roman"/>
              </w:rPr>
              <w:t>0</w:t>
            </w:r>
          </w:p>
        </w:tc>
      </w:tr>
    </w:tbl>
    <w:p w:rsidR="005C2091" w:rsidRDefault="005C2091">
      <w:pPr>
        <w:jc w:val="left"/>
      </w:pPr>
    </w:p>
    <w:p w:rsidR="005C2091" w:rsidRDefault="00A86293">
      <w:pPr>
        <w:pStyle w:val="Heading4"/>
      </w:pPr>
      <w:r>
        <w:t>A761069 REGIONALNI STAMBENI PROGRAM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A761069-REGIONALNI STAMBENI PROGRAM</w:t>
            </w:r>
          </w:p>
        </w:tc>
        <w:tc>
          <w:tcPr>
            <w:tcW w:w="2041" w:type="dxa"/>
          </w:tcPr>
          <w:p w:rsidR="005C2091" w:rsidRDefault="00A86293">
            <w:pPr>
              <w:pStyle w:val="CellColumn"/>
              <w:jc w:val="right"/>
            </w:pPr>
            <w:r>
              <w:rPr>
                <w:rFonts w:cs="Times New Roman"/>
              </w:rPr>
              <w:t>19.042.851</w:t>
            </w:r>
          </w:p>
        </w:tc>
        <w:tc>
          <w:tcPr>
            <w:tcW w:w="2041" w:type="dxa"/>
          </w:tcPr>
          <w:p w:rsidR="005C2091" w:rsidRDefault="00A86293">
            <w:pPr>
              <w:pStyle w:val="CellColumn"/>
              <w:jc w:val="right"/>
            </w:pPr>
            <w:r>
              <w:rPr>
                <w:rFonts w:cs="Times New Roman"/>
              </w:rPr>
              <w:t>77.491.000</w:t>
            </w:r>
          </w:p>
        </w:tc>
        <w:tc>
          <w:tcPr>
            <w:tcW w:w="2041" w:type="dxa"/>
          </w:tcPr>
          <w:p w:rsidR="005C2091" w:rsidRDefault="00A86293">
            <w:pPr>
              <w:pStyle w:val="CellColumn"/>
              <w:jc w:val="right"/>
            </w:pPr>
            <w:r>
              <w:rPr>
                <w:rFonts w:cs="Times New Roman"/>
              </w:rPr>
              <w:t>53.428.640</w:t>
            </w:r>
          </w:p>
        </w:tc>
        <w:tc>
          <w:tcPr>
            <w:tcW w:w="1224" w:type="dxa"/>
          </w:tcPr>
          <w:p w:rsidR="005C2091" w:rsidRDefault="00A86293">
            <w:pPr>
              <w:pStyle w:val="CellColumn"/>
              <w:jc w:val="right"/>
            </w:pPr>
            <w:r>
              <w:rPr>
                <w:rFonts w:cs="Times New Roman"/>
              </w:rPr>
              <w:t>68,9</w:t>
            </w:r>
          </w:p>
        </w:tc>
        <w:tc>
          <w:tcPr>
            <w:tcW w:w="1224" w:type="dxa"/>
          </w:tcPr>
          <w:p w:rsidR="005C2091" w:rsidRDefault="00A86293">
            <w:pPr>
              <w:pStyle w:val="CellColumn"/>
              <w:jc w:val="right"/>
            </w:pPr>
            <w:r>
              <w:rPr>
                <w:rFonts w:cs="Times New Roman"/>
              </w:rPr>
              <w:t>280,6</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 xml:space="preserve">- Zakon o područjima posebne državne skrbi (Narodne novine br. 86/08; 57/11;51A/13; 148/13; 76/14; 147/14 i 18/15)  </w:t>
      </w:r>
    </w:p>
    <w:p w:rsidR="005C2091" w:rsidRDefault="00A86293">
      <w:r>
        <w:t xml:space="preserve">-Uredba o utvrđivanju statusa bivših nositelja stanarskih prava i članova njihovih obitelji, te uvjetima i postupku njhovog stambenog zbrinjavanja (“Narodne novine“,br. 133/13)                </w:t>
      </w:r>
    </w:p>
    <w:p w:rsidR="005C2091" w:rsidRDefault="00A86293">
      <w:r>
        <w:t>- Odluka o stambenom zbrinjavanju povratnika - bivših nositelja stanarskog prava izvan područja posebne državne skrbi (“Narodne novine“,br. 42/13)</w:t>
      </w:r>
    </w:p>
    <w:p w:rsidR="005C2091" w:rsidRDefault="00A86293">
      <w:pPr>
        <w:pStyle w:val="Heading8"/>
        <w:jc w:val="left"/>
      </w:pPr>
      <w:r>
        <w:t>Opis aktivnosti</w:t>
      </w:r>
    </w:p>
    <w:p w:rsidR="005C2091" w:rsidRDefault="00A86293">
      <w:r>
        <w:t xml:space="preserve">"Hrvatska trenutno provodi tri modela stambenog zbrinjavanja: izgradnju stambenih objekata, kupnju stanova na tržištu te rekonstrukciju doma za stare i nemoćne osobe. Programom upravlja CEB pri kojem je osnovan Fond Regionalnog stambenog programa, kroz koji će se donatorska sredstva alocirati partnerskim državama za projekte u okviru njihovih nacionalnih programa. CEB je tajništvo Programa, upravitelj Fonda i financijska institucija. Cilj Programa jest osigurati trajna stambena rješenja u Republici Hrvatskoj za 3.541 obitelji, tj. 8.529 osoba koje su smještene ili u centrima organiziranog smještaja ili se nalaze u privatnom smještaju. Radi se o osobama kategoriziranim kao ugrožene izbjeglice, bivši nositelji stanarskog prava, ugroženi povratnici ili raseljene osobe. Sredstva za realizaciju ovoga plana iznose 119 mil. EUR, od čega bi nacionalni doprinos iznosio 25%, odnosno 29 mil. EUR. S obzirom na trenutna donatorska sredstva kojima Hrvatska raspolaže, Hrvatskoj su odobreni sljedeći projekti:   </w:t>
      </w:r>
    </w:p>
    <w:p w:rsidR="005C2091" w:rsidRDefault="00A86293">
      <w:r>
        <w:t xml:space="preserve">1. Izgradnja višestambene zgrade u Korenici za 29 obitelji  </w:t>
      </w:r>
    </w:p>
    <w:p w:rsidR="005C2091" w:rsidRDefault="00A86293">
      <w:r>
        <w:t xml:space="preserve">2. Izgradnja dviju višestambenih zgrada u Kninu za 40 obitelji  </w:t>
      </w:r>
    </w:p>
    <w:p w:rsidR="005C2091" w:rsidRDefault="00A86293">
      <w:r>
        <w:t xml:space="preserve">3. Rekonstrukcija i nadogradnja doma za stare i  nemoćne osobe u Glini  </w:t>
      </w:r>
    </w:p>
    <w:p w:rsidR="005C2091" w:rsidRDefault="00A86293">
      <w:r>
        <w:t xml:space="preserve">4. Kupnja stanova za 101 potencijalnog korisnika </w:t>
      </w:r>
    </w:p>
    <w:p w:rsidR="005C2091" w:rsidRDefault="00A86293">
      <w:r>
        <w:t xml:space="preserve">5. Izgradnja višestambene zgrade u Benkovcu za 21 obitelj </w:t>
      </w:r>
    </w:p>
    <w:p w:rsidR="005C2091" w:rsidRDefault="00A86293">
      <w:r>
        <w:t xml:space="preserve">6. Umrežavanje lokalnih koordinatora za podršku provedbi regionalnog programa stambenog zbrinjavanja na području Republike Hrvatske (RHPRH) </w:t>
      </w:r>
    </w:p>
    <w:p w:rsidR="005C2091" w:rsidRDefault="00A86293">
      <w:r>
        <w:t xml:space="preserve">HR2 Knin - Izvođenje radova na dvije višestambene zgrade u Kninu započeli su u studenom 2015. s rokom završetka radova krajem studenog 2016. godina. Zbog loših vremenskih uvjeta i pojave podzemnih voda, došlo je do kašnjenja radova te su radovi produljeni do proljeća 2017. godine. </w:t>
      </w:r>
    </w:p>
    <w:p w:rsidR="005C2091" w:rsidRDefault="00A86293">
      <w:r>
        <w:t xml:space="preserve">HR3 Glina - Radovi na rekonstrukciji i dogradnji Doma za starije, prvotno su bili planirani da se završe do kraja 2016. godine, ali su produljeni do svibnja 2017. zbog nepredviđenih, dodatnih radova.  </w:t>
      </w:r>
    </w:p>
    <w:p w:rsidR="005C2091" w:rsidRDefault="00A86293">
      <w:r>
        <w:t>HR4 Stanovi - U 2016. Planirana je kupnja 43 stambene jedinice, ali je s obzirom na trenutno dostupnost adekvatnih stanova na tržištu kupljeno njih 30. Preostalih stanovi planiraju se kupiti tijekom 2017.</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stambeno zbrinutih obitelji - bivših nositelja stanarskog prava i osoba smještenih u organiziranom smještaju</w:t>
            </w:r>
          </w:p>
        </w:tc>
        <w:tc>
          <w:tcPr>
            <w:tcW w:w="2551" w:type="dxa"/>
          </w:tcPr>
          <w:p w:rsidR="005C2091" w:rsidRDefault="00A86293">
            <w:pPr>
              <w:pStyle w:val="CellColumn"/>
              <w:jc w:val="left"/>
            </w:pPr>
            <w:r>
              <w:rPr>
                <w:rFonts w:cs="Times New Roman"/>
              </w:rPr>
              <w:t>Povećanje broja stambeno zbrinutih obitelji - bivših nositelja stanarskog prava i osoba smještenih u organiziranom smještaju</w:t>
            </w:r>
          </w:p>
        </w:tc>
        <w:tc>
          <w:tcPr>
            <w:tcW w:w="1020" w:type="dxa"/>
          </w:tcPr>
          <w:p w:rsidR="005C2091" w:rsidRDefault="00A86293">
            <w:pPr>
              <w:pStyle w:val="CellColumn"/>
              <w:jc w:val="right"/>
            </w:pPr>
            <w:r>
              <w:rPr>
                <w:rFonts w:cs="Times New Roman"/>
              </w:rPr>
              <w:t>broj obitelji</w:t>
            </w:r>
          </w:p>
        </w:tc>
        <w:tc>
          <w:tcPr>
            <w:tcW w:w="1020" w:type="dxa"/>
          </w:tcPr>
          <w:p w:rsidR="005C2091" w:rsidRDefault="00A86293">
            <w:pPr>
              <w:pStyle w:val="CellColumn"/>
              <w:jc w:val="right"/>
            </w:pPr>
            <w:r>
              <w:rPr>
                <w:rFonts w:cs="Times New Roman"/>
              </w:rPr>
              <w:t>58</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158</w:t>
            </w:r>
          </w:p>
        </w:tc>
        <w:tc>
          <w:tcPr>
            <w:tcW w:w="1020" w:type="dxa"/>
          </w:tcPr>
          <w:p w:rsidR="005C2091" w:rsidRDefault="00A86293">
            <w:pPr>
              <w:pStyle w:val="CellColumn"/>
              <w:jc w:val="right"/>
            </w:pPr>
            <w:r>
              <w:rPr>
                <w:rFonts w:cs="Times New Roman"/>
              </w:rPr>
              <w:t>30</w:t>
            </w:r>
          </w:p>
        </w:tc>
      </w:tr>
    </w:tbl>
    <w:p w:rsidR="005C2091" w:rsidRDefault="005C2091">
      <w:pPr>
        <w:jc w:val="left"/>
      </w:pPr>
    </w:p>
    <w:p w:rsidR="005C2091" w:rsidRDefault="00A86293">
      <w:pPr>
        <w:pStyle w:val="Heading4"/>
      </w:pPr>
      <w:r>
        <w:lastRenderedPageBreak/>
        <w:t>A761070 REFUNDACIJA ULOŽENIH SREDSTAVA HRVATSKIM BRANITELJIMA ZA KUPNJU STAMBENIH JEDINICA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A761070-REFUNDACIJA ULOŽENIH SREDSTAVA HRVATSKIM BRANITELJIMA ZA KUPNJU STAMBENIH JEDINICA</w:t>
            </w:r>
          </w:p>
        </w:tc>
        <w:tc>
          <w:tcPr>
            <w:tcW w:w="2041" w:type="dxa"/>
          </w:tcPr>
          <w:p w:rsidR="005C2091" w:rsidRDefault="00A86293">
            <w:pPr>
              <w:pStyle w:val="CellColumn"/>
              <w:jc w:val="right"/>
            </w:pPr>
            <w:r>
              <w:rPr>
                <w:rFonts w:cs="Times New Roman"/>
              </w:rPr>
              <w:t>7.201.491</w:t>
            </w:r>
          </w:p>
        </w:tc>
        <w:tc>
          <w:tcPr>
            <w:tcW w:w="2041" w:type="dxa"/>
          </w:tcPr>
          <w:p w:rsidR="005C2091" w:rsidRDefault="00A86293">
            <w:pPr>
              <w:pStyle w:val="CellColumn"/>
              <w:jc w:val="right"/>
            </w:pPr>
            <w:r>
              <w:rPr>
                <w:rFonts w:cs="Times New Roman"/>
              </w:rPr>
              <w:t>3.000.000</w:t>
            </w:r>
          </w:p>
        </w:tc>
        <w:tc>
          <w:tcPr>
            <w:tcW w:w="2041" w:type="dxa"/>
          </w:tcPr>
          <w:p w:rsidR="005C2091" w:rsidRDefault="00A86293">
            <w:pPr>
              <w:pStyle w:val="CellColumn"/>
              <w:jc w:val="right"/>
            </w:pPr>
            <w:r>
              <w:rPr>
                <w:rFonts w:cs="Times New Roman"/>
              </w:rPr>
              <w:t>2.939.541</w:t>
            </w:r>
          </w:p>
        </w:tc>
        <w:tc>
          <w:tcPr>
            <w:tcW w:w="1224" w:type="dxa"/>
          </w:tcPr>
          <w:p w:rsidR="005C2091" w:rsidRDefault="00A86293">
            <w:pPr>
              <w:pStyle w:val="CellColumn"/>
              <w:jc w:val="right"/>
            </w:pPr>
            <w:r>
              <w:rPr>
                <w:rFonts w:cs="Times New Roman"/>
              </w:rPr>
              <w:t>98,0</w:t>
            </w:r>
          </w:p>
        </w:tc>
        <w:tc>
          <w:tcPr>
            <w:tcW w:w="1224" w:type="dxa"/>
          </w:tcPr>
          <w:p w:rsidR="005C2091" w:rsidRDefault="00A86293">
            <w:pPr>
              <w:pStyle w:val="CellColumn"/>
              <w:jc w:val="right"/>
            </w:pPr>
            <w:r>
              <w:rPr>
                <w:rFonts w:cs="Times New Roman"/>
              </w:rPr>
              <w:t>40,8</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područjima posebne državne skrbi (Narodne novine br. 86/08, 57/11 i 51A/13, 148/13, 76/14, 147/14, 18/15) čl. 10b.               </w:t>
      </w:r>
    </w:p>
    <w:p w:rsidR="005C2091" w:rsidRDefault="00A86293">
      <w:r>
        <w:t xml:space="preserve">Uredba o načinu povrata kupoprodajne cijene bez kamata hrvatskim braniteljima i </w:t>
      </w:r>
    </w:p>
    <w:p w:rsidR="005C2091" w:rsidRDefault="00A86293">
      <w:r>
        <w:t xml:space="preserve">članovima obitelji smrtno stradalog, zatočenog ili nestalog i umrlog hrvatskog branitelja </w:t>
      </w:r>
    </w:p>
    <w:p w:rsidR="005C2091" w:rsidRDefault="00A86293">
      <w:r>
        <w:t>iz Domovinskog rata (Narodne novine, broj 55/14, 137/14)</w:t>
      </w:r>
    </w:p>
    <w:p w:rsidR="005C2091" w:rsidRDefault="00A86293">
      <w:pPr>
        <w:pStyle w:val="Heading8"/>
        <w:jc w:val="left"/>
      </w:pPr>
      <w:r>
        <w:t>Opis aktivnosti</w:t>
      </w:r>
    </w:p>
    <w:p w:rsidR="005C2091" w:rsidRDefault="00A86293">
      <w:r>
        <w:t>Aktivnost se odnosi na povrat sredstava hrvatskim braniteljima i članovima obitelji smrtno stradalih branitelja koji su prije stupanja na snagu Uredbe o darovanju stanova i kuća u vlasništvu Republike Hrvatske na PPDS otkupili vlastitim sredstvima ili kreditom obiteljsku kuću u državnom vlasništvu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riješenih predmeta i povrat novčanih sredstava</w:t>
            </w:r>
          </w:p>
        </w:tc>
        <w:tc>
          <w:tcPr>
            <w:tcW w:w="2551" w:type="dxa"/>
          </w:tcPr>
          <w:p w:rsidR="005C2091" w:rsidRDefault="00A86293">
            <w:pPr>
              <w:pStyle w:val="CellColumn"/>
              <w:jc w:val="left"/>
            </w:pPr>
            <w:r>
              <w:rPr>
                <w:rFonts w:cs="Times New Roman"/>
              </w:rPr>
              <w:t>Broj riješenih predmeta i povrat novčanih sredstava</w:t>
            </w:r>
          </w:p>
        </w:tc>
        <w:tc>
          <w:tcPr>
            <w:tcW w:w="1020" w:type="dxa"/>
          </w:tcPr>
          <w:p w:rsidR="005C2091" w:rsidRDefault="00A86293">
            <w:pPr>
              <w:pStyle w:val="CellColumn"/>
              <w:jc w:val="right"/>
            </w:pPr>
            <w:r>
              <w:rPr>
                <w:rFonts w:cs="Times New Roman"/>
              </w:rPr>
              <w:t>broj predmeta</w:t>
            </w:r>
          </w:p>
        </w:tc>
        <w:tc>
          <w:tcPr>
            <w:tcW w:w="1020" w:type="dxa"/>
          </w:tcPr>
          <w:p w:rsidR="005C2091" w:rsidRDefault="00A86293">
            <w:pPr>
              <w:pStyle w:val="CellColumn"/>
              <w:jc w:val="right"/>
            </w:pPr>
            <w:r>
              <w:rPr>
                <w:rFonts w:cs="Times New Roman"/>
              </w:rPr>
              <w:t>250</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121</w:t>
            </w:r>
          </w:p>
        </w:tc>
        <w:tc>
          <w:tcPr>
            <w:tcW w:w="1020" w:type="dxa"/>
          </w:tcPr>
          <w:p w:rsidR="005C2091" w:rsidRDefault="00A86293">
            <w:pPr>
              <w:pStyle w:val="CellColumn"/>
              <w:jc w:val="right"/>
            </w:pPr>
            <w:r>
              <w:rPr>
                <w:rFonts w:cs="Times New Roman"/>
              </w:rPr>
              <w:t>152</w:t>
            </w:r>
          </w:p>
        </w:tc>
      </w:tr>
    </w:tbl>
    <w:p w:rsidR="005C2091" w:rsidRDefault="005C2091">
      <w:pPr>
        <w:jc w:val="left"/>
      </w:pPr>
    </w:p>
    <w:p w:rsidR="005C2091" w:rsidRDefault="00A86293">
      <w:pPr>
        <w:pStyle w:val="Heading4"/>
      </w:pPr>
      <w:r>
        <w:t>K761061 OBNOVA I IZGRADNJA U RATU OŠTEĆENIH STAMBENIH JEDINICA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K761061-OBNOVA I IZGRADNJA U RATU OŠTEĆENIH STAMBENIH JEDINICA</w:t>
            </w:r>
          </w:p>
        </w:tc>
        <w:tc>
          <w:tcPr>
            <w:tcW w:w="2041" w:type="dxa"/>
          </w:tcPr>
          <w:p w:rsidR="005C2091" w:rsidRDefault="00A86293">
            <w:pPr>
              <w:pStyle w:val="CellColumn"/>
              <w:jc w:val="right"/>
            </w:pPr>
            <w:r>
              <w:rPr>
                <w:rFonts w:cs="Times New Roman"/>
              </w:rPr>
              <w:t>24.646.053</w:t>
            </w:r>
          </w:p>
        </w:tc>
        <w:tc>
          <w:tcPr>
            <w:tcW w:w="2041" w:type="dxa"/>
          </w:tcPr>
          <w:p w:rsidR="005C2091" w:rsidRDefault="00A86293">
            <w:pPr>
              <w:pStyle w:val="CellColumn"/>
              <w:jc w:val="right"/>
            </w:pPr>
            <w:r>
              <w:rPr>
                <w:rFonts w:cs="Times New Roman"/>
              </w:rPr>
              <w:t>24.054.292</w:t>
            </w:r>
          </w:p>
        </w:tc>
        <w:tc>
          <w:tcPr>
            <w:tcW w:w="2041" w:type="dxa"/>
          </w:tcPr>
          <w:p w:rsidR="005C2091" w:rsidRDefault="00A86293">
            <w:pPr>
              <w:pStyle w:val="CellColumn"/>
              <w:jc w:val="right"/>
            </w:pPr>
            <w:r>
              <w:rPr>
                <w:rFonts w:cs="Times New Roman"/>
              </w:rPr>
              <w:t>23.824.202</w:t>
            </w:r>
          </w:p>
        </w:tc>
        <w:tc>
          <w:tcPr>
            <w:tcW w:w="1224" w:type="dxa"/>
          </w:tcPr>
          <w:p w:rsidR="005C2091" w:rsidRDefault="00A86293">
            <w:pPr>
              <w:pStyle w:val="CellColumn"/>
              <w:jc w:val="right"/>
            </w:pPr>
            <w:r>
              <w:rPr>
                <w:rFonts w:cs="Times New Roman"/>
              </w:rPr>
              <w:t>99,0</w:t>
            </w:r>
          </w:p>
        </w:tc>
        <w:tc>
          <w:tcPr>
            <w:tcW w:w="1224" w:type="dxa"/>
          </w:tcPr>
          <w:p w:rsidR="005C2091" w:rsidRDefault="00A86293">
            <w:pPr>
              <w:pStyle w:val="CellColumn"/>
              <w:jc w:val="right"/>
            </w:pPr>
            <w:r>
              <w:rPr>
                <w:rFonts w:cs="Times New Roman"/>
              </w:rPr>
              <w:t>96,7</w:t>
            </w:r>
          </w:p>
        </w:tc>
      </w:tr>
    </w:tbl>
    <w:p w:rsidR="005C2091" w:rsidRDefault="005C2091">
      <w:pPr>
        <w:jc w:val="left"/>
      </w:pPr>
    </w:p>
    <w:p w:rsidR="005C2091" w:rsidRDefault="00A86293">
      <w:pPr>
        <w:pStyle w:val="Heading8"/>
        <w:jc w:val="left"/>
      </w:pPr>
      <w:r>
        <w:t>Zakonske i druge pravne osnove</w:t>
      </w:r>
    </w:p>
    <w:p w:rsidR="005C2091" w:rsidRDefault="00A86293">
      <w:r>
        <w:t>Zakonu o obnovi („Narodne novine“ broj: 24/96; 54/96; 87/96; 57/00; 38/09; 45/11 i 51A/13)</w:t>
      </w:r>
    </w:p>
    <w:p w:rsidR="005C2091" w:rsidRDefault="00A86293">
      <w:pPr>
        <w:pStyle w:val="Heading8"/>
        <w:jc w:val="left"/>
      </w:pPr>
      <w:r>
        <w:t>Opis aktivnosti</w:t>
      </w:r>
    </w:p>
    <w:p w:rsidR="005C2091" w:rsidRDefault="00A86293">
      <w:r>
        <w:t xml:space="preserve">Aktivnost se odnosi na organiziranu obnovu ratom oštećenih stambenih jedinica prvenstveno obiteljskih kuća  oštećenih i uništenih u Domovinskom ratu (IV. -VI.stupnja oštećenja) dovođenjem istih u stanje prikladno uvjetima življenja sa ciljem stvaranja uvjeta za povratak svih prognanih i izbjeglih osoba s ratom stradalih područja koja se provodi odredbama Zakona o obnovi. Potrebna sredstva se izračunavaju na osnovu zaprimljenih pravomoćnih rješenja od Ureda državne uprave. </w:t>
      </w:r>
    </w:p>
    <w:p w:rsidR="005C2091" w:rsidRDefault="00A86293">
      <w:r>
        <w:t>Po organiziranom modelu obnove obiteljskih kuća IV-VI stupnja oštećenja u 2016. godini u potpunosti su završeni na 71 kući, u različitim etapama izvođenja radova krajem 2016-. godine bilo je još 70 kuća.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organizirano obnovljenih kuća i stanova IV.-VI. kategorije ratne štete</w:t>
            </w:r>
          </w:p>
        </w:tc>
        <w:tc>
          <w:tcPr>
            <w:tcW w:w="2551" w:type="dxa"/>
          </w:tcPr>
          <w:p w:rsidR="005C2091" w:rsidRDefault="00A86293">
            <w:pPr>
              <w:pStyle w:val="CellColumn"/>
              <w:jc w:val="left"/>
            </w:pPr>
            <w:r>
              <w:rPr>
                <w:rFonts w:cs="Times New Roman"/>
              </w:rPr>
              <w:t>Povećanje broja organizirano obnovljenih kuća i stanova IV.-VI. kategorije ratne štete</w:t>
            </w:r>
          </w:p>
        </w:tc>
        <w:tc>
          <w:tcPr>
            <w:tcW w:w="1020" w:type="dxa"/>
          </w:tcPr>
          <w:p w:rsidR="005C2091" w:rsidRDefault="00A86293">
            <w:pPr>
              <w:pStyle w:val="CellColumn"/>
              <w:jc w:val="right"/>
            </w:pPr>
            <w:r>
              <w:rPr>
                <w:rFonts w:cs="Times New Roman"/>
              </w:rPr>
              <w:t>broj kuća i stanova</w:t>
            </w:r>
          </w:p>
        </w:tc>
        <w:tc>
          <w:tcPr>
            <w:tcW w:w="1020" w:type="dxa"/>
          </w:tcPr>
          <w:p w:rsidR="005C2091" w:rsidRDefault="00A86293">
            <w:pPr>
              <w:pStyle w:val="CellColumn"/>
              <w:jc w:val="right"/>
            </w:pPr>
            <w:r>
              <w:rPr>
                <w:rFonts w:cs="Times New Roman"/>
              </w:rPr>
              <w:t>91.441</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70</w:t>
            </w:r>
          </w:p>
        </w:tc>
        <w:tc>
          <w:tcPr>
            <w:tcW w:w="1020" w:type="dxa"/>
          </w:tcPr>
          <w:p w:rsidR="005C2091" w:rsidRDefault="00A86293">
            <w:pPr>
              <w:pStyle w:val="CellColumn"/>
              <w:jc w:val="right"/>
            </w:pPr>
            <w:r>
              <w:rPr>
                <w:rFonts w:cs="Times New Roman"/>
              </w:rPr>
              <w:t>71</w:t>
            </w:r>
          </w:p>
        </w:tc>
      </w:tr>
    </w:tbl>
    <w:p w:rsidR="005C2091" w:rsidRDefault="005C2091">
      <w:pPr>
        <w:jc w:val="left"/>
      </w:pPr>
    </w:p>
    <w:p w:rsidR="005C2091" w:rsidRDefault="00A86293">
      <w:pPr>
        <w:pStyle w:val="Heading4"/>
      </w:pPr>
      <w:r>
        <w:t>K761063 STAMBENO ZBRINJAVANJE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K761063-STAMBENO ZBRINJAVANJE</w:t>
            </w:r>
          </w:p>
        </w:tc>
        <w:tc>
          <w:tcPr>
            <w:tcW w:w="2041" w:type="dxa"/>
          </w:tcPr>
          <w:p w:rsidR="005C2091" w:rsidRDefault="00A86293">
            <w:pPr>
              <w:pStyle w:val="CellColumn"/>
              <w:jc w:val="right"/>
            </w:pPr>
            <w:r>
              <w:rPr>
                <w:rFonts w:cs="Times New Roman"/>
              </w:rPr>
              <w:t>58.784.346</w:t>
            </w:r>
          </w:p>
        </w:tc>
        <w:tc>
          <w:tcPr>
            <w:tcW w:w="2041" w:type="dxa"/>
          </w:tcPr>
          <w:p w:rsidR="005C2091" w:rsidRDefault="00A86293">
            <w:pPr>
              <w:pStyle w:val="CellColumn"/>
              <w:jc w:val="right"/>
            </w:pPr>
            <w:r>
              <w:rPr>
                <w:rFonts w:cs="Times New Roman"/>
              </w:rPr>
              <w:t>64.500.000</w:t>
            </w:r>
          </w:p>
        </w:tc>
        <w:tc>
          <w:tcPr>
            <w:tcW w:w="2041" w:type="dxa"/>
          </w:tcPr>
          <w:p w:rsidR="005C2091" w:rsidRDefault="00A86293">
            <w:pPr>
              <w:pStyle w:val="CellColumn"/>
              <w:jc w:val="right"/>
            </w:pPr>
            <w:r>
              <w:rPr>
                <w:rFonts w:cs="Times New Roman"/>
              </w:rPr>
              <w:t>64.486.504</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109,7</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područjima posebne državne skrbi (Narodne novine br. 86/08; 57/11;51A/13; 148/13; 76/14; 147/14 i 18/15), Zakonu o obnovi („Narodne novine“ broj: 24/96; 54/96; 87/96; 57/00; 38/09; 45/11 i 51A/13),  </w:t>
      </w:r>
    </w:p>
    <w:p w:rsidR="005C2091" w:rsidRDefault="00A86293">
      <w:r>
        <w:t>Zakona o gradnji („Narodne novine“ broj: 153/13</w:t>
      </w:r>
    </w:p>
    <w:p w:rsidR="005C2091" w:rsidRDefault="00A86293">
      <w:pPr>
        <w:pStyle w:val="Heading8"/>
        <w:jc w:val="left"/>
      </w:pPr>
      <w:r>
        <w:t>Opis aktivnosti</w:t>
      </w:r>
    </w:p>
    <w:p w:rsidR="005C2091" w:rsidRDefault="00A86293">
      <w:r>
        <w:t xml:space="preserve">Aktivnost se odnosi na darovanje građevinskog materijala za obnovu ili sanaciju stambenih objekata u vlasništvu korisnika u RH, izgradnja i sanacija stambenih zgrada   u svrhu stambenog zbrinjavanja,  sanacija pojedinačnih stanova u državnom vlasništvu  i sanacija krovišta i fasada. </w:t>
      </w:r>
    </w:p>
    <w:p w:rsidR="005C2091" w:rsidRDefault="00A86293">
      <w:r>
        <w:t xml:space="preserve">U 2016.godinei završeni su radovi 5 višestambenih zgrada s ukupno 36 stanova. Krajem 2016. godine u različitim etapama izvođenja radova bilo je 18 više stambenih zgrada s ukupno 248 stanova.  </w:t>
      </w:r>
    </w:p>
    <w:p w:rsidR="005C2091" w:rsidRDefault="00A86293">
      <w:r>
        <w:t xml:space="preserve">U 2016. godini proveden je tehnički pregled na 296 obiteljskih kuća korisnika kojima je isporučen potreban građevinski materijal. Istodobno, u različitim etapama ugradnje bilo su još 43 </w:t>
      </w:r>
    </w:p>
    <w:p w:rsidR="005C2091" w:rsidRDefault="00A86293">
      <w:r>
        <w:t>Osim završene isporuke građevinskog materijala u iznosu od 296,  u započetoj isporuci građevnog materijala, na dan 31.12.2016 bile su 43 kuće.</w:t>
      </w:r>
    </w:p>
    <w:p w:rsidR="00C17231" w:rsidRDefault="00C17231"/>
    <w:p w:rsidR="00C17231" w:rsidRDefault="00C17231"/>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41"/>
        <w:gridCol w:w="2541"/>
        <w:gridCol w:w="1048"/>
        <w:gridCol w:w="1019"/>
        <w:gridCol w:w="1019"/>
        <w:gridCol w:w="1019"/>
        <w:gridCol w:w="1019"/>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saniranih zgrada  u državnom vlasništvu</w:t>
            </w:r>
          </w:p>
        </w:tc>
        <w:tc>
          <w:tcPr>
            <w:tcW w:w="2551" w:type="dxa"/>
          </w:tcPr>
          <w:p w:rsidR="005C2091" w:rsidRDefault="00A86293">
            <w:pPr>
              <w:pStyle w:val="CellColumn"/>
              <w:jc w:val="left"/>
            </w:pPr>
            <w:r>
              <w:rPr>
                <w:rFonts w:cs="Times New Roman"/>
              </w:rPr>
              <w:t>Povećanje broja saniranih zgrada  u državnom vlasništvu</w:t>
            </w:r>
          </w:p>
        </w:tc>
        <w:tc>
          <w:tcPr>
            <w:tcW w:w="1020" w:type="dxa"/>
          </w:tcPr>
          <w:p w:rsidR="005C2091" w:rsidRDefault="00A86293">
            <w:pPr>
              <w:pStyle w:val="CellColumn"/>
              <w:jc w:val="right"/>
            </w:pPr>
            <w:r>
              <w:rPr>
                <w:rFonts w:cs="Times New Roman"/>
              </w:rPr>
              <w:t xml:space="preserve">"VSO, stambene zgrade </w:t>
            </w:r>
          </w:p>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10</w:t>
            </w:r>
          </w:p>
        </w:tc>
      </w:tr>
      <w:tr w:rsidR="005C2091">
        <w:trPr>
          <w:jc w:val="center"/>
        </w:trPr>
        <w:tc>
          <w:tcPr>
            <w:tcW w:w="2551" w:type="dxa"/>
          </w:tcPr>
          <w:p w:rsidR="005C2091" w:rsidRDefault="00A86293">
            <w:pPr>
              <w:pStyle w:val="CellColumn"/>
              <w:jc w:val="left"/>
            </w:pPr>
            <w:r>
              <w:rPr>
                <w:rFonts w:cs="Times New Roman"/>
              </w:rPr>
              <w:t>Povećanje broja stambeno zbrinutih korisnika darovanjem građevnog materijala za izgradnju ili obnovu kuće na zemljištu u vlasništvu korisnika</w:t>
            </w:r>
          </w:p>
        </w:tc>
        <w:tc>
          <w:tcPr>
            <w:tcW w:w="2551" w:type="dxa"/>
          </w:tcPr>
          <w:p w:rsidR="005C2091" w:rsidRDefault="00A86293">
            <w:pPr>
              <w:pStyle w:val="CellColumn"/>
              <w:jc w:val="left"/>
            </w:pPr>
            <w:r>
              <w:rPr>
                <w:rFonts w:cs="Times New Roman"/>
              </w:rPr>
              <w:t>Povećanje broja stambeno zbrinutih korisnika darovanjem građevnog materijala za izgradnju ili obnovu kuće na zemljištu u vlasništvu korisnika</w:t>
            </w:r>
          </w:p>
        </w:tc>
        <w:tc>
          <w:tcPr>
            <w:tcW w:w="1020" w:type="dxa"/>
          </w:tcPr>
          <w:p w:rsidR="005C2091" w:rsidRDefault="00A86293">
            <w:pPr>
              <w:pStyle w:val="CellColumn"/>
              <w:jc w:val="right"/>
            </w:pPr>
            <w:r>
              <w:rPr>
                <w:rFonts w:cs="Times New Roman"/>
              </w:rPr>
              <w:t>broj isporučenih građevnih materijala</w:t>
            </w:r>
          </w:p>
        </w:tc>
        <w:tc>
          <w:tcPr>
            <w:tcW w:w="1020" w:type="dxa"/>
          </w:tcPr>
          <w:p w:rsidR="005C2091" w:rsidRDefault="00A86293">
            <w:pPr>
              <w:pStyle w:val="CellColumn"/>
              <w:jc w:val="right"/>
            </w:pPr>
            <w:r>
              <w:rPr>
                <w:rFonts w:cs="Times New Roman"/>
              </w:rPr>
              <w:t>10.606</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373</w:t>
            </w:r>
          </w:p>
        </w:tc>
        <w:tc>
          <w:tcPr>
            <w:tcW w:w="1020" w:type="dxa"/>
          </w:tcPr>
          <w:p w:rsidR="005C2091" w:rsidRDefault="00A86293">
            <w:pPr>
              <w:pStyle w:val="CellColumn"/>
              <w:jc w:val="right"/>
            </w:pPr>
            <w:r>
              <w:rPr>
                <w:rFonts w:cs="Times New Roman"/>
              </w:rPr>
              <w:t>296</w:t>
            </w:r>
          </w:p>
        </w:tc>
      </w:tr>
    </w:tbl>
    <w:p w:rsidR="005C2091" w:rsidRDefault="005C2091">
      <w:pPr>
        <w:jc w:val="left"/>
      </w:pPr>
    </w:p>
    <w:p w:rsidR="005C2091" w:rsidRDefault="00A86293">
      <w:pPr>
        <w:pStyle w:val="Heading4"/>
      </w:pPr>
      <w:r>
        <w:t>K761064 UPRAVLJANJE I GOSPODARENJE DRŽAVNOM IMOVINOM NAMIJENJENOJ ZA STAMBENO ZBRINJAVANJE</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K761064-UPRAVLJANJE I GOSPODARENJE DRŽAVNOM IMOVINOM NAMIJENJENOJ ZA STAMBENO ZBRINJAVANJE</w:t>
            </w:r>
          </w:p>
        </w:tc>
        <w:tc>
          <w:tcPr>
            <w:tcW w:w="2041" w:type="dxa"/>
          </w:tcPr>
          <w:p w:rsidR="005C2091" w:rsidRDefault="00A86293">
            <w:pPr>
              <w:pStyle w:val="CellColumn"/>
              <w:jc w:val="right"/>
            </w:pPr>
            <w:r>
              <w:rPr>
                <w:rFonts w:cs="Times New Roman"/>
              </w:rPr>
              <w:t>13.609.727</w:t>
            </w:r>
          </w:p>
        </w:tc>
        <w:tc>
          <w:tcPr>
            <w:tcW w:w="2041" w:type="dxa"/>
          </w:tcPr>
          <w:p w:rsidR="005C2091" w:rsidRDefault="00A86293">
            <w:pPr>
              <w:pStyle w:val="CellColumn"/>
              <w:jc w:val="right"/>
            </w:pPr>
            <w:r>
              <w:rPr>
                <w:rFonts w:cs="Times New Roman"/>
              </w:rPr>
              <w:t>15.158.750</w:t>
            </w:r>
          </w:p>
        </w:tc>
        <w:tc>
          <w:tcPr>
            <w:tcW w:w="2041" w:type="dxa"/>
          </w:tcPr>
          <w:p w:rsidR="005C2091" w:rsidRDefault="00A86293">
            <w:pPr>
              <w:pStyle w:val="CellColumn"/>
              <w:jc w:val="right"/>
            </w:pPr>
            <w:r>
              <w:rPr>
                <w:rFonts w:cs="Times New Roman"/>
              </w:rPr>
              <w:t>14.849.588</w:t>
            </w:r>
          </w:p>
        </w:tc>
        <w:tc>
          <w:tcPr>
            <w:tcW w:w="1224" w:type="dxa"/>
          </w:tcPr>
          <w:p w:rsidR="005C2091" w:rsidRDefault="00A86293">
            <w:pPr>
              <w:pStyle w:val="CellColumn"/>
              <w:jc w:val="right"/>
            </w:pPr>
            <w:r>
              <w:rPr>
                <w:rFonts w:cs="Times New Roman"/>
              </w:rPr>
              <w:t>98,0</w:t>
            </w:r>
          </w:p>
        </w:tc>
        <w:tc>
          <w:tcPr>
            <w:tcW w:w="1224" w:type="dxa"/>
          </w:tcPr>
          <w:p w:rsidR="005C2091" w:rsidRDefault="00A86293">
            <w:pPr>
              <w:pStyle w:val="CellColumn"/>
              <w:jc w:val="right"/>
            </w:pPr>
            <w:r>
              <w:rPr>
                <w:rFonts w:cs="Times New Roman"/>
              </w:rPr>
              <w:t>109,1</w:t>
            </w:r>
          </w:p>
        </w:tc>
      </w:tr>
    </w:tbl>
    <w:p w:rsidR="005C2091" w:rsidRDefault="005C2091">
      <w:pPr>
        <w:jc w:val="left"/>
      </w:pPr>
    </w:p>
    <w:p w:rsidR="005C2091" w:rsidRDefault="00A86293">
      <w:pPr>
        <w:pStyle w:val="Heading8"/>
        <w:jc w:val="left"/>
      </w:pPr>
      <w:r>
        <w:t>Zakonske i druge pravne osnove</w:t>
      </w:r>
    </w:p>
    <w:p w:rsidR="005C2091" w:rsidRDefault="00A86293">
      <w:r>
        <w:t>Zakon o područjima posebne državne skrbi (Narodne novine br. 86/08; 57/11;51A/13; 148/13; 76/14; 147/14 i 18/15) Odluka o prodaji stanova u vlasništvu Republike Hrvatske (Narodne novine, broj 144/13)</w:t>
      </w:r>
    </w:p>
    <w:p w:rsidR="005C2091" w:rsidRDefault="00A86293">
      <w:pPr>
        <w:pStyle w:val="Heading8"/>
        <w:jc w:val="left"/>
      </w:pPr>
      <w:r>
        <w:t>Opis aktivnosti</w:t>
      </w:r>
    </w:p>
    <w:p w:rsidR="005C2091" w:rsidRDefault="00A86293">
      <w:r>
        <w:t>Aktivnost obuhvaća plaćanje pričuve za stanove u vlasništvu RH, plaćanje paušala režijskih troškova za neuseljene stambene jedinice, investicijsko održavanje stambenih jedinica u vlasništvu RH koje se planiraju dati u najam ili već jesu date u najam. Sredstva se planiraju prema broju stambenih jedinica za koje se plaća pričuva koja je u pravilu u visini zaštićene najamnine (2,70 kn/m2), troškovi energije i komunalne naknade se planiraju  prema broju stambenih jedinica koje su iz navedenih razloga trenutno neuseljene, a troškovi investicijskog održavanja stambenih jedinica prema ukupnim proračunskim mogućnostima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Terenska kontrola korištenja stambenih jedinica u državnom vlasništvu</w:t>
            </w:r>
          </w:p>
        </w:tc>
        <w:tc>
          <w:tcPr>
            <w:tcW w:w="2551" w:type="dxa"/>
          </w:tcPr>
          <w:p w:rsidR="005C2091" w:rsidRDefault="00A86293">
            <w:pPr>
              <w:pStyle w:val="CellColumn"/>
              <w:jc w:val="left"/>
            </w:pPr>
            <w:r>
              <w:rPr>
                <w:rFonts w:cs="Times New Roman"/>
              </w:rPr>
              <w:t>Terenska kontrola stambenih jedinica</w:t>
            </w:r>
          </w:p>
        </w:tc>
        <w:tc>
          <w:tcPr>
            <w:tcW w:w="1020" w:type="dxa"/>
          </w:tcPr>
          <w:p w:rsidR="005C2091" w:rsidRDefault="00A86293">
            <w:pPr>
              <w:pStyle w:val="CellColumn"/>
              <w:jc w:val="right"/>
            </w:pPr>
            <w:r>
              <w:rPr>
                <w:rFonts w:cs="Times New Roman"/>
              </w:rPr>
              <w:t>broj izvršenih terenskih očevida</w:t>
            </w:r>
          </w:p>
        </w:tc>
        <w:tc>
          <w:tcPr>
            <w:tcW w:w="1020" w:type="dxa"/>
          </w:tcPr>
          <w:p w:rsidR="005C2091" w:rsidRDefault="00A86293">
            <w:pPr>
              <w:pStyle w:val="CellColumn"/>
              <w:jc w:val="right"/>
            </w:pPr>
            <w:r>
              <w:rPr>
                <w:rFonts w:cs="Times New Roman"/>
              </w:rPr>
              <w:t xml:space="preserve">"Polazna vrijednost godišnji plan 5.000 </w:t>
            </w:r>
          </w:p>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4000</w:t>
            </w:r>
          </w:p>
        </w:tc>
        <w:tc>
          <w:tcPr>
            <w:tcW w:w="1020" w:type="dxa"/>
          </w:tcPr>
          <w:p w:rsidR="005C2091" w:rsidRDefault="00A86293">
            <w:pPr>
              <w:pStyle w:val="CellColumn"/>
              <w:jc w:val="right"/>
            </w:pPr>
            <w:r>
              <w:rPr>
                <w:rFonts w:cs="Times New Roman"/>
              </w:rPr>
              <w:t>3900</w:t>
            </w:r>
          </w:p>
        </w:tc>
      </w:tr>
      <w:tr w:rsidR="005C2091">
        <w:trPr>
          <w:jc w:val="center"/>
        </w:trPr>
        <w:tc>
          <w:tcPr>
            <w:tcW w:w="2551" w:type="dxa"/>
          </w:tcPr>
          <w:p w:rsidR="005C2091" w:rsidRDefault="00A86293">
            <w:pPr>
              <w:pStyle w:val="CellColumn"/>
              <w:jc w:val="left"/>
            </w:pPr>
            <w:r>
              <w:rPr>
                <w:rFonts w:cs="Times New Roman"/>
              </w:rPr>
              <w:t>Pokretanje postupaka iseljenja bespravno useljenih stanova i postupaka prema korisnicima koji ne izvršavaju ugovorene obveze</w:t>
            </w:r>
          </w:p>
        </w:tc>
        <w:tc>
          <w:tcPr>
            <w:tcW w:w="2551" w:type="dxa"/>
          </w:tcPr>
          <w:p w:rsidR="005C2091" w:rsidRDefault="00A86293">
            <w:pPr>
              <w:pStyle w:val="CellColumn"/>
              <w:jc w:val="left"/>
            </w:pPr>
            <w:r>
              <w:rPr>
                <w:rFonts w:cs="Times New Roman"/>
              </w:rPr>
              <w:t>Pokretanje postupaka u slučaju ne plaćanja</w:t>
            </w:r>
          </w:p>
        </w:tc>
        <w:tc>
          <w:tcPr>
            <w:tcW w:w="1020" w:type="dxa"/>
          </w:tcPr>
          <w:p w:rsidR="005C2091" w:rsidRDefault="00A86293">
            <w:pPr>
              <w:pStyle w:val="CellColumn"/>
              <w:jc w:val="right"/>
            </w:pPr>
            <w:r>
              <w:rPr>
                <w:rFonts w:cs="Times New Roman"/>
              </w:rPr>
              <w:t>broj postupaka</w:t>
            </w:r>
          </w:p>
        </w:tc>
        <w:tc>
          <w:tcPr>
            <w:tcW w:w="1020" w:type="dxa"/>
          </w:tcPr>
          <w:p w:rsidR="005C2091" w:rsidRDefault="00A86293">
            <w:pPr>
              <w:pStyle w:val="CellColumn"/>
              <w:jc w:val="right"/>
            </w:pPr>
            <w:r>
              <w:rPr>
                <w:rFonts w:cs="Times New Roman"/>
              </w:rPr>
              <w:t>204</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500</w:t>
            </w:r>
          </w:p>
        </w:tc>
        <w:tc>
          <w:tcPr>
            <w:tcW w:w="1020" w:type="dxa"/>
          </w:tcPr>
          <w:p w:rsidR="005C2091" w:rsidRDefault="00A86293">
            <w:pPr>
              <w:pStyle w:val="CellColumn"/>
              <w:jc w:val="right"/>
            </w:pPr>
            <w:r>
              <w:rPr>
                <w:rFonts w:cs="Times New Roman"/>
              </w:rPr>
              <w:t>340</w:t>
            </w:r>
          </w:p>
        </w:tc>
      </w:tr>
      <w:tr w:rsidR="005C2091">
        <w:trPr>
          <w:jc w:val="center"/>
        </w:trPr>
        <w:tc>
          <w:tcPr>
            <w:tcW w:w="2551" w:type="dxa"/>
          </w:tcPr>
          <w:p w:rsidR="005C2091" w:rsidRDefault="00A86293">
            <w:pPr>
              <w:pStyle w:val="CellColumn"/>
              <w:jc w:val="left"/>
            </w:pPr>
            <w:r>
              <w:rPr>
                <w:rFonts w:cs="Times New Roman"/>
              </w:rPr>
              <w:t>Plaćeni režijski troškovi za neusljene stambene jedinice (paušal)</w:t>
            </w:r>
          </w:p>
        </w:tc>
        <w:tc>
          <w:tcPr>
            <w:tcW w:w="2551" w:type="dxa"/>
          </w:tcPr>
          <w:p w:rsidR="005C2091" w:rsidRDefault="00A86293">
            <w:pPr>
              <w:pStyle w:val="CellColumn"/>
              <w:jc w:val="left"/>
            </w:pPr>
            <w:r>
              <w:rPr>
                <w:rFonts w:cs="Times New Roman"/>
              </w:rPr>
              <w:t>Plaćeni režijski troškovi za neusljene stambene jedinice (paušal)</w:t>
            </w:r>
          </w:p>
        </w:tc>
        <w:tc>
          <w:tcPr>
            <w:tcW w:w="1020" w:type="dxa"/>
          </w:tcPr>
          <w:p w:rsidR="005C2091" w:rsidRDefault="00A86293">
            <w:pPr>
              <w:pStyle w:val="CellColumn"/>
              <w:jc w:val="right"/>
            </w:pPr>
            <w:r>
              <w:rPr>
                <w:rFonts w:cs="Times New Roman"/>
              </w:rPr>
              <w:t>broj stambenih jedinica</w:t>
            </w:r>
          </w:p>
        </w:tc>
        <w:tc>
          <w:tcPr>
            <w:tcW w:w="1020" w:type="dxa"/>
          </w:tcPr>
          <w:p w:rsidR="005C2091" w:rsidRDefault="00A86293">
            <w:pPr>
              <w:pStyle w:val="CellColumn"/>
              <w:jc w:val="right"/>
            </w:pPr>
            <w:r>
              <w:rPr>
                <w:rFonts w:cs="Times New Roman"/>
              </w:rPr>
              <w:t xml:space="preserve">"Polazna vrijednost godišnji raspoloživi stambeni fond (A,C i B modeli) 1000 </w:t>
            </w:r>
          </w:p>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500</w:t>
            </w:r>
          </w:p>
        </w:tc>
        <w:tc>
          <w:tcPr>
            <w:tcW w:w="1020" w:type="dxa"/>
          </w:tcPr>
          <w:p w:rsidR="005C2091" w:rsidRDefault="00A86293">
            <w:pPr>
              <w:pStyle w:val="CellColumn"/>
              <w:jc w:val="right"/>
            </w:pPr>
            <w:r>
              <w:rPr>
                <w:rFonts w:cs="Times New Roman"/>
              </w:rPr>
              <w:t>927</w:t>
            </w:r>
          </w:p>
        </w:tc>
      </w:tr>
      <w:tr w:rsidR="005C2091">
        <w:trPr>
          <w:jc w:val="center"/>
        </w:trPr>
        <w:tc>
          <w:tcPr>
            <w:tcW w:w="2551" w:type="dxa"/>
          </w:tcPr>
          <w:p w:rsidR="005C2091" w:rsidRDefault="00A86293">
            <w:pPr>
              <w:pStyle w:val="CellColumn"/>
              <w:jc w:val="left"/>
            </w:pPr>
            <w:r>
              <w:rPr>
                <w:rFonts w:cs="Times New Roman"/>
              </w:rPr>
              <w:t>Plaćanje pričuve za stambene jedinice u državnom vlasništvu</w:t>
            </w:r>
          </w:p>
        </w:tc>
        <w:tc>
          <w:tcPr>
            <w:tcW w:w="2551" w:type="dxa"/>
          </w:tcPr>
          <w:p w:rsidR="005C2091" w:rsidRDefault="00A86293">
            <w:pPr>
              <w:pStyle w:val="CellColumn"/>
              <w:jc w:val="left"/>
            </w:pPr>
            <w:r>
              <w:rPr>
                <w:rFonts w:cs="Times New Roman"/>
              </w:rPr>
              <w:t>Plaćanje pričuve za stambene jedinice u državnom vlasništvu</w:t>
            </w:r>
          </w:p>
        </w:tc>
        <w:tc>
          <w:tcPr>
            <w:tcW w:w="1020" w:type="dxa"/>
          </w:tcPr>
          <w:p w:rsidR="005C2091" w:rsidRDefault="00A86293">
            <w:pPr>
              <w:pStyle w:val="CellColumn"/>
              <w:jc w:val="right"/>
            </w:pPr>
            <w:r>
              <w:rPr>
                <w:rFonts w:cs="Times New Roman"/>
              </w:rPr>
              <w:t>broj stambenih jedinica</w:t>
            </w:r>
          </w:p>
        </w:tc>
        <w:tc>
          <w:tcPr>
            <w:tcW w:w="1020" w:type="dxa"/>
          </w:tcPr>
          <w:p w:rsidR="005C2091" w:rsidRDefault="00A86293">
            <w:pPr>
              <w:pStyle w:val="CellColumn"/>
              <w:jc w:val="right"/>
            </w:pPr>
            <w:r>
              <w:rPr>
                <w:rFonts w:cs="Times New Roman"/>
              </w:rPr>
              <w:t>6500</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6000</w:t>
            </w:r>
          </w:p>
        </w:tc>
        <w:tc>
          <w:tcPr>
            <w:tcW w:w="1020" w:type="dxa"/>
          </w:tcPr>
          <w:p w:rsidR="005C2091" w:rsidRDefault="00A86293">
            <w:pPr>
              <w:pStyle w:val="CellColumn"/>
              <w:jc w:val="right"/>
            </w:pPr>
            <w:r>
              <w:rPr>
                <w:rFonts w:cs="Times New Roman"/>
              </w:rPr>
              <w:t>6361</w:t>
            </w:r>
          </w:p>
        </w:tc>
      </w:tr>
      <w:tr w:rsidR="005C2091">
        <w:trPr>
          <w:jc w:val="center"/>
        </w:trPr>
        <w:tc>
          <w:tcPr>
            <w:tcW w:w="2551" w:type="dxa"/>
          </w:tcPr>
          <w:p w:rsidR="005C2091" w:rsidRDefault="00A86293">
            <w:pPr>
              <w:pStyle w:val="CellColumn"/>
              <w:jc w:val="left"/>
            </w:pPr>
            <w:r>
              <w:rPr>
                <w:rFonts w:cs="Times New Roman"/>
              </w:rPr>
              <w:t>Investicijsko održavanje stambenih jedinica</w:t>
            </w:r>
          </w:p>
        </w:tc>
        <w:tc>
          <w:tcPr>
            <w:tcW w:w="2551" w:type="dxa"/>
          </w:tcPr>
          <w:p w:rsidR="005C2091" w:rsidRDefault="00A86293">
            <w:pPr>
              <w:pStyle w:val="CellColumn"/>
              <w:jc w:val="left"/>
            </w:pPr>
            <w:r>
              <w:rPr>
                <w:rFonts w:cs="Times New Roman"/>
              </w:rPr>
              <w:t>Investicijsko održavanje stambenih jedinica</w:t>
            </w:r>
          </w:p>
        </w:tc>
        <w:tc>
          <w:tcPr>
            <w:tcW w:w="1020" w:type="dxa"/>
          </w:tcPr>
          <w:p w:rsidR="005C2091" w:rsidRDefault="00A86293">
            <w:pPr>
              <w:pStyle w:val="CellColumn"/>
              <w:jc w:val="right"/>
            </w:pPr>
            <w:r>
              <w:rPr>
                <w:rFonts w:cs="Times New Roman"/>
              </w:rPr>
              <w:t>broj saniranih stambenih jedinica</w:t>
            </w:r>
          </w:p>
        </w:tc>
        <w:tc>
          <w:tcPr>
            <w:tcW w:w="1020" w:type="dxa"/>
          </w:tcPr>
          <w:p w:rsidR="005C2091" w:rsidRDefault="00A86293">
            <w:pPr>
              <w:pStyle w:val="CellColumn"/>
              <w:jc w:val="right"/>
            </w:pPr>
            <w:r>
              <w:rPr>
                <w:rFonts w:cs="Times New Roman"/>
              </w:rPr>
              <w:t>198</w:t>
            </w:r>
          </w:p>
        </w:tc>
        <w:tc>
          <w:tcPr>
            <w:tcW w:w="1020" w:type="dxa"/>
          </w:tcPr>
          <w:p w:rsidR="005C2091" w:rsidRDefault="00A86293">
            <w:pPr>
              <w:pStyle w:val="CellColumn"/>
              <w:jc w:val="right"/>
            </w:pPr>
            <w:r>
              <w:rPr>
                <w:rFonts w:cs="Times New Roman"/>
              </w:rPr>
              <w:t>strateški plan 2016-2018</w:t>
            </w:r>
          </w:p>
        </w:tc>
        <w:tc>
          <w:tcPr>
            <w:tcW w:w="1020" w:type="dxa"/>
          </w:tcPr>
          <w:p w:rsidR="005C2091" w:rsidRDefault="00A86293">
            <w:pPr>
              <w:pStyle w:val="CellColumn"/>
              <w:jc w:val="right"/>
            </w:pPr>
            <w:r>
              <w:rPr>
                <w:rFonts w:cs="Times New Roman"/>
              </w:rPr>
              <w:t>200</w:t>
            </w:r>
          </w:p>
        </w:tc>
        <w:tc>
          <w:tcPr>
            <w:tcW w:w="1020" w:type="dxa"/>
          </w:tcPr>
          <w:p w:rsidR="005C2091" w:rsidRDefault="00A86293">
            <w:pPr>
              <w:pStyle w:val="CellColumn"/>
              <w:jc w:val="right"/>
            </w:pPr>
            <w:r>
              <w:rPr>
                <w:rFonts w:cs="Times New Roman"/>
              </w:rPr>
              <w:t>297</w:t>
            </w:r>
          </w:p>
        </w:tc>
      </w:tr>
    </w:tbl>
    <w:p w:rsidR="005C2091" w:rsidRDefault="005C2091">
      <w:pPr>
        <w:jc w:val="left"/>
      </w:pPr>
    </w:p>
    <w:p w:rsidR="005C2091" w:rsidRDefault="00A86293">
      <w:pPr>
        <w:pStyle w:val="Heading4"/>
      </w:pPr>
      <w:r>
        <w:t>K761066 FINANCIRANJE POJEDINAČNIH KOMUNALNIH PRIKLJUČAKA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K761066-FINANCIRANJE POJEDINAČNIH KOMUNALNIH PRIKLJUČAKA</w:t>
            </w:r>
          </w:p>
        </w:tc>
        <w:tc>
          <w:tcPr>
            <w:tcW w:w="2041" w:type="dxa"/>
          </w:tcPr>
          <w:p w:rsidR="005C2091" w:rsidRDefault="00A86293">
            <w:pPr>
              <w:pStyle w:val="CellColumn"/>
              <w:jc w:val="right"/>
            </w:pPr>
            <w:r>
              <w:rPr>
                <w:rFonts w:cs="Times New Roman"/>
              </w:rPr>
              <w:t>3.557.116</w:t>
            </w:r>
          </w:p>
        </w:tc>
        <w:tc>
          <w:tcPr>
            <w:tcW w:w="2041" w:type="dxa"/>
          </w:tcPr>
          <w:p w:rsidR="005C2091" w:rsidRDefault="00A86293">
            <w:pPr>
              <w:pStyle w:val="CellColumn"/>
              <w:jc w:val="right"/>
            </w:pPr>
            <w:r>
              <w:rPr>
                <w:rFonts w:cs="Times New Roman"/>
              </w:rPr>
              <w:t>3.675.000</w:t>
            </w:r>
          </w:p>
        </w:tc>
        <w:tc>
          <w:tcPr>
            <w:tcW w:w="2041" w:type="dxa"/>
          </w:tcPr>
          <w:p w:rsidR="005C2091" w:rsidRDefault="00A86293">
            <w:pPr>
              <w:pStyle w:val="CellColumn"/>
              <w:jc w:val="right"/>
            </w:pPr>
            <w:r>
              <w:rPr>
                <w:rFonts w:cs="Times New Roman"/>
              </w:rPr>
              <w:t>3.637.924</w:t>
            </w:r>
          </w:p>
        </w:tc>
        <w:tc>
          <w:tcPr>
            <w:tcW w:w="1224" w:type="dxa"/>
          </w:tcPr>
          <w:p w:rsidR="005C2091" w:rsidRDefault="00A86293">
            <w:pPr>
              <w:pStyle w:val="CellColumn"/>
              <w:jc w:val="right"/>
            </w:pPr>
            <w:r>
              <w:rPr>
                <w:rFonts w:cs="Times New Roman"/>
              </w:rPr>
              <w:t>99,0</w:t>
            </w:r>
          </w:p>
        </w:tc>
        <w:tc>
          <w:tcPr>
            <w:tcW w:w="1224" w:type="dxa"/>
          </w:tcPr>
          <w:p w:rsidR="005C2091" w:rsidRDefault="00A86293">
            <w:pPr>
              <w:pStyle w:val="CellColumn"/>
              <w:jc w:val="right"/>
            </w:pPr>
            <w:r>
              <w:rPr>
                <w:rFonts w:cs="Times New Roman"/>
              </w:rPr>
              <w:t>102,3</w:t>
            </w:r>
          </w:p>
        </w:tc>
      </w:tr>
    </w:tbl>
    <w:p w:rsidR="005C2091" w:rsidRDefault="005C2091">
      <w:pPr>
        <w:jc w:val="left"/>
      </w:pPr>
    </w:p>
    <w:p w:rsidR="005C2091" w:rsidRDefault="00A86293">
      <w:pPr>
        <w:pStyle w:val="Heading8"/>
        <w:jc w:val="left"/>
      </w:pPr>
      <w:r>
        <w:t>Zakonske i druge pravne osnove</w:t>
      </w:r>
    </w:p>
    <w:p w:rsidR="005C2091" w:rsidRDefault="00A86293">
      <w:r>
        <w:t>Zakonu o obnovi („Narodne novine“ broj: 24/96; 54/96; 87/96; 57/00; 38/09; 45/11 i 51A/13), - Zakon o područjima posebne državne skrbi (Narodne novine br. 86/08; 57/11;51A/13; 148/13; 76/14; 147/14 i 18/15),  Zakona o gradnji („Narodne novine“ broj: 153/13)</w:t>
      </w:r>
    </w:p>
    <w:p w:rsidR="005C2091" w:rsidRDefault="00A86293">
      <w:pPr>
        <w:pStyle w:val="Heading8"/>
        <w:jc w:val="left"/>
      </w:pPr>
      <w:r>
        <w:t>Opis aktivnosti</w:t>
      </w:r>
    </w:p>
    <w:p w:rsidR="005C2091" w:rsidRDefault="00A86293">
      <w:r>
        <w:t>Komunalni priključci vezani su za broj obnovljenih VSO, pojedinačnih stanova u državnom vlasništvu i broju isporučenih kompleta građevinskog materijala za stambene objekte koji nisu imali priključak.</w:t>
      </w:r>
    </w:p>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Financiranje pojedinačnih komunalnih priključaka</w:t>
            </w:r>
          </w:p>
        </w:tc>
        <w:tc>
          <w:tcPr>
            <w:tcW w:w="2551" w:type="dxa"/>
          </w:tcPr>
          <w:p w:rsidR="005C2091" w:rsidRDefault="00A86293">
            <w:pPr>
              <w:pStyle w:val="CellColumn"/>
              <w:jc w:val="left"/>
            </w:pPr>
            <w:r>
              <w:rPr>
                <w:rFonts w:cs="Times New Roman"/>
              </w:rPr>
              <w:t>Financiranje pojedinačnih komunalnih priključaka</w:t>
            </w:r>
          </w:p>
        </w:tc>
        <w:tc>
          <w:tcPr>
            <w:tcW w:w="1020" w:type="dxa"/>
          </w:tcPr>
          <w:p w:rsidR="005C2091" w:rsidRDefault="00A86293">
            <w:pPr>
              <w:pStyle w:val="CellColumn"/>
              <w:jc w:val="right"/>
            </w:pPr>
            <w:r>
              <w:rPr>
                <w:rFonts w:cs="Times New Roman"/>
              </w:rPr>
              <w:t>broj priključaka</w:t>
            </w:r>
          </w:p>
        </w:tc>
        <w:tc>
          <w:tcPr>
            <w:tcW w:w="1020" w:type="dxa"/>
          </w:tcPr>
          <w:p w:rsidR="005C2091" w:rsidRDefault="00A86293">
            <w:pPr>
              <w:pStyle w:val="CellColumn"/>
              <w:jc w:val="right"/>
            </w:pPr>
            <w:r>
              <w:rPr>
                <w:rFonts w:cs="Times New Roman"/>
              </w:rPr>
              <w:t>2000</w:t>
            </w:r>
          </w:p>
        </w:tc>
        <w:tc>
          <w:tcPr>
            <w:tcW w:w="1020" w:type="dxa"/>
          </w:tcPr>
          <w:p w:rsidR="005C2091" w:rsidRDefault="00A86293">
            <w:pPr>
              <w:pStyle w:val="CellColumn"/>
              <w:jc w:val="right"/>
            </w:pPr>
            <w:r>
              <w:rPr>
                <w:rFonts w:cs="Times New Roman"/>
              </w:rPr>
              <w:t>Baza podataka SDUOSZ</w:t>
            </w:r>
          </w:p>
        </w:tc>
        <w:tc>
          <w:tcPr>
            <w:tcW w:w="1020" w:type="dxa"/>
          </w:tcPr>
          <w:p w:rsidR="005C2091" w:rsidRDefault="00A86293">
            <w:pPr>
              <w:pStyle w:val="CellColumn"/>
              <w:jc w:val="right"/>
            </w:pPr>
            <w:r>
              <w:rPr>
                <w:rFonts w:cs="Times New Roman"/>
              </w:rPr>
              <w:t>500</w:t>
            </w:r>
          </w:p>
        </w:tc>
        <w:tc>
          <w:tcPr>
            <w:tcW w:w="1020" w:type="dxa"/>
          </w:tcPr>
          <w:p w:rsidR="005C2091" w:rsidRDefault="00A86293">
            <w:pPr>
              <w:pStyle w:val="CellColumn"/>
              <w:jc w:val="right"/>
            </w:pPr>
            <w:r>
              <w:rPr>
                <w:rFonts w:cs="Times New Roman"/>
              </w:rPr>
              <w:t>500</w:t>
            </w:r>
          </w:p>
        </w:tc>
      </w:tr>
    </w:tbl>
    <w:p w:rsidR="00B5656C" w:rsidRDefault="00B5656C">
      <w:pPr>
        <w:jc w:val="left"/>
      </w:pPr>
    </w:p>
    <w:p w:rsidR="005C2091" w:rsidRDefault="00B5656C" w:rsidP="00B5656C">
      <w:r>
        <w:br w:type="page"/>
      </w:r>
    </w:p>
    <w:p w:rsidR="005C2091" w:rsidRDefault="00A86293">
      <w:pPr>
        <w:pStyle w:val="Heading1"/>
      </w:pPr>
      <w:r>
        <w:lastRenderedPageBreak/>
        <w:t>034 SREDIŠNJI DRŽAVNI URED ZA RAZVOJ DIGITALNOG DRUŠTVA</w:t>
      </w:r>
    </w:p>
    <w:p w:rsidR="005C2091" w:rsidRDefault="00A86293">
      <w:r>
        <w:t xml:space="preserve">Središnji državni ured za razvoj digitalnog društva ustrojen je Zakonom o ustrojstvu i djelokrugu ministarstava i drugih središnjih tijela državne uprave (NN 93/16). Središnji državni ured za razvoj digitalnog društva je središnje državno tijelo sa zadatkom praćenja i unaprjeđenja razvoja digitalnog društva, te usklađivanja sa smjernicama, direktivama i regulativom Europske unije na području digitalnog društva i ekonomije. </w:t>
      </w:r>
    </w:p>
    <w:p w:rsidR="005C2091" w:rsidRDefault="00A86293">
      <w:r>
        <w:t xml:space="preserve">  </w:t>
      </w:r>
    </w:p>
    <w:p w:rsidR="005C2091" w:rsidRDefault="00A86293">
      <w:r>
        <w:t xml:space="preserve">Misija Središnjeg državnog ureda za razvoj digitalnog društva je stručna podrška Vladi Republike Hrvatske pri razvoju digitalne infrastrukture i javnih digitalnih usluga, te popularizacija razvoja digitalnog društva u svim područjima života i djelovanja hrvatskih građana, gospodarstva i javnog sektora. Osim toga Središnji državni ured za razvoj digitalnog društva obavlja i druge poslove koji su mu stavljeni u nadležnost posebnim zakonima, te aktivno sudjeluje u nizu aktivnosti inicijative „Partnerstvo za otvorenu vlast u Republici Hrvatskoj za razdoblje od 2016. do 2018." </w:t>
      </w:r>
    </w:p>
    <w:p w:rsidR="005C2091" w:rsidRDefault="00A86293">
      <w:r>
        <w:t xml:space="preserve">  Specifični ciljevi Središnjeg državnog ureda jesu: </w:t>
      </w:r>
    </w:p>
    <w:p w:rsidR="005C2091" w:rsidRDefault="00A86293">
      <w:r>
        <w:t xml:space="preserve">- popularizacija digitalne pismenosti, a što obuhvaća izradu strategije popularizacije i razvoja digitalnih vještina </w:t>
      </w:r>
    </w:p>
    <w:p w:rsidR="005C2091" w:rsidRDefault="00A86293">
      <w:r>
        <w:t xml:space="preserve">- izrada prijedloga politika za razvoj digitalnog društva i izrada metodologije za praćenje napretka i procjenu učinaka politika </w:t>
      </w:r>
    </w:p>
    <w:p w:rsidR="005C2091" w:rsidRDefault="00A86293">
      <w:r>
        <w:t xml:space="preserve">- sustavno unapređivanje i standardizacija digitalne infrastrukture što obuhvaća standardizaciju komunikacijske, računalne i smještajne infrastrukture </w:t>
      </w:r>
    </w:p>
    <w:p w:rsidR="005C2091" w:rsidRDefault="00A86293">
      <w:r>
        <w:t xml:space="preserve">- sustavno unapređivanje i standardizacija javnih digitalnih usluga u Republici Hrvatskoj uključujući i podršku razvoju e-usluga koje razvija središnje tijelo državne uprave nadležno za poslove e-Hrvatske </w:t>
      </w:r>
    </w:p>
    <w:p w:rsidR="005C2091" w:rsidRDefault="00A86293">
      <w:r>
        <w:t xml:space="preserve">- osiguranje jedinstvene i trajne dostupnosti i ponovne uporabe javnih službenih dokumenata i informacija Republike Hrvatske svim zainteresiranim stranama pod jednakim uvjetima i nepristrano </w:t>
      </w:r>
    </w:p>
    <w:p w:rsidR="005C2091" w:rsidRDefault="00A86293">
      <w:r>
        <w:t xml:space="preserve">- izgradnja i održavanje Središnjeg kataloga službenih dokumenata Republike Hrvatske i objava informacija na portalu Središnjeg kataloga </w:t>
      </w:r>
    </w:p>
    <w:p w:rsidR="005C2091" w:rsidRDefault="00A86293">
      <w:r>
        <w:t xml:space="preserve"> Djelokrug rada Središnjeg državnog ureda za razvoj digitalnog društva: </w:t>
      </w:r>
    </w:p>
    <w:p w:rsidR="005C2091" w:rsidRDefault="00A86293">
      <w:r>
        <w:t xml:space="preserve">- sudjeluje u donošenju i praćenju provedbe zakona i drugih propisa u području primjene digitalne infrastrukture i javnih digitalnih usluga u Republici Hrvatskoj </w:t>
      </w:r>
    </w:p>
    <w:p w:rsidR="005C2091" w:rsidRDefault="00A86293">
      <w:r>
        <w:t xml:space="preserve">- sudjeluje u promicanju i sustavnom unaprjeđivanju izgradnje digitalne infrastrukture u Republici Hrvatskoj, javnog pristupanja internetskim uslugama i sadržajima </w:t>
      </w:r>
    </w:p>
    <w:p w:rsidR="005C2091" w:rsidRDefault="00A86293">
      <w:r>
        <w:t xml:space="preserve">- koordinira razvoj i primjenu informacijske i komunikacijske tehnologije u javnim digitalnim uslugama </w:t>
      </w:r>
    </w:p>
    <w:p w:rsidR="005C2091" w:rsidRDefault="00A86293">
      <w:r>
        <w:t xml:space="preserve">- predlaže Vladi Republike Hrvatske donošenje Strategije popularizacije informatičke pismenosti u Republici Hrvatskoj </w:t>
      </w:r>
    </w:p>
    <w:p w:rsidR="005C2091" w:rsidRDefault="00A86293">
      <w:r>
        <w:t xml:space="preserve">- definira aktivnosti i metodologiju za praćenje napretka i procjenu učinaka politika za razvoj digitalnog društva </w:t>
      </w:r>
    </w:p>
    <w:p w:rsidR="005C2091" w:rsidRDefault="00A86293">
      <w:r>
        <w:t xml:space="preserve">- upravlja radom i pruža stručnu i administrativnu potporu Vijeću za državnu informacijsku infrastrukturu, sudjeluje u pripremi dokumentacije za korištenje pristupnih programa, strukturnih fondova i ostalih relevantnih programa Europske unije </w:t>
      </w:r>
    </w:p>
    <w:p w:rsidR="005C2091" w:rsidRDefault="00A86293">
      <w:r>
        <w:t xml:space="preserve">- osigurava jedinstvenu i trajnu dostupnost i ponovnu uporabu javnih službenih dokumenata i informacija Republike Hrvatske svim korisnicima pod jednakim uvjetima i nepristrano </w:t>
      </w:r>
    </w:p>
    <w:p w:rsidR="005C2091" w:rsidRDefault="00A86293">
      <w:r>
        <w:t xml:space="preserve">- obavlja stručne poslove uspostave i održavanja digitalnog Središnjeg kataloga službenih dokumenata Republike Hrvatske i objave podataka na Središnjem državnom portalu - dio Moja uprava i Portalu otvorenih podataka Republike Hrvatske. </w:t>
      </w:r>
    </w:p>
    <w:p w:rsidR="005C2091" w:rsidRDefault="00A86293">
      <w:r>
        <w:t xml:space="preserve"> Središnji državni ured obavlja i druge poslove koji su mu stavljeni u nadležnost posebnim zakonima.</w:t>
      </w:r>
    </w:p>
    <w:p w:rsidR="00C17231" w:rsidRDefault="00C17231"/>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03405-Središnji državni ured za razvoj digitalnog društva</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782.088</w:t>
            </w:r>
          </w:p>
        </w:tc>
        <w:tc>
          <w:tcPr>
            <w:tcW w:w="2041" w:type="dxa"/>
            <w:vAlign w:val="top"/>
          </w:tcPr>
          <w:p w:rsidR="005C2091" w:rsidRDefault="00A86293">
            <w:pPr>
              <w:pStyle w:val="CellColumn"/>
              <w:jc w:val="right"/>
            </w:pPr>
            <w:r>
              <w:rPr>
                <w:rFonts w:cs="Times New Roman"/>
              </w:rPr>
              <w:t>609.839</w:t>
            </w:r>
          </w:p>
        </w:tc>
        <w:tc>
          <w:tcPr>
            <w:tcW w:w="1224" w:type="dxa"/>
            <w:vAlign w:val="top"/>
          </w:tcPr>
          <w:p w:rsidR="005C2091" w:rsidRDefault="00A86293">
            <w:pPr>
              <w:pStyle w:val="CellColumn"/>
              <w:jc w:val="right"/>
            </w:pPr>
            <w:r>
              <w:rPr>
                <w:rFonts w:cs="Times New Roman"/>
              </w:rPr>
              <w:t>78,0</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shd w:val="clear" w:color="auto" w:fill="B5C0D8"/>
          </w:tcPr>
          <w:p w:rsidR="005C2091" w:rsidRDefault="00A86293">
            <w:pPr>
              <w:pStyle w:val="CellColumn"/>
              <w:jc w:val="left"/>
            </w:pPr>
            <w:r>
              <w:rPr>
                <w:rFonts w:cs="Times New Roman"/>
              </w:rPr>
              <w:t>Ukupno 034-SREDIŠNJI DRŽAVNI URED ZA RAZVOJ DIGITALNOG DRUŠTVA</w:t>
            </w:r>
          </w:p>
        </w:tc>
        <w:tc>
          <w:tcPr>
            <w:tcW w:w="2041" w:type="dxa"/>
            <w:shd w:val="clear" w:color="auto" w:fill="B5C0D8"/>
          </w:tcPr>
          <w:p w:rsidR="005C2091" w:rsidRDefault="00A86293">
            <w:pPr>
              <w:pStyle w:val="CellColumn"/>
              <w:jc w:val="right"/>
            </w:pPr>
            <w:r>
              <w:rPr>
                <w:rFonts w:cs="Times New Roman"/>
              </w:rPr>
              <w:t>00</w:t>
            </w:r>
          </w:p>
        </w:tc>
        <w:tc>
          <w:tcPr>
            <w:tcW w:w="2041" w:type="dxa"/>
            <w:shd w:val="clear" w:color="auto" w:fill="B5C0D8"/>
          </w:tcPr>
          <w:p w:rsidR="005C2091" w:rsidRDefault="00A86293">
            <w:pPr>
              <w:pStyle w:val="CellColumn"/>
              <w:jc w:val="right"/>
            </w:pPr>
            <w:r>
              <w:rPr>
                <w:rFonts w:cs="Times New Roman"/>
              </w:rPr>
              <w:t>782.088</w:t>
            </w:r>
          </w:p>
        </w:tc>
        <w:tc>
          <w:tcPr>
            <w:tcW w:w="2041" w:type="dxa"/>
            <w:shd w:val="clear" w:color="auto" w:fill="B5C0D8"/>
          </w:tcPr>
          <w:p w:rsidR="005C2091" w:rsidRDefault="00A86293">
            <w:pPr>
              <w:pStyle w:val="CellColumn"/>
              <w:jc w:val="right"/>
            </w:pPr>
            <w:r>
              <w:rPr>
                <w:rFonts w:cs="Times New Roman"/>
              </w:rPr>
              <w:t>609.839</w:t>
            </w:r>
          </w:p>
        </w:tc>
        <w:tc>
          <w:tcPr>
            <w:tcW w:w="1224" w:type="dxa"/>
            <w:shd w:val="clear" w:color="auto" w:fill="B5C0D8"/>
          </w:tcPr>
          <w:p w:rsidR="005C2091" w:rsidRDefault="00A86293">
            <w:pPr>
              <w:pStyle w:val="CellColumn"/>
              <w:jc w:val="right"/>
            </w:pPr>
            <w:r>
              <w:rPr>
                <w:rFonts w:cs="Times New Roman"/>
              </w:rPr>
              <w:t>78,0</w:t>
            </w:r>
          </w:p>
        </w:tc>
        <w:tc>
          <w:tcPr>
            <w:tcW w:w="1224" w:type="dxa"/>
            <w:shd w:val="clear" w:color="auto" w:fill="B5C0D8"/>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2"/>
      </w:pPr>
      <w:r>
        <w:t>03405 Središnji državni ured za razvoj digitalnog društva</w:t>
      </w:r>
    </w:p>
    <w:tbl>
      <w:tblPr>
        <w:tblStyle w:val="StilTablice"/>
        <w:tblW w:w="10206" w:type="dxa"/>
        <w:jc w:val="center"/>
        <w:tblLook w:val="04A0" w:firstRow="1" w:lastRow="0" w:firstColumn="1" w:lastColumn="0" w:noHBand="0" w:noVBand="1"/>
      </w:tblPr>
      <w:tblGrid>
        <w:gridCol w:w="1803"/>
        <w:gridCol w:w="1992"/>
        <w:gridCol w:w="1988"/>
        <w:gridCol w:w="1992"/>
        <w:gridCol w:w="1213"/>
        <w:gridCol w:w="1218"/>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03405-Središnji državni ured za razvoj digitalnog društva</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782.088</w:t>
            </w:r>
          </w:p>
        </w:tc>
        <w:tc>
          <w:tcPr>
            <w:tcW w:w="2041" w:type="dxa"/>
            <w:vAlign w:val="top"/>
          </w:tcPr>
          <w:p w:rsidR="005C2091" w:rsidRDefault="00A86293">
            <w:pPr>
              <w:pStyle w:val="CellColumn"/>
              <w:jc w:val="right"/>
            </w:pPr>
            <w:r>
              <w:rPr>
                <w:rFonts w:cs="Times New Roman"/>
              </w:rPr>
              <w:t>609.839</w:t>
            </w:r>
          </w:p>
        </w:tc>
        <w:tc>
          <w:tcPr>
            <w:tcW w:w="1224" w:type="dxa"/>
            <w:vAlign w:val="top"/>
          </w:tcPr>
          <w:p w:rsidR="005C2091" w:rsidRDefault="00A86293">
            <w:pPr>
              <w:pStyle w:val="CellColumn"/>
              <w:jc w:val="right"/>
            </w:pPr>
            <w:r>
              <w:rPr>
                <w:rFonts w:cs="Times New Roman"/>
              </w:rPr>
              <w:t>78,0</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tcPr>
          <w:p w:rsidR="005C2091" w:rsidRDefault="00A86293">
            <w:pPr>
              <w:jc w:val="left"/>
            </w:pPr>
            <w:r>
              <w:t>2414-INFORMACIJSKI SUSTAV JAVNE SLUŽBENE DOKUMENTACIJE</w:t>
            </w:r>
          </w:p>
        </w:tc>
        <w:tc>
          <w:tcPr>
            <w:tcW w:w="2041" w:type="dxa"/>
          </w:tcPr>
          <w:p w:rsidR="005C2091" w:rsidRDefault="00A86293">
            <w:pPr>
              <w:jc w:val="right"/>
            </w:pPr>
            <w:r>
              <w:t>00</w:t>
            </w:r>
          </w:p>
        </w:tc>
        <w:tc>
          <w:tcPr>
            <w:tcW w:w="2041" w:type="dxa"/>
          </w:tcPr>
          <w:p w:rsidR="005C2091" w:rsidRDefault="00A86293">
            <w:pPr>
              <w:jc w:val="right"/>
            </w:pPr>
            <w:r>
              <w:t>782.088</w:t>
            </w:r>
          </w:p>
        </w:tc>
        <w:tc>
          <w:tcPr>
            <w:tcW w:w="2041" w:type="dxa"/>
          </w:tcPr>
          <w:p w:rsidR="005C2091" w:rsidRDefault="00A86293">
            <w:pPr>
              <w:jc w:val="right"/>
            </w:pPr>
            <w:r>
              <w:t>609.839</w:t>
            </w:r>
          </w:p>
        </w:tc>
        <w:tc>
          <w:tcPr>
            <w:tcW w:w="1224" w:type="dxa"/>
          </w:tcPr>
          <w:p w:rsidR="005C2091" w:rsidRDefault="00A86293">
            <w:pPr>
              <w:jc w:val="right"/>
            </w:pPr>
            <w:r>
              <w:t>78,0</w:t>
            </w:r>
          </w:p>
        </w:tc>
        <w:tc>
          <w:tcPr>
            <w:tcW w:w="1224"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t>2414 INFORMACIJSKI SUSTAV JAVNE SLUŽBENE DOKUMENTACIJE</w:t>
      </w:r>
    </w:p>
    <w:tbl>
      <w:tblPr>
        <w:tblStyle w:val="StilTablice"/>
        <w:tblW w:w="10206" w:type="dxa"/>
        <w:jc w:val="center"/>
        <w:tblLook w:val="04A0" w:firstRow="1" w:lastRow="0" w:firstColumn="1" w:lastColumn="0" w:noHBand="0" w:noVBand="1"/>
      </w:tblPr>
      <w:tblGrid>
        <w:gridCol w:w="1803"/>
        <w:gridCol w:w="1992"/>
        <w:gridCol w:w="1988"/>
        <w:gridCol w:w="1992"/>
        <w:gridCol w:w="1213"/>
        <w:gridCol w:w="1218"/>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2414-INFORMACIJSKI SUSTAV JAVNE SLUŽBENE DOKUMENTACIJE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782.088</w:t>
            </w:r>
          </w:p>
        </w:tc>
        <w:tc>
          <w:tcPr>
            <w:tcW w:w="2041" w:type="dxa"/>
          </w:tcPr>
          <w:p w:rsidR="005C2091" w:rsidRDefault="00A86293">
            <w:pPr>
              <w:pStyle w:val="CellColumn"/>
              <w:jc w:val="right"/>
            </w:pPr>
            <w:r>
              <w:rPr>
                <w:rFonts w:cs="Times New Roman"/>
              </w:rPr>
              <w:t>609.839</w:t>
            </w:r>
          </w:p>
        </w:tc>
        <w:tc>
          <w:tcPr>
            <w:tcW w:w="1224" w:type="dxa"/>
          </w:tcPr>
          <w:p w:rsidR="005C2091" w:rsidRDefault="00A86293">
            <w:pPr>
              <w:pStyle w:val="CellColumn"/>
              <w:jc w:val="right"/>
            </w:pPr>
            <w:r>
              <w:rPr>
                <w:rFonts w:cs="Times New Roman"/>
              </w:rPr>
              <w:t>78,0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 xml:space="preserve">Program sadrži cjelovit sustav koji obuhvaća upravne i stručne poslove koji se odnose na: </w:t>
      </w:r>
    </w:p>
    <w:p w:rsidR="005C2091" w:rsidRDefault="00A86293">
      <w:r>
        <w:t xml:space="preserve">- razvoj, standardizaciju, sigurnost i preporuke za korištenje državne informacijske infrastrukture;  </w:t>
      </w:r>
    </w:p>
    <w:p w:rsidR="005C2091" w:rsidRDefault="00A86293">
      <w:r>
        <w:t xml:space="preserve">- sudjelovanje u promicanju i sustavnom unaprjeđivanju izgradnje umrežene infrastrukture u Republici Hrvatskoj, javno pristupanje internetskim uslugama i sadržajima;  </w:t>
      </w:r>
    </w:p>
    <w:p w:rsidR="005C2091" w:rsidRDefault="00A86293">
      <w:r>
        <w:lastRenderedPageBreak/>
        <w:t xml:space="preserve">- koordinaciju razvitka i primjene informacijske i komunikacijske tehnologije u sustavima elektroničkog obrazovanja, elektroničkog zdravstva, elektroničkog poslovanja i drugim srodnim područjima;  </w:t>
      </w:r>
    </w:p>
    <w:p w:rsidR="005C2091" w:rsidRDefault="00A86293">
      <w:r>
        <w:t xml:space="preserve">- razvoj standarda informacijske opreme u javnom sektoru;  </w:t>
      </w:r>
    </w:p>
    <w:p w:rsidR="005C2091" w:rsidRDefault="00A86293">
      <w:r>
        <w:t xml:space="preserve">- sudjelovanje u donošenju i praćenju provedbe zakona i drugih propisa u području primjene informacijsko-komunikacijske tehnologije u Republici Hrvatskoj;  </w:t>
      </w:r>
    </w:p>
    <w:p w:rsidR="005C2091" w:rsidRDefault="00A86293">
      <w:r>
        <w:t xml:space="preserve">- definiranje aktivnosti i metodologija za praćenje napretka i procjenu učinaka politika za razvoj digitalnog društva; </w:t>
      </w:r>
    </w:p>
    <w:p w:rsidR="005C2091" w:rsidRDefault="00A86293">
      <w:r>
        <w:t xml:space="preserve">- predlaganje Vladi Republike Hrvatske donošenje Strategije popularizacije informacijske pismenosti u Republici Hrvatskoj;  </w:t>
      </w:r>
    </w:p>
    <w:p w:rsidR="005C2091" w:rsidRDefault="00A86293">
      <w:r>
        <w:t xml:space="preserve">- pružanje stručne i administrativne potpore Vijeću za državnu informacijsku infrastrukturu, sudjelovanje u pripremi dokumentacije za korištenje pretpristupnih programa, strukturnih fondova i ostalih relevantnih programa Europske unije; </w:t>
      </w:r>
    </w:p>
    <w:p w:rsidR="005C2091" w:rsidRDefault="00A86293">
      <w:r>
        <w:t xml:space="preserve">- prikupljanje, obradu, pohranu, diseminaciju javnih službenih informacija i dokumentacije Republike Hrvatske; </w:t>
      </w:r>
    </w:p>
    <w:p w:rsidR="005C2091" w:rsidRDefault="00A86293">
      <w:r>
        <w:t xml:space="preserve">- izradu dokumentacijskih alata u službi izgradnje javne službene informacijske infrastrukture koja se temelji na suvremenoj tehnologiji i međunarodno utvrđenim normama.  </w:t>
      </w:r>
    </w:p>
    <w:p w:rsidR="005C2091" w:rsidRDefault="00A86293">
      <w:r>
        <w:t>Realizacija aktivnosti dovodi do ostvarenja cilja Ureda odnosno osiguravanja okruženja za razvoj digitalnog društva.</w:t>
      </w:r>
    </w:p>
    <w:p w:rsidR="005C2091" w:rsidRDefault="00A86293">
      <w:pPr>
        <w:pStyle w:val="Heading4"/>
      </w:pPr>
      <w:r>
        <w:t>A912001 ADMINISTRACIJA I UPRAVLJANJE</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A912001-ADMINISTRACIJA I UPRAVLJANJE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517.101</w:t>
            </w:r>
          </w:p>
        </w:tc>
        <w:tc>
          <w:tcPr>
            <w:tcW w:w="2041" w:type="dxa"/>
          </w:tcPr>
          <w:p w:rsidR="005C2091" w:rsidRDefault="00A86293">
            <w:pPr>
              <w:pStyle w:val="CellColumn"/>
              <w:jc w:val="right"/>
            </w:pPr>
            <w:r>
              <w:rPr>
                <w:rFonts w:cs="Times New Roman"/>
              </w:rPr>
              <w:t>453.915</w:t>
            </w:r>
          </w:p>
        </w:tc>
        <w:tc>
          <w:tcPr>
            <w:tcW w:w="1224" w:type="dxa"/>
          </w:tcPr>
          <w:p w:rsidR="005C2091" w:rsidRDefault="00A86293">
            <w:pPr>
              <w:pStyle w:val="CellColumn"/>
              <w:jc w:val="right"/>
            </w:pPr>
            <w:r>
              <w:rPr>
                <w:rFonts w:cs="Times New Roman"/>
              </w:rPr>
              <w:t>87,8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ustrojstvu i djelokrugu ministarstava i drugih središnjih tijela državne uprave  </w:t>
      </w:r>
    </w:p>
    <w:p w:rsidR="005C2091" w:rsidRDefault="00A86293">
      <w:r>
        <w:t>• Zakon o državnim službenicima</w:t>
      </w:r>
    </w:p>
    <w:p w:rsidR="005C2091" w:rsidRDefault="00A86293">
      <w:pPr>
        <w:pStyle w:val="Heading8"/>
        <w:jc w:val="left"/>
      </w:pPr>
      <w:r>
        <w:t>Opis aktivnosti</w:t>
      </w:r>
    </w:p>
    <w:p w:rsidR="005C2091" w:rsidRDefault="00A86293">
      <w:r>
        <w:t>Sredstva se odnose na aktivnosti vezane uz administrativne i financijske obveze Ureda.</w:t>
      </w:r>
    </w:p>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 w:rsidR="00C17231" w:rsidRDefault="00C17231">
      <w:pPr>
        <w:overflowPunct/>
        <w:autoSpaceDE/>
        <w:autoSpaceDN/>
        <w:adjustRightInd/>
        <w:spacing w:after="200" w:line="276" w:lineRule="auto"/>
        <w:jc w:val="left"/>
        <w:textAlignment w:val="auto"/>
        <w:rPr>
          <w:b/>
          <w:spacing w:val="20"/>
          <w:sz w:val="32"/>
          <w:szCs w:val="32"/>
        </w:rPr>
      </w:pPr>
      <w:r>
        <w:br w:type="page"/>
      </w:r>
    </w:p>
    <w:p w:rsidR="005C2091" w:rsidRDefault="00A86293">
      <w:pPr>
        <w:pStyle w:val="Heading1"/>
      </w:pPr>
      <w:r>
        <w:lastRenderedPageBreak/>
        <w:t>036 SREDIŠNJI DRŽAVNI URED ZA ŠPORT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03605-Središnji državni ured za šport</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28.927.592</w:t>
            </w:r>
          </w:p>
        </w:tc>
        <w:tc>
          <w:tcPr>
            <w:tcW w:w="2041" w:type="dxa"/>
            <w:vAlign w:val="top"/>
          </w:tcPr>
          <w:p w:rsidR="005C2091" w:rsidRDefault="00A86293">
            <w:pPr>
              <w:pStyle w:val="CellColumn"/>
              <w:jc w:val="right"/>
            </w:pPr>
            <w:r>
              <w:rPr>
                <w:rFonts w:cs="Times New Roman"/>
              </w:rPr>
              <w:t>42.010.258</w:t>
            </w:r>
          </w:p>
        </w:tc>
        <w:tc>
          <w:tcPr>
            <w:tcW w:w="1224" w:type="dxa"/>
            <w:vAlign w:val="top"/>
          </w:tcPr>
          <w:p w:rsidR="005C2091" w:rsidRDefault="00A86293">
            <w:pPr>
              <w:pStyle w:val="CellColumn"/>
              <w:jc w:val="right"/>
            </w:pPr>
            <w:r>
              <w:rPr>
                <w:rFonts w:cs="Times New Roman"/>
              </w:rPr>
              <w:t>145,2</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shd w:val="clear" w:color="auto" w:fill="B5C0D8"/>
          </w:tcPr>
          <w:p w:rsidR="005C2091" w:rsidRDefault="00A86293">
            <w:pPr>
              <w:pStyle w:val="CellColumn"/>
              <w:jc w:val="left"/>
            </w:pPr>
            <w:r>
              <w:rPr>
                <w:rFonts w:cs="Times New Roman"/>
              </w:rPr>
              <w:t>Ukupno 036-SREDIŠNJI DRŽAVNI URED ZA ŠPORT</w:t>
            </w:r>
          </w:p>
        </w:tc>
        <w:tc>
          <w:tcPr>
            <w:tcW w:w="2041" w:type="dxa"/>
            <w:shd w:val="clear" w:color="auto" w:fill="B5C0D8"/>
          </w:tcPr>
          <w:p w:rsidR="005C2091" w:rsidRDefault="00A86293">
            <w:pPr>
              <w:pStyle w:val="CellColumn"/>
              <w:jc w:val="right"/>
            </w:pPr>
            <w:r>
              <w:rPr>
                <w:rFonts w:cs="Times New Roman"/>
              </w:rPr>
              <w:t>00</w:t>
            </w:r>
          </w:p>
        </w:tc>
        <w:tc>
          <w:tcPr>
            <w:tcW w:w="2041" w:type="dxa"/>
            <w:shd w:val="clear" w:color="auto" w:fill="B5C0D8"/>
          </w:tcPr>
          <w:p w:rsidR="005C2091" w:rsidRDefault="00A86293">
            <w:pPr>
              <w:pStyle w:val="CellColumn"/>
              <w:jc w:val="right"/>
            </w:pPr>
            <w:r>
              <w:rPr>
                <w:rFonts w:cs="Times New Roman"/>
              </w:rPr>
              <w:t>28.927.592</w:t>
            </w:r>
          </w:p>
        </w:tc>
        <w:tc>
          <w:tcPr>
            <w:tcW w:w="2041" w:type="dxa"/>
            <w:shd w:val="clear" w:color="auto" w:fill="B5C0D8"/>
          </w:tcPr>
          <w:p w:rsidR="005C2091" w:rsidRDefault="00A86293">
            <w:pPr>
              <w:pStyle w:val="CellColumn"/>
              <w:jc w:val="right"/>
            </w:pPr>
            <w:r>
              <w:rPr>
                <w:rFonts w:cs="Times New Roman"/>
              </w:rPr>
              <w:t>42.010.258</w:t>
            </w:r>
          </w:p>
        </w:tc>
        <w:tc>
          <w:tcPr>
            <w:tcW w:w="1224" w:type="dxa"/>
            <w:shd w:val="clear" w:color="auto" w:fill="B5C0D8"/>
          </w:tcPr>
          <w:p w:rsidR="005C2091" w:rsidRDefault="00A86293">
            <w:pPr>
              <w:pStyle w:val="CellColumn"/>
              <w:jc w:val="right"/>
            </w:pPr>
            <w:r>
              <w:rPr>
                <w:rFonts w:cs="Times New Roman"/>
              </w:rPr>
              <w:t>145,2</w:t>
            </w:r>
          </w:p>
        </w:tc>
        <w:tc>
          <w:tcPr>
            <w:tcW w:w="1224" w:type="dxa"/>
            <w:shd w:val="clear" w:color="auto" w:fill="B5C0D8"/>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2"/>
      </w:pPr>
      <w:r>
        <w:t>03605 Središnji državni ured za šport</w:t>
      </w:r>
    </w:p>
    <w:p w:rsidR="005C2091" w:rsidRDefault="00A86293">
      <w:r>
        <w:t xml:space="preserve">Središnji državni ured za šport osnovan je temeljem Zakona o ustrojstvu i djelokrugu ministarstava i drugih središnjih tijela državne uprave (NN, 93/16 i 104/16), a njegov djelokrug je definiran člankom 24. navedenog Zakona. Ovo Obrazloženje izvršenja financijskog plana za 2016. godinu odnosi se na razdoblje od 16. listopada do 31. prosinca 2016. godine. </w:t>
      </w:r>
    </w:p>
    <w:p w:rsidR="005C2091" w:rsidRDefault="00A86293">
      <w:r>
        <w:t>Imajući  u vidu važnost koju kao društvo pridajemo športu te veliku tradiciju hrvatskih športskih uspjeha na međunarodnoj razini, Središnji državni ured za šport (u daljnjem tekstu: SDUŠ), u sklopu svog djelovanja usmjeren je na ispunjavanje sljedećih specifičnih ciljeva: snažan razvoj športa (donošenje dugoročnog strateškog dokumenta razvoja športa – Nacionalni program sporta), ulaganje u veći broj malih športskih objekata, poticanje športa u službi zdravlja, redefiniranje položaja profesionalnih i amaterskih športskih klubova, osiguranje primjerene tehničke i financijske uvjete vrhunskim športašima, provođenje mjera za suzbijanje nasilja na športskim terenima, veću financijsku odgovornost i transparentnost te poticanje djece i mladih na svakodnevno bavljenje organiziranom tjelesnom aktivnošću.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03605-Središnji državni ured za šport</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28.927.592</w:t>
            </w:r>
          </w:p>
        </w:tc>
        <w:tc>
          <w:tcPr>
            <w:tcW w:w="2041" w:type="dxa"/>
            <w:vAlign w:val="top"/>
          </w:tcPr>
          <w:p w:rsidR="005C2091" w:rsidRDefault="00A86293">
            <w:pPr>
              <w:pStyle w:val="CellColumn"/>
              <w:jc w:val="right"/>
            </w:pPr>
            <w:r>
              <w:rPr>
                <w:rFonts w:cs="Times New Roman"/>
              </w:rPr>
              <w:t>42.010.258</w:t>
            </w:r>
          </w:p>
        </w:tc>
        <w:tc>
          <w:tcPr>
            <w:tcW w:w="1224" w:type="dxa"/>
            <w:vAlign w:val="top"/>
          </w:tcPr>
          <w:p w:rsidR="005C2091" w:rsidRDefault="00A86293">
            <w:pPr>
              <w:pStyle w:val="CellColumn"/>
              <w:jc w:val="right"/>
            </w:pPr>
            <w:r>
              <w:rPr>
                <w:rFonts w:cs="Times New Roman"/>
              </w:rPr>
              <w:t>145,2</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tcPr>
          <w:p w:rsidR="005C2091" w:rsidRDefault="00A86293">
            <w:pPr>
              <w:jc w:val="left"/>
            </w:pPr>
            <w:r>
              <w:t>3920-RAZVOJ ŠPORTA</w:t>
            </w:r>
          </w:p>
        </w:tc>
        <w:tc>
          <w:tcPr>
            <w:tcW w:w="2041" w:type="dxa"/>
          </w:tcPr>
          <w:p w:rsidR="005C2091" w:rsidRDefault="00A86293">
            <w:pPr>
              <w:jc w:val="right"/>
            </w:pPr>
            <w:r>
              <w:t>00</w:t>
            </w:r>
          </w:p>
        </w:tc>
        <w:tc>
          <w:tcPr>
            <w:tcW w:w="2041" w:type="dxa"/>
          </w:tcPr>
          <w:p w:rsidR="005C2091" w:rsidRDefault="00A86293">
            <w:pPr>
              <w:jc w:val="right"/>
            </w:pPr>
            <w:r>
              <w:t>28.927.592</w:t>
            </w:r>
          </w:p>
        </w:tc>
        <w:tc>
          <w:tcPr>
            <w:tcW w:w="2041" w:type="dxa"/>
          </w:tcPr>
          <w:p w:rsidR="005C2091" w:rsidRDefault="00A86293">
            <w:pPr>
              <w:jc w:val="right"/>
            </w:pPr>
            <w:r>
              <w:t>42.010.258</w:t>
            </w:r>
          </w:p>
        </w:tc>
        <w:tc>
          <w:tcPr>
            <w:tcW w:w="1224" w:type="dxa"/>
          </w:tcPr>
          <w:p w:rsidR="005C2091" w:rsidRDefault="00A86293">
            <w:pPr>
              <w:jc w:val="right"/>
            </w:pPr>
            <w:r>
              <w:t>145,2</w:t>
            </w:r>
          </w:p>
        </w:tc>
        <w:tc>
          <w:tcPr>
            <w:tcW w:w="1224"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t>3920 RAZVOJ ŠPORTA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3920-RAZVOJ ŠPORTA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28.927.592</w:t>
            </w:r>
          </w:p>
        </w:tc>
        <w:tc>
          <w:tcPr>
            <w:tcW w:w="2041" w:type="dxa"/>
          </w:tcPr>
          <w:p w:rsidR="005C2091" w:rsidRDefault="00A86293">
            <w:pPr>
              <w:pStyle w:val="CellColumn"/>
              <w:jc w:val="right"/>
            </w:pPr>
            <w:r>
              <w:rPr>
                <w:rFonts w:cs="Times New Roman"/>
              </w:rPr>
              <w:t>42.010.258</w:t>
            </w:r>
          </w:p>
        </w:tc>
        <w:tc>
          <w:tcPr>
            <w:tcW w:w="1224" w:type="dxa"/>
          </w:tcPr>
          <w:p w:rsidR="005C2091" w:rsidRDefault="00A86293">
            <w:pPr>
              <w:pStyle w:val="CellColumn"/>
              <w:jc w:val="right"/>
            </w:pPr>
            <w:r>
              <w:rPr>
                <w:rFonts w:cs="Times New Roman"/>
              </w:rPr>
              <w:t>145,2</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 xml:space="preserve">Kao potpora programima javnih potreba u športu na državnoj razini (Zakon o sportu, NN, 71/06, 124/10, 124/11, 86/12, 94/13, 85/15 i 19/16) iz sredstava Državnoga proračuna i iz dijela prihoda od igara na sreću (Uredba o </w:t>
      </w:r>
      <w:r>
        <w:lastRenderedPageBreak/>
        <w:t xml:space="preserve">kriterijima za utvrđivanje korisnika i načinu raspodjele dijela prihoda od igara na sreću) osiguravaju se financijska sredstva za provođenje programa Hrvatskoga olimpijskog odbora (HOO), Hrvatskoga paraolimpijskog odbora (HPO), Hrvatskoga sportskog saveza gluhih (HSSG), Hrvatskoga školskog sportskog saveza (HŠSS) i Hrvatskoga akademskog sportskog savez (HASS).  </w:t>
      </w:r>
    </w:p>
    <w:p w:rsidR="005C2091" w:rsidRDefault="00A86293">
      <w:r>
        <w:t xml:space="preserve">Iz sredstava Državnoga proračuna sufinanciraju se programi izvaninstitucionalnoga odgoja i obrazovanja uz pomoć športa za programe: Poticanje bavljenja amaterskim športom i športskom rekreacijom, Poticanje programa međunarodne športske suradnje i Poticanje programa obuke neplivača. Također se financiraju i programi prevencije nasilja športom u školama. </w:t>
      </w:r>
    </w:p>
    <w:p w:rsidR="005C2091" w:rsidRDefault="00A86293">
      <w:r>
        <w:t xml:space="preserve">Za Državne nagrade za vrhunska sportska postignuća sukladno odredbama Zakona o sportu (NN, 71/06, 124/10, 124/11, 86/12, 94/13, 85/15 i 19/16) i Uredbe o kriterijima za dodjeljivanje državnih nagrada za vrhunska sportska postignuća (NN 111/12 i 134/12) osigurana su sredstva za osvojene zlatne, srebrne i brončane medalje na olimpijskim igrama, paraolimpijskim igrama i olimpijskim igrama gluhih te za  osvojene zlatne, srebrne i brončane medalje na svjetskim i europskim seniorskim prvenstvima u olimpijskim i paraolimpijskim športovima i disciplinama te u olimpijskim športovima i disciplinama za gluhe.  </w:t>
      </w:r>
    </w:p>
    <w:p w:rsidR="005C2091" w:rsidRDefault="00A86293">
      <w:r>
        <w:t xml:space="preserve">Odredbama Zakona o sportu i na temelju Uredbe o dodjeljivanju trajnih novčanih mjesečnih naknada (NN, 113/13) osigurana su sredstva za trajne novčane naknade, kao državno priznanje športašima koji su osvojili medalje i na taj način zadužili Republiku Hrvatsku. </w:t>
      </w:r>
    </w:p>
    <w:p w:rsidR="005C2091" w:rsidRDefault="00A86293">
      <w:r>
        <w:t xml:space="preserve">Cilj 1. Osigurana kvaliteta sustava sporta i unaprijeđeni uvjeti za bavljenje sportom ostvarivanjem javnih potreba u sportu, potporom školskom i studentskom sportu te poticanjem izvaninstitucionalnoga odgoja i obrazovanja uz pomoć sporta </w:t>
      </w:r>
    </w:p>
    <w:p w:rsidR="005C2091" w:rsidRPr="00C17231" w:rsidRDefault="00A86293">
      <w:pPr>
        <w:rPr>
          <w:b/>
        </w:rPr>
      </w:pPr>
      <w:r w:rsidRPr="00C17231">
        <w:rPr>
          <w:b/>
        </w:rPr>
        <w:t xml:space="preserve">Opis provedbe cilja programa </w:t>
      </w:r>
    </w:p>
    <w:p w:rsidR="005C2091" w:rsidRDefault="00A86293">
      <w:r>
        <w:t xml:space="preserve">Tjelesno vježbanje i šport sastavni su dio odgojno-obrazovnog sustava. Za zdravi rast pojedinca i njegov razvoj potrebno je od najranije dobi promicati bavljenje športom djece i mladih te studenata tijekom studiranja. Jednako tako, od najranije dobi potrebno je provoditi programe stvaranja uvjeta za ravnomjerno zastupljeno bavljenje športom u odgojno-obrazovnom sustavu radi osobnog razvoja i zaštite zdravlja te programe stvaranja uvjeta za postizanje vrhunskih rezultata na međunarodnim natjecanjima. Financiranjem programa javnih potreba u športu koje provode Hrvatski olimpijski odbor (HOO), Hrvatski paraolimpijski odbor (HPO) i Hrvatski sportski savez gluhih (HSSG) stvaraju se uvjeti za razvoj svih športova kroz financiranje programa nacionalnih saveza te postizanje vrhunskih športskih rezultata međunarodne razine. HOO, HPO i HSSG potiču i skrbe o razvoju športa i promicanju športa na državnoj, lokalnoj i regionalnoj razini. Obuhvaćaju provedbu pripreme športaša i organizacijske pripreme za sudjelovanje na olimpijskim, paraolimpijskim i olimpijskim igrama gluhih kao i njihovo sudjelovanje na ostalim međunarodnim natjecanjima te realizaciju redovnih programa nacionalnih športskih saveza, realizaciju razvojnih programa, unapređivanje zdravstvene zaštite športaša i suradnju s međunarodnim institucijama.   </w:t>
      </w:r>
    </w:p>
    <w:p w:rsidR="005C2091" w:rsidRDefault="00A86293">
      <w:r>
        <w:t>Financiranjem programa javnih potreba na državnoj razini za djelovanje Hrvatskoga školskog sportskog saveza i Hrvatskoga akademskog sportskog saveza želi se povećati postotak učenika i studenata uključenih u rad školskih športskih društava odnosno akademskih športskih udruga. Isto tako cilj je  uspostaviti što raznovrsniji sustav natjecanja te povećati broj i vrstu športskih sadržaja. Sufinanciranjem  programa izvaninstitucionalnoga odgoja i obrazovanja uz pomoć športa stvaraju se uvjeti za održanjem, ali i povećanjem broja korisnika uključenih u športske programe.</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Održanje broja osvojenih medalja sportaša na velikim međunarodnim natjecanjima</w:t>
            </w:r>
          </w:p>
        </w:tc>
        <w:tc>
          <w:tcPr>
            <w:tcW w:w="2551" w:type="dxa"/>
          </w:tcPr>
          <w:p w:rsidR="005C2091" w:rsidRDefault="00A86293">
            <w:pPr>
              <w:pStyle w:val="CellColumn"/>
              <w:jc w:val="left"/>
            </w:pPr>
            <w:r>
              <w:rPr>
                <w:rFonts w:cs="Times New Roman"/>
              </w:rPr>
              <w:t>Ukupan broj osvojenih medalja na velikim međunarodnim natjecanjima koja su realizirana programima Hrvatskoga olimpijskog odbora, Hrvatskoga paraolimpijskog odbora i Hrvatskoga sportskog saveza gluhih</w:t>
            </w:r>
          </w:p>
        </w:tc>
        <w:tc>
          <w:tcPr>
            <w:tcW w:w="1020" w:type="dxa"/>
          </w:tcPr>
          <w:p w:rsidR="005C2091" w:rsidRDefault="00A86293">
            <w:pPr>
              <w:pStyle w:val="CellColumn"/>
              <w:jc w:val="right"/>
            </w:pPr>
            <w:r>
              <w:rPr>
                <w:rFonts w:cs="Times New Roman"/>
              </w:rPr>
              <w:t>Broj (godišnje)</w:t>
            </w:r>
          </w:p>
        </w:tc>
        <w:tc>
          <w:tcPr>
            <w:tcW w:w="1020" w:type="dxa"/>
          </w:tcPr>
          <w:p w:rsidR="005C2091" w:rsidRDefault="00A86293">
            <w:pPr>
              <w:pStyle w:val="CellColumn"/>
              <w:jc w:val="right"/>
            </w:pPr>
            <w:r>
              <w:rPr>
                <w:rFonts w:cs="Times New Roman"/>
              </w:rPr>
              <w:t>590</w:t>
            </w:r>
          </w:p>
        </w:tc>
        <w:tc>
          <w:tcPr>
            <w:tcW w:w="1020" w:type="dxa"/>
          </w:tcPr>
          <w:p w:rsidR="005C2091" w:rsidRDefault="00A86293">
            <w:pPr>
              <w:pStyle w:val="CellColumn"/>
              <w:jc w:val="right"/>
            </w:pPr>
            <w:r>
              <w:rPr>
                <w:rFonts w:cs="Times New Roman"/>
              </w:rPr>
              <w:t>HOO, HPO i HŠSG</w:t>
            </w:r>
          </w:p>
        </w:tc>
        <w:tc>
          <w:tcPr>
            <w:tcW w:w="1020" w:type="dxa"/>
          </w:tcPr>
          <w:p w:rsidR="005C2091" w:rsidRDefault="00A86293">
            <w:pPr>
              <w:pStyle w:val="CellColumn"/>
              <w:jc w:val="right"/>
            </w:pPr>
            <w:r>
              <w:rPr>
                <w:rFonts w:cs="Times New Roman"/>
              </w:rPr>
              <w:t>590</w:t>
            </w:r>
          </w:p>
        </w:tc>
        <w:tc>
          <w:tcPr>
            <w:tcW w:w="1020" w:type="dxa"/>
          </w:tcPr>
          <w:p w:rsidR="005C2091" w:rsidRDefault="00A86293">
            <w:pPr>
              <w:pStyle w:val="CellColumn"/>
              <w:jc w:val="right"/>
            </w:pPr>
            <w:r>
              <w:rPr>
                <w:rFonts w:cs="Times New Roman"/>
              </w:rPr>
              <w:t>448</w:t>
            </w:r>
          </w:p>
        </w:tc>
      </w:tr>
    </w:tbl>
    <w:p w:rsidR="005C2091" w:rsidRDefault="005C2091">
      <w:pPr>
        <w:jc w:val="left"/>
      </w:pPr>
    </w:p>
    <w:p w:rsidR="005C2091" w:rsidRDefault="00A86293">
      <w:pPr>
        <w:pStyle w:val="Heading4"/>
      </w:pPr>
      <w:r>
        <w:t>A916001 GRADSKE SPORTSKE DVORANE U ZAGREBU, SPLITU I VARAŽDINU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A916001-GRADSKE SPORTSKE DVORANE U ZAGREBU, SPLITU I VARAŽDINU</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1.283.516</w:t>
            </w:r>
          </w:p>
        </w:tc>
        <w:tc>
          <w:tcPr>
            <w:tcW w:w="2041" w:type="dxa"/>
          </w:tcPr>
          <w:p w:rsidR="005C2091" w:rsidRDefault="00A86293">
            <w:pPr>
              <w:pStyle w:val="CellColumn"/>
              <w:jc w:val="right"/>
            </w:pPr>
            <w:r>
              <w:rPr>
                <w:rFonts w:cs="Times New Roman"/>
              </w:rPr>
              <w:t>1.283.516</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Sporazum o zajedničkom financiranju zakupnine za gradsku sportsku dvoranu u Splitu, Klasa: 361-01/07-02/01, Urbroj: 5030105-07-7 od 2. kolovoza 2007. te Ugovor između grada Splita i Sportskog grada TPN d.o.o.  </w:t>
      </w:r>
    </w:p>
    <w:p w:rsidR="005C2091" w:rsidRDefault="00A86293">
      <w:r>
        <w:t xml:space="preserve">Sporazum o zajedničkom financiranju zakupnine za gradsku sportsku dvoranu u Varaždinu, Klasa: 620-08/07-01/1, Urbroj: 2186/01-01-08-39. iz 2007. te Ugovor između grada Varaždina i T.P.N DRAVA d.o.o.   </w:t>
      </w:r>
    </w:p>
    <w:p w:rsidR="005C2091" w:rsidRDefault="00A86293">
      <w:r>
        <w:t>Sporazum o zajedničkom financiranju zakupnine za Arenu Zagreb od 14. lipnja 2007. te Ugovor između Laništa d.o.o. i Zagrebačkog holdinga. Članak 23. Zakona o ustrojstvu i djelokrugu ministarstava i drugih središnjih tijela državne uprave</w:t>
      </w:r>
    </w:p>
    <w:p w:rsidR="005C2091" w:rsidRDefault="00A86293">
      <w:pPr>
        <w:pStyle w:val="Heading8"/>
        <w:jc w:val="left"/>
      </w:pPr>
      <w:r>
        <w:t>Opis aktivnosti</w:t>
      </w:r>
    </w:p>
    <w:p w:rsidR="005C2091" w:rsidRDefault="00A86293">
      <w:r>
        <w:t>Za potrebe Svjetskog rukometnog prvenstva koje je održano 2008. godine, građene su športske dvorane po modelu javno-privatnog partnerstva. Sukladno zaključenim sporazumima najamninu/zakupninu sufinanciraju pripadni gradovi i Vlada Republike Hrvatske u omjeru 50%:50% što je i izvršeno za  2016. godinu.</w:t>
      </w:r>
    </w:p>
    <w:p w:rsidR="005C2091" w:rsidRDefault="00A86293">
      <w:pPr>
        <w:pStyle w:val="Heading4"/>
      </w:pPr>
      <w:r>
        <w:t>A916002 PROGRAMI JAVNIH POTREBA U SPORTU NA DRŽAVNOJ RAZINI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A916002-PROGRAMI JAVNIH POTREBA U SPORTU NA DRŽAVNOJ RAZINI</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15.741.935</w:t>
            </w:r>
          </w:p>
        </w:tc>
        <w:tc>
          <w:tcPr>
            <w:tcW w:w="2041" w:type="dxa"/>
          </w:tcPr>
          <w:p w:rsidR="005C2091" w:rsidRDefault="00A86293">
            <w:pPr>
              <w:pStyle w:val="CellColumn"/>
              <w:jc w:val="right"/>
            </w:pPr>
            <w:r>
              <w:rPr>
                <w:rFonts w:cs="Times New Roman"/>
              </w:rPr>
              <w:t>30.223.583</w:t>
            </w:r>
          </w:p>
        </w:tc>
        <w:tc>
          <w:tcPr>
            <w:tcW w:w="1224" w:type="dxa"/>
          </w:tcPr>
          <w:p w:rsidR="005C2091" w:rsidRDefault="00A86293">
            <w:pPr>
              <w:pStyle w:val="CellColumn"/>
              <w:jc w:val="right"/>
            </w:pPr>
            <w:r>
              <w:rPr>
                <w:rFonts w:cs="Times New Roman"/>
              </w:rPr>
              <w:t>192,0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Članak 75. Zakona o sportu</w:t>
      </w:r>
    </w:p>
    <w:p w:rsidR="005C2091" w:rsidRDefault="00A86293">
      <w:pPr>
        <w:pStyle w:val="Heading8"/>
        <w:jc w:val="left"/>
      </w:pPr>
      <w:r>
        <w:t>Opis aktivnosti</w:t>
      </w:r>
    </w:p>
    <w:p w:rsidR="005C2091" w:rsidRDefault="00A86293">
      <w:r>
        <w:t xml:space="preserve">Središnji državni ured za šport nastavio je sufinancirati dio programa javnih potreba u športu koje provode krovne športske organizacije Hrvatski olimpijski odbor (HOO), Hrvatski paraolimpijski odbor (HPO), Hrvatski sportski savez gluhih (HSSG), Hrvatski akademski sportski savez (HASS) i Hrvatski školski sportski savez (HŠSS) za koje su do ustrojavanja SDUŠ-a sredstva bila osigurana na Razdjelu 080 – Ministarstvo znanosti, obrazovanja i sporta, Program - 3915 Razvoj sporta, aktivnost A557047- Programi javnih potreba u sportu na državnoj razini.  </w:t>
      </w:r>
    </w:p>
    <w:p w:rsidR="005C2091" w:rsidRDefault="00A86293">
      <w:r>
        <w:t xml:space="preserve">Nastavljena je isplata sredstava za programe koje provodi HOO po programskim skupinama: Redovni programi nacionalnih sportskih saveza, Posebni programski projekti, Programi poticanja i razvoja sporta, Zajedničke programske zadaće, Hrvatska olimpijska akademija, Olimpijska solidarnost, Zaklada hrvatskih sportaša, EU fondovi. Također,  za programe koje provodi HPO: Zajedničke programske aktivnosti, Djelovanje nacionalnih sportskih saveza osoba s invaliditetom, Sportski programi – redovni, Sportski programi – posebni projekti i Potpore organizaciji značajnih međunarodnih natjecanja u RH te za programe koje provodi HSSG: Zajedničke programske aktivnosti Saveza (organizacija i funkcioniranje), Sportski programi (redovni programi i razvojni programi) i Sportski programi – posebni projekti (Ljetne Olimpijske igre gluhih).  </w:t>
      </w:r>
    </w:p>
    <w:p w:rsidR="005C2091" w:rsidRDefault="00A86293">
      <w:r>
        <w:t xml:space="preserve">Hrvatski školski sportski savez do kraja rujna proveo je većinu svojih  programa iz Programskog plana za 2016. godinu, organizirao završnicu Državnog prvenstva ŠSD-a osnovnih i srednjih škola, završnicu Državnog prvenstvo za djecu s intelektualnim teškoćama u razvoju te je nastavio do kraja godine provoditi programe Univerzalne sportske škole za učenike od 1. do 4. razreda OŠ i programe Vježbaonice za učenike od 5. do 8. razreda OŠ.  </w:t>
      </w:r>
    </w:p>
    <w:p w:rsidR="005C2091" w:rsidRDefault="00A86293">
      <w:r>
        <w:t>Hrvatski akademski sportski savez, do kraja rujna 2016. godine, proveo je većinu  programa iz Programskog plana za 2016. godinu kojima je obuhvatio više od 20.000 studenata na sveučilištima i veleučilištima.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50"/>
        <w:gridCol w:w="2450"/>
        <w:gridCol w:w="1002"/>
        <w:gridCol w:w="1011"/>
        <w:gridCol w:w="1270"/>
        <w:gridCol w:w="1011"/>
        <w:gridCol w:w="1012"/>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kategoriziranih sportaša olimpijaca</w:t>
            </w:r>
          </w:p>
        </w:tc>
        <w:tc>
          <w:tcPr>
            <w:tcW w:w="2551" w:type="dxa"/>
          </w:tcPr>
          <w:p w:rsidR="005C2091" w:rsidRDefault="00A86293">
            <w:pPr>
              <w:pStyle w:val="CellColumn"/>
              <w:jc w:val="left"/>
            </w:pPr>
            <w:r>
              <w:rPr>
                <w:rFonts w:cs="Times New Roman"/>
              </w:rPr>
              <w:t>Financiranjem javnih potreba u sportu povećat će se broj kategoriziranih sportaša olimpijaca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4.275</w:t>
            </w:r>
          </w:p>
        </w:tc>
        <w:tc>
          <w:tcPr>
            <w:tcW w:w="1020" w:type="dxa"/>
          </w:tcPr>
          <w:p w:rsidR="005C2091" w:rsidRDefault="00A86293">
            <w:pPr>
              <w:pStyle w:val="CellColumn"/>
              <w:jc w:val="right"/>
            </w:pPr>
            <w:r>
              <w:rPr>
                <w:rFonts w:cs="Times New Roman"/>
              </w:rPr>
              <w:t>Hrvatski olimpijski odbor</w:t>
            </w:r>
          </w:p>
        </w:tc>
        <w:tc>
          <w:tcPr>
            <w:tcW w:w="1020" w:type="dxa"/>
          </w:tcPr>
          <w:p w:rsidR="005C2091" w:rsidRDefault="00A86293">
            <w:pPr>
              <w:pStyle w:val="CellColumn"/>
              <w:jc w:val="right"/>
            </w:pPr>
            <w:r>
              <w:rPr>
                <w:rFonts w:cs="Times New Roman"/>
              </w:rPr>
              <w:t>4300</w:t>
            </w:r>
          </w:p>
        </w:tc>
        <w:tc>
          <w:tcPr>
            <w:tcW w:w="1020" w:type="dxa"/>
          </w:tcPr>
          <w:p w:rsidR="005C2091" w:rsidRDefault="00A86293">
            <w:pPr>
              <w:pStyle w:val="CellColumn"/>
              <w:jc w:val="right"/>
            </w:pPr>
            <w:r>
              <w:rPr>
                <w:rFonts w:cs="Times New Roman"/>
              </w:rPr>
              <w:t>3106</w:t>
            </w:r>
          </w:p>
        </w:tc>
      </w:tr>
      <w:tr w:rsidR="005C2091">
        <w:trPr>
          <w:jc w:val="center"/>
        </w:trPr>
        <w:tc>
          <w:tcPr>
            <w:tcW w:w="2551" w:type="dxa"/>
          </w:tcPr>
          <w:p w:rsidR="005C2091" w:rsidRDefault="00A86293">
            <w:pPr>
              <w:pStyle w:val="CellColumn"/>
              <w:jc w:val="left"/>
            </w:pPr>
            <w:r>
              <w:rPr>
                <w:rFonts w:cs="Times New Roman"/>
              </w:rPr>
              <w:t>Broj kategoriziranih sportaša paraolimpijaca</w:t>
            </w:r>
          </w:p>
        </w:tc>
        <w:tc>
          <w:tcPr>
            <w:tcW w:w="2551" w:type="dxa"/>
          </w:tcPr>
          <w:p w:rsidR="005C2091" w:rsidRDefault="00A86293">
            <w:pPr>
              <w:pStyle w:val="CellColumn"/>
              <w:jc w:val="left"/>
            </w:pPr>
            <w:r>
              <w:rPr>
                <w:rFonts w:cs="Times New Roman"/>
              </w:rPr>
              <w:t>Financiranjem javnih potreba u sportu povećat će se broj kategoriziranih sportaša paraolimpijaca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69</w:t>
            </w:r>
          </w:p>
        </w:tc>
        <w:tc>
          <w:tcPr>
            <w:tcW w:w="1020" w:type="dxa"/>
          </w:tcPr>
          <w:p w:rsidR="005C2091" w:rsidRDefault="00A86293">
            <w:pPr>
              <w:pStyle w:val="CellColumn"/>
              <w:jc w:val="right"/>
            </w:pPr>
            <w:r>
              <w:rPr>
                <w:rFonts w:cs="Times New Roman"/>
              </w:rPr>
              <w:t>Hrvatski paraolimpijski odbor</w:t>
            </w:r>
          </w:p>
        </w:tc>
        <w:tc>
          <w:tcPr>
            <w:tcW w:w="1020" w:type="dxa"/>
          </w:tcPr>
          <w:p w:rsidR="005C2091" w:rsidRDefault="00A86293">
            <w:pPr>
              <w:pStyle w:val="CellColumn"/>
              <w:jc w:val="right"/>
            </w:pPr>
            <w:r>
              <w:rPr>
                <w:rFonts w:cs="Times New Roman"/>
              </w:rPr>
              <w:t>75</w:t>
            </w:r>
          </w:p>
        </w:tc>
        <w:tc>
          <w:tcPr>
            <w:tcW w:w="1020" w:type="dxa"/>
          </w:tcPr>
          <w:p w:rsidR="005C2091" w:rsidRDefault="00A86293">
            <w:pPr>
              <w:pStyle w:val="CellColumn"/>
              <w:jc w:val="right"/>
            </w:pPr>
            <w:r>
              <w:rPr>
                <w:rFonts w:cs="Times New Roman"/>
              </w:rPr>
              <w:t>80</w:t>
            </w:r>
          </w:p>
        </w:tc>
      </w:tr>
      <w:tr w:rsidR="005C2091">
        <w:trPr>
          <w:jc w:val="center"/>
        </w:trPr>
        <w:tc>
          <w:tcPr>
            <w:tcW w:w="2551" w:type="dxa"/>
          </w:tcPr>
          <w:p w:rsidR="005C2091" w:rsidRDefault="00A86293">
            <w:pPr>
              <w:pStyle w:val="CellColumn"/>
              <w:jc w:val="left"/>
            </w:pPr>
            <w:r>
              <w:rPr>
                <w:rFonts w:cs="Times New Roman"/>
              </w:rPr>
              <w:t>Broj kategoriziranih gluhih sportaša</w:t>
            </w:r>
          </w:p>
        </w:tc>
        <w:tc>
          <w:tcPr>
            <w:tcW w:w="2551" w:type="dxa"/>
          </w:tcPr>
          <w:p w:rsidR="005C2091" w:rsidRDefault="00A86293">
            <w:pPr>
              <w:pStyle w:val="CellColumn"/>
              <w:jc w:val="left"/>
            </w:pPr>
            <w:r>
              <w:rPr>
                <w:rFonts w:cs="Times New Roman"/>
              </w:rPr>
              <w:t>Financiranjem javnih potreba u sportu povećat će se broj kategoriziranih gluhih sportaša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76</w:t>
            </w:r>
          </w:p>
        </w:tc>
        <w:tc>
          <w:tcPr>
            <w:tcW w:w="1020" w:type="dxa"/>
          </w:tcPr>
          <w:p w:rsidR="005C2091" w:rsidRDefault="00A86293">
            <w:pPr>
              <w:pStyle w:val="CellColumn"/>
              <w:jc w:val="right"/>
            </w:pPr>
            <w:r>
              <w:rPr>
                <w:rFonts w:cs="Times New Roman"/>
              </w:rPr>
              <w:t>Hrvatski sportski savez gluhih</w:t>
            </w:r>
          </w:p>
        </w:tc>
        <w:tc>
          <w:tcPr>
            <w:tcW w:w="1020" w:type="dxa"/>
          </w:tcPr>
          <w:p w:rsidR="005C2091" w:rsidRDefault="00A86293">
            <w:pPr>
              <w:pStyle w:val="CellColumn"/>
              <w:jc w:val="right"/>
            </w:pPr>
            <w:r>
              <w:rPr>
                <w:rFonts w:cs="Times New Roman"/>
              </w:rPr>
              <w:t>80</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Povećanje postotka uključenih učenika u školski sport</w:t>
            </w:r>
          </w:p>
        </w:tc>
        <w:tc>
          <w:tcPr>
            <w:tcW w:w="2551" w:type="dxa"/>
          </w:tcPr>
          <w:p w:rsidR="005C2091" w:rsidRDefault="00A86293">
            <w:pPr>
              <w:pStyle w:val="CellColumn"/>
              <w:jc w:val="left"/>
            </w:pPr>
            <w:r>
              <w:rPr>
                <w:rFonts w:cs="Times New Roman"/>
              </w:rPr>
              <w:t>Financiranjem javnih potreba u sportu povećat će se postotak učenika uključenih u sustav školskog sporta</w:t>
            </w:r>
          </w:p>
        </w:tc>
        <w:tc>
          <w:tcPr>
            <w:tcW w:w="1020" w:type="dxa"/>
          </w:tcPr>
          <w:p w:rsidR="005C2091" w:rsidRDefault="00A86293">
            <w:pPr>
              <w:pStyle w:val="CellColumn"/>
              <w:jc w:val="right"/>
            </w:pPr>
            <w:r>
              <w:rPr>
                <w:rFonts w:cs="Times New Roman"/>
              </w:rPr>
              <w:t>Postotak</w:t>
            </w:r>
          </w:p>
        </w:tc>
        <w:tc>
          <w:tcPr>
            <w:tcW w:w="1020" w:type="dxa"/>
          </w:tcPr>
          <w:p w:rsidR="005C2091" w:rsidRDefault="00A86293">
            <w:pPr>
              <w:pStyle w:val="CellColumn"/>
              <w:jc w:val="right"/>
            </w:pPr>
            <w:r>
              <w:rPr>
                <w:rFonts w:cs="Times New Roman"/>
              </w:rPr>
              <w:t>20,5</w:t>
            </w:r>
          </w:p>
        </w:tc>
        <w:tc>
          <w:tcPr>
            <w:tcW w:w="1020" w:type="dxa"/>
          </w:tcPr>
          <w:p w:rsidR="005C2091" w:rsidRDefault="00A86293">
            <w:pPr>
              <w:pStyle w:val="CellColumn"/>
              <w:jc w:val="right"/>
            </w:pPr>
            <w:r>
              <w:rPr>
                <w:rFonts w:cs="Times New Roman"/>
              </w:rPr>
              <w:t>Hrvatski školski sportski savez</w:t>
            </w:r>
          </w:p>
        </w:tc>
        <w:tc>
          <w:tcPr>
            <w:tcW w:w="1020" w:type="dxa"/>
          </w:tcPr>
          <w:p w:rsidR="005C2091" w:rsidRDefault="00A86293">
            <w:pPr>
              <w:pStyle w:val="CellColumn"/>
              <w:jc w:val="right"/>
            </w:pPr>
            <w:r>
              <w:rPr>
                <w:rFonts w:cs="Times New Roman"/>
              </w:rPr>
              <w:t>20,6</w:t>
            </w:r>
          </w:p>
        </w:tc>
        <w:tc>
          <w:tcPr>
            <w:tcW w:w="1020" w:type="dxa"/>
          </w:tcPr>
          <w:p w:rsidR="005C2091" w:rsidRDefault="00A86293">
            <w:pPr>
              <w:pStyle w:val="CellColumn"/>
              <w:jc w:val="right"/>
            </w:pPr>
            <w:r>
              <w:rPr>
                <w:rFonts w:cs="Times New Roman"/>
              </w:rPr>
              <w:t>20,6</w:t>
            </w:r>
          </w:p>
        </w:tc>
      </w:tr>
      <w:tr w:rsidR="005C2091">
        <w:trPr>
          <w:jc w:val="center"/>
        </w:trPr>
        <w:tc>
          <w:tcPr>
            <w:tcW w:w="2551" w:type="dxa"/>
          </w:tcPr>
          <w:p w:rsidR="005C2091" w:rsidRDefault="00A86293">
            <w:pPr>
              <w:pStyle w:val="CellColumn"/>
              <w:jc w:val="left"/>
            </w:pPr>
            <w:r>
              <w:rPr>
                <w:rFonts w:cs="Times New Roman"/>
              </w:rPr>
              <w:t>Povećanje postotka uključenih studenata u studentski sport</w:t>
            </w:r>
          </w:p>
        </w:tc>
        <w:tc>
          <w:tcPr>
            <w:tcW w:w="2551" w:type="dxa"/>
          </w:tcPr>
          <w:p w:rsidR="005C2091" w:rsidRDefault="00A86293">
            <w:pPr>
              <w:pStyle w:val="CellColumn"/>
              <w:jc w:val="left"/>
            </w:pPr>
            <w:r>
              <w:rPr>
                <w:rFonts w:cs="Times New Roman"/>
              </w:rPr>
              <w:t>Financiranjem javnih potreba u sportu povećat će se postotak studenata uključenih u sustav akademskog sporta</w:t>
            </w:r>
          </w:p>
        </w:tc>
        <w:tc>
          <w:tcPr>
            <w:tcW w:w="1020" w:type="dxa"/>
          </w:tcPr>
          <w:p w:rsidR="005C2091" w:rsidRDefault="00A86293">
            <w:pPr>
              <w:pStyle w:val="CellColumn"/>
              <w:jc w:val="right"/>
            </w:pPr>
            <w:r>
              <w:rPr>
                <w:rFonts w:cs="Times New Roman"/>
              </w:rPr>
              <w:t>Postotak</w:t>
            </w:r>
          </w:p>
        </w:tc>
        <w:tc>
          <w:tcPr>
            <w:tcW w:w="1020" w:type="dxa"/>
          </w:tcPr>
          <w:p w:rsidR="005C2091" w:rsidRDefault="00A86293">
            <w:pPr>
              <w:pStyle w:val="CellColumn"/>
              <w:jc w:val="right"/>
            </w:pPr>
            <w:r>
              <w:rPr>
                <w:rFonts w:cs="Times New Roman"/>
              </w:rPr>
              <w:t>12</w:t>
            </w:r>
          </w:p>
        </w:tc>
        <w:tc>
          <w:tcPr>
            <w:tcW w:w="1020" w:type="dxa"/>
          </w:tcPr>
          <w:p w:rsidR="005C2091" w:rsidRDefault="00A86293">
            <w:pPr>
              <w:pStyle w:val="CellColumn"/>
              <w:jc w:val="right"/>
            </w:pPr>
            <w:r>
              <w:rPr>
                <w:rFonts w:cs="Times New Roman"/>
              </w:rPr>
              <w:t>Hrvatski akademski sportski savez</w:t>
            </w:r>
          </w:p>
        </w:tc>
        <w:tc>
          <w:tcPr>
            <w:tcW w:w="1020" w:type="dxa"/>
          </w:tcPr>
          <w:p w:rsidR="005C2091" w:rsidRDefault="00A86293">
            <w:pPr>
              <w:pStyle w:val="CellColumn"/>
              <w:jc w:val="right"/>
            </w:pPr>
            <w:r>
              <w:rPr>
                <w:rFonts w:cs="Times New Roman"/>
              </w:rPr>
              <w:t>12,05</w:t>
            </w:r>
          </w:p>
        </w:tc>
        <w:tc>
          <w:tcPr>
            <w:tcW w:w="1020" w:type="dxa"/>
          </w:tcPr>
          <w:p w:rsidR="005C2091" w:rsidRDefault="00A86293">
            <w:pPr>
              <w:pStyle w:val="CellColumn"/>
              <w:jc w:val="right"/>
            </w:pPr>
            <w:r>
              <w:rPr>
                <w:rFonts w:cs="Times New Roman"/>
              </w:rPr>
              <w:t>12,05</w:t>
            </w:r>
          </w:p>
        </w:tc>
      </w:tr>
    </w:tbl>
    <w:p w:rsidR="005C2091" w:rsidRDefault="005C2091">
      <w:pPr>
        <w:jc w:val="left"/>
      </w:pPr>
    </w:p>
    <w:p w:rsidR="005C2091" w:rsidRDefault="00A86293">
      <w:pPr>
        <w:pStyle w:val="Heading4"/>
      </w:pPr>
      <w:r>
        <w:lastRenderedPageBreak/>
        <w:t>A916003 DRŽAVNE NAGRADE ZA VRHUNSKA SPORTSKA POSTIGNUĆA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A916003-DRŽAVNE NAGRADE ZA VRHUNSKA SPORTSKA POSTIGNUĆA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557.295</w:t>
            </w:r>
          </w:p>
        </w:tc>
        <w:tc>
          <w:tcPr>
            <w:tcW w:w="2041" w:type="dxa"/>
          </w:tcPr>
          <w:p w:rsidR="005C2091" w:rsidRDefault="00A86293">
            <w:pPr>
              <w:pStyle w:val="CellColumn"/>
              <w:jc w:val="right"/>
            </w:pPr>
            <w:r>
              <w:rPr>
                <w:rFonts w:cs="Times New Roman"/>
              </w:rPr>
              <w:t>123.800</w:t>
            </w:r>
          </w:p>
        </w:tc>
        <w:tc>
          <w:tcPr>
            <w:tcW w:w="1224" w:type="dxa"/>
          </w:tcPr>
          <w:p w:rsidR="005C2091" w:rsidRDefault="00A86293">
            <w:pPr>
              <w:pStyle w:val="CellColumn"/>
              <w:jc w:val="right"/>
            </w:pPr>
            <w:r>
              <w:rPr>
                <w:rFonts w:cs="Times New Roman"/>
              </w:rPr>
              <w:t>22,2</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Članak 82. Zakona o sportu </w:t>
      </w:r>
    </w:p>
    <w:p w:rsidR="005C2091" w:rsidRDefault="00A86293">
      <w:r>
        <w:t>Uredba o kriterijima za dodjeljivanje državnih nagrada za vrhunska sportska postignuća</w:t>
      </w:r>
    </w:p>
    <w:p w:rsidR="005C2091" w:rsidRDefault="00A86293">
      <w:pPr>
        <w:pStyle w:val="Heading8"/>
        <w:jc w:val="left"/>
      </w:pPr>
      <w:r>
        <w:t>Opis aktivnosti</w:t>
      </w:r>
    </w:p>
    <w:p w:rsidR="005C2091" w:rsidRDefault="00A86293">
      <w:r>
        <w:t>Državne nagrade dodjeljuju se športašima, športskim ekipama, trenerima i djelatnim stručnim športskim osobama za osvojene zlatne, srebrne i brončane medalje na olimpijskim igrama, paraolimpijskim igrama i olimpijskim igrama gluhih, na svjetskim i europskim seniorskim prvenstvima u olimpijskim i paraolimpijskim športovima i disciplinama te u olimpijskim športovima i disciplinama za gluhe. U 2016. godini dodijeljene su nagrade za 7 zlatnih, 5 srebrnih i 3 brončane medalje osvojene na olimpijskim i paraolimpijskim igrama, 8 zlatnih i 6 srebrnih medalja osvojenih na svjetskim prvenstvima, 22 zlatne, 8 srebrnih i 9 brončanih medalja osvojenih na europskim prvenstvima te za 4 rekorda oborena na seniorskim natjecanjima.</w:t>
      </w:r>
    </w:p>
    <w:p w:rsidR="005C2091" w:rsidRDefault="00A86293">
      <w:pPr>
        <w:pStyle w:val="Heading4"/>
      </w:pPr>
      <w:r>
        <w:t>A916004 POTICANJE MEĐUNARODNE SPORTSKE SURADNJE</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A916004-POTICANJE MEĐUNARODNE SPORTSKE SURADNJE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398.722</w:t>
            </w:r>
          </w:p>
        </w:tc>
        <w:tc>
          <w:tcPr>
            <w:tcW w:w="2041" w:type="dxa"/>
          </w:tcPr>
          <w:p w:rsidR="005C2091" w:rsidRDefault="00A86293">
            <w:pPr>
              <w:pStyle w:val="CellColumn"/>
              <w:jc w:val="right"/>
            </w:pPr>
            <w:r>
              <w:rPr>
                <w:rFonts w:cs="Times New Roman"/>
              </w:rPr>
              <w:t>38.665</w:t>
            </w:r>
          </w:p>
        </w:tc>
        <w:tc>
          <w:tcPr>
            <w:tcW w:w="1224" w:type="dxa"/>
          </w:tcPr>
          <w:p w:rsidR="005C2091" w:rsidRDefault="00A86293">
            <w:pPr>
              <w:pStyle w:val="CellColumn"/>
              <w:jc w:val="right"/>
            </w:pPr>
            <w:r>
              <w:rPr>
                <w:rFonts w:cs="Times New Roman"/>
              </w:rPr>
              <w:t>9,7</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Članak 75. Zakona o sportu </w:t>
      </w:r>
    </w:p>
    <w:p w:rsidR="005C2091" w:rsidRDefault="00A86293">
      <w:r>
        <w:t>Drugi Plan rada Europske unije u području sporta (2014. - 2017.)</w:t>
      </w:r>
    </w:p>
    <w:p w:rsidR="005C2091" w:rsidRDefault="00A86293">
      <w:pPr>
        <w:pStyle w:val="Heading8"/>
        <w:jc w:val="left"/>
      </w:pPr>
      <w:r>
        <w:t>Opis aktivnosti</w:t>
      </w:r>
    </w:p>
    <w:p w:rsidR="005C2091" w:rsidRDefault="00A86293">
      <w:r>
        <w:t>Program se odnosi na financijsku potporu za poticaje međunarodne športske suradnje te sudjelovanje u Programima Europske unije u području sporta (Erasmus+:Sport) kao i programima i projektima Vijeća Europe i EPAS-a.</w:t>
      </w:r>
    </w:p>
    <w:p w:rsidR="005C2091" w:rsidRDefault="00A86293">
      <w:pPr>
        <w:pStyle w:val="Heading4"/>
      </w:pPr>
      <w:r>
        <w:t>A916005 DRŽAVNO PRIZNANJE – TRAJNE NOVČANE NAKNADE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A916005-DRŽAVNO PRIZNANJE – TRAJNE NOVČANE NAKNADE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1.485.570</w:t>
            </w:r>
          </w:p>
        </w:tc>
        <w:tc>
          <w:tcPr>
            <w:tcW w:w="2041" w:type="dxa"/>
          </w:tcPr>
          <w:p w:rsidR="005C2091" w:rsidRDefault="00A86293">
            <w:pPr>
              <w:pStyle w:val="CellColumn"/>
              <w:jc w:val="right"/>
            </w:pPr>
            <w:r>
              <w:rPr>
                <w:rFonts w:cs="Times New Roman"/>
              </w:rPr>
              <w:t>1.481.222</w:t>
            </w:r>
          </w:p>
        </w:tc>
        <w:tc>
          <w:tcPr>
            <w:tcW w:w="1224" w:type="dxa"/>
          </w:tcPr>
          <w:p w:rsidR="005C2091" w:rsidRDefault="00A86293">
            <w:pPr>
              <w:pStyle w:val="CellColumn"/>
              <w:jc w:val="right"/>
            </w:pPr>
            <w:r>
              <w:rPr>
                <w:rFonts w:cs="Times New Roman"/>
              </w:rPr>
              <w:t>99,7</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Članak 82. Zakona o sportu </w:t>
      </w:r>
    </w:p>
    <w:p w:rsidR="005C2091" w:rsidRDefault="00A86293">
      <w:r>
        <w:t>Uredba o dodjeljivanju trajnih novčanih mjesečnih naknada</w:t>
      </w:r>
    </w:p>
    <w:p w:rsidR="005C2091" w:rsidRDefault="00A86293">
      <w:pPr>
        <w:pStyle w:val="Heading8"/>
        <w:jc w:val="left"/>
      </w:pPr>
      <w:r>
        <w:t>Opis aktivnosti</w:t>
      </w:r>
    </w:p>
    <w:p w:rsidR="005C2091" w:rsidRDefault="00A86293">
      <w:r>
        <w:t>SDUŠ je nastavio s isplatom trajnih novčanih mjesečne naknade koje se dodjeljuju športašima kao državno priznanje za poseban doprinos ugledu Republike Hrvatske. U 2016. godini pravo na trajne novčane mjesečne naknade ostvarila su 192 športaša i športašice, od toga 160 koji su osvojili medalje na olimpijskim igrama, paraolimpijskim igrama i olimpijskim igrama gluhih te 32 koji su ostvarili medalje na svjetskim seniorskim prvenstvima u olimpijskim športovima i disciplinama.</w:t>
      </w:r>
    </w:p>
    <w:p w:rsidR="005C2091" w:rsidRDefault="00A86293">
      <w:pPr>
        <w:pStyle w:val="Heading4"/>
      </w:pPr>
      <w:r>
        <w:t>A916007 DRŽAVNA NAGRADA ZA SPORT „FRANJO BUČAR“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A916007-DRŽAVNA NAGRADA ZA SPORT „FRANJO BUČAR“</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440.129</w:t>
            </w:r>
          </w:p>
        </w:tc>
        <w:tc>
          <w:tcPr>
            <w:tcW w:w="2041" w:type="dxa"/>
          </w:tcPr>
          <w:p w:rsidR="005C2091" w:rsidRDefault="00A86293">
            <w:pPr>
              <w:pStyle w:val="CellColumn"/>
              <w:jc w:val="right"/>
            </w:pPr>
            <w:r>
              <w:rPr>
                <w:rFonts w:cs="Times New Roman"/>
              </w:rPr>
              <w:t>365.350</w:t>
            </w:r>
          </w:p>
        </w:tc>
        <w:tc>
          <w:tcPr>
            <w:tcW w:w="1224" w:type="dxa"/>
          </w:tcPr>
          <w:p w:rsidR="005C2091" w:rsidRDefault="00A86293">
            <w:pPr>
              <w:pStyle w:val="CellColumn"/>
              <w:jc w:val="right"/>
            </w:pPr>
            <w:r>
              <w:rPr>
                <w:rFonts w:cs="Times New Roman"/>
              </w:rPr>
              <w:t>83,0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Članak 79., 80. i 81. Zakona o sportu </w:t>
      </w:r>
    </w:p>
    <w:p w:rsidR="005C2091" w:rsidRDefault="00A86293">
      <w:r>
        <w:t>Pravilnik o Državnoj nagradi za sport "Franjo Bučar"</w:t>
      </w:r>
    </w:p>
    <w:p w:rsidR="005C2091" w:rsidRDefault="00A86293">
      <w:pPr>
        <w:pStyle w:val="Heading8"/>
        <w:jc w:val="left"/>
      </w:pPr>
      <w:r>
        <w:t>Opis aktivnosti</w:t>
      </w:r>
    </w:p>
    <w:p w:rsidR="005C2091" w:rsidRDefault="00A86293">
      <w:r>
        <w:t>Državna nagrada za sport „Franjo Bučar“ najviše je priznanje koje Republika Hrvatska dodjeljuje za iznimna postignuća i doprinos od osobitog značenja za razvoj športa u Republici Hrvatskoj. Državna nagrada dodjeljuje se stručnim i javnim djelatnicima u području športa, športašima, pravnim i fizičkim osobama koje obavljaju športsku djelatnost te drugim pravnim i fizičkim osobama zaslužnim za razvoj športa u Republici Hrvatskoj. Odbor Državne nagrade u prosincu 2016. godine donio je Odluku o dobitnicima Državne nagrade za sport "Franjo Bučar" te im je nagrada i isplaćena. Godišnje se može dodijeliti najviše 15 nagrada, od toga tri za životno djelo.</w:t>
      </w:r>
    </w:p>
    <w:p w:rsidR="005C2091" w:rsidRDefault="00A86293">
      <w:pPr>
        <w:pStyle w:val="Heading4"/>
      </w:pPr>
      <w:r>
        <w:t>A916008 PREVENCIJA NASILJA SPORTOM U ŠKOLAMA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A916008-PREVENCIJA NASILJA SPORTOM U ŠKOLAMA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120.781</w:t>
            </w:r>
          </w:p>
        </w:tc>
        <w:tc>
          <w:tcPr>
            <w:tcW w:w="2041" w:type="dxa"/>
          </w:tcPr>
          <w:p w:rsidR="005C2091" w:rsidRDefault="00A86293">
            <w:pPr>
              <w:pStyle w:val="CellColumn"/>
              <w:jc w:val="right"/>
            </w:pPr>
            <w:r>
              <w:rPr>
                <w:rFonts w:cs="Times New Roman"/>
              </w:rPr>
              <w:t>958</w:t>
            </w:r>
          </w:p>
        </w:tc>
        <w:tc>
          <w:tcPr>
            <w:tcW w:w="1224" w:type="dxa"/>
          </w:tcPr>
          <w:p w:rsidR="005C2091" w:rsidRDefault="00A86293">
            <w:pPr>
              <w:pStyle w:val="CellColumn"/>
              <w:jc w:val="right"/>
            </w:pPr>
            <w:r>
              <w:rPr>
                <w:rFonts w:cs="Times New Roman"/>
              </w:rPr>
              <w:t>0,8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sprečavanju nereda na športskim natjecanjima </w:t>
      </w:r>
    </w:p>
    <w:p w:rsidR="005C2091" w:rsidRDefault="00A86293">
      <w:r>
        <w:t>Akcijski plan Stalne komisije Europske konvencije o nasilju gledatelja i nedoličnom ponašanju na sportskim priredbama, posebice nogometnim utakmicama</w:t>
      </w:r>
    </w:p>
    <w:p w:rsidR="005C2091" w:rsidRDefault="00A86293">
      <w:pPr>
        <w:pStyle w:val="Heading8"/>
        <w:jc w:val="left"/>
      </w:pPr>
      <w:r>
        <w:t>Opis aktivnosti</w:t>
      </w:r>
    </w:p>
    <w:p w:rsidR="005C2091" w:rsidRDefault="00A86293">
      <w:r>
        <w:t xml:space="preserve">Programi Prevencije nasilja sportom u školama provodili su tijekom cijele godine u suradnji s Agencijom za odgoj i obrazovanje Republike Hrvatske kroz niz mjera edukacije u borbi protiv nasilja u športu, koji su prilagođeni različitoj dobi učenika.  </w:t>
      </w:r>
    </w:p>
    <w:p w:rsidR="005C2091" w:rsidRDefault="00A86293">
      <w:r>
        <w:t xml:space="preserve">Provedene aktivnosti u 2016. godini:  </w:t>
      </w:r>
    </w:p>
    <w:p w:rsidR="005C2091" w:rsidRDefault="00A86293">
      <w:r>
        <w:t xml:space="preserve">•Održani stručni skupovi voditelja županijskih stručnih vijeća preventivnih programa i tjelesne i zdravstvene kulture – Prevencija nasilnih oblika ponašanja kod mladih  </w:t>
      </w:r>
    </w:p>
    <w:p w:rsidR="005C2091" w:rsidRDefault="00A86293">
      <w:r>
        <w:t>•Završeno istraživanje „Zastupljenost nasilja i nesportskog ponašanja mladih u nogometu na području Grada Zagreba“ u suradnji s Edukacijsko-rehabilitacijskim fakultetom</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Održanje broja održanih stručnih skupova vezanih uz pripremu i provedbu školskih preventivnih programa</w:t>
            </w:r>
          </w:p>
        </w:tc>
        <w:tc>
          <w:tcPr>
            <w:tcW w:w="2551" w:type="dxa"/>
          </w:tcPr>
          <w:p w:rsidR="005C2091" w:rsidRDefault="00A86293">
            <w:pPr>
              <w:pStyle w:val="CellColumn"/>
              <w:jc w:val="left"/>
            </w:pPr>
            <w:r>
              <w:rPr>
                <w:rFonts w:cs="Times New Roman"/>
              </w:rPr>
              <w:t>Provođenje niza mjera edukacije u borbi protiv nasilja u sportu koje su prilagođene različitoj dobi učenika</w:t>
            </w:r>
          </w:p>
        </w:tc>
        <w:tc>
          <w:tcPr>
            <w:tcW w:w="1020" w:type="dxa"/>
          </w:tcPr>
          <w:p w:rsidR="005C2091" w:rsidRDefault="00A86293">
            <w:pPr>
              <w:pStyle w:val="CellColumn"/>
              <w:jc w:val="right"/>
            </w:pPr>
            <w:r>
              <w:rPr>
                <w:rFonts w:cs="Times New Roman"/>
              </w:rPr>
              <w:t>Broj (godišnje)</w:t>
            </w:r>
          </w:p>
        </w:tc>
        <w:tc>
          <w:tcPr>
            <w:tcW w:w="1020" w:type="dxa"/>
          </w:tcPr>
          <w:p w:rsidR="005C2091" w:rsidRDefault="00A86293">
            <w:pPr>
              <w:pStyle w:val="CellColumn"/>
              <w:jc w:val="right"/>
            </w:pPr>
            <w:r>
              <w:rPr>
                <w:rFonts w:cs="Times New Roman"/>
              </w:rPr>
              <w:t>35</w:t>
            </w:r>
          </w:p>
        </w:tc>
        <w:tc>
          <w:tcPr>
            <w:tcW w:w="1020" w:type="dxa"/>
          </w:tcPr>
          <w:p w:rsidR="005C2091" w:rsidRDefault="00A86293">
            <w:pPr>
              <w:pStyle w:val="CellColumn"/>
              <w:jc w:val="right"/>
            </w:pPr>
            <w:r>
              <w:rPr>
                <w:rFonts w:cs="Times New Roman"/>
              </w:rPr>
              <w:t>MZOS, AZOO</w:t>
            </w:r>
          </w:p>
        </w:tc>
        <w:tc>
          <w:tcPr>
            <w:tcW w:w="1020" w:type="dxa"/>
          </w:tcPr>
          <w:p w:rsidR="005C2091" w:rsidRDefault="00A86293">
            <w:pPr>
              <w:pStyle w:val="CellColumn"/>
              <w:jc w:val="right"/>
            </w:pPr>
            <w:r>
              <w:rPr>
                <w:rFonts w:cs="Times New Roman"/>
              </w:rPr>
              <w:t>35</w:t>
            </w:r>
          </w:p>
        </w:tc>
        <w:tc>
          <w:tcPr>
            <w:tcW w:w="1020" w:type="dxa"/>
          </w:tcPr>
          <w:p w:rsidR="005C2091" w:rsidRDefault="00A86293">
            <w:pPr>
              <w:pStyle w:val="CellColumn"/>
              <w:jc w:val="right"/>
            </w:pPr>
            <w:r>
              <w:rPr>
                <w:rFonts w:cs="Times New Roman"/>
              </w:rPr>
              <w:t>35</w:t>
            </w:r>
          </w:p>
        </w:tc>
      </w:tr>
    </w:tbl>
    <w:p w:rsidR="005C2091" w:rsidRDefault="005C2091">
      <w:pPr>
        <w:jc w:val="left"/>
      </w:pPr>
    </w:p>
    <w:p w:rsidR="005C2091" w:rsidRDefault="00A86293">
      <w:pPr>
        <w:pStyle w:val="Heading4"/>
      </w:pPr>
      <w:r>
        <w:t>A916009 NACIONALNO VIJEĆE ZA SPORT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A916009-NACIONALNO VIJEĆE ZA SPORT</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123.000</w:t>
            </w:r>
          </w:p>
        </w:tc>
        <w:tc>
          <w:tcPr>
            <w:tcW w:w="2041" w:type="dxa"/>
          </w:tcPr>
          <w:p w:rsidR="005C2091" w:rsidRDefault="00A86293">
            <w:pPr>
              <w:pStyle w:val="CellColumn"/>
              <w:jc w:val="right"/>
            </w:pPr>
            <w:r>
              <w:rPr>
                <w:rFonts w:cs="Times New Roman"/>
              </w:rPr>
              <w:t>88.602</w:t>
            </w:r>
          </w:p>
        </w:tc>
        <w:tc>
          <w:tcPr>
            <w:tcW w:w="1224" w:type="dxa"/>
          </w:tcPr>
          <w:p w:rsidR="005C2091" w:rsidRDefault="00A86293">
            <w:pPr>
              <w:pStyle w:val="CellColumn"/>
              <w:jc w:val="right"/>
            </w:pPr>
            <w:r>
              <w:rPr>
                <w:rFonts w:cs="Times New Roman"/>
              </w:rPr>
              <w:t>72,0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Članak 3. i 4. Zakona o sportu</w:t>
      </w:r>
    </w:p>
    <w:p w:rsidR="005C2091" w:rsidRDefault="00A86293">
      <w:pPr>
        <w:pStyle w:val="Heading8"/>
        <w:jc w:val="left"/>
      </w:pPr>
      <w:r>
        <w:t>Opis aktivnosti</w:t>
      </w:r>
    </w:p>
    <w:p w:rsidR="005C2091" w:rsidRDefault="00A86293">
      <w:r>
        <w:t>Tijekom 2016. godini Nacionalno vijeće za sport raspravljalo je o pitanjima od značaja za šport te predlagalo i poticalo mjere za unapređenje športa, davalo mišljenje o programima osposobljavanja za stručni rad u športu, davalo mišljenje i preporuke na nacrte prijedloga propisa koji se odnose na šport, davalo prethodno mišljenje o postojanju interesa za prijem u hrvatsko državljanstvo stranim državljanima - fizičkim osobama u sustavu športa.</w:t>
      </w:r>
    </w:p>
    <w:p w:rsidR="005C2091" w:rsidRDefault="00A86293">
      <w:pPr>
        <w:pStyle w:val="Heading4"/>
      </w:pPr>
      <w:r>
        <w:lastRenderedPageBreak/>
        <w:t>A916011 EUROPSKI TJEDAN SPORTA 2016.</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A916011-EUROPSKI TJEDAN SPORTA 2016.</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341.150</w:t>
            </w:r>
          </w:p>
        </w:tc>
        <w:tc>
          <w:tcPr>
            <w:tcW w:w="2041" w:type="dxa"/>
          </w:tcPr>
          <w:p w:rsidR="005C2091" w:rsidRDefault="00A86293">
            <w:pPr>
              <w:pStyle w:val="CellColumn"/>
              <w:jc w:val="right"/>
            </w:pPr>
            <w:r>
              <w:rPr>
                <w:rFonts w:cs="Times New Roman"/>
              </w:rPr>
              <w:t>12.155</w:t>
            </w:r>
          </w:p>
        </w:tc>
        <w:tc>
          <w:tcPr>
            <w:tcW w:w="1224" w:type="dxa"/>
          </w:tcPr>
          <w:p w:rsidR="005C2091" w:rsidRDefault="00A86293">
            <w:pPr>
              <w:pStyle w:val="CellColumn"/>
              <w:jc w:val="right"/>
            </w:pPr>
            <w:r>
              <w:rPr>
                <w:rFonts w:cs="Times New Roman"/>
              </w:rPr>
              <w:t>3,6</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Uredba Europskog parlamenta i Vijeća o osnivanju Erasmus+: programa Unije za obrazovanje, trening, mlade i sport (Uredba (EU) br. 1288/2013 Europskog parlamenta i Vijeća od 11. prosinca 2013.)</w:t>
      </w:r>
    </w:p>
    <w:p w:rsidR="005C2091" w:rsidRDefault="00A86293">
      <w:pPr>
        <w:pStyle w:val="Heading8"/>
        <w:jc w:val="left"/>
      </w:pPr>
      <w:r>
        <w:t>Opis aktivnosti</w:t>
      </w:r>
    </w:p>
    <w:p w:rsidR="005C2091" w:rsidRDefault="00A86293">
      <w:r>
        <w:t xml:space="preserve">Trajanje Europskog tjedna sporta EWoS-a predviđeno je svake godine u narednih pet godina te je za tu potrebu otvoren Tekući projekt na kojemu su sredstva od 20% koja se sufinanciraju iz DP-a (izvor 11) te sredstva od 80% od EU komisije (izvor 53).  </w:t>
      </w:r>
    </w:p>
    <w:p w:rsidR="005C2091" w:rsidRDefault="00A86293">
      <w:r>
        <w:t>U sklopu programa Erasmus+ Sport, tijekom godine organiziran je nacionalni event Be CROActive s ciljevima podizanja svijesti o važnosti fizičke aktivnosti u svakodnevnom životu te je održano niz aktivnosti u sklopu Europskog tjedan sporta sukladno Akcijskom planu i prijavljenom budžetu.</w:t>
      </w:r>
    </w:p>
    <w:p w:rsidR="005C2091" w:rsidRDefault="00A86293">
      <w:pPr>
        <w:pStyle w:val="Heading4"/>
      </w:pPr>
      <w:r>
        <w:t>A916012 ADMINISTRACIJA I UPRAVLJANJE SREDIŠNJEG DRŽAVNOG UREDA ZA ŠPORT</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A916012-ADMINISTRACIJA I UPRAVLJANJE SREDIŠNJEG DRŽAVNOG UREDA ZA ŠPORT</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382.178</w:t>
            </w:r>
          </w:p>
        </w:tc>
        <w:tc>
          <w:tcPr>
            <w:tcW w:w="2041" w:type="dxa"/>
          </w:tcPr>
          <w:p w:rsidR="005C2091" w:rsidRDefault="00A86293">
            <w:pPr>
              <w:pStyle w:val="CellColumn"/>
              <w:jc w:val="right"/>
            </w:pPr>
            <w:r>
              <w:rPr>
                <w:rFonts w:cs="Times New Roman"/>
              </w:rPr>
              <w:t>350.403</w:t>
            </w:r>
          </w:p>
        </w:tc>
        <w:tc>
          <w:tcPr>
            <w:tcW w:w="1224" w:type="dxa"/>
          </w:tcPr>
          <w:p w:rsidR="005C2091" w:rsidRDefault="00A86293">
            <w:pPr>
              <w:pStyle w:val="CellColumn"/>
              <w:jc w:val="right"/>
            </w:pPr>
            <w:r>
              <w:rPr>
                <w:rFonts w:cs="Times New Roman"/>
              </w:rPr>
              <w:t>91,7</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Članak 39. i 42. Zakona o ustrojstvu i djelokrugu ministarstava i drugih tijela državne uprave</w:t>
      </w:r>
    </w:p>
    <w:p w:rsidR="005C2091" w:rsidRDefault="00A86293">
      <w:pPr>
        <w:pStyle w:val="Heading8"/>
        <w:jc w:val="left"/>
      </w:pPr>
      <w:r>
        <w:t>Opis aktivnosti</w:t>
      </w:r>
    </w:p>
    <w:p w:rsidR="005C2091" w:rsidRDefault="00A86293">
      <w:r>
        <w:t>U sklopu aktivnosti u 2016. godini sredstva su utrošena za plaće i ostale rashode za zaposlenike (materijalna prava te prijevoz na posao i s posla) te osnovni materijalni troškovi (hladni pogon) odvijanja redovitog poslovanja Središnjeg državnog ureda za šport.</w:t>
      </w:r>
    </w:p>
    <w:p w:rsidR="005C2091" w:rsidRDefault="00A86293">
      <w:pPr>
        <w:pStyle w:val="Heading4"/>
      </w:pPr>
      <w:r>
        <w:t>A916013 EUROPSKO PRVENSTVO U RUKOMETU 2018.</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A916013-EUROPSKO PRVENSTVO U RUKOMETU 2018.</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8.000.000</w:t>
            </w:r>
          </w:p>
        </w:tc>
        <w:tc>
          <w:tcPr>
            <w:tcW w:w="2041" w:type="dxa"/>
          </w:tcPr>
          <w:p w:rsidR="005C2091" w:rsidRDefault="00A86293">
            <w:pPr>
              <w:pStyle w:val="CellColumn"/>
              <w:jc w:val="right"/>
            </w:pPr>
            <w:r>
              <w:rPr>
                <w:rFonts w:cs="Times New Roman"/>
              </w:rPr>
              <w:t>8.000.000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Članak 75. stavak 1. točka 4. Zakona o sportu</w:t>
      </w:r>
    </w:p>
    <w:p w:rsidR="005C2091" w:rsidRDefault="00A86293">
      <w:pPr>
        <w:pStyle w:val="Heading8"/>
        <w:jc w:val="left"/>
      </w:pPr>
      <w:r>
        <w:t>Opis aktivnosti</w:t>
      </w:r>
    </w:p>
    <w:p w:rsidR="005C2091" w:rsidRDefault="00A86293">
      <w:r>
        <w:t>Hrvatskom rukometnom savezu dodijeljeno je domaćinstvo za organizaciju Europskog rukometnog prvenstva za muškarce 2018. (Men's EHF EURO 2018). Men's EHF EURO 2018 održavat će se u Republici Hrvatskoj od 12. do 28. siječnja 2018. godine u 4 hrvatska grada domaćina. Sukladno odredbama Ugovora o sufinanciranju, SDUŠ je u 2016. godini  Hrvatskom rukometnom savezu dostavio prvu ratu sredstava za troškove organizacije.</w:t>
      </w:r>
    </w:p>
    <w:p w:rsidR="005C2091" w:rsidRDefault="00A86293">
      <w:pPr>
        <w:pStyle w:val="Heading4"/>
      </w:pPr>
      <w:r>
        <w:t>T916010 PREOBLIKOVANJE SPORTSKIH KLUBOVA – UDRUGA</w:t>
      </w:r>
    </w:p>
    <w:tbl>
      <w:tblPr>
        <w:tblStyle w:val="StilTablice"/>
        <w:tblW w:w="10206" w:type="dxa"/>
        <w:jc w:val="center"/>
        <w:tblLook w:val="04A0" w:firstRow="1" w:lastRow="0" w:firstColumn="1" w:lastColumn="0" w:noHBand="0" w:noVBand="1"/>
      </w:tblPr>
      <w:tblGrid>
        <w:gridCol w:w="1870"/>
        <w:gridCol w:w="1974"/>
        <w:gridCol w:w="1964"/>
        <w:gridCol w:w="1974"/>
        <w:gridCol w:w="1209"/>
        <w:gridCol w:w="1215"/>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T916010-PREOBLIKOVANJE SPORTSKIH KLUBOVA – UDRUGA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53.316</w:t>
            </w:r>
          </w:p>
        </w:tc>
        <w:tc>
          <w:tcPr>
            <w:tcW w:w="2041" w:type="dxa"/>
          </w:tcPr>
          <w:p w:rsidR="005C2091" w:rsidRDefault="00A86293">
            <w:pPr>
              <w:pStyle w:val="CellColumn"/>
              <w:jc w:val="right"/>
            </w:pPr>
            <w:r>
              <w:rPr>
                <w:rFonts w:cs="Times New Roman"/>
              </w:rPr>
              <w:t>42.005</w:t>
            </w:r>
          </w:p>
        </w:tc>
        <w:tc>
          <w:tcPr>
            <w:tcW w:w="1224" w:type="dxa"/>
          </w:tcPr>
          <w:p w:rsidR="005C2091" w:rsidRDefault="00A86293">
            <w:pPr>
              <w:pStyle w:val="CellColumn"/>
              <w:jc w:val="right"/>
            </w:pPr>
            <w:r>
              <w:rPr>
                <w:rFonts w:cs="Times New Roman"/>
              </w:rPr>
              <w:t>78,8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Članak 24., 26. i 28. do 45. Zakona o sportu  </w:t>
      </w:r>
    </w:p>
    <w:p w:rsidR="005C2091" w:rsidRDefault="00A86293">
      <w:r>
        <w:t xml:space="preserve">Pravilnik o djelokrugu i načinu rada Povjerenstva za profesionalne sportske klubove </w:t>
      </w:r>
    </w:p>
    <w:p w:rsidR="005C2091" w:rsidRDefault="00A86293">
      <w:r>
        <w:t>Pravilnik o načinu i rokovima podnošenja akata Povjerenstvu za profesionalne sportske klubove Pravilnik o Registru profesionalnih sportskih klubova</w:t>
      </w:r>
    </w:p>
    <w:p w:rsidR="005C2091" w:rsidRDefault="00A86293">
      <w:pPr>
        <w:pStyle w:val="Heading8"/>
        <w:jc w:val="left"/>
      </w:pPr>
      <w:r>
        <w:t>Opis aktivnosti</w:t>
      </w:r>
    </w:p>
    <w:p w:rsidR="005C2091" w:rsidRDefault="00A86293">
      <w:r>
        <w:t>Zakonom o sportu predviđeno je preoblikovanje sportskih klubova – udruga za natjecanje u sportska dionička društva (s.d.d.). Profesionalni sportski klub obvezno se upisuje u Registar profesionalnih sportskih klubova koji vodi Ministarstvo znanosti, obrazovanja i sporta. Obavljanje djelatnosti profesionalnih sportskih klubova u 2016. godini kao stručno tijelo u 2016. godini pratilo je Povjerenstvo za profesionalne sportske klubove.</w:t>
      </w:r>
    </w:p>
    <w:p w:rsidR="005C5C4B" w:rsidRDefault="005C5C4B"/>
    <w:p w:rsidR="005C5C4B" w:rsidRDefault="005C5C4B">
      <w:pPr>
        <w:overflowPunct/>
        <w:autoSpaceDE/>
        <w:autoSpaceDN/>
        <w:adjustRightInd/>
        <w:spacing w:after="200" w:line="276" w:lineRule="auto"/>
        <w:jc w:val="left"/>
        <w:textAlignment w:val="auto"/>
        <w:rPr>
          <w:b/>
          <w:spacing w:val="20"/>
          <w:sz w:val="32"/>
          <w:szCs w:val="32"/>
        </w:rPr>
      </w:pPr>
      <w:r>
        <w:br w:type="page"/>
      </w:r>
    </w:p>
    <w:p w:rsidR="005C2091" w:rsidRDefault="00A86293">
      <w:pPr>
        <w:pStyle w:val="Heading1"/>
      </w:pPr>
      <w:r>
        <w:lastRenderedPageBreak/>
        <w:t>040 MINISTARSTVO UNUTARNJIH POSLOVA</w:t>
      </w:r>
    </w:p>
    <w:p w:rsidR="005C2091" w:rsidRDefault="00A86293">
      <w:r>
        <w:t>Ministarstvo unutarnjih poslova obavlja poslove održavanja javnog reda i sigurnosti (policijski poslovi), upravne poslove (prijavništvo građana; državljanstvo; registri stranaca i azilanata; registri vozila i vozača; registri oružja i vlasnika), inspekcijske poslove (zaštita od požara, promet eksplozijskih tvari; zaštitarska i detektivska djelatnost), provodi stručno nadgledanje i provjeru stanja protueksplozijske zaštite u postrojenjima. Obavlja upravne i stručne poslove koji se odnose na uspostavu sustava zaštite i spašavanja građana, materijalnih dobara i drugih resursa u velikim nesrećama i katastrofama. Također obavlja i poslove protuminske djelatnosti. Povećanje izvršenja ukupnog financijskog plana u odnosu na 2015.g. na glavi 05 Ministarstvo unutarnjih poslova je zbog završetka Schengenskog instrumenta u sklopu kojeg su izvršena najveća plaćanja od početka provedbe istog. Na ostalim Glavama je izvršenje u 2016. manje u odnosu na 2015. godinu.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04005-Ministarstvo unutarnjih poslova</w:t>
            </w:r>
          </w:p>
        </w:tc>
        <w:tc>
          <w:tcPr>
            <w:tcW w:w="2041" w:type="dxa"/>
            <w:vAlign w:val="top"/>
          </w:tcPr>
          <w:p w:rsidR="005C2091" w:rsidRDefault="00A86293">
            <w:pPr>
              <w:pStyle w:val="CellColumn"/>
              <w:jc w:val="right"/>
            </w:pPr>
            <w:r>
              <w:rPr>
                <w:rFonts w:cs="Times New Roman"/>
              </w:rPr>
              <w:t>4.249.527.666</w:t>
            </w:r>
          </w:p>
        </w:tc>
        <w:tc>
          <w:tcPr>
            <w:tcW w:w="2041" w:type="dxa"/>
            <w:vAlign w:val="top"/>
          </w:tcPr>
          <w:p w:rsidR="005C2091" w:rsidRDefault="00A86293">
            <w:pPr>
              <w:pStyle w:val="CellColumn"/>
              <w:jc w:val="right"/>
            </w:pPr>
            <w:r>
              <w:rPr>
                <w:rFonts w:cs="Times New Roman"/>
              </w:rPr>
              <w:t>4.811.748.696</w:t>
            </w:r>
          </w:p>
        </w:tc>
        <w:tc>
          <w:tcPr>
            <w:tcW w:w="2041" w:type="dxa"/>
            <w:vAlign w:val="top"/>
          </w:tcPr>
          <w:p w:rsidR="005C2091" w:rsidRDefault="00A86293">
            <w:pPr>
              <w:pStyle w:val="CellColumn"/>
              <w:jc w:val="right"/>
            </w:pPr>
            <w:r>
              <w:rPr>
                <w:rFonts w:cs="Times New Roman"/>
              </w:rPr>
              <w:t>4.737.941.611</w:t>
            </w:r>
          </w:p>
        </w:tc>
        <w:tc>
          <w:tcPr>
            <w:tcW w:w="1224" w:type="dxa"/>
            <w:vAlign w:val="top"/>
          </w:tcPr>
          <w:p w:rsidR="005C2091" w:rsidRDefault="00A86293">
            <w:pPr>
              <w:pStyle w:val="CellColumn"/>
              <w:jc w:val="right"/>
            </w:pPr>
            <w:r>
              <w:rPr>
                <w:rFonts w:cs="Times New Roman"/>
              </w:rPr>
              <w:t>98,5</w:t>
            </w:r>
          </w:p>
        </w:tc>
        <w:tc>
          <w:tcPr>
            <w:tcW w:w="1224" w:type="dxa"/>
            <w:vAlign w:val="top"/>
          </w:tcPr>
          <w:p w:rsidR="005C2091" w:rsidRDefault="00A86293">
            <w:pPr>
              <w:pStyle w:val="CellColumn"/>
              <w:jc w:val="right"/>
            </w:pPr>
            <w:r>
              <w:rPr>
                <w:rFonts w:cs="Times New Roman"/>
              </w:rPr>
              <w:t>111,5</w:t>
            </w:r>
          </w:p>
        </w:tc>
      </w:tr>
      <w:tr w:rsidR="005C2091">
        <w:trPr>
          <w:jc w:val="center"/>
        </w:trPr>
        <w:tc>
          <w:tcPr>
            <w:tcW w:w="1632" w:type="dxa"/>
            <w:vAlign w:val="top"/>
          </w:tcPr>
          <w:p w:rsidR="005C2091" w:rsidRDefault="00A86293">
            <w:pPr>
              <w:pStyle w:val="CellColumn"/>
              <w:jc w:val="left"/>
            </w:pPr>
            <w:r>
              <w:rPr>
                <w:rFonts w:cs="Times New Roman"/>
              </w:rPr>
              <w:t>04030-Proračunski korisnici u funkciji zaštite i spašavanja</w:t>
            </w:r>
          </w:p>
        </w:tc>
        <w:tc>
          <w:tcPr>
            <w:tcW w:w="2041" w:type="dxa"/>
            <w:vAlign w:val="top"/>
          </w:tcPr>
          <w:p w:rsidR="005C2091" w:rsidRDefault="00A86293">
            <w:pPr>
              <w:pStyle w:val="CellColumn"/>
              <w:jc w:val="right"/>
            </w:pPr>
            <w:r>
              <w:rPr>
                <w:rFonts w:cs="Times New Roman"/>
              </w:rPr>
              <w:t>175.336.253</w:t>
            </w:r>
          </w:p>
        </w:tc>
        <w:tc>
          <w:tcPr>
            <w:tcW w:w="2041" w:type="dxa"/>
            <w:vAlign w:val="top"/>
          </w:tcPr>
          <w:p w:rsidR="005C2091" w:rsidRDefault="00A86293">
            <w:pPr>
              <w:pStyle w:val="CellColumn"/>
              <w:jc w:val="right"/>
            </w:pPr>
            <w:r>
              <w:rPr>
                <w:rFonts w:cs="Times New Roman"/>
              </w:rPr>
              <w:t>166.049.000</w:t>
            </w:r>
          </w:p>
        </w:tc>
        <w:tc>
          <w:tcPr>
            <w:tcW w:w="2041" w:type="dxa"/>
            <w:vAlign w:val="top"/>
          </w:tcPr>
          <w:p w:rsidR="005C2091" w:rsidRDefault="00A86293">
            <w:pPr>
              <w:pStyle w:val="CellColumn"/>
              <w:jc w:val="right"/>
            </w:pPr>
            <w:r>
              <w:rPr>
                <w:rFonts w:cs="Times New Roman"/>
              </w:rPr>
              <w:t>159.727.158</w:t>
            </w:r>
          </w:p>
        </w:tc>
        <w:tc>
          <w:tcPr>
            <w:tcW w:w="1224" w:type="dxa"/>
            <w:vAlign w:val="top"/>
          </w:tcPr>
          <w:p w:rsidR="005C2091" w:rsidRDefault="00A86293">
            <w:pPr>
              <w:pStyle w:val="CellColumn"/>
              <w:jc w:val="right"/>
            </w:pPr>
            <w:r>
              <w:rPr>
                <w:rFonts w:cs="Times New Roman"/>
              </w:rPr>
              <w:t>96,2</w:t>
            </w:r>
          </w:p>
        </w:tc>
        <w:tc>
          <w:tcPr>
            <w:tcW w:w="1224" w:type="dxa"/>
            <w:vAlign w:val="top"/>
          </w:tcPr>
          <w:p w:rsidR="005C2091" w:rsidRDefault="00A86293">
            <w:pPr>
              <w:pStyle w:val="CellColumn"/>
              <w:jc w:val="right"/>
            </w:pPr>
            <w:r>
              <w:rPr>
                <w:rFonts w:cs="Times New Roman"/>
              </w:rPr>
              <w:t>91,1</w:t>
            </w:r>
          </w:p>
        </w:tc>
      </w:tr>
      <w:tr w:rsidR="005C2091">
        <w:trPr>
          <w:jc w:val="center"/>
        </w:trPr>
        <w:tc>
          <w:tcPr>
            <w:tcW w:w="1632" w:type="dxa"/>
            <w:vAlign w:val="top"/>
          </w:tcPr>
          <w:p w:rsidR="005C2091" w:rsidRDefault="00A86293">
            <w:pPr>
              <w:pStyle w:val="CellColumn"/>
              <w:jc w:val="left"/>
            </w:pPr>
            <w:r>
              <w:rPr>
                <w:rFonts w:cs="Times New Roman"/>
              </w:rPr>
              <w:t>04035-Hrvatski centar za razminiranje</w:t>
            </w:r>
          </w:p>
        </w:tc>
        <w:tc>
          <w:tcPr>
            <w:tcW w:w="2041" w:type="dxa"/>
            <w:vAlign w:val="top"/>
          </w:tcPr>
          <w:p w:rsidR="005C2091" w:rsidRDefault="00A86293">
            <w:pPr>
              <w:pStyle w:val="CellColumn"/>
              <w:jc w:val="right"/>
            </w:pPr>
            <w:r>
              <w:rPr>
                <w:rFonts w:cs="Times New Roman"/>
              </w:rPr>
              <w:t>244.096.801</w:t>
            </w:r>
          </w:p>
        </w:tc>
        <w:tc>
          <w:tcPr>
            <w:tcW w:w="2041" w:type="dxa"/>
            <w:vAlign w:val="top"/>
          </w:tcPr>
          <w:p w:rsidR="005C2091" w:rsidRDefault="00A86293">
            <w:pPr>
              <w:pStyle w:val="CellColumn"/>
              <w:jc w:val="right"/>
            </w:pPr>
            <w:r>
              <w:rPr>
                <w:rFonts w:cs="Times New Roman"/>
              </w:rPr>
              <w:t>208.731.000</w:t>
            </w:r>
          </w:p>
        </w:tc>
        <w:tc>
          <w:tcPr>
            <w:tcW w:w="2041" w:type="dxa"/>
            <w:vAlign w:val="top"/>
          </w:tcPr>
          <w:p w:rsidR="005C2091" w:rsidRDefault="00A86293">
            <w:pPr>
              <w:pStyle w:val="CellColumn"/>
              <w:jc w:val="right"/>
            </w:pPr>
            <w:r>
              <w:rPr>
                <w:rFonts w:cs="Times New Roman"/>
              </w:rPr>
              <w:t>193.430.916</w:t>
            </w:r>
          </w:p>
        </w:tc>
        <w:tc>
          <w:tcPr>
            <w:tcW w:w="1224" w:type="dxa"/>
            <w:vAlign w:val="top"/>
          </w:tcPr>
          <w:p w:rsidR="005C2091" w:rsidRDefault="00A86293">
            <w:pPr>
              <w:pStyle w:val="CellColumn"/>
              <w:jc w:val="right"/>
            </w:pPr>
            <w:r>
              <w:rPr>
                <w:rFonts w:cs="Times New Roman"/>
              </w:rPr>
              <w:t>92,7</w:t>
            </w:r>
          </w:p>
        </w:tc>
        <w:tc>
          <w:tcPr>
            <w:tcW w:w="1224" w:type="dxa"/>
            <w:vAlign w:val="top"/>
          </w:tcPr>
          <w:p w:rsidR="005C2091" w:rsidRDefault="00A86293">
            <w:pPr>
              <w:pStyle w:val="CellColumn"/>
              <w:jc w:val="right"/>
            </w:pPr>
            <w:r>
              <w:rPr>
                <w:rFonts w:cs="Times New Roman"/>
              </w:rPr>
              <w:t>79,2</w:t>
            </w:r>
          </w:p>
        </w:tc>
      </w:tr>
      <w:tr w:rsidR="005C2091">
        <w:trPr>
          <w:jc w:val="center"/>
        </w:trPr>
        <w:tc>
          <w:tcPr>
            <w:tcW w:w="1632" w:type="dxa"/>
            <w:vAlign w:val="top"/>
          </w:tcPr>
          <w:p w:rsidR="005C2091" w:rsidRDefault="00A86293">
            <w:pPr>
              <w:pStyle w:val="CellColumn"/>
              <w:jc w:val="left"/>
            </w:pPr>
            <w:r>
              <w:rPr>
                <w:rFonts w:cs="Times New Roman"/>
              </w:rPr>
              <w:t>04040-Agencija za prostore ugrožene eksplozivnom atmosferom</w:t>
            </w:r>
          </w:p>
        </w:tc>
        <w:tc>
          <w:tcPr>
            <w:tcW w:w="2041" w:type="dxa"/>
            <w:vAlign w:val="top"/>
          </w:tcPr>
          <w:p w:rsidR="005C2091" w:rsidRDefault="00A86293">
            <w:pPr>
              <w:pStyle w:val="CellColumn"/>
              <w:jc w:val="right"/>
            </w:pPr>
            <w:r>
              <w:rPr>
                <w:rFonts w:cs="Times New Roman"/>
              </w:rPr>
              <w:t>16.137.761</w:t>
            </w:r>
          </w:p>
        </w:tc>
        <w:tc>
          <w:tcPr>
            <w:tcW w:w="2041" w:type="dxa"/>
            <w:vAlign w:val="top"/>
          </w:tcPr>
          <w:p w:rsidR="005C2091" w:rsidRDefault="00A86293">
            <w:pPr>
              <w:pStyle w:val="CellColumn"/>
              <w:jc w:val="right"/>
            </w:pPr>
            <w:r>
              <w:rPr>
                <w:rFonts w:cs="Times New Roman"/>
              </w:rPr>
              <w:t>16.662.600</w:t>
            </w:r>
          </w:p>
        </w:tc>
        <w:tc>
          <w:tcPr>
            <w:tcW w:w="2041" w:type="dxa"/>
            <w:vAlign w:val="top"/>
          </w:tcPr>
          <w:p w:rsidR="005C2091" w:rsidRDefault="00A86293">
            <w:pPr>
              <w:pStyle w:val="CellColumn"/>
              <w:jc w:val="right"/>
            </w:pPr>
            <w:r>
              <w:rPr>
                <w:rFonts w:cs="Times New Roman"/>
              </w:rPr>
              <w:t>15.753.376</w:t>
            </w:r>
          </w:p>
        </w:tc>
        <w:tc>
          <w:tcPr>
            <w:tcW w:w="1224" w:type="dxa"/>
            <w:vAlign w:val="top"/>
          </w:tcPr>
          <w:p w:rsidR="005C2091" w:rsidRDefault="00A86293">
            <w:pPr>
              <w:pStyle w:val="CellColumn"/>
              <w:jc w:val="right"/>
            </w:pPr>
            <w:r>
              <w:rPr>
                <w:rFonts w:cs="Times New Roman"/>
              </w:rPr>
              <w:t>94,5</w:t>
            </w:r>
          </w:p>
        </w:tc>
        <w:tc>
          <w:tcPr>
            <w:tcW w:w="1224" w:type="dxa"/>
            <w:vAlign w:val="top"/>
          </w:tcPr>
          <w:p w:rsidR="005C2091" w:rsidRDefault="00A86293">
            <w:pPr>
              <w:pStyle w:val="CellColumn"/>
              <w:jc w:val="right"/>
            </w:pPr>
            <w:r>
              <w:rPr>
                <w:rFonts w:cs="Times New Roman"/>
              </w:rPr>
              <w:t>97,6</w:t>
            </w:r>
          </w:p>
        </w:tc>
      </w:tr>
      <w:tr w:rsidR="005C2091">
        <w:trPr>
          <w:jc w:val="center"/>
        </w:trPr>
        <w:tc>
          <w:tcPr>
            <w:tcW w:w="1632" w:type="dxa"/>
            <w:shd w:val="clear" w:color="auto" w:fill="B5C0D8"/>
          </w:tcPr>
          <w:p w:rsidR="005C2091" w:rsidRDefault="00A86293">
            <w:pPr>
              <w:pStyle w:val="CellColumn"/>
              <w:jc w:val="left"/>
            </w:pPr>
            <w:r>
              <w:rPr>
                <w:rFonts w:cs="Times New Roman"/>
              </w:rPr>
              <w:t>Ukupno 040-MINISTARSTVO UNUTARNJIH POSLOVA</w:t>
            </w:r>
          </w:p>
        </w:tc>
        <w:tc>
          <w:tcPr>
            <w:tcW w:w="2041" w:type="dxa"/>
            <w:shd w:val="clear" w:color="auto" w:fill="B5C0D8"/>
          </w:tcPr>
          <w:p w:rsidR="005C2091" w:rsidRDefault="00A86293">
            <w:pPr>
              <w:pStyle w:val="CellColumn"/>
              <w:jc w:val="right"/>
            </w:pPr>
            <w:r>
              <w:rPr>
                <w:rFonts w:cs="Times New Roman"/>
              </w:rPr>
              <w:t>4.685.098.481</w:t>
            </w:r>
          </w:p>
        </w:tc>
        <w:tc>
          <w:tcPr>
            <w:tcW w:w="2041" w:type="dxa"/>
            <w:shd w:val="clear" w:color="auto" w:fill="B5C0D8"/>
          </w:tcPr>
          <w:p w:rsidR="005C2091" w:rsidRDefault="00A86293">
            <w:pPr>
              <w:pStyle w:val="CellColumn"/>
              <w:jc w:val="right"/>
            </w:pPr>
            <w:r>
              <w:rPr>
                <w:rFonts w:cs="Times New Roman"/>
              </w:rPr>
              <w:t>5.203.191.296</w:t>
            </w:r>
          </w:p>
        </w:tc>
        <w:tc>
          <w:tcPr>
            <w:tcW w:w="2041" w:type="dxa"/>
            <w:shd w:val="clear" w:color="auto" w:fill="B5C0D8"/>
          </w:tcPr>
          <w:p w:rsidR="005C2091" w:rsidRDefault="00A86293">
            <w:pPr>
              <w:pStyle w:val="CellColumn"/>
              <w:jc w:val="right"/>
            </w:pPr>
            <w:r>
              <w:rPr>
                <w:rFonts w:cs="Times New Roman"/>
              </w:rPr>
              <w:t>5.106.853.060</w:t>
            </w:r>
          </w:p>
        </w:tc>
        <w:tc>
          <w:tcPr>
            <w:tcW w:w="1224" w:type="dxa"/>
            <w:shd w:val="clear" w:color="auto" w:fill="B5C0D8"/>
          </w:tcPr>
          <w:p w:rsidR="005C2091" w:rsidRDefault="00A86293">
            <w:pPr>
              <w:pStyle w:val="CellColumn"/>
              <w:jc w:val="right"/>
            </w:pPr>
            <w:r>
              <w:rPr>
                <w:rFonts w:cs="Times New Roman"/>
              </w:rPr>
              <w:t>98,1</w:t>
            </w:r>
          </w:p>
        </w:tc>
        <w:tc>
          <w:tcPr>
            <w:tcW w:w="1224" w:type="dxa"/>
            <w:shd w:val="clear" w:color="auto" w:fill="B5C0D8"/>
          </w:tcPr>
          <w:p w:rsidR="005C2091" w:rsidRDefault="00A86293">
            <w:pPr>
              <w:pStyle w:val="CellColumn"/>
              <w:jc w:val="right"/>
            </w:pPr>
            <w:r>
              <w:rPr>
                <w:rFonts w:cs="Times New Roman"/>
              </w:rPr>
              <w:t>109,0</w:t>
            </w:r>
          </w:p>
        </w:tc>
      </w:tr>
    </w:tbl>
    <w:p w:rsidR="005C2091" w:rsidRDefault="005C2091">
      <w:pPr>
        <w:jc w:val="left"/>
      </w:pPr>
    </w:p>
    <w:p w:rsidR="005C2091" w:rsidRDefault="00A86293">
      <w:pPr>
        <w:pStyle w:val="Heading2"/>
      </w:pPr>
      <w:r>
        <w:t>04005 Ministarstvo unutarnjih poslova</w:t>
      </w:r>
    </w:p>
    <w:p w:rsidR="005C2091" w:rsidRDefault="00A86293">
      <w:r>
        <w:t xml:space="preserve">Ukupni planirani rashodi za 2016. godinu iznose 4.811.748.696 kn, a financirani su iz Izvora 11 - Opći prihodi i primici u iznosu od 4.082.818.696 kn, Izvora 12 - Sredstva učešća za pomoći u iznosu od 8.172.000 kn, Izvora 31 - Vlastiti prihodi u iznosu od 23.300.000 kn, Izvora 43 - Ostali prihodi za posebne namjene u iznosu od 60.000.000 kn, Izvora 51 - Pomoći EU u iznosu od 63.693.000 kn, Izvora 52 - Ostale pomoći u iznosu od 2.060.000 kn, Izvora 571 Program Schengen u iznosu od 510.154.000 kn, Izvora 575 - Fondovi za unutarnje poslove u iznosu od 11.506.000 kn i Izvora 61 Donacije u iznosu od 45.000 kn. Izvršenje plana za 2016. godinu je bilo 98,47%. Ministarstvo unutarnjih poslova u svom proračunu ima evidentirana dva programa i to: 2601 Javni red, sigurnost i upravni poslovi i 2602 Upravljanje državnim granicama. Gledajući izvršenje plana za 2016. godinu po Izvorima financiranja vidljivo je da seu sve aktivnosti i projekti na Izvoru 11 izvršene sa 99,86 %, izvršenje na Izvoru 12 je 52,43% zbog nemogućnosti utjecanja na proces ugovaranja i realizacije EU projekata. Na pojedinim EU projektima je prema planu i informacijama od Središnje agencije za financiranje i ugovaranje programa i projekata Europske unije trebalo biti izvšreno plaćanje u 2016. godini a nije, već je prolongirano za 2017. godinu. Izvor 31 je izvršen 89,82% zbog toga što je bilo toliko uplaćenih prihoda. Na Izvoru 41 Prihodi od igara na sreću je izvršenje bilo u iznosu od 769.624 kn što se odnosi na za pokriće dijela troškova proizašlih iz Akcije zbrinjavanja izbjeglica za što nam je Minstarstvo financija stavilo na raspolaganje 1.000.000 kn, temeljem Uredbe o dopuni Uredbe o kriterijima </w:t>
      </w:r>
      <w:r>
        <w:lastRenderedPageBreak/>
        <w:t>za utvrđivanje korisnika i načinu raspodjele dijela prihoda od igara na sreću za 2015. godinu (NN 119/15 od 30. listopada 2015.) i za što prema uputi Ministarsva financija nismo mogli planirati financijska sredstva. Izvor 43 je izvršen u iznosu 99,75%, Izvor 51 izvršen je 52,86% iz istog razloga kao i kod Izvora 12. Na Izvoru 52 izvršenje je 108,94% gdje ostvarenje ovisi o iznosu uplaćenih sredstava, a radi se o tekućim i kapitalnim pomoćima iz proračuna gradova, općina i županija, kao i o stručnom osposobljavanju za što MUP dobiva financijska sredstva od HZZO-a za uplatu doprinosa. Na Izvoru 571 Schengenski instrument izvršenje je 103,35% gdje je ostvarenje povezano sa uplaćenim EU sredstvima. Na Izvoru 572 Fondovi za izbjeglice i povratak izvršenje je bilo u iznosu od 12.769 kn što se odnosi na izvršenje plaćanja za intelektualne usluge - naknade za rad djelatnice u Samostalnom sektoru za Schengensku koordinaciju i projekte Europske unije koja je radila na praćenju projekta Solid - instrument za povratak te na Izvoru 575 izvršenje je 100,71% gdje je ostvarenje povezano sa uplaćenim EU sredstvima. Na Izvoru 61 izvršenje je 97,12%.</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04005-Ministarstvo unutarnjih poslova</w:t>
            </w:r>
          </w:p>
        </w:tc>
        <w:tc>
          <w:tcPr>
            <w:tcW w:w="2041" w:type="dxa"/>
            <w:vAlign w:val="top"/>
          </w:tcPr>
          <w:p w:rsidR="005C2091" w:rsidRDefault="00A86293">
            <w:pPr>
              <w:pStyle w:val="CellColumn"/>
              <w:jc w:val="right"/>
            </w:pPr>
            <w:r>
              <w:rPr>
                <w:rFonts w:cs="Times New Roman"/>
              </w:rPr>
              <w:t>4.249.527.666</w:t>
            </w:r>
          </w:p>
        </w:tc>
        <w:tc>
          <w:tcPr>
            <w:tcW w:w="2041" w:type="dxa"/>
            <w:vAlign w:val="top"/>
          </w:tcPr>
          <w:p w:rsidR="005C2091" w:rsidRDefault="00A86293">
            <w:pPr>
              <w:pStyle w:val="CellColumn"/>
              <w:jc w:val="right"/>
            </w:pPr>
            <w:r>
              <w:rPr>
                <w:rFonts w:cs="Times New Roman"/>
              </w:rPr>
              <w:t>4.811.748.696</w:t>
            </w:r>
          </w:p>
        </w:tc>
        <w:tc>
          <w:tcPr>
            <w:tcW w:w="2041" w:type="dxa"/>
            <w:vAlign w:val="top"/>
          </w:tcPr>
          <w:p w:rsidR="005C2091" w:rsidRDefault="00A86293">
            <w:pPr>
              <w:pStyle w:val="CellColumn"/>
              <w:jc w:val="right"/>
            </w:pPr>
            <w:r>
              <w:rPr>
                <w:rFonts w:cs="Times New Roman"/>
              </w:rPr>
              <w:t>4.737.941.611</w:t>
            </w:r>
          </w:p>
        </w:tc>
        <w:tc>
          <w:tcPr>
            <w:tcW w:w="1224" w:type="dxa"/>
            <w:vAlign w:val="top"/>
          </w:tcPr>
          <w:p w:rsidR="005C2091" w:rsidRDefault="00A86293">
            <w:pPr>
              <w:pStyle w:val="CellColumn"/>
              <w:jc w:val="right"/>
            </w:pPr>
            <w:r>
              <w:rPr>
                <w:rFonts w:cs="Times New Roman"/>
              </w:rPr>
              <w:t>98,5</w:t>
            </w:r>
          </w:p>
        </w:tc>
        <w:tc>
          <w:tcPr>
            <w:tcW w:w="1224" w:type="dxa"/>
            <w:vAlign w:val="top"/>
          </w:tcPr>
          <w:p w:rsidR="005C2091" w:rsidRDefault="00A86293">
            <w:pPr>
              <w:pStyle w:val="CellColumn"/>
              <w:jc w:val="right"/>
            </w:pPr>
            <w:r>
              <w:rPr>
                <w:rFonts w:cs="Times New Roman"/>
              </w:rPr>
              <w:t>111,5</w:t>
            </w:r>
          </w:p>
        </w:tc>
      </w:tr>
      <w:tr w:rsidR="005C2091">
        <w:trPr>
          <w:jc w:val="center"/>
        </w:trPr>
        <w:tc>
          <w:tcPr>
            <w:tcW w:w="1632" w:type="dxa"/>
          </w:tcPr>
          <w:p w:rsidR="005C2091" w:rsidRDefault="00A86293">
            <w:pPr>
              <w:jc w:val="left"/>
            </w:pPr>
            <w:r>
              <w:t>2601-JAVNI RED, SIGURNOST I UPRAVNI POSLOVI</w:t>
            </w:r>
          </w:p>
        </w:tc>
        <w:tc>
          <w:tcPr>
            <w:tcW w:w="2041" w:type="dxa"/>
          </w:tcPr>
          <w:p w:rsidR="005C2091" w:rsidRDefault="00A86293">
            <w:pPr>
              <w:jc w:val="right"/>
            </w:pPr>
            <w:r>
              <w:t>3.952.390.049</w:t>
            </w:r>
          </w:p>
        </w:tc>
        <w:tc>
          <w:tcPr>
            <w:tcW w:w="2041" w:type="dxa"/>
          </w:tcPr>
          <w:p w:rsidR="005C2091" w:rsidRDefault="00A86293">
            <w:pPr>
              <w:jc w:val="right"/>
            </w:pPr>
            <w:r>
              <w:t>4.153.691.696</w:t>
            </w:r>
          </w:p>
        </w:tc>
        <w:tc>
          <w:tcPr>
            <w:tcW w:w="2041" w:type="dxa"/>
          </w:tcPr>
          <w:p w:rsidR="005C2091" w:rsidRDefault="00A86293">
            <w:pPr>
              <w:jc w:val="right"/>
            </w:pPr>
            <w:r>
              <w:t>4.069.065.556</w:t>
            </w:r>
          </w:p>
        </w:tc>
        <w:tc>
          <w:tcPr>
            <w:tcW w:w="1224" w:type="dxa"/>
          </w:tcPr>
          <w:p w:rsidR="005C2091" w:rsidRDefault="00A86293">
            <w:pPr>
              <w:jc w:val="right"/>
            </w:pPr>
            <w:r>
              <w:t>98,0</w:t>
            </w:r>
          </w:p>
        </w:tc>
        <w:tc>
          <w:tcPr>
            <w:tcW w:w="1224" w:type="dxa"/>
          </w:tcPr>
          <w:p w:rsidR="005C2091" w:rsidRDefault="00A86293">
            <w:pPr>
              <w:jc w:val="right"/>
            </w:pPr>
            <w:r>
              <w:t>103,0</w:t>
            </w:r>
          </w:p>
        </w:tc>
      </w:tr>
      <w:tr w:rsidR="005C2091">
        <w:trPr>
          <w:jc w:val="center"/>
        </w:trPr>
        <w:tc>
          <w:tcPr>
            <w:tcW w:w="1632" w:type="dxa"/>
          </w:tcPr>
          <w:p w:rsidR="005C2091" w:rsidRDefault="00A86293">
            <w:pPr>
              <w:jc w:val="left"/>
            </w:pPr>
            <w:r>
              <w:t>2602-UPRAVLJANJE DRŽAVNIM GRANICAMA</w:t>
            </w:r>
          </w:p>
        </w:tc>
        <w:tc>
          <w:tcPr>
            <w:tcW w:w="2041" w:type="dxa"/>
          </w:tcPr>
          <w:p w:rsidR="005C2091" w:rsidRDefault="00A86293">
            <w:pPr>
              <w:jc w:val="right"/>
            </w:pPr>
            <w:r>
              <w:t>297.137.617</w:t>
            </w:r>
          </w:p>
        </w:tc>
        <w:tc>
          <w:tcPr>
            <w:tcW w:w="2041" w:type="dxa"/>
          </w:tcPr>
          <w:p w:rsidR="005C2091" w:rsidRDefault="00A86293">
            <w:pPr>
              <w:jc w:val="right"/>
            </w:pPr>
            <w:r>
              <w:t>658.057.000</w:t>
            </w:r>
          </w:p>
        </w:tc>
        <w:tc>
          <w:tcPr>
            <w:tcW w:w="2041" w:type="dxa"/>
          </w:tcPr>
          <w:p w:rsidR="005C2091" w:rsidRDefault="00A86293">
            <w:pPr>
              <w:jc w:val="right"/>
            </w:pPr>
            <w:r>
              <w:t>668.876.055</w:t>
            </w:r>
          </w:p>
        </w:tc>
        <w:tc>
          <w:tcPr>
            <w:tcW w:w="1224" w:type="dxa"/>
          </w:tcPr>
          <w:p w:rsidR="005C2091" w:rsidRDefault="00A86293">
            <w:pPr>
              <w:jc w:val="right"/>
            </w:pPr>
            <w:r>
              <w:t>101,6</w:t>
            </w:r>
          </w:p>
        </w:tc>
        <w:tc>
          <w:tcPr>
            <w:tcW w:w="1224" w:type="dxa"/>
          </w:tcPr>
          <w:p w:rsidR="005C2091" w:rsidRDefault="00A86293">
            <w:pPr>
              <w:jc w:val="right"/>
            </w:pPr>
            <w:r>
              <w:t>225,1</w:t>
            </w:r>
          </w:p>
        </w:tc>
      </w:tr>
    </w:tbl>
    <w:p w:rsidR="005C2091" w:rsidRDefault="005C2091">
      <w:pPr>
        <w:jc w:val="left"/>
      </w:pPr>
    </w:p>
    <w:p w:rsidR="005C2091" w:rsidRDefault="00A86293">
      <w:pPr>
        <w:pStyle w:val="Heading3"/>
      </w:pPr>
      <w:r>
        <w:rPr>
          <w:rFonts w:cs="Times New Roman"/>
        </w:rPr>
        <w:t>2601 JAVNI RED, SIGURNOST I UPRAVNI POSLOVI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2601-JAVNI RED, SIGURNOST I UPRAVNI POSLOVI</w:t>
            </w:r>
          </w:p>
        </w:tc>
        <w:tc>
          <w:tcPr>
            <w:tcW w:w="2041" w:type="dxa"/>
          </w:tcPr>
          <w:p w:rsidR="005C2091" w:rsidRDefault="00A86293">
            <w:pPr>
              <w:pStyle w:val="CellColumn"/>
              <w:jc w:val="right"/>
            </w:pPr>
            <w:r>
              <w:rPr>
                <w:rFonts w:cs="Times New Roman"/>
              </w:rPr>
              <w:t>3.952.390.049</w:t>
            </w:r>
          </w:p>
        </w:tc>
        <w:tc>
          <w:tcPr>
            <w:tcW w:w="2041" w:type="dxa"/>
          </w:tcPr>
          <w:p w:rsidR="005C2091" w:rsidRDefault="00A86293">
            <w:pPr>
              <w:pStyle w:val="CellColumn"/>
              <w:jc w:val="right"/>
            </w:pPr>
            <w:r>
              <w:rPr>
                <w:rFonts w:cs="Times New Roman"/>
              </w:rPr>
              <w:t>4.153.691.696</w:t>
            </w:r>
          </w:p>
        </w:tc>
        <w:tc>
          <w:tcPr>
            <w:tcW w:w="2041" w:type="dxa"/>
          </w:tcPr>
          <w:p w:rsidR="005C2091" w:rsidRDefault="00A86293">
            <w:pPr>
              <w:pStyle w:val="CellColumn"/>
              <w:jc w:val="right"/>
            </w:pPr>
            <w:r>
              <w:rPr>
                <w:rFonts w:cs="Times New Roman"/>
              </w:rPr>
              <w:t>4.069.065.556</w:t>
            </w:r>
          </w:p>
        </w:tc>
        <w:tc>
          <w:tcPr>
            <w:tcW w:w="1224" w:type="dxa"/>
          </w:tcPr>
          <w:p w:rsidR="005C2091" w:rsidRDefault="00A86293">
            <w:pPr>
              <w:pStyle w:val="CellColumn"/>
              <w:jc w:val="right"/>
            </w:pPr>
            <w:r>
              <w:rPr>
                <w:rFonts w:cs="Times New Roman"/>
              </w:rPr>
              <w:t>98,0</w:t>
            </w:r>
          </w:p>
        </w:tc>
        <w:tc>
          <w:tcPr>
            <w:tcW w:w="1224" w:type="dxa"/>
          </w:tcPr>
          <w:p w:rsidR="005C2091" w:rsidRDefault="00A86293">
            <w:pPr>
              <w:pStyle w:val="CellColumn"/>
              <w:jc w:val="right"/>
            </w:pPr>
            <w:r>
              <w:rPr>
                <w:rFonts w:cs="Times New Roman"/>
              </w:rPr>
              <w:t>103,0</w:t>
            </w:r>
          </w:p>
        </w:tc>
      </w:tr>
    </w:tbl>
    <w:p w:rsidR="005C2091" w:rsidRDefault="005C2091">
      <w:pPr>
        <w:jc w:val="left"/>
      </w:pPr>
    </w:p>
    <w:p w:rsidR="005C2091" w:rsidRDefault="00A86293">
      <w:r>
        <w:t xml:space="preserve">Program Javni red, sigurnost i upravni poslov uključuje policijske poslove i druge poslove Ministarstva unutarnjih poslova koji su određeni zakonom, kao što su zaštita života, prava i sigurnosti i nepovredivosti osobe, zaštita imovine, sprječavanje i otkrivanje kaznenih djela, prijestupa i prekršaja i njihovo dovođenje nadležnim tijelima, nadzor i upravljanje cestovnim prometom, poslovi sa strancima, pronalaženje nezakonito stečene imovine, održavanje javnog reda i mira, osiguranje i zaštita određenih osoba, objekata i prostora, protueksplozivna zaštita, poslovi specijalne policije te drugi poslovi određeni zakonom. Prioritetni cilj Ministarstva unutarnjih poslova kroz provođenje programa Javni red, sigurnost i upravni poslovi je da cjelokupnom svojom aktivnošću doprinese smanjenju opasnosti i posljedica od kažnjivih ponašanja. Održavanje stanja javne sigurnosti na najvišoj razini ima za građane posebnu vrijednost i pretpostavka je uspješnom razvoju društva na svim područjima. Kažnjiva ponašanja, koja ugrožavaju javnu sigurnost, čine kaznena djela i prekršaji. Program osiguranja javnog reda obuhvaća sve aktivnosti kojima se sprječavaju i izravno suzbijaju kažnjiva ponašanja. Da bi građani živjeli slobodno i osjećali se sigurno, potrebno je da se ne krše propisana pravila kojima su uređeni javni red i sigurnost u </w:t>
      </w:r>
      <w:r>
        <w:lastRenderedPageBreak/>
        <w:t>društvu. Nedozvoljena ponašanja stvaraju konflikte i uznemirujuće situacije koje mogu rezultirati štetnim i tragičnim posljedicama. Osnovma je zadaća policije, kao javnog sigurnosnog servisa građana, smanjiti kažnjiva ponašanja na najmanju moguću mjeru. Kaznena djela, kao teži oblici kažnjivih ponašanja, u znatnoj mjeri nije moguće unaprijed predvidjeti pa niti spriječtiti te zbog toga pojedinci i društvo trpe štetne posljedice. Program otkrivanja i razrješavanja kaznenih djela čine sve one aktivnosti kojima se rasvjetljavaju svi događaji za koje se osnovano sumnja da su svojim ponašanjem prouzročile ili pripomogle nastajanju štetnih ili tragičnih posljedica. Otkrivanje i razrješavanje kriminaliteta, kao najopasnije sigurnosne pojave - iz koje proistječu dvije trećine svih štetnih i tragičnih posljedica na području javne sigurnosti - građani doživljavaju kao najvažniju policijsku zadaću, a policija svojim rezultatima na ovom planu najviše dokazuje svoju uspješnost. Posebna kategorija kažnjivih ponašanja, koju policija sprječava, otkriva i suzbija, čine kaznena djela i prekršaji sudionika u prometu na cestama. Motorizirani cestovni promet važna je komponenta suvremene civilizacije. No nažalost još uvijek plaćamo visoku cijenu ovoj civilizacijskoj dobrobiti u nepoželjnim ljudskim stradanjima. Da bi se stanje sigurnosti u cestovnom prometu podiglo na višu razinu, društvo mora uložiti još puno napora u poboljšanje prometne infrastrukture i razvoj prometne kulture. Znatan dio tog napora pripada policiji koja svojim aktivnostima treba utjecati na povećanje prometne discipline svih sudionika u prometu.</w:t>
      </w:r>
    </w:p>
    <w:p w:rsidR="005C2091" w:rsidRDefault="00A86293">
      <w:pPr>
        <w:pStyle w:val="Heading8"/>
        <w:jc w:val="left"/>
      </w:pPr>
      <w:r>
        <w:t>Cilj 1. Poboljšati sprječavanje kažnjivih ponašanja</w:t>
      </w:r>
    </w:p>
    <w:p w:rsidR="005C2091" w:rsidRDefault="00A86293">
      <w:pPr>
        <w:pStyle w:val="Heading8"/>
        <w:jc w:val="left"/>
      </w:pPr>
      <w:r>
        <w:t>Opis provedbe cilja programa</w:t>
      </w:r>
    </w:p>
    <w:p w:rsidR="005C2091" w:rsidRDefault="00A86293">
      <w:r>
        <w:t xml:space="preserve">Kao prvi poseban cilj policije u 2016. godini ističe se poboljšanje sprječavanja kažnjivih ponašanja, što uključuje: preventivne aktivnosti, javni red i mir, rad operativnih dežurstava, intervencije i asistencije, nadzor i origuranje javnih okupljanja, pronalaženje osoba i predmeta, rad specijalne policije, protueksplozijske zaštite, osiguranje osoba, objekata i prostora te inspekcijski nadzor. Da bi smanjila opasnost posljedica od kaznenih djela i prekršaja, policija putem svoje organizacijske strukture i s raspoloživim ljudskim potencijalima nastoji trajno biti prisutna na kritičnim mjestima u kritičnim vremenima kako bi pravodobno sprječila i izravno suzbila što veći broj kažnjivih ponašanja. Dugotrajno iskustvo svih policijskih organizacija poučava da se mnoge neželjene situacije kao i njihove posljedice mogu spriječiti i izbjeći ako ih se predvidi. Sprječavanje kažnjivih ponašanja za svako je društvo ekonomičnije nego njegovo suzbijanje ili naknadno otklanjanje štetnih posljedica. Zbog toga se hrvatska policija u svom djelovanju sve više vodi proaktivnim načelom. Stalna prisutnost policije na sigurnosno rizničnim mjestima, osim općeg preventivnog utjecaja na ponašanje građana, omogućava policijskim službenicima da izravno, u samom začetku, suzbiju svaki oblik kažnjivog ponašanja kako bi se izbjegle teže posljedice. Na temelju trajnog praćenja i analize stanja javne sigurnosti na teritoriju cijele države i području svake policijske uprave potrebno je alocirati ograničene kapacitete policije, kako bi pokrivenost sigurnosno-rizičnih prostora bila optimalna. Osim toga, valja kontinuiranom izobrazbom razvijati policijske vještine i sposobnosti tako da se nužne policijske intervencije provedu uz minimalnu uporabu sredstava prisile. </w:t>
      </w:r>
    </w:p>
    <w:p w:rsidR="005C2091" w:rsidRDefault="00A86293">
      <w:r>
        <w:t>Policija u suradnji s drugim državnim tijelima, institucijama, lokalnom zajednicom i organizacijama civilnog društva osmišljava i provodi preventivne aktivnosti i projekte u svrhu senzibilizacije, informiranja i educiranja različitih ciljanih skupina kako bi se prevenirali različiti oblici kriminaliteta, osnaživalo samozaštitno ponašanje potencijalnih žrtava i, u konačnici, jačao subjektivni osjećaj sigurnosti građana. Kako izgradnja javne sigurnosne arhitekture društva nije isključivo posao policijske organizacije, treba potaknuti stvaranje sigurnosne mreže društva u koju mogu biti uključeni svi građani kroz različite oblike javnog društvenog djelovanja. U javnom sigurnosnom sustavu policija ima ključnu ulogu i od nje se očekuju inicijativa i prvi koraci u povezivanju svih društvenih subjekata suodgovornih za poboljšanje stanja javne sigurnosti. Stoga policija potiče osnutak Vijeća za prevenciju kriminaliteta na razini jedinica lokalne i područne samouprave i aktivno sudjeluje u njihovom radu, u kojima se na jednom mjestu okupljaju predstavnici svih relevantnih tijela te lokalne zajednice u svrhu pronalaska svrsishodnih rješenja kad se radi o podizanju stupnja sigurnosti.</w:t>
      </w:r>
    </w:p>
    <w:p w:rsidR="005C2091" w:rsidRDefault="00A86293">
      <w:pPr>
        <w:pStyle w:val="Heading8"/>
        <w:jc w:val="left"/>
      </w:pPr>
      <w:r>
        <w:t>Cilj 2. Poboljšati suzbijanje kriminaliteta</w:t>
      </w:r>
    </w:p>
    <w:p w:rsidR="005C2091" w:rsidRDefault="00A86293">
      <w:pPr>
        <w:pStyle w:val="Heading8"/>
        <w:jc w:val="left"/>
      </w:pPr>
      <w:r>
        <w:t>Opis provedbe cilja programa</w:t>
      </w:r>
    </w:p>
    <w:p w:rsidR="005C2091" w:rsidRDefault="00A86293">
      <w:r>
        <w:t xml:space="preserve">Kao drugi poseban cilj policije u 2016. godini ističe se poboljšanje suzbijanja kriminaliteta. Kriminalitet, kao ukupnost svih kaznenih djela koja su se zbila na određenom području u određenom razdoblju, prouzroči dvije trećine svih štetnih i tragičnih posljedica na području javne sigurnosti. Zbog toga kaznena djela, kao opasniji oblik kažnjivih ponašanja, trajno pobuđuju zanimanje javnosti. Velika većina kriminaliteta događa se izvan izravnog opažaja policijskih službenika tako da ga oni ne mogu neposredno suzbijati. Saznanja o kriminalitetu policija stječe dojavom građana ili pravnih osoba, a jedan dio otkriva vlastitom operativnom djelatnošću.  </w:t>
      </w:r>
    </w:p>
    <w:p w:rsidR="005C2091" w:rsidRDefault="00A86293">
      <w:r>
        <w:lastRenderedPageBreak/>
        <w:t>Znatan dio kriminaliteta u svakom društvu ostaje neotkriven iz mnogih razloga, a društvo zbog toga trpi štetne posljedice. Neotkriveni kriminalitet krije se u tzv. tamnoj brojci kriminaliteta. Uvriježena je kriminološka procjena kako se od ukupnog kriminaliteta samo jedna petina rasvijetli. U Republici Hrvatskoj policija godišnje zabilježi oko 100 tisuća kaznenih djela, što obuhvaća kaznena djela koja se progone po službenoj dužnosti, kaznena djela kod kojih je izostao prijedlog te kaznena djela koja se progone po privatnoj tužbi. Od toga, za oko 75 tisuća kaznenih djela policija dozna dojavom, a u oko 25 tisuća slučajeva policija sama otkrije postojanje kaznenog djela. Razriješenost kriminaliteta znači ustvrditi postojanost osnova sumnje da su neka osoba ili osobe odgovorni za pojedina kaznena djela za koja je policija ustvrdila da su se dogodila. Od ukupnog broja otkrivenih kaznenih djela za koja policija poduzima progon po službenoj dužnosti, policija u Republici Hrvatskoj na godišnjoj razini uspijeva razriješiti oko 60% kriminaliteta. Trajna je zadaća policije da otkriva što više kaznenih djela i da pokuša ustvrditi osnovanost sumnje za sve osobe koje potencijalno mogu biti odgovorne za ta kaznena djela. Sva kaznena djela nemaju istu težinu. Ne zanemarujući manje štetna kaznena djela, policija veliku pozornost posvećuje najtežim kaznenim djelima. Otkrivajući i razrješavajući tu vrstu kriminaliteta, policija povećava osjećaj sigurnosti u društvu i jača povjerenje građana u javni sigurnosni sustav. U 2016. godini ukupni zabilježeni kriminalitet je 85.620 kaznenih djela, što je za 9,9% manje nego prethodne godine (kaznena djela za koja se progoni po službenoj dužnosti, privatnom tužbom ili je izostao prijedlog da se postupak pokrene po službenoj dužnosti). Stopa kriminaliteta svih zabilježenih kaznenih djela na 100.000 stanovnika iznosi 2.037 kaznenih djela, a ako promatramo kaznena djela za koja je policija pokrenula kazneni postupak po službenoj dužnosti, stopa kriminaliteta je 1.328 kaznenih djela na 100.000 stanovnika. Kriminalističkim istraživanjima kaznenih djela prijavljenih u 2016. godini policija je razriješila njih 61,3% (kaznena djela koja su prijavljena u izvještajnoj godini). U 2016. godini  razriješeno je 35.428 kaznenih djela uključimo li i 1.201 razriješeno kazneno djelo prijavljeno ranijih godina. Koeficijent razriješenosti tako iznosi 63,5%. Iako je broj razriješenih kaznenih djela u padu za 2,1%, koeficijent razriješenosti je bolji za 2,4%. Koeficijent razriješenosti kaznenih djela nema zamjetnih oscililacija i na razini je desetogodišnjeg prosjeka, ali u odnosu na 2012. godinu značajan je porast i to za 4,5 postotaka. Razrješavanjem 35.428 kaznenih djela tijekom 2016. godine prijavljeno je 18.948 fizičkih i pravnih osoba, što je smanjenje broja prijavljenih osoba od 5,1% u odnosu na prethodnu godinu (19.962). Od navedenog broja prijavljenih počinitelja kaznenih djela njih 1.412 su maloljetnici. U odnosu na 2012. godinu broj počinitelja  manji je za 31,8%, dok je pad kaznenih djela 22,7%, što znači da je jedan te isti počinitelj u tom razdoblju (2012. – 2016.) u prosjeku počino tri kaznena djela. Od 2014. godine blagi je porast prijavljenih pravnih osoba i to za 22,9%. Pravne osobe počinile su najviše kaznenih djela iz područja gospodarskog kriminaliteta i to prema čl. 247. KZ-a - Prijevara u gospodarskom poslovanju te čl. 256. KZ-a - Utaja poreza ili carine. Zbog načina i tehnika istraživanja pojedinih vrsta kaznenih djela, ukupan kriminalitet se klasificira u nekoliko kategorija koje se ne preklapaju sa zakonskom klasifikacijom, koja se temelji na zaštićenim vrijednostima. Strukturu kriminaliteta za koji se postupak pokreće po službenoj dužnosti u 2016. godini prema kriminalističkoj klasifikaciji čine: opći kriminalitet sa 43.107 kaznenih djela ili 77,2%; kriminalitet droga s 2.838 kaznenih djela ili 5,1%; gospodarski kriminalitet sa 7.111 kaznenih djela ili 12,7%; organizirani kriminalitet s 1.250 kaznenih djela ili 2,2%; kriminalitet od posebnog sigurnosnog značaja s 57 kaznenih djela ili 0,1% (terorizam i ekstremno nasilje s 38 kaznenih djela ili 0,07% i ratni zločin s 19 kaznenih djela ili 0,03%); kriminalitet u prometu s 1.461 kaznenim djelom (2,6%). Na kaznena djela zaštite djece i obitelji odnosi se 4.846 kaznenih djela ili 8,7% ukupnog kriminaliteta.</w:t>
      </w:r>
    </w:p>
    <w:p w:rsidR="005C2091" w:rsidRDefault="00A86293">
      <w:pPr>
        <w:pStyle w:val="Heading8"/>
        <w:jc w:val="left"/>
      </w:pPr>
      <w:r>
        <w:t>Cilj 3. Povećati sigurnost prometa na cestama</w:t>
      </w:r>
    </w:p>
    <w:p w:rsidR="005C2091" w:rsidRDefault="00A86293">
      <w:pPr>
        <w:pStyle w:val="Heading8"/>
        <w:jc w:val="left"/>
      </w:pPr>
      <w:r>
        <w:t>Opis provedbe cilja programa</w:t>
      </w:r>
    </w:p>
    <w:p w:rsidR="005C2091" w:rsidRDefault="00A86293">
      <w:r>
        <w:t xml:space="preserve">Povećanje sigurnosti prometa na cestama treći je poseban cilj policije koja uključuje nadzor prometa i rad mobilne jedinice prometne policije. Ugrožavanje prometa na cestama bitno utječe na ukupno stanje javne sigurnosti. Motorizirani cestovni promet važna je sastavnica suvremene civilizacije. Sve dobrobiti motorizacije, nažalost i daljnje plaćamo visokom cijenom nepoželjnog ljudskog stradanja. Posljedice ugrožavanja prometa na cestama bitno utječu na ukupno stanje javne sigurnosti. Osim individualnih tragedija i društvo u cjelini trpi velike gubitke zgog prometnih nesreća. Radi podizanja stanja sigurnosti u cestovnom prometu društvo mora uložiti znatno više napora u poboljšanje prometne infrastrukture i razvitak prometne kulture. Znatan dio tog napora pripada policiji koja svojim aktivnostima treba utjecati na povećanje prometne discipline svih sudionika. Između sudionika, vozila i ceste, prometna kultura svih sudionika, posebice vozača, najbrže može smanjiti tragične posljedice. Prometna kultura ne traži znatna financijska sredstava, koliko svježe ideje te stalan i sustavan rad na njihovom promicanju. Tridesetog svibnja 2015. godine stupio je na snagu Zakon o izmjenama i dopunama Zakona o sigurnosti prometa na cestama (NN 64/15). U 2016. godini dogodilo se 32.757 prometnih nesreća. U tim nesrećama poginulo je 307 osoba, 2.747 osoba teško je ozlijeđeno, a 11.849 osoba je lakše ozlijeđeno. Uspoređujući podatke s 2015. godinom, prometnih nesreća više je za 0,6% (za 186 prometnih nesreća više), poginulih osoba je manje za 11,8% (41 osoba manje), lakše ozlijeđenih za 2,9% (za 353 osoba), a i teško ozlijeđenih osoba manje je za 2,7% (za 75 osoba </w:t>
      </w:r>
      <w:r>
        <w:lastRenderedPageBreak/>
        <w:t>manje). Od ukupnog broja poginulih osoba 243 ili 79,2% su muškarci, a 64 ili 20,8% su žene. Ozlijeđeno je 8.767 muškaraca i 5.829 žena. U prometnim nesrećama utvrđeno je 1.461 kazneno djelo, što je za 0,7% manje nego 2015. godine. Promatramo li razdoblje od pet godina, ukupan broj prometnih nesreća, nesreća s nastradalim osobama i poginulih osoba bilježi trend pada, osim u 2015. godini kad je zabilježen porast broja poginulih osoba, ali ne više od petogodišnjeg prosjeka. Poginulo je 186 vozača (39 vozača ili 17,3% manje), 67 pješaka (za 6 više ili 9,8%) te 54 putnika (8 ili 12,9% manje). Brzina neprimjerena uvjetima na cesti najčešća je pogreška vozača zbog koje se događaju prometne nesreće sa smrtnim ishodom. Broj registriranih vozača motornih vozila porastao je za 14.642 ili 0,6%, a broj registriranih motornih vozila za 66.330 ili 3,4%. U posljednjih pet godina broj registriranih vozila i vozača u stalnom je blagom porastu. U 2016. godini strukturu prometnih nesreća čini: 0,9% nesreće s poginulima, 32,1% nesreće s ozlijeđenima i 67,0% nesreće s materijalnom štetom. Strukturu nastradalih osoba čini: 2,1% poginulih, 18,45% teško ozlijeđenih i 79,5% lakše ozlijeđenih.</w:t>
      </w:r>
    </w:p>
    <w:p w:rsidR="005C2091" w:rsidRDefault="00A86293">
      <w:pPr>
        <w:pStyle w:val="Heading8"/>
        <w:jc w:val="left"/>
      </w:pPr>
      <w:r>
        <w:t>Cilj 4. Poboljšati usluge građanima u upravnim stvarima</w:t>
      </w:r>
    </w:p>
    <w:p w:rsidR="005C2091" w:rsidRDefault="00A86293">
      <w:pPr>
        <w:pStyle w:val="Heading8"/>
        <w:jc w:val="left"/>
      </w:pPr>
      <w:r>
        <w:t>Opis provedbe cilja programa</w:t>
      </w:r>
    </w:p>
    <w:p w:rsidR="005C2091" w:rsidRDefault="00A86293">
      <w:r>
        <w:t>Ministarstvo unutarnjih poslova obavlja i upravne poslove koji se odnose na statuse građana, kao što su: prijavništvo (prebivalište, boravište, osobne iskaznice, putne isprave); registre vozila i vozača; registre oružja i vlasnika; državljanstvo; registar stranaca i azil. Smisao ovih poslova je dvojak. S jedne strane svi registri o statusnim stanjima građana omogućuju identifikaciju svih osoba za koje postoji sumnja da krše društvena pravila i kažnjivo se ponašaju, a s druge strane svim građanima, izdajući im statusne dokumente štite ustavno zajamčena ljudska i građanska prava. Svake godine Ministarstvo ulaže dodatne napore da baze podataka u informacijskom sustavu budu potpuno ažurirane i međusobno integrirane, postupci registracije pojednostavljeni, a usluga građanima poboljšana u smislu jednostavnosti i brzine upisa podataka i izdavanja potrebnih uvjerenja i dokumenata. Sva ta poboljšanja rezultirala su ekonomičnijim postupcima kako za građane tako i za Ministarstvo, odnosno Državni proračun.</w:t>
      </w:r>
    </w:p>
    <w:p w:rsidR="005C2091" w:rsidRDefault="00A86293">
      <w:pPr>
        <w:pStyle w:val="Heading8"/>
        <w:jc w:val="left"/>
      </w:pPr>
      <w:r>
        <w:t>Cilj 5. Unaprijediti odnose s domaćim i međunarodnim okruženjem</w:t>
      </w:r>
    </w:p>
    <w:p w:rsidR="005C2091" w:rsidRDefault="00A86293">
      <w:pPr>
        <w:pStyle w:val="Heading8"/>
        <w:jc w:val="left"/>
      </w:pPr>
      <w:r>
        <w:t>Opis provedbe cilja programa</w:t>
      </w:r>
    </w:p>
    <w:p w:rsidR="005C2091" w:rsidRDefault="00A86293">
      <w:r>
        <w:t>Republika Hrvatska, u svojstvu punopravne članice Eurpske unije, kao prostoru stabilnog mira, sigurnosti, demokratskih sloboda i gospodarskog razvoja, razvija i unapređuje suradnju Ministarstva na području međunarodne sigurnosti. Zbog vlastitog razvoja i sugurnosti, Hrvatska ima izraziti interes i obvezu sudjelovanja u izgradnji cjelokupnog međunarodnog sigurnosnog sustava, a posebno sustava Europske unije. Djelujući na platformi vanjske politike Vlade, Ministarstvo unutarnjih poslova ima posebne zadaće i odgovornosti i na međunarodnom planu. Sigurnost je nedjeljiva kategorija i ona ne završava na državnim granicama. Proces globalizacije utječe i na područje sigurnosti. Razvijanje međunarodne policijske suradnje temeljni je uvjet uspješnog rada policija svih država. Policija Repblike Hrvatske ima uspostavljene odnose sa svim policijskim organizacijama članica EU i sa svim zemljama u neposrednom okruženju. Članstvom u Interpolu, policijska suradnja uspostavljena je s gotovo svim zemljama svijeta. Ti međunarodni policijski odnosi održavaju se kroz različite formalne oblike i različite stupnjeve intenziteta. S mnogim zemljama sklopljeni su bilateralni međunarodni ugovori na različitim sigurnosnim područjima, a uključeni smo i u miltilateralne međunarodne ugovore. Tu međunarodnu suradnju treba nastaviti razvijati i jačati kako bi policijska organizacija Republike Hrvatske bila prepoznatljiva i prihvaćena kao bitna sigurnosna sastavnica europskog sigurnosnog sustava.</w:t>
      </w:r>
    </w:p>
    <w:p w:rsidR="005C2091" w:rsidRDefault="00A86293">
      <w:pPr>
        <w:pStyle w:val="Heading4"/>
      </w:pPr>
      <w:r>
        <w:t>A553131 ADMINISTRACIJA I UPRAVLJANJE</w:t>
      </w:r>
    </w:p>
    <w:tbl>
      <w:tblPr>
        <w:tblStyle w:val="StilTablice"/>
        <w:tblW w:w="10206" w:type="dxa"/>
        <w:jc w:val="center"/>
        <w:tblLook w:val="04A0" w:firstRow="1" w:lastRow="0" w:firstColumn="1" w:lastColumn="0" w:noHBand="0" w:noVBand="1"/>
      </w:tblPr>
      <w:tblGrid>
        <w:gridCol w:w="1792"/>
        <w:gridCol w:w="1996"/>
        <w:gridCol w:w="1997"/>
        <w:gridCol w:w="1997"/>
        <w:gridCol w:w="1209"/>
        <w:gridCol w:w="1215"/>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A553131-ADMINISTRACIJA I UPRAVLJANJE</w:t>
            </w:r>
          </w:p>
        </w:tc>
        <w:tc>
          <w:tcPr>
            <w:tcW w:w="2041" w:type="dxa"/>
          </w:tcPr>
          <w:p w:rsidR="005C2091" w:rsidRDefault="00A86293">
            <w:pPr>
              <w:pStyle w:val="CellColumn"/>
              <w:jc w:val="right"/>
            </w:pPr>
            <w:r>
              <w:rPr>
                <w:rFonts w:cs="Times New Roman"/>
              </w:rPr>
              <w:t>3.687.527.712</w:t>
            </w:r>
          </w:p>
        </w:tc>
        <w:tc>
          <w:tcPr>
            <w:tcW w:w="2041" w:type="dxa"/>
          </w:tcPr>
          <w:p w:rsidR="005C2091" w:rsidRDefault="00A86293">
            <w:pPr>
              <w:pStyle w:val="CellColumn"/>
              <w:jc w:val="right"/>
            </w:pPr>
            <w:r>
              <w:rPr>
                <w:rFonts w:cs="Times New Roman"/>
              </w:rPr>
              <w:t>3.827.569.696</w:t>
            </w:r>
          </w:p>
        </w:tc>
        <w:tc>
          <w:tcPr>
            <w:tcW w:w="2041" w:type="dxa"/>
          </w:tcPr>
          <w:p w:rsidR="005C2091" w:rsidRDefault="00A86293">
            <w:pPr>
              <w:pStyle w:val="CellColumn"/>
              <w:jc w:val="right"/>
            </w:pPr>
            <w:r>
              <w:rPr>
                <w:rFonts w:cs="Times New Roman"/>
              </w:rPr>
              <w:t>3.823.349.969</w:t>
            </w:r>
          </w:p>
        </w:tc>
        <w:tc>
          <w:tcPr>
            <w:tcW w:w="1224" w:type="dxa"/>
          </w:tcPr>
          <w:p w:rsidR="005C2091" w:rsidRDefault="00A86293">
            <w:pPr>
              <w:pStyle w:val="CellColumn"/>
              <w:jc w:val="right"/>
            </w:pPr>
            <w:r>
              <w:rPr>
                <w:rFonts w:cs="Times New Roman"/>
              </w:rPr>
              <w:t>99,9</w:t>
            </w:r>
          </w:p>
        </w:tc>
        <w:tc>
          <w:tcPr>
            <w:tcW w:w="1224" w:type="dxa"/>
          </w:tcPr>
          <w:p w:rsidR="005C2091" w:rsidRDefault="00A86293">
            <w:pPr>
              <w:pStyle w:val="CellColumn"/>
              <w:jc w:val="right"/>
            </w:pPr>
            <w:r>
              <w:rPr>
                <w:rFonts w:cs="Times New Roman"/>
              </w:rPr>
              <w:t>103,7</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Uredba o unutarnjem ustrojstvu MUP-a (NN 17/11, 26/11, 117/11, 70/12, 140/13, 50/14, 32/15), Zakon o policiji (NN 34/11, 130/12, 151/14, 33/15) - čl. 17 benificirani staž - Uredba o radnim mjestima policijskih službenika kojima se staž osiguranja računa u povećanom trajanju (NN 127/13, 140/13), čl. 21 otpremnine, čl. 22-24 naknade uslijed smrti, ozljeda, čl. 43 klasifikacija radnih mjesta policijskih službenika - Uredba o klasifikaciji radnih mjesta policijskih službenika (NN 129/11, 82/12, 140/13, 32/15, 40/15, 115/15), čl. 56 zvanja radnih mjesta policijskih službenika - Uredba o uvjetima za stjecanje policijskih zvanja, oznakama policijskih zvanja, funkcionalnim oznakama radnih mjesta, promaknuću i napredovanju kroz policijska zvanja (NN 129/11, 15/13), čl. 78-80 plaće policijskih službenika - Uredba o plaćama policijskih službenika (NN 39/01, 122/03, 21/04, 187/04, 77/06, 142/06, 04/07, 60/08, 28/09, 79/09, 27/10, 26/11, 129/11, 82/12, 25/13, 140/13, 32/15, 40/15, 40/16), čl. 85-92 - obrazovanje policijskih službenika - Pravilnik o policijskom obrazovanju (NN 113/12), Zakon o državnim službenicima i namještenicima (NN 27/01), Uredba o nazivima radnih mjesta i koeficijentima složenosti poslova u državnoj službi,  Kolektivni ugovor za državne službenike i namještenike (NN 104/13, 150/13, 71/16), Odluka o visini dnevnice za službeno putovanje u inozemstvo za korisnike koji se financiraju iz sredstava državnog proračuna (NN 8/06).</w:t>
      </w:r>
    </w:p>
    <w:p w:rsidR="005C2091" w:rsidRDefault="00A86293">
      <w:pPr>
        <w:pStyle w:val="Heading8"/>
        <w:jc w:val="left"/>
      </w:pPr>
      <w:r>
        <w:t>Opis aktivnosti</w:t>
      </w:r>
    </w:p>
    <w:p w:rsidR="005C2091" w:rsidRDefault="00A86293">
      <w:r>
        <w:t xml:space="preserve">Izvršenje aktivnosti A553131 Administracija i upravljanje se financira iz Izvora 11 - Opći prihodi i primici u iznosu od 3.799.131.614 kn, Izvora 31 - Vlastiti prihodi u iznosu od 20.709.198 kn, Izvora 51 - Pomoći EU u iznosu od 2.051.250 kn i Izvora 52 Ostale pomoći u iznosu od 1.457.904 kn. Sredstva planirana na aktivnosti A553131 Administracija i upravljanje raspoređena su za poslovanje 20 policijskih uprava, Uslužne jedinice Valbandon i Ministarstva u sjedištu. Iz planiranih sredstava se podmiruju rashodi za zaposlene koji čine navjeći dio (čak 81% planiranog iznosa) dok se preostala sredstva odnose na podmirivanje troškova za redovno funkcioniranje službe, od čega se najveći dio odnosi na podmirenje obveza prema AKD-u za plative tiskanice (putovnice, osobne iskaznice, registarske pločice i ostale plative tiskanice), pokriće režijskih troškova, zakupnine i najamnine,  naknade za prijevoz,  rad na terenu i odvojeni život, usluge tekućeg i investicijskog održavanja, uredski materijal i ostale materijalne rashode, komunalne usluge, na podmirenje ugovorenih kazni i naknada šteta, premije osiguranja, te ostale usluge, zatim financijske rashode, isplate stipendija i plaćanje školarina djeci poginulih djelatnika, te zaposlenicima kao i isplatu mjesečne naknade polaznicima tečaja prekvalifikacije za zanimanje policajac, te na tekuće donacije vjerskim zajednicama, udrugama građana i sportskim društvima. Kao i prethodnih godina, i u 2016.g. bio je prisutan problem oko pravovremenog podmirenja obveza prema Agenciji za komercijalnu djelatnost za podmirenje troškova plativih tiskanica (osobne iskaznice, putovnice, registarske pločice te ostale plative tiskanice). Unatoč dobroj volji s naše strane te prijedlozima o osiguranju dostatnih sredstava koje smo u više navrata uputili prema Ministarstvu financija problem nije bio riješen. Na ove rashode ne možemo utjecati budući da isti ovise o zahtjevima građanima, a prihodi od prodaje uplaćuju se direktno u Državni proračun. Od 2017.g. ovi rashodi se planiraju na izvoru financiranja 43 – Ostali prihodi za posebne namjene dok je na proračunskom izvoru planiran samo iznos za podmirenje prenesenih obveza iz 2016.g. To znači da bi se 80% ostvarenih prihoda od plativih tiskanica sukladno Odluci o dopuni odluke o ispravama i službenim obrascima čiji su sadržaj, oblik, način zaštite i obvezna primjena propisani zakonima i drugim propisima (NN 17/17) uplaćivale MUP-u na izvor prihoda 43 – Ostali prihodi za posebne namjene te bi se od tamo plaćali računi AKD-a. Preostalih 20% ostvarenih prihoda uplaćivalo bi se u korist izvora financiranja Opći prihodi i primici, odnosno u Državni proračun. Ovakvim načinom planiranja rashoda za plative tiskanice trebao bi biti riješen problem oko pravovremenog plaćanja računa prema AKD-u. Što se tiče skupina rashoda 383 – Ugovorene kazne i ostale naknade šteta planirane su u iznosu od 4.000.000 kn te su sredstva u cijelosti utrošena, a ista se odnose na isplatu sudskih presuda, renti i nagodba dok se preostali dio ovrha, odnosno isplate po sudskim presudama po osnovi radnih sporova planiraju i isplaćuju na rashodima za zaposlene.  Na Izvoru 31 - Vlastiti prihodi planirano je 23.000.000 kn a utrošeno je 20.927.198 kn. Radi se o prihodima od ugostiteljskih usluga (restorana i odmarališta) koji su se utrošili za nabavu potrebnih namirnica.  </w:t>
      </w:r>
    </w:p>
    <w:p w:rsidR="005C2091" w:rsidRDefault="00A86293">
      <w:r>
        <w:t>Za provođenje plana Stručnog osposobljavanja za rad bez zasnivanja radnog odnosa nositelj programa je Hrvatski zavod za zapošljavanje. Ministarstvo unutarnjih poslova obračunava i isplaćuje doprinose polaznicima, a sredstva za isto refundira HZZ. Navedeni rashod tereti izvor financiranja 52 - Ostale pomoći te se isti mogu izvršavati neovisno o visini planiranih sredstava jer ovise o uplaćenim sredstvima. U 2016.g. za ovu namjenu planirano je 1.500.000 kn, a utrošeno je 1.457.904 kn.</w:t>
      </w:r>
    </w:p>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Intenzivnije provođenje inspekcijskih nadzora s prosječnim rastom od 10% godišnje</w:t>
            </w:r>
          </w:p>
        </w:tc>
        <w:tc>
          <w:tcPr>
            <w:tcW w:w="2551" w:type="dxa"/>
          </w:tcPr>
          <w:p w:rsidR="005C2091" w:rsidRDefault="00A86293">
            <w:pPr>
              <w:pStyle w:val="CellColumn"/>
              <w:jc w:val="left"/>
            </w:pPr>
            <w:r>
              <w:rPr>
                <w:rFonts w:cs="Times New Roman"/>
              </w:rPr>
              <w:t>Intenzivnije provođenje inspekcijskih nadzora s prosječnim rastom od 10% godišnje</w:t>
            </w:r>
          </w:p>
        </w:tc>
        <w:tc>
          <w:tcPr>
            <w:tcW w:w="1020" w:type="dxa"/>
          </w:tcPr>
          <w:p w:rsidR="005C2091" w:rsidRDefault="00A86293">
            <w:pPr>
              <w:pStyle w:val="CellColumn"/>
              <w:jc w:val="right"/>
            </w:pPr>
            <w:r>
              <w:rPr>
                <w:rFonts w:cs="Times New Roman"/>
              </w:rPr>
              <w:t>Broj (godišnje)</w:t>
            </w:r>
          </w:p>
        </w:tc>
        <w:tc>
          <w:tcPr>
            <w:tcW w:w="1020" w:type="dxa"/>
          </w:tcPr>
          <w:p w:rsidR="005C2091" w:rsidRDefault="00A86293">
            <w:pPr>
              <w:pStyle w:val="CellColumn"/>
              <w:jc w:val="right"/>
            </w:pPr>
            <w:r>
              <w:rPr>
                <w:rFonts w:cs="Times New Roman"/>
              </w:rPr>
              <w:t>18031</w:t>
            </w:r>
          </w:p>
        </w:tc>
        <w:tc>
          <w:tcPr>
            <w:tcW w:w="1020" w:type="dxa"/>
          </w:tcPr>
          <w:p w:rsidR="005C2091" w:rsidRDefault="00A86293">
            <w:pPr>
              <w:pStyle w:val="CellColumn"/>
              <w:jc w:val="right"/>
            </w:pPr>
            <w:r>
              <w:rPr>
                <w:rFonts w:cs="Times New Roman"/>
              </w:rPr>
              <w:t>MUP</w:t>
            </w:r>
          </w:p>
        </w:tc>
        <w:tc>
          <w:tcPr>
            <w:tcW w:w="1020" w:type="dxa"/>
          </w:tcPr>
          <w:p w:rsidR="005C2091" w:rsidRDefault="00A86293">
            <w:pPr>
              <w:pStyle w:val="CellColumn"/>
              <w:jc w:val="right"/>
            </w:pPr>
            <w:r>
              <w:rPr>
                <w:rFonts w:cs="Times New Roman"/>
              </w:rPr>
              <w:t>19834</w:t>
            </w:r>
          </w:p>
        </w:tc>
        <w:tc>
          <w:tcPr>
            <w:tcW w:w="1020" w:type="dxa"/>
          </w:tcPr>
          <w:p w:rsidR="005C2091" w:rsidRDefault="00A86293">
            <w:pPr>
              <w:pStyle w:val="CellColumn"/>
              <w:jc w:val="right"/>
            </w:pPr>
            <w:r>
              <w:rPr>
                <w:rFonts w:cs="Times New Roman"/>
              </w:rPr>
              <w:t>12600</w:t>
            </w:r>
          </w:p>
        </w:tc>
      </w:tr>
      <w:tr w:rsidR="005C2091">
        <w:trPr>
          <w:jc w:val="center"/>
        </w:trPr>
        <w:tc>
          <w:tcPr>
            <w:tcW w:w="2551" w:type="dxa"/>
          </w:tcPr>
          <w:p w:rsidR="005C2091" w:rsidRDefault="00A86293">
            <w:pPr>
              <w:pStyle w:val="CellColumn"/>
              <w:jc w:val="left"/>
            </w:pPr>
            <w:r>
              <w:rPr>
                <w:rFonts w:cs="Times New Roman"/>
              </w:rPr>
              <w:t>Provedena obuka službenika koji rade na poslovima azila sukladno međunarodnim standardima</w:t>
            </w:r>
          </w:p>
        </w:tc>
        <w:tc>
          <w:tcPr>
            <w:tcW w:w="2551" w:type="dxa"/>
          </w:tcPr>
          <w:p w:rsidR="005C2091" w:rsidRDefault="00A86293">
            <w:pPr>
              <w:pStyle w:val="CellColumn"/>
              <w:jc w:val="left"/>
            </w:pPr>
            <w:r>
              <w:rPr>
                <w:rFonts w:cs="Times New Roman"/>
              </w:rPr>
              <w:t>Provedena obuka službenika koji rade na poslovima azila sukladno međunarodnim standardima</w:t>
            </w:r>
          </w:p>
        </w:tc>
        <w:tc>
          <w:tcPr>
            <w:tcW w:w="1020" w:type="dxa"/>
          </w:tcPr>
          <w:p w:rsidR="005C2091" w:rsidRDefault="00A86293">
            <w:pPr>
              <w:pStyle w:val="CellColumn"/>
              <w:jc w:val="right"/>
            </w:pPr>
            <w:r>
              <w:rPr>
                <w:rFonts w:cs="Times New Roman"/>
              </w:rPr>
              <w:t>Broj seminara i radionica (godišnja vrijednost)</w:t>
            </w:r>
          </w:p>
        </w:tc>
        <w:tc>
          <w:tcPr>
            <w:tcW w:w="1020" w:type="dxa"/>
          </w:tcPr>
          <w:p w:rsidR="005C2091" w:rsidRDefault="00A86293">
            <w:pPr>
              <w:pStyle w:val="CellColumn"/>
              <w:jc w:val="right"/>
            </w:pPr>
            <w:r>
              <w:rPr>
                <w:rFonts w:cs="Times New Roman"/>
              </w:rPr>
              <w:t>7</w:t>
            </w:r>
          </w:p>
        </w:tc>
        <w:tc>
          <w:tcPr>
            <w:tcW w:w="1020" w:type="dxa"/>
          </w:tcPr>
          <w:p w:rsidR="005C2091" w:rsidRDefault="00A86293">
            <w:pPr>
              <w:pStyle w:val="CellColumn"/>
              <w:jc w:val="right"/>
            </w:pPr>
            <w:r>
              <w:rPr>
                <w:rFonts w:cs="Times New Roman"/>
              </w:rPr>
              <w:t>MUP</w:t>
            </w:r>
          </w:p>
        </w:tc>
        <w:tc>
          <w:tcPr>
            <w:tcW w:w="1020" w:type="dxa"/>
          </w:tcPr>
          <w:p w:rsidR="005C2091" w:rsidRDefault="00A86293">
            <w:pPr>
              <w:pStyle w:val="CellColumn"/>
              <w:jc w:val="right"/>
            </w:pPr>
            <w:r>
              <w:rPr>
                <w:rFonts w:cs="Times New Roman"/>
              </w:rPr>
              <w:t>7</w:t>
            </w:r>
          </w:p>
        </w:tc>
        <w:tc>
          <w:tcPr>
            <w:tcW w:w="1020" w:type="dxa"/>
          </w:tcPr>
          <w:p w:rsidR="005C2091" w:rsidRDefault="00A86293">
            <w:pPr>
              <w:pStyle w:val="CellColumn"/>
              <w:jc w:val="right"/>
            </w:pPr>
            <w:r>
              <w:rPr>
                <w:rFonts w:cs="Times New Roman"/>
              </w:rPr>
              <w:t>6</w:t>
            </w:r>
          </w:p>
        </w:tc>
      </w:tr>
    </w:tbl>
    <w:p w:rsidR="005C2091" w:rsidRDefault="005C2091">
      <w:pPr>
        <w:jc w:val="left"/>
      </w:pPr>
    </w:p>
    <w:p w:rsidR="005C2091" w:rsidRDefault="00A86293">
      <w:pPr>
        <w:pStyle w:val="Heading4"/>
      </w:pPr>
      <w:r>
        <w:t>K553009 POLICIJSKA OPREMA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K553009-POLICIJSKA OPREMA</w:t>
            </w:r>
          </w:p>
        </w:tc>
        <w:tc>
          <w:tcPr>
            <w:tcW w:w="2041" w:type="dxa"/>
          </w:tcPr>
          <w:p w:rsidR="005C2091" w:rsidRDefault="00A86293">
            <w:pPr>
              <w:pStyle w:val="CellColumn"/>
              <w:jc w:val="right"/>
            </w:pPr>
            <w:r>
              <w:rPr>
                <w:rFonts w:cs="Times New Roman"/>
              </w:rPr>
              <w:t>106.174.770</w:t>
            </w:r>
          </w:p>
        </w:tc>
        <w:tc>
          <w:tcPr>
            <w:tcW w:w="2041" w:type="dxa"/>
          </w:tcPr>
          <w:p w:rsidR="005C2091" w:rsidRDefault="00A86293">
            <w:pPr>
              <w:pStyle w:val="CellColumn"/>
              <w:jc w:val="right"/>
            </w:pPr>
            <w:r>
              <w:rPr>
                <w:rFonts w:cs="Times New Roman"/>
              </w:rPr>
              <w:t>66.020.000</w:t>
            </w:r>
          </w:p>
        </w:tc>
        <w:tc>
          <w:tcPr>
            <w:tcW w:w="2041" w:type="dxa"/>
          </w:tcPr>
          <w:p w:rsidR="005C2091" w:rsidRDefault="00A86293">
            <w:pPr>
              <w:pStyle w:val="CellColumn"/>
              <w:jc w:val="right"/>
            </w:pPr>
            <w:r>
              <w:rPr>
                <w:rFonts w:cs="Times New Roman"/>
              </w:rPr>
              <w:t>64.829.043</w:t>
            </w:r>
          </w:p>
        </w:tc>
        <w:tc>
          <w:tcPr>
            <w:tcW w:w="1224" w:type="dxa"/>
          </w:tcPr>
          <w:p w:rsidR="005C2091" w:rsidRDefault="00A86293">
            <w:pPr>
              <w:pStyle w:val="CellColumn"/>
              <w:jc w:val="right"/>
            </w:pPr>
            <w:r>
              <w:rPr>
                <w:rFonts w:cs="Times New Roman"/>
              </w:rPr>
              <w:t>98,2</w:t>
            </w:r>
          </w:p>
        </w:tc>
        <w:tc>
          <w:tcPr>
            <w:tcW w:w="1224" w:type="dxa"/>
          </w:tcPr>
          <w:p w:rsidR="005C2091" w:rsidRDefault="00A86293">
            <w:pPr>
              <w:pStyle w:val="CellColumn"/>
              <w:jc w:val="right"/>
            </w:pPr>
            <w:r>
              <w:rPr>
                <w:rFonts w:cs="Times New Roman"/>
              </w:rPr>
              <w:t>61,1</w:t>
            </w:r>
          </w:p>
        </w:tc>
      </w:tr>
    </w:tbl>
    <w:p w:rsidR="005C2091" w:rsidRDefault="005C2091">
      <w:pPr>
        <w:jc w:val="left"/>
      </w:pPr>
    </w:p>
    <w:p w:rsidR="005C2091" w:rsidRDefault="00A86293">
      <w:pPr>
        <w:pStyle w:val="Heading8"/>
        <w:jc w:val="left"/>
      </w:pPr>
      <w:r>
        <w:t>Zakonske i druge pravne osnove</w:t>
      </w:r>
    </w:p>
    <w:p w:rsidR="005C2091" w:rsidRDefault="00A86293">
      <w:r>
        <w:t>Zakon o policiji (NN 34/11, 130/12, 151/14, 33/15) - čl. 28 policijski službenik zadužuje službenu značku, službenu iskaznicu, oružje i streljivo, službenu odoru te drugu propisanu opremu, Zakon o policijskim poslovima i ovlastima (NN 76/09, 92/14) – čl. 15 odora policijskih službenika - Uredba o izgledu odora policijskih službenika Ministarstva unutarnjih poslova (NN 88/11, 129/11, 100/13), čl. 16. – građansko odijelo – Pravilnik o načinu i uvjetima za ostvarivanje prava policijskih službenika na građansko odijelo (NN64/11), čl. 21 – službeno naoružanje, streljivo i oprema – Uredba o vrstama naoružanja i opreme policijskih službenika (NN 42/06).</w:t>
      </w:r>
    </w:p>
    <w:p w:rsidR="005C2091" w:rsidRDefault="00A86293">
      <w:pPr>
        <w:pStyle w:val="Heading8"/>
        <w:jc w:val="left"/>
      </w:pPr>
      <w:r>
        <w:t>Opis aktivnosti</w:t>
      </w:r>
    </w:p>
    <w:p w:rsidR="005C2091" w:rsidRDefault="00A86293">
      <w:r>
        <w:t xml:space="preserve">Od najznačajnijih predmeta nabave unutar ovog projekta potrebno je istaknuti slijedeće:                  </w:t>
      </w:r>
    </w:p>
    <w:p w:rsidR="005C2091" w:rsidRDefault="00A86293">
      <w:r>
        <w:t>- nabavu službene, radne i zaštitne odjeće i obuće u iznosu od 50,4 mil kn (od čega je nabavljena odora u iznosu od 39,7 mil kn i civilna odijela u iznosu od 10,4 mil kn). Ovdje je važno napomenuti da je početni plan za nabavu odore iznosio 73,8 mil kn, obzirom da sukladno važećoj Uredbi potrebna sredstva za nabavu odore na godišnjem nivou iznose 90 - 100 mil kn. Međutim obzirom na dugotrajan postupak nabave kao i zbog postupaka koji su u žalbi te poništenja dijela natječaja javne nabave plan odore</w:t>
      </w:r>
      <w:r w:rsidR="000A6D36">
        <w:t xml:space="preserve"> je rebalansom smanjen</w:t>
      </w:r>
      <w:r>
        <w:t xml:space="preserve">  </w:t>
      </w:r>
    </w:p>
    <w:p w:rsidR="005C2091" w:rsidRDefault="00A86293">
      <w:r>
        <w:t xml:space="preserve">- nabavu policijske opreme u iznosu od 4,82 mil kn – nabava i postava video nadzora, nadogradnja sustava kontrole prolaza 2016. AVS za Policijsku Akademiju, taktičke svjetiljke, kompletna ronilačka i skijaška oprema, izolacijski dišni aparat Drager, naočale za noćno letenje, kompenzatori za dvobočnik s priborom, kamera, modul zaslona, teleskopski štap, termosublimacijski printer, puška PA H&amp;K G28E2, nabava audio-video i ostale specijalne opreme, ključarski komplet alata, kamere, računalo minijaturno, kompjuter ronilački, te oprema nabavljena kroz klasificiranu nabavu u iznosu od 3,38 mil kn </w:t>
      </w:r>
    </w:p>
    <w:p w:rsidR="005C2091" w:rsidRDefault="00A86293">
      <w:r>
        <w:t xml:space="preserve">- otkup 32 vozila u iznosu od 2,07 mil kn (16 kombi vozila za prijevoz uhićenih osoba, 12 pick up dostavnih vozila za prijevoz pasa te 4 terenska vozila) za što je dobivena suglasnost Vlade RH </w:t>
      </w:r>
    </w:p>
    <w:p w:rsidR="005C2091" w:rsidRDefault="00A86293">
      <w:r>
        <w:t xml:space="preserve">- nabavu opreme za ostale namjene u vrijednosti od 1,5 mil kn - najveći dio u iznosu od cca 0,9 mil kn odnosi se na opremu za CKV (mikrovaga, plinski kromatograf, kružna treskalica, stereomikroskop), zatim na klima uređaje </w:t>
      </w:r>
      <w:r>
        <w:lastRenderedPageBreak/>
        <w:t xml:space="preserve">iznos od cca 0,33 mil kn, šalterski pokazivač 0,13 mil kn, te ostale uređaje (sušilica rublja, hladnjak, miniwash, kontejner za Porin) </w:t>
      </w:r>
    </w:p>
    <w:p w:rsidR="005C2091" w:rsidRDefault="00A86293">
      <w:r>
        <w:t>- nabavu streljiva u iznosu od 0,27 mil kn (tek je krajem 2016.g. ugovorena nabava streljiva u iznosu od cca 4,2 mil kn, a realizacija će uslijediti tek u 2017.g.)</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stranih policijskih organizacija čiji su policijski službenici uključeni u turističku sezonu</w:t>
            </w:r>
          </w:p>
        </w:tc>
        <w:tc>
          <w:tcPr>
            <w:tcW w:w="2551" w:type="dxa"/>
          </w:tcPr>
          <w:p w:rsidR="005C2091" w:rsidRDefault="00A86293">
            <w:pPr>
              <w:pStyle w:val="CellColumn"/>
              <w:jc w:val="left"/>
            </w:pPr>
            <w:r>
              <w:rPr>
                <w:rFonts w:cs="Times New Roman"/>
              </w:rPr>
              <w:t>Broj stranih policijskih organizacija čiji su policijski službenici uključeni u turističku sezonu</w:t>
            </w:r>
          </w:p>
        </w:tc>
        <w:tc>
          <w:tcPr>
            <w:tcW w:w="1020" w:type="dxa"/>
          </w:tcPr>
          <w:p w:rsidR="005C2091" w:rsidRDefault="00A86293">
            <w:pPr>
              <w:pStyle w:val="CellColumn"/>
              <w:jc w:val="right"/>
            </w:pPr>
            <w:r>
              <w:rPr>
                <w:rFonts w:cs="Times New Roman"/>
              </w:rPr>
              <w:t>Broj (godišnje)</w:t>
            </w:r>
          </w:p>
        </w:tc>
        <w:tc>
          <w:tcPr>
            <w:tcW w:w="1020" w:type="dxa"/>
          </w:tcPr>
          <w:p w:rsidR="005C2091" w:rsidRDefault="00A86293">
            <w:pPr>
              <w:pStyle w:val="CellColumn"/>
              <w:jc w:val="right"/>
            </w:pPr>
            <w:r>
              <w:rPr>
                <w:rFonts w:cs="Times New Roman"/>
              </w:rPr>
              <w:t>13</w:t>
            </w:r>
          </w:p>
        </w:tc>
        <w:tc>
          <w:tcPr>
            <w:tcW w:w="1020" w:type="dxa"/>
          </w:tcPr>
          <w:p w:rsidR="005C2091" w:rsidRDefault="00A86293">
            <w:pPr>
              <w:pStyle w:val="CellColumn"/>
              <w:jc w:val="right"/>
            </w:pPr>
            <w:r>
              <w:rPr>
                <w:rFonts w:cs="Times New Roman"/>
              </w:rPr>
              <w:t>MUP</w:t>
            </w:r>
          </w:p>
        </w:tc>
        <w:tc>
          <w:tcPr>
            <w:tcW w:w="1020" w:type="dxa"/>
          </w:tcPr>
          <w:p w:rsidR="005C2091" w:rsidRDefault="00A86293">
            <w:pPr>
              <w:pStyle w:val="CellColumn"/>
              <w:jc w:val="right"/>
            </w:pPr>
            <w:r>
              <w:rPr>
                <w:rFonts w:cs="Times New Roman"/>
              </w:rPr>
              <w:t>13</w:t>
            </w:r>
          </w:p>
        </w:tc>
        <w:tc>
          <w:tcPr>
            <w:tcW w:w="1020" w:type="dxa"/>
          </w:tcPr>
          <w:p w:rsidR="005C2091" w:rsidRDefault="00A86293">
            <w:pPr>
              <w:pStyle w:val="CellColumn"/>
              <w:jc w:val="right"/>
            </w:pPr>
            <w:r>
              <w:rPr>
                <w:rFonts w:cs="Times New Roman"/>
              </w:rPr>
              <w:t>17</w:t>
            </w:r>
          </w:p>
        </w:tc>
      </w:tr>
      <w:tr w:rsidR="005C2091">
        <w:trPr>
          <w:jc w:val="center"/>
        </w:trPr>
        <w:tc>
          <w:tcPr>
            <w:tcW w:w="2551" w:type="dxa"/>
          </w:tcPr>
          <w:p w:rsidR="005C2091" w:rsidRDefault="00A86293">
            <w:pPr>
              <w:pStyle w:val="CellColumn"/>
              <w:jc w:val="left"/>
            </w:pPr>
            <w:r>
              <w:rPr>
                <w:rFonts w:cs="Times New Roman"/>
              </w:rPr>
              <w:t>Koeficijent razrješenosti svih kaznenih djela</w:t>
            </w:r>
          </w:p>
        </w:tc>
        <w:tc>
          <w:tcPr>
            <w:tcW w:w="2551" w:type="dxa"/>
          </w:tcPr>
          <w:p w:rsidR="005C2091" w:rsidRDefault="00A86293">
            <w:pPr>
              <w:pStyle w:val="CellColumn"/>
              <w:jc w:val="left"/>
            </w:pPr>
            <w:r>
              <w:rPr>
                <w:rFonts w:cs="Times New Roman"/>
              </w:rPr>
              <w:t>Koeficijent razrješenosti svih kaznenih djela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48,60</w:t>
            </w:r>
          </w:p>
        </w:tc>
        <w:tc>
          <w:tcPr>
            <w:tcW w:w="1020" w:type="dxa"/>
          </w:tcPr>
          <w:p w:rsidR="005C2091" w:rsidRDefault="00A86293">
            <w:pPr>
              <w:pStyle w:val="CellColumn"/>
              <w:jc w:val="right"/>
            </w:pPr>
            <w:r>
              <w:rPr>
                <w:rFonts w:cs="Times New Roman"/>
              </w:rPr>
              <w:t>MUP</w:t>
            </w:r>
          </w:p>
        </w:tc>
        <w:tc>
          <w:tcPr>
            <w:tcW w:w="1020" w:type="dxa"/>
          </w:tcPr>
          <w:p w:rsidR="005C2091" w:rsidRDefault="00A86293">
            <w:pPr>
              <w:pStyle w:val="CellColumn"/>
              <w:jc w:val="right"/>
            </w:pPr>
            <w:r>
              <w:rPr>
                <w:rFonts w:cs="Times New Roman"/>
              </w:rPr>
              <w:t>48,80</w:t>
            </w:r>
          </w:p>
        </w:tc>
        <w:tc>
          <w:tcPr>
            <w:tcW w:w="1020" w:type="dxa"/>
          </w:tcPr>
          <w:p w:rsidR="005C2091" w:rsidRDefault="00A86293">
            <w:pPr>
              <w:pStyle w:val="CellColumn"/>
              <w:jc w:val="right"/>
            </w:pPr>
            <w:r>
              <w:rPr>
                <w:rFonts w:cs="Times New Roman"/>
              </w:rPr>
              <w:t>63,5</w:t>
            </w:r>
          </w:p>
        </w:tc>
      </w:tr>
    </w:tbl>
    <w:p w:rsidR="005C2091" w:rsidRDefault="005C2091">
      <w:pPr>
        <w:jc w:val="left"/>
      </w:pPr>
    </w:p>
    <w:p w:rsidR="005C2091" w:rsidRDefault="00A86293">
      <w:pPr>
        <w:pStyle w:val="Heading4"/>
      </w:pPr>
      <w:r>
        <w:t>K553092 NACIONALNI PROGRAM SIGURNOSTI CESTOVNOG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K553092-NACIONALNI PROGRAM SIGURNOSTI CESTOVNOG PROMETA</w:t>
            </w:r>
          </w:p>
        </w:tc>
        <w:tc>
          <w:tcPr>
            <w:tcW w:w="2041" w:type="dxa"/>
          </w:tcPr>
          <w:p w:rsidR="005C2091" w:rsidRDefault="00A86293">
            <w:pPr>
              <w:pStyle w:val="CellColumn"/>
              <w:jc w:val="right"/>
            </w:pPr>
            <w:r>
              <w:rPr>
                <w:rFonts w:cs="Times New Roman"/>
              </w:rPr>
              <w:t>32.720.481</w:t>
            </w:r>
          </w:p>
        </w:tc>
        <w:tc>
          <w:tcPr>
            <w:tcW w:w="2041" w:type="dxa"/>
          </w:tcPr>
          <w:p w:rsidR="005C2091" w:rsidRDefault="00A86293">
            <w:pPr>
              <w:pStyle w:val="CellColumn"/>
              <w:jc w:val="right"/>
            </w:pPr>
            <w:r>
              <w:rPr>
                <w:rFonts w:cs="Times New Roman"/>
              </w:rPr>
              <w:t>60.000.000</w:t>
            </w:r>
          </w:p>
        </w:tc>
        <w:tc>
          <w:tcPr>
            <w:tcW w:w="2041" w:type="dxa"/>
          </w:tcPr>
          <w:p w:rsidR="005C2091" w:rsidRDefault="00A86293">
            <w:pPr>
              <w:pStyle w:val="CellColumn"/>
              <w:jc w:val="right"/>
            </w:pPr>
            <w:r>
              <w:rPr>
                <w:rFonts w:cs="Times New Roman"/>
              </w:rPr>
              <w:t>59.847.364</w:t>
            </w:r>
          </w:p>
        </w:tc>
        <w:tc>
          <w:tcPr>
            <w:tcW w:w="1224" w:type="dxa"/>
          </w:tcPr>
          <w:p w:rsidR="005C2091" w:rsidRDefault="00A86293">
            <w:pPr>
              <w:pStyle w:val="CellColumn"/>
              <w:jc w:val="right"/>
            </w:pPr>
            <w:r>
              <w:rPr>
                <w:rFonts w:cs="Times New Roman"/>
              </w:rPr>
              <w:t>99,7</w:t>
            </w:r>
          </w:p>
        </w:tc>
        <w:tc>
          <w:tcPr>
            <w:tcW w:w="1224" w:type="dxa"/>
          </w:tcPr>
          <w:p w:rsidR="005C2091" w:rsidRDefault="00A86293">
            <w:pPr>
              <w:pStyle w:val="CellColumn"/>
              <w:jc w:val="right"/>
            </w:pPr>
            <w:r>
              <w:rPr>
                <w:rFonts w:cs="Times New Roman"/>
              </w:rPr>
              <w:t>182,9</w:t>
            </w:r>
          </w:p>
        </w:tc>
      </w:tr>
    </w:tbl>
    <w:p w:rsidR="005C2091" w:rsidRDefault="005C2091">
      <w:pPr>
        <w:jc w:val="left"/>
      </w:pPr>
    </w:p>
    <w:p w:rsidR="005C2091" w:rsidRDefault="00A86293">
      <w:pPr>
        <w:pStyle w:val="Heading8"/>
        <w:jc w:val="left"/>
      </w:pPr>
      <w:r>
        <w:t>Zakonske i druge pravne osnove</w:t>
      </w:r>
    </w:p>
    <w:p w:rsidR="005C2091" w:rsidRDefault="00A86293">
      <w:r>
        <w:t>Nacionalni program sigurnosti cestovnog prometa 2011.-2020. (NN 59/11) - točka 8.</w:t>
      </w:r>
    </w:p>
    <w:p w:rsidR="005C2091" w:rsidRDefault="00A86293">
      <w:pPr>
        <w:pStyle w:val="Heading8"/>
        <w:jc w:val="left"/>
      </w:pPr>
      <w:r>
        <w:t>Opis aktivnosti</w:t>
      </w:r>
    </w:p>
    <w:p w:rsidR="005C2091" w:rsidRDefault="00A86293">
      <w:r>
        <w:t>Nacionalni program sigurnosti cestovnog prometa Republike Hrvatske, temeljni je dokument za podizanje razine sigurnosti cestovnog prometa u RH  na višu i prihvatljiviju razinu od sadašnje. Na području naše države postoji od 1994. godine,  a za njegovog nositelja određeno je Ministarstvo unutarnjih poslova. Budući se navedeni program provodi kontinuirano, sredstva planirana za provedbu NPSCP-a RH za 2016.g. planirana su financijskim planom MUP-a u iznosu od 60.000.000 kn. Sredstva NPSCP-a planirana su na izvoru 43 – sredstva po posebnim propisima, te se ista mogu izvršavati do visine uplaćenih sredstava, kao što se i neutrošena sredstva iz prethodne godine mogu prenositi. Ugovorom o financiranju NPSCP-a Republike Hrvatske za 2011.-2020.g. i opremanju prometne policije za razdoblje 2011.-2020.g. koji je potpisan od strane MUP-a i Centra za vozila Hrvatske utvrđena su međusobna prava i obveze te način sufinanciranja NPSCP-a koji se provodi u cilju smanjenja broja prometnih nesreća i njihovih štetnih posljedica financiranjem preventivnih aktivnosti i nabave uređaja i opreme koju policija koristi u nadzoru i upravljanju prometom na cestama. Za njegovo financiranje CVH-e izdvajati će dio sredstava ostvarenih u obavljanju usluge tehničkih pregleda i registracije vozila, kao i drugih poslova koji se obavljaju u stanicama za tehnički pregled vozila i to onaj dio koji se temeljem propisa namjenski raspoređuje za prometnu preventivu, a koji iznosi 8%.</w:t>
      </w:r>
    </w:p>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poginulih u prometnim nesrećama</w:t>
            </w:r>
          </w:p>
        </w:tc>
        <w:tc>
          <w:tcPr>
            <w:tcW w:w="2551" w:type="dxa"/>
          </w:tcPr>
          <w:p w:rsidR="005C2091" w:rsidRDefault="00A86293">
            <w:pPr>
              <w:pStyle w:val="CellColumn"/>
              <w:jc w:val="left"/>
            </w:pPr>
            <w:r>
              <w:rPr>
                <w:rFonts w:cs="Times New Roman"/>
              </w:rPr>
              <w:t>Broj poginulih u prometnim nesrećama</w:t>
            </w:r>
          </w:p>
        </w:tc>
        <w:tc>
          <w:tcPr>
            <w:tcW w:w="1020" w:type="dxa"/>
          </w:tcPr>
          <w:p w:rsidR="005C2091" w:rsidRDefault="00A86293">
            <w:pPr>
              <w:pStyle w:val="CellColumn"/>
              <w:jc w:val="right"/>
            </w:pPr>
            <w:r>
              <w:rPr>
                <w:rFonts w:cs="Times New Roman"/>
              </w:rPr>
              <w:t>Broj (godišnja vrijednost)</w:t>
            </w:r>
          </w:p>
        </w:tc>
        <w:tc>
          <w:tcPr>
            <w:tcW w:w="1020" w:type="dxa"/>
          </w:tcPr>
          <w:p w:rsidR="005C2091" w:rsidRDefault="00A86293">
            <w:pPr>
              <w:pStyle w:val="CellColumn"/>
              <w:jc w:val="right"/>
            </w:pPr>
            <w:r>
              <w:rPr>
                <w:rFonts w:cs="Times New Roman"/>
              </w:rPr>
              <w:t>308</w:t>
            </w:r>
          </w:p>
        </w:tc>
        <w:tc>
          <w:tcPr>
            <w:tcW w:w="1020" w:type="dxa"/>
          </w:tcPr>
          <w:p w:rsidR="005C2091" w:rsidRDefault="00A86293">
            <w:pPr>
              <w:pStyle w:val="CellColumn"/>
              <w:jc w:val="right"/>
            </w:pPr>
            <w:r>
              <w:rPr>
                <w:rFonts w:cs="Times New Roman"/>
              </w:rPr>
              <w:t>MUP</w:t>
            </w:r>
          </w:p>
        </w:tc>
        <w:tc>
          <w:tcPr>
            <w:tcW w:w="1020" w:type="dxa"/>
          </w:tcPr>
          <w:p w:rsidR="005C2091" w:rsidRDefault="00A86293">
            <w:pPr>
              <w:pStyle w:val="CellColumn"/>
              <w:jc w:val="right"/>
            </w:pPr>
            <w:r>
              <w:rPr>
                <w:rFonts w:cs="Times New Roman"/>
              </w:rPr>
              <w:t>298</w:t>
            </w:r>
          </w:p>
        </w:tc>
        <w:tc>
          <w:tcPr>
            <w:tcW w:w="1020" w:type="dxa"/>
          </w:tcPr>
          <w:p w:rsidR="005C2091" w:rsidRDefault="00A86293">
            <w:pPr>
              <w:pStyle w:val="CellColumn"/>
              <w:jc w:val="right"/>
            </w:pPr>
            <w:r>
              <w:rPr>
                <w:rFonts w:cs="Times New Roman"/>
              </w:rPr>
              <w:t>307</w:t>
            </w:r>
          </w:p>
        </w:tc>
      </w:tr>
    </w:tbl>
    <w:p w:rsidR="005C2091" w:rsidRDefault="005C2091">
      <w:pPr>
        <w:jc w:val="left"/>
      </w:pPr>
    </w:p>
    <w:p w:rsidR="005C2091" w:rsidRDefault="00A86293">
      <w:pPr>
        <w:pStyle w:val="Heading3"/>
      </w:pPr>
      <w:r>
        <w:rPr>
          <w:rFonts w:cs="Times New Roman"/>
        </w:rPr>
        <w:t>2602 UPRAVLJANJE DRŽAVNIM GRANICAMA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2602-UPRAVLJANJE DRŽAVNIM GRANICAMA</w:t>
            </w:r>
          </w:p>
        </w:tc>
        <w:tc>
          <w:tcPr>
            <w:tcW w:w="2041" w:type="dxa"/>
          </w:tcPr>
          <w:p w:rsidR="005C2091" w:rsidRDefault="00A86293">
            <w:pPr>
              <w:pStyle w:val="CellColumn"/>
              <w:jc w:val="right"/>
            </w:pPr>
            <w:r>
              <w:rPr>
                <w:rFonts w:cs="Times New Roman"/>
              </w:rPr>
              <w:t>297.137.617</w:t>
            </w:r>
          </w:p>
        </w:tc>
        <w:tc>
          <w:tcPr>
            <w:tcW w:w="2041" w:type="dxa"/>
          </w:tcPr>
          <w:p w:rsidR="005C2091" w:rsidRDefault="00A86293">
            <w:pPr>
              <w:pStyle w:val="CellColumn"/>
              <w:jc w:val="right"/>
            </w:pPr>
            <w:r>
              <w:rPr>
                <w:rFonts w:cs="Times New Roman"/>
              </w:rPr>
              <w:t>658.057.000</w:t>
            </w:r>
          </w:p>
        </w:tc>
        <w:tc>
          <w:tcPr>
            <w:tcW w:w="2041" w:type="dxa"/>
          </w:tcPr>
          <w:p w:rsidR="005C2091" w:rsidRDefault="00A86293">
            <w:pPr>
              <w:pStyle w:val="CellColumn"/>
              <w:jc w:val="right"/>
            </w:pPr>
            <w:r>
              <w:rPr>
                <w:rFonts w:cs="Times New Roman"/>
              </w:rPr>
              <w:t>668.876.055</w:t>
            </w:r>
          </w:p>
        </w:tc>
        <w:tc>
          <w:tcPr>
            <w:tcW w:w="1224" w:type="dxa"/>
          </w:tcPr>
          <w:p w:rsidR="005C2091" w:rsidRDefault="00A86293">
            <w:pPr>
              <w:pStyle w:val="CellColumn"/>
              <w:jc w:val="right"/>
            </w:pPr>
            <w:r>
              <w:rPr>
                <w:rFonts w:cs="Times New Roman"/>
              </w:rPr>
              <w:t>101,6</w:t>
            </w:r>
          </w:p>
        </w:tc>
        <w:tc>
          <w:tcPr>
            <w:tcW w:w="1224" w:type="dxa"/>
          </w:tcPr>
          <w:p w:rsidR="005C2091" w:rsidRDefault="00A86293">
            <w:pPr>
              <w:pStyle w:val="CellColumn"/>
              <w:jc w:val="right"/>
            </w:pPr>
            <w:r>
              <w:rPr>
                <w:rFonts w:cs="Times New Roman"/>
              </w:rPr>
              <w:t>225,1</w:t>
            </w:r>
          </w:p>
        </w:tc>
      </w:tr>
    </w:tbl>
    <w:p w:rsidR="005C2091" w:rsidRDefault="005C2091">
      <w:pPr>
        <w:jc w:val="left"/>
      </w:pPr>
    </w:p>
    <w:p w:rsidR="005C2091" w:rsidRDefault="00A86293">
      <w:r>
        <w:t>U okviru programa Upravljanje državnim granicama Ministarstvo unutarnjih poslova obavlja poslove vezano uz nadzor i osiguranje državne granice. Program se temelji na Stragegiji granične policije Republike Hrvatske u okviru primjene Schengenskog pravnog sustava na vanjskoj granici Europske unije. Planirana sredstva su raspoređena na projekte iz kojih je, između ostalog, financirano tehničko opremanje i obuka granične policije.</w:t>
      </w:r>
    </w:p>
    <w:p w:rsidR="005C2091" w:rsidRDefault="00A86293">
      <w:pPr>
        <w:pStyle w:val="Heading8"/>
        <w:jc w:val="left"/>
      </w:pPr>
      <w:r>
        <w:t>Cilj 1. Jačati sigurnost na državnoj granici, u zračnom prometu i plovidbi</w:t>
      </w:r>
    </w:p>
    <w:p w:rsidR="005C2091" w:rsidRDefault="00A86293">
      <w:pPr>
        <w:pStyle w:val="Heading8"/>
        <w:jc w:val="left"/>
      </w:pPr>
      <w:r>
        <w:t>Opis provedbe cilja programa</w:t>
      </w:r>
    </w:p>
    <w:p w:rsidR="005C2091" w:rsidRDefault="00A86293">
      <w:r>
        <w:t>Kao četvrti posebni cilj policije u 2016. godini u Strateškom planu MUP-a i drugih institucija u funkciji zaštite i spašavanja za razdoblje 2016. - 2018. ističe se jačanje sigurnosti na državnoj granici, u civilnom zračnom prometu i plovidbi što uključuje: izdavanje dokumenata na graničnim prijelazima, odbijanje ulaska i izlaska, zlouporabu putnih dokumenata, prekogranični kriminalitet i prekršaje na granici, nezakonite migracije, prihvat i vraćanje stranaca na granici, prisilna udaljenja stranaca i povrede državne granice, poslove pomorske i aerodromske policije, mobilne jedinice za nadzor granice te Prihvatnog centra za strance i pitanje azila. Zbog svojekg specifičnog geopolitičkog položaja i oblika državnog teritorija Republike Hrvatske osiguranje nesmetanog protoka ljudi i roba, uz istodobno sprječavanje nezakonitih prelazaka preko državne granice i svih oblika prekograničnog kriminala, izuzetno je zahtjevna zadaća. Dužnost i obveza Uprave za granicu također je nadzirati provedbu svih aktivnosti, pratiti i predlagati izmjene nacionalnog zakonodavstva u svrhu uskladbe sa schengenskom pravnom stečevinom. Uprava za granicu nadzire i usmjerava obuku granične policije, nabavlja i raspoređuje tehničku opremu, predlaže i prati provedbu infrastrukturnih objekata te provodi druge aktivnosti od strateškog značaja da bi se postigla i održala eurupska razina sigurnosti državne granice, istodobno osiguravajući načela slobode kretanja. Da bi se to postiglo, Uprava za granicu surađuje s nadležnim agencijama drugih država (bilateralni i multilateralni sastanci, zajedničke aktivnosti, razmjena podataka o nadzoru državne granice, ali i vanjskih granica EU i suzbijanje nezakonitih migracija, izobrazba pripadnika graničnih policija, procjene i analize rizika, sudjeluje u pripremi i izradi međunarodnih i međudržavnih ugovora te brine o njihovoj provedbi). U tom sklopu obveza sudjeluju i u radu specijaliziranih europskih tijela i agencija i međudržavnih komisija i drugih odgovornih tijela. Zbog stalne opasnosti od terorističkih napada, kontrola putnika u zračnom prometu zahtjeva izuzetnu opremljenost, stručnu osposobljenost i odgovornost kako policijskih službenika, tako i i djelatnika privatnih tvrtki u zračnim lukama u kojima privatne tvrtke sudjeluju u obavljanju poslova zaštitnih pregleda putnika i ručne prtljage. Da bi se održala  i unaprijedila visoka razina sigurnosti, stalno se poboljšavaju postojeće i primjenjuju nove metode i tehnike u nadzoru koje zahtijevaju dosljednu primjenu. Pomorski i riječni promet izložen je sigurnosnim rizicima o kojima brinu pripadnici pomorske i riječne policije. Nadzorom plovnih putova i sudionika plovidbe policijski službenici potiču poštivanje sigurnosnih pravila.</w:t>
      </w:r>
    </w:p>
    <w:p w:rsidR="005C2091" w:rsidRDefault="00A86293">
      <w:pPr>
        <w:pStyle w:val="Heading4"/>
      </w:pPr>
      <w:r>
        <w:lastRenderedPageBreak/>
        <w:t>K553142 SCHENGENSKI INSTRUMENT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K553142-SCHENGENSKI INSTRUMENT</w:t>
            </w:r>
          </w:p>
        </w:tc>
        <w:tc>
          <w:tcPr>
            <w:tcW w:w="2041" w:type="dxa"/>
          </w:tcPr>
          <w:p w:rsidR="005C2091" w:rsidRDefault="00A86293">
            <w:pPr>
              <w:pStyle w:val="CellColumn"/>
              <w:jc w:val="right"/>
            </w:pPr>
            <w:r>
              <w:rPr>
                <w:rFonts w:cs="Times New Roman"/>
              </w:rPr>
              <w:t>273.762.237</w:t>
            </w:r>
          </w:p>
        </w:tc>
        <w:tc>
          <w:tcPr>
            <w:tcW w:w="2041" w:type="dxa"/>
          </w:tcPr>
          <w:p w:rsidR="005C2091" w:rsidRDefault="00A86293">
            <w:pPr>
              <w:pStyle w:val="CellColumn"/>
              <w:jc w:val="right"/>
            </w:pPr>
            <w:r>
              <w:rPr>
                <w:rFonts w:cs="Times New Roman"/>
              </w:rPr>
              <w:t>618.154.000</w:t>
            </w:r>
          </w:p>
        </w:tc>
        <w:tc>
          <w:tcPr>
            <w:tcW w:w="2041" w:type="dxa"/>
          </w:tcPr>
          <w:p w:rsidR="005C2091" w:rsidRDefault="00A86293">
            <w:pPr>
              <w:pStyle w:val="CellColumn"/>
              <w:jc w:val="right"/>
            </w:pPr>
            <w:r>
              <w:rPr>
                <w:rFonts w:cs="Times New Roman"/>
              </w:rPr>
              <w:t>635.198.446</w:t>
            </w:r>
          </w:p>
        </w:tc>
        <w:tc>
          <w:tcPr>
            <w:tcW w:w="1224" w:type="dxa"/>
          </w:tcPr>
          <w:p w:rsidR="005C2091" w:rsidRDefault="00A86293">
            <w:pPr>
              <w:pStyle w:val="CellColumn"/>
              <w:jc w:val="right"/>
            </w:pPr>
            <w:r>
              <w:rPr>
                <w:rFonts w:cs="Times New Roman"/>
              </w:rPr>
              <w:t>102,8</w:t>
            </w:r>
          </w:p>
        </w:tc>
        <w:tc>
          <w:tcPr>
            <w:tcW w:w="1224" w:type="dxa"/>
          </w:tcPr>
          <w:p w:rsidR="005C2091" w:rsidRDefault="00A86293">
            <w:pPr>
              <w:pStyle w:val="CellColumn"/>
              <w:jc w:val="right"/>
            </w:pPr>
            <w:r>
              <w:rPr>
                <w:rFonts w:cs="Times New Roman"/>
              </w:rPr>
              <w:t>232,0</w:t>
            </w:r>
          </w:p>
        </w:tc>
      </w:tr>
    </w:tbl>
    <w:p w:rsidR="005C2091" w:rsidRDefault="005C2091">
      <w:pPr>
        <w:jc w:val="left"/>
      </w:pPr>
    </w:p>
    <w:p w:rsidR="005C2091" w:rsidRDefault="00A86293">
      <w:pPr>
        <w:pStyle w:val="Heading8"/>
        <w:jc w:val="left"/>
      </w:pPr>
      <w:r>
        <w:t>Zakonske i druge pravne osnove</w:t>
      </w:r>
    </w:p>
    <w:p w:rsidR="005C2091" w:rsidRDefault="00A86293">
      <w:r>
        <w:t>Zakon o nadzoru državne granice, (NN 173/03, 141/06, 8/07, 40/07, 146/08, 130/11, 83/13, 27/16) - čl. 14, Zakon o strancima, (NN 79/07 i 109/03) - čl. 67, Akt o uvjetima pristupanja Republike Hrvatske i prilagodbama Ugovora o Europskoj uniji, Ugovora o funkcioniranju Europske unije i Ugovora o osnivanju Europske zajednice za atomsku energiju - čl. 31, Odluka Komisije C(2013) 2159 od 22. travnja 2013. godine o upravljanju i kontroli Schengenskog instrumenta u Hrvatskoj - čl. 3 i čl. 8, Odluka Komisije C(2013) 9257 final od 18.12.2013. o Odluci o financiranju godišnjeg iznosa Schengenskog instrumenta za Hrvatsku za 2014 godinu - čl. 2, Odluka Vlade Republike Hrvatske od 28. studenog 2013. godine o uspostavljanju sustava upravljanja i kontrole Schengenskog instrumenta - čl. 2, Provedbena Odluka Komisije C(2016)4655 final od 22.07.2016. o izmjeni Odluke Komisije C(2013)2159 od 22. travnja 2013. o upravljanju i kontroli nad Schengenskim instrumentom u Hrvatskoj  čl. 1, Provedbena Odluka Komisije C(2016)4656 final od 22.07.2016. o izmjeni Odluke Komisije C(2013) 9257 od 18. prosinca 2013. o Odluci o financiranju godišnjeg iznosa Schengenskog instrumenta za Hrvatsku za 2014. godinu - čl. 1.</w:t>
      </w:r>
    </w:p>
    <w:p w:rsidR="005C2091" w:rsidRDefault="00A86293">
      <w:pPr>
        <w:pStyle w:val="Heading8"/>
        <w:jc w:val="left"/>
      </w:pPr>
      <w:r>
        <w:t>Opis aktivnosti</w:t>
      </w:r>
    </w:p>
    <w:p w:rsidR="005C2091" w:rsidRDefault="00A86293">
      <w:r>
        <w:t xml:space="preserve">Schengenski instrument je privremeni financijski instrument koji se uspostavlja pri ulasku država u članstvo Europske unije u svrhu financiranja mjera na novim vanjskim granicama Europske unije i priprema za punu primjenu Schengenske pravne stečevine. Za Republiku Hrvatsku utemeljen je odredbama članka 31. Akta o uvjetima pristupanja Republike Hrvatske i prilagodbama Ugovora o Europskoj uniji, Ugovora o funkcioniranju Europske unije i Ugovora o osnivanju Europske zajednice za atomsku energiju i njime je Europska unija stavila na raspolaganje Republici Hrvatskoj 120 milijuna eura. Europska komisija je donijela 22. travnja 2013. godine Odluku o upravljanju i kontroli nad Schengenskim instrumentom u Hrvatskoj C(2013) 2159 i 18.12.2013. godine Odluku o financiranju godišnjeg iznosa Schengenkog instrumenta za Hrvatsku za 2014. kojom definira okvir za korištenje sredstava dodijeljenih Republici Hrvatskoj u sklopu Schengenskog instrumetna. Europska komisija je 24.07.2013. uplatila 40 milijuna eura i 21.01.2014. 80 milijuna eura. Vlada Republike Hrvatske donijela je 28. studenog 2013. godine Odluku o uspostavljanju sustava upravljanja i kontrole Schengenskog instrumenta kojom je određeno Ministarstvo unutarnjih poslova koa odogovrno tijelo, Ministarstvo financija kao tijelo za ovjeravanje i Agencija za reviziju programa i projekata Europske unije kao revizorsko tijelo. Ministarstvo unutarnjih poslova je tražilo Europsku komisiju produženje roka korištenja Schengenskog instrumenta koji je bio do 23. srpnja 2016. godine. Europska komisija je 22. srpnja 2016. godine donijela Provedbenu odluku C(2016) 4655 final o izmjeni Odluke Komisije C(2013) 2159 od 22. travnja 2013. o upravljanju i kontroli nad Schengenskim instrumentom u Hrvatskoj  i Provedbenu odluku C(2016) 4656 final o izmjeni Odluke Komisije C(2013) 9257 od 18. prosinca 2013. o odluci o financiranju godišnjeg iznosa Schengenskog isntrumenta za Hrvatsku za 2014. kojima je produžila rok za provođenje svih aktivnosti i plaćanja iz Schengenskog instrumenta do 21. siječnja 2017. godine. </w:t>
      </w:r>
    </w:p>
    <w:p w:rsidR="005C2091" w:rsidRDefault="00A86293">
      <w:r>
        <w:t xml:space="preserve">Projekt je u Državnoj riznici otvoren 2014. godine. Sukladno Schengenskom instrumetnu te Indikativnom programu izrađen je Plan nabave za razdoblje 2014.-2016. kao i njegove Izmjene i dopune koje su bile temelj za realizaciju. Republika Hrvatska, odnosno Ministarstvo unutarnjih poslova u obvezi je snositi trošak PDV-a (financiranje iz Izvora 11 Opći prihodi i primici). Na Izvoru 11 Opći prihodi i primici za plaćanje PDV-a u 2016. godini planirano je 108.000.000 kn, a utrošeno je 107.944.116 kn, dok je na Izvoru 571 Schengenski instrument planirano 510.154.000 kn, a utrošeno je 527.254.329 kn odnosno 69.799.903 eur-a. Kroz Schengenski instrument tijekom 2016. godine financiralo se: ulaganje u obnovu policijskih policijskih postaja (Ilok, Dalj), izgradnju postaja granične policije (Metković, Bajakovo, Slavonski Brod, Stara Gradiška, Donji Srb, Donji Lapac), obnovu postaje granične policije (Mladost u Kuprarima), izgradnju tranzitnih centara za prihvat stranaca Trilj (i postaja granične policije Trilj) i Tovarnik, nabavu namještaja i opreme za navedene objekte, nabavu nove tehničke opreme za nadzor i kontrolu vanjskih granica, nabavu 7 policijskih plovila TIP C (za kontrolu i nadzor granice na rijekama) sa </w:t>
      </w:r>
      <w:r>
        <w:lastRenderedPageBreak/>
        <w:t>ugrađenim termovizijskim sustavom, 3 komada TIP B i 1 komad TIP A (za kontrolu i nadzor granice na moru), 2 helikoptera, izvođenje radova na uređenju hangara u Lučkom za potrebne smještaja dva helikoptera, 23 schengen busa (multifunkcionalno vozilo za pojačani nadzor državne granice), nabavu motorističke opreme za graničnu policiju, nabavu osnovne policijske odore.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Potpuna implementacija organizacijsko-kadrovskog koncepta granične policije</w:t>
            </w:r>
          </w:p>
        </w:tc>
        <w:tc>
          <w:tcPr>
            <w:tcW w:w="2551" w:type="dxa"/>
          </w:tcPr>
          <w:p w:rsidR="005C2091" w:rsidRDefault="00A86293">
            <w:pPr>
              <w:pStyle w:val="CellColumn"/>
              <w:jc w:val="left"/>
            </w:pPr>
            <w:r>
              <w:rPr>
                <w:rFonts w:cs="Times New Roman"/>
              </w:rPr>
              <w:t>Potpuna implementacija organizacijsko-kadrovskog koncepta granične policije</w:t>
            </w:r>
          </w:p>
        </w:tc>
        <w:tc>
          <w:tcPr>
            <w:tcW w:w="1020" w:type="dxa"/>
          </w:tcPr>
          <w:p w:rsidR="005C2091" w:rsidRDefault="00A86293">
            <w:pPr>
              <w:pStyle w:val="CellColumn"/>
              <w:jc w:val="right"/>
            </w:pPr>
            <w:r>
              <w:rPr>
                <w:rFonts w:cs="Times New Roman"/>
              </w:rPr>
              <w:t>Broj policijskih službenika</w:t>
            </w:r>
          </w:p>
        </w:tc>
        <w:tc>
          <w:tcPr>
            <w:tcW w:w="1020" w:type="dxa"/>
          </w:tcPr>
          <w:p w:rsidR="005C2091" w:rsidRDefault="00A86293">
            <w:pPr>
              <w:pStyle w:val="CellColumn"/>
              <w:jc w:val="right"/>
            </w:pPr>
            <w:r>
              <w:rPr>
                <w:rFonts w:cs="Times New Roman"/>
              </w:rPr>
              <w:t>6200</w:t>
            </w:r>
          </w:p>
        </w:tc>
        <w:tc>
          <w:tcPr>
            <w:tcW w:w="1020" w:type="dxa"/>
          </w:tcPr>
          <w:p w:rsidR="005C2091" w:rsidRDefault="00A86293">
            <w:pPr>
              <w:pStyle w:val="CellColumn"/>
              <w:jc w:val="right"/>
            </w:pPr>
            <w:r>
              <w:rPr>
                <w:rFonts w:cs="Times New Roman"/>
              </w:rPr>
              <w:t>MUP</w:t>
            </w:r>
          </w:p>
        </w:tc>
        <w:tc>
          <w:tcPr>
            <w:tcW w:w="1020" w:type="dxa"/>
          </w:tcPr>
          <w:p w:rsidR="005C2091" w:rsidRDefault="00A86293">
            <w:pPr>
              <w:pStyle w:val="CellColumn"/>
              <w:jc w:val="right"/>
            </w:pPr>
            <w:r>
              <w:rPr>
                <w:rFonts w:cs="Times New Roman"/>
              </w:rPr>
              <w:t>6300</w:t>
            </w:r>
          </w:p>
        </w:tc>
        <w:tc>
          <w:tcPr>
            <w:tcW w:w="1020" w:type="dxa"/>
          </w:tcPr>
          <w:p w:rsidR="005C2091" w:rsidRDefault="00A86293">
            <w:pPr>
              <w:pStyle w:val="CellColumn"/>
              <w:jc w:val="right"/>
            </w:pPr>
            <w:r>
              <w:rPr>
                <w:rFonts w:cs="Times New Roman"/>
              </w:rPr>
              <w:t>6040</w:t>
            </w:r>
          </w:p>
        </w:tc>
      </w:tr>
      <w:tr w:rsidR="005C2091">
        <w:trPr>
          <w:jc w:val="center"/>
        </w:trPr>
        <w:tc>
          <w:tcPr>
            <w:tcW w:w="2551" w:type="dxa"/>
          </w:tcPr>
          <w:p w:rsidR="005C2091" w:rsidRDefault="00A86293">
            <w:pPr>
              <w:pStyle w:val="CellColumn"/>
              <w:jc w:val="left"/>
            </w:pPr>
            <w:r>
              <w:rPr>
                <w:rFonts w:cs="Times New Roman"/>
              </w:rPr>
              <w:t>Proširenje postojećeg Podsustava za nadzor državne granice na moru (VTMS-Vessel Traffic Maritime Information System)</w:t>
            </w:r>
          </w:p>
        </w:tc>
        <w:tc>
          <w:tcPr>
            <w:tcW w:w="2551" w:type="dxa"/>
          </w:tcPr>
          <w:p w:rsidR="005C2091" w:rsidRDefault="00A86293">
            <w:pPr>
              <w:pStyle w:val="CellColumn"/>
              <w:jc w:val="left"/>
            </w:pPr>
            <w:r>
              <w:rPr>
                <w:rFonts w:cs="Times New Roman"/>
              </w:rPr>
              <w:t>Proširenje postojećeg Podsustava za nadzor državne granice na moru (VTMS-Vessel Traffic Maritime Information System)</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70</w:t>
            </w:r>
          </w:p>
        </w:tc>
        <w:tc>
          <w:tcPr>
            <w:tcW w:w="1020" w:type="dxa"/>
          </w:tcPr>
          <w:p w:rsidR="005C2091" w:rsidRDefault="00A86293">
            <w:pPr>
              <w:pStyle w:val="CellColumn"/>
              <w:jc w:val="right"/>
            </w:pPr>
            <w:r>
              <w:rPr>
                <w:rFonts w:cs="Times New Roman"/>
              </w:rPr>
              <w:t>MUP</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bl>
    <w:p w:rsidR="005C2091" w:rsidRDefault="005C2091">
      <w:pPr>
        <w:jc w:val="left"/>
      </w:pPr>
    </w:p>
    <w:p w:rsidR="000A6D36" w:rsidRDefault="000A6D36">
      <w:pPr>
        <w:jc w:val="left"/>
      </w:pPr>
    </w:p>
    <w:p w:rsidR="005C2091" w:rsidRDefault="00A86293">
      <w:pPr>
        <w:pStyle w:val="Heading2"/>
      </w:pPr>
      <w:r>
        <w:t>04030 Proračunski korisnici u funkciji zaštite i spašavanja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21908-Hrvatska vatrogasna zajednica</w:t>
            </w:r>
          </w:p>
        </w:tc>
        <w:tc>
          <w:tcPr>
            <w:tcW w:w="2041" w:type="dxa"/>
          </w:tcPr>
          <w:p w:rsidR="005C2091" w:rsidRDefault="00A86293">
            <w:pPr>
              <w:pStyle w:val="CellColumn"/>
              <w:jc w:val="right"/>
            </w:pPr>
            <w:r>
              <w:rPr>
                <w:rFonts w:cs="Times New Roman"/>
              </w:rPr>
              <w:t>11.080.212</w:t>
            </w:r>
          </w:p>
        </w:tc>
        <w:tc>
          <w:tcPr>
            <w:tcW w:w="2041" w:type="dxa"/>
          </w:tcPr>
          <w:p w:rsidR="005C2091" w:rsidRDefault="00A86293">
            <w:pPr>
              <w:pStyle w:val="CellColumn"/>
              <w:jc w:val="right"/>
            </w:pPr>
            <w:r>
              <w:rPr>
                <w:rFonts w:cs="Times New Roman"/>
              </w:rPr>
              <w:t>10.910.000</w:t>
            </w:r>
          </w:p>
        </w:tc>
        <w:tc>
          <w:tcPr>
            <w:tcW w:w="2041" w:type="dxa"/>
          </w:tcPr>
          <w:p w:rsidR="005C2091" w:rsidRDefault="00A86293">
            <w:pPr>
              <w:pStyle w:val="CellColumn"/>
              <w:jc w:val="right"/>
            </w:pPr>
            <w:r>
              <w:rPr>
                <w:rFonts w:cs="Times New Roman"/>
              </w:rPr>
              <w:t>10.803.668</w:t>
            </w:r>
          </w:p>
        </w:tc>
        <w:tc>
          <w:tcPr>
            <w:tcW w:w="1224" w:type="dxa"/>
          </w:tcPr>
          <w:p w:rsidR="005C2091" w:rsidRDefault="00A86293">
            <w:pPr>
              <w:pStyle w:val="CellColumn"/>
              <w:jc w:val="right"/>
            </w:pPr>
            <w:r>
              <w:rPr>
                <w:rFonts w:cs="Times New Roman"/>
              </w:rPr>
              <w:t>99,0</w:t>
            </w:r>
          </w:p>
        </w:tc>
        <w:tc>
          <w:tcPr>
            <w:tcW w:w="1224" w:type="dxa"/>
          </w:tcPr>
          <w:p w:rsidR="005C2091" w:rsidRDefault="00A86293">
            <w:pPr>
              <w:pStyle w:val="CellColumn"/>
              <w:jc w:val="right"/>
            </w:pPr>
            <w:r>
              <w:rPr>
                <w:rFonts w:cs="Times New Roman"/>
              </w:rPr>
              <w:t>97,5</w:t>
            </w:r>
          </w:p>
        </w:tc>
      </w:tr>
      <w:tr w:rsidR="005C2091">
        <w:trPr>
          <w:jc w:val="center"/>
        </w:trPr>
        <w:tc>
          <w:tcPr>
            <w:tcW w:w="1632" w:type="dxa"/>
          </w:tcPr>
          <w:p w:rsidR="005C2091" w:rsidRDefault="00A86293">
            <w:pPr>
              <w:pStyle w:val="CellColumn"/>
              <w:jc w:val="left"/>
            </w:pPr>
            <w:r>
              <w:rPr>
                <w:rFonts w:cs="Times New Roman"/>
              </w:rPr>
              <w:t>28305-Državna uprava za zaštitu i spašavanje</w:t>
            </w:r>
          </w:p>
        </w:tc>
        <w:tc>
          <w:tcPr>
            <w:tcW w:w="2041" w:type="dxa"/>
          </w:tcPr>
          <w:p w:rsidR="005C2091" w:rsidRDefault="00A86293">
            <w:pPr>
              <w:pStyle w:val="CellColumn"/>
              <w:jc w:val="right"/>
            </w:pPr>
            <w:r>
              <w:rPr>
                <w:rFonts w:cs="Times New Roman"/>
              </w:rPr>
              <w:t>164.256.040</w:t>
            </w:r>
          </w:p>
        </w:tc>
        <w:tc>
          <w:tcPr>
            <w:tcW w:w="2041" w:type="dxa"/>
          </w:tcPr>
          <w:p w:rsidR="005C2091" w:rsidRDefault="00A86293">
            <w:pPr>
              <w:pStyle w:val="CellColumn"/>
              <w:jc w:val="right"/>
            </w:pPr>
            <w:r>
              <w:rPr>
                <w:rFonts w:cs="Times New Roman"/>
              </w:rPr>
              <w:t>155.139.000</w:t>
            </w:r>
          </w:p>
        </w:tc>
        <w:tc>
          <w:tcPr>
            <w:tcW w:w="2041" w:type="dxa"/>
          </w:tcPr>
          <w:p w:rsidR="005C2091" w:rsidRDefault="00A86293">
            <w:pPr>
              <w:pStyle w:val="CellColumn"/>
              <w:jc w:val="right"/>
            </w:pPr>
            <w:r>
              <w:rPr>
                <w:rFonts w:cs="Times New Roman"/>
              </w:rPr>
              <w:t>148.923.490</w:t>
            </w:r>
          </w:p>
        </w:tc>
        <w:tc>
          <w:tcPr>
            <w:tcW w:w="1224" w:type="dxa"/>
          </w:tcPr>
          <w:p w:rsidR="005C2091" w:rsidRDefault="00A86293">
            <w:pPr>
              <w:pStyle w:val="CellColumn"/>
              <w:jc w:val="right"/>
            </w:pPr>
            <w:r>
              <w:rPr>
                <w:rFonts w:cs="Times New Roman"/>
              </w:rPr>
              <w:t>96,0</w:t>
            </w:r>
          </w:p>
        </w:tc>
        <w:tc>
          <w:tcPr>
            <w:tcW w:w="1224" w:type="dxa"/>
          </w:tcPr>
          <w:p w:rsidR="005C2091" w:rsidRDefault="00A86293">
            <w:pPr>
              <w:pStyle w:val="CellColumn"/>
              <w:jc w:val="right"/>
            </w:pPr>
            <w:r>
              <w:rPr>
                <w:rFonts w:cs="Times New Roman"/>
              </w:rPr>
              <w:t>90,7</w:t>
            </w:r>
          </w:p>
        </w:tc>
      </w:tr>
    </w:tbl>
    <w:p w:rsidR="005C2091" w:rsidRDefault="005C2091">
      <w:pPr>
        <w:jc w:val="left"/>
      </w:pPr>
    </w:p>
    <w:p w:rsidR="005C2091" w:rsidRDefault="00A86293">
      <w:pPr>
        <w:pStyle w:val="Heading3"/>
      </w:pPr>
      <w:r>
        <w:rPr>
          <w:rFonts w:cs="Times New Roman"/>
        </w:rPr>
        <w:t>21908 Hrvatska vatrogasna zajednica</w:t>
      </w:r>
    </w:p>
    <w:p w:rsidR="005C2091" w:rsidRDefault="00A86293">
      <w:r>
        <w:t xml:space="preserve">Hrvatska vatrogasna zajednica je stručna i humanitarna udruga vatrogasnih zajednica županija i Vatrogasne zajednice Grada Zagreba, u koje je udruženo 1.824 dobrovoljnih vatrogasnih društava i 82 profesionalnih vatrogasnih postrojbi s ukupno 3.833 specijaliziranih vatrogasnih vozila i oko 60.000 tisuća operativnih vatrogasaca, od kojih je oko 95 % dobrovoljnih i oko 5% profesionalnih vatrogasaca, te s oko 25 tisuća pripadnika podmlatka i vatrogasne mladeži. Zadaća Hrvatske vatrogasne zajednice je organiziranje cjelokupnog vatrogasnog sustava za učinkovitu provedbu vatrogasne djelatnosti, razvijanje vatrogastva sukladno gospodarskom i tehnološkom razvoju društva, provođenje mjera za ujednačavanje stupnja zaštite od požara na cijelom teritoriju Republike Hrvatske te preventivno djelovanje u pogledu smanjenja rizika od nastajanja požara i drugih nesreća.  </w:t>
      </w:r>
    </w:p>
    <w:p w:rsidR="005C2091" w:rsidRDefault="00A86293">
      <w:r>
        <w:t>Hrvatska vatrogasna zajednica je članica Međunarodne zajednice vatrogasnih i spasilačkih službi (CTIF). Kao članica CTIF-a sudjeluje u radu njezinih stručnih odbora, promiče izmjenu iskustava i znanja te organizira sudjelovanje na međunarodnim vatrogasnim savjetovanjima i natjecanjima CTIF-a.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21908-Hrvatska vatrogasna zajednica</w:t>
            </w:r>
          </w:p>
        </w:tc>
        <w:tc>
          <w:tcPr>
            <w:tcW w:w="2041" w:type="dxa"/>
          </w:tcPr>
          <w:p w:rsidR="005C2091" w:rsidRDefault="00A86293">
            <w:pPr>
              <w:pStyle w:val="CellColumn"/>
              <w:jc w:val="right"/>
            </w:pPr>
            <w:r>
              <w:rPr>
                <w:rFonts w:cs="Times New Roman"/>
              </w:rPr>
              <w:t>11.080.212</w:t>
            </w:r>
          </w:p>
        </w:tc>
        <w:tc>
          <w:tcPr>
            <w:tcW w:w="2041" w:type="dxa"/>
          </w:tcPr>
          <w:p w:rsidR="005C2091" w:rsidRDefault="00A86293">
            <w:pPr>
              <w:pStyle w:val="CellColumn"/>
              <w:jc w:val="right"/>
            </w:pPr>
            <w:r>
              <w:rPr>
                <w:rFonts w:cs="Times New Roman"/>
              </w:rPr>
              <w:t>10.910.000</w:t>
            </w:r>
          </w:p>
        </w:tc>
        <w:tc>
          <w:tcPr>
            <w:tcW w:w="2041" w:type="dxa"/>
          </w:tcPr>
          <w:p w:rsidR="005C2091" w:rsidRDefault="00A86293">
            <w:pPr>
              <w:pStyle w:val="CellColumn"/>
              <w:jc w:val="right"/>
            </w:pPr>
            <w:r>
              <w:rPr>
                <w:rFonts w:cs="Times New Roman"/>
              </w:rPr>
              <w:t>10.803.668</w:t>
            </w:r>
          </w:p>
        </w:tc>
        <w:tc>
          <w:tcPr>
            <w:tcW w:w="1224" w:type="dxa"/>
          </w:tcPr>
          <w:p w:rsidR="005C2091" w:rsidRDefault="00A86293">
            <w:pPr>
              <w:pStyle w:val="CellColumn"/>
              <w:jc w:val="right"/>
            </w:pPr>
            <w:r>
              <w:rPr>
                <w:rFonts w:cs="Times New Roman"/>
              </w:rPr>
              <w:t>99,0</w:t>
            </w:r>
          </w:p>
        </w:tc>
        <w:tc>
          <w:tcPr>
            <w:tcW w:w="1224" w:type="dxa"/>
          </w:tcPr>
          <w:p w:rsidR="005C2091" w:rsidRDefault="00A86293">
            <w:pPr>
              <w:pStyle w:val="CellColumn"/>
              <w:jc w:val="right"/>
            </w:pPr>
            <w:r>
              <w:rPr>
                <w:rFonts w:cs="Times New Roman"/>
              </w:rPr>
              <w:t>97,5</w:t>
            </w:r>
          </w:p>
        </w:tc>
      </w:tr>
      <w:tr w:rsidR="005C2091">
        <w:trPr>
          <w:jc w:val="center"/>
        </w:trPr>
        <w:tc>
          <w:tcPr>
            <w:tcW w:w="1632" w:type="dxa"/>
          </w:tcPr>
          <w:p w:rsidR="005C2091" w:rsidRDefault="00A86293">
            <w:pPr>
              <w:jc w:val="left"/>
            </w:pPr>
            <w:r>
              <w:t>2603-ORGANIZIRANJE I PROVOĐENJE ZAŠTITE I SPAŠAVANJA</w:t>
            </w:r>
          </w:p>
        </w:tc>
        <w:tc>
          <w:tcPr>
            <w:tcW w:w="2041" w:type="dxa"/>
          </w:tcPr>
          <w:p w:rsidR="005C2091" w:rsidRDefault="00A86293">
            <w:pPr>
              <w:jc w:val="right"/>
            </w:pPr>
            <w:r>
              <w:t>11.080.212</w:t>
            </w:r>
          </w:p>
        </w:tc>
        <w:tc>
          <w:tcPr>
            <w:tcW w:w="2041" w:type="dxa"/>
          </w:tcPr>
          <w:p w:rsidR="005C2091" w:rsidRDefault="00A86293">
            <w:pPr>
              <w:jc w:val="right"/>
            </w:pPr>
            <w:r>
              <w:t>10.910.000</w:t>
            </w:r>
          </w:p>
        </w:tc>
        <w:tc>
          <w:tcPr>
            <w:tcW w:w="2041" w:type="dxa"/>
          </w:tcPr>
          <w:p w:rsidR="005C2091" w:rsidRDefault="00A86293">
            <w:pPr>
              <w:jc w:val="right"/>
            </w:pPr>
            <w:r>
              <w:t>10.803.668</w:t>
            </w:r>
          </w:p>
        </w:tc>
        <w:tc>
          <w:tcPr>
            <w:tcW w:w="1224" w:type="dxa"/>
          </w:tcPr>
          <w:p w:rsidR="005C2091" w:rsidRDefault="00A86293">
            <w:pPr>
              <w:jc w:val="right"/>
            </w:pPr>
            <w:r>
              <w:t>99,0</w:t>
            </w:r>
          </w:p>
        </w:tc>
        <w:tc>
          <w:tcPr>
            <w:tcW w:w="1224" w:type="dxa"/>
          </w:tcPr>
          <w:p w:rsidR="005C2091" w:rsidRDefault="00A86293">
            <w:pPr>
              <w:jc w:val="right"/>
            </w:pPr>
            <w:r>
              <w:t>97,5</w:t>
            </w:r>
          </w:p>
        </w:tc>
      </w:tr>
    </w:tbl>
    <w:p w:rsidR="005C2091" w:rsidRDefault="005C2091">
      <w:pPr>
        <w:jc w:val="left"/>
      </w:pPr>
    </w:p>
    <w:p w:rsidR="005C2091" w:rsidRDefault="00A86293">
      <w:pPr>
        <w:pStyle w:val="Heading3"/>
      </w:pPr>
      <w:r>
        <w:rPr>
          <w:rFonts w:cs="Times New Roman"/>
        </w:rPr>
        <w:t>2603 ORGANIZIRANJE I PROVOĐENJE ZAŠTITE I SPAŠAVANJA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2603-ORGANIZIRANJE I PROVOĐENJE ZAŠTITE I SPAŠAVANJA</w:t>
            </w:r>
          </w:p>
        </w:tc>
        <w:tc>
          <w:tcPr>
            <w:tcW w:w="2041" w:type="dxa"/>
          </w:tcPr>
          <w:p w:rsidR="005C2091" w:rsidRDefault="00A86293">
            <w:pPr>
              <w:pStyle w:val="CellColumn"/>
              <w:jc w:val="right"/>
            </w:pPr>
            <w:r>
              <w:rPr>
                <w:rFonts w:cs="Times New Roman"/>
              </w:rPr>
              <w:t>11.080.212</w:t>
            </w:r>
          </w:p>
        </w:tc>
        <w:tc>
          <w:tcPr>
            <w:tcW w:w="2041" w:type="dxa"/>
          </w:tcPr>
          <w:p w:rsidR="005C2091" w:rsidRDefault="00A86293">
            <w:pPr>
              <w:pStyle w:val="CellColumn"/>
              <w:jc w:val="right"/>
            </w:pPr>
            <w:r>
              <w:rPr>
                <w:rFonts w:cs="Times New Roman"/>
              </w:rPr>
              <w:t>10.910.000</w:t>
            </w:r>
          </w:p>
        </w:tc>
        <w:tc>
          <w:tcPr>
            <w:tcW w:w="2041" w:type="dxa"/>
          </w:tcPr>
          <w:p w:rsidR="005C2091" w:rsidRDefault="00A86293">
            <w:pPr>
              <w:pStyle w:val="CellColumn"/>
              <w:jc w:val="right"/>
            </w:pPr>
            <w:r>
              <w:rPr>
                <w:rFonts w:cs="Times New Roman"/>
              </w:rPr>
              <w:t>10.803.668</w:t>
            </w:r>
          </w:p>
        </w:tc>
        <w:tc>
          <w:tcPr>
            <w:tcW w:w="1224" w:type="dxa"/>
          </w:tcPr>
          <w:p w:rsidR="005C2091" w:rsidRDefault="00A86293">
            <w:pPr>
              <w:pStyle w:val="CellColumn"/>
              <w:jc w:val="right"/>
            </w:pPr>
            <w:r>
              <w:rPr>
                <w:rFonts w:cs="Times New Roman"/>
              </w:rPr>
              <w:t>99,0</w:t>
            </w:r>
          </w:p>
        </w:tc>
        <w:tc>
          <w:tcPr>
            <w:tcW w:w="1224" w:type="dxa"/>
          </w:tcPr>
          <w:p w:rsidR="005C2091" w:rsidRDefault="00A86293">
            <w:pPr>
              <w:pStyle w:val="CellColumn"/>
              <w:jc w:val="right"/>
            </w:pPr>
            <w:r>
              <w:rPr>
                <w:rFonts w:cs="Times New Roman"/>
              </w:rPr>
              <w:t>97,5</w:t>
            </w:r>
          </w:p>
        </w:tc>
      </w:tr>
    </w:tbl>
    <w:p w:rsidR="005C2091" w:rsidRDefault="005C2091">
      <w:pPr>
        <w:jc w:val="left"/>
      </w:pPr>
    </w:p>
    <w:p w:rsidR="005C2091" w:rsidRDefault="00A86293">
      <w:r>
        <w:t>Skup povezanih aktivnosti čiji je cilj jačanje vatrogasaca kao namjenskih operativnih snaga za reagiranje u nesrećama i katastrofama kako bi se smanjilo stradavanje ljudi i materijalne štete, te postigla ujednačena razina zaštite ljudi i imovine na području cijele Hrvatske.</w:t>
      </w:r>
    </w:p>
    <w:p w:rsidR="005C2091" w:rsidRDefault="00A86293">
      <w:pPr>
        <w:pStyle w:val="Heading8"/>
        <w:jc w:val="left"/>
      </w:pPr>
      <w:r>
        <w:t xml:space="preserve">Cilj 1. Osiguranje spremnosti i pripravnosti vatrogasnih postrojbi </w:t>
      </w:r>
    </w:p>
    <w:p w:rsidR="005C2091" w:rsidRDefault="00A86293">
      <w:pPr>
        <w:pStyle w:val="Heading8"/>
        <w:jc w:val="left"/>
      </w:pPr>
      <w:r>
        <w:t>Opis provedbe cilja programa</w:t>
      </w:r>
    </w:p>
    <w:p w:rsidR="005C2091" w:rsidRDefault="00A86293">
      <w:r>
        <w:t xml:space="preserve">Sve sofisticiranijim tehničkim i tehnološkim okruženjem postavljaju se sve veći zahtjevi na osposobljenost vatrogasaca. Hrvatska vatrogasna zajednica je i u 2016. godini utvrdila Program osposobljavanja i usavršavanja dobrovoljnih vatrogasaca za vatrogasna zvanja i specijalnosti koje provodi i nadzire u svim županijama. </w:t>
      </w:r>
    </w:p>
    <w:p w:rsidR="005C2091" w:rsidRDefault="00A86293">
      <w:r>
        <w:t>Izdavanjem stručne literature, uz suradnju stručnjaka iz zaštite od požara i vatrogastva, osigurava se stjecanje potrebnih znanja nužnih za potpunu obučenost vatrogasaca. Nastavljeno je s aktivnostima po pitanju stvaranja pretpostavki za izgradnju Vatrogasnog vježbališta čime će se povećati mogućnost izvođenja vježbi u realnim uvjetima i bolja pripremljenost i osposobljenost vatrogasaca za sve različitije vatrogasne intervencije. Za praćenje stanja vatrogasne tehnike, članstva i aktivnosti vatrogasnih organizacija ustrojena je jedinstvena centralna baza podataka i web-aplikacija "VATROnet" koja se razvija u skladu sa strategijom informatizacije vatrogasnih organizacija. Aplikacija se povezuje sa drugim operativnim aplikacijama Hrvatske vatrogasne zajednice : uzbunjivanje vatrogasaca, interaktivna baza opasnih tvari, praćenje i pozicioniranje vatrogasnih vozila i vatrogasaca na vatrogasnim intervencijama, upravljanje vatrogasnim intervencijama i predviđanje širenja požara otvorenog prostora.</w:t>
      </w:r>
    </w:p>
    <w:p w:rsidR="005C2091" w:rsidRDefault="00A86293">
      <w:pPr>
        <w:pStyle w:val="Heading8"/>
        <w:jc w:val="left"/>
      </w:pPr>
      <w:r>
        <w:t>Cilj 2. Razvijati tehničko-tehnološku opremljenost vatrogasnih postrojbi</w:t>
      </w:r>
    </w:p>
    <w:p w:rsidR="005C2091" w:rsidRDefault="00A86293">
      <w:pPr>
        <w:pStyle w:val="Heading8"/>
        <w:jc w:val="left"/>
      </w:pPr>
      <w:r>
        <w:t>Opis provedbe cilja programa</w:t>
      </w:r>
    </w:p>
    <w:p w:rsidR="005C2091" w:rsidRDefault="00A86293">
      <w:r>
        <w:t>Hrvatska vatrogasna zajednica poduzima mjere i aktivnosti u svrhu osiguranja optimalne tehničko-tehnološke opremljenosti vatrogasnih postrojbi. To se u 2016. godini ostvarivalo putem sufinanciranja iz dijela premija osiguranja koja Društva za osiguranje doznačavaju vatrogasnim organizacijama temeljem Zakona o vatrogastvu. Značajno djelovanje Hrvatske vatrogasne zajednice je putem Nacionalnog odbora za preventivnu zaštitu i gašenje požara koji prati stanje zaštite od požara, organiziranost, opremljenost i osposobljenost vatrogastva, skrbi o unapređenju zaštite od požara, ustroju i strukovnom napretku vatrogastva Republike Hrvatske te surađuje s Međunarodnom zajednicom vatrogasnih i spasilačkih službi.</w:t>
      </w:r>
    </w:p>
    <w:p w:rsidR="005C2091" w:rsidRDefault="00A86293">
      <w:pPr>
        <w:pStyle w:val="Heading8"/>
        <w:jc w:val="left"/>
      </w:pPr>
      <w:r>
        <w:lastRenderedPageBreak/>
        <w:t>Cilj 3. Unapređivati, koordinirati i pratiti rad vatrogasnih organizacija</w:t>
      </w:r>
    </w:p>
    <w:p w:rsidR="005C2091" w:rsidRDefault="00A86293">
      <w:pPr>
        <w:pStyle w:val="Heading8"/>
        <w:jc w:val="left"/>
      </w:pPr>
      <w:r>
        <w:t>Opis provedbe cilja programa</w:t>
      </w:r>
    </w:p>
    <w:p w:rsidR="005C2091" w:rsidRDefault="00A86293">
      <w:r>
        <w:t>Hrvatska vatrogasna zajednica kao krovna organizacija hrvatskoga vatrogastva prati stanje hrvatskoga vatrogastva i predlaže rješenja koja će sustav vatrogastva učiniti što djelotvornijim i organiziranijim, posebno kroz pripremanje i donošenje niza podzakonskih akata, koji proizlaze iz Zakona o vatrogastvu i drugih zakona iz područja zaštite od požara i vatrogastva. U 2016. godini kroz rad u stručnim odborima i radnim grupama, Hrvatska vatrogasna zajednica je poduzimala aktivnosti kojima je nastojala unaprijediti strukovna znanja i omogućiti stručnjacima iz vatrogasnih organizacija sudjelovanje u procesu priprema i donošenja odluka u skoro svim segmentima djelovanja, a posebno u pripremi i donošenju podzakonskih akata, koji reguliraju vatrogasnu djelatnost.</w:t>
      </w:r>
    </w:p>
    <w:p w:rsidR="005C2091" w:rsidRDefault="00A86293">
      <w:pPr>
        <w:pStyle w:val="Heading8"/>
        <w:jc w:val="left"/>
      </w:pPr>
      <w:r>
        <w:t>Cilj 4. Unapređivati protupožarnu preventivu, jačati status i skrb o pomlađivanju i vatrogasnoj baštini vatrogasnih i strukovnih organizacija</w:t>
      </w:r>
    </w:p>
    <w:p w:rsidR="005C2091" w:rsidRDefault="00A86293">
      <w:pPr>
        <w:pStyle w:val="Heading8"/>
        <w:jc w:val="left"/>
      </w:pPr>
      <w:r>
        <w:t>Opis provedbe cilja programa</w:t>
      </w:r>
    </w:p>
    <w:p w:rsidR="005C2091" w:rsidRDefault="00A86293">
      <w:r>
        <w:t>Troškovi preventivne zaštite od požara znatno su manji od troškova smanjivanja posljedica od požara i drugih nesreća, posebno kada se u obzir uzmu dugoročne posljedice koje požari i ostale nepogode izazivaju na okoliš. Hrvatska vatrogasna zajednica je u cilju smanjenja broja opasnih situacija, nesreća, broja poginulih i stradalih u nesrećama te smanjivanja dugoročnih posljedica na okoliš i u 2016. godini poduzimala niz preventivnih mjera i aktivnosti kao što su rad s vatrogasnom mladeži, edukacija djece i mladih iz zaštite od požara, informativno-promidžbenu djelatnost u svrhu prevencije požara i nesreća, te poticanje kontrole i provedbe mjera zaštite od požara. Tako je izdavana stručna literatura i audio-vizualni mediji za preventivnu zaštitu od požara, provodila se promidžba putem interneta, televizija, izložbi, plakata, brošura i letaka kao i akcija promidžbe za zaštitu šuma od požara tijekom požarne sezone.</w:t>
      </w:r>
    </w:p>
    <w:p w:rsidR="005C2091" w:rsidRDefault="00A86293">
      <w:pPr>
        <w:pStyle w:val="Heading8"/>
        <w:jc w:val="left"/>
      </w:pPr>
      <w:r>
        <w:t>Cilj 5. Ustrojavanje Vatrogasnog vježbališta i Centra za ispitivanje vatrogasne tehnike u Stubičkoj Slatini</w:t>
      </w:r>
    </w:p>
    <w:p w:rsidR="005C2091" w:rsidRDefault="00A86293">
      <w:pPr>
        <w:pStyle w:val="Heading8"/>
        <w:jc w:val="left"/>
      </w:pPr>
      <w:r>
        <w:t>Opis provedbe cilja programa</w:t>
      </w:r>
    </w:p>
    <w:p w:rsidR="005C2091" w:rsidRDefault="00A86293">
      <w:r>
        <w:t>Hrvatska vatrogasna zajednica je 2010. godine od Vlade Republike Hrvatske dobila na korištenje bivšu vojarnu Slatina kod Donje Stubice u svrhu ustrojavanja vatrogasnog vježbališta. Kroz više godina planirana je izgradnja vatrogasnog vježbališta čime će se omogućiti sustavno osposobljavanje vatrogasnih časnika i vatrogasnih zapovjednika u potrebnim uvjetima, te održavanje niza specijaliziranih tečajeva.</w:t>
      </w:r>
    </w:p>
    <w:p w:rsidR="005C2091" w:rsidRDefault="00A86293">
      <w:pPr>
        <w:pStyle w:val="Heading8"/>
        <w:jc w:val="left"/>
      </w:pPr>
      <w:r>
        <w:t>Cilj 6. Razvijati Centar za obuku vatrogasne mladeži</w:t>
      </w:r>
    </w:p>
    <w:p w:rsidR="005C2091" w:rsidRDefault="00A86293">
      <w:pPr>
        <w:pStyle w:val="Heading8"/>
        <w:jc w:val="left"/>
      </w:pPr>
      <w:r>
        <w:t>Opis provedbe cilja programa</w:t>
      </w:r>
    </w:p>
    <w:p w:rsidR="005C2091" w:rsidRDefault="00A86293">
      <w:r>
        <w:t>Hrvatska vatrogasna zajednica od 1998. godine koristi Centar za obuku u Fažani a 2011. godine od Vlade Republike Hrvatske je produžen rok korištenja do 2063. godine. Za nesmetan boravak i rad više od 1500 vatrogasne mladeži i vatrogasaca godišnje kroz različite vrste osposobljavanja, neophodno je održavanje te daljnje ulaganje u objekte i infrastrukturu. U 2016. godini ulaganje je izvršeno u nužno saniranje stanja nastalog uslijed dotrajalosti i vremenskih nepogoda te drugih okolnosti.</w:t>
      </w:r>
    </w:p>
    <w:p w:rsidR="005C2091" w:rsidRDefault="00A86293">
      <w:pPr>
        <w:pStyle w:val="Heading8"/>
        <w:jc w:val="left"/>
      </w:pPr>
      <w:r>
        <w:t>Cilj 7. Trajna briga o vatrogasnoj baštini i povijesti hrvatskog vatrogastva kroz nacionalni Muzej hrvatskog vatrogastva u Varaždinu</w:t>
      </w:r>
    </w:p>
    <w:p w:rsidR="005C2091" w:rsidRDefault="00A86293">
      <w:pPr>
        <w:pStyle w:val="Heading8"/>
        <w:jc w:val="left"/>
      </w:pPr>
      <w:r>
        <w:t>Opis provedbe cilja programa</w:t>
      </w:r>
    </w:p>
    <w:p w:rsidR="005C2091" w:rsidRDefault="00A86293">
      <w:r>
        <w:t>Kontinuirano postojanje hrvatskog vatrogastva, dulje od 140 godina, objedinjeno je projektom uspostave nacionalnog Muzeja vatrogastva kao načinom očuvanja povijesnog razvoja vatrogastva i zaštite od požara. Muzej hrvatskoga vatrogastva uspostavljen je na prostoru Dobrovoljnog vatrogasnog društva Prvi hrvatski vatrogasni zbor u Varaždinu. Hrvatska vatrogasna zajednica je na 99 godina Muzej preuzela na korištenje i upravljanje. U skladu s Rješenjem Ministarstva kulture RH, Uprave za zaštitu kulturne baštine, konzervatorijskog odjela u Varaždinu Hrvatska vatrogasna zajednica je i u 2016. godini nastavila sa sanacijom Muzeja i opremanjem kako bi bila u mogućnosti trajno raditi na brizi i prikupljanju vatrogasne povijesne građe iz svih područja RH a prikupljena građa izlaže se u stalnom postavu Muzeja.</w:t>
      </w:r>
    </w:p>
    <w:p w:rsidR="005C2091" w:rsidRDefault="00A86293">
      <w:pPr>
        <w:pStyle w:val="Heading4"/>
      </w:pPr>
      <w:r>
        <w:lastRenderedPageBreak/>
        <w:t>A554000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A554000-ADMINISTRACIJA I UPRAVLJANJE</w:t>
            </w:r>
          </w:p>
        </w:tc>
        <w:tc>
          <w:tcPr>
            <w:tcW w:w="2041" w:type="dxa"/>
          </w:tcPr>
          <w:p w:rsidR="005C2091" w:rsidRDefault="00A86293">
            <w:pPr>
              <w:pStyle w:val="CellColumn"/>
              <w:jc w:val="right"/>
            </w:pPr>
            <w:r>
              <w:rPr>
                <w:rFonts w:cs="Times New Roman"/>
              </w:rPr>
              <w:t>4.068.564</w:t>
            </w:r>
          </w:p>
        </w:tc>
        <w:tc>
          <w:tcPr>
            <w:tcW w:w="2041" w:type="dxa"/>
          </w:tcPr>
          <w:p w:rsidR="005C2091" w:rsidRDefault="00A86293">
            <w:pPr>
              <w:pStyle w:val="CellColumn"/>
              <w:jc w:val="right"/>
            </w:pPr>
            <w:r>
              <w:rPr>
                <w:rFonts w:cs="Times New Roman"/>
              </w:rPr>
              <w:t>4.348.000</w:t>
            </w:r>
          </w:p>
        </w:tc>
        <w:tc>
          <w:tcPr>
            <w:tcW w:w="2041" w:type="dxa"/>
          </w:tcPr>
          <w:p w:rsidR="005C2091" w:rsidRDefault="00A86293">
            <w:pPr>
              <w:pStyle w:val="CellColumn"/>
              <w:jc w:val="right"/>
            </w:pPr>
            <w:r>
              <w:rPr>
                <w:rFonts w:cs="Times New Roman"/>
              </w:rPr>
              <w:t>3.956.468</w:t>
            </w:r>
          </w:p>
        </w:tc>
        <w:tc>
          <w:tcPr>
            <w:tcW w:w="1224" w:type="dxa"/>
          </w:tcPr>
          <w:p w:rsidR="005C2091" w:rsidRDefault="00A86293">
            <w:pPr>
              <w:pStyle w:val="CellColumn"/>
              <w:jc w:val="right"/>
            </w:pPr>
            <w:r>
              <w:rPr>
                <w:rFonts w:cs="Times New Roman"/>
              </w:rPr>
              <w:t>91,0</w:t>
            </w:r>
          </w:p>
        </w:tc>
        <w:tc>
          <w:tcPr>
            <w:tcW w:w="1224" w:type="dxa"/>
          </w:tcPr>
          <w:p w:rsidR="005C2091" w:rsidRDefault="00A86293">
            <w:pPr>
              <w:pStyle w:val="CellColumn"/>
              <w:jc w:val="right"/>
            </w:pPr>
            <w:r>
              <w:rPr>
                <w:rFonts w:cs="Times New Roman"/>
              </w:rPr>
              <w:t>97,2</w:t>
            </w:r>
          </w:p>
        </w:tc>
      </w:tr>
    </w:tbl>
    <w:p w:rsidR="005C2091" w:rsidRDefault="005C2091">
      <w:pPr>
        <w:jc w:val="left"/>
      </w:pPr>
    </w:p>
    <w:p w:rsidR="005C2091" w:rsidRDefault="00A86293">
      <w:pPr>
        <w:pStyle w:val="Heading8"/>
        <w:jc w:val="left"/>
      </w:pPr>
      <w:r>
        <w:t>Zakonske i druge pravne osnove</w:t>
      </w:r>
    </w:p>
    <w:p w:rsidR="005C2091" w:rsidRDefault="00A86293">
      <w:r>
        <w:t>Zakon o vatrogastvu, čl. 43. točka 8.</w:t>
      </w:r>
    </w:p>
    <w:p w:rsidR="005C2091" w:rsidRDefault="00A86293">
      <w:pPr>
        <w:pStyle w:val="Heading8"/>
        <w:jc w:val="left"/>
      </w:pPr>
      <w:r>
        <w:t>Opis aktivnosti</w:t>
      </w:r>
    </w:p>
    <w:p w:rsidR="005C2091" w:rsidRDefault="00A86293">
      <w:r>
        <w:t xml:space="preserve">Hrvatska vatrogasna zajednica unapređuje i koordinira rad te zastupa interese svih vatrogasnih organizacija u Republici Hrvatskoj. Stručni poslovi i donošenje odluka provode se putem nadležnih tijela utvrđenih Statutom te putem Stručne službe Hrvatske vatrogasne zajednice sa 16 zaposlenih i oko 250 volontera, članova tijela Hrvatske vatrogasne zajednice. Kao krovna organizacija hrvatskoga vatrogastva, Hrvatska vatrogasna zajednica prati stanje hrvatskoga vatrogastva i predlaže rješenja koja će sustav vatrogastva učiniti što djelotvornijim i organiziranijim, posebno kroz pripremanje i donošenje niza podzakonskih akata, koji proizlaze iz Zakona o vatrogastvu. Radom u stručnim odborima i radnim grupama, Hrvatska vatrogasna zajednica nastoji unaprijediti strukovna znanja i omogućiti stručnjacima iz vatrogasnih organizacija sudjelovanje u procesu priprema i donošenja odluka u skoro svim segmentima djelovanja, a posebno u pripremi i donošenju (izmjena i dopuna) podzakonskih akata, koji reguliraju vatrogasnu djelatnost. </w:t>
      </w:r>
    </w:p>
    <w:p w:rsidR="005C2091" w:rsidRDefault="00A86293">
      <w:r>
        <w:t>Hrvatska vatrogasna zajednica je i u 2016. godini putem Ekonomata snabdijevala vatrogasne organizacije stručnom vatrogasnom literaturom, vatrogasnim oznakama zvanja i dužnosti, odličjima i priznanjima, te svim drugim vatrogasnim potrepštinama.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37"/>
        <w:gridCol w:w="2459"/>
        <w:gridCol w:w="1259"/>
        <w:gridCol w:w="1011"/>
        <w:gridCol w:w="1017"/>
        <w:gridCol w:w="1011"/>
        <w:gridCol w:w="1012"/>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izdanih priručnika, stručnih tiskovina i edukacijskih filmova</w:t>
            </w:r>
          </w:p>
        </w:tc>
        <w:tc>
          <w:tcPr>
            <w:tcW w:w="2551" w:type="dxa"/>
          </w:tcPr>
          <w:p w:rsidR="005C2091" w:rsidRDefault="00A86293">
            <w:pPr>
              <w:pStyle w:val="CellColumn"/>
              <w:jc w:val="left"/>
            </w:pPr>
            <w:r>
              <w:rPr>
                <w:rFonts w:cs="Times New Roman"/>
              </w:rPr>
              <w:t>Priručnici za osposobljavanje i usavršavanje vatrogasaca</w:t>
            </w:r>
          </w:p>
        </w:tc>
        <w:tc>
          <w:tcPr>
            <w:tcW w:w="1020" w:type="dxa"/>
          </w:tcPr>
          <w:p w:rsidR="005C2091" w:rsidRDefault="00A86293">
            <w:pPr>
              <w:pStyle w:val="CellColumn"/>
              <w:jc w:val="right"/>
            </w:pPr>
            <w:r>
              <w:rPr>
                <w:rFonts w:cs="Times New Roman"/>
              </w:rPr>
              <w:t>broj (kumulativno)</w:t>
            </w:r>
          </w:p>
        </w:tc>
        <w:tc>
          <w:tcPr>
            <w:tcW w:w="1020" w:type="dxa"/>
          </w:tcPr>
          <w:p w:rsidR="005C2091" w:rsidRDefault="00A86293">
            <w:pPr>
              <w:pStyle w:val="CellColumn"/>
              <w:jc w:val="right"/>
            </w:pPr>
            <w:r>
              <w:rPr>
                <w:rFonts w:cs="Times New Roman"/>
              </w:rPr>
              <w:t>43</w:t>
            </w:r>
          </w:p>
        </w:tc>
        <w:tc>
          <w:tcPr>
            <w:tcW w:w="1020" w:type="dxa"/>
          </w:tcPr>
          <w:p w:rsidR="005C2091" w:rsidRDefault="00A86293">
            <w:pPr>
              <w:pStyle w:val="CellColumn"/>
              <w:jc w:val="right"/>
            </w:pPr>
            <w:r>
              <w:rPr>
                <w:rFonts w:cs="Times New Roman"/>
              </w:rPr>
              <w:t>Izvješće o radu i Program rada Hrvatske vatrogasne zajednice</w:t>
            </w:r>
          </w:p>
        </w:tc>
        <w:tc>
          <w:tcPr>
            <w:tcW w:w="1020" w:type="dxa"/>
          </w:tcPr>
          <w:p w:rsidR="005C2091" w:rsidRDefault="00A86293">
            <w:pPr>
              <w:pStyle w:val="CellColumn"/>
              <w:jc w:val="right"/>
            </w:pPr>
            <w:r>
              <w:rPr>
                <w:rFonts w:cs="Times New Roman"/>
              </w:rPr>
              <w:t>49</w:t>
            </w:r>
          </w:p>
        </w:tc>
        <w:tc>
          <w:tcPr>
            <w:tcW w:w="1020" w:type="dxa"/>
          </w:tcPr>
          <w:p w:rsidR="005C2091" w:rsidRDefault="00A86293">
            <w:pPr>
              <w:pStyle w:val="CellColumn"/>
              <w:jc w:val="right"/>
            </w:pPr>
            <w:r>
              <w:rPr>
                <w:rFonts w:cs="Times New Roman"/>
              </w:rPr>
              <w:t>49</w:t>
            </w:r>
          </w:p>
        </w:tc>
      </w:tr>
    </w:tbl>
    <w:p w:rsidR="005C2091" w:rsidRDefault="005C2091">
      <w:pPr>
        <w:jc w:val="left"/>
      </w:pPr>
    </w:p>
    <w:p w:rsidR="005C2091" w:rsidRDefault="00A86293">
      <w:pPr>
        <w:pStyle w:val="Heading4"/>
      </w:pPr>
      <w:r>
        <w:t>A554001 PREVENTIVNA ZAŠTITA I GAŠENJE POŽARA (NACIONALNI ODBOR)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A554001-PREVENTIVNA ZAŠTITA I GAŠENJE POŽARA (NACIONALNI ODBOR)</w:t>
            </w:r>
          </w:p>
        </w:tc>
        <w:tc>
          <w:tcPr>
            <w:tcW w:w="2041" w:type="dxa"/>
          </w:tcPr>
          <w:p w:rsidR="005C2091" w:rsidRDefault="00A86293">
            <w:pPr>
              <w:pStyle w:val="CellColumn"/>
              <w:jc w:val="right"/>
            </w:pPr>
            <w:r>
              <w:rPr>
                <w:rFonts w:cs="Times New Roman"/>
              </w:rPr>
              <w:t>526.457</w:t>
            </w:r>
          </w:p>
        </w:tc>
        <w:tc>
          <w:tcPr>
            <w:tcW w:w="2041" w:type="dxa"/>
          </w:tcPr>
          <w:p w:rsidR="005C2091" w:rsidRDefault="00A86293">
            <w:pPr>
              <w:pStyle w:val="CellColumn"/>
              <w:jc w:val="right"/>
            </w:pPr>
            <w:r>
              <w:rPr>
                <w:rFonts w:cs="Times New Roman"/>
              </w:rPr>
              <w:t>243.000</w:t>
            </w:r>
          </w:p>
        </w:tc>
        <w:tc>
          <w:tcPr>
            <w:tcW w:w="2041" w:type="dxa"/>
          </w:tcPr>
          <w:p w:rsidR="005C2091" w:rsidRDefault="00A86293">
            <w:pPr>
              <w:pStyle w:val="CellColumn"/>
              <w:jc w:val="right"/>
            </w:pPr>
            <w:r>
              <w:rPr>
                <w:rFonts w:cs="Times New Roman"/>
              </w:rPr>
              <w:t>240.164</w:t>
            </w:r>
          </w:p>
        </w:tc>
        <w:tc>
          <w:tcPr>
            <w:tcW w:w="1224" w:type="dxa"/>
          </w:tcPr>
          <w:p w:rsidR="005C2091" w:rsidRDefault="00A86293">
            <w:pPr>
              <w:pStyle w:val="CellColumn"/>
              <w:jc w:val="right"/>
            </w:pPr>
            <w:r>
              <w:rPr>
                <w:rFonts w:cs="Times New Roman"/>
              </w:rPr>
              <w:t>98,8</w:t>
            </w:r>
          </w:p>
        </w:tc>
        <w:tc>
          <w:tcPr>
            <w:tcW w:w="1224" w:type="dxa"/>
          </w:tcPr>
          <w:p w:rsidR="005C2091" w:rsidRDefault="00A86293">
            <w:pPr>
              <w:pStyle w:val="CellColumn"/>
              <w:jc w:val="right"/>
            </w:pPr>
            <w:r>
              <w:rPr>
                <w:rFonts w:cs="Times New Roman"/>
              </w:rPr>
              <w:t>45,6</w:t>
            </w:r>
          </w:p>
        </w:tc>
      </w:tr>
    </w:tbl>
    <w:p w:rsidR="005C2091" w:rsidRDefault="005C2091">
      <w:pPr>
        <w:jc w:val="left"/>
      </w:pPr>
    </w:p>
    <w:p w:rsidR="005C2091" w:rsidRDefault="00A86293">
      <w:pPr>
        <w:pStyle w:val="Heading8"/>
        <w:jc w:val="left"/>
      </w:pPr>
      <w:r>
        <w:t>Zakonske i druge pravne osnove</w:t>
      </w:r>
    </w:p>
    <w:p w:rsidR="005C2091" w:rsidRDefault="00A86293">
      <w:r>
        <w:t>Zakon o vatrogastvu, čl. 20</w:t>
      </w:r>
    </w:p>
    <w:p w:rsidR="005C2091" w:rsidRDefault="00A86293">
      <w:pPr>
        <w:pStyle w:val="Heading8"/>
        <w:jc w:val="left"/>
      </w:pPr>
      <w:r>
        <w:t>Opis aktivnosti</w:t>
      </w:r>
    </w:p>
    <w:p w:rsidR="005C2091" w:rsidRDefault="00A86293">
      <w:r>
        <w:t xml:space="preserve">U okviru Hrvatske vatrogasne zajednice djeluje Nacionalni odbor za preventivnu zaštitu i gašenje požara, koji prati stanje zaštite od požara, organiziranost, opremljenost i osposobljenost vatrogastva, skrbi o unapređenju zaštite od požara, ustroju i strukovnom napretku vatrogastva Republike Hrvatske te surađuje s Međunarodnom zajednicom vatrogasnih i spasilačkih službi. Troškovi preventivne zaštite od požara znatno su manji od troškova smanjivanja posljedica od požara, posebno kada se u obzir uzmu dugoročne posljedice koje požar izaziva na okoliš. </w:t>
      </w:r>
    </w:p>
    <w:p w:rsidR="005C2091" w:rsidRDefault="00A86293">
      <w:r>
        <w:t xml:space="preserve">Stoga Hrvatska vatrogasna zajednica i putem Nacionalnog odbora za preventivnu zaštitu i gašenje požara u svim djelovanjima polazi od opredjeljenja, da se iskoriste sve mogućnosti kojima se može pojačati protupožarna preventiva, kako na normativnom, tako i na organizacijskom i operativnom planu. U tom smislu predlaže i poduzima preventivne, organizacijske i operativne mjere i aktivnosti u svrhu unapređenja vatrogasne djelatnosti. </w:t>
      </w:r>
    </w:p>
    <w:p w:rsidR="005C2091" w:rsidRDefault="00A86293">
      <w:r>
        <w:t>U 2016. godini u okviru međunarodne suradnje, Hrvatska vatrogasna zajednica je putem Nacionalnog odbora za preventivnu zaštitu i gašenje požara sudjelovala u radu Skupštine i u radu njezinih 7 stručnih odbora te u radu radne grupe CTIF-a za Podunavske zemlje. Također se surađivalo sa susjednim i prijateljskim vatrogasnim zajednicama, posebno susjednim i podunavskim zemljama kao i s vatrogasnim školama iz navedenih država daju se poticaji i razmjenjuju iskustva i znanja iz područja vatrogastva.</w:t>
      </w:r>
    </w:p>
    <w:p w:rsidR="000A6D36" w:rsidRDefault="000A6D36"/>
    <w:p w:rsidR="000A6D36" w:rsidRDefault="000A6D36"/>
    <w:p w:rsidR="000A6D36" w:rsidRDefault="000A6D36"/>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35"/>
        <w:gridCol w:w="2535"/>
        <w:gridCol w:w="1059"/>
        <w:gridCol w:w="1019"/>
        <w:gridCol w:w="1020"/>
        <w:gridCol w:w="1019"/>
        <w:gridCol w:w="1019"/>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organiziranih združenih vježbi</w:t>
            </w:r>
          </w:p>
        </w:tc>
        <w:tc>
          <w:tcPr>
            <w:tcW w:w="2551" w:type="dxa"/>
          </w:tcPr>
          <w:p w:rsidR="005C2091" w:rsidRDefault="00A86293">
            <w:pPr>
              <w:pStyle w:val="CellColumn"/>
              <w:jc w:val="left"/>
            </w:pPr>
            <w:r>
              <w:rPr>
                <w:rFonts w:cs="Times New Roman"/>
              </w:rPr>
              <w:t>organizacija vatrogasnih vježbi šireg značaja</w:t>
            </w:r>
          </w:p>
        </w:tc>
        <w:tc>
          <w:tcPr>
            <w:tcW w:w="1020" w:type="dxa"/>
          </w:tcPr>
          <w:p w:rsidR="005C2091" w:rsidRDefault="00A86293">
            <w:pPr>
              <w:pStyle w:val="CellColumn"/>
              <w:jc w:val="right"/>
            </w:pPr>
            <w:r>
              <w:rPr>
                <w:rFonts w:cs="Times New Roman"/>
              </w:rPr>
              <w:t>broj (kumulativ)</w:t>
            </w:r>
          </w:p>
        </w:tc>
        <w:tc>
          <w:tcPr>
            <w:tcW w:w="1020" w:type="dxa"/>
          </w:tcPr>
          <w:p w:rsidR="005C2091" w:rsidRDefault="00A86293">
            <w:pPr>
              <w:pStyle w:val="CellColumn"/>
              <w:jc w:val="right"/>
            </w:pPr>
            <w:r>
              <w:rPr>
                <w:rFonts w:cs="Times New Roman"/>
              </w:rPr>
              <w:t>16</w:t>
            </w:r>
          </w:p>
        </w:tc>
        <w:tc>
          <w:tcPr>
            <w:tcW w:w="1020" w:type="dxa"/>
          </w:tcPr>
          <w:p w:rsidR="005C2091" w:rsidRDefault="00A86293">
            <w:pPr>
              <w:pStyle w:val="CellColumn"/>
              <w:jc w:val="right"/>
            </w:pPr>
            <w:r>
              <w:rPr>
                <w:rFonts w:cs="Times New Roman"/>
              </w:rPr>
              <w:t>Izvješće o radu i Program rada Hrvatske vatrogasne zajednice</w:t>
            </w:r>
          </w:p>
        </w:tc>
        <w:tc>
          <w:tcPr>
            <w:tcW w:w="1020" w:type="dxa"/>
          </w:tcPr>
          <w:p w:rsidR="005C2091" w:rsidRDefault="00A86293">
            <w:pPr>
              <w:pStyle w:val="CellColumn"/>
              <w:jc w:val="right"/>
            </w:pPr>
            <w:r>
              <w:rPr>
                <w:rFonts w:cs="Times New Roman"/>
              </w:rPr>
              <w:t>21</w:t>
            </w:r>
          </w:p>
        </w:tc>
        <w:tc>
          <w:tcPr>
            <w:tcW w:w="1020" w:type="dxa"/>
          </w:tcPr>
          <w:p w:rsidR="005C2091" w:rsidRDefault="00A86293">
            <w:pPr>
              <w:pStyle w:val="CellColumn"/>
              <w:jc w:val="right"/>
            </w:pPr>
            <w:r>
              <w:rPr>
                <w:rFonts w:cs="Times New Roman"/>
              </w:rPr>
              <w:t>25</w:t>
            </w:r>
          </w:p>
        </w:tc>
      </w:tr>
    </w:tbl>
    <w:p w:rsidR="005C2091" w:rsidRDefault="005C2091">
      <w:pPr>
        <w:jc w:val="left"/>
      </w:pPr>
    </w:p>
    <w:p w:rsidR="005C2091" w:rsidRDefault="00A86293">
      <w:pPr>
        <w:pStyle w:val="Heading4"/>
      </w:pPr>
      <w:r>
        <w:t>A554002 OSPOSOBLJAVANJE VATROGASACA HRVATSKE VATROGASNE ZAJEDNICE</w:t>
      </w:r>
    </w:p>
    <w:tbl>
      <w:tblPr>
        <w:tblStyle w:val="StilTablice"/>
        <w:tblW w:w="10206" w:type="dxa"/>
        <w:jc w:val="center"/>
        <w:tblLook w:val="04A0" w:firstRow="1" w:lastRow="0" w:firstColumn="1" w:lastColumn="0" w:noHBand="0" w:noVBand="1"/>
      </w:tblPr>
      <w:tblGrid>
        <w:gridCol w:w="1994"/>
        <w:gridCol w:w="1936"/>
        <w:gridCol w:w="1929"/>
        <w:gridCol w:w="1936"/>
        <w:gridCol w:w="1201"/>
        <w:gridCol w:w="1210"/>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A554002-OSPOSOBLJAVANJE VATROGASACA HRVATSKE VATROGASNE ZAJEDNICE</w:t>
            </w:r>
          </w:p>
        </w:tc>
        <w:tc>
          <w:tcPr>
            <w:tcW w:w="2041" w:type="dxa"/>
          </w:tcPr>
          <w:p w:rsidR="005C2091" w:rsidRDefault="00A86293">
            <w:pPr>
              <w:pStyle w:val="CellColumn"/>
              <w:jc w:val="right"/>
            </w:pPr>
            <w:r>
              <w:rPr>
                <w:rFonts w:cs="Times New Roman"/>
              </w:rPr>
              <w:t>507.211</w:t>
            </w:r>
          </w:p>
        </w:tc>
        <w:tc>
          <w:tcPr>
            <w:tcW w:w="2041" w:type="dxa"/>
          </w:tcPr>
          <w:p w:rsidR="005C2091" w:rsidRDefault="00A86293">
            <w:pPr>
              <w:pStyle w:val="CellColumn"/>
              <w:jc w:val="right"/>
            </w:pPr>
            <w:r>
              <w:rPr>
                <w:rFonts w:cs="Times New Roman"/>
              </w:rPr>
              <w:t>824.000</w:t>
            </w:r>
          </w:p>
        </w:tc>
        <w:tc>
          <w:tcPr>
            <w:tcW w:w="2041" w:type="dxa"/>
          </w:tcPr>
          <w:p w:rsidR="005C2091" w:rsidRDefault="00A86293">
            <w:pPr>
              <w:pStyle w:val="CellColumn"/>
              <w:jc w:val="right"/>
            </w:pPr>
            <w:r>
              <w:rPr>
                <w:rFonts w:cs="Times New Roman"/>
              </w:rPr>
              <w:t>728.065</w:t>
            </w:r>
          </w:p>
        </w:tc>
        <w:tc>
          <w:tcPr>
            <w:tcW w:w="1224" w:type="dxa"/>
          </w:tcPr>
          <w:p w:rsidR="005C2091" w:rsidRDefault="00A86293">
            <w:pPr>
              <w:pStyle w:val="CellColumn"/>
              <w:jc w:val="right"/>
            </w:pPr>
            <w:r>
              <w:rPr>
                <w:rFonts w:cs="Times New Roman"/>
              </w:rPr>
              <w:t>88,4</w:t>
            </w:r>
          </w:p>
        </w:tc>
        <w:tc>
          <w:tcPr>
            <w:tcW w:w="1224" w:type="dxa"/>
          </w:tcPr>
          <w:p w:rsidR="005C2091" w:rsidRDefault="00A86293">
            <w:pPr>
              <w:pStyle w:val="CellColumn"/>
              <w:jc w:val="right"/>
            </w:pPr>
            <w:r>
              <w:rPr>
                <w:rFonts w:cs="Times New Roman"/>
              </w:rPr>
              <w:t>143,5</w:t>
            </w:r>
          </w:p>
        </w:tc>
      </w:tr>
    </w:tbl>
    <w:p w:rsidR="005C2091" w:rsidRDefault="005C2091">
      <w:pPr>
        <w:jc w:val="left"/>
      </w:pPr>
    </w:p>
    <w:p w:rsidR="005C2091" w:rsidRDefault="00A86293">
      <w:pPr>
        <w:pStyle w:val="Heading8"/>
        <w:jc w:val="left"/>
      </w:pPr>
      <w:r>
        <w:t>Zakonske i druge pravne osnove</w:t>
      </w:r>
    </w:p>
    <w:p w:rsidR="005C2091" w:rsidRDefault="00A86293">
      <w:r>
        <w:t>Zakon o vatrogastvu, čl. 42., čl. 43. točka 8.</w:t>
      </w:r>
    </w:p>
    <w:p w:rsidR="005C2091" w:rsidRDefault="00A86293">
      <w:pPr>
        <w:pStyle w:val="Heading8"/>
        <w:jc w:val="left"/>
      </w:pPr>
      <w:r>
        <w:t>Opis aktivnosti</w:t>
      </w:r>
    </w:p>
    <w:p w:rsidR="005C2091" w:rsidRDefault="00A86293">
      <w:r>
        <w:t xml:space="preserve">Hrvatska vatrogasna zajednica, u svrhu unapređenja vatrogasne struke i vatrogasne djelatnosti provodi osposobljavanja, usavršavanja, obuke, tečajeve, organizira seminare, savjetovanja, stručne skupove, izdaje stručnu literaturu, organizira vatrogasne vježbe i natjecanja te organizira sudjelovanje i pohađanje nacionalnih i međunarodnih strukovnih sajmova. </w:t>
      </w:r>
    </w:p>
    <w:p w:rsidR="005C2091" w:rsidRDefault="00A86293">
      <w:r>
        <w:t xml:space="preserve">Sve sofisticiranijim tehničkim i tehnološkim okruženjem postavljaju se sve veći zahtjevi na osposobljenost vatrogasaca. Osposobljenost vatrogasca ocjenjuje se kao temeljni uvjet za uspješno provođenje vatrogasne intervencije. Stoga se poduzima niz aktivnosti, kako bi vatrogasno članstvo bilo što bolje pripremljeno za sve vidove vatrogasnih intervencija. U protekloj 2016. godini u Republici Hrvatskoj osposobljeno je 5.974 vatrogasaca te usavršeno 1.764 vatrogasaca za razne specijalnosti. Osposobljavanje i usavršavanje dobrovoljnih vatrogasaca provodi se putem vatrogasnih zajednica, uz nadzor osposobljavanja viših vatrogasnih zvanja i specijalnosti od Hrvatske vatrogasne zajednice. Posebna pozornost posvećuje se kontinuiranom radu s vatrogasnom mladeži koja predstavlja temelj budućih generacija dobrovoljnih i profesionalnih vatrogasaca. Kroz razne operativne, stručne i odgojne programe oko 25 tisuća pripadnika pomlatka i vatrogasne mladeži stječe znanja i vještine koje kasnije koriste u svojem operativnom djelovanju unutar i izvan vatrogasne organizacije. Kao najvažnije aktivnosti u radu s vatrogasnom mladeži u RH ističu se Kamp vatrogasne mladeži u Fažani, kroz koji godišnje prođe obuku oko 1.500 pripadnika vatrogasne mladeži s njihovim voditeljima. </w:t>
      </w:r>
    </w:p>
    <w:p w:rsidR="005C2091" w:rsidRDefault="00A86293">
      <w:r>
        <w:t>Vatrogasna natjecanja i susreti na kojima je sudjelovalo više od 2.800 vatrogasaca i vatrogasne mladeži također daju rezultate koji se posebno očituju u neprekidnom rastu članova vatrogasne mladeži na području RH.</w:t>
      </w:r>
    </w:p>
    <w:p w:rsidR="000A6D36" w:rsidRDefault="000A6D36"/>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35"/>
        <w:gridCol w:w="2535"/>
        <w:gridCol w:w="1059"/>
        <w:gridCol w:w="1019"/>
        <w:gridCol w:w="1020"/>
        <w:gridCol w:w="1019"/>
        <w:gridCol w:w="1019"/>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osposobljenih i usavršenih vatrogasaca</w:t>
            </w:r>
          </w:p>
        </w:tc>
        <w:tc>
          <w:tcPr>
            <w:tcW w:w="2551" w:type="dxa"/>
          </w:tcPr>
          <w:p w:rsidR="005C2091" w:rsidRDefault="00A86293">
            <w:pPr>
              <w:pStyle w:val="CellColumn"/>
              <w:jc w:val="left"/>
            </w:pPr>
            <w:r>
              <w:rPr>
                <w:rFonts w:cs="Times New Roman"/>
              </w:rPr>
              <w:t>Povećanje broja osposboljenih i usavršenih vatrogasaca</w:t>
            </w:r>
          </w:p>
        </w:tc>
        <w:tc>
          <w:tcPr>
            <w:tcW w:w="1020" w:type="dxa"/>
          </w:tcPr>
          <w:p w:rsidR="005C2091" w:rsidRDefault="00A86293">
            <w:pPr>
              <w:pStyle w:val="CellColumn"/>
              <w:jc w:val="right"/>
            </w:pPr>
            <w:r>
              <w:rPr>
                <w:rFonts w:cs="Times New Roman"/>
              </w:rPr>
              <w:t>broj (kumulativ)</w:t>
            </w:r>
          </w:p>
        </w:tc>
        <w:tc>
          <w:tcPr>
            <w:tcW w:w="1020" w:type="dxa"/>
          </w:tcPr>
          <w:p w:rsidR="005C2091" w:rsidRDefault="00A86293">
            <w:pPr>
              <w:pStyle w:val="CellColumn"/>
              <w:jc w:val="right"/>
            </w:pPr>
            <w:r>
              <w:rPr>
                <w:rFonts w:cs="Times New Roman"/>
              </w:rPr>
              <w:t>19230</w:t>
            </w:r>
          </w:p>
        </w:tc>
        <w:tc>
          <w:tcPr>
            <w:tcW w:w="1020" w:type="dxa"/>
          </w:tcPr>
          <w:p w:rsidR="005C2091" w:rsidRDefault="00A86293">
            <w:pPr>
              <w:pStyle w:val="CellColumn"/>
              <w:jc w:val="right"/>
            </w:pPr>
            <w:r>
              <w:rPr>
                <w:rFonts w:cs="Times New Roman"/>
              </w:rPr>
              <w:t>Izvješće o radu i Program rada Hrvatske vatrogasne zajednice</w:t>
            </w:r>
          </w:p>
        </w:tc>
        <w:tc>
          <w:tcPr>
            <w:tcW w:w="1020" w:type="dxa"/>
          </w:tcPr>
          <w:p w:rsidR="005C2091" w:rsidRDefault="00A86293">
            <w:pPr>
              <w:pStyle w:val="CellColumn"/>
              <w:jc w:val="right"/>
            </w:pPr>
            <w:r>
              <w:rPr>
                <w:rFonts w:cs="Times New Roman"/>
              </w:rPr>
              <w:t>27230</w:t>
            </w:r>
          </w:p>
        </w:tc>
        <w:tc>
          <w:tcPr>
            <w:tcW w:w="1020" w:type="dxa"/>
          </w:tcPr>
          <w:p w:rsidR="005C2091" w:rsidRDefault="00A86293">
            <w:pPr>
              <w:pStyle w:val="CellColumn"/>
              <w:jc w:val="right"/>
            </w:pPr>
            <w:r>
              <w:rPr>
                <w:rFonts w:cs="Times New Roman"/>
              </w:rPr>
              <w:t>27288</w:t>
            </w:r>
          </w:p>
        </w:tc>
      </w:tr>
      <w:tr w:rsidR="005C2091">
        <w:trPr>
          <w:jc w:val="center"/>
        </w:trPr>
        <w:tc>
          <w:tcPr>
            <w:tcW w:w="2551" w:type="dxa"/>
          </w:tcPr>
          <w:p w:rsidR="005C2091" w:rsidRDefault="00A86293">
            <w:pPr>
              <w:pStyle w:val="CellColumn"/>
              <w:jc w:val="left"/>
            </w:pPr>
            <w:r>
              <w:rPr>
                <w:rFonts w:cs="Times New Roman"/>
              </w:rPr>
              <w:t>Broj sudionika na savjetovanjima i susretima granskih organizacija</w:t>
            </w:r>
          </w:p>
        </w:tc>
        <w:tc>
          <w:tcPr>
            <w:tcW w:w="2551" w:type="dxa"/>
          </w:tcPr>
          <w:p w:rsidR="005C2091" w:rsidRDefault="00A86293">
            <w:pPr>
              <w:pStyle w:val="CellColumn"/>
              <w:jc w:val="left"/>
            </w:pPr>
            <w:r>
              <w:rPr>
                <w:rFonts w:cs="Times New Roman"/>
              </w:rPr>
              <w:t>Povećanje brojasudionika na savjetovanjima i susretima granskih organizacija</w:t>
            </w:r>
          </w:p>
        </w:tc>
        <w:tc>
          <w:tcPr>
            <w:tcW w:w="1020" w:type="dxa"/>
          </w:tcPr>
          <w:p w:rsidR="005C2091" w:rsidRDefault="00A86293">
            <w:pPr>
              <w:pStyle w:val="CellColumn"/>
              <w:jc w:val="right"/>
            </w:pPr>
            <w:r>
              <w:rPr>
                <w:rFonts w:cs="Times New Roman"/>
              </w:rPr>
              <w:t>broj (kumulativ)</w:t>
            </w:r>
          </w:p>
        </w:tc>
        <w:tc>
          <w:tcPr>
            <w:tcW w:w="1020" w:type="dxa"/>
          </w:tcPr>
          <w:p w:rsidR="005C2091" w:rsidRDefault="00A86293">
            <w:pPr>
              <w:pStyle w:val="CellColumn"/>
              <w:jc w:val="right"/>
            </w:pPr>
            <w:r>
              <w:rPr>
                <w:rFonts w:cs="Times New Roman"/>
              </w:rPr>
              <w:t>810</w:t>
            </w:r>
          </w:p>
        </w:tc>
        <w:tc>
          <w:tcPr>
            <w:tcW w:w="1020" w:type="dxa"/>
          </w:tcPr>
          <w:p w:rsidR="005C2091" w:rsidRDefault="00A86293">
            <w:pPr>
              <w:pStyle w:val="CellColumn"/>
              <w:jc w:val="right"/>
            </w:pPr>
            <w:r>
              <w:rPr>
                <w:rFonts w:cs="Times New Roman"/>
              </w:rPr>
              <w:t>Izvješće o radu i Program rada Hrvatske vatrogasne zajednice</w:t>
            </w:r>
          </w:p>
        </w:tc>
        <w:tc>
          <w:tcPr>
            <w:tcW w:w="1020" w:type="dxa"/>
          </w:tcPr>
          <w:p w:rsidR="005C2091" w:rsidRDefault="00A86293">
            <w:pPr>
              <w:pStyle w:val="CellColumn"/>
              <w:jc w:val="right"/>
            </w:pPr>
            <w:r>
              <w:rPr>
                <w:rFonts w:cs="Times New Roman"/>
              </w:rPr>
              <w:t>1120</w:t>
            </w:r>
          </w:p>
        </w:tc>
        <w:tc>
          <w:tcPr>
            <w:tcW w:w="1020" w:type="dxa"/>
          </w:tcPr>
          <w:p w:rsidR="005C2091" w:rsidRDefault="00A86293">
            <w:pPr>
              <w:pStyle w:val="CellColumn"/>
              <w:jc w:val="right"/>
            </w:pPr>
            <w:r>
              <w:rPr>
                <w:rFonts w:cs="Times New Roman"/>
              </w:rPr>
              <w:t>1120</w:t>
            </w:r>
          </w:p>
        </w:tc>
      </w:tr>
      <w:tr w:rsidR="005C2091">
        <w:trPr>
          <w:jc w:val="center"/>
        </w:trPr>
        <w:tc>
          <w:tcPr>
            <w:tcW w:w="2551" w:type="dxa"/>
          </w:tcPr>
          <w:p w:rsidR="005C2091" w:rsidRDefault="00A86293">
            <w:pPr>
              <w:pStyle w:val="CellColumn"/>
              <w:jc w:val="left"/>
            </w:pPr>
            <w:r>
              <w:rPr>
                <w:rFonts w:cs="Times New Roman"/>
              </w:rPr>
              <w:lastRenderedPageBreak/>
              <w:t>Broj sudionika u Kampu</w:t>
            </w:r>
          </w:p>
        </w:tc>
        <w:tc>
          <w:tcPr>
            <w:tcW w:w="2551" w:type="dxa"/>
          </w:tcPr>
          <w:p w:rsidR="005C2091" w:rsidRDefault="00A86293">
            <w:pPr>
              <w:pStyle w:val="CellColumn"/>
              <w:jc w:val="left"/>
            </w:pPr>
            <w:r>
              <w:rPr>
                <w:rFonts w:cs="Times New Roman"/>
              </w:rPr>
              <w:t>Broj sudionika u Kampu</w:t>
            </w:r>
          </w:p>
        </w:tc>
        <w:tc>
          <w:tcPr>
            <w:tcW w:w="1020" w:type="dxa"/>
          </w:tcPr>
          <w:p w:rsidR="005C2091" w:rsidRDefault="00A86293">
            <w:pPr>
              <w:pStyle w:val="CellColumn"/>
              <w:jc w:val="right"/>
            </w:pPr>
            <w:r>
              <w:rPr>
                <w:rFonts w:cs="Times New Roman"/>
              </w:rPr>
              <w:t>broj (kumulativ)</w:t>
            </w:r>
          </w:p>
        </w:tc>
        <w:tc>
          <w:tcPr>
            <w:tcW w:w="1020" w:type="dxa"/>
          </w:tcPr>
          <w:p w:rsidR="005C2091" w:rsidRDefault="00A86293">
            <w:pPr>
              <w:pStyle w:val="CellColumn"/>
              <w:jc w:val="right"/>
            </w:pPr>
            <w:r>
              <w:rPr>
                <w:rFonts w:cs="Times New Roman"/>
              </w:rPr>
              <w:t>4670</w:t>
            </w:r>
          </w:p>
        </w:tc>
        <w:tc>
          <w:tcPr>
            <w:tcW w:w="1020" w:type="dxa"/>
          </w:tcPr>
          <w:p w:rsidR="005C2091" w:rsidRDefault="00A86293">
            <w:pPr>
              <w:pStyle w:val="CellColumn"/>
              <w:jc w:val="right"/>
            </w:pPr>
            <w:r>
              <w:rPr>
                <w:rFonts w:cs="Times New Roman"/>
              </w:rPr>
              <w:t>Izvješće o radu i Program rada Hrvatske vatrogasne zajednice</w:t>
            </w:r>
          </w:p>
        </w:tc>
        <w:tc>
          <w:tcPr>
            <w:tcW w:w="1020" w:type="dxa"/>
          </w:tcPr>
          <w:p w:rsidR="005C2091" w:rsidRDefault="00A86293">
            <w:pPr>
              <w:pStyle w:val="CellColumn"/>
              <w:jc w:val="right"/>
            </w:pPr>
            <w:r>
              <w:rPr>
                <w:rFonts w:cs="Times New Roman"/>
              </w:rPr>
              <w:t>6000</w:t>
            </w:r>
          </w:p>
        </w:tc>
        <w:tc>
          <w:tcPr>
            <w:tcW w:w="1020" w:type="dxa"/>
          </w:tcPr>
          <w:p w:rsidR="005C2091" w:rsidRDefault="00A86293">
            <w:pPr>
              <w:pStyle w:val="CellColumn"/>
              <w:jc w:val="right"/>
            </w:pPr>
            <w:r>
              <w:rPr>
                <w:rFonts w:cs="Times New Roman"/>
              </w:rPr>
              <w:t>6036</w:t>
            </w:r>
          </w:p>
        </w:tc>
      </w:tr>
    </w:tbl>
    <w:p w:rsidR="005C2091" w:rsidRDefault="005C2091">
      <w:pPr>
        <w:jc w:val="left"/>
      </w:pPr>
    </w:p>
    <w:p w:rsidR="005C2091" w:rsidRDefault="00A86293">
      <w:pPr>
        <w:pStyle w:val="Heading4"/>
      </w:pPr>
      <w:r>
        <w:t>A554003 PROTUPOŽARNA PREVENTIVA, PROMIDŽBA I IZDAVAŠTVO</w:t>
      </w:r>
    </w:p>
    <w:tbl>
      <w:tblPr>
        <w:tblStyle w:val="StilTablice"/>
        <w:tblW w:w="10206" w:type="dxa"/>
        <w:jc w:val="center"/>
        <w:tblLook w:val="04A0" w:firstRow="1" w:lastRow="0" w:firstColumn="1" w:lastColumn="0" w:noHBand="0" w:noVBand="1"/>
      </w:tblPr>
      <w:tblGrid>
        <w:gridCol w:w="1715"/>
        <w:gridCol w:w="2015"/>
        <w:gridCol w:w="2018"/>
        <w:gridCol w:w="2018"/>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A554003-PROTUPOŽARNA PREVENTIVA, PROMIDŽBA I IZDAVAŠTVO</w:t>
            </w:r>
          </w:p>
        </w:tc>
        <w:tc>
          <w:tcPr>
            <w:tcW w:w="2041" w:type="dxa"/>
          </w:tcPr>
          <w:p w:rsidR="005C2091" w:rsidRDefault="00A86293">
            <w:pPr>
              <w:pStyle w:val="CellColumn"/>
              <w:jc w:val="right"/>
            </w:pPr>
            <w:r>
              <w:rPr>
                <w:rFonts w:cs="Times New Roman"/>
              </w:rPr>
              <w:t>921.609</w:t>
            </w:r>
          </w:p>
        </w:tc>
        <w:tc>
          <w:tcPr>
            <w:tcW w:w="2041" w:type="dxa"/>
          </w:tcPr>
          <w:p w:rsidR="005C2091" w:rsidRDefault="00A86293">
            <w:pPr>
              <w:pStyle w:val="CellColumn"/>
              <w:jc w:val="right"/>
            </w:pPr>
            <w:r>
              <w:rPr>
                <w:rFonts w:cs="Times New Roman"/>
              </w:rPr>
              <w:t>1.196.000</w:t>
            </w:r>
          </w:p>
        </w:tc>
        <w:tc>
          <w:tcPr>
            <w:tcW w:w="2041" w:type="dxa"/>
          </w:tcPr>
          <w:p w:rsidR="005C2091" w:rsidRDefault="00A86293">
            <w:pPr>
              <w:pStyle w:val="CellColumn"/>
              <w:jc w:val="right"/>
            </w:pPr>
            <w:r>
              <w:rPr>
                <w:rFonts w:cs="Times New Roman"/>
              </w:rPr>
              <w:t>1.121.925</w:t>
            </w:r>
          </w:p>
        </w:tc>
        <w:tc>
          <w:tcPr>
            <w:tcW w:w="1224" w:type="dxa"/>
          </w:tcPr>
          <w:p w:rsidR="005C2091" w:rsidRDefault="00A86293">
            <w:pPr>
              <w:pStyle w:val="CellColumn"/>
              <w:jc w:val="right"/>
            </w:pPr>
            <w:r>
              <w:rPr>
                <w:rFonts w:cs="Times New Roman"/>
              </w:rPr>
              <w:t>93,8</w:t>
            </w:r>
          </w:p>
        </w:tc>
        <w:tc>
          <w:tcPr>
            <w:tcW w:w="1224" w:type="dxa"/>
          </w:tcPr>
          <w:p w:rsidR="005C2091" w:rsidRDefault="00A86293">
            <w:pPr>
              <w:pStyle w:val="CellColumn"/>
              <w:jc w:val="right"/>
            </w:pPr>
            <w:r>
              <w:rPr>
                <w:rFonts w:cs="Times New Roman"/>
              </w:rPr>
              <w:t>121,7</w:t>
            </w:r>
          </w:p>
        </w:tc>
      </w:tr>
    </w:tbl>
    <w:p w:rsidR="005C2091" w:rsidRDefault="005C2091">
      <w:pPr>
        <w:jc w:val="left"/>
      </w:pPr>
    </w:p>
    <w:p w:rsidR="005C2091" w:rsidRDefault="00A86293">
      <w:pPr>
        <w:pStyle w:val="Heading8"/>
        <w:jc w:val="left"/>
      </w:pPr>
      <w:r>
        <w:t>Zakonske i druge pravne osnove</w:t>
      </w:r>
    </w:p>
    <w:p w:rsidR="005C2091" w:rsidRDefault="00A86293">
      <w:r>
        <w:t>Zakon o vatrogastvu, čl. 7, čl. 43. točka 8.</w:t>
      </w:r>
    </w:p>
    <w:p w:rsidR="005C2091" w:rsidRDefault="00A86293">
      <w:pPr>
        <w:pStyle w:val="Heading8"/>
        <w:jc w:val="left"/>
      </w:pPr>
      <w:r>
        <w:t>Opis aktivnosti</w:t>
      </w:r>
    </w:p>
    <w:p w:rsidR="005C2091" w:rsidRDefault="00A86293">
      <w:r>
        <w:t xml:space="preserve">Hrvatska vatrogasna zajednica, u cilju smanjenja broja opasnih situacija, nesreća, broja poginulih i stradalih u nesrećama te smanjivanja dugoročnih posljedica na okoliš poduzimala je niz preventivnih mjera i aktivnosti. U preventivne aktivnosti ubraja se poticanje ukazivanja na opasnosti i rizike od nastanka požara i djelotvornog nadzora provedbe propisanih mjera zaštite od požara. Preventivne mjere koje su se provodile u 2016. godini su rad s djecom i mladima kao i sveobuhvatna informativno-promidžbena djelatnost, među kojom izdvajamo mjesečno izdavanje časopisa iz zaštite od požara i vatrogastva „Vatrogasni vjesnik“ i stručni časopis "Vatrogastvo i upravljanje požarima", izdavanje stručne literature i audio-vizualnih medija za preventivnu zaštitu od požara, promidžba putem interneta, televizije, plakata, brošura i letaka kao i provođenje promidžbenih akcija, posebno za zaštitu šuma od požara tijekom požarne sezone i drugo. Dio promidžbenih aktivnosti provodio se i putem EU projekta "IPA Adriatic - Holistic" a najznačajnije su oglašavanje putem billboarda tijekom požarne sezone te putujuća izložba u svim većim gradovima u RH pod nazivom "Crna šuma". </w:t>
      </w:r>
    </w:p>
    <w:p w:rsidR="005C2091" w:rsidRDefault="00A86293">
      <w:r>
        <w:t xml:space="preserve"> </w:t>
      </w:r>
    </w:p>
    <w:p w:rsidR="005C2091" w:rsidRDefault="00A86293">
      <w:r>
        <w:t xml:space="preserve">Kroz različite društvene aktivnosti propagira se vatrogasna struka. Tako primjerice je u 2016. godini obilježena 140. obljetnica Hrvatske vatrogasne zajednice upriličena sa svečanim mimohodom te nizom atraktivnih vatrogasnih vježbi. Dobrovoljna vatrogasna društva su u mnogim sredinama glavni nositelji društvenog i kulturnog života. Tako u Republici Hrvatskoj djeluje 36 vatrogasnih puhačkih orkestara koji sudjeluju na raznim kulturno-umjetničkim manifestacijama kojima se promovira široki spektar djelovanja dobrovoljnih vatrogasnih društava. Hrvatska vatrogasna zajednica je i u 2016. godini organizirala niz aktivnosti putem kojih se promicao društveni doprinos vatrogasaca.  </w:t>
      </w:r>
    </w:p>
    <w:p w:rsidR="005C2091" w:rsidRDefault="00A86293">
      <w:r>
        <w:t>Kontinuiranim prikupljanjem vatrogasne povijesne građe iz svih područja RH, a u sklopu stalnog postava Muzeja hrvatskog vatrogastva u Varaždinu Hrvatska vatrogasna zajednica vodi trajnu brigu o vatrogasnoj baštini i povijesti hrvatskog vatrogastva, koje kontinuirano postoji 140 godina.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35"/>
        <w:gridCol w:w="2535"/>
        <w:gridCol w:w="1059"/>
        <w:gridCol w:w="1019"/>
        <w:gridCol w:w="1020"/>
        <w:gridCol w:w="1019"/>
        <w:gridCol w:w="1019"/>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Broj tiskanih i distribuiranih promidžbenih plakata i letaka</w:t>
            </w:r>
          </w:p>
        </w:tc>
        <w:tc>
          <w:tcPr>
            <w:tcW w:w="2551" w:type="dxa"/>
          </w:tcPr>
          <w:p w:rsidR="005C2091" w:rsidRDefault="00A86293">
            <w:pPr>
              <w:pStyle w:val="CellColumn"/>
              <w:jc w:val="left"/>
            </w:pPr>
            <w:r>
              <w:rPr>
                <w:rFonts w:cs="Times New Roman"/>
              </w:rPr>
              <w:t>protupožarne promidžbene tiskovine</w:t>
            </w:r>
          </w:p>
        </w:tc>
        <w:tc>
          <w:tcPr>
            <w:tcW w:w="1020" w:type="dxa"/>
          </w:tcPr>
          <w:p w:rsidR="005C2091" w:rsidRDefault="00A86293">
            <w:pPr>
              <w:pStyle w:val="CellColumn"/>
              <w:jc w:val="right"/>
            </w:pPr>
            <w:r>
              <w:rPr>
                <w:rFonts w:cs="Times New Roman"/>
              </w:rPr>
              <w:t>broj (kumulativ)</w:t>
            </w:r>
          </w:p>
        </w:tc>
        <w:tc>
          <w:tcPr>
            <w:tcW w:w="1020" w:type="dxa"/>
          </w:tcPr>
          <w:p w:rsidR="005C2091" w:rsidRDefault="00A86293">
            <w:pPr>
              <w:pStyle w:val="CellColumn"/>
              <w:jc w:val="right"/>
            </w:pPr>
            <w:r>
              <w:rPr>
                <w:rFonts w:cs="Times New Roman"/>
              </w:rPr>
              <w:t>320000</w:t>
            </w:r>
          </w:p>
        </w:tc>
        <w:tc>
          <w:tcPr>
            <w:tcW w:w="1020" w:type="dxa"/>
          </w:tcPr>
          <w:p w:rsidR="005C2091" w:rsidRDefault="00A86293">
            <w:pPr>
              <w:pStyle w:val="CellColumn"/>
              <w:jc w:val="right"/>
            </w:pPr>
            <w:r>
              <w:rPr>
                <w:rFonts w:cs="Times New Roman"/>
              </w:rPr>
              <w:t>Izvješće o radu i Program rada Hrvatske vatrogasne zajednice</w:t>
            </w:r>
          </w:p>
        </w:tc>
        <w:tc>
          <w:tcPr>
            <w:tcW w:w="1020" w:type="dxa"/>
          </w:tcPr>
          <w:p w:rsidR="005C2091" w:rsidRDefault="00A86293">
            <w:pPr>
              <w:pStyle w:val="CellColumn"/>
              <w:jc w:val="right"/>
            </w:pPr>
            <w:r>
              <w:rPr>
                <w:rFonts w:cs="Times New Roman"/>
              </w:rPr>
              <w:t>410000</w:t>
            </w:r>
          </w:p>
        </w:tc>
        <w:tc>
          <w:tcPr>
            <w:tcW w:w="1020" w:type="dxa"/>
          </w:tcPr>
          <w:p w:rsidR="005C2091" w:rsidRDefault="00A86293">
            <w:pPr>
              <w:pStyle w:val="CellColumn"/>
              <w:jc w:val="right"/>
            </w:pPr>
            <w:r>
              <w:rPr>
                <w:rFonts w:cs="Times New Roman"/>
              </w:rPr>
              <w:t>417000</w:t>
            </w:r>
          </w:p>
        </w:tc>
      </w:tr>
      <w:tr w:rsidR="005C2091">
        <w:trPr>
          <w:jc w:val="center"/>
        </w:trPr>
        <w:tc>
          <w:tcPr>
            <w:tcW w:w="2551" w:type="dxa"/>
          </w:tcPr>
          <w:p w:rsidR="005C2091" w:rsidRDefault="00A86293">
            <w:pPr>
              <w:pStyle w:val="CellColumn"/>
              <w:jc w:val="left"/>
            </w:pPr>
            <w:r>
              <w:rPr>
                <w:rFonts w:cs="Times New Roman"/>
              </w:rPr>
              <w:t>Broj vatrogasnih organizacija i drugih subjekata koje primaju "Vatrogasni vjesnik"</w:t>
            </w:r>
          </w:p>
        </w:tc>
        <w:tc>
          <w:tcPr>
            <w:tcW w:w="2551" w:type="dxa"/>
          </w:tcPr>
          <w:p w:rsidR="005C2091" w:rsidRDefault="00A86293">
            <w:pPr>
              <w:pStyle w:val="CellColumn"/>
              <w:jc w:val="left"/>
            </w:pPr>
            <w:r>
              <w:rPr>
                <w:rFonts w:cs="Times New Roman"/>
              </w:rPr>
              <w:t>strukovni časopis Hrvatske vatrogasne zajednice</w:t>
            </w:r>
          </w:p>
        </w:tc>
        <w:tc>
          <w:tcPr>
            <w:tcW w:w="1020" w:type="dxa"/>
          </w:tcPr>
          <w:p w:rsidR="005C2091" w:rsidRDefault="00A86293">
            <w:pPr>
              <w:pStyle w:val="CellColumn"/>
              <w:jc w:val="right"/>
            </w:pPr>
            <w:r>
              <w:rPr>
                <w:rFonts w:cs="Times New Roman"/>
              </w:rPr>
              <w:t>broj (kumulativ)</w:t>
            </w:r>
          </w:p>
        </w:tc>
        <w:tc>
          <w:tcPr>
            <w:tcW w:w="1020" w:type="dxa"/>
          </w:tcPr>
          <w:p w:rsidR="005C2091" w:rsidRDefault="00A86293">
            <w:pPr>
              <w:pStyle w:val="CellColumn"/>
              <w:jc w:val="right"/>
            </w:pPr>
            <w:r>
              <w:rPr>
                <w:rFonts w:cs="Times New Roman"/>
              </w:rPr>
              <w:t>4000</w:t>
            </w:r>
          </w:p>
        </w:tc>
        <w:tc>
          <w:tcPr>
            <w:tcW w:w="1020" w:type="dxa"/>
          </w:tcPr>
          <w:p w:rsidR="005C2091" w:rsidRDefault="00A86293">
            <w:pPr>
              <w:pStyle w:val="CellColumn"/>
              <w:jc w:val="right"/>
            </w:pPr>
            <w:r>
              <w:rPr>
                <w:rFonts w:cs="Times New Roman"/>
              </w:rPr>
              <w:t>Izvješće o radu i Program rada Hrvatske vatrogasne zajednice</w:t>
            </w:r>
          </w:p>
        </w:tc>
        <w:tc>
          <w:tcPr>
            <w:tcW w:w="1020" w:type="dxa"/>
          </w:tcPr>
          <w:p w:rsidR="005C2091" w:rsidRDefault="00A86293">
            <w:pPr>
              <w:pStyle w:val="CellColumn"/>
              <w:jc w:val="right"/>
            </w:pPr>
            <w:r>
              <w:rPr>
                <w:rFonts w:cs="Times New Roman"/>
              </w:rPr>
              <w:t>8000</w:t>
            </w:r>
          </w:p>
        </w:tc>
        <w:tc>
          <w:tcPr>
            <w:tcW w:w="1020" w:type="dxa"/>
          </w:tcPr>
          <w:p w:rsidR="005C2091" w:rsidRDefault="00A86293">
            <w:pPr>
              <w:pStyle w:val="CellColumn"/>
              <w:jc w:val="right"/>
            </w:pPr>
            <w:r>
              <w:rPr>
                <w:rFonts w:cs="Times New Roman"/>
              </w:rPr>
              <w:t>8000</w:t>
            </w:r>
          </w:p>
        </w:tc>
      </w:tr>
    </w:tbl>
    <w:p w:rsidR="005C2091" w:rsidRDefault="005C2091">
      <w:pPr>
        <w:jc w:val="left"/>
      </w:pPr>
    </w:p>
    <w:p w:rsidR="005C2091" w:rsidRDefault="00A86293">
      <w:pPr>
        <w:pStyle w:val="Heading4"/>
      </w:pPr>
      <w:r>
        <w:t>A554004 OSPOSOBLJAVANJE I OPREMA ZA POTREBE VATROGASNIH INTERVENCIJA</w:t>
      </w:r>
    </w:p>
    <w:tbl>
      <w:tblPr>
        <w:tblStyle w:val="StilTablice"/>
        <w:tblW w:w="10206" w:type="dxa"/>
        <w:jc w:val="center"/>
        <w:tblLook w:val="04A0" w:firstRow="1" w:lastRow="0" w:firstColumn="1" w:lastColumn="0" w:noHBand="0" w:noVBand="1"/>
      </w:tblPr>
      <w:tblGrid>
        <w:gridCol w:w="1993"/>
        <w:gridCol w:w="1935"/>
        <w:gridCol w:w="1935"/>
        <w:gridCol w:w="1935"/>
        <w:gridCol w:w="1199"/>
        <w:gridCol w:w="120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A554004-OSPOSOBLJAVANJE I OPREMA ZA POTREBE VATROGASNIH INTERVENCIJA</w:t>
            </w:r>
          </w:p>
        </w:tc>
        <w:tc>
          <w:tcPr>
            <w:tcW w:w="2041" w:type="dxa"/>
          </w:tcPr>
          <w:p w:rsidR="005C2091" w:rsidRDefault="00A86293">
            <w:pPr>
              <w:pStyle w:val="CellColumn"/>
              <w:jc w:val="right"/>
            </w:pPr>
            <w:r>
              <w:rPr>
                <w:rFonts w:cs="Times New Roman"/>
              </w:rPr>
              <w:t>4.374.292</w:t>
            </w:r>
          </w:p>
        </w:tc>
        <w:tc>
          <w:tcPr>
            <w:tcW w:w="2041" w:type="dxa"/>
          </w:tcPr>
          <w:p w:rsidR="005C2091" w:rsidRDefault="00A86293">
            <w:pPr>
              <w:pStyle w:val="CellColumn"/>
              <w:jc w:val="right"/>
            </w:pPr>
            <w:r>
              <w:rPr>
                <w:rFonts w:cs="Times New Roman"/>
              </w:rPr>
              <w:t>3.500.000</w:t>
            </w:r>
          </w:p>
        </w:tc>
        <w:tc>
          <w:tcPr>
            <w:tcW w:w="2041" w:type="dxa"/>
          </w:tcPr>
          <w:p w:rsidR="005C2091" w:rsidRDefault="00A86293">
            <w:pPr>
              <w:pStyle w:val="CellColumn"/>
              <w:jc w:val="right"/>
            </w:pPr>
            <w:r>
              <w:rPr>
                <w:rFonts w:cs="Times New Roman"/>
              </w:rPr>
              <w:t>3.773.419</w:t>
            </w:r>
          </w:p>
        </w:tc>
        <w:tc>
          <w:tcPr>
            <w:tcW w:w="1224" w:type="dxa"/>
          </w:tcPr>
          <w:p w:rsidR="005C2091" w:rsidRDefault="00A86293">
            <w:pPr>
              <w:pStyle w:val="CellColumn"/>
              <w:jc w:val="right"/>
            </w:pPr>
            <w:r>
              <w:rPr>
                <w:rFonts w:cs="Times New Roman"/>
              </w:rPr>
              <w:t>107,8</w:t>
            </w:r>
          </w:p>
        </w:tc>
        <w:tc>
          <w:tcPr>
            <w:tcW w:w="1224" w:type="dxa"/>
          </w:tcPr>
          <w:p w:rsidR="005C2091" w:rsidRDefault="00A86293">
            <w:pPr>
              <w:pStyle w:val="CellColumn"/>
              <w:jc w:val="right"/>
            </w:pPr>
            <w:r>
              <w:rPr>
                <w:rFonts w:cs="Times New Roman"/>
              </w:rPr>
              <w:t>86,3</w:t>
            </w:r>
          </w:p>
        </w:tc>
      </w:tr>
    </w:tbl>
    <w:p w:rsidR="005C2091" w:rsidRDefault="005C2091">
      <w:pPr>
        <w:jc w:val="left"/>
      </w:pPr>
    </w:p>
    <w:p w:rsidR="005C2091" w:rsidRDefault="00A86293">
      <w:pPr>
        <w:pStyle w:val="Heading8"/>
        <w:jc w:val="left"/>
      </w:pPr>
      <w:r>
        <w:t>Zakonske i druge pravne osnove</w:t>
      </w:r>
    </w:p>
    <w:p w:rsidR="005C2091" w:rsidRDefault="00A86293">
      <w:r>
        <w:t>Zakon o vatrogastvu, čl. 46.</w:t>
      </w:r>
    </w:p>
    <w:p w:rsidR="005C2091" w:rsidRDefault="00A86293">
      <w:pPr>
        <w:pStyle w:val="Heading8"/>
        <w:jc w:val="left"/>
      </w:pPr>
      <w:r>
        <w:t>Opis aktivnosti</w:t>
      </w:r>
    </w:p>
    <w:p w:rsidR="005C2091" w:rsidRDefault="00A86293">
      <w:r>
        <w:t xml:space="preserve">Hrvatska vatrogasna zajednica poduzima mjere i aktivnosti u svrhu osiguranja optimalne tehničko-tehnološke opremljenosti vatrogasnih postrojbi putem sufinanciranja vatrogasne tehnike i opreme te mjerama i aktivnostima u svrhu osposobljavanja i usavršavanja vatrogasaca, a sve zbog učinkovite provedbe vatrogasne djelatnosti, smanjenja šteta i broja stradalih. Društva za osiguranje temeljem Zakona o vatrogastvu izdvajaju dio sredstava iz premija osiguranja od požara i doznačavaju ih vatrogasnim organizacijama. Sredstva premija osiguranja su se u 2016. godini putem ove aktivnosti koristile za nabavu opreme i sredstava namijenjenih za vatrogasnu intervenciju, osposobljavanje vatrogasaca te pomaganje vatrogastva na područjima od posebne državne skrbi kako bi se osigurala operativna sposobnost vatrogastva u manje razvijenim područjima. </w:t>
      </w:r>
    </w:p>
    <w:p w:rsidR="005C2091" w:rsidRDefault="00A86293">
      <w:r>
        <w:t xml:space="preserve"> Tako je u 2016.  godini opremljen znatan broj interventnih vatrogasaca s kontinenta za pričuvu te vatrogasnim postrojbama sufinancirana nabava vatrogasne opreme. Hrvatska vatrogasna zajednica također je sudjelovala u oblikovanju i realizaciji Programa aktivnosti u provedbi posebnih mjera zaštite od požara od interesa za Republiku Hrvatsku. To se posebno odnosi na organizaciju i opremanje pričuvnih vatrogasnih snaga.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34"/>
        <w:gridCol w:w="2536"/>
        <w:gridCol w:w="1059"/>
        <w:gridCol w:w="1019"/>
        <w:gridCol w:w="1020"/>
        <w:gridCol w:w="1019"/>
        <w:gridCol w:w="1019"/>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Broj opremljenih interventnih vatrogasaca za pričuvu</w:t>
            </w:r>
          </w:p>
        </w:tc>
        <w:tc>
          <w:tcPr>
            <w:tcW w:w="2551" w:type="dxa"/>
          </w:tcPr>
          <w:p w:rsidR="005C2091" w:rsidRDefault="00A86293">
            <w:pPr>
              <w:pStyle w:val="CellColumn"/>
              <w:jc w:val="left"/>
            </w:pPr>
            <w:r>
              <w:rPr>
                <w:rFonts w:cs="Times New Roman"/>
              </w:rPr>
              <w:t>broj opremljenih interventnih vatrogasaca za pričuvu tijekom požarne sezone</w:t>
            </w:r>
          </w:p>
        </w:tc>
        <w:tc>
          <w:tcPr>
            <w:tcW w:w="1020" w:type="dxa"/>
          </w:tcPr>
          <w:p w:rsidR="005C2091" w:rsidRDefault="00A86293">
            <w:pPr>
              <w:pStyle w:val="CellColumn"/>
              <w:jc w:val="right"/>
            </w:pPr>
            <w:r>
              <w:rPr>
                <w:rFonts w:cs="Times New Roman"/>
              </w:rPr>
              <w:t>broj (kumulativ)</w:t>
            </w:r>
          </w:p>
        </w:tc>
        <w:tc>
          <w:tcPr>
            <w:tcW w:w="1020" w:type="dxa"/>
          </w:tcPr>
          <w:p w:rsidR="005C2091" w:rsidRDefault="00A86293">
            <w:pPr>
              <w:pStyle w:val="CellColumn"/>
              <w:jc w:val="right"/>
            </w:pPr>
            <w:r>
              <w:rPr>
                <w:rFonts w:cs="Times New Roman"/>
              </w:rPr>
              <w:t>325</w:t>
            </w:r>
          </w:p>
        </w:tc>
        <w:tc>
          <w:tcPr>
            <w:tcW w:w="1020" w:type="dxa"/>
          </w:tcPr>
          <w:p w:rsidR="005C2091" w:rsidRDefault="00A86293">
            <w:pPr>
              <w:pStyle w:val="CellColumn"/>
              <w:jc w:val="right"/>
            </w:pPr>
            <w:r>
              <w:rPr>
                <w:rFonts w:cs="Times New Roman"/>
              </w:rPr>
              <w:t>Izvješće o radu i Program rada Hrvatske vatrogasne zajednice</w:t>
            </w:r>
          </w:p>
        </w:tc>
        <w:tc>
          <w:tcPr>
            <w:tcW w:w="1020" w:type="dxa"/>
          </w:tcPr>
          <w:p w:rsidR="005C2091" w:rsidRDefault="00A86293">
            <w:pPr>
              <w:pStyle w:val="CellColumn"/>
              <w:jc w:val="right"/>
            </w:pPr>
            <w:r>
              <w:rPr>
                <w:rFonts w:cs="Times New Roman"/>
              </w:rPr>
              <w:t>435</w:t>
            </w:r>
          </w:p>
        </w:tc>
        <w:tc>
          <w:tcPr>
            <w:tcW w:w="1020" w:type="dxa"/>
          </w:tcPr>
          <w:p w:rsidR="005C2091" w:rsidRDefault="00A86293">
            <w:pPr>
              <w:pStyle w:val="CellColumn"/>
              <w:jc w:val="right"/>
            </w:pPr>
            <w:r>
              <w:rPr>
                <w:rFonts w:cs="Times New Roman"/>
              </w:rPr>
              <w:t>435</w:t>
            </w:r>
          </w:p>
        </w:tc>
      </w:tr>
      <w:tr w:rsidR="005C2091">
        <w:trPr>
          <w:jc w:val="center"/>
        </w:trPr>
        <w:tc>
          <w:tcPr>
            <w:tcW w:w="2551" w:type="dxa"/>
          </w:tcPr>
          <w:p w:rsidR="005C2091" w:rsidRDefault="00A86293">
            <w:pPr>
              <w:pStyle w:val="CellColumn"/>
              <w:jc w:val="left"/>
            </w:pPr>
            <w:r>
              <w:rPr>
                <w:rFonts w:cs="Times New Roman"/>
              </w:rPr>
              <w:t>Broj vatrogasnih postrojbi kojima se sufinancira nabavka vatrogasne tehnike i opreme</w:t>
            </w:r>
          </w:p>
        </w:tc>
        <w:tc>
          <w:tcPr>
            <w:tcW w:w="2551" w:type="dxa"/>
          </w:tcPr>
          <w:p w:rsidR="005C2091" w:rsidRDefault="00A86293">
            <w:pPr>
              <w:pStyle w:val="CellColumn"/>
              <w:jc w:val="left"/>
            </w:pPr>
            <w:r>
              <w:rPr>
                <w:rFonts w:cs="Times New Roman"/>
              </w:rPr>
              <w:t>sufinanciranje nabavke opreme za vatrogasne intervencije</w:t>
            </w:r>
          </w:p>
        </w:tc>
        <w:tc>
          <w:tcPr>
            <w:tcW w:w="1020" w:type="dxa"/>
          </w:tcPr>
          <w:p w:rsidR="005C2091" w:rsidRDefault="00A86293">
            <w:pPr>
              <w:pStyle w:val="CellColumn"/>
              <w:jc w:val="right"/>
            </w:pPr>
            <w:r>
              <w:rPr>
                <w:rFonts w:cs="Times New Roman"/>
              </w:rPr>
              <w:t>broj (kumulativ)</w:t>
            </w:r>
          </w:p>
        </w:tc>
        <w:tc>
          <w:tcPr>
            <w:tcW w:w="1020" w:type="dxa"/>
          </w:tcPr>
          <w:p w:rsidR="005C2091" w:rsidRDefault="00A86293">
            <w:pPr>
              <w:pStyle w:val="CellColumn"/>
              <w:jc w:val="right"/>
            </w:pPr>
            <w:r>
              <w:rPr>
                <w:rFonts w:cs="Times New Roman"/>
              </w:rPr>
              <w:t>606</w:t>
            </w:r>
          </w:p>
        </w:tc>
        <w:tc>
          <w:tcPr>
            <w:tcW w:w="1020" w:type="dxa"/>
          </w:tcPr>
          <w:p w:rsidR="005C2091" w:rsidRDefault="00A86293">
            <w:pPr>
              <w:pStyle w:val="CellColumn"/>
              <w:jc w:val="right"/>
            </w:pPr>
            <w:r>
              <w:rPr>
                <w:rFonts w:cs="Times New Roman"/>
              </w:rPr>
              <w:t>Izvješće o radu i Program rada Hrvatske vatrogasne zajednice</w:t>
            </w:r>
          </w:p>
        </w:tc>
        <w:tc>
          <w:tcPr>
            <w:tcW w:w="1020" w:type="dxa"/>
          </w:tcPr>
          <w:p w:rsidR="005C2091" w:rsidRDefault="00A86293">
            <w:pPr>
              <w:pStyle w:val="CellColumn"/>
              <w:jc w:val="right"/>
            </w:pPr>
            <w:r>
              <w:rPr>
                <w:rFonts w:cs="Times New Roman"/>
              </w:rPr>
              <w:t>726</w:t>
            </w:r>
          </w:p>
        </w:tc>
        <w:tc>
          <w:tcPr>
            <w:tcW w:w="1020" w:type="dxa"/>
          </w:tcPr>
          <w:p w:rsidR="005C2091" w:rsidRDefault="00A86293">
            <w:pPr>
              <w:pStyle w:val="CellColumn"/>
              <w:jc w:val="right"/>
            </w:pPr>
            <w:r>
              <w:rPr>
                <w:rFonts w:cs="Times New Roman"/>
              </w:rPr>
              <w:t>827</w:t>
            </w:r>
          </w:p>
        </w:tc>
      </w:tr>
    </w:tbl>
    <w:p w:rsidR="005C2091" w:rsidRDefault="005C2091">
      <w:pPr>
        <w:jc w:val="left"/>
      </w:pPr>
    </w:p>
    <w:p w:rsidR="005C2091" w:rsidRDefault="00A86293">
      <w:pPr>
        <w:pStyle w:val="Heading3"/>
      </w:pPr>
      <w:r>
        <w:rPr>
          <w:rFonts w:cs="Times New Roman"/>
        </w:rPr>
        <w:t>28305 Državna uprava za zaštitu i spašavanje</w:t>
      </w:r>
    </w:p>
    <w:p w:rsidR="005C2091" w:rsidRDefault="00A86293">
      <w:r>
        <w:t xml:space="preserve">Državna uprava za zaštitu i spašavanje (DUZS) je upravna i strukovna organizacija u Republici Hrvatskoj koja ima za cilj pripremu sustava zaštite i spašavanja (kao integralnog dijela nacionalne sigurnosti RH), za učinkovito i pravodobno reagiranje u slučaju većih nesreća i katastrofa, uspostavu novih sposobnosti sustava kroz jedinstvenu pripremu, planiranje, postupanje, opremanje i osposobljavanje, uspostavljanje sustava ovlasti i nadležnosti, jedinstvenu koordinaciju djelovanja sustava, učinkovitost i racionalizaciju upotrebe resursa, skraćivanje vremena reagiranja te efikasan nadzor spremnosti. DUZS rukovodi operativnim snagama u slučajevima većih nesreća i katastrofa. Predlaže, provodi i izvještava Vladu RH o provedbi „Programa aktivnosti u provedbi posebnih mjera zaštite od požara od interesa Republiku Hrvatsku“. Provodi i izvještava Vladu RH o provedbi „programa pripremnih i provedbenih aktivnosti“, za svaku turističku godinu, u dijelu „Sigurnost turista“. DUZS kao krovna organizacija sustava zaštite i spašavanja u Republici Hrvatskoj za ciljeve navedene u Strateškom planu osigurala je materijalna sredstva kroz koja su se isti i realizirali. </w:t>
      </w:r>
    </w:p>
    <w:p w:rsidR="005C2091" w:rsidRDefault="00A86293">
      <w:r>
        <w:t xml:space="preserve">Suradnja u okviru Ujedinjenih naroda tijekom 2016.g. i dalje je imala naglasak  na području smanjenja rizika od katastrofa - DRR.   </w:t>
      </w:r>
    </w:p>
    <w:p w:rsidR="005C2091" w:rsidRDefault="00A86293">
      <w:r>
        <w:t xml:space="preserve">U okviru suradnje unutar NATO-a sudjelovalo se na dva sastanka Radne skupine za civilnu zaštitu CPG te dva sastanka Odbora za planiranje izvanrednim situacijama - CEPC. Sudjelovalo se i na NATO terenskoj vježbu sa timom za spašavanje u poplavama koja je održana u Crnoj gori.U području regionalne suradnje posebno treba istaknuti aktivnosti Incijative za spremnost i prevenciju katastrofa – DPPI.  </w:t>
      </w:r>
    </w:p>
    <w:p w:rsidR="005C2091" w:rsidRDefault="00A86293">
      <w:r>
        <w:t>Kako bi se povećala mogućnost rada na projektima vezanim uz osnovnu djelatnost, DUZS je tijekom 2016. godine bio korisnik međunarodnih projekata koristeći bespovratna financijska sredstva Europske unije (izvori sredstava 43, 51,52 i 53).DUZS je koordinator međunarodnog projekta iz Instrumenta civilne zaštite pod nazivom „Resilience of Critical Infrastructure Protection in Europe“ – tzv. RECIPE, te je jedan od sudionika u provođenju projekta Obzor 2020 „A panEuropean framework for strengthening Critical Infrastructure resilience to climate change“ tzv. „Circle“, korisnik de minimis projekata IPA faza 2: „Suradnja na području civilne zaštite za države kandidatkinje i države potencijalne kandidatkinje“, IPA Floods: „Prevencija, pripravnost i odgovor u slučaju poplava u državama zapadnog Balkana i Turskoj“, MATILDA „Multinational module on Damage Assessment and countermeasures“, DR SHARE „Disaster Reduction, Standardized Hazard Analysis and Risk Evaluation“ i NATO projekta SPS G4968-Zapovjedni sustav sljedeće generacije.</w:t>
      </w:r>
    </w:p>
    <w:tbl>
      <w:tblPr>
        <w:tblStyle w:val="StilTablice"/>
        <w:tblW w:w="10206" w:type="dxa"/>
        <w:jc w:val="center"/>
        <w:tblLook w:val="04A0" w:firstRow="1" w:lastRow="0" w:firstColumn="1" w:lastColumn="0" w:noHBand="0" w:noVBand="1"/>
      </w:tblPr>
      <w:tblGrid>
        <w:gridCol w:w="1704"/>
        <w:gridCol w:w="2021"/>
        <w:gridCol w:w="2021"/>
        <w:gridCol w:w="2021"/>
        <w:gridCol w:w="1218"/>
        <w:gridCol w:w="122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28305-Državna uprava za zaštitu i spašavanje</w:t>
            </w:r>
          </w:p>
        </w:tc>
        <w:tc>
          <w:tcPr>
            <w:tcW w:w="2041" w:type="dxa"/>
          </w:tcPr>
          <w:p w:rsidR="005C2091" w:rsidRDefault="00A86293">
            <w:pPr>
              <w:pStyle w:val="CellColumn"/>
              <w:jc w:val="right"/>
            </w:pPr>
            <w:r>
              <w:rPr>
                <w:rFonts w:cs="Times New Roman"/>
              </w:rPr>
              <w:t>164.256.040</w:t>
            </w:r>
          </w:p>
        </w:tc>
        <w:tc>
          <w:tcPr>
            <w:tcW w:w="2041" w:type="dxa"/>
          </w:tcPr>
          <w:p w:rsidR="005C2091" w:rsidRDefault="00A86293">
            <w:pPr>
              <w:pStyle w:val="CellColumn"/>
              <w:jc w:val="right"/>
            </w:pPr>
            <w:r>
              <w:rPr>
                <w:rFonts w:cs="Times New Roman"/>
              </w:rPr>
              <w:t>155.139.000</w:t>
            </w:r>
          </w:p>
        </w:tc>
        <w:tc>
          <w:tcPr>
            <w:tcW w:w="2041" w:type="dxa"/>
          </w:tcPr>
          <w:p w:rsidR="005C2091" w:rsidRDefault="00A86293">
            <w:pPr>
              <w:pStyle w:val="CellColumn"/>
              <w:jc w:val="right"/>
            </w:pPr>
            <w:r>
              <w:rPr>
                <w:rFonts w:cs="Times New Roman"/>
              </w:rPr>
              <w:t>148.923.490</w:t>
            </w:r>
          </w:p>
        </w:tc>
        <w:tc>
          <w:tcPr>
            <w:tcW w:w="1224" w:type="dxa"/>
          </w:tcPr>
          <w:p w:rsidR="005C2091" w:rsidRDefault="00A86293">
            <w:pPr>
              <w:pStyle w:val="CellColumn"/>
              <w:jc w:val="right"/>
            </w:pPr>
            <w:r>
              <w:rPr>
                <w:rFonts w:cs="Times New Roman"/>
              </w:rPr>
              <w:t>96,0</w:t>
            </w:r>
          </w:p>
        </w:tc>
        <w:tc>
          <w:tcPr>
            <w:tcW w:w="1224" w:type="dxa"/>
          </w:tcPr>
          <w:p w:rsidR="005C2091" w:rsidRDefault="00A86293">
            <w:pPr>
              <w:pStyle w:val="CellColumn"/>
              <w:jc w:val="right"/>
            </w:pPr>
            <w:r>
              <w:rPr>
                <w:rFonts w:cs="Times New Roman"/>
              </w:rPr>
              <w:t>90,7</w:t>
            </w:r>
          </w:p>
        </w:tc>
      </w:tr>
      <w:tr w:rsidR="005C2091">
        <w:trPr>
          <w:jc w:val="center"/>
        </w:trPr>
        <w:tc>
          <w:tcPr>
            <w:tcW w:w="1632" w:type="dxa"/>
          </w:tcPr>
          <w:p w:rsidR="005C2091" w:rsidRDefault="00A86293">
            <w:pPr>
              <w:jc w:val="left"/>
            </w:pPr>
            <w:r>
              <w:lastRenderedPageBreak/>
              <w:t>2603-ORGANIZIRANJE I PROVOĐENJE ZAŠTITE I SPAŠAVANJA</w:t>
            </w:r>
          </w:p>
        </w:tc>
        <w:tc>
          <w:tcPr>
            <w:tcW w:w="2041" w:type="dxa"/>
          </w:tcPr>
          <w:p w:rsidR="005C2091" w:rsidRDefault="00A86293">
            <w:pPr>
              <w:jc w:val="right"/>
            </w:pPr>
            <w:r>
              <w:t>164.256.040</w:t>
            </w:r>
          </w:p>
        </w:tc>
        <w:tc>
          <w:tcPr>
            <w:tcW w:w="2041" w:type="dxa"/>
          </w:tcPr>
          <w:p w:rsidR="005C2091" w:rsidRDefault="00A86293">
            <w:pPr>
              <w:jc w:val="right"/>
            </w:pPr>
            <w:r>
              <w:t>155.139.000</w:t>
            </w:r>
          </w:p>
        </w:tc>
        <w:tc>
          <w:tcPr>
            <w:tcW w:w="2041" w:type="dxa"/>
          </w:tcPr>
          <w:p w:rsidR="005C2091" w:rsidRDefault="00A86293">
            <w:pPr>
              <w:jc w:val="right"/>
            </w:pPr>
            <w:r>
              <w:t>148.923.490</w:t>
            </w:r>
          </w:p>
        </w:tc>
        <w:tc>
          <w:tcPr>
            <w:tcW w:w="1224" w:type="dxa"/>
          </w:tcPr>
          <w:p w:rsidR="005C2091" w:rsidRDefault="00A86293">
            <w:pPr>
              <w:jc w:val="right"/>
            </w:pPr>
            <w:r>
              <w:t>96,0</w:t>
            </w:r>
          </w:p>
        </w:tc>
        <w:tc>
          <w:tcPr>
            <w:tcW w:w="1224" w:type="dxa"/>
          </w:tcPr>
          <w:p w:rsidR="005C2091" w:rsidRDefault="00A86293">
            <w:pPr>
              <w:jc w:val="right"/>
            </w:pPr>
            <w:r>
              <w:t>90,7</w:t>
            </w:r>
          </w:p>
        </w:tc>
      </w:tr>
    </w:tbl>
    <w:p w:rsidR="005C2091" w:rsidRDefault="005C2091">
      <w:pPr>
        <w:jc w:val="left"/>
      </w:pPr>
    </w:p>
    <w:p w:rsidR="005C2091" w:rsidRDefault="00A86293">
      <w:pPr>
        <w:pStyle w:val="Heading3"/>
      </w:pPr>
      <w:r>
        <w:rPr>
          <w:rFonts w:cs="Times New Roman"/>
        </w:rPr>
        <w:t>2603 ORGANIZIRANJE I PROVOĐENJE ZAŠTITE I SPAŠAVANJA</w:t>
      </w:r>
    </w:p>
    <w:tbl>
      <w:tblPr>
        <w:tblStyle w:val="StilTablice"/>
        <w:tblW w:w="10206" w:type="dxa"/>
        <w:jc w:val="center"/>
        <w:tblLook w:val="04A0" w:firstRow="1" w:lastRow="0" w:firstColumn="1" w:lastColumn="0" w:noHBand="0" w:noVBand="1"/>
      </w:tblPr>
      <w:tblGrid>
        <w:gridCol w:w="1704"/>
        <w:gridCol w:w="2021"/>
        <w:gridCol w:w="2021"/>
        <w:gridCol w:w="2021"/>
        <w:gridCol w:w="1218"/>
        <w:gridCol w:w="1221"/>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2603-ORGANIZIRANJE I PROVOĐENJE ZAŠTITE I SPAŠAVANJA</w:t>
            </w:r>
          </w:p>
        </w:tc>
        <w:tc>
          <w:tcPr>
            <w:tcW w:w="2041" w:type="dxa"/>
          </w:tcPr>
          <w:p w:rsidR="005C2091" w:rsidRDefault="00A86293">
            <w:pPr>
              <w:pStyle w:val="CellColumn"/>
              <w:jc w:val="right"/>
            </w:pPr>
            <w:r>
              <w:rPr>
                <w:rFonts w:cs="Times New Roman"/>
              </w:rPr>
              <w:t>164.256.040</w:t>
            </w:r>
          </w:p>
        </w:tc>
        <w:tc>
          <w:tcPr>
            <w:tcW w:w="2041" w:type="dxa"/>
          </w:tcPr>
          <w:p w:rsidR="005C2091" w:rsidRDefault="00A86293">
            <w:pPr>
              <w:pStyle w:val="CellColumn"/>
              <w:jc w:val="right"/>
            </w:pPr>
            <w:r>
              <w:rPr>
                <w:rFonts w:cs="Times New Roman"/>
              </w:rPr>
              <w:t>155.139.000</w:t>
            </w:r>
          </w:p>
        </w:tc>
        <w:tc>
          <w:tcPr>
            <w:tcW w:w="2041" w:type="dxa"/>
          </w:tcPr>
          <w:p w:rsidR="005C2091" w:rsidRDefault="00A86293">
            <w:pPr>
              <w:pStyle w:val="CellColumn"/>
              <w:jc w:val="right"/>
            </w:pPr>
            <w:r>
              <w:rPr>
                <w:rFonts w:cs="Times New Roman"/>
              </w:rPr>
              <w:t>148.923.490</w:t>
            </w:r>
          </w:p>
        </w:tc>
        <w:tc>
          <w:tcPr>
            <w:tcW w:w="1224" w:type="dxa"/>
          </w:tcPr>
          <w:p w:rsidR="005C2091" w:rsidRDefault="00A86293">
            <w:pPr>
              <w:pStyle w:val="CellColumn"/>
              <w:jc w:val="right"/>
            </w:pPr>
            <w:r>
              <w:rPr>
                <w:rFonts w:cs="Times New Roman"/>
              </w:rPr>
              <w:t>96,0</w:t>
            </w:r>
          </w:p>
        </w:tc>
        <w:tc>
          <w:tcPr>
            <w:tcW w:w="1224" w:type="dxa"/>
          </w:tcPr>
          <w:p w:rsidR="005C2091" w:rsidRDefault="00A86293">
            <w:pPr>
              <w:pStyle w:val="CellColumn"/>
              <w:jc w:val="right"/>
            </w:pPr>
            <w:r>
              <w:rPr>
                <w:rFonts w:cs="Times New Roman"/>
              </w:rPr>
              <w:t>90,7</w:t>
            </w:r>
          </w:p>
        </w:tc>
      </w:tr>
    </w:tbl>
    <w:p w:rsidR="005C2091" w:rsidRDefault="005C2091">
      <w:pPr>
        <w:jc w:val="left"/>
      </w:pPr>
    </w:p>
    <w:p w:rsidR="005C2091" w:rsidRDefault="00A86293">
      <w:r>
        <w:t>U 2016. godini Program 2603 - Organiziranje i provođenje zaštite i spašavanja imao je za cilj uspostavu modernog sustava zaštite i spašavanja koji je sposoban odgovoriti svim potrebama u zaštiti ljudi, dobara i okoliša u ugrozama, stradanjima i drugim izazovima suvremenog društva. Odobrena sredstva za Program 2603, sa svim izvorima financiranja, u Državnom proračunu za 2016. godinu su iznosila 155.139.000,00 kn, što u odnosu na izvršenje prethodne godine iznosi pad od oko 5,5%. Najveći dio sredstava, oko 70 %, utrošilo se putem aktivnosti A553128 – Administracija i upravljanje od čega se čak 65% odnosi na bruto plaće. Specifičnost troškova DUZS-a čine rashodi Sektora vatrogastva namijenjenih za realizaciju Programa u provedbi posebnih mjera zaštite od požara kroz projekt K260089 za refundaciju javnim vatrogasnim postrojbama kao i dobrovoljnim vatrogasnim društvima čije operativne snage sudjeluju u provedbi Programa posebnih mjera zaštite od požara, te financiranje redovne djelatnosti Hrvatske gorske službe spašavanja kao dijela sustava zaštite i spašavanja koji organizira, unapređuje i obavlja djelatnost spašavanja i zaštite ljudskih života.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Postotak realizacije aktivnosti i ostvarena postignuća projekata u cilju izgradnje integriranog sustava zaštite i spašavanja</w:t>
            </w:r>
          </w:p>
        </w:tc>
        <w:tc>
          <w:tcPr>
            <w:tcW w:w="2551" w:type="dxa"/>
          </w:tcPr>
          <w:p w:rsidR="005C2091" w:rsidRDefault="00A86293">
            <w:pPr>
              <w:pStyle w:val="CellColumn"/>
              <w:jc w:val="left"/>
            </w:pPr>
            <w:r>
              <w:rPr>
                <w:rFonts w:cs="Times New Roman"/>
              </w:rPr>
              <w:t>izgradnja integriranog sustava civilne zaštite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73</w:t>
            </w:r>
          </w:p>
        </w:tc>
        <w:tc>
          <w:tcPr>
            <w:tcW w:w="918" w:type="dxa"/>
          </w:tcPr>
          <w:p w:rsidR="005C2091" w:rsidRDefault="00A86293">
            <w:pPr>
              <w:pStyle w:val="CellColumn"/>
              <w:jc w:val="right"/>
            </w:pPr>
            <w:r>
              <w:rPr>
                <w:rFonts w:cs="Times New Roman"/>
              </w:rPr>
              <w:t>DUZS</w:t>
            </w:r>
          </w:p>
        </w:tc>
        <w:tc>
          <w:tcPr>
            <w:tcW w:w="1020" w:type="dxa"/>
          </w:tcPr>
          <w:p w:rsidR="005C2091" w:rsidRDefault="00A86293">
            <w:pPr>
              <w:pStyle w:val="CellColumn"/>
              <w:jc w:val="right"/>
            </w:pPr>
            <w:r>
              <w:rPr>
                <w:rFonts w:cs="Times New Roman"/>
              </w:rPr>
              <w:t>76</w:t>
            </w:r>
          </w:p>
        </w:tc>
        <w:tc>
          <w:tcPr>
            <w:tcW w:w="1020" w:type="dxa"/>
          </w:tcPr>
          <w:p w:rsidR="005C2091" w:rsidRDefault="00A86293">
            <w:pPr>
              <w:pStyle w:val="CellColumn"/>
              <w:jc w:val="right"/>
            </w:pPr>
            <w:r>
              <w:rPr>
                <w:rFonts w:cs="Times New Roman"/>
              </w:rPr>
              <w:t>76</w:t>
            </w:r>
          </w:p>
        </w:tc>
      </w:tr>
    </w:tbl>
    <w:p w:rsidR="005C2091" w:rsidRDefault="005C2091">
      <w:pPr>
        <w:jc w:val="left"/>
      </w:pPr>
    </w:p>
    <w:p w:rsidR="005C2091" w:rsidRDefault="00A86293">
      <w:pPr>
        <w:pStyle w:val="Heading4"/>
      </w:pPr>
      <w:r>
        <w:t>K260089 PROGRAM U PROVEDBI POSEBNIH MJERA ZA ZAŠTITU OD POŽARA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K260089-PROGRAM U PROVEDBI POSEBNIH MJERA ZA ZAŠTITU OD POŽARA</w:t>
            </w:r>
          </w:p>
        </w:tc>
        <w:tc>
          <w:tcPr>
            <w:tcW w:w="2041" w:type="dxa"/>
          </w:tcPr>
          <w:p w:rsidR="005C2091" w:rsidRDefault="00A86293">
            <w:pPr>
              <w:pStyle w:val="CellColumn"/>
              <w:jc w:val="right"/>
            </w:pPr>
            <w:r>
              <w:rPr>
                <w:rFonts w:cs="Times New Roman"/>
              </w:rPr>
              <w:t>29.257.458</w:t>
            </w:r>
          </w:p>
        </w:tc>
        <w:tc>
          <w:tcPr>
            <w:tcW w:w="2041" w:type="dxa"/>
          </w:tcPr>
          <w:p w:rsidR="005C2091" w:rsidRDefault="00A86293">
            <w:pPr>
              <w:pStyle w:val="CellColumn"/>
              <w:jc w:val="right"/>
            </w:pPr>
            <w:r>
              <w:rPr>
                <w:rFonts w:cs="Times New Roman"/>
              </w:rPr>
              <w:t>24.406.000</w:t>
            </w:r>
          </w:p>
        </w:tc>
        <w:tc>
          <w:tcPr>
            <w:tcW w:w="2041" w:type="dxa"/>
          </w:tcPr>
          <w:p w:rsidR="005C2091" w:rsidRDefault="00A86293">
            <w:pPr>
              <w:pStyle w:val="CellColumn"/>
              <w:jc w:val="right"/>
            </w:pPr>
            <w:r>
              <w:rPr>
                <w:rFonts w:cs="Times New Roman"/>
              </w:rPr>
              <w:t>24.030.802</w:t>
            </w:r>
          </w:p>
        </w:tc>
        <w:tc>
          <w:tcPr>
            <w:tcW w:w="1224" w:type="dxa"/>
          </w:tcPr>
          <w:p w:rsidR="005C2091" w:rsidRDefault="00A86293">
            <w:pPr>
              <w:pStyle w:val="CellColumn"/>
              <w:jc w:val="right"/>
            </w:pPr>
            <w:r>
              <w:rPr>
                <w:rFonts w:cs="Times New Roman"/>
              </w:rPr>
              <w:t>98,5</w:t>
            </w:r>
          </w:p>
        </w:tc>
        <w:tc>
          <w:tcPr>
            <w:tcW w:w="1224" w:type="dxa"/>
          </w:tcPr>
          <w:p w:rsidR="005C2091" w:rsidRDefault="00A86293">
            <w:pPr>
              <w:pStyle w:val="CellColumn"/>
              <w:jc w:val="right"/>
            </w:pPr>
            <w:r>
              <w:rPr>
                <w:rFonts w:cs="Times New Roman"/>
              </w:rPr>
              <w:t>82,1</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zaštiti od požara, Narodne novine 92/10  </w:t>
      </w:r>
    </w:p>
    <w:p w:rsidR="005C2091" w:rsidRDefault="00A86293">
      <w:r>
        <w:t xml:space="preserve">Zakon o vatrogastvu, Narodne novine br. 106/99, 117/01, 36/02, 96/03, 139/04 - pročišćeni tekst, 174/04, 38/09 i 80/10 </w:t>
      </w:r>
    </w:p>
    <w:p w:rsidR="005C2091" w:rsidRDefault="00A86293">
      <w:r>
        <w:t xml:space="preserve">Program aktivnosti u provedbi posebnih mjera zaštite od požara od interesa za Republiku Hrvatsku u 2016. godini, Narodne novine br. 43/16 </w:t>
      </w:r>
    </w:p>
    <w:p w:rsidR="005C2091" w:rsidRDefault="00A86293">
      <w:r>
        <w:t>Zakon o sustavu civilne zaštite, Narodne novine br. 82/2015</w:t>
      </w:r>
    </w:p>
    <w:p w:rsidR="005C2091" w:rsidRDefault="00A86293">
      <w:pPr>
        <w:pStyle w:val="Heading8"/>
        <w:jc w:val="left"/>
      </w:pPr>
      <w:r>
        <w:t>Opis aktivnosti</w:t>
      </w:r>
    </w:p>
    <w:p w:rsidR="005C2091" w:rsidRDefault="00A86293">
      <w:r>
        <w:t xml:space="preserve">Vladinim Programom aktivnosti u provedbi posebnih mjera zaštite od požara od interesa za Republiku Hrvatsku u 2016. godini K260089 (Program aktivnosti) propisani su zadaci i operativne aktivnosti sa rokovima izvršenja za sve sudionike u provedbi posebnih mjera zaštite od požara, kako bi se na taj način utjecalo na smanjenje mogućnosti nastanka, odnosno širenja nastalog požara na otvorenom prostoru priobalja i kontinentalnog dijela Republike Hrvatske. </w:t>
      </w:r>
    </w:p>
    <w:p w:rsidR="005C2091" w:rsidRDefault="00A86293">
      <w:r>
        <w:t xml:space="preserve">Racionalizacija troškova iz prethodnih godina, nastavila se i u 2016. godini te je razina ukupnih rashoda Programa aktivnosti u 2016. godini za 18% niža od realizacije u odnosu na 2015. godinu, dok je ostvarenje Programa aktivnosti u odnosu na plan iznosilao oko 99%.  </w:t>
      </w:r>
    </w:p>
    <w:p w:rsidR="005C2091" w:rsidRDefault="00A86293">
      <w:r>
        <w:t xml:space="preserve">Programom aktivnosti Vlade RH u provedbi posebnih mjera zaštite od požara za 2016. godinu obuhvaćeno je financiranje mjera zaštite od požara i tehničkih intervencija.  </w:t>
      </w:r>
    </w:p>
    <w:p w:rsidR="005C2091" w:rsidRDefault="00A86293">
      <w:r>
        <w:t xml:space="preserve">Najveći udio troškova u ostvarenju Programa aktivnosti odnosi se na sezonsko zapošljavanje vatrogasaca, maksimalno 1110 vatrogasaca mjesečno, kroz ljetne mjesece tj. razdoblje od 1. lipnja do 30.rujna, raspoređenih na 7 županija priobalja RH. Maksimalno financiranje istih iznosi 6.000,00 kn u brutu, koji se sufinancira iz Državnog proračuna u iznosu od 50%, dok ostalih 50% tereti proračun jedinica lokalne samouprave.  Program aktivnosti koji se odnosi na dodatnu popunu Sezonske interventne vatrogasne postrojbe (SIVP) i Državne vatrogasne intervencijske postrojbe (DVIP) domicilnim vatrogascima u suradnji sa vatrogasnim zajednicama županija u 2016. godini se financira iz Državnog proračuna u iznosu od bruto 8.000,00 kn mjesečno. U 2016. godini taj iznos za financiranje sezonskih vatrogasaca iznosi oko 12.800.000,00 kn odnosno čini oko 53% ostvarenja ukupnog proračuna Programa aktivnosti, a ako se tome doda trošak smještaja i prehrane za dislocirane vatrogasne snage sa kontinenta na priobalje (oko 637.000,00 kn) tada se taj posotak penje na cca 56% izvršenja cijelog Programa aktivnosti. </w:t>
      </w:r>
    </w:p>
    <w:p w:rsidR="005C2091" w:rsidRDefault="00A86293">
      <w:r>
        <w:t xml:space="preserve">Tehnička sredstva kupljena iz ovog programa namijenjena su Državnim interventnim postrojbama DUZS, interventnim vatrogasnim postrojbama iz sastava javnih vatrogasnih postrojbi, sezonskim vatrogasnim snagama kao i dislociranim vatrogasnim snagama na području priobalja tijekom vatrogasne sezone 2016. </w:t>
      </w:r>
    </w:p>
    <w:p w:rsidR="005C2091" w:rsidRDefault="00A86293">
      <w:r>
        <w:t xml:space="preserve">Od većih nabava u 2016. godini izvršena je nabava opreme za gašenje požara i tehničke intervencije, leđni kompleti sa podovjesnim gumenim rezervoarom za gašenje iz helikoptera. Također se nabavila oprema za gašenje požara i ostale tehničke intervencije poput poplava ili prometnih nesreća, te su određena sredstva utrošena i na održavanje vatrogasnih vozila za gašenje požara i ostale intervencije bilo podvozja ili nadgradnje kao i ostale opreme koja se koristi u sastavu DVIP DUZS. Sva navedena oprema podigla je operativnu spremnost Sektora za vatrogastvo, odnosno DVIP-ova na značajnu novu razinu. </w:t>
      </w:r>
    </w:p>
    <w:p w:rsidR="005C2091" w:rsidRDefault="00A86293">
      <w:r>
        <w:t>U 2016.god. izvršena je nabava preostale dvije vatrogasne cisterne za potrebe državnih vatrogasnih  interventnih postrojbi Zadar, Šibenik, Split i Dubrovnik čija je nabava započela javnim natječajem u 2015. godini kada su nabavljene taskođer dvije cisterne.</w:t>
      </w:r>
    </w:p>
    <w:p w:rsidR="005C2091" w:rsidRDefault="00A86293">
      <w:pPr>
        <w:pStyle w:val="Heading4"/>
      </w:pPr>
      <w:r>
        <w:lastRenderedPageBreak/>
        <w:t>K553130 INTEGRIRANI SUSTAV 112</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K553130-INTEGRIRANI SUSTAV 112</w:t>
            </w:r>
          </w:p>
        </w:tc>
        <w:tc>
          <w:tcPr>
            <w:tcW w:w="2041" w:type="dxa"/>
          </w:tcPr>
          <w:p w:rsidR="005C2091" w:rsidRDefault="00A86293">
            <w:pPr>
              <w:pStyle w:val="CellColumn"/>
              <w:jc w:val="right"/>
            </w:pPr>
            <w:r>
              <w:rPr>
                <w:rFonts w:cs="Times New Roman"/>
              </w:rPr>
              <w:t>7.232.040</w:t>
            </w:r>
          </w:p>
        </w:tc>
        <w:tc>
          <w:tcPr>
            <w:tcW w:w="2041" w:type="dxa"/>
          </w:tcPr>
          <w:p w:rsidR="005C2091" w:rsidRDefault="00A86293">
            <w:pPr>
              <w:pStyle w:val="CellColumn"/>
              <w:jc w:val="right"/>
            </w:pPr>
            <w:r>
              <w:rPr>
                <w:rFonts w:cs="Times New Roman"/>
              </w:rPr>
              <w:t>7.859.000</w:t>
            </w:r>
          </w:p>
        </w:tc>
        <w:tc>
          <w:tcPr>
            <w:tcW w:w="2041" w:type="dxa"/>
          </w:tcPr>
          <w:p w:rsidR="005C2091" w:rsidRDefault="00A86293">
            <w:pPr>
              <w:pStyle w:val="CellColumn"/>
              <w:jc w:val="right"/>
            </w:pPr>
            <w:r>
              <w:rPr>
                <w:rFonts w:cs="Times New Roman"/>
              </w:rPr>
              <w:t>6.447.474</w:t>
            </w:r>
          </w:p>
        </w:tc>
        <w:tc>
          <w:tcPr>
            <w:tcW w:w="1224" w:type="dxa"/>
          </w:tcPr>
          <w:p w:rsidR="005C2091" w:rsidRDefault="00A86293">
            <w:pPr>
              <w:pStyle w:val="CellColumn"/>
              <w:jc w:val="right"/>
            </w:pPr>
            <w:r>
              <w:rPr>
                <w:rFonts w:cs="Times New Roman"/>
              </w:rPr>
              <w:t>82,0</w:t>
            </w:r>
          </w:p>
        </w:tc>
        <w:tc>
          <w:tcPr>
            <w:tcW w:w="1224" w:type="dxa"/>
          </w:tcPr>
          <w:p w:rsidR="005C2091" w:rsidRDefault="00A86293">
            <w:pPr>
              <w:pStyle w:val="CellColumn"/>
              <w:jc w:val="right"/>
            </w:pPr>
            <w:r>
              <w:rPr>
                <w:rFonts w:cs="Times New Roman"/>
              </w:rPr>
              <w:t>89,2</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sustavu civilne zaštite, Narodne novine br. 82/2015 </w:t>
      </w:r>
    </w:p>
    <w:p w:rsidR="005C2091" w:rsidRDefault="00A86293">
      <w:r>
        <w:t xml:space="preserve">Uredba o unutarnjem ustrojstvu Državne uprave za zaštitu i spašavanje (NN 43/2012 i 125/2014) </w:t>
      </w:r>
    </w:p>
    <w:p w:rsidR="005C2091" w:rsidRDefault="00A86293">
      <w:r>
        <w:t xml:space="preserve">Pravilnik o izgledu, načinu i mjestu isticanja obavijesti o jedinstvenom europskom broju za hitne službe 112 (NN 38/16) </w:t>
      </w:r>
    </w:p>
    <w:p w:rsidR="005C2091" w:rsidRDefault="00A86293">
      <w:r>
        <w:t xml:space="preserve">Uredba o jedinstvenim znakovima za uzbunjivanje  (NN 61/16) </w:t>
      </w:r>
    </w:p>
    <w:p w:rsidR="005C2091" w:rsidRDefault="00A86293">
      <w:r>
        <w:t xml:space="preserve">Pravilnik o postupku uzbunjivanja stanovništva (NN 69/16) </w:t>
      </w:r>
    </w:p>
    <w:p w:rsidR="005C2091" w:rsidRDefault="00A86293">
      <w:r>
        <w:t xml:space="preserve">Pravilnik o tehničkim zahtjevima sustava javnog uzbunjivanja stanovništva (NN 69/16) </w:t>
      </w:r>
    </w:p>
    <w:p w:rsidR="005C2091" w:rsidRDefault="00A86293">
      <w:r>
        <w:t>Pravilnik o zemljopisnom obavijesnom sustavu Državne uprave za zaštitu i spašavanje (NN57/2016)</w:t>
      </w:r>
    </w:p>
    <w:p w:rsidR="005C2091" w:rsidRDefault="00A86293">
      <w:pPr>
        <w:pStyle w:val="Heading8"/>
        <w:jc w:val="left"/>
      </w:pPr>
      <w:r>
        <w:t>Opis aktivnosti</w:t>
      </w:r>
    </w:p>
    <w:p w:rsidR="005C2091" w:rsidRDefault="00A86293">
      <w:r>
        <w:t>K553130 odnosno Integrirani sustav 112, je projekt od važnosti za nesmetano funkcioniranje sustava 112, koji obuhvaća nabavu, održavanje, razvijanje i ugovore iz djelokruga informacijsko komunikacijske tehnologije. Sustav 112 je u funkciji 24 sata dnevno, 7 dana u tjednu i 365 dana u godini te je zbog toga od velike važnosti. Održavanje postojećeg sustava za žurne pozive je jako bitna stavka u ostvarenju projekta K553130 te je i kroz 2016. poseban naglasak stavljen upravo na nju. Pojačani rashodi ostvareni su na poziciji licenci budući da su uz održavanje postojećih dokupljene nove, kao i za umrežavanje i nadogradnju za backup podataka CTI sustava 112 u 16 županijskih centara 112. Nabavljene su 2 elektroničke sirene za uzbunjivanje i uspostavljeno daljinsko upravljanje i nadzor sirena u ŽC 112 Zagreb uz korištenje MUP Net TETRA sustava veze umjesto dotadašnjeg TETRA ZET sustava veze.</w:t>
      </w:r>
    </w:p>
    <w:p w:rsidR="005C2091" w:rsidRDefault="00A86293">
      <w:pPr>
        <w:pStyle w:val="Heading4"/>
      </w:pPr>
      <w:r>
        <w:t>K553134 OPREMANJE SUSTAVA ZA ZAŠTITU I SPAŠAVANJE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K553134-OPREMANJE SUSTAVA ZA ZAŠTITU I SPAŠAVANJE</w:t>
            </w:r>
          </w:p>
        </w:tc>
        <w:tc>
          <w:tcPr>
            <w:tcW w:w="2041" w:type="dxa"/>
          </w:tcPr>
          <w:p w:rsidR="005C2091" w:rsidRDefault="00A86293">
            <w:pPr>
              <w:pStyle w:val="CellColumn"/>
              <w:jc w:val="right"/>
            </w:pPr>
            <w:r>
              <w:rPr>
                <w:rFonts w:cs="Times New Roman"/>
              </w:rPr>
              <w:t>2.646.153</w:t>
            </w:r>
          </w:p>
        </w:tc>
        <w:tc>
          <w:tcPr>
            <w:tcW w:w="2041" w:type="dxa"/>
          </w:tcPr>
          <w:p w:rsidR="005C2091" w:rsidRDefault="00A86293">
            <w:pPr>
              <w:pStyle w:val="CellColumn"/>
              <w:jc w:val="right"/>
            </w:pPr>
            <w:r>
              <w:rPr>
                <w:rFonts w:cs="Times New Roman"/>
              </w:rPr>
              <w:t>2.148.000</w:t>
            </w:r>
          </w:p>
        </w:tc>
        <w:tc>
          <w:tcPr>
            <w:tcW w:w="2041" w:type="dxa"/>
          </w:tcPr>
          <w:p w:rsidR="005C2091" w:rsidRDefault="00A86293">
            <w:pPr>
              <w:pStyle w:val="CellColumn"/>
              <w:jc w:val="right"/>
            </w:pPr>
            <w:r>
              <w:rPr>
                <w:rFonts w:cs="Times New Roman"/>
              </w:rPr>
              <w:t>1.866.232</w:t>
            </w:r>
          </w:p>
        </w:tc>
        <w:tc>
          <w:tcPr>
            <w:tcW w:w="1224" w:type="dxa"/>
          </w:tcPr>
          <w:p w:rsidR="005C2091" w:rsidRDefault="00A86293">
            <w:pPr>
              <w:pStyle w:val="CellColumn"/>
              <w:jc w:val="right"/>
            </w:pPr>
            <w:r>
              <w:rPr>
                <w:rFonts w:cs="Times New Roman"/>
              </w:rPr>
              <w:t>86,9</w:t>
            </w:r>
          </w:p>
        </w:tc>
        <w:tc>
          <w:tcPr>
            <w:tcW w:w="1224" w:type="dxa"/>
          </w:tcPr>
          <w:p w:rsidR="005C2091" w:rsidRDefault="00A86293">
            <w:pPr>
              <w:pStyle w:val="CellColumn"/>
              <w:jc w:val="right"/>
            </w:pPr>
            <w:r>
              <w:rPr>
                <w:rFonts w:cs="Times New Roman"/>
              </w:rPr>
              <w:t>70,5</w:t>
            </w:r>
          </w:p>
        </w:tc>
      </w:tr>
    </w:tbl>
    <w:p w:rsidR="005C2091" w:rsidRDefault="005C2091">
      <w:pPr>
        <w:jc w:val="left"/>
      </w:pPr>
    </w:p>
    <w:p w:rsidR="005C2091" w:rsidRDefault="00A86293">
      <w:pPr>
        <w:pStyle w:val="Heading8"/>
        <w:jc w:val="left"/>
      </w:pPr>
      <w:r>
        <w:t>Zakonske i druge pravne osnove</w:t>
      </w:r>
    </w:p>
    <w:p w:rsidR="005C2091" w:rsidRDefault="00A86293">
      <w:r>
        <w:t>Zakon o sustavu civilne zaštite, Narodne novine br. 82/2015</w:t>
      </w:r>
    </w:p>
    <w:p w:rsidR="005C2091" w:rsidRDefault="00A86293">
      <w:pPr>
        <w:pStyle w:val="Heading8"/>
        <w:jc w:val="left"/>
      </w:pPr>
      <w:r>
        <w:t>Opis aktivnosti</w:t>
      </w:r>
    </w:p>
    <w:p w:rsidR="005C2091" w:rsidRDefault="00A86293">
      <w:r>
        <w:t xml:space="preserve">Na pozicijama rashoda projekta K553134 Opremanje sustava za zaštitu i spašavanje planirana su sredstva za opremanje i osposobljavanje pripadnika Državnih interventnih postrojbi civilne zaštite RH (u daljnjem tekstu DIP CZ RH) u odjelima Zagreb, Osijek, Rijeka i Split. DIP CZ RH je sastavnica operativnih snaga DUZS-a te temeljna </w:t>
      </w:r>
      <w:r>
        <w:lastRenderedPageBreak/>
        <w:t xml:space="preserve">operativna snaga civilne zaštite na državnoj razini u velikim nesrećama i katastrofama uzrokovanih prirodnim pojavama ili tehničko-tehnološkim nesrećama. </w:t>
      </w:r>
    </w:p>
    <w:p w:rsidR="005C2091" w:rsidRDefault="00A86293">
      <w:r>
        <w:t xml:space="preserve">DIP CZ RH čine intervencijski timovi, njihovi moduli i tehnička potpora, odnosno Tim za traganje i spašavanje u urbanim sredinama, Tim za spašavanje na vodi, Tim za RKBN zaštitu i Tim za izgradnju privremenog skloništa, u ukupnom broju od 501 pripadnika te 10 pasa. Za sve pripadnike Timova izvršenjem financijskog plana za 2016, godinu osiguravana su materijalno - tehnička oprema i sredstva, osobna službena i zaštitno-radno odora, tako i potrebno obučavanje i specijalističko osposobljavanje. </w:t>
      </w:r>
    </w:p>
    <w:p w:rsidR="005C2091" w:rsidRDefault="00A86293">
      <w:r>
        <w:t>Sa skupine rashoda 32,42 i 45 nabavljeni su lljestve, šatori, pila spasilačka, rasvijetni baloni, vozilo za ekstremne uvijete – Amfibija sa nadogradnjom, itd., te čine preko 55% rashoda u odnosu na ukupni proračun projekta K553134. Od ukupnog ostvarenja cijelog projekta troškovi od preko 22% odnose se na refundacije za smještaj, prehranu, prijevoz, plaću i osiguranja za potrebe pripadnika DIP – ova CZ RH koji nisu djelatnici DUZS-a, za provedbu vježbi i osposobljavanja.</w:t>
      </w:r>
    </w:p>
    <w:p w:rsidR="005C2091" w:rsidRDefault="00A86293">
      <w:pPr>
        <w:pStyle w:val="Heading4"/>
      </w:pPr>
      <w:r>
        <w:t>K863004 RUTNE I TERMINALNE NAKNADE ZA AKTIVNOSTI POTRAGE I SPAŠAVANJA ZRAKOPLOVA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K863004-RUTNE I TERMINALNE NAKNADE ZA AKTIVNOSTI POTRAGE I SPAŠAVANJA ZRAKOPLOVA</w:t>
            </w:r>
          </w:p>
        </w:tc>
        <w:tc>
          <w:tcPr>
            <w:tcW w:w="2041" w:type="dxa"/>
          </w:tcPr>
          <w:p w:rsidR="005C2091" w:rsidRDefault="00A86293">
            <w:pPr>
              <w:pStyle w:val="CellColumn"/>
              <w:jc w:val="right"/>
            </w:pPr>
            <w:r>
              <w:rPr>
                <w:rFonts w:cs="Times New Roman"/>
              </w:rPr>
              <w:t>7.268.130</w:t>
            </w:r>
          </w:p>
        </w:tc>
        <w:tc>
          <w:tcPr>
            <w:tcW w:w="2041" w:type="dxa"/>
          </w:tcPr>
          <w:p w:rsidR="005C2091" w:rsidRDefault="00A86293">
            <w:pPr>
              <w:pStyle w:val="CellColumn"/>
              <w:jc w:val="right"/>
            </w:pPr>
            <w:r>
              <w:rPr>
                <w:rFonts w:cs="Times New Roman"/>
              </w:rPr>
              <w:t>3.350.000</w:t>
            </w:r>
          </w:p>
        </w:tc>
        <w:tc>
          <w:tcPr>
            <w:tcW w:w="2041" w:type="dxa"/>
          </w:tcPr>
          <w:p w:rsidR="005C2091" w:rsidRDefault="00A86293">
            <w:pPr>
              <w:pStyle w:val="CellColumn"/>
              <w:jc w:val="right"/>
            </w:pPr>
            <w:r>
              <w:rPr>
                <w:rFonts w:cs="Times New Roman"/>
              </w:rPr>
              <w:t>320.896</w:t>
            </w:r>
          </w:p>
        </w:tc>
        <w:tc>
          <w:tcPr>
            <w:tcW w:w="1224" w:type="dxa"/>
          </w:tcPr>
          <w:p w:rsidR="005C2091" w:rsidRDefault="00A86293">
            <w:pPr>
              <w:pStyle w:val="CellColumn"/>
              <w:jc w:val="right"/>
            </w:pPr>
            <w:r>
              <w:rPr>
                <w:rFonts w:cs="Times New Roman"/>
              </w:rPr>
              <w:t>9,6</w:t>
            </w:r>
          </w:p>
        </w:tc>
        <w:tc>
          <w:tcPr>
            <w:tcW w:w="1224" w:type="dxa"/>
          </w:tcPr>
          <w:p w:rsidR="005C2091" w:rsidRDefault="00A86293">
            <w:pPr>
              <w:pStyle w:val="CellColumn"/>
              <w:jc w:val="right"/>
            </w:pPr>
            <w:r>
              <w:rPr>
                <w:rFonts w:cs="Times New Roman"/>
              </w:rPr>
              <w:t>4,4</w:t>
            </w:r>
          </w:p>
        </w:tc>
      </w:tr>
    </w:tbl>
    <w:p w:rsidR="005C2091" w:rsidRDefault="005C2091">
      <w:pPr>
        <w:jc w:val="left"/>
      </w:pPr>
    </w:p>
    <w:p w:rsidR="005C2091" w:rsidRDefault="00A86293">
      <w:pPr>
        <w:pStyle w:val="Heading8"/>
        <w:jc w:val="left"/>
      </w:pPr>
      <w:r>
        <w:t>Zakonske i druge pravne osnove</w:t>
      </w:r>
    </w:p>
    <w:p w:rsidR="005C2091" w:rsidRDefault="00A86293">
      <w:r>
        <w:t>Uredba o uvjetima i načinu obavljanja potrage i spašavanje zrakoplova (N.N. br: 192/11)</w:t>
      </w:r>
    </w:p>
    <w:p w:rsidR="005C2091" w:rsidRDefault="00A86293">
      <w:pPr>
        <w:pStyle w:val="Heading8"/>
        <w:jc w:val="left"/>
      </w:pPr>
      <w:r>
        <w:t>Opis aktivnosti</w:t>
      </w:r>
    </w:p>
    <w:p w:rsidR="005C2091" w:rsidRDefault="00A86293">
      <w:r>
        <w:t xml:space="preserve">Temeljem "Uredbe o uvjetima i načinu obavljanja potrage i spašavanja zrakoplova "(N.N. br. 129/11) na projektu „Rutne i terminalne naknade za potrage i spašavanje zrakoplovom“ planira se nabava nužno potrebnih materijalno-tehničkih </w:t>
      </w:r>
    </w:p>
    <w:p w:rsidR="005C2091" w:rsidRDefault="00A86293">
      <w:r>
        <w:t xml:space="preserve">sredstava, koja će se isključivo koristiti za potragu i spašavanje unesrećenih uslijed pada zrakoplova, te provođenje vježbi za edukaciju postrojbi civilne zaštite u spomenutim situacijama. </w:t>
      </w:r>
    </w:p>
    <w:p w:rsidR="005C2091" w:rsidRDefault="00A86293">
      <w:r>
        <w:t xml:space="preserve">Od 2016. godine zbog objedinjavanja sustava i svih snaga u sustavu zaštite i spašavanja na području Republike Hrvatske, a u cilju spašavanja prilikom pada zrakoplova, planirano je da se dio sredstava upotrijebi i za angažiranje (u stanje pripravnosti) snaga MUP-a i MORH-a te udruga građana (HGSS, DVD, itd.). Inicirana je izrada sporazuma s navedenim sudionicima potrage i spašavanja zrakoplova, ali kako isti još nisu potpisani nije došlo do realizacije planiranih sredstava.  </w:t>
      </w:r>
    </w:p>
    <w:p w:rsidR="005C2091" w:rsidRDefault="00A86293">
      <w:r>
        <w:t>Također, u 2016. godini planirano je uređenje i opremanje prostora Spasilačkog koordinacijskog centra na kopnu kao centralne kontrolne točke za jedinice u stanju pripravnosti, te je za isti izrađena projektna dokumentacija koja čini najveći dio  rashoda koji su ostvareni tijekom 2016.godine.</w:t>
      </w:r>
    </w:p>
    <w:p w:rsidR="000A6D36" w:rsidRDefault="000A6D36"/>
    <w:p w:rsidR="005C2091" w:rsidRDefault="00A86293">
      <w:pPr>
        <w:pStyle w:val="Heading2"/>
      </w:pPr>
      <w:r>
        <w:t>04035 Hrvatski centar za razminiranje</w:t>
      </w:r>
    </w:p>
    <w:p w:rsidR="005C2091" w:rsidRDefault="00A86293">
      <w:r>
        <w:t xml:space="preserve">U prvom tromjesečju 2016. godine sredstva financijskog plana su bila osigurana temeljem „Odluke o privremenom financiranju poslova, funkcija i programa državnih tijela i drugih proračunskih korisnika državnog proračuna Republike Hrvatske u prvom tromjesečju 2016. godine“ u ukupnom iznosu 72.500.000,00 kn. </w:t>
      </w:r>
    </w:p>
    <w:p w:rsidR="005C2091" w:rsidRDefault="00A86293">
      <w:r>
        <w:lastRenderedPageBreak/>
        <w:t xml:space="preserve">Donošenjem Državnog proračuna RH za 2016. godinu (ožujak 2016.g.) ukupan Izvorni financijski plan Hrvatskog centra za razminiranje (glava u razdjelu 04035) za 2016. godinu iznosio je 238.198.000,00 kn.  </w:t>
      </w:r>
    </w:p>
    <w:p w:rsidR="005C2091" w:rsidRDefault="00A86293">
      <w:r>
        <w:t xml:space="preserve">Nakon  Rebalansa Državnog proračuna za 2016. godinu i Preraspodjela odobrenih od strane ministra financija Tekući financijski plan za 2016. godinu (prosinac 2016.g.) iznosio je 208.731.000,00 kn.  </w:t>
      </w:r>
    </w:p>
    <w:p w:rsidR="005C2091" w:rsidRDefault="00A86293">
      <w:r>
        <w:t xml:space="preserve">Ostvarenjem ušteda u redovnom poslovanju HCR-a, nakon internih preraspodjela, tijekom godine u Državni proračun sa izvora 11-Opći prihodi i primici otpušteno je 10.650.000,00 kn koji su preraspodijeljeni Ministarstvu unutarnjih poslova za potrebe rashoda za zaposlene i potrebe redovnog poslovanja. Naime, u tijeku 2016. godine Odlukama Vlade RH isplaćivana su sredstva za regres i božićnicu zaposlenicima u državnim i javnim službama, koja su dijelom osiguravana internim preraspodjelama na razini Razdjela. </w:t>
      </w:r>
    </w:p>
    <w:p w:rsidR="005C2091" w:rsidRDefault="00A86293">
      <w:r>
        <w:t xml:space="preserve">Daljnje promjene Tekućeg plana u odnosu na Izvorni plan vezane su uz EU projekte. Tekući plan na izvoru 51-Pomoći EU smanjen je za 18.938.000,00 kn u odnosu na Izvorni plan budući je zaključivanje Grant ugovora vezano uz EU projekte izvršeno kasnije u odnosu na prvotno planirano razdoblje, a planirani rashodi uključuju se u financijske planove 2017.-2019. godine. Na izvoru 563-Europski fond za regionalni razvoj prema Budžetu projekta „DE-MINE HU-HR II 2014.-2020.“ formirana je preraspodjela Financijskog plana, tako da ukupno povećanje na ovom izvoru iznosi 121.000,00 kn. </w:t>
      </w:r>
    </w:p>
    <w:p w:rsidR="005C2091" w:rsidRDefault="00A86293">
      <w:r>
        <w:t xml:space="preserve">Od ukupno planiranih 208.731.000,000 kn ukupno je utrošeno 193.430.916,00 kn, što je 81,21% u odnosu na Izvorni financijski plan za 2016. godinu, odnosno 92,67% od Tekućeg financijskog plana za 2016. godinu ( nakon rebalansa i preraspodjela ). </w:t>
      </w:r>
    </w:p>
    <w:p w:rsidR="005C2091" w:rsidRDefault="00A86293">
      <w:r>
        <w:t xml:space="preserve">Prema izvorima financiranja sredstva su ostvarena iz općih prihoda i primitaka (izvor 11) u iznosu 179.671.494,00 kn, učešća proračuna Republike Hrvatske u pomoći Europske Unije (izvor 12) u iznosu 2.021.027,00 kn, pomoći Europske Unije (izvor 51) u iznosu 45.500,00 kn, iz Europskog fonda za regionalni razvoj (izvor 563) u iznosu 10.591.963,00 kn, pomoći vlada i međunarodnih organizacija (izvor 52) u iznosu od 350.476,00 kn, te donacija trgovačkih društava, javnih poduzeća i ostalih izvan opće države, koji se ostvaruju koroz Državni proračun (izvor 61) u iznosu 750.456,00 kn. </w:t>
      </w:r>
    </w:p>
    <w:p w:rsidR="005C2091" w:rsidRDefault="00A86293">
      <w:r>
        <w:t xml:space="preserve">Od ukupno u Državnom proračunu realiziranih 193.430.916,00 kn najveća stavka rashoda je za obavljanje poslova razminiranja u inosu 156.469.689,00 kn, što je 81% izvršenja Financijskog plana. Realizacija je ostvarena na slijedećim izvorima: </w:t>
      </w:r>
    </w:p>
    <w:p w:rsidR="005C2091" w:rsidRDefault="00A86293">
      <w:r>
        <w:t>•</w:t>
      </w:r>
      <w:r>
        <w:tab/>
        <w:t xml:space="preserve">11 Opći prihodi i primici 143.443.045,00 kn </w:t>
      </w:r>
    </w:p>
    <w:p w:rsidR="005C2091" w:rsidRDefault="00A86293">
      <w:r>
        <w:t>•</w:t>
      </w:r>
      <w:r>
        <w:tab/>
        <w:t xml:space="preserve">12 Sredstva učešća za pomoći 1.969.500,00 kn </w:t>
      </w:r>
    </w:p>
    <w:p w:rsidR="005C2091" w:rsidRDefault="00A86293">
      <w:r>
        <w:t>•</w:t>
      </w:r>
      <w:r>
        <w:tab/>
        <w:t xml:space="preserve">563 Europski fond za regionalni razvoj 9.956.212,00 kn </w:t>
      </w:r>
    </w:p>
    <w:p w:rsidR="005C2091" w:rsidRDefault="00A86293">
      <w:r>
        <w:t>•</w:t>
      </w:r>
      <w:r>
        <w:tab/>
        <w:t xml:space="preserve">52 Ostale pomoći 350.475,00 kn </w:t>
      </w:r>
    </w:p>
    <w:p w:rsidR="005C2091" w:rsidRDefault="00A86293">
      <w:r>
        <w:t>•</w:t>
      </w:r>
      <w:r>
        <w:tab/>
        <w:t>61 Donacije 750.456,00 kn</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04035-Hrvatski centar za razminiranje</w:t>
            </w:r>
          </w:p>
        </w:tc>
        <w:tc>
          <w:tcPr>
            <w:tcW w:w="2041" w:type="dxa"/>
            <w:vAlign w:val="top"/>
          </w:tcPr>
          <w:p w:rsidR="005C2091" w:rsidRDefault="00A86293">
            <w:pPr>
              <w:pStyle w:val="CellColumn"/>
              <w:jc w:val="right"/>
            </w:pPr>
            <w:r>
              <w:rPr>
                <w:rFonts w:cs="Times New Roman"/>
              </w:rPr>
              <w:t>244.096.801</w:t>
            </w:r>
          </w:p>
        </w:tc>
        <w:tc>
          <w:tcPr>
            <w:tcW w:w="2041" w:type="dxa"/>
            <w:vAlign w:val="top"/>
          </w:tcPr>
          <w:p w:rsidR="005C2091" w:rsidRDefault="00A86293">
            <w:pPr>
              <w:pStyle w:val="CellColumn"/>
              <w:jc w:val="right"/>
            </w:pPr>
            <w:r>
              <w:rPr>
                <w:rFonts w:cs="Times New Roman"/>
              </w:rPr>
              <w:t>208.731.000</w:t>
            </w:r>
          </w:p>
        </w:tc>
        <w:tc>
          <w:tcPr>
            <w:tcW w:w="2041" w:type="dxa"/>
            <w:vAlign w:val="top"/>
          </w:tcPr>
          <w:p w:rsidR="005C2091" w:rsidRDefault="00A86293">
            <w:pPr>
              <w:pStyle w:val="CellColumn"/>
              <w:jc w:val="right"/>
            </w:pPr>
            <w:r>
              <w:rPr>
                <w:rFonts w:cs="Times New Roman"/>
              </w:rPr>
              <w:t>193.430.916</w:t>
            </w:r>
          </w:p>
        </w:tc>
        <w:tc>
          <w:tcPr>
            <w:tcW w:w="1224" w:type="dxa"/>
            <w:vAlign w:val="top"/>
          </w:tcPr>
          <w:p w:rsidR="005C2091" w:rsidRDefault="00A86293">
            <w:pPr>
              <w:pStyle w:val="CellColumn"/>
              <w:jc w:val="right"/>
            </w:pPr>
            <w:r>
              <w:rPr>
                <w:rFonts w:cs="Times New Roman"/>
              </w:rPr>
              <w:t>92,7</w:t>
            </w:r>
          </w:p>
        </w:tc>
        <w:tc>
          <w:tcPr>
            <w:tcW w:w="1224" w:type="dxa"/>
            <w:vAlign w:val="top"/>
          </w:tcPr>
          <w:p w:rsidR="005C2091" w:rsidRDefault="00A86293">
            <w:pPr>
              <w:pStyle w:val="CellColumn"/>
              <w:jc w:val="right"/>
            </w:pPr>
            <w:r>
              <w:rPr>
                <w:rFonts w:cs="Times New Roman"/>
              </w:rPr>
              <w:t>79,2</w:t>
            </w:r>
          </w:p>
        </w:tc>
      </w:tr>
      <w:tr w:rsidR="005C2091">
        <w:trPr>
          <w:jc w:val="center"/>
        </w:trPr>
        <w:tc>
          <w:tcPr>
            <w:tcW w:w="1632" w:type="dxa"/>
          </w:tcPr>
          <w:p w:rsidR="005C2091" w:rsidRDefault="00A86293">
            <w:pPr>
              <w:jc w:val="left"/>
            </w:pPr>
            <w:r>
              <w:t>2604-PROTUMINSKO DJELOVANJE</w:t>
            </w:r>
          </w:p>
        </w:tc>
        <w:tc>
          <w:tcPr>
            <w:tcW w:w="2041" w:type="dxa"/>
          </w:tcPr>
          <w:p w:rsidR="005C2091" w:rsidRDefault="00A86293">
            <w:pPr>
              <w:jc w:val="right"/>
            </w:pPr>
            <w:r>
              <w:t>244.096.801</w:t>
            </w:r>
          </w:p>
        </w:tc>
        <w:tc>
          <w:tcPr>
            <w:tcW w:w="2041" w:type="dxa"/>
          </w:tcPr>
          <w:p w:rsidR="005C2091" w:rsidRDefault="00A86293">
            <w:pPr>
              <w:jc w:val="right"/>
            </w:pPr>
            <w:r>
              <w:t>208.731.000</w:t>
            </w:r>
          </w:p>
        </w:tc>
        <w:tc>
          <w:tcPr>
            <w:tcW w:w="2041" w:type="dxa"/>
          </w:tcPr>
          <w:p w:rsidR="005C2091" w:rsidRDefault="00A86293">
            <w:pPr>
              <w:jc w:val="right"/>
            </w:pPr>
            <w:r>
              <w:t>193.430.916</w:t>
            </w:r>
          </w:p>
        </w:tc>
        <w:tc>
          <w:tcPr>
            <w:tcW w:w="1224" w:type="dxa"/>
          </w:tcPr>
          <w:p w:rsidR="005C2091" w:rsidRDefault="00A86293">
            <w:pPr>
              <w:jc w:val="right"/>
            </w:pPr>
            <w:r>
              <w:t>92,7</w:t>
            </w:r>
          </w:p>
        </w:tc>
        <w:tc>
          <w:tcPr>
            <w:tcW w:w="1224" w:type="dxa"/>
          </w:tcPr>
          <w:p w:rsidR="005C2091" w:rsidRDefault="00A86293">
            <w:pPr>
              <w:jc w:val="right"/>
            </w:pPr>
            <w:r>
              <w:t>79,2</w:t>
            </w:r>
          </w:p>
        </w:tc>
      </w:tr>
    </w:tbl>
    <w:p w:rsidR="005C2091" w:rsidRDefault="005C2091">
      <w:pPr>
        <w:jc w:val="left"/>
      </w:pPr>
    </w:p>
    <w:p w:rsidR="005C2091" w:rsidRDefault="00A86293">
      <w:pPr>
        <w:pStyle w:val="Heading3"/>
      </w:pPr>
      <w:r>
        <w:rPr>
          <w:rFonts w:cs="Times New Roman"/>
        </w:rPr>
        <w:lastRenderedPageBreak/>
        <w:t>2604 PROTUMINSKO DJELOVANJE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2604-PROTUMINSKO DJELOVANJE</w:t>
            </w:r>
          </w:p>
        </w:tc>
        <w:tc>
          <w:tcPr>
            <w:tcW w:w="2041" w:type="dxa"/>
          </w:tcPr>
          <w:p w:rsidR="005C2091" w:rsidRDefault="00A86293">
            <w:pPr>
              <w:pStyle w:val="CellColumn"/>
              <w:jc w:val="right"/>
            </w:pPr>
            <w:r>
              <w:rPr>
                <w:rFonts w:cs="Times New Roman"/>
              </w:rPr>
              <w:t>244.096.801</w:t>
            </w:r>
          </w:p>
        </w:tc>
        <w:tc>
          <w:tcPr>
            <w:tcW w:w="2041" w:type="dxa"/>
          </w:tcPr>
          <w:p w:rsidR="005C2091" w:rsidRDefault="00A86293">
            <w:pPr>
              <w:pStyle w:val="CellColumn"/>
              <w:jc w:val="right"/>
            </w:pPr>
            <w:r>
              <w:rPr>
                <w:rFonts w:cs="Times New Roman"/>
              </w:rPr>
              <w:t>208.731.000</w:t>
            </w:r>
          </w:p>
        </w:tc>
        <w:tc>
          <w:tcPr>
            <w:tcW w:w="2041" w:type="dxa"/>
          </w:tcPr>
          <w:p w:rsidR="005C2091" w:rsidRDefault="00A86293">
            <w:pPr>
              <w:pStyle w:val="CellColumn"/>
              <w:jc w:val="right"/>
            </w:pPr>
            <w:r>
              <w:rPr>
                <w:rFonts w:cs="Times New Roman"/>
              </w:rPr>
              <w:t>193.430.916</w:t>
            </w:r>
          </w:p>
        </w:tc>
        <w:tc>
          <w:tcPr>
            <w:tcW w:w="1224" w:type="dxa"/>
          </w:tcPr>
          <w:p w:rsidR="005C2091" w:rsidRDefault="00A86293">
            <w:pPr>
              <w:pStyle w:val="CellColumn"/>
              <w:jc w:val="right"/>
            </w:pPr>
            <w:r>
              <w:rPr>
                <w:rFonts w:cs="Times New Roman"/>
              </w:rPr>
              <w:t>92,7</w:t>
            </w:r>
          </w:p>
        </w:tc>
        <w:tc>
          <w:tcPr>
            <w:tcW w:w="1224" w:type="dxa"/>
          </w:tcPr>
          <w:p w:rsidR="005C2091" w:rsidRDefault="00A86293">
            <w:pPr>
              <w:pStyle w:val="CellColumn"/>
              <w:jc w:val="right"/>
            </w:pPr>
            <w:r>
              <w:rPr>
                <w:rFonts w:cs="Times New Roman"/>
              </w:rPr>
              <w:t>79,2</w:t>
            </w:r>
          </w:p>
        </w:tc>
      </w:tr>
    </w:tbl>
    <w:p w:rsidR="005C2091" w:rsidRDefault="005C2091">
      <w:pPr>
        <w:jc w:val="left"/>
      </w:pPr>
    </w:p>
    <w:p w:rsidR="005C2091" w:rsidRDefault="00A86293">
      <w:r>
        <w:t xml:space="preserve">Osnovna zadaća Hrvatskog centra za razminiranje je: planiranje aktivnosti protuminske  djelatnosti; prikupljanje i obrada podataka o područjima i objektima zagađenim minskoeksplozivnim i neeksplodiranim ubojnim sredstvima; ustupanje poslova pretraživanja i razminiranja ovlaštenim pravnim osobama; obilježavanje minski sumnjivog prostora; upravljanje kvalitetom, nadzor i kontrola kvalitete radova razminiravanja minski sumnjivog prostora; koordinacija edukacije o opasnostima od mina i pomoći žrtvama mina, te suradnja sa nadležnim tijelima; međunarodna suradnja na području humanitarnog razminiravanja; istraživanje i razvoj tehnologija razminiravanja; </w:t>
      </w:r>
    </w:p>
    <w:p w:rsidR="005C2091" w:rsidRDefault="00A86293">
      <w:r>
        <w:t xml:space="preserve">Strategija rješavanja minskog problema definirana je Nacionalnim programom protuminskog djelovanja 2009.-2019. godine kroz pet strateških ciljeva: </w:t>
      </w:r>
    </w:p>
    <w:p w:rsidR="005C2091" w:rsidRDefault="00A86293">
      <w:r>
        <w:t>1.</w:t>
      </w:r>
      <w:r>
        <w:tab/>
        <w:t xml:space="preserve">Potpuno uklanjanje minske opasnosti s područja Republike Hrvatske do 2019. godine. </w:t>
      </w:r>
    </w:p>
    <w:p w:rsidR="005C2091" w:rsidRDefault="00A86293">
      <w:r>
        <w:t>2.</w:t>
      </w:r>
      <w:r>
        <w:tab/>
        <w:t xml:space="preserve">Održavanje obilježenosti minski sumnjivog područja u svim fazama rješavanja minskog problema.  </w:t>
      </w:r>
    </w:p>
    <w:p w:rsidR="005C2091" w:rsidRDefault="00A86293">
      <w:r>
        <w:t>3.</w:t>
      </w:r>
      <w:r>
        <w:tab/>
        <w:t xml:space="preserve">Izrađivanje i provođenje programa edukacije cjelokupnog stanovništvo koje živi i/ili radi u okruženju minski sumnjivog područja ili gravitira istom.  </w:t>
      </w:r>
    </w:p>
    <w:p w:rsidR="005C2091" w:rsidRDefault="00A86293">
      <w:r>
        <w:t>4.</w:t>
      </w:r>
      <w:r>
        <w:tab/>
        <w:t xml:space="preserve">Nastavljanje s pružanjem skrbi i rehabilitacije, uključujući psiho-socijalnu rehabilitaciju i ekonomsku reintegraciju svim žrtvama mina. </w:t>
      </w:r>
    </w:p>
    <w:p w:rsidR="005C2091" w:rsidRDefault="00A86293">
      <w:r>
        <w:t>5.</w:t>
      </w:r>
      <w:r>
        <w:tab/>
        <w:t xml:space="preserve">Pozicioniranje i promoviranje hrvatskog sustava protuminskog djelovanja u međunarodnoj zajednici.  </w:t>
      </w:r>
    </w:p>
    <w:p w:rsidR="005C2091" w:rsidRDefault="00A86293">
      <w:r>
        <w:t xml:space="preserve"> </w:t>
      </w:r>
    </w:p>
    <w:p w:rsidR="005C2091" w:rsidRDefault="00A86293">
      <w:r>
        <w:t xml:space="preserve">U funkciji izvršenja svih strateških ciljeva, Programom je bilo planirano i kontinuirano provođenje sljedećih aktivnosti u Hrvatskom centru za razminiranje: </w:t>
      </w:r>
    </w:p>
    <w:p w:rsidR="005C2091" w:rsidRDefault="00A86293">
      <w:r>
        <w:t xml:space="preserve">- provođenje unutarnje reorganizacije Hrvatskog centra za razminiranje u cilju stvaranja uvjeta za provođenje poslova opisanih u Programu,  </w:t>
      </w:r>
    </w:p>
    <w:p w:rsidR="005C2091" w:rsidRDefault="00A86293">
      <w:r>
        <w:t xml:space="preserve">- jačanje suradnje s tijelima državne uprave, osobito s Ministarstvom vanjskih i europskih poslova, Ministarstvom unutarnjih poslova i Ministarstvom obrane te jedinicama lokalne i regionalne samouprave kao i s ostalim relevantnim čimbenicima u protuminskom djelovanju, </w:t>
      </w:r>
    </w:p>
    <w:p w:rsidR="005C2091" w:rsidRDefault="00A86293">
      <w:r>
        <w:t xml:space="preserve">- nastavljanje s razvijanjem adekvatnog informacijskog sustava, </w:t>
      </w:r>
    </w:p>
    <w:p w:rsidR="005C2091" w:rsidRDefault="00A86293">
      <w:r>
        <w:t xml:space="preserve">- kontinuirano provođenje edukacije stanovništva o opasnostima od mina i uključenje u provođenje pomoći žrtvama mina, </w:t>
      </w:r>
    </w:p>
    <w:p w:rsidR="005C2091" w:rsidRDefault="00A86293">
      <w:r>
        <w:t xml:space="preserve">- provođenje međunarodne suradnje i plasiranje hrvatskih znanja i tehnologija u inozemstvu. </w:t>
      </w:r>
    </w:p>
    <w:p w:rsidR="005C2091" w:rsidRDefault="00A86293">
      <w:r>
        <w:t xml:space="preserve"> Strateški ciljevi ugrađeni su u  Strateški plan Ministarstva unutarnjih poslova i drugih institucija u funkciji zaštite i spašavanja za razdoblje 2016.-2018. godina, pod posebnim ciljem (2.3.) „Smanjenje zagađenosti prostora minama i eksplozivnim sredstvima“  razmjerno odobrenim i dodatno osiguranim financijskim sredstvima za 2016. godinu.</w:t>
      </w:r>
    </w:p>
    <w:p w:rsidR="005C2091" w:rsidRDefault="00A86293">
      <w:pPr>
        <w:pStyle w:val="Heading8"/>
        <w:jc w:val="left"/>
      </w:pPr>
      <w:r>
        <w:t xml:space="preserve">Cilj 1. Smanjenje veličine minski sumnjivih prostora </w:t>
      </w:r>
    </w:p>
    <w:p w:rsidR="005C2091" w:rsidRDefault="00A86293">
      <w:pPr>
        <w:pStyle w:val="Heading8"/>
        <w:jc w:val="left"/>
      </w:pPr>
      <w:r>
        <w:t>Opis provedbe cilja programa</w:t>
      </w:r>
    </w:p>
    <w:p w:rsidR="005C2091" w:rsidRDefault="00A86293">
      <w:r>
        <w:t xml:space="preserve">Poslovima razminiranja kroz 121 idejni plan razminiranja, uklonjena je minska opasnost s površine od 38.263.980 m2.  </w:t>
      </w:r>
    </w:p>
    <w:p w:rsidR="005C2091" w:rsidRDefault="00A86293">
      <w:r>
        <w:t xml:space="preserve">Provedenih 19 općih i tehničkih izvida, a u cilju ažuriranja minski sumnjivih područja i/ili u cilju izrade projektne dokumentacije, rezultirali su smanjenjem minski sumnjivog područja Republike Hrvatske za 3.204.465 m2. </w:t>
      </w:r>
    </w:p>
    <w:p w:rsidR="005C2091" w:rsidRDefault="00A86293">
      <w:r>
        <w:lastRenderedPageBreak/>
        <w:t>Provedbom razminiranja, općeg i tehničkog izvida u 2016. godini ukupno je u Republici Hrvatskoj uklonjena opasnost od minskoeksplozivnih sredstava (u daljnjem tekstu: MES) i neeksplodiranih ubojnih sredstava (u daljnjem tekstu: NUS) s površine od 41.468.453 m2.</w:t>
      </w:r>
    </w:p>
    <w:p w:rsidR="005C2091" w:rsidRDefault="00A86293">
      <w:pPr>
        <w:pStyle w:val="Heading8"/>
        <w:jc w:val="left"/>
      </w:pPr>
      <w:r>
        <w:t>Cilj 2. U cijelosti ukloniti minsku opasnost s područja oranica, te s većine močvarnog područja unutar Parka prirode Kopački rit</w:t>
      </w:r>
    </w:p>
    <w:p w:rsidR="005C2091" w:rsidRDefault="00A86293">
      <w:pPr>
        <w:pStyle w:val="Heading8"/>
        <w:jc w:val="left"/>
      </w:pPr>
      <w:r>
        <w:t>Opis provedbe cilja programa</w:t>
      </w:r>
    </w:p>
    <w:p w:rsidR="005C2091" w:rsidRDefault="00A86293">
      <w:r>
        <w:t xml:space="preserve">U Operativnom programu za konkurentnost i koheziju utvrđen je specifični cilj 6iii3: Razminiranje, obnova i zaštita šuma i šumskog zemljišta u zaštićenim područjima i područjima mreže NATURA 2000 koji sadrži i MSP unutar Parka prirode Kopački rit.Tijekom 2015. godini je započeta je izrada Studije izvodljivosti i projektna aplikacija. Na temelju ovih dokumenata MSP Parka prirode Kopački rit se planira razminirati sredstvima iz ESI fondova u narednom trogodišnjem razdoblju, a sukladno natječaju za prijavu koji će  objaviti Ministarstvo regionalnog razvoja i fondova EU. </w:t>
      </w:r>
    </w:p>
    <w:p w:rsidR="005C2091" w:rsidRDefault="00A86293">
      <w:r>
        <w:t xml:space="preserve">Hrvatski centar za razminiranje i partneri: Hrvatske šume d.o.o. u svojstvu vodećeg partnera, Ured za razminiranje, Hrvatske vode, Agencija za regionalni razvoj,  i JU Park prirode Kopački rit oformili su Projektni tim za provedbu projekta. </w:t>
      </w:r>
    </w:p>
    <w:p w:rsidR="005C2091" w:rsidRDefault="00A86293">
      <w:r>
        <w:t xml:space="preserve">Tijekom 2016. godine Projektni tim  provodio je: </w:t>
      </w:r>
    </w:p>
    <w:p w:rsidR="005C2091" w:rsidRDefault="00A86293">
      <w:r>
        <w:t xml:space="preserve">- rad s Konzultantima, na izradi što kvalitetnijeg dokumenta. Konzultant je u okviru svoje ugovorne obveze, Ministarstvu zaštite okoliša, Upravi za procjenu utjecaja zahvata na okoliš, uputio Zahtjev za ocjenu o potrebi procjene utjecaja zahvata na okoliš i Elaborat zaštite okoliša. </w:t>
      </w:r>
    </w:p>
    <w:p w:rsidR="005C2091" w:rsidRDefault="00A86293">
      <w:r>
        <w:t>- suradnju sa JASPERS-om, čija pozitivna ocjena Studije izvodljivosti bitno utječe na ishod odobravanja projekta; predstavnicima Ministarstva zaštite okoliša i energetike, Fonda za zaštitu okoliša, Ministarstva regionalnog razvoja i EU fondova, a sve u cilju kvalitetne studije kao podloge za kvalitetan početak rada sukladno Projektu.</w:t>
      </w:r>
    </w:p>
    <w:p w:rsidR="005C2091" w:rsidRDefault="00A86293">
      <w:pPr>
        <w:pStyle w:val="Heading8"/>
        <w:jc w:val="left"/>
      </w:pPr>
      <w:r>
        <w:t>Cilj 3. Održati obilježenost cjelokupnog minski sumnjivog prostora</w:t>
      </w:r>
    </w:p>
    <w:p w:rsidR="005C2091" w:rsidRDefault="00A86293">
      <w:pPr>
        <w:pStyle w:val="Heading8"/>
        <w:jc w:val="left"/>
      </w:pPr>
      <w:r>
        <w:t>Opis provedbe cilja programa</w:t>
      </w:r>
    </w:p>
    <w:p w:rsidR="005C2091" w:rsidRDefault="00A86293">
      <w:r>
        <w:t xml:space="preserve">Na dan 1. siječnja 2016. godine MSP Republike Hrvatske bio je obilježen s 13.724 oznake koje ukazuju na minsku opasnost i moguć pronalazak neeksplodiranih ubojnih sredstava te se prostirao unutar 69 gradova i općina u 9 županija.  </w:t>
      </w:r>
    </w:p>
    <w:p w:rsidR="005C2091" w:rsidRDefault="00A86293">
      <w:r>
        <w:t xml:space="preserve">Dana 31. prosinca  2016. godine MSP Republike Hrvatske bio je obilježen s 14.088 oznaka koje ukazuju na minsku opasnost i moguć pronalazak neeksplodiranih ubojnih sredstava i prostirao se unutar 65 gradova i općina u 9 županija.  </w:t>
      </w:r>
    </w:p>
    <w:p w:rsidR="005C2091" w:rsidRDefault="00A86293">
      <w:r>
        <w:t xml:space="preserve">Cilj Hrvatskog centra za razminiranje je postići što veći broj oznaka minske opasnosti tabli na km2 MSP-a.  </w:t>
      </w:r>
    </w:p>
    <w:p w:rsidR="005C2091" w:rsidRDefault="00A86293">
      <w:r>
        <w:t>Iako je ukupna minski sumnjiva površina tijekom 2016. godine smanjena za 8,7% u odnosu na početnu u 2016. godini na dan 31. prosinca 2016. MSP je bio obilježen s 14.088 tabli koje ukazuju na minsku opasnost, odnosno sa 33 table/km2, dok je na dan 1. siječnja 2016. god. MSP bio obilježen s 13.274 table koje ukazuju na minsku opasnost, odnosno s 28 tabli/km2.</w:t>
      </w:r>
    </w:p>
    <w:p w:rsidR="005C2091" w:rsidRDefault="00A86293">
      <w:pPr>
        <w:pStyle w:val="Heading8"/>
        <w:jc w:val="left"/>
      </w:pPr>
      <w:r>
        <w:t>Cilj 4. Edukacija stanovništva od opasnosti od mina, te koordinirati aktivnosti vezane uz skrb, rehabilitaciju i ekonomsku reintegraciju svih žrtava mina</w:t>
      </w:r>
    </w:p>
    <w:p w:rsidR="005C2091" w:rsidRDefault="00A86293">
      <w:pPr>
        <w:pStyle w:val="Heading8"/>
        <w:jc w:val="left"/>
      </w:pPr>
      <w:r>
        <w:t>Opis provedbe cilja programa</w:t>
      </w:r>
    </w:p>
    <w:p w:rsidR="005C2091" w:rsidRDefault="00A86293">
      <w:r>
        <w:t xml:space="preserve">U razdoblju od 01. siječnja do 31. prosinca 2016. godine kroz 77 aktivnosti informirano i educirano je  21.620 osoba o opasnostima od MES-a, NUS-a i njihovih dijelova. Informiranje i edukacije su održane u 13 županija i Gradu Zagrebu, u 50 gradova/općina (građani, učenici, planinari, članovi Hrvatskog lovačkog saveza, Hrvatskih šuma, HEP-a, Gorske službe spašavanja, poljoprivrednici,  izviđači-volenteri, i drugi).  </w:t>
      </w:r>
    </w:p>
    <w:p w:rsidR="005C2091" w:rsidRDefault="00A86293">
      <w:r>
        <w:t xml:space="preserve">Također, održani su i koordinativni sastanci u Uredu za razminiranje sa svim subjektima koji sudjeluju u edukaciji o minskoj opasnosti. </w:t>
      </w:r>
    </w:p>
    <w:p w:rsidR="005C2091" w:rsidRDefault="00A86293">
      <w:r>
        <w:t xml:space="preserve">Najveći broj informiranja i edukacija stanovništva o opasnostima od MES-a i NUS-a je obavljen u suradnji s Ministarstvom unutarnjih poslova i nadležnim policijskim upravama u kampanji Ministarstva unutarnjih poslova RH „Manje oružja, manje tragedije“. Suradnja je također ostvarena s: Ministarstvom zdravstva, Hrvatskim lovačkim savezom, Hrvatskim Crvenim križom, Hrvatskom elektroprivredom, Udrugom „Hrvatska pomaže“, Lions </w:t>
      </w:r>
      <w:r>
        <w:lastRenderedPageBreak/>
        <w:t xml:space="preserve">clubom Beli Manastir, Invalidskim odbojkaškim klubom Zagreb, županijskim, gradskim i općinskim upravama i ostalim nevladinim organizacijama i udrugama.  </w:t>
      </w:r>
    </w:p>
    <w:p w:rsidR="005C2091" w:rsidRDefault="00A86293">
      <w:r>
        <w:t xml:space="preserve">Edukacije su najvećim dijelom pratile idejne planove razminiranja na području minski zagađenih županija u skladu s Godišnjim planom razminiranja za 2016. godinu.  </w:t>
      </w:r>
    </w:p>
    <w:p w:rsidR="005C2091" w:rsidRDefault="00A86293">
      <w:r>
        <w:t xml:space="preserve">Sva informiranja i edukacije o opasnostima od MES-a i NUS-a su popraćena javnim i lokalnim medijima, a Hrvatski centar za razminiranje je na svom web portalu redovito i ažurno objavljivao informacije o provedenim aktivnostima. </w:t>
      </w:r>
    </w:p>
    <w:p w:rsidR="005C2091" w:rsidRDefault="00A86293">
      <w:r>
        <w:t>Održana je stručna radionica za osposobljavanje djelatnika Hrvatskog centra za razminiranje koji obavljaju edukaciju i informiranje stanovništva o opasnostima od MES-a, NUS-a i njihovih dijelova, u skladu sa Zakonom o protuminskom djelovanju (članak 93. i članak 94.), Sukladno Strateškom planu Ministarstva unutarnjih poslova RH za 2016.-2018., u 2016. godini održane su dvije Koordinacije vladinih tijela i nevladinih udruga koje u svom radu uključuju aktivnosti vezane uz edukaciju o minskoj opasnosti.</w:t>
      </w:r>
    </w:p>
    <w:p w:rsidR="005C2091" w:rsidRDefault="00A86293">
      <w:pPr>
        <w:pStyle w:val="Heading8"/>
        <w:jc w:val="left"/>
      </w:pPr>
      <w:r>
        <w:t>Cilj 5. Koordinirati aktivnosti vezane uz skrb, rehabilitaciju i ekonomsku reintegraciju svih žrtava mina</w:t>
      </w:r>
    </w:p>
    <w:p w:rsidR="005C2091" w:rsidRDefault="00A86293">
      <w:pPr>
        <w:pStyle w:val="Heading8"/>
        <w:jc w:val="left"/>
      </w:pPr>
      <w:r>
        <w:t>Opis provedbe cilja programa</w:t>
      </w:r>
    </w:p>
    <w:p w:rsidR="005C2091" w:rsidRDefault="00A86293">
      <w:r>
        <w:t xml:space="preserve">U 2016. godini dogodilo se pet minskih incidenta u kojima je stradalo sedam osoba od toga tri smrtno i četiri sa lakim tjelesnim ozljedama.  Šest  stradalih  su pirotehničari, a jedna  stradala osoba je pomoćni djelatnik u razminiranju.  U 2016. godini  nije bilo minskih nesreća. </w:t>
      </w:r>
    </w:p>
    <w:p w:rsidR="005C2091" w:rsidRDefault="00A86293">
      <w:r>
        <w:t>Godišnji koordinacijski sastanci vezano uz skrb, rehabilitaciju i ekonomsku reintegraciju svih žrtava mina nisu održani u planiranom broju. Sukladno Zakonu o protuminskom djelovanju od listopada 2015. godine za koordinaciju tih poslova nadležan Ured za razminiranje.</w:t>
      </w:r>
    </w:p>
    <w:p w:rsidR="005C2091" w:rsidRDefault="00A86293">
      <w:pPr>
        <w:pStyle w:val="Heading8"/>
        <w:jc w:val="left"/>
      </w:pPr>
      <w:r>
        <w:t>Cilj 6. Promoviranje hrvatskog sustava protuminskog djelovanja međunarodnoj zajednici i provođenje potpisanih međunarodnih sporazuma o suradnji</w:t>
      </w:r>
    </w:p>
    <w:p w:rsidR="005C2091" w:rsidRDefault="00A86293">
      <w:pPr>
        <w:pStyle w:val="Heading8"/>
        <w:jc w:val="left"/>
      </w:pPr>
      <w:r>
        <w:t>Opis provedbe cilja programa</w:t>
      </w:r>
    </w:p>
    <w:p w:rsidR="005C2091" w:rsidRDefault="00A86293">
      <w:r>
        <w:t xml:space="preserve">Hrvatski centar za razminiranje i ostali subjekti u protuminskom djelovanju su u cilju promocije hrvatskog sustava protuminskog djelovanja međunarodnoj zajednici provodili brojne aktivnosti prema međunarodnoj protuminskoj zajednici, diplomatskim predstavništvima u Republici Hrvatskoj i predstavnicima donatorskih zemalja: </w:t>
      </w:r>
    </w:p>
    <w:p w:rsidR="005C2091" w:rsidRDefault="00A86293">
      <w:r>
        <w:t xml:space="preserve">- sudjelovanje na sastanku direktora centara za razminiranje i UN savjetnika u UN-u Ženeva, </w:t>
      </w:r>
    </w:p>
    <w:p w:rsidR="005C2091" w:rsidRDefault="00A86293">
      <w:r>
        <w:t xml:space="preserve">- posjet vojnog izaslanika obrane SR Njemačke pukovnika i pomoćnika vojnog izaslanika obrane SR Njemačke, </w:t>
      </w:r>
    </w:p>
    <w:p w:rsidR="005C2091" w:rsidRDefault="00A86293">
      <w:r>
        <w:t xml:space="preserve">- u travnju 2016.g. u Biogradu je održan 13. međunarodni simpozij i sajam opreme „Protuminsko djelovanje 2016.“, </w:t>
      </w:r>
    </w:p>
    <w:p w:rsidR="005C2091" w:rsidRDefault="00A86293">
      <w:r>
        <w:t xml:space="preserve">- sudjelovanje na Forumu stručnjaka vezanom uz Globalnu inicijativu za razminiranje Kolumbije, organiziranom od strane Državnog tajništva Sjedinjenih Američkih Država, Veleposlanstva SAD-a u Kolumbiji, Veleposlanstva Kraljevine Norveške, Ministarstva vanjskih poslova Kolumbije, Kolumbijske organizacije za protuminsko djelovanje (DAICMA) i Međunarodnog centra za humanitarno razminiranje iz Ženeve (GICHD)  u Bogoti, Kolumbija, </w:t>
      </w:r>
    </w:p>
    <w:p w:rsidR="005C2091" w:rsidRDefault="00A86293">
      <w:r>
        <w:t xml:space="preserve">- posjet Iranu u sklopu političkog i gospodarskog izaslanstva u organizaciji Hrvatske gospodarske komore (HGK), </w:t>
      </w:r>
    </w:p>
    <w:p w:rsidR="005C2091" w:rsidRDefault="00A86293">
      <w:r>
        <w:t xml:space="preserve">- posjet Veleposlanice SAD-a u Republici Hrvatskoj Hrvatskom centru za razminiranje, </w:t>
      </w:r>
    </w:p>
    <w:p w:rsidR="005C2091" w:rsidRDefault="00A86293">
      <w:r>
        <w:t xml:space="preserve">- posjet slovenske delegacija Hrvatskom centru za razminiranje  u kojoj su bili opunomoćeni ministar veleposlanstva Republike Slovenije u Zagrebu i direktor ITF-a; na sastanku je gostima prezentiran sustav protuminskog djelovanja u RH te se razgovaralo o mogućnostima suradnje na projektima u trećim zemljama, te o budućnosti SEEMACC-a, </w:t>
      </w:r>
    </w:p>
    <w:p w:rsidR="005C2091" w:rsidRDefault="00A86293">
      <w:r>
        <w:t xml:space="preserve">- sudjelovanje na sastanku s delegacijom Ministarstva vanjskih poslova SAD-a, </w:t>
      </w:r>
    </w:p>
    <w:p w:rsidR="005C2091" w:rsidRDefault="00A86293">
      <w:r>
        <w:t xml:space="preserve">- sastanak s izvanrednom i opunomoćenom veleposlanicom Kraljevine Norveške, </w:t>
      </w:r>
    </w:p>
    <w:p w:rsidR="005C2091" w:rsidRDefault="00A86293">
      <w:r>
        <w:t xml:space="preserve">- sastanak u Oslu u sjedištu NPA u vezi moguće suradnje na programu razminiranja Kolumbije. Sastanku su prisustvovali predstavnici Hrvatskog centra za razminiranje i HCR-CTRO d.o.o., a Norvešku narodnu pomoć je predstavljao voditelj operacija humanitarnog razminiranja. Održan je i sastanak s veleposlanikom RH u Norveškoj, </w:t>
      </w:r>
    </w:p>
    <w:p w:rsidR="005C2091" w:rsidRDefault="00A86293">
      <w:r>
        <w:lastRenderedPageBreak/>
        <w:t xml:space="preserve">- sastanak s zamjenicom ministra vanjskih i europskih poslova u vezi suradnje Hrvatskog centra za razminiranje i MVEP-a na projektima razvojne suradnje i humanitarne pomoći zemljama s minskim problemom te je slijedom zaključaka tog sastanka 18. listopada održan sastanak s načelnikom Uprave za izvaneuropske poslove, na kojem se razgovaralo o mogućnosti pružanja pomoći u edukaciji iračke vojske za EOD u Iraku i realizaciji projekata u Kolumbiji i Jordanu koji su dostavljeni MVEP-u od strane HCR-CTRO, </w:t>
      </w:r>
    </w:p>
    <w:p w:rsidR="005C2091" w:rsidRDefault="00A86293">
      <w:r>
        <w:t xml:space="preserve">- u sjedištu RACVIAC-a – Središta za sigurnosnu suradnju, u Rakitju pokraj Zagreba održan je 6. međunarodni stručni skup posvećen problematici kazetnog streljiva, </w:t>
      </w:r>
    </w:p>
    <w:p w:rsidR="005C2091" w:rsidRDefault="00A86293">
      <w:r>
        <w:t xml:space="preserve">- Hrvatski centar za razminiranje ugostio je predstavnike Sveučilišta James Madison  iz SAD-a koji su došli u svrhu koordiniranja aktivnosti i planova organizacije radionice za viši menadžment u razminiranju, a koja će se održati u ožujku 2017. godine u Biogradu, </w:t>
      </w:r>
    </w:p>
    <w:p w:rsidR="005C2091" w:rsidRDefault="00A86293">
      <w:r>
        <w:t xml:space="preserve">- u studenom i prosincu 2016. godine u Santiagu, glavnom gradu Republike Čile, održan je 15. sastanak država stranaka Konvencije o zabrani uporabe, stvaranja zaliha, proizvodnje i prijenosa protupješačkih mina i o njihovom uništenju odnosno Ottawske konvencije.  </w:t>
      </w:r>
    </w:p>
    <w:p w:rsidR="005C2091" w:rsidRDefault="00A86293">
      <w:r>
        <w:t xml:space="preserve">- u prosincu 2016. godine Vladin ured za razminiranje i HCR su zajedno održali izuzetno dobro posjećenu i ocijenjenu prezentaciju stanja u hrvatskom protuminskom sustavu (organizirale Švicarska i Nizozemska)  </w:t>
      </w:r>
    </w:p>
    <w:p w:rsidR="005C2091" w:rsidRDefault="00A86293">
      <w:r>
        <w:t>Uz navedene aktivnosti stručnjaci Hrvatskog centra za razminiranje su sudjelovali kao predavači i instruktori u projektima obuke stranih stručnjaka za uništavanje eksplozivnih ostataka, nadzor i kontrolu kvalitete radova te edukaciju o opasnostima od eksplozivnih ostataka rata koje je provodio HCR-CTRO d.o.o.</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Veličina razminirane minski sumnjive površine</w:t>
            </w:r>
          </w:p>
        </w:tc>
        <w:tc>
          <w:tcPr>
            <w:tcW w:w="2551" w:type="dxa"/>
          </w:tcPr>
          <w:p w:rsidR="005C2091" w:rsidRDefault="00A86293">
            <w:pPr>
              <w:pStyle w:val="CellColumn"/>
              <w:jc w:val="left"/>
            </w:pPr>
            <w:r>
              <w:rPr>
                <w:rFonts w:cs="Times New Roman"/>
              </w:rPr>
              <w:t>Izvršenjem poslova razminiranja povećava se veličina površine koju je moguće privesti namjeni i na kojoj je moguće provoditi mjere zaštite i spašavanja.</w:t>
            </w:r>
          </w:p>
        </w:tc>
        <w:tc>
          <w:tcPr>
            <w:tcW w:w="1020" w:type="dxa"/>
          </w:tcPr>
          <w:p w:rsidR="005C2091" w:rsidRDefault="00A86293">
            <w:pPr>
              <w:pStyle w:val="CellColumn"/>
              <w:jc w:val="right"/>
            </w:pPr>
            <w:r>
              <w:rPr>
                <w:rFonts w:cs="Times New Roman"/>
              </w:rPr>
              <w:t>km2</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HCR</w:t>
            </w:r>
          </w:p>
        </w:tc>
        <w:tc>
          <w:tcPr>
            <w:tcW w:w="1020" w:type="dxa"/>
          </w:tcPr>
          <w:p w:rsidR="005C2091" w:rsidRDefault="00A86293">
            <w:pPr>
              <w:pStyle w:val="CellColumn"/>
              <w:jc w:val="right"/>
            </w:pPr>
            <w:r>
              <w:rPr>
                <w:rFonts w:cs="Times New Roman"/>
              </w:rPr>
              <w:t>62,4</w:t>
            </w:r>
          </w:p>
        </w:tc>
        <w:tc>
          <w:tcPr>
            <w:tcW w:w="1020" w:type="dxa"/>
          </w:tcPr>
          <w:p w:rsidR="005C2091" w:rsidRDefault="00A86293">
            <w:pPr>
              <w:pStyle w:val="CellColumn"/>
              <w:jc w:val="right"/>
            </w:pPr>
            <w:r>
              <w:rPr>
                <w:rFonts w:cs="Times New Roman"/>
              </w:rPr>
              <w:t>38,3</w:t>
            </w:r>
          </w:p>
        </w:tc>
      </w:tr>
      <w:tr w:rsidR="005C2091">
        <w:trPr>
          <w:jc w:val="center"/>
        </w:trPr>
        <w:tc>
          <w:tcPr>
            <w:tcW w:w="2551" w:type="dxa"/>
          </w:tcPr>
          <w:p w:rsidR="005C2091" w:rsidRDefault="00A86293">
            <w:pPr>
              <w:pStyle w:val="CellColumn"/>
              <w:jc w:val="left"/>
            </w:pPr>
            <w:r>
              <w:rPr>
                <w:rFonts w:cs="Times New Roman"/>
              </w:rPr>
              <w:t>Zagađenost minama i eksplozivnim sredstvima</w:t>
            </w:r>
          </w:p>
        </w:tc>
        <w:tc>
          <w:tcPr>
            <w:tcW w:w="2551" w:type="dxa"/>
          </w:tcPr>
          <w:p w:rsidR="005C2091" w:rsidRDefault="00A86293">
            <w:pPr>
              <w:pStyle w:val="CellColumn"/>
              <w:jc w:val="left"/>
            </w:pPr>
            <w:r>
              <w:rPr>
                <w:rFonts w:cs="Times New Roman"/>
              </w:rPr>
              <w:t>Pronalaženjem i uništavanjem mina i eksplozivnih sredstava povećava se razina opće sigurnosti i smanjuje zagađenost tla.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44.981</w:t>
            </w:r>
          </w:p>
        </w:tc>
        <w:tc>
          <w:tcPr>
            <w:tcW w:w="1020" w:type="dxa"/>
          </w:tcPr>
          <w:p w:rsidR="005C2091" w:rsidRDefault="00A86293">
            <w:pPr>
              <w:pStyle w:val="CellColumn"/>
              <w:jc w:val="right"/>
            </w:pPr>
            <w:r>
              <w:rPr>
                <w:rFonts w:cs="Times New Roman"/>
              </w:rPr>
              <w:t>HCR</w:t>
            </w:r>
          </w:p>
        </w:tc>
        <w:tc>
          <w:tcPr>
            <w:tcW w:w="1020" w:type="dxa"/>
          </w:tcPr>
          <w:p w:rsidR="005C2091" w:rsidRDefault="00A86293">
            <w:pPr>
              <w:pStyle w:val="CellColumn"/>
              <w:jc w:val="right"/>
            </w:pPr>
            <w:r>
              <w:rPr>
                <w:rFonts w:cs="Times New Roman"/>
              </w:rPr>
              <w:t>26.140</w:t>
            </w:r>
          </w:p>
        </w:tc>
        <w:tc>
          <w:tcPr>
            <w:tcW w:w="1020" w:type="dxa"/>
          </w:tcPr>
          <w:p w:rsidR="005C2091" w:rsidRDefault="00A86293">
            <w:pPr>
              <w:pStyle w:val="CellColumn"/>
              <w:jc w:val="right"/>
            </w:pPr>
            <w:r>
              <w:rPr>
                <w:rFonts w:cs="Times New Roman"/>
              </w:rPr>
              <w:t>42.300</w:t>
            </w:r>
          </w:p>
        </w:tc>
      </w:tr>
      <w:tr w:rsidR="005C2091">
        <w:trPr>
          <w:jc w:val="center"/>
        </w:trPr>
        <w:tc>
          <w:tcPr>
            <w:tcW w:w="2551" w:type="dxa"/>
          </w:tcPr>
          <w:p w:rsidR="005C2091" w:rsidRDefault="00A86293">
            <w:pPr>
              <w:pStyle w:val="CellColumn"/>
              <w:jc w:val="left"/>
            </w:pPr>
            <w:r>
              <w:rPr>
                <w:rFonts w:cs="Times New Roman"/>
              </w:rPr>
              <w:t>Veličina smanjenja minski sumnjive površine porovedbom općeg izvida dopunskog izvida i tehničkog izvida</w:t>
            </w:r>
          </w:p>
        </w:tc>
        <w:tc>
          <w:tcPr>
            <w:tcW w:w="2551" w:type="dxa"/>
          </w:tcPr>
          <w:p w:rsidR="005C2091" w:rsidRDefault="00A86293">
            <w:pPr>
              <w:pStyle w:val="CellColumn"/>
              <w:jc w:val="left"/>
            </w:pPr>
            <w:r>
              <w:rPr>
                <w:rFonts w:cs="Times New Roman"/>
              </w:rPr>
              <w:t>Isključenje površina iz minski sumnjivih područja općim izvidom znatno ubrzava i pojeftinjuje proces humanitarnog razminiranja.</w:t>
            </w:r>
          </w:p>
        </w:tc>
        <w:tc>
          <w:tcPr>
            <w:tcW w:w="1020" w:type="dxa"/>
          </w:tcPr>
          <w:p w:rsidR="005C2091" w:rsidRDefault="00A86293">
            <w:pPr>
              <w:pStyle w:val="CellColumn"/>
              <w:jc w:val="right"/>
            </w:pPr>
            <w:r>
              <w:rPr>
                <w:rFonts w:cs="Times New Roman"/>
              </w:rPr>
              <w:t>km2</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HCR</w:t>
            </w:r>
          </w:p>
        </w:tc>
        <w:tc>
          <w:tcPr>
            <w:tcW w:w="1020" w:type="dxa"/>
          </w:tcPr>
          <w:p w:rsidR="005C2091" w:rsidRDefault="00A86293">
            <w:pPr>
              <w:pStyle w:val="CellColumn"/>
              <w:jc w:val="right"/>
            </w:pPr>
            <w:r>
              <w:rPr>
                <w:rFonts w:cs="Times New Roman"/>
              </w:rPr>
              <w:t>24</w:t>
            </w:r>
          </w:p>
        </w:tc>
        <w:tc>
          <w:tcPr>
            <w:tcW w:w="1020" w:type="dxa"/>
          </w:tcPr>
          <w:p w:rsidR="005C2091" w:rsidRDefault="00A86293">
            <w:pPr>
              <w:pStyle w:val="CellColumn"/>
              <w:jc w:val="right"/>
            </w:pPr>
            <w:r>
              <w:rPr>
                <w:rFonts w:cs="Times New Roman"/>
              </w:rPr>
              <w:t>3,2</w:t>
            </w:r>
          </w:p>
        </w:tc>
      </w:tr>
      <w:tr w:rsidR="005C2091">
        <w:trPr>
          <w:jc w:val="center"/>
        </w:trPr>
        <w:tc>
          <w:tcPr>
            <w:tcW w:w="2551" w:type="dxa"/>
          </w:tcPr>
          <w:p w:rsidR="005C2091" w:rsidRDefault="00A86293">
            <w:pPr>
              <w:pStyle w:val="CellColumn"/>
              <w:jc w:val="left"/>
            </w:pPr>
            <w:r>
              <w:rPr>
                <w:rFonts w:cs="Times New Roman"/>
              </w:rPr>
              <w:t>Smanjenje minski sumnjive površine prioretetne skupine-poljoprivredne površine</w:t>
            </w:r>
          </w:p>
        </w:tc>
        <w:tc>
          <w:tcPr>
            <w:tcW w:w="2551" w:type="dxa"/>
          </w:tcPr>
          <w:p w:rsidR="005C2091" w:rsidRDefault="00A86293">
            <w:pPr>
              <w:pStyle w:val="CellColumn"/>
              <w:jc w:val="left"/>
            </w:pPr>
            <w:r>
              <w:rPr>
                <w:rFonts w:cs="Times New Roman"/>
              </w:rPr>
              <w:t>U cijelosti izvršenim razminiranjem oranica i općim izvidom u cilju isključenja istih iz minski sumnjivih, omogućit će se pokretanje poljoprivredne proizvodnje na područjima posebne državne skrbi i smanjiti mogućnost stradavanja lokalnog stanovništva-poljoprivrednika.</w:t>
            </w:r>
          </w:p>
        </w:tc>
        <w:tc>
          <w:tcPr>
            <w:tcW w:w="1020" w:type="dxa"/>
          </w:tcPr>
          <w:p w:rsidR="005C2091" w:rsidRDefault="00A86293">
            <w:pPr>
              <w:pStyle w:val="CellColumn"/>
              <w:jc w:val="right"/>
            </w:pPr>
            <w:r>
              <w:rPr>
                <w:rFonts w:cs="Times New Roman"/>
              </w:rPr>
              <w:t>km2</w:t>
            </w:r>
          </w:p>
        </w:tc>
        <w:tc>
          <w:tcPr>
            <w:tcW w:w="1020" w:type="dxa"/>
          </w:tcPr>
          <w:p w:rsidR="005C2091" w:rsidRDefault="00A86293">
            <w:pPr>
              <w:pStyle w:val="CellColumn"/>
              <w:jc w:val="right"/>
            </w:pPr>
            <w:r>
              <w:rPr>
                <w:rFonts w:cs="Times New Roman"/>
              </w:rPr>
              <w:t>60,4</w:t>
            </w:r>
          </w:p>
        </w:tc>
        <w:tc>
          <w:tcPr>
            <w:tcW w:w="1020" w:type="dxa"/>
          </w:tcPr>
          <w:p w:rsidR="005C2091" w:rsidRDefault="00A86293">
            <w:pPr>
              <w:pStyle w:val="CellColumn"/>
              <w:jc w:val="right"/>
            </w:pPr>
            <w:r>
              <w:rPr>
                <w:rFonts w:cs="Times New Roman"/>
              </w:rPr>
              <w:t>HCR</w:t>
            </w:r>
          </w:p>
        </w:tc>
        <w:tc>
          <w:tcPr>
            <w:tcW w:w="1020" w:type="dxa"/>
          </w:tcPr>
          <w:p w:rsidR="005C2091" w:rsidRDefault="00A86293">
            <w:pPr>
              <w:pStyle w:val="CellColumn"/>
              <w:jc w:val="right"/>
            </w:pPr>
            <w:r>
              <w:rPr>
                <w:rFonts w:cs="Times New Roman"/>
              </w:rPr>
              <w:t>24,4</w:t>
            </w:r>
          </w:p>
        </w:tc>
        <w:tc>
          <w:tcPr>
            <w:tcW w:w="1020" w:type="dxa"/>
          </w:tcPr>
          <w:p w:rsidR="005C2091" w:rsidRDefault="00A86293">
            <w:pPr>
              <w:pStyle w:val="CellColumn"/>
              <w:jc w:val="right"/>
            </w:pPr>
            <w:r>
              <w:rPr>
                <w:rFonts w:cs="Times New Roman"/>
              </w:rPr>
              <w:t>50,2</w:t>
            </w:r>
          </w:p>
        </w:tc>
      </w:tr>
      <w:tr w:rsidR="005C2091">
        <w:trPr>
          <w:jc w:val="center"/>
        </w:trPr>
        <w:tc>
          <w:tcPr>
            <w:tcW w:w="2551" w:type="dxa"/>
          </w:tcPr>
          <w:p w:rsidR="005C2091" w:rsidRDefault="00A86293">
            <w:pPr>
              <w:pStyle w:val="CellColumn"/>
              <w:jc w:val="left"/>
            </w:pPr>
            <w:r>
              <w:rPr>
                <w:rFonts w:cs="Times New Roman"/>
              </w:rPr>
              <w:lastRenderedPageBreak/>
              <w:t>Smanjenje minski sumnjive površine prioritetne skupine-zaštićena područja</w:t>
            </w:r>
          </w:p>
        </w:tc>
        <w:tc>
          <w:tcPr>
            <w:tcW w:w="2551" w:type="dxa"/>
          </w:tcPr>
          <w:p w:rsidR="005C2091" w:rsidRDefault="00A86293">
            <w:pPr>
              <w:pStyle w:val="CellColumn"/>
              <w:jc w:val="left"/>
            </w:pPr>
            <w:r>
              <w:rPr>
                <w:rFonts w:cs="Times New Roman"/>
              </w:rPr>
              <w:t>Razminiravanjem većeg dijela močvarnog područja unutar Parka prirode Kopački rit omogućit će se pristup staništima ptica, provođenje nadzora i uzimanje uoraka, te u slučaju pojave epidemije djelovanje sanitarnim ekipama.</w:t>
            </w:r>
          </w:p>
        </w:tc>
        <w:tc>
          <w:tcPr>
            <w:tcW w:w="1020" w:type="dxa"/>
          </w:tcPr>
          <w:p w:rsidR="005C2091" w:rsidRDefault="00A86293">
            <w:pPr>
              <w:pStyle w:val="CellColumn"/>
              <w:jc w:val="right"/>
            </w:pPr>
            <w:r>
              <w:rPr>
                <w:rFonts w:cs="Times New Roman"/>
              </w:rPr>
              <w:t>km2</w:t>
            </w:r>
          </w:p>
        </w:tc>
        <w:tc>
          <w:tcPr>
            <w:tcW w:w="1020" w:type="dxa"/>
          </w:tcPr>
          <w:p w:rsidR="005C2091" w:rsidRDefault="00A86293">
            <w:pPr>
              <w:pStyle w:val="CellColumn"/>
              <w:jc w:val="right"/>
            </w:pPr>
            <w:r>
              <w:rPr>
                <w:rFonts w:cs="Times New Roman"/>
              </w:rPr>
              <w:t>16,8</w:t>
            </w:r>
          </w:p>
        </w:tc>
        <w:tc>
          <w:tcPr>
            <w:tcW w:w="1020" w:type="dxa"/>
          </w:tcPr>
          <w:p w:rsidR="005C2091" w:rsidRDefault="00A86293">
            <w:pPr>
              <w:pStyle w:val="CellColumn"/>
              <w:jc w:val="right"/>
            </w:pPr>
            <w:r>
              <w:rPr>
                <w:rFonts w:cs="Times New Roman"/>
              </w:rPr>
              <w:t>HCR</w:t>
            </w:r>
          </w:p>
        </w:tc>
        <w:tc>
          <w:tcPr>
            <w:tcW w:w="1020" w:type="dxa"/>
          </w:tcPr>
          <w:p w:rsidR="005C2091" w:rsidRDefault="00A86293">
            <w:pPr>
              <w:pStyle w:val="CellColumn"/>
              <w:jc w:val="right"/>
            </w:pPr>
            <w:r>
              <w:rPr>
                <w:rFonts w:cs="Times New Roman"/>
              </w:rPr>
              <w:t>16</w:t>
            </w:r>
          </w:p>
        </w:tc>
        <w:tc>
          <w:tcPr>
            <w:tcW w:w="1020" w:type="dxa"/>
          </w:tcPr>
          <w:p w:rsidR="005C2091" w:rsidRDefault="00A86293">
            <w:pPr>
              <w:pStyle w:val="CellColumn"/>
              <w:jc w:val="right"/>
            </w:pPr>
            <w:r>
              <w:rPr>
                <w:rFonts w:cs="Times New Roman"/>
              </w:rPr>
              <w:t>16,7</w:t>
            </w:r>
          </w:p>
        </w:tc>
      </w:tr>
      <w:tr w:rsidR="005C2091">
        <w:trPr>
          <w:jc w:val="center"/>
        </w:trPr>
        <w:tc>
          <w:tcPr>
            <w:tcW w:w="2551" w:type="dxa"/>
          </w:tcPr>
          <w:p w:rsidR="005C2091" w:rsidRDefault="00A86293">
            <w:pPr>
              <w:pStyle w:val="CellColumn"/>
              <w:jc w:val="left"/>
            </w:pPr>
            <w:r>
              <w:rPr>
                <w:rFonts w:cs="Times New Roman"/>
              </w:rPr>
              <w:t>Broj minimalno izvršenih kontrola tabli koje ukazuju na opasnost od mina i ograda koje priječe ulazak u minski sumnjiva područja</w:t>
            </w:r>
          </w:p>
        </w:tc>
        <w:tc>
          <w:tcPr>
            <w:tcW w:w="2551" w:type="dxa"/>
          </w:tcPr>
          <w:p w:rsidR="005C2091" w:rsidRDefault="00A86293">
            <w:pPr>
              <w:pStyle w:val="CellColumn"/>
              <w:jc w:val="left"/>
            </w:pPr>
            <w:r>
              <w:rPr>
                <w:rFonts w:cs="Times New Roman"/>
              </w:rPr>
              <w:t>Kontrolom sustava obilježenosti smanjuje se mogućnost minskih incidenata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HCR</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1</w:t>
            </w:r>
          </w:p>
        </w:tc>
      </w:tr>
      <w:tr w:rsidR="005C2091">
        <w:trPr>
          <w:jc w:val="center"/>
        </w:trPr>
        <w:tc>
          <w:tcPr>
            <w:tcW w:w="2551" w:type="dxa"/>
          </w:tcPr>
          <w:p w:rsidR="005C2091" w:rsidRDefault="00A86293">
            <w:pPr>
              <w:pStyle w:val="CellColumn"/>
              <w:jc w:val="left"/>
            </w:pPr>
            <w:r>
              <w:rPr>
                <w:rFonts w:cs="Times New Roman"/>
              </w:rPr>
              <w:t>Broj minimalno dostavljenih zemljovida miniranosti s prikazom obilježenosti minski sumnjivih područja, županija</w:t>
            </w:r>
          </w:p>
        </w:tc>
        <w:tc>
          <w:tcPr>
            <w:tcW w:w="2551" w:type="dxa"/>
          </w:tcPr>
          <w:p w:rsidR="005C2091" w:rsidRDefault="00A86293">
            <w:pPr>
              <w:pStyle w:val="CellColumn"/>
              <w:jc w:val="left"/>
            </w:pPr>
            <w:r>
              <w:rPr>
                <w:rFonts w:cs="Times New Roman"/>
              </w:rPr>
              <w:t>Upoznavanjem stanovništva s položajem oznaka koje ukazuju na opasnost od mina i eksplozivnih sredstava povećava  se kvaliteta i svrhovitost obilježavanja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HCR</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r w:rsidR="005C2091">
        <w:trPr>
          <w:jc w:val="center"/>
        </w:trPr>
        <w:tc>
          <w:tcPr>
            <w:tcW w:w="2551" w:type="dxa"/>
          </w:tcPr>
          <w:p w:rsidR="005C2091" w:rsidRDefault="00A86293">
            <w:pPr>
              <w:pStyle w:val="CellColumn"/>
              <w:jc w:val="left"/>
            </w:pPr>
            <w:r>
              <w:rPr>
                <w:rFonts w:cs="Times New Roman"/>
              </w:rPr>
              <w:t>Broj izvršenih koordinacijskih sastanaka vezano uz edukaciju stanovništva o opasnosti od mina</w:t>
            </w:r>
          </w:p>
        </w:tc>
        <w:tc>
          <w:tcPr>
            <w:tcW w:w="2551" w:type="dxa"/>
          </w:tcPr>
          <w:p w:rsidR="005C2091" w:rsidRDefault="00A86293">
            <w:pPr>
              <w:pStyle w:val="CellColumn"/>
              <w:jc w:val="left"/>
            </w:pPr>
            <w:r>
              <w:rPr>
                <w:rFonts w:cs="Times New Roman"/>
              </w:rPr>
              <w:t>Informiranost svih subjekata koji učestvuju u edukaciji o opasnostima od mina doprinosi poboljšanju kvalitete edukacije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HCR</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2</w:t>
            </w:r>
          </w:p>
        </w:tc>
      </w:tr>
      <w:tr w:rsidR="005C2091">
        <w:trPr>
          <w:jc w:val="center"/>
        </w:trPr>
        <w:tc>
          <w:tcPr>
            <w:tcW w:w="2551" w:type="dxa"/>
          </w:tcPr>
          <w:p w:rsidR="005C2091" w:rsidRDefault="00A86293">
            <w:pPr>
              <w:pStyle w:val="CellColumn"/>
              <w:jc w:val="left"/>
            </w:pPr>
            <w:r>
              <w:rPr>
                <w:rFonts w:cs="Times New Roman"/>
              </w:rPr>
              <w:t>Broj projekata koji za cilj imaju podizanje svijesti o opasnostima od mina</w:t>
            </w:r>
          </w:p>
        </w:tc>
        <w:tc>
          <w:tcPr>
            <w:tcW w:w="2551" w:type="dxa"/>
          </w:tcPr>
          <w:p w:rsidR="005C2091" w:rsidRDefault="00A86293">
            <w:pPr>
              <w:pStyle w:val="CellColumn"/>
              <w:jc w:val="left"/>
            </w:pPr>
            <w:r>
              <w:rPr>
                <w:rFonts w:cs="Times New Roman"/>
              </w:rPr>
              <w:t>Povećanjem broja projekata prilagođenih različitima minski ugroženim skupinama građana ima za posljedicu smanjenje broja minskih incidenata i stradavanja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7</w:t>
            </w:r>
          </w:p>
        </w:tc>
        <w:tc>
          <w:tcPr>
            <w:tcW w:w="1020" w:type="dxa"/>
          </w:tcPr>
          <w:p w:rsidR="005C2091" w:rsidRDefault="00A86293">
            <w:pPr>
              <w:pStyle w:val="CellColumn"/>
              <w:jc w:val="right"/>
            </w:pPr>
            <w:r>
              <w:rPr>
                <w:rFonts w:cs="Times New Roman"/>
              </w:rPr>
              <w:t>HCR</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13</w:t>
            </w:r>
          </w:p>
        </w:tc>
      </w:tr>
      <w:tr w:rsidR="005C2091">
        <w:trPr>
          <w:jc w:val="center"/>
        </w:trPr>
        <w:tc>
          <w:tcPr>
            <w:tcW w:w="2551" w:type="dxa"/>
          </w:tcPr>
          <w:p w:rsidR="005C2091" w:rsidRDefault="00A86293">
            <w:pPr>
              <w:pStyle w:val="CellColumn"/>
              <w:jc w:val="left"/>
            </w:pPr>
            <w:r>
              <w:rPr>
                <w:rFonts w:cs="Times New Roman"/>
              </w:rPr>
              <w:t>Broj izvršenih koordinacijskih sastanaka vezano uz skrb, rehabilitaciju i ekonomsku reintegraciju svih žrtava mina</w:t>
            </w:r>
          </w:p>
        </w:tc>
        <w:tc>
          <w:tcPr>
            <w:tcW w:w="2551" w:type="dxa"/>
          </w:tcPr>
          <w:p w:rsidR="005C2091" w:rsidRDefault="00A86293">
            <w:pPr>
              <w:pStyle w:val="CellColumn"/>
              <w:jc w:val="left"/>
            </w:pPr>
            <w:r>
              <w:rPr>
                <w:rFonts w:cs="Times New Roman"/>
              </w:rPr>
              <w:t>Informiranost svih subjekata koji učestvuju u pomoći žrtvama mina doprinosi poboljšanju kvalitete pomoći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HCR</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Broj potpisanih sporazuma o suradnji na području protuminskog djelovanja</w:t>
            </w:r>
          </w:p>
        </w:tc>
        <w:tc>
          <w:tcPr>
            <w:tcW w:w="2551" w:type="dxa"/>
          </w:tcPr>
          <w:p w:rsidR="005C2091" w:rsidRDefault="00A86293">
            <w:pPr>
              <w:pStyle w:val="CellColumn"/>
              <w:jc w:val="left"/>
            </w:pPr>
            <w:r>
              <w:rPr>
                <w:rFonts w:cs="Times New Roman"/>
              </w:rPr>
              <w:t>Povećanjem broja zemalja s kojima se potpišu sporazumi jača se pozicija Republike Hrvatske na međunarodnom tržištu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HCR</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11</w:t>
            </w:r>
          </w:p>
        </w:tc>
      </w:tr>
    </w:tbl>
    <w:p w:rsidR="005C2091" w:rsidRDefault="005C2091">
      <w:pPr>
        <w:jc w:val="left"/>
      </w:pPr>
    </w:p>
    <w:p w:rsidR="005C2091" w:rsidRDefault="00A86293">
      <w:pPr>
        <w:pStyle w:val="Heading4"/>
      </w:pPr>
      <w:r>
        <w:t>A672007 RAZMINIRANJE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A672007-RAZMINIRANJE</w:t>
            </w:r>
          </w:p>
        </w:tc>
        <w:tc>
          <w:tcPr>
            <w:tcW w:w="2041" w:type="dxa"/>
          </w:tcPr>
          <w:p w:rsidR="005C2091" w:rsidRDefault="00A86293">
            <w:pPr>
              <w:pStyle w:val="CellColumn"/>
              <w:jc w:val="right"/>
            </w:pPr>
            <w:r>
              <w:rPr>
                <w:rFonts w:cs="Times New Roman"/>
              </w:rPr>
              <w:t>178.400.934</w:t>
            </w:r>
          </w:p>
        </w:tc>
        <w:tc>
          <w:tcPr>
            <w:tcW w:w="2041" w:type="dxa"/>
          </w:tcPr>
          <w:p w:rsidR="005C2091" w:rsidRDefault="00A86293">
            <w:pPr>
              <w:pStyle w:val="CellColumn"/>
              <w:jc w:val="right"/>
            </w:pPr>
            <w:r>
              <w:rPr>
                <w:rFonts w:cs="Times New Roman"/>
              </w:rPr>
              <w:t>162.280.000</w:t>
            </w:r>
          </w:p>
        </w:tc>
        <w:tc>
          <w:tcPr>
            <w:tcW w:w="2041" w:type="dxa"/>
          </w:tcPr>
          <w:p w:rsidR="005C2091" w:rsidRDefault="00A86293">
            <w:pPr>
              <w:pStyle w:val="CellColumn"/>
              <w:jc w:val="right"/>
            </w:pPr>
            <w:r>
              <w:rPr>
                <w:rFonts w:cs="Times New Roman"/>
              </w:rPr>
              <w:t>150.109.326</w:t>
            </w:r>
          </w:p>
        </w:tc>
        <w:tc>
          <w:tcPr>
            <w:tcW w:w="1224" w:type="dxa"/>
          </w:tcPr>
          <w:p w:rsidR="005C2091" w:rsidRDefault="00A86293">
            <w:pPr>
              <w:pStyle w:val="CellColumn"/>
              <w:jc w:val="right"/>
            </w:pPr>
            <w:r>
              <w:rPr>
                <w:rFonts w:cs="Times New Roman"/>
              </w:rPr>
              <w:t>92,5</w:t>
            </w:r>
          </w:p>
        </w:tc>
        <w:tc>
          <w:tcPr>
            <w:tcW w:w="1224" w:type="dxa"/>
          </w:tcPr>
          <w:p w:rsidR="005C2091" w:rsidRDefault="00A86293">
            <w:pPr>
              <w:pStyle w:val="CellColumn"/>
              <w:jc w:val="right"/>
            </w:pPr>
            <w:r>
              <w:rPr>
                <w:rFonts w:cs="Times New Roman"/>
              </w:rPr>
              <w:t>84,1</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w:t>
      </w:r>
      <w:r>
        <w:tab/>
        <w:t xml:space="preserve">Uredba o osnivanju Hrvatskog centra za razminiranje, NN 27/98, 32/98, 150/98, 58/00, 18/02, 10/04, 79/05, 81/08, 37/11, 70/12 - čl.3. </w:t>
      </w:r>
    </w:p>
    <w:p w:rsidR="005C2091" w:rsidRDefault="00A86293">
      <w:r>
        <w:t>•</w:t>
      </w:r>
      <w:r>
        <w:tab/>
        <w:t xml:space="preserve">Zakon o protuminskom djelovanju, NN 110/15, čl.7.st.1.-st.4. - Plan protuminskog djelovanja, Financijski plan; čl.7. st.5.-st.8. -  nabava usluga razminiranja </w:t>
      </w:r>
    </w:p>
    <w:p w:rsidR="005C2091" w:rsidRDefault="00A86293">
      <w:r>
        <w:t>•</w:t>
      </w:r>
      <w:r>
        <w:tab/>
        <w:t>Temeljni kolektivni ugovor za službenike i namještenike u javnim službama, NN br. 141/12, čl.65.-terenski dodatak</w:t>
      </w:r>
    </w:p>
    <w:p w:rsidR="005C2091" w:rsidRDefault="00A86293">
      <w:pPr>
        <w:pStyle w:val="Heading8"/>
        <w:jc w:val="left"/>
      </w:pPr>
      <w:r>
        <w:t>Opis aktivnosti</w:t>
      </w:r>
    </w:p>
    <w:p w:rsidR="005C2091" w:rsidRDefault="00A86293">
      <w:r>
        <w:t>Na poziciji A672007 Razminiranje izršeno je 150.109.326,00 kn  i to iz izvora 11-Opći prihodi i primici u iznosu 149.008.394,00 kn, iz izvora 52-Ostale pomoći u iznosu 350.476,00 kn, te izvora 61-Donacije 750.456,00 kn. Najveća stavka rashoda je za poslove razminiranja; ostvarena je u iznosu 144.543.977,00 kn.</w:t>
      </w:r>
    </w:p>
    <w:p w:rsidR="005C2091" w:rsidRDefault="00A86293">
      <w:pPr>
        <w:pStyle w:val="Heading4"/>
      </w:pPr>
      <w:r>
        <w:t>A672032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A672032-ADMINISTRACIJA I UPRAVLJANJE</w:t>
            </w:r>
          </w:p>
        </w:tc>
        <w:tc>
          <w:tcPr>
            <w:tcW w:w="2041" w:type="dxa"/>
          </w:tcPr>
          <w:p w:rsidR="005C2091" w:rsidRDefault="00A86293">
            <w:pPr>
              <w:pStyle w:val="CellColumn"/>
              <w:jc w:val="right"/>
            </w:pPr>
            <w:r>
              <w:rPr>
                <w:rFonts w:cs="Times New Roman"/>
              </w:rPr>
              <w:t>31.026.426</w:t>
            </w:r>
          </w:p>
        </w:tc>
        <w:tc>
          <w:tcPr>
            <w:tcW w:w="2041" w:type="dxa"/>
          </w:tcPr>
          <w:p w:rsidR="005C2091" w:rsidRDefault="00A86293">
            <w:pPr>
              <w:pStyle w:val="CellColumn"/>
              <w:jc w:val="right"/>
            </w:pPr>
            <w:r>
              <w:rPr>
                <w:rFonts w:cs="Times New Roman"/>
              </w:rPr>
              <w:t>32.515.000</w:t>
            </w:r>
          </w:p>
        </w:tc>
        <w:tc>
          <w:tcPr>
            <w:tcW w:w="2041" w:type="dxa"/>
          </w:tcPr>
          <w:p w:rsidR="005C2091" w:rsidRDefault="00A86293">
            <w:pPr>
              <w:pStyle w:val="CellColumn"/>
              <w:jc w:val="right"/>
            </w:pPr>
            <w:r>
              <w:rPr>
                <w:rFonts w:cs="Times New Roman"/>
              </w:rPr>
              <w:t>30.663.100</w:t>
            </w:r>
          </w:p>
        </w:tc>
        <w:tc>
          <w:tcPr>
            <w:tcW w:w="1224" w:type="dxa"/>
          </w:tcPr>
          <w:p w:rsidR="005C2091" w:rsidRDefault="00A86293">
            <w:pPr>
              <w:pStyle w:val="CellColumn"/>
              <w:jc w:val="right"/>
            </w:pPr>
            <w:r>
              <w:rPr>
                <w:rFonts w:cs="Times New Roman"/>
              </w:rPr>
              <w:t>94,3</w:t>
            </w:r>
          </w:p>
        </w:tc>
        <w:tc>
          <w:tcPr>
            <w:tcW w:w="1224" w:type="dxa"/>
          </w:tcPr>
          <w:p w:rsidR="005C2091" w:rsidRDefault="00A86293">
            <w:pPr>
              <w:pStyle w:val="CellColumn"/>
              <w:jc w:val="right"/>
            </w:pPr>
            <w:r>
              <w:rPr>
                <w:rFonts w:cs="Times New Roman"/>
              </w:rPr>
              <w:t>98,8</w:t>
            </w:r>
          </w:p>
        </w:tc>
      </w:tr>
    </w:tbl>
    <w:p w:rsidR="005C2091" w:rsidRDefault="005C2091">
      <w:pPr>
        <w:jc w:val="left"/>
      </w:pPr>
    </w:p>
    <w:p w:rsidR="005C2091" w:rsidRDefault="00A86293">
      <w:pPr>
        <w:pStyle w:val="Heading8"/>
        <w:jc w:val="left"/>
      </w:pPr>
      <w:r>
        <w:t>Zakonske i druge pravne osnove</w:t>
      </w:r>
    </w:p>
    <w:p w:rsidR="005C2091" w:rsidRDefault="00A86293">
      <w:r>
        <w:t>•</w:t>
      </w:r>
      <w:r>
        <w:tab/>
        <w:t xml:space="preserve">Uredba o osnivanju Hrvatskog centra za razminiranje, NN 27/98, 32/98, 150/98, 58/00, 18/02, 10/04, 79/05, 81/08, 37/11, 70/12 - čl.3.-djelatnosti HCR-a </w:t>
      </w:r>
    </w:p>
    <w:p w:rsidR="005C2091" w:rsidRDefault="00A86293">
      <w:r>
        <w:t>•</w:t>
      </w:r>
      <w:r>
        <w:tab/>
        <w:t xml:space="preserve">Temeljni kolektivni ugovor za službenike i namještenike u javnim službama, NN br. 141/12, čl. 51.-čl.55.-plaća, čl. 58.-čl.53.-ostala materijalna prava, čl.64.-dnevnica, čl.65.-terenski dodatak, čl.66.-čl.75.-ostala materijalna prava zaposlenika. </w:t>
      </w:r>
    </w:p>
    <w:p w:rsidR="005C2091" w:rsidRDefault="00A86293">
      <w:r>
        <w:t>•</w:t>
      </w:r>
      <w:r>
        <w:tab/>
        <w:t xml:space="preserve">Dodatak I i II Temeljnom kolektivnom ugovoru za službenike i namještenike u javnim službama, NN 141/12, NN 150/13 i 153/13-ispr., čl.3.-dnevnice u zemlji </w:t>
      </w:r>
    </w:p>
    <w:p w:rsidR="005C2091" w:rsidRDefault="00A86293">
      <w:r>
        <w:t>•</w:t>
      </w:r>
      <w:r>
        <w:tab/>
        <w:t xml:space="preserve">Kolektivni ugovor za javne službenike i namještenike Hrvatskog centra za razminiranje (NN 106/13), čl.12.-plaće, čl.13. i 14.-ostala materijalna prava; </w:t>
      </w:r>
    </w:p>
    <w:p w:rsidR="005C2091" w:rsidRDefault="00A86293">
      <w:r>
        <w:t>•</w:t>
      </w:r>
      <w:r>
        <w:tab/>
        <w:t xml:space="preserve">Zakon o osnovici plaće u javnim službama, NN 39/09, 124/09, čl.1. </w:t>
      </w:r>
    </w:p>
    <w:p w:rsidR="005C2091" w:rsidRDefault="00A86293">
      <w:r>
        <w:t>•</w:t>
      </w:r>
      <w:r>
        <w:tab/>
        <w:t xml:space="preserve">Zakon o proračunu NN 87/08 - 15/15 , čl. 21. </w:t>
      </w:r>
    </w:p>
    <w:p w:rsidR="005C2091" w:rsidRDefault="00A86293">
      <w:r>
        <w:t>•</w:t>
      </w:r>
      <w:r>
        <w:tab/>
        <w:t xml:space="preserve">Pravilnik o proračunskim klasifikcijama NN 26/10, čl.8. </w:t>
      </w:r>
    </w:p>
    <w:p w:rsidR="005C2091" w:rsidRDefault="00A86293">
      <w:r>
        <w:t>•</w:t>
      </w:r>
      <w:r>
        <w:tab/>
        <w:t>Zakon o protuminskom djelovanju, NN 110/15, čl.7.st.1.-st.4. Plan protuminskog djelovanja, Financijski plan</w:t>
      </w:r>
    </w:p>
    <w:p w:rsidR="005C2091" w:rsidRDefault="00A86293">
      <w:pPr>
        <w:pStyle w:val="Heading8"/>
        <w:jc w:val="left"/>
      </w:pPr>
      <w:r>
        <w:t>Opis aktivnosti</w:t>
      </w:r>
    </w:p>
    <w:p w:rsidR="005C2091" w:rsidRDefault="00A86293">
      <w:r>
        <w:t>Ostvarenje ciljeva poslovanja izvršeno je prema osiguranim sredstvima u Državnom proračunu za 2016. godinu. Nastavljeno je provođenje mjera racionalizacije poslovanja započetih u ranijim razdobljima.</w:t>
      </w:r>
    </w:p>
    <w:p w:rsidR="000A6D36" w:rsidRDefault="000A6D36"/>
    <w:p w:rsidR="000A6D36" w:rsidRDefault="000A6D36"/>
    <w:p w:rsidR="000A6D36" w:rsidRDefault="000A6D36"/>
    <w:p w:rsidR="000A6D36" w:rsidRDefault="000A6D36"/>
    <w:p w:rsidR="000A6D36" w:rsidRDefault="000A6D36"/>
    <w:p w:rsidR="005C2091" w:rsidRDefault="00A86293">
      <w:pPr>
        <w:pStyle w:val="Heading4"/>
      </w:pPr>
      <w:r>
        <w:lastRenderedPageBreak/>
        <w:t>T672036 IPA 2011 – RAZMINIRANJE U PODRUČJIMA POGOĐENIM POPLAVAMA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T672036-IPA 2011 – RAZMINIRANJE U PODRUČJIMA POGOĐENIM POPLAVAMA</w:t>
            </w:r>
          </w:p>
        </w:tc>
        <w:tc>
          <w:tcPr>
            <w:tcW w:w="2041" w:type="dxa"/>
          </w:tcPr>
          <w:p w:rsidR="005C2091" w:rsidRDefault="00A86293">
            <w:pPr>
              <w:pStyle w:val="CellColumn"/>
              <w:jc w:val="right"/>
            </w:pPr>
            <w:r>
              <w:rPr>
                <w:rFonts w:cs="Times New Roman"/>
              </w:rPr>
              <w:t>32.472.771</w:t>
            </w:r>
          </w:p>
        </w:tc>
        <w:tc>
          <w:tcPr>
            <w:tcW w:w="2041" w:type="dxa"/>
          </w:tcPr>
          <w:p w:rsidR="005C2091" w:rsidRDefault="00A86293">
            <w:pPr>
              <w:pStyle w:val="CellColumn"/>
              <w:jc w:val="right"/>
            </w:pPr>
            <w:r>
              <w:rPr>
                <w:rFonts w:cs="Times New Roman"/>
              </w:rPr>
              <w:t>53.000</w:t>
            </w:r>
          </w:p>
        </w:tc>
        <w:tc>
          <w:tcPr>
            <w:tcW w:w="2041" w:type="dxa"/>
          </w:tcPr>
          <w:p w:rsidR="005C2091" w:rsidRDefault="00A86293">
            <w:pPr>
              <w:pStyle w:val="CellColumn"/>
              <w:jc w:val="right"/>
            </w:pPr>
            <w:r>
              <w:rPr>
                <w:rFonts w:cs="Times New Roman"/>
              </w:rPr>
              <w:t>45.500</w:t>
            </w:r>
          </w:p>
        </w:tc>
        <w:tc>
          <w:tcPr>
            <w:tcW w:w="1224" w:type="dxa"/>
          </w:tcPr>
          <w:p w:rsidR="005C2091" w:rsidRDefault="00A86293">
            <w:pPr>
              <w:pStyle w:val="CellColumn"/>
              <w:jc w:val="right"/>
            </w:pPr>
            <w:r>
              <w:rPr>
                <w:rFonts w:cs="Times New Roman"/>
              </w:rPr>
              <w:t>85,8</w:t>
            </w:r>
          </w:p>
        </w:tc>
        <w:tc>
          <w:tcPr>
            <w:tcW w:w="1224" w:type="dxa"/>
          </w:tcPr>
          <w:p w:rsidR="005C2091" w:rsidRDefault="00A86293">
            <w:pPr>
              <w:pStyle w:val="CellColumn"/>
              <w:jc w:val="right"/>
            </w:pPr>
            <w:r>
              <w:rPr>
                <w:rFonts w:cs="Times New Roman"/>
              </w:rPr>
              <w:t>0,1</w:t>
            </w:r>
          </w:p>
        </w:tc>
      </w:tr>
    </w:tbl>
    <w:p w:rsidR="005C2091" w:rsidRDefault="005C2091">
      <w:pPr>
        <w:jc w:val="left"/>
      </w:pPr>
    </w:p>
    <w:p w:rsidR="005C2091" w:rsidRDefault="00A86293">
      <w:pPr>
        <w:pStyle w:val="Heading8"/>
        <w:jc w:val="left"/>
      </w:pPr>
      <w:r>
        <w:t>Zakonske i druge pravne osnove</w:t>
      </w:r>
    </w:p>
    <w:p w:rsidR="005C2091" w:rsidRDefault="00A86293">
      <w:r>
        <w:t>•</w:t>
      </w:r>
      <w:r>
        <w:tab/>
        <w:t xml:space="preserve">Zakon o potvrđivanju Okvirnog sporazuma između Vlade RH i Komisije Europskih zajednica o pravilima za suradnju u svezi financijske pomoći Europske zajednice Republici Hrvatskoj u provedbi pomoći u okviru Instrumenta pretpristupne pomoći (IPA).  </w:t>
      </w:r>
    </w:p>
    <w:p w:rsidR="005C2091" w:rsidRDefault="00A86293">
      <w:r>
        <w:t>•</w:t>
      </w:r>
      <w:r>
        <w:tab/>
        <w:t xml:space="preserve">Uredba o objavi Sporazuma o financiranju između Vlade RH i EK u vezi s Nacionalnim programom za Hrvatsku u okviru Programa IPA – komponenta Pomoć u tranziciji i jačanje institucija za 2011. godinu – 1. dio. </w:t>
      </w:r>
    </w:p>
    <w:p w:rsidR="005C2091" w:rsidRDefault="00A86293">
      <w:r>
        <w:t>•</w:t>
      </w:r>
      <w:r>
        <w:tab/>
        <w:t xml:space="preserve">Sporazum o financiranju Vlade RH i EK u vezi s Nacionalnim programom za Hrvatsku u okviru Programa IPA – komponenta Pomoć u tranziciji i jačanje institucija za 2011. godinu; točka 4. Financiranje (b) trošak nacionalnih struktura i tijela navedenih u Dodatku B snosi državan korisnica;  </w:t>
      </w:r>
    </w:p>
    <w:p w:rsidR="005C2091" w:rsidRDefault="00A86293">
      <w:r>
        <w:t>•</w:t>
      </w:r>
      <w:r>
        <w:tab/>
        <w:t xml:space="preserve">Uredba o izmjeni Uredbe o objavi Sporazuma o financiranju između Vlade RH i EK u vezi s Nacionalnim programom za Hrvatsku u okviru Programa IPA – komponenta Pomoć u tranziciji i jačanje institucija za 2011. godinu – 1. dio, 2. dio. </w:t>
      </w:r>
    </w:p>
    <w:p w:rsidR="005C2091" w:rsidRDefault="00A86293">
      <w:r>
        <w:t>•</w:t>
      </w:r>
      <w:r>
        <w:tab/>
        <w:t xml:space="preserve">Odluka o proglašenju Zakona o potvrđivanju Sporazuma o financiranju između Vlade RH i EK u vezi s Nacionalnim programom za Hrvatsku u okviru Programa IPA – komponenta Pomoć u tranziciji i jačanje institucija za 2011. godinu – 3. dio. </w:t>
      </w:r>
    </w:p>
    <w:p w:rsidR="005C2091" w:rsidRDefault="00A86293">
      <w:r>
        <w:t>•</w:t>
      </w:r>
      <w:r>
        <w:tab/>
        <w:t xml:space="preserve">Dodatak A – Nacionalni program za Hrvatsku iz programa IPA – pomoć u tranziciji i jačanje institucija za 2011. godinu- 1. dio i 2. dio;  </w:t>
      </w:r>
    </w:p>
    <w:p w:rsidR="005C2091" w:rsidRDefault="00A86293">
      <w:r>
        <w:t>•</w:t>
      </w:r>
      <w:r>
        <w:tab/>
        <w:t xml:space="preserve">Dodatak br. 1 Sporazuma o financiranju između Vlade RH i EK u vezi s Nacionalnim programom za Hrvatsku u okviru programa IPA – komponenta Pomoć u tranziciji i jačanje institucija za 2011. g. – 3. dio; 2.c  Opis: Sektor 1.: Pravosuđe i unutarnji poslovi i temeljna prava; Demokracija i ljudska prava – Projekt: Program razminiranja u Vukovarsko-srijemskoj županiji </w:t>
      </w:r>
    </w:p>
    <w:p w:rsidR="005C2091" w:rsidRDefault="00A86293">
      <w:r>
        <w:t>•</w:t>
      </w:r>
      <w:r>
        <w:tab/>
        <w:t>Zakon o protuminskom djelovanju, NN 110/15, čl.7.st.1.-st.4. Plan protuminskog djelovanja, Financijski plan; čl.7. st.5-st.8. - nabava usluga razminiranja</w:t>
      </w:r>
    </w:p>
    <w:p w:rsidR="005C2091" w:rsidRDefault="00A86293">
      <w:pPr>
        <w:pStyle w:val="Heading8"/>
        <w:jc w:val="left"/>
      </w:pPr>
      <w:r>
        <w:t>Opis aktivnosti</w:t>
      </w:r>
    </w:p>
    <w:p w:rsidR="005C2091" w:rsidRDefault="00A86293">
      <w:r>
        <w:t>U okviru ove aktivnosti započeto je 2015. godine kroz dva Grant ugovora razminiranje inundacijskog pojasa rijeke Drave u Osječko-baranjskoj županiji, te poplavljenih područja u Vukovarsko-srijemskoj županiji. Projektne aktivnosti završene su 2015. Godine. Tijekom 2016. godine ostvareni su rashodi u iznosu 45.500,00 kn (za usluge revizije i reprezentaciju).</w:t>
      </w:r>
    </w:p>
    <w:p w:rsidR="000A6D36" w:rsidRDefault="000A6D36"/>
    <w:p w:rsidR="000A6D36" w:rsidRDefault="000A6D36"/>
    <w:p w:rsidR="005C2091" w:rsidRDefault="00A86293">
      <w:pPr>
        <w:pStyle w:val="Heading4"/>
      </w:pPr>
      <w:r>
        <w:lastRenderedPageBreak/>
        <w:t>T672038 DE-MINE HU-HR II  2014.-2020. - UKLANJANJE EKSPOLOZIVNIH OSTATAKA RATA S PODRUČJA UZ HRVATSKO-MAĐARSKU GRANICU</w:t>
      </w:r>
    </w:p>
    <w:tbl>
      <w:tblPr>
        <w:tblStyle w:val="StilTablice"/>
        <w:tblW w:w="10206" w:type="dxa"/>
        <w:jc w:val="center"/>
        <w:tblLook w:val="04A0" w:firstRow="1" w:lastRow="0" w:firstColumn="1" w:lastColumn="0" w:noHBand="0" w:noVBand="1"/>
      </w:tblPr>
      <w:tblGrid>
        <w:gridCol w:w="1703"/>
        <w:gridCol w:w="2019"/>
        <w:gridCol w:w="2022"/>
        <w:gridCol w:w="2022"/>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T672038-DE-MINE HU-HR II  2014.-2020. - UKLANJANJE EKSPOLOZIVNIH OSTATAKA RATA S PODRUČJA UZ HRVATSKO-MAĐARSKU GRANICU</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13.821.000</w:t>
            </w:r>
          </w:p>
        </w:tc>
        <w:tc>
          <w:tcPr>
            <w:tcW w:w="2041" w:type="dxa"/>
          </w:tcPr>
          <w:p w:rsidR="005C2091" w:rsidRDefault="00A86293">
            <w:pPr>
              <w:pStyle w:val="CellColumn"/>
              <w:jc w:val="right"/>
            </w:pPr>
            <w:r>
              <w:rPr>
                <w:rFonts w:cs="Times New Roman"/>
              </w:rPr>
              <w:t>12.612.990</w:t>
            </w:r>
          </w:p>
        </w:tc>
        <w:tc>
          <w:tcPr>
            <w:tcW w:w="1224" w:type="dxa"/>
          </w:tcPr>
          <w:p w:rsidR="005C2091" w:rsidRDefault="00A86293">
            <w:pPr>
              <w:pStyle w:val="CellColumn"/>
              <w:jc w:val="right"/>
            </w:pPr>
            <w:r>
              <w:rPr>
                <w:rFonts w:cs="Times New Roman"/>
              </w:rPr>
              <w:t>91,3</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w:t>
      </w:r>
      <w:r>
        <w:tab/>
        <w:t xml:space="preserve">Zakon o uspostavi institucionalnog okvira za provedbu europskih strukturnih i investicijskih fondova u RH u financijskom razdoblju 2014. - 2020. - čl. 1., 2., 4. st. (1), (2) 2. j), čl. 5., 6. </w:t>
      </w:r>
    </w:p>
    <w:p w:rsidR="005C2091" w:rsidRDefault="00A86293">
      <w:r>
        <w:t>•</w:t>
      </w:r>
      <w:r>
        <w:tab/>
        <w:t>Zakon o protuminskom djelovanju, NN 110/15, čl.7.st.1.-st.4. Plan protuminskog djelovanja, Financijski plan; čl.7. st.5-st.8. -  nabava usluga razminiranja</w:t>
      </w:r>
    </w:p>
    <w:p w:rsidR="005C2091" w:rsidRDefault="00A86293">
      <w:pPr>
        <w:pStyle w:val="Heading8"/>
        <w:jc w:val="left"/>
      </w:pPr>
      <w:r>
        <w:t>Opis aktivnosti</w:t>
      </w:r>
    </w:p>
    <w:p w:rsidR="005C2091" w:rsidRDefault="00A86293">
      <w:r>
        <w:t xml:space="preserve">Tijekom 2016. godine započet je projekt  DE-MINE HU-HR II 2014.-2020: „Uklanjanje eksplozivnih ostataka rata s područja uz hrvatsko-mađarsku granicu“. </w:t>
      </w:r>
    </w:p>
    <w:p w:rsidR="005C2091" w:rsidRDefault="00A86293">
      <w:r>
        <w:t>Vodeći partner je Hrvatski centar za razminiranje, a projektni partneri s mađarske strane su policija pokrajine Baranya te Nacionalni park Drava-Dunav iz Mađarske. Unutar ukupnog proračuna koji iznosi 3.529.399,70 EUR za aktivnosti koje provodi Hrvatski centar za razminiranje odobreno je 1.789.181,74 EUR.U 2016. godini u okviru ovog projekta utrošeno je 12.612.990,00 kn, od toga 10.591.963,00 kn iz Izvora 563-Europski fond za regionalni razvoj, te 2.021.027,00 kn iz Izvora 12-Sredstva učešća za pomoći. Najveća stavka rashoda je za poslove razminiranja u iznosu 11.925.712,04 kn.</w:t>
      </w:r>
    </w:p>
    <w:p w:rsidR="000A6D36" w:rsidRDefault="000A6D36"/>
    <w:p w:rsidR="005C2091" w:rsidRDefault="00A86293">
      <w:pPr>
        <w:pStyle w:val="Heading2"/>
      </w:pPr>
      <w:r>
        <w:t>04040 Agencija za prostore ugrožene eksplozivnom atmosferom</w:t>
      </w:r>
    </w:p>
    <w:p w:rsidR="005C2091" w:rsidRDefault="00A86293">
      <w:r>
        <w:t xml:space="preserve">Agencija za prostore ugrožene eksplozivnom atmosferom (Ex-Agencija) je javna ustanova, osnovana Uredbom Vlade Republike Hrvatske 2002. godine sa ciljem osiguranja sigurnosti radnika u prostorima ugroženim eksplozivnom atmosferom kao i zaštite okoliša od eksplozivnih atmosfera. Agencija obavlja stručne poslove koji se odnose na tehničko nadgledanje postrojenja ugroženih eksplozivnom atmosferom i aktivnosti vezanih uz te prostore, pripremu stručnih mišljenja vezanih uz primjenu propisa na postrojenja i na potvrđivanje opreme namijenjene za rad u prostorima ugroženim eksplozivnom atmosferom, ispitivanje i certifikaciju protueksplozijski zaštićene opreme (ATEX opreme), certifikaciju eksplozivnih tvari (eksplozivi za civilnu uporabu i pirotehnička sredstva), certifikaciju sustava upravljanja te edukaciju stručnih djelatnika iz područja protueksplozijske zaštite. Ex-Agencija prati međunarodnu normizaciju na području protueksplozijske zaštite, vodi hrvatski tehnički odbor HZN/TO E 31: „Eksplozivne atmosfere“ te pruža stručnu potporu resornim ministarstvima u ovom području. </w:t>
      </w:r>
    </w:p>
    <w:p w:rsidR="005C2091" w:rsidRDefault="00A86293">
      <w:r>
        <w:t>Ukupno planirani rashodi za 2016. godinu iznose 16.662.600 kn, a financirani su iz Izvora 11 –  Opći prihodi i primici planirani u iznosu 13.833.600 kn i Izvora 31 – Vlastiti prihodi planirani u iznosu od 2.829.000 kn. Izvršenje plana za 2016. g. je bilo 94,5%.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04040-Agencija za prostore ugrožene eksplozivnom atmosferom</w:t>
            </w:r>
          </w:p>
        </w:tc>
        <w:tc>
          <w:tcPr>
            <w:tcW w:w="2041" w:type="dxa"/>
            <w:vAlign w:val="top"/>
          </w:tcPr>
          <w:p w:rsidR="005C2091" w:rsidRDefault="00A86293">
            <w:pPr>
              <w:pStyle w:val="CellColumn"/>
              <w:jc w:val="right"/>
            </w:pPr>
            <w:r>
              <w:rPr>
                <w:rFonts w:cs="Times New Roman"/>
              </w:rPr>
              <w:t>16.137.761</w:t>
            </w:r>
          </w:p>
        </w:tc>
        <w:tc>
          <w:tcPr>
            <w:tcW w:w="2041" w:type="dxa"/>
            <w:vAlign w:val="top"/>
          </w:tcPr>
          <w:p w:rsidR="005C2091" w:rsidRDefault="00A86293">
            <w:pPr>
              <w:pStyle w:val="CellColumn"/>
              <w:jc w:val="right"/>
            </w:pPr>
            <w:r>
              <w:rPr>
                <w:rFonts w:cs="Times New Roman"/>
              </w:rPr>
              <w:t>16.662.600</w:t>
            </w:r>
          </w:p>
        </w:tc>
        <w:tc>
          <w:tcPr>
            <w:tcW w:w="2041" w:type="dxa"/>
            <w:vAlign w:val="top"/>
          </w:tcPr>
          <w:p w:rsidR="005C2091" w:rsidRDefault="00A86293">
            <w:pPr>
              <w:pStyle w:val="CellColumn"/>
              <w:jc w:val="right"/>
            </w:pPr>
            <w:r>
              <w:rPr>
                <w:rFonts w:cs="Times New Roman"/>
              </w:rPr>
              <w:t>15.753.376</w:t>
            </w:r>
          </w:p>
        </w:tc>
        <w:tc>
          <w:tcPr>
            <w:tcW w:w="1224" w:type="dxa"/>
            <w:vAlign w:val="top"/>
          </w:tcPr>
          <w:p w:rsidR="005C2091" w:rsidRDefault="00A86293">
            <w:pPr>
              <w:pStyle w:val="CellColumn"/>
              <w:jc w:val="right"/>
            </w:pPr>
            <w:r>
              <w:rPr>
                <w:rFonts w:cs="Times New Roman"/>
              </w:rPr>
              <w:t>94,5</w:t>
            </w:r>
          </w:p>
        </w:tc>
        <w:tc>
          <w:tcPr>
            <w:tcW w:w="1224" w:type="dxa"/>
            <w:vAlign w:val="top"/>
          </w:tcPr>
          <w:p w:rsidR="005C2091" w:rsidRDefault="00A86293">
            <w:pPr>
              <w:pStyle w:val="CellColumn"/>
              <w:jc w:val="right"/>
            </w:pPr>
            <w:r>
              <w:rPr>
                <w:rFonts w:cs="Times New Roman"/>
              </w:rPr>
              <w:t>97,6</w:t>
            </w:r>
          </w:p>
        </w:tc>
      </w:tr>
      <w:tr w:rsidR="005C2091">
        <w:trPr>
          <w:jc w:val="center"/>
        </w:trPr>
        <w:tc>
          <w:tcPr>
            <w:tcW w:w="1632" w:type="dxa"/>
          </w:tcPr>
          <w:p w:rsidR="005C2091" w:rsidRDefault="00A86293">
            <w:pPr>
              <w:jc w:val="left"/>
            </w:pPr>
            <w:r>
              <w:t>2601-JAVNI RED, SIGURNOST I UPRAVNI POSLOVI</w:t>
            </w:r>
          </w:p>
        </w:tc>
        <w:tc>
          <w:tcPr>
            <w:tcW w:w="2041" w:type="dxa"/>
          </w:tcPr>
          <w:p w:rsidR="005C2091" w:rsidRDefault="00A86293">
            <w:pPr>
              <w:jc w:val="right"/>
            </w:pPr>
            <w:r>
              <w:t>16.137.761</w:t>
            </w:r>
          </w:p>
        </w:tc>
        <w:tc>
          <w:tcPr>
            <w:tcW w:w="2041" w:type="dxa"/>
          </w:tcPr>
          <w:p w:rsidR="005C2091" w:rsidRDefault="00A86293">
            <w:pPr>
              <w:jc w:val="right"/>
            </w:pPr>
            <w:r>
              <w:t>16.662.600</w:t>
            </w:r>
          </w:p>
        </w:tc>
        <w:tc>
          <w:tcPr>
            <w:tcW w:w="2041" w:type="dxa"/>
          </w:tcPr>
          <w:p w:rsidR="005C2091" w:rsidRDefault="00A86293">
            <w:pPr>
              <w:jc w:val="right"/>
            </w:pPr>
            <w:r>
              <w:t>15.753.376</w:t>
            </w:r>
          </w:p>
        </w:tc>
        <w:tc>
          <w:tcPr>
            <w:tcW w:w="1224" w:type="dxa"/>
          </w:tcPr>
          <w:p w:rsidR="005C2091" w:rsidRDefault="00A86293">
            <w:pPr>
              <w:jc w:val="right"/>
            </w:pPr>
            <w:r>
              <w:t>94,5</w:t>
            </w:r>
          </w:p>
        </w:tc>
        <w:tc>
          <w:tcPr>
            <w:tcW w:w="1224" w:type="dxa"/>
          </w:tcPr>
          <w:p w:rsidR="005C2091" w:rsidRDefault="00A86293">
            <w:pPr>
              <w:jc w:val="right"/>
            </w:pPr>
            <w:r>
              <w:t>97,6</w:t>
            </w:r>
          </w:p>
        </w:tc>
      </w:tr>
    </w:tbl>
    <w:p w:rsidR="005C2091" w:rsidRDefault="005C2091">
      <w:pPr>
        <w:jc w:val="left"/>
      </w:pPr>
    </w:p>
    <w:p w:rsidR="005C2091" w:rsidRDefault="00A86293">
      <w:pPr>
        <w:pStyle w:val="Heading3"/>
      </w:pPr>
      <w:r>
        <w:rPr>
          <w:rFonts w:cs="Times New Roman"/>
        </w:rPr>
        <w:t>2601 JAVNI RED, SIGURNOST I UPRAVNI POSLOVI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2601-JAVNI RED, SIGURNOST I UPRAVNI POSLOVI</w:t>
            </w:r>
          </w:p>
        </w:tc>
        <w:tc>
          <w:tcPr>
            <w:tcW w:w="2041" w:type="dxa"/>
          </w:tcPr>
          <w:p w:rsidR="005C2091" w:rsidRDefault="00A86293">
            <w:pPr>
              <w:pStyle w:val="CellColumn"/>
              <w:jc w:val="right"/>
            </w:pPr>
            <w:r>
              <w:rPr>
                <w:rFonts w:cs="Times New Roman"/>
              </w:rPr>
              <w:t>16.137.761</w:t>
            </w:r>
          </w:p>
        </w:tc>
        <w:tc>
          <w:tcPr>
            <w:tcW w:w="2041" w:type="dxa"/>
          </w:tcPr>
          <w:p w:rsidR="005C2091" w:rsidRDefault="00A86293">
            <w:pPr>
              <w:pStyle w:val="CellColumn"/>
              <w:jc w:val="right"/>
            </w:pPr>
            <w:r>
              <w:rPr>
                <w:rFonts w:cs="Times New Roman"/>
              </w:rPr>
              <w:t>16.662.600</w:t>
            </w:r>
          </w:p>
        </w:tc>
        <w:tc>
          <w:tcPr>
            <w:tcW w:w="2041" w:type="dxa"/>
          </w:tcPr>
          <w:p w:rsidR="005C2091" w:rsidRDefault="00A86293">
            <w:pPr>
              <w:pStyle w:val="CellColumn"/>
              <w:jc w:val="right"/>
            </w:pPr>
            <w:r>
              <w:rPr>
                <w:rFonts w:cs="Times New Roman"/>
              </w:rPr>
              <w:t>15.753.376</w:t>
            </w:r>
          </w:p>
        </w:tc>
        <w:tc>
          <w:tcPr>
            <w:tcW w:w="1224" w:type="dxa"/>
          </w:tcPr>
          <w:p w:rsidR="005C2091" w:rsidRDefault="00A86293">
            <w:pPr>
              <w:pStyle w:val="CellColumn"/>
              <w:jc w:val="right"/>
            </w:pPr>
            <w:r>
              <w:rPr>
                <w:rFonts w:cs="Times New Roman"/>
              </w:rPr>
              <w:t>94,5</w:t>
            </w:r>
          </w:p>
        </w:tc>
        <w:tc>
          <w:tcPr>
            <w:tcW w:w="1224" w:type="dxa"/>
          </w:tcPr>
          <w:p w:rsidR="005C2091" w:rsidRDefault="00A86293">
            <w:pPr>
              <w:pStyle w:val="CellColumn"/>
              <w:jc w:val="right"/>
            </w:pPr>
            <w:r>
              <w:rPr>
                <w:rFonts w:cs="Times New Roman"/>
              </w:rPr>
              <w:t>97,6</w:t>
            </w:r>
          </w:p>
        </w:tc>
      </w:tr>
    </w:tbl>
    <w:p w:rsidR="005C2091" w:rsidRDefault="005C2091">
      <w:pPr>
        <w:jc w:val="left"/>
      </w:pPr>
    </w:p>
    <w:p w:rsidR="005C2091" w:rsidRDefault="00A86293">
      <w:r>
        <w:t>Hrvatska ima značajna industrijska postrojenja (rafinerije nafte, naftovod, platforme za eksploataciju prirodnog plina, mreža plinovoda, postaje za istakanje goriva u vozila, farmaceutska industrija, kemijska industrija, bioplinska postrojenja, itd.) u kojim su prisutni zapaljivi mediji, plinovi, pare, maglice ili prašine koji u smjesi sa zrakom mogu eksplodirati i time ugroziti ljudske živote, nanijeti materijalnu štetu objektima i okolišu. Stoga je od presudne važnosti u takvim postrojenjima imati visoku razinu sigurnosti što se može postići samo visokom razinom mjera protueksplozijske zaštite. Obveza je poslodavca da osigura provedbu mjera protueksplozijske zaštite u svome postrojenju i time omogući siguran rad svojim zaposlenicima. Kako i u drugim segmentima poslovanja, tako i u području protueksplozijske zaštite, nadzor nad propisanim mjerama jedan je od ključnih elementa u osiguranju cilja - sigurnosti u hrvatskim postrojenjima. Stoga je Vlada RH osnovala agenciju da stručnim nadgledanjem provjerava stanje protueksplozijske zaštite u postrojenjima i na taj način pruži tehničku potporu mjerodavnim inspekcijama u obavljanju njihova inspekcijskog posla. Protueksplozijski zaštićena oprema, eksplozivi za civilnu uporabu i pirotehnička sredstva mogu se stavljati na tržište samo nakon provedenog postupka ispitivanja i ocjene sukladnosti. U većini tih postupaka mora biti uključeno tijelo za ocjenu sukladnosti koje mora biti ovlašteno od nadležnog ministarstva i prijavljeno Europskoj komisiji za te poslove budući da ti poslovi pripadaju harmoniziranom područuju te hrvatska regulativa mora biti usklađena s europskom. Ex-Agencija je prijavljeno europsko tijelo za ocjenu sukladnosti.</w:t>
      </w:r>
    </w:p>
    <w:p w:rsidR="005C2091" w:rsidRDefault="00A86293">
      <w:pPr>
        <w:pStyle w:val="Heading8"/>
        <w:jc w:val="left"/>
      </w:pPr>
      <w:r>
        <w:t>Cilj 1. Osigurati potrebnu razinu sigurnosti ljudi, imovine i okoliša s naslova opasnosti od eksplozivne atmosfere</w:t>
      </w:r>
    </w:p>
    <w:p w:rsidR="005C2091" w:rsidRDefault="00A86293">
      <w:pPr>
        <w:pStyle w:val="Heading8"/>
        <w:jc w:val="left"/>
      </w:pPr>
      <w:r>
        <w:t>Opis provedbe cilja programa</w:t>
      </w:r>
    </w:p>
    <w:p w:rsidR="005C2091" w:rsidRDefault="00A86293">
      <w:r>
        <w:t xml:space="preserve">U industrijskim postrojenjima u kojim je prisutna opasnost od eksplozivne atmosfere, a time ugrožena sigurnost zaposlenika, imovine i okoliša provodi se tehničko nadgledanje od strane Ex-Agencije. Tehničko nadgledanje obuhvaća pregled i ocjenu dokumentacije na temelju koje se izrađuje postrojenje s posebnom opremom, pregled i ocjenu postrojenja prije puštanja u rad, nadgledanje posebne opreme u uporabi kod korisnika (ispravnost protueksplozijske zaštite, održavanje i dr.), a obavlja se kao osnovno, redovito, kontrolno ili izvanredno. Pri tehničkom nadgledanju Ex-Agencija provjerava da je poslodavac ispunio minimalno zahtjeve za siguran rad posloprimca s naslova opasnosti od eksplozije a time se posredno osigurava i imovina i okoliš. Redovito tehničko </w:t>
      </w:r>
      <w:r>
        <w:lastRenderedPageBreak/>
        <w:t xml:space="preserve">nadgledanje se provodi prije prvog puštanja postrojenja u rad, periodički svake tri godine ili nakon pretrpljene havarije odnosno bitne rekonstrukcije postrojenja. Ex-Agencija provodi tehničko nadgledanje po zahtjevu poslodavca a poštivanje periodike nadziru mjerodavne inspekcije.  </w:t>
      </w:r>
    </w:p>
    <w:p w:rsidR="005C2091" w:rsidRDefault="00A86293">
      <w:r>
        <w:t>Cilj Ex-Agencije je da sva postrojenja imaju zadovoljene minimalne zahtjeve sigurnosti s naslova opasnosti od eksplozivne atmosfere i da imaju pozitivan tehnički nalaz o stanju protueksplozijske zaštite.</w:t>
      </w:r>
    </w:p>
    <w:p w:rsidR="005C2091" w:rsidRDefault="00A86293">
      <w:pPr>
        <w:pStyle w:val="Heading8"/>
        <w:jc w:val="left"/>
      </w:pPr>
      <w:r>
        <w:t>Cilj 2. Osigurati potrebnu razinu stručnosti i opremljenosti tvrtki koje se bave aktivnostima instaliranja, održavanja i popravaka opreme namjenjene prostorima ugroženim eksplozivnom atmosferom</w:t>
      </w:r>
    </w:p>
    <w:p w:rsidR="005C2091" w:rsidRDefault="00A86293">
      <w:pPr>
        <w:pStyle w:val="Heading8"/>
        <w:jc w:val="left"/>
      </w:pPr>
      <w:r>
        <w:t>Opis provedbe cilja programa</w:t>
      </w:r>
    </w:p>
    <w:p w:rsidR="005C2091" w:rsidRDefault="00A86293">
      <w:r>
        <w:t>Za postizanje sigurnosti postrojenja ugroženih eksplozivnom atmosferom navedenog u Cilju 1. nužno je sustavno i periodički održavati postrojenja te po potrebi otklanjati nedostatke na uređajima i instalacijama. Stoga su za to potrebne osposobljene, opremljene i stručne tvrtke koje te poslove mogu nuditi na tržištu. Cilj je da tvrtke koje na tržištu nude te poslove ispune minimalne zahtjeve za opremljenost te da imaju potrebne stručne kadrove. Stoga Ex-Agencija provodi ocjenu osposobljenosti tvrtki za poslove instaliranja, održavanja i popravaka i njihovu osposobljenost potvrđuje tehničkim nalazom aktivnosti. Cilj Ex-Agencije je da ima dovoljno osposobljenih tvrtki na tržištu te da se tvrtkama koje ne udovoljavaju minimalnim zahtjevima ili krše propisana pravila onemogući obavljanje poslova za i u prostorima ugroženim eksplozivnom atmosferom.</w:t>
      </w:r>
    </w:p>
    <w:p w:rsidR="005C2091" w:rsidRDefault="00A86293">
      <w:pPr>
        <w:pStyle w:val="Heading8"/>
        <w:jc w:val="left"/>
      </w:pPr>
      <w:r>
        <w:t xml:space="preserve">Cilj 3. Osigurati tehničku potporu mjerodavnim ministarstvima iz područja protueksplozijske zaštite praćenjem normizacije u Europi i svijetu </w:t>
      </w:r>
    </w:p>
    <w:p w:rsidR="005C2091" w:rsidRDefault="00A86293">
      <w:pPr>
        <w:pStyle w:val="Heading8"/>
        <w:jc w:val="left"/>
      </w:pPr>
      <w:r>
        <w:t>Opis provedbe cilja programa</w:t>
      </w:r>
    </w:p>
    <w:p w:rsidR="005C2091" w:rsidRDefault="00A86293">
      <w:r>
        <w:t>Razvoj tehnike i tehnologije donosi novosti na području protueksplozijske zaštite, a jedan dio toga se očituje i objavljivanjem novih normi iz područja protueksplozijske zaštite. Kako bi područje protueksplozijske zaštite u Hrvatskoj pratilo zbivanja u Europi i svijetu cilj Ex-Agencije je pratiti rad europskih tehničkih odbora CEN/TC 305 i CENELEC TC 31, međunarodnog odbora IEC TC 31 te aktivno sudjelovati u izradi međunarodnih normi kroz aktivan rad u hrvatskom tehničkom odboru HZN TO E 31.</w:t>
      </w:r>
    </w:p>
    <w:p w:rsidR="005C2091" w:rsidRDefault="00A86293">
      <w:pPr>
        <w:pStyle w:val="Heading8"/>
        <w:jc w:val="left"/>
      </w:pPr>
      <w:r>
        <w:t>Cilj 4. Provoditi certifikaciju protueksplozijski zaštićene opreme i zaštitnih sustava</w:t>
      </w:r>
    </w:p>
    <w:p w:rsidR="005C2091" w:rsidRDefault="00A86293">
      <w:pPr>
        <w:pStyle w:val="Heading8"/>
        <w:jc w:val="left"/>
      </w:pPr>
      <w:r>
        <w:t>Opis provedbe cilja programa</w:t>
      </w:r>
    </w:p>
    <w:p w:rsidR="005C2091" w:rsidRDefault="00A86293">
      <w:r>
        <w:t>Za stavljanje na tržište protueksplozijski zaštićene opreme i zaštitnih sustava potrebno je provesti postupak ocjene sukladnosti koji za većinu opreme traži uključenost certifikacijskog tijela. Da bi certifikacijsko tijelo moglo raditi te poslove potrebno je da bude akreditirano, nakon toga ovlašteno od nadležnog ministarstva i na kraju da ga ministarstvo prijavi EU Komisiji za poslove certifikacije u predmetnom području. Cilj Ex-Agencije jest udovoljiti tim kriterijima, imati kvalitetan i opremljen laboratorij, biti akreditirano i ovlašteno tijelo u Hrvatskoj te biti prijavljeno tijelo u NANDO bazi Europske komisije za certifikaciju protueksplozijski zaštićene opreme i zaštitnih sustava kako bi mogla nuditi te usluge hrvatskim i inozemnim proizvođačima. Cilj Ex-Agencije je ponuditi povoljniju i dostupniju uslugu hrvatskim proizvođačima i time doprinijeti podizanju konkurentnosti hrvatskih proizvođača na zajedničkom europskom tržištu.</w:t>
      </w:r>
    </w:p>
    <w:p w:rsidR="005C2091" w:rsidRDefault="00A86293">
      <w:pPr>
        <w:pStyle w:val="Heading8"/>
        <w:jc w:val="left"/>
      </w:pPr>
      <w:r>
        <w:t>Cilj 5. Provoditi certifikaciju eksploziva za civilnu uporabu i pirotehničkih sredstava</w:t>
      </w:r>
    </w:p>
    <w:p w:rsidR="005C2091" w:rsidRDefault="00A86293">
      <w:pPr>
        <w:pStyle w:val="Heading8"/>
        <w:jc w:val="left"/>
      </w:pPr>
      <w:r>
        <w:t>Opis provedbe cilja programa</w:t>
      </w:r>
    </w:p>
    <w:p w:rsidR="005C2091" w:rsidRDefault="00A86293">
      <w:r>
        <w:t>Za stavljanje na tržište eksploziva za civilnu uporabu i pirotehničkih sredstava potrebno je provesti postupak ocjene sukladnosti koji traži uključenost certifikacijskog tijela. Da bi certifikacijsko tijelo moglo raditi te poslove potrebno je da bude akreditirano, nakon toga ovlašteno od nadležnog ministarstva i na kraju da ga ministarstvo prijavi EU Komisiji za poslove certifikacije u predmetnom području. Cilj Ex-Agencije jest udovoljiti tim kriterijima, biti akreditirano i ovlašteno tijelo u Hrvatskoj te biti prijavljeno tijelo u NANDO bazi Europske komisije za certifikaciju civilnih eksploziva i pirotehničkih sredstava kako bi mogli nuditi te usluge hrvatskim i inozemnim proizvođačima. Cilj Ex-Agencije je ponuditi povoljniju i dostupniju uslugu hrvatskim proizvođačima i time doprinijeti podizanju konkurentnosti hrvatskih proizvođača na zajedničkom europskom tržištu.</w:t>
      </w:r>
    </w:p>
    <w:p w:rsidR="005C2091" w:rsidRDefault="00A86293">
      <w:pPr>
        <w:pStyle w:val="Heading8"/>
        <w:jc w:val="left"/>
      </w:pPr>
      <w:r>
        <w:t>Cilj 6. Edukacija tehničkog osoblja iz područja protueksplozijske zaštite</w:t>
      </w:r>
    </w:p>
    <w:p w:rsidR="005C2091" w:rsidRDefault="00A86293">
      <w:pPr>
        <w:pStyle w:val="Heading8"/>
        <w:jc w:val="left"/>
      </w:pPr>
      <w:r>
        <w:t>Opis provedbe cilja programa</w:t>
      </w:r>
    </w:p>
    <w:p w:rsidR="005C2091" w:rsidRDefault="00A86293">
      <w:r>
        <w:t xml:space="preserve">Najbitniji element u postizanju sigurnosti u postrojenjima ugroženim od eksplozivne atmosfere je educirano stručno osoblje. Stoga je iznimno važno podići razinu znanja zaposlenika koji rade u, i za, postrojenja ugrožena </w:t>
      </w:r>
      <w:r>
        <w:lastRenderedPageBreak/>
        <w:t>eksplozivnom atmosferom. To se može postići trajnom edukacijom osoblja kroz seminare iz specifičnih područja protueksplozijske zaštite. Cilj Ex-Agencije jest uspostaviti i održavati seminare koji bi pružili potrebna znanja osobama raznih struka koje rade u prostorima ugroženim eksplozivnom atmosferom.</w:t>
      </w:r>
    </w:p>
    <w:p w:rsidR="005C2091" w:rsidRDefault="00A86293">
      <w:pPr>
        <w:pStyle w:val="Heading4"/>
      </w:pPr>
      <w:r>
        <w:t>A879001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A879001-ADMINISTRACIJA I UPRAVLJANJE</w:t>
            </w:r>
          </w:p>
        </w:tc>
        <w:tc>
          <w:tcPr>
            <w:tcW w:w="2041" w:type="dxa"/>
          </w:tcPr>
          <w:p w:rsidR="005C2091" w:rsidRDefault="00A86293">
            <w:pPr>
              <w:pStyle w:val="CellColumn"/>
              <w:jc w:val="right"/>
            </w:pPr>
            <w:r>
              <w:rPr>
                <w:rFonts w:cs="Times New Roman"/>
              </w:rPr>
              <w:t>14.509.727</w:t>
            </w:r>
          </w:p>
        </w:tc>
        <w:tc>
          <w:tcPr>
            <w:tcW w:w="2041" w:type="dxa"/>
          </w:tcPr>
          <w:p w:rsidR="005C2091" w:rsidRDefault="00A86293">
            <w:pPr>
              <w:pStyle w:val="CellColumn"/>
              <w:jc w:val="right"/>
            </w:pPr>
            <w:r>
              <w:rPr>
                <w:rFonts w:cs="Times New Roman"/>
              </w:rPr>
              <w:t>13.833.600</w:t>
            </w:r>
          </w:p>
        </w:tc>
        <w:tc>
          <w:tcPr>
            <w:tcW w:w="2041" w:type="dxa"/>
          </w:tcPr>
          <w:p w:rsidR="005C2091" w:rsidRDefault="00A86293">
            <w:pPr>
              <w:pStyle w:val="CellColumn"/>
              <w:jc w:val="right"/>
            </w:pPr>
            <w:r>
              <w:rPr>
                <w:rFonts w:cs="Times New Roman"/>
              </w:rPr>
              <w:t>13.694.976</w:t>
            </w:r>
          </w:p>
        </w:tc>
        <w:tc>
          <w:tcPr>
            <w:tcW w:w="1224" w:type="dxa"/>
          </w:tcPr>
          <w:p w:rsidR="005C2091" w:rsidRDefault="00A86293">
            <w:pPr>
              <w:pStyle w:val="CellColumn"/>
              <w:jc w:val="right"/>
            </w:pPr>
            <w:r>
              <w:rPr>
                <w:rFonts w:cs="Times New Roman"/>
              </w:rPr>
              <w:t>99,0</w:t>
            </w:r>
          </w:p>
        </w:tc>
        <w:tc>
          <w:tcPr>
            <w:tcW w:w="1224" w:type="dxa"/>
          </w:tcPr>
          <w:p w:rsidR="005C2091" w:rsidRDefault="00A86293">
            <w:pPr>
              <w:pStyle w:val="CellColumn"/>
              <w:jc w:val="right"/>
            </w:pPr>
            <w:r>
              <w:rPr>
                <w:rFonts w:cs="Times New Roman"/>
              </w:rPr>
              <w:t>94,4</w:t>
            </w:r>
          </w:p>
        </w:tc>
      </w:tr>
    </w:tbl>
    <w:p w:rsidR="005C2091" w:rsidRDefault="005C2091">
      <w:pPr>
        <w:jc w:val="left"/>
      </w:pPr>
    </w:p>
    <w:p w:rsidR="005C2091" w:rsidRDefault="00A86293">
      <w:pPr>
        <w:pStyle w:val="Heading8"/>
        <w:jc w:val="left"/>
      </w:pPr>
      <w:r>
        <w:t>Zakonske i druge pravne osnove</w:t>
      </w:r>
    </w:p>
    <w:p w:rsidR="005C2091" w:rsidRDefault="00A86293">
      <w:r>
        <w:t>Uredba Vlade (NN 60/02, 98/06, 91/11, 51/12 i 55/14), Zakon o zaštiti na radu (NN 71/14 članak 103 točka (7)/11 i NN 118/14), i Pravilnik o najmanjim zahtjevima sigurnosti i zaštite zdravlja radnika te tehničkom nadgledanju postrojenja, opreme, instalacija i uređaja u prostorima ugroženim eksplozivnom atmosferom (NN 39/06 članak 11 i 106/07).</w:t>
      </w:r>
    </w:p>
    <w:p w:rsidR="005C2091" w:rsidRDefault="00A86293">
      <w:pPr>
        <w:pStyle w:val="Heading8"/>
        <w:jc w:val="left"/>
      </w:pPr>
      <w:r>
        <w:t>Opis aktivnosti</w:t>
      </w:r>
    </w:p>
    <w:p w:rsidR="005C2091" w:rsidRDefault="00A86293">
      <w:r>
        <w:t>Ova aktivnost uključuje poslove provođenja tehničkog nadgledanja postrojenja, aktivnosti i dokumentacije za postrojenja i uređaje, nadzor nad obvezama poslodavca za zaštitu zdravlja i sigurnosti posloprimca u prostorima ugroženim eksplozivnom atmosferom i izdavanje pripadajućih tehničkih nalaza. Ciljevi provedbe programa u 2016. godini realizirani su u cijelosti, izdano je 680 tehničkih nalaza postrojenja ugroženih eksplozivnom atmosferom, čime je dan bitan doprinos sigurnosti ljudi, postrojenja i okoliša (što je doprinijelo da 2016. god. nisu zabilježene ozbiljne eksplozije u takvim postrojenjima). Također je izdano 50 tehničkih nalaza aktivnosti nad tvrtkama koje instaliraju, održavaju i popravljaju opremu u prostorima ugroženim eksplozivnom atmosferom, čime je osigurana stručna i sigurna izvedba takvih radova. Važno je akceptirati da broj izdanih nalaza po godinima oscilira budući je propisana periodika provedbe redovnih tehničkih nadgledanja 3 godine. Navedno je i razlog odstupanja polazne vrijednosti za 2016. i ostvarene vrijednosti broja izdanih tehničkih nalaza za 2015. godinu (periodika od 3 godine je bila izražena u ostvarenju za 2015. godinu i isključena je iz 2016. godine). Tijekom 2016. god. aktivno su praćene sve tehnološke, sigurnosne i normativne aktivnosti na području protueksplozijske zaštite u Europi i svijetu. Na taj način, tako stečena, znanja i informacije bili su dostupni i mjerodavnim ministarstvima i korisnicima usluga. Izvršenje aktivnosti A879001 Administracija i upravljanje se financiralo iz Izvora 11 - Opći prihodi i primici planiranom u iznosu od 13.833.600 kn. Ex-Agencija je s naslova obavljanja te aktivnosti obračunala prihoda u iznosu 14.477.160 kn. Rashodi ove aktivnosti ostvareni su u iznosu 13.694.976 kn odnosno 99,0% financijskog plana. Iz planiranih sredstava se podmiruju rashodi za pedeset dvoje zaposlenih; materijalni rashodi za funkcioniranje Ex-Agencije što uključuje naknade troškova zaposlenima za službena putovanja, prijevoz na posao, stručna usavršavanja, uredski materijal, energiju, ostale materijalne troškove, zaštitnu radnu odjeću, usluge telefona, pošte, tekućeg i investicijskog održavanja, komunalija, intelektualne i ostale usluge neophodne za obavljanje djelatnosti, naknade predstavničkim tijelima, premije osiguranja, članarine i norme, te financijske rashode poslovanja Ex-Agencije, uključujući i otplatu glavnice kredita u iznosu 650.847 kn.</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Izdani tehnički nalazi postrojenja</w:t>
            </w:r>
          </w:p>
        </w:tc>
        <w:tc>
          <w:tcPr>
            <w:tcW w:w="2551" w:type="dxa"/>
          </w:tcPr>
          <w:p w:rsidR="005C2091" w:rsidRDefault="00A86293">
            <w:pPr>
              <w:pStyle w:val="CellColumn"/>
              <w:jc w:val="left"/>
            </w:pPr>
            <w:r>
              <w:rPr>
                <w:rFonts w:cs="Times New Roman"/>
              </w:rPr>
              <w:t>Tehnički nalaz daje stanje protueksplozijske zaštite u pojedinom postrojenju a time i ocjenu opasnosti s naslova ugroze od eksplozije. Povećanjem broja izdanih nalaza postrojenja smanjuje se mogućnost nastanka eksplozija postrojenja u prostoru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650</w:t>
            </w:r>
          </w:p>
        </w:tc>
        <w:tc>
          <w:tcPr>
            <w:tcW w:w="1020" w:type="dxa"/>
          </w:tcPr>
          <w:p w:rsidR="005C2091" w:rsidRDefault="00A86293">
            <w:pPr>
              <w:pStyle w:val="CellColumn"/>
              <w:jc w:val="right"/>
            </w:pPr>
            <w:r>
              <w:rPr>
                <w:rFonts w:cs="Times New Roman"/>
              </w:rPr>
              <w:t>Ex-Agencija</w:t>
            </w:r>
          </w:p>
        </w:tc>
        <w:tc>
          <w:tcPr>
            <w:tcW w:w="1020" w:type="dxa"/>
          </w:tcPr>
          <w:p w:rsidR="005C2091" w:rsidRDefault="00A86293">
            <w:pPr>
              <w:pStyle w:val="CellColumn"/>
              <w:jc w:val="right"/>
            </w:pPr>
            <w:r>
              <w:rPr>
                <w:rFonts w:cs="Times New Roman"/>
              </w:rPr>
              <w:t>680</w:t>
            </w:r>
          </w:p>
        </w:tc>
        <w:tc>
          <w:tcPr>
            <w:tcW w:w="1020" w:type="dxa"/>
          </w:tcPr>
          <w:p w:rsidR="005C2091" w:rsidRDefault="00A86293">
            <w:pPr>
              <w:pStyle w:val="CellColumn"/>
              <w:jc w:val="right"/>
            </w:pPr>
            <w:r>
              <w:rPr>
                <w:rFonts w:cs="Times New Roman"/>
              </w:rPr>
              <w:t>680</w:t>
            </w:r>
          </w:p>
        </w:tc>
      </w:tr>
      <w:tr w:rsidR="005C2091">
        <w:trPr>
          <w:jc w:val="center"/>
        </w:trPr>
        <w:tc>
          <w:tcPr>
            <w:tcW w:w="2551" w:type="dxa"/>
          </w:tcPr>
          <w:p w:rsidR="005C2091" w:rsidRDefault="00A86293">
            <w:pPr>
              <w:pStyle w:val="CellColumn"/>
              <w:jc w:val="left"/>
            </w:pPr>
            <w:r>
              <w:rPr>
                <w:rFonts w:cs="Times New Roman"/>
              </w:rPr>
              <w:t>Izdani tehnički nalazi aktivnosti</w:t>
            </w:r>
          </w:p>
        </w:tc>
        <w:tc>
          <w:tcPr>
            <w:tcW w:w="2551" w:type="dxa"/>
          </w:tcPr>
          <w:p w:rsidR="005C2091" w:rsidRDefault="00A86293">
            <w:pPr>
              <w:pStyle w:val="CellColumn"/>
              <w:jc w:val="left"/>
            </w:pPr>
            <w:r>
              <w:rPr>
                <w:rFonts w:cs="Times New Roman"/>
              </w:rPr>
              <w:t>Tehnički nalazi aktivnosti daju ocjenu osposobljenosti tvrtke za izvođenje radova u prostoru ugroženom od eksplozije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60</w:t>
            </w:r>
          </w:p>
        </w:tc>
        <w:tc>
          <w:tcPr>
            <w:tcW w:w="1020" w:type="dxa"/>
          </w:tcPr>
          <w:p w:rsidR="005C2091" w:rsidRDefault="00A86293">
            <w:pPr>
              <w:pStyle w:val="CellColumn"/>
              <w:jc w:val="right"/>
            </w:pPr>
            <w:r>
              <w:rPr>
                <w:rFonts w:cs="Times New Roman"/>
              </w:rPr>
              <w:t>Ex-Agencija</w:t>
            </w:r>
          </w:p>
        </w:tc>
        <w:tc>
          <w:tcPr>
            <w:tcW w:w="1020" w:type="dxa"/>
          </w:tcPr>
          <w:p w:rsidR="005C2091" w:rsidRDefault="00A86293">
            <w:pPr>
              <w:pStyle w:val="CellColumn"/>
              <w:jc w:val="right"/>
            </w:pPr>
            <w:r>
              <w:rPr>
                <w:rFonts w:cs="Times New Roman"/>
              </w:rPr>
              <w:t>65</w:t>
            </w:r>
          </w:p>
        </w:tc>
        <w:tc>
          <w:tcPr>
            <w:tcW w:w="1020" w:type="dxa"/>
          </w:tcPr>
          <w:p w:rsidR="005C2091" w:rsidRDefault="00A86293">
            <w:pPr>
              <w:pStyle w:val="CellColumn"/>
              <w:jc w:val="right"/>
            </w:pPr>
            <w:r>
              <w:rPr>
                <w:rFonts w:cs="Times New Roman"/>
              </w:rPr>
              <w:t>50</w:t>
            </w:r>
          </w:p>
        </w:tc>
      </w:tr>
    </w:tbl>
    <w:p w:rsidR="005C2091" w:rsidRDefault="005C2091">
      <w:pPr>
        <w:jc w:val="left"/>
      </w:pPr>
    </w:p>
    <w:p w:rsidR="005C2091" w:rsidRDefault="00A86293">
      <w:pPr>
        <w:pStyle w:val="Heading4"/>
      </w:pPr>
      <w:r>
        <w:t>A879002 CERTIFIKACIJA I EDUKACIJA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A879002-CERTIFIKACIJA I EDUKACIJA</w:t>
            </w:r>
          </w:p>
        </w:tc>
        <w:tc>
          <w:tcPr>
            <w:tcW w:w="2041" w:type="dxa"/>
          </w:tcPr>
          <w:p w:rsidR="005C2091" w:rsidRDefault="00A86293">
            <w:pPr>
              <w:pStyle w:val="CellColumn"/>
              <w:jc w:val="right"/>
            </w:pPr>
            <w:r>
              <w:rPr>
                <w:rFonts w:cs="Times New Roman"/>
              </w:rPr>
              <w:t>1.628.033</w:t>
            </w:r>
          </w:p>
        </w:tc>
        <w:tc>
          <w:tcPr>
            <w:tcW w:w="2041" w:type="dxa"/>
          </w:tcPr>
          <w:p w:rsidR="005C2091" w:rsidRDefault="00A86293">
            <w:pPr>
              <w:pStyle w:val="CellColumn"/>
              <w:jc w:val="right"/>
            </w:pPr>
            <w:r>
              <w:rPr>
                <w:rFonts w:cs="Times New Roman"/>
              </w:rPr>
              <w:t>2.829.000</w:t>
            </w:r>
          </w:p>
        </w:tc>
        <w:tc>
          <w:tcPr>
            <w:tcW w:w="2041" w:type="dxa"/>
          </w:tcPr>
          <w:p w:rsidR="005C2091" w:rsidRDefault="00A86293">
            <w:pPr>
              <w:pStyle w:val="CellColumn"/>
              <w:jc w:val="right"/>
            </w:pPr>
            <w:r>
              <w:rPr>
                <w:rFonts w:cs="Times New Roman"/>
              </w:rPr>
              <w:t>2.058.400</w:t>
            </w:r>
          </w:p>
        </w:tc>
        <w:tc>
          <w:tcPr>
            <w:tcW w:w="1224" w:type="dxa"/>
          </w:tcPr>
          <w:p w:rsidR="005C2091" w:rsidRDefault="00A86293">
            <w:pPr>
              <w:pStyle w:val="CellColumn"/>
              <w:jc w:val="right"/>
            </w:pPr>
            <w:r>
              <w:rPr>
                <w:rFonts w:cs="Times New Roman"/>
              </w:rPr>
              <w:t>72,8</w:t>
            </w:r>
          </w:p>
        </w:tc>
        <w:tc>
          <w:tcPr>
            <w:tcW w:w="1224" w:type="dxa"/>
          </w:tcPr>
          <w:p w:rsidR="005C2091" w:rsidRDefault="00A86293">
            <w:pPr>
              <w:pStyle w:val="CellColumn"/>
              <w:jc w:val="right"/>
            </w:pPr>
            <w:r>
              <w:rPr>
                <w:rFonts w:cs="Times New Roman"/>
              </w:rPr>
              <w:t>126,4</w:t>
            </w:r>
          </w:p>
        </w:tc>
      </w:tr>
    </w:tbl>
    <w:p w:rsidR="005C2091" w:rsidRDefault="005C2091">
      <w:pPr>
        <w:jc w:val="left"/>
      </w:pPr>
    </w:p>
    <w:p w:rsidR="005C2091" w:rsidRDefault="00A86293">
      <w:pPr>
        <w:pStyle w:val="Heading8"/>
        <w:jc w:val="left"/>
      </w:pPr>
      <w:r>
        <w:t>Zakonske i druge pravne osnove</w:t>
      </w:r>
    </w:p>
    <w:p w:rsidR="005C2091" w:rsidRDefault="00A86293">
      <w:r>
        <w:t>Uredba Vlade (NN 60/02, 98/06, 91/11, 51/12 i 55/14), Zakon o tehničkim zahtjevima za proizvode i ocjenjivanju sukladnosti (NN 80/13 članak 11, 12, 13, 14 i 14/14), Pravilnik o opremi i zaštitnim sustavima namijenjenim za uporabu u potencijalno eksplozivnim atmosferama (NN 33/16 članak 4, 14, 22), Zakon o eksplozivnim tvarima (NN 178/04 članak 7 i 8, 109/07, 67/08 i 144/10), Pravilnik o tehničkim zahtjevima za eksplozivne tvari (NN 146/05 članak 4, 5, 6, 7, 119/07 i 55/13) i Pravilnik o sigurnosnim zahtjevima za pirotehnička sredstva te uvjetima za njihovu podjelu (NN 34/10 članak 3, 124/13 i 150/13).</w:t>
      </w:r>
    </w:p>
    <w:p w:rsidR="005C2091" w:rsidRDefault="00A86293">
      <w:pPr>
        <w:pStyle w:val="Heading8"/>
        <w:jc w:val="left"/>
      </w:pPr>
      <w:r>
        <w:t>Opis aktivnosti</w:t>
      </w:r>
    </w:p>
    <w:p w:rsidR="005C2091" w:rsidRDefault="00A86293">
      <w:r>
        <w:t xml:space="preserve">Tijekom 2016. godine Ex-Agencija je provodila ispitivanja protueksplozijski zaštićenih uređaja i sustava te izdavala certifikate proizvođačima sukladno EU Direktivi 94/9/EC odnosno 2014/34/EU ali i prema međunarodnoj certifikacijskoj shemi, IECEx Shema. Većina izdanih certifikata i provedenih ispitivanja obavljena je proizvođačima unutar EU i trećih zemalja. Provedenim ispitivanjima i izdanim certifikatima ispunjeni su zadani ciljevi, a s obzirom na broj izdanih dokumenta može se konstatirati bolji poslovni rezultat u odnosu na prethodnu godinu. Nadalje, u 2016. godini Ex-Agencija je provodila ispitivanja i izdavala certifikate i potvrdnice za civilne eksplozive (Direktiva 2014/28/EU) i pirotehnička sredstva (2013/29/EU) proizvođačima u Republici Hrvatskoj, EU i trećim zemljama. Bez obzira na broj izdanih certifikata možemo reći da je Ex-Agencija uspješno obradila sve zahtjeve koje je primila.  </w:t>
      </w:r>
    </w:p>
    <w:p w:rsidR="005C2091" w:rsidRDefault="00A86293">
      <w:r>
        <w:t>Ex-Agencija održava edukacijske seminare iz protueksplozijske zaštite i na taj način značajno doprinosi sveukupnoj sigurnosti postrojenja u Hrvatskoj. Jedino stručno i educirano osoblje može doprinijeti sigurnosti u postrojenju. U 2016 godini kroz edukacijske seminare prošlo je 500 osoba što je značajna brojka. To je nešto manje od planiranog ali još uvijek odličan rezultat. Izvršenje aktivnosti A879002 Certifikacija i edukacija se financirala iz Izvora 31 – Vlastiti prihodi planiranom u iznosu od 2.829.000 kn. Agencija je s naslova obavljanja te aktivnosti obračunala prihoda u iznosu od 4.535.105 kn. Rashodi ove aktivnosti ostvareni su u iznosu 2.058.399 kn odnosno 72,76% financijskog plana. Iz planiranih sredstva se podmiruju rashodi neophodni za odvijanje te aktivnosti što uključuje usluge ispitivanja, umjeravanja instrumenata, nabave opreme neophodne za davanje usluga certifikacije i edukacije.</w:t>
      </w:r>
    </w:p>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Izdani certifikati -  potvrdnice za Ex-opremu i zaštitne sustave</w:t>
            </w:r>
          </w:p>
        </w:tc>
        <w:tc>
          <w:tcPr>
            <w:tcW w:w="2551" w:type="dxa"/>
          </w:tcPr>
          <w:p w:rsidR="005C2091" w:rsidRDefault="00A86293">
            <w:pPr>
              <w:pStyle w:val="CellColumn"/>
              <w:jc w:val="left"/>
            </w:pPr>
            <w:r>
              <w:rPr>
                <w:rFonts w:cs="Times New Roman"/>
              </w:rPr>
              <w:t>Certifikati i potvrdnice predstavljaju dokumente koji proizvođač mora dobiti od certifikacijskog tijela da bi mogao stavljati svoje proizvode na tržište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25</w:t>
            </w:r>
          </w:p>
        </w:tc>
        <w:tc>
          <w:tcPr>
            <w:tcW w:w="1020" w:type="dxa"/>
          </w:tcPr>
          <w:p w:rsidR="005C2091" w:rsidRDefault="00A86293">
            <w:pPr>
              <w:pStyle w:val="CellColumn"/>
              <w:jc w:val="right"/>
            </w:pPr>
            <w:r>
              <w:rPr>
                <w:rFonts w:cs="Times New Roman"/>
              </w:rPr>
              <w:t>Ex-Agencija</w:t>
            </w:r>
          </w:p>
        </w:tc>
        <w:tc>
          <w:tcPr>
            <w:tcW w:w="1020" w:type="dxa"/>
          </w:tcPr>
          <w:p w:rsidR="005C2091" w:rsidRDefault="00A86293">
            <w:pPr>
              <w:pStyle w:val="CellColumn"/>
              <w:jc w:val="right"/>
            </w:pPr>
            <w:r>
              <w:rPr>
                <w:rFonts w:cs="Times New Roman"/>
              </w:rPr>
              <w:t>40</w:t>
            </w:r>
          </w:p>
        </w:tc>
        <w:tc>
          <w:tcPr>
            <w:tcW w:w="1020" w:type="dxa"/>
          </w:tcPr>
          <w:p w:rsidR="005C2091" w:rsidRDefault="00A86293">
            <w:pPr>
              <w:pStyle w:val="CellColumn"/>
              <w:jc w:val="right"/>
            </w:pPr>
            <w:r>
              <w:rPr>
                <w:rFonts w:cs="Times New Roman"/>
              </w:rPr>
              <w:t>50</w:t>
            </w:r>
          </w:p>
        </w:tc>
      </w:tr>
      <w:tr w:rsidR="005C2091">
        <w:trPr>
          <w:jc w:val="center"/>
        </w:trPr>
        <w:tc>
          <w:tcPr>
            <w:tcW w:w="2551" w:type="dxa"/>
          </w:tcPr>
          <w:p w:rsidR="005C2091" w:rsidRDefault="00A86293">
            <w:pPr>
              <w:pStyle w:val="CellColumn"/>
              <w:jc w:val="left"/>
            </w:pPr>
            <w:r>
              <w:rPr>
                <w:rFonts w:cs="Times New Roman"/>
              </w:rPr>
              <w:t>Izdani certifikati -  potvrdnice za civilne eksplozive</w:t>
            </w:r>
          </w:p>
        </w:tc>
        <w:tc>
          <w:tcPr>
            <w:tcW w:w="2551" w:type="dxa"/>
          </w:tcPr>
          <w:p w:rsidR="005C2091" w:rsidRDefault="00A86293">
            <w:pPr>
              <w:pStyle w:val="CellColumn"/>
              <w:jc w:val="left"/>
            </w:pPr>
            <w:r>
              <w:rPr>
                <w:rFonts w:cs="Times New Roman"/>
              </w:rPr>
              <w:t>Certifikati i potvrdnice predstavljaju dokumente koji proizvođač mora dobiti od certifikacijskog tijela da bi mogao stavljati svoje proizvode na tržište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Ex-Agencija</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5</w:t>
            </w:r>
          </w:p>
        </w:tc>
      </w:tr>
      <w:tr w:rsidR="005C2091">
        <w:trPr>
          <w:jc w:val="center"/>
        </w:trPr>
        <w:tc>
          <w:tcPr>
            <w:tcW w:w="2551" w:type="dxa"/>
          </w:tcPr>
          <w:p w:rsidR="005C2091" w:rsidRDefault="00A86293">
            <w:pPr>
              <w:pStyle w:val="CellColumn"/>
              <w:jc w:val="left"/>
            </w:pPr>
            <w:r>
              <w:rPr>
                <w:rFonts w:cs="Times New Roman"/>
              </w:rPr>
              <w:t>Izdani certifikati -  potvrdnice za pirotehnička sredstva</w:t>
            </w:r>
          </w:p>
        </w:tc>
        <w:tc>
          <w:tcPr>
            <w:tcW w:w="2551" w:type="dxa"/>
          </w:tcPr>
          <w:p w:rsidR="005C2091" w:rsidRDefault="00A86293">
            <w:pPr>
              <w:pStyle w:val="CellColumn"/>
              <w:jc w:val="left"/>
            </w:pPr>
            <w:r>
              <w:rPr>
                <w:rFonts w:cs="Times New Roman"/>
              </w:rPr>
              <w:t>Certifikati i potvrdnice predstavljaju dokumente koji proizvođač mora dobiti od certifikacijskog tijela da bi mogao stavljati svoje proizvode na tržište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Ex-Agencija</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16</w:t>
            </w:r>
          </w:p>
        </w:tc>
      </w:tr>
      <w:tr w:rsidR="005C2091">
        <w:trPr>
          <w:jc w:val="center"/>
        </w:trPr>
        <w:tc>
          <w:tcPr>
            <w:tcW w:w="2551" w:type="dxa"/>
          </w:tcPr>
          <w:p w:rsidR="005C2091" w:rsidRDefault="00A86293">
            <w:pPr>
              <w:pStyle w:val="CellColumn"/>
              <w:jc w:val="left"/>
            </w:pPr>
            <w:r>
              <w:rPr>
                <w:rFonts w:cs="Times New Roman"/>
              </w:rPr>
              <w:t>Polaznici stručnih seminara iz područja protueksplozijske zaštite</w:t>
            </w:r>
          </w:p>
        </w:tc>
        <w:tc>
          <w:tcPr>
            <w:tcW w:w="2551" w:type="dxa"/>
          </w:tcPr>
          <w:p w:rsidR="005C2091" w:rsidRDefault="00A86293">
            <w:pPr>
              <w:pStyle w:val="CellColumn"/>
              <w:jc w:val="left"/>
            </w:pPr>
            <w:r>
              <w:rPr>
                <w:rFonts w:cs="Times New Roman"/>
              </w:rPr>
              <w:t>Pohađanjem seminara osobe koje rade u prostoru ugroženom eksplozivnom atmosferom stječu stručna znanja iz područja protueksplozijske zaštite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500</w:t>
            </w:r>
          </w:p>
        </w:tc>
        <w:tc>
          <w:tcPr>
            <w:tcW w:w="1020" w:type="dxa"/>
          </w:tcPr>
          <w:p w:rsidR="005C2091" w:rsidRDefault="00A86293">
            <w:pPr>
              <w:pStyle w:val="CellColumn"/>
              <w:jc w:val="right"/>
            </w:pPr>
            <w:r>
              <w:rPr>
                <w:rFonts w:cs="Times New Roman"/>
              </w:rPr>
              <w:t>Ex-Agencija</w:t>
            </w:r>
          </w:p>
        </w:tc>
        <w:tc>
          <w:tcPr>
            <w:tcW w:w="1020" w:type="dxa"/>
          </w:tcPr>
          <w:p w:rsidR="005C2091" w:rsidRDefault="00A86293">
            <w:pPr>
              <w:pStyle w:val="CellColumn"/>
              <w:jc w:val="right"/>
            </w:pPr>
            <w:r>
              <w:rPr>
                <w:rFonts w:cs="Times New Roman"/>
              </w:rPr>
              <w:t>560</w:t>
            </w:r>
          </w:p>
        </w:tc>
        <w:tc>
          <w:tcPr>
            <w:tcW w:w="1020" w:type="dxa"/>
          </w:tcPr>
          <w:p w:rsidR="005C2091" w:rsidRDefault="00A86293">
            <w:pPr>
              <w:pStyle w:val="CellColumn"/>
              <w:jc w:val="right"/>
            </w:pPr>
            <w:r>
              <w:rPr>
                <w:rFonts w:cs="Times New Roman"/>
              </w:rPr>
              <w:t>500</w:t>
            </w:r>
          </w:p>
        </w:tc>
      </w:tr>
    </w:tbl>
    <w:p w:rsidR="005C2091" w:rsidRDefault="005C2091">
      <w:pPr>
        <w:jc w:val="left"/>
      </w:pPr>
    </w:p>
    <w:p w:rsidR="000A6D36" w:rsidRDefault="000A6D36">
      <w:pPr>
        <w:jc w:val="left"/>
      </w:pPr>
    </w:p>
    <w:p w:rsidR="000A6D36" w:rsidRDefault="000A6D36">
      <w:pPr>
        <w:jc w:val="left"/>
      </w:pPr>
    </w:p>
    <w:p w:rsidR="000A6D36" w:rsidRDefault="000A6D36">
      <w:pPr>
        <w:jc w:val="left"/>
      </w:pPr>
    </w:p>
    <w:p w:rsidR="000A6D36" w:rsidRDefault="000A6D36">
      <w:pPr>
        <w:jc w:val="left"/>
      </w:pPr>
    </w:p>
    <w:p w:rsidR="000A6D36" w:rsidRDefault="000A6D36">
      <w:pPr>
        <w:jc w:val="left"/>
      </w:pPr>
    </w:p>
    <w:p w:rsidR="000A6D36" w:rsidRDefault="000A6D36">
      <w:pPr>
        <w:jc w:val="left"/>
      </w:pPr>
    </w:p>
    <w:p w:rsidR="000A6D36" w:rsidRDefault="000A6D36">
      <w:pPr>
        <w:jc w:val="left"/>
      </w:pPr>
    </w:p>
    <w:p w:rsidR="000A6D36" w:rsidRDefault="000A6D36">
      <w:pPr>
        <w:jc w:val="left"/>
      </w:pPr>
    </w:p>
    <w:p w:rsidR="000A6D36" w:rsidRDefault="000A6D36">
      <w:pPr>
        <w:overflowPunct/>
        <w:autoSpaceDE/>
        <w:autoSpaceDN/>
        <w:adjustRightInd/>
        <w:spacing w:after="200" w:line="276" w:lineRule="auto"/>
        <w:jc w:val="left"/>
        <w:textAlignment w:val="auto"/>
        <w:rPr>
          <w:b/>
          <w:spacing w:val="20"/>
          <w:sz w:val="32"/>
          <w:szCs w:val="32"/>
        </w:rPr>
      </w:pPr>
      <w:r>
        <w:br w:type="page"/>
      </w:r>
    </w:p>
    <w:p w:rsidR="005C2091" w:rsidRDefault="00A86293">
      <w:pPr>
        <w:pStyle w:val="Heading1"/>
      </w:pPr>
      <w:r>
        <w:lastRenderedPageBreak/>
        <w:t>041 MINISTARSTVO HRVATSKIH BRANITELJA</w:t>
      </w:r>
    </w:p>
    <w:p w:rsidR="005C2091" w:rsidRDefault="00A86293">
      <w:r>
        <w:t xml:space="preserve">Ministarstvo hrvatskih branitelja obavlja upravne i stručne poslove koji se odnose na pravni položaj, rješavanje pravnog položaja i drugih pitanja hrvatskih ratnih vojnih invalida iz Domovinskog rata i mirnodopskih vojnih invalida,   razvojačenih   branitelja, hrvatskih branitelja iz Domovinskog rata i članova njihovih obitelji, članova obitelji poginuloga, smrtno stradalog, zatočenog ili nestaloga  hrvatskog branitelja iz Domovinskog rata, mirnodopskih i civilnih invalida Domovinskog rata, kao i ratnih vojnih invalida, sudionika, mirnodopskih i civilnih invalida Drugog svjetskog rata te  članova njihovih obitelji i osoba stradalih na obavljanju obvezne vojne službe od 15. svibnja 1945. godine do 17. kolovoza 1990. godine i članova njihovih obitelji, osim onih poslova koji ulaze u djelokrug drugih ministarstava.  </w:t>
      </w:r>
    </w:p>
    <w:p w:rsidR="005C2091" w:rsidRDefault="00A86293">
      <w:r>
        <w:t xml:space="preserve">Ministarstvo obavlja stručne poslove usmjerene promicanju vrijednosti Domovinskog rata i očuvanju digniteta njegovih sudionika i stradalnika, unaprjeđenju opsega sveobuhvatne skrbi, poticanju zakonskih projekata u cilju poboljšanja  kvalitete življenja, povećanju stupnja obrazovanja i konkurentnosti hrvatskih branitelja i članova njihovih obitelji te upoznavanju šire javnosti sa svim značajnim događajima i mjestima iz Domovinskog rata.  </w:t>
      </w:r>
    </w:p>
    <w:p w:rsidR="005C2091" w:rsidRDefault="00A86293">
      <w:r>
        <w:t xml:space="preserve">U djelokrugu Ministarstva obavljaju se stručni i drugi poslovi koji se odnose na traženje nestalih osoba iz Domovinskog rata, organizaciju ekshumacija masovnih i pojedinačnih grobnica na području Republike Hrvatske, prikupljanje i obradu podataka o ekshumiranim žrtvama u cilju identifikacije, te organizaciju identifikacije posmrtnih ostataka žrtava i njihovu sahranu. Ministarstvo obavlja i poslove koji se odnose na očuvanje spomena na žrtve Drugog svjetskog rata i poraća.  </w:t>
      </w:r>
    </w:p>
    <w:p w:rsidR="005C2091" w:rsidRDefault="00A86293">
      <w:r>
        <w:t>U izvještajnom razdoblju proračun razdjela 041 - Ministarstvo hrvatskih branitelja izvršen je u iznosu od 908.370.095,41 kunu, a indeks izvršenja iznosi 99,40%. Od toga je izvršenje Ministarstva hrvatskih branitelja (glava 04105) 862.258.041,62 kune, Javne ustanove „Memorijalni centar Domovinskog rata Vukovar“ (glava 04110) 34.145.580,99 kuna i Javne  ustanove „Dom hrvatskih veterana“ (glava 04115) 11.966.472,80 kuna.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04105-Ministarstvo hrvatskih branitelja</w:t>
            </w:r>
          </w:p>
        </w:tc>
        <w:tc>
          <w:tcPr>
            <w:tcW w:w="2041" w:type="dxa"/>
            <w:vAlign w:val="top"/>
          </w:tcPr>
          <w:p w:rsidR="005C2091" w:rsidRDefault="00A86293">
            <w:pPr>
              <w:pStyle w:val="CellColumn"/>
              <w:jc w:val="right"/>
            </w:pPr>
            <w:r>
              <w:rPr>
                <w:rFonts w:cs="Times New Roman"/>
              </w:rPr>
              <w:t>871.109.556</w:t>
            </w:r>
          </w:p>
        </w:tc>
        <w:tc>
          <w:tcPr>
            <w:tcW w:w="2041" w:type="dxa"/>
            <w:vAlign w:val="top"/>
          </w:tcPr>
          <w:p w:rsidR="005C2091" w:rsidRDefault="00A86293">
            <w:pPr>
              <w:pStyle w:val="CellColumn"/>
              <w:jc w:val="right"/>
            </w:pPr>
            <w:r>
              <w:rPr>
                <w:rFonts w:cs="Times New Roman"/>
              </w:rPr>
              <w:t>862.821.618</w:t>
            </w:r>
          </w:p>
        </w:tc>
        <w:tc>
          <w:tcPr>
            <w:tcW w:w="2041" w:type="dxa"/>
            <w:vAlign w:val="top"/>
          </w:tcPr>
          <w:p w:rsidR="005C2091" w:rsidRDefault="00A86293">
            <w:pPr>
              <w:pStyle w:val="CellColumn"/>
              <w:jc w:val="right"/>
            </w:pPr>
            <w:r>
              <w:rPr>
                <w:rFonts w:cs="Times New Roman"/>
              </w:rPr>
              <w:t>862.258.042</w:t>
            </w:r>
          </w:p>
        </w:tc>
        <w:tc>
          <w:tcPr>
            <w:tcW w:w="1224" w:type="dxa"/>
            <w:vAlign w:val="top"/>
          </w:tcPr>
          <w:p w:rsidR="005C2091" w:rsidRDefault="00A86293">
            <w:pPr>
              <w:pStyle w:val="CellColumn"/>
              <w:jc w:val="right"/>
            </w:pPr>
            <w:r>
              <w:rPr>
                <w:rFonts w:cs="Times New Roman"/>
              </w:rPr>
              <w:t>99,9</w:t>
            </w:r>
          </w:p>
        </w:tc>
        <w:tc>
          <w:tcPr>
            <w:tcW w:w="1224" w:type="dxa"/>
            <w:vAlign w:val="top"/>
          </w:tcPr>
          <w:p w:rsidR="005C2091" w:rsidRDefault="00A86293">
            <w:pPr>
              <w:pStyle w:val="CellColumn"/>
              <w:jc w:val="right"/>
            </w:pPr>
            <w:r>
              <w:rPr>
                <w:rFonts w:cs="Times New Roman"/>
              </w:rPr>
              <w:t>99,0</w:t>
            </w:r>
          </w:p>
        </w:tc>
      </w:tr>
      <w:tr w:rsidR="005C2091">
        <w:trPr>
          <w:jc w:val="center"/>
        </w:trPr>
        <w:tc>
          <w:tcPr>
            <w:tcW w:w="1632" w:type="dxa"/>
            <w:vAlign w:val="top"/>
          </w:tcPr>
          <w:p w:rsidR="005C2091" w:rsidRDefault="00A86293">
            <w:pPr>
              <w:pStyle w:val="CellColumn"/>
              <w:jc w:val="left"/>
            </w:pPr>
            <w:r>
              <w:rPr>
                <w:rFonts w:cs="Times New Roman"/>
              </w:rPr>
              <w:t>04110-Javna ustanova "Memorijalni centar Domovinskog rata Vukovar"</w:t>
            </w:r>
          </w:p>
        </w:tc>
        <w:tc>
          <w:tcPr>
            <w:tcW w:w="2041" w:type="dxa"/>
            <w:vAlign w:val="top"/>
          </w:tcPr>
          <w:p w:rsidR="005C2091" w:rsidRDefault="00A86293">
            <w:pPr>
              <w:pStyle w:val="CellColumn"/>
              <w:jc w:val="right"/>
            </w:pPr>
            <w:r>
              <w:rPr>
                <w:rFonts w:cs="Times New Roman"/>
              </w:rPr>
              <w:t>33.105.600</w:t>
            </w:r>
          </w:p>
        </w:tc>
        <w:tc>
          <w:tcPr>
            <w:tcW w:w="2041" w:type="dxa"/>
            <w:vAlign w:val="top"/>
          </w:tcPr>
          <w:p w:rsidR="005C2091" w:rsidRDefault="00A86293">
            <w:pPr>
              <w:pStyle w:val="CellColumn"/>
              <w:jc w:val="right"/>
            </w:pPr>
            <w:r>
              <w:rPr>
                <w:rFonts w:cs="Times New Roman"/>
              </w:rPr>
              <w:t>35.644.400</w:t>
            </w:r>
          </w:p>
        </w:tc>
        <w:tc>
          <w:tcPr>
            <w:tcW w:w="2041" w:type="dxa"/>
            <w:vAlign w:val="top"/>
          </w:tcPr>
          <w:p w:rsidR="005C2091" w:rsidRDefault="00A86293">
            <w:pPr>
              <w:pStyle w:val="CellColumn"/>
              <w:jc w:val="right"/>
            </w:pPr>
            <w:r>
              <w:rPr>
                <w:rFonts w:cs="Times New Roman"/>
              </w:rPr>
              <w:t>34.145.581</w:t>
            </w:r>
          </w:p>
        </w:tc>
        <w:tc>
          <w:tcPr>
            <w:tcW w:w="1224" w:type="dxa"/>
            <w:vAlign w:val="top"/>
          </w:tcPr>
          <w:p w:rsidR="005C2091" w:rsidRDefault="00A86293">
            <w:pPr>
              <w:pStyle w:val="CellColumn"/>
              <w:jc w:val="right"/>
            </w:pPr>
            <w:r>
              <w:rPr>
                <w:rFonts w:cs="Times New Roman"/>
              </w:rPr>
              <w:t>95,8</w:t>
            </w:r>
          </w:p>
        </w:tc>
        <w:tc>
          <w:tcPr>
            <w:tcW w:w="1224" w:type="dxa"/>
            <w:vAlign w:val="top"/>
          </w:tcPr>
          <w:p w:rsidR="005C2091" w:rsidRDefault="00A86293">
            <w:pPr>
              <w:pStyle w:val="CellColumn"/>
              <w:jc w:val="right"/>
            </w:pPr>
            <w:r>
              <w:rPr>
                <w:rFonts w:cs="Times New Roman"/>
              </w:rPr>
              <w:t>103,1</w:t>
            </w:r>
          </w:p>
        </w:tc>
      </w:tr>
      <w:tr w:rsidR="005C2091">
        <w:trPr>
          <w:jc w:val="center"/>
        </w:trPr>
        <w:tc>
          <w:tcPr>
            <w:tcW w:w="1632" w:type="dxa"/>
            <w:vAlign w:val="top"/>
          </w:tcPr>
          <w:p w:rsidR="005C2091" w:rsidRDefault="00A86293">
            <w:pPr>
              <w:pStyle w:val="CellColumn"/>
              <w:jc w:val="left"/>
            </w:pPr>
            <w:r>
              <w:rPr>
                <w:rFonts w:cs="Times New Roman"/>
              </w:rPr>
              <w:t>04115-Dom hrvatskih veterana</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15.385.000</w:t>
            </w:r>
          </w:p>
        </w:tc>
        <w:tc>
          <w:tcPr>
            <w:tcW w:w="2041" w:type="dxa"/>
            <w:vAlign w:val="top"/>
          </w:tcPr>
          <w:p w:rsidR="005C2091" w:rsidRDefault="00A86293">
            <w:pPr>
              <w:pStyle w:val="CellColumn"/>
              <w:jc w:val="right"/>
            </w:pPr>
            <w:r>
              <w:rPr>
                <w:rFonts w:cs="Times New Roman"/>
              </w:rPr>
              <w:t>11.966.473</w:t>
            </w:r>
          </w:p>
        </w:tc>
        <w:tc>
          <w:tcPr>
            <w:tcW w:w="1224" w:type="dxa"/>
            <w:vAlign w:val="top"/>
          </w:tcPr>
          <w:p w:rsidR="005C2091" w:rsidRDefault="00A86293">
            <w:pPr>
              <w:pStyle w:val="CellColumn"/>
              <w:jc w:val="right"/>
            </w:pPr>
            <w:r>
              <w:rPr>
                <w:rFonts w:cs="Times New Roman"/>
              </w:rPr>
              <w:t>77,8</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shd w:val="clear" w:color="auto" w:fill="B5C0D8"/>
          </w:tcPr>
          <w:p w:rsidR="005C2091" w:rsidRDefault="00A86293">
            <w:pPr>
              <w:pStyle w:val="CellColumn"/>
              <w:jc w:val="left"/>
            </w:pPr>
            <w:r>
              <w:rPr>
                <w:rFonts w:cs="Times New Roman"/>
              </w:rPr>
              <w:t>Ukupno 041-MINISTARSTVO HRVATSKIH BRANITELJA</w:t>
            </w:r>
          </w:p>
        </w:tc>
        <w:tc>
          <w:tcPr>
            <w:tcW w:w="2041" w:type="dxa"/>
            <w:shd w:val="clear" w:color="auto" w:fill="B5C0D8"/>
          </w:tcPr>
          <w:p w:rsidR="005C2091" w:rsidRDefault="00A86293">
            <w:pPr>
              <w:pStyle w:val="CellColumn"/>
              <w:jc w:val="right"/>
            </w:pPr>
            <w:r>
              <w:rPr>
                <w:rFonts w:cs="Times New Roman"/>
              </w:rPr>
              <w:t>904.215.155</w:t>
            </w:r>
          </w:p>
        </w:tc>
        <w:tc>
          <w:tcPr>
            <w:tcW w:w="2041" w:type="dxa"/>
            <w:shd w:val="clear" w:color="auto" w:fill="B5C0D8"/>
          </w:tcPr>
          <w:p w:rsidR="005C2091" w:rsidRDefault="00A86293">
            <w:pPr>
              <w:pStyle w:val="CellColumn"/>
              <w:jc w:val="right"/>
            </w:pPr>
            <w:r>
              <w:rPr>
                <w:rFonts w:cs="Times New Roman"/>
              </w:rPr>
              <w:t>913.851.018</w:t>
            </w:r>
          </w:p>
        </w:tc>
        <w:tc>
          <w:tcPr>
            <w:tcW w:w="2041" w:type="dxa"/>
            <w:shd w:val="clear" w:color="auto" w:fill="B5C0D8"/>
          </w:tcPr>
          <w:p w:rsidR="005C2091" w:rsidRDefault="00A86293">
            <w:pPr>
              <w:pStyle w:val="CellColumn"/>
              <w:jc w:val="right"/>
            </w:pPr>
            <w:r>
              <w:rPr>
                <w:rFonts w:cs="Times New Roman"/>
              </w:rPr>
              <w:t>908.370.095</w:t>
            </w:r>
          </w:p>
        </w:tc>
        <w:tc>
          <w:tcPr>
            <w:tcW w:w="1224" w:type="dxa"/>
            <w:shd w:val="clear" w:color="auto" w:fill="B5C0D8"/>
          </w:tcPr>
          <w:p w:rsidR="005C2091" w:rsidRDefault="00A86293">
            <w:pPr>
              <w:pStyle w:val="CellColumn"/>
              <w:jc w:val="right"/>
            </w:pPr>
            <w:r>
              <w:rPr>
                <w:rFonts w:cs="Times New Roman"/>
              </w:rPr>
              <w:t>99,4</w:t>
            </w:r>
          </w:p>
        </w:tc>
        <w:tc>
          <w:tcPr>
            <w:tcW w:w="1224" w:type="dxa"/>
            <w:shd w:val="clear" w:color="auto" w:fill="B5C0D8"/>
          </w:tcPr>
          <w:p w:rsidR="005C2091" w:rsidRDefault="00A86293">
            <w:pPr>
              <w:pStyle w:val="CellColumn"/>
              <w:jc w:val="right"/>
            </w:pPr>
            <w:r>
              <w:rPr>
                <w:rFonts w:cs="Times New Roman"/>
              </w:rPr>
              <w:t>100,5</w:t>
            </w:r>
          </w:p>
        </w:tc>
      </w:tr>
    </w:tbl>
    <w:p w:rsidR="005C2091" w:rsidRDefault="005C2091">
      <w:pPr>
        <w:jc w:val="left"/>
      </w:pPr>
    </w:p>
    <w:p w:rsidR="005C2091" w:rsidRDefault="00A86293">
      <w:pPr>
        <w:pStyle w:val="Heading2"/>
      </w:pPr>
      <w:r>
        <w:t>04105 Ministarstvo hrvatskih branitelja</w:t>
      </w:r>
    </w:p>
    <w:p w:rsidR="005C2091" w:rsidRDefault="00A86293">
      <w:r>
        <w:t xml:space="preserve">Ministarstvo hrvatskih branitelja obavlja upravne i druge poslove koji se odnose na pravni položaj, rješavanje pravnog položaja i drugih pitanja hrvatskih ratnih vojnih invalida iz Domovinskog rata i  mirnodopskih vojnih invalida, razvojačenih branitelja i članova njihovih obitelji, te obitelji poginuloga, umrloga, zatočenog ili nestaloga hrvatskog branitelja, osim onih poslova koji ulaze u djelokrug drugih ministarstava.  </w:t>
      </w:r>
    </w:p>
    <w:p w:rsidR="005C2091" w:rsidRDefault="00A86293">
      <w:r>
        <w:lastRenderedPageBreak/>
        <w:t xml:space="preserve">Ministarstvo tradicionalno obilježava obljetnice, odavanjem počasti poginulim hrvatskim braniteljima te održavanjem prigodnih programa. Izgradnjom spomen obilježja na mjestima masovnih grobnica iz Domovinskog rata kao i pružanjem potpore podizanju spomenika hrvatskim braniteljima poginulim u Domovinskom ratu, Ministarstvo štiti temeljne vrijednosti i dignitet Domovinskog rata.  </w:t>
      </w:r>
    </w:p>
    <w:p w:rsidR="005C2091" w:rsidRDefault="00A86293">
      <w:r>
        <w:t xml:space="preserve">Ministarstvo obavlja stručne i druge poslove koji se odnose na traženje zatočenih i nestalih, organizaciju ekshumacija masovnih i pojedinačnih grobnica na teritoriju Republike Hrvatske, prikuplja i obrađuje podatke o ekshumiranim žrtvama u cilju identifikacije te organizira identifikaciju posmrtnih ostataka žrtava.  </w:t>
      </w:r>
    </w:p>
    <w:p w:rsidR="005C2091" w:rsidRDefault="00A86293">
      <w:r>
        <w:t>Ministarstvo hrvatskih branitelja aktivno sudjeluje u izradi programskih dokumenata za financijsku perspektivu Europske unije od 2014.-2020. godine (Partnerski sporazum, Operativni programi i Ekonomski program reformi RH).</w:t>
      </w:r>
    </w:p>
    <w:tbl>
      <w:tblPr>
        <w:tblStyle w:val="StilTablice"/>
        <w:tblW w:w="10206" w:type="dxa"/>
        <w:jc w:val="center"/>
        <w:tblLook w:val="04A0" w:firstRow="1" w:lastRow="0" w:firstColumn="1" w:lastColumn="0" w:noHBand="0" w:noVBand="1"/>
      </w:tblPr>
      <w:tblGrid>
        <w:gridCol w:w="1681"/>
        <w:gridCol w:w="2027"/>
        <w:gridCol w:w="2028"/>
        <w:gridCol w:w="2028"/>
        <w:gridCol w:w="1220"/>
        <w:gridCol w:w="122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04105-Ministarstvo hrvatskih branitelja</w:t>
            </w:r>
          </w:p>
        </w:tc>
        <w:tc>
          <w:tcPr>
            <w:tcW w:w="2041" w:type="dxa"/>
            <w:vAlign w:val="top"/>
          </w:tcPr>
          <w:p w:rsidR="005C2091" w:rsidRDefault="00A86293">
            <w:pPr>
              <w:pStyle w:val="CellColumn"/>
              <w:jc w:val="right"/>
            </w:pPr>
            <w:r>
              <w:rPr>
                <w:rFonts w:cs="Times New Roman"/>
              </w:rPr>
              <w:t>871.109.556</w:t>
            </w:r>
          </w:p>
        </w:tc>
        <w:tc>
          <w:tcPr>
            <w:tcW w:w="2041" w:type="dxa"/>
            <w:vAlign w:val="top"/>
          </w:tcPr>
          <w:p w:rsidR="005C2091" w:rsidRDefault="00A86293">
            <w:pPr>
              <w:pStyle w:val="CellColumn"/>
              <w:jc w:val="right"/>
            </w:pPr>
            <w:r>
              <w:rPr>
                <w:rFonts w:cs="Times New Roman"/>
              </w:rPr>
              <w:t>862.821.618</w:t>
            </w:r>
          </w:p>
        </w:tc>
        <w:tc>
          <w:tcPr>
            <w:tcW w:w="2041" w:type="dxa"/>
            <w:vAlign w:val="top"/>
          </w:tcPr>
          <w:p w:rsidR="005C2091" w:rsidRDefault="00A86293">
            <w:pPr>
              <w:pStyle w:val="CellColumn"/>
              <w:jc w:val="right"/>
            </w:pPr>
            <w:r>
              <w:rPr>
                <w:rFonts w:cs="Times New Roman"/>
              </w:rPr>
              <w:t>862.258.042</w:t>
            </w:r>
          </w:p>
        </w:tc>
        <w:tc>
          <w:tcPr>
            <w:tcW w:w="1224" w:type="dxa"/>
            <w:vAlign w:val="top"/>
          </w:tcPr>
          <w:p w:rsidR="005C2091" w:rsidRDefault="00A86293">
            <w:pPr>
              <w:pStyle w:val="CellColumn"/>
              <w:jc w:val="right"/>
            </w:pPr>
            <w:r>
              <w:rPr>
                <w:rFonts w:cs="Times New Roman"/>
              </w:rPr>
              <w:t>99,9</w:t>
            </w:r>
          </w:p>
        </w:tc>
        <w:tc>
          <w:tcPr>
            <w:tcW w:w="1224" w:type="dxa"/>
            <w:vAlign w:val="top"/>
          </w:tcPr>
          <w:p w:rsidR="005C2091" w:rsidRDefault="00A86293">
            <w:pPr>
              <w:pStyle w:val="CellColumn"/>
              <w:jc w:val="right"/>
            </w:pPr>
            <w:r>
              <w:rPr>
                <w:rFonts w:cs="Times New Roman"/>
              </w:rPr>
              <w:t>99,0</w:t>
            </w:r>
          </w:p>
        </w:tc>
      </w:tr>
      <w:tr w:rsidR="005C2091">
        <w:trPr>
          <w:jc w:val="center"/>
        </w:trPr>
        <w:tc>
          <w:tcPr>
            <w:tcW w:w="1632" w:type="dxa"/>
          </w:tcPr>
          <w:p w:rsidR="005C2091" w:rsidRDefault="00A86293">
            <w:pPr>
              <w:jc w:val="left"/>
            </w:pPr>
            <w:r>
              <w:t>3911-OBILJEŽAVANJE MJESTA STRADAVANJA U DOMOVINSKOM RATU</w:t>
            </w:r>
          </w:p>
        </w:tc>
        <w:tc>
          <w:tcPr>
            <w:tcW w:w="2041" w:type="dxa"/>
          </w:tcPr>
          <w:p w:rsidR="005C2091" w:rsidRDefault="00A86293">
            <w:pPr>
              <w:jc w:val="right"/>
            </w:pPr>
            <w:r>
              <w:t>10.508.065</w:t>
            </w:r>
          </w:p>
        </w:tc>
        <w:tc>
          <w:tcPr>
            <w:tcW w:w="2041" w:type="dxa"/>
          </w:tcPr>
          <w:p w:rsidR="005C2091" w:rsidRDefault="00A86293">
            <w:pPr>
              <w:jc w:val="right"/>
            </w:pPr>
            <w:r>
              <w:t>10.901.500</w:t>
            </w:r>
          </w:p>
        </w:tc>
        <w:tc>
          <w:tcPr>
            <w:tcW w:w="2041" w:type="dxa"/>
          </w:tcPr>
          <w:p w:rsidR="005C2091" w:rsidRDefault="00A86293">
            <w:pPr>
              <w:jc w:val="right"/>
            </w:pPr>
            <w:r>
              <w:t>10.313.315</w:t>
            </w:r>
          </w:p>
        </w:tc>
        <w:tc>
          <w:tcPr>
            <w:tcW w:w="1224" w:type="dxa"/>
          </w:tcPr>
          <w:p w:rsidR="005C2091" w:rsidRDefault="00A86293">
            <w:pPr>
              <w:jc w:val="right"/>
            </w:pPr>
            <w:r>
              <w:t>94,6</w:t>
            </w:r>
          </w:p>
        </w:tc>
        <w:tc>
          <w:tcPr>
            <w:tcW w:w="1224" w:type="dxa"/>
          </w:tcPr>
          <w:p w:rsidR="005C2091" w:rsidRDefault="00A86293">
            <w:pPr>
              <w:jc w:val="right"/>
            </w:pPr>
            <w:r>
              <w:t>98,1</w:t>
            </w:r>
          </w:p>
        </w:tc>
      </w:tr>
      <w:tr w:rsidR="005C2091">
        <w:trPr>
          <w:jc w:val="center"/>
        </w:trPr>
        <w:tc>
          <w:tcPr>
            <w:tcW w:w="1632" w:type="dxa"/>
          </w:tcPr>
          <w:p w:rsidR="005C2091" w:rsidRDefault="00A86293">
            <w:pPr>
              <w:jc w:val="left"/>
            </w:pPr>
            <w:r>
              <w:t>4007-SKRB ZA HRVATSKE BRANITELJE IZ DOMOVINSKOG RATA</w:t>
            </w:r>
          </w:p>
        </w:tc>
        <w:tc>
          <w:tcPr>
            <w:tcW w:w="2041" w:type="dxa"/>
          </w:tcPr>
          <w:p w:rsidR="005C2091" w:rsidRDefault="00A86293">
            <w:pPr>
              <w:jc w:val="right"/>
            </w:pPr>
            <w:r>
              <w:t>105.145.110</w:t>
            </w:r>
          </w:p>
        </w:tc>
        <w:tc>
          <w:tcPr>
            <w:tcW w:w="2041" w:type="dxa"/>
          </w:tcPr>
          <w:p w:rsidR="005C2091" w:rsidRDefault="00A86293">
            <w:pPr>
              <w:jc w:val="right"/>
            </w:pPr>
            <w:r>
              <w:t>107.858.010</w:t>
            </w:r>
          </w:p>
        </w:tc>
        <w:tc>
          <w:tcPr>
            <w:tcW w:w="2041" w:type="dxa"/>
          </w:tcPr>
          <w:p w:rsidR="005C2091" w:rsidRDefault="00A86293">
            <w:pPr>
              <w:jc w:val="right"/>
            </w:pPr>
            <w:r>
              <w:t>104.723.347</w:t>
            </w:r>
          </w:p>
        </w:tc>
        <w:tc>
          <w:tcPr>
            <w:tcW w:w="1224" w:type="dxa"/>
          </w:tcPr>
          <w:p w:rsidR="005C2091" w:rsidRDefault="00A86293">
            <w:pPr>
              <w:jc w:val="right"/>
            </w:pPr>
            <w:r>
              <w:t>97,1</w:t>
            </w:r>
          </w:p>
        </w:tc>
        <w:tc>
          <w:tcPr>
            <w:tcW w:w="1224" w:type="dxa"/>
          </w:tcPr>
          <w:p w:rsidR="005C2091" w:rsidRDefault="00A86293">
            <w:pPr>
              <w:jc w:val="right"/>
            </w:pPr>
            <w:r>
              <w:t>99,6</w:t>
            </w:r>
          </w:p>
        </w:tc>
      </w:tr>
      <w:tr w:rsidR="005C2091">
        <w:trPr>
          <w:jc w:val="center"/>
        </w:trPr>
        <w:tc>
          <w:tcPr>
            <w:tcW w:w="1632" w:type="dxa"/>
          </w:tcPr>
          <w:p w:rsidR="005C2091" w:rsidRDefault="00A86293">
            <w:pPr>
              <w:jc w:val="left"/>
            </w:pPr>
            <w:r>
              <w:t>4008-ZATOČENI I NESTALI</w:t>
            </w:r>
          </w:p>
        </w:tc>
        <w:tc>
          <w:tcPr>
            <w:tcW w:w="2041" w:type="dxa"/>
          </w:tcPr>
          <w:p w:rsidR="005C2091" w:rsidRDefault="00A86293">
            <w:pPr>
              <w:jc w:val="right"/>
            </w:pPr>
            <w:r>
              <w:t>6.820.651</w:t>
            </w:r>
          </w:p>
        </w:tc>
        <w:tc>
          <w:tcPr>
            <w:tcW w:w="2041" w:type="dxa"/>
          </w:tcPr>
          <w:p w:rsidR="005C2091" w:rsidRDefault="00A86293">
            <w:pPr>
              <w:jc w:val="right"/>
            </w:pPr>
            <w:r>
              <w:t>7.360.700</w:t>
            </w:r>
          </w:p>
        </w:tc>
        <w:tc>
          <w:tcPr>
            <w:tcW w:w="2041" w:type="dxa"/>
          </w:tcPr>
          <w:p w:rsidR="005C2091" w:rsidRDefault="00A86293">
            <w:pPr>
              <w:jc w:val="right"/>
            </w:pPr>
            <w:r>
              <w:t>5.851.378</w:t>
            </w:r>
          </w:p>
        </w:tc>
        <w:tc>
          <w:tcPr>
            <w:tcW w:w="1224" w:type="dxa"/>
          </w:tcPr>
          <w:p w:rsidR="005C2091" w:rsidRDefault="00A86293">
            <w:pPr>
              <w:jc w:val="right"/>
            </w:pPr>
            <w:r>
              <w:t>79,5</w:t>
            </w:r>
          </w:p>
        </w:tc>
        <w:tc>
          <w:tcPr>
            <w:tcW w:w="1224" w:type="dxa"/>
          </w:tcPr>
          <w:p w:rsidR="005C2091" w:rsidRDefault="00A86293">
            <w:pPr>
              <w:jc w:val="right"/>
            </w:pPr>
            <w:r>
              <w:t>85,8</w:t>
            </w:r>
          </w:p>
        </w:tc>
      </w:tr>
      <w:tr w:rsidR="005C2091">
        <w:trPr>
          <w:jc w:val="center"/>
        </w:trPr>
        <w:tc>
          <w:tcPr>
            <w:tcW w:w="1632" w:type="dxa"/>
          </w:tcPr>
          <w:p w:rsidR="005C2091" w:rsidRDefault="00A86293">
            <w:pPr>
              <w:jc w:val="left"/>
            </w:pPr>
            <w:r>
              <w:t>4013-SOCIJALNE POMOĆI I NAKNADE SUDIONICIMA I ŽRTVAMA RATA</w:t>
            </w:r>
          </w:p>
        </w:tc>
        <w:tc>
          <w:tcPr>
            <w:tcW w:w="2041" w:type="dxa"/>
          </w:tcPr>
          <w:p w:rsidR="005C2091" w:rsidRDefault="00A86293">
            <w:pPr>
              <w:jc w:val="right"/>
            </w:pPr>
            <w:r>
              <w:t>706.868.718</w:t>
            </w:r>
          </w:p>
        </w:tc>
        <w:tc>
          <w:tcPr>
            <w:tcW w:w="2041" w:type="dxa"/>
          </w:tcPr>
          <w:p w:rsidR="005C2091" w:rsidRDefault="00A86293">
            <w:pPr>
              <w:jc w:val="right"/>
            </w:pPr>
            <w:r>
              <w:t>687.826.408</w:t>
            </w:r>
          </w:p>
        </w:tc>
        <w:tc>
          <w:tcPr>
            <w:tcW w:w="2041" w:type="dxa"/>
          </w:tcPr>
          <w:p w:rsidR="005C2091" w:rsidRDefault="00A86293">
            <w:pPr>
              <w:jc w:val="right"/>
            </w:pPr>
            <w:r>
              <w:t>686.696.605</w:t>
            </w:r>
          </w:p>
        </w:tc>
        <w:tc>
          <w:tcPr>
            <w:tcW w:w="1224" w:type="dxa"/>
          </w:tcPr>
          <w:p w:rsidR="005C2091" w:rsidRDefault="00A86293">
            <w:pPr>
              <w:jc w:val="right"/>
            </w:pPr>
            <w:r>
              <w:t>99,8</w:t>
            </w:r>
          </w:p>
        </w:tc>
        <w:tc>
          <w:tcPr>
            <w:tcW w:w="1224" w:type="dxa"/>
          </w:tcPr>
          <w:p w:rsidR="005C2091" w:rsidRDefault="00A86293">
            <w:pPr>
              <w:jc w:val="right"/>
            </w:pPr>
            <w:r>
              <w:t>97,1</w:t>
            </w:r>
          </w:p>
        </w:tc>
      </w:tr>
      <w:tr w:rsidR="005C2091">
        <w:trPr>
          <w:jc w:val="center"/>
        </w:trPr>
        <w:tc>
          <w:tcPr>
            <w:tcW w:w="1632" w:type="dxa"/>
          </w:tcPr>
          <w:p w:rsidR="005C2091" w:rsidRDefault="00A86293">
            <w:pPr>
              <w:jc w:val="left"/>
            </w:pPr>
            <w:r>
              <w:t>4015-STAMBENO ZBRINJAVANJE HRVI I ČLANOVA NJIHOVIH OBITELJI</w:t>
            </w:r>
          </w:p>
        </w:tc>
        <w:tc>
          <w:tcPr>
            <w:tcW w:w="2041" w:type="dxa"/>
          </w:tcPr>
          <w:p w:rsidR="005C2091" w:rsidRDefault="00A86293">
            <w:pPr>
              <w:jc w:val="right"/>
            </w:pPr>
            <w:r>
              <w:t>41.767.012</w:t>
            </w:r>
          </w:p>
        </w:tc>
        <w:tc>
          <w:tcPr>
            <w:tcW w:w="2041" w:type="dxa"/>
          </w:tcPr>
          <w:p w:rsidR="005C2091" w:rsidRDefault="00A86293">
            <w:pPr>
              <w:jc w:val="right"/>
            </w:pPr>
            <w:r>
              <w:t>48.875.000</w:t>
            </w:r>
          </w:p>
        </w:tc>
        <w:tc>
          <w:tcPr>
            <w:tcW w:w="2041" w:type="dxa"/>
          </w:tcPr>
          <w:p w:rsidR="005C2091" w:rsidRDefault="00A86293">
            <w:pPr>
              <w:jc w:val="right"/>
            </w:pPr>
            <w:r>
              <w:t>54.673.397</w:t>
            </w:r>
          </w:p>
        </w:tc>
        <w:tc>
          <w:tcPr>
            <w:tcW w:w="1224" w:type="dxa"/>
          </w:tcPr>
          <w:p w:rsidR="005C2091" w:rsidRDefault="00A86293">
            <w:pPr>
              <w:jc w:val="right"/>
            </w:pPr>
            <w:r>
              <w:t>111,9</w:t>
            </w:r>
          </w:p>
        </w:tc>
        <w:tc>
          <w:tcPr>
            <w:tcW w:w="1224" w:type="dxa"/>
          </w:tcPr>
          <w:p w:rsidR="005C2091" w:rsidRDefault="00A86293">
            <w:pPr>
              <w:jc w:val="right"/>
            </w:pPr>
            <w:r>
              <w:t>130,9</w:t>
            </w:r>
          </w:p>
        </w:tc>
      </w:tr>
    </w:tbl>
    <w:p w:rsidR="005C2091" w:rsidRDefault="005C2091">
      <w:pPr>
        <w:jc w:val="left"/>
      </w:pPr>
    </w:p>
    <w:p w:rsidR="000A6D36" w:rsidRDefault="000A6D36">
      <w:pPr>
        <w:jc w:val="left"/>
      </w:pPr>
    </w:p>
    <w:p w:rsidR="000A6D36" w:rsidRDefault="000A6D36">
      <w:pPr>
        <w:jc w:val="left"/>
      </w:pPr>
    </w:p>
    <w:p w:rsidR="005C2091" w:rsidRDefault="00A86293">
      <w:pPr>
        <w:pStyle w:val="Heading3"/>
      </w:pPr>
      <w:r>
        <w:rPr>
          <w:rFonts w:cs="Times New Roman"/>
        </w:rPr>
        <w:lastRenderedPageBreak/>
        <w:t>3911 OBILJEŽAVANJE MJESTA STRADAVANJA U DOMOVINSKOM RATU</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3911-OBILJEŽAVANJE MJESTA STRADAVANJA U DOMOVINSKOM RATU</w:t>
            </w:r>
          </w:p>
        </w:tc>
        <w:tc>
          <w:tcPr>
            <w:tcW w:w="2041" w:type="dxa"/>
          </w:tcPr>
          <w:p w:rsidR="005C2091" w:rsidRDefault="00A86293">
            <w:pPr>
              <w:pStyle w:val="CellColumn"/>
              <w:jc w:val="right"/>
            </w:pPr>
            <w:r>
              <w:rPr>
                <w:rFonts w:cs="Times New Roman"/>
              </w:rPr>
              <w:t>10.508.065</w:t>
            </w:r>
          </w:p>
        </w:tc>
        <w:tc>
          <w:tcPr>
            <w:tcW w:w="2041" w:type="dxa"/>
          </w:tcPr>
          <w:p w:rsidR="005C2091" w:rsidRDefault="00A86293">
            <w:pPr>
              <w:pStyle w:val="CellColumn"/>
              <w:jc w:val="right"/>
            </w:pPr>
            <w:r>
              <w:rPr>
                <w:rFonts w:cs="Times New Roman"/>
              </w:rPr>
              <w:t>10.901.500</w:t>
            </w:r>
          </w:p>
        </w:tc>
        <w:tc>
          <w:tcPr>
            <w:tcW w:w="2041" w:type="dxa"/>
          </w:tcPr>
          <w:p w:rsidR="005C2091" w:rsidRDefault="00A86293">
            <w:pPr>
              <w:pStyle w:val="CellColumn"/>
              <w:jc w:val="right"/>
            </w:pPr>
            <w:r>
              <w:rPr>
                <w:rFonts w:cs="Times New Roman"/>
              </w:rPr>
              <w:t>10.313.315</w:t>
            </w:r>
          </w:p>
        </w:tc>
        <w:tc>
          <w:tcPr>
            <w:tcW w:w="1224" w:type="dxa"/>
          </w:tcPr>
          <w:p w:rsidR="005C2091" w:rsidRDefault="00A86293">
            <w:pPr>
              <w:pStyle w:val="CellColumn"/>
              <w:jc w:val="right"/>
            </w:pPr>
            <w:r>
              <w:rPr>
                <w:rFonts w:cs="Times New Roman"/>
              </w:rPr>
              <w:t>94,6</w:t>
            </w:r>
          </w:p>
        </w:tc>
        <w:tc>
          <w:tcPr>
            <w:tcW w:w="1224" w:type="dxa"/>
          </w:tcPr>
          <w:p w:rsidR="005C2091" w:rsidRDefault="00A86293">
            <w:pPr>
              <w:pStyle w:val="CellColumn"/>
              <w:jc w:val="right"/>
            </w:pPr>
            <w:r>
              <w:rPr>
                <w:rFonts w:cs="Times New Roman"/>
              </w:rPr>
              <w:t>98,1</w:t>
            </w:r>
          </w:p>
        </w:tc>
      </w:tr>
    </w:tbl>
    <w:p w:rsidR="005C2091" w:rsidRDefault="005C2091">
      <w:pPr>
        <w:jc w:val="left"/>
      </w:pPr>
    </w:p>
    <w:p w:rsidR="005C2091" w:rsidRDefault="00A86293">
      <w:r>
        <w:t xml:space="preserve">U znak trajnog sjećanja na sve značajne događaje u Domovinskom ratu i odavanje počasti svim žrtvama Domovinskog rata, Ministarstvo sufinancira izgradnju, postavljanje ili uređenje spomen-obilježja žrtvama stradalim u Domovinskom ratu, obilježava mjesta masovnih grobnica žrtava iz Domovinskog rata, vodi protokolarnu i administrativnu skrb o Memorijalnom groblju žrtava iz Domovinskog rata u Vukovaru te sufinancira projekte udruga proisteklih iz Domovinskog rata s ciljem očuvanja povijesnih vrednota Domovinskog rata.  </w:t>
      </w:r>
    </w:p>
    <w:p w:rsidR="005C2091" w:rsidRDefault="00A86293">
      <w:r>
        <w:t xml:space="preserve">Sufinanciranjem izgradnje, postavljanja ili uređenja spomen-obilježja žrtvama stradalim u Domovinskom ratu, na području Republike Hrvatske i obilježavanjem obljetnica ratnih događanja i stradanja hrvatskih branitelja u Domovinskom ratu, obljetnica osnivanja ratnih postrojbi, blagdana i obljetnica koje se obilježavaju na državnoj i lokalnoj razini, čuvaju se stečevine i štiti dignitet Domovinskog rata. </w:t>
      </w:r>
    </w:p>
    <w:p w:rsidR="005C2091" w:rsidRDefault="00A86293">
      <w:r>
        <w:t>Za ostvarivanje programa „Obilježavanje mjesta stradavanja u Domovinskom ratu“ u 2016. godini osigurano je 10.901.500,00 kuna. U izvještajnom razdoblju program je realiziran s 94,60%, odnosno u iznosu 10.313.315,04 kuna.  Cilj programa je očuvanje digniteta Domovinskog rata.</w:t>
      </w:r>
    </w:p>
    <w:p w:rsidR="005C2091" w:rsidRDefault="00A86293">
      <w:pPr>
        <w:pStyle w:val="Heading8"/>
        <w:jc w:val="left"/>
      </w:pPr>
      <w:r>
        <w:t>Cilj 1. Očuvanje digniteta i promicanje vrijednosti Domovinskog rata.</w:t>
      </w:r>
    </w:p>
    <w:p w:rsidR="005C2091" w:rsidRDefault="00A86293">
      <w:pPr>
        <w:pStyle w:val="Heading8"/>
        <w:jc w:val="left"/>
      </w:pPr>
      <w:r>
        <w:t>Opis provedbe cilja programa</w:t>
      </w:r>
    </w:p>
    <w:p w:rsidR="005C2091" w:rsidRDefault="00A86293">
      <w:r>
        <w:t>Sufinanciranjem izgradnje, postavljanja ili uređenja spomen-obilježja žrtvama stradalim u Domovinskom ratu, na području Republike Hrvatske te obilježavanjem blagdana, državnih praznika i godišnjica vezanih za Domovinski rat, ratne postrojbe, stradanja branitelja i/ili civila, kako na državnoj tako na lokalnoj razini, čuvaju se stečevine i štiti dignitet Domovinskog rata. Prednost u odobravanju sredstava sufinanciranja izgradnje spomenika imaju oni projekti na područjima lokalne ili područne (regionalne) samouprave u kojima nema izgrađenog spomenika odnosno oni projekti koji su vezani za određene događaje, osobe ili postrojbe iz Domovinskog rata za koje do danas nije izgrađen spomenik. Sufinancirani projekti moraju udovoljavati estetskim, arhitektonskim, urbanističkim i ostalim stručnim uvjetima.</w:t>
      </w:r>
    </w:p>
    <w:p w:rsidR="005C2091" w:rsidRDefault="00A86293">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učinka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Povećanje postojećih i uvođenje nove aktivnosti s ciljem očuvanja digniteta i promicanja vrijednosti Domovinskog rata</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6</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7</w:t>
            </w:r>
          </w:p>
        </w:tc>
        <w:tc>
          <w:tcPr>
            <w:tcW w:w="1020" w:type="dxa"/>
          </w:tcPr>
          <w:p w:rsidR="000A6D36" w:rsidRDefault="000A6D36">
            <w:pPr>
              <w:pStyle w:val="CellColumn"/>
              <w:jc w:val="right"/>
            </w:pPr>
            <w:r>
              <w:rPr>
                <w:rFonts w:cs="Times New Roman"/>
              </w:rPr>
              <w:t>7</w:t>
            </w:r>
          </w:p>
        </w:tc>
      </w:tr>
    </w:tbl>
    <w:p w:rsidR="005C2091" w:rsidRDefault="005C2091">
      <w:pPr>
        <w:jc w:val="left"/>
      </w:pPr>
    </w:p>
    <w:p w:rsidR="005C2091" w:rsidRDefault="00A86293">
      <w:pPr>
        <w:pStyle w:val="Heading4"/>
      </w:pPr>
      <w:r>
        <w:lastRenderedPageBreak/>
        <w:t>A522021 OBILJEŽAVANJE OBLJETNICA RATNIH DOGAĐANJA I STRADAVANJA U DOMOVINSKOM RATU</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A522021-OBILJEŽAVANJE OBLJETNICA RATNIH DOGAĐANJA I STRADAVANJA U DOMOVINSKOM RATU</w:t>
            </w:r>
          </w:p>
        </w:tc>
        <w:tc>
          <w:tcPr>
            <w:tcW w:w="2041" w:type="dxa"/>
          </w:tcPr>
          <w:p w:rsidR="005C2091" w:rsidRDefault="00A86293">
            <w:pPr>
              <w:pStyle w:val="CellColumn"/>
              <w:jc w:val="right"/>
            </w:pPr>
            <w:r>
              <w:rPr>
                <w:rFonts w:cs="Times New Roman"/>
              </w:rPr>
              <w:t>2.614.424</w:t>
            </w:r>
          </w:p>
        </w:tc>
        <w:tc>
          <w:tcPr>
            <w:tcW w:w="2041" w:type="dxa"/>
          </w:tcPr>
          <w:p w:rsidR="005C2091" w:rsidRDefault="00A86293">
            <w:pPr>
              <w:pStyle w:val="CellColumn"/>
              <w:jc w:val="right"/>
            </w:pPr>
            <w:r>
              <w:rPr>
                <w:rFonts w:cs="Times New Roman"/>
              </w:rPr>
              <w:t>3.686.500</w:t>
            </w:r>
          </w:p>
        </w:tc>
        <w:tc>
          <w:tcPr>
            <w:tcW w:w="2041" w:type="dxa"/>
          </w:tcPr>
          <w:p w:rsidR="005C2091" w:rsidRDefault="00A86293">
            <w:pPr>
              <w:pStyle w:val="CellColumn"/>
              <w:jc w:val="right"/>
            </w:pPr>
            <w:r>
              <w:rPr>
                <w:rFonts w:cs="Times New Roman"/>
              </w:rPr>
              <w:t>3.541.016</w:t>
            </w:r>
          </w:p>
        </w:tc>
        <w:tc>
          <w:tcPr>
            <w:tcW w:w="1224" w:type="dxa"/>
          </w:tcPr>
          <w:p w:rsidR="005C2091" w:rsidRDefault="00A86293">
            <w:pPr>
              <w:pStyle w:val="CellColumn"/>
              <w:jc w:val="right"/>
            </w:pPr>
            <w:r>
              <w:rPr>
                <w:rFonts w:cs="Times New Roman"/>
              </w:rPr>
              <w:t>96,1</w:t>
            </w:r>
          </w:p>
        </w:tc>
        <w:tc>
          <w:tcPr>
            <w:tcW w:w="1224" w:type="dxa"/>
          </w:tcPr>
          <w:p w:rsidR="005C2091" w:rsidRDefault="00A86293">
            <w:pPr>
              <w:pStyle w:val="CellColumn"/>
              <w:jc w:val="right"/>
            </w:pPr>
            <w:r>
              <w:rPr>
                <w:rFonts w:cs="Times New Roman"/>
              </w:rPr>
              <w:t>135,4</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pravima hrvatskih branitelja iz Domovinskog rata i članova njihovih obitelji (NN 174/04, 92/05, 02/07, 107/07, 65/09, 137/09, 146/10, 55/11, 140/12, 19/13, 148/13, 92/14)   </w:t>
      </w:r>
    </w:p>
    <w:p w:rsidR="005C2091" w:rsidRDefault="00A86293">
      <w:r>
        <w:t>- Strateški plan Ministarstva hrvatskih branitelja za razdoblje od 2016.-2018.</w:t>
      </w:r>
    </w:p>
    <w:p w:rsidR="005C2091" w:rsidRDefault="00A86293">
      <w:pPr>
        <w:pStyle w:val="Heading8"/>
        <w:jc w:val="left"/>
      </w:pPr>
      <w:r>
        <w:t>Opis aktivnosti</w:t>
      </w:r>
    </w:p>
    <w:p w:rsidR="005C2091" w:rsidRDefault="00A86293">
      <w:r>
        <w:t xml:space="preserve">U svrhu obilježavanja obljetnica važnih datuma iz Domovinskog rata, osnivanja postrojbi Hrvatske vojske i početka Domovinskog rata te ratnih događanja i stradavanja u Domovinskom ratu, Ministarstvo hrvatskih branitelja je od 1. siječnja do 30. prosinca 2016. godine utrošilo 3.425.895,07 kuna. Nositelji aktivnosti, udruge iz Domovinskog rata, gradovi, općine, klubovi i društva uputili su zamolbe Ministarstvu za financijsku pomoć pri organizaciji obilježavanja prigodnih nadnevaka iz Domovinskog rata. Među najznačajnijim obilježavanjima ističu se: godišnjica operacije „Maslenica“, obljetnica osnutka 4. gardijske brigade, godišnjica vojno – redarstvene operacije „Bljesak“, te obljetnica napada na Policijsku postaju Dalj. Povodom obilježavanja Dana pobjede i domovinske zahvalnosti i Dana hrvatskih branitelja te Dana sjećanja na žrtvu Vukovara 18. 11. 1991. sufinancirani su autobusni prijevozi udrugama iz Domovinskog rata. Za autobusni prijevoz u Knin Ministarstvo je sufinanciralo zahtjeve sa iznosom od 481.025,00 kuna, a za autobusni prijevoz u Vukovar sufinanciran je iznos od 187.506,00 kuna. Do kraja prosinca 2016. godine pozitivno je riješeno 337 zahtjeva o čemu su donesene Odluke.  </w:t>
      </w:r>
    </w:p>
    <w:p w:rsidR="005C2091" w:rsidRDefault="00A86293">
      <w:r>
        <w:t xml:space="preserve">Također, Ministarstvo je sufinanciralo organizaciju 25. obljetnice Dana oružanih snaga RH s 166.663,00 kuna, organizaciju 25. obljetnice Dana pobjede i domovinske zahvalnosti i Dana hrvatskih branitelja s 122.727,04 kuna, nabavku lampiona povodom obilježavanja blagdana Svih svetih s 114.753,06 kuna te organizaciju Vlaka sjećanja i nabavku zastavica povodom obilježavanja Dana sjećanja na žrtvu Vukovara 18. 11. 1991. s 199.852,50 kuna.  </w:t>
      </w:r>
    </w:p>
    <w:p w:rsidR="005C2091" w:rsidRDefault="00A86293">
      <w:r>
        <w:t>Tijekom godine Ministarstvo je nabavljalo vijence i svijeće za obilježavanje prigodnih nadnevaka iz Domovinskog rata te je ukupan iznos financiranja te stavke iznosio 115.120,56 kuna.</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Broj obilježenih obljetnica događaja iz Domovinskog rata i drugih prigodnih programa i svečanosti</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53</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60</w:t>
            </w:r>
          </w:p>
        </w:tc>
        <w:tc>
          <w:tcPr>
            <w:tcW w:w="1020" w:type="dxa"/>
          </w:tcPr>
          <w:p w:rsidR="000A6D36" w:rsidRDefault="000A6D36">
            <w:pPr>
              <w:pStyle w:val="CellColumn"/>
              <w:jc w:val="right"/>
            </w:pPr>
            <w:r>
              <w:rPr>
                <w:rFonts w:cs="Times New Roman"/>
              </w:rPr>
              <w:t>64</w:t>
            </w:r>
          </w:p>
        </w:tc>
      </w:tr>
    </w:tbl>
    <w:p w:rsidR="005C2091" w:rsidRDefault="005C2091">
      <w:pPr>
        <w:jc w:val="left"/>
      </w:pPr>
    </w:p>
    <w:p w:rsidR="005C2091" w:rsidRDefault="00A86293">
      <w:pPr>
        <w:pStyle w:val="Heading4"/>
      </w:pPr>
      <w:r>
        <w:lastRenderedPageBreak/>
        <w:t>A753011 MEMORIJALNO GROBLJE ŽRTAVA IZ DOMOVINSKOG RATA VUKOVAR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A753011-MEMORIJALNO GROBLJE ŽRTAVA IZ DOMOVINSKOG RATA VUKOVAR</w:t>
            </w:r>
          </w:p>
        </w:tc>
        <w:tc>
          <w:tcPr>
            <w:tcW w:w="2041" w:type="dxa"/>
          </w:tcPr>
          <w:p w:rsidR="005C2091" w:rsidRDefault="00A86293">
            <w:pPr>
              <w:pStyle w:val="CellColumn"/>
              <w:jc w:val="right"/>
            </w:pPr>
            <w:r>
              <w:rPr>
                <w:rFonts w:cs="Times New Roman"/>
              </w:rPr>
              <w:t>2.122.742</w:t>
            </w:r>
          </w:p>
        </w:tc>
        <w:tc>
          <w:tcPr>
            <w:tcW w:w="2041" w:type="dxa"/>
          </w:tcPr>
          <w:p w:rsidR="005C2091" w:rsidRDefault="00A86293">
            <w:pPr>
              <w:pStyle w:val="CellColumn"/>
              <w:jc w:val="right"/>
            </w:pPr>
            <w:r>
              <w:rPr>
                <w:rFonts w:cs="Times New Roman"/>
              </w:rPr>
              <w:t>2.144.000</w:t>
            </w:r>
          </w:p>
        </w:tc>
        <w:tc>
          <w:tcPr>
            <w:tcW w:w="2041" w:type="dxa"/>
          </w:tcPr>
          <w:p w:rsidR="005C2091" w:rsidRDefault="00A86293">
            <w:pPr>
              <w:pStyle w:val="CellColumn"/>
              <w:jc w:val="right"/>
            </w:pPr>
            <w:r>
              <w:rPr>
                <w:rFonts w:cs="Times New Roman"/>
              </w:rPr>
              <w:t>2.083.932</w:t>
            </w:r>
          </w:p>
        </w:tc>
        <w:tc>
          <w:tcPr>
            <w:tcW w:w="1224" w:type="dxa"/>
          </w:tcPr>
          <w:p w:rsidR="005C2091" w:rsidRDefault="00A86293">
            <w:pPr>
              <w:pStyle w:val="CellColumn"/>
              <w:jc w:val="right"/>
            </w:pPr>
            <w:r>
              <w:rPr>
                <w:rFonts w:cs="Times New Roman"/>
              </w:rPr>
              <w:t>97,2</w:t>
            </w:r>
          </w:p>
        </w:tc>
        <w:tc>
          <w:tcPr>
            <w:tcW w:w="1224" w:type="dxa"/>
          </w:tcPr>
          <w:p w:rsidR="005C2091" w:rsidRDefault="00A86293">
            <w:pPr>
              <w:pStyle w:val="CellColumn"/>
              <w:jc w:val="right"/>
            </w:pPr>
            <w:r>
              <w:rPr>
                <w:rFonts w:cs="Times New Roman"/>
              </w:rPr>
              <w:t>98,2</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pravima hrvatskih branitelja iz Domovinskog rata i članova njihovih obitelji (NN 174/04, 92/05, 02/07, 107/07, 65/09, 137/09, 146/10, 55/11, 140/12, 19/13, 148/13, 92/14)   </w:t>
      </w:r>
    </w:p>
    <w:p w:rsidR="005C2091" w:rsidRDefault="00A86293">
      <w:r>
        <w:t xml:space="preserve">- Zaključak Vlade Republike Hrvatske (Klasa: 564-02/00-01/03, Urbroj:5030104-00-4 od 16. studenoga 2000.) koji je dijelu groblja „Dubrava“ u Vukovaru utvrđen status „Memorijalno groblje žrtava iz Domovinskog rata u Vukovaru“  </w:t>
      </w:r>
    </w:p>
    <w:p w:rsidR="005C2091" w:rsidRDefault="00A86293">
      <w:r>
        <w:t>- Strateški plan Ministarstva branitelja za razdoblje od 2016.-2018.</w:t>
      </w:r>
    </w:p>
    <w:p w:rsidR="005C2091" w:rsidRDefault="00A86293">
      <w:pPr>
        <w:pStyle w:val="Heading8"/>
        <w:jc w:val="left"/>
      </w:pPr>
      <w:r>
        <w:t>Opis aktivnosti</w:t>
      </w:r>
    </w:p>
    <w:p w:rsidR="005C2091" w:rsidRDefault="00A86293">
      <w:r>
        <w:t xml:space="preserve">Zaključkom Vlade Republike Hrvatske (KLASA: 564-02/00-01/03, URBROJ: 5030104-00-4) od 16. studenog 2000. godine, dijelu groblja “Dubrava” u Vukovaru utvrđen je status „Memorijalnog groblja žrtava iz Domovinskog rata”. Kroz protokolarnu i administrativnu skrb o groblju čuva se moralni dignitet hrvatskoga naroda i svih građana Republike Hrvatske, a sredstva za funkcioniranje Memorijalnog groblja osiguravaju se u Državnom proračunu Republike Hrvatske. </w:t>
      </w:r>
    </w:p>
    <w:p w:rsidR="005C2091" w:rsidRDefault="00A86293">
      <w:r>
        <w:t xml:space="preserve">U okviru Projekta adaptacije, sanacije i dogradnje iz 2005. godine, a u cilju uklanjanja uočenih oštećenja na Memorijalnom groblju žrtava iz Domovinskog rata u Vukovaru dovršeni su radovi I. faze adaptacije, sanacije i dogradnje, dok će se s radovima adaptacije, sanacije i dogradnje objekta nastaviti po osiguravanju sredstava. </w:t>
      </w:r>
    </w:p>
    <w:p w:rsidR="005C2091" w:rsidRDefault="00A86293">
      <w:r>
        <w:t xml:space="preserve">Na Memorijalnom groblju žrtava iz Domovinskog rata u Vukovaru, pokopano je ukupno 970 osoba, a u izvještajnom razdoblju 12 osoba. </w:t>
      </w:r>
    </w:p>
    <w:p w:rsidR="005C2091" w:rsidRDefault="00A86293">
      <w:r>
        <w:t>Tijekom 2016. godine, za usluge tekućeg održavanja, energiju i komunalne usluge na Memorijalnom groblju žrtava iz Domovinskog rata u Vukovaru utrošeno je ukupno 2.083.931,81 kuna.</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Broj posjetitelja Memorijalnog groblja u organiziranim grupama</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122.510</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125.000</w:t>
            </w:r>
          </w:p>
        </w:tc>
        <w:tc>
          <w:tcPr>
            <w:tcW w:w="1020" w:type="dxa"/>
          </w:tcPr>
          <w:p w:rsidR="000A6D36" w:rsidRDefault="000A6D36">
            <w:pPr>
              <w:pStyle w:val="CellColumn"/>
              <w:jc w:val="right"/>
            </w:pPr>
            <w:r>
              <w:rPr>
                <w:rFonts w:cs="Times New Roman"/>
              </w:rPr>
              <w:t>204.750</w:t>
            </w:r>
          </w:p>
        </w:tc>
      </w:tr>
    </w:tbl>
    <w:p w:rsidR="005C2091" w:rsidRDefault="005C2091">
      <w:pPr>
        <w:jc w:val="left"/>
      </w:pPr>
    </w:p>
    <w:p w:rsidR="005C2091" w:rsidRDefault="00A86293">
      <w:pPr>
        <w:pStyle w:val="Heading4"/>
      </w:pPr>
      <w:r>
        <w:lastRenderedPageBreak/>
        <w:t>A753025 SUFINANCIRANJE UMJETNIČKIH I DOKUMENTARISTIČKIH DJELA O DOMOVINSKOM RATU</w:t>
      </w:r>
    </w:p>
    <w:tbl>
      <w:tblPr>
        <w:tblStyle w:val="StilTablice"/>
        <w:tblW w:w="10206" w:type="dxa"/>
        <w:jc w:val="center"/>
        <w:tblLook w:val="04A0" w:firstRow="1" w:lastRow="0" w:firstColumn="1" w:lastColumn="0" w:noHBand="0" w:noVBand="1"/>
      </w:tblPr>
      <w:tblGrid>
        <w:gridCol w:w="2393"/>
        <w:gridCol w:w="1819"/>
        <w:gridCol w:w="1804"/>
        <w:gridCol w:w="1819"/>
        <w:gridCol w:w="1176"/>
        <w:gridCol w:w="1195"/>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A753025-SUFINANCIRANJE UMJETNIČKIH I DOKUMENTARISTIČKIH DJELA O DOMOVINSKOM RATU</w:t>
            </w:r>
          </w:p>
        </w:tc>
        <w:tc>
          <w:tcPr>
            <w:tcW w:w="2041" w:type="dxa"/>
          </w:tcPr>
          <w:p w:rsidR="005C2091" w:rsidRDefault="00A86293">
            <w:pPr>
              <w:pStyle w:val="CellColumn"/>
              <w:jc w:val="right"/>
            </w:pPr>
            <w:r>
              <w:rPr>
                <w:rFonts w:cs="Times New Roman"/>
              </w:rPr>
              <w:t>317.500</w:t>
            </w:r>
          </w:p>
        </w:tc>
        <w:tc>
          <w:tcPr>
            <w:tcW w:w="2041" w:type="dxa"/>
          </w:tcPr>
          <w:p w:rsidR="005C2091" w:rsidRDefault="00A86293">
            <w:pPr>
              <w:pStyle w:val="CellColumn"/>
              <w:jc w:val="right"/>
            </w:pPr>
            <w:r>
              <w:rPr>
                <w:rFonts w:cs="Times New Roman"/>
              </w:rPr>
              <w:t>400.000</w:t>
            </w:r>
          </w:p>
        </w:tc>
        <w:tc>
          <w:tcPr>
            <w:tcW w:w="2041" w:type="dxa"/>
          </w:tcPr>
          <w:p w:rsidR="005C2091" w:rsidRDefault="00A86293">
            <w:pPr>
              <w:pStyle w:val="CellColumn"/>
              <w:jc w:val="right"/>
            </w:pPr>
            <w:r>
              <w:rPr>
                <w:rFonts w:cs="Times New Roman"/>
              </w:rPr>
              <w:t>400.000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126,0</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pravima hrvatskih branitelja iz Domovinskog rata i članova njihovih obitelji (NN 174/04, 92/05, 02/07, 107/07, 65/09, 137/09, 146/10, 55/11, 140/12, 19/13, 148/13, 92/14)   </w:t>
      </w:r>
    </w:p>
    <w:p w:rsidR="005C2091" w:rsidRDefault="00A86293">
      <w:r>
        <w:t>- Strateški plan Ministarstva branitelja za razdoblje od 2016.-2018.</w:t>
      </w:r>
    </w:p>
    <w:p w:rsidR="005C2091" w:rsidRDefault="00A86293">
      <w:pPr>
        <w:pStyle w:val="Heading8"/>
        <w:jc w:val="left"/>
      </w:pPr>
      <w:r>
        <w:t>Opis aktivnosti</w:t>
      </w:r>
    </w:p>
    <w:p w:rsidR="005C2091" w:rsidRDefault="00A86293">
      <w:r>
        <w:t xml:space="preserve">U 2014. godini Ministarstvo hrvatskih branitelja započelo je s provedbom Javnog poziva za sufinanciranje umjetničkih i dokumentarističkih djela o Domovinskom ratu sredstvima Državnog proračuna Republike Hrvatske (dalje: Javni poziv). Ciljevi provedbe Javnog poziva jesu očuvanje stečevina i ublažavanje negativnih posljedica Domovinskog rata te očuvanje digniteta i promicanje vrijednosti Domovinskog rata, kroz poticanje stvaranja umjetničkih i dokumentarističkih djela o Domovinskom ratu.  </w:t>
      </w:r>
    </w:p>
    <w:p w:rsidR="005C2091" w:rsidRDefault="00A86293">
      <w:r>
        <w:t xml:space="preserve">Javni poziv za sufinanciranje umjetničkih i dokumentarističkih djela o Domovinskom ratu sredstvima Državnog proračuna Republike Hrvatske u 2016. godini bio je objavljen od 1. lipnja 2016. godine do 1. srpnja 2016. godine.  </w:t>
      </w:r>
    </w:p>
    <w:p w:rsidR="005C2091" w:rsidRDefault="00A86293">
      <w:r>
        <w:t>Po Javnom pozivu iz 2016. godine odobreno je 9 zahtjeva za sufinanciranje umjetničkih i dokumentarističkih djela u ukupnom iznosu od 400.000,00 kuna, u skladu s jednoglasnim prijedlogom Povjerenstva za vrednovanje, kao stručnog tijela za razmatranje i procjenu pristiglih radova.</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Broj ukupno sufinanciranih umjetničkih i dokumentarističkih djela u Domovinskom ratu</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11</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14</w:t>
            </w:r>
          </w:p>
        </w:tc>
        <w:tc>
          <w:tcPr>
            <w:tcW w:w="1020" w:type="dxa"/>
          </w:tcPr>
          <w:p w:rsidR="000A6D36" w:rsidRDefault="000A6D36">
            <w:pPr>
              <w:pStyle w:val="CellColumn"/>
              <w:jc w:val="right"/>
            </w:pPr>
            <w:r>
              <w:rPr>
                <w:rFonts w:cs="Times New Roman"/>
              </w:rPr>
              <w:t>20</w:t>
            </w:r>
          </w:p>
        </w:tc>
      </w:tr>
    </w:tbl>
    <w:p w:rsidR="005C2091" w:rsidRDefault="005C2091">
      <w:pPr>
        <w:jc w:val="left"/>
      </w:pPr>
    </w:p>
    <w:p w:rsidR="000A6D36" w:rsidRDefault="000A6D36">
      <w:pPr>
        <w:jc w:val="left"/>
      </w:pPr>
    </w:p>
    <w:p w:rsidR="000A6D36" w:rsidRDefault="000A6D36">
      <w:pPr>
        <w:jc w:val="left"/>
      </w:pPr>
    </w:p>
    <w:p w:rsidR="000A6D36" w:rsidRDefault="000A6D36">
      <w:pPr>
        <w:jc w:val="left"/>
      </w:pPr>
    </w:p>
    <w:p w:rsidR="000A6D36" w:rsidRDefault="000A6D36">
      <w:pPr>
        <w:jc w:val="left"/>
      </w:pPr>
    </w:p>
    <w:p w:rsidR="005C2091" w:rsidRDefault="00A86293">
      <w:pPr>
        <w:pStyle w:val="Heading4"/>
      </w:pPr>
      <w:r>
        <w:lastRenderedPageBreak/>
        <w:t>K558037 OBILJEŽAVANJE MJESTA MASOVNIH GROBNICA ŽRTAVA IZ DOMOVINSKOG RATA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K558037-OBILJEŽAVANJE MJESTA MASOVNIH GROBNICA ŽRTAVA IZ DOMOVINSKOG RATA</w:t>
            </w:r>
          </w:p>
        </w:tc>
        <w:tc>
          <w:tcPr>
            <w:tcW w:w="2041" w:type="dxa"/>
          </w:tcPr>
          <w:p w:rsidR="005C2091" w:rsidRDefault="00A86293">
            <w:pPr>
              <w:pStyle w:val="CellColumn"/>
              <w:jc w:val="right"/>
            </w:pPr>
            <w:r>
              <w:rPr>
                <w:rFonts w:cs="Times New Roman"/>
              </w:rPr>
              <w:t>1.624.485</w:t>
            </w:r>
          </w:p>
        </w:tc>
        <w:tc>
          <w:tcPr>
            <w:tcW w:w="2041" w:type="dxa"/>
          </w:tcPr>
          <w:p w:rsidR="005C2091" w:rsidRDefault="00A86293">
            <w:pPr>
              <w:pStyle w:val="CellColumn"/>
              <w:jc w:val="right"/>
            </w:pPr>
            <w:r>
              <w:rPr>
                <w:rFonts w:cs="Times New Roman"/>
              </w:rPr>
              <w:t>1.586.000</w:t>
            </w:r>
          </w:p>
        </w:tc>
        <w:tc>
          <w:tcPr>
            <w:tcW w:w="2041" w:type="dxa"/>
          </w:tcPr>
          <w:p w:rsidR="005C2091" w:rsidRDefault="00A86293">
            <w:pPr>
              <w:pStyle w:val="CellColumn"/>
              <w:jc w:val="right"/>
            </w:pPr>
            <w:r>
              <w:rPr>
                <w:rFonts w:cs="Times New Roman"/>
              </w:rPr>
              <w:t>1.550.555</w:t>
            </w:r>
          </w:p>
        </w:tc>
        <w:tc>
          <w:tcPr>
            <w:tcW w:w="1224" w:type="dxa"/>
          </w:tcPr>
          <w:p w:rsidR="005C2091" w:rsidRDefault="00A86293">
            <w:pPr>
              <w:pStyle w:val="CellColumn"/>
              <w:jc w:val="right"/>
            </w:pPr>
            <w:r>
              <w:rPr>
                <w:rFonts w:cs="Times New Roman"/>
              </w:rPr>
              <w:t>97,8</w:t>
            </w:r>
          </w:p>
        </w:tc>
        <w:tc>
          <w:tcPr>
            <w:tcW w:w="1224" w:type="dxa"/>
          </w:tcPr>
          <w:p w:rsidR="005C2091" w:rsidRDefault="00A86293">
            <w:pPr>
              <w:pStyle w:val="CellColumn"/>
              <w:jc w:val="right"/>
            </w:pPr>
            <w:r>
              <w:rPr>
                <w:rFonts w:cs="Times New Roman"/>
              </w:rPr>
              <w:t>95,4</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pravima hrvatskih branitelja iz Domovinskog rata i članova njihovih obitelji (NN 174/04, 92/05, 02/07, 107/07, 65/09, 137/09, 146/10, 55/11, 140/12, 19/13, 148/13, 92/14)   </w:t>
      </w:r>
    </w:p>
    <w:p w:rsidR="005C2091" w:rsidRDefault="00A86293">
      <w:r>
        <w:t xml:space="preserve">- Zakon o obilježavanju mjesta masovnih grobnica žrtava iz Domovinskog rata (NN100/96)   </w:t>
      </w:r>
    </w:p>
    <w:p w:rsidR="005C2091" w:rsidRDefault="00A86293">
      <w:r>
        <w:t>- Strateški plan Ministarstva branitelja za razdoblje od 2016.-2018.</w:t>
      </w:r>
    </w:p>
    <w:p w:rsidR="005C2091" w:rsidRDefault="00A86293">
      <w:pPr>
        <w:pStyle w:val="Heading8"/>
        <w:jc w:val="left"/>
      </w:pPr>
      <w:r>
        <w:t>Opis aktivnosti</w:t>
      </w:r>
    </w:p>
    <w:p w:rsidR="005C2091" w:rsidRDefault="00A86293">
      <w:r>
        <w:t xml:space="preserve">U interesu trajnog očuvanja uspomene na žrtve iz Domovinskog rata stradale tijekom agresije na Republiku Hrvatsku obilježavaju se mjesta masovnih grobnica postavljanjem jednakog spomen-obilježja, autora Slavomira Drinkovića, akad. kipara. </w:t>
      </w:r>
    </w:p>
    <w:p w:rsidR="005C2091" w:rsidRDefault="00A86293">
      <w:r>
        <w:t xml:space="preserve">Obilježavanje se provodi sukladno Godišnjem planu obilježavanja mjesta masovnih grobnica žrtava iz Domovinskog rata i u okviru financijskih sredstava osiguranih za navedenu namjenu u Državnom proračunu Republike Hrvatske. </w:t>
      </w:r>
    </w:p>
    <w:p w:rsidR="005C2091" w:rsidRDefault="00A86293">
      <w:r>
        <w:t xml:space="preserve">Do danas su svečano otkrivena 73 spomen-obilježja kojima je obilježeno 119 mjesta masovnih grobnica (u slučajevima da se dvije ili više masovnih grobnica nalaze u neposrednoj blizini, obilježavanje se vrši postavljanjem jednog spomen-obilježja u spomen na sve žrtve). Svečanosti otkrivanja spomen-obilježja mjesta masovnih grobnica žrtava iz Domovinskog rata odvijaju se prema jedinstvenom protokolu uz najviše državne i vojne počasti.  </w:t>
      </w:r>
    </w:p>
    <w:p w:rsidR="005C2091" w:rsidRDefault="00A86293">
      <w:r>
        <w:t xml:space="preserve">Tijekom 2016. godine svečano je otkriveno spomen-obilježje mjesta masovne grobnice „Velika Solina“, Grad Glina u Sisačko-moslavačkoj županiji, a izgrađena su još tri spomen-obilježja: „Antin – Carev ribnjak“, Općina Tordinci u Vukovarsko-srijemskoj županiji, „Novi Jankovci“, Općina Stari Jankovci u Vukovarsko-srijemskoj županiji, te „Taborište“, Grad Petrinja u Sisačko-moslavačkoj županije. Svečanosti otkrivanja ovih spomen-obilježja bit će organizirane tijekom 2017. godine. </w:t>
      </w:r>
    </w:p>
    <w:p w:rsidR="005C2091" w:rsidRDefault="00A86293">
      <w:r>
        <w:t>Za provedbu svih aktivnosti obilježavanja mjesta masovnih grobnica žrtava iz Domovinskog rata u 2016. godini utrošeno je 1.550.555,06 kn.</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Broj obilježenih mjesta masovnih grobnica u odnosu na otkrivene</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72</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75</w:t>
            </w:r>
          </w:p>
        </w:tc>
        <w:tc>
          <w:tcPr>
            <w:tcW w:w="1020" w:type="dxa"/>
          </w:tcPr>
          <w:p w:rsidR="000A6D36" w:rsidRDefault="000A6D36">
            <w:pPr>
              <w:pStyle w:val="CellColumn"/>
              <w:jc w:val="right"/>
            </w:pPr>
            <w:r>
              <w:rPr>
                <w:rFonts w:cs="Times New Roman"/>
              </w:rPr>
              <w:t>76</w:t>
            </w:r>
          </w:p>
        </w:tc>
      </w:tr>
    </w:tbl>
    <w:p w:rsidR="005C2091" w:rsidRDefault="005C2091">
      <w:pPr>
        <w:jc w:val="left"/>
      </w:pPr>
    </w:p>
    <w:p w:rsidR="005C2091" w:rsidRDefault="00A86293">
      <w:pPr>
        <w:pStyle w:val="Heading4"/>
      </w:pPr>
      <w:r>
        <w:lastRenderedPageBreak/>
        <w:t>K754007 SPOMEN OBILJEŽJE ŽRTVAMA STRADALIM U DOMOVINSKOM RATU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K754007-SPOMEN OBILJEŽJE ŽRTVAMA STRADALIM U DOMOVINSKOM RATU</w:t>
            </w:r>
          </w:p>
        </w:tc>
        <w:tc>
          <w:tcPr>
            <w:tcW w:w="2041" w:type="dxa"/>
          </w:tcPr>
          <w:p w:rsidR="005C2091" w:rsidRDefault="00A86293">
            <w:pPr>
              <w:pStyle w:val="CellColumn"/>
              <w:jc w:val="right"/>
            </w:pPr>
            <w:r>
              <w:rPr>
                <w:rFonts w:cs="Times New Roman"/>
              </w:rPr>
              <w:t>3.828.915</w:t>
            </w:r>
          </w:p>
        </w:tc>
        <w:tc>
          <w:tcPr>
            <w:tcW w:w="2041" w:type="dxa"/>
          </w:tcPr>
          <w:p w:rsidR="005C2091" w:rsidRDefault="00A86293">
            <w:pPr>
              <w:pStyle w:val="CellColumn"/>
              <w:jc w:val="right"/>
            </w:pPr>
            <w:r>
              <w:rPr>
                <w:rFonts w:cs="Times New Roman"/>
              </w:rPr>
              <w:t>3.085.000</w:t>
            </w:r>
          </w:p>
        </w:tc>
        <w:tc>
          <w:tcPr>
            <w:tcW w:w="2041" w:type="dxa"/>
          </w:tcPr>
          <w:p w:rsidR="005C2091" w:rsidRDefault="00A86293">
            <w:pPr>
              <w:pStyle w:val="CellColumn"/>
              <w:jc w:val="right"/>
            </w:pPr>
            <w:r>
              <w:rPr>
                <w:rFonts w:cs="Times New Roman"/>
              </w:rPr>
              <w:t>2.737.813</w:t>
            </w:r>
          </w:p>
        </w:tc>
        <w:tc>
          <w:tcPr>
            <w:tcW w:w="1224" w:type="dxa"/>
          </w:tcPr>
          <w:p w:rsidR="005C2091" w:rsidRDefault="00A86293">
            <w:pPr>
              <w:pStyle w:val="CellColumn"/>
              <w:jc w:val="right"/>
            </w:pPr>
            <w:r>
              <w:rPr>
                <w:rFonts w:cs="Times New Roman"/>
              </w:rPr>
              <w:t>88,7</w:t>
            </w:r>
          </w:p>
        </w:tc>
        <w:tc>
          <w:tcPr>
            <w:tcW w:w="1224" w:type="dxa"/>
          </w:tcPr>
          <w:p w:rsidR="005C2091" w:rsidRDefault="00A86293">
            <w:pPr>
              <w:pStyle w:val="CellColumn"/>
              <w:jc w:val="right"/>
            </w:pPr>
            <w:r>
              <w:rPr>
                <w:rFonts w:cs="Times New Roman"/>
              </w:rPr>
              <w:t>71,5</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pravima hrvatskih branitelja iz Domovinskog rata i članova njihovih obitelji (NN 174/04, 92/05, 02/07, 107/07, 65/09, 137/09, 146/10, 55/11, 140/12, 19/13, 148/13, 92/14)   </w:t>
      </w:r>
    </w:p>
    <w:p w:rsidR="005C2091" w:rsidRDefault="00A86293">
      <w:r>
        <w:t xml:space="preserve">- Zakon o sustavu državne uprave (NN 150/11, 12/13)   </w:t>
      </w:r>
    </w:p>
    <w:p w:rsidR="005C2091" w:rsidRDefault="00A86293">
      <w:r>
        <w:t>- Strateški plan Ministarstva branitelja za razdoblje od 2016.-2018.</w:t>
      </w:r>
    </w:p>
    <w:p w:rsidR="005C2091" w:rsidRDefault="00A86293">
      <w:pPr>
        <w:pStyle w:val="Heading8"/>
        <w:jc w:val="left"/>
      </w:pPr>
      <w:r>
        <w:t>Opis aktivnosti</w:t>
      </w:r>
    </w:p>
    <w:p w:rsidR="005C2091" w:rsidRDefault="00A86293">
      <w:r>
        <w:t xml:space="preserve">Kroz Projekt sufinanciranja izgradnje, postavljanja ili uređenja spomen-obilježja žrtvama stradalim u Domovinskom ratu Ministarstvo hrvatskih branitelja podržava inicijative Udruga iz Domovinskog rata i jedinica lokalne samouprave u izgradnji, postavljanju ili uređenju spomen-obilježja kao izraza zahvalnosti i u znak sjećanja na žrtve stradale u Domovinskom ratu, a u cilju očuvanja uspomene na sve hrvatske branitelje i događaje iz Domovinskog rata. Namjera programa je podizanje kvalitete idejnih rješenja spomen-obilježja i njihove izvedbe (poticanje provedbe javnih natječaja umjesto česte prakse izrade idejnih rješenja izravnom pogodbom), kao i poticanje sustavnog pristupanja gradnji spomen-obilježja i ozbiljnog planiranja potrebnih sredstava (donošenja potrebnih dokumenata, izrada projektne dokumentacije, rješavanje imovinsko-pravnih odnosa, izrada troškovnika s jediničnim cijenama i sl.). </w:t>
      </w:r>
    </w:p>
    <w:p w:rsidR="005C2091" w:rsidRDefault="00A86293">
      <w:r>
        <w:t xml:space="preserve">Tijekom 2016. godine sufinancirana je izgradnja 18 spomen-obilježja na području čitave Republike Hrvatske u ukupnoj vrijednosti 1.260.000,00 kn. </w:t>
      </w:r>
    </w:p>
    <w:p w:rsidR="005C2091" w:rsidRDefault="00A86293">
      <w:r>
        <w:t xml:space="preserve">Tijekom 2014. godine Ministarstvo je započelo s projektom postavljanja spomen-obilježja djeci poginuloj u Domovinskom ratu u Republici Hrvatskoj u Slavonskom Brodu, kao gradu u kojem je tijekom Domovinskog rata poginuo najveći broj djece, a sukladno zahtjevu Zajednice udruga hrvatskih civilnih stradalnika Domovinskog rata Hrvatske.  </w:t>
      </w:r>
    </w:p>
    <w:p w:rsidR="005C2091" w:rsidRDefault="00A86293">
      <w:r>
        <w:t xml:space="preserve">Za izgradnju spomen-obilježja djeci poginuloj u Domovinskom ratu u Republici Hrvatskoj u 2016. godini utrošeno je 1.309.979,26 kn.  </w:t>
      </w:r>
    </w:p>
    <w:p w:rsidR="005C2091" w:rsidRDefault="00A86293">
      <w:r>
        <w:t xml:space="preserve">Tijekom 2016. godine Ministarstvo je započelo s projektom postavljanja spomen-obilježja hrvatskim braniteljima poginulim u VRO Bljesak u Okučanima, a sukladno zahtjevu Općine Okučani.  </w:t>
      </w:r>
    </w:p>
    <w:p w:rsidR="005C2091" w:rsidRDefault="00A86293">
      <w:r>
        <w:t xml:space="preserve">U listopadu 2016. godine proveden je Javni, opći, za realizaciju i anketni, u I. stupnju složenosti i anonimni natječaj, za izradu idejnog likovnog i arhitektonsko-urbanističko-krajobraznog rješenja spomen-obilježja na koji je pristiglo 15 radova. </w:t>
      </w:r>
    </w:p>
    <w:p w:rsidR="005C2091" w:rsidRDefault="00A86293">
      <w:r>
        <w:t xml:space="preserve">Prvonagrađeni je rad ak. kipara Dalibora Stošića, i Hrvoja Bilandžića, dipl.ing.arh. Natječajni radovi bit će izloženi u Okučanima, u siječnju 2017. godine. Za provedbu natječaja u 2016. godini utrošeno je 157.833,28 kuna.  </w:t>
      </w:r>
    </w:p>
    <w:p w:rsidR="005C2091" w:rsidRDefault="00A86293">
      <w:r>
        <w:t>Uz navedeno, Ministarstvo je sufinanciralo dio troškova izdavanja dokumentarne knjige „Razmjena ratnih zarobljenika 1991. godine“ u iznosu od 10.000,00 kuna (navedeni iznos plaćen je s proračunske pozicije K754007, konto 3821).</w:t>
      </w:r>
    </w:p>
    <w:p w:rsidR="000A6D36" w:rsidRDefault="000A6D36"/>
    <w:p w:rsidR="005C2091" w:rsidRDefault="00A86293">
      <w:pPr>
        <w:pStyle w:val="Heading8"/>
        <w:jc w:val="left"/>
      </w:pPr>
      <w:r>
        <w:lastRenderedPageBreak/>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Broj ukupno sufinanciranih  projekata spomen-obilježja</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100</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108</w:t>
            </w:r>
          </w:p>
        </w:tc>
        <w:tc>
          <w:tcPr>
            <w:tcW w:w="1020" w:type="dxa"/>
          </w:tcPr>
          <w:p w:rsidR="000A6D36" w:rsidRDefault="000A6D36">
            <w:pPr>
              <w:pStyle w:val="CellColumn"/>
              <w:jc w:val="right"/>
            </w:pPr>
            <w:r>
              <w:rPr>
                <w:rFonts w:cs="Times New Roman"/>
              </w:rPr>
              <w:t>120</w:t>
            </w:r>
          </w:p>
        </w:tc>
      </w:tr>
    </w:tbl>
    <w:p w:rsidR="005C2091" w:rsidRDefault="005C2091">
      <w:pPr>
        <w:jc w:val="left"/>
      </w:pPr>
    </w:p>
    <w:p w:rsidR="005C2091" w:rsidRDefault="00A86293">
      <w:pPr>
        <w:pStyle w:val="Heading3"/>
      </w:pPr>
      <w:r>
        <w:rPr>
          <w:rFonts w:cs="Times New Roman"/>
        </w:rPr>
        <w:t>4007 SKRB ZA HRVATSKE BRANITELJE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4007-SKRB ZA HRVATSKE BRANITELJE IZ DOMOVINSKOG RATA</w:t>
            </w:r>
          </w:p>
        </w:tc>
        <w:tc>
          <w:tcPr>
            <w:tcW w:w="2041" w:type="dxa"/>
          </w:tcPr>
          <w:p w:rsidR="005C2091" w:rsidRDefault="00A86293">
            <w:pPr>
              <w:pStyle w:val="CellColumn"/>
              <w:jc w:val="right"/>
            </w:pPr>
            <w:r>
              <w:rPr>
                <w:rFonts w:cs="Times New Roman"/>
              </w:rPr>
              <w:t>105.145.110</w:t>
            </w:r>
          </w:p>
        </w:tc>
        <w:tc>
          <w:tcPr>
            <w:tcW w:w="2041" w:type="dxa"/>
          </w:tcPr>
          <w:p w:rsidR="005C2091" w:rsidRDefault="00A86293">
            <w:pPr>
              <w:pStyle w:val="CellColumn"/>
              <w:jc w:val="right"/>
            </w:pPr>
            <w:r>
              <w:rPr>
                <w:rFonts w:cs="Times New Roman"/>
              </w:rPr>
              <w:t>107.858.010</w:t>
            </w:r>
          </w:p>
        </w:tc>
        <w:tc>
          <w:tcPr>
            <w:tcW w:w="2041" w:type="dxa"/>
          </w:tcPr>
          <w:p w:rsidR="005C2091" w:rsidRDefault="00A86293">
            <w:pPr>
              <w:pStyle w:val="CellColumn"/>
              <w:jc w:val="right"/>
            </w:pPr>
            <w:r>
              <w:rPr>
                <w:rFonts w:cs="Times New Roman"/>
              </w:rPr>
              <w:t>104.723.347</w:t>
            </w:r>
          </w:p>
        </w:tc>
        <w:tc>
          <w:tcPr>
            <w:tcW w:w="1224" w:type="dxa"/>
          </w:tcPr>
          <w:p w:rsidR="005C2091" w:rsidRDefault="00A86293">
            <w:pPr>
              <w:pStyle w:val="CellColumn"/>
              <w:jc w:val="right"/>
            </w:pPr>
            <w:r>
              <w:rPr>
                <w:rFonts w:cs="Times New Roman"/>
              </w:rPr>
              <w:t>97,1</w:t>
            </w:r>
          </w:p>
        </w:tc>
        <w:tc>
          <w:tcPr>
            <w:tcW w:w="1224" w:type="dxa"/>
          </w:tcPr>
          <w:p w:rsidR="005C2091" w:rsidRDefault="00A86293">
            <w:pPr>
              <w:pStyle w:val="CellColumn"/>
              <w:jc w:val="right"/>
            </w:pPr>
            <w:r>
              <w:rPr>
                <w:rFonts w:cs="Times New Roman"/>
              </w:rPr>
              <w:t>99,6</w:t>
            </w:r>
          </w:p>
        </w:tc>
      </w:tr>
    </w:tbl>
    <w:p w:rsidR="005C2091" w:rsidRDefault="005C2091">
      <w:pPr>
        <w:jc w:val="left"/>
      </w:pPr>
    </w:p>
    <w:p w:rsidR="005C2091" w:rsidRDefault="00A86293">
      <w:r>
        <w:t xml:space="preserve">Program ''Skrb za hrvatske branitelje'' podrazumijeva pružanje psihosocijalne i savjetodavne pomoći i potpore, zdravstvenu skrb za stradalnike Domovinskog rata i članove njihovih obitelji te odobravanje jednokratne pomoći za ostala prava hrvatskih branitelja iz Domovinskog rata i članova njihovih obitelji. </w:t>
      </w:r>
    </w:p>
    <w:p w:rsidR="005C2091" w:rsidRDefault="00A86293">
      <w:r>
        <w:t>Ministarstvo nastoji postići smanjenje broja nezaposlenih hrvatskih branitelja i djece smrtno stradalih hrvatskih branitelja, povećati konkurentnost hrvatskih branitelja te djece smrtno stradalih hrvatskih branitelja iz Domovinskog rata na tržištu rada, smanjiti broj socijalno ugroženih hrvatskih branitelja i članova obitelji smrtno stradaloga hrvatskog branitelja iz Domovinskog rata, smanjiti broj ratom traumatiziranih osoba u vidu različitih oblika potpore i rehabilitacije, smanjiti utjecaj sekundarne viktimizacije i unaprijediti neovisnost življenja u zajednici hrvatskim ratnim vojnim invalidima.</w:t>
      </w:r>
    </w:p>
    <w:p w:rsidR="005C2091" w:rsidRDefault="00A86293">
      <w:pPr>
        <w:pStyle w:val="Heading8"/>
        <w:jc w:val="left"/>
      </w:pPr>
      <w:r>
        <w:t>Cilj 1. Jačanje sustava skrbi za braniteljsku i stradalničku populaciju i članove njihovih obitelji</w:t>
      </w:r>
    </w:p>
    <w:p w:rsidR="005C2091" w:rsidRDefault="00A86293">
      <w:pPr>
        <w:pStyle w:val="Heading8"/>
        <w:jc w:val="left"/>
      </w:pPr>
      <w:r>
        <w:t>Opis provedbe cilja programa</w:t>
      </w:r>
    </w:p>
    <w:p w:rsidR="005C2091" w:rsidRDefault="00A86293">
      <w:r>
        <w:t xml:space="preserve">Rat izaziva poremećaje u funkcioniranju društva kroz promjene u socijalnom okruženju, promjene ili zastoje u profesionalnim aktivnostima, traume, stradanja, prisilne (privremene ili trajne) promjene stalnog boravišta, materijalne gubitke ili gubitak bližnjih, kidanje socijalnih veza koje su postojale prije rata. Agresija na Republiku Hrvatsku uzrokovala je, uz brojna materijalna razaranja, brojne i teško mjerljive tragove u zdravstvenom statusu branitelja i stradalnika rata, članova njihovih obitelji, kao i kod civilnog stanovništva. Neposredne žrtve pretrpjele su štetu, fizičko i/ili mentalno povređivanje, emotivne patnje, materijalni gubitak i napad na svoja osnovna prava, a posredne žrtve rata postali su najbliži članovi obitelji stradalnika. </w:t>
      </w:r>
    </w:p>
    <w:p w:rsidR="005C2091" w:rsidRDefault="00A86293">
      <w:r>
        <w:t xml:space="preserve">U takvim promijenjenim životnim okolnostima, određene socijalne skupine imaju bitno umanjene šanse za samostalnu prilagodbu i za njih je nužno osigurati različite oblike potpore od strane društvene zajednice. </w:t>
      </w:r>
    </w:p>
    <w:p w:rsidR="005C2091" w:rsidRDefault="00A86293">
      <w:r>
        <w:t xml:space="preserve">Zbog velikog broja ljudi koji su tijekom rata bili izloženi izravnom ratnom stresu, ali i još većeg broja sekundarno traumatiziranih osoba nastala je potreba za organiziranom osnovnom emocionalnom podrškom, socijalnom, psihološkom i zdravstvenom pomoći ratom traumatiziranim osobama, a koja je i danas, iako nešto manjeg intenziteta, još uvijek poprilično izražena. </w:t>
      </w:r>
    </w:p>
    <w:p w:rsidR="005C2091" w:rsidRDefault="00A86293">
      <w:r>
        <w:t xml:space="preserve">Ministarstvo nastavlja s pružanjem psihosocijalne, savjetodavne i zdravstvene pomoći ratom traumatiziranim osobama te praćenjem specifičnih problema i potreba hrvatskih branitelja i članova njihovih obitelji, drugih sudionika i stradalnika Domovinskog rata, Drugog svjetskog rata te povratnika iz mirovnih misija. </w:t>
      </w:r>
    </w:p>
    <w:p w:rsidR="005C2091" w:rsidRDefault="00A86293">
      <w:r>
        <w:t>Ministarstvo sufinancira projekte udruga iz Domovinskog rata u socio–ekonomskom interesu osoba iz ciljne skupine te u cilju njihove resocijalizacije i reintegracije u društvo.</w:t>
      </w:r>
    </w:p>
    <w:p w:rsidR="005C2091" w:rsidRDefault="00A86293">
      <w:pPr>
        <w:pStyle w:val="Heading8"/>
        <w:jc w:val="left"/>
      </w:pPr>
      <w:r>
        <w:lastRenderedPageBreak/>
        <w:t>Cilj 2. Povećanje konkurentnosti hrvatskih branitelja iz Domovinskog rata i djece smrtno stradalih, zatočenih i nestalih hrvatskih branitelja iz Domovinskog rata na tržištu rada</w:t>
      </w:r>
    </w:p>
    <w:p w:rsidR="005C2091" w:rsidRDefault="00A86293">
      <w:pPr>
        <w:pStyle w:val="Heading8"/>
        <w:jc w:val="left"/>
      </w:pPr>
      <w:r>
        <w:t>Opis provedbe cilja programa</w:t>
      </w:r>
    </w:p>
    <w:p w:rsidR="005C2091" w:rsidRDefault="00A86293">
      <w:r>
        <w:t xml:space="preserve">Uzimajući u obzir dobnu strukturu hrvatskih branitelja iz Domovinskog rata, njihovu dugotrajnu nezaposlenost kao i predrasude potencijalnih poslodavaca o zdravstvenom stanju i radnoj sposobnosti hrvatskih branitelja iz Domovinskog rata, i danas postoji problem njihove teže zapošljivosti i nekonkurentnosti na tržištu radne snage. </w:t>
      </w:r>
    </w:p>
    <w:p w:rsidR="005C2091" w:rsidRDefault="00A86293">
      <w:r>
        <w:t xml:space="preserve">Provedbom mjera iz Programa stručnog osposobljavanja i zapošljavanja hrvatskih branitelja i djece smrtno stradalih, zatočenih ili nestalih hrvatskih branitelja za razdoblje od 2014. do 2017. godine, ne mijenja se samo broj nezaposlenih nego i svijest o hrvatskim braniteljima kao potencijalnim posloprimcima (zaposlenicima), ali i uspješnim samostalnim poduzetnicima i malim gospodarstvenicima koji su često pokretači razvoja lokalne sredine iz koje dolaze. </w:t>
      </w:r>
    </w:p>
    <w:p w:rsidR="005C2091" w:rsidRDefault="00A86293">
      <w:r>
        <w:t xml:space="preserve">Ciljnu skupinu Programa čine nezaposleni hrvatski branitelji iz Domovinskog rata i nezaposlena djeca smrtno stradalih, zatočenih ili nestalih hrvatskih branitelja iz Domovinskog rata. Cilj Programa je poboljšati pristup tržištu osobama iz ciljne skupine te povećati njihovu konkurentnost na tržištu rada i tako utjecati na stvaranje uvjeta za što uspješnije potpuno socijalno uključivanje hrvatskih branitelja i djece smrtno stradalih, zatočenih ili nestalih hrvatskih branitelja iz Domovinskog rata, što predstavlja dodanu vrijednost provedbi Programa. </w:t>
      </w:r>
    </w:p>
    <w:p w:rsidR="005C2091" w:rsidRDefault="00A86293">
      <w:r>
        <w:t xml:space="preserve">S obzirom na gospodarsku situaciju te porast broja nezaposlenih osoba, kao i porast broja nezaposlenih hrvatskih branitelja iz Domovinskog rata, Ministarstvo nastavlja s realizacijom Programa. </w:t>
      </w:r>
    </w:p>
    <w:p w:rsidR="005C2091" w:rsidRDefault="00A86293">
      <w:r>
        <w:t>Program obuhvaća mogućnost sufinanciranja obrazovnih programa usmjerenih podizanju obrazovne strukture osoba iz ciljne skupine radi njihovog lakšeg zapošljavanja i razvijanja svijesti o cjeloživotnom učenju, potporu novim samostalnim poduzetnicima i malim gospodarstvenicima koji pokretanjem vlastite djelatnosti nastoje riješiti pitanje svoje nezaposlenosti, ali i postojećim uspješnim samostalnim poduzetnicima i malim gospodarstvenicima koji bi uz potporu zapošljavali osobe iz ciljne skupine. U okviru Programa provode se i mjere namijenjene zadrugama hrvatskih branitelja koje omogućuju hrvatskim braniteljima zapošljavanje i ekonomsku integraciju. Podrška braniteljskim zadrugama prepoznata je kao primjer dobre prakse jačanja kompetencija hrvatskih branitelja i podizanja svijesti o njihovim radnim sposobnostima, ali i prepoznavanja njihovih poduzetničkih potencijala.</w:t>
      </w:r>
    </w:p>
    <w:p w:rsidR="005C2091" w:rsidRDefault="00A86293">
      <w:pPr>
        <w:pStyle w:val="Heading8"/>
        <w:jc w:val="left"/>
      </w:pPr>
      <w:r>
        <w:t>Cilj 3. Razvoj projekata za podizanje kvalitete života braniteljske i stradalničke populacije u programskom razdoblju 2014. – 2020.</w:t>
      </w:r>
    </w:p>
    <w:p w:rsidR="005C2091" w:rsidRDefault="00A86293">
      <w:pPr>
        <w:pStyle w:val="Heading8"/>
        <w:jc w:val="left"/>
      </w:pPr>
      <w:r>
        <w:t>Opis provedbe cilja programa</w:t>
      </w:r>
    </w:p>
    <w:p w:rsidR="005C2091" w:rsidRDefault="00A86293">
      <w:r>
        <w:t xml:space="preserve">Ministarstvo hrvatskih branitelja aktivno sudjeluje u izradi programskih dokumenata za financijsku perspektivu Europske unije od 2014.-2020. godine (Partnerski sporazum, Operativni programi i Ekonomski program reformi RH).  </w:t>
      </w:r>
    </w:p>
    <w:p w:rsidR="005C2091" w:rsidRDefault="00A86293">
      <w:r>
        <w:t xml:space="preserve">Kroz proces programiranja 2014.-2020. definirano je više potencijalnih područja za ulaganje, poput Veteranskih centara, ICT aplikacija za hrvatske branitelje, umrežavanje Ministarstva hrvatskih branitelja sa Centrima za psihosocijalnu pomoć, projekata koji se odnose na rad braniteljskih udruga, te obrazovanje i socijalno osnaživanje hrvatskih branitelja, žrtava rata i članova njihovih obitelji.    </w:t>
      </w:r>
    </w:p>
    <w:p w:rsidR="005C2091" w:rsidRDefault="00A86293">
      <w:r>
        <w:t>Projekti Ministarstva hrvatskih branitelja i drugih dionika u programskom razdoblju 2014. - 2020. u kojima se kao krajnji korisnici pojavljuju hrvatski branitelji i članovi njihovih obitelji, civilni stradalnici Domovinskog rata, kao i Drugog svjetskog rata, osobe stradale pri obavljanju vojnih i redarstvenih dužnosti u okviru mirovnih snaga i misija te stradali pirotehničari u potpunosti su usklađeni sa strateškim ciljevima Ministarstva i strategijom „Europe 2020“.</w:t>
      </w:r>
    </w:p>
    <w:p w:rsidR="005C2091" w:rsidRDefault="00A86293">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učinka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Povećanje udjela riješenih upita korisnika u odnosu na ukupan broj zaprimljenih upita</w:t>
            </w:r>
          </w:p>
        </w:tc>
        <w:tc>
          <w:tcPr>
            <w:tcW w:w="1020" w:type="dxa"/>
          </w:tcPr>
          <w:p w:rsidR="000A6D36" w:rsidRDefault="000A6D36">
            <w:pPr>
              <w:pStyle w:val="CellColumn"/>
              <w:jc w:val="right"/>
            </w:pPr>
            <w:r>
              <w:rPr>
                <w:rFonts w:cs="Times New Roman"/>
              </w:rPr>
              <w:t>postotak</w:t>
            </w:r>
          </w:p>
        </w:tc>
        <w:tc>
          <w:tcPr>
            <w:tcW w:w="1020" w:type="dxa"/>
          </w:tcPr>
          <w:p w:rsidR="000A6D36" w:rsidRDefault="000A6D36">
            <w:pPr>
              <w:pStyle w:val="CellColumn"/>
              <w:jc w:val="right"/>
            </w:pPr>
            <w:r>
              <w:rPr>
                <w:rFonts w:cs="Times New Roman"/>
              </w:rPr>
              <w:t>97,9</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98</w:t>
            </w:r>
          </w:p>
        </w:tc>
        <w:tc>
          <w:tcPr>
            <w:tcW w:w="1020" w:type="dxa"/>
          </w:tcPr>
          <w:p w:rsidR="000A6D36" w:rsidRDefault="000A6D36">
            <w:pPr>
              <w:pStyle w:val="CellColumn"/>
              <w:jc w:val="right"/>
            </w:pPr>
            <w:r>
              <w:rPr>
                <w:rFonts w:cs="Times New Roman"/>
              </w:rPr>
              <w:t>98,2</w:t>
            </w:r>
          </w:p>
        </w:tc>
      </w:tr>
      <w:tr w:rsidR="000A6D36" w:rsidTr="000A6D36">
        <w:trPr>
          <w:jc w:val="center"/>
        </w:trPr>
        <w:tc>
          <w:tcPr>
            <w:tcW w:w="2553" w:type="dxa"/>
          </w:tcPr>
          <w:p w:rsidR="000A6D36" w:rsidRDefault="000A6D36">
            <w:pPr>
              <w:pStyle w:val="CellColumn"/>
              <w:jc w:val="left"/>
            </w:pPr>
            <w:r>
              <w:rPr>
                <w:rFonts w:cs="Times New Roman"/>
              </w:rPr>
              <w:lastRenderedPageBreak/>
              <w:t>Udio hrvatskih branitelja iz Domovinskog rata kojima je omogućen prelazak iz statusa nezaposlene u status zaposlene osobe temeljem korištenja mjera Programa, a u odnosu na ukupan broj hrvatskih branitelja koji su prema evidenciji HZZ-a prešli iz statusa nezaposlene u status zaposlene osobe</w:t>
            </w:r>
          </w:p>
        </w:tc>
        <w:tc>
          <w:tcPr>
            <w:tcW w:w="1020" w:type="dxa"/>
          </w:tcPr>
          <w:p w:rsidR="000A6D36" w:rsidRDefault="000A6D36">
            <w:pPr>
              <w:pStyle w:val="CellColumn"/>
              <w:jc w:val="right"/>
            </w:pPr>
            <w:r>
              <w:rPr>
                <w:rFonts w:cs="Times New Roman"/>
              </w:rPr>
              <w:t>postotak</w:t>
            </w:r>
          </w:p>
        </w:tc>
        <w:tc>
          <w:tcPr>
            <w:tcW w:w="1020" w:type="dxa"/>
          </w:tcPr>
          <w:p w:rsidR="000A6D36" w:rsidRDefault="000A6D36">
            <w:pPr>
              <w:pStyle w:val="CellColumn"/>
              <w:jc w:val="right"/>
            </w:pPr>
            <w:r>
              <w:rPr>
                <w:rFonts w:cs="Times New Roman"/>
              </w:rPr>
              <w:t>1,19</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1,22</w:t>
            </w:r>
          </w:p>
        </w:tc>
        <w:tc>
          <w:tcPr>
            <w:tcW w:w="1020" w:type="dxa"/>
          </w:tcPr>
          <w:p w:rsidR="000A6D36" w:rsidRDefault="000A6D36">
            <w:pPr>
              <w:pStyle w:val="CellColumn"/>
              <w:jc w:val="right"/>
            </w:pPr>
            <w:r>
              <w:rPr>
                <w:rFonts w:cs="Times New Roman"/>
              </w:rPr>
              <w:t>1,08</w:t>
            </w:r>
          </w:p>
        </w:tc>
      </w:tr>
      <w:tr w:rsidR="000A6D36" w:rsidTr="000A6D36">
        <w:trPr>
          <w:jc w:val="center"/>
        </w:trPr>
        <w:tc>
          <w:tcPr>
            <w:tcW w:w="2553" w:type="dxa"/>
          </w:tcPr>
          <w:p w:rsidR="000A6D36" w:rsidRDefault="000A6D36">
            <w:pPr>
              <w:pStyle w:val="CellColumn"/>
              <w:jc w:val="left"/>
            </w:pPr>
            <w:r>
              <w:rPr>
                <w:rFonts w:cs="Times New Roman"/>
              </w:rPr>
              <w:t xml:space="preserve">Broj pripremljenih projekata za </w:t>
            </w:r>
          </w:p>
          <w:p w:rsidR="000A6D36" w:rsidRDefault="000A6D36">
            <w:pPr>
              <w:pStyle w:val="CellColumn"/>
              <w:jc w:val="left"/>
            </w:pPr>
            <w:r>
              <w:rPr>
                <w:rFonts w:cs="Times New Roman"/>
              </w:rPr>
              <w:t xml:space="preserve">podizanje kvalitete života </w:t>
            </w:r>
          </w:p>
          <w:p w:rsidR="000A6D36" w:rsidRDefault="000A6D36">
            <w:pPr>
              <w:pStyle w:val="CellColumn"/>
              <w:jc w:val="left"/>
            </w:pPr>
            <w:r>
              <w:rPr>
                <w:rFonts w:cs="Times New Roman"/>
              </w:rPr>
              <w:t xml:space="preserve">braniteljske i stradalničke </w:t>
            </w:r>
          </w:p>
          <w:p w:rsidR="000A6D36" w:rsidRDefault="000A6D36">
            <w:pPr>
              <w:pStyle w:val="CellColumn"/>
              <w:jc w:val="left"/>
            </w:pPr>
            <w:r>
              <w:rPr>
                <w:rFonts w:cs="Times New Roman"/>
              </w:rPr>
              <w:t>populacije</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0</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7</w:t>
            </w:r>
          </w:p>
        </w:tc>
        <w:tc>
          <w:tcPr>
            <w:tcW w:w="1020" w:type="dxa"/>
          </w:tcPr>
          <w:p w:rsidR="000A6D36" w:rsidRDefault="000A6D36">
            <w:pPr>
              <w:pStyle w:val="CellColumn"/>
              <w:jc w:val="right"/>
            </w:pPr>
            <w:r>
              <w:rPr>
                <w:rFonts w:cs="Times New Roman"/>
              </w:rPr>
              <w:t>7</w:t>
            </w:r>
          </w:p>
        </w:tc>
      </w:tr>
    </w:tbl>
    <w:p w:rsidR="005C2091" w:rsidRDefault="005C2091">
      <w:pPr>
        <w:jc w:val="left"/>
      </w:pPr>
    </w:p>
    <w:p w:rsidR="005C2091" w:rsidRDefault="00A86293">
      <w:pPr>
        <w:pStyle w:val="Heading4"/>
      </w:pPr>
      <w:r>
        <w:t>A522024 PRIKUPLJANJE I OBRADA PROJEKTNE DOKUMENTACIJE ZA FINANCIRANJE SREDSTVIMA IZ EU FONDOVA</w:t>
      </w:r>
    </w:p>
    <w:tbl>
      <w:tblPr>
        <w:tblStyle w:val="StilTablice"/>
        <w:tblW w:w="10206" w:type="dxa"/>
        <w:jc w:val="center"/>
        <w:tblLook w:val="04A0" w:firstRow="1" w:lastRow="0" w:firstColumn="1" w:lastColumn="0" w:noHBand="0" w:noVBand="1"/>
      </w:tblPr>
      <w:tblGrid>
        <w:gridCol w:w="1803"/>
        <w:gridCol w:w="1992"/>
        <w:gridCol w:w="1986"/>
        <w:gridCol w:w="1993"/>
        <w:gridCol w:w="1214"/>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A522024-PRIKUPLJANJE I OBRADA PROJEKTNE DOKUMENTACIJE ZA FINANCIRANJE SREDSTVIMA IZ EU FONDOVA</w:t>
            </w:r>
          </w:p>
        </w:tc>
        <w:tc>
          <w:tcPr>
            <w:tcW w:w="2041" w:type="dxa"/>
          </w:tcPr>
          <w:p w:rsidR="005C2091" w:rsidRDefault="00A86293">
            <w:pPr>
              <w:pStyle w:val="CellColumn"/>
              <w:jc w:val="right"/>
            </w:pPr>
            <w:r>
              <w:rPr>
                <w:rFonts w:cs="Times New Roman"/>
              </w:rPr>
              <w:t>712.572</w:t>
            </w:r>
          </w:p>
        </w:tc>
        <w:tc>
          <w:tcPr>
            <w:tcW w:w="2041" w:type="dxa"/>
          </w:tcPr>
          <w:p w:rsidR="005C2091" w:rsidRDefault="00A86293">
            <w:pPr>
              <w:pStyle w:val="CellColumn"/>
              <w:jc w:val="right"/>
            </w:pPr>
            <w:r>
              <w:rPr>
                <w:rFonts w:cs="Times New Roman"/>
              </w:rPr>
              <w:t>75.000</w:t>
            </w:r>
          </w:p>
        </w:tc>
        <w:tc>
          <w:tcPr>
            <w:tcW w:w="2041" w:type="dxa"/>
          </w:tcPr>
          <w:p w:rsidR="005C2091" w:rsidRDefault="00A86293">
            <w:pPr>
              <w:pStyle w:val="CellColumn"/>
              <w:jc w:val="right"/>
            </w:pPr>
            <w:r>
              <w:rPr>
                <w:rFonts w:cs="Times New Roman"/>
              </w:rPr>
              <w:t>35.938</w:t>
            </w:r>
          </w:p>
        </w:tc>
        <w:tc>
          <w:tcPr>
            <w:tcW w:w="1224" w:type="dxa"/>
          </w:tcPr>
          <w:p w:rsidR="005C2091" w:rsidRDefault="00A86293">
            <w:pPr>
              <w:pStyle w:val="CellColumn"/>
              <w:jc w:val="right"/>
            </w:pPr>
            <w:r>
              <w:rPr>
                <w:rFonts w:cs="Times New Roman"/>
              </w:rPr>
              <w:t>47,9</w:t>
            </w:r>
          </w:p>
        </w:tc>
        <w:tc>
          <w:tcPr>
            <w:tcW w:w="1224" w:type="dxa"/>
          </w:tcPr>
          <w:p w:rsidR="005C2091" w:rsidRDefault="00A86293">
            <w:pPr>
              <w:pStyle w:val="CellColumn"/>
              <w:jc w:val="right"/>
            </w:pPr>
            <w:r>
              <w:rPr>
                <w:rFonts w:cs="Times New Roman"/>
              </w:rPr>
              <w:t>5,0</w:t>
            </w:r>
          </w:p>
        </w:tc>
      </w:tr>
    </w:tbl>
    <w:p w:rsidR="005C2091" w:rsidRDefault="005C2091">
      <w:pPr>
        <w:jc w:val="left"/>
      </w:pPr>
    </w:p>
    <w:p w:rsidR="005C2091" w:rsidRDefault="00A86293">
      <w:pPr>
        <w:pStyle w:val="Heading8"/>
        <w:jc w:val="left"/>
      </w:pPr>
      <w:r>
        <w:t>Zakonske i druge pravne osnove</w:t>
      </w:r>
    </w:p>
    <w:p w:rsidR="005C2091" w:rsidRDefault="00A86293">
      <w:r>
        <w:t>- EUROPA 2020., Europska strategija za pametan, održiv i uključiv rast (COM 2010, 2020)</w:t>
      </w:r>
    </w:p>
    <w:p w:rsidR="005C2091" w:rsidRDefault="00A86293">
      <w:pPr>
        <w:pStyle w:val="Heading8"/>
        <w:jc w:val="left"/>
      </w:pPr>
      <w:r>
        <w:t>Opis aktivnosti</w:t>
      </w:r>
    </w:p>
    <w:p w:rsidR="005C2091" w:rsidRDefault="00A86293">
      <w:r>
        <w:t>Na računu 3237 - Intelektualne i osobne usluge – za 2016. godinu osigurana su sredstva u iznosu od 75.000,00 kuna za pripremu natječajne dokumentacije za financiranje sredstvima iz EU fondova, a na dan 31. prosinca 2016. godine realizirano je 35.937,51 kuna, odnosno 47,92%. Sredstva su utrošena na ugovore o djelu za zaposlenike za prosinac 2015. godine te siječanj 2016. godine.</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Broj izrađenih procedura</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0</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5</w:t>
            </w:r>
          </w:p>
        </w:tc>
        <w:tc>
          <w:tcPr>
            <w:tcW w:w="1020" w:type="dxa"/>
          </w:tcPr>
          <w:p w:rsidR="000A6D36" w:rsidRDefault="000A6D36">
            <w:pPr>
              <w:pStyle w:val="CellColumn"/>
              <w:jc w:val="right"/>
            </w:pPr>
            <w:r>
              <w:rPr>
                <w:rFonts w:cs="Times New Roman"/>
              </w:rPr>
              <w:t>0</w:t>
            </w:r>
          </w:p>
        </w:tc>
      </w:tr>
      <w:tr w:rsidR="000A6D36" w:rsidTr="000A6D36">
        <w:trPr>
          <w:jc w:val="center"/>
        </w:trPr>
        <w:tc>
          <w:tcPr>
            <w:tcW w:w="2553" w:type="dxa"/>
          </w:tcPr>
          <w:p w:rsidR="000A6D36" w:rsidRDefault="000A6D36">
            <w:pPr>
              <w:pStyle w:val="CellColumn"/>
              <w:jc w:val="left"/>
            </w:pPr>
            <w:r>
              <w:rPr>
                <w:rFonts w:cs="Times New Roman"/>
              </w:rPr>
              <w:t>Broj izrađenih izvješća</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0</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1</w:t>
            </w:r>
          </w:p>
        </w:tc>
        <w:tc>
          <w:tcPr>
            <w:tcW w:w="1020" w:type="dxa"/>
          </w:tcPr>
          <w:p w:rsidR="000A6D36" w:rsidRDefault="000A6D36">
            <w:pPr>
              <w:pStyle w:val="CellColumn"/>
              <w:jc w:val="right"/>
            </w:pPr>
            <w:r>
              <w:rPr>
                <w:rFonts w:cs="Times New Roman"/>
              </w:rPr>
              <w:t>0</w:t>
            </w:r>
          </w:p>
        </w:tc>
      </w:tr>
    </w:tbl>
    <w:p w:rsidR="005C2091" w:rsidRDefault="005C2091">
      <w:pPr>
        <w:jc w:val="left"/>
      </w:pPr>
    </w:p>
    <w:p w:rsidR="005C2091" w:rsidRDefault="00A86293">
      <w:pPr>
        <w:pStyle w:val="Heading4"/>
      </w:pPr>
      <w:r>
        <w:lastRenderedPageBreak/>
        <w:t>A522028 OP KONKURENTNOST I KOHEZIJA 2014.- 2020.</w:t>
      </w:r>
    </w:p>
    <w:tbl>
      <w:tblPr>
        <w:tblStyle w:val="StilTablice"/>
        <w:tblW w:w="10206" w:type="dxa"/>
        <w:jc w:val="center"/>
        <w:tblLook w:val="04A0" w:firstRow="1" w:lastRow="0" w:firstColumn="1" w:lastColumn="0" w:noHBand="0" w:noVBand="1"/>
      </w:tblPr>
      <w:tblGrid>
        <w:gridCol w:w="1881"/>
        <w:gridCol w:w="1971"/>
        <w:gridCol w:w="1963"/>
        <w:gridCol w:w="1968"/>
        <w:gridCol w:w="1208"/>
        <w:gridCol w:w="1215"/>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A522028-OP KONKURENTNOST I KOHEZIJA 2014.- 2020.</w:t>
            </w:r>
          </w:p>
        </w:tc>
        <w:tc>
          <w:tcPr>
            <w:tcW w:w="2041" w:type="dxa"/>
          </w:tcPr>
          <w:p w:rsidR="005C2091" w:rsidRDefault="00A86293">
            <w:pPr>
              <w:pStyle w:val="CellColumn"/>
              <w:jc w:val="right"/>
            </w:pPr>
            <w:r>
              <w:rPr>
                <w:rFonts w:cs="Times New Roman"/>
              </w:rPr>
              <w:t>1.920.436</w:t>
            </w:r>
          </w:p>
        </w:tc>
        <w:tc>
          <w:tcPr>
            <w:tcW w:w="2041" w:type="dxa"/>
          </w:tcPr>
          <w:p w:rsidR="005C2091" w:rsidRDefault="00A86293">
            <w:pPr>
              <w:pStyle w:val="CellColumn"/>
              <w:jc w:val="right"/>
            </w:pPr>
            <w:r>
              <w:rPr>
                <w:rFonts w:cs="Times New Roman"/>
              </w:rPr>
              <w:t>317.300</w:t>
            </w:r>
          </w:p>
        </w:tc>
        <w:tc>
          <w:tcPr>
            <w:tcW w:w="2041" w:type="dxa"/>
          </w:tcPr>
          <w:p w:rsidR="005C2091" w:rsidRDefault="00A86293">
            <w:pPr>
              <w:pStyle w:val="CellColumn"/>
              <w:jc w:val="right"/>
            </w:pPr>
            <w:r>
              <w:rPr>
                <w:rFonts w:cs="Times New Roman"/>
              </w:rPr>
              <w:t>298.678</w:t>
            </w:r>
          </w:p>
        </w:tc>
        <w:tc>
          <w:tcPr>
            <w:tcW w:w="1224" w:type="dxa"/>
          </w:tcPr>
          <w:p w:rsidR="005C2091" w:rsidRDefault="00A86293">
            <w:pPr>
              <w:pStyle w:val="CellColumn"/>
              <w:jc w:val="right"/>
            </w:pPr>
            <w:r>
              <w:rPr>
                <w:rFonts w:cs="Times New Roman"/>
              </w:rPr>
              <w:t>94,1</w:t>
            </w:r>
          </w:p>
        </w:tc>
        <w:tc>
          <w:tcPr>
            <w:tcW w:w="1224" w:type="dxa"/>
          </w:tcPr>
          <w:p w:rsidR="005C2091" w:rsidRDefault="00A86293">
            <w:pPr>
              <w:pStyle w:val="CellColumn"/>
              <w:jc w:val="right"/>
            </w:pPr>
            <w:r>
              <w:rPr>
                <w:rFonts w:cs="Times New Roman"/>
              </w:rPr>
              <w:t>15,6</w:t>
            </w:r>
          </w:p>
        </w:tc>
      </w:tr>
    </w:tbl>
    <w:p w:rsidR="005C2091" w:rsidRDefault="005C2091">
      <w:pPr>
        <w:jc w:val="left"/>
      </w:pPr>
    </w:p>
    <w:p w:rsidR="005C2091" w:rsidRDefault="00A86293">
      <w:pPr>
        <w:pStyle w:val="Heading8"/>
        <w:jc w:val="left"/>
      </w:pPr>
      <w:r>
        <w:t>Zakonske i druge pravne osnove</w:t>
      </w:r>
    </w:p>
    <w:p w:rsidR="005C2091" w:rsidRDefault="00A86293">
      <w:r>
        <w:t>- EUROPA 2020., Europska strategija za pametan, održiv i uključiv rast (COM 2010, 2020)</w:t>
      </w:r>
    </w:p>
    <w:p w:rsidR="005C2091" w:rsidRDefault="00A86293">
      <w:pPr>
        <w:pStyle w:val="Heading8"/>
        <w:jc w:val="left"/>
      </w:pPr>
      <w:r>
        <w:t>Opis aktivnosti</w:t>
      </w:r>
    </w:p>
    <w:p w:rsidR="005C2091" w:rsidRDefault="00A86293">
      <w:r>
        <w:t>Osigurana sredstva u Državnom proračunu iznose 317.300,00 kuna (IZVOR 12 – 47.300,00 kuna i IZVOR 563 – 270.000,00 kuna), a na dan 31. prosinca 2016. godine realizirano je 298.677,50 kuna, odnosno 94,13%. Sredstva su utrošena u okviru Projekta uspostave veteranskih centara u Republici Hrvatskoj za organizaciju i provedbu natječaja za idejni projekt za veteranski centar u Daruvaru te za nagrade najboljim radovima.</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Broj odabranih lokacija za izgradnju/adaptaciju i opremanje veteranskih centara</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0</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2</w:t>
            </w:r>
          </w:p>
        </w:tc>
        <w:tc>
          <w:tcPr>
            <w:tcW w:w="1020" w:type="dxa"/>
          </w:tcPr>
          <w:p w:rsidR="000A6D36" w:rsidRDefault="000A6D36">
            <w:pPr>
              <w:pStyle w:val="CellColumn"/>
              <w:jc w:val="right"/>
            </w:pPr>
            <w:r>
              <w:rPr>
                <w:rFonts w:cs="Times New Roman"/>
              </w:rPr>
              <w:t>4</w:t>
            </w:r>
          </w:p>
        </w:tc>
      </w:tr>
      <w:tr w:rsidR="000A6D36" w:rsidTr="000A6D36">
        <w:trPr>
          <w:jc w:val="center"/>
        </w:trPr>
        <w:tc>
          <w:tcPr>
            <w:tcW w:w="2553" w:type="dxa"/>
          </w:tcPr>
          <w:p w:rsidR="000A6D36" w:rsidRDefault="000A6D36">
            <w:pPr>
              <w:pStyle w:val="CellColumn"/>
              <w:jc w:val="left"/>
            </w:pPr>
            <w:r>
              <w:rPr>
                <w:rFonts w:cs="Times New Roman"/>
              </w:rPr>
              <w:t>Broj provedenih informativnih aktivnosti</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0</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10</w:t>
            </w:r>
          </w:p>
        </w:tc>
        <w:tc>
          <w:tcPr>
            <w:tcW w:w="1020" w:type="dxa"/>
          </w:tcPr>
          <w:p w:rsidR="000A6D36" w:rsidRDefault="000A6D36">
            <w:pPr>
              <w:pStyle w:val="CellColumn"/>
              <w:jc w:val="right"/>
            </w:pPr>
            <w:r>
              <w:rPr>
                <w:rFonts w:cs="Times New Roman"/>
              </w:rPr>
              <w:t>0</w:t>
            </w:r>
          </w:p>
        </w:tc>
      </w:tr>
    </w:tbl>
    <w:p w:rsidR="005C2091" w:rsidRDefault="005C2091">
      <w:pPr>
        <w:jc w:val="left"/>
      </w:pPr>
    </w:p>
    <w:p w:rsidR="005C2091" w:rsidRDefault="00A86293">
      <w:pPr>
        <w:pStyle w:val="Heading4"/>
      </w:pPr>
      <w:r>
        <w:t>A558043 JEDNOKRATNA PRAVA IZ ZAKONA I OSTALE NAKNADE HRVATSKIM BRANITELJIMA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A558043-JEDNOKRATNA PRAVA IZ ZAKONA I OSTALE NAKNADE HRVATSKIM BRANITELJIMA IZ DOMOVINSKOG RATA</w:t>
            </w:r>
          </w:p>
        </w:tc>
        <w:tc>
          <w:tcPr>
            <w:tcW w:w="2041" w:type="dxa"/>
          </w:tcPr>
          <w:p w:rsidR="005C2091" w:rsidRDefault="00A86293">
            <w:pPr>
              <w:pStyle w:val="CellColumn"/>
              <w:jc w:val="right"/>
            </w:pPr>
            <w:r>
              <w:rPr>
                <w:rFonts w:cs="Times New Roman"/>
              </w:rPr>
              <w:t>18.667.887</w:t>
            </w:r>
          </w:p>
        </w:tc>
        <w:tc>
          <w:tcPr>
            <w:tcW w:w="2041" w:type="dxa"/>
          </w:tcPr>
          <w:p w:rsidR="005C2091" w:rsidRDefault="00A86293">
            <w:pPr>
              <w:pStyle w:val="CellColumn"/>
              <w:jc w:val="right"/>
            </w:pPr>
            <w:r>
              <w:rPr>
                <w:rFonts w:cs="Times New Roman"/>
              </w:rPr>
              <w:t>34.190.000</w:t>
            </w:r>
          </w:p>
        </w:tc>
        <w:tc>
          <w:tcPr>
            <w:tcW w:w="2041" w:type="dxa"/>
          </w:tcPr>
          <w:p w:rsidR="005C2091" w:rsidRDefault="00A86293">
            <w:pPr>
              <w:pStyle w:val="CellColumn"/>
              <w:jc w:val="right"/>
            </w:pPr>
            <w:r>
              <w:rPr>
                <w:rFonts w:cs="Times New Roman"/>
              </w:rPr>
              <w:t>34.133.258</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182,8</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 xml:space="preserve">- Zakon  o  pravima  hrvatskih  branitelja  iz  Domovinskog  rata  i  članova  njihovih obitelji(NN 174/04, 92/05, 02/07, 107/07, 65/09, 137/09, 146/10, 55/11, 140/12, 19/13, 148/13, 92/14)   </w:t>
      </w:r>
    </w:p>
    <w:p w:rsidR="005C2091" w:rsidRDefault="00A86293">
      <w:r>
        <w:t xml:space="preserve">- Uredba  o  uvjetima  i  postupku  ostvarivanja  prava  na  jednokratnu  novčanu  pomoć članovima obitelji smrtno stradalog hrvatskog branitelja iz Domovinskog rata, hrvatskih ratnih  vojnih invalida iz Domovinskog rata i hrvatskih branitelja iz Domovinskog rata (NN 87/14)   </w:t>
      </w:r>
    </w:p>
    <w:p w:rsidR="005C2091" w:rsidRDefault="00A86293">
      <w:r>
        <w:t>- Uredba  o  uvjetima  i  postupku  ostvarivanja  prava  na  dodjelu  osobnog  automobila hrvatskim ratnim vojnim invalidima iz Domovinskog rata (NN 79/13)</w:t>
      </w:r>
    </w:p>
    <w:p w:rsidR="005C2091" w:rsidRDefault="00A86293">
      <w:pPr>
        <w:pStyle w:val="Heading8"/>
        <w:jc w:val="left"/>
      </w:pPr>
      <w:r>
        <w:t>Opis aktivnosti</w:t>
      </w:r>
    </w:p>
    <w:p w:rsidR="005C2091" w:rsidRDefault="00A86293">
      <w:r>
        <w:t xml:space="preserve">Financiranje organiziranja priprema za upis na fakultete za djecu smrtno stradalog hrvatskog branitelja iz Domovinskog rata, djecu zatočenog ili nestaloga hrvatskog branitelja iz Domovinskog rata, djecu HRVI iz Domovinskog rata, djecu dragovoljaca iz Domovinskog rata, HRVI iz Domovinskog rata i hrvatske branitelje iz Domovinskog rata, ima za cilj povećati konkurentnost navedenih osoba, a koje su zbog težine posljedica rata dovedene u neravnopravan položaj s ostalim kandidatima u pogledu pristupa visokom obrazovanju. </w:t>
      </w:r>
    </w:p>
    <w:p w:rsidR="005C2091" w:rsidRDefault="00A86293">
      <w:r>
        <w:t xml:space="preserve">U izvještajnom razdoblju donesena je Odluka o sufinanciranju pripremnih tečajeva za polaganje ispita državne mature i upisa na studijske programe u školskoj godini 2016./2017. (Klasa: 602-01/16-0001/11, Urbroj: 522-03/1-1-16-1 od 18. travnja 2016. godine), temeljem koje je bio raspisan javni poziv 2. svibnja 2016. godine s krajnjim rokom dostave zahtjeva do 1. srpnja 2016. godine. </w:t>
      </w:r>
    </w:p>
    <w:p w:rsidR="005C2091" w:rsidRDefault="00A86293">
      <w:r>
        <w:t xml:space="preserve">Na javni poziv pristiglo je i obrađeno je 38 zahtjeva, od kojih je 35 zahtjeva odobreno, dok su 3 zahtjeva odbijena. Za ovu aktivnost ukupno je utrošeno 56.098,20 kuna.  </w:t>
      </w:r>
    </w:p>
    <w:p w:rsidR="005C2091" w:rsidRDefault="00A86293">
      <w:r>
        <w:t xml:space="preserve">Sukladno članku 60. Zakona o pravima hrvatskih branitelja iz Domovinskog rata i članova njihovih obitelji, hrvatski ratni vojni invalidi iz Domovinskog rata s oštećenjem organizma 100% I. skupine imaju pravo na osobni automobil s ugrađenim odgovarajućim prilagodbama koji im u vlasništvo dodjeljuje Ministarstvo svakih sedam godina. </w:t>
      </w:r>
    </w:p>
    <w:p w:rsidR="005C2091" w:rsidRDefault="00A86293">
      <w:r>
        <w:t xml:space="preserve">U izvještajnom razdoblju dodijeljeno je 105 automobila za što je utrošeno 16.656.543,23 kune (troškovi prijevoza automobila u iznosu od 24.812,50 kuna podmireni su s aktivnosti A558041 - Administratcija i upravljanje). </w:t>
      </w:r>
    </w:p>
    <w:p w:rsidR="005C2091" w:rsidRDefault="00A86293">
      <w:r>
        <w:t xml:space="preserve">Sa stavke Smještaj HRVI financira se Program liječenja HRVI iz Domovinskog rata 100% I. skupine u hiperbaričnoj komori. Ova aktivnost provodila se s ciljem poboljšanja zdravstvenog stanja HRVI I. skupine, ublažavanja posljedica i sprečavanja pogoršanja funkcionalnog oštećenja organizma.  </w:t>
      </w:r>
    </w:p>
    <w:p w:rsidR="005C2091" w:rsidRDefault="00A86293">
      <w:r>
        <w:t xml:space="preserve">Od 1. siječnja 2016. do 31. prosinca 2016. godine, liječenje u hiperbaričnoj komori za koje je od Zavoda za pomorsku medicinu Ministarstva obrane zatražena ocjena indikacija za liječenje, koristilo je 7 osoba (po jedan ciklus) za što je Ministarstvo hrvatskih branitelja podmirilo troškove u ukupnom iznosu od 40.888,40 kuna. </w:t>
      </w:r>
    </w:p>
    <w:p w:rsidR="005C2091" w:rsidRDefault="00A86293">
      <w:r>
        <w:t xml:space="preserve">Pravo na jednokratnu novčanu pomoć ostvaruje se temeljem Uredbe o izmjenama i dopunama Uredbe o unutarnjem ustrojstvu Ministarstva hrvatskih branitelja NN (40/15), a koja je stupila na snagu 19. travnja 2015. godine. </w:t>
      </w:r>
    </w:p>
    <w:p w:rsidR="005C2091" w:rsidRDefault="00A86293">
      <w:r>
        <w:t xml:space="preserve">U razdoblju od 1. siječnja do 31. prosinca 2016. godine Povjerenstvo je održalo 51 sastanak i dalo prijedlog za izvanredno ostvarivanje prava na jednokratnu novčanu pomoć za 369 korisnika u ukupnom iznosu od 911.922,00 kuna (dio vrijednosti jednog ortopedskog pomagala u iznosu od 21.897,96 kuna isplaćen je s ove aktivnosti). </w:t>
      </w:r>
    </w:p>
    <w:p w:rsidR="005C2091" w:rsidRDefault="00A86293">
      <w:r>
        <w:t xml:space="preserve">Pokrićem troškova organizacije pokopa uz vojne počasti odaje se počast smrtno stradalim hrvatskim braniteljima iz Domovinskog rata, umrlim hrvatskim ratnim vojnim invalidima iz Domovinskog rata i hrvatskim braniteljima iz Domovinskog rata, najzaslužnijima za obranu suvereniteta Republike Hrvatske i u ime vječne zahvalnosti za njihovu najveću žrtvu. </w:t>
      </w:r>
    </w:p>
    <w:p w:rsidR="005C2091" w:rsidRDefault="00A86293">
      <w:r>
        <w:t xml:space="preserve">Zakonska osnova je članak 104. Zakona o pravima hrvatskih branitelja iz Domovinskog rata i članova njihovih obitelji. </w:t>
      </w:r>
    </w:p>
    <w:p w:rsidR="005C2091" w:rsidRDefault="00A86293">
      <w:r>
        <w:t xml:space="preserve">U izvještajnom je razdoblju zaprimljeno ukupno 15.137 naloga za isplatu ili povrat sredstava za pokriće troškova pogreba umrlim hrvatskim braniteljima iz Domovinskog rata za što je isplaćeno ukupno 13.052.603,81 kn. Za troškove odavanja vojnih počasti (preknjiženje zajedničkih rashoda MUP-u i MORH-u) utrošeno je  2.725.904,34 kn.  </w:t>
      </w:r>
    </w:p>
    <w:p w:rsidR="005C2091" w:rsidRDefault="00A86293">
      <w:r>
        <w:lastRenderedPageBreak/>
        <w:t xml:space="preserve">Na ovoj aktivnosti su također predviđena sredstva za kupovinu zastava Republike Hrvatske za prekrivanje ljesova pokojnika kod pokopa uz vojne počasti. U izvještajnom je razdoblju, po osnovi prethodnog Okvirnog sporazuma, sklopljen je ugovor o isporuci 4.000 komada zastava ukupnom iznosu 545.000,00 kuna sa sukcesivnim rokom isporuke prema zahtjevu naručitelja. U izvještajnom razdoblju za isporučene zastave isplaćeno 545.000,00 kn. </w:t>
      </w:r>
    </w:p>
    <w:p w:rsidR="005C2091" w:rsidRDefault="00A86293">
      <w:r>
        <w:t>S ove aktivnosti u izvještajnom razdoblju podmireni su troškovi mirozova prilikom pogreba hrvatskih branitelja za što je utrošeno 122.399,97 kuna.</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Održavanje kontinuiteta ostvarivanja zakonskog prava na podmirivanje troškova pokopa umrlih hrvatskih branitelja uz odavanje vojne počasti</w:t>
            </w:r>
          </w:p>
        </w:tc>
        <w:tc>
          <w:tcPr>
            <w:tcW w:w="1020" w:type="dxa"/>
          </w:tcPr>
          <w:p w:rsidR="000A6D36" w:rsidRDefault="000A6D36">
            <w:pPr>
              <w:pStyle w:val="CellColumn"/>
              <w:jc w:val="right"/>
            </w:pPr>
            <w:r>
              <w:rPr>
                <w:rFonts w:cs="Times New Roman"/>
              </w:rPr>
              <w:t>postotak</w:t>
            </w:r>
          </w:p>
        </w:tc>
        <w:tc>
          <w:tcPr>
            <w:tcW w:w="1020" w:type="dxa"/>
          </w:tcPr>
          <w:p w:rsidR="000A6D36" w:rsidRDefault="000A6D36">
            <w:pPr>
              <w:pStyle w:val="CellColumn"/>
              <w:jc w:val="right"/>
            </w:pPr>
            <w:r>
              <w:rPr>
                <w:rFonts w:cs="Times New Roman"/>
              </w:rPr>
              <w:t>100</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100</w:t>
            </w:r>
          </w:p>
        </w:tc>
        <w:tc>
          <w:tcPr>
            <w:tcW w:w="1020" w:type="dxa"/>
          </w:tcPr>
          <w:p w:rsidR="000A6D36" w:rsidRDefault="000A6D36">
            <w:pPr>
              <w:pStyle w:val="CellColumn"/>
              <w:jc w:val="right"/>
            </w:pPr>
            <w:r>
              <w:rPr>
                <w:rFonts w:cs="Times New Roman"/>
              </w:rPr>
              <w:t>100</w:t>
            </w:r>
          </w:p>
        </w:tc>
      </w:tr>
      <w:tr w:rsidR="000A6D36" w:rsidTr="000A6D36">
        <w:trPr>
          <w:jc w:val="center"/>
        </w:trPr>
        <w:tc>
          <w:tcPr>
            <w:tcW w:w="2553" w:type="dxa"/>
          </w:tcPr>
          <w:p w:rsidR="000A6D36" w:rsidRDefault="000A6D36">
            <w:pPr>
              <w:pStyle w:val="CellColumn"/>
              <w:jc w:val="left"/>
            </w:pPr>
            <w:r>
              <w:rPr>
                <w:rFonts w:cs="Times New Roman"/>
              </w:rPr>
              <w:t>Udio odobrenih zahtjeva za dodjelom automobila HRVI 100% I. skupine u odnosu na broj zaprimljenih i utemeljenih zahtjeva</w:t>
            </w:r>
          </w:p>
        </w:tc>
        <w:tc>
          <w:tcPr>
            <w:tcW w:w="1020" w:type="dxa"/>
          </w:tcPr>
          <w:p w:rsidR="000A6D36" w:rsidRDefault="000A6D36">
            <w:pPr>
              <w:pStyle w:val="CellColumn"/>
              <w:jc w:val="right"/>
            </w:pPr>
            <w:r>
              <w:rPr>
                <w:rFonts w:cs="Times New Roman"/>
              </w:rPr>
              <w:t>postotak</w:t>
            </w:r>
          </w:p>
        </w:tc>
        <w:tc>
          <w:tcPr>
            <w:tcW w:w="1020" w:type="dxa"/>
          </w:tcPr>
          <w:p w:rsidR="000A6D36" w:rsidRDefault="000A6D36">
            <w:pPr>
              <w:pStyle w:val="CellColumn"/>
              <w:jc w:val="right"/>
            </w:pPr>
            <w:r>
              <w:rPr>
                <w:rFonts w:cs="Times New Roman"/>
              </w:rPr>
              <w:t>100</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100</w:t>
            </w:r>
          </w:p>
        </w:tc>
        <w:tc>
          <w:tcPr>
            <w:tcW w:w="1020" w:type="dxa"/>
          </w:tcPr>
          <w:p w:rsidR="000A6D36" w:rsidRDefault="000A6D36">
            <w:pPr>
              <w:pStyle w:val="CellColumn"/>
              <w:jc w:val="right"/>
            </w:pPr>
            <w:r>
              <w:rPr>
                <w:rFonts w:cs="Times New Roman"/>
              </w:rPr>
              <w:t>100</w:t>
            </w:r>
          </w:p>
        </w:tc>
      </w:tr>
    </w:tbl>
    <w:p w:rsidR="005C2091" w:rsidRDefault="005C2091">
      <w:pPr>
        <w:jc w:val="left"/>
      </w:pPr>
    </w:p>
    <w:p w:rsidR="005C2091" w:rsidRDefault="00A86293">
      <w:pPr>
        <w:pStyle w:val="Heading4"/>
      </w:pPr>
      <w:r>
        <w:t>A753003 ORTOPEDSKA I OSTALA MEDICINSKA POMAGALA ZA HRVI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A753003-ORTOPEDSKA I OSTALA MEDICINSKA POMAGALA ZA HRVI</w:t>
            </w:r>
          </w:p>
        </w:tc>
        <w:tc>
          <w:tcPr>
            <w:tcW w:w="2041" w:type="dxa"/>
          </w:tcPr>
          <w:p w:rsidR="005C2091" w:rsidRDefault="00A86293">
            <w:pPr>
              <w:pStyle w:val="CellColumn"/>
              <w:jc w:val="right"/>
            </w:pPr>
            <w:r>
              <w:rPr>
                <w:rFonts w:cs="Times New Roman"/>
              </w:rPr>
              <w:t>1.455.182</w:t>
            </w:r>
          </w:p>
        </w:tc>
        <w:tc>
          <w:tcPr>
            <w:tcW w:w="2041" w:type="dxa"/>
          </w:tcPr>
          <w:p w:rsidR="005C2091" w:rsidRDefault="00A86293">
            <w:pPr>
              <w:pStyle w:val="CellColumn"/>
              <w:jc w:val="right"/>
            </w:pPr>
            <w:r>
              <w:rPr>
                <w:rFonts w:cs="Times New Roman"/>
              </w:rPr>
              <w:t>2.140.000</w:t>
            </w:r>
          </w:p>
        </w:tc>
        <w:tc>
          <w:tcPr>
            <w:tcW w:w="2041" w:type="dxa"/>
          </w:tcPr>
          <w:p w:rsidR="005C2091" w:rsidRDefault="00A86293">
            <w:pPr>
              <w:pStyle w:val="CellColumn"/>
              <w:jc w:val="right"/>
            </w:pPr>
            <w:r>
              <w:rPr>
                <w:rFonts w:cs="Times New Roman"/>
              </w:rPr>
              <w:t>2.140.000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147,1</w:t>
            </w:r>
          </w:p>
        </w:tc>
      </w:tr>
    </w:tbl>
    <w:p w:rsidR="005C2091" w:rsidRDefault="005C2091">
      <w:pPr>
        <w:jc w:val="left"/>
      </w:pPr>
    </w:p>
    <w:p w:rsidR="005C2091" w:rsidRDefault="00A86293">
      <w:pPr>
        <w:pStyle w:val="Heading8"/>
        <w:jc w:val="left"/>
      </w:pPr>
      <w:r>
        <w:t>Zakonske i druge pravne osnove</w:t>
      </w:r>
    </w:p>
    <w:p w:rsidR="005C2091" w:rsidRDefault="00A86293">
      <w:r>
        <w:t>- Zakon  o  pravima  hrvatskih  branitelja  iz  Domovinskog  rata  i  članova  njihovih obitelji(NN 174/04, 92/05, 02/07, 107/07, 65/09, 137/09, 146/10, 55/11, 140/12, 19/13, 148/13, 92/14)</w:t>
      </w:r>
    </w:p>
    <w:p w:rsidR="005C2091" w:rsidRDefault="00A86293">
      <w:pPr>
        <w:pStyle w:val="Heading8"/>
        <w:jc w:val="left"/>
      </w:pPr>
      <w:r>
        <w:t>Opis aktivnosti</w:t>
      </w:r>
    </w:p>
    <w:p w:rsidR="005C2091" w:rsidRDefault="00A86293">
      <w:r>
        <w:t xml:space="preserve">Temeljem članka 12. Zakona o pravima hrvatskih branitelja iz Domovinskog rata i članova njihovih obitelji i Odluke o sufinanciranju ortopedskih i ostalih medicinskih pomagala za HRVI 100% I. skupine, Ministarstvo hrvatskih branitelja je i u 2016. godini sufinanciralo nabavku ortopedskih i ostalih medicinskih pomagala za najtežu kategoriju hrvatskih ratnih vojnih invalida. </w:t>
      </w:r>
    </w:p>
    <w:p w:rsidR="005C2091" w:rsidRDefault="00A86293">
      <w:r>
        <w:t xml:space="preserve">Povjerenstvo za ortopedska i ostala medicinska pomagala održalo je tijekom 2016. godine dva sastanka na kojima su razmatrani zahtjevi upućeni od 82 korisnika za sufinanciranje 141 ortopedskog i ostalog medicinskog pomagala. Svi zahtjevi riješeni su pozitivno. </w:t>
      </w:r>
    </w:p>
    <w:p w:rsidR="005C2091" w:rsidRDefault="00A86293">
      <w:r>
        <w:t>U 2016. godini za navedeno pravo utrošeno je ukupno 2.161.897,96 kuna (dio vrijednosti jednog ortopedskog pomagala u iznosu od 21.897,96 kuna plaćen je s aktivnosti A558043, računa 3721).</w:t>
      </w:r>
    </w:p>
    <w:p w:rsidR="005C2091" w:rsidRDefault="00A86293">
      <w:pPr>
        <w:pStyle w:val="Heading8"/>
        <w:jc w:val="left"/>
      </w:pPr>
      <w:r>
        <w:lastRenderedPageBreak/>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Udio sufinanciranih ortopedskih pomagala u  odnosu na broj zaprimljenih i utemeljenih zahtjeva</w:t>
            </w:r>
          </w:p>
        </w:tc>
        <w:tc>
          <w:tcPr>
            <w:tcW w:w="1020" w:type="dxa"/>
          </w:tcPr>
          <w:p w:rsidR="000A6D36" w:rsidRDefault="000A6D36">
            <w:pPr>
              <w:pStyle w:val="CellColumn"/>
              <w:jc w:val="right"/>
            </w:pPr>
            <w:r>
              <w:rPr>
                <w:rFonts w:cs="Times New Roman"/>
              </w:rPr>
              <w:t>postotak</w:t>
            </w:r>
          </w:p>
        </w:tc>
        <w:tc>
          <w:tcPr>
            <w:tcW w:w="1020" w:type="dxa"/>
          </w:tcPr>
          <w:p w:rsidR="000A6D36" w:rsidRDefault="000A6D36">
            <w:pPr>
              <w:pStyle w:val="CellColumn"/>
              <w:jc w:val="right"/>
            </w:pPr>
            <w:r>
              <w:rPr>
                <w:rFonts w:cs="Times New Roman"/>
              </w:rPr>
              <w:t>100</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100</w:t>
            </w:r>
          </w:p>
        </w:tc>
        <w:tc>
          <w:tcPr>
            <w:tcW w:w="1020" w:type="dxa"/>
          </w:tcPr>
          <w:p w:rsidR="000A6D36" w:rsidRDefault="000A6D36">
            <w:pPr>
              <w:pStyle w:val="CellColumn"/>
              <w:jc w:val="right"/>
            </w:pPr>
            <w:r>
              <w:rPr>
                <w:rFonts w:cs="Times New Roman"/>
              </w:rPr>
              <w:t>100</w:t>
            </w:r>
          </w:p>
        </w:tc>
      </w:tr>
    </w:tbl>
    <w:p w:rsidR="005C2091" w:rsidRDefault="005C2091">
      <w:pPr>
        <w:jc w:val="left"/>
      </w:pPr>
    </w:p>
    <w:p w:rsidR="005C2091" w:rsidRDefault="00A86293">
      <w:pPr>
        <w:pStyle w:val="Heading4"/>
      </w:pPr>
      <w:r>
        <w:t>A753004 REHABILITACIJA HRVATSKIH VOJNIH INVALIDA U ZDRAVSTVENIM LJEČILIŠTIMA</w:t>
      </w:r>
    </w:p>
    <w:tbl>
      <w:tblPr>
        <w:tblStyle w:val="StilTablice"/>
        <w:tblW w:w="10206" w:type="dxa"/>
        <w:jc w:val="center"/>
        <w:tblLook w:val="04A0" w:firstRow="1" w:lastRow="0" w:firstColumn="1" w:lastColumn="0" w:noHBand="0" w:noVBand="1"/>
      </w:tblPr>
      <w:tblGrid>
        <w:gridCol w:w="1738"/>
        <w:gridCol w:w="2011"/>
        <w:gridCol w:w="2009"/>
        <w:gridCol w:w="2011"/>
        <w:gridCol w:w="1217"/>
        <w:gridCol w:w="1220"/>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A753004-REHABILITACIJA HRVATSKIH VOJNIH INVALIDA U ZDRAVSTVENIM LJEČILIŠTIMA</w:t>
            </w:r>
          </w:p>
        </w:tc>
        <w:tc>
          <w:tcPr>
            <w:tcW w:w="2041" w:type="dxa"/>
          </w:tcPr>
          <w:p w:rsidR="005C2091" w:rsidRDefault="00A86293">
            <w:pPr>
              <w:pStyle w:val="CellColumn"/>
              <w:jc w:val="right"/>
            </w:pPr>
            <w:r>
              <w:rPr>
                <w:rFonts w:cs="Times New Roman"/>
              </w:rPr>
              <w:t>593.039</w:t>
            </w:r>
          </w:p>
        </w:tc>
        <w:tc>
          <w:tcPr>
            <w:tcW w:w="2041" w:type="dxa"/>
          </w:tcPr>
          <w:p w:rsidR="005C2091" w:rsidRDefault="00A86293">
            <w:pPr>
              <w:pStyle w:val="CellColumn"/>
              <w:jc w:val="right"/>
            </w:pPr>
            <w:r>
              <w:rPr>
                <w:rFonts w:cs="Times New Roman"/>
              </w:rPr>
              <w:t>617.500</w:t>
            </w:r>
          </w:p>
        </w:tc>
        <w:tc>
          <w:tcPr>
            <w:tcW w:w="2041" w:type="dxa"/>
          </w:tcPr>
          <w:p w:rsidR="005C2091" w:rsidRDefault="00A86293">
            <w:pPr>
              <w:pStyle w:val="CellColumn"/>
              <w:jc w:val="right"/>
            </w:pPr>
            <w:r>
              <w:rPr>
                <w:rFonts w:cs="Times New Roman"/>
              </w:rPr>
              <w:t>590.631</w:t>
            </w:r>
          </w:p>
        </w:tc>
        <w:tc>
          <w:tcPr>
            <w:tcW w:w="1224" w:type="dxa"/>
          </w:tcPr>
          <w:p w:rsidR="005C2091" w:rsidRDefault="00A86293">
            <w:pPr>
              <w:pStyle w:val="CellColumn"/>
              <w:jc w:val="right"/>
            </w:pPr>
            <w:r>
              <w:rPr>
                <w:rFonts w:cs="Times New Roman"/>
              </w:rPr>
              <w:t>95,6</w:t>
            </w:r>
          </w:p>
        </w:tc>
        <w:tc>
          <w:tcPr>
            <w:tcW w:w="1224" w:type="dxa"/>
          </w:tcPr>
          <w:p w:rsidR="005C2091" w:rsidRDefault="00A86293">
            <w:pPr>
              <w:pStyle w:val="CellColumn"/>
              <w:jc w:val="right"/>
            </w:pPr>
            <w:r>
              <w:rPr>
                <w:rFonts w:cs="Times New Roman"/>
              </w:rPr>
              <w:t>99,6</w:t>
            </w:r>
          </w:p>
        </w:tc>
      </w:tr>
    </w:tbl>
    <w:p w:rsidR="005C2091" w:rsidRDefault="005C2091">
      <w:pPr>
        <w:jc w:val="left"/>
      </w:pPr>
    </w:p>
    <w:p w:rsidR="005C2091" w:rsidRDefault="00A86293">
      <w:pPr>
        <w:pStyle w:val="Heading8"/>
        <w:jc w:val="left"/>
      </w:pPr>
      <w:r>
        <w:t>Zakonske i druge pravne osnove</w:t>
      </w:r>
    </w:p>
    <w:p w:rsidR="005C2091" w:rsidRDefault="00A86293">
      <w:r>
        <w:t>- Zakon  o  pravima  hrvatskih  branitelja  iz  Domovinskog  rata  i  članova  njihovih obitelji(NN 174/04, 92/05, 02/07, 107/07, 65/09, 137/09, 146/10, 55/11, 140/12, 19/13, 148/13, 92/14)</w:t>
      </w:r>
    </w:p>
    <w:p w:rsidR="005C2091" w:rsidRDefault="00A86293">
      <w:pPr>
        <w:pStyle w:val="Heading8"/>
        <w:jc w:val="left"/>
      </w:pPr>
      <w:r>
        <w:t>Opis aktivnosti</w:t>
      </w:r>
    </w:p>
    <w:p w:rsidR="005C2091" w:rsidRDefault="00A86293">
      <w:r>
        <w:t xml:space="preserve">Tijekom 2016. godine, nastavljen je program bolničkog liječenja medicinskom odnosno fizikalnom rehabilitacijom hrvatskih ratnih vojnih invalida iz Domovinskog rata u zdravstvenim lječilištima.  </w:t>
      </w:r>
    </w:p>
    <w:p w:rsidR="005C2091" w:rsidRDefault="00A86293">
      <w:r>
        <w:t xml:space="preserve">Sukladno članku 72. Zakona o pravima hrvatskih branitelja i članova njihovih obitelji omogućeno je pravo na medicinsku rehabilitaciju, a Pravilnikom o uvjetima i načinu ostvarivanja prava propisano postupanje Ministarstva hrvatskih branitelja.  </w:t>
      </w:r>
    </w:p>
    <w:p w:rsidR="005C2091" w:rsidRDefault="00A86293">
      <w:r>
        <w:t xml:space="preserve">U svrhu provedbe spomenutog prava sklopljeno je 5 Ugovora o pružanju usluga medicinske rehabilitacije za 150 HRVI-a iz Domovinskog rata.  </w:t>
      </w:r>
    </w:p>
    <w:p w:rsidR="005C2091" w:rsidRDefault="00A86293">
      <w:r>
        <w:t xml:space="preserve">20. svibnja 2016. godine s Krapinskim Toplicama su sklopljeni ugovori o pružanju usluga medicinske rehabilitacije HRVI iz Domovinskog rata s kraniocerebralnim ozljedama i bolestima te ozljedama i bolestima kralježnice, kardiovaskularnim i cerebrovaskularnim bolestima, ozljedama lokomotornog sustava te ugovor o pružanju usluga medicinske rehabilitacije HRVI iz Domovinskog rata s amputacijom udova.  </w:t>
      </w:r>
    </w:p>
    <w:p w:rsidR="005C2091" w:rsidRDefault="00A86293">
      <w:r>
        <w:t xml:space="preserve">16. svibnja 2016. godine sklopljen je s Varaždinskim Toplicama ugovor o pružanju usluga medicinske rehabilitacije HRVI iz Domovinskog rata s bolestima lokomotornog sustava. </w:t>
      </w:r>
    </w:p>
    <w:p w:rsidR="005C2091" w:rsidRDefault="00A86293">
      <w:r>
        <w:t xml:space="preserve">Donesena je Odluka o imenovanju predsjednika i članova Liječničkog povjerenstva za odobravanje bolničke medicinske rehabilitacije. Zahtjevi za odobravanje prava na bolničku medicinsku rehabilitaciju zaprimani su tijekom cijele godine, a o odobravanju istih odlučivalo je Liječničko povjerenstvo koje je tijekom 2016. godine razmotrilo ukupno 169 zahtjeva te od toga za 158 HRVI-a dalo suglasnost za liječenje. </w:t>
      </w:r>
    </w:p>
    <w:p w:rsidR="005C2091" w:rsidRDefault="00A86293">
      <w:r>
        <w:t>U razdoblju od 1. siječnja do 31. prosinca 2016. godine 150 osoba je koristilo pravo na bolničku medicinsku rehabilitaciju, a ukupni troškovi uključujući i naknadu troškova prijevoza HRVI-a radi odlaska na medicinsku rehabilitaciju iznose 590.631,46 kuna.</w:t>
      </w:r>
    </w:p>
    <w:p w:rsidR="005C2091" w:rsidRDefault="00A86293">
      <w:pPr>
        <w:pStyle w:val="Heading8"/>
        <w:jc w:val="left"/>
      </w:pPr>
      <w:r>
        <w:lastRenderedPageBreak/>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Udio korisnika kojima se prema provedenoj anketi medicinskom rehabilitacijom poboljšalo postojeće zdravstveno stanje</w:t>
            </w:r>
          </w:p>
        </w:tc>
        <w:tc>
          <w:tcPr>
            <w:tcW w:w="1020" w:type="dxa"/>
          </w:tcPr>
          <w:p w:rsidR="000A6D36" w:rsidRDefault="000A6D36">
            <w:pPr>
              <w:pStyle w:val="CellColumn"/>
              <w:jc w:val="right"/>
            </w:pPr>
            <w:r>
              <w:rPr>
                <w:rFonts w:cs="Times New Roman"/>
              </w:rPr>
              <w:t>postotak</w:t>
            </w:r>
          </w:p>
        </w:tc>
        <w:tc>
          <w:tcPr>
            <w:tcW w:w="1020" w:type="dxa"/>
          </w:tcPr>
          <w:p w:rsidR="000A6D36" w:rsidRDefault="000A6D36">
            <w:pPr>
              <w:pStyle w:val="CellColumn"/>
              <w:jc w:val="right"/>
            </w:pPr>
            <w:r>
              <w:rPr>
                <w:rFonts w:cs="Times New Roman"/>
              </w:rPr>
              <w:t>27</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35</w:t>
            </w:r>
          </w:p>
        </w:tc>
        <w:tc>
          <w:tcPr>
            <w:tcW w:w="1020" w:type="dxa"/>
          </w:tcPr>
          <w:p w:rsidR="000A6D36" w:rsidRDefault="000A6D36">
            <w:pPr>
              <w:pStyle w:val="CellColumn"/>
              <w:jc w:val="right"/>
            </w:pPr>
            <w:r>
              <w:rPr>
                <w:rFonts w:cs="Times New Roman"/>
              </w:rPr>
              <w:t>69,6</w:t>
            </w:r>
          </w:p>
        </w:tc>
      </w:tr>
    </w:tbl>
    <w:p w:rsidR="005C2091" w:rsidRDefault="005C2091">
      <w:pPr>
        <w:jc w:val="left"/>
      </w:pPr>
    </w:p>
    <w:p w:rsidR="005C2091" w:rsidRDefault="00A86293">
      <w:pPr>
        <w:pStyle w:val="Heading4"/>
      </w:pPr>
      <w:r>
        <w:t>A753009 ZAPOŠLJAVANJE HRVATSKIH BRANITELJA</w:t>
      </w:r>
    </w:p>
    <w:tbl>
      <w:tblPr>
        <w:tblStyle w:val="StilTablice"/>
        <w:tblW w:w="10206" w:type="dxa"/>
        <w:jc w:val="center"/>
        <w:tblLook w:val="04A0" w:firstRow="1" w:lastRow="0" w:firstColumn="1" w:lastColumn="0" w:noHBand="0" w:noVBand="1"/>
      </w:tblPr>
      <w:tblGrid>
        <w:gridCol w:w="1726"/>
        <w:gridCol w:w="2014"/>
        <w:gridCol w:w="2014"/>
        <w:gridCol w:w="2014"/>
        <w:gridCol w:w="1218"/>
        <w:gridCol w:w="1220"/>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A753009-ZAPOŠLJAVANJE HRVATSKIH BRANITELJA</w:t>
            </w:r>
          </w:p>
        </w:tc>
        <w:tc>
          <w:tcPr>
            <w:tcW w:w="2041" w:type="dxa"/>
          </w:tcPr>
          <w:p w:rsidR="005C2091" w:rsidRDefault="00A86293">
            <w:pPr>
              <w:pStyle w:val="CellColumn"/>
              <w:jc w:val="right"/>
            </w:pPr>
            <w:r>
              <w:rPr>
                <w:rFonts w:cs="Times New Roman"/>
              </w:rPr>
              <w:t>8.721.921</w:t>
            </w:r>
          </w:p>
        </w:tc>
        <w:tc>
          <w:tcPr>
            <w:tcW w:w="2041" w:type="dxa"/>
          </w:tcPr>
          <w:p w:rsidR="005C2091" w:rsidRDefault="00A86293">
            <w:pPr>
              <w:pStyle w:val="CellColumn"/>
              <w:jc w:val="right"/>
            </w:pPr>
            <w:r>
              <w:rPr>
                <w:rFonts w:cs="Times New Roman"/>
              </w:rPr>
              <w:t>6.601.500</w:t>
            </w:r>
          </w:p>
        </w:tc>
        <w:tc>
          <w:tcPr>
            <w:tcW w:w="2041" w:type="dxa"/>
          </w:tcPr>
          <w:p w:rsidR="005C2091" w:rsidRDefault="00A86293">
            <w:pPr>
              <w:pStyle w:val="CellColumn"/>
              <w:jc w:val="right"/>
            </w:pPr>
            <w:r>
              <w:rPr>
                <w:rFonts w:cs="Times New Roman"/>
              </w:rPr>
              <w:t>6.192.439</w:t>
            </w:r>
          </w:p>
        </w:tc>
        <w:tc>
          <w:tcPr>
            <w:tcW w:w="1224" w:type="dxa"/>
          </w:tcPr>
          <w:p w:rsidR="005C2091" w:rsidRDefault="00A86293">
            <w:pPr>
              <w:pStyle w:val="CellColumn"/>
              <w:jc w:val="right"/>
            </w:pPr>
            <w:r>
              <w:rPr>
                <w:rFonts w:cs="Times New Roman"/>
              </w:rPr>
              <w:t>93,8</w:t>
            </w:r>
          </w:p>
        </w:tc>
        <w:tc>
          <w:tcPr>
            <w:tcW w:w="1224" w:type="dxa"/>
          </w:tcPr>
          <w:p w:rsidR="005C2091" w:rsidRDefault="00A86293">
            <w:pPr>
              <w:pStyle w:val="CellColumn"/>
              <w:jc w:val="right"/>
            </w:pPr>
            <w:r>
              <w:rPr>
                <w:rFonts w:cs="Times New Roman"/>
              </w:rPr>
              <w:t>71,0</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pravima  hrvatskih  branitelja  iz  Domovinskog  rata  i  članova  njihovih obitelji(NN 174/04, 92/05, 02/07, 107/07, 65/09, 137/09, 146/10, 55/11, 140/12, 19/13, 148/13, 92/14)   </w:t>
      </w:r>
    </w:p>
    <w:p w:rsidR="005C2091" w:rsidRDefault="00A86293">
      <w:r>
        <w:t>- Program stručnog osposobljavanja i zapošljavanja hrvatskih branitelja i djece smrtno stradalih, zatočenih ili nestalih hrvatskih branitelja za razdoblje od 2014. do 2017. godine - Zaključak Vlade RH Klasa: 022-03/14-07/82, Urbroj: 50301-09/06-14-2 od 19. ožujka 2014. godine (NN 38/14, 94/15)</w:t>
      </w:r>
    </w:p>
    <w:p w:rsidR="005C2091" w:rsidRDefault="00A86293">
      <w:pPr>
        <w:pStyle w:val="Heading8"/>
        <w:jc w:val="left"/>
      </w:pPr>
      <w:r>
        <w:t>Opis aktivnosti</w:t>
      </w:r>
    </w:p>
    <w:p w:rsidR="005C2091" w:rsidRDefault="00A86293">
      <w:r>
        <w:t xml:space="preserve">Navedena aktivnost provodi se temeljem Zaključka Vlade RH (Klasa: 022-03/14-07/82, Urbroj: 50301-09/06-14-2 od 19. ožujka 2014. godine i Klasa: 022-03/15-07/290, Urbroj: 00301-09/06-15-2 od 26. kolovoza 2015. godine), kojim je usvojen Program stručnog osposobljavanja i zapošljavanja hrvatskih branitelja i djece smrtno stradalih, zatočenih ili nestalih hrvatskih branitelja za razdoblje od 2014. do 2017. godine (dalje: Program). </w:t>
      </w:r>
    </w:p>
    <w:p w:rsidR="005C2091" w:rsidRDefault="00A86293">
      <w:r>
        <w:t xml:space="preserve">Za provođenje navedenih aktivnosti u proračunu Ministarstva za 2016. godinu osigurana su sredstva u iznosu 6.601.500,00 kn. U izvještajnom razdoblju utrošeno je 6.192.439,13 kuna kroz 6 mjera koje provodi Ministarstvo. </w:t>
      </w:r>
    </w:p>
    <w:p w:rsidR="005C2091" w:rsidRDefault="00A86293">
      <w:r>
        <w:t xml:space="preserve">1. Mjera poticanja obrazovanja hrvatskih branitelja i djece smrtno stradalih, zatočenih ili nestalih hrvatskih branitelja </w:t>
      </w:r>
    </w:p>
    <w:p w:rsidR="005C2091" w:rsidRDefault="00A86293">
      <w:r>
        <w:t xml:space="preserve">(3721 Naknade građanima i kućanstvima u novcu) </w:t>
      </w:r>
    </w:p>
    <w:p w:rsidR="005C2091" w:rsidRDefault="00A86293">
      <w:r>
        <w:t xml:space="preserve">S obzirom da je jedan korisnik odustao od korištenja ove Mjere, u 2016. godini podmireni su troškovi obrazovanja za 24 korisnika, te je na financiranje ove mjere utrošeno ukupno 134.360,00 kuna.  </w:t>
      </w:r>
    </w:p>
    <w:p w:rsidR="005C2091" w:rsidRDefault="00A86293">
      <w:r>
        <w:t xml:space="preserve">2. Mjera samozapošljavanja </w:t>
      </w:r>
    </w:p>
    <w:p w:rsidR="005C2091" w:rsidRDefault="00A86293">
      <w:r>
        <w:t xml:space="preserve">(3721 Naknade građanima i kućanstvima u novcu) </w:t>
      </w:r>
    </w:p>
    <w:p w:rsidR="005C2091" w:rsidRDefault="00A86293">
      <w:r>
        <w:t xml:space="preserve">Potpora se korisnicima isplaćuje temeljem sklopljenih ugovora, a s obzirom da je dvoje korisnika odustalo od korištenja ove Mjere, u 2016. godini isplaćena je potpora za 84 korisnika u ukupnom iznosu od 3.360.000,00 kuna. </w:t>
      </w:r>
    </w:p>
    <w:p w:rsidR="005C2091" w:rsidRDefault="00A86293">
      <w:r>
        <w:t xml:space="preserve">3. Mjera potpore za proširenje postojeće djelatnosti  </w:t>
      </w:r>
    </w:p>
    <w:p w:rsidR="005C2091" w:rsidRDefault="00A86293">
      <w:r>
        <w:t xml:space="preserve">(3721 Naknade građanima i kućanstvima u novcu) </w:t>
      </w:r>
    </w:p>
    <w:p w:rsidR="005C2091" w:rsidRDefault="00A86293">
      <w:r>
        <w:lastRenderedPageBreak/>
        <w:t xml:space="preserve">Ministarstvo podupire poduzetnike koji namjeravaju proširiti postojeću djelatnost zapošljavanjem osoba iz ciljne skupine jednokratnom novčanom potporom u iznosu od 45.000,00 kuna po zaposlenoj osobi, a za zapošljavanje najviše tri osobe iz ciljne skupine.  </w:t>
      </w:r>
    </w:p>
    <w:p w:rsidR="005C2091" w:rsidRDefault="00A86293">
      <w:r>
        <w:t xml:space="preserve">U 2016. godini potpora je isplaćena za 7 korisnika-poslodavaca, čime je podržano zapošljavanje ukupno 8 osoba iz ciljne skupine Programa, na što je utrošeno 360.000,00 kuna. </w:t>
      </w:r>
    </w:p>
    <w:p w:rsidR="005C2091" w:rsidRDefault="00A86293">
      <w:r>
        <w:t xml:space="preserve">4. Mjera potpore radu zadruga hrvatskih branitelja  </w:t>
      </w:r>
    </w:p>
    <w:p w:rsidR="005C2091" w:rsidRDefault="00A86293">
      <w:r>
        <w:t xml:space="preserve">(3811 Tekuće donacije u novcu) </w:t>
      </w:r>
    </w:p>
    <w:p w:rsidR="005C2091" w:rsidRDefault="00A86293">
      <w:r>
        <w:t xml:space="preserve">Ministarstvo daje novčanu i drugu potporu za rad zadruga hrvatskih branitelja, kao posebnog oblika malog poduzetništva koje omogućava organizirano i stručno vođeno obavljanje djelatnosti te zajednički nastup na tržištu. </w:t>
      </w:r>
    </w:p>
    <w:p w:rsidR="005C2091" w:rsidRDefault="00A86293">
      <w:r>
        <w:t xml:space="preserve">U 2016. godini potpora je isplaćena za 10 korisnika, na što je utrošeno 1.500.000,00 kuna. </w:t>
      </w:r>
    </w:p>
    <w:p w:rsidR="005C2091" w:rsidRDefault="00A86293">
      <w:r>
        <w:t xml:space="preserve">5. Mjera sufinanciranja projekata zadruga hrvatskih branitelja ugovorenih u okviru programa Europske unije  </w:t>
      </w:r>
    </w:p>
    <w:p w:rsidR="005C2091" w:rsidRDefault="00A86293">
      <w:r>
        <w:t xml:space="preserve">(3811 Tekuće donacije u novcu) </w:t>
      </w:r>
    </w:p>
    <w:p w:rsidR="005C2091" w:rsidRDefault="00A86293">
      <w:r>
        <w:t xml:space="preserve">Ministarstvo hrvatskih branitelja može sufinancirati projekte zadruga hrvatskih branitelja ugovorene u okviru programa Europske unije, a predviđene za financiranje sredstvima iz pretpristupnih i drugih fondova Europske unije, pri čemu zadruga za prijavljeni projekt može ostvariti iznos potpore do najviše 100.000,00 kuna. </w:t>
      </w:r>
    </w:p>
    <w:p w:rsidR="005C2091" w:rsidRDefault="00A86293">
      <w:r>
        <w:t xml:space="preserve">U tu svrhu utrošeno je ukupno 450.000,00 kuna. </w:t>
      </w:r>
    </w:p>
    <w:p w:rsidR="005C2091" w:rsidRDefault="00A86293">
      <w:r>
        <w:t xml:space="preserve">6. Mjera kreditiranja malog i srednjeg poduzetništva </w:t>
      </w:r>
    </w:p>
    <w:p w:rsidR="005C2091" w:rsidRDefault="00A86293">
      <w:r>
        <w:t xml:space="preserve">(3523 Subvencije poljoprivrednicima, obrtnicima, malim i srednjim poduzetnicima) </w:t>
      </w:r>
    </w:p>
    <w:p w:rsidR="005C2091" w:rsidRDefault="00A86293">
      <w:r>
        <w:t xml:space="preserve">Ministarstvo otplaćuje obveze preuzete u prethodnom razdoblju, subvencioniranjem 2% kamatne stope na poduzetničke kredite realizirane u poslovnim bankama kroz Program „Lokalni projekti razvoja-poduzetnik-branitelj“ iz 2004. godine za 508 korisnika iz 21 županije. </w:t>
      </w:r>
    </w:p>
    <w:p w:rsidR="005C2091" w:rsidRDefault="00A86293">
      <w:r>
        <w:t xml:space="preserve">U 2016. godini za ovu mjeru isplaćeno je 83.130,86 kuna. </w:t>
      </w:r>
    </w:p>
    <w:p w:rsidR="005C2091" w:rsidRDefault="00A86293">
      <w:r>
        <w:t>Isto tako, Ministarstvo pruža i druge oblike podrške zadrugama kroz aktivnosti usmjerene njihovoj većoj prepoznatljivosti te je u tu svrhu utrošeno 304.948,27 kuna (organizacija 4 sajma zadruga hrvatskih branitelja).</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Broj održanih sajmova zadruga hrvatskih branitelja i drugih vezanih aktivnosti</w:t>
            </w:r>
          </w:p>
        </w:tc>
        <w:tc>
          <w:tcPr>
            <w:tcW w:w="1020" w:type="dxa"/>
          </w:tcPr>
          <w:p w:rsidR="000A6D36" w:rsidRDefault="000A6D36">
            <w:pPr>
              <w:pStyle w:val="CellColumn"/>
              <w:jc w:val="right"/>
            </w:pPr>
            <w:r>
              <w:rPr>
                <w:rFonts w:cs="Times New Roman"/>
              </w:rPr>
              <w:t>broj</w:t>
            </w:r>
          </w:p>
        </w:tc>
        <w:tc>
          <w:tcPr>
            <w:tcW w:w="1020" w:type="dxa"/>
          </w:tcPr>
          <w:p w:rsidR="000A6D36" w:rsidRDefault="000A6D36">
            <w:pPr>
              <w:pStyle w:val="CellColumn"/>
              <w:jc w:val="right"/>
            </w:pPr>
            <w:r>
              <w:rPr>
                <w:rFonts w:cs="Times New Roman"/>
              </w:rPr>
              <w:t>39</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41</w:t>
            </w:r>
          </w:p>
        </w:tc>
        <w:tc>
          <w:tcPr>
            <w:tcW w:w="1020" w:type="dxa"/>
          </w:tcPr>
          <w:p w:rsidR="000A6D36" w:rsidRDefault="000A6D36">
            <w:pPr>
              <w:pStyle w:val="CellColumn"/>
              <w:jc w:val="right"/>
            </w:pPr>
            <w:r>
              <w:rPr>
                <w:rFonts w:cs="Times New Roman"/>
              </w:rPr>
              <w:t>49</w:t>
            </w:r>
          </w:p>
        </w:tc>
      </w:tr>
    </w:tbl>
    <w:p w:rsidR="005C2091" w:rsidRDefault="005C2091">
      <w:pPr>
        <w:jc w:val="left"/>
      </w:pPr>
    </w:p>
    <w:p w:rsidR="005C2091" w:rsidRDefault="00A86293">
      <w:pPr>
        <w:pStyle w:val="Heading4"/>
      </w:pPr>
      <w:r>
        <w:t>A753014 NACIONALNI PROGRAM PSIHOSOCIJALNE I ZDRAVSTVENE POMOĆI SUDIONICIMA I STRADALNICIMA DOMOVINSKOG RATA</w:t>
      </w:r>
    </w:p>
    <w:tbl>
      <w:tblPr>
        <w:tblStyle w:val="StilTablice"/>
        <w:tblW w:w="10206" w:type="dxa"/>
        <w:jc w:val="center"/>
        <w:tblLook w:val="04A0" w:firstRow="1" w:lastRow="0" w:firstColumn="1" w:lastColumn="0" w:noHBand="0" w:noVBand="1"/>
      </w:tblPr>
      <w:tblGrid>
        <w:gridCol w:w="1770"/>
        <w:gridCol w:w="2000"/>
        <w:gridCol w:w="2001"/>
        <w:gridCol w:w="2001"/>
        <w:gridCol w:w="1215"/>
        <w:gridCol w:w="121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A753014-NACIONALNI PROGRAM PSIHOSOCIJALNE I ZDRAVSTVENE POMOĆI SUDIONICIMA I STRADALNICIMA DOMOVINSKOG RATA</w:t>
            </w:r>
          </w:p>
        </w:tc>
        <w:tc>
          <w:tcPr>
            <w:tcW w:w="2041" w:type="dxa"/>
          </w:tcPr>
          <w:p w:rsidR="005C2091" w:rsidRDefault="00A86293">
            <w:pPr>
              <w:pStyle w:val="CellColumn"/>
              <w:jc w:val="right"/>
            </w:pPr>
            <w:r>
              <w:rPr>
                <w:rFonts w:cs="Times New Roman"/>
              </w:rPr>
              <w:t>9.120.923</w:t>
            </w:r>
          </w:p>
        </w:tc>
        <w:tc>
          <w:tcPr>
            <w:tcW w:w="2041" w:type="dxa"/>
          </w:tcPr>
          <w:p w:rsidR="005C2091" w:rsidRDefault="00A86293">
            <w:pPr>
              <w:pStyle w:val="CellColumn"/>
              <w:jc w:val="right"/>
            </w:pPr>
            <w:r>
              <w:rPr>
                <w:rFonts w:cs="Times New Roman"/>
              </w:rPr>
              <w:t>9.380.000</w:t>
            </w:r>
          </w:p>
        </w:tc>
        <w:tc>
          <w:tcPr>
            <w:tcW w:w="2041" w:type="dxa"/>
          </w:tcPr>
          <w:p w:rsidR="005C2091" w:rsidRDefault="00A86293">
            <w:pPr>
              <w:pStyle w:val="CellColumn"/>
              <w:jc w:val="right"/>
            </w:pPr>
            <w:r>
              <w:rPr>
                <w:rFonts w:cs="Times New Roman"/>
              </w:rPr>
              <w:t>9.097.496</w:t>
            </w:r>
          </w:p>
        </w:tc>
        <w:tc>
          <w:tcPr>
            <w:tcW w:w="1224" w:type="dxa"/>
          </w:tcPr>
          <w:p w:rsidR="005C2091" w:rsidRDefault="00A86293">
            <w:pPr>
              <w:pStyle w:val="CellColumn"/>
              <w:jc w:val="right"/>
            </w:pPr>
            <w:r>
              <w:rPr>
                <w:rFonts w:cs="Times New Roman"/>
              </w:rPr>
              <w:t>97,0</w:t>
            </w:r>
          </w:p>
        </w:tc>
        <w:tc>
          <w:tcPr>
            <w:tcW w:w="1224" w:type="dxa"/>
          </w:tcPr>
          <w:p w:rsidR="005C2091" w:rsidRDefault="00A86293">
            <w:pPr>
              <w:pStyle w:val="CellColumn"/>
              <w:jc w:val="right"/>
            </w:pPr>
            <w:r>
              <w:rPr>
                <w:rFonts w:cs="Times New Roman"/>
              </w:rPr>
              <w:t>99,7</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pravima  hrvatskih  branitelja  iz  Domovinskog  rata  i  članova  njihovih obitelji(NN 174/04, 92/05, 02/07, 107/07, 65/09, 137/09, 146/10, 55/11, 140/12, 19/13, 148/13, 92/14)   </w:t>
      </w:r>
    </w:p>
    <w:p w:rsidR="005C2091" w:rsidRDefault="00A86293">
      <w:r>
        <w:t>- Nacionalni program psihosocijalne i zdravstvene pomoći sudionicima i stradalnicima Domovinskog rata, Drugog svjetskog rata te povratnicima iz mirovnih misija - Zaključak Vlade Republike Hrvatske, Klasa: 022-03/14-07/05, Urbroj: 50301-09/09-14-2 od 30. siječnja 2014. godine</w:t>
      </w:r>
    </w:p>
    <w:p w:rsidR="005C2091" w:rsidRDefault="00A86293">
      <w:pPr>
        <w:pStyle w:val="Heading8"/>
        <w:jc w:val="left"/>
      </w:pPr>
      <w:r>
        <w:t>Opis aktivnosti</w:t>
      </w:r>
    </w:p>
    <w:p w:rsidR="005C2091" w:rsidRDefault="00A86293">
      <w:r>
        <w:t xml:space="preserve">Ministarstvo hrvatskih branitelja temeljem Zaključka Vlade Republike Hrvatske, Klasa: 022-03/14-07/05, Urbroj: 50301-09/09-14-4 donesenog na sjednici 30. siječnja 2014. godine provodi Nacionalni program psihosocijalne i zdravstvene pomoći sudionicima i stradalnicima Domovinskog rata, Drugog svjetskog rata te povratnicima iz mirovnih misija. </w:t>
      </w:r>
    </w:p>
    <w:p w:rsidR="005C2091" w:rsidRDefault="00A86293">
      <w:r>
        <w:t xml:space="preserve">Okosnicu Nacionalnog programa predstavljaju županijski centri za psihosocijalnu pomoć dok se zdravstveni dio Nacionalnog programa provodi u regionalnim centrima za psihotraumu (Rijeka, Split i Osijek) i Nacionalnom centru za psihotraumu (Zagreb). Pružanje kontinuirane psihosocijalne pomoći provodi se na području cijele Republike Hrvatske. Centri za psihosocijalnu pomoć primarno razvijaju i provode programe psihosocijalne prevencije i potpore, stacionarno (kroz svakodnevno organizirana dežurstva u prostorijama centra) i mobilno (timske posjete domu i obitelji stradalnika  u slučajevima pro-suicidalnih izjava korisnika, smrti, izrazito lošeg socio-ekonomskog i/ili zdravstvenog stanja te stambenih izvida u cilju ostvarivanja prava na stambeno zbrinjavanje). </w:t>
      </w:r>
    </w:p>
    <w:p w:rsidR="005C2091" w:rsidRDefault="00A86293">
      <w:r>
        <w:t xml:space="preserve">U okviru Nacionalnog programa danas djeluje 21 centar za psihosocijalnu pomoć: u svakoj županiji po jedan, uz iznimku Brodsko-posavske županije na čijem su području aktivna dva centra (u Slavonskom Brodu i Novoj Gradišci).  </w:t>
      </w:r>
    </w:p>
    <w:p w:rsidR="005C2091" w:rsidRDefault="00A86293">
      <w:r>
        <w:t xml:space="preserve">Pružanjem kontinuirane psihosocijalne i zdravstvene pomoći sudionicima i stradalnicima iz Domovinskog rata nastoji se smanjiti broj suicida, podići opća kvaliteta življenja te stvoriti uvjete za što uspješnije uključivanje osoba iz ciljnih skupina u društvo. </w:t>
      </w:r>
    </w:p>
    <w:p w:rsidR="005C2091" w:rsidRDefault="00A86293">
      <w:r>
        <w:t xml:space="preserve">U okviru Nacionalnog programa psihosocijalne i zdravstvene pomoći sudionicima i stradalnicima Domovinskog rata, Drugog svjetskog rata, te povratnicima iz mirovnih misija u 21 županijskom centru za psihosocijalnu pomoć u razdoblju od 1. siječnja do 31. prosinca 2016. godine pruženo je ukupno 41.820 intervencija za 34.241 korisnika. Uz 16 stalno zaposlenih djelatnika u područnim jedinicama Ministarstva, u centrima za psihosocijalnu pomoć u izvještajnom razdoblju na provedbi Nacionalnog programa je radilo i 86 honorarnih stručnih suradnika.  </w:t>
      </w:r>
    </w:p>
    <w:p w:rsidR="005C2091" w:rsidRDefault="00A86293">
      <w:r>
        <w:t xml:space="preserve">Nacionalni program nastavno se provodio i u regionalnim centrima (Zagreb, Rijeka, Split i Osijek) te Nacionalnom centru za psihotraumu za čije provođenje su obnovljeni Ugovori o reguliranju međusobnih odnosa u svezi s provedbom Nacionalnog programa. U razdoblju od 1. siječnja do 30. prosinca 2016. godine regionalni centri za psihotraumu i Nacionalni centar za psihotraumu pružili obavili su ukupno 27.499 intervencija kroz preglede i obrade. </w:t>
      </w:r>
    </w:p>
    <w:p w:rsidR="005C2091" w:rsidRDefault="00A86293">
      <w:r>
        <w:t xml:space="preserve">U svrhu provedbe Nacionalnog programa psihosocijalne i zdravstvene pomoći sudionicima i stradalnicima iz Domovinskog rata, u proračunskim sredstvima Ministarstva za 2016. godinu u razdoblju od 1. siječnja do 31. prosinca 2016. godine utrošeno je ukupno  9.097.495,80 kuna (od toga 4.243.908,40 kuna na Regionalne centre za psihotraumu i Nacionalni centar za psihotraumu, a 4.853.587,40 kuna na centre za psihosocijalnu pomoć. Od ukupnog iznosa utrošenog za rad centara za psihosocijalnu pomoć iznos od 4.452.565,16 kune utrošen je za </w:t>
      </w:r>
      <w:r>
        <w:lastRenderedPageBreak/>
        <w:t>troškove rada stručnih suradnika, a iznos od 401.022,24 kune za ukupne troškove režija, najma, održavanja i ostale materijalne troškove područnih jedinica Ministarstva i centara za psihosocijalnu pomoć.</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Udio kriznih intervencija u ukupnom broju izvršenih intervencija</w:t>
            </w:r>
          </w:p>
        </w:tc>
        <w:tc>
          <w:tcPr>
            <w:tcW w:w="1020" w:type="dxa"/>
          </w:tcPr>
          <w:p w:rsidR="000A6D36" w:rsidRDefault="000A6D36">
            <w:pPr>
              <w:pStyle w:val="CellColumn"/>
              <w:jc w:val="right"/>
            </w:pPr>
            <w:r>
              <w:rPr>
                <w:rFonts w:cs="Times New Roman"/>
              </w:rPr>
              <w:t>postotak</w:t>
            </w:r>
          </w:p>
        </w:tc>
        <w:tc>
          <w:tcPr>
            <w:tcW w:w="1020" w:type="dxa"/>
          </w:tcPr>
          <w:p w:rsidR="000A6D36" w:rsidRDefault="000A6D36">
            <w:pPr>
              <w:pStyle w:val="CellColumn"/>
              <w:jc w:val="right"/>
            </w:pPr>
            <w:r>
              <w:rPr>
                <w:rFonts w:cs="Times New Roman"/>
              </w:rPr>
              <w:t>3,9</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3,8</w:t>
            </w:r>
          </w:p>
        </w:tc>
        <w:tc>
          <w:tcPr>
            <w:tcW w:w="1020" w:type="dxa"/>
          </w:tcPr>
          <w:p w:rsidR="000A6D36" w:rsidRDefault="000A6D36">
            <w:pPr>
              <w:pStyle w:val="CellColumn"/>
              <w:jc w:val="right"/>
            </w:pPr>
            <w:r>
              <w:rPr>
                <w:rFonts w:cs="Times New Roman"/>
              </w:rPr>
              <w:t>3,8</w:t>
            </w:r>
          </w:p>
        </w:tc>
      </w:tr>
    </w:tbl>
    <w:p w:rsidR="005C2091" w:rsidRDefault="005C2091">
      <w:pPr>
        <w:jc w:val="left"/>
      </w:pPr>
    </w:p>
    <w:p w:rsidR="005C2091" w:rsidRDefault="00A86293">
      <w:pPr>
        <w:pStyle w:val="Heading4"/>
      </w:pPr>
      <w:r>
        <w:t>A753015 UDRUGE BRANITELJA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A753015-UDRUGE BRANITELJA</w:t>
            </w:r>
          </w:p>
        </w:tc>
        <w:tc>
          <w:tcPr>
            <w:tcW w:w="2041" w:type="dxa"/>
          </w:tcPr>
          <w:p w:rsidR="005C2091" w:rsidRDefault="00A86293">
            <w:pPr>
              <w:pStyle w:val="CellColumn"/>
              <w:jc w:val="right"/>
            </w:pPr>
            <w:r>
              <w:rPr>
                <w:rFonts w:cs="Times New Roman"/>
              </w:rPr>
              <w:t>12.253.578</w:t>
            </w:r>
          </w:p>
        </w:tc>
        <w:tc>
          <w:tcPr>
            <w:tcW w:w="2041" w:type="dxa"/>
          </w:tcPr>
          <w:p w:rsidR="005C2091" w:rsidRDefault="00A86293">
            <w:pPr>
              <w:pStyle w:val="CellColumn"/>
              <w:jc w:val="right"/>
            </w:pPr>
            <w:r>
              <w:rPr>
                <w:rFonts w:cs="Times New Roman"/>
              </w:rPr>
              <w:t>15.925.710</w:t>
            </w:r>
          </w:p>
        </w:tc>
        <w:tc>
          <w:tcPr>
            <w:tcW w:w="2041" w:type="dxa"/>
          </w:tcPr>
          <w:p w:rsidR="005C2091" w:rsidRDefault="00A86293">
            <w:pPr>
              <w:pStyle w:val="CellColumn"/>
              <w:jc w:val="right"/>
            </w:pPr>
            <w:r>
              <w:rPr>
                <w:rFonts w:cs="Times New Roman"/>
              </w:rPr>
              <w:t>16.501.404</w:t>
            </w:r>
          </w:p>
        </w:tc>
        <w:tc>
          <w:tcPr>
            <w:tcW w:w="1224" w:type="dxa"/>
          </w:tcPr>
          <w:p w:rsidR="005C2091" w:rsidRDefault="00A86293">
            <w:pPr>
              <w:pStyle w:val="CellColumn"/>
              <w:jc w:val="right"/>
            </w:pPr>
            <w:r>
              <w:rPr>
                <w:rFonts w:cs="Times New Roman"/>
              </w:rPr>
              <w:t>103,6</w:t>
            </w:r>
          </w:p>
        </w:tc>
        <w:tc>
          <w:tcPr>
            <w:tcW w:w="1224" w:type="dxa"/>
          </w:tcPr>
          <w:p w:rsidR="005C2091" w:rsidRDefault="00A86293">
            <w:pPr>
              <w:pStyle w:val="CellColumn"/>
              <w:jc w:val="right"/>
            </w:pPr>
            <w:r>
              <w:rPr>
                <w:rFonts w:cs="Times New Roman"/>
              </w:rPr>
              <w:t>134,7</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pravima  hrvatskih  branitelja  iz  Domovinskog  rata  i  članova  njihovih obitelji(NN 174/04, 92/05, 02/07, 107/07, 65/09, 137/09, 146/10, 55/11, 140/12, 19/13, 148/13, 92/14)   </w:t>
      </w:r>
    </w:p>
    <w:p w:rsidR="005C2091" w:rsidRDefault="00A86293">
      <w:r>
        <w:t>- Zakon o udrugama (NN 88/01, 11/02, 74/14)</w:t>
      </w:r>
    </w:p>
    <w:p w:rsidR="005C2091" w:rsidRDefault="00A86293">
      <w:pPr>
        <w:pStyle w:val="Heading8"/>
        <w:jc w:val="left"/>
      </w:pPr>
      <w:r>
        <w:t>Opis aktivnosti</w:t>
      </w:r>
    </w:p>
    <w:p w:rsidR="005C2091" w:rsidRDefault="00A86293">
      <w:r>
        <w:t xml:space="preserve">Ministarstvo je u 2016. proračunskoj godini, na aktivnosti A753015 „Udruge branitelja“ (račun 3811 Tekuće donacije u novcu, 3811 Prihodi od igara na sreću, račun 3299 Ostali nespomenuti rashodi poslovanja i račun 3237 Intelektualne i osobne usluge), koristilo osigurana sredstva za financiranje/sufinanciranje projekata udruga iz Domovinskog rata i udruga sudionika i stradalnika Drugoga svjetskog rata po javnim natječajima, jednokratnih aktivnosti udruga po pojedinačnim odlukama čelnika Ministarstva, za zajedničke aktivnosti Ministarstva i udruga iz Domovinskog rata, te za  pokriće troškova rada članova stručnih tijela za procjenu projekata prijavljenih na javne natječaje. </w:t>
      </w:r>
    </w:p>
    <w:p w:rsidR="005C2091" w:rsidRDefault="00A86293">
      <w:r>
        <w:t xml:space="preserve">Odobreni projekti udruga po javnim natječajima financirani su iz proračunskih sredstava i sredstava prihoda od igara na sreću, dok su ostale aktivnosti financirane isključivo iz proračunskih sredstava. Projekti su financirani na osnovu procjene i prijedloga nadležnih stručnih skupina osnovanih kao nezavisna tijela za razmatranje projekata iz pojedinih natječaja. </w:t>
      </w:r>
    </w:p>
    <w:p w:rsidR="005C2091" w:rsidRDefault="00A86293">
      <w:r>
        <w:t xml:space="preserve">Ministarstvo je u 2016. godini objavilo 3 javna natječaja za financiranje projekata udruga, po kojima je financirano/sufinancirano 333 projekta u iznosu od 14.145.043,75 kuna i to 6.752.068,75 kuna proračunskih sredstava i 7.392.975,00 kuna prihoda od igara na sreću. </w:t>
      </w:r>
    </w:p>
    <w:p w:rsidR="005C2091" w:rsidRDefault="00A86293">
      <w:r>
        <w:t xml:space="preserve">Natječaji su raspisani za područje promicanja vrijednosti Domovinskog rata, psihosocijalnog osnaživanja hrvatskih branitelja, hrvatskih branitelja s invaliditetom, HRVI, stradalnika i članova obitelji smrtno stradaloga, zatočenoga ili nestaloga hrvatskog branitelja iz Domovinskog rata, te očuvanja i promicanja tradicije NOB-a i skrbi za sudionike i stradalnike Drugog svjetskog rata kroz aktivnosti udruga koje promiču interese sudionika i stradalnika Drugog svjetskog rata. </w:t>
      </w:r>
    </w:p>
    <w:p w:rsidR="005C2091" w:rsidRDefault="00A86293">
      <w:r>
        <w:t xml:space="preserve">U 2016. godini ukupno je isplaćeno 1.771.589,61 kuna za 125 aktivnosti udruga (jednokratne potpore udrugama po pojedinačnim odlukama čelnika Ministarstva). Potpore su odobrene na prijedlog Povjerenstva za dodjelu jednokratnih novčanih potpora udrugama iz Domovinskog rata. </w:t>
      </w:r>
    </w:p>
    <w:p w:rsidR="005C2091" w:rsidRDefault="00A86293">
      <w:r>
        <w:lastRenderedPageBreak/>
        <w:t xml:space="preserve">Za zajedničke aktivnosti Ministarstva i udruga, u sklopu kojih je organizirano sudjelovanje hrvatskih branitelja i članova njihovih obitelji na Hodočašću hrvatske vojske, policije i branitelja u Svetište Majke Božje Bistričke u Mariji Bistrici i na Vojnoredarstvenom hodočašću Lourdes, utrošeno je ukupno 482.766,82 kuna. Hodočašća su organizirana u suradnji s udrugama iz Domovinskog rata i Vojnim ordinarijatom u Republici Hrvatskoj.  </w:t>
      </w:r>
    </w:p>
    <w:p w:rsidR="005C2091" w:rsidRDefault="00A86293">
      <w:r>
        <w:t xml:space="preserve">Za intelektualne i osobne usluge, utrošeno je ukupno 102.004,18 kuna i to za rad nezavisnih procjenitelja projekata prijavljenih na javne natječaje Ministarstva. </w:t>
      </w:r>
    </w:p>
    <w:p w:rsidR="005C2091" w:rsidRDefault="00A86293">
      <w:r>
        <w:t>Ukupno izvršenje na proračunskoj poziciji Ministarstva A753015 „Udruge branitelja“ u 2016. godini iznosi 16.501.404,36 kuna.</w:t>
      </w:r>
    </w:p>
    <w:p w:rsidR="000A6D36" w:rsidRDefault="000A6D36"/>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Udio odobrenih projekata u odnosu na zaprimljene prijedloge</w:t>
            </w:r>
          </w:p>
        </w:tc>
        <w:tc>
          <w:tcPr>
            <w:tcW w:w="1020" w:type="dxa"/>
          </w:tcPr>
          <w:p w:rsidR="000A6D36" w:rsidRDefault="000A6D36">
            <w:pPr>
              <w:pStyle w:val="CellColumn"/>
              <w:jc w:val="right"/>
            </w:pPr>
            <w:r>
              <w:rPr>
                <w:rFonts w:cs="Times New Roman"/>
              </w:rPr>
              <w:t>postotak</w:t>
            </w:r>
          </w:p>
        </w:tc>
        <w:tc>
          <w:tcPr>
            <w:tcW w:w="1020" w:type="dxa"/>
          </w:tcPr>
          <w:p w:rsidR="000A6D36" w:rsidRDefault="000A6D36">
            <w:pPr>
              <w:pStyle w:val="CellColumn"/>
              <w:jc w:val="right"/>
            </w:pPr>
            <w:r>
              <w:rPr>
                <w:rFonts w:cs="Times New Roman"/>
              </w:rPr>
              <w:t>81</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82</w:t>
            </w:r>
          </w:p>
        </w:tc>
        <w:tc>
          <w:tcPr>
            <w:tcW w:w="1020" w:type="dxa"/>
          </w:tcPr>
          <w:p w:rsidR="000A6D36" w:rsidRDefault="000A6D36">
            <w:pPr>
              <w:pStyle w:val="CellColumn"/>
              <w:jc w:val="right"/>
            </w:pPr>
            <w:r>
              <w:rPr>
                <w:rFonts w:cs="Times New Roman"/>
              </w:rPr>
              <w:t>83</w:t>
            </w:r>
          </w:p>
        </w:tc>
      </w:tr>
    </w:tbl>
    <w:p w:rsidR="005C2091" w:rsidRDefault="005C2091">
      <w:pPr>
        <w:jc w:val="left"/>
      </w:pPr>
    </w:p>
    <w:p w:rsidR="005C2091" w:rsidRDefault="00A86293">
      <w:pPr>
        <w:pStyle w:val="Heading4"/>
      </w:pPr>
      <w:r>
        <w:t>A753027 OP UČINKOVITI LJUDSKI POTENCIJALI 2014.- 2020.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A753027-OP UČINKOVITI LJUDSKI POTENCIJALI 2014.- 2020.</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67.000</w:t>
            </w:r>
          </w:p>
        </w:tc>
        <w:tc>
          <w:tcPr>
            <w:tcW w:w="2041" w:type="dxa"/>
          </w:tcPr>
          <w:p w:rsidR="005C2091" w:rsidRDefault="00A86293">
            <w:pPr>
              <w:pStyle w:val="CellColumn"/>
              <w:jc w:val="right"/>
            </w:pPr>
            <w:r>
              <w:rPr>
                <w:rFonts w:cs="Times New Roman"/>
              </w:rPr>
              <w:t>5.625</w:t>
            </w:r>
          </w:p>
        </w:tc>
        <w:tc>
          <w:tcPr>
            <w:tcW w:w="1224" w:type="dxa"/>
          </w:tcPr>
          <w:p w:rsidR="005C2091" w:rsidRDefault="00A86293">
            <w:pPr>
              <w:pStyle w:val="CellColumn"/>
              <w:jc w:val="right"/>
            </w:pPr>
            <w:r>
              <w:rPr>
                <w:rFonts w:cs="Times New Roman"/>
              </w:rPr>
              <w:t>8,4</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EUROPA 2020., Europska strategija za pametan, održiv i uključiv rast (COM 2010, 2020)</w:t>
      </w:r>
    </w:p>
    <w:p w:rsidR="005C2091" w:rsidRDefault="00A86293">
      <w:pPr>
        <w:pStyle w:val="Heading8"/>
        <w:jc w:val="left"/>
      </w:pPr>
      <w:r>
        <w:t>Opis aktivnosti</w:t>
      </w:r>
    </w:p>
    <w:p w:rsidR="005C2091" w:rsidRDefault="00A86293">
      <w:r>
        <w:t xml:space="preserve">Osigurana sredstva u Državnom proračunu iznose 67.000,00 kuna (IZVOR 12 – 10.000,00 kuna i IZVOR 561 – 57.000,00 kuna), a na dan 31. prosinca 2016. godine realizirano je 5.625,00 kuna, odnosno 8,4%. Sredstva su utrošena u okviru projekta Jačanje učinkovitosti i kapaciteta Uprave za zatočene i nestale Ministarstva hrvatskih branitelja kroz razvoj metodologije pronalaženja neregistriranih grobnica za plaćanje usluga konzultanata koji su provodili pripremne aktivnosti vezane za provedbu projekta. </w:t>
      </w:r>
    </w:p>
    <w:p w:rsidR="005C2091" w:rsidRDefault="00A86293">
      <w:r>
        <w:t>Projekti koji se nalaze u okviru Prioritetne osi 4 „Dobro upravljanje“, investicijskog prioriteta 11 i „Ulaganje u institucionalne kapacitete te u učinkovitost javnih uprava i javnih usluga na nacionalnoj, regionalnoj i lokalnoj razini s ciljem reformiranja, boljeg uređivanja i dobrog upravljanja“, specifičnog cilja 11 i 1. „Povećanje djelotvornosti i kapaciteta u javnoj upravi kroz poboljšanje pružanja usluga i upravljanja ljudskim potencijalima“ nisu se provodili budući da je spomenuti specifični cilj tijekom cijele 2016. godine bio pod privremenom obustavom zbog neispunjavanja ex-ante uvjeta od strane Republike Hrvatske. Ex-ante (prethodni) uvjet jest „postojanje strateškog okvira politika za jačanje administrativne učinkovitosti države članice uključujući javnu upravu“, a Ministarstvo uprave, kao nadležno tijelo za Strategiju Razvoja javne uprave 2015.-2020. godine, dodatno unaprjeđuje Akcijski plan razvoja javne uprave, koji će služiti kao podloga za procjenu usklađenosti s kriterijima ex-ante uvjeta.</w:t>
      </w:r>
    </w:p>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pripremljenih projekata</w:t>
            </w:r>
          </w:p>
        </w:tc>
        <w:tc>
          <w:tcPr>
            <w:tcW w:w="2551" w:type="dxa"/>
          </w:tcPr>
          <w:p w:rsidR="005C2091" w:rsidRDefault="005C2091">
            <w:pPr>
              <w:jc w:val="left"/>
            </w:pP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MHB</w:t>
            </w:r>
          </w:p>
        </w:tc>
        <w:tc>
          <w:tcPr>
            <w:tcW w:w="1020" w:type="dxa"/>
          </w:tcPr>
          <w:p w:rsidR="005C2091" w:rsidRDefault="00A86293">
            <w:pPr>
              <w:pStyle w:val="CellColumn"/>
              <w:jc w:val="right"/>
            </w:pPr>
            <w:r>
              <w:rPr>
                <w:rFonts w:cs="Times New Roman"/>
              </w:rPr>
              <w:t>7</w:t>
            </w:r>
          </w:p>
        </w:tc>
        <w:tc>
          <w:tcPr>
            <w:tcW w:w="1020" w:type="dxa"/>
          </w:tcPr>
          <w:p w:rsidR="005C2091" w:rsidRDefault="00A86293">
            <w:pPr>
              <w:pStyle w:val="CellColumn"/>
              <w:jc w:val="right"/>
            </w:pPr>
            <w:r>
              <w:rPr>
                <w:rFonts w:cs="Times New Roman"/>
              </w:rPr>
              <w:t>4</w:t>
            </w:r>
          </w:p>
        </w:tc>
      </w:tr>
    </w:tbl>
    <w:p w:rsidR="005C2091" w:rsidRDefault="005C2091">
      <w:pPr>
        <w:jc w:val="left"/>
      </w:pPr>
    </w:p>
    <w:p w:rsidR="005C2091" w:rsidRDefault="00A86293">
      <w:pPr>
        <w:pStyle w:val="Heading4"/>
      </w:pPr>
      <w:r>
        <w:t>A754010 PRISTUPAČNOST OBJEKATA POTREBAMA INVALIDA</w:t>
      </w:r>
    </w:p>
    <w:tbl>
      <w:tblPr>
        <w:tblStyle w:val="StilTablice"/>
        <w:tblW w:w="10206" w:type="dxa"/>
        <w:jc w:val="center"/>
        <w:tblLook w:val="04A0" w:firstRow="1" w:lastRow="0" w:firstColumn="1" w:lastColumn="0" w:noHBand="0" w:noVBand="1"/>
      </w:tblPr>
      <w:tblGrid>
        <w:gridCol w:w="1715"/>
        <w:gridCol w:w="2017"/>
        <w:gridCol w:w="2017"/>
        <w:gridCol w:w="2017"/>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A754010-PRISTUPAČNOST OBJEKATA POTREBAMA INVALIDA</w:t>
            </w:r>
          </w:p>
        </w:tc>
        <w:tc>
          <w:tcPr>
            <w:tcW w:w="2041" w:type="dxa"/>
          </w:tcPr>
          <w:p w:rsidR="005C2091" w:rsidRDefault="00A86293">
            <w:pPr>
              <w:pStyle w:val="CellColumn"/>
              <w:jc w:val="right"/>
            </w:pPr>
            <w:r>
              <w:rPr>
                <w:rFonts w:cs="Times New Roman"/>
              </w:rPr>
              <w:t>1.500.000</w:t>
            </w:r>
          </w:p>
        </w:tc>
        <w:tc>
          <w:tcPr>
            <w:tcW w:w="2041" w:type="dxa"/>
          </w:tcPr>
          <w:p w:rsidR="005C2091" w:rsidRDefault="00A86293">
            <w:pPr>
              <w:pStyle w:val="CellColumn"/>
              <w:jc w:val="right"/>
            </w:pPr>
            <w:r>
              <w:rPr>
                <w:rFonts w:cs="Times New Roman"/>
              </w:rPr>
              <w:t>1.330.000</w:t>
            </w:r>
          </w:p>
        </w:tc>
        <w:tc>
          <w:tcPr>
            <w:tcW w:w="2041" w:type="dxa"/>
          </w:tcPr>
          <w:p w:rsidR="005C2091" w:rsidRDefault="00A86293">
            <w:pPr>
              <w:pStyle w:val="CellColumn"/>
              <w:jc w:val="right"/>
            </w:pPr>
            <w:r>
              <w:rPr>
                <w:rFonts w:cs="Times New Roman"/>
              </w:rPr>
              <w:t>1.326.562</w:t>
            </w:r>
          </w:p>
        </w:tc>
        <w:tc>
          <w:tcPr>
            <w:tcW w:w="1224" w:type="dxa"/>
          </w:tcPr>
          <w:p w:rsidR="005C2091" w:rsidRDefault="00A86293">
            <w:pPr>
              <w:pStyle w:val="CellColumn"/>
              <w:jc w:val="right"/>
            </w:pPr>
            <w:r>
              <w:rPr>
                <w:rFonts w:cs="Times New Roman"/>
              </w:rPr>
              <w:t>99,7</w:t>
            </w:r>
          </w:p>
        </w:tc>
        <w:tc>
          <w:tcPr>
            <w:tcW w:w="1224" w:type="dxa"/>
          </w:tcPr>
          <w:p w:rsidR="005C2091" w:rsidRDefault="00A86293">
            <w:pPr>
              <w:pStyle w:val="CellColumn"/>
              <w:jc w:val="right"/>
            </w:pPr>
            <w:r>
              <w:rPr>
                <w:rFonts w:cs="Times New Roman"/>
              </w:rPr>
              <w:t>88,4</w:t>
            </w:r>
          </w:p>
        </w:tc>
      </w:tr>
    </w:tbl>
    <w:p w:rsidR="005C2091" w:rsidRDefault="005C2091">
      <w:pPr>
        <w:jc w:val="left"/>
      </w:pPr>
    </w:p>
    <w:p w:rsidR="005C2091" w:rsidRDefault="00A86293">
      <w:pPr>
        <w:pStyle w:val="Heading8"/>
        <w:jc w:val="left"/>
      </w:pPr>
      <w:r>
        <w:t>Zakonske i druge pravne osnove</w:t>
      </w:r>
    </w:p>
    <w:p w:rsidR="005C2091" w:rsidRDefault="00A86293">
      <w:r>
        <w:t>- Zakon  o  pravima  hrvatskih  branitelja  iz  Domovinskog  rata  i  članova  njihovih obitelji(NN 174/04, 92/05, 02/07, 107/07, 65/09, 137/09, 146/10, 55/11, 140/12, 19/13, 148/13, 92/14)</w:t>
      </w:r>
    </w:p>
    <w:p w:rsidR="005C2091" w:rsidRDefault="00A86293">
      <w:pPr>
        <w:pStyle w:val="Heading8"/>
        <w:jc w:val="left"/>
      </w:pPr>
      <w:r>
        <w:t>Opis aktivnosti</w:t>
      </w:r>
    </w:p>
    <w:p w:rsidR="005C2091" w:rsidRDefault="00A86293">
      <w:r>
        <w:t xml:space="preserve">U okviru Projekta rješavanja pristupačnosti objektima osoba s invaliditetom, Ministarstvo nastoji podržati svaku inicijativu prilagodbe građevina i ustanova te unaprjeđenja pristupačnosti istih kako bi se poboljšala kvaliteta života osoba s najtežom vrstom i stupnjem invaliditeta i osigurala neovisnost njihova življenja u zajednici. </w:t>
      </w:r>
    </w:p>
    <w:p w:rsidR="005C2091" w:rsidRDefault="00A86293">
      <w:r>
        <w:t xml:space="preserve">Jedinicama lokalne i područne (regionalne) samouprave u Republici Hrvatskoj, koje provode djelatnosti usmjerene potrebama zajednice, temeljem podnesenog zahtjeva po javnom pozivu, odobrava se sufinanciranje projekata rješavanja pristupačnosti objektima osoba s invaliditetom, a nakon razmatranja istih od strane Radne skupine. Odlukom o sufinanciranju projekata rješavanja pristupačnosti objektima osoba s invaliditetom sredstvima Državnog proračuna RH za 2016. godinu (KLASA: 555-09/16-0002/1, URBROJ: 522-03/1-1-16-1 od 12.4.2016. godine) započela je realizacija Projekta u 2016. godini. </w:t>
      </w:r>
    </w:p>
    <w:p w:rsidR="005C2091" w:rsidRDefault="00A86293">
      <w:r>
        <w:t xml:space="preserve">Temeljem Odluke (KLASA: 555-09/16-0002/1, URBROJ: 522-03/1-1-16-12 od 1.6.2016. godine) osnovana je Radna skupina za Projekt rješavanja pristupačnosti objektima osoba s invaliditetom, koja razmatra zaprimljene zahtjeve i predlaže donošenje odluka za sufinanciranje radova prilagodbe kako bi se osigurala pristupačnost objekata javne namjene osobama s invaliditetom, i to prije svega  zdravstvenim ustanovama, uredima Hrvatskog zavoda za zdravstveno osiguranje, uredima Hrvatskog zavoda za mirovinsko osiguranje, ustanovama socijalne skrbi, zgradama županijskih, gradskih i općinskih uprava, uredima državne uprave, školama, kazalištima, dvoranama i drugim javnim ustanovama. </w:t>
      </w:r>
    </w:p>
    <w:p w:rsidR="005C2091" w:rsidRDefault="00A86293">
      <w:r>
        <w:t>Ministarstvo je dana 14. travnja 2016. godine raspisalo Javni poziv za sufinanciranje projekata rješavanja pristupačnosti objektima osoba s invaliditetom, sredstvima Državnog proračuna Republike Hrvatske u 2016. godini na području Republike Hrvatske (KLASA: 555-09/16-0002/1, URBROJ: 522-03/1-1-16-2) koji je bio otvoren do 13. svibnja 2016. godine. Pristiglo je ukupno 28 zahtjeva za 32 prilagodbe, koje je razmotrila Radna skupina. Donesene su odluke i potpisano ukupno 17 ugovora s jedinicama lokalne i područne (regionalne) samouprave o sufinanciranju 20 projekata rješavanja pristupačnosti objektima osoba s invaliditetom u ukupnom iznosu od 1.326.561,50 kuna. Ugovori su sklopljeni sa sljedećim jedinicama: Bjelovarsko-bilogorska županija – dva projekta, Dubrovačko-neretvanska, Krapinsko-zagorska i Varaždinska županija, Grad Duga Resa, Grad Garešnica – dva projekta, Grad Karlovac, Grad Pazin, Grad Pleternica, Grad Sisak, Grad Slatina, Grad Vis, Grad Vodice, Općina Križ, Općina Rovišće, Općina Špišić Bukovica – dva projekta i Općina Velika Pisanica.</w:t>
      </w:r>
    </w:p>
    <w:p w:rsidR="005C2091" w:rsidRDefault="00A86293">
      <w:pPr>
        <w:pStyle w:val="Heading8"/>
        <w:jc w:val="left"/>
      </w:pPr>
      <w:r>
        <w:lastRenderedPageBreak/>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A6D36" w:rsidTr="000A6D36">
        <w:trPr>
          <w:jc w:val="center"/>
        </w:trPr>
        <w:tc>
          <w:tcPr>
            <w:tcW w:w="2553" w:type="dxa"/>
            <w:shd w:val="clear" w:color="auto" w:fill="B5C0D8"/>
          </w:tcPr>
          <w:p w:rsidR="000A6D36" w:rsidRDefault="000A6D36">
            <w:pPr>
              <w:jc w:val="center"/>
            </w:pPr>
            <w:r>
              <w:t>Pokazatelj rezultata</w:t>
            </w:r>
          </w:p>
        </w:tc>
        <w:tc>
          <w:tcPr>
            <w:tcW w:w="1020" w:type="dxa"/>
            <w:shd w:val="clear" w:color="auto" w:fill="B5C0D8"/>
          </w:tcPr>
          <w:p w:rsidR="000A6D36" w:rsidRDefault="000A6D36">
            <w:pPr>
              <w:pStyle w:val="CellHeader"/>
              <w:jc w:val="center"/>
            </w:pPr>
            <w:r>
              <w:rPr>
                <w:rFonts w:cs="Times New Roman"/>
              </w:rPr>
              <w:t>Jedinica</w:t>
            </w:r>
          </w:p>
        </w:tc>
        <w:tc>
          <w:tcPr>
            <w:tcW w:w="1020" w:type="dxa"/>
            <w:shd w:val="clear" w:color="auto" w:fill="B5C0D8"/>
          </w:tcPr>
          <w:p w:rsidR="000A6D36" w:rsidRDefault="000A6D36">
            <w:pPr>
              <w:pStyle w:val="CellHeader"/>
              <w:jc w:val="center"/>
            </w:pPr>
            <w:r>
              <w:rPr>
                <w:rFonts w:cs="Times New Roman"/>
              </w:rPr>
              <w:t>Polazna vrijednost</w:t>
            </w:r>
          </w:p>
        </w:tc>
        <w:tc>
          <w:tcPr>
            <w:tcW w:w="1020" w:type="dxa"/>
            <w:shd w:val="clear" w:color="auto" w:fill="B5C0D8"/>
          </w:tcPr>
          <w:p w:rsidR="000A6D36" w:rsidRDefault="000A6D36">
            <w:pPr>
              <w:pStyle w:val="CellHeader"/>
              <w:jc w:val="center"/>
            </w:pPr>
            <w:r>
              <w:rPr>
                <w:rFonts w:cs="Times New Roman"/>
              </w:rPr>
              <w:t>Izvor podataka</w:t>
            </w:r>
          </w:p>
        </w:tc>
        <w:tc>
          <w:tcPr>
            <w:tcW w:w="1020" w:type="dxa"/>
            <w:shd w:val="clear" w:color="auto" w:fill="B5C0D8"/>
          </w:tcPr>
          <w:p w:rsidR="000A6D36" w:rsidRDefault="000A6D36">
            <w:pPr>
              <w:pStyle w:val="CellHeader"/>
              <w:jc w:val="center"/>
            </w:pPr>
            <w:r>
              <w:rPr>
                <w:rFonts w:cs="Times New Roman"/>
              </w:rPr>
              <w:t>Ciljana vrijednost (2016.)</w:t>
            </w:r>
          </w:p>
        </w:tc>
        <w:tc>
          <w:tcPr>
            <w:tcW w:w="1020" w:type="dxa"/>
            <w:shd w:val="clear" w:color="auto" w:fill="B5C0D8"/>
          </w:tcPr>
          <w:p w:rsidR="000A6D36" w:rsidRDefault="000A6D36">
            <w:pPr>
              <w:pStyle w:val="CellHeader"/>
              <w:jc w:val="center"/>
            </w:pPr>
            <w:r>
              <w:rPr>
                <w:rFonts w:cs="Times New Roman"/>
              </w:rPr>
              <w:t>Ostvarena vrijednost (2016.)</w:t>
            </w:r>
          </w:p>
        </w:tc>
      </w:tr>
      <w:tr w:rsidR="000A6D36" w:rsidTr="000A6D36">
        <w:trPr>
          <w:jc w:val="center"/>
        </w:trPr>
        <w:tc>
          <w:tcPr>
            <w:tcW w:w="2553" w:type="dxa"/>
          </w:tcPr>
          <w:p w:rsidR="000A6D36" w:rsidRDefault="000A6D36">
            <w:pPr>
              <w:pStyle w:val="CellColumn"/>
              <w:jc w:val="left"/>
            </w:pPr>
            <w:r>
              <w:rPr>
                <w:rFonts w:cs="Times New Roman"/>
              </w:rPr>
              <w:t>Udio realiziranih zahtjeva po Projektu rješavanja pristupačnosti objektima osoba s invaliditetom u odnosu na broj odobrenih zahtjeva za sufinanciranje</w:t>
            </w:r>
          </w:p>
        </w:tc>
        <w:tc>
          <w:tcPr>
            <w:tcW w:w="1020" w:type="dxa"/>
          </w:tcPr>
          <w:p w:rsidR="000A6D36" w:rsidRDefault="000A6D36">
            <w:pPr>
              <w:pStyle w:val="CellColumn"/>
              <w:jc w:val="right"/>
            </w:pPr>
            <w:r>
              <w:rPr>
                <w:rFonts w:cs="Times New Roman"/>
              </w:rPr>
              <w:t>postotak</w:t>
            </w:r>
          </w:p>
        </w:tc>
        <w:tc>
          <w:tcPr>
            <w:tcW w:w="1020" w:type="dxa"/>
          </w:tcPr>
          <w:p w:rsidR="000A6D36" w:rsidRDefault="000A6D36">
            <w:pPr>
              <w:pStyle w:val="CellColumn"/>
              <w:jc w:val="right"/>
            </w:pPr>
            <w:r>
              <w:rPr>
                <w:rFonts w:cs="Times New Roman"/>
              </w:rPr>
              <w:t>89</w:t>
            </w:r>
          </w:p>
        </w:tc>
        <w:tc>
          <w:tcPr>
            <w:tcW w:w="1020" w:type="dxa"/>
          </w:tcPr>
          <w:p w:rsidR="000A6D36" w:rsidRDefault="000A6D36">
            <w:pPr>
              <w:pStyle w:val="CellColumn"/>
              <w:jc w:val="right"/>
            </w:pPr>
            <w:r>
              <w:rPr>
                <w:rFonts w:cs="Times New Roman"/>
              </w:rPr>
              <w:t>MHB</w:t>
            </w:r>
          </w:p>
        </w:tc>
        <w:tc>
          <w:tcPr>
            <w:tcW w:w="1020" w:type="dxa"/>
          </w:tcPr>
          <w:p w:rsidR="000A6D36" w:rsidRDefault="000A6D36">
            <w:pPr>
              <w:pStyle w:val="CellColumn"/>
              <w:jc w:val="right"/>
            </w:pPr>
            <w:r>
              <w:rPr>
                <w:rFonts w:cs="Times New Roman"/>
              </w:rPr>
              <w:t>100</w:t>
            </w:r>
          </w:p>
        </w:tc>
        <w:tc>
          <w:tcPr>
            <w:tcW w:w="1020" w:type="dxa"/>
          </w:tcPr>
          <w:p w:rsidR="000A6D36" w:rsidRDefault="000A6D36">
            <w:pPr>
              <w:pStyle w:val="CellColumn"/>
              <w:jc w:val="right"/>
            </w:pPr>
            <w:r>
              <w:rPr>
                <w:rFonts w:cs="Times New Roman"/>
              </w:rPr>
              <w:t>75</w:t>
            </w:r>
          </w:p>
        </w:tc>
      </w:tr>
    </w:tbl>
    <w:p w:rsidR="005C2091" w:rsidRDefault="005C2091">
      <w:pPr>
        <w:jc w:val="left"/>
      </w:pPr>
    </w:p>
    <w:p w:rsidR="005C2091" w:rsidRDefault="00A86293">
      <w:pPr>
        <w:pStyle w:val="Heading4"/>
      </w:pPr>
      <w:r>
        <w:t>A754011 POBOLJŠANJE KVALITETE ŽIVLJENJA ZA OBITELJ HB I HRVI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A754011-POBOLJŠANJE KVALITETE ŽIVLJENJA ZA OBITELJ HB I HRVI</w:t>
            </w:r>
          </w:p>
        </w:tc>
        <w:tc>
          <w:tcPr>
            <w:tcW w:w="2041" w:type="dxa"/>
          </w:tcPr>
          <w:p w:rsidR="005C2091" w:rsidRDefault="00A86293">
            <w:pPr>
              <w:pStyle w:val="CellColumn"/>
              <w:jc w:val="right"/>
            </w:pPr>
            <w:r>
              <w:rPr>
                <w:rFonts w:cs="Times New Roman"/>
              </w:rPr>
              <w:t>725.520</w:t>
            </w:r>
          </w:p>
        </w:tc>
        <w:tc>
          <w:tcPr>
            <w:tcW w:w="2041" w:type="dxa"/>
          </w:tcPr>
          <w:p w:rsidR="005C2091" w:rsidRDefault="00A86293">
            <w:pPr>
              <w:pStyle w:val="CellColumn"/>
              <w:jc w:val="right"/>
            </w:pPr>
            <w:r>
              <w:rPr>
                <w:rFonts w:cs="Times New Roman"/>
              </w:rPr>
              <w:t>1.152.000</w:t>
            </w:r>
          </w:p>
        </w:tc>
        <w:tc>
          <w:tcPr>
            <w:tcW w:w="2041" w:type="dxa"/>
          </w:tcPr>
          <w:p w:rsidR="005C2091" w:rsidRDefault="00A86293">
            <w:pPr>
              <w:pStyle w:val="CellColumn"/>
              <w:jc w:val="right"/>
            </w:pPr>
            <w:r>
              <w:rPr>
                <w:rFonts w:cs="Times New Roman"/>
              </w:rPr>
              <w:t>837.399</w:t>
            </w:r>
          </w:p>
        </w:tc>
        <w:tc>
          <w:tcPr>
            <w:tcW w:w="1224" w:type="dxa"/>
          </w:tcPr>
          <w:p w:rsidR="005C2091" w:rsidRDefault="00A86293">
            <w:pPr>
              <w:pStyle w:val="CellColumn"/>
              <w:jc w:val="right"/>
            </w:pPr>
            <w:r>
              <w:rPr>
                <w:rFonts w:cs="Times New Roman"/>
              </w:rPr>
              <w:t>72,7</w:t>
            </w:r>
          </w:p>
        </w:tc>
        <w:tc>
          <w:tcPr>
            <w:tcW w:w="1224" w:type="dxa"/>
          </w:tcPr>
          <w:p w:rsidR="005C2091" w:rsidRDefault="00A86293">
            <w:pPr>
              <w:pStyle w:val="CellColumn"/>
              <w:jc w:val="right"/>
            </w:pPr>
            <w:r>
              <w:rPr>
                <w:rFonts w:cs="Times New Roman"/>
              </w:rPr>
              <w:t>115,4</w:t>
            </w:r>
          </w:p>
        </w:tc>
      </w:tr>
    </w:tbl>
    <w:p w:rsidR="005C2091" w:rsidRDefault="005C2091">
      <w:pPr>
        <w:jc w:val="left"/>
      </w:pPr>
    </w:p>
    <w:p w:rsidR="005C2091" w:rsidRDefault="00A86293">
      <w:pPr>
        <w:pStyle w:val="Heading8"/>
        <w:jc w:val="left"/>
      </w:pPr>
      <w:r>
        <w:t>Zakonske i druge pravne osnove</w:t>
      </w:r>
    </w:p>
    <w:p w:rsidR="005C2091" w:rsidRDefault="00A86293">
      <w:r>
        <w:t>- Zakon  o  pravima  hrvatskih  branitelja  iz  Domovinskog  rata  i  članova  njihovih obitelji(NN 174/04, 92/05, 02/07, 107/07, 65/09, 137/09, 146/10, 55/11, 140/12, 19/13, 148/13, 92/14)</w:t>
      </w:r>
    </w:p>
    <w:p w:rsidR="005C2091" w:rsidRDefault="00A86293">
      <w:pPr>
        <w:pStyle w:val="Heading8"/>
        <w:jc w:val="left"/>
      </w:pPr>
      <w:r>
        <w:t>Opis aktivnosti</w:t>
      </w:r>
    </w:p>
    <w:p w:rsidR="005C2091" w:rsidRDefault="00A86293">
      <w:r>
        <w:t xml:space="preserve">Ministarstvo hrvatskih branitelja je tijekom 2016. godine pristupilo cjelokupnoj analizi zdravstvenog stanja hrvatskih branitelja i njihovih zdravstvenih potreba te donošenju Nacionalne strategije za zaštitu i očuvanje zdravlja hrvatskih branitelja i stradalnika iz Domovinskog rata za razdoblje 2016. - 2020. godine. Formiran je Projektni tim za izradu Nacionalne strategije u kojem uz eminentne stručnjake iz različitih područja medicine kao i predstavnike Ministarstva zdravlja, Hrvatskog zavoda za zdravstveno osiguranje i Hrvatskog zavoda za javno zdravstvo sudjeluju i predstavnici braniteljskih udruga.  </w:t>
      </w:r>
    </w:p>
    <w:p w:rsidR="005C2091" w:rsidRDefault="00A86293">
      <w:r>
        <w:t xml:space="preserve">Projektni tim usvojio je i za slijedeće razdoblje postavio ciljeve vezane za  poboljšanje ukupne kvalitete života hrvatskih branitelja i stradalnika iz Domovinskog rata i članova njihovih obitelji, smanjenje stope pobola i smrtnosti hrvatskih branitelja, dostupnost i bolju kvalitetu zdravstvenih usluga za braniteljsku populaciju unutar postojećeg zdravstvenog sustava te razvijanje akcijskog plana palijativne skrbi za braniteljsku populaciju. Kao jedan od osnovnih prijedloga usvojen je zaključak da se u zdravstvenom sustavu RH hrvatskih branitelji prepoznaju kao posebna kategorija te da se u cilju što ranijeg otkrivanja onkoloških, kardiovaskularnih i drugih kroničnih nezaraznih bolesti pristupi stvaranju „registra zdravlja“ hrvatskih branitelja u suradnji s HZZO, na način da se u e-kartone doda podatak je li osiguranik hrvatski branitelj te izradi panel preventivnih pregleda.  </w:t>
      </w:r>
    </w:p>
    <w:p w:rsidR="005C2091" w:rsidRDefault="00A86293">
      <w:r>
        <w:t xml:space="preserve">Za ostvarenje postavljenih ciljeva određene su i konkretne mjere koje uključuju promoviranje zdravog načina života s ciljem smanjena čimbenika rizika, osiguranje boljeg sustava informiranja braniteljske populacije o zdravom življenju i prevenciji najčešćih bolesti, dodatnu edukaciju zdravstvenih djelatnika o rizičnim faktorima unutar braniteljske populacije te važnost ranog otkrivanja bolesti odnosno što ranijeg početka liječenja.                                     </w:t>
      </w:r>
    </w:p>
    <w:p w:rsidR="005C2091" w:rsidRDefault="00A86293">
      <w:r>
        <w:t xml:space="preserve">Zbog potreba provođenja što hitnijih pregleda populacije hrvatskih branitelja prije donošenja same Nacionalne strategije, u cilju što ranijeg otkrivanja onkoloških, kardiovaskularnih i drugih kroničnih nezaraznih bolesti, u suradnji s Ministarstvom zdravstva, dogovorena je provedba preventivnih sistematskih pregleda od listopada 2016. godine na području Vukovarsko-srijemske županije radi specifičnosti iste, obzirom na broj hrvatskih branitelja na </w:t>
      </w:r>
      <w:r>
        <w:lastRenderedPageBreak/>
        <w:t xml:space="preserve">tom području i količinu pretrpljenih razaranja i trauma, a nastavak provedbe u svim županijama Republike Hrvatske tijekom 2017. godine. </w:t>
      </w:r>
    </w:p>
    <w:p w:rsidR="005C2091" w:rsidRDefault="00A86293">
      <w:r>
        <w:t xml:space="preserve">Program za provođenje preventivnih sistematskih pregleda hrvatskih branitelja iz Domovinskog rata-pilot projekt za 2016. godinu usvojen je 12. listopada 2016. godine Zaključkom Vlade Republike Hrvatske. Za nositelje Programa određeni su Ministarstvo hrvatskih branitelja i Ministarstvo zdravstva, a sudionici u provedbi su Opća županijska bolnica Vukovar i bolnica hrvatskih veterana i Opća županijska bolnica Vinkovci koje su osigurale uslugu obavljanja preventivnih sistematskih pregleda za ukupno 825 hrvatskih branitelja. U dijelu Programa koji se odnosi na provođenje analize i evaluaciju podataka određen je Hrvatski zavod za javno zdravstvo, koji bi trebao izraditi bazu podataka o zdravstvenom stanju osoba koje su pristupile preventivnom sistematskom pregledu. </w:t>
      </w:r>
    </w:p>
    <w:p w:rsidR="005C2091" w:rsidRDefault="00A86293">
      <w:r>
        <w:t>Temeljem donesenog Programa sklopljen je Sporazum o provođenju programa preventivnih sistematskih pregleda hrvatskih branitelja iz Domovinskog rata-pilot projekt za 2016. godinu. Pilot projekt se provodio na području Vukovarsko-srijemske županije od 17.  listopada do 31. prosinca 2016. godine, a u tom razdoblju ukupno su u Općoj županijskoj bolnici Vukovar i bolnici hrvatskih veterana i Općoj županijskoj bolnici Vinkovci pregledana 823 hrvatska branitelja te je za tu uslugu navedenim bolnicama do kraja 2016. isplaćeno ukupno 837.398,72 kuna u 2016. godini.</w:t>
      </w:r>
    </w:p>
    <w:p w:rsidR="005C2091" w:rsidRDefault="00A86293">
      <w:pPr>
        <w:pStyle w:val="Heading8"/>
        <w:jc w:val="left"/>
      </w:pPr>
      <w:r>
        <w:t>Pokazatelji rezultata</w:t>
      </w:r>
    </w:p>
    <w:tbl>
      <w:tblPr>
        <w:tblStyle w:val="StilTablice"/>
        <w:tblW w:w="7671" w:type="dxa"/>
        <w:jc w:val="center"/>
        <w:tblLook w:val="04A0" w:firstRow="1" w:lastRow="0" w:firstColumn="1" w:lastColumn="0" w:noHBand="0" w:noVBand="1"/>
      </w:tblPr>
      <w:tblGrid>
        <w:gridCol w:w="2537"/>
        <w:gridCol w:w="1059"/>
        <w:gridCol w:w="1019"/>
        <w:gridCol w:w="1018"/>
        <w:gridCol w:w="1019"/>
        <w:gridCol w:w="1019"/>
      </w:tblGrid>
      <w:tr w:rsidR="00B24D34" w:rsidTr="00B24D34">
        <w:trPr>
          <w:jc w:val="center"/>
        </w:trPr>
        <w:tc>
          <w:tcPr>
            <w:tcW w:w="2537" w:type="dxa"/>
            <w:shd w:val="clear" w:color="auto" w:fill="B5C0D8"/>
          </w:tcPr>
          <w:p w:rsidR="00B24D34" w:rsidRDefault="00B24D34">
            <w:pPr>
              <w:jc w:val="center"/>
            </w:pPr>
            <w:r>
              <w:t>Pokazatelj rezultata</w:t>
            </w:r>
          </w:p>
        </w:tc>
        <w:tc>
          <w:tcPr>
            <w:tcW w:w="1059" w:type="dxa"/>
            <w:shd w:val="clear" w:color="auto" w:fill="B5C0D8"/>
          </w:tcPr>
          <w:p w:rsidR="00B24D34" w:rsidRDefault="00B24D34">
            <w:pPr>
              <w:pStyle w:val="CellHeader"/>
              <w:jc w:val="center"/>
            </w:pPr>
            <w:r>
              <w:rPr>
                <w:rFonts w:cs="Times New Roman"/>
              </w:rPr>
              <w:t>Jedinica</w:t>
            </w:r>
          </w:p>
        </w:tc>
        <w:tc>
          <w:tcPr>
            <w:tcW w:w="1019" w:type="dxa"/>
            <w:shd w:val="clear" w:color="auto" w:fill="B5C0D8"/>
          </w:tcPr>
          <w:p w:rsidR="00B24D34" w:rsidRDefault="00B24D34">
            <w:pPr>
              <w:pStyle w:val="CellHeader"/>
              <w:jc w:val="center"/>
            </w:pPr>
            <w:r>
              <w:rPr>
                <w:rFonts w:cs="Times New Roman"/>
              </w:rPr>
              <w:t>Polazna vrijednost</w:t>
            </w:r>
          </w:p>
        </w:tc>
        <w:tc>
          <w:tcPr>
            <w:tcW w:w="1018" w:type="dxa"/>
            <w:shd w:val="clear" w:color="auto" w:fill="B5C0D8"/>
          </w:tcPr>
          <w:p w:rsidR="00B24D34" w:rsidRDefault="00B24D34">
            <w:pPr>
              <w:pStyle w:val="CellHeader"/>
              <w:jc w:val="center"/>
            </w:pPr>
            <w:r>
              <w:rPr>
                <w:rFonts w:cs="Times New Roman"/>
              </w:rPr>
              <w:t>Izvor podataka</w:t>
            </w:r>
          </w:p>
        </w:tc>
        <w:tc>
          <w:tcPr>
            <w:tcW w:w="1019" w:type="dxa"/>
            <w:shd w:val="clear" w:color="auto" w:fill="B5C0D8"/>
          </w:tcPr>
          <w:p w:rsidR="00B24D34" w:rsidRDefault="00B24D34">
            <w:pPr>
              <w:pStyle w:val="CellHeader"/>
              <w:jc w:val="center"/>
            </w:pPr>
            <w:r>
              <w:rPr>
                <w:rFonts w:cs="Times New Roman"/>
              </w:rPr>
              <w:t>Ciljana vrijednost (2016.)</w:t>
            </w:r>
          </w:p>
        </w:tc>
        <w:tc>
          <w:tcPr>
            <w:tcW w:w="1019"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37" w:type="dxa"/>
          </w:tcPr>
          <w:p w:rsidR="00B24D34" w:rsidRDefault="00B24D34">
            <w:pPr>
              <w:pStyle w:val="CellColumn"/>
              <w:jc w:val="left"/>
            </w:pPr>
            <w:r>
              <w:rPr>
                <w:rFonts w:cs="Times New Roman"/>
              </w:rPr>
              <w:t>Povećanje ukupnog broja osoba upućenih na posebno organiziran besplatni ciljani preventivni pregled</w:t>
            </w:r>
          </w:p>
        </w:tc>
        <w:tc>
          <w:tcPr>
            <w:tcW w:w="1059" w:type="dxa"/>
          </w:tcPr>
          <w:p w:rsidR="00B24D34" w:rsidRDefault="00B24D34">
            <w:pPr>
              <w:pStyle w:val="CellColumn"/>
              <w:jc w:val="right"/>
            </w:pPr>
            <w:r>
              <w:rPr>
                <w:rFonts w:cs="Times New Roman"/>
              </w:rPr>
              <w:t>broj (kumulativ)</w:t>
            </w:r>
          </w:p>
        </w:tc>
        <w:tc>
          <w:tcPr>
            <w:tcW w:w="1019" w:type="dxa"/>
          </w:tcPr>
          <w:p w:rsidR="00B24D34" w:rsidRDefault="00B24D34">
            <w:pPr>
              <w:pStyle w:val="CellColumn"/>
              <w:jc w:val="right"/>
            </w:pPr>
            <w:r>
              <w:rPr>
                <w:rFonts w:cs="Times New Roman"/>
              </w:rPr>
              <w:t>9257</w:t>
            </w:r>
          </w:p>
        </w:tc>
        <w:tc>
          <w:tcPr>
            <w:tcW w:w="1018" w:type="dxa"/>
          </w:tcPr>
          <w:p w:rsidR="00B24D34" w:rsidRDefault="00B24D34">
            <w:pPr>
              <w:pStyle w:val="CellColumn"/>
              <w:jc w:val="right"/>
            </w:pPr>
            <w:r>
              <w:rPr>
                <w:rFonts w:cs="Times New Roman"/>
              </w:rPr>
              <w:t>MHB</w:t>
            </w:r>
          </w:p>
        </w:tc>
        <w:tc>
          <w:tcPr>
            <w:tcW w:w="1019" w:type="dxa"/>
          </w:tcPr>
          <w:p w:rsidR="00B24D34" w:rsidRDefault="00B24D34">
            <w:pPr>
              <w:pStyle w:val="CellColumn"/>
              <w:jc w:val="right"/>
            </w:pPr>
            <w:r>
              <w:rPr>
                <w:rFonts w:cs="Times New Roman"/>
              </w:rPr>
              <w:t>9717</w:t>
            </w:r>
          </w:p>
        </w:tc>
        <w:tc>
          <w:tcPr>
            <w:tcW w:w="1019" w:type="dxa"/>
          </w:tcPr>
          <w:p w:rsidR="00B24D34" w:rsidRDefault="00B24D34">
            <w:pPr>
              <w:pStyle w:val="CellColumn"/>
              <w:jc w:val="right"/>
            </w:pPr>
            <w:r>
              <w:rPr>
                <w:rFonts w:cs="Times New Roman"/>
              </w:rPr>
              <w:t>10080</w:t>
            </w:r>
          </w:p>
        </w:tc>
      </w:tr>
    </w:tbl>
    <w:p w:rsidR="005C2091" w:rsidRDefault="005C2091">
      <w:pPr>
        <w:jc w:val="left"/>
      </w:pPr>
    </w:p>
    <w:p w:rsidR="005C2091" w:rsidRDefault="00A86293">
      <w:pPr>
        <w:pStyle w:val="Heading3"/>
      </w:pPr>
      <w:r>
        <w:rPr>
          <w:rFonts w:cs="Times New Roman"/>
        </w:rPr>
        <w:t>4008 ZATOČENI I NESTALI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4008-ZATOČENI I NESTALI</w:t>
            </w:r>
          </w:p>
        </w:tc>
        <w:tc>
          <w:tcPr>
            <w:tcW w:w="2041" w:type="dxa"/>
          </w:tcPr>
          <w:p w:rsidR="005C2091" w:rsidRDefault="00A86293">
            <w:pPr>
              <w:pStyle w:val="CellColumn"/>
              <w:jc w:val="right"/>
            </w:pPr>
            <w:r>
              <w:rPr>
                <w:rFonts w:cs="Times New Roman"/>
              </w:rPr>
              <w:t>6.820.651</w:t>
            </w:r>
          </w:p>
        </w:tc>
        <w:tc>
          <w:tcPr>
            <w:tcW w:w="2041" w:type="dxa"/>
          </w:tcPr>
          <w:p w:rsidR="005C2091" w:rsidRDefault="00A86293">
            <w:pPr>
              <w:pStyle w:val="CellColumn"/>
              <w:jc w:val="right"/>
            </w:pPr>
            <w:r>
              <w:rPr>
                <w:rFonts w:cs="Times New Roman"/>
              </w:rPr>
              <w:t>7.360.700</w:t>
            </w:r>
          </w:p>
        </w:tc>
        <w:tc>
          <w:tcPr>
            <w:tcW w:w="2041" w:type="dxa"/>
          </w:tcPr>
          <w:p w:rsidR="005C2091" w:rsidRDefault="00A86293">
            <w:pPr>
              <w:pStyle w:val="CellColumn"/>
              <w:jc w:val="right"/>
            </w:pPr>
            <w:r>
              <w:rPr>
                <w:rFonts w:cs="Times New Roman"/>
              </w:rPr>
              <w:t>5.851.378</w:t>
            </w:r>
          </w:p>
        </w:tc>
        <w:tc>
          <w:tcPr>
            <w:tcW w:w="1224" w:type="dxa"/>
          </w:tcPr>
          <w:p w:rsidR="005C2091" w:rsidRDefault="00A86293">
            <w:pPr>
              <w:pStyle w:val="CellColumn"/>
              <w:jc w:val="right"/>
            </w:pPr>
            <w:r>
              <w:rPr>
                <w:rFonts w:cs="Times New Roman"/>
              </w:rPr>
              <w:t>79,5</w:t>
            </w:r>
          </w:p>
        </w:tc>
        <w:tc>
          <w:tcPr>
            <w:tcW w:w="1224" w:type="dxa"/>
          </w:tcPr>
          <w:p w:rsidR="005C2091" w:rsidRDefault="00A86293">
            <w:pPr>
              <w:pStyle w:val="CellColumn"/>
              <w:jc w:val="right"/>
            </w:pPr>
            <w:r>
              <w:rPr>
                <w:rFonts w:cs="Times New Roman"/>
              </w:rPr>
              <w:t>85,8</w:t>
            </w:r>
          </w:p>
        </w:tc>
      </w:tr>
    </w:tbl>
    <w:p w:rsidR="005C2091" w:rsidRDefault="005C2091">
      <w:pPr>
        <w:jc w:val="left"/>
      </w:pPr>
    </w:p>
    <w:p w:rsidR="005C2091" w:rsidRDefault="00A86293">
      <w:r>
        <w:t xml:space="preserve">Cilj programa „Zatočeni i nestali“ je vraćanje i zaštita dostojanstva žrtava rata, podrazumijevajući pod tim rješavanje sudbine nestalih osoba tijekom Domovinskog rata te utvrđivanje i obilježavanje mjesta stradanja žrtava Drugog svjetskog rata i poslijeratnog razdoblja. </w:t>
      </w:r>
    </w:p>
    <w:p w:rsidR="005C2091" w:rsidRDefault="00A86293">
      <w:r>
        <w:t xml:space="preserve">U tom smislu, provodi se niz aktivnosti - od prikupljanja saznanja o nestalim osobama i neregistriranim grobnim   mjestima iz svih raspoloživih izvora, terenskih istraživanja, ekshumacija masovnih, pojedinačnih i zajedničkih grobnica, obrade i identifikacije ekshumiranih posmrtnih ostataka do njihove dostojne sahrane sukladno željama obitelji.  Program uključuje i niz drugih aktivnosti značajnih za ostvarivanje statusnih pitanja te utvrđivanje pravnih i povijesnih činjenica u svezi s Domovinskim ratom kao: prikupljanje i obrada podataka te vođenje evidencija o osobama koje su bile u zatočeništvu tijekom Domovinskoga rata, o nestalim osobama i posmrtnim ostacima ekshumiranim iz masovnih i pojedinačnih grobnica kao i prikupljanje dokumentacije o svim provedenim ekshumacijama masovnih i pojedinačnih grobnica, koja se osobito koristi za rad pravosudnih tijela.  </w:t>
      </w:r>
    </w:p>
    <w:p w:rsidR="005C2091" w:rsidRDefault="00A86293">
      <w:r>
        <w:t>Uz navedene aktivnosti, program „Zatočeni i nestali“ uključuje istraživanje i obilježavanje mjesta stradanja žrtava Drugog svjetskog rata i poslijeratnog razdoblja, dostojno zbrinjavanje posmrtnih ostataka žrtava pronađenih prilikom infrastrukturnih, urbanističkih i dr. zemljanih radova i žrtava ekshumiranih zbog osobitog javnog ili pravnog interesa te praćenje obveza prenijetih na jedinice lokalne i područne samouprave u dijelu trajnog održavanja vojnih groblja, uključujući i potrebna  istraživanja te ustanovljavanje odgovarajućih evidencija.</w:t>
      </w:r>
    </w:p>
    <w:p w:rsidR="005C2091" w:rsidRDefault="00A86293">
      <w:pPr>
        <w:pStyle w:val="Heading8"/>
        <w:jc w:val="left"/>
      </w:pPr>
      <w:r>
        <w:lastRenderedPageBreak/>
        <w:t>Cilj 1. Rješavanje sudbine osoba nestalih u Domovinskom ratu</w:t>
      </w:r>
    </w:p>
    <w:p w:rsidR="005C2091" w:rsidRDefault="00A86293">
      <w:pPr>
        <w:pStyle w:val="Heading8"/>
        <w:jc w:val="left"/>
      </w:pPr>
      <w:r>
        <w:t>Opis provedbe cilja programa</w:t>
      </w:r>
    </w:p>
    <w:p w:rsidR="005C2091" w:rsidRDefault="00A86293">
      <w:r>
        <w:t>Program se bavi utvrđivanjem sudbine i rješavanjem slučajeva nestalih i nasilno odvedenih osoba tijekom Domovinskog rata u Republici Hrvatskoj, kao prioritetnog humanitarnog pitanja ratnih posljedica. U tom smislu provodi se čitav niz aktivnosti: prikupljanje saznanja o nestalim osobama iz svih raspoloživih izvora (pregovori s nadležnim tijelima drugih država, suradnja s nadležnim tijelima Republike Hrvatske, međunarodnim i humanitarnim organizacijama, udrugama građana i dr.), ekshumacije masovnih, pojedinačnih i zajedničkih grobnica, obrada i identifikacija ekshumiranih posmrtnih ostataka te njihova dostojna sahrana sukladno željama obitelji. Program također uključuje i niz drugih aktivnosti značajnih za ostvarivanje statusnih pitanja te utvrđivanje pravnih i povijesnih činjenica u vezi s Domovinskim ratom, kao što su: prikupljanje i obrada podataka te vođenje evidencija o osobama koje su bile u zatočeništvu tijekom Domovinskoga rata, o nestalim osobama i o posmrtnim ostacima ekshumiranim iz masovnih, pojedinačnih i zajedničkih grobnica, kao i prikupljanje dokumentacije o svim provedenim ekshumacijama masovnih i pojedinačnih grobnica, koja se koristi za rad pravosudnih tijela.</w:t>
      </w:r>
    </w:p>
    <w:p w:rsidR="005C2091" w:rsidRDefault="00A86293">
      <w:pPr>
        <w:pStyle w:val="Heading8"/>
        <w:jc w:val="left"/>
      </w:pPr>
      <w:r>
        <w:t>Cilj 2. Utvrđivanje, obilježavanje i trajno održavanje groblja žrtava Drugog svjetskog rata i poslijeratnog razdoblja</w:t>
      </w:r>
    </w:p>
    <w:p w:rsidR="005C2091" w:rsidRDefault="00A86293">
      <w:pPr>
        <w:pStyle w:val="Heading8"/>
        <w:jc w:val="left"/>
      </w:pPr>
      <w:r>
        <w:t>Opis provedbe cilja programa</w:t>
      </w:r>
    </w:p>
    <w:p w:rsidR="005C2091" w:rsidRDefault="00A86293">
      <w:r>
        <w:t>Drugi cilj programa „Zatočeni i nestali“ je utvrđivanje, obilježavanje i trajno održavanje groblja žrtava Drugog svjetskog rata i poslijeratnog razdoblja, što osobito uključuje sljedeće aktivnosti: istraživanje i obilježavanje mjesta stradanja žrtava Drugog svjetskog rata i poslijeratnog razdoblja, dostojno trajno zbrinjavanje posmrtnih ostataka žrtava pronađenih prilikom infrastrukturnih, urbanističkih i drugih zemljanih radova i žrtava ekshumiranih zbog osobitog javnog ili pravnog interesa te praćenje obveza prenijetih na jedinice lokalne i područne samouprave u dijelu trajnog održavanja vojnih groblja, uključujući i potrebna istraživanja te ustanovljavanje odgovarajućih evidencija. Također, provodi se i unaprjeđuje suradnja s državama s kojima je Vlada Republike Hrvatske zaključila ugovore o uređenju vojnih groblja te se uspostavlja suradnja sa zemljama s kojima (još) nisu zaključeni ugovori, odnosno sporazumi.</w:t>
      </w:r>
    </w:p>
    <w:p w:rsidR="005C2091" w:rsidRDefault="00A86293">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učinka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Povećanje udjela rješenih slučajeva u odnosu na podnijete zahtjeve za traženje nestalih osoba i posmrtnih ostataka</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61,1</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63</w:t>
            </w:r>
          </w:p>
        </w:tc>
        <w:tc>
          <w:tcPr>
            <w:tcW w:w="1020" w:type="dxa"/>
          </w:tcPr>
          <w:p w:rsidR="00B24D34" w:rsidRDefault="00B24D34">
            <w:pPr>
              <w:pStyle w:val="CellColumn"/>
              <w:jc w:val="right"/>
            </w:pPr>
            <w:r>
              <w:rPr>
                <w:rFonts w:cs="Times New Roman"/>
              </w:rPr>
              <w:t>62</w:t>
            </w:r>
          </w:p>
        </w:tc>
      </w:tr>
      <w:tr w:rsidR="00B24D34" w:rsidTr="00B24D34">
        <w:trPr>
          <w:jc w:val="center"/>
        </w:trPr>
        <w:tc>
          <w:tcPr>
            <w:tcW w:w="2553" w:type="dxa"/>
          </w:tcPr>
          <w:p w:rsidR="00B24D34" w:rsidRDefault="00B24D34">
            <w:pPr>
              <w:pStyle w:val="CellColumn"/>
              <w:jc w:val="left"/>
            </w:pPr>
            <w:r>
              <w:rPr>
                <w:rFonts w:cs="Times New Roman"/>
              </w:rPr>
              <w:t>Održavanje postojećeg broja realiziranih projekata koji se odnose na očuvanje spomena na žrtve Drugog svjetskog rata i poslijeratnog razdoblja</w:t>
            </w:r>
          </w:p>
        </w:tc>
        <w:tc>
          <w:tcPr>
            <w:tcW w:w="1020" w:type="dxa"/>
          </w:tcPr>
          <w:p w:rsidR="00B24D34" w:rsidRDefault="00B24D34">
            <w:pPr>
              <w:pStyle w:val="CellColumn"/>
              <w:jc w:val="right"/>
            </w:pPr>
            <w:r>
              <w:rPr>
                <w:rFonts w:cs="Times New Roman"/>
              </w:rPr>
              <w:t>Broj</w:t>
            </w:r>
          </w:p>
        </w:tc>
        <w:tc>
          <w:tcPr>
            <w:tcW w:w="1020" w:type="dxa"/>
          </w:tcPr>
          <w:p w:rsidR="00B24D34" w:rsidRDefault="00B24D34">
            <w:pPr>
              <w:pStyle w:val="CellColumn"/>
              <w:jc w:val="right"/>
            </w:pPr>
            <w:r>
              <w:rPr>
                <w:rFonts w:cs="Times New Roman"/>
              </w:rPr>
              <w:t>21</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20</w:t>
            </w:r>
          </w:p>
        </w:tc>
        <w:tc>
          <w:tcPr>
            <w:tcW w:w="1020" w:type="dxa"/>
          </w:tcPr>
          <w:p w:rsidR="00B24D34" w:rsidRDefault="00B24D34">
            <w:pPr>
              <w:pStyle w:val="CellColumn"/>
              <w:jc w:val="right"/>
            </w:pPr>
            <w:r>
              <w:rPr>
                <w:rFonts w:cs="Times New Roman"/>
              </w:rPr>
              <w:t>18</w:t>
            </w:r>
          </w:p>
        </w:tc>
      </w:tr>
    </w:tbl>
    <w:p w:rsidR="005C2091" w:rsidRDefault="005C2091">
      <w:pPr>
        <w:jc w:val="left"/>
      </w:pPr>
    </w:p>
    <w:p w:rsidR="005C2091" w:rsidRDefault="00A86293">
      <w:pPr>
        <w:pStyle w:val="Heading4"/>
      </w:pPr>
      <w:r>
        <w:t>A522014 EKSHUMACIJA, IDENTIFIKACIJA I SAHRANA ŽRTAVA IZ DOMOVINSKOG RATA</w:t>
      </w:r>
    </w:p>
    <w:tbl>
      <w:tblPr>
        <w:tblStyle w:val="StilTablice"/>
        <w:tblW w:w="10206" w:type="dxa"/>
        <w:jc w:val="center"/>
        <w:tblLook w:val="04A0" w:firstRow="1" w:lastRow="0" w:firstColumn="1" w:lastColumn="0" w:noHBand="0" w:noVBand="1"/>
      </w:tblPr>
      <w:tblGrid>
        <w:gridCol w:w="1670"/>
        <w:gridCol w:w="2030"/>
        <w:gridCol w:w="2030"/>
        <w:gridCol w:w="2031"/>
        <w:gridCol w:w="1222"/>
        <w:gridCol w:w="122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A522014-EKSHUMACIJA, IDENTIFIKACIJA I SAHRANA ŽRTAVA IZ DOMOVINSKOG RATA</w:t>
            </w:r>
          </w:p>
        </w:tc>
        <w:tc>
          <w:tcPr>
            <w:tcW w:w="2041" w:type="dxa"/>
          </w:tcPr>
          <w:p w:rsidR="005C2091" w:rsidRDefault="00A86293">
            <w:pPr>
              <w:pStyle w:val="CellColumn"/>
              <w:jc w:val="right"/>
            </w:pPr>
            <w:r>
              <w:rPr>
                <w:rFonts w:cs="Times New Roman"/>
              </w:rPr>
              <w:t>3.966.621</w:t>
            </w:r>
          </w:p>
        </w:tc>
        <w:tc>
          <w:tcPr>
            <w:tcW w:w="2041" w:type="dxa"/>
          </w:tcPr>
          <w:p w:rsidR="005C2091" w:rsidRDefault="00A86293">
            <w:pPr>
              <w:pStyle w:val="CellColumn"/>
              <w:jc w:val="right"/>
            </w:pPr>
            <w:r>
              <w:rPr>
                <w:rFonts w:cs="Times New Roman"/>
              </w:rPr>
              <w:t>4.295.000</w:t>
            </w:r>
          </w:p>
        </w:tc>
        <w:tc>
          <w:tcPr>
            <w:tcW w:w="2041" w:type="dxa"/>
          </w:tcPr>
          <w:p w:rsidR="005C2091" w:rsidRDefault="00A86293">
            <w:pPr>
              <w:pStyle w:val="CellColumn"/>
              <w:jc w:val="right"/>
            </w:pPr>
            <w:r>
              <w:rPr>
                <w:rFonts w:cs="Times New Roman"/>
              </w:rPr>
              <w:t>3.291.592</w:t>
            </w:r>
          </w:p>
        </w:tc>
        <w:tc>
          <w:tcPr>
            <w:tcW w:w="1224" w:type="dxa"/>
          </w:tcPr>
          <w:p w:rsidR="005C2091" w:rsidRDefault="00A86293">
            <w:pPr>
              <w:pStyle w:val="CellColumn"/>
              <w:jc w:val="right"/>
            </w:pPr>
            <w:r>
              <w:rPr>
                <w:rFonts w:cs="Times New Roman"/>
              </w:rPr>
              <w:t>76,6</w:t>
            </w:r>
          </w:p>
        </w:tc>
        <w:tc>
          <w:tcPr>
            <w:tcW w:w="1224" w:type="dxa"/>
          </w:tcPr>
          <w:p w:rsidR="005C2091" w:rsidRDefault="00A86293">
            <w:pPr>
              <w:pStyle w:val="CellColumn"/>
              <w:jc w:val="right"/>
            </w:pPr>
            <w:r>
              <w:rPr>
                <w:rFonts w:cs="Times New Roman"/>
              </w:rPr>
              <w:t>83,0</w:t>
            </w:r>
          </w:p>
        </w:tc>
      </w:tr>
    </w:tbl>
    <w:p w:rsidR="005C2091" w:rsidRDefault="005C2091">
      <w:pPr>
        <w:jc w:val="left"/>
      </w:pPr>
    </w:p>
    <w:p w:rsidR="005C2091" w:rsidRDefault="00A86293">
      <w:pPr>
        <w:pStyle w:val="Heading8"/>
        <w:jc w:val="left"/>
      </w:pPr>
      <w:r>
        <w:t>Zakonske i druge pravne osnove</w:t>
      </w:r>
    </w:p>
    <w:p w:rsidR="005C2091" w:rsidRDefault="00A86293">
      <w:r>
        <w:t xml:space="preserve">- Ženevske konvencije za zaštitu žrtava rata i Dopunski protokoli  </w:t>
      </w:r>
    </w:p>
    <w:p w:rsidR="005C2091" w:rsidRDefault="00A86293">
      <w:r>
        <w:t xml:space="preserve">- Zakon o sustavu državne uprave (NN 150/2011)  </w:t>
      </w:r>
    </w:p>
    <w:p w:rsidR="005C2091" w:rsidRDefault="00A86293">
      <w:r>
        <w:t>- Uredba Vlade Republike Hrvatske o unutarnjem ustrojstvu Ministarstva hrvatskih branitelja</w:t>
      </w:r>
    </w:p>
    <w:p w:rsidR="005C2091" w:rsidRDefault="00A86293">
      <w:pPr>
        <w:pStyle w:val="Heading8"/>
        <w:jc w:val="left"/>
      </w:pPr>
      <w:r>
        <w:t>Opis aktivnosti</w:t>
      </w:r>
    </w:p>
    <w:p w:rsidR="005C2091" w:rsidRDefault="00A86293">
      <w:r>
        <w:t xml:space="preserve">Temeljem prikupljenih saznanja, organizirana je provedba terenskih istraživanja i ekshumacija posmrtnih ostataka. U provedenim terenskim istraživanjima i ekshumacijama posmrtnih ostataka, uz Upravu za zatočene i nestale, sudjelovali su: nadležna županijska državna odvjetništva i sudovi, Ministarstvo unutarnjih poslova, Ministarstvo obrane (Opslužna bojna Zapovjedništva za potporu te Izvidnička satnija GOMBR-e), znanstveno-medicinske ustanove te sigurnosne agencije. </w:t>
      </w:r>
    </w:p>
    <w:p w:rsidR="005C2091" w:rsidRDefault="00A86293">
      <w:r>
        <w:t xml:space="preserve">U izvještajnom razdoblju provedeno je terensko istraživanje 40 mjesta na području 4 (četiri) županije, za koja su prikupljena saznanja ukazivala kako se radi o mogućim mjestima masovnih i pojedinačnih grobnica. Od 40 istraženih mjesta, probna iskapanja su provedena na njih 34 pri čemu su pronađeni i ekshumirani posmrtni ostaci ukupno 27 osoba, koji su  nakon ekshumacije prevezeni u znanstveno-medicinske ustanove u cilju identifikacije te utvrđivanja uzroka smrti. </w:t>
      </w:r>
    </w:p>
    <w:p w:rsidR="005C2091" w:rsidRDefault="00A86293">
      <w:r>
        <w:t xml:space="preserve">Osim navedenog, proveden je terenski izvid, uključujući snimanje iz zraka, 11 mogućih mjesta masovnih i pojedinačnih grobnica za koje je u tijeku daljnja operativna obrada kako bi iste bile pripremljene za provedbu probnih iskapanja. </w:t>
      </w:r>
    </w:p>
    <w:p w:rsidR="005C2091" w:rsidRDefault="00A86293">
      <w:r>
        <w:t xml:space="preserve">Nadalje, u izvještajnom razdoblju, prema nalogu Uprave za zatočene i nestale, klasičnim sudsko-medicinskim metodama obrađeni su posmrtni ostaci 29 osoba, dok su u istom razdoblju metodom analize DNA uspješno obrađeni uzorci izuzeti iz 87 posmrtnih ostataka ekshumiranih iz masovnih, pojedinačnih i zajedničkih grobnica (utvrđen genotip), dok je u 74 slučaja utvrđeno podudaranje s bazom referentnih uzoraka (preliminarni identitet). </w:t>
      </w:r>
    </w:p>
    <w:p w:rsidR="005C2091" w:rsidRDefault="00A86293">
      <w:r>
        <w:t xml:space="preserve">Temeljem nalaza obrade posmrtnih ostataka klasičnim sudsko-medicinskim metodama i metodom analize DNA, Uprava za zatočene i nestale je u izvještajnom razdoblju organizirala 4 (četiri) identifikacije posmrtnih ostataka na koje su pozvani članovi obitelji 57 osoba, čiji su posmrtni ostaci ekshumirani iz masovnih, pojedinačnih i zajedničkih grobnica na području Republike Hrvatske te preuzeti iz drugih država – Republike Srbije i Bosne i Hercegovine (3 slučaja). Identifikaciji se odazvalo 91 % pozvanih obitelji, koje su potvrdile identifikaciju posmrtnih ostataka članova svojih obitelji čime su u izvještajnom razdoblju identificirani posmrtni ostaci 52 osobe.  </w:t>
      </w:r>
    </w:p>
    <w:p w:rsidR="005C2091" w:rsidRDefault="00A86293">
      <w:r>
        <w:t xml:space="preserve">Osim navedenog, razriješena su dva slučaja iz masovne grobnice „Vučedolski vinogradi“ – jedan slučaj pogrešnog prepoznavanja te jedan slučaj re-asocijacije posmrtnih ostataka.  </w:t>
      </w:r>
    </w:p>
    <w:p w:rsidR="005C2091" w:rsidRDefault="00A86293">
      <w:r>
        <w:t>Nakon završene identifikacije, Uprava za zatočene i nestale je u izvještajnom razdoblju osigurala pogrebnu opremu te organizirala prijevoz i sahranu ukupno 31 osobe sukladno željama njihovih obitelji.</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rezultata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Zadržavanje udjela istraženih grobnih mjesta u odnosu na prikupljena saznanja o mogućim mjestima masovnih i pojedinačnih grobnica</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95</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95</w:t>
            </w:r>
          </w:p>
        </w:tc>
        <w:tc>
          <w:tcPr>
            <w:tcW w:w="1020" w:type="dxa"/>
          </w:tcPr>
          <w:p w:rsidR="00B24D34" w:rsidRDefault="00B24D34">
            <w:pPr>
              <w:pStyle w:val="CellColumn"/>
              <w:jc w:val="right"/>
            </w:pPr>
            <w:r>
              <w:rPr>
                <w:rFonts w:cs="Times New Roman"/>
              </w:rPr>
              <w:t>95</w:t>
            </w:r>
          </w:p>
        </w:tc>
      </w:tr>
      <w:tr w:rsidR="00B24D34" w:rsidTr="00B24D34">
        <w:trPr>
          <w:jc w:val="center"/>
        </w:trPr>
        <w:tc>
          <w:tcPr>
            <w:tcW w:w="2553" w:type="dxa"/>
          </w:tcPr>
          <w:p w:rsidR="00B24D34" w:rsidRDefault="00B24D34">
            <w:pPr>
              <w:pStyle w:val="CellColumn"/>
              <w:jc w:val="left"/>
            </w:pPr>
            <w:r>
              <w:rPr>
                <w:rFonts w:cs="Times New Roman"/>
              </w:rPr>
              <w:lastRenderedPageBreak/>
              <w:t>Povećanje udjela obrađenih posmrtnih ostataka u odnosu na broj neidentificiranih posmrtnih ostataka</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83,3</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96</w:t>
            </w:r>
          </w:p>
        </w:tc>
        <w:tc>
          <w:tcPr>
            <w:tcW w:w="1020" w:type="dxa"/>
          </w:tcPr>
          <w:p w:rsidR="00B24D34" w:rsidRDefault="00B24D34">
            <w:pPr>
              <w:pStyle w:val="CellColumn"/>
              <w:jc w:val="right"/>
            </w:pPr>
            <w:r>
              <w:rPr>
                <w:rFonts w:cs="Times New Roman"/>
              </w:rPr>
              <w:t>91</w:t>
            </w:r>
          </w:p>
        </w:tc>
      </w:tr>
    </w:tbl>
    <w:p w:rsidR="005C2091" w:rsidRDefault="005C2091">
      <w:pPr>
        <w:jc w:val="left"/>
      </w:pPr>
    </w:p>
    <w:p w:rsidR="00B24D34" w:rsidRDefault="00B24D34">
      <w:pPr>
        <w:jc w:val="left"/>
      </w:pPr>
    </w:p>
    <w:p w:rsidR="00B24D34" w:rsidRDefault="00B24D34">
      <w:pPr>
        <w:jc w:val="left"/>
      </w:pPr>
    </w:p>
    <w:p w:rsidR="00B24D34" w:rsidRDefault="00B24D34">
      <w:pPr>
        <w:jc w:val="left"/>
      </w:pPr>
    </w:p>
    <w:p w:rsidR="00B24D34" w:rsidRDefault="00B24D34">
      <w:pPr>
        <w:jc w:val="left"/>
      </w:pPr>
    </w:p>
    <w:p w:rsidR="005C2091" w:rsidRDefault="00A86293">
      <w:pPr>
        <w:pStyle w:val="Heading4"/>
      </w:pPr>
      <w:r>
        <w:t>A522023 ISTRAŽIVANJE, UREĐENJE I ODRŽAVANJE VOJNIH GROBLJA, GROBLJA ŽRTAVA DRUGOG SVJETSKOG RATA I POSLIJERATNOG RAZDOBLJA</w:t>
      </w:r>
    </w:p>
    <w:tbl>
      <w:tblPr>
        <w:tblStyle w:val="StilTablice"/>
        <w:tblW w:w="10206" w:type="dxa"/>
        <w:jc w:val="center"/>
        <w:tblLook w:val="04A0" w:firstRow="1" w:lastRow="0" w:firstColumn="1" w:lastColumn="0" w:noHBand="0" w:noVBand="1"/>
      </w:tblPr>
      <w:tblGrid>
        <w:gridCol w:w="1703"/>
        <w:gridCol w:w="2021"/>
        <w:gridCol w:w="2020"/>
        <w:gridCol w:w="2021"/>
        <w:gridCol w:w="1220"/>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A522023-ISTRAŽIVANJE, UREĐENJE I ODRŽAVANJE VOJNIH GROBLJA, GROBLJA ŽRTAVA DRUGOG SVJETSKOG RATA I POSLIJERATNOG RAZDOBLJA</w:t>
            </w:r>
          </w:p>
        </w:tc>
        <w:tc>
          <w:tcPr>
            <w:tcW w:w="2041" w:type="dxa"/>
          </w:tcPr>
          <w:p w:rsidR="005C2091" w:rsidRDefault="00A86293">
            <w:pPr>
              <w:pStyle w:val="CellColumn"/>
              <w:jc w:val="right"/>
            </w:pPr>
            <w:r>
              <w:rPr>
                <w:rFonts w:cs="Times New Roman"/>
              </w:rPr>
              <w:t>930.387</w:t>
            </w:r>
          </w:p>
        </w:tc>
        <w:tc>
          <w:tcPr>
            <w:tcW w:w="2041" w:type="dxa"/>
          </w:tcPr>
          <w:p w:rsidR="005C2091" w:rsidRDefault="00A86293">
            <w:pPr>
              <w:pStyle w:val="CellColumn"/>
              <w:jc w:val="right"/>
            </w:pPr>
            <w:r>
              <w:rPr>
                <w:rFonts w:cs="Times New Roman"/>
              </w:rPr>
              <w:t>640.000</w:t>
            </w:r>
          </w:p>
        </w:tc>
        <w:tc>
          <w:tcPr>
            <w:tcW w:w="2041" w:type="dxa"/>
          </w:tcPr>
          <w:p w:rsidR="005C2091" w:rsidRDefault="00A86293">
            <w:pPr>
              <w:pStyle w:val="CellColumn"/>
              <w:jc w:val="right"/>
            </w:pPr>
            <w:r>
              <w:rPr>
                <w:rFonts w:cs="Times New Roman"/>
              </w:rPr>
              <w:t>391.000</w:t>
            </w:r>
          </w:p>
        </w:tc>
        <w:tc>
          <w:tcPr>
            <w:tcW w:w="1224" w:type="dxa"/>
          </w:tcPr>
          <w:p w:rsidR="005C2091" w:rsidRDefault="00A86293">
            <w:pPr>
              <w:pStyle w:val="CellColumn"/>
              <w:jc w:val="right"/>
            </w:pPr>
            <w:r>
              <w:rPr>
                <w:rFonts w:cs="Times New Roman"/>
              </w:rPr>
              <w:t>61,1</w:t>
            </w:r>
          </w:p>
        </w:tc>
        <w:tc>
          <w:tcPr>
            <w:tcW w:w="1224" w:type="dxa"/>
          </w:tcPr>
          <w:p w:rsidR="005C2091" w:rsidRDefault="00A86293">
            <w:pPr>
              <w:pStyle w:val="CellColumn"/>
              <w:jc w:val="right"/>
            </w:pPr>
            <w:r>
              <w:rPr>
                <w:rFonts w:cs="Times New Roman"/>
              </w:rPr>
              <w:t>42,0</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istraživanju, uređenju i održavanju vojnih groblja, groblja žrtava Drugog svjetskog rata i poslijeratnog razdoblja (NN 143/2012)  </w:t>
      </w:r>
    </w:p>
    <w:p w:rsidR="005C2091" w:rsidRDefault="00A86293">
      <w:r>
        <w:t xml:space="preserve">- Međunarodni ugovori o uređenju vojnih groblja zaključeni između Vlade Republike  </w:t>
      </w:r>
    </w:p>
    <w:p w:rsidR="005C2091" w:rsidRDefault="0057389E">
      <w:r>
        <w:t>Hrvatske i</w:t>
      </w:r>
      <w:r w:rsidR="00A86293">
        <w:t xml:space="preserve">:  </w:t>
      </w:r>
    </w:p>
    <w:p w:rsidR="005C2091" w:rsidRDefault="00A86293">
      <w:r>
        <w:t xml:space="preserve">- Vlade Savezne Republike Njemačke (MN 17/97)  </w:t>
      </w:r>
    </w:p>
    <w:p w:rsidR="005C2091" w:rsidRDefault="00A86293">
      <w:r>
        <w:t xml:space="preserve">- Vlade Talijanske Republike (MN 6/2001)   </w:t>
      </w:r>
    </w:p>
    <w:p w:rsidR="005C2091" w:rsidRDefault="00A86293">
      <w:r>
        <w:t xml:space="preserve">- Vlade Republike Slovenije (MN 4/2009)  </w:t>
      </w:r>
    </w:p>
    <w:p w:rsidR="005C2091" w:rsidRDefault="00A86293">
      <w:r>
        <w:t xml:space="preserve">- Zakon o sustavu državne uprave (NN 150/2011)  </w:t>
      </w:r>
    </w:p>
    <w:p w:rsidR="005C2091" w:rsidRDefault="00A86293">
      <w:r>
        <w:t>- Uredba Vlade Republike Hrvatske o unutarnjem ustrojstvu Ministarstva hrvatskih branitelja</w:t>
      </w:r>
    </w:p>
    <w:p w:rsidR="005C2091" w:rsidRDefault="00A86293">
      <w:pPr>
        <w:pStyle w:val="Heading8"/>
        <w:jc w:val="left"/>
      </w:pPr>
      <w:r>
        <w:t>Opis aktivnosti</w:t>
      </w:r>
    </w:p>
    <w:p w:rsidR="005C2091" w:rsidRDefault="00A86293">
      <w:r>
        <w:t xml:space="preserve">Tijekom izvještajnog razdoblja Ministarstvo hrvatskih branitelja pokrenulo je postupak istraživanja i prikupljanja saznanja za 78 lokacija mogućih masovnih ili pojedinačnih grobnica, od čega su 52 lokacije s žrtvama Drugog svjetskog rata, a 26 poslijeratnog razdoblja. </w:t>
      </w:r>
    </w:p>
    <w:p w:rsidR="005C2091" w:rsidRDefault="00A86293">
      <w:r>
        <w:t xml:space="preserve">Tijekom izvještajnog razdoblja Ministarstvo hrvatskih branitelja provelo je terenske izvide i snimanje lokacija iz zraka na 30 lokacija. Probna iskapanja sa ciljem potvrđivanja lokacija provedena su na njih 9. Postupak </w:t>
      </w:r>
      <w:r>
        <w:lastRenderedPageBreak/>
        <w:t xml:space="preserve">ekshumacije proveden na 14 lokacija, pri čemu su ekshumirani posmrtni ostaci 173 osobe koje su dostojno trajno zbrinute. </w:t>
      </w:r>
    </w:p>
    <w:p w:rsidR="005C2091" w:rsidRDefault="00A86293">
      <w:r>
        <w:t xml:space="preserve">U 2016. godini Ministarstvo hrvatskih branitelja organiziralo je jedan postupak identifikacije 24 žrtava Drugog svjetskog rata, čiji su posmrtni ostaci ekshumirani iz masovne grobnice na lokaciji „Dabin Vrh“, Selo Brotnja, Općina Gračac u Zadarskoj županiji. </w:t>
      </w:r>
    </w:p>
    <w:p w:rsidR="005C2091" w:rsidRDefault="00A86293">
      <w:r>
        <w:t xml:space="preserve">Posmrtni ostaci u cijelosti su obrađeni klasičnim sudsko-medicinskim metodama i podvrgnuti obradi metodom analize DNA. </w:t>
      </w:r>
    </w:p>
    <w:p w:rsidR="005C2091" w:rsidRDefault="00A86293">
      <w:r>
        <w:t xml:space="preserve">Ministarstvo hrvatskih branitelja tijekom izvještajnog razdoblja pokrenulo je postupak obilježavanja masovne grobnice „Dabin vrh“, mjesto Brotnja, Općina Gračac u Zadarskoj županiji. </w:t>
      </w:r>
    </w:p>
    <w:p w:rsidR="005C2091" w:rsidRDefault="00A86293">
      <w:r>
        <w:t>Ministarstvo hrvatskih branitelja održalo je sastanak s Općinom Gračac i Općinom Donji Lapac 23. studenoga 2016. godine te je obavljen obilazak i snimanje iz zraka lokacije na kojem se predviđa podizanje spomen-obilježja.</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rezultata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Održavanje postojećeg  broja prikupljenih i obrađenih podataka o mjestima stradanja</w:t>
            </w:r>
          </w:p>
        </w:tc>
        <w:tc>
          <w:tcPr>
            <w:tcW w:w="1020" w:type="dxa"/>
          </w:tcPr>
          <w:p w:rsidR="00B24D34" w:rsidRDefault="00B24D34">
            <w:pPr>
              <w:pStyle w:val="CellColumn"/>
              <w:jc w:val="right"/>
            </w:pPr>
            <w:r>
              <w:rPr>
                <w:rFonts w:cs="Times New Roman"/>
              </w:rPr>
              <w:t>Broj</w:t>
            </w:r>
          </w:p>
        </w:tc>
        <w:tc>
          <w:tcPr>
            <w:tcW w:w="1020" w:type="dxa"/>
          </w:tcPr>
          <w:p w:rsidR="00B24D34" w:rsidRDefault="00B24D34">
            <w:pPr>
              <w:pStyle w:val="CellColumn"/>
              <w:jc w:val="right"/>
            </w:pPr>
            <w:r>
              <w:rPr>
                <w:rFonts w:cs="Times New Roman"/>
              </w:rPr>
              <w:t>72</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72</w:t>
            </w:r>
          </w:p>
        </w:tc>
        <w:tc>
          <w:tcPr>
            <w:tcW w:w="1020" w:type="dxa"/>
          </w:tcPr>
          <w:p w:rsidR="00B24D34" w:rsidRDefault="00B24D34">
            <w:pPr>
              <w:pStyle w:val="CellColumn"/>
              <w:jc w:val="right"/>
            </w:pPr>
            <w:r>
              <w:rPr>
                <w:rFonts w:cs="Times New Roman"/>
              </w:rPr>
              <w:t>79</w:t>
            </w:r>
          </w:p>
        </w:tc>
      </w:tr>
      <w:tr w:rsidR="00B24D34" w:rsidTr="00B24D34">
        <w:trPr>
          <w:jc w:val="center"/>
        </w:trPr>
        <w:tc>
          <w:tcPr>
            <w:tcW w:w="2553" w:type="dxa"/>
          </w:tcPr>
          <w:p w:rsidR="00B24D34" w:rsidRDefault="00B24D34">
            <w:pPr>
              <w:pStyle w:val="CellColumn"/>
              <w:jc w:val="left"/>
            </w:pPr>
            <w:r>
              <w:rPr>
                <w:rFonts w:cs="Times New Roman"/>
              </w:rPr>
              <w:t>Održavanje postojećeg broja istraženih mjesta stradanja</w:t>
            </w:r>
          </w:p>
        </w:tc>
        <w:tc>
          <w:tcPr>
            <w:tcW w:w="1020" w:type="dxa"/>
          </w:tcPr>
          <w:p w:rsidR="00B24D34" w:rsidRDefault="00B24D34">
            <w:pPr>
              <w:pStyle w:val="CellColumn"/>
              <w:jc w:val="right"/>
            </w:pPr>
            <w:r>
              <w:rPr>
                <w:rFonts w:cs="Times New Roman"/>
              </w:rPr>
              <w:t>Broj</w:t>
            </w:r>
          </w:p>
        </w:tc>
        <w:tc>
          <w:tcPr>
            <w:tcW w:w="1020" w:type="dxa"/>
          </w:tcPr>
          <w:p w:rsidR="00B24D34" w:rsidRDefault="00B24D34">
            <w:pPr>
              <w:pStyle w:val="CellColumn"/>
              <w:jc w:val="right"/>
            </w:pPr>
            <w:r>
              <w:rPr>
                <w:rFonts w:cs="Times New Roman"/>
              </w:rPr>
              <w:t>15</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15</w:t>
            </w:r>
          </w:p>
        </w:tc>
        <w:tc>
          <w:tcPr>
            <w:tcW w:w="1020" w:type="dxa"/>
          </w:tcPr>
          <w:p w:rsidR="00B24D34" w:rsidRDefault="00B24D34">
            <w:pPr>
              <w:pStyle w:val="CellColumn"/>
              <w:jc w:val="right"/>
            </w:pPr>
            <w:r>
              <w:rPr>
                <w:rFonts w:cs="Times New Roman"/>
              </w:rPr>
              <w:t>14</w:t>
            </w:r>
          </w:p>
        </w:tc>
      </w:tr>
    </w:tbl>
    <w:p w:rsidR="005C2091" w:rsidRDefault="005C2091">
      <w:pPr>
        <w:jc w:val="left"/>
      </w:pPr>
    </w:p>
    <w:p w:rsidR="005C2091" w:rsidRDefault="00A86293">
      <w:pPr>
        <w:pStyle w:val="Heading4"/>
      </w:pPr>
      <w:r>
        <w:t>A522026 OBILJEŽAVANJE OBLJETNICA RATNIH DOGAĐANJA I STRADAVANJA U DRUGOM SVJETSKOM RATU</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A522026-OBILJEŽAVANJE OBLJETNICA RATNIH DOGAĐANJA I STRADAVANJA U DRUGOM SVJETSKOM RATU</w:t>
            </w:r>
          </w:p>
        </w:tc>
        <w:tc>
          <w:tcPr>
            <w:tcW w:w="2041" w:type="dxa"/>
          </w:tcPr>
          <w:p w:rsidR="005C2091" w:rsidRDefault="00A86293">
            <w:pPr>
              <w:pStyle w:val="CellColumn"/>
              <w:jc w:val="right"/>
            </w:pPr>
            <w:r>
              <w:rPr>
                <w:rFonts w:cs="Times New Roman"/>
              </w:rPr>
              <w:t>41.458</w:t>
            </w:r>
          </w:p>
        </w:tc>
        <w:tc>
          <w:tcPr>
            <w:tcW w:w="2041" w:type="dxa"/>
          </w:tcPr>
          <w:p w:rsidR="005C2091" w:rsidRDefault="00A86293">
            <w:pPr>
              <w:pStyle w:val="CellColumn"/>
              <w:jc w:val="right"/>
            </w:pPr>
            <w:r>
              <w:rPr>
                <w:rFonts w:cs="Times New Roman"/>
              </w:rPr>
              <w:t>150.000</w:t>
            </w:r>
          </w:p>
        </w:tc>
        <w:tc>
          <w:tcPr>
            <w:tcW w:w="2041" w:type="dxa"/>
          </w:tcPr>
          <w:p w:rsidR="005C2091" w:rsidRDefault="00A86293">
            <w:pPr>
              <w:pStyle w:val="CellColumn"/>
              <w:jc w:val="right"/>
            </w:pPr>
            <w:r>
              <w:rPr>
                <w:rFonts w:cs="Times New Roman"/>
              </w:rPr>
              <w:t>108.734</w:t>
            </w:r>
          </w:p>
        </w:tc>
        <w:tc>
          <w:tcPr>
            <w:tcW w:w="1224" w:type="dxa"/>
          </w:tcPr>
          <w:p w:rsidR="005C2091" w:rsidRDefault="00A86293">
            <w:pPr>
              <w:pStyle w:val="CellColumn"/>
              <w:jc w:val="right"/>
            </w:pPr>
            <w:r>
              <w:rPr>
                <w:rFonts w:cs="Times New Roman"/>
              </w:rPr>
              <w:t>72,5</w:t>
            </w:r>
          </w:p>
        </w:tc>
        <w:tc>
          <w:tcPr>
            <w:tcW w:w="1224" w:type="dxa"/>
          </w:tcPr>
          <w:p w:rsidR="005C2091" w:rsidRDefault="00A86293">
            <w:pPr>
              <w:pStyle w:val="CellColumn"/>
              <w:jc w:val="right"/>
            </w:pPr>
            <w:r>
              <w:rPr>
                <w:rFonts w:cs="Times New Roman"/>
              </w:rPr>
              <w:t>262,3</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sustavu državne uprave  </w:t>
      </w:r>
    </w:p>
    <w:p w:rsidR="005C2091" w:rsidRDefault="00A86293">
      <w:r>
        <w:t>- Uredba Vlade Republike Hrvatske o unutarnjem ustrojstvu Ministarstva hrvatskih branitelja</w:t>
      </w:r>
    </w:p>
    <w:p w:rsidR="005C2091" w:rsidRDefault="00A86293">
      <w:pPr>
        <w:pStyle w:val="Heading8"/>
        <w:jc w:val="left"/>
      </w:pPr>
      <w:r>
        <w:t>Opis aktivnosti</w:t>
      </w:r>
    </w:p>
    <w:p w:rsidR="005C2091" w:rsidRDefault="00A86293">
      <w:r>
        <w:t xml:space="preserve">Ministarstvo hrvatskih branitelja, Uprava za zatočene i nestale odobrila je financijsku potporu projektima udruga/institucija/organizacija temeljem njihovih zahtjeva koji su aplicirali Ministarstvu vezano uz obilježavanje mjesta masovnih grobnica i obilježavanju važnih obljetnica. </w:t>
      </w:r>
    </w:p>
    <w:p w:rsidR="005C2091" w:rsidRDefault="00A86293">
      <w:r>
        <w:t xml:space="preserve">U izvještajnom razdoblju odobreno je 4 zahtjeva udruga/institucija/organizacija za financijskom pomoći u njihovim projektima. </w:t>
      </w:r>
    </w:p>
    <w:p w:rsidR="005C2091" w:rsidRDefault="00A86293">
      <w:r>
        <w:lastRenderedPageBreak/>
        <w:t xml:space="preserve">Ministarstvo hrvatskih branitelja pozitivno je obradilo zahtjeve: </w:t>
      </w:r>
    </w:p>
    <w:p w:rsidR="005C2091" w:rsidRDefault="00A86293">
      <w:r>
        <w:t xml:space="preserve">1. Hrvatskog kulturnog vijeća za projekt organizacije znanstvenog skupa u sklopu obilježavanja „Sveeuropskog dana sjećanja na žrtve svih totalitarnih i autoritarnih režima 20. stoljeća“, </w:t>
      </w:r>
    </w:p>
    <w:p w:rsidR="005C2091" w:rsidRDefault="00A86293">
      <w:r>
        <w:t xml:space="preserve">2. Društva za obilježavanje grobišta ratnih i poratnih žrtava za projekt obnove spomen-obilježja žrtvama komunističkog terora u selu Čukovec kod Ludbrega u Varaždinskoj županiji, </w:t>
      </w:r>
    </w:p>
    <w:p w:rsidR="005C2091" w:rsidRDefault="00A86293">
      <w:r>
        <w:t xml:space="preserve">3. Hrvatskog društva političkih zatvorenika-podružnica Osječko-baranjska za projekt obnove spomen-obilježja žrtvama križnog puta i okoliša oko njega u selu Ruševo, općina Čaglin u Požeško-slavonskoj županiji, </w:t>
      </w:r>
    </w:p>
    <w:p w:rsidR="005C2091" w:rsidRDefault="00A86293">
      <w:r>
        <w:t xml:space="preserve">4. Općine Čačinci za projekt izgradnje i uređenje spomen grobišta u Slatinskom Drenovcu. </w:t>
      </w:r>
    </w:p>
    <w:p w:rsidR="005C2091" w:rsidRDefault="00A86293">
      <w:r>
        <w:t>U izvještajnom razdoblju Ministarstvo hrvatskih branitelja održalo je niz sastanaka s predstavnicima jedinica lokalne samouprave na temu istraživanja mjesta masovnih grobnica, uređenja i održavanja groblja Drugog svjetskog rata i poslijeratnog razdoblja na njihovom području.</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rezultata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Održavanje broja sufinanciranih projekata koji se odnose na obilježavanje obljetnica i mjesta stradanja</w:t>
            </w:r>
          </w:p>
        </w:tc>
        <w:tc>
          <w:tcPr>
            <w:tcW w:w="1020" w:type="dxa"/>
          </w:tcPr>
          <w:p w:rsidR="00B24D34" w:rsidRDefault="00B24D34">
            <w:pPr>
              <w:pStyle w:val="CellColumn"/>
              <w:jc w:val="right"/>
            </w:pPr>
            <w:r>
              <w:rPr>
                <w:rFonts w:cs="Times New Roman"/>
              </w:rPr>
              <w:t>Broj</w:t>
            </w:r>
          </w:p>
        </w:tc>
        <w:tc>
          <w:tcPr>
            <w:tcW w:w="1020" w:type="dxa"/>
          </w:tcPr>
          <w:p w:rsidR="00B24D34" w:rsidRDefault="00B24D34">
            <w:pPr>
              <w:pStyle w:val="CellColumn"/>
              <w:jc w:val="right"/>
            </w:pPr>
            <w:r>
              <w:rPr>
                <w:rFonts w:cs="Times New Roman"/>
              </w:rPr>
              <w:t>5</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5</w:t>
            </w:r>
          </w:p>
        </w:tc>
        <w:tc>
          <w:tcPr>
            <w:tcW w:w="1020" w:type="dxa"/>
          </w:tcPr>
          <w:p w:rsidR="00B24D34" w:rsidRDefault="00B24D34">
            <w:pPr>
              <w:pStyle w:val="CellColumn"/>
              <w:jc w:val="right"/>
            </w:pPr>
            <w:r>
              <w:rPr>
                <w:rFonts w:cs="Times New Roman"/>
              </w:rPr>
              <w:t>4</w:t>
            </w:r>
          </w:p>
        </w:tc>
      </w:tr>
    </w:tbl>
    <w:p w:rsidR="005C2091" w:rsidRDefault="005C2091">
      <w:pPr>
        <w:jc w:val="left"/>
      </w:pPr>
    </w:p>
    <w:p w:rsidR="005C2091" w:rsidRDefault="00A86293">
      <w:pPr>
        <w:pStyle w:val="Heading3"/>
      </w:pPr>
      <w:r>
        <w:rPr>
          <w:rFonts w:cs="Times New Roman"/>
        </w:rPr>
        <w:t>4013 SOCIJALNE POMOĆI I NAKNADE SUDIONICIMA I ŽRTVAMA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4013-SOCIJALNE POMOĆI I NAKNADE SUDIONICIMA I ŽRTVAMA RATA</w:t>
            </w:r>
          </w:p>
        </w:tc>
        <w:tc>
          <w:tcPr>
            <w:tcW w:w="2041" w:type="dxa"/>
          </w:tcPr>
          <w:p w:rsidR="005C2091" w:rsidRDefault="00A86293">
            <w:pPr>
              <w:pStyle w:val="CellColumn"/>
              <w:jc w:val="right"/>
            </w:pPr>
            <w:r>
              <w:rPr>
                <w:rFonts w:cs="Times New Roman"/>
              </w:rPr>
              <w:t>706.868.718</w:t>
            </w:r>
          </w:p>
        </w:tc>
        <w:tc>
          <w:tcPr>
            <w:tcW w:w="2041" w:type="dxa"/>
          </w:tcPr>
          <w:p w:rsidR="005C2091" w:rsidRDefault="00A86293">
            <w:pPr>
              <w:pStyle w:val="CellColumn"/>
              <w:jc w:val="right"/>
            </w:pPr>
            <w:r>
              <w:rPr>
                <w:rFonts w:cs="Times New Roman"/>
              </w:rPr>
              <w:t>687.826.408</w:t>
            </w:r>
          </w:p>
        </w:tc>
        <w:tc>
          <w:tcPr>
            <w:tcW w:w="2041" w:type="dxa"/>
          </w:tcPr>
          <w:p w:rsidR="005C2091" w:rsidRDefault="00A86293">
            <w:pPr>
              <w:pStyle w:val="CellColumn"/>
              <w:jc w:val="right"/>
            </w:pPr>
            <w:r>
              <w:rPr>
                <w:rFonts w:cs="Times New Roman"/>
              </w:rPr>
              <w:t>686.696.605</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97,1</w:t>
            </w:r>
          </w:p>
        </w:tc>
      </w:tr>
    </w:tbl>
    <w:p w:rsidR="005C2091" w:rsidRDefault="005C2091">
      <w:pPr>
        <w:jc w:val="left"/>
      </w:pPr>
    </w:p>
    <w:p w:rsidR="005C2091" w:rsidRDefault="00A86293">
      <w:r>
        <w:t xml:space="preserve">Pod uvjetima utvrđenim Zakonom o pravima hrvatskih branitelja iz Domovinskog rata i članova njihovih obitelji, HRVI iz Domovinskog rata s osnove oštećenja organizma ostvaruje sljedeća prava: osobna invalidnina, doplatak za njegu i pomoć druge osobe, ortopedski doplatak, pravo na medicinsku, odnosno fizikalnu rehabilitaciju, naknada troškova prijevoza i pravo na jednokratnu novčanu pomoć.   </w:t>
      </w:r>
    </w:p>
    <w:p w:rsidR="005C2091" w:rsidRDefault="00A86293">
      <w:r>
        <w:t xml:space="preserve">S osnove smrtnog stradavanja hrvatskog branitelja iz Domovinskog rata pod okolnostima obrane Republike Hrvatske članovi obitelji hrvatskog branitelja mogu ostvariti obiteljsku invalidninu, povećanu i uvećanu obiteljsku invalidninu. S osnove zatočenja ili nestanka hrvatskog branitelja iz Domovinskog rata pod okolnostima obrane suvereniteta Republike Hrvatske članovi obitelji mogu ostvariti novčanu naknadu u iznosu obiteljske invalidnine, novčanu naknadu u iznosu povećane i uvećane obiteljske invalidnine. Članovi obitelji nakon smrti HRVI iz Domovinskog rata I. – IV. skupine koji je do smrti koristio njegu i pomoć druge osobe mogu ostvariti obiteljsku invalidninu u iznosu propisanom Zakonom.   </w:t>
      </w:r>
    </w:p>
    <w:p w:rsidR="005C2091" w:rsidRDefault="00A86293">
      <w:r>
        <w:t xml:space="preserve">Republika Hrvatska posebnu zaštitu osigurava ratnim vojnim invalidima Drugog svjetskog rata, mirnodopskim invalidima, civilnim invalidima Domovinskog rata i Drugog svjetskog rata, sudionicima Drugog svjetskog rata te članovima njihovih obitelji i osobama stradalim u vojnim i redarstvenim dužnostima u stranoj zemlji u okviru </w:t>
      </w:r>
      <w:r>
        <w:lastRenderedPageBreak/>
        <w:t>mirovnih snaga i mirovnih misija. To su prava po osnovi oštećenja organizma, po osnovi gubitka člana obitelji i prava po osnovi materijalnih i drugih potreba korisnika. Sustavna politika na području zaštite ranjivih društvenih skupina, kao što su osobe s invaliditetom i na području brige za stradalnike rata usmjerena je daljnjem napretku i snaženju zaštite njihovih prava.</w:t>
      </w:r>
    </w:p>
    <w:p w:rsidR="005C2091" w:rsidRDefault="00A86293">
      <w:pPr>
        <w:pStyle w:val="Heading8"/>
        <w:jc w:val="left"/>
      </w:pPr>
      <w:r>
        <w:t>Cilj 1. Socijalne pomoći i naknade sudionicima i žrtvama rata</w:t>
      </w:r>
    </w:p>
    <w:p w:rsidR="005C2091" w:rsidRDefault="00A86293">
      <w:pPr>
        <w:pStyle w:val="Heading8"/>
        <w:jc w:val="left"/>
      </w:pPr>
      <w:r>
        <w:t>Opis provedbe cilja programa</w:t>
      </w:r>
    </w:p>
    <w:p w:rsidR="005C2091" w:rsidRDefault="00A86293">
      <w:r>
        <w:t xml:space="preserve">Ministarstvo osigurava zakonito ostvarenje propisanih prava hrvatskim braniteljima, obiteljima poginulih i stradalnicima Domovinskog rata kao i mirnodopskih vojnih invalida, stradalih pirotehničara te članova njihovih obitelji. Revizija, kao oblik kontrole zakonitosti prvostupanjskih rješenja od strane drugostupanjskog tijela ima za cilj da prije izvršnosti rješenja otkloni eventualne greške u nadležnosti, postupku i formi upravnog akta, materijalnoj povredi zakona, u činjeničnom stanju, cilju i svrsi koja se želi postići. </w:t>
      </w:r>
    </w:p>
    <w:p w:rsidR="005C2091" w:rsidRDefault="00A86293">
      <w:r>
        <w:t xml:space="preserve">Provedbom svih navedenih aktivnosti, Ministarstvo brine o punoj zaštiti te očuvanju dostojanstva hrvatskih branitelja, obitelji poginulih i stradalnika Domovinskog rata, koji su najzaslužniji za stvaranje neovisne i suverene Republike Hrvatske. </w:t>
      </w:r>
    </w:p>
    <w:p w:rsidR="005C2091" w:rsidRDefault="00A86293">
      <w:r>
        <w:t>Donošenjem Zakona o žrtvama seksualnog nasilja u Domovinskom  ratu priznata je patnja žrtava seksualnog nasilja u Domovinskom ratu od strane cjelokupnog društva i osiguranje pravnog statusa. Ministarstvo nastoji žrtvama silovanja osigurati svu potrebnu psihosocijalnu i drugu pomoć te podršku kako bi se dostojanstveno i slobodno uključile u društveni život.</w:t>
      </w:r>
    </w:p>
    <w:p w:rsidR="005C2091" w:rsidRDefault="00A86293">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učinka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Održavanje postojeće razine rješavanja zahtjeva u okviru zakonski predviđenih rokova</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100</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100</w:t>
            </w:r>
          </w:p>
        </w:tc>
        <w:tc>
          <w:tcPr>
            <w:tcW w:w="1020" w:type="dxa"/>
          </w:tcPr>
          <w:p w:rsidR="00B24D34" w:rsidRDefault="00B24D34">
            <w:pPr>
              <w:pStyle w:val="CellColumn"/>
              <w:jc w:val="right"/>
            </w:pPr>
            <w:r>
              <w:rPr>
                <w:rFonts w:cs="Times New Roman"/>
              </w:rPr>
              <w:t>100</w:t>
            </w:r>
          </w:p>
        </w:tc>
      </w:tr>
    </w:tbl>
    <w:p w:rsidR="005C2091" w:rsidRDefault="005C2091">
      <w:pPr>
        <w:jc w:val="left"/>
      </w:pPr>
    </w:p>
    <w:p w:rsidR="005C2091" w:rsidRDefault="00A86293">
      <w:pPr>
        <w:pStyle w:val="Heading4"/>
      </w:pPr>
      <w:r>
        <w:t>A522027 JEDNOKRATNA PRAVA ZA OBITELJI ZATOČENIH I NESTALIH HRVATSKIH BRANITELJA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A522027-JEDNOKRATNA PRAVA ZA OBITELJI ZATOČENIH I NESTALIH HRVATSKIH BRANITELJA IZ DOMOVINSKOG RATA</w:t>
            </w:r>
          </w:p>
        </w:tc>
        <w:tc>
          <w:tcPr>
            <w:tcW w:w="2041" w:type="dxa"/>
          </w:tcPr>
          <w:p w:rsidR="005C2091" w:rsidRDefault="00A86293">
            <w:pPr>
              <w:pStyle w:val="CellColumn"/>
              <w:jc w:val="right"/>
            </w:pPr>
            <w:r>
              <w:rPr>
                <w:rFonts w:cs="Times New Roman"/>
              </w:rPr>
              <w:t>4.622.645</w:t>
            </w:r>
          </w:p>
        </w:tc>
        <w:tc>
          <w:tcPr>
            <w:tcW w:w="2041" w:type="dxa"/>
          </w:tcPr>
          <w:p w:rsidR="005C2091" w:rsidRDefault="00A86293">
            <w:pPr>
              <w:pStyle w:val="CellColumn"/>
              <w:jc w:val="right"/>
            </w:pPr>
            <w:r>
              <w:rPr>
                <w:rFonts w:cs="Times New Roman"/>
              </w:rPr>
              <w:t>5.822.000</w:t>
            </w:r>
          </w:p>
        </w:tc>
        <w:tc>
          <w:tcPr>
            <w:tcW w:w="2041" w:type="dxa"/>
          </w:tcPr>
          <w:p w:rsidR="005C2091" w:rsidRDefault="00A86293">
            <w:pPr>
              <w:pStyle w:val="CellColumn"/>
              <w:jc w:val="right"/>
            </w:pPr>
            <w:r>
              <w:rPr>
                <w:rFonts w:cs="Times New Roman"/>
              </w:rPr>
              <w:t>5.620.336</w:t>
            </w:r>
          </w:p>
        </w:tc>
        <w:tc>
          <w:tcPr>
            <w:tcW w:w="1224" w:type="dxa"/>
          </w:tcPr>
          <w:p w:rsidR="005C2091" w:rsidRDefault="00A86293">
            <w:pPr>
              <w:pStyle w:val="CellColumn"/>
              <w:jc w:val="right"/>
            </w:pPr>
            <w:r>
              <w:rPr>
                <w:rFonts w:cs="Times New Roman"/>
              </w:rPr>
              <w:t>96,5</w:t>
            </w:r>
          </w:p>
        </w:tc>
        <w:tc>
          <w:tcPr>
            <w:tcW w:w="1224" w:type="dxa"/>
          </w:tcPr>
          <w:p w:rsidR="005C2091" w:rsidRDefault="00A86293">
            <w:pPr>
              <w:pStyle w:val="CellColumn"/>
              <w:jc w:val="right"/>
            </w:pPr>
            <w:r>
              <w:rPr>
                <w:rFonts w:cs="Times New Roman"/>
              </w:rPr>
              <w:t>121,6</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pravima hrvatskih branitelja iz Domovinskog rata i članova njihovih obitelji (NN 174/04, 92/05, 02/07, 107/07, 65/09, 137/09, 146/10, 55/11, 140/12, 33/13, 148/13 i 92/14)  </w:t>
      </w:r>
    </w:p>
    <w:p w:rsidR="005C2091" w:rsidRDefault="00A86293">
      <w:r>
        <w:lastRenderedPageBreak/>
        <w:t>- Uredba o uvjetima i postupku ostvarivanja prava na jednokratnu novčanu pomoć članovima obitelji smrtno stradalog hrvatskog branitelja iz Domovinskog rata, hrvatskih ratnih vojnih invalida iz Domovinskog rata i hrvatskih branitelja iz Domovinskog rata(NN 87/14.)</w:t>
      </w:r>
    </w:p>
    <w:p w:rsidR="005C2091" w:rsidRDefault="00A86293">
      <w:pPr>
        <w:pStyle w:val="Heading8"/>
        <w:jc w:val="left"/>
      </w:pPr>
      <w:r>
        <w:t>Opis aktivnosti</w:t>
      </w:r>
    </w:p>
    <w:p w:rsidR="005C2091" w:rsidRDefault="00A86293">
      <w:r>
        <w:t xml:space="preserve">Pravo na jednokratnu novčanu pomoć ostvaruju članovi obitelji smrtno stradalog hrvatskog branitelja iz Domovinskog rata, hrvatski ratni vojni invalidi iz Domovinskog rata i hrvatski branitelji iz Domovinskog rata ukoliko se nađu u situaciji teške akutne, kronične ili maligne bolesti, teške ozljede uslijed nesretnog slučaja, elementarne nepogode, smrti člana uže obitelji korisnika  ili korisnici čiji novčani prihodi u prethodnoj kalendarskoj godini nisu dostatni za podmirenje osnovnih životnih potreba.  </w:t>
      </w:r>
    </w:p>
    <w:p w:rsidR="005C2091" w:rsidRDefault="00A86293">
      <w:r>
        <w:t xml:space="preserve">Pravo na jednokratnu novčanu pomoć korisnici mogu ostvariti jednom u kalendarskoj godini. Visina iznosa jednokratne novčane pomoći ovisi o visini redovitih novčanih prihoda mjesečno po članu kućanstva, u rasponu od 997,80 kn do visine osnovice od 3.326,00 kuna. </w:t>
      </w:r>
    </w:p>
    <w:p w:rsidR="005C2091" w:rsidRDefault="00A86293">
      <w:r>
        <w:t xml:space="preserve">U 2016. evidentiran je 3.721 korisnik jednokratne novčane pomoći. </w:t>
      </w:r>
    </w:p>
    <w:p w:rsidR="005C2091" w:rsidRDefault="00A86293">
      <w:r>
        <w:t xml:space="preserve">Osigurana sredstva za 2016. godinu iznose 5.822.000,00 kuna, a realizirano je 5.620.336 kuna odnosno 96,5%. </w:t>
      </w:r>
    </w:p>
    <w:p w:rsidR="005C2091" w:rsidRDefault="00A86293">
      <w:r>
        <w:t>19. travnja 2015. godine stupila je na snagu Uredba o izmjenama i dopunama Uredbe o unutarnjem ustrojstvu Ministarstva branitelja (NN 40/15) prema kojoj su poslovi vezani za ostvarivanje prava na jednokratnu novčanu pomoć u nadležnosti Uprave za pravne i stambene poslove.</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rezultata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 xml:space="preserve">Održavanje postojećeg udjela poništenih </w:t>
            </w:r>
          </w:p>
          <w:p w:rsidR="00B24D34" w:rsidRDefault="00B24D34">
            <w:pPr>
              <w:pStyle w:val="CellColumn"/>
              <w:jc w:val="left"/>
            </w:pPr>
            <w:r>
              <w:rPr>
                <w:rFonts w:cs="Times New Roman"/>
              </w:rPr>
              <w:t xml:space="preserve">prvostupanjskih rješenja o </w:t>
            </w:r>
          </w:p>
          <w:p w:rsidR="00B24D34" w:rsidRDefault="00B24D34">
            <w:pPr>
              <w:pStyle w:val="CellColumn"/>
              <w:jc w:val="left"/>
            </w:pPr>
            <w:r>
              <w:rPr>
                <w:rFonts w:cs="Times New Roman"/>
              </w:rPr>
              <w:t xml:space="preserve">priznavanju statusa i prava </w:t>
            </w:r>
          </w:p>
          <w:p w:rsidR="00B24D34" w:rsidRDefault="00B24D34">
            <w:pPr>
              <w:pStyle w:val="CellColumn"/>
              <w:jc w:val="left"/>
            </w:pPr>
            <w:r>
              <w:rPr>
                <w:rFonts w:cs="Times New Roman"/>
              </w:rPr>
              <w:t xml:space="preserve">hrvatskim braniteljima iz </w:t>
            </w:r>
          </w:p>
          <w:p w:rsidR="00B24D34" w:rsidRDefault="00B24D34">
            <w:pPr>
              <w:pStyle w:val="CellColumn"/>
              <w:jc w:val="left"/>
            </w:pPr>
            <w:r>
              <w:rPr>
                <w:rFonts w:cs="Times New Roman"/>
              </w:rPr>
              <w:t xml:space="preserve">Domovinskog rata i </w:t>
            </w:r>
          </w:p>
          <w:p w:rsidR="00B24D34" w:rsidRDefault="00B24D34">
            <w:pPr>
              <w:pStyle w:val="CellColumn"/>
              <w:jc w:val="left"/>
            </w:pPr>
            <w:r>
              <w:rPr>
                <w:rFonts w:cs="Times New Roman"/>
              </w:rPr>
              <w:t>članovima njihovih obitelji</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7</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7</w:t>
            </w:r>
          </w:p>
        </w:tc>
        <w:tc>
          <w:tcPr>
            <w:tcW w:w="1020" w:type="dxa"/>
          </w:tcPr>
          <w:p w:rsidR="00B24D34" w:rsidRDefault="00B24D34">
            <w:pPr>
              <w:pStyle w:val="CellColumn"/>
              <w:jc w:val="right"/>
            </w:pPr>
            <w:r>
              <w:rPr>
                <w:rFonts w:cs="Times New Roman"/>
              </w:rPr>
              <w:t>7</w:t>
            </w:r>
          </w:p>
        </w:tc>
      </w:tr>
    </w:tbl>
    <w:p w:rsidR="005C2091" w:rsidRDefault="005C2091">
      <w:pPr>
        <w:jc w:val="left"/>
      </w:pPr>
    </w:p>
    <w:p w:rsidR="005C2091" w:rsidRDefault="00A86293">
      <w:pPr>
        <w:pStyle w:val="Heading4"/>
      </w:pPr>
      <w:r>
        <w:t>A522029 ŽRTVE SEKSUALNOG NASILJA ZA VRIJEME ORUŽANE AGRESIJE NA RH U DOMOVINSKOM RATU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A522029-ŽRTVE SEKSUALNOG NASILJA ZA VRIJEME ORUŽANE AGRESIJE NA RH U DOMOVINSKOM RATU</w:t>
            </w:r>
          </w:p>
        </w:tc>
        <w:tc>
          <w:tcPr>
            <w:tcW w:w="2041" w:type="dxa"/>
          </w:tcPr>
          <w:p w:rsidR="005C2091" w:rsidRDefault="00A86293">
            <w:pPr>
              <w:pStyle w:val="CellColumn"/>
              <w:jc w:val="right"/>
            </w:pPr>
            <w:r>
              <w:rPr>
                <w:rFonts w:cs="Times New Roman"/>
              </w:rPr>
              <w:t>2.629.389</w:t>
            </w:r>
          </w:p>
        </w:tc>
        <w:tc>
          <w:tcPr>
            <w:tcW w:w="2041" w:type="dxa"/>
          </w:tcPr>
          <w:p w:rsidR="005C2091" w:rsidRDefault="00A86293">
            <w:pPr>
              <w:pStyle w:val="CellColumn"/>
              <w:jc w:val="right"/>
            </w:pPr>
            <w:r>
              <w:rPr>
                <w:rFonts w:cs="Times New Roman"/>
              </w:rPr>
              <w:t>10.086.500</w:t>
            </w:r>
          </w:p>
        </w:tc>
        <w:tc>
          <w:tcPr>
            <w:tcW w:w="2041" w:type="dxa"/>
          </w:tcPr>
          <w:p w:rsidR="005C2091" w:rsidRDefault="00A86293">
            <w:pPr>
              <w:pStyle w:val="CellColumn"/>
              <w:jc w:val="right"/>
            </w:pPr>
            <w:r>
              <w:rPr>
                <w:rFonts w:cs="Times New Roman"/>
              </w:rPr>
              <w:t>9.666.851</w:t>
            </w:r>
          </w:p>
        </w:tc>
        <w:tc>
          <w:tcPr>
            <w:tcW w:w="1224" w:type="dxa"/>
          </w:tcPr>
          <w:p w:rsidR="005C2091" w:rsidRDefault="00A86293">
            <w:pPr>
              <w:pStyle w:val="CellColumn"/>
              <w:jc w:val="right"/>
            </w:pPr>
            <w:r>
              <w:rPr>
                <w:rFonts w:cs="Times New Roman"/>
              </w:rPr>
              <w:t>95,8</w:t>
            </w:r>
          </w:p>
        </w:tc>
        <w:tc>
          <w:tcPr>
            <w:tcW w:w="1224" w:type="dxa"/>
          </w:tcPr>
          <w:p w:rsidR="005C2091" w:rsidRDefault="00A86293">
            <w:pPr>
              <w:pStyle w:val="CellColumn"/>
              <w:jc w:val="right"/>
            </w:pPr>
            <w:r>
              <w:rPr>
                <w:rFonts w:cs="Times New Roman"/>
              </w:rPr>
              <w:t>367,6</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 xml:space="preserve">- Zakon o pravima žrtava seksualnog nasilja za vrijeme oružane agresije na Republiku Hrvatsku u Domovinskom ratu (NN 64/15)  </w:t>
      </w:r>
    </w:p>
    <w:p w:rsidR="005C2091" w:rsidRDefault="00A86293">
      <w:r>
        <w:t xml:space="preserve">- Pravilnik o uvjetima i načinu ostvarivanja statusa i prava žrtve seksualnog nasilja u Domovinskom ratu (NN 97/15)  </w:t>
      </w:r>
    </w:p>
    <w:p w:rsidR="005C2091" w:rsidRDefault="00A86293">
      <w:r>
        <w:t>- Pravilnik o ustrojstvu i načinu rada Povjerenstva za žrtve seksualnog nasilja (NN 97/15)</w:t>
      </w:r>
    </w:p>
    <w:p w:rsidR="005C2091" w:rsidRDefault="00A86293">
      <w:pPr>
        <w:pStyle w:val="Heading8"/>
        <w:jc w:val="left"/>
      </w:pPr>
      <w:r>
        <w:t>Opis aktivnosti</w:t>
      </w:r>
    </w:p>
    <w:p w:rsidR="005C2091" w:rsidRDefault="00A86293">
      <w:r>
        <w:t xml:space="preserve">Zakon o pravima žrtava seksualnog nasilja za vrijeme oružane agresije na Republiku Hrvatsku u Domovinskom ratu omogućava žrtvama seksualnog nasilja iz Domovinskog rata sveobuhvatnu reparaciju i satisfakciju kroz pravo na psihosocijalnu pomoć, financijsku kompenzaciju (jednokratna i mjesečna novčana naknada), te zdravstvenu zaštitu (medicinska rehabilitacija, primarna zdravstvena pomoć i dopunsko osiguranje). Osim primarne skrbi za same žrtve seksualnog nasilja, Zakon omogućava psihosocijalno savjetovanje članovima njihove obitelji.   </w:t>
      </w:r>
    </w:p>
    <w:p w:rsidR="005C2091" w:rsidRDefault="00A86293">
      <w:r>
        <w:t xml:space="preserve">Dvije su vrste jednokratne novčane naknade: osnovna od 100.000,00 kn i povećana od 150.000,00 kn (teži oblici/posljedice seksualnog nasilja). Mjesečna novčana naknada iznosi 2.427,98 kn (73% proračunske osnovice). </w:t>
      </w:r>
    </w:p>
    <w:p w:rsidR="005C2091" w:rsidRDefault="00A86293">
      <w:r>
        <w:t xml:space="preserve">Osigurana sredstva u Državnom proračunu za 2016. godinu iznose 10.086.500,00 kuna, a na dan 31.12.2016. godine realizirano je 9.666.850,72 kune što predstavlja 95,84 % od ukupno osiguranih sredstava. </w:t>
      </w:r>
    </w:p>
    <w:p w:rsidR="005C2091" w:rsidRDefault="00A86293">
      <w:r>
        <w:t xml:space="preserve">Tijekom 2016. godine zaprimljeno je 75 zahtjeva za ostvarenje statusa i prava sukladno odredbama Zakona o pravima žrtava seksualnog nasilja u vrijeme oružane agresije na Republiku Hrvatsku u Domovinskom ratu, od čega je 27 zahtjeva riješeno pozitivno, 34 zahtjeva su odbijena, u 2 slučaja je postupak obustavljen, a za 12 postupak još nije okončan.  </w:t>
      </w:r>
    </w:p>
    <w:p w:rsidR="005C2091" w:rsidRDefault="00A86293">
      <w:r>
        <w:t>Zaključno s 31.12.2016. godine isplaćene su 73 jednokratne novčane naknade korisnicima prava, a za 64  korisnika prava osigurana je isplata mjesečne novčane naknade.</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rezultata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 xml:space="preserve">Povećanje udjela riješenih u odnosu na broj zaprimljenih </w:t>
            </w:r>
          </w:p>
          <w:p w:rsidR="00B24D34" w:rsidRDefault="00B24D34">
            <w:pPr>
              <w:pStyle w:val="CellColumn"/>
              <w:jc w:val="left"/>
            </w:pPr>
            <w:r>
              <w:rPr>
                <w:rFonts w:cs="Times New Roman"/>
              </w:rPr>
              <w:t>zahtjeva</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40</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90</w:t>
            </w:r>
          </w:p>
        </w:tc>
        <w:tc>
          <w:tcPr>
            <w:tcW w:w="1020" w:type="dxa"/>
          </w:tcPr>
          <w:p w:rsidR="00B24D34" w:rsidRDefault="00B24D34">
            <w:pPr>
              <w:pStyle w:val="CellColumn"/>
              <w:jc w:val="right"/>
            </w:pPr>
            <w:r>
              <w:rPr>
                <w:rFonts w:cs="Times New Roman"/>
              </w:rPr>
              <w:t>90</w:t>
            </w:r>
          </w:p>
        </w:tc>
      </w:tr>
    </w:tbl>
    <w:p w:rsidR="005C2091" w:rsidRDefault="005C2091">
      <w:pPr>
        <w:jc w:val="left"/>
      </w:pPr>
    </w:p>
    <w:p w:rsidR="005C2091" w:rsidRDefault="00A86293">
      <w:pPr>
        <w:pStyle w:val="Heading4"/>
      </w:pPr>
      <w:r>
        <w:t>A583008 CIVILNI INVALIDI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A583008-CIVILNI INVALIDI IZ DOMOVINSKOG RATA</w:t>
            </w:r>
          </w:p>
        </w:tc>
        <w:tc>
          <w:tcPr>
            <w:tcW w:w="2041" w:type="dxa"/>
          </w:tcPr>
          <w:p w:rsidR="005C2091" w:rsidRDefault="00A86293">
            <w:pPr>
              <w:pStyle w:val="CellColumn"/>
              <w:jc w:val="right"/>
            </w:pPr>
            <w:r>
              <w:rPr>
                <w:rFonts w:cs="Times New Roman"/>
              </w:rPr>
              <w:t>22.765.777</w:t>
            </w:r>
          </w:p>
        </w:tc>
        <w:tc>
          <w:tcPr>
            <w:tcW w:w="2041" w:type="dxa"/>
          </w:tcPr>
          <w:p w:rsidR="005C2091" w:rsidRDefault="00A86293">
            <w:pPr>
              <w:pStyle w:val="CellColumn"/>
              <w:jc w:val="right"/>
            </w:pPr>
            <w:r>
              <w:rPr>
                <w:rFonts w:cs="Times New Roman"/>
              </w:rPr>
              <w:t>22.200.000</w:t>
            </w:r>
          </w:p>
        </w:tc>
        <w:tc>
          <w:tcPr>
            <w:tcW w:w="2041" w:type="dxa"/>
          </w:tcPr>
          <w:p w:rsidR="005C2091" w:rsidRDefault="00A86293">
            <w:pPr>
              <w:pStyle w:val="CellColumn"/>
              <w:jc w:val="right"/>
            </w:pPr>
            <w:r>
              <w:rPr>
                <w:rFonts w:cs="Times New Roman"/>
              </w:rPr>
              <w:t>22.122.264</w:t>
            </w:r>
          </w:p>
        </w:tc>
        <w:tc>
          <w:tcPr>
            <w:tcW w:w="1224" w:type="dxa"/>
          </w:tcPr>
          <w:p w:rsidR="005C2091" w:rsidRDefault="00A86293">
            <w:pPr>
              <w:pStyle w:val="CellColumn"/>
              <w:jc w:val="right"/>
            </w:pPr>
            <w:r>
              <w:rPr>
                <w:rFonts w:cs="Times New Roman"/>
              </w:rPr>
              <w:t>99,6</w:t>
            </w:r>
          </w:p>
        </w:tc>
        <w:tc>
          <w:tcPr>
            <w:tcW w:w="1224" w:type="dxa"/>
          </w:tcPr>
          <w:p w:rsidR="005C2091" w:rsidRDefault="00A86293">
            <w:pPr>
              <w:pStyle w:val="CellColumn"/>
              <w:jc w:val="right"/>
            </w:pPr>
            <w:r>
              <w:rPr>
                <w:rFonts w:cs="Times New Roman"/>
              </w:rPr>
              <w:t>97,2</w:t>
            </w:r>
          </w:p>
        </w:tc>
      </w:tr>
    </w:tbl>
    <w:p w:rsidR="005C2091" w:rsidRDefault="005C2091">
      <w:pPr>
        <w:jc w:val="left"/>
      </w:pPr>
    </w:p>
    <w:p w:rsidR="005C2091" w:rsidRDefault="00A86293">
      <w:pPr>
        <w:pStyle w:val="Heading8"/>
        <w:jc w:val="left"/>
      </w:pPr>
      <w:r>
        <w:t>Zakonske i druge pravne osnove</w:t>
      </w:r>
    </w:p>
    <w:p w:rsidR="005C2091" w:rsidRDefault="00A86293">
      <w:r>
        <w:t>- Zakon o zaštiti vojnih i civilnih invalida rata ( NN, br. 33/92, 77/92, 58/93, 2/94, 76/94, 108/95, 82/01, 103/03 i 148/13 )</w:t>
      </w:r>
    </w:p>
    <w:p w:rsidR="005C2091" w:rsidRDefault="00A86293">
      <w:pPr>
        <w:pStyle w:val="Heading8"/>
        <w:jc w:val="left"/>
      </w:pPr>
      <w:r>
        <w:lastRenderedPageBreak/>
        <w:t>Opis aktivnosti</w:t>
      </w:r>
    </w:p>
    <w:p w:rsidR="005C2091" w:rsidRDefault="00A86293">
      <w:r>
        <w:t xml:space="preserve">U okviru programa “Socijalne pomoći i naknade sudionicima i žrtvama rata“  Državnim proračunom Republike Hrvatske u 2016. godini osigurano je za civilne invalide iz Domovinskog rata 22.200.000 kn. U 2016. godini program je realiziran s 99,6 %  odnosno u iznosu od  22.122.263,80 kn.   </w:t>
      </w:r>
    </w:p>
    <w:p w:rsidR="005C2091" w:rsidRDefault="00A86293">
      <w:r>
        <w:t xml:space="preserve">Sukladno odredbama Zakona o zaštiti vojnih i civilnih invalida rata ( NN, br. 33/92, 77/92, 58/93, 2/94, 76/94, 108/95, 82/01, 103/03 i 148/13 ) u okviru navedenoga programa  u 2016. godini izvršavali su se upravni i drugi stručni poslovi koji se odnose na zaštitu ratnih vojnih  i civilnih invalida Drugog svjetskog rata, civilnih invalida iz Domovinskog rata, mirnodopskih vojnih invalida, ratnih vojnih invalida stradalih u mirovnim misijama, sudionika rata i članova njihovih obitelji.  </w:t>
      </w:r>
    </w:p>
    <w:p w:rsidR="005C2091" w:rsidRDefault="00A86293">
      <w:r>
        <w:t>Korisnici su u 2016. godini ostvarivali su zaštitu na osnovi oštećenja organizma, gubitka člana obitelji i materijalnih potreba korisnika.</w:t>
      </w:r>
    </w:p>
    <w:p w:rsidR="00B24D34" w:rsidRDefault="00B24D34"/>
    <w:p w:rsidR="00B24D34" w:rsidRDefault="00B24D34"/>
    <w:p w:rsidR="00B24D34" w:rsidRDefault="00B24D34"/>
    <w:p w:rsidR="00B24D34" w:rsidRDefault="00B24D34"/>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rezultata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Povećanje udjela donesenih prvostupanjskih i drugostupanjskih rješenja o priznavanju statusa i prava stradalnicima rata u odnosu podneseni broj zahtjeva</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99</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100</w:t>
            </w:r>
          </w:p>
        </w:tc>
        <w:tc>
          <w:tcPr>
            <w:tcW w:w="1020" w:type="dxa"/>
          </w:tcPr>
          <w:p w:rsidR="00B24D34" w:rsidRDefault="00B24D34">
            <w:pPr>
              <w:pStyle w:val="CellColumn"/>
              <w:jc w:val="right"/>
            </w:pPr>
            <w:r>
              <w:rPr>
                <w:rFonts w:cs="Times New Roman"/>
              </w:rPr>
              <w:t>100</w:t>
            </w:r>
          </w:p>
        </w:tc>
      </w:tr>
    </w:tbl>
    <w:p w:rsidR="005C2091" w:rsidRDefault="005C2091">
      <w:pPr>
        <w:jc w:val="left"/>
      </w:pPr>
    </w:p>
    <w:p w:rsidR="005C2091" w:rsidRDefault="00A86293">
      <w:pPr>
        <w:pStyle w:val="Heading4"/>
      </w:pPr>
      <w:r>
        <w:t>A583009 SUDIONICI I ŽRTVE II. SVJETSKOG RATA I PORAĆA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A583009-SUDIONICI I ŽRTVE II. SVJETSKOG RATA I PORAĆA</w:t>
            </w:r>
          </w:p>
        </w:tc>
        <w:tc>
          <w:tcPr>
            <w:tcW w:w="2041" w:type="dxa"/>
          </w:tcPr>
          <w:p w:rsidR="005C2091" w:rsidRDefault="00A86293">
            <w:pPr>
              <w:pStyle w:val="CellColumn"/>
              <w:jc w:val="right"/>
            </w:pPr>
            <w:r>
              <w:rPr>
                <w:rFonts w:cs="Times New Roman"/>
              </w:rPr>
              <w:t>81.710.371</w:t>
            </w:r>
          </w:p>
        </w:tc>
        <w:tc>
          <w:tcPr>
            <w:tcW w:w="2041" w:type="dxa"/>
          </w:tcPr>
          <w:p w:rsidR="005C2091" w:rsidRDefault="00A86293">
            <w:pPr>
              <w:pStyle w:val="CellColumn"/>
              <w:jc w:val="right"/>
            </w:pPr>
            <w:r>
              <w:rPr>
                <w:rFonts w:cs="Times New Roman"/>
              </w:rPr>
              <w:t>74.002.500</w:t>
            </w:r>
          </w:p>
        </w:tc>
        <w:tc>
          <w:tcPr>
            <w:tcW w:w="2041" w:type="dxa"/>
          </w:tcPr>
          <w:p w:rsidR="005C2091" w:rsidRDefault="00A86293">
            <w:pPr>
              <w:pStyle w:val="CellColumn"/>
              <w:jc w:val="right"/>
            </w:pPr>
            <w:r>
              <w:rPr>
                <w:rFonts w:cs="Times New Roman"/>
              </w:rPr>
              <w:t>73.733.385</w:t>
            </w:r>
          </w:p>
        </w:tc>
        <w:tc>
          <w:tcPr>
            <w:tcW w:w="1224" w:type="dxa"/>
          </w:tcPr>
          <w:p w:rsidR="005C2091" w:rsidRDefault="00A86293">
            <w:pPr>
              <w:pStyle w:val="CellColumn"/>
              <w:jc w:val="right"/>
            </w:pPr>
            <w:r>
              <w:rPr>
                <w:rFonts w:cs="Times New Roman"/>
              </w:rPr>
              <w:t>99,6</w:t>
            </w:r>
          </w:p>
        </w:tc>
        <w:tc>
          <w:tcPr>
            <w:tcW w:w="1224" w:type="dxa"/>
          </w:tcPr>
          <w:p w:rsidR="005C2091" w:rsidRDefault="00A86293">
            <w:pPr>
              <w:pStyle w:val="CellColumn"/>
              <w:jc w:val="right"/>
            </w:pPr>
            <w:r>
              <w:rPr>
                <w:rFonts w:cs="Times New Roman"/>
              </w:rPr>
              <w:t>90,2</w:t>
            </w:r>
          </w:p>
        </w:tc>
      </w:tr>
    </w:tbl>
    <w:p w:rsidR="005C2091" w:rsidRDefault="005C2091">
      <w:pPr>
        <w:jc w:val="left"/>
      </w:pPr>
    </w:p>
    <w:p w:rsidR="005C2091" w:rsidRDefault="00A86293">
      <w:pPr>
        <w:pStyle w:val="Heading8"/>
        <w:jc w:val="left"/>
      </w:pPr>
      <w:r>
        <w:t>Zakonske i druge pravne osnove</w:t>
      </w:r>
    </w:p>
    <w:p w:rsidR="005C2091" w:rsidRDefault="00A86293">
      <w:r>
        <w:t>- Zakon o zaštiti vojnih i civilnih invalida rata ( NN, br. 33/92, 77/92, 58/93, 2/94, 76/94, 108/95, 82/01, 103/03 i 148/13 )</w:t>
      </w:r>
    </w:p>
    <w:p w:rsidR="005C2091" w:rsidRDefault="00A86293">
      <w:pPr>
        <w:pStyle w:val="Heading8"/>
        <w:jc w:val="left"/>
      </w:pPr>
      <w:r>
        <w:t>Opis aktivnosti</w:t>
      </w:r>
    </w:p>
    <w:p w:rsidR="005C2091" w:rsidRDefault="00A86293">
      <w:r>
        <w:t xml:space="preserve">U okviru programa “Socijalne pomoći i naknade sudionicima i žrtvama rata“  Državnim proračunom Republike Hrvatske u 2016. godini osigurano je za sudionike i žrtve Drugog svjetskog rata i poraća  74.002.500 kn. U 2016. godini program je realiziran s 99,6 %  odnosno u iznosu od  73.733.384,71 kn.   </w:t>
      </w:r>
    </w:p>
    <w:p w:rsidR="005C2091" w:rsidRDefault="00A86293">
      <w:r>
        <w:lastRenderedPageBreak/>
        <w:t xml:space="preserve">Sukladno odredbama Zakona o zaštiti vojnih i civilnih invalida rata ( NN, br. 33/92, 77/92, 58/93, 2/94, 76/94, 108/95, 82/01, 103/03 i 148/13 ) u okviru navedenoga programa  u 2016. godini izvršavali su se upravni i drugi stručni poslovi koji se odnose na zaštitu ratnih vojnih  i civilnih invalida Drugog svjetskog rata. </w:t>
      </w:r>
    </w:p>
    <w:p w:rsidR="005C2091" w:rsidRDefault="00A86293">
      <w:r>
        <w:t>Korisnici su u 2016. godini ostvarivali su zaštitu na osnovi oštećenja organizma, gubitka člana obitelji i materijalnih potreba korisnika.</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rezultata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Povećanje udjela donesenih prvostupanjskih i drugostupanjskih rješenja o priznavanju statusa i prava stradalnicima rata u odnosu podneseni broj zahtjeva</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99</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100</w:t>
            </w:r>
          </w:p>
        </w:tc>
        <w:tc>
          <w:tcPr>
            <w:tcW w:w="1020" w:type="dxa"/>
          </w:tcPr>
          <w:p w:rsidR="00B24D34" w:rsidRDefault="00B24D34">
            <w:pPr>
              <w:pStyle w:val="CellColumn"/>
              <w:jc w:val="right"/>
            </w:pPr>
            <w:r>
              <w:rPr>
                <w:rFonts w:cs="Times New Roman"/>
              </w:rPr>
              <w:t>100</w:t>
            </w:r>
          </w:p>
        </w:tc>
      </w:tr>
    </w:tbl>
    <w:p w:rsidR="005C2091" w:rsidRDefault="005C2091">
      <w:pPr>
        <w:jc w:val="left"/>
      </w:pPr>
    </w:p>
    <w:p w:rsidR="005C2091" w:rsidRDefault="00A86293">
      <w:pPr>
        <w:pStyle w:val="Heading4"/>
      </w:pPr>
      <w:r>
        <w:t>A753008 TRAJNA PRAVA (OSOBNA INVALIDNINA, OBITELJSKA INVALIDNINA, NAKNADE I DRUGO)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A753008-TRAJNA PRAVA (OSOBNA INVALIDNINA, OBITELJSKA INVALIDNINA, NAKNADE I DRUGO)</w:t>
            </w:r>
          </w:p>
        </w:tc>
        <w:tc>
          <w:tcPr>
            <w:tcW w:w="2041" w:type="dxa"/>
          </w:tcPr>
          <w:p w:rsidR="005C2091" w:rsidRDefault="00A86293">
            <w:pPr>
              <w:pStyle w:val="CellColumn"/>
              <w:jc w:val="right"/>
            </w:pPr>
            <w:r>
              <w:rPr>
                <w:rFonts w:cs="Times New Roman"/>
              </w:rPr>
              <w:t>588.980.574</w:t>
            </w:r>
          </w:p>
        </w:tc>
        <w:tc>
          <w:tcPr>
            <w:tcW w:w="2041" w:type="dxa"/>
          </w:tcPr>
          <w:p w:rsidR="005C2091" w:rsidRDefault="00A86293">
            <w:pPr>
              <w:pStyle w:val="CellColumn"/>
              <w:jc w:val="right"/>
            </w:pPr>
            <w:r>
              <w:rPr>
                <w:rFonts w:cs="Times New Roman"/>
              </w:rPr>
              <w:t>573.475.408</w:t>
            </w:r>
          </w:p>
        </w:tc>
        <w:tc>
          <w:tcPr>
            <w:tcW w:w="2041" w:type="dxa"/>
          </w:tcPr>
          <w:p w:rsidR="005C2091" w:rsidRDefault="00A86293">
            <w:pPr>
              <w:pStyle w:val="CellColumn"/>
              <w:jc w:val="right"/>
            </w:pPr>
            <w:r>
              <w:rPr>
                <w:rFonts w:cs="Times New Roman"/>
              </w:rPr>
              <w:t>573.342.384</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97,3</w:t>
            </w:r>
          </w:p>
        </w:tc>
      </w:tr>
    </w:tbl>
    <w:p w:rsidR="005C2091" w:rsidRDefault="005C2091">
      <w:pPr>
        <w:jc w:val="left"/>
      </w:pPr>
    </w:p>
    <w:p w:rsidR="005C2091" w:rsidRDefault="00A86293">
      <w:pPr>
        <w:pStyle w:val="Heading8"/>
        <w:jc w:val="left"/>
      </w:pPr>
      <w:r>
        <w:t>Zakonske i druge pravne osnove</w:t>
      </w:r>
    </w:p>
    <w:p w:rsidR="005C2091" w:rsidRDefault="00A86293">
      <w:r>
        <w:t>- Zakon o pravima hrvatskih branitelja iz Domovinskog rata i članova njihovih obitelji (NN 174/04, 92/05, 02/07, 107/07, 65/09, 137/09, 146/10, 55/11, 140/12, 33/13, 148/13 i 92/14)</w:t>
      </w:r>
    </w:p>
    <w:p w:rsidR="005C2091" w:rsidRDefault="00A86293">
      <w:pPr>
        <w:pStyle w:val="Heading8"/>
        <w:jc w:val="left"/>
      </w:pPr>
      <w:r>
        <w:t>Opis aktivnosti</w:t>
      </w:r>
    </w:p>
    <w:p w:rsidR="005C2091" w:rsidRDefault="00A86293">
      <w:r>
        <w:t xml:space="preserve">Osigurana sredstva u Državnom proračunu za 2016. godinu iznose  573.475.408,00 kuna, a na dan 31.12.2016. godine realizirano je 573.342.384,29 kuna, odnosno 99,98%.  </w:t>
      </w:r>
    </w:p>
    <w:p w:rsidR="005C2091" w:rsidRDefault="00A86293">
      <w:r>
        <w:t xml:space="preserve">Program je realiziran u granicama očekivanog i planiranog. </w:t>
      </w:r>
    </w:p>
    <w:p w:rsidR="005C2091" w:rsidRDefault="00A86293">
      <w:r>
        <w:t xml:space="preserve">Najveći dio sredstava osiguranih za navedenu aktivnost odnosi se na naknade građanima i kućanstvima u novcu za što je osigurano 573.265.408,00 kuna, a na dan 31.12.2016. godine realizirano je 573.156.479,91 kuna ili 99,98%. </w:t>
      </w:r>
    </w:p>
    <w:p w:rsidR="005C2091" w:rsidRDefault="00A86293">
      <w:r>
        <w:t xml:space="preserve">Na dan 31.12.2016. evidentirano je 56.908 korisnika osobne invalidnine s osnova priznatog statusa HRVI, 832 korisnika prava na doplatak za njegu i pomoć druge osobe, 1.932 korisnika ortopedskog doplatka, 524 korisnika posebnog doplatka.  </w:t>
      </w:r>
    </w:p>
    <w:p w:rsidR="005C2091" w:rsidRDefault="00A86293">
      <w:r>
        <w:t xml:space="preserve">Korisnika obiteljske invalidnine, povećane obiteljske invalidnine i uvećane obiteljske  invalidnine iza smrtno stradalog hrvatskog branitelja ukupno na dan 31.12.2016. godine bilo je 10.848, a korisnika novčane naknade obiteljske invalidnine s osnova zatočenja/nestanka člana obitelji  ukupno 192. </w:t>
      </w:r>
    </w:p>
    <w:p w:rsidR="005C2091" w:rsidRDefault="00A86293">
      <w:r>
        <w:t xml:space="preserve">Na dan 31. prosinca 2016. godine evidentirano je 31 korisnik doplatka za pripomoć u kući. </w:t>
      </w:r>
    </w:p>
    <w:p w:rsidR="005C2091" w:rsidRDefault="00A86293">
      <w:r>
        <w:lastRenderedPageBreak/>
        <w:t xml:space="preserve">Na dan 31.12.2016. godine evidentirano je 825 korisnika osobne invalidnine s osnova priznatog statusa  mirnodopskog vojnog invalida, 25 korisnika osobne invalidnine, stradalih pirotehničara. </w:t>
      </w:r>
    </w:p>
    <w:p w:rsidR="005C2091" w:rsidRDefault="00A86293">
      <w:r>
        <w:t xml:space="preserve">Korisnika  obiteljske invalidne s osnova smrtnog stradavanja pirotehničara na dan 31.12. 2016. godine evidentirano je 76. </w:t>
      </w:r>
    </w:p>
    <w:p w:rsidR="005C2091" w:rsidRDefault="00A86293">
      <w:r>
        <w:t>U 2016. godini isplaćeno je 12 opskrbnina po okončanju postupaka i sporova iz prethodnih godina u ukupnom iznosu od 113.147,00 kuna.</w:t>
      </w:r>
    </w:p>
    <w:p w:rsidR="00B24D34" w:rsidRDefault="00B24D34"/>
    <w:p w:rsidR="00B24D34" w:rsidRDefault="00B24D34"/>
    <w:p w:rsidR="00B24D34" w:rsidRDefault="00B24D34"/>
    <w:p w:rsidR="00B24D34" w:rsidRDefault="00B24D34"/>
    <w:p w:rsidR="00B24D34" w:rsidRDefault="00B24D34"/>
    <w:p w:rsidR="00B24D34" w:rsidRDefault="00B24D34"/>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rezultata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 xml:space="preserve">Održavanje postojećeg udjela poništenih </w:t>
            </w:r>
          </w:p>
          <w:p w:rsidR="00B24D34" w:rsidRDefault="00B24D34">
            <w:pPr>
              <w:pStyle w:val="CellColumn"/>
              <w:jc w:val="left"/>
            </w:pPr>
            <w:r>
              <w:rPr>
                <w:rFonts w:cs="Times New Roman"/>
              </w:rPr>
              <w:t xml:space="preserve">prvostupanjskih rješenja o </w:t>
            </w:r>
          </w:p>
          <w:p w:rsidR="00B24D34" w:rsidRDefault="00B24D34">
            <w:pPr>
              <w:pStyle w:val="CellColumn"/>
              <w:jc w:val="left"/>
            </w:pPr>
            <w:r>
              <w:rPr>
                <w:rFonts w:cs="Times New Roman"/>
              </w:rPr>
              <w:t xml:space="preserve">priznavanju statusa i prava </w:t>
            </w:r>
          </w:p>
          <w:p w:rsidR="00B24D34" w:rsidRDefault="00B24D34">
            <w:pPr>
              <w:pStyle w:val="CellColumn"/>
              <w:jc w:val="left"/>
            </w:pPr>
            <w:r>
              <w:rPr>
                <w:rFonts w:cs="Times New Roman"/>
              </w:rPr>
              <w:t xml:space="preserve">hrvatskim braniteljima iz </w:t>
            </w:r>
          </w:p>
          <w:p w:rsidR="00B24D34" w:rsidRDefault="00B24D34">
            <w:pPr>
              <w:pStyle w:val="CellColumn"/>
              <w:jc w:val="left"/>
            </w:pPr>
            <w:r>
              <w:rPr>
                <w:rFonts w:cs="Times New Roman"/>
              </w:rPr>
              <w:t xml:space="preserve">Domovinskog rata i </w:t>
            </w:r>
          </w:p>
          <w:p w:rsidR="00B24D34" w:rsidRDefault="00B24D34">
            <w:pPr>
              <w:pStyle w:val="CellColumn"/>
              <w:jc w:val="left"/>
            </w:pPr>
            <w:r>
              <w:rPr>
                <w:rFonts w:cs="Times New Roman"/>
              </w:rPr>
              <w:t>članovima njihovih obitelji</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7</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7</w:t>
            </w:r>
          </w:p>
        </w:tc>
        <w:tc>
          <w:tcPr>
            <w:tcW w:w="1020" w:type="dxa"/>
          </w:tcPr>
          <w:p w:rsidR="00B24D34" w:rsidRDefault="00B24D34">
            <w:pPr>
              <w:pStyle w:val="CellColumn"/>
              <w:jc w:val="right"/>
            </w:pPr>
            <w:r>
              <w:rPr>
                <w:rFonts w:cs="Times New Roman"/>
              </w:rPr>
              <w:t>7</w:t>
            </w:r>
          </w:p>
        </w:tc>
      </w:tr>
    </w:tbl>
    <w:p w:rsidR="005C2091" w:rsidRDefault="005C2091">
      <w:pPr>
        <w:jc w:val="left"/>
      </w:pPr>
    </w:p>
    <w:p w:rsidR="005C2091" w:rsidRDefault="00A86293">
      <w:pPr>
        <w:pStyle w:val="Heading3"/>
      </w:pPr>
      <w:r>
        <w:rPr>
          <w:rFonts w:cs="Times New Roman"/>
        </w:rPr>
        <w:t>4015 STAMBENO ZBRINJAVANJE HRVI I ČLANOVA NJIHOVIH OBITELJI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4015-STAMBENO ZBRINJAVANJE HRVI I ČLANOVA NJIHOVIH OBITELJI</w:t>
            </w:r>
          </w:p>
        </w:tc>
        <w:tc>
          <w:tcPr>
            <w:tcW w:w="2041" w:type="dxa"/>
          </w:tcPr>
          <w:p w:rsidR="005C2091" w:rsidRDefault="00A86293">
            <w:pPr>
              <w:pStyle w:val="CellColumn"/>
              <w:jc w:val="right"/>
            </w:pPr>
            <w:r>
              <w:rPr>
                <w:rFonts w:cs="Times New Roman"/>
              </w:rPr>
              <w:t>41.767.012</w:t>
            </w:r>
          </w:p>
        </w:tc>
        <w:tc>
          <w:tcPr>
            <w:tcW w:w="2041" w:type="dxa"/>
          </w:tcPr>
          <w:p w:rsidR="005C2091" w:rsidRDefault="00A86293">
            <w:pPr>
              <w:pStyle w:val="CellColumn"/>
              <w:jc w:val="right"/>
            </w:pPr>
            <w:r>
              <w:rPr>
                <w:rFonts w:cs="Times New Roman"/>
              </w:rPr>
              <w:t>48.875.000</w:t>
            </w:r>
          </w:p>
        </w:tc>
        <w:tc>
          <w:tcPr>
            <w:tcW w:w="2041" w:type="dxa"/>
          </w:tcPr>
          <w:p w:rsidR="005C2091" w:rsidRDefault="00A86293">
            <w:pPr>
              <w:pStyle w:val="CellColumn"/>
              <w:jc w:val="right"/>
            </w:pPr>
            <w:r>
              <w:rPr>
                <w:rFonts w:cs="Times New Roman"/>
              </w:rPr>
              <w:t>54.673.397</w:t>
            </w:r>
          </w:p>
        </w:tc>
        <w:tc>
          <w:tcPr>
            <w:tcW w:w="1224" w:type="dxa"/>
          </w:tcPr>
          <w:p w:rsidR="005C2091" w:rsidRDefault="00A86293">
            <w:pPr>
              <w:pStyle w:val="CellColumn"/>
              <w:jc w:val="right"/>
            </w:pPr>
            <w:r>
              <w:rPr>
                <w:rFonts w:cs="Times New Roman"/>
              </w:rPr>
              <w:t>111,9</w:t>
            </w:r>
          </w:p>
        </w:tc>
        <w:tc>
          <w:tcPr>
            <w:tcW w:w="1224" w:type="dxa"/>
          </w:tcPr>
          <w:p w:rsidR="005C2091" w:rsidRDefault="00A86293">
            <w:pPr>
              <w:pStyle w:val="CellColumn"/>
              <w:jc w:val="right"/>
            </w:pPr>
            <w:r>
              <w:rPr>
                <w:rFonts w:cs="Times New Roman"/>
              </w:rPr>
              <w:t>130,9</w:t>
            </w:r>
          </w:p>
        </w:tc>
      </w:tr>
    </w:tbl>
    <w:p w:rsidR="005C2091" w:rsidRDefault="005C2091">
      <w:pPr>
        <w:jc w:val="left"/>
      </w:pPr>
    </w:p>
    <w:p w:rsidR="005C2091" w:rsidRDefault="00A86293">
      <w:r>
        <w:t xml:space="preserve">Programom stambenog zbrinjavanja HRVI i članova njihovih obitelji osiguravaju se sredstva za stambeno zbrinjavanje hrvatskih ratnih vojnih invalida iz Domovinskog rata, članova obitelji smrtno stradaloga, nestaloga ili zatočenoga hrvatskog branitelja iz Domovinskog rata, te dragovoljaca iz Domovinskog rata koji su pripadnici borbenog sektora, a nemaju priznat status HRVI iz Domovinskog rata, a u obrani suvereniteta Republike Hrvatske sudjelovali su najmanje dvije godine (dragovoljaca samo kod dodjele financijske potpore).   </w:t>
      </w:r>
    </w:p>
    <w:p w:rsidR="005C2091" w:rsidRDefault="00A86293">
      <w:r>
        <w:t xml:space="preserve">U svrhu ostvarenja programa 4015 – Stambeno zbrinjavanje HRVI i članova njihovih obitelji u proračunu Ministarstva hrvatskih branitelja planirano je 48.875.000,00 kuna. U izvještajnom razdoblju (siječanj – prosinac </w:t>
      </w:r>
      <w:r>
        <w:lastRenderedPageBreak/>
        <w:t>2016.) plan je izvršen u iznosu od 54.673.397,38 kuna, odnosno indeks izvršenja iznosi 111,86%. U izvještajnom razdoblju izvršeno je više nego što je planirano jer je Ministarstvo hrvatskih branitelja na izvoru financiranja 81 – namjenski primici od zaduživanja prenijelo iz 2015. godine iznos od 22.811.772,16 kuna.</w:t>
      </w:r>
    </w:p>
    <w:p w:rsidR="005C2091" w:rsidRDefault="00A86293">
      <w:pPr>
        <w:pStyle w:val="Heading8"/>
        <w:jc w:val="left"/>
      </w:pPr>
      <w:r>
        <w:t>Cilj 1. Stambeno zbrinjavanje članova obitelji smrtno stradaloga, nestaloga ili zatočenoga hrvatskog branitelja iz Domovinskog rata, HRVI iz Domovinskog rata i članova uže obitelji umrloga HRVI</w:t>
      </w:r>
    </w:p>
    <w:p w:rsidR="005C2091" w:rsidRDefault="00A86293">
      <w:pPr>
        <w:pStyle w:val="Heading8"/>
        <w:jc w:val="left"/>
      </w:pPr>
      <w:r>
        <w:t>Opis provedbe cilja programa</w:t>
      </w:r>
    </w:p>
    <w:p w:rsidR="005C2091" w:rsidRDefault="00A86293">
      <w:r>
        <w:t xml:space="preserve">Ministarstvo provodi program stambenog zbrinjavanja stradalnika Domovinskog rata izgradnjom stanova na građevinskom zemljištu kojeg osigurava jedinica lokalne samouprave koja je isto dužna i komunalno opremiti, a stanovi se grade putem Agencije za pravni promet i posredovanje nekretninama. Financijska sredstva za izgradnju stanova osigurava Ministarstvo hrvatskih branitelja (kroz otplatu do sada dodijeljenih stanova i kredita), te Ministarstvo provodi skraćeni upravni postupak utvrđivanja prava stradalnika iz Domovinskog rata koji su podnijeli zahtjeve za dodjelu stambenog kredita za kupnju stana ili kuće, a sukladno važećoj Listi prvenstva koja se objavljuje i primjenjuje od mjeseca ožujka svake kalendarske godine.  </w:t>
      </w:r>
    </w:p>
    <w:p w:rsidR="005C2091" w:rsidRDefault="00A86293">
      <w:r>
        <w:t xml:space="preserve">Ministarstvo dodjeljuje financijske potpore za kupnju prve nekretnine na tržištu za dragovoljce iz Domovinskog rata koji nemaju ostvaren status HRVI iz Domovinskog rata, a koji su u obrani suvereniteta Republike Hrvatske sudjelovali najmanje dvije godine u borbenom sektoru. Institut financijske potpore uveden je Izmjenama i dopunama Zakona o pravima hrvatskih branitelja iz Domovinskog rata i članova njihovih obitelji (''Narodne novine'', broj: 148/13.) te je time prvi puta prošireno pravo na stambeno zbrinjavanje na kategoriju hrvatskih branitelja koji nemaju stradalnički status.  </w:t>
      </w:r>
    </w:p>
    <w:p w:rsidR="005C2091" w:rsidRDefault="00A86293">
      <w:r>
        <w:t xml:space="preserve">Ministarstvo gospodari stambenim jedinicama u vlasništvu Republike Hrvatske koje su dane na upravljanje Ministarstvu i to kroz dodjelu istih u najam sa zaštićenom najamninom ili najam sa slobodno ugovorenom najamninom. Stanovi koje korisnici vrate Ministarstvu hrvatskih branitelja uređuju se i dodijeljuju novom korisniku u što kraćem roku, a sukladno važećoj Listi prvenstva. </w:t>
      </w:r>
    </w:p>
    <w:p w:rsidR="005C2091" w:rsidRDefault="00A86293">
      <w:r>
        <w:t>HRVI koji nisu sposobni za kretanje bez invalidskih kolica ili drugih ortopedskih pomagala te slijepima HRVI, osigurava se pravo na prilagodbu prilaza do zgrade i prilagodbu stana za kretanje pomoću kolica i drugih ortopedskih pomagala, ukoliko isto zatraže i ukoliko se utvrdi da na isto imaju pravo.</w:t>
      </w:r>
    </w:p>
    <w:p w:rsidR="005C2091" w:rsidRDefault="00A86293">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učinka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Udio riješenih zahtjeva za stambeno zbrinjavanje stradalnika iz Domovinskog rata u odnosu na ukupan broj stradalnika na važećoj Listi prvenstva</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7</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7</w:t>
            </w:r>
          </w:p>
        </w:tc>
        <w:tc>
          <w:tcPr>
            <w:tcW w:w="1020" w:type="dxa"/>
          </w:tcPr>
          <w:p w:rsidR="00B24D34" w:rsidRDefault="00B24D34">
            <w:pPr>
              <w:pStyle w:val="CellColumn"/>
              <w:jc w:val="right"/>
            </w:pPr>
            <w:r>
              <w:rPr>
                <w:rFonts w:cs="Times New Roman"/>
              </w:rPr>
              <w:t>7</w:t>
            </w:r>
          </w:p>
        </w:tc>
      </w:tr>
    </w:tbl>
    <w:p w:rsidR="005C2091" w:rsidRDefault="005C2091">
      <w:pPr>
        <w:jc w:val="left"/>
      </w:pPr>
    </w:p>
    <w:p w:rsidR="005C2091" w:rsidRDefault="00A86293">
      <w:pPr>
        <w:pStyle w:val="Heading4"/>
      </w:pPr>
      <w:r>
        <w:t>A522022 STAMBENO ZBRINJAVANJE INVALIDA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A522022-STAMBENO ZBRINJAVANJE INVALIDA IZ DOMOVINSKOG RATA</w:t>
            </w:r>
          </w:p>
        </w:tc>
        <w:tc>
          <w:tcPr>
            <w:tcW w:w="2041" w:type="dxa"/>
          </w:tcPr>
          <w:p w:rsidR="005C2091" w:rsidRDefault="00A86293">
            <w:pPr>
              <w:pStyle w:val="CellColumn"/>
              <w:jc w:val="right"/>
            </w:pPr>
            <w:r>
              <w:rPr>
                <w:rFonts w:cs="Times New Roman"/>
              </w:rPr>
              <w:t>41.767.012</w:t>
            </w:r>
          </w:p>
        </w:tc>
        <w:tc>
          <w:tcPr>
            <w:tcW w:w="2041" w:type="dxa"/>
          </w:tcPr>
          <w:p w:rsidR="005C2091" w:rsidRDefault="00A86293">
            <w:pPr>
              <w:pStyle w:val="CellColumn"/>
              <w:jc w:val="right"/>
            </w:pPr>
            <w:r>
              <w:rPr>
                <w:rFonts w:cs="Times New Roman"/>
              </w:rPr>
              <w:t>48.725.000</w:t>
            </w:r>
          </w:p>
        </w:tc>
        <w:tc>
          <w:tcPr>
            <w:tcW w:w="2041" w:type="dxa"/>
          </w:tcPr>
          <w:p w:rsidR="005C2091" w:rsidRDefault="00A86293">
            <w:pPr>
              <w:pStyle w:val="CellColumn"/>
              <w:jc w:val="right"/>
            </w:pPr>
            <w:r>
              <w:rPr>
                <w:rFonts w:cs="Times New Roman"/>
              </w:rPr>
              <w:t>54.589.823</w:t>
            </w:r>
          </w:p>
        </w:tc>
        <w:tc>
          <w:tcPr>
            <w:tcW w:w="1224" w:type="dxa"/>
          </w:tcPr>
          <w:p w:rsidR="005C2091" w:rsidRDefault="00A86293">
            <w:pPr>
              <w:pStyle w:val="CellColumn"/>
              <w:jc w:val="right"/>
            </w:pPr>
            <w:r>
              <w:rPr>
                <w:rFonts w:cs="Times New Roman"/>
              </w:rPr>
              <w:t>112,0</w:t>
            </w:r>
          </w:p>
        </w:tc>
        <w:tc>
          <w:tcPr>
            <w:tcW w:w="1224" w:type="dxa"/>
          </w:tcPr>
          <w:p w:rsidR="005C2091" w:rsidRDefault="00A86293">
            <w:pPr>
              <w:pStyle w:val="CellColumn"/>
              <w:jc w:val="right"/>
            </w:pPr>
            <w:r>
              <w:rPr>
                <w:rFonts w:cs="Times New Roman"/>
              </w:rPr>
              <w:t>130,7</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 xml:space="preserve">- Zakon o pravima hrvatskih branitelja iz Domovinskog rata i članova njihovih obitelji (''Narodne novine'', broj: 174/04., 92,05., 2/07., 107/07., 65/09., 137/09., 146/10., 55/11., 140/12., 19/13., 33/13., 148/13. i 92/14.) </w:t>
      </w:r>
    </w:p>
    <w:p w:rsidR="005C2091" w:rsidRDefault="00A86293">
      <w:r>
        <w:t xml:space="preserve">- Uredba o stambenom zbrinjavanju članova obitelji smrtno stradaloga, zatočenoga ili nestaloga hrvatskog branitelja iz Domovinskog rata, hrvatskih ratnih vojnih invalida iz Domovinskog rata i dragovoljaca iz Domovinskog rata (''Narodne novine'', broj: 78/13) </w:t>
      </w:r>
    </w:p>
    <w:p w:rsidR="005C2091" w:rsidRDefault="00A86293">
      <w:r>
        <w:t>- Pravilnik o dodjeli stambenog kredita članovima obitelji smrtno stradaloga, zatočenoga ili nestaloga hrvatskog branitelja iz Domovinskog rata i HRVI iz Domovinskog rata (''Narodne novine'', broj: 134/13.)</w:t>
      </w:r>
    </w:p>
    <w:p w:rsidR="005C2091" w:rsidRDefault="00A86293">
      <w:pPr>
        <w:pStyle w:val="Heading8"/>
        <w:jc w:val="left"/>
      </w:pPr>
      <w:r>
        <w:t>Opis aktivnosti</w:t>
      </w:r>
    </w:p>
    <w:p w:rsidR="005C2091" w:rsidRDefault="00A86293">
      <w:r>
        <w:t xml:space="preserve">Na poziciji 3223 - energija osigurana su sredstva u iznosu od 220.000,00 kuna, a utrošeno je 136.335,90 kn odnosno 61,97%. Navedenim sredstvima plaća se potrošnja električne energije, plina, toplinske energije, paušali i sl. za stanove koji su na upravljanju Ministarstva hrvatskih branitelja, a nisu dodijeljeni korisnicima. Na dan 01.01.2016. godine Ministarstvo je imalo na upravljanju 159 praznih stanova, na dan 31.12.2016. godine imalo je na upravljanju 108 praznih stanova. Do većeg broja praznih stanova došlo je jer Ministarstvo od drugih tijela državne uprave u 2016. godini preuzelo veći broj praznih stanova koji su preuzeti Odlukom Vlade ili Sporazumima s državnim tijelima. Ostali stanovi su stanovi na upravljanju Ministarstva hrvatskih branitelja koji su vraćeni u posjed Ministarstva hrvatskih branitelja od ranijih korisnika. Dio praznih stanova dodijeljen je novim korisnicima no većinom se radi o stanovima koji su derutni i nije ih moguće odmah dodijeliti novim korisnicima već moraju biti sanirani. Za to vrijeme Ministarstvo snosi troškove potrošnje/paušala električne i toplinske energije, plina i sl. Isto tako, Ministarstvo podmiruje dugove nastale za potrošnju električne energije za prazne i vraćene stanove. </w:t>
      </w:r>
    </w:p>
    <w:p w:rsidR="005C2091" w:rsidRDefault="00A86293">
      <w:r>
        <w:t xml:space="preserve">Na poziciji 3232 - usluge tekućeg i investicijskog održavanja osigurana su sredstva u iznosu od 1.000.000,00 kuna, a utrošeno je 999.839,58 kuna odnosno 99,98%. Na poziciji 3232  - usluge tekućeg i investicijskog održavanja (izvor 81) utrošeno je 4.775.769,39 kuna. Plaćene su usluge tekućeg i investicijskog održavanja stanova i sanacije stanova koji su preuzeti od drugih tijela kao i stanova koje su raniji korisnici vratili Ministarstvu. Plaćene su sanacije za 57 stanova (7 stanova u Zagrebu, 8 Osijek, 1 Bregana, 1 Buševac, 1 Jastrebarsko, 2 Križevci, 1 Koprivnica, 1 Krapina, 1 Otočac, 5 Vinkovci, 1 Novska, 7 Karlovac, 1 Slatina, 2 Lipik, 3 Pula, 1 Pazin, 2 Šibenik, 1 Zadar, 3 Slavonski Brod, 2 Sisak, 2 Gospić, 1 Ogulin, 3 Ploče). Također, s ove pozicije plaća se izrada troškovnika i troškovi nadzora. </w:t>
      </w:r>
    </w:p>
    <w:p w:rsidR="005C2091" w:rsidRDefault="00A86293">
      <w:r>
        <w:t xml:space="preserve">Na poziciji 3234 - komunalne usluge osigurana su sredstva u iznosu od 900.000,00 kuna, a utrošeno je 959.046,38 kuna, odnosno 106,56% čime su plaćeni troškovi zajedničke pričuve za prazne stanove i stanove u najmu. Također, s ove pozicije plaća se komunalna naknada i voda za prazne stanove. Na dan 01.01.2016. godine bilo je u najmu 410 stanova i 46 garaža, a na dan 31.12.2016. godine u najmu je bilo 420 stanova i 46 garaža za koje je Ministarstvo hrvatskih branitelja dužno plaćati pričuvu, potrošnju vode te komunalne usluge. Dio korisnika koji je bio u najmu zaključio je ugovor o kupoprodaji stana ili ugovor o stambenom kreditu s Hrvatskom poštanskom bankom odnosno ugovor o kupoprodaji stana s pridržanim pravom vlasništva, čime prestaje obveza Ministarstva za plaćanje pričuve. Zbog toga što neki od korisnika koji su u obvezi plaćanja pričuve istu ne plaćaju, za plaćanje pričuve terećeno je Ministarstvo hrvatskih branitelja i to sukladno Zakonu o vlasništvu i drugim stvarnim pravima i presudama Općinskih sudova. Kako bi izbjegli troškove ovršnog postupka, Ministarstvo je i za te stanove platilo pričuvu, a od korisnika stanova tražimo regresno plaćanje/vraćanje troškova pričuve.  </w:t>
      </w:r>
    </w:p>
    <w:p w:rsidR="005C2091" w:rsidRDefault="00A86293">
      <w:r>
        <w:t xml:space="preserve">Na poziciji 3239 - ostale usluge osigurano je 950.000,00 kuna, a na dan 31.12.2016. godine utrošeno je 615.918,62 kn odnosno 64,83%. Isto se odnosi na plaćanje ugradnje razdjelnika u stanove koji su dani u najam, a čija se ugradnja ne plaća iz sredstava zajedničke pričuve. Plaća se i izrada energetskih certifikata. Dana 18.01.2016. (privremeno financiranje) i dana 22.04.2016. godine zaključeni su Ugovori o pružanju usluga obavljanja energetskih pregleda i izdavanja energetskih certifikata temeljem kojih je plaćeno 574.871,26 kn. Isto tako s ove pozicije plaćeno je 41.047,36 kuna za usluge izdavanja elektroenergetske suglasnosti te pregled električnih instalacija za stanove u kojima je električna energija bila isključena, većinom u stanovima koji su preuzeti od Ministarstva obrane i Državnog ureda za upravljanje državnom imovinom.  </w:t>
      </w:r>
    </w:p>
    <w:p w:rsidR="005C2091" w:rsidRDefault="00A86293">
      <w:r>
        <w:t xml:space="preserve">Na poziciji 3431 – Bankarske usluge i usluge platnog prometa osigurano je 650.000,00 kuna, a utrošeno je 601.416,31 kuna odnosno 92,53%. Radi se o plaćanju troškova za bankarske usluge kod plaćanja stambenih kredita. </w:t>
      </w:r>
    </w:p>
    <w:p w:rsidR="005C2091" w:rsidRDefault="00A86293">
      <w:r>
        <w:t xml:space="preserve">Na pozicijama 3721 i 5121 (izvori 71 i 81) – iz 2015. godine ukupno je preneseno uplaćenih, a neutrošenih sredstava u iznosu od 22.811.772,16 kuna. Na navedenoj poziciji u 2016. godini planirano je 40.000.000,00 kuna. </w:t>
      </w:r>
      <w:r>
        <w:lastRenderedPageBreak/>
        <w:t>Do 31.12.2016. godine s izvora 81 utrošeno je 35.004.533,12 kuna, dok je na izvoru 71 utrošeno 11.496.963,72 kune. Realizirana su 228 stambena kredita i to za sljedeće namjene: kupnja stana u vlastitoj organizaciji 36, izgradnja kuće 6, razlika u površini 14, nastavak izgradnje i dovršenje kuće 44, poboljšanje uvjeta stanovanja 82, te 46 kredita za kupnju stanova u organiziranoj stambenoj izgradnji.</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rezultata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Povećanje omjera riješenih zahtjeva u odnosnu na broj podnesenih zahtjeva za dodjelu kredita</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5,2</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6</w:t>
            </w:r>
          </w:p>
        </w:tc>
        <w:tc>
          <w:tcPr>
            <w:tcW w:w="1020" w:type="dxa"/>
          </w:tcPr>
          <w:p w:rsidR="00B24D34" w:rsidRDefault="00B24D34">
            <w:pPr>
              <w:pStyle w:val="CellColumn"/>
              <w:jc w:val="right"/>
            </w:pPr>
            <w:r>
              <w:rPr>
                <w:rFonts w:cs="Times New Roman"/>
              </w:rPr>
              <w:t>5</w:t>
            </w:r>
          </w:p>
        </w:tc>
      </w:tr>
      <w:tr w:rsidR="00B24D34" w:rsidTr="00B24D34">
        <w:trPr>
          <w:jc w:val="center"/>
        </w:trPr>
        <w:tc>
          <w:tcPr>
            <w:tcW w:w="2553" w:type="dxa"/>
          </w:tcPr>
          <w:p w:rsidR="00B24D34" w:rsidRDefault="00B24D34">
            <w:pPr>
              <w:pStyle w:val="CellColumn"/>
              <w:jc w:val="left"/>
            </w:pPr>
            <w:r>
              <w:rPr>
                <w:rFonts w:cs="Times New Roman"/>
              </w:rPr>
              <w:t>Povećanje omjera prodanih stanova u odnosu na ukupan broj stanova u fondu Ministarstva</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2,33</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4</w:t>
            </w:r>
          </w:p>
        </w:tc>
        <w:tc>
          <w:tcPr>
            <w:tcW w:w="1020" w:type="dxa"/>
          </w:tcPr>
          <w:p w:rsidR="00B24D34" w:rsidRDefault="00B24D34">
            <w:pPr>
              <w:pStyle w:val="CellColumn"/>
              <w:jc w:val="right"/>
            </w:pPr>
            <w:r>
              <w:rPr>
                <w:rFonts w:cs="Times New Roman"/>
              </w:rPr>
              <w:t>4</w:t>
            </w:r>
          </w:p>
        </w:tc>
      </w:tr>
    </w:tbl>
    <w:p w:rsidR="005C2091" w:rsidRDefault="005C2091">
      <w:pPr>
        <w:jc w:val="left"/>
      </w:pPr>
    </w:p>
    <w:p w:rsidR="005C2091" w:rsidRDefault="00A86293">
      <w:pPr>
        <w:pStyle w:val="Heading4"/>
      </w:pPr>
      <w:r>
        <w:t>A753028 PRILAGODBA OBJEKATA ZA KRETANJE NAJTEŽIH HRVI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A753028-PRILAGODBA OBJEKATA ZA KRETANJE NAJTEŽIH HRVI</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150.000</w:t>
            </w:r>
          </w:p>
        </w:tc>
        <w:tc>
          <w:tcPr>
            <w:tcW w:w="2041" w:type="dxa"/>
          </w:tcPr>
          <w:p w:rsidR="005C2091" w:rsidRDefault="00A86293">
            <w:pPr>
              <w:pStyle w:val="CellColumn"/>
              <w:jc w:val="right"/>
            </w:pPr>
            <w:r>
              <w:rPr>
                <w:rFonts w:cs="Times New Roman"/>
              </w:rPr>
              <w:t>83.574</w:t>
            </w:r>
          </w:p>
        </w:tc>
        <w:tc>
          <w:tcPr>
            <w:tcW w:w="1224" w:type="dxa"/>
          </w:tcPr>
          <w:p w:rsidR="005C2091" w:rsidRDefault="00A86293">
            <w:pPr>
              <w:pStyle w:val="CellColumn"/>
              <w:jc w:val="right"/>
            </w:pPr>
            <w:r>
              <w:rPr>
                <w:rFonts w:cs="Times New Roman"/>
              </w:rPr>
              <w:t>55,7</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Pravilnik o postupku ostvarivanja prava na prilagodbu prilaza do zgrade i prilagodbu stana za potrebe HRVI s ograničenom sposobnosti kretanja (''Narodne novine'', broj: 142/13.)</w:t>
      </w:r>
    </w:p>
    <w:p w:rsidR="005C2091" w:rsidRDefault="00A86293">
      <w:pPr>
        <w:pStyle w:val="Heading8"/>
        <w:jc w:val="left"/>
      </w:pPr>
      <w:r>
        <w:t>Opis aktivnosti</w:t>
      </w:r>
    </w:p>
    <w:p w:rsidR="005C2091" w:rsidRDefault="00A86293">
      <w:r>
        <w:t>Za aktivnost A 753028 Prilagodba objekata za kretanje najtežih HRVI, na računu 3822 Kapitalne donacije građenima i kućanstvima – za 2016. godinu osigurana su sredstva u iznosu od 150.000,00 kn za izradu prilagodbe prilaza do zgrade i prilagodbe stana za potrebe hrvatskih ratnih invalida iz Domovinskog rata s ograničenom sposobnosti kretanja. Utrošeno je 83.574,36 kuna što se odnosi na prilagodbu stana u Zadru, korisnika Dragana Brkića odnosno kupaonice te kupnju skalamobila. Kod ostalih podnesenih zahtjeva čeka se dopuna dokumentacije kako bi se moglo odlučiti o osnovanosti zahtjeva odnosno krenuti u realizaciju izgradnje prilagodbe.</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B24D34" w:rsidTr="00B24D34">
        <w:trPr>
          <w:jc w:val="center"/>
        </w:trPr>
        <w:tc>
          <w:tcPr>
            <w:tcW w:w="2553" w:type="dxa"/>
            <w:shd w:val="clear" w:color="auto" w:fill="B5C0D8"/>
          </w:tcPr>
          <w:p w:rsidR="00B24D34" w:rsidRDefault="00B24D34">
            <w:pPr>
              <w:jc w:val="center"/>
            </w:pPr>
            <w:r>
              <w:t>Pokazatelj rezultata</w:t>
            </w:r>
          </w:p>
        </w:tc>
        <w:tc>
          <w:tcPr>
            <w:tcW w:w="1020" w:type="dxa"/>
            <w:shd w:val="clear" w:color="auto" w:fill="B5C0D8"/>
          </w:tcPr>
          <w:p w:rsidR="00B24D34" w:rsidRDefault="00B24D34">
            <w:pPr>
              <w:pStyle w:val="CellHeader"/>
              <w:jc w:val="center"/>
            </w:pPr>
            <w:r>
              <w:rPr>
                <w:rFonts w:cs="Times New Roman"/>
              </w:rPr>
              <w:t>Jedinica</w:t>
            </w:r>
          </w:p>
        </w:tc>
        <w:tc>
          <w:tcPr>
            <w:tcW w:w="1020" w:type="dxa"/>
            <w:shd w:val="clear" w:color="auto" w:fill="B5C0D8"/>
          </w:tcPr>
          <w:p w:rsidR="00B24D34" w:rsidRDefault="00B24D34">
            <w:pPr>
              <w:pStyle w:val="CellHeader"/>
              <w:jc w:val="center"/>
            </w:pPr>
            <w:r>
              <w:rPr>
                <w:rFonts w:cs="Times New Roman"/>
              </w:rPr>
              <w:t>Polazna vrijednost</w:t>
            </w:r>
          </w:p>
        </w:tc>
        <w:tc>
          <w:tcPr>
            <w:tcW w:w="1020" w:type="dxa"/>
            <w:shd w:val="clear" w:color="auto" w:fill="B5C0D8"/>
          </w:tcPr>
          <w:p w:rsidR="00B24D34" w:rsidRDefault="00B24D34">
            <w:pPr>
              <w:pStyle w:val="CellHeader"/>
              <w:jc w:val="center"/>
            </w:pPr>
            <w:r>
              <w:rPr>
                <w:rFonts w:cs="Times New Roman"/>
              </w:rPr>
              <w:t>Izvor podataka</w:t>
            </w:r>
          </w:p>
        </w:tc>
        <w:tc>
          <w:tcPr>
            <w:tcW w:w="1020" w:type="dxa"/>
            <w:shd w:val="clear" w:color="auto" w:fill="B5C0D8"/>
          </w:tcPr>
          <w:p w:rsidR="00B24D34" w:rsidRDefault="00B24D34">
            <w:pPr>
              <w:pStyle w:val="CellHeader"/>
              <w:jc w:val="center"/>
            </w:pPr>
            <w:r>
              <w:rPr>
                <w:rFonts w:cs="Times New Roman"/>
              </w:rPr>
              <w:t>Ciljana vrijednost (2016.)</w:t>
            </w:r>
          </w:p>
        </w:tc>
        <w:tc>
          <w:tcPr>
            <w:tcW w:w="1020"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553" w:type="dxa"/>
          </w:tcPr>
          <w:p w:rsidR="00B24D34" w:rsidRDefault="00B24D34">
            <w:pPr>
              <w:pStyle w:val="CellColumn"/>
              <w:jc w:val="left"/>
            </w:pPr>
            <w:r>
              <w:rPr>
                <w:rFonts w:cs="Times New Roman"/>
              </w:rPr>
              <w:t>Održavanje postojećeg omjera riješenih zahtjeva u odnosu na broj podnesenih zahtjeva za priznavanja prava na prilagodbu</w:t>
            </w:r>
          </w:p>
        </w:tc>
        <w:tc>
          <w:tcPr>
            <w:tcW w:w="1020" w:type="dxa"/>
          </w:tcPr>
          <w:p w:rsidR="00B24D34" w:rsidRDefault="00B24D34">
            <w:pPr>
              <w:pStyle w:val="CellColumn"/>
              <w:jc w:val="right"/>
            </w:pPr>
            <w:r>
              <w:rPr>
                <w:rFonts w:cs="Times New Roman"/>
              </w:rPr>
              <w:t>Postotak</w:t>
            </w:r>
          </w:p>
        </w:tc>
        <w:tc>
          <w:tcPr>
            <w:tcW w:w="1020" w:type="dxa"/>
          </w:tcPr>
          <w:p w:rsidR="00B24D34" w:rsidRDefault="00B24D34">
            <w:pPr>
              <w:pStyle w:val="CellColumn"/>
              <w:jc w:val="right"/>
            </w:pPr>
            <w:r>
              <w:rPr>
                <w:rFonts w:cs="Times New Roman"/>
              </w:rPr>
              <w:t>28</w:t>
            </w:r>
          </w:p>
        </w:tc>
        <w:tc>
          <w:tcPr>
            <w:tcW w:w="1020" w:type="dxa"/>
          </w:tcPr>
          <w:p w:rsidR="00B24D34" w:rsidRDefault="00B24D34">
            <w:pPr>
              <w:pStyle w:val="CellColumn"/>
              <w:jc w:val="right"/>
            </w:pPr>
            <w:r>
              <w:rPr>
                <w:rFonts w:cs="Times New Roman"/>
              </w:rPr>
              <w:t>MHB</w:t>
            </w:r>
          </w:p>
        </w:tc>
        <w:tc>
          <w:tcPr>
            <w:tcW w:w="1020" w:type="dxa"/>
          </w:tcPr>
          <w:p w:rsidR="00B24D34" w:rsidRDefault="00B24D34">
            <w:pPr>
              <w:pStyle w:val="CellColumn"/>
              <w:jc w:val="right"/>
            </w:pPr>
            <w:r>
              <w:rPr>
                <w:rFonts w:cs="Times New Roman"/>
              </w:rPr>
              <w:t>42</w:t>
            </w:r>
          </w:p>
        </w:tc>
        <w:tc>
          <w:tcPr>
            <w:tcW w:w="1020" w:type="dxa"/>
          </w:tcPr>
          <w:p w:rsidR="00B24D34" w:rsidRDefault="00B24D34">
            <w:pPr>
              <w:pStyle w:val="CellColumn"/>
              <w:jc w:val="right"/>
            </w:pPr>
            <w:r>
              <w:rPr>
                <w:rFonts w:cs="Times New Roman"/>
              </w:rPr>
              <w:t>50</w:t>
            </w:r>
          </w:p>
        </w:tc>
      </w:tr>
    </w:tbl>
    <w:p w:rsidR="005C2091" w:rsidRDefault="005C2091">
      <w:pPr>
        <w:jc w:val="left"/>
      </w:pPr>
    </w:p>
    <w:p w:rsidR="00B24D34" w:rsidRDefault="00B24D34">
      <w:pPr>
        <w:jc w:val="left"/>
      </w:pPr>
    </w:p>
    <w:p w:rsidR="005C2091" w:rsidRDefault="00A86293">
      <w:pPr>
        <w:pStyle w:val="Heading2"/>
      </w:pPr>
      <w:r>
        <w:t>04110 Javna ustanova "Memorijalni centar Domovinskog rata Vukovar"</w:t>
      </w:r>
    </w:p>
    <w:p w:rsidR="005C2091" w:rsidRDefault="00A86293">
      <w:r>
        <w:t>Javna ustanova svojom djelatnošću čuva sjećanje na Domovinski rat i Bitku za Vukovar, a svojim odgojno-obrazovnim, kulturnim i društvenim aktivnostima spaja vukovarsku prošlost i budućnost. Jedan je od osnovnih zadataka Javne ustanove provedba programa obveznih dvodnevnih posjeta Vukovaru svih učenika osmih razreda osnovnih škola iz cijele Hrvatske. Riječ je o jedinstvenom projektu na nacionalnoj razini koji obuhvaća učenje o vrijednostima Domovinskog rata i Bitke za Vukovar. Javna ustanova u potpunosti snosi troškove posjeta učenika Vukovaru (prijevoz, prehrana, smještaj, ulaznice za muzeje). Aktivnosti Javne ustanove također uključuju komemoraciju, dokumentaciju, istraživanje i obrazovanje.</w:t>
      </w:r>
    </w:p>
    <w:p w:rsidR="00492B40" w:rsidRDefault="00492B40"/>
    <w:p w:rsidR="00492B40" w:rsidRDefault="00492B40"/>
    <w:p w:rsidR="00492B40" w:rsidRDefault="00492B40"/>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04110-Javna ustanova "Memorijalni centar Domovinskog rata Vukovar"</w:t>
            </w:r>
          </w:p>
        </w:tc>
        <w:tc>
          <w:tcPr>
            <w:tcW w:w="2041" w:type="dxa"/>
            <w:vAlign w:val="top"/>
          </w:tcPr>
          <w:p w:rsidR="005C2091" w:rsidRDefault="00A86293">
            <w:pPr>
              <w:pStyle w:val="CellColumn"/>
              <w:jc w:val="right"/>
            </w:pPr>
            <w:r>
              <w:rPr>
                <w:rFonts w:cs="Times New Roman"/>
              </w:rPr>
              <w:t>33.105.600</w:t>
            </w:r>
          </w:p>
        </w:tc>
        <w:tc>
          <w:tcPr>
            <w:tcW w:w="2041" w:type="dxa"/>
            <w:vAlign w:val="top"/>
          </w:tcPr>
          <w:p w:rsidR="005C2091" w:rsidRDefault="00A86293">
            <w:pPr>
              <w:pStyle w:val="CellColumn"/>
              <w:jc w:val="right"/>
            </w:pPr>
            <w:r>
              <w:rPr>
                <w:rFonts w:cs="Times New Roman"/>
              </w:rPr>
              <w:t>35.644.400</w:t>
            </w:r>
          </w:p>
        </w:tc>
        <w:tc>
          <w:tcPr>
            <w:tcW w:w="2041" w:type="dxa"/>
            <w:vAlign w:val="top"/>
          </w:tcPr>
          <w:p w:rsidR="005C2091" w:rsidRDefault="00A86293">
            <w:pPr>
              <w:pStyle w:val="CellColumn"/>
              <w:jc w:val="right"/>
            </w:pPr>
            <w:r>
              <w:rPr>
                <w:rFonts w:cs="Times New Roman"/>
              </w:rPr>
              <w:t>34.145.581</w:t>
            </w:r>
          </w:p>
        </w:tc>
        <w:tc>
          <w:tcPr>
            <w:tcW w:w="1224" w:type="dxa"/>
            <w:vAlign w:val="top"/>
          </w:tcPr>
          <w:p w:rsidR="005C2091" w:rsidRDefault="00A86293">
            <w:pPr>
              <w:pStyle w:val="CellColumn"/>
              <w:jc w:val="right"/>
            </w:pPr>
            <w:r>
              <w:rPr>
                <w:rFonts w:cs="Times New Roman"/>
              </w:rPr>
              <w:t>95,8</w:t>
            </w:r>
          </w:p>
        </w:tc>
        <w:tc>
          <w:tcPr>
            <w:tcW w:w="1224" w:type="dxa"/>
            <w:vAlign w:val="top"/>
          </w:tcPr>
          <w:p w:rsidR="005C2091" w:rsidRDefault="00A86293">
            <w:pPr>
              <w:pStyle w:val="CellColumn"/>
              <w:jc w:val="right"/>
            </w:pPr>
            <w:r>
              <w:rPr>
                <w:rFonts w:cs="Times New Roman"/>
              </w:rPr>
              <w:t>103,1</w:t>
            </w:r>
          </w:p>
        </w:tc>
      </w:tr>
      <w:tr w:rsidR="005C2091">
        <w:trPr>
          <w:jc w:val="center"/>
        </w:trPr>
        <w:tc>
          <w:tcPr>
            <w:tcW w:w="1632" w:type="dxa"/>
          </w:tcPr>
          <w:p w:rsidR="005C2091" w:rsidRDefault="00A86293">
            <w:pPr>
              <w:jc w:val="left"/>
            </w:pPr>
            <w:r>
              <w:t>3911-OBILJEŽAVANJE MJESTA STRADAVANJA U DOMOVINSKOM RATU</w:t>
            </w:r>
          </w:p>
        </w:tc>
        <w:tc>
          <w:tcPr>
            <w:tcW w:w="2041" w:type="dxa"/>
          </w:tcPr>
          <w:p w:rsidR="005C2091" w:rsidRDefault="00A86293">
            <w:pPr>
              <w:jc w:val="right"/>
            </w:pPr>
            <w:r>
              <w:t>33.105.600</w:t>
            </w:r>
          </w:p>
        </w:tc>
        <w:tc>
          <w:tcPr>
            <w:tcW w:w="2041" w:type="dxa"/>
          </w:tcPr>
          <w:p w:rsidR="005C2091" w:rsidRDefault="00A86293">
            <w:pPr>
              <w:jc w:val="right"/>
            </w:pPr>
            <w:r>
              <w:t>35.644.400</w:t>
            </w:r>
          </w:p>
        </w:tc>
        <w:tc>
          <w:tcPr>
            <w:tcW w:w="2041" w:type="dxa"/>
          </w:tcPr>
          <w:p w:rsidR="005C2091" w:rsidRDefault="00A86293">
            <w:pPr>
              <w:jc w:val="right"/>
            </w:pPr>
            <w:r>
              <w:t>34.145.581</w:t>
            </w:r>
          </w:p>
        </w:tc>
        <w:tc>
          <w:tcPr>
            <w:tcW w:w="1224" w:type="dxa"/>
          </w:tcPr>
          <w:p w:rsidR="005C2091" w:rsidRDefault="00A86293">
            <w:pPr>
              <w:jc w:val="right"/>
            </w:pPr>
            <w:r>
              <w:t>95,8</w:t>
            </w:r>
          </w:p>
        </w:tc>
        <w:tc>
          <w:tcPr>
            <w:tcW w:w="1224" w:type="dxa"/>
          </w:tcPr>
          <w:p w:rsidR="005C2091" w:rsidRDefault="00A86293">
            <w:pPr>
              <w:jc w:val="right"/>
            </w:pPr>
            <w:r>
              <w:t>103,1</w:t>
            </w:r>
          </w:p>
        </w:tc>
      </w:tr>
    </w:tbl>
    <w:p w:rsidR="005C2091" w:rsidRDefault="005C2091">
      <w:pPr>
        <w:jc w:val="left"/>
      </w:pPr>
    </w:p>
    <w:p w:rsidR="005C2091" w:rsidRDefault="00A86293">
      <w:pPr>
        <w:pStyle w:val="Heading3"/>
      </w:pPr>
      <w:r>
        <w:rPr>
          <w:rFonts w:cs="Times New Roman"/>
        </w:rPr>
        <w:t>3911 OBILJEŽAVANJE MJESTA STRADAVANJA U DOMOVINSKOM RATU</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3911-OBILJEŽAVANJE MJESTA STRADAVANJA U DOMOVINSKOM RATU</w:t>
            </w:r>
          </w:p>
        </w:tc>
        <w:tc>
          <w:tcPr>
            <w:tcW w:w="2041" w:type="dxa"/>
          </w:tcPr>
          <w:p w:rsidR="005C2091" w:rsidRDefault="00A86293">
            <w:pPr>
              <w:pStyle w:val="CellColumn"/>
              <w:jc w:val="right"/>
            </w:pPr>
            <w:r>
              <w:rPr>
                <w:rFonts w:cs="Times New Roman"/>
              </w:rPr>
              <w:t>33.105.600</w:t>
            </w:r>
          </w:p>
        </w:tc>
        <w:tc>
          <w:tcPr>
            <w:tcW w:w="2041" w:type="dxa"/>
          </w:tcPr>
          <w:p w:rsidR="005C2091" w:rsidRDefault="00A86293">
            <w:pPr>
              <w:pStyle w:val="CellColumn"/>
              <w:jc w:val="right"/>
            </w:pPr>
            <w:r>
              <w:rPr>
                <w:rFonts w:cs="Times New Roman"/>
              </w:rPr>
              <w:t>35.644.400</w:t>
            </w:r>
          </w:p>
        </w:tc>
        <w:tc>
          <w:tcPr>
            <w:tcW w:w="2041" w:type="dxa"/>
          </w:tcPr>
          <w:p w:rsidR="005C2091" w:rsidRDefault="00A86293">
            <w:pPr>
              <w:pStyle w:val="CellColumn"/>
              <w:jc w:val="right"/>
            </w:pPr>
            <w:r>
              <w:rPr>
                <w:rFonts w:cs="Times New Roman"/>
              </w:rPr>
              <w:t>34.145.581</w:t>
            </w:r>
          </w:p>
        </w:tc>
        <w:tc>
          <w:tcPr>
            <w:tcW w:w="1224" w:type="dxa"/>
          </w:tcPr>
          <w:p w:rsidR="005C2091" w:rsidRDefault="00A86293">
            <w:pPr>
              <w:pStyle w:val="CellColumn"/>
              <w:jc w:val="right"/>
            </w:pPr>
            <w:r>
              <w:rPr>
                <w:rFonts w:cs="Times New Roman"/>
              </w:rPr>
              <w:t>95,8</w:t>
            </w:r>
          </w:p>
        </w:tc>
        <w:tc>
          <w:tcPr>
            <w:tcW w:w="1224" w:type="dxa"/>
          </w:tcPr>
          <w:p w:rsidR="005C2091" w:rsidRDefault="00A86293">
            <w:pPr>
              <w:pStyle w:val="CellColumn"/>
              <w:jc w:val="right"/>
            </w:pPr>
            <w:r>
              <w:rPr>
                <w:rFonts w:cs="Times New Roman"/>
              </w:rPr>
              <w:t>103,1</w:t>
            </w:r>
          </w:p>
        </w:tc>
      </w:tr>
    </w:tbl>
    <w:p w:rsidR="005C2091" w:rsidRDefault="005C2091">
      <w:pPr>
        <w:jc w:val="left"/>
      </w:pPr>
    </w:p>
    <w:p w:rsidR="005C2091" w:rsidRDefault="00A86293">
      <w:r>
        <w:lastRenderedPageBreak/>
        <w:t xml:space="preserve">Osnivanjem Javne ustanove "Memorijalni centar Domovinskog rata Vukovar" pokušava se dugoročno razriješiti upravljanje i održavanje objekata koji su izgrađeni na području grada Vukovara u spomen, na sjećanje i u slavu stradalima tijekom Domovinskog rata na području grada Vukovara.   </w:t>
      </w:r>
    </w:p>
    <w:p w:rsidR="005C2091" w:rsidRDefault="00A86293">
      <w:r>
        <w:t xml:space="preserve">Javna ustanova u osnovnoj djelatnosti znanstveno istražuje Domovinski rat i Bitku za Vukovar, te organizira prijevoz i boravak (smještaj i prehrana) za učenike svih osmih razreda osnovnih škola u Republici Hrvatskoj koji bi obvezno i besplatno boravili u Vukovaru dva dana (u nekadašnjoj vojarni), odnosno u Hostelu Zagreb koji je dodijeljen Javnoj ustanovu u rujnu 2015. godine na upravljanje, gdje bi na mnogobrojnim mjestima stradanja i u Memorijalnom centru bili educirani o Domovinskom ratu i o obrani grada Vukovara, uz ostvarenje odgojnih ciljeva koji proistječu iz edukativnog cilja (jačanje digniteta hrvatskih branitelja iz Domovinskog rata i Domovinskog rata).   </w:t>
      </w:r>
    </w:p>
    <w:p w:rsidR="005C2091" w:rsidRDefault="00A86293">
      <w:r>
        <w:t>Javna ustanova osim edukativne ima važnu turističku i gospodarsku komponentu jer osim učenika osmih razreda dolaze i posjetitelji u privatnom ili turističkom aranžmanu te na taj način potiću gospodarski razvoj grada Vukovara.</w:t>
      </w:r>
    </w:p>
    <w:p w:rsidR="005C2091" w:rsidRDefault="00A86293">
      <w:pPr>
        <w:pStyle w:val="Heading8"/>
        <w:jc w:val="left"/>
      </w:pPr>
      <w:r>
        <w:t>Cilj 1. Edukacija o vrijednostima Domovinskog rata kroz djelatnosti javne ustanove „Memorijalni centar Domovinskog rata Vukovar“</w:t>
      </w:r>
    </w:p>
    <w:p w:rsidR="005C2091" w:rsidRDefault="00A86293">
      <w:pPr>
        <w:pStyle w:val="Heading8"/>
        <w:jc w:val="left"/>
      </w:pPr>
      <w:r>
        <w:t>Opis provedbe cilja programa</w:t>
      </w:r>
    </w:p>
    <w:p w:rsidR="005C2091" w:rsidRDefault="00A86293">
      <w:r>
        <w:t xml:space="preserve">Javna ustanova u osnovnoj djelatnosti znanstveno istražuje Domovinski rat i bitku za Vukovar te organizira prijevoz i boravak (smještaj i prehrana) za učenike svih osmih razreda osnovnih škola u Republici Hrvatskoj koji obavezno i besplatno borave u Vukovaru. Dvodnevni boravak za učenike organizira se u nekadašnjoj vojarni koja je preuređena u omladinski hostel, a edukativna djelatnost o Domovinskom ratu provodi se na mnogobrojnim mjestima stradavanja i u samom Memorijalnom centru. </w:t>
      </w:r>
    </w:p>
    <w:p w:rsidR="005C2091" w:rsidRDefault="00A86293">
      <w:r>
        <w:t xml:space="preserve">Javna ustanova „Memorijalni centar Domovinskog rata Vukovar“ osim edukativne ima važnu turističku i gospodarsku komponentu obzirom da su njena vrata otvorena, osim učenicima osmih razreda, i svim drugim posjetiteljima koji dolaze u privatnom ili turističkom aranžmanu, a opskrbljivanje Memorijalnog centra prehrambenim proizvodima primarna je zadaća zadruga hrvatskih branitelja iz Domovinskog rata, dakako, sukladno Zakonu o javnoj nabavi. </w:t>
      </w:r>
    </w:p>
    <w:p w:rsidR="005C2091" w:rsidRDefault="00A86293">
      <w:r>
        <w:t>Također, javna ustanova „Memorijalni centar Domovinskog rata Vukovar“ upravlja i održava određene objekte u Gradu Vukovaru kao što su Spomen dom „Ovčara“, Spomen dom Trpinjska cesta, Vodotoranj, Mjesto sjećanja Velepromet dok ostale nadzire i vodi računa o tome da lokalna samouprava o njima brine na primjeren način („Kukuruzni put", Križ na Dunavu, i ostala mjesta sjećanja na stradale u obrani Vukovara tijekom Domovinskog rata.)</w:t>
      </w:r>
    </w:p>
    <w:p w:rsidR="005C2091" w:rsidRDefault="00A86293">
      <w:pPr>
        <w:pStyle w:val="Heading8"/>
        <w:jc w:val="left"/>
      </w:pPr>
      <w:r>
        <w:t>Pokazatelji učinka</w:t>
      </w:r>
    </w:p>
    <w:tbl>
      <w:tblPr>
        <w:tblStyle w:val="StilTablice"/>
        <w:tblW w:w="7747" w:type="dxa"/>
        <w:jc w:val="center"/>
        <w:tblLook w:val="04A0" w:firstRow="1" w:lastRow="0" w:firstColumn="1" w:lastColumn="0" w:noHBand="0" w:noVBand="1"/>
      </w:tblPr>
      <w:tblGrid>
        <w:gridCol w:w="2483"/>
        <w:gridCol w:w="1006"/>
        <w:gridCol w:w="1014"/>
        <w:gridCol w:w="1215"/>
        <w:gridCol w:w="1014"/>
        <w:gridCol w:w="1015"/>
      </w:tblGrid>
      <w:tr w:rsidR="00B24D34" w:rsidTr="00B24D34">
        <w:trPr>
          <w:jc w:val="center"/>
        </w:trPr>
        <w:tc>
          <w:tcPr>
            <w:tcW w:w="2483" w:type="dxa"/>
            <w:shd w:val="clear" w:color="auto" w:fill="B5C0D8"/>
          </w:tcPr>
          <w:p w:rsidR="00B24D34" w:rsidRDefault="00B24D34">
            <w:pPr>
              <w:jc w:val="center"/>
            </w:pPr>
            <w:r>
              <w:t>Pokazatelj učinka</w:t>
            </w:r>
          </w:p>
        </w:tc>
        <w:tc>
          <w:tcPr>
            <w:tcW w:w="1006" w:type="dxa"/>
            <w:shd w:val="clear" w:color="auto" w:fill="B5C0D8"/>
          </w:tcPr>
          <w:p w:rsidR="00B24D34" w:rsidRDefault="00B24D34">
            <w:pPr>
              <w:pStyle w:val="CellHeader"/>
              <w:jc w:val="center"/>
            </w:pPr>
            <w:r>
              <w:rPr>
                <w:rFonts w:cs="Times New Roman"/>
              </w:rPr>
              <w:t>Jedinica</w:t>
            </w:r>
          </w:p>
        </w:tc>
        <w:tc>
          <w:tcPr>
            <w:tcW w:w="1014" w:type="dxa"/>
            <w:shd w:val="clear" w:color="auto" w:fill="B5C0D8"/>
          </w:tcPr>
          <w:p w:rsidR="00B24D34" w:rsidRDefault="00B24D34">
            <w:pPr>
              <w:pStyle w:val="CellHeader"/>
              <w:jc w:val="center"/>
            </w:pPr>
            <w:r>
              <w:rPr>
                <w:rFonts w:cs="Times New Roman"/>
              </w:rPr>
              <w:t>Polazna vrijednost</w:t>
            </w:r>
          </w:p>
        </w:tc>
        <w:tc>
          <w:tcPr>
            <w:tcW w:w="1215" w:type="dxa"/>
            <w:shd w:val="clear" w:color="auto" w:fill="B5C0D8"/>
          </w:tcPr>
          <w:p w:rsidR="00B24D34" w:rsidRDefault="00B24D34">
            <w:pPr>
              <w:pStyle w:val="CellHeader"/>
              <w:jc w:val="center"/>
            </w:pPr>
            <w:r>
              <w:rPr>
                <w:rFonts w:cs="Times New Roman"/>
              </w:rPr>
              <w:t>Izvor podataka</w:t>
            </w:r>
          </w:p>
        </w:tc>
        <w:tc>
          <w:tcPr>
            <w:tcW w:w="1014" w:type="dxa"/>
            <w:shd w:val="clear" w:color="auto" w:fill="B5C0D8"/>
          </w:tcPr>
          <w:p w:rsidR="00B24D34" w:rsidRDefault="00B24D34">
            <w:pPr>
              <w:pStyle w:val="CellHeader"/>
              <w:jc w:val="center"/>
            </w:pPr>
            <w:r>
              <w:rPr>
                <w:rFonts w:cs="Times New Roman"/>
              </w:rPr>
              <w:t>Ciljana vrijednost (2016.)</w:t>
            </w:r>
          </w:p>
        </w:tc>
        <w:tc>
          <w:tcPr>
            <w:tcW w:w="1015"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483" w:type="dxa"/>
          </w:tcPr>
          <w:p w:rsidR="00B24D34" w:rsidRDefault="00B24D34">
            <w:pPr>
              <w:pStyle w:val="CellColumn"/>
              <w:jc w:val="left"/>
            </w:pPr>
            <w:r>
              <w:rPr>
                <w:rFonts w:cs="Times New Roman"/>
              </w:rPr>
              <w:t>Povećanje broja posjetitelja "Memorijalnog centra Domovinskog rata Vukovar"</w:t>
            </w:r>
          </w:p>
        </w:tc>
        <w:tc>
          <w:tcPr>
            <w:tcW w:w="1006" w:type="dxa"/>
          </w:tcPr>
          <w:p w:rsidR="00B24D34" w:rsidRDefault="00B24D34">
            <w:pPr>
              <w:pStyle w:val="CellColumn"/>
              <w:jc w:val="right"/>
            </w:pPr>
            <w:r>
              <w:rPr>
                <w:rFonts w:cs="Times New Roman"/>
              </w:rPr>
              <w:t>broj</w:t>
            </w:r>
          </w:p>
        </w:tc>
        <w:tc>
          <w:tcPr>
            <w:tcW w:w="1014" w:type="dxa"/>
          </w:tcPr>
          <w:p w:rsidR="00B24D34" w:rsidRDefault="00B24D34">
            <w:pPr>
              <w:pStyle w:val="CellColumn"/>
              <w:jc w:val="right"/>
            </w:pPr>
            <w:r>
              <w:rPr>
                <w:rFonts w:cs="Times New Roman"/>
              </w:rPr>
              <w:t>50000</w:t>
            </w:r>
          </w:p>
        </w:tc>
        <w:tc>
          <w:tcPr>
            <w:tcW w:w="1215" w:type="dxa"/>
          </w:tcPr>
          <w:p w:rsidR="00B24D34" w:rsidRDefault="00B24D34">
            <w:pPr>
              <w:pStyle w:val="CellColumn"/>
              <w:jc w:val="right"/>
            </w:pPr>
            <w:r>
              <w:rPr>
                <w:rFonts w:cs="Times New Roman"/>
              </w:rPr>
              <w:t>JUMCDRVU</w:t>
            </w:r>
          </w:p>
        </w:tc>
        <w:tc>
          <w:tcPr>
            <w:tcW w:w="1014" w:type="dxa"/>
          </w:tcPr>
          <w:p w:rsidR="00B24D34" w:rsidRDefault="00B24D34">
            <w:pPr>
              <w:pStyle w:val="CellColumn"/>
              <w:jc w:val="right"/>
            </w:pPr>
            <w:r>
              <w:rPr>
                <w:rFonts w:cs="Times New Roman"/>
              </w:rPr>
              <w:t>75000</w:t>
            </w:r>
          </w:p>
        </w:tc>
        <w:tc>
          <w:tcPr>
            <w:tcW w:w="1015" w:type="dxa"/>
          </w:tcPr>
          <w:p w:rsidR="00B24D34" w:rsidRDefault="00B24D34">
            <w:pPr>
              <w:pStyle w:val="CellColumn"/>
              <w:jc w:val="right"/>
            </w:pPr>
            <w:r>
              <w:rPr>
                <w:rFonts w:cs="Times New Roman"/>
              </w:rPr>
              <w:t>75839</w:t>
            </w:r>
          </w:p>
        </w:tc>
      </w:tr>
    </w:tbl>
    <w:p w:rsidR="005C2091" w:rsidRDefault="005C2091">
      <w:pPr>
        <w:jc w:val="left"/>
      </w:pPr>
    </w:p>
    <w:p w:rsidR="005C2091" w:rsidRDefault="00A86293">
      <w:pPr>
        <w:pStyle w:val="Heading4"/>
      </w:pPr>
      <w:r>
        <w:t>A878002 EDUKACIJA O VRIJEDNOSTIMA DOMOVINSKOG RATA</w:t>
      </w:r>
    </w:p>
    <w:tbl>
      <w:tblPr>
        <w:tblStyle w:val="StilTablice"/>
        <w:tblW w:w="10206" w:type="dxa"/>
        <w:jc w:val="center"/>
        <w:tblLook w:val="04A0" w:firstRow="1" w:lastRow="0" w:firstColumn="1" w:lastColumn="0" w:noHBand="0" w:noVBand="1"/>
      </w:tblPr>
      <w:tblGrid>
        <w:gridCol w:w="1715"/>
        <w:gridCol w:w="2016"/>
        <w:gridCol w:w="2018"/>
        <w:gridCol w:w="2018"/>
        <w:gridCol w:w="1218"/>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A878002-EDUKACIJA O VRIJEDNOSTIMA DOMOVINSKOG RATA</w:t>
            </w:r>
          </w:p>
        </w:tc>
        <w:tc>
          <w:tcPr>
            <w:tcW w:w="2041" w:type="dxa"/>
          </w:tcPr>
          <w:p w:rsidR="005C2091" w:rsidRDefault="00A86293">
            <w:pPr>
              <w:pStyle w:val="CellColumn"/>
              <w:jc w:val="right"/>
            </w:pPr>
            <w:r>
              <w:rPr>
                <w:rFonts w:cs="Times New Roman"/>
              </w:rPr>
              <w:t>4.495.095</w:t>
            </w:r>
          </w:p>
        </w:tc>
        <w:tc>
          <w:tcPr>
            <w:tcW w:w="2041" w:type="dxa"/>
          </w:tcPr>
          <w:p w:rsidR="005C2091" w:rsidRDefault="00A86293">
            <w:pPr>
              <w:pStyle w:val="CellColumn"/>
              <w:jc w:val="right"/>
            </w:pPr>
            <w:r>
              <w:rPr>
                <w:rFonts w:cs="Times New Roman"/>
              </w:rPr>
              <w:t>11.744.300</w:t>
            </w:r>
          </w:p>
        </w:tc>
        <w:tc>
          <w:tcPr>
            <w:tcW w:w="2041" w:type="dxa"/>
          </w:tcPr>
          <w:p w:rsidR="005C2091" w:rsidRDefault="00A86293">
            <w:pPr>
              <w:pStyle w:val="CellColumn"/>
              <w:jc w:val="right"/>
            </w:pPr>
            <w:r>
              <w:rPr>
                <w:rFonts w:cs="Times New Roman"/>
              </w:rPr>
              <w:t>11.312.383</w:t>
            </w:r>
          </w:p>
        </w:tc>
        <w:tc>
          <w:tcPr>
            <w:tcW w:w="1224" w:type="dxa"/>
          </w:tcPr>
          <w:p w:rsidR="005C2091" w:rsidRDefault="00A86293">
            <w:pPr>
              <w:pStyle w:val="CellColumn"/>
              <w:jc w:val="right"/>
            </w:pPr>
            <w:r>
              <w:rPr>
                <w:rFonts w:cs="Times New Roman"/>
              </w:rPr>
              <w:t>96,3</w:t>
            </w:r>
          </w:p>
        </w:tc>
        <w:tc>
          <w:tcPr>
            <w:tcW w:w="1224" w:type="dxa"/>
          </w:tcPr>
          <w:p w:rsidR="005C2091" w:rsidRDefault="00A86293">
            <w:pPr>
              <w:pStyle w:val="CellColumn"/>
              <w:jc w:val="right"/>
            </w:pPr>
            <w:r>
              <w:rPr>
                <w:rFonts w:cs="Times New Roman"/>
              </w:rPr>
              <w:t>251,7</w:t>
            </w:r>
          </w:p>
        </w:tc>
      </w:tr>
    </w:tbl>
    <w:p w:rsidR="005C2091" w:rsidRDefault="005C2091">
      <w:pPr>
        <w:jc w:val="left"/>
      </w:pPr>
    </w:p>
    <w:p w:rsidR="005C2091" w:rsidRDefault="00A86293">
      <w:pPr>
        <w:pStyle w:val="Heading8"/>
        <w:jc w:val="left"/>
      </w:pPr>
      <w:r>
        <w:t>Zakonske i druge pravne osnove</w:t>
      </w:r>
    </w:p>
    <w:p w:rsidR="005C2091" w:rsidRDefault="00A86293">
      <w:r>
        <w:t xml:space="preserve">- Uredba o osnivanju Javne ustanove Memorijalni centar Domovinskog rata Vukovar   </w:t>
      </w:r>
    </w:p>
    <w:p w:rsidR="005C2091" w:rsidRDefault="00A86293">
      <w:r>
        <w:t xml:space="preserve">- Statut Javne ustanove Memorijalni centar Domovinskog rata Vukovar   </w:t>
      </w:r>
    </w:p>
    <w:p w:rsidR="005C2091" w:rsidRDefault="00A86293">
      <w:r>
        <w:t>- Pravilnik o radu</w:t>
      </w:r>
    </w:p>
    <w:p w:rsidR="005C2091" w:rsidRDefault="00A86293">
      <w:pPr>
        <w:pStyle w:val="Heading8"/>
        <w:jc w:val="left"/>
      </w:pPr>
      <w:r>
        <w:t>Opis aktivnosti</w:t>
      </w:r>
    </w:p>
    <w:p w:rsidR="005C2091" w:rsidRDefault="00A86293">
      <w:r>
        <w:t xml:space="preserve">U sklopu ove aktivnosti na dan 31.12.2016. godine utrošeno je 11.312.382,94 kuna. Veći dio sredstava utrošen je za provedbu projekta „Posjet učenika osmih razreda Vukovaru“. </w:t>
      </w:r>
    </w:p>
    <w:p w:rsidR="005C2091" w:rsidRDefault="00A86293">
      <w:r>
        <w:t xml:space="preserve">Kroz projekt „Posjet osmih razreda Vukovaru“ koji je trajao od 20. travnja do 29. lipnja 2016. godine prošlo je 169 škola iz 19 županija i grada Zagreba, što je ukupno 7.963 učenika. </w:t>
      </w:r>
    </w:p>
    <w:p w:rsidR="005C2091" w:rsidRDefault="00A86293">
      <w:r>
        <w:t xml:space="preserve">Kroz prvo obrazovno razdoblje u školskoj godini 2016./2017. koje je trajalo od 4. rujna do 21. prosinca 2016., u projektu „Posjet osmih razreda Vukovaru“ prošlo je 372 škola iz 14 županija i grada Zagreba, što je ukupno 16.657 učenika i pratitelja. Do kraja školske godine 2016./2017. planiran je dolazak ukupno 42.172 učenika i pratitelja iz 886 škola. </w:t>
      </w:r>
    </w:p>
    <w:p w:rsidR="005C2091" w:rsidRDefault="00A86293">
      <w:r>
        <w:t xml:space="preserve">Ostali dio sredstava utrošen je za nabavku sitnog inventara koji se odnosi na posteljinu, plahte i jastučnice za opremanje kreveta u Hostelu Dubrovnik, dio sitnije opreme u objektu Restorana te trakaste zavjese za urede i konferencijske dvorane u Hostelu Dubrovnik.  </w:t>
      </w:r>
    </w:p>
    <w:p w:rsidR="005C2091" w:rsidRDefault="00A86293">
      <w:r>
        <w:t xml:space="preserve">Usluge čišćenja i pranja objekta Hostela Dubrovnik te pranje posteljine za potrebe projekta čine iznos od 832.449,21 kuna i obuhvaćaju cjelokupnu dinamiku čišćenja za proces  izmjene djece na dnevnoj bazi u količini od otprilike 320. Osim djece u projektu,  čišćenje i pranje posteljine odnosi se i na goste Hostela Dubrovnik.  </w:t>
      </w:r>
    </w:p>
    <w:p w:rsidR="005C2091" w:rsidRDefault="00A86293">
      <w:r>
        <w:t>Na kontu 4221 Uredska oprema i namještaj s 31.12.2016 godine utrošeno je 3.001.815,29 kuna. Namjena sredstava se u najvećem dijelu odnosi na opremanje namještajem i krevetima Hostela Dubrovnik te nabavu ugostiteljskog namještaja u objektu Restorana, a sve u svrhu uspostavljanja uvjeta za provedbu projekta „Posjet djece 8. razreda Vukovaru“.</w:t>
      </w:r>
    </w:p>
    <w:p w:rsidR="005C2091" w:rsidRDefault="00A86293">
      <w:pPr>
        <w:pStyle w:val="Heading8"/>
        <w:jc w:val="left"/>
      </w:pPr>
      <w:r>
        <w:t>Pokazatelji rezultata</w:t>
      </w:r>
    </w:p>
    <w:tbl>
      <w:tblPr>
        <w:tblStyle w:val="StilTablice"/>
        <w:tblW w:w="7737" w:type="dxa"/>
        <w:jc w:val="center"/>
        <w:tblLook w:val="04A0" w:firstRow="1" w:lastRow="0" w:firstColumn="1" w:lastColumn="0" w:noHBand="0" w:noVBand="1"/>
      </w:tblPr>
      <w:tblGrid>
        <w:gridCol w:w="2470"/>
        <w:gridCol w:w="1007"/>
        <w:gridCol w:w="1015"/>
        <w:gridCol w:w="1215"/>
        <w:gridCol w:w="1015"/>
        <w:gridCol w:w="1015"/>
      </w:tblGrid>
      <w:tr w:rsidR="00B24D34" w:rsidTr="00B24D34">
        <w:trPr>
          <w:jc w:val="center"/>
        </w:trPr>
        <w:tc>
          <w:tcPr>
            <w:tcW w:w="2470" w:type="dxa"/>
            <w:shd w:val="clear" w:color="auto" w:fill="B5C0D8"/>
          </w:tcPr>
          <w:p w:rsidR="00B24D34" w:rsidRDefault="00B24D34">
            <w:pPr>
              <w:jc w:val="center"/>
            </w:pPr>
            <w:r>
              <w:t>Pokazatelj rezultata</w:t>
            </w:r>
          </w:p>
        </w:tc>
        <w:tc>
          <w:tcPr>
            <w:tcW w:w="1007" w:type="dxa"/>
            <w:shd w:val="clear" w:color="auto" w:fill="B5C0D8"/>
          </w:tcPr>
          <w:p w:rsidR="00B24D34" w:rsidRDefault="00B24D34">
            <w:pPr>
              <w:pStyle w:val="CellHeader"/>
              <w:jc w:val="center"/>
            </w:pPr>
            <w:r>
              <w:rPr>
                <w:rFonts w:cs="Times New Roman"/>
              </w:rPr>
              <w:t>Jedinica</w:t>
            </w:r>
          </w:p>
        </w:tc>
        <w:tc>
          <w:tcPr>
            <w:tcW w:w="1015" w:type="dxa"/>
            <w:shd w:val="clear" w:color="auto" w:fill="B5C0D8"/>
          </w:tcPr>
          <w:p w:rsidR="00B24D34" w:rsidRDefault="00B24D34">
            <w:pPr>
              <w:pStyle w:val="CellHeader"/>
              <w:jc w:val="center"/>
            </w:pPr>
            <w:r>
              <w:rPr>
                <w:rFonts w:cs="Times New Roman"/>
              </w:rPr>
              <w:t>Polazna vrijednost</w:t>
            </w:r>
          </w:p>
        </w:tc>
        <w:tc>
          <w:tcPr>
            <w:tcW w:w="1215" w:type="dxa"/>
            <w:shd w:val="clear" w:color="auto" w:fill="B5C0D8"/>
          </w:tcPr>
          <w:p w:rsidR="00B24D34" w:rsidRDefault="00B24D34">
            <w:pPr>
              <w:pStyle w:val="CellHeader"/>
              <w:jc w:val="center"/>
            </w:pPr>
            <w:r>
              <w:rPr>
                <w:rFonts w:cs="Times New Roman"/>
              </w:rPr>
              <w:t>Izvor podataka</w:t>
            </w:r>
          </w:p>
        </w:tc>
        <w:tc>
          <w:tcPr>
            <w:tcW w:w="1015" w:type="dxa"/>
            <w:shd w:val="clear" w:color="auto" w:fill="B5C0D8"/>
          </w:tcPr>
          <w:p w:rsidR="00B24D34" w:rsidRDefault="00B24D34">
            <w:pPr>
              <w:pStyle w:val="CellHeader"/>
              <w:jc w:val="center"/>
            </w:pPr>
            <w:r>
              <w:rPr>
                <w:rFonts w:cs="Times New Roman"/>
              </w:rPr>
              <w:t>Ciljana vrijednost (2016.)</w:t>
            </w:r>
          </w:p>
        </w:tc>
        <w:tc>
          <w:tcPr>
            <w:tcW w:w="1015"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470" w:type="dxa"/>
          </w:tcPr>
          <w:p w:rsidR="00B24D34" w:rsidRDefault="00B24D34">
            <w:pPr>
              <w:pStyle w:val="CellColumn"/>
              <w:jc w:val="left"/>
            </w:pPr>
            <w:r>
              <w:rPr>
                <w:rFonts w:cs="Times New Roman"/>
              </w:rPr>
              <w:t>Medijski popraćeni događaji vezani uz provedbu projekta</w:t>
            </w:r>
          </w:p>
        </w:tc>
        <w:tc>
          <w:tcPr>
            <w:tcW w:w="1007" w:type="dxa"/>
          </w:tcPr>
          <w:p w:rsidR="00B24D34" w:rsidRDefault="00B24D34">
            <w:pPr>
              <w:pStyle w:val="CellColumn"/>
              <w:jc w:val="right"/>
            </w:pPr>
            <w:r>
              <w:rPr>
                <w:rFonts w:cs="Times New Roman"/>
              </w:rPr>
              <w:t>broj</w:t>
            </w:r>
          </w:p>
        </w:tc>
        <w:tc>
          <w:tcPr>
            <w:tcW w:w="1015" w:type="dxa"/>
          </w:tcPr>
          <w:p w:rsidR="00B24D34" w:rsidRDefault="00B24D34">
            <w:pPr>
              <w:pStyle w:val="CellColumn"/>
              <w:jc w:val="right"/>
            </w:pPr>
            <w:r>
              <w:rPr>
                <w:rFonts w:cs="Times New Roman"/>
              </w:rPr>
              <w:t>30</w:t>
            </w:r>
          </w:p>
        </w:tc>
        <w:tc>
          <w:tcPr>
            <w:tcW w:w="1215" w:type="dxa"/>
          </w:tcPr>
          <w:p w:rsidR="00B24D34" w:rsidRDefault="00B24D34">
            <w:pPr>
              <w:pStyle w:val="CellColumn"/>
              <w:jc w:val="right"/>
            </w:pPr>
            <w:r>
              <w:rPr>
                <w:rFonts w:cs="Times New Roman"/>
              </w:rPr>
              <w:t>JUMCDRVU</w:t>
            </w:r>
          </w:p>
        </w:tc>
        <w:tc>
          <w:tcPr>
            <w:tcW w:w="1015" w:type="dxa"/>
          </w:tcPr>
          <w:p w:rsidR="00B24D34" w:rsidRDefault="00B24D34">
            <w:pPr>
              <w:pStyle w:val="CellColumn"/>
              <w:jc w:val="right"/>
            </w:pPr>
            <w:r>
              <w:rPr>
                <w:rFonts w:cs="Times New Roman"/>
              </w:rPr>
              <w:t>30</w:t>
            </w:r>
          </w:p>
        </w:tc>
        <w:tc>
          <w:tcPr>
            <w:tcW w:w="1015" w:type="dxa"/>
          </w:tcPr>
          <w:p w:rsidR="00B24D34" w:rsidRDefault="00B24D34">
            <w:pPr>
              <w:pStyle w:val="CellColumn"/>
              <w:jc w:val="right"/>
            </w:pPr>
            <w:r>
              <w:rPr>
                <w:rFonts w:cs="Times New Roman"/>
              </w:rPr>
              <w:t>30</w:t>
            </w:r>
          </w:p>
        </w:tc>
      </w:tr>
    </w:tbl>
    <w:p w:rsidR="005C2091" w:rsidRDefault="005C2091">
      <w:pPr>
        <w:jc w:val="left"/>
      </w:pPr>
    </w:p>
    <w:p w:rsidR="005C2091" w:rsidRDefault="00A86293">
      <w:pPr>
        <w:pStyle w:val="Heading4"/>
      </w:pPr>
      <w:r>
        <w:t>A878004 OBILJEŽAVANJE OBLJETNICA</w:t>
      </w:r>
    </w:p>
    <w:tbl>
      <w:tblPr>
        <w:tblStyle w:val="StilTablice"/>
        <w:tblW w:w="10206" w:type="dxa"/>
        <w:jc w:val="center"/>
        <w:tblLook w:val="04A0" w:firstRow="1" w:lastRow="0" w:firstColumn="1" w:lastColumn="0" w:noHBand="0" w:noVBand="1"/>
      </w:tblPr>
      <w:tblGrid>
        <w:gridCol w:w="1681"/>
        <w:gridCol w:w="2028"/>
        <w:gridCol w:w="2026"/>
        <w:gridCol w:w="2028"/>
        <w:gridCol w:w="1221"/>
        <w:gridCol w:w="122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A878004-OBILJEŽAVANJE OBLJETNICA</w:t>
            </w:r>
          </w:p>
        </w:tc>
        <w:tc>
          <w:tcPr>
            <w:tcW w:w="2041" w:type="dxa"/>
          </w:tcPr>
          <w:p w:rsidR="005C2091" w:rsidRDefault="00A86293">
            <w:pPr>
              <w:pStyle w:val="CellColumn"/>
              <w:jc w:val="right"/>
            </w:pPr>
            <w:r>
              <w:rPr>
                <w:rFonts w:cs="Times New Roman"/>
              </w:rPr>
              <w:t>2.616</w:t>
            </w:r>
          </w:p>
        </w:tc>
        <w:tc>
          <w:tcPr>
            <w:tcW w:w="2041" w:type="dxa"/>
          </w:tcPr>
          <w:p w:rsidR="005C2091" w:rsidRDefault="00A86293">
            <w:pPr>
              <w:pStyle w:val="CellColumn"/>
              <w:jc w:val="right"/>
            </w:pPr>
            <w:r>
              <w:rPr>
                <w:rFonts w:cs="Times New Roman"/>
              </w:rPr>
              <w:t>30.000</w:t>
            </w:r>
          </w:p>
        </w:tc>
        <w:tc>
          <w:tcPr>
            <w:tcW w:w="2041" w:type="dxa"/>
          </w:tcPr>
          <w:p w:rsidR="005C2091" w:rsidRDefault="00A86293">
            <w:pPr>
              <w:pStyle w:val="CellColumn"/>
              <w:jc w:val="right"/>
            </w:pPr>
            <w:r>
              <w:rPr>
                <w:rFonts w:cs="Times New Roman"/>
              </w:rPr>
              <w:t>4.632</w:t>
            </w:r>
          </w:p>
        </w:tc>
        <w:tc>
          <w:tcPr>
            <w:tcW w:w="1224" w:type="dxa"/>
          </w:tcPr>
          <w:p w:rsidR="005C2091" w:rsidRDefault="00A86293">
            <w:pPr>
              <w:pStyle w:val="CellColumn"/>
              <w:jc w:val="right"/>
            </w:pPr>
            <w:r>
              <w:rPr>
                <w:rFonts w:cs="Times New Roman"/>
              </w:rPr>
              <w:t>15,4</w:t>
            </w:r>
          </w:p>
        </w:tc>
        <w:tc>
          <w:tcPr>
            <w:tcW w:w="1224" w:type="dxa"/>
          </w:tcPr>
          <w:p w:rsidR="005C2091" w:rsidRDefault="00A86293">
            <w:pPr>
              <w:pStyle w:val="CellColumn"/>
              <w:jc w:val="right"/>
            </w:pPr>
            <w:r>
              <w:rPr>
                <w:rFonts w:cs="Times New Roman"/>
              </w:rPr>
              <w:t>177,1</w:t>
            </w:r>
          </w:p>
        </w:tc>
      </w:tr>
    </w:tbl>
    <w:p w:rsidR="005C2091" w:rsidRDefault="005C2091">
      <w:pPr>
        <w:jc w:val="left"/>
      </w:pPr>
    </w:p>
    <w:p w:rsidR="005C2091" w:rsidRDefault="00A86293">
      <w:pPr>
        <w:pStyle w:val="Heading8"/>
        <w:jc w:val="left"/>
      </w:pPr>
      <w:r>
        <w:t>Zakonske i druge pravne osnove</w:t>
      </w:r>
    </w:p>
    <w:p w:rsidR="005C2091" w:rsidRDefault="00A86293">
      <w:r>
        <w:t xml:space="preserve">- Uredba o osnivanju Javne ustanove Memorijalni centar Domovinskog rata Vukovar   </w:t>
      </w:r>
    </w:p>
    <w:p w:rsidR="005C2091" w:rsidRDefault="00A86293">
      <w:r>
        <w:t xml:space="preserve">- Statut Javne ustanove Memorijalni centar Domovinskog rata Vukovar   </w:t>
      </w:r>
    </w:p>
    <w:p w:rsidR="005C2091" w:rsidRDefault="00A86293">
      <w:r>
        <w:t>- Pravilnik o radu</w:t>
      </w:r>
    </w:p>
    <w:p w:rsidR="005C2091" w:rsidRDefault="00A86293">
      <w:pPr>
        <w:pStyle w:val="Heading8"/>
        <w:jc w:val="left"/>
      </w:pPr>
      <w:r>
        <w:lastRenderedPageBreak/>
        <w:t>Opis aktivnosti</w:t>
      </w:r>
    </w:p>
    <w:p w:rsidR="005C2091" w:rsidRDefault="00A86293">
      <w:r>
        <w:t>Sredstava utrošena na ovoj stavci odnose se na vijence i svijeće odnosno rashode protokola potrebne  za obilježavanje obljetnica, kao što su Dan hrvatskih branitelja, Dan vukovarskih branitelja, 25. obljetnica pogibije Blage Zadre, 25. obljetnice ustroja 204. vukovarske brigade i dr. i iznose 4.632,00 kuna.</w:t>
      </w:r>
    </w:p>
    <w:p w:rsidR="005C2091" w:rsidRDefault="00A86293">
      <w:pPr>
        <w:pStyle w:val="Heading8"/>
        <w:jc w:val="left"/>
      </w:pPr>
      <w:r>
        <w:t>Pokazatelji rezultata</w:t>
      </w:r>
    </w:p>
    <w:tbl>
      <w:tblPr>
        <w:tblStyle w:val="StilTablice"/>
        <w:tblW w:w="7739" w:type="dxa"/>
        <w:jc w:val="center"/>
        <w:tblLook w:val="04A0" w:firstRow="1" w:lastRow="0" w:firstColumn="1" w:lastColumn="0" w:noHBand="0" w:noVBand="1"/>
      </w:tblPr>
      <w:tblGrid>
        <w:gridCol w:w="2472"/>
        <w:gridCol w:w="1007"/>
        <w:gridCol w:w="1015"/>
        <w:gridCol w:w="1215"/>
        <w:gridCol w:w="1015"/>
        <w:gridCol w:w="1015"/>
      </w:tblGrid>
      <w:tr w:rsidR="00B24D34" w:rsidTr="00B24D34">
        <w:trPr>
          <w:jc w:val="center"/>
        </w:trPr>
        <w:tc>
          <w:tcPr>
            <w:tcW w:w="2472" w:type="dxa"/>
            <w:shd w:val="clear" w:color="auto" w:fill="B5C0D8"/>
          </w:tcPr>
          <w:p w:rsidR="00B24D34" w:rsidRDefault="00B24D34">
            <w:pPr>
              <w:jc w:val="center"/>
            </w:pPr>
            <w:r>
              <w:t>Pokazatelj rezultata</w:t>
            </w:r>
          </w:p>
        </w:tc>
        <w:tc>
          <w:tcPr>
            <w:tcW w:w="1007" w:type="dxa"/>
            <w:shd w:val="clear" w:color="auto" w:fill="B5C0D8"/>
          </w:tcPr>
          <w:p w:rsidR="00B24D34" w:rsidRDefault="00B24D34">
            <w:pPr>
              <w:pStyle w:val="CellHeader"/>
              <w:jc w:val="center"/>
            </w:pPr>
            <w:r>
              <w:rPr>
                <w:rFonts w:cs="Times New Roman"/>
              </w:rPr>
              <w:t>Jedinica</w:t>
            </w:r>
          </w:p>
        </w:tc>
        <w:tc>
          <w:tcPr>
            <w:tcW w:w="1015" w:type="dxa"/>
            <w:shd w:val="clear" w:color="auto" w:fill="B5C0D8"/>
          </w:tcPr>
          <w:p w:rsidR="00B24D34" w:rsidRDefault="00B24D34">
            <w:pPr>
              <w:pStyle w:val="CellHeader"/>
              <w:jc w:val="center"/>
            </w:pPr>
            <w:r>
              <w:rPr>
                <w:rFonts w:cs="Times New Roman"/>
              </w:rPr>
              <w:t>Polazna vrijednost</w:t>
            </w:r>
          </w:p>
        </w:tc>
        <w:tc>
          <w:tcPr>
            <w:tcW w:w="1215" w:type="dxa"/>
            <w:shd w:val="clear" w:color="auto" w:fill="B5C0D8"/>
          </w:tcPr>
          <w:p w:rsidR="00B24D34" w:rsidRDefault="00B24D34">
            <w:pPr>
              <w:pStyle w:val="CellHeader"/>
              <w:jc w:val="center"/>
            </w:pPr>
            <w:r>
              <w:rPr>
                <w:rFonts w:cs="Times New Roman"/>
              </w:rPr>
              <w:t>Izvor podataka</w:t>
            </w:r>
          </w:p>
        </w:tc>
        <w:tc>
          <w:tcPr>
            <w:tcW w:w="1015" w:type="dxa"/>
            <w:shd w:val="clear" w:color="auto" w:fill="B5C0D8"/>
          </w:tcPr>
          <w:p w:rsidR="00B24D34" w:rsidRDefault="00B24D34">
            <w:pPr>
              <w:pStyle w:val="CellHeader"/>
              <w:jc w:val="center"/>
            </w:pPr>
            <w:r>
              <w:rPr>
                <w:rFonts w:cs="Times New Roman"/>
              </w:rPr>
              <w:t>Ciljana vrijednost (2016.)</w:t>
            </w:r>
          </w:p>
        </w:tc>
        <w:tc>
          <w:tcPr>
            <w:tcW w:w="1015" w:type="dxa"/>
            <w:shd w:val="clear" w:color="auto" w:fill="B5C0D8"/>
          </w:tcPr>
          <w:p w:rsidR="00B24D34" w:rsidRDefault="00B24D34">
            <w:pPr>
              <w:pStyle w:val="CellHeader"/>
              <w:jc w:val="center"/>
            </w:pPr>
            <w:r>
              <w:rPr>
                <w:rFonts w:cs="Times New Roman"/>
              </w:rPr>
              <w:t>Ostvarena vrijednost (2016.)</w:t>
            </w:r>
          </w:p>
        </w:tc>
      </w:tr>
      <w:tr w:rsidR="00B24D34" w:rsidTr="00B24D34">
        <w:trPr>
          <w:jc w:val="center"/>
        </w:trPr>
        <w:tc>
          <w:tcPr>
            <w:tcW w:w="2472" w:type="dxa"/>
          </w:tcPr>
          <w:p w:rsidR="00B24D34" w:rsidRDefault="00B24D34">
            <w:pPr>
              <w:pStyle w:val="CellColumn"/>
              <w:jc w:val="left"/>
            </w:pPr>
            <w:r>
              <w:rPr>
                <w:rFonts w:cs="Times New Roman"/>
              </w:rPr>
              <w:t>Održavanje postojećeg broja medijski popraćenih događaja vezanih uz provedbu projekta</w:t>
            </w:r>
          </w:p>
        </w:tc>
        <w:tc>
          <w:tcPr>
            <w:tcW w:w="1007" w:type="dxa"/>
          </w:tcPr>
          <w:p w:rsidR="00B24D34" w:rsidRDefault="00B24D34">
            <w:pPr>
              <w:pStyle w:val="CellColumn"/>
              <w:jc w:val="right"/>
            </w:pPr>
            <w:r>
              <w:rPr>
                <w:rFonts w:cs="Times New Roman"/>
              </w:rPr>
              <w:t>broj</w:t>
            </w:r>
          </w:p>
        </w:tc>
        <w:tc>
          <w:tcPr>
            <w:tcW w:w="1015" w:type="dxa"/>
          </w:tcPr>
          <w:p w:rsidR="00B24D34" w:rsidRDefault="00B24D34">
            <w:pPr>
              <w:pStyle w:val="CellColumn"/>
              <w:jc w:val="right"/>
            </w:pPr>
            <w:r>
              <w:rPr>
                <w:rFonts w:cs="Times New Roman"/>
              </w:rPr>
              <w:t>4</w:t>
            </w:r>
          </w:p>
        </w:tc>
        <w:tc>
          <w:tcPr>
            <w:tcW w:w="1215" w:type="dxa"/>
          </w:tcPr>
          <w:p w:rsidR="00B24D34" w:rsidRDefault="00B24D34">
            <w:pPr>
              <w:pStyle w:val="CellColumn"/>
              <w:jc w:val="right"/>
            </w:pPr>
            <w:r>
              <w:rPr>
                <w:rFonts w:cs="Times New Roman"/>
              </w:rPr>
              <w:t>JUMCDRVU</w:t>
            </w:r>
          </w:p>
        </w:tc>
        <w:tc>
          <w:tcPr>
            <w:tcW w:w="1015" w:type="dxa"/>
          </w:tcPr>
          <w:p w:rsidR="00B24D34" w:rsidRDefault="00B24D34">
            <w:pPr>
              <w:pStyle w:val="CellColumn"/>
              <w:jc w:val="right"/>
            </w:pPr>
            <w:r>
              <w:rPr>
                <w:rFonts w:cs="Times New Roman"/>
              </w:rPr>
              <w:t>4</w:t>
            </w:r>
          </w:p>
        </w:tc>
        <w:tc>
          <w:tcPr>
            <w:tcW w:w="1015" w:type="dxa"/>
          </w:tcPr>
          <w:p w:rsidR="00B24D34" w:rsidRDefault="00B24D34">
            <w:pPr>
              <w:pStyle w:val="CellColumn"/>
              <w:jc w:val="right"/>
            </w:pPr>
            <w:r>
              <w:rPr>
                <w:rFonts w:cs="Times New Roman"/>
              </w:rPr>
              <w:t>4</w:t>
            </w:r>
          </w:p>
        </w:tc>
      </w:tr>
    </w:tbl>
    <w:p w:rsidR="005C2091" w:rsidRDefault="005C2091">
      <w:pPr>
        <w:jc w:val="left"/>
      </w:pPr>
    </w:p>
    <w:p w:rsidR="005C2091" w:rsidRDefault="00A86293">
      <w:pPr>
        <w:pStyle w:val="Heading2"/>
      </w:pPr>
      <w:r>
        <w:t>04115 Dom hrvatskih veterana</w:t>
      </w:r>
    </w:p>
    <w:p w:rsidR="005C2091" w:rsidRDefault="00A86293">
      <w:r>
        <w:t xml:space="preserve">Dom hrvatskih veterana je javna ustanova koju je osnovalo Ministarstvo hrvatskih branitelja s namjerom poboljšanja i jačanja pružanja sveobuhvatne skrbi za populaciju hrvatskih branitelja i članova njihovih obitelji i ostalih stradalnika Domovinskog rata.  </w:t>
      </w:r>
    </w:p>
    <w:p w:rsidR="005C2091" w:rsidRDefault="00A86293">
      <w:r>
        <w:t xml:space="preserve">Osnovna zadaća javne ustanove Dom hrvatskih veterana je sveobuhvatna skrb o braniteljskoj i stradalničkoj populaciji na jednom mjestu, multidisciplinarnim stručnim djelovanjem stručnjaka iz biomedicinskog i društveno-humanističkog područja, što će omogućiti potpuniju društvenu uključenost, usvajanje novih znanja i vještina, jačanje samopouzdanja i samopoštovanja, veći stupanj samostalnosti korisnika te jačanje osobnih potencijala. Ovim oblikom rehabilitacije značajno će se utjecati na poboljšanje kvalitete života korisnika kao i na smanjenje recidiva određenih bolesti.   </w:t>
      </w:r>
    </w:p>
    <w:p w:rsidR="005C2091" w:rsidRDefault="00A86293">
      <w:r>
        <w:t>Ustanova je zamišljena kao smještajno-rehabilitacijska u kojoj će hrvatski branitelji, povratnici iz mirovnih misija, stradali pirotehničari, civilne žrtve rata i ostale osobe za koje se utvrdi potreba za korištenjem usluga doma biti smješteni ili boraviti, ovisno o zdravstvenom stanju, socio-ekonomskoj situaciji i smještajnim kapacitetima Doma.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04115-Dom hrvatskih veterana</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15.385.000</w:t>
            </w:r>
          </w:p>
        </w:tc>
        <w:tc>
          <w:tcPr>
            <w:tcW w:w="2041" w:type="dxa"/>
            <w:vAlign w:val="top"/>
          </w:tcPr>
          <w:p w:rsidR="005C2091" w:rsidRDefault="00A86293">
            <w:pPr>
              <w:pStyle w:val="CellColumn"/>
              <w:jc w:val="right"/>
            </w:pPr>
            <w:r>
              <w:rPr>
                <w:rFonts w:cs="Times New Roman"/>
              </w:rPr>
              <w:t>11.966.473</w:t>
            </w:r>
          </w:p>
        </w:tc>
        <w:tc>
          <w:tcPr>
            <w:tcW w:w="1224" w:type="dxa"/>
            <w:vAlign w:val="top"/>
          </w:tcPr>
          <w:p w:rsidR="005C2091" w:rsidRDefault="00A86293">
            <w:pPr>
              <w:pStyle w:val="CellColumn"/>
              <w:jc w:val="right"/>
            </w:pPr>
            <w:r>
              <w:rPr>
                <w:rFonts w:cs="Times New Roman"/>
              </w:rPr>
              <w:t>77,8</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tcPr>
          <w:p w:rsidR="005C2091" w:rsidRDefault="00A86293">
            <w:pPr>
              <w:jc w:val="left"/>
            </w:pPr>
            <w:r>
              <w:t>4007-SKRB ZA HRVATSKE BRANITELJE IZ DOMOVINSKOG RATA</w:t>
            </w:r>
          </w:p>
        </w:tc>
        <w:tc>
          <w:tcPr>
            <w:tcW w:w="2041" w:type="dxa"/>
          </w:tcPr>
          <w:p w:rsidR="005C2091" w:rsidRDefault="00A86293">
            <w:pPr>
              <w:jc w:val="right"/>
            </w:pPr>
            <w:r>
              <w:t>00</w:t>
            </w:r>
          </w:p>
        </w:tc>
        <w:tc>
          <w:tcPr>
            <w:tcW w:w="2041" w:type="dxa"/>
          </w:tcPr>
          <w:p w:rsidR="005C2091" w:rsidRDefault="00A86293">
            <w:pPr>
              <w:jc w:val="right"/>
            </w:pPr>
            <w:r>
              <w:t>15.385.000</w:t>
            </w:r>
          </w:p>
        </w:tc>
        <w:tc>
          <w:tcPr>
            <w:tcW w:w="2041" w:type="dxa"/>
          </w:tcPr>
          <w:p w:rsidR="005C2091" w:rsidRDefault="00A86293">
            <w:pPr>
              <w:jc w:val="right"/>
            </w:pPr>
            <w:r>
              <w:t>11.966.473</w:t>
            </w:r>
          </w:p>
        </w:tc>
        <w:tc>
          <w:tcPr>
            <w:tcW w:w="1224" w:type="dxa"/>
          </w:tcPr>
          <w:p w:rsidR="005C2091" w:rsidRDefault="00A86293">
            <w:pPr>
              <w:jc w:val="right"/>
            </w:pPr>
            <w:r>
              <w:t>77,8</w:t>
            </w:r>
          </w:p>
        </w:tc>
        <w:tc>
          <w:tcPr>
            <w:tcW w:w="1224"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t>4007 SKRB ZA HRVATSKE BRANITELJE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lastRenderedPageBreak/>
              <w:t>4007-SKRB ZA HRVATSKE BRANITELJE IZ DOMOVINSKOG RATA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15.385.000</w:t>
            </w:r>
          </w:p>
        </w:tc>
        <w:tc>
          <w:tcPr>
            <w:tcW w:w="2041" w:type="dxa"/>
          </w:tcPr>
          <w:p w:rsidR="005C2091" w:rsidRDefault="00A86293">
            <w:pPr>
              <w:pStyle w:val="CellColumn"/>
              <w:jc w:val="right"/>
            </w:pPr>
            <w:r>
              <w:rPr>
                <w:rFonts w:cs="Times New Roman"/>
              </w:rPr>
              <w:t>11.966.473</w:t>
            </w:r>
          </w:p>
        </w:tc>
        <w:tc>
          <w:tcPr>
            <w:tcW w:w="1224" w:type="dxa"/>
          </w:tcPr>
          <w:p w:rsidR="005C2091" w:rsidRDefault="00A86293">
            <w:pPr>
              <w:pStyle w:val="CellColumn"/>
              <w:jc w:val="right"/>
            </w:pPr>
            <w:r>
              <w:rPr>
                <w:rFonts w:cs="Times New Roman"/>
              </w:rPr>
              <w:t>77,8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 xml:space="preserve">Cilj programa javne ustanove Dom hrvatskih veterana je sveobuhvatna skrb o braniteljskoj i stradalničkoj populaciji na jednom mjestu, multidisciplinarnim stručnim djelovanjem.  </w:t>
      </w:r>
    </w:p>
    <w:p w:rsidR="005C2091" w:rsidRDefault="00A86293">
      <w:r>
        <w:t xml:space="preserve">Dom je zamišljen kao centar razvoja u kojemu će se pružati savjetodavna pomoć, provoditi preventivno psihosocijalni, zdravstveni i rehabilitacijski programi, razvijati koncept zadrugarstva kao oblika socijalnog poduzetništva, osnaživati potencijal korisnika za zapošljavanje i uključivati ih u razne kulturno-umjetničke te sportsko-rekreativne aktivnosti.   </w:t>
      </w:r>
    </w:p>
    <w:p w:rsidR="005C2091" w:rsidRDefault="00A86293">
      <w:r>
        <w:t xml:space="preserve">Korisnicima će biti omogućena i edukacija (radionice, treninzi, predavanja) te radna terapija ili pružanje pomoći pri zapošljavanju (poduzetništvo, upravljanje projektima, informatička pismenost i sl.).   </w:t>
      </w:r>
    </w:p>
    <w:p w:rsidR="005C2091" w:rsidRDefault="00A86293">
      <w:r>
        <w:t>Na navedeni način u Domu hrvatskih veterana provoditi će se sveobuhvatna skrb o braniteljskoj i stradalničkoj populaciji na jednom mjestu i time podizati kvaliteta života i jačati sustav skrbi o braniteljskoj i stradalničkoj populaciji.</w:t>
      </w:r>
    </w:p>
    <w:p w:rsidR="005C2091" w:rsidRDefault="00A86293">
      <w:pPr>
        <w:pStyle w:val="Heading8"/>
        <w:jc w:val="left"/>
      </w:pPr>
      <w:r>
        <w:t>Cilj 1. Jačanje sustava skrbi i podizanje kvalitete života braniteljske i stradalničke populacije kroz djelatnost Doma hrvatskih veterana</w:t>
      </w:r>
    </w:p>
    <w:p w:rsidR="005C2091" w:rsidRDefault="00A86293">
      <w:pPr>
        <w:pStyle w:val="Heading8"/>
        <w:jc w:val="left"/>
      </w:pPr>
      <w:r>
        <w:t>Opis provedbe cilja programa</w:t>
      </w:r>
    </w:p>
    <w:p w:rsidR="005C2091" w:rsidRDefault="00A86293">
      <w:r>
        <w:t xml:space="preserve">Završetkom Domovinskog rata Republika Hrvatska suočila se s velikim brojem vojnih i civilnih invalida koji uz psihičke traume nose i težak teret tjelesnog oštećenja. Učestala radna nesposobnost u populaciji hrvatskih branitelja pogodovala je socijalnom isključivanju kako samih branitelja tako i njihovih obitelji te se pokazalo kako veterani predstavljaju rizičnu skupinu koja zaslužuje prioritetan status u strategijama skrbi, ali i javnog zdravstva svojih zemalja.  </w:t>
      </w:r>
    </w:p>
    <w:p w:rsidR="005C2091" w:rsidRDefault="00A86293">
      <w:r>
        <w:t xml:space="preserve">Uz dosadašnju problematiku hrvatskih ratnih vojnih invalida s najtežim stupnjem oštećenja organizma temeljem ranjavanja, ozljeda ili oboljenja, obzirom na starenje populacije, očekuje se da će zdravstvene potrebe hrvatskih branitelja biti sve izraženije, posebice kod onih branitelja koji se nalaze i u teškoj novčano-materijalnoj situaciji i nemaju članova obitelji koji bi mogli za njih skrbiti. Zbog svega navedenog, oni imaju bitno umanjene šanse za samostalnu prilagodbu te je za njih nužno osiguravati različite oblike potpore od strane društvene zajednice.  </w:t>
      </w:r>
    </w:p>
    <w:p w:rsidR="005C2091" w:rsidRDefault="00A86293">
      <w:r>
        <w:t xml:space="preserve">Dom hrvatskih veterana zamišljen je kao smještajno-rehabilitacijska ustanova u kojoj će hrvatski branitelji, povratnici iz mirovnih misija, stradali pirotehničari, civilne žrtve rata i ostale osobe za koje se utvrdi potreba za korištenjem usluga doma boraviti trajno ili privremeno, ovisno o zdravstvenom stanju, socio-ekonomskoj situaciji i smještajnim kapacitetima Doma. </w:t>
      </w:r>
    </w:p>
    <w:p w:rsidR="005C2091" w:rsidRDefault="00A86293">
      <w:r>
        <w:t xml:space="preserve">Dom je zamišljen kao centar razvoja u kojemu će se pružati savjetodavna pomoć, provoditi preventivno psihosocijalni, zdravstveni i rehabilitacijski programi, razvijati koncept zadrugarstva kao oblika socijalnog poduzetništva, osnaživati potencijal korisnika za zapošljavanje i uključivati ih u razne kulturno-umjetničke te sportsko-rekreativne aktivnosti. </w:t>
      </w:r>
    </w:p>
    <w:p w:rsidR="005C2091" w:rsidRDefault="00A86293">
      <w:r>
        <w:t xml:space="preserve">Korisnicima će biti omogućena i edukacija (radionice, treninzi, predavanja) te radna terapija ili pružanje pomoći pri zapošljavanju (poduzetništvo, upravljanje projektima, informatička pismenost i sl.).  </w:t>
      </w:r>
    </w:p>
    <w:p w:rsidR="005C2091" w:rsidRDefault="00A86293">
      <w:r>
        <w:t>Na navedeni način u Domu hrvatskih veterana provoditi će se sveobuhvatna skrb o braniteljskoj i stradalničkoj populaciji na jednom mjestu i time podizati kvalitetu života i jačati sustav skrbi o braniteljskoj i stradalničkoj populaciji.</w:t>
      </w:r>
    </w:p>
    <w:p w:rsidR="005C2091" w:rsidRDefault="00A86293">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215516" w:rsidTr="00215516">
        <w:trPr>
          <w:jc w:val="center"/>
        </w:trPr>
        <w:tc>
          <w:tcPr>
            <w:tcW w:w="2553" w:type="dxa"/>
            <w:shd w:val="clear" w:color="auto" w:fill="B5C0D8"/>
          </w:tcPr>
          <w:p w:rsidR="00215516" w:rsidRDefault="00215516">
            <w:pPr>
              <w:jc w:val="center"/>
            </w:pPr>
            <w:r>
              <w:t>Pokazatelj učinka</w:t>
            </w:r>
          </w:p>
        </w:tc>
        <w:tc>
          <w:tcPr>
            <w:tcW w:w="1020" w:type="dxa"/>
            <w:shd w:val="clear" w:color="auto" w:fill="B5C0D8"/>
          </w:tcPr>
          <w:p w:rsidR="00215516" w:rsidRDefault="00215516">
            <w:pPr>
              <w:pStyle w:val="CellHeader"/>
              <w:jc w:val="center"/>
            </w:pPr>
            <w:r>
              <w:rPr>
                <w:rFonts w:cs="Times New Roman"/>
              </w:rPr>
              <w:t>Jedinica</w:t>
            </w:r>
          </w:p>
        </w:tc>
        <w:tc>
          <w:tcPr>
            <w:tcW w:w="1020" w:type="dxa"/>
            <w:shd w:val="clear" w:color="auto" w:fill="B5C0D8"/>
          </w:tcPr>
          <w:p w:rsidR="00215516" w:rsidRDefault="00215516">
            <w:pPr>
              <w:pStyle w:val="CellHeader"/>
              <w:jc w:val="center"/>
            </w:pPr>
            <w:r>
              <w:rPr>
                <w:rFonts w:cs="Times New Roman"/>
              </w:rPr>
              <w:t>Polazna vrijednost</w:t>
            </w:r>
          </w:p>
        </w:tc>
        <w:tc>
          <w:tcPr>
            <w:tcW w:w="1020" w:type="dxa"/>
            <w:shd w:val="clear" w:color="auto" w:fill="B5C0D8"/>
          </w:tcPr>
          <w:p w:rsidR="00215516" w:rsidRDefault="00215516">
            <w:pPr>
              <w:pStyle w:val="CellHeader"/>
              <w:jc w:val="center"/>
            </w:pPr>
            <w:r>
              <w:rPr>
                <w:rFonts w:cs="Times New Roman"/>
              </w:rPr>
              <w:t>Izvor podataka</w:t>
            </w:r>
          </w:p>
        </w:tc>
        <w:tc>
          <w:tcPr>
            <w:tcW w:w="1020" w:type="dxa"/>
            <w:shd w:val="clear" w:color="auto" w:fill="B5C0D8"/>
          </w:tcPr>
          <w:p w:rsidR="00215516" w:rsidRDefault="00215516">
            <w:pPr>
              <w:pStyle w:val="CellHeader"/>
              <w:jc w:val="center"/>
            </w:pPr>
            <w:r>
              <w:rPr>
                <w:rFonts w:cs="Times New Roman"/>
              </w:rPr>
              <w:t>Ciljana vrijednost (2016.)</w:t>
            </w:r>
          </w:p>
        </w:tc>
        <w:tc>
          <w:tcPr>
            <w:tcW w:w="1020" w:type="dxa"/>
            <w:shd w:val="clear" w:color="auto" w:fill="B5C0D8"/>
          </w:tcPr>
          <w:p w:rsidR="00215516" w:rsidRDefault="00215516">
            <w:pPr>
              <w:pStyle w:val="CellHeader"/>
              <w:jc w:val="center"/>
            </w:pPr>
            <w:r>
              <w:rPr>
                <w:rFonts w:cs="Times New Roman"/>
              </w:rPr>
              <w:t>Ostvarena vrijednost (2016.)</w:t>
            </w:r>
          </w:p>
        </w:tc>
      </w:tr>
      <w:tr w:rsidR="00215516" w:rsidTr="00215516">
        <w:trPr>
          <w:jc w:val="center"/>
        </w:trPr>
        <w:tc>
          <w:tcPr>
            <w:tcW w:w="2553" w:type="dxa"/>
          </w:tcPr>
          <w:p w:rsidR="00215516" w:rsidRDefault="00215516">
            <w:pPr>
              <w:pStyle w:val="CellColumn"/>
              <w:jc w:val="left"/>
            </w:pPr>
            <w:r>
              <w:rPr>
                <w:rFonts w:cs="Times New Roman"/>
              </w:rPr>
              <w:lastRenderedPageBreak/>
              <w:t>Povećanje udjela zadovoljstva korisnika Doma hrvatskih veterana</w:t>
            </w:r>
          </w:p>
        </w:tc>
        <w:tc>
          <w:tcPr>
            <w:tcW w:w="1020" w:type="dxa"/>
          </w:tcPr>
          <w:p w:rsidR="00215516" w:rsidRDefault="00215516">
            <w:pPr>
              <w:pStyle w:val="CellColumn"/>
              <w:jc w:val="right"/>
            </w:pPr>
            <w:r>
              <w:rPr>
                <w:rFonts w:cs="Times New Roman"/>
              </w:rPr>
              <w:t>postotak</w:t>
            </w:r>
          </w:p>
        </w:tc>
        <w:tc>
          <w:tcPr>
            <w:tcW w:w="1020" w:type="dxa"/>
          </w:tcPr>
          <w:p w:rsidR="00215516" w:rsidRDefault="00215516">
            <w:pPr>
              <w:pStyle w:val="CellColumn"/>
              <w:jc w:val="right"/>
            </w:pPr>
            <w:r>
              <w:rPr>
                <w:rFonts w:cs="Times New Roman"/>
              </w:rPr>
              <w:t>0</w:t>
            </w:r>
          </w:p>
        </w:tc>
        <w:tc>
          <w:tcPr>
            <w:tcW w:w="1020" w:type="dxa"/>
          </w:tcPr>
          <w:p w:rsidR="00215516" w:rsidRDefault="00215516">
            <w:pPr>
              <w:pStyle w:val="CellColumn"/>
              <w:jc w:val="right"/>
            </w:pPr>
            <w:r>
              <w:rPr>
                <w:rFonts w:cs="Times New Roman"/>
              </w:rPr>
              <w:t>DHV</w:t>
            </w:r>
          </w:p>
        </w:tc>
        <w:tc>
          <w:tcPr>
            <w:tcW w:w="1020" w:type="dxa"/>
          </w:tcPr>
          <w:p w:rsidR="00215516" w:rsidRDefault="00215516">
            <w:pPr>
              <w:pStyle w:val="CellColumn"/>
              <w:jc w:val="right"/>
            </w:pPr>
            <w:r>
              <w:rPr>
                <w:rFonts w:cs="Times New Roman"/>
              </w:rPr>
              <w:t>88</w:t>
            </w:r>
          </w:p>
        </w:tc>
        <w:tc>
          <w:tcPr>
            <w:tcW w:w="1020" w:type="dxa"/>
          </w:tcPr>
          <w:p w:rsidR="00215516" w:rsidRDefault="00215516">
            <w:pPr>
              <w:pStyle w:val="CellColumn"/>
              <w:jc w:val="right"/>
            </w:pPr>
            <w:r>
              <w:rPr>
                <w:rFonts w:cs="Times New Roman"/>
              </w:rPr>
              <w:t>0</w:t>
            </w:r>
          </w:p>
        </w:tc>
      </w:tr>
    </w:tbl>
    <w:p w:rsidR="005C2091" w:rsidRDefault="005C2091">
      <w:pPr>
        <w:jc w:val="left"/>
      </w:pPr>
    </w:p>
    <w:p w:rsidR="005C2091" w:rsidRDefault="00A86293">
      <w:pPr>
        <w:pStyle w:val="Heading4"/>
      </w:pPr>
      <w:r>
        <w:t>A901001 ADMINISTRACIJA I UPRAVLJANJE</w:t>
      </w:r>
    </w:p>
    <w:tbl>
      <w:tblPr>
        <w:tblStyle w:val="StilTablice"/>
        <w:tblW w:w="10206" w:type="dxa"/>
        <w:jc w:val="center"/>
        <w:tblLook w:val="04A0" w:firstRow="1" w:lastRow="0" w:firstColumn="1" w:lastColumn="0" w:noHBand="0" w:noVBand="1"/>
      </w:tblPr>
      <w:tblGrid>
        <w:gridCol w:w="1792"/>
        <w:gridCol w:w="1990"/>
        <w:gridCol w:w="1997"/>
        <w:gridCol w:w="1997"/>
        <w:gridCol w:w="1213"/>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A901001-ADMINISTRACIJA I UPRAVLJANJE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15.385.000</w:t>
            </w:r>
          </w:p>
        </w:tc>
        <w:tc>
          <w:tcPr>
            <w:tcW w:w="2041" w:type="dxa"/>
          </w:tcPr>
          <w:p w:rsidR="005C2091" w:rsidRDefault="00A86293">
            <w:pPr>
              <w:pStyle w:val="CellColumn"/>
              <w:jc w:val="right"/>
            </w:pPr>
            <w:r>
              <w:rPr>
                <w:rFonts w:cs="Times New Roman"/>
              </w:rPr>
              <w:t>11.966.473</w:t>
            </w:r>
          </w:p>
        </w:tc>
        <w:tc>
          <w:tcPr>
            <w:tcW w:w="1224" w:type="dxa"/>
          </w:tcPr>
          <w:p w:rsidR="005C2091" w:rsidRDefault="00A86293">
            <w:pPr>
              <w:pStyle w:val="CellColumn"/>
              <w:jc w:val="right"/>
            </w:pPr>
            <w:r>
              <w:rPr>
                <w:rFonts w:cs="Times New Roman"/>
              </w:rPr>
              <w:t>77,8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 o pravima hrvatskih branitelja iz Domovinskog rata i članova njihovih obitelji (Narodne novine broj: 174/04, 92/05, 2/207, 107/07, 65/09, 137/09, 146/10, 55/11, 140/12, 19/13, 33/13,148/13 i 92/14).  </w:t>
      </w:r>
    </w:p>
    <w:p w:rsidR="005C2091" w:rsidRDefault="00A86293">
      <w:r>
        <w:t xml:space="preserve">– Statut Javne ustanove Dom hrvatskih veterana   </w:t>
      </w:r>
    </w:p>
    <w:p w:rsidR="005C2091" w:rsidRDefault="00A86293">
      <w:r>
        <w:t xml:space="preserve">– Pravilnik o radu   </w:t>
      </w:r>
    </w:p>
    <w:p w:rsidR="005C2091" w:rsidRDefault="00A86293">
      <w:r>
        <w:t>– Pravilnik o unutarnjem ustrojstvu i sistematizaciji radnih mjesta</w:t>
      </w:r>
    </w:p>
    <w:p w:rsidR="005C2091" w:rsidRDefault="00A86293">
      <w:pPr>
        <w:pStyle w:val="Heading8"/>
        <w:jc w:val="left"/>
      </w:pPr>
      <w:r>
        <w:t>Opis aktivnosti</w:t>
      </w:r>
    </w:p>
    <w:p w:rsidR="005C2091" w:rsidRDefault="00A86293">
      <w:r>
        <w:t xml:space="preserve">Kako bi se posebni cilj mogao realizirati, izgrađen je objekt sa smještajnim kapacitetima i prilagođen prostor za provedbu stručnih programa. Za završetak rekonstrukcije i dogradnje objekta Doma hrvatskih veterana u Lipiku, opremanje objekta, plaće i naknade za prijevoz djelatnika, režijske troškove, održavanje programa i stručne nadzore, troškove usluga platnog prometa i administrativne naknade u 2016. godini iz Državnog proračuna osigurano je 15.385.000,00 kuna. U izvještajnom razdoblju utrošeno je 11.966.472,80 kuna. Navedena sredstva utrošena su za: </w:t>
      </w:r>
    </w:p>
    <w:p w:rsidR="005C2091" w:rsidRDefault="00A86293">
      <w:r>
        <w:t xml:space="preserve">- organizaciju poslovanja i troškove usluga platnog prometa i administrativne naknade, </w:t>
      </w:r>
    </w:p>
    <w:p w:rsidR="005C2091" w:rsidRDefault="00A86293">
      <w:r>
        <w:t xml:space="preserve">- isplatu plaća zaposlenicima i podmirenje režijskih troškova,  </w:t>
      </w:r>
    </w:p>
    <w:p w:rsidR="005C2091" w:rsidRDefault="00A86293">
      <w:r>
        <w:t xml:space="preserve">- troškove održavanja računovodstvenih i računalnih programa,  </w:t>
      </w:r>
    </w:p>
    <w:p w:rsidR="005C2091" w:rsidRDefault="00A86293">
      <w:r>
        <w:t xml:space="preserve">- plaćanje usluga stručnog i projektantskog nadzora radova,  </w:t>
      </w:r>
    </w:p>
    <w:p w:rsidR="005C2091" w:rsidRDefault="00A86293">
      <w:r>
        <w:t>- rekonstrukciju i dogradnju objekta Doma hrvatskih veterana u Lipiku.</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215516" w:rsidTr="00215516">
        <w:trPr>
          <w:jc w:val="center"/>
        </w:trPr>
        <w:tc>
          <w:tcPr>
            <w:tcW w:w="2553" w:type="dxa"/>
            <w:shd w:val="clear" w:color="auto" w:fill="B5C0D8"/>
          </w:tcPr>
          <w:p w:rsidR="00215516" w:rsidRDefault="00215516">
            <w:pPr>
              <w:jc w:val="center"/>
            </w:pPr>
            <w:r>
              <w:t>Pokazatelj rezultata</w:t>
            </w:r>
          </w:p>
        </w:tc>
        <w:tc>
          <w:tcPr>
            <w:tcW w:w="1020" w:type="dxa"/>
            <w:shd w:val="clear" w:color="auto" w:fill="B5C0D8"/>
          </w:tcPr>
          <w:p w:rsidR="00215516" w:rsidRDefault="00215516">
            <w:pPr>
              <w:pStyle w:val="CellHeader"/>
              <w:jc w:val="center"/>
            </w:pPr>
            <w:r>
              <w:rPr>
                <w:rFonts w:cs="Times New Roman"/>
              </w:rPr>
              <w:t>Jedinica</w:t>
            </w:r>
          </w:p>
        </w:tc>
        <w:tc>
          <w:tcPr>
            <w:tcW w:w="1020" w:type="dxa"/>
            <w:shd w:val="clear" w:color="auto" w:fill="B5C0D8"/>
          </w:tcPr>
          <w:p w:rsidR="00215516" w:rsidRDefault="00215516">
            <w:pPr>
              <w:pStyle w:val="CellHeader"/>
              <w:jc w:val="center"/>
            </w:pPr>
            <w:r>
              <w:rPr>
                <w:rFonts w:cs="Times New Roman"/>
              </w:rPr>
              <w:t>Polazna vrijednost</w:t>
            </w:r>
          </w:p>
        </w:tc>
        <w:tc>
          <w:tcPr>
            <w:tcW w:w="1020" w:type="dxa"/>
            <w:shd w:val="clear" w:color="auto" w:fill="B5C0D8"/>
          </w:tcPr>
          <w:p w:rsidR="00215516" w:rsidRDefault="00215516">
            <w:pPr>
              <w:pStyle w:val="CellHeader"/>
              <w:jc w:val="center"/>
            </w:pPr>
            <w:r>
              <w:rPr>
                <w:rFonts w:cs="Times New Roman"/>
              </w:rPr>
              <w:t>Izvor podataka</w:t>
            </w:r>
          </w:p>
        </w:tc>
        <w:tc>
          <w:tcPr>
            <w:tcW w:w="1020" w:type="dxa"/>
            <w:shd w:val="clear" w:color="auto" w:fill="B5C0D8"/>
          </w:tcPr>
          <w:p w:rsidR="00215516" w:rsidRDefault="00215516">
            <w:pPr>
              <w:pStyle w:val="CellHeader"/>
              <w:jc w:val="center"/>
            </w:pPr>
            <w:r>
              <w:rPr>
                <w:rFonts w:cs="Times New Roman"/>
              </w:rPr>
              <w:t>Ciljana vrijednost (2016.)</w:t>
            </w:r>
          </w:p>
        </w:tc>
        <w:tc>
          <w:tcPr>
            <w:tcW w:w="1020" w:type="dxa"/>
            <w:shd w:val="clear" w:color="auto" w:fill="B5C0D8"/>
          </w:tcPr>
          <w:p w:rsidR="00215516" w:rsidRDefault="00215516">
            <w:pPr>
              <w:pStyle w:val="CellHeader"/>
              <w:jc w:val="center"/>
            </w:pPr>
            <w:r>
              <w:rPr>
                <w:rFonts w:cs="Times New Roman"/>
              </w:rPr>
              <w:t>Ostvarena vrijednost (2016.)</w:t>
            </w:r>
          </w:p>
        </w:tc>
      </w:tr>
      <w:tr w:rsidR="00215516" w:rsidTr="00215516">
        <w:trPr>
          <w:jc w:val="center"/>
        </w:trPr>
        <w:tc>
          <w:tcPr>
            <w:tcW w:w="2553" w:type="dxa"/>
          </w:tcPr>
          <w:p w:rsidR="00215516" w:rsidRDefault="00215516">
            <w:pPr>
              <w:pStyle w:val="CellColumn"/>
              <w:jc w:val="left"/>
            </w:pPr>
            <w:r>
              <w:rPr>
                <w:rFonts w:cs="Times New Roman"/>
              </w:rPr>
              <w:t>Povećanje udjela korisnika medicinske rehabilitacije kojima je zadržano ili unaprijeđeno zdravstveno stanje</w:t>
            </w:r>
          </w:p>
        </w:tc>
        <w:tc>
          <w:tcPr>
            <w:tcW w:w="1020" w:type="dxa"/>
          </w:tcPr>
          <w:p w:rsidR="00215516" w:rsidRDefault="00215516">
            <w:pPr>
              <w:pStyle w:val="CellColumn"/>
              <w:jc w:val="right"/>
            </w:pPr>
            <w:r>
              <w:rPr>
                <w:rFonts w:cs="Times New Roman"/>
              </w:rPr>
              <w:t>postotak</w:t>
            </w:r>
          </w:p>
        </w:tc>
        <w:tc>
          <w:tcPr>
            <w:tcW w:w="1020" w:type="dxa"/>
          </w:tcPr>
          <w:p w:rsidR="00215516" w:rsidRDefault="00215516">
            <w:pPr>
              <w:pStyle w:val="CellColumn"/>
              <w:jc w:val="right"/>
            </w:pPr>
            <w:r>
              <w:rPr>
                <w:rFonts w:cs="Times New Roman"/>
              </w:rPr>
              <w:t>0</w:t>
            </w:r>
          </w:p>
        </w:tc>
        <w:tc>
          <w:tcPr>
            <w:tcW w:w="1020" w:type="dxa"/>
          </w:tcPr>
          <w:p w:rsidR="00215516" w:rsidRDefault="00215516">
            <w:pPr>
              <w:pStyle w:val="CellColumn"/>
              <w:jc w:val="right"/>
            </w:pPr>
            <w:r>
              <w:rPr>
                <w:rFonts w:cs="Times New Roman"/>
              </w:rPr>
              <w:t>DHV</w:t>
            </w:r>
          </w:p>
        </w:tc>
        <w:tc>
          <w:tcPr>
            <w:tcW w:w="1020" w:type="dxa"/>
          </w:tcPr>
          <w:p w:rsidR="00215516" w:rsidRDefault="00215516">
            <w:pPr>
              <w:pStyle w:val="CellColumn"/>
              <w:jc w:val="right"/>
            </w:pPr>
            <w:r>
              <w:rPr>
                <w:rFonts w:cs="Times New Roman"/>
              </w:rPr>
              <w:t>78</w:t>
            </w:r>
          </w:p>
        </w:tc>
        <w:tc>
          <w:tcPr>
            <w:tcW w:w="1020" w:type="dxa"/>
          </w:tcPr>
          <w:p w:rsidR="00215516" w:rsidRDefault="00215516">
            <w:pPr>
              <w:pStyle w:val="CellColumn"/>
              <w:jc w:val="right"/>
            </w:pPr>
            <w:r>
              <w:rPr>
                <w:rFonts w:cs="Times New Roman"/>
              </w:rPr>
              <w:t>0</w:t>
            </w:r>
          </w:p>
        </w:tc>
      </w:tr>
      <w:tr w:rsidR="00215516" w:rsidTr="00215516">
        <w:trPr>
          <w:jc w:val="center"/>
        </w:trPr>
        <w:tc>
          <w:tcPr>
            <w:tcW w:w="2553" w:type="dxa"/>
          </w:tcPr>
          <w:p w:rsidR="00215516" w:rsidRDefault="00215516">
            <w:pPr>
              <w:pStyle w:val="CellColumn"/>
              <w:jc w:val="left"/>
            </w:pPr>
            <w:r>
              <w:rPr>
                <w:rFonts w:cs="Times New Roman"/>
              </w:rPr>
              <w:lastRenderedPageBreak/>
              <w:t>Povećanje udjela korisnika sportsko-rekreacijskih programa kojima se preventivno djeluje na smanjenje rizika pojave novih bolesti</w:t>
            </w:r>
          </w:p>
        </w:tc>
        <w:tc>
          <w:tcPr>
            <w:tcW w:w="1020" w:type="dxa"/>
          </w:tcPr>
          <w:p w:rsidR="00215516" w:rsidRDefault="00215516">
            <w:pPr>
              <w:pStyle w:val="CellColumn"/>
              <w:jc w:val="right"/>
            </w:pPr>
            <w:r>
              <w:rPr>
                <w:rFonts w:cs="Times New Roman"/>
              </w:rPr>
              <w:t>postotak</w:t>
            </w:r>
          </w:p>
        </w:tc>
        <w:tc>
          <w:tcPr>
            <w:tcW w:w="1020" w:type="dxa"/>
          </w:tcPr>
          <w:p w:rsidR="00215516" w:rsidRDefault="00215516">
            <w:pPr>
              <w:pStyle w:val="CellColumn"/>
              <w:jc w:val="right"/>
            </w:pPr>
            <w:r>
              <w:rPr>
                <w:rFonts w:cs="Times New Roman"/>
              </w:rPr>
              <w:t>0</w:t>
            </w:r>
          </w:p>
        </w:tc>
        <w:tc>
          <w:tcPr>
            <w:tcW w:w="1020" w:type="dxa"/>
          </w:tcPr>
          <w:p w:rsidR="00215516" w:rsidRDefault="00215516">
            <w:pPr>
              <w:pStyle w:val="CellColumn"/>
              <w:jc w:val="right"/>
            </w:pPr>
            <w:r>
              <w:rPr>
                <w:rFonts w:cs="Times New Roman"/>
              </w:rPr>
              <w:t>DHV</w:t>
            </w:r>
          </w:p>
        </w:tc>
        <w:tc>
          <w:tcPr>
            <w:tcW w:w="1020" w:type="dxa"/>
          </w:tcPr>
          <w:p w:rsidR="00215516" w:rsidRDefault="00215516">
            <w:pPr>
              <w:pStyle w:val="CellColumn"/>
              <w:jc w:val="right"/>
            </w:pPr>
            <w:r>
              <w:rPr>
                <w:rFonts w:cs="Times New Roman"/>
              </w:rPr>
              <w:t>80</w:t>
            </w:r>
          </w:p>
        </w:tc>
        <w:tc>
          <w:tcPr>
            <w:tcW w:w="1020" w:type="dxa"/>
          </w:tcPr>
          <w:p w:rsidR="00215516" w:rsidRDefault="00215516">
            <w:pPr>
              <w:pStyle w:val="CellColumn"/>
              <w:jc w:val="right"/>
            </w:pPr>
            <w:r>
              <w:rPr>
                <w:rFonts w:cs="Times New Roman"/>
              </w:rPr>
              <w:t>0</w:t>
            </w:r>
          </w:p>
        </w:tc>
      </w:tr>
    </w:tbl>
    <w:p w:rsidR="00215516" w:rsidRDefault="00215516">
      <w:pPr>
        <w:jc w:val="left"/>
      </w:pPr>
    </w:p>
    <w:p w:rsidR="005C2091" w:rsidRDefault="00215516" w:rsidP="00215516">
      <w:r>
        <w:br w:type="page"/>
      </w:r>
    </w:p>
    <w:p w:rsidR="005C2091" w:rsidRDefault="00A86293">
      <w:pPr>
        <w:pStyle w:val="Heading1"/>
      </w:pPr>
      <w:r>
        <w:lastRenderedPageBreak/>
        <w:t>048 MINISTARSTVO VANJSKIH I EUROPSKIH POSLOVA</w:t>
      </w:r>
    </w:p>
    <w:p w:rsidR="005C2091" w:rsidRDefault="00A86293">
      <w:r>
        <w:t xml:space="preserve">Ministarstvo vanjskih i europskih poslova (MVEP) korisnik je razdjela 048, glave 05 u Državnom proračunu. Prijedlog financijskog plana za razdoblje 2016.-2018. odražava financijska sredstva alocirana na  izvršenje prioritetnih programa u navedenom razdoblju, a s ciljem jačanja međunarodnog položaja Republike Hrvatske.  </w:t>
      </w:r>
    </w:p>
    <w:p w:rsidR="005C2091" w:rsidRDefault="00A86293">
      <w:r>
        <w:t xml:space="preserve">Vizija uspješnog djelovanja Ministarstva vanjskih i europskih poslova je Republika Hrvatska kao članica Europske unije i NATO-a koja brine o gospodarskim, demografskim i političkim interesima vlastitih državljana te je u potpunosti integrirana u Europsku uniju. U toj zajednici Republika Hrvatska je vjerodostojna članica s modernom i konkurentom industrijom i stabilnom ekonomijom sukladnom ekonomskim i fiskalnim standardima i politikama Europske unije.  </w:t>
      </w:r>
    </w:p>
    <w:p w:rsidR="005C2091" w:rsidRDefault="00A86293">
      <w:r>
        <w:t xml:space="preserve">Ministarstvo vanjskih i europskih poslova nadležno je tijelo državne uprave za provedbu vanjske politike Republike Hrvatske i nacionalnu koordinaciju europskih poslova, a koju provodi neposredno u suradnji s ostalim tijelima državne uprave, odnosno putem diplomatskih i drugih predstavništava Republike Hrvatske u inozemstvu. Provodi vanjskopolitičke interese Republike Hrvatske, kao i one u okviru politika Europske unije; predlaže pokretanje i razvijanje djelovanja u području politika Europske unije te u području vanjske politike i međunarodnih odnosa. Ministarstvo vanjskih i europskih poslova neposredno predstavlja Republiku Hrvatsku u drugim državama i u međunarodnim institucijama; štiti interese Republike Hrvatske, njezinih državljana i pravnih osoba; jamči osobitu skrb i zaštitu dijelovima hrvatskog naroda izvan Republike Hrvatske; razvija prijateljske odnose i suradnju između Republike Hrvatske i drugih država na političkom, konzularnom, gospodarskom, kulturno-prosvjetnom, znanstveno-tehnološkom i informacijskom području, kao i drugim područjima od interesa za Republiku Hrvatsku. </w:t>
      </w:r>
    </w:p>
    <w:p w:rsidR="005C2091" w:rsidRDefault="00A86293">
      <w:r>
        <w:t xml:space="preserve">Procijenjeni iznos prihoda za 2016. godinu, po provedenim izmjenama i dopunama Državnog proračuna, iznosio je 624.288.571. Osim izvora financiranja 1. Opći prihodi i primici, a koji iznosi 540.345.435 za 2016. godinu, predviđeno je i financiranje iz izvora 31 – Vlastiti prihod, 41 – Prihod od igara na sreću, 43 – Prihod za posebne namjene (konzularni prihod) , 51 – Pomoći EU, 52 – Ostale pomoći i darovnice, 53 – Inozemne darovnice, 571 – Schengenski instrument i 61- Donacije. </w:t>
      </w:r>
    </w:p>
    <w:p w:rsidR="005C2091" w:rsidRDefault="00A86293">
      <w:r>
        <w:t xml:space="preserve">Ostvareni prihodi iznosili su 597.295.775 kn od čega se na Prihode od poreza odnosi 7.264.192 kn, Pomoći iz inozemstva i od subjekata unutar općeg proračuna 2.105.935 kn, Prihodi od upravnih i administrativnih pristojbi, pristojbi po posebnim propisima i naknadama 64.250.518 kn, Prihodi od prodaje proizvoda i roba, te pruženih usluga i prihodi od donacija 560.445 kn te Prihodi iz nadležnog proračuna u iznosu od 523.114.683 kn. Ostvareni su i primici od financijske imovine i zaduživanja u iznosu od 2.060.610 kn. </w:t>
      </w:r>
    </w:p>
    <w:p w:rsidR="005C2091" w:rsidRDefault="00A86293">
      <w:r>
        <w:t xml:space="preserve">Ostvareni rashodi i izdaci 2016. godine iznose 602.474.110 kn, što u odnosu na planirane vrijednosti predstavlja indeks ostvarenja 96,5. Razlika između ostvarenih prihoda i primitaka i rashoda i izdataka financirana je iz prenesenih salda na izvorima kojima je sukladno Zakonu o proračunu dana fleksibilnost u izvršavanju. U odnosu na izvršenje 2015. godine zabilježeno je smanjenje rashoda od  2%. </w:t>
      </w:r>
    </w:p>
    <w:p w:rsidR="005C2091" w:rsidRDefault="00A86293">
      <w:r>
        <w:t xml:space="preserve">Promatrajući izvršenje financijskog plana prema skupinama rashoda uočava se struktura kako slijedi: </w:t>
      </w:r>
    </w:p>
    <w:p w:rsidR="005C2091" w:rsidRDefault="00A86293">
      <w:r>
        <w:t xml:space="preserve">Rashodi za zaposlene (31) iznose 276.983.924 kn što predstavlja 45% ukupnih rashoda Ministarstva. Alocirani su na dvije proračunske aktivnosti A777046 Administracija i upravljanje s koje se financira poslovanje središnjice u Zagrebu te na proračunskoj aktivnosti A777000 Administracija i upravljanje s koje se financira poslovanje diplomatsko konzularnih predstavništava RH u svijetu.   </w:t>
      </w:r>
    </w:p>
    <w:p w:rsidR="005C2091" w:rsidRDefault="00A86293">
      <w:r>
        <w:t xml:space="preserve">Materijalni rashodi (32) ukupno iznose 291.120.960 kn što predstavlja 48% ukupnih rashoda u 2016. godini. Značajan dio rashoda na navedenoj skupini (11%) odnosi se na podmirenje obveza na ime članstva u međunarodnim organizacijama i institucijama, te je na ime istog u 2016. utrošeno 68.551.690 kn.   </w:t>
      </w:r>
    </w:p>
    <w:p w:rsidR="005C2091" w:rsidRDefault="00A86293">
      <w:r>
        <w:t xml:space="preserve">Rashodi na skupinama 34 Financijski rashodi, 36 Pomoći dane u inozemstvo i unutar opće države, 37 Naknade građanima i kućanstvima temeljem osiguranja i druge naknade te 38 Ostali rashodi ukupno iznose 10.847.644 kn i predstavljaju 1% ukupnih rashoda. </w:t>
      </w:r>
    </w:p>
    <w:p w:rsidR="005C2091" w:rsidRDefault="00A86293">
      <w:r>
        <w:t>Na grupi rashoda 4 Rashodi za nabavu nefinancijske imovine zabilježeni su rashodi u iznosu od 20.517.082 kn što predstavlja 3% ukupnih rashoda, dok je na grupi 5 Izdaci za financijsku imovinu i otplate zajmova evidentirano rashoda u iznosu od 3.004.498 kn, odnosno 0,5% ukupnih rashoda Ministarstva.</w:t>
      </w:r>
    </w:p>
    <w:p w:rsidR="00215516" w:rsidRDefault="00215516"/>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04805-Ministarstvo vanjskih i europskih poslova</w:t>
            </w:r>
          </w:p>
        </w:tc>
        <w:tc>
          <w:tcPr>
            <w:tcW w:w="2041" w:type="dxa"/>
            <w:vAlign w:val="top"/>
          </w:tcPr>
          <w:p w:rsidR="005C2091" w:rsidRDefault="00A86293">
            <w:pPr>
              <w:pStyle w:val="CellColumn"/>
              <w:jc w:val="right"/>
            </w:pPr>
            <w:r>
              <w:rPr>
                <w:rFonts w:cs="Times New Roman"/>
              </w:rPr>
              <w:t>615.692.572</w:t>
            </w:r>
          </w:p>
        </w:tc>
        <w:tc>
          <w:tcPr>
            <w:tcW w:w="2041" w:type="dxa"/>
            <w:vAlign w:val="top"/>
          </w:tcPr>
          <w:p w:rsidR="005C2091" w:rsidRDefault="00A86293">
            <w:pPr>
              <w:pStyle w:val="CellColumn"/>
              <w:jc w:val="right"/>
            </w:pPr>
            <w:r>
              <w:rPr>
                <w:rFonts w:cs="Times New Roman"/>
              </w:rPr>
              <w:t>624.288.571</w:t>
            </w:r>
          </w:p>
        </w:tc>
        <w:tc>
          <w:tcPr>
            <w:tcW w:w="2041" w:type="dxa"/>
            <w:vAlign w:val="top"/>
          </w:tcPr>
          <w:p w:rsidR="005C2091" w:rsidRDefault="00A86293">
            <w:pPr>
              <w:pStyle w:val="CellColumn"/>
              <w:jc w:val="right"/>
            </w:pPr>
            <w:r>
              <w:rPr>
                <w:rFonts w:cs="Times New Roman"/>
              </w:rPr>
              <w:t>602.474.110</w:t>
            </w:r>
          </w:p>
        </w:tc>
        <w:tc>
          <w:tcPr>
            <w:tcW w:w="1224" w:type="dxa"/>
            <w:vAlign w:val="top"/>
          </w:tcPr>
          <w:p w:rsidR="005C2091" w:rsidRDefault="00A86293">
            <w:pPr>
              <w:pStyle w:val="CellColumn"/>
              <w:jc w:val="right"/>
            </w:pPr>
            <w:r>
              <w:rPr>
                <w:rFonts w:cs="Times New Roman"/>
              </w:rPr>
              <w:t>96,5</w:t>
            </w:r>
          </w:p>
        </w:tc>
        <w:tc>
          <w:tcPr>
            <w:tcW w:w="1224" w:type="dxa"/>
            <w:vAlign w:val="top"/>
          </w:tcPr>
          <w:p w:rsidR="005C2091" w:rsidRDefault="00A86293">
            <w:pPr>
              <w:pStyle w:val="CellColumn"/>
              <w:jc w:val="right"/>
            </w:pPr>
            <w:r>
              <w:rPr>
                <w:rFonts w:cs="Times New Roman"/>
              </w:rPr>
              <w:t>97,9</w:t>
            </w:r>
          </w:p>
        </w:tc>
      </w:tr>
      <w:tr w:rsidR="005C2091">
        <w:trPr>
          <w:jc w:val="center"/>
        </w:trPr>
        <w:tc>
          <w:tcPr>
            <w:tcW w:w="1632" w:type="dxa"/>
            <w:shd w:val="clear" w:color="auto" w:fill="B5C0D8"/>
          </w:tcPr>
          <w:p w:rsidR="005C2091" w:rsidRDefault="00A86293">
            <w:pPr>
              <w:pStyle w:val="CellColumn"/>
              <w:jc w:val="left"/>
            </w:pPr>
            <w:r>
              <w:rPr>
                <w:rFonts w:cs="Times New Roman"/>
              </w:rPr>
              <w:t>Ukupno 048-MINISTARSTVO VANJSKIH I EUROPSKIH POSLOVA</w:t>
            </w:r>
          </w:p>
        </w:tc>
        <w:tc>
          <w:tcPr>
            <w:tcW w:w="2041" w:type="dxa"/>
            <w:shd w:val="clear" w:color="auto" w:fill="B5C0D8"/>
          </w:tcPr>
          <w:p w:rsidR="005C2091" w:rsidRDefault="00A86293">
            <w:pPr>
              <w:pStyle w:val="CellColumn"/>
              <w:jc w:val="right"/>
            </w:pPr>
            <w:r>
              <w:rPr>
                <w:rFonts w:cs="Times New Roman"/>
              </w:rPr>
              <w:t>615.692.572</w:t>
            </w:r>
          </w:p>
        </w:tc>
        <w:tc>
          <w:tcPr>
            <w:tcW w:w="2041" w:type="dxa"/>
            <w:shd w:val="clear" w:color="auto" w:fill="B5C0D8"/>
          </w:tcPr>
          <w:p w:rsidR="005C2091" w:rsidRDefault="00A86293">
            <w:pPr>
              <w:pStyle w:val="CellColumn"/>
              <w:jc w:val="right"/>
            </w:pPr>
            <w:r>
              <w:rPr>
                <w:rFonts w:cs="Times New Roman"/>
              </w:rPr>
              <w:t>624.288.571</w:t>
            </w:r>
          </w:p>
        </w:tc>
        <w:tc>
          <w:tcPr>
            <w:tcW w:w="2041" w:type="dxa"/>
            <w:shd w:val="clear" w:color="auto" w:fill="B5C0D8"/>
          </w:tcPr>
          <w:p w:rsidR="005C2091" w:rsidRDefault="00A86293">
            <w:pPr>
              <w:pStyle w:val="CellColumn"/>
              <w:jc w:val="right"/>
            </w:pPr>
            <w:r>
              <w:rPr>
                <w:rFonts w:cs="Times New Roman"/>
              </w:rPr>
              <w:t>602.474.110</w:t>
            </w:r>
          </w:p>
        </w:tc>
        <w:tc>
          <w:tcPr>
            <w:tcW w:w="1224" w:type="dxa"/>
            <w:shd w:val="clear" w:color="auto" w:fill="B5C0D8"/>
          </w:tcPr>
          <w:p w:rsidR="005C2091" w:rsidRDefault="00A86293">
            <w:pPr>
              <w:pStyle w:val="CellColumn"/>
              <w:jc w:val="right"/>
            </w:pPr>
            <w:r>
              <w:rPr>
                <w:rFonts w:cs="Times New Roman"/>
              </w:rPr>
              <w:t>96,5</w:t>
            </w:r>
          </w:p>
        </w:tc>
        <w:tc>
          <w:tcPr>
            <w:tcW w:w="1224" w:type="dxa"/>
            <w:shd w:val="clear" w:color="auto" w:fill="B5C0D8"/>
          </w:tcPr>
          <w:p w:rsidR="005C2091" w:rsidRDefault="00A86293">
            <w:pPr>
              <w:pStyle w:val="CellColumn"/>
              <w:jc w:val="right"/>
            </w:pPr>
            <w:r>
              <w:rPr>
                <w:rFonts w:cs="Times New Roman"/>
              </w:rPr>
              <w:t>97,9</w:t>
            </w:r>
          </w:p>
        </w:tc>
      </w:tr>
    </w:tbl>
    <w:p w:rsidR="005C2091" w:rsidRDefault="005C2091">
      <w:pPr>
        <w:jc w:val="left"/>
      </w:pPr>
    </w:p>
    <w:p w:rsidR="005C2091" w:rsidRDefault="00A86293">
      <w:pPr>
        <w:pStyle w:val="Heading2"/>
      </w:pPr>
      <w:r>
        <w:t>04805 Ministarstvo vanjskih i europskih poslova</w:t>
      </w:r>
    </w:p>
    <w:tbl>
      <w:tblPr>
        <w:tblStyle w:val="StilTablice"/>
        <w:tblW w:w="10206" w:type="dxa"/>
        <w:jc w:val="center"/>
        <w:tblLook w:val="04A0" w:firstRow="1" w:lastRow="0" w:firstColumn="1" w:lastColumn="0" w:noHBand="0" w:noVBand="1"/>
      </w:tblPr>
      <w:tblGrid>
        <w:gridCol w:w="1693"/>
        <w:gridCol w:w="2025"/>
        <w:gridCol w:w="2024"/>
        <w:gridCol w:w="2024"/>
        <w:gridCol w:w="1219"/>
        <w:gridCol w:w="122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04805-Ministarstvo vanjskih i europskih poslova</w:t>
            </w:r>
          </w:p>
        </w:tc>
        <w:tc>
          <w:tcPr>
            <w:tcW w:w="2041" w:type="dxa"/>
            <w:vAlign w:val="top"/>
          </w:tcPr>
          <w:p w:rsidR="005C2091" w:rsidRDefault="00A86293">
            <w:pPr>
              <w:pStyle w:val="CellColumn"/>
              <w:jc w:val="right"/>
            </w:pPr>
            <w:r>
              <w:rPr>
                <w:rFonts w:cs="Times New Roman"/>
              </w:rPr>
              <w:t>615.692.572</w:t>
            </w:r>
          </w:p>
        </w:tc>
        <w:tc>
          <w:tcPr>
            <w:tcW w:w="2041" w:type="dxa"/>
            <w:vAlign w:val="top"/>
          </w:tcPr>
          <w:p w:rsidR="005C2091" w:rsidRDefault="00A86293">
            <w:pPr>
              <w:pStyle w:val="CellColumn"/>
              <w:jc w:val="right"/>
            </w:pPr>
            <w:r>
              <w:rPr>
                <w:rFonts w:cs="Times New Roman"/>
              </w:rPr>
              <w:t>624.288.571</w:t>
            </w:r>
          </w:p>
        </w:tc>
        <w:tc>
          <w:tcPr>
            <w:tcW w:w="2041" w:type="dxa"/>
            <w:vAlign w:val="top"/>
          </w:tcPr>
          <w:p w:rsidR="005C2091" w:rsidRDefault="00A86293">
            <w:pPr>
              <w:pStyle w:val="CellColumn"/>
              <w:jc w:val="right"/>
            </w:pPr>
            <w:r>
              <w:rPr>
                <w:rFonts w:cs="Times New Roman"/>
              </w:rPr>
              <w:t>602.474.110</w:t>
            </w:r>
          </w:p>
        </w:tc>
        <w:tc>
          <w:tcPr>
            <w:tcW w:w="1224" w:type="dxa"/>
            <w:vAlign w:val="top"/>
          </w:tcPr>
          <w:p w:rsidR="005C2091" w:rsidRDefault="00A86293">
            <w:pPr>
              <w:pStyle w:val="CellColumn"/>
              <w:jc w:val="right"/>
            </w:pPr>
            <w:r>
              <w:rPr>
                <w:rFonts w:cs="Times New Roman"/>
              </w:rPr>
              <w:t>96,5</w:t>
            </w:r>
          </w:p>
        </w:tc>
        <w:tc>
          <w:tcPr>
            <w:tcW w:w="1224" w:type="dxa"/>
            <w:vAlign w:val="top"/>
          </w:tcPr>
          <w:p w:rsidR="005C2091" w:rsidRDefault="00A86293">
            <w:pPr>
              <w:pStyle w:val="CellColumn"/>
              <w:jc w:val="right"/>
            </w:pPr>
            <w:r>
              <w:rPr>
                <w:rFonts w:cs="Times New Roman"/>
              </w:rPr>
              <w:t>97,9</w:t>
            </w:r>
          </w:p>
        </w:tc>
      </w:tr>
      <w:tr w:rsidR="005C2091">
        <w:trPr>
          <w:jc w:val="center"/>
        </w:trPr>
        <w:tc>
          <w:tcPr>
            <w:tcW w:w="1632" w:type="dxa"/>
          </w:tcPr>
          <w:p w:rsidR="005C2091" w:rsidRDefault="00A86293">
            <w:pPr>
              <w:jc w:val="left"/>
            </w:pPr>
            <w:r>
              <w:t>2301-PROVOĐENJE VANJSKE POLITIKE REPUBLIKE HRVATSKE</w:t>
            </w:r>
          </w:p>
        </w:tc>
        <w:tc>
          <w:tcPr>
            <w:tcW w:w="2041" w:type="dxa"/>
          </w:tcPr>
          <w:p w:rsidR="005C2091" w:rsidRDefault="00A86293">
            <w:pPr>
              <w:jc w:val="right"/>
            </w:pPr>
            <w:r>
              <w:t>228.214.011</w:t>
            </w:r>
          </w:p>
        </w:tc>
        <w:tc>
          <w:tcPr>
            <w:tcW w:w="2041" w:type="dxa"/>
          </w:tcPr>
          <w:p w:rsidR="005C2091" w:rsidRDefault="00A86293">
            <w:pPr>
              <w:jc w:val="right"/>
            </w:pPr>
            <w:r>
              <w:t>217.663.638</w:t>
            </w:r>
          </w:p>
        </w:tc>
        <w:tc>
          <w:tcPr>
            <w:tcW w:w="2041" w:type="dxa"/>
          </w:tcPr>
          <w:p w:rsidR="005C2091" w:rsidRDefault="00A86293">
            <w:pPr>
              <w:jc w:val="right"/>
            </w:pPr>
            <w:r>
              <w:t>201.444.749</w:t>
            </w:r>
          </w:p>
        </w:tc>
        <w:tc>
          <w:tcPr>
            <w:tcW w:w="1224" w:type="dxa"/>
          </w:tcPr>
          <w:p w:rsidR="005C2091" w:rsidRDefault="00A86293">
            <w:pPr>
              <w:jc w:val="right"/>
            </w:pPr>
            <w:r>
              <w:t>92,5</w:t>
            </w:r>
          </w:p>
        </w:tc>
        <w:tc>
          <w:tcPr>
            <w:tcW w:w="1224" w:type="dxa"/>
          </w:tcPr>
          <w:p w:rsidR="005C2091" w:rsidRDefault="00A86293">
            <w:pPr>
              <w:jc w:val="right"/>
            </w:pPr>
            <w:r>
              <w:t>88,3</w:t>
            </w:r>
          </w:p>
        </w:tc>
      </w:tr>
      <w:tr w:rsidR="005C2091">
        <w:trPr>
          <w:jc w:val="center"/>
        </w:trPr>
        <w:tc>
          <w:tcPr>
            <w:tcW w:w="1632" w:type="dxa"/>
          </w:tcPr>
          <w:p w:rsidR="005C2091" w:rsidRDefault="00A86293">
            <w:pPr>
              <w:jc w:val="left"/>
            </w:pPr>
            <w:r>
              <w:t>2302-DIPLOMATSKO KONZULARNA DJELATNOST</w:t>
            </w:r>
          </w:p>
        </w:tc>
        <w:tc>
          <w:tcPr>
            <w:tcW w:w="2041" w:type="dxa"/>
          </w:tcPr>
          <w:p w:rsidR="005C2091" w:rsidRDefault="00A86293">
            <w:pPr>
              <w:jc w:val="right"/>
            </w:pPr>
            <w:r>
              <w:t>385.064.117</w:t>
            </w:r>
          </w:p>
        </w:tc>
        <w:tc>
          <w:tcPr>
            <w:tcW w:w="2041" w:type="dxa"/>
          </w:tcPr>
          <w:p w:rsidR="005C2091" w:rsidRDefault="00A86293">
            <w:pPr>
              <w:jc w:val="right"/>
            </w:pPr>
            <w:r>
              <w:t>404.295.521</w:t>
            </w:r>
          </w:p>
        </w:tc>
        <w:tc>
          <w:tcPr>
            <w:tcW w:w="2041" w:type="dxa"/>
          </w:tcPr>
          <w:p w:rsidR="005C2091" w:rsidRDefault="00A86293">
            <w:pPr>
              <w:jc w:val="right"/>
            </w:pPr>
            <w:r>
              <w:t>399.459.871</w:t>
            </w:r>
          </w:p>
        </w:tc>
        <w:tc>
          <w:tcPr>
            <w:tcW w:w="1224" w:type="dxa"/>
          </w:tcPr>
          <w:p w:rsidR="005C2091" w:rsidRDefault="00A86293">
            <w:pPr>
              <w:jc w:val="right"/>
            </w:pPr>
            <w:r>
              <w:t>98,8</w:t>
            </w:r>
          </w:p>
        </w:tc>
        <w:tc>
          <w:tcPr>
            <w:tcW w:w="1224" w:type="dxa"/>
          </w:tcPr>
          <w:p w:rsidR="005C2091" w:rsidRDefault="00A86293">
            <w:pPr>
              <w:jc w:val="right"/>
            </w:pPr>
            <w:r>
              <w:t>103,7</w:t>
            </w:r>
          </w:p>
        </w:tc>
      </w:tr>
      <w:tr w:rsidR="005C2091">
        <w:trPr>
          <w:jc w:val="center"/>
        </w:trPr>
        <w:tc>
          <w:tcPr>
            <w:tcW w:w="1632" w:type="dxa"/>
          </w:tcPr>
          <w:p w:rsidR="005C2091" w:rsidRDefault="00A86293">
            <w:pPr>
              <w:jc w:val="left"/>
            </w:pPr>
            <w:r>
              <w:t>2303-HORIZONTALNA KOORDINACIJA EUROPSKIH POSLOVA</w:t>
            </w:r>
          </w:p>
        </w:tc>
        <w:tc>
          <w:tcPr>
            <w:tcW w:w="2041" w:type="dxa"/>
          </w:tcPr>
          <w:p w:rsidR="005C2091" w:rsidRDefault="00A86293">
            <w:pPr>
              <w:jc w:val="right"/>
            </w:pPr>
            <w:r>
              <w:t>2.414.443</w:t>
            </w:r>
          </w:p>
        </w:tc>
        <w:tc>
          <w:tcPr>
            <w:tcW w:w="2041" w:type="dxa"/>
          </w:tcPr>
          <w:p w:rsidR="005C2091" w:rsidRDefault="00A86293">
            <w:pPr>
              <w:jc w:val="right"/>
            </w:pPr>
            <w:r>
              <w:t>2.329.412</w:t>
            </w:r>
          </w:p>
        </w:tc>
        <w:tc>
          <w:tcPr>
            <w:tcW w:w="2041" w:type="dxa"/>
          </w:tcPr>
          <w:p w:rsidR="005C2091" w:rsidRDefault="00A86293">
            <w:pPr>
              <w:jc w:val="right"/>
            </w:pPr>
            <w:r>
              <w:t>1.569.490</w:t>
            </w:r>
          </w:p>
        </w:tc>
        <w:tc>
          <w:tcPr>
            <w:tcW w:w="1224" w:type="dxa"/>
          </w:tcPr>
          <w:p w:rsidR="005C2091" w:rsidRDefault="00A86293">
            <w:pPr>
              <w:jc w:val="right"/>
            </w:pPr>
            <w:r>
              <w:t>67,4</w:t>
            </w:r>
          </w:p>
        </w:tc>
        <w:tc>
          <w:tcPr>
            <w:tcW w:w="1224" w:type="dxa"/>
          </w:tcPr>
          <w:p w:rsidR="005C2091" w:rsidRDefault="00A86293">
            <w:pPr>
              <w:jc w:val="right"/>
            </w:pPr>
            <w:r>
              <w:t>65,0</w:t>
            </w:r>
          </w:p>
        </w:tc>
      </w:tr>
    </w:tbl>
    <w:p w:rsidR="005C2091" w:rsidRDefault="005C2091">
      <w:pPr>
        <w:jc w:val="left"/>
      </w:pPr>
    </w:p>
    <w:p w:rsidR="005C2091" w:rsidRDefault="00A86293">
      <w:pPr>
        <w:pStyle w:val="Heading3"/>
      </w:pPr>
      <w:r>
        <w:rPr>
          <w:rFonts w:cs="Times New Roman"/>
        </w:rPr>
        <w:t>2301 PROVOĐENJE VANJSKE POLITIKE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lastRenderedPageBreak/>
              <w:t>2301-PROVOĐENJE VANJSKE POLITIKE REPUBLIKE HRVATSKE</w:t>
            </w:r>
          </w:p>
        </w:tc>
        <w:tc>
          <w:tcPr>
            <w:tcW w:w="2041" w:type="dxa"/>
          </w:tcPr>
          <w:p w:rsidR="005C2091" w:rsidRDefault="00A86293">
            <w:pPr>
              <w:pStyle w:val="CellColumn"/>
              <w:jc w:val="right"/>
            </w:pPr>
            <w:r>
              <w:rPr>
                <w:rFonts w:cs="Times New Roman"/>
              </w:rPr>
              <w:t>228.214.011</w:t>
            </w:r>
          </w:p>
        </w:tc>
        <w:tc>
          <w:tcPr>
            <w:tcW w:w="2041" w:type="dxa"/>
          </w:tcPr>
          <w:p w:rsidR="005C2091" w:rsidRDefault="00A86293">
            <w:pPr>
              <w:pStyle w:val="CellColumn"/>
              <w:jc w:val="right"/>
            </w:pPr>
            <w:r>
              <w:rPr>
                <w:rFonts w:cs="Times New Roman"/>
              </w:rPr>
              <w:t>217.663.638</w:t>
            </w:r>
          </w:p>
        </w:tc>
        <w:tc>
          <w:tcPr>
            <w:tcW w:w="2041" w:type="dxa"/>
          </w:tcPr>
          <w:p w:rsidR="005C2091" w:rsidRDefault="00A86293">
            <w:pPr>
              <w:pStyle w:val="CellColumn"/>
              <w:jc w:val="right"/>
            </w:pPr>
            <w:r>
              <w:rPr>
                <w:rFonts w:cs="Times New Roman"/>
              </w:rPr>
              <w:t>201.444.749</w:t>
            </w:r>
          </w:p>
        </w:tc>
        <w:tc>
          <w:tcPr>
            <w:tcW w:w="1224" w:type="dxa"/>
          </w:tcPr>
          <w:p w:rsidR="005C2091" w:rsidRDefault="00A86293">
            <w:pPr>
              <w:pStyle w:val="CellColumn"/>
              <w:jc w:val="right"/>
            </w:pPr>
            <w:r>
              <w:rPr>
                <w:rFonts w:cs="Times New Roman"/>
              </w:rPr>
              <w:t>92,5</w:t>
            </w:r>
          </w:p>
        </w:tc>
        <w:tc>
          <w:tcPr>
            <w:tcW w:w="1224" w:type="dxa"/>
          </w:tcPr>
          <w:p w:rsidR="005C2091" w:rsidRDefault="00A86293">
            <w:pPr>
              <w:pStyle w:val="CellColumn"/>
              <w:jc w:val="right"/>
            </w:pPr>
            <w:r>
              <w:rPr>
                <w:rFonts w:cs="Times New Roman"/>
              </w:rPr>
              <w:t>88,3</w:t>
            </w:r>
          </w:p>
        </w:tc>
      </w:tr>
    </w:tbl>
    <w:p w:rsidR="005C2091" w:rsidRDefault="005C2091">
      <w:pPr>
        <w:jc w:val="left"/>
      </w:pPr>
    </w:p>
    <w:p w:rsidR="005C2091" w:rsidRDefault="00A86293">
      <w:r>
        <w:t xml:space="preserve">Programom Provođenje vanjske politike osigurava se odgovarajuće sudjelovanje MVEP u vanjskopolitičkim aktivnostima Predsjednice RH, Vlade RH, Hrvatskog sabora i drugih tijela državne vlasti u svim područjima od interesa za međunarodni položaj i aktivnosti RH.  </w:t>
      </w:r>
    </w:p>
    <w:p w:rsidR="005C2091" w:rsidRDefault="00A86293">
      <w:r>
        <w:t xml:space="preserve">Kroz navedeni program realiziraju se aktivnosti vezane uz provedbu vanjske politike usmjerene na ostvarivanje nacionalnih interesa što uključuje: zaštitu teritorijalnog integriteta i državnog suvereniteta, promicanje demokratskih političkih načela i vladavine prava, temeljne slobode i prava čovjeka, gospodarski napredak i održivi razvoj, stabilnost euroatlantskog prostora, promicanje hrvatskog nacionalnog identiteta, jačanje povezanosti s hrvatskim iseljeništvom i dijelovima hrvatskoga naroda izvan Hrvatske.  </w:t>
      </w:r>
    </w:p>
    <w:p w:rsidR="005C2091" w:rsidRDefault="00A86293">
      <w:r>
        <w:t xml:space="preserve">Za provedbu navedenog programa u 2016. godini planirana su sredstva u iznosu od 217.663.638 kn, dok je izvršenje iznosilo 201.444.749 kn što predstavlja indeks 92,5. Preostala neutrošena sredstva se u najvećoj mjeri (7,5 milijuna kn) odnose na Projekt Schengen za čiju provedbu je u 2016. godini utrošeno 11.949.351 kn, Administraciju i upravljanje (3,4 milijuna kn) i Pomoći organizacijama koje se bave humanitarnom djelatnošću u inozemstvu (2,9 milijuna kn).  </w:t>
      </w:r>
    </w:p>
    <w:p w:rsidR="005C2091" w:rsidRDefault="00A86293">
      <w:r>
        <w:t>Za izvršenje aktivnosti iz navedenog programa izdvojeno je 33% ukupno utrošenih sredstava Ministarstva, pri čemu su troškovi, u odnosu na 2015. godinu, smanjeni za 12%.</w:t>
      </w:r>
    </w:p>
    <w:p w:rsidR="005C2091" w:rsidRDefault="00A86293">
      <w:pPr>
        <w:pStyle w:val="Heading8"/>
        <w:jc w:val="left"/>
      </w:pPr>
      <w:r>
        <w:t xml:space="preserve">Cilj 1. Provedba vanjske politike  </w:t>
      </w:r>
    </w:p>
    <w:p w:rsidR="005C2091" w:rsidRDefault="00A86293">
      <w:pPr>
        <w:pStyle w:val="Heading8"/>
        <w:jc w:val="left"/>
      </w:pPr>
      <w:r>
        <w:t>Opis provedbe cilja programa</w:t>
      </w:r>
    </w:p>
    <w:p w:rsidR="005C2091" w:rsidRDefault="00A86293">
      <w:r>
        <w:t xml:space="preserve">Zastupanje interesa Republike Hrvatske kroz bilateralne odnose s europskim zemljama te suradnja s državama članicama Europske unije u pripremi i provedbi europskih politika, kao i jačanje političkog bilateralnog okvira s izvaneuropskim zemljama, sastavnice su vanjskopolitičkog angažmana kojima  se utječe na ostvarenje postavljenog cilja. </w:t>
      </w:r>
    </w:p>
    <w:p w:rsidR="005C2091" w:rsidRDefault="00A86293">
      <w:r>
        <w:t xml:space="preserve">Uspješnost bilateralne suradnje s pojedinom zemljom mjeri se ne samo dobrim političkim odnosima, nego i intenzitetom suradnje u ostalim područjima aktivnosti, kao što su gospodarska, kulturna i znanstvena suradnja, suradnja na području obrane i sl. Unapređenje gospodarske suradnje, odnosno povećanje izvoza Republike Hrvatske, kao i povećanje stranih investicija u Republiku Hrvatsku jedni su od naših najvažnijih strateških interesa, a time i jedna od najvažnijih aktivnosti hrvatske diplomacije.  </w:t>
      </w:r>
    </w:p>
    <w:p w:rsidR="005C2091" w:rsidRDefault="00A86293">
      <w:r>
        <w:t xml:space="preserve">Važan nacionalni interes Republike Hrvatske je i zaštita prava i interesa državljana Republike Hrvatske koji prebivaju ili borave u inozemstvu, kao i promicanje, uspostava i održavanje veza s Hrvatima u inozemstvu. </w:t>
      </w:r>
    </w:p>
    <w:p w:rsidR="005C2091" w:rsidRDefault="00A86293">
      <w:r>
        <w:t>Aktivno sudjelovanje u radu međunarodnih organizacijama (UN, NATO, OESS, Svjetska trgovinska organizacija, Vijeće Europe, OECD i dr.) i foruma, posebice ističući ljudsko-pravnu dimenziju, odnosno zaštitu najranjivijih skupina, kao prioritetnog područja vanjske politike zasigurno doprinosi provedbi utvrđenih vanjskopolitičkih ciljeva i interesa Republike Hrvatske.</w:t>
      </w:r>
    </w:p>
    <w:p w:rsidR="005C2091" w:rsidRDefault="00A86293">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215516" w:rsidTr="00215516">
        <w:trPr>
          <w:jc w:val="center"/>
        </w:trPr>
        <w:tc>
          <w:tcPr>
            <w:tcW w:w="2553" w:type="dxa"/>
            <w:shd w:val="clear" w:color="auto" w:fill="B5C0D8"/>
          </w:tcPr>
          <w:p w:rsidR="00215516" w:rsidRDefault="00215516">
            <w:pPr>
              <w:jc w:val="center"/>
            </w:pPr>
            <w:r>
              <w:t>Pokazatelj učinka</w:t>
            </w:r>
          </w:p>
        </w:tc>
        <w:tc>
          <w:tcPr>
            <w:tcW w:w="1020" w:type="dxa"/>
            <w:shd w:val="clear" w:color="auto" w:fill="B5C0D8"/>
          </w:tcPr>
          <w:p w:rsidR="00215516" w:rsidRDefault="00215516">
            <w:pPr>
              <w:pStyle w:val="CellHeader"/>
              <w:jc w:val="center"/>
            </w:pPr>
            <w:r>
              <w:rPr>
                <w:rFonts w:cs="Times New Roman"/>
              </w:rPr>
              <w:t>Jedinica</w:t>
            </w:r>
          </w:p>
        </w:tc>
        <w:tc>
          <w:tcPr>
            <w:tcW w:w="1020" w:type="dxa"/>
            <w:shd w:val="clear" w:color="auto" w:fill="B5C0D8"/>
          </w:tcPr>
          <w:p w:rsidR="00215516" w:rsidRDefault="00215516">
            <w:pPr>
              <w:pStyle w:val="CellHeader"/>
              <w:jc w:val="center"/>
            </w:pPr>
            <w:r>
              <w:rPr>
                <w:rFonts w:cs="Times New Roman"/>
              </w:rPr>
              <w:t>Polazna vrijednost</w:t>
            </w:r>
          </w:p>
        </w:tc>
        <w:tc>
          <w:tcPr>
            <w:tcW w:w="1020" w:type="dxa"/>
            <w:shd w:val="clear" w:color="auto" w:fill="B5C0D8"/>
          </w:tcPr>
          <w:p w:rsidR="00215516" w:rsidRDefault="00215516">
            <w:pPr>
              <w:pStyle w:val="CellHeader"/>
              <w:jc w:val="center"/>
            </w:pPr>
            <w:r>
              <w:rPr>
                <w:rFonts w:cs="Times New Roman"/>
              </w:rPr>
              <w:t>Izvor podataka</w:t>
            </w:r>
          </w:p>
        </w:tc>
        <w:tc>
          <w:tcPr>
            <w:tcW w:w="1020" w:type="dxa"/>
            <w:shd w:val="clear" w:color="auto" w:fill="B5C0D8"/>
          </w:tcPr>
          <w:p w:rsidR="00215516" w:rsidRDefault="00215516">
            <w:pPr>
              <w:pStyle w:val="CellHeader"/>
              <w:jc w:val="center"/>
            </w:pPr>
            <w:r>
              <w:rPr>
                <w:rFonts w:cs="Times New Roman"/>
              </w:rPr>
              <w:t>Ciljana vrijednost (2016.)</w:t>
            </w:r>
          </w:p>
        </w:tc>
        <w:tc>
          <w:tcPr>
            <w:tcW w:w="1020" w:type="dxa"/>
            <w:shd w:val="clear" w:color="auto" w:fill="B5C0D8"/>
          </w:tcPr>
          <w:p w:rsidR="00215516" w:rsidRDefault="00215516">
            <w:pPr>
              <w:pStyle w:val="CellHeader"/>
              <w:jc w:val="center"/>
            </w:pPr>
            <w:r>
              <w:rPr>
                <w:rFonts w:cs="Times New Roman"/>
              </w:rPr>
              <w:t>Ostvarena vrijednost (2016.)</w:t>
            </w:r>
          </w:p>
        </w:tc>
      </w:tr>
      <w:tr w:rsidR="00215516" w:rsidTr="00215516">
        <w:trPr>
          <w:jc w:val="center"/>
        </w:trPr>
        <w:tc>
          <w:tcPr>
            <w:tcW w:w="2553" w:type="dxa"/>
          </w:tcPr>
          <w:p w:rsidR="00215516" w:rsidRDefault="00215516">
            <w:pPr>
              <w:pStyle w:val="CellColumn"/>
              <w:jc w:val="left"/>
            </w:pPr>
            <w:r>
              <w:rPr>
                <w:rFonts w:cs="Times New Roman"/>
              </w:rPr>
              <w:t>Jačanje međunarodnog položaja RH, te zaštita interesa RH, njenih državljana i pravnih osoba</w:t>
            </w:r>
          </w:p>
        </w:tc>
        <w:tc>
          <w:tcPr>
            <w:tcW w:w="1020" w:type="dxa"/>
          </w:tcPr>
          <w:p w:rsidR="00215516" w:rsidRDefault="00215516">
            <w:pPr>
              <w:pStyle w:val="CellColumn"/>
              <w:jc w:val="right"/>
            </w:pPr>
            <w:r>
              <w:rPr>
                <w:rFonts w:cs="Times New Roman"/>
              </w:rPr>
              <w:t>%</w:t>
            </w:r>
          </w:p>
        </w:tc>
        <w:tc>
          <w:tcPr>
            <w:tcW w:w="1020" w:type="dxa"/>
          </w:tcPr>
          <w:p w:rsidR="00215516" w:rsidRDefault="00215516">
            <w:pPr>
              <w:pStyle w:val="CellColumn"/>
              <w:jc w:val="right"/>
            </w:pPr>
            <w:r>
              <w:rPr>
                <w:rFonts w:cs="Times New Roman"/>
              </w:rPr>
              <w:t>75</w:t>
            </w:r>
          </w:p>
        </w:tc>
        <w:tc>
          <w:tcPr>
            <w:tcW w:w="1020" w:type="dxa"/>
          </w:tcPr>
          <w:p w:rsidR="00215516" w:rsidRDefault="00215516">
            <w:pPr>
              <w:pStyle w:val="CellColumn"/>
              <w:jc w:val="right"/>
            </w:pPr>
            <w:r>
              <w:rPr>
                <w:rFonts w:cs="Times New Roman"/>
              </w:rPr>
              <w:t>MVEP</w:t>
            </w:r>
          </w:p>
        </w:tc>
        <w:tc>
          <w:tcPr>
            <w:tcW w:w="1020" w:type="dxa"/>
          </w:tcPr>
          <w:p w:rsidR="00215516" w:rsidRDefault="00215516">
            <w:pPr>
              <w:pStyle w:val="CellColumn"/>
              <w:jc w:val="right"/>
            </w:pPr>
            <w:r>
              <w:rPr>
                <w:rFonts w:cs="Times New Roman"/>
              </w:rPr>
              <w:t>93</w:t>
            </w:r>
          </w:p>
        </w:tc>
        <w:tc>
          <w:tcPr>
            <w:tcW w:w="1020" w:type="dxa"/>
          </w:tcPr>
          <w:p w:rsidR="00215516" w:rsidRDefault="00215516">
            <w:pPr>
              <w:pStyle w:val="CellColumn"/>
              <w:jc w:val="right"/>
            </w:pPr>
            <w:r>
              <w:rPr>
                <w:rFonts w:cs="Times New Roman"/>
              </w:rPr>
              <w:t>91</w:t>
            </w:r>
          </w:p>
        </w:tc>
      </w:tr>
    </w:tbl>
    <w:p w:rsidR="005C2091" w:rsidRDefault="005C2091">
      <w:pPr>
        <w:jc w:val="left"/>
      </w:pPr>
    </w:p>
    <w:p w:rsidR="005C2091" w:rsidRDefault="00A86293">
      <w:pPr>
        <w:pStyle w:val="Heading4"/>
      </w:pPr>
      <w:r>
        <w:lastRenderedPageBreak/>
        <w:t>A539032 MEĐUNARODNE ČLANARINE</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A539032-MEĐUNARODNE ČLANARINE</w:t>
            </w:r>
          </w:p>
        </w:tc>
        <w:tc>
          <w:tcPr>
            <w:tcW w:w="2041" w:type="dxa"/>
          </w:tcPr>
          <w:p w:rsidR="005C2091" w:rsidRDefault="00A86293">
            <w:pPr>
              <w:pStyle w:val="CellColumn"/>
              <w:jc w:val="right"/>
            </w:pPr>
            <w:r>
              <w:rPr>
                <w:rFonts w:cs="Times New Roman"/>
              </w:rPr>
              <w:t>99.957.725</w:t>
            </w:r>
          </w:p>
        </w:tc>
        <w:tc>
          <w:tcPr>
            <w:tcW w:w="2041" w:type="dxa"/>
          </w:tcPr>
          <w:p w:rsidR="005C2091" w:rsidRDefault="00A86293">
            <w:pPr>
              <w:pStyle w:val="CellColumn"/>
              <w:jc w:val="right"/>
            </w:pPr>
            <w:r>
              <w:rPr>
                <w:rFonts w:cs="Times New Roman"/>
              </w:rPr>
              <w:t>68.553.755</w:t>
            </w:r>
          </w:p>
        </w:tc>
        <w:tc>
          <w:tcPr>
            <w:tcW w:w="2041" w:type="dxa"/>
          </w:tcPr>
          <w:p w:rsidR="005C2091" w:rsidRDefault="00A86293">
            <w:pPr>
              <w:pStyle w:val="CellColumn"/>
              <w:jc w:val="right"/>
            </w:pPr>
            <w:r>
              <w:rPr>
                <w:rFonts w:cs="Times New Roman"/>
              </w:rPr>
              <w:t>68.511.909</w:t>
            </w:r>
          </w:p>
        </w:tc>
        <w:tc>
          <w:tcPr>
            <w:tcW w:w="1224" w:type="dxa"/>
          </w:tcPr>
          <w:p w:rsidR="005C2091" w:rsidRDefault="00A86293">
            <w:pPr>
              <w:pStyle w:val="CellColumn"/>
              <w:jc w:val="right"/>
            </w:pPr>
            <w:r>
              <w:rPr>
                <w:rFonts w:cs="Times New Roman"/>
              </w:rPr>
              <w:t>99,9</w:t>
            </w:r>
          </w:p>
        </w:tc>
        <w:tc>
          <w:tcPr>
            <w:tcW w:w="1224" w:type="dxa"/>
          </w:tcPr>
          <w:p w:rsidR="005C2091" w:rsidRDefault="00A86293">
            <w:pPr>
              <w:pStyle w:val="CellColumn"/>
              <w:jc w:val="right"/>
            </w:pPr>
            <w:r>
              <w:rPr>
                <w:rFonts w:cs="Times New Roman"/>
              </w:rPr>
              <w:t>68,5</w:t>
            </w:r>
          </w:p>
        </w:tc>
      </w:tr>
    </w:tbl>
    <w:p w:rsidR="005C2091" w:rsidRDefault="005C2091">
      <w:pPr>
        <w:jc w:val="left"/>
      </w:pPr>
    </w:p>
    <w:p w:rsidR="005C2091" w:rsidRDefault="00A86293">
      <w:pPr>
        <w:pStyle w:val="Heading8"/>
        <w:jc w:val="left"/>
      </w:pPr>
      <w:r>
        <w:t>Zakonske i druge pravne osnove</w:t>
      </w:r>
    </w:p>
    <w:p w:rsidR="005C2091" w:rsidRDefault="00A86293">
      <w:r>
        <w:t>Zakon o vanjskim poslovima (NN 48/96); ), Zakon o izmjenama i dopuni Zakona o ustrojstvu i djelokrugu ministarstava i drugih središnjih tijela državne uprave (NN123/13)</w:t>
      </w:r>
    </w:p>
    <w:p w:rsidR="005C2091" w:rsidRDefault="00A86293">
      <w:pPr>
        <w:pStyle w:val="Heading8"/>
        <w:jc w:val="left"/>
      </w:pPr>
      <w:r>
        <w:t>Opis aktivnosti</w:t>
      </w:r>
    </w:p>
    <w:p w:rsidR="005C2091" w:rsidRDefault="00A86293">
      <w:r>
        <w:t xml:space="preserve">Članstvom u međunarodnim organizacijama i tijelima Republika Hrvatska preuzela je međunarodnopravne i financijske obveze, čije pravodobno podmirenje u značajnoj mjeri utječe na redovno sudjelovanje Republike Hrvatske u radu odnosnih organizacija i tijela te se reflektira na ugled i opći međunarodni kredibilitet države na vanjskopolitičkom planu. </w:t>
      </w:r>
    </w:p>
    <w:p w:rsidR="005C2091" w:rsidRDefault="00A86293">
      <w:r>
        <w:t xml:space="preserve">Uz planirane uplate u redovne proračune, na navedenoj proračunskoj aktivnosti  u 2016. godini planirana su i sredstva, u okviru dodijeljenog limita 2., za provedbu Zajedničkog akcijskog plana EU - Turska(TR) usvojenog na sastanku Europskog vijeća 15. listopada 2015. godine, kojim se, između ostaloga EU obvezala pružiti trenutnu i kontinuiranu humanitarnu pomoć Turskoj u kontekstu rastućeg migracijskog vala. Navedena obveza EU je operacionalizirana kroz usvajanje Izbjegličkog mehanizma za Tursku (Refugee Facility for Turkey). Na ime istog, RH je kroz proračun Ministarstva u 2016. godini uplatila iznos od 13.131.254 kn.  </w:t>
      </w:r>
    </w:p>
    <w:p w:rsidR="005C2091" w:rsidRDefault="00A86293">
      <w:r>
        <w:t>Uplaćena sredstva za ovaj mehanizam odgovaraju kriterijima službene razvojne pomoći (OfficialDevelopmentAssistance, ODA) i priznavat će se kao takva državama članicama. Također uplaćena sredstva trebala bi biti tretirana kao neutralna u kontekstu pravila Pakta o stabilnosti i rastu, odnosno izračuna prekomjernog deficita za pojedinu državu članicu.</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215516" w:rsidTr="00215516">
        <w:trPr>
          <w:jc w:val="center"/>
        </w:trPr>
        <w:tc>
          <w:tcPr>
            <w:tcW w:w="2553" w:type="dxa"/>
            <w:shd w:val="clear" w:color="auto" w:fill="B5C0D8"/>
          </w:tcPr>
          <w:p w:rsidR="00215516" w:rsidRDefault="00215516">
            <w:pPr>
              <w:jc w:val="center"/>
            </w:pPr>
            <w:r>
              <w:t>Pokazatelj rezultata</w:t>
            </w:r>
          </w:p>
        </w:tc>
        <w:tc>
          <w:tcPr>
            <w:tcW w:w="1020" w:type="dxa"/>
            <w:shd w:val="clear" w:color="auto" w:fill="B5C0D8"/>
          </w:tcPr>
          <w:p w:rsidR="00215516" w:rsidRDefault="00215516">
            <w:pPr>
              <w:pStyle w:val="CellHeader"/>
              <w:jc w:val="center"/>
            </w:pPr>
            <w:r>
              <w:rPr>
                <w:rFonts w:cs="Times New Roman"/>
              </w:rPr>
              <w:t>Jedinica</w:t>
            </w:r>
          </w:p>
        </w:tc>
        <w:tc>
          <w:tcPr>
            <w:tcW w:w="1020" w:type="dxa"/>
            <w:shd w:val="clear" w:color="auto" w:fill="B5C0D8"/>
          </w:tcPr>
          <w:p w:rsidR="00215516" w:rsidRDefault="00215516">
            <w:pPr>
              <w:pStyle w:val="CellHeader"/>
              <w:jc w:val="center"/>
            </w:pPr>
            <w:r>
              <w:rPr>
                <w:rFonts w:cs="Times New Roman"/>
              </w:rPr>
              <w:t>Polazna vrijednost</w:t>
            </w:r>
          </w:p>
        </w:tc>
        <w:tc>
          <w:tcPr>
            <w:tcW w:w="1020" w:type="dxa"/>
            <w:shd w:val="clear" w:color="auto" w:fill="B5C0D8"/>
          </w:tcPr>
          <w:p w:rsidR="00215516" w:rsidRDefault="00215516">
            <w:pPr>
              <w:pStyle w:val="CellHeader"/>
              <w:jc w:val="center"/>
            </w:pPr>
            <w:r>
              <w:rPr>
                <w:rFonts w:cs="Times New Roman"/>
              </w:rPr>
              <w:t>Izvor podataka</w:t>
            </w:r>
          </w:p>
        </w:tc>
        <w:tc>
          <w:tcPr>
            <w:tcW w:w="1020" w:type="dxa"/>
            <w:shd w:val="clear" w:color="auto" w:fill="B5C0D8"/>
          </w:tcPr>
          <w:p w:rsidR="00215516" w:rsidRDefault="00215516">
            <w:pPr>
              <w:pStyle w:val="CellHeader"/>
              <w:jc w:val="center"/>
            </w:pPr>
            <w:r>
              <w:rPr>
                <w:rFonts w:cs="Times New Roman"/>
              </w:rPr>
              <w:t>Ciljana vrijednost (2016.)</w:t>
            </w:r>
          </w:p>
        </w:tc>
        <w:tc>
          <w:tcPr>
            <w:tcW w:w="1020" w:type="dxa"/>
            <w:shd w:val="clear" w:color="auto" w:fill="B5C0D8"/>
          </w:tcPr>
          <w:p w:rsidR="00215516" w:rsidRDefault="00215516">
            <w:pPr>
              <w:pStyle w:val="CellHeader"/>
              <w:jc w:val="center"/>
            </w:pPr>
            <w:r>
              <w:rPr>
                <w:rFonts w:cs="Times New Roman"/>
              </w:rPr>
              <w:t>Ostvarena vrijednost (2016.)</w:t>
            </w:r>
          </w:p>
        </w:tc>
      </w:tr>
      <w:tr w:rsidR="00215516" w:rsidTr="00215516">
        <w:trPr>
          <w:jc w:val="center"/>
        </w:trPr>
        <w:tc>
          <w:tcPr>
            <w:tcW w:w="2553" w:type="dxa"/>
          </w:tcPr>
          <w:p w:rsidR="00215516" w:rsidRDefault="00215516">
            <w:pPr>
              <w:pStyle w:val="CellColumn"/>
              <w:jc w:val="left"/>
            </w:pPr>
            <w:r>
              <w:rPr>
                <w:rFonts w:cs="Times New Roman"/>
              </w:rPr>
              <w:t>Provedba i cjelovito podmirenje financijskih obveza</w:t>
            </w:r>
          </w:p>
        </w:tc>
        <w:tc>
          <w:tcPr>
            <w:tcW w:w="1020" w:type="dxa"/>
          </w:tcPr>
          <w:p w:rsidR="00215516" w:rsidRDefault="00215516">
            <w:pPr>
              <w:pStyle w:val="CellColumn"/>
              <w:jc w:val="right"/>
            </w:pPr>
            <w:r>
              <w:rPr>
                <w:rFonts w:cs="Times New Roman"/>
              </w:rPr>
              <w:t>%</w:t>
            </w:r>
          </w:p>
        </w:tc>
        <w:tc>
          <w:tcPr>
            <w:tcW w:w="1020" w:type="dxa"/>
          </w:tcPr>
          <w:p w:rsidR="00215516" w:rsidRDefault="00215516">
            <w:pPr>
              <w:pStyle w:val="CellColumn"/>
              <w:jc w:val="right"/>
            </w:pPr>
            <w:r>
              <w:rPr>
                <w:rFonts w:cs="Times New Roman"/>
              </w:rPr>
              <w:t>0</w:t>
            </w:r>
          </w:p>
        </w:tc>
        <w:tc>
          <w:tcPr>
            <w:tcW w:w="1020" w:type="dxa"/>
          </w:tcPr>
          <w:p w:rsidR="00215516" w:rsidRDefault="00215516">
            <w:pPr>
              <w:pStyle w:val="CellColumn"/>
              <w:jc w:val="right"/>
            </w:pPr>
            <w:r>
              <w:rPr>
                <w:rFonts w:cs="Times New Roman"/>
              </w:rPr>
              <w:t>MVEP</w:t>
            </w:r>
          </w:p>
        </w:tc>
        <w:tc>
          <w:tcPr>
            <w:tcW w:w="1020" w:type="dxa"/>
          </w:tcPr>
          <w:p w:rsidR="00215516" w:rsidRDefault="00215516">
            <w:pPr>
              <w:pStyle w:val="CellColumn"/>
              <w:jc w:val="right"/>
            </w:pPr>
            <w:r>
              <w:rPr>
                <w:rFonts w:cs="Times New Roman"/>
              </w:rPr>
              <w:t>100</w:t>
            </w:r>
          </w:p>
        </w:tc>
        <w:tc>
          <w:tcPr>
            <w:tcW w:w="1020" w:type="dxa"/>
          </w:tcPr>
          <w:p w:rsidR="00215516" w:rsidRDefault="00215516">
            <w:pPr>
              <w:pStyle w:val="CellColumn"/>
              <w:jc w:val="right"/>
            </w:pPr>
            <w:r>
              <w:rPr>
                <w:rFonts w:cs="Times New Roman"/>
              </w:rPr>
              <w:t>100</w:t>
            </w:r>
          </w:p>
        </w:tc>
      </w:tr>
    </w:tbl>
    <w:p w:rsidR="005C2091" w:rsidRDefault="005C2091">
      <w:pPr>
        <w:jc w:val="left"/>
      </w:pPr>
    </w:p>
    <w:p w:rsidR="005C2091" w:rsidRDefault="00A86293">
      <w:pPr>
        <w:pStyle w:val="Heading4"/>
      </w:pPr>
      <w:r>
        <w:t>A777058 POMOĆI ORGANIZACIJAMA KOJE SE BAVE HUMANITARNOM DJELATNOŠĆU U INOZEMSTVU</w:t>
      </w:r>
    </w:p>
    <w:tbl>
      <w:tblPr>
        <w:tblStyle w:val="StilTablice"/>
        <w:tblW w:w="10206" w:type="dxa"/>
        <w:jc w:val="center"/>
        <w:tblLook w:val="04A0" w:firstRow="1" w:lastRow="0" w:firstColumn="1" w:lastColumn="0" w:noHBand="0" w:noVBand="1"/>
      </w:tblPr>
      <w:tblGrid>
        <w:gridCol w:w="1904"/>
        <w:gridCol w:w="1961"/>
        <w:gridCol w:w="1961"/>
        <w:gridCol w:w="1961"/>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A777058-POMOĆI ORGANIZACIJAMA KOJE SE BAVE HUMANITARNOM DJELATNOŠĆU U INOZEMSTVU</w:t>
            </w:r>
          </w:p>
        </w:tc>
        <w:tc>
          <w:tcPr>
            <w:tcW w:w="2041" w:type="dxa"/>
          </w:tcPr>
          <w:p w:rsidR="005C2091" w:rsidRDefault="00A86293">
            <w:pPr>
              <w:pStyle w:val="CellColumn"/>
              <w:jc w:val="right"/>
            </w:pPr>
            <w:r>
              <w:rPr>
                <w:rFonts w:cs="Times New Roman"/>
              </w:rPr>
              <w:t>2.899.067</w:t>
            </w:r>
          </w:p>
        </w:tc>
        <w:tc>
          <w:tcPr>
            <w:tcW w:w="2041" w:type="dxa"/>
          </w:tcPr>
          <w:p w:rsidR="005C2091" w:rsidRDefault="00A86293">
            <w:pPr>
              <w:pStyle w:val="CellColumn"/>
              <w:jc w:val="right"/>
            </w:pPr>
            <w:r>
              <w:rPr>
                <w:rFonts w:cs="Times New Roman"/>
              </w:rPr>
              <w:t>4.532.794</w:t>
            </w:r>
          </w:p>
        </w:tc>
        <w:tc>
          <w:tcPr>
            <w:tcW w:w="2041" w:type="dxa"/>
          </w:tcPr>
          <w:p w:rsidR="005C2091" w:rsidRDefault="00A86293">
            <w:pPr>
              <w:pStyle w:val="CellColumn"/>
              <w:jc w:val="right"/>
            </w:pPr>
            <w:r>
              <w:rPr>
                <w:rFonts w:cs="Times New Roman"/>
              </w:rPr>
              <w:t>1.593.331</w:t>
            </w:r>
          </w:p>
        </w:tc>
        <w:tc>
          <w:tcPr>
            <w:tcW w:w="1224" w:type="dxa"/>
          </w:tcPr>
          <w:p w:rsidR="005C2091" w:rsidRDefault="00A86293">
            <w:pPr>
              <w:pStyle w:val="CellColumn"/>
              <w:jc w:val="right"/>
            </w:pPr>
            <w:r>
              <w:rPr>
                <w:rFonts w:cs="Times New Roman"/>
              </w:rPr>
              <w:t>35,2</w:t>
            </w:r>
          </w:p>
        </w:tc>
        <w:tc>
          <w:tcPr>
            <w:tcW w:w="1224" w:type="dxa"/>
          </w:tcPr>
          <w:p w:rsidR="005C2091" w:rsidRDefault="00A86293">
            <w:pPr>
              <w:pStyle w:val="CellColumn"/>
              <w:jc w:val="right"/>
            </w:pPr>
            <w:r>
              <w:rPr>
                <w:rFonts w:cs="Times New Roman"/>
              </w:rPr>
              <w:t>55,0</w:t>
            </w:r>
          </w:p>
        </w:tc>
      </w:tr>
    </w:tbl>
    <w:p w:rsidR="005C2091" w:rsidRDefault="005C2091">
      <w:pPr>
        <w:jc w:val="left"/>
      </w:pPr>
    </w:p>
    <w:p w:rsidR="005C2091" w:rsidRDefault="00A86293">
      <w:pPr>
        <w:pStyle w:val="Heading8"/>
        <w:jc w:val="left"/>
      </w:pPr>
      <w:r>
        <w:t>Zakonske i druge pravne osnove</w:t>
      </w:r>
    </w:p>
    <w:p w:rsidR="005C2091" w:rsidRDefault="00A86293">
      <w:r>
        <w:t>Zakon o razvojnoj suradnji i humanitarnoj pomoći inozemstvu (NN 146/08); Uredba o kriterijima za utvrđivanje korisnika i načinu raspodjele dijela prihoda od igara na sreću za 2016. godinu (NN 38/2016)</w:t>
      </w:r>
    </w:p>
    <w:p w:rsidR="005C2091" w:rsidRDefault="00A86293">
      <w:pPr>
        <w:pStyle w:val="Heading8"/>
        <w:jc w:val="left"/>
      </w:pPr>
      <w:r>
        <w:t>Opis aktivnosti</w:t>
      </w:r>
    </w:p>
    <w:p w:rsidR="005C2091" w:rsidRDefault="00A86293">
      <w:r>
        <w:t xml:space="preserve">Sukladno Zakonu o razvojnoj suradnji i humanitarnoj pomoći (NN 146/2008), MVEP je glavni koordinator razvojne suradnje i humanitarne pomoći. Između ostalog, u nadležnost MVEP spada i provedba razvojnih i humanitarnih projekata, odnosno oblikovanje politike međunarodne razvojne suradnje i humanitarne pomoći inozemstvu, koordinacija, provedba i izvještavanje.  </w:t>
      </w:r>
    </w:p>
    <w:p w:rsidR="005C2091" w:rsidRDefault="00A86293">
      <w:r>
        <w:t xml:space="preserve">Slijedom provedbe parlamentarnih izbora u 2015. godini te  post-izbornog procesa, kao i ponovljenih izbora tijekom 2016. godine, izostalo je usvajanje Nacionalne strategije razvojne suradnje Republike Hrvatske i Provedbenog programa Nacionalne strategije koji predstavljaju temeljni zakonodavni okvir za provedbu projekata na području međunarodne razvojne suradnje i humanitarne pomoći, što je u konačnici rezultiralo niskom stopom izvršenja odobrenih proračunskih sredstava.  </w:t>
      </w:r>
    </w:p>
    <w:p w:rsidR="005C2091" w:rsidRDefault="00A86293">
      <w:r>
        <w:t xml:space="preserve">Ministarstvo je u 2016. godini, slijedom odluke Vlade RH, uputilo financijsku pomoć   Republici Makedoniji za saniranje posljedica humanitarne krize izazvane snažnim poplavama u iznosu od 200.000,00 eura, uplatom na račun koji je Vlada Republike Makedonije otvorila u tu svrhu. </w:t>
      </w:r>
    </w:p>
    <w:p w:rsidR="005C2091" w:rsidRDefault="00A86293">
      <w:r>
        <w:t>Također, kao glavni koordinator, MVEP je predložilo Vladi RH donošenje Odluke o odobrenju pružanja humanitarne pomoći Siriji i u susjednim zemljama povodom Donatorske konferencije za Siriju, održane u veljači 2016. godine. Republika Hrvatska se obvezala, a Ministarstvo vanjskih i europskih poslova zadužilo za provedbu projekata i drugih aktivnosti putem bilateralnih i multilateralnih kanala koji obuhvaćaju područja ratne i poslijeratne demokratske tranzicije, obrazovanja, zdravstva, zaštite žena i djece te održivi gospodarski razvoj. Provedba se odnosi na naredno petogodišnje razdoblje.</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215516" w:rsidTr="00215516">
        <w:trPr>
          <w:jc w:val="center"/>
        </w:trPr>
        <w:tc>
          <w:tcPr>
            <w:tcW w:w="2553" w:type="dxa"/>
            <w:shd w:val="clear" w:color="auto" w:fill="B5C0D8"/>
          </w:tcPr>
          <w:p w:rsidR="00215516" w:rsidRDefault="00215516">
            <w:pPr>
              <w:jc w:val="center"/>
            </w:pPr>
            <w:r>
              <w:t>Pokazatelj rezultata</w:t>
            </w:r>
          </w:p>
        </w:tc>
        <w:tc>
          <w:tcPr>
            <w:tcW w:w="1020" w:type="dxa"/>
            <w:shd w:val="clear" w:color="auto" w:fill="B5C0D8"/>
          </w:tcPr>
          <w:p w:rsidR="00215516" w:rsidRDefault="00215516">
            <w:pPr>
              <w:pStyle w:val="CellHeader"/>
              <w:jc w:val="center"/>
            </w:pPr>
            <w:r>
              <w:rPr>
                <w:rFonts w:cs="Times New Roman"/>
              </w:rPr>
              <w:t>Jedinica</w:t>
            </w:r>
          </w:p>
        </w:tc>
        <w:tc>
          <w:tcPr>
            <w:tcW w:w="1020" w:type="dxa"/>
            <w:shd w:val="clear" w:color="auto" w:fill="B5C0D8"/>
          </w:tcPr>
          <w:p w:rsidR="00215516" w:rsidRDefault="00215516">
            <w:pPr>
              <w:pStyle w:val="CellHeader"/>
              <w:jc w:val="center"/>
            </w:pPr>
            <w:r>
              <w:rPr>
                <w:rFonts w:cs="Times New Roman"/>
              </w:rPr>
              <w:t>Polazna vrijednost</w:t>
            </w:r>
          </w:p>
        </w:tc>
        <w:tc>
          <w:tcPr>
            <w:tcW w:w="1020" w:type="dxa"/>
            <w:shd w:val="clear" w:color="auto" w:fill="B5C0D8"/>
          </w:tcPr>
          <w:p w:rsidR="00215516" w:rsidRDefault="00215516">
            <w:pPr>
              <w:pStyle w:val="CellHeader"/>
              <w:jc w:val="center"/>
            </w:pPr>
            <w:r>
              <w:rPr>
                <w:rFonts w:cs="Times New Roman"/>
              </w:rPr>
              <w:t>Izvor podataka</w:t>
            </w:r>
          </w:p>
        </w:tc>
        <w:tc>
          <w:tcPr>
            <w:tcW w:w="1020" w:type="dxa"/>
            <w:shd w:val="clear" w:color="auto" w:fill="B5C0D8"/>
          </w:tcPr>
          <w:p w:rsidR="00215516" w:rsidRDefault="00215516">
            <w:pPr>
              <w:pStyle w:val="CellHeader"/>
              <w:jc w:val="center"/>
            </w:pPr>
            <w:r>
              <w:rPr>
                <w:rFonts w:cs="Times New Roman"/>
              </w:rPr>
              <w:t>Ciljana vrijednost (2016.)</w:t>
            </w:r>
          </w:p>
        </w:tc>
        <w:tc>
          <w:tcPr>
            <w:tcW w:w="1020" w:type="dxa"/>
            <w:shd w:val="clear" w:color="auto" w:fill="B5C0D8"/>
          </w:tcPr>
          <w:p w:rsidR="00215516" w:rsidRDefault="00215516">
            <w:pPr>
              <w:pStyle w:val="CellHeader"/>
              <w:jc w:val="center"/>
            </w:pPr>
            <w:r>
              <w:rPr>
                <w:rFonts w:cs="Times New Roman"/>
              </w:rPr>
              <w:t>Ostvarena vrijednost (2016.)</w:t>
            </w:r>
          </w:p>
        </w:tc>
      </w:tr>
      <w:tr w:rsidR="00215516" w:rsidTr="00215516">
        <w:trPr>
          <w:jc w:val="center"/>
        </w:trPr>
        <w:tc>
          <w:tcPr>
            <w:tcW w:w="2553" w:type="dxa"/>
          </w:tcPr>
          <w:p w:rsidR="00215516" w:rsidRDefault="00215516">
            <w:pPr>
              <w:pStyle w:val="CellColumn"/>
              <w:jc w:val="left"/>
            </w:pPr>
            <w:r>
              <w:rPr>
                <w:rFonts w:cs="Times New Roman"/>
              </w:rPr>
              <w:t>Provedba programa humanitarne pomoći inozemstvu</w:t>
            </w:r>
          </w:p>
        </w:tc>
        <w:tc>
          <w:tcPr>
            <w:tcW w:w="1020" w:type="dxa"/>
          </w:tcPr>
          <w:p w:rsidR="00215516" w:rsidRDefault="00215516">
            <w:pPr>
              <w:pStyle w:val="CellColumn"/>
              <w:jc w:val="right"/>
            </w:pPr>
            <w:r>
              <w:rPr>
                <w:rFonts w:cs="Times New Roman"/>
              </w:rPr>
              <w:t>Broj programa</w:t>
            </w:r>
          </w:p>
        </w:tc>
        <w:tc>
          <w:tcPr>
            <w:tcW w:w="1020" w:type="dxa"/>
          </w:tcPr>
          <w:p w:rsidR="00215516" w:rsidRDefault="00215516">
            <w:pPr>
              <w:pStyle w:val="CellColumn"/>
              <w:jc w:val="right"/>
            </w:pPr>
            <w:r>
              <w:rPr>
                <w:rFonts w:cs="Times New Roman"/>
              </w:rPr>
              <w:t xml:space="preserve">3 </w:t>
            </w:r>
          </w:p>
          <w:p w:rsidR="00215516" w:rsidRDefault="00215516">
            <w:pPr>
              <w:pStyle w:val="CellColumn"/>
              <w:jc w:val="right"/>
            </w:pPr>
            <w:r>
              <w:rPr>
                <w:rFonts w:cs="Times New Roman"/>
              </w:rPr>
              <w:t>(2013.)</w:t>
            </w:r>
          </w:p>
        </w:tc>
        <w:tc>
          <w:tcPr>
            <w:tcW w:w="1020" w:type="dxa"/>
          </w:tcPr>
          <w:p w:rsidR="00215516" w:rsidRDefault="00215516">
            <w:pPr>
              <w:pStyle w:val="CellColumn"/>
              <w:jc w:val="right"/>
            </w:pPr>
            <w:r>
              <w:rPr>
                <w:rFonts w:cs="Times New Roman"/>
              </w:rPr>
              <w:t>MVEP</w:t>
            </w:r>
          </w:p>
        </w:tc>
        <w:tc>
          <w:tcPr>
            <w:tcW w:w="1020" w:type="dxa"/>
          </w:tcPr>
          <w:p w:rsidR="00215516" w:rsidRDefault="00215516">
            <w:pPr>
              <w:pStyle w:val="CellColumn"/>
              <w:jc w:val="right"/>
            </w:pPr>
            <w:r>
              <w:rPr>
                <w:rFonts w:cs="Times New Roman"/>
              </w:rPr>
              <w:t>3</w:t>
            </w:r>
          </w:p>
        </w:tc>
        <w:tc>
          <w:tcPr>
            <w:tcW w:w="1020" w:type="dxa"/>
          </w:tcPr>
          <w:p w:rsidR="00215516" w:rsidRDefault="00215516">
            <w:pPr>
              <w:pStyle w:val="CellColumn"/>
              <w:jc w:val="right"/>
            </w:pPr>
            <w:r>
              <w:rPr>
                <w:rFonts w:cs="Times New Roman"/>
              </w:rPr>
              <w:t>3</w:t>
            </w:r>
          </w:p>
        </w:tc>
      </w:tr>
    </w:tbl>
    <w:p w:rsidR="005C2091" w:rsidRDefault="005C2091">
      <w:pPr>
        <w:jc w:val="left"/>
      </w:pPr>
    </w:p>
    <w:p w:rsidR="005C2091" w:rsidRDefault="00A86293">
      <w:pPr>
        <w:pStyle w:val="Heading3"/>
      </w:pPr>
      <w:r>
        <w:rPr>
          <w:rFonts w:cs="Times New Roman"/>
        </w:rPr>
        <w:t>2302 DIPLOMATSKO KONZULARNA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2302-DIPLOMATSKO KONZULARNA DJELATNOST</w:t>
            </w:r>
          </w:p>
        </w:tc>
        <w:tc>
          <w:tcPr>
            <w:tcW w:w="2041" w:type="dxa"/>
          </w:tcPr>
          <w:p w:rsidR="005C2091" w:rsidRDefault="00A86293">
            <w:pPr>
              <w:pStyle w:val="CellColumn"/>
              <w:jc w:val="right"/>
            </w:pPr>
            <w:r>
              <w:rPr>
                <w:rFonts w:cs="Times New Roman"/>
              </w:rPr>
              <w:t>385.064.117</w:t>
            </w:r>
          </w:p>
        </w:tc>
        <w:tc>
          <w:tcPr>
            <w:tcW w:w="2041" w:type="dxa"/>
          </w:tcPr>
          <w:p w:rsidR="005C2091" w:rsidRDefault="00A86293">
            <w:pPr>
              <w:pStyle w:val="CellColumn"/>
              <w:jc w:val="right"/>
            </w:pPr>
            <w:r>
              <w:rPr>
                <w:rFonts w:cs="Times New Roman"/>
              </w:rPr>
              <w:t>404.295.521</w:t>
            </w:r>
          </w:p>
        </w:tc>
        <w:tc>
          <w:tcPr>
            <w:tcW w:w="2041" w:type="dxa"/>
          </w:tcPr>
          <w:p w:rsidR="005C2091" w:rsidRDefault="00A86293">
            <w:pPr>
              <w:pStyle w:val="CellColumn"/>
              <w:jc w:val="right"/>
            </w:pPr>
            <w:r>
              <w:rPr>
                <w:rFonts w:cs="Times New Roman"/>
              </w:rPr>
              <w:t>399.459.871</w:t>
            </w:r>
          </w:p>
        </w:tc>
        <w:tc>
          <w:tcPr>
            <w:tcW w:w="1224" w:type="dxa"/>
          </w:tcPr>
          <w:p w:rsidR="005C2091" w:rsidRDefault="00A86293">
            <w:pPr>
              <w:pStyle w:val="CellColumn"/>
              <w:jc w:val="right"/>
            </w:pPr>
            <w:r>
              <w:rPr>
                <w:rFonts w:cs="Times New Roman"/>
              </w:rPr>
              <w:t>98,8</w:t>
            </w:r>
          </w:p>
        </w:tc>
        <w:tc>
          <w:tcPr>
            <w:tcW w:w="1224" w:type="dxa"/>
          </w:tcPr>
          <w:p w:rsidR="005C2091" w:rsidRDefault="00A86293">
            <w:pPr>
              <w:pStyle w:val="CellColumn"/>
              <w:jc w:val="right"/>
            </w:pPr>
            <w:r>
              <w:rPr>
                <w:rFonts w:cs="Times New Roman"/>
              </w:rPr>
              <w:t>103,7</w:t>
            </w:r>
          </w:p>
        </w:tc>
      </w:tr>
    </w:tbl>
    <w:p w:rsidR="005C2091" w:rsidRDefault="005C2091">
      <w:pPr>
        <w:jc w:val="left"/>
      </w:pPr>
    </w:p>
    <w:p w:rsidR="005C2091" w:rsidRDefault="00A86293">
      <w:r>
        <w:t xml:space="preserve">Program Diplomatsko konzularna djelatnost odnosi se na rad svih diplomatskih misija i konzularnih ureda koje predstavljaju RH u inozemstvu. Kroz ovaj program obavljaju se poslovi predstavljanja RH u državi primateljici, štite se interesi RH, njezini državljani i pravne osobe, jamči se osobita skrb i zaštita dijelovima hrvatskog naroda u državi primateljici, razvijaju prijateljski odnosi i suradnja između RH i države primateljice u političkom, konzularnom, gospodarskom, kulturno-prosvjetnom, znanstveno-tehnološkom i informacijskom području.  </w:t>
      </w:r>
    </w:p>
    <w:p w:rsidR="005C2091" w:rsidRDefault="00A86293">
      <w:r>
        <w:lastRenderedPageBreak/>
        <w:t xml:space="preserve"> Potrebno je istaći da se kroz navedeni program operativno izvršavaju ciljevi definirani u programima Provođenje vanjske politike RH i Horizontalna koordinacija europskih poslova.  </w:t>
      </w:r>
    </w:p>
    <w:p w:rsidR="005C2091" w:rsidRDefault="00A86293">
      <w:r>
        <w:t xml:space="preserve"> Putem diplomatskih misija i konzularnih ureda radi se na ostvarenju svih strateških ciljeva definiranih Strateškim planom Ministarstva za razdoblje 2016-2018. </w:t>
      </w:r>
    </w:p>
    <w:p w:rsidR="005C2091" w:rsidRDefault="00A86293">
      <w:r>
        <w:t xml:space="preserve">Za provedbu navedenog programa u 2016. godini planirana su sredstva u iznosu od 404.295.521 kn, dok je izvršenje iznosilo 399.459.871 kn što predstavlja indeks 98,8.  </w:t>
      </w:r>
    </w:p>
    <w:p w:rsidR="005C2091" w:rsidRDefault="00A86293">
      <w:r>
        <w:t xml:space="preserve">Kroz navedeni program evidentira se redovno poslovanje diplomatsko konzularne mreže, vidljivo na aktivnostima Administracija i upravljanje i Diplomatsko protokolarne obveze u inozemstvu, zatim aktivnosti vezane uz djelokrug konzularnih poslova, projekti opremanja i adaptacije objekata te projekti Javne diplomacije koji se provode posredstvom predstavništava RH u svijetu. </w:t>
      </w:r>
    </w:p>
    <w:p w:rsidR="005C2091" w:rsidRDefault="00A86293">
      <w:r>
        <w:t>Za izvršenje aktivnosti iz navedenog programa izdvojeno je 66% ukupno utrošenih sredstava Ministarstva, pri čemu su troškovi, u odnosu na 2015. godinu, zabilježili porast od 3,7%  Isti se u najvećoj mjeri odnose na redovno poslovanje DMKU mreže, odnosno vidljiv je kroz proračunsku aktivnost Administracija i upravljanje i podrazumijeva otvaranje novih ili promjenu ranga postojećih diplomatsko konzularnih predstavništava.</w:t>
      </w:r>
    </w:p>
    <w:p w:rsidR="005C2091" w:rsidRDefault="00A86293">
      <w:pPr>
        <w:pStyle w:val="Heading8"/>
        <w:jc w:val="left"/>
      </w:pPr>
      <w:r>
        <w:t xml:space="preserve">Cilj 1. Pružanje konzularne zaštite  </w:t>
      </w:r>
    </w:p>
    <w:p w:rsidR="005C2091" w:rsidRDefault="00A86293">
      <w:pPr>
        <w:pStyle w:val="Heading8"/>
        <w:jc w:val="left"/>
      </w:pPr>
      <w:r>
        <w:t>Opis provedbe cilja programa</w:t>
      </w:r>
    </w:p>
    <w:p w:rsidR="005C2091" w:rsidRDefault="00A86293">
      <w:r>
        <w:t xml:space="preserve">Članstvo Republike Hrvatske u Europskoj uniji donosi obvezu primjene zajedničke vizne politike EU i neposredno uključenje Hrvatske u izradu i provedbu te politike. To znači da Republika Hrvatska usklađuje svoje vizno zakonodavstvo s Viznim acquisom te nastavlja raditi na ispunjavanju uvjeta kako bi se mogla što ranije integrirati u Schengenski prostor, a za Ministarstvo vanjskih i europskih poslova to znači usmjeravanje pažnje i sredstva na obuku konzularnih službenika, uspostavu i razvitak Hrvatskog viznog informacijskog sustava i uvođenje Schengenskih standarda u DM/KU RH u trećim zemljama.  </w:t>
      </w:r>
    </w:p>
    <w:p w:rsidR="005C2091" w:rsidRDefault="00A86293">
      <w:r>
        <w:t>Također, pred Ministarstvom je važan zadatak sudjelovanja u oblikovanju europske migracijske politike, a to podrazumijeva uspostavljanje sustava koordinacije rada među hrvatskim diplomatskim misijama i konzularnim uredima te između njih i diplomatskih misija i konzularnih ureda drugih država članica Europske unije.</w:t>
      </w:r>
    </w:p>
    <w:p w:rsidR="005C2091" w:rsidRDefault="00A86293">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215516" w:rsidTr="00215516">
        <w:trPr>
          <w:jc w:val="center"/>
        </w:trPr>
        <w:tc>
          <w:tcPr>
            <w:tcW w:w="2553" w:type="dxa"/>
            <w:shd w:val="clear" w:color="auto" w:fill="B5C0D8"/>
          </w:tcPr>
          <w:p w:rsidR="00215516" w:rsidRDefault="00215516">
            <w:pPr>
              <w:jc w:val="center"/>
            </w:pPr>
            <w:r>
              <w:t>Pokazatelj učinka</w:t>
            </w:r>
          </w:p>
        </w:tc>
        <w:tc>
          <w:tcPr>
            <w:tcW w:w="1020" w:type="dxa"/>
            <w:shd w:val="clear" w:color="auto" w:fill="B5C0D8"/>
          </w:tcPr>
          <w:p w:rsidR="00215516" w:rsidRDefault="00215516">
            <w:pPr>
              <w:pStyle w:val="CellHeader"/>
              <w:jc w:val="center"/>
            </w:pPr>
            <w:r>
              <w:rPr>
                <w:rFonts w:cs="Times New Roman"/>
              </w:rPr>
              <w:t>Jedinica</w:t>
            </w:r>
          </w:p>
        </w:tc>
        <w:tc>
          <w:tcPr>
            <w:tcW w:w="1020" w:type="dxa"/>
            <w:shd w:val="clear" w:color="auto" w:fill="B5C0D8"/>
          </w:tcPr>
          <w:p w:rsidR="00215516" w:rsidRDefault="00215516">
            <w:pPr>
              <w:pStyle w:val="CellHeader"/>
              <w:jc w:val="center"/>
            </w:pPr>
            <w:r>
              <w:rPr>
                <w:rFonts w:cs="Times New Roman"/>
              </w:rPr>
              <w:t>Polazna vrijednost</w:t>
            </w:r>
          </w:p>
        </w:tc>
        <w:tc>
          <w:tcPr>
            <w:tcW w:w="1020" w:type="dxa"/>
            <w:shd w:val="clear" w:color="auto" w:fill="B5C0D8"/>
          </w:tcPr>
          <w:p w:rsidR="00215516" w:rsidRDefault="00215516">
            <w:pPr>
              <w:pStyle w:val="CellHeader"/>
              <w:jc w:val="center"/>
            </w:pPr>
            <w:r>
              <w:rPr>
                <w:rFonts w:cs="Times New Roman"/>
              </w:rPr>
              <w:t>Izvor podataka</w:t>
            </w:r>
          </w:p>
        </w:tc>
        <w:tc>
          <w:tcPr>
            <w:tcW w:w="1020" w:type="dxa"/>
            <w:shd w:val="clear" w:color="auto" w:fill="B5C0D8"/>
          </w:tcPr>
          <w:p w:rsidR="00215516" w:rsidRDefault="00215516">
            <w:pPr>
              <w:pStyle w:val="CellHeader"/>
              <w:jc w:val="center"/>
            </w:pPr>
            <w:r>
              <w:rPr>
                <w:rFonts w:cs="Times New Roman"/>
              </w:rPr>
              <w:t>Ciljana vrijednost (2016.)</w:t>
            </w:r>
          </w:p>
        </w:tc>
        <w:tc>
          <w:tcPr>
            <w:tcW w:w="1020" w:type="dxa"/>
            <w:shd w:val="clear" w:color="auto" w:fill="B5C0D8"/>
          </w:tcPr>
          <w:p w:rsidR="00215516" w:rsidRDefault="00215516">
            <w:pPr>
              <w:pStyle w:val="CellHeader"/>
              <w:jc w:val="center"/>
            </w:pPr>
            <w:r>
              <w:rPr>
                <w:rFonts w:cs="Times New Roman"/>
              </w:rPr>
              <w:t>Ostvarena vrijednost (2016.)</w:t>
            </w:r>
          </w:p>
        </w:tc>
      </w:tr>
      <w:tr w:rsidR="00215516" w:rsidTr="00215516">
        <w:trPr>
          <w:jc w:val="center"/>
        </w:trPr>
        <w:tc>
          <w:tcPr>
            <w:tcW w:w="2553" w:type="dxa"/>
          </w:tcPr>
          <w:p w:rsidR="00215516" w:rsidRDefault="00215516">
            <w:pPr>
              <w:pStyle w:val="CellColumn"/>
              <w:jc w:val="left"/>
            </w:pPr>
            <w:r>
              <w:rPr>
                <w:rFonts w:cs="Times New Roman"/>
              </w:rPr>
              <w:t>Jačanje međunarodnog položaja RH, kao i položaja RH u regiji, uspostava sustava pružanja konzularne zaštite usklađenog s EU standardima te širenje mira i stabilnosti .</w:t>
            </w:r>
          </w:p>
        </w:tc>
        <w:tc>
          <w:tcPr>
            <w:tcW w:w="1020" w:type="dxa"/>
          </w:tcPr>
          <w:p w:rsidR="00215516" w:rsidRDefault="00215516">
            <w:pPr>
              <w:pStyle w:val="CellColumn"/>
              <w:jc w:val="right"/>
            </w:pPr>
            <w:r>
              <w:rPr>
                <w:rFonts w:cs="Times New Roman"/>
              </w:rPr>
              <w:t>%</w:t>
            </w:r>
          </w:p>
        </w:tc>
        <w:tc>
          <w:tcPr>
            <w:tcW w:w="1020" w:type="dxa"/>
          </w:tcPr>
          <w:p w:rsidR="00215516" w:rsidRDefault="00215516">
            <w:pPr>
              <w:pStyle w:val="CellColumn"/>
              <w:jc w:val="right"/>
            </w:pPr>
            <w:r>
              <w:rPr>
                <w:rFonts w:cs="Times New Roman"/>
              </w:rPr>
              <w:t>75</w:t>
            </w:r>
          </w:p>
        </w:tc>
        <w:tc>
          <w:tcPr>
            <w:tcW w:w="1020" w:type="dxa"/>
          </w:tcPr>
          <w:p w:rsidR="00215516" w:rsidRDefault="00215516">
            <w:pPr>
              <w:pStyle w:val="CellColumn"/>
              <w:jc w:val="right"/>
            </w:pPr>
            <w:r>
              <w:rPr>
                <w:rFonts w:cs="Times New Roman"/>
              </w:rPr>
              <w:t>MVEP</w:t>
            </w:r>
          </w:p>
        </w:tc>
        <w:tc>
          <w:tcPr>
            <w:tcW w:w="1020" w:type="dxa"/>
          </w:tcPr>
          <w:p w:rsidR="00215516" w:rsidRDefault="00215516">
            <w:pPr>
              <w:pStyle w:val="CellColumn"/>
              <w:jc w:val="right"/>
            </w:pPr>
            <w:r>
              <w:rPr>
                <w:rFonts w:cs="Times New Roman"/>
              </w:rPr>
              <w:t>93</w:t>
            </w:r>
          </w:p>
        </w:tc>
        <w:tc>
          <w:tcPr>
            <w:tcW w:w="1020" w:type="dxa"/>
          </w:tcPr>
          <w:p w:rsidR="00215516" w:rsidRDefault="00215516">
            <w:pPr>
              <w:pStyle w:val="CellColumn"/>
              <w:jc w:val="right"/>
            </w:pPr>
            <w:r>
              <w:rPr>
                <w:rFonts w:cs="Times New Roman"/>
              </w:rPr>
              <w:t>91</w:t>
            </w:r>
          </w:p>
        </w:tc>
      </w:tr>
    </w:tbl>
    <w:p w:rsidR="005C2091" w:rsidRDefault="005C2091">
      <w:pPr>
        <w:jc w:val="left"/>
      </w:pPr>
    </w:p>
    <w:p w:rsidR="005C2091" w:rsidRDefault="00A86293">
      <w:pPr>
        <w:pStyle w:val="Heading4"/>
      </w:pPr>
      <w:r>
        <w:t>A777053 KONZULARNI POSLOVI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A777053-KONZULARNI POSLOVI</w:t>
            </w:r>
          </w:p>
        </w:tc>
        <w:tc>
          <w:tcPr>
            <w:tcW w:w="2041" w:type="dxa"/>
          </w:tcPr>
          <w:p w:rsidR="005C2091" w:rsidRDefault="00A86293">
            <w:pPr>
              <w:pStyle w:val="CellColumn"/>
              <w:jc w:val="right"/>
            </w:pPr>
            <w:r>
              <w:rPr>
                <w:rFonts w:cs="Times New Roman"/>
              </w:rPr>
              <w:t>19.636.169</w:t>
            </w:r>
          </w:p>
        </w:tc>
        <w:tc>
          <w:tcPr>
            <w:tcW w:w="2041" w:type="dxa"/>
          </w:tcPr>
          <w:p w:rsidR="005C2091" w:rsidRDefault="00A86293">
            <w:pPr>
              <w:pStyle w:val="CellColumn"/>
              <w:jc w:val="right"/>
            </w:pPr>
            <w:r>
              <w:rPr>
                <w:rFonts w:cs="Times New Roman"/>
              </w:rPr>
              <w:t>18.560.000</w:t>
            </w:r>
          </w:p>
        </w:tc>
        <w:tc>
          <w:tcPr>
            <w:tcW w:w="2041" w:type="dxa"/>
          </w:tcPr>
          <w:p w:rsidR="005C2091" w:rsidRDefault="00A86293">
            <w:pPr>
              <w:pStyle w:val="CellColumn"/>
              <w:jc w:val="right"/>
            </w:pPr>
            <w:r>
              <w:rPr>
                <w:rFonts w:cs="Times New Roman"/>
              </w:rPr>
              <w:t>16.061.002</w:t>
            </w:r>
          </w:p>
        </w:tc>
        <w:tc>
          <w:tcPr>
            <w:tcW w:w="1224" w:type="dxa"/>
          </w:tcPr>
          <w:p w:rsidR="005C2091" w:rsidRDefault="00A86293">
            <w:pPr>
              <w:pStyle w:val="CellColumn"/>
              <w:jc w:val="right"/>
            </w:pPr>
            <w:r>
              <w:rPr>
                <w:rFonts w:cs="Times New Roman"/>
              </w:rPr>
              <w:t>86,5</w:t>
            </w:r>
          </w:p>
        </w:tc>
        <w:tc>
          <w:tcPr>
            <w:tcW w:w="1224" w:type="dxa"/>
          </w:tcPr>
          <w:p w:rsidR="005C2091" w:rsidRDefault="00A86293">
            <w:pPr>
              <w:pStyle w:val="CellColumn"/>
              <w:jc w:val="right"/>
            </w:pPr>
            <w:r>
              <w:rPr>
                <w:rFonts w:cs="Times New Roman"/>
              </w:rPr>
              <w:t>81,8</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Zakon o vanjskim poslovima (NN 48/96); Zakon o strancima (NN 79/07, 36/09, 130/11), Zakon o putnim ispravama hrvatskih državljana (NN 77/99); Uredba o viznom sustavu NN 56/09</w:t>
      </w:r>
    </w:p>
    <w:p w:rsidR="005C2091" w:rsidRDefault="00A86293">
      <w:pPr>
        <w:pStyle w:val="Heading8"/>
        <w:jc w:val="left"/>
      </w:pPr>
      <w:r>
        <w:t>Opis aktivnosti</w:t>
      </w:r>
    </w:p>
    <w:p w:rsidR="005C2091" w:rsidRDefault="00A86293">
      <w:r>
        <w:t xml:space="preserve">Ministarstvo vanjskih i europskih poslova, unutar konzularne nadležnosti, orijentirano je na zaštitu prava i interesa hrvatskih državljana i pravnih osoba u inozemstvu, provedbu zajedničke vizne politike EU te pružanje konzularne pomoći i zaštite državljanima drugih država članica EU. </w:t>
      </w:r>
    </w:p>
    <w:p w:rsidR="005C2091" w:rsidRDefault="00A86293">
      <w:r>
        <w:t>Kroz navedenu proračunsku aktivnost, u najznačajnijem iznosu, evidentiraju se rashodi vezani uz nabavku i izradu zaštićenih obrazaca i isprava čiji su sadržaj, oblik, način zaštite i obvezna primjena propisani zakonima i drugim propisima.</w:t>
      </w:r>
    </w:p>
    <w:p w:rsidR="00215516" w:rsidRDefault="00215516"/>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215516" w:rsidTr="00215516">
        <w:trPr>
          <w:jc w:val="center"/>
        </w:trPr>
        <w:tc>
          <w:tcPr>
            <w:tcW w:w="2553" w:type="dxa"/>
            <w:shd w:val="clear" w:color="auto" w:fill="B5C0D8"/>
          </w:tcPr>
          <w:p w:rsidR="00215516" w:rsidRDefault="00215516">
            <w:pPr>
              <w:jc w:val="center"/>
            </w:pPr>
            <w:r>
              <w:t>Pokazatelj rezultata</w:t>
            </w:r>
          </w:p>
        </w:tc>
        <w:tc>
          <w:tcPr>
            <w:tcW w:w="1020" w:type="dxa"/>
            <w:shd w:val="clear" w:color="auto" w:fill="B5C0D8"/>
          </w:tcPr>
          <w:p w:rsidR="00215516" w:rsidRDefault="00215516">
            <w:pPr>
              <w:pStyle w:val="CellHeader"/>
              <w:jc w:val="center"/>
            </w:pPr>
            <w:r>
              <w:rPr>
                <w:rFonts w:cs="Times New Roman"/>
              </w:rPr>
              <w:t>Jedinica</w:t>
            </w:r>
          </w:p>
        </w:tc>
        <w:tc>
          <w:tcPr>
            <w:tcW w:w="1020" w:type="dxa"/>
            <w:shd w:val="clear" w:color="auto" w:fill="B5C0D8"/>
          </w:tcPr>
          <w:p w:rsidR="00215516" w:rsidRDefault="00215516">
            <w:pPr>
              <w:pStyle w:val="CellHeader"/>
              <w:jc w:val="center"/>
            </w:pPr>
            <w:r>
              <w:rPr>
                <w:rFonts w:cs="Times New Roman"/>
              </w:rPr>
              <w:t>Polazna vrijednost</w:t>
            </w:r>
          </w:p>
        </w:tc>
        <w:tc>
          <w:tcPr>
            <w:tcW w:w="1020" w:type="dxa"/>
            <w:shd w:val="clear" w:color="auto" w:fill="B5C0D8"/>
          </w:tcPr>
          <w:p w:rsidR="00215516" w:rsidRDefault="00215516">
            <w:pPr>
              <w:pStyle w:val="CellHeader"/>
              <w:jc w:val="center"/>
            </w:pPr>
            <w:r>
              <w:rPr>
                <w:rFonts w:cs="Times New Roman"/>
              </w:rPr>
              <w:t>Izvor podataka</w:t>
            </w:r>
          </w:p>
        </w:tc>
        <w:tc>
          <w:tcPr>
            <w:tcW w:w="1020" w:type="dxa"/>
            <w:shd w:val="clear" w:color="auto" w:fill="B5C0D8"/>
          </w:tcPr>
          <w:p w:rsidR="00215516" w:rsidRDefault="00215516">
            <w:pPr>
              <w:pStyle w:val="CellHeader"/>
              <w:jc w:val="center"/>
            </w:pPr>
            <w:r>
              <w:rPr>
                <w:rFonts w:cs="Times New Roman"/>
              </w:rPr>
              <w:t>Ciljana vrijednost (2016.)</w:t>
            </w:r>
          </w:p>
        </w:tc>
        <w:tc>
          <w:tcPr>
            <w:tcW w:w="1020" w:type="dxa"/>
            <w:shd w:val="clear" w:color="auto" w:fill="B5C0D8"/>
          </w:tcPr>
          <w:p w:rsidR="00215516" w:rsidRDefault="00215516">
            <w:pPr>
              <w:pStyle w:val="CellHeader"/>
              <w:jc w:val="center"/>
            </w:pPr>
            <w:r>
              <w:rPr>
                <w:rFonts w:cs="Times New Roman"/>
              </w:rPr>
              <w:t>Ostvarena vrijednost (2016.)</w:t>
            </w:r>
          </w:p>
        </w:tc>
      </w:tr>
      <w:tr w:rsidR="00215516" w:rsidTr="00215516">
        <w:trPr>
          <w:jc w:val="center"/>
        </w:trPr>
        <w:tc>
          <w:tcPr>
            <w:tcW w:w="2553" w:type="dxa"/>
          </w:tcPr>
          <w:p w:rsidR="00215516" w:rsidRDefault="00215516">
            <w:pPr>
              <w:pStyle w:val="CellColumn"/>
              <w:jc w:val="left"/>
            </w:pPr>
            <w:r>
              <w:rPr>
                <w:rFonts w:cs="Times New Roman"/>
              </w:rPr>
              <w:t>Provedba zajedničke vizne politike EU</w:t>
            </w:r>
          </w:p>
        </w:tc>
        <w:tc>
          <w:tcPr>
            <w:tcW w:w="1020" w:type="dxa"/>
          </w:tcPr>
          <w:p w:rsidR="00215516" w:rsidRDefault="00215516">
            <w:pPr>
              <w:pStyle w:val="CellColumn"/>
              <w:jc w:val="right"/>
            </w:pPr>
            <w:r>
              <w:rPr>
                <w:rFonts w:cs="Times New Roman"/>
              </w:rPr>
              <w:t>%</w:t>
            </w:r>
          </w:p>
        </w:tc>
        <w:tc>
          <w:tcPr>
            <w:tcW w:w="1020" w:type="dxa"/>
          </w:tcPr>
          <w:p w:rsidR="00215516" w:rsidRDefault="00215516">
            <w:pPr>
              <w:pStyle w:val="CellColumn"/>
              <w:jc w:val="right"/>
            </w:pPr>
            <w:r>
              <w:rPr>
                <w:rFonts w:cs="Times New Roman"/>
              </w:rPr>
              <w:t>50</w:t>
            </w:r>
          </w:p>
        </w:tc>
        <w:tc>
          <w:tcPr>
            <w:tcW w:w="1020" w:type="dxa"/>
          </w:tcPr>
          <w:p w:rsidR="00215516" w:rsidRDefault="00215516">
            <w:pPr>
              <w:pStyle w:val="CellColumn"/>
              <w:jc w:val="right"/>
            </w:pPr>
            <w:r>
              <w:rPr>
                <w:rFonts w:cs="Times New Roman"/>
              </w:rPr>
              <w:t>MVEP</w:t>
            </w:r>
          </w:p>
        </w:tc>
        <w:tc>
          <w:tcPr>
            <w:tcW w:w="1020" w:type="dxa"/>
          </w:tcPr>
          <w:p w:rsidR="00215516" w:rsidRDefault="00215516">
            <w:pPr>
              <w:pStyle w:val="CellColumn"/>
              <w:jc w:val="right"/>
            </w:pPr>
            <w:r>
              <w:rPr>
                <w:rFonts w:cs="Times New Roman"/>
              </w:rPr>
              <w:t>100</w:t>
            </w:r>
          </w:p>
        </w:tc>
        <w:tc>
          <w:tcPr>
            <w:tcW w:w="1020" w:type="dxa"/>
          </w:tcPr>
          <w:p w:rsidR="00215516" w:rsidRDefault="00215516">
            <w:pPr>
              <w:pStyle w:val="CellColumn"/>
              <w:jc w:val="right"/>
            </w:pPr>
            <w:r>
              <w:rPr>
                <w:rFonts w:cs="Times New Roman"/>
              </w:rPr>
              <w:t>75</w:t>
            </w:r>
          </w:p>
        </w:tc>
      </w:tr>
      <w:tr w:rsidR="00215516" w:rsidTr="00215516">
        <w:trPr>
          <w:jc w:val="center"/>
        </w:trPr>
        <w:tc>
          <w:tcPr>
            <w:tcW w:w="2553" w:type="dxa"/>
          </w:tcPr>
          <w:p w:rsidR="00215516" w:rsidRDefault="00215516">
            <w:pPr>
              <w:pStyle w:val="CellColumn"/>
              <w:jc w:val="left"/>
            </w:pPr>
            <w:r>
              <w:rPr>
                <w:rFonts w:cs="Times New Roman"/>
              </w:rPr>
              <w:t>Pružanje konzularne pomoći i zaštite državljanima drugih država članica EU</w:t>
            </w:r>
          </w:p>
        </w:tc>
        <w:tc>
          <w:tcPr>
            <w:tcW w:w="1020" w:type="dxa"/>
          </w:tcPr>
          <w:p w:rsidR="00215516" w:rsidRDefault="00215516">
            <w:pPr>
              <w:pStyle w:val="CellColumn"/>
              <w:jc w:val="right"/>
            </w:pPr>
            <w:r>
              <w:rPr>
                <w:rFonts w:cs="Times New Roman"/>
              </w:rPr>
              <w:t>%</w:t>
            </w:r>
          </w:p>
        </w:tc>
        <w:tc>
          <w:tcPr>
            <w:tcW w:w="1020" w:type="dxa"/>
          </w:tcPr>
          <w:p w:rsidR="00215516" w:rsidRDefault="00215516">
            <w:pPr>
              <w:pStyle w:val="CellColumn"/>
              <w:jc w:val="right"/>
            </w:pPr>
            <w:r>
              <w:rPr>
                <w:rFonts w:cs="Times New Roman"/>
              </w:rPr>
              <w:t>100</w:t>
            </w:r>
          </w:p>
        </w:tc>
        <w:tc>
          <w:tcPr>
            <w:tcW w:w="1020" w:type="dxa"/>
          </w:tcPr>
          <w:p w:rsidR="00215516" w:rsidRDefault="00215516">
            <w:pPr>
              <w:pStyle w:val="CellColumn"/>
              <w:jc w:val="right"/>
            </w:pPr>
            <w:r>
              <w:rPr>
                <w:rFonts w:cs="Times New Roman"/>
              </w:rPr>
              <w:t>MVEP</w:t>
            </w:r>
          </w:p>
        </w:tc>
        <w:tc>
          <w:tcPr>
            <w:tcW w:w="1020" w:type="dxa"/>
          </w:tcPr>
          <w:p w:rsidR="00215516" w:rsidRDefault="00215516">
            <w:pPr>
              <w:pStyle w:val="CellColumn"/>
              <w:jc w:val="right"/>
            </w:pPr>
            <w:r>
              <w:rPr>
                <w:rFonts w:cs="Times New Roman"/>
              </w:rPr>
              <w:t>100</w:t>
            </w:r>
          </w:p>
        </w:tc>
        <w:tc>
          <w:tcPr>
            <w:tcW w:w="1020" w:type="dxa"/>
          </w:tcPr>
          <w:p w:rsidR="00215516" w:rsidRDefault="00215516">
            <w:pPr>
              <w:pStyle w:val="CellColumn"/>
              <w:jc w:val="right"/>
            </w:pPr>
            <w:r>
              <w:rPr>
                <w:rFonts w:cs="Times New Roman"/>
              </w:rPr>
              <w:t>100</w:t>
            </w:r>
          </w:p>
        </w:tc>
      </w:tr>
      <w:tr w:rsidR="00215516" w:rsidTr="00215516">
        <w:trPr>
          <w:jc w:val="center"/>
        </w:trPr>
        <w:tc>
          <w:tcPr>
            <w:tcW w:w="2553" w:type="dxa"/>
          </w:tcPr>
          <w:p w:rsidR="00215516" w:rsidRDefault="00215516">
            <w:pPr>
              <w:pStyle w:val="CellColumn"/>
              <w:jc w:val="left"/>
            </w:pPr>
            <w:r>
              <w:rPr>
                <w:rFonts w:cs="Times New Roman"/>
              </w:rPr>
              <w:t>Zaštita prava i interesa hrvatskih državljana i pravnih osoba u inozemstvu</w:t>
            </w:r>
          </w:p>
        </w:tc>
        <w:tc>
          <w:tcPr>
            <w:tcW w:w="1020" w:type="dxa"/>
          </w:tcPr>
          <w:p w:rsidR="00215516" w:rsidRDefault="00215516">
            <w:pPr>
              <w:pStyle w:val="CellColumn"/>
              <w:jc w:val="right"/>
            </w:pPr>
            <w:r>
              <w:rPr>
                <w:rFonts w:cs="Times New Roman"/>
              </w:rPr>
              <w:t>Broj obrađenih predmeta</w:t>
            </w:r>
          </w:p>
        </w:tc>
        <w:tc>
          <w:tcPr>
            <w:tcW w:w="1020" w:type="dxa"/>
          </w:tcPr>
          <w:p w:rsidR="00215516" w:rsidRDefault="00215516">
            <w:pPr>
              <w:pStyle w:val="CellColumn"/>
              <w:jc w:val="right"/>
            </w:pPr>
            <w:r>
              <w:rPr>
                <w:rFonts w:cs="Times New Roman"/>
              </w:rPr>
              <w:t>107.093</w:t>
            </w:r>
          </w:p>
        </w:tc>
        <w:tc>
          <w:tcPr>
            <w:tcW w:w="1020" w:type="dxa"/>
          </w:tcPr>
          <w:p w:rsidR="00215516" w:rsidRDefault="00215516">
            <w:pPr>
              <w:pStyle w:val="CellColumn"/>
              <w:jc w:val="right"/>
            </w:pPr>
            <w:r>
              <w:rPr>
                <w:rFonts w:cs="Times New Roman"/>
              </w:rPr>
              <w:t>MVEP</w:t>
            </w:r>
          </w:p>
        </w:tc>
        <w:tc>
          <w:tcPr>
            <w:tcW w:w="1020" w:type="dxa"/>
          </w:tcPr>
          <w:p w:rsidR="00215516" w:rsidRDefault="00215516">
            <w:pPr>
              <w:pStyle w:val="CellColumn"/>
              <w:jc w:val="right"/>
            </w:pPr>
            <w:r>
              <w:rPr>
                <w:rFonts w:cs="Times New Roman"/>
              </w:rPr>
              <w:t>351.914</w:t>
            </w:r>
          </w:p>
        </w:tc>
        <w:tc>
          <w:tcPr>
            <w:tcW w:w="1020" w:type="dxa"/>
          </w:tcPr>
          <w:p w:rsidR="00215516" w:rsidRDefault="00215516">
            <w:pPr>
              <w:pStyle w:val="CellColumn"/>
              <w:jc w:val="right"/>
            </w:pPr>
            <w:r>
              <w:rPr>
                <w:rFonts w:cs="Times New Roman"/>
              </w:rPr>
              <w:t>346.125</w:t>
            </w:r>
          </w:p>
        </w:tc>
      </w:tr>
    </w:tbl>
    <w:p w:rsidR="005C2091" w:rsidRDefault="005C2091">
      <w:pPr>
        <w:jc w:val="left"/>
      </w:pPr>
    </w:p>
    <w:p w:rsidR="005C2091" w:rsidRDefault="00A86293">
      <w:pPr>
        <w:pStyle w:val="Heading3"/>
      </w:pPr>
      <w:r>
        <w:rPr>
          <w:rFonts w:cs="Times New Roman"/>
        </w:rPr>
        <w:t>2303 HORIZONTALNA KOORDINACIJA EUROPSKIH POSLOVA</w:t>
      </w:r>
    </w:p>
    <w:tbl>
      <w:tblPr>
        <w:tblStyle w:val="StilTablice"/>
        <w:tblW w:w="10206" w:type="dxa"/>
        <w:jc w:val="center"/>
        <w:tblLook w:val="04A0" w:firstRow="1" w:lastRow="0" w:firstColumn="1" w:lastColumn="0" w:noHBand="0" w:noVBand="1"/>
      </w:tblPr>
      <w:tblGrid>
        <w:gridCol w:w="1692"/>
        <w:gridCol w:w="2024"/>
        <w:gridCol w:w="2024"/>
        <w:gridCol w:w="2024"/>
        <w:gridCol w:w="1220"/>
        <w:gridCol w:w="122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2303-HORIZONTALNA KOORDINACIJA EUROPSKIH POSLOVA</w:t>
            </w:r>
          </w:p>
        </w:tc>
        <w:tc>
          <w:tcPr>
            <w:tcW w:w="2041" w:type="dxa"/>
          </w:tcPr>
          <w:p w:rsidR="005C2091" w:rsidRDefault="00A86293">
            <w:pPr>
              <w:pStyle w:val="CellColumn"/>
              <w:jc w:val="right"/>
            </w:pPr>
            <w:r>
              <w:rPr>
                <w:rFonts w:cs="Times New Roman"/>
              </w:rPr>
              <w:t>2.414.443</w:t>
            </w:r>
          </w:p>
        </w:tc>
        <w:tc>
          <w:tcPr>
            <w:tcW w:w="2041" w:type="dxa"/>
          </w:tcPr>
          <w:p w:rsidR="005C2091" w:rsidRDefault="00A86293">
            <w:pPr>
              <w:pStyle w:val="CellColumn"/>
              <w:jc w:val="right"/>
            </w:pPr>
            <w:r>
              <w:rPr>
                <w:rFonts w:cs="Times New Roman"/>
              </w:rPr>
              <w:t>2.329.412</w:t>
            </w:r>
          </w:p>
        </w:tc>
        <w:tc>
          <w:tcPr>
            <w:tcW w:w="2041" w:type="dxa"/>
          </w:tcPr>
          <w:p w:rsidR="005C2091" w:rsidRDefault="00A86293">
            <w:pPr>
              <w:pStyle w:val="CellColumn"/>
              <w:jc w:val="right"/>
            </w:pPr>
            <w:r>
              <w:rPr>
                <w:rFonts w:cs="Times New Roman"/>
              </w:rPr>
              <w:t>1.569.490</w:t>
            </w:r>
          </w:p>
        </w:tc>
        <w:tc>
          <w:tcPr>
            <w:tcW w:w="1224" w:type="dxa"/>
          </w:tcPr>
          <w:p w:rsidR="005C2091" w:rsidRDefault="00A86293">
            <w:pPr>
              <w:pStyle w:val="CellColumn"/>
              <w:jc w:val="right"/>
            </w:pPr>
            <w:r>
              <w:rPr>
                <w:rFonts w:cs="Times New Roman"/>
              </w:rPr>
              <w:t>67,4</w:t>
            </w:r>
          </w:p>
        </w:tc>
        <w:tc>
          <w:tcPr>
            <w:tcW w:w="1224" w:type="dxa"/>
          </w:tcPr>
          <w:p w:rsidR="005C2091" w:rsidRDefault="00A86293">
            <w:pPr>
              <w:pStyle w:val="CellColumn"/>
              <w:jc w:val="right"/>
            </w:pPr>
            <w:r>
              <w:rPr>
                <w:rFonts w:cs="Times New Roman"/>
              </w:rPr>
              <w:t>65,0</w:t>
            </w:r>
          </w:p>
        </w:tc>
      </w:tr>
    </w:tbl>
    <w:p w:rsidR="005C2091" w:rsidRDefault="005C2091">
      <w:pPr>
        <w:jc w:val="left"/>
      </w:pPr>
    </w:p>
    <w:p w:rsidR="005C2091" w:rsidRDefault="00A86293">
      <w:r>
        <w:t xml:space="preserve">Kroz navedeni proračunski program realizirao se poseban cilj 1.1. Provedba i koordinacija europskih poslova definiran Strateškim planom MVEP za razdoblje 2016.-2018.  Ministarstvo vanjskih i europskih poslova, kao koordinator svih nadležnih tijela državne uprave u području europskih poslova, kroz navedeni program brinuo je o kontinuiranoj prilagodbi standardima i politikama EU, odnosno uspostavi učinkovitog sustava nacionalne koordinacije europskih poslova.  </w:t>
      </w:r>
    </w:p>
    <w:p w:rsidR="005C2091" w:rsidRDefault="00A86293">
      <w:r>
        <w:t xml:space="preserve">Navedenim programom sufinancirale su se aktivnosti županijskih Savjeta za europske integracije ili ustrojstvenih jedinica za europske poslove županija, kao i troškovi izdavanja i distribuiranja informativnih materijala, a za potrebe informiranja i obrazovanja građana tijekom Europskog tjedna i 2016. godine.  </w:t>
      </w:r>
    </w:p>
    <w:p w:rsidR="005C2091" w:rsidRDefault="00A86293">
      <w:r>
        <w:t xml:space="preserve">Kroz program su se, kao i do sada, financirali poslovi prevođenja i redakture, te koordinacija prevođenja, redakture i lekture hrvatskih propisa i ostalih dokumenata za sastanke relevantnih institucija EU-a, posebno onih vezanih uz izvješćivanje Europske komisije o ispunjavanju obveza RH.  </w:t>
      </w:r>
    </w:p>
    <w:p w:rsidR="005C2091" w:rsidRDefault="00A86293">
      <w:r>
        <w:lastRenderedPageBreak/>
        <w:t>Planirana sredstva predmetnog programa iznose 2.329.412 kuna, a izvršenje istog 1.569.490 kuna što predstavlja izvršenje od 67,4 % ukupno planiranih sredstava. Program bilježi smanjenje rashoda u odnosu na 2015. godinu u nominalnom iznosu od 844.953 kuna, odnosno smanjenje od 35% koje se očituje u smanjenju realizacije po svim proračunskim aktivnostima sadržanim u Programu. Najveće nominalno  izvršenje (765.378 kuna), kao i najveći postotak izvršenja planiranih proračunskih sredstava (95,6%) evidentirano je na aktivnosti A778002 Prevođenje pravne stečevine EU i relevantnog zakonodavstva RH. Najmanji postotak izvršenja (42,4%), iako ne i najmanje nominalno izvršenje sredstava Programa, evidentirano je na aktivnosti A777045 Informiranje o EU, na koju su po prvi puta u 2016. godini raspoređena sredstva od prihoda od igara na sreću prema Uredbi o kriterijima za utvrđivanje korisnika i načinu raspodjele dijela prihoda od igara na sreću za 2016. godinu (NN 38/16).</w:t>
      </w:r>
    </w:p>
    <w:p w:rsidR="005C2091" w:rsidRDefault="00A86293">
      <w:pPr>
        <w:pStyle w:val="Heading8"/>
        <w:jc w:val="left"/>
      </w:pPr>
      <w:r>
        <w:t>Cilj 1. Provedba i koordinacija europskih poslova</w:t>
      </w:r>
    </w:p>
    <w:p w:rsidR="005C2091" w:rsidRDefault="00A86293">
      <w:pPr>
        <w:pStyle w:val="Heading8"/>
        <w:jc w:val="left"/>
      </w:pPr>
      <w:r>
        <w:t>Opis provedbe cilja programa</w:t>
      </w:r>
    </w:p>
    <w:p w:rsidR="005C2091" w:rsidRDefault="00A86293">
      <w:r>
        <w:t xml:space="preserve">Republika Hrvatska, kao članica Europske unije, aktivno sudjeluje u radu radnih skupina i odbora Vijeća Europske unije, na ministarskim sastancima Vijeća Europske unije u svim njegovim konfiguracijama, na sjednicama Europskog vijeća te u ostalim aktivnostima u radu institucija Europske unije.  </w:t>
      </w:r>
    </w:p>
    <w:p w:rsidR="005C2091" w:rsidRDefault="00A86293">
      <w:r>
        <w:t>Ministarstvo vanjskih i europskih poslova, kao tijelo nadležno za nacionalnu koordinaciju europskih poslova, u proteklom razdoblju intenzivno je radilo, zajedno sa svim tijelima državne uprave, na osnaživanju funkcionalnog i učinkovitog sustava za nacionalnu koordinaciju europskih poslova.</w:t>
      </w:r>
    </w:p>
    <w:p w:rsidR="005C2091" w:rsidRDefault="00A86293">
      <w:pPr>
        <w:pStyle w:val="Heading8"/>
        <w:jc w:val="left"/>
      </w:pPr>
      <w:r>
        <w:t>Pokazatelji učinka</w:t>
      </w:r>
    </w:p>
    <w:tbl>
      <w:tblPr>
        <w:tblStyle w:val="StilTablice"/>
        <w:tblW w:w="9495" w:type="dxa"/>
        <w:jc w:val="center"/>
        <w:tblInd w:w="-1842" w:type="dxa"/>
        <w:tblLook w:val="04A0" w:firstRow="1" w:lastRow="0" w:firstColumn="1" w:lastColumn="0" w:noHBand="0" w:noVBand="1"/>
      </w:tblPr>
      <w:tblGrid>
        <w:gridCol w:w="4395"/>
        <w:gridCol w:w="1020"/>
        <w:gridCol w:w="1020"/>
        <w:gridCol w:w="1020"/>
        <w:gridCol w:w="1020"/>
        <w:gridCol w:w="1020"/>
      </w:tblGrid>
      <w:tr w:rsidR="00215516" w:rsidTr="00215516">
        <w:trPr>
          <w:jc w:val="center"/>
        </w:trPr>
        <w:tc>
          <w:tcPr>
            <w:tcW w:w="4395" w:type="dxa"/>
            <w:shd w:val="clear" w:color="auto" w:fill="B5C0D8"/>
          </w:tcPr>
          <w:p w:rsidR="00215516" w:rsidRDefault="00215516">
            <w:pPr>
              <w:jc w:val="center"/>
            </w:pPr>
            <w:r>
              <w:t>Pokazatelj učinka</w:t>
            </w:r>
          </w:p>
        </w:tc>
        <w:tc>
          <w:tcPr>
            <w:tcW w:w="1020" w:type="dxa"/>
            <w:shd w:val="clear" w:color="auto" w:fill="B5C0D8"/>
          </w:tcPr>
          <w:p w:rsidR="00215516" w:rsidRDefault="00215516">
            <w:pPr>
              <w:pStyle w:val="CellHeader"/>
              <w:jc w:val="center"/>
            </w:pPr>
            <w:r>
              <w:rPr>
                <w:rFonts w:cs="Times New Roman"/>
              </w:rPr>
              <w:t>Jedinica</w:t>
            </w:r>
          </w:p>
        </w:tc>
        <w:tc>
          <w:tcPr>
            <w:tcW w:w="1020" w:type="dxa"/>
            <w:shd w:val="clear" w:color="auto" w:fill="B5C0D8"/>
          </w:tcPr>
          <w:p w:rsidR="00215516" w:rsidRDefault="00215516">
            <w:pPr>
              <w:pStyle w:val="CellHeader"/>
              <w:jc w:val="center"/>
            </w:pPr>
            <w:r>
              <w:rPr>
                <w:rFonts w:cs="Times New Roman"/>
              </w:rPr>
              <w:t>Polazna vrijednost</w:t>
            </w:r>
          </w:p>
        </w:tc>
        <w:tc>
          <w:tcPr>
            <w:tcW w:w="1020" w:type="dxa"/>
            <w:shd w:val="clear" w:color="auto" w:fill="B5C0D8"/>
          </w:tcPr>
          <w:p w:rsidR="00215516" w:rsidRDefault="00215516">
            <w:pPr>
              <w:pStyle w:val="CellHeader"/>
              <w:jc w:val="center"/>
            </w:pPr>
            <w:r>
              <w:rPr>
                <w:rFonts w:cs="Times New Roman"/>
              </w:rPr>
              <w:t>Izvor podataka</w:t>
            </w:r>
          </w:p>
        </w:tc>
        <w:tc>
          <w:tcPr>
            <w:tcW w:w="1020" w:type="dxa"/>
            <w:shd w:val="clear" w:color="auto" w:fill="B5C0D8"/>
          </w:tcPr>
          <w:p w:rsidR="00215516" w:rsidRDefault="00215516">
            <w:pPr>
              <w:pStyle w:val="CellHeader"/>
              <w:jc w:val="center"/>
            </w:pPr>
            <w:r>
              <w:rPr>
                <w:rFonts w:cs="Times New Roman"/>
              </w:rPr>
              <w:t>Ciljana vrijednost (2016.)</w:t>
            </w:r>
          </w:p>
        </w:tc>
        <w:tc>
          <w:tcPr>
            <w:tcW w:w="1020" w:type="dxa"/>
            <w:shd w:val="clear" w:color="auto" w:fill="B5C0D8"/>
          </w:tcPr>
          <w:p w:rsidR="00215516" w:rsidRDefault="00215516">
            <w:pPr>
              <w:pStyle w:val="CellHeader"/>
              <w:jc w:val="center"/>
            </w:pPr>
            <w:r>
              <w:rPr>
                <w:rFonts w:cs="Times New Roman"/>
              </w:rPr>
              <w:t>Ostvarena vrijednost (2016.)</w:t>
            </w:r>
          </w:p>
        </w:tc>
      </w:tr>
      <w:tr w:rsidR="00215516" w:rsidTr="00215516">
        <w:trPr>
          <w:jc w:val="center"/>
        </w:trPr>
        <w:tc>
          <w:tcPr>
            <w:tcW w:w="4395" w:type="dxa"/>
          </w:tcPr>
          <w:p w:rsidR="00215516" w:rsidRDefault="00215516">
            <w:pPr>
              <w:pStyle w:val="CellColumn"/>
              <w:jc w:val="left"/>
            </w:pPr>
            <w:r>
              <w:rPr>
                <w:rFonts w:cs="Times New Roman"/>
              </w:rPr>
              <w:t>Sudjelovanje u kreiranju europskih politika temeljem izrađenih nacionalnih stajališta RH</w:t>
            </w:r>
          </w:p>
        </w:tc>
        <w:tc>
          <w:tcPr>
            <w:tcW w:w="1020" w:type="dxa"/>
          </w:tcPr>
          <w:p w:rsidR="00215516" w:rsidRDefault="00215516">
            <w:pPr>
              <w:pStyle w:val="CellColumn"/>
              <w:jc w:val="right"/>
            </w:pPr>
            <w:r>
              <w:rPr>
                <w:rFonts w:cs="Times New Roman"/>
              </w:rPr>
              <w:t>indeks</w:t>
            </w:r>
          </w:p>
        </w:tc>
        <w:tc>
          <w:tcPr>
            <w:tcW w:w="1020" w:type="dxa"/>
          </w:tcPr>
          <w:p w:rsidR="00215516" w:rsidRDefault="00215516">
            <w:pPr>
              <w:pStyle w:val="CellColumn"/>
              <w:jc w:val="right"/>
            </w:pPr>
            <w:r>
              <w:rPr>
                <w:rFonts w:cs="Times New Roman"/>
              </w:rPr>
              <w:t>50</w:t>
            </w:r>
          </w:p>
        </w:tc>
        <w:tc>
          <w:tcPr>
            <w:tcW w:w="1020" w:type="dxa"/>
          </w:tcPr>
          <w:p w:rsidR="00215516" w:rsidRDefault="00215516">
            <w:pPr>
              <w:pStyle w:val="CellColumn"/>
              <w:jc w:val="right"/>
            </w:pPr>
            <w:r>
              <w:rPr>
                <w:rFonts w:cs="Times New Roman"/>
              </w:rPr>
              <w:t>MVEP</w:t>
            </w:r>
          </w:p>
        </w:tc>
        <w:tc>
          <w:tcPr>
            <w:tcW w:w="1020" w:type="dxa"/>
          </w:tcPr>
          <w:p w:rsidR="00215516" w:rsidRDefault="00215516">
            <w:pPr>
              <w:pStyle w:val="CellColumn"/>
              <w:jc w:val="right"/>
            </w:pPr>
            <w:r>
              <w:rPr>
                <w:rFonts w:cs="Times New Roman"/>
              </w:rPr>
              <w:t>100</w:t>
            </w:r>
          </w:p>
        </w:tc>
        <w:tc>
          <w:tcPr>
            <w:tcW w:w="1020" w:type="dxa"/>
          </w:tcPr>
          <w:p w:rsidR="00215516" w:rsidRDefault="00215516">
            <w:pPr>
              <w:pStyle w:val="CellColumn"/>
              <w:jc w:val="right"/>
            </w:pPr>
            <w:r>
              <w:rPr>
                <w:rFonts w:cs="Times New Roman"/>
              </w:rPr>
              <w:t>100</w:t>
            </w:r>
          </w:p>
        </w:tc>
      </w:tr>
    </w:tbl>
    <w:p w:rsidR="005C2091" w:rsidRDefault="005C2091">
      <w:pPr>
        <w:jc w:val="left"/>
      </w:pPr>
    </w:p>
    <w:p w:rsidR="005C2091" w:rsidRDefault="00A86293">
      <w:pPr>
        <w:pStyle w:val="Heading4"/>
      </w:pPr>
      <w:r>
        <w:t>A777045 INFORMIRANJE O EU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A777045-INFORMIRANJE O EU</w:t>
            </w:r>
          </w:p>
        </w:tc>
        <w:tc>
          <w:tcPr>
            <w:tcW w:w="2041" w:type="dxa"/>
          </w:tcPr>
          <w:p w:rsidR="005C2091" w:rsidRDefault="00A86293">
            <w:pPr>
              <w:pStyle w:val="CellColumn"/>
              <w:jc w:val="right"/>
            </w:pPr>
            <w:r>
              <w:rPr>
                <w:rFonts w:cs="Times New Roman"/>
              </w:rPr>
              <w:t>712.851</w:t>
            </w:r>
          </w:p>
        </w:tc>
        <w:tc>
          <w:tcPr>
            <w:tcW w:w="2041" w:type="dxa"/>
          </w:tcPr>
          <w:p w:rsidR="005C2091" w:rsidRDefault="00A86293">
            <w:pPr>
              <w:pStyle w:val="CellColumn"/>
              <w:jc w:val="right"/>
            </w:pPr>
            <w:r>
              <w:rPr>
                <w:rFonts w:cs="Times New Roman"/>
              </w:rPr>
              <w:t>1.117.412</w:t>
            </w:r>
          </w:p>
        </w:tc>
        <w:tc>
          <w:tcPr>
            <w:tcW w:w="2041" w:type="dxa"/>
          </w:tcPr>
          <w:p w:rsidR="005C2091" w:rsidRDefault="00A86293">
            <w:pPr>
              <w:pStyle w:val="CellColumn"/>
              <w:jc w:val="right"/>
            </w:pPr>
            <w:r>
              <w:rPr>
                <w:rFonts w:cs="Times New Roman"/>
              </w:rPr>
              <w:t>473.588</w:t>
            </w:r>
          </w:p>
        </w:tc>
        <w:tc>
          <w:tcPr>
            <w:tcW w:w="1224" w:type="dxa"/>
          </w:tcPr>
          <w:p w:rsidR="005C2091" w:rsidRDefault="00A86293">
            <w:pPr>
              <w:pStyle w:val="CellColumn"/>
              <w:jc w:val="right"/>
            </w:pPr>
            <w:r>
              <w:rPr>
                <w:rFonts w:cs="Times New Roman"/>
              </w:rPr>
              <w:t>42,4</w:t>
            </w:r>
          </w:p>
        </w:tc>
        <w:tc>
          <w:tcPr>
            <w:tcW w:w="1224" w:type="dxa"/>
          </w:tcPr>
          <w:p w:rsidR="005C2091" w:rsidRDefault="00A86293">
            <w:pPr>
              <w:pStyle w:val="CellColumn"/>
              <w:jc w:val="right"/>
            </w:pPr>
            <w:r>
              <w:rPr>
                <w:rFonts w:cs="Times New Roman"/>
              </w:rPr>
              <w:t>66,4</w:t>
            </w:r>
          </w:p>
        </w:tc>
      </w:tr>
    </w:tbl>
    <w:p w:rsidR="005C2091" w:rsidRDefault="005C2091">
      <w:pPr>
        <w:jc w:val="left"/>
      </w:pPr>
    </w:p>
    <w:p w:rsidR="005C2091" w:rsidRDefault="00A86293">
      <w:pPr>
        <w:pStyle w:val="Heading8"/>
        <w:jc w:val="left"/>
      </w:pPr>
      <w:r>
        <w:t>Zakonske i druge pravne osnove</w:t>
      </w:r>
    </w:p>
    <w:p w:rsidR="005C2091" w:rsidRDefault="00A86293">
      <w:r>
        <w:t>Zakon o vanjskim poslovima (NN 48/96)</w:t>
      </w:r>
    </w:p>
    <w:p w:rsidR="005C2091" w:rsidRDefault="00A86293">
      <w:pPr>
        <w:pStyle w:val="Heading8"/>
        <w:jc w:val="left"/>
      </w:pPr>
      <w:r>
        <w:t>Opis aktivnosti</w:t>
      </w:r>
    </w:p>
    <w:p w:rsidR="005C2091" w:rsidRDefault="00A86293">
      <w:r>
        <w:t xml:space="preserve">Aktivnost A777045 Informiranje o EU od 2016. godine financira se iz dva proračunska izvora, izvor 11 Opći prihodi i primici u ukupnom iznosu 520.000 kuna, od čega je utrošeno 91,07% planiranih sredstva te izvora 41 Prihodi od igara na sreću u ukupnom planskom iznosu 597.412 kn koji su u cijelosti ostali neizvršeni radi izostanka jasnih procedura uslijed proračunske godine u kojoj je bilo sadržano privremeno financiranje te ponovljeni parlamentarni izbori te ustrojstvene promjene tijela.  </w:t>
      </w:r>
    </w:p>
    <w:p w:rsidR="005C2091" w:rsidRDefault="00A86293">
      <w:r>
        <w:t xml:space="preserve">Najznačajniji dio utrošenih proračunski sredstava odnosi se na sredstva pomoći unutra općeg proračuna (izvršenje 100%) koja se dodjeljuju Županijskim savjetima za europske integracije (ŽSEI) ili ustrojstvenim jedinicama za europske poslove županijama koji su nezaobilazan partner Ministarstvu vanjskih i europskih poslova u procesu informiranja i obrazovanja građana o europskim temama. Tijekom godine ŽSEI provode niz aktivnosti od kojih se najveći dio odvija u mjesecu svibnju prilikom obilježavanja Europskog tjedna kada u svoje aktivnosti uključuju organizacije civilnog društva, lokalne odgojno-obrazovne i kulturne institucije kao i medije, te svoje aktivnosti i projekte nastoje približiti što većem broju građana. </w:t>
      </w:r>
    </w:p>
    <w:p w:rsidR="005C2091" w:rsidRDefault="00A86293">
      <w:r>
        <w:lastRenderedPageBreak/>
        <w:t>Sredstva su utrošena i za istraživanja javnog mnijenja ˝Praćenje stavova građana RH o EU˝ na području Republike Hrvatske te usluge praćenja medija – Monitoring medija.</w:t>
      </w:r>
    </w:p>
    <w:p w:rsidR="005C2091" w:rsidRDefault="00A86293">
      <w:pPr>
        <w:pStyle w:val="Heading8"/>
        <w:jc w:val="left"/>
      </w:pPr>
      <w:r>
        <w:t>Pokazatelji rezultata</w:t>
      </w:r>
    </w:p>
    <w:tbl>
      <w:tblPr>
        <w:tblStyle w:val="StilTablice"/>
        <w:tblW w:w="7746" w:type="dxa"/>
        <w:jc w:val="center"/>
        <w:tblLook w:val="04A0" w:firstRow="1" w:lastRow="0" w:firstColumn="1" w:lastColumn="0" w:noHBand="0" w:noVBand="1"/>
      </w:tblPr>
      <w:tblGrid>
        <w:gridCol w:w="2501"/>
        <w:gridCol w:w="1192"/>
        <w:gridCol w:w="1014"/>
        <w:gridCol w:w="1010"/>
        <w:gridCol w:w="1014"/>
        <w:gridCol w:w="1015"/>
      </w:tblGrid>
      <w:tr w:rsidR="00215516" w:rsidTr="00215516">
        <w:trPr>
          <w:jc w:val="center"/>
        </w:trPr>
        <w:tc>
          <w:tcPr>
            <w:tcW w:w="2501" w:type="dxa"/>
            <w:shd w:val="clear" w:color="auto" w:fill="B5C0D8"/>
          </w:tcPr>
          <w:p w:rsidR="00215516" w:rsidRDefault="00215516">
            <w:pPr>
              <w:jc w:val="center"/>
            </w:pPr>
            <w:r>
              <w:t>Pokazatelj rezultata</w:t>
            </w:r>
          </w:p>
        </w:tc>
        <w:tc>
          <w:tcPr>
            <w:tcW w:w="1192" w:type="dxa"/>
            <w:shd w:val="clear" w:color="auto" w:fill="B5C0D8"/>
          </w:tcPr>
          <w:p w:rsidR="00215516" w:rsidRDefault="00215516">
            <w:pPr>
              <w:pStyle w:val="CellHeader"/>
              <w:jc w:val="center"/>
            </w:pPr>
            <w:r>
              <w:rPr>
                <w:rFonts w:cs="Times New Roman"/>
              </w:rPr>
              <w:t>Jedinica</w:t>
            </w:r>
          </w:p>
        </w:tc>
        <w:tc>
          <w:tcPr>
            <w:tcW w:w="1014" w:type="dxa"/>
            <w:shd w:val="clear" w:color="auto" w:fill="B5C0D8"/>
          </w:tcPr>
          <w:p w:rsidR="00215516" w:rsidRDefault="00215516">
            <w:pPr>
              <w:pStyle w:val="CellHeader"/>
              <w:jc w:val="center"/>
            </w:pPr>
            <w:r>
              <w:rPr>
                <w:rFonts w:cs="Times New Roman"/>
              </w:rPr>
              <w:t>Polazna vrijednost</w:t>
            </w:r>
          </w:p>
        </w:tc>
        <w:tc>
          <w:tcPr>
            <w:tcW w:w="1010" w:type="dxa"/>
            <w:shd w:val="clear" w:color="auto" w:fill="B5C0D8"/>
          </w:tcPr>
          <w:p w:rsidR="00215516" w:rsidRDefault="00215516">
            <w:pPr>
              <w:pStyle w:val="CellHeader"/>
              <w:jc w:val="center"/>
            </w:pPr>
            <w:r>
              <w:rPr>
                <w:rFonts w:cs="Times New Roman"/>
              </w:rPr>
              <w:t>Izvor podataka</w:t>
            </w:r>
          </w:p>
        </w:tc>
        <w:tc>
          <w:tcPr>
            <w:tcW w:w="1014" w:type="dxa"/>
            <w:shd w:val="clear" w:color="auto" w:fill="B5C0D8"/>
          </w:tcPr>
          <w:p w:rsidR="00215516" w:rsidRDefault="00215516">
            <w:pPr>
              <w:pStyle w:val="CellHeader"/>
              <w:jc w:val="center"/>
            </w:pPr>
            <w:r>
              <w:rPr>
                <w:rFonts w:cs="Times New Roman"/>
              </w:rPr>
              <w:t>Ciljana vrijednost (2016.)</w:t>
            </w:r>
          </w:p>
        </w:tc>
        <w:tc>
          <w:tcPr>
            <w:tcW w:w="1015" w:type="dxa"/>
            <w:shd w:val="clear" w:color="auto" w:fill="B5C0D8"/>
          </w:tcPr>
          <w:p w:rsidR="00215516" w:rsidRDefault="00215516">
            <w:pPr>
              <w:pStyle w:val="CellHeader"/>
              <w:jc w:val="center"/>
            </w:pPr>
            <w:r>
              <w:rPr>
                <w:rFonts w:cs="Times New Roman"/>
              </w:rPr>
              <w:t>Ostvarena vrijednost (2016.)</w:t>
            </w:r>
          </w:p>
        </w:tc>
      </w:tr>
      <w:tr w:rsidR="00215516" w:rsidTr="00215516">
        <w:trPr>
          <w:jc w:val="center"/>
        </w:trPr>
        <w:tc>
          <w:tcPr>
            <w:tcW w:w="2501" w:type="dxa"/>
          </w:tcPr>
          <w:p w:rsidR="00215516" w:rsidRDefault="00215516">
            <w:pPr>
              <w:pStyle w:val="CellColumn"/>
              <w:jc w:val="left"/>
            </w:pPr>
            <w:r>
              <w:rPr>
                <w:rFonts w:cs="Times New Roman"/>
              </w:rPr>
              <w:t>Medijska zastupljenost programa posvećenog eurointegracijskom procesu i učincima hrvatskog članstva u EU</w:t>
            </w:r>
          </w:p>
        </w:tc>
        <w:tc>
          <w:tcPr>
            <w:tcW w:w="1192" w:type="dxa"/>
          </w:tcPr>
          <w:p w:rsidR="00215516" w:rsidRDefault="00215516">
            <w:pPr>
              <w:pStyle w:val="CellColumn"/>
              <w:jc w:val="right"/>
            </w:pPr>
            <w:r>
              <w:rPr>
                <w:rFonts w:cs="Times New Roman"/>
              </w:rPr>
              <w:t>broj medijskih objava</w:t>
            </w:r>
          </w:p>
        </w:tc>
        <w:tc>
          <w:tcPr>
            <w:tcW w:w="1014" w:type="dxa"/>
          </w:tcPr>
          <w:p w:rsidR="00215516" w:rsidRDefault="00215516">
            <w:pPr>
              <w:pStyle w:val="CellColumn"/>
              <w:jc w:val="right"/>
            </w:pPr>
            <w:r>
              <w:rPr>
                <w:rFonts w:cs="Times New Roman"/>
              </w:rPr>
              <w:t xml:space="preserve">20.000 </w:t>
            </w:r>
          </w:p>
          <w:p w:rsidR="00215516" w:rsidRDefault="00215516">
            <w:pPr>
              <w:pStyle w:val="CellColumn"/>
              <w:jc w:val="right"/>
            </w:pPr>
            <w:r>
              <w:rPr>
                <w:rFonts w:cs="Times New Roman"/>
              </w:rPr>
              <w:t>(2013.)</w:t>
            </w:r>
          </w:p>
        </w:tc>
        <w:tc>
          <w:tcPr>
            <w:tcW w:w="1010" w:type="dxa"/>
          </w:tcPr>
          <w:p w:rsidR="00215516" w:rsidRDefault="00215516">
            <w:pPr>
              <w:pStyle w:val="CellColumn"/>
              <w:jc w:val="right"/>
            </w:pPr>
            <w:r>
              <w:rPr>
                <w:rFonts w:cs="Times New Roman"/>
              </w:rPr>
              <w:t>MVEP</w:t>
            </w:r>
          </w:p>
        </w:tc>
        <w:tc>
          <w:tcPr>
            <w:tcW w:w="1014" w:type="dxa"/>
          </w:tcPr>
          <w:p w:rsidR="00215516" w:rsidRDefault="00215516">
            <w:pPr>
              <w:pStyle w:val="CellColumn"/>
              <w:jc w:val="right"/>
            </w:pPr>
            <w:r>
              <w:rPr>
                <w:rFonts w:cs="Times New Roman"/>
              </w:rPr>
              <w:t>80.000</w:t>
            </w:r>
          </w:p>
        </w:tc>
        <w:tc>
          <w:tcPr>
            <w:tcW w:w="1015" w:type="dxa"/>
          </w:tcPr>
          <w:p w:rsidR="00215516" w:rsidRDefault="00215516">
            <w:pPr>
              <w:pStyle w:val="CellColumn"/>
              <w:jc w:val="right"/>
            </w:pPr>
            <w:r>
              <w:rPr>
                <w:rFonts w:cs="Times New Roman"/>
              </w:rPr>
              <w:t>77.000</w:t>
            </w:r>
          </w:p>
        </w:tc>
      </w:tr>
      <w:tr w:rsidR="00215516" w:rsidTr="00215516">
        <w:trPr>
          <w:jc w:val="center"/>
        </w:trPr>
        <w:tc>
          <w:tcPr>
            <w:tcW w:w="2501" w:type="dxa"/>
          </w:tcPr>
          <w:p w:rsidR="00215516" w:rsidRDefault="00215516">
            <w:pPr>
              <w:pStyle w:val="CellColumn"/>
              <w:jc w:val="left"/>
            </w:pPr>
            <w:r>
              <w:rPr>
                <w:rFonts w:cs="Times New Roman"/>
              </w:rPr>
              <w:t>Količina distribuiranih informativnih materijala MVEP-a</w:t>
            </w:r>
          </w:p>
        </w:tc>
        <w:tc>
          <w:tcPr>
            <w:tcW w:w="1192" w:type="dxa"/>
          </w:tcPr>
          <w:p w:rsidR="00215516" w:rsidRDefault="00215516">
            <w:pPr>
              <w:pStyle w:val="CellColumn"/>
              <w:jc w:val="right"/>
            </w:pPr>
            <w:r>
              <w:rPr>
                <w:rFonts w:cs="Times New Roman"/>
              </w:rPr>
              <w:t>broj kom. tiskanih i distribuiranih materijala</w:t>
            </w:r>
          </w:p>
        </w:tc>
        <w:tc>
          <w:tcPr>
            <w:tcW w:w="1014" w:type="dxa"/>
          </w:tcPr>
          <w:p w:rsidR="00215516" w:rsidRDefault="00215516">
            <w:pPr>
              <w:pStyle w:val="CellColumn"/>
              <w:jc w:val="right"/>
            </w:pPr>
            <w:r>
              <w:rPr>
                <w:rFonts w:cs="Times New Roman"/>
              </w:rPr>
              <w:t xml:space="preserve">60.000 </w:t>
            </w:r>
          </w:p>
          <w:p w:rsidR="00215516" w:rsidRDefault="00215516">
            <w:pPr>
              <w:pStyle w:val="CellColumn"/>
              <w:jc w:val="right"/>
            </w:pPr>
            <w:r>
              <w:rPr>
                <w:rFonts w:cs="Times New Roman"/>
              </w:rPr>
              <w:t>(2013.)</w:t>
            </w:r>
          </w:p>
        </w:tc>
        <w:tc>
          <w:tcPr>
            <w:tcW w:w="1010" w:type="dxa"/>
          </w:tcPr>
          <w:p w:rsidR="00215516" w:rsidRDefault="00215516">
            <w:pPr>
              <w:pStyle w:val="CellColumn"/>
              <w:jc w:val="right"/>
            </w:pPr>
            <w:r>
              <w:rPr>
                <w:rFonts w:cs="Times New Roman"/>
              </w:rPr>
              <w:t>MVEP</w:t>
            </w:r>
          </w:p>
        </w:tc>
        <w:tc>
          <w:tcPr>
            <w:tcW w:w="1014" w:type="dxa"/>
          </w:tcPr>
          <w:p w:rsidR="00215516" w:rsidRDefault="00215516">
            <w:pPr>
              <w:pStyle w:val="CellColumn"/>
              <w:jc w:val="right"/>
            </w:pPr>
            <w:r>
              <w:rPr>
                <w:rFonts w:cs="Times New Roman"/>
              </w:rPr>
              <w:t>130.000</w:t>
            </w:r>
          </w:p>
        </w:tc>
        <w:tc>
          <w:tcPr>
            <w:tcW w:w="1015" w:type="dxa"/>
          </w:tcPr>
          <w:p w:rsidR="00215516" w:rsidRDefault="00215516">
            <w:pPr>
              <w:pStyle w:val="CellColumn"/>
              <w:jc w:val="right"/>
            </w:pPr>
            <w:r>
              <w:rPr>
                <w:rFonts w:cs="Times New Roman"/>
              </w:rPr>
              <w:t>126.000</w:t>
            </w:r>
          </w:p>
        </w:tc>
      </w:tr>
    </w:tbl>
    <w:p w:rsidR="005C2091" w:rsidRDefault="005C2091">
      <w:pPr>
        <w:jc w:val="left"/>
      </w:pPr>
    </w:p>
    <w:p w:rsidR="005C2091" w:rsidRDefault="00A86293">
      <w:pPr>
        <w:pStyle w:val="Heading4"/>
      </w:pPr>
      <w:r>
        <w:t>A778002 PREVOĐENJE PRAVNE STEČEVINE EU I RELEVANTNOG ZAKONODAVSTVA RH</w:t>
      </w:r>
    </w:p>
    <w:tbl>
      <w:tblPr>
        <w:tblStyle w:val="StilTablice"/>
        <w:tblW w:w="10206" w:type="dxa"/>
        <w:jc w:val="center"/>
        <w:tblLook w:val="04A0" w:firstRow="1" w:lastRow="0" w:firstColumn="1" w:lastColumn="0" w:noHBand="0" w:noVBand="1"/>
      </w:tblPr>
      <w:tblGrid>
        <w:gridCol w:w="1914"/>
        <w:gridCol w:w="1963"/>
        <w:gridCol w:w="1952"/>
        <w:gridCol w:w="1958"/>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A778002-PREVOĐENJE PRAVNE STEČEVINE EU I RELEVANTNOG ZAKONODAVSTVA RH</w:t>
            </w:r>
          </w:p>
        </w:tc>
        <w:tc>
          <w:tcPr>
            <w:tcW w:w="2041" w:type="dxa"/>
          </w:tcPr>
          <w:p w:rsidR="005C2091" w:rsidRDefault="00A86293">
            <w:pPr>
              <w:pStyle w:val="CellColumn"/>
              <w:jc w:val="right"/>
            </w:pPr>
            <w:r>
              <w:rPr>
                <w:rFonts w:cs="Times New Roman"/>
              </w:rPr>
              <w:t>1.190.727</w:t>
            </w:r>
          </w:p>
        </w:tc>
        <w:tc>
          <w:tcPr>
            <w:tcW w:w="2041" w:type="dxa"/>
          </w:tcPr>
          <w:p w:rsidR="005C2091" w:rsidRDefault="00A86293">
            <w:pPr>
              <w:pStyle w:val="CellColumn"/>
              <w:jc w:val="right"/>
            </w:pPr>
            <w:r>
              <w:rPr>
                <w:rFonts w:cs="Times New Roman"/>
              </w:rPr>
              <w:t>801.000</w:t>
            </w:r>
          </w:p>
        </w:tc>
        <w:tc>
          <w:tcPr>
            <w:tcW w:w="2041" w:type="dxa"/>
          </w:tcPr>
          <w:p w:rsidR="005C2091" w:rsidRDefault="00A86293">
            <w:pPr>
              <w:pStyle w:val="CellColumn"/>
              <w:jc w:val="right"/>
            </w:pPr>
            <w:r>
              <w:rPr>
                <w:rFonts w:cs="Times New Roman"/>
              </w:rPr>
              <w:t>765.378</w:t>
            </w:r>
          </w:p>
        </w:tc>
        <w:tc>
          <w:tcPr>
            <w:tcW w:w="1224" w:type="dxa"/>
          </w:tcPr>
          <w:p w:rsidR="005C2091" w:rsidRDefault="00A86293">
            <w:pPr>
              <w:pStyle w:val="CellColumn"/>
              <w:jc w:val="right"/>
            </w:pPr>
            <w:r>
              <w:rPr>
                <w:rFonts w:cs="Times New Roman"/>
              </w:rPr>
              <w:t>95,6</w:t>
            </w:r>
          </w:p>
        </w:tc>
        <w:tc>
          <w:tcPr>
            <w:tcW w:w="1224" w:type="dxa"/>
          </w:tcPr>
          <w:p w:rsidR="005C2091" w:rsidRDefault="00A86293">
            <w:pPr>
              <w:pStyle w:val="CellColumn"/>
              <w:jc w:val="right"/>
            </w:pPr>
            <w:r>
              <w:rPr>
                <w:rFonts w:cs="Times New Roman"/>
              </w:rPr>
              <w:t>64,3</w:t>
            </w:r>
          </w:p>
        </w:tc>
      </w:tr>
    </w:tbl>
    <w:p w:rsidR="005C2091" w:rsidRDefault="005C2091">
      <w:pPr>
        <w:jc w:val="left"/>
      </w:pPr>
    </w:p>
    <w:p w:rsidR="005C2091" w:rsidRDefault="00A86293">
      <w:pPr>
        <w:pStyle w:val="Heading8"/>
        <w:jc w:val="left"/>
      </w:pPr>
      <w:r>
        <w:t>Zakonske i druge pravne osnove</w:t>
      </w:r>
    </w:p>
    <w:p w:rsidR="005C2091" w:rsidRDefault="00A86293">
      <w:r>
        <w:t>Uredba o unutarnjem ustrojstvu MVEP od 27. siječnja 2012. (NN 10/12.)</w:t>
      </w:r>
    </w:p>
    <w:p w:rsidR="005C2091" w:rsidRDefault="00A86293">
      <w:pPr>
        <w:pStyle w:val="Heading8"/>
        <w:jc w:val="left"/>
      </w:pPr>
      <w:r>
        <w:t>Opis aktivnosti</w:t>
      </w:r>
    </w:p>
    <w:p w:rsidR="005C2091" w:rsidRDefault="00A86293">
      <w:r>
        <w:t xml:space="preserve">S ciljem osiguranja visoke jezične kvalitete i zaštite hrvatskoga jezika kao službenog jezika EU i očuvanja hrvatskog jezičnog identiteta u službenom komuniciranju s EU, Ministarstvo obavlja poslove prevođenja i koordinacije prevođenja na hrvatski i engleski jezik, jezičnu, stručnu i pravnu redaktura i lektura dokumenata za potrebe suradnje s institucijama EU te osiguranje jezične kvalitete prevedenih dokumenata. </w:t>
      </w:r>
    </w:p>
    <w:p w:rsidR="005C2091" w:rsidRDefault="00A86293">
      <w:r>
        <w:t xml:space="preserve">Ministarstvo djeluje kao kontakt točka za prevođenje međunarodnih pravnih instrumenata koje sklapa EU i njezine države članice te koordinira prevođenje i osigurava jezičnu kvalitetu cijelog niza povijesnih presuda Europskog suda, što je obveza Republike Hrvatske nakon ulaska u EU. </w:t>
      </w:r>
    </w:p>
    <w:p w:rsidR="005C2091" w:rsidRDefault="00A86293">
      <w:r>
        <w:t xml:space="preserve">Također je, zbog komunikacije naših tijela državne uprave s institucijama EU-a, potrebno kontinuirano prevoditi zakonodavstvo RH na engleski jezik, ali i obavljati završne redakture na već gotovim prijevodima hrvatskog zakonodavstva na engleski jezik zbog objave na mrežnim stranicama. </w:t>
      </w:r>
    </w:p>
    <w:p w:rsidR="005C2091" w:rsidRDefault="00A86293">
      <w:r>
        <w:t>Kroz navedenu proračunsku aktivnost financira se i postavljanje i razvoj modula potrebnih za održavanje Pojmovnika EU zakonodavstva te priprema translacijskih memorija za potrebe prevođenja.</w:t>
      </w:r>
    </w:p>
    <w:p w:rsidR="005C2091" w:rsidRDefault="00A86293">
      <w:pPr>
        <w:pStyle w:val="Heading8"/>
        <w:jc w:val="left"/>
      </w:pPr>
      <w:r>
        <w:lastRenderedPageBreak/>
        <w:t>Pokazatelji rezultata</w:t>
      </w:r>
    </w:p>
    <w:tbl>
      <w:tblPr>
        <w:tblStyle w:val="StilTablice"/>
        <w:tblW w:w="8985" w:type="dxa"/>
        <w:jc w:val="center"/>
        <w:tblInd w:w="-1332" w:type="dxa"/>
        <w:tblLook w:val="04A0" w:firstRow="1" w:lastRow="0" w:firstColumn="1" w:lastColumn="0" w:noHBand="0" w:noVBand="1"/>
      </w:tblPr>
      <w:tblGrid>
        <w:gridCol w:w="3885"/>
        <w:gridCol w:w="1020"/>
        <w:gridCol w:w="1020"/>
        <w:gridCol w:w="1020"/>
        <w:gridCol w:w="1020"/>
        <w:gridCol w:w="1020"/>
      </w:tblGrid>
      <w:tr w:rsidR="00215516" w:rsidTr="00215516">
        <w:trPr>
          <w:jc w:val="center"/>
        </w:trPr>
        <w:tc>
          <w:tcPr>
            <w:tcW w:w="3885" w:type="dxa"/>
            <w:shd w:val="clear" w:color="auto" w:fill="B5C0D8"/>
          </w:tcPr>
          <w:p w:rsidR="00215516" w:rsidRDefault="00215516">
            <w:pPr>
              <w:jc w:val="center"/>
            </w:pPr>
            <w:r>
              <w:t>Pokazatelj rezultata</w:t>
            </w:r>
          </w:p>
        </w:tc>
        <w:tc>
          <w:tcPr>
            <w:tcW w:w="1020" w:type="dxa"/>
            <w:shd w:val="clear" w:color="auto" w:fill="B5C0D8"/>
          </w:tcPr>
          <w:p w:rsidR="00215516" w:rsidRDefault="00215516">
            <w:pPr>
              <w:pStyle w:val="CellHeader"/>
              <w:jc w:val="center"/>
            </w:pPr>
            <w:r>
              <w:rPr>
                <w:rFonts w:cs="Times New Roman"/>
              </w:rPr>
              <w:t>Jedinica</w:t>
            </w:r>
          </w:p>
        </w:tc>
        <w:tc>
          <w:tcPr>
            <w:tcW w:w="1020" w:type="dxa"/>
            <w:shd w:val="clear" w:color="auto" w:fill="B5C0D8"/>
          </w:tcPr>
          <w:p w:rsidR="00215516" w:rsidRDefault="00215516">
            <w:pPr>
              <w:pStyle w:val="CellHeader"/>
              <w:jc w:val="center"/>
            </w:pPr>
            <w:r>
              <w:rPr>
                <w:rFonts w:cs="Times New Roman"/>
              </w:rPr>
              <w:t>Polazna vrijednost</w:t>
            </w:r>
          </w:p>
        </w:tc>
        <w:tc>
          <w:tcPr>
            <w:tcW w:w="1020" w:type="dxa"/>
            <w:shd w:val="clear" w:color="auto" w:fill="B5C0D8"/>
          </w:tcPr>
          <w:p w:rsidR="00215516" w:rsidRDefault="00215516">
            <w:pPr>
              <w:pStyle w:val="CellHeader"/>
              <w:jc w:val="center"/>
            </w:pPr>
            <w:r>
              <w:rPr>
                <w:rFonts w:cs="Times New Roman"/>
              </w:rPr>
              <w:t>Izvor podataka</w:t>
            </w:r>
          </w:p>
        </w:tc>
        <w:tc>
          <w:tcPr>
            <w:tcW w:w="1020" w:type="dxa"/>
            <w:shd w:val="clear" w:color="auto" w:fill="B5C0D8"/>
          </w:tcPr>
          <w:p w:rsidR="00215516" w:rsidRDefault="00215516">
            <w:pPr>
              <w:pStyle w:val="CellHeader"/>
              <w:jc w:val="center"/>
            </w:pPr>
            <w:r>
              <w:rPr>
                <w:rFonts w:cs="Times New Roman"/>
              </w:rPr>
              <w:t>Ciljana vrijednost (2016.)</w:t>
            </w:r>
          </w:p>
        </w:tc>
        <w:tc>
          <w:tcPr>
            <w:tcW w:w="1020" w:type="dxa"/>
            <w:shd w:val="clear" w:color="auto" w:fill="B5C0D8"/>
          </w:tcPr>
          <w:p w:rsidR="00215516" w:rsidRDefault="00215516">
            <w:pPr>
              <w:pStyle w:val="CellHeader"/>
              <w:jc w:val="center"/>
            </w:pPr>
            <w:r>
              <w:rPr>
                <w:rFonts w:cs="Times New Roman"/>
              </w:rPr>
              <w:t>Ostvarena vrijednost (2016.)</w:t>
            </w:r>
          </w:p>
        </w:tc>
      </w:tr>
      <w:tr w:rsidR="00215516" w:rsidTr="00215516">
        <w:trPr>
          <w:jc w:val="center"/>
        </w:trPr>
        <w:tc>
          <w:tcPr>
            <w:tcW w:w="3885" w:type="dxa"/>
          </w:tcPr>
          <w:p w:rsidR="00215516" w:rsidRDefault="00215516">
            <w:pPr>
              <w:pStyle w:val="CellColumn"/>
              <w:jc w:val="left"/>
            </w:pPr>
            <w:r>
              <w:rPr>
                <w:rFonts w:cs="Times New Roman"/>
              </w:rPr>
              <w:t>Obrađeni dokumenti za potrebe suradnje i komunikacije s institucijama EU-a na hrvatski jezik</w:t>
            </w:r>
          </w:p>
        </w:tc>
        <w:tc>
          <w:tcPr>
            <w:tcW w:w="1020" w:type="dxa"/>
          </w:tcPr>
          <w:p w:rsidR="00215516" w:rsidRDefault="00215516">
            <w:pPr>
              <w:pStyle w:val="CellColumn"/>
              <w:jc w:val="right"/>
            </w:pPr>
            <w:r>
              <w:rPr>
                <w:rFonts w:cs="Times New Roman"/>
              </w:rPr>
              <w:t>broj stranica</w:t>
            </w:r>
          </w:p>
        </w:tc>
        <w:tc>
          <w:tcPr>
            <w:tcW w:w="1020" w:type="dxa"/>
          </w:tcPr>
          <w:p w:rsidR="00215516" w:rsidRDefault="00215516">
            <w:pPr>
              <w:pStyle w:val="CellColumn"/>
              <w:jc w:val="right"/>
            </w:pPr>
            <w:r>
              <w:rPr>
                <w:rFonts w:cs="Times New Roman"/>
              </w:rPr>
              <w:t>214.000</w:t>
            </w:r>
          </w:p>
        </w:tc>
        <w:tc>
          <w:tcPr>
            <w:tcW w:w="1020" w:type="dxa"/>
          </w:tcPr>
          <w:p w:rsidR="00215516" w:rsidRDefault="00215516">
            <w:pPr>
              <w:pStyle w:val="CellColumn"/>
              <w:jc w:val="right"/>
            </w:pPr>
            <w:r>
              <w:rPr>
                <w:rFonts w:cs="Times New Roman"/>
              </w:rPr>
              <w:t>MVEP</w:t>
            </w:r>
          </w:p>
        </w:tc>
        <w:tc>
          <w:tcPr>
            <w:tcW w:w="1020" w:type="dxa"/>
          </w:tcPr>
          <w:p w:rsidR="00215516" w:rsidRDefault="00215516">
            <w:pPr>
              <w:pStyle w:val="CellColumn"/>
              <w:jc w:val="right"/>
            </w:pPr>
            <w:r>
              <w:rPr>
                <w:rFonts w:cs="Times New Roman"/>
              </w:rPr>
              <w:t>224.500</w:t>
            </w:r>
          </w:p>
        </w:tc>
        <w:tc>
          <w:tcPr>
            <w:tcW w:w="1020" w:type="dxa"/>
          </w:tcPr>
          <w:p w:rsidR="00215516" w:rsidRDefault="00215516">
            <w:pPr>
              <w:pStyle w:val="CellColumn"/>
              <w:jc w:val="right"/>
            </w:pPr>
            <w:r>
              <w:rPr>
                <w:rFonts w:cs="Times New Roman"/>
              </w:rPr>
              <w:t>225.181</w:t>
            </w:r>
          </w:p>
        </w:tc>
      </w:tr>
      <w:tr w:rsidR="00215516" w:rsidTr="00215516">
        <w:trPr>
          <w:jc w:val="center"/>
        </w:trPr>
        <w:tc>
          <w:tcPr>
            <w:tcW w:w="3885" w:type="dxa"/>
          </w:tcPr>
          <w:p w:rsidR="00215516" w:rsidRDefault="00215516">
            <w:pPr>
              <w:pStyle w:val="CellColumn"/>
              <w:jc w:val="left"/>
            </w:pPr>
            <w:r>
              <w:rPr>
                <w:rFonts w:cs="Times New Roman"/>
              </w:rPr>
              <w:t>Prevedeni dokumenti za potrebe suradnje i komunikacije s institucijama EU-a na engleski jezik</w:t>
            </w:r>
          </w:p>
        </w:tc>
        <w:tc>
          <w:tcPr>
            <w:tcW w:w="1020" w:type="dxa"/>
          </w:tcPr>
          <w:p w:rsidR="00215516" w:rsidRDefault="00215516">
            <w:pPr>
              <w:pStyle w:val="CellColumn"/>
              <w:jc w:val="right"/>
            </w:pPr>
            <w:r>
              <w:rPr>
                <w:rFonts w:cs="Times New Roman"/>
              </w:rPr>
              <w:t>broj stranica</w:t>
            </w:r>
          </w:p>
        </w:tc>
        <w:tc>
          <w:tcPr>
            <w:tcW w:w="1020" w:type="dxa"/>
          </w:tcPr>
          <w:p w:rsidR="00215516" w:rsidRDefault="00215516">
            <w:pPr>
              <w:pStyle w:val="CellColumn"/>
              <w:jc w:val="right"/>
            </w:pPr>
            <w:r>
              <w:rPr>
                <w:rFonts w:cs="Times New Roman"/>
              </w:rPr>
              <w:t>132.000</w:t>
            </w:r>
          </w:p>
        </w:tc>
        <w:tc>
          <w:tcPr>
            <w:tcW w:w="1020" w:type="dxa"/>
          </w:tcPr>
          <w:p w:rsidR="00215516" w:rsidRDefault="00215516">
            <w:pPr>
              <w:pStyle w:val="CellColumn"/>
              <w:jc w:val="right"/>
            </w:pPr>
            <w:r>
              <w:rPr>
                <w:rFonts w:cs="Times New Roman"/>
              </w:rPr>
              <w:t>MVEP</w:t>
            </w:r>
          </w:p>
        </w:tc>
        <w:tc>
          <w:tcPr>
            <w:tcW w:w="1020" w:type="dxa"/>
          </w:tcPr>
          <w:p w:rsidR="00215516" w:rsidRDefault="00215516">
            <w:pPr>
              <w:pStyle w:val="CellColumn"/>
              <w:jc w:val="right"/>
            </w:pPr>
            <w:r>
              <w:rPr>
                <w:rFonts w:cs="Times New Roman"/>
              </w:rPr>
              <w:t>142.300</w:t>
            </w:r>
          </w:p>
        </w:tc>
        <w:tc>
          <w:tcPr>
            <w:tcW w:w="1020" w:type="dxa"/>
          </w:tcPr>
          <w:p w:rsidR="00215516" w:rsidRDefault="00215516">
            <w:pPr>
              <w:pStyle w:val="CellColumn"/>
              <w:jc w:val="right"/>
            </w:pPr>
            <w:r>
              <w:rPr>
                <w:rFonts w:cs="Times New Roman"/>
              </w:rPr>
              <w:t>141.995</w:t>
            </w:r>
          </w:p>
        </w:tc>
      </w:tr>
      <w:tr w:rsidR="00215516" w:rsidTr="00215516">
        <w:trPr>
          <w:jc w:val="center"/>
        </w:trPr>
        <w:tc>
          <w:tcPr>
            <w:tcW w:w="3885" w:type="dxa"/>
          </w:tcPr>
          <w:p w:rsidR="00215516" w:rsidRDefault="00215516">
            <w:pPr>
              <w:pStyle w:val="CellColumn"/>
              <w:jc w:val="left"/>
            </w:pPr>
            <w:r>
              <w:rPr>
                <w:rFonts w:cs="Times New Roman"/>
              </w:rPr>
              <w:t>Broj pojmova unesenih u Pojmovnik EU zakonodavstva i pripremljenih za unos u bazu IATE</w:t>
            </w:r>
          </w:p>
        </w:tc>
        <w:tc>
          <w:tcPr>
            <w:tcW w:w="1020" w:type="dxa"/>
          </w:tcPr>
          <w:p w:rsidR="00215516" w:rsidRDefault="00215516">
            <w:pPr>
              <w:pStyle w:val="CellColumn"/>
              <w:jc w:val="right"/>
            </w:pPr>
            <w:r>
              <w:rPr>
                <w:rFonts w:cs="Times New Roman"/>
              </w:rPr>
              <w:t>broj pojmova</w:t>
            </w:r>
          </w:p>
        </w:tc>
        <w:tc>
          <w:tcPr>
            <w:tcW w:w="1020" w:type="dxa"/>
          </w:tcPr>
          <w:p w:rsidR="00215516" w:rsidRDefault="00215516">
            <w:pPr>
              <w:pStyle w:val="CellColumn"/>
              <w:jc w:val="right"/>
            </w:pPr>
            <w:r>
              <w:rPr>
                <w:rFonts w:cs="Times New Roman"/>
              </w:rPr>
              <w:t xml:space="preserve">0 </w:t>
            </w:r>
          </w:p>
          <w:p w:rsidR="00215516" w:rsidRDefault="00215516">
            <w:pPr>
              <w:pStyle w:val="CellColumn"/>
              <w:jc w:val="right"/>
            </w:pPr>
            <w:r>
              <w:rPr>
                <w:rFonts w:cs="Times New Roman"/>
              </w:rPr>
              <w:t>(2013.)</w:t>
            </w:r>
          </w:p>
        </w:tc>
        <w:tc>
          <w:tcPr>
            <w:tcW w:w="1020" w:type="dxa"/>
          </w:tcPr>
          <w:p w:rsidR="00215516" w:rsidRDefault="00215516">
            <w:pPr>
              <w:pStyle w:val="CellColumn"/>
              <w:jc w:val="right"/>
            </w:pPr>
            <w:r>
              <w:rPr>
                <w:rFonts w:cs="Times New Roman"/>
              </w:rPr>
              <w:t>MVEP</w:t>
            </w:r>
          </w:p>
        </w:tc>
        <w:tc>
          <w:tcPr>
            <w:tcW w:w="1020" w:type="dxa"/>
          </w:tcPr>
          <w:p w:rsidR="00215516" w:rsidRDefault="00215516">
            <w:pPr>
              <w:pStyle w:val="CellColumn"/>
              <w:jc w:val="right"/>
            </w:pPr>
            <w:r>
              <w:rPr>
                <w:rFonts w:cs="Times New Roman"/>
              </w:rPr>
              <w:t>7.500</w:t>
            </w:r>
          </w:p>
        </w:tc>
        <w:tc>
          <w:tcPr>
            <w:tcW w:w="1020" w:type="dxa"/>
          </w:tcPr>
          <w:p w:rsidR="00215516" w:rsidRDefault="00215516">
            <w:pPr>
              <w:pStyle w:val="CellColumn"/>
              <w:jc w:val="right"/>
            </w:pPr>
            <w:r>
              <w:rPr>
                <w:rFonts w:cs="Times New Roman"/>
              </w:rPr>
              <w:t>7.500</w:t>
            </w:r>
          </w:p>
        </w:tc>
      </w:tr>
    </w:tbl>
    <w:p w:rsidR="002B0522" w:rsidRDefault="002B0522">
      <w:pPr>
        <w:jc w:val="left"/>
      </w:pPr>
    </w:p>
    <w:p w:rsidR="005C2091" w:rsidRDefault="005C2091" w:rsidP="002B0522"/>
    <w:p w:rsidR="002B0522" w:rsidRDefault="002B0522">
      <w:pPr>
        <w:overflowPunct/>
        <w:autoSpaceDE/>
        <w:autoSpaceDN/>
        <w:adjustRightInd/>
        <w:spacing w:after="200" w:line="276" w:lineRule="auto"/>
        <w:jc w:val="left"/>
        <w:textAlignment w:val="auto"/>
      </w:pPr>
      <w:r>
        <w:br w:type="page"/>
      </w:r>
    </w:p>
    <w:p w:rsidR="002B0522" w:rsidRDefault="002B0522" w:rsidP="002B0522"/>
    <w:p w:rsidR="005C2091" w:rsidRDefault="00A86293">
      <w:pPr>
        <w:pStyle w:val="Heading1"/>
      </w:pPr>
      <w:r>
        <w:t>049 MINISTARSTVO GOSPODARSTVA, PODUZETNIŠTVA I OBRTA</w:t>
      </w:r>
    </w:p>
    <w:p w:rsidR="005C2091" w:rsidRDefault="00A86293">
      <w:r>
        <w:t xml:space="preserve">Sukladno Zakonu o ustrojstvu i djelokrugu ministarstava i drugih središnjih tijela državne uprave NN 93/16 i 104/16) Ministarstvo gospodarstva nastavilo je s radom kao Ministarstvo gospodarstva, poduzetništva i obrta (dalje u tekstu Ministarstvo) dok je Ministarstvo poduzetništva i obrta prestalo s radom, kao posebno ministarstvo, a njegove poslove preuzelo je Ministarstvo. Ministarstvo zaštite okoliša i energetike je preuzelo dio djelokruga poslova Ministarstva gospodarstva iz područja energetike i istraživanja i eksploatacije ugljikovodika i geotermalnih voda za energetske svrhe. </w:t>
      </w:r>
    </w:p>
    <w:p w:rsidR="005C2091" w:rsidRDefault="00A86293">
      <w:r>
        <w:t>Izmjenama i dopunama Državnog proračuna Republike Hrvatske za 2016. Ministarstvo u svom razdjelu otvorilo je dvije nove glave 04990 Hrvatska agencija za malo gospodarstvo, inovacije i investicije i 04995 Hrvatski centar za zadružno poduzetništvo, a dvije agencije iz glave 04965 Proračunski korisnici u gospodarstvu Hrvatska agencija za obvezne zalihe nafte i naftnih derivata i Centar za praćenje poslovanja energetskog sektora i investicija preseljene u nadležnost razdjela Ministarstvo zaštite okoliša i energetike.</w:t>
      </w:r>
    </w:p>
    <w:tbl>
      <w:tblPr>
        <w:tblStyle w:val="StilTablice"/>
        <w:tblW w:w="10206" w:type="dxa"/>
        <w:jc w:val="center"/>
        <w:tblLook w:val="04A0" w:firstRow="1" w:lastRow="0" w:firstColumn="1" w:lastColumn="0" w:noHBand="0" w:noVBand="1"/>
      </w:tblPr>
      <w:tblGrid>
        <w:gridCol w:w="1765"/>
        <w:gridCol w:w="2004"/>
        <w:gridCol w:w="2004"/>
        <w:gridCol w:w="2004"/>
        <w:gridCol w:w="1212"/>
        <w:gridCol w:w="1217"/>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04905-Ministarstvo gospodarstva, poduzetništva i obrta</w:t>
            </w:r>
          </w:p>
        </w:tc>
        <w:tc>
          <w:tcPr>
            <w:tcW w:w="2041" w:type="dxa"/>
            <w:vAlign w:val="top"/>
          </w:tcPr>
          <w:p w:rsidR="005C2091" w:rsidRDefault="00A86293">
            <w:pPr>
              <w:pStyle w:val="CellColumn"/>
              <w:jc w:val="right"/>
            </w:pPr>
            <w:r>
              <w:rPr>
                <w:rFonts w:cs="Times New Roman"/>
              </w:rPr>
              <w:t>960.617.712</w:t>
            </w:r>
          </w:p>
        </w:tc>
        <w:tc>
          <w:tcPr>
            <w:tcW w:w="2041" w:type="dxa"/>
            <w:vAlign w:val="top"/>
          </w:tcPr>
          <w:p w:rsidR="005C2091" w:rsidRDefault="00A86293">
            <w:pPr>
              <w:pStyle w:val="CellColumn"/>
              <w:jc w:val="right"/>
            </w:pPr>
            <w:r>
              <w:rPr>
                <w:rFonts w:cs="Times New Roman"/>
              </w:rPr>
              <w:t>1.563.513.841</w:t>
            </w:r>
          </w:p>
        </w:tc>
        <w:tc>
          <w:tcPr>
            <w:tcW w:w="2041" w:type="dxa"/>
            <w:vAlign w:val="top"/>
          </w:tcPr>
          <w:p w:rsidR="005C2091" w:rsidRDefault="00A86293">
            <w:pPr>
              <w:pStyle w:val="CellColumn"/>
              <w:jc w:val="right"/>
            </w:pPr>
            <w:r>
              <w:rPr>
                <w:rFonts w:cs="Times New Roman"/>
              </w:rPr>
              <w:t>1.333.035.947</w:t>
            </w:r>
          </w:p>
        </w:tc>
        <w:tc>
          <w:tcPr>
            <w:tcW w:w="1224" w:type="dxa"/>
            <w:vAlign w:val="top"/>
          </w:tcPr>
          <w:p w:rsidR="005C2091" w:rsidRDefault="00A86293">
            <w:pPr>
              <w:pStyle w:val="CellColumn"/>
              <w:jc w:val="right"/>
            </w:pPr>
            <w:r>
              <w:rPr>
                <w:rFonts w:cs="Times New Roman"/>
              </w:rPr>
              <w:t>85,3</w:t>
            </w:r>
          </w:p>
        </w:tc>
        <w:tc>
          <w:tcPr>
            <w:tcW w:w="1224" w:type="dxa"/>
            <w:vAlign w:val="top"/>
          </w:tcPr>
          <w:p w:rsidR="005C2091" w:rsidRDefault="00A86293">
            <w:pPr>
              <w:pStyle w:val="CellColumn"/>
              <w:jc w:val="right"/>
            </w:pPr>
            <w:r>
              <w:rPr>
                <w:rFonts w:cs="Times New Roman"/>
              </w:rPr>
              <w:t>138,8</w:t>
            </w:r>
          </w:p>
        </w:tc>
      </w:tr>
      <w:tr w:rsidR="005C2091">
        <w:trPr>
          <w:jc w:val="center"/>
        </w:trPr>
        <w:tc>
          <w:tcPr>
            <w:tcW w:w="1632" w:type="dxa"/>
            <w:vAlign w:val="top"/>
          </w:tcPr>
          <w:p w:rsidR="005C2091" w:rsidRDefault="00A86293">
            <w:pPr>
              <w:pStyle w:val="CellColumn"/>
              <w:jc w:val="left"/>
            </w:pPr>
            <w:r>
              <w:rPr>
                <w:rFonts w:cs="Times New Roman"/>
              </w:rPr>
              <w:t>04910-Ravnateljstvo za robne zalihe</w:t>
            </w:r>
          </w:p>
        </w:tc>
        <w:tc>
          <w:tcPr>
            <w:tcW w:w="2041" w:type="dxa"/>
            <w:vAlign w:val="top"/>
          </w:tcPr>
          <w:p w:rsidR="005C2091" w:rsidRDefault="00A86293">
            <w:pPr>
              <w:pStyle w:val="CellColumn"/>
              <w:jc w:val="right"/>
            </w:pPr>
            <w:r>
              <w:rPr>
                <w:rFonts w:cs="Times New Roman"/>
              </w:rPr>
              <w:t>98.773.469</w:t>
            </w:r>
          </w:p>
        </w:tc>
        <w:tc>
          <w:tcPr>
            <w:tcW w:w="2041" w:type="dxa"/>
            <w:vAlign w:val="top"/>
          </w:tcPr>
          <w:p w:rsidR="005C2091" w:rsidRDefault="00A86293">
            <w:pPr>
              <w:pStyle w:val="CellColumn"/>
              <w:jc w:val="right"/>
            </w:pPr>
            <w:r>
              <w:rPr>
                <w:rFonts w:cs="Times New Roman"/>
              </w:rPr>
              <w:t>103.095.000</w:t>
            </w:r>
          </w:p>
        </w:tc>
        <w:tc>
          <w:tcPr>
            <w:tcW w:w="2041" w:type="dxa"/>
            <w:vAlign w:val="top"/>
          </w:tcPr>
          <w:p w:rsidR="005C2091" w:rsidRDefault="00A86293">
            <w:pPr>
              <w:pStyle w:val="CellColumn"/>
              <w:jc w:val="right"/>
            </w:pPr>
            <w:r>
              <w:rPr>
                <w:rFonts w:cs="Times New Roman"/>
              </w:rPr>
              <w:t>99.806.022</w:t>
            </w:r>
          </w:p>
        </w:tc>
        <w:tc>
          <w:tcPr>
            <w:tcW w:w="1224" w:type="dxa"/>
            <w:vAlign w:val="top"/>
          </w:tcPr>
          <w:p w:rsidR="005C2091" w:rsidRDefault="00A86293">
            <w:pPr>
              <w:pStyle w:val="CellColumn"/>
              <w:jc w:val="right"/>
            </w:pPr>
            <w:r>
              <w:rPr>
                <w:rFonts w:cs="Times New Roman"/>
              </w:rPr>
              <w:t>96,8</w:t>
            </w:r>
          </w:p>
        </w:tc>
        <w:tc>
          <w:tcPr>
            <w:tcW w:w="1224" w:type="dxa"/>
            <w:vAlign w:val="top"/>
          </w:tcPr>
          <w:p w:rsidR="005C2091" w:rsidRDefault="00A86293">
            <w:pPr>
              <w:pStyle w:val="CellColumn"/>
              <w:jc w:val="right"/>
            </w:pPr>
            <w:r>
              <w:rPr>
                <w:rFonts w:cs="Times New Roman"/>
              </w:rPr>
              <w:t>101,0</w:t>
            </w:r>
          </w:p>
        </w:tc>
      </w:tr>
      <w:tr w:rsidR="005C2091">
        <w:trPr>
          <w:jc w:val="center"/>
        </w:trPr>
        <w:tc>
          <w:tcPr>
            <w:tcW w:w="1632" w:type="dxa"/>
            <w:vAlign w:val="top"/>
          </w:tcPr>
          <w:p w:rsidR="005C2091" w:rsidRDefault="00A86293">
            <w:pPr>
              <w:pStyle w:val="CellColumn"/>
              <w:jc w:val="left"/>
            </w:pPr>
            <w:r>
              <w:rPr>
                <w:rFonts w:cs="Times New Roman"/>
              </w:rPr>
              <w:t>04965-Proračunski korisnici u gospodarstvu</w:t>
            </w:r>
          </w:p>
        </w:tc>
        <w:tc>
          <w:tcPr>
            <w:tcW w:w="2041" w:type="dxa"/>
            <w:vAlign w:val="top"/>
          </w:tcPr>
          <w:p w:rsidR="005C2091" w:rsidRDefault="00A86293">
            <w:pPr>
              <w:pStyle w:val="CellColumn"/>
              <w:jc w:val="right"/>
            </w:pPr>
            <w:r>
              <w:rPr>
                <w:rFonts w:cs="Times New Roman"/>
              </w:rPr>
              <w:t>604.740.485</w:t>
            </w:r>
          </w:p>
        </w:tc>
        <w:tc>
          <w:tcPr>
            <w:tcW w:w="2041" w:type="dxa"/>
            <w:vAlign w:val="top"/>
          </w:tcPr>
          <w:p w:rsidR="005C2091" w:rsidRDefault="00A86293">
            <w:pPr>
              <w:pStyle w:val="CellColumn"/>
              <w:jc w:val="right"/>
            </w:pPr>
            <w:r>
              <w:rPr>
                <w:rFonts w:cs="Times New Roman"/>
              </w:rPr>
              <w:t>335.153.794</w:t>
            </w:r>
          </w:p>
        </w:tc>
        <w:tc>
          <w:tcPr>
            <w:tcW w:w="2041" w:type="dxa"/>
            <w:vAlign w:val="top"/>
          </w:tcPr>
          <w:p w:rsidR="005C2091" w:rsidRDefault="00A86293">
            <w:pPr>
              <w:pStyle w:val="CellColumn"/>
              <w:jc w:val="right"/>
            </w:pPr>
            <w:r>
              <w:rPr>
                <w:rFonts w:cs="Times New Roman"/>
              </w:rPr>
              <w:t>348.870.418</w:t>
            </w:r>
          </w:p>
        </w:tc>
        <w:tc>
          <w:tcPr>
            <w:tcW w:w="1224" w:type="dxa"/>
            <w:vAlign w:val="top"/>
          </w:tcPr>
          <w:p w:rsidR="005C2091" w:rsidRDefault="00A86293">
            <w:pPr>
              <w:pStyle w:val="CellColumn"/>
              <w:jc w:val="right"/>
            </w:pPr>
            <w:r>
              <w:rPr>
                <w:rFonts w:cs="Times New Roman"/>
              </w:rPr>
              <w:t>104,1</w:t>
            </w:r>
          </w:p>
        </w:tc>
        <w:tc>
          <w:tcPr>
            <w:tcW w:w="1224" w:type="dxa"/>
            <w:vAlign w:val="top"/>
          </w:tcPr>
          <w:p w:rsidR="005C2091" w:rsidRDefault="00A86293">
            <w:pPr>
              <w:pStyle w:val="CellColumn"/>
              <w:jc w:val="right"/>
            </w:pPr>
            <w:r>
              <w:rPr>
                <w:rFonts w:cs="Times New Roman"/>
              </w:rPr>
              <w:t>57,7</w:t>
            </w:r>
          </w:p>
        </w:tc>
      </w:tr>
      <w:tr w:rsidR="005C2091">
        <w:trPr>
          <w:jc w:val="center"/>
        </w:trPr>
        <w:tc>
          <w:tcPr>
            <w:tcW w:w="1632" w:type="dxa"/>
            <w:vAlign w:val="top"/>
          </w:tcPr>
          <w:p w:rsidR="005C2091" w:rsidRDefault="00A86293">
            <w:pPr>
              <w:pStyle w:val="CellColumn"/>
              <w:jc w:val="left"/>
            </w:pPr>
            <w:r>
              <w:rPr>
                <w:rFonts w:cs="Times New Roman"/>
              </w:rPr>
              <w:t>04970-Državni zavod za mjeriteljstvo</w:t>
            </w:r>
          </w:p>
        </w:tc>
        <w:tc>
          <w:tcPr>
            <w:tcW w:w="2041" w:type="dxa"/>
            <w:vAlign w:val="top"/>
          </w:tcPr>
          <w:p w:rsidR="005C2091" w:rsidRDefault="00A86293">
            <w:pPr>
              <w:pStyle w:val="CellColumn"/>
              <w:jc w:val="right"/>
            </w:pPr>
            <w:r>
              <w:rPr>
                <w:rFonts w:cs="Times New Roman"/>
              </w:rPr>
              <w:t>15.764.029</w:t>
            </w:r>
          </w:p>
        </w:tc>
        <w:tc>
          <w:tcPr>
            <w:tcW w:w="2041" w:type="dxa"/>
            <w:vAlign w:val="top"/>
          </w:tcPr>
          <w:p w:rsidR="005C2091" w:rsidRDefault="00A86293">
            <w:pPr>
              <w:pStyle w:val="CellColumn"/>
              <w:jc w:val="right"/>
            </w:pPr>
            <w:r>
              <w:rPr>
                <w:rFonts w:cs="Times New Roman"/>
              </w:rPr>
              <w:t>15.064.481</w:t>
            </w:r>
          </w:p>
        </w:tc>
        <w:tc>
          <w:tcPr>
            <w:tcW w:w="2041" w:type="dxa"/>
            <w:vAlign w:val="top"/>
          </w:tcPr>
          <w:p w:rsidR="005C2091" w:rsidRDefault="00A86293">
            <w:pPr>
              <w:pStyle w:val="CellColumn"/>
              <w:jc w:val="right"/>
            </w:pPr>
            <w:r>
              <w:rPr>
                <w:rFonts w:cs="Times New Roman"/>
              </w:rPr>
              <w:t>15.479.879</w:t>
            </w:r>
          </w:p>
        </w:tc>
        <w:tc>
          <w:tcPr>
            <w:tcW w:w="1224" w:type="dxa"/>
            <w:vAlign w:val="top"/>
          </w:tcPr>
          <w:p w:rsidR="005C2091" w:rsidRDefault="00A86293">
            <w:pPr>
              <w:pStyle w:val="CellColumn"/>
              <w:jc w:val="right"/>
            </w:pPr>
            <w:r>
              <w:rPr>
                <w:rFonts w:cs="Times New Roman"/>
              </w:rPr>
              <w:t>102,8</w:t>
            </w:r>
          </w:p>
        </w:tc>
        <w:tc>
          <w:tcPr>
            <w:tcW w:w="1224" w:type="dxa"/>
            <w:vAlign w:val="top"/>
          </w:tcPr>
          <w:p w:rsidR="005C2091" w:rsidRDefault="00A86293">
            <w:pPr>
              <w:pStyle w:val="CellColumn"/>
              <w:jc w:val="right"/>
            </w:pPr>
            <w:r>
              <w:rPr>
                <w:rFonts w:cs="Times New Roman"/>
              </w:rPr>
              <w:t>98,2</w:t>
            </w:r>
          </w:p>
        </w:tc>
      </w:tr>
      <w:tr w:rsidR="005C2091">
        <w:trPr>
          <w:jc w:val="center"/>
        </w:trPr>
        <w:tc>
          <w:tcPr>
            <w:tcW w:w="1632" w:type="dxa"/>
            <w:vAlign w:val="top"/>
          </w:tcPr>
          <w:p w:rsidR="005C2091" w:rsidRDefault="00A86293">
            <w:pPr>
              <w:pStyle w:val="CellColumn"/>
              <w:jc w:val="left"/>
            </w:pPr>
            <w:r>
              <w:rPr>
                <w:rFonts w:cs="Times New Roman"/>
              </w:rPr>
              <w:t>04980-Hrvatski zavod za norme</w:t>
            </w:r>
          </w:p>
        </w:tc>
        <w:tc>
          <w:tcPr>
            <w:tcW w:w="2041" w:type="dxa"/>
            <w:vAlign w:val="top"/>
          </w:tcPr>
          <w:p w:rsidR="005C2091" w:rsidRDefault="00A86293">
            <w:pPr>
              <w:pStyle w:val="CellColumn"/>
              <w:jc w:val="right"/>
            </w:pPr>
            <w:r>
              <w:rPr>
                <w:rFonts w:cs="Times New Roman"/>
              </w:rPr>
              <w:t>9.600.363</w:t>
            </w:r>
          </w:p>
        </w:tc>
        <w:tc>
          <w:tcPr>
            <w:tcW w:w="2041" w:type="dxa"/>
            <w:vAlign w:val="top"/>
          </w:tcPr>
          <w:p w:rsidR="005C2091" w:rsidRDefault="00A86293">
            <w:pPr>
              <w:pStyle w:val="CellColumn"/>
              <w:jc w:val="right"/>
            </w:pPr>
            <w:r>
              <w:rPr>
                <w:rFonts w:cs="Times New Roman"/>
              </w:rPr>
              <w:t>9.292.000</w:t>
            </w:r>
          </w:p>
        </w:tc>
        <w:tc>
          <w:tcPr>
            <w:tcW w:w="2041" w:type="dxa"/>
            <w:vAlign w:val="top"/>
          </w:tcPr>
          <w:p w:rsidR="005C2091" w:rsidRDefault="00A86293">
            <w:pPr>
              <w:pStyle w:val="CellColumn"/>
              <w:jc w:val="right"/>
            </w:pPr>
            <w:r>
              <w:rPr>
                <w:rFonts w:cs="Times New Roman"/>
              </w:rPr>
              <w:t>9.063.386</w:t>
            </w:r>
          </w:p>
        </w:tc>
        <w:tc>
          <w:tcPr>
            <w:tcW w:w="1224" w:type="dxa"/>
            <w:vAlign w:val="top"/>
          </w:tcPr>
          <w:p w:rsidR="005C2091" w:rsidRDefault="00A86293">
            <w:pPr>
              <w:pStyle w:val="CellColumn"/>
              <w:jc w:val="right"/>
            </w:pPr>
            <w:r>
              <w:rPr>
                <w:rFonts w:cs="Times New Roman"/>
              </w:rPr>
              <w:t>97,5</w:t>
            </w:r>
          </w:p>
        </w:tc>
        <w:tc>
          <w:tcPr>
            <w:tcW w:w="1224" w:type="dxa"/>
            <w:vAlign w:val="top"/>
          </w:tcPr>
          <w:p w:rsidR="005C2091" w:rsidRDefault="00A86293">
            <w:pPr>
              <w:pStyle w:val="CellColumn"/>
              <w:jc w:val="right"/>
            </w:pPr>
            <w:r>
              <w:rPr>
                <w:rFonts w:cs="Times New Roman"/>
              </w:rPr>
              <w:t>94,4</w:t>
            </w:r>
          </w:p>
        </w:tc>
      </w:tr>
      <w:tr w:rsidR="005C2091">
        <w:trPr>
          <w:jc w:val="center"/>
        </w:trPr>
        <w:tc>
          <w:tcPr>
            <w:tcW w:w="1632" w:type="dxa"/>
            <w:vAlign w:val="top"/>
          </w:tcPr>
          <w:p w:rsidR="005C2091" w:rsidRDefault="00A86293">
            <w:pPr>
              <w:pStyle w:val="CellColumn"/>
              <w:jc w:val="left"/>
            </w:pPr>
            <w:r>
              <w:rPr>
                <w:rFonts w:cs="Times New Roman"/>
              </w:rPr>
              <w:t>04985-Hrvatska akreditacijska agencija</w:t>
            </w:r>
          </w:p>
        </w:tc>
        <w:tc>
          <w:tcPr>
            <w:tcW w:w="2041" w:type="dxa"/>
            <w:vAlign w:val="top"/>
          </w:tcPr>
          <w:p w:rsidR="005C2091" w:rsidRDefault="00A86293">
            <w:pPr>
              <w:pStyle w:val="CellColumn"/>
              <w:jc w:val="right"/>
            </w:pPr>
            <w:r>
              <w:rPr>
                <w:rFonts w:cs="Times New Roman"/>
              </w:rPr>
              <w:t>6.336.340</w:t>
            </w:r>
          </w:p>
        </w:tc>
        <w:tc>
          <w:tcPr>
            <w:tcW w:w="2041" w:type="dxa"/>
            <w:vAlign w:val="top"/>
          </w:tcPr>
          <w:p w:rsidR="005C2091" w:rsidRDefault="00A86293">
            <w:pPr>
              <w:pStyle w:val="CellColumn"/>
              <w:jc w:val="right"/>
            </w:pPr>
            <w:r>
              <w:rPr>
                <w:rFonts w:cs="Times New Roman"/>
              </w:rPr>
              <w:t>7.603.876</w:t>
            </w:r>
          </w:p>
        </w:tc>
        <w:tc>
          <w:tcPr>
            <w:tcW w:w="2041" w:type="dxa"/>
            <w:vAlign w:val="top"/>
          </w:tcPr>
          <w:p w:rsidR="005C2091" w:rsidRDefault="00A86293">
            <w:pPr>
              <w:pStyle w:val="CellColumn"/>
              <w:jc w:val="right"/>
            </w:pPr>
            <w:r>
              <w:rPr>
                <w:rFonts w:cs="Times New Roman"/>
              </w:rPr>
              <w:t>7.562.373</w:t>
            </w:r>
          </w:p>
        </w:tc>
        <w:tc>
          <w:tcPr>
            <w:tcW w:w="1224" w:type="dxa"/>
            <w:vAlign w:val="top"/>
          </w:tcPr>
          <w:p w:rsidR="005C2091" w:rsidRDefault="00A86293">
            <w:pPr>
              <w:pStyle w:val="CellColumn"/>
              <w:jc w:val="right"/>
            </w:pPr>
            <w:r>
              <w:rPr>
                <w:rFonts w:cs="Times New Roman"/>
              </w:rPr>
              <w:t>99,5</w:t>
            </w:r>
          </w:p>
        </w:tc>
        <w:tc>
          <w:tcPr>
            <w:tcW w:w="1224" w:type="dxa"/>
            <w:vAlign w:val="top"/>
          </w:tcPr>
          <w:p w:rsidR="005C2091" w:rsidRDefault="00A86293">
            <w:pPr>
              <w:pStyle w:val="CellColumn"/>
              <w:jc w:val="right"/>
            </w:pPr>
            <w:r>
              <w:rPr>
                <w:rFonts w:cs="Times New Roman"/>
              </w:rPr>
              <w:t>119,3</w:t>
            </w:r>
          </w:p>
        </w:tc>
      </w:tr>
      <w:tr w:rsidR="005C2091">
        <w:trPr>
          <w:jc w:val="center"/>
        </w:trPr>
        <w:tc>
          <w:tcPr>
            <w:tcW w:w="1632" w:type="dxa"/>
            <w:vAlign w:val="top"/>
          </w:tcPr>
          <w:p w:rsidR="005C2091" w:rsidRDefault="00A86293">
            <w:pPr>
              <w:pStyle w:val="CellColumn"/>
              <w:jc w:val="left"/>
            </w:pPr>
            <w:r>
              <w:rPr>
                <w:rFonts w:cs="Times New Roman"/>
              </w:rPr>
              <w:t>04990-Hrvatska agencija za malo gospodarstvo, inovacije i investicije, HAMAG-BICRO</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52.774.922</w:t>
            </w:r>
          </w:p>
        </w:tc>
        <w:tc>
          <w:tcPr>
            <w:tcW w:w="2041" w:type="dxa"/>
            <w:vAlign w:val="top"/>
          </w:tcPr>
          <w:p w:rsidR="005C2091" w:rsidRDefault="00A86293">
            <w:pPr>
              <w:pStyle w:val="CellColumn"/>
              <w:jc w:val="right"/>
            </w:pPr>
            <w:r>
              <w:rPr>
                <w:rFonts w:cs="Times New Roman"/>
              </w:rPr>
              <w:t>17.494.220</w:t>
            </w:r>
          </w:p>
        </w:tc>
        <w:tc>
          <w:tcPr>
            <w:tcW w:w="1224" w:type="dxa"/>
            <w:vAlign w:val="top"/>
          </w:tcPr>
          <w:p w:rsidR="005C2091" w:rsidRDefault="00A86293">
            <w:pPr>
              <w:pStyle w:val="CellColumn"/>
              <w:jc w:val="right"/>
            </w:pPr>
            <w:r>
              <w:rPr>
                <w:rFonts w:cs="Times New Roman"/>
              </w:rPr>
              <w:t>33,1</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vAlign w:val="top"/>
          </w:tcPr>
          <w:p w:rsidR="005C2091" w:rsidRDefault="00A86293">
            <w:pPr>
              <w:pStyle w:val="CellColumn"/>
              <w:jc w:val="left"/>
            </w:pPr>
            <w:r>
              <w:rPr>
                <w:rFonts w:cs="Times New Roman"/>
              </w:rPr>
              <w:t>04995-Hrvatski centar za zadružno poduzetništvo</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698.298</w:t>
            </w:r>
          </w:p>
        </w:tc>
        <w:tc>
          <w:tcPr>
            <w:tcW w:w="2041" w:type="dxa"/>
            <w:vAlign w:val="top"/>
          </w:tcPr>
          <w:p w:rsidR="005C2091" w:rsidRDefault="00A86293">
            <w:pPr>
              <w:pStyle w:val="CellColumn"/>
              <w:jc w:val="right"/>
            </w:pPr>
            <w:r>
              <w:rPr>
                <w:rFonts w:cs="Times New Roman"/>
              </w:rPr>
              <w:t>249.835</w:t>
            </w:r>
          </w:p>
        </w:tc>
        <w:tc>
          <w:tcPr>
            <w:tcW w:w="1224" w:type="dxa"/>
            <w:vAlign w:val="top"/>
          </w:tcPr>
          <w:p w:rsidR="005C2091" w:rsidRDefault="00A86293">
            <w:pPr>
              <w:pStyle w:val="CellColumn"/>
              <w:jc w:val="right"/>
            </w:pPr>
            <w:r>
              <w:rPr>
                <w:rFonts w:cs="Times New Roman"/>
              </w:rPr>
              <w:t>35,8</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shd w:val="clear" w:color="auto" w:fill="B5C0D8"/>
          </w:tcPr>
          <w:p w:rsidR="005C2091" w:rsidRDefault="00A86293">
            <w:pPr>
              <w:pStyle w:val="CellColumn"/>
              <w:jc w:val="left"/>
            </w:pPr>
            <w:r>
              <w:rPr>
                <w:rFonts w:cs="Times New Roman"/>
              </w:rPr>
              <w:lastRenderedPageBreak/>
              <w:t>Ukupno 049-MINISTARSTVO GOSPODARSTVA, PODUZETNIŠTVA I OBRTA</w:t>
            </w:r>
          </w:p>
        </w:tc>
        <w:tc>
          <w:tcPr>
            <w:tcW w:w="2041" w:type="dxa"/>
            <w:shd w:val="clear" w:color="auto" w:fill="B5C0D8"/>
          </w:tcPr>
          <w:p w:rsidR="005C2091" w:rsidRDefault="00A86293">
            <w:pPr>
              <w:pStyle w:val="CellColumn"/>
              <w:jc w:val="right"/>
            </w:pPr>
            <w:r>
              <w:rPr>
                <w:rFonts w:cs="Times New Roman"/>
              </w:rPr>
              <w:t>1.695.832.398</w:t>
            </w:r>
          </w:p>
        </w:tc>
        <w:tc>
          <w:tcPr>
            <w:tcW w:w="2041" w:type="dxa"/>
            <w:shd w:val="clear" w:color="auto" w:fill="B5C0D8"/>
          </w:tcPr>
          <w:p w:rsidR="005C2091" w:rsidRDefault="00A86293">
            <w:pPr>
              <w:pStyle w:val="CellColumn"/>
              <w:jc w:val="right"/>
            </w:pPr>
            <w:r>
              <w:rPr>
                <w:rFonts w:cs="Times New Roman"/>
              </w:rPr>
              <w:t>2.087.196.212</w:t>
            </w:r>
          </w:p>
        </w:tc>
        <w:tc>
          <w:tcPr>
            <w:tcW w:w="2041" w:type="dxa"/>
            <w:shd w:val="clear" w:color="auto" w:fill="B5C0D8"/>
          </w:tcPr>
          <w:p w:rsidR="005C2091" w:rsidRDefault="00A86293">
            <w:pPr>
              <w:pStyle w:val="CellColumn"/>
              <w:jc w:val="right"/>
            </w:pPr>
            <w:r>
              <w:rPr>
                <w:rFonts w:cs="Times New Roman"/>
              </w:rPr>
              <w:t>1.831.562.079</w:t>
            </w:r>
          </w:p>
        </w:tc>
        <w:tc>
          <w:tcPr>
            <w:tcW w:w="1224" w:type="dxa"/>
            <w:shd w:val="clear" w:color="auto" w:fill="B5C0D8"/>
          </w:tcPr>
          <w:p w:rsidR="005C2091" w:rsidRDefault="00A86293">
            <w:pPr>
              <w:pStyle w:val="CellColumn"/>
              <w:jc w:val="right"/>
            </w:pPr>
            <w:r>
              <w:rPr>
                <w:rFonts w:cs="Times New Roman"/>
              </w:rPr>
              <w:t>87,8</w:t>
            </w:r>
          </w:p>
        </w:tc>
        <w:tc>
          <w:tcPr>
            <w:tcW w:w="1224" w:type="dxa"/>
            <w:shd w:val="clear" w:color="auto" w:fill="B5C0D8"/>
          </w:tcPr>
          <w:p w:rsidR="005C2091" w:rsidRDefault="00A86293">
            <w:pPr>
              <w:pStyle w:val="CellColumn"/>
              <w:jc w:val="right"/>
            </w:pPr>
            <w:r>
              <w:rPr>
                <w:rFonts w:cs="Times New Roman"/>
              </w:rPr>
              <w:t>108,0</w:t>
            </w:r>
          </w:p>
        </w:tc>
      </w:tr>
    </w:tbl>
    <w:p w:rsidR="005C2091" w:rsidRDefault="005C2091">
      <w:pPr>
        <w:jc w:val="left"/>
      </w:pPr>
    </w:p>
    <w:p w:rsidR="005C2091" w:rsidRDefault="00A86293">
      <w:pPr>
        <w:pStyle w:val="Heading2"/>
      </w:pPr>
      <w:r>
        <w:t>04905 Ministarstvo gospodarstva, poduzetništva i obrta</w:t>
      </w:r>
    </w:p>
    <w:p w:rsidR="005C2091" w:rsidRDefault="00A86293">
      <w:r>
        <w:t>Ministarstvo gospodarstva, poduzetništva i obrta obavlja upravne i druge poslove koji se odnose na: razvoj i unaprjeđenje konkurentnosti hrvatskog gospodarstva, instrumente i mjere gospodarske politike, industrijsku politiku i politiku primjene inovacija i novih tehnologija, poticanje stvaralaštva u industriji i trgovini u cilju razvoja konkurentnosti hrvatskoga gospodarstva, rudarstva, strategiju olakšavanja i poticanja ulaganja i izvoza, utvrđivanje i razradu Standard Cost Model (SCM) metodologije za mjerenje i ciljano smanjenje administrativnog opterećenja gospodarstva te je središnje koordinativno tijelo za primjenu pravila postupanja i kontrolu kvalitete primjene SCM metodologije, unaprjeđenje i koordinaciju sustava javnih nabava, djelatnost trgovine na unutarnjem tržištu Europske unije, na malo i srednje poduzetništvo, obrtništvo, zadrugarstvo, poticanje izvoza i stranih ulaganja, unapređenja konkurentnosti u području maloga i srednjega poduzetništva te s tim u vezi poslove vezano za primjenu procjenu učinaka propisa na malo gospodarstvo, uključujući i primjenu testa na malo i srednje poduzetništvo (MSP test).  Ministarstvo sudjeluje u pripremi i upravljanju strateških i operativnih dokumenata i programa za korištenje sredstava fondova Europske unije i ostalih međunarodnih izvora financiranja namijenjenih unapređenju konkurentnosti hrvatskoga gospodarstva te priprema i provodi strateške i operativne dokumente i program za korištenje sredstava fondova Europske unije i ostalih međunarodnih izvora financiranja namijenjenih unapređenju konkurentnosti obrtništva, zadrugarstva, maloga i srednjega poduzetništva. Ministarstvo obavlja inspekcijske poslove u području rudarstva, gospodarenja otrovnim kemikalijama, opreme pod tlakom i zaštite potrošača.</w:t>
      </w:r>
    </w:p>
    <w:tbl>
      <w:tblPr>
        <w:tblStyle w:val="StilTablice"/>
        <w:tblW w:w="10206" w:type="dxa"/>
        <w:jc w:val="center"/>
        <w:tblLook w:val="04A0" w:firstRow="1" w:lastRow="0" w:firstColumn="1" w:lastColumn="0" w:noHBand="0" w:noVBand="1"/>
      </w:tblPr>
      <w:tblGrid>
        <w:gridCol w:w="2116"/>
        <w:gridCol w:w="1887"/>
        <w:gridCol w:w="1912"/>
        <w:gridCol w:w="1912"/>
        <w:gridCol w:w="1181"/>
        <w:gridCol w:w="1198"/>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04905-Ministarstvo gospodarstva, poduzetništva i obrta</w:t>
            </w:r>
          </w:p>
        </w:tc>
        <w:tc>
          <w:tcPr>
            <w:tcW w:w="2041" w:type="dxa"/>
            <w:vAlign w:val="top"/>
          </w:tcPr>
          <w:p w:rsidR="005C2091" w:rsidRDefault="00A86293">
            <w:pPr>
              <w:pStyle w:val="CellColumn"/>
              <w:jc w:val="right"/>
            </w:pPr>
            <w:r>
              <w:rPr>
                <w:rFonts w:cs="Times New Roman"/>
              </w:rPr>
              <w:t>960.617.712</w:t>
            </w:r>
          </w:p>
        </w:tc>
        <w:tc>
          <w:tcPr>
            <w:tcW w:w="2041" w:type="dxa"/>
            <w:vAlign w:val="top"/>
          </w:tcPr>
          <w:p w:rsidR="005C2091" w:rsidRDefault="00A86293">
            <w:pPr>
              <w:pStyle w:val="CellColumn"/>
              <w:jc w:val="right"/>
            </w:pPr>
            <w:r>
              <w:rPr>
                <w:rFonts w:cs="Times New Roman"/>
              </w:rPr>
              <w:t>1.563.513.841</w:t>
            </w:r>
          </w:p>
        </w:tc>
        <w:tc>
          <w:tcPr>
            <w:tcW w:w="2041" w:type="dxa"/>
            <w:vAlign w:val="top"/>
          </w:tcPr>
          <w:p w:rsidR="005C2091" w:rsidRDefault="00A86293">
            <w:pPr>
              <w:pStyle w:val="CellColumn"/>
              <w:jc w:val="right"/>
            </w:pPr>
            <w:r>
              <w:rPr>
                <w:rFonts w:cs="Times New Roman"/>
              </w:rPr>
              <w:t>1.333.035.947</w:t>
            </w:r>
          </w:p>
        </w:tc>
        <w:tc>
          <w:tcPr>
            <w:tcW w:w="1224" w:type="dxa"/>
            <w:vAlign w:val="top"/>
          </w:tcPr>
          <w:p w:rsidR="005C2091" w:rsidRDefault="00A86293">
            <w:pPr>
              <w:pStyle w:val="CellColumn"/>
              <w:jc w:val="right"/>
            </w:pPr>
            <w:r>
              <w:rPr>
                <w:rFonts w:cs="Times New Roman"/>
              </w:rPr>
              <w:t>85,3</w:t>
            </w:r>
          </w:p>
        </w:tc>
        <w:tc>
          <w:tcPr>
            <w:tcW w:w="1224" w:type="dxa"/>
            <w:vAlign w:val="top"/>
          </w:tcPr>
          <w:p w:rsidR="005C2091" w:rsidRDefault="00A86293">
            <w:pPr>
              <w:pStyle w:val="CellColumn"/>
              <w:jc w:val="right"/>
            </w:pPr>
            <w:r>
              <w:rPr>
                <w:rFonts w:cs="Times New Roman"/>
              </w:rPr>
              <w:t>138,8</w:t>
            </w:r>
          </w:p>
        </w:tc>
      </w:tr>
      <w:tr w:rsidR="005C2091">
        <w:trPr>
          <w:jc w:val="center"/>
        </w:trPr>
        <w:tc>
          <w:tcPr>
            <w:tcW w:w="1632" w:type="dxa"/>
          </w:tcPr>
          <w:p w:rsidR="005C2091" w:rsidRDefault="00A86293">
            <w:pPr>
              <w:jc w:val="left"/>
            </w:pPr>
            <w:r>
              <w:t>3201-PRIPREMA, PROVEDBA I PODRŠKA OSTVARENJU STRATEŠKIH CILJEVA ZA JAČANJE GOSPODARSTVA RH</w:t>
            </w:r>
          </w:p>
        </w:tc>
        <w:tc>
          <w:tcPr>
            <w:tcW w:w="2041" w:type="dxa"/>
          </w:tcPr>
          <w:p w:rsidR="005C2091" w:rsidRDefault="00A86293">
            <w:pPr>
              <w:jc w:val="right"/>
            </w:pPr>
            <w:r>
              <w:t>115.102.159</w:t>
            </w:r>
          </w:p>
        </w:tc>
        <w:tc>
          <w:tcPr>
            <w:tcW w:w="2041" w:type="dxa"/>
          </w:tcPr>
          <w:p w:rsidR="005C2091" w:rsidRDefault="00A86293">
            <w:pPr>
              <w:jc w:val="right"/>
            </w:pPr>
            <w:r>
              <w:t>116.155.915</w:t>
            </w:r>
          </w:p>
        </w:tc>
        <w:tc>
          <w:tcPr>
            <w:tcW w:w="2041" w:type="dxa"/>
          </w:tcPr>
          <w:p w:rsidR="005C2091" w:rsidRDefault="00A86293">
            <w:pPr>
              <w:jc w:val="right"/>
            </w:pPr>
            <w:r>
              <w:t>109.124.436</w:t>
            </w:r>
          </w:p>
        </w:tc>
        <w:tc>
          <w:tcPr>
            <w:tcW w:w="1224" w:type="dxa"/>
          </w:tcPr>
          <w:p w:rsidR="005C2091" w:rsidRDefault="00A86293">
            <w:pPr>
              <w:jc w:val="right"/>
            </w:pPr>
            <w:r>
              <w:t>93,9</w:t>
            </w:r>
          </w:p>
        </w:tc>
        <w:tc>
          <w:tcPr>
            <w:tcW w:w="1224" w:type="dxa"/>
          </w:tcPr>
          <w:p w:rsidR="005C2091" w:rsidRDefault="00A86293">
            <w:pPr>
              <w:jc w:val="right"/>
            </w:pPr>
            <w:r>
              <w:t>94,8</w:t>
            </w:r>
          </w:p>
        </w:tc>
      </w:tr>
      <w:tr w:rsidR="005C2091">
        <w:trPr>
          <w:jc w:val="center"/>
        </w:trPr>
        <w:tc>
          <w:tcPr>
            <w:tcW w:w="1632" w:type="dxa"/>
          </w:tcPr>
          <w:p w:rsidR="005C2091" w:rsidRDefault="00A86293">
            <w:pPr>
              <w:jc w:val="left"/>
            </w:pPr>
            <w:r>
              <w:t>3203-RAZVOJ, UNAPRJEĐENJE KONKURENTNOSTI I RESTRUKTURIRANJE INDUSTRIJE</w:t>
            </w:r>
          </w:p>
        </w:tc>
        <w:tc>
          <w:tcPr>
            <w:tcW w:w="2041" w:type="dxa"/>
          </w:tcPr>
          <w:p w:rsidR="005C2091" w:rsidRDefault="00A86293">
            <w:pPr>
              <w:jc w:val="right"/>
            </w:pPr>
            <w:r>
              <w:t>728.562.430</w:t>
            </w:r>
          </w:p>
        </w:tc>
        <w:tc>
          <w:tcPr>
            <w:tcW w:w="2041" w:type="dxa"/>
          </w:tcPr>
          <w:p w:rsidR="005C2091" w:rsidRDefault="00A86293">
            <w:pPr>
              <w:jc w:val="right"/>
            </w:pPr>
            <w:r>
              <w:t>964.540.488</w:t>
            </w:r>
          </w:p>
        </w:tc>
        <w:tc>
          <w:tcPr>
            <w:tcW w:w="2041" w:type="dxa"/>
          </w:tcPr>
          <w:p w:rsidR="005C2091" w:rsidRDefault="00A86293">
            <w:pPr>
              <w:jc w:val="right"/>
            </w:pPr>
            <w:r>
              <w:t>964.453.185</w:t>
            </w:r>
          </w:p>
        </w:tc>
        <w:tc>
          <w:tcPr>
            <w:tcW w:w="1224" w:type="dxa"/>
          </w:tcPr>
          <w:p w:rsidR="005C2091" w:rsidRDefault="00A86293">
            <w:pPr>
              <w:jc w:val="right"/>
            </w:pPr>
            <w:r>
              <w:t>100,0</w:t>
            </w:r>
          </w:p>
        </w:tc>
        <w:tc>
          <w:tcPr>
            <w:tcW w:w="1224" w:type="dxa"/>
          </w:tcPr>
          <w:p w:rsidR="005C2091" w:rsidRDefault="00A86293">
            <w:pPr>
              <w:jc w:val="right"/>
            </w:pPr>
            <w:r>
              <w:t>132,4</w:t>
            </w:r>
          </w:p>
        </w:tc>
      </w:tr>
      <w:tr w:rsidR="005C2091">
        <w:trPr>
          <w:jc w:val="center"/>
        </w:trPr>
        <w:tc>
          <w:tcPr>
            <w:tcW w:w="1632" w:type="dxa"/>
          </w:tcPr>
          <w:p w:rsidR="005C2091" w:rsidRDefault="00A86293">
            <w:pPr>
              <w:jc w:val="left"/>
            </w:pPr>
            <w:r>
              <w:t>3204-RAZVOJ ENERGETSKOG SUSTAVA I GOSPODARENJA MINERALNIM SIROVINAMA</w:t>
            </w:r>
          </w:p>
        </w:tc>
        <w:tc>
          <w:tcPr>
            <w:tcW w:w="2041" w:type="dxa"/>
          </w:tcPr>
          <w:p w:rsidR="005C2091" w:rsidRDefault="00A86293">
            <w:pPr>
              <w:jc w:val="right"/>
            </w:pPr>
            <w:r>
              <w:t>103.983.709</w:t>
            </w:r>
          </w:p>
        </w:tc>
        <w:tc>
          <w:tcPr>
            <w:tcW w:w="2041" w:type="dxa"/>
          </w:tcPr>
          <w:p w:rsidR="005C2091" w:rsidRDefault="00A86293">
            <w:pPr>
              <w:jc w:val="right"/>
            </w:pPr>
            <w:r>
              <w:t>39.844.056</w:t>
            </w:r>
          </w:p>
        </w:tc>
        <w:tc>
          <w:tcPr>
            <w:tcW w:w="2041" w:type="dxa"/>
          </w:tcPr>
          <w:p w:rsidR="005C2091" w:rsidRDefault="00A86293">
            <w:pPr>
              <w:jc w:val="right"/>
            </w:pPr>
            <w:r>
              <w:t>49.870.266</w:t>
            </w:r>
          </w:p>
        </w:tc>
        <w:tc>
          <w:tcPr>
            <w:tcW w:w="1224" w:type="dxa"/>
          </w:tcPr>
          <w:p w:rsidR="005C2091" w:rsidRDefault="00A86293">
            <w:pPr>
              <w:jc w:val="right"/>
            </w:pPr>
            <w:r>
              <w:t>125,2</w:t>
            </w:r>
          </w:p>
        </w:tc>
        <w:tc>
          <w:tcPr>
            <w:tcW w:w="1224" w:type="dxa"/>
          </w:tcPr>
          <w:p w:rsidR="005C2091" w:rsidRDefault="00A86293">
            <w:pPr>
              <w:jc w:val="right"/>
            </w:pPr>
            <w:r>
              <w:t>48,0</w:t>
            </w:r>
          </w:p>
        </w:tc>
      </w:tr>
      <w:tr w:rsidR="005C2091">
        <w:trPr>
          <w:jc w:val="center"/>
        </w:trPr>
        <w:tc>
          <w:tcPr>
            <w:tcW w:w="1632" w:type="dxa"/>
          </w:tcPr>
          <w:p w:rsidR="005C2091" w:rsidRDefault="00A86293">
            <w:pPr>
              <w:jc w:val="left"/>
            </w:pPr>
            <w:r>
              <w:lastRenderedPageBreak/>
              <w:t>3215-RAZVOJ I STANDARDIZACIJA TRGOVINE I UNUTARNJEG TRŽIŠTA</w:t>
            </w:r>
          </w:p>
        </w:tc>
        <w:tc>
          <w:tcPr>
            <w:tcW w:w="2041" w:type="dxa"/>
          </w:tcPr>
          <w:p w:rsidR="005C2091" w:rsidRDefault="00A86293">
            <w:pPr>
              <w:jc w:val="right"/>
            </w:pPr>
            <w:r>
              <w:t>1.842.714</w:t>
            </w:r>
          </w:p>
        </w:tc>
        <w:tc>
          <w:tcPr>
            <w:tcW w:w="2041" w:type="dxa"/>
          </w:tcPr>
          <w:p w:rsidR="005C2091" w:rsidRDefault="00A86293">
            <w:pPr>
              <w:jc w:val="right"/>
            </w:pPr>
            <w:r>
              <w:t>2.511.000</w:t>
            </w:r>
          </w:p>
        </w:tc>
        <w:tc>
          <w:tcPr>
            <w:tcW w:w="2041" w:type="dxa"/>
          </w:tcPr>
          <w:p w:rsidR="005C2091" w:rsidRDefault="00A86293">
            <w:pPr>
              <w:jc w:val="right"/>
            </w:pPr>
            <w:r>
              <w:t>1.382.146</w:t>
            </w:r>
          </w:p>
        </w:tc>
        <w:tc>
          <w:tcPr>
            <w:tcW w:w="1224" w:type="dxa"/>
          </w:tcPr>
          <w:p w:rsidR="005C2091" w:rsidRDefault="00A86293">
            <w:pPr>
              <w:jc w:val="right"/>
            </w:pPr>
            <w:r>
              <w:t>55,0</w:t>
            </w:r>
          </w:p>
        </w:tc>
        <w:tc>
          <w:tcPr>
            <w:tcW w:w="1224" w:type="dxa"/>
          </w:tcPr>
          <w:p w:rsidR="005C2091" w:rsidRDefault="00A86293">
            <w:pPr>
              <w:jc w:val="right"/>
            </w:pPr>
            <w:r>
              <w:t>75,0</w:t>
            </w:r>
          </w:p>
        </w:tc>
      </w:tr>
      <w:tr w:rsidR="005C2091">
        <w:trPr>
          <w:jc w:val="center"/>
        </w:trPr>
        <w:tc>
          <w:tcPr>
            <w:tcW w:w="1632" w:type="dxa"/>
          </w:tcPr>
          <w:p w:rsidR="005C2091" w:rsidRDefault="00A86293">
            <w:pPr>
              <w:jc w:val="left"/>
            </w:pPr>
            <w:r>
              <w:t>3216-JAČANJE KONKURENTNOSTI GOSPODARSTVA POTICANJEM INVESTICIJA I UČINKOVITIM KORIŠTENJEM EU SREDSTAVA</w:t>
            </w:r>
          </w:p>
        </w:tc>
        <w:tc>
          <w:tcPr>
            <w:tcW w:w="2041" w:type="dxa"/>
          </w:tcPr>
          <w:p w:rsidR="005C2091" w:rsidRDefault="00A86293">
            <w:pPr>
              <w:jc w:val="right"/>
            </w:pPr>
            <w:r>
              <w:t>11.126.699</w:t>
            </w:r>
          </w:p>
        </w:tc>
        <w:tc>
          <w:tcPr>
            <w:tcW w:w="2041" w:type="dxa"/>
          </w:tcPr>
          <w:p w:rsidR="005C2091" w:rsidRDefault="00A86293">
            <w:pPr>
              <w:jc w:val="right"/>
            </w:pPr>
            <w:r>
              <w:t>321.846.271</w:t>
            </w:r>
          </w:p>
        </w:tc>
        <w:tc>
          <w:tcPr>
            <w:tcW w:w="2041" w:type="dxa"/>
          </w:tcPr>
          <w:p w:rsidR="005C2091" w:rsidRDefault="00A86293">
            <w:pPr>
              <w:jc w:val="right"/>
            </w:pPr>
            <w:r>
              <w:t>189.628.700</w:t>
            </w:r>
          </w:p>
        </w:tc>
        <w:tc>
          <w:tcPr>
            <w:tcW w:w="1224" w:type="dxa"/>
          </w:tcPr>
          <w:p w:rsidR="005C2091" w:rsidRDefault="00A86293">
            <w:pPr>
              <w:jc w:val="right"/>
            </w:pPr>
            <w:r>
              <w:t>58,9</w:t>
            </w:r>
          </w:p>
        </w:tc>
        <w:tc>
          <w:tcPr>
            <w:tcW w:w="1224" w:type="dxa"/>
          </w:tcPr>
          <w:p w:rsidR="005C2091" w:rsidRDefault="00A86293">
            <w:pPr>
              <w:jc w:val="right"/>
            </w:pPr>
            <w:r>
              <w:t>1704,3</w:t>
            </w:r>
          </w:p>
        </w:tc>
      </w:tr>
      <w:tr w:rsidR="005C2091">
        <w:trPr>
          <w:jc w:val="center"/>
        </w:trPr>
        <w:tc>
          <w:tcPr>
            <w:tcW w:w="1632" w:type="dxa"/>
          </w:tcPr>
          <w:p w:rsidR="005C2091" w:rsidRDefault="00A86293">
            <w:pPr>
              <w:jc w:val="left"/>
            </w:pPr>
            <w:r>
              <w:t>3228-JAČANJE KONKURENTNOSTI MALOG I SREDNJEG PODUZETNIŠTVA</w:t>
            </w:r>
          </w:p>
        </w:tc>
        <w:tc>
          <w:tcPr>
            <w:tcW w:w="2041" w:type="dxa"/>
          </w:tcPr>
          <w:p w:rsidR="005C2091" w:rsidRDefault="00A86293">
            <w:pPr>
              <w:jc w:val="right"/>
            </w:pPr>
            <w:r>
              <w:t>00</w:t>
            </w:r>
          </w:p>
        </w:tc>
        <w:tc>
          <w:tcPr>
            <w:tcW w:w="2041" w:type="dxa"/>
          </w:tcPr>
          <w:p w:rsidR="005C2091" w:rsidRDefault="00A86293">
            <w:pPr>
              <w:jc w:val="right"/>
            </w:pPr>
            <w:r>
              <w:t>118.616.111</w:t>
            </w:r>
          </w:p>
        </w:tc>
        <w:tc>
          <w:tcPr>
            <w:tcW w:w="2041" w:type="dxa"/>
          </w:tcPr>
          <w:p w:rsidR="005C2091" w:rsidRDefault="00A86293">
            <w:pPr>
              <w:jc w:val="right"/>
            </w:pPr>
            <w:r>
              <w:t>18.577.213</w:t>
            </w:r>
          </w:p>
        </w:tc>
        <w:tc>
          <w:tcPr>
            <w:tcW w:w="1224" w:type="dxa"/>
          </w:tcPr>
          <w:p w:rsidR="005C2091" w:rsidRDefault="00A86293">
            <w:pPr>
              <w:jc w:val="right"/>
            </w:pPr>
            <w:r>
              <w:t>15,7</w:t>
            </w:r>
          </w:p>
        </w:tc>
        <w:tc>
          <w:tcPr>
            <w:tcW w:w="1224"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t>3201 PRIPREMA, PROVEDBA I PODRŠKA OSTVARENJU STRATEŠKIH CILJEVA ZA JAČANJE GOSPODARSTVA RH</w:t>
      </w:r>
    </w:p>
    <w:tbl>
      <w:tblPr>
        <w:tblStyle w:val="StilTablice"/>
        <w:tblW w:w="10206" w:type="dxa"/>
        <w:jc w:val="center"/>
        <w:tblLook w:val="04A0" w:firstRow="1" w:lastRow="0" w:firstColumn="1" w:lastColumn="0" w:noHBand="0" w:noVBand="1"/>
      </w:tblPr>
      <w:tblGrid>
        <w:gridCol w:w="1715"/>
        <w:gridCol w:w="2018"/>
        <w:gridCol w:w="2018"/>
        <w:gridCol w:w="2018"/>
        <w:gridCol w:w="1217"/>
        <w:gridCol w:w="122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3201-PRIPREMA, PROVEDBA I PODRŠKA OSTVARENJU STRATEŠKIH CILJEVA ZA JAČANJE GOSPODARSTVA RH</w:t>
            </w:r>
          </w:p>
        </w:tc>
        <w:tc>
          <w:tcPr>
            <w:tcW w:w="2041" w:type="dxa"/>
          </w:tcPr>
          <w:p w:rsidR="005C2091" w:rsidRDefault="00A86293">
            <w:pPr>
              <w:pStyle w:val="CellColumn"/>
              <w:jc w:val="right"/>
            </w:pPr>
            <w:r>
              <w:rPr>
                <w:rFonts w:cs="Times New Roman"/>
              </w:rPr>
              <w:t>115.102.159</w:t>
            </w:r>
          </w:p>
        </w:tc>
        <w:tc>
          <w:tcPr>
            <w:tcW w:w="2041" w:type="dxa"/>
          </w:tcPr>
          <w:p w:rsidR="005C2091" w:rsidRDefault="00A86293">
            <w:pPr>
              <w:pStyle w:val="CellColumn"/>
              <w:jc w:val="right"/>
            </w:pPr>
            <w:r>
              <w:rPr>
                <w:rFonts w:cs="Times New Roman"/>
              </w:rPr>
              <w:t>116.155.915</w:t>
            </w:r>
          </w:p>
        </w:tc>
        <w:tc>
          <w:tcPr>
            <w:tcW w:w="2041" w:type="dxa"/>
          </w:tcPr>
          <w:p w:rsidR="005C2091" w:rsidRDefault="00A86293">
            <w:pPr>
              <w:pStyle w:val="CellColumn"/>
              <w:jc w:val="right"/>
            </w:pPr>
            <w:r>
              <w:rPr>
                <w:rFonts w:cs="Times New Roman"/>
              </w:rPr>
              <w:t>109.124.436</w:t>
            </w:r>
          </w:p>
        </w:tc>
        <w:tc>
          <w:tcPr>
            <w:tcW w:w="1224" w:type="dxa"/>
          </w:tcPr>
          <w:p w:rsidR="005C2091" w:rsidRDefault="00A86293">
            <w:pPr>
              <w:pStyle w:val="CellColumn"/>
              <w:jc w:val="right"/>
            </w:pPr>
            <w:r>
              <w:rPr>
                <w:rFonts w:cs="Times New Roman"/>
              </w:rPr>
              <w:t>93,9</w:t>
            </w:r>
          </w:p>
        </w:tc>
        <w:tc>
          <w:tcPr>
            <w:tcW w:w="1224" w:type="dxa"/>
          </w:tcPr>
          <w:p w:rsidR="005C2091" w:rsidRDefault="00A86293">
            <w:pPr>
              <w:pStyle w:val="CellColumn"/>
              <w:jc w:val="right"/>
            </w:pPr>
            <w:r>
              <w:rPr>
                <w:rFonts w:cs="Times New Roman"/>
              </w:rPr>
              <w:t>94,8</w:t>
            </w:r>
          </w:p>
        </w:tc>
      </w:tr>
    </w:tbl>
    <w:p w:rsidR="005C2091" w:rsidRDefault="005C2091">
      <w:pPr>
        <w:jc w:val="left"/>
      </w:pPr>
    </w:p>
    <w:p w:rsidR="005C2091" w:rsidRDefault="00A86293">
      <w:r>
        <w:t>Sredstvima planiranim u okviru ovog programa financirali se troškovi za obavljanja redovite djelatnosti Ministarstva: isplata plaće i ostali rashodi za zaposlene, materijalni troškovi, opremanje namještajem, informatičkom i ostalom opremom te obnova voznog parka. Sredstva se koriste za osiguranje učinkovitosti u radu Ministarstva.</w:t>
      </w:r>
    </w:p>
    <w:p w:rsidR="005C2091" w:rsidRDefault="00A86293">
      <w:pPr>
        <w:pStyle w:val="Heading4"/>
      </w:pPr>
      <w:r>
        <w:t>A560000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A560000-ADMINISTRACIJA I UPRAVLJANJE</w:t>
            </w:r>
          </w:p>
        </w:tc>
        <w:tc>
          <w:tcPr>
            <w:tcW w:w="2041" w:type="dxa"/>
          </w:tcPr>
          <w:p w:rsidR="005C2091" w:rsidRDefault="00A86293">
            <w:pPr>
              <w:pStyle w:val="CellColumn"/>
              <w:jc w:val="right"/>
            </w:pPr>
            <w:r>
              <w:rPr>
                <w:rFonts w:cs="Times New Roman"/>
              </w:rPr>
              <w:t>59.484.193</w:t>
            </w:r>
          </w:p>
        </w:tc>
        <w:tc>
          <w:tcPr>
            <w:tcW w:w="2041" w:type="dxa"/>
          </w:tcPr>
          <w:p w:rsidR="005C2091" w:rsidRDefault="00A86293">
            <w:pPr>
              <w:pStyle w:val="CellColumn"/>
              <w:jc w:val="right"/>
            </w:pPr>
            <w:r>
              <w:rPr>
                <w:rFonts w:cs="Times New Roman"/>
              </w:rPr>
              <w:t>64.164.512</w:t>
            </w:r>
          </w:p>
        </w:tc>
        <w:tc>
          <w:tcPr>
            <w:tcW w:w="2041" w:type="dxa"/>
          </w:tcPr>
          <w:p w:rsidR="005C2091" w:rsidRDefault="00A86293">
            <w:pPr>
              <w:pStyle w:val="CellColumn"/>
              <w:jc w:val="right"/>
            </w:pPr>
            <w:r>
              <w:rPr>
                <w:rFonts w:cs="Times New Roman"/>
              </w:rPr>
              <w:t>58.630.488</w:t>
            </w:r>
          </w:p>
        </w:tc>
        <w:tc>
          <w:tcPr>
            <w:tcW w:w="1224" w:type="dxa"/>
          </w:tcPr>
          <w:p w:rsidR="005C2091" w:rsidRDefault="00A86293">
            <w:pPr>
              <w:pStyle w:val="CellColumn"/>
              <w:jc w:val="right"/>
            </w:pPr>
            <w:r>
              <w:rPr>
                <w:rFonts w:cs="Times New Roman"/>
              </w:rPr>
              <w:t>91,4</w:t>
            </w:r>
          </w:p>
        </w:tc>
        <w:tc>
          <w:tcPr>
            <w:tcW w:w="1224" w:type="dxa"/>
          </w:tcPr>
          <w:p w:rsidR="005C2091" w:rsidRDefault="00A86293">
            <w:pPr>
              <w:pStyle w:val="CellColumn"/>
              <w:jc w:val="right"/>
            </w:pPr>
            <w:r>
              <w:rPr>
                <w:rFonts w:cs="Times New Roman"/>
              </w:rPr>
              <w:t>98,6</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Zakon o ustrojstvu i djelokrugu ministarstava i drugih središnjih tijela državne uprave (NN 93/2016, 104/2016); Uredba o unutarnjem ustrojstvu Ministarstva gospodarstva (NN 102/2013, 10/2014, 120/2014, 26/2015); Uredba o unutarnjem ustrojstvu Ministarstva poduzetništva i obrta, Kolektivni ugovor za državne službenike i namještenike (NN 104/2013, 104/2013, 150/2013, 153/2013, 71/2016); Zakon o javnoj nabavi (NN 90/2011, 83/2013, 143/2013, 13/2014); Zakon o proračunu (NN 87/2008, 109/2007, 136/2012, 15/2015).</w:t>
      </w:r>
    </w:p>
    <w:p w:rsidR="005C2091" w:rsidRDefault="00A86293">
      <w:pPr>
        <w:pStyle w:val="Heading8"/>
        <w:jc w:val="left"/>
      </w:pPr>
      <w:r>
        <w:t>Opis aktivnosti</w:t>
      </w:r>
    </w:p>
    <w:p w:rsidR="005C2091" w:rsidRDefault="00A86293">
      <w:r>
        <w:t>U okviru ove aktivnosti isplaćena su sredstva za obavljanje svih stručnih i administrativnih poslova radi nesmetanog, racionalnog i uspješnog obavljanja djelatnosti Ministarstva. Sredstva se koriste za poduzimanje mjera za osiguranje učinkovitosti u radu cijelog Ministarstva te usklađenje rada unutarnjih ustrojstvenih jedinica ministarstva i upravnih organizacija u sastavu ministarstva.</w:t>
      </w:r>
    </w:p>
    <w:p w:rsidR="005C2091" w:rsidRDefault="00A86293">
      <w:pPr>
        <w:pStyle w:val="Heading4"/>
      </w:pPr>
      <w:r>
        <w:t>A817069 USLUGA ZASTUPANJA U SPORU IZMEĐU REPUBLIKE HRVATSKE I DRUŠTVA MOL PLC MAĐARSKA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A817069-USLUGA ZASTUPANJA U SPORU IZMEĐU REPUBLIKE HRVATSKE I DRUŠTVA MOL PLC MAĐARSKA</w:t>
            </w:r>
          </w:p>
        </w:tc>
        <w:tc>
          <w:tcPr>
            <w:tcW w:w="2041" w:type="dxa"/>
          </w:tcPr>
          <w:p w:rsidR="005C2091" w:rsidRDefault="00A86293">
            <w:pPr>
              <w:pStyle w:val="CellColumn"/>
              <w:jc w:val="right"/>
            </w:pPr>
            <w:r>
              <w:rPr>
                <w:rFonts w:cs="Times New Roman"/>
              </w:rPr>
              <w:t>44.970.585</w:t>
            </w:r>
          </w:p>
        </w:tc>
        <w:tc>
          <w:tcPr>
            <w:tcW w:w="2041" w:type="dxa"/>
          </w:tcPr>
          <w:p w:rsidR="005C2091" w:rsidRDefault="00A86293">
            <w:pPr>
              <w:pStyle w:val="CellColumn"/>
              <w:jc w:val="right"/>
            </w:pPr>
            <w:r>
              <w:rPr>
                <w:rFonts w:cs="Times New Roman"/>
              </w:rPr>
              <w:t>43.766.602</w:t>
            </w:r>
          </w:p>
        </w:tc>
        <w:tc>
          <w:tcPr>
            <w:tcW w:w="2041" w:type="dxa"/>
          </w:tcPr>
          <w:p w:rsidR="005C2091" w:rsidRDefault="00A86293">
            <w:pPr>
              <w:pStyle w:val="CellColumn"/>
              <w:jc w:val="right"/>
            </w:pPr>
            <w:r>
              <w:rPr>
                <w:rFonts w:cs="Times New Roman"/>
              </w:rPr>
              <w:t>43.766.600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97,3</w:t>
            </w:r>
          </w:p>
        </w:tc>
      </w:tr>
    </w:tbl>
    <w:p w:rsidR="005C2091" w:rsidRDefault="005C2091">
      <w:pPr>
        <w:jc w:val="left"/>
      </w:pPr>
    </w:p>
    <w:p w:rsidR="005C2091" w:rsidRDefault="00A86293">
      <w:pPr>
        <w:pStyle w:val="Heading8"/>
        <w:jc w:val="left"/>
      </w:pPr>
      <w:r>
        <w:t>Zakonske i druge pravne osnove</w:t>
      </w:r>
    </w:p>
    <w:p w:rsidR="005C2091" w:rsidRDefault="00A86293">
      <w:r>
        <w:t>Odluka Vlade od 16. siječnja 2014. godine, Klasa: Pov-022-03/14-04/01, Urbroj: 50301-05/05-14-5; Odluka Vlade od 30. srpnja 2014. godine, Klasa: Pov-022-03/14-04/17, Urbroj: 50301-05/05-14-5</w:t>
      </w:r>
    </w:p>
    <w:p w:rsidR="005C2091" w:rsidRDefault="00A86293">
      <w:pPr>
        <w:pStyle w:val="Heading8"/>
        <w:jc w:val="left"/>
      </w:pPr>
      <w:r>
        <w:t>Opis aktivnosti</w:t>
      </w:r>
    </w:p>
    <w:p w:rsidR="005C2091" w:rsidRDefault="00A86293">
      <w:r>
        <w:t>U okviru ove aktivnosti isplaćena su sredstva za troškove zastupanja Republike Hrvatske u arbitražnom postupku pred arbitražnim sudom sa sjedištem u Ženevi, koji se vodi u skladu s UNCITRAL-ovim arbitražnim pravilima, a kojeg je pokrenula Republika Hrvatska, kao tužitelj, protiv društva MOL, kao tuženika; te arbitražni postupak kojeg je društvo MOL, kao tužitelj, pokrenulo protiv Republike Hrvatske, kao tuženika, pred Međunarodnim centrom za rješavanje investicijskih sporova u Washingtonu.</w:t>
      </w:r>
    </w:p>
    <w:p w:rsidR="005C2091" w:rsidRDefault="00A86293">
      <w:pPr>
        <w:pStyle w:val="Heading3"/>
      </w:pPr>
      <w:r>
        <w:rPr>
          <w:rFonts w:cs="Times New Roman"/>
        </w:rPr>
        <w:t>3203 RAZVOJ, UNAPRJEĐENJE KONKURENTNOSTI I RESTRUKTURIRANJE INDUSTRIJE</w:t>
      </w:r>
    </w:p>
    <w:tbl>
      <w:tblPr>
        <w:tblStyle w:val="StilTablice"/>
        <w:tblW w:w="10206" w:type="dxa"/>
        <w:jc w:val="center"/>
        <w:tblLook w:val="04A0" w:firstRow="1" w:lastRow="0" w:firstColumn="1" w:lastColumn="0" w:noHBand="0" w:noVBand="1"/>
      </w:tblPr>
      <w:tblGrid>
        <w:gridCol w:w="2115"/>
        <w:gridCol w:w="1901"/>
        <w:gridCol w:w="1902"/>
        <w:gridCol w:w="1902"/>
        <w:gridCol w:w="1185"/>
        <w:gridCol w:w="120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3203-RAZVOJ, UNAPRJEĐENJE KONKURENTNOSTI I RESTRUKTURIRANJE INDUSTRIJE</w:t>
            </w:r>
          </w:p>
        </w:tc>
        <w:tc>
          <w:tcPr>
            <w:tcW w:w="2041" w:type="dxa"/>
          </w:tcPr>
          <w:p w:rsidR="005C2091" w:rsidRDefault="00A86293">
            <w:pPr>
              <w:pStyle w:val="CellColumn"/>
              <w:jc w:val="right"/>
            </w:pPr>
            <w:r>
              <w:rPr>
                <w:rFonts w:cs="Times New Roman"/>
              </w:rPr>
              <w:t>728.562.430</w:t>
            </w:r>
          </w:p>
        </w:tc>
        <w:tc>
          <w:tcPr>
            <w:tcW w:w="2041" w:type="dxa"/>
          </w:tcPr>
          <w:p w:rsidR="005C2091" w:rsidRDefault="00A86293">
            <w:pPr>
              <w:pStyle w:val="CellColumn"/>
              <w:jc w:val="right"/>
            </w:pPr>
            <w:r>
              <w:rPr>
                <w:rFonts w:cs="Times New Roman"/>
              </w:rPr>
              <w:t>964.540.488</w:t>
            </w:r>
          </w:p>
        </w:tc>
        <w:tc>
          <w:tcPr>
            <w:tcW w:w="2041" w:type="dxa"/>
          </w:tcPr>
          <w:p w:rsidR="005C2091" w:rsidRDefault="00A86293">
            <w:pPr>
              <w:pStyle w:val="CellColumn"/>
              <w:jc w:val="right"/>
            </w:pPr>
            <w:r>
              <w:rPr>
                <w:rFonts w:cs="Times New Roman"/>
              </w:rPr>
              <w:t>964.453.185</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132,4</w:t>
            </w:r>
          </w:p>
        </w:tc>
      </w:tr>
    </w:tbl>
    <w:p w:rsidR="005C2091" w:rsidRDefault="005C2091">
      <w:pPr>
        <w:jc w:val="left"/>
      </w:pPr>
    </w:p>
    <w:p w:rsidR="005C2091" w:rsidRDefault="00A86293">
      <w:r>
        <w:lastRenderedPageBreak/>
        <w:t>Ministarstvo kroz program poticanja industrijskog razvitka i restrukturiranja pojedinih grana industrije nastoji unaprijediti konkurentnost gospodarstva, kao i svekoliki razvoj instrumenata i mjera gospodarske politike, i to kroz realizaciju nove industrijske politike. Kako bi se u kratkom roku gospodarska politika usmjerila prema stvaranju povoljnijih uvjeta za rast investicija i povećanje konkurentnosti gospodarstva, nova industrijska politika nužan je preduvjet kako bi u potpunosti mogao doći do izražaja tržišni potencijal za rast industrijske proizvodnje (kako u smislu domaće potražnje i tako i u smislu inozemne potražnje). U novoj Industrijskoj strategiji Republike Hrvatske 2014. – 2020. definirano je kako će se potpora industriji temeljiti na onim industrijama koje bi se mogle pozicionirati na regionalnom tržištu te biti jedan od glavnih nositelja gospodarskog rasta i novog zapošljavanja u neposrednoj budućnosti. Kako bi se takav novi pristup razvoju gospodarstva mogao ostvariti, nužno je osnažiti sustav horizontalnih mjera industrijske politike (potpore za istraživanje i razvoj, za implementaciju novih tehnologija, za zapošljavanje, za zaštitu okoliša, za stručno usavršavanje i sl.). Usvajanjem operativnog programa potpora inovacijama u brodogradnji stvoreni su preduvjeti za uspostavu novih, europskih uvjeta za stjecanje državnih potpora brodogradilištima koji je usklađen s intenzitetom potpora kakav se susreće u zemljama EU.</w:t>
      </w:r>
    </w:p>
    <w:p w:rsidR="005C2091" w:rsidRDefault="00A86293">
      <w:pPr>
        <w:pStyle w:val="Heading8"/>
        <w:jc w:val="left"/>
      </w:pPr>
      <w:r>
        <w:t xml:space="preserve">Cilj 1. Povećanje proizvodnosti prerađivačke industrije </w:t>
      </w:r>
    </w:p>
    <w:p w:rsidR="005C2091" w:rsidRDefault="00A86293">
      <w:pPr>
        <w:pStyle w:val="Heading8"/>
        <w:jc w:val="left"/>
      </w:pPr>
      <w:r>
        <w:t>Opis provedbe cilja programa</w:t>
      </w:r>
    </w:p>
    <w:p w:rsidR="005C2091" w:rsidRDefault="00A86293">
      <w:r>
        <w:t>Sukladno reviziji strategije industrijske politike, jedan od ključnih načina za ostvarivanje spomenutog cilja su poticanje inovacija, koje najizravnije omogućuju restrukturiranje i rast proizvodnosti. Aktivnosti će biti usmjerene na angažiraniji pristup prema stvaranju povoljnijih uvjeta za brži industrijski razvitak, na način da će se u znatno većoj mjeri državnim sredstvima poticati ulaganja u istraživanje i razvoj, primjenu novih tehnologija i inovacije u proizvodne procese i postupke, projekte koji jamče veću brigu o zaštiti okoliša, uštedi energije.</w:t>
      </w:r>
    </w:p>
    <w:p w:rsidR="005C2091" w:rsidRDefault="00A86293">
      <w:pPr>
        <w:pStyle w:val="Heading8"/>
        <w:jc w:val="left"/>
      </w:pPr>
      <w:r>
        <w:t>Cilj 2. Povećanje konkurentnosti brodogradilišta</w:t>
      </w:r>
    </w:p>
    <w:p w:rsidR="005C2091" w:rsidRDefault="00A86293">
      <w:pPr>
        <w:pStyle w:val="Heading8"/>
        <w:jc w:val="left"/>
      </w:pPr>
      <w:r>
        <w:t>Opis provedbe cilja programa</w:t>
      </w:r>
    </w:p>
    <w:p w:rsidR="005C2091" w:rsidRDefault="00A86293">
      <w:r>
        <w:t xml:space="preserve">Restrukturiranje tri brodogradilišta koje je započelo njihovom privatizacijom u 2013. godini dovelo je do značajnih promjena unutar brodogradnje, hrvatske tradicionalno izvozno usmjerene industrije. Privatizirana od vlasnika različitih poslovnih profila, brodogradilišta su tijekom provedenog otprilike trogodišnjeg vremena restrukturiranja zabilježila i različite promjene koje su se neovisno o uvjetima restrukturiranja sadržanim u odobrenim programima restrukturiranja u velikoj mjeri uskladile sa preferencijama i ambicijama njihovih novih vlasnika. One se kada je u pitanju održavanje djelatnosti i proizvodnje kreću od današnjeg povećanja proizvodnje i izvoza u odnosu na razdoblje neposredno prije početka restrukturiranja, te ugovaranje gradnje složenijih tipova brodova sa većim udjelom dodane vrijednosti, kakvi se danas grade u Brodograđevnoj industriji 3. MAJ u Rijeci, do pada proizvodnje i ugovaranja gradnje jednostavnih pomorskih konstrukcija sa malim udjelom dodane vrijednosti kakvi prevladavaju u današnjem proizvodnom programu Brodograđevne industrije Split u Splitu.  </w:t>
      </w:r>
    </w:p>
    <w:p w:rsidR="005C2091" w:rsidRDefault="00A86293">
      <w:r>
        <w:t>Što se tiče profitabilnosti i održivosti poslovanja brodogradilišta sa novo usvojenim poslovnim modelima, uočljivo je kako su rezultati restrukturiranja u tom pogledu nezadovoljavajući jer povećanje brodograđevne proizvodnje nije na odgovarajući način dovelo i do očekivanog povećanja profitabilnosti. Budući je brodograđevna djelatnost tradicionalno povezana sa malim i srednjim poduzećima koja za potrebe brodogradnje izrađuju proizvode brodske opreme, od oporavka proizvodnje u brodogradilištima, pozitivne učinke možemo očekivati u širokom spektru gospodarskih djelatnosti od proizvodnje metalnih proizvoda do proizvodnje strojeva i uređaja koji svoju primjenu nalaze u brodogradnji. Zbog navedenih razloga, brodograđevna industrija od iznimne je važnosti za gospodarstvo Hrvatske, ne samo zbog udjela u BDP-u, broju zaposlenih već i pozitivnog utjecaja na malo i srednje poduzetništvo čime značajno doprinosi osiguranju socijalne i gospodarske kohezije u cijeloj Hrvatskoj.</w:t>
      </w:r>
    </w:p>
    <w:p w:rsidR="005C2091" w:rsidRDefault="00A86293">
      <w:pPr>
        <w:pStyle w:val="Heading8"/>
        <w:jc w:val="left"/>
      </w:pPr>
      <w:r>
        <w:t>Cilj 3. Poticanje investicija i unapređenju investicijskog okruženja</w:t>
      </w:r>
    </w:p>
    <w:p w:rsidR="005C2091" w:rsidRDefault="00A86293">
      <w:pPr>
        <w:pStyle w:val="Heading8"/>
        <w:jc w:val="left"/>
      </w:pPr>
      <w:r>
        <w:t>Opis provedbe cilja programa</w:t>
      </w:r>
    </w:p>
    <w:p w:rsidR="005C2091" w:rsidRDefault="00A86293">
      <w:r>
        <w:t>Sukladno Zakonu o poticanju ulaganja dodatno se potiče investiranje i unaprjeđenje investicijskog okruženja što će rezultirati većom konkurentnosti Republike Hrvatske u privlačenju ulaganja i većim brojem korisnika potpora.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Stope promjena obujma industrijske proizvodnje u odnosu na prethodnu godinu</w:t>
            </w:r>
          </w:p>
        </w:tc>
        <w:tc>
          <w:tcPr>
            <w:tcW w:w="2551" w:type="dxa"/>
          </w:tcPr>
          <w:p w:rsidR="005C2091" w:rsidRDefault="00A86293">
            <w:pPr>
              <w:pStyle w:val="CellColumn"/>
              <w:jc w:val="left"/>
            </w:pPr>
            <w:r>
              <w:rPr>
                <w:rFonts w:cs="Times New Roman"/>
              </w:rPr>
              <w:t>Godišnje stope promjena obujma industrijske proizvodnje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Prethodna godina (2015.)</w:t>
            </w:r>
          </w:p>
        </w:tc>
        <w:tc>
          <w:tcPr>
            <w:tcW w:w="1020" w:type="dxa"/>
          </w:tcPr>
          <w:p w:rsidR="005C2091" w:rsidRDefault="00A86293">
            <w:pPr>
              <w:pStyle w:val="CellColumn"/>
              <w:jc w:val="right"/>
            </w:pPr>
            <w:r>
              <w:rPr>
                <w:rFonts w:cs="Times New Roman"/>
              </w:rPr>
              <w:t>DZS</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5,0%</w:t>
            </w:r>
          </w:p>
        </w:tc>
      </w:tr>
      <w:tr w:rsidR="005C2091">
        <w:trPr>
          <w:jc w:val="center"/>
        </w:trPr>
        <w:tc>
          <w:tcPr>
            <w:tcW w:w="2551" w:type="dxa"/>
          </w:tcPr>
          <w:p w:rsidR="005C2091" w:rsidRDefault="00A86293">
            <w:pPr>
              <w:pStyle w:val="CellColumn"/>
              <w:jc w:val="left"/>
            </w:pPr>
            <w:r>
              <w:rPr>
                <w:rFonts w:cs="Times New Roman"/>
              </w:rPr>
              <w:t>Rast izvoza</w:t>
            </w:r>
          </w:p>
        </w:tc>
        <w:tc>
          <w:tcPr>
            <w:tcW w:w="2551" w:type="dxa"/>
          </w:tcPr>
          <w:p w:rsidR="005C2091" w:rsidRDefault="00A86293">
            <w:pPr>
              <w:pStyle w:val="CellColumn"/>
              <w:jc w:val="left"/>
            </w:pPr>
            <w:r>
              <w:rPr>
                <w:rFonts w:cs="Times New Roman"/>
              </w:rPr>
              <w:t>Rast izvoza</w:t>
            </w:r>
          </w:p>
        </w:tc>
        <w:tc>
          <w:tcPr>
            <w:tcW w:w="1020" w:type="dxa"/>
          </w:tcPr>
          <w:p w:rsidR="005C2091" w:rsidRDefault="00A86293">
            <w:pPr>
              <w:pStyle w:val="CellColumn"/>
              <w:jc w:val="right"/>
            </w:pPr>
            <w:r>
              <w:rPr>
                <w:rFonts w:cs="Times New Roman"/>
              </w:rPr>
              <w:t>(000 HRK)</w:t>
            </w:r>
          </w:p>
        </w:tc>
        <w:tc>
          <w:tcPr>
            <w:tcW w:w="1020" w:type="dxa"/>
          </w:tcPr>
          <w:p w:rsidR="005C2091" w:rsidRDefault="00A86293">
            <w:pPr>
              <w:pStyle w:val="CellColumn"/>
              <w:jc w:val="right"/>
            </w:pPr>
            <w:r>
              <w:rPr>
                <w:rFonts w:cs="Times New Roman"/>
              </w:rPr>
              <w:t>78.921.288</w:t>
            </w:r>
          </w:p>
        </w:tc>
        <w:tc>
          <w:tcPr>
            <w:tcW w:w="1020" w:type="dxa"/>
          </w:tcPr>
          <w:p w:rsidR="005C2091" w:rsidRDefault="00A86293">
            <w:pPr>
              <w:pStyle w:val="CellColumn"/>
              <w:jc w:val="right"/>
            </w:pPr>
            <w:r>
              <w:rPr>
                <w:rFonts w:cs="Times New Roman"/>
              </w:rPr>
              <w:t>DZS</w:t>
            </w:r>
          </w:p>
        </w:tc>
        <w:tc>
          <w:tcPr>
            <w:tcW w:w="1020" w:type="dxa"/>
          </w:tcPr>
          <w:p w:rsidR="005C2091" w:rsidRDefault="00A86293">
            <w:pPr>
              <w:pStyle w:val="CellColumn"/>
              <w:jc w:val="right"/>
            </w:pPr>
            <w:r>
              <w:rPr>
                <w:rFonts w:cs="Times New Roman"/>
              </w:rPr>
              <w:t>80.058.980</w:t>
            </w:r>
          </w:p>
        </w:tc>
        <w:tc>
          <w:tcPr>
            <w:tcW w:w="1020" w:type="dxa"/>
          </w:tcPr>
          <w:p w:rsidR="005C2091" w:rsidRDefault="00A86293">
            <w:pPr>
              <w:pStyle w:val="CellColumn"/>
              <w:jc w:val="right"/>
            </w:pPr>
            <w:r>
              <w:rPr>
                <w:rFonts w:cs="Times New Roman"/>
              </w:rPr>
              <w:t>92.793.259</w:t>
            </w:r>
          </w:p>
        </w:tc>
      </w:tr>
      <w:tr w:rsidR="005C2091">
        <w:trPr>
          <w:jc w:val="center"/>
        </w:trPr>
        <w:tc>
          <w:tcPr>
            <w:tcW w:w="2551" w:type="dxa"/>
          </w:tcPr>
          <w:p w:rsidR="005C2091" w:rsidRDefault="00A86293">
            <w:pPr>
              <w:pStyle w:val="CellColumn"/>
              <w:jc w:val="left"/>
            </w:pPr>
            <w:r>
              <w:rPr>
                <w:rFonts w:cs="Times New Roman"/>
              </w:rPr>
              <w:t>Broj zaposlenih u prerađivačkoj industriji</w:t>
            </w:r>
          </w:p>
        </w:tc>
        <w:tc>
          <w:tcPr>
            <w:tcW w:w="2551" w:type="dxa"/>
          </w:tcPr>
          <w:p w:rsidR="005C2091" w:rsidRDefault="00A86293">
            <w:pPr>
              <w:pStyle w:val="CellColumn"/>
              <w:jc w:val="left"/>
            </w:pPr>
            <w:r>
              <w:rPr>
                <w:rFonts w:cs="Times New Roman"/>
              </w:rPr>
              <w:t>Broj zaposlenih u prerađivačkoj industriji</w:t>
            </w:r>
          </w:p>
        </w:tc>
        <w:tc>
          <w:tcPr>
            <w:tcW w:w="1020" w:type="dxa"/>
          </w:tcPr>
          <w:p w:rsidR="005C2091" w:rsidRDefault="00A86293">
            <w:pPr>
              <w:pStyle w:val="CellColumn"/>
              <w:jc w:val="right"/>
            </w:pPr>
            <w:r>
              <w:rPr>
                <w:rFonts w:cs="Times New Roman"/>
              </w:rPr>
              <w:t>(000 HRK)</w:t>
            </w:r>
          </w:p>
        </w:tc>
        <w:tc>
          <w:tcPr>
            <w:tcW w:w="1020" w:type="dxa"/>
          </w:tcPr>
          <w:p w:rsidR="005C2091" w:rsidRDefault="00A86293">
            <w:pPr>
              <w:pStyle w:val="CellColumn"/>
              <w:jc w:val="right"/>
            </w:pPr>
            <w:r>
              <w:rPr>
                <w:rFonts w:cs="Times New Roman"/>
              </w:rPr>
              <w:t>2009.=864 mil.kn</w:t>
            </w:r>
          </w:p>
        </w:tc>
        <w:tc>
          <w:tcPr>
            <w:tcW w:w="1020" w:type="dxa"/>
          </w:tcPr>
          <w:p w:rsidR="005C2091" w:rsidRDefault="00A86293">
            <w:pPr>
              <w:pStyle w:val="CellColumn"/>
              <w:jc w:val="right"/>
            </w:pPr>
            <w:r>
              <w:rPr>
                <w:rFonts w:cs="Times New Roman"/>
              </w:rPr>
              <w:t>DZS</w:t>
            </w:r>
          </w:p>
        </w:tc>
        <w:tc>
          <w:tcPr>
            <w:tcW w:w="1020" w:type="dxa"/>
          </w:tcPr>
          <w:p w:rsidR="005C2091" w:rsidRDefault="00A86293">
            <w:pPr>
              <w:pStyle w:val="CellColumn"/>
              <w:jc w:val="right"/>
            </w:pPr>
            <w:r>
              <w:rPr>
                <w:rFonts w:cs="Times New Roman"/>
              </w:rPr>
              <w:t>214.019</w:t>
            </w:r>
          </w:p>
        </w:tc>
        <w:tc>
          <w:tcPr>
            <w:tcW w:w="1020" w:type="dxa"/>
          </w:tcPr>
          <w:p w:rsidR="005C2091" w:rsidRDefault="00A86293">
            <w:pPr>
              <w:pStyle w:val="CellColumn"/>
              <w:jc w:val="right"/>
            </w:pPr>
            <w:r>
              <w:rPr>
                <w:rFonts w:cs="Times New Roman"/>
              </w:rPr>
              <w:t>204.830</w:t>
            </w:r>
          </w:p>
        </w:tc>
      </w:tr>
    </w:tbl>
    <w:p w:rsidR="005C2091" w:rsidRDefault="005C2091">
      <w:pPr>
        <w:jc w:val="left"/>
      </w:pPr>
    </w:p>
    <w:p w:rsidR="005C2091" w:rsidRDefault="00A86293">
      <w:pPr>
        <w:pStyle w:val="Heading4"/>
      </w:pPr>
      <w:r>
        <w:t>A560004 PROVEDBA MJERA ZA POTICANJE ULAGANJA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A560004-PROVEDBA MJERA ZA POTICANJE ULAGANJA</w:t>
            </w:r>
          </w:p>
        </w:tc>
        <w:tc>
          <w:tcPr>
            <w:tcW w:w="2041" w:type="dxa"/>
          </w:tcPr>
          <w:p w:rsidR="005C2091" w:rsidRDefault="00A86293">
            <w:pPr>
              <w:pStyle w:val="CellColumn"/>
              <w:jc w:val="right"/>
            </w:pPr>
            <w:r>
              <w:rPr>
                <w:rFonts w:cs="Times New Roman"/>
              </w:rPr>
              <w:t>14.948.743</w:t>
            </w:r>
          </w:p>
        </w:tc>
        <w:tc>
          <w:tcPr>
            <w:tcW w:w="2041" w:type="dxa"/>
          </w:tcPr>
          <w:p w:rsidR="005C2091" w:rsidRDefault="00A86293">
            <w:pPr>
              <w:pStyle w:val="CellColumn"/>
              <w:jc w:val="right"/>
            </w:pPr>
            <w:r>
              <w:rPr>
                <w:rFonts w:cs="Times New Roman"/>
              </w:rPr>
              <w:t>28.500.000</w:t>
            </w:r>
          </w:p>
        </w:tc>
        <w:tc>
          <w:tcPr>
            <w:tcW w:w="2041" w:type="dxa"/>
          </w:tcPr>
          <w:p w:rsidR="005C2091" w:rsidRDefault="00A86293">
            <w:pPr>
              <w:pStyle w:val="CellColumn"/>
              <w:jc w:val="right"/>
            </w:pPr>
            <w:r>
              <w:rPr>
                <w:rFonts w:cs="Times New Roman"/>
              </w:rPr>
              <w:t>28.500.000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190,7</w:t>
            </w:r>
          </w:p>
        </w:tc>
      </w:tr>
    </w:tbl>
    <w:p w:rsidR="005C2091" w:rsidRDefault="005C2091">
      <w:pPr>
        <w:jc w:val="left"/>
      </w:pPr>
    </w:p>
    <w:p w:rsidR="005C2091" w:rsidRDefault="00A86293">
      <w:pPr>
        <w:pStyle w:val="Heading8"/>
        <w:jc w:val="left"/>
      </w:pPr>
      <w:r>
        <w:t>Zakonske i druge pravne osnove</w:t>
      </w:r>
    </w:p>
    <w:p w:rsidR="005C2091" w:rsidRDefault="00A86293">
      <w:r>
        <w:t>Zakonom o poticanju investicija i unapređenju investicijskog okruženja (NN 111/12, 28/13), Zakon o državnim potporama (NN47/14)</w:t>
      </w:r>
    </w:p>
    <w:p w:rsidR="005C2091" w:rsidRDefault="00A86293">
      <w:pPr>
        <w:pStyle w:val="Heading8"/>
        <w:jc w:val="left"/>
      </w:pPr>
      <w:r>
        <w:t>Opis aktivnosti</w:t>
      </w:r>
    </w:p>
    <w:p w:rsidR="005C2091" w:rsidRDefault="00A86293">
      <w:r>
        <w:t>U okviru ove aktivnosti isplaćena su sredstva za poticanje mjere za kapitalne troškove projekta, poticajne mjere za opravdane troškove otvaranja novih radnih mjesta povezanih sa projektom, poticajne mjere za radno intenzivne projekte, te poticaji za opravdane troškove usavršavanja povezanih s projektom ulaganja</w:t>
      </w:r>
    </w:p>
    <w:p w:rsidR="005C2091" w:rsidRDefault="00A86293">
      <w:pPr>
        <w:pStyle w:val="Heading4"/>
      </w:pPr>
      <w:r>
        <w:t>A817070 MJERE IMPLEMENTACIJE INDUSTRIJSKE STRATEGIJE</w:t>
      </w:r>
    </w:p>
    <w:tbl>
      <w:tblPr>
        <w:tblStyle w:val="StilTablice"/>
        <w:tblW w:w="10206" w:type="dxa"/>
        <w:jc w:val="center"/>
        <w:tblLook w:val="04A0" w:firstRow="1" w:lastRow="0" w:firstColumn="1" w:lastColumn="0" w:noHBand="0" w:noVBand="1"/>
      </w:tblPr>
      <w:tblGrid>
        <w:gridCol w:w="1826"/>
        <w:gridCol w:w="1984"/>
        <w:gridCol w:w="1985"/>
        <w:gridCol w:w="1985"/>
        <w:gridCol w:w="1210"/>
        <w:gridCol w:w="121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A817070-MJERE IMPLEMENTACIJE INDUSTRIJSKE STRATEGIJE</w:t>
            </w:r>
          </w:p>
        </w:tc>
        <w:tc>
          <w:tcPr>
            <w:tcW w:w="2041" w:type="dxa"/>
          </w:tcPr>
          <w:p w:rsidR="005C2091" w:rsidRDefault="00A86293">
            <w:pPr>
              <w:pStyle w:val="CellColumn"/>
              <w:jc w:val="right"/>
            </w:pPr>
            <w:r>
              <w:rPr>
                <w:rFonts w:cs="Times New Roman"/>
              </w:rPr>
              <w:t>90.188.421</w:t>
            </w:r>
          </w:p>
        </w:tc>
        <w:tc>
          <w:tcPr>
            <w:tcW w:w="2041" w:type="dxa"/>
          </w:tcPr>
          <w:p w:rsidR="005C2091" w:rsidRDefault="00A86293">
            <w:pPr>
              <w:pStyle w:val="CellColumn"/>
              <w:jc w:val="right"/>
            </w:pPr>
            <w:r>
              <w:rPr>
                <w:rFonts w:cs="Times New Roman"/>
              </w:rPr>
              <w:t>40.000.000</w:t>
            </w:r>
          </w:p>
        </w:tc>
        <w:tc>
          <w:tcPr>
            <w:tcW w:w="2041" w:type="dxa"/>
          </w:tcPr>
          <w:p w:rsidR="005C2091" w:rsidRDefault="00A86293">
            <w:pPr>
              <w:pStyle w:val="CellColumn"/>
              <w:jc w:val="right"/>
            </w:pPr>
            <w:r>
              <w:rPr>
                <w:rFonts w:cs="Times New Roman"/>
              </w:rPr>
              <w:t>40.000.000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44,4</w:t>
            </w:r>
          </w:p>
        </w:tc>
      </w:tr>
    </w:tbl>
    <w:p w:rsidR="005C2091" w:rsidRDefault="005C2091">
      <w:pPr>
        <w:jc w:val="left"/>
      </w:pPr>
    </w:p>
    <w:p w:rsidR="005C2091" w:rsidRDefault="00A86293">
      <w:pPr>
        <w:pStyle w:val="Heading8"/>
        <w:jc w:val="left"/>
      </w:pPr>
      <w:r>
        <w:t>Zakonske i druge pravne osnove</w:t>
      </w:r>
    </w:p>
    <w:p w:rsidR="005C2091" w:rsidRDefault="00A86293">
      <w:r>
        <w:t>Zakono o poticanju investicija i unapređenju investicijskog okruženja (NN 111/12, 28/13)</w:t>
      </w:r>
    </w:p>
    <w:p w:rsidR="005C2091" w:rsidRDefault="00A86293">
      <w:pPr>
        <w:pStyle w:val="Heading8"/>
        <w:jc w:val="left"/>
      </w:pPr>
      <w:r>
        <w:t>Opis aktivnosti</w:t>
      </w:r>
    </w:p>
    <w:p w:rsidR="005C2091" w:rsidRDefault="00A86293">
      <w:r>
        <w:t>U okviru ove aktivnosti proveden je Program dodjele državne potpore za ulaganje u proizvodne tehnologije. Osnovna namjera potpore je potaknuti poduzetnike na ulaganje u materijalnu i nematerijalnu imovinu s ciljem podizanja vlastite konkurentnosti na domaćem, a posebno na inozemnom tržištu uz zadržavanje ili povećanje broja radnika.</w:t>
      </w:r>
    </w:p>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profitabilnog poslovanja</w:t>
            </w:r>
          </w:p>
        </w:tc>
        <w:tc>
          <w:tcPr>
            <w:tcW w:w="2551" w:type="dxa"/>
          </w:tcPr>
          <w:p w:rsidR="005C2091" w:rsidRDefault="00A86293">
            <w:pPr>
              <w:pStyle w:val="CellColumn"/>
              <w:jc w:val="left"/>
            </w:pPr>
            <w:r>
              <w:rPr>
                <w:rFonts w:cs="Times New Roman"/>
              </w:rPr>
              <w:t>Povećanje dobiti/gubitka</w:t>
            </w:r>
          </w:p>
        </w:tc>
        <w:tc>
          <w:tcPr>
            <w:tcW w:w="1020" w:type="dxa"/>
          </w:tcPr>
          <w:p w:rsidR="005C2091" w:rsidRDefault="00A86293">
            <w:pPr>
              <w:pStyle w:val="CellColumn"/>
              <w:jc w:val="right"/>
            </w:pPr>
            <w:r>
              <w:rPr>
                <w:rFonts w:cs="Times New Roman"/>
              </w:rPr>
              <w:t>kn</w:t>
            </w:r>
          </w:p>
        </w:tc>
        <w:tc>
          <w:tcPr>
            <w:tcW w:w="1020" w:type="dxa"/>
          </w:tcPr>
          <w:p w:rsidR="005C2091" w:rsidRDefault="00A86293">
            <w:pPr>
              <w:pStyle w:val="CellColumn"/>
              <w:jc w:val="right"/>
            </w:pPr>
            <w:r>
              <w:rPr>
                <w:rFonts w:cs="Times New Roman"/>
              </w:rPr>
              <w:t>2009=*-864 mil kn</w:t>
            </w:r>
          </w:p>
        </w:tc>
        <w:tc>
          <w:tcPr>
            <w:tcW w:w="1020" w:type="dxa"/>
          </w:tcPr>
          <w:p w:rsidR="005C2091" w:rsidRDefault="00A86293">
            <w:pPr>
              <w:pStyle w:val="CellColumn"/>
              <w:jc w:val="right"/>
            </w:pPr>
            <w:r>
              <w:rPr>
                <w:rFonts w:cs="Times New Roman"/>
              </w:rPr>
              <w:t>MINGO</w:t>
            </w:r>
          </w:p>
        </w:tc>
        <w:tc>
          <w:tcPr>
            <w:tcW w:w="1020" w:type="dxa"/>
          </w:tcPr>
          <w:p w:rsidR="005C2091" w:rsidRDefault="00A86293">
            <w:pPr>
              <w:pStyle w:val="CellColumn"/>
              <w:jc w:val="right"/>
            </w:pPr>
            <w:r>
              <w:rPr>
                <w:rFonts w:cs="Times New Roman"/>
              </w:rPr>
              <w:t>-80 mil kn</w:t>
            </w:r>
          </w:p>
        </w:tc>
        <w:tc>
          <w:tcPr>
            <w:tcW w:w="1020" w:type="dxa"/>
          </w:tcPr>
          <w:p w:rsidR="005C2091" w:rsidRDefault="00A86293">
            <w:pPr>
              <w:pStyle w:val="CellColumn"/>
              <w:jc w:val="right"/>
            </w:pPr>
            <w:r>
              <w:rPr>
                <w:rFonts w:cs="Times New Roman"/>
              </w:rPr>
              <w:t>-100 mil</w:t>
            </w:r>
          </w:p>
        </w:tc>
      </w:tr>
      <w:tr w:rsidR="005C2091">
        <w:trPr>
          <w:jc w:val="center"/>
        </w:trPr>
        <w:tc>
          <w:tcPr>
            <w:tcW w:w="2551" w:type="dxa"/>
          </w:tcPr>
          <w:p w:rsidR="005C2091" w:rsidRDefault="00A86293">
            <w:pPr>
              <w:pStyle w:val="CellColumn"/>
              <w:jc w:val="left"/>
            </w:pPr>
            <w:r>
              <w:rPr>
                <w:rFonts w:cs="Times New Roman"/>
              </w:rPr>
              <w:t>Povećanje prihoda</w:t>
            </w:r>
          </w:p>
        </w:tc>
        <w:tc>
          <w:tcPr>
            <w:tcW w:w="2551" w:type="dxa"/>
          </w:tcPr>
          <w:p w:rsidR="005C2091" w:rsidRDefault="00A86293">
            <w:pPr>
              <w:pStyle w:val="CellColumn"/>
              <w:jc w:val="left"/>
            </w:pPr>
            <w:r>
              <w:rPr>
                <w:rFonts w:cs="Times New Roman"/>
              </w:rPr>
              <w:t>Povećanje prihoda</w:t>
            </w:r>
          </w:p>
        </w:tc>
        <w:tc>
          <w:tcPr>
            <w:tcW w:w="1020" w:type="dxa"/>
          </w:tcPr>
          <w:p w:rsidR="005C2091" w:rsidRDefault="00A86293">
            <w:pPr>
              <w:pStyle w:val="CellColumn"/>
              <w:jc w:val="right"/>
            </w:pPr>
            <w:r>
              <w:rPr>
                <w:rFonts w:cs="Times New Roman"/>
              </w:rPr>
              <w:t>Index</w:t>
            </w:r>
          </w:p>
        </w:tc>
        <w:tc>
          <w:tcPr>
            <w:tcW w:w="1020" w:type="dxa"/>
          </w:tcPr>
          <w:p w:rsidR="005C2091" w:rsidRDefault="00A86293">
            <w:pPr>
              <w:pStyle w:val="CellColumn"/>
              <w:jc w:val="right"/>
            </w:pPr>
            <w:r>
              <w:rPr>
                <w:rFonts w:cs="Times New Roman"/>
              </w:rPr>
              <w:t>2009.=100</w:t>
            </w:r>
          </w:p>
        </w:tc>
        <w:tc>
          <w:tcPr>
            <w:tcW w:w="1020" w:type="dxa"/>
          </w:tcPr>
          <w:p w:rsidR="005C2091" w:rsidRDefault="00A86293">
            <w:pPr>
              <w:pStyle w:val="CellColumn"/>
              <w:jc w:val="right"/>
            </w:pPr>
            <w:r>
              <w:rPr>
                <w:rFonts w:cs="Times New Roman"/>
              </w:rPr>
              <w:t>MINGO</w:t>
            </w:r>
          </w:p>
        </w:tc>
        <w:tc>
          <w:tcPr>
            <w:tcW w:w="1020" w:type="dxa"/>
          </w:tcPr>
          <w:p w:rsidR="005C2091" w:rsidRDefault="00A86293">
            <w:pPr>
              <w:pStyle w:val="CellColumn"/>
              <w:jc w:val="right"/>
            </w:pPr>
            <w:r>
              <w:rPr>
                <w:rFonts w:cs="Times New Roman"/>
              </w:rPr>
              <w:t>80</w:t>
            </w:r>
          </w:p>
        </w:tc>
        <w:tc>
          <w:tcPr>
            <w:tcW w:w="1020" w:type="dxa"/>
          </w:tcPr>
          <w:p w:rsidR="005C2091" w:rsidRDefault="00A86293">
            <w:pPr>
              <w:pStyle w:val="CellColumn"/>
              <w:jc w:val="right"/>
            </w:pPr>
            <w:r>
              <w:rPr>
                <w:rFonts w:cs="Times New Roman"/>
              </w:rPr>
              <w:t>60</w:t>
            </w:r>
          </w:p>
        </w:tc>
      </w:tr>
      <w:tr w:rsidR="005C2091">
        <w:trPr>
          <w:jc w:val="center"/>
        </w:trPr>
        <w:tc>
          <w:tcPr>
            <w:tcW w:w="2551" w:type="dxa"/>
          </w:tcPr>
          <w:p w:rsidR="005C2091" w:rsidRDefault="00A86293">
            <w:pPr>
              <w:pStyle w:val="CellColumn"/>
              <w:jc w:val="left"/>
            </w:pPr>
            <w:r>
              <w:rPr>
                <w:rFonts w:cs="Times New Roman"/>
              </w:rPr>
              <w:t>Omjer administrativnog osoblja u odnosu na proizvodne radnike</w:t>
            </w:r>
          </w:p>
        </w:tc>
        <w:tc>
          <w:tcPr>
            <w:tcW w:w="2551" w:type="dxa"/>
          </w:tcPr>
          <w:p w:rsidR="005C2091" w:rsidRDefault="00A86293">
            <w:pPr>
              <w:pStyle w:val="CellColumn"/>
              <w:jc w:val="left"/>
            </w:pPr>
            <w:r>
              <w:rPr>
                <w:rFonts w:cs="Times New Roman"/>
              </w:rPr>
              <w:t>Povećanje proizvodnih radnika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2013. =0,29</w:t>
            </w:r>
          </w:p>
        </w:tc>
        <w:tc>
          <w:tcPr>
            <w:tcW w:w="1020" w:type="dxa"/>
          </w:tcPr>
          <w:p w:rsidR="005C2091" w:rsidRDefault="00A86293">
            <w:pPr>
              <w:pStyle w:val="CellColumn"/>
              <w:jc w:val="right"/>
            </w:pPr>
            <w:r>
              <w:rPr>
                <w:rFonts w:cs="Times New Roman"/>
              </w:rPr>
              <w:t>MINGO</w:t>
            </w:r>
          </w:p>
        </w:tc>
        <w:tc>
          <w:tcPr>
            <w:tcW w:w="1020" w:type="dxa"/>
          </w:tcPr>
          <w:p w:rsidR="005C2091" w:rsidRDefault="00A86293">
            <w:pPr>
              <w:pStyle w:val="CellColumn"/>
              <w:jc w:val="right"/>
            </w:pPr>
            <w:r>
              <w:rPr>
                <w:rFonts w:cs="Times New Roman"/>
              </w:rPr>
              <w:t>0,28</w:t>
            </w:r>
          </w:p>
        </w:tc>
        <w:tc>
          <w:tcPr>
            <w:tcW w:w="1020" w:type="dxa"/>
          </w:tcPr>
          <w:p w:rsidR="005C2091" w:rsidRDefault="00A86293">
            <w:pPr>
              <w:pStyle w:val="CellColumn"/>
              <w:jc w:val="right"/>
            </w:pPr>
            <w:r>
              <w:rPr>
                <w:rFonts w:cs="Times New Roman"/>
              </w:rPr>
              <w:t>0,23</w:t>
            </w:r>
          </w:p>
        </w:tc>
      </w:tr>
    </w:tbl>
    <w:p w:rsidR="005C2091" w:rsidRDefault="005C2091">
      <w:pPr>
        <w:jc w:val="left"/>
      </w:pPr>
    </w:p>
    <w:p w:rsidR="005C2091" w:rsidRDefault="00A86293">
      <w:pPr>
        <w:pStyle w:val="Heading4"/>
      </w:pPr>
      <w:r>
        <w:t>A822028 RESTRUKTURIRANJE BRODOGRADILIŠTA</w:t>
      </w:r>
    </w:p>
    <w:tbl>
      <w:tblPr>
        <w:tblStyle w:val="StilTablice"/>
        <w:tblW w:w="10206" w:type="dxa"/>
        <w:jc w:val="center"/>
        <w:tblLook w:val="04A0" w:firstRow="1" w:lastRow="0" w:firstColumn="1" w:lastColumn="0" w:noHBand="0" w:noVBand="1"/>
      </w:tblPr>
      <w:tblGrid>
        <w:gridCol w:w="2115"/>
        <w:gridCol w:w="1901"/>
        <w:gridCol w:w="1902"/>
        <w:gridCol w:w="1902"/>
        <w:gridCol w:w="1185"/>
        <w:gridCol w:w="120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A822028-RESTRUKTURIRANJE BRODOGRADILIŠTA</w:t>
            </w:r>
          </w:p>
        </w:tc>
        <w:tc>
          <w:tcPr>
            <w:tcW w:w="2041" w:type="dxa"/>
          </w:tcPr>
          <w:p w:rsidR="005C2091" w:rsidRDefault="00A86293">
            <w:pPr>
              <w:pStyle w:val="CellColumn"/>
              <w:jc w:val="right"/>
            </w:pPr>
            <w:r>
              <w:rPr>
                <w:rFonts w:cs="Times New Roman"/>
              </w:rPr>
              <w:t>615.352.039</w:t>
            </w:r>
          </w:p>
        </w:tc>
        <w:tc>
          <w:tcPr>
            <w:tcW w:w="2041" w:type="dxa"/>
          </w:tcPr>
          <w:p w:rsidR="005C2091" w:rsidRDefault="00A86293">
            <w:pPr>
              <w:pStyle w:val="CellColumn"/>
              <w:jc w:val="right"/>
            </w:pPr>
            <w:r>
              <w:rPr>
                <w:rFonts w:cs="Times New Roman"/>
              </w:rPr>
              <w:t>889.345.488</w:t>
            </w:r>
          </w:p>
        </w:tc>
        <w:tc>
          <w:tcPr>
            <w:tcW w:w="2041" w:type="dxa"/>
          </w:tcPr>
          <w:p w:rsidR="005C2091" w:rsidRDefault="00A86293">
            <w:pPr>
              <w:pStyle w:val="CellColumn"/>
              <w:jc w:val="right"/>
            </w:pPr>
            <w:r>
              <w:rPr>
                <w:rFonts w:cs="Times New Roman"/>
              </w:rPr>
              <w:t>889.295.524</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144,5</w:t>
            </w:r>
          </w:p>
        </w:tc>
      </w:tr>
    </w:tbl>
    <w:p w:rsidR="005C2091" w:rsidRDefault="005C2091">
      <w:pPr>
        <w:jc w:val="left"/>
      </w:pPr>
    </w:p>
    <w:p w:rsidR="005C2091" w:rsidRDefault="00A86293">
      <w:pPr>
        <w:pStyle w:val="Heading8"/>
        <w:jc w:val="left"/>
      </w:pPr>
      <w:r>
        <w:t>Zakonske i druge pravne osnove</w:t>
      </w:r>
    </w:p>
    <w:p w:rsidR="005C2091" w:rsidRDefault="00A86293">
      <w:r>
        <w:t>Operativni program potpora inovacijama u brodogradnji, Smjernice Zajednice o državnim potporama za sanaciju i restrukturiranje poduzetnika u teškoćama (Službeni list Europske unije C 249, 31.07.2014.);Ugovoru o prodaji i prijenosu dionica Brodograđevne industrije Split d.d, Split,  Ugovoru o prodaji i prijenosu dionica Brodotrogira d.d., Trogir i Ugovoru o prodaji i prijenosu dionica Brodograđevne industrije 3.MAJ d.d, Rijeka;</w:t>
      </w:r>
    </w:p>
    <w:p w:rsidR="005C2091" w:rsidRDefault="00A86293">
      <w:pPr>
        <w:pStyle w:val="Heading8"/>
        <w:jc w:val="left"/>
      </w:pPr>
      <w:r>
        <w:t>Opis aktivnosti</w:t>
      </w:r>
    </w:p>
    <w:p w:rsidR="005C2091" w:rsidRDefault="00A86293">
      <w:r>
        <w:t>Sredstva ove aktivnosti namijenjena su za provođenje procesa restrukturiranja, i to prije svega tehnološkog i organizacijskog restrukturiranja sa ciljem osposobljavanja brodogradilišta za učinkovitu gradnju najsloženijih tipova brodova. Očekuje se da će brodogradilišta povećati svoje prihode smanjujući time udio fiksnih troškova u ukupnim troškovima sa ciljem postizanja profitabilnosti.</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isplaćenih bespovratnih novčanih potpora za otvaranje novih radnih mjesta povezanih s investicijom, usavršavanje, poticajne mjere za kapitalne troškove investicijskog projekta i radno intenzivne projekte</w:t>
            </w:r>
          </w:p>
        </w:tc>
        <w:tc>
          <w:tcPr>
            <w:tcW w:w="2551" w:type="dxa"/>
          </w:tcPr>
          <w:p w:rsidR="005C2091" w:rsidRDefault="00A86293">
            <w:pPr>
              <w:pStyle w:val="CellColumn"/>
              <w:jc w:val="left"/>
            </w:pPr>
            <w:r>
              <w:rPr>
                <w:rFonts w:cs="Times New Roman"/>
              </w:rPr>
              <w:t>Povećanjem broja isplaćenih potpora povećava se broj novih radnih mjesta,potiće se se razvoj novih znanja i vještina zaposlenih, potiče se ulaganje u županije s najvišim stopama nezaposlenosti i potiće se ulaganje u visoku tehnologiju</w:t>
            </w:r>
          </w:p>
        </w:tc>
        <w:tc>
          <w:tcPr>
            <w:tcW w:w="1020" w:type="dxa"/>
          </w:tcPr>
          <w:p w:rsidR="005C2091" w:rsidRDefault="00A86293">
            <w:pPr>
              <w:pStyle w:val="CellColumn"/>
              <w:jc w:val="right"/>
            </w:pPr>
            <w:r>
              <w:rPr>
                <w:rFonts w:cs="Times New Roman"/>
              </w:rPr>
              <w:t>Broj potpora</w:t>
            </w:r>
          </w:p>
        </w:tc>
        <w:tc>
          <w:tcPr>
            <w:tcW w:w="1020" w:type="dxa"/>
          </w:tcPr>
          <w:p w:rsidR="005C2091" w:rsidRDefault="00A86293">
            <w:pPr>
              <w:pStyle w:val="CellColumn"/>
              <w:jc w:val="right"/>
            </w:pPr>
            <w:r>
              <w:rPr>
                <w:rFonts w:cs="Times New Roman"/>
              </w:rPr>
              <w:t>6</w:t>
            </w:r>
          </w:p>
        </w:tc>
        <w:tc>
          <w:tcPr>
            <w:tcW w:w="1020" w:type="dxa"/>
          </w:tcPr>
          <w:p w:rsidR="005C2091" w:rsidRDefault="00A86293">
            <w:pPr>
              <w:pStyle w:val="CellColumn"/>
              <w:jc w:val="right"/>
            </w:pPr>
            <w:r>
              <w:rPr>
                <w:rFonts w:cs="Times New Roman"/>
              </w:rPr>
              <w:t>MINGO</w:t>
            </w:r>
          </w:p>
        </w:tc>
        <w:tc>
          <w:tcPr>
            <w:tcW w:w="1020" w:type="dxa"/>
          </w:tcPr>
          <w:p w:rsidR="005C2091" w:rsidRDefault="00A86293">
            <w:pPr>
              <w:pStyle w:val="CellColumn"/>
              <w:jc w:val="right"/>
            </w:pPr>
            <w:r>
              <w:rPr>
                <w:rFonts w:cs="Times New Roman"/>
              </w:rPr>
              <w:t>6</w:t>
            </w:r>
          </w:p>
        </w:tc>
        <w:tc>
          <w:tcPr>
            <w:tcW w:w="1020" w:type="dxa"/>
          </w:tcPr>
          <w:p w:rsidR="005C2091" w:rsidRDefault="00A86293">
            <w:pPr>
              <w:pStyle w:val="CellColumn"/>
              <w:jc w:val="right"/>
            </w:pPr>
            <w:r>
              <w:rPr>
                <w:rFonts w:cs="Times New Roman"/>
              </w:rPr>
              <w:t>6</w:t>
            </w:r>
          </w:p>
        </w:tc>
      </w:tr>
    </w:tbl>
    <w:p w:rsidR="005C2091" w:rsidRDefault="005C2091">
      <w:pPr>
        <w:jc w:val="left"/>
      </w:pPr>
    </w:p>
    <w:p w:rsidR="005C2091" w:rsidRDefault="00A86293">
      <w:pPr>
        <w:pStyle w:val="Heading3"/>
      </w:pPr>
      <w:r>
        <w:rPr>
          <w:rFonts w:cs="Times New Roman"/>
        </w:rPr>
        <w:lastRenderedPageBreak/>
        <w:t>3204 RAZVOJ ENERGETSKOG SUSTAVA I GOSPODARENJA MINERALNIM SIROVINAMA</w:t>
      </w:r>
    </w:p>
    <w:tbl>
      <w:tblPr>
        <w:tblStyle w:val="StilTablice"/>
        <w:tblW w:w="10206" w:type="dxa"/>
        <w:jc w:val="center"/>
        <w:tblLook w:val="04A0" w:firstRow="1" w:lastRow="0" w:firstColumn="1" w:lastColumn="0" w:noHBand="0" w:noVBand="1"/>
      </w:tblPr>
      <w:tblGrid>
        <w:gridCol w:w="1682"/>
        <w:gridCol w:w="2028"/>
        <w:gridCol w:w="2027"/>
        <w:gridCol w:w="2027"/>
        <w:gridCol w:w="1220"/>
        <w:gridCol w:w="122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3204-RAZVOJ ENERGETSKOG SUSTAVA I GOSPODARENJA MINERALNIM SIROVINAMA</w:t>
            </w:r>
          </w:p>
        </w:tc>
        <w:tc>
          <w:tcPr>
            <w:tcW w:w="2041" w:type="dxa"/>
          </w:tcPr>
          <w:p w:rsidR="005C2091" w:rsidRDefault="00A86293">
            <w:pPr>
              <w:pStyle w:val="CellColumn"/>
              <w:jc w:val="right"/>
            </w:pPr>
            <w:r>
              <w:rPr>
                <w:rFonts w:cs="Times New Roman"/>
              </w:rPr>
              <w:t>103.983.709</w:t>
            </w:r>
          </w:p>
        </w:tc>
        <w:tc>
          <w:tcPr>
            <w:tcW w:w="2041" w:type="dxa"/>
          </w:tcPr>
          <w:p w:rsidR="005C2091" w:rsidRDefault="00A86293">
            <w:pPr>
              <w:pStyle w:val="CellColumn"/>
              <w:jc w:val="right"/>
            </w:pPr>
            <w:r>
              <w:rPr>
                <w:rFonts w:cs="Times New Roman"/>
              </w:rPr>
              <w:t>39.844.056</w:t>
            </w:r>
          </w:p>
        </w:tc>
        <w:tc>
          <w:tcPr>
            <w:tcW w:w="2041" w:type="dxa"/>
          </w:tcPr>
          <w:p w:rsidR="005C2091" w:rsidRDefault="00A86293">
            <w:pPr>
              <w:pStyle w:val="CellColumn"/>
              <w:jc w:val="right"/>
            </w:pPr>
            <w:r>
              <w:rPr>
                <w:rFonts w:cs="Times New Roman"/>
              </w:rPr>
              <w:t>49.870.266</w:t>
            </w:r>
          </w:p>
        </w:tc>
        <w:tc>
          <w:tcPr>
            <w:tcW w:w="1224" w:type="dxa"/>
          </w:tcPr>
          <w:p w:rsidR="005C2091" w:rsidRDefault="00A86293">
            <w:pPr>
              <w:pStyle w:val="CellColumn"/>
              <w:jc w:val="right"/>
            </w:pPr>
            <w:r>
              <w:rPr>
                <w:rFonts w:cs="Times New Roman"/>
              </w:rPr>
              <w:t>125,2</w:t>
            </w:r>
          </w:p>
        </w:tc>
        <w:tc>
          <w:tcPr>
            <w:tcW w:w="1224" w:type="dxa"/>
          </w:tcPr>
          <w:p w:rsidR="005C2091" w:rsidRDefault="00A86293">
            <w:pPr>
              <w:pStyle w:val="CellColumn"/>
              <w:jc w:val="right"/>
            </w:pPr>
            <w:r>
              <w:rPr>
                <w:rFonts w:cs="Times New Roman"/>
              </w:rPr>
              <w:t>48,0</w:t>
            </w:r>
          </w:p>
        </w:tc>
      </w:tr>
    </w:tbl>
    <w:p w:rsidR="005C2091" w:rsidRDefault="005C2091">
      <w:pPr>
        <w:jc w:val="left"/>
      </w:pPr>
    </w:p>
    <w:p w:rsidR="005C2091" w:rsidRDefault="00A86293">
      <w:r>
        <w:t>Ovim programom prvodi se sustavno i cjelovito praćenje energetskog sektora sa ciljem njegove prilagodbe EU okruženju. Također je potrebno pripremiti energetski sektor za otvoreno tržište i stvoriti preduvjete da bude atraktivan za strane investicije. Republika Hrvatska obvezala se preuzeti i primijeniti pravnu stečevinu Europske unije iz područja energetike, što je do usvajanja Trećeg paketa energetskih propisa EU i učinjeno. Europska komisija i dalje prati napredak Republike Hrvatske, stoga sektor energetike kroz ovaj program nastavlja sa aktivnostima vezanim uz daljnje preuzimanje pravne stečevine EU. Uključivanje domaće industrije u razvojne i proizvodne programe u ovim područjima energetike strateški je element reforme energetskog sektora i perspektive projekata obnovljivih izvora energije. Održivost energetskog sustava izazov je suvremenog razvoja. Potrebno je poticati razvoj potrošnje kao preduvjet razvoja industrije, usluga, poljoprivrede, turizma, u cilju rasta zaposlenosti i standarda svih građana. Ovim programom također se uređuje stanje u upravnom području rudarstva i uvodi jedinstveni informacijski sustav mineralnih sirovina.</w:t>
      </w:r>
    </w:p>
    <w:p w:rsidR="005C2091" w:rsidRDefault="00A86293">
      <w:pPr>
        <w:pStyle w:val="Heading8"/>
        <w:jc w:val="left"/>
      </w:pPr>
      <w:r>
        <w:t xml:space="preserve">Cilj 1. Povećanje udjela obnovljivih izvora energije i energetske učinkovitosti te daljnje usklađivanje sa pravnom stečevinom Europske unije </w:t>
      </w:r>
    </w:p>
    <w:p w:rsidR="005C2091" w:rsidRDefault="00A86293">
      <w:pPr>
        <w:pStyle w:val="Heading8"/>
        <w:jc w:val="left"/>
      </w:pPr>
      <w:r>
        <w:t>Opis provedbe cilja programa</w:t>
      </w:r>
    </w:p>
    <w:p w:rsidR="005C2091" w:rsidRDefault="00A86293">
      <w:r>
        <w:t>Izrada Nacionalnih akcijskih planova za korištenje obnovljivih izvora energije i povećanje udjela energetske učinkovitosti u sektoru energetike, a u svrhu povećanja udjela obnovljivih izvora energije i ušteda energije.</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Udio energije iz obnovljivih izvora energije u bruto neposrednoj potrošnji energije</w:t>
            </w:r>
          </w:p>
        </w:tc>
        <w:tc>
          <w:tcPr>
            <w:tcW w:w="2551" w:type="dxa"/>
          </w:tcPr>
          <w:p w:rsidR="005C2091" w:rsidRDefault="00A86293">
            <w:pPr>
              <w:pStyle w:val="CellColumn"/>
              <w:jc w:val="left"/>
            </w:pPr>
            <w:r>
              <w:rPr>
                <w:rFonts w:cs="Times New Roman"/>
              </w:rPr>
              <w:t>Povećanje udjela obnovljivih izvora energije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2010.= 13,3</w:t>
            </w:r>
          </w:p>
        </w:tc>
        <w:tc>
          <w:tcPr>
            <w:tcW w:w="1020" w:type="dxa"/>
          </w:tcPr>
          <w:p w:rsidR="005C2091" w:rsidRDefault="005C2091">
            <w:pPr>
              <w:jc w:val="left"/>
            </w:pPr>
          </w:p>
        </w:tc>
        <w:tc>
          <w:tcPr>
            <w:tcW w:w="1020" w:type="dxa"/>
          </w:tcPr>
          <w:p w:rsidR="005C2091" w:rsidRDefault="00A86293">
            <w:pPr>
              <w:pStyle w:val="CellColumn"/>
              <w:jc w:val="right"/>
            </w:pPr>
            <w:r>
              <w:rPr>
                <w:rFonts w:cs="Times New Roman"/>
              </w:rPr>
              <w:t>18,7</w:t>
            </w:r>
          </w:p>
        </w:tc>
        <w:tc>
          <w:tcPr>
            <w:tcW w:w="1020" w:type="dxa"/>
          </w:tcPr>
          <w:p w:rsidR="005C2091" w:rsidRDefault="00A86293">
            <w:pPr>
              <w:pStyle w:val="CellColumn"/>
              <w:jc w:val="right"/>
            </w:pPr>
            <w:r>
              <w:rPr>
                <w:rFonts w:cs="Times New Roman"/>
              </w:rPr>
              <w:t>27,8</w:t>
            </w:r>
          </w:p>
        </w:tc>
      </w:tr>
    </w:tbl>
    <w:p w:rsidR="005C2091" w:rsidRDefault="005C2091">
      <w:pPr>
        <w:jc w:val="left"/>
      </w:pPr>
    </w:p>
    <w:p w:rsidR="005C2091" w:rsidRDefault="00A86293">
      <w:pPr>
        <w:pStyle w:val="Heading4"/>
      </w:pPr>
      <w:r>
        <w:t>A822058 POTICANJE PROIZVODNJE BIOGORIVA - HROTE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A822058-POTICANJE PROIZVODNJE BIOGORIVA - HROTE</w:t>
            </w:r>
          </w:p>
        </w:tc>
        <w:tc>
          <w:tcPr>
            <w:tcW w:w="2041" w:type="dxa"/>
          </w:tcPr>
          <w:p w:rsidR="005C2091" w:rsidRDefault="00A86293">
            <w:pPr>
              <w:pStyle w:val="CellColumn"/>
              <w:jc w:val="right"/>
            </w:pPr>
            <w:r>
              <w:rPr>
                <w:rFonts w:cs="Times New Roman"/>
              </w:rPr>
              <w:t>5.000.000</w:t>
            </w:r>
          </w:p>
        </w:tc>
        <w:tc>
          <w:tcPr>
            <w:tcW w:w="2041" w:type="dxa"/>
          </w:tcPr>
          <w:p w:rsidR="005C2091" w:rsidRDefault="00A86293">
            <w:pPr>
              <w:pStyle w:val="CellColumn"/>
              <w:jc w:val="right"/>
            </w:pPr>
            <w:r>
              <w:rPr>
                <w:rFonts w:cs="Times New Roman"/>
              </w:rPr>
              <w:t>35.860.500</w:t>
            </w:r>
          </w:p>
        </w:tc>
        <w:tc>
          <w:tcPr>
            <w:tcW w:w="2041" w:type="dxa"/>
          </w:tcPr>
          <w:p w:rsidR="005C2091" w:rsidRDefault="00A86293">
            <w:pPr>
              <w:pStyle w:val="CellColumn"/>
              <w:jc w:val="right"/>
            </w:pPr>
            <w:r>
              <w:rPr>
                <w:rFonts w:cs="Times New Roman"/>
              </w:rPr>
              <w:t>35.860.487</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717,2</w:t>
            </w:r>
          </w:p>
        </w:tc>
      </w:tr>
    </w:tbl>
    <w:p w:rsidR="005C2091" w:rsidRDefault="005C2091">
      <w:pPr>
        <w:jc w:val="left"/>
      </w:pPr>
    </w:p>
    <w:p w:rsidR="005C2091" w:rsidRDefault="00A86293">
      <w:pPr>
        <w:pStyle w:val="Heading8"/>
        <w:jc w:val="left"/>
      </w:pPr>
      <w:r>
        <w:t>Zakonske i druge pravne osnove</w:t>
      </w:r>
    </w:p>
    <w:p w:rsidR="005C2091" w:rsidRDefault="00A86293">
      <w:r>
        <w:t>Zakon o biogorivima za prijevoz (NN65/09, 145/10, 26/11, 144/12 i 14/14,  Uredba o poticanju proizvodnje biogoriva za prijevoz (NN01/14),</w:t>
      </w:r>
    </w:p>
    <w:p w:rsidR="005C2091" w:rsidRDefault="00A86293">
      <w:pPr>
        <w:pStyle w:val="Heading8"/>
        <w:jc w:val="left"/>
      </w:pPr>
      <w:r>
        <w:t>Opis aktivnosti</w:t>
      </w:r>
    </w:p>
    <w:p w:rsidR="005C2091" w:rsidRDefault="00A86293">
      <w:r>
        <w:t>U okviru ove aktivnosti isplaćena su potpore za proizvodnju biogoriva na temelju Zakona o biogorivima čiji je cilj ostvarivanje održivog razvoja u domeni prijevoza: smanjenje negativnih utjecaja na okoliš, poboljšanje sigurnosti opskrbe gorivom na ekološki prihvatljiv način, zadovoljavanje potreba potrošača za gorivom i ispunjavanje međunarodnih obveza Hrvatske u području smanjenja emisija stakleničkih plinova, i to poticanjem proizvodnje i korištenja biogoriva u prijevozu kao zamjenu za dizelsko gorivo ili motorni benzin. Podmiren duga prema proizvođačima biogoriva iz 2014. godine.</w:t>
      </w:r>
    </w:p>
    <w:p w:rsidR="005C2091" w:rsidRDefault="00A86293">
      <w:pPr>
        <w:pStyle w:val="Heading3"/>
      </w:pPr>
      <w:r>
        <w:rPr>
          <w:rFonts w:cs="Times New Roman"/>
        </w:rPr>
        <w:t>3215 RAZVOJ I STANDARDIZACIJA TRGOVINE I UNUTARNJEG TRŽIŠTA</w:t>
      </w:r>
    </w:p>
    <w:tbl>
      <w:tblPr>
        <w:tblStyle w:val="StilTablice"/>
        <w:tblW w:w="10206" w:type="dxa"/>
        <w:jc w:val="center"/>
        <w:tblLook w:val="04A0" w:firstRow="1" w:lastRow="0" w:firstColumn="1" w:lastColumn="0" w:noHBand="0" w:noVBand="1"/>
      </w:tblPr>
      <w:tblGrid>
        <w:gridCol w:w="1959"/>
        <w:gridCol w:w="1944"/>
        <w:gridCol w:w="1945"/>
        <w:gridCol w:w="1945"/>
        <w:gridCol w:w="1202"/>
        <w:gridCol w:w="121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3215-RAZVOJ I STANDARDIZACIJA TRGOVINE I UNUTARNJEG TRŽIŠTA</w:t>
            </w:r>
          </w:p>
        </w:tc>
        <w:tc>
          <w:tcPr>
            <w:tcW w:w="2041" w:type="dxa"/>
          </w:tcPr>
          <w:p w:rsidR="005C2091" w:rsidRDefault="00A86293">
            <w:pPr>
              <w:pStyle w:val="CellColumn"/>
              <w:jc w:val="right"/>
            </w:pPr>
            <w:r>
              <w:rPr>
                <w:rFonts w:cs="Times New Roman"/>
              </w:rPr>
              <w:t>1.842.714</w:t>
            </w:r>
          </w:p>
        </w:tc>
        <w:tc>
          <w:tcPr>
            <w:tcW w:w="2041" w:type="dxa"/>
          </w:tcPr>
          <w:p w:rsidR="005C2091" w:rsidRDefault="00A86293">
            <w:pPr>
              <w:pStyle w:val="CellColumn"/>
              <w:jc w:val="right"/>
            </w:pPr>
            <w:r>
              <w:rPr>
                <w:rFonts w:cs="Times New Roman"/>
              </w:rPr>
              <w:t>2.511.000</w:t>
            </w:r>
          </w:p>
        </w:tc>
        <w:tc>
          <w:tcPr>
            <w:tcW w:w="2041" w:type="dxa"/>
          </w:tcPr>
          <w:p w:rsidR="005C2091" w:rsidRDefault="00A86293">
            <w:pPr>
              <w:pStyle w:val="CellColumn"/>
              <w:jc w:val="right"/>
            </w:pPr>
            <w:r>
              <w:rPr>
                <w:rFonts w:cs="Times New Roman"/>
              </w:rPr>
              <w:t>1.382.146</w:t>
            </w:r>
          </w:p>
        </w:tc>
        <w:tc>
          <w:tcPr>
            <w:tcW w:w="1224" w:type="dxa"/>
          </w:tcPr>
          <w:p w:rsidR="005C2091" w:rsidRDefault="00A86293">
            <w:pPr>
              <w:pStyle w:val="CellColumn"/>
              <w:jc w:val="right"/>
            </w:pPr>
            <w:r>
              <w:rPr>
                <w:rFonts w:cs="Times New Roman"/>
              </w:rPr>
              <w:t>55,0</w:t>
            </w:r>
          </w:p>
        </w:tc>
        <w:tc>
          <w:tcPr>
            <w:tcW w:w="1224" w:type="dxa"/>
          </w:tcPr>
          <w:p w:rsidR="005C2091" w:rsidRDefault="00A86293">
            <w:pPr>
              <w:pStyle w:val="CellColumn"/>
              <w:jc w:val="right"/>
            </w:pPr>
            <w:r>
              <w:rPr>
                <w:rFonts w:cs="Times New Roman"/>
              </w:rPr>
              <w:t>75,0</w:t>
            </w:r>
          </w:p>
        </w:tc>
      </w:tr>
    </w:tbl>
    <w:p w:rsidR="005C2091" w:rsidRDefault="005C2091">
      <w:pPr>
        <w:jc w:val="left"/>
      </w:pPr>
    </w:p>
    <w:p w:rsidR="005C2091" w:rsidRDefault="00A86293">
      <w:r>
        <w:t>Razvoj i standardizacija trgovine i unutarnjeg tržišta postiže se unaprjeđenjem trgovine i tržišta, razvojem elektroničkog poslovanja, povećanjem razine zaštite potrošača, unapređenjem slobodnog pružanja usluga i slobodnog kretanja roba. U tom smislu važno je poboljšati zakonsku regulativu, smanjiti administrativno opterećenje gospodarstva osobito uvođenjem e-procedura te omogućiti reformu poslovnog okruženja. Informiranjem i educiranjem gospodarskih subjekata i građana o novim mogućnostima i modalitetima poslovanja i ostvarivanju njihovih prava u okviru jedinstvenog tržišta Europske unije, povećanjem konkurentnosti gospodarstva i djelotvornosti javnog sektora, postići će se i uštede na razini države i gospodarstva u cjelini. Program će se izvršiti kroz 4 aktivnosti: Nacionalni program za zaštitu potrošača; Razvitak elektroničkog poslovanja; Razvoj unutarnjeg tržišta; Europski potrošački centar Hrvatska (ECC-NET).</w:t>
      </w:r>
    </w:p>
    <w:p w:rsidR="005C2091" w:rsidRDefault="00A86293">
      <w:pPr>
        <w:pStyle w:val="Heading8"/>
        <w:jc w:val="left"/>
      </w:pPr>
      <w:r>
        <w:t xml:space="preserve">Cilj 1. Razvoj sustava zaštite potrošača   </w:t>
      </w:r>
    </w:p>
    <w:p w:rsidR="005C2091" w:rsidRDefault="00A86293">
      <w:pPr>
        <w:pStyle w:val="Heading8"/>
        <w:jc w:val="left"/>
      </w:pPr>
      <w:r>
        <w:t>Opis provedbe cilja programa</w:t>
      </w:r>
    </w:p>
    <w:p w:rsidR="005C2091" w:rsidRDefault="00A86293">
      <w:r>
        <w:t xml:space="preserve">Centralni informacijski sustav za zaštitu potrošača (CISZP) je središnji informacijski sustav za informiranje potrošača o mogućnostima zaštite njihovih potrošačkih prava te prikupljanja, obrade i analize upita i prijava potrošača čime se nadležnim tijelima omogućava pravodobno poduzimanje mjera iz područja zaštite potrošača. Udruge za zaštitu potrošača jedan su od važnijih dionika u provođenju politike zaštite potrošača. Slijedom toga, potrebno je kontinuirano institucionalno i administrativno jačati ovaj dio civilnog društva, a kako bi se na profesionalnoj razini provodilo savjetovanje, odnosno informiranje i edukaciju potrošača.  </w:t>
      </w:r>
    </w:p>
    <w:p w:rsidR="005C2091" w:rsidRDefault="00A86293">
      <w:r>
        <w:t>ECC HR - Europski potrošački centar bavi se savjetovanjem i rješavanjem pritužbi potrošača prilikom prekogranične trgovine usluga i dobara (unutar EU). Europski potrošački centar Hrvatska dio je Mreže Europskih potrošačkih centara koji se nalaze u svakoj državi članici uključujući Norvešku i Island. Kako bi se dobila financijska sredstva od EU, izrađuje se detaljni radni program na godišnjoj bazi. Navedeni radni program predaje se Europskoj komisiji na kraju svake godine te se na temelju njega ostvaruj pravo na financijska sredstva Europske Unije za nadolazeću godinu.</w:t>
      </w:r>
    </w:p>
    <w:p w:rsidR="005C2091" w:rsidRDefault="00A86293">
      <w:pPr>
        <w:pStyle w:val="Heading8"/>
        <w:jc w:val="left"/>
      </w:pPr>
      <w:r>
        <w:lastRenderedPageBreak/>
        <w:t>Cilj 2. Razvoj i standardizacija trgovine i unutarnjeg tržišta</w:t>
      </w:r>
    </w:p>
    <w:p w:rsidR="005C2091" w:rsidRDefault="00A86293">
      <w:pPr>
        <w:pStyle w:val="Heading8"/>
        <w:jc w:val="left"/>
      </w:pPr>
      <w:r>
        <w:t>Opis provedbe cilja programa</w:t>
      </w:r>
    </w:p>
    <w:p w:rsidR="005C2091" w:rsidRDefault="00A86293">
      <w:r>
        <w:t xml:space="preserve">Trgovina je važna gospodarska djelatnost u smislu njenog učešća u BDP-u Republike Hrvatske kao i u broju ukupno zaposlenog stanovništva. Ujedno, trgovina predstavlja poveznicu između proizvođača i krajnjih potrošača. Jedna od njenih primarnih zadaća kao uslužne djelatnosti je potrošačima osigurati dostupnost proizvoda i usluga koji svojim cijenama i svojom kvalitetom odgovaraju njihovim potrebama. Kod uređenja trgovine kao uslužne djelatnosti, važno je voditi računa o opskrbi robama koje su nužne u svakodnevnom životu, posebice onim robama koje osiguravaju nesmetano funkcioniranje društvene zajednice i pristup informacijama te robama koje su vezane uz poštivanje kulturnih i obiteljskih tradicija kao i potreba turista. S druge strane, kroz odgovarajuće mjere gospodarske politike, primjenu novih tehnologija u poslovanju te uspostavu regulatornog okruženja u ovom području, reducira se utjecaj sive ekonomije i nelojalne tržišne utakmice, a što za posljedicu ima  razvoj trgovine uz povećanje njene konkurentnosti kao i uređenje tržišta u cjelini. </w:t>
      </w:r>
    </w:p>
    <w:p w:rsidR="005C2091" w:rsidRDefault="00A86293">
      <w:r>
        <w:t xml:space="preserve">Također, ovim ciljem se promiče konkurentnost hrvatske industrije prihvaćanjem normi usklađenih na europskoj i međunarodnoj razini i njihovom primjenom na način kojim će se poboljšati sigurnost proizvoda i kvaliteta života građana, te dalje razvija hrvatski akreditacijski sustav prema međunarodnim pravilima.  </w:t>
      </w:r>
    </w:p>
    <w:p w:rsidR="005C2091" w:rsidRDefault="00A86293">
      <w:r>
        <w:t xml:space="preserve">Također provodit će se daljnje usklađivanje s pravnom stečevinom Europske unije (acquis communautaire) u području slobode kretanja roba i usluga i prava poslovnog nastana, a kojim će se podupirati jamstvo kvalitete, smanjiti rizici u poslovanju i povećati konkurentnost na nacionalnom i međunarodnom tržištu. </w:t>
      </w:r>
    </w:p>
    <w:p w:rsidR="005C2091" w:rsidRDefault="00A86293">
      <w:r>
        <w:t xml:space="preserve">Uspostavljen je Centar unutarnjeg tržišta EU - CUT (www.cut.hr) koji, putem internet portala objedinjava postojeće EU kontaktne točke, IT alate i nadležna tijela te na taj način hrvatskim građanima i poduzetnicima omogućava jedinstven pristup informacijama na unutarnjem tržištu EU. Sadržaj portala se kontinuirano nadograđuje u suradnji s ostalim nadležnim tijelima. </w:t>
      </w:r>
    </w:p>
    <w:p w:rsidR="005C2091" w:rsidRDefault="00A86293">
      <w:r>
        <w:t>Liberalizacija hrvatskog tržišta usluga u okviru pravila unutarnjeg tržišta EU usmjerena je na daljnje smanjivanje administrativnih opterećenja i razvoj Jedinstvene kontaktne točke za usluge.</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Informiranost potrošača o potrošačkim pravima</w:t>
            </w:r>
          </w:p>
        </w:tc>
        <w:tc>
          <w:tcPr>
            <w:tcW w:w="2551" w:type="dxa"/>
          </w:tcPr>
          <w:p w:rsidR="005C2091" w:rsidRDefault="00A86293">
            <w:pPr>
              <w:pStyle w:val="CellColumn"/>
              <w:jc w:val="left"/>
            </w:pPr>
            <w:r>
              <w:rPr>
                <w:rFonts w:cs="Times New Roman"/>
              </w:rPr>
              <w:t>Povećanje udjela obnovljivih izvora energije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31</w:t>
            </w:r>
          </w:p>
        </w:tc>
        <w:tc>
          <w:tcPr>
            <w:tcW w:w="1020" w:type="dxa"/>
          </w:tcPr>
          <w:p w:rsidR="005C2091" w:rsidRDefault="005C2091">
            <w:pPr>
              <w:jc w:val="left"/>
            </w:pPr>
          </w:p>
        </w:tc>
        <w:tc>
          <w:tcPr>
            <w:tcW w:w="1020" w:type="dxa"/>
          </w:tcPr>
          <w:p w:rsidR="005C2091" w:rsidRDefault="00A86293">
            <w:pPr>
              <w:pStyle w:val="CellColumn"/>
              <w:jc w:val="right"/>
            </w:pPr>
            <w:r>
              <w:rPr>
                <w:rFonts w:cs="Times New Roman"/>
              </w:rPr>
              <w:t>35</w:t>
            </w:r>
          </w:p>
        </w:tc>
        <w:tc>
          <w:tcPr>
            <w:tcW w:w="1020" w:type="dxa"/>
          </w:tcPr>
          <w:p w:rsidR="005C2091" w:rsidRDefault="00A86293">
            <w:pPr>
              <w:pStyle w:val="CellColumn"/>
              <w:jc w:val="right"/>
            </w:pPr>
            <w:r>
              <w:rPr>
                <w:rFonts w:cs="Times New Roman"/>
              </w:rPr>
              <w:t>35</w:t>
            </w:r>
          </w:p>
        </w:tc>
      </w:tr>
    </w:tbl>
    <w:p w:rsidR="005C2091" w:rsidRDefault="005C2091">
      <w:pPr>
        <w:jc w:val="left"/>
      </w:pPr>
    </w:p>
    <w:p w:rsidR="005C2091" w:rsidRDefault="00A86293">
      <w:pPr>
        <w:pStyle w:val="Heading4"/>
      </w:pPr>
      <w:r>
        <w:t>A560054 NACIONALNI PROGRAM ZA  ZAŠTITU POTROŠAČA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A560054-NACIONALNI PROGRAM ZA  ZAŠTITU POTROŠAČA</w:t>
            </w:r>
          </w:p>
        </w:tc>
        <w:tc>
          <w:tcPr>
            <w:tcW w:w="2041" w:type="dxa"/>
          </w:tcPr>
          <w:p w:rsidR="005C2091" w:rsidRDefault="00A86293">
            <w:pPr>
              <w:pStyle w:val="CellColumn"/>
              <w:jc w:val="right"/>
            </w:pPr>
            <w:r>
              <w:rPr>
                <w:rFonts w:cs="Times New Roman"/>
              </w:rPr>
              <w:t>715.940</w:t>
            </w:r>
          </w:p>
        </w:tc>
        <w:tc>
          <w:tcPr>
            <w:tcW w:w="2041" w:type="dxa"/>
          </w:tcPr>
          <w:p w:rsidR="005C2091" w:rsidRDefault="00A86293">
            <w:pPr>
              <w:pStyle w:val="CellColumn"/>
              <w:jc w:val="right"/>
            </w:pPr>
            <w:r>
              <w:rPr>
                <w:rFonts w:cs="Times New Roman"/>
              </w:rPr>
              <w:t>900.000</w:t>
            </w:r>
          </w:p>
        </w:tc>
        <w:tc>
          <w:tcPr>
            <w:tcW w:w="2041" w:type="dxa"/>
          </w:tcPr>
          <w:p w:rsidR="005C2091" w:rsidRDefault="00A86293">
            <w:pPr>
              <w:pStyle w:val="CellColumn"/>
              <w:jc w:val="right"/>
            </w:pPr>
            <w:r>
              <w:rPr>
                <w:rFonts w:cs="Times New Roman"/>
              </w:rPr>
              <w:t>895.940</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125,1</w:t>
            </w:r>
          </w:p>
        </w:tc>
      </w:tr>
    </w:tbl>
    <w:p w:rsidR="005C2091" w:rsidRDefault="005C2091">
      <w:pPr>
        <w:jc w:val="left"/>
      </w:pPr>
    </w:p>
    <w:p w:rsidR="005C2091" w:rsidRDefault="00A86293">
      <w:pPr>
        <w:pStyle w:val="Heading8"/>
        <w:jc w:val="left"/>
      </w:pPr>
      <w:r>
        <w:t>Zakonske i druge pravne osnove</w:t>
      </w:r>
    </w:p>
    <w:p w:rsidR="005C2091" w:rsidRDefault="00A86293">
      <w:r>
        <w:t>Zakon o zaštiti potrošača (NN41/14. i 110/15.); Nacionalni program zaštite potrošača za razdoblje od 2013. do 2016. godine (NN 90/2013)</w:t>
      </w:r>
    </w:p>
    <w:p w:rsidR="005C2091" w:rsidRDefault="00A86293">
      <w:pPr>
        <w:pStyle w:val="Heading8"/>
        <w:jc w:val="left"/>
      </w:pPr>
      <w:r>
        <w:lastRenderedPageBreak/>
        <w:t>Opis aktivnosti</w:t>
      </w:r>
    </w:p>
    <w:p w:rsidR="005C2091" w:rsidRDefault="00A86293">
      <w:r>
        <w:t>U okviru ove aktivnosti dodijeljena je financijska potpora udrugama za zaštitu potrošača za provođenje projekta "Savjetovanje potrošača u 2016. godini" (ukupna vrijednost projekta je 900.000 kuna, a Grad Zagreb je sufinancirao projekt s iznosom od 100.000 kuna). Preostali dio sredstava na ovoj aktivnosti utrošen je za održavanje Centralnog informacijskog sustava za zaštitu potrošača, a u cilju stabilnosti, raspoloživosti i pouzdanosti rada navedenoga sustava.</w:t>
      </w:r>
    </w:p>
    <w:p w:rsidR="005C2091" w:rsidRDefault="00A86293">
      <w:pPr>
        <w:pStyle w:val="Heading4"/>
      </w:pPr>
      <w:r>
        <w:t>A822025 RAZVITAK ELEKTRONIČKOG POSLOVANJA</w:t>
      </w:r>
    </w:p>
    <w:tbl>
      <w:tblPr>
        <w:tblStyle w:val="StilTablice"/>
        <w:tblW w:w="10206" w:type="dxa"/>
        <w:jc w:val="center"/>
        <w:tblLook w:val="04A0" w:firstRow="1" w:lastRow="0" w:firstColumn="1" w:lastColumn="0" w:noHBand="0" w:noVBand="1"/>
      </w:tblPr>
      <w:tblGrid>
        <w:gridCol w:w="1803"/>
        <w:gridCol w:w="1992"/>
        <w:gridCol w:w="1988"/>
        <w:gridCol w:w="1992"/>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A822025-RAZVITAK ELEKTRONIČKOG POSLOVANJA</w:t>
            </w:r>
          </w:p>
        </w:tc>
        <w:tc>
          <w:tcPr>
            <w:tcW w:w="2041" w:type="dxa"/>
          </w:tcPr>
          <w:p w:rsidR="005C2091" w:rsidRDefault="00A86293">
            <w:pPr>
              <w:pStyle w:val="CellColumn"/>
              <w:jc w:val="right"/>
            </w:pPr>
            <w:r>
              <w:rPr>
                <w:rFonts w:cs="Times New Roman"/>
              </w:rPr>
              <w:t>323.245</w:t>
            </w:r>
          </w:p>
        </w:tc>
        <w:tc>
          <w:tcPr>
            <w:tcW w:w="2041" w:type="dxa"/>
          </w:tcPr>
          <w:p w:rsidR="005C2091" w:rsidRDefault="00A86293">
            <w:pPr>
              <w:pStyle w:val="CellColumn"/>
              <w:jc w:val="right"/>
            </w:pPr>
            <w:r>
              <w:rPr>
                <w:rFonts w:cs="Times New Roman"/>
              </w:rPr>
              <w:t>145.000</w:t>
            </w:r>
          </w:p>
        </w:tc>
        <w:tc>
          <w:tcPr>
            <w:tcW w:w="2041" w:type="dxa"/>
          </w:tcPr>
          <w:p w:rsidR="005C2091" w:rsidRDefault="00A86293">
            <w:pPr>
              <w:pStyle w:val="CellColumn"/>
              <w:jc w:val="right"/>
            </w:pPr>
            <w:r>
              <w:rPr>
                <w:rFonts w:cs="Times New Roman"/>
              </w:rPr>
              <w:t>142.081</w:t>
            </w:r>
          </w:p>
        </w:tc>
        <w:tc>
          <w:tcPr>
            <w:tcW w:w="1224" w:type="dxa"/>
          </w:tcPr>
          <w:p w:rsidR="005C2091" w:rsidRDefault="00A86293">
            <w:pPr>
              <w:pStyle w:val="CellColumn"/>
              <w:jc w:val="right"/>
            </w:pPr>
            <w:r>
              <w:rPr>
                <w:rFonts w:cs="Times New Roman"/>
              </w:rPr>
              <w:t>98,0</w:t>
            </w:r>
          </w:p>
        </w:tc>
        <w:tc>
          <w:tcPr>
            <w:tcW w:w="1224" w:type="dxa"/>
          </w:tcPr>
          <w:p w:rsidR="005C2091" w:rsidRDefault="00A86293">
            <w:pPr>
              <w:pStyle w:val="CellColumn"/>
              <w:jc w:val="right"/>
            </w:pPr>
            <w:r>
              <w:rPr>
                <w:rFonts w:cs="Times New Roman"/>
              </w:rPr>
              <w:t>44,0</w:t>
            </w:r>
          </w:p>
        </w:tc>
      </w:tr>
    </w:tbl>
    <w:p w:rsidR="005C2091" w:rsidRDefault="005C2091">
      <w:pPr>
        <w:jc w:val="left"/>
      </w:pPr>
    </w:p>
    <w:p w:rsidR="005C2091" w:rsidRDefault="00A86293">
      <w:pPr>
        <w:pStyle w:val="Heading8"/>
        <w:jc w:val="left"/>
      </w:pPr>
      <w:r>
        <w:t>Zakonske i druge pravne osnove</w:t>
      </w:r>
    </w:p>
    <w:p w:rsidR="005C2091" w:rsidRDefault="00A86293">
      <w:r>
        <w:t>Zakon o elektroničkoj trgovini (NN 173/03, 67/08, 36/09, 130/11 i 30/14); Zakon o elektroničnom potpisu (NN 10/02, 80/08 i 30/14); Uredba o djelokrugu, sadržaju i nositelju poslova certificiranja elektroničkih potpisa za tijela državne uprave (NN 146/04)</w:t>
      </w:r>
    </w:p>
    <w:p w:rsidR="005C2091" w:rsidRDefault="00A86293">
      <w:pPr>
        <w:pStyle w:val="Heading8"/>
        <w:jc w:val="left"/>
      </w:pPr>
      <w:r>
        <w:t>Opis aktivnosti</w:t>
      </w:r>
    </w:p>
    <w:p w:rsidR="005C2091" w:rsidRDefault="00A86293">
      <w:r>
        <w:t>U okviru ove aktivnosti isplaćeno je FINA-i; Vođenje, tehničko i informatičko održavanje sustava podrške i Evidencije davatelja usluga certificiranja u RH; Vođenje, tehničko i informatičko održavanje web stranica Evidencije davatelja usluga certificiranja u RH; Izrada naprednog elektroničkog potpisa i izdavanje naprednog vremenskog žiga za Evidenciju davatelja usluga certificiranja u RH; Izrada i objava strukturiranog obrasca i sadržaja prijave za upis i prijave za upis promjena u Evidenciju, uz tehnološko rješenje kojim se osigurava pristup sadržaja kroz elektroničku komunikacijsku mrežu; Izdavanje certifikata za elektronički potpis Pouzdanog popisa (eng. Trusted List)</w:t>
      </w:r>
    </w:p>
    <w:p w:rsidR="005C2091" w:rsidRDefault="00A86293">
      <w:pPr>
        <w:pStyle w:val="Heading4"/>
      </w:pPr>
      <w:r>
        <w:t>A822035 RAZVOJ UNUTARNJEG TRŽIŠTA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A822035-RAZVOJ UNUTARNJEG TRŽIŠTA</w:t>
            </w:r>
          </w:p>
        </w:tc>
        <w:tc>
          <w:tcPr>
            <w:tcW w:w="2041" w:type="dxa"/>
          </w:tcPr>
          <w:p w:rsidR="005C2091" w:rsidRDefault="00A86293">
            <w:pPr>
              <w:pStyle w:val="CellColumn"/>
              <w:jc w:val="right"/>
            </w:pPr>
            <w:r>
              <w:rPr>
                <w:rFonts w:cs="Times New Roman"/>
              </w:rPr>
              <w:t>604.438</w:t>
            </w:r>
          </w:p>
        </w:tc>
        <w:tc>
          <w:tcPr>
            <w:tcW w:w="2041" w:type="dxa"/>
          </w:tcPr>
          <w:p w:rsidR="005C2091" w:rsidRDefault="00A86293">
            <w:pPr>
              <w:pStyle w:val="CellColumn"/>
              <w:jc w:val="right"/>
            </w:pPr>
            <w:r>
              <w:rPr>
                <w:rFonts w:cs="Times New Roman"/>
              </w:rPr>
              <w:t>801.000</w:t>
            </w:r>
          </w:p>
        </w:tc>
        <w:tc>
          <w:tcPr>
            <w:tcW w:w="2041" w:type="dxa"/>
          </w:tcPr>
          <w:p w:rsidR="005C2091" w:rsidRDefault="00A86293">
            <w:pPr>
              <w:pStyle w:val="CellColumn"/>
              <w:jc w:val="right"/>
            </w:pPr>
            <w:r>
              <w:rPr>
                <w:rFonts w:cs="Times New Roman"/>
              </w:rPr>
              <w:t>68.001</w:t>
            </w:r>
          </w:p>
        </w:tc>
        <w:tc>
          <w:tcPr>
            <w:tcW w:w="1224" w:type="dxa"/>
          </w:tcPr>
          <w:p w:rsidR="005C2091" w:rsidRDefault="00A86293">
            <w:pPr>
              <w:pStyle w:val="CellColumn"/>
              <w:jc w:val="right"/>
            </w:pPr>
            <w:r>
              <w:rPr>
                <w:rFonts w:cs="Times New Roman"/>
              </w:rPr>
              <w:t>8,5</w:t>
            </w:r>
          </w:p>
        </w:tc>
        <w:tc>
          <w:tcPr>
            <w:tcW w:w="1224" w:type="dxa"/>
          </w:tcPr>
          <w:p w:rsidR="005C2091" w:rsidRDefault="00A86293">
            <w:pPr>
              <w:pStyle w:val="CellColumn"/>
              <w:jc w:val="right"/>
            </w:pPr>
            <w:r>
              <w:rPr>
                <w:rFonts w:cs="Times New Roman"/>
              </w:rPr>
              <w:t>11,3</w:t>
            </w:r>
          </w:p>
        </w:tc>
      </w:tr>
    </w:tbl>
    <w:p w:rsidR="005C2091" w:rsidRDefault="005C2091">
      <w:pPr>
        <w:jc w:val="left"/>
      </w:pPr>
    </w:p>
    <w:p w:rsidR="005C2091" w:rsidRDefault="00A86293">
      <w:pPr>
        <w:pStyle w:val="Heading8"/>
        <w:jc w:val="left"/>
      </w:pPr>
      <w:r>
        <w:t>Zakonske i druge pravne osnove</w:t>
      </w:r>
    </w:p>
    <w:p w:rsidR="005C2091" w:rsidRDefault="00A86293">
      <w:r>
        <w:t>Zakon o općoj sigurnosti proizvoda (NN30/09, 139/10 i 14/14); Zakon o elektroničkoj trgovini (NN 173/03, 67/08, 36/09, 130/11 i 30/14); Zakon o elektroničnom potpisu (NN 10/02, 80/08 i 30/14); Uredba o djelokrugu, sadržaju i nositelju poslova certificiranja elektroničkih potpisa za tijela državne uprave (NN 146/04)</w:t>
      </w:r>
    </w:p>
    <w:p w:rsidR="005C2091" w:rsidRDefault="00A86293">
      <w:pPr>
        <w:pStyle w:val="Heading8"/>
        <w:jc w:val="left"/>
      </w:pPr>
      <w:r>
        <w:t>Opis aktivnosti</w:t>
      </w:r>
    </w:p>
    <w:p w:rsidR="005C2091" w:rsidRDefault="00A86293">
      <w:r>
        <w:t xml:space="preserve">U okviru ove aktivnosti isplaćeno  je  održavanje internet stranice te hosting (smještaj stranice na serveru) za internetski portal Centar unutarnjeg tržišta EU - www.cut.hr, koji na jednom mjestu objedinjava sve EU kontakte točke i servise uspostavljene u Hrvatskoj. Domenu portala je CARNet besplatno ustupio Ministarstvu. Također, </w:t>
      </w:r>
      <w:r>
        <w:lastRenderedPageBreak/>
        <w:t>kako bi se javnost upoznala s funkcioniranjem Centra i novitetima s područja unutarnjeg tržišta EU-a, potrebno je kontinuirano provoditi promidžbene aktivnosti i osigurati adekvatnu količinu promidžbenih materijala.</w:t>
      </w:r>
    </w:p>
    <w:p w:rsidR="005C2091" w:rsidRDefault="00A86293">
      <w:pPr>
        <w:pStyle w:val="Heading4"/>
      </w:pPr>
      <w:r>
        <w:t>K822056 EUROPSKI POTROŠAČKI CENTAR HRVATSKA (ECC-NET)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K822056-EUROPSKI POTROŠAČKI CENTAR HRVATSKA (ECC-NET)</w:t>
            </w:r>
          </w:p>
        </w:tc>
        <w:tc>
          <w:tcPr>
            <w:tcW w:w="2041" w:type="dxa"/>
          </w:tcPr>
          <w:p w:rsidR="005C2091" w:rsidRDefault="00A86293">
            <w:pPr>
              <w:pStyle w:val="CellColumn"/>
              <w:jc w:val="right"/>
            </w:pPr>
            <w:r>
              <w:rPr>
                <w:rFonts w:cs="Times New Roman"/>
              </w:rPr>
              <w:t>186.317</w:t>
            </w:r>
          </w:p>
        </w:tc>
        <w:tc>
          <w:tcPr>
            <w:tcW w:w="2041" w:type="dxa"/>
          </w:tcPr>
          <w:p w:rsidR="005C2091" w:rsidRDefault="00A86293">
            <w:pPr>
              <w:pStyle w:val="CellColumn"/>
              <w:jc w:val="right"/>
            </w:pPr>
            <w:r>
              <w:rPr>
                <w:rFonts w:cs="Times New Roman"/>
              </w:rPr>
              <w:t>665.000</w:t>
            </w:r>
          </w:p>
        </w:tc>
        <w:tc>
          <w:tcPr>
            <w:tcW w:w="2041" w:type="dxa"/>
          </w:tcPr>
          <w:p w:rsidR="005C2091" w:rsidRDefault="00A86293">
            <w:pPr>
              <w:pStyle w:val="CellColumn"/>
              <w:jc w:val="right"/>
            </w:pPr>
            <w:r>
              <w:rPr>
                <w:rFonts w:cs="Times New Roman"/>
              </w:rPr>
              <w:t>276.125</w:t>
            </w:r>
          </w:p>
        </w:tc>
        <w:tc>
          <w:tcPr>
            <w:tcW w:w="1224" w:type="dxa"/>
          </w:tcPr>
          <w:p w:rsidR="005C2091" w:rsidRDefault="00A86293">
            <w:pPr>
              <w:pStyle w:val="CellColumn"/>
              <w:jc w:val="right"/>
            </w:pPr>
            <w:r>
              <w:rPr>
                <w:rFonts w:cs="Times New Roman"/>
              </w:rPr>
              <w:t>41,5</w:t>
            </w:r>
          </w:p>
        </w:tc>
        <w:tc>
          <w:tcPr>
            <w:tcW w:w="1224" w:type="dxa"/>
          </w:tcPr>
          <w:p w:rsidR="005C2091" w:rsidRDefault="00A86293">
            <w:pPr>
              <w:pStyle w:val="CellColumn"/>
              <w:jc w:val="right"/>
            </w:pPr>
            <w:r>
              <w:rPr>
                <w:rFonts w:cs="Times New Roman"/>
              </w:rPr>
              <w:t>148,2</w:t>
            </w:r>
          </w:p>
        </w:tc>
      </w:tr>
    </w:tbl>
    <w:p w:rsidR="005C2091" w:rsidRDefault="005C2091">
      <w:pPr>
        <w:jc w:val="left"/>
      </w:pPr>
    </w:p>
    <w:p w:rsidR="005C2091" w:rsidRDefault="00A86293">
      <w:pPr>
        <w:pStyle w:val="Heading8"/>
        <w:jc w:val="left"/>
      </w:pPr>
      <w:r>
        <w:t>Zakonske i druge pravne osnove</w:t>
      </w:r>
    </w:p>
    <w:p w:rsidR="005C2091" w:rsidRDefault="00A86293">
      <w:r>
        <w:t>Zakon o zaštiti potrošača (NN41/14. i 110/15.); Nacionalni program zaštite potrošača za razdoblje od 2013. do 2016. godine (NN 90/2013)</w:t>
      </w:r>
    </w:p>
    <w:p w:rsidR="005C2091" w:rsidRDefault="00A86293">
      <w:pPr>
        <w:pStyle w:val="Heading8"/>
        <w:jc w:val="left"/>
      </w:pPr>
      <w:r>
        <w:t>Opis aktivnosti</w:t>
      </w:r>
    </w:p>
    <w:p w:rsidR="005C2091" w:rsidRDefault="00A86293">
      <w:r>
        <w:t>U okviru ove aktivnosti financira se Europski potrošački centar Hrvatska, bavi se savjetovanjem i rješavanjem pritužbi potrošača prilikom prekogranične trgovine usluga i dobara na području Europske unije uključujući Island i Norvešku. Europski potrošački centar Hrvatska dio je Mreže Europskih potrošačkih centara koji se nalaze u svakoj državi članici. Rad Europskog potrošačkog centra Hrvatska u 2016. godini sufinanciran je od Europske komisije u omjeru 62:38. Kako bi se ostvarilo pravo na financijska sredstva od Europske unije, izrađuje se detaljni radni program na godišnjoj bazi. Navedeni radni program predaje se Europskoj komisiji na kraju svake godine te na temelju njega dobiju se financijska sredstva Europske unije za nadolazeću godinu. Preostali neutrošeni financijski iznos Plana za 2016. godinu, namijenjen je za podmirenje plaća službenika koji rade na poslovima Europskog potrošačkog centra, te su ujedno i navedeni u Financijskom ugovoru s Europskom komisijom.</w:t>
      </w:r>
    </w:p>
    <w:p w:rsidR="005C2091" w:rsidRDefault="00A86293">
      <w:pPr>
        <w:pStyle w:val="Heading3"/>
      </w:pPr>
      <w:r>
        <w:rPr>
          <w:rFonts w:cs="Times New Roman"/>
        </w:rPr>
        <w:t>3216 JAČANJE KONKURENTNOSTI GOSPODARSTVA POTICANJEM INVESTICIJA I UČINKOVITIM KORIŠTENJEM EU SREDSTAVA</w:t>
      </w:r>
    </w:p>
    <w:tbl>
      <w:tblPr>
        <w:tblStyle w:val="StilTablice"/>
        <w:tblW w:w="10206" w:type="dxa"/>
        <w:jc w:val="center"/>
        <w:tblLook w:val="04A0" w:firstRow="1" w:lastRow="0" w:firstColumn="1" w:lastColumn="0" w:noHBand="0" w:noVBand="1"/>
      </w:tblPr>
      <w:tblGrid>
        <w:gridCol w:w="1949"/>
        <w:gridCol w:w="1943"/>
        <w:gridCol w:w="1953"/>
        <w:gridCol w:w="1953"/>
        <w:gridCol w:w="1199"/>
        <w:gridCol w:w="1209"/>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3216-JAČANJE KONKURENTNOSTI GOSPODARSTVA POTICANJEM INVESTICIJA I UČINKOVITIM KORIŠTENJEM EU SREDSTAVA</w:t>
            </w:r>
          </w:p>
        </w:tc>
        <w:tc>
          <w:tcPr>
            <w:tcW w:w="2041" w:type="dxa"/>
          </w:tcPr>
          <w:p w:rsidR="005C2091" w:rsidRDefault="00A86293">
            <w:pPr>
              <w:pStyle w:val="CellColumn"/>
              <w:jc w:val="right"/>
            </w:pPr>
            <w:r>
              <w:rPr>
                <w:rFonts w:cs="Times New Roman"/>
              </w:rPr>
              <w:t>11.126.699</w:t>
            </w:r>
          </w:p>
        </w:tc>
        <w:tc>
          <w:tcPr>
            <w:tcW w:w="2041" w:type="dxa"/>
          </w:tcPr>
          <w:p w:rsidR="005C2091" w:rsidRDefault="00A86293">
            <w:pPr>
              <w:pStyle w:val="CellColumn"/>
              <w:jc w:val="right"/>
            </w:pPr>
            <w:r>
              <w:rPr>
                <w:rFonts w:cs="Times New Roman"/>
              </w:rPr>
              <w:t>321.846.271</w:t>
            </w:r>
          </w:p>
        </w:tc>
        <w:tc>
          <w:tcPr>
            <w:tcW w:w="2041" w:type="dxa"/>
          </w:tcPr>
          <w:p w:rsidR="005C2091" w:rsidRDefault="00A86293">
            <w:pPr>
              <w:pStyle w:val="CellColumn"/>
              <w:jc w:val="right"/>
            </w:pPr>
            <w:r>
              <w:rPr>
                <w:rFonts w:cs="Times New Roman"/>
              </w:rPr>
              <w:t>189.628.700</w:t>
            </w:r>
          </w:p>
        </w:tc>
        <w:tc>
          <w:tcPr>
            <w:tcW w:w="1224" w:type="dxa"/>
          </w:tcPr>
          <w:p w:rsidR="005C2091" w:rsidRDefault="00A86293">
            <w:pPr>
              <w:pStyle w:val="CellColumn"/>
              <w:jc w:val="right"/>
            </w:pPr>
            <w:r>
              <w:rPr>
                <w:rFonts w:cs="Times New Roman"/>
              </w:rPr>
              <w:t>58,9</w:t>
            </w:r>
          </w:p>
        </w:tc>
        <w:tc>
          <w:tcPr>
            <w:tcW w:w="1224" w:type="dxa"/>
          </w:tcPr>
          <w:p w:rsidR="005C2091" w:rsidRDefault="00A86293">
            <w:pPr>
              <w:pStyle w:val="CellColumn"/>
              <w:jc w:val="right"/>
            </w:pPr>
            <w:r>
              <w:rPr>
                <w:rFonts w:cs="Times New Roman"/>
              </w:rPr>
              <w:t>1704,3</w:t>
            </w:r>
          </w:p>
        </w:tc>
      </w:tr>
    </w:tbl>
    <w:p w:rsidR="005C2091" w:rsidRDefault="005C2091">
      <w:pPr>
        <w:jc w:val="left"/>
      </w:pPr>
    </w:p>
    <w:p w:rsidR="005C2091" w:rsidRDefault="00A86293">
      <w:r>
        <w:t xml:space="preserve">U okviru programa Jačanje konkurentnosti gospodarstva poticanjem investicija učinkovitim korištenjem EU sredstava je »Operativni program Regionalna konkurentnost 2007-2013« i vezano uz osiguranje učinkovitog i efikasnog upravljanja Operativnim programom, razvijanje institucionalne  sposobnost za efikasno i efektivno upravljanje financijskim sredstvima u okviru Prioriteta 3 Tehnička pomoć, i »Operativni program Konkurentnost i kohezija 2014-2020« vezano uz Prioritetnu os 1.  Jačanje gospodarstva primjenom istraživanja i inovacija, specifične ciljeve 1b1 i 1b2, te za prioritetnu os 4. Promicanje energetske učinkovitosti i obnovljivih izvora energije, specifične ciljeve, 4b1, 4b2, 4c3, 4c4, 4d1 (za prioritetnu os 4. do trenutka osnivanja Ministarstva zaštite </w:t>
      </w:r>
      <w:r>
        <w:lastRenderedPageBreak/>
        <w:t>okoliša i energetike i prelaska specifičnih ciljeva 4b1, 4b2, 4c3, 4c4, 4d1 u njihovu nadležnost), koji se provode u sklopu Europskog fonda za regionalni razvoj (ERDF).</w:t>
      </w:r>
    </w:p>
    <w:p w:rsidR="005C2091" w:rsidRDefault="00A86293">
      <w:pPr>
        <w:pStyle w:val="Heading8"/>
        <w:jc w:val="left"/>
      </w:pPr>
      <w:r>
        <w:t>Cilj 1. Učinkovita provedba Operativnog programa Konkurentnost i kohezija 2014.- 2020.</w:t>
      </w:r>
    </w:p>
    <w:p w:rsidR="005C2091" w:rsidRDefault="00A86293">
      <w:pPr>
        <w:pStyle w:val="Heading8"/>
        <w:jc w:val="left"/>
      </w:pPr>
      <w:r>
        <w:t>Opis provedbe cilja programa</w:t>
      </w:r>
    </w:p>
    <w:p w:rsidR="005C2091" w:rsidRDefault="00A86293">
      <w:r>
        <w:t>U okviru ovog cilja provode se funkcije Posredničkog tijela razine 1 u okviru Operativnog programa Konkurentnost i kohezija 2014.-2020. za Prioritetnu os 1. Jačanje gospodarstva primjenom istraživanja i inovacija, specifične ciljeve 1b1 i 1b2, za prioritetnu os 4. Promicanje energetske učinkovitosti i obnovljivih izvora energije, specifične ciljeve, 4b1, 4b2, 4c3, 4c4, 4d1 (do trenutka osnivanja Ministarstva zaštite okoliša i energetike i prelaska specifičnih ciljeva 4b1, 4b2, 4c3, 4c4, 4d1 u njihovu nadležnost ), te za Prioritetnu os 10 Tehnička pomoć koji se provode u sklopu Europskog fonda za regionalni razvoj (ERDF).</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Iskorištenost alociranih sredstava</w:t>
            </w:r>
          </w:p>
        </w:tc>
        <w:tc>
          <w:tcPr>
            <w:tcW w:w="2551" w:type="dxa"/>
          </w:tcPr>
          <w:p w:rsidR="005C2091" w:rsidRDefault="00A86293">
            <w:pPr>
              <w:pStyle w:val="CellColumn"/>
              <w:jc w:val="left"/>
            </w:pPr>
            <w:r>
              <w:rPr>
                <w:rFonts w:cs="Times New Roman"/>
              </w:rPr>
              <w:t>Postotak iskorištenosti alociranih sredstava za funkcije Posredničkog tijela razine 1 za prioritenu os 1 OPKK 2014.-2020.</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MIS</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30,6</w:t>
            </w:r>
          </w:p>
        </w:tc>
      </w:tr>
    </w:tbl>
    <w:p w:rsidR="005C2091" w:rsidRDefault="005C2091">
      <w:pPr>
        <w:jc w:val="left"/>
      </w:pPr>
    </w:p>
    <w:p w:rsidR="005C2091" w:rsidRDefault="00A86293">
      <w:pPr>
        <w:pStyle w:val="Heading4"/>
      </w:pPr>
      <w:r>
        <w:t>A817066 FOND SOLIDARNOSTI EUROPSKE UNIJE (EUSF)</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A817066-FOND SOLIDARNOSTI EUROPSKE UNIJE (EUSF)</w:t>
            </w:r>
          </w:p>
        </w:tc>
        <w:tc>
          <w:tcPr>
            <w:tcW w:w="2041" w:type="dxa"/>
          </w:tcPr>
          <w:p w:rsidR="005C2091" w:rsidRDefault="00A86293">
            <w:pPr>
              <w:pStyle w:val="CellColumn"/>
              <w:jc w:val="right"/>
            </w:pPr>
            <w:r>
              <w:rPr>
                <w:rFonts w:cs="Times New Roman"/>
              </w:rPr>
              <w:t>7.078.218</w:t>
            </w:r>
          </w:p>
        </w:tc>
        <w:tc>
          <w:tcPr>
            <w:tcW w:w="2041" w:type="dxa"/>
          </w:tcPr>
          <w:p w:rsidR="005C2091" w:rsidRDefault="00A86293">
            <w:pPr>
              <w:pStyle w:val="CellColumn"/>
              <w:jc w:val="right"/>
            </w:pPr>
            <w:r>
              <w:rPr>
                <w:rFonts w:cs="Times New Roman"/>
              </w:rPr>
              <w:t>127.307.786</w:t>
            </w:r>
          </w:p>
        </w:tc>
        <w:tc>
          <w:tcPr>
            <w:tcW w:w="2041" w:type="dxa"/>
          </w:tcPr>
          <w:p w:rsidR="005C2091" w:rsidRDefault="00A86293">
            <w:pPr>
              <w:pStyle w:val="CellColumn"/>
              <w:jc w:val="right"/>
            </w:pPr>
            <w:r>
              <w:rPr>
                <w:rFonts w:cs="Times New Roman"/>
              </w:rPr>
              <w:t>104.442.557</w:t>
            </w:r>
          </w:p>
        </w:tc>
        <w:tc>
          <w:tcPr>
            <w:tcW w:w="1224" w:type="dxa"/>
          </w:tcPr>
          <w:p w:rsidR="005C2091" w:rsidRDefault="00A86293">
            <w:pPr>
              <w:pStyle w:val="CellColumn"/>
              <w:jc w:val="right"/>
            </w:pPr>
            <w:r>
              <w:rPr>
                <w:rFonts w:cs="Times New Roman"/>
              </w:rPr>
              <w:t>82,0</w:t>
            </w:r>
          </w:p>
        </w:tc>
        <w:tc>
          <w:tcPr>
            <w:tcW w:w="1224" w:type="dxa"/>
          </w:tcPr>
          <w:p w:rsidR="005C2091" w:rsidRDefault="00A86293">
            <w:pPr>
              <w:pStyle w:val="CellColumn"/>
              <w:jc w:val="right"/>
            </w:pPr>
            <w:r>
              <w:rPr>
                <w:rFonts w:cs="Times New Roman"/>
              </w:rPr>
              <w:t>1475,5</w:t>
            </w:r>
          </w:p>
        </w:tc>
      </w:tr>
    </w:tbl>
    <w:p w:rsidR="005C2091" w:rsidRDefault="005C2091">
      <w:pPr>
        <w:jc w:val="left"/>
      </w:pPr>
    </w:p>
    <w:p w:rsidR="005C2091" w:rsidRDefault="00A86293">
      <w:pPr>
        <w:pStyle w:val="Heading8"/>
        <w:jc w:val="left"/>
      </w:pPr>
      <w:r>
        <w:t>Zakonske i druge pravne osnove</w:t>
      </w:r>
    </w:p>
    <w:p w:rsidR="005C2091" w:rsidRDefault="00A86293">
      <w:r>
        <w:t>Uredba Vijeća (EZ) br. 2012/2002 od 11. studenoga 2002. o osnivanju Fonda solidarnosti Europske unije; Uredba (EU) br. 661/2014 Europskog parlamenta i Vijeća od 15. svibnja 2014. o izmjeni Uredbe Vijeća (EZ) br. 2012/2002 o osnivanju Fonda solidarnosti Europske unije; Uredba (EU, Euratom) br. 547/2014 Europskog parlamenta i Vijeća od 15. svibnja 2014. o izmjeni Uredba (EU, Euratom) br. 966/2012 o financijskim pravilima koja se primjenjuju na opći proračun Unije; Provedbena odluka Komisije оd 23.3.2015. o dodjeli financijskog doprinosa iz Fonda solidarnosti Europske unije za financiranje hitnih operacija i operacija oporavka nakon katastrofe uzrokovane tučom i poplavama u Hrvatskoj - CCI 2014HR16SPO001 i Provedbena odluka Komisije оd 23.3.2015. o dodjeli financijskog doprinosa iz Fonda solidarnosti Europske unije za financiranje hitnih operacija i operacija oporavka nakon katastrofe uzrokovane poplavom u Hrvatskoj - 2014HR16SPO002.</w:t>
      </w:r>
    </w:p>
    <w:p w:rsidR="005C2091" w:rsidRDefault="00A86293">
      <w:pPr>
        <w:pStyle w:val="Heading8"/>
        <w:jc w:val="left"/>
      </w:pPr>
      <w:r>
        <w:t>Opis aktivnosti</w:t>
      </w:r>
    </w:p>
    <w:p w:rsidR="005C2091" w:rsidRDefault="00A86293">
      <w:r>
        <w:t xml:space="preserve">Sredstva Europskog fonda solidarnosti isplaćena su za saniranje šteta elementarnih nepogoda koje su u prvoj polovici 2014. godine pogodile Republiku Hrvatsku (led i poplave u siječnju 2014. godine, te poplave u svibnju 2014. godine). Ministarstvo gospodarstva je pripremilo i podnijelo Europskoj komisiji dvije službene prijave Republike Hrvatske za dodjelu bespovratnih financijskih sredstava iz Fonda solidarnosti Europske unije.                                                         </w:t>
      </w:r>
    </w:p>
    <w:p w:rsidR="005C2091" w:rsidRDefault="00A86293">
      <w:r>
        <w:t xml:space="preserve">U okviru ove aktivnosti tijekom 2016. godine isplaćeno je ukupno 104.442.557,00 kn prijaviteljima štete (siječanj/veljača i svibanj) i izvršeno je preknjiženje sredstava na iznos 22.865.228,58 kn prijaviteljima štete koji su proračunski korisnici (Državna uprava za zaštitu i spašavanje, Ministarstvo obrane, Ministarstvo graditeljstva i </w:t>
      </w:r>
      <w:r>
        <w:lastRenderedPageBreak/>
        <w:t>prostornoga uređenja, Ministarstvo socijalne politike i mladih, Ministarstvo gospodarstva, poduzetništva i obrta – Ravnateljstvo za robne zalihe, Ministarstvo zdravlja i Ministarstvo znanosti, obrazovanja i sporta).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MSP-a koji su primili potporu</w:t>
            </w:r>
          </w:p>
        </w:tc>
        <w:tc>
          <w:tcPr>
            <w:tcW w:w="2551" w:type="dxa"/>
          </w:tcPr>
          <w:p w:rsidR="005C2091" w:rsidRDefault="00A86293">
            <w:pPr>
              <w:pStyle w:val="CellColumn"/>
              <w:jc w:val="left"/>
            </w:pPr>
            <w:r>
              <w:rPr>
                <w:rFonts w:cs="Times New Roman"/>
              </w:rPr>
              <w:t>Zbroj poduzeća koja primaju potporu  u oblicima nepovratne izravne financijske potpore uvjetovane samo završetkom projekta (bespovratna sredstva).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81</w:t>
            </w:r>
          </w:p>
        </w:tc>
        <w:tc>
          <w:tcPr>
            <w:tcW w:w="1020" w:type="dxa"/>
          </w:tcPr>
          <w:p w:rsidR="005C2091" w:rsidRDefault="00A86293">
            <w:pPr>
              <w:pStyle w:val="CellColumn"/>
              <w:jc w:val="right"/>
            </w:pPr>
            <w:r>
              <w:rPr>
                <w:rFonts w:cs="Times New Roman"/>
              </w:rPr>
              <w:t>Izvješća o provedbi projekta</w:t>
            </w:r>
          </w:p>
        </w:tc>
        <w:tc>
          <w:tcPr>
            <w:tcW w:w="1020" w:type="dxa"/>
          </w:tcPr>
          <w:p w:rsidR="005C2091" w:rsidRDefault="00A86293">
            <w:pPr>
              <w:pStyle w:val="CellColumn"/>
              <w:jc w:val="right"/>
            </w:pPr>
            <w:r>
              <w:rPr>
                <w:rFonts w:cs="Times New Roman"/>
              </w:rPr>
              <w:t>283</w:t>
            </w:r>
          </w:p>
        </w:tc>
        <w:tc>
          <w:tcPr>
            <w:tcW w:w="1020" w:type="dxa"/>
          </w:tcPr>
          <w:p w:rsidR="005C2091" w:rsidRDefault="00A86293">
            <w:pPr>
              <w:pStyle w:val="CellColumn"/>
              <w:jc w:val="right"/>
            </w:pPr>
            <w:r>
              <w:rPr>
                <w:rFonts w:cs="Times New Roman"/>
              </w:rPr>
              <w:t>199</w:t>
            </w:r>
          </w:p>
        </w:tc>
      </w:tr>
      <w:tr w:rsidR="005C2091">
        <w:trPr>
          <w:jc w:val="center"/>
        </w:trPr>
        <w:tc>
          <w:tcPr>
            <w:tcW w:w="2551" w:type="dxa"/>
          </w:tcPr>
          <w:p w:rsidR="005C2091" w:rsidRDefault="00A86293">
            <w:pPr>
              <w:pStyle w:val="CellColumn"/>
              <w:jc w:val="left"/>
            </w:pPr>
            <w:r>
              <w:rPr>
                <w:rFonts w:cs="Times New Roman"/>
              </w:rPr>
              <w:t>Objavljeni pozivi za dodjelu bespovratnih sredstava</w:t>
            </w:r>
          </w:p>
        </w:tc>
        <w:tc>
          <w:tcPr>
            <w:tcW w:w="2551" w:type="dxa"/>
          </w:tcPr>
          <w:p w:rsidR="005C2091" w:rsidRDefault="00A86293">
            <w:pPr>
              <w:pStyle w:val="CellColumn"/>
              <w:jc w:val="left"/>
            </w:pPr>
            <w:r>
              <w:rPr>
                <w:rFonts w:cs="Times New Roman"/>
              </w:rPr>
              <w:t>Objavljeni pozivi za dodjelu bespovratnih sredstava za strateške projekte IRI i CEKOM</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MIS</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3</w:t>
            </w:r>
          </w:p>
        </w:tc>
      </w:tr>
      <w:tr w:rsidR="005C2091">
        <w:trPr>
          <w:jc w:val="center"/>
        </w:trPr>
        <w:tc>
          <w:tcPr>
            <w:tcW w:w="2551" w:type="dxa"/>
          </w:tcPr>
          <w:p w:rsidR="005C2091" w:rsidRDefault="00A86293">
            <w:pPr>
              <w:pStyle w:val="CellColumn"/>
              <w:jc w:val="left"/>
            </w:pPr>
            <w:r>
              <w:rPr>
                <w:rFonts w:cs="Times New Roman"/>
              </w:rPr>
              <w:t>Sklopljeni ugovori za dodjelu bespovratnih sredstava</w:t>
            </w:r>
          </w:p>
        </w:tc>
        <w:tc>
          <w:tcPr>
            <w:tcW w:w="2551" w:type="dxa"/>
          </w:tcPr>
          <w:p w:rsidR="005C2091" w:rsidRDefault="00A86293">
            <w:pPr>
              <w:pStyle w:val="CellColumn"/>
              <w:jc w:val="left"/>
            </w:pPr>
            <w:r>
              <w:rPr>
                <w:rFonts w:cs="Times New Roman"/>
              </w:rPr>
              <w:t>Sklopljeni ugovori za dodjelu bespovratnih sredstava za strateški projekt IRI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MIS</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2</w:t>
            </w:r>
          </w:p>
        </w:tc>
      </w:tr>
      <w:tr w:rsidR="005C2091">
        <w:trPr>
          <w:jc w:val="center"/>
        </w:trPr>
        <w:tc>
          <w:tcPr>
            <w:tcW w:w="2551" w:type="dxa"/>
          </w:tcPr>
          <w:p w:rsidR="005C2091" w:rsidRDefault="00A86293">
            <w:pPr>
              <w:pStyle w:val="CellColumn"/>
              <w:jc w:val="left"/>
            </w:pPr>
            <w:r>
              <w:rPr>
                <w:rFonts w:cs="Times New Roman"/>
              </w:rPr>
              <w:t>Iskorištenost alociranih sredstava za Strateške projekte (korisnik ministarstvo)</w:t>
            </w:r>
          </w:p>
        </w:tc>
        <w:tc>
          <w:tcPr>
            <w:tcW w:w="2551" w:type="dxa"/>
          </w:tcPr>
          <w:p w:rsidR="005C2091" w:rsidRDefault="00A86293">
            <w:pPr>
              <w:pStyle w:val="CellColumn"/>
              <w:jc w:val="left"/>
            </w:pPr>
            <w:r>
              <w:rPr>
                <w:rFonts w:cs="Times New Roman"/>
              </w:rPr>
              <w:t>Postotak iskorištenosti alociranih sredstava za Strateške projekte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MIS</w:t>
            </w:r>
          </w:p>
        </w:tc>
        <w:tc>
          <w:tcPr>
            <w:tcW w:w="1020" w:type="dxa"/>
          </w:tcPr>
          <w:p w:rsidR="005C2091" w:rsidRDefault="00A86293">
            <w:pPr>
              <w:pStyle w:val="CellColumn"/>
              <w:jc w:val="right"/>
            </w:pPr>
            <w:r>
              <w:rPr>
                <w:rFonts w:cs="Times New Roman"/>
              </w:rPr>
              <w:t>25</w:t>
            </w:r>
          </w:p>
        </w:tc>
        <w:tc>
          <w:tcPr>
            <w:tcW w:w="1020" w:type="dxa"/>
          </w:tcPr>
          <w:p w:rsidR="005C2091" w:rsidRDefault="00A86293">
            <w:pPr>
              <w:pStyle w:val="CellColumn"/>
              <w:jc w:val="right"/>
            </w:pPr>
            <w:r>
              <w:rPr>
                <w:rFonts w:cs="Times New Roman"/>
              </w:rPr>
              <w:t>11,78</w:t>
            </w:r>
          </w:p>
        </w:tc>
      </w:tr>
      <w:tr w:rsidR="005C2091">
        <w:trPr>
          <w:jc w:val="center"/>
        </w:trPr>
        <w:tc>
          <w:tcPr>
            <w:tcW w:w="2551" w:type="dxa"/>
          </w:tcPr>
          <w:p w:rsidR="005C2091" w:rsidRDefault="00A86293">
            <w:pPr>
              <w:pStyle w:val="CellColumn"/>
              <w:jc w:val="left"/>
            </w:pPr>
            <w:r>
              <w:rPr>
                <w:rFonts w:cs="Times New Roman"/>
              </w:rPr>
              <w:t>Iskorištenost alociranih sredstava za tehničku pomoć</w:t>
            </w:r>
          </w:p>
        </w:tc>
        <w:tc>
          <w:tcPr>
            <w:tcW w:w="2551" w:type="dxa"/>
          </w:tcPr>
          <w:p w:rsidR="005C2091" w:rsidRDefault="00A86293">
            <w:pPr>
              <w:pStyle w:val="CellColumn"/>
              <w:jc w:val="left"/>
            </w:pPr>
            <w:r>
              <w:rPr>
                <w:rFonts w:cs="Times New Roman"/>
              </w:rPr>
              <w:t>Postotak iskorištenosti alociranih sredstava tehničke pomoći  za funkcije Posredničkog tijela razine 1 za prioritenu os 1 OPKK 2014.-2020</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MIS</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22,5</w:t>
            </w:r>
          </w:p>
        </w:tc>
      </w:tr>
    </w:tbl>
    <w:p w:rsidR="005C2091" w:rsidRDefault="005C2091">
      <w:pPr>
        <w:jc w:val="left"/>
      </w:pPr>
    </w:p>
    <w:p w:rsidR="005C2091" w:rsidRDefault="00A86293">
      <w:pPr>
        <w:pStyle w:val="Heading4"/>
      </w:pPr>
      <w:r>
        <w:t>K817068 OP KONKURENTNOST I KOHEZIJA 2014.-2020.</w:t>
      </w:r>
    </w:p>
    <w:tbl>
      <w:tblPr>
        <w:tblStyle w:val="StilTablice"/>
        <w:tblW w:w="10206" w:type="dxa"/>
        <w:jc w:val="center"/>
        <w:tblLook w:val="04A0" w:firstRow="1" w:lastRow="0" w:firstColumn="1" w:lastColumn="0" w:noHBand="0" w:noVBand="1"/>
      </w:tblPr>
      <w:tblGrid>
        <w:gridCol w:w="1881"/>
        <w:gridCol w:w="1961"/>
        <w:gridCol w:w="1976"/>
        <w:gridCol w:w="196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K817068-OP KONKURENTNOST I KOHEZIJA 2014.-2020.</w:t>
            </w:r>
          </w:p>
        </w:tc>
        <w:tc>
          <w:tcPr>
            <w:tcW w:w="2041" w:type="dxa"/>
          </w:tcPr>
          <w:p w:rsidR="005C2091" w:rsidRDefault="00A86293">
            <w:pPr>
              <w:pStyle w:val="CellColumn"/>
              <w:jc w:val="right"/>
            </w:pPr>
            <w:r>
              <w:rPr>
                <w:rFonts w:cs="Times New Roman"/>
              </w:rPr>
              <w:t>3.572.236</w:t>
            </w:r>
          </w:p>
        </w:tc>
        <w:tc>
          <w:tcPr>
            <w:tcW w:w="2041" w:type="dxa"/>
          </w:tcPr>
          <w:p w:rsidR="005C2091" w:rsidRDefault="00A86293">
            <w:pPr>
              <w:pStyle w:val="CellColumn"/>
              <w:jc w:val="right"/>
            </w:pPr>
            <w:r>
              <w:rPr>
                <w:rFonts w:cs="Times New Roman"/>
              </w:rPr>
              <w:t>194.398.485</w:t>
            </w:r>
          </w:p>
        </w:tc>
        <w:tc>
          <w:tcPr>
            <w:tcW w:w="2041" w:type="dxa"/>
          </w:tcPr>
          <w:p w:rsidR="005C2091" w:rsidRDefault="00A86293">
            <w:pPr>
              <w:pStyle w:val="CellColumn"/>
              <w:jc w:val="right"/>
            </w:pPr>
            <w:r>
              <w:rPr>
                <w:rFonts w:cs="Times New Roman"/>
              </w:rPr>
              <w:t>85.060.621</w:t>
            </w:r>
          </w:p>
        </w:tc>
        <w:tc>
          <w:tcPr>
            <w:tcW w:w="1224" w:type="dxa"/>
          </w:tcPr>
          <w:p w:rsidR="005C2091" w:rsidRDefault="00A86293">
            <w:pPr>
              <w:pStyle w:val="CellColumn"/>
              <w:jc w:val="right"/>
            </w:pPr>
            <w:r>
              <w:rPr>
                <w:rFonts w:cs="Times New Roman"/>
              </w:rPr>
              <w:t>43,8</w:t>
            </w:r>
          </w:p>
        </w:tc>
        <w:tc>
          <w:tcPr>
            <w:tcW w:w="1224" w:type="dxa"/>
          </w:tcPr>
          <w:p w:rsidR="005C2091" w:rsidRDefault="00A86293">
            <w:pPr>
              <w:pStyle w:val="CellColumn"/>
              <w:jc w:val="right"/>
            </w:pPr>
            <w:r>
              <w:rPr>
                <w:rFonts w:cs="Times New Roman"/>
              </w:rPr>
              <w:t>2381,2</w:t>
            </w:r>
          </w:p>
        </w:tc>
      </w:tr>
    </w:tbl>
    <w:p w:rsidR="005C2091" w:rsidRDefault="005C2091">
      <w:pPr>
        <w:jc w:val="left"/>
      </w:pPr>
    </w:p>
    <w:p w:rsidR="005C2091" w:rsidRDefault="00A86293">
      <w:pPr>
        <w:pStyle w:val="Heading8"/>
        <w:jc w:val="left"/>
      </w:pPr>
      <w:r>
        <w:t>Zakonske i druge pravne osnove</w:t>
      </w:r>
    </w:p>
    <w:p w:rsidR="005C2091" w:rsidRDefault="00A86293">
      <w:r>
        <w:t xml:space="preserve">Sukladno Zakonu o uspostavi institucionalnog okvira za provedbu Europskih strukturnih i investicijskih fondova u RH u financijskom razdoblju 2014.-2020. (NN br. 92/14) i Uredbe o tijelima u sustavima upravljanja i kontrole korištenja Europskog socijalnog fonda, Europskog fonda za regionalni razvoj i Kohezijskog fonda, u vezi s ciljem "Ulaganje za rast i radna mjesta" (NN br. 107/2014, 23/15, 129/15) Ministarstvo je imenovano Posredničkim tijelom razine 1 za Prioritetnu os 3 Poslovna konkurentnost. </w:t>
      </w:r>
    </w:p>
    <w:p w:rsidR="005C2091" w:rsidRDefault="00A86293">
      <w:r>
        <w:t xml:space="preserve">Zakon o uspostavi institucionalnog okvira za provedbu Europskih strukturnih i investicijskih fondova u Republici Hrvatskoj u financijskom razdoblju 2014.-2020. godine (NN br. 92/2014) te Uredbe o tijelima u sustavima </w:t>
      </w:r>
      <w:r>
        <w:lastRenderedPageBreak/>
        <w:t xml:space="preserve">upravljanja i kontrole korištenja Europskog socijalnog fonda, Europskog fonda za regionalni razvoj i Kohezijskog fonda, u vezi s ciljem Ulaganje za rast i radna mjesta (NN br.107/2014, 23/2015, 129/2015, 15/2017) Pravilnik o prihvatljivosti izdataka (NN 143/2014) </w:t>
      </w:r>
    </w:p>
    <w:p w:rsidR="005C2091" w:rsidRDefault="00A86293">
      <w:r>
        <w:t xml:space="preserve">Program dodjele državnih potpora za povećanje razvoja novih proizvoda i usluga koji proizlaze iz aktivnosti istraživanja i razvoja stupio na snagu 7. travnja 2015. godine </w:t>
      </w:r>
    </w:p>
    <w:p w:rsidR="005C2091" w:rsidRDefault="00A86293">
      <w:r>
        <w:t>Program dodjele državnih potpora za razvoj Centara kompetencija koji je stupio na snagu 7. travnja 2015. godine.</w:t>
      </w:r>
    </w:p>
    <w:p w:rsidR="005C2091" w:rsidRDefault="00A86293">
      <w:pPr>
        <w:pStyle w:val="Heading8"/>
        <w:jc w:val="left"/>
      </w:pPr>
      <w:r>
        <w:t>Opis aktivnosti</w:t>
      </w:r>
    </w:p>
    <w:p w:rsidR="005C2091" w:rsidRDefault="00A86293">
      <w:r>
        <w:t xml:space="preserve">Sredstva iz aktivnosti namijenjena su za razvoj malog i srednjeg poduzetništva u Republici Hrvatskoj osigurana su kroz OPKiK, Prioritetna osi 3. „Poslovna konkurentnost“,  Investicijski prioriteti 3.a. „ Promicanje poduzetništva, posebno olakšavajući ekonomsko iskorištavanje novih ideja i poticanje stvaranja novih poduzeća, uključujući putem poslovnih inkubatora“  i 3.d. „Potpora stvaranju kapaciteta MSP-a za uključivanje u proces rasta na regionalnim, nacionalnim i međunarodnim tržištima i inovacijskim procesima“, a koristiti će se kroz velik broj različitih programa potpora. Također, planirana su sredstva iz Prioritetne osi 10 za projekt „Tehnička pomoć 2014.-2020.“ koji ima za cilj jačanje kapaciteta tijela u Sustavu upravljanja i kontrole ESI fondovima. Projekt se provodi s ciljem uspješnog upravljanja, praćenja i vrednovanja, učinkovitog iskorištavanja dodijeljenih sredstava i ostvarenja ciljanih rezultata te informiranja opće javnosti, medija, dionika i potencijalnih korisnika o mogućnostima financiranja i projektima financiranim iz fondova EU.  </w:t>
      </w:r>
    </w:p>
    <w:p w:rsidR="005C2091" w:rsidRDefault="00A86293">
      <w:r>
        <w:t xml:space="preserve">Od planiranih 132.035.985,00 kn za projekte iz Prioritetne osi 3 Poslovna konkurentnost, utrošeno je 63.390.114,61 kn, odnosno 48% planiranh sredstava. </w:t>
      </w:r>
    </w:p>
    <w:p w:rsidR="005C2091" w:rsidRDefault="00A86293">
      <w:r>
        <w:t xml:space="preserve">Razlozi zbog kojih je došlo do odstupanja se najvećim dijelom ogledaju u činjenici da je 218 Odluka o financiranju za projekt Poboljšanje konkurentnosti i učinkovitosti MSP u područjima s razvojnim posebnostima kroz informacijske i komunikacijske tehnologije (IKT) doneseno s 16.11.2016. godine, te su zbog administrativno-proceduralnih usklađenja nastalih zbog ustrojstva novog Ministarstva, Odluke o financiranju potpisane sa 30.11. i 01.12.2016. godine. Zbog navedenog nije bilo moguće do kraja 2016. godine pripremiti ugovore s korisnicima, u skladu s čime nije izvršena ni planirana isplata predujma prema korisnicima.  </w:t>
      </w:r>
    </w:p>
    <w:p w:rsidR="005C2091" w:rsidRDefault="00A86293">
      <w:r>
        <w:t xml:space="preserve">Također, odstupanja od plana su vezana uz projekt Izgradnja nove zgrade Regionalnog centra za razvoj poduzetničkih kompetencija zemalja jugoistočne Europe (SEECEL) – planirana je isplata sukladno procjeni mjesečnih situacija do kraja 2016. godine, no kako je zbog nelikvidnosti izvođača smanjen intenzitet radova, dio planiranih sredstava u konačnici nije bio izvršen.  </w:t>
      </w:r>
    </w:p>
    <w:p w:rsidR="005C2091" w:rsidRDefault="00A86293">
      <w:r>
        <w:t>U 2016. godini objavljen je otvoreni poziv na dostavu projektnih prijedloga za dodjelu bespovratnih sredstava za „Povećanje razvoja novih proizvoda i usluga koji proizlaze iz aktivnosti istraživanja i razvoja“ sukladno OPKK-u definirano je da će se bespovratna sredstava dodijeliti i putem ograničenog postupka za unaprijed odabrane prijavitelje (s modalitetom trajnog poziva) te su stoga kroz poziv za iskaz interesa za sudjelovanje u pred-odabiru (u daljnjem tekstu: Poziv za iskaz interesa) koji je objavljen dana 29. kolovoza 2016. godine u trajanju do 07. studenoga 2016. godine odabrani prijavitelji koji će imati pravo javljanja na Ograničeni poziv za dodjelu bespovratnih sredstava za Podršku razvoju Centara kompetencija a koji će biti objavljen u 2017. godini. Tijekom 2016. godine sklopljeni su ugovori broj KK.01.2.2.01.0001 – Strateški projekt za podršku inicijativa klastera na ukupni iznos bespovratnih sredstava 57.369.957,80 kn  i KK.01.2.2.02.0001 –Strateški projekt za podršku uspostavi Inovacijske mreže za industriju i tematski inovacijskih platformi na ukupni iznos bespovratnih sredstava 56.350.552,80 kn, ali nije se krenulo s isplatom.</w:t>
      </w:r>
    </w:p>
    <w:p w:rsidR="005C2091" w:rsidRDefault="00A86293">
      <w:pPr>
        <w:pStyle w:val="Heading3"/>
      </w:pPr>
      <w:r>
        <w:rPr>
          <w:rFonts w:cs="Times New Roman"/>
        </w:rPr>
        <w:t>3228 JAČANJE KONKURENTNOSTI MALOG I SREDNJEG PODUZETNIŠTVA</w:t>
      </w:r>
    </w:p>
    <w:tbl>
      <w:tblPr>
        <w:tblStyle w:val="StilTablice"/>
        <w:tblW w:w="10206" w:type="dxa"/>
        <w:jc w:val="center"/>
        <w:tblLook w:val="04A0" w:firstRow="1" w:lastRow="0" w:firstColumn="1" w:lastColumn="0" w:noHBand="0" w:noVBand="1"/>
      </w:tblPr>
      <w:tblGrid>
        <w:gridCol w:w="1948"/>
        <w:gridCol w:w="1936"/>
        <w:gridCol w:w="1960"/>
        <w:gridCol w:w="1951"/>
        <w:gridCol w:w="1201"/>
        <w:gridCol w:w="121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lastRenderedPageBreak/>
              <w:t>3228-JAČANJE KONKURENTNOSTI MALOG I SREDNJEG PODUZETNIŠTVA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118.616.111</w:t>
            </w:r>
          </w:p>
        </w:tc>
        <w:tc>
          <w:tcPr>
            <w:tcW w:w="2041" w:type="dxa"/>
          </w:tcPr>
          <w:p w:rsidR="005C2091" w:rsidRDefault="00A86293">
            <w:pPr>
              <w:pStyle w:val="CellColumn"/>
              <w:jc w:val="right"/>
            </w:pPr>
            <w:r>
              <w:rPr>
                <w:rFonts w:cs="Times New Roman"/>
              </w:rPr>
              <w:t>18.577.213</w:t>
            </w:r>
          </w:p>
        </w:tc>
        <w:tc>
          <w:tcPr>
            <w:tcW w:w="1224" w:type="dxa"/>
          </w:tcPr>
          <w:p w:rsidR="005C2091" w:rsidRDefault="00A86293">
            <w:pPr>
              <w:pStyle w:val="CellColumn"/>
              <w:jc w:val="right"/>
            </w:pPr>
            <w:r>
              <w:rPr>
                <w:rFonts w:cs="Times New Roman"/>
              </w:rPr>
              <w:t>15,7</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 xml:space="preserve">U okviru programa Jačanje konkurentnosti malog i srednjeg poduzetništva Ministarstvo nastoji postići ekonomsku uspješnost malih i srednjih poduzetnika, učinkovita provedba sustava poticajnih mjera za investicije u Republici Hrvatskoj temeljena na provedbi Zakona o poticanju ulaganja i Zakona o poticanju investicija i unapređenju investicijskog okruženja, kao i praćenje postignutih rezultata s ciljem daljnjeg razvoja mogućnosti za privlačenje i poticanje novih ulaganja, a time i daljnjeg razvoja ukupnih gospodarskih aktivnosti. </w:t>
      </w:r>
    </w:p>
    <w:p w:rsidR="005C2091" w:rsidRDefault="00A86293">
      <w:r>
        <w:t xml:space="preserve">Radi olakšavanja pristupa sredstvima za razvoj malog gospodarstva i poticanja konkurentnosti kroz podjelu rizika, djeluju Fondovi za gospodarsku suradnju (FGS) u obliku javno-privatnih izvora financiranja. Podneseni investicijski projekti subjekata malog gospodarstva putem vlasničkog restrukturiranja kroz ulaganje dodatnog kapitala obuhvaćaju rast i razvoj poslovne djelatnosti, očuvanje postojećih i stvaranje novih radnih mjesta i osnivanje novih subjekata malog gospodarstva. </w:t>
      </w:r>
    </w:p>
    <w:p w:rsidR="005C2091" w:rsidRDefault="00A86293">
      <w:r>
        <w:t xml:space="preserve">U Strategiji razvoja poduzetništva Republike Hrvatske 2013.-2020. kao jedan od 5 strateških ciljeva definiran je cilj poboljšanje poduzetničkih vještina. Naime, poduzetničko obrazovanje koje se stječe kroz proces formalnog učenja, zatim neformalno organiziranog procesa učenja i obrazovanja usmjerenog k usavršavanju, specijalizaciji i dopunjavanju znanja, vještina i sposobnosti te proces informalnog-neplaniranog učenja i stjecanje znanja kroz svakodnevne aktivnosti ima važnu ulogu u povećanju broja osoba koje razvijaju poduzetnički kapacitet te uspješno poslovati nakon otvaranja poduzeća.  </w:t>
      </w:r>
    </w:p>
    <w:p w:rsidR="005C2091" w:rsidRDefault="00A86293">
      <w:r>
        <w:t xml:space="preserve">Za razvoj konkurentnog sektora maloga gospodarstva potrebna je i dobro osposobljena, prilagodljiva radna snaga koja se može osigurati samo predanošću cjeloživotnom učenju na radnome mjestu. Stoga je nužno poduprijeti i izobrazbu i prekvalifikaciju radne snage. Sukladno tome, u okviru Operativnog programa „Konkurentnost i kohezija“ za razdoblje 2014- 2020 podupiru se aktivnosti poput razvoja i izgradnje Regionalnog centra za razvoj poduzetničkih kompetencija zemalja jugoistočne Europe (SEECEL) kao modernog trening centra za promociju poduzetničkog učenja. </w:t>
      </w:r>
    </w:p>
    <w:p w:rsidR="005C2091" w:rsidRDefault="00A86293">
      <w:r>
        <w:t>Ministarstvo u svojoj nadležnosti ima strukovno obrazovanje za vezane obrte sukladno odredbama Zakona obrtu, kojim se uređuje sustav strukovnog obrazovanja za obavljanje obrta te uvjeti za obavljanje najsloženijih obrta u obliku majstorskog ispita. Sustav strukovnog obrazovanja za obrtnička  zanimanja temelji se na programima strukovnog obrazovanja za 61 obrtničko zanimanje. Strukovno obrazovanje za obrtnička zanimanja ili tzv. jedinstveni obrazovni model (JMO) uglavnom se provodi u gospodarstvu, obzirom se 70 % praktičnog dijela naukovanja mora provoditi na radnom mjestu - u licenciranom obrtu ili pravnoj osobi. Podizanje razine kvalitete strukovnog obrazovanja, usvajanje poduzetničkih kompetencija, poticanje poduzetničke kulture u društvu te razvoj pozitivnog odnosa prema cjeloživotnom učenju u poduzetništvu u uvjetima opće društvene i gospodarske globalizacije ključno je za rast i razvoj poduzetništva i povećanje konkurentnosti gospodarstva.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Pristup javnoj financijskoj potpori uključujući jamstva (% ispitanika koji su ukazali na pogoršanje)</w:t>
            </w:r>
          </w:p>
        </w:tc>
        <w:tc>
          <w:tcPr>
            <w:tcW w:w="2551" w:type="dxa"/>
          </w:tcPr>
          <w:p w:rsidR="005C2091" w:rsidRDefault="005C2091">
            <w:pPr>
              <w:jc w:val="left"/>
            </w:pP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22</w:t>
            </w:r>
          </w:p>
        </w:tc>
        <w:tc>
          <w:tcPr>
            <w:tcW w:w="1020" w:type="dxa"/>
          </w:tcPr>
          <w:p w:rsidR="005C2091" w:rsidRDefault="00A86293">
            <w:pPr>
              <w:pStyle w:val="CellColumn"/>
              <w:jc w:val="right"/>
            </w:pPr>
            <w:r>
              <w:rPr>
                <w:rFonts w:cs="Times New Roman"/>
              </w:rPr>
              <w:t>MINPO</w:t>
            </w:r>
          </w:p>
        </w:tc>
        <w:tc>
          <w:tcPr>
            <w:tcW w:w="1020" w:type="dxa"/>
          </w:tcPr>
          <w:p w:rsidR="005C2091" w:rsidRDefault="00A86293">
            <w:pPr>
              <w:pStyle w:val="CellColumn"/>
              <w:jc w:val="right"/>
            </w:pPr>
            <w:r>
              <w:rPr>
                <w:rFonts w:cs="Times New Roman"/>
              </w:rPr>
              <w:t>22</w:t>
            </w:r>
          </w:p>
        </w:tc>
        <w:tc>
          <w:tcPr>
            <w:tcW w:w="1020" w:type="dxa"/>
          </w:tcPr>
          <w:p w:rsidR="005C2091" w:rsidRDefault="00A86293">
            <w:pPr>
              <w:pStyle w:val="CellColumn"/>
              <w:jc w:val="right"/>
            </w:pPr>
            <w:r>
              <w:rPr>
                <w:rFonts w:cs="Times New Roman"/>
              </w:rPr>
              <w:t>22</w:t>
            </w:r>
          </w:p>
        </w:tc>
      </w:tr>
      <w:tr w:rsidR="005C2091">
        <w:trPr>
          <w:jc w:val="center"/>
        </w:trPr>
        <w:tc>
          <w:tcPr>
            <w:tcW w:w="2551" w:type="dxa"/>
          </w:tcPr>
          <w:p w:rsidR="005C2091" w:rsidRDefault="00A86293">
            <w:pPr>
              <w:pStyle w:val="CellColumn"/>
              <w:jc w:val="left"/>
            </w:pPr>
            <w:r>
              <w:rPr>
                <w:rFonts w:cs="Times New Roman"/>
              </w:rPr>
              <w:t>Unapređenje znanja i kompetencija poduzetnika te njihovih zaposlenika mjereno % radne snage u izobrazbi</w:t>
            </w:r>
          </w:p>
        </w:tc>
        <w:tc>
          <w:tcPr>
            <w:tcW w:w="2551" w:type="dxa"/>
          </w:tcPr>
          <w:p w:rsidR="005C2091" w:rsidRDefault="00A86293">
            <w:pPr>
              <w:pStyle w:val="CellColumn"/>
              <w:jc w:val="left"/>
            </w:pPr>
            <w:r>
              <w:rPr>
                <w:rFonts w:cs="Times New Roman"/>
              </w:rPr>
              <w:t>Unapređenje znanja i kompetencija poduzetnika te njihovih zaposlenika mjereno % radne snage u izobrazbi</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3,2</w:t>
            </w:r>
          </w:p>
        </w:tc>
        <w:tc>
          <w:tcPr>
            <w:tcW w:w="1020" w:type="dxa"/>
          </w:tcPr>
          <w:p w:rsidR="005C2091" w:rsidRDefault="00A86293">
            <w:pPr>
              <w:pStyle w:val="CellColumn"/>
              <w:jc w:val="right"/>
            </w:pPr>
            <w:r>
              <w:rPr>
                <w:rFonts w:cs="Times New Roman"/>
              </w:rPr>
              <w:t>MINPO</w:t>
            </w:r>
          </w:p>
        </w:tc>
        <w:tc>
          <w:tcPr>
            <w:tcW w:w="1020" w:type="dxa"/>
          </w:tcPr>
          <w:p w:rsidR="005C2091" w:rsidRDefault="00A86293">
            <w:pPr>
              <w:pStyle w:val="CellColumn"/>
              <w:jc w:val="right"/>
            </w:pPr>
            <w:r>
              <w:rPr>
                <w:rFonts w:cs="Times New Roman"/>
              </w:rPr>
              <w:t>3,2</w:t>
            </w:r>
          </w:p>
        </w:tc>
        <w:tc>
          <w:tcPr>
            <w:tcW w:w="1020" w:type="dxa"/>
          </w:tcPr>
          <w:p w:rsidR="005C2091" w:rsidRDefault="00A86293">
            <w:pPr>
              <w:pStyle w:val="CellColumn"/>
              <w:jc w:val="right"/>
            </w:pPr>
            <w:r>
              <w:rPr>
                <w:rFonts w:cs="Times New Roman"/>
              </w:rPr>
              <w:t>3,2</w:t>
            </w:r>
          </w:p>
        </w:tc>
      </w:tr>
    </w:tbl>
    <w:p w:rsidR="005C2091" w:rsidRDefault="005C2091">
      <w:pPr>
        <w:jc w:val="left"/>
      </w:pPr>
    </w:p>
    <w:p w:rsidR="005C2091" w:rsidRDefault="00A86293">
      <w:pPr>
        <w:pStyle w:val="Heading4"/>
      </w:pPr>
      <w:r>
        <w:lastRenderedPageBreak/>
        <w:t>A648087 POTICANJE KONKURENTNOSTI PODUZETNIŠTVA I OBRTA</w:t>
      </w:r>
    </w:p>
    <w:tbl>
      <w:tblPr>
        <w:tblStyle w:val="StilTablice"/>
        <w:tblW w:w="10206" w:type="dxa"/>
        <w:jc w:val="center"/>
        <w:tblLook w:val="04A0" w:firstRow="1" w:lastRow="0" w:firstColumn="1" w:lastColumn="0" w:noHBand="0" w:noVBand="1"/>
      </w:tblPr>
      <w:tblGrid>
        <w:gridCol w:w="1948"/>
        <w:gridCol w:w="1943"/>
        <w:gridCol w:w="1950"/>
        <w:gridCol w:w="1950"/>
        <w:gridCol w:w="1203"/>
        <w:gridCol w:w="121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A648087-POTICANJE KONKURENTNOSTI PODUZETNIŠTVA I OBRTA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2.856.974</w:t>
            </w:r>
          </w:p>
        </w:tc>
        <w:tc>
          <w:tcPr>
            <w:tcW w:w="2041" w:type="dxa"/>
          </w:tcPr>
          <w:p w:rsidR="005C2091" w:rsidRDefault="00A86293">
            <w:pPr>
              <w:pStyle w:val="CellColumn"/>
              <w:jc w:val="right"/>
            </w:pPr>
            <w:r>
              <w:rPr>
                <w:rFonts w:cs="Times New Roman"/>
              </w:rPr>
              <w:t>1.839.672</w:t>
            </w:r>
          </w:p>
        </w:tc>
        <w:tc>
          <w:tcPr>
            <w:tcW w:w="1224" w:type="dxa"/>
          </w:tcPr>
          <w:p w:rsidR="005C2091" w:rsidRDefault="00A86293">
            <w:pPr>
              <w:pStyle w:val="CellColumn"/>
              <w:jc w:val="right"/>
            </w:pPr>
            <w:r>
              <w:rPr>
                <w:rFonts w:cs="Times New Roman"/>
              </w:rPr>
              <w:t>64,4</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Zakon o poticanju razvoja malog gospodarstva (NN 29/02, 63/07, 53/12, 56/13 i 121/16); Zakon o državnim potporama (NN 47/14); Uredba Komisije (EU) br. 1407/2013 od 18. prosinca 2013. o primjeni članaka 107. i 108. Ugovora o funkcioniranju Europske unije na de minimis potpore; Operativni program Učinkoviti ljudski potencijali 2014.-2020., Zakon o poticanju razvoja malog gospodarstva (NN 29/02, 63/07, 53/12, 56/13 i 121/16); Zakon o državnim potporama (NN 47/14); Uredba Komisije (EU) br. 1407/2013 od 18. prosinca 2013. o primjeni članaka 107. i 108.; Zakon o poticanju razvoja malog gospodarstva (NN 29/02, 63/07, 53/12, 56/13 i 121/16), Zakon o državnim potporama (NN 47/14), Strategija razvoja poduzetništva 2013.-2020. - Strateški cilj 2. POBOLJŠAN PRISTUP FINANCIRANJU . (NN136/13), Uredba komisije EU br. 1407/2013 od 18. prosinca 2013. o primjeni članaka 107. i 108.; Zakon o poticanju ulaganja (NN 138/06, 61/11) i Uredbe o poticanju ulaganja (NN 64/07), Zakon o poticanju investicija i unapređenju investicijskog okruženja (NN 111/12, 28/13), Uredba o poticanju investicija i unapređenju investicijskog okruženja (NN 40/13), Zakona o poticanju ulaganja (NN 102/15) i Uredba o poticanju ulaganja (NN 31/16).</w:t>
      </w:r>
    </w:p>
    <w:p w:rsidR="005C2091" w:rsidRDefault="00A86293">
      <w:pPr>
        <w:pStyle w:val="Heading8"/>
        <w:jc w:val="left"/>
      </w:pPr>
      <w:r>
        <w:t>Opis aktivnosti</w:t>
      </w:r>
    </w:p>
    <w:p w:rsidR="005C2091" w:rsidRDefault="00A86293">
      <w:r>
        <w:t>U okviru ove aktivnosti isplaćeno je Program „Cjeloživotno obrazovanje za obrtništvo“u  cilju poticanja usvajanja ključnih vještina i kompetencija za obrtnička zanimanja te poticanja zapošljavanja i samozapošljavanja u obrtništvu. Temeljem ovog Programa sufinancirani su troškovi obrazovanja za obavljanje vezanih obrta, odnosno za pripremu i polaganje ispita o stručnoj osposobljenosti, pripremu i polaganje majstorskog ispita, prekvalifikaciju u obrtničkim zanimanjima te izdavanje dozvola (licenci) za izvođenje praktičnog dijela naukovanja. Za navedeni Program  u 2016. godinu bilo je osigurano 2.000.000,00 kn od čega je u periodu od 16. listopada do 31. prosinca 2016. godine izvršeno 909.540,00 kuna.</w:t>
      </w:r>
    </w:p>
    <w:p w:rsidR="005C2091" w:rsidRDefault="00A86293">
      <w:pPr>
        <w:pStyle w:val="Heading4"/>
      </w:pPr>
      <w:r>
        <w:t>A817079 OPERATIVNI PROGRAM UČINKOVITI LJUDSKI POTENCIJALI 2014.-2020., GARANCIJA ZA MLADE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A817079-OPERATIVNI PROGRAM UČINKOVITI LJUDSKI POTENCIJALI 2014.-2020., GARANCIJA ZA MLADE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9.000.000</w:t>
            </w:r>
          </w:p>
        </w:tc>
        <w:tc>
          <w:tcPr>
            <w:tcW w:w="2041"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Uredba Komisije (EU) br. 1407/2013 od 18. prosinca 2013. o primjeni članaka 107. i 108. Ugovora o funkcioniranju Europske unije na de minimis potpore; Operativni program Učinkoviti ljudski potencijali 2014.-2020., Zakon o poticanju razvoja malog gospodarstva (NN 29/02, 63/07, 53/12, 56/13 i 121/16); Zakon o državnim potporama (NN 47/14); Uredba Komisije (EU) br. 1407/2013 od 18. prosinca 2013. o primjeni članaka 107. i 108.; Zakon o poticanju razvoja malog gospodarstva (NN 29/02, 63/07, 53/12, 56/13 i 121/16), Zakon o državnim potporama (NN 47/14), Strategija razvoja poduzetništva 2013.-2020. - Strateški cilj 2. POBOLJŠAN PRISTUP FINANCIRANJU . (NN136/13), Uredba komisije EU br. 1407/2013 od 18. prosinca 2013. o primjeni članaka 107. i 108.; Zakon o poticanju ulaganja (NN 138/06, 61/11) i Uredbe o poticanju ulaganja (NN 64/07), Zakon o poticanju investicija i unapređenju investicijskog okruženja (NN 111/12, 28/13), Uredba o poticanju investicija i unapređenju investicijskog okruženja (NN 40/13), Zakona o poticanju ulaganja (NN 102/15) i Uredba o poticanju ulaganja (NN 31/16). Odluka Vlade RH o sudjelovanju u fondovima za gospodarsku suradnju (NN 40/13),  i Pravilnik o sudjelovanju Vlade RH u FGS-ovima (NN 47/13)</w:t>
      </w:r>
    </w:p>
    <w:p w:rsidR="005C2091" w:rsidRDefault="00A86293">
      <w:pPr>
        <w:pStyle w:val="Heading8"/>
        <w:jc w:val="left"/>
      </w:pPr>
      <w:r>
        <w:t>Opis aktivnosti</w:t>
      </w:r>
    </w:p>
    <w:p w:rsidR="005C2091" w:rsidRDefault="00A86293">
      <w:r>
        <w:t>U okviru ove aktivnosti planirane su mjere za stipendiranje učenika koji se obrazuju u deficitarnim obrtničkim zanimanjima, zatim poticaji za obrtnike i pravne osobe koji primaju učenike na naukovanje te poticanje rada učeničkih zadruga, vježbeničkih tvrtki ti studentskih poduzetničkih inkubatora. Međutim, iako su obrađene sve pristigle prijave u 2016. godini nije tehnički bilo moguće izvršiti isplatu osiguranih sredstava,s obzirom da su sredstva koja su se planirale provesti osiguravaju iz Europskog socijalnog fonda, ovo javnopravno tijelo je u svojstvu Korisnika moralo udovoljiti procedurama prethodnog odobrenja Sažetka operacije te potpisivanja ugovora o provedbi projekata s resornim Ministarstvom rada i mirovinskoga sustava. Kako navedena procedura traje iznimno dugo (sažetak za projekt »Stipendiranje učenika u obrtničkim zanimanjima odobren je u prosincu, a sažetak za projekt »Naukovanje za obrtnička zanimanja« još nije odobren) nije bilo moguće u 2016. godini sklopiti ugovore s krajnjim korisnicima temeljem kojih se vrši isplata bespovratnih sredstava.</w:t>
      </w:r>
    </w:p>
    <w:p w:rsidR="00B148E9" w:rsidRDefault="00B148E9"/>
    <w:p w:rsidR="00B148E9" w:rsidRDefault="00B148E9"/>
    <w:p w:rsidR="005C2091" w:rsidRDefault="00A86293">
      <w:pPr>
        <w:pStyle w:val="Heading4"/>
      </w:pPr>
      <w:r>
        <w:t>A817080 SUBVENCIJE KAMATA ZA PODUZETNIČKE KREDITE</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A817080-SUBVENCIJE KAMATA ZA PODUZETNIČKE KREDITE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7.657.039</w:t>
            </w:r>
          </w:p>
        </w:tc>
        <w:tc>
          <w:tcPr>
            <w:tcW w:w="2041" w:type="dxa"/>
          </w:tcPr>
          <w:p w:rsidR="005C2091" w:rsidRDefault="00A86293">
            <w:pPr>
              <w:pStyle w:val="CellColumn"/>
              <w:jc w:val="right"/>
            </w:pPr>
            <w:r>
              <w:rPr>
                <w:rFonts w:cs="Times New Roman"/>
              </w:rPr>
              <w:t>7.000.164</w:t>
            </w:r>
          </w:p>
        </w:tc>
        <w:tc>
          <w:tcPr>
            <w:tcW w:w="1224" w:type="dxa"/>
          </w:tcPr>
          <w:p w:rsidR="005C2091" w:rsidRDefault="00A86293">
            <w:pPr>
              <w:pStyle w:val="CellColumn"/>
              <w:jc w:val="right"/>
            </w:pPr>
            <w:r>
              <w:rPr>
                <w:rFonts w:cs="Times New Roman"/>
              </w:rPr>
              <w:t>91,4</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Zakon o poticanju razvoja malog gospodarstva (»Narodne novine«, broj 29/02, 63/07, 53/12, 56/13 i 121/16), Zakon o državnim potporama (»Narodne novine«, broj 47/14), Strategija razvoja poduzetništva 2013.-2020. - Strateški cilj 2. POBOLJŠAN PRISTUP FINANCIRANJU . („Narodne novine“, broj 136/13), Uredba komisije EU br. 1407/2013 od 18. prosinca 2013. o primjeni članaka 107. i 108. Ugovora o funkcioniranju EU na de minimis potpore</w:t>
      </w:r>
    </w:p>
    <w:p w:rsidR="005C2091" w:rsidRDefault="00A86293">
      <w:pPr>
        <w:pStyle w:val="Heading8"/>
        <w:jc w:val="left"/>
      </w:pPr>
      <w:r>
        <w:t>Opis aktivnosti</w:t>
      </w:r>
    </w:p>
    <w:p w:rsidR="005C2091" w:rsidRDefault="00A86293">
      <w:r>
        <w:t xml:space="preserve">U razdoblju od 2004. do 2014. provedeni su kreditni poticajni projekti za MSP koji su zaključeni 31.03.2014., a za koje se servisiraju subvencije kamata s aktivnosti A817080 (Projekti „Lokalni projekti razvoja – Poduzetnik“, „Lokalni projekti razvoja malog gospodarstva“, „Lokalni projekti razvoja – mikro kreditiranje“). Od zadnjeg kvartala 2014. na snazi je novi program poboljšanog kreditiranja poduzetništva i obrta „Kreditom do uspjeha 2014“. Cilj Programa je poticanje regionalnog razvoja kroz poboljšano financiranje MSP u proizvodnim i uslužnim djelatnostima na razini županija. Program se provodi kroz dvije Mjere s programski utvrđenom namjenom kredita, i </w:t>
      </w:r>
      <w:r>
        <w:lastRenderedPageBreak/>
        <w:t>to Mjera 1. Kreditom do konkurentnosti za kapitalna ulaganja (krediti u vrijednosti od 100.000,00 do 5.000.000,00 kuna) i Mjera 2. Kreditom do uspješnog poslovanja za financiranje tekuće likvidnosti i trajnih obrtnih sredstava (krediti u vrijednosti od 30.000,00 - 200.000,00 kuna). Subvencije kamata osigurane su kao poticajna sredstva u državnom proračunu, a Program se temelji na pravilima za državne potpore male vrijednosti. U bazi podataka (Registar kredita) u 2016. godini bilježeno je 3.399 kredita za koje se isplaćuju subvencije kamata.</w:t>
      </w:r>
    </w:p>
    <w:p w:rsidR="005C2091" w:rsidRDefault="00A86293">
      <w:pPr>
        <w:pStyle w:val="Heading4"/>
      </w:pPr>
      <w:r>
        <w:t>A817085 PROVEDBA MJERA ZA POTICANJE INVESTICIJA MALIH I SREDNJIH PODUZETNIKA I OBRTNIKA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A817085-PROVEDBA MJERA ZA POTICANJE INVESTICIJA MALIH I SREDNJIH PODUZETNIKA I OBRTNIKA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8.762.487</w:t>
            </w:r>
          </w:p>
        </w:tc>
        <w:tc>
          <w:tcPr>
            <w:tcW w:w="2041" w:type="dxa"/>
          </w:tcPr>
          <w:p w:rsidR="005C2091" w:rsidRDefault="00A86293">
            <w:pPr>
              <w:pStyle w:val="CellColumn"/>
              <w:jc w:val="right"/>
            </w:pPr>
            <w:r>
              <w:rPr>
                <w:rFonts w:cs="Times New Roman"/>
              </w:rPr>
              <w:t>8.235.674</w:t>
            </w:r>
          </w:p>
        </w:tc>
        <w:tc>
          <w:tcPr>
            <w:tcW w:w="1224" w:type="dxa"/>
          </w:tcPr>
          <w:p w:rsidR="005C2091" w:rsidRDefault="00A86293">
            <w:pPr>
              <w:pStyle w:val="CellColumn"/>
              <w:jc w:val="right"/>
            </w:pPr>
            <w:r>
              <w:rPr>
                <w:rFonts w:cs="Times New Roman"/>
              </w:rPr>
              <w:t>94,0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Zakon o poticanju ulaganja (NN 138/06, 61/11) i Uredbe o poticanju ulaganja (NN 64/07), Zakon o poticanju investicija i unapređenju investicijskog okruženja (NN 111/12, 28/13), Uredba o poticanju investicija i unapređenju investicijskog okruženja (NN 40/13), Zakona o poticanju ulaganja (NN 102/15) i Uredba o poticanju ulaganja (NN 31/16).</w:t>
      </w:r>
    </w:p>
    <w:p w:rsidR="005C2091" w:rsidRDefault="00A86293">
      <w:pPr>
        <w:pStyle w:val="Heading8"/>
        <w:jc w:val="left"/>
      </w:pPr>
      <w:r>
        <w:t>Opis aktivnosti</w:t>
      </w:r>
    </w:p>
    <w:p w:rsidR="005C2091" w:rsidRDefault="00A86293">
      <w:r>
        <w:t xml:space="preserve">U okviru ove aktivnosti isplaćivana su sredstva za bespovratne novčane potpore: za opravdane troškove otvaranja novih radnih mjesta povezanih s ulaganjem, usavršavanje povezanih s ulaganjem, kupnju opreme/strojeva za investicije u razvojno-inovacijske aktivnosti i za kapitalne troškove (opravdani troškovi ulaganja u dugotrajnu imovinu) u maksimalnom iznosu do 1 milijun eura. </w:t>
      </w:r>
    </w:p>
    <w:p w:rsidR="005C2091" w:rsidRDefault="00A86293">
      <w:r>
        <w:t>U razdoblju od 16.listopada do 31.prosinca 2016. godine, nakon podnošenja zahtjeva i uz ispunjavanje propisanih uvjeta, ukupno 27 malih i srednjih poduzetnika - trgovačka društva i obrti sa statusom nositelja poticajnih mjera, dobilo je bespovratne novčane potpore za opravdane troškove otvaranja novih radnih mjesta povezanih s ulaganjem u ukupnom iznosu od 8.235.674 kuna.</w:t>
      </w:r>
    </w:p>
    <w:p w:rsidR="005C2091" w:rsidRDefault="00A86293">
      <w:pPr>
        <w:pStyle w:val="Heading2"/>
      </w:pPr>
      <w:r>
        <w:t>04910 Ravnateljstvo za robne zalihe</w:t>
      </w:r>
    </w:p>
    <w:p w:rsidR="005C2091" w:rsidRDefault="00A86293">
      <w:r>
        <w:t>Robne zalihe stvaraju se radi osiguranja osnovne opskrbe stanovništva i to u doba ratnog stanja ili neposredne ugroženosti neovisnosti, jedinstvenosti i opstojnosti Republike Hrvatske, u slučaju velikih prirodnih nepogoda i tehničko - tehnoloških i ekoloških katastrofa, te radi upućivanja žurne pomoći drugim državama u slučaju katastrofa, te u slučaju sudjelovanja snaga Republike Hrvatske u mirovnim i humanitarnim operacijama u inozemstvu. U prijedlogu proračuna predviđeno je financiranje rashoda iz općih prihoda i primitaka (11) i iz prihoda za posebne namjene (43). Tijekom 2015. godine, u suradnji s Ministarstvom financija, prihodi za posebne namjene - izvor financiranja 43, reklasificirani su na izvor 43 -prihodi za posebne namjene i 71 - prihodi od prodaje ili zamjene nefinancijske imovine i naknade s naslova osiguranja, na način da su prihodi na izvoru financiranja 71 vezani za račun prihoda 7411 - prihodi od prodaje zaliha.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lastRenderedPageBreak/>
              <w:t>04910-Ravnateljstvo za robne zalihe</w:t>
            </w:r>
          </w:p>
        </w:tc>
        <w:tc>
          <w:tcPr>
            <w:tcW w:w="2041" w:type="dxa"/>
            <w:vAlign w:val="top"/>
          </w:tcPr>
          <w:p w:rsidR="005C2091" w:rsidRDefault="00A86293">
            <w:pPr>
              <w:pStyle w:val="CellColumn"/>
              <w:jc w:val="right"/>
            </w:pPr>
            <w:r>
              <w:rPr>
                <w:rFonts w:cs="Times New Roman"/>
              </w:rPr>
              <w:t>98.773.469</w:t>
            </w:r>
          </w:p>
        </w:tc>
        <w:tc>
          <w:tcPr>
            <w:tcW w:w="2041" w:type="dxa"/>
            <w:vAlign w:val="top"/>
          </w:tcPr>
          <w:p w:rsidR="005C2091" w:rsidRDefault="00A86293">
            <w:pPr>
              <w:pStyle w:val="CellColumn"/>
              <w:jc w:val="right"/>
            </w:pPr>
            <w:r>
              <w:rPr>
                <w:rFonts w:cs="Times New Roman"/>
              </w:rPr>
              <w:t>103.095.000</w:t>
            </w:r>
          </w:p>
        </w:tc>
        <w:tc>
          <w:tcPr>
            <w:tcW w:w="2041" w:type="dxa"/>
            <w:vAlign w:val="top"/>
          </w:tcPr>
          <w:p w:rsidR="005C2091" w:rsidRDefault="00A86293">
            <w:pPr>
              <w:pStyle w:val="CellColumn"/>
              <w:jc w:val="right"/>
            </w:pPr>
            <w:r>
              <w:rPr>
                <w:rFonts w:cs="Times New Roman"/>
              </w:rPr>
              <w:t>99.806.022</w:t>
            </w:r>
          </w:p>
        </w:tc>
        <w:tc>
          <w:tcPr>
            <w:tcW w:w="1224" w:type="dxa"/>
            <w:vAlign w:val="top"/>
          </w:tcPr>
          <w:p w:rsidR="005C2091" w:rsidRDefault="00A86293">
            <w:pPr>
              <w:pStyle w:val="CellColumn"/>
              <w:jc w:val="right"/>
            </w:pPr>
            <w:r>
              <w:rPr>
                <w:rFonts w:cs="Times New Roman"/>
              </w:rPr>
              <w:t>96,8</w:t>
            </w:r>
          </w:p>
        </w:tc>
        <w:tc>
          <w:tcPr>
            <w:tcW w:w="1224" w:type="dxa"/>
            <w:vAlign w:val="top"/>
          </w:tcPr>
          <w:p w:rsidR="005C2091" w:rsidRDefault="00A86293">
            <w:pPr>
              <w:pStyle w:val="CellColumn"/>
              <w:jc w:val="right"/>
            </w:pPr>
            <w:r>
              <w:rPr>
                <w:rFonts w:cs="Times New Roman"/>
              </w:rPr>
              <w:t>101,0</w:t>
            </w:r>
          </w:p>
        </w:tc>
      </w:tr>
      <w:tr w:rsidR="005C2091">
        <w:trPr>
          <w:jc w:val="center"/>
        </w:trPr>
        <w:tc>
          <w:tcPr>
            <w:tcW w:w="1632" w:type="dxa"/>
          </w:tcPr>
          <w:p w:rsidR="005C2091" w:rsidRDefault="00A86293">
            <w:pPr>
              <w:jc w:val="left"/>
            </w:pPr>
            <w:r>
              <w:t>4302-STVARANJE, OBNAVLJANJE I KORIŠTENJE ROBNIH ZALIHA</w:t>
            </w:r>
          </w:p>
        </w:tc>
        <w:tc>
          <w:tcPr>
            <w:tcW w:w="2041" w:type="dxa"/>
          </w:tcPr>
          <w:p w:rsidR="005C2091" w:rsidRDefault="00A86293">
            <w:pPr>
              <w:jc w:val="right"/>
            </w:pPr>
            <w:r>
              <w:t>98.773.469</w:t>
            </w:r>
          </w:p>
        </w:tc>
        <w:tc>
          <w:tcPr>
            <w:tcW w:w="2041" w:type="dxa"/>
          </w:tcPr>
          <w:p w:rsidR="005C2091" w:rsidRDefault="00A86293">
            <w:pPr>
              <w:jc w:val="right"/>
            </w:pPr>
            <w:r>
              <w:t>103.095.000</w:t>
            </w:r>
          </w:p>
        </w:tc>
        <w:tc>
          <w:tcPr>
            <w:tcW w:w="2041" w:type="dxa"/>
          </w:tcPr>
          <w:p w:rsidR="005C2091" w:rsidRDefault="00A86293">
            <w:pPr>
              <w:jc w:val="right"/>
            </w:pPr>
            <w:r>
              <w:t>99.806.022</w:t>
            </w:r>
          </w:p>
        </w:tc>
        <w:tc>
          <w:tcPr>
            <w:tcW w:w="1224" w:type="dxa"/>
          </w:tcPr>
          <w:p w:rsidR="005C2091" w:rsidRDefault="00A86293">
            <w:pPr>
              <w:jc w:val="right"/>
            </w:pPr>
            <w:r>
              <w:t>96,8</w:t>
            </w:r>
          </w:p>
        </w:tc>
        <w:tc>
          <w:tcPr>
            <w:tcW w:w="1224" w:type="dxa"/>
          </w:tcPr>
          <w:p w:rsidR="005C2091" w:rsidRDefault="00A86293">
            <w:pPr>
              <w:jc w:val="right"/>
            </w:pPr>
            <w:r>
              <w:t>101,0</w:t>
            </w:r>
          </w:p>
        </w:tc>
      </w:tr>
    </w:tbl>
    <w:p w:rsidR="005C2091" w:rsidRDefault="005C2091">
      <w:pPr>
        <w:jc w:val="left"/>
      </w:pPr>
    </w:p>
    <w:p w:rsidR="005C2091" w:rsidRDefault="00A86293">
      <w:pPr>
        <w:pStyle w:val="Heading3"/>
      </w:pPr>
      <w:r>
        <w:rPr>
          <w:rFonts w:cs="Times New Roman"/>
        </w:rPr>
        <w:t>4302 STVARANJE, OBNAVLJANJE I KORIŠTENJE ROBNIH ZALIHA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4302-STVARANJE, OBNAVLJANJE I KORIŠTENJE ROBNIH ZALIHA</w:t>
            </w:r>
          </w:p>
        </w:tc>
        <w:tc>
          <w:tcPr>
            <w:tcW w:w="2041" w:type="dxa"/>
          </w:tcPr>
          <w:p w:rsidR="005C2091" w:rsidRDefault="00A86293">
            <w:pPr>
              <w:pStyle w:val="CellColumn"/>
              <w:jc w:val="right"/>
            </w:pPr>
            <w:r>
              <w:rPr>
                <w:rFonts w:cs="Times New Roman"/>
              </w:rPr>
              <w:t>98.773.469</w:t>
            </w:r>
          </w:p>
        </w:tc>
        <w:tc>
          <w:tcPr>
            <w:tcW w:w="2041" w:type="dxa"/>
          </w:tcPr>
          <w:p w:rsidR="005C2091" w:rsidRDefault="00A86293">
            <w:pPr>
              <w:pStyle w:val="CellColumn"/>
              <w:jc w:val="right"/>
            </w:pPr>
            <w:r>
              <w:rPr>
                <w:rFonts w:cs="Times New Roman"/>
              </w:rPr>
              <w:t>103.095.000</w:t>
            </w:r>
          </w:p>
        </w:tc>
        <w:tc>
          <w:tcPr>
            <w:tcW w:w="2041" w:type="dxa"/>
          </w:tcPr>
          <w:p w:rsidR="005C2091" w:rsidRDefault="00A86293">
            <w:pPr>
              <w:pStyle w:val="CellColumn"/>
              <w:jc w:val="right"/>
            </w:pPr>
            <w:r>
              <w:rPr>
                <w:rFonts w:cs="Times New Roman"/>
              </w:rPr>
              <w:t>99.806.022</w:t>
            </w:r>
          </w:p>
        </w:tc>
        <w:tc>
          <w:tcPr>
            <w:tcW w:w="1224" w:type="dxa"/>
          </w:tcPr>
          <w:p w:rsidR="005C2091" w:rsidRDefault="00A86293">
            <w:pPr>
              <w:pStyle w:val="CellColumn"/>
              <w:jc w:val="right"/>
            </w:pPr>
            <w:r>
              <w:rPr>
                <w:rFonts w:cs="Times New Roman"/>
              </w:rPr>
              <w:t>96,8</w:t>
            </w:r>
          </w:p>
        </w:tc>
        <w:tc>
          <w:tcPr>
            <w:tcW w:w="1224" w:type="dxa"/>
          </w:tcPr>
          <w:p w:rsidR="005C2091" w:rsidRDefault="00A86293">
            <w:pPr>
              <w:pStyle w:val="CellColumn"/>
              <w:jc w:val="right"/>
            </w:pPr>
            <w:r>
              <w:rPr>
                <w:rFonts w:cs="Times New Roman"/>
              </w:rPr>
              <w:t>101,0</w:t>
            </w:r>
          </w:p>
        </w:tc>
      </w:tr>
    </w:tbl>
    <w:p w:rsidR="005C2091" w:rsidRDefault="005C2091">
      <w:pPr>
        <w:jc w:val="left"/>
      </w:pPr>
    </w:p>
    <w:p w:rsidR="005C2091" w:rsidRDefault="00A86293">
      <w:r>
        <w:t>Stvaranje, obnavljanje i korištenje robnih zaliha u doba ratnog stanja i neposredne ugroženosti neovisnosti, jedinstvenosti i opstojnosti Republike Hrvatske, te u slučajevima velikih prirodnih nepogoda i ekoloških katastrofa. Opći cilj programa je stvaranje, obnavljanje i korištenje robnih zaliha, a Posebni cilj je popuna strateških robnih zaliha u skladu  s Bilancom strateških robnih zaliha i Zakonom o strateškim robnim zalihama. Navedeno je sadržano u Strateškom planu Ministarstva gospodarstva, poduzetništva i obrta za razdoblje od 2016. - 2018. godine u Općem cilju 3 Stvaranje preduvjeta za gospodarski rast uz osiguranje ravnopravne tržišne utakmice za sve gospodarske subjekte, kao Posebni cilj 3.4. Stvaranje, obnavljanje i korištenje robnih zaliha.</w:t>
      </w:r>
    </w:p>
    <w:p w:rsidR="005C2091" w:rsidRDefault="00A86293">
      <w:pPr>
        <w:pStyle w:val="Heading8"/>
        <w:jc w:val="left"/>
      </w:pPr>
      <w:r>
        <w:t>Cilj 1. Popuna strateških robnih zaliha u skladu s Bilancom i Zakonom o strateškim robnim zalihama.</w:t>
      </w:r>
    </w:p>
    <w:p w:rsidR="005C2091" w:rsidRDefault="00A86293">
      <w:pPr>
        <w:pStyle w:val="Heading8"/>
        <w:jc w:val="left"/>
      </w:pPr>
      <w:r>
        <w:t>Opis provedbe cilja programa</w:t>
      </w:r>
    </w:p>
    <w:p w:rsidR="005C2091" w:rsidRDefault="00A86293">
      <w:r>
        <w:t>Robne zalihe čine osnovni poljoprivredno - prehrambeni i neprehrambeni proizvodi koji su nužno potrebni za život ljudi, naftni derivati te materijal i sirovine potrebni za proizvodnju, osobito ako imaju poseban značaj za obranu zemlje i zbrinjavanje stanovništva u slučaju velikih prirodnih nepogoda, tehničko - tehnoloških i ekoloških katastrofa. Cilj je popuniti Bilancu strateških robnih zaliha kako bi se moglo intervenirati u slučajevima predviđenim Zakonom o strateškim robnim zalihama. Vlada Republike Hrvatske je  28. travnja 2016. godine donijela Odluku o izmjeni Bilance strateških robnih zaliha, te je sukladno tim izmjenama bilo potrebno revidirati i polazne i ciljane vrijednosti pokazatelja učinka.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84"/>
        <w:gridCol w:w="2464"/>
        <w:gridCol w:w="1004"/>
        <w:gridCol w:w="1013"/>
        <w:gridCol w:w="1214"/>
        <w:gridCol w:w="1013"/>
        <w:gridCol w:w="1014"/>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 popunjenosti Bilance s poljoprivredno - prehrambenim proizvodima</w:t>
            </w:r>
          </w:p>
        </w:tc>
        <w:tc>
          <w:tcPr>
            <w:tcW w:w="2551" w:type="dxa"/>
          </w:tcPr>
          <w:p w:rsidR="005C2091" w:rsidRDefault="00A86293">
            <w:pPr>
              <w:pStyle w:val="CellColumn"/>
              <w:jc w:val="left"/>
            </w:pPr>
            <w:r>
              <w:rPr>
                <w:rFonts w:cs="Times New Roman"/>
              </w:rPr>
              <w:t>Povećanjem popunjenosti Bilance strateških robnih zaliha osigurava se mogućnost intervencije robama iz strateških robnih zaliha u nastupu okolnosti koje su predviđene Zakonom o strateškim robnim zalihama.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33,80</w:t>
            </w:r>
          </w:p>
        </w:tc>
        <w:tc>
          <w:tcPr>
            <w:tcW w:w="1020" w:type="dxa"/>
          </w:tcPr>
          <w:p w:rsidR="005C2091" w:rsidRDefault="00A86293">
            <w:pPr>
              <w:pStyle w:val="CellColumn"/>
              <w:jc w:val="right"/>
            </w:pPr>
            <w:r>
              <w:rPr>
                <w:rFonts w:cs="Times New Roman"/>
              </w:rPr>
              <w:t>Ravnateljstvo za robne zalihe</w:t>
            </w:r>
          </w:p>
        </w:tc>
        <w:tc>
          <w:tcPr>
            <w:tcW w:w="1020" w:type="dxa"/>
          </w:tcPr>
          <w:p w:rsidR="005C2091" w:rsidRDefault="00A86293">
            <w:pPr>
              <w:pStyle w:val="CellColumn"/>
              <w:jc w:val="right"/>
            </w:pPr>
            <w:r>
              <w:rPr>
                <w:rFonts w:cs="Times New Roman"/>
              </w:rPr>
              <w:t>35,00</w:t>
            </w:r>
          </w:p>
        </w:tc>
        <w:tc>
          <w:tcPr>
            <w:tcW w:w="1020" w:type="dxa"/>
          </w:tcPr>
          <w:p w:rsidR="005C2091" w:rsidRDefault="00A86293">
            <w:pPr>
              <w:pStyle w:val="CellColumn"/>
              <w:jc w:val="right"/>
            </w:pPr>
            <w:r>
              <w:rPr>
                <w:rFonts w:cs="Times New Roman"/>
              </w:rPr>
              <w:t>50,12</w:t>
            </w:r>
          </w:p>
        </w:tc>
      </w:tr>
      <w:tr w:rsidR="005C2091">
        <w:trPr>
          <w:jc w:val="center"/>
        </w:trPr>
        <w:tc>
          <w:tcPr>
            <w:tcW w:w="2551" w:type="dxa"/>
          </w:tcPr>
          <w:p w:rsidR="005C2091" w:rsidRDefault="00A86293">
            <w:pPr>
              <w:pStyle w:val="CellColumn"/>
              <w:jc w:val="left"/>
            </w:pPr>
            <w:r>
              <w:rPr>
                <w:rFonts w:cs="Times New Roman"/>
              </w:rPr>
              <w:t>% popunjenosti Bilance s neprehrambenim proizvodima</w:t>
            </w:r>
          </w:p>
        </w:tc>
        <w:tc>
          <w:tcPr>
            <w:tcW w:w="2551" w:type="dxa"/>
          </w:tcPr>
          <w:p w:rsidR="005C2091" w:rsidRDefault="00A86293">
            <w:pPr>
              <w:pStyle w:val="CellColumn"/>
              <w:jc w:val="left"/>
            </w:pPr>
            <w:r>
              <w:rPr>
                <w:rFonts w:cs="Times New Roman"/>
              </w:rPr>
              <w:t>Povećanjem popunjenosti Bilance strateških robnih zaliha osigurava se mogućnost intervencije robama iz strateških robnih zaliha u nastupu okolnosti koje su predviđene Zakonom o strateškim robnim zalihama.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45,48</w:t>
            </w:r>
          </w:p>
        </w:tc>
        <w:tc>
          <w:tcPr>
            <w:tcW w:w="1020" w:type="dxa"/>
          </w:tcPr>
          <w:p w:rsidR="005C2091" w:rsidRDefault="00A86293">
            <w:pPr>
              <w:pStyle w:val="CellColumn"/>
              <w:jc w:val="right"/>
            </w:pPr>
            <w:r>
              <w:rPr>
                <w:rFonts w:cs="Times New Roman"/>
              </w:rPr>
              <w:t>Ravnateljstvo za robne zalihe</w:t>
            </w:r>
          </w:p>
        </w:tc>
        <w:tc>
          <w:tcPr>
            <w:tcW w:w="1020" w:type="dxa"/>
          </w:tcPr>
          <w:p w:rsidR="005C2091" w:rsidRDefault="00A86293">
            <w:pPr>
              <w:pStyle w:val="CellColumn"/>
              <w:jc w:val="right"/>
            </w:pPr>
            <w:r>
              <w:rPr>
                <w:rFonts w:cs="Times New Roman"/>
              </w:rPr>
              <w:t>46,00</w:t>
            </w:r>
          </w:p>
        </w:tc>
        <w:tc>
          <w:tcPr>
            <w:tcW w:w="1020" w:type="dxa"/>
          </w:tcPr>
          <w:p w:rsidR="005C2091" w:rsidRDefault="00A86293">
            <w:pPr>
              <w:pStyle w:val="CellColumn"/>
              <w:jc w:val="right"/>
            </w:pPr>
            <w:r>
              <w:rPr>
                <w:rFonts w:cs="Times New Roman"/>
              </w:rPr>
              <w:t>46,39</w:t>
            </w:r>
          </w:p>
        </w:tc>
      </w:tr>
    </w:tbl>
    <w:p w:rsidR="005C2091" w:rsidRDefault="005C2091">
      <w:pPr>
        <w:jc w:val="left"/>
      </w:pPr>
    </w:p>
    <w:p w:rsidR="005C2091" w:rsidRDefault="00A86293">
      <w:pPr>
        <w:pStyle w:val="Heading4"/>
      </w:pPr>
      <w:r>
        <w:t>K561016 NABAVA ROBNIH ZALIHA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K561016-NABAVA ROBNIH ZALIHA REPUBLIKE HRVATSKE</w:t>
            </w:r>
          </w:p>
        </w:tc>
        <w:tc>
          <w:tcPr>
            <w:tcW w:w="2041" w:type="dxa"/>
          </w:tcPr>
          <w:p w:rsidR="005C2091" w:rsidRDefault="00A86293">
            <w:pPr>
              <w:pStyle w:val="CellColumn"/>
              <w:jc w:val="right"/>
            </w:pPr>
            <w:r>
              <w:rPr>
                <w:rFonts w:cs="Times New Roman"/>
              </w:rPr>
              <w:t>64.112.383</w:t>
            </w:r>
          </w:p>
        </w:tc>
        <w:tc>
          <w:tcPr>
            <w:tcW w:w="2041" w:type="dxa"/>
          </w:tcPr>
          <w:p w:rsidR="005C2091" w:rsidRDefault="00A86293">
            <w:pPr>
              <w:pStyle w:val="CellColumn"/>
              <w:jc w:val="right"/>
            </w:pPr>
            <w:r>
              <w:rPr>
                <w:rFonts w:cs="Times New Roman"/>
              </w:rPr>
              <w:t>53.388.000</w:t>
            </w:r>
          </w:p>
        </w:tc>
        <w:tc>
          <w:tcPr>
            <w:tcW w:w="2041" w:type="dxa"/>
          </w:tcPr>
          <w:p w:rsidR="005C2091" w:rsidRDefault="00A86293">
            <w:pPr>
              <w:pStyle w:val="CellColumn"/>
              <w:jc w:val="right"/>
            </w:pPr>
            <w:r>
              <w:rPr>
                <w:rFonts w:cs="Times New Roman"/>
              </w:rPr>
              <w:t>51.393.458</w:t>
            </w:r>
          </w:p>
        </w:tc>
        <w:tc>
          <w:tcPr>
            <w:tcW w:w="1224" w:type="dxa"/>
          </w:tcPr>
          <w:p w:rsidR="005C2091" w:rsidRDefault="00A86293">
            <w:pPr>
              <w:pStyle w:val="CellColumn"/>
              <w:jc w:val="right"/>
            </w:pPr>
            <w:r>
              <w:rPr>
                <w:rFonts w:cs="Times New Roman"/>
              </w:rPr>
              <w:t>96,3</w:t>
            </w:r>
          </w:p>
        </w:tc>
        <w:tc>
          <w:tcPr>
            <w:tcW w:w="1224" w:type="dxa"/>
          </w:tcPr>
          <w:p w:rsidR="005C2091" w:rsidRDefault="00A86293">
            <w:pPr>
              <w:pStyle w:val="CellColumn"/>
              <w:jc w:val="right"/>
            </w:pPr>
            <w:r>
              <w:rPr>
                <w:rFonts w:cs="Times New Roman"/>
              </w:rPr>
              <w:t>80,2</w:t>
            </w:r>
          </w:p>
        </w:tc>
      </w:tr>
    </w:tbl>
    <w:p w:rsidR="005C2091" w:rsidRDefault="005C2091">
      <w:pPr>
        <w:jc w:val="left"/>
      </w:pPr>
    </w:p>
    <w:p w:rsidR="005C2091" w:rsidRDefault="00A86293">
      <w:pPr>
        <w:pStyle w:val="Heading8"/>
        <w:jc w:val="left"/>
      </w:pPr>
      <w:r>
        <w:t>Zakonske i druge pravne osnove</w:t>
      </w:r>
    </w:p>
    <w:p w:rsidR="005C2091" w:rsidRDefault="00A86293">
      <w:r>
        <w:t>Zakon o strateškim robnim zalihama N.N. 87/2002 i 14/2014.</w:t>
      </w:r>
    </w:p>
    <w:p w:rsidR="005C2091" w:rsidRDefault="00A86293">
      <w:pPr>
        <w:pStyle w:val="Heading8"/>
        <w:jc w:val="left"/>
      </w:pPr>
      <w:r>
        <w:t>Opis aktivnosti</w:t>
      </w:r>
    </w:p>
    <w:p w:rsidR="005C2091" w:rsidRDefault="00A86293">
      <w:r>
        <w:t>U  kapitalnom projektu nabava robnih zaliha ostvarena je u iznosu od 51.393.458,00 kn. Izvršena je nabava pšenice, riže, tjestenine, sira, junećeg mesa, šećera, jaja u prahu, ulja, mesnih i ribljih konzervi, cjelodnevnog suhog obroka, vreća za spavanje, spremnika za vodu, čamaca za spašavanje, kontejnera za stanovanje, setova prve pomoći, potopnih pumpi, kreveta, deka, plahti, jastuka, zaštitnih maski i rukavica, gumenih čizmama i dr. roba strateških robnih zaliha. Vlada Republike Hrvatske donijela je  28.travnja 2016. godine Odluku o izmjeni Bilance strateških robnih zaliha, te je bilo potrebno revidirati polazne i ciljane vrijednosti pokazatelja rezultata. Izmjenom Bilance promijenjena je struktura roba strateških robnih zaliha, vrste robe, kao i količine, te način držanja pojedinih roba, tako da je Bilanca prilagođena novim saznanjima kao i procjenama vezano za učestalost i težinu elementarnih nepogoda. Realizacija kapitalnog projekta nastavlja se i u 2017. godini. Za izvršenje programa potrebno je osigurati značajna proračunska sredstva u narednom  razdoblju kako bi se izvršila popuna Bilance strateških robnih zaliha i omogućilo interveniranje u slučajevima predviđenim Zakonom o strateškim robnim zalihama.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4"/>
        <w:gridCol w:w="2463"/>
        <w:gridCol w:w="1005"/>
        <w:gridCol w:w="1013"/>
        <w:gridCol w:w="1214"/>
        <w:gridCol w:w="1013"/>
        <w:gridCol w:w="1014"/>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 xml:space="preserve">Popunjenost </w:t>
            </w:r>
          </w:p>
          <w:p w:rsidR="005C2091" w:rsidRDefault="00A86293">
            <w:pPr>
              <w:pStyle w:val="CellColumn"/>
              <w:jc w:val="left"/>
            </w:pPr>
            <w:r>
              <w:rPr>
                <w:rFonts w:cs="Times New Roman"/>
              </w:rPr>
              <w:t xml:space="preserve">Bilance strateških </w:t>
            </w:r>
          </w:p>
          <w:p w:rsidR="005C2091" w:rsidRDefault="00A86293">
            <w:pPr>
              <w:pStyle w:val="CellColumn"/>
              <w:jc w:val="left"/>
            </w:pPr>
            <w:r>
              <w:rPr>
                <w:rFonts w:cs="Times New Roman"/>
              </w:rPr>
              <w:t xml:space="preserve">robnih zaliha s </w:t>
            </w:r>
          </w:p>
          <w:p w:rsidR="005C2091" w:rsidRDefault="00A86293">
            <w:pPr>
              <w:pStyle w:val="CellColumn"/>
              <w:jc w:val="left"/>
            </w:pPr>
            <w:r>
              <w:rPr>
                <w:rFonts w:cs="Times New Roman"/>
              </w:rPr>
              <w:t xml:space="preserve">poljoprivredno </w:t>
            </w:r>
          </w:p>
          <w:p w:rsidR="005C2091" w:rsidRDefault="00A86293">
            <w:pPr>
              <w:pStyle w:val="CellColumn"/>
              <w:jc w:val="left"/>
            </w:pPr>
            <w:r>
              <w:rPr>
                <w:rFonts w:cs="Times New Roman"/>
              </w:rPr>
              <w:t xml:space="preserve">- prehrambenim </w:t>
            </w:r>
          </w:p>
          <w:p w:rsidR="005C2091" w:rsidRDefault="00A86293">
            <w:pPr>
              <w:pStyle w:val="CellColumn"/>
              <w:jc w:val="left"/>
            </w:pPr>
            <w:r>
              <w:rPr>
                <w:rFonts w:cs="Times New Roman"/>
              </w:rPr>
              <w:t>proizvodima</w:t>
            </w:r>
          </w:p>
        </w:tc>
        <w:tc>
          <w:tcPr>
            <w:tcW w:w="2551" w:type="dxa"/>
          </w:tcPr>
          <w:p w:rsidR="005C2091" w:rsidRDefault="00A86293">
            <w:pPr>
              <w:pStyle w:val="CellColumn"/>
              <w:jc w:val="left"/>
            </w:pPr>
            <w:r>
              <w:rPr>
                <w:rFonts w:cs="Times New Roman"/>
              </w:rPr>
              <w:t>Nabavom potrebnih količina strateških robnih zaliha osigurava se mogućnost intervencija iz robnih zaliha u slučajevima predviđenim Zakonom o strateškim robnim zalihama.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33,80</w:t>
            </w:r>
          </w:p>
        </w:tc>
        <w:tc>
          <w:tcPr>
            <w:tcW w:w="1020" w:type="dxa"/>
          </w:tcPr>
          <w:p w:rsidR="005C2091" w:rsidRDefault="00A86293">
            <w:pPr>
              <w:pStyle w:val="CellColumn"/>
              <w:jc w:val="right"/>
            </w:pPr>
            <w:r>
              <w:rPr>
                <w:rFonts w:cs="Times New Roman"/>
              </w:rPr>
              <w:t>Ravnateljstvo za robne zalihe</w:t>
            </w:r>
          </w:p>
        </w:tc>
        <w:tc>
          <w:tcPr>
            <w:tcW w:w="1020" w:type="dxa"/>
          </w:tcPr>
          <w:p w:rsidR="005C2091" w:rsidRDefault="00A86293">
            <w:pPr>
              <w:pStyle w:val="CellColumn"/>
              <w:jc w:val="right"/>
            </w:pPr>
            <w:r>
              <w:rPr>
                <w:rFonts w:cs="Times New Roman"/>
              </w:rPr>
              <w:t>35,00</w:t>
            </w:r>
          </w:p>
        </w:tc>
        <w:tc>
          <w:tcPr>
            <w:tcW w:w="1020" w:type="dxa"/>
          </w:tcPr>
          <w:p w:rsidR="005C2091" w:rsidRDefault="00A86293">
            <w:pPr>
              <w:pStyle w:val="CellColumn"/>
              <w:jc w:val="right"/>
            </w:pPr>
            <w:r>
              <w:rPr>
                <w:rFonts w:cs="Times New Roman"/>
              </w:rPr>
              <w:t>50,12</w:t>
            </w:r>
          </w:p>
        </w:tc>
      </w:tr>
      <w:tr w:rsidR="005C2091">
        <w:trPr>
          <w:jc w:val="center"/>
        </w:trPr>
        <w:tc>
          <w:tcPr>
            <w:tcW w:w="2551" w:type="dxa"/>
          </w:tcPr>
          <w:p w:rsidR="005C2091" w:rsidRDefault="00A86293">
            <w:pPr>
              <w:pStyle w:val="CellColumn"/>
              <w:jc w:val="left"/>
            </w:pPr>
            <w:r>
              <w:rPr>
                <w:rFonts w:cs="Times New Roman"/>
              </w:rPr>
              <w:t>Popunjenost Bilance strateških robnih zaliha se neprehrambenim proizvodima.</w:t>
            </w:r>
          </w:p>
        </w:tc>
        <w:tc>
          <w:tcPr>
            <w:tcW w:w="2551" w:type="dxa"/>
          </w:tcPr>
          <w:p w:rsidR="005C2091" w:rsidRDefault="00A86293">
            <w:pPr>
              <w:pStyle w:val="CellColumn"/>
              <w:jc w:val="left"/>
            </w:pPr>
            <w:r>
              <w:rPr>
                <w:rFonts w:cs="Times New Roman"/>
              </w:rPr>
              <w:t>Nabavom potrebnih količina strateških robnih zaliha osigurava se mogućnost intervencija iz robnih zaliha u slučajevima predviđenim Zakonom o strateškim robnim zalihama.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45,48</w:t>
            </w:r>
          </w:p>
        </w:tc>
        <w:tc>
          <w:tcPr>
            <w:tcW w:w="1020" w:type="dxa"/>
          </w:tcPr>
          <w:p w:rsidR="005C2091" w:rsidRDefault="00A86293">
            <w:pPr>
              <w:pStyle w:val="CellColumn"/>
              <w:jc w:val="right"/>
            </w:pPr>
            <w:r>
              <w:rPr>
                <w:rFonts w:cs="Times New Roman"/>
              </w:rPr>
              <w:t>Ravnateljstvo za robne zalihe</w:t>
            </w:r>
          </w:p>
        </w:tc>
        <w:tc>
          <w:tcPr>
            <w:tcW w:w="1020" w:type="dxa"/>
          </w:tcPr>
          <w:p w:rsidR="005C2091" w:rsidRDefault="00A86293">
            <w:pPr>
              <w:pStyle w:val="CellColumn"/>
              <w:jc w:val="right"/>
            </w:pPr>
            <w:r>
              <w:rPr>
                <w:rFonts w:cs="Times New Roman"/>
              </w:rPr>
              <w:t>46,00</w:t>
            </w:r>
          </w:p>
        </w:tc>
        <w:tc>
          <w:tcPr>
            <w:tcW w:w="1020" w:type="dxa"/>
          </w:tcPr>
          <w:p w:rsidR="005C2091" w:rsidRDefault="00A86293">
            <w:pPr>
              <w:pStyle w:val="CellColumn"/>
              <w:jc w:val="right"/>
            </w:pPr>
            <w:r>
              <w:rPr>
                <w:rFonts w:cs="Times New Roman"/>
              </w:rPr>
              <w:t>46,39</w:t>
            </w:r>
          </w:p>
        </w:tc>
      </w:tr>
    </w:tbl>
    <w:p w:rsidR="005C2091" w:rsidRDefault="005C2091">
      <w:pPr>
        <w:jc w:val="left"/>
      </w:pPr>
    </w:p>
    <w:p w:rsidR="005C2091" w:rsidRDefault="00A86293">
      <w:pPr>
        <w:pStyle w:val="Heading2"/>
      </w:pPr>
      <w:r>
        <w:t>04965 Proračunski korisnici u gospodarstvu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44389-Agencija za opremu pod tlakom</w:t>
            </w:r>
          </w:p>
        </w:tc>
        <w:tc>
          <w:tcPr>
            <w:tcW w:w="2041" w:type="dxa"/>
          </w:tcPr>
          <w:p w:rsidR="005C2091" w:rsidRDefault="00A86293">
            <w:pPr>
              <w:pStyle w:val="CellColumn"/>
              <w:jc w:val="right"/>
            </w:pPr>
            <w:r>
              <w:rPr>
                <w:rFonts w:cs="Times New Roman"/>
              </w:rPr>
              <w:t>5.092.563</w:t>
            </w:r>
          </w:p>
        </w:tc>
        <w:tc>
          <w:tcPr>
            <w:tcW w:w="2041" w:type="dxa"/>
          </w:tcPr>
          <w:p w:rsidR="005C2091" w:rsidRDefault="00A86293">
            <w:pPr>
              <w:pStyle w:val="CellColumn"/>
              <w:jc w:val="right"/>
            </w:pPr>
            <w:r>
              <w:rPr>
                <w:rFonts w:cs="Times New Roman"/>
              </w:rPr>
              <w:t>4.418.000</w:t>
            </w:r>
          </w:p>
        </w:tc>
        <w:tc>
          <w:tcPr>
            <w:tcW w:w="2041" w:type="dxa"/>
          </w:tcPr>
          <w:p w:rsidR="005C2091" w:rsidRDefault="00A86293">
            <w:pPr>
              <w:pStyle w:val="CellColumn"/>
              <w:jc w:val="right"/>
            </w:pPr>
            <w:r>
              <w:rPr>
                <w:rFonts w:cs="Times New Roman"/>
              </w:rPr>
              <w:t>4.385.355</w:t>
            </w:r>
          </w:p>
        </w:tc>
        <w:tc>
          <w:tcPr>
            <w:tcW w:w="1224" w:type="dxa"/>
          </w:tcPr>
          <w:p w:rsidR="005C2091" w:rsidRDefault="00A86293">
            <w:pPr>
              <w:pStyle w:val="CellColumn"/>
              <w:jc w:val="right"/>
            </w:pPr>
            <w:r>
              <w:rPr>
                <w:rFonts w:cs="Times New Roman"/>
              </w:rPr>
              <w:t>99,3</w:t>
            </w:r>
          </w:p>
        </w:tc>
        <w:tc>
          <w:tcPr>
            <w:tcW w:w="1224" w:type="dxa"/>
          </w:tcPr>
          <w:p w:rsidR="005C2091" w:rsidRDefault="00A86293">
            <w:pPr>
              <w:pStyle w:val="CellColumn"/>
              <w:jc w:val="right"/>
            </w:pPr>
            <w:r>
              <w:rPr>
                <w:rFonts w:cs="Times New Roman"/>
              </w:rPr>
              <w:t>86,1</w:t>
            </w:r>
          </w:p>
        </w:tc>
      </w:tr>
      <w:tr w:rsidR="005C2091">
        <w:trPr>
          <w:jc w:val="center"/>
        </w:trPr>
        <w:tc>
          <w:tcPr>
            <w:tcW w:w="1632" w:type="dxa"/>
          </w:tcPr>
          <w:p w:rsidR="005C2091" w:rsidRDefault="00A86293">
            <w:pPr>
              <w:pStyle w:val="CellColumn"/>
              <w:jc w:val="left"/>
            </w:pPr>
            <w:r>
              <w:rPr>
                <w:rFonts w:cs="Times New Roman"/>
              </w:rPr>
              <w:t>47641-Agencija za investicije i konkurentnost</w:t>
            </w:r>
          </w:p>
        </w:tc>
        <w:tc>
          <w:tcPr>
            <w:tcW w:w="2041" w:type="dxa"/>
          </w:tcPr>
          <w:p w:rsidR="005C2091" w:rsidRDefault="00A86293">
            <w:pPr>
              <w:pStyle w:val="CellColumn"/>
              <w:jc w:val="right"/>
            </w:pPr>
            <w:r>
              <w:rPr>
                <w:rFonts w:cs="Times New Roman"/>
              </w:rPr>
              <w:t>13.150.664</w:t>
            </w:r>
          </w:p>
        </w:tc>
        <w:tc>
          <w:tcPr>
            <w:tcW w:w="2041" w:type="dxa"/>
          </w:tcPr>
          <w:p w:rsidR="005C2091" w:rsidRDefault="00A86293">
            <w:pPr>
              <w:pStyle w:val="CellColumn"/>
              <w:jc w:val="right"/>
            </w:pPr>
            <w:r>
              <w:rPr>
                <w:rFonts w:cs="Times New Roman"/>
              </w:rPr>
              <w:t>11.755.547</w:t>
            </w:r>
          </w:p>
        </w:tc>
        <w:tc>
          <w:tcPr>
            <w:tcW w:w="2041" w:type="dxa"/>
          </w:tcPr>
          <w:p w:rsidR="005C2091" w:rsidRDefault="00A86293">
            <w:pPr>
              <w:pStyle w:val="CellColumn"/>
              <w:jc w:val="right"/>
            </w:pPr>
            <w:r>
              <w:rPr>
                <w:rFonts w:cs="Times New Roman"/>
              </w:rPr>
              <w:t>10.137.021</w:t>
            </w:r>
          </w:p>
        </w:tc>
        <w:tc>
          <w:tcPr>
            <w:tcW w:w="1224" w:type="dxa"/>
          </w:tcPr>
          <w:p w:rsidR="005C2091" w:rsidRDefault="00A86293">
            <w:pPr>
              <w:pStyle w:val="CellColumn"/>
              <w:jc w:val="right"/>
            </w:pPr>
            <w:r>
              <w:rPr>
                <w:rFonts w:cs="Times New Roman"/>
              </w:rPr>
              <w:t>86,2</w:t>
            </w:r>
          </w:p>
        </w:tc>
        <w:tc>
          <w:tcPr>
            <w:tcW w:w="1224" w:type="dxa"/>
          </w:tcPr>
          <w:p w:rsidR="005C2091" w:rsidRDefault="00A86293">
            <w:pPr>
              <w:pStyle w:val="CellColumn"/>
              <w:jc w:val="right"/>
            </w:pPr>
            <w:r>
              <w:rPr>
                <w:rFonts w:cs="Times New Roman"/>
              </w:rPr>
              <w:t>77,1</w:t>
            </w:r>
          </w:p>
        </w:tc>
      </w:tr>
      <w:tr w:rsidR="005C2091">
        <w:trPr>
          <w:jc w:val="center"/>
        </w:trPr>
        <w:tc>
          <w:tcPr>
            <w:tcW w:w="1632" w:type="dxa"/>
          </w:tcPr>
          <w:p w:rsidR="005C2091" w:rsidRDefault="00A86293">
            <w:pPr>
              <w:pStyle w:val="CellColumn"/>
              <w:jc w:val="left"/>
            </w:pPr>
            <w:r>
              <w:rPr>
                <w:rFonts w:cs="Times New Roman"/>
              </w:rPr>
              <w:t>47797-Hrvatska agencija za obvezne zalihe nafte i naftnih derivata</w:t>
            </w:r>
          </w:p>
        </w:tc>
        <w:tc>
          <w:tcPr>
            <w:tcW w:w="2041" w:type="dxa"/>
          </w:tcPr>
          <w:p w:rsidR="005C2091" w:rsidRDefault="00A86293">
            <w:pPr>
              <w:pStyle w:val="CellColumn"/>
              <w:jc w:val="right"/>
            </w:pPr>
            <w:r>
              <w:rPr>
                <w:rFonts w:cs="Times New Roman"/>
              </w:rPr>
              <w:t>586.057.772</w:t>
            </w:r>
          </w:p>
        </w:tc>
        <w:tc>
          <w:tcPr>
            <w:tcW w:w="2041" w:type="dxa"/>
          </w:tcPr>
          <w:p w:rsidR="005C2091" w:rsidRDefault="00A86293">
            <w:pPr>
              <w:pStyle w:val="CellColumn"/>
              <w:jc w:val="right"/>
            </w:pPr>
            <w:r>
              <w:rPr>
                <w:rFonts w:cs="Times New Roman"/>
              </w:rPr>
              <w:t>313.999.433</w:t>
            </w:r>
          </w:p>
        </w:tc>
        <w:tc>
          <w:tcPr>
            <w:tcW w:w="2041" w:type="dxa"/>
          </w:tcPr>
          <w:p w:rsidR="005C2091" w:rsidRDefault="00A86293">
            <w:pPr>
              <w:pStyle w:val="CellColumn"/>
              <w:jc w:val="right"/>
            </w:pPr>
            <w:r>
              <w:rPr>
                <w:rFonts w:cs="Times New Roman"/>
              </w:rPr>
              <w:t>329.367.235</w:t>
            </w:r>
          </w:p>
        </w:tc>
        <w:tc>
          <w:tcPr>
            <w:tcW w:w="1224" w:type="dxa"/>
          </w:tcPr>
          <w:p w:rsidR="005C2091" w:rsidRDefault="00A86293">
            <w:pPr>
              <w:pStyle w:val="CellColumn"/>
              <w:jc w:val="right"/>
            </w:pPr>
            <w:r>
              <w:rPr>
                <w:rFonts w:cs="Times New Roman"/>
              </w:rPr>
              <w:t>104,9</w:t>
            </w:r>
          </w:p>
        </w:tc>
        <w:tc>
          <w:tcPr>
            <w:tcW w:w="1224" w:type="dxa"/>
          </w:tcPr>
          <w:p w:rsidR="005C2091" w:rsidRDefault="00A86293">
            <w:pPr>
              <w:pStyle w:val="CellColumn"/>
              <w:jc w:val="right"/>
            </w:pPr>
            <w:r>
              <w:rPr>
                <w:rFonts w:cs="Times New Roman"/>
              </w:rPr>
              <w:t>56,2</w:t>
            </w:r>
          </w:p>
        </w:tc>
      </w:tr>
      <w:tr w:rsidR="005C2091">
        <w:trPr>
          <w:jc w:val="center"/>
        </w:trPr>
        <w:tc>
          <w:tcPr>
            <w:tcW w:w="1632" w:type="dxa"/>
          </w:tcPr>
          <w:p w:rsidR="005C2091" w:rsidRDefault="00A86293">
            <w:pPr>
              <w:pStyle w:val="CellColumn"/>
              <w:jc w:val="left"/>
            </w:pPr>
            <w:r>
              <w:rPr>
                <w:rFonts w:cs="Times New Roman"/>
              </w:rPr>
              <w:t>49235-Centar za praćenje poslovanja energetskog sektora i investicija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4.980.814</w:t>
            </w:r>
          </w:p>
        </w:tc>
        <w:tc>
          <w:tcPr>
            <w:tcW w:w="2041" w:type="dxa"/>
          </w:tcPr>
          <w:p w:rsidR="005C2091" w:rsidRDefault="00A86293">
            <w:pPr>
              <w:pStyle w:val="CellColumn"/>
              <w:jc w:val="right"/>
            </w:pPr>
            <w:r>
              <w:rPr>
                <w:rFonts w:cs="Times New Roman"/>
              </w:rPr>
              <w:t>4.980.807</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3"/>
      </w:pPr>
      <w:r>
        <w:rPr>
          <w:rFonts w:cs="Times New Roman"/>
        </w:rPr>
        <w:t>44389 Agencija za opremu pod tlakom</w:t>
      </w:r>
    </w:p>
    <w:p w:rsidR="005C2091" w:rsidRDefault="00A86293" w:rsidP="00B148E9">
      <w:r>
        <w:t xml:space="preserve">Agencija za opremu pod tlakom je ovlašteno tijelo za preglede i ispitivanje opreme pod </w:t>
      </w:r>
      <w:r w:rsidR="00B148E9">
        <w:t>tlakom</w:t>
      </w:r>
      <w:r w:rsidR="00B148E9">
        <w:tab/>
        <w:t xml:space="preserve">visoke razine </w:t>
      </w:r>
      <w:r>
        <w:t xml:space="preserve">opasnosti.  Agencija  za  opremu  pod  tlakom  obavlja  djelatnost </w:t>
      </w:r>
      <w:r w:rsidR="00B148E9">
        <w:t xml:space="preserve"> sukladno članku 4. Zakona </w:t>
      </w:r>
      <w:r>
        <w:t>o</w:t>
      </w:r>
      <w:r w:rsidR="00B148E9">
        <w:t xml:space="preserve"> </w:t>
      </w:r>
      <w:r>
        <w:t xml:space="preserve">tehničkim   zahtjevima   za   proizvode   i   ocjenjivanju sukladnosti i tehničkim propisima ("Narodne novine", broj 80/13 i 14/14) donesenim na temelju tog Zakona: </w:t>
      </w:r>
    </w:p>
    <w:p w:rsidR="005C2091" w:rsidRDefault="00A86293" w:rsidP="00B148E9">
      <w:r>
        <w:t>1.</w:t>
      </w:r>
      <w:r>
        <w:tab/>
        <w:t xml:space="preserve">razvrstavanje opreme pod tlakom prema razini opasnosti; </w:t>
      </w:r>
    </w:p>
    <w:p w:rsidR="005C2091" w:rsidRDefault="00A86293" w:rsidP="00B148E9">
      <w:r>
        <w:t>2.</w:t>
      </w:r>
      <w:r>
        <w:tab/>
        <w:t xml:space="preserve">prvi pregled opreme pod tlakom visoke razine opasnosti; </w:t>
      </w:r>
    </w:p>
    <w:p w:rsidR="005C2091" w:rsidRDefault="00A86293" w:rsidP="00B148E9">
      <w:r>
        <w:t>3.</w:t>
      </w:r>
      <w:r>
        <w:tab/>
        <w:t xml:space="preserve">periodički pregled opreme pod tlakom visoke razine opasnosti; </w:t>
      </w:r>
    </w:p>
    <w:p w:rsidR="005C2091" w:rsidRDefault="00A86293" w:rsidP="00B148E9">
      <w:r>
        <w:t>4.</w:t>
      </w:r>
      <w:r>
        <w:tab/>
        <w:t xml:space="preserve">izvanredni pregled opreme pod tlakom visoke razine opasnosti; </w:t>
      </w:r>
    </w:p>
    <w:p w:rsidR="005C2091" w:rsidRDefault="00A86293" w:rsidP="00B148E9">
      <w:r>
        <w:lastRenderedPageBreak/>
        <w:t>5.</w:t>
      </w:r>
      <w:r>
        <w:tab/>
        <w:t xml:space="preserve">pregled prije ponovnog puštanja u rad opreme pod tlakom visoke razine opasnosti; </w:t>
      </w:r>
    </w:p>
    <w:p w:rsidR="005C2091" w:rsidRDefault="00A86293" w:rsidP="00B148E9">
      <w:r>
        <w:t>6.</w:t>
      </w:r>
      <w:r>
        <w:tab/>
        <w:t xml:space="preserve">ispitivanje opreme pod tlakom visoke razine opasnosti; </w:t>
      </w:r>
    </w:p>
    <w:p w:rsidR="005C2091" w:rsidRDefault="00A86293" w:rsidP="00B148E9">
      <w:r>
        <w:t>7.</w:t>
      </w:r>
      <w:r>
        <w:tab/>
        <w:t xml:space="preserve">provjera održavanja i podešavanja sigurnosnog pribora; </w:t>
      </w:r>
    </w:p>
    <w:p w:rsidR="005C2091" w:rsidRDefault="00A86293" w:rsidP="00B148E9">
      <w:r>
        <w:t>8.</w:t>
      </w:r>
      <w:r>
        <w:tab/>
        <w:t xml:space="preserve">provođenje tehničkog nadzora nad postupcima popravaka i održavanja opreme pod tlakom visoke razine opasnosti; </w:t>
      </w:r>
    </w:p>
    <w:p w:rsidR="005C2091" w:rsidRDefault="00A86293" w:rsidP="00B148E9">
      <w:r>
        <w:t>9.</w:t>
      </w:r>
      <w:r>
        <w:tab/>
        <w:t xml:space="preserve">vođenje evidencije opreme pod tlakom visoke razine opasnosti i dokumentacije opreme pod tlakom visoke razine opasnosti; </w:t>
      </w:r>
    </w:p>
    <w:p w:rsidR="005C2091" w:rsidRDefault="00A86293" w:rsidP="00B148E9">
      <w:r>
        <w:t xml:space="preserve">10. vođenje evidencije i provođenje tehničkog nadzora nad pravnim osobama koje obavljaju poslove ispitivanja i podešavanja sigurnosnog pribora i pripreme opreme pod tlakom visoke razine opasnosti za periodičke preglede; </w:t>
      </w:r>
    </w:p>
    <w:p w:rsidR="005C2091" w:rsidRDefault="00A86293" w:rsidP="00B148E9">
      <w:r>
        <w:t xml:space="preserve">11. obavješćivanje nadležnih inspekcijskih tijela o opremi pod tlakom koju je potrebno staviti izvan uporabe zbog neispunjavanja sigurnosnih zahtjeva; </w:t>
      </w:r>
    </w:p>
    <w:p w:rsidR="005C2091" w:rsidRDefault="00A86293" w:rsidP="00B148E9">
      <w:r>
        <w:t>12. sudjelovanje u procesu donošenja tehničkih specifikacija i izobrazbe iz područja opreme pod tlakom.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44389-Agencija za opremu pod tlakom</w:t>
            </w:r>
          </w:p>
        </w:tc>
        <w:tc>
          <w:tcPr>
            <w:tcW w:w="2041" w:type="dxa"/>
          </w:tcPr>
          <w:p w:rsidR="005C2091" w:rsidRDefault="00A86293">
            <w:pPr>
              <w:pStyle w:val="CellColumn"/>
              <w:jc w:val="right"/>
            </w:pPr>
            <w:r>
              <w:rPr>
                <w:rFonts w:cs="Times New Roman"/>
              </w:rPr>
              <w:t>5.092.563</w:t>
            </w:r>
          </w:p>
        </w:tc>
        <w:tc>
          <w:tcPr>
            <w:tcW w:w="2041" w:type="dxa"/>
          </w:tcPr>
          <w:p w:rsidR="005C2091" w:rsidRDefault="00A86293">
            <w:pPr>
              <w:pStyle w:val="CellColumn"/>
              <w:jc w:val="right"/>
            </w:pPr>
            <w:r>
              <w:rPr>
                <w:rFonts w:cs="Times New Roman"/>
              </w:rPr>
              <w:t>4.418.000</w:t>
            </w:r>
          </w:p>
        </w:tc>
        <w:tc>
          <w:tcPr>
            <w:tcW w:w="2041" w:type="dxa"/>
          </w:tcPr>
          <w:p w:rsidR="005C2091" w:rsidRDefault="00A86293">
            <w:pPr>
              <w:pStyle w:val="CellColumn"/>
              <w:jc w:val="right"/>
            </w:pPr>
            <w:r>
              <w:rPr>
                <w:rFonts w:cs="Times New Roman"/>
              </w:rPr>
              <w:t>4.385.355</w:t>
            </w:r>
          </w:p>
        </w:tc>
        <w:tc>
          <w:tcPr>
            <w:tcW w:w="1224" w:type="dxa"/>
          </w:tcPr>
          <w:p w:rsidR="005C2091" w:rsidRDefault="00A86293">
            <w:pPr>
              <w:pStyle w:val="CellColumn"/>
              <w:jc w:val="right"/>
            </w:pPr>
            <w:r>
              <w:rPr>
                <w:rFonts w:cs="Times New Roman"/>
              </w:rPr>
              <w:t>99,3</w:t>
            </w:r>
          </w:p>
        </w:tc>
        <w:tc>
          <w:tcPr>
            <w:tcW w:w="1224" w:type="dxa"/>
          </w:tcPr>
          <w:p w:rsidR="005C2091" w:rsidRDefault="00A86293">
            <w:pPr>
              <w:pStyle w:val="CellColumn"/>
              <w:jc w:val="right"/>
            </w:pPr>
            <w:r>
              <w:rPr>
                <w:rFonts w:cs="Times New Roman"/>
              </w:rPr>
              <w:t>86,1</w:t>
            </w:r>
          </w:p>
        </w:tc>
      </w:tr>
      <w:tr w:rsidR="005C2091">
        <w:trPr>
          <w:jc w:val="center"/>
        </w:trPr>
        <w:tc>
          <w:tcPr>
            <w:tcW w:w="1632" w:type="dxa"/>
          </w:tcPr>
          <w:p w:rsidR="005C2091" w:rsidRDefault="00A86293">
            <w:pPr>
              <w:jc w:val="left"/>
            </w:pPr>
            <w:r>
              <w:t>3218-UNAPREĐENJE SIGURNOSTI LJUDI, IMOVINE I OKOLIŠA</w:t>
            </w:r>
          </w:p>
        </w:tc>
        <w:tc>
          <w:tcPr>
            <w:tcW w:w="2041" w:type="dxa"/>
          </w:tcPr>
          <w:p w:rsidR="005C2091" w:rsidRDefault="00A86293">
            <w:pPr>
              <w:jc w:val="right"/>
            </w:pPr>
            <w:r>
              <w:t>5.092.563</w:t>
            </w:r>
          </w:p>
        </w:tc>
        <w:tc>
          <w:tcPr>
            <w:tcW w:w="2041" w:type="dxa"/>
          </w:tcPr>
          <w:p w:rsidR="005C2091" w:rsidRDefault="00A86293">
            <w:pPr>
              <w:jc w:val="right"/>
            </w:pPr>
            <w:r>
              <w:t>4.418.000</w:t>
            </w:r>
          </w:p>
        </w:tc>
        <w:tc>
          <w:tcPr>
            <w:tcW w:w="2041" w:type="dxa"/>
          </w:tcPr>
          <w:p w:rsidR="005C2091" w:rsidRDefault="00A86293">
            <w:pPr>
              <w:jc w:val="right"/>
            </w:pPr>
            <w:r>
              <w:t>4.385.355</w:t>
            </w:r>
          </w:p>
        </w:tc>
        <w:tc>
          <w:tcPr>
            <w:tcW w:w="1224" w:type="dxa"/>
          </w:tcPr>
          <w:p w:rsidR="005C2091" w:rsidRDefault="00A86293">
            <w:pPr>
              <w:jc w:val="right"/>
            </w:pPr>
            <w:r>
              <w:t>99,3</w:t>
            </w:r>
          </w:p>
        </w:tc>
        <w:tc>
          <w:tcPr>
            <w:tcW w:w="1224" w:type="dxa"/>
          </w:tcPr>
          <w:p w:rsidR="005C2091" w:rsidRDefault="00A86293">
            <w:pPr>
              <w:jc w:val="right"/>
            </w:pPr>
            <w:r>
              <w:t>86,1</w:t>
            </w:r>
          </w:p>
        </w:tc>
      </w:tr>
    </w:tbl>
    <w:p w:rsidR="005C2091" w:rsidRDefault="005C2091">
      <w:pPr>
        <w:jc w:val="left"/>
      </w:pPr>
    </w:p>
    <w:p w:rsidR="00B148E9" w:rsidRDefault="00B148E9">
      <w:pPr>
        <w:jc w:val="left"/>
      </w:pPr>
    </w:p>
    <w:p w:rsidR="00B148E9" w:rsidRDefault="00B148E9">
      <w:pPr>
        <w:jc w:val="left"/>
      </w:pPr>
    </w:p>
    <w:p w:rsidR="00B148E9" w:rsidRDefault="00B148E9">
      <w:pPr>
        <w:jc w:val="left"/>
      </w:pPr>
    </w:p>
    <w:p w:rsidR="00B148E9" w:rsidRDefault="00B148E9">
      <w:pPr>
        <w:jc w:val="left"/>
      </w:pPr>
    </w:p>
    <w:p w:rsidR="00B148E9" w:rsidRDefault="00B148E9">
      <w:pPr>
        <w:jc w:val="left"/>
      </w:pPr>
    </w:p>
    <w:p w:rsidR="005C2091" w:rsidRDefault="00A86293">
      <w:pPr>
        <w:pStyle w:val="Heading3"/>
      </w:pPr>
      <w:r>
        <w:rPr>
          <w:rFonts w:cs="Times New Roman"/>
        </w:rPr>
        <w:t>3218 UNAPREĐENJE SIGURNOSTI LJUDI, IMOVINE I OKOLIŠA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3218-UNAPREĐENJE SIGURNOSTI LJUDI, IMOVINE I OKOLIŠA</w:t>
            </w:r>
          </w:p>
        </w:tc>
        <w:tc>
          <w:tcPr>
            <w:tcW w:w="2041" w:type="dxa"/>
          </w:tcPr>
          <w:p w:rsidR="005C2091" w:rsidRDefault="00A86293">
            <w:pPr>
              <w:pStyle w:val="CellColumn"/>
              <w:jc w:val="right"/>
            </w:pPr>
            <w:r>
              <w:rPr>
                <w:rFonts w:cs="Times New Roman"/>
              </w:rPr>
              <w:t>5.092.563</w:t>
            </w:r>
          </w:p>
        </w:tc>
        <w:tc>
          <w:tcPr>
            <w:tcW w:w="2041" w:type="dxa"/>
          </w:tcPr>
          <w:p w:rsidR="005C2091" w:rsidRDefault="00A86293">
            <w:pPr>
              <w:pStyle w:val="CellColumn"/>
              <w:jc w:val="right"/>
            </w:pPr>
            <w:r>
              <w:rPr>
                <w:rFonts w:cs="Times New Roman"/>
              </w:rPr>
              <w:t>4.418.000</w:t>
            </w:r>
          </w:p>
        </w:tc>
        <w:tc>
          <w:tcPr>
            <w:tcW w:w="2041" w:type="dxa"/>
          </w:tcPr>
          <w:p w:rsidR="005C2091" w:rsidRDefault="00A86293">
            <w:pPr>
              <w:pStyle w:val="CellColumn"/>
              <w:jc w:val="right"/>
            </w:pPr>
            <w:r>
              <w:rPr>
                <w:rFonts w:cs="Times New Roman"/>
              </w:rPr>
              <w:t>4.385.355</w:t>
            </w:r>
          </w:p>
        </w:tc>
        <w:tc>
          <w:tcPr>
            <w:tcW w:w="1224" w:type="dxa"/>
          </w:tcPr>
          <w:p w:rsidR="005C2091" w:rsidRDefault="00A86293">
            <w:pPr>
              <w:pStyle w:val="CellColumn"/>
              <w:jc w:val="right"/>
            </w:pPr>
            <w:r>
              <w:rPr>
                <w:rFonts w:cs="Times New Roman"/>
              </w:rPr>
              <w:t>99,3</w:t>
            </w:r>
          </w:p>
        </w:tc>
        <w:tc>
          <w:tcPr>
            <w:tcW w:w="1224" w:type="dxa"/>
          </w:tcPr>
          <w:p w:rsidR="005C2091" w:rsidRDefault="00A86293">
            <w:pPr>
              <w:pStyle w:val="CellColumn"/>
              <w:jc w:val="right"/>
            </w:pPr>
            <w:r>
              <w:rPr>
                <w:rFonts w:cs="Times New Roman"/>
              </w:rPr>
              <w:t>86,1</w:t>
            </w:r>
          </w:p>
        </w:tc>
      </w:tr>
    </w:tbl>
    <w:p w:rsidR="005C2091" w:rsidRDefault="005C2091">
      <w:pPr>
        <w:jc w:val="left"/>
      </w:pPr>
    </w:p>
    <w:p w:rsidR="005C2091" w:rsidRDefault="00A86293">
      <w:r>
        <w:t>Ovim programom Agencija osigurava sredstva za obavljanje poslova vezanih za preglede i ispitivanje opreme pod tlakom visoke razine</w:t>
      </w:r>
      <w:r>
        <w:tab/>
        <w:t>opasnosti, a čija je djelatnost od interesa za Republiku Hrvatsku, zbog sigurnosti ljudi, imovine i okoliša. U procesu pridruživanja Europskoj uniji RH je uskladila</w:t>
      </w:r>
      <w:r>
        <w:tab/>
        <w:t xml:space="preserve">tehničko zakonodavstvo na </w:t>
      </w:r>
      <w:r>
        <w:lastRenderedPageBreak/>
        <w:t>području opreme pod tlakom budući da je oprema pod tlakom zbog svojih specifičnosti, posebice opasnosti za ljude, domaće životinje, materijalna dobra i okoliš izuzetno osjetljivo i zahtjevno područje koje se nastoji urediti kao u zemljama Europske unije.</w:t>
      </w:r>
    </w:p>
    <w:p w:rsidR="005C2091" w:rsidRDefault="00A86293">
      <w:pPr>
        <w:pStyle w:val="Heading8"/>
        <w:jc w:val="left"/>
      </w:pPr>
      <w:r>
        <w:t>Cilj 1. Povećanje sigurnosti opreme pod tlakom visoke razine opasnosti</w:t>
      </w:r>
    </w:p>
    <w:p w:rsidR="005C2091" w:rsidRDefault="00A86293">
      <w:pPr>
        <w:pStyle w:val="Heading8"/>
        <w:jc w:val="left"/>
      </w:pPr>
      <w:r>
        <w:t>Opis provedbe cilja programa</w:t>
      </w:r>
    </w:p>
    <w:p w:rsidR="005C2091" w:rsidRDefault="00A86293">
      <w:r>
        <w:t>Agencija će svojim tehničkim pregledima opreme pod tlakom utjecati na povećanje sigurnosti opreme pod tlakom, odnosnosigurnorti ljudi, imovine i okoliša sukladno tehničkim propisima za područje opreme pod tlakom.</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35"/>
        <w:gridCol w:w="2534"/>
        <w:gridCol w:w="1017"/>
        <w:gridCol w:w="1064"/>
        <w:gridCol w:w="1018"/>
        <w:gridCol w:w="1019"/>
        <w:gridCol w:w="1019"/>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Proračunski prihod</w:t>
            </w:r>
          </w:p>
        </w:tc>
        <w:tc>
          <w:tcPr>
            <w:tcW w:w="2551" w:type="dxa"/>
          </w:tcPr>
          <w:p w:rsidR="005C2091" w:rsidRDefault="00A86293">
            <w:pPr>
              <w:pStyle w:val="CellColumn"/>
              <w:jc w:val="left"/>
            </w:pPr>
            <w:r>
              <w:rPr>
                <w:rFonts w:cs="Times New Roman"/>
              </w:rPr>
              <w:t>Fakturirane usluge</w:t>
            </w:r>
          </w:p>
        </w:tc>
        <w:tc>
          <w:tcPr>
            <w:tcW w:w="1020" w:type="dxa"/>
          </w:tcPr>
          <w:p w:rsidR="005C2091" w:rsidRDefault="00A86293">
            <w:pPr>
              <w:pStyle w:val="CellColumn"/>
              <w:jc w:val="right"/>
            </w:pPr>
            <w:r>
              <w:rPr>
                <w:rFonts w:cs="Times New Roman"/>
              </w:rPr>
              <w:t>kn</w:t>
            </w:r>
          </w:p>
        </w:tc>
        <w:tc>
          <w:tcPr>
            <w:tcW w:w="1020" w:type="dxa"/>
          </w:tcPr>
          <w:p w:rsidR="005C2091" w:rsidRDefault="00A86293">
            <w:pPr>
              <w:pStyle w:val="CellColumn"/>
              <w:jc w:val="right"/>
            </w:pPr>
            <w:r>
              <w:rPr>
                <w:rFonts w:cs="Times New Roman"/>
              </w:rPr>
              <w:t xml:space="preserve">7.940.280 </w:t>
            </w:r>
          </w:p>
          <w:p w:rsidR="005C2091" w:rsidRDefault="00A86293">
            <w:pPr>
              <w:pStyle w:val="CellColumn"/>
              <w:jc w:val="right"/>
            </w:pPr>
            <w:r>
              <w:rPr>
                <w:rFonts w:cs="Times New Roman"/>
              </w:rPr>
              <w:t>31.12.2015.</w:t>
            </w:r>
          </w:p>
        </w:tc>
        <w:tc>
          <w:tcPr>
            <w:tcW w:w="918" w:type="dxa"/>
          </w:tcPr>
          <w:p w:rsidR="005C2091" w:rsidRDefault="00A86293">
            <w:pPr>
              <w:pStyle w:val="CellColumn"/>
              <w:jc w:val="right"/>
            </w:pPr>
            <w:r>
              <w:rPr>
                <w:rFonts w:cs="Times New Roman"/>
              </w:rPr>
              <w:t>AOPT</w:t>
            </w:r>
          </w:p>
        </w:tc>
        <w:tc>
          <w:tcPr>
            <w:tcW w:w="1020" w:type="dxa"/>
          </w:tcPr>
          <w:p w:rsidR="005C2091" w:rsidRDefault="00A86293">
            <w:pPr>
              <w:pStyle w:val="CellColumn"/>
              <w:jc w:val="right"/>
            </w:pPr>
            <w:r>
              <w:rPr>
                <w:rFonts w:cs="Times New Roman"/>
              </w:rPr>
              <w:t>8.000.000</w:t>
            </w:r>
          </w:p>
        </w:tc>
        <w:tc>
          <w:tcPr>
            <w:tcW w:w="1020" w:type="dxa"/>
          </w:tcPr>
          <w:p w:rsidR="005C2091" w:rsidRDefault="00A86293">
            <w:pPr>
              <w:pStyle w:val="CellColumn"/>
              <w:jc w:val="right"/>
            </w:pPr>
            <w:r>
              <w:rPr>
                <w:rFonts w:cs="Times New Roman"/>
              </w:rPr>
              <w:t>9.131.800</w:t>
            </w:r>
          </w:p>
        </w:tc>
      </w:tr>
    </w:tbl>
    <w:p w:rsidR="005C2091" w:rsidRDefault="005C2091">
      <w:pPr>
        <w:jc w:val="left"/>
      </w:pPr>
    </w:p>
    <w:p w:rsidR="005C2091" w:rsidRDefault="00A86293">
      <w:pPr>
        <w:pStyle w:val="Heading4"/>
      </w:pPr>
      <w:r>
        <w:t>A817022 ADMINISTRACIJA I UPRAVLJANJE AGENCIJE ZA OPREMU POD TLAKOM</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A817022-ADMINISTRACIJA I UPRAVLJANJE AGENCIJE ZA OPREMU POD TLAKOM</w:t>
            </w:r>
          </w:p>
        </w:tc>
        <w:tc>
          <w:tcPr>
            <w:tcW w:w="2041" w:type="dxa"/>
          </w:tcPr>
          <w:p w:rsidR="005C2091" w:rsidRDefault="00A86293">
            <w:pPr>
              <w:pStyle w:val="CellColumn"/>
              <w:jc w:val="right"/>
            </w:pPr>
            <w:r>
              <w:rPr>
                <w:rFonts w:cs="Times New Roman"/>
              </w:rPr>
              <w:t>4.764.813</w:t>
            </w:r>
          </w:p>
        </w:tc>
        <w:tc>
          <w:tcPr>
            <w:tcW w:w="2041" w:type="dxa"/>
          </w:tcPr>
          <w:p w:rsidR="005C2091" w:rsidRDefault="00A86293">
            <w:pPr>
              <w:pStyle w:val="CellColumn"/>
              <w:jc w:val="right"/>
            </w:pPr>
            <w:r>
              <w:rPr>
                <w:rFonts w:cs="Times New Roman"/>
              </w:rPr>
              <w:t>4.075.500</w:t>
            </w:r>
          </w:p>
        </w:tc>
        <w:tc>
          <w:tcPr>
            <w:tcW w:w="2041" w:type="dxa"/>
          </w:tcPr>
          <w:p w:rsidR="005C2091" w:rsidRDefault="00A86293">
            <w:pPr>
              <w:pStyle w:val="CellColumn"/>
              <w:jc w:val="right"/>
            </w:pPr>
            <w:r>
              <w:rPr>
                <w:rFonts w:cs="Times New Roman"/>
              </w:rPr>
              <w:t>4.053.779</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85,1</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ustanovama (N.N. br. 76/93, 29/97, 47/99, 35/08) </w:t>
      </w:r>
    </w:p>
    <w:p w:rsidR="005C2091" w:rsidRDefault="00A86293">
      <w:r>
        <w:t xml:space="preserve">Zakon o tehničkim zahtjevima za proizvode i ocjenjivanju sukladnosti (N.N. 80/13 i 14/14) </w:t>
      </w:r>
    </w:p>
    <w:p w:rsidR="005C2091" w:rsidRDefault="00A86293">
      <w:r>
        <w:t xml:space="preserve">Uredba o osnivanju Agencije za opremu pod tlakom (N.N.132/08, 29/11, 90/12 i 8/15) </w:t>
      </w:r>
    </w:p>
    <w:p w:rsidR="005C2091" w:rsidRDefault="00A86293">
      <w:r>
        <w:t>Pravilnik o pregledima i ispitivanju opreme pod tlakom (N.N.142/14)</w:t>
      </w:r>
    </w:p>
    <w:p w:rsidR="005C2091" w:rsidRDefault="00A86293">
      <w:pPr>
        <w:pStyle w:val="Heading8"/>
        <w:jc w:val="left"/>
      </w:pPr>
      <w:r>
        <w:t>Opis aktivnosti</w:t>
      </w:r>
    </w:p>
    <w:p w:rsidR="005C2091" w:rsidRDefault="00A86293">
      <w:r>
        <w:t>Sredstva su namijenjena za rad Agencije, odnosno za obavljanje poslova pregleda opreme pod tlakom visoke razine opasnosti. Nadalje, sredstva su potrebna za rashode za zaposlene i materijalne rashode poslovanja (službena putovanja, stručno usavršavanje, uredski materijal, energiju, telekomunikacijske i poštanske usluge, usluge održavanja opreme, komunalne usluge, zakupnine poslovnih prostora u Zagrebu i Rijeci, računalne usluge i ostalo), lizing službenih automobila.</w:t>
      </w:r>
    </w:p>
    <w:p w:rsidR="005C2091" w:rsidRDefault="00A86293">
      <w:pPr>
        <w:pStyle w:val="Heading3"/>
      </w:pPr>
      <w:r>
        <w:rPr>
          <w:rFonts w:cs="Times New Roman"/>
        </w:rPr>
        <w:t>47641 Agencija za investicije i konkurentnost</w:t>
      </w:r>
    </w:p>
    <w:p w:rsidR="005C2091" w:rsidRDefault="00A86293">
      <w:r>
        <w:t xml:space="preserve">Djelatnost Agencije za investicije i konkurentnost (u daljnjem tekstu AIK) utvrđena Zakonom o osnivanju Agencije za investicije i konkurentnost (Narodne novine, broj 53/12, 56/13 i 152/14) je sustavna i operativna provedba politike i mjera za povećanje konkurentnosti hrvatskog gospodarstva s posebnim naglaskom na poticanje investicija pravnih osoba, poboljšanje učinkovitosti u primjeni inovacija i poticanje primjene financijskih mehanizama za podršku gospodarstvu uz uvjet poštivanja propisa iz oblasti zaštite okoliša, odnosno načela održivog razvitka te </w:t>
      </w:r>
      <w:r>
        <w:lastRenderedPageBreak/>
        <w:t xml:space="preserve">obavljanje poslova iz područja javno-privatnog partnerstva (dalje u tekstu: JPP) u skladu s posebnim zakonom iz područja javno-privatnog partnerstva. </w:t>
      </w:r>
    </w:p>
    <w:p w:rsidR="005C2091" w:rsidRDefault="00A86293">
      <w:r>
        <w:t xml:space="preserve">U obavljanju poslova iz područja investicija AIK pruža stručnu i administrativnu pomoć domaćim i stranim investitorima u vođenju, pripremi i cjelokupnoj realizaciji investicijskog projekta, provodi investicijsku politiku te promovira Republiku Hrvatsku kao poželjnu investicijsku destinaciju.  </w:t>
      </w:r>
    </w:p>
    <w:p w:rsidR="005C2091" w:rsidRDefault="00A86293">
      <w:r>
        <w:t xml:space="preserve">U obavljanju poslova povećanja konkurentnosti AIK daje stručnu i tehničku podršku poboljšanju poslovne i investicijske klime u Republici Hrvatskoj kroz provedbu strateških dokumenata Vlade RH, predlaganjem konkretnih mjera s ciljem otklanjanja administrativnih barijera i povećanja administrativne učinkovitosti i transparentnosti javne uprave. AIK prati najbolje europske i svjetske prakse u uklanjanju administrativnih prepreka, prikuplja, analizira i distribuira podatke javnopravnih tijela za izvještaj Doing Business Svjetske banke, pruža podršku Nacionalnom vijeću za konkurentnost (u daljnjem tekstu NVK) u području mjerenja konkurentnosti te izrađuje preporuke za unapređenje. </w:t>
      </w:r>
    </w:p>
    <w:p w:rsidR="005C2091" w:rsidRDefault="00A86293">
      <w:r>
        <w:t xml:space="preserve">U obavljanju poslova provedbe javno-privatnog partnerstva u RH,  AIK kao regulatorno tijelo ima za cilj uređenje tržišta javno-privatnog partnerstva na način da u suradnji s nadležnim tijelima, sudjeluje u izradi nacrta propisa iz područja javno-privatnog partnerstva, temeljem zakonom propisanih kriterija provodi postupak ocjene i odobravanja prijedloga projekata JPP-a, te prati provedbu projekata JPP-a (u tu svrhu je ustrojen Registar ugovora o JPP-u). Nadalje AIK ima za cilj postizanje konsenzusa o područjima primjene modela JPP-a u RH, uz dosljednu razradu usvojenog Strateškog okvira za razvoj u sektorskim strategijama i strategijama na nižim razinama, te provedbenim operativnim planovima.  </w:t>
      </w:r>
    </w:p>
    <w:p w:rsidR="005C2091" w:rsidRDefault="00A86293">
      <w:r>
        <w:t>Financijski plan AIK-a za 2016. godinu iznosio je 11.755.547,00 kuna. dok je izvršeno 10.137.021,00 kuna odnosno realizirano je  86,20% ukupno planiranog proračuna.</w:t>
      </w:r>
    </w:p>
    <w:tbl>
      <w:tblPr>
        <w:tblStyle w:val="StilTablice"/>
        <w:tblW w:w="10206" w:type="dxa"/>
        <w:jc w:val="center"/>
        <w:tblLook w:val="04A0" w:firstRow="1" w:lastRow="0" w:firstColumn="1" w:lastColumn="0" w:noHBand="0" w:noVBand="1"/>
      </w:tblPr>
      <w:tblGrid>
        <w:gridCol w:w="1948"/>
        <w:gridCol w:w="1949"/>
        <w:gridCol w:w="1949"/>
        <w:gridCol w:w="1949"/>
        <w:gridCol w:w="1201"/>
        <w:gridCol w:w="121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47641-Agencija za investicije i konkurentnost</w:t>
            </w:r>
          </w:p>
        </w:tc>
        <w:tc>
          <w:tcPr>
            <w:tcW w:w="2041" w:type="dxa"/>
          </w:tcPr>
          <w:p w:rsidR="005C2091" w:rsidRDefault="00A86293">
            <w:pPr>
              <w:pStyle w:val="CellColumn"/>
              <w:jc w:val="right"/>
            </w:pPr>
            <w:r>
              <w:rPr>
                <w:rFonts w:cs="Times New Roman"/>
              </w:rPr>
              <w:t>13.150.664</w:t>
            </w:r>
          </w:p>
        </w:tc>
        <w:tc>
          <w:tcPr>
            <w:tcW w:w="2041" w:type="dxa"/>
          </w:tcPr>
          <w:p w:rsidR="005C2091" w:rsidRDefault="00A86293">
            <w:pPr>
              <w:pStyle w:val="CellColumn"/>
              <w:jc w:val="right"/>
            </w:pPr>
            <w:r>
              <w:rPr>
                <w:rFonts w:cs="Times New Roman"/>
              </w:rPr>
              <w:t>11.755.547</w:t>
            </w:r>
          </w:p>
        </w:tc>
        <w:tc>
          <w:tcPr>
            <w:tcW w:w="2041" w:type="dxa"/>
          </w:tcPr>
          <w:p w:rsidR="005C2091" w:rsidRDefault="00A86293">
            <w:pPr>
              <w:pStyle w:val="CellColumn"/>
              <w:jc w:val="right"/>
            </w:pPr>
            <w:r>
              <w:rPr>
                <w:rFonts w:cs="Times New Roman"/>
              </w:rPr>
              <w:t>10.137.021</w:t>
            </w:r>
          </w:p>
        </w:tc>
        <w:tc>
          <w:tcPr>
            <w:tcW w:w="1224" w:type="dxa"/>
          </w:tcPr>
          <w:p w:rsidR="005C2091" w:rsidRDefault="00A86293">
            <w:pPr>
              <w:pStyle w:val="CellColumn"/>
              <w:jc w:val="right"/>
            </w:pPr>
            <w:r>
              <w:rPr>
                <w:rFonts w:cs="Times New Roman"/>
              </w:rPr>
              <w:t>86,2</w:t>
            </w:r>
          </w:p>
        </w:tc>
        <w:tc>
          <w:tcPr>
            <w:tcW w:w="1224" w:type="dxa"/>
          </w:tcPr>
          <w:p w:rsidR="005C2091" w:rsidRDefault="00A86293">
            <w:pPr>
              <w:pStyle w:val="CellColumn"/>
              <w:jc w:val="right"/>
            </w:pPr>
            <w:r>
              <w:rPr>
                <w:rFonts w:cs="Times New Roman"/>
              </w:rPr>
              <w:t>77,1</w:t>
            </w:r>
          </w:p>
        </w:tc>
      </w:tr>
      <w:tr w:rsidR="005C2091">
        <w:trPr>
          <w:jc w:val="center"/>
        </w:trPr>
        <w:tc>
          <w:tcPr>
            <w:tcW w:w="1632" w:type="dxa"/>
          </w:tcPr>
          <w:p w:rsidR="005C2091" w:rsidRDefault="00A86293">
            <w:pPr>
              <w:jc w:val="left"/>
            </w:pPr>
            <w:r>
              <w:t>3223-PRIVLAČENJE INVESTICIJA I POVEĆANJE KONKURENTNOSTI</w:t>
            </w:r>
          </w:p>
        </w:tc>
        <w:tc>
          <w:tcPr>
            <w:tcW w:w="2041" w:type="dxa"/>
          </w:tcPr>
          <w:p w:rsidR="005C2091" w:rsidRDefault="00A86293">
            <w:pPr>
              <w:jc w:val="right"/>
            </w:pPr>
            <w:r>
              <w:t>13.150.664</w:t>
            </w:r>
          </w:p>
        </w:tc>
        <w:tc>
          <w:tcPr>
            <w:tcW w:w="2041" w:type="dxa"/>
          </w:tcPr>
          <w:p w:rsidR="005C2091" w:rsidRDefault="00A86293">
            <w:pPr>
              <w:jc w:val="right"/>
            </w:pPr>
            <w:r>
              <w:t>11.755.547</w:t>
            </w:r>
          </w:p>
        </w:tc>
        <w:tc>
          <w:tcPr>
            <w:tcW w:w="2041" w:type="dxa"/>
          </w:tcPr>
          <w:p w:rsidR="005C2091" w:rsidRDefault="00A86293">
            <w:pPr>
              <w:jc w:val="right"/>
            </w:pPr>
            <w:r>
              <w:t>10.137.021</w:t>
            </w:r>
          </w:p>
        </w:tc>
        <w:tc>
          <w:tcPr>
            <w:tcW w:w="1224" w:type="dxa"/>
          </w:tcPr>
          <w:p w:rsidR="005C2091" w:rsidRDefault="00A86293">
            <w:pPr>
              <w:jc w:val="right"/>
            </w:pPr>
            <w:r>
              <w:t>86,2</w:t>
            </w:r>
          </w:p>
        </w:tc>
        <w:tc>
          <w:tcPr>
            <w:tcW w:w="1224" w:type="dxa"/>
          </w:tcPr>
          <w:p w:rsidR="005C2091" w:rsidRDefault="00A86293">
            <w:pPr>
              <w:jc w:val="right"/>
            </w:pPr>
            <w:r>
              <w:t>77,1</w:t>
            </w:r>
          </w:p>
        </w:tc>
      </w:tr>
    </w:tbl>
    <w:p w:rsidR="005C2091" w:rsidRDefault="005C2091">
      <w:pPr>
        <w:jc w:val="left"/>
      </w:pPr>
    </w:p>
    <w:p w:rsidR="005C2091" w:rsidRDefault="00A86293">
      <w:pPr>
        <w:pStyle w:val="Heading3"/>
      </w:pPr>
      <w:r>
        <w:rPr>
          <w:rFonts w:cs="Times New Roman"/>
        </w:rPr>
        <w:t>3223 PRIVLAČENJE INVESTICIJA I POVEĆANJE KONKURENTNOSTI</w:t>
      </w:r>
    </w:p>
    <w:tbl>
      <w:tblPr>
        <w:tblStyle w:val="StilTablice"/>
        <w:tblW w:w="10206" w:type="dxa"/>
        <w:jc w:val="center"/>
        <w:tblLook w:val="04A0" w:firstRow="1" w:lastRow="0" w:firstColumn="1" w:lastColumn="0" w:noHBand="0" w:noVBand="1"/>
      </w:tblPr>
      <w:tblGrid>
        <w:gridCol w:w="1948"/>
        <w:gridCol w:w="1949"/>
        <w:gridCol w:w="1949"/>
        <w:gridCol w:w="1949"/>
        <w:gridCol w:w="1201"/>
        <w:gridCol w:w="1210"/>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3223-PRIVLAČENJE INVESTICIJA I POVEĆANJE KONKURENTNOSTI</w:t>
            </w:r>
          </w:p>
        </w:tc>
        <w:tc>
          <w:tcPr>
            <w:tcW w:w="2041" w:type="dxa"/>
          </w:tcPr>
          <w:p w:rsidR="005C2091" w:rsidRDefault="00A86293">
            <w:pPr>
              <w:pStyle w:val="CellColumn"/>
              <w:jc w:val="right"/>
            </w:pPr>
            <w:r>
              <w:rPr>
                <w:rFonts w:cs="Times New Roman"/>
              </w:rPr>
              <w:t>13.150.664</w:t>
            </w:r>
          </w:p>
        </w:tc>
        <w:tc>
          <w:tcPr>
            <w:tcW w:w="2041" w:type="dxa"/>
          </w:tcPr>
          <w:p w:rsidR="005C2091" w:rsidRDefault="00A86293">
            <w:pPr>
              <w:pStyle w:val="CellColumn"/>
              <w:jc w:val="right"/>
            </w:pPr>
            <w:r>
              <w:rPr>
                <w:rFonts w:cs="Times New Roman"/>
              </w:rPr>
              <w:t>11.755.547</w:t>
            </w:r>
          </w:p>
        </w:tc>
        <w:tc>
          <w:tcPr>
            <w:tcW w:w="2041" w:type="dxa"/>
          </w:tcPr>
          <w:p w:rsidR="005C2091" w:rsidRDefault="00A86293">
            <w:pPr>
              <w:pStyle w:val="CellColumn"/>
              <w:jc w:val="right"/>
            </w:pPr>
            <w:r>
              <w:rPr>
                <w:rFonts w:cs="Times New Roman"/>
              </w:rPr>
              <w:t>10.137.021</w:t>
            </w:r>
          </w:p>
        </w:tc>
        <w:tc>
          <w:tcPr>
            <w:tcW w:w="1224" w:type="dxa"/>
          </w:tcPr>
          <w:p w:rsidR="005C2091" w:rsidRDefault="00A86293">
            <w:pPr>
              <w:pStyle w:val="CellColumn"/>
              <w:jc w:val="right"/>
            </w:pPr>
            <w:r>
              <w:rPr>
                <w:rFonts w:cs="Times New Roman"/>
              </w:rPr>
              <w:t>86,2</w:t>
            </w:r>
          </w:p>
        </w:tc>
        <w:tc>
          <w:tcPr>
            <w:tcW w:w="1224" w:type="dxa"/>
          </w:tcPr>
          <w:p w:rsidR="005C2091" w:rsidRDefault="00A86293">
            <w:pPr>
              <w:pStyle w:val="CellColumn"/>
              <w:jc w:val="right"/>
            </w:pPr>
            <w:r>
              <w:rPr>
                <w:rFonts w:cs="Times New Roman"/>
              </w:rPr>
              <w:t>77,1</w:t>
            </w:r>
          </w:p>
        </w:tc>
      </w:tr>
    </w:tbl>
    <w:p w:rsidR="005C2091" w:rsidRDefault="005C2091">
      <w:pPr>
        <w:jc w:val="left"/>
      </w:pPr>
    </w:p>
    <w:p w:rsidR="005C2091" w:rsidRDefault="00A86293">
      <w:r>
        <w:t xml:space="preserve">Sredstvima planiranim ovim programom financiraju se troškovi za obavljanje redovite djelatnosti AIK-a isplate plaća i ostalih rashoda za zaposlene, materijalni troškovi, opremanje i informatizacija te troškovi promidžbe i ulaganja u promoviranje Republike Hrvatske na domaćem i stranim tržištima kao poželjne ulagačke investicijske destinacije. </w:t>
      </w:r>
    </w:p>
    <w:p w:rsidR="005C2091" w:rsidRDefault="00A86293">
      <w:r>
        <w:lastRenderedPageBreak/>
        <w:t>Program privlačenja investicija i povećanja konkurentnosti provodi se kroz 6 aktivnosti: (A817048) Administracija i upravljanje, (A864007) Promidžba i ulaganja i konkurentnosti, (A864008) Privlačenje investicija, (A864009) Povećanje konkurentnosti, (A864011) Razvojna suradnja i humanitarna pomoć inozemstvu i (A864012) Aktivnost javno-privatnog partnerstva), 1 kapitalni projekt (K822048) Opremanje i informatizacija i 1 privremeni projekt (864013) Instrument za kombiniranje europskih strukturnih i investicijskih fondova i javno-privatnog partnerstva čije su zadaće promoviranje Republike Hrvatske kao poželjne investicijske destinacije, priprema projekata i pružanje podrške investicijskim projektima te pružanje podrške u unaprjeđenju konkurentnosti kroz izradu mjera i provedbu politike sektorske specijalizacije regija. U nastavku se daje izvršenje po aktivnostima za promatrano razdoblje.</w:t>
      </w:r>
    </w:p>
    <w:p w:rsidR="005C2091" w:rsidRDefault="00A86293">
      <w:pPr>
        <w:pStyle w:val="Heading8"/>
        <w:jc w:val="left"/>
      </w:pPr>
      <w:r>
        <w:t xml:space="preserve">Cilj 1.    Povećanje konkurentnosti i pozicioniranje Hrvatske među vodeće destinacije za ulaganja  </w:t>
      </w:r>
    </w:p>
    <w:p w:rsidR="005C2091" w:rsidRDefault="00A86293">
      <w:pPr>
        <w:pStyle w:val="Heading8"/>
        <w:jc w:val="left"/>
      </w:pPr>
      <w:r>
        <w:t>Opis provedbe cilja programa</w:t>
      </w:r>
    </w:p>
    <w:p w:rsidR="005C2091" w:rsidRDefault="00A86293">
      <w:r>
        <w:t xml:space="preserve">Cilj uključuje provedbu politike i mjera za povećanje konkurentnosti hrvatskog gospodarstva s posebnim naglaskom na rad na unapređenju poslovne klime pogodne za poticanje investicija te poboljšanje ulagačkog okruženja i promidžbu  Republike Hrvatske kao poželjne ulagačke destinacije.  </w:t>
      </w:r>
    </w:p>
    <w:p w:rsidR="005C2091" w:rsidRDefault="00A86293">
      <w:r>
        <w:t xml:space="preserve">Povećanje konkurentnosti i pozicioniranje Republike Hrvatske među vodeće destinacije za ulaganje provodi se kroz podršku izradi strateških dokumenata u području povećanja konkurentnosti i poticanja ulaganja, te njihovu provedbu.  </w:t>
      </w:r>
    </w:p>
    <w:p w:rsidR="005C2091" w:rsidRDefault="00A86293">
      <w:r>
        <w:t xml:space="preserve">Kao polazišne osnove za definiranje mjera koriste se pokazatelji po metodologiji godišnjih izvještaja „Global Competitivness Report“ Svjetskog ekonomskog foruma i „Doing Business“ Svjetske banke. </w:t>
      </w:r>
    </w:p>
    <w:p w:rsidR="005C2091" w:rsidRDefault="00A86293">
      <w:r>
        <w:t>Kao alat za podizanje ukupne konkurentnosti koriste se preporuke i politike Europske Komisije, ali i pozitivna iskustva zemalja članica Europske unije kroz poticanje sektorske specijalizacije i podršku radu klastera konkurentnosti. Cilj je potaknuti suradnju lokalne uprave, znanosti i privatnog sektora radi zajedničkog usmjerenja razvoja. Izradom analitičkih podloga za 13 sektora ključnih za razvoj gospodarstva, identificiranjem niša te osnivanjem klastera konkurentnosti omogućava se identificiranje projekata koji će pridonijeti unapređenju konkurentnosti odabranih sektora i gospodarstva u cijelosti. Za svaki sektor identificiraju se projekti od nacionalnog interesa, temeljem smjernica danih od tadašnjeg Ministarstva gospodarstva, s posebnim naglaskom na istraživanje, razvoj i inovacije. Kroz podršku implementaciji projekata, daljnjim jačanjem klastera konkurentnosti kroz učlanjivanje relevantnih članova te aktivnostima klastera konkurentnosti, sektorska specijalizacija i politika razvoja klastera trebaju pomoći Republici Hrvatskoj da iskoristi svoj teritorijalni kapital i na taj način poveća svoju konkurentnost u odnosu na druge EU zemlje i ostale zemlje iz međunarodnog okruženja.</w:t>
      </w:r>
    </w:p>
    <w:p w:rsidR="005C2091" w:rsidRDefault="00A86293">
      <w:pPr>
        <w:pStyle w:val="Heading8"/>
        <w:jc w:val="left"/>
      </w:pPr>
      <w:r>
        <w:t>Cilj 2. Privlačenje i realizacija ulagačkih projekata</w:t>
      </w:r>
    </w:p>
    <w:p w:rsidR="005C2091" w:rsidRDefault="00A86293">
      <w:pPr>
        <w:pStyle w:val="Heading8"/>
        <w:jc w:val="left"/>
      </w:pPr>
      <w:r>
        <w:t>Opis provedbe cilja programa</w:t>
      </w:r>
    </w:p>
    <w:p w:rsidR="005C2091" w:rsidRDefault="00A86293">
      <w:r>
        <w:t xml:space="preserve">Jedna od temeljnih aktivnosti AIK-a je pro-aktivno traženje, privlačenje investitora te podrška realizaciji investicijskih projekata velikih tvrtki koji će rezultirati stvaranjem novih radnih mjesta kao i povećanjem proizvodnje te koji će omogućiti prijenos znanja i novih tehnologija. </w:t>
      </w:r>
    </w:p>
    <w:p w:rsidR="005C2091" w:rsidRDefault="00A86293">
      <w:r>
        <w:t xml:space="preserve">Potrebno je usmjeriti se ciljanom pronalaženju potencijalnih ulagača koji namjeravaju ulagati te se informirati o njihovim potrebama, mogućnostima i uvjetima ulaganja. AIK svim investitorima stoji na raspolaganju za davanje informacija o mogućnostima i uvjetima ulaganja u Republiku Hrvatsku, kao i za podršku u vođenju investicijskog projekta od pred-investicijske faze, realizacije investicije i post-investicijske brige. </w:t>
      </w:r>
    </w:p>
    <w:p w:rsidR="005C2091" w:rsidRDefault="00A86293">
      <w:r>
        <w:t>AIK osigurava podršku svim investitorima u svojoj nadležnosti u procesu realizacije projekata u RH kroz pružanje svih operativnih usluga; od inicijalnog upita i organizacije posjeta lokacijama, preko pružanja informacija o potrebnim dozvolama i mogućnostima ostvarivanja poticaja za investicije do povezivanja s nadležnim tijelima državne uprave i ostalim subjektima neophodnim u realizaciji projekata. AIK uz navedene aktivnosti osigurava i široki spektar usluga investitorima i nakon realizacije samog investicijskog projekta s ciljem povećanja investicija.</w:t>
      </w:r>
    </w:p>
    <w:p w:rsidR="005C2091" w:rsidRDefault="00A86293">
      <w:pPr>
        <w:pStyle w:val="Heading8"/>
        <w:jc w:val="left"/>
      </w:pPr>
      <w:r>
        <w:t>Cilj 3. Djelovanje javno-privatnog partnerstva u Republici Hrvatskoj</w:t>
      </w:r>
    </w:p>
    <w:p w:rsidR="005C2091" w:rsidRDefault="00A86293">
      <w:pPr>
        <w:pStyle w:val="Heading8"/>
        <w:jc w:val="left"/>
      </w:pPr>
      <w:r>
        <w:t>Opis provedbe cilja programa</w:t>
      </w:r>
    </w:p>
    <w:p w:rsidR="005C2091" w:rsidRDefault="00A86293">
      <w:r>
        <w:t xml:space="preserve">Primjena modela javno-privatnog partnerstva doprinijet će transparentnosti upravljanja javnim rashodima u dijelu javnih investicija, većoj vrijednosti za novac poreznih obveznika te ubrzanju razvoja javne infrastrukture i postizanju optimalnog odnosa između cijene i troška isporučene javne usluge. Nadalje, primjena modela JPP-a doprinosi izgradnji dugoročno stabilnog i poticajnog okruženja, transparentnim postupcima pripreme projekata, </w:t>
      </w:r>
      <w:r>
        <w:lastRenderedPageBreak/>
        <w:t>osiguravanjem kvalitetne i konkurentne ponude privatnih partnera, čime se posljedično postiže i najveća moguća vrijednost za novac javnom sektoru, a osobito konkurentnost javne administracije u pripremi, provedbi i nadzoru javnih projekata. Ujedno, provode se kontinuirane aktivnosti na usklađenju i unaprjeđenju propisa i standarda, u svrhu podizanja učinkovitosti pripreme i primjene javno-privatnog partnerstva. Naglasak je također na stalnoj međunarodnoj suradnji s inozemnim nacionalnim tijelima ovlaštenima za primjenu modela JPP-a, u svrhu razmjene iskustava i primjenu najbolje prakse, te izgrađivanju uloge Hrvatske u okruženju kada je riječ o primjeni javno-privatnog partnerstva, a u svrhu promocije i izvoza hrvatskih znanja i iskustava te osobito domaćeg izvora u dijelu koji se odnosi na područje investicija u javnu infrastrukturu drugih zemalja koji projekte isporučuju po JPP modelu.</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34"/>
        <w:gridCol w:w="2541"/>
        <w:gridCol w:w="1017"/>
        <w:gridCol w:w="1059"/>
        <w:gridCol w:w="1017"/>
        <w:gridCol w:w="1019"/>
        <w:gridCol w:w="1019"/>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Povećana konkurentnost hrvatskog gospodarstva u međunarodnom okruženju</w:t>
            </w:r>
          </w:p>
        </w:tc>
        <w:tc>
          <w:tcPr>
            <w:tcW w:w="2551" w:type="dxa"/>
          </w:tcPr>
          <w:p w:rsidR="005C2091" w:rsidRDefault="00A86293">
            <w:pPr>
              <w:pStyle w:val="CellColumn"/>
              <w:jc w:val="left"/>
            </w:pPr>
            <w:r>
              <w:rPr>
                <w:rFonts w:cs="Times New Roman"/>
              </w:rPr>
              <w:t>Rang Hrvatske na ljestivi godišnjeg izvještaja Svjetskog ekonomskog rouma "Global Competitiveness Report" (usporedna analiza 148 zemalja)</w:t>
            </w:r>
          </w:p>
        </w:tc>
        <w:tc>
          <w:tcPr>
            <w:tcW w:w="1020" w:type="dxa"/>
          </w:tcPr>
          <w:p w:rsidR="005C2091" w:rsidRDefault="00A86293">
            <w:pPr>
              <w:pStyle w:val="CellColumn"/>
              <w:jc w:val="right"/>
            </w:pPr>
            <w:r>
              <w:rPr>
                <w:rFonts w:cs="Times New Roman"/>
              </w:rPr>
              <w:t>rang</w:t>
            </w:r>
          </w:p>
        </w:tc>
        <w:tc>
          <w:tcPr>
            <w:tcW w:w="1020" w:type="dxa"/>
          </w:tcPr>
          <w:p w:rsidR="005C2091" w:rsidRDefault="00A86293">
            <w:pPr>
              <w:pStyle w:val="CellColumn"/>
              <w:jc w:val="right"/>
            </w:pPr>
            <w:r>
              <w:rPr>
                <w:rFonts w:cs="Times New Roman"/>
              </w:rPr>
              <w:t xml:space="preserve">WEF GCI  </w:t>
            </w:r>
          </w:p>
          <w:p w:rsidR="005C2091" w:rsidRDefault="00A86293">
            <w:pPr>
              <w:pStyle w:val="CellColumn"/>
              <w:jc w:val="right"/>
            </w:pPr>
            <w:r>
              <w:rPr>
                <w:rFonts w:cs="Times New Roman"/>
              </w:rPr>
              <w:t xml:space="preserve">2015/16 </w:t>
            </w:r>
          </w:p>
          <w:p w:rsidR="005C2091" w:rsidRDefault="00A86293">
            <w:pPr>
              <w:pStyle w:val="CellColumn"/>
              <w:jc w:val="right"/>
            </w:pPr>
            <w:r>
              <w:rPr>
                <w:rFonts w:cs="Times New Roman"/>
              </w:rPr>
              <w:t>77</w:t>
            </w:r>
          </w:p>
        </w:tc>
        <w:tc>
          <w:tcPr>
            <w:tcW w:w="918"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70</w:t>
            </w:r>
          </w:p>
        </w:tc>
        <w:tc>
          <w:tcPr>
            <w:tcW w:w="1020" w:type="dxa"/>
          </w:tcPr>
          <w:p w:rsidR="005C2091" w:rsidRDefault="00A86293">
            <w:pPr>
              <w:pStyle w:val="CellColumn"/>
              <w:jc w:val="right"/>
            </w:pPr>
            <w:r>
              <w:rPr>
                <w:rFonts w:cs="Times New Roman"/>
              </w:rPr>
              <w:t>74</w:t>
            </w:r>
          </w:p>
        </w:tc>
      </w:tr>
      <w:tr w:rsidR="005C2091">
        <w:trPr>
          <w:jc w:val="center"/>
        </w:trPr>
        <w:tc>
          <w:tcPr>
            <w:tcW w:w="2551" w:type="dxa"/>
          </w:tcPr>
          <w:p w:rsidR="005C2091" w:rsidRDefault="00A86293">
            <w:pPr>
              <w:pStyle w:val="CellColumn"/>
              <w:jc w:val="left"/>
            </w:pPr>
            <w:r>
              <w:rPr>
                <w:rFonts w:cs="Times New Roman"/>
              </w:rPr>
              <w:t>Unaprijeđeno poslovno okruženje kao i poboljšana investicijska klima</w:t>
            </w:r>
          </w:p>
        </w:tc>
        <w:tc>
          <w:tcPr>
            <w:tcW w:w="2551" w:type="dxa"/>
          </w:tcPr>
          <w:p w:rsidR="005C2091" w:rsidRDefault="00A86293">
            <w:pPr>
              <w:pStyle w:val="CellColumn"/>
              <w:jc w:val="left"/>
            </w:pPr>
            <w:r>
              <w:rPr>
                <w:rFonts w:cs="Times New Roman"/>
              </w:rPr>
              <w:t>Rang Hrvatske na ljestivi godišnjeg izvještaja Svjetske banke - "Doing Business"(usporedna analiza lakoće poslovanja u 189 zemalja)</w:t>
            </w:r>
          </w:p>
        </w:tc>
        <w:tc>
          <w:tcPr>
            <w:tcW w:w="1020" w:type="dxa"/>
          </w:tcPr>
          <w:p w:rsidR="005C2091" w:rsidRDefault="00A86293">
            <w:pPr>
              <w:pStyle w:val="CellColumn"/>
              <w:jc w:val="right"/>
            </w:pPr>
            <w:r>
              <w:rPr>
                <w:rFonts w:cs="Times New Roman"/>
              </w:rPr>
              <w:t>rang</w:t>
            </w:r>
          </w:p>
        </w:tc>
        <w:tc>
          <w:tcPr>
            <w:tcW w:w="1020" w:type="dxa"/>
          </w:tcPr>
          <w:p w:rsidR="005C2091" w:rsidRDefault="00A86293">
            <w:pPr>
              <w:pStyle w:val="CellColumn"/>
              <w:jc w:val="right"/>
            </w:pPr>
            <w:r>
              <w:rPr>
                <w:rFonts w:cs="Times New Roman"/>
              </w:rPr>
              <w:t xml:space="preserve">DOING BUSINESS </w:t>
            </w:r>
          </w:p>
          <w:p w:rsidR="005C2091" w:rsidRDefault="00A86293">
            <w:pPr>
              <w:pStyle w:val="CellColumn"/>
              <w:jc w:val="right"/>
            </w:pPr>
            <w:r>
              <w:rPr>
                <w:rFonts w:cs="Times New Roman"/>
              </w:rPr>
              <w:t xml:space="preserve">2015 </w:t>
            </w:r>
          </w:p>
          <w:p w:rsidR="005C2091" w:rsidRDefault="00A86293">
            <w:pPr>
              <w:pStyle w:val="CellColumn"/>
              <w:jc w:val="right"/>
            </w:pPr>
            <w:r>
              <w:rPr>
                <w:rFonts w:cs="Times New Roman"/>
              </w:rPr>
              <w:t xml:space="preserve"> </w:t>
            </w:r>
          </w:p>
          <w:p w:rsidR="005C2091" w:rsidRDefault="00A86293">
            <w:pPr>
              <w:pStyle w:val="CellColumn"/>
              <w:jc w:val="right"/>
            </w:pPr>
            <w:r>
              <w:rPr>
                <w:rFonts w:cs="Times New Roman"/>
              </w:rPr>
              <w:t>65</w:t>
            </w:r>
          </w:p>
        </w:tc>
        <w:tc>
          <w:tcPr>
            <w:tcW w:w="918"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40</w:t>
            </w:r>
          </w:p>
        </w:tc>
        <w:tc>
          <w:tcPr>
            <w:tcW w:w="1020" w:type="dxa"/>
          </w:tcPr>
          <w:p w:rsidR="005C2091" w:rsidRDefault="00A86293">
            <w:pPr>
              <w:pStyle w:val="CellColumn"/>
              <w:jc w:val="right"/>
            </w:pPr>
            <w:r>
              <w:rPr>
                <w:rFonts w:cs="Times New Roman"/>
              </w:rPr>
              <w:t>43</w:t>
            </w:r>
          </w:p>
        </w:tc>
      </w:tr>
      <w:tr w:rsidR="005C2091">
        <w:trPr>
          <w:jc w:val="center"/>
        </w:trPr>
        <w:tc>
          <w:tcPr>
            <w:tcW w:w="2551" w:type="dxa"/>
          </w:tcPr>
          <w:p w:rsidR="005C2091" w:rsidRDefault="00A86293">
            <w:pPr>
              <w:pStyle w:val="CellColumn"/>
              <w:jc w:val="left"/>
            </w:pPr>
            <w:r>
              <w:rPr>
                <w:rFonts w:cs="Times New Roman"/>
              </w:rPr>
              <w:t>Povećanje broja investicijskih projekata u portfelju AIK-a</w:t>
            </w:r>
          </w:p>
        </w:tc>
        <w:tc>
          <w:tcPr>
            <w:tcW w:w="2551" w:type="dxa"/>
          </w:tcPr>
          <w:p w:rsidR="005C2091" w:rsidRDefault="00A86293">
            <w:pPr>
              <w:pStyle w:val="CellColumn"/>
              <w:jc w:val="left"/>
            </w:pPr>
            <w:r>
              <w:rPr>
                <w:rFonts w:cs="Times New Roman"/>
              </w:rPr>
              <w:t>Povećanjem broja investicijskih projekata u prtfelju AIK-a potaknut će se daljnji rast hrvatskog gospodarstva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70</w:t>
            </w:r>
          </w:p>
        </w:tc>
        <w:tc>
          <w:tcPr>
            <w:tcW w:w="918"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115</w:t>
            </w:r>
          </w:p>
        </w:tc>
        <w:tc>
          <w:tcPr>
            <w:tcW w:w="1020" w:type="dxa"/>
          </w:tcPr>
          <w:p w:rsidR="005C2091" w:rsidRDefault="00A86293">
            <w:pPr>
              <w:pStyle w:val="CellColumn"/>
              <w:jc w:val="right"/>
            </w:pPr>
            <w:r>
              <w:rPr>
                <w:rFonts w:cs="Times New Roman"/>
              </w:rPr>
              <w:t>136</w:t>
            </w:r>
          </w:p>
        </w:tc>
      </w:tr>
      <w:tr w:rsidR="005C2091">
        <w:trPr>
          <w:jc w:val="center"/>
        </w:trPr>
        <w:tc>
          <w:tcPr>
            <w:tcW w:w="2551" w:type="dxa"/>
          </w:tcPr>
          <w:p w:rsidR="005C2091" w:rsidRDefault="00A86293">
            <w:pPr>
              <w:pStyle w:val="CellColumn"/>
              <w:jc w:val="left"/>
            </w:pPr>
            <w:r>
              <w:rPr>
                <w:rFonts w:cs="Times New Roman"/>
              </w:rPr>
              <w:t>Broj sklopljenih JPP ugovora</w:t>
            </w:r>
          </w:p>
        </w:tc>
        <w:tc>
          <w:tcPr>
            <w:tcW w:w="2551" w:type="dxa"/>
          </w:tcPr>
          <w:p w:rsidR="005C2091" w:rsidRDefault="00A86293">
            <w:pPr>
              <w:pStyle w:val="CellColumn"/>
              <w:jc w:val="left"/>
            </w:pPr>
            <w:r>
              <w:rPr>
                <w:rFonts w:cs="Times New Roman"/>
              </w:rPr>
              <w:t>Većim brojem sklopljenih JPP ugovora doprinijet će se ubrzanjem razvoja javne infrastrukture i postizanje optimalnog odnosa između cijene i troška isporučene javne usluge</w:t>
            </w:r>
          </w:p>
        </w:tc>
        <w:tc>
          <w:tcPr>
            <w:tcW w:w="1020" w:type="dxa"/>
          </w:tcPr>
          <w:p w:rsidR="005C2091" w:rsidRDefault="00A86293">
            <w:pPr>
              <w:pStyle w:val="CellColumn"/>
              <w:jc w:val="right"/>
            </w:pPr>
            <w:r>
              <w:rPr>
                <w:rFonts w:cs="Times New Roman"/>
              </w:rPr>
              <w:t>broj/po godini</w:t>
            </w:r>
          </w:p>
        </w:tc>
        <w:tc>
          <w:tcPr>
            <w:tcW w:w="1020" w:type="dxa"/>
          </w:tcPr>
          <w:p w:rsidR="005C2091" w:rsidRDefault="00A86293">
            <w:pPr>
              <w:pStyle w:val="CellColumn"/>
              <w:jc w:val="right"/>
            </w:pPr>
            <w:r>
              <w:rPr>
                <w:rFonts w:cs="Times New Roman"/>
              </w:rPr>
              <w:t>1</w:t>
            </w:r>
          </w:p>
        </w:tc>
        <w:tc>
          <w:tcPr>
            <w:tcW w:w="918"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bl>
    <w:p w:rsidR="005C2091" w:rsidRDefault="005C2091">
      <w:pPr>
        <w:jc w:val="left"/>
      </w:pPr>
    </w:p>
    <w:p w:rsidR="005C2091" w:rsidRDefault="00A86293">
      <w:pPr>
        <w:pStyle w:val="Heading4"/>
      </w:pPr>
      <w:r>
        <w:t>A817048 ADMINISTRACIJA I UPRAVLJANJE AGENCIJE ZA INVESTICIJE I KONKURENTNOST</w:t>
      </w:r>
    </w:p>
    <w:tbl>
      <w:tblPr>
        <w:tblStyle w:val="StilTablice"/>
        <w:tblW w:w="10206" w:type="dxa"/>
        <w:jc w:val="center"/>
        <w:tblLook w:val="04A0" w:firstRow="1" w:lastRow="0" w:firstColumn="1" w:lastColumn="0" w:noHBand="0" w:noVBand="1"/>
      </w:tblPr>
      <w:tblGrid>
        <w:gridCol w:w="1881"/>
        <w:gridCol w:w="1971"/>
        <w:gridCol w:w="1971"/>
        <w:gridCol w:w="1964"/>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A817048-ADMINISTRACIJA I UPRAVLJANJE AGENCIJE ZA INVESTICIJE I KONKURENTNOST</w:t>
            </w:r>
          </w:p>
        </w:tc>
        <w:tc>
          <w:tcPr>
            <w:tcW w:w="2041" w:type="dxa"/>
          </w:tcPr>
          <w:p w:rsidR="005C2091" w:rsidRDefault="00A86293">
            <w:pPr>
              <w:pStyle w:val="CellColumn"/>
              <w:jc w:val="right"/>
            </w:pPr>
            <w:r>
              <w:rPr>
                <w:rFonts w:cs="Times New Roman"/>
              </w:rPr>
              <w:t>10.514.311</w:t>
            </w:r>
          </w:p>
        </w:tc>
        <w:tc>
          <w:tcPr>
            <w:tcW w:w="2041" w:type="dxa"/>
          </w:tcPr>
          <w:p w:rsidR="005C2091" w:rsidRDefault="00A86293">
            <w:pPr>
              <w:pStyle w:val="CellColumn"/>
              <w:jc w:val="right"/>
            </w:pPr>
            <w:r>
              <w:rPr>
                <w:rFonts w:cs="Times New Roman"/>
              </w:rPr>
              <w:t>10.106.547</w:t>
            </w:r>
          </w:p>
        </w:tc>
        <w:tc>
          <w:tcPr>
            <w:tcW w:w="2041" w:type="dxa"/>
          </w:tcPr>
          <w:p w:rsidR="005C2091" w:rsidRDefault="00A86293">
            <w:pPr>
              <w:pStyle w:val="CellColumn"/>
              <w:jc w:val="right"/>
            </w:pPr>
            <w:r>
              <w:rPr>
                <w:rFonts w:cs="Times New Roman"/>
              </w:rPr>
              <w:t>9.285.729</w:t>
            </w:r>
          </w:p>
        </w:tc>
        <w:tc>
          <w:tcPr>
            <w:tcW w:w="1224" w:type="dxa"/>
          </w:tcPr>
          <w:p w:rsidR="005C2091" w:rsidRDefault="00A86293">
            <w:pPr>
              <w:pStyle w:val="CellColumn"/>
              <w:jc w:val="right"/>
            </w:pPr>
            <w:r>
              <w:rPr>
                <w:rFonts w:cs="Times New Roman"/>
              </w:rPr>
              <w:t>91,9</w:t>
            </w:r>
          </w:p>
        </w:tc>
        <w:tc>
          <w:tcPr>
            <w:tcW w:w="1224" w:type="dxa"/>
          </w:tcPr>
          <w:p w:rsidR="005C2091" w:rsidRDefault="00A86293">
            <w:pPr>
              <w:pStyle w:val="CellColumn"/>
              <w:jc w:val="right"/>
            </w:pPr>
            <w:r>
              <w:rPr>
                <w:rFonts w:cs="Times New Roman"/>
              </w:rPr>
              <w:t>88,3</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 xml:space="preserve">Zakon o osnivanju Agencije za investicije i konkurentnost (Narodne novine, broj 53/12, 56/13 i 152/14) </w:t>
      </w:r>
    </w:p>
    <w:p w:rsidR="005C2091" w:rsidRDefault="00A86293">
      <w:r>
        <w:t xml:space="preserve">Zakon o strateškim investicijskim projektima Republike Hrvatske (Narodne novine, broj 133/13, 152/14 i 66/16) </w:t>
      </w:r>
    </w:p>
    <w:p w:rsidR="005C2091" w:rsidRDefault="00A86293">
      <w:r>
        <w:t xml:space="preserve">Zakon o poticanju ulaganja (Narodne novine, broj 102/15) </w:t>
      </w:r>
    </w:p>
    <w:p w:rsidR="005C2091" w:rsidRDefault="00A86293">
      <w:r>
        <w:t>Zakon o javno-privatnom partnerstvu (Narodne novine, broj 78/12 i 152/14)</w:t>
      </w:r>
    </w:p>
    <w:p w:rsidR="005C2091" w:rsidRDefault="00A86293">
      <w:pPr>
        <w:pStyle w:val="Heading4"/>
      </w:pPr>
      <w:r>
        <w:t>A864008 PRIVLAČENJE INVESTICIJA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A864008-PRIVLAČENJE INVESTICIJA</w:t>
            </w:r>
          </w:p>
        </w:tc>
        <w:tc>
          <w:tcPr>
            <w:tcW w:w="2041" w:type="dxa"/>
          </w:tcPr>
          <w:p w:rsidR="005C2091" w:rsidRDefault="00A86293">
            <w:pPr>
              <w:pStyle w:val="CellColumn"/>
              <w:jc w:val="right"/>
            </w:pPr>
            <w:r>
              <w:rPr>
                <w:rFonts w:cs="Times New Roman"/>
              </w:rPr>
              <w:t>2.104.534</w:t>
            </w:r>
          </w:p>
        </w:tc>
        <w:tc>
          <w:tcPr>
            <w:tcW w:w="2041" w:type="dxa"/>
          </w:tcPr>
          <w:p w:rsidR="005C2091" w:rsidRDefault="00A86293">
            <w:pPr>
              <w:pStyle w:val="CellColumn"/>
              <w:jc w:val="right"/>
            </w:pPr>
            <w:r>
              <w:rPr>
                <w:rFonts w:cs="Times New Roman"/>
              </w:rPr>
              <w:t>585.000</w:t>
            </w:r>
          </w:p>
        </w:tc>
        <w:tc>
          <w:tcPr>
            <w:tcW w:w="2041" w:type="dxa"/>
          </w:tcPr>
          <w:p w:rsidR="005C2091" w:rsidRDefault="00A86293">
            <w:pPr>
              <w:pStyle w:val="CellColumn"/>
              <w:jc w:val="right"/>
            </w:pPr>
            <w:r>
              <w:rPr>
                <w:rFonts w:cs="Times New Roman"/>
              </w:rPr>
              <w:t>234.432</w:t>
            </w:r>
          </w:p>
        </w:tc>
        <w:tc>
          <w:tcPr>
            <w:tcW w:w="1224" w:type="dxa"/>
          </w:tcPr>
          <w:p w:rsidR="005C2091" w:rsidRDefault="00A86293">
            <w:pPr>
              <w:pStyle w:val="CellColumn"/>
              <w:jc w:val="right"/>
            </w:pPr>
            <w:r>
              <w:rPr>
                <w:rFonts w:cs="Times New Roman"/>
              </w:rPr>
              <w:t>40,1</w:t>
            </w:r>
          </w:p>
        </w:tc>
        <w:tc>
          <w:tcPr>
            <w:tcW w:w="1224" w:type="dxa"/>
          </w:tcPr>
          <w:p w:rsidR="005C2091" w:rsidRDefault="00A86293">
            <w:pPr>
              <w:pStyle w:val="CellColumn"/>
              <w:jc w:val="right"/>
            </w:pPr>
            <w:r>
              <w:rPr>
                <w:rFonts w:cs="Times New Roman"/>
              </w:rPr>
              <w:t>11,1</w:t>
            </w:r>
          </w:p>
        </w:tc>
      </w:tr>
    </w:tbl>
    <w:p w:rsidR="005C2091" w:rsidRDefault="00A86293">
      <w:pPr>
        <w:pStyle w:val="Heading8"/>
        <w:jc w:val="left"/>
      </w:pPr>
      <w:r>
        <w:t>Opis aktivnosti</w:t>
      </w:r>
    </w:p>
    <w:p w:rsidR="005C2091" w:rsidRDefault="00A86293">
      <w:r>
        <w:t xml:space="preserve">Privlačenje investicija obuhvaća pružanje sustavne potpore realizaciji investicijskih projekata, proaktivno privlačenje investicija, provođenje investicijske politike, unaprjeđenje investicijskog okruženja, te promociju Republike Hrvatske kao poželjne investicijske destinacije. </w:t>
      </w:r>
    </w:p>
    <w:p w:rsidR="005C2091" w:rsidRDefault="00A86293">
      <w:r>
        <w:t>U obavljanju aktivnosti privlačenja investicija, provodi se pro-aktivni pristup poticanja investicija. AIK priprema projekte za ponudu investitorima, pruža podršku postojećim i potencijalnim investitorima pri realizaciji investicijskih projekata te vodi postinvesticijsku brigu. Ciljevi se odvijaju prema planu.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aktivnosti vezanih uz privlačenje investitora</w:t>
            </w:r>
          </w:p>
        </w:tc>
        <w:tc>
          <w:tcPr>
            <w:tcW w:w="2551" w:type="dxa"/>
          </w:tcPr>
          <w:p w:rsidR="005C2091" w:rsidRDefault="00A86293">
            <w:pPr>
              <w:pStyle w:val="CellColumn"/>
              <w:jc w:val="left"/>
            </w:pPr>
            <w:r>
              <w:rPr>
                <w:rFonts w:cs="Times New Roman"/>
              </w:rPr>
              <w:t>Pro-aktivnim privlačenjem izvozno orijenitranih greenfield investicija omogućit će se povećanje priljeva FDI-a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14</w:t>
            </w:r>
          </w:p>
        </w:tc>
        <w:tc>
          <w:tcPr>
            <w:tcW w:w="1020" w:type="dxa"/>
          </w:tcPr>
          <w:p w:rsidR="005C2091" w:rsidRDefault="00A86293">
            <w:pPr>
              <w:pStyle w:val="CellColumn"/>
              <w:jc w:val="right"/>
            </w:pPr>
            <w:r>
              <w:rPr>
                <w:rFonts w:cs="Times New Roman"/>
              </w:rPr>
              <w:t>14</w:t>
            </w:r>
          </w:p>
        </w:tc>
      </w:tr>
      <w:tr w:rsidR="005C2091">
        <w:trPr>
          <w:jc w:val="center"/>
        </w:trPr>
        <w:tc>
          <w:tcPr>
            <w:tcW w:w="2551" w:type="dxa"/>
          </w:tcPr>
          <w:p w:rsidR="005C2091" w:rsidRDefault="00A86293">
            <w:pPr>
              <w:pStyle w:val="CellColumn"/>
              <w:jc w:val="left"/>
            </w:pPr>
            <w:r>
              <w:rPr>
                <w:rFonts w:cs="Times New Roman"/>
              </w:rPr>
              <w:t>Povećanje broja pripremljenih investicijskih projekata i ulagačkih destinacija</w:t>
            </w:r>
          </w:p>
        </w:tc>
        <w:tc>
          <w:tcPr>
            <w:tcW w:w="2551" w:type="dxa"/>
          </w:tcPr>
          <w:p w:rsidR="005C2091" w:rsidRDefault="00A86293">
            <w:pPr>
              <w:pStyle w:val="CellColumn"/>
              <w:jc w:val="left"/>
            </w:pPr>
            <w:r>
              <w:rPr>
                <w:rFonts w:cs="Times New Roman"/>
              </w:rPr>
              <w:t>Pripremom ponude projekata investitorima potaknut će se investicijski ciklus</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39</w:t>
            </w:r>
          </w:p>
        </w:tc>
      </w:tr>
      <w:tr w:rsidR="005C2091">
        <w:trPr>
          <w:jc w:val="center"/>
        </w:trPr>
        <w:tc>
          <w:tcPr>
            <w:tcW w:w="2551" w:type="dxa"/>
          </w:tcPr>
          <w:p w:rsidR="005C2091" w:rsidRDefault="00A86293">
            <w:pPr>
              <w:pStyle w:val="CellColumn"/>
              <w:jc w:val="left"/>
            </w:pPr>
            <w:r>
              <w:rPr>
                <w:rFonts w:cs="Times New Roman"/>
              </w:rPr>
              <w:t>Povećanje broja aktivnosti vezanih uz podršku investitorima</w:t>
            </w:r>
          </w:p>
        </w:tc>
        <w:tc>
          <w:tcPr>
            <w:tcW w:w="2551" w:type="dxa"/>
          </w:tcPr>
          <w:p w:rsidR="005C2091" w:rsidRDefault="00A86293">
            <w:pPr>
              <w:pStyle w:val="CellColumn"/>
              <w:jc w:val="left"/>
            </w:pPr>
            <w:r>
              <w:rPr>
                <w:rFonts w:cs="Times New Roman"/>
              </w:rPr>
              <w:t>Povećanjem broja aktivnosti vezanih uz podršku postojećim i potencijalnim investitorima potaknut će se daljnji rast hrvatskog gospodarstva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12</w:t>
            </w:r>
          </w:p>
        </w:tc>
        <w:tc>
          <w:tcPr>
            <w:tcW w:w="1020" w:type="dxa"/>
          </w:tcPr>
          <w:p w:rsidR="005C2091" w:rsidRDefault="00A86293">
            <w:pPr>
              <w:pStyle w:val="CellColumn"/>
              <w:jc w:val="right"/>
            </w:pPr>
            <w:r>
              <w:rPr>
                <w:rFonts w:cs="Times New Roman"/>
              </w:rPr>
              <w:t>12</w:t>
            </w:r>
          </w:p>
        </w:tc>
      </w:tr>
      <w:tr w:rsidR="005C2091">
        <w:trPr>
          <w:jc w:val="center"/>
        </w:trPr>
        <w:tc>
          <w:tcPr>
            <w:tcW w:w="2551" w:type="dxa"/>
          </w:tcPr>
          <w:p w:rsidR="005C2091" w:rsidRDefault="00A86293">
            <w:pPr>
              <w:pStyle w:val="CellColumn"/>
              <w:jc w:val="left"/>
            </w:pPr>
            <w:r>
              <w:rPr>
                <w:rFonts w:cs="Times New Roman"/>
              </w:rPr>
              <w:t>Povećanje broja kvalificiranih posjeta ulagača lokacijama u RH</w:t>
            </w:r>
          </w:p>
        </w:tc>
        <w:tc>
          <w:tcPr>
            <w:tcW w:w="2551" w:type="dxa"/>
          </w:tcPr>
          <w:p w:rsidR="005C2091" w:rsidRDefault="00A86293">
            <w:pPr>
              <w:pStyle w:val="CellColumn"/>
              <w:jc w:val="left"/>
            </w:pPr>
            <w:r>
              <w:rPr>
                <w:rFonts w:cs="Times New Roman"/>
              </w:rPr>
              <w:t>Jasnim ciljanjem željenih tvrtki ulagača i kontaktiranjem istih s preciznim individualnim ponudama i predstavljanjima RH kao potencijalne ulagačke lokacije, može se očekivati i rast broja posjeta investitora lokacijama u RH</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19</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25</w:t>
            </w:r>
          </w:p>
        </w:tc>
        <w:tc>
          <w:tcPr>
            <w:tcW w:w="1020" w:type="dxa"/>
          </w:tcPr>
          <w:p w:rsidR="005C2091" w:rsidRDefault="00A86293">
            <w:pPr>
              <w:pStyle w:val="CellColumn"/>
              <w:jc w:val="right"/>
            </w:pPr>
            <w:r>
              <w:rPr>
                <w:rFonts w:cs="Times New Roman"/>
              </w:rPr>
              <w:t>25</w:t>
            </w:r>
          </w:p>
        </w:tc>
      </w:tr>
    </w:tbl>
    <w:p w:rsidR="005C2091" w:rsidRDefault="005C2091">
      <w:pPr>
        <w:jc w:val="left"/>
      </w:pPr>
    </w:p>
    <w:p w:rsidR="005C2091" w:rsidRDefault="00A86293">
      <w:pPr>
        <w:pStyle w:val="Heading4"/>
      </w:pPr>
      <w:r>
        <w:lastRenderedPageBreak/>
        <w:t>A864009 POVEĆANJE KONKURENTNOSTI</w:t>
      </w:r>
    </w:p>
    <w:tbl>
      <w:tblPr>
        <w:tblStyle w:val="StilTablice"/>
        <w:tblW w:w="10206" w:type="dxa"/>
        <w:jc w:val="center"/>
        <w:tblLook w:val="04A0" w:firstRow="1" w:lastRow="0" w:firstColumn="1" w:lastColumn="0" w:noHBand="0" w:noVBand="1"/>
      </w:tblPr>
      <w:tblGrid>
        <w:gridCol w:w="1949"/>
        <w:gridCol w:w="1949"/>
        <w:gridCol w:w="1943"/>
        <w:gridCol w:w="1949"/>
        <w:gridCol w:w="1204"/>
        <w:gridCol w:w="121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A864009-POVEĆANJE KONKURENTNOSTI</w:t>
            </w:r>
          </w:p>
        </w:tc>
        <w:tc>
          <w:tcPr>
            <w:tcW w:w="2041" w:type="dxa"/>
          </w:tcPr>
          <w:p w:rsidR="005C2091" w:rsidRDefault="00A86293">
            <w:pPr>
              <w:pStyle w:val="CellColumn"/>
              <w:jc w:val="right"/>
            </w:pPr>
            <w:r>
              <w:rPr>
                <w:rFonts w:cs="Times New Roman"/>
              </w:rPr>
              <w:t>285.725</w:t>
            </w:r>
          </w:p>
        </w:tc>
        <w:tc>
          <w:tcPr>
            <w:tcW w:w="2041" w:type="dxa"/>
          </w:tcPr>
          <w:p w:rsidR="005C2091" w:rsidRDefault="00A86293">
            <w:pPr>
              <w:pStyle w:val="CellColumn"/>
              <w:jc w:val="right"/>
            </w:pPr>
            <w:r>
              <w:rPr>
                <w:rFonts w:cs="Times New Roman"/>
              </w:rPr>
              <w:t>260.000</w:t>
            </w:r>
          </w:p>
        </w:tc>
        <w:tc>
          <w:tcPr>
            <w:tcW w:w="2041" w:type="dxa"/>
          </w:tcPr>
          <w:p w:rsidR="005C2091" w:rsidRDefault="00A86293">
            <w:pPr>
              <w:pStyle w:val="CellColumn"/>
              <w:jc w:val="right"/>
            </w:pPr>
            <w:r>
              <w:rPr>
                <w:rFonts w:cs="Times New Roman"/>
              </w:rPr>
              <w:t>189.689</w:t>
            </w:r>
          </w:p>
        </w:tc>
        <w:tc>
          <w:tcPr>
            <w:tcW w:w="1224" w:type="dxa"/>
          </w:tcPr>
          <w:p w:rsidR="005C2091" w:rsidRDefault="00A86293">
            <w:pPr>
              <w:pStyle w:val="CellColumn"/>
              <w:jc w:val="right"/>
            </w:pPr>
            <w:r>
              <w:rPr>
                <w:rFonts w:cs="Times New Roman"/>
              </w:rPr>
              <w:t>73,0</w:t>
            </w:r>
          </w:p>
        </w:tc>
        <w:tc>
          <w:tcPr>
            <w:tcW w:w="1224" w:type="dxa"/>
          </w:tcPr>
          <w:p w:rsidR="005C2091" w:rsidRDefault="00A86293">
            <w:pPr>
              <w:pStyle w:val="CellColumn"/>
              <w:jc w:val="right"/>
            </w:pPr>
            <w:r>
              <w:rPr>
                <w:rFonts w:cs="Times New Roman"/>
              </w:rPr>
              <w:t>66,4</w:t>
            </w:r>
          </w:p>
        </w:tc>
      </w:tr>
    </w:tbl>
    <w:p w:rsidR="005C2091" w:rsidRDefault="005C2091">
      <w:pPr>
        <w:jc w:val="left"/>
      </w:pPr>
    </w:p>
    <w:p w:rsidR="005C2091" w:rsidRDefault="00A86293">
      <w:pPr>
        <w:pStyle w:val="Heading8"/>
        <w:jc w:val="left"/>
      </w:pPr>
      <w:r>
        <w:t>Opis aktivnosti</w:t>
      </w:r>
    </w:p>
    <w:p w:rsidR="005C2091" w:rsidRDefault="00A86293">
      <w:r>
        <w:t>Aktivnosti Sektora za konkurentnost u Agenciji za investicije i konkurentnost uključuje stvaranje kvalitativne podloge za poboljšanje konkurentnosti, provođenje ex-ante i ex-post analize po pitanju ključnih komponenti konkurentnosti, praćenje trendova u zemlji i svijetu po pitanju konkurentnosti i razvoja ključnih sektora, podršku izradi strateških dokumenata namijenjenih jačanju konkurentnosti i njihovo provođenje, te podršku radu klastera konkurentnosti. Ciljevi se odvijaju prema planu.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Izrada analize stanja i predlaganje aktivnosti za unapređenje konkurentnosti hrvatskog gospodarstva</w:t>
            </w:r>
          </w:p>
        </w:tc>
        <w:tc>
          <w:tcPr>
            <w:tcW w:w="2551" w:type="dxa"/>
          </w:tcPr>
          <w:p w:rsidR="005C2091" w:rsidRDefault="00A86293">
            <w:pPr>
              <w:pStyle w:val="CellColumn"/>
              <w:jc w:val="left"/>
            </w:pPr>
            <w:r>
              <w:rPr>
                <w:rFonts w:cs="Times New Roman"/>
              </w:rPr>
              <w:t>Definiranjem sadašnjeg stanja i predlaganjem aktivnosti za unapređenje poslovne klime stvorit će se preduvijeti za poboljšanje konkurentnosti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75</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30</w:t>
            </w:r>
          </w:p>
        </w:tc>
      </w:tr>
      <w:tr w:rsidR="005C2091">
        <w:trPr>
          <w:jc w:val="center"/>
        </w:trPr>
        <w:tc>
          <w:tcPr>
            <w:tcW w:w="2551" w:type="dxa"/>
          </w:tcPr>
          <w:p w:rsidR="005C2091" w:rsidRDefault="00A86293">
            <w:pPr>
              <w:pStyle w:val="CellColumn"/>
              <w:jc w:val="left"/>
            </w:pPr>
            <w:r>
              <w:rPr>
                <w:rFonts w:cs="Times New Roman"/>
              </w:rPr>
              <w:t>Podrška radu klastera konkurentnosti</w:t>
            </w:r>
          </w:p>
        </w:tc>
        <w:tc>
          <w:tcPr>
            <w:tcW w:w="2551" w:type="dxa"/>
          </w:tcPr>
          <w:p w:rsidR="005C2091" w:rsidRDefault="00A86293">
            <w:pPr>
              <w:pStyle w:val="CellColumn"/>
              <w:jc w:val="left"/>
            </w:pPr>
            <w:r>
              <w:rPr>
                <w:rFonts w:cs="Times New Roman"/>
              </w:rPr>
              <w:t>Podrškom radu klastera konkurentnosti osigurat će se identifikacija, izrada i provedba strateških projekata koji će se financirati iz fondova EU što će unaprijediti konkurentnost sektora i hrvatskog gospodarstva.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13</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13</w:t>
            </w:r>
          </w:p>
        </w:tc>
        <w:tc>
          <w:tcPr>
            <w:tcW w:w="1020" w:type="dxa"/>
          </w:tcPr>
          <w:p w:rsidR="005C2091" w:rsidRDefault="00A86293">
            <w:pPr>
              <w:pStyle w:val="CellColumn"/>
              <w:jc w:val="right"/>
            </w:pPr>
            <w:r>
              <w:rPr>
                <w:rFonts w:cs="Times New Roman"/>
              </w:rPr>
              <w:t>13</w:t>
            </w:r>
          </w:p>
        </w:tc>
      </w:tr>
    </w:tbl>
    <w:p w:rsidR="005C2091" w:rsidRDefault="005C2091">
      <w:pPr>
        <w:jc w:val="left"/>
      </w:pPr>
    </w:p>
    <w:p w:rsidR="005C2091" w:rsidRDefault="00A86293">
      <w:pPr>
        <w:pStyle w:val="Heading4"/>
      </w:pPr>
      <w:r>
        <w:t>A864011 RAZVOJNA SURADNJA I HUMANITARNA POMOĆ INOZEMSTVU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A864011-RAZVOJNA SURADNJA I HUMANITARNA POMOĆ INOZEMSTVU</w:t>
            </w:r>
          </w:p>
        </w:tc>
        <w:tc>
          <w:tcPr>
            <w:tcW w:w="2041" w:type="dxa"/>
          </w:tcPr>
          <w:p w:rsidR="005C2091" w:rsidRDefault="00A86293">
            <w:pPr>
              <w:pStyle w:val="CellColumn"/>
              <w:jc w:val="right"/>
            </w:pPr>
            <w:r>
              <w:rPr>
                <w:rFonts w:cs="Times New Roman"/>
              </w:rPr>
              <w:t>609</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lastRenderedPageBreak/>
        <w:t>Opis aktivnosti</w:t>
      </w:r>
    </w:p>
    <w:p w:rsidR="005C2091" w:rsidRDefault="00A86293">
      <w:r>
        <w:t>Sredstva ove aktivnosti uključuju uspostavljanje suradnje te provedbu aktivnosti i mjera u svrhu unapređenja sustava i kvalitete tržišta javno-privatnog partnerstva u slabije razvijenim državama (primjerice Bosnom i Hercegovinom i Kosovom kao programskim zemljama, ali i trećim zemljama sukladno Europskoj razvojnoj politici), sukladno Zakonu o razvojnoj suradnji i humanitarnoj pomoći inozemstvu (NN 146/2008) te Nacionalnoj strategiji razvojne suradnje Republike Hrvatske. Obzirom da u 2016. godini nije donesena Nacionalna strategija razvojne suradnje Republike Hrvatske planiranih 95.000 kuna je prilikom rebalansa vraćeno u Državni proračun.</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Postupovne inicijative vezane uz međunarodnu suradnju</w:t>
            </w:r>
          </w:p>
        </w:tc>
        <w:tc>
          <w:tcPr>
            <w:tcW w:w="2551" w:type="dxa"/>
          </w:tcPr>
          <w:p w:rsidR="005C2091" w:rsidRDefault="00A86293">
            <w:pPr>
              <w:pStyle w:val="CellColumn"/>
              <w:jc w:val="left"/>
            </w:pPr>
            <w:r>
              <w:rPr>
                <w:rFonts w:cs="Times New Roman"/>
              </w:rPr>
              <w:t>Sudjelovanje u radu europskih i svjetskih radnih tijela i sastanaka, planiranje i provedba projekata tehničke pomoći, organizacija i sudjelovanje zaposlenika na međunardnim seminarima, konferencijama i radnim tijelima; bilateralna suradnja</w:t>
            </w:r>
          </w:p>
        </w:tc>
        <w:tc>
          <w:tcPr>
            <w:tcW w:w="1020" w:type="dxa"/>
          </w:tcPr>
          <w:p w:rsidR="005C2091" w:rsidRDefault="00A86293">
            <w:pPr>
              <w:pStyle w:val="CellColumn"/>
              <w:jc w:val="right"/>
            </w:pPr>
            <w:r>
              <w:rPr>
                <w:rFonts w:cs="Times New Roman"/>
              </w:rPr>
              <w:t>broj/po godini</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15</w:t>
            </w:r>
          </w:p>
        </w:tc>
      </w:tr>
    </w:tbl>
    <w:p w:rsidR="005C2091" w:rsidRDefault="005C2091">
      <w:pPr>
        <w:jc w:val="left"/>
      </w:pPr>
    </w:p>
    <w:p w:rsidR="005C2091" w:rsidRDefault="00A86293">
      <w:pPr>
        <w:pStyle w:val="Heading4"/>
      </w:pPr>
      <w:r>
        <w:t>A864012 AKTIVNOST JAVNO-PRIVATNOG PARTNERSTVA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A864012-AKTIVNOST JAVNO-PRIVATNOG PARTNERSTVA</w:t>
            </w:r>
          </w:p>
        </w:tc>
        <w:tc>
          <w:tcPr>
            <w:tcW w:w="2041" w:type="dxa"/>
          </w:tcPr>
          <w:p w:rsidR="005C2091" w:rsidRDefault="00A86293">
            <w:pPr>
              <w:pStyle w:val="CellColumn"/>
              <w:jc w:val="right"/>
            </w:pPr>
            <w:r>
              <w:rPr>
                <w:rFonts w:cs="Times New Roman"/>
              </w:rPr>
              <w:t>23.555</w:t>
            </w:r>
          </w:p>
        </w:tc>
        <w:tc>
          <w:tcPr>
            <w:tcW w:w="2041" w:type="dxa"/>
          </w:tcPr>
          <w:p w:rsidR="005C2091" w:rsidRDefault="00A86293">
            <w:pPr>
              <w:pStyle w:val="CellColumn"/>
              <w:jc w:val="right"/>
            </w:pPr>
            <w:r>
              <w:rPr>
                <w:rFonts w:cs="Times New Roman"/>
              </w:rPr>
              <w:t>400.000</w:t>
            </w:r>
          </w:p>
        </w:tc>
        <w:tc>
          <w:tcPr>
            <w:tcW w:w="2041" w:type="dxa"/>
          </w:tcPr>
          <w:p w:rsidR="005C2091" w:rsidRDefault="00A86293">
            <w:pPr>
              <w:pStyle w:val="CellColumn"/>
              <w:jc w:val="right"/>
            </w:pPr>
            <w:r>
              <w:rPr>
                <w:rFonts w:cs="Times New Roman"/>
              </w:rPr>
              <w:t>118.914</w:t>
            </w:r>
          </w:p>
        </w:tc>
        <w:tc>
          <w:tcPr>
            <w:tcW w:w="1224" w:type="dxa"/>
          </w:tcPr>
          <w:p w:rsidR="005C2091" w:rsidRDefault="00A86293">
            <w:pPr>
              <w:pStyle w:val="CellColumn"/>
              <w:jc w:val="right"/>
            </w:pPr>
            <w:r>
              <w:rPr>
                <w:rFonts w:cs="Times New Roman"/>
              </w:rPr>
              <w:t>29,7</w:t>
            </w:r>
          </w:p>
        </w:tc>
        <w:tc>
          <w:tcPr>
            <w:tcW w:w="1224" w:type="dxa"/>
          </w:tcPr>
          <w:p w:rsidR="005C2091" w:rsidRDefault="00A86293">
            <w:pPr>
              <w:pStyle w:val="CellColumn"/>
              <w:jc w:val="right"/>
            </w:pPr>
            <w:r>
              <w:rPr>
                <w:rFonts w:cs="Times New Roman"/>
              </w:rPr>
              <w:t>504,8</w:t>
            </w:r>
          </w:p>
        </w:tc>
      </w:tr>
    </w:tbl>
    <w:p w:rsidR="005C2091" w:rsidRDefault="005C2091">
      <w:pPr>
        <w:jc w:val="left"/>
      </w:pPr>
    </w:p>
    <w:p w:rsidR="005C2091" w:rsidRDefault="00A86293">
      <w:pPr>
        <w:pStyle w:val="Heading8"/>
        <w:jc w:val="left"/>
      </w:pPr>
      <w:r>
        <w:t>Opis aktivnosti</w:t>
      </w:r>
    </w:p>
    <w:p w:rsidR="005C2091" w:rsidRDefault="00A86293">
      <w:r>
        <w:t>Sredstva ove aktivnosti uključuju unapređenje sustava javno-privatnog partnerstva u Republici Hrvatskoj (pokretanjem inicijativa radi usklađivanja propisa u svrhu kvalitetnije primjene modela JPP-a), provedbu procesa ocjene i odobravanja prijedloga projekata JPP-a, nadzor provedbe ugovora o javno-privatnom partnerstvu - analizom izvješća o provedbi projekata JPP-a, međunarodnu suradnju i informiranje i edukaciju organizacijom radionica, seminara i konferencija gdje se upoznaje sudionike o glavnim specifičnostima JPP-a u RH. Ciljevi se odvijaju prema planu.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340"/>
        <w:gridCol w:w="2358"/>
        <w:gridCol w:w="1503"/>
        <w:gridCol w:w="1004"/>
        <w:gridCol w:w="992"/>
        <w:gridCol w:w="1004"/>
        <w:gridCol w:w="100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Godišnje izvješće o stanju JPP tržišta</w:t>
            </w:r>
          </w:p>
        </w:tc>
        <w:tc>
          <w:tcPr>
            <w:tcW w:w="2551" w:type="dxa"/>
          </w:tcPr>
          <w:p w:rsidR="005C2091" w:rsidRDefault="00A86293">
            <w:pPr>
              <w:pStyle w:val="CellColumn"/>
              <w:jc w:val="left"/>
            </w:pPr>
            <w:r>
              <w:rPr>
                <w:rFonts w:cs="Times New Roman"/>
              </w:rPr>
              <w:t>Izrada godišnjih izvješća na temelju praćenja stanja i analiza provedbe ugovora JPP-a</w:t>
            </w:r>
          </w:p>
        </w:tc>
        <w:tc>
          <w:tcPr>
            <w:tcW w:w="1020" w:type="dxa"/>
          </w:tcPr>
          <w:p w:rsidR="005C2091" w:rsidRDefault="00A86293">
            <w:pPr>
              <w:pStyle w:val="CellColumn"/>
              <w:jc w:val="right"/>
            </w:pPr>
            <w:r>
              <w:rPr>
                <w:rFonts w:cs="Times New Roman"/>
              </w:rPr>
              <w:t>broj/po godini</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r w:rsidR="005C2091">
        <w:trPr>
          <w:jc w:val="center"/>
        </w:trPr>
        <w:tc>
          <w:tcPr>
            <w:tcW w:w="2551" w:type="dxa"/>
          </w:tcPr>
          <w:p w:rsidR="005C2091" w:rsidRDefault="00A86293">
            <w:pPr>
              <w:pStyle w:val="CellColumn"/>
              <w:jc w:val="left"/>
            </w:pPr>
            <w:r>
              <w:rPr>
                <w:rFonts w:cs="Times New Roman"/>
              </w:rPr>
              <w:lastRenderedPageBreak/>
              <w:t>Postupovne inicijative radi usklađivanja propisa</w:t>
            </w:r>
          </w:p>
        </w:tc>
        <w:tc>
          <w:tcPr>
            <w:tcW w:w="2551" w:type="dxa"/>
          </w:tcPr>
          <w:p w:rsidR="005C2091" w:rsidRDefault="00A86293">
            <w:pPr>
              <w:pStyle w:val="CellColumn"/>
              <w:jc w:val="left"/>
            </w:pPr>
            <w:r>
              <w:rPr>
                <w:rFonts w:cs="Times New Roman"/>
              </w:rPr>
              <w:t>Poduzimanje inicijativa za usklađivanje propisa koji utječu na efikasnost tržišta JPP-a</w:t>
            </w:r>
          </w:p>
        </w:tc>
        <w:tc>
          <w:tcPr>
            <w:tcW w:w="1020" w:type="dxa"/>
          </w:tcPr>
          <w:p w:rsidR="005C2091" w:rsidRDefault="00A86293">
            <w:pPr>
              <w:pStyle w:val="CellColumn"/>
              <w:jc w:val="right"/>
            </w:pPr>
            <w:r>
              <w:rPr>
                <w:rFonts w:cs="Times New Roman"/>
              </w:rPr>
              <w:t>broj/po godini</w:t>
            </w:r>
          </w:p>
        </w:tc>
        <w:tc>
          <w:tcPr>
            <w:tcW w:w="1020" w:type="dxa"/>
          </w:tcPr>
          <w:p w:rsidR="005C2091" w:rsidRDefault="00A86293">
            <w:pPr>
              <w:pStyle w:val="CellColumn"/>
              <w:jc w:val="right"/>
            </w:pPr>
            <w:r>
              <w:rPr>
                <w:rFonts w:cs="Times New Roman"/>
              </w:rPr>
              <w:t>3</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3</w:t>
            </w:r>
          </w:p>
        </w:tc>
        <w:tc>
          <w:tcPr>
            <w:tcW w:w="1020" w:type="dxa"/>
          </w:tcPr>
          <w:p w:rsidR="005C2091" w:rsidRDefault="00A86293">
            <w:pPr>
              <w:pStyle w:val="CellColumn"/>
              <w:jc w:val="right"/>
            </w:pPr>
            <w:r>
              <w:rPr>
                <w:rFonts w:cs="Times New Roman"/>
              </w:rPr>
              <w:t>5</w:t>
            </w:r>
          </w:p>
        </w:tc>
      </w:tr>
      <w:tr w:rsidR="005C2091">
        <w:trPr>
          <w:jc w:val="center"/>
        </w:trPr>
        <w:tc>
          <w:tcPr>
            <w:tcW w:w="2551" w:type="dxa"/>
          </w:tcPr>
          <w:p w:rsidR="005C2091" w:rsidRDefault="00A86293">
            <w:pPr>
              <w:pStyle w:val="CellColumn"/>
              <w:jc w:val="left"/>
            </w:pPr>
            <w:r>
              <w:rPr>
                <w:rFonts w:cs="Times New Roman"/>
              </w:rPr>
              <w:t xml:space="preserve">Postupovne inicijative radi usklađivanja propisa </w:t>
            </w:r>
          </w:p>
          <w:p w:rsidR="005C2091" w:rsidRDefault="00A86293">
            <w:pPr>
              <w:pStyle w:val="CellColumn"/>
              <w:jc w:val="left"/>
            </w:pPr>
            <w:r>
              <w:rPr>
                <w:rFonts w:cs="Times New Roman"/>
              </w:rPr>
              <w:t>Rješenja o zaprimljenim prijedlozima projekata javno-privatnog partnerstva</w:t>
            </w:r>
          </w:p>
        </w:tc>
        <w:tc>
          <w:tcPr>
            <w:tcW w:w="2551" w:type="dxa"/>
          </w:tcPr>
          <w:p w:rsidR="005C2091" w:rsidRDefault="00A86293">
            <w:pPr>
              <w:pStyle w:val="CellColumn"/>
              <w:jc w:val="left"/>
            </w:pPr>
            <w:r>
              <w:rPr>
                <w:rFonts w:cs="Times New Roman"/>
              </w:rPr>
              <w:t>Izdavanje rješenja o zaprimljenim prijedlozima projekata</w:t>
            </w:r>
          </w:p>
        </w:tc>
        <w:tc>
          <w:tcPr>
            <w:tcW w:w="1020" w:type="dxa"/>
          </w:tcPr>
          <w:p w:rsidR="005C2091" w:rsidRDefault="00A86293">
            <w:pPr>
              <w:pStyle w:val="CellColumn"/>
              <w:jc w:val="right"/>
            </w:pPr>
            <w:r>
              <w:rPr>
                <w:rFonts w:cs="Times New Roman"/>
              </w:rPr>
              <w:t>broj/kumulativno</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9</w:t>
            </w:r>
          </w:p>
        </w:tc>
        <w:tc>
          <w:tcPr>
            <w:tcW w:w="1020" w:type="dxa"/>
          </w:tcPr>
          <w:p w:rsidR="005C2091" w:rsidRDefault="00A86293">
            <w:pPr>
              <w:pStyle w:val="CellColumn"/>
              <w:jc w:val="right"/>
            </w:pPr>
            <w:r>
              <w:rPr>
                <w:rFonts w:cs="Times New Roman"/>
              </w:rPr>
              <w:t>6</w:t>
            </w:r>
          </w:p>
        </w:tc>
      </w:tr>
      <w:tr w:rsidR="005C2091">
        <w:trPr>
          <w:jc w:val="center"/>
        </w:trPr>
        <w:tc>
          <w:tcPr>
            <w:tcW w:w="2551" w:type="dxa"/>
          </w:tcPr>
          <w:p w:rsidR="005C2091" w:rsidRDefault="00A86293">
            <w:pPr>
              <w:pStyle w:val="CellColumn"/>
              <w:jc w:val="left"/>
            </w:pPr>
            <w:r>
              <w:rPr>
                <w:rFonts w:cs="Times New Roman"/>
              </w:rPr>
              <w:t>Izvješća o provedbi projekta JPP-a</w:t>
            </w:r>
          </w:p>
        </w:tc>
        <w:tc>
          <w:tcPr>
            <w:tcW w:w="2551" w:type="dxa"/>
          </w:tcPr>
          <w:p w:rsidR="005C2091" w:rsidRDefault="00A86293">
            <w:pPr>
              <w:pStyle w:val="CellColumn"/>
              <w:jc w:val="left"/>
            </w:pPr>
            <w:r>
              <w:rPr>
                <w:rFonts w:cs="Times New Roman"/>
              </w:rPr>
              <w:t>Praćenje podataka o provedbi projekata JPP-a temeljem zaprimljenih izvješća o provedbi JPP projekata od javnih partnera</w:t>
            </w:r>
          </w:p>
        </w:tc>
        <w:tc>
          <w:tcPr>
            <w:tcW w:w="1020" w:type="dxa"/>
          </w:tcPr>
          <w:p w:rsidR="005C2091" w:rsidRDefault="00A86293">
            <w:pPr>
              <w:pStyle w:val="CellColumn"/>
              <w:jc w:val="right"/>
            </w:pPr>
            <w:r>
              <w:rPr>
                <w:rFonts w:cs="Times New Roman"/>
              </w:rPr>
              <w:t>broj/po godini</w:t>
            </w:r>
          </w:p>
        </w:tc>
        <w:tc>
          <w:tcPr>
            <w:tcW w:w="1020" w:type="dxa"/>
          </w:tcPr>
          <w:p w:rsidR="005C2091" w:rsidRDefault="00A86293">
            <w:pPr>
              <w:pStyle w:val="CellColumn"/>
              <w:jc w:val="right"/>
            </w:pPr>
            <w:r>
              <w:rPr>
                <w:rFonts w:cs="Times New Roman"/>
              </w:rPr>
              <w:t>14</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13</w:t>
            </w:r>
          </w:p>
        </w:tc>
        <w:tc>
          <w:tcPr>
            <w:tcW w:w="1020" w:type="dxa"/>
          </w:tcPr>
          <w:p w:rsidR="005C2091" w:rsidRDefault="00A86293">
            <w:pPr>
              <w:pStyle w:val="CellColumn"/>
              <w:jc w:val="right"/>
            </w:pPr>
            <w:r>
              <w:rPr>
                <w:rFonts w:cs="Times New Roman"/>
              </w:rPr>
              <w:t>14</w:t>
            </w:r>
          </w:p>
        </w:tc>
      </w:tr>
      <w:tr w:rsidR="005C2091">
        <w:trPr>
          <w:jc w:val="center"/>
        </w:trPr>
        <w:tc>
          <w:tcPr>
            <w:tcW w:w="2551" w:type="dxa"/>
          </w:tcPr>
          <w:p w:rsidR="005C2091" w:rsidRDefault="00A86293">
            <w:pPr>
              <w:pStyle w:val="CellColumn"/>
              <w:jc w:val="left"/>
            </w:pPr>
            <w:r>
              <w:rPr>
                <w:rFonts w:cs="Times New Roman"/>
              </w:rPr>
              <w:t>Upisani ugovori o JPP-u u Registru</w:t>
            </w:r>
          </w:p>
        </w:tc>
        <w:tc>
          <w:tcPr>
            <w:tcW w:w="2551" w:type="dxa"/>
          </w:tcPr>
          <w:p w:rsidR="005C2091" w:rsidRDefault="00A86293">
            <w:pPr>
              <w:pStyle w:val="CellColumn"/>
              <w:jc w:val="left"/>
            </w:pPr>
            <w:r>
              <w:rPr>
                <w:rFonts w:cs="Times New Roman"/>
              </w:rPr>
              <w:t>U  Registar se upisuju podaci iz Ugovora o JPP-u i ostale dokumentacije koju javni partner dostavlja Agenciji sukladno Zakonu o JPP-u.</w:t>
            </w:r>
          </w:p>
        </w:tc>
        <w:tc>
          <w:tcPr>
            <w:tcW w:w="1020" w:type="dxa"/>
          </w:tcPr>
          <w:p w:rsidR="005C2091" w:rsidRDefault="00A86293">
            <w:pPr>
              <w:pStyle w:val="CellColumn"/>
              <w:jc w:val="right"/>
            </w:pPr>
            <w:r>
              <w:rPr>
                <w:rFonts w:cs="Times New Roman"/>
              </w:rPr>
              <w:t>broj/po godini</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r w:rsidR="005C2091">
        <w:trPr>
          <w:jc w:val="center"/>
        </w:trPr>
        <w:tc>
          <w:tcPr>
            <w:tcW w:w="2551" w:type="dxa"/>
          </w:tcPr>
          <w:p w:rsidR="005C2091" w:rsidRDefault="00A86293">
            <w:pPr>
              <w:pStyle w:val="CellColumn"/>
              <w:jc w:val="left"/>
            </w:pPr>
            <w:r>
              <w:rPr>
                <w:rFonts w:cs="Times New Roman"/>
              </w:rPr>
              <w:t>Zaprimljeni prijedlozi izmjena i/ili dopuna ugovora o JPP-u</w:t>
            </w:r>
          </w:p>
        </w:tc>
        <w:tc>
          <w:tcPr>
            <w:tcW w:w="2551" w:type="dxa"/>
          </w:tcPr>
          <w:p w:rsidR="005C2091" w:rsidRDefault="00A86293">
            <w:pPr>
              <w:pStyle w:val="CellColumn"/>
              <w:jc w:val="left"/>
            </w:pPr>
            <w:r>
              <w:rPr>
                <w:rFonts w:cs="Times New Roman"/>
              </w:rPr>
              <w:t>Javna tijela obvezna su prilikom svake izmjene i/ili dopune JPP ugovora dostaviti isti Agenciji na suglasnost</w:t>
            </w:r>
          </w:p>
        </w:tc>
        <w:tc>
          <w:tcPr>
            <w:tcW w:w="1020" w:type="dxa"/>
          </w:tcPr>
          <w:p w:rsidR="005C2091" w:rsidRDefault="00A86293">
            <w:pPr>
              <w:pStyle w:val="CellColumn"/>
              <w:jc w:val="right"/>
            </w:pPr>
            <w:r>
              <w:rPr>
                <w:rFonts w:cs="Times New Roman"/>
              </w:rPr>
              <w:t>broj/po godini</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2</w:t>
            </w:r>
          </w:p>
        </w:tc>
      </w:tr>
      <w:tr w:rsidR="005C2091">
        <w:trPr>
          <w:jc w:val="center"/>
        </w:trPr>
        <w:tc>
          <w:tcPr>
            <w:tcW w:w="2551" w:type="dxa"/>
          </w:tcPr>
          <w:p w:rsidR="005C2091" w:rsidRDefault="00A86293">
            <w:pPr>
              <w:pStyle w:val="CellColumn"/>
              <w:jc w:val="left"/>
            </w:pPr>
            <w:r>
              <w:rPr>
                <w:rFonts w:cs="Times New Roman"/>
              </w:rPr>
              <w:t>Provedba edukativnih aktivnosti za javna tijela i poslovne subjekte</w:t>
            </w:r>
          </w:p>
        </w:tc>
        <w:tc>
          <w:tcPr>
            <w:tcW w:w="2551" w:type="dxa"/>
          </w:tcPr>
          <w:p w:rsidR="005C2091" w:rsidRDefault="00A86293">
            <w:pPr>
              <w:pStyle w:val="CellColumn"/>
              <w:jc w:val="left"/>
            </w:pPr>
            <w:r>
              <w:rPr>
                <w:rFonts w:cs="Times New Roman"/>
              </w:rPr>
              <w:t>Organizacija i provedba seminara, konferencija, radionica i ostalih edukativnih aktivnosti u svrhu diseminacije znanja i iskustva te informiranja javnosti u području JPP-a.</w:t>
            </w:r>
          </w:p>
        </w:tc>
        <w:tc>
          <w:tcPr>
            <w:tcW w:w="1020" w:type="dxa"/>
          </w:tcPr>
          <w:p w:rsidR="005C2091" w:rsidRDefault="00A86293">
            <w:pPr>
              <w:pStyle w:val="CellColumn"/>
              <w:jc w:val="right"/>
            </w:pPr>
            <w:r>
              <w:rPr>
                <w:rFonts w:cs="Times New Roman"/>
              </w:rPr>
              <w:t>broj/kumulativno</w:t>
            </w:r>
          </w:p>
        </w:tc>
        <w:tc>
          <w:tcPr>
            <w:tcW w:w="1020" w:type="dxa"/>
          </w:tcPr>
          <w:p w:rsidR="005C2091" w:rsidRDefault="00A86293">
            <w:pPr>
              <w:pStyle w:val="CellColumn"/>
              <w:jc w:val="right"/>
            </w:pPr>
            <w:r>
              <w:rPr>
                <w:rFonts w:cs="Times New Roman"/>
              </w:rPr>
              <w:t>24</w:t>
            </w:r>
          </w:p>
        </w:tc>
        <w:tc>
          <w:tcPr>
            <w:tcW w:w="1020" w:type="dxa"/>
          </w:tcPr>
          <w:p w:rsidR="005C2091" w:rsidRDefault="00A86293">
            <w:pPr>
              <w:pStyle w:val="CellColumn"/>
              <w:jc w:val="right"/>
            </w:pPr>
            <w:r>
              <w:rPr>
                <w:rFonts w:cs="Times New Roman"/>
              </w:rPr>
              <w:t>AIK</w:t>
            </w:r>
          </w:p>
        </w:tc>
        <w:tc>
          <w:tcPr>
            <w:tcW w:w="1020" w:type="dxa"/>
          </w:tcPr>
          <w:p w:rsidR="005C2091" w:rsidRDefault="00A86293">
            <w:pPr>
              <w:pStyle w:val="CellColumn"/>
              <w:jc w:val="right"/>
            </w:pPr>
            <w:r>
              <w:rPr>
                <w:rFonts w:cs="Times New Roman"/>
              </w:rPr>
              <w:t>26</w:t>
            </w:r>
          </w:p>
        </w:tc>
        <w:tc>
          <w:tcPr>
            <w:tcW w:w="1020" w:type="dxa"/>
          </w:tcPr>
          <w:p w:rsidR="005C2091" w:rsidRDefault="00A86293">
            <w:pPr>
              <w:pStyle w:val="CellColumn"/>
              <w:jc w:val="right"/>
            </w:pPr>
            <w:r>
              <w:rPr>
                <w:rFonts w:cs="Times New Roman"/>
              </w:rPr>
              <w:t>50</w:t>
            </w:r>
          </w:p>
        </w:tc>
      </w:tr>
    </w:tbl>
    <w:p w:rsidR="005C2091" w:rsidRDefault="005C2091">
      <w:pPr>
        <w:jc w:val="left"/>
      </w:pPr>
    </w:p>
    <w:p w:rsidR="00B148E9" w:rsidRDefault="00B148E9">
      <w:pPr>
        <w:jc w:val="left"/>
      </w:pPr>
    </w:p>
    <w:p w:rsidR="00B148E9" w:rsidRDefault="00B148E9">
      <w:pPr>
        <w:jc w:val="left"/>
      </w:pPr>
    </w:p>
    <w:p w:rsidR="005C2091" w:rsidRDefault="00A86293">
      <w:pPr>
        <w:pStyle w:val="Heading4"/>
      </w:pPr>
      <w:r>
        <w:t>A864013 INSTRUMENTI ZA KOMBINIRANJE EUROPSKIH STRUKTURNIH I INVESTICIJSKIH FONDOVA I JAVNO-PRIVATNOG PARTNERSTVA</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A864013-INSTRUMENTI ZA KOMBINIRANJE EUROPSKIH STRUKTURNIH I INVESTICIJSKIH FONDOVA I JAVNO-PRIVATNOG PARTNERSTVA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224.000</w:t>
            </w:r>
          </w:p>
        </w:tc>
        <w:tc>
          <w:tcPr>
            <w:tcW w:w="2041" w:type="dxa"/>
          </w:tcPr>
          <w:p w:rsidR="005C2091" w:rsidRDefault="00A86293">
            <w:pPr>
              <w:pStyle w:val="CellColumn"/>
              <w:jc w:val="right"/>
            </w:pPr>
            <w:r>
              <w:rPr>
                <w:rFonts w:cs="Times New Roman"/>
              </w:rPr>
              <w:t>218.415</w:t>
            </w:r>
          </w:p>
        </w:tc>
        <w:tc>
          <w:tcPr>
            <w:tcW w:w="1224" w:type="dxa"/>
          </w:tcPr>
          <w:p w:rsidR="005C2091" w:rsidRDefault="00A86293">
            <w:pPr>
              <w:pStyle w:val="CellColumn"/>
              <w:jc w:val="right"/>
            </w:pPr>
            <w:r>
              <w:rPr>
                <w:rFonts w:cs="Times New Roman"/>
              </w:rPr>
              <w:t>97,5</w:t>
            </w:r>
          </w:p>
        </w:tc>
        <w:tc>
          <w:tcPr>
            <w:tcW w:w="1224" w:type="dxa"/>
          </w:tcPr>
          <w:p w:rsidR="005C2091" w:rsidRDefault="00A86293">
            <w:pPr>
              <w:pStyle w:val="CellColumn"/>
              <w:jc w:val="right"/>
            </w:pPr>
            <w:r>
              <w:rPr>
                <w:rFonts w:cs="Times New Roman"/>
              </w:rPr>
              <w:t>0,0</w:t>
            </w:r>
          </w:p>
        </w:tc>
      </w:tr>
    </w:tbl>
    <w:p w:rsidR="005C2091" w:rsidRDefault="00A86293">
      <w:pPr>
        <w:pStyle w:val="Heading8"/>
        <w:jc w:val="left"/>
      </w:pPr>
      <w:r>
        <w:t>Opis aktivnosti</w:t>
      </w:r>
    </w:p>
    <w:p w:rsidR="005C2091" w:rsidRDefault="00A86293">
      <w:r>
        <w:t>Sredstva ove aktivnosti odnose se na provedbu projekta sufinanciranog iz Prijelaznog instrumenta čiji je AIK korisnik. Cilj projekta usmjeren je na aktivno sudjelovanje u provedbi Europske investicijske politike radi povećanja rasta i zaposlenosti, posebice korištenjem modela JPP-a u kombinaciji sa Europskim fondom za strateške investicije (EFSI) kao i sa Europskim strukturnim i investicijskim fondovima (ESIF). Ciljevi se odvijaju prema planu.</w:t>
      </w:r>
    </w:p>
    <w:p w:rsidR="005C2091" w:rsidRDefault="00A86293">
      <w:pPr>
        <w:pStyle w:val="Heading3"/>
      </w:pPr>
      <w:r>
        <w:rPr>
          <w:rFonts w:cs="Times New Roman"/>
        </w:rPr>
        <w:t>47797 Hrvatska agencija za obvezne zalihe nafte i naftnih derivata</w:t>
      </w:r>
    </w:p>
    <w:p w:rsidR="005C2091" w:rsidRDefault="00A86293">
      <w:r>
        <w:t xml:space="preserve">U postupku usklađivanja zakonodavnog okvira Republike Hrvatske s pravnom stečevinom EU-a i Ugovora o zajednici za energiju, Hrvatski sabor je, u svibnju 2006. godine, donio Zakon o tržištu nafte i naftnih derivata (Narodne novine, broj 19/14), (u daljnjem tekstu: Zakon).Predmetnim Zakonom uređuju se pravila i mjere za sigurnu i pouzdanu proizvodnju naftnih derivata, transport nafte i naftnih derivata, trgovina na veliko i malo naftnim derivatima, skladištenje nafte i naftnih derivata, trgovinu na veliko i malo ukapljenim naftnim plinom, pravo pristupa treće strane, otvoren pristup tržištu, plan intervencije u slučaju izvanrednog poremećaja opskrbe tržišta nafte i naftnih derivata te operativne i obvezne zalihe nafte, odnosno naftnih derivata. Ujedno se tim Zakonom uređuje poslovanje Hrvatska agencija za obvezne zalihe nafte i naftnih derivata (u daljnjem tekstu: HANDA). HANDA je od osnutka do 31.12.2012. godine poslovala kao pravna osoba od strateškog i posebnog interesa za Republiku Hrvatsku prema načelima poslovanja neprofitnih organizacija.  </w:t>
      </w:r>
    </w:p>
    <w:p w:rsidR="005C2091" w:rsidRDefault="00A86293">
      <w:r>
        <w:t xml:space="preserve">U razdoblju od 01. siječnja 2013. godine do 15. listopada 2016. godine HANDA obavlja poslovanje kao proračunski korisnik i upisana je u Registru korisnika proračuna kao RKP 47797, Glava 04965 – Agencije u gospodarstvu unutar Razdjela 049 Ministarstva gospodarstva.  Dana 15. listopada 2016. godine, stupanjem na snagu Zakona o ustrojstvu i djelokrugu ministarstava i drugih središnjih tijela državne uprave („Narodne novine“ 93/2016), HANDA je raspoređena u djelokrug Ministarstva zaštite okoliša i energetike. </w:t>
      </w:r>
    </w:p>
    <w:p w:rsidR="005C2091" w:rsidRDefault="00A86293">
      <w:r>
        <w:t>Osnovna zadaća HANDA-e je osiguranje, odnosno formiranje obveznih zaliha nafte i naftnih derivata Republike Hrvatske kako bi se osigurala sigurna i pouzdana opskrba Republike Hrvatske naftom i naftnim derivatima u slučaju prijetnje energetskoj sigurnosti države, uslijed izvanrednih poremećaja opskrbe. Uz formiranje obveznih zaliha nafte i naftnih derivata, djelatnosti i predmet poslovanja HANDA-e su i trgovina i skladištenje nafte i naftnih derivata, nadzor i upravljanje obveznim zalihama, kupovina i/ili gradnja terminala i/ili spremnika, pripadajućih lučkih i kopnenih postrojenja i instalacija te upravljanje istima, kontrola količine i kakvoće nafte i naftnih derivata, sudjelovanje u definiranju energetske politike, provedba međudržavnih ugovora i sporazuma, sklapanje opcijskih ugovora za kupnju naftnih derivata, upravljanje carinskim skladištima sirove nafte i trošarinskim skladištima naftnih derivata, upravljanje rizicima vezanim za fluktuacije cijene nafte i naftnih derivata te upravljanje valutnim rizicima, suradnja s domaćim i inozemnim energetskim tijelima i/ili subjektima te tijelima državne i javne uprave.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47797-Hrvatska agencija za obvezne zalihe nafte i naftnih derivata</w:t>
            </w:r>
          </w:p>
        </w:tc>
        <w:tc>
          <w:tcPr>
            <w:tcW w:w="2041" w:type="dxa"/>
          </w:tcPr>
          <w:p w:rsidR="005C2091" w:rsidRDefault="00A86293">
            <w:pPr>
              <w:pStyle w:val="CellColumn"/>
              <w:jc w:val="right"/>
            </w:pPr>
            <w:r>
              <w:rPr>
                <w:rFonts w:cs="Times New Roman"/>
              </w:rPr>
              <w:t>586.057.772</w:t>
            </w:r>
          </w:p>
        </w:tc>
        <w:tc>
          <w:tcPr>
            <w:tcW w:w="2041" w:type="dxa"/>
          </w:tcPr>
          <w:p w:rsidR="005C2091" w:rsidRDefault="00A86293">
            <w:pPr>
              <w:pStyle w:val="CellColumn"/>
              <w:jc w:val="right"/>
            </w:pPr>
            <w:r>
              <w:rPr>
                <w:rFonts w:cs="Times New Roman"/>
              </w:rPr>
              <w:t>313.999.433</w:t>
            </w:r>
          </w:p>
        </w:tc>
        <w:tc>
          <w:tcPr>
            <w:tcW w:w="2041" w:type="dxa"/>
          </w:tcPr>
          <w:p w:rsidR="005C2091" w:rsidRDefault="00A86293">
            <w:pPr>
              <w:pStyle w:val="CellColumn"/>
              <w:jc w:val="right"/>
            </w:pPr>
            <w:r>
              <w:rPr>
                <w:rFonts w:cs="Times New Roman"/>
              </w:rPr>
              <w:t>329.367.235</w:t>
            </w:r>
          </w:p>
        </w:tc>
        <w:tc>
          <w:tcPr>
            <w:tcW w:w="1224" w:type="dxa"/>
          </w:tcPr>
          <w:p w:rsidR="005C2091" w:rsidRDefault="00A86293">
            <w:pPr>
              <w:pStyle w:val="CellColumn"/>
              <w:jc w:val="right"/>
            </w:pPr>
            <w:r>
              <w:rPr>
                <w:rFonts w:cs="Times New Roman"/>
              </w:rPr>
              <w:t>104,9</w:t>
            </w:r>
          </w:p>
        </w:tc>
        <w:tc>
          <w:tcPr>
            <w:tcW w:w="1224" w:type="dxa"/>
          </w:tcPr>
          <w:p w:rsidR="005C2091" w:rsidRDefault="00A86293">
            <w:pPr>
              <w:pStyle w:val="CellColumn"/>
              <w:jc w:val="right"/>
            </w:pPr>
            <w:r>
              <w:rPr>
                <w:rFonts w:cs="Times New Roman"/>
              </w:rPr>
              <w:t>56,2</w:t>
            </w:r>
          </w:p>
        </w:tc>
      </w:tr>
      <w:tr w:rsidR="005C2091">
        <w:trPr>
          <w:jc w:val="center"/>
        </w:trPr>
        <w:tc>
          <w:tcPr>
            <w:tcW w:w="1632" w:type="dxa"/>
          </w:tcPr>
          <w:p w:rsidR="005C2091" w:rsidRDefault="00A86293">
            <w:pPr>
              <w:jc w:val="left"/>
            </w:pPr>
            <w:r>
              <w:t>3224-OSIGURANJE OBVEZNIH ZALIHA NAFTE I NAFTNIH DERIVATA REPUBLIKE HRVATSKE</w:t>
            </w:r>
          </w:p>
        </w:tc>
        <w:tc>
          <w:tcPr>
            <w:tcW w:w="2041" w:type="dxa"/>
          </w:tcPr>
          <w:p w:rsidR="005C2091" w:rsidRDefault="00A86293">
            <w:pPr>
              <w:jc w:val="right"/>
            </w:pPr>
            <w:r>
              <w:t>586.057.772</w:t>
            </w:r>
          </w:p>
        </w:tc>
        <w:tc>
          <w:tcPr>
            <w:tcW w:w="2041" w:type="dxa"/>
          </w:tcPr>
          <w:p w:rsidR="005C2091" w:rsidRDefault="00A86293">
            <w:pPr>
              <w:jc w:val="right"/>
            </w:pPr>
            <w:r>
              <w:t>313.999.433</w:t>
            </w:r>
          </w:p>
        </w:tc>
        <w:tc>
          <w:tcPr>
            <w:tcW w:w="2041" w:type="dxa"/>
          </w:tcPr>
          <w:p w:rsidR="005C2091" w:rsidRDefault="00A86293">
            <w:pPr>
              <w:jc w:val="right"/>
            </w:pPr>
            <w:r>
              <w:t>329.367.235</w:t>
            </w:r>
          </w:p>
        </w:tc>
        <w:tc>
          <w:tcPr>
            <w:tcW w:w="1224" w:type="dxa"/>
          </w:tcPr>
          <w:p w:rsidR="005C2091" w:rsidRDefault="00A86293">
            <w:pPr>
              <w:jc w:val="right"/>
            </w:pPr>
            <w:r>
              <w:t>104,9</w:t>
            </w:r>
          </w:p>
        </w:tc>
        <w:tc>
          <w:tcPr>
            <w:tcW w:w="1224" w:type="dxa"/>
          </w:tcPr>
          <w:p w:rsidR="005C2091" w:rsidRDefault="00A86293">
            <w:pPr>
              <w:jc w:val="right"/>
            </w:pPr>
            <w:r>
              <w:t>56,2</w:t>
            </w:r>
          </w:p>
        </w:tc>
      </w:tr>
    </w:tbl>
    <w:p w:rsidR="005C2091" w:rsidRDefault="005C2091">
      <w:pPr>
        <w:jc w:val="left"/>
      </w:pPr>
    </w:p>
    <w:p w:rsidR="005C2091" w:rsidRDefault="00A86293">
      <w:pPr>
        <w:pStyle w:val="Heading3"/>
      </w:pPr>
      <w:r>
        <w:rPr>
          <w:rFonts w:cs="Times New Roman"/>
        </w:rPr>
        <w:t>3224 OSIGURANJE OBVEZNIH ZALIHA NAFTE I NAFTNIH DERIVATA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3224-OSIGURANJE OBVEZNIH ZALIHA NAFTE I NAFTNIH DERIVATA REPUBLIKE HRVATSKE</w:t>
            </w:r>
          </w:p>
        </w:tc>
        <w:tc>
          <w:tcPr>
            <w:tcW w:w="2041" w:type="dxa"/>
          </w:tcPr>
          <w:p w:rsidR="005C2091" w:rsidRDefault="00A86293">
            <w:pPr>
              <w:pStyle w:val="CellColumn"/>
              <w:jc w:val="right"/>
            </w:pPr>
            <w:r>
              <w:rPr>
                <w:rFonts w:cs="Times New Roman"/>
              </w:rPr>
              <w:t>586.057.772</w:t>
            </w:r>
          </w:p>
        </w:tc>
        <w:tc>
          <w:tcPr>
            <w:tcW w:w="2041" w:type="dxa"/>
          </w:tcPr>
          <w:p w:rsidR="005C2091" w:rsidRDefault="00A86293">
            <w:pPr>
              <w:pStyle w:val="CellColumn"/>
              <w:jc w:val="right"/>
            </w:pPr>
            <w:r>
              <w:rPr>
                <w:rFonts w:cs="Times New Roman"/>
              </w:rPr>
              <w:t>313.999.433</w:t>
            </w:r>
          </w:p>
        </w:tc>
        <w:tc>
          <w:tcPr>
            <w:tcW w:w="2041" w:type="dxa"/>
          </w:tcPr>
          <w:p w:rsidR="005C2091" w:rsidRDefault="00A86293">
            <w:pPr>
              <w:pStyle w:val="CellColumn"/>
              <w:jc w:val="right"/>
            </w:pPr>
            <w:r>
              <w:rPr>
                <w:rFonts w:cs="Times New Roman"/>
              </w:rPr>
              <w:t>329.367.235</w:t>
            </w:r>
          </w:p>
        </w:tc>
        <w:tc>
          <w:tcPr>
            <w:tcW w:w="1224" w:type="dxa"/>
          </w:tcPr>
          <w:p w:rsidR="005C2091" w:rsidRDefault="00A86293">
            <w:pPr>
              <w:pStyle w:val="CellColumn"/>
              <w:jc w:val="right"/>
            </w:pPr>
            <w:r>
              <w:rPr>
                <w:rFonts w:cs="Times New Roman"/>
              </w:rPr>
              <w:t>104,9</w:t>
            </w:r>
          </w:p>
        </w:tc>
        <w:tc>
          <w:tcPr>
            <w:tcW w:w="1224" w:type="dxa"/>
          </w:tcPr>
          <w:p w:rsidR="005C2091" w:rsidRDefault="00A86293">
            <w:pPr>
              <w:pStyle w:val="CellColumn"/>
              <w:jc w:val="right"/>
            </w:pPr>
            <w:r>
              <w:rPr>
                <w:rFonts w:cs="Times New Roman"/>
              </w:rPr>
              <w:t>56,2</w:t>
            </w:r>
          </w:p>
        </w:tc>
      </w:tr>
    </w:tbl>
    <w:p w:rsidR="005C2091" w:rsidRDefault="005C2091">
      <w:pPr>
        <w:jc w:val="left"/>
      </w:pPr>
    </w:p>
    <w:p w:rsidR="005C2091" w:rsidRDefault="00A86293">
      <w:r>
        <w:t xml:space="preserve">Nastavno na energetsku politiku Europske unije i prihvaćene energetske direktive, Hrvatski sabor je 2006. godine donio Zakon o tržištu nafte i naftnih derivata te je istim Zakonom osnovana Hrvatska agencija za obvezne zalihe nafte i naftnih derivata (dalje u tekstu: HANDA) sa zadaćom i misijom osiguranja, odnosno formiranja obveznih zaliha nafte i naftnih derivata Republike Hrvatske kako bi se osigurala sigurna i pouzdana opskrba Republike Hrvatske naftom i naftnim derivatima u slučaju prijetnje energetskoj sigurnosti države, uslijed izvanrednih poremećaja opskrbe. Program se provodi radi provedbe energetske politike Europske unije koja je prihvaćenim energetskim Direktivama 2006/67/EZ i 2009/119/EZ, za svoje članice propisala obvezu držanja 90-dnevnih obveznih zaliha naftnih derivata za slučaj poremećaja opskrbe tržišta Europske unije, a proističe iz jednog od općih ciljeva utvrđenih Programom Vlade RH u mandatu 2016.-2020.:   </w:t>
      </w:r>
    </w:p>
    <w:p w:rsidR="005C2091" w:rsidRDefault="00A86293">
      <w:r>
        <w:t xml:space="preserve">Opći cilj:    Ostvarivanje stabilnog i trajnog gospodarskog rasta  </w:t>
      </w:r>
    </w:p>
    <w:p w:rsidR="005C2091" w:rsidRDefault="00A86293">
      <w:r>
        <w:t xml:space="preserve">Posebni cilj:  Unaprjeđenje sigurnosti opskrbe naftom u Hrvatskoj i EU  </w:t>
      </w:r>
    </w:p>
    <w:p w:rsidR="005C2091" w:rsidRDefault="00A86293">
      <w:r>
        <w:t xml:space="preserve">Načini ostvarenja  - osiguranje obveznih zaliha nafte i naftnih derivata  </w:t>
      </w:r>
    </w:p>
    <w:p w:rsidR="005C2091" w:rsidRDefault="00A86293">
      <w:r>
        <w:t xml:space="preserve">Zakonske i druge pravne osnove:  </w:t>
      </w:r>
    </w:p>
    <w:p w:rsidR="005C2091" w:rsidRDefault="00A86293">
      <w:r>
        <w:t>-</w:t>
      </w:r>
      <w:r>
        <w:tab/>
        <w:t xml:space="preserve">Direktiva 2006/67/EZ,   </w:t>
      </w:r>
    </w:p>
    <w:p w:rsidR="005C2091" w:rsidRDefault="00A86293">
      <w:r>
        <w:t>-</w:t>
      </w:r>
      <w:r>
        <w:tab/>
        <w:t xml:space="preserve">Direktiva 2009/119/EZ  </w:t>
      </w:r>
    </w:p>
    <w:p w:rsidR="005C2091" w:rsidRDefault="00A86293">
      <w:r>
        <w:t>-</w:t>
      </w:r>
      <w:r>
        <w:tab/>
        <w:t xml:space="preserve">Zakon o tržištu nafte i naftnih derivata (Narodne novine, broj   19/14)   </w:t>
      </w:r>
    </w:p>
    <w:p w:rsidR="005C2091" w:rsidRDefault="00A86293">
      <w:r>
        <w:t>-</w:t>
      </w:r>
      <w:r>
        <w:tab/>
        <w:t xml:space="preserve">Podzakonski propisi vezani uz provedbu Zakona o tržištu nafte i naftnih derivata </w:t>
      </w:r>
    </w:p>
    <w:p w:rsidR="005C2091" w:rsidRDefault="00A86293">
      <w:r>
        <w:t xml:space="preserve"> Sukladno odredbama Zakona o tržištu nafte i naftnih derivata, HANDA obvezne zalihe nafte i naftnih derivata mora formirati u propisanoj količini i strukturi te iste skladištiti i njima upravljati.  </w:t>
      </w:r>
    </w:p>
    <w:p w:rsidR="005C2091" w:rsidRDefault="00A86293">
      <w:r>
        <w:lastRenderedPageBreak/>
        <w:t xml:space="preserve">Program se provodi kroz tri aktivnosti:  </w:t>
      </w:r>
    </w:p>
    <w:p w:rsidR="005C2091" w:rsidRDefault="00A86293">
      <w:r>
        <w:t xml:space="preserve">A869001 Administracija i upravljanje  </w:t>
      </w:r>
    </w:p>
    <w:p w:rsidR="005C2091" w:rsidRDefault="00A86293">
      <w:r>
        <w:t xml:space="preserve">K869002 Opremanje i informatizacija  </w:t>
      </w:r>
    </w:p>
    <w:p w:rsidR="005C2091" w:rsidRDefault="00A86293">
      <w:r>
        <w:t>K869003 Formiranje, skladištenje i upravljanje obveznim zalihama nafte i naftnih derivata</w:t>
      </w:r>
    </w:p>
    <w:p w:rsidR="005C2091" w:rsidRDefault="00A86293">
      <w:pPr>
        <w:pStyle w:val="Heading8"/>
        <w:jc w:val="left"/>
      </w:pPr>
      <w:r>
        <w:t>Cilj 1. Osiguranje obveznih zaliha nafte i naftnih derivata Republike Hrvatske koje se koriste u slučaju poremećaja opskrbe na tržištu Republike Hrvatske ali i radi ispunjenja međunarodnih obveza Republike Hrvatske na temelju odluka Međunarodne agencije za energiju i Europske komisije, o puštanju obveznih zaliha nafte i naftnih derivata na tržište.</w:t>
      </w:r>
    </w:p>
    <w:p w:rsidR="005C2091" w:rsidRDefault="00A86293">
      <w:pPr>
        <w:pStyle w:val="Heading8"/>
        <w:jc w:val="left"/>
      </w:pPr>
      <w:r>
        <w:t>Opis provedbe cilja programa</w:t>
      </w:r>
    </w:p>
    <w:p w:rsidR="005C2091" w:rsidRDefault="00A86293">
      <w:r>
        <w:t>Provedba cilja 1. Programa u 2016. je ostvarena formiranjem zaliha nafte i naftnih derivata u količini, strukturi te rokovima utvrđenim važećim pravnim propisima o držanju najmanje  90-dnevnih obveznih zaliha naftnih derivata, za slučaj poremećaja opskrbe tržišta na području Republike Hrvatske kao i Europske unije.</w:t>
      </w:r>
    </w:p>
    <w:p w:rsidR="005C2091" w:rsidRDefault="00A86293">
      <w:pPr>
        <w:pStyle w:val="Heading8"/>
        <w:jc w:val="left"/>
      </w:pPr>
      <w:r>
        <w:t>Cilj 2. Osiguranje dugoročno potrebnih skladišnih kapaciteta za formiranje i skladištenje obveznih zaliha nafte i naftnih derivata</w:t>
      </w:r>
    </w:p>
    <w:p w:rsidR="005C2091" w:rsidRDefault="00A86293">
      <w:pPr>
        <w:pStyle w:val="Heading8"/>
        <w:jc w:val="left"/>
      </w:pPr>
      <w:r>
        <w:t>Opis provedbe cilja programa</w:t>
      </w:r>
    </w:p>
    <w:p w:rsidR="005C2091" w:rsidRDefault="00A86293">
      <w:r>
        <w:t>Provedba cilja 2. je ostvarena osiguravanjem dugoročne raspoloživosti skladišnih kapaciteta za potrebe čuvanja obveznih zaliha nafte i naftnih derivata ugovaranjem i osiguravanjem najma skladišnog prostora odgovarajućeg kapaciteta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Formirane obvezne zalihe nafte i naftnih derivata u količini i strukturi određenoj važećim pravnim propisima (broj dana)</w:t>
            </w:r>
          </w:p>
        </w:tc>
        <w:tc>
          <w:tcPr>
            <w:tcW w:w="2551" w:type="dxa"/>
          </w:tcPr>
          <w:p w:rsidR="005C2091" w:rsidRDefault="00A86293">
            <w:pPr>
              <w:pStyle w:val="CellColumn"/>
              <w:jc w:val="left"/>
            </w:pPr>
            <w:r>
              <w:rPr>
                <w:rFonts w:cs="Times New Roman"/>
              </w:rPr>
              <w:t>Količina nabavljene nafte i naftnih derivata izračunate na temelju neto dnevnog uvoza</w:t>
            </w:r>
          </w:p>
        </w:tc>
        <w:tc>
          <w:tcPr>
            <w:tcW w:w="1020" w:type="dxa"/>
          </w:tcPr>
          <w:p w:rsidR="005C2091" w:rsidRDefault="00A86293">
            <w:pPr>
              <w:pStyle w:val="CellColumn"/>
              <w:jc w:val="right"/>
            </w:pPr>
            <w:r>
              <w:rPr>
                <w:rFonts w:cs="Times New Roman"/>
              </w:rPr>
              <w:t>Broj dana</w:t>
            </w:r>
          </w:p>
        </w:tc>
        <w:tc>
          <w:tcPr>
            <w:tcW w:w="1020" w:type="dxa"/>
          </w:tcPr>
          <w:p w:rsidR="005C2091" w:rsidRDefault="00A86293">
            <w:pPr>
              <w:pStyle w:val="CellColumn"/>
              <w:jc w:val="right"/>
            </w:pPr>
            <w:r>
              <w:rPr>
                <w:rFonts w:cs="Times New Roman"/>
              </w:rPr>
              <w:t>90</w:t>
            </w:r>
          </w:p>
        </w:tc>
        <w:tc>
          <w:tcPr>
            <w:tcW w:w="918" w:type="dxa"/>
          </w:tcPr>
          <w:p w:rsidR="005C2091" w:rsidRDefault="00A86293">
            <w:pPr>
              <w:pStyle w:val="CellColumn"/>
              <w:jc w:val="right"/>
            </w:pPr>
            <w:r>
              <w:rPr>
                <w:rFonts w:cs="Times New Roman"/>
              </w:rPr>
              <w:t>HANDA</w:t>
            </w:r>
          </w:p>
        </w:tc>
        <w:tc>
          <w:tcPr>
            <w:tcW w:w="1020" w:type="dxa"/>
          </w:tcPr>
          <w:p w:rsidR="005C2091" w:rsidRDefault="00A86293">
            <w:pPr>
              <w:pStyle w:val="CellColumn"/>
              <w:jc w:val="right"/>
            </w:pPr>
            <w:r>
              <w:rPr>
                <w:rFonts w:cs="Times New Roman"/>
              </w:rPr>
              <w:t>90</w:t>
            </w:r>
          </w:p>
        </w:tc>
        <w:tc>
          <w:tcPr>
            <w:tcW w:w="1020" w:type="dxa"/>
          </w:tcPr>
          <w:p w:rsidR="005C2091" w:rsidRDefault="00A86293">
            <w:pPr>
              <w:pStyle w:val="CellColumn"/>
              <w:jc w:val="right"/>
            </w:pPr>
            <w:r>
              <w:rPr>
                <w:rFonts w:cs="Times New Roman"/>
              </w:rPr>
              <w:t>90</w:t>
            </w:r>
          </w:p>
        </w:tc>
      </w:tr>
      <w:tr w:rsidR="005C2091">
        <w:trPr>
          <w:jc w:val="center"/>
        </w:trPr>
        <w:tc>
          <w:tcPr>
            <w:tcW w:w="2551" w:type="dxa"/>
          </w:tcPr>
          <w:p w:rsidR="005C2091" w:rsidRDefault="00A86293">
            <w:pPr>
              <w:pStyle w:val="CellColumn"/>
              <w:jc w:val="left"/>
            </w:pPr>
            <w:r>
              <w:rPr>
                <w:rFonts w:cs="Times New Roman"/>
              </w:rPr>
              <w:t>Formirane obvezne zaliha nafte i naftnih derivata</w:t>
            </w:r>
          </w:p>
        </w:tc>
        <w:tc>
          <w:tcPr>
            <w:tcW w:w="2551" w:type="dxa"/>
          </w:tcPr>
          <w:p w:rsidR="005C2091" w:rsidRDefault="00A86293">
            <w:pPr>
              <w:pStyle w:val="CellColumn"/>
              <w:jc w:val="left"/>
            </w:pPr>
            <w:r>
              <w:rPr>
                <w:rFonts w:cs="Times New Roman"/>
              </w:rPr>
              <w:t>ukupna količina formiranih zaliha nafte i naftnih derivata</w:t>
            </w:r>
          </w:p>
        </w:tc>
        <w:tc>
          <w:tcPr>
            <w:tcW w:w="1020" w:type="dxa"/>
          </w:tcPr>
          <w:p w:rsidR="005C2091" w:rsidRDefault="00A86293">
            <w:pPr>
              <w:pStyle w:val="CellColumn"/>
              <w:jc w:val="right"/>
            </w:pPr>
            <w:r>
              <w:rPr>
                <w:rFonts w:cs="Times New Roman"/>
              </w:rPr>
              <w:t>tona</w:t>
            </w:r>
          </w:p>
        </w:tc>
        <w:tc>
          <w:tcPr>
            <w:tcW w:w="1020" w:type="dxa"/>
          </w:tcPr>
          <w:p w:rsidR="005C2091" w:rsidRDefault="00A86293">
            <w:pPr>
              <w:pStyle w:val="CellColumn"/>
              <w:jc w:val="right"/>
            </w:pPr>
            <w:r>
              <w:rPr>
                <w:rFonts w:cs="Times New Roman"/>
              </w:rPr>
              <w:t>634.000</w:t>
            </w:r>
          </w:p>
        </w:tc>
        <w:tc>
          <w:tcPr>
            <w:tcW w:w="918" w:type="dxa"/>
          </w:tcPr>
          <w:p w:rsidR="005C2091" w:rsidRDefault="00A86293">
            <w:pPr>
              <w:pStyle w:val="CellColumn"/>
              <w:jc w:val="right"/>
            </w:pPr>
            <w:r>
              <w:rPr>
                <w:rFonts w:cs="Times New Roman"/>
              </w:rPr>
              <w:t>HANDA</w:t>
            </w:r>
          </w:p>
        </w:tc>
        <w:tc>
          <w:tcPr>
            <w:tcW w:w="1020" w:type="dxa"/>
          </w:tcPr>
          <w:p w:rsidR="005C2091" w:rsidRDefault="00A86293">
            <w:pPr>
              <w:pStyle w:val="CellColumn"/>
              <w:jc w:val="right"/>
            </w:pPr>
            <w:r>
              <w:rPr>
                <w:rFonts w:cs="Times New Roman"/>
              </w:rPr>
              <w:t>650.000</w:t>
            </w:r>
          </w:p>
        </w:tc>
        <w:tc>
          <w:tcPr>
            <w:tcW w:w="1020" w:type="dxa"/>
          </w:tcPr>
          <w:p w:rsidR="005C2091" w:rsidRDefault="00A86293">
            <w:pPr>
              <w:pStyle w:val="CellColumn"/>
              <w:jc w:val="right"/>
            </w:pPr>
            <w:r>
              <w:rPr>
                <w:rFonts w:cs="Times New Roman"/>
              </w:rPr>
              <w:t>646.813</w:t>
            </w:r>
          </w:p>
        </w:tc>
      </w:tr>
      <w:tr w:rsidR="005C2091">
        <w:trPr>
          <w:jc w:val="center"/>
        </w:trPr>
        <w:tc>
          <w:tcPr>
            <w:tcW w:w="2551" w:type="dxa"/>
          </w:tcPr>
          <w:p w:rsidR="005C2091" w:rsidRDefault="00A86293">
            <w:pPr>
              <w:pStyle w:val="CellColumn"/>
              <w:jc w:val="left"/>
            </w:pPr>
            <w:r>
              <w:rPr>
                <w:rFonts w:cs="Times New Roman"/>
              </w:rPr>
              <w:t>Osiguran skladišni prostor ugovorom o najmu</w:t>
            </w:r>
          </w:p>
        </w:tc>
        <w:tc>
          <w:tcPr>
            <w:tcW w:w="2551" w:type="dxa"/>
          </w:tcPr>
          <w:p w:rsidR="005C2091" w:rsidRDefault="00A86293">
            <w:pPr>
              <w:pStyle w:val="CellColumn"/>
              <w:jc w:val="left"/>
            </w:pPr>
            <w:r>
              <w:rPr>
                <w:rFonts w:cs="Times New Roman"/>
              </w:rPr>
              <w:t>Sklopljeni dugoročni ugovori o najmu skladišnog prostora za naftu</w:t>
            </w:r>
          </w:p>
        </w:tc>
        <w:tc>
          <w:tcPr>
            <w:tcW w:w="1020" w:type="dxa"/>
          </w:tcPr>
          <w:p w:rsidR="005C2091" w:rsidRDefault="00A86293">
            <w:pPr>
              <w:pStyle w:val="CellColumn"/>
              <w:jc w:val="right"/>
            </w:pPr>
            <w:r>
              <w:rPr>
                <w:rFonts w:cs="Times New Roman"/>
              </w:rPr>
              <w:t>(m3)</w:t>
            </w:r>
          </w:p>
        </w:tc>
        <w:tc>
          <w:tcPr>
            <w:tcW w:w="1020" w:type="dxa"/>
          </w:tcPr>
          <w:p w:rsidR="005C2091" w:rsidRDefault="00A86293">
            <w:pPr>
              <w:pStyle w:val="CellColumn"/>
              <w:jc w:val="right"/>
            </w:pPr>
            <w:r>
              <w:rPr>
                <w:rFonts w:cs="Times New Roman"/>
              </w:rPr>
              <w:t>480.000</w:t>
            </w:r>
          </w:p>
        </w:tc>
        <w:tc>
          <w:tcPr>
            <w:tcW w:w="918" w:type="dxa"/>
          </w:tcPr>
          <w:p w:rsidR="005C2091" w:rsidRDefault="00A86293">
            <w:pPr>
              <w:pStyle w:val="CellColumn"/>
              <w:jc w:val="right"/>
            </w:pPr>
            <w:r>
              <w:rPr>
                <w:rFonts w:cs="Times New Roman"/>
              </w:rPr>
              <w:t>HANDA</w:t>
            </w:r>
          </w:p>
        </w:tc>
        <w:tc>
          <w:tcPr>
            <w:tcW w:w="1020" w:type="dxa"/>
          </w:tcPr>
          <w:p w:rsidR="005C2091" w:rsidRDefault="00A86293">
            <w:pPr>
              <w:pStyle w:val="CellColumn"/>
              <w:jc w:val="right"/>
            </w:pPr>
            <w:r>
              <w:rPr>
                <w:rFonts w:cs="Times New Roman"/>
              </w:rPr>
              <w:t>480.000</w:t>
            </w:r>
          </w:p>
        </w:tc>
        <w:tc>
          <w:tcPr>
            <w:tcW w:w="1020" w:type="dxa"/>
          </w:tcPr>
          <w:p w:rsidR="005C2091" w:rsidRDefault="00A86293">
            <w:pPr>
              <w:pStyle w:val="CellColumn"/>
              <w:jc w:val="right"/>
            </w:pPr>
            <w:r>
              <w:rPr>
                <w:rFonts w:cs="Times New Roman"/>
              </w:rPr>
              <w:t>480.000</w:t>
            </w:r>
          </w:p>
        </w:tc>
      </w:tr>
      <w:tr w:rsidR="005C2091">
        <w:trPr>
          <w:jc w:val="center"/>
        </w:trPr>
        <w:tc>
          <w:tcPr>
            <w:tcW w:w="2551" w:type="dxa"/>
          </w:tcPr>
          <w:p w:rsidR="005C2091" w:rsidRDefault="00A86293">
            <w:pPr>
              <w:pStyle w:val="CellColumn"/>
              <w:jc w:val="left"/>
            </w:pPr>
            <w:r>
              <w:rPr>
                <w:rFonts w:cs="Times New Roman"/>
              </w:rPr>
              <w:t>Osiguran skladišni prostor ugovorom o najmu</w:t>
            </w:r>
          </w:p>
        </w:tc>
        <w:tc>
          <w:tcPr>
            <w:tcW w:w="2551" w:type="dxa"/>
          </w:tcPr>
          <w:p w:rsidR="005C2091" w:rsidRDefault="00A86293">
            <w:pPr>
              <w:pStyle w:val="CellColumn"/>
              <w:jc w:val="left"/>
            </w:pPr>
            <w:r>
              <w:rPr>
                <w:rFonts w:cs="Times New Roman"/>
              </w:rPr>
              <w:t>Sklopljeni dugoročni ugovori o najmu skladišnog prostora za naftne derivate</w:t>
            </w:r>
          </w:p>
        </w:tc>
        <w:tc>
          <w:tcPr>
            <w:tcW w:w="1020" w:type="dxa"/>
          </w:tcPr>
          <w:p w:rsidR="005C2091" w:rsidRDefault="00A86293">
            <w:pPr>
              <w:pStyle w:val="CellColumn"/>
              <w:jc w:val="right"/>
            </w:pPr>
            <w:r>
              <w:rPr>
                <w:rFonts w:cs="Times New Roman"/>
              </w:rPr>
              <w:t>(m3)</w:t>
            </w:r>
          </w:p>
        </w:tc>
        <w:tc>
          <w:tcPr>
            <w:tcW w:w="1020" w:type="dxa"/>
          </w:tcPr>
          <w:p w:rsidR="005C2091" w:rsidRDefault="00A86293">
            <w:pPr>
              <w:pStyle w:val="CellColumn"/>
              <w:jc w:val="right"/>
            </w:pPr>
            <w:r>
              <w:rPr>
                <w:rFonts w:cs="Times New Roman"/>
              </w:rPr>
              <w:t>160.000</w:t>
            </w:r>
          </w:p>
        </w:tc>
        <w:tc>
          <w:tcPr>
            <w:tcW w:w="918" w:type="dxa"/>
          </w:tcPr>
          <w:p w:rsidR="005C2091" w:rsidRDefault="00A86293">
            <w:pPr>
              <w:pStyle w:val="CellColumn"/>
              <w:jc w:val="right"/>
            </w:pPr>
            <w:r>
              <w:rPr>
                <w:rFonts w:cs="Times New Roman"/>
              </w:rPr>
              <w:t>HANDA</w:t>
            </w:r>
          </w:p>
        </w:tc>
        <w:tc>
          <w:tcPr>
            <w:tcW w:w="1020" w:type="dxa"/>
          </w:tcPr>
          <w:p w:rsidR="005C2091" w:rsidRDefault="00A86293">
            <w:pPr>
              <w:pStyle w:val="CellColumn"/>
              <w:jc w:val="right"/>
            </w:pPr>
            <w:r>
              <w:rPr>
                <w:rFonts w:cs="Times New Roman"/>
              </w:rPr>
              <w:t>160.000</w:t>
            </w:r>
          </w:p>
        </w:tc>
        <w:tc>
          <w:tcPr>
            <w:tcW w:w="1020" w:type="dxa"/>
          </w:tcPr>
          <w:p w:rsidR="005C2091" w:rsidRDefault="00A86293">
            <w:pPr>
              <w:pStyle w:val="CellColumn"/>
              <w:jc w:val="right"/>
            </w:pPr>
            <w:r>
              <w:rPr>
                <w:rFonts w:cs="Times New Roman"/>
              </w:rPr>
              <w:t>160.000</w:t>
            </w:r>
          </w:p>
        </w:tc>
      </w:tr>
    </w:tbl>
    <w:p w:rsidR="005C2091" w:rsidRDefault="005C2091">
      <w:pPr>
        <w:jc w:val="left"/>
      </w:pPr>
    </w:p>
    <w:p w:rsidR="001323E6" w:rsidRDefault="001323E6">
      <w:pPr>
        <w:jc w:val="left"/>
      </w:pPr>
    </w:p>
    <w:p w:rsidR="001323E6" w:rsidRDefault="001323E6">
      <w:pPr>
        <w:jc w:val="left"/>
      </w:pPr>
    </w:p>
    <w:p w:rsidR="001323E6" w:rsidRDefault="001323E6">
      <w:pPr>
        <w:jc w:val="left"/>
      </w:pPr>
    </w:p>
    <w:p w:rsidR="001323E6" w:rsidRDefault="001323E6">
      <w:pPr>
        <w:jc w:val="left"/>
      </w:pPr>
    </w:p>
    <w:p w:rsidR="005C2091" w:rsidRDefault="00A86293">
      <w:pPr>
        <w:pStyle w:val="Heading3"/>
      </w:pPr>
      <w:r>
        <w:rPr>
          <w:rFonts w:cs="Times New Roman"/>
        </w:rPr>
        <w:lastRenderedPageBreak/>
        <w:t>49235 Centar za praćenje poslovanja energetskog sektora i investicija</w:t>
      </w:r>
    </w:p>
    <w:tbl>
      <w:tblPr>
        <w:tblStyle w:val="StilTablice"/>
        <w:tblW w:w="10206" w:type="dxa"/>
        <w:jc w:val="center"/>
        <w:tblLook w:val="04A0" w:firstRow="1" w:lastRow="0" w:firstColumn="1" w:lastColumn="0" w:noHBand="0" w:noVBand="1"/>
      </w:tblPr>
      <w:tblGrid>
        <w:gridCol w:w="1948"/>
        <w:gridCol w:w="1943"/>
        <w:gridCol w:w="1950"/>
        <w:gridCol w:w="1950"/>
        <w:gridCol w:w="1203"/>
        <w:gridCol w:w="121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49235-Centar za praćenje poslovanja energetskog sektora i investicija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4.980.814</w:t>
            </w:r>
          </w:p>
        </w:tc>
        <w:tc>
          <w:tcPr>
            <w:tcW w:w="2041" w:type="dxa"/>
          </w:tcPr>
          <w:p w:rsidR="005C2091" w:rsidRDefault="00A86293">
            <w:pPr>
              <w:pStyle w:val="CellColumn"/>
              <w:jc w:val="right"/>
            </w:pPr>
            <w:r>
              <w:rPr>
                <w:rFonts w:cs="Times New Roman"/>
              </w:rPr>
              <w:t>4.980.807</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r w:rsidR="005C2091">
        <w:trPr>
          <w:jc w:val="center"/>
        </w:trPr>
        <w:tc>
          <w:tcPr>
            <w:tcW w:w="1632" w:type="dxa"/>
          </w:tcPr>
          <w:p w:rsidR="005C2091" w:rsidRDefault="00A86293">
            <w:pPr>
              <w:jc w:val="left"/>
            </w:pPr>
            <w:r>
              <w:t>3223-PRIVLAČENJE INVESTICIJA I POVEĆANJE KONKURENTNOSTI</w:t>
            </w:r>
          </w:p>
        </w:tc>
        <w:tc>
          <w:tcPr>
            <w:tcW w:w="2041" w:type="dxa"/>
          </w:tcPr>
          <w:p w:rsidR="005C2091" w:rsidRDefault="00A86293">
            <w:pPr>
              <w:jc w:val="right"/>
            </w:pPr>
            <w:r>
              <w:t>00</w:t>
            </w:r>
          </w:p>
        </w:tc>
        <w:tc>
          <w:tcPr>
            <w:tcW w:w="2041" w:type="dxa"/>
          </w:tcPr>
          <w:p w:rsidR="005C2091" w:rsidRDefault="00A86293">
            <w:pPr>
              <w:jc w:val="right"/>
            </w:pPr>
            <w:r>
              <w:t>4.980.814</w:t>
            </w:r>
          </w:p>
        </w:tc>
        <w:tc>
          <w:tcPr>
            <w:tcW w:w="2041" w:type="dxa"/>
          </w:tcPr>
          <w:p w:rsidR="005C2091" w:rsidRDefault="00A86293">
            <w:pPr>
              <w:jc w:val="right"/>
            </w:pPr>
            <w:r>
              <w:t>4.980.807</w:t>
            </w:r>
          </w:p>
        </w:tc>
        <w:tc>
          <w:tcPr>
            <w:tcW w:w="1224" w:type="dxa"/>
          </w:tcPr>
          <w:p w:rsidR="005C2091" w:rsidRDefault="00A86293">
            <w:pPr>
              <w:jc w:val="right"/>
            </w:pPr>
            <w:r>
              <w:t>100,0</w:t>
            </w:r>
          </w:p>
        </w:tc>
        <w:tc>
          <w:tcPr>
            <w:tcW w:w="1224"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t>3223 PRIVLAČENJE INVESTICIJA I POVEĆANJE KONKURENTNOSTI</w:t>
      </w:r>
    </w:p>
    <w:tbl>
      <w:tblPr>
        <w:tblStyle w:val="StilTablice"/>
        <w:tblW w:w="10206" w:type="dxa"/>
        <w:jc w:val="center"/>
        <w:tblLook w:val="04A0" w:firstRow="1" w:lastRow="0" w:firstColumn="1" w:lastColumn="0" w:noHBand="0" w:noVBand="1"/>
      </w:tblPr>
      <w:tblGrid>
        <w:gridCol w:w="1948"/>
        <w:gridCol w:w="1943"/>
        <w:gridCol w:w="1950"/>
        <w:gridCol w:w="1950"/>
        <w:gridCol w:w="1203"/>
        <w:gridCol w:w="1212"/>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3223-PRIVLAČENJE INVESTICIJA I POVEĆANJE KONKURENTNOSTI</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4.980.814</w:t>
            </w:r>
          </w:p>
        </w:tc>
        <w:tc>
          <w:tcPr>
            <w:tcW w:w="2041" w:type="dxa"/>
          </w:tcPr>
          <w:p w:rsidR="005C2091" w:rsidRDefault="00A86293">
            <w:pPr>
              <w:pStyle w:val="CellColumn"/>
              <w:jc w:val="right"/>
            </w:pPr>
            <w:r>
              <w:rPr>
                <w:rFonts w:cs="Times New Roman"/>
              </w:rPr>
              <w:t>4.980.807</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4"/>
      </w:pPr>
      <w:r>
        <w:t>A903003 ADMINISTRACIJA I UPRAVLJANJE</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A903003-ADMINISTRACIJA I UPRAVLJANJE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4.980.814</w:t>
            </w:r>
          </w:p>
        </w:tc>
        <w:tc>
          <w:tcPr>
            <w:tcW w:w="2041" w:type="dxa"/>
          </w:tcPr>
          <w:p w:rsidR="005C2091" w:rsidRDefault="00A86293">
            <w:pPr>
              <w:pStyle w:val="CellColumn"/>
              <w:jc w:val="right"/>
            </w:pPr>
            <w:r>
              <w:rPr>
                <w:rFonts w:cs="Times New Roman"/>
              </w:rPr>
              <w:t>4.980.807</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Zakon o osnivanju Centra za praćenje poslovanja energetskog sektora i investicija (Narodne novine, broj 25/2012,120/2012), zakonske podloge HBOR-a za praćenje i izvještavanje EIB o investicijskim projektima u RH, zakonske podloge FZOEU i Ministarstva mora, prometa i infrastrukture u domeni povećavanja postojeće energetske učinkovitosti, zakonske podloge za pripremu i provedbu projekata prema modelu javno-privatnog partnerstva  (Narodne novine, broj 88/12 i 15/15), Okvirni program izgradnje, dogradnje i rekonstrukcije javnih građevina prema ugovornom obliku javno-privatnog partnerstva (21. sjednica VRH od 19. travnja 2012. g.), Zakon o uspostavi infrastrukture za alternativna goriva (NN 120/16)</w:t>
      </w:r>
    </w:p>
    <w:p w:rsidR="005C2091" w:rsidRDefault="00A86293">
      <w:pPr>
        <w:pStyle w:val="Heading8"/>
        <w:jc w:val="left"/>
      </w:pPr>
      <w:r>
        <w:t>Opis aktivnosti</w:t>
      </w:r>
    </w:p>
    <w:p w:rsidR="005C2091" w:rsidRDefault="00A86293">
      <w:r>
        <w:t xml:space="preserve">Centar za praćenje poslovanja energetskog sektora i investicija (u daljnjem tekstu: CEI) osnovan je temeljem Zakona o Centru za praćenje poslovanja energetskog sektora i investicija 28. ožujka 2012. godine (NN 25/12, NN </w:t>
      </w:r>
      <w:r>
        <w:lastRenderedPageBreak/>
        <w:t xml:space="preserve">120/12) s ciljem omogućavanja transparentnog upravljanja, praćenja i provođenja energetske strategije Republike Hrvatske, te praćenja i podrške u vođenju investicija države i državnih tvrtki. </w:t>
      </w:r>
    </w:p>
    <w:p w:rsidR="005C2091" w:rsidRDefault="00A86293">
      <w:r>
        <w:t xml:space="preserve">Rad CEI-a formiran je kroz tri sektora: Sektora investicija, Sektora za energetiku i Sektora za javno-privatno partnerstvo. </w:t>
      </w:r>
    </w:p>
    <w:p w:rsidR="005C2091" w:rsidRDefault="00A86293">
      <w:r>
        <w:t xml:space="preserve">Centar za praćenje poslovanja energetskog sektora i investicija, odnosno Nacionalno koordinacijsko tijelo za energetsku učinkovitost u 2016. godini pripremilo je podloge za Četvrti nacionalni akcijski plan energetske učinkovitosti za razdoblje 2017.-2019.  </w:t>
      </w:r>
    </w:p>
    <w:p w:rsidR="005C2091" w:rsidRDefault="00A86293">
      <w:r>
        <w:t xml:space="preserve">Zakonom o uspostavi infrastrukture za alternativna goriva (NN 120/16), CEI je određen za nacionalno koordinacijsko tijelo koje pruža potporu provedbi politike alternativnih goriva utvrđenu odredbama Zakona, izrađuje i provodi sustav praćenja mjera za unaprjeđenje infrastrukture alternativnih goriva,  za ministarstvo nadležno za promet priprema i prilagođava provedbu okvira mjera za razvoj tržišta alternativnih goriva u prometu, te njihovu provedbu prati u sklopu Nacionalnog akcijskog plana za energetsku učinkovitost, te osigurava sustavno planiranje za provedbu politike infrastrukture alternativnih goriva u Republici Hrvatskoj, priprema Izvješće o provedbi NOP-a koje sadržava opis mjera poduzetih kao potpora izgradnji infrastrukture za alternativna goriva te na svojim mrežnim stranicama objavljuje i redovito ažurira sve informacije tražene Zakonom. </w:t>
      </w:r>
    </w:p>
    <w:p w:rsidR="005C2091" w:rsidRDefault="00A86293">
      <w:r>
        <w:t xml:space="preserve">U 2016. godini pokrenut je Nacionalni web portal energetske učinkovitosti kao mjera informiranja i pružanja osnovnih edukacijskih materijala o energetskoj učinkovitosti vezanu uz 3. Nacionalni akcijski plan energetske učinkovitosti kroz mjeru H.6 Informativne kampanje. Portal predstavlja središnje mjesto informiranja o svim aktivnostima, savjetima, događanjima, projektima, natječajima, zakonima i novostima u području energetske učinkovitosti u Hrvatskoj. Sve informacije su grupirane u tri sektora: građani, komercijalni sektor i javni sektor, zbog prirode zakona, poticaja i mogućnosti ušteda te kako bi krajnji korisnici jasnije mogli doći do traženog sadržaja. </w:t>
      </w:r>
    </w:p>
    <w:p w:rsidR="005C2091" w:rsidRDefault="00A86293">
      <w:r>
        <w:t xml:space="preserve">Osim spomenutih aktivnosti CEI je sudjelovao u međunarodnim skupinama na EU razini pri transpoziciji Direktive o energetskoj učinkovitosti, a održao je i  10-ak radionica/prezentacija za ciljane skupine(gospodarstvo, energetska poduzeća, javni sektor, građanstvo) iz područja energetske učinkovitosti. </w:t>
      </w:r>
    </w:p>
    <w:p w:rsidR="005C2091" w:rsidRDefault="00A86293">
      <w:r>
        <w:t xml:space="preserve">Kao partner, za Republiku Hrvatsku, CEI provodi EU Horizont 2020 PUBLENEF projekt i CAEED EU projekat, a dogovoren je,  pripremljen i kao partner za RH na natječaju osvojen međunarodni projekt INTERREG Europe SUPPORT. Uz spomenute, CEI je sudjelovao i na 6 EU projekta kao korisnik za Republiku Hrvatsku, a to su B4B-Bioenergy4Business, MultEE – Multi-level governance for energy efficiency, BUILD UPON, ENSPOL, EnPC-INTRANS i REENOVA+ EBRD. </w:t>
      </w:r>
    </w:p>
    <w:p w:rsidR="005C2091" w:rsidRDefault="00A86293">
      <w:r>
        <w:t xml:space="preserve">Nadalje, stupanjem na snagu Zakona o izmjenama i dopunama Zakona o strateškim investicijskim projektima Republike Hrvatske (NN 152/14) sve javne ili privatne investicijske projekte iz područja energetike, sukladno s posebnim propisima kojima se uređuje energija i energetika, zainteresirani investitor prijavljuje Centru za praćenje poslovanja energetskog sektora i investicija. </w:t>
      </w:r>
    </w:p>
    <w:p w:rsidR="005C2091" w:rsidRDefault="00A86293">
      <w:r>
        <w:t xml:space="preserve">Po stupanju na snagu navedenih izmjena i dopuna Zakona, CEI je preuzeo ukupno 8 prijavljenih projekata za koje je zatražen status strateškog investicijskog projekta RH i isti su proslijeđeni  u Ministarstvo gospodarstva prije stupanja na snagu novih zakonskih odredbi. </w:t>
      </w:r>
    </w:p>
    <w:p w:rsidR="005C2091" w:rsidRDefault="00A86293">
      <w:r>
        <w:t xml:space="preserve">Od preuzetih prijavljenih projekata, dva su projekta uvrštena na Listu strateških investicijskih projekata, te su za njih osnovane operativne skupine čiji je voditelj mr.sc. Boris Draženović, predsjednik Upravnog odbora. Za preostalih 6 projekata završena je administrativna provjera te projekti čekaju odluku Povjerenstva o uvrštavanju na Listu ili o odbacivanju prijave. </w:t>
      </w:r>
    </w:p>
    <w:p w:rsidR="005C2091" w:rsidRDefault="00A86293">
      <w:r>
        <w:t xml:space="preserve">Direktno u CEI zaprimljene su 2 prijave projekata za stjecanje statusa strateškog projekta RH, obje su obrađene i također čekaju odluku Povjerenstva o uvrštavanju na Listu ili o odbacivanju prijave. </w:t>
      </w:r>
    </w:p>
    <w:p w:rsidR="005C2091" w:rsidRDefault="00A86293">
      <w:r>
        <w:t xml:space="preserve">Sukladno Odluci Ministarstva regionalnog razvoja i fondova europske unije, CEI je imenovao svoje predstavnike u međuresorno Povjerenstvo za koordinaciju investicija iz EU instrumenata u području energetika, prometa i mrežne infrastrukture.  </w:t>
      </w:r>
    </w:p>
    <w:p w:rsidR="005C2091" w:rsidRDefault="00A86293">
      <w:r>
        <w:t xml:space="preserve">Datumom osnivanja CEI je definiran kao tijelo Vlade RH za pripremu i provedbu projekata javno-privatnog partnerstva (JPP). Isto se odnosi na projekte financijske vrijednosti od cca 12 mio EUR na više. </w:t>
      </w:r>
    </w:p>
    <w:p w:rsidR="005C2091" w:rsidRDefault="00A86293">
      <w:r>
        <w:t xml:space="preserve">Trenutno, vezano za projekte javno-privatnog partnerstva, šest je projekata spremno za raspis javnog nadmetanja, a u 2016. godini radilo se na pripremi šest novih projekata. Od projekata u fazi pripreme, dva su projekta u visokoj </w:t>
      </w:r>
      <w:r>
        <w:lastRenderedPageBreak/>
        <w:t xml:space="preserve">fazi pripreme, a za jedan projekt izrađen je i komparator troškova javnog sektora te je trenutačno je u fazi prihvata od strane predstavničkih tijela JLS-ova., dok su preostali projekti su u inicijalnoj fazi pripreme.  </w:t>
      </w:r>
    </w:p>
    <w:p w:rsidR="005C2091" w:rsidRDefault="00A86293">
      <w:r>
        <w:t xml:space="preserve">U Međuvremenu CEI je definirao postupke i dokumentaciju za provedbu javno-privatnih projekata 'male vrijednosti' (do cca 5 mio EUR). Time se je htjelo potrebe javnog sektora za zadovoljenjem svojih potreba dodatno približiti mogućnostima realizacije putem projekata manjeg financijskog opsega a ipak temeljenih na principima JPP-a. </w:t>
      </w:r>
    </w:p>
    <w:p w:rsidR="005C2091" w:rsidRDefault="00A86293">
      <w:r>
        <w:t xml:space="preserve">Tijekom 2016. godine definirane su nadopune JPP modela u RH na način da se u istima može koristiti kombinirano sufinanciranje iz EU fondova (blending) odnosno dodatnih izvora financijskih sredstava osiguranih u RH (Fond za energetsku učinkovitost i sl.). </w:t>
      </w:r>
    </w:p>
    <w:p w:rsidR="005C2091" w:rsidRDefault="00A86293">
      <w:r>
        <w:t>Ukupna realizacija plana u Ministarstvu gospodarstva uvjetovana je Zakonom o ustrojstvu i djelokrugu ministarstava i drugih središnjih tijela državne uprave (NN 93/16, 104/16), odnosno CEI je iz nadležnosti Ministarstva gospodarstva prešao u nadležnost Ministarstva zaštite okoliša i energetike. Pritom realizacija po stavkama proračuna iznosi 100,00 %, dok se značajnija odstupanja u realizaciji javljaju unutar rashoda za usluge (323), gdje je radi povećane realizacije zakupnina i najamnina - 3235 u iznosu od 168,81%, bila smanjena realizacija ostalih predviđenih usluga, kako se ne bi probila razina konta 3 realizacije.</w:t>
      </w:r>
    </w:p>
    <w:p w:rsidR="005C2091" w:rsidRDefault="00A86293">
      <w:pPr>
        <w:pStyle w:val="Heading2"/>
      </w:pPr>
      <w:r>
        <w:t>04970 Državni zavod za mjeriteljstvo</w:t>
      </w:r>
    </w:p>
    <w:p w:rsidR="005C2091" w:rsidRDefault="00A86293">
      <w:r>
        <w:t>Državni zavod za mjeriteljstvo uspostavlja i osigurava primjenu zakonskog mjeriteljstva, stvara pouzdanu vezu između mjerenja i vrijednosti, mjerenja i sigurnosti, mjerenja i kvalitete, omogućuje poštenu trgovinu, zaštitu potrošača, sigurnost u prometu, ispravna mjerenja u zdravstvu, pomaže u očuvanju okoliša, racionalnom korištenju prirodnih resursa i pridonosi kvaliteti proizvoda i konkurentnosti hrvatskog gospodarstva. Za provođenje misije Državnog zavoda za mjeriteljstvo nužno je osigurati unapređenje sustava zakonskog mjeriteljstva, ispitivanja i žigosanja predmeta od plemenitih kovina, sustava homologacije vozila, te mjeriteljske inspekcije i nadzora.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04970-Državni zavod za mjeriteljstvo</w:t>
            </w:r>
          </w:p>
        </w:tc>
        <w:tc>
          <w:tcPr>
            <w:tcW w:w="2041" w:type="dxa"/>
            <w:vAlign w:val="top"/>
          </w:tcPr>
          <w:p w:rsidR="005C2091" w:rsidRDefault="00A86293">
            <w:pPr>
              <w:pStyle w:val="CellColumn"/>
              <w:jc w:val="right"/>
            </w:pPr>
            <w:r>
              <w:rPr>
                <w:rFonts w:cs="Times New Roman"/>
              </w:rPr>
              <w:t>15.764.029</w:t>
            </w:r>
          </w:p>
        </w:tc>
        <w:tc>
          <w:tcPr>
            <w:tcW w:w="2041" w:type="dxa"/>
            <w:vAlign w:val="top"/>
          </w:tcPr>
          <w:p w:rsidR="005C2091" w:rsidRDefault="00A86293">
            <w:pPr>
              <w:pStyle w:val="CellColumn"/>
              <w:jc w:val="right"/>
            </w:pPr>
            <w:r>
              <w:rPr>
                <w:rFonts w:cs="Times New Roman"/>
              </w:rPr>
              <w:t>15.064.481</w:t>
            </w:r>
          </w:p>
        </w:tc>
        <w:tc>
          <w:tcPr>
            <w:tcW w:w="2041" w:type="dxa"/>
            <w:vAlign w:val="top"/>
          </w:tcPr>
          <w:p w:rsidR="005C2091" w:rsidRDefault="00A86293">
            <w:pPr>
              <w:pStyle w:val="CellColumn"/>
              <w:jc w:val="right"/>
            </w:pPr>
            <w:r>
              <w:rPr>
                <w:rFonts w:cs="Times New Roman"/>
              </w:rPr>
              <w:t>15.479.879</w:t>
            </w:r>
          </w:p>
        </w:tc>
        <w:tc>
          <w:tcPr>
            <w:tcW w:w="1224" w:type="dxa"/>
            <w:vAlign w:val="top"/>
          </w:tcPr>
          <w:p w:rsidR="005C2091" w:rsidRDefault="00A86293">
            <w:pPr>
              <w:pStyle w:val="CellColumn"/>
              <w:jc w:val="right"/>
            </w:pPr>
            <w:r>
              <w:rPr>
                <w:rFonts w:cs="Times New Roman"/>
              </w:rPr>
              <w:t>102,8</w:t>
            </w:r>
          </w:p>
        </w:tc>
        <w:tc>
          <w:tcPr>
            <w:tcW w:w="1224" w:type="dxa"/>
            <w:vAlign w:val="top"/>
          </w:tcPr>
          <w:p w:rsidR="005C2091" w:rsidRDefault="00A86293">
            <w:pPr>
              <w:pStyle w:val="CellColumn"/>
              <w:jc w:val="right"/>
            </w:pPr>
            <w:r>
              <w:rPr>
                <w:rFonts w:cs="Times New Roman"/>
              </w:rPr>
              <w:t>98,2</w:t>
            </w:r>
          </w:p>
        </w:tc>
      </w:tr>
      <w:tr w:rsidR="005C2091">
        <w:trPr>
          <w:jc w:val="center"/>
        </w:trPr>
        <w:tc>
          <w:tcPr>
            <w:tcW w:w="1632" w:type="dxa"/>
          </w:tcPr>
          <w:p w:rsidR="005C2091" w:rsidRDefault="00A86293">
            <w:pPr>
              <w:jc w:val="left"/>
            </w:pPr>
            <w:r>
              <w:t>3222-USPOSTAVA I KOORDINACIJA NACIONALNOG  MJERITELJSKOG SUSTAVA RH</w:t>
            </w:r>
          </w:p>
        </w:tc>
        <w:tc>
          <w:tcPr>
            <w:tcW w:w="2041" w:type="dxa"/>
          </w:tcPr>
          <w:p w:rsidR="005C2091" w:rsidRDefault="00A86293">
            <w:pPr>
              <w:jc w:val="right"/>
            </w:pPr>
            <w:r>
              <w:t>15.764.029</w:t>
            </w:r>
          </w:p>
        </w:tc>
        <w:tc>
          <w:tcPr>
            <w:tcW w:w="2041" w:type="dxa"/>
          </w:tcPr>
          <w:p w:rsidR="005C2091" w:rsidRDefault="00A86293">
            <w:pPr>
              <w:jc w:val="right"/>
            </w:pPr>
            <w:r>
              <w:t>15.064.481</w:t>
            </w:r>
          </w:p>
        </w:tc>
        <w:tc>
          <w:tcPr>
            <w:tcW w:w="2041" w:type="dxa"/>
          </w:tcPr>
          <w:p w:rsidR="005C2091" w:rsidRDefault="00A86293">
            <w:pPr>
              <w:jc w:val="right"/>
            </w:pPr>
            <w:r>
              <w:t>15.479.879</w:t>
            </w:r>
          </w:p>
        </w:tc>
        <w:tc>
          <w:tcPr>
            <w:tcW w:w="1224" w:type="dxa"/>
          </w:tcPr>
          <w:p w:rsidR="005C2091" w:rsidRDefault="00A86293">
            <w:pPr>
              <w:jc w:val="right"/>
            </w:pPr>
            <w:r>
              <w:t>102,8</w:t>
            </w:r>
          </w:p>
        </w:tc>
        <w:tc>
          <w:tcPr>
            <w:tcW w:w="1224" w:type="dxa"/>
          </w:tcPr>
          <w:p w:rsidR="005C2091" w:rsidRDefault="00A86293">
            <w:pPr>
              <w:jc w:val="right"/>
            </w:pPr>
            <w:r>
              <w:t>98,2</w:t>
            </w:r>
          </w:p>
        </w:tc>
      </w:tr>
    </w:tbl>
    <w:p w:rsidR="005C2091" w:rsidRDefault="005C2091">
      <w:pPr>
        <w:jc w:val="left"/>
      </w:pPr>
    </w:p>
    <w:p w:rsidR="005C2091" w:rsidRDefault="00A86293">
      <w:pPr>
        <w:pStyle w:val="Heading3"/>
      </w:pPr>
      <w:r>
        <w:rPr>
          <w:rFonts w:cs="Times New Roman"/>
        </w:rPr>
        <w:t>3222 USPOSTAVA I KOORDINACIJA NACIONALNOG  MJERITELJSKOG SUSTAVA RH</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3222-USPOSTAVA I KOORDINACIJA NACIONALNOG  MJERITELJSKOG SUSTAVA RH</w:t>
            </w:r>
          </w:p>
        </w:tc>
        <w:tc>
          <w:tcPr>
            <w:tcW w:w="2041" w:type="dxa"/>
          </w:tcPr>
          <w:p w:rsidR="005C2091" w:rsidRDefault="00A86293">
            <w:pPr>
              <w:pStyle w:val="CellColumn"/>
              <w:jc w:val="right"/>
            </w:pPr>
            <w:r>
              <w:rPr>
                <w:rFonts w:cs="Times New Roman"/>
              </w:rPr>
              <w:t>15.764.029</w:t>
            </w:r>
          </w:p>
        </w:tc>
        <w:tc>
          <w:tcPr>
            <w:tcW w:w="2041" w:type="dxa"/>
          </w:tcPr>
          <w:p w:rsidR="005C2091" w:rsidRDefault="00A86293">
            <w:pPr>
              <w:pStyle w:val="CellColumn"/>
              <w:jc w:val="right"/>
            </w:pPr>
            <w:r>
              <w:rPr>
                <w:rFonts w:cs="Times New Roman"/>
              </w:rPr>
              <w:t>15.064.481</w:t>
            </w:r>
          </w:p>
        </w:tc>
        <w:tc>
          <w:tcPr>
            <w:tcW w:w="2041" w:type="dxa"/>
          </w:tcPr>
          <w:p w:rsidR="005C2091" w:rsidRDefault="00A86293">
            <w:pPr>
              <w:pStyle w:val="CellColumn"/>
              <w:jc w:val="right"/>
            </w:pPr>
            <w:r>
              <w:rPr>
                <w:rFonts w:cs="Times New Roman"/>
              </w:rPr>
              <w:t>15.479.879</w:t>
            </w:r>
          </w:p>
        </w:tc>
        <w:tc>
          <w:tcPr>
            <w:tcW w:w="1224" w:type="dxa"/>
          </w:tcPr>
          <w:p w:rsidR="005C2091" w:rsidRDefault="00A86293">
            <w:pPr>
              <w:pStyle w:val="CellColumn"/>
              <w:jc w:val="right"/>
            </w:pPr>
            <w:r>
              <w:rPr>
                <w:rFonts w:cs="Times New Roman"/>
              </w:rPr>
              <w:t>102,8</w:t>
            </w:r>
          </w:p>
        </w:tc>
        <w:tc>
          <w:tcPr>
            <w:tcW w:w="1224" w:type="dxa"/>
          </w:tcPr>
          <w:p w:rsidR="005C2091" w:rsidRDefault="00A86293">
            <w:pPr>
              <w:pStyle w:val="CellColumn"/>
              <w:jc w:val="right"/>
            </w:pPr>
            <w:r>
              <w:rPr>
                <w:rFonts w:cs="Times New Roman"/>
              </w:rPr>
              <w:t>98,2</w:t>
            </w:r>
          </w:p>
        </w:tc>
      </w:tr>
    </w:tbl>
    <w:p w:rsidR="005C2091" w:rsidRDefault="005C2091">
      <w:pPr>
        <w:jc w:val="left"/>
      </w:pPr>
    </w:p>
    <w:p w:rsidR="005C2091" w:rsidRDefault="00A86293">
      <w:r>
        <w:lastRenderedPageBreak/>
        <w:t>Državni zavod za mjeriteljstvo osnovan je Zakonom o izmjenama i dopunama Zakona o ustrojstvu i djelokrugu ministarstava i državnih upravnih organizacija kao tijelo državne uprave sa zadaćom unapređenja i održavanja mjeriteljske djelatnosti.</w:t>
      </w:r>
    </w:p>
    <w:p w:rsidR="005C2091" w:rsidRDefault="00A86293">
      <w:pPr>
        <w:pStyle w:val="Heading8"/>
        <w:jc w:val="left"/>
      </w:pPr>
      <w:r>
        <w:t>Cilj 1. Razvoj i unaprjeđenje zakonskog mjeriteljstva</w:t>
      </w:r>
    </w:p>
    <w:p w:rsidR="005C2091" w:rsidRDefault="00A86293">
      <w:pPr>
        <w:pStyle w:val="Heading8"/>
        <w:jc w:val="left"/>
      </w:pPr>
      <w:r>
        <w:t>Opis provedbe cilja programa</w:t>
      </w:r>
    </w:p>
    <w:p w:rsidR="005C2091" w:rsidRDefault="00A86293">
      <w:r>
        <w:t xml:space="preserve">Razvojem i unaprjeđenjem zakonskog mjeriteljstva omogućuje se efikasan nadzor i kontrola postupaka ovjeravanja, a time stabilno i održivo funkcioniranje mjeriteljskog sustava Republike Hrvatske te njegovo neprekidno poboljšavanje. Glavni  ciljevi nacionalnoga mjeriteljskoga sustava su ujednačenje sustava zakonitih mjernih jedinica s Međunarodnim sustavom jedinica (SI), osiguranje vjerodostojnosti rezultata mjerenja koja se provode u svrhu zaštite potrošača, zaštite života, zdravlja ljudi i životinja, zaštite okoliša, opće sigurnosti i zaštite prirodnih izvora te donošenje i provedba mjeriteljskih propisa. </w:t>
      </w:r>
    </w:p>
    <w:p w:rsidR="005C2091" w:rsidRDefault="00A86293">
      <w:r>
        <w:t>Kompletiranjem postojećih laboratorija i uspostavom novih neprekidno se poboljšava mjeriteljski sustav, te time osigurava da mjeriteljska infrastruktura bude u funkciji poboljšanja konkurente sposobnosti nacionalne industrije i otvaranja pristupa vanjskim tržištima. Ona doprinosi stjecanju znanja o novim tehnologijama prije svega u mjerenju i ispitivanju te omogućava njihovo prenošenje nacionalnoj industriji i gospodarstvu te  osiguravanje prihvaćanja na međunarodnoj razini mjerenja i ispitivanja koja se provode u Republici Hrvatskoj i time omogućiti sklapanje međunarodnih trgovinskih sporazuma koji se odnose na slobodu kretanja roba. Formira se sustav kontinuiranog poboljšavanja razine obrazovanja svih subjekata u zakonskom mjeriteljstvu.</w:t>
      </w:r>
    </w:p>
    <w:p w:rsidR="005C2091" w:rsidRDefault="00A86293">
      <w:pPr>
        <w:pStyle w:val="Heading8"/>
        <w:jc w:val="left"/>
      </w:pPr>
      <w:r>
        <w:t>Cilj 2. Unapređenje sustava homologacije vozila i dijelova vozila i uvođenje sustava provjere emisije pokretnih necestovnih strojeva</w:t>
      </w:r>
    </w:p>
    <w:p w:rsidR="005C2091" w:rsidRDefault="00A86293">
      <w:pPr>
        <w:pStyle w:val="Heading8"/>
        <w:jc w:val="left"/>
      </w:pPr>
      <w:r>
        <w:t>Opis provedbe cilja programa</w:t>
      </w:r>
    </w:p>
    <w:p w:rsidR="005C2091" w:rsidRDefault="00A86293">
      <w:r>
        <w:t xml:space="preserve">Djelotvornim upravljanjem nacionalnim sustavom homologacije cestovnih vozila, traktora (opreme, dijelova itd.), sustavnim usklađivanjem pripadajućih propisa s međunarodnim propisima (EZ direktivama, UN/ECE pravilnicima) ostvarit će se osnovni cilj sustava homologacije, a to je primjerena razina sigurnosti vozila u prometu i zaštita okoliša.  </w:t>
      </w:r>
    </w:p>
    <w:p w:rsidR="005C2091" w:rsidRDefault="00A86293">
      <w:r>
        <w:t>Uvođenjem sustava evidencije i ocjene sukladnosti emisije pokretnih necestovnih strojeva pokrit će se drugo veliko područje koje se odnosi na homologaciju svih ostalih motora (osim onih cestovnih) što će dodatno doprinijeti  zaštiti okoliša.</w:t>
      </w:r>
    </w:p>
    <w:p w:rsidR="005C2091" w:rsidRDefault="00A86293">
      <w:pPr>
        <w:pStyle w:val="Heading8"/>
        <w:jc w:val="left"/>
      </w:pPr>
      <w:r>
        <w:t>Cilj 3. Osuvremenjen sustav nadzora predmeta od plemenitih kovina</w:t>
      </w:r>
    </w:p>
    <w:p w:rsidR="005C2091" w:rsidRDefault="00A86293">
      <w:pPr>
        <w:pStyle w:val="Heading8"/>
        <w:jc w:val="left"/>
      </w:pPr>
      <w:r>
        <w:t>Opis provedbe cilja programa</w:t>
      </w:r>
    </w:p>
    <w:p w:rsidR="005C2091" w:rsidRDefault="00A86293">
      <w:r>
        <w:t>Poboljšan je nacionalni sustav za ispitivanje i žigosanje (potvrđivanje)  predmeta od plemenitih kovina na cijelom teritoriju Republike Hrvatske. Boljim opremanjem te osiguranjem odgovarajućih ljudskih resursa i prostora doprinijet će se poboljšanju sposobnosti na ispitivanju i žigosanju.</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Uspostava sustava davanja ovlasti pravnim osobama za ovjeravanje, sustava nadzora i kontrole ovjeravanja</w:t>
            </w:r>
          </w:p>
        </w:tc>
        <w:tc>
          <w:tcPr>
            <w:tcW w:w="2551" w:type="dxa"/>
          </w:tcPr>
          <w:p w:rsidR="005C2091" w:rsidRDefault="00A86293">
            <w:pPr>
              <w:pStyle w:val="CellColumn"/>
              <w:jc w:val="left"/>
            </w:pPr>
            <w:r>
              <w:rPr>
                <w:rFonts w:cs="Times New Roman"/>
              </w:rPr>
              <w:t>Zaštita potrošača, zaštita života, zdravlja ljudi i životinja , zaštita okoliša, opće sigurnosti i zaštita prirodnih izvora te donošenje i provedba mjeriteljskih propisa.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40</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85</w:t>
            </w:r>
          </w:p>
        </w:tc>
        <w:tc>
          <w:tcPr>
            <w:tcW w:w="1020" w:type="dxa"/>
          </w:tcPr>
          <w:p w:rsidR="005C2091" w:rsidRDefault="00A86293">
            <w:pPr>
              <w:pStyle w:val="CellColumn"/>
              <w:jc w:val="right"/>
            </w:pPr>
            <w:r>
              <w:rPr>
                <w:rFonts w:cs="Times New Roman"/>
              </w:rPr>
              <w:t>85</w:t>
            </w:r>
          </w:p>
        </w:tc>
      </w:tr>
      <w:tr w:rsidR="005C2091">
        <w:trPr>
          <w:jc w:val="center"/>
        </w:trPr>
        <w:tc>
          <w:tcPr>
            <w:tcW w:w="2551" w:type="dxa"/>
          </w:tcPr>
          <w:p w:rsidR="005C2091" w:rsidRDefault="00A86293">
            <w:pPr>
              <w:pStyle w:val="CellColumn"/>
              <w:jc w:val="left"/>
            </w:pPr>
            <w:r>
              <w:rPr>
                <w:rFonts w:cs="Times New Roman"/>
              </w:rPr>
              <w:t>Uspostava novih laboratorija</w:t>
            </w:r>
          </w:p>
        </w:tc>
        <w:tc>
          <w:tcPr>
            <w:tcW w:w="2551" w:type="dxa"/>
          </w:tcPr>
          <w:p w:rsidR="005C2091" w:rsidRDefault="00A86293">
            <w:pPr>
              <w:pStyle w:val="CellColumn"/>
              <w:jc w:val="left"/>
            </w:pPr>
            <w:r>
              <w:rPr>
                <w:rFonts w:cs="Times New Roman"/>
              </w:rPr>
              <w:t>Zaštita potrošača.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r w:rsidR="005C2091">
        <w:trPr>
          <w:jc w:val="center"/>
        </w:trPr>
        <w:tc>
          <w:tcPr>
            <w:tcW w:w="2551" w:type="dxa"/>
          </w:tcPr>
          <w:p w:rsidR="005C2091" w:rsidRDefault="00A86293">
            <w:pPr>
              <w:pStyle w:val="CellColumn"/>
              <w:jc w:val="left"/>
            </w:pPr>
            <w:r>
              <w:rPr>
                <w:rFonts w:cs="Times New Roman"/>
              </w:rPr>
              <w:t>Provedba inspekcijskog nadzora</w:t>
            </w:r>
          </w:p>
        </w:tc>
        <w:tc>
          <w:tcPr>
            <w:tcW w:w="2551" w:type="dxa"/>
          </w:tcPr>
          <w:p w:rsidR="005C2091" w:rsidRDefault="00A86293">
            <w:pPr>
              <w:pStyle w:val="CellColumn"/>
              <w:jc w:val="left"/>
            </w:pPr>
            <w:r>
              <w:rPr>
                <w:rFonts w:cs="Times New Roman"/>
              </w:rPr>
              <w:t>Zaštita potrošača.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1250</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1500</w:t>
            </w:r>
          </w:p>
        </w:tc>
        <w:tc>
          <w:tcPr>
            <w:tcW w:w="1020" w:type="dxa"/>
          </w:tcPr>
          <w:p w:rsidR="005C2091" w:rsidRDefault="00A86293">
            <w:pPr>
              <w:pStyle w:val="CellColumn"/>
              <w:jc w:val="right"/>
            </w:pPr>
            <w:r>
              <w:rPr>
                <w:rFonts w:cs="Times New Roman"/>
              </w:rPr>
              <w:t>1479</w:t>
            </w:r>
          </w:p>
        </w:tc>
      </w:tr>
      <w:tr w:rsidR="005C2091">
        <w:trPr>
          <w:jc w:val="center"/>
        </w:trPr>
        <w:tc>
          <w:tcPr>
            <w:tcW w:w="2551" w:type="dxa"/>
          </w:tcPr>
          <w:p w:rsidR="005C2091" w:rsidRDefault="00A86293">
            <w:pPr>
              <w:pStyle w:val="CellColumn"/>
              <w:jc w:val="left"/>
            </w:pPr>
            <w:r>
              <w:rPr>
                <w:rFonts w:cs="Times New Roman"/>
              </w:rPr>
              <w:lastRenderedPageBreak/>
              <w:t>Uspostavljeno upravljanje sustavom provjere necestovnih vozila</w:t>
            </w:r>
          </w:p>
        </w:tc>
        <w:tc>
          <w:tcPr>
            <w:tcW w:w="2551" w:type="dxa"/>
          </w:tcPr>
          <w:p w:rsidR="005C2091" w:rsidRDefault="00A86293">
            <w:pPr>
              <w:pStyle w:val="CellColumn"/>
              <w:jc w:val="left"/>
            </w:pPr>
            <w:r>
              <w:rPr>
                <w:rFonts w:cs="Times New Roman"/>
              </w:rPr>
              <w:t>Osiguranje primjerene razine sigurnosti vozila u prometu</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40</w:t>
            </w:r>
          </w:p>
        </w:tc>
        <w:tc>
          <w:tcPr>
            <w:tcW w:w="1020" w:type="dxa"/>
          </w:tcPr>
          <w:p w:rsidR="005C2091" w:rsidRDefault="00A86293">
            <w:pPr>
              <w:pStyle w:val="CellColumn"/>
              <w:jc w:val="right"/>
            </w:pPr>
            <w:r>
              <w:rPr>
                <w:rFonts w:cs="Times New Roman"/>
              </w:rPr>
              <w:t>40</w:t>
            </w:r>
          </w:p>
        </w:tc>
      </w:tr>
      <w:tr w:rsidR="005C2091">
        <w:trPr>
          <w:jc w:val="center"/>
        </w:trPr>
        <w:tc>
          <w:tcPr>
            <w:tcW w:w="2551" w:type="dxa"/>
          </w:tcPr>
          <w:p w:rsidR="005C2091" w:rsidRDefault="00A86293">
            <w:pPr>
              <w:pStyle w:val="CellColumn"/>
              <w:jc w:val="left"/>
            </w:pPr>
            <w:r>
              <w:rPr>
                <w:rFonts w:cs="Times New Roman"/>
              </w:rPr>
              <w:t>Donošenje podzakonskih akata</w:t>
            </w:r>
          </w:p>
        </w:tc>
        <w:tc>
          <w:tcPr>
            <w:tcW w:w="2551" w:type="dxa"/>
          </w:tcPr>
          <w:p w:rsidR="005C2091" w:rsidRDefault="00A86293">
            <w:pPr>
              <w:pStyle w:val="CellColumn"/>
              <w:jc w:val="left"/>
            </w:pPr>
            <w:r>
              <w:rPr>
                <w:rFonts w:cs="Times New Roman"/>
              </w:rPr>
              <w:t>Zaštita potrošača od mogućih prijevara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6</w:t>
            </w:r>
          </w:p>
        </w:tc>
        <w:tc>
          <w:tcPr>
            <w:tcW w:w="1020" w:type="dxa"/>
          </w:tcPr>
          <w:p w:rsidR="005C2091" w:rsidRDefault="00A86293">
            <w:pPr>
              <w:pStyle w:val="CellColumn"/>
              <w:jc w:val="right"/>
            </w:pPr>
            <w:r>
              <w:rPr>
                <w:rFonts w:cs="Times New Roman"/>
              </w:rPr>
              <w:t>6</w:t>
            </w:r>
          </w:p>
        </w:tc>
      </w:tr>
    </w:tbl>
    <w:p w:rsidR="005C2091" w:rsidRDefault="005C2091">
      <w:pPr>
        <w:jc w:val="left"/>
      </w:pPr>
    </w:p>
    <w:p w:rsidR="005C2091" w:rsidRDefault="00A86293">
      <w:pPr>
        <w:pStyle w:val="Heading4"/>
      </w:pPr>
      <w:r>
        <w:t>A762000 ADMINISTRACIJA I UPRAVLJANJE DRŽAVNOG ZAVODA ZA MJERITELJSTVO</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A762000-ADMINISTRACIJA I UPRAVLJANJE DRŽAVNOG ZAVODA ZA MJERITELJSTVO</w:t>
            </w:r>
          </w:p>
        </w:tc>
        <w:tc>
          <w:tcPr>
            <w:tcW w:w="2041" w:type="dxa"/>
          </w:tcPr>
          <w:p w:rsidR="005C2091" w:rsidRDefault="00A86293">
            <w:pPr>
              <w:pStyle w:val="CellColumn"/>
              <w:jc w:val="right"/>
            </w:pPr>
            <w:r>
              <w:rPr>
                <w:rFonts w:cs="Times New Roman"/>
              </w:rPr>
              <w:t>14.930.716</w:t>
            </w:r>
          </w:p>
        </w:tc>
        <w:tc>
          <w:tcPr>
            <w:tcW w:w="2041" w:type="dxa"/>
          </w:tcPr>
          <w:p w:rsidR="005C2091" w:rsidRDefault="00A86293">
            <w:pPr>
              <w:pStyle w:val="CellColumn"/>
              <w:jc w:val="right"/>
            </w:pPr>
            <w:r>
              <w:rPr>
                <w:rFonts w:cs="Times New Roman"/>
              </w:rPr>
              <w:t>14.460.348</w:t>
            </w:r>
          </w:p>
        </w:tc>
        <w:tc>
          <w:tcPr>
            <w:tcW w:w="2041" w:type="dxa"/>
          </w:tcPr>
          <w:p w:rsidR="005C2091" w:rsidRDefault="00A86293">
            <w:pPr>
              <w:pStyle w:val="CellColumn"/>
              <w:jc w:val="right"/>
            </w:pPr>
            <w:r>
              <w:rPr>
                <w:rFonts w:cs="Times New Roman"/>
              </w:rPr>
              <w:t>14.876.169</w:t>
            </w:r>
          </w:p>
        </w:tc>
        <w:tc>
          <w:tcPr>
            <w:tcW w:w="1224" w:type="dxa"/>
          </w:tcPr>
          <w:p w:rsidR="005C2091" w:rsidRDefault="00A86293">
            <w:pPr>
              <w:pStyle w:val="CellColumn"/>
              <w:jc w:val="right"/>
            </w:pPr>
            <w:r>
              <w:rPr>
                <w:rFonts w:cs="Times New Roman"/>
              </w:rPr>
              <w:t>102,9</w:t>
            </w:r>
          </w:p>
        </w:tc>
        <w:tc>
          <w:tcPr>
            <w:tcW w:w="1224" w:type="dxa"/>
          </w:tcPr>
          <w:p w:rsidR="005C2091" w:rsidRDefault="00A86293">
            <w:pPr>
              <w:pStyle w:val="CellColumn"/>
              <w:jc w:val="right"/>
            </w:pPr>
            <w:r>
              <w:rPr>
                <w:rFonts w:cs="Times New Roman"/>
              </w:rPr>
              <w:t>99,6</w:t>
            </w:r>
          </w:p>
        </w:tc>
      </w:tr>
    </w:tbl>
    <w:p w:rsidR="005C2091" w:rsidRDefault="005C2091">
      <w:pPr>
        <w:jc w:val="left"/>
      </w:pPr>
    </w:p>
    <w:p w:rsidR="005C2091" w:rsidRDefault="00A86293">
      <w:pPr>
        <w:pStyle w:val="Heading8"/>
        <w:jc w:val="left"/>
      </w:pPr>
      <w:r>
        <w:t>Zakonske i druge pravne osnove</w:t>
      </w:r>
    </w:p>
    <w:p w:rsidR="005C2091" w:rsidRDefault="00A86293">
      <w:r>
        <w:t>-</w:t>
      </w:r>
      <w:r>
        <w:tab/>
        <w:t xml:space="preserve">Zakon o mjeriteljstvu (NN 74/14),  </w:t>
      </w:r>
    </w:p>
    <w:p w:rsidR="005C2091" w:rsidRDefault="00A86293">
      <w:r>
        <w:t>-</w:t>
      </w:r>
      <w:r>
        <w:tab/>
        <w:t xml:space="preserve">Zakon o nadzoru predmeta od plemenitih kovina ( NN 36/15 ),  </w:t>
      </w:r>
    </w:p>
    <w:p w:rsidR="005C2091" w:rsidRDefault="00A86293">
      <w:r>
        <w:t>-</w:t>
      </w:r>
      <w:r>
        <w:tab/>
        <w:t xml:space="preserve">Zakon o sigurnosti prometa na cestama ( NN 67/08, 48/10, 74/11, 80/13, 92/14, 64/15 ) </w:t>
      </w:r>
    </w:p>
    <w:p w:rsidR="005C2091" w:rsidRDefault="00A86293">
      <w:r>
        <w:t>-</w:t>
      </w:r>
      <w:r>
        <w:tab/>
        <w:t>Zakon o računanju vremena ( NN 27/93, NN 33/96 )</w:t>
      </w:r>
    </w:p>
    <w:p w:rsidR="005C2091" w:rsidRDefault="00A86293">
      <w:pPr>
        <w:pStyle w:val="Heading8"/>
        <w:jc w:val="left"/>
      </w:pPr>
      <w:r>
        <w:t>Opis aktivnosti</w:t>
      </w:r>
    </w:p>
    <w:p w:rsidR="005C2091" w:rsidRDefault="00A86293">
      <w:r>
        <w:t xml:space="preserve">31 Rashodi za zaposlene </w:t>
      </w:r>
    </w:p>
    <w:p w:rsidR="005C2091" w:rsidRDefault="00A86293">
      <w:r>
        <w:t xml:space="preserve">Rashodi za zaposlene izvršeni su u  iznosu od  ukupno 9 722 407 kn, što iznosi 100% u odnosu na planirana sredstva. </w:t>
      </w:r>
    </w:p>
    <w:p w:rsidR="005C2091" w:rsidRDefault="00A86293">
      <w:r>
        <w:t xml:space="preserve">U ukupno izvršenom proračunu udio rashoda za zaposlene iznosi 65 %. Od ukupno izvršenih rashoda za zaposlene na plaće za redovan i prekovremeni rad odnosi se  </w:t>
      </w:r>
    </w:p>
    <w:p w:rsidR="005C2091" w:rsidRDefault="00A86293">
      <w:r>
        <w:t xml:space="preserve">7 976 378 kn, doprinose na plaće 1 373 607 kn, te ostale rashode za zaposlene  </w:t>
      </w:r>
    </w:p>
    <w:p w:rsidR="005C2091" w:rsidRDefault="00A86293">
      <w:r>
        <w:t xml:space="preserve">372 423 kn. </w:t>
      </w:r>
    </w:p>
    <w:p w:rsidR="005C2091" w:rsidRDefault="00A86293">
      <w:r>
        <w:t xml:space="preserve">U odnosu na 2015. godinu udio rashoda za zaposlene veći je za 6,46 % zbog novog zapošljavanja, te isplate regresa i božićnice. </w:t>
      </w:r>
    </w:p>
    <w:p w:rsidR="005C2091" w:rsidRDefault="00A86293">
      <w:r>
        <w:t xml:space="preserve">             32 Materijalni rashodi </w:t>
      </w:r>
    </w:p>
    <w:p w:rsidR="005C2091" w:rsidRDefault="00A86293">
      <w:r>
        <w:t xml:space="preserve">Materijalni rashodi iznose 5 056 833 kn, što je 99,79 % ostvarenje planiranog. U ukupno izvršenom proračunu udio materijalnih rashoda je 34 %.  </w:t>
      </w:r>
    </w:p>
    <w:p w:rsidR="005C2091" w:rsidRDefault="00A86293">
      <w:r>
        <w:t xml:space="preserve">Rashodi za službena putovanja iznose 597 928 kn i značajna su stavka materijalnih rashoda što je uvjetovano vrstom posla koji obavljamo ( ovjeravanje mjerila radi se po cijeloj Republici Hrvatskoj ) i brojem lokacija na kojima smo smješteni ( područne jedinice  u Zagrebu, Osijeku, Rijeci i Splitu). Međutim, ovi rashodi su za 41 % manji nego 2014. godine zbog ugradnje GPS uređaja i plaćanja cestarine putem ENC-a. </w:t>
      </w:r>
    </w:p>
    <w:p w:rsidR="005C2091" w:rsidRDefault="00A86293">
      <w:r>
        <w:t xml:space="preserve">Izdaci za stručno usavršavanje zaposlenih iznose 67 384 kn. Realizacijom ovih rashoda mjeriteljstvo ojačava svoju profesionalnu stručnost kako bi se zadovoljili novi zahtjevi koji proizlaze iz usklađivanja zakonodavstva sa zakonodavstvom Europske unije. Provedena je i zakonom propisana izobrazba iz područja zaštite na radu. </w:t>
      </w:r>
    </w:p>
    <w:p w:rsidR="005C2091" w:rsidRDefault="00A86293">
      <w:r>
        <w:lastRenderedPageBreak/>
        <w:t xml:space="preserve">Usluge telefona, pošte i prijevoza u iznosu od 364 188 kn ostvarene su 104,05 % u odnosu na plan i čine veliku stavku rashoda za usluge. Međutim, uvedene su   mjere za kontrolu troškova fiksnih i mobilnih telefona ( ograničeni su pozivi preko fiksnih telefona, limitiran je iznos potrošnje mobilne  mreže ) tako da se ovi rashodi stalno prate i kontroliraju.  </w:t>
      </w:r>
    </w:p>
    <w:p w:rsidR="005C2091" w:rsidRDefault="00A86293">
      <w:r>
        <w:t xml:space="preserve">Usluge tekućeg i investicijskog održavanja iznose ukupno 285 479 kn što je za 52% manje nego prošle godine. </w:t>
      </w:r>
    </w:p>
    <w:p w:rsidR="005C2091" w:rsidRDefault="00A86293">
      <w:r>
        <w:t xml:space="preserve">Veliki dio ovih rashoda u iznosu od 116 037kn čine izdaci za održavanje prijevoznih sredstava koja su zastarjela. Dio vozila prodan je jer su troškovi njihovog održavanja prelazili granicu ekonomičnosti. </w:t>
      </w:r>
    </w:p>
    <w:p w:rsidR="005C2091" w:rsidRDefault="00A86293">
      <w:r>
        <w:t xml:space="preserve">Ostatak rashoda za tekuće i investicijsko održavanje odnosi se na umjeravanje mjeriteljske opreme, te održavanje postrojenja i opreme. </w:t>
      </w:r>
    </w:p>
    <w:p w:rsidR="005C2091" w:rsidRDefault="00A86293">
      <w:r>
        <w:t xml:space="preserve">Značajni izvršeni rashodi za usluge odnose se na rashode za zakupnine i najamnine u iznosu od 1 060 904 kn, od toga se 661 953 kn odnose se na zakup objekata  s obzirom da smo prisiljeni uzimati prostor u zakup, a 398 951 kn odnosi se na nabavu vozila na operativni leasing.   </w:t>
      </w:r>
    </w:p>
    <w:p w:rsidR="005C2091" w:rsidRDefault="00A86293">
      <w:r>
        <w:t xml:space="preserve">Ukupni materijalni rashodi u 2015. godini iznosili su 6 119 047 kn i izvršeni su 99,19 % u odnosu na plan. </w:t>
      </w:r>
    </w:p>
    <w:p w:rsidR="005C2091" w:rsidRDefault="00A86293">
      <w:r>
        <w:t xml:space="preserve">           34 Financijski rashodi </w:t>
      </w:r>
    </w:p>
    <w:p w:rsidR="005C2091" w:rsidRDefault="00A86293">
      <w:r>
        <w:t xml:space="preserve">Financijski rashodi odnose se na bankarske usluge, usluge platnog prometa i zatezne kamate, planirani su u iznosu od 5 000 kn, a izvršeni u iznosu od 4 204 kn, što iznosi 84,07% u odnosu na  planirana sredstva.  </w:t>
      </w:r>
    </w:p>
    <w:p w:rsidR="005C2091" w:rsidRDefault="00A86293">
      <w:r>
        <w:t xml:space="preserve">U 2015. godini financijski rashodi iznosili su 5 368 kn i izvršeni su 89,46 % u odnosu na plan. </w:t>
      </w:r>
    </w:p>
    <w:p w:rsidR="005C2091" w:rsidRDefault="00A86293">
      <w:r>
        <w:t xml:space="preserve">             42 Rashodi za nabavu nefinancijske imovine </w:t>
      </w:r>
    </w:p>
    <w:p w:rsidR="005C2091" w:rsidRDefault="00A86293">
      <w:r>
        <w:t xml:space="preserve">Rashodi za nabavu nefinancijske imovine izvršeni su u iznosu od 204 759 kn, što je 99,79 % od planiranih. To je čak 50% manje nego u 2015. godini zbog značajnog smanjenja proračunskih sredstava za 2016. godinu. </w:t>
      </w:r>
    </w:p>
    <w:p w:rsidR="005C2091" w:rsidRDefault="00A86293">
      <w:r>
        <w:t xml:space="preserve">Ulaganja u računalnu opremu iznose 94 577kn, ulaganja u uredsku opremu i namještaj 60 302kn, te u računalne programe 44 880 kn. </w:t>
      </w:r>
    </w:p>
    <w:p w:rsidR="005C2091" w:rsidRDefault="00A86293">
      <w:r>
        <w:t xml:space="preserve">U ukupno izvršenom proračunu udio rashoda za nabavu nefinancijske imovine iznosi 1 %. </w:t>
      </w:r>
    </w:p>
    <w:p w:rsidR="005C2091" w:rsidRDefault="00A86293">
      <w:r>
        <w:t>Ukupni rashodi za nabavu nefinancijske imovine u  2015. godini iznosili su 410 753 kn odnosno izvršeni su 96,70% u odnosu na plan.</w:t>
      </w:r>
    </w:p>
    <w:p w:rsidR="001323E6" w:rsidRDefault="001323E6"/>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ovjerenih mjerila u Republici Hrvatskoj</w:t>
            </w:r>
          </w:p>
        </w:tc>
        <w:tc>
          <w:tcPr>
            <w:tcW w:w="2551" w:type="dxa"/>
          </w:tcPr>
          <w:p w:rsidR="005C2091" w:rsidRDefault="00A86293">
            <w:pPr>
              <w:pStyle w:val="CellColumn"/>
              <w:jc w:val="left"/>
            </w:pPr>
            <w:r>
              <w:rPr>
                <w:rFonts w:cs="Times New Roman"/>
              </w:rPr>
              <w:t>Zaštita potrošača, zaštita života i zdravlja ljudi i životinja, zaštita okoliša, opća sigurnost i zaštita prirodnih izvora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400000</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400000</w:t>
            </w:r>
          </w:p>
        </w:tc>
        <w:tc>
          <w:tcPr>
            <w:tcW w:w="1020" w:type="dxa"/>
          </w:tcPr>
          <w:p w:rsidR="005C2091" w:rsidRDefault="00A86293">
            <w:pPr>
              <w:pStyle w:val="CellColumn"/>
              <w:jc w:val="right"/>
            </w:pPr>
            <w:r>
              <w:rPr>
                <w:rFonts w:cs="Times New Roman"/>
              </w:rPr>
              <w:t>443783</w:t>
            </w:r>
          </w:p>
        </w:tc>
      </w:tr>
      <w:tr w:rsidR="005C2091">
        <w:trPr>
          <w:jc w:val="center"/>
        </w:trPr>
        <w:tc>
          <w:tcPr>
            <w:tcW w:w="2551" w:type="dxa"/>
          </w:tcPr>
          <w:p w:rsidR="005C2091" w:rsidRDefault="00A86293">
            <w:pPr>
              <w:pStyle w:val="CellColumn"/>
              <w:jc w:val="left"/>
            </w:pPr>
            <w:r>
              <w:rPr>
                <w:rFonts w:cs="Times New Roman"/>
              </w:rPr>
              <w:t>Riješeni svi zahtjevi u postupku homologacije</w:t>
            </w:r>
          </w:p>
        </w:tc>
        <w:tc>
          <w:tcPr>
            <w:tcW w:w="2551" w:type="dxa"/>
          </w:tcPr>
          <w:p w:rsidR="005C2091" w:rsidRDefault="00A86293">
            <w:pPr>
              <w:pStyle w:val="CellColumn"/>
              <w:jc w:val="left"/>
            </w:pPr>
            <w:r>
              <w:rPr>
                <w:rFonts w:cs="Times New Roman"/>
              </w:rPr>
              <w:t>Osigurana primjerena razina sigurnosti vozila u prometu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700</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700</w:t>
            </w:r>
          </w:p>
        </w:tc>
        <w:tc>
          <w:tcPr>
            <w:tcW w:w="1020" w:type="dxa"/>
          </w:tcPr>
          <w:p w:rsidR="005C2091" w:rsidRDefault="00A86293">
            <w:pPr>
              <w:pStyle w:val="CellColumn"/>
              <w:jc w:val="right"/>
            </w:pPr>
            <w:r>
              <w:rPr>
                <w:rFonts w:cs="Times New Roman"/>
              </w:rPr>
              <w:t>721</w:t>
            </w:r>
          </w:p>
        </w:tc>
      </w:tr>
      <w:tr w:rsidR="005C2091">
        <w:trPr>
          <w:jc w:val="center"/>
        </w:trPr>
        <w:tc>
          <w:tcPr>
            <w:tcW w:w="2551" w:type="dxa"/>
          </w:tcPr>
          <w:p w:rsidR="005C2091" w:rsidRDefault="00A86293">
            <w:pPr>
              <w:pStyle w:val="CellColumn"/>
              <w:jc w:val="left"/>
            </w:pPr>
            <w:r>
              <w:rPr>
                <w:rFonts w:cs="Times New Roman"/>
              </w:rPr>
              <w:t>Obrađeni svi zahtjevi za ispitivanje i žigosanje predmeta od plemenitih kovina</w:t>
            </w:r>
          </w:p>
        </w:tc>
        <w:tc>
          <w:tcPr>
            <w:tcW w:w="2551" w:type="dxa"/>
          </w:tcPr>
          <w:p w:rsidR="005C2091" w:rsidRDefault="00A86293">
            <w:pPr>
              <w:pStyle w:val="CellColumn"/>
              <w:jc w:val="left"/>
            </w:pPr>
            <w:r>
              <w:rPr>
                <w:rFonts w:cs="Times New Roman"/>
              </w:rPr>
              <w:t>Zaštita potrošača od mogućih prijevara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950</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1084</w:t>
            </w:r>
          </w:p>
        </w:tc>
      </w:tr>
    </w:tbl>
    <w:p w:rsidR="005C2091" w:rsidRDefault="005C2091">
      <w:pPr>
        <w:jc w:val="left"/>
      </w:pPr>
    </w:p>
    <w:p w:rsidR="001323E6" w:rsidRDefault="001323E6">
      <w:pPr>
        <w:jc w:val="left"/>
      </w:pPr>
    </w:p>
    <w:p w:rsidR="001323E6" w:rsidRDefault="001323E6">
      <w:pPr>
        <w:jc w:val="left"/>
      </w:pPr>
    </w:p>
    <w:p w:rsidR="001323E6" w:rsidRDefault="001323E6">
      <w:pPr>
        <w:jc w:val="left"/>
      </w:pPr>
    </w:p>
    <w:p w:rsidR="001323E6" w:rsidRDefault="001323E6">
      <w:pPr>
        <w:jc w:val="left"/>
      </w:pPr>
    </w:p>
    <w:p w:rsidR="001323E6" w:rsidRDefault="001323E6">
      <w:pPr>
        <w:jc w:val="left"/>
      </w:pPr>
    </w:p>
    <w:p w:rsidR="005C2091" w:rsidRDefault="00A86293">
      <w:pPr>
        <w:pStyle w:val="Heading4"/>
      </w:pPr>
      <w:r>
        <w:t>K762001 OSIGURANJE POTREBNE RAZINE KVALITETE KROZ PROCESE AKREDITACIJE I CERTIFIKACIJE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K762001-OSIGURANJE POTREBNE RAZINE KVALITETE KROZ PROCESE AKREDITACIJE I CERTIFIKACIJE</w:t>
            </w:r>
          </w:p>
        </w:tc>
        <w:tc>
          <w:tcPr>
            <w:tcW w:w="2041" w:type="dxa"/>
          </w:tcPr>
          <w:p w:rsidR="005C2091" w:rsidRDefault="00A86293">
            <w:pPr>
              <w:pStyle w:val="CellColumn"/>
              <w:jc w:val="right"/>
            </w:pPr>
            <w:r>
              <w:rPr>
                <w:rFonts w:cs="Times New Roman"/>
              </w:rPr>
              <w:t>28.056</w:t>
            </w:r>
          </w:p>
        </w:tc>
        <w:tc>
          <w:tcPr>
            <w:tcW w:w="2041" w:type="dxa"/>
          </w:tcPr>
          <w:p w:rsidR="005C2091" w:rsidRDefault="00A86293">
            <w:pPr>
              <w:pStyle w:val="CellColumn"/>
              <w:jc w:val="right"/>
            </w:pPr>
            <w:r>
              <w:rPr>
                <w:rFonts w:cs="Times New Roman"/>
              </w:rPr>
              <w:t>5.000</w:t>
            </w:r>
          </w:p>
        </w:tc>
        <w:tc>
          <w:tcPr>
            <w:tcW w:w="2041" w:type="dxa"/>
          </w:tcPr>
          <w:p w:rsidR="005C2091" w:rsidRDefault="00A86293">
            <w:pPr>
              <w:pStyle w:val="CellColumn"/>
              <w:jc w:val="right"/>
            </w:pPr>
            <w:r>
              <w:rPr>
                <w:rFonts w:cs="Times New Roman"/>
              </w:rPr>
              <w:t>5.000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17,8</w:t>
            </w:r>
          </w:p>
        </w:tc>
      </w:tr>
    </w:tbl>
    <w:p w:rsidR="005C2091" w:rsidRDefault="005C2091">
      <w:pPr>
        <w:jc w:val="left"/>
      </w:pPr>
    </w:p>
    <w:p w:rsidR="005C2091" w:rsidRDefault="00A86293">
      <w:pPr>
        <w:pStyle w:val="Heading8"/>
        <w:jc w:val="left"/>
      </w:pPr>
      <w:r>
        <w:t>Zakonske i druge pravne osnove</w:t>
      </w:r>
    </w:p>
    <w:p w:rsidR="005C2091" w:rsidRDefault="00A86293">
      <w:r>
        <w:t>-</w:t>
      </w:r>
      <w:r>
        <w:tab/>
        <w:t xml:space="preserve">Zakon o mjeriteljstvu (NN 74/14),  </w:t>
      </w:r>
    </w:p>
    <w:p w:rsidR="005C2091" w:rsidRDefault="00A86293">
      <w:r>
        <w:t>-</w:t>
      </w:r>
      <w:r>
        <w:tab/>
        <w:t xml:space="preserve">Zakon o nadzoru predmeta od plemenitih kovina ( NN 36/15 ),  </w:t>
      </w:r>
    </w:p>
    <w:p w:rsidR="005C2091" w:rsidRDefault="00A86293">
      <w:r>
        <w:t>-</w:t>
      </w:r>
      <w:r>
        <w:tab/>
        <w:t xml:space="preserve">Zakon o sigurnosti prometa na cestama ( NN 67/08, 48/10, 74/11, 80/13, 92/14, 64/15 ) </w:t>
      </w:r>
    </w:p>
    <w:p w:rsidR="005C2091" w:rsidRDefault="00A86293">
      <w:r>
        <w:t>-</w:t>
      </w:r>
      <w:r>
        <w:tab/>
        <w:t>Zakon o računanju vremena ( NN 27/93, NN 33/96 )</w:t>
      </w:r>
    </w:p>
    <w:p w:rsidR="005C2091" w:rsidRDefault="00A86293">
      <w:pPr>
        <w:pStyle w:val="Heading8"/>
        <w:jc w:val="left"/>
      </w:pPr>
      <w:r>
        <w:t>Opis aktivnosti</w:t>
      </w:r>
    </w:p>
    <w:p w:rsidR="005C2091" w:rsidRDefault="00A86293">
      <w:r>
        <w:t>Zbog smanjenih proračunskih sredstava ovaj projekt se sveo na zamjenu dotrajale mjeriteljske opreme male vrijednosti.</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Laboratoriji akreditirani prema normi HRN EN ISO/IEC 17025</w:t>
            </w:r>
          </w:p>
        </w:tc>
        <w:tc>
          <w:tcPr>
            <w:tcW w:w="2551" w:type="dxa"/>
          </w:tcPr>
          <w:p w:rsidR="005C2091" w:rsidRDefault="00A86293">
            <w:pPr>
              <w:pStyle w:val="CellColumn"/>
              <w:jc w:val="left"/>
            </w:pPr>
            <w:r>
              <w:rPr>
                <w:rFonts w:cs="Times New Roman"/>
              </w:rPr>
              <w:t>Funkcioniranje laboratorija prema zahtjevima norme HRN EN ISO/IEC 17025</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1</w:t>
            </w:r>
          </w:p>
        </w:tc>
      </w:tr>
    </w:tbl>
    <w:p w:rsidR="005C2091" w:rsidRDefault="005C2091">
      <w:pPr>
        <w:jc w:val="left"/>
      </w:pPr>
    </w:p>
    <w:p w:rsidR="005C2091" w:rsidRDefault="00A86293">
      <w:pPr>
        <w:pStyle w:val="Heading4"/>
      </w:pPr>
      <w:r>
        <w:t>K762002 IZGRADNJA I OPREMANJE POSLOVNOG PROSTORA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K762002-IZGRADNJA I OPREMANJE POSLOVNOG PROSTORA</w:t>
            </w:r>
          </w:p>
        </w:tc>
        <w:tc>
          <w:tcPr>
            <w:tcW w:w="2041" w:type="dxa"/>
          </w:tcPr>
          <w:p w:rsidR="005C2091" w:rsidRDefault="00A86293">
            <w:pPr>
              <w:pStyle w:val="CellColumn"/>
              <w:jc w:val="right"/>
            </w:pPr>
            <w:r>
              <w:rPr>
                <w:rFonts w:cs="Times New Roman"/>
              </w:rPr>
              <w:t>264.097</w:t>
            </w:r>
          </w:p>
        </w:tc>
        <w:tc>
          <w:tcPr>
            <w:tcW w:w="2041" w:type="dxa"/>
          </w:tcPr>
          <w:p w:rsidR="005C2091" w:rsidRDefault="00A86293">
            <w:pPr>
              <w:pStyle w:val="CellColumn"/>
              <w:jc w:val="right"/>
            </w:pPr>
            <w:r>
              <w:rPr>
                <w:rFonts w:cs="Times New Roman"/>
              </w:rPr>
              <w:t>60.302</w:t>
            </w:r>
          </w:p>
        </w:tc>
        <w:tc>
          <w:tcPr>
            <w:tcW w:w="2041" w:type="dxa"/>
          </w:tcPr>
          <w:p w:rsidR="005C2091" w:rsidRDefault="00A86293">
            <w:pPr>
              <w:pStyle w:val="CellColumn"/>
              <w:jc w:val="right"/>
            </w:pPr>
            <w:r>
              <w:rPr>
                <w:rFonts w:cs="Times New Roman"/>
              </w:rPr>
              <w:t>60.302</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22,8</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w:t>
      </w:r>
      <w:r>
        <w:tab/>
        <w:t xml:space="preserve">Zakon o mjeriteljstvu (NN 74/14),  </w:t>
      </w:r>
    </w:p>
    <w:p w:rsidR="005C2091" w:rsidRDefault="00A86293">
      <w:r>
        <w:t>-</w:t>
      </w:r>
      <w:r>
        <w:tab/>
        <w:t xml:space="preserve">Zakon o nadzoru predmeta od plemenitih kovina ( NN 36/15 ),  </w:t>
      </w:r>
    </w:p>
    <w:p w:rsidR="005C2091" w:rsidRDefault="00A86293">
      <w:r>
        <w:t>-</w:t>
      </w:r>
      <w:r>
        <w:tab/>
        <w:t xml:space="preserve">Zakon o sigurnosti prometa na cestama ( NN 67/08, 48/10, 74/11, 80/13, 92/14, 64/15 ) </w:t>
      </w:r>
    </w:p>
    <w:p w:rsidR="005C2091" w:rsidRDefault="00A86293">
      <w:r>
        <w:t>-</w:t>
      </w:r>
      <w:r>
        <w:tab/>
        <w:t>Zakon o računanju vremena ( NN 27/93, NN 33/96 )</w:t>
      </w:r>
    </w:p>
    <w:p w:rsidR="005C2091" w:rsidRDefault="00A86293">
      <w:pPr>
        <w:pStyle w:val="Heading8"/>
        <w:jc w:val="left"/>
      </w:pPr>
      <w:r>
        <w:t>Opis aktivnosti</w:t>
      </w:r>
    </w:p>
    <w:p w:rsidR="005C2091" w:rsidRDefault="00A86293">
      <w:r>
        <w:t>Zbog smanjenih proračunskih sredstava ovaj projekt se sveo na zamjenu dotrajale uredske opreme.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Poslovni prostor DZM-a u Osijeku ( Ulica jablanova 14) stavljen u funksciju</w:t>
            </w:r>
          </w:p>
        </w:tc>
        <w:tc>
          <w:tcPr>
            <w:tcW w:w="2551" w:type="dxa"/>
          </w:tcPr>
          <w:p w:rsidR="005C2091" w:rsidRDefault="00A86293">
            <w:pPr>
              <w:pStyle w:val="CellColumn"/>
              <w:jc w:val="left"/>
            </w:pPr>
            <w:r>
              <w:rPr>
                <w:rFonts w:cs="Times New Roman"/>
              </w:rPr>
              <w:t>Provedeni i završeni svi poslovi i građevinski radovi vezani uz obnovu objekta u nul energetskom razredu</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70</w:t>
            </w:r>
          </w:p>
        </w:tc>
        <w:tc>
          <w:tcPr>
            <w:tcW w:w="1020" w:type="dxa"/>
          </w:tcPr>
          <w:p w:rsidR="005C2091" w:rsidRDefault="00A86293">
            <w:pPr>
              <w:pStyle w:val="CellColumn"/>
              <w:jc w:val="right"/>
            </w:pPr>
            <w:r>
              <w:rPr>
                <w:rFonts w:cs="Times New Roman"/>
              </w:rPr>
              <w:t>30</w:t>
            </w:r>
          </w:p>
        </w:tc>
      </w:tr>
    </w:tbl>
    <w:p w:rsidR="005C2091" w:rsidRDefault="005C2091">
      <w:pPr>
        <w:jc w:val="left"/>
      </w:pPr>
    </w:p>
    <w:p w:rsidR="001323E6" w:rsidRDefault="001323E6">
      <w:pPr>
        <w:jc w:val="left"/>
      </w:pPr>
    </w:p>
    <w:p w:rsidR="005C2091" w:rsidRDefault="00A86293">
      <w:pPr>
        <w:pStyle w:val="Heading4"/>
      </w:pPr>
      <w:r>
        <w:t>K762003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K762003-OBNOVA VOZNOG PARKA</w:t>
            </w:r>
          </w:p>
        </w:tc>
        <w:tc>
          <w:tcPr>
            <w:tcW w:w="2041" w:type="dxa"/>
          </w:tcPr>
          <w:p w:rsidR="005C2091" w:rsidRDefault="00A86293">
            <w:pPr>
              <w:pStyle w:val="CellColumn"/>
              <w:jc w:val="right"/>
            </w:pPr>
            <w:r>
              <w:rPr>
                <w:rFonts w:cs="Times New Roman"/>
              </w:rPr>
              <w:t>422.561</w:t>
            </w:r>
          </w:p>
        </w:tc>
        <w:tc>
          <w:tcPr>
            <w:tcW w:w="2041" w:type="dxa"/>
          </w:tcPr>
          <w:p w:rsidR="005C2091" w:rsidRDefault="00A86293">
            <w:pPr>
              <w:pStyle w:val="CellColumn"/>
              <w:jc w:val="right"/>
            </w:pPr>
            <w:r>
              <w:rPr>
                <w:rFonts w:cs="Times New Roman"/>
              </w:rPr>
              <w:t>398.951</w:t>
            </w:r>
          </w:p>
        </w:tc>
        <w:tc>
          <w:tcPr>
            <w:tcW w:w="2041" w:type="dxa"/>
          </w:tcPr>
          <w:p w:rsidR="005C2091" w:rsidRDefault="00A86293">
            <w:pPr>
              <w:pStyle w:val="CellColumn"/>
              <w:jc w:val="right"/>
            </w:pPr>
            <w:r>
              <w:rPr>
                <w:rFonts w:cs="Times New Roman"/>
              </w:rPr>
              <w:t>398.951</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94,4</w:t>
            </w:r>
          </w:p>
        </w:tc>
      </w:tr>
    </w:tbl>
    <w:p w:rsidR="005C2091" w:rsidRDefault="005C2091">
      <w:pPr>
        <w:jc w:val="left"/>
      </w:pPr>
    </w:p>
    <w:p w:rsidR="005C2091" w:rsidRDefault="00A86293">
      <w:pPr>
        <w:pStyle w:val="Heading8"/>
        <w:jc w:val="left"/>
      </w:pPr>
      <w:r>
        <w:t>Zakonske i druge pravne osnove</w:t>
      </w:r>
    </w:p>
    <w:p w:rsidR="005C2091" w:rsidRDefault="00A86293">
      <w:r>
        <w:t>-</w:t>
      </w:r>
      <w:r>
        <w:tab/>
        <w:t xml:space="preserve">Zakon o mjeriteljstvu (NN 74/14),  </w:t>
      </w:r>
    </w:p>
    <w:p w:rsidR="005C2091" w:rsidRDefault="00A86293">
      <w:r>
        <w:t>-</w:t>
      </w:r>
      <w:r>
        <w:tab/>
        <w:t xml:space="preserve">Zakon o nadzoru predmeta od plemenitih kovina ( NN 36/15 ),  </w:t>
      </w:r>
    </w:p>
    <w:p w:rsidR="005C2091" w:rsidRDefault="00A86293">
      <w:r>
        <w:t>-</w:t>
      </w:r>
      <w:r>
        <w:tab/>
        <w:t xml:space="preserve">Zakon o sigurnosti prometa na cestama ( NN 67/08, 48/10, 74/11, 80/13, 92/14, 64/15 ) </w:t>
      </w:r>
    </w:p>
    <w:p w:rsidR="005C2091" w:rsidRDefault="00A86293">
      <w:r>
        <w:t>-</w:t>
      </w:r>
      <w:r>
        <w:tab/>
        <w:t>Zakon o računanju vremena ( NN 27/93, NN 33/96 )</w:t>
      </w:r>
    </w:p>
    <w:p w:rsidR="005C2091" w:rsidRDefault="00A86293">
      <w:pPr>
        <w:pStyle w:val="Heading8"/>
        <w:jc w:val="left"/>
      </w:pPr>
      <w:r>
        <w:t>Opis aktivnosti</w:t>
      </w:r>
    </w:p>
    <w:p w:rsidR="005C2091" w:rsidRDefault="00A86293">
      <w:r>
        <w:t>Sva utrošena sredstva odnose se na podmirene obveze temeljem već sklopljenih ugovora za operativni leasing.</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Nabavljena vozila na operativni leasing</w:t>
            </w:r>
          </w:p>
        </w:tc>
        <w:tc>
          <w:tcPr>
            <w:tcW w:w="2551" w:type="dxa"/>
          </w:tcPr>
          <w:p w:rsidR="005C2091" w:rsidRDefault="00A86293">
            <w:pPr>
              <w:pStyle w:val="CellColumn"/>
              <w:jc w:val="left"/>
            </w:pPr>
            <w:r>
              <w:rPr>
                <w:rFonts w:cs="Times New Roman"/>
              </w:rPr>
              <w:t>Obnovljen vozni park</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33</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33</w:t>
            </w:r>
          </w:p>
        </w:tc>
        <w:tc>
          <w:tcPr>
            <w:tcW w:w="1020" w:type="dxa"/>
          </w:tcPr>
          <w:p w:rsidR="005C2091" w:rsidRDefault="00A86293">
            <w:pPr>
              <w:pStyle w:val="CellColumn"/>
              <w:jc w:val="right"/>
            </w:pPr>
            <w:r>
              <w:rPr>
                <w:rFonts w:cs="Times New Roman"/>
              </w:rPr>
              <w:t>33</w:t>
            </w:r>
          </w:p>
        </w:tc>
      </w:tr>
    </w:tbl>
    <w:p w:rsidR="005C2091" w:rsidRDefault="005C2091">
      <w:pPr>
        <w:jc w:val="left"/>
      </w:pPr>
    </w:p>
    <w:p w:rsidR="001323E6" w:rsidRDefault="001323E6">
      <w:pPr>
        <w:jc w:val="left"/>
      </w:pPr>
    </w:p>
    <w:p w:rsidR="001323E6" w:rsidRDefault="001323E6">
      <w:pPr>
        <w:jc w:val="left"/>
      </w:pPr>
    </w:p>
    <w:p w:rsidR="005C2091" w:rsidRDefault="00A86293">
      <w:pPr>
        <w:pStyle w:val="Heading4"/>
      </w:pPr>
      <w:r>
        <w:t>K762004 INFORMATIZACIJA ZAVODA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K762004-INFORMATIZACIJA ZAVODA</w:t>
            </w:r>
          </w:p>
        </w:tc>
        <w:tc>
          <w:tcPr>
            <w:tcW w:w="2041" w:type="dxa"/>
          </w:tcPr>
          <w:p w:rsidR="005C2091" w:rsidRDefault="00A86293">
            <w:pPr>
              <w:pStyle w:val="CellColumn"/>
              <w:jc w:val="right"/>
            </w:pPr>
            <w:r>
              <w:rPr>
                <w:rFonts w:cs="Times New Roman"/>
              </w:rPr>
              <w:t>118.600</w:t>
            </w:r>
          </w:p>
        </w:tc>
        <w:tc>
          <w:tcPr>
            <w:tcW w:w="2041" w:type="dxa"/>
          </w:tcPr>
          <w:p w:rsidR="005C2091" w:rsidRDefault="00A86293">
            <w:pPr>
              <w:pStyle w:val="CellColumn"/>
              <w:jc w:val="right"/>
            </w:pPr>
            <w:r>
              <w:rPr>
                <w:rFonts w:cs="Times New Roman"/>
              </w:rPr>
              <w:t>139.880</w:t>
            </w:r>
          </w:p>
        </w:tc>
        <w:tc>
          <w:tcPr>
            <w:tcW w:w="2041" w:type="dxa"/>
          </w:tcPr>
          <w:p w:rsidR="005C2091" w:rsidRDefault="00A86293">
            <w:pPr>
              <w:pStyle w:val="CellColumn"/>
              <w:jc w:val="right"/>
            </w:pPr>
            <w:r>
              <w:rPr>
                <w:rFonts w:cs="Times New Roman"/>
              </w:rPr>
              <w:t>139.457</w:t>
            </w:r>
          </w:p>
        </w:tc>
        <w:tc>
          <w:tcPr>
            <w:tcW w:w="1224" w:type="dxa"/>
          </w:tcPr>
          <w:p w:rsidR="005C2091" w:rsidRDefault="00A86293">
            <w:pPr>
              <w:pStyle w:val="CellColumn"/>
              <w:jc w:val="right"/>
            </w:pPr>
            <w:r>
              <w:rPr>
                <w:rFonts w:cs="Times New Roman"/>
              </w:rPr>
              <w:t>99,7</w:t>
            </w:r>
          </w:p>
        </w:tc>
        <w:tc>
          <w:tcPr>
            <w:tcW w:w="1224" w:type="dxa"/>
          </w:tcPr>
          <w:p w:rsidR="005C2091" w:rsidRDefault="00A86293">
            <w:pPr>
              <w:pStyle w:val="CellColumn"/>
              <w:jc w:val="right"/>
            </w:pPr>
            <w:r>
              <w:rPr>
                <w:rFonts w:cs="Times New Roman"/>
              </w:rPr>
              <w:t>117,6</w:t>
            </w:r>
          </w:p>
        </w:tc>
      </w:tr>
    </w:tbl>
    <w:p w:rsidR="005C2091" w:rsidRDefault="005C2091">
      <w:pPr>
        <w:jc w:val="left"/>
      </w:pPr>
    </w:p>
    <w:p w:rsidR="005C2091" w:rsidRDefault="00A86293">
      <w:pPr>
        <w:pStyle w:val="Heading8"/>
        <w:jc w:val="left"/>
      </w:pPr>
      <w:r>
        <w:t>Zakonske i druge pravne osnove</w:t>
      </w:r>
    </w:p>
    <w:p w:rsidR="005C2091" w:rsidRDefault="00A86293">
      <w:r>
        <w:t>-</w:t>
      </w:r>
      <w:r>
        <w:tab/>
        <w:t xml:space="preserve">Zakon o mjeriteljstvu (NN 74/14),  </w:t>
      </w:r>
    </w:p>
    <w:p w:rsidR="005C2091" w:rsidRDefault="00A86293">
      <w:r>
        <w:t>-</w:t>
      </w:r>
      <w:r>
        <w:tab/>
        <w:t xml:space="preserve">Zakon o nadzoru predmeta od plemenitih kovina ( NN 36/15 ),  </w:t>
      </w:r>
    </w:p>
    <w:p w:rsidR="005C2091" w:rsidRDefault="00A86293">
      <w:r>
        <w:t>-</w:t>
      </w:r>
      <w:r>
        <w:tab/>
        <w:t xml:space="preserve">Zakon o sigurnosti prometa na cestama ( NN 67/08, 48/10, 74/11, 80/13, 92/14, 64/15 ) </w:t>
      </w:r>
    </w:p>
    <w:p w:rsidR="005C2091" w:rsidRDefault="00A86293">
      <w:r>
        <w:t>-</w:t>
      </w:r>
      <w:r>
        <w:tab/>
        <w:t>Zakon o računanju vremena ( NN 27/93, NN 33/96 )</w:t>
      </w:r>
    </w:p>
    <w:p w:rsidR="005C2091" w:rsidRDefault="00A86293">
      <w:pPr>
        <w:pStyle w:val="Heading8"/>
        <w:jc w:val="left"/>
      </w:pPr>
      <w:r>
        <w:t>Opis aktivnosti</w:t>
      </w:r>
    </w:p>
    <w:p w:rsidR="005C2091" w:rsidRDefault="00A86293">
      <w:r>
        <w:t>Utrošena sredstva iskorištena su za zamjenu dotrajalih računala, printera i servera, te doradu i unaprjeđenje programa za mjeriteljsku bazu podataka.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Uspostava informacijskog sustava za jedinstvenu bazu podataka o svim zakonitim mjerilima u Republici Hrvatskoj</w:t>
            </w:r>
          </w:p>
        </w:tc>
        <w:tc>
          <w:tcPr>
            <w:tcW w:w="2551" w:type="dxa"/>
          </w:tcPr>
          <w:p w:rsidR="005C2091" w:rsidRDefault="00A86293">
            <w:pPr>
              <w:pStyle w:val="CellColumn"/>
              <w:jc w:val="left"/>
            </w:pPr>
            <w:r>
              <w:rPr>
                <w:rFonts w:cs="Times New Roman"/>
              </w:rPr>
              <w:t>Povećanje efikasnosti rada i osiguranje kompetentnosti i djelotvornosti sustava mjeriteljskog nadzora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DZM</w:t>
            </w:r>
          </w:p>
        </w:tc>
        <w:tc>
          <w:tcPr>
            <w:tcW w:w="1020" w:type="dxa"/>
          </w:tcPr>
          <w:p w:rsidR="005C2091" w:rsidRDefault="00A86293">
            <w:pPr>
              <w:pStyle w:val="CellColumn"/>
              <w:jc w:val="right"/>
            </w:pPr>
            <w:r>
              <w:rPr>
                <w:rFonts w:cs="Times New Roman"/>
              </w:rPr>
              <w:t>60</w:t>
            </w:r>
          </w:p>
        </w:tc>
        <w:tc>
          <w:tcPr>
            <w:tcW w:w="1020" w:type="dxa"/>
          </w:tcPr>
          <w:p w:rsidR="005C2091" w:rsidRDefault="00A86293">
            <w:pPr>
              <w:pStyle w:val="CellColumn"/>
              <w:jc w:val="right"/>
            </w:pPr>
            <w:r>
              <w:rPr>
                <w:rFonts w:cs="Times New Roman"/>
              </w:rPr>
              <w:t>60</w:t>
            </w:r>
          </w:p>
        </w:tc>
      </w:tr>
    </w:tbl>
    <w:p w:rsidR="005C2091" w:rsidRDefault="005C2091">
      <w:pPr>
        <w:jc w:val="left"/>
      </w:pPr>
    </w:p>
    <w:p w:rsidR="005C2091" w:rsidRDefault="00A86293">
      <w:pPr>
        <w:pStyle w:val="Heading2"/>
      </w:pPr>
      <w:r>
        <w:t>04980 Hrvatski zavod za norme</w:t>
      </w:r>
    </w:p>
    <w:p w:rsidR="005C2091" w:rsidRDefault="00A86293">
      <w:r>
        <w:t>Hrvatski zavod za norme (u daljnjem tekstu: HZN) je javna ustanova osnovana kao neovisno nacionalno normirno tijelo Republike Hrvatske za ostvarivanje zakonom utvrđenih ciljeva normizacije: povećanje razine sigurnosti proizvoda i procesa, čuvanje zdravlja i života ljudi te zaštita okoliša, promicanje kakvoće proizvoda, procesa i usluga, osiguranje svrsishodne uporabe rada, materijala i energije, poboljšanje proizvodne učinkovitosti, ograničenje raznolikosti, osiguranje spojivosti i zamjenjivosti, otklanjanje tehničkih zapreka u međunarodnoj trgovini te obavljanje poslova i zadataka nacionalne normizacije.</w:t>
      </w:r>
    </w:p>
    <w:tbl>
      <w:tblPr>
        <w:tblStyle w:val="StilTablice"/>
        <w:tblW w:w="10206" w:type="dxa"/>
        <w:jc w:val="center"/>
        <w:tblLook w:val="04A0" w:firstRow="1" w:lastRow="0" w:firstColumn="1" w:lastColumn="0" w:noHBand="0" w:noVBand="1"/>
      </w:tblPr>
      <w:tblGrid>
        <w:gridCol w:w="1871"/>
        <w:gridCol w:w="1971"/>
        <w:gridCol w:w="1971"/>
        <w:gridCol w:w="1971"/>
        <w:gridCol w:w="1208"/>
        <w:gridCol w:w="121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04980-Hrvatski zavod za norme</w:t>
            </w:r>
          </w:p>
        </w:tc>
        <w:tc>
          <w:tcPr>
            <w:tcW w:w="2041" w:type="dxa"/>
            <w:vAlign w:val="top"/>
          </w:tcPr>
          <w:p w:rsidR="005C2091" w:rsidRDefault="00A86293">
            <w:pPr>
              <w:pStyle w:val="CellColumn"/>
              <w:jc w:val="right"/>
            </w:pPr>
            <w:r>
              <w:rPr>
                <w:rFonts w:cs="Times New Roman"/>
              </w:rPr>
              <w:t>9.600.363</w:t>
            </w:r>
          </w:p>
        </w:tc>
        <w:tc>
          <w:tcPr>
            <w:tcW w:w="2041" w:type="dxa"/>
            <w:vAlign w:val="top"/>
          </w:tcPr>
          <w:p w:rsidR="005C2091" w:rsidRDefault="00A86293">
            <w:pPr>
              <w:pStyle w:val="CellColumn"/>
              <w:jc w:val="right"/>
            </w:pPr>
            <w:r>
              <w:rPr>
                <w:rFonts w:cs="Times New Roman"/>
              </w:rPr>
              <w:t>9.292.000</w:t>
            </w:r>
          </w:p>
        </w:tc>
        <w:tc>
          <w:tcPr>
            <w:tcW w:w="2041" w:type="dxa"/>
            <w:vAlign w:val="top"/>
          </w:tcPr>
          <w:p w:rsidR="005C2091" w:rsidRDefault="00A86293">
            <w:pPr>
              <w:pStyle w:val="CellColumn"/>
              <w:jc w:val="right"/>
            </w:pPr>
            <w:r>
              <w:rPr>
                <w:rFonts w:cs="Times New Roman"/>
              </w:rPr>
              <w:t>9.063.386</w:t>
            </w:r>
          </w:p>
        </w:tc>
        <w:tc>
          <w:tcPr>
            <w:tcW w:w="1224" w:type="dxa"/>
            <w:vAlign w:val="top"/>
          </w:tcPr>
          <w:p w:rsidR="005C2091" w:rsidRDefault="00A86293">
            <w:pPr>
              <w:pStyle w:val="CellColumn"/>
              <w:jc w:val="right"/>
            </w:pPr>
            <w:r>
              <w:rPr>
                <w:rFonts w:cs="Times New Roman"/>
              </w:rPr>
              <w:t>97,5</w:t>
            </w:r>
          </w:p>
        </w:tc>
        <w:tc>
          <w:tcPr>
            <w:tcW w:w="1224" w:type="dxa"/>
            <w:vAlign w:val="top"/>
          </w:tcPr>
          <w:p w:rsidR="005C2091" w:rsidRDefault="00A86293">
            <w:pPr>
              <w:pStyle w:val="CellColumn"/>
              <w:jc w:val="right"/>
            </w:pPr>
            <w:r>
              <w:rPr>
                <w:rFonts w:cs="Times New Roman"/>
              </w:rPr>
              <w:t>94,4</w:t>
            </w:r>
          </w:p>
        </w:tc>
      </w:tr>
      <w:tr w:rsidR="005C2091">
        <w:trPr>
          <w:jc w:val="center"/>
        </w:trPr>
        <w:tc>
          <w:tcPr>
            <w:tcW w:w="1632" w:type="dxa"/>
          </w:tcPr>
          <w:p w:rsidR="005C2091" w:rsidRDefault="00A86293">
            <w:pPr>
              <w:jc w:val="left"/>
            </w:pPr>
            <w:r>
              <w:t>3220-RAZVOJ I ODRŽAVANJE NORMIZACIJSKOG SUSTAVA ZA RH</w:t>
            </w:r>
          </w:p>
        </w:tc>
        <w:tc>
          <w:tcPr>
            <w:tcW w:w="2041" w:type="dxa"/>
          </w:tcPr>
          <w:p w:rsidR="005C2091" w:rsidRDefault="00A86293">
            <w:pPr>
              <w:jc w:val="right"/>
            </w:pPr>
            <w:r>
              <w:t>9.600.363</w:t>
            </w:r>
          </w:p>
        </w:tc>
        <w:tc>
          <w:tcPr>
            <w:tcW w:w="2041" w:type="dxa"/>
          </w:tcPr>
          <w:p w:rsidR="005C2091" w:rsidRDefault="00A86293">
            <w:pPr>
              <w:jc w:val="right"/>
            </w:pPr>
            <w:r>
              <w:t>9.292.000</w:t>
            </w:r>
          </w:p>
        </w:tc>
        <w:tc>
          <w:tcPr>
            <w:tcW w:w="2041" w:type="dxa"/>
          </w:tcPr>
          <w:p w:rsidR="005C2091" w:rsidRDefault="00A86293">
            <w:pPr>
              <w:jc w:val="right"/>
            </w:pPr>
            <w:r>
              <w:t>9.063.386</w:t>
            </w:r>
          </w:p>
        </w:tc>
        <w:tc>
          <w:tcPr>
            <w:tcW w:w="1224" w:type="dxa"/>
          </w:tcPr>
          <w:p w:rsidR="005C2091" w:rsidRDefault="00A86293">
            <w:pPr>
              <w:jc w:val="right"/>
            </w:pPr>
            <w:r>
              <w:t>97,5</w:t>
            </w:r>
          </w:p>
        </w:tc>
        <w:tc>
          <w:tcPr>
            <w:tcW w:w="1224" w:type="dxa"/>
          </w:tcPr>
          <w:p w:rsidR="005C2091" w:rsidRDefault="00A86293">
            <w:pPr>
              <w:jc w:val="right"/>
            </w:pPr>
            <w:r>
              <w:t>94,4</w:t>
            </w:r>
          </w:p>
        </w:tc>
      </w:tr>
    </w:tbl>
    <w:p w:rsidR="005C2091" w:rsidRDefault="005C2091">
      <w:pPr>
        <w:jc w:val="left"/>
      </w:pPr>
    </w:p>
    <w:p w:rsidR="005C2091" w:rsidRDefault="00A86293">
      <w:pPr>
        <w:pStyle w:val="Heading3"/>
      </w:pPr>
      <w:r>
        <w:rPr>
          <w:rFonts w:cs="Times New Roman"/>
        </w:rPr>
        <w:t>3220 RAZVOJ I ODRŽAVANJE NORMIZACIJSKOG SUSTAVA ZA RH</w:t>
      </w:r>
    </w:p>
    <w:tbl>
      <w:tblPr>
        <w:tblStyle w:val="StilTablice"/>
        <w:tblW w:w="10206" w:type="dxa"/>
        <w:jc w:val="center"/>
        <w:tblLook w:val="04A0" w:firstRow="1" w:lastRow="0" w:firstColumn="1" w:lastColumn="0" w:noHBand="0" w:noVBand="1"/>
      </w:tblPr>
      <w:tblGrid>
        <w:gridCol w:w="1871"/>
        <w:gridCol w:w="1971"/>
        <w:gridCol w:w="1971"/>
        <w:gridCol w:w="1971"/>
        <w:gridCol w:w="1208"/>
        <w:gridCol w:w="121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3220-RAZVOJ I ODRŽAVANJE NORMIZACIJSKOG SUSTAVA ZA RH</w:t>
            </w:r>
          </w:p>
        </w:tc>
        <w:tc>
          <w:tcPr>
            <w:tcW w:w="2041" w:type="dxa"/>
          </w:tcPr>
          <w:p w:rsidR="005C2091" w:rsidRDefault="00A86293">
            <w:pPr>
              <w:pStyle w:val="CellColumn"/>
              <w:jc w:val="right"/>
            </w:pPr>
            <w:r>
              <w:rPr>
                <w:rFonts w:cs="Times New Roman"/>
              </w:rPr>
              <w:t>9.600.363</w:t>
            </w:r>
          </w:p>
        </w:tc>
        <w:tc>
          <w:tcPr>
            <w:tcW w:w="2041" w:type="dxa"/>
          </w:tcPr>
          <w:p w:rsidR="005C2091" w:rsidRDefault="00A86293">
            <w:pPr>
              <w:pStyle w:val="CellColumn"/>
              <w:jc w:val="right"/>
            </w:pPr>
            <w:r>
              <w:rPr>
                <w:rFonts w:cs="Times New Roman"/>
              </w:rPr>
              <w:t>9.292.000</w:t>
            </w:r>
          </w:p>
        </w:tc>
        <w:tc>
          <w:tcPr>
            <w:tcW w:w="2041" w:type="dxa"/>
          </w:tcPr>
          <w:p w:rsidR="005C2091" w:rsidRDefault="00A86293">
            <w:pPr>
              <w:pStyle w:val="CellColumn"/>
              <w:jc w:val="right"/>
            </w:pPr>
            <w:r>
              <w:rPr>
                <w:rFonts w:cs="Times New Roman"/>
              </w:rPr>
              <w:t>9.063.386</w:t>
            </w:r>
          </w:p>
        </w:tc>
        <w:tc>
          <w:tcPr>
            <w:tcW w:w="1224" w:type="dxa"/>
          </w:tcPr>
          <w:p w:rsidR="005C2091" w:rsidRDefault="00A86293">
            <w:pPr>
              <w:pStyle w:val="CellColumn"/>
              <w:jc w:val="right"/>
            </w:pPr>
            <w:r>
              <w:rPr>
                <w:rFonts w:cs="Times New Roman"/>
              </w:rPr>
              <w:t>97,5</w:t>
            </w:r>
          </w:p>
        </w:tc>
        <w:tc>
          <w:tcPr>
            <w:tcW w:w="1224" w:type="dxa"/>
          </w:tcPr>
          <w:p w:rsidR="005C2091" w:rsidRDefault="00A86293">
            <w:pPr>
              <w:pStyle w:val="CellColumn"/>
              <w:jc w:val="right"/>
            </w:pPr>
            <w:r>
              <w:rPr>
                <w:rFonts w:cs="Times New Roman"/>
              </w:rPr>
              <w:t>94,4</w:t>
            </w:r>
          </w:p>
        </w:tc>
      </w:tr>
    </w:tbl>
    <w:p w:rsidR="005C2091" w:rsidRDefault="005C2091">
      <w:pPr>
        <w:jc w:val="left"/>
      </w:pPr>
    </w:p>
    <w:p w:rsidR="005C2091" w:rsidRDefault="00A86293">
      <w:r>
        <w:t>Program Razvoj i održavanje normizacijskog sustava za RH (3220) tijekom 2016. godine realizirao se u skladu s pravilima europskih i međunarodnih organizacija za normizaciju te Kodeksom dobre prakse za normizaciju Svjetske trgovinske organizacije.HZN je punopravni član Europskog odbora za normizaciju (European Committee for Standardization, CEN), Europskog odbor za elektrotehničku normizaciju (European Committee for Electrotechnical Standardization, CENELEC), Europskog instituta za telekomunikacijske norme (European Telecommunications Standards Institute, ETSI), međunarodne organizacije za normizaciju (ISO) i Međunarodnog elektrotehničkog povjerenstva (IEC).</w:t>
      </w:r>
    </w:p>
    <w:p w:rsidR="005C2091" w:rsidRDefault="00A86293">
      <w:pPr>
        <w:pStyle w:val="Heading8"/>
        <w:jc w:val="left"/>
      </w:pPr>
      <w:r>
        <w:t>Cilj 1. Razvoj i održavanje normizacijskog sustava u RH</w:t>
      </w:r>
    </w:p>
    <w:p w:rsidR="005C2091" w:rsidRDefault="00A86293">
      <w:pPr>
        <w:pStyle w:val="Heading8"/>
        <w:jc w:val="left"/>
      </w:pPr>
      <w:r>
        <w:t>Opis provedbe cilja programa</w:t>
      </w:r>
    </w:p>
    <w:p w:rsidR="005C2091" w:rsidRDefault="00A86293">
      <w:r>
        <w:t>Ovim ciljem želi se postići kontinuirani razvoj i održavanje normizacijskog sustava koji će u cijelosti zadovoljiti potrebe gospodarstva, državne uprave i ostalih interesnih skupina u Republici Hrvatskoj. HZN neprekidno prati razvoj norma na europskoj i međunarodnoj razini te prihvaća europske norme u nacionalni sustav u skladu s dinamikom njihova razvoja na europskoj razini, a u rokovima koje utvrđuju europske normizacijske organizacije CEN i CENELEC. Istim se omogućava aktivno sudjelovanje u europskoj i međunarodnoj normizaciji te promicanje interesa nacionalnih sudionika.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prihvaćenih norma koje služe za potrebe korisnicima u Republici Hrvatskoj</w:t>
            </w:r>
          </w:p>
        </w:tc>
        <w:tc>
          <w:tcPr>
            <w:tcW w:w="2551" w:type="dxa"/>
          </w:tcPr>
          <w:p w:rsidR="005C2091" w:rsidRDefault="00A86293">
            <w:pPr>
              <w:pStyle w:val="CellColumn"/>
              <w:jc w:val="left"/>
            </w:pPr>
            <w:r>
              <w:rPr>
                <w:rFonts w:cs="Times New Roman"/>
              </w:rPr>
              <w:t>Osiguranje temelja za provedbu tehničkog zakonodavstva, povećanje zaštite zdravlja, okoliša, sigurnosti, kvalitete proizvoda i usluga.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31162</w:t>
            </w:r>
          </w:p>
        </w:tc>
        <w:tc>
          <w:tcPr>
            <w:tcW w:w="1020" w:type="dxa"/>
          </w:tcPr>
          <w:p w:rsidR="005C2091" w:rsidRDefault="00A86293">
            <w:pPr>
              <w:pStyle w:val="CellColumn"/>
              <w:jc w:val="right"/>
            </w:pPr>
            <w:r>
              <w:rPr>
                <w:rFonts w:cs="Times New Roman"/>
              </w:rPr>
              <w:t>HZN</w:t>
            </w:r>
          </w:p>
        </w:tc>
        <w:tc>
          <w:tcPr>
            <w:tcW w:w="1020" w:type="dxa"/>
          </w:tcPr>
          <w:p w:rsidR="005C2091" w:rsidRDefault="00A86293">
            <w:pPr>
              <w:pStyle w:val="CellColumn"/>
              <w:jc w:val="right"/>
            </w:pPr>
            <w:r>
              <w:rPr>
                <w:rFonts w:cs="Times New Roman"/>
              </w:rPr>
              <w:t>32000</w:t>
            </w:r>
          </w:p>
        </w:tc>
        <w:tc>
          <w:tcPr>
            <w:tcW w:w="1020" w:type="dxa"/>
          </w:tcPr>
          <w:p w:rsidR="005C2091" w:rsidRDefault="00A86293">
            <w:pPr>
              <w:pStyle w:val="CellColumn"/>
              <w:jc w:val="right"/>
            </w:pPr>
            <w:r>
              <w:rPr>
                <w:rFonts w:cs="Times New Roman"/>
              </w:rPr>
              <w:t>31927</w:t>
            </w:r>
          </w:p>
        </w:tc>
      </w:tr>
    </w:tbl>
    <w:p w:rsidR="005C2091" w:rsidRDefault="005C2091">
      <w:pPr>
        <w:jc w:val="left"/>
      </w:pPr>
    </w:p>
    <w:p w:rsidR="005C2091" w:rsidRDefault="00A86293">
      <w:pPr>
        <w:pStyle w:val="Heading4"/>
      </w:pPr>
      <w:r>
        <w:t>A651002 ADMINISTRACIJA I UPRAVLJANJE HRVATSKOG ZAVODA ZA NORME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A651002-ADMINISTRACIJA I UPRAVLJANJE HRVATSKOG ZAVODA ZA NORME</w:t>
            </w:r>
          </w:p>
        </w:tc>
        <w:tc>
          <w:tcPr>
            <w:tcW w:w="2041" w:type="dxa"/>
          </w:tcPr>
          <w:p w:rsidR="005C2091" w:rsidRDefault="00A86293">
            <w:pPr>
              <w:pStyle w:val="CellColumn"/>
              <w:jc w:val="right"/>
            </w:pPr>
            <w:r>
              <w:rPr>
                <w:rFonts w:cs="Times New Roman"/>
              </w:rPr>
              <w:t>9.111.283</w:t>
            </w:r>
          </w:p>
        </w:tc>
        <w:tc>
          <w:tcPr>
            <w:tcW w:w="2041" w:type="dxa"/>
          </w:tcPr>
          <w:p w:rsidR="005C2091" w:rsidRDefault="00A86293">
            <w:pPr>
              <w:pStyle w:val="CellColumn"/>
              <w:jc w:val="right"/>
            </w:pPr>
            <w:r>
              <w:rPr>
                <w:rFonts w:cs="Times New Roman"/>
              </w:rPr>
              <w:t>8.662.000</w:t>
            </w:r>
          </w:p>
        </w:tc>
        <w:tc>
          <w:tcPr>
            <w:tcW w:w="2041" w:type="dxa"/>
          </w:tcPr>
          <w:p w:rsidR="005C2091" w:rsidRDefault="00A86293">
            <w:pPr>
              <w:pStyle w:val="CellColumn"/>
              <w:jc w:val="right"/>
            </w:pPr>
            <w:r>
              <w:rPr>
                <w:rFonts w:cs="Times New Roman"/>
              </w:rPr>
              <w:t>8.639.243</w:t>
            </w:r>
          </w:p>
        </w:tc>
        <w:tc>
          <w:tcPr>
            <w:tcW w:w="1224" w:type="dxa"/>
          </w:tcPr>
          <w:p w:rsidR="005C2091" w:rsidRDefault="00A86293">
            <w:pPr>
              <w:pStyle w:val="CellColumn"/>
              <w:jc w:val="right"/>
            </w:pPr>
            <w:r>
              <w:rPr>
                <w:rFonts w:cs="Times New Roman"/>
              </w:rPr>
              <w:t>99,7</w:t>
            </w:r>
          </w:p>
        </w:tc>
        <w:tc>
          <w:tcPr>
            <w:tcW w:w="1224" w:type="dxa"/>
          </w:tcPr>
          <w:p w:rsidR="005C2091" w:rsidRDefault="00A86293">
            <w:pPr>
              <w:pStyle w:val="CellColumn"/>
              <w:jc w:val="right"/>
            </w:pPr>
            <w:r>
              <w:rPr>
                <w:rFonts w:cs="Times New Roman"/>
              </w:rPr>
              <w:t>94,8</w:t>
            </w:r>
          </w:p>
        </w:tc>
      </w:tr>
    </w:tbl>
    <w:p w:rsidR="005C2091" w:rsidRDefault="005C2091">
      <w:pPr>
        <w:jc w:val="left"/>
      </w:pPr>
    </w:p>
    <w:p w:rsidR="005C2091" w:rsidRDefault="00A86293">
      <w:pPr>
        <w:pStyle w:val="Heading8"/>
        <w:jc w:val="left"/>
      </w:pPr>
      <w:r>
        <w:t>Zakonske i druge pravne osnove</w:t>
      </w:r>
    </w:p>
    <w:p w:rsidR="005C2091" w:rsidRDefault="00A86293">
      <w:r>
        <w:t>-Uredba (EU) 1025/2012 Europskog parlamenta i Vijeća o europskoj normizaciji, Zakon o normizaciji (Narodne novine, broj 80/2013), Uredba o osnivanju Hrvatskog zavoda za norme (Narodne novine, broj 154/2004, 44/2005, 30/2010, 34/2012 i 79/2012).</w:t>
      </w:r>
    </w:p>
    <w:p w:rsidR="005C2091" w:rsidRDefault="00A86293">
      <w:pPr>
        <w:pStyle w:val="Heading8"/>
        <w:jc w:val="left"/>
      </w:pPr>
      <w:r>
        <w:t>Opis aktivnosti</w:t>
      </w:r>
    </w:p>
    <w:p w:rsidR="005C2091" w:rsidRDefault="00A86293">
      <w:r>
        <w:t>Ova aktivnost je osnovna aktivnost te ona čini 93% ukupno odobrenih planiranih sredstava. Na aktivnosti su osigurana sredstva za pokriće: troškova za zaposlene koji čine 74% od ukupno izvršenih sredstava aktivnosti (prema Zakonu o plaćama u javnim službama i propisanoj proračunskoj osnovici), materijalni rashodi čine 25% dok neznatan dio čine financijski rashodi i rashodi za nabavu nefinancijske imovine. Značajnije izvršeni materijalni rashodi odnose se na rashode za međunarodne članarine, naime međunarodnim i europskim normizacijskim organizacijama članarine se plaćaju iz Državnog proračuna Republike Hrvatske sukladno članku 15. Zakona o normizaciji, stavak 3. (Narodne novine 80/2013) te ovi rashodi čine oko 38% materijalnih rashoda a njihov udio u ukupno izvršenom proračunu čini oko 10% utrošenih sredstava. Osim plaćanja međunarodnih članarina HZN ima izdatke i kod narudžba međunarodnih norma (ISO, IEC), njemačkih norma (DIN), britanskih (BS) te granskih norma (ASTM) te norma drugih normirnih tijela koje HZN pribavlja radi daljnje prodaje korisnicima u Republici Hrvatskoj. Prihodi koje HZN ostvaruje prodajom norma, naplatom članarina i drugim aktivnostima uplaćuju se u Državnu riznicu pod šifrom 5681, zaključno s 31. prosinca 2016. godine izdano je izlaznih računa u iznosu od 3.230.294,00 kuna (naplaćenost je 100 %).</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Prihvaćene usklađene europske norme</w:t>
            </w:r>
          </w:p>
        </w:tc>
        <w:tc>
          <w:tcPr>
            <w:tcW w:w="2551" w:type="dxa"/>
          </w:tcPr>
          <w:p w:rsidR="005C2091" w:rsidRDefault="00A86293">
            <w:pPr>
              <w:pStyle w:val="CellColumn"/>
              <w:jc w:val="left"/>
            </w:pPr>
            <w:r>
              <w:rPr>
                <w:rFonts w:cs="Times New Roman"/>
              </w:rPr>
              <w:t>Primjenom usklađenih europskih norma omogućit će se provedba tehničkog zakonodavstva u RH i nadzor nad tržištem</w:t>
            </w:r>
          </w:p>
        </w:tc>
        <w:tc>
          <w:tcPr>
            <w:tcW w:w="1020" w:type="dxa"/>
          </w:tcPr>
          <w:p w:rsidR="005C2091" w:rsidRDefault="00A86293">
            <w:pPr>
              <w:pStyle w:val="CellColumn"/>
              <w:jc w:val="right"/>
            </w:pPr>
            <w:r>
              <w:rPr>
                <w:rFonts w:cs="Times New Roman"/>
              </w:rPr>
              <w:t>% broj norma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HZN</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99,86%</w:t>
            </w:r>
          </w:p>
        </w:tc>
      </w:tr>
      <w:tr w:rsidR="005C2091">
        <w:trPr>
          <w:jc w:val="center"/>
        </w:trPr>
        <w:tc>
          <w:tcPr>
            <w:tcW w:w="2551" w:type="dxa"/>
          </w:tcPr>
          <w:p w:rsidR="005C2091" w:rsidRDefault="00A86293">
            <w:pPr>
              <w:pStyle w:val="CellColumn"/>
              <w:jc w:val="left"/>
            </w:pPr>
            <w:r>
              <w:rPr>
                <w:rFonts w:cs="Times New Roman"/>
              </w:rPr>
              <w:t>Prihvaćene europske i međunarodne norme</w:t>
            </w:r>
          </w:p>
        </w:tc>
        <w:tc>
          <w:tcPr>
            <w:tcW w:w="2551" w:type="dxa"/>
          </w:tcPr>
          <w:p w:rsidR="005C2091" w:rsidRDefault="00A86293">
            <w:pPr>
              <w:pStyle w:val="CellColumn"/>
              <w:jc w:val="left"/>
            </w:pPr>
            <w:r>
              <w:rPr>
                <w:rFonts w:cs="Times New Roman"/>
              </w:rPr>
              <w:t>Primjenom usklađenih europskih i međunarodnih norma definiraju se sigurnosni zahtjevi koje moraju zadovoljiti proizvod, omogućuje se provedba tehničkog zakonodastva i nadzor nad tržištem, te podiže kvaliteta proizvoda i osigurava njihova funkcionalnost i spojivost</w:t>
            </w:r>
          </w:p>
        </w:tc>
        <w:tc>
          <w:tcPr>
            <w:tcW w:w="1020" w:type="dxa"/>
          </w:tcPr>
          <w:p w:rsidR="005C2091" w:rsidRDefault="00A86293">
            <w:pPr>
              <w:pStyle w:val="CellColumn"/>
              <w:jc w:val="right"/>
            </w:pPr>
            <w:r>
              <w:rPr>
                <w:rFonts w:cs="Times New Roman"/>
              </w:rPr>
              <w:t>% broj norma</w:t>
            </w:r>
          </w:p>
        </w:tc>
        <w:tc>
          <w:tcPr>
            <w:tcW w:w="1020" w:type="dxa"/>
          </w:tcPr>
          <w:p w:rsidR="005C2091" w:rsidRDefault="00A86293">
            <w:pPr>
              <w:pStyle w:val="CellColumn"/>
              <w:jc w:val="right"/>
            </w:pPr>
            <w:r>
              <w:rPr>
                <w:rFonts w:cs="Times New Roman"/>
              </w:rPr>
              <w:t>98% EN (40% ISO, IEC</w:t>
            </w:r>
          </w:p>
        </w:tc>
        <w:tc>
          <w:tcPr>
            <w:tcW w:w="1020" w:type="dxa"/>
          </w:tcPr>
          <w:p w:rsidR="005C2091" w:rsidRDefault="00A86293">
            <w:pPr>
              <w:pStyle w:val="CellColumn"/>
              <w:jc w:val="right"/>
            </w:pPr>
            <w:r>
              <w:rPr>
                <w:rFonts w:cs="Times New Roman"/>
              </w:rPr>
              <w:t>HZN</w:t>
            </w:r>
          </w:p>
        </w:tc>
        <w:tc>
          <w:tcPr>
            <w:tcW w:w="1020" w:type="dxa"/>
          </w:tcPr>
          <w:p w:rsidR="005C2091" w:rsidRDefault="00A86293">
            <w:pPr>
              <w:pStyle w:val="CellColumn"/>
              <w:jc w:val="right"/>
            </w:pPr>
            <w:r>
              <w:rPr>
                <w:rFonts w:cs="Times New Roman"/>
              </w:rPr>
              <w:t>98% EN (40% ISO, IEC</w:t>
            </w:r>
          </w:p>
        </w:tc>
        <w:tc>
          <w:tcPr>
            <w:tcW w:w="1020" w:type="dxa"/>
          </w:tcPr>
          <w:p w:rsidR="005C2091" w:rsidRDefault="00A86293">
            <w:pPr>
              <w:pStyle w:val="CellColumn"/>
              <w:jc w:val="right"/>
            </w:pPr>
            <w:r>
              <w:rPr>
                <w:rFonts w:cs="Times New Roman"/>
              </w:rPr>
              <w:t>99,95% EN (48,61% ISO, IEC</w:t>
            </w:r>
          </w:p>
        </w:tc>
      </w:tr>
      <w:tr w:rsidR="005C2091">
        <w:trPr>
          <w:jc w:val="center"/>
        </w:trPr>
        <w:tc>
          <w:tcPr>
            <w:tcW w:w="2551" w:type="dxa"/>
          </w:tcPr>
          <w:p w:rsidR="005C2091" w:rsidRDefault="00A86293">
            <w:pPr>
              <w:pStyle w:val="CellColumn"/>
              <w:jc w:val="left"/>
            </w:pPr>
            <w:r>
              <w:rPr>
                <w:rFonts w:cs="Times New Roman"/>
              </w:rPr>
              <w:t>Zastupljenost interesnih skupina u tehničkim odborima HZN-a</w:t>
            </w:r>
          </w:p>
        </w:tc>
        <w:tc>
          <w:tcPr>
            <w:tcW w:w="2551" w:type="dxa"/>
          </w:tcPr>
          <w:p w:rsidR="005C2091" w:rsidRDefault="00A86293">
            <w:pPr>
              <w:pStyle w:val="CellColumn"/>
              <w:jc w:val="left"/>
            </w:pPr>
            <w:r>
              <w:rPr>
                <w:rFonts w:cs="Times New Roman"/>
              </w:rPr>
              <w:t>Radom u tehničkim odborima HZN-a omogućuje se stručnjacima stjecanje specifičnih znanja korisnih hrvatskom gospodarstvu</w:t>
            </w:r>
          </w:p>
        </w:tc>
        <w:tc>
          <w:tcPr>
            <w:tcW w:w="1020" w:type="dxa"/>
          </w:tcPr>
          <w:p w:rsidR="005C2091" w:rsidRDefault="00A86293">
            <w:pPr>
              <w:pStyle w:val="CellColumn"/>
              <w:jc w:val="right"/>
            </w:pPr>
            <w:r>
              <w:rPr>
                <w:rFonts w:cs="Times New Roman"/>
              </w:rPr>
              <w:t>Broj tehničkih odbora HZN-a</w:t>
            </w:r>
          </w:p>
        </w:tc>
        <w:tc>
          <w:tcPr>
            <w:tcW w:w="1020" w:type="dxa"/>
          </w:tcPr>
          <w:p w:rsidR="005C2091" w:rsidRDefault="00A86293">
            <w:pPr>
              <w:pStyle w:val="CellColumn"/>
              <w:jc w:val="right"/>
            </w:pPr>
            <w:r>
              <w:rPr>
                <w:rFonts w:cs="Times New Roman"/>
              </w:rPr>
              <w:t>175</w:t>
            </w:r>
          </w:p>
        </w:tc>
        <w:tc>
          <w:tcPr>
            <w:tcW w:w="1020" w:type="dxa"/>
          </w:tcPr>
          <w:p w:rsidR="005C2091" w:rsidRDefault="00A86293">
            <w:pPr>
              <w:pStyle w:val="CellColumn"/>
              <w:jc w:val="right"/>
            </w:pPr>
            <w:r>
              <w:rPr>
                <w:rFonts w:cs="Times New Roman"/>
              </w:rPr>
              <w:t>HZN</w:t>
            </w:r>
          </w:p>
        </w:tc>
        <w:tc>
          <w:tcPr>
            <w:tcW w:w="1020" w:type="dxa"/>
          </w:tcPr>
          <w:p w:rsidR="005C2091" w:rsidRDefault="00A86293">
            <w:pPr>
              <w:pStyle w:val="CellColumn"/>
              <w:jc w:val="right"/>
            </w:pPr>
            <w:r>
              <w:rPr>
                <w:rFonts w:cs="Times New Roman"/>
              </w:rPr>
              <w:t>165</w:t>
            </w:r>
          </w:p>
        </w:tc>
        <w:tc>
          <w:tcPr>
            <w:tcW w:w="1020" w:type="dxa"/>
          </w:tcPr>
          <w:p w:rsidR="005C2091" w:rsidRDefault="00A86293">
            <w:pPr>
              <w:pStyle w:val="CellColumn"/>
              <w:jc w:val="right"/>
            </w:pPr>
            <w:r>
              <w:rPr>
                <w:rFonts w:cs="Times New Roman"/>
              </w:rPr>
              <w:t>173</w:t>
            </w:r>
          </w:p>
        </w:tc>
      </w:tr>
      <w:tr w:rsidR="005C2091">
        <w:trPr>
          <w:jc w:val="center"/>
        </w:trPr>
        <w:tc>
          <w:tcPr>
            <w:tcW w:w="2551" w:type="dxa"/>
          </w:tcPr>
          <w:p w:rsidR="005C2091" w:rsidRDefault="00A86293">
            <w:pPr>
              <w:pStyle w:val="CellColumn"/>
              <w:jc w:val="left"/>
            </w:pPr>
            <w:r>
              <w:rPr>
                <w:rFonts w:cs="Times New Roman"/>
              </w:rPr>
              <w:lastRenderedPageBreak/>
              <w:t>Sudjelovanje stručnjaka iz Republike Hrvatske u radu europskih i međunarodnih tehničkih odbora</w:t>
            </w:r>
          </w:p>
        </w:tc>
        <w:tc>
          <w:tcPr>
            <w:tcW w:w="2551" w:type="dxa"/>
          </w:tcPr>
          <w:p w:rsidR="005C2091" w:rsidRDefault="00A86293">
            <w:pPr>
              <w:pStyle w:val="CellColumn"/>
              <w:jc w:val="left"/>
            </w:pPr>
            <w:r>
              <w:rPr>
                <w:rFonts w:cs="Times New Roman"/>
              </w:rPr>
              <w:t>Svojim sudjelovanjem u izradi norma na europskoj i međunrodnoj razini interesne skupine mogu utjecati na sadržaj normativnih dokumenata i na taj način štiti svoje tržišne interese</w:t>
            </w:r>
          </w:p>
        </w:tc>
        <w:tc>
          <w:tcPr>
            <w:tcW w:w="1020" w:type="dxa"/>
          </w:tcPr>
          <w:p w:rsidR="005C2091" w:rsidRDefault="00A86293">
            <w:pPr>
              <w:pStyle w:val="CellColumn"/>
              <w:jc w:val="right"/>
            </w:pPr>
            <w:r>
              <w:rPr>
                <w:rFonts w:cs="Times New Roman"/>
              </w:rPr>
              <w:t>Broj radnih dokumenta</w:t>
            </w:r>
          </w:p>
        </w:tc>
        <w:tc>
          <w:tcPr>
            <w:tcW w:w="1020" w:type="dxa"/>
          </w:tcPr>
          <w:p w:rsidR="005C2091" w:rsidRDefault="00A86293">
            <w:pPr>
              <w:pStyle w:val="CellColumn"/>
              <w:jc w:val="right"/>
            </w:pPr>
            <w:r>
              <w:rPr>
                <w:rFonts w:cs="Times New Roman"/>
              </w:rPr>
              <w:t>18000</w:t>
            </w:r>
          </w:p>
        </w:tc>
        <w:tc>
          <w:tcPr>
            <w:tcW w:w="1020" w:type="dxa"/>
          </w:tcPr>
          <w:p w:rsidR="005C2091" w:rsidRDefault="00A86293">
            <w:pPr>
              <w:pStyle w:val="CellColumn"/>
              <w:jc w:val="right"/>
            </w:pPr>
            <w:r>
              <w:rPr>
                <w:rFonts w:cs="Times New Roman"/>
              </w:rPr>
              <w:t>HZN</w:t>
            </w:r>
          </w:p>
        </w:tc>
        <w:tc>
          <w:tcPr>
            <w:tcW w:w="1020" w:type="dxa"/>
          </w:tcPr>
          <w:p w:rsidR="005C2091" w:rsidRDefault="00A86293">
            <w:pPr>
              <w:pStyle w:val="CellColumn"/>
              <w:jc w:val="right"/>
            </w:pPr>
            <w:r>
              <w:rPr>
                <w:rFonts w:cs="Times New Roman"/>
              </w:rPr>
              <w:t>19000</w:t>
            </w:r>
          </w:p>
        </w:tc>
        <w:tc>
          <w:tcPr>
            <w:tcW w:w="1020" w:type="dxa"/>
          </w:tcPr>
          <w:p w:rsidR="005C2091" w:rsidRDefault="00A86293">
            <w:pPr>
              <w:pStyle w:val="CellColumn"/>
              <w:jc w:val="right"/>
            </w:pPr>
            <w:r>
              <w:rPr>
                <w:rFonts w:cs="Times New Roman"/>
              </w:rPr>
              <w:t>18845</w:t>
            </w:r>
          </w:p>
        </w:tc>
      </w:tr>
    </w:tbl>
    <w:p w:rsidR="005C2091" w:rsidRDefault="005C2091">
      <w:pPr>
        <w:jc w:val="left"/>
      </w:pPr>
    </w:p>
    <w:p w:rsidR="005C2091" w:rsidRDefault="00A86293">
      <w:pPr>
        <w:pStyle w:val="Heading4"/>
      </w:pPr>
      <w:r>
        <w:t>A651012 PROJEKT CIP E-COMMENTS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A651012-PROJEKT CIP E-COMMENTS</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200.000</w:t>
            </w:r>
          </w:p>
        </w:tc>
        <w:tc>
          <w:tcPr>
            <w:tcW w:w="2041" w:type="dxa"/>
          </w:tcPr>
          <w:p w:rsidR="005C2091" w:rsidRDefault="00A86293">
            <w:pPr>
              <w:pStyle w:val="CellColumn"/>
              <w:jc w:val="right"/>
            </w:pPr>
            <w:r>
              <w:rPr>
                <w:rFonts w:cs="Times New Roman"/>
              </w:rPr>
              <w:t>16.090</w:t>
            </w:r>
          </w:p>
        </w:tc>
        <w:tc>
          <w:tcPr>
            <w:tcW w:w="1224" w:type="dxa"/>
          </w:tcPr>
          <w:p w:rsidR="005C2091" w:rsidRDefault="00A86293">
            <w:pPr>
              <w:pStyle w:val="CellColumn"/>
              <w:jc w:val="right"/>
            </w:pPr>
            <w:r>
              <w:rPr>
                <w:rFonts w:cs="Times New Roman"/>
              </w:rPr>
              <w:t>8,0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Uredba (EU) 1025/2012 o europskoj normizaciji, čl 6., Pristup malih i srednjih poduzeća nacrtima norma.</w:t>
      </w:r>
    </w:p>
    <w:p w:rsidR="005C2091" w:rsidRDefault="00A86293">
      <w:pPr>
        <w:pStyle w:val="Heading8"/>
        <w:jc w:val="left"/>
      </w:pPr>
      <w:r>
        <w:t>Opis aktivnosti</w:t>
      </w:r>
    </w:p>
    <w:p w:rsidR="005C2091" w:rsidRDefault="00A86293">
      <w:r>
        <w:t>Kroz ovu aktivnost realizira se Projekt CIP e-Comments koji je odobrila Europska komisija u studenome 2011. godine za projekte vezane uz podršku malim i srednjim poduzećima u okviru Okvirnog programa za konkurentnost i inovacije. Prema ugovoru Specific Grant Agreement for an Action SA/CEN/ENTR/000/2012-07, obračunska razdoblja su od 1. listopada do 30. rujna, a EK (CCMC) uplaćuje sredstva najranije u veljači sljedeće godine. Tijekom 2016. godine aktivnost je izvršena u skladu s uplatom za Projekt CIP e-Comments. Aktivnosti vezane uz projekt CIP e-Comments uredno su izvršene u dijelu učitavanja nacrta norma koji su dostupni javnosti te prezentiranja aplikacije HZNacrti malim i srednjim poduzećima s ciljem poticanja korištenja aplikacije od strane istih. Prema Uredbi (EU) 1025/2012 o europskoj normizaciji, čl 6., Pristup malih i srednjih poduzeća normama, HZN mora poticati i olakšavati pristup malih i srednjih poduzeća normama i procesima razvoja norma kako bi postigli višu razinu sudjelovanja u normizacijskom sustavu na različite način o čemu je dužan slati godišnja izvješća europskim normizacijskim organizacijama CEN-u i CENELEC-u. Jedna od aktivnosti koje su navedene u Uredbi (EU) 1025/2012 je osiguravanje besplatnog pristupa nacrtima norma što je HZN osigurao putem svoje internetske stranice i aplikaciju za komentiranje nacrta norma – HZNnacrti.</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nacrta norma</w:t>
            </w:r>
          </w:p>
        </w:tc>
        <w:tc>
          <w:tcPr>
            <w:tcW w:w="2551" w:type="dxa"/>
          </w:tcPr>
          <w:p w:rsidR="005C2091" w:rsidRDefault="00A86293">
            <w:pPr>
              <w:pStyle w:val="CellColumn"/>
              <w:jc w:val="left"/>
            </w:pPr>
            <w:r>
              <w:rPr>
                <w:rFonts w:cs="Times New Roman"/>
              </w:rPr>
              <w:t>Broj besplatno dostupnih  nacrta norma u HZNacrti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HZN</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1020</w:t>
            </w:r>
          </w:p>
        </w:tc>
      </w:tr>
      <w:tr w:rsidR="005C2091">
        <w:trPr>
          <w:jc w:val="center"/>
        </w:trPr>
        <w:tc>
          <w:tcPr>
            <w:tcW w:w="2551" w:type="dxa"/>
          </w:tcPr>
          <w:p w:rsidR="005C2091" w:rsidRDefault="00A86293">
            <w:pPr>
              <w:pStyle w:val="CellColumn"/>
              <w:jc w:val="left"/>
            </w:pPr>
            <w:r>
              <w:rPr>
                <w:rFonts w:cs="Times New Roman"/>
              </w:rPr>
              <w:t>Broj primljenih komentara</w:t>
            </w:r>
          </w:p>
        </w:tc>
        <w:tc>
          <w:tcPr>
            <w:tcW w:w="2551" w:type="dxa"/>
          </w:tcPr>
          <w:p w:rsidR="005C2091" w:rsidRDefault="00A86293">
            <w:pPr>
              <w:pStyle w:val="CellColumn"/>
              <w:jc w:val="left"/>
            </w:pPr>
            <w:r>
              <w:rPr>
                <w:rFonts w:cs="Times New Roman"/>
              </w:rPr>
              <w:t>Ukupan broj primljenih komentara na nacrte norma u aplikaciji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HZN</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40</w:t>
            </w:r>
          </w:p>
        </w:tc>
      </w:tr>
      <w:tr w:rsidR="005C2091">
        <w:trPr>
          <w:jc w:val="center"/>
        </w:trPr>
        <w:tc>
          <w:tcPr>
            <w:tcW w:w="2551" w:type="dxa"/>
          </w:tcPr>
          <w:p w:rsidR="005C2091" w:rsidRDefault="00A86293">
            <w:pPr>
              <w:pStyle w:val="CellColumn"/>
              <w:jc w:val="left"/>
            </w:pPr>
            <w:r>
              <w:rPr>
                <w:rFonts w:cs="Times New Roman"/>
              </w:rPr>
              <w:t>Broj korisnika</w:t>
            </w:r>
          </w:p>
        </w:tc>
        <w:tc>
          <w:tcPr>
            <w:tcW w:w="2551" w:type="dxa"/>
          </w:tcPr>
          <w:p w:rsidR="005C2091" w:rsidRDefault="00A86293">
            <w:pPr>
              <w:pStyle w:val="CellColumn"/>
              <w:jc w:val="left"/>
            </w:pPr>
            <w:r>
              <w:rPr>
                <w:rFonts w:cs="Times New Roman"/>
              </w:rPr>
              <w:t>Broj registriranih korisnika u aplikaciji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18</w:t>
            </w:r>
          </w:p>
        </w:tc>
        <w:tc>
          <w:tcPr>
            <w:tcW w:w="1020" w:type="dxa"/>
          </w:tcPr>
          <w:p w:rsidR="005C2091" w:rsidRDefault="00A86293">
            <w:pPr>
              <w:pStyle w:val="CellColumn"/>
              <w:jc w:val="right"/>
            </w:pPr>
            <w:r>
              <w:rPr>
                <w:rFonts w:cs="Times New Roman"/>
              </w:rPr>
              <w:t>HZN</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43</w:t>
            </w:r>
          </w:p>
        </w:tc>
      </w:tr>
      <w:tr w:rsidR="005C2091">
        <w:trPr>
          <w:jc w:val="center"/>
        </w:trPr>
        <w:tc>
          <w:tcPr>
            <w:tcW w:w="2551" w:type="dxa"/>
          </w:tcPr>
          <w:p w:rsidR="005C2091" w:rsidRDefault="00A86293">
            <w:pPr>
              <w:pStyle w:val="CellColumn"/>
              <w:jc w:val="left"/>
            </w:pPr>
            <w:r>
              <w:rPr>
                <w:rFonts w:cs="Times New Roman"/>
              </w:rPr>
              <w:t>Broj pregleda nacrta norma</w:t>
            </w:r>
          </w:p>
        </w:tc>
        <w:tc>
          <w:tcPr>
            <w:tcW w:w="2551" w:type="dxa"/>
          </w:tcPr>
          <w:p w:rsidR="005C2091" w:rsidRDefault="00A86293">
            <w:pPr>
              <w:pStyle w:val="CellColumn"/>
              <w:jc w:val="left"/>
            </w:pPr>
            <w:r>
              <w:rPr>
                <w:rFonts w:cs="Times New Roman"/>
              </w:rPr>
              <w:t>Ukupan broj pregleda svih dostupnih nacrta norma u aplikaciji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HZN</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71</w:t>
            </w:r>
          </w:p>
        </w:tc>
      </w:tr>
    </w:tbl>
    <w:p w:rsidR="005C2091" w:rsidRDefault="005C2091">
      <w:pPr>
        <w:jc w:val="left"/>
      </w:pPr>
    </w:p>
    <w:p w:rsidR="005C2091" w:rsidRDefault="00A86293">
      <w:pPr>
        <w:pStyle w:val="Heading4"/>
      </w:pPr>
      <w:r>
        <w:t>K651011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K651011-INFORMATIZACIJA</w:t>
            </w:r>
          </w:p>
        </w:tc>
        <w:tc>
          <w:tcPr>
            <w:tcW w:w="2041" w:type="dxa"/>
          </w:tcPr>
          <w:p w:rsidR="005C2091" w:rsidRDefault="00A86293">
            <w:pPr>
              <w:pStyle w:val="CellColumn"/>
              <w:jc w:val="right"/>
            </w:pPr>
            <w:r>
              <w:rPr>
                <w:rFonts w:cs="Times New Roman"/>
              </w:rPr>
              <w:t>489.080</w:t>
            </w:r>
          </w:p>
        </w:tc>
        <w:tc>
          <w:tcPr>
            <w:tcW w:w="2041" w:type="dxa"/>
          </w:tcPr>
          <w:p w:rsidR="005C2091" w:rsidRDefault="00A86293">
            <w:pPr>
              <w:pStyle w:val="CellColumn"/>
              <w:jc w:val="right"/>
            </w:pPr>
            <w:r>
              <w:rPr>
                <w:rFonts w:cs="Times New Roman"/>
              </w:rPr>
              <w:t>430.000</w:t>
            </w:r>
          </w:p>
        </w:tc>
        <w:tc>
          <w:tcPr>
            <w:tcW w:w="2041" w:type="dxa"/>
          </w:tcPr>
          <w:p w:rsidR="005C2091" w:rsidRDefault="00A86293">
            <w:pPr>
              <w:pStyle w:val="CellColumn"/>
              <w:jc w:val="right"/>
            </w:pPr>
            <w:r>
              <w:rPr>
                <w:rFonts w:cs="Times New Roman"/>
              </w:rPr>
              <w:t>408.053</w:t>
            </w:r>
          </w:p>
        </w:tc>
        <w:tc>
          <w:tcPr>
            <w:tcW w:w="1224" w:type="dxa"/>
          </w:tcPr>
          <w:p w:rsidR="005C2091" w:rsidRDefault="00A86293">
            <w:pPr>
              <w:pStyle w:val="CellColumn"/>
              <w:jc w:val="right"/>
            </w:pPr>
            <w:r>
              <w:rPr>
                <w:rFonts w:cs="Times New Roman"/>
              </w:rPr>
              <w:t>94,9</w:t>
            </w:r>
          </w:p>
        </w:tc>
        <w:tc>
          <w:tcPr>
            <w:tcW w:w="1224" w:type="dxa"/>
          </w:tcPr>
          <w:p w:rsidR="005C2091" w:rsidRDefault="00A86293">
            <w:pPr>
              <w:pStyle w:val="CellColumn"/>
              <w:jc w:val="right"/>
            </w:pPr>
            <w:r>
              <w:rPr>
                <w:rFonts w:cs="Times New Roman"/>
              </w:rPr>
              <w:t>83,4</w:t>
            </w:r>
          </w:p>
        </w:tc>
      </w:tr>
    </w:tbl>
    <w:p w:rsidR="005C2091" w:rsidRDefault="005C2091">
      <w:pPr>
        <w:jc w:val="left"/>
      </w:pPr>
    </w:p>
    <w:p w:rsidR="005C2091" w:rsidRDefault="00A86293">
      <w:pPr>
        <w:pStyle w:val="Heading8"/>
        <w:jc w:val="left"/>
      </w:pPr>
      <w:r>
        <w:t>Zakonske i druge pravne osnove</w:t>
      </w:r>
    </w:p>
    <w:p w:rsidR="005C2091" w:rsidRDefault="00A86293">
      <w:r>
        <w:t>-Uredba (EU) 1025/2012 Europskog parlamenta i Vijeća o europskoj normizaciji, -Zakon o normizaciji (Narodne novine, broj 80/2013), -Uredba o osnivanju Hrvatskog zavoda za norme (Narodne novine, broj 154/2004, 44/2005, 30/2010, 34/2012 i 79/2012).</w:t>
      </w:r>
    </w:p>
    <w:p w:rsidR="001323E6" w:rsidRDefault="001323E6"/>
    <w:p w:rsidR="005C2091" w:rsidRDefault="00A86293">
      <w:pPr>
        <w:pStyle w:val="Heading8"/>
        <w:jc w:val="left"/>
      </w:pPr>
      <w:r>
        <w:t>Opis aktivnosti</w:t>
      </w:r>
    </w:p>
    <w:p w:rsidR="005C2091" w:rsidRDefault="00A86293">
      <w:r>
        <w:t>Informatizacija zavoda je kapitalni projekt kroz koji se osiguravaju sredstva za informatizaciju zavoda koja čine oko 5% ukupnih planiranih sredstva od ukupno odobrenog plana. Sredstva su utrošena za nabavu Licence Microsoft oko 63% i ostatak od 37% većim dijelom utrošeno je za ulaganje u računalne programe. HZN kontinuirano razvija svoj informatički sustav kao programsku potporu radnicima HZN-a radi brzog i jednostavnog rješavanja svakodnevnih poslovnih zadataka, kao podrška u cilju normizacije poslovnih procesa i poboljšanja komunikacije između domaćih i međunarodnih organizacija u području normizacije te interakcije s vanjskim članovima tehničkih odbora. Tijekom 2016. godine HZN je ulagao u nove e-alate koji omogućuju široj javnosti uključivanje u aktivnosti normizacije ili uvid u njihove rezultate te su novi način komunikacije HZN-a sa zainteresiranim korisnicima. HZN uspostavom novih e-alata želi približiti rad i rezultate nacionalne normizacije široj javnosti. Osim olakšavanja pristupa normama, odnosno nacrtima norma, cilj je navedenih e-alata i podizanje svijesti o važnosti norma. Kako bi HZN odgovorio na zahtjeve strukovnih komora, tijela državne uprave i velikih tvrtki o potrebi omogućivanja pristupa normama stručnjacima koji te norme upotrebljavaju u svakodnevnom radu, uspostavljen je digitalni repozitorij hrvatskih norma koji omogućava neograničeni pristup normama. Aplikacija Repozitorij HRN4You izrađena je u skladu sa svim propisanim zahtjevima koji se odnose na zaštitu autorskih prava na norme. U pogledu autorskog prava osim nacionalnih zakona (Zakon o normizaciji, Zakon o autorskom pravu) primjenjuju se i europska i međunarodna pravila CEN/CENELEC Guide 10 Smjernice za distribuciju i prodaju CEN-CENELEC-ovih publikacija i ISO POCOSA 2012 Politika distribucije ISO-ovih publikacija i zaštita ISO-ova autorskog prava.</w:t>
      </w:r>
    </w:p>
    <w:p w:rsidR="001323E6" w:rsidRDefault="001323E6"/>
    <w:p w:rsidR="005C2091" w:rsidRDefault="00A86293">
      <w:pPr>
        <w:pStyle w:val="Heading2"/>
      </w:pPr>
      <w:r>
        <w:t>04985 Hrvatska akreditacijska agencija</w:t>
      </w:r>
    </w:p>
    <w:p w:rsidR="005C2091" w:rsidRDefault="00A86293">
      <w:r>
        <w:t xml:space="preserve">Hrvatska akreditacijska agencija (dalje u tekstu: HAA) je javna ustanova koja obavlja poslove nacionalne službe za akreditaciju u RH. HAA predstavlja Republiku Hrvatsku u europskim i međunarodnim organizacijama za akreditaciju i sudjeluje u njihovu radu.  Sukladno Uredbi EA 765/2008, Zakonu o akreditaciji i Uredbi o osnivanju HAA obavlja slijedeće poslove: akreditiranje ispitnih i umjernih laboratorija, akreditiranje pravnih ili fizičkih osoba za potvrđivanje proizvoda, sustava upravljanja i osoblja, akreditiranje pravnih ili fizičkih osoba koje obavljaju tehnički nadzor ili slične radnje, druga ocjenjivanja ili potvrđivanja osposobljenosti za provođenje postupaka ocjenjivanja sukladnosti, uključujući utvrđivanje ispunjavanja zahtjeva za ocjenjivanje sukladnosti u skladu s propisima za ocjenjivanje sukladnosti za pravne ili fizičke osobe.  Akreditacija utječe na opći i posebni uspjeh gospodarstva jer ocjenjivanje stručne i tehničke osposobljenosti laboratorija, certifikacijskih i inspekcijskih tijela, postaje glavni oslonac ministarstvima u provedbi propisa  i u značajnijoj je mjeri podigla kvalitetu usluga ispitivanja, mjerenja, certifikacije i inspekcije na hrvatskom tržištu, a samim time i konkurentnosti hrvatskog gospodarstva na tržištu EU i šire. Neprovođenje akreditacije imalo bi za posljedicu ugrožavanje konkurentnosti hrvatskog gospodarstva za izlazak na tržišta EU i šire radi nemogućnosti dokazivanja sigurnosti i kvalitete proizvoda u kompetentnim institucijama koje su ocjenjene prema međunarodnim kriterijima (akreditiranim institucijama). Neposredni korisnici usluga HAA su: ispitni, umjerni i medicinski laboratoriji, organizatori </w:t>
      </w:r>
      <w:r>
        <w:lastRenderedPageBreak/>
        <w:t>ispitivanja sposobnosti, inspekcijska tijela, certifikacijska tijela za proizvode, certifikacijska tijela za sustave upravljanja: za kvalitetu QMS, za okoliš  (EMS, EMAS), certifikacijska tijela za osobe i verifikatori stakleničkih plinova. Posredni korisnici su tijela državne uprave u čijoj su nadležnosti propisi u određenom području: dokazivanje kompetentne provedbe tehničkog zakonodavstva radi osiguranja slobode kretanja i sigurnosti proizvoda na tržištu EU, sigurnost proizvoda, zaštita okoliša, zaštita zdravlja, zaštita potrošača, odnosno gospodarstvo – uvjet konkurentnosti na međunarodnom tržištu.</w:t>
      </w:r>
    </w:p>
    <w:p w:rsidR="001323E6" w:rsidRDefault="001323E6"/>
    <w:p w:rsidR="001323E6" w:rsidRDefault="001323E6"/>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04985-Hrvatska akreditacijska agencija</w:t>
            </w:r>
          </w:p>
        </w:tc>
        <w:tc>
          <w:tcPr>
            <w:tcW w:w="2041" w:type="dxa"/>
            <w:vAlign w:val="top"/>
          </w:tcPr>
          <w:p w:rsidR="005C2091" w:rsidRDefault="00A86293">
            <w:pPr>
              <w:pStyle w:val="CellColumn"/>
              <w:jc w:val="right"/>
            </w:pPr>
            <w:r>
              <w:rPr>
                <w:rFonts w:cs="Times New Roman"/>
              </w:rPr>
              <w:t>6.336.340</w:t>
            </w:r>
          </w:p>
        </w:tc>
        <w:tc>
          <w:tcPr>
            <w:tcW w:w="2041" w:type="dxa"/>
            <w:vAlign w:val="top"/>
          </w:tcPr>
          <w:p w:rsidR="005C2091" w:rsidRDefault="00A86293">
            <w:pPr>
              <w:pStyle w:val="CellColumn"/>
              <w:jc w:val="right"/>
            </w:pPr>
            <w:r>
              <w:rPr>
                <w:rFonts w:cs="Times New Roman"/>
              </w:rPr>
              <w:t>7.603.876</w:t>
            </w:r>
          </w:p>
        </w:tc>
        <w:tc>
          <w:tcPr>
            <w:tcW w:w="2041" w:type="dxa"/>
            <w:vAlign w:val="top"/>
          </w:tcPr>
          <w:p w:rsidR="005C2091" w:rsidRDefault="00A86293">
            <w:pPr>
              <w:pStyle w:val="CellColumn"/>
              <w:jc w:val="right"/>
            </w:pPr>
            <w:r>
              <w:rPr>
                <w:rFonts w:cs="Times New Roman"/>
              </w:rPr>
              <w:t>7.562.373</w:t>
            </w:r>
          </w:p>
        </w:tc>
        <w:tc>
          <w:tcPr>
            <w:tcW w:w="1224" w:type="dxa"/>
            <w:vAlign w:val="top"/>
          </w:tcPr>
          <w:p w:rsidR="005C2091" w:rsidRDefault="00A86293">
            <w:pPr>
              <w:pStyle w:val="CellColumn"/>
              <w:jc w:val="right"/>
            </w:pPr>
            <w:r>
              <w:rPr>
                <w:rFonts w:cs="Times New Roman"/>
              </w:rPr>
              <w:t>99,5</w:t>
            </w:r>
          </w:p>
        </w:tc>
        <w:tc>
          <w:tcPr>
            <w:tcW w:w="1224" w:type="dxa"/>
            <w:vAlign w:val="top"/>
          </w:tcPr>
          <w:p w:rsidR="005C2091" w:rsidRDefault="00A86293">
            <w:pPr>
              <w:pStyle w:val="CellColumn"/>
              <w:jc w:val="right"/>
            </w:pPr>
            <w:r>
              <w:rPr>
                <w:rFonts w:cs="Times New Roman"/>
              </w:rPr>
              <w:t>119,3</w:t>
            </w:r>
          </w:p>
        </w:tc>
      </w:tr>
      <w:tr w:rsidR="005C2091">
        <w:trPr>
          <w:jc w:val="center"/>
        </w:trPr>
        <w:tc>
          <w:tcPr>
            <w:tcW w:w="1632" w:type="dxa"/>
          </w:tcPr>
          <w:p w:rsidR="005C2091" w:rsidRDefault="00A86293">
            <w:pPr>
              <w:jc w:val="left"/>
            </w:pPr>
            <w:r>
              <w:t>3221-ODRŽAVANJE I RAZVOJ SUSTAVA AKREDITACIJE U RH</w:t>
            </w:r>
          </w:p>
        </w:tc>
        <w:tc>
          <w:tcPr>
            <w:tcW w:w="2041" w:type="dxa"/>
          </w:tcPr>
          <w:p w:rsidR="005C2091" w:rsidRDefault="00A86293">
            <w:pPr>
              <w:jc w:val="right"/>
            </w:pPr>
            <w:r>
              <w:t>6.336.340</w:t>
            </w:r>
          </w:p>
        </w:tc>
        <w:tc>
          <w:tcPr>
            <w:tcW w:w="2041" w:type="dxa"/>
          </w:tcPr>
          <w:p w:rsidR="005C2091" w:rsidRDefault="00A86293">
            <w:pPr>
              <w:jc w:val="right"/>
            </w:pPr>
            <w:r>
              <w:t>7.603.876</w:t>
            </w:r>
          </w:p>
        </w:tc>
        <w:tc>
          <w:tcPr>
            <w:tcW w:w="2041" w:type="dxa"/>
          </w:tcPr>
          <w:p w:rsidR="005C2091" w:rsidRDefault="00A86293">
            <w:pPr>
              <w:jc w:val="right"/>
            </w:pPr>
            <w:r>
              <w:t>7.562.373</w:t>
            </w:r>
          </w:p>
        </w:tc>
        <w:tc>
          <w:tcPr>
            <w:tcW w:w="1224" w:type="dxa"/>
          </w:tcPr>
          <w:p w:rsidR="005C2091" w:rsidRDefault="00A86293">
            <w:pPr>
              <w:jc w:val="right"/>
            </w:pPr>
            <w:r>
              <w:t>99,5</w:t>
            </w:r>
          </w:p>
        </w:tc>
        <w:tc>
          <w:tcPr>
            <w:tcW w:w="1224" w:type="dxa"/>
          </w:tcPr>
          <w:p w:rsidR="005C2091" w:rsidRDefault="00A86293">
            <w:pPr>
              <w:jc w:val="right"/>
            </w:pPr>
            <w:r>
              <w:t>119,3</w:t>
            </w:r>
          </w:p>
        </w:tc>
      </w:tr>
    </w:tbl>
    <w:p w:rsidR="005C2091" w:rsidRDefault="005C2091">
      <w:pPr>
        <w:jc w:val="left"/>
      </w:pPr>
    </w:p>
    <w:p w:rsidR="005C2091" w:rsidRDefault="00A86293">
      <w:pPr>
        <w:pStyle w:val="Heading3"/>
      </w:pPr>
      <w:r>
        <w:rPr>
          <w:rFonts w:cs="Times New Roman"/>
        </w:rPr>
        <w:t>3221 ODRŽAVANJE I RAZVOJ SUSTAVA AKREDITACIJE U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3221-ODRŽAVANJE I RAZVOJ SUSTAVA AKREDITACIJE U RH</w:t>
            </w:r>
          </w:p>
        </w:tc>
        <w:tc>
          <w:tcPr>
            <w:tcW w:w="2041" w:type="dxa"/>
          </w:tcPr>
          <w:p w:rsidR="005C2091" w:rsidRDefault="00A86293">
            <w:pPr>
              <w:pStyle w:val="CellColumn"/>
              <w:jc w:val="right"/>
            </w:pPr>
            <w:r>
              <w:rPr>
                <w:rFonts w:cs="Times New Roman"/>
              </w:rPr>
              <w:t>6.336.340</w:t>
            </w:r>
          </w:p>
        </w:tc>
        <w:tc>
          <w:tcPr>
            <w:tcW w:w="2041" w:type="dxa"/>
          </w:tcPr>
          <w:p w:rsidR="005C2091" w:rsidRDefault="00A86293">
            <w:pPr>
              <w:pStyle w:val="CellColumn"/>
              <w:jc w:val="right"/>
            </w:pPr>
            <w:r>
              <w:rPr>
                <w:rFonts w:cs="Times New Roman"/>
              </w:rPr>
              <w:t>7.603.876</w:t>
            </w:r>
          </w:p>
        </w:tc>
        <w:tc>
          <w:tcPr>
            <w:tcW w:w="2041" w:type="dxa"/>
          </w:tcPr>
          <w:p w:rsidR="005C2091" w:rsidRDefault="00A86293">
            <w:pPr>
              <w:pStyle w:val="CellColumn"/>
              <w:jc w:val="right"/>
            </w:pPr>
            <w:r>
              <w:rPr>
                <w:rFonts w:cs="Times New Roman"/>
              </w:rPr>
              <w:t>7.562.373</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119,3</w:t>
            </w:r>
          </w:p>
        </w:tc>
      </w:tr>
    </w:tbl>
    <w:p w:rsidR="005C2091" w:rsidRDefault="005C2091">
      <w:pPr>
        <w:jc w:val="left"/>
      </w:pPr>
    </w:p>
    <w:p w:rsidR="005C2091" w:rsidRDefault="00A86293">
      <w:pPr>
        <w:pStyle w:val="Heading4"/>
      </w:pPr>
      <w:r>
        <w:t>A652002 ADMINISTRACIJA I UPRAVLJANJE HRVATSKE AKREDITACIJSKE AGENCIJE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A652002-ADMINISTRACIJA I UPRAVLJANJE HRVATSKE AKREDITACIJSKE AGENCIJE</w:t>
            </w:r>
          </w:p>
        </w:tc>
        <w:tc>
          <w:tcPr>
            <w:tcW w:w="2041" w:type="dxa"/>
          </w:tcPr>
          <w:p w:rsidR="005C2091" w:rsidRDefault="00A86293">
            <w:pPr>
              <w:pStyle w:val="CellColumn"/>
              <w:jc w:val="right"/>
            </w:pPr>
            <w:r>
              <w:rPr>
                <w:rFonts w:cs="Times New Roman"/>
              </w:rPr>
              <w:t>6.331.141</w:t>
            </w:r>
          </w:p>
        </w:tc>
        <w:tc>
          <w:tcPr>
            <w:tcW w:w="2041" w:type="dxa"/>
          </w:tcPr>
          <w:p w:rsidR="005C2091" w:rsidRDefault="00A86293">
            <w:pPr>
              <w:pStyle w:val="CellColumn"/>
              <w:jc w:val="right"/>
            </w:pPr>
            <w:r>
              <w:rPr>
                <w:rFonts w:cs="Times New Roman"/>
              </w:rPr>
              <w:t>7.563.876</w:t>
            </w:r>
          </w:p>
        </w:tc>
        <w:tc>
          <w:tcPr>
            <w:tcW w:w="2041" w:type="dxa"/>
          </w:tcPr>
          <w:p w:rsidR="005C2091" w:rsidRDefault="00A86293">
            <w:pPr>
              <w:pStyle w:val="CellColumn"/>
              <w:jc w:val="right"/>
            </w:pPr>
            <w:r>
              <w:rPr>
                <w:rFonts w:cs="Times New Roman"/>
              </w:rPr>
              <w:t>7.552.599</w:t>
            </w:r>
          </w:p>
        </w:tc>
        <w:tc>
          <w:tcPr>
            <w:tcW w:w="1224" w:type="dxa"/>
          </w:tcPr>
          <w:p w:rsidR="005C2091" w:rsidRDefault="00A86293">
            <w:pPr>
              <w:pStyle w:val="CellColumn"/>
              <w:jc w:val="right"/>
            </w:pPr>
            <w:r>
              <w:rPr>
                <w:rFonts w:cs="Times New Roman"/>
              </w:rPr>
              <w:t>99,9</w:t>
            </w:r>
          </w:p>
        </w:tc>
        <w:tc>
          <w:tcPr>
            <w:tcW w:w="1224" w:type="dxa"/>
          </w:tcPr>
          <w:p w:rsidR="005C2091" w:rsidRDefault="00A86293">
            <w:pPr>
              <w:pStyle w:val="CellColumn"/>
              <w:jc w:val="right"/>
            </w:pPr>
            <w:r>
              <w:rPr>
                <w:rFonts w:cs="Times New Roman"/>
              </w:rPr>
              <w:t>119,3</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EU Uredba o akreditaciji 765/2008,  Zakon o akreditaciji (NN 158/03, 75/09 i 56/13), Uredba Vlade Republike Hrvatske (NN 158/04, NN 44/05 i NN 30/10). Sustav upravljanja poslovanjem HAA uspostavljen je  u skladu sa zahtjevima norme HRN EN ISO/IEC 17011:2005, EU Uredba o akreditaciji 765/2008. U dokumentaciju su također ugrađene upute i preporuke Europske suradnje na akreditaciji (EA) i međunarodnih organizacija za akreditaciju ILAC i IAF.</w:t>
      </w:r>
    </w:p>
    <w:p w:rsidR="005C2091" w:rsidRDefault="00A86293">
      <w:pPr>
        <w:pStyle w:val="Heading8"/>
        <w:jc w:val="left"/>
      </w:pPr>
      <w:r>
        <w:t>Opis aktivnosti</w:t>
      </w:r>
    </w:p>
    <w:p w:rsidR="005C2091" w:rsidRDefault="00A86293">
      <w:r>
        <w:t>Aktivnost Administracija i upravljanje HAA odnosno razvoj akreditacijskog sustava glavna je aktivnost HAA i putem te aktivnosti provodi svoje poslovanje - akreditiranje ispitnih i umjernih laboratorija; akreditiranje organizatora ispitivanja sposobnosti; akreditiranje pravnih ili fizičkih osoba za potvrđivanje proizvoda, sustava upravljanja i osoblja; akreditiranje pravnih ili fizičkih osoba koje obavljaju tehnički nadzor (inspekciju) i akreditiranje verifikatora stakleničkih plinova. Akreditacijske postupke provode ocjeniteljske skupine sastavljene od vodećeg ocjenitelja (u pravilu stalni zaposlenici) i stručni ocjenitelji i eksperti za pojedina tehnička i stručna specijalistička područja (vanjski suradnici). Akreditacijski postupak nije moguće provesti  bez uključivanja vanjskih stručnih ocjenitelja i eksperata, a upravo ta činjenica potvrđuje da je akreditacija najsnažniji dokaz kompetentnosti tijela za ocjenu sukladnosti. Za funkcioniranje takvog načina rada svaka država članica EU obvezna je osigurati da njezino nacionalno akreditacijsko tijelo ima odgovarajuća financijska sredstva i osoblje za provedbu svojih zadaća, sukladno načelu 9. u članku 4. Uredbe 765/2008. HAA je pod stalnim nadzorom Europske organizacije za akreditaciju (EA) koja provodi periodične evaluacije nad HAA i pri tome potvrđuje ili ne potvrđuje njezinu osposobljenost za obavljanje akreditacijskih poslova. U zadnjem postupku reevaluacije od strane EA krajem 2015.godine,  EA MLA evaluatori donijeli su zaključak da se nad HAA  provede izvanredna evaluacija krajem 2017.godine zbog toga što nije financijski neovisna, tj.  ne ispunjava zahtjeve ISO/IEC 17011 (4.2.) i zahtjeve Uredbe 765/2008 te nema dovoljno kadrova za provođenje akreditacijskih postupaka. Za sve ostale poslove HAA zadovoljava svim uvjetima i  redovna reevaluacija će se održati nakon četiri godine. Ukupni rashodi HAA za 2016.godinu planirani su u iznosu od 7.603.876 kuna dok je izvršenje (plaćeno putem riznice) iznosilo 7.562.373 kune odnosno 99,5 % plana. U odnosu na 2015.godinu izvršenje je iznosilo 119,3 %. Na aktivnosti A652002 plan rashoda iznosio je 7.563.876 kunu a izvršenje 7.552.599 kuna odnosno 99,9 % plana. Rashodi za zaposlene izvršeni su u iznosu od 3.088.582,12 kuna što predstavlja  99,7 % plana rashoda za zaposlene odnosno 40,6 % ukupnog plana HAA. Ovi rashodi veći su za 647.837,73 kune u odnosu na 2015.godinu iz razloga zapošljavanja novih djelatnika. Materijalni rashodi izvršeni su u iznosu od 4.446.911,38 kuna što predstavlja 100 % plana materijalnih rashoda odnosno 58,5 % ukupnog plana.  Materijalni rashodi izvršeni su za 575.661 kuna više u odnosu na 2015.godinu   iz razloga jer su plaćane obveze iz 2015.godine za koje nisu tada bila osigurana dostatna sredstva i zbog povećanog broja provedenih nadzora i akreditacija. Ostali rashodi, financijski i rashodi za nabavu nefinancijske imovine izvršeni su u ukupnom iznosu od 26.879 kuna što predstavlja 0,35 % ukupnog plana. U strukturi ostvarenih rashoda poslovanja za promatrano razdoblje najveći udio čine  intelektualne usluge 3.370.548 kuna odnosno 102,16 % plana rashoda za intelektualne usluge odnosno 43,31 % ukupnog plana rashoda HAA. Izvršenjem te stavke ujedno se izvršava osnovna djelatnost HAA - provođenje postupka akreditacije i nadzora. Povećanjem broja akreditacija povećavaju se troškovi intelektualnih usluga i troškovi službenih putovanja kako zaposlenika tako i angažiranih vanjskih suradnika jer se akreditacije provode na terenu kod korisnika po cijeloj RH. Međutim, treba naglasiti da se povećanjem poslova akreditacije  povećavaju  istovremeno i prihodi od akreditacije, tj. uplate u Državni proračun. 2016.godine uplate u proračun od akreditacije iznosile su 7.705.706,26 kuna. 2015.godine uplate u Državni proračun iznosile su 6.701.960,13 kuna. Dakle, 2016.godine uplate su izvršene za 1.003.746,13 kuna više u odnosu na 2015.godinu. Unutar aktivnosti A652002 HAA ima otvoren i izvor 43 Namjenska sredstva uz odobrenje Ministarstva financija za prihvat i isplatu sredstava sa tog izvora. HAA je prepoznata kao kompetentan partner za potporu u razvoju akreditacijskog sustava zemalja okruženja kao i u provedbi pograničnih akreditacija na traženje akreditacijskih tijela iz zemalja EU. Tako je nastavljena suradnja sa akreditacijskim tijelima Ujedinjenog Kraljevstva, Njemačke, Crne gore, Bugarske i Češke. Kao punopravna članica Europske organizacije za akreditaciju EA, HAA ima obvezu sudjelovati u radu upravnih i stručnih odbora EA. Primljena sredstva za te namjene HAA koristi za podmirenje troškova provedbe traženih aktivnosti.  Izvršenje u iznosu od 7.552.599 kuna na aktivnosti A652002  izvršeno je u iznosu od 7.436.292,75 kuna sa izvora 11,  101.060,67 kuna sa izvora 43 i 15.245,19 kuna sa izvora 52. HAA je iz 2015.godine prenijela u 2016.godinu iznos od 167.179,15 kuna i to na izvoru 43 iznos od 151.300,34 kuna i na izvoru 52 iznos od 15.878,81 kunu. Tokom 2016.godine uplaćeno je na konto 65218 iznos od 68.343,72 kune i na konto 63414- izvor 52  iznos od 6.751,08 kuna (doznaka HZZ za jednu osobu na stručnom osposobljavanju bez zasnivanja radnog odnosa). Ostatak od 118.583,39 kuna na izvoru 43 i iznos od 7.384,70 kuna na izvoru 52 prenesen je u riznici u 2017.godinu.</w:t>
      </w:r>
    </w:p>
    <w:p w:rsidR="005C2091" w:rsidRDefault="00A86293">
      <w:pPr>
        <w:pStyle w:val="Heading8"/>
        <w:jc w:val="left"/>
      </w:pPr>
      <w:r>
        <w:lastRenderedPageBreak/>
        <w:t>Pokazatelji rezultata</w:t>
      </w:r>
    </w:p>
    <w:tbl>
      <w:tblPr>
        <w:tblStyle w:val="StilTablice"/>
        <w:tblW w:w="10206" w:type="dxa"/>
        <w:jc w:val="center"/>
        <w:tblLook w:val="04A0" w:firstRow="1" w:lastRow="0" w:firstColumn="1" w:lastColumn="0" w:noHBand="0" w:noVBand="1"/>
      </w:tblPr>
      <w:tblGrid>
        <w:gridCol w:w="2542"/>
        <w:gridCol w:w="2542"/>
        <w:gridCol w:w="1018"/>
        <w:gridCol w:w="1019"/>
        <w:gridCol w:w="1047"/>
        <w:gridCol w:w="1019"/>
        <w:gridCol w:w="1019"/>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akreditiranih tijela u RH</w:t>
            </w:r>
          </w:p>
        </w:tc>
        <w:tc>
          <w:tcPr>
            <w:tcW w:w="2551" w:type="dxa"/>
          </w:tcPr>
          <w:p w:rsidR="005C2091" w:rsidRDefault="00A86293">
            <w:pPr>
              <w:pStyle w:val="CellColumn"/>
              <w:jc w:val="left"/>
            </w:pPr>
            <w:r>
              <w:rPr>
                <w:rFonts w:cs="Times New Roman"/>
              </w:rPr>
              <w:t>Provedba akreditacijskih postupaka i nadzora nad akreditiranim tijelima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351</w:t>
            </w:r>
          </w:p>
        </w:tc>
        <w:tc>
          <w:tcPr>
            <w:tcW w:w="1020" w:type="dxa"/>
          </w:tcPr>
          <w:p w:rsidR="005C2091" w:rsidRDefault="00A86293">
            <w:pPr>
              <w:pStyle w:val="CellColumn"/>
              <w:jc w:val="right"/>
            </w:pPr>
            <w:r>
              <w:rPr>
                <w:rFonts w:cs="Times New Roman"/>
              </w:rPr>
              <w:t>Registar akreditacija HAA</w:t>
            </w:r>
          </w:p>
        </w:tc>
        <w:tc>
          <w:tcPr>
            <w:tcW w:w="1020" w:type="dxa"/>
          </w:tcPr>
          <w:p w:rsidR="005C2091" w:rsidRDefault="00A86293">
            <w:pPr>
              <w:pStyle w:val="CellColumn"/>
              <w:jc w:val="right"/>
            </w:pPr>
            <w:r>
              <w:rPr>
                <w:rFonts w:cs="Times New Roman"/>
              </w:rPr>
              <w:t>360</w:t>
            </w:r>
          </w:p>
        </w:tc>
        <w:tc>
          <w:tcPr>
            <w:tcW w:w="1020" w:type="dxa"/>
          </w:tcPr>
          <w:p w:rsidR="005C2091" w:rsidRDefault="00A86293">
            <w:pPr>
              <w:pStyle w:val="CellColumn"/>
              <w:jc w:val="right"/>
            </w:pPr>
            <w:r>
              <w:rPr>
                <w:rFonts w:cs="Times New Roman"/>
              </w:rPr>
              <w:t>331</w:t>
            </w:r>
          </w:p>
        </w:tc>
      </w:tr>
    </w:tbl>
    <w:p w:rsidR="005C2091" w:rsidRDefault="005C2091">
      <w:pPr>
        <w:jc w:val="left"/>
      </w:pPr>
    </w:p>
    <w:p w:rsidR="005C2091" w:rsidRDefault="00A86293">
      <w:pPr>
        <w:pStyle w:val="Heading2"/>
      </w:pPr>
      <w:r>
        <w:t>04990 Hrvatska agencija za malo gospodarstvo, inovacije i investicije, HAMAG-BICRO</w:t>
      </w:r>
    </w:p>
    <w:p w:rsidR="005C2091" w:rsidRDefault="00A86293">
      <w:r>
        <w:t>Hrvatska agencija za malo gospodarstvo, inovacije i investicije, HAMAG-BICRO najveća je agencija za poticanje poduzetništva u Republici Hrvatskoj, a osnovana je s ciljem pružanja kvalitetne potpore u poslovanju subjekata malog i srednjeg gospodarstva, što omogućava lakši i brži ekonomski razvoj na nacionalnoj razini. Osiguravajući podršku infrastrukturnim i intelektualnim kapacitetima poduzetničkog sektora, poboljšava se produktivnost u nacionalnom gospodarstvu, a standardi kvalitete se podižu na višu razinu. Cjelokupna djelatnost Agencije usmjerena je na razvoj malog i srednjeg poduzetništva, privlačenje investicija u unapređenje investicijskog okruženja. Niz je aktivnosti i mjera kojima HAMAG-BICRO potiče razvoj poduzetništva i konkurentnost gospodarskih subjekata od kojih su svakako najprepoznatljivije izdavanje jamstava i bespovratnih potpora. Programe i aktivnosti HAMAG-BICRO kreira sukladno zahtjevima i potrebama tržišta, kako bi njihova namjena bila ostvarena. Uspješnom suradnjom s domaćim i inozemnim partnerima HAMAG-BICRO kontinuirano ulaže u jačanje vlastitih kapaciteta koje ga čine neizostavnom karikom razvoja malog i srednjeg poduzetništva. Ulaskom Republike Hrvatske u Europsku uniju Agenciju je dobila važnu ulogu posredničkog tijela za provedbu strukturnih fondova EU. U 2013. godini donesen je Zakon o izmjenama i dopunama Zakona o poticanju razvoja malog gospodarstva (NN 56/20) kojim je definirano spajanje HAMAG INVEST-a i BICRO-a. Upravo spajanjem ovih dviju agencija postigla se sinergija u rezultatima koji se vide u jačanju konkurentnosti subjekata malog gospodarstva, pristupa financijskim sredstvima, posebno za inovativne projekte. Na ovaj način su objedinjeni različiti izvori financiranja čime se izbjegavaju preklapanja i pokrivenost svih faza razvoja novih tehnologija i inovacija adekvatnom podrškom.</w:t>
      </w:r>
    </w:p>
    <w:tbl>
      <w:tblPr>
        <w:tblStyle w:val="StilTablice"/>
        <w:tblW w:w="10206" w:type="dxa"/>
        <w:jc w:val="center"/>
        <w:tblLook w:val="04A0" w:firstRow="1" w:lastRow="0" w:firstColumn="1" w:lastColumn="0" w:noHBand="0" w:noVBand="1"/>
      </w:tblPr>
      <w:tblGrid>
        <w:gridCol w:w="1948"/>
        <w:gridCol w:w="1939"/>
        <w:gridCol w:w="1953"/>
        <w:gridCol w:w="1953"/>
        <w:gridCol w:w="1202"/>
        <w:gridCol w:w="121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04990-Hrvatska agencija za malo gospodarstvo, inovacije i investicije, HAMAG-BICRO</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52.774.922</w:t>
            </w:r>
          </w:p>
        </w:tc>
        <w:tc>
          <w:tcPr>
            <w:tcW w:w="2041" w:type="dxa"/>
            <w:vAlign w:val="top"/>
          </w:tcPr>
          <w:p w:rsidR="005C2091" w:rsidRDefault="00A86293">
            <w:pPr>
              <w:pStyle w:val="CellColumn"/>
              <w:jc w:val="right"/>
            </w:pPr>
            <w:r>
              <w:rPr>
                <w:rFonts w:cs="Times New Roman"/>
              </w:rPr>
              <w:t>17.494.220</w:t>
            </w:r>
          </w:p>
        </w:tc>
        <w:tc>
          <w:tcPr>
            <w:tcW w:w="1224" w:type="dxa"/>
            <w:vAlign w:val="top"/>
          </w:tcPr>
          <w:p w:rsidR="005C2091" w:rsidRDefault="00A86293">
            <w:pPr>
              <w:pStyle w:val="CellColumn"/>
              <w:jc w:val="right"/>
            </w:pPr>
            <w:r>
              <w:rPr>
                <w:rFonts w:cs="Times New Roman"/>
              </w:rPr>
              <w:t>33,1</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tcPr>
          <w:p w:rsidR="005C2091" w:rsidRDefault="00A86293">
            <w:pPr>
              <w:jc w:val="left"/>
            </w:pPr>
            <w:r>
              <w:t>3228-JAČANJE KONKURENTNOSTI MALOG I SREDNJEG PODUZETNIŠTVA</w:t>
            </w:r>
          </w:p>
        </w:tc>
        <w:tc>
          <w:tcPr>
            <w:tcW w:w="2041" w:type="dxa"/>
          </w:tcPr>
          <w:p w:rsidR="005C2091" w:rsidRDefault="00A86293">
            <w:pPr>
              <w:jc w:val="right"/>
            </w:pPr>
            <w:r>
              <w:t>00</w:t>
            </w:r>
          </w:p>
        </w:tc>
        <w:tc>
          <w:tcPr>
            <w:tcW w:w="2041" w:type="dxa"/>
          </w:tcPr>
          <w:p w:rsidR="005C2091" w:rsidRDefault="00A86293">
            <w:pPr>
              <w:jc w:val="right"/>
            </w:pPr>
            <w:r>
              <w:t>52.774.922</w:t>
            </w:r>
          </w:p>
        </w:tc>
        <w:tc>
          <w:tcPr>
            <w:tcW w:w="2041" w:type="dxa"/>
          </w:tcPr>
          <w:p w:rsidR="005C2091" w:rsidRDefault="00A86293">
            <w:pPr>
              <w:jc w:val="right"/>
            </w:pPr>
            <w:r>
              <w:t>17.494.220</w:t>
            </w:r>
          </w:p>
        </w:tc>
        <w:tc>
          <w:tcPr>
            <w:tcW w:w="1224" w:type="dxa"/>
          </w:tcPr>
          <w:p w:rsidR="005C2091" w:rsidRDefault="00A86293">
            <w:pPr>
              <w:jc w:val="right"/>
            </w:pPr>
            <w:r>
              <w:t>33,1</w:t>
            </w:r>
          </w:p>
        </w:tc>
        <w:tc>
          <w:tcPr>
            <w:tcW w:w="1224"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lastRenderedPageBreak/>
        <w:t>3228 JAČANJE KONKURENTNOSTI MALOG I SREDNJEG PODUZETNIŠTVA</w:t>
      </w:r>
    </w:p>
    <w:tbl>
      <w:tblPr>
        <w:tblStyle w:val="StilTablice"/>
        <w:tblW w:w="10206" w:type="dxa"/>
        <w:jc w:val="center"/>
        <w:tblLook w:val="04A0" w:firstRow="1" w:lastRow="0" w:firstColumn="1" w:lastColumn="0" w:noHBand="0" w:noVBand="1"/>
      </w:tblPr>
      <w:tblGrid>
        <w:gridCol w:w="1948"/>
        <w:gridCol w:w="1939"/>
        <w:gridCol w:w="1953"/>
        <w:gridCol w:w="1953"/>
        <w:gridCol w:w="1202"/>
        <w:gridCol w:w="121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3228-JAČANJE KONKURENTNOSTI MALOG I SREDNJEG PODUZETNIŠTVA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52.774.922</w:t>
            </w:r>
          </w:p>
        </w:tc>
        <w:tc>
          <w:tcPr>
            <w:tcW w:w="2041" w:type="dxa"/>
          </w:tcPr>
          <w:p w:rsidR="005C2091" w:rsidRDefault="00A86293">
            <w:pPr>
              <w:pStyle w:val="CellColumn"/>
              <w:jc w:val="right"/>
            </w:pPr>
            <w:r>
              <w:rPr>
                <w:rFonts w:cs="Times New Roman"/>
              </w:rPr>
              <w:t>17.494.220</w:t>
            </w:r>
          </w:p>
        </w:tc>
        <w:tc>
          <w:tcPr>
            <w:tcW w:w="1224" w:type="dxa"/>
          </w:tcPr>
          <w:p w:rsidR="005C2091" w:rsidRDefault="00A86293">
            <w:pPr>
              <w:pStyle w:val="CellColumn"/>
              <w:jc w:val="right"/>
            </w:pPr>
            <w:r>
              <w:rPr>
                <w:rFonts w:cs="Times New Roman"/>
              </w:rPr>
              <w:t>33,1</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Ovaj program ima za cilj poticanje razvoja malog gospodarstva nizom mjera koje HAMAG-BICRO provodi u cilju olakšanog pristupa poduzetnika izvorima financiranja kroz izdavanje jamstava, izdavanje mikrokredita te dodjelu bespovratnih potpora. Programe i aktivnosti HAMAG-BICRO kreira sukladno zahtjevima i potrebama tržišta, kako bi u potpunosti ostvarili svoju namjenu.</w:t>
      </w:r>
    </w:p>
    <w:p w:rsidR="005C2091" w:rsidRDefault="00A86293">
      <w:pPr>
        <w:pStyle w:val="Heading4"/>
      </w:pPr>
      <w:r>
        <w:t>A913001 ADMINISTRACIJA I UPRAVLJANJE HAMAG-BICRO</w:t>
      </w:r>
    </w:p>
    <w:tbl>
      <w:tblPr>
        <w:tblStyle w:val="StilTablice"/>
        <w:tblW w:w="10206" w:type="dxa"/>
        <w:jc w:val="center"/>
        <w:tblLook w:val="04A0" w:firstRow="1" w:lastRow="0" w:firstColumn="1" w:lastColumn="0" w:noHBand="0" w:noVBand="1"/>
      </w:tblPr>
      <w:tblGrid>
        <w:gridCol w:w="1792"/>
        <w:gridCol w:w="1993"/>
        <w:gridCol w:w="1996"/>
        <w:gridCol w:w="1993"/>
        <w:gridCol w:w="1214"/>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A913001-ADMINISTRACIJA I UPRAVLJANJE HAMAG-BICRO</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4.629.932</w:t>
            </w:r>
          </w:p>
        </w:tc>
        <w:tc>
          <w:tcPr>
            <w:tcW w:w="2041" w:type="dxa"/>
          </w:tcPr>
          <w:p w:rsidR="005C2091" w:rsidRDefault="00A86293">
            <w:pPr>
              <w:pStyle w:val="CellColumn"/>
              <w:jc w:val="right"/>
            </w:pPr>
            <w:r>
              <w:rPr>
                <w:rFonts w:cs="Times New Roman"/>
              </w:rPr>
              <w:t>689.028</w:t>
            </w:r>
          </w:p>
        </w:tc>
        <w:tc>
          <w:tcPr>
            <w:tcW w:w="1224" w:type="dxa"/>
          </w:tcPr>
          <w:p w:rsidR="005C2091" w:rsidRDefault="00A86293">
            <w:pPr>
              <w:pStyle w:val="CellColumn"/>
              <w:jc w:val="right"/>
            </w:pPr>
            <w:r>
              <w:rPr>
                <w:rFonts w:cs="Times New Roman"/>
              </w:rPr>
              <w:t>14,9</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poticanju razvoja malog gospodarstva (NN 29/02, 63/07, 53/12, 56/13 i 121/16);  </w:t>
      </w:r>
    </w:p>
    <w:p w:rsidR="005C2091" w:rsidRDefault="00A86293">
      <w:r>
        <w:t>Program Vlade Republike Hrvatske o poticanju malog i srednjeg poduzetništva 2008. – 2012. odobrenim od Vlade RH 18. travnja 2008. godine.</w:t>
      </w:r>
    </w:p>
    <w:p w:rsidR="005C2091" w:rsidRDefault="00A86293">
      <w:pPr>
        <w:pStyle w:val="Heading8"/>
        <w:jc w:val="left"/>
      </w:pPr>
      <w:r>
        <w:t>Opis aktivnosti</w:t>
      </w:r>
    </w:p>
    <w:p w:rsidR="005C2091" w:rsidRDefault="00A86293">
      <w:r>
        <w:t>Kroz ovu aktivnost financirano je tekuće poslovanje HAMAG-BICRO-a, odnosno plaće zaposlenika i doprinosi na plaće, naknade troškova zaposlenicima, rashodi za materijal i energiju, rashodi za usluge, nabava nematerijalne i materijalne imovine, otplata zajma IBRD-a 73200-HR i ostali režijski troškovi.</w:t>
      </w:r>
    </w:p>
    <w:p w:rsidR="005C2091" w:rsidRDefault="00A86293">
      <w:pPr>
        <w:pStyle w:val="Heading4"/>
      </w:pPr>
      <w:r>
        <w:t>A913003 JAMSTVA ZA MALO GOSPODARSTVO</w:t>
      </w:r>
    </w:p>
    <w:tbl>
      <w:tblPr>
        <w:tblStyle w:val="StilTablice"/>
        <w:tblW w:w="10206" w:type="dxa"/>
        <w:jc w:val="center"/>
        <w:tblLook w:val="04A0" w:firstRow="1" w:lastRow="0" w:firstColumn="1" w:lastColumn="0" w:noHBand="0" w:noVBand="1"/>
      </w:tblPr>
      <w:tblGrid>
        <w:gridCol w:w="1715"/>
        <w:gridCol w:w="2016"/>
        <w:gridCol w:w="2019"/>
        <w:gridCol w:w="2017"/>
        <w:gridCol w:w="1218"/>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A913003-JAMSTVA ZA MALO GOSPODARSTVO</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11.885.374</w:t>
            </w:r>
          </w:p>
        </w:tc>
        <w:tc>
          <w:tcPr>
            <w:tcW w:w="2041" w:type="dxa"/>
          </w:tcPr>
          <w:p w:rsidR="005C2091" w:rsidRDefault="00A86293">
            <w:pPr>
              <w:pStyle w:val="CellColumn"/>
              <w:jc w:val="right"/>
            </w:pPr>
            <w:r>
              <w:rPr>
                <w:rFonts w:cs="Times New Roman"/>
              </w:rPr>
              <w:t>7.152.272</w:t>
            </w:r>
          </w:p>
        </w:tc>
        <w:tc>
          <w:tcPr>
            <w:tcW w:w="1224" w:type="dxa"/>
          </w:tcPr>
          <w:p w:rsidR="005C2091" w:rsidRDefault="00A86293">
            <w:pPr>
              <w:pStyle w:val="CellColumn"/>
              <w:jc w:val="right"/>
            </w:pPr>
            <w:r>
              <w:rPr>
                <w:rFonts w:cs="Times New Roman"/>
              </w:rPr>
              <w:t>60,2</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Odluka Vlade Republike Hrvatske o usvajanju jamstvenog programa "EU početnik" i jamstvenog programa "Rastimo zajedno" (NN 153/13, 145/14, 62/15 i 108/15).</w:t>
      </w:r>
    </w:p>
    <w:p w:rsidR="005C2091" w:rsidRDefault="00A86293">
      <w:pPr>
        <w:pStyle w:val="Heading8"/>
        <w:jc w:val="left"/>
      </w:pPr>
      <w:r>
        <w:t>Opis aktivnosti</w:t>
      </w:r>
    </w:p>
    <w:p w:rsidR="005C2091" w:rsidRDefault="00A86293">
      <w:r>
        <w:t>Instrument jamstva kao poluga u olakšavanju pristupa financiranju poduzetnicima polučio je nešto lošije rezultate u protekloj godini u odnosu na prethodne godine. Ključni razlozi pada broja izdanih jamstava po programu Rastimo zajedno su prestanak važenja mjera subvencioniranja kredita za obrtna sredstva od strane MINPO-a te pomicanje granice poduzetnika početnika s 2 godine na 5 godina poslovanja. Pad broja zahtjeva po programu Poljoprivrednici rezultat je prestanka važenja programa koji je istekao 30.6.2016. godine te nije pokrenu novi program za ovu ciljnu skupinu poduzetnika. Na sami rezultat utjecala je i činjenica da su uvedeni novi ESIF programi koji su nešto atraktivniji od postojećih i imaju model subvencije kamate, međutim Sporazumi s financijskim institucijama koji osiguravaju provedbu nisu bili potpisani tijekom 2016. godine.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izdanih jamstava</w:t>
            </w:r>
          </w:p>
        </w:tc>
        <w:tc>
          <w:tcPr>
            <w:tcW w:w="2551" w:type="dxa"/>
          </w:tcPr>
          <w:p w:rsidR="005C2091" w:rsidRDefault="00A86293">
            <w:pPr>
              <w:pStyle w:val="CellColumn"/>
              <w:jc w:val="left"/>
            </w:pPr>
            <w:r>
              <w:rPr>
                <w:rFonts w:cs="Times New Roman"/>
              </w:rPr>
              <w:t>jamstva izdana u jednogodišnjem razdoblju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300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350</w:t>
            </w:r>
          </w:p>
        </w:tc>
        <w:tc>
          <w:tcPr>
            <w:tcW w:w="1020" w:type="dxa"/>
          </w:tcPr>
          <w:p w:rsidR="005C2091" w:rsidRDefault="00A86293">
            <w:pPr>
              <w:pStyle w:val="CellColumn"/>
              <w:jc w:val="right"/>
            </w:pPr>
            <w:r>
              <w:rPr>
                <w:rFonts w:cs="Times New Roman"/>
              </w:rPr>
              <w:t>217</w:t>
            </w:r>
          </w:p>
        </w:tc>
      </w:tr>
    </w:tbl>
    <w:p w:rsidR="005C2091" w:rsidRDefault="005C2091">
      <w:pPr>
        <w:jc w:val="left"/>
      </w:pPr>
    </w:p>
    <w:p w:rsidR="005C2091" w:rsidRDefault="00A86293">
      <w:pPr>
        <w:pStyle w:val="Heading4"/>
      </w:pPr>
      <w:r>
        <w:t>A913004 OP KONKURENTNOST I KOHEZIJA 2014.2020.-PT2</w:t>
      </w:r>
    </w:p>
    <w:tbl>
      <w:tblPr>
        <w:tblStyle w:val="StilTablice"/>
        <w:tblW w:w="10206" w:type="dxa"/>
        <w:jc w:val="center"/>
        <w:tblLook w:val="04A0" w:firstRow="1" w:lastRow="0" w:firstColumn="1" w:lastColumn="0" w:noHBand="0" w:noVBand="1"/>
      </w:tblPr>
      <w:tblGrid>
        <w:gridCol w:w="1881"/>
        <w:gridCol w:w="1963"/>
        <w:gridCol w:w="1974"/>
        <w:gridCol w:w="1967"/>
        <w:gridCol w:w="1207"/>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A913004-OP KONKURENTNOST I KOHEZIJA 2014.2020.-PT2</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11.651.455</w:t>
            </w:r>
          </w:p>
        </w:tc>
        <w:tc>
          <w:tcPr>
            <w:tcW w:w="2041" w:type="dxa"/>
          </w:tcPr>
          <w:p w:rsidR="005C2091" w:rsidRDefault="00A86293">
            <w:pPr>
              <w:pStyle w:val="CellColumn"/>
              <w:jc w:val="right"/>
            </w:pPr>
            <w:r>
              <w:rPr>
                <w:rFonts w:cs="Times New Roman"/>
              </w:rPr>
              <w:t>5.276.258</w:t>
            </w:r>
          </w:p>
        </w:tc>
        <w:tc>
          <w:tcPr>
            <w:tcW w:w="1224" w:type="dxa"/>
          </w:tcPr>
          <w:p w:rsidR="005C2091" w:rsidRDefault="00A86293">
            <w:pPr>
              <w:pStyle w:val="CellColumn"/>
              <w:jc w:val="right"/>
            </w:pPr>
            <w:r>
              <w:rPr>
                <w:rFonts w:cs="Times New Roman"/>
              </w:rPr>
              <w:t>45,3</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uspostavi institucionalnog okvira za provedbu europskih strukturnih i investicijskih fondova u RH u financijskom razdoblju 2014.-2020. (NN 92/14);  </w:t>
      </w:r>
    </w:p>
    <w:p w:rsidR="005C2091" w:rsidRDefault="00A86293">
      <w:r>
        <w:t>Uredba o tijelima u sustavu upravljanja i kontrole korištenja ESF, EFRR i KF, u vezi sa ciljem "Ulaganja za rast i radna mjesta" (NN 107/14 i 23/15).</w:t>
      </w:r>
    </w:p>
    <w:p w:rsidR="005C2091" w:rsidRDefault="00A86293">
      <w:pPr>
        <w:pStyle w:val="Heading8"/>
        <w:jc w:val="left"/>
      </w:pPr>
      <w:r>
        <w:t>Opis aktivnosti</w:t>
      </w:r>
    </w:p>
    <w:p w:rsidR="005C2091" w:rsidRDefault="00A86293">
      <w:r>
        <w:t xml:space="preserve">Projekt „Tehnička pomoć za Hrvatsku agenciju za malo gospodarstvo, inovacije i investicije (HAMAG-BICRO) “ ima za cilj izgradnju i jačanje institucionalnih kapaciteta HAMAG-BICRO-a te pružanje potrebne stručne potpore aktivnostima koje agencija provodi u svojstvu Posredničkog tijela razine 2. (PT2) sustava upravljanja i kontrole OP „Konkurentnost i kohezija 2014.-2020.“ (OPKK):  provjeri prijavitelja i projektnih prijedloga te njihovog ocjenjivanja i/ili upravljanja i izvršavanja ugovora o dodjeli bespovratnih sredstava te informacijske podrške korisnicima i potencijalnim korisnicima.  </w:t>
      </w:r>
    </w:p>
    <w:p w:rsidR="005C2091" w:rsidRDefault="00A86293">
      <w:r>
        <w:t xml:space="preserve">Tijekom proljeća 2016.g. proveden je postupak procjene usklađenosti sustava upravljanja i kontrole OPKK  tzv. akreditacija te je neovisno revizijsko tijelo (ARPA) dalo pozitivno mišljenje o usklađenosti; zaposlena su 21 nova djelatnika u PT2. Isti broj zaposlenika je stekao važeći certifikat iz područja javne nabave čime je broj zaposlenika koji posjeduje važeći certifikat iz područja javne nabave narastao te krajem godine je iznosio ukupno 31. </w:t>
      </w:r>
    </w:p>
    <w:p w:rsidR="005C2091" w:rsidRDefault="00A86293">
      <w:r>
        <w:t xml:space="preserve">Do odstupanja u odnosu na plan je došlo zbog usporene realizacije aktivnosti HAMAG-BICRO-a kao PT2, a što je izravno povezano sa cjelokupnim kašnjenjem aktivnosti na razini Sustava upravljanja i kontrole OPKK. Financijski </w:t>
      </w:r>
      <w:r>
        <w:lastRenderedPageBreak/>
        <w:t>plan HAMAG-BICRO-a je rađen uvažavajući plan objave poziva za dostavu projektnih prijedloga za čiju izradu su zadužena posrednička tijela razine 1., odnosno resorna ministarstva tj. tadašnje Ministarstvo poduzetništva i obrta i Ministarstvo gospodarstva.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Akreditacija HAMAG-BICRO</w:t>
            </w:r>
          </w:p>
        </w:tc>
        <w:tc>
          <w:tcPr>
            <w:tcW w:w="2551" w:type="dxa"/>
          </w:tcPr>
          <w:p w:rsidR="005C2091" w:rsidRDefault="00A86293">
            <w:pPr>
              <w:pStyle w:val="CellColumn"/>
              <w:jc w:val="left"/>
            </w:pPr>
            <w:r>
              <w:rPr>
                <w:rFonts w:cs="Times New Roman"/>
              </w:rPr>
              <w:t>dobivanje dozvole za rad</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MRRFEU</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r w:rsidR="005C2091">
        <w:trPr>
          <w:jc w:val="center"/>
        </w:trPr>
        <w:tc>
          <w:tcPr>
            <w:tcW w:w="2551" w:type="dxa"/>
          </w:tcPr>
          <w:p w:rsidR="005C2091" w:rsidRDefault="00A86293">
            <w:pPr>
              <w:pStyle w:val="CellColumn"/>
              <w:jc w:val="left"/>
            </w:pPr>
            <w:r>
              <w:rPr>
                <w:rFonts w:cs="Times New Roman"/>
              </w:rPr>
              <w:t>Broj radnika čije plaće se sufinanciraju iz tehničke pomoći</w:t>
            </w:r>
          </w:p>
        </w:tc>
        <w:tc>
          <w:tcPr>
            <w:tcW w:w="2551" w:type="dxa"/>
          </w:tcPr>
          <w:p w:rsidR="005C2091" w:rsidRDefault="00A86293">
            <w:pPr>
              <w:pStyle w:val="CellColumn"/>
              <w:jc w:val="left"/>
            </w:pPr>
            <w:r>
              <w:rPr>
                <w:rFonts w:cs="Times New Roman"/>
              </w:rPr>
              <w:t>broj radnika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79</w:t>
            </w:r>
          </w:p>
        </w:tc>
        <w:tc>
          <w:tcPr>
            <w:tcW w:w="1020" w:type="dxa"/>
          </w:tcPr>
          <w:p w:rsidR="005C2091" w:rsidRDefault="00A86293">
            <w:pPr>
              <w:pStyle w:val="CellColumn"/>
              <w:jc w:val="right"/>
            </w:pPr>
            <w:r>
              <w:rPr>
                <w:rFonts w:cs="Times New Roman"/>
              </w:rPr>
              <w:t>77</w:t>
            </w:r>
          </w:p>
        </w:tc>
      </w:tr>
    </w:tbl>
    <w:p w:rsidR="005C2091" w:rsidRDefault="005C2091">
      <w:pPr>
        <w:jc w:val="left"/>
      </w:pPr>
    </w:p>
    <w:p w:rsidR="001323E6" w:rsidRDefault="001323E6">
      <w:pPr>
        <w:jc w:val="left"/>
      </w:pPr>
    </w:p>
    <w:p w:rsidR="005C2091" w:rsidRDefault="00A86293">
      <w:pPr>
        <w:pStyle w:val="Heading4"/>
      </w:pPr>
      <w:r>
        <w:t>A913007 NAKNADE ZA UPRAVLJANJE FINANCIJSKIM INSTRUMENTIMA IZ ESI FONDOVA 2014.-2020.</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A913007-NAKNADE ZA UPRAVLJANJE FINANCIJSKIM INSTRUMENTIMA IZ ESI FONDOVA 2014.-2020.</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715.000</w:t>
            </w:r>
          </w:p>
        </w:tc>
        <w:tc>
          <w:tcPr>
            <w:tcW w:w="2041" w:type="dxa"/>
          </w:tcPr>
          <w:p w:rsidR="005C2091" w:rsidRDefault="00A86293">
            <w:pPr>
              <w:pStyle w:val="CellColumn"/>
              <w:jc w:val="right"/>
            </w:pPr>
            <w:r>
              <w:rPr>
                <w:rFonts w:cs="Times New Roman"/>
              </w:rPr>
              <w:t>723.517</w:t>
            </w:r>
          </w:p>
        </w:tc>
        <w:tc>
          <w:tcPr>
            <w:tcW w:w="1224" w:type="dxa"/>
          </w:tcPr>
          <w:p w:rsidR="005C2091" w:rsidRDefault="00A86293">
            <w:pPr>
              <w:pStyle w:val="CellColumn"/>
              <w:jc w:val="right"/>
            </w:pPr>
            <w:r>
              <w:rPr>
                <w:rFonts w:cs="Times New Roman"/>
              </w:rPr>
              <w:t>101,2</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Odluka Vlade Republike Hrvatske o usvajanju programa "ESIF jamstva" i programa "ESIF mikro i mali zajmovi" (NN 62/16).</w:t>
      </w:r>
    </w:p>
    <w:p w:rsidR="005C2091" w:rsidRDefault="00A86293">
      <w:pPr>
        <w:pStyle w:val="Heading8"/>
        <w:jc w:val="left"/>
      </w:pPr>
      <w:r>
        <w:t>Opis aktivnosti</w:t>
      </w:r>
    </w:p>
    <w:p w:rsidR="005C2091" w:rsidRDefault="00A86293">
      <w:r>
        <w:t xml:space="preserve">Za upravljanje Financijskim instrumentima HAMAG-BICRO dobiva upravljačke naknade (osnovnu i naknadu za uspješnost), koje se izračunavaju sukladno EU pravilima, a koriste se za plaće i materijalne troškove. </w:t>
      </w:r>
    </w:p>
    <w:p w:rsidR="005C2091" w:rsidRDefault="00A86293">
      <w:r>
        <w:t>Ostvarena vrijednost je manja u odnosu na ciljanu jer je Sporazum o financiranju potpisan 30.06.2016. a konkretna provedba financijskih instrumenata je krenula krajem 2016. godine.</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1323E6" w:rsidTr="001323E6">
        <w:trPr>
          <w:jc w:val="center"/>
        </w:trPr>
        <w:tc>
          <w:tcPr>
            <w:tcW w:w="2553" w:type="dxa"/>
            <w:shd w:val="clear" w:color="auto" w:fill="B5C0D8"/>
          </w:tcPr>
          <w:p w:rsidR="001323E6" w:rsidRDefault="001323E6">
            <w:pPr>
              <w:jc w:val="center"/>
            </w:pPr>
            <w:r>
              <w:t>Pokazatelj rezultata</w:t>
            </w:r>
          </w:p>
        </w:tc>
        <w:tc>
          <w:tcPr>
            <w:tcW w:w="1020" w:type="dxa"/>
            <w:shd w:val="clear" w:color="auto" w:fill="B5C0D8"/>
          </w:tcPr>
          <w:p w:rsidR="001323E6" w:rsidRDefault="001323E6">
            <w:pPr>
              <w:pStyle w:val="CellHeader"/>
              <w:jc w:val="center"/>
            </w:pPr>
            <w:r>
              <w:rPr>
                <w:rFonts w:cs="Times New Roman"/>
              </w:rPr>
              <w:t>Jedinica</w:t>
            </w:r>
          </w:p>
        </w:tc>
        <w:tc>
          <w:tcPr>
            <w:tcW w:w="1020" w:type="dxa"/>
            <w:shd w:val="clear" w:color="auto" w:fill="B5C0D8"/>
          </w:tcPr>
          <w:p w:rsidR="001323E6" w:rsidRDefault="001323E6">
            <w:pPr>
              <w:pStyle w:val="CellHeader"/>
              <w:jc w:val="center"/>
            </w:pPr>
            <w:r>
              <w:rPr>
                <w:rFonts w:cs="Times New Roman"/>
              </w:rPr>
              <w:t>Polazna vrijednost</w:t>
            </w:r>
          </w:p>
        </w:tc>
        <w:tc>
          <w:tcPr>
            <w:tcW w:w="1020" w:type="dxa"/>
            <w:shd w:val="clear" w:color="auto" w:fill="B5C0D8"/>
          </w:tcPr>
          <w:p w:rsidR="001323E6" w:rsidRDefault="001323E6">
            <w:pPr>
              <w:pStyle w:val="CellHeader"/>
              <w:jc w:val="center"/>
            </w:pPr>
            <w:r>
              <w:rPr>
                <w:rFonts w:cs="Times New Roman"/>
              </w:rPr>
              <w:t>Izvor podataka</w:t>
            </w:r>
          </w:p>
        </w:tc>
        <w:tc>
          <w:tcPr>
            <w:tcW w:w="1020" w:type="dxa"/>
            <w:shd w:val="clear" w:color="auto" w:fill="B5C0D8"/>
          </w:tcPr>
          <w:p w:rsidR="001323E6" w:rsidRDefault="001323E6">
            <w:pPr>
              <w:pStyle w:val="CellHeader"/>
              <w:jc w:val="center"/>
            </w:pPr>
            <w:r>
              <w:rPr>
                <w:rFonts w:cs="Times New Roman"/>
              </w:rPr>
              <w:t>Ciljana vrijednost (2016.)</w:t>
            </w:r>
          </w:p>
        </w:tc>
        <w:tc>
          <w:tcPr>
            <w:tcW w:w="1020" w:type="dxa"/>
            <w:shd w:val="clear" w:color="auto" w:fill="B5C0D8"/>
          </w:tcPr>
          <w:p w:rsidR="001323E6" w:rsidRDefault="001323E6">
            <w:pPr>
              <w:pStyle w:val="CellHeader"/>
              <w:jc w:val="center"/>
            </w:pPr>
            <w:r>
              <w:rPr>
                <w:rFonts w:cs="Times New Roman"/>
              </w:rPr>
              <w:t>Ostvarena vrijednost (2016.)</w:t>
            </w:r>
          </w:p>
        </w:tc>
      </w:tr>
      <w:tr w:rsidR="001323E6" w:rsidTr="001323E6">
        <w:trPr>
          <w:jc w:val="center"/>
        </w:trPr>
        <w:tc>
          <w:tcPr>
            <w:tcW w:w="2553" w:type="dxa"/>
          </w:tcPr>
          <w:p w:rsidR="001323E6" w:rsidRDefault="001323E6">
            <w:pPr>
              <w:pStyle w:val="CellColumn"/>
              <w:jc w:val="left"/>
            </w:pPr>
            <w:r>
              <w:rPr>
                <w:rFonts w:cs="Times New Roman"/>
              </w:rPr>
              <w:t>Broj radnika čije plaće se sufinanciraju iz naknada za upravljanje FI</w:t>
            </w:r>
          </w:p>
        </w:tc>
        <w:tc>
          <w:tcPr>
            <w:tcW w:w="1020" w:type="dxa"/>
          </w:tcPr>
          <w:p w:rsidR="001323E6" w:rsidRDefault="001323E6">
            <w:pPr>
              <w:pStyle w:val="CellColumn"/>
              <w:jc w:val="right"/>
            </w:pPr>
            <w:r>
              <w:rPr>
                <w:rFonts w:cs="Times New Roman"/>
              </w:rPr>
              <w:t>broj</w:t>
            </w:r>
          </w:p>
        </w:tc>
        <w:tc>
          <w:tcPr>
            <w:tcW w:w="1020" w:type="dxa"/>
          </w:tcPr>
          <w:p w:rsidR="001323E6" w:rsidRDefault="001323E6">
            <w:pPr>
              <w:pStyle w:val="CellColumn"/>
              <w:jc w:val="right"/>
            </w:pPr>
            <w:r>
              <w:rPr>
                <w:rFonts w:cs="Times New Roman"/>
              </w:rPr>
              <w:t>0</w:t>
            </w:r>
          </w:p>
        </w:tc>
        <w:tc>
          <w:tcPr>
            <w:tcW w:w="1020" w:type="dxa"/>
          </w:tcPr>
          <w:p w:rsidR="001323E6" w:rsidRDefault="001323E6">
            <w:pPr>
              <w:pStyle w:val="CellColumn"/>
              <w:jc w:val="right"/>
            </w:pPr>
            <w:r>
              <w:rPr>
                <w:rFonts w:cs="Times New Roman"/>
              </w:rPr>
              <w:t>HAMAG-BICRO</w:t>
            </w:r>
          </w:p>
        </w:tc>
        <w:tc>
          <w:tcPr>
            <w:tcW w:w="1020" w:type="dxa"/>
          </w:tcPr>
          <w:p w:rsidR="001323E6" w:rsidRDefault="001323E6">
            <w:pPr>
              <w:pStyle w:val="CellColumn"/>
              <w:jc w:val="right"/>
            </w:pPr>
            <w:r>
              <w:rPr>
                <w:rFonts w:cs="Times New Roman"/>
              </w:rPr>
              <w:t>10</w:t>
            </w:r>
          </w:p>
        </w:tc>
        <w:tc>
          <w:tcPr>
            <w:tcW w:w="1020" w:type="dxa"/>
          </w:tcPr>
          <w:p w:rsidR="001323E6" w:rsidRDefault="001323E6">
            <w:pPr>
              <w:pStyle w:val="CellColumn"/>
              <w:jc w:val="right"/>
            </w:pPr>
            <w:r>
              <w:rPr>
                <w:rFonts w:cs="Times New Roman"/>
              </w:rPr>
              <w:t>4</w:t>
            </w:r>
          </w:p>
        </w:tc>
      </w:tr>
    </w:tbl>
    <w:p w:rsidR="005C2091" w:rsidRDefault="005C2091">
      <w:pPr>
        <w:jc w:val="left"/>
      </w:pPr>
    </w:p>
    <w:p w:rsidR="005C2091" w:rsidRDefault="00A86293">
      <w:pPr>
        <w:pStyle w:val="Heading4"/>
      </w:pPr>
      <w:r>
        <w:lastRenderedPageBreak/>
        <w:t>A913008 POTPORE INOVACIJSKOM PROCESU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A913008-POTPORE INOVACIJSKOM PROCESU</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5.115.768</w:t>
            </w:r>
          </w:p>
        </w:tc>
        <w:tc>
          <w:tcPr>
            <w:tcW w:w="2041" w:type="dxa"/>
          </w:tcPr>
          <w:p w:rsidR="005C2091" w:rsidRDefault="00A86293">
            <w:pPr>
              <w:pStyle w:val="CellColumn"/>
              <w:jc w:val="right"/>
            </w:pPr>
            <w:r>
              <w:rPr>
                <w:rFonts w:cs="Times New Roman"/>
              </w:rPr>
              <w:t>3.010.123</w:t>
            </w:r>
          </w:p>
        </w:tc>
        <w:tc>
          <w:tcPr>
            <w:tcW w:w="1224" w:type="dxa"/>
          </w:tcPr>
          <w:p w:rsidR="005C2091" w:rsidRDefault="00A86293">
            <w:pPr>
              <w:pStyle w:val="CellColumn"/>
              <w:jc w:val="right"/>
            </w:pPr>
            <w:r>
              <w:rPr>
                <w:rFonts w:cs="Times New Roman"/>
              </w:rPr>
              <w:t>58,8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Odluka o davanju suglasnosti Ministarstvu poduzetništva i obrta, Hrvatskoj agenciji za malo gospodarstvo, inovacije i investicije za preuzimanje obveza na teret sredstava državnog proračuna za razdoblje od 2016. do 2024. godine za ulaganje u Enterprise Innovation Fund C.V. usvojenoj na 235. sjednici Vlade RH održanoj 08.07.2015. godine.</w:t>
      </w:r>
    </w:p>
    <w:p w:rsidR="001323E6" w:rsidRDefault="001323E6"/>
    <w:p w:rsidR="005C2091" w:rsidRDefault="00A86293">
      <w:pPr>
        <w:pStyle w:val="Heading8"/>
        <w:jc w:val="left"/>
      </w:pPr>
      <w:r>
        <w:t>Opis aktivnosti</w:t>
      </w:r>
    </w:p>
    <w:p w:rsidR="005C2091" w:rsidRDefault="00A86293">
      <w:r>
        <w:t xml:space="preserve">Ova aktivnost obuhvaća 3 aktivnosti iz glave 05110 i to A563119, A822064 i A822073. </w:t>
      </w:r>
    </w:p>
    <w:p w:rsidR="005C2091" w:rsidRDefault="00A86293">
      <w:r>
        <w:t xml:space="preserve">Sredstvima ove aktivnosti financirao se, između ostalog, projekt kroz program TEHCRO. Projekt završava tijekom drugog kvartala 2017. godine.  </w:t>
      </w:r>
    </w:p>
    <w:p w:rsidR="005C2091" w:rsidRDefault="00A86293">
      <w:r>
        <w:t>Enterprise Innovation Fund (ENIF) predstavlja zajedničku inicijativu Europske komisije, Europskog investicijskog fonda (EIF) i Europske banke za obnovu i razvoj (EBRD) kojom se osniva prvi regionalni fond poduzetničkog kapitala (Venture Capital). Najveći pojedinačni ulagači u Fond su Europska komisija, EIF i EBRD, a pored njih sredstva ulažu i zemlje sudionice, koje su ujedno i zemlje u koje će fond ulagati sredstva, a riječ je o Republici Hrvatskoj, Bosni i Hercegovini, Srbiji, Kosovu, Makedoniji i Albaniji. Na međunarodnom natječaju je odabran Upravitelj koji će u ime i za račun ulagatelja upravljati Fondom. Projekt ENIF je odobren od strane Europske komisije kroz Multy IPA Beneficiary.</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1323E6" w:rsidTr="001323E6">
        <w:trPr>
          <w:jc w:val="center"/>
        </w:trPr>
        <w:tc>
          <w:tcPr>
            <w:tcW w:w="2553" w:type="dxa"/>
            <w:shd w:val="clear" w:color="auto" w:fill="B5C0D8"/>
          </w:tcPr>
          <w:p w:rsidR="001323E6" w:rsidRDefault="001323E6">
            <w:pPr>
              <w:jc w:val="center"/>
            </w:pPr>
            <w:r>
              <w:t>Pokazatelj rezultata</w:t>
            </w:r>
          </w:p>
        </w:tc>
        <w:tc>
          <w:tcPr>
            <w:tcW w:w="1020" w:type="dxa"/>
            <w:shd w:val="clear" w:color="auto" w:fill="B5C0D8"/>
          </w:tcPr>
          <w:p w:rsidR="001323E6" w:rsidRDefault="001323E6">
            <w:pPr>
              <w:pStyle w:val="CellHeader"/>
              <w:jc w:val="center"/>
            </w:pPr>
            <w:r>
              <w:rPr>
                <w:rFonts w:cs="Times New Roman"/>
              </w:rPr>
              <w:t>Jedinica</w:t>
            </w:r>
          </w:p>
        </w:tc>
        <w:tc>
          <w:tcPr>
            <w:tcW w:w="1020" w:type="dxa"/>
            <w:shd w:val="clear" w:color="auto" w:fill="B5C0D8"/>
          </w:tcPr>
          <w:p w:rsidR="001323E6" w:rsidRDefault="001323E6">
            <w:pPr>
              <w:pStyle w:val="CellHeader"/>
              <w:jc w:val="center"/>
            </w:pPr>
            <w:r>
              <w:rPr>
                <w:rFonts w:cs="Times New Roman"/>
              </w:rPr>
              <w:t>Polazna vrijednost</w:t>
            </w:r>
          </w:p>
        </w:tc>
        <w:tc>
          <w:tcPr>
            <w:tcW w:w="1020" w:type="dxa"/>
            <w:shd w:val="clear" w:color="auto" w:fill="B5C0D8"/>
          </w:tcPr>
          <w:p w:rsidR="001323E6" w:rsidRDefault="001323E6">
            <w:pPr>
              <w:pStyle w:val="CellHeader"/>
              <w:jc w:val="center"/>
            </w:pPr>
            <w:r>
              <w:rPr>
                <w:rFonts w:cs="Times New Roman"/>
              </w:rPr>
              <w:t>Izvor podataka</w:t>
            </w:r>
          </w:p>
        </w:tc>
        <w:tc>
          <w:tcPr>
            <w:tcW w:w="1020" w:type="dxa"/>
            <w:shd w:val="clear" w:color="auto" w:fill="B5C0D8"/>
          </w:tcPr>
          <w:p w:rsidR="001323E6" w:rsidRDefault="001323E6">
            <w:pPr>
              <w:pStyle w:val="CellHeader"/>
              <w:jc w:val="center"/>
            </w:pPr>
            <w:r>
              <w:rPr>
                <w:rFonts w:cs="Times New Roman"/>
              </w:rPr>
              <w:t>Ciljana vrijednost (2016.)</w:t>
            </w:r>
          </w:p>
        </w:tc>
        <w:tc>
          <w:tcPr>
            <w:tcW w:w="1020" w:type="dxa"/>
            <w:shd w:val="clear" w:color="auto" w:fill="B5C0D8"/>
          </w:tcPr>
          <w:p w:rsidR="001323E6" w:rsidRDefault="001323E6">
            <w:pPr>
              <w:pStyle w:val="CellHeader"/>
              <w:jc w:val="center"/>
            </w:pPr>
            <w:r>
              <w:rPr>
                <w:rFonts w:cs="Times New Roman"/>
              </w:rPr>
              <w:t>Ostvarena vrijednost (2016.)</w:t>
            </w:r>
          </w:p>
        </w:tc>
      </w:tr>
      <w:tr w:rsidR="001323E6" w:rsidTr="001323E6">
        <w:trPr>
          <w:jc w:val="center"/>
        </w:trPr>
        <w:tc>
          <w:tcPr>
            <w:tcW w:w="2553" w:type="dxa"/>
          </w:tcPr>
          <w:p w:rsidR="001323E6" w:rsidRDefault="001323E6">
            <w:pPr>
              <w:pStyle w:val="CellColumn"/>
              <w:jc w:val="left"/>
            </w:pPr>
            <w:r>
              <w:rPr>
                <w:rFonts w:cs="Times New Roman"/>
              </w:rPr>
              <w:t>Broj financiranih projekata</w:t>
            </w:r>
          </w:p>
        </w:tc>
        <w:tc>
          <w:tcPr>
            <w:tcW w:w="1020" w:type="dxa"/>
          </w:tcPr>
          <w:p w:rsidR="001323E6" w:rsidRDefault="001323E6">
            <w:pPr>
              <w:pStyle w:val="CellColumn"/>
              <w:jc w:val="right"/>
            </w:pPr>
            <w:r>
              <w:rPr>
                <w:rFonts w:cs="Times New Roman"/>
              </w:rPr>
              <w:t>broj</w:t>
            </w:r>
          </w:p>
        </w:tc>
        <w:tc>
          <w:tcPr>
            <w:tcW w:w="1020" w:type="dxa"/>
          </w:tcPr>
          <w:p w:rsidR="001323E6" w:rsidRDefault="001323E6">
            <w:pPr>
              <w:pStyle w:val="CellColumn"/>
              <w:jc w:val="right"/>
            </w:pPr>
            <w:r>
              <w:rPr>
                <w:rFonts w:cs="Times New Roman"/>
              </w:rPr>
              <w:t>1</w:t>
            </w:r>
          </w:p>
        </w:tc>
        <w:tc>
          <w:tcPr>
            <w:tcW w:w="1020" w:type="dxa"/>
          </w:tcPr>
          <w:p w:rsidR="001323E6" w:rsidRDefault="001323E6">
            <w:pPr>
              <w:pStyle w:val="CellColumn"/>
              <w:jc w:val="right"/>
            </w:pPr>
            <w:r>
              <w:rPr>
                <w:rFonts w:cs="Times New Roman"/>
              </w:rPr>
              <w:t>HAMAG-BICRO</w:t>
            </w:r>
          </w:p>
        </w:tc>
        <w:tc>
          <w:tcPr>
            <w:tcW w:w="1020" w:type="dxa"/>
          </w:tcPr>
          <w:p w:rsidR="001323E6" w:rsidRDefault="001323E6">
            <w:pPr>
              <w:pStyle w:val="CellColumn"/>
              <w:jc w:val="right"/>
            </w:pPr>
            <w:r>
              <w:rPr>
                <w:rFonts w:cs="Times New Roman"/>
              </w:rPr>
              <w:t>1</w:t>
            </w:r>
          </w:p>
        </w:tc>
        <w:tc>
          <w:tcPr>
            <w:tcW w:w="1020" w:type="dxa"/>
          </w:tcPr>
          <w:p w:rsidR="001323E6" w:rsidRDefault="001323E6">
            <w:pPr>
              <w:pStyle w:val="CellColumn"/>
              <w:jc w:val="right"/>
            </w:pPr>
            <w:r>
              <w:rPr>
                <w:rFonts w:cs="Times New Roman"/>
              </w:rPr>
              <w:t>1</w:t>
            </w:r>
          </w:p>
        </w:tc>
      </w:tr>
      <w:tr w:rsidR="001323E6" w:rsidTr="001323E6">
        <w:trPr>
          <w:jc w:val="center"/>
        </w:trPr>
        <w:tc>
          <w:tcPr>
            <w:tcW w:w="2553" w:type="dxa"/>
          </w:tcPr>
          <w:p w:rsidR="001323E6" w:rsidRDefault="001323E6">
            <w:pPr>
              <w:pStyle w:val="CellColumn"/>
              <w:jc w:val="left"/>
            </w:pPr>
            <w:r>
              <w:rPr>
                <w:rFonts w:cs="Times New Roman"/>
              </w:rPr>
              <w:t>ENIF - Izvršena ulaganja u inovativne tvrtke</w:t>
            </w:r>
          </w:p>
        </w:tc>
        <w:tc>
          <w:tcPr>
            <w:tcW w:w="1020" w:type="dxa"/>
          </w:tcPr>
          <w:p w:rsidR="001323E6" w:rsidRDefault="001323E6">
            <w:pPr>
              <w:pStyle w:val="CellColumn"/>
              <w:jc w:val="right"/>
            </w:pPr>
            <w:r>
              <w:rPr>
                <w:rFonts w:cs="Times New Roman"/>
              </w:rPr>
              <w:t>broj</w:t>
            </w:r>
          </w:p>
        </w:tc>
        <w:tc>
          <w:tcPr>
            <w:tcW w:w="1020" w:type="dxa"/>
          </w:tcPr>
          <w:p w:rsidR="001323E6" w:rsidRDefault="001323E6">
            <w:pPr>
              <w:pStyle w:val="CellColumn"/>
              <w:jc w:val="right"/>
            </w:pPr>
            <w:r>
              <w:rPr>
                <w:rFonts w:cs="Times New Roman"/>
              </w:rPr>
              <w:t>0</w:t>
            </w:r>
          </w:p>
        </w:tc>
        <w:tc>
          <w:tcPr>
            <w:tcW w:w="1020" w:type="dxa"/>
          </w:tcPr>
          <w:p w:rsidR="001323E6" w:rsidRDefault="001323E6">
            <w:pPr>
              <w:pStyle w:val="CellColumn"/>
              <w:jc w:val="right"/>
            </w:pPr>
            <w:r>
              <w:rPr>
                <w:rFonts w:cs="Times New Roman"/>
              </w:rPr>
              <w:t>HAMAG-BICRO</w:t>
            </w:r>
          </w:p>
        </w:tc>
        <w:tc>
          <w:tcPr>
            <w:tcW w:w="1020" w:type="dxa"/>
          </w:tcPr>
          <w:p w:rsidR="001323E6" w:rsidRDefault="001323E6">
            <w:pPr>
              <w:pStyle w:val="CellColumn"/>
              <w:jc w:val="right"/>
            </w:pPr>
            <w:r>
              <w:rPr>
                <w:rFonts w:cs="Times New Roman"/>
              </w:rPr>
              <w:t>5</w:t>
            </w:r>
          </w:p>
        </w:tc>
        <w:tc>
          <w:tcPr>
            <w:tcW w:w="1020" w:type="dxa"/>
          </w:tcPr>
          <w:p w:rsidR="001323E6" w:rsidRDefault="001323E6">
            <w:pPr>
              <w:pStyle w:val="CellColumn"/>
              <w:jc w:val="right"/>
            </w:pPr>
            <w:r>
              <w:rPr>
                <w:rFonts w:cs="Times New Roman"/>
              </w:rPr>
              <w:t>5</w:t>
            </w:r>
          </w:p>
        </w:tc>
      </w:tr>
    </w:tbl>
    <w:p w:rsidR="005C2091" w:rsidRDefault="005C2091">
      <w:pPr>
        <w:jc w:val="left"/>
      </w:pPr>
    </w:p>
    <w:p w:rsidR="005C2091" w:rsidRDefault="00A86293">
      <w:pPr>
        <w:pStyle w:val="Heading4"/>
      </w:pPr>
      <w:r>
        <w:t>A913009 PROGRAMI EUREKA I EUROSTARS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A913009-PROGRAMI EUREKA I EUROSTARS</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767.536</w:t>
            </w:r>
          </w:p>
        </w:tc>
        <w:tc>
          <w:tcPr>
            <w:tcW w:w="2041" w:type="dxa"/>
          </w:tcPr>
          <w:p w:rsidR="005C2091" w:rsidRDefault="00A86293">
            <w:pPr>
              <w:pStyle w:val="CellColumn"/>
              <w:jc w:val="right"/>
            </w:pPr>
            <w:r>
              <w:rPr>
                <w:rFonts w:cs="Times New Roman"/>
              </w:rPr>
              <w:t>399.435</w:t>
            </w:r>
          </w:p>
        </w:tc>
        <w:tc>
          <w:tcPr>
            <w:tcW w:w="1224" w:type="dxa"/>
          </w:tcPr>
          <w:p w:rsidR="005C2091" w:rsidRDefault="00A86293">
            <w:pPr>
              <w:pStyle w:val="CellColumn"/>
              <w:jc w:val="right"/>
            </w:pPr>
            <w:r>
              <w:rPr>
                <w:rFonts w:cs="Times New Roman"/>
              </w:rPr>
              <w:t>52,0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Osnovan je 1985. godine Hannoverskom deklaracijom od strane 17 europskih zemalja i članica Komisije Europske Zajednice.</w:t>
      </w:r>
    </w:p>
    <w:p w:rsidR="005C2091" w:rsidRDefault="00A86293">
      <w:pPr>
        <w:pStyle w:val="Heading8"/>
        <w:jc w:val="left"/>
      </w:pPr>
      <w:r>
        <w:t>Opis aktivnosti</w:t>
      </w:r>
    </w:p>
    <w:p w:rsidR="005C2091" w:rsidRDefault="00A86293">
      <w:r>
        <w:t>Programi EUREKA i Eurostars (podprogram EUREKA-e) je europska inicijativa za financiranje tržišno-orijentiranih projekata različitih tehnologijskih područja. Program je namijenjen malim i srednje velikim trgovačkim društvima za razvoj novih proizvoda, usluga ili procesa i pomaže izgradnji partnerstava kroz zajedničke multilateralne projekte u cilju jačanja europske konkurentnosti. Cilj je poticanje međunarodne suradnje istraživačko-razvojnih malih i srednjih poduzeća s međunarodnim partnerima. Osnovana je 1985. godine Hannoverskom deklaracijom od strane 17 europskih zemalja i članica Komisije Europske Zajednice.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ugovorenih projekata</w:t>
            </w:r>
          </w:p>
        </w:tc>
        <w:tc>
          <w:tcPr>
            <w:tcW w:w="2551" w:type="dxa"/>
          </w:tcPr>
          <w:p w:rsidR="005C2091" w:rsidRDefault="00A86293">
            <w:pPr>
              <w:pStyle w:val="CellColumn"/>
              <w:jc w:val="left"/>
            </w:pPr>
            <w:r>
              <w:rPr>
                <w:rFonts w:cs="Times New Roman"/>
              </w:rPr>
              <w:t>Potpisan ugovor s korisnikom</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5</w:t>
            </w:r>
          </w:p>
        </w:tc>
      </w:tr>
    </w:tbl>
    <w:p w:rsidR="005C2091" w:rsidRDefault="005C2091">
      <w:pPr>
        <w:jc w:val="left"/>
      </w:pPr>
    </w:p>
    <w:p w:rsidR="005C2091" w:rsidRDefault="00A86293">
      <w:pPr>
        <w:pStyle w:val="Heading4"/>
      </w:pPr>
      <w:r>
        <w:t>A913010 EUROPSKA PODUZETNIČKA MREŽA</w:t>
      </w:r>
    </w:p>
    <w:tbl>
      <w:tblPr>
        <w:tblStyle w:val="StilTablice"/>
        <w:tblW w:w="10206" w:type="dxa"/>
        <w:jc w:val="center"/>
        <w:tblLook w:val="04A0" w:firstRow="1" w:lastRow="0" w:firstColumn="1" w:lastColumn="0" w:noHBand="0" w:noVBand="1"/>
      </w:tblPr>
      <w:tblGrid>
        <w:gridCol w:w="1660"/>
        <w:gridCol w:w="2034"/>
        <w:gridCol w:w="2033"/>
        <w:gridCol w:w="2034"/>
        <w:gridCol w:w="1222"/>
        <w:gridCol w:w="122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A913010-EUROPSKA PODUZETNIČKA MREŽA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386.000</w:t>
            </w:r>
          </w:p>
        </w:tc>
        <w:tc>
          <w:tcPr>
            <w:tcW w:w="2041" w:type="dxa"/>
          </w:tcPr>
          <w:p w:rsidR="005C2091" w:rsidRDefault="00A86293">
            <w:pPr>
              <w:pStyle w:val="CellColumn"/>
              <w:jc w:val="right"/>
            </w:pPr>
            <w:r>
              <w:rPr>
                <w:rFonts w:cs="Times New Roman"/>
              </w:rPr>
              <w:t>138.415</w:t>
            </w:r>
          </w:p>
        </w:tc>
        <w:tc>
          <w:tcPr>
            <w:tcW w:w="1224" w:type="dxa"/>
          </w:tcPr>
          <w:p w:rsidR="005C2091" w:rsidRDefault="00A86293">
            <w:pPr>
              <w:pStyle w:val="CellColumn"/>
              <w:jc w:val="right"/>
            </w:pPr>
            <w:r>
              <w:rPr>
                <w:rFonts w:cs="Times New Roman"/>
              </w:rPr>
              <w:t>35,9</w:t>
            </w:r>
          </w:p>
        </w:tc>
        <w:tc>
          <w:tcPr>
            <w:tcW w:w="1224" w:type="dxa"/>
          </w:tcPr>
          <w:p w:rsidR="005C2091" w:rsidRDefault="00A86293">
            <w:pPr>
              <w:pStyle w:val="CellColumn"/>
              <w:jc w:val="right"/>
            </w:pPr>
            <w:r>
              <w:rPr>
                <w:rFonts w:cs="Times New Roman"/>
              </w:rPr>
              <w:t>0,0</w:t>
            </w:r>
          </w:p>
        </w:tc>
      </w:tr>
    </w:tbl>
    <w:p w:rsidR="005C2091" w:rsidRDefault="00A86293">
      <w:pPr>
        <w:pStyle w:val="Heading8"/>
        <w:jc w:val="left"/>
      </w:pPr>
      <w:r>
        <w:t>Zakonske i druge pravne osnove</w:t>
      </w:r>
    </w:p>
    <w:p w:rsidR="005C2091" w:rsidRDefault="00A86293">
      <w:r>
        <w:t>COSME program (Programme for the Competitiveness of enterprises and SMEs - Program za konkurentnost poduzeća i malih i srednjih poduzeća) - program Europske unije za financijsko razdoblje 2014.-2020. kojim će se poticati konkurentnost europskih malih i srednjih poduzeća.</w:t>
      </w:r>
    </w:p>
    <w:p w:rsidR="005C2091" w:rsidRDefault="00A86293">
      <w:pPr>
        <w:pStyle w:val="Heading8"/>
        <w:jc w:val="left"/>
      </w:pPr>
      <w:r>
        <w:t>Opis aktivnosti</w:t>
      </w:r>
    </w:p>
    <w:p w:rsidR="005C2091" w:rsidRDefault="00A86293">
      <w:r>
        <w:t>U sklopu Europskog projekta Europska poduzetnička mreža čiji je koordinator Hrvatska gospodarska komora, Hamag-Bicro je ravnopravan partner u konzorciju. Cilj projekta je sustavna podrška poduzetnicima u internacionalizaciji poslovanja i inovacijskim procesima malim i srednjim poduzetnicima. Provedene projektne aktivnosti tijekom 2016. godine su u skladu s planiranim godišnjim pokazateljima.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Lokalni događaji</w:t>
            </w:r>
          </w:p>
        </w:tc>
        <w:tc>
          <w:tcPr>
            <w:tcW w:w="2551" w:type="dxa"/>
          </w:tcPr>
          <w:p w:rsidR="005C2091" w:rsidRDefault="00A86293">
            <w:pPr>
              <w:pStyle w:val="CellColumn"/>
              <w:jc w:val="left"/>
            </w:pPr>
            <w:r>
              <w:rPr>
                <w:rFonts w:cs="Times New Roman"/>
              </w:rPr>
              <w:t>konferencija, radionica, seminar</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9</w:t>
            </w:r>
          </w:p>
        </w:tc>
      </w:tr>
      <w:tr w:rsidR="005C2091">
        <w:trPr>
          <w:jc w:val="center"/>
        </w:trPr>
        <w:tc>
          <w:tcPr>
            <w:tcW w:w="2551" w:type="dxa"/>
          </w:tcPr>
          <w:p w:rsidR="005C2091" w:rsidRDefault="00A86293">
            <w:pPr>
              <w:pStyle w:val="CellColumn"/>
              <w:jc w:val="left"/>
            </w:pPr>
            <w:r>
              <w:rPr>
                <w:rFonts w:cs="Times New Roman"/>
              </w:rPr>
              <w:t>Sudionici na događanjima</w:t>
            </w:r>
          </w:p>
        </w:tc>
        <w:tc>
          <w:tcPr>
            <w:tcW w:w="2551" w:type="dxa"/>
          </w:tcPr>
          <w:p w:rsidR="005C2091" w:rsidRDefault="005C2091">
            <w:pPr>
              <w:jc w:val="left"/>
            </w:pP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400</w:t>
            </w:r>
          </w:p>
        </w:tc>
        <w:tc>
          <w:tcPr>
            <w:tcW w:w="1020" w:type="dxa"/>
          </w:tcPr>
          <w:p w:rsidR="005C2091" w:rsidRDefault="00A86293">
            <w:pPr>
              <w:pStyle w:val="CellColumn"/>
              <w:jc w:val="right"/>
            </w:pPr>
            <w:r>
              <w:rPr>
                <w:rFonts w:cs="Times New Roman"/>
              </w:rPr>
              <w:t>420</w:t>
            </w:r>
          </w:p>
        </w:tc>
      </w:tr>
      <w:tr w:rsidR="005C2091">
        <w:trPr>
          <w:jc w:val="center"/>
        </w:trPr>
        <w:tc>
          <w:tcPr>
            <w:tcW w:w="2551" w:type="dxa"/>
          </w:tcPr>
          <w:p w:rsidR="005C2091" w:rsidRDefault="00A86293">
            <w:pPr>
              <w:pStyle w:val="CellColumn"/>
              <w:jc w:val="left"/>
            </w:pPr>
            <w:r>
              <w:rPr>
                <w:rFonts w:cs="Times New Roman"/>
              </w:rPr>
              <w:t>klijenti kojima je pružena savjetodavna podrška</w:t>
            </w:r>
          </w:p>
        </w:tc>
        <w:tc>
          <w:tcPr>
            <w:tcW w:w="2551" w:type="dxa"/>
          </w:tcPr>
          <w:p w:rsidR="005C2091" w:rsidRDefault="00A86293">
            <w:pPr>
              <w:pStyle w:val="CellColumn"/>
              <w:jc w:val="left"/>
            </w:pPr>
            <w:r>
              <w:rPr>
                <w:rFonts w:cs="Times New Roman"/>
              </w:rPr>
              <w:t>klijenti-tvrtke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52</w:t>
            </w:r>
          </w:p>
        </w:tc>
      </w:tr>
      <w:tr w:rsidR="005C2091">
        <w:trPr>
          <w:jc w:val="center"/>
        </w:trPr>
        <w:tc>
          <w:tcPr>
            <w:tcW w:w="2551" w:type="dxa"/>
          </w:tcPr>
          <w:p w:rsidR="005C2091" w:rsidRDefault="00A86293">
            <w:pPr>
              <w:pStyle w:val="CellColumn"/>
              <w:jc w:val="left"/>
            </w:pPr>
            <w:r>
              <w:rPr>
                <w:rFonts w:cs="Times New Roman"/>
              </w:rPr>
              <w:lastRenderedPageBreak/>
              <w:t>multilateralni sastanci</w:t>
            </w:r>
          </w:p>
        </w:tc>
        <w:tc>
          <w:tcPr>
            <w:tcW w:w="2551" w:type="dxa"/>
          </w:tcPr>
          <w:p w:rsidR="005C2091" w:rsidRDefault="005C2091">
            <w:pPr>
              <w:jc w:val="left"/>
            </w:pP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3</w:t>
            </w:r>
          </w:p>
        </w:tc>
        <w:tc>
          <w:tcPr>
            <w:tcW w:w="1020" w:type="dxa"/>
          </w:tcPr>
          <w:p w:rsidR="005C2091" w:rsidRDefault="00A86293">
            <w:pPr>
              <w:pStyle w:val="CellColumn"/>
              <w:jc w:val="right"/>
            </w:pPr>
            <w:r>
              <w:rPr>
                <w:rFonts w:cs="Times New Roman"/>
              </w:rPr>
              <w:t>4</w:t>
            </w:r>
          </w:p>
        </w:tc>
      </w:tr>
      <w:tr w:rsidR="005C2091">
        <w:trPr>
          <w:jc w:val="center"/>
        </w:trPr>
        <w:tc>
          <w:tcPr>
            <w:tcW w:w="2551" w:type="dxa"/>
          </w:tcPr>
          <w:p w:rsidR="005C2091" w:rsidRDefault="00A86293">
            <w:pPr>
              <w:pStyle w:val="CellColumn"/>
              <w:jc w:val="left"/>
            </w:pPr>
            <w:r>
              <w:rPr>
                <w:rFonts w:cs="Times New Roman"/>
              </w:rPr>
              <w:t>broj sudionika na multilateralnim sastancima</w:t>
            </w:r>
          </w:p>
        </w:tc>
        <w:tc>
          <w:tcPr>
            <w:tcW w:w="2551" w:type="dxa"/>
          </w:tcPr>
          <w:p w:rsidR="005C2091" w:rsidRDefault="00A86293">
            <w:pPr>
              <w:pStyle w:val="CellColumn"/>
              <w:jc w:val="left"/>
            </w:pPr>
            <w:r>
              <w:rPr>
                <w:rFonts w:cs="Times New Roman"/>
              </w:rPr>
              <w:t>SME tvrtke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45</w:t>
            </w:r>
          </w:p>
        </w:tc>
        <w:tc>
          <w:tcPr>
            <w:tcW w:w="1020" w:type="dxa"/>
          </w:tcPr>
          <w:p w:rsidR="005C2091" w:rsidRDefault="00A86293">
            <w:pPr>
              <w:pStyle w:val="CellColumn"/>
              <w:jc w:val="right"/>
            </w:pPr>
            <w:r>
              <w:rPr>
                <w:rFonts w:cs="Times New Roman"/>
              </w:rPr>
              <w:t>94</w:t>
            </w:r>
          </w:p>
        </w:tc>
      </w:tr>
    </w:tbl>
    <w:p w:rsidR="005C2091" w:rsidRDefault="005C2091">
      <w:pPr>
        <w:jc w:val="left"/>
      </w:pPr>
    </w:p>
    <w:p w:rsidR="005C2091" w:rsidRDefault="00A86293">
      <w:pPr>
        <w:pStyle w:val="Heading4"/>
      </w:pPr>
      <w:r>
        <w:t>A913012 EUROPSKI PROJEKTI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A913012-EUROPSKI PROJEKTI</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419.654</w:t>
            </w:r>
          </w:p>
        </w:tc>
        <w:tc>
          <w:tcPr>
            <w:tcW w:w="2041" w:type="dxa"/>
          </w:tcPr>
          <w:p w:rsidR="005C2091" w:rsidRDefault="00A86293">
            <w:pPr>
              <w:pStyle w:val="CellColumn"/>
              <w:jc w:val="right"/>
            </w:pPr>
            <w:r>
              <w:rPr>
                <w:rFonts w:cs="Times New Roman"/>
              </w:rPr>
              <w:t>19.072</w:t>
            </w:r>
          </w:p>
        </w:tc>
        <w:tc>
          <w:tcPr>
            <w:tcW w:w="1224" w:type="dxa"/>
          </w:tcPr>
          <w:p w:rsidR="005C2091" w:rsidRDefault="00A86293">
            <w:pPr>
              <w:pStyle w:val="CellColumn"/>
              <w:jc w:val="right"/>
            </w:pPr>
            <w:r>
              <w:rPr>
                <w:rFonts w:cs="Times New Roman"/>
              </w:rPr>
              <w:t>4,5</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Uredba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w:t>
      </w:r>
    </w:p>
    <w:p w:rsidR="005C2091" w:rsidRDefault="00A86293">
      <w:pPr>
        <w:pStyle w:val="Heading8"/>
        <w:jc w:val="left"/>
      </w:pPr>
      <w:r>
        <w:t>Opis aktivnosti</w:t>
      </w:r>
    </w:p>
    <w:p w:rsidR="005C2091" w:rsidRDefault="00A86293">
      <w:r>
        <w:t>Cilj ove aktivnosti je unapređenje kvalitete programa HAMAG-BICRO-a jačanjem kapaciteta zaposlenika i posebice krajnjih korisnika, transferom dobrih praksi putem transnacionalne i međunarodne suradnje . PPI2Innovate - Projekt naziva Capacity building to boost usage of PPI in Central Europe provodi se u 6 država i ima za cilj suradnju oko poticaja inovacija kako bi se Srednja Europa učinila konkurentnijom. Poboljšanje održivih poveznica između dionika inovacijskog sustava s ciljem jačanja regionalnih inovacijskih kapaciteta u Srednjoj Europi. Projekt je započeo 01.06.2016. a trajat će 36 mjeseci.</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međunarodnih projekata</w:t>
            </w:r>
          </w:p>
        </w:tc>
        <w:tc>
          <w:tcPr>
            <w:tcW w:w="2551" w:type="dxa"/>
          </w:tcPr>
          <w:p w:rsidR="005C2091" w:rsidRDefault="00A86293">
            <w:pPr>
              <w:pStyle w:val="CellColumn"/>
              <w:jc w:val="left"/>
            </w:pPr>
            <w:r>
              <w:rPr>
                <w:rFonts w:cs="Times New Roman"/>
              </w:rPr>
              <w:t>projekti u provedbi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bl>
    <w:p w:rsidR="005C2091" w:rsidRDefault="005C2091">
      <w:pPr>
        <w:jc w:val="left"/>
      </w:pPr>
    </w:p>
    <w:p w:rsidR="005C2091" w:rsidRDefault="00A86293">
      <w:pPr>
        <w:pStyle w:val="Heading4"/>
      </w:pPr>
      <w:r>
        <w:t>K913002 PROJEKT PODUZETNIČKOG KAPITALA ZA INOVACIJE I PODUZETNIŠTVO</w:t>
      </w:r>
    </w:p>
    <w:tbl>
      <w:tblPr>
        <w:tblStyle w:val="StilTablice"/>
        <w:tblW w:w="10206" w:type="dxa"/>
        <w:jc w:val="center"/>
        <w:tblLook w:val="04A0" w:firstRow="1" w:lastRow="0" w:firstColumn="1" w:lastColumn="0" w:noHBand="0" w:noVBand="1"/>
      </w:tblPr>
      <w:tblGrid>
        <w:gridCol w:w="1803"/>
        <w:gridCol w:w="1992"/>
        <w:gridCol w:w="1988"/>
        <w:gridCol w:w="1992"/>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K913002-PROJEKT PODUZETNIČKOG KAPITALA ZA INOVACIJE I PODUZETNIŠTVO</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815.513</w:t>
            </w:r>
          </w:p>
        </w:tc>
        <w:tc>
          <w:tcPr>
            <w:tcW w:w="2041" w:type="dxa"/>
          </w:tcPr>
          <w:p w:rsidR="005C2091" w:rsidRDefault="00A86293">
            <w:pPr>
              <w:pStyle w:val="CellColumn"/>
              <w:jc w:val="right"/>
            </w:pPr>
            <w:r>
              <w:rPr>
                <w:rFonts w:cs="Times New Roman"/>
              </w:rPr>
              <w:t>86.100</w:t>
            </w:r>
          </w:p>
        </w:tc>
        <w:tc>
          <w:tcPr>
            <w:tcW w:w="1224" w:type="dxa"/>
          </w:tcPr>
          <w:p w:rsidR="005C2091" w:rsidRDefault="00A86293">
            <w:pPr>
              <w:pStyle w:val="CellColumn"/>
              <w:jc w:val="right"/>
            </w:pPr>
            <w:r>
              <w:rPr>
                <w:rFonts w:cs="Times New Roman"/>
              </w:rPr>
              <w:t>10,6</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Hrvatski sabor je na temelju članka 27. Zakona o izvršavanju Državnog proračuna Republike Hrvatske za 2015. godinu (Narodne novine, broj 148/14) te članka 3. Zakona o izmjenama i dopunama zakona o izvršavanju državnog proračuna Republike Hrvatske za 2015. godinu (Narodne novine, broj 103A/15) ovlastio Ministarstvo financija Republike Hrvatske da se u ime Republike Hrvatske može zadužiti na inozemnom i domaćem tržištu novca i kapitala do ukupnog iznosa od 28.927.151.179,00 kuna, koji je iskazan u Računu financiranja Proračuna.</w:t>
      </w:r>
    </w:p>
    <w:p w:rsidR="005C2091" w:rsidRDefault="00A86293">
      <w:pPr>
        <w:pStyle w:val="Heading8"/>
        <w:jc w:val="left"/>
      </w:pPr>
      <w:r>
        <w:t>Opis aktivnosti</w:t>
      </w:r>
    </w:p>
    <w:p w:rsidR="005C2091" w:rsidRDefault="00A86293">
      <w:r>
        <w:t xml:space="preserve">Projektom poduzetničkog kapitala za inovacije i poduzetništvo se osniva prvi fond poduzetničkog kapitala u Republici Hrvatskoj. Ukupna vrijednost Projekta je 20 milijuna eura koji će se financirati zajmom IBRD-a (javni zajam, br. 85180-HR). Projekt je razvijen kao cjelovito rješenje problema financiranja inovativnih brzorastućih subjekata malog gospodarstva u Republici Hrvatskoj, a koje se nastavlja na Program poticanja ulaganja u vlasnički kapital inovativnih subjekata malog gospodarstva kojeg je 2015. godine proveo HAMAG-BICRO.  </w:t>
      </w:r>
    </w:p>
    <w:p w:rsidR="005C2091" w:rsidRDefault="00A86293">
      <w:r>
        <w:t xml:space="preserve">Projekt poduzetničkog kapitala za inovacije i poduzetništvo se sastoji od tri komponente. Prva je Pilot fond poduzetničkog kapitala (VC Fond). Cilj ove komponente je poduzeti početne korake prema uspostavljanju sektora poduzetničkog kapitala u Hrvatskoj. Na taj će se način pokazati komercijalna održivost financiranja inovacijskih MSP-ova u ranoj fazi te pomoći u privlačenju drugih društava i tržišnih agenata za ulaganje poduzetničkog kapitala, odnosno pripomoći će se stvaranju kritične mase ulaganja u ranoj fazi.  </w:t>
      </w:r>
    </w:p>
    <w:p w:rsidR="005C2091" w:rsidRDefault="00A86293">
      <w:r>
        <w:t xml:space="preserve">Druga komponenta je Fond za poticanje ulaganja u kapital u ranoj fazi financiranja (seed). Cilj ove komponente je jačanje sektora ulaganja u ranoj fazi u Hrvatskoj. Ova komponenta obuhvaća novoosnovana poduzeća znanja prije stjecanja prihoda. Fond za poticanje ulaganja pomoći će društvima da se razviju na razinu na kojoj će moći tražiti veće iznose koje fondovi poduzetničkog kapitala obično ulažu. Osim toga, pružit će se i potpora poslovnim anđelima. Prvi javni poziv je objavljen u travnju 2016. sa očekivanim zatvaranjem u veljači 2017. </w:t>
      </w:r>
    </w:p>
    <w:p w:rsidR="005C2091" w:rsidRDefault="00A86293">
      <w:r>
        <w:t>Treća komponenta je Tehnička pomoć koja podrazumijeva uspostavu mreže stručnjaka koji će davati savjete za provedbu Projekta, praćenje i ocjenjivanje upotrebe sredstava, i uspostavu Jedinice za provedbu Projekta.</w:t>
      </w:r>
    </w:p>
    <w:p w:rsidR="005C2091" w:rsidRDefault="00A86293">
      <w:pPr>
        <w:pStyle w:val="Heading8"/>
        <w:jc w:val="left"/>
      </w:pPr>
      <w:r>
        <w:t>Pokazatelji rezultata</w:t>
      </w:r>
    </w:p>
    <w:tbl>
      <w:tblPr>
        <w:tblStyle w:val="StilTablice"/>
        <w:tblW w:w="9736" w:type="dxa"/>
        <w:jc w:val="center"/>
        <w:tblInd w:w="-2083" w:type="dxa"/>
        <w:tblLook w:val="04A0" w:firstRow="1" w:lastRow="0" w:firstColumn="1" w:lastColumn="0" w:noHBand="0" w:noVBand="1"/>
      </w:tblPr>
      <w:tblGrid>
        <w:gridCol w:w="4636"/>
        <w:gridCol w:w="1020"/>
        <w:gridCol w:w="1020"/>
        <w:gridCol w:w="1020"/>
        <w:gridCol w:w="1020"/>
        <w:gridCol w:w="1020"/>
      </w:tblGrid>
      <w:tr w:rsidR="001323E6" w:rsidTr="001323E6">
        <w:trPr>
          <w:jc w:val="center"/>
        </w:trPr>
        <w:tc>
          <w:tcPr>
            <w:tcW w:w="4636" w:type="dxa"/>
            <w:shd w:val="clear" w:color="auto" w:fill="B5C0D8"/>
          </w:tcPr>
          <w:p w:rsidR="001323E6" w:rsidRDefault="001323E6">
            <w:pPr>
              <w:jc w:val="center"/>
            </w:pPr>
            <w:r>
              <w:t>Pokazatelj rezultata</w:t>
            </w:r>
          </w:p>
        </w:tc>
        <w:tc>
          <w:tcPr>
            <w:tcW w:w="1020" w:type="dxa"/>
            <w:shd w:val="clear" w:color="auto" w:fill="B5C0D8"/>
          </w:tcPr>
          <w:p w:rsidR="001323E6" w:rsidRDefault="001323E6">
            <w:pPr>
              <w:pStyle w:val="CellHeader"/>
              <w:jc w:val="center"/>
            </w:pPr>
            <w:r>
              <w:rPr>
                <w:rFonts w:cs="Times New Roman"/>
              </w:rPr>
              <w:t>Jedinica</w:t>
            </w:r>
          </w:p>
        </w:tc>
        <w:tc>
          <w:tcPr>
            <w:tcW w:w="1020" w:type="dxa"/>
            <w:shd w:val="clear" w:color="auto" w:fill="B5C0D8"/>
          </w:tcPr>
          <w:p w:rsidR="001323E6" w:rsidRDefault="001323E6">
            <w:pPr>
              <w:pStyle w:val="CellHeader"/>
              <w:jc w:val="center"/>
            </w:pPr>
            <w:r>
              <w:rPr>
                <w:rFonts w:cs="Times New Roman"/>
              </w:rPr>
              <w:t>Polazna vrijednost</w:t>
            </w:r>
          </w:p>
        </w:tc>
        <w:tc>
          <w:tcPr>
            <w:tcW w:w="1020" w:type="dxa"/>
            <w:shd w:val="clear" w:color="auto" w:fill="B5C0D8"/>
          </w:tcPr>
          <w:p w:rsidR="001323E6" w:rsidRDefault="001323E6">
            <w:pPr>
              <w:pStyle w:val="CellHeader"/>
              <w:jc w:val="center"/>
            </w:pPr>
            <w:r>
              <w:rPr>
                <w:rFonts w:cs="Times New Roman"/>
              </w:rPr>
              <w:t>Izvor podataka</w:t>
            </w:r>
          </w:p>
        </w:tc>
        <w:tc>
          <w:tcPr>
            <w:tcW w:w="1020" w:type="dxa"/>
            <w:shd w:val="clear" w:color="auto" w:fill="B5C0D8"/>
          </w:tcPr>
          <w:p w:rsidR="001323E6" w:rsidRDefault="001323E6">
            <w:pPr>
              <w:pStyle w:val="CellHeader"/>
              <w:jc w:val="center"/>
            </w:pPr>
            <w:r>
              <w:rPr>
                <w:rFonts w:cs="Times New Roman"/>
              </w:rPr>
              <w:t>Ciljana vrijednost (2016.)</w:t>
            </w:r>
          </w:p>
        </w:tc>
        <w:tc>
          <w:tcPr>
            <w:tcW w:w="1020" w:type="dxa"/>
            <w:shd w:val="clear" w:color="auto" w:fill="B5C0D8"/>
          </w:tcPr>
          <w:p w:rsidR="001323E6" w:rsidRDefault="001323E6">
            <w:pPr>
              <w:pStyle w:val="CellHeader"/>
              <w:jc w:val="center"/>
            </w:pPr>
            <w:r>
              <w:rPr>
                <w:rFonts w:cs="Times New Roman"/>
              </w:rPr>
              <w:t>Ostvarena vrijednost (2016.)</w:t>
            </w:r>
          </w:p>
        </w:tc>
      </w:tr>
      <w:tr w:rsidR="001323E6" w:rsidTr="001323E6">
        <w:trPr>
          <w:jc w:val="center"/>
        </w:trPr>
        <w:tc>
          <w:tcPr>
            <w:tcW w:w="4636" w:type="dxa"/>
          </w:tcPr>
          <w:p w:rsidR="001323E6" w:rsidRDefault="001323E6">
            <w:pPr>
              <w:pStyle w:val="CellColumn"/>
              <w:jc w:val="left"/>
            </w:pPr>
            <w:r>
              <w:rPr>
                <w:rFonts w:cs="Times New Roman"/>
              </w:rPr>
              <w:t>Izvršena ulaganja kroz VC Fond</w:t>
            </w:r>
          </w:p>
        </w:tc>
        <w:tc>
          <w:tcPr>
            <w:tcW w:w="1020" w:type="dxa"/>
          </w:tcPr>
          <w:p w:rsidR="001323E6" w:rsidRDefault="001323E6">
            <w:pPr>
              <w:pStyle w:val="CellColumn"/>
              <w:jc w:val="right"/>
            </w:pPr>
            <w:r>
              <w:rPr>
                <w:rFonts w:cs="Times New Roman"/>
              </w:rPr>
              <w:t>broj</w:t>
            </w:r>
          </w:p>
        </w:tc>
        <w:tc>
          <w:tcPr>
            <w:tcW w:w="1020" w:type="dxa"/>
          </w:tcPr>
          <w:p w:rsidR="001323E6" w:rsidRDefault="001323E6">
            <w:pPr>
              <w:pStyle w:val="CellColumn"/>
              <w:jc w:val="right"/>
            </w:pPr>
            <w:r>
              <w:rPr>
                <w:rFonts w:cs="Times New Roman"/>
              </w:rPr>
              <w:t>0</w:t>
            </w:r>
          </w:p>
        </w:tc>
        <w:tc>
          <w:tcPr>
            <w:tcW w:w="1020" w:type="dxa"/>
          </w:tcPr>
          <w:p w:rsidR="001323E6" w:rsidRDefault="001323E6">
            <w:pPr>
              <w:pStyle w:val="CellColumn"/>
              <w:jc w:val="right"/>
            </w:pPr>
            <w:r>
              <w:rPr>
                <w:rFonts w:cs="Times New Roman"/>
              </w:rPr>
              <w:t>HAMAG-BICRO</w:t>
            </w:r>
          </w:p>
        </w:tc>
        <w:tc>
          <w:tcPr>
            <w:tcW w:w="1020" w:type="dxa"/>
          </w:tcPr>
          <w:p w:rsidR="001323E6" w:rsidRDefault="001323E6">
            <w:pPr>
              <w:pStyle w:val="CellColumn"/>
              <w:jc w:val="right"/>
            </w:pPr>
            <w:r>
              <w:rPr>
                <w:rFonts w:cs="Times New Roman"/>
              </w:rPr>
              <w:t>1</w:t>
            </w:r>
          </w:p>
        </w:tc>
        <w:tc>
          <w:tcPr>
            <w:tcW w:w="1020" w:type="dxa"/>
          </w:tcPr>
          <w:p w:rsidR="001323E6" w:rsidRDefault="001323E6">
            <w:pPr>
              <w:pStyle w:val="CellColumn"/>
              <w:jc w:val="right"/>
            </w:pPr>
            <w:r>
              <w:rPr>
                <w:rFonts w:cs="Times New Roman"/>
              </w:rPr>
              <w:t>0</w:t>
            </w:r>
          </w:p>
        </w:tc>
      </w:tr>
      <w:tr w:rsidR="001323E6" w:rsidTr="001323E6">
        <w:trPr>
          <w:jc w:val="center"/>
        </w:trPr>
        <w:tc>
          <w:tcPr>
            <w:tcW w:w="4636" w:type="dxa"/>
          </w:tcPr>
          <w:p w:rsidR="001323E6" w:rsidRDefault="001323E6">
            <w:pPr>
              <w:pStyle w:val="CellColumn"/>
              <w:jc w:val="left"/>
            </w:pPr>
            <w:r>
              <w:rPr>
                <w:rFonts w:cs="Times New Roman"/>
              </w:rPr>
              <w:t>Izdani zajmovi u sklopu Seed programa</w:t>
            </w:r>
          </w:p>
        </w:tc>
        <w:tc>
          <w:tcPr>
            <w:tcW w:w="1020" w:type="dxa"/>
          </w:tcPr>
          <w:p w:rsidR="001323E6" w:rsidRDefault="001323E6">
            <w:pPr>
              <w:pStyle w:val="CellColumn"/>
              <w:jc w:val="right"/>
            </w:pPr>
            <w:r>
              <w:rPr>
                <w:rFonts w:cs="Times New Roman"/>
              </w:rPr>
              <w:t>broj</w:t>
            </w:r>
          </w:p>
        </w:tc>
        <w:tc>
          <w:tcPr>
            <w:tcW w:w="1020" w:type="dxa"/>
          </w:tcPr>
          <w:p w:rsidR="001323E6" w:rsidRDefault="001323E6">
            <w:pPr>
              <w:pStyle w:val="CellColumn"/>
              <w:jc w:val="right"/>
            </w:pPr>
            <w:r>
              <w:rPr>
                <w:rFonts w:cs="Times New Roman"/>
              </w:rPr>
              <w:t>0</w:t>
            </w:r>
          </w:p>
        </w:tc>
        <w:tc>
          <w:tcPr>
            <w:tcW w:w="1020" w:type="dxa"/>
          </w:tcPr>
          <w:p w:rsidR="001323E6" w:rsidRDefault="001323E6">
            <w:pPr>
              <w:pStyle w:val="CellColumn"/>
              <w:jc w:val="right"/>
            </w:pPr>
            <w:r>
              <w:rPr>
                <w:rFonts w:cs="Times New Roman"/>
              </w:rPr>
              <w:t>HAMAG-BICRO</w:t>
            </w:r>
          </w:p>
        </w:tc>
        <w:tc>
          <w:tcPr>
            <w:tcW w:w="1020" w:type="dxa"/>
          </w:tcPr>
          <w:p w:rsidR="001323E6" w:rsidRDefault="001323E6">
            <w:pPr>
              <w:pStyle w:val="CellColumn"/>
              <w:jc w:val="right"/>
            </w:pPr>
            <w:r>
              <w:rPr>
                <w:rFonts w:cs="Times New Roman"/>
              </w:rPr>
              <w:t>5</w:t>
            </w:r>
          </w:p>
        </w:tc>
        <w:tc>
          <w:tcPr>
            <w:tcW w:w="1020" w:type="dxa"/>
          </w:tcPr>
          <w:p w:rsidR="001323E6" w:rsidRDefault="001323E6">
            <w:pPr>
              <w:pStyle w:val="CellColumn"/>
              <w:jc w:val="right"/>
            </w:pPr>
            <w:r>
              <w:rPr>
                <w:rFonts w:cs="Times New Roman"/>
              </w:rPr>
              <w:t>0</w:t>
            </w:r>
          </w:p>
        </w:tc>
      </w:tr>
    </w:tbl>
    <w:p w:rsidR="005C2091" w:rsidRDefault="005C2091">
      <w:pPr>
        <w:jc w:val="left"/>
      </w:pPr>
    </w:p>
    <w:p w:rsidR="005C2091" w:rsidRDefault="00A86293">
      <w:pPr>
        <w:pStyle w:val="Heading2"/>
      </w:pPr>
      <w:r>
        <w:t>04995 Hrvatski centar za zadružno poduzetništvo</w:t>
      </w:r>
    </w:p>
    <w:p w:rsidR="005C2091" w:rsidRDefault="00A86293">
      <w:r>
        <w:t>Hrvatski centar za zadružno poduzetništvo osnovan je Zakonom o izmjenama i dopunama Zakona o zadrugama (Narodne novine, br. 76/14) kao pravni sljednik Hrvatskog saveza zadruga. Centar je javna ustanova koja zastupa i usklađuje interese zadruga i zadružnih saveza, prati i analizira podatke u području zadrugarstva, predlaže mjere za njegovo unaprjeđenje, pruža stručnu pomoć zadrugama i zadružnim savezima, organizira i provodi izobrazbe i savjetovanja iz područja zadrugarstva, dakle, radi na poslovima unaprjeđivanja i razvoja zadrugarstva u cjelini. Centar vodi središnju evidenciju zadruga i zadružnih saveza, sukladno Pravilniku o evidenciji zadruga i zadružnih saveza o čemu izdaje potvrde, uvjerenja i druge isprave, koje imaju snagu javne isprave. Hrvatski centar za zadružno poduzetništvo postankom glave unutar razdjela Ministarstva gospodarstva, poduzetništva i obrta, prebacio je zatečena sredstva iz stare glave u novu glavu. Najznačajniji dio neutrošenih stredstva na kraju godine odnosi se na odsustvo jedne djelatnice zbog dužeg bolovanja, a nakon toga rodiljnog dopusta.</w:t>
      </w:r>
    </w:p>
    <w:tbl>
      <w:tblPr>
        <w:tblStyle w:val="StilTablice"/>
        <w:tblW w:w="10206" w:type="dxa"/>
        <w:jc w:val="center"/>
        <w:tblLook w:val="04A0" w:firstRow="1" w:lastRow="0" w:firstColumn="1" w:lastColumn="0" w:noHBand="0" w:noVBand="1"/>
      </w:tblPr>
      <w:tblGrid>
        <w:gridCol w:w="1949"/>
        <w:gridCol w:w="1949"/>
        <w:gridCol w:w="1943"/>
        <w:gridCol w:w="1949"/>
        <w:gridCol w:w="1204"/>
        <w:gridCol w:w="121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04995-Hrvatski centar za zadružno poduzetništvo</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698.298</w:t>
            </w:r>
          </w:p>
        </w:tc>
        <w:tc>
          <w:tcPr>
            <w:tcW w:w="2041" w:type="dxa"/>
            <w:vAlign w:val="top"/>
          </w:tcPr>
          <w:p w:rsidR="005C2091" w:rsidRDefault="00A86293">
            <w:pPr>
              <w:pStyle w:val="CellColumn"/>
              <w:jc w:val="right"/>
            </w:pPr>
            <w:r>
              <w:rPr>
                <w:rFonts w:cs="Times New Roman"/>
              </w:rPr>
              <w:t>249.835</w:t>
            </w:r>
          </w:p>
        </w:tc>
        <w:tc>
          <w:tcPr>
            <w:tcW w:w="1224" w:type="dxa"/>
            <w:vAlign w:val="top"/>
          </w:tcPr>
          <w:p w:rsidR="005C2091" w:rsidRDefault="00A86293">
            <w:pPr>
              <w:pStyle w:val="CellColumn"/>
              <w:jc w:val="right"/>
            </w:pPr>
            <w:r>
              <w:rPr>
                <w:rFonts w:cs="Times New Roman"/>
              </w:rPr>
              <w:t>35,8</w:t>
            </w:r>
          </w:p>
        </w:tc>
        <w:tc>
          <w:tcPr>
            <w:tcW w:w="1224" w:type="dxa"/>
            <w:vAlign w:val="top"/>
          </w:tcPr>
          <w:p w:rsidR="005C2091" w:rsidRDefault="00A86293">
            <w:pPr>
              <w:pStyle w:val="CellColumn"/>
              <w:jc w:val="right"/>
            </w:pPr>
            <w:r>
              <w:rPr>
                <w:rFonts w:cs="Times New Roman"/>
              </w:rPr>
              <w:t>0,0</w:t>
            </w:r>
          </w:p>
        </w:tc>
      </w:tr>
      <w:tr w:rsidR="005C2091" w:rsidTr="001323E6">
        <w:trPr>
          <w:trHeight w:val="1132"/>
          <w:jc w:val="center"/>
        </w:trPr>
        <w:tc>
          <w:tcPr>
            <w:tcW w:w="1632" w:type="dxa"/>
          </w:tcPr>
          <w:p w:rsidR="005C2091" w:rsidRDefault="00A86293">
            <w:pPr>
              <w:jc w:val="left"/>
            </w:pPr>
            <w:r>
              <w:t>3228-JAČANJE KONKURENTNOSTI MALOG I SREDNJEG PODUZETNIŠTVA</w:t>
            </w:r>
          </w:p>
        </w:tc>
        <w:tc>
          <w:tcPr>
            <w:tcW w:w="2041" w:type="dxa"/>
          </w:tcPr>
          <w:p w:rsidR="005C2091" w:rsidRDefault="00A86293">
            <w:pPr>
              <w:jc w:val="right"/>
            </w:pPr>
            <w:r>
              <w:t>00</w:t>
            </w:r>
          </w:p>
        </w:tc>
        <w:tc>
          <w:tcPr>
            <w:tcW w:w="2041" w:type="dxa"/>
          </w:tcPr>
          <w:p w:rsidR="005C2091" w:rsidRDefault="00A86293">
            <w:pPr>
              <w:jc w:val="right"/>
            </w:pPr>
            <w:r>
              <w:t>698.298</w:t>
            </w:r>
          </w:p>
        </w:tc>
        <w:tc>
          <w:tcPr>
            <w:tcW w:w="2041" w:type="dxa"/>
          </w:tcPr>
          <w:p w:rsidR="005C2091" w:rsidRDefault="00A86293">
            <w:pPr>
              <w:jc w:val="right"/>
            </w:pPr>
            <w:r>
              <w:t>249.835</w:t>
            </w:r>
          </w:p>
        </w:tc>
        <w:tc>
          <w:tcPr>
            <w:tcW w:w="1224" w:type="dxa"/>
          </w:tcPr>
          <w:p w:rsidR="005C2091" w:rsidRDefault="00A86293">
            <w:pPr>
              <w:jc w:val="right"/>
            </w:pPr>
            <w:r>
              <w:t>35,8</w:t>
            </w:r>
          </w:p>
        </w:tc>
        <w:tc>
          <w:tcPr>
            <w:tcW w:w="1224" w:type="dxa"/>
          </w:tcPr>
          <w:p w:rsidR="005C2091" w:rsidRDefault="00A86293">
            <w:pPr>
              <w:jc w:val="right"/>
            </w:pPr>
            <w:r>
              <w:t>0,0</w:t>
            </w:r>
          </w:p>
        </w:tc>
      </w:tr>
    </w:tbl>
    <w:p w:rsidR="001323E6" w:rsidRDefault="001323E6">
      <w:pPr>
        <w:jc w:val="left"/>
      </w:pPr>
    </w:p>
    <w:p w:rsidR="005C2091" w:rsidRDefault="00A86293">
      <w:pPr>
        <w:pStyle w:val="Heading3"/>
      </w:pPr>
      <w:r>
        <w:rPr>
          <w:rFonts w:cs="Times New Roman"/>
        </w:rPr>
        <w:t>3228 JAČANJE KONKURENTNOSTI MALOG I SREDNJEG PODUZETNIŠTVA</w:t>
      </w:r>
    </w:p>
    <w:tbl>
      <w:tblPr>
        <w:tblStyle w:val="StilTablice"/>
        <w:tblW w:w="10206" w:type="dxa"/>
        <w:jc w:val="center"/>
        <w:tblLook w:val="04A0" w:firstRow="1" w:lastRow="0" w:firstColumn="1" w:lastColumn="0" w:noHBand="0" w:noVBand="1"/>
      </w:tblPr>
      <w:tblGrid>
        <w:gridCol w:w="1949"/>
        <w:gridCol w:w="1949"/>
        <w:gridCol w:w="1943"/>
        <w:gridCol w:w="1949"/>
        <w:gridCol w:w="1204"/>
        <w:gridCol w:w="121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3228-JAČANJE KONKURENTNOSTI MALOG I SREDNJEG PODUZETNIŠTVA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698.298</w:t>
            </w:r>
          </w:p>
        </w:tc>
        <w:tc>
          <w:tcPr>
            <w:tcW w:w="2041" w:type="dxa"/>
          </w:tcPr>
          <w:p w:rsidR="005C2091" w:rsidRDefault="00A86293">
            <w:pPr>
              <w:pStyle w:val="CellColumn"/>
              <w:jc w:val="right"/>
            </w:pPr>
            <w:r>
              <w:rPr>
                <w:rFonts w:cs="Times New Roman"/>
              </w:rPr>
              <w:t>249.835</w:t>
            </w:r>
          </w:p>
        </w:tc>
        <w:tc>
          <w:tcPr>
            <w:tcW w:w="1224" w:type="dxa"/>
          </w:tcPr>
          <w:p w:rsidR="005C2091" w:rsidRDefault="00A86293">
            <w:pPr>
              <w:pStyle w:val="CellColumn"/>
              <w:jc w:val="right"/>
            </w:pPr>
            <w:r>
              <w:rPr>
                <w:rFonts w:cs="Times New Roman"/>
              </w:rPr>
              <w:t>35,8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Sve aktivnosti Centra planirane su unutar jednog programa - Jačanje konkurentnosti malog i srednjeg poduzetništva. Centar unutar navedenog programa provodi aktivnosti suklano Zakonu o zadrugama i Statutu Hrvatskog centra za zadružno poduzetništvo te Programu rada Centra, a odnose se na zastupanje i usklađivanje interesa zadruga i zadružnih saveza, praćenje i analizu podataka o zadrugama, stručne pomoći, izobrazbe i savjetovanja o zadrugarstvu i promicanje zadrugarstva prema tijelima državne uprave te lokalne i područne (regionalne) samouprave, davanje mišljenja i prijedloga državnim tijelima kod donošenja propisa iz područja zadrugarstva, promociju zadrugarstva i učeničkog zadrugarstva, zastupanje hrvatskog zadrugarstva na međunarodnoj razini te operativne troškove poslovanja Centra. Centar je  postankom glave unutar razdjela Ministarstva gospodarstva, poduzetništva i obrta, prebacio zatečena sredstva iz stare glave u novu glavu. Najznačajniji dio neutrošenih stredstva na kraju godine odnosi se na odsustvo jedne djelatnice zbog dužeg bolovanja, a nakon toga rodiljnog dopusta.</w:t>
      </w:r>
    </w:p>
    <w:p w:rsidR="005C2091" w:rsidRDefault="00A86293">
      <w:pPr>
        <w:pStyle w:val="Heading8"/>
        <w:jc w:val="left"/>
      </w:pPr>
      <w:r>
        <w:t>Cilj 1. Povećanje vidljivosti i konkurentnosti zadružnog poduzetništva u Republici Hrvatskoj</w:t>
      </w:r>
    </w:p>
    <w:p w:rsidR="005C2091" w:rsidRDefault="00A86293">
      <w:pPr>
        <w:pStyle w:val="Heading8"/>
        <w:jc w:val="left"/>
      </w:pPr>
      <w:r>
        <w:t>Opis provedbe cilja programa</w:t>
      </w:r>
    </w:p>
    <w:p w:rsidR="005C2091" w:rsidRDefault="00A86293">
      <w:r>
        <w:t>Sve aktivnosti i djelovanje Centra usmjereno je na promociju i zastupanje zadružnog poduzetništva na nacionalnoj razni, pomoć i savjetovanje zadrugama u poslovanju, odnosno poslove unaprjeđivanja i razvoja zadrugarstva u cjelini. Korisnik usluge su zadruge u Republici Hrvatskoj, zadružni savezi, donosioci odluka, tijela državne uprave i lokalne i područne (regionalne) samouprave te javnost zainteresirana za zadružni oblik poslovanja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58"/>
        <w:gridCol w:w="2470"/>
        <w:gridCol w:w="1002"/>
        <w:gridCol w:w="1013"/>
        <w:gridCol w:w="1237"/>
        <w:gridCol w:w="1013"/>
        <w:gridCol w:w="1013"/>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Povećanje sveukupne razine svijesti o zadružnom poduzetništvu</w:t>
            </w:r>
          </w:p>
        </w:tc>
        <w:tc>
          <w:tcPr>
            <w:tcW w:w="2551" w:type="dxa"/>
          </w:tcPr>
          <w:p w:rsidR="005C2091" w:rsidRDefault="00A86293">
            <w:pPr>
              <w:pStyle w:val="CellColumn"/>
              <w:jc w:val="left"/>
            </w:pPr>
            <w:r>
              <w:rPr>
                <w:rFonts w:cs="Times New Roman"/>
              </w:rPr>
              <w:t>Održavanje sastanaka, edukacija, savjetovanja i konferencija na aktualnu problematiku iz područja zadrugarstva koja se mjeri kroz broj održanih sastanaka sa zadrugama, JLS, ostalim institucijama i tijelima državne uprave te održanim edukacijama i konferencijama.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Izvješće o radu Hrvatskog centra za zadružno poduzetništvo</w:t>
            </w:r>
          </w:p>
        </w:tc>
        <w:tc>
          <w:tcPr>
            <w:tcW w:w="1020" w:type="dxa"/>
          </w:tcPr>
          <w:p w:rsidR="005C2091" w:rsidRDefault="00A86293">
            <w:pPr>
              <w:pStyle w:val="CellColumn"/>
              <w:jc w:val="right"/>
            </w:pPr>
            <w:r>
              <w:rPr>
                <w:rFonts w:cs="Times New Roman"/>
              </w:rPr>
              <w:t>150</w:t>
            </w:r>
          </w:p>
        </w:tc>
        <w:tc>
          <w:tcPr>
            <w:tcW w:w="1020" w:type="dxa"/>
          </w:tcPr>
          <w:p w:rsidR="005C2091" w:rsidRDefault="00A86293">
            <w:pPr>
              <w:pStyle w:val="CellColumn"/>
              <w:jc w:val="right"/>
            </w:pPr>
            <w:r>
              <w:rPr>
                <w:rFonts w:cs="Times New Roman"/>
              </w:rPr>
              <w:t>160</w:t>
            </w:r>
          </w:p>
        </w:tc>
      </w:tr>
    </w:tbl>
    <w:p w:rsidR="005C2091" w:rsidRDefault="005C2091">
      <w:pPr>
        <w:jc w:val="left"/>
      </w:pPr>
    </w:p>
    <w:p w:rsidR="001323E6" w:rsidRDefault="001323E6">
      <w:pPr>
        <w:jc w:val="left"/>
      </w:pPr>
    </w:p>
    <w:p w:rsidR="005C2091" w:rsidRDefault="00A86293">
      <w:pPr>
        <w:pStyle w:val="Heading4"/>
      </w:pPr>
      <w:r>
        <w:t>A914001 PROMOCIJA I JAČANJE ZADRUŽNOG PODUZETNIŠTVA</w:t>
      </w:r>
    </w:p>
    <w:tbl>
      <w:tblPr>
        <w:tblStyle w:val="StilTablice"/>
        <w:tblW w:w="10206" w:type="dxa"/>
        <w:jc w:val="center"/>
        <w:tblLook w:val="04A0" w:firstRow="1" w:lastRow="0" w:firstColumn="1" w:lastColumn="0" w:noHBand="0" w:noVBand="1"/>
      </w:tblPr>
      <w:tblGrid>
        <w:gridCol w:w="1759"/>
        <w:gridCol w:w="2005"/>
        <w:gridCol w:w="2002"/>
        <w:gridCol w:w="2005"/>
        <w:gridCol w:w="1216"/>
        <w:gridCol w:w="121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A914001-PROMOCIJA I JAČANJE ZADRUŽNOG PODUZETNIŠTVA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698.298</w:t>
            </w:r>
          </w:p>
        </w:tc>
        <w:tc>
          <w:tcPr>
            <w:tcW w:w="2041" w:type="dxa"/>
          </w:tcPr>
          <w:p w:rsidR="005C2091" w:rsidRDefault="00A86293">
            <w:pPr>
              <w:pStyle w:val="CellColumn"/>
              <w:jc w:val="right"/>
            </w:pPr>
            <w:r>
              <w:rPr>
                <w:rFonts w:cs="Times New Roman"/>
              </w:rPr>
              <w:t>249.835</w:t>
            </w:r>
          </w:p>
        </w:tc>
        <w:tc>
          <w:tcPr>
            <w:tcW w:w="1224" w:type="dxa"/>
          </w:tcPr>
          <w:p w:rsidR="005C2091" w:rsidRDefault="00A86293">
            <w:pPr>
              <w:pStyle w:val="CellColumn"/>
              <w:jc w:val="right"/>
            </w:pPr>
            <w:r>
              <w:rPr>
                <w:rFonts w:cs="Times New Roman"/>
              </w:rPr>
              <w:t>35,8</w:t>
            </w:r>
          </w:p>
        </w:tc>
        <w:tc>
          <w:tcPr>
            <w:tcW w:w="1224" w:type="dxa"/>
          </w:tcPr>
          <w:p w:rsidR="005C2091" w:rsidRDefault="00A86293">
            <w:pPr>
              <w:pStyle w:val="CellColumn"/>
              <w:jc w:val="right"/>
            </w:pPr>
            <w:r>
              <w:rPr>
                <w:rFonts w:cs="Times New Roman"/>
              </w:rPr>
              <w:t>0,0</w:t>
            </w:r>
          </w:p>
        </w:tc>
      </w:tr>
    </w:tbl>
    <w:p w:rsidR="005C2091" w:rsidRDefault="00A86293">
      <w:pPr>
        <w:pStyle w:val="Heading8"/>
        <w:jc w:val="left"/>
      </w:pPr>
      <w:r>
        <w:t>Zakonske i druge pravne osnove</w:t>
      </w:r>
    </w:p>
    <w:p w:rsidR="005C2091" w:rsidRDefault="00A86293">
      <w:r>
        <w:t xml:space="preserve">Članak 50. Zakona o zadrugama (Narodne novine, br. 32/12, 125/13, 76/14);  </w:t>
      </w:r>
    </w:p>
    <w:p w:rsidR="005C2091" w:rsidRDefault="00A86293">
      <w:r>
        <w:t xml:space="preserve">Članak 11. Statuta Hrvatskog centra za zadružno poduzetništvo (Narodne novine, br. 133/14) </w:t>
      </w:r>
    </w:p>
    <w:p w:rsidR="005C2091" w:rsidRDefault="00A86293">
      <w:r>
        <w:t>Članci 5.-10. Pravilnika o evidenciji zadruga i zadružnih saveza (Narodne novine, br. 95/14)</w:t>
      </w:r>
    </w:p>
    <w:p w:rsidR="005C2091" w:rsidRDefault="00A86293">
      <w:pPr>
        <w:pStyle w:val="Heading8"/>
        <w:jc w:val="left"/>
      </w:pPr>
      <w:r>
        <w:t>Opis aktivnosti</w:t>
      </w:r>
    </w:p>
    <w:p w:rsidR="005C2091" w:rsidRDefault="00A86293">
      <w:r>
        <w:t xml:space="preserve">Centar unutar ove aktivnosti obavlja djelatnosti definirane Zakonom o zadrugama: prati stanje i rad u području zadrugarstva, prikuplja i analizira podatke i predlaže mjere za unaprjeđenje zadrugarstva; pruža stručnu pomoć i usluge savjetovanja zadrugama i zadružnim savezima; zastupa interese zadruga pred tijelima državne uprave te lokalne i područne samouprave; daje mišljenja i prijedloge državnim tijelima kod donošenja propisa iz područja zadrugarstva te mjera ekonomske, socijalne i porezne politike vezanih uz zadrugarstvo; organizira i provodi izobrazbe i savjetovanja iz područja zadrugrstva. </w:t>
      </w:r>
    </w:p>
    <w:p w:rsidR="005C2091" w:rsidRDefault="00A86293">
      <w:r>
        <w:t>Promocija i jačanje zadružnog poduzetništva jedina je aktivnost Hrvatskog centra za zadružno poduzetništvo i kao takva uključuje plaće za sedam visokoobrazovanih zaposlenika, administrativne i režijske troškove poslovanja ureda, putne naloge koje se odnose na posjete zadrugama, zadružnim savezima i jedinicama lokalne samouprave te ostalim institucijama na području cijele Hrvatske u svrhu rješavanja aktualne problematike vezane za zadrugarstvo. Ostali troškovi se vežu na promociju i povećanje vidljivosti zadružnog poduzetništva i zadružnog proizvoda u smislu organiziranja međunarodnih konferencija na aktualne teme iz zadrugarstva, organiziranje savjetovanja i povećanja suradnje sa županijama te jačanja zadrugarstva na lokalnoj razini, vođenje evidencije zadruga u RH i izrade popratnih analiza zadružnog poduzetništva, suradnju sa zadružnim institucijama u regiji, Europi i svijetu u svrhu implementacije dobre prakse u hrvatsko zadrugarstvo.</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63"/>
        <w:gridCol w:w="2465"/>
        <w:gridCol w:w="1002"/>
        <w:gridCol w:w="1013"/>
        <w:gridCol w:w="1237"/>
        <w:gridCol w:w="1013"/>
        <w:gridCol w:w="1013"/>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Broj održavnih savjetovanja i edukacija</w:t>
            </w:r>
          </w:p>
        </w:tc>
        <w:tc>
          <w:tcPr>
            <w:tcW w:w="2551" w:type="dxa"/>
          </w:tcPr>
          <w:p w:rsidR="005C2091" w:rsidRDefault="00A86293">
            <w:pPr>
              <w:pStyle w:val="CellColumn"/>
              <w:jc w:val="left"/>
            </w:pPr>
            <w:r>
              <w:rPr>
                <w:rFonts w:cs="Times New Roman"/>
              </w:rPr>
              <w:t>Edukacije i savjetovanja o zadrugarstvu i zadružnim proizvodima u zadrugama, institucijama, županijama i široj javnosti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Izvješće o radu Hrvatskog centra za zadružno poduzetništvo</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15</w:t>
            </w:r>
          </w:p>
        </w:tc>
      </w:tr>
      <w:tr w:rsidR="005C2091">
        <w:trPr>
          <w:jc w:val="center"/>
        </w:trPr>
        <w:tc>
          <w:tcPr>
            <w:tcW w:w="2551" w:type="dxa"/>
          </w:tcPr>
          <w:p w:rsidR="005C2091" w:rsidRDefault="00A86293">
            <w:pPr>
              <w:pStyle w:val="CellColumn"/>
              <w:jc w:val="left"/>
            </w:pPr>
            <w:r>
              <w:rPr>
                <w:rFonts w:cs="Times New Roman"/>
              </w:rPr>
              <w:t>Broj održanih konferencija nacionanog ili međunarodnog karaktera</w:t>
            </w:r>
          </w:p>
        </w:tc>
        <w:tc>
          <w:tcPr>
            <w:tcW w:w="2551" w:type="dxa"/>
          </w:tcPr>
          <w:p w:rsidR="005C2091" w:rsidRDefault="00A86293">
            <w:pPr>
              <w:pStyle w:val="CellColumn"/>
              <w:jc w:val="left"/>
            </w:pPr>
            <w:r>
              <w:rPr>
                <w:rFonts w:cs="Times New Roman"/>
              </w:rPr>
              <w:t>Korferencije u suradnji s međunarodnim zadružnim asocijacijama, nacionalnim instituciama ili ostalim institucijama na temu zadružnog poduzetništva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Izvješće o radu Hrvatskog centra za zadružno poduzetništvo</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2</w:t>
            </w:r>
          </w:p>
        </w:tc>
      </w:tr>
      <w:tr w:rsidR="005C2091">
        <w:trPr>
          <w:jc w:val="center"/>
        </w:trPr>
        <w:tc>
          <w:tcPr>
            <w:tcW w:w="2551" w:type="dxa"/>
          </w:tcPr>
          <w:p w:rsidR="005C2091" w:rsidRDefault="00A86293">
            <w:pPr>
              <w:pStyle w:val="CellColumn"/>
              <w:jc w:val="left"/>
            </w:pPr>
            <w:r>
              <w:rPr>
                <w:rFonts w:cs="Times New Roman"/>
              </w:rPr>
              <w:t>Broj sastanaka sa zadrugama u svrhu pružanja stručne pomoći</w:t>
            </w:r>
          </w:p>
        </w:tc>
        <w:tc>
          <w:tcPr>
            <w:tcW w:w="2551" w:type="dxa"/>
          </w:tcPr>
          <w:p w:rsidR="005C2091" w:rsidRDefault="00A86293">
            <w:pPr>
              <w:pStyle w:val="CellColumn"/>
              <w:jc w:val="left"/>
            </w:pPr>
            <w:r>
              <w:rPr>
                <w:rFonts w:cs="Times New Roman"/>
              </w:rPr>
              <w:t>Sastanci  sa zadrugama u vezi rješavanja aktualnih poteškoća u poslovanju, savjetovanje oko osnivanja i ostali pravni i stručni savjeti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Izvješće o radu Hrvatskog centra za zadružno poduzetništvo</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50</w:t>
            </w:r>
          </w:p>
        </w:tc>
      </w:tr>
    </w:tbl>
    <w:p w:rsidR="001323E6" w:rsidRDefault="001323E6">
      <w:pPr>
        <w:jc w:val="left"/>
      </w:pPr>
    </w:p>
    <w:p w:rsidR="005C2091" w:rsidRDefault="001323E6" w:rsidP="00E83401">
      <w:r>
        <w:br w:type="page"/>
      </w:r>
    </w:p>
    <w:p w:rsidR="005C2091" w:rsidRDefault="00A86293">
      <w:pPr>
        <w:pStyle w:val="Heading1"/>
      </w:pPr>
      <w:r>
        <w:lastRenderedPageBreak/>
        <w:t>051 MINISTARSTVO PODUZETNIŠTVA I OBRTA</w:t>
      </w:r>
    </w:p>
    <w:p w:rsidR="005C2091" w:rsidRDefault="00A86293">
      <w:r>
        <w:t>Sukladno Zakonu o ustrojstvu i djelokrugu ministarstava i drugih središnjih tijela državne uprave (»Narodne novine«, broj 93/16 i 104/16)  Ministarstvo poduzetništva i obrta prestalo je s radom, te se pripojilo Ministarstvu gospodarstva.</w:t>
      </w:r>
    </w:p>
    <w:tbl>
      <w:tblPr>
        <w:tblStyle w:val="StilTablice"/>
        <w:tblW w:w="10206" w:type="dxa"/>
        <w:jc w:val="center"/>
        <w:tblLook w:val="04A0" w:firstRow="1" w:lastRow="0" w:firstColumn="1" w:lastColumn="0" w:noHBand="0" w:noVBand="1"/>
      </w:tblPr>
      <w:tblGrid>
        <w:gridCol w:w="1759"/>
        <w:gridCol w:w="2005"/>
        <w:gridCol w:w="2005"/>
        <w:gridCol w:w="2005"/>
        <w:gridCol w:w="1214"/>
        <w:gridCol w:w="1218"/>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05105-Ministarstvo poduzetništva i obrta</w:t>
            </w:r>
          </w:p>
        </w:tc>
        <w:tc>
          <w:tcPr>
            <w:tcW w:w="2041" w:type="dxa"/>
            <w:vAlign w:val="top"/>
          </w:tcPr>
          <w:p w:rsidR="005C2091" w:rsidRDefault="00A86293">
            <w:pPr>
              <w:pStyle w:val="CellColumn"/>
              <w:jc w:val="right"/>
            </w:pPr>
            <w:r>
              <w:rPr>
                <w:rFonts w:cs="Times New Roman"/>
              </w:rPr>
              <w:t>376.820.057</w:t>
            </w:r>
          </w:p>
        </w:tc>
        <w:tc>
          <w:tcPr>
            <w:tcW w:w="2041" w:type="dxa"/>
            <w:vAlign w:val="top"/>
          </w:tcPr>
          <w:p w:rsidR="005C2091" w:rsidRDefault="00A86293">
            <w:pPr>
              <w:pStyle w:val="CellColumn"/>
              <w:jc w:val="right"/>
            </w:pPr>
            <w:r>
              <w:rPr>
                <w:rFonts w:cs="Times New Roman"/>
              </w:rPr>
              <w:t>302.522.491</w:t>
            </w:r>
          </w:p>
        </w:tc>
        <w:tc>
          <w:tcPr>
            <w:tcW w:w="2041" w:type="dxa"/>
            <w:vAlign w:val="top"/>
          </w:tcPr>
          <w:p w:rsidR="005C2091" w:rsidRDefault="00A86293">
            <w:pPr>
              <w:pStyle w:val="CellColumn"/>
              <w:jc w:val="right"/>
            </w:pPr>
            <w:r>
              <w:rPr>
                <w:rFonts w:cs="Times New Roman"/>
              </w:rPr>
              <w:t>302.936.228</w:t>
            </w:r>
          </w:p>
        </w:tc>
        <w:tc>
          <w:tcPr>
            <w:tcW w:w="1224" w:type="dxa"/>
            <w:vAlign w:val="top"/>
          </w:tcPr>
          <w:p w:rsidR="005C2091" w:rsidRDefault="00A86293">
            <w:pPr>
              <w:pStyle w:val="CellColumn"/>
              <w:jc w:val="right"/>
            </w:pPr>
            <w:r>
              <w:rPr>
                <w:rFonts w:cs="Times New Roman"/>
              </w:rPr>
              <w:t>100,1</w:t>
            </w:r>
          </w:p>
        </w:tc>
        <w:tc>
          <w:tcPr>
            <w:tcW w:w="1224" w:type="dxa"/>
            <w:vAlign w:val="top"/>
          </w:tcPr>
          <w:p w:rsidR="005C2091" w:rsidRDefault="00A86293">
            <w:pPr>
              <w:pStyle w:val="CellColumn"/>
              <w:jc w:val="right"/>
            </w:pPr>
            <w:r>
              <w:rPr>
                <w:rFonts w:cs="Times New Roman"/>
              </w:rPr>
              <w:t>80,4</w:t>
            </w:r>
          </w:p>
        </w:tc>
      </w:tr>
      <w:tr w:rsidR="005C2091">
        <w:trPr>
          <w:jc w:val="center"/>
        </w:trPr>
        <w:tc>
          <w:tcPr>
            <w:tcW w:w="1632" w:type="dxa"/>
            <w:vAlign w:val="top"/>
          </w:tcPr>
          <w:p w:rsidR="005C2091" w:rsidRDefault="00A86293">
            <w:pPr>
              <w:pStyle w:val="CellColumn"/>
              <w:jc w:val="left"/>
            </w:pPr>
            <w:r>
              <w:rPr>
                <w:rFonts w:cs="Times New Roman"/>
              </w:rPr>
              <w:t>05110-Hrvatska agencija za malo gospodarstvo, inovacije  i investicije, HAMAG-BICRO</w:t>
            </w:r>
          </w:p>
        </w:tc>
        <w:tc>
          <w:tcPr>
            <w:tcW w:w="2041" w:type="dxa"/>
            <w:vAlign w:val="top"/>
          </w:tcPr>
          <w:p w:rsidR="005C2091" w:rsidRDefault="00A86293">
            <w:pPr>
              <w:pStyle w:val="CellColumn"/>
              <w:jc w:val="right"/>
            </w:pPr>
            <w:r>
              <w:rPr>
                <w:rFonts w:cs="Times New Roman"/>
              </w:rPr>
              <w:t>142.103.614</w:t>
            </w:r>
          </w:p>
        </w:tc>
        <w:tc>
          <w:tcPr>
            <w:tcW w:w="2041" w:type="dxa"/>
            <w:vAlign w:val="top"/>
          </w:tcPr>
          <w:p w:rsidR="005C2091" w:rsidRDefault="00A86293">
            <w:pPr>
              <w:pStyle w:val="CellColumn"/>
              <w:jc w:val="right"/>
            </w:pPr>
            <w:r>
              <w:rPr>
                <w:rFonts w:cs="Times New Roman"/>
              </w:rPr>
              <w:t>353.909.154</w:t>
            </w:r>
          </w:p>
        </w:tc>
        <w:tc>
          <w:tcPr>
            <w:tcW w:w="2041" w:type="dxa"/>
            <w:vAlign w:val="top"/>
          </w:tcPr>
          <w:p w:rsidR="005C2091" w:rsidRDefault="00A86293">
            <w:pPr>
              <w:pStyle w:val="CellColumn"/>
              <w:jc w:val="right"/>
            </w:pPr>
            <w:r>
              <w:rPr>
                <w:rFonts w:cs="Times New Roman"/>
              </w:rPr>
              <w:t>363.821.714</w:t>
            </w:r>
          </w:p>
        </w:tc>
        <w:tc>
          <w:tcPr>
            <w:tcW w:w="1224" w:type="dxa"/>
            <w:vAlign w:val="top"/>
          </w:tcPr>
          <w:p w:rsidR="005C2091" w:rsidRDefault="00A86293">
            <w:pPr>
              <w:pStyle w:val="CellColumn"/>
              <w:jc w:val="right"/>
            </w:pPr>
            <w:r>
              <w:rPr>
                <w:rFonts w:cs="Times New Roman"/>
              </w:rPr>
              <w:t>102,8</w:t>
            </w:r>
          </w:p>
        </w:tc>
        <w:tc>
          <w:tcPr>
            <w:tcW w:w="1224" w:type="dxa"/>
            <w:vAlign w:val="top"/>
          </w:tcPr>
          <w:p w:rsidR="005C2091" w:rsidRDefault="00A86293">
            <w:pPr>
              <w:pStyle w:val="CellColumn"/>
              <w:jc w:val="right"/>
            </w:pPr>
            <w:r>
              <w:rPr>
                <w:rFonts w:cs="Times New Roman"/>
              </w:rPr>
              <w:t>256,0</w:t>
            </w:r>
          </w:p>
        </w:tc>
      </w:tr>
      <w:tr w:rsidR="005C2091">
        <w:trPr>
          <w:jc w:val="center"/>
        </w:trPr>
        <w:tc>
          <w:tcPr>
            <w:tcW w:w="1632" w:type="dxa"/>
            <w:vAlign w:val="top"/>
          </w:tcPr>
          <w:p w:rsidR="005C2091" w:rsidRDefault="00A86293">
            <w:pPr>
              <w:pStyle w:val="CellColumn"/>
              <w:jc w:val="left"/>
            </w:pPr>
            <w:r>
              <w:rPr>
                <w:rFonts w:cs="Times New Roman"/>
              </w:rPr>
              <w:t>05115-Hrvatski centar za zadružno poduzetništvo</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1.284.857</w:t>
            </w:r>
          </w:p>
        </w:tc>
        <w:tc>
          <w:tcPr>
            <w:tcW w:w="2041" w:type="dxa"/>
            <w:vAlign w:val="top"/>
          </w:tcPr>
          <w:p w:rsidR="005C2091" w:rsidRDefault="00A86293">
            <w:pPr>
              <w:pStyle w:val="CellColumn"/>
              <w:jc w:val="right"/>
            </w:pPr>
            <w:r>
              <w:rPr>
                <w:rFonts w:cs="Times New Roman"/>
              </w:rPr>
              <w:t>1.314.453</w:t>
            </w:r>
          </w:p>
        </w:tc>
        <w:tc>
          <w:tcPr>
            <w:tcW w:w="1224" w:type="dxa"/>
            <w:vAlign w:val="top"/>
          </w:tcPr>
          <w:p w:rsidR="005C2091" w:rsidRDefault="00A86293">
            <w:pPr>
              <w:pStyle w:val="CellColumn"/>
              <w:jc w:val="right"/>
            </w:pPr>
            <w:r>
              <w:rPr>
                <w:rFonts w:cs="Times New Roman"/>
              </w:rPr>
              <w:t>102,3</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shd w:val="clear" w:color="auto" w:fill="B5C0D8"/>
          </w:tcPr>
          <w:p w:rsidR="005C2091" w:rsidRDefault="00A86293">
            <w:pPr>
              <w:pStyle w:val="CellColumn"/>
              <w:jc w:val="left"/>
            </w:pPr>
            <w:r>
              <w:rPr>
                <w:rFonts w:cs="Times New Roman"/>
              </w:rPr>
              <w:t>Ukupno 051-MINISTARSTVO PODUZETNIŠTVA I OBRTA</w:t>
            </w:r>
          </w:p>
        </w:tc>
        <w:tc>
          <w:tcPr>
            <w:tcW w:w="2041" w:type="dxa"/>
            <w:shd w:val="clear" w:color="auto" w:fill="B5C0D8"/>
          </w:tcPr>
          <w:p w:rsidR="005C2091" w:rsidRDefault="00A86293">
            <w:pPr>
              <w:pStyle w:val="CellColumn"/>
              <w:jc w:val="right"/>
            </w:pPr>
            <w:r>
              <w:rPr>
                <w:rFonts w:cs="Times New Roman"/>
              </w:rPr>
              <w:t>518.923.671</w:t>
            </w:r>
          </w:p>
        </w:tc>
        <w:tc>
          <w:tcPr>
            <w:tcW w:w="2041" w:type="dxa"/>
            <w:shd w:val="clear" w:color="auto" w:fill="B5C0D8"/>
          </w:tcPr>
          <w:p w:rsidR="005C2091" w:rsidRDefault="00A86293">
            <w:pPr>
              <w:pStyle w:val="CellColumn"/>
              <w:jc w:val="right"/>
            </w:pPr>
            <w:r>
              <w:rPr>
                <w:rFonts w:cs="Times New Roman"/>
              </w:rPr>
              <w:t>657.716.502</w:t>
            </w:r>
          </w:p>
        </w:tc>
        <w:tc>
          <w:tcPr>
            <w:tcW w:w="2041" w:type="dxa"/>
            <w:shd w:val="clear" w:color="auto" w:fill="B5C0D8"/>
          </w:tcPr>
          <w:p w:rsidR="005C2091" w:rsidRDefault="00A86293">
            <w:pPr>
              <w:pStyle w:val="CellColumn"/>
              <w:jc w:val="right"/>
            </w:pPr>
            <w:r>
              <w:rPr>
                <w:rFonts w:cs="Times New Roman"/>
              </w:rPr>
              <w:t>668.072.395</w:t>
            </w:r>
          </w:p>
        </w:tc>
        <w:tc>
          <w:tcPr>
            <w:tcW w:w="1224" w:type="dxa"/>
            <w:shd w:val="clear" w:color="auto" w:fill="B5C0D8"/>
          </w:tcPr>
          <w:p w:rsidR="005C2091" w:rsidRDefault="00A86293">
            <w:pPr>
              <w:pStyle w:val="CellColumn"/>
              <w:jc w:val="right"/>
            </w:pPr>
            <w:r>
              <w:rPr>
                <w:rFonts w:cs="Times New Roman"/>
              </w:rPr>
              <w:t>101,6</w:t>
            </w:r>
          </w:p>
        </w:tc>
        <w:tc>
          <w:tcPr>
            <w:tcW w:w="1224" w:type="dxa"/>
            <w:shd w:val="clear" w:color="auto" w:fill="B5C0D8"/>
          </w:tcPr>
          <w:p w:rsidR="005C2091" w:rsidRDefault="00A86293">
            <w:pPr>
              <w:pStyle w:val="CellColumn"/>
              <w:jc w:val="right"/>
            </w:pPr>
            <w:r>
              <w:rPr>
                <w:rFonts w:cs="Times New Roman"/>
              </w:rPr>
              <w:t>128,7</w:t>
            </w:r>
          </w:p>
        </w:tc>
      </w:tr>
    </w:tbl>
    <w:p w:rsidR="005C2091" w:rsidRDefault="005C2091">
      <w:pPr>
        <w:jc w:val="left"/>
      </w:pPr>
    </w:p>
    <w:p w:rsidR="005C2091" w:rsidRDefault="00A86293">
      <w:pPr>
        <w:pStyle w:val="Heading2"/>
      </w:pPr>
      <w:r>
        <w:t>05105 Ministarstvo poduzetništva i obrta</w:t>
      </w:r>
    </w:p>
    <w:p w:rsidR="005C2091" w:rsidRDefault="00A86293">
      <w:r>
        <w:t>Ministarstvo poduzetništva i obrta obavlja upravne i druge poslove koji se odnose na malo i srednje poduzetništvo, obrtništvo, zadrugarstvo, poticanje izvoza i stranih ulaganja, te unapređenja konkurentnosti u području maloga i srednjega poduzetništva, ravnomjerni regionalni razvoj poduzetništva, djelovanje instrumenata gospodarskog sustava i mjera gospodarske politike na razvoj obrtništva, zadrugarstva, malog i srednjeg poduzetništva te poslovanje obrtnika i poduzetnika, poticanje primjene inovacija, novih tehnologija i osnivanja i poslovanja slobodnih i poduzetničkih zona u području maloga i srednjega poduzetništva, sustavno poticanje poduzetništva, djelovanje instrumenata gospodarskog sustava i mjera gospodarske politike na razvoj obrtništva, zadrugarstva, maloga i srednjega poduzetništva, te poslovanje obrtnika i poduzetnika, poticanje sudjelovanja malih i srednjih poduzetnika u poslovima javne nabave i javno-privatnog partnerstva, ostvarivanje međunarodne suradnje u području obrtništva te maloga i srednjega poduzetništva, pripreme i provedbu strateških i operativnih dokumenata i programa za korištenje sredstava fondova Europske unije i ostalih međunarodnih izvora financiranja namijenjenih unapređenju konkurentnosti obrtništva, zadrugarstva, maloga i srednjega poduzetništva, pripremu i provedbu posebnih programa Vlade Republike Hrvatske u području ekonomskog razvoja i konkurentnosti obrtništva, zadrugarstva, malog i srednjeg poduzetništva.</w:t>
      </w:r>
    </w:p>
    <w:p w:rsidR="00492B40" w:rsidRDefault="00492B40"/>
    <w:p w:rsidR="00492B40" w:rsidRDefault="00492B40"/>
    <w:p w:rsidR="00492B40" w:rsidRDefault="00492B40"/>
    <w:p w:rsidR="00492B40" w:rsidRDefault="00492B40"/>
    <w:p w:rsidR="00492B40" w:rsidRDefault="00492B40"/>
    <w:tbl>
      <w:tblPr>
        <w:tblStyle w:val="StilTablice"/>
        <w:tblW w:w="10206" w:type="dxa"/>
        <w:jc w:val="center"/>
        <w:tblLook w:val="04A0" w:firstRow="1" w:lastRow="0" w:firstColumn="1" w:lastColumn="0" w:noHBand="0" w:noVBand="1"/>
      </w:tblPr>
      <w:tblGrid>
        <w:gridCol w:w="1948"/>
        <w:gridCol w:w="1950"/>
        <w:gridCol w:w="1950"/>
        <w:gridCol w:w="1950"/>
        <w:gridCol w:w="1199"/>
        <w:gridCol w:w="1209"/>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05105-Ministarstvo poduzetništva i obrta</w:t>
            </w:r>
          </w:p>
        </w:tc>
        <w:tc>
          <w:tcPr>
            <w:tcW w:w="2041" w:type="dxa"/>
            <w:vAlign w:val="top"/>
          </w:tcPr>
          <w:p w:rsidR="005C2091" w:rsidRDefault="00A86293">
            <w:pPr>
              <w:pStyle w:val="CellColumn"/>
              <w:jc w:val="right"/>
            </w:pPr>
            <w:r>
              <w:rPr>
                <w:rFonts w:cs="Times New Roman"/>
              </w:rPr>
              <w:t>376.820.057</w:t>
            </w:r>
          </w:p>
        </w:tc>
        <w:tc>
          <w:tcPr>
            <w:tcW w:w="2041" w:type="dxa"/>
            <w:vAlign w:val="top"/>
          </w:tcPr>
          <w:p w:rsidR="005C2091" w:rsidRDefault="00A86293">
            <w:pPr>
              <w:pStyle w:val="CellColumn"/>
              <w:jc w:val="right"/>
            </w:pPr>
            <w:r>
              <w:rPr>
                <w:rFonts w:cs="Times New Roman"/>
              </w:rPr>
              <w:t>302.522.491</w:t>
            </w:r>
          </w:p>
        </w:tc>
        <w:tc>
          <w:tcPr>
            <w:tcW w:w="2041" w:type="dxa"/>
            <w:vAlign w:val="top"/>
          </w:tcPr>
          <w:p w:rsidR="005C2091" w:rsidRDefault="00A86293">
            <w:pPr>
              <w:pStyle w:val="CellColumn"/>
              <w:jc w:val="right"/>
            </w:pPr>
            <w:r>
              <w:rPr>
                <w:rFonts w:cs="Times New Roman"/>
              </w:rPr>
              <w:t>302.936.228</w:t>
            </w:r>
          </w:p>
        </w:tc>
        <w:tc>
          <w:tcPr>
            <w:tcW w:w="1224" w:type="dxa"/>
            <w:vAlign w:val="top"/>
          </w:tcPr>
          <w:p w:rsidR="005C2091" w:rsidRDefault="00A86293">
            <w:pPr>
              <w:pStyle w:val="CellColumn"/>
              <w:jc w:val="right"/>
            </w:pPr>
            <w:r>
              <w:rPr>
                <w:rFonts w:cs="Times New Roman"/>
              </w:rPr>
              <w:t>100,1</w:t>
            </w:r>
          </w:p>
        </w:tc>
        <w:tc>
          <w:tcPr>
            <w:tcW w:w="1224" w:type="dxa"/>
            <w:vAlign w:val="top"/>
          </w:tcPr>
          <w:p w:rsidR="005C2091" w:rsidRDefault="00A86293">
            <w:pPr>
              <w:pStyle w:val="CellColumn"/>
              <w:jc w:val="right"/>
            </w:pPr>
            <w:r>
              <w:rPr>
                <w:rFonts w:cs="Times New Roman"/>
              </w:rPr>
              <w:t>80,4</w:t>
            </w:r>
          </w:p>
        </w:tc>
      </w:tr>
      <w:tr w:rsidR="005C2091">
        <w:trPr>
          <w:jc w:val="center"/>
        </w:trPr>
        <w:tc>
          <w:tcPr>
            <w:tcW w:w="1632" w:type="dxa"/>
          </w:tcPr>
          <w:p w:rsidR="005C2091" w:rsidRDefault="00A86293">
            <w:pPr>
              <w:jc w:val="left"/>
            </w:pPr>
            <w:r>
              <w:t>3202-JAČANJE KONKURENTNOSTI MALOG I SREDNJEG PODUZETNIŠTVA</w:t>
            </w:r>
          </w:p>
        </w:tc>
        <w:tc>
          <w:tcPr>
            <w:tcW w:w="2041" w:type="dxa"/>
          </w:tcPr>
          <w:p w:rsidR="005C2091" w:rsidRDefault="00A86293">
            <w:pPr>
              <w:jc w:val="right"/>
            </w:pPr>
            <w:r>
              <w:t>376.820.057</w:t>
            </w:r>
          </w:p>
        </w:tc>
        <w:tc>
          <w:tcPr>
            <w:tcW w:w="2041" w:type="dxa"/>
          </w:tcPr>
          <w:p w:rsidR="005C2091" w:rsidRDefault="00A86293">
            <w:pPr>
              <w:jc w:val="right"/>
            </w:pPr>
            <w:r>
              <w:t>302.522.491</w:t>
            </w:r>
          </w:p>
        </w:tc>
        <w:tc>
          <w:tcPr>
            <w:tcW w:w="2041" w:type="dxa"/>
          </w:tcPr>
          <w:p w:rsidR="005C2091" w:rsidRDefault="00A86293">
            <w:pPr>
              <w:jc w:val="right"/>
            </w:pPr>
            <w:r>
              <w:t>302.936.228</w:t>
            </w:r>
          </w:p>
        </w:tc>
        <w:tc>
          <w:tcPr>
            <w:tcW w:w="1224" w:type="dxa"/>
          </w:tcPr>
          <w:p w:rsidR="005C2091" w:rsidRDefault="00A86293">
            <w:pPr>
              <w:jc w:val="right"/>
            </w:pPr>
            <w:r>
              <w:t>100,1</w:t>
            </w:r>
          </w:p>
        </w:tc>
        <w:tc>
          <w:tcPr>
            <w:tcW w:w="1224" w:type="dxa"/>
          </w:tcPr>
          <w:p w:rsidR="005C2091" w:rsidRDefault="00A86293">
            <w:pPr>
              <w:jc w:val="right"/>
            </w:pPr>
            <w:r>
              <w:t>80,4</w:t>
            </w:r>
          </w:p>
        </w:tc>
      </w:tr>
    </w:tbl>
    <w:p w:rsidR="005C2091" w:rsidRDefault="005C2091">
      <w:pPr>
        <w:jc w:val="left"/>
      </w:pPr>
    </w:p>
    <w:p w:rsidR="005C2091" w:rsidRDefault="00A86293">
      <w:pPr>
        <w:pStyle w:val="Heading3"/>
      </w:pPr>
      <w:r>
        <w:rPr>
          <w:rFonts w:cs="Times New Roman"/>
        </w:rPr>
        <w:t>3202 JAČANJE KONKURENTNOSTI MALOG I SREDNJEG PODUZETNIŠTVA</w:t>
      </w:r>
    </w:p>
    <w:tbl>
      <w:tblPr>
        <w:tblStyle w:val="StilTablice"/>
        <w:tblW w:w="10206" w:type="dxa"/>
        <w:jc w:val="center"/>
        <w:tblLook w:val="04A0" w:firstRow="1" w:lastRow="0" w:firstColumn="1" w:lastColumn="0" w:noHBand="0" w:noVBand="1"/>
      </w:tblPr>
      <w:tblGrid>
        <w:gridCol w:w="1948"/>
        <w:gridCol w:w="1950"/>
        <w:gridCol w:w="1950"/>
        <w:gridCol w:w="1950"/>
        <w:gridCol w:w="1199"/>
        <w:gridCol w:w="1209"/>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3202-JAČANJE KONKURENTNOSTI MALOG I SREDNJEG PODUZETNIŠTVA</w:t>
            </w:r>
          </w:p>
        </w:tc>
        <w:tc>
          <w:tcPr>
            <w:tcW w:w="2041" w:type="dxa"/>
          </w:tcPr>
          <w:p w:rsidR="005C2091" w:rsidRDefault="00A86293">
            <w:pPr>
              <w:pStyle w:val="CellColumn"/>
              <w:jc w:val="right"/>
            </w:pPr>
            <w:r>
              <w:rPr>
                <w:rFonts w:cs="Times New Roman"/>
              </w:rPr>
              <w:t>376.820.057</w:t>
            </w:r>
          </w:p>
        </w:tc>
        <w:tc>
          <w:tcPr>
            <w:tcW w:w="2041" w:type="dxa"/>
          </w:tcPr>
          <w:p w:rsidR="005C2091" w:rsidRDefault="00A86293">
            <w:pPr>
              <w:pStyle w:val="CellColumn"/>
              <w:jc w:val="right"/>
            </w:pPr>
            <w:r>
              <w:rPr>
                <w:rFonts w:cs="Times New Roman"/>
              </w:rPr>
              <w:t>302.522.491</w:t>
            </w:r>
          </w:p>
        </w:tc>
        <w:tc>
          <w:tcPr>
            <w:tcW w:w="2041" w:type="dxa"/>
          </w:tcPr>
          <w:p w:rsidR="005C2091" w:rsidRDefault="00A86293">
            <w:pPr>
              <w:pStyle w:val="CellColumn"/>
              <w:jc w:val="right"/>
            </w:pPr>
            <w:r>
              <w:rPr>
                <w:rFonts w:cs="Times New Roman"/>
              </w:rPr>
              <w:t>302.936.228</w:t>
            </w:r>
          </w:p>
        </w:tc>
        <w:tc>
          <w:tcPr>
            <w:tcW w:w="1224" w:type="dxa"/>
          </w:tcPr>
          <w:p w:rsidR="005C2091" w:rsidRDefault="00A86293">
            <w:pPr>
              <w:pStyle w:val="CellColumn"/>
              <w:jc w:val="right"/>
            </w:pPr>
            <w:r>
              <w:rPr>
                <w:rFonts w:cs="Times New Roman"/>
              </w:rPr>
              <w:t>100,1</w:t>
            </w:r>
          </w:p>
        </w:tc>
        <w:tc>
          <w:tcPr>
            <w:tcW w:w="1224" w:type="dxa"/>
          </w:tcPr>
          <w:p w:rsidR="005C2091" w:rsidRDefault="00A86293">
            <w:pPr>
              <w:pStyle w:val="CellColumn"/>
              <w:jc w:val="right"/>
            </w:pPr>
            <w:r>
              <w:rPr>
                <w:rFonts w:cs="Times New Roman"/>
              </w:rPr>
              <w:t>80,4</w:t>
            </w:r>
          </w:p>
        </w:tc>
      </w:tr>
    </w:tbl>
    <w:p w:rsidR="005C2091" w:rsidRDefault="005C2091">
      <w:pPr>
        <w:jc w:val="left"/>
      </w:pPr>
    </w:p>
    <w:p w:rsidR="005C2091" w:rsidRDefault="00A86293">
      <w:pPr>
        <w:pStyle w:val="Heading8"/>
        <w:jc w:val="left"/>
      </w:pPr>
      <w:r>
        <w:t>Cilj 1. Poboljšanje ekonomske uspješnosti</w:t>
      </w:r>
    </w:p>
    <w:p w:rsidR="005C2091" w:rsidRDefault="00A86293">
      <w:pPr>
        <w:pStyle w:val="Heading8"/>
        <w:jc w:val="left"/>
      </w:pPr>
      <w:r>
        <w:t>Opis provedbe cilja programa</w:t>
      </w:r>
    </w:p>
    <w:p w:rsidR="005C2091" w:rsidRDefault="00A86293">
      <w:r>
        <w:t xml:space="preserve">Unapređenje ekonomske uspješnosti maloga gospodarstva u sektorima proizvođačkih i uslužnih djelatnosti postiže se većim ulaganjem u istraživanje i razvoj, višim stupnjem inovacija, rastom izvoza te daljnjim razvojem poslovnih mreža i povezanosti. Ostvarenju ekonomske uspješnosti malih i srednjih poduzetnika značajno pridonosi učinkovita provedba sustava poticajnih mjera za investicije u Republici Hrvatskoj temeljena na provedbi Zakona o poticanju ulaganja i Zakona o poticanju investicija i unapređenju investicijskog okruženja, kao i praćenje postignutih rezultata s ciljem daljnjeg razvoja mogućnosti za privlačenje i poticanje novih ulaganja, a time i daljnjeg razvoja ukupnih gospodarskih aktivnosti. Nadalje, članstvo Republike Hrvatske u Europskoj uniji obvezuje na primjenu javnih politika Europske unije među kojima su i one kojima se promiče ravnopravnost između muškaraca i žena, jednake mogućnosti i nediskriminacija, uključujući pristup osobama s invaliditetom, a države članice pozvane su izraditi i realizirati nacionalne strategije. Internacionalizacija poslovanja se odnosi na jačanje poduzetničkih potpornih institucija u pružanju podrške subjektima malog gospodarstva iz Programa poticanja poduzetništva i obrta prvenstveno poticanjem nastupa subjekata malog gospodarstva na međunarodnim događajima te njihovo povezivanje u cilju stvaranja međunarodnih konzorcija za prijavu na istraživačko - inovacijske projekte unutar programa Europske unije. Novi regulatorni okvir poticajnih mjera za start-up poduzeća čija su osnovna djelatnost vezana uz ulaganje u znanje, istraživanje, razvoj, inovacije i kreativne djelatnosti. Kriteriji dobivanja statusa start-up poduzeća bit će razrađeni u posebnom pravilniku. Nove poticajne mjere koje su predviđene o okviru novog regulatornog okvira su: odobravanje poreznih olakšica za poslovanje start-up poduzeća (uključujući poticanje zapošljavanja visokokvalificiranog osoblja) i odobravanje poreznih olakšica ulagačima u startup poduzeća čime bi se potaknuo razvoj tržišta rizičnog kapitala i poslovnih anđela. Nova inovativna poduzeća (start-up poduzeća) suočena su sa administrativnim i strukturalnim poteškoćama proizašlim iz visokog rizika ulaganja, velike neizvjesnosti ulaganja u aktivnost istraživanja, razvoja i inovacija. Jedinstvenim regulatornim okvirom omogućit će se stvaranje poticajnog okruženja za osnivanje, rast i razvoj inovativnih poduzeća u Republici Hrvatskoj te veća stopa preživljavanja start-up poduzeća. </w:t>
      </w:r>
    </w:p>
    <w:p w:rsidR="005C2091" w:rsidRDefault="00A86293">
      <w:r>
        <w:lastRenderedPageBreak/>
        <w:t xml:space="preserve"> Podatak o pokazatelju učinka "Povećanje dodane vrijednosti sektora MSP-a" za 2016.g. (udio MSP-a u bruto dodanoj vrijednosti) koji je definiran posebnim ciljem 1.1 Poboljšanje ekonomske uspješnosti u Strateškom planu Ministarstva za razdoblje 2016.-2018. na EUROSTATU nije ažuriran, odnosno posljednja povratno ažurirana godina je 2013. godina. Podaci za 2014., 2015. Ili 2016. nisu objavljeni kao projekcija niti postoji prva procjena. Državni zavod za statistiku navedene podatke o bruto dodanoj vrijednosti prati, međutim ne objavljuje ih razlomljene prema veličini poduzeća, odnosno podaci se objavljuju agregirani po sektorima. Slijedom navedenog, Državnom zavodu za statistiku upućeno je traženje da se navedeni podaci dostave Ministarstvu kako bi se moglo pratiti ostvarenje ciljanih vrijednosti navedenog indikatora. Podatak o posljednjim podacima (korigiranim) po EUROSTATU nalaze se na poveznici </w:t>
      </w:r>
    </w:p>
    <w:p w:rsidR="005C2091" w:rsidRDefault="00A86293">
      <w:r>
        <w:t xml:space="preserve"> http://ec.europa.eu/eurostat/tgm/table.do?tab=table&amp;init=1&amp;language=en&amp;pcode=tin00147&amp;plugin=1  </w:t>
      </w:r>
    </w:p>
    <w:p w:rsidR="005C2091" w:rsidRDefault="00A86293">
      <w:r>
        <w:t xml:space="preserve"> Prema Informativnom listu Zakona o malom poduzetništvu (EU izdanje) za 2015., MSP u Hrvatskoj (broj subjekata 150.182)   s 11 milijardi EUR imaju udio u dodanoj vrijednosti od 55.2 % (od 2008. dodana vrijednost u tom sektoru povećala se za gotovo 27 %, a broj radnih mjesta za više od 22 %)..</w:t>
      </w:r>
    </w:p>
    <w:p w:rsidR="005C2091" w:rsidRDefault="00A86293">
      <w:pPr>
        <w:pStyle w:val="Heading8"/>
        <w:jc w:val="left"/>
      </w:pPr>
      <w:r>
        <w:t>Cilj 2. Poboljšan pristup financiranju</w:t>
      </w:r>
    </w:p>
    <w:p w:rsidR="005C2091" w:rsidRDefault="00A86293">
      <w:pPr>
        <w:pStyle w:val="Heading8"/>
        <w:jc w:val="left"/>
      </w:pPr>
      <w:r>
        <w:t>Opis provedbe cilja programa</w:t>
      </w:r>
    </w:p>
    <w:p w:rsidR="005C2091" w:rsidRDefault="00A86293">
      <w:r>
        <w:t xml:space="preserve">Radi olakšavanja pristupa sredstvima za razvoj malog gospodarstva i poticanja konkurentnosti kroz podjelu rizika, djeluju Fondovi za gospodarsku suradnju (FGS) u obliku javno-privatnih izvora financiranja. Podneseni investicijski projekti subjekata malog gospodarstva putem vlasničkog restrukturiranja kroz ulaganje dodatnog kapitala obuhvaćaju rast i razvoj poslovne djelatnosti, očuvanje postojećih i stvaranje novih radnih mjesta i osnivanje novih subjekata malog gospodarstva. </w:t>
      </w:r>
    </w:p>
    <w:p w:rsidR="005C2091" w:rsidRDefault="00A86293">
      <w:r>
        <w:t xml:space="preserve"> U 2013. godini, HAMAG-BICRO je proveo prvi pilot projekt mikro kreditiranje namijenjen poduzetnicima početnicima koji posluju do 24 mjeseca u cilju pokretanja i proširenja poslovnih aktivnosti te poticanja samozapošljavanja. Aktivnost se nastavlja i u planiranom razdoblju 2016. - 2018. U programskom razdoblju 2014 - 2020 EU sredstva će se usmjeravati prema financijskim instrumentima kao modalitetu pružanja fleksibilnijeg i održivog oblika financiranja i privlačenja investitora iz privatnog sektora, uz značajniji multiplikativni učinak. Također, financijski instrumenti pridonose učinkovitijem financiranju javnih politika. Prema procijenjenim potrebama, odnosno utvrđenim tržišnim nedostacima, uz potporu Europskih strukturnih i investicijskih fondova u razdoblju 2014-2020 državu članicu se potiče da koristi financijske instrumente. Korištenje tih instrumenata predviđeno je za ulaganje u subjekte malog gospodarstva, one s inovativnim tehnologijama te za promicanje energetske učinkovitosti. </w:t>
      </w:r>
    </w:p>
    <w:p w:rsidR="005C2091" w:rsidRDefault="00A86293">
      <w:r>
        <w:t xml:space="preserve"> Također, kako bi se Republici Hrvatskoj omogućilo korištenje financijskih instrumenata iz Europskih strukturnih i investicijskih fondova (ESI) u perspektivi 2014-2020, potrebno je uspostaviti odgovarajući institucionalni okvir. U tu svrhu potrebno je provesti predradnje koje uključuju: provedbu prethodne (ex-ante) procjene financijskog jaza koja će pružiti podlogu za utvrđivanje intervencijske logike financijskih instrumenata, analizu najbolje prakse i analizu regulatornog sustava i učinka regulative Europskog fonda za regionalni razvoj koja je povezana s provedbom financijskih instrumenata. Nakon toga pristupiti će se definiranju prijedloga provedbene strukture, za koju je potrebno pripremiti postupke i procedure te izgraditi kapacitete institucija koje će biti odabrane za provedbu financijskih instrumenata. Uz postupak odabira vezana je i priprema dokumentacije za javnu nabavu, kao i provedba iste. </w:t>
      </w:r>
    </w:p>
    <w:p w:rsidR="005C2091" w:rsidRDefault="00A86293">
      <w:r>
        <w:t xml:space="preserve"> Ministarstvo u suradnji s bankama i županijama, na temelju tripartitnog ugovora (poslovne banke, županija i Ministarstvo) i dvopartitnog ugovora (poslovne banke i Ministarstvo) subvencionira kamate na kredite te tako olakšava poduzetnicima pristup jeftinijim izvorima financiranja. Poticanje efikasnijeg financiranja malog i srednjeg poduzetništva i obrtništva temelji se na pravilima za državne potpore u obliku transparentne subvencije kamate na </w:t>
      </w:r>
    </w:p>
    <w:p w:rsidR="005C2091" w:rsidRDefault="00A86293">
      <w:r>
        <w:t xml:space="preserve">poduzetničke kredite. Nakon uspješnih programa subvencioniranja kamata na poduzetničke kredite, iz prethodnih godina, Ministarstvo je u 2014. pokrenulo novi program subvencioniranja kamata za poduzetničke kredite. Program se provodi kroz dvije Mjere s programski utvrđenom namjenom kredita i to: Mjera 1. Kreditom do konkurentnosti provodi se uz sudjelovanje županija / Grada Zagreba i poslovnih banaka, a subvencionira se kamata na poduzetničke kredite za financiranje projekata iz proizvodne i uslužne djelatnosti, sukladno utvrđenoj Nacionalnoj klasifikacijskoj djelatnosti. Visina kredita iznosi 100.000,00 - 5.000.000,00 kuna uz nominalnu kamatnu stopu do maksimalno 7% (6,5% uz korištenje jamstva Hrvatske agencije za malo gospodarstvo, inovacije i investicije), a rok otplate kredita je do najviše 10 godina. Ministarstvo subvencionira kamatu s 2 postotna poena za proizvodnu i 1 postotni poen za uslužnu djelatnost, a županije / Grad Zagreb prema Ugovoru. Mjera 2. Kreditom do uspješnog poslovanja provodi se u suradnji s poslovnim bankama, a subvencionira se kamata na poduzetničke kredite za </w:t>
      </w:r>
      <w:r>
        <w:lastRenderedPageBreak/>
        <w:t>financiranje tekuće likvidnosti i trajnih obrtnih sredstava. Visina kredita iznosi 30.000,00 - 200.000,00 kuna, nominalna kamatna stopa iznosi do maksimalno 8% (7,5% uz korištena jamstva Hrvatske agencije za malo gospodarstvo, inovacije i investicije), a rok otplate kredita je do 4 godine. Ministarstvo subvencionira kamatu s 5 postotnih poena. Od ožujka 2015. kad je kreditni program aktiviran do kraja 2016. godine ukupan broj zahtjeva u Mjeri 1. je 448, dok je u Mjeri 2. odobreno 1.942 kredita.</w:t>
      </w:r>
    </w:p>
    <w:p w:rsidR="005C2091" w:rsidRDefault="00A86293">
      <w:pPr>
        <w:pStyle w:val="Heading8"/>
        <w:jc w:val="left"/>
      </w:pPr>
      <w:r>
        <w:t>Cilj 3. Promocija poduzetništva</w:t>
      </w:r>
    </w:p>
    <w:p w:rsidR="005C2091" w:rsidRDefault="00A86293">
      <w:pPr>
        <w:pStyle w:val="Heading8"/>
        <w:jc w:val="left"/>
      </w:pPr>
      <w:r>
        <w:t>Opis provedbe cilja programa</w:t>
      </w:r>
    </w:p>
    <w:p w:rsidR="005C2091" w:rsidRDefault="00A86293">
      <w:r>
        <w:t xml:space="preserve">Unapređenje sustava poduzetničke infrastrukture (poduzetničke zone i poduzetničke potporne institucije) pozitivno utječe na razvoj svih grana gospodarstva. Unapređenjem poduzetničke infrastrukture kroz sustav bespovratnih potpora omogućuje se povećanje njihove opremljenosti te poboljšanje razine usluga koju pružaju poduzetnicima. Poduzetnička infrastruktura je nositelj razvoja na lokalnoj i regionalnoj razini te doprinosi rastu broja poduzetnika i broja zaposlenih, poboljšanju poslovnih rezultata poduzetnika, kao i jačanju konkurentnosti. Za provedbu ovog cilja potrebno je sufinancirati projekte usmjerene na razvoj poduzetničke infrastrukture, te pratiti učinak na razini kvalitete usluga - poslovne podrške koju poduzetnička infrastruktura pruža poduzetnicima. </w:t>
      </w:r>
    </w:p>
    <w:p w:rsidR="005C2091" w:rsidRDefault="00A86293">
      <w:r>
        <w:t xml:space="preserve">Projekt Mreža studentskih poduzetničkih inkubatora (MSPI) pokrenut je sa ciljem razvoja posebnog segmenta poduzetništva, studentskog poduzetništva, fokusirajući se pri tome na pozitivne učinke povezivanja i suradnje između akademske zajednice, poduzetnika i potpornih institucija malog gospodarstva. Studentima sa poduzetničkim idejama pružiti će se potpora u obliku mentorstva za razradu poslovne ideje, a u slučaju pokretanja poslovanja dobiti će potporu za registraciju djelatnosti te mentorstvo prvih godinu dana poslovanja. MSPI je virtualni inkubator te bi trebao doprinijeti poboljšanju fizičke infrastrukture tj. osnivanju studentskih inkubatora pri visokoškolskim institucijama.  </w:t>
      </w:r>
    </w:p>
    <w:p w:rsidR="005C2091" w:rsidRDefault="00A86293">
      <w:r>
        <w:t>Razvoj poduzetništva žena odnosi se na provedbu aktivnosti za jačanje poslovnog i drugih oblika umrežavanja poduzetnica; uključivanje akademske zajednice u provedbu istraživanja o poduzetništvu žena i uključivanje rezultata istraživanja u materijale i programe za obrazovanje i osposobljavanje koje koristi poduzetnička potporna infrastruktura; istraživanje poduzetništva žena obogatiti konkretnim primjerima iz prakse; izradom kataloga i nagrađivanjem uspješnih; medijska promocija poduzetnica; promocija materijala za obrazovanje i osposobljavanje s lokalnim primjerima žena poduzetnica; sufinanciranje sudjelovanja poduzetnica na sajmovima, konferencijama, okruglim stolovima, savjetovanjima i sl.; i promidžba poduzetništva žena na svim razinama i posebno na područjima i u djelatnostima specifičnim za ruralno, otočko i krško gospodarstvo.</w:t>
      </w:r>
    </w:p>
    <w:p w:rsidR="005C2091" w:rsidRDefault="00A86293">
      <w:pPr>
        <w:pStyle w:val="Heading8"/>
        <w:jc w:val="left"/>
      </w:pPr>
      <w:r>
        <w:t>Cilj 4. Poboljšanje poduzetničkih vještina</w:t>
      </w:r>
    </w:p>
    <w:p w:rsidR="005C2091" w:rsidRDefault="00A86293">
      <w:pPr>
        <w:pStyle w:val="Heading8"/>
        <w:jc w:val="left"/>
      </w:pPr>
      <w:r>
        <w:t>Opis provedbe cilja programa</w:t>
      </w:r>
    </w:p>
    <w:p w:rsidR="005C2091" w:rsidRDefault="00A86293">
      <w:r>
        <w:t xml:space="preserve">U Strategiji razvoja poduzetništva Republike Hrvatske 2013.-2020. kao jedan od 5 strateških ciljeva definiran je cilj poboljšanje poduzetničkih vještina. Naime, poduzetničko obrazovanje koje se stječe kroz proces formalnog učenja, zatim neformalno organiziranog procesa učenja i obrazovanja usmjerenog k usavršavanju, specijalizaciji i dopunjavanju znanja, vještina i sposobnosti te proces informalnog-neplaniranog učenja i stjecanje znanja kroz svakodnevne aktivnosti ima važnu ulogu u povećanju broja osoba koje razvijaju poduzetnički kapacitet te uspješno poslovati nakon otvaranja poduzeća. Ministarstvo gospodarstva poduzetništva i obrta kroz poticajne mjere osobito potiče rad učeničkih zadruga i vježbeničkih tvrtki kao modela interaktivnog, projektnog učenja s ciljem bržeg i kvalitetnijeg uključivanja u svijet poslovanja te realizacije vrijednosti na tržištu roba i usluga, odnosno studentskih poduzetničkih inkubatora koji studentima omogućavaju razumijevanje poduzetničkih procesa u suvremenom, znanjem – intenzivnom gospodarstvu s ciljem poticanja i razvoja poduzetničkih osobina i vještina potrebnih za poslovanje u suvremenom poslovnom okruženju. </w:t>
      </w:r>
    </w:p>
    <w:p w:rsidR="005C2091" w:rsidRDefault="00A86293">
      <w:r>
        <w:t xml:space="preserve">Za razvoj konkurentnog sektora maloga gospodarstva potrebna je i dobro osposobljena, prilagodljiva radna snaga koja se može osigurati samo predanošću cjeloživotnom učenju na radnome mjestu. Stoga je nužno poduprijeti i izobrazbu i prekvalifikaciju radne snage. Sukladno tome, u okviru Operativnog programa „Konkurentnost i kohezija“ za razdoblje 2014- 2020 podupiru se aktivnosti poput razvoja i izgradnje Regionalnog centra za razvoj poduzetničkih kompetencija zemalja jugoistočne Europe (SEECEL) kao modernog trening centra za promociju poduzetničkog učenja. Snažna interakcija i suradnja znanosti i gospodarstva jamči učinkovitu iskoristivost ljudskih potencijala na način da olakšava poslodavcima pristup do sposobnih i kvalificiranih djelatnika, a pojedincima omogućava stjecanje kompetencija važnih za daljnji profesionalni razvoj i zapošljavanje. Podizanje razine kvalitete strukovnog obrazovanja, usvajanje poduzetničkih kompetencija, poticanje poduzetničke kulture u društvu te razvoj pozitivnog odnosa prema cjeloživotnom učenju u poduzetništvu u uvjetima opće društvene i gospodarske globalizacije ključno je za rast i razvoj poduzetništva i povećanje konkurentnosti gospodarstva.  </w:t>
      </w:r>
    </w:p>
    <w:p w:rsidR="005C2091" w:rsidRDefault="00A86293">
      <w:r>
        <w:lastRenderedPageBreak/>
        <w:t xml:space="preserve">Ministarstvo u svojoj nadležnosti ima strukovno obrazovanje za vezane obrte sukladno odredbama Zakona obrtu, kojim se uređuje sustav strukovnog obrazovanja za obavljanje obrta te uvjeti za obavljanje najsloženijih obrta u obliku majstorskog ispita. Sustav strukovnog obrazovanja za obrtnička  zanimanja temelji se na programima strukovnog obrazovanja za 61 obrtničko zanimanje. Strukovno obrazovanje za obrtnička zanimanja ili tzv. jedinstveni obrazovni model (JMO) uglavnom se provodi u gospodarstvu, obzirom se 70 % praktičnog dijela naukovanja mora provoditi na radnom mjestu - u licenciranom obrtu ili pravnoj osobi. Naukovanje se sastoji od strukovno-teorijskog dijela i praktičnog dijela. Praktični dio naukovanja se sastoji od obuke u školskim radionicama i obuke na radnom mjestu u obrtu i pravnoj osobi. Prema tome, učenici u jedinstvenom modelu obrazovanja provode dvostruko više vremena na praksi - u gospodarstvu (naukovanje 2.600 vs 1.180 praktična nastava). Postignuća naučnika u stručno - teorijskom i praktičnom dijelu plana i programa vrednuju se kontinuirano tijekom cijele godine, a kontrolni ispit se provodi u 2. polovici druge godine naukovanja. Nakon završetka stručno – teorijskog dijela i praktičnog dijela programa studenti polažu pomoćnički ispit. Pomoćnički ispit sastoji se od praktičnog dijela (ispituje se obavljanje poslova i radnih zadataka u određenom zanimanju) i teorijskog dijela (ispituju se znanja stečena tijekom obrazovnog procesa ili neformalnog učenja) . Uloge u JMO-u : </w:t>
      </w:r>
    </w:p>
    <w:p w:rsidR="005C2091" w:rsidRDefault="00A86293">
      <w:r>
        <w:t></w:t>
      </w:r>
      <w:r>
        <w:tab/>
        <w:t xml:space="preserve">razvoj obrazovnih programa (radne skupine: Ministarstvo, Hrvatska obrtnička komora, Ministarstvo obrazovanja i znanosti, strukovne škole) </w:t>
      </w:r>
    </w:p>
    <w:p w:rsidR="005C2091" w:rsidRDefault="00A86293">
      <w:r>
        <w:t></w:t>
      </w:r>
      <w:r>
        <w:tab/>
        <w:t xml:space="preserve">nadzor provedbe strukovno - teorijskog dijela naukovanja u školama (Ministarstvo obrazovanja i znanosti) </w:t>
      </w:r>
    </w:p>
    <w:p w:rsidR="005C2091" w:rsidRDefault="00A86293">
      <w:r>
        <w:t></w:t>
      </w:r>
      <w:r>
        <w:tab/>
        <w:t xml:space="preserve">nadzor provedbe praktičnog dijela naukovanja (Ministarstvo) </w:t>
      </w:r>
    </w:p>
    <w:p w:rsidR="005C2091" w:rsidRDefault="00A86293">
      <w:r>
        <w:t></w:t>
      </w:r>
      <w:r>
        <w:tab/>
        <w:t xml:space="preserve">licenciranje obrta i pravnih osoba (Hrvatska obrtnička komora) </w:t>
      </w:r>
    </w:p>
    <w:p w:rsidR="005C2091" w:rsidRDefault="00A86293">
      <w:r>
        <w:t></w:t>
      </w:r>
      <w:r>
        <w:tab/>
        <w:t xml:space="preserve">vođenje evidencije ugovora o naukovanju (Ministarstvo) </w:t>
      </w:r>
    </w:p>
    <w:p w:rsidR="005C2091" w:rsidRDefault="00A86293">
      <w:r>
        <w:t></w:t>
      </w:r>
      <w:r>
        <w:tab/>
        <w:t xml:space="preserve">provođenje pomoćničkog  ispita (strukovne škole, Agencija za strukovno obrazovanje i obrazovanje odraslih, Nacionalni centar za vanjsko vrednovanje obrazovanja) </w:t>
      </w:r>
    </w:p>
    <w:p w:rsidR="005C2091" w:rsidRDefault="00A86293">
      <w:r>
        <w:t></w:t>
      </w:r>
      <w:r>
        <w:tab/>
        <w:t>izdavanje uvjerenja o položenom pomoćničkom ispitu (Ministarstvo).</w:t>
      </w:r>
    </w:p>
    <w:p w:rsidR="005C2091" w:rsidRDefault="00A86293">
      <w:pPr>
        <w:pStyle w:val="Heading8"/>
        <w:jc w:val="left"/>
      </w:pPr>
      <w:r>
        <w:t>Cilj 5. Poboljšano poslovno okruženje</w:t>
      </w:r>
    </w:p>
    <w:p w:rsidR="005C2091" w:rsidRDefault="00A86293">
      <w:pPr>
        <w:pStyle w:val="Heading8"/>
        <w:jc w:val="left"/>
      </w:pPr>
      <w:r>
        <w:t>Opis provedbe cilja programa</w:t>
      </w:r>
    </w:p>
    <w:p w:rsidR="005C2091" w:rsidRDefault="00A86293">
      <w:r>
        <w:t xml:space="preserve">Poboljšavanje poslovnog okruženja zahtjeva kontinuiranu provedbu mjera kako bi se uklonile prepreke poslovanju i smanjivanje administrativnih opterećenja, a sve u cilju poticanja razvoja subjekata malog gospodarstva. Malo gospodarstvo pokretačka je snaga lokalnog i regionalnog održivog gospodarskog razvoja s ciljem povećanja broja gospodarskih subjekata, poboljšanja njihovih poslovnih rezultata, povećanja konkurentnosti poduzetnika, porasta zaposlenosti te povećanja udjela proizvodnje u ukupnom gospodarstvu. </w:t>
      </w:r>
    </w:p>
    <w:p w:rsidR="005C2091" w:rsidRDefault="00A86293">
      <w:r>
        <w:t xml:space="preserve">Također od osobite je važnosti kontinuirano provođenje mjera za uklanjanje prepreka poslovanju. To se ponajprije odnosi na porezno i parafiskalno opterećenje gospodarstva, radno zakonodavstvo, administrativne prepreke u smislu kompliciranih, dugotrajnih i skupih postupaka za pokretanje, likvidaciju poduzeća te ishođenje potrebnih dozvola, zatim nerazvijenih neformalnih oblika financiranja za pokretanje poslovnih pothvata, lošu percepciju poduzetništva kao poželjne karijere, sporost i neučinkovitost pravosuđa te slabu usmjerenost poduzetničkog obrazovanja. Sve navedeno je sastavni dio i politike Europske unije u skladu s kojom su i nastojanja i djelovanja svih zemalja članice Europske unije pa i Republike Hrvatske. </w:t>
      </w:r>
    </w:p>
    <w:p w:rsidR="005C2091" w:rsidRDefault="00A86293">
      <w:r>
        <w:t>Uspostava Središnjeg informacijskog sustava malog gospodarstva (SISMG) utvrđena je Zakonom i Uredbom komisije (EU) br. 1407/2013 (potpore male vrijednosti), uređena su pitanja praćenja dodjele potpora male vrijednosti kroz središnji registar potpora. SISMG se ustrojava kao cjelovit i obuhvatan sustav za provedbu i praćenje mjera i instrumenata poticanja razvoja malog gospodarstva i ocjenu gospodarskih učinaka na nacionalnoj i na regionalnoj razini. U cilju realizacije projekta i uspostave SISMG potrebno je uključiti sva nadležna tijela državne uprave te institucije na razini države i lokalne samouprave koja su davatelji državnih potpora sukladno zakonu, uz provedbu kriterija obveznosti unosa u sustav svih državnih potpora odobrenih subjektima malog gospodarstva iz proračuna. U okviru sustava izgrađuje se informacijski podsustav za ocjenu učinka poticajnih mjera, a sustav se povezuje s drugim registrima i IKT sustavima (sustavima informacijsko komunikacijske tehnologije) te treba poslužiti objedinjenom pristupu informacijama potrebnim za izradu „Opservatorija malog gospodarstva Republike Hrvatske“.</w:t>
      </w:r>
    </w:p>
    <w:p w:rsidR="00492B40" w:rsidRDefault="00492B40"/>
    <w:p w:rsidR="00492B40" w:rsidRDefault="00492B40"/>
    <w:p w:rsidR="00492B40" w:rsidRDefault="00492B40"/>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95"/>
        <w:gridCol w:w="2497"/>
        <w:gridCol w:w="1009"/>
        <w:gridCol w:w="1015"/>
        <w:gridCol w:w="1159"/>
        <w:gridCol w:w="1015"/>
        <w:gridCol w:w="1016"/>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Bruto dodana vrijednost po zaposlenom u sektoru malog i srednjeg poduzetništva</w:t>
            </w:r>
          </w:p>
        </w:tc>
        <w:tc>
          <w:tcPr>
            <w:tcW w:w="2551" w:type="dxa"/>
          </w:tcPr>
          <w:p w:rsidR="005C2091" w:rsidRDefault="00A86293">
            <w:pPr>
              <w:pStyle w:val="CellColumn"/>
              <w:jc w:val="left"/>
            </w:pPr>
            <w:r>
              <w:rPr>
                <w:rFonts w:cs="Times New Roman"/>
              </w:rPr>
              <w:t>Porast udjela MSP-a u bruto dodanoj vrijednosti</w:t>
            </w:r>
          </w:p>
        </w:tc>
        <w:tc>
          <w:tcPr>
            <w:tcW w:w="1020" w:type="dxa"/>
          </w:tcPr>
          <w:p w:rsidR="005C2091" w:rsidRDefault="00A86293">
            <w:pPr>
              <w:pStyle w:val="CellColumn"/>
              <w:jc w:val="right"/>
            </w:pPr>
            <w:r>
              <w:rPr>
                <w:rFonts w:cs="Times New Roman"/>
              </w:rPr>
              <w:t>EUR</w:t>
            </w:r>
          </w:p>
        </w:tc>
        <w:tc>
          <w:tcPr>
            <w:tcW w:w="1020" w:type="dxa"/>
          </w:tcPr>
          <w:p w:rsidR="005C2091" w:rsidRDefault="00A86293">
            <w:pPr>
              <w:pStyle w:val="CellColumn"/>
              <w:jc w:val="right"/>
            </w:pPr>
            <w:r>
              <w:rPr>
                <w:rFonts w:cs="Times New Roman"/>
              </w:rPr>
              <w:t>15.474</w:t>
            </w:r>
          </w:p>
        </w:tc>
        <w:tc>
          <w:tcPr>
            <w:tcW w:w="1020" w:type="dxa"/>
          </w:tcPr>
          <w:p w:rsidR="005C2091" w:rsidRDefault="00A86293">
            <w:pPr>
              <w:pStyle w:val="CellColumn"/>
              <w:jc w:val="right"/>
            </w:pPr>
            <w:r>
              <w:rPr>
                <w:rFonts w:cs="Times New Roman"/>
              </w:rPr>
              <w:t>EUROSTAT</w:t>
            </w:r>
          </w:p>
        </w:tc>
        <w:tc>
          <w:tcPr>
            <w:tcW w:w="1020" w:type="dxa"/>
          </w:tcPr>
          <w:p w:rsidR="005C2091" w:rsidRDefault="00A86293">
            <w:pPr>
              <w:pStyle w:val="CellColumn"/>
              <w:jc w:val="right"/>
            </w:pPr>
            <w:r>
              <w:rPr>
                <w:rFonts w:cs="Times New Roman"/>
              </w:rPr>
              <w:t>15.783</w:t>
            </w:r>
          </w:p>
        </w:tc>
        <w:tc>
          <w:tcPr>
            <w:tcW w:w="1020" w:type="dxa"/>
          </w:tcPr>
          <w:p w:rsidR="005C2091" w:rsidRDefault="00A86293">
            <w:pPr>
              <w:pStyle w:val="CellColumn"/>
              <w:jc w:val="right"/>
            </w:pPr>
            <w:r>
              <w:rPr>
                <w:rFonts w:cs="Times New Roman"/>
              </w:rPr>
              <w:t>15.474</w:t>
            </w:r>
          </w:p>
        </w:tc>
      </w:tr>
      <w:tr w:rsidR="005C2091">
        <w:trPr>
          <w:jc w:val="center"/>
        </w:trPr>
        <w:tc>
          <w:tcPr>
            <w:tcW w:w="2551" w:type="dxa"/>
          </w:tcPr>
          <w:p w:rsidR="005C2091" w:rsidRDefault="00A86293">
            <w:pPr>
              <w:pStyle w:val="CellColumn"/>
              <w:jc w:val="left"/>
            </w:pPr>
            <w:r>
              <w:rPr>
                <w:rFonts w:cs="Times New Roman"/>
              </w:rPr>
              <w:t>Broj održanih sajmova znanstveno stručnih skupova i drugih oblika promocije poduzetništva i obrta</w:t>
            </w:r>
          </w:p>
        </w:tc>
        <w:tc>
          <w:tcPr>
            <w:tcW w:w="2551" w:type="dxa"/>
          </w:tcPr>
          <w:p w:rsidR="005C2091" w:rsidRDefault="00A86293">
            <w:pPr>
              <w:pStyle w:val="CellColumn"/>
              <w:jc w:val="left"/>
            </w:pPr>
            <w:r>
              <w:rPr>
                <w:rFonts w:cs="Times New Roman"/>
              </w:rPr>
              <w:t>Aktivnostima promidžbe poduzetništva  podupire se razvijanje pozitivnog stava prema poduzetništvu i jačanje poduzetničkog načina razmišljanja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36</w:t>
            </w:r>
          </w:p>
        </w:tc>
        <w:tc>
          <w:tcPr>
            <w:tcW w:w="1020" w:type="dxa"/>
          </w:tcPr>
          <w:p w:rsidR="005C2091" w:rsidRDefault="00A86293">
            <w:pPr>
              <w:pStyle w:val="CellColumn"/>
              <w:jc w:val="right"/>
            </w:pPr>
            <w:r>
              <w:rPr>
                <w:rFonts w:cs="Times New Roman"/>
              </w:rPr>
              <w:t>MINPO</w:t>
            </w:r>
          </w:p>
        </w:tc>
        <w:tc>
          <w:tcPr>
            <w:tcW w:w="1020" w:type="dxa"/>
          </w:tcPr>
          <w:p w:rsidR="005C2091" w:rsidRDefault="00A86293">
            <w:pPr>
              <w:pStyle w:val="CellColumn"/>
              <w:jc w:val="right"/>
            </w:pPr>
            <w:r>
              <w:rPr>
                <w:rFonts w:cs="Times New Roman"/>
              </w:rPr>
              <w:t>40</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Unapređenje znanja i kompetencija poduzetnika te njihovih zaposlenika mjereno % radne snage u izobrazbi</w:t>
            </w:r>
          </w:p>
        </w:tc>
        <w:tc>
          <w:tcPr>
            <w:tcW w:w="2551" w:type="dxa"/>
          </w:tcPr>
          <w:p w:rsidR="005C2091" w:rsidRDefault="00A86293">
            <w:pPr>
              <w:pStyle w:val="CellColumn"/>
              <w:jc w:val="left"/>
            </w:pPr>
            <w:r>
              <w:rPr>
                <w:rFonts w:cs="Times New Roman"/>
              </w:rPr>
              <w:t>Povećanjem broja osoba koje su stekle odgovarajuće kompetencije za obavljanje poduzetničke djelatnosti osigurava se ostvarenje cilja na znanju temeljenog poduzetništva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3,2</w:t>
            </w:r>
          </w:p>
        </w:tc>
        <w:tc>
          <w:tcPr>
            <w:tcW w:w="1020" w:type="dxa"/>
          </w:tcPr>
          <w:p w:rsidR="005C2091" w:rsidRDefault="00A86293">
            <w:pPr>
              <w:pStyle w:val="CellColumn"/>
              <w:jc w:val="right"/>
            </w:pPr>
            <w:r>
              <w:rPr>
                <w:rFonts w:cs="Times New Roman"/>
              </w:rPr>
              <w:t>Europska komisija</w:t>
            </w:r>
          </w:p>
        </w:tc>
        <w:tc>
          <w:tcPr>
            <w:tcW w:w="1020" w:type="dxa"/>
          </w:tcPr>
          <w:p w:rsidR="005C2091" w:rsidRDefault="00A86293">
            <w:pPr>
              <w:pStyle w:val="CellColumn"/>
              <w:jc w:val="right"/>
            </w:pPr>
            <w:r>
              <w:rPr>
                <w:rFonts w:cs="Times New Roman"/>
              </w:rPr>
              <w:t>3,2</w:t>
            </w:r>
          </w:p>
        </w:tc>
        <w:tc>
          <w:tcPr>
            <w:tcW w:w="1020" w:type="dxa"/>
          </w:tcPr>
          <w:p w:rsidR="005C2091" w:rsidRDefault="00A86293">
            <w:pPr>
              <w:pStyle w:val="CellColumn"/>
              <w:jc w:val="right"/>
            </w:pPr>
            <w:r>
              <w:rPr>
                <w:rFonts w:cs="Times New Roman"/>
              </w:rPr>
              <w:t>3,1</w:t>
            </w:r>
          </w:p>
        </w:tc>
      </w:tr>
      <w:tr w:rsidR="005C2091">
        <w:trPr>
          <w:jc w:val="center"/>
        </w:trPr>
        <w:tc>
          <w:tcPr>
            <w:tcW w:w="2551" w:type="dxa"/>
          </w:tcPr>
          <w:p w:rsidR="005C2091" w:rsidRDefault="00A86293">
            <w:pPr>
              <w:pStyle w:val="CellColumn"/>
              <w:jc w:val="left"/>
            </w:pPr>
            <w:r>
              <w:rPr>
                <w:rFonts w:cs="Times New Roman"/>
              </w:rPr>
              <w:t>Podizanje Hrvatske na godišnjoj rang listi zemalja prema izvješću Svjetske banke „Doing Business“</w:t>
            </w:r>
          </w:p>
        </w:tc>
        <w:tc>
          <w:tcPr>
            <w:tcW w:w="2551" w:type="dxa"/>
          </w:tcPr>
          <w:p w:rsidR="005C2091" w:rsidRDefault="00A86293">
            <w:pPr>
              <w:pStyle w:val="CellColumn"/>
              <w:jc w:val="left"/>
            </w:pPr>
            <w:r>
              <w:rPr>
                <w:rFonts w:cs="Times New Roman"/>
              </w:rPr>
              <w:t>Položaj Hrvatske na godišnjoj rang listi prema istraživanju Svjetske banke</w:t>
            </w:r>
          </w:p>
        </w:tc>
        <w:tc>
          <w:tcPr>
            <w:tcW w:w="1020" w:type="dxa"/>
          </w:tcPr>
          <w:p w:rsidR="005C2091" w:rsidRDefault="00A86293">
            <w:pPr>
              <w:pStyle w:val="CellColumn"/>
              <w:jc w:val="right"/>
            </w:pPr>
            <w:r>
              <w:rPr>
                <w:rFonts w:cs="Times New Roman"/>
              </w:rPr>
              <w:t>mjesto</w:t>
            </w:r>
          </w:p>
        </w:tc>
        <w:tc>
          <w:tcPr>
            <w:tcW w:w="1020" w:type="dxa"/>
          </w:tcPr>
          <w:p w:rsidR="005C2091" w:rsidRDefault="00A86293">
            <w:pPr>
              <w:pStyle w:val="CellColumn"/>
              <w:jc w:val="right"/>
            </w:pPr>
            <w:r>
              <w:rPr>
                <w:rFonts w:cs="Times New Roman"/>
              </w:rPr>
              <w:t>84 mjesto</w:t>
            </w:r>
          </w:p>
        </w:tc>
        <w:tc>
          <w:tcPr>
            <w:tcW w:w="1020" w:type="dxa"/>
          </w:tcPr>
          <w:p w:rsidR="005C2091" w:rsidRDefault="00A86293">
            <w:pPr>
              <w:pStyle w:val="CellColumn"/>
              <w:jc w:val="right"/>
            </w:pPr>
            <w:r>
              <w:rPr>
                <w:rFonts w:cs="Times New Roman"/>
              </w:rPr>
              <w:t>Svjetska banka</w:t>
            </w:r>
          </w:p>
        </w:tc>
        <w:tc>
          <w:tcPr>
            <w:tcW w:w="1020" w:type="dxa"/>
          </w:tcPr>
          <w:p w:rsidR="005C2091" w:rsidRDefault="00A86293">
            <w:pPr>
              <w:pStyle w:val="CellColumn"/>
              <w:jc w:val="right"/>
            </w:pPr>
            <w:r>
              <w:rPr>
                <w:rFonts w:cs="Times New Roman"/>
              </w:rPr>
              <w:t>80</w:t>
            </w:r>
          </w:p>
        </w:tc>
        <w:tc>
          <w:tcPr>
            <w:tcW w:w="1020" w:type="dxa"/>
          </w:tcPr>
          <w:p w:rsidR="005C2091" w:rsidRDefault="00A86293">
            <w:pPr>
              <w:pStyle w:val="CellColumn"/>
              <w:jc w:val="right"/>
            </w:pPr>
            <w:r>
              <w:rPr>
                <w:rFonts w:cs="Times New Roman"/>
              </w:rPr>
              <w:t>43</w:t>
            </w:r>
          </w:p>
        </w:tc>
      </w:tr>
    </w:tbl>
    <w:p w:rsidR="005C2091" w:rsidRDefault="005C2091">
      <w:pPr>
        <w:jc w:val="left"/>
      </w:pPr>
    </w:p>
    <w:p w:rsidR="005C2091" w:rsidRDefault="00A86293">
      <w:pPr>
        <w:pStyle w:val="Heading4"/>
      </w:pPr>
      <w:r>
        <w:t>A544026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A544026-ADMINISTRACIJA I UPRAVLJANJE</w:t>
            </w:r>
          </w:p>
        </w:tc>
        <w:tc>
          <w:tcPr>
            <w:tcW w:w="2041" w:type="dxa"/>
          </w:tcPr>
          <w:p w:rsidR="005C2091" w:rsidRDefault="00A86293">
            <w:pPr>
              <w:pStyle w:val="CellColumn"/>
              <w:jc w:val="right"/>
            </w:pPr>
            <w:r>
              <w:rPr>
                <w:rFonts w:cs="Times New Roman"/>
              </w:rPr>
              <w:t>17.024.228</w:t>
            </w:r>
          </w:p>
        </w:tc>
        <w:tc>
          <w:tcPr>
            <w:tcW w:w="2041" w:type="dxa"/>
          </w:tcPr>
          <w:p w:rsidR="005C2091" w:rsidRDefault="00A86293">
            <w:pPr>
              <w:pStyle w:val="CellColumn"/>
              <w:jc w:val="right"/>
            </w:pPr>
            <w:r>
              <w:rPr>
                <w:rFonts w:cs="Times New Roman"/>
              </w:rPr>
              <w:t>12.542.399</w:t>
            </w:r>
          </w:p>
        </w:tc>
        <w:tc>
          <w:tcPr>
            <w:tcW w:w="2041" w:type="dxa"/>
          </w:tcPr>
          <w:p w:rsidR="005C2091" w:rsidRDefault="00A86293">
            <w:pPr>
              <w:pStyle w:val="CellColumn"/>
              <w:jc w:val="right"/>
            </w:pPr>
            <w:r>
              <w:rPr>
                <w:rFonts w:cs="Times New Roman"/>
              </w:rPr>
              <w:t>12.564.778</w:t>
            </w:r>
          </w:p>
        </w:tc>
        <w:tc>
          <w:tcPr>
            <w:tcW w:w="1224" w:type="dxa"/>
          </w:tcPr>
          <w:p w:rsidR="005C2091" w:rsidRDefault="00A86293">
            <w:pPr>
              <w:pStyle w:val="CellColumn"/>
              <w:jc w:val="right"/>
            </w:pPr>
            <w:r>
              <w:rPr>
                <w:rFonts w:cs="Times New Roman"/>
              </w:rPr>
              <w:t>100,2</w:t>
            </w:r>
          </w:p>
        </w:tc>
        <w:tc>
          <w:tcPr>
            <w:tcW w:w="1224" w:type="dxa"/>
          </w:tcPr>
          <w:p w:rsidR="005C2091" w:rsidRDefault="00A86293">
            <w:pPr>
              <w:pStyle w:val="CellColumn"/>
              <w:jc w:val="right"/>
            </w:pPr>
            <w:r>
              <w:rPr>
                <w:rFonts w:cs="Times New Roman"/>
              </w:rPr>
              <w:t>73,8</w:t>
            </w:r>
          </w:p>
        </w:tc>
      </w:tr>
    </w:tbl>
    <w:p w:rsidR="005C2091" w:rsidRDefault="005C2091">
      <w:pPr>
        <w:jc w:val="left"/>
      </w:pPr>
    </w:p>
    <w:p w:rsidR="005C2091" w:rsidRDefault="00A86293">
      <w:pPr>
        <w:pStyle w:val="Heading8"/>
        <w:jc w:val="left"/>
      </w:pPr>
      <w:r>
        <w:t>Zakonske i druge pravne osnove</w:t>
      </w:r>
    </w:p>
    <w:p w:rsidR="005C2091" w:rsidRDefault="00A86293">
      <w:r>
        <w:t>Zakon o ustrojstvu i djelokrugu ministarstava i drugih središnjih tijela državne uprave (NN 93/2016, 104/2016);Uredba o unutarnjem ustrojstvu Ministarstva poduzetništva i obrta Kolektivni ugovor za državne službenike i namještenike (NN 104/2013, 104/2013, 150/2013, 153/2013, 71/2016); Zakon o javnoj nabavi (NN 90/2011, 83/2013, 143/2013, 13/2014);</w:t>
      </w:r>
    </w:p>
    <w:p w:rsidR="005C2091" w:rsidRDefault="00A86293">
      <w:pPr>
        <w:pStyle w:val="Heading8"/>
        <w:jc w:val="left"/>
      </w:pPr>
      <w:r>
        <w:t>Opis aktivnosti</w:t>
      </w:r>
    </w:p>
    <w:p w:rsidR="005C2091" w:rsidRDefault="00A86293">
      <w:r>
        <w:t xml:space="preserve">Sredstvima koja su planirana u okviru aktivnosti Administracija i upravljanja, financirani su troškovi obavljanja redovite djelatnosti Ministarstva poduzetništva i obrta i to kako slijedi: </w:t>
      </w:r>
    </w:p>
    <w:p w:rsidR="005C2091" w:rsidRDefault="00A86293">
      <w:r>
        <w:t xml:space="preserve">- plaće i ostali rashodi za zaposlene; </w:t>
      </w:r>
    </w:p>
    <w:p w:rsidR="005C2091" w:rsidRDefault="00A86293">
      <w:r>
        <w:t xml:space="preserve">- materijalni troškovi; </w:t>
      </w:r>
    </w:p>
    <w:p w:rsidR="005C2091" w:rsidRDefault="00A86293">
      <w:r>
        <w:t>- bankarske usluge i usluge platnog prometa.</w:t>
      </w:r>
    </w:p>
    <w:p w:rsidR="005C2091" w:rsidRDefault="00A86293">
      <w:pPr>
        <w:pStyle w:val="Heading4"/>
      </w:pPr>
      <w:r>
        <w:lastRenderedPageBreak/>
        <w:t>A544032 POTICANJE EDUKACIJE-SEECEL-REGIONALNI RAZVOJ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A544032-POTICANJE EDUKACIJE-SEECEL-REGIONALNI RAZVOJ</w:t>
            </w:r>
          </w:p>
        </w:tc>
        <w:tc>
          <w:tcPr>
            <w:tcW w:w="2041" w:type="dxa"/>
          </w:tcPr>
          <w:p w:rsidR="005C2091" w:rsidRDefault="00A86293">
            <w:pPr>
              <w:pStyle w:val="CellColumn"/>
              <w:jc w:val="right"/>
            </w:pPr>
            <w:r>
              <w:rPr>
                <w:rFonts w:cs="Times New Roman"/>
              </w:rPr>
              <w:t>1.629.468</w:t>
            </w:r>
          </w:p>
        </w:tc>
        <w:tc>
          <w:tcPr>
            <w:tcW w:w="2041" w:type="dxa"/>
          </w:tcPr>
          <w:p w:rsidR="005C2091" w:rsidRDefault="00A86293">
            <w:pPr>
              <w:pStyle w:val="CellColumn"/>
              <w:jc w:val="right"/>
            </w:pPr>
            <w:r>
              <w:rPr>
                <w:rFonts w:cs="Times New Roman"/>
              </w:rPr>
              <w:t>374.687</w:t>
            </w:r>
          </w:p>
        </w:tc>
        <w:tc>
          <w:tcPr>
            <w:tcW w:w="2041" w:type="dxa"/>
          </w:tcPr>
          <w:p w:rsidR="005C2091" w:rsidRDefault="00A86293">
            <w:pPr>
              <w:pStyle w:val="CellColumn"/>
              <w:jc w:val="right"/>
            </w:pPr>
            <w:r>
              <w:rPr>
                <w:rFonts w:cs="Times New Roman"/>
              </w:rPr>
              <w:t>374.686</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23,0</w:t>
            </w:r>
          </w:p>
        </w:tc>
      </w:tr>
    </w:tbl>
    <w:p w:rsidR="005C2091" w:rsidRDefault="005C2091">
      <w:pPr>
        <w:jc w:val="left"/>
      </w:pPr>
    </w:p>
    <w:p w:rsidR="005C2091" w:rsidRDefault="00A86293">
      <w:pPr>
        <w:pStyle w:val="Heading8"/>
        <w:jc w:val="left"/>
      </w:pPr>
      <w:r>
        <w:t>Zakonske i druge pravne osnove</w:t>
      </w:r>
    </w:p>
    <w:p w:rsidR="005C2091" w:rsidRDefault="00A86293">
      <w:r>
        <w:t xml:space="preserve">Ugovor o sufinanciranju, sklopljen između i MINPO-a i SEECEL-a, od 18. srpnja 2014., KLASA: 910-04/14-01/442; URBROJ: 516-05-02-01/1-14-2).  </w:t>
      </w:r>
    </w:p>
    <w:p w:rsidR="005C2091" w:rsidRDefault="00A86293">
      <w:r>
        <w:t>Predmet ovog Ugovora je sufinanciranje Projekta koji provodi SEECEL a temeljem Ugovora br. 2013/334-013 (Grant contract-external actions of the EU) zaključenog dana 17.12.2013. godine između EK i SEECEL-a, ukupne vrijednosti 1 mil EUR, tijekom trogodišnje implementacije (2014.-2016.). Projekt je sufinanciran s 85% od strane EK u iznosu od 850.000 EUR i 15% od strane MINPO-a u iznosu od 150.000EUR.</w:t>
      </w:r>
    </w:p>
    <w:p w:rsidR="005C2091" w:rsidRDefault="00A86293">
      <w:pPr>
        <w:pStyle w:val="Heading8"/>
        <w:jc w:val="left"/>
      </w:pPr>
      <w:r>
        <w:t>Opis aktivnosti</w:t>
      </w:r>
    </w:p>
    <w:p w:rsidR="005C2091" w:rsidRDefault="00A86293">
      <w:r>
        <w:t xml:space="preserve">Za razvoj konkurentnog sektora maloga gospodarstva potrebna je i dobro osposobljena, prilagodljiva radna snaga koja se može osigurati samo predanošću cjeloživotnom učenju na radnome mjestu. Stoga je nužno poduprijeti i izobrazbu i prekvalifikaciju radne snage. Sukladno tome, u okviru Operativnog programa „Konkurentnost i kohezija“ za razdoblje 2014-2020 podupiru se aktivnosti poput razvoja i izgradnje Regionalnog centra za razvoj poduzetničkih kompetencija zemalja jugoistočne Europe (SEECEL) kao moderne stručne ustanove za promociju </w:t>
      </w:r>
    </w:p>
    <w:p w:rsidR="005C2091" w:rsidRDefault="00A86293">
      <w:r>
        <w:t xml:space="preserve">poduzetničkog učenja. Snažna interakcija i suradnja znanosti i gospodarstva jamči učinkovitu iskoristivost ljudskih potencijala na način da olakšava poslodavcima pristup do sposobnih i kvalificiranih djelatnika, a pojedincima omogućava stjecanje kompetencija važnih za daljnji profesionalni razvoj i zapošljavanje. Podizanje razine kvalitete strukovnog obrazovanja, usvajanje poduzetničkih kompetencija, poticanje poduzetničke kulture u društvu te razvoj pozitivnog odnosa prema cjeloživotnom učenju u poduzetništvu u uvjetima opće društvene i gospodarske globalizacije ključno je za rast i razvoj poduzetništva i povećanje konkurentnosti gospodarstva. </w:t>
      </w:r>
    </w:p>
    <w:p w:rsidR="005C2091" w:rsidRDefault="00A86293">
      <w:r>
        <w:t xml:space="preserve"> Sredstva na navedenoj aktivnosti su utrošena temeljem Ugovora o sufinanciranju između i MINPO-a i SEECEL-a (50.000,00 EUR).</w:t>
      </w:r>
    </w:p>
    <w:p w:rsidR="005C2091" w:rsidRDefault="00A86293">
      <w:pPr>
        <w:pStyle w:val="Heading4"/>
      </w:pPr>
      <w:r>
        <w:t>A544033 OPREMANJE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A544033-OPREMANJE</w:t>
            </w:r>
          </w:p>
        </w:tc>
        <w:tc>
          <w:tcPr>
            <w:tcW w:w="2041" w:type="dxa"/>
          </w:tcPr>
          <w:p w:rsidR="005C2091" w:rsidRDefault="00A86293">
            <w:pPr>
              <w:pStyle w:val="CellColumn"/>
              <w:jc w:val="right"/>
            </w:pPr>
            <w:r>
              <w:rPr>
                <w:rFonts w:cs="Times New Roman"/>
              </w:rPr>
              <w:t>74.019</w:t>
            </w:r>
          </w:p>
        </w:tc>
        <w:tc>
          <w:tcPr>
            <w:tcW w:w="2041" w:type="dxa"/>
          </w:tcPr>
          <w:p w:rsidR="005C2091" w:rsidRDefault="00A86293">
            <w:pPr>
              <w:pStyle w:val="CellColumn"/>
              <w:jc w:val="right"/>
            </w:pPr>
            <w:r>
              <w:rPr>
                <w:rFonts w:cs="Times New Roman"/>
              </w:rPr>
              <w:t>38.282</w:t>
            </w:r>
          </w:p>
        </w:tc>
        <w:tc>
          <w:tcPr>
            <w:tcW w:w="2041" w:type="dxa"/>
          </w:tcPr>
          <w:p w:rsidR="005C2091" w:rsidRDefault="00A86293">
            <w:pPr>
              <w:pStyle w:val="CellColumn"/>
              <w:jc w:val="right"/>
            </w:pPr>
            <w:r>
              <w:rPr>
                <w:rFonts w:cs="Times New Roman"/>
              </w:rPr>
              <w:t>38.280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51,7</w:t>
            </w:r>
          </w:p>
        </w:tc>
      </w:tr>
    </w:tbl>
    <w:p w:rsidR="005C2091" w:rsidRDefault="005C2091">
      <w:pPr>
        <w:jc w:val="left"/>
      </w:pPr>
    </w:p>
    <w:p w:rsidR="005C2091" w:rsidRDefault="00A86293">
      <w:pPr>
        <w:pStyle w:val="Heading8"/>
        <w:jc w:val="left"/>
      </w:pPr>
      <w:r>
        <w:t>Zakonske i druge pravne osnove</w:t>
      </w:r>
    </w:p>
    <w:p w:rsidR="005C2091" w:rsidRDefault="00A86293">
      <w:r>
        <w:t>Zakon o ustrojstvu i djelokrugu ministarstava i drugih središnjih tijela državne uprave (NN 93/2016, 104/2016); Uredba o unutarnjem ustrojstvu Ministarstva poduzetništva i obrta Kolektivni ugovor za državne službenike i namještenike (NN 104/2013, 104/2013, 150/2013, 153/2013, 71/2016); Zakon o javnoj nabavi (NN 90/2011, 83/2013, 143/2013, 13/2014);</w:t>
      </w:r>
    </w:p>
    <w:p w:rsidR="005C2091" w:rsidRDefault="00A86293">
      <w:pPr>
        <w:pStyle w:val="Heading8"/>
        <w:jc w:val="left"/>
      </w:pPr>
      <w:r>
        <w:lastRenderedPageBreak/>
        <w:t>Opis aktivnosti</w:t>
      </w:r>
    </w:p>
    <w:p w:rsidR="005C2091" w:rsidRDefault="00A86293">
      <w:r>
        <w:t>U 2016.g. izvršenje ove aktivnosti odnosi se na nabavu računalne opreme (printeri, računala, monitori), nabavu uredskog namještaja, opreme za grijanje, ventilaciju i hlađenje (klima uređaj) i ostale nabave (kupnja telefona) koje su potrebne za redovno poslovanje ministarstva.</w:t>
      </w:r>
    </w:p>
    <w:p w:rsidR="005C2091" w:rsidRDefault="00A86293">
      <w:pPr>
        <w:pStyle w:val="Heading4"/>
      </w:pPr>
      <w:r>
        <w:t>A560091 SUBVENCIJE KAMATA ZA PODUZETNIČKE KREDITE</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A560091-SUBVENCIJE KAMATA ZA PODUZETNIČKE KREDITE</w:t>
            </w:r>
          </w:p>
        </w:tc>
        <w:tc>
          <w:tcPr>
            <w:tcW w:w="2041" w:type="dxa"/>
          </w:tcPr>
          <w:p w:rsidR="005C2091" w:rsidRDefault="00A86293">
            <w:pPr>
              <w:pStyle w:val="CellColumn"/>
              <w:jc w:val="right"/>
            </w:pPr>
            <w:r>
              <w:rPr>
                <w:rFonts w:cs="Times New Roman"/>
              </w:rPr>
              <w:t>29.458.486</w:t>
            </w:r>
          </w:p>
        </w:tc>
        <w:tc>
          <w:tcPr>
            <w:tcW w:w="2041" w:type="dxa"/>
          </w:tcPr>
          <w:p w:rsidR="005C2091" w:rsidRDefault="00A86293">
            <w:pPr>
              <w:pStyle w:val="CellColumn"/>
              <w:jc w:val="right"/>
            </w:pPr>
            <w:r>
              <w:rPr>
                <w:rFonts w:cs="Times New Roman"/>
              </w:rPr>
              <w:t>22.342.962</w:t>
            </w:r>
          </w:p>
        </w:tc>
        <w:tc>
          <w:tcPr>
            <w:tcW w:w="2041" w:type="dxa"/>
          </w:tcPr>
          <w:p w:rsidR="005C2091" w:rsidRDefault="00A86293">
            <w:pPr>
              <w:pStyle w:val="CellColumn"/>
              <w:jc w:val="right"/>
            </w:pPr>
            <w:r>
              <w:rPr>
                <w:rFonts w:cs="Times New Roman"/>
              </w:rPr>
              <w:t>22.342.961</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75,8</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poticanju razvoja malog gospodarstva (»Narodne novine«, broj 29/02, 63/07, 53/12, 56/13 i 121/16);  </w:t>
      </w:r>
    </w:p>
    <w:p w:rsidR="005C2091" w:rsidRDefault="00A86293">
      <w:r>
        <w:t xml:space="preserve">Zakon o državnim potporama (»Narodne novine«, broj 47/14); </w:t>
      </w:r>
    </w:p>
    <w:p w:rsidR="005C2091" w:rsidRDefault="00A86293">
      <w:r>
        <w:t xml:space="preserve">Strategija razvoja poduzetništva 2013.-2020. - Strateški cilj 2. POBOLJŠAN PRISTUP FINANCIRANJU . („Narodne novine“, broj 136/13); </w:t>
      </w:r>
    </w:p>
    <w:p w:rsidR="005C2091" w:rsidRDefault="00A86293">
      <w:r>
        <w:t>Uredba komisije EU br. 1407/2013 od 18. prosinca 2013. o primjeni članaka 107. i 108. Ugovora o funkcioniranju EU na de minimis potpore</w:t>
      </w:r>
    </w:p>
    <w:p w:rsidR="005C2091" w:rsidRDefault="00A86293">
      <w:pPr>
        <w:pStyle w:val="Heading8"/>
        <w:jc w:val="left"/>
      </w:pPr>
      <w:r>
        <w:t>Opis aktivnosti</w:t>
      </w:r>
    </w:p>
    <w:p w:rsidR="005C2091" w:rsidRDefault="00A86293">
      <w:r>
        <w:t>U razdoblju od 2004. do 2014. provedeni su kreditni poticajni projekti za MSP koji su zaključeni 31.03.2014., a za koje se servisiraju subvencije kamata s aktivnosti A560091 (Projekti „Lokalni projekti razvoja – Poduzetnik“, „Lokalni projekti razvoja malog gospodarstva“, „Lokalni projekti razvoja – mikro kreditiranje“). Od zadnjeg kvartala 2014. na snazi je novi program poboljšanog kreditiranja poduzetništva i obrta „Kreditom do uspjeha 2014“. Cilj Programa je poticanje regionalnog razvoja kroz poboljšano financiranje MSP u proizvodnim i uslužnim djelatnostima na razini županija. Program se provodi kroz dvije Mjere s programski utvrđenom namjenom kredita, i to Mjera 1. Kreditom do konkurentnosti za kapitalna ulaganja (krediti u vrijednosti od 100.000,00 do 5.000.000,00 kuna) i Mjera 2. Kreditom do uspješnog poslovanja za financiranje tekuće likvidnosti i trajnih obrtnih sredstava (krediti u vrijednosti od 30.000,00 - 200.000,00 kuna). Subvencije kamata osigurane su kao poticajna sredstva u državnom proračunu, a Program se temelji na pravilima za državne potpore male vrijednosti. Primjenjuje se Odluka o davanju suglasnosti Ministarstvu za preuzimanje obaveza na teret sredstava državnog proračuna Rhza  razdoblje od 2015. - 2025. godine za subvencioniranje kamata na kredite malom i srednjem poduzetništvu.  Dionici u programu su Ministarstvo, JLPS i poslovne  banke. U bazi podataka (registar kredita) u 2016. godini bilježeno je 3.399 kredita za koje se isplaćuju subvencije kamata.</w:t>
      </w:r>
    </w:p>
    <w:p w:rsidR="005C2091" w:rsidRDefault="00A86293">
      <w:pPr>
        <w:pStyle w:val="Heading4"/>
      </w:pPr>
      <w:r>
        <w:t>A560093 PROMIDŽBA PODUZETNIŠTVA I OBRTNIŠTVA</w:t>
      </w:r>
    </w:p>
    <w:tbl>
      <w:tblPr>
        <w:tblStyle w:val="StilTablice"/>
        <w:tblW w:w="10206" w:type="dxa"/>
        <w:jc w:val="center"/>
        <w:tblLook w:val="04A0" w:firstRow="1" w:lastRow="0" w:firstColumn="1" w:lastColumn="0" w:noHBand="0" w:noVBand="1"/>
      </w:tblPr>
      <w:tblGrid>
        <w:gridCol w:w="1759"/>
        <w:gridCol w:w="2004"/>
        <w:gridCol w:w="2004"/>
        <w:gridCol w:w="2004"/>
        <w:gridCol w:w="1216"/>
        <w:gridCol w:w="121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A560093-PROMIDŽBA PODUZETNIŠTVA I OBRTNIŠTVA</w:t>
            </w:r>
          </w:p>
        </w:tc>
        <w:tc>
          <w:tcPr>
            <w:tcW w:w="2041" w:type="dxa"/>
          </w:tcPr>
          <w:p w:rsidR="005C2091" w:rsidRDefault="00A86293">
            <w:pPr>
              <w:pStyle w:val="CellColumn"/>
              <w:jc w:val="right"/>
            </w:pPr>
            <w:r>
              <w:rPr>
                <w:rFonts w:cs="Times New Roman"/>
              </w:rPr>
              <w:t>2.581.953</w:t>
            </w:r>
          </w:p>
        </w:tc>
        <w:tc>
          <w:tcPr>
            <w:tcW w:w="2041" w:type="dxa"/>
          </w:tcPr>
          <w:p w:rsidR="005C2091" w:rsidRDefault="00A86293">
            <w:pPr>
              <w:pStyle w:val="CellColumn"/>
              <w:jc w:val="right"/>
            </w:pPr>
            <w:r>
              <w:rPr>
                <w:rFonts w:cs="Times New Roman"/>
              </w:rPr>
              <w:t>3.254.000</w:t>
            </w:r>
          </w:p>
        </w:tc>
        <w:tc>
          <w:tcPr>
            <w:tcW w:w="2041" w:type="dxa"/>
          </w:tcPr>
          <w:p w:rsidR="005C2091" w:rsidRDefault="00A86293">
            <w:pPr>
              <w:pStyle w:val="CellColumn"/>
              <w:jc w:val="right"/>
            </w:pPr>
            <w:r>
              <w:rPr>
                <w:rFonts w:cs="Times New Roman"/>
              </w:rPr>
              <w:t>3.254.000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126,0</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 xml:space="preserve">Zakon o poticanju razvoja malog gospodarstva („Narodne novine“, broj 29/02, 63/07, 53/12, 56/13 i 121/16); </w:t>
      </w:r>
    </w:p>
    <w:p w:rsidR="005C2091" w:rsidRDefault="00A86293">
      <w:r>
        <w:t>Strategija razvoja poduzetništva u republici Hrvatskoj 2013.-2020. . („Narodne novine“, broj 136/13)</w:t>
      </w:r>
    </w:p>
    <w:p w:rsidR="005C2091" w:rsidRDefault="00A86293">
      <w:pPr>
        <w:pStyle w:val="Heading8"/>
        <w:jc w:val="left"/>
      </w:pPr>
      <w:r>
        <w:t>Opis aktivnosti</w:t>
      </w:r>
    </w:p>
    <w:p w:rsidR="005C2091" w:rsidRDefault="00A86293">
      <w:r>
        <w:t>Promidžbene aktivnosti provode se s ciljem povećanja konkurentnosti malog gospodarstvo sukladno Strategiji razvoja poduzetništva Republike Hrvatske 2013.-2020. Kroz ove aktivnosti sufinancira se organizacija gospodarskih manifestacija, izložbi, sajmova, znanstveno-stručnih skupova i sličnih oblika poduzetništva i obrta radi razvijanja pozitivnog stava prema osnivanju novih poduzeća te isticanja koristi koje pruža poduzetništvo kako za pojedinca tako i za zajednicu u kojoj djeluje.</w:t>
      </w:r>
    </w:p>
    <w:p w:rsidR="005C2091" w:rsidRDefault="00A86293">
      <w:pPr>
        <w:pStyle w:val="Heading4"/>
      </w:pPr>
      <w:r>
        <w:t>A563101 MEĐUNARODNA AKTIVNOST PODUZETNIKA</w:t>
      </w:r>
    </w:p>
    <w:tbl>
      <w:tblPr>
        <w:tblStyle w:val="StilTablice"/>
        <w:tblW w:w="10206" w:type="dxa"/>
        <w:jc w:val="center"/>
        <w:tblLook w:val="04A0" w:firstRow="1" w:lastRow="0" w:firstColumn="1" w:lastColumn="0" w:noHBand="0" w:noVBand="1"/>
      </w:tblPr>
      <w:tblGrid>
        <w:gridCol w:w="1703"/>
        <w:gridCol w:w="2021"/>
        <w:gridCol w:w="2019"/>
        <w:gridCol w:w="2022"/>
        <w:gridCol w:w="1220"/>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A563101-MEĐUNARODNA AKTIVNOST PODUZETNIKA</w:t>
            </w:r>
          </w:p>
        </w:tc>
        <w:tc>
          <w:tcPr>
            <w:tcW w:w="2041" w:type="dxa"/>
          </w:tcPr>
          <w:p w:rsidR="005C2091" w:rsidRDefault="00A86293">
            <w:pPr>
              <w:pStyle w:val="CellColumn"/>
              <w:jc w:val="right"/>
            </w:pPr>
            <w:r>
              <w:rPr>
                <w:rFonts w:cs="Times New Roman"/>
              </w:rPr>
              <w:t>70.000</w:t>
            </w:r>
          </w:p>
        </w:tc>
        <w:tc>
          <w:tcPr>
            <w:tcW w:w="2041" w:type="dxa"/>
          </w:tcPr>
          <w:p w:rsidR="005C2091" w:rsidRDefault="00A86293">
            <w:pPr>
              <w:pStyle w:val="CellColumn"/>
              <w:jc w:val="right"/>
            </w:pPr>
            <w:r>
              <w:rPr>
                <w:rFonts w:cs="Times New Roman"/>
              </w:rPr>
              <w:t>70.000</w:t>
            </w:r>
          </w:p>
        </w:tc>
        <w:tc>
          <w:tcPr>
            <w:tcW w:w="2041" w:type="dxa"/>
          </w:tcPr>
          <w:p w:rsidR="005C2091" w:rsidRDefault="00A86293">
            <w:pPr>
              <w:pStyle w:val="CellColumn"/>
              <w:jc w:val="right"/>
            </w:pPr>
            <w:r>
              <w:rPr>
                <w:rFonts w:cs="Times New Roman"/>
              </w:rPr>
              <w:t>70.000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100,0</w:t>
            </w:r>
          </w:p>
        </w:tc>
      </w:tr>
    </w:tbl>
    <w:p w:rsidR="005C2091" w:rsidRDefault="005C2091">
      <w:pPr>
        <w:jc w:val="left"/>
      </w:pPr>
    </w:p>
    <w:p w:rsidR="005C2091" w:rsidRDefault="00A86293">
      <w:pPr>
        <w:pStyle w:val="Heading8"/>
        <w:jc w:val="left"/>
      </w:pPr>
      <w:r>
        <w:t>Zakonske i druge pravne osnove</w:t>
      </w:r>
    </w:p>
    <w:p w:rsidR="005C2091" w:rsidRDefault="00A86293">
      <w:r>
        <w:t>Zakon o poticanju razvoja malog gospodarstva (»Narodne novine«, broj 29/02, 63/07, 53/12, 56/13 i 121/16)</w:t>
      </w:r>
    </w:p>
    <w:p w:rsidR="005C2091" w:rsidRDefault="00A86293">
      <w:pPr>
        <w:pStyle w:val="Heading8"/>
        <w:jc w:val="left"/>
      </w:pPr>
      <w:r>
        <w:t>Opis aktivnosti</w:t>
      </w:r>
    </w:p>
    <w:p w:rsidR="005C2091" w:rsidRDefault="00A86293">
      <w:r>
        <w:t>Ministarstvo temeljem Ugovora o poslovnoj suradnji u provedbi međunarodnog istraživačkog projekta «Global Entrepreneurship Monitor» od 10.09.2012. zaključuje godišnje Dodatke ugovoru za GEM istraživanje s Centrom za politiku razvoja malih i srednjih poduzeća i poduzetništva (CEPOR). Sredstva su namjenska i  uplaćuju se za sufinanciranje članarine za  sudjelovanja Republike Hrvatske u GEM-u. GEM Hrvatska je dio međunarodnog istraživačkog projekta GEM u kojemu se utvrđenom metodologijom  istražuje razina poduzetničke aktivnosti i iskazuje TEA indeksom. Rezultati RH uključuju se u usporednu analizu (banchmarking) s drugim državama članicama GEM projekta. Sredstva u iznosu od 70.000,00 kuna planirana su u proračunu za 2016. i isplaćena sa stavke A563101 Međunarodna aktivnost poduzetnika. Dobiveni rezultati koriste se sukladno propisanoj nadležnosti Ministarstva za praćenje stanja u malom gospodarstvu kao i za potrebe izrade programa i strategija. Rezultati GEM projekta za 2016. objavit će se krajem ožujka 2017., a CEPOR uvijek upućuje poziv čelnicima Ministarstva za sudjelovanje u javnoj prezentaciji GEM-a.</w:t>
      </w:r>
    </w:p>
    <w:p w:rsidR="005C2091" w:rsidRDefault="00A86293">
      <w:pPr>
        <w:pStyle w:val="Heading4"/>
      </w:pPr>
      <w:r>
        <w:t>A817032 INVESTICIJSKO ODRŽAVANJE POSLOVNOG OBJEKTA VLADE RH, ZGRADE JUG, ULICA GRADA VUKOVARA 78, ZAGREB</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A817032-INVESTICIJSKO ODRŽAVANJE POSLOVNOG OBJEKTA VLADE RH, ZGRADE JUG, ULICA GRADA VUKOVARA 78, ZAGREB</w:t>
            </w:r>
          </w:p>
        </w:tc>
        <w:tc>
          <w:tcPr>
            <w:tcW w:w="2041" w:type="dxa"/>
          </w:tcPr>
          <w:p w:rsidR="005C2091" w:rsidRDefault="00A86293">
            <w:pPr>
              <w:pStyle w:val="CellColumn"/>
              <w:jc w:val="right"/>
            </w:pPr>
            <w:r>
              <w:rPr>
                <w:rFonts w:cs="Times New Roman"/>
              </w:rPr>
              <w:t>1.957</w:t>
            </w:r>
          </w:p>
        </w:tc>
        <w:tc>
          <w:tcPr>
            <w:tcW w:w="2041" w:type="dxa"/>
          </w:tcPr>
          <w:p w:rsidR="005C2091" w:rsidRDefault="00A86293">
            <w:pPr>
              <w:pStyle w:val="CellColumn"/>
              <w:jc w:val="right"/>
            </w:pPr>
            <w:r>
              <w:rPr>
                <w:rFonts w:cs="Times New Roman"/>
              </w:rPr>
              <w:t>25.931</w:t>
            </w:r>
          </w:p>
        </w:tc>
        <w:tc>
          <w:tcPr>
            <w:tcW w:w="2041" w:type="dxa"/>
          </w:tcPr>
          <w:p w:rsidR="005C2091" w:rsidRDefault="00A86293">
            <w:pPr>
              <w:pStyle w:val="CellColumn"/>
              <w:jc w:val="right"/>
            </w:pPr>
            <w:r>
              <w:rPr>
                <w:rFonts w:cs="Times New Roman"/>
              </w:rPr>
              <w:t>25.931</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1325,0</w:t>
            </w:r>
          </w:p>
        </w:tc>
      </w:tr>
    </w:tbl>
    <w:p w:rsidR="005C2091" w:rsidRDefault="005C2091">
      <w:pPr>
        <w:jc w:val="left"/>
      </w:pPr>
    </w:p>
    <w:p w:rsidR="005C2091" w:rsidRDefault="00A86293">
      <w:pPr>
        <w:pStyle w:val="Heading8"/>
        <w:jc w:val="left"/>
      </w:pPr>
      <w:r>
        <w:t>Opis aktivnosti</w:t>
      </w:r>
    </w:p>
    <w:p w:rsidR="005C2091" w:rsidRDefault="00A86293">
      <w:r>
        <w:t>U 2016.g. na ovoj aktivnosti evidentirana su dva računa koja se odnose na održavanje građevinskog objekta na lokaciji Ulica grada Vukovara 78.</w:t>
      </w:r>
    </w:p>
    <w:p w:rsidR="005C2091" w:rsidRDefault="00A86293">
      <w:pPr>
        <w:pStyle w:val="Heading4"/>
      </w:pPr>
      <w:r>
        <w:t>A817060 PROVEDBA MJERA ZA POTICANJE KONKURENTNOSTI PODUZETNIŠTVA I OBRTA-PODUZETNIČKI IMPULS</w:t>
      </w:r>
    </w:p>
    <w:tbl>
      <w:tblPr>
        <w:tblStyle w:val="StilTablice"/>
        <w:tblW w:w="10206" w:type="dxa"/>
        <w:jc w:val="center"/>
        <w:tblLook w:val="04A0" w:firstRow="1" w:lastRow="0" w:firstColumn="1" w:lastColumn="0" w:noHBand="0" w:noVBand="1"/>
      </w:tblPr>
      <w:tblGrid>
        <w:gridCol w:w="1948"/>
        <w:gridCol w:w="1953"/>
        <w:gridCol w:w="1946"/>
        <w:gridCol w:w="1946"/>
        <w:gridCol w:w="1202"/>
        <w:gridCol w:w="121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A817060-PROVEDBA MJERA ZA POTICANJE KONKURENTNOSTI PODUZETNIŠTVA I OBRTA-PODUZETNIČKI IMPULS</w:t>
            </w:r>
          </w:p>
        </w:tc>
        <w:tc>
          <w:tcPr>
            <w:tcW w:w="2041" w:type="dxa"/>
          </w:tcPr>
          <w:p w:rsidR="005C2091" w:rsidRDefault="00A86293">
            <w:pPr>
              <w:pStyle w:val="CellColumn"/>
              <w:jc w:val="right"/>
            </w:pPr>
            <w:r>
              <w:rPr>
                <w:rFonts w:cs="Times New Roman"/>
              </w:rPr>
              <w:t>13.166.692</w:t>
            </w:r>
          </w:p>
        </w:tc>
        <w:tc>
          <w:tcPr>
            <w:tcW w:w="2041" w:type="dxa"/>
          </w:tcPr>
          <w:p w:rsidR="005C2091" w:rsidRDefault="00A86293">
            <w:pPr>
              <w:pStyle w:val="CellColumn"/>
              <w:jc w:val="right"/>
            </w:pPr>
            <w:r>
              <w:rPr>
                <w:rFonts w:cs="Times New Roman"/>
              </w:rPr>
              <w:t>8.859.182</w:t>
            </w:r>
          </w:p>
        </w:tc>
        <w:tc>
          <w:tcPr>
            <w:tcW w:w="2041" w:type="dxa"/>
          </w:tcPr>
          <w:p w:rsidR="005C2091" w:rsidRDefault="00A86293">
            <w:pPr>
              <w:pStyle w:val="CellColumn"/>
              <w:jc w:val="right"/>
            </w:pPr>
            <w:r>
              <w:rPr>
                <w:rFonts w:cs="Times New Roman"/>
              </w:rPr>
              <w:t>8.859.180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67,3</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poticanju razvoja malog gospodarstva („Narodne novine“, broj 29/02, 63/07, 53/12, 56/13 i 121/16); </w:t>
      </w:r>
    </w:p>
    <w:p w:rsidR="005C2091" w:rsidRDefault="00A86293">
      <w:r>
        <w:t xml:space="preserve">Zakon o državnim potporama („Narodne novine“, broj 47/14); </w:t>
      </w:r>
    </w:p>
    <w:p w:rsidR="005C2091" w:rsidRDefault="00A86293">
      <w:r>
        <w:t>Uredba Komisije (EU) br. 1407/2013 od 18. prosinca 2013. o primjeni članaka 107. i 108. Ugovora o funkcioniranju Europske unije na de minimis potpore</w:t>
      </w:r>
    </w:p>
    <w:p w:rsidR="005C2091" w:rsidRDefault="00A86293">
      <w:pPr>
        <w:pStyle w:val="Heading8"/>
        <w:jc w:val="left"/>
      </w:pPr>
      <w:r>
        <w:t>Opis aktivnosti</w:t>
      </w:r>
    </w:p>
    <w:p w:rsidR="005C2091" w:rsidRDefault="00A86293">
      <w:r>
        <w:t xml:space="preserve">U cilju poticanja usvajanja ključnih vještina i kompetencija za obrtnička zanimanja te poticanja zapošljavanja i samozapošljavanja u obrtništvu proveden je Program „Cjeloživotno obrazovanje za obrtništvo“. Temeljem ovog Programa dodjeljivale su se bespovratne potpore za sufinanciranje troškova obrazovanja za obavljanje vezanih obrta, odnosno za pripremu i polaganje ispita o stručnoj osposobljenosti, pripremu i polaganje majstorskog ispita, prekvalifikaciju u obrtničkim zanimanjima te izdavanje dozvola (licenci) za izvođenje praktičnog dijela naukovanja. Temeljem navedenog Programa dodijeljeno je 713 potpora u ukupnoj vrijednosti od 1.999.833,60 kuna. Za navedeni Program  u 2016. godinu bilo je osigurano 2.000.000,00 kn od čega je do 16. listopada 2016. godine izvršeno 1.089.333,60  kuna odnosno 54,5%. U okviru ove aktivnosti isplaćivana su sredstva za podmirenje obveza prema korisnicima bespovratnih sredstava sukladno Programu poticanja poduzetništva i obrta-„Poduzetnički impuls“ za 2014. godinu kao i Programu poticanja poduzetništva i obrta-„Poduzetnički impuls“ za 2015. godinu. Do 16. listopada isplaćeno je ukupno 7.744.820,00 kuna od ukupno 8.186.155,00 kuna koliko je bilo planirano za ove aktivnosti odnosno 94,6% . Radi ispunjavanja preuzetih obveza sukladno promjenama koje je donio Zakon o obrtu („Narodne novine“, broj 143/13) te odgovarajući podzakonski akti, a u svezi s provedbom pomoćničkih ispita,a tiskana su uvjerenja o položenom pomoćničkom ispitu te su isplaćivane naknade članovima Povjerenstva za provedbu pomoćničkih ispita. Za navedene namjene do 16. listopada utrošeno je 25.025,85 kuna od ukupno planiranih kuna, odnosno 2,5%. Obzirom najveći broj učenika na pomoćničke ispite izlazi u ljetnom i </w:t>
      </w:r>
      <w:r>
        <w:lastRenderedPageBreak/>
        <w:t>jesenskom roku te je potrebno prikupiti odgovarajuću dokumentaciju temeljem koje se vrši isplata ove aktivnosti se u većem obimu u pravilu izvršavaju u zadnjem tromjesečju godine.</w:t>
      </w:r>
    </w:p>
    <w:p w:rsidR="00492B40" w:rsidRDefault="00492B40"/>
    <w:p w:rsidR="00492B40" w:rsidRDefault="00492B40"/>
    <w:p w:rsidR="00492B40" w:rsidRDefault="00492B40"/>
    <w:p w:rsidR="005C2091" w:rsidRDefault="00A86293">
      <w:pPr>
        <w:pStyle w:val="Heading4"/>
      </w:pPr>
      <w:r>
        <w:t>A822031 PROVEDBA EUROPSKE STRATEGIJE ZA DUNAVSKU REGIJU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A822031-PROVEDBA EUROPSKE STRATEGIJE ZA DUNAVSKU REGIJU</w:t>
            </w:r>
          </w:p>
        </w:tc>
        <w:tc>
          <w:tcPr>
            <w:tcW w:w="2041" w:type="dxa"/>
          </w:tcPr>
          <w:p w:rsidR="005C2091" w:rsidRDefault="00A86293">
            <w:pPr>
              <w:pStyle w:val="CellColumn"/>
              <w:jc w:val="right"/>
            </w:pPr>
            <w:r>
              <w:rPr>
                <w:rFonts w:cs="Times New Roman"/>
              </w:rPr>
              <w:t>195.722</w:t>
            </w:r>
          </w:p>
        </w:tc>
        <w:tc>
          <w:tcPr>
            <w:tcW w:w="2041" w:type="dxa"/>
          </w:tcPr>
          <w:p w:rsidR="005C2091" w:rsidRDefault="00A86293">
            <w:pPr>
              <w:pStyle w:val="CellColumn"/>
              <w:jc w:val="right"/>
            </w:pPr>
            <w:r>
              <w:rPr>
                <w:rFonts w:cs="Times New Roman"/>
              </w:rPr>
              <w:t>106.217</w:t>
            </w:r>
          </w:p>
        </w:tc>
        <w:tc>
          <w:tcPr>
            <w:tcW w:w="2041" w:type="dxa"/>
          </w:tcPr>
          <w:p w:rsidR="005C2091" w:rsidRDefault="00A86293">
            <w:pPr>
              <w:pStyle w:val="CellColumn"/>
              <w:jc w:val="right"/>
            </w:pPr>
            <w:r>
              <w:rPr>
                <w:rFonts w:cs="Times New Roman"/>
              </w:rPr>
              <w:t>151.256</w:t>
            </w:r>
          </w:p>
        </w:tc>
        <w:tc>
          <w:tcPr>
            <w:tcW w:w="1224" w:type="dxa"/>
          </w:tcPr>
          <w:p w:rsidR="005C2091" w:rsidRDefault="00A86293">
            <w:pPr>
              <w:pStyle w:val="CellColumn"/>
              <w:jc w:val="right"/>
            </w:pPr>
            <w:r>
              <w:rPr>
                <w:rFonts w:cs="Times New Roman"/>
              </w:rPr>
              <w:t>142,4</w:t>
            </w:r>
          </w:p>
        </w:tc>
        <w:tc>
          <w:tcPr>
            <w:tcW w:w="1224" w:type="dxa"/>
          </w:tcPr>
          <w:p w:rsidR="005C2091" w:rsidRDefault="00A86293">
            <w:pPr>
              <w:pStyle w:val="CellColumn"/>
              <w:jc w:val="right"/>
            </w:pPr>
            <w:r>
              <w:rPr>
                <w:rFonts w:cs="Times New Roman"/>
              </w:rPr>
              <w:t>77,3</w:t>
            </w:r>
          </w:p>
        </w:tc>
      </w:tr>
    </w:tbl>
    <w:p w:rsidR="005C2091" w:rsidRDefault="005C2091">
      <w:pPr>
        <w:jc w:val="left"/>
      </w:pPr>
    </w:p>
    <w:p w:rsidR="005C2091" w:rsidRDefault="00A86293">
      <w:pPr>
        <w:pStyle w:val="Heading8"/>
        <w:jc w:val="left"/>
      </w:pPr>
      <w:r>
        <w:t>Zakonske i druge pravne osnove</w:t>
      </w:r>
    </w:p>
    <w:p w:rsidR="005C2091" w:rsidRDefault="00A86293">
      <w:r>
        <w:t>Koordinacija provedbe EU strategije za dunavsku regiju (EUSDR), Prioritetnog područja 8 „Razvoj konkurentnosti gospodarstva, uključivo s razvojem klastera“, EK je povjerila MINPO Republike Hrvatske i MINGO Savezne zemlje Baden-Württemberg.</w:t>
      </w:r>
    </w:p>
    <w:p w:rsidR="005C2091" w:rsidRDefault="00A86293">
      <w:pPr>
        <w:pStyle w:val="Heading8"/>
        <w:jc w:val="left"/>
      </w:pPr>
      <w:r>
        <w:t>Opis aktivnosti</w:t>
      </w:r>
    </w:p>
    <w:p w:rsidR="005C2091" w:rsidRDefault="00A86293">
      <w:r>
        <w:t xml:space="preserve">Dunavska Strategija se provodi Akcijskim planom za koji EK-a kontinuirano alocira darovana sredstva počevši od 2011. godine. U izvještajnom periodu 2015-2016 EK-a je, temeljem potpisanog Sporazuma o darovanim sredstvima alocirala 60.000 EUR. </w:t>
      </w:r>
    </w:p>
    <w:p w:rsidR="005C2091" w:rsidRDefault="00A86293">
      <w:r>
        <w:t xml:space="preserve">Za navedeni iznos Služba za transnacionalne programe i projekte organizirala je: </w:t>
      </w:r>
    </w:p>
    <w:p w:rsidR="005C2091" w:rsidRDefault="00A86293">
      <w:r>
        <w:t xml:space="preserve">1. Međunarodnu 4. Radionicu za razvoj i umrežavanje klastera u Vukovaru 12. - 13. prosinca 2016. za svih 14 zemalja uključenih u Dunavsku strategiju.  </w:t>
      </w:r>
    </w:p>
    <w:p w:rsidR="005C2091" w:rsidRDefault="00A86293">
      <w:r>
        <w:t xml:space="preserve">2. U Osijeku, 22.-23. rujna 2016. organiziran je 2. Zajednički sastanak triju ekspertnih grupa PA8 (Radna grupa za tehnologije zaštite okoliša i energetsku učinkovitost, Inovacije i razvoj tehnologija i Suradnja poslovnih organizacija i asocijacija) </w:t>
      </w:r>
    </w:p>
    <w:p w:rsidR="005C2091" w:rsidRDefault="00A86293">
      <w:r>
        <w:t xml:space="preserve">3. U Dubrovniku 5.-7.lipnja 2016. Organizirana je 12. sjednica Upravljačkoga odbora PA8 EUSDR-a. </w:t>
      </w:r>
    </w:p>
    <w:p w:rsidR="005C2091" w:rsidRDefault="00A86293">
      <w:r>
        <w:t xml:space="preserve">4. Sjednice koordinatora Prioritetnih područja održane su u Beču, Briselu, te zajednički sastanak Nacionalnih koordinatora i koordinatora prioritetnih područja organiziran u Bratislavi i Beču. </w:t>
      </w:r>
    </w:p>
    <w:p w:rsidR="005C2091" w:rsidRDefault="00A86293">
      <w:r>
        <w:t xml:space="preserve">5. Sudjelovanje na 5.Godišnjem forumu Dunavske strategije u Bratislavi, 3.-5. studenoga 2016. </w:t>
      </w:r>
    </w:p>
    <w:p w:rsidR="005C2091" w:rsidRDefault="00A86293">
      <w:r>
        <w:t xml:space="preserve">6. Sudjelovanje na zajedničkom Forumu dviju europskih makroregija, dunavske i jadransko-jonske, Split, ožujak 2016. </w:t>
      </w:r>
    </w:p>
    <w:p w:rsidR="005C2091" w:rsidRDefault="00A86293">
      <w:r>
        <w:t xml:space="preserve">7. Sudjelovanje na događaju lansiranja projekta Vukovarsko-srijemske županije, projekt koji je dobio sjemenski kapital na Danube START programu, Vinkovci, ožujak 2016. </w:t>
      </w:r>
    </w:p>
    <w:p w:rsidR="005C2091" w:rsidRDefault="00A86293">
      <w:r>
        <w:t xml:space="preserve">8. Sudjelovanje na 5.Financijskom forumu Dunavske strategije, Bratislava, svibanj 2016. </w:t>
      </w:r>
    </w:p>
    <w:p w:rsidR="005C2091" w:rsidRDefault="00A86293">
      <w:r>
        <w:t xml:space="preserve"> Dodatno, aktivnosti koordinacije Prioritetnog područja konkurentnosti gospodarstva i razvoja klastera, usmjerene uključivanju ključnih dionika u gospodarstvu RH, obuhvaćaju: </w:t>
      </w:r>
    </w:p>
    <w:p w:rsidR="005C2091" w:rsidRDefault="00A86293">
      <w:r>
        <w:t xml:space="preserve">- poticanje suradnje i razmjene znanje između malih i srednjih poduzeća, akademske zajednice i javnog sektora u području Dunavske regije </w:t>
      </w:r>
    </w:p>
    <w:p w:rsidR="005C2091" w:rsidRDefault="00A86293">
      <w:r>
        <w:t xml:space="preserve">- poboljšanje poslovne podrške u vidu jačanja kapaciteta malih i srednjih poduzetnika za suradnju i trgovinu </w:t>
      </w:r>
    </w:p>
    <w:p w:rsidR="005C2091" w:rsidRDefault="00A86293">
      <w:r>
        <w:lastRenderedPageBreak/>
        <w:t xml:space="preserve">- podrška tvrtkama pružanjem kvalitetnih treninga i programa za obuku </w:t>
      </w:r>
    </w:p>
    <w:p w:rsidR="005C2091" w:rsidRDefault="00A86293">
      <w:r>
        <w:t xml:space="preserve">- učinkovita provedba mjera utvrđenih EU Aktom za malo gospodarstvo </w:t>
      </w:r>
    </w:p>
    <w:p w:rsidR="005C2091" w:rsidRDefault="00A86293">
      <w:r>
        <w:t xml:space="preserve">- jačanje poduzetništva i konkurentnosti ruralnih područja, posebice u prerađivačkom sektoru i na području razvoja klastera </w:t>
      </w:r>
    </w:p>
    <w:p w:rsidR="005C2091" w:rsidRDefault="00A86293">
      <w:r>
        <w:t xml:space="preserve">- poboljšanje okvirnih uvjeta za mala i srednja poduzeća u područjima u kojima nedostaje </w:t>
      </w:r>
    </w:p>
    <w:p w:rsidR="005C2091" w:rsidRDefault="00A86293">
      <w:r>
        <w:t>konkurentna infrastruktura</w:t>
      </w:r>
    </w:p>
    <w:p w:rsidR="005C2091" w:rsidRDefault="00A86293">
      <w:pPr>
        <w:pStyle w:val="Heading4"/>
      </w:pPr>
      <w:r>
        <w:t>A822032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A822032-INFORMATIZACIJA</w:t>
            </w:r>
          </w:p>
        </w:tc>
        <w:tc>
          <w:tcPr>
            <w:tcW w:w="2041" w:type="dxa"/>
          </w:tcPr>
          <w:p w:rsidR="005C2091" w:rsidRDefault="00A86293">
            <w:pPr>
              <w:pStyle w:val="CellColumn"/>
              <w:jc w:val="right"/>
            </w:pPr>
            <w:r>
              <w:rPr>
                <w:rFonts w:cs="Times New Roman"/>
              </w:rPr>
              <w:t>384.332</w:t>
            </w:r>
          </w:p>
        </w:tc>
        <w:tc>
          <w:tcPr>
            <w:tcW w:w="2041" w:type="dxa"/>
          </w:tcPr>
          <w:p w:rsidR="005C2091" w:rsidRDefault="00A86293">
            <w:pPr>
              <w:pStyle w:val="CellColumn"/>
              <w:jc w:val="right"/>
            </w:pPr>
            <w:r>
              <w:rPr>
                <w:rFonts w:cs="Times New Roman"/>
              </w:rPr>
              <w:t>166.470</w:t>
            </w:r>
          </w:p>
        </w:tc>
        <w:tc>
          <w:tcPr>
            <w:tcW w:w="2041" w:type="dxa"/>
          </w:tcPr>
          <w:p w:rsidR="005C2091" w:rsidRDefault="00A86293">
            <w:pPr>
              <w:pStyle w:val="CellColumn"/>
              <w:jc w:val="right"/>
            </w:pPr>
            <w:r>
              <w:rPr>
                <w:rFonts w:cs="Times New Roman"/>
              </w:rPr>
              <w:t>166.469</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43,3</w:t>
            </w:r>
          </w:p>
        </w:tc>
      </w:tr>
    </w:tbl>
    <w:p w:rsidR="005C2091" w:rsidRDefault="005C2091">
      <w:pPr>
        <w:jc w:val="left"/>
      </w:pPr>
    </w:p>
    <w:p w:rsidR="005C2091" w:rsidRDefault="00A86293">
      <w:pPr>
        <w:pStyle w:val="Heading8"/>
        <w:jc w:val="left"/>
      </w:pPr>
      <w:r>
        <w:t>Zakonske i druge pravne osnove</w:t>
      </w:r>
    </w:p>
    <w:p w:rsidR="005C2091" w:rsidRDefault="00A86293">
      <w:r>
        <w:t>Zakon o ustrojstvu i djelokrugu ministarstava i drugih središnjih tijela državne uprave (NN 93/2016, 104/2016); Uredba o unutarnjem ustrojstvu Ministarstva poduzetništva i obrta; Kolektivni ugovor za državne službenike i namještenike (NN 104/2013, 104/2013, 150/2013, 153/2013, 71/2016); Zakon o javnoj nabavi (NN 90/2011, 83/2013, 143/2013, 13/2014);</w:t>
      </w:r>
    </w:p>
    <w:p w:rsidR="005C2091" w:rsidRDefault="00A86293">
      <w:pPr>
        <w:pStyle w:val="Heading8"/>
        <w:jc w:val="left"/>
      </w:pPr>
      <w:r>
        <w:t>Opis aktivnosti</w:t>
      </w:r>
    </w:p>
    <w:p w:rsidR="005C2091" w:rsidRDefault="00A86293">
      <w:r>
        <w:t xml:space="preserve">S ove aktivnosti u 2016.godini podmirene su sljedeće računalne usluge: </w:t>
      </w:r>
    </w:p>
    <w:p w:rsidR="005C2091" w:rsidRDefault="00A86293">
      <w:r>
        <w:t xml:space="preserve">- mjesečno održavanje aplikacije uredskog poslovanja </w:t>
      </w:r>
    </w:p>
    <w:p w:rsidR="005C2091" w:rsidRDefault="00A86293">
      <w:r>
        <w:t xml:space="preserve">- mjesečno održavanje aplikacije knjigovodstvenog programa </w:t>
      </w:r>
    </w:p>
    <w:p w:rsidR="005C2091" w:rsidRDefault="00A86293">
      <w:r>
        <w:t xml:space="preserve">- računalne usluge eksporta podataka </w:t>
      </w:r>
    </w:p>
    <w:p w:rsidR="005C2091" w:rsidRDefault="00A86293">
      <w:r>
        <w:t>- switchevi</w:t>
      </w:r>
    </w:p>
    <w:p w:rsidR="001323E6" w:rsidRDefault="001323E6"/>
    <w:p w:rsidR="005C2091" w:rsidRDefault="00A86293">
      <w:pPr>
        <w:pStyle w:val="Heading4"/>
      </w:pPr>
      <w:r>
        <w:t>A822041 OP KONKURENTNOST I KOHEZIJA 2014-2020</w:t>
      </w:r>
    </w:p>
    <w:tbl>
      <w:tblPr>
        <w:tblStyle w:val="StilTablice"/>
        <w:tblW w:w="10206" w:type="dxa"/>
        <w:jc w:val="center"/>
        <w:tblLook w:val="04A0" w:firstRow="1" w:lastRow="0" w:firstColumn="1" w:lastColumn="0" w:noHBand="0" w:noVBand="1"/>
      </w:tblPr>
      <w:tblGrid>
        <w:gridCol w:w="1881"/>
        <w:gridCol w:w="1968"/>
        <w:gridCol w:w="1969"/>
        <w:gridCol w:w="196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A822041-OP KONKURENTNOST I KOHEZIJA 2014-2020</w:t>
            </w:r>
          </w:p>
        </w:tc>
        <w:tc>
          <w:tcPr>
            <w:tcW w:w="2041" w:type="dxa"/>
          </w:tcPr>
          <w:p w:rsidR="005C2091" w:rsidRDefault="00A86293">
            <w:pPr>
              <w:pStyle w:val="CellColumn"/>
              <w:jc w:val="right"/>
            </w:pPr>
            <w:r>
              <w:rPr>
                <w:rFonts w:cs="Times New Roman"/>
              </w:rPr>
              <w:t>38.102.784</w:t>
            </w:r>
          </w:p>
        </w:tc>
        <w:tc>
          <w:tcPr>
            <w:tcW w:w="2041" w:type="dxa"/>
          </w:tcPr>
          <w:p w:rsidR="005C2091" w:rsidRDefault="00A86293">
            <w:pPr>
              <w:pStyle w:val="CellColumn"/>
              <w:jc w:val="right"/>
            </w:pPr>
            <w:r>
              <w:rPr>
                <w:rFonts w:cs="Times New Roman"/>
              </w:rPr>
              <w:t>76.316.218</w:t>
            </w:r>
          </w:p>
        </w:tc>
        <w:tc>
          <w:tcPr>
            <w:tcW w:w="2041" w:type="dxa"/>
          </w:tcPr>
          <w:p w:rsidR="005C2091" w:rsidRDefault="00A86293">
            <w:pPr>
              <w:pStyle w:val="CellColumn"/>
              <w:jc w:val="right"/>
            </w:pPr>
            <w:r>
              <w:rPr>
                <w:rFonts w:cs="Times New Roman"/>
              </w:rPr>
              <w:t>76.333.381</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200,3</w:t>
            </w:r>
          </w:p>
        </w:tc>
      </w:tr>
    </w:tbl>
    <w:p w:rsidR="005C2091" w:rsidRDefault="005C2091">
      <w:pPr>
        <w:jc w:val="left"/>
      </w:pPr>
    </w:p>
    <w:p w:rsidR="005C2091" w:rsidRDefault="00A86293">
      <w:pPr>
        <w:pStyle w:val="Heading8"/>
        <w:jc w:val="left"/>
      </w:pPr>
      <w:r>
        <w:t>Zakonske i druge pravne osnove</w:t>
      </w:r>
    </w:p>
    <w:p w:rsidR="005C2091" w:rsidRDefault="00A86293">
      <w:r>
        <w:t>Sukladno Zakonu o uspostavi institucionalnog okvira za provedbu Europskih strukturnih i investicijskih fondova u RH u financijskom razdoblju 2014.-2020. (NN br. 92/14) i Uredbe o tijelima u sustavima upravljanja i kontrole korištenja Europskog socijalnog fonda, Europskog fonda za regionalni razvoj i Kohezijskog fonda, u vezi s ciljem "Ulaganje za rast i radna mjesta" (NN br. 107/2014, 23/15, 129/15) Ministarstvo je imenovano Posredničkim tijelom razine 1 za Prioritetnu os 3 Poslovna konkurentnost.</w:t>
      </w:r>
    </w:p>
    <w:p w:rsidR="005C2091" w:rsidRDefault="00A86293">
      <w:pPr>
        <w:pStyle w:val="Heading8"/>
        <w:jc w:val="left"/>
      </w:pPr>
      <w:r>
        <w:lastRenderedPageBreak/>
        <w:t>Opis aktivnosti</w:t>
      </w:r>
    </w:p>
    <w:p w:rsidR="005C2091" w:rsidRDefault="00A86293">
      <w:r>
        <w:t xml:space="preserve">Sredstva iz aktivnosti namijenjena su za razvoj malog i srednjeg poduzetništva u Republici Hrvatskoj osigurana su kroz OPKiK, Prioritetna osi 3. „Poslovna konkurentnost“,  Investicijski prioriteti 3.a. „ Promicanje poduzetništva, posebno olakšavajući ekonomsko iskorištavanje novih ideja i poticanje stvaranja novih poduzeća, uključujući putem poslovnih inkubatora“  i 3.d. „Potpora stvaranju kapaciteta MSP-a za uključivanje u proces rasta na regionalnim, nacionalnim i međunarodnim tržištima i inovacijskim procesima“, a koristiti će se kroz velik broj različitih programa potpora. Ministarstvu je kroz naveden Prioritet iz Europskog fonda za regionalni razvoj na raspolaganju 970 MEUR.  </w:t>
      </w:r>
    </w:p>
    <w:p w:rsidR="005C2091" w:rsidRDefault="00A86293">
      <w:r>
        <w:t xml:space="preserve">Također, planirana su sredstva iz Prioritetne osi 10 za projekt „Tehnička pomoć 2014.-2020.“ koji ima za cilj jačanje kapaciteta tijela u Sustavu upravljanja i kontrole ESI fondovima. Projekt se provodi s ciljem uspješnog upravljanja, praćenja i vrednovanja, učinkovitog iskorištavanja dodijeljenih sredstava i ostvarenja ciljanih rezultata te informiranja opće javnosti, medija, dionika i potencijalnih korisnika o mogućnostima financiranja i projektima financiranim iz fondova EU.  </w:t>
      </w:r>
    </w:p>
    <w:p w:rsidR="005C2091" w:rsidRDefault="00A86293">
      <w:r>
        <w:t>Sredstva na aktivnosti planirana su temeljem indikativnog plana objave poziva, važećih planova ugovaranja, planova provedbe i plaćanja. Dinamika se zbog specifičnosti svakog pojedinog poziva, različitih omjera financiranja, izvora iz kojih se financira može izmijeniti, posebice je to izgledno kod trajno otvorenih poziva kod kojih je teško procijeniti  zainteresiranost potencijalnih prijavitelja, no prilikom izrade plana vodilo se dosadašnjim iskustvom u provedbi.</w:t>
      </w:r>
    </w:p>
    <w:p w:rsidR="005C2091" w:rsidRDefault="00A86293">
      <w:pPr>
        <w:pStyle w:val="Heading4"/>
      </w:pPr>
      <w:r>
        <w:t>A822055 PROVEDBA MJERA ZA POTICANJE INVESTICIJA MALIH I SREDNJIH PODUZETNIKA I OBRTNIKA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A822055-PROVEDBA MJERA ZA POTICANJE INVESTICIJA MALIH I SREDNJIH PODUZETNIKA I OBRTNIKA</w:t>
            </w:r>
          </w:p>
        </w:tc>
        <w:tc>
          <w:tcPr>
            <w:tcW w:w="2041" w:type="dxa"/>
          </w:tcPr>
          <w:p w:rsidR="005C2091" w:rsidRDefault="00A86293">
            <w:pPr>
              <w:pStyle w:val="CellColumn"/>
              <w:jc w:val="right"/>
            </w:pPr>
            <w:r>
              <w:rPr>
                <w:rFonts w:cs="Times New Roman"/>
              </w:rPr>
              <w:t>9.365.234</w:t>
            </w:r>
          </w:p>
        </w:tc>
        <w:tc>
          <w:tcPr>
            <w:tcW w:w="2041" w:type="dxa"/>
          </w:tcPr>
          <w:p w:rsidR="005C2091" w:rsidRDefault="00A86293">
            <w:pPr>
              <w:pStyle w:val="CellColumn"/>
              <w:jc w:val="right"/>
            </w:pPr>
            <w:r>
              <w:rPr>
                <w:rFonts w:cs="Times New Roman"/>
              </w:rPr>
              <w:t>14.753.513</w:t>
            </w:r>
          </w:p>
        </w:tc>
        <w:tc>
          <w:tcPr>
            <w:tcW w:w="2041" w:type="dxa"/>
          </w:tcPr>
          <w:p w:rsidR="005C2091" w:rsidRDefault="00A86293">
            <w:pPr>
              <w:pStyle w:val="CellColumn"/>
              <w:jc w:val="right"/>
            </w:pPr>
            <w:r>
              <w:rPr>
                <w:rFonts w:cs="Times New Roman"/>
              </w:rPr>
              <w:t>14.753.512</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157,5</w:t>
            </w:r>
          </w:p>
        </w:tc>
      </w:tr>
    </w:tbl>
    <w:p w:rsidR="005C2091" w:rsidRDefault="005C2091">
      <w:pPr>
        <w:jc w:val="left"/>
      </w:pPr>
    </w:p>
    <w:p w:rsidR="005C2091" w:rsidRDefault="00A86293">
      <w:pPr>
        <w:pStyle w:val="Heading8"/>
        <w:jc w:val="left"/>
      </w:pPr>
      <w:r>
        <w:t>Zakonske i druge pravne osnove</w:t>
      </w:r>
    </w:p>
    <w:p w:rsidR="005C2091" w:rsidRDefault="00A86293">
      <w:r>
        <w:t>Aktivnost pod nazivom „Provedba mjera za poticanje investicija malih i srednjih poduzetnika i obrtnika“ odnosi se na provedbu Zakona o poticanju ulaganja (NN 138/06, 61/11) i Uredbe o poticanju ulaganja (NN 64/07), te Zakona o poticanju investicija i unapređenju investicijskog okruženja (NN 111/12, 28/13) i Uredbe o poticanju investicija i unapređenju investicijskog okruženja (NN 40/13).</w:t>
      </w:r>
    </w:p>
    <w:p w:rsidR="005C2091" w:rsidRDefault="00A86293">
      <w:pPr>
        <w:pStyle w:val="Heading8"/>
        <w:jc w:val="left"/>
      </w:pPr>
      <w:r>
        <w:t>Opis aktivnosti</w:t>
      </w:r>
    </w:p>
    <w:p w:rsidR="005C2091" w:rsidRDefault="00A86293">
      <w:r>
        <w:t xml:space="preserve">Prema navedenim zakonima, a u okviru sustava poticajnih mjera za ulaganja, u državnom proračunu na poziciji Ministarstva poduzetništva i obrta bila su osigurana sredstva za sljedeće bespovratne novčane potpore: </w:t>
      </w:r>
    </w:p>
    <w:p w:rsidR="005C2091" w:rsidRDefault="00A86293">
      <w:r>
        <w:t xml:space="preserve"> opravdane troškove otvaranja novih radnih mjesta povezanih s ulaganjem/investicijskim projektom; opravdane troškove usavršavanja povezanih s ulaganjem/investicijskim projektom;kupnju opreme/strojeva za investicije u razvojno-inovacijske aktivnosti;poticajne mjere za velike projekte ulaganja - bespovratna novčana potpora za opravdane troškove ulaganja u dugotrajnu imovinu, odnosno troškove izgradnje nove tvornice ili industrijskog postrojenja i troškove kupnje novih strojeva u ukupnom maksimalnom iznosu do 1 milijun eura, te bespovratna novčana potpora za opravdane troškove ulaganja u infrastrukturne objekte i priključke u maksimalnom iznosu do 0,5 milijuna eura;poticajne mjere za kapitalne troškove investicijskog projekta - bespovratna novčana potpora za kapitalne troškove (opravdani troškovi ulaganja u dugotrajnu imovinu) u maksimalnom iznosu do 1 milijun eura. </w:t>
      </w:r>
    </w:p>
    <w:p w:rsidR="005C2091" w:rsidRDefault="00A86293">
      <w:r>
        <w:lastRenderedPageBreak/>
        <w:t xml:space="preserve">Temeljem provedbe zakonodavnog okvira za poticanje ulaganja, od listopada 2012. do kraja 2016. godine zaprimljena je ukupno 471 Prijava za korištenje potpora za ulaganje malih i srednjih poduzetnika.  </w:t>
      </w:r>
    </w:p>
    <w:p w:rsidR="005C2091" w:rsidRDefault="00A86293">
      <w:r>
        <w:t xml:space="preserve">U 2016. godini izdano je ukupno 55 novih potvrda, odnosno bilježi se neznatno manji broj izdanih Potvrda o statusu nositelja poticajnih mjera u odnosu na planirano. </w:t>
      </w:r>
    </w:p>
    <w:p w:rsidR="005C2091" w:rsidRDefault="00A86293">
      <w:r>
        <w:t xml:space="preserve">Sukladno podacima dobivenim od poduzetnika u veljači i lipnju 2016. godine (podaci su traženi u svrhu što točnijeg planiranja vezano za korištenje proračunskih sredstava), za isplate potpora u prethodnoj godini bilo je potrebno približno 25,8 milijuna kuna, što je više od planiranog iznosa u proračunu za 2016. godinu. Procjena potrebnih sredstava napravljena sredinom godine potvrđena je stvarnim stanjem na kraju godine, odnosno brojem zaprimljenih zahtjeva za isplatom potpore na dan 31.12.2016. u vrijednosti cca. 25,5 milijuna kuna. </w:t>
      </w:r>
    </w:p>
    <w:p w:rsidR="005C2091" w:rsidRDefault="00A86293">
      <w:r>
        <w:t>Proračunska sredstva MINPO-a za aktivnost A822055 su iznosila ukupno 14,7 milijuna kuna i u cijelosti su iskorištena.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212"/>
        <w:gridCol w:w="2245"/>
        <w:gridCol w:w="958"/>
        <w:gridCol w:w="1264"/>
        <w:gridCol w:w="999"/>
        <w:gridCol w:w="1264"/>
        <w:gridCol w:w="1264"/>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MSP-a koji su dobili Potvrdu o statusu nositelja poticajnih mjera</w:t>
            </w:r>
          </w:p>
        </w:tc>
        <w:tc>
          <w:tcPr>
            <w:tcW w:w="2551" w:type="dxa"/>
          </w:tcPr>
          <w:p w:rsidR="005C2091" w:rsidRDefault="00A86293">
            <w:pPr>
              <w:pStyle w:val="CellColumn"/>
              <w:jc w:val="left"/>
            </w:pPr>
            <w:r>
              <w:rPr>
                <w:rFonts w:cs="Times New Roman"/>
              </w:rPr>
              <w:t>Povećanje broja poduzetnika kojima je odobren projekt ulaganja, što odražava povećanje interesa investitora za ulaganje u RH, te rezultira povećanjem atraktivnosti Hrvatske kao ulagačke destinacije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197</w:t>
            </w:r>
          </w:p>
        </w:tc>
        <w:tc>
          <w:tcPr>
            <w:tcW w:w="1020" w:type="dxa"/>
          </w:tcPr>
          <w:p w:rsidR="005C2091" w:rsidRDefault="00A86293">
            <w:pPr>
              <w:pStyle w:val="CellColumn"/>
              <w:jc w:val="right"/>
            </w:pPr>
            <w:r>
              <w:rPr>
                <w:rFonts w:cs="Times New Roman"/>
              </w:rPr>
              <w:t>Statistika provedbe zakona - Služba za poticanje investicija</w:t>
            </w:r>
          </w:p>
        </w:tc>
        <w:tc>
          <w:tcPr>
            <w:tcW w:w="1020" w:type="dxa"/>
          </w:tcPr>
          <w:p w:rsidR="005C2091" w:rsidRDefault="00A86293">
            <w:pPr>
              <w:pStyle w:val="CellColumn"/>
              <w:jc w:val="right"/>
            </w:pPr>
            <w:r>
              <w:rPr>
                <w:rFonts w:cs="Times New Roman"/>
              </w:rPr>
              <w:t>260</w:t>
            </w:r>
          </w:p>
        </w:tc>
        <w:tc>
          <w:tcPr>
            <w:tcW w:w="1020" w:type="dxa"/>
          </w:tcPr>
          <w:p w:rsidR="005C2091" w:rsidRDefault="00A86293">
            <w:pPr>
              <w:pStyle w:val="CellColumn"/>
              <w:jc w:val="right"/>
            </w:pPr>
            <w:r>
              <w:rPr>
                <w:rFonts w:cs="Times New Roman"/>
              </w:rPr>
              <w:t>243</w:t>
            </w:r>
          </w:p>
        </w:tc>
      </w:tr>
      <w:tr w:rsidR="005C2091">
        <w:trPr>
          <w:jc w:val="center"/>
        </w:trPr>
        <w:tc>
          <w:tcPr>
            <w:tcW w:w="2551" w:type="dxa"/>
          </w:tcPr>
          <w:p w:rsidR="005C2091" w:rsidRDefault="00A86293">
            <w:pPr>
              <w:pStyle w:val="CellColumn"/>
              <w:jc w:val="left"/>
            </w:pPr>
            <w:r>
              <w:rPr>
                <w:rFonts w:cs="Times New Roman"/>
              </w:rPr>
              <w:t>Ukupna vrijednost odobrenih investicijskih projekata</w:t>
            </w:r>
          </w:p>
        </w:tc>
        <w:tc>
          <w:tcPr>
            <w:tcW w:w="2551" w:type="dxa"/>
          </w:tcPr>
          <w:p w:rsidR="005C2091" w:rsidRDefault="00A86293">
            <w:pPr>
              <w:pStyle w:val="CellColumn"/>
              <w:jc w:val="left"/>
            </w:pPr>
            <w:r>
              <w:rPr>
                <w:rFonts w:cs="Times New Roman"/>
              </w:rPr>
              <w:t>Povećanje ukupne vrijednosti odobrenih ulaganja odražava povećanje konkurentnosti malog gospodarstva kroz povećanje proizvodnih kapaciteta, povećanje kapitalne opremljenosti rada, povećanje kvalitete, te kroz modernizaciju i unapređenje poslovanja</w:t>
            </w:r>
          </w:p>
        </w:tc>
        <w:tc>
          <w:tcPr>
            <w:tcW w:w="1020" w:type="dxa"/>
          </w:tcPr>
          <w:p w:rsidR="005C2091" w:rsidRDefault="00A86293">
            <w:pPr>
              <w:pStyle w:val="CellColumn"/>
              <w:jc w:val="right"/>
            </w:pPr>
            <w:r>
              <w:rPr>
                <w:rFonts w:cs="Times New Roman"/>
              </w:rPr>
              <w:t>Iznos u HRK</w:t>
            </w:r>
          </w:p>
        </w:tc>
        <w:tc>
          <w:tcPr>
            <w:tcW w:w="1020" w:type="dxa"/>
          </w:tcPr>
          <w:p w:rsidR="005C2091" w:rsidRDefault="00A86293">
            <w:pPr>
              <w:pStyle w:val="CellColumn"/>
              <w:jc w:val="right"/>
            </w:pPr>
            <w:r>
              <w:rPr>
                <w:rFonts w:cs="Times New Roman"/>
              </w:rPr>
              <w:t>6.622.867.005</w:t>
            </w:r>
          </w:p>
        </w:tc>
        <w:tc>
          <w:tcPr>
            <w:tcW w:w="1020" w:type="dxa"/>
          </w:tcPr>
          <w:p w:rsidR="005C2091" w:rsidRDefault="00A86293">
            <w:pPr>
              <w:pStyle w:val="CellColumn"/>
              <w:jc w:val="right"/>
            </w:pPr>
            <w:r>
              <w:rPr>
                <w:rFonts w:cs="Times New Roman"/>
              </w:rPr>
              <w:t>Statistika provedbe zakona - Služba za poticanje investicija</w:t>
            </w:r>
          </w:p>
        </w:tc>
        <w:tc>
          <w:tcPr>
            <w:tcW w:w="1020" w:type="dxa"/>
          </w:tcPr>
          <w:p w:rsidR="005C2091" w:rsidRDefault="00A86293">
            <w:pPr>
              <w:pStyle w:val="CellColumn"/>
              <w:jc w:val="right"/>
            </w:pPr>
            <w:r>
              <w:rPr>
                <w:rFonts w:cs="Times New Roman"/>
              </w:rPr>
              <w:t>8.000.000.000</w:t>
            </w:r>
          </w:p>
        </w:tc>
        <w:tc>
          <w:tcPr>
            <w:tcW w:w="1020" w:type="dxa"/>
          </w:tcPr>
          <w:p w:rsidR="005C2091" w:rsidRDefault="00A86293">
            <w:pPr>
              <w:pStyle w:val="CellColumn"/>
              <w:jc w:val="right"/>
            </w:pPr>
            <w:r>
              <w:rPr>
                <w:rFonts w:cs="Times New Roman"/>
              </w:rPr>
              <w:t>7.649.705.278</w:t>
            </w:r>
          </w:p>
        </w:tc>
      </w:tr>
      <w:tr w:rsidR="005C2091">
        <w:trPr>
          <w:jc w:val="center"/>
        </w:trPr>
        <w:tc>
          <w:tcPr>
            <w:tcW w:w="2551" w:type="dxa"/>
          </w:tcPr>
          <w:p w:rsidR="005C2091" w:rsidRDefault="00A86293">
            <w:pPr>
              <w:pStyle w:val="CellColumn"/>
              <w:jc w:val="left"/>
            </w:pPr>
            <w:r>
              <w:rPr>
                <w:rFonts w:cs="Times New Roman"/>
              </w:rPr>
              <w:t>Broj MSP-a koji su primili bespovratnu novčanu potporu</w:t>
            </w:r>
          </w:p>
        </w:tc>
        <w:tc>
          <w:tcPr>
            <w:tcW w:w="2551" w:type="dxa"/>
          </w:tcPr>
          <w:p w:rsidR="005C2091" w:rsidRDefault="00A86293">
            <w:pPr>
              <w:pStyle w:val="CellColumn"/>
              <w:jc w:val="left"/>
            </w:pPr>
            <w:r>
              <w:rPr>
                <w:rFonts w:cs="Times New Roman"/>
              </w:rPr>
              <w:t>Dodjela bespovratnih potpora za opravdane troškove novih radnih mjesta i usavršavanja povezanih s projektom ulaganja, potpora za investicije u razvojno-inovacijske aktivnosti, te potpora za kapitalne troškove investicijskog projekta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58</w:t>
            </w:r>
          </w:p>
        </w:tc>
        <w:tc>
          <w:tcPr>
            <w:tcW w:w="1020" w:type="dxa"/>
          </w:tcPr>
          <w:p w:rsidR="005C2091" w:rsidRDefault="00A86293">
            <w:pPr>
              <w:pStyle w:val="CellColumn"/>
              <w:jc w:val="right"/>
            </w:pPr>
            <w:r>
              <w:rPr>
                <w:rFonts w:cs="Times New Roman"/>
              </w:rPr>
              <w:t>Statistika provedbe zakona - Služba za poticanje investicija</w:t>
            </w:r>
          </w:p>
        </w:tc>
        <w:tc>
          <w:tcPr>
            <w:tcW w:w="1020" w:type="dxa"/>
          </w:tcPr>
          <w:p w:rsidR="005C2091" w:rsidRDefault="00A86293">
            <w:pPr>
              <w:pStyle w:val="CellColumn"/>
              <w:jc w:val="right"/>
            </w:pPr>
            <w:r>
              <w:rPr>
                <w:rFonts w:cs="Times New Roman"/>
              </w:rPr>
              <w:t>90</w:t>
            </w:r>
          </w:p>
        </w:tc>
        <w:tc>
          <w:tcPr>
            <w:tcW w:w="1020" w:type="dxa"/>
          </w:tcPr>
          <w:p w:rsidR="005C2091" w:rsidRDefault="00A86293">
            <w:pPr>
              <w:pStyle w:val="CellColumn"/>
              <w:jc w:val="right"/>
            </w:pPr>
            <w:r>
              <w:rPr>
                <w:rFonts w:cs="Times New Roman"/>
              </w:rPr>
              <w:t>73</w:t>
            </w:r>
          </w:p>
        </w:tc>
      </w:tr>
    </w:tbl>
    <w:p w:rsidR="005C2091" w:rsidRDefault="005C2091">
      <w:pPr>
        <w:jc w:val="left"/>
      </w:pPr>
    </w:p>
    <w:p w:rsidR="005C2091" w:rsidRDefault="00A86293">
      <w:pPr>
        <w:pStyle w:val="Heading4"/>
      </w:pPr>
      <w:r>
        <w:t>A822062 SREDIŠNJI INFORMACIJSKI SUSTAV MALOG GOSPODARSTVA</w:t>
      </w:r>
    </w:p>
    <w:tbl>
      <w:tblPr>
        <w:tblStyle w:val="StilTablice"/>
        <w:tblW w:w="10206" w:type="dxa"/>
        <w:jc w:val="center"/>
        <w:tblLook w:val="04A0" w:firstRow="1" w:lastRow="0" w:firstColumn="1" w:lastColumn="0" w:noHBand="0" w:noVBand="1"/>
      </w:tblPr>
      <w:tblGrid>
        <w:gridCol w:w="1715"/>
        <w:gridCol w:w="2017"/>
        <w:gridCol w:w="2016"/>
        <w:gridCol w:w="2018"/>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A822062-SREDIŠNJI INFORMACIJSKI SUSTAV MALOG GOSPODARSTVA</w:t>
            </w:r>
          </w:p>
        </w:tc>
        <w:tc>
          <w:tcPr>
            <w:tcW w:w="2041" w:type="dxa"/>
          </w:tcPr>
          <w:p w:rsidR="005C2091" w:rsidRDefault="00A86293">
            <w:pPr>
              <w:pStyle w:val="CellColumn"/>
              <w:jc w:val="right"/>
            </w:pPr>
            <w:r>
              <w:rPr>
                <w:rFonts w:cs="Times New Roman"/>
              </w:rPr>
              <w:t>203.400</w:t>
            </w:r>
          </w:p>
        </w:tc>
        <w:tc>
          <w:tcPr>
            <w:tcW w:w="2041" w:type="dxa"/>
          </w:tcPr>
          <w:p w:rsidR="005C2091" w:rsidRDefault="00A86293">
            <w:pPr>
              <w:pStyle w:val="CellColumn"/>
              <w:jc w:val="right"/>
            </w:pPr>
            <w:r>
              <w:rPr>
                <w:rFonts w:cs="Times New Roman"/>
              </w:rPr>
              <w:t>110.500</w:t>
            </w:r>
          </w:p>
        </w:tc>
        <w:tc>
          <w:tcPr>
            <w:tcW w:w="2041" w:type="dxa"/>
          </w:tcPr>
          <w:p w:rsidR="005C2091" w:rsidRDefault="00A86293">
            <w:pPr>
              <w:pStyle w:val="CellColumn"/>
              <w:jc w:val="right"/>
            </w:pPr>
            <w:r>
              <w:rPr>
                <w:rFonts w:cs="Times New Roman"/>
              </w:rPr>
              <w:t>110.500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54,3</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poticanju razvoja malog gospodarstva („Narodne novine“, broj 29/02, 63/07, 53/12, 56/13 i 121/16); </w:t>
      </w:r>
    </w:p>
    <w:p w:rsidR="005C2091" w:rsidRDefault="00A86293">
      <w:r>
        <w:t xml:space="preserve">Zakon o državnim potporama („Narodne novine“, broj 47/14); </w:t>
      </w:r>
    </w:p>
    <w:p w:rsidR="005C2091" w:rsidRDefault="00A86293">
      <w:r>
        <w:t>Uredba Komisije (EU) br. 1407/2013 od 18. prosinca 2013. o primjeni članaka 107. i 108. Ugovora o funkcioniranju Europske unije na de minimis potpore</w:t>
      </w:r>
    </w:p>
    <w:p w:rsidR="005C2091" w:rsidRDefault="00A86293">
      <w:pPr>
        <w:pStyle w:val="Heading8"/>
        <w:jc w:val="left"/>
      </w:pPr>
      <w:r>
        <w:t>Opis aktivnosti</w:t>
      </w:r>
    </w:p>
    <w:p w:rsidR="005C2091" w:rsidRDefault="00A86293">
      <w:r>
        <w:t>Temeljem Ugovora o nabavi usluge osnovnog održavanja i proširene tehničke podrške aplikaciji Registar potpora malog, tvrtka Combis d.o.o. obavila je tražene poslove i nadogradnje predmetnog aplikativnog rješenja. Prema zahtjevima za izmjenu, tvrtka Combis d.o.o. obavila je proširenje Registra potpora (aplicirane su dodatne funkcionalnosti te su obavljene prilagodbe postojećih funkcionalnosti). Osim navedenih aktivnosti, u okviru potpisanog ugovora, tijekom cijele godine odvijale su se aktivnosti na osnovnom održavanju i tehničkoj podršci, a što je osiguralo nesmetani rad sustava.</w:t>
      </w:r>
    </w:p>
    <w:p w:rsidR="005C2091" w:rsidRDefault="00A86293">
      <w:pPr>
        <w:pStyle w:val="Heading4"/>
      </w:pPr>
      <w:r>
        <w:t>K105579 RAZVOJ I ODRŽAVANJE OBRTNOG REGISTRA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K105579-RAZVOJ I ODRŽAVANJE OBRTNOG REGISTRA RH</w:t>
            </w:r>
          </w:p>
        </w:tc>
        <w:tc>
          <w:tcPr>
            <w:tcW w:w="2041" w:type="dxa"/>
          </w:tcPr>
          <w:p w:rsidR="005C2091" w:rsidRDefault="00A86293">
            <w:pPr>
              <w:pStyle w:val="CellColumn"/>
              <w:jc w:val="right"/>
            </w:pPr>
            <w:r>
              <w:rPr>
                <w:rFonts w:cs="Times New Roman"/>
              </w:rPr>
              <w:t>808.643</w:t>
            </w:r>
          </w:p>
        </w:tc>
        <w:tc>
          <w:tcPr>
            <w:tcW w:w="2041" w:type="dxa"/>
          </w:tcPr>
          <w:p w:rsidR="005C2091" w:rsidRDefault="00A86293">
            <w:pPr>
              <w:pStyle w:val="CellColumn"/>
              <w:jc w:val="right"/>
            </w:pPr>
            <w:r>
              <w:rPr>
                <w:rFonts w:cs="Times New Roman"/>
              </w:rPr>
              <w:t>565.133</w:t>
            </w:r>
          </w:p>
        </w:tc>
        <w:tc>
          <w:tcPr>
            <w:tcW w:w="2041" w:type="dxa"/>
          </w:tcPr>
          <w:p w:rsidR="005C2091" w:rsidRDefault="00A86293">
            <w:pPr>
              <w:pStyle w:val="CellColumn"/>
              <w:jc w:val="right"/>
            </w:pPr>
            <w:r>
              <w:rPr>
                <w:rFonts w:cs="Times New Roman"/>
              </w:rPr>
              <w:t>565.132</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69,9</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obrtu („Narodne novine“, broj 143/13.); </w:t>
      </w:r>
    </w:p>
    <w:p w:rsidR="005C2091" w:rsidRDefault="00A86293">
      <w:r>
        <w:t xml:space="preserve">Pravilnik o obliku i načinu vođenja Obrtnog registra („Narodne novine“, broj 58/09.); </w:t>
      </w:r>
    </w:p>
    <w:p w:rsidR="005C2091" w:rsidRDefault="00A86293">
      <w:r>
        <w:t xml:space="preserve">Pravilnik o djelatnostima koje se mogu obavljati kao sezonski obrti („Narodne novine“, broj 60/10. i 17/12.); </w:t>
      </w:r>
    </w:p>
    <w:p w:rsidR="005C2091" w:rsidRDefault="00A86293">
      <w:r>
        <w:t>Pravilnik o vezanim i povlaštenim obrtima i načinu izdavanja povlastica („Narodne novine“, broj 42/08.)</w:t>
      </w:r>
    </w:p>
    <w:p w:rsidR="005C2091" w:rsidRDefault="00A86293">
      <w:pPr>
        <w:pStyle w:val="Heading8"/>
        <w:jc w:val="left"/>
      </w:pPr>
      <w:r>
        <w:t>Opis aktivnosti</w:t>
      </w:r>
    </w:p>
    <w:p w:rsidR="005C2091" w:rsidRDefault="00A86293">
      <w:r>
        <w:t xml:space="preserve">S konta 3235 – Zakupnine i najamnine- utrošeno je 44.032,14 kn, nabava jednogodišnjih licenci: FINA certifikati i Oracle licenca za bazu podataka Obrtnog registra. </w:t>
      </w:r>
    </w:p>
    <w:p w:rsidR="005C2091" w:rsidRDefault="00A86293">
      <w:r>
        <w:t xml:space="preserve">S konta 3238 – Računalne usluge – utrošeno je 422.500,00 kn, osnovno održavanje Obrtnog registra na temelju narudžbenica i dvogodišnjeg Okvirnog sporazuma o nabavi usluge osnovnog održavanja i proširene tehničke podrške aplikaciji za vođenje Obrtnog registra s tvrtkom Igea d.o.o. (Ev.br. 2-15 VV) od 30.03.2016. </w:t>
      </w:r>
    </w:p>
    <w:p w:rsidR="005C2091" w:rsidRDefault="00A86293">
      <w:r>
        <w:t>S konta 4262 – Ulaganja u računalne programe – utrošeno je 98.600,00 kn, proširena tehnička podrška Obrtnom registru na temelju dvogodišnjeg Okvirnog sporazuma o nabavi usluge osnovnog održavanja i proširene tehničke podrške aplikaciji za vođenje Obrtnog registra s tvrtkom Igea d.o.o. (Ev.br. 2-15 VV) od 30.03.2016., radovi i usluge koje prelaze okvire osnovnog održavanja te su se prema našim potrebama naručivali (kontinuirano razvijanje i nadogradnja postojećih modula aplikacije Obrtnog registra, aplikacije e-Obrt i internetske tranice Portala Obrtnog registra).</w:t>
      </w:r>
    </w:p>
    <w:p w:rsidR="005C2091" w:rsidRDefault="00A86293">
      <w:pPr>
        <w:pStyle w:val="Heading4"/>
      </w:pPr>
      <w:r>
        <w:lastRenderedPageBreak/>
        <w:t>K544027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K544027-OBNOVA VOZNOG PARKA</w:t>
            </w:r>
          </w:p>
        </w:tc>
        <w:tc>
          <w:tcPr>
            <w:tcW w:w="2041" w:type="dxa"/>
          </w:tcPr>
          <w:p w:rsidR="005C2091" w:rsidRDefault="00A86293">
            <w:pPr>
              <w:pStyle w:val="CellColumn"/>
              <w:jc w:val="right"/>
            </w:pPr>
            <w:r>
              <w:rPr>
                <w:rFonts w:cs="Times New Roman"/>
              </w:rPr>
              <w:t>312.721</w:t>
            </w:r>
          </w:p>
        </w:tc>
        <w:tc>
          <w:tcPr>
            <w:tcW w:w="2041" w:type="dxa"/>
          </w:tcPr>
          <w:p w:rsidR="005C2091" w:rsidRDefault="00A86293">
            <w:pPr>
              <w:pStyle w:val="CellColumn"/>
              <w:jc w:val="right"/>
            </w:pPr>
            <w:r>
              <w:rPr>
                <w:rFonts w:cs="Times New Roman"/>
              </w:rPr>
              <w:t>309.518</w:t>
            </w:r>
          </w:p>
        </w:tc>
        <w:tc>
          <w:tcPr>
            <w:tcW w:w="2041" w:type="dxa"/>
          </w:tcPr>
          <w:p w:rsidR="005C2091" w:rsidRDefault="00A86293">
            <w:pPr>
              <w:pStyle w:val="CellColumn"/>
              <w:jc w:val="right"/>
            </w:pPr>
            <w:r>
              <w:rPr>
                <w:rFonts w:cs="Times New Roman"/>
              </w:rPr>
              <w:t>309.518</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99,0</w:t>
            </w:r>
          </w:p>
        </w:tc>
      </w:tr>
    </w:tbl>
    <w:p w:rsidR="005C2091" w:rsidRDefault="005C2091">
      <w:pPr>
        <w:jc w:val="left"/>
      </w:pPr>
    </w:p>
    <w:p w:rsidR="005C2091" w:rsidRDefault="00A86293">
      <w:pPr>
        <w:pStyle w:val="Heading8"/>
        <w:jc w:val="left"/>
      </w:pPr>
      <w:r>
        <w:t>Zakonske i druge pravne osnove</w:t>
      </w:r>
    </w:p>
    <w:p w:rsidR="005C2091" w:rsidRDefault="00A86293">
      <w:r>
        <w:t>Zakon o ustrojstvu i djelokrugu ministarstava i drugih središnjih tijela državne uprave (NN 93/2016, 104/2016); Uredba o unutarnjem ustrojstvu Ministarstva poduzetništva i obrta,  Kolektivni ugovor za državne službenike i namještenike (NN 104/2013, 104/2013, 150/2013, 153/2013, 71/2016);  Zakon o javnoj nabavi (NN 90/2011, 83/2013, 143/2013, 13/2014); Odluka Vlade RH o davanju suglasnosti ministarstvima za preuzimanje obveza na teret državnog proračuna 2014.-2018. za najam vozila putem operativnog leasinga</w:t>
      </w:r>
    </w:p>
    <w:p w:rsidR="005C2091" w:rsidRDefault="00A86293">
      <w:pPr>
        <w:pStyle w:val="Heading8"/>
        <w:jc w:val="left"/>
      </w:pPr>
      <w:r>
        <w:t>Opis aktivnosti</w:t>
      </w:r>
    </w:p>
    <w:p w:rsidR="005C2091" w:rsidRDefault="00A86293">
      <w:r>
        <w:t xml:space="preserve">Na ovoj aktivnosti evidentira se usluga najma 6 automobila nabavljenih putem </w:t>
      </w:r>
    </w:p>
    <w:p w:rsidR="005C2091" w:rsidRDefault="00A86293">
      <w:r>
        <w:t xml:space="preserve">operativnog leasinga sukladno: </w:t>
      </w:r>
    </w:p>
    <w:p w:rsidR="005C2091" w:rsidRDefault="00A86293">
      <w:r>
        <w:t xml:space="preserve">- Odluci Vlade RH o davanju suglasnosti ministarstvima za preuzimanje obveza na teret državnog proračuna za razdoblje 2014.-2018. za najam vozila putem operativnog leasinga s ostatkom vrijednosti (124. sjednica Vlade RH od 14.11.2013., https://vlada.gov.hr/UserDocsImages//Sjednice/Arhiva//124.%20-%2025 .pdf ), te sukladno </w:t>
      </w:r>
    </w:p>
    <w:p w:rsidR="005C2091" w:rsidRDefault="00A86293">
      <w:r>
        <w:t>- Odluci Vlade RH o izmjeni Odluke o davanju suglasnosti korisnicima državnog proračuna za preuzimanje obveza na teret državnog proračuna, za razdoblje od 2014. do 2018. godine za najam vozila putem operativnog leasinga s ostatkom vrijednosti (180. sjednica Vlade RH od 27.08.2014., https://vlada.gov.hr/UserDocsImages//Sjednice/2014/180%20sjednica%20Vlade//180 %20-%2012.pdf )</w:t>
      </w:r>
    </w:p>
    <w:p w:rsidR="005C2091" w:rsidRDefault="00A86293">
      <w:pPr>
        <w:pStyle w:val="Heading4"/>
      </w:pPr>
      <w:r>
        <w:t>K822018 OP REGIONALNA KONKURENTNOST, PRIORITET 2 I 3</w:t>
      </w:r>
    </w:p>
    <w:tbl>
      <w:tblPr>
        <w:tblStyle w:val="StilTablice"/>
        <w:tblW w:w="10206" w:type="dxa"/>
        <w:jc w:val="center"/>
        <w:tblLook w:val="04A0" w:firstRow="1" w:lastRow="0" w:firstColumn="1" w:lastColumn="0" w:noHBand="0" w:noVBand="1"/>
      </w:tblPr>
      <w:tblGrid>
        <w:gridCol w:w="1932"/>
        <w:gridCol w:w="1960"/>
        <w:gridCol w:w="1951"/>
        <w:gridCol w:w="1951"/>
        <w:gridCol w:w="1201"/>
        <w:gridCol w:w="121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K822018-OP REGIONALNA KONKURENTNOST, PRIORITET 2 I 3</w:t>
            </w:r>
          </w:p>
        </w:tc>
        <w:tc>
          <w:tcPr>
            <w:tcW w:w="2041" w:type="dxa"/>
          </w:tcPr>
          <w:p w:rsidR="005C2091" w:rsidRDefault="00A86293">
            <w:pPr>
              <w:pStyle w:val="CellColumn"/>
              <w:jc w:val="right"/>
            </w:pPr>
            <w:r>
              <w:rPr>
                <w:rFonts w:cs="Times New Roman"/>
              </w:rPr>
              <w:t>171.711.559</w:t>
            </w:r>
          </w:p>
        </w:tc>
        <w:tc>
          <w:tcPr>
            <w:tcW w:w="2041" w:type="dxa"/>
          </w:tcPr>
          <w:p w:rsidR="005C2091" w:rsidRDefault="00A86293">
            <w:pPr>
              <w:pStyle w:val="CellColumn"/>
              <w:jc w:val="right"/>
            </w:pPr>
            <w:r>
              <w:rPr>
                <w:rFonts w:cs="Times New Roman"/>
              </w:rPr>
              <w:t>82.218.830</w:t>
            </w:r>
          </w:p>
        </w:tc>
        <w:tc>
          <w:tcPr>
            <w:tcW w:w="2041" w:type="dxa"/>
          </w:tcPr>
          <w:p w:rsidR="005C2091" w:rsidRDefault="00A86293">
            <w:pPr>
              <w:pStyle w:val="CellColumn"/>
              <w:jc w:val="right"/>
            </w:pPr>
            <w:r>
              <w:rPr>
                <w:rFonts w:cs="Times New Roman"/>
              </w:rPr>
              <w:t>82.538.843</w:t>
            </w:r>
          </w:p>
        </w:tc>
        <w:tc>
          <w:tcPr>
            <w:tcW w:w="1224" w:type="dxa"/>
          </w:tcPr>
          <w:p w:rsidR="005C2091" w:rsidRDefault="00A86293">
            <w:pPr>
              <w:pStyle w:val="CellColumn"/>
              <w:jc w:val="right"/>
            </w:pPr>
            <w:r>
              <w:rPr>
                <w:rFonts w:cs="Times New Roman"/>
              </w:rPr>
              <w:t>100,4</w:t>
            </w:r>
          </w:p>
        </w:tc>
        <w:tc>
          <w:tcPr>
            <w:tcW w:w="1224" w:type="dxa"/>
          </w:tcPr>
          <w:p w:rsidR="005C2091" w:rsidRDefault="00A86293">
            <w:pPr>
              <w:pStyle w:val="CellColumn"/>
              <w:jc w:val="right"/>
            </w:pPr>
            <w:r>
              <w:rPr>
                <w:rFonts w:cs="Times New Roman"/>
              </w:rPr>
              <w:t>48,1</w:t>
            </w:r>
          </w:p>
        </w:tc>
      </w:tr>
    </w:tbl>
    <w:p w:rsidR="005C2091" w:rsidRDefault="005C2091">
      <w:pPr>
        <w:jc w:val="left"/>
      </w:pPr>
    </w:p>
    <w:p w:rsidR="005C2091" w:rsidRDefault="00A86293">
      <w:pPr>
        <w:pStyle w:val="Heading8"/>
        <w:jc w:val="left"/>
      </w:pPr>
      <w:r>
        <w:t>Zakonske i druge pravne osnove</w:t>
      </w:r>
    </w:p>
    <w:p w:rsidR="005C2091" w:rsidRDefault="00A86293">
      <w:r>
        <w:t>Sukladno Zakonu o uspostavi institucionalnog okvira za korištenje strukturnih instrumenata Europske unije u Republici Hrvatskoj (NN br. 78/12, 143/13, 157/13) i Uredbi o tijelima u sustavu upravljanja i kontrole korištenja strukturnih instrumenata Europske unije u Republici Hrvatskoj (NN br. 97/2012), Ministarstvo je imenovano Posredničkim tijelom razine 1 za provedbu prioritetne osi 2 – intervencije iz područja malog i srednjeg poduzetništva i poslovne klime Operativnog programa »Regionalna konkurentnost« (članak 8. stavak 3. navedene Uredbe).</w:t>
      </w:r>
    </w:p>
    <w:p w:rsidR="005C2091" w:rsidRDefault="00A86293">
      <w:pPr>
        <w:pStyle w:val="Heading8"/>
        <w:jc w:val="left"/>
      </w:pPr>
      <w:r>
        <w:t>Opis aktivnosti</w:t>
      </w:r>
    </w:p>
    <w:p w:rsidR="005C2091" w:rsidRDefault="00A86293">
      <w:r>
        <w:t xml:space="preserve">Kroz Operativni program za regionalnu konkurentnost 2007-2013, Prioritet 2 Jačanje konkurentnosti hrvatskog gospodarstva, sufinanciran EFRR-om, Ministarstvo provodi Mjeru 2.1 Jačanje konkurentnosti MSP-a, s ciljem jačanja konkurentnosti MSP-a za poboljšanje učinkovitosti i konkurentnosti malih i srednjih poduzeća </w:t>
      </w:r>
      <w:r>
        <w:lastRenderedPageBreak/>
        <w:t>podupiranjem investicija vezanih uz proizvodnju i turizam, razvoj inovativnih i naprednih e-poslovnih rješenja, promicanje, usvajanje i uporabu IKT i podršku ulaganju u digitalnu tehnologiju, jačanje administrativnih kapaciteta ministarstva i potpornih institucija na regionalnoj razini i poboljšanje informiranosti poslovne zajednice.</w:t>
      </w:r>
    </w:p>
    <w:p w:rsidR="005C2091" w:rsidRDefault="00A86293">
      <w:pPr>
        <w:pStyle w:val="Heading4"/>
      </w:pPr>
      <w:r>
        <w:t>T544022 ULAGANJE U FONDOVE ZA GOSPODARSKU SURADNJU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T544022-ULAGANJE U FONDOVE ZA GOSPODARSKU SURADNJU</w:t>
            </w:r>
          </w:p>
        </w:tc>
        <w:tc>
          <w:tcPr>
            <w:tcW w:w="2041" w:type="dxa"/>
          </w:tcPr>
          <w:p w:rsidR="005C2091" w:rsidRDefault="00A86293">
            <w:pPr>
              <w:pStyle w:val="CellColumn"/>
              <w:jc w:val="right"/>
            </w:pPr>
            <w:r>
              <w:rPr>
                <w:rFonts w:cs="Times New Roman"/>
              </w:rPr>
              <w:t>89.735.329</w:t>
            </w:r>
          </w:p>
        </w:tc>
        <w:tc>
          <w:tcPr>
            <w:tcW w:w="2041" w:type="dxa"/>
          </w:tcPr>
          <w:p w:rsidR="005C2091" w:rsidRDefault="00A86293">
            <w:pPr>
              <w:pStyle w:val="CellColumn"/>
              <w:jc w:val="right"/>
            </w:pPr>
            <w:r>
              <w:rPr>
                <w:rFonts w:cs="Times New Roman"/>
              </w:rPr>
              <w:t>80.468.649</w:t>
            </w:r>
          </w:p>
        </w:tc>
        <w:tc>
          <w:tcPr>
            <w:tcW w:w="2041" w:type="dxa"/>
          </w:tcPr>
          <w:p w:rsidR="005C2091" w:rsidRDefault="00A86293">
            <w:pPr>
              <w:pStyle w:val="CellColumn"/>
              <w:jc w:val="right"/>
            </w:pPr>
            <w:r>
              <w:rPr>
                <w:rFonts w:cs="Times New Roman"/>
              </w:rPr>
              <w:t>80.468.648</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89,7</w:t>
            </w:r>
          </w:p>
        </w:tc>
      </w:tr>
    </w:tbl>
    <w:p w:rsidR="005C2091" w:rsidRDefault="005C2091">
      <w:pPr>
        <w:jc w:val="left"/>
      </w:pPr>
    </w:p>
    <w:p w:rsidR="005C2091" w:rsidRDefault="00A86293">
      <w:pPr>
        <w:pStyle w:val="Heading8"/>
        <w:jc w:val="left"/>
      </w:pPr>
      <w:r>
        <w:t>Zakonske i druge pravne osnove</w:t>
      </w:r>
    </w:p>
    <w:p w:rsidR="005C2091" w:rsidRDefault="00A86293">
      <w:r>
        <w:t xml:space="preserve">Odluka Vlade RH o sudjelovanju u fondovima za gospodarsku suradnju (NN 40/13); </w:t>
      </w:r>
    </w:p>
    <w:p w:rsidR="005C2091" w:rsidRDefault="00A86293">
      <w:r>
        <w:t>Pravilnik o sudjelovanju Vlade RH u FGS-ovima (NN 47/13)</w:t>
      </w:r>
    </w:p>
    <w:p w:rsidR="005C2091" w:rsidRDefault="00A86293">
      <w:pPr>
        <w:pStyle w:val="Heading8"/>
        <w:jc w:val="left"/>
      </w:pPr>
      <w:r>
        <w:t>Opis aktivnosti</w:t>
      </w:r>
    </w:p>
    <w:p w:rsidR="005C2091" w:rsidRDefault="00A86293">
      <w:r>
        <w:t>Radi olakšanja pristupa sredstvima za razvoj malog gospodarstva i poticanja konkurentnosti kroz podjelu rizika, djeluju Fondovi za gospodarsku suradnju (FGS) u obliku javno-privatnih izvora financiranja. Podneseni investicijski projekti subjekata malog gospodarstva putem vlasničkog restrukturiranja kroz ulaganja dodatnog kapitala obuhvaćaju rast i razvoj poslovne djelatnosti, očuvanja postojećih i stvaranja novih radnih mjesta i osnivanje novih subjekata malog gospodarstva.</w:t>
      </w:r>
    </w:p>
    <w:p w:rsidR="0009736B" w:rsidRDefault="0009736B"/>
    <w:p w:rsidR="005C2091" w:rsidRDefault="00A86293">
      <w:pPr>
        <w:pStyle w:val="Heading2"/>
      </w:pPr>
      <w:r>
        <w:t>05110 Hrvatska agencija za malo gospodarstvo, inovacije  i investicije, HAMAG-BICRO</w:t>
      </w:r>
    </w:p>
    <w:p w:rsidR="005C2091" w:rsidRDefault="00A86293">
      <w:r>
        <w:t>Hrvatska agencija za malo gospodarstvo, inovacije i investicije, HAMAG-BICRO najveća je agencija za poticanje poduzetništva u Republici Hrvatskoj, a osnovana je s ciljem pružanja kvalitetne potpore u poslovanju subjekata malog i srednjeg gospodarstva, što omogućava lakši i brži ekonomski razvoj na nacionalnoj razini. Osiguravajući podršku infrastrukturnim i intelektualnim kapacitetima poduzetničkog sektora, poboljšava se produktivnost u nacionalnom gospodarstvu, a standardi kvalitete se podižu na višu razinu. Cjelokupna djelatnost Agencije usmjerena je na razvoj malog i srednjeg poduzetništva, privlačenje investicija u unapređenje investicijskog okruženja. Niz je aktivnosti i mjera kojima HAMAG-BICRO potiče razvoj poduzetništva i konkurentnost gospodarskih subjekata od kojih su svakako najprepoznatljivije izdavanje jamstava i bespovratnih potpora. Programe i aktivnosti HAMAG-BICRO kreira sukladno zahtjevima i potrebama tržišta, kako bi njihova namjena bila ostvarena. Uspješnom suradnjom s domaćim i inozemnim partnerima HAMAG-BICRO kontinuirano ulaže u jačanje vlastitih kapaciteta koje ga čine neizostavnom karikom razvoja malog i srednjeg poduzetništva. Ulaskom Republike Hrvatske u Europsku uniju Agenciju je dobila važnu ulogu posredničkog tijela za provedbu strukturnih fondova EU. U 2013. godini donesen je Zakon o izmjenama i dopunama Zakona o poticanju razvoja malog gospodarstva (NN 56/20) kojim je definirano spajanje HAMAG INVEST-a i BICRO-a. Upravo spajanjem ovih dviju agencija postigla se sinergija u rezultatima koji se vide u jačanju konkurentnosti subjekata malog gospodarstva, pristupa financijskim sredstvima, posebno za inovativne projekte. Na ovaj način su objedinjeni različiti izvori financiranja čime se izbjegavaju preklapanja i pokrivenost svih faza razvoja novih tehnologija i inovacija adekvatnom podrškom.</w:t>
      </w:r>
    </w:p>
    <w:tbl>
      <w:tblPr>
        <w:tblStyle w:val="StilTablice"/>
        <w:tblW w:w="10206" w:type="dxa"/>
        <w:jc w:val="center"/>
        <w:tblLook w:val="04A0" w:firstRow="1" w:lastRow="0" w:firstColumn="1" w:lastColumn="0" w:noHBand="0" w:noVBand="1"/>
      </w:tblPr>
      <w:tblGrid>
        <w:gridCol w:w="1948"/>
        <w:gridCol w:w="1950"/>
        <w:gridCol w:w="1950"/>
        <w:gridCol w:w="1950"/>
        <w:gridCol w:w="1199"/>
        <w:gridCol w:w="1209"/>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lastRenderedPageBreak/>
              <w:t>05110-Hrvatska agencija za malo gospodarstvo, inovacije  i investicije, HAMAG-BICRO</w:t>
            </w:r>
          </w:p>
        </w:tc>
        <w:tc>
          <w:tcPr>
            <w:tcW w:w="2041" w:type="dxa"/>
            <w:vAlign w:val="top"/>
          </w:tcPr>
          <w:p w:rsidR="005C2091" w:rsidRDefault="00A86293">
            <w:pPr>
              <w:pStyle w:val="CellColumn"/>
              <w:jc w:val="right"/>
            </w:pPr>
            <w:r>
              <w:rPr>
                <w:rFonts w:cs="Times New Roman"/>
              </w:rPr>
              <w:t>142.103.614</w:t>
            </w:r>
          </w:p>
        </w:tc>
        <w:tc>
          <w:tcPr>
            <w:tcW w:w="2041" w:type="dxa"/>
            <w:vAlign w:val="top"/>
          </w:tcPr>
          <w:p w:rsidR="005C2091" w:rsidRDefault="00A86293">
            <w:pPr>
              <w:pStyle w:val="CellColumn"/>
              <w:jc w:val="right"/>
            </w:pPr>
            <w:r>
              <w:rPr>
                <w:rFonts w:cs="Times New Roman"/>
              </w:rPr>
              <w:t>353.909.154</w:t>
            </w:r>
          </w:p>
        </w:tc>
        <w:tc>
          <w:tcPr>
            <w:tcW w:w="2041" w:type="dxa"/>
            <w:vAlign w:val="top"/>
          </w:tcPr>
          <w:p w:rsidR="005C2091" w:rsidRDefault="00A86293">
            <w:pPr>
              <w:pStyle w:val="CellColumn"/>
              <w:jc w:val="right"/>
            </w:pPr>
            <w:r>
              <w:rPr>
                <w:rFonts w:cs="Times New Roman"/>
              </w:rPr>
              <w:t>363.821.714</w:t>
            </w:r>
          </w:p>
        </w:tc>
        <w:tc>
          <w:tcPr>
            <w:tcW w:w="1224" w:type="dxa"/>
            <w:vAlign w:val="top"/>
          </w:tcPr>
          <w:p w:rsidR="005C2091" w:rsidRDefault="00A86293">
            <w:pPr>
              <w:pStyle w:val="CellColumn"/>
              <w:jc w:val="right"/>
            </w:pPr>
            <w:r>
              <w:rPr>
                <w:rFonts w:cs="Times New Roman"/>
              </w:rPr>
              <w:t>102,8</w:t>
            </w:r>
          </w:p>
        </w:tc>
        <w:tc>
          <w:tcPr>
            <w:tcW w:w="1224" w:type="dxa"/>
            <w:vAlign w:val="top"/>
          </w:tcPr>
          <w:p w:rsidR="005C2091" w:rsidRDefault="00A86293">
            <w:pPr>
              <w:pStyle w:val="CellColumn"/>
              <w:jc w:val="right"/>
            </w:pPr>
            <w:r>
              <w:rPr>
                <w:rFonts w:cs="Times New Roman"/>
              </w:rPr>
              <w:t>256,0</w:t>
            </w:r>
          </w:p>
        </w:tc>
      </w:tr>
      <w:tr w:rsidR="005C2091">
        <w:trPr>
          <w:jc w:val="center"/>
        </w:trPr>
        <w:tc>
          <w:tcPr>
            <w:tcW w:w="1632" w:type="dxa"/>
          </w:tcPr>
          <w:p w:rsidR="005C2091" w:rsidRDefault="00A86293">
            <w:pPr>
              <w:jc w:val="left"/>
            </w:pPr>
            <w:r>
              <w:t>3202-JAČANJE KONKURENTNOSTI MALOG I SREDNJEG PODUZETNIŠTVA</w:t>
            </w:r>
          </w:p>
        </w:tc>
        <w:tc>
          <w:tcPr>
            <w:tcW w:w="2041" w:type="dxa"/>
          </w:tcPr>
          <w:p w:rsidR="005C2091" w:rsidRDefault="00A86293">
            <w:pPr>
              <w:jc w:val="right"/>
            </w:pPr>
            <w:r>
              <w:t>142.103.614</w:t>
            </w:r>
          </w:p>
        </w:tc>
        <w:tc>
          <w:tcPr>
            <w:tcW w:w="2041" w:type="dxa"/>
          </w:tcPr>
          <w:p w:rsidR="005C2091" w:rsidRDefault="00A86293">
            <w:pPr>
              <w:jc w:val="right"/>
            </w:pPr>
            <w:r>
              <w:t>353.909.154</w:t>
            </w:r>
          </w:p>
        </w:tc>
        <w:tc>
          <w:tcPr>
            <w:tcW w:w="2041" w:type="dxa"/>
          </w:tcPr>
          <w:p w:rsidR="005C2091" w:rsidRDefault="00A86293">
            <w:pPr>
              <w:jc w:val="right"/>
            </w:pPr>
            <w:r>
              <w:t>363.821.714</w:t>
            </w:r>
          </w:p>
        </w:tc>
        <w:tc>
          <w:tcPr>
            <w:tcW w:w="1224" w:type="dxa"/>
          </w:tcPr>
          <w:p w:rsidR="005C2091" w:rsidRDefault="00A86293">
            <w:pPr>
              <w:jc w:val="right"/>
            </w:pPr>
            <w:r>
              <w:t>102,8</w:t>
            </w:r>
          </w:p>
        </w:tc>
        <w:tc>
          <w:tcPr>
            <w:tcW w:w="1224" w:type="dxa"/>
          </w:tcPr>
          <w:p w:rsidR="005C2091" w:rsidRDefault="00A86293">
            <w:pPr>
              <w:jc w:val="right"/>
            </w:pPr>
            <w:r>
              <w:t>256,0</w:t>
            </w:r>
          </w:p>
        </w:tc>
      </w:tr>
    </w:tbl>
    <w:p w:rsidR="005C2091" w:rsidRDefault="005C2091">
      <w:pPr>
        <w:jc w:val="left"/>
      </w:pPr>
    </w:p>
    <w:p w:rsidR="005C2091" w:rsidRDefault="00A86293">
      <w:pPr>
        <w:pStyle w:val="Heading3"/>
      </w:pPr>
      <w:r>
        <w:rPr>
          <w:rFonts w:cs="Times New Roman"/>
        </w:rPr>
        <w:t>3202 JAČANJE KONKURENTNOSTI MALOG I SREDNJEG PODUZETNIŠTVA</w:t>
      </w:r>
    </w:p>
    <w:tbl>
      <w:tblPr>
        <w:tblStyle w:val="StilTablice"/>
        <w:tblW w:w="10206" w:type="dxa"/>
        <w:jc w:val="center"/>
        <w:tblLook w:val="04A0" w:firstRow="1" w:lastRow="0" w:firstColumn="1" w:lastColumn="0" w:noHBand="0" w:noVBand="1"/>
      </w:tblPr>
      <w:tblGrid>
        <w:gridCol w:w="1948"/>
        <w:gridCol w:w="1950"/>
        <w:gridCol w:w="1950"/>
        <w:gridCol w:w="1950"/>
        <w:gridCol w:w="1199"/>
        <w:gridCol w:w="1209"/>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3202-JAČANJE KONKURENTNOSTI MALOG I SREDNJEG PODUZETNIŠTVA</w:t>
            </w:r>
          </w:p>
        </w:tc>
        <w:tc>
          <w:tcPr>
            <w:tcW w:w="2041" w:type="dxa"/>
          </w:tcPr>
          <w:p w:rsidR="005C2091" w:rsidRDefault="00A86293">
            <w:pPr>
              <w:pStyle w:val="CellColumn"/>
              <w:jc w:val="right"/>
            </w:pPr>
            <w:r>
              <w:rPr>
                <w:rFonts w:cs="Times New Roman"/>
              </w:rPr>
              <w:t>142.103.614</w:t>
            </w:r>
          </w:p>
        </w:tc>
        <w:tc>
          <w:tcPr>
            <w:tcW w:w="2041" w:type="dxa"/>
          </w:tcPr>
          <w:p w:rsidR="005C2091" w:rsidRDefault="00A86293">
            <w:pPr>
              <w:pStyle w:val="CellColumn"/>
              <w:jc w:val="right"/>
            </w:pPr>
            <w:r>
              <w:rPr>
                <w:rFonts w:cs="Times New Roman"/>
              </w:rPr>
              <w:t>353.909.154</w:t>
            </w:r>
          </w:p>
        </w:tc>
        <w:tc>
          <w:tcPr>
            <w:tcW w:w="2041" w:type="dxa"/>
          </w:tcPr>
          <w:p w:rsidR="005C2091" w:rsidRDefault="00A86293">
            <w:pPr>
              <w:pStyle w:val="CellColumn"/>
              <w:jc w:val="right"/>
            </w:pPr>
            <w:r>
              <w:rPr>
                <w:rFonts w:cs="Times New Roman"/>
              </w:rPr>
              <w:t>363.821.714</w:t>
            </w:r>
          </w:p>
        </w:tc>
        <w:tc>
          <w:tcPr>
            <w:tcW w:w="1224" w:type="dxa"/>
          </w:tcPr>
          <w:p w:rsidR="005C2091" w:rsidRDefault="00A86293">
            <w:pPr>
              <w:pStyle w:val="CellColumn"/>
              <w:jc w:val="right"/>
            </w:pPr>
            <w:r>
              <w:rPr>
                <w:rFonts w:cs="Times New Roman"/>
              </w:rPr>
              <w:t>102,8</w:t>
            </w:r>
          </w:p>
        </w:tc>
        <w:tc>
          <w:tcPr>
            <w:tcW w:w="1224" w:type="dxa"/>
          </w:tcPr>
          <w:p w:rsidR="005C2091" w:rsidRDefault="00A86293">
            <w:pPr>
              <w:pStyle w:val="CellColumn"/>
              <w:jc w:val="right"/>
            </w:pPr>
            <w:r>
              <w:rPr>
                <w:rFonts w:cs="Times New Roman"/>
              </w:rPr>
              <w:t>256,0</w:t>
            </w:r>
          </w:p>
        </w:tc>
      </w:tr>
    </w:tbl>
    <w:p w:rsidR="005C2091" w:rsidRDefault="005C2091">
      <w:pPr>
        <w:jc w:val="left"/>
      </w:pPr>
    </w:p>
    <w:p w:rsidR="005C2091" w:rsidRDefault="00A86293">
      <w:r>
        <w:t>Ovaj program ima za cilj poticanje razvoja malog gospodarstva nizom mjera koje HAMAG-BICRO provodi u cilju olakšanog pristupa poduzetnika izvorima financiranja kroz izdavanje jamstava, izdavanje mikrokredita te dodjelu bespovratnih potpora. Programe i aktivnosti HAMAG-BICRO kreira sukladno zahtjevima i potrebama tržišta, kako bi u potpunosti ostvarili svoju namjenu.</w:t>
      </w:r>
    </w:p>
    <w:p w:rsidR="005C2091" w:rsidRDefault="00A86293">
      <w:pPr>
        <w:pStyle w:val="Heading4"/>
      </w:pPr>
      <w:r>
        <w:t>A563025 ADMINISTRACIJA I UPRAVLJANJE HRVATSKE AGENCIJE ZA MALO GOSPODARSTVO, INOVACIJE I INVESTICIJE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A563025-ADMINISTRACIJA I UPRAVLJANJE HRVATSKE AGENCIJE ZA MALO GOSPODARSTVO, INOVACIJE I INVESTICIJE</w:t>
            </w:r>
          </w:p>
        </w:tc>
        <w:tc>
          <w:tcPr>
            <w:tcW w:w="2041" w:type="dxa"/>
          </w:tcPr>
          <w:p w:rsidR="005C2091" w:rsidRDefault="00A86293">
            <w:pPr>
              <w:pStyle w:val="CellColumn"/>
              <w:jc w:val="right"/>
            </w:pPr>
            <w:r>
              <w:rPr>
                <w:rFonts w:cs="Times New Roman"/>
              </w:rPr>
              <w:t>26.815.784</w:t>
            </w:r>
          </w:p>
        </w:tc>
        <w:tc>
          <w:tcPr>
            <w:tcW w:w="2041" w:type="dxa"/>
          </w:tcPr>
          <w:p w:rsidR="005C2091" w:rsidRDefault="00A86293">
            <w:pPr>
              <w:pStyle w:val="CellColumn"/>
              <w:jc w:val="right"/>
            </w:pPr>
            <w:r>
              <w:rPr>
                <w:rFonts w:cs="Times New Roman"/>
              </w:rPr>
              <w:t>19.045.896</w:t>
            </w:r>
          </w:p>
        </w:tc>
        <w:tc>
          <w:tcPr>
            <w:tcW w:w="2041" w:type="dxa"/>
          </w:tcPr>
          <w:p w:rsidR="005C2091" w:rsidRDefault="00A86293">
            <w:pPr>
              <w:pStyle w:val="CellColumn"/>
              <w:jc w:val="right"/>
            </w:pPr>
            <w:r>
              <w:rPr>
                <w:rFonts w:cs="Times New Roman"/>
              </w:rPr>
              <w:t>16.645.564</w:t>
            </w:r>
          </w:p>
        </w:tc>
        <w:tc>
          <w:tcPr>
            <w:tcW w:w="1224" w:type="dxa"/>
          </w:tcPr>
          <w:p w:rsidR="005C2091" w:rsidRDefault="00A86293">
            <w:pPr>
              <w:pStyle w:val="CellColumn"/>
              <w:jc w:val="right"/>
            </w:pPr>
            <w:r>
              <w:rPr>
                <w:rFonts w:cs="Times New Roman"/>
              </w:rPr>
              <w:t>87,4</w:t>
            </w:r>
          </w:p>
        </w:tc>
        <w:tc>
          <w:tcPr>
            <w:tcW w:w="1224" w:type="dxa"/>
          </w:tcPr>
          <w:p w:rsidR="005C2091" w:rsidRDefault="00A86293">
            <w:pPr>
              <w:pStyle w:val="CellColumn"/>
              <w:jc w:val="right"/>
            </w:pPr>
            <w:r>
              <w:rPr>
                <w:rFonts w:cs="Times New Roman"/>
              </w:rPr>
              <w:t>62,1</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poticanju razvoja malog gospodarstva (NN 29/02, 63/07, 53/12, 56/13 i 121/16);  </w:t>
      </w:r>
    </w:p>
    <w:p w:rsidR="005C2091" w:rsidRDefault="00A86293">
      <w:r>
        <w:t xml:space="preserve">Program Vlade Republike Hrvatske o poticanju malog i srednjeg poduzetništva 2008. – 2012. odobrenim od Vlade RH 18. travnja 2008. godine;  </w:t>
      </w:r>
    </w:p>
    <w:p w:rsidR="005C2091" w:rsidRDefault="00A86293">
      <w:r>
        <w:lastRenderedPageBreak/>
        <w:t xml:space="preserve">Programa poticanja poduzetništva i obrta – Poduzetnički impuls za 2015. godinu usvojenog na sjednici Vlade Republike Hrvatske 19. veljače 2015; </w:t>
      </w:r>
    </w:p>
    <w:p w:rsidR="005C2091" w:rsidRDefault="00A86293">
      <w:r>
        <w:t xml:space="preserve">Zakon o državnim potporama (NN 47/14);  </w:t>
      </w:r>
    </w:p>
    <w:p w:rsidR="005C2091" w:rsidRDefault="00A86293">
      <w:r>
        <w:t xml:space="preserve">Pravilnik o dostavi prijedloga državnih potpora, podataka o državnim potporama i potporama male vrijednosti te registru državnih potpora i potpora male vrijednosti (NN 121/16); </w:t>
      </w:r>
    </w:p>
    <w:p w:rsidR="005C2091" w:rsidRDefault="00A86293">
      <w:r>
        <w:t xml:space="preserve">Odluka Vlade Republike Hrvatske o usvajanju jamstvenog programa "EU početnik" i jamstvenog programa "Rastimo zajedno" (NN 153/13, 145/14, 62/15 i 108/15); </w:t>
      </w:r>
    </w:p>
    <w:p w:rsidR="005C2091" w:rsidRDefault="00A86293">
      <w:r>
        <w:t xml:space="preserve">Odluka Vlade Republike Hrvatske o usvajanju programa "ESIF jamstva" i programa "ESIF mikro i mali zajmovi" (NN 62/16); </w:t>
      </w:r>
    </w:p>
    <w:p w:rsidR="005C2091" w:rsidRDefault="00A86293">
      <w:r>
        <w:t xml:space="preserve">Zakon o uspostavi institucionalnog okvira za provedbu europskih strukturnih i investicijskih fondova u RH u financijskom razdoblju 2014.-2020. (NN 92/14);  </w:t>
      </w:r>
    </w:p>
    <w:p w:rsidR="005C2091" w:rsidRDefault="00A86293">
      <w:r>
        <w:t>Uredba o tijelima u sustavu upravljanja i kontrole korištenja ESF, EFRR i KF, u vezi sa ciljem "Ulaganja za rast i radna mjesta" (NN 107/14 i 23/15).</w:t>
      </w:r>
    </w:p>
    <w:p w:rsidR="005C2091" w:rsidRDefault="00A86293">
      <w:pPr>
        <w:pStyle w:val="Heading8"/>
        <w:jc w:val="left"/>
      </w:pPr>
      <w:r>
        <w:t>Opis aktivnosti</w:t>
      </w:r>
    </w:p>
    <w:p w:rsidR="005C2091" w:rsidRDefault="00A86293">
      <w:r>
        <w:t>Kroz ovu aktivnost financirano je tekuće poslovanje HAMAG-BICRO-a, odnosno plaće zaposlenika i doprinosi na plaće, naknade troškova zaposlenicima, rashodi za materijal i energiju, rashodi za usluge, nabava nematerijalne i materijalne imovine, otplata zajma IBRD-a 73200-HR i ostali režijski troškovi.</w:t>
      </w:r>
    </w:p>
    <w:p w:rsidR="005C2091" w:rsidRDefault="00A86293">
      <w:pPr>
        <w:pStyle w:val="Heading4"/>
      </w:pPr>
      <w:r>
        <w:t>A563026 JAMSTVA ZA MALO GOSPODARSTVO</w:t>
      </w:r>
    </w:p>
    <w:tbl>
      <w:tblPr>
        <w:tblStyle w:val="StilTablice"/>
        <w:tblW w:w="10206" w:type="dxa"/>
        <w:jc w:val="center"/>
        <w:tblLook w:val="04A0" w:firstRow="1" w:lastRow="0" w:firstColumn="1" w:lastColumn="0" w:noHBand="0" w:noVBand="1"/>
      </w:tblPr>
      <w:tblGrid>
        <w:gridCol w:w="1716"/>
        <w:gridCol w:w="2018"/>
        <w:gridCol w:w="2017"/>
        <w:gridCol w:w="2017"/>
        <w:gridCol w:w="1218"/>
        <w:gridCol w:w="1220"/>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A563026-JAMSTVA ZA MALO GOSPODARSTVO</w:t>
            </w:r>
          </w:p>
        </w:tc>
        <w:tc>
          <w:tcPr>
            <w:tcW w:w="2041" w:type="dxa"/>
          </w:tcPr>
          <w:p w:rsidR="005C2091" w:rsidRDefault="00A86293">
            <w:pPr>
              <w:pStyle w:val="CellColumn"/>
              <w:jc w:val="right"/>
            </w:pPr>
            <w:r>
              <w:rPr>
                <w:rFonts w:cs="Times New Roman"/>
              </w:rPr>
              <w:t>53.428.874</w:t>
            </w:r>
          </w:p>
        </w:tc>
        <w:tc>
          <w:tcPr>
            <w:tcW w:w="2041" w:type="dxa"/>
          </w:tcPr>
          <w:p w:rsidR="005C2091" w:rsidRDefault="00A86293">
            <w:pPr>
              <w:pStyle w:val="CellColumn"/>
              <w:jc w:val="right"/>
            </w:pPr>
            <w:r>
              <w:rPr>
                <w:rFonts w:cs="Times New Roman"/>
              </w:rPr>
              <w:t>58.114.625</w:t>
            </w:r>
          </w:p>
        </w:tc>
        <w:tc>
          <w:tcPr>
            <w:tcW w:w="2041" w:type="dxa"/>
          </w:tcPr>
          <w:p w:rsidR="005C2091" w:rsidRDefault="00A86293">
            <w:pPr>
              <w:pStyle w:val="CellColumn"/>
              <w:jc w:val="right"/>
            </w:pPr>
            <w:r>
              <w:rPr>
                <w:rFonts w:cs="Times New Roman"/>
              </w:rPr>
              <w:t>58.112.270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108,8</w:t>
            </w:r>
          </w:p>
        </w:tc>
      </w:tr>
    </w:tbl>
    <w:p w:rsidR="005C2091" w:rsidRDefault="005C2091">
      <w:pPr>
        <w:jc w:val="left"/>
      </w:pPr>
    </w:p>
    <w:p w:rsidR="005C2091" w:rsidRDefault="00A86293">
      <w:pPr>
        <w:pStyle w:val="Heading8"/>
        <w:jc w:val="left"/>
      </w:pPr>
      <w:r>
        <w:t>Zakonske i druge pravne osnove</w:t>
      </w:r>
    </w:p>
    <w:p w:rsidR="005C2091" w:rsidRDefault="00A86293">
      <w:r>
        <w:t>Odluka Vlade Republike Hrvatske o usvajanju jamstvenog programa "EU početnik" i jamstvenog programa "Rastimo zajedno" (NN 153/13, 145/14, 62/15 i 108/15);</w:t>
      </w:r>
    </w:p>
    <w:p w:rsidR="005C2091" w:rsidRDefault="00A86293">
      <w:pPr>
        <w:pStyle w:val="Heading8"/>
        <w:jc w:val="left"/>
      </w:pPr>
      <w:r>
        <w:t>Opis aktivnosti</w:t>
      </w:r>
    </w:p>
    <w:p w:rsidR="005C2091" w:rsidRDefault="00A86293">
      <w:r>
        <w:t>Instrument jamstva kao poluga u olakšavanju pristupa financiranju poduzetnicima polučio je nešto lošije rezultate u protekloj godini u odnosu na prethodne godine. Ključni razlozi pada broja izdanih jamstava po programu Rastimo zajedno su prestanak važenja mjera subvencioniranja kredita za obrtna sredstva od strane MINPO-a te pomicanje granice poduzetnika početnika s 2 godine na 5 godina poslovanja. Pad broja zahtjeva po programu Poljoprivrednici rezultat je prestanka važenja programa koji je istekao 30.6.2016. godine te nije pokrenu novi program za ovu ciljnu skupinu poduzetnika. Na sami rezultat utjecala je i činjenica da su uvedeni novi ESIF programi koji su nešto atraktivniji od postojećih i imaju model subvencije kamate, međutim Sporazumi s financijskim institucijama koji osiguravaju provedbu nisu bili potpisani tijekom 2016. godine.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izdanih jamstava</w:t>
            </w:r>
          </w:p>
        </w:tc>
        <w:tc>
          <w:tcPr>
            <w:tcW w:w="2551" w:type="dxa"/>
          </w:tcPr>
          <w:p w:rsidR="005C2091" w:rsidRDefault="00A86293">
            <w:pPr>
              <w:pStyle w:val="CellColumn"/>
              <w:jc w:val="left"/>
            </w:pPr>
            <w:r>
              <w:rPr>
                <w:rFonts w:cs="Times New Roman"/>
              </w:rPr>
              <w:t>jamstva izdana u jednogodišnjem razdoblju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300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350</w:t>
            </w:r>
          </w:p>
        </w:tc>
        <w:tc>
          <w:tcPr>
            <w:tcW w:w="1020" w:type="dxa"/>
          </w:tcPr>
          <w:p w:rsidR="005C2091" w:rsidRDefault="00A86293">
            <w:pPr>
              <w:pStyle w:val="CellColumn"/>
              <w:jc w:val="right"/>
            </w:pPr>
            <w:r>
              <w:rPr>
                <w:rFonts w:cs="Times New Roman"/>
              </w:rPr>
              <w:t>217</w:t>
            </w:r>
          </w:p>
        </w:tc>
      </w:tr>
    </w:tbl>
    <w:p w:rsidR="005C2091" w:rsidRDefault="005C2091">
      <w:pPr>
        <w:jc w:val="left"/>
      </w:pPr>
    </w:p>
    <w:p w:rsidR="005C2091" w:rsidRDefault="00A86293">
      <w:pPr>
        <w:pStyle w:val="Heading4"/>
      </w:pPr>
      <w:r>
        <w:lastRenderedPageBreak/>
        <w:t>A563119 POTICANJE MALOG I SREDNJEG PODUZETNIŠTVA-PODUZETNIČKI IMPULS</w:t>
      </w:r>
    </w:p>
    <w:tbl>
      <w:tblPr>
        <w:tblStyle w:val="StilTablice"/>
        <w:tblW w:w="10206" w:type="dxa"/>
        <w:jc w:val="center"/>
        <w:tblLook w:val="04A0" w:firstRow="1" w:lastRow="0" w:firstColumn="1" w:lastColumn="0" w:noHBand="0" w:noVBand="1"/>
      </w:tblPr>
      <w:tblGrid>
        <w:gridCol w:w="1825"/>
        <w:gridCol w:w="1988"/>
        <w:gridCol w:w="1983"/>
        <w:gridCol w:w="1983"/>
        <w:gridCol w:w="1211"/>
        <w:gridCol w:w="121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A563119-POTICANJE MALOG I SREDNJEG PODUZETNIŠTVA-PODUZETNIČKI IMPULS</w:t>
            </w:r>
          </w:p>
        </w:tc>
        <w:tc>
          <w:tcPr>
            <w:tcW w:w="2041" w:type="dxa"/>
          </w:tcPr>
          <w:p w:rsidR="005C2091" w:rsidRDefault="00A86293">
            <w:pPr>
              <w:pStyle w:val="CellColumn"/>
              <w:jc w:val="right"/>
            </w:pPr>
            <w:r>
              <w:rPr>
                <w:rFonts w:cs="Times New Roman"/>
              </w:rPr>
              <w:t>41.616.340</w:t>
            </w:r>
          </w:p>
        </w:tc>
        <w:tc>
          <w:tcPr>
            <w:tcW w:w="2041" w:type="dxa"/>
          </w:tcPr>
          <w:p w:rsidR="005C2091" w:rsidRDefault="00A86293">
            <w:pPr>
              <w:pStyle w:val="CellColumn"/>
              <w:jc w:val="right"/>
            </w:pPr>
            <w:r>
              <w:rPr>
                <w:rFonts w:cs="Times New Roman"/>
              </w:rPr>
              <w:t>3.647.259</w:t>
            </w:r>
          </w:p>
        </w:tc>
        <w:tc>
          <w:tcPr>
            <w:tcW w:w="2041" w:type="dxa"/>
          </w:tcPr>
          <w:p w:rsidR="005C2091" w:rsidRDefault="00A86293">
            <w:pPr>
              <w:pStyle w:val="CellColumn"/>
              <w:jc w:val="right"/>
            </w:pPr>
            <w:r>
              <w:rPr>
                <w:rFonts w:cs="Times New Roman"/>
              </w:rPr>
              <w:t>3.647.257</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8,8</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Program Vlade Republike Hrvatske o poticanju malog i srednjeg poduzetništva 2008. – 2012. odobrenim od Vlade RH 18. travnja 2008. godine;  </w:t>
      </w:r>
    </w:p>
    <w:p w:rsidR="005C2091" w:rsidRDefault="00A86293">
      <w:r>
        <w:t xml:space="preserve">Programa poticanja poduzetništva i obrta – Poduzetnički impuls za 2015. godinu usvojenog na sjednici Vlade Republike Hrvatske 19. veljače 2015; </w:t>
      </w:r>
    </w:p>
    <w:p w:rsidR="005C2091" w:rsidRDefault="00A86293">
      <w:r>
        <w:t>Zakon o državnim potporama (NN 47/14);</w:t>
      </w:r>
    </w:p>
    <w:p w:rsidR="005C2091" w:rsidRDefault="00A86293">
      <w:pPr>
        <w:pStyle w:val="Heading8"/>
        <w:jc w:val="left"/>
      </w:pPr>
      <w:r>
        <w:t>Opis aktivnosti</w:t>
      </w:r>
    </w:p>
    <w:p w:rsidR="005C2091" w:rsidRDefault="00A86293">
      <w:r>
        <w:t xml:space="preserve">Povećanje konkurentnosti subjekata malog gospodarstva dovodi do njihovog bržeg rasta i razvoja, širenja poslovanja, povećanja zaposlenosti i prisutnosti na stranim tržištima. Programima dodjele bespovratnih potpora HAMAG-BICRO povećava učinkovitost poslovanja gospodarskih subjekata u kategoriji mikro i malih poduzetnika, podupire poboljšanje pružanja usluga kroz modernizaciju poslovnih procesa te otvaranje novih radnih mjesta i zadržavanje postojećih, a sve uzimajući u obzir poticanje poduzetništva ciljnih skupina (žena poduzetnica, poduzetnika početnika, romske nacionalne manjine, osoba s invaliditetom te poduzetnika u potpomognutim područjima).  </w:t>
      </w:r>
    </w:p>
    <w:p w:rsidR="005C2091" w:rsidRDefault="00A86293">
      <w:r>
        <w:t xml:space="preserve">Obzirom da se 80% dodijeljenih sredstava isplatilo avansno po zaključenja ugovora o dodjeli u 2015. godini, ostatak od 20 % planiran je u 2016. godini i to u iznosu od 3.647.257 kn. Sredstva su isplaćivana nakon podnošenja Završnog izvještaja o provedbi projekta i kontrole namjenskog utroška sredstava. </w:t>
      </w:r>
    </w:p>
    <w:p w:rsidR="005C2091" w:rsidRDefault="00A86293">
      <w:r>
        <w:t>Ukupno je u 2016. godini za dodijeljene potpore iz 2015. godine isplaćen iznos od 3.647.257 kn.</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dodijeljeih bespovratnih potpora</w:t>
            </w:r>
          </w:p>
        </w:tc>
        <w:tc>
          <w:tcPr>
            <w:tcW w:w="2551" w:type="dxa"/>
          </w:tcPr>
          <w:p w:rsidR="005C2091" w:rsidRDefault="00A86293">
            <w:pPr>
              <w:pStyle w:val="CellColumn"/>
              <w:jc w:val="left"/>
            </w:pPr>
            <w:r>
              <w:rPr>
                <w:rFonts w:cs="Times New Roman"/>
              </w:rPr>
              <w:t>broj dodijeljenih bespovratnih potpora u jednogodišnjem razdoblju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102</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110</w:t>
            </w:r>
          </w:p>
        </w:tc>
        <w:tc>
          <w:tcPr>
            <w:tcW w:w="1020" w:type="dxa"/>
          </w:tcPr>
          <w:p w:rsidR="005C2091" w:rsidRDefault="00A86293">
            <w:pPr>
              <w:pStyle w:val="CellColumn"/>
              <w:jc w:val="right"/>
            </w:pPr>
            <w:r>
              <w:rPr>
                <w:rFonts w:cs="Times New Roman"/>
              </w:rPr>
              <w:t>177</w:t>
            </w:r>
          </w:p>
        </w:tc>
      </w:tr>
    </w:tbl>
    <w:p w:rsidR="005C2091" w:rsidRDefault="005C2091">
      <w:pPr>
        <w:jc w:val="left"/>
      </w:pPr>
    </w:p>
    <w:p w:rsidR="005C2091" w:rsidRDefault="00A86293">
      <w:pPr>
        <w:pStyle w:val="Heading4"/>
      </w:pPr>
      <w:r>
        <w:t>A822064 POTPORE INOVACIJSKOM PROCESU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lastRenderedPageBreak/>
              <w:t>A822064-POTPORE INOVACIJSKOM PROCESU</w:t>
            </w:r>
          </w:p>
        </w:tc>
        <w:tc>
          <w:tcPr>
            <w:tcW w:w="2041" w:type="dxa"/>
          </w:tcPr>
          <w:p w:rsidR="005C2091" w:rsidRDefault="00A86293">
            <w:pPr>
              <w:pStyle w:val="CellColumn"/>
              <w:jc w:val="right"/>
            </w:pPr>
            <w:r>
              <w:rPr>
                <w:rFonts w:cs="Times New Roman"/>
              </w:rPr>
              <w:t>2.775.305</w:t>
            </w:r>
          </w:p>
        </w:tc>
        <w:tc>
          <w:tcPr>
            <w:tcW w:w="2041" w:type="dxa"/>
          </w:tcPr>
          <w:p w:rsidR="005C2091" w:rsidRDefault="00A86293">
            <w:pPr>
              <w:pStyle w:val="CellColumn"/>
              <w:jc w:val="right"/>
            </w:pPr>
            <w:r>
              <w:rPr>
                <w:rFonts w:cs="Times New Roman"/>
              </w:rPr>
              <w:t>840.000</w:t>
            </w:r>
          </w:p>
        </w:tc>
        <w:tc>
          <w:tcPr>
            <w:tcW w:w="2041" w:type="dxa"/>
          </w:tcPr>
          <w:p w:rsidR="005C2091" w:rsidRDefault="00A86293">
            <w:pPr>
              <w:pStyle w:val="CellColumn"/>
              <w:jc w:val="right"/>
            </w:pPr>
            <w:r>
              <w:rPr>
                <w:rFonts w:cs="Times New Roman"/>
              </w:rPr>
              <w:t>840.000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30,3</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poticanju razvoja malog gospodarstva (NN 29/02, 63/07, 53/12, 56/13 i 121/16);  </w:t>
      </w:r>
    </w:p>
    <w:p w:rsidR="005C2091" w:rsidRDefault="00A86293">
      <w:r>
        <w:t xml:space="preserve">Program Vlade Republike Hrvatske o poticanju malog i srednjeg poduzetništva 2008. – 2012. odobrenim od Vlade RH 18. travnja 2008. godine;  </w:t>
      </w:r>
    </w:p>
    <w:p w:rsidR="005C2091" w:rsidRDefault="00A86293">
      <w:r>
        <w:t xml:space="preserve">Programa poticanja poduzetništva i obrta – Poduzetnički impuls za 2015. godinu usvojenog na sjednici Vlade Republike Hrvatske 19. veljače 2015; </w:t>
      </w:r>
    </w:p>
    <w:p w:rsidR="005C2091" w:rsidRDefault="00A86293">
      <w:r>
        <w:t xml:space="preserve">Zakon o državnim potporama (NN 47/14);  </w:t>
      </w:r>
    </w:p>
    <w:p w:rsidR="005C2091" w:rsidRDefault="00A86293">
      <w:r>
        <w:t>Pravilnik o dostavi prijedloga državnih potpora, podataka o državnim potporama i potporama male vrijednosti te registru državnih potpora i potpora male vrijednosti (NN 121/16).</w:t>
      </w:r>
    </w:p>
    <w:p w:rsidR="005C2091" w:rsidRDefault="00A86293">
      <w:pPr>
        <w:pStyle w:val="Heading8"/>
        <w:jc w:val="left"/>
      </w:pPr>
      <w:r>
        <w:t>Opis aktivnosti</w:t>
      </w:r>
    </w:p>
    <w:p w:rsidR="005C2091" w:rsidRDefault="00A86293">
      <w:r>
        <w:t>Sredstvima ove aktivnosti financira se projekt ugovoren kroz program TEHCRO. Projekt završava tijekom drugog kvartala 2017. godine.</w:t>
      </w:r>
    </w:p>
    <w:p w:rsidR="005C2091" w:rsidRDefault="00A86293">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9736B" w:rsidTr="0009736B">
        <w:trPr>
          <w:jc w:val="center"/>
        </w:trPr>
        <w:tc>
          <w:tcPr>
            <w:tcW w:w="2553" w:type="dxa"/>
            <w:shd w:val="clear" w:color="auto" w:fill="B5C0D8"/>
          </w:tcPr>
          <w:p w:rsidR="0009736B" w:rsidRDefault="0009736B">
            <w:pPr>
              <w:jc w:val="center"/>
            </w:pPr>
            <w:r>
              <w:t>Pokazatelj rezultata</w:t>
            </w:r>
          </w:p>
        </w:tc>
        <w:tc>
          <w:tcPr>
            <w:tcW w:w="1020" w:type="dxa"/>
            <w:shd w:val="clear" w:color="auto" w:fill="B5C0D8"/>
          </w:tcPr>
          <w:p w:rsidR="0009736B" w:rsidRDefault="0009736B">
            <w:pPr>
              <w:pStyle w:val="CellHeader"/>
              <w:jc w:val="center"/>
            </w:pPr>
            <w:r>
              <w:rPr>
                <w:rFonts w:cs="Times New Roman"/>
              </w:rPr>
              <w:t>Jedinica</w:t>
            </w:r>
          </w:p>
        </w:tc>
        <w:tc>
          <w:tcPr>
            <w:tcW w:w="1020" w:type="dxa"/>
            <w:shd w:val="clear" w:color="auto" w:fill="B5C0D8"/>
          </w:tcPr>
          <w:p w:rsidR="0009736B" w:rsidRDefault="0009736B">
            <w:pPr>
              <w:pStyle w:val="CellHeader"/>
              <w:jc w:val="center"/>
            </w:pPr>
            <w:r>
              <w:rPr>
                <w:rFonts w:cs="Times New Roman"/>
              </w:rPr>
              <w:t>Polazna vrijednost</w:t>
            </w:r>
          </w:p>
        </w:tc>
        <w:tc>
          <w:tcPr>
            <w:tcW w:w="1020" w:type="dxa"/>
            <w:shd w:val="clear" w:color="auto" w:fill="B5C0D8"/>
          </w:tcPr>
          <w:p w:rsidR="0009736B" w:rsidRDefault="0009736B">
            <w:pPr>
              <w:pStyle w:val="CellHeader"/>
              <w:jc w:val="center"/>
            </w:pPr>
            <w:r>
              <w:rPr>
                <w:rFonts w:cs="Times New Roman"/>
              </w:rPr>
              <w:t>Izvor podataka</w:t>
            </w:r>
          </w:p>
        </w:tc>
        <w:tc>
          <w:tcPr>
            <w:tcW w:w="1020" w:type="dxa"/>
            <w:shd w:val="clear" w:color="auto" w:fill="B5C0D8"/>
          </w:tcPr>
          <w:p w:rsidR="0009736B" w:rsidRDefault="0009736B">
            <w:pPr>
              <w:pStyle w:val="CellHeader"/>
              <w:jc w:val="center"/>
            </w:pPr>
            <w:r>
              <w:rPr>
                <w:rFonts w:cs="Times New Roman"/>
              </w:rPr>
              <w:t>Ciljana vrijednost (2016.)</w:t>
            </w:r>
          </w:p>
        </w:tc>
        <w:tc>
          <w:tcPr>
            <w:tcW w:w="1020" w:type="dxa"/>
            <w:shd w:val="clear" w:color="auto" w:fill="B5C0D8"/>
          </w:tcPr>
          <w:p w:rsidR="0009736B" w:rsidRDefault="0009736B">
            <w:pPr>
              <w:pStyle w:val="CellHeader"/>
              <w:jc w:val="center"/>
            </w:pPr>
            <w:r>
              <w:rPr>
                <w:rFonts w:cs="Times New Roman"/>
              </w:rPr>
              <w:t>Ostvarena vrijednost (2016.)</w:t>
            </w:r>
          </w:p>
        </w:tc>
      </w:tr>
      <w:tr w:rsidR="0009736B" w:rsidTr="0009736B">
        <w:trPr>
          <w:jc w:val="center"/>
        </w:trPr>
        <w:tc>
          <w:tcPr>
            <w:tcW w:w="2553" w:type="dxa"/>
          </w:tcPr>
          <w:p w:rsidR="0009736B" w:rsidRDefault="0009736B">
            <w:pPr>
              <w:pStyle w:val="CellColumn"/>
              <w:jc w:val="left"/>
            </w:pPr>
            <w:r>
              <w:rPr>
                <w:rFonts w:cs="Times New Roman"/>
              </w:rPr>
              <w:t>Broj financiranih projekata</w:t>
            </w:r>
          </w:p>
        </w:tc>
        <w:tc>
          <w:tcPr>
            <w:tcW w:w="1020" w:type="dxa"/>
          </w:tcPr>
          <w:p w:rsidR="0009736B" w:rsidRDefault="0009736B">
            <w:pPr>
              <w:pStyle w:val="CellColumn"/>
              <w:jc w:val="right"/>
            </w:pPr>
            <w:r>
              <w:rPr>
                <w:rFonts w:cs="Times New Roman"/>
              </w:rPr>
              <w:t>Broj</w:t>
            </w:r>
          </w:p>
        </w:tc>
        <w:tc>
          <w:tcPr>
            <w:tcW w:w="1020" w:type="dxa"/>
          </w:tcPr>
          <w:p w:rsidR="0009736B" w:rsidRDefault="0009736B">
            <w:pPr>
              <w:pStyle w:val="CellColumn"/>
              <w:jc w:val="right"/>
            </w:pPr>
            <w:r>
              <w:rPr>
                <w:rFonts w:cs="Times New Roman"/>
              </w:rPr>
              <w:t>1</w:t>
            </w:r>
          </w:p>
        </w:tc>
        <w:tc>
          <w:tcPr>
            <w:tcW w:w="1020" w:type="dxa"/>
          </w:tcPr>
          <w:p w:rsidR="0009736B" w:rsidRDefault="0009736B">
            <w:pPr>
              <w:pStyle w:val="CellColumn"/>
              <w:jc w:val="right"/>
            </w:pPr>
            <w:r>
              <w:rPr>
                <w:rFonts w:cs="Times New Roman"/>
              </w:rPr>
              <w:t>HAMAG-BICRO</w:t>
            </w:r>
          </w:p>
        </w:tc>
        <w:tc>
          <w:tcPr>
            <w:tcW w:w="1020" w:type="dxa"/>
          </w:tcPr>
          <w:p w:rsidR="0009736B" w:rsidRDefault="0009736B">
            <w:pPr>
              <w:pStyle w:val="CellColumn"/>
              <w:jc w:val="right"/>
            </w:pPr>
            <w:r>
              <w:rPr>
                <w:rFonts w:cs="Times New Roman"/>
              </w:rPr>
              <w:t>1</w:t>
            </w:r>
          </w:p>
        </w:tc>
        <w:tc>
          <w:tcPr>
            <w:tcW w:w="1020" w:type="dxa"/>
          </w:tcPr>
          <w:p w:rsidR="0009736B" w:rsidRDefault="0009736B">
            <w:pPr>
              <w:pStyle w:val="CellColumn"/>
              <w:jc w:val="right"/>
            </w:pPr>
            <w:r>
              <w:rPr>
                <w:rFonts w:cs="Times New Roman"/>
              </w:rPr>
              <w:t>1</w:t>
            </w:r>
          </w:p>
        </w:tc>
      </w:tr>
    </w:tbl>
    <w:p w:rsidR="005C2091" w:rsidRDefault="005C2091">
      <w:pPr>
        <w:jc w:val="left"/>
      </w:pPr>
    </w:p>
    <w:p w:rsidR="005C2091" w:rsidRDefault="00A86293">
      <w:pPr>
        <w:pStyle w:val="Heading4"/>
      </w:pPr>
      <w:r>
        <w:t>A822065 BICRO BIOCENTAR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A822065-BICRO BIOCENTAR</w:t>
            </w:r>
          </w:p>
        </w:tc>
        <w:tc>
          <w:tcPr>
            <w:tcW w:w="2041" w:type="dxa"/>
          </w:tcPr>
          <w:p w:rsidR="005C2091" w:rsidRDefault="00A86293">
            <w:pPr>
              <w:pStyle w:val="CellColumn"/>
              <w:jc w:val="right"/>
            </w:pPr>
            <w:r>
              <w:rPr>
                <w:rFonts w:cs="Times New Roman"/>
              </w:rPr>
              <w:t>1.282.098</w:t>
            </w:r>
          </w:p>
        </w:tc>
        <w:tc>
          <w:tcPr>
            <w:tcW w:w="2041" w:type="dxa"/>
          </w:tcPr>
          <w:p w:rsidR="005C2091" w:rsidRDefault="00A86293">
            <w:pPr>
              <w:pStyle w:val="CellColumn"/>
              <w:jc w:val="right"/>
            </w:pPr>
            <w:r>
              <w:rPr>
                <w:rFonts w:cs="Times New Roman"/>
              </w:rPr>
              <w:t>3.940.000</w:t>
            </w:r>
          </w:p>
        </w:tc>
        <w:tc>
          <w:tcPr>
            <w:tcW w:w="2041" w:type="dxa"/>
          </w:tcPr>
          <w:p w:rsidR="005C2091" w:rsidRDefault="00A86293">
            <w:pPr>
              <w:pStyle w:val="CellColumn"/>
              <w:jc w:val="right"/>
            </w:pPr>
            <w:r>
              <w:rPr>
                <w:rFonts w:cs="Times New Roman"/>
              </w:rPr>
              <w:t>3.940.000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307,3</w:t>
            </w:r>
          </w:p>
        </w:tc>
      </w:tr>
    </w:tbl>
    <w:p w:rsidR="005C2091" w:rsidRDefault="005C2091">
      <w:pPr>
        <w:jc w:val="left"/>
      </w:pPr>
    </w:p>
    <w:p w:rsidR="005C2091" w:rsidRDefault="00A86293">
      <w:pPr>
        <w:pStyle w:val="Heading8"/>
        <w:jc w:val="left"/>
      </w:pPr>
      <w:r>
        <w:t>Zakonske i druge pravne osnove</w:t>
      </w:r>
    </w:p>
    <w:p w:rsidR="005C2091" w:rsidRDefault="00A86293">
      <w:r>
        <w:t>Zakon o poticanju razvoja malog gospodarstva (NN 56/13).</w:t>
      </w:r>
    </w:p>
    <w:p w:rsidR="005C2091" w:rsidRDefault="00A86293">
      <w:pPr>
        <w:pStyle w:val="Heading8"/>
        <w:jc w:val="left"/>
      </w:pPr>
      <w:r>
        <w:t>Opis aktivnosti</w:t>
      </w:r>
    </w:p>
    <w:p w:rsidR="005C2091" w:rsidRDefault="00A86293">
      <w:r>
        <w:t>Društvo je osnovano od strane HAMAG BICRO-a, Sveučilišta u Zagrebu i Grada Zagreba s ciljem upravljanja i vođenja Inkubacijskog centra za bioznanost: BIOCentar. Međusobnim ugovorom definirano je da će BICRO BIOCENTAR dobiti na upravljanje zgradu i opremu (financiranju iz EU fonda OPRK 2007-2013 i u 100% vlasništvu HAMAG-BICRO-a) uz obavezu ostvarivanja ciljeva predviđenih Bilateralnim ugovorom između Vlade RH i EU.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Korisnici BIOInkubacije</w:t>
            </w:r>
          </w:p>
        </w:tc>
        <w:tc>
          <w:tcPr>
            <w:tcW w:w="2551" w:type="dxa"/>
          </w:tcPr>
          <w:p w:rsidR="005C2091" w:rsidRDefault="00A86293">
            <w:pPr>
              <w:pStyle w:val="CellColumn"/>
              <w:jc w:val="left"/>
            </w:pPr>
            <w:r>
              <w:rPr>
                <w:rFonts w:cs="Times New Roman"/>
              </w:rPr>
              <w:t>Broj poduzeća/ projekata u inkubaciji</w:t>
            </w:r>
          </w:p>
        </w:tc>
        <w:tc>
          <w:tcPr>
            <w:tcW w:w="1020" w:type="dxa"/>
          </w:tcPr>
          <w:p w:rsidR="005C2091" w:rsidRDefault="00A86293">
            <w:pPr>
              <w:pStyle w:val="CellColumn"/>
              <w:jc w:val="right"/>
            </w:pPr>
            <w:r>
              <w:rPr>
                <w:rFonts w:cs="Times New Roman"/>
              </w:rPr>
              <w:t>Broj poduzeća/ projekata</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2</w:t>
            </w:r>
          </w:p>
        </w:tc>
      </w:tr>
      <w:tr w:rsidR="005C2091">
        <w:trPr>
          <w:jc w:val="center"/>
        </w:trPr>
        <w:tc>
          <w:tcPr>
            <w:tcW w:w="2551" w:type="dxa"/>
          </w:tcPr>
          <w:p w:rsidR="005C2091" w:rsidRDefault="00A86293">
            <w:pPr>
              <w:pStyle w:val="CellColumn"/>
              <w:jc w:val="left"/>
            </w:pPr>
            <w:r>
              <w:rPr>
                <w:rFonts w:cs="Times New Roman"/>
              </w:rPr>
              <w:t>Korisnici BIOInfrastrukture</w:t>
            </w:r>
          </w:p>
        </w:tc>
        <w:tc>
          <w:tcPr>
            <w:tcW w:w="2551" w:type="dxa"/>
          </w:tcPr>
          <w:p w:rsidR="005C2091" w:rsidRDefault="00A86293">
            <w:pPr>
              <w:pStyle w:val="CellColumn"/>
              <w:jc w:val="left"/>
            </w:pPr>
            <w:r>
              <w:rPr>
                <w:rFonts w:cs="Times New Roman"/>
              </w:rPr>
              <w:t>popunjenost prostora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50</w:t>
            </w:r>
          </w:p>
        </w:tc>
      </w:tr>
      <w:tr w:rsidR="005C2091">
        <w:trPr>
          <w:jc w:val="center"/>
        </w:trPr>
        <w:tc>
          <w:tcPr>
            <w:tcW w:w="2551" w:type="dxa"/>
          </w:tcPr>
          <w:p w:rsidR="005C2091" w:rsidRDefault="00A86293">
            <w:pPr>
              <w:pStyle w:val="CellColumn"/>
              <w:jc w:val="left"/>
            </w:pPr>
            <w:r>
              <w:rPr>
                <w:rFonts w:cs="Times New Roman"/>
              </w:rPr>
              <w:t>Projekti BIOTransfera</w:t>
            </w:r>
          </w:p>
        </w:tc>
        <w:tc>
          <w:tcPr>
            <w:tcW w:w="2551" w:type="dxa"/>
          </w:tcPr>
          <w:p w:rsidR="005C2091" w:rsidRDefault="00A86293">
            <w:pPr>
              <w:pStyle w:val="CellColumn"/>
              <w:jc w:val="left"/>
            </w:pPr>
            <w:r>
              <w:rPr>
                <w:rFonts w:cs="Times New Roman"/>
              </w:rPr>
              <w:t>projekti razvoja biotehnološkog procesa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11</w:t>
            </w:r>
          </w:p>
        </w:tc>
      </w:tr>
      <w:tr w:rsidR="005C2091">
        <w:trPr>
          <w:jc w:val="center"/>
        </w:trPr>
        <w:tc>
          <w:tcPr>
            <w:tcW w:w="2551" w:type="dxa"/>
          </w:tcPr>
          <w:p w:rsidR="005C2091" w:rsidRDefault="00A86293">
            <w:pPr>
              <w:pStyle w:val="CellColumn"/>
              <w:jc w:val="left"/>
            </w:pPr>
            <w:r>
              <w:rPr>
                <w:rFonts w:cs="Times New Roman"/>
              </w:rPr>
              <w:t>Provedene BIOEdukacije</w:t>
            </w:r>
          </w:p>
        </w:tc>
        <w:tc>
          <w:tcPr>
            <w:tcW w:w="2551" w:type="dxa"/>
          </w:tcPr>
          <w:p w:rsidR="005C2091" w:rsidRDefault="00A86293">
            <w:pPr>
              <w:pStyle w:val="CellColumn"/>
              <w:jc w:val="left"/>
            </w:pPr>
            <w:r>
              <w:rPr>
                <w:rFonts w:cs="Times New Roman"/>
              </w:rPr>
              <w:t>Poslovno-znanstvena edukacija</w:t>
            </w:r>
          </w:p>
        </w:tc>
        <w:tc>
          <w:tcPr>
            <w:tcW w:w="1020" w:type="dxa"/>
          </w:tcPr>
          <w:p w:rsidR="005C2091" w:rsidRDefault="00A86293">
            <w:pPr>
              <w:pStyle w:val="CellColumn"/>
              <w:jc w:val="right"/>
            </w:pPr>
            <w:r>
              <w:rPr>
                <w:rFonts w:cs="Times New Roman"/>
              </w:rPr>
              <w:t>broj sudionika</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291</w:t>
            </w:r>
          </w:p>
        </w:tc>
      </w:tr>
      <w:tr w:rsidR="005C2091">
        <w:trPr>
          <w:jc w:val="center"/>
        </w:trPr>
        <w:tc>
          <w:tcPr>
            <w:tcW w:w="2551" w:type="dxa"/>
          </w:tcPr>
          <w:p w:rsidR="005C2091" w:rsidRDefault="00A86293">
            <w:pPr>
              <w:pStyle w:val="CellColumn"/>
              <w:jc w:val="left"/>
            </w:pPr>
            <w:r>
              <w:rPr>
                <w:rFonts w:cs="Times New Roman"/>
              </w:rPr>
              <w:t>Umrežavanje korisnika</w:t>
            </w:r>
          </w:p>
        </w:tc>
        <w:tc>
          <w:tcPr>
            <w:tcW w:w="2551" w:type="dxa"/>
          </w:tcPr>
          <w:p w:rsidR="005C2091" w:rsidRDefault="00A86293">
            <w:pPr>
              <w:pStyle w:val="CellColumn"/>
              <w:jc w:val="left"/>
            </w:pPr>
            <w:r>
              <w:rPr>
                <w:rFonts w:cs="Times New Roman"/>
              </w:rPr>
              <w:t>Povezivanje interesnih grupa u području BIOznanosti</w:t>
            </w:r>
          </w:p>
        </w:tc>
        <w:tc>
          <w:tcPr>
            <w:tcW w:w="1020" w:type="dxa"/>
          </w:tcPr>
          <w:p w:rsidR="005C2091" w:rsidRDefault="00A86293">
            <w:pPr>
              <w:pStyle w:val="CellColumn"/>
              <w:jc w:val="right"/>
            </w:pPr>
            <w:r>
              <w:rPr>
                <w:rFonts w:cs="Times New Roman"/>
              </w:rPr>
              <w:t>broj korisnika</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21</w:t>
            </w:r>
          </w:p>
        </w:tc>
      </w:tr>
    </w:tbl>
    <w:p w:rsidR="005C2091" w:rsidRDefault="005C2091">
      <w:pPr>
        <w:jc w:val="left"/>
      </w:pPr>
    </w:p>
    <w:p w:rsidR="005C2091" w:rsidRDefault="00A86293">
      <w:pPr>
        <w:pStyle w:val="Heading4"/>
      </w:pPr>
      <w:r>
        <w:t>A822066 EUROPSKA PODUZETNIČKA MREŽA</w:t>
      </w:r>
    </w:p>
    <w:tbl>
      <w:tblPr>
        <w:tblStyle w:val="StilTablice"/>
        <w:tblW w:w="10206" w:type="dxa"/>
        <w:jc w:val="center"/>
        <w:tblLook w:val="04A0" w:firstRow="1" w:lastRow="0" w:firstColumn="1" w:lastColumn="0" w:noHBand="0" w:noVBand="1"/>
      </w:tblPr>
      <w:tblGrid>
        <w:gridCol w:w="1660"/>
        <w:gridCol w:w="2034"/>
        <w:gridCol w:w="2033"/>
        <w:gridCol w:w="2034"/>
        <w:gridCol w:w="1222"/>
        <w:gridCol w:w="122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A822066-EUROPSKA PODUZETNIČKA MREŽA</w:t>
            </w:r>
          </w:p>
        </w:tc>
        <w:tc>
          <w:tcPr>
            <w:tcW w:w="2041" w:type="dxa"/>
          </w:tcPr>
          <w:p w:rsidR="005C2091" w:rsidRDefault="00A86293">
            <w:pPr>
              <w:pStyle w:val="CellColumn"/>
              <w:jc w:val="right"/>
            </w:pPr>
            <w:r>
              <w:rPr>
                <w:rFonts w:cs="Times New Roman"/>
              </w:rPr>
              <w:t>305.090</w:t>
            </w:r>
          </w:p>
        </w:tc>
        <w:tc>
          <w:tcPr>
            <w:tcW w:w="2041" w:type="dxa"/>
          </w:tcPr>
          <w:p w:rsidR="005C2091" w:rsidRDefault="00A86293">
            <w:pPr>
              <w:pStyle w:val="CellColumn"/>
              <w:jc w:val="right"/>
            </w:pPr>
            <w:r>
              <w:rPr>
                <w:rFonts w:cs="Times New Roman"/>
              </w:rPr>
              <w:t>276.065</w:t>
            </w:r>
          </w:p>
        </w:tc>
        <w:tc>
          <w:tcPr>
            <w:tcW w:w="2041" w:type="dxa"/>
          </w:tcPr>
          <w:p w:rsidR="005C2091" w:rsidRDefault="00A86293">
            <w:pPr>
              <w:pStyle w:val="CellColumn"/>
              <w:jc w:val="right"/>
            </w:pPr>
            <w:r>
              <w:rPr>
                <w:rFonts w:cs="Times New Roman"/>
              </w:rPr>
              <w:t>284.464</w:t>
            </w:r>
          </w:p>
        </w:tc>
        <w:tc>
          <w:tcPr>
            <w:tcW w:w="1224" w:type="dxa"/>
          </w:tcPr>
          <w:p w:rsidR="005C2091" w:rsidRDefault="00A86293">
            <w:pPr>
              <w:pStyle w:val="CellColumn"/>
              <w:jc w:val="right"/>
            </w:pPr>
            <w:r>
              <w:rPr>
                <w:rFonts w:cs="Times New Roman"/>
              </w:rPr>
              <w:t>103,0</w:t>
            </w:r>
          </w:p>
        </w:tc>
        <w:tc>
          <w:tcPr>
            <w:tcW w:w="1224" w:type="dxa"/>
          </w:tcPr>
          <w:p w:rsidR="005C2091" w:rsidRDefault="00A86293">
            <w:pPr>
              <w:pStyle w:val="CellColumn"/>
              <w:jc w:val="right"/>
            </w:pPr>
            <w:r>
              <w:rPr>
                <w:rFonts w:cs="Times New Roman"/>
              </w:rPr>
              <w:t>93,2</w:t>
            </w:r>
          </w:p>
        </w:tc>
      </w:tr>
    </w:tbl>
    <w:p w:rsidR="005C2091" w:rsidRDefault="005C2091">
      <w:pPr>
        <w:jc w:val="left"/>
      </w:pPr>
    </w:p>
    <w:p w:rsidR="005C2091" w:rsidRDefault="00A86293">
      <w:pPr>
        <w:pStyle w:val="Heading8"/>
        <w:jc w:val="left"/>
      </w:pPr>
      <w:r>
        <w:t>Zakonske i druge pravne osnove</w:t>
      </w:r>
    </w:p>
    <w:p w:rsidR="005C2091" w:rsidRDefault="00A86293">
      <w:r>
        <w:t>COSME program (Programme for the Competitiveness of enterprises and SMEs - Program za konkurentnost poduzeća i malih i srednjih poduzeća) - program Europske unije za financijsko razdoblje 2014.-2020. kojim će se poticati konkurentnost europskih malih i srednjih poduzeća.</w:t>
      </w:r>
    </w:p>
    <w:p w:rsidR="005C2091" w:rsidRDefault="00A86293">
      <w:pPr>
        <w:pStyle w:val="Heading8"/>
        <w:jc w:val="left"/>
      </w:pPr>
      <w:r>
        <w:t>Opis aktivnosti</w:t>
      </w:r>
    </w:p>
    <w:p w:rsidR="005C2091" w:rsidRDefault="00A86293">
      <w:r>
        <w:t>U sklopu Europskog projekta Europska poduzetnička mreža čiji je koordinator Hrvatska gospodarska komora, Hamag-Bicro je ravnopravan partner u konzorciju. Cilj projekta je sustavna podrška poduzetnicima u internacionalizaciji poslovanja i inovacijskim procesima malim i srednjim poduzetnicima. Provedene projektne aktivnosti tijekom 2016. godine su u skladu s planiranim godišnjim pokazateljima.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Lokalni događaji</w:t>
            </w:r>
          </w:p>
        </w:tc>
        <w:tc>
          <w:tcPr>
            <w:tcW w:w="2551" w:type="dxa"/>
          </w:tcPr>
          <w:p w:rsidR="005C2091" w:rsidRDefault="00A86293">
            <w:pPr>
              <w:pStyle w:val="CellColumn"/>
              <w:jc w:val="left"/>
            </w:pPr>
            <w:r>
              <w:rPr>
                <w:rFonts w:cs="Times New Roman"/>
              </w:rPr>
              <w:t>konferencija, radionica, seminar</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9</w:t>
            </w:r>
          </w:p>
        </w:tc>
      </w:tr>
      <w:tr w:rsidR="005C2091">
        <w:trPr>
          <w:jc w:val="center"/>
        </w:trPr>
        <w:tc>
          <w:tcPr>
            <w:tcW w:w="2551" w:type="dxa"/>
          </w:tcPr>
          <w:p w:rsidR="005C2091" w:rsidRDefault="00A86293">
            <w:pPr>
              <w:pStyle w:val="CellColumn"/>
              <w:jc w:val="left"/>
            </w:pPr>
            <w:r>
              <w:rPr>
                <w:rFonts w:cs="Times New Roman"/>
              </w:rPr>
              <w:t>Sudionici na događanjima</w:t>
            </w:r>
          </w:p>
        </w:tc>
        <w:tc>
          <w:tcPr>
            <w:tcW w:w="2551" w:type="dxa"/>
          </w:tcPr>
          <w:p w:rsidR="005C2091" w:rsidRDefault="005C2091">
            <w:pPr>
              <w:jc w:val="left"/>
            </w:pP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400</w:t>
            </w:r>
          </w:p>
        </w:tc>
        <w:tc>
          <w:tcPr>
            <w:tcW w:w="1020" w:type="dxa"/>
          </w:tcPr>
          <w:p w:rsidR="005C2091" w:rsidRDefault="00A86293">
            <w:pPr>
              <w:pStyle w:val="CellColumn"/>
              <w:jc w:val="right"/>
            </w:pPr>
            <w:r>
              <w:rPr>
                <w:rFonts w:cs="Times New Roman"/>
              </w:rPr>
              <w:t>420</w:t>
            </w:r>
          </w:p>
        </w:tc>
      </w:tr>
      <w:tr w:rsidR="005C2091">
        <w:trPr>
          <w:jc w:val="center"/>
        </w:trPr>
        <w:tc>
          <w:tcPr>
            <w:tcW w:w="2551" w:type="dxa"/>
          </w:tcPr>
          <w:p w:rsidR="005C2091" w:rsidRDefault="00A86293">
            <w:pPr>
              <w:pStyle w:val="CellColumn"/>
              <w:jc w:val="left"/>
            </w:pPr>
            <w:r>
              <w:rPr>
                <w:rFonts w:cs="Times New Roman"/>
              </w:rPr>
              <w:t>klijenti kojima je pružena savjetodavna podrška</w:t>
            </w:r>
          </w:p>
        </w:tc>
        <w:tc>
          <w:tcPr>
            <w:tcW w:w="2551" w:type="dxa"/>
          </w:tcPr>
          <w:p w:rsidR="005C2091" w:rsidRDefault="00A86293">
            <w:pPr>
              <w:pStyle w:val="CellColumn"/>
              <w:jc w:val="left"/>
            </w:pPr>
            <w:r>
              <w:rPr>
                <w:rFonts w:cs="Times New Roman"/>
              </w:rPr>
              <w:t>klijenti-tvrtke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52</w:t>
            </w:r>
          </w:p>
        </w:tc>
      </w:tr>
      <w:tr w:rsidR="005C2091">
        <w:trPr>
          <w:jc w:val="center"/>
        </w:trPr>
        <w:tc>
          <w:tcPr>
            <w:tcW w:w="2551" w:type="dxa"/>
          </w:tcPr>
          <w:p w:rsidR="005C2091" w:rsidRDefault="00A86293">
            <w:pPr>
              <w:pStyle w:val="CellColumn"/>
              <w:jc w:val="left"/>
            </w:pPr>
            <w:r>
              <w:rPr>
                <w:rFonts w:cs="Times New Roman"/>
              </w:rPr>
              <w:t>multilateralni sastanci</w:t>
            </w:r>
          </w:p>
        </w:tc>
        <w:tc>
          <w:tcPr>
            <w:tcW w:w="2551" w:type="dxa"/>
          </w:tcPr>
          <w:p w:rsidR="005C2091" w:rsidRDefault="005C2091">
            <w:pPr>
              <w:jc w:val="left"/>
            </w:pP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3</w:t>
            </w:r>
          </w:p>
        </w:tc>
        <w:tc>
          <w:tcPr>
            <w:tcW w:w="1020" w:type="dxa"/>
          </w:tcPr>
          <w:p w:rsidR="005C2091" w:rsidRDefault="00A86293">
            <w:pPr>
              <w:pStyle w:val="CellColumn"/>
              <w:jc w:val="right"/>
            </w:pPr>
            <w:r>
              <w:rPr>
                <w:rFonts w:cs="Times New Roman"/>
              </w:rPr>
              <w:t>4</w:t>
            </w:r>
          </w:p>
        </w:tc>
      </w:tr>
      <w:tr w:rsidR="005C2091">
        <w:trPr>
          <w:jc w:val="center"/>
        </w:trPr>
        <w:tc>
          <w:tcPr>
            <w:tcW w:w="2551" w:type="dxa"/>
          </w:tcPr>
          <w:p w:rsidR="005C2091" w:rsidRDefault="00A86293">
            <w:pPr>
              <w:pStyle w:val="CellColumn"/>
              <w:jc w:val="left"/>
            </w:pPr>
            <w:r>
              <w:rPr>
                <w:rFonts w:cs="Times New Roman"/>
              </w:rPr>
              <w:lastRenderedPageBreak/>
              <w:t>broj sudionika na multilateralnim sastancima</w:t>
            </w:r>
          </w:p>
        </w:tc>
        <w:tc>
          <w:tcPr>
            <w:tcW w:w="2551" w:type="dxa"/>
          </w:tcPr>
          <w:p w:rsidR="005C2091" w:rsidRDefault="00A86293">
            <w:pPr>
              <w:pStyle w:val="CellColumn"/>
              <w:jc w:val="left"/>
            </w:pPr>
            <w:r>
              <w:rPr>
                <w:rFonts w:cs="Times New Roman"/>
              </w:rPr>
              <w:t>SME tvrtke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45</w:t>
            </w:r>
          </w:p>
        </w:tc>
        <w:tc>
          <w:tcPr>
            <w:tcW w:w="1020" w:type="dxa"/>
          </w:tcPr>
          <w:p w:rsidR="005C2091" w:rsidRDefault="00A86293">
            <w:pPr>
              <w:pStyle w:val="CellColumn"/>
              <w:jc w:val="right"/>
            </w:pPr>
            <w:r>
              <w:rPr>
                <w:rFonts w:cs="Times New Roman"/>
              </w:rPr>
              <w:t>94</w:t>
            </w:r>
          </w:p>
        </w:tc>
      </w:tr>
    </w:tbl>
    <w:p w:rsidR="005C2091" w:rsidRDefault="005C2091">
      <w:pPr>
        <w:jc w:val="left"/>
      </w:pPr>
    </w:p>
    <w:p w:rsidR="005C2091" w:rsidRDefault="00A86293">
      <w:pPr>
        <w:pStyle w:val="Heading4"/>
      </w:pPr>
      <w:r>
        <w:t>A822067 EUROPSKI PROJEKTI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A822067-EUROPSKI PROJEKTI</w:t>
            </w:r>
          </w:p>
        </w:tc>
        <w:tc>
          <w:tcPr>
            <w:tcW w:w="2041" w:type="dxa"/>
          </w:tcPr>
          <w:p w:rsidR="005C2091" w:rsidRDefault="00A86293">
            <w:pPr>
              <w:pStyle w:val="CellColumn"/>
              <w:jc w:val="right"/>
            </w:pPr>
            <w:r>
              <w:rPr>
                <w:rFonts w:cs="Times New Roman"/>
              </w:rPr>
              <w:t>310.428</w:t>
            </w:r>
          </w:p>
        </w:tc>
        <w:tc>
          <w:tcPr>
            <w:tcW w:w="2041" w:type="dxa"/>
          </w:tcPr>
          <w:p w:rsidR="005C2091" w:rsidRDefault="00A86293">
            <w:pPr>
              <w:pStyle w:val="CellColumn"/>
              <w:jc w:val="right"/>
            </w:pPr>
            <w:r>
              <w:rPr>
                <w:rFonts w:cs="Times New Roman"/>
              </w:rPr>
              <w:t>115.506</w:t>
            </w:r>
          </w:p>
        </w:tc>
        <w:tc>
          <w:tcPr>
            <w:tcW w:w="2041" w:type="dxa"/>
          </w:tcPr>
          <w:p w:rsidR="005C2091" w:rsidRDefault="00A86293">
            <w:pPr>
              <w:pStyle w:val="CellColumn"/>
              <w:jc w:val="right"/>
            </w:pPr>
            <w:r>
              <w:rPr>
                <w:rFonts w:cs="Times New Roman"/>
              </w:rPr>
              <w:t>154.429</w:t>
            </w:r>
          </w:p>
        </w:tc>
        <w:tc>
          <w:tcPr>
            <w:tcW w:w="1224" w:type="dxa"/>
          </w:tcPr>
          <w:p w:rsidR="005C2091" w:rsidRDefault="00A86293">
            <w:pPr>
              <w:pStyle w:val="CellColumn"/>
              <w:jc w:val="right"/>
            </w:pPr>
            <w:r>
              <w:rPr>
                <w:rFonts w:cs="Times New Roman"/>
              </w:rPr>
              <w:t>133,7</w:t>
            </w:r>
          </w:p>
        </w:tc>
        <w:tc>
          <w:tcPr>
            <w:tcW w:w="1224" w:type="dxa"/>
          </w:tcPr>
          <w:p w:rsidR="005C2091" w:rsidRDefault="00A86293">
            <w:pPr>
              <w:pStyle w:val="CellColumn"/>
              <w:jc w:val="right"/>
            </w:pPr>
            <w:r>
              <w:rPr>
                <w:rFonts w:cs="Times New Roman"/>
              </w:rPr>
              <w:t>49,7</w:t>
            </w:r>
          </w:p>
        </w:tc>
      </w:tr>
    </w:tbl>
    <w:p w:rsidR="005C2091" w:rsidRDefault="005C2091">
      <w:pPr>
        <w:jc w:val="left"/>
      </w:pPr>
    </w:p>
    <w:p w:rsidR="005C2091" w:rsidRDefault="00A86293">
      <w:pPr>
        <w:pStyle w:val="Heading8"/>
        <w:jc w:val="left"/>
      </w:pPr>
      <w:r>
        <w:t>Zakonske i druge pravne osnove</w:t>
      </w:r>
    </w:p>
    <w:p w:rsidR="005C2091" w:rsidRDefault="00A86293">
      <w:r>
        <w:t>Uredba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w:t>
      </w:r>
    </w:p>
    <w:p w:rsidR="005C2091" w:rsidRDefault="00A86293">
      <w:pPr>
        <w:pStyle w:val="Heading8"/>
        <w:jc w:val="left"/>
      </w:pPr>
      <w:r>
        <w:t>Opis aktivnosti</w:t>
      </w:r>
    </w:p>
    <w:p w:rsidR="005C2091" w:rsidRDefault="00A86293">
      <w:r>
        <w:t xml:space="preserve">Od planiranih projekata tijekom 2016. je odobren samo jedan, dok su drugi započeli tek u siječnju 2017. </w:t>
      </w:r>
    </w:p>
    <w:p w:rsidR="005C2091" w:rsidRDefault="00A86293">
      <w:r>
        <w:t>PPI2Innovate - Projekt naziva Capacity building to boost usage of PPI in Central Europe provodi se u 6 država i ima za cilj suradnju oko poticaja inovacija kako bi se Srednja Europa učinila konkurentnijom. Poboljšanje održivih poveznica između dionika inovacijskog sustava s ciljem jačanja regionalnih inovacijskih kapaciteta u Srednjoj Europi. Projekt je započeo 01.06.2016. a trajat će 36 mjeseci.</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međunarodnih projekata</w:t>
            </w:r>
          </w:p>
        </w:tc>
        <w:tc>
          <w:tcPr>
            <w:tcW w:w="2551" w:type="dxa"/>
          </w:tcPr>
          <w:p w:rsidR="005C2091" w:rsidRDefault="00A86293">
            <w:pPr>
              <w:pStyle w:val="CellColumn"/>
              <w:jc w:val="left"/>
            </w:pPr>
            <w:r>
              <w:rPr>
                <w:rFonts w:cs="Times New Roman"/>
              </w:rPr>
              <w:t>projekti u provedbi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bl>
    <w:p w:rsidR="005C2091" w:rsidRDefault="005C2091">
      <w:pPr>
        <w:jc w:val="left"/>
      </w:pPr>
    </w:p>
    <w:p w:rsidR="005C2091" w:rsidRDefault="00A86293">
      <w:pPr>
        <w:pStyle w:val="Heading4"/>
      </w:pPr>
      <w:r>
        <w:t>A822072 OP KONKURENTNOST I KOHEZIJA 2014.2020.-PT2</w:t>
      </w:r>
    </w:p>
    <w:tbl>
      <w:tblPr>
        <w:tblStyle w:val="StilTablice"/>
        <w:tblW w:w="10206" w:type="dxa"/>
        <w:jc w:val="center"/>
        <w:tblLook w:val="04A0" w:firstRow="1" w:lastRow="0" w:firstColumn="1" w:lastColumn="0" w:noHBand="0" w:noVBand="1"/>
      </w:tblPr>
      <w:tblGrid>
        <w:gridCol w:w="1882"/>
        <w:gridCol w:w="1965"/>
        <w:gridCol w:w="1969"/>
        <w:gridCol w:w="1969"/>
        <w:gridCol w:w="1207"/>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A822072-OP KONKURENTNOST I KOHEZIJA 2014.2020.-PT2</w:t>
            </w:r>
          </w:p>
        </w:tc>
        <w:tc>
          <w:tcPr>
            <w:tcW w:w="2041" w:type="dxa"/>
          </w:tcPr>
          <w:p w:rsidR="005C2091" w:rsidRDefault="00A86293">
            <w:pPr>
              <w:pStyle w:val="CellColumn"/>
              <w:jc w:val="right"/>
            </w:pPr>
            <w:r>
              <w:rPr>
                <w:rFonts w:cs="Times New Roman"/>
              </w:rPr>
              <w:t>862.277</w:t>
            </w:r>
          </w:p>
        </w:tc>
        <w:tc>
          <w:tcPr>
            <w:tcW w:w="2041" w:type="dxa"/>
          </w:tcPr>
          <w:p w:rsidR="005C2091" w:rsidRDefault="00A86293">
            <w:pPr>
              <w:pStyle w:val="CellColumn"/>
              <w:jc w:val="right"/>
            </w:pPr>
            <w:r>
              <w:rPr>
                <w:rFonts w:cs="Times New Roman"/>
              </w:rPr>
              <w:t>3.822.528</w:t>
            </w:r>
          </w:p>
        </w:tc>
        <w:tc>
          <w:tcPr>
            <w:tcW w:w="2041" w:type="dxa"/>
          </w:tcPr>
          <w:p w:rsidR="005C2091" w:rsidRDefault="00A86293">
            <w:pPr>
              <w:pStyle w:val="CellColumn"/>
              <w:jc w:val="right"/>
            </w:pPr>
            <w:r>
              <w:rPr>
                <w:rFonts w:cs="Times New Roman"/>
              </w:rPr>
              <w:t>3.822.496</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443,3</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uspostavi institucionalnog okvira za provedbu europskih strukturnih i investicijskih fondova u RH u financijskom razdoblju 2014.-2020. (NN 92/14);  </w:t>
      </w:r>
    </w:p>
    <w:p w:rsidR="005C2091" w:rsidRDefault="00A86293">
      <w:r>
        <w:lastRenderedPageBreak/>
        <w:t>Uredba o tijelima u sustavu upravljanja i kontrole korištenja ESF, EFRR i KF, u vezi sa ciljem "Ulaganja za rast i radna mjesta" (NN 107/14 i 23/15).</w:t>
      </w:r>
    </w:p>
    <w:p w:rsidR="005C2091" w:rsidRDefault="00A86293">
      <w:pPr>
        <w:pStyle w:val="Heading8"/>
        <w:jc w:val="left"/>
      </w:pPr>
      <w:r>
        <w:t>Opis aktivnosti</w:t>
      </w:r>
    </w:p>
    <w:p w:rsidR="005C2091" w:rsidRDefault="00A86293">
      <w:r>
        <w:t>Projekt „Tehnička pomoć za Hrvatsku agenciju za malo gospodarstvo, inovacije i investicije (HAMAG-BICRO) “ ima za cilj izgradnju i jačanje institucionalnih kapaciteta HAMAG-BICRO-a te pružanje potrebne stručne potpore aktivnostima koje agencija provodi u svojstvu Posredničkog tijela razine 2. (PT2) sustava upravljanja i kontrole OP „Konkurentnost i kohezija 2014.-2020.“ (OPKK):  provjeri prijavitelja i projektnih prijedloga te njihovog ocjenjivanja i/ili upravljanja i izvršavanja ugovora o dodjeli bespovratnih sredstava te informacijske podrške korisnicima i potencijalnim korisnicima.</w:t>
      </w:r>
    </w:p>
    <w:p w:rsidR="00492B40" w:rsidRDefault="00492B40"/>
    <w:p w:rsidR="00492B40" w:rsidRDefault="00492B40"/>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12"/>
        <w:gridCol w:w="2504"/>
        <w:gridCol w:w="1013"/>
        <w:gridCol w:w="1017"/>
        <w:gridCol w:w="1126"/>
        <w:gridCol w:w="1017"/>
        <w:gridCol w:w="1017"/>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Akreditacija HAMAG-BICRO</w:t>
            </w:r>
          </w:p>
        </w:tc>
        <w:tc>
          <w:tcPr>
            <w:tcW w:w="2551" w:type="dxa"/>
          </w:tcPr>
          <w:p w:rsidR="005C2091" w:rsidRDefault="00A86293">
            <w:pPr>
              <w:pStyle w:val="CellColumn"/>
              <w:jc w:val="left"/>
            </w:pPr>
            <w:r>
              <w:rPr>
                <w:rFonts w:cs="Times New Roman"/>
              </w:rPr>
              <w:t>dobivanje dozvole za rad</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Ministarstvo regionalnog razvoja i fondova EU</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r w:rsidR="005C2091">
        <w:trPr>
          <w:jc w:val="center"/>
        </w:trPr>
        <w:tc>
          <w:tcPr>
            <w:tcW w:w="2551" w:type="dxa"/>
          </w:tcPr>
          <w:p w:rsidR="005C2091" w:rsidRDefault="00A86293">
            <w:pPr>
              <w:pStyle w:val="CellColumn"/>
              <w:jc w:val="left"/>
            </w:pPr>
            <w:r>
              <w:rPr>
                <w:rFonts w:cs="Times New Roman"/>
              </w:rPr>
              <w:t>Broj radnika čije plaće se sufinanciraju iz tehničke pomoći</w:t>
            </w:r>
          </w:p>
        </w:tc>
        <w:tc>
          <w:tcPr>
            <w:tcW w:w="2551" w:type="dxa"/>
          </w:tcPr>
          <w:p w:rsidR="005C2091" w:rsidRDefault="005C2091">
            <w:pPr>
              <w:jc w:val="left"/>
            </w:pP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79</w:t>
            </w:r>
          </w:p>
        </w:tc>
        <w:tc>
          <w:tcPr>
            <w:tcW w:w="1020" w:type="dxa"/>
          </w:tcPr>
          <w:p w:rsidR="005C2091" w:rsidRDefault="00A86293">
            <w:pPr>
              <w:pStyle w:val="CellColumn"/>
              <w:jc w:val="right"/>
            </w:pPr>
            <w:r>
              <w:rPr>
                <w:rFonts w:cs="Times New Roman"/>
              </w:rPr>
              <w:t>77</w:t>
            </w:r>
          </w:p>
        </w:tc>
      </w:tr>
    </w:tbl>
    <w:p w:rsidR="005C2091" w:rsidRDefault="005C2091">
      <w:pPr>
        <w:jc w:val="left"/>
      </w:pPr>
    </w:p>
    <w:p w:rsidR="0009736B" w:rsidRDefault="0009736B">
      <w:pPr>
        <w:jc w:val="left"/>
      </w:pPr>
    </w:p>
    <w:p w:rsidR="005C2091" w:rsidRDefault="00A86293">
      <w:pPr>
        <w:pStyle w:val="Heading4"/>
      </w:pPr>
      <w:r>
        <w:t>A822073 REGIONALNI INOVACIJSKI FOND - ENIF</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A822073-REGIONALNI INOVACIJSKI FOND - ENIF</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491.232</w:t>
            </w:r>
          </w:p>
        </w:tc>
        <w:tc>
          <w:tcPr>
            <w:tcW w:w="2041" w:type="dxa"/>
          </w:tcPr>
          <w:p w:rsidR="005C2091" w:rsidRDefault="00A86293">
            <w:pPr>
              <w:pStyle w:val="CellColumn"/>
              <w:jc w:val="right"/>
            </w:pPr>
            <w:r>
              <w:rPr>
                <w:rFonts w:cs="Times New Roman"/>
              </w:rPr>
              <w:t>491.231</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Odluka o davanju suglasnosti Ministarstvu poduzetništva i obrta, Hrvatskoj agenciji za malo gospodarstvo, inovacije i investicije za preuzimanje obveza na teret sredstava državnog proračuna za razdoblje od 2016. do 2024. godine za ulaganje u Enterprise Innovation Fund C.V. usvojenoj na 235. sjednici Vlade RH održanoj 08.07.2015. godine.</w:t>
      </w:r>
    </w:p>
    <w:p w:rsidR="005C2091" w:rsidRDefault="00A86293">
      <w:pPr>
        <w:pStyle w:val="Heading8"/>
        <w:jc w:val="left"/>
      </w:pPr>
      <w:r>
        <w:t>Opis aktivnosti</w:t>
      </w:r>
    </w:p>
    <w:p w:rsidR="005C2091" w:rsidRDefault="00A86293">
      <w:r>
        <w:t>Enterprise Innovation Fund (ENIF) predstavlja zajedničku inicijativu Europske komisije, Europskog investicijskog fonda (EIF) i Europske banke za obnovu i razvoj (EBRD) kojom se osniva prvi regionalni fond poduzetničkog kapitala (Venture Capital). Najveći pojedinačni ulagači u Fond su Europska komisija, EIF i EBRD, a pored njih sredstva ulažu i zemlje sudionice, koje su ujedno i zemlje u koje će fond ulagati sredstva, a riječ je o Republici Hrvatskoj, Bosni i Hercegovini, Srbiji, Kosovu, Makedoniji i Albaniji. Na međunarodnom natječaju je odabran Upravitelj koji će u ime i za račun ulagatelja upravljati Fondom. Projekt ENIF je odobren od strane Europske komisije kroz Multy IPA Beneficiary.</w:t>
      </w:r>
    </w:p>
    <w:p w:rsidR="005C2091" w:rsidRDefault="00A86293">
      <w:pPr>
        <w:pStyle w:val="Heading8"/>
        <w:jc w:val="left"/>
      </w:pPr>
      <w:r>
        <w:lastRenderedPageBreak/>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9736B" w:rsidTr="0009736B">
        <w:trPr>
          <w:jc w:val="center"/>
        </w:trPr>
        <w:tc>
          <w:tcPr>
            <w:tcW w:w="2553" w:type="dxa"/>
            <w:shd w:val="clear" w:color="auto" w:fill="B5C0D8"/>
          </w:tcPr>
          <w:p w:rsidR="0009736B" w:rsidRDefault="0009736B">
            <w:pPr>
              <w:jc w:val="center"/>
            </w:pPr>
            <w:r>
              <w:t>Pokazatelj rezultata</w:t>
            </w:r>
          </w:p>
        </w:tc>
        <w:tc>
          <w:tcPr>
            <w:tcW w:w="1020" w:type="dxa"/>
            <w:shd w:val="clear" w:color="auto" w:fill="B5C0D8"/>
          </w:tcPr>
          <w:p w:rsidR="0009736B" w:rsidRDefault="0009736B">
            <w:pPr>
              <w:pStyle w:val="CellHeader"/>
              <w:jc w:val="center"/>
            </w:pPr>
            <w:r>
              <w:rPr>
                <w:rFonts w:cs="Times New Roman"/>
              </w:rPr>
              <w:t>Jedinica</w:t>
            </w:r>
          </w:p>
        </w:tc>
        <w:tc>
          <w:tcPr>
            <w:tcW w:w="1020" w:type="dxa"/>
            <w:shd w:val="clear" w:color="auto" w:fill="B5C0D8"/>
          </w:tcPr>
          <w:p w:rsidR="0009736B" w:rsidRDefault="0009736B">
            <w:pPr>
              <w:pStyle w:val="CellHeader"/>
              <w:jc w:val="center"/>
            </w:pPr>
            <w:r>
              <w:rPr>
                <w:rFonts w:cs="Times New Roman"/>
              </w:rPr>
              <w:t>Polazna vrijednost</w:t>
            </w:r>
          </w:p>
        </w:tc>
        <w:tc>
          <w:tcPr>
            <w:tcW w:w="1020" w:type="dxa"/>
            <w:shd w:val="clear" w:color="auto" w:fill="B5C0D8"/>
          </w:tcPr>
          <w:p w:rsidR="0009736B" w:rsidRDefault="0009736B">
            <w:pPr>
              <w:pStyle w:val="CellHeader"/>
              <w:jc w:val="center"/>
            </w:pPr>
            <w:r>
              <w:rPr>
                <w:rFonts w:cs="Times New Roman"/>
              </w:rPr>
              <w:t>Izvor podataka</w:t>
            </w:r>
          </w:p>
        </w:tc>
        <w:tc>
          <w:tcPr>
            <w:tcW w:w="1020" w:type="dxa"/>
            <w:shd w:val="clear" w:color="auto" w:fill="B5C0D8"/>
          </w:tcPr>
          <w:p w:rsidR="0009736B" w:rsidRDefault="0009736B">
            <w:pPr>
              <w:pStyle w:val="CellHeader"/>
              <w:jc w:val="center"/>
            </w:pPr>
            <w:r>
              <w:rPr>
                <w:rFonts w:cs="Times New Roman"/>
              </w:rPr>
              <w:t>Ciljana vrijednost (2016.)</w:t>
            </w:r>
          </w:p>
        </w:tc>
        <w:tc>
          <w:tcPr>
            <w:tcW w:w="1020" w:type="dxa"/>
            <w:shd w:val="clear" w:color="auto" w:fill="B5C0D8"/>
          </w:tcPr>
          <w:p w:rsidR="0009736B" w:rsidRDefault="0009736B">
            <w:pPr>
              <w:pStyle w:val="CellHeader"/>
              <w:jc w:val="center"/>
            </w:pPr>
            <w:r>
              <w:rPr>
                <w:rFonts w:cs="Times New Roman"/>
              </w:rPr>
              <w:t>Ostvarena vrijednost (2016.)</w:t>
            </w:r>
          </w:p>
        </w:tc>
      </w:tr>
      <w:tr w:rsidR="0009736B" w:rsidTr="0009736B">
        <w:trPr>
          <w:jc w:val="center"/>
        </w:trPr>
        <w:tc>
          <w:tcPr>
            <w:tcW w:w="2553" w:type="dxa"/>
          </w:tcPr>
          <w:p w:rsidR="0009736B" w:rsidRDefault="0009736B">
            <w:pPr>
              <w:pStyle w:val="CellColumn"/>
              <w:jc w:val="left"/>
            </w:pPr>
            <w:r>
              <w:rPr>
                <w:rFonts w:cs="Times New Roman"/>
              </w:rPr>
              <w:t>Izvršena ulaganja u inovativne tvrtke</w:t>
            </w:r>
          </w:p>
        </w:tc>
        <w:tc>
          <w:tcPr>
            <w:tcW w:w="1020" w:type="dxa"/>
          </w:tcPr>
          <w:p w:rsidR="0009736B" w:rsidRDefault="0009736B">
            <w:pPr>
              <w:pStyle w:val="CellColumn"/>
              <w:jc w:val="right"/>
            </w:pPr>
            <w:r>
              <w:rPr>
                <w:rFonts w:cs="Times New Roman"/>
              </w:rPr>
              <w:t>broj</w:t>
            </w:r>
          </w:p>
        </w:tc>
        <w:tc>
          <w:tcPr>
            <w:tcW w:w="1020" w:type="dxa"/>
          </w:tcPr>
          <w:p w:rsidR="0009736B" w:rsidRDefault="0009736B">
            <w:pPr>
              <w:pStyle w:val="CellColumn"/>
              <w:jc w:val="right"/>
            </w:pPr>
            <w:r>
              <w:rPr>
                <w:rFonts w:cs="Times New Roman"/>
              </w:rPr>
              <w:t>0</w:t>
            </w:r>
          </w:p>
        </w:tc>
        <w:tc>
          <w:tcPr>
            <w:tcW w:w="1020" w:type="dxa"/>
          </w:tcPr>
          <w:p w:rsidR="0009736B" w:rsidRDefault="0009736B">
            <w:pPr>
              <w:pStyle w:val="CellColumn"/>
              <w:jc w:val="right"/>
            </w:pPr>
            <w:r>
              <w:rPr>
                <w:rFonts w:cs="Times New Roman"/>
              </w:rPr>
              <w:t>HAMAG-BICRO</w:t>
            </w:r>
          </w:p>
        </w:tc>
        <w:tc>
          <w:tcPr>
            <w:tcW w:w="1020" w:type="dxa"/>
          </w:tcPr>
          <w:p w:rsidR="0009736B" w:rsidRDefault="0009736B">
            <w:pPr>
              <w:pStyle w:val="CellColumn"/>
              <w:jc w:val="right"/>
            </w:pPr>
            <w:r>
              <w:rPr>
                <w:rFonts w:cs="Times New Roman"/>
              </w:rPr>
              <w:t>5</w:t>
            </w:r>
          </w:p>
        </w:tc>
        <w:tc>
          <w:tcPr>
            <w:tcW w:w="1020" w:type="dxa"/>
          </w:tcPr>
          <w:p w:rsidR="0009736B" w:rsidRDefault="0009736B">
            <w:pPr>
              <w:pStyle w:val="CellColumn"/>
              <w:jc w:val="right"/>
            </w:pPr>
            <w:r>
              <w:rPr>
                <w:rFonts w:cs="Times New Roman"/>
              </w:rPr>
              <w:t>5</w:t>
            </w:r>
          </w:p>
        </w:tc>
      </w:tr>
    </w:tbl>
    <w:p w:rsidR="005C2091" w:rsidRDefault="005C2091">
      <w:pPr>
        <w:jc w:val="left"/>
      </w:pPr>
    </w:p>
    <w:p w:rsidR="005C2091" w:rsidRDefault="00A86293">
      <w:pPr>
        <w:pStyle w:val="Heading4"/>
      </w:pPr>
      <w:r>
        <w:t>A822080 PROGRAM EUROSTARS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A822080-PROGRAM EUROSTARS</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244.456</w:t>
            </w:r>
          </w:p>
        </w:tc>
        <w:tc>
          <w:tcPr>
            <w:tcW w:w="2041" w:type="dxa"/>
          </w:tcPr>
          <w:p w:rsidR="005C2091" w:rsidRDefault="00A86293">
            <w:pPr>
              <w:pStyle w:val="CellColumn"/>
              <w:jc w:val="right"/>
            </w:pPr>
            <w:r>
              <w:rPr>
                <w:rFonts w:cs="Times New Roman"/>
              </w:rPr>
              <w:t>244.455</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Osnovan je 1985. godine Hannoverskom deklaracijom od strane 17 europskih zemalja i članica Komisije Europske Zajednice.</w:t>
      </w:r>
    </w:p>
    <w:p w:rsidR="005C2091" w:rsidRDefault="00A86293">
      <w:pPr>
        <w:pStyle w:val="Heading8"/>
        <w:jc w:val="left"/>
      </w:pPr>
      <w:r>
        <w:t>Opis aktivnosti</w:t>
      </w:r>
    </w:p>
    <w:p w:rsidR="005C2091" w:rsidRDefault="00A86293">
      <w:r>
        <w:t>Program Eurostars (podprogram EUREKA-e) je namijenjen poticanju međunarodne suradnje istraživačko-razvojnih malih i srednjih poduzeća s međunarodnim partnerima. Razlika u odnosu na EUREKA program je centralizirana prijava i tehnološka evaluacija svih projekata iz svih zemalja članica programa koju radi EUREKA tajništvo, dok financijsku evaluaciju radi HAMAG-BICRO. Projekti se natječu sa projektima iz svih zemalja. Također, za program Eurostars, Europska komisija refundira država članicama do 25% njihovih troškova za financiranje inovativnih projekata.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ugovorenih projekata</w:t>
            </w:r>
          </w:p>
        </w:tc>
        <w:tc>
          <w:tcPr>
            <w:tcW w:w="2551" w:type="dxa"/>
          </w:tcPr>
          <w:p w:rsidR="005C2091" w:rsidRDefault="00A86293">
            <w:pPr>
              <w:pStyle w:val="CellColumn"/>
              <w:jc w:val="left"/>
            </w:pPr>
            <w:r>
              <w:rPr>
                <w:rFonts w:cs="Times New Roman"/>
              </w:rPr>
              <w:t>Potpisan ugovor s korisnikom</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bl>
    <w:p w:rsidR="005C2091" w:rsidRDefault="005C2091">
      <w:pPr>
        <w:jc w:val="left"/>
      </w:pPr>
    </w:p>
    <w:p w:rsidR="005C2091" w:rsidRDefault="00A86293">
      <w:pPr>
        <w:pStyle w:val="Heading4"/>
      </w:pPr>
      <w:r>
        <w:t>A822081 PROGRAM EUREKA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A822081-PROGRAM EUREKA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673.203</w:t>
            </w:r>
          </w:p>
        </w:tc>
        <w:tc>
          <w:tcPr>
            <w:tcW w:w="2041" w:type="dxa"/>
          </w:tcPr>
          <w:p w:rsidR="005C2091" w:rsidRDefault="00A86293">
            <w:pPr>
              <w:pStyle w:val="CellColumn"/>
              <w:jc w:val="right"/>
            </w:pPr>
            <w:r>
              <w:rPr>
                <w:rFonts w:cs="Times New Roman"/>
              </w:rPr>
              <w:t>673.201</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lastRenderedPageBreak/>
        <w:t>Zakonske i druge pravne osnove</w:t>
      </w:r>
    </w:p>
    <w:p w:rsidR="005C2091" w:rsidRDefault="00A86293">
      <w:r>
        <w:t>Osnovan je 1985. godine Hannoverskom deklaracijom od strane 17 europskih zemalja i članica Komisije Europske Zajednice.</w:t>
      </w:r>
    </w:p>
    <w:p w:rsidR="005C2091" w:rsidRDefault="00A86293">
      <w:pPr>
        <w:pStyle w:val="Heading8"/>
        <w:jc w:val="left"/>
      </w:pPr>
      <w:r>
        <w:t>Opis aktivnosti</w:t>
      </w:r>
    </w:p>
    <w:p w:rsidR="005C2091" w:rsidRDefault="00A86293">
      <w:r>
        <w:t>EUREKA je europska inicijativa za financiranje tržišno-orijentiranih projekata različitih tehnologijskih područja. EUREKA pomaže izgradnji partnerstava kroz zajedničke multilateralne projekte u cilju jačanja europske konkurentnosti. Partneri moraju biti iz najmanje dvije različite zemlje članice programa. Ciljevi programa su potaknuti tvrtke na ulaganje u aktivnosti istraživanja i razvoja te na taj način jačati njihov inovacijski kapacitet, potaknuti suradnju i ujedinjavanje resursa poduzetnika na međunarodnoj razini te stvoriti temelje za međunarodni tržišni plasman. Rezultati projekata su novi proizvodi ili usluge koji promiču napredne tehnologije i imaju svoje mjesto na tržištu. Svaka država ocjenjuje svoje natjecatelje koji se natječaju na razini Hrvatske (HAMAG-BICRO organizira ocjenjivanje HR natjecatelja).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ugovorenih projekata</w:t>
            </w:r>
          </w:p>
        </w:tc>
        <w:tc>
          <w:tcPr>
            <w:tcW w:w="2551" w:type="dxa"/>
          </w:tcPr>
          <w:p w:rsidR="005C2091" w:rsidRDefault="00A86293">
            <w:pPr>
              <w:pStyle w:val="CellColumn"/>
              <w:jc w:val="left"/>
            </w:pPr>
            <w:r>
              <w:rPr>
                <w:rFonts w:cs="Times New Roman"/>
              </w:rPr>
              <w:t>Potpisan ugovor s korisnikom</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HAMAG-BICRO</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4</w:t>
            </w:r>
          </w:p>
        </w:tc>
      </w:tr>
    </w:tbl>
    <w:p w:rsidR="005C2091" w:rsidRDefault="005C2091">
      <w:pPr>
        <w:jc w:val="left"/>
      </w:pPr>
    </w:p>
    <w:p w:rsidR="005C2091" w:rsidRDefault="00A86293">
      <w:pPr>
        <w:pStyle w:val="Heading4"/>
      </w:pPr>
      <w:r>
        <w:t>A822082 OP KONKURENTNOST I KOHEZIJA - POJEDINAČNO JAMSTVO BEZ SUBVENCIJE KAMATNE STOPE</w:t>
      </w:r>
    </w:p>
    <w:tbl>
      <w:tblPr>
        <w:tblStyle w:val="StilTablice"/>
        <w:tblW w:w="10206" w:type="dxa"/>
        <w:jc w:val="center"/>
        <w:tblLook w:val="04A0" w:firstRow="1" w:lastRow="0" w:firstColumn="1" w:lastColumn="0" w:noHBand="0" w:noVBand="1"/>
      </w:tblPr>
      <w:tblGrid>
        <w:gridCol w:w="1881"/>
        <w:gridCol w:w="1959"/>
        <w:gridCol w:w="1970"/>
        <w:gridCol w:w="1977"/>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A822082-OP KONKURENTNOST I KOHEZIJA - POJEDINAČNO JAMSTVO BEZ SUBVENCIJE KAMATNE STOPE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54.377.879</w:t>
            </w:r>
          </w:p>
        </w:tc>
        <w:tc>
          <w:tcPr>
            <w:tcW w:w="2041" w:type="dxa"/>
          </w:tcPr>
          <w:p w:rsidR="005C2091" w:rsidRDefault="00A86293">
            <w:pPr>
              <w:pStyle w:val="CellColumn"/>
              <w:jc w:val="right"/>
            </w:pPr>
            <w:r>
              <w:rPr>
                <w:rFonts w:cs="Times New Roman"/>
              </w:rPr>
              <w:t>274.750.619</w:t>
            </w:r>
          </w:p>
        </w:tc>
        <w:tc>
          <w:tcPr>
            <w:tcW w:w="1224" w:type="dxa"/>
          </w:tcPr>
          <w:p w:rsidR="005C2091" w:rsidRDefault="00A86293">
            <w:pPr>
              <w:pStyle w:val="CellColumn"/>
              <w:jc w:val="right"/>
            </w:pPr>
            <w:r>
              <w:rPr>
                <w:rFonts w:cs="Times New Roman"/>
              </w:rPr>
              <w:t>505,3</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Odluka Vlade Republike Hrvatske o usvajanju programa "ESIF jamstva" i programa "ESIF mikro i mali zajmovi" (NN 62/16).</w:t>
      </w:r>
    </w:p>
    <w:p w:rsidR="005C2091" w:rsidRDefault="00A86293">
      <w:pPr>
        <w:pStyle w:val="Heading8"/>
        <w:jc w:val="left"/>
      </w:pPr>
      <w:r>
        <w:t>Opis aktivnosti</w:t>
      </w:r>
    </w:p>
    <w:p w:rsidR="005C2091" w:rsidRDefault="00A86293">
      <w:r>
        <w:t xml:space="preserve">Ministarstvo regionalnoga razvoja i fondova Europske unije (MRRFEU), kao Upravljačko tijelo za Operativni program Konkurentnost i kohezija 2014.-2020. (OPKK), sukladno Uredbi (EU) br. 1303/2013 EUROPSKOG PARLAMENTA I VIJEĆA od 17. prosinca 2013., članku 38 stavku 1. b, i stavkom 4. točkom b) (iii) povjerilo je  HAMAG-BICRO-u zadatke provedbe financijskih instrumenata (FI)  koji će se sufinancirati sredstvima Europskih strukturnih i investicijskih fondova (ESIF) u okviru OPKK.   </w:t>
      </w:r>
    </w:p>
    <w:p w:rsidR="005C2091" w:rsidRDefault="00A86293">
      <w:r>
        <w:t xml:space="preserve">Radi se o sljedećim FI: ESIF Ograničeno portfeljno jamstvo, ESIF Pojedinačno jamstvo bez subvencije kamatne stope , ESIF Pojedinačno jamstvo uz subvencije kamatne stope, ESIF Mikro zajmovi i ESIF Mali zajmovi.  </w:t>
      </w:r>
    </w:p>
    <w:p w:rsidR="005C2091" w:rsidRDefault="00A86293">
      <w:r>
        <w:t xml:space="preserve">Temeljem Odluke o povjeravanju od 20. lipnja 2016., MRRFEU i HAMAG-BICRO sklopili su Sporazum o financiranju. </w:t>
      </w:r>
    </w:p>
    <w:p w:rsidR="005C2091" w:rsidRDefault="00A86293">
      <w:r>
        <w:lastRenderedPageBreak/>
        <w:t xml:space="preserve">Sukladno navedenom, inicijalno je otvoreno pet aktivnosti (za svaki Financijski instrument po jedna), međutim u dogovorima koji su uslijedili odlučeno je da bude ipak samo jedna aktivnost kroz koju će se pratiti svih pet Financijskih instrumenata te je stoga i njihovo izvršenje samo na aktivnosti A822082 OP KONKURENTNOST I KOHEZIJA – POJEDINAČNO JAMSTVO BEZ SUBVENCIJE KAMATNE STOPE, dok je plan ostao na drugim aktivnostima gdje je izvršenje nula. </w:t>
      </w:r>
    </w:p>
    <w:p w:rsidR="005C2091" w:rsidRDefault="00A86293">
      <w:r>
        <w:t xml:space="preserve">Sukladno Sporazumu o financiranju, za provedbu svih 5 financijskih instrumenata povučena su sredstva iz izvora 563 Europski fond za regionalni razvoj (ERDF) u ukupnom iznosu od 281.264.887,51 kn na posebno otvorene račune u HPB i to za: </w:t>
      </w:r>
    </w:p>
    <w:p w:rsidR="005C2091" w:rsidRDefault="00A86293">
      <w:r>
        <w:t xml:space="preserve">ESIF Ograničeno portfeljno jamstvo iznos od 108.755.756,50, </w:t>
      </w:r>
    </w:p>
    <w:p w:rsidR="005C2091" w:rsidRDefault="00A86293">
      <w:r>
        <w:t xml:space="preserve">ESIF Pojedinačno jamstvo bez subvencije kamatne stope iznos od 54.377.878,25,  </w:t>
      </w:r>
    </w:p>
    <w:p w:rsidR="005C2091" w:rsidRDefault="00A86293">
      <w:r>
        <w:t xml:space="preserve">ESIF Pojedinačno jamstvo uz subvenciju kamatne stope u iznosu 52.502.779,00 za jamstva, a iznos od 18.750.992,50 za subvencije.  </w:t>
      </w:r>
    </w:p>
    <w:p w:rsidR="005C2091" w:rsidRDefault="00A86293">
      <w:r>
        <w:t xml:space="preserve">ESIF Mikro zajmovi u iznosu od 23.438.740,63 </w:t>
      </w:r>
    </w:p>
    <w:p w:rsidR="005C2091" w:rsidRDefault="00A86293">
      <w:r>
        <w:t xml:space="preserve">ESIF Mali zajmovi u iznosu od 23.438.740,63   </w:t>
      </w:r>
    </w:p>
    <w:p w:rsidR="005C2091" w:rsidRDefault="00A86293">
      <w:r>
        <w:t xml:space="preserve">Dio od navedenih novčanih sredstva uložen je u oročenja u bankama u iznosu od 194.072.772,38, te u novčane fondove u iznosu od 73.265.100,20. </w:t>
      </w:r>
    </w:p>
    <w:p w:rsidR="005C2091" w:rsidRDefault="00A86293">
      <w:r>
        <w:t xml:space="preserve">Za isplatu zajmova utrošen je iznos od 7.412.746,74, od čega 6.086.139,45 za ESIF Male zajmove (stavka: Dani zajmovi tuzemnim trgovačkim društvima izvan javnog sektora – dugoročni), te 1.326.607,29 za ESIF Mikro zajmove (stavke: Dani zajmovi tuzemnim trgovačkim društvima izvan javnog sektora – dugoročni – 1.178.750,65 , te Dani zajmovi tuzemnim obrtnicima – dugoročni – 147.856,64). </w:t>
      </w:r>
    </w:p>
    <w:p w:rsidR="005C2091" w:rsidRDefault="00A86293">
      <w:r>
        <w:t xml:space="preserve">Razliku od 6.514.269 riznica vodi na kontu 111210003 (stavka: novac na računu kod tuzemnih poslovnih banaka) koji  je uvećan za kamate na depozite po viđenju, što se ne vidi kroz izvršenje u SAP-u. </w:t>
      </w:r>
    </w:p>
    <w:p w:rsidR="005C2091" w:rsidRDefault="00A86293">
      <w:r>
        <w:t>Budući da tijekom 2016. godine nisu potpisani Sporazumi o suradnji za provedbu instrumenta sa svim financijskim institucijama, nije došlo do planirane provedbe instrumenta.</w:t>
      </w:r>
    </w:p>
    <w:p w:rsidR="005C2091" w:rsidRDefault="00A86293">
      <w:pPr>
        <w:pStyle w:val="Heading4"/>
      </w:pPr>
      <w:r>
        <w:t>A822084 NAKNADE ZA UPRAVLJANJE FINANCIJSKIM INSTRUMENTIMA IZ ESI FONDOVA 2014.-2020.</w:t>
      </w:r>
    </w:p>
    <w:tbl>
      <w:tblPr>
        <w:tblStyle w:val="StilTablice"/>
        <w:tblW w:w="10206" w:type="dxa"/>
        <w:jc w:val="center"/>
        <w:tblLook w:val="04A0" w:firstRow="1" w:lastRow="0" w:firstColumn="1" w:lastColumn="0" w:noHBand="0" w:noVBand="1"/>
      </w:tblPr>
      <w:tblGrid>
        <w:gridCol w:w="1793"/>
        <w:gridCol w:w="1997"/>
        <w:gridCol w:w="1987"/>
        <w:gridCol w:w="1997"/>
        <w:gridCol w:w="1214"/>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A822084-NAKNADE ZA UPRAVLJANJE FINANCIJSKIM INSTRUMENTIMA IZ ESI FONDOVA 2014.-2020.</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31.241</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Odluka Vlade Republike Hrvatske o usvajanju programa "ESIF jamstva" i programa "ESIF mikro i mali zajmovi" (NN 62/16).</w:t>
      </w:r>
    </w:p>
    <w:p w:rsidR="005C2091" w:rsidRDefault="00A86293">
      <w:pPr>
        <w:pStyle w:val="Heading8"/>
        <w:jc w:val="left"/>
      </w:pPr>
      <w:r>
        <w:t>Opis aktivnosti</w:t>
      </w:r>
    </w:p>
    <w:p w:rsidR="005C2091" w:rsidRDefault="00A86293">
      <w:r>
        <w:t xml:space="preserve">Za upravljanje Financijskim instrumentima HAMAG-BICRO dobiva upravljačke naknade (osnovnu i naknadu za uspješnost), koje se izračunavaju sukladno EU pravilima, a koriste se za plaće i materijalne troškove. </w:t>
      </w:r>
    </w:p>
    <w:p w:rsidR="005C2091" w:rsidRDefault="00A86293">
      <w:r>
        <w:t>Ostvarena vrijednost je manja u odnosu na ciljanu jer je Sporazum o financiranju potpisan 30.06.2016. a konkretna provedba financijskih instrumenata je krenula krajem 2016. godine.</w:t>
      </w:r>
    </w:p>
    <w:p w:rsidR="005C2091" w:rsidRDefault="00A86293">
      <w:pPr>
        <w:pStyle w:val="Heading8"/>
        <w:jc w:val="left"/>
      </w:pPr>
      <w:r>
        <w:lastRenderedPageBreak/>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9736B" w:rsidTr="0009736B">
        <w:trPr>
          <w:jc w:val="center"/>
        </w:trPr>
        <w:tc>
          <w:tcPr>
            <w:tcW w:w="2553" w:type="dxa"/>
            <w:shd w:val="clear" w:color="auto" w:fill="B5C0D8"/>
          </w:tcPr>
          <w:p w:rsidR="0009736B" w:rsidRDefault="0009736B">
            <w:pPr>
              <w:jc w:val="center"/>
            </w:pPr>
            <w:r>
              <w:t>Pokazatelj rezultata</w:t>
            </w:r>
          </w:p>
        </w:tc>
        <w:tc>
          <w:tcPr>
            <w:tcW w:w="1020" w:type="dxa"/>
            <w:shd w:val="clear" w:color="auto" w:fill="B5C0D8"/>
          </w:tcPr>
          <w:p w:rsidR="0009736B" w:rsidRDefault="0009736B">
            <w:pPr>
              <w:pStyle w:val="CellHeader"/>
              <w:jc w:val="center"/>
            </w:pPr>
            <w:r>
              <w:rPr>
                <w:rFonts w:cs="Times New Roman"/>
              </w:rPr>
              <w:t>Jedinica</w:t>
            </w:r>
          </w:p>
        </w:tc>
        <w:tc>
          <w:tcPr>
            <w:tcW w:w="1020" w:type="dxa"/>
            <w:shd w:val="clear" w:color="auto" w:fill="B5C0D8"/>
          </w:tcPr>
          <w:p w:rsidR="0009736B" w:rsidRDefault="0009736B">
            <w:pPr>
              <w:pStyle w:val="CellHeader"/>
              <w:jc w:val="center"/>
            </w:pPr>
            <w:r>
              <w:rPr>
                <w:rFonts w:cs="Times New Roman"/>
              </w:rPr>
              <w:t>Polazna vrijednost</w:t>
            </w:r>
          </w:p>
        </w:tc>
        <w:tc>
          <w:tcPr>
            <w:tcW w:w="1020" w:type="dxa"/>
            <w:shd w:val="clear" w:color="auto" w:fill="B5C0D8"/>
          </w:tcPr>
          <w:p w:rsidR="0009736B" w:rsidRDefault="0009736B">
            <w:pPr>
              <w:pStyle w:val="CellHeader"/>
              <w:jc w:val="center"/>
            </w:pPr>
            <w:r>
              <w:rPr>
                <w:rFonts w:cs="Times New Roman"/>
              </w:rPr>
              <w:t>Izvor podataka</w:t>
            </w:r>
          </w:p>
        </w:tc>
        <w:tc>
          <w:tcPr>
            <w:tcW w:w="1020" w:type="dxa"/>
            <w:shd w:val="clear" w:color="auto" w:fill="B5C0D8"/>
          </w:tcPr>
          <w:p w:rsidR="0009736B" w:rsidRDefault="0009736B">
            <w:pPr>
              <w:pStyle w:val="CellHeader"/>
              <w:jc w:val="center"/>
            </w:pPr>
            <w:r>
              <w:rPr>
                <w:rFonts w:cs="Times New Roman"/>
              </w:rPr>
              <w:t>Ciljana vrijednost (2016.)</w:t>
            </w:r>
          </w:p>
        </w:tc>
        <w:tc>
          <w:tcPr>
            <w:tcW w:w="1020" w:type="dxa"/>
            <w:shd w:val="clear" w:color="auto" w:fill="B5C0D8"/>
          </w:tcPr>
          <w:p w:rsidR="0009736B" w:rsidRDefault="0009736B">
            <w:pPr>
              <w:pStyle w:val="CellHeader"/>
              <w:jc w:val="center"/>
            </w:pPr>
            <w:r>
              <w:rPr>
                <w:rFonts w:cs="Times New Roman"/>
              </w:rPr>
              <w:t>Ostvarena vrijednost (2016.)</w:t>
            </w:r>
          </w:p>
        </w:tc>
      </w:tr>
      <w:tr w:rsidR="0009736B" w:rsidTr="0009736B">
        <w:trPr>
          <w:jc w:val="center"/>
        </w:trPr>
        <w:tc>
          <w:tcPr>
            <w:tcW w:w="2553" w:type="dxa"/>
          </w:tcPr>
          <w:p w:rsidR="0009736B" w:rsidRDefault="0009736B">
            <w:pPr>
              <w:pStyle w:val="CellColumn"/>
              <w:jc w:val="left"/>
            </w:pPr>
            <w:r>
              <w:rPr>
                <w:rFonts w:cs="Times New Roman"/>
              </w:rPr>
              <w:t>Broj radnika čije plaće se sufinanciraju iz naknada za upravljanje FI</w:t>
            </w:r>
          </w:p>
        </w:tc>
        <w:tc>
          <w:tcPr>
            <w:tcW w:w="1020" w:type="dxa"/>
          </w:tcPr>
          <w:p w:rsidR="0009736B" w:rsidRDefault="0009736B">
            <w:pPr>
              <w:pStyle w:val="CellColumn"/>
              <w:jc w:val="right"/>
            </w:pPr>
            <w:r>
              <w:rPr>
                <w:rFonts w:cs="Times New Roman"/>
              </w:rPr>
              <w:t>broj</w:t>
            </w:r>
          </w:p>
        </w:tc>
        <w:tc>
          <w:tcPr>
            <w:tcW w:w="1020" w:type="dxa"/>
          </w:tcPr>
          <w:p w:rsidR="0009736B" w:rsidRDefault="0009736B">
            <w:pPr>
              <w:pStyle w:val="CellColumn"/>
              <w:jc w:val="right"/>
            </w:pPr>
            <w:r>
              <w:rPr>
                <w:rFonts w:cs="Times New Roman"/>
              </w:rPr>
              <w:t>0</w:t>
            </w:r>
          </w:p>
        </w:tc>
        <w:tc>
          <w:tcPr>
            <w:tcW w:w="1020" w:type="dxa"/>
          </w:tcPr>
          <w:p w:rsidR="0009736B" w:rsidRDefault="0009736B">
            <w:pPr>
              <w:pStyle w:val="CellColumn"/>
              <w:jc w:val="right"/>
            </w:pPr>
            <w:r>
              <w:rPr>
                <w:rFonts w:cs="Times New Roman"/>
              </w:rPr>
              <w:t>HAMAG-BICRO</w:t>
            </w:r>
          </w:p>
        </w:tc>
        <w:tc>
          <w:tcPr>
            <w:tcW w:w="1020" w:type="dxa"/>
          </w:tcPr>
          <w:p w:rsidR="0009736B" w:rsidRDefault="0009736B">
            <w:pPr>
              <w:pStyle w:val="CellColumn"/>
              <w:jc w:val="right"/>
            </w:pPr>
            <w:r>
              <w:rPr>
                <w:rFonts w:cs="Times New Roman"/>
              </w:rPr>
              <w:t>10</w:t>
            </w:r>
          </w:p>
        </w:tc>
        <w:tc>
          <w:tcPr>
            <w:tcW w:w="1020" w:type="dxa"/>
          </w:tcPr>
          <w:p w:rsidR="0009736B" w:rsidRDefault="0009736B">
            <w:pPr>
              <w:pStyle w:val="CellColumn"/>
              <w:jc w:val="right"/>
            </w:pPr>
            <w:r>
              <w:rPr>
                <w:rFonts w:cs="Times New Roman"/>
              </w:rPr>
              <w:t>4</w:t>
            </w:r>
          </w:p>
        </w:tc>
      </w:tr>
    </w:tbl>
    <w:p w:rsidR="005C2091" w:rsidRDefault="005C2091">
      <w:pPr>
        <w:jc w:val="left"/>
      </w:pPr>
    </w:p>
    <w:p w:rsidR="00492B40" w:rsidRDefault="00492B40">
      <w:pPr>
        <w:jc w:val="left"/>
      </w:pPr>
    </w:p>
    <w:p w:rsidR="00492B40" w:rsidRDefault="00492B40">
      <w:pPr>
        <w:jc w:val="left"/>
      </w:pPr>
    </w:p>
    <w:p w:rsidR="005C2091" w:rsidRDefault="00A86293">
      <w:pPr>
        <w:pStyle w:val="Heading4"/>
      </w:pPr>
      <w:r>
        <w:t>K822077 PROJEKT PODUZETNIČKOG KAPITALA ZA INOVACIJE I PODUZETNIŠTVO</w:t>
      </w:r>
    </w:p>
    <w:tbl>
      <w:tblPr>
        <w:tblStyle w:val="StilTablice"/>
        <w:tblW w:w="10206" w:type="dxa"/>
        <w:jc w:val="center"/>
        <w:tblLook w:val="04A0" w:firstRow="1" w:lastRow="0" w:firstColumn="1" w:lastColumn="0" w:noHBand="0" w:noVBand="1"/>
      </w:tblPr>
      <w:tblGrid>
        <w:gridCol w:w="1803"/>
        <w:gridCol w:w="1992"/>
        <w:gridCol w:w="1988"/>
        <w:gridCol w:w="1992"/>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K822077-PROJEKT PODUZETNIČKOG KAPITALA ZA INOVACIJE I PODUZETNIŠTVO</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184.487</w:t>
            </w:r>
          </w:p>
        </w:tc>
        <w:tc>
          <w:tcPr>
            <w:tcW w:w="2041" w:type="dxa"/>
          </w:tcPr>
          <w:p w:rsidR="005C2091" w:rsidRDefault="00A86293">
            <w:pPr>
              <w:pStyle w:val="CellColumn"/>
              <w:jc w:val="right"/>
            </w:pPr>
            <w:r>
              <w:rPr>
                <w:rFonts w:cs="Times New Roman"/>
              </w:rPr>
              <w:t>184.486</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Hrvatski sabor je na temelju članka 27. Zakona o izvršavanju Državnog proračuna Republike Hrvatske za 2015. godinu (Narodne novine, broj 148/14) te članka 3. Zakona o izmjenama i dopunama zakona o izvršavanju državnog proračuna Republike Hrvatske za 2015. godinu (Narodne novine, broj 103A/15) ovlastio Ministarstvo financija Republike Hrvatske da se u ime Republike Hrvatske može zadužiti na inozemnom i domaćem tržištu novca i kapitala do ukupnog iznosa od 28.927.151.179,00 kuna, koji je iskazan u Računu financiranja Proračuna.</w:t>
      </w:r>
    </w:p>
    <w:p w:rsidR="005C2091" w:rsidRDefault="00A86293">
      <w:pPr>
        <w:pStyle w:val="Heading8"/>
        <w:jc w:val="left"/>
      </w:pPr>
      <w:r>
        <w:t>Opis aktivnosti</w:t>
      </w:r>
    </w:p>
    <w:p w:rsidR="005C2091" w:rsidRDefault="00A86293">
      <w:r>
        <w:t xml:space="preserve">Projektom poduzetničkog kapitala za inovacije i poduzetništvo se osniva prvi fond poduzetničkog kapitala u Republici Hrvatskoj. Ukupna vrijednost Projekta je 20 milijuna eura koji će se financirati zajmom IBRD-a (javni zajam, br. 85180-HR). Projekt je razvijen kao cjelovito rješenje problema financiranja inovativnih brzorastućih subjekata malog gospodarstva u Republici Hrvatskoj, a koje se nastavlja na Program poticanja ulaganja u vlasnički kapital inovativnih subjekata malog gospodarstva kojeg je 2015. godine proveo HAMAG-BICRO.  </w:t>
      </w:r>
    </w:p>
    <w:p w:rsidR="005C2091" w:rsidRDefault="00A86293">
      <w:r>
        <w:t xml:space="preserve">Projekt poduzetničkog kapitala za inovacije i poduzetništvo se sastoji od tri komponente. Prva je Pilot fond poduzetničkog kapitala (VC Fond). Cilj ove komponente je poduzeti početne korake prema uspostavljanju sektora poduzetničkog kapitala u Hrvatskoj. Na taj će se način pokazati komercijalna održivost financiranja inovacijskih MSP-ova u ranoj fazi te pomoći u privlačenju drugih društava i tržišnih agenata za ulaganje poduzetničkog kapitala, odnosno pripomoći će se stvaranju kritične mase ulaganja u ranoj fazi.  </w:t>
      </w:r>
    </w:p>
    <w:p w:rsidR="005C2091" w:rsidRDefault="00A86293">
      <w:r>
        <w:t xml:space="preserve">Druga komponenta je Fond za poticanje ulaganja u kapital u ranoj fazi financiranja (seed). Cilj ove komponente je jačanje sektora ulaganja u ranoj fazi u Hrvatskoj. Ova komponenta obuhvaća novoosnovana poduzeća znanja prije stjecanja prihoda. Fond za poticanje ulaganja pomoći će društvima da se razviju na razinu na kojoj će moći tražiti veće iznose koje fondovi poduzetničkog kapitala obično ulažu. Osim toga, pružit će se i potpora poslovnim anđelima. Prvi javni poziv je objavljen u travnju 2016. sa očekivanim zatvaranjem u veljači 2017. </w:t>
      </w:r>
    </w:p>
    <w:p w:rsidR="005C2091" w:rsidRDefault="00A86293">
      <w:r>
        <w:t>Treća komponenta je Tehnička pomoć koja podrazumijeva uspostavu mreže stručnjaka koji će davati savjete za provedbu Projekta, praćenje i ocjenjivanje upotrebe sredstava, i uspostavu Jedinice za provedbu Projekta.</w:t>
      </w:r>
    </w:p>
    <w:p w:rsidR="005C2091" w:rsidRDefault="00A86293">
      <w:pPr>
        <w:pStyle w:val="Heading8"/>
        <w:jc w:val="left"/>
      </w:pPr>
      <w:r>
        <w:lastRenderedPageBreak/>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09736B" w:rsidTr="0009736B">
        <w:trPr>
          <w:jc w:val="center"/>
        </w:trPr>
        <w:tc>
          <w:tcPr>
            <w:tcW w:w="2553" w:type="dxa"/>
            <w:shd w:val="clear" w:color="auto" w:fill="B5C0D8"/>
          </w:tcPr>
          <w:p w:rsidR="0009736B" w:rsidRDefault="0009736B">
            <w:pPr>
              <w:jc w:val="center"/>
            </w:pPr>
            <w:r>
              <w:t>Pokazatelj rezultata</w:t>
            </w:r>
          </w:p>
        </w:tc>
        <w:tc>
          <w:tcPr>
            <w:tcW w:w="1020" w:type="dxa"/>
            <w:shd w:val="clear" w:color="auto" w:fill="B5C0D8"/>
          </w:tcPr>
          <w:p w:rsidR="0009736B" w:rsidRDefault="0009736B">
            <w:pPr>
              <w:pStyle w:val="CellHeader"/>
              <w:jc w:val="center"/>
            </w:pPr>
            <w:r>
              <w:rPr>
                <w:rFonts w:cs="Times New Roman"/>
              </w:rPr>
              <w:t>Jedinica</w:t>
            </w:r>
          </w:p>
        </w:tc>
        <w:tc>
          <w:tcPr>
            <w:tcW w:w="1020" w:type="dxa"/>
            <w:shd w:val="clear" w:color="auto" w:fill="B5C0D8"/>
          </w:tcPr>
          <w:p w:rsidR="0009736B" w:rsidRDefault="0009736B">
            <w:pPr>
              <w:pStyle w:val="CellHeader"/>
              <w:jc w:val="center"/>
            </w:pPr>
            <w:r>
              <w:rPr>
                <w:rFonts w:cs="Times New Roman"/>
              </w:rPr>
              <w:t>Polazna vrijednost</w:t>
            </w:r>
          </w:p>
        </w:tc>
        <w:tc>
          <w:tcPr>
            <w:tcW w:w="1020" w:type="dxa"/>
            <w:shd w:val="clear" w:color="auto" w:fill="B5C0D8"/>
          </w:tcPr>
          <w:p w:rsidR="0009736B" w:rsidRDefault="0009736B">
            <w:pPr>
              <w:pStyle w:val="CellHeader"/>
              <w:jc w:val="center"/>
            </w:pPr>
            <w:r>
              <w:rPr>
                <w:rFonts w:cs="Times New Roman"/>
              </w:rPr>
              <w:t>Izvor podataka</w:t>
            </w:r>
          </w:p>
        </w:tc>
        <w:tc>
          <w:tcPr>
            <w:tcW w:w="1020" w:type="dxa"/>
            <w:shd w:val="clear" w:color="auto" w:fill="B5C0D8"/>
          </w:tcPr>
          <w:p w:rsidR="0009736B" w:rsidRDefault="0009736B">
            <w:pPr>
              <w:pStyle w:val="CellHeader"/>
              <w:jc w:val="center"/>
            </w:pPr>
            <w:r>
              <w:rPr>
                <w:rFonts w:cs="Times New Roman"/>
              </w:rPr>
              <w:t>Ciljana vrijednost (2016.)</w:t>
            </w:r>
          </w:p>
        </w:tc>
        <w:tc>
          <w:tcPr>
            <w:tcW w:w="1020" w:type="dxa"/>
            <w:shd w:val="clear" w:color="auto" w:fill="B5C0D8"/>
          </w:tcPr>
          <w:p w:rsidR="0009736B" w:rsidRDefault="0009736B">
            <w:pPr>
              <w:pStyle w:val="CellHeader"/>
              <w:jc w:val="center"/>
            </w:pPr>
            <w:r>
              <w:rPr>
                <w:rFonts w:cs="Times New Roman"/>
              </w:rPr>
              <w:t>Ostvarena vrijednost (2016.)</w:t>
            </w:r>
          </w:p>
        </w:tc>
      </w:tr>
      <w:tr w:rsidR="0009736B" w:rsidTr="0009736B">
        <w:trPr>
          <w:jc w:val="center"/>
        </w:trPr>
        <w:tc>
          <w:tcPr>
            <w:tcW w:w="2553" w:type="dxa"/>
          </w:tcPr>
          <w:p w:rsidR="0009736B" w:rsidRDefault="0009736B">
            <w:pPr>
              <w:pStyle w:val="CellColumn"/>
              <w:jc w:val="left"/>
            </w:pPr>
            <w:r>
              <w:rPr>
                <w:rFonts w:cs="Times New Roman"/>
              </w:rPr>
              <w:t>Izvršena ulaganja kroz VC Fond</w:t>
            </w:r>
          </w:p>
        </w:tc>
        <w:tc>
          <w:tcPr>
            <w:tcW w:w="1020" w:type="dxa"/>
          </w:tcPr>
          <w:p w:rsidR="0009736B" w:rsidRDefault="0009736B">
            <w:pPr>
              <w:pStyle w:val="CellColumn"/>
              <w:jc w:val="right"/>
            </w:pPr>
            <w:r>
              <w:rPr>
                <w:rFonts w:cs="Times New Roman"/>
              </w:rPr>
              <w:t>broj</w:t>
            </w:r>
          </w:p>
        </w:tc>
        <w:tc>
          <w:tcPr>
            <w:tcW w:w="1020" w:type="dxa"/>
          </w:tcPr>
          <w:p w:rsidR="0009736B" w:rsidRDefault="0009736B">
            <w:pPr>
              <w:pStyle w:val="CellColumn"/>
              <w:jc w:val="right"/>
            </w:pPr>
            <w:r>
              <w:rPr>
                <w:rFonts w:cs="Times New Roman"/>
              </w:rPr>
              <w:t>0</w:t>
            </w:r>
          </w:p>
        </w:tc>
        <w:tc>
          <w:tcPr>
            <w:tcW w:w="1020" w:type="dxa"/>
          </w:tcPr>
          <w:p w:rsidR="0009736B" w:rsidRDefault="0009736B">
            <w:pPr>
              <w:pStyle w:val="CellColumn"/>
              <w:jc w:val="right"/>
            </w:pPr>
            <w:r>
              <w:rPr>
                <w:rFonts w:cs="Times New Roman"/>
              </w:rPr>
              <w:t>HAMAG-BICRO</w:t>
            </w:r>
          </w:p>
        </w:tc>
        <w:tc>
          <w:tcPr>
            <w:tcW w:w="1020" w:type="dxa"/>
          </w:tcPr>
          <w:p w:rsidR="0009736B" w:rsidRDefault="0009736B">
            <w:pPr>
              <w:pStyle w:val="CellColumn"/>
              <w:jc w:val="right"/>
            </w:pPr>
            <w:r>
              <w:rPr>
                <w:rFonts w:cs="Times New Roman"/>
              </w:rPr>
              <w:t>1</w:t>
            </w:r>
          </w:p>
        </w:tc>
        <w:tc>
          <w:tcPr>
            <w:tcW w:w="1020" w:type="dxa"/>
          </w:tcPr>
          <w:p w:rsidR="0009736B" w:rsidRDefault="0009736B">
            <w:pPr>
              <w:pStyle w:val="CellColumn"/>
              <w:jc w:val="right"/>
            </w:pPr>
            <w:r>
              <w:rPr>
                <w:rFonts w:cs="Times New Roman"/>
              </w:rPr>
              <w:t>0</w:t>
            </w:r>
          </w:p>
        </w:tc>
      </w:tr>
      <w:tr w:rsidR="0009736B" w:rsidTr="0009736B">
        <w:trPr>
          <w:jc w:val="center"/>
        </w:trPr>
        <w:tc>
          <w:tcPr>
            <w:tcW w:w="2553" w:type="dxa"/>
          </w:tcPr>
          <w:p w:rsidR="0009736B" w:rsidRDefault="0009736B">
            <w:pPr>
              <w:pStyle w:val="CellColumn"/>
              <w:jc w:val="left"/>
            </w:pPr>
            <w:r>
              <w:rPr>
                <w:rFonts w:cs="Times New Roman"/>
              </w:rPr>
              <w:t>Izdani zajmovi u sklopu Seed programa</w:t>
            </w:r>
            <w:r>
              <w:rPr>
                <w:rFonts w:cs="Times New Roman"/>
              </w:rPr>
              <w:tab/>
              <w:t>-</w:t>
            </w:r>
          </w:p>
        </w:tc>
        <w:tc>
          <w:tcPr>
            <w:tcW w:w="1020" w:type="dxa"/>
          </w:tcPr>
          <w:p w:rsidR="0009736B" w:rsidRDefault="0009736B">
            <w:pPr>
              <w:pStyle w:val="CellColumn"/>
              <w:jc w:val="right"/>
            </w:pPr>
            <w:r>
              <w:rPr>
                <w:rFonts w:cs="Times New Roman"/>
              </w:rPr>
              <w:t>broj</w:t>
            </w:r>
          </w:p>
        </w:tc>
        <w:tc>
          <w:tcPr>
            <w:tcW w:w="1020" w:type="dxa"/>
          </w:tcPr>
          <w:p w:rsidR="0009736B" w:rsidRDefault="0009736B">
            <w:pPr>
              <w:pStyle w:val="CellColumn"/>
              <w:jc w:val="right"/>
            </w:pPr>
            <w:r>
              <w:rPr>
                <w:rFonts w:cs="Times New Roman"/>
              </w:rPr>
              <w:t>0</w:t>
            </w:r>
          </w:p>
        </w:tc>
        <w:tc>
          <w:tcPr>
            <w:tcW w:w="1020" w:type="dxa"/>
          </w:tcPr>
          <w:p w:rsidR="0009736B" w:rsidRDefault="0009736B">
            <w:pPr>
              <w:pStyle w:val="CellColumn"/>
              <w:jc w:val="right"/>
            </w:pPr>
            <w:r>
              <w:rPr>
                <w:rFonts w:cs="Times New Roman"/>
              </w:rPr>
              <w:t>HAMAG-BICRO</w:t>
            </w:r>
          </w:p>
        </w:tc>
        <w:tc>
          <w:tcPr>
            <w:tcW w:w="1020" w:type="dxa"/>
          </w:tcPr>
          <w:p w:rsidR="0009736B" w:rsidRDefault="0009736B">
            <w:pPr>
              <w:pStyle w:val="CellColumn"/>
              <w:jc w:val="right"/>
            </w:pPr>
            <w:r>
              <w:rPr>
                <w:rFonts w:cs="Times New Roman"/>
              </w:rPr>
              <w:t>5</w:t>
            </w:r>
          </w:p>
        </w:tc>
        <w:tc>
          <w:tcPr>
            <w:tcW w:w="1020" w:type="dxa"/>
          </w:tcPr>
          <w:p w:rsidR="0009736B" w:rsidRDefault="0009736B">
            <w:pPr>
              <w:pStyle w:val="CellColumn"/>
              <w:jc w:val="right"/>
            </w:pPr>
            <w:r>
              <w:rPr>
                <w:rFonts w:cs="Times New Roman"/>
              </w:rPr>
              <w:t>0</w:t>
            </w:r>
          </w:p>
        </w:tc>
      </w:tr>
    </w:tbl>
    <w:p w:rsidR="005C2091" w:rsidRDefault="005C2091">
      <w:pPr>
        <w:jc w:val="left"/>
      </w:pPr>
    </w:p>
    <w:p w:rsidR="005C2091" w:rsidRDefault="00A86293">
      <w:pPr>
        <w:pStyle w:val="Heading2"/>
      </w:pPr>
      <w:r>
        <w:t>05115 Hrvatski centar za zadružno poduzetništvo</w:t>
      </w:r>
    </w:p>
    <w:p w:rsidR="005C2091" w:rsidRDefault="00A86293">
      <w:r>
        <w:t>Hrvatski centar za zadružno poduzetništvo upisan je u Registar korisnika državnog proračuna 04.01.2016. kao glava unutar nadležnog Ministarstva poduzetništva i obrta. Centar je osnovan Zakonom o izmjenama i dopunama Zakona o zadrugama (Narodne novine 76/14) kao pravni sljednik Hrvatskog saveza zadruga i ima status javne ustanove koja zastupa i usklađuje interese zadruga i zadružnih saveza, prati i analizira podatke u području zadrugarstva, predlaže mjere za njegovo unaprjeđenje, pruža stručnu pomoć zadrugama i zadružnim savezima, organizira i provodi izobrazbe i savjetovanja iz područja zadrugarstva, dakle, radi na poslovima unaprjeđivanja i razvoja zadrugarstva u cjelini. Centar vodi središnju evidenciju zadruga i zadružnih saveza, sukladno Pravilniku o evidenciji zadruga i zadružnih saveza o čemu izdaje potvrde, uvjerenja i druge isprave, koje imaju snagu javne isprave. Spajanjem nadležnog Ministarstva poduzetništva i obrta sa Ministarstvom gospodarstva, Hrvatski centar za zadružno poduzetništvo postaje glava unutar razdjela nadležnog Ministarstva gospodarstva, poduzetništva i obrta te zatečena sredstva u potpunosti premješta na novu glavu. Odstupanje od 2,3 % nastaje zbog izvršavanja na izvoru 52 (troškovi stručnog osposobljavanja bez zasnivanja radnog odnosa) koje se ne prikazuje u planu Centra te zbog izvršavanja iznad planiranog iznosa na pojednim stavkama iz izvora 31 – Vlastiti prihodi koje je naknadno izbalansirano te je u novoj glavi planirano realno stanje vlastitih prihoda koji su prethodno uplaćeni u proračun.</w:t>
      </w:r>
    </w:p>
    <w:tbl>
      <w:tblPr>
        <w:tblStyle w:val="StilTablice"/>
        <w:tblW w:w="10206" w:type="dxa"/>
        <w:jc w:val="center"/>
        <w:tblLook w:val="04A0" w:firstRow="1" w:lastRow="0" w:firstColumn="1" w:lastColumn="0" w:noHBand="0" w:noVBand="1"/>
      </w:tblPr>
      <w:tblGrid>
        <w:gridCol w:w="1948"/>
        <w:gridCol w:w="1943"/>
        <w:gridCol w:w="1950"/>
        <w:gridCol w:w="1950"/>
        <w:gridCol w:w="1203"/>
        <w:gridCol w:w="1212"/>
      </w:tblGrid>
      <w:tr w:rsidR="005C2091" w:rsidTr="003B4A74">
        <w:trPr>
          <w:jc w:val="center"/>
        </w:trPr>
        <w:tc>
          <w:tcPr>
            <w:tcW w:w="1948" w:type="dxa"/>
            <w:shd w:val="clear" w:color="auto" w:fill="B5C0D8"/>
          </w:tcPr>
          <w:p w:rsidR="005C2091" w:rsidRDefault="005C2091">
            <w:pPr>
              <w:pStyle w:val="CellHeader"/>
              <w:jc w:val="center"/>
            </w:pPr>
          </w:p>
        </w:tc>
        <w:tc>
          <w:tcPr>
            <w:tcW w:w="1943" w:type="dxa"/>
            <w:shd w:val="clear" w:color="auto" w:fill="B5C0D8"/>
          </w:tcPr>
          <w:p w:rsidR="005C2091" w:rsidRDefault="00A86293">
            <w:pPr>
              <w:pStyle w:val="CellHeader"/>
              <w:jc w:val="center"/>
            </w:pPr>
            <w:r>
              <w:rPr>
                <w:rFonts w:cs="Times New Roman"/>
              </w:rPr>
              <w:t>Izvršenje 2015. (kn)</w:t>
            </w:r>
          </w:p>
        </w:tc>
        <w:tc>
          <w:tcPr>
            <w:tcW w:w="1950" w:type="dxa"/>
            <w:shd w:val="clear" w:color="auto" w:fill="B5C0D8"/>
          </w:tcPr>
          <w:p w:rsidR="005C2091" w:rsidRDefault="00A86293">
            <w:pPr>
              <w:pStyle w:val="CellHeader"/>
              <w:jc w:val="center"/>
            </w:pPr>
            <w:r>
              <w:rPr>
                <w:rFonts w:cs="Times New Roman"/>
              </w:rPr>
              <w:t>Plan 2016. (kn)</w:t>
            </w:r>
          </w:p>
        </w:tc>
        <w:tc>
          <w:tcPr>
            <w:tcW w:w="1950" w:type="dxa"/>
            <w:shd w:val="clear" w:color="auto" w:fill="B5C0D8"/>
          </w:tcPr>
          <w:p w:rsidR="005C2091" w:rsidRDefault="00A86293">
            <w:pPr>
              <w:pStyle w:val="CellHeader"/>
              <w:jc w:val="center"/>
            </w:pPr>
            <w:r>
              <w:rPr>
                <w:rFonts w:cs="Times New Roman"/>
              </w:rPr>
              <w:t>Izvršenje 2016. (kn)</w:t>
            </w:r>
          </w:p>
        </w:tc>
        <w:tc>
          <w:tcPr>
            <w:tcW w:w="1203" w:type="dxa"/>
            <w:shd w:val="clear" w:color="auto" w:fill="B5C0D8"/>
          </w:tcPr>
          <w:p w:rsidR="005C2091" w:rsidRDefault="00A86293">
            <w:pPr>
              <w:pStyle w:val="CellHeader"/>
              <w:jc w:val="center"/>
            </w:pPr>
            <w:r>
              <w:rPr>
                <w:rFonts w:cs="Times New Roman"/>
              </w:rPr>
              <w:t>Indeks izvršenje 2016./plan 2016.</w:t>
            </w:r>
          </w:p>
        </w:tc>
        <w:tc>
          <w:tcPr>
            <w:tcW w:w="1212" w:type="dxa"/>
            <w:shd w:val="clear" w:color="auto" w:fill="B5C0D8"/>
          </w:tcPr>
          <w:p w:rsidR="005C2091" w:rsidRDefault="00A86293">
            <w:pPr>
              <w:pStyle w:val="CellHeader"/>
              <w:jc w:val="center"/>
            </w:pPr>
            <w:r>
              <w:rPr>
                <w:rFonts w:cs="Times New Roman"/>
              </w:rPr>
              <w:t>Indeks izvršenje 2016./2015.</w:t>
            </w:r>
          </w:p>
        </w:tc>
      </w:tr>
      <w:tr w:rsidR="005C2091" w:rsidTr="003B4A74">
        <w:trPr>
          <w:jc w:val="center"/>
        </w:trPr>
        <w:tc>
          <w:tcPr>
            <w:tcW w:w="1948" w:type="dxa"/>
            <w:vAlign w:val="top"/>
          </w:tcPr>
          <w:p w:rsidR="005C2091" w:rsidRDefault="00A86293">
            <w:pPr>
              <w:pStyle w:val="CellColumn"/>
              <w:jc w:val="left"/>
            </w:pPr>
            <w:r>
              <w:rPr>
                <w:rFonts w:cs="Times New Roman"/>
              </w:rPr>
              <w:t>05115-Hrvatski centar za zadružno poduzetništvo</w:t>
            </w:r>
          </w:p>
        </w:tc>
        <w:tc>
          <w:tcPr>
            <w:tcW w:w="1943" w:type="dxa"/>
            <w:vAlign w:val="top"/>
          </w:tcPr>
          <w:p w:rsidR="005C2091" w:rsidRDefault="00A86293">
            <w:pPr>
              <w:pStyle w:val="CellColumn"/>
              <w:jc w:val="right"/>
            </w:pPr>
            <w:r>
              <w:rPr>
                <w:rFonts w:cs="Times New Roman"/>
              </w:rPr>
              <w:t>00</w:t>
            </w:r>
          </w:p>
        </w:tc>
        <w:tc>
          <w:tcPr>
            <w:tcW w:w="1950" w:type="dxa"/>
            <w:vAlign w:val="top"/>
          </w:tcPr>
          <w:p w:rsidR="005C2091" w:rsidRDefault="00A86293">
            <w:pPr>
              <w:pStyle w:val="CellColumn"/>
              <w:jc w:val="right"/>
            </w:pPr>
            <w:r>
              <w:rPr>
                <w:rFonts w:cs="Times New Roman"/>
              </w:rPr>
              <w:t>1.284.857</w:t>
            </w:r>
          </w:p>
        </w:tc>
        <w:tc>
          <w:tcPr>
            <w:tcW w:w="1950" w:type="dxa"/>
            <w:vAlign w:val="top"/>
          </w:tcPr>
          <w:p w:rsidR="005C2091" w:rsidRDefault="00A86293">
            <w:pPr>
              <w:pStyle w:val="CellColumn"/>
              <w:jc w:val="right"/>
            </w:pPr>
            <w:r>
              <w:rPr>
                <w:rFonts w:cs="Times New Roman"/>
              </w:rPr>
              <w:t>1.314.453</w:t>
            </w:r>
          </w:p>
        </w:tc>
        <w:tc>
          <w:tcPr>
            <w:tcW w:w="1203" w:type="dxa"/>
            <w:vAlign w:val="top"/>
          </w:tcPr>
          <w:p w:rsidR="005C2091" w:rsidRDefault="00A86293">
            <w:pPr>
              <w:pStyle w:val="CellColumn"/>
              <w:jc w:val="right"/>
            </w:pPr>
            <w:r>
              <w:rPr>
                <w:rFonts w:cs="Times New Roman"/>
              </w:rPr>
              <w:t>102,3</w:t>
            </w:r>
          </w:p>
        </w:tc>
        <w:tc>
          <w:tcPr>
            <w:tcW w:w="1212" w:type="dxa"/>
            <w:vAlign w:val="top"/>
          </w:tcPr>
          <w:p w:rsidR="005C2091" w:rsidRDefault="00A86293">
            <w:pPr>
              <w:pStyle w:val="CellColumn"/>
              <w:jc w:val="right"/>
            </w:pPr>
            <w:r>
              <w:rPr>
                <w:rFonts w:cs="Times New Roman"/>
              </w:rPr>
              <w:t>0,0</w:t>
            </w:r>
          </w:p>
        </w:tc>
      </w:tr>
      <w:tr w:rsidR="005C2091" w:rsidTr="003B4A74">
        <w:trPr>
          <w:jc w:val="center"/>
        </w:trPr>
        <w:tc>
          <w:tcPr>
            <w:tcW w:w="1948" w:type="dxa"/>
          </w:tcPr>
          <w:p w:rsidR="005C2091" w:rsidRDefault="00A86293">
            <w:pPr>
              <w:jc w:val="left"/>
            </w:pPr>
            <w:r>
              <w:t>3202-JAČANJE KONKURENTNOSTI MALOG I SREDNJEG PODUZETNIŠTVA</w:t>
            </w:r>
          </w:p>
        </w:tc>
        <w:tc>
          <w:tcPr>
            <w:tcW w:w="1943" w:type="dxa"/>
          </w:tcPr>
          <w:p w:rsidR="005C2091" w:rsidRDefault="00A86293">
            <w:pPr>
              <w:jc w:val="right"/>
            </w:pPr>
            <w:r>
              <w:t>00</w:t>
            </w:r>
          </w:p>
        </w:tc>
        <w:tc>
          <w:tcPr>
            <w:tcW w:w="1950" w:type="dxa"/>
          </w:tcPr>
          <w:p w:rsidR="005C2091" w:rsidRDefault="00A86293">
            <w:pPr>
              <w:jc w:val="right"/>
            </w:pPr>
            <w:r>
              <w:t>1.284.857</w:t>
            </w:r>
          </w:p>
        </w:tc>
        <w:tc>
          <w:tcPr>
            <w:tcW w:w="1950" w:type="dxa"/>
          </w:tcPr>
          <w:p w:rsidR="005C2091" w:rsidRDefault="00A86293">
            <w:pPr>
              <w:jc w:val="right"/>
            </w:pPr>
            <w:r>
              <w:t>1.314.453</w:t>
            </w:r>
          </w:p>
        </w:tc>
        <w:tc>
          <w:tcPr>
            <w:tcW w:w="1203" w:type="dxa"/>
          </w:tcPr>
          <w:p w:rsidR="005C2091" w:rsidRDefault="00A86293">
            <w:pPr>
              <w:jc w:val="right"/>
            </w:pPr>
            <w:r>
              <w:t>102,3</w:t>
            </w:r>
          </w:p>
        </w:tc>
        <w:tc>
          <w:tcPr>
            <w:tcW w:w="1212"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t>3202 JAČANJE KONKURENTNOSTI MALOG I SREDNJEG PODUZETNIŠTVA</w:t>
      </w:r>
    </w:p>
    <w:tbl>
      <w:tblPr>
        <w:tblStyle w:val="StilTablice"/>
        <w:tblW w:w="10206" w:type="dxa"/>
        <w:jc w:val="center"/>
        <w:tblLook w:val="04A0" w:firstRow="1" w:lastRow="0" w:firstColumn="1" w:lastColumn="0" w:noHBand="0" w:noVBand="1"/>
      </w:tblPr>
      <w:tblGrid>
        <w:gridCol w:w="1948"/>
        <w:gridCol w:w="1943"/>
        <w:gridCol w:w="1950"/>
        <w:gridCol w:w="1950"/>
        <w:gridCol w:w="1203"/>
        <w:gridCol w:w="121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lastRenderedPageBreak/>
              <w:t>3202-JAČANJE KONKURENTNOSTI MALOG I SREDNJEG PODUZETNIŠTVA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1.284.857</w:t>
            </w:r>
          </w:p>
        </w:tc>
        <w:tc>
          <w:tcPr>
            <w:tcW w:w="2041" w:type="dxa"/>
          </w:tcPr>
          <w:p w:rsidR="005C2091" w:rsidRDefault="00A86293">
            <w:pPr>
              <w:pStyle w:val="CellColumn"/>
              <w:jc w:val="right"/>
            </w:pPr>
            <w:r>
              <w:rPr>
                <w:rFonts w:cs="Times New Roman"/>
              </w:rPr>
              <w:t>1.314.453</w:t>
            </w:r>
          </w:p>
        </w:tc>
        <w:tc>
          <w:tcPr>
            <w:tcW w:w="1224" w:type="dxa"/>
          </w:tcPr>
          <w:p w:rsidR="005C2091" w:rsidRDefault="00A86293">
            <w:pPr>
              <w:pStyle w:val="CellColumn"/>
              <w:jc w:val="right"/>
            </w:pPr>
            <w:r>
              <w:rPr>
                <w:rFonts w:cs="Times New Roman"/>
              </w:rPr>
              <w:t>102,3</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Sve aktivnosti Centra planirane su unutar jednog programa - Jačanje konkurentnosti malog i srednjeg poduzetništva. Centar unutar navedenog programa provodi aktivnosti suklano Zakonu o zadrugama i Statutu Hrvatskog centra za zadružno poduzetništvo te Programu rada Centra. Aktivnosti se odnose na zastupanje i usklađivanje interesa zadruga i zadružnih saveza, praćenje i analizu podataka o zadrugama, stručne pomoći, izobrazbe i savjetovanja o zadrugarstvu i promicanje zadrugarstva prema tijelima državne uprave te lokalne i područne (regionalne) samouprave, davanje mišljenja i prijedloga državnim tijelima kod donošenja propisa iz područja zadrugarstva, promociju zadrugarstva i učeničkog zadrugarstva, zastupanje hrvatskog zadrugarstva na međunarodnoj razini te operativne troškove poslovanja Centra. S obzirom da se sve aktivnosti odvijaju unutar ovog programa, ponovno je vidljivo prethodno obrazloženo ukupno odstupanje od 2,3% na razini cijele glave 05115.</w:t>
      </w:r>
    </w:p>
    <w:p w:rsidR="005C2091" w:rsidRDefault="00A86293">
      <w:pPr>
        <w:pStyle w:val="Heading8"/>
        <w:jc w:val="left"/>
      </w:pPr>
      <w:r>
        <w:t>Cilj 1. Povećanje vidljivosti i konkurentnosti zadružnog poduzetništva u Republici Hrvatskoj</w:t>
      </w:r>
    </w:p>
    <w:p w:rsidR="005C2091" w:rsidRDefault="00A86293">
      <w:pPr>
        <w:pStyle w:val="Heading8"/>
        <w:jc w:val="left"/>
      </w:pPr>
      <w:r>
        <w:t>Opis provedbe cilja programa</w:t>
      </w:r>
    </w:p>
    <w:p w:rsidR="005C2091" w:rsidRDefault="00A86293">
      <w:r>
        <w:t>Sve aktivnosti i djelovanje Centra usmjereno je na promociju i zastupanje zadružnog poduzetništva na nacionalnoj razni, pomoć i savjetovanje zadrugama u poslovanju, odnosno poslove unaprjeđivanja i razvoja zadrugarstva u cjelini. Korisnik usluge su zadruge u Republici Hrvatskoj, zadružni savezi, donosioci odluka, tijela državne uprave i lokalne i područne (regionalne) samouprave i  javnost zainteresirana za zadružni oblik poslovanja.</w:t>
      </w:r>
    </w:p>
    <w:p w:rsidR="0009736B" w:rsidRDefault="0009736B"/>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58"/>
        <w:gridCol w:w="2470"/>
        <w:gridCol w:w="1002"/>
        <w:gridCol w:w="1013"/>
        <w:gridCol w:w="1237"/>
        <w:gridCol w:w="1013"/>
        <w:gridCol w:w="1013"/>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sveukupne razine svijesti o zadružnom poduzetništvu</w:t>
            </w:r>
          </w:p>
        </w:tc>
        <w:tc>
          <w:tcPr>
            <w:tcW w:w="2551" w:type="dxa"/>
          </w:tcPr>
          <w:p w:rsidR="005C2091" w:rsidRDefault="00A86293">
            <w:pPr>
              <w:pStyle w:val="CellColumn"/>
              <w:jc w:val="left"/>
            </w:pPr>
            <w:r>
              <w:rPr>
                <w:rFonts w:cs="Times New Roman"/>
              </w:rPr>
              <w:t>Održavanje sastanaka, edukacija, savjetovanja i konferencija na aktualnu problematiku iz područja zadrugarstva koja se mjeri kroz broj održanih sastanaka sa zadrugama, JLS, ostalim institucijama i tijelima državne uprave te održanim edukacijama i konferencijama.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Izvješće o radu Hrvatskog centra za zadružno poduzetništvo</w:t>
            </w:r>
          </w:p>
        </w:tc>
        <w:tc>
          <w:tcPr>
            <w:tcW w:w="1020" w:type="dxa"/>
          </w:tcPr>
          <w:p w:rsidR="005C2091" w:rsidRDefault="00A86293">
            <w:pPr>
              <w:pStyle w:val="CellColumn"/>
              <w:jc w:val="right"/>
            </w:pPr>
            <w:r>
              <w:rPr>
                <w:rFonts w:cs="Times New Roman"/>
              </w:rPr>
              <w:t>150</w:t>
            </w:r>
          </w:p>
        </w:tc>
        <w:tc>
          <w:tcPr>
            <w:tcW w:w="1020" w:type="dxa"/>
          </w:tcPr>
          <w:p w:rsidR="005C2091" w:rsidRDefault="00A86293">
            <w:pPr>
              <w:pStyle w:val="CellColumn"/>
              <w:jc w:val="right"/>
            </w:pPr>
            <w:r>
              <w:rPr>
                <w:rFonts w:cs="Times New Roman"/>
              </w:rPr>
              <w:t>160</w:t>
            </w:r>
          </w:p>
        </w:tc>
      </w:tr>
    </w:tbl>
    <w:p w:rsidR="005C2091" w:rsidRDefault="005C2091">
      <w:pPr>
        <w:jc w:val="left"/>
      </w:pPr>
    </w:p>
    <w:p w:rsidR="005C2091" w:rsidRDefault="00A86293">
      <w:pPr>
        <w:pStyle w:val="Heading4"/>
      </w:pPr>
      <w:r>
        <w:t>A904001 ADMINISTRACIJA I UPRAVLJANJE</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A904001-ADMINISTRACIJA I UPRAVLJANJE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985.973</w:t>
            </w:r>
          </w:p>
        </w:tc>
        <w:tc>
          <w:tcPr>
            <w:tcW w:w="2041" w:type="dxa"/>
          </w:tcPr>
          <w:p w:rsidR="005C2091" w:rsidRDefault="00A86293">
            <w:pPr>
              <w:pStyle w:val="CellColumn"/>
              <w:jc w:val="right"/>
            </w:pPr>
            <w:r>
              <w:rPr>
                <w:rFonts w:cs="Times New Roman"/>
              </w:rPr>
              <w:t>991.526</w:t>
            </w:r>
          </w:p>
        </w:tc>
        <w:tc>
          <w:tcPr>
            <w:tcW w:w="1224" w:type="dxa"/>
          </w:tcPr>
          <w:p w:rsidR="005C2091" w:rsidRDefault="00A86293">
            <w:pPr>
              <w:pStyle w:val="CellColumn"/>
              <w:jc w:val="right"/>
            </w:pPr>
            <w:r>
              <w:rPr>
                <w:rFonts w:cs="Times New Roman"/>
              </w:rPr>
              <w:t>100,6</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Članak 50. Zakona o zadrugama (Narodne novine, br. 32/12, 125/13, 76/14);  </w:t>
      </w:r>
    </w:p>
    <w:p w:rsidR="005C2091" w:rsidRDefault="00A86293">
      <w:r>
        <w:lastRenderedPageBreak/>
        <w:t>Članak 11. Statuta Hrvatskog centra za zadružno poduzetništvo (Narodne novine, br. 133/14)</w:t>
      </w:r>
    </w:p>
    <w:p w:rsidR="005C2091" w:rsidRDefault="00A86293">
      <w:pPr>
        <w:pStyle w:val="Heading8"/>
        <w:jc w:val="left"/>
      </w:pPr>
      <w:r>
        <w:t>Opis aktivnosti</w:t>
      </w:r>
    </w:p>
    <w:p w:rsidR="005C2091" w:rsidRDefault="00A86293">
      <w:r>
        <w:t>Izvršenja unutar aktivnosti se odnose na troškove tekućeg poslovanja ureda Centra, a oni uključuju plaće 7 visokoobrazovanih djelatnika specijaliziranih za područje zadrugarstva, naknade troškova zaposlenicima, rashodi za materijal i energiju, rashodi za usluge, nabava nematerijalne imaterijalne imovine, troškovi komunikacije te ostale režijske troškove.</w:t>
      </w:r>
    </w:p>
    <w:p w:rsidR="005C2091" w:rsidRDefault="00A86293">
      <w:pPr>
        <w:pStyle w:val="Heading4"/>
      </w:pPr>
      <w:r>
        <w:t>A904002 JAČANJE ZADRUŽNOG PODUZETNIŠTVA</w:t>
      </w:r>
    </w:p>
    <w:tbl>
      <w:tblPr>
        <w:tblStyle w:val="StilTablice"/>
        <w:tblW w:w="10206" w:type="dxa"/>
        <w:jc w:val="center"/>
        <w:tblLook w:val="04A0" w:firstRow="1" w:lastRow="0" w:firstColumn="1" w:lastColumn="0" w:noHBand="0" w:noVBand="1"/>
      </w:tblPr>
      <w:tblGrid>
        <w:gridCol w:w="1759"/>
        <w:gridCol w:w="2005"/>
        <w:gridCol w:w="2002"/>
        <w:gridCol w:w="2005"/>
        <w:gridCol w:w="1216"/>
        <w:gridCol w:w="121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A904002-JAČANJE ZADRUŽNOG PODUZETNIŠTVA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298.884</w:t>
            </w:r>
          </w:p>
        </w:tc>
        <w:tc>
          <w:tcPr>
            <w:tcW w:w="2041" w:type="dxa"/>
          </w:tcPr>
          <w:p w:rsidR="005C2091" w:rsidRDefault="00A86293">
            <w:pPr>
              <w:pStyle w:val="CellColumn"/>
              <w:jc w:val="right"/>
            </w:pPr>
            <w:r>
              <w:rPr>
                <w:rFonts w:cs="Times New Roman"/>
              </w:rPr>
              <w:t>322.927</w:t>
            </w:r>
          </w:p>
        </w:tc>
        <w:tc>
          <w:tcPr>
            <w:tcW w:w="1224" w:type="dxa"/>
          </w:tcPr>
          <w:p w:rsidR="005C2091" w:rsidRDefault="00A86293">
            <w:pPr>
              <w:pStyle w:val="CellColumn"/>
              <w:jc w:val="right"/>
            </w:pPr>
            <w:r>
              <w:rPr>
                <w:rFonts w:cs="Times New Roman"/>
              </w:rPr>
              <w:t>108,0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Članak 50. Zakona o zadrugama (Narodne novine, br. 32/12, 125/13, 76/14);  </w:t>
      </w:r>
    </w:p>
    <w:p w:rsidR="005C2091" w:rsidRDefault="00A86293">
      <w:r>
        <w:t xml:space="preserve">Članak 11. Statuta Hrvatskog centra za zadružno poduzetništvo (Narodne novine, br. 133/14) </w:t>
      </w:r>
    </w:p>
    <w:p w:rsidR="005C2091" w:rsidRDefault="00A86293">
      <w:r>
        <w:t>Članci 5.-10. Pravilnika o evidenciji zadruga i zadružnih saveza (Narodne novine, br. 95/14)</w:t>
      </w:r>
    </w:p>
    <w:p w:rsidR="005C2091" w:rsidRDefault="00A86293">
      <w:pPr>
        <w:pStyle w:val="Heading8"/>
        <w:jc w:val="left"/>
      </w:pPr>
      <w:r>
        <w:t>Opis aktivnosti</w:t>
      </w:r>
    </w:p>
    <w:p w:rsidR="005C2091" w:rsidRDefault="00A86293">
      <w:r>
        <w:t>Izvršenje unutar ove aktivnosti uključuju troškove djelatnosti Centra – praćenje stanja i rad u području zadrugarstva, prikupljanja i analiziranja podataka i predlaganje mjera za unaprjeđenje zadrugarstva, stručna pomoć zadrugama, organizacije edukacija i savjetovanja, organizacija sajma, međunarodnih konferencija, promocije zadružnog poduzetništva, tisak promotivnih i edukativnih materijala itd. Sve aktivnosti izvršavane su sukladno Programu rada Centra. Spajanjem nadležnog Ministarstva poduzetništva i obrta sa Ministarstvom gospodarstva, Hrvatski centar za zadružno poduzetništvo postaje glava unutar razdjela nadležnog Ministarstva gospodarstva, poduzetništva i obrta te zatečena sredstva u potpunosti premješta na novu glavu. Odstupanje od 8% nastaje zbog  izvršavanja iznad planiranog iznosa na pojednim stavkama iz izvora 31 – Vlastiti prihodi koje je naknadno izbalansirano te je u novoj glavi planirano realno stanje vlastitih prihoda koji su prethodno uplaćeni u proračun.</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63"/>
        <w:gridCol w:w="2464"/>
        <w:gridCol w:w="1003"/>
        <w:gridCol w:w="1013"/>
        <w:gridCol w:w="1237"/>
        <w:gridCol w:w="1013"/>
        <w:gridCol w:w="1013"/>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održanih savjetovanja i edukacija</w:t>
            </w:r>
          </w:p>
        </w:tc>
        <w:tc>
          <w:tcPr>
            <w:tcW w:w="2551" w:type="dxa"/>
          </w:tcPr>
          <w:p w:rsidR="005C2091" w:rsidRDefault="00A86293">
            <w:pPr>
              <w:pStyle w:val="CellColumn"/>
              <w:jc w:val="left"/>
            </w:pPr>
            <w:r>
              <w:rPr>
                <w:rFonts w:cs="Times New Roman"/>
              </w:rPr>
              <w:t>Edukacije i savjetovanja o zadrugarstvu prema zadrugama, institucijama i široj javnosti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Izvješće o radu Hrvatskog centra za zadružno poduzetništvo</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15</w:t>
            </w:r>
          </w:p>
        </w:tc>
      </w:tr>
      <w:tr w:rsidR="005C2091">
        <w:trPr>
          <w:jc w:val="center"/>
        </w:trPr>
        <w:tc>
          <w:tcPr>
            <w:tcW w:w="2551" w:type="dxa"/>
          </w:tcPr>
          <w:p w:rsidR="005C2091" w:rsidRDefault="00A86293">
            <w:pPr>
              <w:pStyle w:val="CellColumn"/>
              <w:jc w:val="left"/>
            </w:pPr>
            <w:r>
              <w:rPr>
                <w:rFonts w:cs="Times New Roman"/>
              </w:rPr>
              <w:t>Broj održanih sajmova zadružnih proizvoda</w:t>
            </w:r>
          </w:p>
        </w:tc>
        <w:tc>
          <w:tcPr>
            <w:tcW w:w="2551" w:type="dxa"/>
          </w:tcPr>
          <w:p w:rsidR="005C2091" w:rsidRDefault="00A86293">
            <w:pPr>
              <w:pStyle w:val="CellColumn"/>
              <w:jc w:val="left"/>
            </w:pPr>
            <w:r>
              <w:rPr>
                <w:rFonts w:cs="Times New Roman"/>
              </w:rPr>
              <w:t>Izložbeni sajmovi zadružnih proizvoda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Izvješće o radu Hrvatskog centra za zadružno poduzetništvo</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2</w:t>
            </w:r>
          </w:p>
        </w:tc>
      </w:tr>
      <w:tr w:rsidR="005C2091">
        <w:trPr>
          <w:jc w:val="center"/>
        </w:trPr>
        <w:tc>
          <w:tcPr>
            <w:tcW w:w="2551" w:type="dxa"/>
          </w:tcPr>
          <w:p w:rsidR="005C2091" w:rsidRDefault="00A86293">
            <w:pPr>
              <w:pStyle w:val="CellColumn"/>
              <w:jc w:val="left"/>
            </w:pPr>
            <w:r>
              <w:rPr>
                <w:rFonts w:cs="Times New Roman"/>
              </w:rPr>
              <w:lastRenderedPageBreak/>
              <w:t>Broj održanih međunarodnih konferencija</w:t>
            </w:r>
          </w:p>
        </w:tc>
        <w:tc>
          <w:tcPr>
            <w:tcW w:w="2551" w:type="dxa"/>
          </w:tcPr>
          <w:p w:rsidR="005C2091" w:rsidRDefault="00A86293">
            <w:pPr>
              <w:pStyle w:val="CellColumn"/>
              <w:jc w:val="left"/>
            </w:pPr>
            <w:r>
              <w:rPr>
                <w:rFonts w:cs="Times New Roman"/>
              </w:rPr>
              <w:t>Međunarodne konferencije u suradnji sa inozemnim zadružnim asocijacijama na temu zadružnog poduzetništva i aktualne problematike u zadrugarstvu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Izvješće o radu Hrvatskog centra za zadružno poduzetništvo</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2</w:t>
            </w:r>
          </w:p>
        </w:tc>
      </w:tr>
      <w:tr w:rsidR="005C2091">
        <w:trPr>
          <w:jc w:val="center"/>
        </w:trPr>
        <w:tc>
          <w:tcPr>
            <w:tcW w:w="2551" w:type="dxa"/>
          </w:tcPr>
          <w:p w:rsidR="005C2091" w:rsidRDefault="00A86293">
            <w:pPr>
              <w:pStyle w:val="CellColumn"/>
              <w:jc w:val="left"/>
            </w:pPr>
            <w:r>
              <w:rPr>
                <w:rFonts w:cs="Times New Roman"/>
              </w:rPr>
              <w:t>Broj sastanaka sa zadrugama u svrhu pružanja stručne pomoći</w:t>
            </w:r>
          </w:p>
        </w:tc>
        <w:tc>
          <w:tcPr>
            <w:tcW w:w="2551" w:type="dxa"/>
          </w:tcPr>
          <w:p w:rsidR="005C2091" w:rsidRDefault="00A86293">
            <w:pPr>
              <w:pStyle w:val="CellColumn"/>
              <w:jc w:val="left"/>
            </w:pPr>
            <w:r>
              <w:rPr>
                <w:rFonts w:cs="Times New Roman"/>
              </w:rPr>
              <w:t>Sastanci sa zadrugama u vezi rješavanja aktualnih poteškoća u poslovanju, savjetovanje oko osnivanja i ostali pravni i stručni savjeti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Izvješće o radu Hrvatskog centra za zadružno poduzetništvo</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50</w:t>
            </w:r>
          </w:p>
        </w:tc>
      </w:tr>
      <w:tr w:rsidR="005C2091">
        <w:trPr>
          <w:jc w:val="center"/>
        </w:trPr>
        <w:tc>
          <w:tcPr>
            <w:tcW w:w="2551" w:type="dxa"/>
          </w:tcPr>
          <w:p w:rsidR="005C2091" w:rsidRDefault="00A86293">
            <w:pPr>
              <w:pStyle w:val="CellColumn"/>
              <w:jc w:val="left"/>
            </w:pPr>
            <w:r>
              <w:rPr>
                <w:rFonts w:cs="Times New Roman"/>
              </w:rPr>
              <w:t>Broj sastanaka s institucijama na temu analitike zadružnog poduzetništva i zakonodavnog okvira vezanog za zadrugarstvo</w:t>
            </w:r>
          </w:p>
        </w:tc>
        <w:tc>
          <w:tcPr>
            <w:tcW w:w="2551" w:type="dxa"/>
          </w:tcPr>
          <w:p w:rsidR="005C2091" w:rsidRDefault="00A86293">
            <w:pPr>
              <w:pStyle w:val="CellColumn"/>
              <w:jc w:val="left"/>
            </w:pPr>
            <w:r>
              <w:rPr>
                <w:rFonts w:cs="Times New Roman"/>
              </w:rPr>
              <w:t>Stručni sastanci sa institucijama vezanih za analitiku zadružnog poduzetništva i zakonodavnog okvira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Izvješće o radu Hrvatskog centra za zadružno poduzetništvo</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80</w:t>
            </w:r>
          </w:p>
        </w:tc>
      </w:tr>
    </w:tbl>
    <w:p w:rsidR="0009736B" w:rsidRDefault="0009736B">
      <w:pPr>
        <w:jc w:val="left"/>
      </w:pPr>
    </w:p>
    <w:p w:rsidR="005C2091" w:rsidRDefault="0009736B" w:rsidP="00505632">
      <w:r>
        <w:br w:type="page"/>
      </w:r>
    </w:p>
    <w:p w:rsidR="005C2091" w:rsidRDefault="00A86293">
      <w:pPr>
        <w:pStyle w:val="Heading1"/>
      </w:pPr>
      <w:r>
        <w:lastRenderedPageBreak/>
        <w:t>052 POVJERENSTVO ZA ODLUČIVANJE O SUKOBU INTERESA</w:t>
      </w:r>
    </w:p>
    <w:p w:rsidR="005C2091" w:rsidRDefault="00A86293">
      <w:r>
        <w:t xml:space="preserve">Zakonom o sprječavanju sukoba interesa („Narodne novine“ broj 26/11., 12/12., 126/12., 48/13. – pročišćeni tekst Zakona i 57/15 ) uređeno je sprječavanje sukoba između privatnog i javnog interesa u obnašanju javnih dužnosti, utvrđeni su obveznici postupanja prema odredbama ovog Zakona, obveza podnošenja i sadržaj izvješća o imovinskom stanju, postupak provjere podataka iz tih izvješća, trajanje obveza iz ovog Zakona, izbor, sastav i nadležnost Povjerenstva za odlučivanje o sukobu interesa te druga pitanja od značaja za sprječavanje sukoba interesa. </w:t>
      </w:r>
    </w:p>
    <w:p w:rsidR="005C2091" w:rsidRDefault="00A86293">
      <w:r>
        <w:t xml:space="preserve">Nadležnosti Povjerenstva su slijedeće: </w:t>
      </w:r>
    </w:p>
    <w:p w:rsidR="005C2091" w:rsidRDefault="00A86293">
      <w:r>
        <w:t>•</w:t>
      </w:r>
      <w:r>
        <w:tab/>
        <w:t xml:space="preserve">pokretanje postupaka sukoba interesa i donošenje odluka o tome  dali određeno djelovanje ili propust dužnosnika predstavlja povredu odredbi ovog Zakona, </w:t>
      </w:r>
    </w:p>
    <w:p w:rsidR="005C2091" w:rsidRDefault="00A86293">
      <w:r>
        <w:t>•</w:t>
      </w:r>
      <w:r>
        <w:tab/>
        <w:t xml:space="preserve">davanje mišljenja na zahtjev dužnosnika kada su u dvojbi je li neko njihovo ponašanje u skladu s načelima javnih dužnosti, </w:t>
      </w:r>
    </w:p>
    <w:p w:rsidR="005C2091" w:rsidRDefault="00A86293">
      <w:r>
        <w:t>•</w:t>
      </w:r>
      <w:r>
        <w:tab/>
        <w:t xml:space="preserve">propisivanje i utvrđivanje sadržaja obrazaca imovinske kartice, </w:t>
      </w:r>
    </w:p>
    <w:p w:rsidR="005C2091" w:rsidRDefault="00A86293">
      <w:r>
        <w:t>•</w:t>
      </w:r>
      <w:r>
        <w:tab/>
        <w:t xml:space="preserve">ustrojavanja Registra dužnosnika radi primjene pojedinih odredbi Zakona, </w:t>
      </w:r>
    </w:p>
    <w:p w:rsidR="005C2091" w:rsidRDefault="00A86293">
      <w:r>
        <w:t>•</w:t>
      </w:r>
      <w:r>
        <w:tab/>
        <w:t xml:space="preserve">donošenje podzakonskih akata vezanih za provedbu ovog Zakona, </w:t>
      </w:r>
    </w:p>
    <w:p w:rsidR="005C2091" w:rsidRDefault="00A86293">
      <w:r>
        <w:t>•</w:t>
      </w:r>
      <w:r>
        <w:tab/>
        <w:t xml:space="preserve">izrada smjernica i uputa dužnosnicima u svrhu učinkovitog sprječavanja sukoba interesa, </w:t>
      </w:r>
    </w:p>
    <w:p w:rsidR="005C2091" w:rsidRDefault="00A86293">
      <w:r>
        <w:t>•</w:t>
      </w:r>
      <w:r>
        <w:tab/>
        <w:t xml:space="preserve">provođenje edukacija dužnosnika u pitanjima sukoba interesa i podnošenja izvješća o imovinskom stanju, </w:t>
      </w:r>
    </w:p>
    <w:p w:rsidR="005C2091" w:rsidRDefault="00A86293">
      <w:r>
        <w:t>•</w:t>
      </w:r>
      <w:r>
        <w:tab/>
        <w:t xml:space="preserve">suradnja s nadležnim tijelima u svrhu provedbe ovog Zakona, </w:t>
      </w:r>
    </w:p>
    <w:p w:rsidR="005C2091" w:rsidRDefault="00A86293">
      <w:r>
        <w:t>•</w:t>
      </w:r>
      <w:r>
        <w:tab/>
        <w:t xml:space="preserve">suradnja s nevladinim organizacijama, </w:t>
      </w:r>
    </w:p>
    <w:p w:rsidR="005C2091" w:rsidRDefault="00A86293">
      <w:r>
        <w:t>•</w:t>
      </w:r>
      <w:r>
        <w:tab/>
        <w:t xml:space="preserve">ostvarivanje međunarodne suradnje sa sličnim tijelima u području sprječavanja sukoba interesa, </w:t>
      </w:r>
    </w:p>
    <w:p w:rsidR="005C2091" w:rsidRDefault="00A86293">
      <w:r>
        <w:t>•</w:t>
      </w:r>
      <w:r>
        <w:tab/>
        <w:t xml:space="preserve">obavljanje drugih poslova određenih ovim Zakonom. </w:t>
      </w:r>
    </w:p>
    <w:p w:rsidR="005C2091" w:rsidRDefault="00A86293">
      <w:r>
        <w:t xml:space="preserve">Povjerenstvo ima stručnu službu - Ured Povjerenstva koji obavlja sve stručne, administrativne i tehničke poslove za Povjerenstvo. Radom Ureda Povjerenstva rukovodi predstojnik Ureda.  </w:t>
      </w:r>
    </w:p>
    <w:p w:rsidR="005C2091" w:rsidRDefault="00A86293">
      <w:r>
        <w:t xml:space="preserve">Stručni poslovi obuhvaćaju poslove upravljanja ljudskim potencijalima; poslove u svezi radno-pravnog statusa službenika; pravne poslove; poslove financijskog planiranja pripreme, kontrole i izvršenja proračuna, financijsko-računovodstvene poslove, prikupljanje i obradu podataka; prikupljanje i pripremu materijala u pisanom i elektroničkom obliku za sjednice te stručne i radne sastanke Povjerenstva, sudjelovanje u pripremi i provođenju programa edukacije; stručnu obradu predmeta; izradu pisanih odluka, mišljenja, zaključaka, priopćenja, očitovanja, izvješća, zapisnika i ostalih akata i dopisa; praćenje i usklađivanje donesenih odluka s praksom Povjerenstva; praćenje propisa i temeljnih pravila i standarda koji su izgrađeni u specijaliziranom području sprječavanja sukoba interesa; poslove prijama stranaka i komuniciranje s javnošću. </w:t>
      </w:r>
    </w:p>
    <w:p w:rsidR="005C2091" w:rsidRDefault="00A86293">
      <w:r>
        <w:t xml:space="preserve">Administrativni poslovi obuhvaćaju vođenje osobnog očevidnika i vođenje podataka djelatnika Ureda Povjerenstva u Registru zaposlenih u javnom sektoru; poslove unosa podataka u aplikaciju za centralni obračun plaća, poslove unosa podataka u Informatički sustav Ministarstva financija u odnosu na pripremu i izvršenje proračuna i poslovanje putem Državne riznice; vođenje evidencija ulazne i izlazne pošte; poslove upisa podataka u upisnike i očevidnike; zaprimanje, sortiranje, klasificiranje, pohranjivanje i čuvanje dokumentacije; poslove vođenja očevidnika i rukovanje opremom i inventarom; kao i ostale opće administrativne poslove koji se odnose na uredsko poslovanje. </w:t>
      </w:r>
    </w:p>
    <w:p w:rsidR="005C2091" w:rsidRDefault="00A86293">
      <w:r>
        <w:t>Tehnički poslovi obuhvaćaju daktilografske poslove; poslove upravljanja telefonskim pozivima; poslove nabave i rasporeda opreme i uredskog materijala; vođenje brige o urednom funkcioniranju tehničke i druge opreme Ureda;  poslove otpreme i dostavljanja pošte, kao i ostale tehničke poslove koji se odnose na uredsko poslovanje.</w:t>
      </w:r>
    </w:p>
    <w:p w:rsidR="0009736B" w:rsidRDefault="0009736B"/>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05205-Povjerenstvo za odlučivanje o sukobu interesa</w:t>
            </w:r>
          </w:p>
        </w:tc>
        <w:tc>
          <w:tcPr>
            <w:tcW w:w="2041" w:type="dxa"/>
            <w:vAlign w:val="top"/>
          </w:tcPr>
          <w:p w:rsidR="005C2091" w:rsidRDefault="00A86293">
            <w:pPr>
              <w:pStyle w:val="CellColumn"/>
              <w:jc w:val="right"/>
            </w:pPr>
            <w:r>
              <w:rPr>
                <w:rFonts w:cs="Times New Roman"/>
              </w:rPr>
              <w:t>4.499.642</w:t>
            </w:r>
          </w:p>
        </w:tc>
        <w:tc>
          <w:tcPr>
            <w:tcW w:w="2041" w:type="dxa"/>
            <w:vAlign w:val="top"/>
          </w:tcPr>
          <w:p w:rsidR="005C2091" w:rsidRDefault="00A86293">
            <w:pPr>
              <w:pStyle w:val="CellColumn"/>
              <w:jc w:val="right"/>
            </w:pPr>
            <w:r>
              <w:rPr>
                <w:rFonts w:cs="Times New Roman"/>
              </w:rPr>
              <w:t>4.725.695</w:t>
            </w:r>
          </w:p>
        </w:tc>
        <w:tc>
          <w:tcPr>
            <w:tcW w:w="2041" w:type="dxa"/>
            <w:vAlign w:val="top"/>
          </w:tcPr>
          <w:p w:rsidR="005C2091" w:rsidRDefault="00A86293">
            <w:pPr>
              <w:pStyle w:val="CellColumn"/>
              <w:jc w:val="right"/>
            </w:pPr>
            <w:r>
              <w:rPr>
                <w:rFonts w:cs="Times New Roman"/>
              </w:rPr>
              <w:t>4.502.630</w:t>
            </w:r>
          </w:p>
        </w:tc>
        <w:tc>
          <w:tcPr>
            <w:tcW w:w="1224" w:type="dxa"/>
            <w:vAlign w:val="top"/>
          </w:tcPr>
          <w:p w:rsidR="005C2091" w:rsidRDefault="00A86293">
            <w:pPr>
              <w:pStyle w:val="CellColumn"/>
              <w:jc w:val="right"/>
            </w:pPr>
            <w:r>
              <w:rPr>
                <w:rFonts w:cs="Times New Roman"/>
              </w:rPr>
              <w:t>95,3</w:t>
            </w:r>
          </w:p>
        </w:tc>
        <w:tc>
          <w:tcPr>
            <w:tcW w:w="1224" w:type="dxa"/>
            <w:vAlign w:val="top"/>
          </w:tcPr>
          <w:p w:rsidR="005C2091" w:rsidRDefault="00A86293">
            <w:pPr>
              <w:pStyle w:val="CellColumn"/>
              <w:jc w:val="right"/>
            </w:pPr>
            <w:r>
              <w:rPr>
                <w:rFonts w:cs="Times New Roman"/>
              </w:rPr>
              <w:t>100,1</w:t>
            </w:r>
          </w:p>
        </w:tc>
      </w:tr>
      <w:tr w:rsidR="005C2091">
        <w:trPr>
          <w:jc w:val="center"/>
        </w:trPr>
        <w:tc>
          <w:tcPr>
            <w:tcW w:w="1632" w:type="dxa"/>
            <w:shd w:val="clear" w:color="auto" w:fill="B5C0D8"/>
          </w:tcPr>
          <w:p w:rsidR="005C2091" w:rsidRDefault="00A86293">
            <w:pPr>
              <w:pStyle w:val="CellColumn"/>
              <w:jc w:val="left"/>
            </w:pPr>
            <w:r>
              <w:rPr>
                <w:rFonts w:cs="Times New Roman"/>
              </w:rPr>
              <w:t>Ukupno 052-POVJERENSTVO ZA ODLUČIVANJE O SUKOBU INTERESA</w:t>
            </w:r>
          </w:p>
        </w:tc>
        <w:tc>
          <w:tcPr>
            <w:tcW w:w="2041" w:type="dxa"/>
            <w:shd w:val="clear" w:color="auto" w:fill="B5C0D8"/>
          </w:tcPr>
          <w:p w:rsidR="005C2091" w:rsidRDefault="00A86293">
            <w:pPr>
              <w:pStyle w:val="CellColumn"/>
              <w:jc w:val="right"/>
            </w:pPr>
            <w:r>
              <w:rPr>
                <w:rFonts w:cs="Times New Roman"/>
              </w:rPr>
              <w:t>4.499.642</w:t>
            </w:r>
          </w:p>
        </w:tc>
        <w:tc>
          <w:tcPr>
            <w:tcW w:w="2041" w:type="dxa"/>
            <w:shd w:val="clear" w:color="auto" w:fill="B5C0D8"/>
          </w:tcPr>
          <w:p w:rsidR="005C2091" w:rsidRDefault="00A86293">
            <w:pPr>
              <w:pStyle w:val="CellColumn"/>
              <w:jc w:val="right"/>
            </w:pPr>
            <w:r>
              <w:rPr>
                <w:rFonts w:cs="Times New Roman"/>
              </w:rPr>
              <w:t>4.725.695</w:t>
            </w:r>
          </w:p>
        </w:tc>
        <w:tc>
          <w:tcPr>
            <w:tcW w:w="2041" w:type="dxa"/>
            <w:shd w:val="clear" w:color="auto" w:fill="B5C0D8"/>
          </w:tcPr>
          <w:p w:rsidR="005C2091" w:rsidRDefault="00A86293">
            <w:pPr>
              <w:pStyle w:val="CellColumn"/>
              <w:jc w:val="right"/>
            </w:pPr>
            <w:r>
              <w:rPr>
                <w:rFonts w:cs="Times New Roman"/>
              </w:rPr>
              <w:t>4.502.630</w:t>
            </w:r>
          </w:p>
        </w:tc>
        <w:tc>
          <w:tcPr>
            <w:tcW w:w="1224" w:type="dxa"/>
            <w:shd w:val="clear" w:color="auto" w:fill="B5C0D8"/>
          </w:tcPr>
          <w:p w:rsidR="005C2091" w:rsidRDefault="00A86293">
            <w:pPr>
              <w:pStyle w:val="CellColumn"/>
              <w:jc w:val="right"/>
            </w:pPr>
            <w:r>
              <w:rPr>
                <w:rFonts w:cs="Times New Roman"/>
              </w:rPr>
              <w:t>95,3</w:t>
            </w:r>
          </w:p>
        </w:tc>
        <w:tc>
          <w:tcPr>
            <w:tcW w:w="1224" w:type="dxa"/>
            <w:shd w:val="clear" w:color="auto" w:fill="B5C0D8"/>
          </w:tcPr>
          <w:p w:rsidR="005C2091" w:rsidRDefault="00A86293">
            <w:pPr>
              <w:pStyle w:val="CellColumn"/>
              <w:jc w:val="right"/>
            </w:pPr>
            <w:r>
              <w:rPr>
                <w:rFonts w:cs="Times New Roman"/>
              </w:rPr>
              <w:t>100,1</w:t>
            </w:r>
          </w:p>
        </w:tc>
      </w:tr>
    </w:tbl>
    <w:p w:rsidR="005C2091" w:rsidRDefault="005C2091">
      <w:pPr>
        <w:jc w:val="left"/>
      </w:pPr>
    </w:p>
    <w:p w:rsidR="005C2091" w:rsidRDefault="00A86293">
      <w:pPr>
        <w:pStyle w:val="Heading3"/>
      </w:pPr>
      <w:r>
        <w:rPr>
          <w:rFonts w:cs="Times New Roman"/>
        </w:rPr>
        <w:t>2125 ODLUČIVANJE O SUKOBU INTERESA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2125-ODLUČIVANJE O SUKOBU INTERESA</w:t>
            </w:r>
          </w:p>
        </w:tc>
        <w:tc>
          <w:tcPr>
            <w:tcW w:w="2041" w:type="dxa"/>
          </w:tcPr>
          <w:p w:rsidR="005C2091" w:rsidRDefault="00A86293">
            <w:pPr>
              <w:pStyle w:val="CellColumn"/>
              <w:jc w:val="right"/>
            </w:pPr>
            <w:r>
              <w:rPr>
                <w:rFonts w:cs="Times New Roman"/>
              </w:rPr>
              <w:t>4.499.642</w:t>
            </w:r>
          </w:p>
        </w:tc>
        <w:tc>
          <w:tcPr>
            <w:tcW w:w="2041" w:type="dxa"/>
          </w:tcPr>
          <w:p w:rsidR="005C2091" w:rsidRDefault="00A86293">
            <w:pPr>
              <w:pStyle w:val="CellColumn"/>
              <w:jc w:val="right"/>
            </w:pPr>
            <w:r>
              <w:rPr>
                <w:rFonts w:cs="Times New Roman"/>
              </w:rPr>
              <w:t>4.725.695</w:t>
            </w:r>
          </w:p>
        </w:tc>
        <w:tc>
          <w:tcPr>
            <w:tcW w:w="2041" w:type="dxa"/>
          </w:tcPr>
          <w:p w:rsidR="005C2091" w:rsidRDefault="00A86293">
            <w:pPr>
              <w:pStyle w:val="CellColumn"/>
              <w:jc w:val="right"/>
            </w:pPr>
            <w:r>
              <w:rPr>
                <w:rFonts w:cs="Times New Roman"/>
              </w:rPr>
              <w:t>4.502.630</w:t>
            </w:r>
          </w:p>
        </w:tc>
        <w:tc>
          <w:tcPr>
            <w:tcW w:w="1224" w:type="dxa"/>
          </w:tcPr>
          <w:p w:rsidR="005C2091" w:rsidRDefault="00A86293">
            <w:pPr>
              <w:pStyle w:val="CellColumn"/>
              <w:jc w:val="right"/>
            </w:pPr>
            <w:r>
              <w:rPr>
                <w:rFonts w:cs="Times New Roman"/>
              </w:rPr>
              <w:t>95,3</w:t>
            </w:r>
          </w:p>
        </w:tc>
        <w:tc>
          <w:tcPr>
            <w:tcW w:w="1224" w:type="dxa"/>
          </w:tcPr>
          <w:p w:rsidR="005C2091" w:rsidRDefault="00A86293">
            <w:pPr>
              <w:pStyle w:val="CellColumn"/>
              <w:jc w:val="right"/>
            </w:pPr>
            <w:r>
              <w:rPr>
                <w:rFonts w:cs="Times New Roman"/>
              </w:rPr>
              <w:t>100,1</w:t>
            </w:r>
          </w:p>
        </w:tc>
      </w:tr>
    </w:tbl>
    <w:p w:rsidR="005C2091" w:rsidRDefault="005C2091">
      <w:pPr>
        <w:jc w:val="left"/>
      </w:pPr>
    </w:p>
    <w:p w:rsidR="005C2091" w:rsidRDefault="00A86293">
      <w:r>
        <w:t xml:space="preserve">Svrha Zakona o sprječavanju sukoba interesa je sprječavanje sukoba interesa u obnašanju javnih dužnosti, sprječavanje privatnih utjecaja na donošenje odluka u obnašanju javnih dužnosti, jačanje integriteta, objektivnosti, nepristranosti i transparentnosti u obnašanju javnih dužnosti te jačanje povjerenja građana u tijela javne vlasti. </w:t>
      </w:r>
    </w:p>
    <w:p w:rsidR="005C2091" w:rsidRDefault="00A86293">
      <w:r>
        <w:t xml:space="preserve">Sukob interesa, kako ga Zakona definira, postoji kada su privatni interesi dužnosnika u suprotnosti s javnim interesom, a posebice kada: </w:t>
      </w:r>
    </w:p>
    <w:p w:rsidR="005C2091" w:rsidRDefault="00A86293">
      <w:r>
        <w:t xml:space="preserve">- privatni interes dužnosnika utječe na njegovu nepristranost u obavljanju javne dužnosti,  ili </w:t>
      </w:r>
    </w:p>
    <w:p w:rsidR="005C2091" w:rsidRDefault="00A86293">
      <w:r>
        <w:t xml:space="preserve">- se osnovano može smatrati da privatni interes dužnosnika utječe na njegovu nepristranost u  obavljanju javne dužnosti, ili </w:t>
      </w:r>
    </w:p>
    <w:p w:rsidR="005C2091" w:rsidRDefault="00A86293">
      <w:r>
        <w:t xml:space="preserve">- privatni interes dužnosnika može utjecati na njegovu nepristranost u obavljanju javne dužnosti. </w:t>
      </w:r>
    </w:p>
    <w:p w:rsidR="005C2091" w:rsidRDefault="00A86293">
      <w:r>
        <w:t xml:space="preserve">Dužnosnici u obnašanju javnih dužnosti moraju postupati časno, pošteno, savjesno, odgovorno i nepristrano čuvajući vlastitu vjerodostojnost i dostojanstvo povjerene im dužnosti te povjerenje građana.  </w:t>
      </w:r>
    </w:p>
    <w:p w:rsidR="005C2091" w:rsidRDefault="00A86293">
      <w:r>
        <w:t xml:space="preserve">Nakon izbora ili imenovanja na javnu dužnost, dužnosnik je dužan urediti svoje privatne poslove kako bi se spriječio predvidljivi sukob interesa i zaštitio javni interes. </w:t>
      </w:r>
    </w:p>
    <w:p w:rsidR="005C2091" w:rsidRDefault="00A86293">
      <w:r>
        <w:t xml:space="preserve">Cilj sprječavanja sukoba interesa je prevencija korupcije, no njezino uistinu uspješno suzbijanje ovisi o suradnji i o zajedničkim naporima različitih državnih tijela kao i različitih društvenih skupina, poput nevladinih organizacija i medija, kako unutar pojedine države tako i na međunarodnoj razini.  </w:t>
      </w:r>
    </w:p>
    <w:p w:rsidR="005C2091" w:rsidRDefault="00A86293">
      <w:r>
        <w:t xml:space="preserve">Povjerenstvo imajući ulogu preventivnog djelovanja kroz različite upute, smjernice i  mišljenja nastoji spriječiti predvidljivi ili potencijalni sukob interesa i na taj način djeluje proaktivno. </w:t>
      </w:r>
    </w:p>
    <w:p w:rsidR="005C2091" w:rsidRDefault="00A86293">
      <w:r>
        <w:t xml:space="preserve">Dužnosnici su obvezni na početku i na kraju mandata, kao i za vrijeme svoga mandata, ako dođe do promjene njihovog imovnog stanja, dostaviti Povjerenstvu izvješće o svom imovnom stanju, čiji se podaci o imovini javno objavljuju te provjeravaju u posebnom postupku verifikacije podataka. </w:t>
      </w:r>
    </w:p>
    <w:p w:rsidR="005C2091" w:rsidRDefault="00A86293">
      <w:r>
        <w:t>Nakon što Povjerenstvo utvrdi povredu pojedinih odredbi Z</w:t>
      </w:r>
      <w:r w:rsidR="0009736B">
        <w:t xml:space="preserve">akona može dužnosnicima </w:t>
      </w:r>
      <w:r>
        <w:t xml:space="preserve">izreći slijedeće sankcije: </w:t>
      </w:r>
    </w:p>
    <w:p w:rsidR="005C2091" w:rsidRDefault="00A86293">
      <w:r>
        <w:lastRenderedPageBreak/>
        <w:t xml:space="preserve">- opomenu, </w:t>
      </w:r>
    </w:p>
    <w:p w:rsidR="005C2091" w:rsidRDefault="00A86293">
      <w:r>
        <w:t xml:space="preserve">- obustavu isplate dijela neto mjesečne plaće i </w:t>
      </w:r>
    </w:p>
    <w:p w:rsidR="005C2091" w:rsidRDefault="00A86293">
      <w:r>
        <w:t xml:space="preserve">- javno objavljivanje odluke Povjerenstva na trošak dužnosnika. </w:t>
      </w:r>
    </w:p>
    <w:p w:rsidR="005C2091" w:rsidRDefault="00A86293">
      <w:r>
        <w:t>Protiv odluke Povjerenstva može se pokrenuti upravni spor pred Upravnim sudom Republike  Hrvatske.</w:t>
      </w:r>
    </w:p>
    <w:p w:rsidR="005C2091" w:rsidRDefault="00A86293">
      <w:pPr>
        <w:pStyle w:val="Heading8"/>
        <w:jc w:val="left"/>
      </w:pPr>
      <w:r>
        <w:t xml:space="preserve">Cilj 1. Osnovni cilj u provedbi programa u 2016. godini bio je povećanje kapaciteta kvalitetnog upravljanja sukobom interesa od strane dužnosnika, kako na državnoj, tako na regionalnoj i lokalnoj razini.   </w:t>
      </w:r>
    </w:p>
    <w:p w:rsidR="005C2091" w:rsidRDefault="00A86293">
      <w:pPr>
        <w:pStyle w:val="Heading8"/>
        <w:jc w:val="left"/>
      </w:pPr>
      <w:r>
        <w:t>Opis provedbe cilja programa</w:t>
      </w:r>
    </w:p>
    <w:p w:rsidR="005C2091" w:rsidRDefault="00A86293">
      <w:r>
        <w:t xml:space="preserve">Kroz odluke Povjerenstva, kao i davanjem uputa, smjernica i mišljenja, Povjerenstvo je ostvarivalo svoj strateški cilj preventivnog djelovanja u sprječavanju sukoba interesa, a time i borbi protiv korupcije. </w:t>
      </w:r>
    </w:p>
    <w:p w:rsidR="005C2091" w:rsidRDefault="00A86293">
      <w:r>
        <w:t>U cilju realizacije načela javnosti djelovanja, postupak pred Povjerenstvom je u potpunosti otvoren javnosti, a sve odluke i mišljenja objavljivani su na internetskoj stranici Povjerenstva.</w:t>
      </w:r>
    </w:p>
    <w:p w:rsidR="005C2091" w:rsidRDefault="00A86293">
      <w:pPr>
        <w:pStyle w:val="Heading4"/>
      </w:pPr>
      <w:r>
        <w:t>A897001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A897001-ADMINISTRACIJA I UPRAVLJANJE</w:t>
            </w:r>
          </w:p>
        </w:tc>
        <w:tc>
          <w:tcPr>
            <w:tcW w:w="2041" w:type="dxa"/>
          </w:tcPr>
          <w:p w:rsidR="005C2091" w:rsidRDefault="00A86293">
            <w:pPr>
              <w:pStyle w:val="CellColumn"/>
              <w:jc w:val="right"/>
            </w:pPr>
            <w:r>
              <w:rPr>
                <w:rFonts w:cs="Times New Roman"/>
              </w:rPr>
              <w:t>4.294.114</w:t>
            </w:r>
          </w:p>
        </w:tc>
        <w:tc>
          <w:tcPr>
            <w:tcW w:w="2041" w:type="dxa"/>
          </w:tcPr>
          <w:p w:rsidR="005C2091" w:rsidRDefault="00A86293">
            <w:pPr>
              <w:pStyle w:val="CellColumn"/>
              <w:jc w:val="right"/>
            </w:pPr>
            <w:r>
              <w:rPr>
                <w:rFonts w:cs="Times New Roman"/>
              </w:rPr>
              <w:t>4.598.280</w:t>
            </w:r>
          </w:p>
        </w:tc>
        <w:tc>
          <w:tcPr>
            <w:tcW w:w="2041" w:type="dxa"/>
          </w:tcPr>
          <w:p w:rsidR="005C2091" w:rsidRDefault="00A86293">
            <w:pPr>
              <w:pStyle w:val="CellColumn"/>
              <w:jc w:val="right"/>
            </w:pPr>
            <w:r>
              <w:rPr>
                <w:rFonts w:cs="Times New Roman"/>
              </w:rPr>
              <w:t>4.387.660</w:t>
            </w:r>
          </w:p>
        </w:tc>
        <w:tc>
          <w:tcPr>
            <w:tcW w:w="1224" w:type="dxa"/>
          </w:tcPr>
          <w:p w:rsidR="005C2091" w:rsidRDefault="00A86293">
            <w:pPr>
              <w:pStyle w:val="CellColumn"/>
              <w:jc w:val="right"/>
            </w:pPr>
            <w:r>
              <w:rPr>
                <w:rFonts w:cs="Times New Roman"/>
              </w:rPr>
              <w:t>95,4</w:t>
            </w:r>
          </w:p>
        </w:tc>
        <w:tc>
          <w:tcPr>
            <w:tcW w:w="1224" w:type="dxa"/>
          </w:tcPr>
          <w:p w:rsidR="005C2091" w:rsidRDefault="00A86293">
            <w:pPr>
              <w:pStyle w:val="CellColumn"/>
              <w:jc w:val="right"/>
            </w:pPr>
            <w:r>
              <w:rPr>
                <w:rFonts w:cs="Times New Roman"/>
              </w:rPr>
              <w:t>102,2</w:t>
            </w:r>
          </w:p>
        </w:tc>
      </w:tr>
    </w:tbl>
    <w:p w:rsidR="005C2091" w:rsidRDefault="005C2091">
      <w:pPr>
        <w:jc w:val="left"/>
      </w:pPr>
    </w:p>
    <w:p w:rsidR="005C2091" w:rsidRDefault="00A86293">
      <w:pPr>
        <w:pStyle w:val="Heading8"/>
        <w:jc w:val="left"/>
      </w:pPr>
      <w:r>
        <w:t>Zakonske i druge pravne osnove</w:t>
      </w:r>
    </w:p>
    <w:p w:rsidR="005C2091" w:rsidRDefault="00A86293">
      <w:r>
        <w:t>•</w:t>
      </w:r>
      <w:r>
        <w:tab/>
        <w:t xml:space="preserve">Zakon o sprječavanju sukoba interesa, </w:t>
      </w:r>
    </w:p>
    <w:p w:rsidR="005C2091" w:rsidRDefault="00A86293">
      <w:r>
        <w:t>•</w:t>
      </w:r>
      <w:r>
        <w:tab/>
        <w:t xml:space="preserve">Pravilnik o načinu rada i odlučivanja Povjerenstva za odlučivanje o sukobu interesa. </w:t>
      </w:r>
    </w:p>
    <w:p w:rsidR="005C2091" w:rsidRDefault="00A86293">
      <w:r>
        <w:t>•</w:t>
      </w:r>
      <w:r>
        <w:tab/>
        <w:t>Pravilnik o unutarnjem ustrojstvu Ureda povjerenstva za odlučivanje o sukobu interesa.</w:t>
      </w:r>
    </w:p>
    <w:p w:rsidR="005C2091" w:rsidRDefault="00A86293">
      <w:pPr>
        <w:pStyle w:val="Heading8"/>
        <w:jc w:val="left"/>
      </w:pPr>
      <w:r>
        <w:t>Opis aktivnosti</w:t>
      </w:r>
    </w:p>
    <w:p w:rsidR="005C2091" w:rsidRDefault="00A86293">
      <w:r>
        <w:t xml:space="preserve">1. Jačanje svijesti dužnosnika o potrebi osiguranja sprječavanje privatnih utjecaja na donošenje odluka u obnašanju javnih dužnosti, kao i potrebi jačanja integriteta, objektivnosti, nepristranosti i transparentnosti u obnašanju javnih dužnosti, </w:t>
      </w:r>
    </w:p>
    <w:p w:rsidR="005C2091" w:rsidRDefault="00A86293">
      <w:r>
        <w:t xml:space="preserve">2. Jačanje integriteta i  odgovornosti nositelja javnih funkcija u svim granama vlasti, </w:t>
      </w:r>
    </w:p>
    <w:p w:rsidR="005C2091" w:rsidRDefault="00A86293">
      <w:r>
        <w:t xml:space="preserve">3. Jačanje administrativnih kapaciteta Povjerenstva, </w:t>
      </w:r>
    </w:p>
    <w:p w:rsidR="005C2091" w:rsidRDefault="00A86293">
      <w:r>
        <w:t xml:space="preserve">4. Izrada smjernica i uputa o integraciji odredbi o sukobu interesa u interne akte pravnih </w:t>
      </w:r>
    </w:p>
    <w:p w:rsidR="005C2091" w:rsidRDefault="00A86293">
      <w:r>
        <w:t xml:space="preserve">    osoba koje se u širem smislu mogu smatrati dijelom javne uprave.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93"/>
        <w:gridCol w:w="2507"/>
        <w:gridCol w:w="1010"/>
        <w:gridCol w:w="1016"/>
        <w:gridCol w:w="1148"/>
        <w:gridCol w:w="1016"/>
        <w:gridCol w:w="1016"/>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lastRenderedPageBreak/>
              <w:t>Postotak provedenih aktivnosti</w:t>
            </w:r>
          </w:p>
        </w:tc>
        <w:tc>
          <w:tcPr>
            <w:tcW w:w="2551" w:type="dxa"/>
          </w:tcPr>
          <w:p w:rsidR="005C2091" w:rsidRDefault="00A86293">
            <w:pPr>
              <w:pStyle w:val="CellColumn"/>
              <w:jc w:val="left"/>
            </w:pPr>
            <w:r>
              <w:rPr>
                <w:rFonts w:cs="Times New Roman"/>
              </w:rPr>
              <w:t>1. Jačanje svijesti dužnosnika o potrebi osiguranja sprječavanje privatnih utjecaja na donošenje odluka u obnašanju javnih dužnosti, kao i potrebi jačanja integriteta, objektivnosti, nepristranosti i transparentnosti u obnašanju javnih dužnosti,</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17</w:t>
            </w:r>
          </w:p>
        </w:tc>
      </w:tr>
      <w:tr w:rsidR="005C2091">
        <w:trPr>
          <w:jc w:val="center"/>
        </w:trPr>
        <w:tc>
          <w:tcPr>
            <w:tcW w:w="2551" w:type="dxa"/>
          </w:tcPr>
          <w:p w:rsidR="005C2091" w:rsidRDefault="00A86293">
            <w:pPr>
              <w:pStyle w:val="CellColumn"/>
              <w:jc w:val="left"/>
            </w:pPr>
            <w:r>
              <w:rPr>
                <w:rFonts w:cs="Times New Roman"/>
              </w:rPr>
              <w:t>Broj provedenih istraživanja</w:t>
            </w:r>
          </w:p>
        </w:tc>
        <w:tc>
          <w:tcPr>
            <w:tcW w:w="2551" w:type="dxa"/>
          </w:tcPr>
          <w:p w:rsidR="005C2091" w:rsidRDefault="00A86293">
            <w:pPr>
              <w:pStyle w:val="CellColumn"/>
              <w:jc w:val="left"/>
            </w:pPr>
            <w:r>
              <w:rPr>
                <w:rFonts w:cs="Times New Roman"/>
              </w:rPr>
              <w:t>2. Jačanje integriteta i  odgovornosti nositelja javnih funkcija u svim granama vlasti,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Broj realiziranih aktivnosti</w:t>
            </w:r>
          </w:p>
        </w:tc>
        <w:tc>
          <w:tcPr>
            <w:tcW w:w="2551" w:type="dxa"/>
          </w:tcPr>
          <w:p w:rsidR="005C2091" w:rsidRDefault="00A86293">
            <w:pPr>
              <w:pStyle w:val="CellColumn"/>
              <w:jc w:val="left"/>
            </w:pPr>
            <w:r>
              <w:rPr>
                <w:rFonts w:cs="Times New Roman"/>
              </w:rPr>
              <w:t>3. Jačanje administrativnih kapaciteta Povjerenstva,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Godišnje izvješće Povjerenstva za 2015. godinu</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9</w:t>
            </w:r>
          </w:p>
        </w:tc>
      </w:tr>
      <w:tr w:rsidR="005C2091">
        <w:trPr>
          <w:jc w:val="center"/>
        </w:trPr>
        <w:tc>
          <w:tcPr>
            <w:tcW w:w="2551" w:type="dxa"/>
          </w:tcPr>
          <w:p w:rsidR="005C2091" w:rsidRDefault="00A86293">
            <w:pPr>
              <w:pStyle w:val="CellColumn"/>
              <w:jc w:val="left"/>
            </w:pPr>
            <w:r>
              <w:rPr>
                <w:rFonts w:cs="Times New Roman"/>
              </w:rPr>
              <w:t>Broj izrađenih smjernica i uputa</w:t>
            </w:r>
          </w:p>
        </w:tc>
        <w:tc>
          <w:tcPr>
            <w:tcW w:w="2551" w:type="dxa"/>
          </w:tcPr>
          <w:p w:rsidR="005C2091" w:rsidRDefault="00A86293">
            <w:pPr>
              <w:pStyle w:val="CellColumn"/>
              <w:jc w:val="left"/>
            </w:pPr>
            <w:r>
              <w:rPr>
                <w:rFonts w:cs="Times New Roman"/>
              </w:rPr>
              <w:t xml:space="preserve">4. Izrada smjernica i uputa o integraciji odredbi o sukobu interesa u interne akte pravnih </w:t>
            </w:r>
          </w:p>
          <w:p w:rsidR="005C2091" w:rsidRDefault="00A86293">
            <w:pPr>
              <w:pStyle w:val="CellColumn"/>
              <w:jc w:val="left"/>
            </w:pPr>
            <w:r>
              <w:rPr>
                <w:rFonts w:cs="Times New Roman"/>
              </w:rPr>
              <w:t xml:space="preserve">    osoba koje se u širem smislu mogu smatrati dijelom javne uprave.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0</w:t>
            </w:r>
          </w:p>
        </w:tc>
      </w:tr>
    </w:tbl>
    <w:p w:rsidR="005C2091" w:rsidRDefault="005C2091">
      <w:pPr>
        <w:jc w:val="left"/>
      </w:pPr>
    </w:p>
    <w:p w:rsidR="005C2091" w:rsidRDefault="00A86293">
      <w:pPr>
        <w:pStyle w:val="Heading4"/>
      </w:pPr>
      <w:r>
        <w:t>K897002 INFORMATIZACIJA POVJERENSTVA ZA ODLUČIVANJE O SUKOBU INTERESA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K897002-INFORMATIZACIJA POVJERENSTVA ZA ODLUČIVANJE O SUKOBU INTERESA</w:t>
            </w:r>
          </w:p>
        </w:tc>
        <w:tc>
          <w:tcPr>
            <w:tcW w:w="2041" w:type="dxa"/>
          </w:tcPr>
          <w:p w:rsidR="005C2091" w:rsidRDefault="00A86293">
            <w:pPr>
              <w:pStyle w:val="CellColumn"/>
              <w:jc w:val="right"/>
            </w:pPr>
            <w:r>
              <w:rPr>
                <w:rFonts w:cs="Times New Roman"/>
              </w:rPr>
              <w:t>205.528</w:t>
            </w:r>
          </w:p>
        </w:tc>
        <w:tc>
          <w:tcPr>
            <w:tcW w:w="2041" w:type="dxa"/>
          </w:tcPr>
          <w:p w:rsidR="005C2091" w:rsidRDefault="00A86293">
            <w:pPr>
              <w:pStyle w:val="CellColumn"/>
              <w:jc w:val="right"/>
            </w:pPr>
            <w:r>
              <w:rPr>
                <w:rFonts w:cs="Times New Roman"/>
              </w:rPr>
              <w:t>127.415</w:t>
            </w:r>
          </w:p>
        </w:tc>
        <w:tc>
          <w:tcPr>
            <w:tcW w:w="2041" w:type="dxa"/>
          </w:tcPr>
          <w:p w:rsidR="005C2091" w:rsidRDefault="00A86293">
            <w:pPr>
              <w:pStyle w:val="CellColumn"/>
              <w:jc w:val="right"/>
            </w:pPr>
            <w:r>
              <w:rPr>
                <w:rFonts w:cs="Times New Roman"/>
              </w:rPr>
              <w:t>114.970</w:t>
            </w:r>
          </w:p>
        </w:tc>
        <w:tc>
          <w:tcPr>
            <w:tcW w:w="1224" w:type="dxa"/>
          </w:tcPr>
          <w:p w:rsidR="005C2091" w:rsidRDefault="00A86293">
            <w:pPr>
              <w:pStyle w:val="CellColumn"/>
              <w:jc w:val="right"/>
            </w:pPr>
            <w:r>
              <w:rPr>
                <w:rFonts w:cs="Times New Roman"/>
              </w:rPr>
              <w:t>90,2</w:t>
            </w:r>
          </w:p>
        </w:tc>
        <w:tc>
          <w:tcPr>
            <w:tcW w:w="1224" w:type="dxa"/>
          </w:tcPr>
          <w:p w:rsidR="005C2091" w:rsidRDefault="00A86293">
            <w:pPr>
              <w:pStyle w:val="CellColumn"/>
              <w:jc w:val="right"/>
            </w:pPr>
            <w:r>
              <w:rPr>
                <w:rFonts w:cs="Times New Roman"/>
              </w:rPr>
              <w:t>55,9</w:t>
            </w:r>
          </w:p>
        </w:tc>
      </w:tr>
    </w:tbl>
    <w:p w:rsidR="005C2091" w:rsidRDefault="005C2091">
      <w:pPr>
        <w:jc w:val="left"/>
      </w:pPr>
    </w:p>
    <w:p w:rsidR="005C2091" w:rsidRDefault="00A86293">
      <w:pPr>
        <w:pStyle w:val="Heading8"/>
        <w:jc w:val="left"/>
      </w:pPr>
      <w:r>
        <w:t>Zakonske i druge pravne osnove</w:t>
      </w:r>
    </w:p>
    <w:p w:rsidR="005C2091" w:rsidRDefault="00A86293">
      <w:r>
        <w:t>•</w:t>
      </w:r>
      <w:r>
        <w:tab/>
        <w:t xml:space="preserve">Zakon o sprječavanju sukoba interesa, </w:t>
      </w:r>
    </w:p>
    <w:p w:rsidR="005C2091" w:rsidRDefault="00A86293">
      <w:r>
        <w:t>•</w:t>
      </w:r>
      <w:r>
        <w:tab/>
        <w:t xml:space="preserve">Pravilnik o načinu rada i odlučivanja Povjerenstva za odlučivanje o sukobu interesa. </w:t>
      </w:r>
    </w:p>
    <w:p w:rsidR="005C2091" w:rsidRDefault="00A86293">
      <w:r>
        <w:t>•</w:t>
      </w:r>
      <w:r>
        <w:tab/>
        <w:t>Pravilnik o unutarnjem ustrojstvu Ureda povjerenstva za odlučivanje o sukobu interesa.</w:t>
      </w:r>
    </w:p>
    <w:p w:rsidR="005C2091" w:rsidRDefault="00A86293">
      <w:pPr>
        <w:pStyle w:val="Heading8"/>
        <w:jc w:val="left"/>
      </w:pPr>
      <w:r>
        <w:t>Opis aktivnosti</w:t>
      </w:r>
    </w:p>
    <w:p w:rsidR="005C2091" w:rsidRDefault="00A86293">
      <w:r>
        <w:t xml:space="preserve">Tijekom 2015. godine Povjerenstvo je provelo projekt informatizacije sveukupnih procesa rada u sklopu kojeg je izrađen program uredskog poslovanja s ciljem ustroja elektroničke evidencije ulazne i izlazne pošte, automatskog raspoređivanja i dodjeljivanja pojedinih predmeta u rad, oblikovanja elektroničkog spisa te elektroničkih očevidnika u kojima se prati tijek predmeta i rokovi postupanja. </w:t>
      </w:r>
    </w:p>
    <w:p w:rsidR="005C2091" w:rsidRDefault="00A86293">
      <w:r>
        <w:lastRenderedPageBreak/>
        <w:t xml:space="preserve">U sklopu projekta informatizacije Povjerenstva, procesi rada ustrojeni su i povezani sa internom mrežom putem koje se mogu dohvatiti podatci i dijeljenja dokumentacija. Unutar ovog projekta ustrojen je i Registar dužnosnika, novi obrazac izvješća o imovinskom stanju dužnosnika u elektroničkom obliku i nova internetska stranica Povjerenstva, a izrađen je i  tzv. e-sandučić koji omogućava dostavu akata Povjerenstva dužnosnicima putem korisničkog računa. </w:t>
      </w:r>
    </w:p>
    <w:p w:rsidR="005C2091" w:rsidRDefault="00A86293">
      <w:r>
        <w:t xml:space="preserve">Početkom 2016. godine Povjerenstvo je procijenilo da bi bilo nužno u određenim segmentima dodatno nadograditi postojeći informatički sustav, i to prvenstveno u pogledu daljnjeg poboljšanja sustava za podnošenje izvješća o imovinskom stanju, izradu aplikacije za napredne pretrage sadržaja izvješća o imovinskom stanju, kao i izradu aplikacije za analitičko praćenje svih područja rada Povjerenstva. Ove nadogradnje informatičkog sustava uspješno su provedene početkom III. kvartala 2016. godine. </w:t>
      </w:r>
    </w:p>
    <w:p w:rsidR="005C2091" w:rsidRDefault="00A86293">
      <w:r>
        <w:t xml:space="preserve"> </w:t>
      </w:r>
    </w:p>
    <w:p w:rsidR="005C2091" w:rsidRDefault="00A86293">
      <w:r>
        <w:t xml:space="preserve">U cilju efikasnijeg obavljanja provjera iz svoje nadležnosti, Povjerenstvo do konca 2016. godine provelo niz tehničko-informatičkih mjera kojima je osiguran neposredan pristup određenim bazama podataka s kojima raspolaže Porezna uprava i druga državna tijela. Radi se o podacima o imovini, imateljima vrijednosnih papira, udjelima u pravnim osobama,  podacima o sudskim i javnobilježničkim osiguranju tražbina na pokretninama i pravima, podacima o redoslijedu osnova za plaćanje, jedinstvenom registru računa, podacima o insolventnosti kao i podacima o prihodima građana. Da bi realizirao pristup ovim podacima Povjerenstvo je prethodno tijekom 2015. i 2016. godine zaključilo odgovarajuće protokole i sporazume o suradnji koji omogućuju korištenje podataka Porezne uprave i ostalih drugih državnih tijela.  </w:t>
      </w:r>
    </w:p>
    <w:p w:rsidR="005C2091" w:rsidRDefault="00A86293">
      <w:r>
        <w:t>Paralelno sa tim Povjerenstvo je obavilo nužne prilagodbe svog informatičkog sustava. a sve  kako bi u 2017.godini moglo izraditi informatičku aplikaciju za automatsku usporedbu podataka iz podnesenih izvješća o imovinskom stanju dužnosnika sa podacima sadržanim u bazama podataka drugih državnih tijela. Ova aplikacija će ubrzati postupak provjere i utvrđivanja nesklada između prijavljenog i stvarnog imovinskog stanja dužnosnika i omogućiti Povjerenstvu više prostora za proaktivni rad, prije svega na edukaciji o potrebi kvalitetnog upravljanja potencijalnim sukobom interesa.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realiziranih aplikacija</w:t>
            </w:r>
          </w:p>
        </w:tc>
        <w:tc>
          <w:tcPr>
            <w:tcW w:w="2551" w:type="dxa"/>
          </w:tcPr>
          <w:p w:rsidR="005C2091" w:rsidRDefault="00A86293">
            <w:pPr>
              <w:pStyle w:val="CellColumn"/>
              <w:jc w:val="left"/>
            </w:pPr>
            <w:r>
              <w:rPr>
                <w:rFonts w:cs="Times New Roman"/>
              </w:rPr>
              <w:t>Jačanje informatičkih kapaciteta Povjerenstva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2</w:t>
            </w:r>
          </w:p>
        </w:tc>
        <w:tc>
          <w:tcPr>
            <w:tcW w:w="1020" w:type="dxa"/>
          </w:tcPr>
          <w:p w:rsidR="005C2091" w:rsidRDefault="00A86293">
            <w:pPr>
              <w:pStyle w:val="CellColumn"/>
              <w:jc w:val="right"/>
            </w:pPr>
            <w:r>
              <w:rPr>
                <w:rFonts w:cs="Times New Roman"/>
              </w:rPr>
              <w:t>1</w:t>
            </w:r>
          </w:p>
        </w:tc>
      </w:tr>
    </w:tbl>
    <w:p w:rsidR="00C42C55" w:rsidRDefault="00C42C55">
      <w:pPr>
        <w:jc w:val="left"/>
      </w:pPr>
    </w:p>
    <w:p w:rsidR="005C2091" w:rsidRDefault="00C42C55" w:rsidP="00505632">
      <w:r>
        <w:br w:type="page"/>
      </w:r>
    </w:p>
    <w:p w:rsidR="005C2091" w:rsidRDefault="00A86293">
      <w:pPr>
        <w:pStyle w:val="Heading1"/>
      </w:pPr>
      <w:r>
        <w:lastRenderedPageBreak/>
        <w:t>054 MINISTARSTVO DRŽAVNE IMOVINE</w:t>
      </w:r>
    </w:p>
    <w:p w:rsidR="005C2091" w:rsidRDefault="00A86293">
      <w:r>
        <w:t xml:space="preserve">Ministarstvo državne imovine osnovano je sukladno Zakonu o izmjenama i dopunama zakona o ustrojstvu i djelokrugu Ministarstava i drugih središnjih tijela državne uprave (NN 104/16) od 12. studenog 2016. godine, a sukladno članku 28. Zakona njegovim stupanjem na snagu Ministarstvo državne imovine preuzima poslove, opremu, pismohranu i drugu dokumentaciju, sredstva za rad, financijska sredstva te prava i obveze Središnjeg državnog ureda za upravljanje državnom imovinom.  </w:t>
      </w:r>
    </w:p>
    <w:p w:rsidR="005C2091" w:rsidRDefault="00A86293">
      <w:r>
        <w:t xml:space="preserve">Ministarstvo državne imovine (dalje u tekstu: Ministarstvo) svojim Financijskim planom za 2016. godinu planiralo je sredstva potrebna za upravljanje nekretninama u 2016. godini u okviru aktivnosti A915002 - Administracija i upravljanje, u okviru aktivnosti K915003 - Opremanje i K915004 - Informatizacija. U 2016. godini otvoren je novi potprogram još u Financijskom planu za Središnji državni ured za upravljanje državnom imovinom koji se kasnije nastavio i u Ministarstvu, a odnosi se na aktivnost A915001 - Promjena statusa društva Imunološki zavod d.d.  </w:t>
      </w:r>
    </w:p>
    <w:p w:rsidR="005C2091" w:rsidRDefault="00A86293">
      <w:r>
        <w:t>S obzirom da je Ministarstvo ustrojeno 13. studenog 2016. godine izvorni plan iznosio je kn*12.968.294,00 dok je preraspodjelom dana 29. prosinca 2016. godini isti povećan na kn*44.974.815,00, a za potrebe plaćanja duga prema društvu Croatia osiguranje d.d. Zagreb sukladno Sporazumu i Izvansudskoj nagodbi.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05405-Ministarstvo državne imovine</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44.974.815</w:t>
            </w:r>
          </w:p>
        </w:tc>
        <w:tc>
          <w:tcPr>
            <w:tcW w:w="2041" w:type="dxa"/>
            <w:vAlign w:val="top"/>
          </w:tcPr>
          <w:p w:rsidR="005C2091" w:rsidRDefault="00A86293">
            <w:pPr>
              <w:pStyle w:val="CellColumn"/>
              <w:jc w:val="right"/>
            </w:pPr>
            <w:r>
              <w:rPr>
                <w:rFonts w:cs="Times New Roman"/>
              </w:rPr>
              <w:t>36.787.557</w:t>
            </w:r>
          </w:p>
        </w:tc>
        <w:tc>
          <w:tcPr>
            <w:tcW w:w="1224" w:type="dxa"/>
            <w:vAlign w:val="top"/>
          </w:tcPr>
          <w:p w:rsidR="005C2091" w:rsidRDefault="00A86293">
            <w:pPr>
              <w:pStyle w:val="CellColumn"/>
              <w:jc w:val="right"/>
            </w:pPr>
            <w:r>
              <w:rPr>
                <w:rFonts w:cs="Times New Roman"/>
              </w:rPr>
              <w:t>81,8</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shd w:val="clear" w:color="auto" w:fill="B5C0D8"/>
          </w:tcPr>
          <w:p w:rsidR="005C2091" w:rsidRDefault="00A86293">
            <w:pPr>
              <w:pStyle w:val="CellColumn"/>
              <w:jc w:val="left"/>
            </w:pPr>
            <w:r>
              <w:rPr>
                <w:rFonts w:cs="Times New Roman"/>
              </w:rPr>
              <w:t>Ukupno 054-MINISTARSTVO DRŽAVNE IMOVINE</w:t>
            </w:r>
          </w:p>
        </w:tc>
        <w:tc>
          <w:tcPr>
            <w:tcW w:w="2041" w:type="dxa"/>
            <w:shd w:val="clear" w:color="auto" w:fill="B5C0D8"/>
          </w:tcPr>
          <w:p w:rsidR="005C2091" w:rsidRDefault="00A86293">
            <w:pPr>
              <w:pStyle w:val="CellColumn"/>
              <w:jc w:val="right"/>
            </w:pPr>
            <w:r>
              <w:rPr>
                <w:rFonts w:cs="Times New Roman"/>
              </w:rPr>
              <w:t>00</w:t>
            </w:r>
          </w:p>
        </w:tc>
        <w:tc>
          <w:tcPr>
            <w:tcW w:w="2041" w:type="dxa"/>
            <w:shd w:val="clear" w:color="auto" w:fill="B5C0D8"/>
          </w:tcPr>
          <w:p w:rsidR="005C2091" w:rsidRDefault="00A86293">
            <w:pPr>
              <w:pStyle w:val="CellColumn"/>
              <w:jc w:val="right"/>
            </w:pPr>
            <w:r>
              <w:rPr>
                <w:rFonts w:cs="Times New Roman"/>
              </w:rPr>
              <w:t>44.974.815</w:t>
            </w:r>
          </w:p>
        </w:tc>
        <w:tc>
          <w:tcPr>
            <w:tcW w:w="2041" w:type="dxa"/>
            <w:shd w:val="clear" w:color="auto" w:fill="B5C0D8"/>
          </w:tcPr>
          <w:p w:rsidR="005C2091" w:rsidRDefault="00A86293">
            <w:pPr>
              <w:pStyle w:val="CellColumn"/>
              <w:jc w:val="right"/>
            </w:pPr>
            <w:r>
              <w:rPr>
                <w:rFonts w:cs="Times New Roman"/>
              </w:rPr>
              <w:t>36.787.557</w:t>
            </w:r>
          </w:p>
        </w:tc>
        <w:tc>
          <w:tcPr>
            <w:tcW w:w="1224" w:type="dxa"/>
            <w:shd w:val="clear" w:color="auto" w:fill="B5C0D8"/>
          </w:tcPr>
          <w:p w:rsidR="005C2091" w:rsidRDefault="00A86293">
            <w:pPr>
              <w:pStyle w:val="CellColumn"/>
              <w:jc w:val="right"/>
            </w:pPr>
            <w:r>
              <w:rPr>
                <w:rFonts w:cs="Times New Roman"/>
              </w:rPr>
              <w:t>81,8</w:t>
            </w:r>
          </w:p>
        </w:tc>
        <w:tc>
          <w:tcPr>
            <w:tcW w:w="1224" w:type="dxa"/>
            <w:shd w:val="clear" w:color="auto" w:fill="B5C0D8"/>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2"/>
      </w:pPr>
      <w:r>
        <w:t>05405 Ministarstvo državne imovine</w:t>
      </w:r>
    </w:p>
    <w:p w:rsidR="005C2091" w:rsidRDefault="00A86293">
      <w:r>
        <w:t>Izvršenje financijskog plana Ministarstva bilo je u iznosu od 81,8% u odnosu na planirana sredstva. Razlog neiskorištavanja planiranih sredstava najvećim dijelom odnosi se na neiskorištavanje sredstava u aktivnosti Informatizacija gdje nisu iskorištena financijska sredstva jer se uslijed ustrojstvenih promjena kasnilo sa raspisivanjem natječaja za drugu fazu aplikacije ISUDIO. Ostala veće neiskorištena sredstva ostala su na aktivnosti A915002 - Administracija i upravljanje i to na stavci Rashodi za zaposlene gdje je izvršenje u iznosu od 52,14% jer je kasnio natječaj za nova radna mjesta.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05405-Ministarstvo državne imovine</w:t>
            </w:r>
          </w:p>
        </w:tc>
        <w:tc>
          <w:tcPr>
            <w:tcW w:w="2041" w:type="dxa"/>
            <w:vAlign w:val="top"/>
          </w:tcPr>
          <w:p w:rsidR="005C2091" w:rsidRDefault="00A86293">
            <w:pPr>
              <w:pStyle w:val="CellColumn"/>
              <w:jc w:val="right"/>
            </w:pPr>
            <w:r>
              <w:rPr>
                <w:rFonts w:cs="Times New Roman"/>
              </w:rPr>
              <w:t>00</w:t>
            </w:r>
          </w:p>
        </w:tc>
        <w:tc>
          <w:tcPr>
            <w:tcW w:w="2041" w:type="dxa"/>
            <w:vAlign w:val="top"/>
          </w:tcPr>
          <w:p w:rsidR="005C2091" w:rsidRDefault="00A86293">
            <w:pPr>
              <w:pStyle w:val="CellColumn"/>
              <w:jc w:val="right"/>
            </w:pPr>
            <w:r>
              <w:rPr>
                <w:rFonts w:cs="Times New Roman"/>
              </w:rPr>
              <w:t>44.974.815</w:t>
            </w:r>
          </w:p>
        </w:tc>
        <w:tc>
          <w:tcPr>
            <w:tcW w:w="2041" w:type="dxa"/>
            <w:vAlign w:val="top"/>
          </w:tcPr>
          <w:p w:rsidR="005C2091" w:rsidRDefault="00A86293">
            <w:pPr>
              <w:pStyle w:val="CellColumn"/>
              <w:jc w:val="right"/>
            </w:pPr>
            <w:r>
              <w:rPr>
                <w:rFonts w:cs="Times New Roman"/>
              </w:rPr>
              <w:t>36.787.557</w:t>
            </w:r>
          </w:p>
        </w:tc>
        <w:tc>
          <w:tcPr>
            <w:tcW w:w="1224" w:type="dxa"/>
            <w:vAlign w:val="top"/>
          </w:tcPr>
          <w:p w:rsidR="005C2091" w:rsidRDefault="00A86293">
            <w:pPr>
              <w:pStyle w:val="CellColumn"/>
              <w:jc w:val="right"/>
            </w:pPr>
            <w:r>
              <w:rPr>
                <w:rFonts w:cs="Times New Roman"/>
              </w:rPr>
              <w:t>81,8</w:t>
            </w:r>
          </w:p>
        </w:tc>
        <w:tc>
          <w:tcPr>
            <w:tcW w:w="1224" w:type="dxa"/>
            <w:vAlign w:val="top"/>
          </w:tcPr>
          <w:p w:rsidR="005C2091" w:rsidRDefault="00A86293">
            <w:pPr>
              <w:pStyle w:val="CellColumn"/>
              <w:jc w:val="right"/>
            </w:pPr>
            <w:r>
              <w:rPr>
                <w:rFonts w:cs="Times New Roman"/>
              </w:rPr>
              <w:t>0,0</w:t>
            </w:r>
          </w:p>
        </w:tc>
      </w:tr>
      <w:tr w:rsidR="005C2091">
        <w:trPr>
          <w:jc w:val="center"/>
        </w:trPr>
        <w:tc>
          <w:tcPr>
            <w:tcW w:w="1632" w:type="dxa"/>
          </w:tcPr>
          <w:p w:rsidR="005C2091" w:rsidRDefault="00A86293">
            <w:pPr>
              <w:jc w:val="left"/>
            </w:pPr>
            <w:r>
              <w:t>2415-UPRAVLJANJE I KONTROLA DRŽAVNOM IMOVINOM</w:t>
            </w:r>
          </w:p>
        </w:tc>
        <w:tc>
          <w:tcPr>
            <w:tcW w:w="2041" w:type="dxa"/>
          </w:tcPr>
          <w:p w:rsidR="005C2091" w:rsidRDefault="00A86293">
            <w:pPr>
              <w:jc w:val="right"/>
            </w:pPr>
            <w:r>
              <w:t>00</w:t>
            </w:r>
          </w:p>
        </w:tc>
        <w:tc>
          <w:tcPr>
            <w:tcW w:w="2041" w:type="dxa"/>
          </w:tcPr>
          <w:p w:rsidR="005C2091" w:rsidRDefault="00A86293">
            <w:pPr>
              <w:jc w:val="right"/>
            </w:pPr>
            <w:r>
              <w:t>44.974.815</w:t>
            </w:r>
          </w:p>
        </w:tc>
        <w:tc>
          <w:tcPr>
            <w:tcW w:w="2041" w:type="dxa"/>
          </w:tcPr>
          <w:p w:rsidR="005C2091" w:rsidRDefault="00A86293">
            <w:pPr>
              <w:jc w:val="right"/>
            </w:pPr>
            <w:r>
              <w:t>36.787.557</w:t>
            </w:r>
          </w:p>
        </w:tc>
        <w:tc>
          <w:tcPr>
            <w:tcW w:w="1224" w:type="dxa"/>
          </w:tcPr>
          <w:p w:rsidR="005C2091" w:rsidRDefault="00A86293">
            <w:pPr>
              <w:jc w:val="right"/>
            </w:pPr>
            <w:r>
              <w:t>81,8</w:t>
            </w:r>
          </w:p>
        </w:tc>
        <w:tc>
          <w:tcPr>
            <w:tcW w:w="1224"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lastRenderedPageBreak/>
        <w:t>2415 UPRAVLJANJE I KONTROLA DRŽAVNOM IMOVINOM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2415-UPRAVLJANJE I KONTROLA DRŽAVNOM IMOVINOM</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44.974.815</w:t>
            </w:r>
          </w:p>
        </w:tc>
        <w:tc>
          <w:tcPr>
            <w:tcW w:w="2041" w:type="dxa"/>
          </w:tcPr>
          <w:p w:rsidR="005C2091" w:rsidRDefault="00A86293">
            <w:pPr>
              <w:pStyle w:val="CellColumn"/>
              <w:jc w:val="right"/>
            </w:pPr>
            <w:r>
              <w:rPr>
                <w:rFonts w:cs="Times New Roman"/>
              </w:rPr>
              <w:t>36.787.557</w:t>
            </w:r>
          </w:p>
        </w:tc>
        <w:tc>
          <w:tcPr>
            <w:tcW w:w="1224" w:type="dxa"/>
          </w:tcPr>
          <w:p w:rsidR="005C2091" w:rsidRDefault="00A86293">
            <w:pPr>
              <w:pStyle w:val="CellColumn"/>
              <w:jc w:val="right"/>
            </w:pPr>
            <w:r>
              <w:rPr>
                <w:rFonts w:cs="Times New Roman"/>
              </w:rPr>
              <w:t>81,8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 xml:space="preserve">Ministarstvo sukladno Zakonu o izmjenama i dopunama Zakona o ustrojstvu i djelokrugu ministarstava i drugih središnjih tijela državne uprave ("Narodne novine" broj: 104/2016) djeluje kao koordinacijsko tijelo za upravljanje imovinom u vlasništvu Republike Hrvatske u odnosu na središnja tijela državne uprave i druga tijela, odnosno pravne osobe osnovane posebnim zakonima, koji su imatelji, odnosno raspolažu imovinom u vlasništvu Republike Hrvatske. </w:t>
      </w:r>
    </w:p>
    <w:p w:rsidR="005C2091" w:rsidRDefault="00A86293">
      <w:r>
        <w:t>Efikasno upravljanje i raspolaganje državnom imovinom pretpostavlja učinkovitu državnu upravu i pronalaženje optimalnih rješenja koja će s jedne strane povećati odgovorno i racionalno upravljanje državnom imovinom, a time i državnim i javnim poduzećima, te tako generirati gospodarski rast, dok će s druge strane fizički, ekonomski i pravno štititi državnu imovinu.</w:t>
      </w:r>
    </w:p>
    <w:p w:rsidR="00C42C55" w:rsidRDefault="00C42C55"/>
    <w:p w:rsidR="005C2091" w:rsidRDefault="00A86293">
      <w:pPr>
        <w:pStyle w:val="Heading4"/>
      </w:pPr>
      <w:r>
        <w:t>A915002 ADMINISTRACIJA I UPRAVLJANJE</w:t>
      </w:r>
    </w:p>
    <w:tbl>
      <w:tblPr>
        <w:tblStyle w:val="StilTablice"/>
        <w:tblW w:w="10206" w:type="dxa"/>
        <w:jc w:val="center"/>
        <w:tblLook w:val="04A0" w:firstRow="1" w:lastRow="0" w:firstColumn="1" w:lastColumn="0" w:noHBand="0" w:noVBand="1"/>
      </w:tblPr>
      <w:tblGrid>
        <w:gridCol w:w="1792"/>
        <w:gridCol w:w="1990"/>
        <w:gridCol w:w="1997"/>
        <w:gridCol w:w="1997"/>
        <w:gridCol w:w="1213"/>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A915002-ADMINISTRACIJA I UPRAVLJANJE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38.536.876</w:t>
            </w:r>
          </w:p>
        </w:tc>
        <w:tc>
          <w:tcPr>
            <w:tcW w:w="2041" w:type="dxa"/>
          </w:tcPr>
          <w:p w:rsidR="005C2091" w:rsidRDefault="00A86293">
            <w:pPr>
              <w:pStyle w:val="CellColumn"/>
              <w:jc w:val="right"/>
            </w:pPr>
            <w:r>
              <w:rPr>
                <w:rFonts w:cs="Times New Roman"/>
              </w:rPr>
              <w:t>35.848.608</w:t>
            </w:r>
          </w:p>
        </w:tc>
        <w:tc>
          <w:tcPr>
            <w:tcW w:w="1224" w:type="dxa"/>
          </w:tcPr>
          <w:p w:rsidR="005C2091" w:rsidRDefault="00A86293">
            <w:pPr>
              <w:pStyle w:val="CellColumn"/>
              <w:jc w:val="right"/>
            </w:pPr>
            <w:r>
              <w:rPr>
                <w:rFonts w:cs="Times New Roman"/>
              </w:rPr>
              <w:t>93,0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1.</w:t>
      </w:r>
      <w:r>
        <w:tab/>
        <w:t xml:space="preserve">Zakon o upravljanju i raspolaganju imovinom u vlasništvu Republike Hrvatske (NN 94/13, 18/16) </w:t>
      </w:r>
    </w:p>
    <w:p w:rsidR="005C2091" w:rsidRDefault="00A86293">
      <w:r>
        <w:t>2.</w:t>
      </w:r>
      <w:r>
        <w:tab/>
        <w:t xml:space="preserve">Zakon o ustrojstvu i djelokrugu ministarstva i drugih središnjih tijela državne uprave (NN 150/11, 22/12, 39/13, 125/13, 148/13) </w:t>
      </w:r>
    </w:p>
    <w:p w:rsidR="005C2091" w:rsidRDefault="00A86293">
      <w:r>
        <w:t>3.</w:t>
      </w:r>
      <w:r>
        <w:tab/>
        <w:t xml:space="preserve">Zakon o uređivanju imovinskopravnih odnosa u svrhu izgradnje infrastrukturnih građevina (NN 80/11) </w:t>
      </w:r>
    </w:p>
    <w:p w:rsidR="005C2091" w:rsidRDefault="00A86293">
      <w:r>
        <w:t>4.</w:t>
      </w:r>
      <w:r>
        <w:tab/>
        <w:t xml:space="preserve">Zakon o zakupu i kupoprodaji poslovnog prostora (NN 125/11, 64/15) </w:t>
      </w:r>
    </w:p>
    <w:p w:rsidR="005C2091" w:rsidRDefault="00A86293">
      <w:r>
        <w:t>5.</w:t>
      </w:r>
      <w:r>
        <w:tab/>
        <w:t xml:space="preserve">Zakon o šumama (NN 140/05, 82/06, 129/08, 80/10, 124/10, 25/12, 68/12, 148/13, 94/14) </w:t>
      </w:r>
    </w:p>
    <w:p w:rsidR="005C2091" w:rsidRDefault="00A86293">
      <w:r>
        <w:t>6.</w:t>
      </w:r>
      <w:r>
        <w:tab/>
        <w:t xml:space="preserve">Zakon o vodama (NN 153/63/11,130/11, 56/13,14/14 ) </w:t>
      </w:r>
    </w:p>
    <w:p w:rsidR="005C2091" w:rsidRDefault="00A86293">
      <w:r>
        <w:t>7.</w:t>
      </w:r>
      <w:r>
        <w:tab/>
        <w:t xml:space="preserve">Zakon o poljoprivrednom zemljištu (NN 39/13, 48/15) </w:t>
      </w:r>
    </w:p>
    <w:p w:rsidR="005C2091" w:rsidRDefault="00A86293">
      <w:r>
        <w:t>8.</w:t>
      </w:r>
      <w:r>
        <w:tab/>
        <w:t xml:space="preserve">Zakon o cestama (NN 84/11, 22/13, 54/13, 148/13, 92/14) </w:t>
      </w:r>
    </w:p>
    <w:p w:rsidR="005C2091" w:rsidRDefault="00A86293">
      <w:r>
        <w:t>9.</w:t>
      </w:r>
      <w:r>
        <w:tab/>
        <w:t xml:space="preserve">Zakon o željeznici (NN 94/13, 148/13) </w:t>
      </w:r>
    </w:p>
    <w:p w:rsidR="005C2091" w:rsidRDefault="00A86293">
      <w:r>
        <w:t>10.</w:t>
      </w:r>
      <w:r>
        <w:tab/>
        <w:t xml:space="preserve">Zakon o prostornom uređenju i gradnji (NN 76/07, 38/09, 55/11, 90/11, 50/12, 80/13, 78/15) </w:t>
      </w:r>
    </w:p>
    <w:p w:rsidR="005C2091" w:rsidRDefault="00A86293">
      <w:r>
        <w:t>11.</w:t>
      </w:r>
      <w:r>
        <w:tab/>
        <w:t xml:space="preserve">Zakon o Vladi RH (NN 150/11, 119/14) </w:t>
      </w:r>
    </w:p>
    <w:p w:rsidR="005C2091" w:rsidRDefault="00A86293">
      <w:r>
        <w:lastRenderedPageBreak/>
        <w:t>12.</w:t>
      </w:r>
      <w:r>
        <w:tab/>
        <w:t xml:space="preserve">Zakon o komunalnom gospodarstvu (NN 36/95, 70/97, 128/99, 57/00, 129/00, 59/01, 26/03, 82/04, 110/04, 178/04, 38/09, 79/09, 153/09, 49/11, 84/11, 90/11, 144/12, 94/13, 153/13, 147/14, 36/15) </w:t>
      </w:r>
    </w:p>
    <w:p w:rsidR="005C2091" w:rsidRDefault="00A86293">
      <w:r>
        <w:t>13.</w:t>
      </w:r>
      <w:r>
        <w:tab/>
        <w:t xml:space="preserve">Odluka o kriterijima, mjerilima i postupku dodjele prostora u vlasništvu RH na korištenje organizacijama civilnog društva radi provođenja programa i projekta od interesa za opće dobro (Povjerenstvo VRH, 03.10.2013) </w:t>
      </w:r>
    </w:p>
    <w:p w:rsidR="005C2091" w:rsidRDefault="00A86293">
      <w:r>
        <w:t>14.</w:t>
      </w:r>
      <w:r>
        <w:tab/>
        <w:t xml:space="preserve">Uredba o Registru državne imovine (NN 55/11) </w:t>
      </w:r>
    </w:p>
    <w:p w:rsidR="005C2091" w:rsidRDefault="00A86293">
      <w:r>
        <w:t>15.</w:t>
      </w:r>
      <w:r>
        <w:tab/>
        <w:t xml:space="preserve">Uredba o osnivanju prava građenja i prava služnosti na nekretninama u vlasništvu RH (NN 78/11) </w:t>
      </w:r>
    </w:p>
    <w:p w:rsidR="005C2091" w:rsidRDefault="00A86293">
      <w:r>
        <w:t>16.</w:t>
      </w:r>
      <w:r>
        <w:tab/>
        <w:t xml:space="preserve">Odluka o prodaji stanova u vlasništvu RH kojima upravlja MORH (NN 116/11, 28/15) </w:t>
      </w:r>
    </w:p>
    <w:p w:rsidR="005C2091" w:rsidRDefault="00A86293">
      <w:r>
        <w:t>17.</w:t>
      </w:r>
      <w:r>
        <w:tab/>
        <w:t xml:space="preserve">Odluka o davanju ovlasti Agenciji za pravni promet i posredovanje nekretninama za raspolaganjem nekretninama u vlasništvu Republike Hrvatske (sjednica Vlade 12.05.2011; KLASA: 940-01/11-01/01; URBROJ: 5030105-11-1) </w:t>
      </w:r>
    </w:p>
    <w:p w:rsidR="005C2091" w:rsidRDefault="00A86293">
      <w:r>
        <w:t>18.</w:t>
      </w:r>
      <w:r>
        <w:tab/>
        <w:t xml:space="preserve">Odluka o prodaji stanova u vlasništvu Republike Hrvatske (NN 144/13) </w:t>
      </w:r>
    </w:p>
    <w:p w:rsidR="005C2091" w:rsidRDefault="00A86293">
      <w:r>
        <w:t>19.</w:t>
      </w:r>
      <w:r>
        <w:tab/>
        <w:t xml:space="preserve">Uredba o kriterijima za predlaganje članova Uprava i Nadzornih odbora trgovačkih društava u vlasništvu države (NN 19/12) </w:t>
      </w:r>
    </w:p>
    <w:p w:rsidR="005C2091" w:rsidRDefault="00A86293">
      <w:r>
        <w:t>20.</w:t>
      </w:r>
      <w:r>
        <w:tab/>
        <w:t xml:space="preserve">Izmjene i dopune Odluke o utvrđivanju plaća i drugih primanja predsjednika i članova uprava trgovačkih društava (NN 83/09, 03/11, 03/12, 46/12, 22/13 i 25/14) </w:t>
      </w:r>
    </w:p>
    <w:p w:rsidR="005C2091" w:rsidRDefault="00A86293">
      <w:r>
        <w:t>21.</w:t>
      </w:r>
      <w:r>
        <w:tab/>
        <w:t xml:space="preserve">Temeljem Odluke o korištenju rezidencijalnih objekata u vlasništvu Republike Hrvatske (od 26.07.2012.), članka VI., predstojnik DUUDI-ja donosi Odluku o visini naknade za korištenje rezidencijalnih objekata. </w:t>
      </w:r>
    </w:p>
    <w:p w:rsidR="005C2091" w:rsidRDefault="00A86293">
      <w:r>
        <w:t>22.</w:t>
      </w:r>
      <w:r>
        <w:tab/>
        <w:t xml:space="preserve">Uredba o unutarnjem ustrojstvu Državnog ureda za upravljanje državnom imovinom (NN 118/13) </w:t>
      </w:r>
    </w:p>
    <w:p w:rsidR="005C2091" w:rsidRDefault="00A86293">
      <w:r>
        <w:t>23.</w:t>
      </w:r>
      <w:r>
        <w:tab/>
        <w:t xml:space="preserve">Odluka o utvrđivanju popisa trgovačkih društava i drugih pravnih osoba od strateškog i posebnog interesa za Republiku Hrvatsku (NN 120/13) </w:t>
      </w:r>
    </w:p>
    <w:p w:rsidR="005C2091" w:rsidRDefault="00A86293">
      <w:r>
        <w:t>24.</w:t>
      </w:r>
      <w:r>
        <w:tab/>
        <w:t xml:space="preserve">Uredba o metodama procjene tržišne vrijednosti, naknade za osnivanje prava građenja i naknade za osnivanje prava služnosti na nekretninama u vlasništvu RH (NN 127/13) </w:t>
      </w:r>
    </w:p>
    <w:p w:rsidR="005C2091" w:rsidRDefault="00A86293">
      <w:r>
        <w:t>25.</w:t>
      </w:r>
      <w:r>
        <w:tab/>
        <w:t xml:space="preserve">Uredba o mjerilima i kriterijima dodjele na korištenje nekretnina za potrebe tijela državne uprave ili drugih tijela korisnika državnog proračuna te drugih osoba (NN 127/13) </w:t>
      </w:r>
    </w:p>
    <w:p w:rsidR="005C2091" w:rsidRDefault="00A86293">
      <w:r>
        <w:t>26.</w:t>
      </w:r>
      <w:r>
        <w:tab/>
        <w:t xml:space="preserve">Uredba o darovanju nekretnina u vlasništvu Republike Hrvatske (NN 127/13) </w:t>
      </w:r>
    </w:p>
    <w:p w:rsidR="005C2091" w:rsidRDefault="00A86293">
      <w:r>
        <w:t>27.</w:t>
      </w:r>
      <w:r>
        <w:tab/>
        <w:t xml:space="preserve">Uredba o načinima raspolaganja nekretninama u vlasništvu Republike Hrvatske (NN 127/13) </w:t>
      </w:r>
    </w:p>
    <w:p w:rsidR="005C2091" w:rsidRDefault="00A86293">
      <w:r>
        <w:t>28.</w:t>
      </w:r>
      <w:r>
        <w:tab/>
        <w:t xml:space="preserve">Uredba o načinu prodaje dionica i poslovnih udjela (NN 129/13) </w:t>
      </w:r>
    </w:p>
    <w:p w:rsidR="005C2091" w:rsidRDefault="00A86293">
      <w:r>
        <w:t>29.</w:t>
      </w:r>
      <w:r>
        <w:tab/>
        <w:t xml:space="preserve">Uredba o visini naknade za obavljanje poslova upravljanja dionicama i poslovnim udjelima (NN 130/13) </w:t>
      </w:r>
    </w:p>
    <w:p w:rsidR="005C2091" w:rsidRDefault="00A86293">
      <w:r>
        <w:t>30.</w:t>
      </w:r>
      <w:r>
        <w:tab/>
        <w:t xml:space="preserve">Odluka o prodaji stanova u vlasništvu Republike Hrvatske (NN 144/13) </w:t>
      </w:r>
    </w:p>
    <w:p w:rsidR="005C2091" w:rsidRDefault="00A86293">
      <w:r>
        <w:t>31.</w:t>
      </w:r>
      <w:r>
        <w:tab/>
        <w:t xml:space="preserve">Odluka o prodaji stanova u vlasništvu Republike Hrvatske na području hrvatskog Podunavlja (NN 1/14) </w:t>
      </w:r>
    </w:p>
    <w:p w:rsidR="005C2091" w:rsidRDefault="00A86293">
      <w:r>
        <w:t>32.</w:t>
      </w:r>
      <w:r>
        <w:tab/>
        <w:t xml:space="preserve">Uredba o osnivanju prava građenja i prava služnosti na nekretninama u vlasništvu Republike Hrvatske (NN 10/14) </w:t>
      </w:r>
    </w:p>
    <w:p w:rsidR="005C2091" w:rsidRDefault="00A86293">
      <w:r>
        <w:t>33.</w:t>
      </w:r>
      <w:r>
        <w:tab/>
        <w:t xml:space="preserve">Uredba o obveznom sadržaju Plana upravljanja imovinom u vlasništvu Republike Hrvatske (NN 24/14) </w:t>
      </w:r>
    </w:p>
    <w:p w:rsidR="005C2091" w:rsidRDefault="00A86293">
      <w:r>
        <w:t>34.</w:t>
      </w:r>
      <w:r>
        <w:tab/>
        <w:t xml:space="preserve">Odluka o pokretanju postupka radi preoblikovanja trgovačkog društva Imunološki zavod d.d. u ustanovu za obavljanje djelatnosti zdravstva Imunološki zavod (Klasa: 022-03/15-04/326, Urbroj: 50301-05/18-15-3),  od 30. srpnja 2015.g. </w:t>
      </w:r>
    </w:p>
    <w:p w:rsidR="005C2091" w:rsidRDefault="00A86293">
      <w:r>
        <w:t>35.</w:t>
      </w:r>
      <w:r>
        <w:tab/>
        <w:t xml:space="preserve">Odluka o prijenosu upravljanja i raspolaganja poslovnim prostorima s Ministarstva obrane na Državni ured za upravljanje državnom imovinom (Klasa: 022-03/15-04/87, Urbroj: 50301-09/06-15-2), od 12. ožujka 2015. godine </w:t>
      </w:r>
    </w:p>
    <w:p w:rsidR="005C2091" w:rsidRDefault="00A86293">
      <w:r>
        <w:t>36.</w:t>
      </w:r>
      <w:r>
        <w:tab/>
        <w:t xml:space="preserve">Strateški plan Ministarstva državne imovine za razdoblje 2017-2019. </w:t>
      </w:r>
    </w:p>
    <w:p w:rsidR="005C2091" w:rsidRDefault="00A86293">
      <w:r>
        <w:t>37.</w:t>
      </w:r>
      <w:r>
        <w:tab/>
        <w:t>Plan upravljanja imovinom u vlasništvu Republike Hrvatske za 2016. godinu</w:t>
      </w:r>
    </w:p>
    <w:p w:rsidR="005C2091" w:rsidRDefault="00A86293">
      <w:pPr>
        <w:pStyle w:val="Heading8"/>
        <w:jc w:val="left"/>
      </w:pPr>
      <w:r>
        <w:t>Opis aktivnosti</w:t>
      </w:r>
    </w:p>
    <w:p w:rsidR="005C2091" w:rsidRDefault="00A86293">
      <w:r>
        <w:t xml:space="preserve">U Aktivnosti administracija i upravljanje najveća stavka izvršenja odnosi se na dug prema društvu Croatia osiguranje d.d. u iznosu od kn*32.296.566 koji je plaćen temeljem Sporazuma od 27. prosinca 2016. (koji se </w:t>
      </w:r>
      <w:r>
        <w:lastRenderedPageBreak/>
        <w:t xml:space="preserve">temelji na Sudskoj nagodbi broj P-466/15) i temeljem izvansudske nagodbe broj N-DO-142/15 od 28. prosinca 2016. godine, a isti je izvršen sa pozicije Ostali nespomenuti rashodi poslovanja.  </w:t>
      </w:r>
    </w:p>
    <w:p w:rsidR="005C2091" w:rsidRDefault="00A86293">
      <w:r>
        <w:t>Najveći dio izvršenja preostalih rashoda odnosi se na Plaće (bruto) u iznosu od 881.828,66 kuna, na Komunalne usluge u iznosu od 654.766,93 kuna te na Energiju u iznosu od 435.533,86 kuna.</w:t>
      </w:r>
    </w:p>
    <w:p w:rsidR="005C2091" w:rsidRDefault="00A86293">
      <w:pPr>
        <w:pStyle w:val="Heading4"/>
      </w:pPr>
      <w:r>
        <w:t>K915003 OPREMANJE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K915003-OPREMANJE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815.939</w:t>
            </w:r>
          </w:p>
        </w:tc>
        <w:tc>
          <w:tcPr>
            <w:tcW w:w="2041" w:type="dxa"/>
          </w:tcPr>
          <w:p w:rsidR="005C2091" w:rsidRDefault="00A86293">
            <w:pPr>
              <w:pStyle w:val="CellColumn"/>
              <w:jc w:val="right"/>
            </w:pPr>
            <w:r>
              <w:rPr>
                <w:rFonts w:cs="Times New Roman"/>
              </w:rPr>
              <w:t>784.669</w:t>
            </w:r>
          </w:p>
        </w:tc>
        <w:tc>
          <w:tcPr>
            <w:tcW w:w="1224" w:type="dxa"/>
          </w:tcPr>
          <w:p w:rsidR="005C2091" w:rsidRDefault="00A86293">
            <w:pPr>
              <w:pStyle w:val="CellColumn"/>
              <w:jc w:val="right"/>
            </w:pPr>
            <w:r>
              <w:rPr>
                <w:rFonts w:cs="Times New Roman"/>
              </w:rPr>
              <w:t>96,2</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Opis aktivnosti</w:t>
      </w:r>
    </w:p>
    <w:p w:rsidR="005C2091" w:rsidRDefault="00A86293">
      <w:r>
        <w:t xml:space="preserve">U aktivnosti Opremanje ureda ukupno je utrošeno 784.668,75 kuna od čega na stavku Uredska opremu i namještaj otpada 754.711,31 kune. </w:t>
      </w:r>
    </w:p>
    <w:p w:rsidR="005C2091" w:rsidRDefault="00A86293">
      <w:r>
        <w:t>Od uredske opreme i namještaja najveći dio odnosi se na nabavku novog serverskog računala za potrebe aplikacije ISUDIO u iznosu od 460.266,14 kuna, zatim na računala za novozaposlene djelatnike u iznosu od kn*141.978,00 te računalnu opremu za novi Urudžbeni program u iznosu od 55.950,00 kuna.</w:t>
      </w:r>
    </w:p>
    <w:p w:rsidR="005C2091" w:rsidRDefault="00A86293">
      <w:pPr>
        <w:pStyle w:val="Heading4"/>
      </w:pPr>
      <w:r>
        <w:t>K915004 INFORMATIZACIJA</w:t>
      </w:r>
    </w:p>
    <w:tbl>
      <w:tblPr>
        <w:tblStyle w:val="StilTablice"/>
        <w:tblW w:w="10206" w:type="dxa"/>
        <w:jc w:val="center"/>
        <w:tblLook w:val="04A0" w:firstRow="1" w:lastRow="0" w:firstColumn="1" w:lastColumn="0" w:noHBand="0" w:noVBand="1"/>
      </w:tblPr>
      <w:tblGrid>
        <w:gridCol w:w="1914"/>
        <w:gridCol w:w="1956"/>
        <w:gridCol w:w="1961"/>
        <w:gridCol w:w="1956"/>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K915004-INFORMATIZACIJA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1.109.500</w:t>
            </w:r>
          </w:p>
        </w:tc>
        <w:tc>
          <w:tcPr>
            <w:tcW w:w="2041" w:type="dxa"/>
          </w:tcPr>
          <w:p w:rsidR="005C2091" w:rsidRDefault="00A86293">
            <w:pPr>
              <w:pStyle w:val="CellColumn"/>
              <w:jc w:val="right"/>
            </w:pPr>
            <w:r>
              <w:rPr>
                <w:rFonts w:cs="Times New Roman"/>
              </w:rPr>
              <w:t>154.280</w:t>
            </w:r>
          </w:p>
        </w:tc>
        <w:tc>
          <w:tcPr>
            <w:tcW w:w="1224" w:type="dxa"/>
          </w:tcPr>
          <w:p w:rsidR="005C2091" w:rsidRDefault="00A86293">
            <w:pPr>
              <w:pStyle w:val="CellColumn"/>
              <w:jc w:val="right"/>
            </w:pPr>
            <w:r>
              <w:rPr>
                <w:rFonts w:cs="Times New Roman"/>
              </w:rPr>
              <w:t>13,9</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Opis aktivnosti</w:t>
      </w:r>
    </w:p>
    <w:p w:rsidR="005C2091" w:rsidRDefault="00A86293">
      <w:r>
        <w:t>U okviru aktivnosti Informatizacija indeks izvršenja iznosi 13,91% a razlog navedenom je kašnjenje raspisivanja natječaja za drugu fazu izrade Integralnog informacijskog sustava za upravljanje državnom imovinom (ISUDIO) uslijed ustrojstvenih promjena. Natječaj je raspisan 02. prosinca 2016. godine s rokom dostave ponuda do 22. prosinca 2016. godine zbog čega se predviđena sredstva nisu mogla izvršiti tijekom 2016. godine.</w:t>
      </w:r>
    </w:p>
    <w:p w:rsidR="00C42C55" w:rsidRDefault="00C42C55"/>
    <w:p w:rsidR="00C42C55" w:rsidRDefault="00C42C55" w:rsidP="005F4B72">
      <w:pPr>
        <w:overflowPunct/>
        <w:autoSpaceDE/>
        <w:autoSpaceDN/>
        <w:adjustRightInd/>
        <w:spacing w:after="200" w:line="276" w:lineRule="auto"/>
        <w:jc w:val="left"/>
        <w:textAlignment w:val="auto"/>
      </w:pPr>
      <w:r>
        <w:br w:type="page"/>
      </w:r>
    </w:p>
    <w:p w:rsidR="005C2091" w:rsidRDefault="00A86293">
      <w:pPr>
        <w:pStyle w:val="Heading1"/>
      </w:pPr>
      <w:r>
        <w:lastRenderedPageBreak/>
        <w:t>055 MINISTARSTVO KULTURE</w:t>
      </w:r>
    </w:p>
    <w:p w:rsidR="005C2091" w:rsidRDefault="00A86293">
      <w:r>
        <w:t xml:space="preserve">Ministarstvo kulture, sukladno djelokrugu rada definiranim Zakonom o ustrojstvu i djelokrugu središnjih tijela državne uprave (NN 199/03, 30/04, 22/05, 44/06, 5/08, 27/08, 77/09, 150/11, 22/12, 39/13, 124/13, 93/16, 104/16), obavlja upravne i druge stručne poslove u području kulture koji se odnose na: razvitak i unapređenje kulture, kulturnog i umjetničkog stvaralaštva, kulturnog života i kulturnih djelatnosti, osnivanja ustanova i drugih pravnih osoba u kulturi, promicanje kulturnih veza s drugim zemljama i međunarodnim institucijama, stručne i upravne poslove za Hrvatsko povjerenstvo za UNESCO; upravne poslove u području javnog informiranja; poticanje programa kulturnih potreba pripadnika hrvatskoga naroda u drugim zemljama; osiguravanje financijskih, materijalnih i drugih uvjeta za obavljanje i razvitak djelatnosti kulture, a osobito muzejske, galerijske, knjižničarske, arhivske, kazališne, glazbene i glazbeno-scenske, nakladničke, likovne i filmske. Ministarstvo obavlja upravne i druge poslove koji se odnose na: istraživanje, proučavanje, praćenje, evidentiranje, dokumentiranje i promicanje kulturne baštine; središnju informacijsko-dokumentacijsku službu; utvrđivanje svojstva zaštićenih kulturnih dobara; propisivanje mjerila za utvrđivanje programa javnih potreba u kulturi Republike Hrvatske; skrb, usklađivanje i vođenje nadzora nad financiranjem programa zaštite kulturne baštine; osnivanje i nadzor nad ustanovama za obavljanje poslova djelatnosti zaštite kulturne baštine; ocjenjivanje uvjeta za rad pravnih i fizičkih osoba na restauratorskim, konzervatorskim i drugim poslovima zaštite kulturne baštine; osiguranje uvjeta za obrazovanje i usavršavanje stručnih radnika u poslovima zaštite kulturne baštine; provedbu nadzora prometa, uvoza i izvoza zaštićenih kulturnih dobara; utvrđivanje uvjeta za korištenje i namjenu kulturnih dobara, te upravljanje kulturnim dobrima sukladno propisima; utvrđivanje posebnih uvjeta građenja za zaštitu dijelova kulturne baštine; obavljanje inspekcijskih poslova zaštite kulturne baštine. </w:t>
      </w:r>
    </w:p>
    <w:p w:rsidR="005C2091" w:rsidRDefault="00A86293">
      <w:r>
        <w:t>Ministarstvo kulture u potpunosti je izvršilo programe u 2016. godini.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05505-Ministarstvo kulture</w:t>
            </w:r>
          </w:p>
        </w:tc>
        <w:tc>
          <w:tcPr>
            <w:tcW w:w="2041" w:type="dxa"/>
            <w:vAlign w:val="top"/>
          </w:tcPr>
          <w:p w:rsidR="005C2091" w:rsidRDefault="00A86293">
            <w:pPr>
              <w:pStyle w:val="CellColumn"/>
              <w:jc w:val="right"/>
            </w:pPr>
            <w:r>
              <w:rPr>
                <w:rFonts w:cs="Times New Roman"/>
              </w:rPr>
              <w:t>463.833.779</w:t>
            </w:r>
          </w:p>
        </w:tc>
        <w:tc>
          <w:tcPr>
            <w:tcW w:w="2041" w:type="dxa"/>
            <w:vAlign w:val="top"/>
          </w:tcPr>
          <w:p w:rsidR="005C2091" w:rsidRDefault="00A86293">
            <w:pPr>
              <w:pStyle w:val="CellColumn"/>
              <w:jc w:val="right"/>
            </w:pPr>
            <w:r>
              <w:rPr>
                <w:rFonts w:cs="Times New Roman"/>
              </w:rPr>
              <w:t>443.219.977</w:t>
            </w:r>
          </w:p>
        </w:tc>
        <w:tc>
          <w:tcPr>
            <w:tcW w:w="2041" w:type="dxa"/>
            <w:vAlign w:val="top"/>
          </w:tcPr>
          <w:p w:rsidR="005C2091" w:rsidRDefault="00A86293">
            <w:pPr>
              <w:pStyle w:val="CellColumn"/>
              <w:jc w:val="right"/>
            </w:pPr>
            <w:r>
              <w:rPr>
                <w:rFonts w:cs="Times New Roman"/>
              </w:rPr>
              <w:t>467.694.526</w:t>
            </w:r>
          </w:p>
        </w:tc>
        <w:tc>
          <w:tcPr>
            <w:tcW w:w="1224" w:type="dxa"/>
            <w:vAlign w:val="top"/>
          </w:tcPr>
          <w:p w:rsidR="005C2091" w:rsidRDefault="00A86293">
            <w:pPr>
              <w:pStyle w:val="CellColumn"/>
              <w:jc w:val="right"/>
            </w:pPr>
            <w:r>
              <w:rPr>
                <w:rFonts w:cs="Times New Roman"/>
              </w:rPr>
              <w:t>105,5</w:t>
            </w:r>
          </w:p>
        </w:tc>
        <w:tc>
          <w:tcPr>
            <w:tcW w:w="1224" w:type="dxa"/>
            <w:vAlign w:val="top"/>
          </w:tcPr>
          <w:p w:rsidR="005C2091" w:rsidRDefault="00A86293">
            <w:pPr>
              <w:pStyle w:val="CellColumn"/>
              <w:jc w:val="right"/>
            </w:pPr>
            <w:r>
              <w:rPr>
                <w:rFonts w:cs="Times New Roman"/>
              </w:rPr>
              <w:t>100,8</w:t>
            </w:r>
          </w:p>
        </w:tc>
      </w:tr>
      <w:tr w:rsidR="005C2091">
        <w:trPr>
          <w:jc w:val="center"/>
        </w:trPr>
        <w:tc>
          <w:tcPr>
            <w:tcW w:w="1632" w:type="dxa"/>
            <w:vAlign w:val="top"/>
          </w:tcPr>
          <w:p w:rsidR="005C2091" w:rsidRDefault="00A86293">
            <w:pPr>
              <w:pStyle w:val="CellColumn"/>
              <w:jc w:val="left"/>
            </w:pPr>
            <w:r>
              <w:rPr>
                <w:rFonts w:cs="Times New Roman"/>
              </w:rPr>
              <w:t>05535-Arhivi</w:t>
            </w:r>
          </w:p>
        </w:tc>
        <w:tc>
          <w:tcPr>
            <w:tcW w:w="2041" w:type="dxa"/>
            <w:vAlign w:val="top"/>
          </w:tcPr>
          <w:p w:rsidR="005C2091" w:rsidRDefault="00A86293">
            <w:pPr>
              <w:pStyle w:val="CellColumn"/>
              <w:jc w:val="right"/>
            </w:pPr>
            <w:r>
              <w:rPr>
                <w:rFonts w:cs="Times New Roman"/>
              </w:rPr>
              <w:t>79.496.359</w:t>
            </w:r>
          </w:p>
        </w:tc>
        <w:tc>
          <w:tcPr>
            <w:tcW w:w="2041" w:type="dxa"/>
            <w:vAlign w:val="top"/>
          </w:tcPr>
          <w:p w:rsidR="005C2091" w:rsidRDefault="00A86293">
            <w:pPr>
              <w:pStyle w:val="CellColumn"/>
              <w:jc w:val="right"/>
            </w:pPr>
            <w:r>
              <w:rPr>
                <w:rFonts w:cs="Times New Roman"/>
              </w:rPr>
              <w:t>80.185.730</w:t>
            </w:r>
          </w:p>
        </w:tc>
        <w:tc>
          <w:tcPr>
            <w:tcW w:w="2041" w:type="dxa"/>
            <w:vAlign w:val="top"/>
          </w:tcPr>
          <w:p w:rsidR="005C2091" w:rsidRDefault="00A86293">
            <w:pPr>
              <w:pStyle w:val="CellColumn"/>
              <w:jc w:val="right"/>
            </w:pPr>
            <w:r>
              <w:rPr>
                <w:rFonts w:cs="Times New Roman"/>
              </w:rPr>
              <w:t>77.490.182</w:t>
            </w:r>
          </w:p>
        </w:tc>
        <w:tc>
          <w:tcPr>
            <w:tcW w:w="1224" w:type="dxa"/>
            <w:vAlign w:val="top"/>
          </w:tcPr>
          <w:p w:rsidR="005C2091" w:rsidRDefault="00A86293">
            <w:pPr>
              <w:pStyle w:val="CellColumn"/>
              <w:jc w:val="right"/>
            </w:pPr>
            <w:r>
              <w:rPr>
                <w:rFonts w:cs="Times New Roman"/>
              </w:rPr>
              <w:t>96,6</w:t>
            </w:r>
          </w:p>
        </w:tc>
        <w:tc>
          <w:tcPr>
            <w:tcW w:w="1224" w:type="dxa"/>
            <w:vAlign w:val="top"/>
          </w:tcPr>
          <w:p w:rsidR="005C2091" w:rsidRDefault="00A86293">
            <w:pPr>
              <w:pStyle w:val="CellColumn"/>
              <w:jc w:val="right"/>
            </w:pPr>
            <w:r>
              <w:rPr>
                <w:rFonts w:cs="Times New Roman"/>
              </w:rPr>
              <w:t>97,5</w:t>
            </w:r>
          </w:p>
        </w:tc>
      </w:tr>
      <w:tr w:rsidR="005C2091">
        <w:trPr>
          <w:jc w:val="center"/>
        </w:trPr>
        <w:tc>
          <w:tcPr>
            <w:tcW w:w="1632" w:type="dxa"/>
            <w:vAlign w:val="top"/>
          </w:tcPr>
          <w:p w:rsidR="005C2091" w:rsidRDefault="00A86293">
            <w:pPr>
              <w:pStyle w:val="CellColumn"/>
              <w:jc w:val="left"/>
            </w:pPr>
            <w:r>
              <w:rPr>
                <w:rFonts w:cs="Times New Roman"/>
              </w:rPr>
              <w:t>05540-Muzeji i galerije</w:t>
            </w:r>
          </w:p>
        </w:tc>
        <w:tc>
          <w:tcPr>
            <w:tcW w:w="2041" w:type="dxa"/>
            <w:vAlign w:val="top"/>
          </w:tcPr>
          <w:p w:rsidR="005C2091" w:rsidRDefault="00A86293">
            <w:pPr>
              <w:pStyle w:val="CellColumn"/>
              <w:jc w:val="right"/>
            </w:pPr>
            <w:r>
              <w:rPr>
                <w:rFonts w:cs="Times New Roman"/>
              </w:rPr>
              <w:t>100.705.790</w:t>
            </w:r>
          </w:p>
        </w:tc>
        <w:tc>
          <w:tcPr>
            <w:tcW w:w="2041" w:type="dxa"/>
            <w:vAlign w:val="top"/>
          </w:tcPr>
          <w:p w:rsidR="005C2091" w:rsidRDefault="00A86293">
            <w:pPr>
              <w:pStyle w:val="CellColumn"/>
              <w:jc w:val="right"/>
            </w:pPr>
            <w:r>
              <w:rPr>
                <w:rFonts w:cs="Times New Roman"/>
              </w:rPr>
              <w:t>103.454.443</w:t>
            </w:r>
          </w:p>
        </w:tc>
        <w:tc>
          <w:tcPr>
            <w:tcW w:w="2041" w:type="dxa"/>
            <w:vAlign w:val="top"/>
          </w:tcPr>
          <w:p w:rsidR="005C2091" w:rsidRDefault="00A86293">
            <w:pPr>
              <w:pStyle w:val="CellColumn"/>
              <w:jc w:val="right"/>
            </w:pPr>
            <w:r>
              <w:rPr>
                <w:rFonts w:cs="Times New Roman"/>
              </w:rPr>
              <w:t>103.030.961</w:t>
            </w:r>
          </w:p>
        </w:tc>
        <w:tc>
          <w:tcPr>
            <w:tcW w:w="1224" w:type="dxa"/>
            <w:vAlign w:val="top"/>
          </w:tcPr>
          <w:p w:rsidR="005C2091" w:rsidRDefault="00A86293">
            <w:pPr>
              <w:pStyle w:val="CellColumn"/>
              <w:jc w:val="right"/>
            </w:pPr>
            <w:r>
              <w:rPr>
                <w:rFonts w:cs="Times New Roman"/>
              </w:rPr>
              <w:t>99,6</w:t>
            </w:r>
          </w:p>
        </w:tc>
        <w:tc>
          <w:tcPr>
            <w:tcW w:w="1224" w:type="dxa"/>
            <w:vAlign w:val="top"/>
          </w:tcPr>
          <w:p w:rsidR="005C2091" w:rsidRDefault="00A86293">
            <w:pPr>
              <w:pStyle w:val="CellColumn"/>
              <w:jc w:val="right"/>
            </w:pPr>
            <w:r>
              <w:rPr>
                <w:rFonts w:cs="Times New Roman"/>
              </w:rPr>
              <w:t>102,3</w:t>
            </w:r>
          </w:p>
        </w:tc>
      </w:tr>
      <w:tr w:rsidR="005C2091">
        <w:trPr>
          <w:jc w:val="center"/>
        </w:trPr>
        <w:tc>
          <w:tcPr>
            <w:tcW w:w="1632" w:type="dxa"/>
            <w:vAlign w:val="top"/>
          </w:tcPr>
          <w:p w:rsidR="005C2091" w:rsidRDefault="00A86293">
            <w:pPr>
              <w:pStyle w:val="CellColumn"/>
              <w:jc w:val="left"/>
            </w:pPr>
            <w:r>
              <w:rPr>
                <w:rFonts w:cs="Times New Roman"/>
              </w:rPr>
              <w:t>05565-Ostali proračunski korisnici iz područja kulture</w:t>
            </w:r>
          </w:p>
        </w:tc>
        <w:tc>
          <w:tcPr>
            <w:tcW w:w="2041" w:type="dxa"/>
            <w:vAlign w:val="top"/>
          </w:tcPr>
          <w:p w:rsidR="005C2091" w:rsidRDefault="00A86293">
            <w:pPr>
              <w:pStyle w:val="CellColumn"/>
              <w:jc w:val="right"/>
            </w:pPr>
            <w:r>
              <w:rPr>
                <w:rFonts w:cs="Times New Roman"/>
              </w:rPr>
              <w:t>241.786.519</w:t>
            </w:r>
          </w:p>
        </w:tc>
        <w:tc>
          <w:tcPr>
            <w:tcW w:w="2041" w:type="dxa"/>
            <w:vAlign w:val="top"/>
          </w:tcPr>
          <w:p w:rsidR="005C2091" w:rsidRDefault="00A86293">
            <w:pPr>
              <w:pStyle w:val="CellColumn"/>
              <w:jc w:val="right"/>
            </w:pPr>
            <w:r>
              <w:rPr>
                <w:rFonts w:cs="Times New Roman"/>
              </w:rPr>
              <w:t>313.282.377</w:t>
            </w:r>
          </w:p>
        </w:tc>
        <w:tc>
          <w:tcPr>
            <w:tcW w:w="2041" w:type="dxa"/>
            <w:vAlign w:val="top"/>
          </w:tcPr>
          <w:p w:rsidR="005C2091" w:rsidRDefault="00A86293">
            <w:pPr>
              <w:pStyle w:val="CellColumn"/>
              <w:jc w:val="right"/>
            </w:pPr>
            <w:r>
              <w:rPr>
                <w:rFonts w:cs="Times New Roman"/>
              </w:rPr>
              <w:t>307.912.657</w:t>
            </w:r>
          </w:p>
        </w:tc>
        <w:tc>
          <w:tcPr>
            <w:tcW w:w="1224" w:type="dxa"/>
            <w:vAlign w:val="top"/>
          </w:tcPr>
          <w:p w:rsidR="005C2091" w:rsidRDefault="00A86293">
            <w:pPr>
              <w:pStyle w:val="CellColumn"/>
              <w:jc w:val="right"/>
            </w:pPr>
            <w:r>
              <w:rPr>
                <w:rFonts w:cs="Times New Roman"/>
              </w:rPr>
              <w:t>98,3</w:t>
            </w:r>
          </w:p>
        </w:tc>
        <w:tc>
          <w:tcPr>
            <w:tcW w:w="1224" w:type="dxa"/>
            <w:vAlign w:val="top"/>
          </w:tcPr>
          <w:p w:rsidR="005C2091" w:rsidRDefault="00A86293">
            <w:pPr>
              <w:pStyle w:val="CellColumn"/>
              <w:jc w:val="right"/>
            </w:pPr>
            <w:r>
              <w:rPr>
                <w:rFonts w:cs="Times New Roman"/>
              </w:rPr>
              <w:t>127,3</w:t>
            </w:r>
          </w:p>
        </w:tc>
      </w:tr>
      <w:tr w:rsidR="005C2091">
        <w:trPr>
          <w:jc w:val="center"/>
        </w:trPr>
        <w:tc>
          <w:tcPr>
            <w:tcW w:w="1632" w:type="dxa"/>
            <w:shd w:val="clear" w:color="auto" w:fill="B5C0D8"/>
          </w:tcPr>
          <w:p w:rsidR="005C2091" w:rsidRDefault="00A86293">
            <w:pPr>
              <w:pStyle w:val="CellColumn"/>
              <w:jc w:val="left"/>
            </w:pPr>
            <w:r>
              <w:rPr>
                <w:rFonts w:cs="Times New Roman"/>
              </w:rPr>
              <w:t>Ukupno 055-MINISTARSTVO KULTURE</w:t>
            </w:r>
          </w:p>
        </w:tc>
        <w:tc>
          <w:tcPr>
            <w:tcW w:w="2041" w:type="dxa"/>
            <w:shd w:val="clear" w:color="auto" w:fill="B5C0D8"/>
          </w:tcPr>
          <w:p w:rsidR="005C2091" w:rsidRDefault="00A86293">
            <w:pPr>
              <w:pStyle w:val="CellColumn"/>
              <w:jc w:val="right"/>
            </w:pPr>
            <w:r>
              <w:rPr>
                <w:rFonts w:cs="Times New Roman"/>
              </w:rPr>
              <w:t>885.822.447</w:t>
            </w:r>
          </w:p>
        </w:tc>
        <w:tc>
          <w:tcPr>
            <w:tcW w:w="2041" w:type="dxa"/>
            <w:shd w:val="clear" w:color="auto" w:fill="B5C0D8"/>
          </w:tcPr>
          <w:p w:rsidR="005C2091" w:rsidRDefault="00A86293">
            <w:pPr>
              <w:pStyle w:val="CellColumn"/>
              <w:jc w:val="right"/>
            </w:pPr>
            <w:r>
              <w:rPr>
                <w:rFonts w:cs="Times New Roman"/>
              </w:rPr>
              <w:t>940.142.527</w:t>
            </w:r>
          </w:p>
        </w:tc>
        <w:tc>
          <w:tcPr>
            <w:tcW w:w="2041" w:type="dxa"/>
            <w:shd w:val="clear" w:color="auto" w:fill="B5C0D8"/>
          </w:tcPr>
          <w:p w:rsidR="005C2091" w:rsidRDefault="00A86293">
            <w:pPr>
              <w:pStyle w:val="CellColumn"/>
              <w:jc w:val="right"/>
            </w:pPr>
            <w:r>
              <w:rPr>
                <w:rFonts w:cs="Times New Roman"/>
              </w:rPr>
              <w:t>956.128.327</w:t>
            </w:r>
          </w:p>
        </w:tc>
        <w:tc>
          <w:tcPr>
            <w:tcW w:w="1224" w:type="dxa"/>
            <w:shd w:val="clear" w:color="auto" w:fill="B5C0D8"/>
          </w:tcPr>
          <w:p w:rsidR="005C2091" w:rsidRDefault="00A86293">
            <w:pPr>
              <w:pStyle w:val="CellColumn"/>
              <w:jc w:val="right"/>
            </w:pPr>
            <w:r>
              <w:rPr>
                <w:rFonts w:cs="Times New Roman"/>
              </w:rPr>
              <w:t>101,7</w:t>
            </w:r>
          </w:p>
        </w:tc>
        <w:tc>
          <w:tcPr>
            <w:tcW w:w="1224" w:type="dxa"/>
            <w:shd w:val="clear" w:color="auto" w:fill="B5C0D8"/>
          </w:tcPr>
          <w:p w:rsidR="005C2091" w:rsidRDefault="00A86293">
            <w:pPr>
              <w:pStyle w:val="CellColumn"/>
              <w:jc w:val="right"/>
            </w:pPr>
            <w:r>
              <w:rPr>
                <w:rFonts w:cs="Times New Roman"/>
              </w:rPr>
              <w:t>107,9</w:t>
            </w:r>
          </w:p>
        </w:tc>
      </w:tr>
    </w:tbl>
    <w:p w:rsidR="005C2091" w:rsidRDefault="005C2091">
      <w:pPr>
        <w:jc w:val="left"/>
      </w:pPr>
    </w:p>
    <w:p w:rsidR="005C2091" w:rsidRDefault="00A86293">
      <w:pPr>
        <w:pStyle w:val="Heading2"/>
      </w:pPr>
      <w:r>
        <w:t>05505 Ministarstvo kulture</w:t>
      </w:r>
    </w:p>
    <w:p w:rsidR="005C2091" w:rsidRDefault="00A86293">
      <w:r>
        <w:t xml:space="preserve">Ministarstvo kulture ustrojeno je u četiri uprave, jednu samostalnu službu, glavno tajništvo te </w:t>
      </w:r>
    </w:p>
    <w:p w:rsidR="005C2091" w:rsidRDefault="00A86293">
      <w:r>
        <w:t xml:space="preserve">kabinet ministra/ministrice. Obavlja upravne i druge poslove na području kulture i kulturne baštine. U ovoj </w:t>
      </w:r>
    </w:p>
    <w:p w:rsidR="005C2091" w:rsidRDefault="00A86293">
      <w:r>
        <w:t>proračunskoj glavi nalazi se sedam programa:  1. P3901 - uređenje djelatnosti kulture; 2. P3903 -muzejsko - galerijska djelatnost; 3. P3904 - kazališna i glazbeno - scenska djelatnost; 4. P3905 -knjižnična djelatnost; 5. P3906 - programi audiovizualne djelatnosti; 6. P3907 - ostale djelatnosti kulture; 7. P3908 - zaštita kulturnih dobara. Svi programi su izvršeni.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05505-Ministarstvo kulture</w:t>
            </w:r>
          </w:p>
        </w:tc>
        <w:tc>
          <w:tcPr>
            <w:tcW w:w="2041" w:type="dxa"/>
            <w:vAlign w:val="top"/>
          </w:tcPr>
          <w:p w:rsidR="005C2091" w:rsidRDefault="00A86293">
            <w:pPr>
              <w:pStyle w:val="CellColumn"/>
              <w:jc w:val="right"/>
            </w:pPr>
            <w:r>
              <w:rPr>
                <w:rFonts w:cs="Times New Roman"/>
              </w:rPr>
              <w:t>463.833.779</w:t>
            </w:r>
          </w:p>
        </w:tc>
        <w:tc>
          <w:tcPr>
            <w:tcW w:w="2041" w:type="dxa"/>
            <w:vAlign w:val="top"/>
          </w:tcPr>
          <w:p w:rsidR="005C2091" w:rsidRDefault="00A86293">
            <w:pPr>
              <w:pStyle w:val="CellColumn"/>
              <w:jc w:val="right"/>
            </w:pPr>
            <w:r>
              <w:rPr>
                <w:rFonts w:cs="Times New Roman"/>
              </w:rPr>
              <w:t>443.219.977</w:t>
            </w:r>
          </w:p>
        </w:tc>
        <w:tc>
          <w:tcPr>
            <w:tcW w:w="2041" w:type="dxa"/>
            <w:vAlign w:val="top"/>
          </w:tcPr>
          <w:p w:rsidR="005C2091" w:rsidRDefault="00A86293">
            <w:pPr>
              <w:pStyle w:val="CellColumn"/>
              <w:jc w:val="right"/>
            </w:pPr>
            <w:r>
              <w:rPr>
                <w:rFonts w:cs="Times New Roman"/>
              </w:rPr>
              <w:t>467.694.526</w:t>
            </w:r>
          </w:p>
        </w:tc>
        <w:tc>
          <w:tcPr>
            <w:tcW w:w="1224" w:type="dxa"/>
            <w:vAlign w:val="top"/>
          </w:tcPr>
          <w:p w:rsidR="005C2091" w:rsidRDefault="00A86293">
            <w:pPr>
              <w:pStyle w:val="CellColumn"/>
              <w:jc w:val="right"/>
            </w:pPr>
            <w:r>
              <w:rPr>
                <w:rFonts w:cs="Times New Roman"/>
              </w:rPr>
              <w:t>105,5</w:t>
            </w:r>
          </w:p>
        </w:tc>
        <w:tc>
          <w:tcPr>
            <w:tcW w:w="1224" w:type="dxa"/>
            <w:vAlign w:val="top"/>
          </w:tcPr>
          <w:p w:rsidR="005C2091" w:rsidRDefault="00A86293">
            <w:pPr>
              <w:pStyle w:val="CellColumn"/>
              <w:jc w:val="right"/>
            </w:pPr>
            <w:r>
              <w:rPr>
                <w:rFonts w:cs="Times New Roman"/>
              </w:rPr>
              <w:t>100,8</w:t>
            </w:r>
          </w:p>
        </w:tc>
      </w:tr>
      <w:tr w:rsidR="005C2091">
        <w:trPr>
          <w:jc w:val="center"/>
        </w:trPr>
        <w:tc>
          <w:tcPr>
            <w:tcW w:w="1632" w:type="dxa"/>
          </w:tcPr>
          <w:p w:rsidR="005C2091" w:rsidRDefault="00A86293">
            <w:pPr>
              <w:jc w:val="left"/>
            </w:pPr>
            <w:r>
              <w:t>3901-UREĐENJE DJELATNOSTI KULTURE</w:t>
            </w:r>
          </w:p>
        </w:tc>
        <w:tc>
          <w:tcPr>
            <w:tcW w:w="2041" w:type="dxa"/>
          </w:tcPr>
          <w:p w:rsidR="005C2091" w:rsidRDefault="00A86293">
            <w:pPr>
              <w:jc w:val="right"/>
            </w:pPr>
            <w:r>
              <w:t>66.744.742</w:t>
            </w:r>
          </w:p>
        </w:tc>
        <w:tc>
          <w:tcPr>
            <w:tcW w:w="2041" w:type="dxa"/>
          </w:tcPr>
          <w:p w:rsidR="005C2091" w:rsidRDefault="00A86293">
            <w:pPr>
              <w:jc w:val="right"/>
            </w:pPr>
            <w:r>
              <w:t>64.071.301</w:t>
            </w:r>
          </w:p>
        </w:tc>
        <w:tc>
          <w:tcPr>
            <w:tcW w:w="2041" w:type="dxa"/>
          </w:tcPr>
          <w:p w:rsidR="005C2091" w:rsidRDefault="00A86293">
            <w:pPr>
              <w:jc w:val="right"/>
            </w:pPr>
            <w:r>
              <w:t>63.901.167</w:t>
            </w:r>
          </w:p>
        </w:tc>
        <w:tc>
          <w:tcPr>
            <w:tcW w:w="1224" w:type="dxa"/>
          </w:tcPr>
          <w:p w:rsidR="005C2091" w:rsidRDefault="00A86293">
            <w:pPr>
              <w:jc w:val="right"/>
            </w:pPr>
            <w:r>
              <w:t>99,7</w:t>
            </w:r>
          </w:p>
        </w:tc>
        <w:tc>
          <w:tcPr>
            <w:tcW w:w="1224" w:type="dxa"/>
          </w:tcPr>
          <w:p w:rsidR="005C2091" w:rsidRDefault="00A86293">
            <w:pPr>
              <w:jc w:val="right"/>
            </w:pPr>
            <w:r>
              <w:t>95,7</w:t>
            </w:r>
          </w:p>
        </w:tc>
      </w:tr>
      <w:tr w:rsidR="005C2091">
        <w:trPr>
          <w:jc w:val="center"/>
        </w:trPr>
        <w:tc>
          <w:tcPr>
            <w:tcW w:w="1632" w:type="dxa"/>
          </w:tcPr>
          <w:p w:rsidR="005C2091" w:rsidRDefault="00A86293">
            <w:pPr>
              <w:jc w:val="left"/>
            </w:pPr>
            <w:r>
              <w:t>3903-MUZEJSKO-GALERIJSKA DJELATNOST</w:t>
            </w:r>
          </w:p>
        </w:tc>
        <w:tc>
          <w:tcPr>
            <w:tcW w:w="2041" w:type="dxa"/>
          </w:tcPr>
          <w:p w:rsidR="005C2091" w:rsidRDefault="00A86293">
            <w:pPr>
              <w:jc w:val="right"/>
            </w:pPr>
            <w:r>
              <w:t>10.708.451</w:t>
            </w:r>
          </w:p>
        </w:tc>
        <w:tc>
          <w:tcPr>
            <w:tcW w:w="2041" w:type="dxa"/>
          </w:tcPr>
          <w:p w:rsidR="005C2091" w:rsidRDefault="00A86293">
            <w:pPr>
              <w:jc w:val="right"/>
            </w:pPr>
            <w:r>
              <w:t>9.241.449</w:t>
            </w:r>
          </w:p>
        </w:tc>
        <w:tc>
          <w:tcPr>
            <w:tcW w:w="2041" w:type="dxa"/>
          </w:tcPr>
          <w:p w:rsidR="005C2091" w:rsidRDefault="00A86293">
            <w:pPr>
              <w:jc w:val="right"/>
            </w:pPr>
            <w:r>
              <w:t>9.273.311</w:t>
            </w:r>
          </w:p>
        </w:tc>
        <w:tc>
          <w:tcPr>
            <w:tcW w:w="1224" w:type="dxa"/>
          </w:tcPr>
          <w:p w:rsidR="005C2091" w:rsidRDefault="00A86293">
            <w:pPr>
              <w:jc w:val="right"/>
            </w:pPr>
            <w:r>
              <w:t>100,3</w:t>
            </w:r>
          </w:p>
        </w:tc>
        <w:tc>
          <w:tcPr>
            <w:tcW w:w="1224" w:type="dxa"/>
          </w:tcPr>
          <w:p w:rsidR="005C2091" w:rsidRDefault="00A86293">
            <w:pPr>
              <w:jc w:val="right"/>
            </w:pPr>
            <w:r>
              <w:t>86,6</w:t>
            </w:r>
          </w:p>
        </w:tc>
      </w:tr>
      <w:tr w:rsidR="005C2091">
        <w:trPr>
          <w:jc w:val="center"/>
        </w:trPr>
        <w:tc>
          <w:tcPr>
            <w:tcW w:w="1632" w:type="dxa"/>
          </w:tcPr>
          <w:p w:rsidR="005C2091" w:rsidRDefault="00A86293">
            <w:pPr>
              <w:jc w:val="left"/>
            </w:pPr>
            <w:r>
              <w:t>3904-KAZALIŠNA I GLAZBENO- SCENSKA DJELATNOST</w:t>
            </w:r>
          </w:p>
        </w:tc>
        <w:tc>
          <w:tcPr>
            <w:tcW w:w="2041" w:type="dxa"/>
          </w:tcPr>
          <w:p w:rsidR="005C2091" w:rsidRDefault="00A86293">
            <w:pPr>
              <w:jc w:val="right"/>
            </w:pPr>
            <w:r>
              <w:t>37.975.990</w:t>
            </w:r>
          </w:p>
        </w:tc>
        <w:tc>
          <w:tcPr>
            <w:tcW w:w="2041" w:type="dxa"/>
          </w:tcPr>
          <w:p w:rsidR="005C2091" w:rsidRDefault="00A86293">
            <w:pPr>
              <w:jc w:val="right"/>
            </w:pPr>
            <w:r>
              <w:t>34.371.938</w:t>
            </w:r>
          </w:p>
        </w:tc>
        <w:tc>
          <w:tcPr>
            <w:tcW w:w="2041" w:type="dxa"/>
          </w:tcPr>
          <w:p w:rsidR="005C2091" w:rsidRDefault="00A86293">
            <w:pPr>
              <w:jc w:val="right"/>
            </w:pPr>
            <w:r>
              <w:t>34.286.842</w:t>
            </w:r>
          </w:p>
        </w:tc>
        <w:tc>
          <w:tcPr>
            <w:tcW w:w="1224" w:type="dxa"/>
          </w:tcPr>
          <w:p w:rsidR="005C2091" w:rsidRDefault="00A86293">
            <w:pPr>
              <w:jc w:val="right"/>
            </w:pPr>
            <w:r>
              <w:t>99,8</w:t>
            </w:r>
          </w:p>
        </w:tc>
        <w:tc>
          <w:tcPr>
            <w:tcW w:w="1224" w:type="dxa"/>
          </w:tcPr>
          <w:p w:rsidR="005C2091" w:rsidRDefault="00A86293">
            <w:pPr>
              <w:jc w:val="right"/>
            </w:pPr>
            <w:r>
              <w:t>90,3</w:t>
            </w:r>
          </w:p>
        </w:tc>
      </w:tr>
      <w:tr w:rsidR="005C2091">
        <w:trPr>
          <w:jc w:val="center"/>
        </w:trPr>
        <w:tc>
          <w:tcPr>
            <w:tcW w:w="1632" w:type="dxa"/>
          </w:tcPr>
          <w:p w:rsidR="005C2091" w:rsidRDefault="00A86293">
            <w:pPr>
              <w:jc w:val="left"/>
            </w:pPr>
            <w:r>
              <w:t>3905-KNJIŽNIČNA DJELATNOST</w:t>
            </w:r>
          </w:p>
        </w:tc>
        <w:tc>
          <w:tcPr>
            <w:tcW w:w="2041" w:type="dxa"/>
          </w:tcPr>
          <w:p w:rsidR="005C2091" w:rsidRDefault="00A86293">
            <w:pPr>
              <w:jc w:val="right"/>
            </w:pPr>
            <w:r>
              <w:t>49.646.419</w:t>
            </w:r>
          </w:p>
        </w:tc>
        <w:tc>
          <w:tcPr>
            <w:tcW w:w="2041" w:type="dxa"/>
          </w:tcPr>
          <w:p w:rsidR="005C2091" w:rsidRDefault="00A86293">
            <w:pPr>
              <w:jc w:val="right"/>
            </w:pPr>
            <w:r>
              <w:t>52.206.892</w:t>
            </w:r>
          </w:p>
        </w:tc>
        <w:tc>
          <w:tcPr>
            <w:tcW w:w="2041" w:type="dxa"/>
          </w:tcPr>
          <w:p w:rsidR="005C2091" w:rsidRDefault="00A86293">
            <w:pPr>
              <w:jc w:val="right"/>
            </w:pPr>
            <w:r>
              <w:t>51.511.612</w:t>
            </w:r>
          </w:p>
        </w:tc>
        <w:tc>
          <w:tcPr>
            <w:tcW w:w="1224" w:type="dxa"/>
          </w:tcPr>
          <w:p w:rsidR="005C2091" w:rsidRDefault="00A86293">
            <w:pPr>
              <w:jc w:val="right"/>
            </w:pPr>
            <w:r>
              <w:t>98,7</w:t>
            </w:r>
          </w:p>
        </w:tc>
        <w:tc>
          <w:tcPr>
            <w:tcW w:w="1224" w:type="dxa"/>
          </w:tcPr>
          <w:p w:rsidR="005C2091" w:rsidRDefault="00A86293">
            <w:pPr>
              <w:jc w:val="right"/>
            </w:pPr>
            <w:r>
              <w:t>103,8</w:t>
            </w:r>
          </w:p>
        </w:tc>
      </w:tr>
      <w:tr w:rsidR="005C2091">
        <w:trPr>
          <w:jc w:val="center"/>
        </w:trPr>
        <w:tc>
          <w:tcPr>
            <w:tcW w:w="1632" w:type="dxa"/>
          </w:tcPr>
          <w:p w:rsidR="005C2091" w:rsidRDefault="00A86293">
            <w:pPr>
              <w:jc w:val="left"/>
            </w:pPr>
            <w:r>
              <w:t>3906-PROGRAMI AUDIO VIZUALNE DJELATNOSTI I MEDIJA</w:t>
            </w:r>
          </w:p>
        </w:tc>
        <w:tc>
          <w:tcPr>
            <w:tcW w:w="2041" w:type="dxa"/>
          </w:tcPr>
          <w:p w:rsidR="005C2091" w:rsidRDefault="00A86293">
            <w:pPr>
              <w:jc w:val="right"/>
            </w:pPr>
            <w:r>
              <w:t>36.438.050</w:t>
            </w:r>
          </w:p>
        </w:tc>
        <w:tc>
          <w:tcPr>
            <w:tcW w:w="2041" w:type="dxa"/>
          </w:tcPr>
          <w:p w:rsidR="005C2091" w:rsidRDefault="00A86293">
            <w:pPr>
              <w:jc w:val="right"/>
            </w:pPr>
            <w:r>
              <w:t>21.364.400</w:t>
            </w:r>
          </w:p>
        </w:tc>
        <w:tc>
          <w:tcPr>
            <w:tcW w:w="2041" w:type="dxa"/>
          </w:tcPr>
          <w:p w:rsidR="005C2091" w:rsidRDefault="00A86293">
            <w:pPr>
              <w:jc w:val="right"/>
            </w:pPr>
            <w:r>
              <w:t>21.608.773</w:t>
            </w:r>
          </w:p>
        </w:tc>
        <w:tc>
          <w:tcPr>
            <w:tcW w:w="1224" w:type="dxa"/>
          </w:tcPr>
          <w:p w:rsidR="005C2091" w:rsidRDefault="00A86293">
            <w:pPr>
              <w:jc w:val="right"/>
            </w:pPr>
            <w:r>
              <w:t>101,1</w:t>
            </w:r>
          </w:p>
        </w:tc>
        <w:tc>
          <w:tcPr>
            <w:tcW w:w="1224" w:type="dxa"/>
          </w:tcPr>
          <w:p w:rsidR="005C2091" w:rsidRDefault="00A86293">
            <w:pPr>
              <w:jc w:val="right"/>
            </w:pPr>
            <w:r>
              <w:t>59,3</w:t>
            </w:r>
          </w:p>
        </w:tc>
      </w:tr>
      <w:tr w:rsidR="005C2091">
        <w:trPr>
          <w:jc w:val="center"/>
        </w:trPr>
        <w:tc>
          <w:tcPr>
            <w:tcW w:w="1632" w:type="dxa"/>
          </w:tcPr>
          <w:p w:rsidR="005C2091" w:rsidRDefault="00A86293">
            <w:pPr>
              <w:jc w:val="left"/>
            </w:pPr>
            <w:r>
              <w:t>3907-OSTALE DJELATNOSTI KULTURE</w:t>
            </w:r>
          </w:p>
        </w:tc>
        <w:tc>
          <w:tcPr>
            <w:tcW w:w="2041" w:type="dxa"/>
          </w:tcPr>
          <w:p w:rsidR="005C2091" w:rsidRDefault="00A86293">
            <w:pPr>
              <w:jc w:val="right"/>
            </w:pPr>
            <w:r>
              <w:t>163.719.316</w:t>
            </w:r>
          </w:p>
        </w:tc>
        <w:tc>
          <w:tcPr>
            <w:tcW w:w="2041" w:type="dxa"/>
          </w:tcPr>
          <w:p w:rsidR="005C2091" w:rsidRDefault="00A86293">
            <w:pPr>
              <w:jc w:val="right"/>
            </w:pPr>
            <w:r>
              <w:t>150.480.295</w:t>
            </w:r>
          </w:p>
        </w:tc>
        <w:tc>
          <w:tcPr>
            <w:tcW w:w="2041" w:type="dxa"/>
          </w:tcPr>
          <w:p w:rsidR="005C2091" w:rsidRDefault="00A86293">
            <w:pPr>
              <w:jc w:val="right"/>
            </w:pPr>
            <w:r>
              <w:t>146.167.978</w:t>
            </w:r>
          </w:p>
        </w:tc>
        <w:tc>
          <w:tcPr>
            <w:tcW w:w="1224" w:type="dxa"/>
          </w:tcPr>
          <w:p w:rsidR="005C2091" w:rsidRDefault="00A86293">
            <w:pPr>
              <w:jc w:val="right"/>
            </w:pPr>
            <w:r>
              <w:t>97,1</w:t>
            </w:r>
          </w:p>
        </w:tc>
        <w:tc>
          <w:tcPr>
            <w:tcW w:w="1224" w:type="dxa"/>
          </w:tcPr>
          <w:p w:rsidR="005C2091" w:rsidRDefault="00A86293">
            <w:pPr>
              <w:jc w:val="right"/>
            </w:pPr>
            <w:r>
              <w:t>89,3</w:t>
            </w:r>
          </w:p>
        </w:tc>
      </w:tr>
      <w:tr w:rsidR="005C2091">
        <w:trPr>
          <w:jc w:val="center"/>
        </w:trPr>
        <w:tc>
          <w:tcPr>
            <w:tcW w:w="1632" w:type="dxa"/>
          </w:tcPr>
          <w:p w:rsidR="005C2091" w:rsidRDefault="00A86293">
            <w:pPr>
              <w:jc w:val="left"/>
            </w:pPr>
            <w:r>
              <w:t>3908-ZAŠTITA KULTURNIH DOBARA</w:t>
            </w:r>
          </w:p>
        </w:tc>
        <w:tc>
          <w:tcPr>
            <w:tcW w:w="2041" w:type="dxa"/>
          </w:tcPr>
          <w:p w:rsidR="005C2091" w:rsidRDefault="00A86293">
            <w:pPr>
              <w:jc w:val="right"/>
            </w:pPr>
            <w:r>
              <w:t>98.600.812</w:t>
            </w:r>
          </w:p>
        </w:tc>
        <w:tc>
          <w:tcPr>
            <w:tcW w:w="2041" w:type="dxa"/>
          </w:tcPr>
          <w:p w:rsidR="005C2091" w:rsidRDefault="00A86293">
            <w:pPr>
              <w:jc w:val="right"/>
            </w:pPr>
            <w:r>
              <w:t>111.483.702</w:t>
            </w:r>
          </w:p>
        </w:tc>
        <w:tc>
          <w:tcPr>
            <w:tcW w:w="2041" w:type="dxa"/>
          </w:tcPr>
          <w:p w:rsidR="005C2091" w:rsidRDefault="00A86293">
            <w:pPr>
              <w:jc w:val="right"/>
            </w:pPr>
            <w:r>
              <w:t>140.944.844</w:t>
            </w:r>
          </w:p>
        </w:tc>
        <w:tc>
          <w:tcPr>
            <w:tcW w:w="1224" w:type="dxa"/>
          </w:tcPr>
          <w:p w:rsidR="005C2091" w:rsidRDefault="00A86293">
            <w:pPr>
              <w:jc w:val="right"/>
            </w:pPr>
            <w:r>
              <w:t>126,4</w:t>
            </w:r>
          </w:p>
        </w:tc>
        <w:tc>
          <w:tcPr>
            <w:tcW w:w="1224" w:type="dxa"/>
          </w:tcPr>
          <w:p w:rsidR="005C2091" w:rsidRDefault="00A86293">
            <w:pPr>
              <w:jc w:val="right"/>
            </w:pPr>
            <w:r>
              <w:t>142,9</w:t>
            </w:r>
          </w:p>
        </w:tc>
      </w:tr>
    </w:tbl>
    <w:p w:rsidR="005C2091" w:rsidRDefault="005C2091">
      <w:pPr>
        <w:jc w:val="left"/>
      </w:pPr>
    </w:p>
    <w:p w:rsidR="005C2091" w:rsidRDefault="00A86293">
      <w:pPr>
        <w:pStyle w:val="Heading3"/>
      </w:pPr>
      <w:r>
        <w:rPr>
          <w:rFonts w:cs="Times New Roman"/>
        </w:rPr>
        <w:t>3901 UREĐENJE DJELATNOSTI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3901-UREĐENJE DJELATNOSTI KULTURE</w:t>
            </w:r>
          </w:p>
        </w:tc>
        <w:tc>
          <w:tcPr>
            <w:tcW w:w="2041" w:type="dxa"/>
          </w:tcPr>
          <w:p w:rsidR="005C2091" w:rsidRDefault="00A86293">
            <w:pPr>
              <w:pStyle w:val="CellColumn"/>
              <w:jc w:val="right"/>
            </w:pPr>
            <w:r>
              <w:rPr>
                <w:rFonts w:cs="Times New Roman"/>
              </w:rPr>
              <w:t>66.744.742</w:t>
            </w:r>
          </w:p>
        </w:tc>
        <w:tc>
          <w:tcPr>
            <w:tcW w:w="2041" w:type="dxa"/>
          </w:tcPr>
          <w:p w:rsidR="005C2091" w:rsidRDefault="00A86293">
            <w:pPr>
              <w:pStyle w:val="CellColumn"/>
              <w:jc w:val="right"/>
            </w:pPr>
            <w:r>
              <w:rPr>
                <w:rFonts w:cs="Times New Roman"/>
              </w:rPr>
              <w:t>64.071.301</w:t>
            </w:r>
          </w:p>
        </w:tc>
        <w:tc>
          <w:tcPr>
            <w:tcW w:w="2041" w:type="dxa"/>
          </w:tcPr>
          <w:p w:rsidR="005C2091" w:rsidRDefault="00A86293">
            <w:pPr>
              <w:pStyle w:val="CellColumn"/>
              <w:jc w:val="right"/>
            </w:pPr>
            <w:r>
              <w:rPr>
                <w:rFonts w:cs="Times New Roman"/>
              </w:rPr>
              <w:t>63.901.167</w:t>
            </w:r>
          </w:p>
        </w:tc>
        <w:tc>
          <w:tcPr>
            <w:tcW w:w="1224" w:type="dxa"/>
          </w:tcPr>
          <w:p w:rsidR="005C2091" w:rsidRDefault="00A86293">
            <w:pPr>
              <w:pStyle w:val="CellColumn"/>
              <w:jc w:val="right"/>
            </w:pPr>
            <w:r>
              <w:rPr>
                <w:rFonts w:cs="Times New Roman"/>
              </w:rPr>
              <w:t>99,7</w:t>
            </w:r>
          </w:p>
        </w:tc>
        <w:tc>
          <w:tcPr>
            <w:tcW w:w="1224" w:type="dxa"/>
          </w:tcPr>
          <w:p w:rsidR="005C2091" w:rsidRDefault="00A86293">
            <w:pPr>
              <w:pStyle w:val="CellColumn"/>
              <w:jc w:val="right"/>
            </w:pPr>
            <w:r>
              <w:rPr>
                <w:rFonts w:cs="Times New Roman"/>
              </w:rPr>
              <w:t>95,7</w:t>
            </w:r>
          </w:p>
        </w:tc>
      </w:tr>
    </w:tbl>
    <w:p w:rsidR="005C2091" w:rsidRDefault="005C2091">
      <w:pPr>
        <w:jc w:val="left"/>
      </w:pPr>
    </w:p>
    <w:p w:rsidR="005C2091" w:rsidRDefault="00A86293">
      <w:r>
        <w:t xml:space="preserve">U okviru navedenog programa osiguravaju se plaće i materijalni rashodi za djelatnike koji obavljaju upravne, financijske, stručne poslove koji se odnose na istraživanje, praćenje, evidentiranje, dokumentiranje kulturne baštine, utvrđivanje posebnih uvijeta građenja za zaštitu dijelova kutlurne baštine, obavljanje inspekcijskih poslova </w:t>
      </w:r>
      <w:r>
        <w:lastRenderedPageBreak/>
        <w:t>zaštite kulturne baštine te druge poslove u okviru djelatnosti ministarstva. Izvršenje proračuna je na razini plana. nema odstupanja.</w:t>
      </w:r>
    </w:p>
    <w:p w:rsidR="005C2091" w:rsidRDefault="00A86293">
      <w:pPr>
        <w:pStyle w:val="Heading8"/>
        <w:jc w:val="left"/>
      </w:pPr>
      <w:r>
        <w:t>Cilj 1. Osiguranje optimalnih kapaciteta uza uspješnu realizaciju programa MK-a</w:t>
      </w:r>
    </w:p>
    <w:p w:rsidR="005C2091" w:rsidRDefault="00A86293">
      <w:pPr>
        <w:pStyle w:val="Heading8"/>
        <w:jc w:val="left"/>
      </w:pPr>
      <w:r>
        <w:t>Opis provedbe cilja programa</w:t>
      </w:r>
    </w:p>
    <w:p w:rsidR="005C2091" w:rsidRDefault="00A86293">
      <w:r>
        <w:t>Ovim ciljem pokušava se optimalnim administrativnim kapacitetima te prostornim, materijalin i tehničkim resursima osigurati uspješnu realizaciju svih programa u djelokrugu Ministarstva kulture.</w:t>
      </w:r>
    </w:p>
    <w:p w:rsidR="005C2091" w:rsidRDefault="00A86293">
      <w:pPr>
        <w:pStyle w:val="Heading4"/>
      </w:pPr>
      <w:r>
        <w:t>A564000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A564000-ADMINISTRACIJA I UPRAVLJANJE</w:t>
            </w:r>
          </w:p>
        </w:tc>
        <w:tc>
          <w:tcPr>
            <w:tcW w:w="2041" w:type="dxa"/>
          </w:tcPr>
          <w:p w:rsidR="005C2091" w:rsidRDefault="00A86293">
            <w:pPr>
              <w:pStyle w:val="CellColumn"/>
              <w:jc w:val="right"/>
            </w:pPr>
            <w:r>
              <w:rPr>
                <w:rFonts w:cs="Times New Roman"/>
              </w:rPr>
              <w:t>65.244.742</w:t>
            </w:r>
          </w:p>
        </w:tc>
        <w:tc>
          <w:tcPr>
            <w:tcW w:w="2041" w:type="dxa"/>
          </w:tcPr>
          <w:p w:rsidR="005C2091" w:rsidRDefault="00A86293">
            <w:pPr>
              <w:pStyle w:val="CellColumn"/>
              <w:jc w:val="right"/>
            </w:pPr>
            <w:r>
              <w:rPr>
                <w:rFonts w:cs="Times New Roman"/>
              </w:rPr>
              <w:t>62.571.301</w:t>
            </w:r>
          </w:p>
        </w:tc>
        <w:tc>
          <w:tcPr>
            <w:tcW w:w="2041" w:type="dxa"/>
          </w:tcPr>
          <w:p w:rsidR="005C2091" w:rsidRDefault="00A86293">
            <w:pPr>
              <w:pStyle w:val="CellColumn"/>
              <w:jc w:val="right"/>
            </w:pPr>
            <w:r>
              <w:rPr>
                <w:rFonts w:cs="Times New Roman"/>
              </w:rPr>
              <w:t>62.401.205</w:t>
            </w:r>
          </w:p>
        </w:tc>
        <w:tc>
          <w:tcPr>
            <w:tcW w:w="1224" w:type="dxa"/>
          </w:tcPr>
          <w:p w:rsidR="005C2091" w:rsidRDefault="00A86293">
            <w:pPr>
              <w:pStyle w:val="CellColumn"/>
              <w:jc w:val="right"/>
            </w:pPr>
            <w:r>
              <w:rPr>
                <w:rFonts w:cs="Times New Roman"/>
              </w:rPr>
              <w:t>99,7</w:t>
            </w:r>
          </w:p>
        </w:tc>
        <w:tc>
          <w:tcPr>
            <w:tcW w:w="1224" w:type="dxa"/>
          </w:tcPr>
          <w:p w:rsidR="005C2091" w:rsidRDefault="00A86293">
            <w:pPr>
              <w:pStyle w:val="CellColumn"/>
              <w:jc w:val="right"/>
            </w:pPr>
            <w:r>
              <w:rPr>
                <w:rFonts w:cs="Times New Roman"/>
              </w:rPr>
              <w:t>95,6</w:t>
            </w:r>
          </w:p>
        </w:tc>
      </w:tr>
    </w:tbl>
    <w:p w:rsidR="005C2091" w:rsidRDefault="005C2091">
      <w:pPr>
        <w:jc w:val="left"/>
      </w:pPr>
    </w:p>
    <w:p w:rsidR="005C2091" w:rsidRDefault="00A86293">
      <w:pPr>
        <w:pStyle w:val="Heading8"/>
        <w:jc w:val="left"/>
      </w:pPr>
      <w:r>
        <w:t>Zakonske i druge pravne osnove</w:t>
      </w:r>
    </w:p>
    <w:p w:rsidR="005C2091" w:rsidRDefault="00A86293">
      <w:r>
        <w:t>Zakon o ustrojstvu i djelokrugu ministarstava i drugih središnjih tijela državne uprave (NN 104/16)</w:t>
      </w:r>
    </w:p>
    <w:p w:rsidR="005C2091" w:rsidRDefault="00A86293">
      <w:pPr>
        <w:pStyle w:val="Heading8"/>
        <w:jc w:val="left"/>
      </w:pPr>
      <w:r>
        <w:t>Opis aktivnosti</w:t>
      </w:r>
    </w:p>
    <w:p w:rsidR="005C2091" w:rsidRDefault="00A86293">
      <w:r>
        <w:t xml:space="preserve">U okviru aktivnosti Administracija i upravljanje Ministarstva osiguravaju se plaće i materijalni rashodi za 379 zaposlenika kako Ministarstva tako i zaposlenih u 21 konzervatorskom odjelu (Bjelovar, Dubrovnik, Gospić, Imotski, Karolvac, Krapina, </w:t>
      </w:r>
    </w:p>
    <w:p w:rsidR="005C2091" w:rsidRDefault="00A86293">
      <w:r>
        <w:t>Osijek, Pakrac, Poreč, Požega, Pula, Rijeka, Sisak, Slavonski Brod, Split, Šibenik, Trogir, Varaždin, Vukovar, Zadar, Zagreb). Osim plaća i materijalnih rahoda, u ovoj aktivnosti osiguravaju se i sredstva za opremanje poslovnih prostora Ministarstva te konzervatorskih odjela. Konzervatorski odjeli zapošljavaju ukupno 205 zaposlenika koji osim administrativnih poslova obavljaju dokumentiranje, održavanje informatizacijske baze podataka Registra kulturnih dobara, istražne radove, izradu elaborata i inventarizaciju kulturnih dobara. U 2016. godini nije bilo odstupanja od plana.</w:t>
      </w:r>
    </w:p>
    <w:p w:rsidR="005C2091" w:rsidRDefault="00A86293">
      <w:pPr>
        <w:pStyle w:val="Heading4"/>
      </w:pPr>
      <w:r>
        <w:t>K310252 INFORMATIZACIJA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K310252-INFORMATIZACIJA</w:t>
            </w:r>
          </w:p>
        </w:tc>
        <w:tc>
          <w:tcPr>
            <w:tcW w:w="2041" w:type="dxa"/>
          </w:tcPr>
          <w:p w:rsidR="005C2091" w:rsidRDefault="00A86293">
            <w:pPr>
              <w:pStyle w:val="CellColumn"/>
              <w:jc w:val="right"/>
            </w:pPr>
            <w:r>
              <w:rPr>
                <w:rFonts w:cs="Times New Roman"/>
              </w:rPr>
              <w:t>1.500.000</w:t>
            </w:r>
          </w:p>
        </w:tc>
        <w:tc>
          <w:tcPr>
            <w:tcW w:w="2041" w:type="dxa"/>
          </w:tcPr>
          <w:p w:rsidR="005C2091" w:rsidRDefault="00A86293">
            <w:pPr>
              <w:pStyle w:val="CellColumn"/>
              <w:jc w:val="right"/>
            </w:pPr>
            <w:r>
              <w:rPr>
                <w:rFonts w:cs="Times New Roman"/>
              </w:rPr>
              <w:t>1.500.000</w:t>
            </w:r>
          </w:p>
        </w:tc>
        <w:tc>
          <w:tcPr>
            <w:tcW w:w="2041" w:type="dxa"/>
          </w:tcPr>
          <w:p w:rsidR="005C2091" w:rsidRDefault="00A86293">
            <w:pPr>
              <w:pStyle w:val="CellColumn"/>
              <w:jc w:val="right"/>
            </w:pPr>
            <w:r>
              <w:rPr>
                <w:rFonts w:cs="Times New Roman"/>
              </w:rPr>
              <w:t>1.499.962</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100,0</w:t>
            </w:r>
          </w:p>
        </w:tc>
      </w:tr>
    </w:tbl>
    <w:p w:rsidR="005C2091" w:rsidRDefault="005C2091">
      <w:pPr>
        <w:jc w:val="left"/>
      </w:pPr>
    </w:p>
    <w:p w:rsidR="005C2091" w:rsidRDefault="00A86293">
      <w:pPr>
        <w:pStyle w:val="Heading8"/>
        <w:jc w:val="left"/>
      </w:pPr>
      <w:r>
        <w:t>Zakonske i druge pravne osnove</w:t>
      </w:r>
    </w:p>
    <w:p w:rsidR="005C2091" w:rsidRDefault="00A86293">
      <w:r>
        <w:t>Zakon o ustrojstvu i djelokrugu ministarstava i drugih središnjih tijela državne uprave NN 104/16</w:t>
      </w:r>
    </w:p>
    <w:p w:rsidR="005C2091" w:rsidRDefault="00A86293">
      <w:pPr>
        <w:pStyle w:val="Heading8"/>
        <w:jc w:val="left"/>
      </w:pPr>
      <w:r>
        <w:t>Opis aktivnosti</w:t>
      </w:r>
    </w:p>
    <w:p w:rsidR="005C2091" w:rsidRDefault="00A86293">
      <w:r>
        <w:t>Sredstva su osigurana za troškove licenci, održavanje poslovnih sustava, mrežno -komunikacijske i informatičke infrastrukture te nabavu opreme. U 2016. godini u ovoj aktivnosti plan je u potpunosti izvšen. Nije bilo odstupanja.</w:t>
      </w:r>
    </w:p>
    <w:p w:rsidR="00C42C55" w:rsidRDefault="00C42C55"/>
    <w:p w:rsidR="00C42C55" w:rsidRDefault="00C42C55"/>
    <w:p w:rsidR="005C2091" w:rsidRDefault="00A86293">
      <w:pPr>
        <w:pStyle w:val="Heading3"/>
      </w:pPr>
      <w:r>
        <w:rPr>
          <w:rFonts w:cs="Times New Roman"/>
        </w:rPr>
        <w:lastRenderedPageBreak/>
        <w:t>3903 MUZEJSKO-GALERIJSKA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3903-MUZEJSKO-GALERIJSKA DJELATNOST</w:t>
            </w:r>
          </w:p>
        </w:tc>
        <w:tc>
          <w:tcPr>
            <w:tcW w:w="2041" w:type="dxa"/>
          </w:tcPr>
          <w:p w:rsidR="005C2091" w:rsidRDefault="00A86293">
            <w:pPr>
              <w:pStyle w:val="CellColumn"/>
              <w:jc w:val="right"/>
            </w:pPr>
            <w:r>
              <w:rPr>
                <w:rFonts w:cs="Times New Roman"/>
              </w:rPr>
              <w:t>10.708.451</w:t>
            </w:r>
          </w:p>
        </w:tc>
        <w:tc>
          <w:tcPr>
            <w:tcW w:w="2041" w:type="dxa"/>
          </w:tcPr>
          <w:p w:rsidR="005C2091" w:rsidRDefault="00A86293">
            <w:pPr>
              <w:pStyle w:val="CellColumn"/>
              <w:jc w:val="right"/>
            </w:pPr>
            <w:r>
              <w:rPr>
                <w:rFonts w:cs="Times New Roman"/>
              </w:rPr>
              <w:t>9.241.449</w:t>
            </w:r>
          </w:p>
        </w:tc>
        <w:tc>
          <w:tcPr>
            <w:tcW w:w="2041" w:type="dxa"/>
          </w:tcPr>
          <w:p w:rsidR="005C2091" w:rsidRDefault="00A86293">
            <w:pPr>
              <w:pStyle w:val="CellColumn"/>
              <w:jc w:val="right"/>
            </w:pPr>
            <w:r>
              <w:rPr>
                <w:rFonts w:cs="Times New Roman"/>
              </w:rPr>
              <w:t>9.273.311</w:t>
            </w:r>
          </w:p>
        </w:tc>
        <w:tc>
          <w:tcPr>
            <w:tcW w:w="1224" w:type="dxa"/>
          </w:tcPr>
          <w:p w:rsidR="005C2091" w:rsidRDefault="00A86293">
            <w:pPr>
              <w:pStyle w:val="CellColumn"/>
              <w:jc w:val="right"/>
            </w:pPr>
            <w:r>
              <w:rPr>
                <w:rFonts w:cs="Times New Roman"/>
              </w:rPr>
              <w:t>100,3</w:t>
            </w:r>
          </w:p>
        </w:tc>
        <w:tc>
          <w:tcPr>
            <w:tcW w:w="1224" w:type="dxa"/>
          </w:tcPr>
          <w:p w:rsidR="005C2091" w:rsidRDefault="00A86293">
            <w:pPr>
              <w:pStyle w:val="CellColumn"/>
              <w:jc w:val="right"/>
            </w:pPr>
            <w:r>
              <w:rPr>
                <w:rFonts w:cs="Times New Roman"/>
              </w:rPr>
              <w:t>86,6</w:t>
            </w:r>
          </w:p>
        </w:tc>
      </w:tr>
    </w:tbl>
    <w:p w:rsidR="005C2091" w:rsidRDefault="005C2091">
      <w:pPr>
        <w:jc w:val="left"/>
      </w:pPr>
    </w:p>
    <w:p w:rsidR="005C2091" w:rsidRDefault="00A86293">
      <w:r>
        <w:t>Muzejske ustanove kroz sustav muzeja uspostavljaju jedinstven stručni pristup u obavljanjumuzejske djelatnosti, stručni nadzor nad radom muzeja, izgradnju standarda djelatnosti te potiču kvalitetnije funkcioniranje muzeja u smislu očuvanja, zaštite, istraživanja i promocije muzejske baštine kao i ostvarivanja društvene uloge muzeja. Cilj i svrha sustava muzeja supovećanje razine inventiranosti, obrade i prezentacije muzejske građe, razvoj muzejskeinfrastrukture, podizanje razine zaštite i očuvanja muzejske građe te veća dostupnost kulturne baštine u digitalnom okruženju. U 2016. godini nije bilo odstupana od plana. Programi su u potpunosti izvršeni.</w:t>
      </w:r>
    </w:p>
    <w:p w:rsidR="005C2091" w:rsidRDefault="00A86293">
      <w:pPr>
        <w:pStyle w:val="Heading8"/>
        <w:jc w:val="left"/>
      </w:pPr>
      <w:r>
        <w:t>Cilj 1. Potpora programskim aktivnostima lokalnih, županijskih i ostalih muzeja te ostalima</w:t>
      </w:r>
    </w:p>
    <w:p w:rsidR="005C2091" w:rsidRDefault="00A86293">
      <w:pPr>
        <w:pStyle w:val="Heading8"/>
        <w:jc w:val="left"/>
      </w:pPr>
      <w:r>
        <w:t>Opis provedbe cilja programa</w:t>
      </w:r>
    </w:p>
    <w:p w:rsidR="005C2091" w:rsidRDefault="00A86293">
      <w:r>
        <w:t xml:space="preserve">S obzirom na nedostatnu razinu inventiranosti muzejske građe potpora tematskim,studijskim, monografskim i ostalim izložbama, izložbama fundusa, pedagoško - edukativnim programima, programima nakladništva i razmjeni </w:t>
      </w:r>
    </w:p>
    <w:p w:rsidR="005C2091" w:rsidRDefault="00A86293">
      <w:r>
        <w:t>programa te onima koji pridonose obradi, zaštiti, istraživanju i prezentaciju vlastitog fundusa i pripremi stalnog postava povećava se razina inventiranosti muzejske građe i pridonosi se valorizaciji, kategorizaciji i prezentaciji fundusa. Lokalni, županijski i ostali muzeji skrbe o 2006 muzejskih zbirki koje broje 4.340.366 predmeta. Oko 55%predmeta je inventarizirano, dok je 33% uneseno u bazu podataka.</w:t>
      </w:r>
    </w:p>
    <w:p w:rsidR="005C2091" w:rsidRDefault="00A86293">
      <w:pPr>
        <w:pStyle w:val="Heading8"/>
        <w:jc w:val="left"/>
      </w:pPr>
      <w:r>
        <w:t>Cilj 2. Potpora razvitku muzejske infrastrukture</w:t>
      </w:r>
    </w:p>
    <w:p w:rsidR="005C2091" w:rsidRDefault="00A86293">
      <w:pPr>
        <w:pStyle w:val="Heading8"/>
        <w:jc w:val="left"/>
      </w:pPr>
      <w:r>
        <w:t>Opis provedbe cilja programa</w:t>
      </w:r>
    </w:p>
    <w:p w:rsidR="005C2091" w:rsidRDefault="00A86293">
      <w:r>
        <w:t xml:space="preserve">Investicijska ulaganja u razvoj muzejske infrastrukture, valorizacija projekata muzejskih programa i postava, povezivanje novih muzeja u Sustav muzeja, primjena propisanih stručnih i tehničkih standarda usmjereno je na integriranje muzejskih projekata u ukupnu ponudu znanja i informacija o kulturnoj baštini te ulaganja u cilju </w:t>
      </w:r>
    </w:p>
    <w:p w:rsidR="005C2091" w:rsidRDefault="00A86293">
      <w:r>
        <w:t xml:space="preserve">osiguranja održivog kulturnog i gospodarskog razvoja. U trogodišnjem razdoblju program obuhvaća dovršetak obnove nove zgrade nacionalnog Hrvatskog povijesnog muzeja, Zagreb te Hrvatskog vojnog muzeja. Realizacija novih stalnih postava obuhvaća nacionalne muzeje (Muzej hrvatskih arheoloških spomenika u Splitu, Muzeji Hrvatskog zagorja - Dvor Veliki Tabor, Arheološki muzej Istre u Puli, HRvatski športski muzej) i ostale kojih su osnivači gradovi i županije (Gradski muzej Drniš, Gradski muzej Karlovac/Turanj/, Muzej Brodskog Posavlja, Slavnoski Brod, Gradski muzej Nova Gradiška, Spomen galerija Kerdić u Davoru, Etnografski muzej Istre u Pazinu, Gradski muzej Požega, i drugi). Opremanje muzeja informatičkom opremom i muzejskim programima (M++) te </w:t>
      </w:r>
    </w:p>
    <w:p w:rsidR="005C2091" w:rsidRDefault="00A86293">
      <w:r>
        <w:t>uspostava suradnje i interoperabilnosti s ostalim informacijskim sustavima: knjižnica, arhiva spomeničke baštine i drugih; instalacija sekundarne dokumentacije, dodatnih modula i kompletna programska podrška (razvoj i nadogradnja sustava); osiguranje mrežne dostupnosti podataka i dokumentacije baze muzejskih predmeta. Izrada informatičkog sustava upravljanja KD povezanog s postojećim sustavima/bazama podataka restauriranih umjetnina, muzejske građe i arhivske građe (BERUH, M++, Arhinet)</w:t>
      </w:r>
    </w:p>
    <w:p w:rsidR="005C2091" w:rsidRDefault="00A86293">
      <w:pPr>
        <w:pStyle w:val="Heading8"/>
        <w:jc w:val="left"/>
      </w:pPr>
      <w:r>
        <w:t xml:space="preserve">Cilj 3. Podizanje kvalitete djelovanja muzeja, uspostavljanje jedinstvenih standarda i normi kroz Sustav muzeja (matičnost) </w:t>
      </w:r>
    </w:p>
    <w:p w:rsidR="005C2091" w:rsidRDefault="00A86293">
      <w:pPr>
        <w:pStyle w:val="Heading8"/>
        <w:jc w:val="left"/>
      </w:pPr>
      <w:r>
        <w:t>Opis provedbe cilja programa</w:t>
      </w:r>
    </w:p>
    <w:p w:rsidR="005C2091" w:rsidRDefault="00A86293">
      <w:r>
        <w:t xml:space="preserve">Cilj razvoja Sustava muzeja je uspostavljanje jedinstvenog stručnog pristupa u obavljanju muzejske djelatnosti, stručni nadzor nad radom muzeja, izgradnja standarda djelatnosti te poticanje kvalitetnijeg funkcioniranja muzeja u smisluočuvanja, zaštite, istraživanja i promocije muzejske baštine kao i ostvarivanjadruštvene uloge muzeja. </w:t>
      </w:r>
      <w:r>
        <w:lastRenderedPageBreak/>
        <w:t>Povećanje razine inventiranosti, obrade i prezentacijemuzejske građe, razvoj muzejske infrastrukture, podizanje razine zaštite i očuvanja muzejske građe te veća dostupnost kulturne baštine u digitalnom okruženju sastavnim su dijelom cilja i svrhe Sustava muzeja. Intenziviranje poslova stručne pomoći i suradnje nositelja provedbe matične djelatnosti prve i druge razine i izrada i provedba srednjoročnog plana aktivnosti Vijeća Sustava muzeja. Ravnomjerno i funkcionalno razvijanje Sustava muzeja i prioriteti u planiranju za područja s neravnomjernim brojem muzeja pridonijet će razvoju mreže hrvatskih muzeja. Razmjena znanja, stručnih iskustava i međusobna suradnja sa srodnim i ostalim institucijama i subjektima u kulturi i znanosti pridonijet će jačanju i razvijanju partnerskih odnosa i suradnja.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rsidTr="00C42C55">
        <w:trPr>
          <w:trHeight w:val="1763"/>
          <w:jc w:val="center"/>
        </w:trPr>
        <w:tc>
          <w:tcPr>
            <w:tcW w:w="2551" w:type="dxa"/>
          </w:tcPr>
          <w:p w:rsidR="005C2091" w:rsidRDefault="00A86293">
            <w:pPr>
              <w:pStyle w:val="CellColumn"/>
              <w:jc w:val="left"/>
            </w:pPr>
            <w:r>
              <w:rPr>
                <w:rFonts w:cs="Times New Roman"/>
              </w:rPr>
              <w:t xml:space="preserve">Postotak obrađenosti </w:t>
            </w:r>
          </w:p>
          <w:p w:rsidR="005C2091" w:rsidRDefault="00A86293">
            <w:pPr>
              <w:pStyle w:val="CellColumn"/>
              <w:jc w:val="left"/>
            </w:pPr>
            <w:r>
              <w:rPr>
                <w:rFonts w:cs="Times New Roman"/>
              </w:rPr>
              <w:t>muzejske građe</w:t>
            </w:r>
          </w:p>
        </w:tc>
        <w:tc>
          <w:tcPr>
            <w:tcW w:w="2551" w:type="dxa"/>
          </w:tcPr>
          <w:p w:rsidR="005C2091" w:rsidRDefault="00A86293" w:rsidP="00C42C55">
            <w:pPr>
              <w:pStyle w:val="CellColumn"/>
            </w:pPr>
            <w:r>
              <w:rPr>
                <w:rFonts w:cs="Times New Roman"/>
              </w:rPr>
              <w:t xml:space="preserve">Cjelovita obrada muzejske </w:t>
            </w:r>
          </w:p>
          <w:p w:rsidR="005C2091" w:rsidRDefault="00A86293" w:rsidP="00C42C55">
            <w:pPr>
              <w:pStyle w:val="CellColumn"/>
            </w:pPr>
            <w:r>
              <w:rPr>
                <w:rFonts w:cs="Times New Roman"/>
              </w:rPr>
              <w:t xml:space="preserve">građe u mjerljivim upisom u </w:t>
            </w:r>
          </w:p>
          <w:p w:rsidR="005C2091" w:rsidRDefault="00A86293" w:rsidP="00C42C55">
            <w:pPr>
              <w:pStyle w:val="CellColumn"/>
            </w:pPr>
            <w:r>
              <w:rPr>
                <w:rFonts w:cs="Times New Roman"/>
              </w:rPr>
              <w:t xml:space="preserve">registar kulturnih dobara za </w:t>
            </w:r>
          </w:p>
          <w:p w:rsidR="005C2091" w:rsidRDefault="00A86293" w:rsidP="00C42C55">
            <w:pPr>
              <w:pStyle w:val="CellColumn"/>
            </w:pPr>
            <w:r>
              <w:rPr>
                <w:rFonts w:cs="Times New Roman"/>
              </w:rPr>
              <w:t>muzejske i galerijske zbirke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33</w:t>
            </w:r>
          </w:p>
        </w:tc>
        <w:tc>
          <w:tcPr>
            <w:tcW w:w="1020" w:type="dxa"/>
          </w:tcPr>
          <w:p w:rsidR="005C2091" w:rsidRDefault="00A86293">
            <w:pPr>
              <w:pStyle w:val="CellColumn"/>
              <w:jc w:val="right"/>
            </w:pPr>
            <w:r>
              <w:rPr>
                <w:rFonts w:cs="Times New Roman"/>
              </w:rPr>
              <w:t>MK, MDC</w:t>
            </w:r>
          </w:p>
        </w:tc>
        <w:tc>
          <w:tcPr>
            <w:tcW w:w="1020" w:type="dxa"/>
          </w:tcPr>
          <w:p w:rsidR="005C2091" w:rsidRDefault="00A86293">
            <w:pPr>
              <w:pStyle w:val="CellColumn"/>
              <w:jc w:val="right"/>
            </w:pPr>
            <w:r>
              <w:rPr>
                <w:rFonts w:cs="Times New Roman"/>
              </w:rPr>
              <w:t>40</w:t>
            </w:r>
          </w:p>
        </w:tc>
        <w:tc>
          <w:tcPr>
            <w:tcW w:w="1020" w:type="dxa"/>
          </w:tcPr>
          <w:p w:rsidR="005C2091" w:rsidRDefault="00A86293">
            <w:pPr>
              <w:pStyle w:val="CellColumn"/>
              <w:jc w:val="right"/>
            </w:pPr>
            <w:r>
              <w:rPr>
                <w:rFonts w:cs="Times New Roman"/>
              </w:rPr>
              <w:t>42</w:t>
            </w:r>
          </w:p>
        </w:tc>
      </w:tr>
    </w:tbl>
    <w:p w:rsidR="005C2091" w:rsidRDefault="005C2091">
      <w:pPr>
        <w:jc w:val="left"/>
      </w:pPr>
    </w:p>
    <w:p w:rsidR="005C2091" w:rsidRDefault="00A86293">
      <w:pPr>
        <w:pStyle w:val="Heading4"/>
      </w:pPr>
      <w:r>
        <w:t>A565027 PROGRAMI MUZEJSKO GALERIJSKE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A565027-PROGRAMI MUZEJSKO GALERIJSKE DJELATNOSTI</w:t>
            </w:r>
          </w:p>
        </w:tc>
        <w:tc>
          <w:tcPr>
            <w:tcW w:w="2041" w:type="dxa"/>
          </w:tcPr>
          <w:p w:rsidR="005C2091" w:rsidRDefault="00A86293">
            <w:pPr>
              <w:pStyle w:val="CellColumn"/>
              <w:jc w:val="right"/>
            </w:pPr>
            <w:r>
              <w:rPr>
                <w:rFonts w:cs="Times New Roman"/>
              </w:rPr>
              <w:t>10.708.451</w:t>
            </w:r>
          </w:p>
        </w:tc>
        <w:tc>
          <w:tcPr>
            <w:tcW w:w="2041" w:type="dxa"/>
          </w:tcPr>
          <w:p w:rsidR="005C2091" w:rsidRDefault="00A86293">
            <w:pPr>
              <w:pStyle w:val="CellColumn"/>
              <w:jc w:val="right"/>
            </w:pPr>
            <w:r>
              <w:rPr>
                <w:rFonts w:cs="Times New Roman"/>
              </w:rPr>
              <w:t>9.241.449</w:t>
            </w:r>
          </w:p>
        </w:tc>
        <w:tc>
          <w:tcPr>
            <w:tcW w:w="2041" w:type="dxa"/>
          </w:tcPr>
          <w:p w:rsidR="005C2091" w:rsidRDefault="00A86293">
            <w:pPr>
              <w:pStyle w:val="CellColumn"/>
              <w:jc w:val="right"/>
            </w:pPr>
            <w:r>
              <w:rPr>
                <w:rFonts w:cs="Times New Roman"/>
              </w:rPr>
              <w:t>9.273.311</w:t>
            </w:r>
          </w:p>
        </w:tc>
        <w:tc>
          <w:tcPr>
            <w:tcW w:w="1224" w:type="dxa"/>
          </w:tcPr>
          <w:p w:rsidR="005C2091" w:rsidRDefault="00A86293">
            <w:pPr>
              <w:pStyle w:val="CellColumn"/>
              <w:jc w:val="right"/>
            </w:pPr>
            <w:r>
              <w:rPr>
                <w:rFonts w:cs="Times New Roman"/>
              </w:rPr>
              <w:t>100,3</w:t>
            </w:r>
          </w:p>
        </w:tc>
        <w:tc>
          <w:tcPr>
            <w:tcW w:w="1224" w:type="dxa"/>
          </w:tcPr>
          <w:p w:rsidR="005C2091" w:rsidRDefault="00A86293">
            <w:pPr>
              <w:pStyle w:val="CellColumn"/>
              <w:jc w:val="right"/>
            </w:pPr>
            <w:r>
              <w:rPr>
                <w:rFonts w:cs="Times New Roman"/>
              </w:rPr>
              <w:t>86,6</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muzejima(NN110/15);  </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2016. godinu</w:t>
      </w:r>
    </w:p>
    <w:p w:rsidR="005C2091" w:rsidRDefault="00A86293">
      <w:pPr>
        <w:pStyle w:val="Heading8"/>
        <w:jc w:val="left"/>
      </w:pPr>
      <w:r>
        <w:t>Opis aktivnosti</w:t>
      </w:r>
    </w:p>
    <w:p w:rsidR="005C2091" w:rsidRDefault="00A86293">
      <w:r>
        <w:t>Minsitarstvo je u 2016. godini financiralo nešto više od 900 programa muzeja (kojima je osnivač grad, županija ili općina) te strukovnih udruga i drugih subjekata koji provode muzejsko - galerijsku djelatnost. U 2016. godini izvršenje odgovara planu. Nije bilo odstupanja. Programi su u potpunosti izvršeni.</w:t>
      </w:r>
    </w:p>
    <w:p w:rsidR="004C28EA" w:rsidRDefault="004C28EA"/>
    <w:p w:rsidR="004C28EA" w:rsidRDefault="004C28EA"/>
    <w:p w:rsidR="004C28EA" w:rsidRDefault="004C28EA"/>
    <w:p w:rsidR="005C2091" w:rsidRDefault="00A86293">
      <w:pPr>
        <w:pStyle w:val="Heading3"/>
      </w:pPr>
      <w:r>
        <w:rPr>
          <w:rFonts w:cs="Times New Roman"/>
        </w:rPr>
        <w:lastRenderedPageBreak/>
        <w:t>3904 KAZALIŠNA I GLAZBENO- SCENSKA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3904-KAZALIŠNA I GLAZBENO- SCENSKA DJELATNOST</w:t>
            </w:r>
          </w:p>
        </w:tc>
        <w:tc>
          <w:tcPr>
            <w:tcW w:w="2041" w:type="dxa"/>
          </w:tcPr>
          <w:p w:rsidR="005C2091" w:rsidRDefault="00A86293">
            <w:pPr>
              <w:pStyle w:val="CellColumn"/>
              <w:jc w:val="right"/>
            </w:pPr>
            <w:r>
              <w:rPr>
                <w:rFonts w:cs="Times New Roman"/>
              </w:rPr>
              <w:t>37.975.990</w:t>
            </w:r>
          </w:p>
        </w:tc>
        <w:tc>
          <w:tcPr>
            <w:tcW w:w="2041" w:type="dxa"/>
          </w:tcPr>
          <w:p w:rsidR="005C2091" w:rsidRDefault="00A86293">
            <w:pPr>
              <w:pStyle w:val="CellColumn"/>
              <w:jc w:val="right"/>
            </w:pPr>
            <w:r>
              <w:rPr>
                <w:rFonts w:cs="Times New Roman"/>
              </w:rPr>
              <w:t>34.371.938</w:t>
            </w:r>
          </w:p>
        </w:tc>
        <w:tc>
          <w:tcPr>
            <w:tcW w:w="2041" w:type="dxa"/>
          </w:tcPr>
          <w:p w:rsidR="005C2091" w:rsidRDefault="00A86293">
            <w:pPr>
              <w:pStyle w:val="CellColumn"/>
              <w:jc w:val="right"/>
            </w:pPr>
            <w:r>
              <w:rPr>
                <w:rFonts w:cs="Times New Roman"/>
              </w:rPr>
              <w:t>34.286.842</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90,3</w:t>
            </w:r>
          </w:p>
        </w:tc>
      </w:tr>
    </w:tbl>
    <w:p w:rsidR="005C2091" w:rsidRDefault="005C2091">
      <w:pPr>
        <w:jc w:val="left"/>
      </w:pPr>
    </w:p>
    <w:p w:rsidR="005C2091" w:rsidRDefault="00A86293">
      <w:r>
        <w:t xml:space="preserve">Programi kazališne i glazbeno-scenske djelatnosti obuhvatili su dramsku, glazbeno-scensku i plesnu umjetnost kao i  amatersko stvaralaštvo. Kroz brojne produkcije, manifestacije, gostovanja, seminare te druge programe različitih profila, u 2016. godini poticala se djelatnost temeljnih organizacijskih oblika koje predstavljaju javna i privatna kazališta, </w:t>
      </w:r>
    </w:p>
    <w:p w:rsidR="005C2091" w:rsidRDefault="00A86293">
      <w:r>
        <w:t>umjetničke organizacije, orkestri, ansambli te udruge kulturno-umjetničkog amaterizma. Financiranjem programa javnih potreba u kulturi u ovim područjima ostvaruje se cilj kontinuiranog razvoja izvedbenih umjetnosti i specifičnih znanja. U 2016. godini nije bilo odstupanja od plana.</w:t>
      </w:r>
    </w:p>
    <w:p w:rsidR="005C2091" w:rsidRDefault="00A86293">
      <w:pPr>
        <w:pStyle w:val="Heading8"/>
        <w:jc w:val="left"/>
      </w:pPr>
      <w:r>
        <w:t>Cilj 1. Poticanje razvoja nacionalnih, javnih, privatnih i regionalnih kazališta te umjetničkih organizacija i ansambala</w:t>
      </w:r>
    </w:p>
    <w:p w:rsidR="005C2091" w:rsidRDefault="00A86293">
      <w:pPr>
        <w:pStyle w:val="Heading8"/>
        <w:jc w:val="left"/>
      </w:pPr>
      <w:r>
        <w:t>Opis provedbe cilja programa</w:t>
      </w:r>
    </w:p>
    <w:p w:rsidR="005C2091" w:rsidRDefault="00A86293">
      <w:r>
        <w:t>Nacionalna kazališta kao istaknute kulturne institucije, repertoarno su vezana uz suvremene dramske, operne i baletne produkcije, kao i one suvremenoga plesa, a također i uz baštinski repertoar hrvatskih i svjetskih klasika. Zbog naglašenog kulturnog, ali i prosvjetiteljsko-edukativnog aspekta njihova djelovanja, dosadašnja manjkava povezanost i nepodudarnost premijernih i repriznih naslova, unaprijedit će se podupiranjem značajnijih oblika programske suradnje. Ostala javna kazališta poticat će se na stvaranje repertoara sukladno interesima njihove publike. Ostvarenje premijernih naslova javnih i privatnih kazališta, suradnje umjetničkih organizacija i ansambala, poput glazbenih i plesnih, imat će za posljedicu kvalitetan repertoar, stabilnost razvoja, smanjenje troškova, veću mobilnost umjetnika, osobito mladih i bolju suradnju s lokalnom zajednicom. Jednako se odnosi na poticanje djelovanja regionalnih kazališta zbog veće dostupnosti kazališne umjetnosti i stvaranja perspektiva za širenje kvalitetno sondirane programske mreže. Ona je snažno nazočna naročito u primjeru glazbenih i kazališnih gostovanja na cijelom prostoru Republike Hrvatske, čime se pospješuje umjetnička produkcija, stvaralaštvo, interakcija umjetnika i publike te stabilnost mrežnog sustava. Poticanjem intenzivnijeg djelovanja privatnih kazališta (djeluju kao umjetničke organizacije i trgovačka društva te iznimno kao ustanove), poticat će se njihova programska raznolikost i kvaliteta, time i stvaralaštvo samostalnih umjetnika, kao i razvoj organizacijskih struktura u provedbi kulturne politike. Pokazatelj rezultata pratit će se brojem novoupisanih privatnih kazališta u Očevidnik kazališta.</w:t>
      </w:r>
    </w:p>
    <w:p w:rsidR="005C2091" w:rsidRDefault="00A86293">
      <w:pPr>
        <w:pStyle w:val="Heading8"/>
        <w:jc w:val="left"/>
      </w:pPr>
      <w:r>
        <w:t>Cilj 2. Potpora nakladništvu te poticaji stvaranju novih glazbenih i dramskih djela</w:t>
      </w:r>
    </w:p>
    <w:p w:rsidR="005C2091" w:rsidRDefault="00A86293">
      <w:pPr>
        <w:pStyle w:val="Heading8"/>
        <w:jc w:val="left"/>
      </w:pPr>
      <w:r>
        <w:t>Opis provedbe cilja programa</w:t>
      </w:r>
    </w:p>
    <w:p w:rsidR="005C2091" w:rsidRDefault="00A86293">
      <w:r>
        <w:t xml:space="preserve">Poticaji projektima nezavisnih nakladnika u okviru glazbene industrije obuhvaćaju notna, diskografska, publicistička, audiovizualna i multimedijalna izdanja. Jednako se odnosi na nove glazbene opuse suvremenih hrvatskih skladatelja te izdanja odlikovana Nagradom za dramsko djelo „Marin Držić“. Podrškom takvim programima, s jedne se strane stimuliraju stvaratelji, a s druge, omogućuje lakši put praizvedbama i izvedbama njihovih djela. Time se također promoviraju stvaralački potencijali suvremenih hrvatskih skladatelja, hrvatski klasici, mladi interpreti i drugi glazbeni žanrovi (jazz i etno). Kroz diskografiju i publicistiku te objavljivanje partitura, često kapitalne vrijednosti, potiče se dokumentiranje izvedbi, trajno snimanje, pisanje i istraživanje prvenstveno građe vezane uz nacionalnu glazbenu kulturu. Notnim izdanjima, kao deficitarnoj kulturnoj djelatnosti, problematizira se i sintetizira skladateljsko pismo ovoga vremena, ali i antologijska ostvarenja ranijih stilskih razdoblja.Budući da je glazbeno nakladništvo nezaštićeno i destimulirano zbog slabosti sustava podrške lokalne samouprave (također i manjkave podrške drugih izvora financiranja), u predstojećem razdoblju predviđeno je </w:t>
      </w:r>
      <w:r>
        <w:lastRenderedPageBreak/>
        <w:t xml:space="preserve">povećanje broja izdanja kako bi se očuvala i promovirala nova i starija hrvatska glazbena umjetnost. To uključuje velike i veće glazbeno-scenske cjeline, simfonijsku literaturu, komorni repertoar i slično.  </w:t>
      </w:r>
    </w:p>
    <w:p w:rsidR="005C2091" w:rsidRDefault="00A86293">
      <w:r>
        <w:t>Daljnji razvoj glazbenog i dramskog stvaralaštva poticat će se kontinuiranim nagrađivanjem osobitih postignuća, kao i potporama scenskom postavljanju nagrađenih djela. Stimuliranjem kreativnih disciplina, dat će značajan poticaj autorima i produkciji, ali i kvaliteti suvremenoga hrvatskog stvaralaštva.</w:t>
      </w:r>
    </w:p>
    <w:p w:rsidR="005C2091" w:rsidRDefault="00A86293">
      <w:pPr>
        <w:pStyle w:val="Heading8"/>
        <w:jc w:val="left"/>
      </w:pPr>
      <w:r>
        <w:t>Cilj 3. Potpora manifestacijama i gostovanjima programa izvedbenih umjetnosti</w:t>
      </w:r>
    </w:p>
    <w:p w:rsidR="005C2091" w:rsidRDefault="00A86293">
      <w:pPr>
        <w:pStyle w:val="Heading8"/>
        <w:jc w:val="left"/>
      </w:pPr>
      <w:r>
        <w:t>Opis provedbe cilja programa</w:t>
      </w:r>
    </w:p>
    <w:p w:rsidR="005C2091" w:rsidRDefault="00A86293">
      <w:r>
        <w:t>Veliki broj hrvatskih festivala (uključujući i one nacionalne) te kulturnih manifestacija, s međunarodnim predznakom ili bez njega, podržava se kontinuirano. Takvi programi koji promiču izvrsnost stvaralačke, reproduktivne i produkcijske scene panoramski pokazuju raznolikost njihovih profila - festivali nacionalnog statusa, festivali/kulturne priredbe hrvatskog ili međunarodnog značenja, regionalni festivali/kulturne priredbe, festivali/kulturne priredbe posvećene isključivo hrvatskoj glazbenoj literaturi ili jazzu te specijalistički festivali (primjerice, rana glazba/suvremena glazba). Znatan dio njih uživa ugled i na svjetskoj sceni. Stabilnost potpora osigurat će njihovu stalnu aktivnost, međunarodnu suradnju te otvoriti mogućnost za ostvarenje koprodukcijskih projekata. Poticanjem gostovanja kroz kazališne, glazbene i plesne mrežne programe podiže se razina intenzivnog profesionalnog djelovanja, ostvaruje se ravnoteža kulturne ponude u svim hrvatskim regijama, kao i suradnja s lokalnim organizatorima. Kako je riječ o mreži kulturnih aktivnosti na području cijele Republike Hrvatske (s naglaskom na područja od posebne državne skrbi i na otoke), cilj je potaknuti programsku raznovrsnost te stimulirati izvedbe suvremenog i klasičnog nacionalnog repertoara. Izvrsnost se potiče stalnim umjetničkim i stručnim usavršavanjem kroz različite oblike kreativno-istraživačkih rezidencija, majstorskih radionica i profesionalnih glazbenih natjecanja, čime se razvijaju individualni potencijali i potencijali umjetničkih skupina što u cjelini pridonosi kontinuiranom razvoju izvedbenih umjetnosti i njezinih posebnosti.</w:t>
      </w:r>
    </w:p>
    <w:p w:rsidR="005C2091" w:rsidRDefault="00A86293">
      <w:pPr>
        <w:pStyle w:val="Heading8"/>
        <w:jc w:val="left"/>
      </w:pPr>
      <w:r>
        <w:t>Cilj 4. Potpora glazbenom i kazališnom amaterizmu te očuvanju tradicijske kulture</w:t>
      </w:r>
    </w:p>
    <w:p w:rsidR="005C2091" w:rsidRDefault="00A86293">
      <w:pPr>
        <w:pStyle w:val="Heading8"/>
        <w:jc w:val="left"/>
      </w:pPr>
      <w:r>
        <w:t>Opis provedbe cilja programa</w:t>
      </w:r>
    </w:p>
    <w:p w:rsidR="005C2091" w:rsidRDefault="00A86293">
      <w:r>
        <w:t>Amatersko stvaralaštvo potiče se kroz brojne kulturne manifestacije, smotre ifestivale, radionice tradicijskih vještina i raznolike vrste programa pojedinačnihamaterskih kazališnih skupina te udruga koje njeguju glazbenu, kazališnu, plesnu i običajnu kulturu. Temeljni cilj – očuvanje regionalnih (zavičajnih) baštinskih vrijednosti – ostvarit će se tako da se kontinuirano podiže stručnost i kvaliteta djelovanja amaterske zajednice, osobito u manjim hrvatskim sredinama. Upredstojećem razdoblju očekuje se zadržavanje broja programa kojima će se i nadaljestimulirati razvoj cijele djelatnosti, njezina produktivnost i raznolikost, što su osnovnipreduvjeti za očuvanje zavičajnih glazbenih tradicija, kao i tradicije kazališnog amaterizma.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4C28EA">
            <w:pPr>
              <w:pStyle w:val="CellColumn"/>
              <w:spacing w:after="0"/>
              <w:jc w:val="left"/>
            </w:pPr>
            <w:r>
              <w:rPr>
                <w:rFonts w:cs="Times New Roman"/>
              </w:rPr>
              <w:t xml:space="preserve">Poticanje </w:t>
            </w:r>
            <w:r w:rsidR="004C28EA">
              <w:rPr>
                <w:rFonts w:cs="Times New Roman"/>
              </w:rPr>
              <w:t>razvoja</w:t>
            </w:r>
          </w:p>
          <w:p w:rsidR="005C2091" w:rsidRDefault="00A86293" w:rsidP="004C28EA">
            <w:pPr>
              <w:pStyle w:val="CellColumn"/>
              <w:spacing w:after="0"/>
              <w:jc w:val="left"/>
            </w:pPr>
            <w:r>
              <w:rPr>
                <w:rFonts w:cs="Times New Roman"/>
              </w:rPr>
              <w:t xml:space="preserve">izvedbenih umjetnosti </w:t>
            </w:r>
          </w:p>
          <w:p w:rsidR="005C2091" w:rsidRDefault="00A86293" w:rsidP="004C28EA">
            <w:pPr>
              <w:pStyle w:val="CellColumn"/>
              <w:spacing w:after="0"/>
              <w:jc w:val="left"/>
            </w:pPr>
            <w:r>
              <w:rPr>
                <w:rFonts w:cs="Times New Roman"/>
              </w:rPr>
              <w:t xml:space="preserve">unaprijedit će kulturnu </w:t>
            </w:r>
          </w:p>
          <w:p w:rsidR="005C2091" w:rsidRDefault="00A86293" w:rsidP="004C28EA">
            <w:pPr>
              <w:pStyle w:val="CellColumn"/>
              <w:spacing w:after="0"/>
              <w:jc w:val="left"/>
            </w:pPr>
            <w:r>
              <w:rPr>
                <w:rFonts w:cs="Times New Roman"/>
              </w:rPr>
              <w:t xml:space="preserve">proizvodnju i potrošnju, </w:t>
            </w:r>
          </w:p>
          <w:p w:rsidR="005C2091" w:rsidRDefault="00A86293" w:rsidP="004C28EA">
            <w:pPr>
              <w:pStyle w:val="CellColumn"/>
              <w:spacing w:after="0"/>
              <w:jc w:val="left"/>
            </w:pPr>
            <w:r>
              <w:rPr>
                <w:rFonts w:cs="Times New Roman"/>
              </w:rPr>
              <w:t xml:space="preserve">kvalitetu programa i stabilnost </w:t>
            </w:r>
          </w:p>
          <w:p w:rsidR="005C2091" w:rsidRDefault="00A86293" w:rsidP="004C28EA">
            <w:pPr>
              <w:pStyle w:val="CellColumn"/>
              <w:spacing w:after="0"/>
              <w:jc w:val="left"/>
            </w:pPr>
            <w:r>
              <w:rPr>
                <w:rFonts w:cs="Times New Roman"/>
              </w:rPr>
              <w:t>broja posjetitelja</w:t>
            </w:r>
          </w:p>
        </w:tc>
        <w:tc>
          <w:tcPr>
            <w:tcW w:w="2551" w:type="dxa"/>
          </w:tcPr>
          <w:p w:rsidR="005C2091" w:rsidRDefault="004C28EA">
            <w:pPr>
              <w:pStyle w:val="CellColumn"/>
              <w:jc w:val="left"/>
            </w:pPr>
            <w:r>
              <w:rPr>
                <w:rFonts w:cs="Times New Roman"/>
              </w:rPr>
              <w:t>Poticanje</w:t>
            </w:r>
            <w:r w:rsidR="00A86293">
              <w:rPr>
                <w:rFonts w:cs="Times New Roman"/>
              </w:rPr>
              <w:t xml:space="preserve">m razvoja </w:t>
            </w:r>
            <w:r>
              <w:rPr>
                <w:rFonts w:cs="Times New Roman"/>
              </w:rPr>
              <w:t>izvedbeni</w:t>
            </w:r>
            <w:r w:rsidR="00A86293">
              <w:rPr>
                <w:rFonts w:cs="Times New Roman"/>
              </w:rPr>
              <w:t xml:space="preserve">h umjetnost i omogućit će se </w:t>
            </w:r>
            <w:r>
              <w:rPr>
                <w:rFonts w:cs="Times New Roman"/>
              </w:rPr>
              <w:t>dostupno</w:t>
            </w:r>
            <w:r w:rsidR="00A86293">
              <w:rPr>
                <w:rFonts w:cs="Times New Roman"/>
              </w:rPr>
              <w:t xml:space="preserve">st kvalitetnih i </w:t>
            </w:r>
            <w:r>
              <w:rPr>
                <w:rFonts w:cs="Times New Roman"/>
              </w:rPr>
              <w:t xml:space="preserve">raznovrsn </w:t>
            </w:r>
            <w:r w:rsidR="00A86293">
              <w:rPr>
                <w:rFonts w:cs="Times New Roman"/>
              </w:rPr>
              <w:t xml:space="preserve">ih </w:t>
            </w:r>
            <w:r>
              <w:rPr>
                <w:rFonts w:cs="Times New Roman"/>
              </w:rPr>
              <w:t>programa</w:t>
            </w:r>
            <w:r w:rsidR="00A86293">
              <w:rPr>
                <w:rFonts w:cs="Times New Roman"/>
              </w:rPr>
              <w:t xml:space="preserve">, učinkovita promocija izvrsnosti i </w:t>
            </w:r>
            <w:r>
              <w:rPr>
                <w:rFonts w:cs="Times New Roman"/>
              </w:rPr>
              <w:t>stvaralašt</w:t>
            </w:r>
            <w:r w:rsidR="00A86293">
              <w:rPr>
                <w:rFonts w:cs="Times New Roman"/>
              </w:rPr>
              <w:t xml:space="preserve">va, </w:t>
            </w:r>
            <w:r>
              <w:rPr>
                <w:rFonts w:cs="Times New Roman"/>
              </w:rPr>
              <w:t>međusob</w:t>
            </w:r>
            <w:r w:rsidR="00A86293">
              <w:rPr>
                <w:rFonts w:cs="Times New Roman"/>
              </w:rPr>
              <w:t xml:space="preserve">na </w:t>
            </w:r>
            <w:r>
              <w:rPr>
                <w:rFonts w:cs="Times New Roman"/>
              </w:rPr>
              <w:t>suradnja, ravnomjer</w:t>
            </w:r>
            <w:r w:rsidR="00A86293">
              <w:rPr>
                <w:rFonts w:cs="Times New Roman"/>
              </w:rPr>
              <w:t xml:space="preserve">nija </w:t>
            </w:r>
            <w:r>
              <w:rPr>
                <w:rFonts w:cs="Times New Roman"/>
              </w:rPr>
              <w:t>teritorijaln</w:t>
            </w:r>
            <w:r w:rsidR="00A86293">
              <w:rPr>
                <w:rFonts w:cs="Times New Roman"/>
              </w:rPr>
              <w:t xml:space="preserve">a </w:t>
            </w:r>
            <w:r>
              <w:rPr>
                <w:rFonts w:cs="Times New Roman"/>
              </w:rPr>
              <w:t>zastupljen</w:t>
            </w:r>
            <w:r w:rsidR="00A86293">
              <w:rPr>
                <w:rFonts w:cs="Times New Roman"/>
              </w:rPr>
              <w:t xml:space="preserve">ost i </w:t>
            </w:r>
            <w:r>
              <w:rPr>
                <w:rFonts w:cs="Times New Roman"/>
              </w:rPr>
              <w:t>ravnomjer</w:t>
            </w:r>
            <w:r w:rsidR="00A86293">
              <w:rPr>
                <w:rFonts w:cs="Times New Roman"/>
              </w:rPr>
              <w:t>an broj posjetitelja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1406</w:t>
            </w:r>
          </w:p>
        </w:tc>
        <w:tc>
          <w:tcPr>
            <w:tcW w:w="1020" w:type="dxa"/>
          </w:tcPr>
          <w:p w:rsidR="005C2091" w:rsidRDefault="00A86293">
            <w:pPr>
              <w:pStyle w:val="CellColumn"/>
              <w:jc w:val="right"/>
            </w:pPr>
            <w:r>
              <w:rPr>
                <w:rFonts w:cs="Times New Roman"/>
              </w:rPr>
              <w:t>MK</w:t>
            </w:r>
          </w:p>
        </w:tc>
        <w:tc>
          <w:tcPr>
            <w:tcW w:w="1020" w:type="dxa"/>
          </w:tcPr>
          <w:p w:rsidR="005C2091" w:rsidRDefault="00A86293">
            <w:pPr>
              <w:pStyle w:val="CellColumn"/>
              <w:jc w:val="right"/>
            </w:pPr>
            <w:r>
              <w:rPr>
                <w:rFonts w:cs="Times New Roman"/>
              </w:rPr>
              <w:t>1531</w:t>
            </w:r>
          </w:p>
        </w:tc>
        <w:tc>
          <w:tcPr>
            <w:tcW w:w="1020" w:type="dxa"/>
          </w:tcPr>
          <w:p w:rsidR="005C2091" w:rsidRDefault="00A86293">
            <w:pPr>
              <w:pStyle w:val="CellColumn"/>
              <w:jc w:val="right"/>
            </w:pPr>
            <w:r>
              <w:rPr>
                <w:rFonts w:cs="Times New Roman"/>
              </w:rPr>
              <w:t>1921</w:t>
            </w:r>
          </w:p>
        </w:tc>
      </w:tr>
    </w:tbl>
    <w:p w:rsidR="004C28EA" w:rsidRDefault="004C28EA">
      <w:pPr>
        <w:jc w:val="left"/>
      </w:pPr>
    </w:p>
    <w:p w:rsidR="004C28EA" w:rsidRDefault="004C28EA">
      <w:pPr>
        <w:jc w:val="left"/>
      </w:pPr>
    </w:p>
    <w:p w:rsidR="004C28EA" w:rsidRDefault="004C28EA">
      <w:pPr>
        <w:jc w:val="left"/>
      </w:pPr>
    </w:p>
    <w:p w:rsidR="004C28EA" w:rsidRDefault="004C28EA">
      <w:pPr>
        <w:jc w:val="left"/>
      </w:pPr>
    </w:p>
    <w:p w:rsidR="005C2091" w:rsidRDefault="00A86293">
      <w:pPr>
        <w:pStyle w:val="Heading4"/>
      </w:pPr>
      <w:r>
        <w:lastRenderedPageBreak/>
        <w:t>A565030 PROGRAMI KAZALIŠNE I GLAZBENO SCENSKE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A565030-PROGRAMI KAZALIŠNE I GLAZBENO SCENSKE DJELATNOSTI</w:t>
            </w:r>
          </w:p>
        </w:tc>
        <w:tc>
          <w:tcPr>
            <w:tcW w:w="2041" w:type="dxa"/>
          </w:tcPr>
          <w:p w:rsidR="005C2091" w:rsidRDefault="00A86293">
            <w:pPr>
              <w:pStyle w:val="CellColumn"/>
              <w:jc w:val="right"/>
            </w:pPr>
            <w:r>
              <w:rPr>
                <w:rFonts w:cs="Times New Roman"/>
              </w:rPr>
              <w:t>37.975.990</w:t>
            </w:r>
          </w:p>
        </w:tc>
        <w:tc>
          <w:tcPr>
            <w:tcW w:w="2041" w:type="dxa"/>
          </w:tcPr>
          <w:p w:rsidR="005C2091" w:rsidRDefault="00A86293">
            <w:pPr>
              <w:pStyle w:val="CellColumn"/>
              <w:jc w:val="right"/>
            </w:pPr>
            <w:r>
              <w:rPr>
                <w:rFonts w:cs="Times New Roman"/>
              </w:rPr>
              <w:t>34.371.938</w:t>
            </w:r>
          </w:p>
        </w:tc>
        <w:tc>
          <w:tcPr>
            <w:tcW w:w="2041" w:type="dxa"/>
          </w:tcPr>
          <w:p w:rsidR="005C2091" w:rsidRDefault="00A86293">
            <w:pPr>
              <w:pStyle w:val="CellColumn"/>
              <w:jc w:val="right"/>
            </w:pPr>
            <w:r>
              <w:rPr>
                <w:rFonts w:cs="Times New Roman"/>
              </w:rPr>
              <w:t>34.286.842</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90,3</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2016. godinu. Uredba o kriterijima za utvrđivanje korisnika u načinu raspodjele dijela prihoda od igara na sreću za 2016. godinu (NN 38/16).</w:t>
      </w:r>
    </w:p>
    <w:p w:rsidR="005C2091" w:rsidRDefault="00A86293">
      <w:pPr>
        <w:pStyle w:val="Heading8"/>
        <w:jc w:val="left"/>
      </w:pPr>
      <w:r>
        <w:t>Opis aktivnosti</w:t>
      </w:r>
    </w:p>
    <w:p w:rsidR="005C2091" w:rsidRDefault="00A86293">
      <w:r>
        <w:t>Na temelju Poziva za predlaganje programa javnih potreba u kulturi Republike Hrvatske za 2016. godinu nadležna kulturna vijeća predložila su financiranje za programe glazbenih, dramskih, plesnih festivala: redovne programe javnih kazališta, programe glazbenih i kazališnih gostovanja, programe privatnih kazališta, programe suvremenih plesnih skupina, programe notnog i diskografskog nakladništva, programe međunarodnih majstorskih seminara i radionica (glazba), programe međunarodnih glazbenih natjecanja. Također je predloženo financiranje i za programe kulturno - umjetničkog i kazališnog amaterizma: festivali, manifestacije, susreti, natjecanja i smotre tradicijskog, glazbenog i kazališnog stvaralaštva, programe kulturno - umjetničkih društava (folklorna društva, puhački orkestri, pjevački zborovi) i udruga. U 2016. godini realizirano je više od 980 programa. U 2016. godini nije bilo odstupanja od plana.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4C28EA">
            <w:pPr>
              <w:pStyle w:val="CellColumn"/>
              <w:spacing w:after="0"/>
              <w:jc w:val="left"/>
            </w:pPr>
            <w:r>
              <w:rPr>
                <w:rFonts w:cs="Times New Roman"/>
              </w:rPr>
              <w:t xml:space="preserve">Ostvarenje </w:t>
            </w:r>
          </w:p>
          <w:p w:rsidR="005C2091" w:rsidRDefault="00A86293" w:rsidP="004C28EA">
            <w:pPr>
              <w:pStyle w:val="CellColumn"/>
              <w:spacing w:after="0"/>
              <w:jc w:val="left"/>
            </w:pPr>
            <w:r>
              <w:rPr>
                <w:rFonts w:cs="Times New Roman"/>
              </w:rPr>
              <w:t xml:space="preserve">premijernih </w:t>
            </w:r>
          </w:p>
          <w:p w:rsidR="005C2091" w:rsidRDefault="00A86293" w:rsidP="004C28EA">
            <w:pPr>
              <w:pStyle w:val="CellColumn"/>
              <w:spacing w:after="0"/>
              <w:jc w:val="left"/>
            </w:pPr>
            <w:r>
              <w:rPr>
                <w:rFonts w:cs="Times New Roman"/>
              </w:rPr>
              <w:t>naslova</w:t>
            </w:r>
          </w:p>
        </w:tc>
        <w:tc>
          <w:tcPr>
            <w:tcW w:w="2551" w:type="dxa"/>
          </w:tcPr>
          <w:p w:rsidR="005C2091" w:rsidRDefault="00A86293" w:rsidP="004C28EA">
            <w:pPr>
              <w:pStyle w:val="CellColumn"/>
              <w:spacing w:after="0"/>
              <w:jc w:val="left"/>
            </w:pPr>
            <w:r>
              <w:rPr>
                <w:rFonts w:cs="Times New Roman"/>
              </w:rPr>
              <w:t xml:space="preserve">Poticanjem programa </w:t>
            </w:r>
          </w:p>
          <w:p w:rsidR="005C2091" w:rsidRDefault="00A86293" w:rsidP="004C28EA">
            <w:pPr>
              <w:pStyle w:val="CellColumn"/>
              <w:spacing w:after="0"/>
              <w:jc w:val="left"/>
            </w:pPr>
            <w:r>
              <w:rPr>
                <w:rFonts w:cs="Times New Roman"/>
              </w:rPr>
              <w:t xml:space="preserve">međusobne suradnje i </w:t>
            </w:r>
          </w:p>
          <w:p w:rsidR="005C2091" w:rsidRDefault="00A86293" w:rsidP="004C28EA">
            <w:pPr>
              <w:pStyle w:val="CellColumn"/>
              <w:spacing w:after="0"/>
              <w:jc w:val="left"/>
            </w:pPr>
            <w:r>
              <w:rPr>
                <w:rFonts w:cs="Times New Roman"/>
              </w:rPr>
              <w:t xml:space="preserve">razvoja kazališta te </w:t>
            </w:r>
          </w:p>
          <w:p w:rsidR="005C2091" w:rsidRDefault="00A86293" w:rsidP="004C28EA">
            <w:pPr>
              <w:pStyle w:val="CellColumn"/>
              <w:spacing w:after="0"/>
              <w:jc w:val="left"/>
            </w:pPr>
            <w:r>
              <w:rPr>
                <w:rFonts w:cs="Times New Roman"/>
              </w:rPr>
              <w:t xml:space="preserve">umjetničkih organizacija </w:t>
            </w:r>
          </w:p>
          <w:p w:rsidR="005C2091" w:rsidRDefault="00A86293" w:rsidP="004C28EA">
            <w:pPr>
              <w:pStyle w:val="CellColumn"/>
              <w:spacing w:after="0"/>
              <w:jc w:val="left"/>
            </w:pPr>
            <w:r>
              <w:rPr>
                <w:rFonts w:cs="Times New Roman"/>
              </w:rPr>
              <w:t xml:space="preserve">i ansambala stimulirat će </w:t>
            </w:r>
          </w:p>
          <w:p w:rsidR="005C2091" w:rsidRDefault="00A86293" w:rsidP="004C28EA">
            <w:pPr>
              <w:pStyle w:val="CellColumn"/>
              <w:spacing w:after="0"/>
              <w:jc w:val="left"/>
            </w:pPr>
            <w:r>
              <w:rPr>
                <w:rFonts w:cs="Times New Roman"/>
              </w:rPr>
              <w:t xml:space="preserve">se raznolikost i dostupnost </w:t>
            </w:r>
          </w:p>
          <w:p w:rsidR="005C2091" w:rsidRDefault="00A86293" w:rsidP="004C28EA">
            <w:pPr>
              <w:pStyle w:val="CellColumn"/>
              <w:spacing w:after="0"/>
              <w:jc w:val="left"/>
            </w:pPr>
            <w:r>
              <w:rPr>
                <w:rFonts w:cs="Times New Roman"/>
              </w:rPr>
              <w:t>kulturne ponude</w:t>
            </w:r>
          </w:p>
        </w:tc>
        <w:tc>
          <w:tcPr>
            <w:tcW w:w="1020" w:type="dxa"/>
          </w:tcPr>
          <w:p w:rsidR="005C2091" w:rsidRDefault="00A86293" w:rsidP="004C28EA">
            <w:pPr>
              <w:pStyle w:val="CellColumn"/>
              <w:spacing w:after="0"/>
              <w:jc w:val="right"/>
            </w:pPr>
            <w:r>
              <w:rPr>
                <w:rFonts w:cs="Times New Roman"/>
              </w:rPr>
              <w:t>Broj</w:t>
            </w:r>
          </w:p>
        </w:tc>
        <w:tc>
          <w:tcPr>
            <w:tcW w:w="1020" w:type="dxa"/>
          </w:tcPr>
          <w:p w:rsidR="005C2091" w:rsidRDefault="00A86293" w:rsidP="004C28EA">
            <w:pPr>
              <w:pStyle w:val="CellColumn"/>
              <w:spacing w:after="0"/>
              <w:jc w:val="right"/>
            </w:pPr>
            <w:r>
              <w:rPr>
                <w:rFonts w:cs="Times New Roman"/>
              </w:rPr>
              <w:t>196</w:t>
            </w:r>
          </w:p>
        </w:tc>
        <w:tc>
          <w:tcPr>
            <w:tcW w:w="1020" w:type="dxa"/>
          </w:tcPr>
          <w:p w:rsidR="005C2091" w:rsidRDefault="00A86293" w:rsidP="004C28EA">
            <w:pPr>
              <w:pStyle w:val="CellColumn"/>
              <w:spacing w:after="0"/>
              <w:jc w:val="right"/>
            </w:pPr>
            <w:r>
              <w:rPr>
                <w:rFonts w:cs="Times New Roman"/>
              </w:rPr>
              <w:t>MK</w:t>
            </w:r>
          </w:p>
        </w:tc>
        <w:tc>
          <w:tcPr>
            <w:tcW w:w="1020" w:type="dxa"/>
          </w:tcPr>
          <w:p w:rsidR="005C2091" w:rsidRDefault="00A86293" w:rsidP="004C28EA">
            <w:pPr>
              <w:pStyle w:val="CellColumn"/>
              <w:spacing w:after="0"/>
              <w:jc w:val="right"/>
            </w:pPr>
            <w:r>
              <w:rPr>
                <w:rFonts w:cs="Times New Roman"/>
              </w:rPr>
              <w:t>199</w:t>
            </w:r>
          </w:p>
        </w:tc>
        <w:tc>
          <w:tcPr>
            <w:tcW w:w="1020" w:type="dxa"/>
          </w:tcPr>
          <w:p w:rsidR="005C2091" w:rsidRDefault="00A86293" w:rsidP="004C28EA">
            <w:pPr>
              <w:pStyle w:val="CellColumn"/>
              <w:spacing w:after="0"/>
              <w:jc w:val="right"/>
            </w:pPr>
            <w:r>
              <w:rPr>
                <w:rFonts w:cs="Times New Roman"/>
              </w:rPr>
              <w:t>201</w:t>
            </w:r>
          </w:p>
        </w:tc>
      </w:tr>
      <w:tr w:rsidR="005C2091">
        <w:trPr>
          <w:jc w:val="center"/>
        </w:trPr>
        <w:tc>
          <w:tcPr>
            <w:tcW w:w="2551" w:type="dxa"/>
          </w:tcPr>
          <w:p w:rsidR="005C2091" w:rsidRDefault="00A86293">
            <w:pPr>
              <w:pStyle w:val="CellColumn"/>
              <w:jc w:val="left"/>
            </w:pPr>
            <w:r>
              <w:rPr>
                <w:rFonts w:cs="Times New Roman"/>
              </w:rPr>
              <w:t xml:space="preserve">Povećanje </w:t>
            </w:r>
          </w:p>
          <w:p w:rsidR="005C2091" w:rsidRDefault="00A86293">
            <w:pPr>
              <w:pStyle w:val="CellColumn"/>
              <w:jc w:val="left"/>
            </w:pPr>
            <w:r>
              <w:rPr>
                <w:rFonts w:cs="Times New Roman"/>
              </w:rPr>
              <w:t xml:space="preserve">broja </w:t>
            </w:r>
          </w:p>
          <w:p w:rsidR="005C2091" w:rsidRDefault="00A86293">
            <w:pPr>
              <w:pStyle w:val="CellColumn"/>
              <w:jc w:val="left"/>
            </w:pPr>
            <w:r>
              <w:rPr>
                <w:rFonts w:cs="Times New Roman"/>
              </w:rPr>
              <w:t xml:space="preserve">odobrenih </w:t>
            </w:r>
          </w:p>
          <w:p w:rsidR="005C2091" w:rsidRDefault="00A86293">
            <w:pPr>
              <w:pStyle w:val="CellColumn"/>
              <w:jc w:val="left"/>
            </w:pPr>
            <w:r>
              <w:rPr>
                <w:rFonts w:cs="Times New Roman"/>
              </w:rPr>
              <w:t>programa nakladničke djelatnosti</w:t>
            </w:r>
          </w:p>
        </w:tc>
        <w:tc>
          <w:tcPr>
            <w:tcW w:w="2551" w:type="dxa"/>
          </w:tcPr>
          <w:p w:rsidR="005C2091" w:rsidRDefault="00A86293">
            <w:pPr>
              <w:pStyle w:val="CellColumn"/>
              <w:jc w:val="left"/>
            </w:pPr>
            <w:r>
              <w:rPr>
                <w:rFonts w:cs="Times New Roman"/>
              </w:rPr>
              <w:t xml:space="preserve">Povećanj </w:t>
            </w:r>
          </w:p>
          <w:p w:rsidR="005C2091" w:rsidRDefault="00A86293">
            <w:pPr>
              <w:pStyle w:val="CellColumn"/>
              <w:jc w:val="left"/>
            </w:pPr>
            <w:r>
              <w:rPr>
                <w:rFonts w:cs="Times New Roman"/>
              </w:rPr>
              <w:t xml:space="preserve">e broja </w:t>
            </w:r>
          </w:p>
          <w:p w:rsidR="005C2091" w:rsidRDefault="00A86293">
            <w:pPr>
              <w:pStyle w:val="CellColumn"/>
              <w:jc w:val="left"/>
            </w:pPr>
            <w:r>
              <w:rPr>
                <w:rFonts w:cs="Times New Roman"/>
              </w:rPr>
              <w:t xml:space="preserve">odobrenih </w:t>
            </w:r>
          </w:p>
          <w:p w:rsidR="005C2091" w:rsidRDefault="00A86293">
            <w:pPr>
              <w:pStyle w:val="CellColumn"/>
              <w:jc w:val="left"/>
            </w:pPr>
            <w:r>
              <w:rPr>
                <w:rFonts w:cs="Times New Roman"/>
              </w:rPr>
              <w:t>programa potaknut će umjetničko stvaralaštvo, kreativnost i proizvodnju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59</w:t>
            </w:r>
          </w:p>
        </w:tc>
        <w:tc>
          <w:tcPr>
            <w:tcW w:w="1020" w:type="dxa"/>
          </w:tcPr>
          <w:p w:rsidR="005C2091" w:rsidRDefault="00A86293">
            <w:pPr>
              <w:pStyle w:val="CellColumn"/>
              <w:jc w:val="right"/>
            </w:pPr>
            <w:r>
              <w:rPr>
                <w:rFonts w:cs="Times New Roman"/>
              </w:rPr>
              <w:t>MK</w:t>
            </w:r>
          </w:p>
        </w:tc>
        <w:tc>
          <w:tcPr>
            <w:tcW w:w="1020" w:type="dxa"/>
          </w:tcPr>
          <w:p w:rsidR="005C2091" w:rsidRDefault="00A86293">
            <w:pPr>
              <w:pStyle w:val="CellColumn"/>
              <w:jc w:val="right"/>
            </w:pPr>
            <w:r>
              <w:rPr>
                <w:rFonts w:cs="Times New Roman"/>
              </w:rPr>
              <w:t>63</w:t>
            </w:r>
          </w:p>
        </w:tc>
        <w:tc>
          <w:tcPr>
            <w:tcW w:w="1020" w:type="dxa"/>
          </w:tcPr>
          <w:p w:rsidR="005C2091" w:rsidRDefault="00A86293">
            <w:pPr>
              <w:pStyle w:val="CellColumn"/>
              <w:jc w:val="right"/>
            </w:pPr>
            <w:r>
              <w:rPr>
                <w:rFonts w:cs="Times New Roman"/>
              </w:rPr>
              <w:t>63</w:t>
            </w:r>
          </w:p>
        </w:tc>
      </w:tr>
      <w:tr w:rsidR="005C2091">
        <w:trPr>
          <w:jc w:val="center"/>
        </w:trPr>
        <w:tc>
          <w:tcPr>
            <w:tcW w:w="2551" w:type="dxa"/>
          </w:tcPr>
          <w:p w:rsidR="005C2091" w:rsidRDefault="00A86293">
            <w:pPr>
              <w:pStyle w:val="CellColumn"/>
              <w:jc w:val="left"/>
            </w:pPr>
            <w:r>
              <w:rPr>
                <w:rFonts w:cs="Times New Roman"/>
              </w:rPr>
              <w:t>Očuvanje statusa nacionalnih festivala</w:t>
            </w:r>
          </w:p>
        </w:tc>
        <w:tc>
          <w:tcPr>
            <w:tcW w:w="2551" w:type="dxa"/>
          </w:tcPr>
          <w:p w:rsidR="005C2091" w:rsidRDefault="00A86293">
            <w:pPr>
              <w:pStyle w:val="CellColumn"/>
              <w:jc w:val="left"/>
            </w:pPr>
            <w:r>
              <w:rPr>
                <w:rFonts w:cs="Times New Roman"/>
              </w:rPr>
              <w:t>Stabilnost broja nacionalnih festivala ukazat će na kvalitetu sadržaja te umjetničku i profesionalnu razinu</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7</w:t>
            </w:r>
          </w:p>
        </w:tc>
        <w:tc>
          <w:tcPr>
            <w:tcW w:w="1020" w:type="dxa"/>
          </w:tcPr>
          <w:p w:rsidR="005C2091" w:rsidRDefault="00A86293">
            <w:pPr>
              <w:pStyle w:val="CellColumn"/>
              <w:jc w:val="right"/>
            </w:pPr>
            <w:r>
              <w:rPr>
                <w:rFonts w:cs="Times New Roman"/>
              </w:rPr>
              <w:t>MK</w:t>
            </w:r>
          </w:p>
        </w:tc>
        <w:tc>
          <w:tcPr>
            <w:tcW w:w="1020" w:type="dxa"/>
          </w:tcPr>
          <w:p w:rsidR="005C2091" w:rsidRDefault="00A86293">
            <w:pPr>
              <w:pStyle w:val="CellColumn"/>
              <w:jc w:val="right"/>
            </w:pPr>
            <w:r>
              <w:rPr>
                <w:rFonts w:cs="Times New Roman"/>
              </w:rPr>
              <w:t>6</w:t>
            </w:r>
          </w:p>
        </w:tc>
        <w:tc>
          <w:tcPr>
            <w:tcW w:w="1020" w:type="dxa"/>
          </w:tcPr>
          <w:p w:rsidR="005C2091" w:rsidRDefault="00A86293">
            <w:pPr>
              <w:pStyle w:val="CellColumn"/>
              <w:jc w:val="right"/>
            </w:pPr>
            <w:r>
              <w:rPr>
                <w:rFonts w:cs="Times New Roman"/>
              </w:rPr>
              <w:t>6</w:t>
            </w:r>
          </w:p>
        </w:tc>
      </w:tr>
      <w:tr w:rsidR="005C2091">
        <w:trPr>
          <w:jc w:val="center"/>
        </w:trPr>
        <w:tc>
          <w:tcPr>
            <w:tcW w:w="2551" w:type="dxa"/>
          </w:tcPr>
          <w:p w:rsidR="005C2091" w:rsidRDefault="00A86293" w:rsidP="004C28EA">
            <w:pPr>
              <w:pStyle w:val="CellColumn"/>
              <w:spacing w:after="0"/>
              <w:jc w:val="left"/>
            </w:pPr>
            <w:r>
              <w:rPr>
                <w:rFonts w:cs="Times New Roman"/>
              </w:rPr>
              <w:t>Uvođenje raznolikosti programa amaterskog stvaralaštva</w:t>
            </w:r>
          </w:p>
        </w:tc>
        <w:tc>
          <w:tcPr>
            <w:tcW w:w="2551" w:type="dxa"/>
          </w:tcPr>
          <w:p w:rsidR="005C2091" w:rsidRDefault="004C28EA" w:rsidP="004C28EA">
            <w:pPr>
              <w:pStyle w:val="CellColumn"/>
              <w:spacing w:after="0"/>
              <w:jc w:val="left"/>
            </w:pPr>
            <w:r>
              <w:rPr>
                <w:rFonts w:cs="Times New Roman"/>
              </w:rPr>
              <w:t>Stabilnoš</w:t>
            </w:r>
            <w:r w:rsidR="00A86293">
              <w:rPr>
                <w:rFonts w:cs="Times New Roman"/>
              </w:rPr>
              <w:t xml:space="preserve">ću potpora osigurava </w:t>
            </w:r>
          </w:p>
          <w:p w:rsidR="005C2091" w:rsidRDefault="00A86293" w:rsidP="004C28EA">
            <w:pPr>
              <w:pStyle w:val="CellColumn"/>
              <w:spacing w:after="0"/>
              <w:jc w:val="left"/>
            </w:pPr>
            <w:r>
              <w:rPr>
                <w:rFonts w:cs="Times New Roman"/>
              </w:rPr>
              <w:t xml:space="preserve">se opstanak </w:t>
            </w:r>
            <w:r w:rsidR="004C28EA">
              <w:rPr>
                <w:rFonts w:cs="Times New Roman"/>
              </w:rPr>
              <w:t>amaterski</w:t>
            </w:r>
            <w:r>
              <w:rPr>
                <w:rFonts w:cs="Times New Roman"/>
              </w:rPr>
              <w:t xml:space="preserve">h </w:t>
            </w:r>
          </w:p>
          <w:p w:rsidR="005C2091" w:rsidRDefault="00A86293" w:rsidP="004C28EA">
            <w:pPr>
              <w:pStyle w:val="CellColumn"/>
              <w:spacing w:after="0"/>
              <w:jc w:val="left"/>
            </w:pPr>
            <w:r>
              <w:rPr>
                <w:rFonts w:cs="Times New Roman"/>
              </w:rPr>
              <w:t xml:space="preserve">društava: kazališnih </w:t>
            </w:r>
          </w:p>
          <w:p w:rsidR="005C2091" w:rsidRDefault="00A86293" w:rsidP="004C28EA">
            <w:pPr>
              <w:pStyle w:val="CellColumn"/>
              <w:spacing w:after="0"/>
              <w:jc w:val="left"/>
            </w:pPr>
            <w:r>
              <w:rPr>
                <w:rFonts w:cs="Times New Roman"/>
              </w:rPr>
              <w:t xml:space="preserve">skupina i onih glazbeno-folklornih koje su djelovanje </w:t>
            </w:r>
          </w:p>
          <w:p w:rsidR="005C2091" w:rsidRDefault="00A86293" w:rsidP="004C28EA">
            <w:pPr>
              <w:pStyle w:val="CellColumn"/>
              <w:spacing w:after="0"/>
              <w:jc w:val="left"/>
            </w:pPr>
            <w:r>
              <w:rPr>
                <w:rFonts w:cs="Times New Roman"/>
              </w:rPr>
              <w:t xml:space="preserve">m vezane uz različite oblike </w:t>
            </w:r>
          </w:p>
          <w:p w:rsidR="005C2091" w:rsidRDefault="00A86293" w:rsidP="004C28EA">
            <w:pPr>
              <w:pStyle w:val="CellColumn"/>
              <w:spacing w:after="0"/>
              <w:jc w:val="left"/>
            </w:pPr>
            <w:r>
              <w:rPr>
                <w:rFonts w:cs="Times New Roman"/>
              </w:rPr>
              <w:t>tradicijske kulture</w:t>
            </w:r>
          </w:p>
        </w:tc>
        <w:tc>
          <w:tcPr>
            <w:tcW w:w="1020" w:type="dxa"/>
          </w:tcPr>
          <w:p w:rsidR="005C2091" w:rsidRDefault="00A86293" w:rsidP="004C28EA">
            <w:pPr>
              <w:pStyle w:val="CellColumn"/>
              <w:spacing w:after="0"/>
              <w:jc w:val="right"/>
            </w:pPr>
            <w:r>
              <w:rPr>
                <w:rFonts w:cs="Times New Roman"/>
              </w:rPr>
              <w:t>Broj</w:t>
            </w:r>
          </w:p>
        </w:tc>
        <w:tc>
          <w:tcPr>
            <w:tcW w:w="1020" w:type="dxa"/>
          </w:tcPr>
          <w:p w:rsidR="005C2091" w:rsidRDefault="00A86293" w:rsidP="004C28EA">
            <w:pPr>
              <w:pStyle w:val="CellColumn"/>
              <w:spacing w:after="0"/>
              <w:jc w:val="right"/>
            </w:pPr>
            <w:r>
              <w:rPr>
                <w:rFonts w:cs="Times New Roman"/>
              </w:rPr>
              <w:t>337</w:t>
            </w:r>
          </w:p>
        </w:tc>
        <w:tc>
          <w:tcPr>
            <w:tcW w:w="1020" w:type="dxa"/>
          </w:tcPr>
          <w:p w:rsidR="005C2091" w:rsidRDefault="00A86293" w:rsidP="004C28EA">
            <w:pPr>
              <w:pStyle w:val="CellColumn"/>
              <w:spacing w:after="0"/>
              <w:jc w:val="right"/>
            </w:pPr>
            <w:r>
              <w:rPr>
                <w:rFonts w:cs="Times New Roman"/>
              </w:rPr>
              <w:t>MK</w:t>
            </w:r>
          </w:p>
        </w:tc>
        <w:tc>
          <w:tcPr>
            <w:tcW w:w="1020" w:type="dxa"/>
          </w:tcPr>
          <w:p w:rsidR="005C2091" w:rsidRDefault="00A86293" w:rsidP="004C28EA">
            <w:pPr>
              <w:pStyle w:val="CellColumn"/>
              <w:spacing w:after="0"/>
              <w:jc w:val="right"/>
            </w:pPr>
            <w:r>
              <w:rPr>
                <w:rFonts w:cs="Times New Roman"/>
              </w:rPr>
              <w:t>420</w:t>
            </w:r>
          </w:p>
        </w:tc>
        <w:tc>
          <w:tcPr>
            <w:tcW w:w="1020" w:type="dxa"/>
          </w:tcPr>
          <w:p w:rsidR="005C2091" w:rsidRDefault="00A86293" w:rsidP="004C28EA">
            <w:pPr>
              <w:pStyle w:val="CellColumn"/>
              <w:spacing w:after="0"/>
              <w:jc w:val="right"/>
            </w:pPr>
            <w:r>
              <w:rPr>
                <w:rFonts w:cs="Times New Roman"/>
              </w:rPr>
              <w:t>464</w:t>
            </w:r>
          </w:p>
        </w:tc>
      </w:tr>
    </w:tbl>
    <w:p w:rsidR="005C2091" w:rsidRDefault="005C2091">
      <w:pPr>
        <w:jc w:val="left"/>
      </w:pPr>
    </w:p>
    <w:p w:rsidR="005C2091" w:rsidRDefault="00A86293">
      <w:pPr>
        <w:pStyle w:val="Heading3"/>
      </w:pPr>
      <w:r>
        <w:rPr>
          <w:rFonts w:cs="Times New Roman"/>
        </w:rPr>
        <w:t>3905 KNJIŽNIČNA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3905-KNJIŽNIČNA DJELATNOST</w:t>
            </w:r>
          </w:p>
        </w:tc>
        <w:tc>
          <w:tcPr>
            <w:tcW w:w="2041" w:type="dxa"/>
          </w:tcPr>
          <w:p w:rsidR="005C2091" w:rsidRDefault="00A86293">
            <w:pPr>
              <w:pStyle w:val="CellColumn"/>
              <w:jc w:val="right"/>
            </w:pPr>
            <w:r>
              <w:rPr>
                <w:rFonts w:cs="Times New Roman"/>
              </w:rPr>
              <w:t>49.646.419</w:t>
            </w:r>
          </w:p>
        </w:tc>
        <w:tc>
          <w:tcPr>
            <w:tcW w:w="2041" w:type="dxa"/>
          </w:tcPr>
          <w:p w:rsidR="005C2091" w:rsidRDefault="00A86293">
            <w:pPr>
              <w:pStyle w:val="CellColumn"/>
              <w:jc w:val="right"/>
            </w:pPr>
            <w:r>
              <w:rPr>
                <w:rFonts w:cs="Times New Roman"/>
              </w:rPr>
              <w:t>52.206.892</w:t>
            </w:r>
          </w:p>
        </w:tc>
        <w:tc>
          <w:tcPr>
            <w:tcW w:w="2041" w:type="dxa"/>
          </w:tcPr>
          <w:p w:rsidR="005C2091" w:rsidRDefault="00A86293">
            <w:pPr>
              <w:pStyle w:val="CellColumn"/>
              <w:jc w:val="right"/>
            </w:pPr>
            <w:r>
              <w:rPr>
                <w:rFonts w:cs="Times New Roman"/>
              </w:rPr>
              <w:t>51.511.612</w:t>
            </w:r>
          </w:p>
        </w:tc>
        <w:tc>
          <w:tcPr>
            <w:tcW w:w="1224" w:type="dxa"/>
          </w:tcPr>
          <w:p w:rsidR="005C2091" w:rsidRDefault="00A86293">
            <w:pPr>
              <w:pStyle w:val="CellColumn"/>
              <w:jc w:val="right"/>
            </w:pPr>
            <w:r>
              <w:rPr>
                <w:rFonts w:cs="Times New Roman"/>
              </w:rPr>
              <w:t>98,7</w:t>
            </w:r>
          </w:p>
        </w:tc>
        <w:tc>
          <w:tcPr>
            <w:tcW w:w="1224" w:type="dxa"/>
          </w:tcPr>
          <w:p w:rsidR="005C2091" w:rsidRDefault="00A86293">
            <w:pPr>
              <w:pStyle w:val="CellColumn"/>
              <w:jc w:val="right"/>
            </w:pPr>
            <w:r>
              <w:rPr>
                <w:rFonts w:cs="Times New Roman"/>
              </w:rPr>
              <w:t>103,8</w:t>
            </w:r>
          </w:p>
        </w:tc>
      </w:tr>
    </w:tbl>
    <w:p w:rsidR="005C2091" w:rsidRDefault="005C2091">
      <w:pPr>
        <w:jc w:val="left"/>
      </w:pPr>
    </w:p>
    <w:p w:rsidR="005C2091" w:rsidRDefault="00A86293">
      <w:r>
        <w:t>Program obuhvaća uz knjižničnu i djelatnost književnog izdavaštva. Godišnje se potpomogne oko 2000 projekata kroz potpore za izdavanje knjiga, časopisa i elektroničkih publikacija, otkup knjiga od nakladnika za narodne knjižnice te potpore za poticanje književnog stvaralaštva namijenjene autorima i prevoditeljima. Inozemni se izdavači također mogu natjecati za potporu objavljivanju djela hrvatskih autora na stranim jezicima. Na taj se način potiče učinkovitija promocija hrvatske knjige prilagođene osobitostima pojedinačnih kulturnih tržišta i posredno podupiru drugi oblici afirmacije Hrvatske na svjetskoj književnoj i kulturnoj sceni. Podupiru se književne manifestacije koje se kontinuirano održavaju, a uglavnom su vezane uz značajna imena i događaje hrvatske kulturne povijesti. Također se potpomažu i nastupi hrvatskih nakladnika i autora na domaćim i inozemnim književnim sajmovima u svrhu prezentiranja i promidžbe. Stimuliraju se književni programi u knjižarama koji promiču kulturu čitanja. Takvi programi su književno – autorske promocije, tematski književni susreti, organizacija književnih festivala. Sufinanciraju se nezavisne knjižare i povećava dostupnost knjiga i časopisa. Potpora knjižničnoj djelatnosti odnosi se na nabavu knjižne i neknjižne građe u narodnim knjižnicama, akcije i manifestacijama u knjižničnoj djelatnosti te potporu razvojnim programima i projektima u knjižničnoj djelatnosti. Program je u izvršen. Nije bilo odstupanja od plana u 2016. godini.</w:t>
      </w:r>
    </w:p>
    <w:p w:rsidR="005C2091" w:rsidRDefault="00A86293">
      <w:pPr>
        <w:pStyle w:val="Heading8"/>
        <w:jc w:val="left"/>
      </w:pPr>
      <w:r>
        <w:t>Cilj 1. Poticanje književnog stvaralaštva</w:t>
      </w:r>
    </w:p>
    <w:p w:rsidR="005C2091" w:rsidRDefault="00A86293">
      <w:pPr>
        <w:pStyle w:val="Heading8"/>
        <w:jc w:val="left"/>
      </w:pPr>
      <w:r>
        <w:t>Opis provedbe cilja programa</w:t>
      </w:r>
    </w:p>
    <w:p w:rsidR="005C2091" w:rsidRDefault="00A86293">
      <w:r>
        <w:t>Kako se hrvatski jezik i kultura ubrajaju u jezike s malim brojem korisnika, treba naročito brinuti o afirmaciji i održavanju kvalitete književnog stvaralaštva i izdavaštva jer je briga o vlastitom jeziku ključna u zaštiti vlastitoga nacionalnog identiteta. Nizom mjera – dodjeljivanjem direktnih potpora-stipendija autorima za rad na pojedinom projektu, dodjeljivanjem stimulacija-nagrada za ostvarena kvalitetna djela, osiguravanjem isplate dijela potpore izdavanju knjiga kroz autorske honorare te uvođenjem plaćanja naknade na temelju prava javne posudbe u narodnim knjižnicama nastoji se poboljšati status autora – književnika i prevoditelja te osigurati uvjete za egzistenciju i stvaranje kroz ovaj oblik umjetničke proizvodnje.</w:t>
      </w:r>
    </w:p>
    <w:p w:rsidR="005C2091" w:rsidRDefault="00A86293">
      <w:pPr>
        <w:pStyle w:val="Heading8"/>
        <w:jc w:val="left"/>
      </w:pPr>
      <w:r>
        <w:t>Cilj 2. Potpora proizvodnji i distribuciji knjiga, časopisa i elektroničkih publikacija</w:t>
      </w:r>
    </w:p>
    <w:p w:rsidR="005C2091" w:rsidRDefault="00A86293">
      <w:pPr>
        <w:pStyle w:val="Heading8"/>
        <w:jc w:val="left"/>
      </w:pPr>
      <w:r>
        <w:t>Opis provedbe cilja programa</w:t>
      </w:r>
    </w:p>
    <w:p w:rsidR="005C2091" w:rsidRDefault="00A86293">
      <w:r>
        <w:t xml:space="preserve">Povećanjem broja potpora dodijeljenih autorima i prevoditeljima za književna djela, poboljšat će se interes autora za stvaranje, a nakladnika za izdavanje a time i udio domaće književnosti na tržištu te u suradnji s nakladnicima povećati broj objavljenih vrijednih naslova što će omogućiti približavanje književno-umjetničkih djela širokoj publici i na taj način afirmirati književno nakladništvo kao vodeću granu kulturne produkcije. Kako su književna djela i časopisi vrlo važni u očuvanju i promoviranju književne, jezične i kulturne baštine, treba osigurati njihovu dostupnost svim građanima Republike Hrvatske bez obzira na mjesto stanovanja, što će se učiniti povećanjem broja otkupljenih naslova kapitalnih djela hrvatske i svjetske književnosti za narodne knjižnice u većem broju primjeraka te mjerama za očuvanje časopisne produkcije na cijelom području Republike Hrvatske. </w:t>
      </w:r>
    </w:p>
    <w:p w:rsidR="005C2091" w:rsidRDefault="00A86293">
      <w:r>
        <w:t>Polazeći od potrebe da se dosezi hrvatske kulture učine dostupnim i vidljivim u digitalnom okruženju, Ministarstvo kulture će poticati stvaranje kulturnih i kreativnih sadržaja te inicirati inovativne i kreativne procese s ciljem uključivanja postojećih i novih sadržaja na mrežne i mobilne platforme koje odgovaraju izazovima vremena.Povećanjem broja naslova dostupnih u e-formatu osigurat će se povećanje udjela e-knjiga na cjelokupnom tržištu knjiga.</w:t>
      </w:r>
    </w:p>
    <w:p w:rsidR="005C2091" w:rsidRDefault="00A86293">
      <w:pPr>
        <w:pStyle w:val="Heading8"/>
        <w:jc w:val="left"/>
      </w:pPr>
      <w:r>
        <w:t>Cilj 3. Potpora razvoju knjižničnih usluga i zadovoljavanju potreba korisnika</w:t>
      </w:r>
    </w:p>
    <w:p w:rsidR="005C2091" w:rsidRDefault="00A86293">
      <w:pPr>
        <w:pStyle w:val="Heading8"/>
        <w:jc w:val="left"/>
      </w:pPr>
      <w:r>
        <w:t>Opis provedbe cilja programa</w:t>
      </w:r>
    </w:p>
    <w:p w:rsidR="005C2091" w:rsidRDefault="00A86293">
      <w:r>
        <w:t>Iako je širenje mreže narodnih knjižnica, sukladno Zakonu o knjižnicama, od interesa za Republiku Hrvatsku, zbog nedostatnih financijskih mogućnosti, lokalnoj je zajednici (općinama i gradovima) sve teže osigurati sredstva za osnivanje knjižnica i izgradnju njihovih knjižničnih fondova. Razvojem mreže bibliobusnih službi narodnih knjižnica u Republici Hrvatskoj omogućilo bi se fleksibilno i ekonomično pružanje knjižničnih usluga svim stanovnicima bez obzira na mjesto stanovanja i udaljenost od stacionarnih knjižnica (otoci, planinski krajevi, prigradska naselja… ), a povećanje broja kvalitetnih razvojnih programa u knjižničnoj djelatnosti rezultiralo bi osposobljavanjem djelatnika u knjižnicama za praćenje suvremenih kreativnih i tehnoloških dostignuća u struci. Kao najrazvijenija mreža kulturnih ustanova u zemlji, mreža narodnih knjižnica može kvalitetnim akcijama i manifestacijama uspješno promicati čitanje i čitalačku kulturu putem različitih medija i za sve generacije.</w:t>
      </w:r>
    </w:p>
    <w:p w:rsidR="005C2091" w:rsidRDefault="00A86293">
      <w:pPr>
        <w:pStyle w:val="Heading8"/>
        <w:jc w:val="left"/>
      </w:pPr>
      <w:r>
        <w:t>Cilj 4. Povećanje participacije knjige u kulturnom životu</w:t>
      </w:r>
    </w:p>
    <w:p w:rsidR="005C2091" w:rsidRDefault="00A86293">
      <w:pPr>
        <w:pStyle w:val="Heading8"/>
        <w:jc w:val="left"/>
      </w:pPr>
      <w:r>
        <w:t>Opis provedbe cilja programa</w:t>
      </w:r>
    </w:p>
    <w:p w:rsidR="005C2091" w:rsidRDefault="00A86293">
      <w:r>
        <w:t>Jačanje participacije i kulturne potrošnje uz afirmaciju sudjelovanja u kulturi s ciljem podizanja kvalitete života stanovništva bitni su za učinkovito funkcioniranje kulture kao sektora koji proizvodi dobra i stvara nove vrijednosti. Povećanjem brojakvalitetnih književno-autorskih predstavljanja, festivala, okruglih stolova, tribina iradionica povećat će se dostupnost knjige i promicati kultura čitanja s ciljem afirmacije književnosti kao jedne od vodećih grana kulturne produkcije. Uz sve to trebalo bi osigurati, odnosno stimulirati adekvatan tretman autora, knjiga i književnosti unutar medijskog prostora. Povećanje broja i kvalitete sufinanciranih prijevoda pokazatelj je porasta zanimanja za hrvatsku književnu produkciju i njezina statusa na međunarodnom književnom i knjižnom tržištu. Pojačanom participacijom olakšava se promidžba hrvatske književnosti, izgrađuje hrvatski kulturni proizvod i poboljšava percepcija, odnosno recepcija. Povećan broj uzajamnih gostovanja književnika i prevoditelja pridonosi jačanju razmjene i suradnje na području kulture.</w:t>
      </w:r>
    </w:p>
    <w:p w:rsidR="005C2091" w:rsidRDefault="00A86293">
      <w:pPr>
        <w:pStyle w:val="Heading8"/>
        <w:jc w:val="left"/>
      </w:pPr>
      <w:r>
        <w:t>Cilj 5. Nacionalna strategija poticanja čitanja</w:t>
      </w:r>
    </w:p>
    <w:p w:rsidR="005C2091" w:rsidRDefault="00A86293">
      <w:pPr>
        <w:pStyle w:val="Heading8"/>
        <w:jc w:val="left"/>
      </w:pPr>
      <w:r>
        <w:t>Opis provedbe cilja programa</w:t>
      </w:r>
    </w:p>
    <w:p w:rsidR="005C2091" w:rsidRDefault="00A86293">
      <w:r>
        <w:t>Izradom Nacionalne strategije poticanja čitanja povećat će se interes za čitanje svih dobnih skupina, interesnih skupina, naročito djece i mladih kao posebno važne ciljne skupine, povećat će se potpora drugih ustanova programima poticanja čitanja što će rezultirati povećanjem broja čitateljskih klubova, učlanjenja u knjižnice i u konačnici kupnjom knjiga. Ustanovljavanjem Dana čitanja, organizacijom nacionalne kampanje poticanja čitanja u koju su uključeni svi mediji rast će potpora kulturnim programima od teksta do proizvodnje kulturnih dobara.</w:t>
      </w:r>
    </w:p>
    <w:p w:rsidR="004C28EA" w:rsidRDefault="004C28EA"/>
    <w:p w:rsidR="004C28EA" w:rsidRDefault="004C28EA"/>
    <w:p w:rsidR="004C28EA" w:rsidRDefault="004C28EA"/>
    <w:p w:rsidR="004C28EA" w:rsidRDefault="004C28EA"/>
    <w:p w:rsidR="004C28EA" w:rsidRDefault="004C28EA"/>
    <w:p w:rsidR="004C28EA" w:rsidRDefault="004C28EA"/>
    <w:p w:rsidR="004C28EA" w:rsidRDefault="004C28EA"/>
    <w:p w:rsidR="004C28EA" w:rsidRDefault="004C28EA"/>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4C28EA">
            <w:pPr>
              <w:pStyle w:val="CellColumn"/>
              <w:spacing w:after="0"/>
              <w:jc w:val="left"/>
            </w:pPr>
            <w:r>
              <w:rPr>
                <w:rFonts w:cs="Times New Roman"/>
              </w:rPr>
              <w:t xml:space="preserve">Povećanje recepcije hrvatske </w:t>
            </w:r>
          </w:p>
          <w:p w:rsidR="005C2091" w:rsidRDefault="00A86293" w:rsidP="004C28EA">
            <w:pPr>
              <w:pStyle w:val="CellColumn"/>
              <w:spacing w:after="0"/>
              <w:jc w:val="left"/>
            </w:pPr>
            <w:r>
              <w:rPr>
                <w:rFonts w:cs="Times New Roman"/>
              </w:rPr>
              <w:t>knjige u zemlji i inozemstvu</w:t>
            </w:r>
          </w:p>
        </w:tc>
        <w:tc>
          <w:tcPr>
            <w:tcW w:w="2551" w:type="dxa"/>
          </w:tcPr>
          <w:p w:rsidR="005C2091" w:rsidRDefault="00A86293" w:rsidP="004C28EA">
            <w:pPr>
              <w:pStyle w:val="CellColumn"/>
              <w:spacing w:after="0"/>
              <w:jc w:val="left"/>
            </w:pPr>
            <w:r>
              <w:rPr>
                <w:rFonts w:cs="Times New Roman"/>
              </w:rPr>
              <w:t xml:space="preserve">Rastom kvalitetne </w:t>
            </w:r>
          </w:p>
          <w:p w:rsidR="005C2091" w:rsidRDefault="00A86293" w:rsidP="004C28EA">
            <w:pPr>
              <w:pStyle w:val="CellColumn"/>
              <w:spacing w:after="0"/>
              <w:jc w:val="left"/>
            </w:pPr>
            <w:r>
              <w:rPr>
                <w:rFonts w:cs="Times New Roman"/>
              </w:rPr>
              <w:t xml:space="preserve">knjižne  produkcije razvija se kultura čitanja, jača participacija i kulturna potrošnja te podiže razina postignutog kulturnog razvitka što se iskazuje prosječnim brojem fizičkih i </w:t>
            </w:r>
          </w:p>
          <w:p w:rsidR="005C2091" w:rsidRDefault="00A86293" w:rsidP="004C28EA">
            <w:pPr>
              <w:pStyle w:val="CellColumn"/>
              <w:spacing w:after="0"/>
              <w:jc w:val="left"/>
            </w:pPr>
            <w:r>
              <w:rPr>
                <w:rFonts w:cs="Times New Roman"/>
              </w:rPr>
              <w:t>virtualnih posudbi u narodnim knjižnicama</w:t>
            </w:r>
          </w:p>
        </w:tc>
        <w:tc>
          <w:tcPr>
            <w:tcW w:w="1020" w:type="dxa"/>
          </w:tcPr>
          <w:p w:rsidR="005C2091" w:rsidRDefault="00A86293" w:rsidP="004C28EA">
            <w:pPr>
              <w:pStyle w:val="CellColumn"/>
              <w:spacing w:after="0"/>
              <w:jc w:val="right"/>
            </w:pPr>
            <w:r>
              <w:rPr>
                <w:rFonts w:cs="Times New Roman"/>
              </w:rPr>
              <w:t>Broj</w:t>
            </w:r>
          </w:p>
        </w:tc>
        <w:tc>
          <w:tcPr>
            <w:tcW w:w="1020" w:type="dxa"/>
          </w:tcPr>
          <w:p w:rsidR="005C2091" w:rsidRDefault="00A86293" w:rsidP="004C28EA">
            <w:pPr>
              <w:pStyle w:val="CellColumn"/>
              <w:spacing w:after="0"/>
              <w:jc w:val="right"/>
            </w:pPr>
            <w:r>
              <w:rPr>
                <w:rFonts w:cs="Times New Roman"/>
              </w:rPr>
              <w:t>5</w:t>
            </w:r>
          </w:p>
        </w:tc>
        <w:tc>
          <w:tcPr>
            <w:tcW w:w="1020" w:type="dxa"/>
          </w:tcPr>
          <w:p w:rsidR="005C2091" w:rsidRDefault="00A86293" w:rsidP="004C28EA">
            <w:pPr>
              <w:pStyle w:val="CellColumn"/>
              <w:spacing w:after="0"/>
              <w:jc w:val="right"/>
            </w:pPr>
            <w:r>
              <w:rPr>
                <w:rFonts w:cs="Times New Roman"/>
              </w:rPr>
              <w:t>MK</w:t>
            </w:r>
          </w:p>
        </w:tc>
        <w:tc>
          <w:tcPr>
            <w:tcW w:w="1020" w:type="dxa"/>
          </w:tcPr>
          <w:p w:rsidR="005C2091" w:rsidRDefault="00A86293" w:rsidP="004C28EA">
            <w:pPr>
              <w:pStyle w:val="CellColumn"/>
              <w:spacing w:after="0"/>
              <w:jc w:val="right"/>
            </w:pPr>
            <w:r>
              <w:rPr>
                <w:rFonts w:cs="Times New Roman"/>
              </w:rPr>
              <w:t>5,10</w:t>
            </w:r>
          </w:p>
        </w:tc>
        <w:tc>
          <w:tcPr>
            <w:tcW w:w="1020" w:type="dxa"/>
          </w:tcPr>
          <w:p w:rsidR="005C2091" w:rsidRDefault="00A86293" w:rsidP="004C28EA">
            <w:pPr>
              <w:pStyle w:val="CellColumn"/>
              <w:spacing w:after="0"/>
              <w:jc w:val="right"/>
            </w:pPr>
            <w:r>
              <w:rPr>
                <w:rFonts w:cs="Times New Roman"/>
              </w:rPr>
              <w:t>5,56</w:t>
            </w:r>
          </w:p>
        </w:tc>
      </w:tr>
    </w:tbl>
    <w:p w:rsidR="005C2091" w:rsidRDefault="005C2091">
      <w:pPr>
        <w:jc w:val="left"/>
      </w:pPr>
    </w:p>
    <w:p w:rsidR="005C2091" w:rsidRDefault="00A86293">
      <w:pPr>
        <w:pStyle w:val="Heading4"/>
      </w:pPr>
      <w:r>
        <w:t>A781002 KNJIŽEVNO IZDAVAŠTVO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A781002-KNJIŽEVNO IZDAVAŠTVO</w:t>
            </w:r>
          </w:p>
        </w:tc>
        <w:tc>
          <w:tcPr>
            <w:tcW w:w="2041" w:type="dxa"/>
          </w:tcPr>
          <w:p w:rsidR="005C2091" w:rsidRDefault="00A86293">
            <w:pPr>
              <w:pStyle w:val="CellColumn"/>
              <w:jc w:val="right"/>
            </w:pPr>
            <w:r>
              <w:rPr>
                <w:rFonts w:cs="Times New Roman"/>
              </w:rPr>
              <w:t>27.995.641</w:t>
            </w:r>
          </w:p>
        </w:tc>
        <w:tc>
          <w:tcPr>
            <w:tcW w:w="2041" w:type="dxa"/>
          </w:tcPr>
          <w:p w:rsidR="005C2091" w:rsidRDefault="00A86293">
            <w:pPr>
              <w:pStyle w:val="CellColumn"/>
              <w:jc w:val="right"/>
            </w:pPr>
            <w:r>
              <w:rPr>
                <w:rFonts w:cs="Times New Roman"/>
              </w:rPr>
              <w:t>30.206.892</w:t>
            </w:r>
          </w:p>
        </w:tc>
        <w:tc>
          <w:tcPr>
            <w:tcW w:w="2041" w:type="dxa"/>
          </w:tcPr>
          <w:p w:rsidR="005C2091" w:rsidRDefault="00A86293">
            <w:pPr>
              <w:pStyle w:val="CellColumn"/>
              <w:jc w:val="right"/>
            </w:pPr>
            <w:r>
              <w:rPr>
                <w:rFonts w:cs="Times New Roman"/>
              </w:rPr>
              <w:t>29.516.412</w:t>
            </w:r>
          </w:p>
        </w:tc>
        <w:tc>
          <w:tcPr>
            <w:tcW w:w="1224" w:type="dxa"/>
          </w:tcPr>
          <w:p w:rsidR="005C2091" w:rsidRDefault="00A86293">
            <w:pPr>
              <w:pStyle w:val="CellColumn"/>
              <w:jc w:val="right"/>
            </w:pPr>
            <w:r>
              <w:rPr>
                <w:rFonts w:cs="Times New Roman"/>
              </w:rPr>
              <w:t>97,7</w:t>
            </w:r>
          </w:p>
        </w:tc>
        <w:tc>
          <w:tcPr>
            <w:tcW w:w="1224" w:type="dxa"/>
          </w:tcPr>
          <w:p w:rsidR="005C2091" w:rsidRDefault="00A86293">
            <w:pPr>
              <w:pStyle w:val="CellColumn"/>
              <w:jc w:val="right"/>
            </w:pPr>
            <w:r>
              <w:rPr>
                <w:rFonts w:cs="Times New Roman"/>
              </w:rPr>
              <w:t>105,4</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izboru i utvrđivanju programa javnih potreba u kulturi (NN 69/12, 44/13, 91/13, 72/15)  </w:t>
      </w:r>
    </w:p>
    <w:p w:rsidR="005C2091" w:rsidRDefault="00A86293">
      <w:r>
        <w:t xml:space="preserve">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  </w:t>
      </w:r>
    </w:p>
    <w:p w:rsidR="005C2091" w:rsidRDefault="00A86293">
      <w:r>
        <w:t xml:space="preserve">Državna potpora SA.44681(2016/N) - Hrvatska, Hrvatski program izdavanja knjiga za razdoblje 2017. - 2022. Sporazum o jedinstvenoj cijeni knjige.  </w:t>
      </w:r>
    </w:p>
    <w:p w:rsidR="005C2091" w:rsidRDefault="00A86293">
      <w:r>
        <w:t>Ministarstvo kulture na temelju članka 9. Zakona o financiranju javnih potreba u kulturi („Narodne novine“, br. 47/90, 27/93 i 38/09) te članaka 2. i 3. Pravilnika o izboru i utvrđivanju programa javnih potreba u kulturi („Narodne novine“, br. 69/12, 44/13, 91/13 i 72/15) objavljuje Javni poziv za otkup knjiga za narodne knjinžice u 2016. godini.</w:t>
      </w:r>
    </w:p>
    <w:p w:rsidR="005C2091" w:rsidRDefault="00A86293">
      <w:pPr>
        <w:pStyle w:val="Heading8"/>
        <w:jc w:val="left"/>
      </w:pPr>
      <w:r>
        <w:t>Opis aktivnosti</w:t>
      </w:r>
    </w:p>
    <w:p w:rsidR="005C2091" w:rsidRDefault="00A86293">
      <w:r>
        <w:t>Ovom aktivnošću se provodi potpora izdavanju knjiga, otkup knjiga za narodne knjižnice, potpora za poticanje književnog stvaralaštva, potpora časopisima i programima knjižara, potpora programima razmjene pisaca. Programi su u potpunosti provedeni te nije bilo odstupanja od plana.</w:t>
      </w:r>
    </w:p>
    <w:p w:rsidR="00A84C0F" w:rsidRDefault="00A84C0F"/>
    <w:p w:rsidR="00A84C0F" w:rsidRDefault="00A84C0F"/>
    <w:p w:rsidR="00A84C0F" w:rsidRDefault="00A84C0F"/>
    <w:p w:rsidR="00A84C0F" w:rsidRDefault="00A84C0F"/>
    <w:p w:rsidR="00A84C0F" w:rsidRDefault="00A84C0F"/>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odnosno održavanje polaznih vrijednosti broja objavljenih vrijednih naslova u okviru programa potpore izdavanju knjiga i književnog stvaralaštva</w:t>
            </w:r>
          </w:p>
        </w:tc>
        <w:tc>
          <w:tcPr>
            <w:tcW w:w="2551" w:type="dxa"/>
          </w:tcPr>
          <w:p w:rsidR="005C2091" w:rsidRDefault="00A84C0F" w:rsidP="00A84C0F">
            <w:pPr>
              <w:pStyle w:val="CellColumn"/>
              <w:spacing w:after="0"/>
              <w:jc w:val="left"/>
            </w:pPr>
            <w:r>
              <w:rPr>
                <w:rFonts w:cs="Times New Roman"/>
              </w:rPr>
              <w:t>Povećanj</w:t>
            </w:r>
            <w:r w:rsidR="00A86293">
              <w:rPr>
                <w:rFonts w:cs="Times New Roman"/>
              </w:rPr>
              <w:t xml:space="preserve">em, odnosno </w:t>
            </w:r>
          </w:p>
          <w:p w:rsidR="005C2091" w:rsidRDefault="00A84C0F" w:rsidP="00A84C0F">
            <w:pPr>
              <w:pStyle w:val="CellColumn"/>
              <w:spacing w:after="0"/>
              <w:jc w:val="left"/>
            </w:pPr>
            <w:r>
              <w:rPr>
                <w:rFonts w:cs="Times New Roman"/>
              </w:rPr>
              <w:t>održavanj</w:t>
            </w:r>
            <w:r w:rsidR="00A86293">
              <w:rPr>
                <w:rFonts w:cs="Times New Roman"/>
              </w:rPr>
              <w:t xml:space="preserve">em polaznog </w:t>
            </w:r>
          </w:p>
          <w:p w:rsidR="005C2091" w:rsidRDefault="00A86293" w:rsidP="00A84C0F">
            <w:pPr>
              <w:pStyle w:val="CellColumn"/>
              <w:spacing w:after="0"/>
              <w:jc w:val="left"/>
            </w:pPr>
            <w:r>
              <w:rPr>
                <w:rFonts w:cs="Times New Roman"/>
              </w:rPr>
              <w:t xml:space="preserve">broja objavljeni h vrijednih </w:t>
            </w:r>
          </w:p>
          <w:p w:rsidR="005C2091" w:rsidRDefault="00A86293" w:rsidP="00A84C0F">
            <w:pPr>
              <w:pStyle w:val="CellColumn"/>
              <w:spacing w:after="0"/>
              <w:jc w:val="left"/>
            </w:pPr>
            <w:r>
              <w:rPr>
                <w:rFonts w:cs="Times New Roman"/>
              </w:rPr>
              <w:t xml:space="preserve">naslova omogućit će se </w:t>
            </w:r>
          </w:p>
          <w:p w:rsidR="005C2091" w:rsidRDefault="00A86293" w:rsidP="00A84C0F">
            <w:pPr>
              <w:pStyle w:val="CellColumn"/>
              <w:spacing w:after="0"/>
              <w:jc w:val="left"/>
            </w:pPr>
            <w:r>
              <w:rPr>
                <w:rFonts w:cs="Times New Roman"/>
              </w:rPr>
              <w:t xml:space="preserve">zadržava nje statusa </w:t>
            </w:r>
          </w:p>
          <w:p w:rsidR="005C2091" w:rsidRDefault="00A84C0F" w:rsidP="00A84C0F">
            <w:pPr>
              <w:pStyle w:val="CellColumn"/>
              <w:spacing w:after="0"/>
              <w:jc w:val="left"/>
            </w:pPr>
            <w:r>
              <w:rPr>
                <w:rFonts w:cs="Times New Roman"/>
              </w:rPr>
              <w:t xml:space="preserve">književnost i kao </w:t>
            </w:r>
            <w:r w:rsidR="00A86293">
              <w:rPr>
                <w:rFonts w:cs="Times New Roman"/>
              </w:rPr>
              <w:t xml:space="preserve">značajnegrane kulturne </w:t>
            </w:r>
          </w:p>
          <w:p w:rsidR="005C2091" w:rsidRDefault="00A84C0F" w:rsidP="00A84C0F">
            <w:pPr>
              <w:pStyle w:val="CellColumn"/>
              <w:spacing w:after="0"/>
              <w:jc w:val="left"/>
            </w:pPr>
            <w:r>
              <w:rPr>
                <w:rFonts w:cs="Times New Roman"/>
              </w:rPr>
              <w:t>produkcij</w:t>
            </w:r>
            <w:r w:rsidR="00A86293">
              <w:rPr>
                <w:rFonts w:cs="Times New Roman"/>
              </w:rPr>
              <w:t>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71</w:t>
            </w:r>
          </w:p>
        </w:tc>
        <w:tc>
          <w:tcPr>
            <w:tcW w:w="1020" w:type="dxa"/>
          </w:tcPr>
          <w:p w:rsidR="005C2091" w:rsidRDefault="00A86293">
            <w:pPr>
              <w:pStyle w:val="CellColumn"/>
              <w:jc w:val="right"/>
            </w:pPr>
            <w:r>
              <w:rPr>
                <w:rFonts w:cs="Times New Roman"/>
              </w:rPr>
              <w:t>MK</w:t>
            </w:r>
          </w:p>
        </w:tc>
        <w:tc>
          <w:tcPr>
            <w:tcW w:w="1020" w:type="dxa"/>
          </w:tcPr>
          <w:p w:rsidR="005C2091" w:rsidRDefault="00A86293">
            <w:pPr>
              <w:pStyle w:val="CellColumn"/>
              <w:jc w:val="right"/>
            </w:pPr>
            <w:r>
              <w:rPr>
                <w:rFonts w:cs="Times New Roman"/>
              </w:rPr>
              <w:t>70</w:t>
            </w:r>
          </w:p>
        </w:tc>
        <w:tc>
          <w:tcPr>
            <w:tcW w:w="1020" w:type="dxa"/>
          </w:tcPr>
          <w:p w:rsidR="005C2091" w:rsidRDefault="00A86293">
            <w:pPr>
              <w:pStyle w:val="CellColumn"/>
              <w:jc w:val="right"/>
            </w:pPr>
            <w:r>
              <w:rPr>
                <w:rFonts w:cs="Times New Roman"/>
              </w:rPr>
              <w:t>74</w:t>
            </w:r>
          </w:p>
        </w:tc>
      </w:tr>
      <w:tr w:rsidR="005C2091">
        <w:trPr>
          <w:jc w:val="center"/>
        </w:trPr>
        <w:tc>
          <w:tcPr>
            <w:tcW w:w="2551" w:type="dxa"/>
          </w:tcPr>
          <w:p w:rsidR="005C2091" w:rsidRDefault="00A86293" w:rsidP="00A84C0F">
            <w:pPr>
              <w:pStyle w:val="CellColumn"/>
              <w:spacing w:after="0"/>
              <w:jc w:val="left"/>
            </w:pPr>
            <w:r>
              <w:rPr>
                <w:rFonts w:cs="Times New Roman"/>
              </w:rPr>
              <w:t xml:space="preserve">Povećanje dostupnosti </w:t>
            </w:r>
          </w:p>
          <w:p w:rsidR="005C2091" w:rsidRDefault="00A86293" w:rsidP="00A84C0F">
            <w:pPr>
              <w:pStyle w:val="CellColumn"/>
              <w:spacing w:after="0"/>
              <w:jc w:val="left"/>
            </w:pPr>
            <w:r>
              <w:rPr>
                <w:rFonts w:cs="Times New Roman"/>
              </w:rPr>
              <w:t xml:space="preserve">vrijednih djela hrvatske i </w:t>
            </w:r>
          </w:p>
          <w:p w:rsidR="005C2091" w:rsidRDefault="00A86293" w:rsidP="00A84C0F">
            <w:pPr>
              <w:pStyle w:val="CellColumn"/>
              <w:spacing w:after="0"/>
              <w:jc w:val="left"/>
            </w:pPr>
            <w:r>
              <w:rPr>
                <w:rFonts w:cs="Times New Roman"/>
              </w:rPr>
              <w:t xml:space="preserve">svjetske književnosti </w:t>
            </w:r>
          </w:p>
          <w:p w:rsidR="005C2091" w:rsidRDefault="00A86293" w:rsidP="00A84C0F">
            <w:pPr>
              <w:pStyle w:val="CellColumn"/>
              <w:spacing w:after="0"/>
              <w:jc w:val="left"/>
            </w:pPr>
            <w:r>
              <w:rPr>
                <w:rFonts w:cs="Times New Roman"/>
              </w:rPr>
              <w:t>čitateljstvu</w:t>
            </w:r>
          </w:p>
        </w:tc>
        <w:tc>
          <w:tcPr>
            <w:tcW w:w="2551" w:type="dxa"/>
          </w:tcPr>
          <w:p w:rsidR="005C2091" w:rsidRDefault="00A86293" w:rsidP="00A84C0F">
            <w:pPr>
              <w:pStyle w:val="CellColumn"/>
              <w:spacing w:after="0"/>
              <w:jc w:val="left"/>
            </w:pPr>
            <w:r>
              <w:rPr>
                <w:rFonts w:cs="Times New Roman"/>
              </w:rPr>
              <w:t xml:space="preserve">Povećanjem broja otkupljenih </w:t>
            </w:r>
          </w:p>
          <w:p w:rsidR="005C2091" w:rsidRDefault="00A86293" w:rsidP="00A84C0F">
            <w:pPr>
              <w:pStyle w:val="CellColumn"/>
              <w:spacing w:after="0"/>
              <w:jc w:val="left"/>
            </w:pPr>
            <w:r>
              <w:rPr>
                <w:rFonts w:cs="Times New Roman"/>
              </w:rPr>
              <w:t xml:space="preserve">naslova kapitalnih djela </w:t>
            </w:r>
          </w:p>
          <w:p w:rsidR="005C2091" w:rsidRDefault="00A86293" w:rsidP="00A84C0F">
            <w:pPr>
              <w:pStyle w:val="CellColumn"/>
              <w:spacing w:after="0"/>
              <w:jc w:val="left"/>
            </w:pPr>
            <w:r>
              <w:rPr>
                <w:rFonts w:cs="Times New Roman"/>
              </w:rPr>
              <w:t xml:space="preserve">hrvatske i svjetske </w:t>
            </w:r>
          </w:p>
          <w:p w:rsidR="005C2091" w:rsidRDefault="00A86293" w:rsidP="00A84C0F">
            <w:pPr>
              <w:pStyle w:val="CellColumn"/>
              <w:spacing w:after="0"/>
              <w:jc w:val="left"/>
            </w:pPr>
            <w:r>
              <w:rPr>
                <w:rFonts w:cs="Times New Roman"/>
              </w:rPr>
              <w:t xml:space="preserve">književnosti u većem broju </w:t>
            </w:r>
          </w:p>
          <w:p w:rsidR="005C2091" w:rsidRDefault="00A86293" w:rsidP="00A84C0F">
            <w:pPr>
              <w:pStyle w:val="CellColumn"/>
              <w:spacing w:after="0"/>
              <w:jc w:val="left"/>
            </w:pPr>
            <w:r>
              <w:rPr>
                <w:rFonts w:cs="Times New Roman"/>
              </w:rPr>
              <w:t xml:space="preserve">primjeraka omogućit će se njihova dostupnost podjednako svim građanima </w:t>
            </w:r>
          </w:p>
          <w:p w:rsidR="005C2091" w:rsidRDefault="00A86293" w:rsidP="00A84C0F">
            <w:pPr>
              <w:pStyle w:val="CellColumn"/>
              <w:spacing w:after="0"/>
              <w:jc w:val="left"/>
            </w:pPr>
            <w:r>
              <w:rPr>
                <w:rFonts w:cs="Times New Roman"/>
              </w:rPr>
              <w:t xml:space="preserve">RH bez obzira na mjesto </w:t>
            </w:r>
          </w:p>
          <w:p w:rsidR="005C2091" w:rsidRDefault="00A86293" w:rsidP="00A84C0F">
            <w:pPr>
              <w:pStyle w:val="CellColumn"/>
              <w:spacing w:after="0"/>
              <w:jc w:val="left"/>
            </w:pPr>
            <w:r>
              <w:rPr>
                <w:rFonts w:cs="Times New Roman"/>
              </w:rPr>
              <w:t>stanovanja</w:t>
            </w:r>
          </w:p>
        </w:tc>
        <w:tc>
          <w:tcPr>
            <w:tcW w:w="1020" w:type="dxa"/>
          </w:tcPr>
          <w:p w:rsidR="005C2091" w:rsidRDefault="00A86293">
            <w:pPr>
              <w:pStyle w:val="CellColumn"/>
              <w:jc w:val="right"/>
            </w:pPr>
            <w:r>
              <w:rPr>
                <w:rFonts w:cs="Times New Roman"/>
              </w:rPr>
              <w:t>Broj (prosječan)</w:t>
            </w:r>
          </w:p>
        </w:tc>
        <w:tc>
          <w:tcPr>
            <w:tcW w:w="1020" w:type="dxa"/>
          </w:tcPr>
          <w:p w:rsidR="005C2091" w:rsidRDefault="00A86293">
            <w:pPr>
              <w:pStyle w:val="CellColumn"/>
              <w:jc w:val="right"/>
            </w:pPr>
            <w:r>
              <w:rPr>
                <w:rFonts w:cs="Times New Roman"/>
              </w:rPr>
              <w:t>57</w:t>
            </w:r>
          </w:p>
        </w:tc>
        <w:tc>
          <w:tcPr>
            <w:tcW w:w="1020" w:type="dxa"/>
          </w:tcPr>
          <w:p w:rsidR="005C2091" w:rsidRDefault="00A86293">
            <w:pPr>
              <w:pStyle w:val="CellColumn"/>
              <w:jc w:val="right"/>
            </w:pPr>
            <w:r>
              <w:rPr>
                <w:rFonts w:cs="Times New Roman"/>
              </w:rPr>
              <w:t>MK</w:t>
            </w:r>
          </w:p>
        </w:tc>
        <w:tc>
          <w:tcPr>
            <w:tcW w:w="1020" w:type="dxa"/>
          </w:tcPr>
          <w:p w:rsidR="005C2091" w:rsidRDefault="00A86293">
            <w:pPr>
              <w:pStyle w:val="CellColumn"/>
              <w:jc w:val="right"/>
            </w:pPr>
            <w:r>
              <w:rPr>
                <w:rFonts w:cs="Times New Roman"/>
              </w:rPr>
              <w:t>60</w:t>
            </w:r>
          </w:p>
        </w:tc>
        <w:tc>
          <w:tcPr>
            <w:tcW w:w="1020" w:type="dxa"/>
          </w:tcPr>
          <w:p w:rsidR="005C2091" w:rsidRDefault="00A86293">
            <w:pPr>
              <w:pStyle w:val="CellColumn"/>
              <w:jc w:val="right"/>
            </w:pPr>
            <w:r>
              <w:rPr>
                <w:rFonts w:cs="Times New Roman"/>
              </w:rPr>
              <w:t>79</w:t>
            </w:r>
          </w:p>
        </w:tc>
      </w:tr>
      <w:tr w:rsidR="005C2091">
        <w:trPr>
          <w:jc w:val="center"/>
        </w:trPr>
        <w:tc>
          <w:tcPr>
            <w:tcW w:w="2551" w:type="dxa"/>
          </w:tcPr>
          <w:p w:rsidR="005C2091" w:rsidRDefault="00A86293" w:rsidP="00A84C0F">
            <w:pPr>
              <w:pStyle w:val="CellColumn"/>
              <w:spacing w:after="0"/>
              <w:jc w:val="left"/>
            </w:pPr>
            <w:r>
              <w:rPr>
                <w:rFonts w:cs="Times New Roman"/>
              </w:rPr>
              <w:t xml:space="preserve">Održavan je polaznog broja </w:t>
            </w:r>
          </w:p>
          <w:p w:rsidR="005C2091" w:rsidRDefault="00A84C0F" w:rsidP="00A84C0F">
            <w:pPr>
              <w:pStyle w:val="CellColumn"/>
              <w:spacing w:after="0"/>
              <w:jc w:val="left"/>
            </w:pPr>
            <w:r>
              <w:rPr>
                <w:rFonts w:cs="Times New Roman"/>
              </w:rPr>
              <w:t>elektronič</w:t>
            </w:r>
            <w:r w:rsidR="00A86293">
              <w:rPr>
                <w:rFonts w:cs="Times New Roman"/>
              </w:rPr>
              <w:t xml:space="preserve">kih </w:t>
            </w:r>
            <w:r>
              <w:rPr>
                <w:rFonts w:cs="Times New Roman"/>
              </w:rPr>
              <w:t>publikacij</w:t>
            </w:r>
            <w:r w:rsidR="00A86293">
              <w:rPr>
                <w:rFonts w:cs="Times New Roman"/>
              </w:rPr>
              <w:t xml:space="preserve">a čiji </w:t>
            </w:r>
          </w:p>
          <w:p w:rsidR="005C2091" w:rsidRDefault="00A86293" w:rsidP="00A84C0F">
            <w:pPr>
              <w:pStyle w:val="CellColumn"/>
              <w:spacing w:after="0"/>
              <w:jc w:val="left"/>
            </w:pPr>
            <w:r>
              <w:rPr>
                <w:rFonts w:cs="Times New Roman"/>
              </w:rPr>
              <w:t>sadržaj većim dijelom obuhvaća područje kulture</w:t>
            </w:r>
          </w:p>
        </w:tc>
        <w:tc>
          <w:tcPr>
            <w:tcW w:w="2551" w:type="dxa"/>
          </w:tcPr>
          <w:p w:rsidR="005C2091" w:rsidRDefault="00A84C0F" w:rsidP="00A84C0F">
            <w:pPr>
              <w:pStyle w:val="CellColumn"/>
              <w:spacing w:after="0"/>
              <w:jc w:val="left"/>
            </w:pPr>
            <w:r>
              <w:rPr>
                <w:rFonts w:cs="Times New Roman"/>
              </w:rPr>
              <w:t>Održavan</w:t>
            </w:r>
            <w:r w:rsidR="00A86293">
              <w:rPr>
                <w:rFonts w:cs="Times New Roman"/>
              </w:rPr>
              <w:t xml:space="preserve">jem broja </w:t>
            </w:r>
            <w:r>
              <w:rPr>
                <w:rFonts w:cs="Times New Roman"/>
              </w:rPr>
              <w:t>elektronič</w:t>
            </w:r>
            <w:r w:rsidR="00A86293">
              <w:rPr>
                <w:rFonts w:cs="Times New Roman"/>
              </w:rPr>
              <w:t xml:space="preserve">kih </w:t>
            </w:r>
            <w:r>
              <w:rPr>
                <w:rFonts w:cs="Times New Roman"/>
              </w:rPr>
              <w:t>publikacij</w:t>
            </w:r>
            <w:r w:rsidR="00A86293">
              <w:rPr>
                <w:rFonts w:cs="Times New Roman"/>
              </w:rPr>
              <w:t xml:space="preserve">a koje </w:t>
            </w:r>
          </w:p>
          <w:p w:rsidR="005C2091" w:rsidRDefault="00A86293" w:rsidP="00A84C0F">
            <w:pPr>
              <w:pStyle w:val="CellColumn"/>
              <w:spacing w:after="0"/>
              <w:jc w:val="left"/>
            </w:pPr>
            <w:r>
              <w:rPr>
                <w:rFonts w:cs="Times New Roman"/>
              </w:rPr>
              <w:t xml:space="preserve">pokrivaju područje kulture </w:t>
            </w:r>
          </w:p>
          <w:p w:rsidR="005C2091" w:rsidRDefault="00A86293" w:rsidP="00A84C0F">
            <w:pPr>
              <w:pStyle w:val="CellColumn"/>
              <w:spacing w:after="0"/>
              <w:jc w:val="left"/>
            </w:pPr>
            <w:r>
              <w:rPr>
                <w:rFonts w:cs="Times New Roman"/>
              </w:rPr>
              <w:t>omogućit će se dostignut a razina razmjene informacij a iz područja kulture</w:t>
            </w:r>
          </w:p>
        </w:tc>
        <w:tc>
          <w:tcPr>
            <w:tcW w:w="1020" w:type="dxa"/>
          </w:tcPr>
          <w:p w:rsidR="005C2091" w:rsidRDefault="00A86293" w:rsidP="00A84C0F">
            <w:pPr>
              <w:pStyle w:val="CellColumn"/>
              <w:spacing w:after="0"/>
              <w:jc w:val="right"/>
            </w:pPr>
            <w:r>
              <w:rPr>
                <w:rFonts w:cs="Times New Roman"/>
              </w:rPr>
              <w:t>Broj</w:t>
            </w:r>
          </w:p>
        </w:tc>
        <w:tc>
          <w:tcPr>
            <w:tcW w:w="1020" w:type="dxa"/>
          </w:tcPr>
          <w:p w:rsidR="005C2091" w:rsidRDefault="00A86293" w:rsidP="00A84C0F">
            <w:pPr>
              <w:pStyle w:val="CellColumn"/>
              <w:spacing w:after="0"/>
              <w:jc w:val="right"/>
            </w:pPr>
            <w:r>
              <w:rPr>
                <w:rFonts w:cs="Times New Roman"/>
              </w:rPr>
              <w:t>19</w:t>
            </w:r>
          </w:p>
        </w:tc>
        <w:tc>
          <w:tcPr>
            <w:tcW w:w="1020" w:type="dxa"/>
          </w:tcPr>
          <w:p w:rsidR="005C2091" w:rsidRDefault="00A86293" w:rsidP="00A84C0F">
            <w:pPr>
              <w:pStyle w:val="CellColumn"/>
              <w:spacing w:after="0"/>
              <w:jc w:val="right"/>
            </w:pPr>
            <w:r>
              <w:rPr>
                <w:rFonts w:cs="Times New Roman"/>
              </w:rPr>
              <w:t>MK</w:t>
            </w:r>
          </w:p>
        </w:tc>
        <w:tc>
          <w:tcPr>
            <w:tcW w:w="1020" w:type="dxa"/>
          </w:tcPr>
          <w:p w:rsidR="005C2091" w:rsidRDefault="00A86293" w:rsidP="00A84C0F">
            <w:pPr>
              <w:pStyle w:val="CellColumn"/>
              <w:spacing w:after="0"/>
              <w:jc w:val="right"/>
            </w:pPr>
            <w:r>
              <w:rPr>
                <w:rFonts w:cs="Times New Roman"/>
              </w:rPr>
              <w:t>19</w:t>
            </w:r>
          </w:p>
        </w:tc>
        <w:tc>
          <w:tcPr>
            <w:tcW w:w="1020" w:type="dxa"/>
          </w:tcPr>
          <w:p w:rsidR="005C2091" w:rsidRDefault="00A86293" w:rsidP="00A84C0F">
            <w:pPr>
              <w:pStyle w:val="CellColumn"/>
              <w:spacing w:after="0"/>
              <w:jc w:val="right"/>
            </w:pPr>
            <w:r>
              <w:rPr>
                <w:rFonts w:cs="Times New Roman"/>
              </w:rPr>
              <w:t>23</w:t>
            </w:r>
          </w:p>
        </w:tc>
      </w:tr>
    </w:tbl>
    <w:p w:rsidR="005C2091" w:rsidRDefault="005C2091">
      <w:pPr>
        <w:jc w:val="left"/>
      </w:pPr>
    </w:p>
    <w:p w:rsidR="005C2091" w:rsidRDefault="00A86293">
      <w:pPr>
        <w:pStyle w:val="Heading4"/>
      </w:pPr>
      <w:r>
        <w:t>A781003 PROGRAMI KNJIŽNIČNE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A781003-PROGRAMI KNJIŽNIČNE DJELATNOSTI</w:t>
            </w:r>
          </w:p>
        </w:tc>
        <w:tc>
          <w:tcPr>
            <w:tcW w:w="2041" w:type="dxa"/>
          </w:tcPr>
          <w:p w:rsidR="005C2091" w:rsidRDefault="00A86293">
            <w:pPr>
              <w:pStyle w:val="CellColumn"/>
              <w:jc w:val="right"/>
            </w:pPr>
            <w:r>
              <w:rPr>
                <w:rFonts w:cs="Times New Roman"/>
              </w:rPr>
              <w:t>17.220.778</w:t>
            </w:r>
          </w:p>
        </w:tc>
        <w:tc>
          <w:tcPr>
            <w:tcW w:w="2041" w:type="dxa"/>
          </w:tcPr>
          <w:p w:rsidR="005C2091" w:rsidRDefault="00A86293">
            <w:pPr>
              <w:pStyle w:val="CellColumn"/>
              <w:jc w:val="right"/>
            </w:pPr>
            <w:r>
              <w:rPr>
                <w:rFonts w:cs="Times New Roman"/>
              </w:rPr>
              <w:t>17.500.000</w:t>
            </w:r>
          </w:p>
        </w:tc>
        <w:tc>
          <w:tcPr>
            <w:tcW w:w="2041" w:type="dxa"/>
          </w:tcPr>
          <w:p w:rsidR="005C2091" w:rsidRDefault="00A86293">
            <w:pPr>
              <w:pStyle w:val="CellColumn"/>
              <w:jc w:val="right"/>
            </w:pPr>
            <w:r>
              <w:rPr>
                <w:rFonts w:cs="Times New Roman"/>
              </w:rPr>
              <w:t>17.497.699</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101,6</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izboru i utvrđivanju programa javnih potreba u kulturi (NN 69/12, 44/13, 91/13, 72/15)  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  </w:t>
      </w:r>
    </w:p>
    <w:p w:rsidR="005C2091" w:rsidRDefault="00A86293">
      <w:r>
        <w:t>Zakon o knjižnicama (NN 105/97, NN 5/98, NN 104/00, NN 69/09)  Standardi za narodne knjižnice u Republici Hrvatskoj (NN 58/99)</w:t>
      </w:r>
    </w:p>
    <w:p w:rsidR="005C2091" w:rsidRDefault="00A86293">
      <w:pPr>
        <w:pStyle w:val="Heading8"/>
        <w:jc w:val="left"/>
      </w:pPr>
      <w:r>
        <w:t>Opis aktivnosti</w:t>
      </w:r>
    </w:p>
    <w:p w:rsidR="005C2091" w:rsidRDefault="00A86293">
      <w:r>
        <w:t>U ovoj aktivnosti osigurana su sredstva za nabavu knjižne i neknnjižne građe, akcije i manifestacije u knjižničoj djelatnosti, razvojni programi i projekti te ostale djelatnosti. U 2016. godini nije bilo odstupanja od plana.</w:t>
      </w:r>
    </w:p>
    <w:p w:rsidR="005C2091" w:rsidRDefault="00A86293">
      <w:pPr>
        <w:pStyle w:val="Heading4"/>
      </w:pPr>
      <w:r>
        <w:t>A784002 MATIČNE SLUŽBE KNJIŽNICA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A784002-MATIČNE SLUŽBE KNJIŽNICA</w:t>
            </w:r>
          </w:p>
        </w:tc>
        <w:tc>
          <w:tcPr>
            <w:tcW w:w="2041" w:type="dxa"/>
          </w:tcPr>
          <w:p w:rsidR="005C2091" w:rsidRDefault="00A86293">
            <w:pPr>
              <w:pStyle w:val="CellColumn"/>
              <w:jc w:val="right"/>
            </w:pPr>
            <w:r>
              <w:rPr>
                <w:rFonts w:cs="Times New Roman"/>
              </w:rPr>
              <w:t>4.430.000</w:t>
            </w:r>
          </w:p>
        </w:tc>
        <w:tc>
          <w:tcPr>
            <w:tcW w:w="2041" w:type="dxa"/>
          </w:tcPr>
          <w:p w:rsidR="005C2091" w:rsidRDefault="00A86293">
            <w:pPr>
              <w:pStyle w:val="CellColumn"/>
              <w:jc w:val="right"/>
            </w:pPr>
            <w:r>
              <w:rPr>
                <w:rFonts w:cs="Times New Roman"/>
              </w:rPr>
              <w:t>4.500.000</w:t>
            </w:r>
          </w:p>
        </w:tc>
        <w:tc>
          <w:tcPr>
            <w:tcW w:w="2041" w:type="dxa"/>
          </w:tcPr>
          <w:p w:rsidR="005C2091" w:rsidRDefault="00A86293">
            <w:pPr>
              <w:pStyle w:val="CellColumn"/>
              <w:jc w:val="right"/>
            </w:pPr>
            <w:r>
              <w:rPr>
                <w:rFonts w:cs="Times New Roman"/>
              </w:rPr>
              <w:t>4.497.500</w:t>
            </w:r>
          </w:p>
        </w:tc>
        <w:tc>
          <w:tcPr>
            <w:tcW w:w="1224" w:type="dxa"/>
          </w:tcPr>
          <w:p w:rsidR="005C2091" w:rsidRDefault="00A86293">
            <w:pPr>
              <w:pStyle w:val="CellColumn"/>
              <w:jc w:val="right"/>
            </w:pPr>
            <w:r>
              <w:rPr>
                <w:rFonts w:cs="Times New Roman"/>
              </w:rPr>
              <w:t>99,9</w:t>
            </w:r>
          </w:p>
        </w:tc>
        <w:tc>
          <w:tcPr>
            <w:tcW w:w="1224" w:type="dxa"/>
          </w:tcPr>
          <w:p w:rsidR="005C2091" w:rsidRDefault="00A86293">
            <w:pPr>
              <w:pStyle w:val="CellColumn"/>
              <w:jc w:val="right"/>
            </w:pPr>
            <w:r>
              <w:rPr>
                <w:rFonts w:cs="Times New Roman"/>
              </w:rPr>
              <w:t>101,5</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knjižnicama (NN 105/97, NN 5/98, NN 104/00, NN 69/09)  </w:t>
      </w:r>
    </w:p>
    <w:p w:rsidR="005C2091" w:rsidRDefault="00A86293">
      <w:r>
        <w:t xml:space="preserve">Pravilnik o matičnoj djelatnosti knjižnica u Republici Hrvatskoj (NN 43/01)  </w:t>
      </w:r>
    </w:p>
    <w:p w:rsidR="005C2091" w:rsidRDefault="00A86293">
      <w:r>
        <w:t>Pravilnik o uvjetima i načinu stjecanja stručnih zvanja u knjižničarskoj struci (NN 28/11, NN 16/14, NN 60/14 - Ispravak)</w:t>
      </w:r>
    </w:p>
    <w:p w:rsidR="005C2091" w:rsidRDefault="00A86293">
      <w:pPr>
        <w:pStyle w:val="Heading8"/>
        <w:jc w:val="left"/>
      </w:pPr>
      <w:r>
        <w:t>Opis aktivnosti</w:t>
      </w:r>
    </w:p>
    <w:p w:rsidR="005C2091" w:rsidRDefault="00A86293">
      <w:r>
        <w:t xml:space="preserve">Ovom aktivnošću se provodi potpora radu 20 županijskih matičnih službi u funkciji njihove temeljne djelatnosti - unapređenja knjižnične djelatnosti u Republici Hrvatskoj. U svih 20 županijskih matičnih službi financira se po jedan djelatnik - voditelj županijske matične službe te materijalni rashodi za tog djelatnika. Također se provodi i potpora </w:t>
      </w:r>
    </w:p>
    <w:p w:rsidR="005C2091" w:rsidRDefault="00A86293">
      <w:r>
        <w:t>programima središnjih knjižnica nacionalnih manjina (jedanaest manjina u deset knjižnica). U 2016. godini plan je u potpunosti proveden.</w:t>
      </w:r>
    </w:p>
    <w:p w:rsidR="005C2091" w:rsidRDefault="00A86293">
      <w:pPr>
        <w:pStyle w:val="Heading3"/>
      </w:pPr>
      <w:r>
        <w:rPr>
          <w:rFonts w:cs="Times New Roman"/>
        </w:rPr>
        <w:t>3906 PROGRAMI AUDIO VIZUALNE DJELATNOSTI I MEDIJA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3906-PROGRAMI AUDIO VIZUALNE DJELATNOSTI I MEDIJA</w:t>
            </w:r>
          </w:p>
        </w:tc>
        <w:tc>
          <w:tcPr>
            <w:tcW w:w="2041" w:type="dxa"/>
          </w:tcPr>
          <w:p w:rsidR="005C2091" w:rsidRDefault="00A86293">
            <w:pPr>
              <w:pStyle w:val="CellColumn"/>
              <w:jc w:val="right"/>
            </w:pPr>
            <w:r>
              <w:rPr>
                <w:rFonts w:cs="Times New Roman"/>
              </w:rPr>
              <w:t>36.438.050</w:t>
            </w:r>
          </w:p>
        </w:tc>
        <w:tc>
          <w:tcPr>
            <w:tcW w:w="2041" w:type="dxa"/>
          </w:tcPr>
          <w:p w:rsidR="005C2091" w:rsidRDefault="00A86293">
            <w:pPr>
              <w:pStyle w:val="CellColumn"/>
              <w:jc w:val="right"/>
            </w:pPr>
            <w:r>
              <w:rPr>
                <w:rFonts w:cs="Times New Roman"/>
              </w:rPr>
              <w:t>21.364.400</w:t>
            </w:r>
          </w:p>
        </w:tc>
        <w:tc>
          <w:tcPr>
            <w:tcW w:w="2041" w:type="dxa"/>
          </w:tcPr>
          <w:p w:rsidR="005C2091" w:rsidRDefault="00A86293">
            <w:pPr>
              <w:pStyle w:val="CellColumn"/>
              <w:jc w:val="right"/>
            </w:pPr>
            <w:r>
              <w:rPr>
                <w:rFonts w:cs="Times New Roman"/>
              </w:rPr>
              <w:t>21.608.773</w:t>
            </w:r>
          </w:p>
        </w:tc>
        <w:tc>
          <w:tcPr>
            <w:tcW w:w="1224" w:type="dxa"/>
          </w:tcPr>
          <w:p w:rsidR="005C2091" w:rsidRDefault="00A86293">
            <w:pPr>
              <w:pStyle w:val="CellColumn"/>
              <w:jc w:val="right"/>
            </w:pPr>
            <w:r>
              <w:rPr>
                <w:rFonts w:cs="Times New Roman"/>
              </w:rPr>
              <w:t>101,1</w:t>
            </w:r>
          </w:p>
        </w:tc>
        <w:tc>
          <w:tcPr>
            <w:tcW w:w="1224" w:type="dxa"/>
          </w:tcPr>
          <w:p w:rsidR="005C2091" w:rsidRDefault="00A86293">
            <w:pPr>
              <w:pStyle w:val="CellColumn"/>
              <w:jc w:val="right"/>
            </w:pPr>
            <w:r>
              <w:rPr>
                <w:rFonts w:cs="Times New Roman"/>
              </w:rPr>
              <w:t>59,3</w:t>
            </w:r>
          </w:p>
        </w:tc>
      </w:tr>
    </w:tbl>
    <w:p w:rsidR="005C2091" w:rsidRDefault="005C2091">
      <w:pPr>
        <w:jc w:val="left"/>
      </w:pPr>
    </w:p>
    <w:p w:rsidR="005C2091" w:rsidRDefault="00A86293">
      <w:r>
        <w:t>Programi audiovizualne djelatnosti u glavi Ministarstva kulture obuhvaćaju informativne usluge Hrvatske izvještajne novinske agencije (HINA) i program potpore izdavačkoj kući Edit. u 2016. godini nije bilo odstupanja od plana.</w:t>
      </w:r>
    </w:p>
    <w:p w:rsidR="005C2091" w:rsidRDefault="00A86293">
      <w:pPr>
        <w:pStyle w:val="Heading4"/>
      </w:pPr>
      <w:r>
        <w:t>A565012 INFORMATIVNE USLUGE HINA-i</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A565012-INFORMATIVNE USLUGE HINA-i</w:t>
            </w:r>
          </w:p>
        </w:tc>
        <w:tc>
          <w:tcPr>
            <w:tcW w:w="2041" w:type="dxa"/>
          </w:tcPr>
          <w:p w:rsidR="005C2091" w:rsidRDefault="00A86293">
            <w:pPr>
              <w:pStyle w:val="CellColumn"/>
              <w:jc w:val="right"/>
            </w:pPr>
            <w:r>
              <w:rPr>
                <w:rFonts w:cs="Times New Roman"/>
              </w:rPr>
              <w:t>20.780.000</w:t>
            </w:r>
          </w:p>
        </w:tc>
        <w:tc>
          <w:tcPr>
            <w:tcW w:w="2041" w:type="dxa"/>
          </w:tcPr>
          <w:p w:rsidR="005C2091" w:rsidRDefault="00A86293">
            <w:pPr>
              <w:pStyle w:val="CellColumn"/>
              <w:jc w:val="right"/>
            </w:pPr>
            <w:r>
              <w:rPr>
                <w:rFonts w:cs="Times New Roman"/>
              </w:rPr>
              <w:t>20.364.400</w:t>
            </w:r>
          </w:p>
        </w:tc>
        <w:tc>
          <w:tcPr>
            <w:tcW w:w="2041" w:type="dxa"/>
          </w:tcPr>
          <w:p w:rsidR="005C2091" w:rsidRDefault="00A86293">
            <w:pPr>
              <w:pStyle w:val="CellColumn"/>
              <w:jc w:val="right"/>
            </w:pPr>
            <w:r>
              <w:rPr>
                <w:rFonts w:cs="Times New Roman"/>
              </w:rPr>
              <w:t>20.364.400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98,0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Hrvatskoj izvještajnoj novinskoj agenciji (NN 96/01)  </w:t>
      </w:r>
    </w:p>
    <w:p w:rsidR="005C2091" w:rsidRDefault="00A86293">
      <w:r>
        <w:t>Sporazum, 03. lipnja 2003.</w:t>
      </w:r>
    </w:p>
    <w:p w:rsidR="005C2091" w:rsidRDefault="00A86293">
      <w:pPr>
        <w:pStyle w:val="Heading8"/>
        <w:jc w:val="left"/>
      </w:pPr>
      <w:r>
        <w:t>Opis aktivnosti</w:t>
      </w:r>
    </w:p>
    <w:p w:rsidR="005C2091" w:rsidRDefault="00A86293">
      <w:r>
        <w:t>Prikupljanje i razašiljanje što potpunijih činjeničnih i objektivnih novinsko - agencijskih informacija o zbivanjima u Republici Hrvatskoj i svijetu za potrebe medija i drugih sudionika društvenog, političkog, kulturnog i gospodarskog života. U 2016. godini plan je u potpunosti izvršen.</w:t>
      </w:r>
    </w:p>
    <w:p w:rsidR="005C2091" w:rsidRDefault="00A86293">
      <w:pPr>
        <w:pStyle w:val="Heading4"/>
      </w:pPr>
      <w:r>
        <w:t>A729024 POTPORA IZDAVAČKOJ KUĆI EDIT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A729024-POTPORA IZDAVAČKOJ KUĆI EDIT</w:t>
            </w:r>
          </w:p>
        </w:tc>
        <w:tc>
          <w:tcPr>
            <w:tcW w:w="2041" w:type="dxa"/>
          </w:tcPr>
          <w:p w:rsidR="005C2091" w:rsidRDefault="00A86293">
            <w:pPr>
              <w:pStyle w:val="CellColumn"/>
              <w:jc w:val="right"/>
            </w:pPr>
            <w:r>
              <w:rPr>
                <w:rFonts w:cs="Times New Roman"/>
              </w:rPr>
              <w:t>2.000.000</w:t>
            </w:r>
          </w:p>
        </w:tc>
        <w:tc>
          <w:tcPr>
            <w:tcW w:w="2041" w:type="dxa"/>
          </w:tcPr>
          <w:p w:rsidR="005C2091" w:rsidRDefault="00A86293">
            <w:pPr>
              <w:pStyle w:val="CellColumn"/>
              <w:jc w:val="right"/>
            </w:pPr>
            <w:r>
              <w:rPr>
                <w:rFonts w:cs="Times New Roman"/>
              </w:rPr>
              <w:t>1.000.000</w:t>
            </w:r>
          </w:p>
        </w:tc>
        <w:tc>
          <w:tcPr>
            <w:tcW w:w="2041" w:type="dxa"/>
          </w:tcPr>
          <w:p w:rsidR="005C2091" w:rsidRDefault="00A86293">
            <w:pPr>
              <w:pStyle w:val="CellColumn"/>
              <w:jc w:val="right"/>
            </w:pPr>
            <w:r>
              <w:rPr>
                <w:rFonts w:cs="Times New Roman"/>
              </w:rPr>
              <w:t>1.000.000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50,0</w:t>
            </w:r>
          </w:p>
        </w:tc>
      </w:tr>
    </w:tbl>
    <w:p w:rsidR="005C2091" w:rsidRDefault="005C2091">
      <w:pPr>
        <w:jc w:val="left"/>
      </w:pPr>
    </w:p>
    <w:p w:rsidR="005C2091" w:rsidRDefault="00A86293">
      <w:pPr>
        <w:pStyle w:val="Heading8"/>
        <w:jc w:val="left"/>
      </w:pPr>
      <w:r>
        <w:t>Zakonske i druge pravne osnove</w:t>
      </w:r>
    </w:p>
    <w:p w:rsidR="005C2091" w:rsidRDefault="00A86293">
      <w:r>
        <w:t>Zakon o financiranju javnih potreba u kulturi (NN 47/90, 27/93, 38/09 - čl. 9 st. 1 podstavak 14)</w:t>
      </w:r>
    </w:p>
    <w:p w:rsidR="005C2091" w:rsidRDefault="00A86293">
      <w:pPr>
        <w:pStyle w:val="Heading8"/>
        <w:jc w:val="left"/>
      </w:pPr>
      <w:r>
        <w:t>Opis aktivnosti</w:t>
      </w:r>
    </w:p>
    <w:p w:rsidR="005C2091" w:rsidRDefault="00A86293">
      <w:r>
        <w:t xml:space="preserve">Novinsko - izdavačka kuća Edit iz Rijeke izdavačka je kuća pripadnika talijanske manjine koji žive u Hrvatskoj i Sloveniji, a izdaje slijedeće tiskovine: "La voce del popolo" -dnevni list koji se tiska od 1945. godine i jedan je od šest dnevnih listova na talijanskom jeziku koji se tiska i distribuira van granica Italije (svaki dan izlazi s novim informacijama na talijanskom jeziku); "Panorama" - dvotjednik koji izlazi od 1952. godine a obrađuje velik broj tema vezanih, osim za manjinu, za sva društveno relevantna zbivanja; "Arcobaleno" - mjesečnik za djecu koji izlazi od 1949. godine i edukativnog je karaktera; </w:t>
      </w:r>
    </w:p>
    <w:p w:rsidR="005C2091" w:rsidRDefault="00A86293">
      <w:r>
        <w:t>"La Battana" - književna revija, izlazi od 1946. godine. U 2016. godini plan je u potpunosti izvršen.</w:t>
      </w:r>
    </w:p>
    <w:p w:rsidR="005C2091" w:rsidRDefault="00A86293">
      <w:pPr>
        <w:pStyle w:val="Heading4"/>
      </w:pPr>
      <w:r>
        <w:t>A781008 NEPROFITNI MEDIJI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A781008-NEPROFITNI MEDIJI</w:t>
            </w:r>
          </w:p>
        </w:tc>
        <w:tc>
          <w:tcPr>
            <w:tcW w:w="2041" w:type="dxa"/>
          </w:tcPr>
          <w:p w:rsidR="005C2091" w:rsidRDefault="00A86293">
            <w:pPr>
              <w:pStyle w:val="CellColumn"/>
              <w:jc w:val="right"/>
            </w:pPr>
            <w:r>
              <w:rPr>
                <w:rFonts w:cs="Times New Roman"/>
              </w:rPr>
              <w:t>3.658.050</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244.373</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6,7</w:t>
            </w:r>
          </w:p>
        </w:tc>
      </w:tr>
    </w:tbl>
    <w:p w:rsidR="005C2091" w:rsidRDefault="005C2091">
      <w:pPr>
        <w:jc w:val="left"/>
      </w:pPr>
    </w:p>
    <w:p w:rsidR="005C2091" w:rsidRDefault="00A86293">
      <w:pPr>
        <w:pStyle w:val="Heading8"/>
        <w:jc w:val="left"/>
      </w:pPr>
      <w:r>
        <w:t>Opis aktivnosti</w:t>
      </w:r>
    </w:p>
    <w:p w:rsidR="005C2091" w:rsidRDefault="00A86293">
      <w:r>
        <w:t>U 2016. godini ukinuta je aktivnost neprofitnih medija. Iznosom od 244.373,00 kuna Ministarstvo je platilo obveze iz 2015. godine. Sredstva su osigurana na izvoru 41.</w:t>
      </w:r>
    </w:p>
    <w:p w:rsidR="00A84C0F" w:rsidRDefault="00A84C0F"/>
    <w:p w:rsidR="00A84C0F" w:rsidRDefault="00A84C0F"/>
    <w:p w:rsidR="005C2091" w:rsidRDefault="00A86293">
      <w:pPr>
        <w:pStyle w:val="Heading3"/>
      </w:pPr>
      <w:r>
        <w:rPr>
          <w:rFonts w:cs="Times New Roman"/>
        </w:rPr>
        <w:t>3907 OSTALE DJELATNOSTI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3907-OSTALE DJELATNOSTI KULTURE</w:t>
            </w:r>
          </w:p>
        </w:tc>
        <w:tc>
          <w:tcPr>
            <w:tcW w:w="2041" w:type="dxa"/>
          </w:tcPr>
          <w:p w:rsidR="005C2091" w:rsidRDefault="00A86293">
            <w:pPr>
              <w:pStyle w:val="CellColumn"/>
              <w:jc w:val="right"/>
            </w:pPr>
            <w:r>
              <w:rPr>
                <w:rFonts w:cs="Times New Roman"/>
              </w:rPr>
              <w:t>163.719.316</w:t>
            </w:r>
          </w:p>
        </w:tc>
        <w:tc>
          <w:tcPr>
            <w:tcW w:w="2041" w:type="dxa"/>
          </w:tcPr>
          <w:p w:rsidR="005C2091" w:rsidRDefault="00A86293">
            <w:pPr>
              <w:pStyle w:val="CellColumn"/>
              <w:jc w:val="right"/>
            </w:pPr>
            <w:r>
              <w:rPr>
                <w:rFonts w:cs="Times New Roman"/>
              </w:rPr>
              <w:t>150.480.295</w:t>
            </w:r>
          </w:p>
        </w:tc>
        <w:tc>
          <w:tcPr>
            <w:tcW w:w="2041" w:type="dxa"/>
          </w:tcPr>
          <w:p w:rsidR="005C2091" w:rsidRDefault="00A86293">
            <w:pPr>
              <w:pStyle w:val="CellColumn"/>
              <w:jc w:val="right"/>
            </w:pPr>
            <w:r>
              <w:rPr>
                <w:rFonts w:cs="Times New Roman"/>
              </w:rPr>
              <w:t>146.167.978</w:t>
            </w:r>
          </w:p>
        </w:tc>
        <w:tc>
          <w:tcPr>
            <w:tcW w:w="1224" w:type="dxa"/>
          </w:tcPr>
          <w:p w:rsidR="005C2091" w:rsidRDefault="00A86293">
            <w:pPr>
              <w:pStyle w:val="CellColumn"/>
              <w:jc w:val="right"/>
            </w:pPr>
            <w:r>
              <w:rPr>
                <w:rFonts w:cs="Times New Roman"/>
              </w:rPr>
              <w:t>97,1</w:t>
            </w:r>
          </w:p>
        </w:tc>
        <w:tc>
          <w:tcPr>
            <w:tcW w:w="1224" w:type="dxa"/>
          </w:tcPr>
          <w:p w:rsidR="005C2091" w:rsidRDefault="00A86293">
            <w:pPr>
              <w:pStyle w:val="CellColumn"/>
              <w:jc w:val="right"/>
            </w:pPr>
            <w:r>
              <w:rPr>
                <w:rFonts w:cs="Times New Roman"/>
              </w:rPr>
              <w:t>89,3</w:t>
            </w:r>
          </w:p>
        </w:tc>
      </w:tr>
    </w:tbl>
    <w:p w:rsidR="005C2091" w:rsidRDefault="005C2091">
      <w:pPr>
        <w:jc w:val="left"/>
      </w:pPr>
    </w:p>
    <w:p w:rsidR="005C2091" w:rsidRDefault="00A86293">
      <w:r>
        <w:t>Ovaj program usmjeren je na unaprjeđenje razvoja svih segmenata suvremenog kulturnog i umjetničkog stvaralaštva (u riječi, slici, glazbi, plesu, kazalištu, filmu i drugim umjetničkim izričajima) u cjelini kulturnog ciklusa, kulturnog djelovanja i kulturnog života. Program obuhvaća potprograme: Hrvatsko povjerenstvo za UNESCO, osnovna djelatnost udruga u kulturi, nagrade za postignuća u kulturi, zdravstveno i mirovinsko osiguranje umjetnika, Matica Hrvatska, inovativne umjetničke i kulturne prakse, međunarodna kulturna suradnja, darovni ugovor -obveza RH temeljem darovnog ugovora prema gđi Topić - Mimara, Desk kreativne Europe -kultura, Zaklada kultura nova, Umjetnost i kultura za mlade, Europska prijestolnica kulture, poduzetništvo u kulturi, godišnja članarina RH za UNESCO, potpora hrvatskom kulturnom društvu "Napredak", Operativni program učinkoviti ljudski potencijali, informatizacija ustanova kulture, izgradnja, održavanje i opremanje ustanova kulture, nacionalni program digitalizacije. Nije bilo odstupanja od plana.</w:t>
      </w:r>
    </w:p>
    <w:p w:rsidR="005C2091" w:rsidRDefault="00A86293">
      <w:pPr>
        <w:pStyle w:val="Heading8"/>
        <w:jc w:val="left"/>
      </w:pPr>
      <w:r>
        <w:t>Cilj 1. Potpora razvoju umjetničke djelatnosti i podizanju opće razine kreativnosti</w:t>
      </w:r>
    </w:p>
    <w:p w:rsidR="005C2091" w:rsidRDefault="00A86293">
      <w:pPr>
        <w:pStyle w:val="Heading8"/>
        <w:jc w:val="left"/>
      </w:pPr>
      <w:r>
        <w:t>Opis provedbe cilja programa</w:t>
      </w:r>
    </w:p>
    <w:p w:rsidR="005C2091" w:rsidRDefault="00A86293">
      <w:r>
        <w:t>Sustav samozapošljavanja samostalnih umjetnika koji se potiče uplatama doprinosa za mirovinsko i zdravstveno osiguranje iz sredstava državnog proračuna postoji dugi niz godina i pokazao se vrlo efikasnim jer se umjetnicima, s obzirom na neredovitost priliva dohotka, s minimalnim sredstvima osigurava slobodno umjetničko stvaralaštvo i primjerena profesionalna umjetnička produkcija. Broj samostalnih umjetnika u Republici Hrvatskoj kojima se doprinosi za mirovinsko i zdravstveno osiguranje uplaćuju iz sredstava državnog proračuna, na dan 31. svibnja 2015. iznosi 1316 samostalnih umjetnika iz područja likovnog, glazbenog, scenskog, književnog i filmskog stvaralaštva. Potpora osnovnoj djelatnosti strukovnih udruga u kulturi također je od iznimne važnosti za održanje i profesionalni razvoj svih kulturnih djelatnosti i umjetničkih područja. Nagrađivanjem sveukupnog djela i izuzetnih ostvarenja te potporom izvrsnosti u svim područjima kulturnog i umjetničkog djelovanja nastavit će se poticati osobita postignuća u kulturi i umjetničkom stvaralaštvu.</w:t>
      </w:r>
    </w:p>
    <w:p w:rsidR="005C2091" w:rsidRDefault="00A86293">
      <w:pPr>
        <w:pStyle w:val="Heading8"/>
        <w:jc w:val="left"/>
      </w:pPr>
      <w:r>
        <w:t>Cilj 2. Projekt „Poduzetništvo u kulturi“</w:t>
      </w:r>
    </w:p>
    <w:p w:rsidR="005C2091" w:rsidRDefault="00A86293">
      <w:pPr>
        <w:pStyle w:val="Heading8"/>
        <w:jc w:val="left"/>
      </w:pPr>
      <w:r>
        <w:t>Opis provedbe cilja programa</w:t>
      </w:r>
    </w:p>
    <w:p w:rsidR="005C2091" w:rsidRDefault="00A86293">
      <w:r>
        <w:t>Kao poseban program nepovratne državne potpore male vrijednosti, Projekt „Poduzetništvo u kulturi“ pokrenuli su2008. godine Ministarstvo kulture i Ministarstvo gospodarstva, rada i poduzetništva. Projekt su zaključno s 2012. godinom zajednički provodili i razvijali pet godina. Ministarstvo kulture od 2013. samostalno nastavlja provoditi projekt „Poduzetnišvo u kulturi“ s ukupnim iznosom od 2 milijuna kuna.Cilj projekta je jačanje kapaciteta kulturnih/kreativnih industrija i poduzetništva u području kulturnog i umjetničkog stvaralaštva i kulturne proizvodnje a uključuje poduzetnike usmjerene na ulaganja potrebna za širenje na nova tržišta, stvaranje novih proizvoda, novih potrošača i novih tehnologija s ciljem uvećavanja vrijednosti – orijentirane na zapošljavanje, rast i razvoj. Korisnici su subjekti malog gospodarstva kojima je pretežita – glavna djelatnost prema NKD-u određena za obavljanje djelatnosti knjige i nakladništva te izvedbenih i vizualnih (likovnih) umjetnosti. Projektom „Poduzetništva u kulturi“poticat će se zapošljavanje (sufinanciranjem 50% troškova bruto plaće novozaposlenim osobama kao dijelu troška projketa), nabava novih tehnologija – strojeva i alata te informatičke i multimedijalne opreme i programa namijenjenih isključivo za obavljanje poslovne djelatnosti te promidžbene aktivnosti (ulaganje u povećanje/širenje publike). Povećani broj korisnika potpore te povećana kvaliteta i raznolikost prijavljenih projekata iskazivat će jačanje poduzetništva u kulturi.</w:t>
      </w:r>
    </w:p>
    <w:p w:rsidR="005C2091" w:rsidRDefault="00A86293">
      <w:pPr>
        <w:pStyle w:val="Heading8"/>
        <w:jc w:val="left"/>
      </w:pPr>
      <w:r>
        <w:t>Cilj 3. Razvoj kulturne infrastrukture i participacije u kulturnom životu</w:t>
      </w:r>
    </w:p>
    <w:p w:rsidR="005C2091" w:rsidRDefault="00A86293">
      <w:pPr>
        <w:pStyle w:val="Heading8"/>
        <w:jc w:val="left"/>
      </w:pPr>
      <w:r>
        <w:t>Opis provedbe cilja programa</w:t>
      </w:r>
    </w:p>
    <w:p w:rsidR="005C2091" w:rsidRDefault="00A86293">
      <w:r>
        <w:t>U značajnoj mjeri decentralizirana kulturna infrastruktura u Republici Hrvatskoj suočena je sa nedostatnim mogućnostima lokalnih zajednica za njezino optimalno održanje, razvoj i obnovu. Program potpore obnovi, izgradnji, održavanju,informatizaciji i opremanju mreže kulturnih ustanova bit će s posebnim naglaskom usmjeren na samoodržive projekte. Projektima obnove narodnih knjižnica, centara i domova kulture, muzeja i galerija te kazališta i glazbeno-scenskih prostora na lokalnoj i regionalnoj razini osiguravaju se preduvjeti za rast kako kulturne potrošnje tako i aktivne participacije stanovništva u kulturnom životu na cijelom teritorijuRepublike Hrvatske. Spregom kulture, turizma i poduzetništva cilj je kreirati platformu na kojoj bi iznimno bogata kulturna baština djelovala kao razvojni resurs. Uz potporudjelovanju Matice hrvatske sa stotinjak ogranaka (koji su u mnogim mjestima nezaobilazni, a ponegdje i jedini nositelji kulturnoga života),razvoj kulturne infrastrukture pridonijet će jačanju participacije u kulturnom životu. A jačanje kulturne participacije i afirmiranje sudjelovanja u kulturi kao kvalitete života stanovništva bitni su za održavanje kulture kao sektora koji stvara i proizvodi dobra i vrijednosti te za razvoj socijalno kohezivnih učinaka kulture i kulturnog djelovanja.</w:t>
      </w:r>
    </w:p>
    <w:p w:rsidR="005C2091" w:rsidRDefault="00A86293">
      <w:pPr>
        <w:pStyle w:val="Heading8"/>
        <w:jc w:val="left"/>
      </w:pPr>
      <w:r>
        <w:t>Cilj 4. Jačanje nazočnosti hrvatske umjetnosti i kulture u svijetu</w:t>
      </w:r>
    </w:p>
    <w:p w:rsidR="005C2091" w:rsidRDefault="00A86293">
      <w:pPr>
        <w:pStyle w:val="Heading8"/>
        <w:jc w:val="left"/>
      </w:pPr>
      <w:r>
        <w:t>Opis provedbe cilja programa</w:t>
      </w:r>
    </w:p>
    <w:p w:rsidR="005C2091" w:rsidRDefault="00A86293">
      <w:r>
        <w:t>Jačanje aktivne kulturne suradnje s Europskom unijom te uključivanje u europske aktivnosti i inicijative zemalja članica odvijat će se promoviranjem programa Europske unije za kulturni, kreativni i audiovizualni sektor pod nazivom Kreativna Europa 2014. – 2020. S obzirom na kontinuitet u odnosu na program EU Kultura 2007. – 2013. naglasak će u sljedećem razdoblju biti stavljen na daljnju organizaciju informativnih dana, seminara i internih radionica za potencijalne korisnike novog programa Kreativna Europa – potprogram Kultura te na tehničku pomoć institucijama zainteresiranima za prijavu.Nastavit će se suradnja s projektnim partnerima programa Kreativna Europa – potprogram Kulturakao i predstavnicima Europske komisije i Izvršne agencije za kulturu, obrazovanje i audiovizualnu djelatnost. Osim brojem seminara, radionica, informativnih dana i sastanaka uspješnost sudjelovanja u projektima programa Kreativna Europa – potprogram Kultura mjerit će se povećanjem broja pojedinačnih prijava hrvatskih institucija koje do sada nisu sudjelovale u projektima programa EU Kreativna Europa – potprogram Kultura. Provoditi će se i intenzivna edukacija i suradnja s gradovima zainteresiranima za projekt Europska prijestolnica kulture te provesti natječaj na nacionalnoj razini. Sklopljeni ugovori i programi bilateralne kulturne suradnje omogućitće šire predstavljanje hrvatske kulture u drugim zemljama kao i kulture drugih zemalja u Hrvatskoj; poticat će razvijanje izravne i kontinuirane suradnje i razmjene između ustanova i udruga, umjetnika i stručnjaka na svim područjima kulture i umjetnosti: prevođenja i objavljivanja književnih djela, prezentacije filmova i umjetničkih izložbi, gostovanja kazališnih, plesnih i glazbenih umjetnika, sudjelovanja na sajmovima knjiga te drugim međunarodnim kulturnim manifestacijama i skupovima. Podupirat će se sudjelovanja umjetnika i kulturnih djelatnika u multilateralnim programima koji potiču razvoj interkulturnog dijaloga i kulturne raznolikosti u sklopu međunarodnih organizacija i asocijacija te nevladinih organizacija. Intenzivirat će se i programi suradnje u sklopu regionalnih inicijativa i asocijacija naglašavajući specifičnost Hrvatske kao srednjoeuropske i mediteranske zemlje. Hrvatsko povjerenstvo za UNESCO u koordinaciji s ministarstvima, vladinim i nevladinim organizacijama sudjelovat će u normativnom radu UNESCO-a, podupirat će dugoročne inicijative i projekte od nacionalne, regionalne i međunarodne važnosti, dijagnosticirat će područja unutar kojih u Hrvatskoj postoje vrhunska znanja koja se mogu formalizirati u okviru posebnih inicijativa i projekata putem UNESCO-a. Promicat će se programsko područje kulture poticanjem suvremenog umjetničkog stvaralaštva, pitanja vezanih uz kulturne politike, razvoj kulturnih industrija i mreža za prikupljanje informacija na području kulture i kulturnog upravljanja, kulturni razvoj i pluralizam, kulturnu raznolikost, međukulturalni dijalog, autorska prava i status umjetnika.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A84C0F">
            <w:pPr>
              <w:pStyle w:val="CellColumn"/>
              <w:spacing w:after="0"/>
              <w:jc w:val="left"/>
            </w:pPr>
            <w:r>
              <w:rPr>
                <w:rFonts w:cs="Times New Roman"/>
              </w:rPr>
              <w:t xml:space="preserve">Povećanje broja samostalnih </w:t>
            </w:r>
          </w:p>
          <w:p w:rsidR="005C2091" w:rsidRDefault="00A86293" w:rsidP="00A84C0F">
            <w:pPr>
              <w:pStyle w:val="CellColumn"/>
              <w:spacing w:after="0"/>
              <w:jc w:val="left"/>
            </w:pPr>
            <w:r>
              <w:rPr>
                <w:rFonts w:cs="Times New Roman"/>
              </w:rPr>
              <w:t>umjetnika</w:t>
            </w:r>
          </w:p>
        </w:tc>
        <w:tc>
          <w:tcPr>
            <w:tcW w:w="2551" w:type="dxa"/>
          </w:tcPr>
          <w:p w:rsidR="005C2091" w:rsidRDefault="00A86293" w:rsidP="00A84C0F">
            <w:pPr>
              <w:pStyle w:val="CellColumn"/>
              <w:spacing w:after="0"/>
              <w:jc w:val="left"/>
            </w:pPr>
            <w:r>
              <w:rPr>
                <w:rFonts w:cs="Times New Roman"/>
              </w:rPr>
              <w:t xml:space="preserve">Povećanje broja samostalnih </w:t>
            </w:r>
          </w:p>
          <w:p w:rsidR="005C2091" w:rsidRDefault="00A86293" w:rsidP="00A84C0F">
            <w:pPr>
              <w:pStyle w:val="CellColumn"/>
              <w:spacing w:after="0"/>
              <w:jc w:val="left"/>
            </w:pPr>
            <w:r>
              <w:rPr>
                <w:rFonts w:cs="Times New Roman"/>
              </w:rPr>
              <w:t xml:space="preserve">umjetnika iskazivat će </w:t>
            </w:r>
          </w:p>
          <w:p w:rsidR="005C2091" w:rsidRDefault="00A86293" w:rsidP="00A84C0F">
            <w:pPr>
              <w:pStyle w:val="CellColumn"/>
              <w:spacing w:after="0"/>
              <w:jc w:val="left"/>
            </w:pPr>
            <w:r>
              <w:rPr>
                <w:rFonts w:cs="Times New Roman"/>
              </w:rPr>
              <w:t xml:space="preserve">stupanj potpore umjetničkoj </w:t>
            </w:r>
          </w:p>
          <w:p w:rsidR="005C2091" w:rsidRDefault="00A86293" w:rsidP="00A84C0F">
            <w:pPr>
              <w:pStyle w:val="CellColumn"/>
              <w:spacing w:after="0"/>
              <w:jc w:val="left"/>
            </w:pPr>
            <w:r>
              <w:rPr>
                <w:rFonts w:cs="Times New Roman"/>
              </w:rPr>
              <w:t>djelatnosti</w:t>
            </w:r>
          </w:p>
        </w:tc>
        <w:tc>
          <w:tcPr>
            <w:tcW w:w="1020" w:type="dxa"/>
          </w:tcPr>
          <w:p w:rsidR="005C2091" w:rsidRDefault="00A86293" w:rsidP="00A84C0F">
            <w:pPr>
              <w:pStyle w:val="CellColumn"/>
              <w:spacing w:after="0"/>
              <w:jc w:val="right"/>
            </w:pPr>
            <w:r>
              <w:rPr>
                <w:rFonts w:cs="Times New Roman"/>
              </w:rPr>
              <w:t>Broj</w:t>
            </w:r>
          </w:p>
        </w:tc>
        <w:tc>
          <w:tcPr>
            <w:tcW w:w="1020" w:type="dxa"/>
          </w:tcPr>
          <w:p w:rsidR="005C2091" w:rsidRDefault="00A86293" w:rsidP="00A84C0F">
            <w:pPr>
              <w:pStyle w:val="CellColumn"/>
              <w:spacing w:after="0"/>
              <w:jc w:val="right"/>
            </w:pPr>
            <w:r>
              <w:rPr>
                <w:rFonts w:cs="Times New Roman"/>
              </w:rPr>
              <w:t>1338</w:t>
            </w:r>
          </w:p>
        </w:tc>
        <w:tc>
          <w:tcPr>
            <w:tcW w:w="1020" w:type="dxa"/>
          </w:tcPr>
          <w:p w:rsidR="005C2091" w:rsidRDefault="00A86293" w:rsidP="00A84C0F">
            <w:pPr>
              <w:pStyle w:val="CellColumn"/>
              <w:spacing w:after="0"/>
              <w:jc w:val="right"/>
            </w:pPr>
            <w:r>
              <w:rPr>
                <w:rFonts w:cs="Times New Roman"/>
              </w:rPr>
              <w:t>HZSU, MK</w:t>
            </w:r>
          </w:p>
        </w:tc>
        <w:tc>
          <w:tcPr>
            <w:tcW w:w="1020" w:type="dxa"/>
          </w:tcPr>
          <w:p w:rsidR="005C2091" w:rsidRDefault="00A86293" w:rsidP="00A84C0F">
            <w:pPr>
              <w:pStyle w:val="CellColumn"/>
              <w:spacing w:after="0"/>
              <w:jc w:val="right"/>
            </w:pPr>
            <w:r>
              <w:rPr>
                <w:rFonts w:cs="Times New Roman"/>
              </w:rPr>
              <w:t>1350</w:t>
            </w:r>
          </w:p>
        </w:tc>
        <w:tc>
          <w:tcPr>
            <w:tcW w:w="1020" w:type="dxa"/>
          </w:tcPr>
          <w:p w:rsidR="005C2091" w:rsidRDefault="00A86293" w:rsidP="00A84C0F">
            <w:pPr>
              <w:pStyle w:val="CellColumn"/>
              <w:spacing w:after="0"/>
              <w:jc w:val="right"/>
            </w:pPr>
            <w:r>
              <w:rPr>
                <w:rFonts w:cs="Times New Roman"/>
              </w:rPr>
              <w:t>1333</w:t>
            </w:r>
          </w:p>
        </w:tc>
      </w:tr>
    </w:tbl>
    <w:p w:rsidR="005C2091" w:rsidRDefault="005C2091">
      <w:pPr>
        <w:jc w:val="left"/>
      </w:pPr>
    </w:p>
    <w:p w:rsidR="00A84C0F" w:rsidRDefault="00A84C0F">
      <w:pPr>
        <w:jc w:val="left"/>
      </w:pPr>
    </w:p>
    <w:p w:rsidR="005C2091" w:rsidRDefault="00A86293">
      <w:pPr>
        <w:pStyle w:val="Heading4"/>
      </w:pPr>
      <w:r>
        <w:t>A564015 HRVATSKO POVJERENSTVO ZA UNESCO</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A564015-HRVATSKO POVJERENSTVO ZA UNESCO</w:t>
            </w:r>
          </w:p>
        </w:tc>
        <w:tc>
          <w:tcPr>
            <w:tcW w:w="2041" w:type="dxa"/>
          </w:tcPr>
          <w:p w:rsidR="005C2091" w:rsidRDefault="00A86293">
            <w:pPr>
              <w:pStyle w:val="CellColumn"/>
              <w:jc w:val="right"/>
            </w:pPr>
            <w:r>
              <w:rPr>
                <w:rFonts w:cs="Times New Roman"/>
              </w:rPr>
              <w:t>819.879</w:t>
            </w:r>
          </w:p>
        </w:tc>
        <w:tc>
          <w:tcPr>
            <w:tcW w:w="2041" w:type="dxa"/>
          </w:tcPr>
          <w:p w:rsidR="005C2091" w:rsidRDefault="00A86293">
            <w:pPr>
              <w:pStyle w:val="CellColumn"/>
              <w:jc w:val="right"/>
            </w:pPr>
            <w:r>
              <w:rPr>
                <w:rFonts w:cs="Times New Roman"/>
              </w:rPr>
              <w:t>700.000</w:t>
            </w:r>
          </w:p>
        </w:tc>
        <w:tc>
          <w:tcPr>
            <w:tcW w:w="2041" w:type="dxa"/>
          </w:tcPr>
          <w:p w:rsidR="005C2091" w:rsidRDefault="00A86293">
            <w:pPr>
              <w:pStyle w:val="CellColumn"/>
              <w:jc w:val="right"/>
            </w:pPr>
            <w:r>
              <w:rPr>
                <w:rFonts w:cs="Times New Roman"/>
              </w:rPr>
              <w:t>243.036</w:t>
            </w:r>
          </w:p>
        </w:tc>
        <w:tc>
          <w:tcPr>
            <w:tcW w:w="1224" w:type="dxa"/>
          </w:tcPr>
          <w:p w:rsidR="005C2091" w:rsidRDefault="00A86293">
            <w:pPr>
              <w:pStyle w:val="CellColumn"/>
              <w:jc w:val="right"/>
            </w:pPr>
            <w:r>
              <w:rPr>
                <w:rFonts w:cs="Times New Roman"/>
              </w:rPr>
              <w:t>34,7</w:t>
            </w:r>
          </w:p>
        </w:tc>
        <w:tc>
          <w:tcPr>
            <w:tcW w:w="1224" w:type="dxa"/>
          </w:tcPr>
          <w:p w:rsidR="005C2091" w:rsidRDefault="00A86293">
            <w:pPr>
              <w:pStyle w:val="CellColumn"/>
              <w:jc w:val="right"/>
            </w:pPr>
            <w:r>
              <w:rPr>
                <w:rFonts w:cs="Times New Roman"/>
              </w:rPr>
              <w:t>29,6</w:t>
            </w:r>
          </w:p>
        </w:tc>
      </w:tr>
    </w:tbl>
    <w:p w:rsidR="005C2091" w:rsidRDefault="005C2091">
      <w:pPr>
        <w:jc w:val="left"/>
      </w:pPr>
    </w:p>
    <w:p w:rsidR="005C2091" w:rsidRDefault="00A86293">
      <w:pPr>
        <w:pStyle w:val="Heading8"/>
        <w:jc w:val="left"/>
      </w:pPr>
      <w:r>
        <w:t>Zakonske i druge pravne osnove</w:t>
      </w:r>
    </w:p>
    <w:p w:rsidR="005C2091" w:rsidRDefault="00A86293">
      <w:r>
        <w:t xml:space="preserve">Statut UNESCO-a  </w:t>
      </w:r>
    </w:p>
    <w:p w:rsidR="005C2091" w:rsidRDefault="00A86293">
      <w:r>
        <w:t xml:space="preserve">Povelja o nacionalnim povjerenstvima  </w:t>
      </w:r>
    </w:p>
    <w:p w:rsidR="005C2091" w:rsidRDefault="00A86293">
      <w:r>
        <w:t xml:space="preserve">Odluka Vlade o osnivanju Hrvatskog povjerenstva za UNESCO  </w:t>
      </w:r>
    </w:p>
    <w:p w:rsidR="005C2091" w:rsidRDefault="00A86293">
      <w:r>
        <w:t xml:space="preserve">UNESCO-ove Konvencije koje je ratificirala Republika Hrvatska  </w:t>
      </w:r>
    </w:p>
    <w:p w:rsidR="005C2091" w:rsidRDefault="00A86293">
      <w:r>
        <w:t xml:space="preserve">V. Stručne, administrativne i druge poslove Hrvatskog povjerenstva za UNESCO obavlja Ministarstvo kulture.   </w:t>
      </w:r>
    </w:p>
    <w:p w:rsidR="005C2091" w:rsidRDefault="00A86293">
      <w:r>
        <w:t>VI. Sredstva za rad Hrvatskog povjerenstva za UNESCO osiguravaju se u državnom proračunu Republike Hrvatske, u razdjelu Ministarstva kulture.</w:t>
      </w:r>
    </w:p>
    <w:p w:rsidR="005C2091" w:rsidRDefault="00A86293">
      <w:pPr>
        <w:pStyle w:val="Heading8"/>
        <w:jc w:val="left"/>
      </w:pPr>
      <w:r>
        <w:t>Opis aktivnosti</w:t>
      </w:r>
    </w:p>
    <w:p w:rsidR="005C2091" w:rsidRDefault="00A86293">
      <w:r>
        <w:t>Hrvatsko povjerenstvo za UNESCO u koordinaciji s ministarstvima, vladinim i nevladinim organizacijama sudjelovalo je u normativnom radu UNESCO-a. Podupiralo je dugoročne inicijative i projekte nacionalne, regionalne i međunarodne važnosti koji potiču pitanja vezana uz kulturne politike, razvoj kulturnih industrija i kulturne raznolikosti kroz sudjelovanje hrvatskih stručnjaka u programskim područjima UNESCO-a. Sredstva se za ovu aktivnost osim iz Državnog proračuna osiguravaju i iz ostalih izvora. Dio koji je u 2016. godini planiran na izvoru 11 je u cijelosti i utrošen.</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13"/>
        <w:gridCol w:w="2513"/>
        <w:gridCol w:w="1114"/>
        <w:gridCol w:w="1017"/>
        <w:gridCol w:w="1015"/>
        <w:gridCol w:w="1017"/>
        <w:gridCol w:w="1017"/>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4C0F" w:rsidP="00A84C0F">
            <w:pPr>
              <w:pStyle w:val="CellColumn"/>
              <w:spacing w:after="0"/>
              <w:jc w:val="left"/>
            </w:pPr>
            <w:r>
              <w:rPr>
                <w:rFonts w:cs="Times New Roman"/>
              </w:rPr>
              <w:t>Povećanj</w:t>
            </w:r>
            <w:r w:rsidR="00A86293">
              <w:rPr>
                <w:rFonts w:cs="Times New Roman"/>
              </w:rPr>
              <w:t xml:space="preserve">e broja </w:t>
            </w:r>
          </w:p>
          <w:p w:rsidR="005C2091" w:rsidRDefault="00A86293" w:rsidP="00A84C0F">
            <w:pPr>
              <w:pStyle w:val="CellColumn"/>
              <w:spacing w:after="0"/>
              <w:jc w:val="left"/>
            </w:pPr>
            <w:r>
              <w:rPr>
                <w:rFonts w:cs="Times New Roman"/>
              </w:rPr>
              <w:t xml:space="preserve">hrvatskih dobara na </w:t>
            </w:r>
          </w:p>
          <w:p w:rsidR="005C2091" w:rsidRDefault="00A86293" w:rsidP="00A84C0F">
            <w:pPr>
              <w:pStyle w:val="CellColumn"/>
              <w:spacing w:after="0"/>
              <w:jc w:val="left"/>
            </w:pPr>
            <w:r>
              <w:rPr>
                <w:rFonts w:cs="Times New Roman"/>
              </w:rPr>
              <w:t xml:space="preserve">UNESCO -vim popisima i </w:t>
            </w:r>
          </w:p>
          <w:p w:rsidR="005C2091" w:rsidRDefault="00A84C0F" w:rsidP="00A84C0F">
            <w:pPr>
              <w:pStyle w:val="CellColumn"/>
              <w:spacing w:after="0"/>
              <w:jc w:val="left"/>
            </w:pPr>
            <w:r>
              <w:rPr>
                <w:rFonts w:cs="Times New Roman"/>
              </w:rPr>
              <w:t>kandidatu</w:t>
            </w:r>
            <w:r w:rsidR="00A86293">
              <w:rPr>
                <w:rFonts w:cs="Times New Roman"/>
              </w:rPr>
              <w:t xml:space="preserve">ra u </w:t>
            </w:r>
            <w:r>
              <w:rPr>
                <w:rFonts w:cs="Times New Roman"/>
              </w:rPr>
              <w:t>programs</w:t>
            </w:r>
            <w:r w:rsidR="00A86293">
              <w:rPr>
                <w:rFonts w:cs="Times New Roman"/>
              </w:rPr>
              <w:t xml:space="preserve">kim i </w:t>
            </w:r>
          </w:p>
          <w:p w:rsidR="005C2091" w:rsidRDefault="00A86293" w:rsidP="00A84C0F">
            <w:pPr>
              <w:pStyle w:val="CellColumn"/>
              <w:spacing w:after="0"/>
              <w:jc w:val="left"/>
            </w:pPr>
            <w:r>
              <w:rPr>
                <w:rFonts w:cs="Times New Roman"/>
              </w:rPr>
              <w:t>radnim tijelima</w:t>
            </w:r>
          </w:p>
        </w:tc>
        <w:tc>
          <w:tcPr>
            <w:tcW w:w="2551" w:type="dxa"/>
          </w:tcPr>
          <w:p w:rsidR="005C2091" w:rsidRDefault="00A86293" w:rsidP="00A84C0F">
            <w:pPr>
              <w:pStyle w:val="CellColumn"/>
              <w:spacing w:after="0"/>
              <w:jc w:val="left"/>
            </w:pPr>
            <w:r>
              <w:rPr>
                <w:rFonts w:cs="Times New Roman"/>
              </w:rPr>
              <w:t xml:space="preserve">Povećanj e broja </w:t>
            </w:r>
          </w:p>
          <w:p w:rsidR="005C2091" w:rsidRDefault="00A86293" w:rsidP="00A84C0F">
            <w:pPr>
              <w:pStyle w:val="CellColumn"/>
              <w:spacing w:after="0"/>
              <w:jc w:val="left"/>
            </w:pPr>
            <w:r>
              <w:rPr>
                <w:rFonts w:cs="Times New Roman"/>
              </w:rPr>
              <w:t xml:space="preserve">hrvatskih dobara </w:t>
            </w:r>
          </w:p>
          <w:p w:rsidR="005C2091" w:rsidRDefault="00A84C0F" w:rsidP="00A84C0F">
            <w:pPr>
              <w:pStyle w:val="CellColumn"/>
              <w:spacing w:after="0"/>
              <w:jc w:val="left"/>
            </w:pPr>
            <w:r>
              <w:rPr>
                <w:rFonts w:cs="Times New Roman"/>
              </w:rPr>
              <w:t>materijaln</w:t>
            </w:r>
            <w:r w:rsidR="00A86293">
              <w:rPr>
                <w:rFonts w:cs="Times New Roman"/>
              </w:rPr>
              <w:t xml:space="preserve">e i </w:t>
            </w:r>
            <w:r>
              <w:rPr>
                <w:rFonts w:cs="Times New Roman"/>
              </w:rPr>
              <w:t>nematerij</w:t>
            </w:r>
            <w:r w:rsidR="00A86293">
              <w:rPr>
                <w:rFonts w:cs="Times New Roman"/>
              </w:rPr>
              <w:t xml:space="preserve">alne </w:t>
            </w:r>
          </w:p>
          <w:p w:rsidR="005C2091" w:rsidRDefault="00A86293" w:rsidP="00A84C0F">
            <w:pPr>
              <w:pStyle w:val="CellColumn"/>
              <w:spacing w:after="0"/>
              <w:jc w:val="left"/>
            </w:pPr>
            <w:r>
              <w:rPr>
                <w:rFonts w:cs="Times New Roman"/>
              </w:rPr>
              <w:t xml:space="preserve">baštine na UNESCO -vim </w:t>
            </w:r>
          </w:p>
          <w:p w:rsidR="005C2091" w:rsidRDefault="00A86293" w:rsidP="00A84C0F">
            <w:pPr>
              <w:pStyle w:val="CellColumn"/>
              <w:spacing w:after="0"/>
              <w:jc w:val="left"/>
            </w:pPr>
            <w:r>
              <w:rPr>
                <w:rFonts w:cs="Times New Roman"/>
              </w:rPr>
              <w:t xml:space="preserve">popisima svjetske baštine te </w:t>
            </w:r>
          </w:p>
          <w:p w:rsidR="005C2091" w:rsidRDefault="00A86293" w:rsidP="00A84C0F">
            <w:pPr>
              <w:pStyle w:val="CellColumn"/>
              <w:spacing w:after="0"/>
              <w:jc w:val="left"/>
            </w:pPr>
            <w:r>
              <w:rPr>
                <w:rFonts w:cs="Times New Roman"/>
              </w:rPr>
              <w:t xml:space="preserve">prisutnost i Hrvatske </w:t>
            </w:r>
            <w:r w:rsidR="00A84C0F">
              <w:rPr>
                <w:rFonts w:cs="Times New Roman"/>
              </w:rPr>
              <w:t xml:space="preserve">u </w:t>
            </w:r>
            <w:r>
              <w:rPr>
                <w:rFonts w:cs="Times New Roman"/>
              </w:rPr>
              <w:t>progra</w:t>
            </w:r>
            <w:r w:rsidR="00A84C0F">
              <w:rPr>
                <w:rFonts w:cs="Times New Roman"/>
              </w:rPr>
              <w:t>ms</w:t>
            </w:r>
            <w:r>
              <w:rPr>
                <w:rFonts w:cs="Times New Roman"/>
              </w:rPr>
              <w:t xml:space="preserve">kim i </w:t>
            </w:r>
            <w:r w:rsidR="00A84C0F">
              <w:rPr>
                <w:rFonts w:cs="Times New Roman"/>
              </w:rPr>
              <w:t xml:space="preserve">radnim </w:t>
            </w:r>
            <w:r>
              <w:rPr>
                <w:rFonts w:cs="Times New Roman"/>
              </w:rPr>
              <w:t xml:space="preserve">tijelima </w:t>
            </w:r>
          </w:p>
          <w:p w:rsidR="005C2091" w:rsidRDefault="00A86293" w:rsidP="00A84C0F">
            <w:pPr>
              <w:pStyle w:val="CellColumn"/>
              <w:spacing w:after="0"/>
              <w:jc w:val="left"/>
            </w:pPr>
            <w:r>
              <w:rPr>
                <w:rFonts w:cs="Times New Roman"/>
              </w:rPr>
              <w:t>UNESCO -a</w:t>
            </w:r>
          </w:p>
        </w:tc>
        <w:tc>
          <w:tcPr>
            <w:tcW w:w="1020" w:type="dxa"/>
          </w:tcPr>
          <w:p w:rsidR="005C2091" w:rsidRDefault="00A86293" w:rsidP="00A84C0F">
            <w:pPr>
              <w:pStyle w:val="CellColumn"/>
              <w:spacing w:after="0"/>
              <w:jc w:val="right"/>
            </w:pPr>
            <w:r>
              <w:rPr>
                <w:rFonts w:cs="Times New Roman"/>
              </w:rPr>
              <w:t>Broj dobara/tijela</w:t>
            </w:r>
          </w:p>
        </w:tc>
        <w:tc>
          <w:tcPr>
            <w:tcW w:w="1020" w:type="dxa"/>
          </w:tcPr>
          <w:p w:rsidR="005C2091" w:rsidRDefault="00A86293" w:rsidP="00A84C0F">
            <w:pPr>
              <w:pStyle w:val="CellColumn"/>
              <w:spacing w:after="0"/>
              <w:jc w:val="right"/>
            </w:pPr>
            <w:r>
              <w:rPr>
                <w:rFonts w:cs="Times New Roman"/>
              </w:rPr>
              <w:t>7/14</w:t>
            </w:r>
          </w:p>
        </w:tc>
        <w:tc>
          <w:tcPr>
            <w:tcW w:w="1020" w:type="dxa"/>
          </w:tcPr>
          <w:p w:rsidR="005C2091" w:rsidRDefault="00A86293" w:rsidP="00A84C0F">
            <w:pPr>
              <w:pStyle w:val="CellColumn"/>
              <w:spacing w:after="0"/>
              <w:jc w:val="right"/>
            </w:pPr>
            <w:r>
              <w:rPr>
                <w:rFonts w:cs="Times New Roman"/>
              </w:rPr>
              <w:t>MK</w:t>
            </w:r>
          </w:p>
        </w:tc>
        <w:tc>
          <w:tcPr>
            <w:tcW w:w="1020" w:type="dxa"/>
          </w:tcPr>
          <w:p w:rsidR="005C2091" w:rsidRDefault="00A86293" w:rsidP="00A84C0F">
            <w:pPr>
              <w:pStyle w:val="CellColumn"/>
              <w:spacing w:after="0"/>
              <w:jc w:val="right"/>
            </w:pPr>
            <w:r>
              <w:rPr>
                <w:rFonts w:cs="Times New Roman"/>
              </w:rPr>
              <w:t>7/15</w:t>
            </w:r>
          </w:p>
        </w:tc>
        <w:tc>
          <w:tcPr>
            <w:tcW w:w="1020" w:type="dxa"/>
          </w:tcPr>
          <w:p w:rsidR="005C2091" w:rsidRDefault="00A86293" w:rsidP="00A84C0F">
            <w:pPr>
              <w:pStyle w:val="CellColumn"/>
              <w:spacing w:after="0"/>
              <w:jc w:val="right"/>
            </w:pPr>
            <w:r>
              <w:rPr>
                <w:rFonts w:cs="Times New Roman"/>
              </w:rPr>
              <w:t>7/15</w:t>
            </w:r>
          </w:p>
        </w:tc>
      </w:tr>
    </w:tbl>
    <w:p w:rsidR="005C2091" w:rsidRDefault="005C2091">
      <w:pPr>
        <w:jc w:val="left"/>
      </w:pPr>
    </w:p>
    <w:p w:rsidR="00A84C0F" w:rsidRDefault="00A84C0F">
      <w:pPr>
        <w:jc w:val="left"/>
      </w:pPr>
    </w:p>
    <w:p w:rsidR="00A84C0F" w:rsidRDefault="00A84C0F">
      <w:pPr>
        <w:jc w:val="left"/>
      </w:pPr>
    </w:p>
    <w:p w:rsidR="00A84C0F" w:rsidRDefault="00A84C0F">
      <w:pPr>
        <w:jc w:val="left"/>
      </w:pPr>
    </w:p>
    <w:p w:rsidR="00A84C0F" w:rsidRDefault="00A84C0F">
      <w:pPr>
        <w:jc w:val="left"/>
      </w:pPr>
    </w:p>
    <w:p w:rsidR="005C2091" w:rsidRDefault="00A86293">
      <w:pPr>
        <w:pStyle w:val="Heading4"/>
      </w:pPr>
      <w:r>
        <w:t>A565003 OSNOVNA DJELATNOST UDRUGA U KULTURI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A565003-OSNOVNA DJELATNOST UDRUGA U KULTURI</w:t>
            </w:r>
          </w:p>
        </w:tc>
        <w:tc>
          <w:tcPr>
            <w:tcW w:w="2041" w:type="dxa"/>
          </w:tcPr>
          <w:p w:rsidR="005C2091" w:rsidRDefault="00A86293">
            <w:pPr>
              <w:pStyle w:val="CellColumn"/>
              <w:jc w:val="right"/>
            </w:pPr>
            <w:r>
              <w:rPr>
                <w:rFonts w:cs="Times New Roman"/>
              </w:rPr>
              <w:t>6.500.000</w:t>
            </w:r>
          </w:p>
        </w:tc>
        <w:tc>
          <w:tcPr>
            <w:tcW w:w="2041" w:type="dxa"/>
          </w:tcPr>
          <w:p w:rsidR="005C2091" w:rsidRDefault="00A86293">
            <w:pPr>
              <w:pStyle w:val="CellColumn"/>
              <w:jc w:val="right"/>
            </w:pPr>
            <w:r>
              <w:rPr>
                <w:rFonts w:cs="Times New Roman"/>
              </w:rPr>
              <w:t>6.300.000</w:t>
            </w:r>
          </w:p>
        </w:tc>
        <w:tc>
          <w:tcPr>
            <w:tcW w:w="2041" w:type="dxa"/>
          </w:tcPr>
          <w:p w:rsidR="005C2091" w:rsidRDefault="00A86293">
            <w:pPr>
              <w:pStyle w:val="CellColumn"/>
              <w:jc w:val="right"/>
            </w:pPr>
            <w:r>
              <w:rPr>
                <w:rFonts w:cs="Times New Roman"/>
              </w:rPr>
              <w:t>6.300.000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96,9</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w:t>
      </w:r>
    </w:p>
    <w:p w:rsidR="005C2091" w:rsidRDefault="00A86293">
      <w:pPr>
        <w:pStyle w:val="Heading8"/>
        <w:jc w:val="left"/>
      </w:pPr>
      <w:r>
        <w:t>Opis aktivnosti</w:t>
      </w:r>
    </w:p>
    <w:p w:rsidR="005C2091" w:rsidRDefault="00A86293">
      <w:r>
        <w:t>Ova aktivnost obuhvaća financijsku potporu za redovnu djelatnost 34 strukovne udruge u kulturi i umjetnosti. U 2016. godini program je u cijelosti izvršen te nije bilo odstupanja od plana.</w:t>
      </w:r>
    </w:p>
    <w:p w:rsidR="005C2091" w:rsidRDefault="00A86293">
      <w:pPr>
        <w:pStyle w:val="Heading4"/>
      </w:pPr>
      <w:r>
        <w:t>A565011 NAGRADE ZA POSTIGNUĆA U KULTURI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A565011-NAGRADE ZA POSTIGNUĆA U KULTURI</w:t>
            </w:r>
          </w:p>
        </w:tc>
        <w:tc>
          <w:tcPr>
            <w:tcW w:w="2041" w:type="dxa"/>
          </w:tcPr>
          <w:p w:rsidR="005C2091" w:rsidRDefault="00A86293">
            <w:pPr>
              <w:pStyle w:val="CellColumn"/>
              <w:jc w:val="right"/>
            </w:pPr>
            <w:r>
              <w:rPr>
                <w:rFonts w:cs="Times New Roman"/>
              </w:rPr>
              <w:t>1.565.559</w:t>
            </w:r>
          </w:p>
        </w:tc>
        <w:tc>
          <w:tcPr>
            <w:tcW w:w="2041" w:type="dxa"/>
          </w:tcPr>
          <w:p w:rsidR="005C2091" w:rsidRDefault="00A86293">
            <w:pPr>
              <w:pStyle w:val="CellColumn"/>
              <w:jc w:val="right"/>
            </w:pPr>
            <w:r>
              <w:rPr>
                <w:rFonts w:cs="Times New Roman"/>
              </w:rPr>
              <w:t>1.547.200</w:t>
            </w:r>
          </w:p>
        </w:tc>
        <w:tc>
          <w:tcPr>
            <w:tcW w:w="2041" w:type="dxa"/>
          </w:tcPr>
          <w:p w:rsidR="005C2091" w:rsidRDefault="00A86293">
            <w:pPr>
              <w:pStyle w:val="CellColumn"/>
              <w:jc w:val="right"/>
            </w:pPr>
            <w:r>
              <w:rPr>
                <w:rFonts w:cs="Times New Roman"/>
              </w:rPr>
              <w:t>1.531.974</w:t>
            </w:r>
          </w:p>
        </w:tc>
        <w:tc>
          <w:tcPr>
            <w:tcW w:w="1224" w:type="dxa"/>
          </w:tcPr>
          <w:p w:rsidR="005C2091" w:rsidRDefault="00A86293">
            <w:pPr>
              <w:pStyle w:val="CellColumn"/>
              <w:jc w:val="right"/>
            </w:pPr>
            <w:r>
              <w:rPr>
                <w:rFonts w:cs="Times New Roman"/>
              </w:rPr>
              <w:t>99,0</w:t>
            </w:r>
          </w:p>
        </w:tc>
        <w:tc>
          <w:tcPr>
            <w:tcW w:w="1224" w:type="dxa"/>
          </w:tcPr>
          <w:p w:rsidR="005C2091" w:rsidRDefault="00A86293">
            <w:pPr>
              <w:pStyle w:val="CellColumn"/>
              <w:jc w:val="right"/>
            </w:pPr>
            <w:r>
              <w:rPr>
                <w:rFonts w:cs="Times New Roman"/>
              </w:rPr>
              <w:t>97,9</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"Nagradi Vladimir Nazor" (NN 27/91)  </w:t>
      </w:r>
    </w:p>
    <w:p w:rsidR="005C2091" w:rsidRDefault="00A86293">
      <w:r>
        <w:t xml:space="preserve">Zakon o "Nagradi Iso Velikanović" (NN 46/92)  </w:t>
      </w:r>
    </w:p>
    <w:p w:rsidR="005C2091" w:rsidRDefault="00A86293">
      <w:r>
        <w:t xml:space="preserve">Zakon o "Nagradi Vicko Andrić" (NN 82/05, 33/13)  </w:t>
      </w:r>
    </w:p>
    <w:p w:rsidR="005C2091" w:rsidRDefault="00A86293">
      <w:r>
        <w:t>Nagrada Marin Držić</w:t>
      </w:r>
    </w:p>
    <w:p w:rsidR="005C2091" w:rsidRDefault="00A86293">
      <w:pPr>
        <w:pStyle w:val="Heading8"/>
        <w:jc w:val="left"/>
      </w:pPr>
      <w:r>
        <w:t>Opis aktivnosti</w:t>
      </w:r>
    </w:p>
    <w:p w:rsidR="005C2091" w:rsidRDefault="00A86293">
      <w:r>
        <w:t xml:space="preserve">Nagrade za postignuća u kulturi dodjeljivane su istaknutim pojedincima ili kolektivnim ostvarenjima za promicanje osobitih postignuća u kulturi i umjetničkom stvaralaštvu. </w:t>
      </w:r>
    </w:p>
    <w:p w:rsidR="005C2091" w:rsidRDefault="00A86293">
      <w:r>
        <w:t xml:space="preserve">Dodijeljene su slijedeće nagrade: "Nagrada Vladimir Nazor" - za umjetnička ostvarenja na području književnosti, glazbe, filma, likovnih i primijenjenih umjetnosti, kazališne umjetnosti te arhitekture i urbanizma; „Nagrada Iso Velikanović“ - za ostvarenja na području prevođenja književnih djela; „Nagrada Vicko Andrić“ - za postignuća u zaštiti kulturne baštine; „Nagrada Marin Držić“ - za poticanje hrvatskog dramskog i kazališnog stvaralaštva. </w:t>
      </w:r>
    </w:p>
    <w:p w:rsidR="005C2091" w:rsidRDefault="00A86293">
      <w:r>
        <w:t>U 2016. godini nije bilo odstupanja od plana. Program je u cijelosti izvršen.</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CC7C79">
            <w:pPr>
              <w:pStyle w:val="CellColumn"/>
              <w:spacing w:after="0"/>
              <w:jc w:val="left"/>
            </w:pPr>
            <w:r>
              <w:rPr>
                <w:rFonts w:cs="Times New Roman"/>
              </w:rPr>
              <w:t xml:space="preserve">Stabilan broj nagrada u </w:t>
            </w:r>
          </w:p>
          <w:p w:rsidR="005C2091" w:rsidRDefault="00A86293" w:rsidP="00CC7C79">
            <w:pPr>
              <w:pStyle w:val="CellColumn"/>
              <w:spacing w:after="0"/>
              <w:jc w:val="left"/>
            </w:pPr>
            <w:r>
              <w:rPr>
                <w:rFonts w:cs="Times New Roman"/>
              </w:rPr>
              <w:t>kulturi i umjetnosti</w:t>
            </w:r>
          </w:p>
        </w:tc>
        <w:tc>
          <w:tcPr>
            <w:tcW w:w="2551" w:type="dxa"/>
          </w:tcPr>
          <w:p w:rsidR="005C2091" w:rsidRDefault="00A86293" w:rsidP="00CC7C79">
            <w:pPr>
              <w:pStyle w:val="CellColumn"/>
              <w:spacing w:after="0"/>
              <w:jc w:val="left"/>
            </w:pPr>
            <w:r>
              <w:rPr>
                <w:rFonts w:cs="Times New Roman"/>
              </w:rPr>
              <w:t xml:space="preserve">Osobita postignuć a u kulturi </w:t>
            </w:r>
          </w:p>
          <w:p w:rsidR="005C2091" w:rsidRDefault="00A86293" w:rsidP="00CC7C79">
            <w:pPr>
              <w:pStyle w:val="CellColumn"/>
              <w:spacing w:after="0"/>
              <w:jc w:val="left"/>
            </w:pPr>
            <w:r>
              <w:rPr>
                <w:rFonts w:cs="Times New Roman"/>
              </w:rPr>
              <w:t xml:space="preserve">i umjetničk om </w:t>
            </w:r>
          </w:p>
          <w:p w:rsidR="005C2091" w:rsidRDefault="00CC7C79" w:rsidP="00CC7C79">
            <w:pPr>
              <w:pStyle w:val="CellColumn"/>
              <w:spacing w:after="0"/>
              <w:jc w:val="left"/>
            </w:pPr>
            <w:r>
              <w:rPr>
                <w:rFonts w:cs="Times New Roman"/>
              </w:rPr>
              <w:t>stvaralašt</w:t>
            </w:r>
            <w:r w:rsidR="00A86293">
              <w:rPr>
                <w:rFonts w:cs="Times New Roman"/>
              </w:rPr>
              <w:t xml:space="preserve">vu iskazivat će se </w:t>
            </w:r>
          </w:p>
          <w:p w:rsidR="005C2091" w:rsidRDefault="00CC7C79" w:rsidP="00CC7C79">
            <w:pPr>
              <w:pStyle w:val="CellColumn"/>
              <w:spacing w:after="0"/>
              <w:jc w:val="left"/>
            </w:pPr>
            <w:r>
              <w:rPr>
                <w:rFonts w:cs="Times New Roman"/>
              </w:rPr>
              <w:t>kontinuira</w:t>
            </w:r>
            <w:r w:rsidR="00A86293">
              <w:rPr>
                <w:rFonts w:cs="Times New Roman"/>
              </w:rPr>
              <w:t xml:space="preserve">nim </w:t>
            </w:r>
            <w:r>
              <w:rPr>
                <w:rFonts w:cs="Times New Roman"/>
              </w:rPr>
              <w:t>nagrađiva</w:t>
            </w:r>
            <w:r w:rsidR="00A86293">
              <w:rPr>
                <w:rFonts w:cs="Times New Roman"/>
              </w:rPr>
              <w:t xml:space="preserve">njem </w:t>
            </w:r>
          </w:p>
          <w:p w:rsidR="005C2091" w:rsidRDefault="00CC7C79" w:rsidP="00CC7C79">
            <w:pPr>
              <w:pStyle w:val="CellColumn"/>
              <w:spacing w:after="0"/>
              <w:jc w:val="left"/>
            </w:pPr>
            <w:r>
              <w:rPr>
                <w:rFonts w:cs="Times New Roman"/>
              </w:rPr>
              <w:t>sveukupn</w:t>
            </w:r>
            <w:r w:rsidR="00A86293">
              <w:rPr>
                <w:rFonts w:cs="Times New Roman"/>
              </w:rPr>
              <w:t xml:space="preserve">og djela i iznimnih </w:t>
            </w:r>
          </w:p>
          <w:p w:rsidR="005C2091" w:rsidRDefault="00CC7C79" w:rsidP="00CC7C79">
            <w:pPr>
              <w:pStyle w:val="CellColumn"/>
              <w:spacing w:after="0"/>
              <w:jc w:val="left"/>
            </w:pPr>
            <w:r>
              <w:rPr>
                <w:rFonts w:cs="Times New Roman"/>
              </w:rPr>
              <w:t>ostvarenj</w:t>
            </w:r>
            <w:r w:rsidR="00A86293">
              <w:rPr>
                <w:rFonts w:cs="Times New Roman"/>
              </w:rPr>
              <w:t>a</w:t>
            </w:r>
          </w:p>
        </w:tc>
        <w:tc>
          <w:tcPr>
            <w:tcW w:w="1020" w:type="dxa"/>
          </w:tcPr>
          <w:p w:rsidR="005C2091" w:rsidRDefault="00A86293" w:rsidP="00CC7C79">
            <w:pPr>
              <w:pStyle w:val="CellColumn"/>
              <w:spacing w:after="0"/>
              <w:jc w:val="right"/>
            </w:pPr>
            <w:r>
              <w:rPr>
                <w:rFonts w:cs="Times New Roman"/>
              </w:rPr>
              <w:t>Broj</w:t>
            </w:r>
          </w:p>
        </w:tc>
        <w:tc>
          <w:tcPr>
            <w:tcW w:w="1020" w:type="dxa"/>
          </w:tcPr>
          <w:p w:rsidR="005C2091" w:rsidRDefault="00A86293" w:rsidP="00CC7C79">
            <w:pPr>
              <w:pStyle w:val="CellColumn"/>
              <w:spacing w:after="0"/>
              <w:jc w:val="right"/>
            </w:pPr>
            <w:r>
              <w:rPr>
                <w:rFonts w:cs="Times New Roman"/>
              </w:rPr>
              <w:t>16</w:t>
            </w:r>
          </w:p>
        </w:tc>
        <w:tc>
          <w:tcPr>
            <w:tcW w:w="1020" w:type="dxa"/>
          </w:tcPr>
          <w:p w:rsidR="005C2091" w:rsidRDefault="00A86293" w:rsidP="00CC7C79">
            <w:pPr>
              <w:pStyle w:val="CellColumn"/>
              <w:spacing w:after="0"/>
              <w:jc w:val="right"/>
            </w:pPr>
            <w:r>
              <w:rPr>
                <w:rFonts w:cs="Times New Roman"/>
              </w:rPr>
              <w:t>MK</w:t>
            </w:r>
          </w:p>
        </w:tc>
        <w:tc>
          <w:tcPr>
            <w:tcW w:w="1020" w:type="dxa"/>
          </w:tcPr>
          <w:p w:rsidR="005C2091" w:rsidRDefault="00A86293" w:rsidP="00CC7C79">
            <w:pPr>
              <w:pStyle w:val="CellColumn"/>
              <w:spacing w:after="0"/>
              <w:jc w:val="right"/>
            </w:pPr>
            <w:r>
              <w:rPr>
                <w:rFonts w:cs="Times New Roman"/>
              </w:rPr>
              <w:t>16</w:t>
            </w:r>
          </w:p>
        </w:tc>
        <w:tc>
          <w:tcPr>
            <w:tcW w:w="1020" w:type="dxa"/>
          </w:tcPr>
          <w:p w:rsidR="005C2091" w:rsidRDefault="00A86293" w:rsidP="00CC7C79">
            <w:pPr>
              <w:pStyle w:val="CellColumn"/>
              <w:spacing w:after="0"/>
              <w:jc w:val="right"/>
            </w:pPr>
            <w:r>
              <w:rPr>
                <w:rFonts w:cs="Times New Roman"/>
              </w:rPr>
              <w:t>16</w:t>
            </w:r>
          </w:p>
        </w:tc>
      </w:tr>
    </w:tbl>
    <w:p w:rsidR="005C2091" w:rsidRDefault="005C2091">
      <w:pPr>
        <w:jc w:val="left"/>
      </w:pPr>
    </w:p>
    <w:p w:rsidR="005C2091" w:rsidRDefault="00A86293">
      <w:pPr>
        <w:pStyle w:val="Heading4"/>
      </w:pPr>
      <w:r>
        <w:t>A565015 ZDRAVSTVENO I MIROVINSKO OSIGURANJE UMJETNIKA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A565015-ZDRAVSTVENO I MIROVINSKO OSIGURANJE UMJETNIKA</w:t>
            </w:r>
          </w:p>
        </w:tc>
        <w:tc>
          <w:tcPr>
            <w:tcW w:w="2041" w:type="dxa"/>
          </w:tcPr>
          <w:p w:rsidR="005C2091" w:rsidRDefault="00A86293">
            <w:pPr>
              <w:pStyle w:val="CellColumn"/>
              <w:jc w:val="right"/>
            </w:pPr>
            <w:r>
              <w:rPr>
                <w:rFonts w:cs="Times New Roman"/>
              </w:rPr>
              <w:t>33.812.051</w:t>
            </w:r>
          </w:p>
        </w:tc>
        <w:tc>
          <w:tcPr>
            <w:tcW w:w="2041" w:type="dxa"/>
          </w:tcPr>
          <w:p w:rsidR="005C2091" w:rsidRDefault="00A86293">
            <w:pPr>
              <w:pStyle w:val="CellColumn"/>
              <w:jc w:val="right"/>
            </w:pPr>
            <w:r>
              <w:rPr>
                <w:rFonts w:cs="Times New Roman"/>
              </w:rPr>
              <w:t>37.251.767</w:t>
            </w:r>
          </w:p>
        </w:tc>
        <w:tc>
          <w:tcPr>
            <w:tcW w:w="2041" w:type="dxa"/>
          </w:tcPr>
          <w:p w:rsidR="005C2091" w:rsidRDefault="00A86293">
            <w:pPr>
              <w:pStyle w:val="CellColumn"/>
              <w:jc w:val="right"/>
            </w:pPr>
            <w:r>
              <w:rPr>
                <w:rFonts w:cs="Times New Roman"/>
              </w:rPr>
              <w:t>37.251.767</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110,2</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pravima samostalnih umjetnika i poticanju kulturnog i umjetničkog stvaralaštva ( NN43/96, 44/96) </w:t>
      </w:r>
    </w:p>
    <w:p w:rsidR="005C2091" w:rsidRDefault="00A86293">
      <w:r>
        <w:t>Pravilnik o načinu i uvjetima za priznavanje prava samostalnih umjetnika na uplatu obveznih doprinosa za mirovinsko i zdravstveno osiguranje iz sredstava proračuna Republike Hrvatske (NN 91/15)</w:t>
      </w:r>
    </w:p>
    <w:p w:rsidR="005C2091" w:rsidRDefault="00A86293">
      <w:pPr>
        <w:pStyle w:val="Heading8"/>
        <w:jc w:val="left"/>
      </w:pPr>
      <w:r>
        <w:t>Opis aktivnosti</w:t>
      </w:r>
    </w:p>
    <w:p w:rsidR="005C2091" w:rsidRDefault="00A86293">
      <w:r>
        <w:t>U okviru ove aktivnosti  u 2016. godini isplaćena su sredstva za 1290 samostalna umjetnika na području likovnog, glazbenog, scenskog, književnog i filmskog stvaralaštva. Sredstva su isplaćena u cijelosti te nije bilo odstupanja od plana.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CC7C79">
            <w:pPr>
              <w:pStyle w:val="CellColumn"/>
              <w:spacing w:after="0"/>
              <w:jc w:val="left"/>
            </w:pPr>
            <w:r>
              <w:rPr>
                <w:rFonts w:cs="Times New Roman"/>
              </w:rPr>
              <w:t xml:space="preserve">Povećanje broja samostalnih </w:t>
            </w:r>
          </w:p>
          <w:p w:rsidR="005C2091" w:rsidRDefault="00A86293" w:rsidP="00CC7C79">
            <w:pPr>
              <w:pStyle w:val="CellColumn"/>
              <w:spacing w:after="0"/>
              <w:jc w:val="left"/>
            </w:pPr>
            <w:r>
              <w:rPr>
                <w:rFonts w:cs="Times New Roman"/>
              </w:rPr>
              <w:t>umjetnika</w:t>
            </w:r>
          </w:p>
        </w:tc>
        <w:tc>
          <w:tcPr>
            <w:tcW w:w="2551" w:type="dxa"/>
          </w:tcPr>
          <w:p w:rsidR="005C2091" w:rsidRDefault="00A86293" w:rsidP="00CC7C79">
            <w:pPr>
              <w:pStyle w:val="CellColumn"/>
              <w:spacing w:after="0"/>
              <w:jc w:val="left"/>
            </w:pPr>
            <w:r>
              <w:rPr>
                <w:rFonts w:cs="Times New Roman"/>
              </w:rPr>
              <w:t xml:space="preserve">Povećanje broja samostalnih </w:t>
            </w:r>
          </w:p>
          <w:p w:rsidR="005C2091" w:rsidRDefault="00A86293" w:rsidP="00CC7C79">
            <w:pPr>
              <w:pStyle w:val="CellColumn"/>
              <w:spacing w:after="0"/>
              <w:jc w:val="left"/>
            </w:pPr>
            <w:r>
              <w:rPr>
                <w:rFonts w:cs="Times New Roman"/>
              </w:rPr>
              <w:t xml:space="preserve">umjetnika iskazivat će stupanj </w:t>
            </w:r>
          </w:p>
          <w:p w:rsidR="005C2091" w:rsidRDefault="00A86293" w:rsidP="00CC7C79">
            <w:pPr>
              <w:pStyle w:val="CellColumn"/>
              <w:spacing w:after="0"/>
              <w:jc w:val="left"/>
            </w:pPr>
            <w:r>
              <w:rPr>
                <w:rFonts w:cs="Times New Roman"/>
              </w:rPr>
              <w:t xml:space="preserve">potpore umjetničkoj </w:t>
            </w:r>
          </w:p>
          <w:p w:rsidR="005C2091" w:rsidRDefault="00A86293" w:rsidP="00CC7C79">
            <w:pPr>
              <w:pStyle w:val="CellColumn"/>
              <w:spacing w:after="0"/>
              <w:jc w:val="left"/>
            </w:pPr>
            <w:r>
              <w:rPr>
                <w:rFonts w:cs="Times New Roman"/>
              </w:rPr>
              <w:t>djelatnosti</w:t>
            </w:r>
          </w:p>
        </w:tc>
        <w:tc>
          <w:tcPr>
            <w:tcW w:w="1020" w:type="dxa"/>
          </w:tcPr>
          <w:p w:rsidR="005C2091" w:rsidRDefault="00A86293" w:rsidP="00CC7C79">
            <w:pPr>
              <w:pStyle w:val="CellColumn"/>
              <w:spacing w:after="0"/>
              <w:jc w:val="right"/>
            </w:pPr>
            <w:r>
              <w:rPr>
                <w:rFonts w:cs="Times New Roman"/>
              </w:rPr>
              <w:t>Broj</w:t>
            </w:r>
          </w:p>
        </w:tc>
        <w:tc>
          <w:tcPr>
            <w:tcW w:w="1020" w:type="dxa"/>
          </w:tcPr>
          <w:p w:rsidR="005C2091" w:rsidRDefault="00A86293" w:rsidP="00CC7C79">
            <w:pPr>
              <w:pStyle w:val="CellColumn"/>
              <w:spacing w:after="0"/>
              <w:jc w:val="right"/>
            </w:pPr>
            <w:r>
              <w:rPr>
                <w:rFonts w:cs="Times New Roman"/>
              </w:rPr>
              <w:t>1338</w:t>
            </w:r>
          </w:p>
        </w:tc>
        <w:tc>
          <w:tcPr>
            <w:tcW w:w="1020" w:type="dxa"/>
          </w:tcPr>
          <w:p w:rsidR="005C2091" w:rsidRDefault="00A86293" w:rsidP="00CC7C79">
            <w:pPr>
              <w:pStyle w:val="CellColumn"/>
              <w:spacing w:after="0"/>
              <w:jc w:val="right"/>
            </w:pPr>
            <w:r>
              <w:rPr>
                <w:rFonts w:cs="Times New Roman"/>
              </w:rPr>
              <w:t>HZSU, MK</w:t>
            </w:r>
          </w:p>
        </w:tc>
        <w:tc>
          <w:tcPr>
            <w:tcW w:w="1020" w:type="dxa"/>
          </w:tcPr>
          <w:p w:rsidR="005C2091" w:rsidRDefault="00A86293" w:rsidP="00CC7C79">
            <w:pPr>
              <w:pStyle w:val="CellColumn"/>
              <w:spacing w:after="0"/>
              <w:jc w:val="right"/>
            </w:pPr>
            <w:r>
              <w:rPr>
                <w:rFonts w:cs="Times New Roman"/>
              </w:rPr>
              <w:t>1350</w:t>
            </w:r>
          </w:p>
        </w:tc>
        <w:tc>
          <w:tcPr>
            <w:tcW w:w="1020" w:type="dxa"/>
          </w:tcPr>
          <w:p w:rsidR="005C2091" w:rsidRDefault="00A86293" w:rsidP="00CC7C79">
            <w:pPr>
              <w:pStyle w:val="CellColumn"/>
              <w:spacing w:after="0"/>
              <w:jc w:val="right"/>
            </w:pPr>
            <w:r>
              <w:rPr>
                <w:rFonts w:cs="Times New Roman"/>
              </w:rPr>
              <w:t>1333</w:t>
            </w:r>
          </w:p>
        </w:tc>
      </w:tr>
    </w:tbl>
    <w:p w:rsidR="005C2091" w:rsidRDefault="005C2091">
      <w:pPr>
        <w:jc w:val="left"/>
      </w:pPr>
    </w:p>
    <w:p w:rsidR="005C2091" w:rsidRDefault="00A86293">
      <w:pPr>
        <w:pStyle w:val="Heading4"/>
      </w:pPr>
      <w:r>
        <w:t>A565021 MATICA HRVATSKA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A565021-MATICA HRVATSKA</w:t>
            </w:r>
          </w:p>
        </w:tc>
        <w:tc>
          <w:tcPr>
            <w:tcW w:w="2041" w:type="dxa"/>
          </w:tcPr>
          <w:p w:rsidR="005C2091" w:rsidRDefault="00A86293">
            <w:pPr>
              <w:pStyle w:val="CellColumn"/>
              <w:jc w:val="right"/>
            </w:pPr>
            <w:r>
              <w:rPr>
                <w:rFonts w:cs="Times New Roman"/>
              </w:rPr>
              <w:t>5.000.000</w:t>
            </w:r>
          </w:p>
        </w:tc>
        <w:tc>
          <w:tcPr>
            <w:tcW w:w="2041" w:type="dxa"/>
          </w:tcPr>
          <w:p w:rsidR="005C2091" w:rsidRDefault="00A86293">
            <w:pPr>
              <w:pStyle w:val="CellColumn"/>
              <w:jc w:val="right"/>
            </w:pPr>
            <w:r>
              <w:rPr>
                <w:rFonts w:cs="Times New Roman"/>
              </w:rPr>
              <w:t>5.000.000</w:t>
            </w:r>
          </w:p>
        </w:tc>
        <w:tc>
          <w:tcPr>
            <w:tcW w:w="2041" w:type="dxa"/>
          </w:tcPr>
          <w:p w:rsidR="005C2091" w:rsidRDefault="00A86293">
            <w:pPr>
              <w:pStyle w:val="CellColumn"/>
              <w:jc w:val="right"/>
            </w:pPr>
            <w:r>
              <w:rPr>
                <w:rFonts w:cs="Times New Roman"/>
              </w:rPr>
              <w:t>5.000.000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Matica hrvatska utemeljena je 1842. godine sa svrhom promicanja nacionalnog i kulturnog identiteta u područjima umjetničkog, znanstvenog i duhovnog stvaralaštva, gospodarstva i javnoga života te skrbi za društveni razvitak. Jedan je od najvećih i najvažnijih nakladnika knjiga i časopisa u Hrvatskoj.   </w:t>
      </w:r>
    </w:p>
    <w:p w:rsidR="005C2091" w:rsidRDefault="00A86293">
      <w:r>
        <w:t>Pravila Matice hrvatske</w:t>
      </w:r>
    </w:p>
    <w:p w:rsidR="005C2091" w:rsidRDefault="00A86293">
      <w:pPr>
        <w:pStyle w:val="Heading8"/>
        <w:jc w:val="left"/>
      </w:pPr>
      <w:r>
        <w:t>Opis aktivnosti</w:t>
      </w:r>
    </w:p>
    <w:p w:rsidR="005C2091" w:rsidRDefault="00A86293">
      <w:r>
        <w:t>Svrha Matice Hrvatske je promicanje narodnog i kulturnog identiteta na područjima umjetničkog, znanstvenog i duhovnog stvaralaštva, gospodarstva i javnog života, te skrb za društveni razvitak.  U 2016. godini nije bilo odstupanja od plana. Sredstva su u cijelosti iskorištena.</w:t>
      </w:r>
    </w:p>
    <w:p w:rsidR="005C2091" w:rsidRDefault="00A86293">
      <w:pPr>
        <w:pStyle w:val="Heading4"/>
      </w:pPr>
      <w:r>
        <w:t>A565033 INOVATIVNE UMJETNIČKE I KULTURNE PRAKSE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A565033-INOVATIVNE UMJETNIČKE I KULTURNE PRAKSE</w:t>
            </w:r>
          </w:p>
        </w:tc>
        <w:tc>
          <w:tcPr>
            <w:tcW w:w="2041" w:type="dxa"/>
          </w:tcPr>
          <w:p w:rsidR="005C2091" w:rsidRDefault="00A86293">
            <w:pPr>
              <w:pStyle w:val="CellColumn"/>
              <w:jc w:val="right"/>
            </w:pPr>
            <w:r>
              <w:rPr>
                <w:rFonts w:cs="Times New Roman"/>
              </w:rPr>
              <w:t>5.928.260</w:t>
            </w:r>
          </w:p>
        </w:tc>
        <w:tc>
          <w:tcPr>
            <w:tcW w:w="2041" w:type="dxa"/>
          </w:tcPr>
          <w:p w:rsidR="005C2091" w:rsidRDefault="00A86293">
            <w:pPr>
              <w:pStyle w:val="CellColumn"/>
              <w:jc w:val="right"/>
            </w:pPr>
            <w:r>
              <w:rPr>
                <w:rFonts w:cs="Times New Roman"/>
              </w:rPr>
              <w:t>7.042.675</w:t>
            </w:r>
          </w:p>
        </w:tc>
        <w:tc>
          <w:tcPr>
            <w:tcW w:w="2041" w:type="dxa"/>
          </w:tcPr>
          <w:p w:rsidR="005C2091" w:rsidRDefault="00A86293">
            <w:pPr>
              <w:pStyle w:val="CellColumn"/>
              <w:jc w:val="right"/>
            </w:pPr>
            <w:r>
              <w:rPr>
                <w:rFonts w:cs="Times New Roman"/>
              </w:rPr>
              <w:t>7.189.835</w:t>
            </w:r>
          </w:p>
        </w:tc>
        <w:tc>
          <w:tcPr>
            <w:tcW w:w="1224" w:type="dxa"/>
          </w:tcPr>
          <w:p w:rsidR="005C2091" w:rsidRDefault="00A86293">
            <w:pPr>
              <w:pStyle w:val="CellColumn"/>
              <w:jc w:val="right"/>
            </w:pPr>
            <w:r>
              <w:rPr>
                <w:rFonts w:cs="Times New Roman"/>
              </w:rPr>
              <w:t>102,1</w:t>
            </w:r>
          </w:p>
        </w:tc>
        <w:tc>
          <w:tcPr>
            <w:tcW w:w="1224" w:type="dxa"/>
          </w:tcPr>
          <w:p w:rsidR="005C2091" w:rsidRDefault="00A86293">
            <w:pPr>
              <w:pStyle w:val="CellColumn"/>
              <w:jc w:val="right"/>
            </w:pPr>
            <w:r>
              <w:rPr>
                <w:rFonts w:cs="Times New Roman"/>
              </w:rPr>
              <w:t>121,3</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izboru i utvrđivanju programa javnih potreba u kulturi (NN 69/12, 44/13, 91/13, 72/15)  </w:t>
      </w:r>
    </w:p>
    <w:p w:rsidR="005C2091" w:rsidRDefault="00A86293">
      <w:r>
        <w:t xml:space="preserve">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2016. godinu.  </w:t>
      </w:r>
    </w:p>
    <w:p w:rsidR="005C2091" w:rsidRDefault="00A86293">
      <w:r>
        <w:t>Uredba o kriterijima za utvrđivanje korisnika u načinu raspodjele dijela prihoda od igara na sreću za 2016. godinu (NN 38/16).</w:t>
      </w:r>
    </w:p>
    <w:p w:rsidR="005C2091" w:rsidRDefault="00A86293">
      <w:pPr>
        <w:pStyle w:val="Heading8"/>
        <w:jc w:val="left"/>
      </w:pPr>
      <w:r>
        <w:t>Opis aktivnosti</w:t>
      </w:r>
    </w:p>
    <w:p w:rsidR="00CC7C79" w:rsidRDefault="00A86293">
      <w:r>
        <w:t>U okviru ove aktivnosti osigurana su sredstva za projekte, manifestacije, umjetničke produkcije. Aktivnost je usmjerena na suvremeno vizualno stvaralaštvo, unapređenje i zaštitu slobode vizualnog djelovanja, umjetničko usavršavanje, kreativno stvaralaštvo, očuvanje likovne nacionalne baštine i kulturne raznolikosti te razvoj i promidžbu vizualnih umjetnosti. U 2016. godini nije bilo odstupanja od plana. Sredstva su u cijelosti utrošena.</w:t>
      </w:r>
    </w:p>
    <w:p w:rsidR="003B4A74" w:rsidRDefault="003B4A74"/>
    <w:p w:rsidR="003B4A74" w:rsidRDefault="003B4A74"/>
    <w:p w:rsidR="003B4A74" w:rsidRDefault="003B4A74"/>
    <w:p w:rsidR="003B4A74" w:rsidRDefault="003B4A74"/>
    <w:p w:rsidR="003B4A74" w:rsidRDefault="003B4A74"/>
    <w:p w:rsidR="003B4A74" w:rsidRDefault="003B4A74"/>
    <w:p w:rsidR="003B4A74" w:rsidRDefault="003B4A74"/>
    <w:p w:rsidR="003B4A74" w:rsidRDefault="003B4A74"/>
    <w:p w:rsidR="003B4A74" w:rsidRDefault="003B4A74"/>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CC7C79">
            <w:pPr>
              <w:pStyle w:val="CellColumn"/>
              <w:spacing w:after="0"/>
              <w:jc w:val="left"/>
            </w:pPr>
            <w:r>
              <w:rPr>
                <w:rFonts w:cs="Times New Roman"/>
              </w:rPr>
              <w:t xml:space="preserve">Zadržava nje broja potpora za </w:t>
            </w:r>
          </w:p>
          <w:p w:rsidR="005C2091" w:rsidRDefault="003B4A74" w:rsidP="00CC7C79">
            <w:pPr>
              <w:pStyle w:val="CellColumn"/>
              <w:spacing w:after="0"/>
              <w:jc w:val="left"/>
            </w:pPr>
            <w:r>
              <w:rPr>
                <w:rFonts w:cs="Times New Roman"/>
              </w:rPr>
              <w:t>cjelogodiš</w:t>
            </w:r>
            <w:r w:rsidR="00A86293">
              <w:rPr>
                <w:rFonts w:cs="Times New Roman"/>
              </w:rPr>
              <w:t xml:space="preserve">nje </w:t>
            </w:r>
            <w:r>
              <w:rPr>
                <w:rFonts w:cs="Times New Roman"/>
              </w:rPr>
              <w:t xml:space="preserve">programe </w:t>
            </w:r>
            <w:r w:rsidR="00A86293">
              <w:rPr>
                <w:rFonts w:cs="Times New Roman"/>
              </w:rPr>
              <w:t xml:space="preserve">kulturnih klubova, centara i </w:t>
            </w:r>
          </w:p>
          <w:p w:rsidR="005C2091" w:rsidRDefault="003B4A74" w:rsidP="00CC7C79">
            <w:pPr>
              <w:pStyle w:val="CellColumn"/>
              <w:spacing w:after="0"/>
              <w:jc w:val="left"/>
            </w:pPr>
            <w:r>
              <w:rPr>
                <w:rFonts w:cs="Times New Roman"/>
              </w:rPr>
              <w:t>organizac</w:t>
            </w:r>
            <w:r w:rsidR="00A86293">
              <w:rPr>
                <w:rFonts w:cs="Times New Roman"/>
              </w:rPr>
              <w:t xml:space="preserve">ija, </w:t>
            </w:r>
            <w:r>
              <w:rPr>
                <w:rFonts w:cs="Times New Roman"/>
              </w:rPr>
              <w:t>cjelogodiš</w:t>
            </w:r>
            <w:r w:rsidR="00A86293">
              <w:rPr>
                <w:rFonts w:cs="Times New Roman"/>
              </w:rPr>
              <w:t xml:space="preserve">nje </w:t>
            </w:r>
            <w:r>
              <w:rPr>
                <w:rFonts w:cs="Times New Roman"/>
              </w:rPr>
              <w:t>umjetničk</w:t>
            </w:r>
            <w:r w:rsidR="00A86293">
              <w:rPr>
                <w:rFonts w:cs="Times New Roman"/>
              </w:rPr>
              <w:t xml:space="preserve">e </w:t>
            </w:r>
            <w:r>
              <w:rPr>
                <w:rFonts w:cs="Times New Roman"/>
              </w:rPr>
              <w:t xml:space="preserve">programe, </w:t>
            </w:r>
            <w:r w:rsidR="00A86293">
              <w:rPr>
                <w:rFonts w:cs="Times New Roman"/>
              </w:rPr>
              <w:t>programe informacijskih i/ili resursnih centara te klubova mladih</w:t>
            </w:r>
          </w:p>
        </w:tc>
        <w:tc>
          <w:tcPr>
            <w:tcW w:w="2551" w:type="dxa"/>
          </w:tcPr>
          <w:p w:rsidR="005C2091" w:rsidRDefault="00A86293" w:rsidP="00CC7C79">
            <w:pPr>
              <w:pStyle w:val="CellColumn"/>
              <w:spacing w:after="0"/>
              <w:jc w:val="left"/>
            </w:pPr>
            <w:r>
              <w:rPr>
                <w:rFonts w:cs="Times New Roman"/>
              </w:rPr>
              <w:t xml:space="preserve">Programi koji pridonose </w:t>
            </w:r>
          </w:p>
          <w:p w:rsidR="005C2091" w:rsidRDefault="003B4A74" w:rsidP="00CC7C79">
            <w:pPr>
              <w:pStyle w:val="CellColumn"/>
              <w:spacing w:after="0"/>
              <w:jc w:val="left"/>
            </w:pPr>
            <w:r>
              <w:rPr>
                <w:rFonts w:cs="Times New Roman"/>
              </w:rPr>
              <w:t>permanen</w:t>
            </w:r>
            <w:r w:rsidR="00A86293">
              <w:rPr>
                <w:rFonts w:cs="Times New Roman"/>
              </w:rPr>
              <w:t xml:space="preserve">tnoj aktivnosti u </w:t>
            </w:r>
          </w:p>
          <w:p w:rsidR="005C2091" w:rsidRDefault="00A86293" w:rsidP="00CC7C79">
            <w:pPr>
              <w:pStyle w:val="CellColumn"/>
              <w:spacing w:after="0"/>
              <w:jc w:val="left"/>
            </w:pPr>
            <w:r>
              <w:rPr>
                <w:rFonts w:cs="Times New Roman"/>
              </w:rPr>
              <w:t xml:space="preserve">realizaciji </w:t>
            </w:r>
            <w:r w:rsidR="003B4A74">
              <w:rPr>
                <w:rFonts w:cs="Times New Roman"/>
              </w:rPr>
              <w:t>i profiliranj</w:t>
            </w:r>
            <w:r>
              <w:rPr>
                <w:rFonts w:cs="Times New Roman"/>
              </w:rPr>
              <w:t xml:space="preserve">u </w:t>
            </w:r>
          </w:p>
          <w:p w:rsidR="005C2091" w:rsidRDefault="003B4A74" w:rsidP="00CC7C79">
            <w:pPr>
              <w:pStyle w:val="CellColumn"/>
              <w:spacing w:after="0"/>
              <w:jc w:val="left"/>
            </w:pPr>
            <w:r>
              <w:rPr>
                <w:rFonts w:cs="Times New Roman"/>
              </w:rPr>
              <w:t>cjelogodiš</w:t>
            </w:r>
            <w:r w:rsidR="00A86293">
              <w:rPr>
                <w:rFonts w:cs="Times New Roman"/>
              </w:rPr>
              <w:t xml:space="preserve">njih programa te </w:t>
            </w:r>
          </w:p>
          <w:p w:rsidR="005C2091" w:rsidRDefault="00A86293" w:rsidP="00CC7C79">
            <w:pPr>
              <w:pStyle w:val="CellColumn"/>
              <w:spacing w:after="0"/>
              <w:jc w:val="left"/>
            </w:pPr>
            <w:r>
              <w:rPr>
                <w:rFonts w:cs="Times New Roman"/>
              </w:rPr>
              <w:t>osig</w:t>
            </w:r>
            <w:r w:rsidR="003B4A74">
              <w:rPr>
                <w:rFonts w:cs="Times New Roman"/>
              </w:rPr>
              <w:t>urava</w:t>
            </w:r>
            <w:r>
              <w:rPr>
                <w:rFonts w:cs="Times New Roman"/>
              </w:rPr>
              <w:t xml:space="preserve">nju </w:t>
            </w:r>
            <w:r w:rsidR="003B4A74">
              <w:rPr>
                <w:rFonts w:cs="Times New Roman"/>
              </w:rPr>
              <w:t xml:space="preserve">stabilnosti </w:t>
            </w:r>
            <w:r>
              <w:rPr>
                <w:rFonts w:cs="Times New Roman"/>
              </w:rPr>
              <w:t>nezavisne kulturne scene</w:t>
            </w:r>
          </w:p>
        </w:tc>
        <w:tc>
          <w:tcPr>
            <w:tcW w:w="1020" w:type="dxa"/>
          </w:tcPr>
          <w:p w:rsidR="005C2091" w:rsidRDefault="00A86293" w:rsidP="00CC7C79">
            <w:pPr>
              <w:pStyle w:val="CellColumn"/>
              <w:spacing w:after="0"/>
              <w:jc w:val="right"/>
            </w:pPr>
            <w:r>
              <w:rPr>
                <w:rFonts w:cs="Times New Roman"/>
              </w:rPr>
              <w:t>Broj</w:t>
            </w:r>
          </w:p>
        </w:tc>
        <w:tc>
          <w:tcPr>
            <w:tcW w:w="1020" w:type="dxa"/>
          </w:tcPr>
          <w:p w:rsidR="005C2091" w:rsidRDefault="00A86293" w:rsidP="00CC7C79">
            <w:pPr>
              <w:pStyle w:val="CellColumn"/>
              <w:spacing w:after="0"/>
              <w:jc w:val="right"/>
            </w:pPr>
            <w:r>
              <w:rPr>
                <w:rFonts w:cs="Times New Roman"/>
              </w:rPr>
              <w:t>63</w:t>
            </w:r>
          </w:p>
        </w:tc>
        <w:tc>
          <w:tcPr>
            <w:tcW w:w="1020" w:type="dxa"/>
          </w:tcPr>
          <w:p w:rsidR="005C2091" w:rsidRDefault="00A86293" w:rsidP="00CC7C79">
            <w:pPr>
              <w:pStyle w:val="CellColumn"/>
              <w:spacing w:after="0"/>
              <w:jc w:val="right"/>
            </w:pPr>
            <w:r>
              <w:rPr>
                <w:rFonts w:cs="Times New Roman"/>
              </w:rPr>
              <w:t>MK</w:t>
            </w:r>
          </w:p>
        </w:tc>
        <w:tc>
          <w:tcPr>
            <w:tcW w:w="1020" w:type="dxa"/>
          </w:tcPr>
          <w:p w:rsidR="005C2091" w:rsidRDefault="00A86293" w:rsidP="00CC7C79">
            <w:pPr>
              <w:pStyle w:val="CellColumn"/>
              <w:spacing w:after="0"/>
              <w:jc w:val="right"/>
            </w:pPr>
            <w:r>
              <w:rPr>
                <w:rFonts w:cs="Times New Roman"/>
              </w:rPr>
              <w:t>63</w:t>
            </w:r>
          </w:p>
        </w:tc>
        <w:tc>
          <w:tcPr>
            <w:tcW w:w="1020" w:type="dxa"/>
          </w:tcPr>
          <w:p w:rsidR="005C2091" w:rsidRDefault="00A86293" w:rsidP="00CC7C79">
            <w:pPr>
              <w:pStyle w:val="CellColumn"/>
              <w:spacing w:after="0"/>
              <w:jc w:val="right"/>
            </w:pPr>
            <w:r>
              <w:rPr>
                <w:rFonts w:cs="Times New Roman"/>
              </w:rPr>
              <w:t>63</w:t>
            </w:r>
          </w:p>
        </w:tc>
      </w:tr>
      <w:tr w:rsidR="005C2091">
        <w:trPr>
          <w:jc w:val="center"/>
        </w:trPr>
        <w:tc>
          <w:tcPr>
            <w:tcW w:w="2551" w:type="dxa"/>
          </w:tcPr>
          <w:p w:rsidR="005C2091" w:rsidRDefault="003B4A74" w:rsidP="00CC7C79">
            <w:pPr>
              <w:pStyle w:val="CellColumn"/>
              <w:spacing w:after="0"/>
              <w:jc w:val="left"/>
            </w:pPr>
            <w:r>
              <w:rPr>
                <w:rFonts w:cs="Times New Roman"/>
              </w:rPr>
              <w:t>Povećanj</w:t>
            </w:r>
            <w:r w:rsidR="00A86293">
              <w:rPr>
                <w:rFonts w:cs="Times New Roman"/>
              </w:rPr>
              <w:t xml:space="preserve">e broja potpora za </w:t>
            </w:r>
          </w:p>
          <w:p w:rsidR="005C2091" w:rsidRDefault="00A86293" w:rsidP="00CC7C79">
            <w:pPr>
              <w:pStyle w:val="CellColumn"/>
              <w:spacing w:after="0"/>
              <w:jc w:val="left"/>
            </w:pPr>
            <w:r>
              <w:rPr>
                <w:rFonts w:cs="Times New Roman"/>
              </w:rPr>
              <w:t xml:space="preserve">razvojne inovativne programe </w:t>
            </w:r>
          </w:p>
          <w:p w:rsidR="005C2091" w:rsidRDefault="00A86293" w:rsidP="00CC7C79">
            <w:pPr>
              <w:pStyle w:val="CellColumn"/>
              <w:spacing w:after="0"/>
              <w:jc w:val="left"/>
            </w:pPr>
            <w:r>
              <w:rPr>
                <w:rFonts w:cs="Times New Roman"/>
              </w:rPr>
              <w:t xml:space="preserve">/projekte novih kulturnih </w:t>
            </w:r>
          </w:p>
          <w:p w:rsidR="005C2091" w:rsidRDefault="00A86293" w:rsidP="00CC7C79">
            <w:pPr>
              <w:pStyle w:val="CellColumn"/>
              <w:spacing w:after="0"/>
              <w:jc w:val="left"/>
            </w:pPr>
            <w:r>
              <w:rPr>
                <w:rFonts w:cs="Times New Roman"/>
              </w:rPr>
              <w:t xml:space="preserve">praksi i umjetničk u </w:t>
            </w:r>
            <w:r w:rsidR="003B4A74">
              <w:rPr>
                <w:rFonts w:cs="Times New Roman"/>
              </w:rPr>
              <w:t>produkcij</w:t>
            </w:r>
            <w:r>
              <w:rPr>
                <w:rFonts w:cs="Times New Roman"/>
              </w:rPr>
              <w:t>u</w:t>
            </w:r>
          </w:p>
        </w:tc>
        <w:tc>
          <w:tcPr>
            <w:tcW w:w="2551" w:type="dxa"/>
          </w:tcPr>
          <w:p w:rsidR="005C2091" w:rsidRDefault="00A86293" w:rsidP="00CC7C79">
            <w:pPr>
              <w:pStyle w:val="CellColumn"/>
              <w:spacing w:after="0"/>
              <w:jc w:val="left"/>
            </w:pPr>
            <w:r>
              <w:rPr>
                <w:rFonts w:cs="Times New Roman"/>
              </w:rPr>
              <w:t xml:space="preserve">Programi koji pridonose </w:t>
            </w:r>
          </w:p>
          <w:p w:rsidR="005C2091" w:rsidRDefault="00A86293" w:rsidP="00CC7C79">
            <w:pPr>
              <w:pStyle w:val="CellColumn"/>
              <w:spacing w:after="0"/>
              <w:jc w:val="left"/>
            </w:pPr>
            <w:r>
              <w:rPr>
                <w:rFonts w:cs="Times New Roman"/>
              </w:rPr>
              <w:t xml:space="preserve">razvoju interdiscip linarnog </w:t>
            </w:r>
          </w:p>
          <w:p w:rsidR="005C2091" w:rsidRDefault="00A86293" w:rsidP="00CC7C79">
            <w:pPr>
              <w:pStyle w:val="CellColumn"/>
              <w:spacing w:after="0"/>
              <w:jc w:val="left"/>
            </w:pPr>
            <w:r>
              <w:rPr>
                <w:rFonts w:cs="Times New Roman"/>
              </w:rPr>
              <w:t xml:space="preserve">i/ili  </w:t>
            </w:r>
            <w:r w:rsidR="003B4A74">
              <w:rPr>
                <w:rFonts w:cs="Times New Roman"/>
              </w:rPr>
              <w:t>intermedij</w:t>
            </w:r>
            <w:r>
              <w:rPr>
                <w:rFonts w:cs="Times New Roman"/>
              </w:rPr>
              <w:t xml:space="preserve">alnog </w:t>
            </w:r>
          </w:p>
          <w:p w:rsidR="005C2091" w:rsidRDefault="003B4A74" w:rsidP="00CC7C79">
            <w:pPr>
              <w:pStyle w:val="CellColumn"/>
              <w:spacing w:after="0"/>
              <w:jc w:val="left"/>
            </w:pPr>
            <w:r>
              <w:rPr>
                <w:rFonts w:cs="Times New Roman"/>
              </w:rPr>
              <w:t>umjetničk</w:t>
            </w:r>
            <w:r w:rsidR="00A86293">
              <w:rPr>
                <w:rFonts w:cs="Times New Roman"/>
              </w:rPr>
              <w:t xml:space="preserve">og </w:t>
            </w:r>
            <w:r>
              <w:rPr>
                <w:rFonts w:cs="Times New Roman"/>
              </w:rPr>
              <w:t>stvaralašt</w:t>
            </w:r>
            <w:r w:rsidR="00A86293">
              <w:rPr>
                <w:rFonts w:cs="Times New Roman"/>
              </w:rPr>
              <w:t xml:space="preserve">va su </w:t>
            </w:r>
          </w:p>
          <w:p w:rsidR="005C2091" w:rsidRDefault="00A86293" w:rsidP="00CC7C79">
            <w:pPr>
              <w:pStyle w:val="CellColumn"/>
              <w:spacing w:after="0"/>
              <w:jc w:val="left"/>
            </w:pPr>
            <w:r>
              <w:rPr>
                <w:rFonts w:cs="Times New Roman"/>
              </w:rPr>
              <w:t xml:space="preserve">pokazatelj i stabilnosti </w:t>
            </w:r>
            <w:r w:rsidR="003B4A74">
              <w:rPr>
                <w:rFonts w:cs="Times New Roman"/>
              </w:rPr>
              <w:t>nezavisne</w:t>
            </w:r>
            <w:r>
              <w:rPr>
                <w:rFonts w:cs="Times New Roman"/>
              </w:rPr>
              <w:t xml:space="preserve">scene i </w:t>
            </w:r>
            <w:r w:rsidR="003B4A74">
              <w:rPr>
                <w:rFonts w:cs="Times New Roman"/>
              </w:rPr>
              <w:t>zanimanj</w:t>
            </w:r>
            <w:r>
              <w:rPr>
                <w:rFonts w:cs="Times New Roman"/>
              </w:rPr>
              <w:t xml:space="preserve">a za </w:t>
            </w:r>
          </w:p>
          <w:p w:rsidR="005C2091" w:rsidRDefault="00A86293" w:rsidP="00CC7C79">
            <w:pPr>
              <w:pStyle w:val="CellColumn"/>
              <w:spacing w:after="0"/>
              <w:jc w:val="left"/>
            </w:pPr>
            <w:r>
              <w:rPr>
                <w:rFonts w:cs="Times New Roman"/>
              </w:rPr>
              <w:t xml:space="preserve">programe </w:t>
            </w:r>
            <w:r w:rsidR="003B4A74">
              <w:rPr>
                <w:rFonts w:cs="Times New Roman"/>
              </w:rPr>
              <w:t>inovativnih umjetnički</w:t>
            </w:r>
            <w:r>
              <w:rPr>
                <w:rFonts w:cs="Times New Roman"/>
              </w:rPr>
              <w:t>h i kulturnih praksi</w:t>
            </w:r>
          </w:p>
        </w:tc>
        <w:tc>
          <w:tcPr>
            <w:tcW w:w="1020" w:type="dxa"/>
          </w:tcPr>
          <w:p w:rsidR="005C2091" w:rsidRDefault="00A86293" w:rsidP="00CC7C79">
            <w:pPr>
              <w:pStyle w:val="CellColumn"/>
              <w:spacing w:after="0"/>
              <w:jc w:val="right"/>
            </w:pPr>
            <w:r>
              <w:rPr>
                <w:rFonts w:cs="Times New Roman"/>
              </w:rPr>
              <w:t>Broj</w:t>
            </w:r>
          </w:p>
        </w:tc>
        <w:tc>
          <w:tcPr>
            <w:tcW w:w="1020" w:type="dxa"/>
          </w:tcPr>
          <w:p w:rsidR="005C2091" w:rsidRDefault="00A86293" w:rsidP="00CC7C79">
            <w:pPr>
              <w:pStyle w:val="CellColumn"/>
              <w:spacing w:after="0"/>
              <w:jc w:val="right"/>
            </w:pPr>
            <w:r>
              <w:rPr>
                <w:rFonts w:cs="Times New Roman"/>
              </w:rPr>
              <w:t>108</w:t>
            </w:r>
          </w:p>
        </w:tc>
        <w:tc>
          <w:tcPr>
            <w:tcW w:w="1020" w:type="dxa"/>
          </w:tcPr>
          <w:p w:rsidR="005C2091" w:rsidRDefault="00A86293" w:rsidP="00CC7C79">
            <w:pPr>
              <w:pStyle w:val="CellColumn"/>
              <w:spacing w:after="0"/>
              <w:jc w:val="right"/>
            </w:pPr>
            <w:r>
              <w:rPr>
                <w:rFonts w:cs="Times New Roman"/>
              </w:rPr>
              <w:t>MK</w:t>
            </w:r>
          </w:p>
        </w:tc>
        <w:tc>
          <w:tcPr>
            <w:tcW w:w="1020" w:type="dxa"/>
          </w:tcPr>
          <w:p w:rsidR="005C2091" w:rsidRDefault="00A86293" w:rsidP="00CC7C79">
            <w:pPr>
              <w:pStyle w:val="CellColumn"/>
              <w:spacing w:after="0"/>
              <w:jc w:val="right"/>
            </w:pPr>
            <w:r>
              <w:rPr>
                <w:rFonts w:cs="Times New Roman"/>
              </w:rPr>
              <w:t>110</w:t>
            </w:r>
          </w:p>
        </w:tc>
        <w:tc>
          <w:tcPr>
            <w:tcW w:w="1020" w:type="dxa"/>
          </w:tcPr>
          <w:p w:rsidR="005C2091" w:rsidRDefault="00A86293" w:rsidP="00CC7C79">
            <w:pPr>
              <w:pStyle w:val="CellColumn"/>
              <w:spacing w:after="0"/>
              <w:jc w:val="right"/>
            </w:pPr>
            <w:r>
              <w:rPr>
                <w:rFonts w:cs="Times New Roman"/>
              </w:rPr>
              <w:t>148</w:t>
            </w:r>
          </w:p>
        </w:tc>
      </w:tr>
      <w:tr w:rsidR="005C2091">
        <w:trPr>
          <w:jc w:val="center"/>
        </w:trPr>
        <w:tc>
          <w:tcPr>
            <w:tcW w:w="2551" w:type="dxa"/>
          </w:tcPr>
          <w:p w:rsidR="005C2091" w:rsidRDefault="003B4A74" w:rsidP="00CC7C79">
            <w:pPr>
              <w:pStyle w:val="CellColumn"/>
              <w:spacing w:after="0"/>
              <w:jc w:val="left"/>
            </w:pPr>
            <w:r>
              <w:rPr>
                <w:rFonts w:cs="Times New Roman"/>
              </w:rPr>
              <w:t>Zadržava</w:t>
            </w:r>
            <w:r w:rsidR="00A86293">
              <w:rPr>
                <w:rFonts w:cs="Times New Roman"/>
              </w:rPr>
              <w:t xml:space="preserve">nje broja potpora za </w:t>
            </w:r>
          </w:p>
          <w:p w:rsidR="005C2091" w:rsidRDefault="003B4A74" w:rsidP="00CC7C79">
            <w:pPr>
              <w:pStyle w:val="CellColumn"/>
              <w:spacing w:after="0"/>
              <w:jc w:val="left"/>
            </w:pPr>
            <w:r>
              <w:rPr>
                <w:rFonts w:cs="Times New Roman"/>
              </w:rPr>
              <w:t>edukacijs</w:t>
            </w:r>
            <w:r w:rsidR="00A86293">
              <w:rPr>
                <w:rFonts w:cs="Times New Roman"/>
              </w:rPr>
              <w:t xml:space="preserve">ke i </w:t>
            </w:r>
            <w:r>
              <w:rPr>
                <w:rFonts w:cs="Times New Roman"/>
              </w:rPr>
              <w:t>medijacijs</w:t>
            </w:r>
            <w:r w:rsidR="00A86293">
              <w:rPr>
                <w:rFonts w:cs="Times New Roman"/>
              </w:rPr>
              <w:t xml:space="preserve">ke </w:t>
            </w:r>
          </w:p>
          <w:p w:rsidR="005C2091" w:rsidRDefault="003B4A74" w:rsidP="00CC7C79">
            <w:pPr>
              <w:pStyle w:val="CellColumn"/>
              <w:spacing w:after="0"/>
              <w:jc w:val="left"/>
            </w:pPr>
            <w:r>
              <w:rPr>
                <w:rFonts w:cs="Times New Roman"/>
              </w:rPr>
              <w:t>programe</w:t>
            </w:r>
            <w:r w:rsidR="00A86293">
              <w:rPr>
                <w:rFonts w:cs="Times New Roman"/>
              </w:rPr>
              <w:t xml:space="preserve">/projekte, seminare, </w:t>
            </w:r>
          </w:p>
          <w:p w:rsidR="005C2091" w:rsidRDefault="00A86293" w:rsidP="00CC7C79">
            <w:pPr>
              <w:pStyle w:val="CellColumn"/>
              <w:spacing w:after="0"/>
              <w:jc w:val="left"/>
            </w:pPr>
            <w:r>
              <w:rPr>
                <w:rFonts w:cs="Times New Roman"/>
              </w:rPr>
              <w:t xml:space="preserve">radionice, </w:t>
            </w:r>
            <w:r w:rsidR="003B4A74">
              <w:rPr>
                <w:rFonts w:cs="Times New Roman"/>
              </w:rPr>
              <w:t>predavanj</w:t>
            </w:r>
            <w:r>
              <w:rPr>
                <w:rFonts w:cs="Times New Roman"/>
              </w:rPr>
              <w:t xml:space="preserve">a, debate </w:t>
            </w:r>
          </w:p>
          <w:p w:rsidR="005C2091" w:rsidRDefault="00A86293" w:rsidP="00CC7C79">
            <w:pPr>
              <w:pStyle w:val="CellColumn"/>
              <w:spacing w:after="0"/>
              <w:jc w:val="left"/>
            </w:pPr>
            <w:r>
              <w:rPr>
                <w:rFonts w:cs="Times New Roman"/>
              </w:rPr>
              <w:t>i sl.</w:t>
            </w:r>
          </w:p>
        </w:tc>
        <w:tc>
          <w:tcPr>
            <w:tcW w:w="2551" w:type="dxa"/>
          </w:tcPr>
          <w:p w:rsidR="005C2091" w:rsidRDefault="00A86293" w:rsidP="00CC7C79">
            <w:pPr>
              <w:pStyle w:val="CellColumn"/>
              <w:spacing w:after="0"/>
              <w:jc w:val="left"/>
            </w:pPr>
            <w:r>
              <w:rPr>
                <w:rFonts w:cs="Times New Roman"/>
              </w:rPr>
              <w:t xml:space="preserve">Programi koji pridonose razvoju i jačanju kapaciteta </w:t>
            </w:r>
          </w:p>
          <w:p w:rsidR="005C2091" w:rsidRDefault="00A86293" w:rsidP="00CC7C79">
            <w:pPr>
              <w:pStyle w:val="CellColumn"/>
              <w:spacing w:after="0"/>
              <w:jc w:val="left"/>
            </w:pPr>
            <w:r>
              <w:rPr>
                <w:rFonts w:cs="Times New Roman"/>
              </w:rPr>
              <w:t xml:space="preserve">organizacija nezavisnog </w:t>
            </w:r>
          </w:p>
          <w:p w:rsidR="005C2091" w:rsidRDefault="00A86293" w:rsidP="00CC7C79">
            <w:pPr>
              <w:pStyle w:val="CellColumn"/>
              <w:spacing w:after="0"/>
              <w:jc w:val="left"/>
            </w:pPr>
            <w:r>
              <w:rPr>
                <w:rFonts w:cs="Times New Roman"/>
              </w:rPr>
              <w:t xml:space="preserve">kulturnog sektora koje </w:t>
            </w:r>
          </w:p>
          <w:p w:rsidR="005C2091" w:rsidRDefault="00A86293" w:rsidP="00CC7C79">
            <w:pPr>
              <w:pStyle w:val="CellColumn"/>
              <w:spacing w:after="0"/>
              <w:jc w:val="left"/>
            </w:pPr>
            <w:r>
              <w:rPr>
                <w:rFonts w:cs="Times New Roman"/>
              </w:rPr>
              <w:t xml:space="preserve">razvijaju </w:t>
            </w:r>
            <w:r w:rsidR="003B4A74">
              <w:rPr>
                <w:rFonts w:cs="Times New Roman"/>
              </w:rPr>
              <w:t xml:space="preserve">inovativne </w:t>
            </w:r>
            <w:r>
              <w:rPr>
                <w:rFonts w:cs="Times New Roman"/>
              </w:rPr>
              <w:t xml:space="preserve">umjetničke i kulturne </w:t>
            </w:r>
          </w:p>
          <w:p w:rsidR="005C2091" w:rsidRDefault="00A86293" w:rsidP="00CC7C79">
            <w:pPr>
              <w:pStyle w:val="CellColumn"/>
              <w:spacing w:after="0"/>
              <w:jc w:val="left"/>
            </w:pPr>
            <w:r>
              <w:rPr>
                <w:rFonts w:cs="Times New Roman"/>
              </w:rPr>
              <w:t xml:space="preserve">prakse te uključivanju građana (publike) u kreativne </w:t>
            </w:r>
          </w:p>
          <w:p w:rsidR="005C2091" w:rsidRDefault="00A86293" w:rsidP="00CC7C79">
            <w:pPr>
              <w:pStyle w:val="CellColumn"/>
              <w:spacing w:after="0"/>
              <w:jc w:val="left"/>
            </w:pPr>
            <w:r>
              <w:rPr>
                <w:rFonts w:cs="Times New Roman"/>
              </w:rPr>
              <w:t>procese</w:t>
            </w:r>
          </w:p>
        </w:tc>
        <w:tc>
          <w:tcPr>
            <w:tcW w:w="1020" w:type="dxa"/>
          </w:tcPr>
          <w:p w:rsidR="005C2091" w:rsidRDefault="00A86293" w:rsidP="00CC7C79">
            <w:pPr>
              <w:pStyle w:val="CellColumn"/>
              <w:spacing w:after="0"/>
              <w:jc w:val="right"/>
            </w:pPr>
            <w:r>
              <w:rPr>
                <w:rFonts w:cs="Times New Roman"/>
              </w:rPr>
              <w:t>Broj</w:t>
            </w:r>
          </w:p>
        </w:tc>
        <w:tc>
          <w:tcPr>
            <w:tcW w:w="1020" w:type="dxa"/>
          </w:tcPr>
          <w:p w:rsidR="005C2091" w:rsidRDefault="00A86293" w:rsidP="00CC7C79">
            <w:pPr>
              <w:pStyle w:val="CellColumn"/>
              <w:spacing w:after="0"/>
              <w:jc w:val="right"/>
            </w:pPr>
            <w:r>
              <w:rPr>
                <w:rFonts w:cs="Times New Roman"/>
              </w:rPr>
              <w:t>18</w:t>
            </w:r>
          </w:p>
        </w:tc>
        <w:tc>
          <w:tcPr>
            <w:tcW w:w="1020" w:type="dxa"/>
          </w:tcPr>
          <w:p w:rsidR="005C2091" w:rsidRDefault="00A86293" w:rsidP="00CC7C79">
            <w:pPr>
              <w:pStyle w:val="CellColumn"/>
              <w:spacing w:after="0"/>
              <w:jc w:val="right"/>
            </w:pPr>
            <w:r>
              <w:rPr>
                <w:rFonts w:cs="Times New Roman"/>
              </w:rPr>
              <w:t>MK</w:t>
            </w:r>
          </w:p>
        </w:tc>
        <w:tc>
          <w:tcPr>
            <w:tcW w:w="1020" w:type="dxa"/>
          </w:tcPr>
          <w:p w:rsidR="005C2091" w:rsidRDefault="00A86293" w:rsidP="00CC7C79">
            <w:pPr>
              <w:pStyle w:val="CellColumn"/>
              <w:spacing w:after="0"/>
              <w:jc w:val="right"/>
            </w:pPr>
            <w:r>
              <w:rPr>
                <w:rFonts w:cs="Times New Roman"/>
              </w:rPr>
              <w:t>18</w:t>
            </w:r>
          </w:p>
        </w:tc>
        <w:tc>
          <w:tcPr>
            <w:tcW w:w="1020" w:type="dxa"/>
          </w:tcPr>
          <w:p w:rsidR="005C2091" w:rsidRDefault="00A86293" w:rsidP="00CC7C79">
            <w:pPr>
              <w:pStyle w:val="CellColumn"/>
              <w:spacing w:after="0"/>
              <w:jc w:val="right"/>
            </w:pPr>
            <w:r>
              <w:rPr>
                <w:rFonts w:cs="Times New Roman"/>
              </w:rPr>
              <w:t>25</w:t>
            </w:r>
          </w:p>
        </w:tc>
      </w:tr>
    </w:tbl>
    <w:p w:rsidR="005C2091" w:rsidRDefault="005C2091">
      <w:pPr>
        <w:jc w:val="left"/>
      </w:pPr>
    </w:p>
    <w:p w:rsidR="005C2091" w:rsidRDefault="00A86293">
      <w:pPr>
        <w:pStyle w:val="Heading4"/>
      </w:pPr>
      <w:r>
        <w:t>A565034 MEĐUNARODNA KULTURNA SURADNJA</w:t>
      </w:r>
    </w:p>
    <w:tbl>
      <w:tblPr>
        <w:tblStyle w:val="StilTablice"/>
        <w:tblW w:w="10206" w:type="dxa"/>
        <w:jc w:val="center"/>
        <w:tblLook w:val="04A0" w:firstRow="1" w:lastRow="0" w:firstColumn="1" w:lastColumn="0" w:noHBand="0" w:noVBand="1"/>
      </w:tblPr>
      <w:tblGrid>
        <w:gridCol w:w="1703"/>
        <w:gridCol w:w="2021"/>
        <w:gridCol w:w="2022"/>
        <w:gridCol w:w="2020"/>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A565034-MEĐUNARODNA KULTURNA SURADNJA</w:t>
            </w:r>
          </w:p>
        </w:tc>
        <w:tc>
          <w:tcPr>
            <w:tcW w:w="2041" w:type="dxa"/>
          </w:tcPr>
          <w:p w:rsidR="005C2091" w:rsidRDefault="00A86293">
            <w:pPr>
              <w:pStyle w:val="CellColumn"/>
              <w:jc w:val="right"/>
            </w:pPr>
            <w:r>
              <w:rPr>
                <w:rFonts w:cs="Times New Roman"/>
              </w:rPr>
              <w:t>11.735.857</w:t>
            </w:r>
          </w:p>
        </w:tc>
        <w:tc>
          <w:tcPr>
            <w:tcW w:w="2041" w:type="dxa"/>
          </w:tcPr>
          <w:p w:rsidR="005C2091" w:rsidRDefault="00A86293">
            <w:pPr>
              <w:pStyle w:val="CellColumn"/>
              <w:jc w:val="right"/>
            </w:pPr>
            <w:r>
              <w:rPr>
                <w:rFonts w:cs="Times New Roman"/>
              </w:rPr>
              <w:t>10.912.000</w:t>
            </w:r>
          </w:p>
        </w:tc>
        <w:tc>
          <w:tcPr>
            <w:tcW w:w="2041" w:type="dxa"/>
          </w:tcPr>
          <w:p w:rsidR="005C2091" w:rsidRDefault="00A86293">
            <w:pPr>
              <w:pStyle w:val="CellColumn"/>
              <w:jc w:val="right"/>
            </w:pPr>
            <w:r>
              <w:rPr>
                <w:rFonts w:cs="Times New Roman"/>
              </w:rPr>
              <w:t>9.661.570</w:t>
            </w:r>
          </w:p>
        </w:tc>
        <w:tc>
          <w:tcPr>
            <w:tcW w:w="1224" w:type="dxa"/>
          </w:tcPr>
          <w:p w:rsidR="005C2091" w:rsidRDefault="00A86293">
            <w:pPr>
              <w:pStyle w:val="CellColumn"/>
              <w:jc w:val="right"/>
            </w:pPr>
            <w:r>
              <w:rPr>
                <w:rFonts w:cs="Times New Roman"/>
              </w:rPr>
              <w:t>88,5</w:t>
            </w:r>
          </w:p>
        </w:tc>
        <w:tc>
          <w:tcPr>
            <w:tcW w:w="1224" w:type="dxa"/>
          </w:tcPr>
          <w:p w:rsidR="005C2091" w:rsidRDefault="00A86293">
            <w:pPr>
              <w:pStyle w:val="CellColumn"/>
              <w:jc w:val="right"/>
            </w:pPr>
            <w:r>
              <w:rPr>
                <w:rFonts w:cs="Times New Roman"/>
              </w:rPr>
              <w:t>82,3</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2016. godinu.</w:t>
      </w:r>
    </w:p>
    <w:p w:rsidR="005C2091" w:rsidRDefault="00A86293">
      <w:pPr>
        <w:pStyle w:val="Heading8"/>
        <w:jc w:val="left"/>
      </w:pPr>
      <w:r>
        <w:t>Opis aktivnosti</w:t>
      </w:r>
    </w:p>
    <w:p w:rsidR="005C2091" w:rsidRDefault="00A86293">
      <w:r>
        <w:t>U okviru ove aktivnosti osigurana su sredstva za programe bilateralne i multilateralne suradnje. Pružena je potpora ustanovama i udrugama, umjetnicima stručnjacima za uspostavljanje i razvijanje izravne i kontinuirane suradnje s partnerima u inozemstvu na svim područjima kulture i umjetnosti. U 2016. godini financirano više od 600 programa. Za ovu su aktivnost osigurana susredstva na dva izvora: 11 i 41. Sredstva na izvoru 11 u 2016. godini u cijelosti su utrošena. Sredstva od igara na sreću nisu u cijelosti iskorištena jer su doznačena krajem godine te ih Ministarstvo nije bilo u mogućnosti do kraja 2016. i utrošiti. Ona su u cijelosti isplaćena početkom 2017. godine.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CC7C79">
            <w:pPr>
              <w:pStyle w:val="CellColumn"/>
              <w:spacing w:after="0"/>
              <w:jc w:val="left"/>
            </w:pPr>
            <w:r>
              <w:rPr>
                <w:rFonts w:cs="Times New Roman"/>
              </w:rPr>
              <w:t xml:space="preserve">Broj i </w:t>
            </w:r>
            <w:r w:rsidR="00CC7C79">
              <w:rPr>
                <w:rFonts w:cs="Times New Roman"/>
              </w:rPr>
              <w:t>diversifika</w:t>
            </w:r>
            <w:r>
              <w:rPr>
                <w:rFonts w:cs="Times New Roman"/>
              </w:rPr>
              <w:t xml:space="preserve">cija </w:t>
            </w:r>
          </w:p>
          <w:p w:rsidR="005C2091" w:rsidRDefault="00A86293" w:rsidP="00CC7C79">
            <w:pPr>
              <w:pStyle w:val="CellColumn"/>
              <w:spacing w:after="0"/>
              <w:jc w:val="left"/>
            </w:pPr>
            <w:r>
              <w:rPr>
                <w:rFonts w:cs="Times New Roman"/>
              </w:rPr>
              <w:t xml:space="preserve">programa </w:t>
            </w:r>
            <w:r w:rsidR="00CC7C79">
              <w:rPr>
                <w:rFonts w:cs="Times New Roman"/>
              </w:rPr>
              <w:t>međunaro</w:t>
            </w:r>
            <w:r>
              <w:rPr>
                <w:rFonts w:cs="Times New Roman"/>
              </w:rPr>
              <w:t xml:space="preserve">dne </w:t>
            </w:r>
          </w:p>
          <w:p w:rsidR="005C2091" w:rsidRDefault="00A86293" w:rsidP="00CC7C79">
            <w:pPr>
              <w:pStyle w:val="CellColumn"/>
              <w:spacing w:after="0"/>
              <w:jc w:val="left"/>
            </w:pPr>
            <w:r>
              <w:rPr>
                <w:rFonts w:cs="Times New Roman"/>
              </w:rPr>
              <w:t>kulturne suradnje</w:t>
            </w:r>
          </w:p>
        </w:tc>
        <w:tc>
          <w:tcPr>
            <w:tcW w:w="2551" w:type="dxa"/>
          </w:tcPr>
          <w:p w:rsidR="005C2091" w:rsidRDefault="00CC7C79" w:rsidP="00CC7C79">
            <w:pPr>
              <w:pStyle w:val="CellColumn"/>
              <w:spacing w:after="0"/>
              <w:jc w:val="left"/>
            </w:pPr>
            <w:r>
              <w:rPr>
                <w:rFonts w:cs="Times New Roman"/>
              </w:rPr>
              <w:t>Kontinuira</w:t>
            </w:r>
            <w:r w:rsidR="00A86293">
              <w:rPr>
                <w:rFonts w:cs="Times New Roman"/>
              </w:rPr>
              <w:t xml:space="preserve">no </w:t>
            </w:r>
            <w:r>
              <w:rPr>
                <w:rFonts w:cs="Times New Roman"/>
              </w:rPr>
              <w:t>sudjelova</w:t>
            </w:r>
            <w:r w:rsidR="00A86293">
              <w:rPr>
                <w:rFonts w:cs="Times New Roman"/>
              </w:rPr>
              <w:t xml:space="preserve">nje </w:t>
            </w:r>
          </w:p>
          <w:p w:rsidR="005C2091" w:rsidRDefault="00A86293" w:rsidP="00CC7C79">
            <w:pPr>
              <w:pStyle w:val="CellColumn"/>
              <w:spacing w:after="0"/>
              <w:jc w:val="left"/>
            </w:pPr>
            <w:r>
              <w:rPr>
                <w:rFonts w:cs="Times New Roman"/>
              </w:rPr>
              <w:t xml:space="preserve">hrvatskih </w:t>
            </w:r>
            <w:r w:rsidR="00CC7C79">
              <w:rPr>
                <w:rFonts w:cs="Times New Roman"/>
              </w:rPr>
              <w:t>umjetnika</w:t>
            </w:r>
            <w:r>
              <w:rPr>
                <w:rFonts w:cs="Times New Roman"/>
              </w:rPr>
              <w:t xml:space="preserve">, </w:t>
            </w:r>
          </w:p>
          <w:p w:rsidR="005C2091" w:rsidRDefault="00A86293" w:rsidP="00CC7C79">
            <w:pPr>
              <w:pStyle w:val="CellColumn"/>
              <w:spacing w:after="0"/>
              <w:jc w:val="left"/>
            </w:pPr>
            <w:r>
              <w:rPr>
                <w:rFonts w:cs="Times New Roman"/>
              </w:rPr>
              <w:t xml:space="preserve">institucija i </w:t>
            </w:r>
            <w:r w:rsidR="00CC7C79">
              <w:rPr>
                <w:rFonts w:cs="Times New Roman"/>
              </w:rPr>
              <w:t>organizac</w:t>
            </w:r>
            <w:r>
              <w:rPr>
                <w:rFonts w:cs="Times New Roman"/>
              </w:rPr>
              <w:t xml:space="preserve">ija u </w:t>
            </w:r>
          </w:p>
          <w:p w:rsidR="005C2091" w:rsidRDefault="00CC7C79" w:rsidP="00CC7C79">
            <w:pPr>
              <w:pStyle w:val="CellColumn"/>
              <w:spacing w:after="0"/>
              <w:jc w:val="left"/>
            </w:pPr>
            <w:r>
              <w:rPr>
                <w:rFonts w:cs="Times New Roman"/>
              </w:rPr>
              <w:t>bilateralni</w:t>
            </w:r>
            <w:r w:rsidR="00A86293">
              <w:rPr>
                <w:rFonts w:cs="Times New Roman"/>
              </w:rPr>
              <w:t xml:space="preserve">m projektim a te </w:t>
            </w:r>
          </w:p>
          <w:p w:rsidR="005C2091" w:rsidRDefault="00A86293" w:rsidP="00CC7C79">
            <w:pPr>
              <w:pStyle w:val="CellColumn"/>
              <w:spacing w:after="0"/>
              <w:jc w:val="left"/>
            </w:pPr>
            <w:r>
              <w:rPr>
                <w:rFonts w:cs="Times New Roman"/>
              </w:rPr>
              <w:t xml:space="preserve">suradnju </w:t>
            </w:r>
            <w:r w:rsidR="00CC7C79">
              <w:rPr>
                <w:rFonts w:cs="Times New Roman"/>
              </w:rPr>
              <w:t>u okviru multilater</w:t>
            </w:r>
            <w:r>
              <w:rPr>
                <w:rFonts w:cs="Times New Roman"/>
              </w:rPr>
              <w:t xml:space="preserve">alnih </w:t>
            </w:r>
            <w:r w:rsidR="00CC7C79">
              <w:rPr>
                <w:rFonts w:cs="Times New Roman"/>
              </w:rPr>
              <w:t>organizac</w:t>
            </w:r>
            <w:r>
              <w:rPr>
                <w:rFonts w:cs="Times New Roman"/>
              </w:rPr>
              <w:t xml:space="preserve">ija i </w:t>
            </w:r>
            <w:r w:rsidR="00CC7C79">
              <w:rPr>
                <w:rFonts w:cs="Times New Roman"/>
              </w:rPr>
              <w:t>asocijacij</w:t>
            </w:r>
            <w:r>
              <w:rPr>
                <w:rFonts w:cs="Times New Roman"/>
              </w:rPr>
              <w:t xml:space="preserve">a te </w:t>
            </w:r>
            <w:r w:rsidR="00CC7C79">
              <w:rPr>
                <w:rFonts w:cs="Times New Roman"/>
              </w:rPr>
              <w:t>regionalni</w:t>
            </w:r>
            <w:r>
              <w:rPr>
                <w:rFonts w:cs="Times New Roman"/>
              </w:rPr>
              <w:t xml:space="preserve">h </w:t>
            </w:r>
          </w:p>
          <w:p w:rsidR="005C2091" w:rsidRDefault="00A86293" w:rsidP="00CC7C79">
            <w:pPr>
              <w:pStyle w:val="CellColumn"/>
              <w:spacing w:after="0"/>
              <w:jc w:val="left"/>
            </w:pPr>
            <w:r>
              <w:rPr>
                <w:rFonts w:cs="Times New Roman"/>
              </w:rPr>
              <w:t>inicijativa</w:t>
            </w:r>
          </w:p>
        </w:tc>
        <w:tc>
          <w:tcPr>
            <w:tcW w:w="1020" w:type="dxa"/>
          </w:tcPr>
          <w:p w:rsidR="005C2091" w:rsidRDefault="00A86293" w:rsidP="00CC7C79">
            <w:pPr>
              <w:pStyle w:val="CellColumn"/>
              <w:spacing w:after="0"/>
              <w:jc w:val="right"/>
            </w:pPr>
            <w:r>
              <w:rPr>
                <w:rFonts w:cs="Times New Roman"/>
              </w:rPr>
              <w:t>Broj programa</w:t>
            </w:r>
          </w:p>
        </w:tc>
        <w:tc>
          <w:tcPr>
            <w:tcW w:w="1020" w:type="dxa"/>
          </w:tcPr>
          <w:p w:rsidR="005C2091" w:rsidRDefault="00A86293" w:rsidP="00CC7C79">
            <w:pPr>
              <w:pStyle w:val="CellColumn"/>
              <w:spacing w:after="0"/>
              <w:jc w:val="right"/>
            </w:pPr>
            <w:r>
              <w:rPr>
                <w:rFonts w:cs="Times New Roman"/>
              </w:rPr>
              <w:t>640</w:t>
            </w:r>
          </w:p>
        </w:tc>
        <w:tc>
          <w:tcPr>
            <w:tcW w:w="1020" w:type="dxa"/>
          </w:tcPr>
          <w:p w:rsidR="005C2091" w:rsidRDefault="00A86293" w:rsidP="00CC7C79">
            <w:pPr>
              <w:pStyle w:val="CellColumn"/>
              <w:spacing w:after="0"/>
              <w:jc w:val="right"/>
            </w:pPr>
            <w:r>
              <w:rPr>
                <w:rFonts w:cs="Times New Roman"/>
              </w:rPr>
              <w:t>MK</w:t>
            </w:r>
          </w:p>
        </w:tc>
        <w:tc>
          <w:tcPr>
            <w:tcW w:w="1020" w:type="dxa"/>
          </w:tcPr>
          <w:p w:rsidR="005C2091" w:rsidRDefault="00A86293" w:rsidP="00CC7C79">
            <w:pPr>
              <w:pStyle w:val="CellColumn"/>
              <w:spacing w:after="0"/>
              <w:jc w:val="right"/>
            </w:pPr>
            <w:r>
              <w:rPr>
                <w:rFonts w:cs="Times New Roman"/>
              </w:rPr>
              <w:t>650</w:t>
            </w:r>
          </w:p>
        </w:tc>
        <w:tc>
          <w:tcPr>
            <w:tcW w:w="1020" w:type="dxa"/>
          </w:tcPr>
          <w:p w:rsidR="005C2091" w:rsidRDefault="00A86293" w:rsidP="00CC7C79">
            <w:pPr>
              <w:pStyle w:val="CellColumn"/>
              <w:spacing w:after="0"/>
              <w:jc w:val="right"/>
            </w:pPr>
            <w:r>
              <w:rPr>
                <w:rFonts w:cs="Times New Roman"/>
              </w:rPr>
              <w:t>675</w:t>
            </w:r>
          </w:p>
        </w:tc>
      </w:tr>
    </w:tbl>
    <w:p w:rsidR="005C2091" w:rsidRDefault="005C2091">
      <w:pPr>
        <w:jc w:val="left"/>
      </w:pPr>
    </w:p>
    <w:p w:rsidR="005C2091" w:rsidRDefault="00A86293">
      <w:pPr>
        <w:pStyle w:val="Heading4"/>
      </w:pPr>
      <w:r>
        <w:t>A565056 DAROVNI UGOVOR-OBVEZA RH TEMELJEM DAROVNOG UGOVORA PREMA GĐI TOPIĆ-MIMARA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A565056-DAROVNI UGOVOR-OBVEZA RH TEMELJEM DAROVNOG UGOVORA PREMA GĐI TOPIĆ-MIMARA</w:t>
            </w:r>
          </w:p>
        </w:tc>
        <w:tc>
          <w:tcPr>
            <w:tcW w:w="2041" w:type="dxa"/>
          </w:tcPr>
          <w:p w:rsidR="005C2091" w:rsidRDefault="00A86293">
            <w:pPr>
              <w:pStyle w:val="CellColumn"/>
              <w:jc w:val="right"/>
            </w:pPr>
            <w:r>
              <w:rPr>
                <w:rFonts w:cs="Times New Roman"/>
              </w:rPr>
              <w:t>1.092.618</w:t>
            </w:r>
          </w:p>
        </w:tc>
        <w:tc>
          <w:tcPr>
            <w:tcW w:w="2041" w:type="dxa"/>
          </w:tcPr>
          <w:p w:rsidR="005C2091" w:rsidRDefault="00A86293">
            <w:pPr>
              <w:pStyle w:val="CellColumn"/>
              <w:jc w:val="right"/>
            </w:pPr>
            <w:r>
              <w:rPr>
                <w:rFonts w:cs="Times New Roman"/>
              </w:rPr>
              <w:t>1.033.118</w:t>
            </w:r>
          </w:p>
        </w:tc>
        <w:tc>
          <w:tcPr>
            <w:tcW w:w="2041" w:type="dxa"/>
          </w:tcPr>
          <w:p w:rsidR="005C2091" w:rsidRDefault="00A86293">
            <w:pPr>
              <w:pStyle w:val="CellColumn"/>
              <w:jc w:val="right"/>
            </w:pPr>
            <w:r>
              <w:rPr>
                <w:rFonts w:cs="Times New Roman"/>
              </w:rPr>
              <w:t>1.033.118</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94,6</w:t>
            </w:r>
          </w:p>
        </w:tc>
      </w:tr>
    </w:tbl>
    <w:p w:rsidR="005C2091" w:rsidRDefault="005C2091">
      <w:pPr>
        <w:jc w:val="left"/>
      </w:pPr>
    </w:p>
    <w:p w:rsidR="005C2091" w:rsidRDefault="00A86293">
      <w:pPr>
        <w:pStyle w:val="Heading8"/>
        <w:jc w:val="left"/>
      </w:pPr>
      <w:r>
        <w:t>Zakonske i druge pravne osnove</w:t>
      </w:r>
    </w:p>
    <w:p w:rsidR="005C2091" w:rsidRDefault="00A86293">
      <w:r>
        <w:t>Ugovor o darovanju između slikara i kolekcionara Ante Topić - Mimara i Republike Hrvatske sklopljen je 05. listopada 1973. godine. Darovalac daruje u trajno vlasništvo zbirku umjetnina koja se sastoji od slika, skulptura i staklenih i porculanskih predmeta, tekstila, ćilima, srebrnih predmeta i predmeta od slonovače. Ugovorne strane sporazumne su da će doživotno isplaćivati Anti Topić Mimari 1% od 10.000.000,00 USA, a nakon njegove smrti 0,5% od iste vrijednosti njegovoj supruzi Wiltrude. Ova obveza još je na snazi.</w:t>
      </w:r>
    </w:p>
    <w:p w:rsidR="005C2091" w:rsidRDefault="00A86293">
      <w:pPr>
        <w:pStyle w:val="Heading8"/>
        <w:jc w:val="left"/>
      </w:pPr>
      <w:r>
        <w:t>Opis aktivnosti</w:t>
      </w:r>
    </w:p>
    <w:p w:rsidR="005C2091" w:rsidRDefault="00A86293">
      <w:r>
        <w:t>U okviru ove aktivnosti osigurana su sredstva za isplatu sredstava gospođi Wiltrude Topić Mimara prema Ugovoru između Ante Topić Mimare i Republike Hrvatske. Ova obveza je još uvijek na snazi te je u 2016. godini izvršena u ptopunosti.</w:t>
      </w:r>
    </w:p>
    <w:p w:rsidR="005C2091" w:rsidRDefault="00A86293">
      <w:pPr>
        <w:pStyle w:val="Heading4"/>
      </w:pPr>
      <w:r>
        <w:t>A576226 DESK KREATIVNE EUROPE - KULTURA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A576226-DESK KREATIVNE EUROPE - KULTURA</w:t>
            </w:r>
          </w:p>
        </w:tc>
        <w:tc>
          <w:tcPr>
            <w:tcW w:w="2041" w:type="dxa"/>
          </w:tcPr>
          <w:p w:rsidR="005C2091" w:rsidRDefault="00A86293">
            <w:pPr>
              <w:pStyle w:val="CellColumn"/>
              <w:jc w:val="right"/>
            </w:pPr>
            <w:r>
              <w:rPr>
                <w:rFonts w:cs="Times New Roman"/>
              </w:rPr>
              <w:t>1.573.277</w:t>
            </w:r>
          </w:p>
        </w:tc>
        <w:tc>
          <w:tcPr>
            <w:tcW w:w="2041" w:type="dxa"/>
          </w:tcPr>
          <w:p w:rsidR="005C2091" w:rsidRDefault="00A86293">
            <w:pPr>
              <w:pStyle w:val="CellColumn"/>
              <w:jc w:val="right"/>
            </w:pPr>
            <w:r>
              <w:rPr>
                <w:rFonts w:cs="Times New Roman"/>
              </w:rPr>
              <w:t>1.833.776</w:t>
            </w:r>
          </w:p>
        </w:tc>
        <w:tc>
          <w:tcPr>
            <w:tcW w:w="2041" w:type="dxa"/>
          </w:tcPr>
          <w:p w:rsidR="005C2091" w:rsidRDefault="00A86293">
            <w:pPr>
              <w:pStyle w:val="CellColumn"/>
              <w:jc w:val="right"/>
            </w:pPr>
            <w:r>
              <w:rPr>
                <w:rFonts w:cs="Times New Roman"/>
              </w:rPr>
              <w:t>1.860.324</w:t>
            </w:r>
          </w:p>
        </w:tc>
        <w:tc>
          <w:tcPr>
            <w:tcW w:w="1224" w:type="dxa"/>
          </w:tcPr>
          <w:p w:rsidR="005C2091" w:rsidRDefault="00A86293">
            <w:pPr>
              <w:pStyle w:val="CellColumn"/>
              <w:jc w:val="right"/>
            </w:pPr>
            <w:r>
              <w:rPr>
                <w:rFonts w:cs="Times New Roman"/>
              </w:rPr>
              <w:t>101,4</w:t>
            </w:r>
          </w:p>
        </w:tc>
        <w:tc>
          <w:tcPr>
            <w:tcW w:w="1224" w:type="dxa"/>
          </w:tcPr>
          <w:p w:rsidR="005C2091" w:rsidRDefault="00A86293">
            <w:pPr>
              <w:pStyle w:val="CellColumn"/>
              <w:jc w:val="right"/>
            </w:pPr>
            <w:r>
              <w:rPr>
                <w:rFonts w:cs="Times New Roman"/>
              </w:rPr>
              <w:t>118,2</w:t>
            </w:r>
          </w:p>
        </w:tc>
      </w:tr>
    </w:tbl>
    <w:p w:rsidR="005C2091" w:rsidRDefault="005C2091">
      <w:pPr>
        <w:jc w:val="left"/>
      </w:pPr>
    </w:p>
    <w:p w:rsidR="005C2091" w:rsidRDefault="00A86293">
      <w:pPr>
        <w:pStyle w:val="Heading8"/>
        <w:jc w:val="left"/>
      </w:pPr>
      <w:r>
        <w:t>Zakonske i druge pravne osnove</w:t>
      </w:r>
    </w:p>
    <w:p w:rsidR="005C2091" w:rsidRDefault="00A86293">
      <w:r>
        <w:t xml:space="preserve">Uredba (EU) br. 1295/2013 Europskog parlamenta i Vijeća od 11. prosinca 2013. godine o uspostavi programa Kreativna Europa (2014. - 2020.)  </w:t>
      </w:r>
    </w:p>
    <w:p w:rsidR="005C2091" w:rsidRDefault="00A86293">
      <w:r>
        <w:t xml:space="preserve">Pravilnik o sufinanciranju projekata odobrenih u okviru programa Europske unije Kreativna Europa  </w:t>
      </w:r>
    </w:p>
    <w:p w:rsidR="005C2091" w:rsidRDefault="00A86293">
      <w:r>
        <w:t xml:space="preserve">Projekti će se sufinancirati na sljedeći način:  </w:t>
      </w:r>
    </w:p>
    <w:p w:rsidR="005C2091" w:rsidRDefault="00A86293">
      <w:r>
        <w:t xml:space="preserve">▪ u okviru kategorija 1 i 2 Europskih projekata suradnje Ministarstvo kulture će sudjelovati s najmanje 20 posto, a najviše 50 posto financijskog udjela hrvatskog projektnog partnera koji u projektu sudjeluje u statusu vodećeg partnera;  </w:t>
      </w:r>
    </w:p>
    <w:p w:rsidR="005C2091" w:rsidRDefault="00A86293">
      <w:r>
        <w:t xml:space="preserve">▪ u okviru kategorija 1 i 2 Europskih projekata suradnje Ministarstvo kulture će sudjelovati s  najmanje 20 posto, a najviše 40 posto financijskog udjela hrvatskog projektnog partnera koji u projektu sudjeluje u statusu suorganizatora;  </w:t>
      </w:r>
    </w:p>
    <w:p w:rsidR="005C2091" w:rsidRDefault="00A86293">
      <w:r>
        <w:t>▪ u okviru Projekata književnih prijevoda Ministarstvo kulture će sudjelovati s najmanje 10 posto, a najviše 30 posto financijskog udjela hrvatskog projektnog partnera u projektu.</w:t>
      </w:r>
    </w:p>
    <w:p w:rsidR="005C2091" w:rsidRDefault="00A86293">
      <w:pPr>
        <w:pStyle w:val="Heading8"/>
        <w:jc w:val="left"/>
      </w:pPr>
      <w:r>
        <w:t>Opis aktivnosti</w:t>
      </w:r>
    </w:p>
    <w:p w:rsidR="005C2091" w:rsidRDefault="00A86293">
      <w:r>
        <w:t xml:space="preserve">Jačanje  aktivne  kulturne  suradnje  s  Europskom unijom te  uključivanje  u  europske aktivnosti  i  inicijative  zemalja  članica  odvija  se  promoviranjem programa  Europske  unije  za  kulturni,  kreativni  i  audiovizualni  sektor  pod  nazivom Kreativna Europa za razdoblje od 2014. do 2020. godine. Promocija programa, pomoć za izradu projekata, poticanje sudjelovanja što većeg broja kulturnih operatera radi razmjene informacija s nacionalnim kulturnim institucijama, </w:t>
      </w:r>
    </w:p>
    <w:p w:rsidR="005C2091" w:rsidRDefault="00A86293">
      <w:r>
        <w:t>održavanje kontakata između sudionika u različitim programima Europske unije i veza s drugim izvorima, informacijama na razini programa Europske unije. U 2016. godini sredstva su u cijelosti utrošena.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18"/>
        <w:gridCol w:w="2519"/>
        <w:gridCol w:w="1014"/>
        <w:gridCol w:w="1017"/>
        <w:gridCol w:w="1103"/>
        <w:gridCol w:w="1017"/>
        <w:gridCol w:w="1018"/>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Rast broja hrvatskih kulturnih ustanova i organizacija koje prijavljuju sudjelovanje u projektima programa EU Kreativna Europa 2014. - 2020. . potprogram Kultura</w:t>
            </w:r>
          </w:p>
        </w:tc>
        <w:tc>
          <w:tcPr>
            <w:tcW w:w="2551" w:type="dxa"/>
          </w:tcPr>
          <w:p w:rsidR="005C2091" w:rsidRDefault="00A86293">
            <w:pPr>
              <w:pStyle w:val="CellColumn"/>
              <w:jc w:val="left"/>
            </w:pPr>
            <w:r>
              <w:rPr>
                <w:rFonts w:cs="Times New Roman"/>
              </w:rPr>
              <w:t>Povećanje uspješnosti hrvatskih kulturnih ustanova i organizacija u prijavljivanju projekata u sklopu EU programa Kreativna Europa 2014. - 2020. - potprogram Kultura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90</w:t>
            </w:r>
          </w:p>
        </w:tc>
        <w:tc>
          <w:tcPr>
            <w:tcW w:w="1020" w:type="dxa"/>
          </w:tcPr>
          <w:p w:rsidR="005C2091" w:rsidRDefault="00A86293">
            <w:pPr>
              <w:pStyle w:val="CellColumn"/>
              <w:jc w:val="right"/>
            </w:pPr>
            <w:r>
              <w:rPr>
                <w:rFonts w:cs="Times New Roman"/>
              </w:rPr>
              <w:t>EK/EACEA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93</w:t>
            </w:r>
          </w:p>
        </w:tc>
      </w:tr>
    </w:tbl>
    <w:p w:rsidR="005C2091" w:rsidRDefault="005C2091">
      <w:pPr>
        <w:jc w:val="left"/>
      </w:pPr>
    </w:p>
    <w:p w:rsidR="005C2091" w:rsidRDefault="00A86293">
      <w:pPr>
        <w:pStyle w:val="Heading4"/>
      </w:pPr>
      <w:r>
        <w:t>A781006 ZAKLADA KULTURA NOVA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A781006-ZAKLADA KULTURA NOVA</w:t>
            </w:r>
          </w:p>
        </w:tc>
        <w:tc>
          <w:tcPr>
            <w:tcW w:w="2041" w:type="dxa"/>
          </w:tcPr>
          <w:p w:rsidR="005C2091" w:rsidRDefault="00A86293">
            <w:pPr>
              <w:pStyle w:val="CellColumn"/>
              <w:jc w:val="right"/>
            </w:pPr>
            <w:r>
              <w:rPr>
                <w:rFonts w:cs="Times New Roman"/>
              </w:rPr>
              <w:t>9.715.452</w:t>
            </w:r>
          </w:p>
        </w:tc>
        <w:tc>
          <w:tcPr>
            <w:tcW w:w="2041" w:type="dxa"/>
          </w:tcPr>
          <w:p w:rsidR="005C2091" w:rsidRDefault="00A86293">
            <w:pPr>
              <w:pStyle w:val="CellColumn"/>
              <w:jc w:val="right"/>
            </w:pPr>
            <w:r>
              <w:rPr>
                <w:rFonts w:cs="Times New Roman"/>
              </w:rPr>
              <w:t>9.073.807</w:t>
            </w:r>
          </w:p>
        </w:tc>
        <w:tc>
          <w:tcPr>
            <w:tcW w:w="2041" w:type="dxa"/>
          </w:tcPr>
          <w:p w:rsidR="005C2091" w:rsidRDefault="00A86293">
            <w:pPr>
              <w:pStyle w:val="CellColumn"/>
              <w:jc w:val="right"/>
            </w:pPr>
            <w:r>
              <w:rPr>
                <w:rFonts w:cs="Times New Roman"/>
              </w:rPr>
              <w:t>8.920.900</w:t>
            </w:r>
          </w:p>
        </w:tc>
        <w:tc>
          <w:tcPr>
            <w:tcW w:w="1224" w:type="dxa"/>
          </w:tcPr>
          <w:p w:rsidR="005C2091" w:rsidRDefault="00A86293">
            <w:pPr>
              <w:pStyle w:val="CellColumn"/>
              <w:jc w:val="right"/>
            </w:pPr>
            <w:r>
              <w:rPr>
                <w:rFonts w:cs="Times New Roman"/>
              </w:rPr>
              <w:t>98,3</w:t>
            </w:r>
          </w:p>
        </w:tc>
        <w:tc>
          <w:tcPr>
            <w:tcW w:w="1224" w:type="dxa"/>
          </w:tcPr>
          <w:p w:rsidR="005C2091" w:rsidRDefault="00A86293">
            <w:pPr>
              <w:pStyle w:val="CellColumn"/>
              <w:jc w:val="right"/>
            </w:pPr>
            <w:r>
              <w:rPr>
                <w:rFonts w:cs="Times New Roman"/>
              </w:rPr>
              <w:t>91,8</w:t>
            </w:r>
          </w:p>
        </w:tc>
      </w:tr>
    </w:tbl>
    <w:p w:rsidR="005C2091" w:rsidRDefault="005C2091">
      <w:pPr>
        <w:jc w:val="left"/>
      </w:pPr>
    </w:p>
    <w:p w:rsidR="005C2091" w:rsidRDefault="00A86293">
      <w:pPr>
        <w:pStyle w:val="Heading8"/>
        <w:jc w:val="left"/>
      </w:pPr>
      <w:r>
        <w:t>Zakonske i druge pravne osnove</w:t>
      </w:r>
    </w:p>
    <w:p w:rsidR="005C2091" w:rsidRDefault="00A86293">
      <w:r>
        <w:t>Zakon o zakladi 'Kultura nova' NN 90/11</w:t>
      </w:r>
    </w:p>
    <w:p w:rsidR="005C2091" w:rsidRDefault="00A86293">
      <w:pPr>
        <w:pStyle w:val="Heading8"/>
        <w:jc w:val="left"/>
      </w:pPr>
      <w:r>
        <w:t>Opis aktivnosti</w:t>
      </w:r>
    </w:p>
    <w:p w:rsidR="005C2091" w:rsidRDefault="00A86293">
      <w:r>
        <w:t>Zaklada Kultura nova pruža stručnu i financijsku potporu programima organizacija civilnog društva na području suvremene kulture i umjetnosti koji potiču razvoj produkcijskih i organizacijskih kapaciteta nositelja programa, podižu razinu profesionalnog djelovanja putem neformalnog obrazovanja i stručnog usavršavanja, potiču uspostavljanje međusektorske suradnje, pospješuju programsko umrežavanje i suradnju na nacionalnoj, regionalnoj i međunarodnoj razini, potiču umjetničko stvaralaštvo i kulturno djelovanje mladih, potiču i druge programe usmjerene ostvarivanju svrhe Zaklade. Zaklada provodi i vlastite programe iz navedenih područja. Zaklada se financira iz dijela prihoda od igara na sreću te donacija i ostalih prihoda. U 2016. godini nije bilo odstupanja od plana.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E81F1E" w:rsidP="00CC7C79">
            <w:pPr>
              <w:pStyle w:val="CellColumn"/>
              <w:spacing w:after="0"/>
              <w:jc w:val="left"/>
            </w:pPr>
            <w:r>
              <w:rPr>
                <w:rFonts w:cs="Times New Roman"/>
              </w:rPr>
              <w:t>Povećanj</w:t>
            </w:r>
            <w:r w:rsidR="00A86293">
              <w:rPr>
                <w:rFonts w:cs="Times New Roman"/>
              </w:rPr>
              <w:t xml:space="preserve">e broja </w:t>
            </w:r>
            <w:r>
              <w:rPr>
                <w:rFonts w:cs="Times New Roman"/>
              </w:rPr>
              <w:t>ostvareni</w:t>
            </w:r>
            <w:r w:rsidR="00A86293">
              <w:rPr>
                <w:rFonts w:cs="Times New Roman"/>
              </w:rPr>
              <w:t xml:space="preserve">h potpora </w:t>
            </w:r>
            <w:r>
              <w:rPr>
                <w:rFonts w:cs="Times New Roman"/>
              </w:rPr>
              <w:t>organizac</w:t>
            </w:r>
            <w:r w:rsidR="00A86293">
              <w:rPr>
                <w:rFonts w:cs="Times New Roman"/>
              </w:rPr>
              <w:t xml:space="preserve">ijama </w:t>
            </w:r>
          </w:p>
          <w:p w:rsidR="005C2091" w:rsidRDefault="00A86293" w:rsidP="00CC7C79">
            <w:pPr>
              <w:pStyle w:val="CellColumn"/>
              <w:spacing w:after="0"/>
              <w:jc w:val="left"/>
            </w:pPr>
            <w:r>
              <w:rPr>
                <w:rFonts w:cs="Times New Roman"/>
              </w:rPr>
              <w:t xml:space="preserve">civilnog društva u području </w:t>
            </w:r>
          </w:p>
          <w:p w:rsidR="005C2091" w:rsidRDefault="00E81F1E" w:rsidP="00CC7C79">
            <w:pPr>
              <w:pStyle w:val="CellColumn"/>
              <w:spacing w:after="0"/>
              <w:jc w:val="left"/>
            </w:pPr>
            <w:r>
              <w:rPr>
                <w:rFonts w:cs="Times New Roman"/>
              </w:rPr>
              <w:t>suvremen</w:t>
            </w:r>
            <w:r w:rsidR="00A86293">
              <w:rPr>
                <w:rFonts w:cs="Times New Roman"/>
              </w:rPr>
              <w:t xml:space="preserve">e kulture i </w:t>
            </w:r>
            <w:r>
              <w:rPr>
                <w:rFonts w:cs="Times New Roman"/>
              </w:rPr>
              <w:t>umjetnost</w:t>
            </w:r>
            <w:r w:rsidR="00A86293">
              <w:rPr>
                <w:rFonts w:cs="Times New Roman"/>
              </w:rPr>
              <w:t>i</w:t>
            </w:r>
          </w:p>
        </w:tc>
        <w:tc>
          <w:tcPr>
            <w:tcW w:w="2551" w:type="dxa"/>
          </w:tcPr>
          <w:p w:rsidR="005C2091" w:rsidRDefault="00A86293" w:rsidP="00CC7C79">
            <w:pPr>
              <w:pStyle w:val="CellColumn"/>
              <w:spacing w:after="0"/>
              <w:jc w:val="left"/>
            </w:pPr>
            <w:r>
              <w:rPr>
                <w:rFonts w:cs="Times New Roman"/>
              </w:rPr>
              <w:t xml:space="preserve">Razvoj </w:t>
            </w:r>
            <w:r w:rsidR="00E81F1E">
              <w:rPr>
                <w:rFonts w:cs="Times New Roman"/>
              </w:rPr>
              <w:t>organizac</w:t>
            </w:r>
            <w:r>
              <w:rPr>
                <w:rFonts w:cs="Times New Roman"/>
              </w:rPr>
              <w:t xml:space="preserve">ija civilnog </w:t>
            </w:r>
          </w:p>
          <w:p w:rsidR="005C2091" w:rsidRDefault="00A86293" w:rsidP="00CC7C79">
            <w:pPr>
              <w:pStyle w:val="CellColumn"/>
              <w:spacing w:after="0"/>
              <w:jc w:val="left"/>
            </w:pPr>
            <w:r>
              <w:rPr>
                <w:rFonts w:cs="Times New Roman"/>
              </w:rPr>
              <w:t xml:space="preserve">društva u području suvremene kulture i umjetnost i koje </w:t>
            </w:r>
          </w:p>
          <w:p w:rsidR="005C2091" w:rsidRDefault="00A86293" w:rsidP="00CC7C79">
            <w:pPr>
              <w:pStyle w:val="CellColumn"/>
              <w:spacing w:after="0"/>
              <w:jc w:val="left"/>
            </w:pPr>
            <w:r>
              <w:rPr>
                <w:rFonts w:cs="Times New Roman"/>
              </w:rPr>
              <w:t xml:space="preserve">ostvaruju rast </w:t>
            </w:r>
            <w:r w:rsidR="00E81F1E">
              <w:rPr>
                <w:rFonts w:cs="Times New Roman"/>
              </w:rPr>
              <w:t>produkcijs</w:t>
            </w:r>
            <w:r>
              <w:rPr>
                <w:rFonts w:cs="Times New Roman"/>
              </w:rPr>
              <w:t xml:space="preserve">kih i </w:t>
            </w:r>
          </w:p>
          <w:p w:rsidR="005C2091" w:rsidRDefault="00E81F1E" w:rsidP="00CC7C79">
            <w:pPr>
              <w:pStyle w:val="CellColumn"/>
              <w:spacing w:after="0"/>
              <w:jc w:val="left"/>
            </w:pPr>
            <w:r>
              <w:rPr>
                <w:rFonts w:cs="Times New Roman"/>
              </w:rPr>
              <w:t>organizac</w:t>
            </w:r>
            <w:r w:rsidR="00A86293">
              <w:rPr>
                <w:rFonts w:cs="Times New Roman"/>
              </w:rPr>
              <w:t xml:space="preserve">ijskih </w:t>
            </w:r>
            <w:r>
              <w:rPr>
                <w:rFonts w:cs="Times New Roman"/>
              </w:rPr>
              <w:t>kapacitet</w:t>
            </w:r>
            <w:r w:rsidR="00A86293">
              <w:rPr>
                <w:rFonts w:cs="Times New Roman"/>
              </w:rPr>
              <w:t xml:space="preserve">a, podižu razinu </w:t>
            </w:r>
            <w:r>
              <w:rPr>
                <w:rFonts w:cs="Times New Roman"/>
              </w:rPr>
              <w:t>profesion</w:t>
            </w:r>
            <w:r w:rsidR="00A86293">
              <w:rPr>
                <w:rFonts w:cs="Times New Roman"/>
              </w:rPr>
              <w:t xml:space="preserve">alnog </w:t>
            </w:r>
          </w:p>
          <w:p w:rsidR="005C2091" w:rsidRDefault="00A86293" w:rsidP="00CC7C79">
            <w:pPr>
              <w:pStyle w:val="CellColumn"/>
              <w:spacing w:after="0"/>
              <w:jc w:val="left"/>
            </w:pPr>
            <w:r>
              <w:rPr>
                <w:rFonts w:cs="Times New Roman"/>
              </w:rPr>
              <w:t>djelov</w:t>
            </w:r>
            <w:r w:rsidR="00E81F1E">
              <w:rPr>
                <w:rFonts w:cs="Times New Roman"/>
              </w:rPr>
              <w:t>anja</w:t>
            </w:r>
            <w:r>
              <w:rPr>
                <w:rFonts w:cs="Times New Roman"/>
              </w:rPr>
              <w:t xml:space="preserve">, </w:t>
            </w:r>
            <w:r w:rsidR="00E81F1E">
              <w:rPr>
                <w:rFonts w:cs="Times New Roman"/>
              </w:rPr>
              <w:t>međusekt</w:t>
            </w:r>
            <w:r>
              <w:rPr>
                <w:rFonts w:cs="Times New Roman"/>
              </w:rPr>
              <w:t xml:space="preserve">orske </w:t>
            </w:r>
          </w:p>
          <w:p w:rsidR="005C2091" w:rsidRDefault="00A86293" w:rsidP="00CC7C79">
            <w:pPr>
              <w:pStyle w:val="CellColumn"/>
              <w:spacing w:after="0"/>
              <w:jc w:val="left"/>
            </w:pPr>
            <w:r>
              <w:rPr>
                <w:rFonts w:cs="Times New Roman"/>
              </w:rPr>
              <w:t xml:space="preserve">suradnje, </w:t>
            </w:r>
            <w:r w:rsidR="00E81F1E">
              <w:rPr>
                <w:rFonts w:cs="Times New Roman"/>
              </w:rPr>
              <w:t>programs</w:t>
            </w:r>
            <w:r>
              <w:rPr>
                <w:rFonts w:cs="Times New Roman"/>
              </w:rPr>
              <w:t xml:space="preserve">kog </w:t>
            </w:r>
            <w:r w:rsidR="00E81F1E">
              <w:rPr>
                <w:rFonts w:cs="Times New Roman"/>
              </w:rPr>
              <w:t>umrežava</w:t>
            </w:r>
            <w:r>
              <w:rPr>
                <w:rFonts w:cs="Times New Roman"/>
              </w:rPr>
              <w:t xml:space="preserve">nja i </w:t>
            </w:r>
            <w:r w:rsidR="00E81F1E">
              <w:rPr>
                <w:rFonts w:cs="Times New Roman"/>
              </w:rPr>
              <w:t>suradnje</w:t>
            </w:r>
            <w:r>
              <w:rPr>
                <w:rFonts w:cs="Times New Roman"/>
              </w:rPr>
              <w:t xml:space="preserve">na </w:t>
            </w:r>
          </w:p>
          <w:p w:rsidR="005C2091" w:rsidRDefault="00E81F1E" w:rsidP="00CC7C79">
            <w:pPr>
              <w:pStyle w:val="CellColumn"/>
              <w:spacing w:after="0"/>
              <w:jc w:val="left"/>
            </w:pPr>
            <w:r>
              <w:rPr>
                <w:rFonts w:cs="Times New Roman"/>
              </w:rPr>
              <w:t>nacionaln</w:t>
            </w:r>
            <w:r w:rsidR="00A86293">
              <w:rPr>
                <w:rFonts w:cs="Times New Roman"/>
              </w:rPr>
              <w:t xml:space="preserve">oj, </w:t>
            </w:r>
            <w:r>
              <w:rPr>
                <w:rFonts w:cs="Times New Roman"/>
              </w:rPr>
              <w:t>regionaln</w:t>
            </w:r>
            <w:r w:rsidR="00A86293">
              <w:rPr>
                <w:rFonts w:cs="Times New Roman"/>
              </w:rPr>
              <w:t xml:space="preserve">oj i </w:t>
            </w:r>
          </w:p>
          <w:p w:rsidR="005C2091" w:rsidRDefault="00E81F1E" w:rsidP="00CC7C79">
            <w:pPr>
              <w:pStyle w:val="CellColumn"/>
              <w:spacing w:after="0"/>
              <w:jc w:val="left"/>
            </w:pPr>
            <w:r>
              <w:rPr>
                <w:rFonts w:cs="Times New Roman"/>
              </w:rPr>
              <w:t>međunaro</w:t>
            </w:r>
            <w:r w:rsidR="00A86293">
              <w:rPr>
                <w:rFonts w:cs="Times New Roman"/>
              </w:rPr>
              <w:t>dnoj razini</w:t>
            </w:r>
          </w:p>
        </w:tc>
        <w:tc>
          <w:tcPr>
            <w:tcW w:w="1020" w:type="dxa"/>
          </w:tcPr>
          <w:p w:rsidR="005C2091" w:rsidRDefault="00A86293" w:rsidP="00CC7C79">
            <w:pPr>
              <w:pStyle w:val="CellColumn"/>
              <w:spacing w:after="0"/>
              <w:jc w:val="right"/>
            </w:pPr>
            <w:r>
              <w:rPr>
                <w:rFonts w:cs="Times New Roman"/>
              </w:rPr>
              <w:t>Broj</w:t>
            </w:r>
          </w:p>
        </w:tc>
        <w:tc>
          <w:tcPr>
            <w:tcW w:w="1020" w:type="dxa"/>
          </w:tcPr>
          <w:p w:rsidR="005C2091" w:rsidRDefault="00A86293" w:rsidP="00CC7C79">
            <w:pPr>
              <w:pStyle w:val="CellColumn"/>
              <w:spacing w:after="0"/>
              <w:jc w:val="right"/>
            </w:pPr>
            <w:r>
              <w:rPr>
                <w:rFonts w:cs="Times New Roman"/>
              </w:rPr>
              <w:t>108</w:t>
            </w:r>
          </w:p>
        </w:tc>
        <w:tc>
          <w:tcPr>
            <w:tcW w:w="1020" w:type="dxa"/>
          </w:tcPr>
          <w:p w:rsidR="005C2091" w:rsidRDefault="00A86293" w:rsidP="00CC7C79">
            <w:pPr>
              <w:pStyle w:val="CellColumn"/>
              <w:spacing w:after="0"/>
              <w:jc w:val="right"/>
            </w:pPr>
            <w:r>
              <w:rPr>
                <w:rFonts w:cs="Times New Roman"/>
              </w:rPr>
              <w:t>MK</w:t>
            </w:r>
          </w:p>
        </w:tc>
        <w:tc>
          <w:tcPr>
            <w:tcW w:w="1020" w:type="dxa"/>
          </w:tcPr>
          <w:p w:rsidR="005C2091" w:rsidRDefault="00A86293" w:rsidP="00CC7C79">
            <w:pPr>
              <w:pStyle w:val="CellColumn"/>
              <w:spacing w:after="0"/>
              <w:jc w:val="right"/>
            </w:pPr>
            <w:r>
              <w:rPr>
                <w:rFonts w:cs="Times New Roman"/>
              </w:rPr>
              <w:t>110</w:t>
            </w:r>
          </w:p>
        </w:tc>
        <w:tc>
          <w:tcPr>
            <w:tcW w:w="1020" w:type="dxa"/>
          </w:tcPr>
          <w:p w:rsidR="005C2091" w:rsidRDefault="00A86293" w:rsidP="00CC7C79">
            <w:pPr>
              <w:pStyle w:val="CellColumn"/>
              <w:spacing w:after="0"/>
              <w:jc w:val="right"/>
            </w:pPr>
            <w:r>
              <w:rPr>
                <w:rFonts w:cs="Times New Roman"/>
              </w:rPr>
              <w:t>120</w:t>
            </w:r>
          </w:p>
        </w:tc>
      </w:tr>
    </w:tbl>
    <w:p w:rsidR="005C2091" w:rsidRDefault="005C2091">
      <w:pPr>
        <w:jc w:val="left"/>
      </w:pPr>
    </w:p>
    <w:p w:rsidR="005C2091" w:rsidRDefault="00A86293">
      <w:pPr>
        <w:pStyle w:val="Heading4"/>
      </w:pPr>
      <w:r>
        <w:t>A781009 UMJETNOST I KULTURA ZA MLADE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A781009-UMJETNOST I KULTURA ZA MLADE</w:t>
            </w:r>
          </w:p>
        </w:tc>
        <w:tc>
          <w:tcPr>
            <w:tcW w:w="2041" w:type="dxa"/>
          </w:tcPr>
          <w:p w:rsidR="005C2091" w:rsidRDefault="00A86293">
            <w:pPr>
              <w:pStyle w:val="CellColumn"/>
              <w:jc w:val="right"/>
            </w:pPr>
            <w:r>
              <w:rPr>
                <w:rFonts w:cs="Times New Roman"/>
              </w:rPr>
              <w:t>299.604</w:t>
            </w:r>
          </w:p>
        </w:tc>
        <w:tc>
          <w:tcPr>
            <w:tcW w:w="2041" w:type="dxa"/>
          </w:tcPr>
          <w:p w:rsidR="005C2091" w:rsidRDefault="00A86293">
            <w:pPr>
              <w:pStyle w:val="CellColumn"/>
              <w:jc w:val="right"/>
            </w:pPr>
            <w:r>
              <w:rPr>
                <w:rFonts w:cs="Times New Roman"/>
              </w:rPr>
              <w:t>150.000</w:t>
            </w:r>
          </w:p>
        </w:tc>
        <w:tc>
          <w:tcPr>
            <w:tcW w:w="2041" w:type="dxa"/>
          </w:tcPr>
          <w:p w:rsidR="005C2091" w:rsidRDefault="00A86293">
            <w:pPr>
              <w:pStyle w:val="CellColumn"/>
              <w:jc w:val="right"/>
            </w:pPr>
            <w:r>
              <w:rPr>
                <w:rFonts w:cs="Times New Roman"/>
              </w:rPr>
              <w:t>149.996</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50,1</w:t>
            </w:r>
          </w:p>
        </w:tc>
      </w:tr>
    </w:tbl>
    <w:p w:rsidR="005C2091" w:rsidRDefault="005C2091">
      <w:pPr>
        <w:jc w:val="left"/>
      </w:pPr>
    </w:p>
    <w:p w:rsidR="005C2091" w:rsidRDefault="00A86293">
      <w:pPr>
        <w:pStyle w:val="Heading8"/>
        <w:jc w:val="left"/>
      </w:pPr>
      <w:r>
        <w:t>Zakonske i druge pravne osnove</w:t>
      </w:r>
    </w:p>
    <w:p w:rsidR="005C2091" w:rsidRDefault="00A86293">
      <w:r>
        <w:t xml:space="preserve">Ministarstvo kulture i Ministarstvo znanosti, obrazovanja i sporta dana 31. listopada 2014 godine zaključuju  </w:t>
      </w:r>
    </w:p>
    <w:p w:rsidR="005C2091" w:rsidRDefault="00A86293">
      <w:r>
        <w:t>Sporazum o suradnji u provedbi programa Ruksak (pun) kulture – umjetnost i kultura u vrtiću i školi za razdoblje 2015. – 2020. godine; Na temelju članka 74. Zakona o sustavu državne uprave („Narodne novine“, broj 150/11 i 12/13) i članka 7. Uredbe o unutarnjem ustrojstvu Ministarstva kulture („Narodne novine“, broj 21/12 i 124/13) ministar kulture donosi Odluku o sadržaju programa Ruksak (pun) kulture te visini naknade za poslove i rad na njegovom ostvarivanju (02. studenoga 2015. godine); Na temelju Zakona o financiranju javnih potreba u kulturi („Narodne novine“, broj 47/90, 27/93 i 38/09) te članaka 2., 3., 4. i 5. Pravilnika o izboru i utvrđivanju programa javnih potreba u kulturi („Narodne novine“, broj 69/12, 44/13, 91/13 i 72/15) Ministarstvo kulture Republike Hrvatske objavljuje Poziv za predlaganje umjetničko-edukativnih programa i/ili radionica za Ruksak (pun) kulture – umjetnost i kultura u vrtiću i školi, nacionalni dopunski program u vrtićima te osnovnim i srednjim školama u Republici Hrvatskoj za 2016. godinu (23. studenoga 2015.).</w:t>
      </w:r>
    </w:p>
    <w:p w:rsidR="005C2091" w:rsidRDefault="00A86293">
      <w:pPr>
        <w:pStyle w:val="Heading8"/>
        <w:jc w:val="left"/>
      </w:pPr>
      <w:r>
        <w:t>Opis aktivnosti</w:t>
      </w:r>
    </w:p>
    <w:p w:rsidR="005C2091" w:rsidRDefault="00A86293">
      <w:r>
        <w:t>U okviru ove aktivnosti osigurana su sredstva za nacionalni dopunski program u dječjim vrtićima, osnovnim i srednjim školama, vezan za umjetnost i kulturu koji provode profesionalci umjetnici i stručnjaci osobito u područjima gdje su umjetničko - edukativni programi slabije dostupni. Korisnici programa su djeca i mladi od 3 do 18 godina. Program je zajednička inicijativa Ministarstva znanosti i obrazovanja i Ministarstva kulture. U 2016. godini program je u potunosti izvršen. Nije bilo odstupanja od plana.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djece i učenika uključenih u aktivnosti programa</w:t>
            </w:r>
          </w:p>
        </w:tc>
        <w:tc>
          <w:tcPr>
            <w:tcW w:w="2551" w:type="dxa"/>
          </w:tcPr>
          <w:p w:rsidR="005C2091" w:rsidRDefault="00CC7C79" w:rsidP="00CC7C79">
            <w:pPr>
              <w:pStyle w:val="CellColumn"/>
              <w:spacing w:after="0"/>
              <w:jc w:val="left"/>
            </w:pPr>
            <w:r>
              <w:rPr>
                <w:rFonts w:cs="Times New Roman"/>
              </w:rPr>
              <w:t>Prezentir</w:t>
            </w:r>
            <w:r w:rsidR="00A86293">
              <w:rPr>
                <w:rFonts w:cs="Times New Roman"/>
              </w:rPr>
              <w:t xml:space="preserve">anjem u svim </w:t>
            </w:r>
          </w:p>
          <w:p w:rsidR="005C2091" w:rsidRDefault="00A86293" w:rsidP="00CC7C79">
            <w:pPr>
              <w:pStyle w:val="CellColumn"/>
              <w:spacing w:after="0"/>
              <w:jc w:val="left"/>
            </w:pPr>
            <w:r>
              <w:rPr>
                <w:rFonts w:cs="Times New Roman"/>
              </w:rPr>
              <w:t xml:space="preserve">oblicima glazbe, kazališne </w:t>
            </w:r>
          </w:p>
          <w:p w:rsidR="005C2091" w:rsidRDefault="00A86293" w:rsidP="00CC7C79">
            <w:pPr>
              <w:pStyle w:val="CellColumn"/>
              <w:spacing w:after="0"/>
              <w:jc w:val="left"/>
            </w:pPr>
            <w:r>
              <w:rPr>
                <w:rFonts w:cs="Times New Roman"/>
              </w:rPr>
              <w:t xml:space="preserve">umjetnost i, vizualne i </w:t>
            </w:r>
            <w:r w:rsidR="00CC7C79">
              <w:rPr>
                <w:rFonts w:cs="Times New Roman"/>
              </w:rPr>
              <w:t>reprodukti</w:t>
            </w:r>
            <w:r>
              <w:rPr>
                <w:rFonts w:cs="Times New Roman"/>
              </w:rPr>
              <w:t xml:space="preserve">vne/ </w:t>
            </w:r>
            <w:r w:rsidR="00CC7C79">
              <w:rPr>
                <w:rFonts w:cs="Times New Roman"/>
              </w:rPr>
              <w:t>izvedbeni</w:t>
            </w:r>
            <w:r>
              <w:rPr>
                <w:rFonts w:cs="Times New Roman"/>
              </w:rPr>
              <w:t xml:space="preserve">h </w:t>
            </w:r>
          </w:p>
          <w:p w:rsidR="005C2091" w:rsidRDefault="00CC7C79" w:rsidP="00CC7C79">
            <w:pPr>
              <w:pStyle w:val="CellColumn"/>
              <w:spacing w:after="0"/>
              <w:jc w:val="left"/>
            </w:pPr>
            <w:r>
              <w:rPr>
                <w:rFonts w:cs="Times New Roman"/>
              </w:rPr>
              <w:t>umjetnost</w:t>
            </w:r>
            <w:r w:rsidR="00A86293">
              <w:rPr>
                <w:rFonts w:cs="Times New Roman"/>
              </w:rPr>
              <w:t xml:space="preserve">i, filma, književno sti i kulturne baštine djeca i </w:t>
            </w:r>
          </w:p>
          <w:p w:rsidR="005C2091" w:rsidRDefault="00A86293" w:rsidP="00CC7C79">
            <w:pPr>
              <w:pStyle w:val="CellColumn"/>
              <w:spacing w:after="0"/>
              <w:jc w:val="left"/>
            </w:pPr>
            <w:r>
              <w:rPr>
                <w:rFonts w:cs="Times New Roman"/>
              </w:rPr>
              <w:t xml:space="preserve">mladi bit će </w:t>
            </w:r>
            <w:r w:rsidR="00CC7C79">
              <w:rPr>
                <w:rFonts w:cs="Times New Roman"/>
              </w:rPr>
              <w:t>osposoblj</w:t>
            </w:r>
            <w:r>
              <w:rPr>
                <w:rFonts w:cs="Times New Roman"/>
              </w:rPr>
              <w:t xml:space="preserve">eni za </w:t>
            </w:r>
          </w:p>
          <w:p w:rsidR="005C2091" w:rsidRDefault="00A86293" w:rsidP="00CC7C79">
            <w:pPr>
              <w:pStyle w:val="CellColumn"/>
              <w:spacing w:after="0"/>
              <w:jc w:val="left"/>
            </w:pPr>
            <w:r>
              <w:rPr>
                <w:rFonts w:cs="Times New Roman"/>
              </w:rPr>
              <w:t xml:space="preserve">pozitivan pristup </w:t>
            </w:r>
            <w:r w:rsidR="00CC7C79">
              <w:rPr>
                <w:rFonts w:cs="Times New Roman"/>
              </w:rPr>
              <w:t xml:space="preserve">svim </w:t>
            </w:r>
            <w:r>
              <w:rPr>
                <w:rFonts w:cs="Times New Roman"/>
              </w:rPr>
              <w:t xml:space="preserve">vrstama umjetnost i kulture, </w:t>
            </w:r>
          </w:p>
          <w:p w:rsidR="005C2091" w:rsidRDefault="00A86293" w:rsidP="00CC7C79">
            <w:pPr>
              <w:pStyle w:val="CellColumn"/>
              <w:spacing w:after="0"/>
              <w:jc w:val="left"/>
            </w:pPr>
            <w:r>
              <w:rPr>
                <w:rFonts w:cs="Times New Roman"/>
              </w:rPr>
              <w:t xml:space="preserve">povećat će se interes djece i </w:t>
            </w:r>
          </w:p>
          <w:p w:rsidR="005C2091" w:rsidRDefault="00A86293" w:rsidP="00CC7C79">
            <w:pPr>
              <w:pStyle w:val="CellColumn"/>
              <w:spacing w:after="0"/>
              <w:jc w:val="left"/>
            </w:pPr>
            <w:r>
              <w:rPr>
                <w:rFonts w:cs="Times New Roman"/>
              </w:rPr>
              <w:t xml:space="preserve">mladih za suvremen u umjetnost i kulturne sadržaje i </w:t>
            </w:r>
          </w:p>
          <w:p w:rsidR="005C2091" w:rsidRDefault="00A86293" w:rsidP="00CC7C79">
            <w:pPr>
              <w:pStyle w:val="CellColumn"/>
              <w:spacing w:after="0"/>
              <w:jc w:val="left"/>
            </w:pPr>
            <w:r>
              <w:rPr>
                <w:rFonts w:cs="Times New Roman"/>
              </w:rPr>
              <w:t xml:space="preserve">doprinijeti razvijanju njihove </w:t>
            </w:r>
          </w:p>
          <w:p w:rsidR="005C2091" w:rsidRDefault="00A86293" w:rsidP="00CC7C79">
            <w:pPr>
              <w:pStyle w:val="CellColumn"/>
              <w:spacing w:after="0"/>
              <w:jc w:val="left"/>
            </w:pPr>
            <w:r>
              <w:rPr>
                <w:rFonts w:cs="Times New Roman"/>
              </w:rPr>
              <w:t>estetske kulture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2750</w:t>
            </w:r>
          </w:p>
        </w:tc>
        <w:tc>
          <w:tcPr>
            <w:tcW w:w="1020" w:type="dxa"/>
          </w:tcPr>
          <w:p w:rsidR="005C2091" w:rsidRDefault="00A86293">
            <w:pPr>
              <w:pStyle w:val="CellColumn"/>
              <w:jc w:val="right"/>
            </w:pPr>
            <w:r>
              <w:rPr>
                <w:rFonts w:cs="Times New Roman"/>
              </w:rPr>
              <w:t>MK</w:t>
            </w:r>
          </w:p>
        </w:tc>
        <w:tc>
          <w:tcPr>
            <w:tcW w:w="1020" w:type="dxa"/>
          </w:tcPr>
          <w:p w:rsidR="005C2091" w:rsidRDefault="00A86293">
            <w:pPr>
              <w:pStyle w:val="CellColumn"/>
              <w:jc w:val="right"/>
            </w:pPr>
            <w:r>
              <w:rPr>
                <w:rFonts w:cs="Times New Roman"/>
              </w:rPr>
              <w:t>3750</w:t>
            </w:r>
          </w:p>
        </w:tc>
        <w:tc>
          <w:tcPr>
            <w:tcW w:w="1020" w:type="dxa"/>
          </w:tcPr>
          <w:p w:rsidR="005C2091" w:rsidRDefault="00A86293">
            <w:pPr>
              <w:pStyle w:val="CellColumn"/>
              <w:jc w:val="right"/>
            </w:pPr>
            <w:r>
              <w:rPr>
                <w:rFonts w:cs="Times New Roman"/>
              </w:rPr>
              <w:t>4000</w:t>
            </w:r>
          </w:p>
        </w:tc>
      </w:tr>
    </w:tbl>
    <w:p w:rsidR="005C2091" w:rsidRDefault="005C2091">
      <w:pPr>
        <w:jc w:val="left"/>
      </w:pPr>
    </w:p>
    <w:p w:rsidR="005C2091" w:rsidRDefault="00A86293">
      <w:pPr>
        <w:pStyle w:val="Heading4"/>
      </w:pPr>
      <w:r>
        <w:t>A781010 PROMOCIJA KULTURE PUTEM ZAKLADE "HRVATSKA KUĆA - CROATIA HOUSE"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A781010-PROMOCIJA KULTURE PUTEM ZAKLADE "HRVATSKA KUĆA - CROATIA HOUSE"</w:t>
            </w:r>
          </w:p>
        </w:tc>
        <w:tc>
          <w:tcPr>
            <w:tcW w:w="2041" w:type="dxa"/>
          </w:tcPr>
          <w:p w:rsidR="005C2091" w:rsidRDefault="00A86293">
            <w:pPr>
              <w:pStyle w:val="CellColumn"/>
              <w:jc w:val="right"/>
            </w:pPr>
            <w:r>
              <w:rPr>
                <w:rFonts w:cs="Times New Roman"/>
              </w:rPr>
              <w:t>1.215.571</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63.680</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5,2</w:t>
            </w:r>
          </w:p>
        </w:tc>
      </w:tr>
    </w:tbl>
    <w:p w:rsidR="005C2091" w:rsidRDefault="005C2091">
      <w:pPr>
        <w:jc w:val="left"/>
      </w:pPr>
    </w:p>
    <w:p w:rsidR="005C2091" w:rsidRDefault="00A86293">
      <w:pPr>
        <w:pStyle w:val="Heading8"/>
        <w:jc w:val="left"/>
      </w:pPr>
      <w:r>
        <w:t>Opis aktivnosti</w:t>
      </w:r>
    </w:p>
    <w:p w:rsidR="005C2091" w:rsidRDefault="00A86293">
      <w:r>
        <w:t>U ožujku 2016. godine Zaklada "Hrvatska kuća - Croatia house" prestala je djelovati. S iznosom od 63.680,00 kuna Ministarstvo je platilo obveze iz 2015. godine. Sredstva su osigurana na izvoru 41.</w:t>
      </w:r>
    </w:p>
    <w:p w:rsidR="005C2091" w:rsidRDefault="00A86293">
      <w:pPr>
        <w:pStyle w:val="Heading4"/>
      </w:pPr>
      <w:r>
        <w:t>A781013 EUROPSKA PRIJESTOLNICA KULTURE 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A781013-EUROPSKA PRIJESTOLNICA KULTURE 2020.</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500.000</w:t>
            </w:r>
          </w:p>
        </w:tc>
        <w:tc>
          <w:tcPr>
            <w:tcW w:w="2041" w:type="dxa"/>
          </w:tcPr>
          <w:p w:rsidR="005C2091" w:rsidRDefault="00A86293">
            <w:pPr>
              <w:pStyle w:val="CellColumn"/>
              <w:jc w:val="right"/>
            </w:pPr>
            <w:r>
              <w:rPr>
                <w:rFonts w:cs="Times New Roman"/>
              </w:rPr>
              <w:t>484.737</w:t>
            </w:r>
          </w:p>
        </w:tc>
        <w:tc>
          <w:tcPr>
            <w:tcW w:w="1224" w:type="dxa"/>
          </w:tcPr>
          <w:p w:rsidR="005C2091" w:rsidRDefault="00A86293">
            <w:pPr>
              <w:pStyle w:val="CellColumn"/>
              <w:jc w:val="right"/>
            </w:pPr>
            <w:r>
              <w:rPr>
                <w:rFonts w:cs="Times New Roman"/>
              </w:rPr>
              <w:t>96,9</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Odluka Europskog parlamenta i Vijeća br. 445/2014/EU  od 16. travnja 2014. o uspostavljanju inicijative Unije za Europske prijestolnice kulture u razdoblju od 2020. do 2033.    </w:t>
      </w:r>
    </w:p>
    <w:p w:rsidR="005C2091" w:rsidRDefault="00A86293">
      <w:r>
        <w:t xml:space="preserve">Odluka Vlade Republike Hrvatske o provedbi Odluke br. 445/2014/EU Europskog parlamenta i Vijeća o uspostavljanju inicijative Unije za Europske prijestolnice kulture  </w:t>
      </w:r>
    </w:p>
    <w:p w:rsidR="005C2091" w:rsidRDefault="00A86293">
      <w:r>
        <w:t>Odluka Vlade Republike Hrvatske o predodabiru Dubrovnika, Osijeka, Pule i Rijeke za drugi natječajni krug izbora za naslov Europske prijestolnice kulture 2020. godine</w:t>
      </w:r>
    </w:p>
    <w:p w:rsidR="005C2091" w:rsidRDefault="00A86293">
      <w:pPr>
        <w:pStyle w:val="Heading8"/>
        <w:jc w:val="left"/>
      </w:pPr>
      <w:r>
        <w:t>Opis aktivnosti</w:t>
      </w:r>
    </w:p>
    <w:p w:rsidR="005C2091" w:rsidRDefault="00A86293">
      <w:r>
        <w:t>U okviru ove aktivnosti osigurana su sredstva za planiranje i provođenje projekta Europska prijestolnica kulture Rijeka 2020.  U 2016. godini nije bilo odstupanja od plana.</w:t>
      </w:r>
    </w:p>
    <w:p w:rsidR="005C2091" w:rsidRDefault="00A86293">
      <w:pPr>
        <w:pStyle w:val="Heading4"/>
      </w:pPr>
      <w:r>
        <w:t>A784003 PODUZETNIŠTVO U KULTURI</w:t>
      </w:r>
    </w:p>
    <w:tbl>
      <w:tblPr>
        <w:tblStyle w:val="StilTablice"/>
        <w:tblW w:w="10206" w:type="dxa"/>
        <w:jc w:val="center"/>
        <w:tblLook w:val="04A0" w:firstRow="1" w:lastRow="0" w:firstColumn="1" w:lastColumn="0" w:noHBand="0" w:noVBand="1"/>
      </w:tblPr>
      <w:tblGrid>
        <w:gridCol w:w="1759"/>
        <w:gridCol w:w="2004"/>
        <w:gridCol w:w="2004"/>
        <w:gridCol w:w="2004"/>
        <w:gridCol w:w="1216"/>
        <w:gridCol w:w="121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A784003-PODUZETNIŠTVO U KULTURI</w:t>
            </w:r>
          </w:p>
        </w:tc>
        <w:tc>
          <w:tcPr>
            <w:tcW w:w="2041" w:type="dxa"/>
          </w:tcPr>
          <w:p w:rsidR="005C2091" w:rsidRDefault="00A86293">
            <w:pPr>
              <w:pStyle w:val="CellColumn"/>
              <w:jc w:val="right"/>
            </w:pPr>
            <w:r>
              <w:rPr>
                <w:rFonts w:cs="Times New Roman"/>
              </w:rPr>
              <w:t>1.834.524</w:t>
            </w:r>
          </w:p>
        </w:tc>
        <w:tc>
          <w:tcPr>
            <w:tcW w:w="2041" w:type="dxa"/>
          </w:tcPr>
          <w:p w:rsidR="005C2091" w:rsidRDefault="00A86293">
            <w:pPr>
              <w:pStyle w:val="CellColumn"/>
              <w:jc w:val="right"/>
            </w:pPr>
            <w:r>
              <w:rPr>
                <w:rFonts w:cs="Times New Roman"/>
              </w:rPr>
              <w:t>1.936.000</w:t>
            </w:r>
          </w:p>
        </w:tc>
        <w:tc>
          <w:tcPr>
            <w:tcW w:w="2041" w:type="dxa"/>
          </w:tcPr>
          <w:p w:rsidR="005C2091" w:rsidRDefault="00A86293">
            <w:pPr>
              <w:pStyle w:val="CellColumn"/>
              <w:jc w:val="right"/>
            </w:pPr>
            <w:r>
              <w:rPr>
                <w:rFonts w:cs="Times New Roman"/>
              </w:rPr>
              <w:t>1.935.588</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105,5</w:t>
            </w:r>
          </w:p>
        </w:tc>
      </w:tr>
    </w:tbl>
    <w:p w:rsidR="005C2091" w:rsidRDefault="005C2091">
      <w:pPr>
        <w:jc w:val="left"/>
      </w:pPr>
    </w:p>
    <w:p w:rsidR="005C2091" w:rsidRDefault="00A86293">
      <w:pPr>
        <w:pStyle w:val="Heading8"/>
        <w:jc w:val="left"/>
      </w:pPr>
      <w:r>
        <w:t>Zakonske i druge pravne osnove</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2017. godinu, Pravilnika o izboru i utvrđivanju programa javnih potreba u kulturi (NN 69/12, 44/13, 91/13 i 72/15) i Zakona o poticanju razvoja malog gospodarstva (NN 29/02, 63/07, 53/12, 56/13). Poticajna namjenska bespovratna sredstva potpore su male vrijednosti koje se odobravaju na temelju Zakona o državnim potporama (NN 47/14) i Uredbe Komisije (EU) br. 1407/2013 od 18. prosinca 2013. o primjeni članaka 107. i 108. Ugovora o funkcioniranju Europske unije na de minimis potpore, Službeni list Europske unije L 352 od 24. prosinca 2013.</w:t>
      </w:r>
    </w:p>
    <w:p w:rsidR="005C2091" w:rsidRDefault="00A86293">
      <w:pPr>
        <w:pStyle w:val="Heading8"/>
        <w:jc w:val="left"/>
      </w:pPr>
      <w:r>
        <w:t>Opis aktivnosti</w:t>
      </w:r>
    </w:p>
    <w:p w:rsidR="005C2091" w:rsidRDefault="00A86293">
      <w:r>
        <w:t>U okviru ove aktivnosti osigurana su sredstva za program nepovratne državne potpore male vrijednosti za poticanje poduzetništva u kulturi, promicanje kulturnih industrija i poduzetničkih projekata na području glazbe i glazbeno - scenske umjetnosti, dramske umjetnosti, knjige i nakladništva, likovne umjetnosti, međunarodne kulturne suradnje i europskih integracija, kulturno - umjetničkog amaterizma, investicija, zaštite i očuvanja kulturnih dobara, muzejsko - galerijske te filmske djelatnosti. U 2016. godini financirano je 69 programa u rasponu od 68.000,00 kuna. Sredstva su utrošena u cijelosti.</w:t>
      </w:r>
    </w:p>
    <w:p w:rsidR="005C2091" w:rsidRDefault="00A86293">
      <w:pPr>
        <w:pStyle w:val="Heading4"/>
      </w:pPr>
      <w:r>
        <w:t>A784006 GODIŠNJA ČLANARINA REPUBLIKE HRVATSKE ZA UNESCO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A784006-GODIŠNJA ČLANARINA REPUBLIKE HRVATSKE ZA UNESCO</w:t>
            </w:r>
          </w:p>
        </w:tc>
        <w:tc>
          <w:tcPr>
            <w:tcW w:w="2041" w:type="dxa"/>
          </w:tcPr>
          <w:p w:rsidR="005C2091" w:rsidRDefault="00A86293">
            <w:pPr>
              <w:pStyle w:val="CellColumn"/>
              <w:jc w:val="right"/>
            </w:pPr>
            <w:r>
              <w:rPr>
                <w:rFonts w:cs="Times New Roman"/>
              </w:rPr>
              <w:t>2.736.627</w:t>
            </w:r>
          </w:p>
        </w:tc>
        <w:tc>
          <w:tcPr>
            <w:tcW w:w="2041" w:type="dxa"/>
          </w:tcPr>
          <w:p w:rsidR="005C2091" w:rsidRDefault="00A86293">
            <w:pPr>
              <w:pStyle w:val="CellColumn"/>
              <w:jc w:val="right"/>
            </w:pPr>
            <w:r>
              <w:rPr>
                <w:rFonts w:cs="Times New Roman"/>
              </w:rPr>
              <w:t>2.002.139</w:t>
            </w:r>
          </w:p>
        </w:tc>
        <w:tc>
          <w:tcPr>
            <w:tcW w:w="2041" w:type="dxa"/>
          </w:tcPr>
          <w:p w:rsidR="005C2091" w:rsidRDefault="00A86293">
            <w:pPr>
              <w:pStyle w:val="CellColumn"/>
              <w:jc w:val="right"/>
            </w:pPr>
            <w:r>
              <w:rPr>
                <w:rFonts w:cs="Times New Roman"/>
              </w:rPr>
              <w:t>2.002.138</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73,2</w:t>
            </w:r>
          </w:p>
        </w:tc>
      </w:tr>
    </w:tbl>
    <w:p w:rsidR="005C2091" w:rsidRDefault="005C2091">
      <w:pPr>
        <w:jc w:val="left"/>
      </w:pPr>
    </w:p>
    <w:p w:rsidR="005C2091" w:rsidRDefault="00A86293">
      <w:pPr>
        <w:pStyle w:val="Heading8"/>
        <w:jc w:val="left"/>
      </w:pPr>
      <w:r>
        <w:t>Zakonske i druge pravne osnove</w:t>
      </w:r>
    </w:p>
    <w:p w:rsidR="005C2091" w:rsidRDefault="00A86293">
      <w:r>
        <w:t xml:space="preserve">Odluka Vlade RH o osnivanju povjerenstva za suradnju s organizacijom UN-a za prosvjetu, znanost i kulturu, čl. 23 Zakona o Vladi RH (NN 101/98, 15/2000, 117/01, 199/03, 30/04)  </w:t>
      </w:r>
    </w:p>
    <w:p w:rsidR="005C2091" w:rsidRDefault="00A86293">
      <w:r>
        <w:t xml:space="preserve">Ustav UNESCO-a, čl. 2, 7, 9  </w:t>
      </w:r>
    </w:p>
    <w:p w:rsidR="005C2091" w:rsidRDefault="00A86293">
      <w:r>
        <w:t xml:space="preserve">Rezolucija o pristupanju RH u Ujedinjene narode A/RES/46/238 prihvaćena na 86. zasjedanju UN-a 22. svibnja 1992. godine  </w:t>
      </w:r>
    </w:p>
    <w:p w:rsidR="005C2091" w:rsidRDefault="00A86293">
      <w:r>
        <w:t xml:space="preserve">Rezolucija 41,2, čl. 5 o pravima i obvezama država članica usvojena na Općoj skupštini UNESCO-a  </w:t>
      </w:r>
    </w:p>
    <w:p w:rsidR="005C2091" w:rsidRDefault="00A86293">
      <w:r>
        <w:t>Povelja o Nacionalnim povjerenstvima UNESCO-a</w:t>
      </w:r>
    </w:p>
    <w:p w:rsidR="005C2091" w:rsidRDefault="00A86293">
      <w:pPr>
        <w:pStyle w:val="Heading8"/>
        <w:jc w:val="left"/>
      </w:pPr>
      <w:r>
        <w:t>Opis aktivnosti</w:t>
      </w:r>
    </w:p>
    <w:p w:rsidR="005C2091" w:rsidRDefault="00A86293">
      <w:r>
        <w:t>Kroz ovu aktivnost ostvaruju se brojni projekti te djelovanje hrvatskih stručnjaka u svim područjima UNESCO-vog djelovanja te članstvo u međuvladinim odborima i tijelima UNESCO-a. U 2016. godini nije bilo odstupanja od plana; sredstva su u cijelosti utrošena.</w:t>
      </w:r>
    </w:p>
    <w:p w:rsidR="005C2091" w:rsidRDefault="00A86293">
      <w:pPr>
        <w:pStyle w:val="Heading4"/>
      </w:pPr>
      <w:r>
        <w:t>A785008 POTPORA HRVATSKOM KULTURNOM DRUŠTVU NAPREDAK</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A785008-POTPORA HRVATSKOM KULTURNOM DRUŠTVU NAPREDAK</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500.000</w:t>
            </w:r>
          </w:p>
        </w:tc>
        <w:tc>
          <w:tcPr>
            <w:tcW w:w="2041" w:type="dxa"/>
          </w:tcPr>
          <w:p w:rsidR="005C2091" w:rsidRDefault="00A86293">
            <w:pPr>
              <w:pStyle w:val="CellColumn"/>
              <w:jc w:val="right"/>
            </w:pPr>
            <w:r>
              <w:rPr>
                <w:rFonts w:cs="Times New Roman"/>
              </w:rPr>
              <w:t>500.000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Zakon o financiranju javnih potreba u kulturi (NN 47/90, 27/93, 38/09 - čl. 9 st. 1 podstavak 13)</w:t>
      </w:r>
    </w:p>
    <w:p w:rsidR="005C2091" w:rsidRDefault="00A86293">
      <w:pPr>
        <w:pStyle w:val="Heading8"/>
        <w:jc w:val="left"/>
      </w:pPr>
      <w:r>
        <w:t>Opis aktivnosti</w:t>
      </w:r>
    </w:p>
    <w:p w:rsidR="005C2091" w:rsidRDefault="00A86293">
      <w:r>
        <w:t>U ovoj aktivnosti osigurana su sredstva za financiranje redovnog programa HKD Napredak. HKD Napredak je od svog osnivanja pa sve do danas postalo i ostalo sjecište kultrnog i intelektualnog života Hrvata i mnogih drugih na ovim prostorima. U 2016. godini nije bilo odstupanja od plana. Sredstva su u cijelosti utrošena.</w:t>
      </w:r>
    </w:p>
    <w:p w:rsidR="005C2091" w:rsidRDefault="00A86293">
      <w:pPr>
        <w:pStyle w:val="Heading4"/>
      </w:pPr>
      <w:r>
        <w:t>A785011 OPERATIVNI PROGRAM UČINKOVITI LJUDSKI POTENCIJALI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A785011-OPERATIVNI PROGRAM UČINKOVITI LJUDSKI POTENCIJALI</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4.413.739</w:t>
            </w:r>
          </w:p>
        </w:tc>
        <w:tc>
          <w:tcPr>
            <w:tcW w:w="2041" w:type="dxa"/>
          </w:tcPr>
          <w:p w:rsidR="005C2091" w:rsidRDefault="00A86293">
            <w:pPr>
              <w:pStyle w:val="CellColumn"/>
              <w:jc w:val="right"/>
            </w:pPr>
            <w:r>
              <w:rPr>
                <w:rFonts w:cs="Times New Roman"/>
              </w:rPr>
              <w:t>1.755.241</w:t>
            </w:r>
          </w:p>
        </w:tc>
        <w:tc>
          <w:tcPr>
            <w:tcW w:w="1224" w:type="dxa"/>
          </w:tcPr>
          <w:p w:rsidR="005C2091" w:rsidRDefault="00A86293">
            <w:pPr>
              <w:pStyle w:val="CellColumn"/>
              <w:jc w:val="right"/>
            </w:pPr>
            <w:r>
              <w:rPr>
                <w:rFonts w:cs="Times New Roman"/>
              </w:rPr>
              <w:t>39,8</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uspostavi institucionalnog okvira za provedbu Europskih strukturnih i investicijskih fondova u Republici Hrvatskoj u financijskom razdoblju 2014.-2020. (NN 92/2014)  </w:t>
      </w:r>
    </w:p>
    <w:p w:rsidR="005C2091" w:rsidRDefault="00A86293">
      <w:r>
        <w:t xml:space="preserve">Uredba o tijelima u sustavima upravljanja i kontrole korištenja Europskog  socijalnog fonda, Europskog fonda za regionalni razvoj i Kohezijskog fonda, u vezi s ciljem „Ulaganje za rast i radna mjesta“ (NN 107/2014 i 23/15), članak 5., stavak 2.  </w:t>
      </w:r>
    </w:p>
    <w:p w:rsidR="005C2091" w:rsidRDefault="00A86293">
      <w:r>
        <w:t xml:space="preserve">Smjernica u okviru Operativnog programa Učinkoviti ljudski potencijali 2014.-2020. broj 3 „Dodjela bespovratnih sredstava“ (verzija 2.0), točka 7.4.2.3.  </w:t>
      </w:r>
    </w:p>
    <w:p w:rsidR="005C2091" w:rsidRDefault="00A86293">
      <w:r>
        <w:t>Uredba o izmjenama Uredbe o unutarnjem ustrojstvu Ministarstva kulture (NN br. 63/15)</w:t>
      </w:r>
    </w:p>
    <w:p w:rsidR="005C2091" w:rsidRDefault="00A86293">
      <w:pPr>
        <w:pStyle w:val="Heading8"/>
        <w:jc w:val="left"/>
      </w:pPr>
      <w:r>
        <w:t>Opis aktivnosti</w:t>
      </w:r>
    </w:p>
    <w:p w:rsidR="005C2091" w:rsidRDefault="00A86293">
      <w:r>
        <w:t>Sredstva na ovoj aktivnosti odnose se na korištenje tehničke pomoći s obzirom na to da je Ministarstvo kulture, sukladno  Uredbi o tijelima u sustavima upravljanja i kontrole korištenja Europskog socijalnog fonda, Europskog fonda za regionalni razvoj i Kohezijskog fonda, u vezi s ciljem "Ulaganje za rast i radna mjesta" te Uredbom o izmjenama Uredbe o tijelima u sustavima upravljanja i kontrole korištenja Europskog socijalnog fonda, Europskog fonda za regionalni razvoj i Kohezijskog fonda, u vezi s ciljem "Ulaganje za rast i radna mjesta", Posredničko tijelo razine 1 za Operativni program ''Učinkoviti ljudski potencijali 2014. – 2020.'', te je nadležno je za specifični cilj 9.i.1 Borba protiv siromaštva i socijalne isključenosti kroz promociju integracije na tržište rada i socijalne integracije ranjivih skupina, i borba protiv svih oblika diskriminacije, prioritetne osi Socijalno uključivanje te specifični cilj 11.ii.1. Razvoj kapaciteta organizacija civilnog društva, osobito udruga i socijalnih partnera te jačanje civilnog i socijalnog dijaloga radi boljeg upravljanja, prioritetne osi Dobro upravljanje. 1. travnja 2016. Ministarstvo kulture je dobilo obavijest o dodjeli bespovratnih sredstava iz Prioritetne osi 5 – Tehnička pomoć   Operativnog programa Učinkoviti ljudski potencijali. U prvoj polovici 2016. godine u tijeku je bila akreditacija tj. cjelovita uspostava sustava upravljanja Europskim socijalnim fondom za programsko razdoblje 2014.-2020. koju je vodilo Upravljačko tijelo – Ministarstvo rada i mirovinskog sustava. Također, nisu bile do kraja definirane procedure niti su bili pripremljeni odgovarajući dokumenti nužni za ispunjenje uvjeta propisanih relevantnim propisima Europske unije, smjernicama Europske komisije te međunarodno prihvaćenim revizijskim standardima.  Tek 18. svibnja 2016. godine Agencija za reviziju sustava provedbe programa Europske Unije, nakon postupka procjene usklađenosti koji je proveden u razdoblju od 23. veljače 2016. godine do 13. svibnja 2016. godine, davanjem pozitivnog (bezuvjetnog) mišljenja, je potvrdila kako je sustav upravljanja i kontrola Europskim socijalnim fondom usklađen s relevantnim propisima Europske unije za financijsko razdoblje 2014.-2020. što je omogućilo korištenje sredstava iz Europskog socijalnog fonda. S obzirom na to da je proces akreditacije bio dug, nisu objavljeni planirani pozivi za dodjelu bespovratnih sredstava u okviru navedenog Operativnog programa te sukladno tome je izvršenje proračuna na navedenoj aktivnosti bilo manje od planiranog.</w:t>
      </w:r>
    </w:p>
    <w:p w:rsidR="003A7C09" w:rsidRDefault="003A7C09"/>
    <w:p w:rsidR="005C2091" w:rsidRDefault="00A86293">
      <w:pPr>
        <w:pStyle w:val="Heading4"/>
      </w:pPr>
      <w:r>
        <w:t>A785013 SAMOSTALNI UMJETNICI - DUG PRIJAŠNJIH GODINA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A785013-SAMOSTALNI UMJETNICI - DUG PRIJAŠNJIH GODINA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6.039.074</w:t>
            </w:r>
          </w:p>
        </w:tc>
        <w:tc>
          <w:tcPr>
            <w:tcW w:w="2041" w:type="dxa"/>
          </w:tcPr>
          <w:p w:rsidR="005C2091" w:rsidRDefault="00A86293">
            <w:pPr>
              <w:pStyle w:val="CellColumn"/>
              <w:jc w:val="right"/>
            </w:pPr>
            <w:r>
              <w:rPr>
                <w:rFonts w:cs="Times New Roman"/>
              </w:rPr>
              <w:t>6.039.073</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pravima samostalnih umjetnika i poticanju kulturnog i umjetničkog stvaralaštva ( NN43/96, 44/96) </w:t>
      </w:r>
    </w:p>
    <w:p w:rsidR="005C2091" w:rsidRDefault="00A86293">
      <w:r>
        <w:t>Pravilnik o načinu i uvjetima za priznavanje prava samostalnih umjetnika na uplatu obveznih doprinosa za mirovinsko i zdravstveno osiguranje iz sredstava proračuna Republike Hrvatske (NN 91/15)</w:t>
      </w:r>
    </w:p>
    <w:p w:rsidR="005C2091" w:rsidRDefault="00A86293">
      <w:pPr>
        <w:pStyle w:val="Heading8"/>
        <w:jc w:val="left"/>
      </w:pPr>
      <w:r>
        <w:t>Opis aktivnosti</w:t>
      </w:r>
    </w:p>
    <w:p w:rsidR="005C2091" w:rsidRDefault="00A86293">
      <w:r>
        <w:t>Plaćanje zatezne kamate  zbog nepravovremneog plaćanja doprinosa za zdravstveno osiguranje samostalnih umjetnika.</w:t>
      </w:r>
    </w:p>
    <w:p w:rsidR="00EA1ADA" w:rsidRDefault="00EA1ADA"/>
    <w:p w:rsidR="005C2091" w:rsidRDefault="00A86293">
      <w:pPr>
        <w:pStyle w:val="Heading4"/>
      </w:pPr>
      <w:r>
        <w:t>K564016 INFORMATIZACIJA USTANOVA KULTURE</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K564016-INFORMATIZACIJA USTANOVA KULTURE</w:t>
            </w:r>
          </w:p>
        </w:tc>
        <w:tc>
          <w:tcPr>
            <w:tcW w:w="2041" w:type="dxa"/>
          </w:tcPr>
          <w:p w:rsidR="005C2091" w:rsidRDefault="00A86293">
            <w:pPr>
              <w:pStyle w:val="CellColumn"/>
              <w:jc w:val="right"/>
            </w:pPr>
            <w:r>
              <w:rPr>
                <w:rFonts w:cs="Times New Roman"/>
              </w:rPr>
              <w:t>1.300.000</w:t>
            </w:r>
          </w:p>
        </w:tc>
        <w:tc>
          <w:tcPr>
            <w:tcW w:w="2041" w:type="dxa"/>
          </w:tcPr>
          <w:p w:rsidR="005C2091" w:rsidRDefault="00A86293">
            <w:pPr>
              <w:pStyle w:val="CellColumn"/>
              <w:jc w:val="right"/>
            </w:pPr>
            <w:r>
              <w:rPr>
                <w:rFonts w:cs="Times New Roman"/>
              </w:rPr>
              <w:t>1.400.000</w:t>
            </w:r>
          </w:p>
        </w:tc>
        <w:tc>
          <w:tcPr>
            <w:tcW w:w="2041" w:type="dxa"/>
          </w:tcPr>
          <w:p w:rsidR="005C2091" w:rsidRDefault="00A86293">
            <w:pPr>
              <w:pStyle w:val="CellColumn"/>
              <w:jc w:val="right"/>
            </w:pPr>
            <w:r>
              <w:rPr>
                <w:rFonts w:cs="Times New Roman"/>
              </w:rPr>
              <w:t>1.400.000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107,7</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2016. godinu.</w:t>
      </w:r>
    </w:p>
    <w:p w:rsidR="005C2091" w:rsidRDefault="00A86293">
      <w:pPr>
        <w:pStyle w:val="Heading8"/>
        <w:jc w:val="left"/>
      </w:pPr>
      <w:r>
        <w:t>Opis aktivnosti</w:t>
      </w:r>
    </w:p>
    <w:p w:rsidR="005C2091" w:rsidRDefault="00A86293">
      <w:r>
        <w:t>U okviru ove aktivnosti osigurana su sredstva za potporu nabave računalne opreme, razvoja informacijskih sustava i projekata, internetizaciju ustanova i udruga kulture, i razvoj baza podataka kulturnih informacija ustanova kulture kojih nije osnivač Repubika Hrvatska. U 2016. godini sredstva su u cijelosti utrošena. Nije bilo odstupanja od plana.</w:t>
      </w:r>
    </w:p>
    <w:p w:rsidR="003A7C09" w:rsidRDefault="003A7C09"/>
    <w:p w:rsidR="003A7C09" w:rsidRDefault="003A7C09"/>
    <w:p w:rsidR="005C2091" w:rsidRDefault="00A86293">
      <w:pPr>
        <w:pStyle w:val="Heading4"/>
      </w:pPr>
      <w:r>
        <w:t>K565018 IZGRADNJA, ODRŽAVANJE I OPREMANJE USTANOVA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K565018-IZGRADNJA, ODRŽAVANJE I OPREMANJE USTANOVA KULTURE</w:t>
            </w:r>
          </w:p>
        </w:tc>
        <w:tc>
          <w:tcPr>
            <w:tcW w:w="2041" w:type="dxa"/>
          </w:tcPr>
          <w:p w:rsidR="005C2091" w:rsidRDefault="00A86293">
            <w:pPr>
              <w:pStyle w:val="CellColumn"/>
              <w:jc w:val="right"/>
            </w:pPr>
            <w:r>
              <w:rPr>
                <w:rFonts w:cs="Times New Roman"/>
              </w:rPr>
              <w:t>73.490.072</w:t>
            </w:r>
          </w:p>
        </w:tc>
        <w:tc>
          <w:tcPr>
            <w:tcW w:w="2041" w:type="dxa"/>
          </w:tcPr>
          <w:p w:rsidR="005C2091" w:rsidRDefault="00A86293">
            <w:pPr>
              <w:pStyle w:val="CellColumn"/>
              <w:jc w:val="right"/>
            </w:pPr>
            <w:r>
              <w:rPr>
                <w:rFonts w:cs="Times New Roman"/>
              </w:rPr>
              <w:t>52.265.000</w:t>
            </w:r>
          </w:p>
        </w:tc>
        <w:tc>
          <w:tcPr>
            <w:tcW w:w="2041" w:type="dxa"/>
          </w:tcPr>
          <w:p w:rsidR="005C2091" w:rsidRDefault="00A86293">
            <w:pPr>
              <w:pStyle w:val="CellColumn"/>
              <w:jc w:val="right"/>
            </w:pPr>
            <w:r>
              <w:rPr>
                <w:rFonts w:cs="Times New Roman"/>
              </w:rPr>
              <w:t>52.265.000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71,1</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2016. godinu.</w:t>
      </w:r>
    </w:p>
    <w:p w:rsidR="005C2091" w:rsidRDefault="00A86293">
      <w:pPr>
        <w:pStyle w:val="Heading8"/>
        <w:jc w:val="left"/>
      </w:pPr>
      <w:r>
        <w:t>Opis aktivnosti</w:t>
      </w:r>
    </w:p>
    <w:p w:rsidR="005C2091" w:rsidRDefault="00A86293">
      <w:r>
        <w:t>U okviru ove aktivnosti planiraju se sredstva za programe investicijske potpore ustanovama kulture kojima su osnivači jedinice lokalne uprave i samouprave u skladu sa Zakonom o financiranju javnih potreba u kulturi te na principu solidarnosti i uzajamnosti. U 2016. godini financirano je 229 programa. Sredstva su u cijelosti utrošena. Nije bilo odstupanja od plana.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3A7C09">
            <w:pPr>
              <w:pStyle w:val="CellColumn"/>
              <w:spacing w:after="0"/>
              <w:jc w:val="left"/>
            </w:pPr>
            <w:r>
              <w:rPr>
                <w:rFonts w:cs="Times New Roman"/>
              </w:rPr>
              <w:t xml:space="preserve">Stabilna </w:t>
            </w:r>
            <w:r w:rsidR="003A7C09">
              <w:rPr>
                <w:rFonts w:cs="Times New Roman"/>
              </w:rPr>
              <w:t>investicijs</w:t>
            </w:r>
            <w:r>
              <w:rPr>
                <w:rFonts w:cs="Times New Roman"/>
              </w:rPr>
              <w:t xml:space="preserve">ka </w:t>
            </w:r>
          </w:p>
          <w:p w:rsidR="005C2091" w:rsidRDefault="00A86293" w:rsidP="003A7C09">
            <w:pPr>
              <w:pStyle w:val="CellColumn"/>
              <w:spacing w:after="0"/>
              <w:jc w:val="left"/>
            </w:pPr>
            <w:r>
              <w:rPr>
                <w:rFonts w:cs="Times New Roman"/>
              </w:rPr>
              <w:t xml:space="preserve">potpora kulturnim </w:t>
            </w:r>
            <w:r w:rsidR="003A7C09">
              <w:rPr>
                <w:rFonts w:cs="Times New Roman"/>
              </w:rPr>
              <w:t>ustanova</w:t>
            </w:r>
            <w:r>
              <w:rPr>
                <w:rFonts w:cs="Times New Roman"/>
              </w:rPr>
              <w:t xml:space="preserve">ma na  lokalnoj </w:t>
            </w:r>
          </w:p>
          <w:p w:rsidR="005C2091" w:rsidRDefault="00A86293" w:rsidP="003A7C09">
            <w:pPr>
              <w:pStyle w:val="CellColumn"/>
              <w:spacing w:after="0"/>
              <w:jc w:val="left"/>
            </w:pPr>
            <w:r>
              <w:rPr>
                <w:rFonts w:cs="Times New Roman"/>
              </w:rPr>
              <w:t xml:space="preserve">razini (narodne knjižnice i </w:t>
            </w:r>
          </w:p>
          <w:p w:rsidR="005C2091" w:rsidRDefault="00A86293" w:rsidP="003A7C09">
            <w:pPr>
              <w:pStyle w:val="CellColumn"/>
              <w:spacing w:after="0"/>
              <w:jc w:val="left"/>
            </w:pPr>
            <w:r>
              <w:rPr>
                <w:rFonts w:cs="Times New Roman"/>
              </w:rPr>
              <w:t xml:space="preserve">centri/do </w:t>
            </w:r>
            <w:r w:rsidR="003A7C09">
              <w:rPr>
                <w:rFonts w:cs="Times New Roman"/>
              </w:rPr>
              <w:t>movi kulture,</w:t>
            </w:r>
            <w:r>
              <w:rPr>
                <w:rFonts w:cs="Times New Roman"/>
              </w:rPr>
              <w:t xml:space="preserve">muzeji, </w:t>
            </w:r>
          </w:p>
          <w:p w:rsidR="005C2091" w:rsidRDefault="00A86293" w:rsidP="003A7C09">
            <w:pPr>
              <w:pStyle w:val="CellColumn"/>
              <w:spacing w:after="0"/>
              <w:jc w:val="left"/>
            </w:pPr>
            <w:r>
              <w:rPr>
                <w:rFonts w:cs="Times New Roman"/>
              </w:rPr>
              <w:t>kazališta)</w:t>
            </w:r>
          </w:p>
        </w:tc>
        <w:tc>
          <w:tcPr>
            <w:tcW w:w="2551" w:type="dxa"/>
          </w:tcPr>
          <w:p w:rsidR="005C2091" w:rsidRDefault="00A86293" w:rsidP="003A7C09">
            <w:pPr>
              <w:pStyle w:val="CellColumn"/>
              <w:spacing w:after="0"/>
              <w:jc w:val="left"/>
            </w:pPr>
            <w:r>
              <w:rPr>
                <w:rFonts w:cs="Times New Roman"/>
              </w:rPr>
              <w:t xml:space="preserve">Stabilan broj programa </w:t>
            </w:r>
          </w:p>
          <w:p w:rsidR="005C2091" w:rsidRDefault="00A86293" w:rsidP="003A7C09">
            <w:pPr>
              <w:pStyle w:val="CellColumn"/>
              <w:spacing w:after="0"/>
              <w:jc w:val="left"/>
            </w:pPr>
            <w:r>
              <w:rPr>
                <w:rFonts w:cs="Times New Roman"/>
              </w:rPr>
              <w:t xml:space="preserve">izgradnje, </w:t>
            </w:r>
            <w:r w:rsidR="003A7C09">
              <w:rPr>
                <w:rFonts w:cs="Times New Roman"/>
              </w:rPr>
              <w:t>održavanj</w:t>
            </w:r>
            <w:r>
              <w:rPr>
                <w:rFonts w:cs="Times New Roman"/>
              </w:rPr>
              <w:t xml:space="preserve">a, </w:t>
            </w:r>
          </w:p>
          <w:p w:rsidR="005C2091" w:rsidRDefault="003A7C09" w:rsidP="003A7C09">
            <w:pPr>
              <w:pStyle w:val="CellColumn"/>
              <w:spacing w:after="0"/>
              <w:jc w:val="left"/>
            </w:pPr>
            <w:r>
              <w:rPr>
                <w:rFonts w:cs="Times New Roman"/>
              </w:rPr>
              <w:t>informatiz</w:t>
            </w:r>
            <w:r w:rsidR="00A86293">
              <w:rPr>
                <w:rFonts w:cs="Times New Roman"/>
              </w:rPr>
              <w:t xml:space="preserve">acije i opremanj </w:t>
            </w:r>
          </w:p>
          <w:p w:rsidR="005C2091" w:rsidRDefault="00A86293" w:rsidP="003A7C09">
            <w:pPr>
              <w:pStyle w:val="CellColumn"/>
              <w:spacing w:after="0"/>
              <w:jc w:val="left"/>
            </w:pPr>
            <w:r>
              <w:rPr>
                <w:rFonts w:cs="Times New Roman"/>
              </w:rPr>
              <w:t xml:space="preserve">a mreže kulturnih ustanova </w:t>
            </w:r>
          </w:p>
          <w:p w:rsidR="005C2091" w:rsidRDefault="00A86293" w:rsidP="003A7C09">
            <w:pPr>
              <w:pStyle w:val="CellColumn"/>
              <w:spacing w:after="0"/>
              <w:jc w:val="left"/>
            </w:pPr>
            <w:r>
              <w:rPr>
                <w:rFonts w:cs="Times New Roman"/>
              </w:rPr>
              <w:t xml:space="preserve">na lokalnoj i </w:t>
            </w:r>
            <w:r w:rsidR="003A7C09">
              <w:rPr>
                <w:rFonts w:cs="Times New Roman"/>
              </w:rPr>
              <w:t>regionaln</w:t>
            </w:r>
            <w:r>
              <w:rPr>
                <w:rFonts w:cs="Times New Roman"/>
              </w:rPr>
              <w:t xml:space="preserve">oj razini uz </w:t>
            </w:r>
            <w:r w:rsidR="003A7C09">
              <w:rPr>
                <w:rFonts w:cs="Times New Roman"/>
              </w:rPr>
              <w:t>zadržava</w:t>
            </w:r>
            <w:r>
              <w:rPr>
                <w:rFonts w:cs="Times New Roman"/>
              </w:rPr>
              <w:t xml:space="preserve">nje </w:t>
            </w:r>
          </w:p>
          <w:p w:rsidR="005C2091" w:rsidRDefault="003A7C09" w:rsidP="003A7C09">
            <w:pPr>
              <w:pStyle w:val="CellColumn"/>
              <w:spacing w:after="0"/>
              <w:jc w:val="left"/>
            </w:pPr>
            <w:r>
              <w:rPr>
                <w:rFonts w:cs="Times New Roman"/>
              </w:rPr>
              <w:t>pokriveno</w:t>
            </w:r>
            <w:r w:rsidR="00A86293">
              <w:rPr>
                <w:rFonts w:cs="Times New Roman"/>
              </w:rPr>
              <w:t xml:space="preserve">sti investicijske </w:t>
            </w:r>
          </w:p>
          <w:p w:rsidR="005C2091" w:rsidRDefault="00A86293" w:rsidP="003A7C09">
            <w:pPr>
              <w:pStyle w:val="CellColumn"/>
              <w:spacing w:after="0"/>
              <w:jc w:val="left"/>
            </w:pPr>
            <w:r>
              <w:rPr>
                <w:rFonts w:cs="Times New Roman"/>
              </w:rPr>
              <w:t xml:space="preserve">potvore u svim županija u </w:t>
            </w:r>
          </w:p>
          <w:p w:rsidR="005C2091" w:rsidRDefault="00A86293" w:rsidP="003A7C09">
            <w:pPr>
              <w:pStyle w:val="CellColumn"/>
              <w:spacing w:after="0"/>
              <w:jc w:val="left"/>
            </w:pPr>
            <w:r>
              <w:rPr>
                <w:rFonts w:cs="Times New Roman"/>
              </w:rPr>
              <w:t>RH</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160</w:t>
            </w:r>
          </w:p>
        </w:tc>
        <w:tc>
          <w:tcPr>
            <w:tcW w:w="1020" w:type="dxa"/>
          </w:tcPr>
          <w:p w:rsidR="005C2091" w:rsidRDefault="00A86293">
            <w:pPr>
              <w:pStyle w:val="CellColumn"/>
              <w:jc w:val="right"/>
            </w:pPr>
            <w:r>
              <w:rPr>
                <w:rFonts w:cs="Times New Roman"/>
              </w:rPr>
              <w:t>MK</w:t>
            </w:r>
          </w:p>
        </w:tc>
        <w:tc>
          <w:tcPr>
            <w:tcW w:w="1020" w:type="dxa"/>
          </w:tcPr>
          <w:p w:rsidR="005C2091" w:rsidRDefault="00A86293">
            <w:pPr>
              <w:pStyle w:val="CellColumn"/>
              <w:jc w:val="right"/>
            </w:pPr>
            <w:r>
              <w:rPr>
                <w:rFonts w:cs="Times New Roman"/>
              </w:rPr>
              <w:t>160</w:t>
            </w:r>
          </w:p>
        </w:tc>
        <w:tc>
          <w:tcPr>
            <w:tcW w:w="1020" w:type="dxa"/>
          </w:tcPr>
          <w:p w:rsidR="005C2091" w:rsidRDefault="00A86293">
            <w:pPr>
              <w:pStyle w:val="CellColumn"/>
              <w:jc w:val="right"/>
            </w:pPr>
            <w:r>
              <w:rPr>
                <w:rFonts w:cs="Times New Roman"/>
              </w:rPr>
              <w:t>189</w:t>
            </w:r>
          </w:p>
        </w:tc>
      </w:tr>
    </w:tbl>
    <w:p w:rsidR="005C2091" w:rsidRDefault="005C2091">
      <w:pPr>
        <w:jc w:val="left"/>
      </w:pPr>
    </w:p>
    <w:p w:rsidR="005C2091" w:rsidRDefault="00A86293">
      <w:pPr>
        <w:pStyle w:val="Heading4"/>
      </w:pPr>
      <w:r>
        <w:t>K565029 NACIONALNI PROGRAM DIGITALIZACIJE</w:t>
      </w:r>
    </w:p>
    <w:tbl>
      <w:tblPr>
        <w:tblStyle w:val="StilTablice"/>
        <w:tblW w:w="10206" w:type="dxa"/>
        <w:jc w:val="center"/>
        <w:tblLook w:val="04A0" w:firstRow="1" w:lastRow="0" w:firstColumn="1" w:lastColumn="0" w:noHBand="0" w:noVBand="1"/>
      </w:tblPr>
      <w:tblGrid>
        <w:gridCol w:w="1660"/>
        <w:gridCol w:w="2034"/>
        <w:gridCol w:w="2033"/>
        <w:gridCol w:w="2034"/>
        <w:gridCol w:w="1222"/>
        <w:gridCol w:w="122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K565029-NACIONALNI PROGRAM DIGITALIZACIJE</w:t>
            </w:r>
          </w:p>
        </w:tc>
        <w:tc>
          <w:tcPr>
            <w:tcW w:w="2041" w:type="dxa"/>
          </w:tcPr>
          <w:p w:rsidR="005C2091" w:rsidRDefault="00A86293">
            <w:pPr>
              <w:pStyle w:val="CellColumn"/>
              <w:jc w:val="right"/>
            </w:pPr>
            <w:r>
              <w:rPr>
                <w:rFonts w:cs="Times New Roman"/>
              </w:rPr>
              <w:t>1.199.964</w:t>
            </w:r>
          </w:p>
        </w:tc>
        <w:tc>
          <w:tcPr>
            <w:tcW w:w="2041" w:type="dxa"/>
          </w:tcPr>
          <w:p w:rsidR="005C2091" w:rsidRDefault="00A86293">
            <w:pPr>
              <w:pStyle w:val="CellColumn"/>
              <w:jc w:val="right"/>
            </w:pPr>
            <w:r>
              <w:rPr>
                <w:rFonts w:cs="Times New Roman"/>
              </w:rPr>
              <w:t>580.000</w:t>
            </w:r>
          </w:p>
        </w:tc>
        <w:tc>
          <w:tcPr>
            <w:tcW w:w="2041" w:type="dxa"/>
          </w:tcPr>
          <w:p w:rsidR="005C2091" w:rsidRDefault="00A86293">
            <w:pPr>
              <w:pStyle w:val="CellColumn"/>
              <w:jc w:val="right"/>
            </w:pPr>
            <w:r>
              <w:rPr>
                <w:rFonts w:cs="Times New Roman"/>
              </w:rPr>
              <w:t>580.000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48,3</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2016. godinu</w:t>
      </w:r>
    </w:p>
    <w:p w:rsidR="005C2091" w:rsidRDefault="00A86293">
      <w:pPr>
        <w:pStyle w:val="Heading8"/>
        <w:jc w:val="left"/>
      </w:pPr>
      <w:r>
        <w:t>Opis aktivnosti</w:t>
      </w:r>
    </w:p>
    <w:p w:rsidR="005C2091" w:rsidRDefault="00A86293">
      <w:r>
        <w:t>U okviru ove aktivnosti osigurana su sredstva za digitalizaciju arhivske, knjižnične i muzejske građe radi dostupnosti kulturne baštine u digitalnom obliku. U 2016. godini financirano je 30 programa. Program je izvršen u cijelosti te nije bilo odstupanja od plana.</w:t>
      </w:r>
    </w:p>
    <w:p w:rsidR="005C2091" w:rsidRDefault="00A86293">
      <w:pPr>
        <w:pStyle w:val="Heading3"/>
      </w:pPr>
      <w:r>
        <w:rPr>
          <w:rFonts w:cs="Times New Roman"/>
        </w:rPr>
        <w:t>3908 ZAŠTITA KULTURNIH DOBARA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3908-ZAŠTITA KULTURNIH DOBARA</w:t>
            </w:r>
          </w:p>
        </w:tc>
        <w:tc>
          <w:tcPr>
            <w:tcW w:w="2041" w:type="dxa"/>
          </w:tcPr>
          <w:p w:rsidR="005C2091" w:rsidRDefault="00A86293">
            <w:pPr>
              <w:pStyle w:val="CellColumn"/>
              <w:jc w:val="right"/>
            </w:pPr>
            <w:r>
              <w:rPr>
                <w:rFonts w:cs="Times New Roman"/>
              </w:rPr>
              <w:t>98.600.812</w:t>
            </w:r>
          </w:p>
        </w:tc>
        <w:tc>
          <w:tcPr>
            <w:tcW w:w="2041" w:type="dxa"/>
          </w:tcPr>
          <w:p w:rsidR="005C2091" w:rsidRDefault="00A86293">
            <w:pPr>
              <w:pStyle w:val="CellColumn"/>
              <w:jc w:val="right"/>
            </w:pPr>
            <w:r>
              <w:rPr>
                <w:rFonts w:cs="Times New Roman"/>
              </w:rPr>
              <w:t>111.483.702</w:t>
            </w:r>
          </w:p>
        </w:tc>
        <w:tc>
          <w:tcPr>
            <w:tcW w:w="2041" w:type="dxa"/>
          </w:tcPr>
          <w:p w:rsidR="005C2091" w:rsidRDefault="00A86293">
            <w:pPr>
              <w:pStyle w:val="CellColumn"/>
              <w:jc w:val="right"/>
            </w:pPr>
            <w:r>
              <w:rPr>
                <w:rFonts w:cs="Times New Roman"/>
              </w:rPr>
              <w:t>140.944.844</w:t>
            </w:r>
          </w:p>
        </w:tc>
        <w:tc>
          <w:tcPr>
            <w:tcW w:w="1224" w:type="dxa"/>
          </w:tcPr>
          <w:p w:rsidR="005C2091" w:rsidRDefault="00A86293">
            <w:pPr>
              <w:pStyle w:val="CellColumn"/>
              <w:jc w:val="right"/>
            </w:pPr>
            <w:r>
              <w:rPr>
                <w:rFonts w:cs="Times New Roman"/>
              </w:rPr>
              <w:t>126,4</w:t>
            </w:r>
          </w:p>
        </w:tc>
        <w:tc>
          <w:tcPr>
            <w:tcW w:w="1224" w:type="dxa"/>
          </w:tcPr>
          <w:p w:rsidR="005C2091" w:rsidRDefault="00A86293">
            <w:pPr>
              <w:pStyle w:val="CellColumn"/>
              <w:jc w:val="right"/>
            </w:pPr>
            <w:r>
              <w:rPr>
                <w:rFonts w:cs="Times New Roman"/>
              </w:rPr>
              <w:t>142,9</w:t>
            </w:r>
          </w:p>
        </w:tc>
      </w:tr>
    </w:tbl>
    <w:p w:rsidR="005C2091" w:rsidRDefault="005C2091">
      <w:pPr>
        <w:jc w:val="left"/>
      </w:pPr>
    </w:p>
    <w:p w:rsidR="005C2091" w:rsidRDefault="00A86293">
      <w:r>
        <w:t>Kulturnu baštinu čine pokretna i nepokretna kulturna dobra od umjetničkoga, povijesnoga, paleontološkoga, arheološkoga, antropološkog i znanstvenog značenja kao i dokumentacija i bibliografska baština i zgrade, odnosno prostori u kojima se trajno čuvaju ili izlažu kulturna dobra i dokumentacija o njima. Kulturna baština također su i arheološka nalazišta i arheološke zone, krajolici i njihovi dijelovi koji svjedoče o čovjekovoj prisutnosti u prostoru te nematerijalni oblici kulturne baštine i pojave čovjekova duhovnog stvaralaštva u prošlosti. Vrijednosti kulturne baštine prepoznajemo kao starosne, povijesne, kulturne, umjetničke i autentične.</w:t>
      </w:r>
    </w:p>
    <w:p w:rsidR="005C2091" w:rsidRDefault="00A86293">
      <w:pPr>
        <w:pStyle w:val="Heading8"/>
        <w:jc w:val="left"/>
      </w:pPr>
      <w:r>
        <w:t>Cilj 1. Razvoj GIS sustava i uspostava nove platforme jedinstvenog Informacijskog sustava kulturne baštine Republike Hrvatske TEUTA</w:t>
      </w:r>
    </w:p>
    <w:p w:rsidR="005C2091" w:rsidRDefault="00A86293">
      <w:pPr>
        <w:pStyle w:val="Heading8"/>
        <w:jc w:val="left"/>
      </w:pPr>
      <w:r>
        <w:t>Opis provedbe cilja programa</w:t>
      </w:r>
    </w:p>
    <w:p w:rsidR="005C2091" w:rsidRDefault="00A86293">
      <w:r>
        <w:t>Ministarstvo kulture, Uprava za zaštitu kulturne baštine izraditi će projekt revitalizacije i nadogradnje postojećeg informacijskog sustava koji će obuhvatiti podatke Registra, cjelokupnu dokumentaciju kulturne baštine te podatke koji su potrebni za podršku radnim procesima u upravljanju kulturnim dobrima. U razdoblju od tri godine osigurat će se dostupnost jedinstvenog informacijskog sustava kulturne baštine svim čimbenicima koji su uključeni u službu zaštite i očuvanja kulturne baštine, sustav upravljanja kulturnim dobrima te dijela javnosti. Također, sustav će biti izrađen kao Geografsko-informacijski sustav (GIS) upravljanja kulturnom baštinom, povezan s Državnom geodetskom upravom i katastrom, s mogućnošću pretraživanja putem interaktivne karte i pretraživanja cjelokupnog fonda kulturne baštine Republike Hrvatske, a sve u skladu Nacionalnom infrastrukturom prostornih podataka (NIPP), odnosno INSPIRE direktivom. Implementacijom GIS sustava ostvariti će se dostupnost prostornim podacima i povezivanje sa podacima Registra kulturnih dobara RH koji je javna knjiga.</w:t>
      </w:r>
    </w:p>
    <w:p w:rsidR="005C2091" w:rsidRDefault="00A86293">
      <w:pPr>
        <w:pStyle w:val="Heading8"/>
        <w:jc w:val="left"/>
      </w:pPr>
      <w:r>
        <w:t>Cilj 2. Istraživanje, dokumentiranje i inventarizacija kulturnih dobara</w:t>
      </w:r>
    </w:p>
    <w:p w:rsidR="005C2091" w:rsidRDefault="00A86293">
      <w:pPr>
        <w:pStyle w:val="Heading8"/>
        <w:jc w:val="left"/>
      </w:pPr>
      <w:r>
        <w:t>Opis provedbe cilja programa</w:t>
      </w:r>
    </w:p>
    <w:p w:rsidR="005C2091" w:rsidRDefault="00A86293">
      <w:r>
        <w:t xml:space="preserve">Ministarstvo kulture kroz mrežu od devetnaest konzervatorskih odjela zajedno sa Upravom za zaštitu kulturne baštine i Gradskim zavodom za zaštitu spomenike kulture i prirode grada Zagreba, provodi prikupljanje podataka o kulturnoj baštini. Aktivnost objedinjuje dokumentiranje, istražne radove te izradu elaborata, inventarizaciju pokretnih kulturnih dobara, kao i pohranjivanje podataka. Prikupljeni podaci o kulturnoj baštini sustavno se uvode u informacijsku bazu podataka tvoreći jedinstven Informacijski sustav kulturne baštine „ISKB-Teuta“. Time se omogućuje jednostavan i brz prijenos podataka i informacija koji se koristi u službene svrhe, za znanstveno istraživanje i u publicističke svrhe, za potrebe nastave i izlaganja te u druge opravdane svrhe za potrebe javnosti. </w:t>
      </w:r>
    </w:p>
    <w:p w:rsidR="005C2091" w:rsidRDefault="00A86293">
      <w:r>
        <w:t>Jačanjem kriterija za unificiranost dokumentacije uz edukacijske programe, Ministarstvo kulture će pridonijeti kvaliteti prikupljenih i obnovljivih podataka važnih za zaštitu i očuvanje baštine.</w:t>
      </w:r>
    </w:p>
    <w:p w:rsidR="005C2091" w:rsidRDefault="00A86293">
      <w:pPr>
        <w:pStyle w:val="Heading8"/>
        <w:jc w:val="left"/>
      </w:pPr>
      <w:r>
        <w:t>Cilj 3. Dostupnost kulturne baštine u digitalnom okruženju</w:t>
      </w:r>
    </w:p>
    <w:p w:rsidR="005C2091" w:rsidRDefault="00A86293">
      <w:pPr>
        <w:pStyle w:val="Heading8"/>
        <w:jc w:val="left"/>
      </w:pPr>
      <w:r>
        <w:t>Opis provedbe cilja programa</w:t>
      </w:r>
    </w:p>
    <w:p w:rsidR="005C2091" w:rsidRDefault="00A86293">
      <w:r>
        <w:t xml:space="preserve">Ministarstvo kulture usvojilo je „Strategiju digitalizacije kulturne baštine“ kojom se definira plan razvoja digitalizacije do 2020. godine. Prema navedenoj Strategiji, Ministarstvo kulture uspostaviti će nacionalni </w:t>
      </w:r>
    </w:p>
    <w:p w:rsidR="005C2091" w:rsidRDefault="00A86293">
      <w:r>
        <w:t xml:space="preserve">informacijski sustav koji će omogućiti integrirano pretraživanje i pristup digitalnoj kulturnoj baštini, agregaciju metapodataka i interoperabilnost sustava koji se koriste u pojedinim djelatnostima. Dio podataka o kulturnoj baštini pohranjen unutar sustava Ministarstva kulture, odnosno središnjeg dijela Uprave za zaštitu kulturne baštine biti će obuhvaćeno jedinstvenim Informacijskim sustavom kako bi podaci o kulturnoj baštini bili dostupni svim subjektima u sustavu zaštite. IT sustavom ISKB Teuta digitalizirati će se svi prikupljeni i obrađeni podaci o kulturnoj baštini na suvremenoj programskoj platformi uz očuvanje/konverziju svih podataka koji su do sada uneseni u bazu. Sustav predmnijeva da se u sustav ISKB inkonporira i sustav digitalizacije prema nacionalnom programu digitalizacije (Europeana). U slijedećem trogodišnjem razdoblju, Ministarstvo kulture će razviti i uspostaviti sustav za agregaciju podataka, sustav trajne pohrane, sustav dodjele jedinstvenog identifikacijskog broja digitalnom objektu (Muzejski dokumentacijski centar – za građu pohranjenu u muzejima, Hrvatski državni arhiv – za građu pohranjenu u arhivima, Nacionalna i sveučilišna knjižnica – za građu pohranjenu u knjižnicama, </w:t>
      </w:r>
    </w:p>
    <w:p w:rsidR="005C2091" w:rsidRDefault="00A86293">
      <w:r>
        <w:t>Hrvatski audiovizualni centar – za audiovizualnu građu, Ministarstvo kulture – materijalna i nematerijalna baština obrađena u sustavu Teuta).</w:t>
      </w:r>
    </w:p>
    <w:p w:rsidR="005C2091" w:rsidRDefault="00A86293">
      <w:pPr>
        <w:pStyle w:val="Heading8"/>
        <w:jc w:val="left"/>
      </w:pPr>
      <w:r>
        <w:t>Cilj 4. Unapređenje modela za upravljanje kulturnim dobrima izradom normativa i propisa, akcijskih i strateških planova</w:t>
      </w:r>
    </w:p>
    <w:p w:rsidR="005C2091" w:rsidRDefault="00A86293">
      <w:pPr>
        <w:pStyle w:val="Heading8"/>
        <w:jc w:val="left"/>
      </w:pPr>
      <w:r>
        <w:t>Opis provedbe cilja programa</w:t>
      </w:r>
    </w:p>
    <w:p w:rsidR="005C2091" w:rsidRDefault="00A86293">
      <w:r>
        <w:t>Postojeći model upravljanja kulturnim dobrima obilježava razmjerno visoka razina funkcionalne raščlanjenosti i usredotočenosti na samu djelatnost i postupke. Usmjeren je prvenstveno na zaštitu i u nedovoljnoj mjeri uključuje elemente dugoročnog održivog gospodarenja i korištenja. Radi podizanja učinkovitosti sustava Ministarstvo kulture će uskladiti normativna i postupkovna pravila te funkcionalno integrirati procese i učinke čiji su nositelji različiti čimbenici u upravljanju kulturnim dobrima. Nastavit će se razvoj metodologije izrade integriranih planova upravljanja i održivog korištenja kulturnih dobara te poduprijeti njihovu izradu i primjenu u ciljanoj skupini nositelja zaštite.</w:t>
      </w:r>
    </w:p>
    <w:p w:rsidR="005C2091" w:rsidRDefault="00A86293">
      <w:pPr>
        <w:pStyle w:val="Heading8"/>
        <w:jc w:val="left"/>
      </w:pPr>
      <w:r>
        <w:t>Cilj 5. Razvoj cjelovitih programa zaštite i očuvanja kulturnih dobara</w:t>
      </w:r>
    </w:p>
    <w:p w:rsidR="005C2091" w:rsidRDefault="00A86293">
      <w:pPr>
        <w:pStyle w:val="Heading8"/>
        <w:jc w:val="left"/>
      </w:pPr>
      <w:r>
        <w:t>Opis provedbe cilja programa</w:t>
      </w:r>
    </w:p>
    <w:p w:rsidR="005C2091" w:rsidRDefault="00A86293">
      <w:r>
        <w:t xml:space="preserve">Ministarstvo kulture, jednom godišnje, putem Javnog natječaja prikuplja programe zaštite i očuvanja kulturnih dobara prema vrstama kulturnih dobara. Kontinuiranim prikupljanjem podataka o ulaganjima u obnovu kulturnih dobara razvijati će se baza podataka o verificiranim projektima za zaštitne radove iz Javnog natječaja za Program zaštite kulturnih dobara. Unapređenjem mehanizama za praćenje programa i vrednovanje rezultata ulaganja, ostvariti će se veća učinkovitost povećanjem udjela projekata s većim opsegom i kraćim rokom završetka radova te tako povećati broj kulturnih dobara stavljenih u funkciju. Također, Ministarstvo kulture propisivanjem uvjeta za rad pravnih i fizičkih osoba na restauratorskim, konzervatorskim i drugim poslovima zaštite kulturne baštine unapređuje kvalitetu izvedenih radova na zaštiti i očuvanju kulturne baštine. U tu svrhu, Ministarstvo kulture razvija, Upisnik, (bazu podataka) fizičkih i pravnih osoba na restauratorskim, konzervatorskim i drugim poslovima zaštite kulturne baštine čime je omogućena javnost tih podataka. </w:t>
      </w:r>
    </w:p>
    <w:p w:rsidR="005C2091" w:rsidRDefault="00A86293">
      <w:r>
        <w:t xml:space="preserve">Ministarstvo kulture će poticati i unapređivati suradnju i planiranje na lokalnoj razini putem konzervatorskih odjela. Provedbom edukacije i seminara unaprijediti će sesuradnja svih aktera koji sudjeluju u zaštiti i očuvanju kulturne baštine, uključujući muzejske i arhivske ustanove, privatne osobe i javne službe. Ministarstvo kulture će jačati bilateralnu i multilateralnu suradnju radi unapređenja sustava zaštite kulturnih dobara razmjenom iskustava, pratit će kretanja i nominirati projekte iz područja zaštite i očuvanja kulturne baštine u svrhu korištenja sredstava iz fondova EU. Kao preduvjet, Ministarstvo kulture podržat će pripremu projektne dokumentacije potrebne za predlaganje projekata za financiranje iz navedenih izvora. Ministarstvo kulture pripremilo je Poslovne planove za Maškovića Han u Vrani i palaču Moise na Cresu u okviru zajedničkog programa Europske Komisije i Vijeća Europe (The European Commission/Council of Europe Joint Programme on the Integrated Rehabilitation Project Plan/Survey on the Architectural and Archaeological Heritage - IRPP/SAAH). Projekt ''Obnova Maškovića Hana i gospodarska revitalizacija mjesta Vrana''je završen te je potrebno još osigurati sredstva za opremu. Program je bio odobren za financiranje u sklopu pretpristupnog programa IPA 2009, komponenta I. Projekt ''Obnova palače Moise te edukacijski i gospodarski razvoj grada i otoka Cresa'' financira se u sklopu programa IPA 2013, komponenta I. Objavljen je natječaj za odabir izvođača te se očekuje završetak poslova kroz 3 godine. Ministarstvo kulture priprema projekt „Arheološki park Vučedol“ koji će se financirati sredstvima Europskog fonda za regionalni razvoj (EFRR). Početak provedbe projekta očekuje se u 2016. godini. </w:t>
      </w:r>
    </w:p>
    <w:p w:rsidR="005C2091" w:rsidRDefault="00A86293">
      <w:r>
        <w:t>Pilot projekt lokalnog razvoja otoka Cresa je dio programa Vijeća Europe koji se provodi u nekoliko europskih zemalja s ciljem inovativnih pristupa razvoju ruralnih područja koja imaju iznimno bogatu i kulturnu baštinu. Projekt se temelji na lokaliziranom i teritorijalnom pristupu koji promiče demokratsku kulturu i nove razvojne modele koji u prvi plan stavljaju društvenu i gospodarsku vrijednost baštine. Projekt lokalnog razvoja otoka Cresa provodi se od 2008. godine. Proces pilot projekta se provodi kroz tri glavne faze, a to su: Dijagnoza teritorija, Razvojna strategija i Akcijski plan. Do sada je obavljena Dijagnoza teritorija i usvojen Nacrt strategije razvoja otoka Cresa.</w:t>
      </w:r>
    </w:p>
    <w:p w:rsidR="005C2091" w:rsidRDefault="00A86293">
      <w:pPr>
        <w:pStyle w:val="Heading8"/>
        <w:jc w:val="left"/>
      </w:pPr>
      <w:r>
        <w:t>Cilj 6. Sustavno praćenje stanja kulturnih dobara</w:t>
      </w:r>
    </w:p>
    <w:p w:rsidR="005C2091" w:rsidRDefault="00A86293">
      <w:pPr>
        <w:pStyle w:val="Heading8"/>
        <w:jc w:val="left"/>
      </w:pPr>
      <w:r>
        <w:t>Opis provedbe cilja programa</w:t>
      </w:r>
    </w:p>
    <w:p w:rsidR="005C2091" w:rsidRDefault="00A86293">
      <w:r>
        <w:t>Ministarstvo kulture kroz zaštitu i očuvanje kulturnih dobara želi ustrojiti jedinstven sustav brige za nacionalnu baštinu koji se ogleda kroz sustavno praćenje stanja zaštićenih kulturnih dobara. Ministarstvo kulture će provoditi petogodišnje prikupljanje podataka o stanju kulturnih dobara te prikupljene podatke integrirati u informacijski sustav kulturne baštine. Razvoj kriterija te odabir i sustavno praćenje stanja i ugroženosti kulturnih dobara trebali bi pridonijeti smanjenom broju interventnih, neplaniranih mjera zaštite i očuvanja. Također, obavljanjem inspekcijskih poslova zaštite kulturne baštine osigurati će se kvalitetna skrb i nadzor u okviru zakonske regulative. Intenzivirati će se ugradnja sigurnosnih alarmnih sustava radi zašite kulturnih dobara od krađe, provale i požara.</w:t>
      </w:r>
    </w:p>
    <w:p w:rsidR="00EA1ADA" w:rsidRDefault="00EA1ADA"/>
    <w:p w:rsidR="00EA1ADA" w:rsidRDefault="00EA1ADA"/>
    <w:p w:rsidR="00EA1ADA" w:rsidRDefault="00EA1ADA"/>
    <w:p w:rsidR="00EA1ADA" w:rsidRDefault="00EA1ADA"/>
    <w:p w:rsidR="00EA1ADA" w:rsidRDefault="00EA1ADA"/>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3A7C09">
            <w:pPr>
              <w:pStyle w:val="CellColumn"/>
              <w:spacing w:after="0"/>
              <w:jc w:val="left"/>
            </w:pPr>
            <w:r>
              <w:rPr>
                <w:rFonts w:cs="Times New Roman"/>
              </w:rPr>
              <w:t xml:space="preserve">Povećanje postotka </w:t>
            </w:r>
          </w:p>
          <w:p w:rsidR="005C2091" w:rsidRDefault="00A86293" w:rsidP="003A7C09">
            <w:pPr>
              <w:pStyle w:val="CellColumn"/>
              <w:spacing w:after="0"/>
              <w:jc w:val="left"/>
            </w:pPr>
            <w:r>
              <w:rPr>
                <w:rFonts w:cs="Times New Roman"/>
              </w:rPr>
              <w:t xml:space="preserve">zaštićenih i obnovljenih </w:t>
            </w:r>
          </w:p>
          <w:p w:rsidR="005C2091" w:rsidRDefault="00A86293" w:rsidP="003A7C09">
            <w:pPr>
              <w:pStyle w:val="CellColumn"/>
              <w:spacing w:after="0"/>
              <w:jc w:val="left"/>
            </w:pPr>
            <w:r>
              <w:rPr>
                <w:rFonts w:cs="Times New Roman"/>
              </w:rPr>
              <w:t xml:space="preserve">kulturnih dobara </w:t>
            </w:r>
          </w:p>
          <w:p w:rsidR="005C2091" w:rsidRDefault="00A86293" w:rsidP="003A7C09">
            <w:pPr>
              <w:pStyle w:val="CellColumn"/>
              <w:spacing w:after="0"/>
              <w:jc w:val="left"/>
            </w:pPr>
            <w:r>
              <w:rPr>
                <w:rFonts w:cs="Times New Roman"/>
              </w:rPr>
              <w:t>stavljenih u funkciju</w:t>
            </w:r>
          </w:p>
        </w:tc>
        <w:tc>
          <w:tcPr>
            <w:tcW w:w="2551" w:type="dxa"/>
          </w:tcPr>
          <w:p w:rsidR="005C2091" w:rsidRDefault="00A86293" w:rsidP="003A7C09">
            <w:pPr>
              <w:pStyle w:val="CellColumn"/>
              <w:spacing w:after="0"/>
              <w:jc w:val="left"/>
            </w:pPr>
            <w:r>
              <w:rPr>
                <w:rFonts w:cs="Times New Roman"/>
              </w:rPr>
              <w:t xml:space="preserve">U povećanju udjela </w:t>
            </w:r>
          </w:p>
          <w:p w:rsidR="005C2091" w:rsidRDefault="00A86293" w:rsidP="003A7C09">
            <w:pPr>
              <w:pStyle w:val="CellColumn"/>
              <w:spacing w:after="0"/>
              <w:jc w:val="left"/>
            </w:pPr>
            <w:r>
              <w:rPr>
                <w:rFonts w:cs="Times New Roman"/>
              </w:rPr>
              <w:t xml:space="preserve">zaštićenih i obnovljenih </w:t>
            </w:r>
          </w:p>
          <w:p w:rsidR="005C2091" w:rsidRDefault="00A86293" w:rsidP="003A7C09">
            <w:pPr>
              <w:pStyle w:val="CellColumn"/>
              <w:spacing w:after="0"/>
              <w:jc w:val="left"/>
            </w:pPr>
            <w:r>
              <w:rPr>
                <w:rFonts w:cs="Times New Roman"/>
              </w:rPr>
              <w:t xml:space="preserve">kulturnih dobara u odnosu na </w:t>
            </w:r>
          </w:p>
          <w:p w:rsidR="005C2091" w:rsidRDefault="003A7C09" w:rsidP="003A7C09">
            <w:pPr>
              <w:pStyle w:val="CellColumn"/>
              <w:spacing w:after="0"/>
              <w:jc w:val="left"/>
            </w:pPr>
            <w:r>
              <w:rPr>
                <w:rFonts w:cs="Times New Roman"/>
              </w:rPr>
              <w:t xml:space="preserve">ukupan broj </w:t>
            </w:r>
            <w:r w:rsidR="00A86293">
              <w:rPr>
                <w:rFonts w:cs="Times New Roman"/>
              </w:rPr>
              <w:t xml:space="preserve">registriranih </w:t>
            </w:r>
          </w:p>
          <w:p w:rsidR="005C2091" w:rsidRDefault="00A86293" w:rsidP="003A7C09">
            <w:pPr>
              <w:pStyle w:val="CellColumn"/>
              <w:spacing w:after="0"/>
              <w:jc w:val="left"/>
            </w:pPr>
            <w:r>
              <w:rPr>
                <w:rFonts w:cs="Times New Roman"/>
              </w:rPr>
              <w:t xml:space="preserve">kulturnih dobara </w:t>
            </w:r>
          </w:p>
          <w:p w:rsidR="005C2091" w:rsidRDefault="00A86293" w:rsidP="003A7C09">
            <w:pPr>
              <w:pStyle w:val="CellColumn"/>
              <w:spacing w:after="0"/>
              <w:jc w:val="left"/>
            </w:pPr>
            <w:r>
              <w:rPr>
                <w:rFonts w:cs="Times New Roman"/>
              </w:rPr>
              <w:t xml:space="preserve">stavljenih u funkciju očituje se svrha uspostave optimalnog modela upravljanja </w:t>
            </w:r>
            <w:r w:rsidR="003A7C09">
              <w:rPr>
                <w:rFonts w:cs="Times New Roman"/>
              </w:rPr>
              <w:t xml:space="preserve">kulturnim </w:t>
            </w:r>
            <w:r>
              <w:rPr>
                <w:rFonts w:cs="Times New Roman"/>
              </w:rPr>
              <w:t>dobrima</w:t>
            </w:r>
          </w:p>
        </w:tc>
        <w:tc>
          <w:tcPr>
            <w:tcW w:w="1020" w:type="dxa"/>
          </w:tcPr>
          <w:p w:rsidR="005C2091" w:rsidRDefault="00A86293" w:rsidP="003A7C09">
            <w:pPr>
              <w:pStyle w:val="CellColumn"/>
              <w:spacing w:after="0"/>
              <w:jc w:val="right"/>
            </w:pPr>
            <w:r>
              <w:rPr>
                <w:rFonts w:cs="Times New Roman"/>
              </w:rPr>
              <w:t>%</w:t>
            </w:r>
          </w:p>
        </w:tc>
        <w:tc>
          <w:tcPr>
            <w:tcW w:w="1020" w:type="dxa"/>
          </w:tcPr>
          <w:p w:rsidR="005C2091" w:rsidRDefault="00A86293" w:rsidP="003A7C09">
            <w:pPr>
              <w:pStyle w:val="CellColumn"/>
              <w:spacing w:after="0"/>
              <w:jc w:val="right"/>
            </w:pPr>
            <w:r>
              <w:rPr>
                <w:rFonts w:cs="Times New Roman"/>
              </w:rPr>
              <w:t>43</w:t>
            </w:r>
          </w:p>
        </w:tc>
        <w:tc>
          <w:tcPr>
            <w:tcW w:w="1020" w:type="dxa"/>
          </w:tcPr>
          <w:p w:rsidR="005C2091" w:rsidRDefault="00A86293" w:rsidP="003A7C09">
            <w:pPr>
              <w:pStyle w:val="CellColumn"/>
              <w:spacing w:after="0"/>
              <w:jc w:val="right"/>
            </w:pPr>
            <w:r>
              <w:rPr>
                <w:rFonts w:cs="Times New Roman"/>
              </w:rPr>
              <w:t>MK</w:t>
            </w:r>
          </w:p>
        </w:tc>
        <w:tc>
          <w:tcPr>
            <w:tcW w:w="1020" w:type="dxa"/>
          </w:tcPr>
          <w:p w:rsidR="005C2091" w:rsidRDefault="00A86293" w:rsidP="003A7C09">
            <w:pPr>
              <w:pStyle w:val="CellColumn"/>
              <w:spacing w:after="0"/>
              <w:jc w:val="right"/>
            </w:pPr>
            <w:r>
              <w:rPr>
                <w:rFonts w:cs="Times New Roman"/>
              </w:rPr>
              <w:t>44</w:t>
            </w:r>
          </w:p>
        </w:tc>
        <w:tc>
          <w:tcPr>
            <w:tcW w:w="1020" w:type="dxa"/>
          </w:tcPr>
          <w:p w:rsidR="005C2091" w:rsidRDefault="00A86293" w:rsidP="003A7C09">
            <w:pPr>
              <w:pStyle w:val="CellColumn"/>
              <w:spacing w:after="0"/>
              <w:jc w:val="right"/>
            </w:pPr>
            <w:r>
              <w:rPr>
                <w:rFonts w:cs="Times New Roman"/>
              </w:rPr>
              <w:t>44</w:t>
            </w:r>
          </w:p>
        </w:tc>
      </w:tr>
    </w:tbl>
    <w:p w:rsidR="005C2091" w:rsidRDefault="005C2091">
      <w:pPr>
        <w:jc w:val="left"/>
      </w:pPr>
    </w:p>
    <w:p w:rsidR="005C2091" w:rsidRDefault="00A86293">
      <w:pPr>
        <w:pStyle w:val="Heading4"/>
      </w:pPr>
      <w:r>
        <w:t>A565010 ZAŠTITNI RADOVI NA NEPOKRETNIM SPOMENICIMA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A565010-ZAŠTITNI RADOVI NA NEPOKRETNIM SPOMENICIMA KULTURE</w:t>
            </w:r>
          </w:p>
        </w:tc>
        <w:tc>
          <w:tcPr>
            <w:tcW w:w="2041" w:type="dxa"/>
          </w:tcPr>
          <w:p w:rsidR="005C2091" w:rsidRDefault="00A86293">
            <w:pPr>
              <w:pStyle w:val="CellColumn"/>
              <w:jc w:val="right"/>
            </w:pPr>
            <w:r>
              <w:rPr>
                <w:rFonts w:cs="Times New Roman"/>
              </w:rPr>
              <w:t>82.657.993</w:t>
            </w:r>
          </w:p>
        </w:tc>
        <w:tc>
          <w:tcPr>
            <w:tcW w:w="2041" w:type="dxa"/>
          </w:tcPr>
          <w:p w:rsidR="005C2091" w:rsidRDefault="00A86293">
            <w:pPr>
              <w:pStyle w:val="CellColumn"/>
              <w:jc w:val="right"/>
            </w:pPr>
            <w:r>
              <w:rPr>
                <w:rFonts w:cs="Times New Roman"/>
              </w:rPr>
              <w:t>76.688.426</w:t>
            </w:r>
          </w:p>
        </w:tc>
        <w:tc>
          <w:tcPr>
            <w:tcW w:w="2041" w:type="dxa"/>
          </w:tcPr>
          <w:p w:rsidR="005C2091" w:rsidRDefault="00A86293">
            <w:pPr>
              <w:pStyle w:val="CellColumn"/>
              <w:jc w:val="right"/>
            </w:pPr>
            <w:r>
              <w:rPr>
                <w:rFonts w:cs="Times New Roman"/>
              </w:rPr>
              <w:t>82.530.049</w:t>
            </w:r>
          </w:p>
        </w:tc>
        <w:tc>
          <w:tcPr>
            <w:tcW w:w="1224" w:type="dxa"/>
          </w:tcPr>
          <w:p w:rsidR="005C2091" w:rsidRDefault="00A86293">
            <w:pPr>
              <w:pStyle w:val="CellColumn"/>
              <w:jc w:val="right"/>
            </w:pPr>
            <w:r>
              <w:rPr>
                <w:rFonts w:cs="Times New Roman"/>
              </w:rPr>
              <w:t>107,6</w:t>
            </w:r>
          </w:p>
        </w:tc>
        <w:tc>
          <w:tcPr>
            <w:tcW w:w="1224" w:type="dxa"/>
          </w:tcPr>
          <w:p w:rsidR="005C2091" w:rsidRDefault="00A86293">
            <w:pPr>
              <w:pStyle w:val="CellColumn"/>
              <w:jc w:val="right"/>
            </w:pPr>
            <w:r>
              <w:rPr>
                <w:rFonts w:cs="Times New Roman"/>
              </w:rPr>
              <w:t>99,8</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zaštiti i očuvanju kulturnih dobara (NN 69/99, NN 151/03; NN 157/03 Ispravak, NN 87/09, NN 88/10, NN 61/11 , NN 25/12, NN 136/12 , NN 157/13,NN 152/14, NN 98/15 - Uredba))  </w:t>
      </w:r>
    </w:p>
    <w:p w:rsidR="005C2091" w:rsidRDefault="00A86293">
      <w:r>
        <w:t xml:space="preserve">Pravilnik o arheološkim istraživanjima (NN 102/10)  </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2017. godinu. Plaćanje direktne spomeničke rente definirano je člankom 114  Zakona o zaštiti i očuvanju kulturnih dobara (NN 151/03). Prema navedenom članku obveznici plaćanja spomeničke rente su fizičke i pravne osobe koje su obveznici poreza na dohodak ili poreza na dobit, a koje obavljaju gospodarsku djelatnost u nepokretnom kulturnom dobru ili na području kulturno povijesne cjeline. Vlada Republike Hrvatske donijela je Uredbu o izmjenama Zakona o zaštiti i očuvanju kulturnih dobara (NN 98/15) kojom je mjesečna naknada plaćanja po m² sa raspona 1,00 do 7,00 kuna smanjena na raspon od 1,00 do 4,00 kune. Plaćanje indirektne spomeničke rente definirano je člankom 114 a gdje je navedeno da spomeničku rentu plaćaju određene fizičke i pravne osobe prema nacionalnoj klasifikaciji.  Fizičke i pravne osobe navedene u članku 114 a spomeničku rentu plaćaju po stopi 0,05%, a osnovica za obračun je ukupni prihod ostvaren obavljanjem navedenih djelatnosti. Člankom 114 b Zakona navedeno je da se sredstva prihoda od spomeničke rente mogu koristiti isključivo za zaštitu i očuvanje kulturnih dobara, a uplaćuju se 60% u korist grada Zagreba, grada ili općine na području koje je renta ubrana, te 40% u korist državnog proračuna za ostvarivanje nacionalnog programa zaštite kulturnih dobara.</w:t>
      </w:r>
    </w:p>
    <w:p w:rsidR="005C2091" w:rsidRDefault="00A86293">
      <w:pPr>
        <w:pStyle w:val="Heading8"/>
        <w:jc w:val="left"/>
      </w:pPr>
      <w:r>
        <w:t>Opis aktivnosti</w:t>
      </w:r>
    </w:p>
    <w:p w:rsidR="005C2091" w:rsidRDefault="00A86293">
      <w:r>
        <w:t>Ova aktivnost objedinjuje dokumentiranje, istražne radove te izradu elaborata kao i pohranjivanje podataka koji čine bazu podataka. Kroz Poziv za predlaganje programa javnih potreba u kulturi Republike Hrvatske, te odgovarajućom obradom podataka i izvještaja osigurava se obnova i prezentacija nepokretnih kulturnih dobara i zaštićenih arheoloških lokaliteta Republike Hrvatske. U 2016. godini financirano je više od  900 programa. Nije bilo većih odstupanja od plana 2016. godine.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034B57" w:rsidP="00034B57">
            <w:pPr>
              <w:pStyle w:val="CellColumn"/>
              <w:spacing w:after="0"/>
              <w:jc w:val="left"/>
            </w:pPr>
            <w:r>
              <w:rPr>
                <w:rFonts w:cs="Times New Roman"/>
              </w:rPr>
              <w:t>Povećanj</w:t>
            </w:r>
            <w:r w:rsidR="00A86293">
              <w:rPr>
                <w:rFonts w:cs="Times New Roman"/>
              </w:rPr>
              <w:t xml:space="preserve">e broja </w:t>
            </w:r>
            <w:r>
              <w:rPr>
                <w:rFonts w:cs="Times New Roman"/>
              </w:rPr>
              <w:t>provedeni</w:t>
            </w:r>
            <w:r w:rsidR="00A86293">
              <w:rPr>
                <w:rFonts w:cs="Times New Roman"/>
              </w:rPr>
              <w:t xml:space="preserve">h cjelovitih programa zaštite i očuvanja </w:t>
            </w:r>
            <w:r>
              <w:rPr>
                <w:rFonts w:cs="Times New Roman"/>
              </w:rPr>
              <w:t>nepokretn</w:t>
            </w:r>
            <w:r w:rsidR="00A86293">
              <w:rPr>
                <w:rFonts w:cs="Times New Roman"/>
              </w:rPr>
              <w:t xml:space="preserve">ih, pokretnih i </w:t>
            </w:r>
            <w:r>
              <w:rPr>
                <w:rFonts w:cs="Times New Roman"/>
              </w:rPr>
              <w:t>nematerij</w:t>
            </w:r>
            <w:r w:rsidR="00A86293">
              <w:rPr>
                <w:rFonts w:cs="Times New Roman"/>
              </w:rPr>
              <w:t xml:space="preserve">alnih </w:t>
            </w:r>
          </w:p>
          <w:p w:rsidR="005C2091" w:rsidRDefault="00A86293" w:rsidP="00034B57">
            <w:pPr>
              <w:pStyle w:val="CellColumn"/>
              <w:spacing w:after="0"/>
              <w:jc w:val="left"/>
            </w:pPr>
            <w:r>
              <w:rPr>
                <w:rFonts w:cs="Times New Roman"/>
              </w:rPr>
              <w:t xml:space="preserve">kulturnih dobara te programa </w:t>
            </w:r>
          </w:p>
          <w:p w:rsidR="005C2091" w:rsidRDefault="00A86293" w:rsidP="00034B57">
            <w:pPr>
              <w:pStyle w:val="CellColumn"/>
              <w:spacing w:after="0"/>
              <w:jc w:val="left"/>
            </w:pPr>
            <w:r>
              <w:rPr>
                <w:rFonts w:cs="Times New Roman"/>
              </w:rPr>
              <w:t xml:space="preserve">zaštite i očuvanja  </w:t>
            </w:r>
            <w:r w:rsidR="00034B57">
              <w:rPr>
                <w:rFonts w:cs="Times New Roman"/>
              </w:rPr>
              <w:t>arheološk</w:t>
            </w:r>
            <w:r>
              <w:rPr>
                <w:rFonts w:cs="Times New Roman"/>
              </w:rPr>
              <w:t>ih zona</w:t>
            </w:r>
          </w:p>
        </w:tc>
        <w:tc>
          <w:tcPr>
            <w:tcW w:w="2551" w:type="dxa"/>
          </w:tcPr>
          <w:p w:rsidR="005C2091" w:rsidRDefault="00A86293" w:rsidP="00034B57">
            <w:pPr>
              <w:pStyle w:val="CellColumn"/>
              <w:spacing w:after="0"/>
              <w:jc w:val="left"/>
            </w:pPr>
            <w:r>
              <w:rPr>
                <w:rFonts w:cs="Times New Roman"/>
              </w:rPr>
              <w:t xml:space="preserve">Povećanjem broja cjelovitih </w:t>
            </w:r>
          </w:p>
          <w:p w:rsidR="005C2091" w:rsidRDefault="00A86293" w:rsidP="00034B57">
            <w:pPr>
              <w:pStyle w:val="CellColumn"/>
              <w:spacing w:after="0"/>
              <w:jc w:val="left"/>
            </w:pPr>
            <w:r>
              <w:rPr>
                <w:rFonts w:cs="Times New Roman"/>
              </w:rPr>
              <w:t xml:space="preserve">programa zaštite i očuvanja </w:t>
            </w:r>
          </w:p>
          <w:p w:rsidR="005C2091" w:rsidRDefault="00A86293" w:rsidP="00034B57">
            <w:pPr>
              <w:pStyle w:val="CellColumn"/>
              <w:spacing w:after="0"/>
              <w:jc w:val="left"/>
            </w:pPr>
            <w:r>
              <w:rPr>
                <w:rFonts w:cs="Times New Roman"/>
              </w:rPr>
              <w:t xml:space="preserve">kulturnih dobara u odnosu na </w:t>
            </w:r>
          </w:p>
          <w:p w:rsidR="005C2091" w:rsidRDefault="00A86293" w:rsidP="00034B57">
            <w:pPr>
              <w:pStyle w:val="CellColumn"/>
              <w:spacing w:after="0"/>
              <w:jc w:val="left"/>
            </w:pPr>
            <w:r>
              <w:rPr>
                <w:rFonts w:cs="Times New Roman"/>
              </w:rPr>
              <w:t xml:space="preserve">interventne </w:t>
            </w:r>
            <w:r w:rsidR="00034B57">
              <w:rPr>
                <w:rFonts w:cs="Times New Roman"/>
              </w:rPr>
              <w:t xml:space="preserve">programe </w:t>
            </w:r>
            <w:r>
              <w:rPr>
                <w:rFonts w:cs="Times New Roman"/>
              </w:rPr>
              <w:t xml:space="preserve">povećati će se broj kvalitetno </w:t>
            </w:r>
          </w:p>
          <w:p w:rsidR="005C2091" w:rsidRDefault="00A86293" w:rsidP="00034B57">
            <w:pPr>
              <w:pStyle w:val="CellColumn"/>
              <w:spacing w:after="0"/>
              <w:jc w:val="left"/>
            </w:pPr>
            <w:r>
              <w:rPr>
                <w:rFonts w:cs="Times New Roman"/>
              </w:rPr>
              <w:t xml:space="preserve">provedenih i završenih </w:t>
            </w:r>
          </w:p>
          <w:p w:rsidR="005C2091" w:rsidRDefault="00A86293" w:rsidP="00034B57">
            <w:pPr>
              <w:pStyle w:val="CellColumn"/>
              <w:spacing w:after="0"/>
              <w:jc w:val="left"/>
            </w:pPr>
            <w:r>
              <w:rPr>
                <w:rFonts w:cs="Times New Roman"/>
              </w:rPr>
              <w:t>projekata</w:t>
            </w:r>
          </w:p>
        </w:tc>
        <w:tc>
          <w:tcPr>
            <w:tcW w:w="1020" w:type="dxa"/>
          </w:tcPr>
          <w:p w:rsidR="005C2091" w:rsidRDefault="00A86293" w:rsidP="00034B57">
            <w:pPr>
              <w:pStyle w:val="CellColumn"/>
              <w:spacing w:after="0"/>
              <w:jc w:val="right"/>
            </w:pPr>
            <w:r>
              <w:rPr>
                <w:rFonts w:cs="Times New Roman"/>
              </w:rPr>
              <w:t>Broj</w:t>
            </w:r>
          </w:p>
        </w:tc>
        <w:tc>
          <w:tcPr>
            <w:tcW w:w="1020" w:type="dxa"/>
          </w:tcPr>
          <w:p w:rsidR="005C2091" w:rsidRDefault="00A86293" w:rsidP="00034B57">
            <w:pPr>
              <w:pStyle w:val="CellColumn"/>
              <w:spacing w:after="0"/>
              <w:jc w:val="right"/>
            </w:pPr>
            <w:r>
              <w:rPr>
                <w:rFonts w:cs="Times New Roman"/>
              </w:rPr>
              <w:t>59</w:t>
            </w:r>
          </w:p>
        </w:tc>
        <w:tc>
          <w:tcPr>
            <w:tcW w:w="1020" w:type="dxa"/>
          </w:tcPr>
          <w:p w:rsidR="005C2091" w:rsidRDefault="00A86293" w:rsidP="00034B57">
            <w:pPr>
              <w:pStyle w:val="CellColumn"/>
              <w:spacing w:after="0"/>
              <w:jc w:val="right"/>
            </w:pPr>
            <w:r>
              <w:rPr>
                <w:rFonts w:cs="Times New Roman"/>
              </w:rPr>
              <w:t>MK</w:t>
            </w:r>
          </w:p>
        </w:tc>
        <w:tc>
          <w:tcPr>
            <w:tcW w:w="1020" w:type="dxa"/>
          </w:tcPr>
          <w:p w:rsidR="005C2091" w:rsidRDefault="00A86293" w:rsidP="00034B57">
            <w:pPr>
              <w:pStyle w:val="CellColumn"/>
              <w:spacing w:after="0"/>
              <w:jc w:val="right"/>
            </w:pPr>
            <w:r>
              <w:rPr>
                <w:rFonts w:cs="Times New Roman"/>
              </w:rPr>
              <w:t>70</w:t>
            </w:r>
          </w:p>
        </w:tc>
        <w:tc>
          <w:tcPr>
            <w:tcW w:w="1020" w:type="dxa"/>
          </w:tcPr>
          <w:p w:rsidR="005C2091" w:rsidRDefault="00A86293" w:rsidP="00034B57">
            <w:pPr>
              <w:pStyle w:val="CellColumn"/>
              <w:spacing w:after="0"/>
              <w:jc w:val="right"/>
            </w:pPr>
            <w:r>
              <w:rPr>
                <w:rFonts w:cs="Times New Roman"/>
              </w:rPr>
              <w:t>70</w:t>
            </w:r>
          </w:p>
        </w:tc>
      </w:tr>
    </w:tbl>
    <w:p w:rsidR="005C2091" w:rsidRDefault="005C2091">
      <w:pPr>
        <w:jc w:val="left"/>
      </w:pPr>
    </w:p>
    <w:p w:rsidR="005C2091" w:rsidRDefault="00A86293">
      <w:pPr>
        <w:pStyle w:val="Heading4"/>
      </w:pPr>
      <w:r>
        <w:t>A565036 ZAŠTITA POKRETNIH SPOMENIKA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A565036-ZAŠTITA POKRETNIH SPOMENIKA</w:t>
            </w:r>
          </w:p>
        </w:tc>
        <w:tc>
          <w:tcPr>
            <w:tcW w:w="2041" w:type="dxa"/>
          </w:tcPr>
          <w:p w:rsidR="005C2091" w:rsidRDefault="00A86293">
            <w:pPr>
              <w:pStyle w:val="CellColumn"/>
              <w:jc w:val="right"/>
            </w:pPr>
            <w:r>
              <w:rPr>
                <w:rFonts w:cs="Times New Roman"/>
              </w:rPr>
              <w:t>12.999.507</w:t>
            </w:r>
          </w:p>
        </w:tc>
        <w:tc>
          <w:tcPr>
            <w:tcW w:w="2041" w:type="dxa"/>
          </w:tcPr>
          <w:p w:rsidR="005C2091" w:rsidRDefault="00A86293">
            <w:pPr>
              <w:pStyle w:val="CellColumn"/>
              <w:jc w:val="right"/>
            </w:pPr>
            <w:r>
              <w:rPr>
                <w:rFonts w:cs="Times New Roman"/>
              </w:rPr>
              <w:t>13.500.000</w:t>
            </w:r>
          </w:p>
        </w:tc>
        <w:tc>
          <w:tcPr>
            <w:tcW w:w="2041" w:type="dxa"/>
          </w:tcPr>
          <w:p w:rsidR="005C2091" w:rsidRDefault="00A86293">
            <w:pPr>
              <w:pStyle w:val="CellColumn"/>
              <w:jc w:val="right"/>
            </w:pPr>
            <w:r>
              <w:rPr>
                <w:rFonts w:cs="Times New Roman"/>
              </w:rPr>
              <w:t>13.498.024</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103,8</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zaštiti i očuvanju kulturnih dobara (NN 69/99, NN 151/03; NN 157/03 Ispravak, NN 87/09, NN 88/10, NN 61/11 , NN 25/12, NN 136/12 , NN 157/13,NN 152/14, NN 98/15 - Uredba))  </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2016. godinu.</w:t>
      </w:r>
    </w:p>
    <w:p w:rsidR="005C2091" w:rsidRDefault="00A86293">
      <w:pPr>
        <w:pStyle w:val="Heading8"/>
        <w:jc w:val="left"/>
      </w:pPr>
      <w:r>
        <w:t>Opis aktivnosti</w:t>
      </w:r>
    </w:p>
    <w:p w:rsidR="005C2091" w:rsidRDefault="00A86293">
      <w:r>
        <w:t>Aktivnost objedinjuje dokumentiranje, istražne radove te izradu elaborata kao i pohranjivanje podataka koji čine bazu podataka. Kroz Poziv za predlaganje programa javnih potreba u kulturi Republike Hrvatske, te odgovarajućom obradom podataka i izvješća osigurava se obnova i prezentacija pokretnih i nematerijalnih kulturnih dobara Republike Hrvatske. U 2016. godini financirano je 360  programa. Nije bilo odstupanja od plana. Program je u potpunosti izvršen.</w:t>
      </w:r>
    </w:p>
    <w:p w:rsidR="005C2091" w:rsidRDefault="00A86293">
      <w:pPr>
        <w:pStyle w:val="Heading4"/>
      </w:pPr>
      <w:r>
        <w:t>A781012 OPERATIVNI PROGRAM KONKURENTNOST I KOHEZIJA</w:t>
      </w:r>
    </w:p>
    <w:tbl>
      <w:tblPr>
        <w:tblStyle w:val="StilTablice"/>
        <w:tblW w:w="10206" w:type="dxa"/>
        <w:jc w:val="center"/>
        <w:tblLook w:val="04A0" w:firstRow="1" w:lastRow="0" w:firstColumn="1" w:lastColumn="0" w:noHBand="0" w:noVBand="1"/>
      </w:tblPr>
      <w:tblGrid>
        <w:gridCol w:w="1881"/>
        <w:gridCol w:w="1960"/>
        <w:gridCol w:w="1972"/>
        <w:gridCol w:w="1972"/>
        <w:gridCol w:w="1207"/>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A781012-OPERATIVNI PROGRAM KONKURENTNOST I KOHEZIJA</w:t>
            </w:r>
          </w:p>
        </w:tc>
        <w:tc>
          <w:tcPr>
            <w:tcW w:w="2041" w:type="dxa"/>
          </w:tcPr>
          <w:p w:rsidR="005C2091" w:rsidRDefault="00A86293">
            <w:pPr>
              <w:pStyle w:val="CellColumn"/>
              <w:jc w:val="right"/>
            </w:pPr>
            <w:r>
              <w:rPr>
                <w:rFonts w:cs="Times New Roman"/>
              </w:rPr>
              <w:t>198.000</w:t>
            </w:r>
          </w:p>
        </w:tc>
        <w:tc>
          <w:tcPr>
            <w:tcW w:w="2041" w:type="dxa"/>
          </w:tcPr>
          <w:p w:rsidR="005C2091" w:rsidRDefault="00A86293">
            <w:pPr>
              <w:pStyle w:val="CellColumn"/>
              <w:jc w:val="right"/>
            </w:pPr>
            <w:r>
              <w:rPr>
                <w:rFonts w:cs="Times New Roman"/>
              </w:rPr>
              <w:t>12.586.587</w:t>
            </w:r>
          </w:p>
        </w:tc>
        <w:tc>
          <w:tcPr>
            <w:tcW w:w="2041" w:type="dxa"/>
          </w:tcPr>
          <w:p w:rsidR="005C2091" w:rsidRDefault="00A86293">
            <w:pPr>
              <w:pStyle w:val="CellColumn"/>
              <w:jc w:val="right"/>
            </w:pPr>
            <w:r>
              <w:rPr>
                <w:rFonts w:cs="Times New Roman"/>
              </w:rPr>
              <w:t>40.277.559</w:t>
            </w:r>
          </w:p>
        </w:tc>
        <w:tc>
          <w:tcPr>
            <w:tcW w:w="1224" w:type="dxa"/>
          </w:tcPr>
          <w:p w:rsidR="005C2091" w:rsidRDefault="00A86293">
            <w:pPr>
              <w:pStyle w:val="CellColumn"/>
              <w:jc w:val="right"/>
            </w:pPr>
            <w:r>
              <w:rPr>
                <w:rFonts w:cs="Times New Roman"/>
              </w:rPr>
              <w:t>320,0</w:t>
            </w:r>
          </w:p>
        </w:tc>
        <w:tc>
          <w:tcPr>
            <w:tcW w:w="1224" w:type="dxa"/>
          </w:tcPr>
          <w:p w:rsidR="005C2091" w:rsidRDefault="00A86293">
            <w:pPr>
              <w:pStyle w:val="CellColumn"/>
              <w:jc w:val="right"/>
            </w:pPr>
            <w:r>
              <w:rPr>
                <w:rFonts w:cs="Times New Roman"/>
              </w:rPr>
              <w:t>20342,2</w:t>
            </w:r>
          </w:p>
        </w:tc>
      </w:tr>
    </w:tbl>
    <w:p w:rsidR="005C2091" w:rsidRDefault="005C2091">
      <w:pPr>
        <w:jc w:val="left"/>
      </w:pPr>
    </w:p>
    <w:p w:rsidR="005C2091" w:rsidRDefault="00A86293">
      <w:pPr>
        <w:pStyle w:val="Heading8"/>
        <w:jc w:val="left"/>
      </w:pPr>
      <w:r>
        <w:t>Zakonske i druge pravne osnove</w:t>
      </w:r>
    </w:p>
    <w:p w:rsidR="005C2091" w:rsidRDefault="00A86293">
      <w:r>
        <w:t xml:space="preserve">Strategija e-Hrvatska (e-kultura)  </w:t>
      </w:r>
    </w:p>
    <w:p w:rsidR="005C2091" w:rsidRDefault="00A86293">
      <w:r>
        <w:t xml:space="preserve">Strateški plan Ministarstva kulture  </w:t>
      </w:r>
    </w:p>
    <w:p w:rsidR="005C2091" w:rsidRDefault="00A86293">
      <w:r>
        <w:t xml:space="preserve">Operativni program Konkurentnost i kohezija 2014.-2020. (Specifični cilj 6c1)  </w:t>
      </w:r>
    </w:p>
    <w:p w:rsidR="005C2091" w:rsidRDefault="00A86293">
      <w:r>
        <w:t>Sporazum o utvrđivanju uvjeta za dodjelu javnih sredstava u okviru Prioritetne osi 6. “Zaštita okoliša i održivost resursa“, Specifičnog cilja 6c1 „Povećanje zapošljavanja i turističkih izdataka kroz unaprjeđenje kulturne baštine Operativnog programa „Konkurentnost i kohezija“ u financijskom razdoblju 2014. – 2020., koji su potpisali Ministarstvo kulture i Ministarstvo regionalnog razvoja i fondova Europske unije, definirano je u članku 2. stavku 1. da „Ministarstvo kulture se obvezuje u svom proračunu osigurati sredstva potrebna za financiranje projekata u okviru Prioritetne osi 6. “Zaštita okoliša i održivost resursa“,  Specifičnog cilja 6c1 „Povećanje zapošljavanja i turističkih izdataka kroz unaprjeđenje kulturne baštine“  Operativnog programa, koja će se dodjeljivati na temelju Programa potpora „Program dodjele potpora za održivu obnovu kulturne baštine“, koji je donio ministar kulture.“</w:t>
      </w:r>
    </w:p>
    <w:p w:rsidR="005C2091" w:rsidRDefault="00A86293">
      <w:pPr>
        <w:pStyle w:val="Heading8"/>
        <w:jc w:val="left"/>
      </w:pPr>
      <w:r>
        <w:t>Opis aktivnosti</w:t>
      </w:r>
    </w:p>
    <w:p w:rsidR="005C2091" w:rsidRDefault="00A86293">
      <w:r>
        <w:t>Sredstva na ovoj aktivnosti odnose se na specifični cilj 6c1 „Povećanje zapošljavanja i turističkih izdataka kroz unaprjeđenje kulturne baštine“ u okviru Operativnog programa Konkurentnost i kohezija 2014.-2020. za koji je Posredničko tijelo razine 1 Ministarstvo regionalnog razvoja i fondova Europske unije, dok je Ministarstvo kulture sektorski nadležno tijelo te treba planirati sredstva u proračunu za aktivnosti koje će se financirati u okviru navedenog specifičnog cilja (Sporazum između MK i MRRFEU). S obzirom na to da je MRRFEU Posredničko tijelo razine 1 proračun na ovoj poziciji se planira tako da MRRFEU dostavi podatke temeljem kojih MK planira proračun. Planirana  sredstva odnose se na projekte koji su ugovoreni u okviru Poziva „Priprema i provedba integriranih razvojnih projekata temeljenih na obnovi kulturne baštine“ objavljenog je 6. studenog 2015. godine. Slijedom navedenog Ministarstvo kulture ni na koji način ne utječe na dinamiku isplate sredstava s ove aktivnosti.</w:t>
      </w:r>
    </w:p>
    <w:p w:rsidR="00034B57" w:rsidRDefault="00034B57"/>
    <w:p w:rsidR="005C2091" w:rsidRDefault="00A86293">
      <w:pPr>
        <w:pStyle w:val="Heading4"/>
      </w:pPr>
      <w:r>
        <w:t>A784001 KONZERVATORSKO-ARHEOLOŠKA ISTRAŽIVANJA</w:t>
      </w:r>
    </w:p>
    <w:tbl>
      <w:tblPr>
        <w:tblStyle w:val="StilTablice"/>
        <w:tblW w:w="10206" w:type="dxa"/>
        <w:jc w:val="center"/>
        <w:tblLook w:val="04A0" w:firstRow="1" w:lastRow="0" w:firstColumn="1" w:lastColumn="0" w:noHBand="0" w:noVBand="1"/>
      </w:tblPr>
      <w:tblGrid>
        <w:gridCol w:w="2082"/>
        <w:gridCol w:w="1910"/>
        <w:gridCol w:w="1901"/>
        <w:gridCol w:w="1910"/>
        <w:gridCol w:w="1196"/>
        <w:gridCol w:w="120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A784001-KONZERVATORSKO-ARHEOLOŠKA ISTRAŽIVANJA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100.000</w:t>
            </w:r>
          </w:p>
        </w:tc>
        <w:tc>
          <w:tcPr>
            <w:tcW w:w="2041"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zaštiti i očuvanju kulturnih dobara (NN 69/99, NN 151/03; NN 157/03 Ispravak, NN 87/09, NN 88/10, NN 61/11 , NN 25/12, NN 136/12 , NN 157/13,NN 152/14, NN 98/15 - Uredba))  </w:t>
      </w:r>
    </w:p>
    <w:p w:rsidR="005C2091" w:rsidRDefault="00A86293">
      <w:r>
        <w:t>Pravilnik o arheološkim istraživanjima (NN 102/10)</w:t>
      </w:r>
    </w:p>
    <w:p w:rsidR="005C2091" w:rsidRDefault="00A86293">
      <w:pPr>
        <w:pStyle w:val="Heading8"/>
        <w:jc w:val="left"/>
      </w:pPr>
      <w:r>
        <w:t>Opis aktivnosti</w:t>
      </w:r>
    </w:p>
    <w:p w:rsidR="005C2091" w:rsidRDefault="00A86293">
      <w:r>
        <w:t>Ova aktivnost provodi se u cilju istraživanja i zaštite arheološke baštine. U 2016. godini nisu iskorištena sredstava jer se plaćanja vrše po posebnim propisima i prema potrebama i zahtjevima arheologa. Sredstva za ovu aktivnost osiguravaju se u okviru ostalih prihoda za posebne namjene (izvor 43). S obzirom na nedostatak zahtjeva niti sredstva nisu utrošena.</w:t>
      </w:r>
    </w:p>
    <w:p w:rsidR="00EA1ADA" w:rsidRDefault="00EA1ADA"/>
    <w:p w:rsidR="00EA1ADA" w:rsidRDefault="00EA1ADA"/>
    <w:p w:rsidR="005C2091" w:rsidRDefault="00A86293">
      <w:pPr>
        <w:pStyle w:val="Heading4"/>
      </w:pPr>
      <w:r>
        <w:t>K781011 IPA 2013 OBNOVA PALAČE MOISE NA OTOKU CRESU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K781011-IPA 2013 OBNOVA PALAČE MOISE NA OTOKU CRESU</w:t>
            </w:r>
          </w:p>
        </w:tc>
        <w:tc>
          <w:tcPr>
            <w:tcW w:w="2041" w:type="dxa"/>
          </w:tcPr>
          <w:p w:rsidR="005C2091" w:rsidRDefault="00A86293">
            <w:pPr>
              <w:pStyle w:val="CellColumn"/>
              <w:jc w:val="right"/>
            </w:pPr>
            <w:r>
              <w:rPr>
                <w:rFonts w:cs="Times New Roman"/>
              </w:rPr>
              <w:t>2.427.503</w:t>
            </w:r>
          </w:p>
        </w:tc>
        <w:tc>
          <w:tcPr>
            <w:tcW w:w="2041" w:type="dxa"/>
          </w:tcPr>
          <w:p w:rsidR="005C2091" w:rsidRDefault="00A86293">
            <w:pPr>
              <w:pStyle w:val="CellColumn"/>
              <w:jc w:val="right"/>
            </w:pPr>
            <w:r>
              <w:rPr>
                <w:rFonts w:cs="Times New Roman"/>
              </w:rPr>
              <w:t>8.608.689</w:t>
            </w:r>
          </w:p>
        </w:tc>
        <w:tc>
          <w:tcPr>
            <w:tcW w:w="2041" w:type="dxa"/>
          </w:tcPr>
          <w:p w:rsidR="005C2091" w:rsidRDefault="00A86293">
            <w:pPr>
              <w:pStyle w:val="CellColumn"/>
              <w:jc w:val="right"/>
            </w:pPr>
            <w:r>
              <w:rPr>
                <w:rFonts w:cs="Times New Roman"/>
              </w:rPr>
              <w:t>4.639.211</w:t>
            </w:r>
          </w:p>
        </w:tc>
        <w:tc>
          <w:tcPr>
            <w:tcW w:w="1224" w:type="dxa"/>
          </w:tcPr>
          <w:p w:rsidR="005C2091" w:rsidRDefault="00A86293">
            <w:pPr>
              <w:pStyle w:val="CellColumn"/>
              <w:jc w:val="right"/>
            </w:pPr>
            <w:r>
              <w:rPr>
                <w:rFonts w:cs="Times New Roman"/>
              </w:rPr>
              <w:t>53,9</w:t>
            </w:r>
          </w:p>
        </w:tc>
        <w:tc>
          <w:tcPr>
            <w:tcW w:w="1224" w:type="dxa"/>
          </w:tcPr>
          <w:p w:rsidR="005C2091" w:rsidRDefault="00A86293">
            <w:pPr>
              <w:pStyle w:val="CellColumn"/>
              <w:jc w:val="right"/>
            </w:pPr>
            <w:r>
              <w:rPr>
                <w:rFonts w:cs="Times New Roman"/>
              </w:rPr>
              <w:t>191,1</w:t>
            </w:r>
          </w:p>
        </w:tc>
      </w:tr>
    </w:tbl>
    <w:p w:rsidR="005C2091" w:rsidRDefault="005C2091">
      <w:pPr>
        <w:jc w:val="left"/>
      </w:pPr>
    </w:p>
    <w:p w:rsidR="005C2091" w:rsidRDefault="00A86293">
      <w:pPr>
        <w:pStyle w:val="Heading8"/>
        <w:jc w:val="left"/>
      </w:pPr>
      <w:r>
        <w:t>Zakonske i druge pravne osnove</w:t>
      </w:r>
    </w:p>
    <w:p w:rsidR="005C2091" w:rsidRDefault="00A86293">
      <w:r>
        <w:t>Zakon o potvrđivanju Sporazuma o financiranju između Vlade Republike Hrvatske i Europske Komisije u vezi s nacionalnim programom za Hrvatsku (NN–Međunarodni ugovori br.:13; 31.12.2013.)</w:t>
      </w:r>
    </w:p>
    <w:p w:rsidR="005C2091" w:rsidRDefault="00A86293">
      <w:pPr>
        <w:pStyle w:val="Heading8"/>
        <w:jc w:val="left"/>
      </w:pPr>
      <w:r>
        <w:t>Opis aktivnosti</w:t>
      </w:r>
    </w:p>
    <w:p w:rsidR="005C2091" w:rsidRDefault="00A86293">
      <w:r>
        <w:t>Sredstva na ovoj poziciji planiraju se u suradnji sa Središnjom agencijom za financiranje i ugovaranje programa i projekata Europske unije (SAFU) koja je provedbeno tijelo dok je Ministarstvo kulture korisnik navedenih sredstava. Izvršenje na ovoj aktivnosti ovisi o dinamici provedbe radova obnove palače Moise koji su u tijeku. S obzirom na to da je palača Moise posebno zaštićeno kulturno dobro dinamika radova nije se odvijala kako je predviđeno iz razloga pronalaska zidnog oslika na površinama gdje se to nije očekivalo te drugih spoznaja (stanje ziđa i temelja), što je u konačnici utjecalo na dinamiku radova i izvršenje proračuna na ovoj aktivnosti.</w:t>
      </w:r>
    </w:p>
    <w:p w:rsidR="005C2091" w:rsidRDefault="00A86293">
      <w:pPr>
        <w:pStyle w:val="Heading2"/>
      </w:pPr>
      <w:r>
        <w:t>05535 Arhivi</w:t>
      </w:r>
    </w:p>
    <w:p w:rsidR="005C2091" w:rsidRDefault="00A86293">
      <w:r>
        <w:t xml:space="preserve">Arhivsku službu u Republici Hrvatskoj čine Hrvatski državni arhiv, 17 područnih državnih arhiva i jedan specijalizirani arhiv. Temeljne zadaće arhiva su redovito preuzimanje novoga gradiva koje nastaje radom državnih tijela i drugih javnih službi te zaštita, obrada, osiguranje dostupnosti i poticanje korištenja arhivskog gradiva. Time arhivi doprinose očuvanju kulturne i povijesne baštine, dostupnosti informacija o radu javnih službi i kvaliteti upravljanja dokumentacijom javnih službi pružajući im podršku u obradi, vrednovanju i upravljanju spisima.  </w:t>
      </w:r>
    </w:p>
    <w:p w:rsidR="005C2091" w:rsidRDefault="00A86293">
      <w:r>
        <w:t>Uz oko 115.000 dužnih metara gradiva u arhivima, državni arhivi preuzimaju gradivo koje nastaje radom oko 5.700 kategoriziranih stvaratelja javnog i privatnog arhivskog gradiva, pri čemu godišnje nastaje oko 2.500 dužnih metara gradiva trajne vrijednosti koje arhivi preuzimaju te primjereno obrađuju i zaštićuju.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05535-Arhivi</w:t>
            </w:r>
          </w:p>
        </w:tc>
        <w:tc>
          <w:tcPr>
            <w:tcW w:w="2041" w:type="dxa"/>
            <w:vAlign w:val="top"/>
          </w:tcPr>
          <w:p w:rsidR="005C2091" w:rsidRDefault="00A86293">
            <w:pPr>
              <w:pStyle w:val="CellColumn"/>
              <w:jc w:val="right"/>
            </w:pPr>
            <w:r>
              <w:rPr>
                <w:rFonts w:cs="Times New Roman"/>
              </w:rPr>
              <w:t>79.496.359</w:t>
            </w:r>
          </w:p>
        </w:tc>
        <w:tc>
          <w:tcPr>
            <w:tcW w:w="2041" w:type="dxa"/>
            <w:vAlign w:val="top"/>
          </w:tcPr>
          <w:p w:rsidR="005C2091" w:rsidRDefault="00A86293">
            <w:pPr>
              <w:pStyle w:val="CellColumn"/>
              <w:jc w:val="right"/>
            </w:pPr>
            <w:r>
              <w:rPr>
                <w:rFonts w:cs="Times New Roman"/>
              </w:rPr>
              <w:t>80.185.730</w:t>
            </w:r>
          </w:p>
        </w:tc>
        <w:tc>
          <w:tcPr>
            <w:tcW w:w="2041" w:type="dxa"/>
            <w:vAlign w:val="top"/>
          </w:tcPr>
          <w:p w:rsidR="005C2091" w:rsidRDefault="00A86293">
            <w:pPr>
              <w:pStyle w:val="CellColumn"/>
              <w:jc w:val="right"/>
            </w:pPr>
            <w:r>
              <w:rPr>
                <w:rFonts w:cs="Times New Roman"/>
              </w:rPr>
              <w:t>77.490.182</w:t>
            </w:r>
          </w:p>
        </w:tc>
        <w:tc>
          <w:tcPr>
            <w:tcW w:w="1224" w:type="dxa"/>
            <w:vAlign w:val="top"/>
          </w:tcPr>
          <w:p w:rsidR="005C2091" w:rsidRDefault="00A86293">
            <w:pPr>
              <w:pStyle w:val="CellColumn"/>
              <w:jc w:val="right"/>
            </w:pPr>
            <w:r>
              <w:rPr>
                <w:rFonts w:cs="Times New Roman"/>
              </w:rPr>
              <w:t>96,6</w:t>
            </w:r>
          </w:p>
        </w:tc>
        <w:tc>
          <w:tcPr>
            <w:tcW w:w="1224" w:type="dxa"/>
            <w:vAlign w:val="top"/>
          </w:tcPr>
          <w:p w:rsidR="005C2091" w:rsidRDefault="00A86293">
            <w:pPr>
              <w:pStyle w:val="CellColumn"/>
              <w:jc w:val="right"/>
            </w:pPr>
            <w:r>
              <w:rPr>
                <w:rFonts w:cs="Times New Roman"/>
              </w:rPr>
              <w:t>97,5</w:t>
            </w:r>
          </w:p>
        </w:tc>
      </w:tr>
      <w:tr w:rsidR="005C2091">
        <w:trPr>
          <w:jc w:val="center"/>
        </w:trPr>
        <w:tc>
          <w:tcPr>
            <w:tcW w:w="1632" w:type="dxa"/>
          </w:tcPr>
          <w:p w:rsidR="005C2091" w:rsidRDefault="00A86293">
            <w:pPr>
              <w:jc w:val="left"/>
            </w:pPr>
            <w:r>
              <w:t>3902-ARHIVSKA DJELATNOST</w:t>
            </w:r>
          </w:p>
        </w:tc>
        <w:tc>
          <w:tcPr>
            <w:tcW w:w="2041" w:type="dxa"/>
          </w:tcPr>
          <w:p w:rsidR="005C2091" w:rsidRDefault="00A86293">
            <w:pPr>
              <w:jc w:val="right"/>
            </w:pPr>
            <w:r>
              <w:t>79.496.359</w:t>
            </w:r>
          </w:p>
        </w:tc>
        <w:tc>
          <w:tcPr>
            <w:tcW w:w="2041" w:type="dxa"/>
          </w:tcPr>
          <w:p w:rsidR="005C2091" w:rsidRDefault="00A86293">
            <w:pPr>
              <w:jc w:val="right"/>
            </w:pPr>
            <w:r>
              <w:t>80.185.730</w:t>
            </w:r>
          </w:p>
        </w:tc>
        <w:tc>
          <w:tcPr>
            <w:tcW w:w="2041" w:type="dxa"/>
          </w:tcPr>
          <w:p w:rsidR="005C2091" w:rsidRDefault="00A86293">
            <w:pPr>
              <w:jc w:val="right"/>
            </w:pPr>
            <w:r>
              <w:t>77.490.182</w:t>
            </w:r>
          </w:p>
        </w:tc>
        <w:tc>
          <w:tcPr>
            <w:tcW w:w="1224" w:type="dxa"/>
          </w:tcPr>
          <w:p w:rsidR="005C2091" w:rsidRDefault="00A86293">
            <w:pPr>
              <w:jc w:val="right"/>
            </w:pPr>
            <w:r>
              <w:t>96,6</w:t>
            </w:r>
          </w:p>
        </w:tc>
        <w:tc>
          <w:tcPr>
            <w:tcW w:w="1224" w:type="dxa"/>
          </w:tcPr>
          <w:p w:rsidR="005C2091" w:rsidRDefault="00A86293">
            <w:pPr>
              <w:jc w:val="right"/>
            </w:pPr>
            <w:r>
              <w:t>97,5</w:t>
            </w:r>
          </w:p>
        </w:tc>
      </w:tr>
    </w:tbl>
    <w:p w:rsidR="005C2091" w:rsidRDefault="005C2091">
      <w:pPr>
        <w:jc w:val="left"/>
      </w:pPr>
    </w:p>
    <w:p w:rsidR="005C2091" w:rsidRDefault="00A86293">
      <w:pPr>
        <w:pStyle w:val="Heading3"/>
      </w:pPr>
      <w:r>
        <w:rPr>
          <w:rFonts w:cs="Times New Roman"/>
        </w:rPr>
        <w:t>3902 ARHIVSKA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3902-ARHIVSKA DJELATNOST</w:t>
            </w:r>
          </w:p>
        </w:tc>
        <w:tc>
          <w:tcPr>
            <w:tcW w:w="2041" w:type="dxa"/>
          </w:tcPr>
          <w:p w:rsidR="005C2091" w:rsidRDefault="00A86293">
            <w:pPr>
              <w:pStyle w:val="CellColumn"/>
              <w:jc w:val="right"/>
            </w:pPr>
            <w:r>
              <w:rPr>
                <w:rFonts w:cs="Times New Roman"/>
              </w:rPr>
              <w:t>79.496.359</w:t>
            </w:r>
          </w:p>
        </w:tc>
        <w:tc>
          <w:tcPr>
            <w:tcW w:w="2041" w:type="dxa"/>
          </w:tcPr>
          <w:p w:rsidR="005C2091" w:rsidRDefault="00A86293">
            <w:pPr>
              <w:pStyle w:val="CellColumn"/>
              <w:jc w:val="right"/>
            </w:pPr>
            <w:r>
              <w:rPr>
                <w:rFonts w:cs="Times New Roman"/>
              </w:rPr>
              <w:t>80.185.730</w:t>
            </w:r>
          </w:p>
        </w:tc>
        <w:tc>
          <w:tcPr>
            <w:tcW w:w="2041" w:type="dxa"/>
          </w:tcPr>
          <w:p w:rsidR="005C2091" w:rsidRDefault="00A86293">
            <w:pPr>
              <w:pStyle w:val="CellColumn"/>
              <w:jc w:val="right"/>
            </w:pPr>
            <w:r>
              <w:rPr>
                <w:rFonts w:cs="Times New Roman"/>
              </w:rPr>
              <w:t>77.490.182</w:t>
            </w:r>
          </w:p>
        </w:tc>
        <w:tc>
          <w:tcPr>
            <w:tcW w:w="1224" w:type="dxa"/>
          </w:tcPr>
          <w:p w:rsidR="005C2091" w:rsidRDefault="00A86293">
            <w:pPr>
              <w:pStyle w:val="CellColumn"/>
              <w:jc w:val="right"/>
            </w:pPr>
            <w:r>
              <w:rPr>
                <w:rFonts w:cs="Times New Roman"/>
              </w:rPr>
              <w:t>96,6</w:t>
            </w:r>
          </w:p>
        </w:tc>
        <w:tc>
          <w:tcPr>
            <w:tcW w:w="1224" w:type="dxa"/>
          </w:tcPr>
          <w:p w:rsidR="005C2091" w:rsidRDefault="00A86293">
            <w:pPr>
              <w:pStyle w:val="CellColumn"/>
              <w:jc w:val="right"/>
            </w:pPr>
            <w:r>
              <w:rPr>
                <w:rFonts w:cs="Times New Roman"/>
              </w:rPr>
              <w:t>97,5</w:t>
            </w:r>
          </w:p>
        </w:tc>
      </w:tr>
    </w:tbl>
    <w:p w:rsidR="005C2091" w:rsidRDefault="005C2091">
      <w:pPr>
        <w:jc w:val="left"/>
      </w:pPr>
    </w:p>
    <w:p w:rsidR="005C2091" w:rsidRDefault="00A86293">
      <w:r>
        <w:t>Temeljne zadaće arhiva su redovito preuzimanje novog gradiva koje nastaje radom državnihtijela i drugih javnih službe, te zaštita, obrada, osiguranje dostupnosti i poticanje korištenjaarhivskog gradiva. Godišnje nastaje 2.500 dužnih metara gradiva trajne vrijednosti koje arhivitrebaju preuzeti te primjereno obraditi i zaštititi. Zbog neadekvatnih prostornih i tehničkih uvjeta većina arhiva nije u mogućnosti smjestiti gradivo.</w:t>
      </w:r>
    </w:p>
    <w:p w:rsidR="005C2091" w:rsidRDefault="00A86293">
      <w:pPr>
        <w:pStyle w:val="Heading8"/>
        <w:jc w:val="left"/>
      </w:pPr>
      <w:r>
        <w:t>Cilj 1. Osiguranje uvjeta za dugoročno očuvanje gradiva u javnim arhivima</w:t>
      </w:r>
    </w:p>
    <w:p w:rsidR="005C2091" w:rsidRDefault="00A86293">
      <w:pPr>
        <w:pStyle w:val="Heading8"/>
        <w:jc w:val="left"/>
      </w:pPr>
      <w:r>
        <w:t>Opis provedbe cilja programa</w:t>
      </w:r>
    </w:p>
    <w:p w:rsidR="005C2091" w:rsidRDefault="00A86293">
      <w:r>
        <w:t>Većini arhiva nedostaje spremišnog prostora i/ili opreme za pohranu novoga gradiva koje je dospjelo ili dospijeva za preuzimanje prema zakonom utvrđenim rokovima.Uslijed toga gradivo se dulje zadržava u neprimjerenome prostoru izvan arhiva gdje je izloženo riziku ubrzanog propadanja i nije dostupno korisnicima. Prioritetni investicijski programi kojima će se povećati kapacitet arhiva za preuzimanje novog gradiva su: izgradnja novog spremišta Hrvatskog državnog arhiva u Kerestincu, dovršenje arhiva u Dubrovniku, rekonstrukcija zgrade za potrebe arhiva u Osijeku te uređenje i opremanje arhiva u Vukovaru. Znatan dio spremišnih objekata nije namjenski građen za pohranu arhivskog gradiva, niti je opremljen tako da osigurava uvjete kakve određuju norme za dugoročno čuvanja arhivskog i knjižnog gradiva. Gradivo koje je smješteno u spremišta koja znatnije odstupaju od normiranih uvjeta ima znatno kraći očekivani životni vijek te je podložnije čimbenicima koji dovode do njegova oštećivanja i propadanja. Za uređenje i opremanje spremišnih prostorija, kako bi udovoljavale normama, potrebno je osigurati razmjerno velika sredstva, te se stoga planira postupno smanjenje količine gradiva, koje se ne čuva u preporučenim uvjetima, u duljem razdoblju. Među postupcima koje arhivi provode radi dugoročnog očuvanja arhivskog gradiva su i konzerviranje i restauriranje oštećenog i ugroženog gradiva, izrada i čuvanje sigurnosnih kopija, tehničko opremanje, čišćenje i sl. U sljedećem razdoblju zadržat će se postojeća razina i opseg ovih aktivnosti.</w:t>
      </w:r>
    </w:p>
    <w:p w:rsidR="005C2091" w:rsidRDefault="00A86293">
      <w:pPr>
        <w:pStyle w:val="Heading8"/>
        <w:jc w:val="left"/>
      </w:pPr>
      <w:r>
        <w:t>Cilj 2. Povećanje dostupnosti gradiva u arhivima</w:t>
      </w:r>
    </w:p>
    <w:p w:rsidR="005C2091" w:rsidRDefault="00A86293">
      <w:pPr>
        <w:pStyle w:val="Heading8"/>
        <w:jc w:val="left"/>
      </w:pPr>
      <w:r>
        <w:t>Opis provedbe cilja programa</w:t>
      </w:r>
    </w:p>
    <w:p w:rsidR="005C2091" w:rsidRDefault="00A86293">
      <w:r>
        <w:t>Dostupnost arhivskog gradiva i informacija o njemu u digitalnom okruženju ima neposredan učinak i na razinu interesa za njegovo korištenje i na stupanj obrađenosti i zaštite. Radi dostupnosti arhivi sređuju, opisuju i digitaliziraju arhivsko gradivo te izrađuju obavijesna pomagala. Iako je obveza tijela i ustanova koje predaju svoje gradivo nadležnom arhivu da ga prije toga primjereno srede i popišu, to u prošlosti često nije bio slučaj, a niti danas mnoga tijela ne uspijevaju svoje gradivo obraditi i popisati tako da se može dati na korištenje bez dodatne obrade. Postojeći resursi omogućuju obradu i popisivanje oko 2.500 dužnih metara gradiva godišnje. Uz sređivanje i opis, velik utjecaj na dostupnost gradiva ima mogućnost pretraživanja i pristupa gradivu u elektroničkom obliku. Arhivi će nastaviti razvijati i puniti skupni elektronički katalog te digitalizirati gradivo za koje postoji izraženiji interes korisnika.</w:t>
      </w:r>
    </w:p>
    <w:p w:rsidR="005C2091" w:rsidRDefault="00A86293">
      <w:pPr>
        <w:pStyle w:val="Heading8"/>
        <w:jc w:val="left"/>
      </w:pPr>
      <w:r>
        <w:t>Cilj 3. Povećanje kvalitete usluga korisnicima i posjetiteljima</w:t>
      </w:r>
    </w:p>
    <w:p w:rsidR="005C2091" w:rsidRDefault="00A86293">
      <w:pPr>
        <w:pStyle w:val="Heading8"/>
        <w:jc w:val="left"/>
      </w:pPr>
      <w:r>
        <w:t>Opis provedbe cilja programa</w:t>
      </w:r>
    </w:p>
    <w:p w:rsidR="005C2091" w:rsidRDefault="00A86293">
      <w:r>
        <w:t>Uz standardne usluge korisnicima, kao što su korištenje gradiva u čitaonici, izrada preslika, izvoda i sl., arhivi pripremaju i druge sadržaje i programe za korisnike i posjetitelje: izložbe, radionice, predavanja, sadržaje koji se mogu koristiti u obrazovnom procesu u nastavi pojedinih predmeta i dr. Ovakvim sadržajima i programima arhivi postaju relevantni i za osobe koje nisu posebno motivirane za istraživanje arhivskog gradiva, što je obično razmjerno intenzivan proces. Usluge arhiva podliježu normama kvalitete koje se odnose na rok u kojem će se obraditi zahtjevi korisnika, radno vrijeme čitaonica, zadovoljstvo korisnika podrškom u istraživanju, komunikaciju s arhivom, mogućnosti naručivanja, kopiranja i dr. Arhivi će kontinuirano pratiti procese vezane uz obradu korisničkih zahtjeva i pružanje drugih usluga te njihovim optimiziranjem i raspodjelom resursa utjecati da se smanji učestalost usluga koje iz bilo kojih razloga odstupaju od norme kvalitete.</w:t>
      </w:r>
    </w:p>
    <w:p w:rsidR="005C2091" w:rsidRDefault="00A86293">
      <w:pPr>
        <w:pStyle w:val="Heading8"/>
        <w:jc w:val="left"/>
      </w:pPr>
      <w:r>
        <w:t>Cilj 4. Podrška javnim tijelima i ustanovama u upravljanju njihovom dokumentacijom</w:t>
      </w:r>
    </w:p>
    <w:p w:rsidR="005C2091" w:rsidRDefault="00A86293">
      <w:pPr>
        <w:pStyle w:val="Heading8"/>
        <w:jc w:val="left"/>
      </w:pPr>
      <w:r>
        <w:t>Opis provedbe cilja programa</w:t>
      </w:r>
    </w:p>
    <w:p w:rsidR="005C2091" w:rsidRDefault="00A86293">
      <w:r>
        <w:t>Arhivi pružaju podršku tijelima, ustanovama i drugim organizacijama, čijim radom nastaje arhivsko gradivo koje će se predati arhivu, u upravljanju njihovom dokumentacijom, kako bi onaj dio, koji će se čuvati trajno, dospio u arhiv u što boljem stanju, čime se smanjuje potreba za dodatnom obradom u arhivu. Ove aktivnosti uključuju programe osposobljavanja u stručnog usavršavanja, podršku u analizi uredskog poslovanja i primjeni odgovarajućih nacionalnih i međunarodnih normi, podršku u izradi klasifikacijskih planova i popisa s rokovima čuvanja, davanje preporuka i savjeta o pojedinim pitanjima zaštite i obrade službene i poslovne dokumentacije i sl.</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034B57">
            <w:pPr>
              <w:pStyle w:val="CellColumn"/>
              <w:spacing w:after="0"/>
              <w:jc w:val="left"/>
            </w:pPr>
            <w:r>
              <w:rPr>
                <w:rFonts w:cs="Times New Roman"/>
              </w:rPr>
              <w:t>Povećanje broja korištenih arhivskih jedinica</w:t>
            </w:r>
          </w:p>
        </w:tc>
        <w:tc>
          <w:tcPr>
            <w:tcW w:w="2551" w:type="dxa"/>
          </w:tcPr>
          <w:p w:rsidR="005C2091" w:rsidRDefault="00034B57" w:rsidP="00034B57">
            <w:pPr>
              <w:pStyle w:val="CellColumn"/>
              <w:spacing w:after="0"/>
              <w:jc w:val="left"/>
            </w:pPr>
            <w:r>
              <w:rPr>
                <w:rFonts w:cs="Times New Roman"/>
              </w:rPr>
              <w:t>Broj korišt</w:t>
            </w:r>
            <w:r w:rsidR="00A86293">
              <w:rPr>
                <w:rFonts w:cs="Times New Roman"/>
              </w:rPr>
              <w:t xml:space="preserve">enih </w:t>
            </w:r>
          </w:p>
          <w:p w:rsidR="005C2091" w:rsidRDefault="00A86293" w:rsidP="00034B57">
            <w:pPr>
              <w:pStyle w:val="CellColumn"/>
              <w:spacing w:after="0"/>
              <w:jc w:val="left"/>
            </w:pPr>
            <w:r>
              <w:rPr>
                <w:rFonts w:cs="Times New Roman"/>
              </w:rPr>
              <w:t xml:space="preserve">arhivskih jedinica pokazuje </w:t>
            </w:r>
          </w:p>
          <w:p w:rsidR="005C2091" w:rsidRDefault="00A86293" w:rsidP="00034B57">
            <w:pPr>
              <w:pStyle w:val="CellColumn"/>
              <w:spacing w:after="0"/>
              <w:jc w:val="left"/>
            </w:pPr>
            <w:r>
              <w:rPr>
                <w:rFonts w:cs="Times New Roman"/>
              </w:rPr>
              <w:t xml:space="preserve">u kojoj mjeri arhivi ostvaruju </w:t>
            </w:r>
          </w:p>
          <w:p w:rsidR="005C2091" w:rsidRDefault="00A86293" w:rsidP="00034B57">
            <w:pPr>
              <w:pStyle w:val="CellColumn"/>
              <w:spacing w:after="0"/>
              <w:jc w:val="left"/>
            </w:pPr>
            <w:r>
              <w:rPr>
                <w:rFonts w:cs="Times New Roman"/>
              </w:rPr>
              <w:t>svoju temeljnu zadaću</w:t>
            </w:r>
          </w:p>
        </w:tc>
        <w:tc>
          <w:tcPr>
            <w:tcW w:w="1020" w:type="dxa"/>
          </w:tcPr>
          <w:p w:rsidR="005C2091" w:rsidRDefault="00A86293" w:rsidP="00034B57">
            <w:pPr>
              <w:pStyle w:val="CellColumn"/>
              <w:spacing w:after="0"/>
              <w:jc w:val="right"/>
            </w:pPr>
            <w:r>
              <w:rPr>
                <w:rFonts w:cs="Times New Roman"/>
              </w:rPr>
              <w:t>Broj</w:t>
            </w:r>
          </w:p>
        </w:tc>
        <w:tc>
          <w:tcPr>
            <w:tcW w:w="1020" w:type="dxa"/>
          </w:tcPr>
          <w:p w:rsidR="005C2091" w:rsidRDefault="00A86293" w:rsidP="00034B57">
            <w:pPr>
              <w:pStyle w:val="CellColumn"/>
              <w:spacing w:after="0"/>
              <w:jc w:val="right"/>
            </w:pPr>
            <w:r>
              <w:rPr>
                <w:rFonts w:cs="Times New Roman"/>
              </w:rPr>
              <w:t>79.000</w:t>
            </w:r>
          </w:p>
        </w:tc>
        <w:tc>
          <w:tcPr>
            <w:tcW w:w="1020" w:type="dxa"/>
          </w:tcPr>
          <w:p w:rsidR="005C2091" w:rsidRDefault="00A86293" w:rsidP="00034B57">
            <w:pPr>
              <w:pStyle w:val="CellColumn"/>
              <w:spacing w:after="0"/>
              <w:jc w:val="right"/>
            </w:pPr>
            <w:r>
              <w:rPr>
                <w:rFonts w:cs="Times New Roman"/>
              </w:rPr>
              <w:t>MK</w:t>
            </w:r>
          </w:p>
        </w:tc>
        <w:tc>
          <w:tcPr>
            <w:tcW w:w="1020" w:type="dxa"/>
          </w:tcPr>
          <w:p w:rsidR="005C2091" w:rsidRDefault="00A86293" w:rsidP="00034B57">
            <w:pPr>
              <w:pStyle w:val="CellColumn"/>
              <w:spacing w:after="0"/>
              <w:jc w:val="right"/>
            </w:pPr>
            <w:r>
              <w:rPr>
                <w:rFonts w:cs="Times New Roman"/>
              </w:rPr>
              <w:t>85.000</w:t>
            </w:r>
          </w:p>
        </w:tc>
        <w:tc>
          <w:tcPr>
            <w:tcW w:w="1020" w:type="dxa"/>
          </w:tcPr>
          <w:p w:rsidR="005C2091" w:rsidRDefault="00A86293" w:rsidP="00034B57">
            <w:pPr>
              <w:pStyle w:val="CellColumn"/>
              <w:spacing w:after="0"/>
              <w:jc w:val="right"/>
            </w:pPr>
            <w:r>
              <w:rPr>
                <w:rFonts w:cs="Times New Roman"/>
              </w:rPr>
              <w:t>87.230</w:t>
            </w:r>
          </w:p>
        </w:tc>
      </w:tr>
    </w:tbl>
    <w:p w:rsidR="005C2091" w:rsidRDefault="005C2091">
      <w:pPr>
        <w:jc w:val="left"/>
      </w:pPr>
    </w:p>
    <w:p w:rsidR="005C2091" w:rsidRDefault="00A86293">
      <w:pPr>
        <w:pStyle w:val="Heading4"/>
      </w:pPr>
      <w:r>
        <w:t>A565028 PROGRAMI ARHIVSKE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A565028-PROGRAMI ARHIVSKE DJELATNOSTI</w:t>
            </w:r>
          </w:p>
        </w:tc>
        <w:tc>
          <w:tcPr>
            <w:tcW w:w="2041" w:type="dxa"/>
          </w:tcPr>
          <w:p w:rsidR="005C2091" w:rsidRDefault="00A86293">
            <w:pPr>
              <w:pStyle w:val="CellColumn"/>
              <w:jc w:val="right"/>
            </w:pPr>
            <w:r>
              <w:rPr>
                <w:rFonts w:cs="Times New Roman"/>
              </w:rPr>
              <w:t>6.944.854</w:t>
            </w:r>
          </w:p>
        </w:tc>
        <w:tc>
          <w:tcPr>
            <w:tcW w:w="2041" w:type="dxa"/>
          </w:tcPr>
          <w:p w:rsidR="005C2091" w:rsidRDefault="00A86293">
            <w:pPr>
              <w:pStyle w:val="CellColumn"/>
              <w:jc w:val="right"/>
            </w:pPr>
            <w:r>
              <w:rPr>
                <w:rFonts w:cs="Times New Roman"/>
              </w:rPr>
              <w:t>7.190.161</w:t>
            </w:r>
          </w:p>
        </w:tc>
        <w:tc>
          <w:tcPr>
            <w:tcW w:w="2041" w:type="dxa"/>
          </w:tcPr>
          <w:p w:rsidR="005C2091" w:rsidRDefault="00A86293">
            <w:pPr>
              <w:pStyle w:val="CellColumn"/>
              <w:jc w:val="right"/>
            </w:pPr>
            <w:r>
              <w:rPr>
                <w:rFonts w:cs="Times New Roman"/>
              </w:rPr>
              <w:t>7.189.241</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103,5</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arhivskom gradivu i arhivima (NN 105/97,NN 64/00, NN 65/09)  </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objavljujePoziv za predlaganje programa javnih potreba u kulturi Republike Hrvatske za 2016. godinu.</w:t>
      </w:r>
    </w:p>
    <w:p w:rsidR="005C2091" w:rsidRDefault="00A86293">
      <w:pPr>
        <w:pStyle w:val="Heading8"/>
        <w:jc w:val="left"/>
      </w:pPr>
      <w:r>
        <w:t>Opis aktivnosti</w:t>
      </w:r>
    </w:p>
    <w:p w:rsidR="005C2091" w:rsidRDefault="00A86293">
      <w:r>
        <w:t xml:space="preserve">Tijekom 2016. godine nastavila se realizacija prioritetnih investicijskih programa čiji je cilj povećavati kapacitet arhiva za preuzimanje novog gradiva kao npr. izgradnja novog spremišta Hrvatskog državnog arhiva u Kerestincu, dovršenje arhiva u Dubrovniku, rekonstrukcija zgrade za potrebe arhiva u Osijeku te uređenje i opremanje arhiva u Vukovaru (tijekom 2017. godine planirano je otvorenje novog prostora DA u Vukovaru) i Varaždinu (u 2016. godini izrađena je projektna dokumentacija adaptacije prostora vojarne koji je dodijeljen DA u Varaždinu). </w:t>
      </w:r>
    </w:p>
    <w:p w:rsidR="005C2091" w:rsidRDefault="00A86293">
      <w:r>
        <w:t xml:space="preserve">Radi dugoročnog očuvanja arhivskog gradiva arhivi su tijekom 2016. godine kontinuirano provodili poslove konzerviranja i restauriranja oštećenog i ugroženog gradiva, izrađivali i čuvali sigurnosne kopije, provodili tehničko opremanje, čišćenje i sl. koji su obavljeni u istom opsegu i razini aktivnosti kao i prijašnjih godina s obzirom na činjenicu da su ljudski i prostorni kapaciteti arhiva ostali na istom nivou kao u prijašnjem razdoblju. Postojeći resursi omogućili su  obradu i popisivanje oko 2.500 dužnih metara gradiva što je godišnji prosjek. </w:t>
      </w:r>
    </w:p>
    <w:p w:rsidR="005C2091" w:rsidRDefault="00A86293">
      <w:r>
        <w:t xml:space="preserve">Uz standardne usluge korisnicima, kao što su korištenje gradiva u čitaonici, izrada preslika, izvoda i sl., arhivi su pripremali i druge sadržaje i programe za korisnike i posjetitelje: izložbe, radionice, predavanja, sadržaje koji se mogu koristiti u obrazovnom procesu u nastavi pojedinih predmeta i dr. Kao i dosadašnjih godina arhivi su sudjelovali u obilježavanju Međunarodnog dana arhiva, 9. lipnja, putem raznih kulturnih događanja i dana otvorenih vrata kako bi arhivsku djelatnosti u što većem opsegu približili javnosti. Također, u listopadu 2016. godine održano je 49. savjetovanje hrvatskih arhivista s temom »Arhivi i Domovinski rat«  koje je organiziralo Hrvatsko arhivističko društvo uz sudjelovanje arhiva domaćina DA u Gospiću, a na kojem su sudjelovali arhivisti iz svih arhiva u RH. </w:t>
      </w:r>
    </w:p>
    <w:p w:rsidR="005C2091" w:rsidRDefault="00A86293">
      <w:r>
        <w:t>Arhivi su nastavili provoditi poslove povećanja dostupnosti gradiva u arhivima putem raznih aktivnosti poput digitalizacije arhivskog gradiva. Izuzev redovnih problema vezanih uz dostupnost (npr. nedovoljno gradiva u elektroničkom obliku), tijekom 2016. godine posebno se naglasio problem dostupnosti gradiva SKH koje je tijekom 90ih godina predano u Hrvatski državni arhiv. Slijedom toga, krajem 2016. godine započet je postupak izrade novog Zakona o arhivskom gradivu i arhivima obzirom da je donošenje istog izneseno u Godišnjem planu normativnih aktivnosti Vlade RH za 2017. godinu te su predloženi kandidati za Stručno povjerenstvo za izradu novog Zakona o arhivskom gradivu i arhivima koji su imenovani u veljači 2017. godine. U 2016. godini nije bilo odstupanja od plana.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034B57">
            <w:pPr>
              <w:pStyle w:val="CellColumn"/>
              <w:spacing w:after="0"/>
              <w:jc w:val="left"/>
            </w:pPr>
            <w:r>
              <w:rPr>
                <w:rFonts w:cs="Times New Roman"/>
              </w:rPr>
              <w:t xml:space="preserve">Povećanje količine gradiva </w:t>
            </w:r>
          </w:p>
          <w:p w:rsidR="005C2091" w:rsidRDefault="00A86293" w:rsidP="00034B57">
            <w:pPr>
              <w:pStyle w:val="CellColumn"/>
              <w:spacing w:after="0"/>
              <w:jc w:val="left"/>
            </w:pPr>
            <w:r>
              <w:rPr>
                <w:rFonts w:cs="Times New Roman"/>
              </w:rPr>
              <w:t xml:space="preserve">pohranjenog u arhivima </w:t>
            </w:r>
          </w:p>
          <w:p w:rsidR="005C2091" w:rsidRDefault="00A86293" w:rsidP="00034B57">
            <w:pPr>
              <w:pStyle w:val="CellColumn"/>
              <w:spacing w:after="0"/>
              <w:jc w:val="left"/>
            </w:pPr>
            <w:r>
              <w:rPr>
                <w:rFonts w:cs="Times New Roman"/>
              </w:rPr>
              <w:t>(dužni metri)</w:t>
            </w:r>
          </w:p>
        </w:tc>
        <w:tc>
          <w:tcPr>
            <w:tcW w:w="2551" w:type="dxa"/>
          </w:tcPr>
          <w:p w:rsidR="005C2091" w:rsidRDefault="00F5606E" w:rsidP="00034B57">
            <w:pPr>
              <w:pStyle w:val="CellColumn"/>
              <w:spacing w:after="0"/>
              <w:jc w:val="left"/>
            </w:pPr>
            <w:r>
              <w:rPr>
                <w:rFonts w:cs="Times New Roman"/>
              </w:rPr>
              <w:t>Preuzima</w:t>
            </w:r>
            <w:r w:rsidR="00A86293">
              <w:rPr>
                <w:rFonts w:cs="Times New Roman"/>
              </w:rPr>
              <w:t xml:space="preserve">njem novog </w:t>
            </w:r>
          </w:p>
          <w:p w:rsidR="005C2091" w:rsidRDefault="00A86293" w:rsidP="00034B57">
            <w:pPr>
              <w:pStyle w:val="CellColumn"/>
              <w:spacing w:after="0"/>
              <w:jc w:val="left"/>
            </w:pPr>
            <w:r>
              <w:rPr>
                <w:rFonts w:cs="Times New Roman"/>
              </w:rPr>
              <w:t xml:space="preserve">gradiva u arhiv povećava se </w:t>
            </w:r>
          </w:p>
          <w:p w:rsidR="005C2091" w:rsidRDefault="00A86293" w:rsidP="00034B57">
            <w:pPr>
              <w:pStyle w:val="CellColumn"/>
              <w:spacing w:after="0"/>
              <w:jc w:val="left"/>
            </w:pPr>
            <w:r>
              <w:rPr>
                <w:rFonts w:cs="Times New Roman"/>
              </w:rPr>
              <w:t xml:space="preserve">njegova sigurnost i kvaliteta </w:t>
            </w:r>
          </w:p>
          <w:p w:rsidR="005C2091" w:rsidRDefault="00A86293" w:rsidP="00034B57">
            <w:pPr>
              <w:pStyle w:val="CellColumn"/>
              <w:spacing w:after="0"/>
              <w:jc w:val="left"/>
            </w:pPr>
            <w:r>
              <w:rPr>
                <w:rFonts w:cs="Times New Roman"/>
              </w:rPr>
              <w:t>obrade.</w:t>
            </w:r>
          </w:p>
        </w:tc>
        <w:tc>
          <w:tcPr>
            <w:tcW w:w="1020" w:type="dxa"/>
          </w:tcPr>
          <w:p w:rsidR="005C2091" w:rsidRDefault="00A86293" w:rsidP="00034B57">
            <w:pPr>
              <w:pStyle w:val="CellColumn"/>
              <w:spacing w:after="0"/>
              <w:jc w:val="right"/>
            </w:pPr>
            <w:r>
              <w:rPr>
                <w:rFonts w:cs="Times New Roman"/>
              </w:rPr>
              <w:t>Broj</w:t>
            </w:r>
          </w:p>
        </w:tc>
        <w:tc>
          <w:tcPr>
            <w:tcW w:w="1020" w:type="dxa"/>
          </w:tcPr>
          <w:p w:rsidR="005C2091" w:rsidRDefault="00A86293" w:rsidP="00034B57">
            <w:pPr>
              <w:pStyle w:val="CellColumn"/>
              <w:spacing w:after="0"/>
              <w:jc w:val="right"/>
            </w:pPr>
            <w:r>
              <w:rPr>
                <w:rFonts w:cs="Times New Roman"/>
              </w:rPr>
              <w:t>114.367</w:t>
            </w:r>
          </w:p>
        </w:tc>
        <w:tc>
          <w:tcPr>
            <w:tcW w:w="1020" w:type="dxa"/>
          </w:tcPr>
          <w:p w:rsidR="005C2091" w:rsidRDefault="00A86293" w:rsidP="00034B57">
            <w:pPr>
              <w:pStyle w:val="CellColumn"/>
              <w:spacing w:after="0"/>
              <w:jc w:val="right"/>
            </w:pPr>
            <w:r>
              <w:rPr>
                <w:rFonts w:cs="Times New Roman"/>
              </w:rPr>
              <w:t>MK</w:t>
            </w:r>
          </w:p>
        </w:tc>
        <w:tc>
          <w:tcPr>
            <w:tcW w:w="1020" w:type="dxa"/>
          </w:tcPr>
          <w:p w:rsidR="005C2091" w:rsidRDefault="00A86293" w:rsidP="00034B57">
            <w:pPr>
              <w:pStyle w:val="CellColumn"/>
              <w:spacing w:after="0"/>
              <w:jc w:val="right"/>
            </w:pPr>
            <w:r>
              <w:rPr>
                <w:rFonts w:cs="Times New Roman"/>
              </w:rPr>
              <w:t>116.000</w:t>
            </w:r>
          </w:p>
        </w:tc>
        <w:tc>
          <w:tcPr>
            <w:tcW w:w="1020" w:type="dxa"/>
          </w:tcPr>
          <w:p w:rsidR="005C2091" w:rsidRDefault="00A86293" w:rsidP="00034B57">
            <w:pPr>
              <w:pStyle w:val="CellColumn"/>
              <w:spacing w:after="0"/>
              <w:jc w:val="right"/>
            </w:pPr>
            <w:r>
              <w:rPr>
                <w:rFonts w:cs="Times New Roman"/>
              </w:rPr>
              <w:t>115.500</w:t>
            </w:r>
          </w:p>
        </w:tc>
      </w:tr>
    </w:tbl>
    <w:p w:rsidR="005C2091" w:rsidRDefault="005C2091">
      <w:pPr>
        <w:jc w:val="left"/>
      </w:pPr>
    </w:p>
    <w:p w:rsidR="005C2091" w:rsidRDefault="00A86293">
      <w:pPr>
        <w:pStyle w:val="Heading4"/>
      </w:pPr>
      <w:r>
        <w:t>A783000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A783000-ADMINISTRACIJA I UPRAVLJANJE</w:t>
            </w:r>
          </w:p>
        </w:tc>
        <w:tc>
          <w:tcPr>
            <w:tcW w:w="2041" w:type="dxa"/>
          </w:tcPr>
          <w:p w:rsidR="005C2091" w:rsidRDefault="00A86293">
            <w:pPr>
              <w:pStyle w:val="CellColumn"/>
              <w:jc w:val="right"/>
            </w:pPr>
            <w:r>
              <w:rPr>
                <w:rFonts w:cs="Times New Roman"/>
              </w:rPr>
              <w:t>72.551.505</w:t>
            </w:r>
          </w:p>
        </w:tc>
        <w:tc>
          <w:tcPr>
            <w:tcW w:w="2041" w:type="dxa"/>
          </w:tcPr>
          <w:p w:rsidR="005C2091" w:rsidRDefault="00A86293">
            <w:pPr>
              <w:pStyle w:val="CellColumn"/>
              <w:jc w:val="right"/>
            </w:pPr>
            <w:r>
              <w:rPr>
                <w:rFonts w:cs="Times New Roman"/>
              </w:rPr>
              <w:t>72.995.569</w:t>
            </w:r>
          </w:p>
        </w:tc>
        <w:tc>
          <w:tcPr>
            <w:tcW w:w="2041" w:type="dxa"/>
          </w:tcPr>
          <w:p w:rsidR="005C2091" w:rsidRDefault="00A86293">
            <w:pPr>
              <w:pStyle w:val="CellColumn"/>
              <w:jc w:val="right"/>
            </w:pPr>
            <w:r>
              <w:rPr>
                <w:rFonts w:cs="Times New Roman"/>
              </w:rPr>
              <w:t>70.300.942</w:t>
            </w:r>
          </w:p>
        </w:tc>
        <w:tc>
          <w:tcPr>
            <w:tcW w:w="1224" w:type="dxa"/>
          </w:tcPr>
          <w:p w:rsidR="005C2091" w:rsidRDefault="00A86293">
            <w:pPr>
              <w:pStyle w:val="CellColumn"/>
              <w:jc w:val="right"/>
            </w:pPr>
            <w:r>
              <w:rPr>
                <w:rFonts w:cs="Times New Roman"/>
              </w:rPr>
              <w:t>96,3</w:t>
            </w:r>
          </w:p>
        </w:tc>
        <w:tc>
          <w:tcPr>
            <w:tcW w:w="1224" w:type="dxa"/>
          </w:tcPr>
          <w:p w:rsidR="005C2091" w:rsidRDefault="00A86293">
            <w:pPr>
              <w:pStyle w:val="CellColumn"/>
              <w:jc w:val="right"/>
            </w:pPr>
            <w:r>
              <w:rPr>
                <w:rFonts w:cs="Times New Roman"/>
              </w:rPr>
              <w:t>96,9</w:t>
            </w:r>
          </w:p>
        </w:tc>
      </w:tr>
    </w:tbl>
    <w:p w:rsidR="005C2091" w:rsidRDefault="005C2091">
      <w:pPr>
        <w:jc w:val="left"/>
      </w:pPr>
    </w:p>
    <w:p w:rsidR="005C2091" w:rsidRDefault="00A86293">
      <w:pPr>
        <w:pStyle w:val="Heading8"/>
        <w:jc w:val="left"/>
      </w:pPr>
      <w:r>
        <w:t>Zakonske i druge pravne osnove</w:t>
      </w:r>
    </w:p>
    <w:p w:rsidR="005C2091" w:rsidRDefault="00A86293">
      <w:r>
        <w:t>Zakon o arhivskom gradivu i arhivima (NN 105/97,NN 64/00, NN 65/09); Zakon o Hrvatskom memorijalno - dokumentacijskom centru Domovinskog rata (NN 178/04); Pravilnik o uvjetima i načinu stjecanja stručnih zvanja u arhivskoj struci (NN 107/10); Uredba o osnivanju Državnog arhiva u Gospiću (NN 101/99); Uredba o osnivanju Državnog arhiva u Šibeniku (NN 7/07); Uredba o osnivanju Državnog arhiva u Vukovaru (NN7/07); Uredba o osnivanju Državnog arhiva za Međimurje (NN 14/07); Uredba o osnivanju Državnog arhiva u Virovitici (NN121/08)</w:t>
      </w:r>
    </w:p>
    <w:p w:rsidR="005C2091" w:rsidRDefault="00A86293">
      <w:pPr>
        <w:pStyle w:val="Heading8"/>
        <w:jc w:val="left"/>
      </w:pPr>
      <w:r>
        <w:t>Opis aktivnosti</w:t>
      </w:r>
    </w:p>
    <w:p w:rsidR="005C2091" w:rsidRDefault="00A86293">
      <w:r>
        <w:t xml:space="preserve">U ovoj aktivnosti planiraju se sredstva za redovnu djelatnost državnih arhiva: plaće, materijalne rashode, preuzimanje, zaštitu i očuvanje arhivskog gradiva, osiguranje njegove dostupnosti, pružanje usluga korisnicima, stručni nadzor nad stvarateljima i imateljima gradiva izvan arhiva, vrednovanje i izlučivanje gradiva, sređivanje i opis gradiva u arhivu i dr </w:t>
      </w:r>
    </w:p>
    <w:p w:rsidR="005C2091" w:rsidRDefault="00A86293">
      <w:r>
        <w:t xml:space="preserve"> U 2016. godini nije bilo odstupanja od plana.</w:t>
      </w:r>
    </w:p>
    <w:p w:rsidR="005C2091" w:rsidRDefault="00A86293">
      <w:pPr>
        <w:pStyle w:val="Heading2"/>
      </w:pPr>
      <w:r>
        <w:t>05540 Muzeji i galerije</w:t>
      </w:r>
    </w:p>
    <w:p w:rsidR="005C2091" w:rsidRDefault="00A86293">
      <w:r>
        <w:t>Sustav muzeja u Republici Hrvatskoj čini 291 muzej upisan u Registar muzeja. Ministarstvo kulture osigurava sredstva za redovnu djelatnost za 21 muzej. Osnovna djelatnost  muzeja određena je Zakonom o muzejima i obuhvaća nabavku, sabiranje, zaštitu, istraživanje, komuniciranje i izlaganje u svrhu proučavanja, edukacije i uživanja civilizacijskih, kulturnih materijalnih i nematerijalnih i prirodnih dobara te njihovu stručnu i znanstvenu obradu i sistematizaciju u zbirke, trajnu zaštitu muzejske građe, muzejske dokumentacije i muzejski prezentiranih baštinskih lokaliteta i nalazišta, te njihovo interpretiranje i prezentiranje javnosti putem različitih komunikacijskih oblika u stvarnom i virtualnom okruženju.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05540-Muzeji i galerije</w:t>
            </w:r>
          </w:p>
        </w:tc>
        <w:tc>
          <w:tcPr>
            <w:tcW w:w="2041" w:type="dxa"/>
            <w:vAlign w:val="top"/>
          </w:tcPr>
          <w:p w:rsidR="005C2091" w:rsidRDefault="00A86293">
            <w:pPr>
              <w:pStyle w:val="CellColumn"/>
              <w:jc w:val="right"/>
            </w:pPr>
            <w:r>
              <w:rPr>
                <w:rFonts w:cs="Times New Roman"/>
              </w:rPr>
              <w:t>100.705.790</w:t>
            </w:r>
          </w:p>
        </w:tc>
        <w:tc>
          <w:tcPr>
            <w:tcW w:w="2041" w:type="dxa"/>
            <w:vAlign w:val="top"/>
          </w:tcPr>
          <w:p w:rsidR="005C2091" w:rsidRDefault="00A86293">
            <w:pPr>
              <w:pStyle w:val="CellColumn"/>
              <w:jc w:val="right"/>
            </w:pPr>
            <w:r>
              <w:rPr>
                <w:rFonts w:cs="Times New Roman"/>
              </w:rPr>
              <w:t>103.454.443</w:t>
            </w:r>
          </w:p>
        </w:tc>
        <w:tc>
          <w:tcPr>
            <w:tcW w:w="2041" w:type="dxa"/>
            <w:vAlign w:val="top"/>
          </w:tcPr>
          <w:p w:rsidR="005C2091" w:rsidRDefault="00A86293">
            <w:pPr>
              <w:pStyle w:val="CellColumn"/>
              <w:jc w:val="right"/>
            </w:pPr>
            <w:r>
              <w:rPr>
                <w:rFonts w:cs="Times New Roman"/>
              </w:rPr>
              <w:t>103.030.961</w:t>
            </w:r>
          </w:p>
        </w:tc>
        <w:tc>
          <w:tcPr>
            <w:tcW w:w="1224" w:type="dxa"/>
            <w:vAlign w:val="top"/>
          </w:tcPr>
          <w:p w:rsidR="005C2091" w:rsidRDefault="00A86293">
            <w:pPr>
              <w:pStyle w:val="CellColumn"/>
              <w:jc w:val="right"/>
            </w:pPr>
            <w:r>
              <w:rPr>
                <w:rFonts w:cs="Times New Roman"/>
              </w:rPr>
              <w:t>99,6</w:t>
            </w:r>
          </w:p>
        </w:tc>
        <w:tc>
          <w:tcPr>
            <w:tcW w:w="1224" w:type="dxa"/>
            <w:vAlign w:val="top"/>
          </w:tcPr>
          <w:p w:rsidR="005C2091" w:rsidRDefault="00A86293">
            <w:pPr>
              <w:pStyle w:val="CellColumn"/>
              <w:jc w:val="right"/>
            </w:pPr>
            <w:r>
              <w:rPr>
                <w:rFonts w:cs="Times New Roman"/>
              </w:rPr>
              <w:t>102,3</w:t>
            </w:r>
          </w:p>
        </w:tc>
      </w:tr>
      <w:tr w:rsidR="005C2091">
        <w:trPr>
          <w:jc w:val="center"/>
        </w:trPr>
        <w:tc>
          <w:tcPr>
            <w:tcW w:w="1632" w:type="dxa"/>
          </w:tcPr>
          <w:p w:rsidR="005C2091" w:rsidRDefault="00A86293">
            <w:pPr>
              <w:jc w:val="left"/>
            </w:pPr>
            <w:r>
              <w:t>3903-MUZEJSKO-GALERIJSKA DJELATNOST</w:t>
            </w:r>
          </w:p>
        </w:tc>
        <w:tc>
          <w:tcPr>
            <w:tcW w:w="2041" w:type="dxa"/>
          </w:tcPr>
          <w:p w:rsidR="005C2091" w:rsidRDefault="00A86293">
            <w:pPr>
              <w:jc w:val="right"/>
            </w:pPr>
            <w:r>
              <w:t>100.705.790</w:t>
            </w:r>
          </w:p>
        </w:tc>
        <w:tc>
          <w:tcPr>
            <w:tcW w:w="2041" w:type="dxa"/>
          </w:tcPr>
          <w:p w:rsidR="005C2091" w:rsidRDefault="00A86293">
            <w:pPr>
              <w:jc w:val="right"/>
            </w:pPr>
            <w:r>
              <w:t>103.454.443</w:t>
            </w:r>
          </w:p>
        </w:tc>
        <w:tc>
          <w:tcPr>
            <w:tcW w:w="2041" w:type="dxa"/>
          </w:tcPr>
          <w:p w:rsidR="005C2091" w:rsidRDefault="00A86293">
            <w:pPr>
              <w:jc w:val="right"/>
            </w:pPr>
            <w:r>
              <w:t>103.030.961</w:t>
            </w:r>
          </w:p>
        </w:tc>
        <w:tc>
          <w:tcPr>
            <w:tcW w:w="1224" w:type="dxa"/>
          </w:tcPr>
          <w:p w:rsidR="005C2091" w:rsidRDefault="00A86293">
            <w:pPr>
              <w:jc w:val="right"/>
            </w:pPr>
            <w:r>
              <w:t>99,6</w:t>
            </w:r>
          </w:p>
        </w:tc>
        <w:tc>
          <w:tcPr>
            <w:tcW w:w="1224" w:type="dxa"/>
          </w:tcPr>
          <w:p w:rsidR="005C2091" w:rsidRDefault="00A86293">
            <w:pPr>
              <w:jc w:val="right"/>
            </w:pPr>
            <w:r>
              <w:t>102,3</w:t>
            </w:r>
          </w:p>
        </w:tc>
      </w:tr>
    </w:tbl>
    <w:p w:rsidR="005C2091" w:rsidRDefault="005C2091">
      <w:pPr>
        <w:jc w:val="left"/>
      </w:pPr>
    </w:p>
    <w:p w:rsidR="005C2091" w:rsidRDefault="00A86293">
      <w:pPr>
        <w:pStyle w:val="Heading3"/>
      </w:pPr>
      <w:r>
        <w:rPr>
          <w:rFonts w:cs="Times New Roman"/>
        </w:rPr>
        <w:t>3903 MUZEJSKO-GALERIJSKA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3903-MUZEJSKO-GALERIJSKA DJELATNOST</w:t>
            </w:r>
          </w:p>
        </w:tc>
        <w:tc>
          <w:tcPr>
            <w:tcW w:w="2041" w:type="dxa"/>
          </w:tcPr>
          <w:p w:rsidR="005C2091" w:rsidRDefault="00A86293">
            <w:pPr>
              <w:pStyle w:val="CellColumn"/>
              <w:jc w:val="right"/>
            </w:pPr>
            <w:r>
              <w:rPr>
                <w:rFonts w:cs="Times New Roman"/>
              </w:rPr>
              <w:t>100.705.790</w:t>
            </w:r>
          </w:p>
        </w:tc>
        <w:tc>
          <w:tcPr>
            <w:tcW w:w="2041" w:type="dxa"/>
          </w:tcPr>
          <w:p w:rsidR="005C2091" w:rsidRDefault="00A86293">
            <w:pPr>
              <w:pStyle w:val="CellColumn"/>
              <w:jc w:val="right"/>
            </w:pPr>
            <w:r>
              <w:rPr>
                <w:rFonts w:cs="Times New Roman"/>
              </w:rPr>
              <w:t>103.454.443</w:t>
            </w:r>
          </w:p>
        </w:tc>
        <w:tc>
          <w:tcPr>
            <w:tcW w:w="2041" w:type="dxa"/>
          </w:tcPr>
          <w:p w:rsidR="005C2091" w:rsidRDefault="00A86293">
            <w:pPr>
              <w:pStyle w:val="CellColumn"/>
              <w:jc w:val="right"/>
            </w:pPr>
            <w:r>
              <w:rPr>
                <w:rFonts w:cs="Times New Roman"/>
              </w:rPr>
              <w:t>103.030.961</w:t>
            </w:r>
          </w:p>
        </w:tc>
        <w:tc>
          <w:tcPr>
            <w:tcW w:w="1224" w:type="dxa"/>
          </w:tcPr>
          <w:p w:rsidR="005C2091" w:rsidRDefault="00A86293">
            <w:pPr>
              <w:pStyle w:val="CellColumn"/>
              <w:jc w:val="right"/>
            </w:pPr>
            <w:r>
              <w:rPr>
                <w:rFonts w:cs="Times New Roman"/>
              </w:rPr>
              <w:t>99,6</w:t>
            </w:r>
          </w:p>
        </w:tc>
        <w:tc>
          <w:tcPr>
            <w:tcW w:w="1224" w:type="dxa"/>
          </w:tcPr>
          <w:p w:rsidR="005C2091" w:rsidRDefault="00A86293">
            <w:pPr>
              <w:pStyle w:val="CellColumn"/>
              <w:jc w:val="right"/>
            </w:pPr>
            <w:r>
              <w:rPr>
                <w:rFonts w:cs="Times New Roman"/>
              </w:rPr>
              <w:t>102,3</w:t>
            </w:r>
          </w:p>
        </w:tc>
      </w:tr>
    </w:tbl>
    <w:p w:rsidR="005C2091" w:rsidRDefault="005C2091">
      <w:pPr>
        <w:jc w:val="left"/>
      </w:pPr>
    </w:p>
    <w:p w:rsidR="005C2091" w:rsidRDefault="00A86293">
      <w:r>
        <w:t>Muzejske ustanove kroz sustav muzeja uspostavljaju jedinstven stručni pristup u obavljanju muzejske djelatnosti, stručni nadzor nad radom muzeja, izgradnju standardna djelatnosti te potiču kvalitetnije funkcioniranje muzeja u smislu očuvanja, zaštite, istraživanja i promocije muzejske baštine kao i ostvarivanja društvene uloge muzeja. Cilj i svrha sustava muzeja su povećanje razine inventiranosti, obrade i prezentacije muzejske građe, razvoj muzejske infrastrukture, podizanje razine zaštite i očuvanja muzejske građe te veća dostupnost kulturne baštine u digitalnom okruženju.</w:t>
      </w:r>
    </w:p>
    <w:p w:rsidR="005C2091" w:rsidRDefault="00A86293">
      <w:pPr>
        <w:pStyle w:val="Heading8"/>
        <w:jc w:val="left"/>
      </w:pPr>
      <w:r>
        <w:t>Cilj 1. Potpora programskim aktivnostima muzeja i galerija na državnom proračunu</w:t>
      </w:r>
    </w:p>
    <w:p w:rsidR="005C2091" w:rsidRDefault="00A86293">
      <w:pPr>
        <w:pStyle w:val="Heading8"/>
        <w:jc w:val="left"/>
      </w:pPr>
      <w:r>
        <w:t>Opis provedbe cilja programa</w:t>
      </w:r>
    </w:p>
    <w:p w:rsidR="005C2091" w:rsidRDefault="00A86293">
      <w:r>
        <w:t xml:space="preserve">Muzeji i galerije na državnom proračunu skrbe o 412 muzejskih zbirki koje sadržeukupno 1.354.473 predmeta, od čega je oko 66% inventarizirano, a oko 37% je uneseno u bazu podataka (računalno inventirano). Kod dijela arheoloških muzeja razina inventiranosti muzejske građe i dokumentacije je nedostatna. Inventarizacija muzejske građe i dokumentacije prioritetna je muzejska aktivnost. Potporama izložbama iz fundusa i onima vezanim za osnovnu djelatnost muzeja propisano i u Zakonu o muzejima – obradi, zaštiti, istraživanju i prezentaciju vlastitog fundusa i pripremi stalnog postava te onima koje studijski i znanstveno obrađuju građu iprezentiraju nova saznanja razvija se muzejska djelatnost i prezentira raznolika kulturna, prirodoslovna i tehnička dobra koja su dio sveukupne nacionalne kulturne baštine. Potporama izdavačkoj djelatnosti muzeja pridonosi se valorizaciji, kategorizaciji i prezentaciji fundusa. Međumuzejska suradnja podrazumijeva razmjenu programa, organizaciju zajedničkih izložaba i ostalih projekata, suradnju na predlaganju izložaba za međunarodnu suradnju s naglaskom na reciprocitet pri razmjeni izložaba i definiranje troškova te na suradnju u popunama fundusa trajnim posudbama građe. Godišnje se sufinancira oko 160 programskih aktivnosti muzeja koji su na državnom proračunu. Podupire se suradnja muzeja s drugim regionalnim i nacionalnim baštinskim i kulturnim institucijama s ciljem ostvarivanja zajedničkih i/ili kompleksnih projekata predstavljanja ukupnosti baštine pojedinih hrvatskih regija koji pokazuju povijesni kontinuitet u kulturnom, umjetničkom, gospodarskom i </w:t>
      </w:r>
    </w:p>
    <w:p w:rsidR="005C2091" w:rsidRDefault="00A86293">
      <w:r>
        <w:t>političkom životu.</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6A4CE2">
            <w:pPr>
              <w:pStyle w:val="CellColumn"/>
              <w:spacing w:after="0"/>
              <w:jc w:val="left"/>
            </w:pPr>
            <w:r>
              <w:rPr>
                <w:rFonts w:cs="Times New Roman"/>
              </w:rPr>
              <w:t xml:space="preserve">Postotak obrađenosti </w:t>
            </w:r>
          </w:p>
          <w:p w:rsidR="005C2091" w:rsidRDefault="00A86293" w:rsidP="006A4CE2">
            <w:pPr>
              <w:pStyle w:val="CellColumn"/>
              <w:spacing w:after="0"/>
              <w:jc w:val="left"/>
            </w:pPr>
            <w:r>
              <w:rPr>
                <w:rFonts w:cs="Times New Roman"/>
              </w:rPr>
              <w:t>muzejske građe</w:t>
            </w:r>
          </w:p>
        </w:tc>
        <w:tc>
          <w:tcPr>
            <w:tcW w:w="2551" w:type="dxa"/>
          </w:tcPr>
          <w:p w:rsidR="005C2091" w:rsidRDefault="00A86293" w:rsidP="006A4CE2">
            <w:pPr>
              <w:pStyle w:val="CellColumn"/>
              <w:spacing w:after="0"/>
              <w:jc w:val="left"/>
            </w:pPr>
            <w:r>
              <w:rPr>
                <w:rFonts w:cs="Times New Roman"/>
              </w:rPr>
              <w:t xml:space="preserve">Postotak </w:t>
            </w:r>
            <w:r w:rsidR="006A4CE2">
              <w:rPr>
                <w:rFonts w:cs="Times New Roman"/>
              </w:rPr>
              <w:t>obrađeno</w:t>
            </w:r>
            <w:r>
              <w:rPr>
                <w:rFonts w:cs="Times New Roman"/>
              </w:rPr>
              <w:t xml:space="preserve">sti </w:t>
            </w:r>
          </w:p>
          <w:p w:rsidR="005C2091" w:rsidRDefault="00A86293" w:rsidP="006A4CE2">
            <w:pPr>
              <w:pStyle w:val="CellColumn"/>
              <w:spacing w:after="0"/>
              <w:jc w:val="left"/>
            </w:pPr>
            <w:r>
              <w:rPr>
                <w:rFonts w:cs="Times New Roman"/>
              </w:rPr>
              <w:t xml:space="preserve">muzejske građe </w:t>
            </w:r>
          </w:p>
          <w:p w:rsidR="005C2091" w:rsidRDefault="006A4CE2" w:rsidP="006A4CE2">
            <w:pPr>
              <w:pStyle w:val="CellColumn"/>
              <w:spacing w:after="0"/>
              <w:jc w:val="left"/>
            </w:pPr>
            <w:r>
              <w:rPr>
                <w:rFonts w:cs="Times New Roman"/>
              </w:rPr>
              <w:t>podrazum</w:t>
            </w:r>
            <w:r w:rsidR="00A86293">
              <w:rPr>
                <w:rFonts w:cs="Times New Roman"/>
              </w:rPr>
              <w:t xml:space="preserve">ijeva cjelovitu </w:t>
            </w:r>
          </w:p>
          <w:p w:rsidR="005C2091" w:rsidRDefault="00A86293" w:rsidP="006A4CE2">
            <w:pPr>
              <w:pStyle w:val="CellColumn"/>
              <w:spacing w:after="0"/>
              <w:jc w:val="left"/>
            </w:pPr>
            <w:r>
              <w:rPr>
                <w:rFonts w:cs="Times New Roman"/>
              </w:rPr>
              <w:t xml:space="preserve">obradu muzejske </w:t>
            </w:r>
          </w:p>
          <w:p w:rsidR="005C2091" w:rsidRDefault="00A86293" w:rsidP="006A4CE2">
            <w:pPr>
              <w:pStyle w:val="CellColumn"/>
              <w:spacing w:after="0"/>
              <w:jc w:val="left"/>
            </w:pPr>
            <w:r>
              <w:rPr>
                <w:rFonts w:cs="Times New Roman"/>
              </w:rPr>
              <w:t xml:space="preserve">građe mjerljivu upisom u </w:t>
            </w:r>
          </w:p>
          <w:p w:rsidR="005C2091" w:rsidRDefault="00A86293" w:rsidP="006A4CE2">
            <w:pPr>
              <w:pStyle w:val="CellColumn"/>
              <w:spacing w:after="0"/>
              <w:jc w:val="left"/>
            </w:pPr>
            <w:r>
              <w:rPr>
                <w:rFonts w:cs="Times New Roman"/>
              </w:rPr>
              <w:t xml:space="preserve">registar kulturnih dobara za </w:t>
            </w:r>
          </w:p>
          <w:p w:rsidR="005C2091" w:rsidRDefault="00A86293" w:rsidP="006A4CE2">
            <w:pPr>
              <w:pStyle w:val="CellColumn"/>
              <w:spacing w:after="0"/>
              <w:jc w:val="left"/>
            </w:pPr>
            <w:r>
              <w:rPr>
                <w:rFonts w:cs="Times New Roman"/>
              </w:rPr>
              <w:t>muzejske i galerijske zbirke</w:t>
            </w:r>
          </w:p>
        </w:tc>
        <w:tc>
          <w:tcPr>
            <w:tcW w:w="1020" w:type="dxa"/>
          </w:tcPr>
          <w:p w:rsidR="005C2091" w:rsidRDefault="00A86293" w:rsidP="006A4CE2">
            <w:pPr>
              <w:pStyle w:val="CellColumn"/>
              <w:spacing w:after="0"/>
              <w:jc w:val="right"/>
            </w:pPr>
            <w:r>
              <w:rPr>
                <w:rFonts w:cs="Times New Roman"/>
              </w:rPr>
              <w:t>%</w:t>
            </w:r>
          </w:p>
        </w:tc>
        <w:tc>
          <w:tcPr>
            <w:tcW w:w="1020" w:type="dxa"/>
          </w:tcPr>
          <w:p w:rsidR="005C2091" w:rsidRDefault="00A86293" w:rsidP="006A4CE2">
            <w:pPr>
              <w:pStyle w:val="CellColumn"/>
              <w:spacing w:after="0"/>
              <w:jc w:val="right"/>
            </w:pPr>
            <w:r>
              <w:rPr>
                <w:rFonts w:cs="Times New Roman"/>
              </w:rPr>
              <w:t>33</w:t>
            </w:r>
          </w:p>
        </w:tc>
        <w:tc>
          <w:tcPr>
            <w:tcW w:w="1020" w:type="dxa"/>
          </w:tcPr>
          <w:p w:rsidR="005C2091" w:rsidRDefault="00A86293" w:rsidP="006A4CE2">
            <w:pPr>
              <w:pStyle w:val="CellColumn"/>
              <w:spacing w:after="0"/>
              <w:jc w:val="right"/>
            </w:pPr>
            <w:r>
              <w:rPr>
                <w:rFonts w:cs="Times New Roman"/>
              </w:rPr>
              <w:t>MK, MDC</w:t>
            </w:r>
          </w:p>
        </w:tc>
        <w:tc>
          <w:tcPr>
            <w:tcW w:w="1020" w:type="dxa"/>
          </w:tcPr>
          <w:p w:rsidR="005C2091" w:rsidRDefault="00A86293" w:rsidP="006A4CE2">
            <w:pPr>
              <w:pStyle w:val="CellColumn"/>
              <w:spacing w:after="0"/>
              <w:jc w:val="right"/>
            </w:pPr>
            <w:r>
              <w:rPr>
                <w:rFonts w:cs="Times New Roman"/>
              </w:rPr>
              <w:t>40</w:t>
            </w:r>
          </w:p>
        </w:tc>
        <w:tc>
          <w:tcPr>
            <w:tcW w:w="1020" w:type="dxa"/>
          </w:tcPr>
          <w:p w:rsidR="005C2091" w:rsidRDefault="00A86293" w:rsidP="006A4CE2">
            <w:pPr>
              <w:pStyle w:val="CellColumn"/>
              <w:spacing w:after="0"/>
              <w:jc w:val="right"/>
            </w:pPr>
            <w:r>
              <w:rPr>
                <w:rFonts w:cs="Times New Roman"/>
              </w:rPr>
              <w:t>42</w:t>
            </w:r>
          </w:p>
        </w:tc>
      </w:tr>
    </w:tbl>
    <w:p w:rsidR="005C2091" w:rsidRDefault="005C2091">
      <w:pPr>
        <w:jc w:val="left"/>
      </w:pPr>
    </w:p>
    <w:p w:rsidR="005C2091" w:rsidRDefault="00A86293">
      <w:pPr>
        <w:pStyle w:val="Heading4"/>
      </w:pPr>
      <w:r>
        <w:t>A780000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A780000-ADMINISTRACIJA I UPRAVLJANJE</w:t>
            </w:r>
          </w:p>
        </w:tc>
        <w:tc>
          <w:tcPr>
            <w:tcW w:w="2041" w:type="dxa"/>
          </w:tcPr>
          <w:p w:rsidR="005C2091" w:rsidRDefault="00A86293">
            <w:pPr>
              <w:pStyle w:val="CellColumn"/>
              <w:jc w:val="right"/>
            </w:pPr>
            <w:r>
              <w:rPr>
                <w:rFonts w:cs="Times New Roman"/>
              </w:rPr>
              <w:t>90.845.870</w:t>
            </w:r>
          </w:p>
        </w:tc>
        <w:tc>
          <w:tcPr>
            <w:tcW w:w="2041" w:type="dxa"/>
          </w:tcPr>
          <w:p w:rsidR="005C2091" w:rsidRDefault="00A86293">
            <w:pPr>
              <w:pStyle w:val="CellColumn"/>
              <w:jc w:val="right"/>
            </w:pPr>
            <w:r>
              <w:rPr>
                <w:rFonts w:cs="Times New Roman"/>
              </w:rPr>
              <w:t>91.279.703</w:t>
            </w:r>
          </w:p>
        </w:tc>
        <w:tc>
          <w:tcPr>
            <w:tcW w:w="2041" w:type="dxa"/>
          </w:tcPr>
          <w:p w:rsidR="005C2091" w:rsidRDefault="00A86293">
            <w:pPr>
              <w:pStyle w:val="CellColumn"/>
              <w:jc w:val="right"/>
            </w:pPr>
            <w:r>
              <w:rPr>
                <w:rFonts w:cs="Times New Roman"/>
              </w:rPr>
              <w:t>90.856.677</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100,0</w:t>
            </w:r>
          </w:p>
        </w:tc>
      </w:tr>
    </w:tbl>
    <w:p w:rsidR="005C2091" w:rsidRDefault="005C2091">
      <w:pPr>
        <w:jc w:val="left"/>
      </w:pPr>
    </w:p>
    <w:p w:rsidR="005C2091" w:rsidRDefault="00A86293">
      <w:pPr>
        <w:pStyle w:val="Heading8"/>
        <w:jc w:val="left"/>
      </w:pPr>
      <w:r>
        <w:t>Zakonske i druge pravne osnove</w:t>
      </w:r>
    </w:p>
    <w:p w:rsidR="005C2091" w:rsidRDefault="00A86293">
      <w:r>
        <w:t>Zakon o muzejima (NN 110/15); Zakon o Muzejima Ivana Meštrovića (NN76/07); Zakon o Spomen području Jasenovac (NN15/90, 28/90, Ispravak NN 22/01); Zakon o ustanovama (NN 76/93, 29/97, 47/99, Ispravak 35/08); Zakon o upravljanju javnim ustanovama u kulturi (NN 96/01); Pravilnik o uvjetima i načinu stjecanja stručnih zvanja u muzejskoj struci (NN 97/10)</w:t>
      </w:r>
    </w:p>
    <w:p w:rsidR="005C2091" w:rsidRDefault="00A86293">
      <w:pPr>
        <w:pStyle w:val="Heading8"/>
        <w:jc w:val="left"/>
      </w:pPr>
      <w:r>
        <w:t>Opis aktivnosti</w:t>
      </w:r>
    </w:p>
    <w:p w:rsidR="005C2091" w:rsidRDefault="00A86293">
      <w:r>
        <w:t>U ovoj aktivnosti osigurana su sredstva za redovnu djelatnost muzeja: plaće, materijalne rashode, nabavu, preuzimanje, zaštitu i istraživanje gradiva, izlaganje u svrhu proučavanja, stručnu i znanstvenu obradu i sistematizaciju. U 2016. godini program je u potpunosti izvršen te nije bilo odstupanja od plana.</w:t>
      </w:r>
    </w:p>
    <w:p w:rsidR="00F24C48" w:rsidRDefault="00F24C48"/>
    <w:p w:rsidR="00F24C48" w:rsidRDefault="00F24C48"/>
    <w:p w:rsidR="005C2091" w:rsidRDefault="00A86293">
      <w:pPr>
        <w:pStyle w:val="Heading4"/>
      </w:pPr>
      <w:r>
        <w:t>A780001 PROGRAMI MUZEJSKO GALERIJSKE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A780001-PROGRAMI MUZEJSKO GALERIJSKE DJELATNOSTI</w:t>
            </w:r>
          </w:p>
        </w:tc>
        <w:tc>
          <w:tcPr>
            <w:tcW w:w="2041" w:type="dxa"/>
          </w:tcPr>
          <w:p w:rsidR="005C2091" w:rsidRDefault="00A86293">
            <w:pPr>
              <w:pStyle w:val="CellColumn"/>
              <w:jc w:val="right"/>
            </w:pPr>
            <w:r>
              <w:rPr>
                <w:rFonts w:cs="Times New Roman"/>
              </w:rPr>
              <w:t>9.859.920</w:t>
            </w:r>
          </w:p>
        </w:tc>
        <w:tc>
          <w:tcPr>
            <w:tcW w:w="2041" w:type="dxa"/>
          </w:tcPr>
          <w:p w:rsidR="005C2091" w:rsidRDefault="00A86293">
            <w:pPr>
              <w:pStyle w:val="CellColumn"/>
              <w:jc w:val="right"/>
            </w:pPr>
            <w:r>
              <w:rPr>
                <w:rFonts w:cs="Times New Roman"/>
              </w:rPr>
              <w:t>12.174.740</w:t>
            </w:r>
          </w:p>
        </w:tc>
        <w:tc>
          <w:tcPr>
            <w:tcW w:w="2041" w:type="dxa"/>
          </w:tcPr>
          <w:p w:rsidR="005C2091" w:rsidRDefault="00A86293">
            <w:pPr>
              <w:pStyle w:val="CellColumn"/>
              <w:jc w:val="right"/>
            </w:pPr>
            <w:r>
              <w:rPr>
                <w:rFonts w:cs="Times New Roman"/>
              </w:rPr>
              <w:t>12.174.285</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123,5</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muzejima" (NN 110/15)  </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2016. godinu.</w:t>
      </w:r>
    </w:p>
    <w:p w:rsidR="005C2091" w:rsidRDefault="00A86293">
      <w:pPr>
        <w:pStyle w:val="Heading8"/>
        <w:jc w:val="left"/>
      </w:pPr>
      <w:r>
        <w:t>Opis aktivnosti</w:t>
      </w:r>
    </w:p>
    <w:p w:rsidR="005C2091" w:rsidRDefault="00A86293">
      <w:r>
        <w:t xml:space="preserve">U 2016. godini dovršen je strateški projekt Ministarstva kulture: otvoren je Muzej Apoksiomena. Nakon sedamnaest godina od pronalaska kipa i skrbi Republike Hrvatske o njemu, otvoren je stalni muzejski postav koji ocrtava kompleksnost arhitektonsko-muzeološkog rješenja. Ovim projektom još je jednom potvrđeno kako muzejska djelatnost u Hrvatskoj slijedi suvremene muzeološke tendencije te kako se sa svakim novim stalnim postavom ostvaruju značajni pomaci u prezentaciji, valorizaciji i promicanju hrvatske kulturne baštine. </w:t>
      </w:r>
    </w:p>
    <w:p w:rsidR="005C2091" w:rsidRDefault="00A86293">
      <w:r>
        <w:t xml:space="preserve">Investicijskim ulaganjima u  razvoj muzejske infrastrukture, odnosno potporama rekonstrukciji i obnovi zgrada muzejskih ustanova kao npr. za Gradski muzej Nova Gradiška, Muzej Brodskog Posavlja u Slavonskom Brodu, Muzej grada Umaga, stalnim muzejskim postavima (Muzej Đakovštine u Đakovu, Zavičajni muzej Slatina te Gradski muze Vukovar, Zbirka Bauer) kao i izgradnji novih muzeja (Stalna izložba Karlovac 1991.-1995., Turanj, Gradski muzej Karlovac) usmjereno je na integriranje muzejskih projekata u ukupnu ponudu znanja i informacija o kulturnoj baštini te ulaganja u cilju osiguranja održivog kulturnog i gospodarskog razvoja. </w:t>
      </w:r>
    </w:p>
    <w:p w:rsidR="005C2091" w:rsidRDefault="00A86293">
      <w:r>
        <w:t>Programskim potporama muzeji su realizirali niz izložbi iz fundusa kao i one vezane za osnovnu djelatnost muzeja i to u cilju obrade i zaštite građe, istraživanja i prezentacije vlastitog fundusa i pripremi stalnog postava te one kojima se studijski i znanstveno obradila građa i prezentirala nova saznanja. Navedenim programima prezentirana su raznolika kulturna, prirodoslovna i tehnička dobra  koja su dio sveukupne nacionalne kulturne baštine. Realizacijom raznovrsnih programskih aktivnosti muzeji se profiliraju kao interdisciplinarni centri koji svojom ponudom odgovaraju suvremenim potrebama zajednice. U 2016. godini nije bilo odstupanja od plana, programi su izvršeni, a sredstva utrošena u cijelosti.</w:t>
      </w:r>
    </w:p>
    <w:p w:rsidR="005C2091" w:rsidRDefault="00A86293">
      <w:pPr>
        <w:pStyle w:val="Heading2"/>
      </w:pPr>
      <w:r>
        <w:t>05565 Ostali proračunski korisnici iz područja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01046-Ansambl Lado</w:t>
            </w:r>
          </w:p>
        </w:tc>
        <w:tc>
          <w:tcPr>
            <w:tcW w:w="2041" w:type="dxa"/>
          </w:tcPr>
          <w:p w:rsidR="005C2091" w:rsidRDefault="00A86293">
            <w:pPr>
              <w:pStyle w:val="CellColumn"/>
              <w:jc w:val="right"/>
            </w:pPr>
            <w:r>
              <w:rPr>
                <w:rFonts w:cs="Times New Roman"/>
              </w:rPr>
              <w:t>13.099.290</w:t>
            </w:r>
          </w:p>
        </w:tc>
        <w:tc>
          <w:tcPr>
            <w:tcW w:w="2041" w:type="dxa"/>
          </w:tcPr>
          <w:p w:rsidR="005C2091" w:rsidRDefault="00A86293">
            <w:pPr>
              <w:pStyle w:val="CellColumn"/>
              <w:jc w:val="right"/>
            </w:pPr>
            <w:r>
              <w:rPr>
                <w:rFonts w:cs="Times New Roman"/>
              </w:rPr>
              <w:t>13.269.145</w:t>
            </w:r>
          </w:p>
        </w:tc>
        <w:tc>
          <w:tcPr>
            <w:tcW w:w="2041" w:type="dxa"/>
          </w:tcPr>
          <w:p w:rsidR="005C2091" w:rsidRDefault="00A86293">
            <w:pPr>
              <w:pStyle w:val="CellColumn"/>
              <w:jc w:val="right"/>
            </w:pPr>
            <w:r>
              <w:rPr>
                <w:rFonts w:cs="Times New Roman"/>
              </w:rPr>
              <w:t>13.205.886</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100,8</w:t>
            </w:r>
          </w:p>
        </w:tc>
      </w:tr>
      <w:tr w:rsidR="005C2091">
        <w:trPr>
          <w:jc w:val="center"/>
        </w:trPr>
        <w:tc>
          <w:tcPr>
            <w:tcW w:w="1632" w:type="dxa"/>
          </w:tcPr>
          <w:p w:rsidR="005C2091" w:rsidRDefault="00A86293">
            <w:pPr>
              <w:pStyle w:val="CellColumn"/>
              <w:jc w:val="left"/>
            </w:pPr>
            <w:r>
              <w:rPr>
                <w:rFonts w:cs="Times New Roman"/>
              </w:rPr>
              <w:t>22339-Hrvatski restauratorski zavod</w:t>
            </w:r>
          </w:p>
        </w:tc>
        <w:tc>
          <w:tcPr>
            <w:tcW w:w="2041" w:type="dxa"/>
          </w:tcPr>
          <w:p w:rsidR="005C2091" w:rsidRDefault="00A86293">
            <w:pPr>
              <w:pStyle w:val="CellColumn"/>
              <w:jc w:val="right"/>
            </w:pPr>
            <w:r>
              <w:rPr>
                <w:rFonts w:cs="Times New Roman"/>
              </w:rPr>
              <w:t>63.877.434</w:t>
            </w:r>
          </w:p>
        </w:tc>
        <w:tc>
          <w:tcPr>
            <w:tcW w:w="2041" w:type="dxa"/>
          </w:tcPr>
          <w:p w:rsidR="005C2091" w:rsidRDefault="00A86293">
            <w:pPr>
              <w:pStyle w:val="CellColumn"/>
              <w:jc w:val="right"/>
            </w:pPr>
            <w:r>
              <w:rPr>
                <w:rFonts w:cs="Times New Roman"/>
              </w:rPr>
              <w:t>65.910.926</w:t>
            </w:r>
          </w:p>
        </w:tc>
        <w:tc>
          <w:tcPr>
            <w:tcW w:w="2041" w:type="dxa"/>
          </w:tcPr>
          <w:p w:rsidR="005C2091" w:rsidRDefault="00A86293">
            <w:pPr>
              <w:pStyle w:val="CellColumn"/>
              <w:jc w:val="right"/>
            </w:pPr>
            <w:r>
              <w:rPr>
                <w:rFonts w:cs="Times New Roman"/>
              </w:rPr>
              <w:t>66.288.987</w:t>
            </w:r>
          </w:p>
        </w:tc>
        <w:tc>
          <w:tcPr>
            <w:tcW w:w="1224" w:type="dxa"/>
          </w:tcPr>
          <w:p w:rsidR="005C2091" w:rsidRDefault="00A86293">
            <w:pPr>
              <w:pStyle w:val="CellColumn"/>
              <w:jc w:val="right"/>
            </w:pPr>
            <w:r>
              <w:rPr>
                <w:rFonts w:cs="Times New Roman"/>
              </w:rPr>
              <w:t>100,6</w:t>
            </w:r>
          </w:p>
        </w:tc>
        <w:tc>
          <w:tcPr>
            <w:tcW w:w="1224" w:type="dxa"/>
          </w:tcPr>
          <w:p w:rsidR="005C2091" w:rsidRDefault="00A86293">
            <w:pPr>
              <w:pStyle w:val="CellColumn"/>
              <w:jc w:val="right"/>
            </w:pPr>
            <w:r>
              <w:rPr>
                <w:rFonts w:cs="Times New Roman"/>
              </w:rPr>
              <w:t>103,8</w:t>
            </w:r>
          </w:p>
        </w:tc>
      </w:tr>
      <w:tr w:rsidR="005C2091">
        <w:trPr>
          <w:jc w:val="center"/>
        </w:trPr>
        <w:tc>
          <w:tcPr>
            <w:tcW w:w="1632" w:type="dxa"/>
          </w:tcPr>
          <w:p w:rsidR="005C2091" w:rsidRDefault="00A86293">
            <w:pPr>
              <w:pStyle w:val="CellColumn"/>
              <w:jc w:val="left"/>
            </w:pPr>
            <w:r>
              <w:rPr>
                <w:rFonts w:cs="Times New Roman"/>
              </w:rPr>
              <w:t>23585-Hrvatska knjižnica za slijepe</w:t>
            </w:r>
          </w:p>
        </w:tc>
        <w:tc>
          <w:tcPr>
            <w:tcW w:w="2041" w:type="dxa"/>
          </w:tcPr>
          <w:p w:rsidR="005C2091" w:rsidRDefault="00A86293">
            <w:pPr>
              <w:pStyle w:val="CellColumn"/>
              <w:jc w:val="right"/>
            </w:pPr>
            <w:r>
              <w:rPr>
                <w:rFonts w:cs="Times New Roman"/>
              </w:rPr>
              <w:t>3.231.976</w:t>
            </w:r>
          </w:p>
        </w:tc>
        <w:tc>
          <w:tcPr>
            <w:tcW w:w="2041" w:type="dxa"/>
          </w:tcPr>
          <w:p w:rsidR="005C2091" w:rsidRDefault="00A86293">
            <w:pPr>
              <w:pStyle w:val="CellColumn"/>
              <w:jc w:val="right"/>
            </w:pPr>
            <w:r>
              <w:rPr>
                <w:rFonts w:cs="Times New Roman"/>
              </w:rPr>
              <w:t>3.201.815</w:t>
            </w:r>
          </w:p>
        </w:tc>
        <w:tc>
          <w:tcPr>
            <w:tcW w:w="2041" w:type="dxa"/>
          </w:tcPr>
          <w:p w:rsidR="005C2091" w:rsidRDefault="00A86293">
            <w:pPr>
              <w:pStyle w:val="CellColumn"/>
              <w:jc w:val="right"/>
            </w:pPr>
            <w:r>
              <w:rPr>
                <w:rFonts w:cs="Times New Roman"/>
              </w:rPr>
              <w:t>2.971.859</w:t>
            </w:r>
          </w:p>
        </w:tc>
        <w:tc>
          <w:tcPr>
            <w:tcW w:w="1224" w:type="dxa"/>
          </w:tcPr>
          <w:p w:rsidR="005C2091" w:rsidRDefault="00A86293">
            <w:pPr>
              <w:pStyle w:val="CellColumn"/>
              <w:jc w:val="right"/>
            </w:pPr>
            <w:r>
              <w:rPr>
                <w:rFonts w:cs="Times New Roman"/>
              </w:rPr>
              <w:t>92,8</w:t>
            </w:r>
          </w:p>
        </w:tc>
        <w:tc>
          <w:tcPr>
            <w:tcW w:w="1224" w:type="dxa"/>
          </w:tcPr>
          <w:p w:rsidR="005C2091" w:rsidRDefault="00A86293">
            <w:pPr>
              <w:pStyle w:val="CellColumn"/>
              <w:jc w:val="right"/>
            </w:pPr>
            <w:r>
              <w:rPr>
                <w:rFonts w:cs="Times New Roman"/>
              </w:rPr>
              <w:t>92,0</w:t>
            </w:r>
          </w:p>
        </w:tc>
      </w:tr>
      <w:tr w:rsidR="005C2091">
        <w:trPr>
          <w:jc w:val="center"/>
        </w:trPr>
        <w:tc>
          <w:tcPr>
            <w:tcW w:w="1632" w:type="dxa"/>
          </w:tcPr>
          <w:p w:rsidR="005C2091" w:rsidRDefault="00A86293">
            <w:pPr>
              <w:pStyle w:val="CellColumn"/>
              <w:jc w:val="left"/>
            </w:pPr>
            <w:r>
              <w:rPr>
                <w:rFonts w:cs="Times New Roman"/>
              </w:rPr>
              <w:t>23608-Zavod za obnovu Dubrovnika</w:t>
            </w:r>
          </w:p>
        </w:tc>
        <w:tc>
          <w:tcPr>
            <w:tcW w:w="2041" w:type="dxa"/>
          </w:tcPr>
          <w:p w:rsidR="005C2091" w:rsidRDefault="00A86293">
            <w:pPr>
              <w:pStyle w:val="CellColumn"/>
              <w:jc w:val="right"/>
            </w:pPr>
            <w:r>
              <w:rPr>
                <w:rFonts w:cs="Times New Roman"/>
              </w:rPr>
              <w:t>Sap podatak nije pronađen!</w:t>
            </w:r>
          </w:p>
        </w:tc>
        <w:tc>
          <w:tcPr>
            <w:tcW w:w="2041" w:type="dxa"/>
          </w:tcPr>
          <w:p w:rsidR="005C2091" w:rsidRDefault="00A86293">
            <w:pPr>
              <w:pStyle w:val="CellColumn"/>
              <w:jc w:val="right"/>
            </w:pPr>
            <w:r>
              <w:rPr>
                <w:rFonts w:cs="Times New Roman"/>
              </w:rPr>
              <w:t>Sap podatak nije pronađen!</w:t>
            </w:r>
          </w:p>
        </w:tc>
        <w:tc>
          <w:tcPr>
            <w:tcW w:w="2041" w:type="dxa"/>
          </w:tcPr>
          <w:p w:rsidR="005C2091" w:rsidRDefault="00A86293">
            <w:pPr>
              <w:pStyle w:val="CellColumn"/>
              <w:jc w:val="right"/>
            </w:pPr>
            <w:r>
              <w:rPr>
                <w:rFonts w:cs="Times New Roman"/>
              </w:rPr>
              <w:t>Sap podatak nije pronađen!</w:t>
            </w:r>
          </w:p>
        </w:tc>
        <w:tc>
          <w:tcPr>
            <w:tcW w:w="1224" w:type="dxa"/>
          </w:tcPr>
          <w:p w:rsidR="005C2091" w:rsidRDefault="00A86293">
            <w:pPr>
              <w:pStyle w:val="CellColumn"/>
              <w:jc w:val="right"/>
            </w:pPr>
            <w:r>
              <w:rPr>
                <w:rFonts w:cs="Times New Roman"/>
              </w:rPr>
              <w:t>Sap podatak nije pronađen!</w:t>
            </w:r>
          </w:p>
        </w:tc>
        <w:tc>
          <w:tcPr>
            <w:tcW w:w="1224" w:type="dxa"/>
          </w:tcPr>
          <w:p w:rsidR="005C2091" w:rsidRDefault="00A86293">
            <w:pPr>
              <w:pStyle w:val="CellColumn"/>
              <w:jc w:val="right"/>
            </w:pPr>
            <w:r>
              <w:rPr>
                <w:rFonts w:cs="Times New Roman"/>
              </w:rPr>
              <w:t>Sap podatak nije pronađen!</w:t>
            </w:r>
          </w:p>
        </w:tc>
      </w:tr>
      <w:tr w:rsidR="005C2091">
        <w:trPr>
          <w:jc w:val="center"/>
        </w:trPr>
        <w:tc>
          <w:tcPr>
            <w:tcW w:w="1632" w:type="dxa"/>
          </w:tcPr>
          <w:p w:rsidR="005C2091" w:rsidRDefault="00A86293">
            <w:pPr>
              <w:pStyle w:val="CellColumn"/>
              <w:jc w:val="left"/>
            </w:pPr>
            <w:r>
              <w:rPr>
                <w:rFonts w:cs="Times New Roman"/>
              </w:rPr>
              <w:t>25878-Hrvatsko narodno kazalište</w:t>
            </w:r>
          </w:p>
        </w:tc>
        <w:tc>
          <w:tcPr>
            <w:tcW w:w="2041" w:type="dxa"/>
          </w:tcPr>
          <w:p w:rsidR="005C2091" w:rsidRDefault="00A86293">
            <w:pPr>
              <w:pStyle w:val="CellColumn"/>
              <w:jc w:val="right"/>
            </w:pPr>
            <w:r>
              <w:rPr>
                <w:rFonts w:cs="Times New Roman"/>
              </w:rPr>
              <w:t>96.443.115</w:t>
            </w:r>
          </w:p>
        </w:tc>
        <w:tc>
          <w:tcPr>
            <w:tcW w:w="2041" w:type="dxa"/>
          </w:tcPr>
          <w:p w:rsidR="005C2091" w:rsidRDefault="00A86293">
            <w:pPr>
              <w:pStyle w:val="CellColumn"/>
              <w:jc w:val="right"/>
            </w:pPr>
            <w:r>
              <w:rPr>
                <w:rFonts w:cs="Times New Roman"/>
              </w:rPr>
              <w:t>91.047.178</w:t>
            </w:r>
          </w:p>
        </w:tc>
        <w:tc>
          <w:tcPr>
            <w:tcW w:w="2041" w:type="dxa"/>
          </w:tcPr>
          <w:p w:rsidR="005C2091" w:rsidRDefault="00A86293">
            <w:pPr>
              <w:pStyle w:val="CellColumn"/>
              <w:jc w:val="right"/>
            </w:pPr>
            <w:r>
              <w:rPr>
                <w:rFonts w:cs="Times New Roman"/>
              </w:rPr>
              <w:t>91.250.129</w:t>
            </w:r>
          </w:p>
        </w:tc>
        <w:tc>
          <w:tcPr>
            <w:tcW w:w="1224" w:type="dxa"/>
          </w:tcPr>
          <w:p w:rsidR="005C2091" w:rsidRDefault="00A86293">
            <w:pPr>
              <w:pStyle w:val="CellColumn"/>
              <w:jc w:val="right"/>
            </w:pPr>
            <w:r>
              <w:rPr>
                <w:rFonts w:cs="Times New Roman"/>
              </w:rPr>
              <w:t>100,2</w:t>
            </w:r>
          </w:p>
        </w:tc>
        <w:tc>
          <w:tcPr>
            <w:tcW w:w="1224" w:type="dxa"/>
          </w:tcPr>
          <w:p w:rsidR="005C2091" w:rsidRDefault="00A86293">
            <w:pPr>
              <w:pStyle w:val="CellColumn"/>
              <w:jc w:val="right"/>
            </w:pPr>
            <w:r>
              <w:rPr>
                <w:rFonts w:cs="Times New Roman"/>
              </w:rPr>
              <w:t>94,6</w:t>
            </w:r>
          </w:p>
        </w:tc>
      </w:tr>
      <w:tr w:rsidR="005C2091">
        <w:trPr>
          <w:jc w:val="center"/>
        </w:trPr>
        <w:tc>
          <w:tcPr>
            <w:tcW w:w="1632" w:type="dxa"/>
          </w:tcPr>
          <w:p w:rsidR="005C2091" w:rsidRDefault="00A86293">
            <w:pPr>
              <w:pStyle w:val="CellColumn"/>
              <w:jc w:val="left"/>
            </w:pPr>
            <w:r>
              <w:rPr>
                <w:rFonts w:cs="Times New Roman"/>
              </w:rPr>
              <w:t>44926-Hrvatski audiovizualni centar</w:t>
            </w:r>
          </w:p>
        </w:tc>
        <w:tc>
          <w:tcPr>
            <w:tcW w:w="2041" w:type="dxa"/>
          </w:tcPr>
          <w:p w:rsidR="005C2091" w:rsidRDefault="00A86293">
            <w:pPr>
              <w:pStyle w:val="CellColumn"/>
              <w:jc w:val="right"/>
            </w:pPr>
            <w:r>
              <w:rPr>
                <w:rFonts w:cs="Times New Roman"/>
              </w:rPr>
              <w:t>63.303.737</w:t>
            </w:r>
          </w:p>
        </w:tc>
        <w:tc>
          <w:tcPr>
            <w:tcW w:w="2041" w:type="dxa"/>
          </w:tcPr>
          <w:p w:rsidR="005C2091" w:rsidRDefault="00A86293">
            <w:pPr>
              <w:pStyle w:val="CellColumn"/>
              <w:jc w:val="right"/>
            </w:pPr>
            <w:r>
              <w:rPr>
                <w:rFonts w:cs="Times New Roman"/>
              </w:rPr>
              <w:t>78.647.429</w:t>
            </w:r>
          </w:p>
        </w:tc>
        <w:tc>
          <w:tcPr>
            <w:tcW w:w="2041" w:type="dxa"/>
          </w:tcPr>
          <w:p w:rsidR="005C2091" w:rsidRDefault="00A86293">
            <w:pPr>
              <w:pStyle w:val="CellColumn"/>
              <w:jc w:val="right"/>
            </w:pPr>
            <w:r>
              <w:rPr>
                <w:rFonts w:cs="Times New Roman"/>
              </w:rPr>
              <w:t>81.613.719</w:t>
            </w:r>
          </w:p>
        </w:tc>
        <w:tc>
          <w:tcPr>
            <w:tcW w:w="1224" w:type="dxa"/>
          </w:tcPr>
          <w:p w:rsidR="005C2091" w:rsidRDefault="00A86293">
            <w:pPr>
              <w:pStyle w:val="CellColumn"/>
              <w:jc w:val="right"/>
            </w:pPr>
            <w:r>
              <w:rPr>
                <w:rFonts w:cs="Times New Roman"/>
              </w:rPr>
              <w:t>103,8</w:t>
            </w:r>
          </w:p>
        </w:tc>
        <w:tc>
          <w:tcPr>
            <w:tcW w:w="1224" w:type="dxa"/>
          </w:tcPr>
          <w:p w:rsidR="005C2091" w:rsidRDefault="00A86293">
            <w:pPr>
              <w:pStyle w:val="CellColumn"/>
              <w:jc w:val="right"/>
            </w:pPr>
            <w:r>
              <w:rPr>
                <w:rFonts w:cs="Times New Roman"/>
              </w:rPr>
              <w:t>128,9</w:t>
            </w:r>
          </w:p>
        </w:tc>
      </w:tr>
      <w:tr w:rsidR="005C2091">
        <w:trPr>
          <w:jc w:val="center"/>
        </w:trPr>
        <w:tc>
          <w:tcPr>
            <w:tcW w:w="1632" w:type="dxa"/>
          </w:tcPr>
          <w:p w:rsidR="005C2091" w:rsidRDefault="00A86293">
            <w:pPr>
              <w:pStyle w:val="CellColumn"/>
              <w:jc w:val="left"/>
            </w:pPr>
            <w:r>
              <w:rPr>
                <w:rFonts w:cs="Times New Roman"/>
              </w:rPr>
              <w:t>45189-Međunarodni centar za podvodnu arheologiju</w:t>
            </w:r>
          </w:p>
        </w:tc>
        <w:tc>
          <w:tcPr>
            <w:tcW w:w="2041" w:type="dxa"/>
          </w:tcPr>
          <w:p w:rsidR="005C2091" w:rsidRDefault="00A86293">
            <w:pPr>
              <w:pStyle w:val="CellColumn"/>
              <w:jc w:val="right"/>
            </w:pPr>
            <w:r>
              <w:rPr>
                <w:rFonts w:cs="Times New Roman"/>
              </w:rPr>
              <w:t>1.830.968</w:t>
            </w:r>
          </w:p>
        </w:tc>
        <w:tc>
          <w:tcPr>
            <w:tcW w:w="2041" w:type="dxa"/>
          </w:tcPr>
          <w:p w:rsidR="005C2091" w:rsidRDefault="00A86293">
            <w:pPr>
              <w:pStyle w:val="CellColumn"/>
              <w:jc w:val="right"/>
            </w:pPr>
            <w:r>
              <w:rPr>
                <w:rFonts w:cs="Times New Roman"/>
              </w:rPr>
              <w:t>2.141.232</w:t>
            </w:r>
          </w:p>
        </w:tc>
        <w:tc>
          <w:tcPr>
            <w:tcW w:w="2041" w:type="dxa"/>
          </w:tcPr>
          <w:p w:rsidR="005C2091" w:rsidRDefault="00A86293">
            <w:pPr>
              <w:pStyle w:val="CellColumn"/>
              <w:jc w:val="right"/>
            </w:pPr>
            <w:r>
              <w:rPr>
                <w:rFonts w:cs="Times New Roman"/>
              </w:rPr>
              <w:t>2.247.181</w:t>
            </w:r>
          </w:p>
        </w:tc>
        <w:tc>
          <w:tcPr>
            <w:tcW w:w="1224" w:type="dxa"/>
          </w:tcPr>
          <w:p w:rsidR="005C2091" w:rsidRDefault="00A86293">
            <w:pPr>
              <w:pStyle w:val="CellColumn"/>
              <w:jc w:val="right"/>
            </w:pPr>
            <w:r>
              <w:rPr>
                <w:rFonts w:cs="Times New Roman"/>
              </w:rPr>
              <w:t>104,9</w:t>
            </w:r>
          </w:p>
        </w:tc>
        <w:tc>
          <w:tcPr>
            <w:tcW w:w="1224" w:type="dxa"/>
          </w:tcPr>
          <w:p w:rsidR="005C2091" w:rsidRDefault="00A86293">
            <w:pPr>
              <w:pStyle w:val="CellColumn"/>
              <w:jc w:val="right"/>
            </w:pPr>
            <w:r>
              <w:rPr>
                <w:rFonts w:cs="Times New Roman"/>
              </w:rPr>
              <w:t>122,7</w:t>
            </w:r>
          </w:p>
        </w:tc>
      </w:tr>
      <w:tr w:rsidR="005C2091">
        <w:trPr>
          <w:jc w:val="center"/>
        </w:trPr>
        <w:tc>
          <w:tcPr>
            <w:tcW w:w="1632" w:type="dxa"/>
          </w:tcPr>
          <w:p w:rsidR="005C2091" w:rsidRDefault="00A86293">
            <w:pPr>
              <w:pStyle w:val="CellColumn"/>
              <w:jc w:val="left"/>
            </w:pPr>
            <w:r>
              <w:rPr>
                <w:rFonts w:cs="Times New Roman"/>
              </w:rPr>
              <w:t>49075-Agencija za elektroničke medije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59.064.652</w:t>
            </w:r>
          </w:p>
        </w:tc>
        <w:tc>
          <w:tcPr>
            <w:tcW w:w="2041" w:type="dxa"/>
          </w:tcPr>
          <w:p w:rsidR="005C2091" w:rsidRDefault="00A86293">
            <w:pPr>
              <w:pStyle w:val="CellColumn"/>
              <w:jc w:val="right"/>
            </w:pPr>
            <w:r>
              <w:rPr>
                <w:rFonts w:cs="Times New Roman"/>
              </w:rPr>
              <w:t>50.334.897</w:t>
            </w:r>
          </w:p>
        </w:tc>
        <w:tc>
          <w:tcPr>
            <w:tcW w:w="1224" w:type="dxa"/>
          </w:tcPr>
          <w:p w:rsidR="005C2091" w:rsidRDefault="00A86293">
            <w:pPr>
              <w:pStyle w:val="CellColumn"/>
              <w:jc w:val="right"/>
            </w:pPr>
            <w:r>
              <w:rPr>
                <w:rFonts w:cs="Times New Roman"/>
              </w:rPr>
              <w:t>85,2</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3"/>
      </w:pPr>
      <w:r>
        <w:rPr>
          <w:rFonts w:cs="Times New Roman"/>
        </w:rPr>
        <w:t>01046 Ansambl Lado</w:t>
      </w:r>
    </w:p>
    <w:p w:rsidR="005C2091" w:rsidRDefault="00A86293">
      <w:r>
        <w:t>Ansambl Lado je nacionalni profesionalni folklorni ansambl čiji je cilj istraživanje, prikupljanje, umjetnička obrada i scenski prikaz hrvatske glazbene i plesne tradicije. Svojim programima njeguju raznolikost i vrijednost tradicijske kulture i baštine.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01046-Ansambl Lado</w:t>
            </w:r>
          </w:p>
        </w:tc>
        <w:tc>
          <w:tcPr>
            <w:tcW w:w="2041" w:type="dxa"/>
          </w:tcPr>
          <w:p w:rsidR="005C2091" w:rsidRDefault="00A86293">
            <w:pPr>
              <w:pStyle w:val="CellColumn"/>
              <w:jc w:val="right"/>
            </w:pPr>
            <w:r>
              <w:rPr>
                <w:rFonts w:cs="Times New Roman"/>
              </w:rPr>
              <w:t>13.099.290</w:t>
            </w:r>
          </w:p>
        </w:tc>
        <w:tc>
          <w:tcPr>
            <w:tcW w:w="2041" w:type="dxa"/>
          </w:tcPr>
          <w:p w:rsidR="005C2091" w:rsidRDefault="00A86293">
            <w:pPr>
              <w:pStyle w:val="CellColumn"/>
              <w:jc w:val="right"/>
            </w:pPr>
            <w:r>
              <w:rPr>
                <w:rFonts w:cs="Times New Roman"/>
              </w:rPr>
              <w:t>13.269.145</w:t>
            </w:r>
          </w:p>
        </w:tc>
        <w:tc>
          <w:tcPr>
            <w:tcW w:w="2041" w:type="dxa"/>
          </w:tcPr>
          <w:p w:rsidR="005C2091" w:rsidRDefault="00A86293">
            <w:pPr>
              <w:pStyle w:val="CellColumn"/>
              <w:jc w:val="right"/>
            </w:pPr>
            <w:r>
              <w:rPr>
                <w:rFonts w:cs="Times New Roman"/>
              </w:rPr>
              <w:t>13.205.886</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100,8</w:t>
            </w:r>
          </w:p>
        </w:tc>
      </w:tr>
      <w:tr w:rsidR="005C2091">
        <w:trPr>
          <w:jc w:val="center"/>
        </w:trPr>
        <w:tc>
          <w:tcPr>
            <w:tcW w:w="1632" w:type="dxa"/>
          </w:tcPr>
          <w:p w:rsidR="005C2091" w:rsidRDefault="00A86293">
            <w:pPr>
              <w:jc w:val="left"/>
            </w:pPr>
            <w:r>
              <w:t>3904-KAZALIŠNA I GLAZBENO- SCENSKA DJELATNOST</w:t>
            </w:r>
          </w:p>
        </w:tc>
        <w:tc>
          <w:tcPr>
            <w:tcW w:w="2041" w:type="dxa"/>
          </w:tcPr>
          <w:p w:rsidR="005C2091" w:rsidRDefault="00A86293">
            <w:pPr>
              <w:jc w:val="right"/>
            </w:pPr>
            <w:r>
              <w:t>13.099.290</w:t>
            </w:r>
          </w:p>
        </w:tc>
        <w:tc>
          <w:tcPr>
            <w:tcW w:w="2041" w:type="dxa"/>
          </w:tcPr>
          <w:p w:rsidR="005C2091" w:rsidRDefault="00A86293">
            <w:pPr>
              <w:jc w:val="right"/>
            </w:pPr>
            <w:r>
              <w:t>13.269.145</w:t>
            </w:r>
          </w:p>
        </w:tc>
        <w:tc>
          <w:tcPr>
            <w:tcW w:w="2041" w:type="dxa"/>
          </w:tcPr>
          <w:p w:rsidR="005C2091" w:rsidRDefault="00A86293">
            <w:pPr>
              <w:jc w:val="right"/>
            </w:pPr>
            <w:r>
              <w:t>13.205.886</w:t>
            </w:r>
          </w:p>
        </w:tc>
        <w:tc>
          <w:tcPr>
            <w:tcW w:w="1224" w:type="dxa"/>
          </w:tcPr>
          <w:p w:rsidR="005C2091" w:rsidRDefault="00A86293">
            <w:pPr>
              <w:jc w:val="right"/>
            </w:pPr>
            <w:r>
              <w:t>99,5</w:t>
            </w:r>
          </w:p>
        </w:tc>
        <w:tc>
          <w:tcPr>
            <w:tcW w:w="1224" w:type="dxa"/>
          </w:tcPr>
          <w:p w:rsidR="005C2091" w:rsidRDefault="00A86293">
            <w:pPr>
              <w:jc w:val="right"/>
            </w:pPr>
            <w:r>
              <w:t>100,8</w:t>
            </w:r>
          </w:p>
        </w:tc>
      </w:tr>
    </w:tbl>
    <w:p w:rsidR="005C2091" w:rsidRDefault="005C2091">
      <w:pPr>
        <w:jc w:val="left"/>
      </w:pPr>
    </w:p>
    <w:p w:rsidR="005C2091" w:rsidRDefault="00A86293">
      <w:pPr>
        <w:pStyle w:val="Heading3"/>
      </w:pPr>
      <w:r>
        <w:rPr>
          <w:rFonts w:cs="Times New Roman"/>
        </w:rPr>
        <w:t>3904 KAZALIŠNA I GLAZBENO- SCENSKA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3904-KAZALIŠNA I GLAZBENO- SCENSKA DJELATNOST</w:t>
            </w:r>
          </w:p>
        </w:tc>
        <w:tc>
          <w:tcPr>
            <w:tcW w:w="2041" w:type="dxa"/>
          </w:tcPr>
          <w:p w:rsidR="005C2091" w:rsidRDefault="00A86293">
            <w:pPr>
              <w:pStyle w:val="CellColumn"/>
              <w:jc w:val="right"/>
            </w:pPr>
            <w:r>
              <w:rPr>
                <w:rFonts w:cs="Times New Roman"/>
              </w:rPr>
              <w:t>13.099.290</w:t>
            </w:r>
          </w:p>
        </w:tc>
        <w:tc>
          <w:tcPr>
            <w:tcW w:w="2041" w:type="dxa"/>
          </w:tcPr>
          <w:p w:rsidR="005C2091" w:rsidRDefault="00A86293">
            <w:pPr>
              <w:pStyle w:val="CellColumn"/>
              <w:jc w:val="right"/>
            </w:pPr>
            <w:r>
              <w:rPr>
                <w:rFonts w:cs="Times New Roman"/>
              </w:rPr>
              <w:t>13.269.145</w:t>
            </w:r>
          </w:p>
        </w:tc>
        <w:tc>
          <w:tcPr>
            <w:tcW w:w="2041" w:type="dxa"/>
          </w:tcPr>
          <w:p w:rsidR="005C2091" w:rsidRDefault="00A86293">
            <w:pPr>
              <w:pStyle w:val="CellColumn"/>
              <w:jc w:val="right"/>
            </w:pPr>
            <w:r>
              <w:rPr>
                <w:rFonts w:cs="Times New Roman"/>
              </w:rPr>
              <w:t>13.205.886</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100,8</w:t>
            </w:r>
          </w:p>
        </w:tc>
      </w:tr>
    </w:tbl>
    <w:p w:rsidR="005C2091" w:rsidRDefault="005C2091">
      <w:pPr>
        <w:jc w:val="left"/>
      </w:pPr>
    </w:p>
    <w:p w:rsidR="005C2091" w:rsidRDefault="00A86293">
      <w:r>
        <w:t>Programi se ponairaju ostvariti kako novim rako i repriznim koreografijama, vokalno -instrumentalnim programima te edukacijom putem umjetničkih radionica. Program je u 2016. godini u cijelosti izvršen.</w:t>
      </w:r>
    </w:p>
    <w:p w:rsidR="005C2091" w:rsidRDefault="00A86293">
      <w:pPr>
        <w:pStyle w:val="Heading4"/>
      </w:pPr>
      <w:r>
        <w:t>A836001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A836001-ADMINISTRACIJA I UPRAVLJANJE</w:t>
            </w:r>
          </w:p>
        </w:tc>
        <w:tc>
          <w:tcPr>
            <w:tcW w:w="2041" w:type="dxa"/>
          </w:tcPr>
          <w:p w:rsidR="005C2091" w:rsidRDefault="00A86293">
            <w:pPr>
              <w:pStyle w:val="CellColumn"/>
              <w:jc w:val="right"/>
            </w:pPr>
            <w:r>
              <w:rPr>
                <w:rFonts w:cs="Times New Roman"/>
              </w:rPr>
              <w:t>12.649.290</w:t>
            </w:r>
          </w:p>
        </w:tc>
        <w:tc>
          <w:tcPr>
            <w:tcW w:w="2041" w:type="dxa"/>
          </w:tcPr>
          <w:p w:rsidR="005C2091" w:rsidRDefault="00A86293">
            <w:pPr>
              <w:pStyle w:val="CellColumn"/>
              <w:jc w:val="right"/>
            </w:pPr>
            <w:r>
              <w:rPr>
                <w:rFonts w:cs="Times New Roman"/>
              </w:rPr>
              <w:t>12.669.606</w:t>
            </w:r>
          </w:p>
        </w:tc>
        <w:tc>
          <w:tcPr>
            <w:tcW w:w="2041" w:type="dxa"/>
          </w:tcPr>
          <w:p w:rsidR="005C2091" w:rsidRDefault="00A86293">
            <w:pPr>
              <w:pStyle w:val="CellColumn"/>
              <w:jc w:val="right"/>
            </w:pPr>
            <w:r>
              <w:rPr>
                <w:rFonts w:cs="Times New Roman"/>
              </w:rPr>
              <w:t>12.606.347</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99,7</w:t>
            </w:r>
          </w:p>
        </w:tc>
      </w:tr>
    </w:tbl>
    <w:p w:rsidR="005C2091" w:rsidRDefault="005C2091">
      <w:pPr>
        <w:jc w:val="left"/>
      </w:pPr>
    </w:p>
    <w:p w:rsidR="005C2091" w:rsidRDefault="00A86293">
      <w:pPr>
        <w:pStyle w:val="Heading8"/>
        <w:jc w:val="left"/>
      </w:pPr>
      <w:r>
        <w:t>Zakonske i druge pravne osnove</w:t>
      </w:r>
    </w:p>
    <w:p w:rsidR="005C2091" w:rsidRDefault="00A86293">
      <w:r>
        <w:t>Zakon o financiranju javnih potreba u kulturi (NN47/90, 27/93, 38/09); Zakon o ustanovama (NN 76/93, 29/97, 47/99, Ispravak NN 35/08); Zakon o upravljanju javnim ustanovama u kulturi (NN 96/01)</w:t>
      </w:r>
    </w:p>
    <w:p w:rsidR="005C2091" w:rsidRDefault="00A86293">
      <w:pPr>
        <w:pStyle w:val="Heading8"/>
        <w:jc w:val="left"/>
      </w:pPr>
      <w:r>
        <w:t>Opis aktivnosti</w:t>
      </w:r>
    </w:p>
    <w:p w:rsidR="005C2091" w:rsidRDefault="00A86293">
      <w:r>
        <w:t>U okviru ove aktivnosti osigurana su sredstva za plaće za zaposlene i materijalni rashodi. U 2016. godni nije bilo odstupanja od plana.</w:t>
      </w:r>
    </w:p>
    <w:p w:rsidR="00EA1ADA" w:rsidRDefault="00EA1ADA"/>
    <w:p w:rsidR="00EA1ADA" w:rsidRDefault="00EA1ADA"/>
    <w:p w:rsidR="005C2091" w:rsidRDefault="00A86293">
      <w:pPr>
        <w:pStyle w:val="Heading4"/>
      </w:pPr>
      <w:r>
        <w:t>A836002 PROGRAMI ANSAMBLA LADA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A836002-PROGRAMI ANSAMBLA LADA</w:t>
            </w:r>
          </w:p>
        </w:tc>
        <w:tc>
          <w:tcPr>
            <w:tcW w:w="2041" w:type="dxa"/>
          </w:tcPr>
          <w:p w:rsidR="005C2091" w:rsidRDefault="00A86293">
            <w:pPr>
              <w:pStyle w:val="CellColumn"/>
              <w:jc w:val="right"/>
            </w:pPr>
            <w:r>
              <w:rPr>
                <w:rFonts w:cs="Times New Roman"/>
              </w:rPr>
              <w:t>450.000</w:t>
            </w:r>
          </w:p>
        </w:tc>
        <w:tc>
          <w:tcPr>
            <w:tcW w:w="2041" w:type="dxa"/>
          </w:tcPr>
          <w:p w:rsidR="005C2091" w:rsidRDefault="00A86293">
            <w:pPr>
              <w:pStyle w:val="CellColumn"/>
              <w:jc w:val="right"/>
            </w:pPr>
            <w:r>
              <w:rPr>
                <w:rFonts w:cs="Times New Roman"/>
              </w:rPr>
              <w:t>599.539</w:t>
            </w:r>
          </w:p>
        </w:tc>
        <w:tc>
          <w:tcPr>
            <w:tcW w:w="2041" w:type="dxa"/>
          </w:tcPr>
          <w:p w:rsidR="005C2091" w:rsidRDefault="00A86293">
            <w:pPr>
              <w:pStyle w:val="CellColumn"/>
              <w:jc w:val="right"/>
            </w:pPr>
            <w:r>
              <w:rPr>
                <w:rFonts w:cs="Times New Roman"/>
              </w:rPr>
              <w:t>599.539</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133,2</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2016. godinu</w:t>
      </w:r>
    </w:p>
    <w:p w:rsidR="005C2091" w:rsidRDefault="00A86293">
      <w:pPr>
        <w:pStyle w:val="Heading8"/>
        <w:jc w:val="left"/>
      </w:pPr>
      <w:r>
        <w:t>Opis aktivnosti</w:t>
      </w:r>
    </w:p>
    <w:p w:rsidR="005C2091" w:rsidRDefault="00A86293">
      <w:r>
        <w:t>Održavanjem programa na visokoj razini kako izvedbama starih tako i novih programa u 2016. godini Ansambl LADO je na koncertima u Hrvatskoj i gostovanjima u inozemstvu izveo velik broj plesnih koreografija kao i vokalnih, instrumentalnih te vokalno-instrumentalnih skladbi. U Ansamblu je nastupalo 38 plesačica i plesača (istodobno i pjevači) te 14 glazbenika koji sviraju velik broj različitih tradicijskih i klasičnih glazbala. U 2016. godini nije bilo odstupanja od plana.</w:t>
      </w:r>
    </w:p>
    <w:p w:rsidR="00F24C48" w:rsidRDefault="00F24C48"/>
    <w:p w:rsidR="005C2091" w:rsidRDefault="00A86293">
      <w:pPr>
        <w:pStyle w:val="Heading3"/>
      </w:pPr>
      <w:r>
        <w:rPr>
          <w:rFonts w:cs="Times New Roman"/>
        </w:rPr>
        <w:t>22339 Hrvatski restauratorski zavod</w:t>
      </w:r>
    </w:p>
    <w:p w:rsidR="005C2091" w:rsidRDefault="00A86293">
      <w:r>
        <w:t>Hrvatski restauratorski zavod središnja je konzervatorsko-restauratorska ustanova koja sjedinjuje zaštitne radove na graditeljskoj i ukupnoj umjetničkoj baštini.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22339-Hrvatski restauratorski zavod</w:t>
            </w:r>
          </w:p>
        </w:tc>
        <w:tc>
          <w:tcPr>
            <w:tcW w:w="2041" w:type="dxa"/>
          </w:tcPr>
          <w:p w:rsidR="005C2091" w:rsidRDefault="00A86293">
            <w:pPr>
              <w:pStyle w:val="CellColumn"/>
              <w:jc w:val="right"/>
            </w:pPr>
            <w:r>
              <w:rPr>
                <w:rFonts w:cs="Times New Roman"/>
              </w:rPr>
              <w:t>63.877.434</w:t>
            </w:r>
          </w:p>
        </w:tc>
        <w:tc>
          <w:tcPr>
            <w:tcW w:w="2041" w:type="dxa"/>
          </w:tcPr>
          <w:p w:rsidR="005C2091" w:rsidRDefault="00A86293">
            <w:pPr>
              <w:pStyle w:val="CellColumn"/>
              <w:jc w:val="right"/>
            </w:pPr>
            <w:r>
              <w:rPr>
                <w:rFonts w:cs="Times New Roman"/>
              </w:rPr>
              <w:t>65.910.926</w:t>
            </w:r>
          </w:p>
        </w:tc>
        <w:tc>
          <w:tcPr>
            <w:tcW w:w="2041" w:type="dxa"/>
          </w:tcPr>
          <w:p w:rsidR="005C2091" w:rsidRDefault="00A86293">
            <w:pPr>
              <w:pStyle w:val="CellColumn"/>
              <w:jc w:val="right"/>
            </w:pPr>
            <w:r>
              <w:rPr>
                <w:rFonts w:cs="Times New Roman"/>
              </w:rPr>
              <w:t>66.288.987</w:t>
            </w:r>
          </w:p>
        </w:tc>
        <w:tc>
          <w:tcPr>
            <w:tcW w:w="1224" w:type="dxa"/>
          </w:tcPr>
          <w:p w:rsidR="005C2091" w:rsidRDefault="00A86293">
            <w:pPr>
              <w:pStyle w:val="CellColumn"/>
              <w:jc w:val="right"/>
            </w:pPr>
            <w:r>
              <w:rPr>
                <w:rFonts w:cs="Times New Roman"/>
              </w:rPr>
              <w:t>100,6</w:t>
            </w:r>
          </w:p>
        </w:tc>
        <w:tc>
          <w:tcPr>
            <w:tcW w:w="1224" w:type="dxa"/>
          </w:tcPr>
          <w:p w:rsidR="005C2091" w:rsidRDefault="00A86293">
            <w:pPr>
              <w:pStyle w:val="CellColumn"/>
              <w:jc w:val="right"/>
            </w:pPr>
            <w:r>
              <w:rPr>
                <w:rFonts w:cs="Times New Roman"/>
              </w:rPr>
              <w:t>103,8</w:t>
            </w:r>
          </w:p>
        </w:tc>
      </w:tr>
      <w:tr w:rsidR="005C2091">
        <w:trPr>
          <w:jc w:val="center"/>
        </w:trPr>
        <w:tc>
          <w:tcPr>
            <w:tcW w:w="1632" w:type="dxa"/>
          </w:tcPr>
          <w:p w:rsidR="005C2091" w:rsidRDefault="00A86293">
            <w:pPr>
              <w:jc w:val="left"/>
            </w:pPr>
            <w:r>
              <w:t>3908-ZAŠTITA KULTURNIH DOBARA</w:t>
            </w:r>
          </w:p>
        </w:tc>
        <w:tc>
          <w:tcPr>
            <w:tcW w:w="2041" w:type="dxa"/>
          </w:tcPr>
          <w:p w:rsidR="005C2091" w:rsidRDefault="00A86293">
            <w:pPr>
              <w:jc w:val="right"/>
            </w:pPr>
            <w:r>
              <w:t>63.877.434</w:t>
            </w:r>
          </w:p>
        </w:tc>
        <w:tc>
          <w:tcPr>
            <w:tcW w:w="2041" w:type="dxa"/>
          </w:tcPr>
          <w:p w:rsidR="005C2091" w:rsidRDefault="00A86293">
            <w:pPr>
              <w:jc w:val="right"/>
            </w:pPr>
            <w:r>
              <w:t>65.910.926</w:t>
            </w:r>
          </w:p>
        </w:tc>
        <w:tc>
          <w:tcPr>
            <w:tcW w:w="2041" w:type="dxa"/>
          </w:tcPr>
          <w:p w:rsidR="005C2091" w:rsidRDefault="00A86293">
            <w:pPr>
              <w:jc w:val="right"/>
            </w:pPr>
            <w:r>
              <w:t>66.288.987</w:t>
            </w:r>
          </w:p>
        </w:tc>
        <w:tc>
          <w:tcPr>
            <w:tcW w:w="1224" w:type="dxa"/>
          </w:tcPr>
          <w:p w:rsidR="005C2091" w:rsidRDefault="00A86293">
            <w:pPr>
              <w:jc w:val="right"/>
            </w:pPr>
            <w:r>
              <w:t>100,6</w:t>
            </w:r>
          </w:p>
        </w:tc>
        <w:tc>
          <w:tcPr>
            <w:tcW w:w="1224" w:type="dxa"/>
          </w:tcPr>
          <w:p w:rsidR="005C2091" w:rsidRDefault="00A86293">
            <w:pPr>
              <w:jc w:val="right"/>
            </w:pPr>
            <w:r>
              <w:t>103,8</w:t>
            </w:r>
          </w:p>
        </w:tc>
      </w:tr>
    </w:tbl>
    <w:p w:rsidR="005C2091" w:rsidRDefault="005C2091">
      <w:pPr>
        <w:jc w:val="left"/>
      </w:pPr>
    </w:p>
    <w:p w:rsidR="005C2091" w:rsidRDefault="00A86293">
      <w:pPr>
        <w:pStyle w:val="Heading3"/>
      </w:pPr>
      <w:r>
        <w:rPr>
          <w:rFonts w:cs="Times New Roman"/>
        </w:rPr>
        <w:t>3908 ZAŠTITA KULTURNIH DOBARA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3908-ZAŠTITA KULTURNIH DOBARA</w:t>
            </w:r>
          </w:p>
        </w:tc>
        <w:tc>
          <w:tcPr>
            <w:tcW w:w="2041" w:type="dxa"/>
          </w:tcPr>
          <w:p w:rsidR="005C2091" w:rsidRDefault="00A86293">
            <w:pPr>
              <w:pStyle w:val="CellColumn"/>
              <w:jc w:val="right"/>
            </w:pPr>
            <w:r>
              <w:rPr>
                <w:rFonts w:cs="Times New Roman"/>
              </w:rPr>
              <w:t>63.877.434</w:t>
            </w:r>
          </w:p>
        </w:tc>
        <w:tc>
          <w:tcPr>
            <w:tcW w:w="2041" w:type="dxa"/>
          </w:tcPr>
          <w:p w:rsidR="005C2091" w:rsidRDefault="00A86293">
            <w:pPr>
              <w:pStyle w:val="CellColumn"/>
              <w:jc w:val="right"/>
            </w:pPr>
            <w:r>
              <w:rPr>
                <w:rFonts w:cs="Times New Roman"/>
              </w:rPr>
              <w:t>65.910.926</w:t>
            </w:r>
          </w:p>
        </w:tc>
        <w:tc>
          <w:tcPr>
            <w:tcW w:w="2041" w:type="dxa"/>
          </w:tcPr>
          <w:p w:rsidR="005C2091" w:rsidRDefault="00A86293">
            <w:pPr>
              <w:pStyle w:val="CellColumn"/>
              <w:jc w:val="right"/>
            </w:pPr>
            <w:r>
              <w:rPr>
                <w:rFonts w:cs="Times New Roman"/>
              </w:rPr>
              <w:t>66.288.987</w:t>
            </w:r>
          </w:p>
        </w:tc>
        <w:tc>
          <w:tcPr>
            <w:tcW w:w="1224" w:type="dxa"/>
          </w:tcPr>
          <w:p w:rsidR="005C2091" w:rsidRDefault="00A86293">
            <w:pPr>
              <w:pStyle w:val="CellColumn"/>
              <w:jc w:val="right"/>
            </w:pPr>
            <w:r>
              <w:rPr>
                <w:rFonts w:cs="Times New Roman"/>
              </w:rPr>
              <w:t>100,6</w:t>
            </w:r>
          </w:p>
        </w:tc>
        <w:tc>
          <w:tcPr>
            <w:tcW w:w="1224" w:type="dxa"/>
          </w:tcPr>
          <w:p w:rsidR="005C2091" w:rsidRDefault="00A86293">
            <w:pPr>
              <w:pStyle w:val="CellColumn"/>
              <w:jc w:val="right"/>
            </w:pPr>
            <w:r>
              <w:rPr>
                <w:rFonts w:cs="Times New Roman"/>
              </w:rPr>
              <w:t>103,8</w:t>
            </w:r>
          </w:p>
        </w:tc>
      </w:tr>
    </w:tbl>
    <w:p w:rsidR="005C2091" w:rsidRDefault="005C2091">
      <w:pPr>
        <w:jc w:val="left"/>
      </w:pPr>
    </w:p>
    <w:p w:rsidR="005C2091" w:rsidRDefault="00A86293">
      <w:r>
        <w:t>Program zaštite kulturnih dobara provodi Hrvatski restauratorski zavod, a odnosi se na konzerviranje i restauriranje nepokretnih kulturnih dobara (graditeljskog nasljeđa, zidnih slika i mozaika, kamene plastike, štukatura, arheoloških nalazišta) i pokretnih kulturnih dobara (štafelajnog slikarstva, drvene polikromirane skulpture, arheoloških nalaza, umjetnina na papiru, namještaja, predmeta od tekstila i metala) te drugih predmeta kulturnog, povijesnog ili tehničkog značaja.</w:t>
      </w:r>
    </w:p>
    <w:p w:rsidR="005C2091" w:rsidRDefault="00A86293">
      <w:pPr>
        <w:pStyle w:val="Heading4"/>
      </w:pPr>
      <w:r>
        <w:t>A834001 PROGRAMI HRVATSKOG RESTAURATORSKOG ZAVODA</w:t>
      </w:r>
    </w:p>
    <w:tbl>
      <w:tblPr>
        <w:tblStyle w:val="StilTablice"/>
        <w:tblW w:w="10206" w:type="dxa"/>
        <w:jc w:val="center"/>
        <w:tblLook w:val="04A0" w:firstRow="1" w:lastRow="0" w:firstColumn="1" w:lastColumn="0" w:noHBand="0" w:noVBand="1"/>
      </w:tblPr>
      <w:tblGrid>
        <w:gridCol w:w="2115"/>
        <w:gridCol w:w="1900"/>
        <w:gridCol w:w="1900"/>
        <w:gridCol w:w="1900"/>
        <w:gridCol w:w="1188"/>
        <w:gridCol w:w="120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A834001-PROGRAMI HRVATSKOG RESTAURATORSKOG ZAVODA</w:t>
            </w:r>
          </w:p>
        </w:tc>
        <w:tc>
          <w:tcPr>
            <w:tcW w:w="2041" w:type="dxa"/>
          </w:tcPr>
          <w:p w:rsidR="005C2091" w:rsidRDefault="00A86293">
            <w:pPr>
              <w:pStyle w:val="CellColumn"/>
              <w:jc w:val="right"/>
            </w:pPr>
            <w:r>
              <w:rPr>
                <w:rFonts w:cs="Times New Roman"/>
              </w:rPr>
              <w:t>16.740.667</w:t>
            </w:r>
          </w:p>
        </w:tc>
        <w:tc>
          <w:tcPr>
            <w:tcW w:w="2041" w:type="dxa"/>
          </w:tcPr>
          <w:p w:rsidR="005C2091" w:rsidRDefault="00A86293">
            <w:pPr>
              <w:pStyle w:val="CellColumn"/>
              <w:jc w:val="right"/>
            </w:pPr>
            <w:r>
              <w:rPr>
                <w:rFonts w:cs="Times New Roman"/>
              </w:rPr>
              <w:t>18.572.257</w:t>
            </w:r>
          </w:p>
        </w:tc>
        <w:tc>
          <w:tcPr>
            <w:tcW w:w="2041" w:type="dxa"/>
          </w:tcPr>
          <w:p w:rsidR="005C2091" w:rsidRDefault="00A86293">
            <w:pPr>
              <w:pStyle w:val="CellColumn"/>
              <w:jc w:val="right"/>
            </w:pPr>
            <w:r>
              <w:rPr>
                <w:rFonts w:cs="Times New Roman"/>
              </w:rPr>
              <w:t>18.572.257</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110,9</w:t>
            </w:r>
          </w:p>
        </w:tc>
      </w:tr>
    </w:tbl>
    <w:p w:rsidR="005C2091" w:rsidRDefault="005C2091">
      <w:pPr>
        <w:jc w:val="left"/>
      </w:pPr>
    </w:p>
    <w:p w:rsidR="005C2091" w:rsidRDefault="00A86293">
      <w:pPr>
        <w:pStyle w:val="Heading8"/>
        <w:jc w:val="left"/>
      </w:pPr>
      <w:r>
        <w:t>Zakonske i druge pravne osnove</w:t>
      </w:r>
    </w:p>
    <w:p w:rsidR="005C2091" w:rsidRDefault="00A86293">
      <w:r>
        <w:t xml:space="preserve">Uredba o spajanju javnih ustanova restauratorske djelatnosti (NN 2/97, NN 119/01, NN 72/14)  </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2016. godinu.</w:t>
      </w:r>
    </w:p>
    <w:p w:rsidR="005C2091" w:rsidRDefault="00A86293">
      <w:pPr>
        <w:pStyle w:val="Heading8"/>
        <w:jc w:val="left"/>
      </w:pPr>
      <w:r>
        <w:t>Opis aktivnosti</w:t>
      </w:r>
    </w:p>
    <w:p w:rsidR="005C2091" w:rsidRDefault="00A86293">
      <w:r>
        <w:t>Ovom aktivnosti provedena su sustavna konervatorsko-restauratorska istraživanja zaštićenih kulturnih dobara uz izradu konzervatorsko-tehničke dokumentacije. Provedeni su konzervatorsko - restauratorski radovi na pokretnim i nepokretnim kulturnim dobrima koji su obuhvatili graditeljsko nasljeđe, umjetnine i druge predmete od kulturnog, povijesnog i tehničkog značaja, njihovu obnovu, uređenje i prezentiranje; stručna vještačenja, utvrđivanje stanja kulturnih dobara, uzorka, vrsta i stupnjeva oštećenja, provođenje stručnog nadzora i promidžba konzervatorsko - restauratorske djelatnosti. U 2016. godini nije bilo odstupanja od plana.</w:t>
      </w:r>
    </w:p>
    <w:p w:rsidR="005C2091" w:rsidRDefault="00A86293">
      <w:pPr>
        <w:pStyle w:val="Heading4"/>
      </w:pPr>
      <w:r>
        <w:t>A834002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A834002-ADMINISTRACIJA I UPRAVLJANJE</w:t>
            </w:r>
          </w:p>
        </w:tc>
        <w:tc>
          <w:tcPr>
            <w:tcW w:w="2041" w:type="dxa"/>
          </w:tcPr>
          <w:p w:rsidR="005C2091" w:rsidRDefault="00A86293">
            <w:pPr>
              <w:pStyle w:val="CellColumn"/>
              <w:jc w:val="right"/>
            </w:pPr>
            <w:r>
              <w:rPr>
                <w:rFonts w:cs="Times New Roman"/>
              </w:rPr>
              <w:t>47.136.767</w:t>
            </w:r>
          </w:p>
        </w:tc>
        <w:tc>
          <w:tcPr>
            <w:tcW w:w="2041" w:type="dxa"/>
          </w:tcPr>
          <w:p w:rsidR="005C2091" w:rsidRDefault="00A86293">
            <w:pPr>
              <w:pStyle w:val="CellColumn"/>
              <w:jc w:val="right"/>
            </w:pPr>
            <w:r>
              <w:rPr>
                <w:rFonts w:cs="Times New Roman"/>
              </w:rPr>
              <w:t>47.338.669</w:t>
            </w:r>
          </w:p>
        </w:tc>
        <w:tc>
          <w:tcPr>
            <w:tcW w:w="2041" w:type="dxa"/>
          </w:tcPr>
          <w:p w:rsidR="005C2091" w:rsidRDefault="00A86293">
            <w:pPr>
              <w:pStyle w:val="CellColumn"/>
              <w:jc w:val="right"/>
            </w:pPr>
            <w:r>
              <w:rPr>
                <w:rFonts w:cs="Times New Roman"/>
              </w:rPr>
              <w:t>47.716.730</w:t>
            </w:r>
          </w:p>
        </w:tc>
        <w:tc>
          <w:tcPr>
            <w:tcW w:w="1224" w:type="dxa"/>
          </w:tcPr>
          <w:p w:rsidR="005C2091" w:rsidRDefault="00A86293">
            <w:pPr>
              <w:pStyle w:val="CellColumn"/>
              <w:jc w:val="right"/>
            </w:pPr>
            <w:r>
              <w:rPr>
                <w:rFonts w:cs="Times New Roman"/>
              </w:rPr>
              <w:t>100,8</w:t>
            </w:r>
          </w:p>
        </w:tc>
        <w:tc>
          <w:tcPr>
            <w:tcW w:w="1224" w:type="dxa"/>
          </w:tcPr>
          <w:p w:rsidR="005C2091" w:rsidRDefault="00A86293">
            <w:pPr>
              <w:pStyle w:val="CellColumn"/>
              <w:jc w:val="right"/>
            </w:pPr>
            <w:r>
              <w:rPr>
                <w:rFonts w:cs="Times New Roman"/>
              </w:rPr>
              <w:t>101,2</w:t>
            </w:r>
          </w:p>
        </w:tc>
      </w:tr>
    </w:tbl>
    <w:p w:rsidR="005C2091" w:rsidRDefault="005C2091">
      <w:pPr>
        <w:jc w:val="left"/>
      </w:pPr>
    </w:p>
    <w:p w:rsidR="005C2091" w:rsidRDefault="00A86293">
      <w:pPr>
        <w:pStyle w:val="Heading8"/>
        <w:jc w:val="left"/>
      </w:pPr>
      <w:r>
        <w:t>Zakonske i druge pravne osnove</w:t>
      </w:r>
    </w:p>
    <w:p w:rsidR="005C2091" w:rsidRDefault="00A86293">
      <w:r>
        <w:t>Uredba o spajanju javnih ustanova restauratorske djelatnosti (NN 2/97, NN 119/01, NN 72/14).</w:t>
      </w:r>
    </w:p>
    <w:p w:rsidR="005C2091" w:rsidRDefault="00A86293">
      <w:pPr>
        <w:pStyle w:val="Heading8"/>
        <w:jc w:val="left"/>
      </w:pPr>
      <w:r>
        <w:t>Opis aktivnosti</w:t>
      </w:r>
    </w:p>
    <w:p w:rsidR="005C2091" w:rsidRDefault="00A86293">
      <w:r>
        <w:t>U okviru ove aktivnosti planiraju se sredstva za plaće za zaposlenike i materijalne rashode. Za obavljanje svoje djelatnosti Zavod koristi prostore na dvanaest lokacija u Gradu Zagrebu i četrnaest lokacija izvan Zagreba. Obavljanje djelatnosti zahtjeva osiguranje posebnih uvjeta s gledišta zaštite na radu te korištenja različite opreme i uređaja. U 2016. godini nije bilo odstupanja od plana.</w:t>
      </w:r>
    </w:p>
    <w:p w:rsidR="005C2091" w:rsidRDefault="00A86293">
      <w:pPr>
        <w:pStyle w:val="Heading3"/>
      </w:pPr>
      <w:r>
        <w:rPr>
          <w:rFonts w:cs="Times New Roman"/>
        </w:rPr>
        <w:t>23585 Hrvatska knjižnica za slijepe</w:t>
      </w:r>
    </w:p>
    <w:p w:rsidR="005C2091" w:rsidRDefault="00A86293">
      <w:r>
        <w:t>Hrvatska knjižnica za slijepe je javna ustanova koja svojim djelatnostima osigurava pristup znanju, informacijama kao i kulturnim sadržajima sa svrhom obrazovanja, informiranja, korištenja slobodnog vremena slijepim i slabovidnim osobama.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23585-Hrvatska knjižnica za slijepe</w:t>
            </w:r>
          </w:p>
        </w:tc>
        <w:tc>
          <w:tcPr>
            <w:tcW w:w="2041" w:type="dxa"/>
          </w:tcPr>
          <w:p w:rsidR="005C2091" w:rsidRDefault="00A86293">
            <w:pPr>
              <w:pStyle w:val="CellColumn"/>
              <w:jc w:val="right"/>
            </w:pPr>
            <w:r>
              <w:rPr>
                <w:rFonts w:cs="Times New Roman"/>
              </w:rPr>
              <w:t>3.231.976</w:t>
            </w:r>
          </w:p>
        </w:tc>
        <w:tc>
          <w:tcPr>
            <w:tcW w:w="2041" w:type="dxa"/>
          </w:tcPr>
          <w:p w:rsidR="005C2091" w:rsidRDefault="00A86293">
            <w:pPr>
              <w:pStyle w:val="CellColumn"/>
              <w:jc w:val="right"/>
            </w:pPr>
            <w:r>
              <w:rPr>
                <w:rFonts w:cs="Times New Roman"/>
              </w:rPr>
              <w:t>3.201.815</w:t>
            </w:r>
          </w:p>
        </w:tc>
        <w:tc>
          <w:tcPr>
            <w:tcW w:w="2041" w:type="dxa"/>
          </w:tcPr>
          <w:p w:rsidR="005C2091" w:rsidRDefault="00A86293">
            <w:pPr>
              <w:pStyle w:val="CellColumn"/>
              <w:jc w:val="right"/>
            </w:pPr>
            <w:r>
              <w:rPr>
                <w:rFonts w:cs="Times New Roman"/>
              </w:rPr>
              <w:t>2.971.859</w:t>
            </w:r>
          </w:p>
        </w:tc>
        <w:tc>
          <w:tcPr>
            <w:tcW w:w="1224" w:type="dxa"/>
          </w:tcPr>
          <w:p w:rsidR="005C2091" w:rsidRDefault="00A86293">
            <w:pPr>
              <w:pStyle w:val="CellColumn"/>
              <w:jc w:val="right"/>
            </w:pPr>
            <w:r>
              <w:rPr>
                <w:rFonts w:cs="Times New Roman"/>
              </w:rPr>
              <w:t>92,8</w:t>
            </w:r>
          </w:p>
        </w:tc>
        <w:tc>
          <w:tcPr>
            <w:tcW w:w="1224" w:type="dxa"/>
          </w:tcPr>
          <w:p w:rsidR="005C2091" w:rsidRDefault="00A86293">
            <w:pPr>
              <w:pStyle w:val="CellColumn"/>
              <w:jc w:val="right"/>
            </w:pPr>
            <w:r>
              <w:rPr>
                <w:rFonts w:cs="Times New Roman"/>
              </w:rPr>
              <w:t>92,0</w:t>
            </w:r>
          </w:p>
        </w:tc>
      </w:tr>
      <w:tr w:rsidR="005C2091">
        <w:trPr>
          <w:jc w:val="center"/>
        </w:trPr>
        <w:tc>
          <w:tcPr>
            <w:tcW w:w="1632" w:type="dxa"/>
          </w:tcPr>
          <w:p w:rsidR="005C2091" w:rsidRDefault="00A86293">
            <w:pPr>
              <w:jc w:val="left"/>
            </w:pPr>
            <w:r>
              <w:t>3905-KNJIŽNIČNA DJELATNOST</w:t>
            </w:r>
          </w:p>
        </w:tc>
        <w:tc>
          <w:tcPr>
            <w:tcW w:w="2041" w:type="dxa"/>
          </w:tcPr>
          <w:p w:rsidR="005C2091" w:rsidRDefault="00A86293">
            <w:pPr>
              <w:jc w:val="right"/>
            </w:pPr>
            <w:r>
              <w:t>3.231.976</w:t>
            </w:r>
          </w:p>
        </w:tc>
        <w:tc>
          <w:tcPr>
            <w:tcW w:w="2041" w:type="dxa"/>
          </w:tcPr>
          <w:p w:rsidR="005C2091" w:rsidRDefault="00A86293">
            <w:pPr>
              <w:jc w:val="right"/>
            </w:pPr>
            <w:r>
              <w:t>3.201.815</w:t>
            </w:r>
          </w:p>
        </w:tc>
        <w:tc>
          <w:tcPr>
            <w:tcW w:w="2041" w:type="dxa"/>
          </w:tcPr>
          <w:p w:rsidR="005C2091" w:rsidRDefault="00A86293">
            <w:pPr>
              <w:jc w:val="right"/>
            </w:pPr>
            <w:r>
              <w:t>2.971.859</w:t>
            </w:r>
          </w:p>
        </w:tc>
        <w:tc>
          <w:tcPr>
            <w:tcW w:w="1224" w:type="dxa"/>
          </w:tcPr>
          <w:p w:rsidR="005C2091" w:rsidRDefault="00A86293">
            <w:pPr>
              <w:jc w:val="right"/>
            </w:pPr>
            <w:r>
              <w:t>92,8</w:t>
            </w:r>
          </w:p>
        </w:tc>
        <w:tc>
          <w:tcPr>
            <w:tcW w:w="1224" w:type="dxa"/>
          </w:tcPr>
          <w:p w:rsidR="005C2091" w:rsidRDefault="00A86293">
            <w:pPr>
              <w:jc w:val="right"/>
            </w:pPr>
            <w:r>
              <w:t>92,0</w:t>
            </w:r>
          </w:p>
        </w:tc>
      </w:tr>
    </w:tbl>
    <w:p w:rsidR="005C2091" w:rsidRDefault="005C2091">
      <w:pPr>
        <w:jc w:val="left"/>
      </w:pPr>
    </w:p>
    <w:p w:rsidR="005C2091" w:rsidRDefault="00A86293">
      <w:pPr>
        <w:pStyle w:val="Heading3"/>
      </w:pPr>
      <w:r>
        <w:rPr>
          <w:rFonts w:cs="Times New Roman"/>
        </w:rPr>
        <w:t>3905 KNJIŽNIČNA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3905-KNJIŽNIČNA DJELATNOST</w:t>
            </w:r>
          </w:p>
        </w:tc>
        <w:tc>
          <w:tcPr>
            <w:tcW w:w="2041" w:type="dxa"/>
          </w:tcPr>
          <w:p w:rsidR="005C2091" w:rsidRDefault="00A86293">
            <w:pPr>
              <w:pStyle w:val="CellColumn"/>
              <w:jc w:val="right"/>
            </w:pPr>
            <w:r>
              <w:rPr>
                <w:rFonts w:cs="Times New Roman"/>
              </w:rPr>
              <w:t>3.231.976</w:t>
            </w:r>
          </w:p>
        </w:tc>
        <w:tc>
          <w:tcPr>
            <w:tcW w:w="2041" w:type="dxa"/>
          </w:tcPr>
          <w:p w:rsidR="005C2091" w:rsidRDefault="00A86293">
            <w:pPr>
              <w:pStyle w:val="CellColumn"/>
              <w:jc w:val="right"/>
            </w:pPr>
            <w:r>
              <w:rPr>
                <w:rFonts w:cs="Times New Roman"/>
              </w:rPr>
              <w:t>3.201.815</w:t>
            </w:r>
          </w:p>
        </w:tc>
        <w:tc>
          <w:tcPr>
            <w:tcW w:w="2041" w:type="dxa"/>
          </w:tcPr>
          <w:p w:rsidR="005C2091" w:rsidRDefault="00A86293">
            <w:pPr>
              <w:pStyle w:val="CellColumn"/>
              <w:jc w:val="right"/>
            </w:pPr>
            <w:r>
              <w:rPr>
                <w:rFonts w:cs="Times New Roman"/>
              </w:rPr>
              <w:t>2.971.859</w:t>
            </w:r>
          </w:p>
        </w:tc>
        <w:tc>
          <w:tcPr>
            <w:tcW w:w="1224" w:type="dxa"/>
          </w:tcPr>
          <w:p w:rsidR="005C2091" w:rsidRDefault="00A86293">
            <w:pPr>
              <w:pStyle w:val="CellColumn"/>
              <w:jc w:val="right"/>
            </w:pPr>
            <w:r>
              <w:rPr>
                <w:rFonts w:cs="Times New Roman"/>
              </w:rPr>
              <w:t>92,8</w:t>
            </w:r>
          </w:p>
        </w:tc>
        <w:tc>
          <w:tcPr>
            <w:tcW w:w="1224" w:type="dxa"/>
          </w:tcPr>
          <w:p w:rsidR="005C2091" w:rsidRDefault="00A86293">
            <w:pPr>
              <w:pStyle w:val="CellColumn"/>
              <w:jc w:val="right"/>
            </w:pPr>
            <w:r>
              <w:rPr>
                <w:rFonts w:cs="Times New Roman"/>
              </w:rPr>
              <w:t>92,0</w:t>
            </w:r>
          </w:p>
        </w:tc>
      </w:tr>
    </w:tbl>
    <w:p w:rsidR="005C2091" w:rsidRDefault="005C2091">
      <w:pPr>
        <w:jc w:val="left"/>
      </w:pPr>
    </w:p>
    <w:p w:rsidR="005C2091" w:rsidRDefault="00A86293">
      <w:r>
        <w:t>Knjižnica je izdavač knjiga i časopisa za slijepe i slabovidne osobe. Jedina knjižnica za slijepe u Hrvatskoj surađuje s  ostalim narodnim knjižnicama prezentacijom svoga rada i fonda kroz zajedničke akcije na širenju knjižničnih usluga za slijepe i slabovidne. Korisnici knjinžice su prije svega slijepe i slabovidne osobe, a potom i svi oni koji iz nekog razloga ne mogu čitati standardni tisak (disleksija, moždani udar, tjelesna oštećenja i sl.). Knjige se najvećim dijelom korisnicima šalju poštom na kućne adrese po cijeloj Hrvatskoj pa i u inozemstvo.</w:t>
      </w:r>
    </w:p>
    <w:p w:rsidR="005C2091" w:rsidRDefault="00A86293">
      <w:pPr>
        <w:pStyle w:val="Heading4"/>
      </w:pPr>
      <w:r>
        <w:t>A835001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A835001-ADMINISTRACIJA I UPRAVLJANJE</w:t>
            </w:r>
          </w:p>
        </w:tc>
        <w:tc>
          <w:tcPr>
            <w:tcW w:w="2041" w:type="dxa"/>
          </w:tcPr>
          <w:p w:rsidR="005C2091" w:rsidRDefault="00A86293">
            <w:pPr>
              <w:pStyle w:val="CellColumn"/>
              <w:jc w:val="right"/>
            </w:pPr>
            <w:r>
              <w:rPr>
                <w:rFonts w:cs="Times New Roman"/>
              </w:rPr>
              <w:t>3.231.976</w:t>
            </w:r>
          </w:p>
        </w:tc>
        <w:tc>
          <w:tcPr>
            <w:tcW w:w="2041" w:type="dxa"/>
          </w:tcPr>
          <w:p w:rsidR="005C2091" w:rsidRDefault="00A86293">
            <w:pPr>
              <w:pStyle w:val="CellColumn"/>
              <w:jc w:val="right"/>
            </w:pPr>
            <w:r>
              <w:rPr>
                <w:rFonts w:cs="Times New Roman"/>
              </w:rPr>
              <w:t>3.201.815</w:t>
            </w:r>
          </w:p>
        </w:tc>
        <w:tc>
          <w:tcPr>
            <w:tcW w:w="2041" w:type="dxa"/>
          </w:tcPr>
          <w:p w:rsidR="005C2091" w:rsidRDefault="00A86293">
            <w:pPr>
              <w:pStyle w:val="CellColumn"/>
              <w:jc w:val="right"/>
            </w:pPr>
            <w:r>
              <w:rPr>
                <w:rFonts w:cs="Times New Roman"/>
              </w:rPr>
              <w:t>2.971.859</w:t>
            </w:r>
          </w:p>
        </w:tc>
        <w:tc>
          <w:tcPr>
            <w:tcW w:w="1224" w:type="dxa"/>
          </w:tcPr>
          <w:p w:rsidR="005C2091" w:rsidRDefault="00A86293">
            <w:pPr>
              <w:pStyle w:val="CellColumn"/>
              <w:jc w:val="right"/>
            </w:pPr>
            <w:r>
              <w:rPr>
                <w:rFonts w:cs="Times New Roman"/>
              </w:rPr>
              <w:t>92,8</w:t>
            </w:r>
          </w:p>
        </w:tc>
        <w:tc>
          <w:tcPr>
            <w:tcW w:w="1224" w:type="dxa"/>
          </w:tcPr>
          <w:p w:rsidR="005C2091" w:rsidRDefault="00A86293">
            <w:pPr>
              <w:pStyle w:val="CellColumn"/>
              <w:jc w:val="right"/>
            </w:pPr>
            <w:r>
              <w:rPr>
                <w:rFonts w:cs="Times New Roman"/>
              </w:rPr>
              <w:t>92,0</w:t>
            </w:r>
          </w:p>
        </w:tc>
      </w:tr>
    </w:tbl>
    <w:p w:rsidR="005C2091" w:rsidRDefault="005C2091">
      <w:pPr>
        <w:jc w:val="left"/>
      </w:pPr>
    </w:p>
    <w:p w:rsidR="005C2091" w:rsidRDefault="00A86293">
      <w:pPr>
        <w:pStyle w:val="Heading8"/>
        <w:jc w:val="left"/>
      </w:pPr>
      <w:r>
        <w:t>Zakonske i druge pravne osnove</w:t>
      </w:r>
    </w:p>
    <w:p w:rsidR="005C2091" w:rsidRDefault="00A86293">
      <w:r>
        <w:t>Uredba o osnivanju Hrvatske knjižnice za slijepe (NN 115/99)</w:t>
      </w:r>
    </w:p>
    <w:p w:rsidR="005C2091" w:rsidRDefault="00A86293">
      <w:pPr>
        <w:pStyle w:val="Heading8"/>
        <w:jc w:val="left"/>
      </w:pPr>
      <w:r>
        <w:t>Opis aktivnosti</w:t>
      </w:r>
    </w:p>
    <w:p w:rsidR="005C2091" w:rsidRDefault="00A86293">
      <w:r>
        <w:t>U ovoj aktivnosti osigurana su sredstva za rashode za zaposlene te materijalne rashode. Također su osigurana sredstva i za obavljanje redovite knjižnične i nakladničke djelatnosti Knjižnice te sredstva za ulaganje u prostor i opremu. U 2016. godni nije bilo većeg odstupanja od plana.</w:t>
      </w:r>
    </w:p>
    <w:p w:rsidR="005C2091" w:rsidRDefault="00A86293">
      <w:pPr>
        <w:pStyle w:val="Heading3"/>
      </w:pPr>
      <w:r>
        <w:rPr>
          <w:rFonts w:cs="Times New Roman"/>
        </w:rPr>
        <w:t>25878 Hrvatsko narodno kazalište</w:t>
      </w:r>
    </w:p>
    <w:p w:rsidR="005C2091" w:rsidRDefault="00A86293">
      <w:r>
        <w:t>Hrvatsko narodno kazalište u Zagrebu središnje je nacionalno kazalište, čiji su osnivači Republika Hrvatska i Grad Zagreb, pri čemu Ministarstvo kulture sudjeluje s 51%, a Grad Zagreb s 49 % u financiranju rada ove kuće. Predstavljajući bogat i raznovrstan program triju kontinuiranih umjetničkih cjelina: opere, drame i baleta, ostvaruju se djela visoke umjetničke razine, u izvedbi najvećih umjetnika, pisaca, glumaca, redatelja, scenografa, kostimografa, svjetski poznatih opernih i baletnih prvaka, dirigenata i koreografa. Umjetničko - estetska pozicija središnje nacionalne kuće podrazumijeva postavljanje djela svjetske klasike, nacionalne tradicije i suvremenog stvaralaštva.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25878-Hrvatsko narodno kazalište</w:t>
            </w:r>
          </w:p>
        </w:tc>
        <w:tc>
          <w:tcPr>
            <w:tcW w:w="2041" w:type="dxa"/>
          </w:tcPr>
          <w:p w:rsidR="005C2091" w:rsidRDefault="00A86293">
            <w:pPr>
              <w:pStyle w:val="CellColumn"/>
              <w:jc w:val="right"/>
            </w:pPr>
            <w:r>
              <w:rPr>
                <w:rFonts w:cs="Times New Roman"/>
              </w:rPr>
              <w:t>96.443.115</w:t>
            </w:r>
          </w:p>
        </w:tc>
        <w:tc>
          <w:tcPr>
            <w:tcW w:w="2041" w:type="dxa"/>
          </w:tcPr>
          <w:p w:rsidR="005C2091" w:rsidRDefault="00A86293">
            <w:pPr>
              <w:pStyle w:val="CellColumn"/>
              <w:jc w:val="right"/>
            </w:pPr>
            <w:r>
              <w:rPr>
                <w:rFonts w:cs="Times New Roman"/>
              </w:rPr>
              <w:t>91.047.178</w:t>
            </w:r>
          </w:p>
        </w:tc>
        <w:tc>
          <w:tcPr>
            <w:tcW w:w="2041" w:type="dxa"/>
          </w:tcPr>
          <w:p w:rsidR="005C2091" w:rsidRDefault="00A86293">
            <w:pPr>
              <w:pStyle w:val="CellColumn"/>
              <w:jc w:val="right"/>
            </w:pPr>
            <w:r>
              <w:rPr>
                <w:rFonts w:cs="Times New Roman"/>
              </w:rPr>
              <w:t>91.250.129</w:t>
            </w:r>
          </w:p>
        </w:tc>
        <w:tc>
          <w:tcPr>
            <w:tcW w:w="1224" w:type="dxa"/>
          </w:tcPr>
          <w:p w:rsidR="005C2091" w:rsidRDefault="00A86293">
            <w:pPr>
              <w:pStyle w:val="CellColumn"/>
              <w:jc w:val="right"/>
            </w:pPr>
            <w:r>
              <w:rPr>
                <w:rFonts w:cs="Times New Roman"/>
              </w:rPr>
              <w:t>100,2</w:t>
            </w:r>
          </w:p>
        </w:tc>
        <w:tc>
          <w:tcPr>
            <w:tcW w:w="1224" w:type="dxa"/>
          </w:tcPr>
          <w:p w:rsidR="005C2091" w:rsidRDefault="00A86293">
            <w:pPr>
              <w:pStyle w:val="CellColumn"/>
              <w:jc w:val="right"/>
            </w:pPr>
            <w:r>
              <w:rPr>
                <w:rFonts w:cs="Times New Roman"/>
              </w:rPr>
              <w:t>94,6</w:t>
            </w:r>
          </w:p>
        </w:tc>
      </w:tr>
      <w:tr w:rsidR="005C2091">
        <w:trPr>
          <w:jc w:val="center"/>
        </w:trPr>
        <w:tc>
          <w:tcPr>
            <w:tcW w:w="1632" w:type="dxa"/>
          </w:tcPr>
          <w:p w:rsidR="005C2091" w:rsidRDefault="00A86293">
            <w:pPr>
              <w:jc w:val="left"/>
            </w:pPr>
            <w:r>
              <w:t>3904-KAZALIŠNA I GLAZBENO- SCENSKA DJELATNOST</w:t>
            </w:r>
          </w:p>
        </w:tc>
        <w:tc>
          <w:tcPr>
            <w:tcW w:w="2041" w:type="dxa"/>
          </w:tcPr>
          <w:p w:rsidR="005C2091" w:rsidRDefault="00A86293">
            <w:pPr>
              <w:jc w:val="right"/>
            </w:pPr>
            <w:r>
              <w:t>96.443.115</w:t>
            </w:r>
          </w:p>
        </w:tc>
        <w:tc>
          <w:tcPr>
            <w:tcW w:w="2041" w:type="dxa"/>
          </w:tcPr>
          <w:p w:rsidR="005C2091" w:rsidRDefault="00A86293">
            <w:pPr>
              <w:jc w:val="right"/>
            </w:pPr>
            <w:r>
              <w:t>91.047.178</w:t>
            </w:r>
          </w:p>
        </w:tc>
        <w:tc>
          <w:tcPr>
            <w:tcW w:w="2041" w:type="dxa"/>
          </w:tcPr>
          <w:p w:rsidR="005C2091" w:rsidRDefault="00A86293">
            <w:pPr>
              <w:jc w:val="right"/>
            </w:pPr>
            <w:r>
              <w:t>91.250.129</w:t>
            </w:r>
          </w:p>
        </w:tc>
        <w:tc>
          <w:tcPr>
            <w:tcW w:w="1224" w:type="dxa"/>
          </w:tcPr>
          <w:p w:rsidR="005C2091" w:rsidRDefault="00A86293">
            <w:pPr>
              <w:jc w:val="right"/>
            </w:pPr>
            <w:r>
              <w:t>100,2</w:t>
            </w:r>
          </w:p>
        </w:tc>
        <w:tc>
          <w:tcPr>
            <w:tcW w:w="1224" w:type="dxa"/>
          </w:tcPr>
          <w:p w:rsidR="005C2091" w:rsidRDefault="00A86293">
            <w:pPr>
              <w:jc w:val="right"/>
            </w:pPr>
            <w:r>
              <w:t>94,6</w:t>
            </w:r>
          </w:p>
        </w:tc>
      </w:tr>
    </w:tbl>
    <w:p w:rsidR="005C2091" w:rsidRDefault="005C2091">
      <w:pPr>
        <w:jc w:val="left"/>
      </w:pPr>
    </w:p>
    <w:p w:rsidR="00F24C48" w:rsidRDefault="00F24C48">
      <w:pPr>
        <w:jc w:val="left"/>
      </w:pPr>
    </w:p>
    <w:p w:rsidR="005C2091" w:rsidRDefault="00A86293">
      <w:pPr>
        <w:pStyle w:val="Heading3"/>
      </w:pPr>
      <w:r>
        <w:rPr>
          <w:rFonts w:cs="Times New Roman"/>
        </w:rPr>
        <w:t>3904 KAZALIŠNA I GLAZBENO- SCENSKA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3904-KAZALIŠNA I GLAZBENO- SCENSKA DJELATNOST</w:t>
            </w:r>
          </w:p>
        </w:tc>
        <w:tc>
          <w:tcPr>
            <w:tcW w:w="2041" w:type="dxa"/>
          </w:tcPr>
          <w:p w:rsidR="005C2091" w:rsidRDefault="00A86293">
            <w:pPr>
              <w:pStyle w:val="CellColumn"/>
              <w:jc w:val="right"/>
            </w:pPr>
            <w:r>
              <w:rPr>
                <w:rFonts w:cs="Times New Roman"/>
              </w:rPr>
              <w:t>96.443.115</w:t>
            </w:r>
          </w:p>
        </w:tc>
        <w:tc>
          <w:tcPr>
            <w:tcW w:w="2041" w:type="dxa"/>
          </w:tcPr>
          <w:p w:rsidR="005C2091" w:rsidRDefault="00A86293">
            <w:pPr>
              <w:pStyle w:val="CellColumn"/>
              <w:jc w:val="right"/>
            </w:pPr>
            <w:r>
              <w:rPr>
                <w:rFonts w:cs="Times New Roman"/>
              </w:rPr>
              <w:t>91.047.178</w:t>
            </w:r>
          </w:p>
        </w:tc>
        <w:tc>
          <w:tcPr>
            <w:tcW w:w="2041" w:type="dxa"/>
          </w:tcPr>
          <w:p w:rsidR="005C2091" w:rsidRDefault="00A86293">
            <w:pPr>
              <w:pStyle w:val="CellColumn"/>
              <w:jc w:val="right"/>
            </w:pPr>
            <w:r>
              <w:rPr>
                <w:rFonts w:cs="Times New Roman"/>
              </w:rPr>
              <w:t>91.250.129</w:t>
            </w:r>
          </w:p>
        </w:tc>
        <w:tc>
          <w:tcPr>
            <w:tcW w:w="1224" w:type="dxa"/>
          </w:tcPr>
          <w:p w:rsidR="005C2091" w:rsidRDefault="00A86293">
            <w:pPr>
              <w:pStyle w:val="CellColumn"/>
              <w:jc w:val="right"/>
            </w:pPr>
            <w:r>
              <w:rPr>
                <w:rFonts w:cs="Times New Roman"/>
              </w:rPr>
              <w:t>100,2</w:t>
            </w:r>
          </w:p>
        </w:tc>
        <w:tc>
          <w:tcPr>
            <w:tcW w:w="1224" w:type="dxa"/>
          </w:tcPr>
          <w:p w:rsidR="005C2091" w:rsidRDefault="00A86293">
            <w:pPr>
              <w:pStyle w:val="CellColumn"/>
              <w:jc w:val="right"/>
            </w:pPr>
            <w:r>
              <w:rPr>
                <w:rFonts w:cs="Times New Roman"/>
              </w:rPr>
              <w:t>94,6</w:t>
            </w:r>
          </w:p>
        </w:tc>
      </w:tr>
    </w:tbl>
    <w:p w:rsidR="005C2091" w:rsidRDefault="005C2091">
      <w:pPr>
        <w:jc w:val="left"/>
      </w:pPr>
    </w:p>
    <w:p w:rsidR="005C2091" w:rsidRDefault="00A86293">
      <w:r>
        <w:t>Programska aktivnost HNK u Zagrebu obuhvaća financiranje i ostvarivanje programa Opere, Drame i Baleta, koje ostvaruju premijerni i reprizni program te programe gostovanja. Uspješno se ostvaruju program pripreme i izvedbe produkcija visoke umjetničke razine, razni oblici programske suradnje te izvršavanje osnovne kulturne misije HNK u Zagrebu, kao središnjeg nacionalnog kazališta.</w:t>
      </w:r>
    </w:p>
    <w:p w:rsidR="005C2091" w:rsidRDefault="00A86293">
      <w:pPr>
        <w:pStyle w:val="Heading4"/>
      </w:pPr>
      <w:r>
        <w:t>A832001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A832001-ADMINISTRACIJA I UPRAVLJANJE</w:t>
            </w:r>
          </w:p>
        </w:tc>
        <w:tc>
          <w:tcPr>
            <w:tcW w:w="2041" w:type="dxa"/>
          </w:tcPr>
          <w:p w:rsidR="005C2091" w:rsidRDefault="00A86293">
            <w:pPr>
              <w:pStyle w:val="CellColumn"/>
              <w:jc w:val="right"/>
            </w:pPr>
            <w:r>
              <w:rPr>
                <w:rFonts w:cs="Times New Roman"/>
              </w:rPr>
              <w:t>81.586.362</w:t>
            </w:r>
          </w:p>
        </w:tc>
        <w:tc>
          <w:tcPr>
            <w:tcW w:w="2041" w:type="dxa"/>
          </w:tcPr>
          <w:p w:rsidR="005C2091" w:rsidRDefault="00A86293">
            <w:pPr>
              <w:pStyle w:val="CellColumn"/>
              <w:jc w:val="right"/>
            </w:pPr>
            <w:r>
              <w:rPr>
                <w:rFonts w:cs="Times New Roman"/>
              </w:rPr>
              <w:t>77.908.976</w:t>
            </w:r>
          </w:p>
        </w:tc>
        <w:tc>
          <w:tcPr>
            <w:tcW w:w="2041" w:type="dxa"/>
          </w:tcPr>
          <w:p w:rsidR="005C2091" w:rsidRDefault="00A86293">
            <w:pPr>
              <w:pStyle w:val="CellColumn"/>
              <w:jc w:val="right"/>
            </w:pPr>
            <w:r>
              <w:rPr>
                <w:rFonts w:cs="Times New Roman"/>
              </w:rPr>
              <w:t>78.172.792</w:t>
            </w:r>
          </w:p>
        </w:tc>
        <w:tc>
          <w:tcPr>
            <w:tcW w:w="1224" w:type="dxa"/>
          </w:tcPr>
          <w:p w:rsidR="005C2091" w:rsidRDefault="00A86293">
            <w:pPr>
              <w:pStyle w:val="CellColumn"/>
              <w:jc w:val="right"/>
            </w:pPr>
            <w:r>
              <w:rPr>
                <w:rFonts w:cs="Times New Roman"/>
              </w:rPr>
              <w:t>100,3</w:t>
            </w:r>
          </w:p>
        </w:tc>
        <w:tc>
          <w:tcPr>
            <w:tcW w:w="1224" w:type="dxa"/>
          </w:tcPr>
          <w:p w:rsidR="005C2091" w:rsidRDefault="00A86293">
            <w:pPr>
              <w:pStyle w:val="CellColumn"/>
              <w:jc w:val="right"/>
            </w:pPr>
            <w:r>
              <w:rPr>
                <w:rFonts w:cs="Times New Roman"/>
              </w:rPr>
              <w:t>95,8</w:t>
            </w:r>
          </w:p>
        </w:tc>
      </w:tr>
    </w:tbl>
    <w:p w:rsidR="005C2091" w:rsidRDefault="005C2091">
      <w:pPr>
        <w:jc w:val="left"/>
      </w:pPr>
    </w:p>
    <w:p w:rsidR="005C2091" w:rsidRDefault="00A86293">
      <w:pPr>
        <w:pStyle w:val="Heading8"/>
        <w:jc w:val="left"/>
      </w:pPr>
      <w:r>
        <w:t>Zakonske i druge pravne osnove</w:t>
      </w:r>
    </w:p>
    <w:p w:rsidR="005C2091" w:rsidRDefault="00A86293">
      <w:r>
        <w:t>Zakon o kazalištima (NN 71/06, 121/13, 26/14); Pravilnik o očevidniku kazališta (NN 35/07); Pravilnik o utvrđivanju kazališnih radnika koji se smatraju kazališni umjetnici (NN 39/07)</w:t>
      </w:r>
    </w:p>
    <w:p w:rsidR="005C2091" w:rsidRDefault="00A86293">
      <w:pPr>
        <w:pStyle w:val="Heading8"/>
        <w:jc w:val="left"/>
      </w:pPr>
      <w:r>
        <w:t>Opis aktivnosti</w:t>
      </w:r>
    </w:p>
    <w:p w:rsidR="005C2091" w:rsidRDefault="00A86293">
      <w:r>
        <w:t>U ovoj aktivnosti osigurana su sredstva za plaće i materijalne rashode za 262 djelatnika što čini 51% od ukupnog broja zaposlenih. U 2016. godini nije bilo odstupanja od plana.</w:t>
      </w:r>
    </w:p>
    <w:p w:rsidR="005C2091" w:rsidRDefault="00A86293">
      <w:pPr>
        <w:pStyle w:val="Heading4"/>
      </w:pPr>
      <w:r>
        <w:t>A832002 PROGRAMI HRVATSKOG NARODNOG KAZALIŠTA U ZAGREBU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A832002-PROGRAMI HRVATSKOG NARODNOG KAZALIŠTA U ZAGREBU</w:t>
            </w:r>
          </w:p>
        </w:tc>
        <w:tc>
          <w:tcPr>
            <w:tcW w:w="2041" w:type="dxa"/>
          </w:tcPr>
          <w:p w:rsidR="005C2091" w:rsidRDefault="00A86293">
            <w:pPr>
              <w:pStyle w:val="CellColumn"/>
              <w:jc w:val="right"/>
            </w:pPr>
            <w:r>
              <w:rPr>
                <w:rFonts w:cs="Times New Roman"/>
              </w:rPr>
              <w:t>14.856.753</w:t>
            </w:r>
          </w:p>
        </w:tc>
        <w:tc>
          <w:tcPr>
            <w:tcW w:w="2041" w:type="dxa"/>
          </w:tcPr>
          <w:p w:rsidR="005C2091" w:rsidRDefault="00A86293">
            <w:pPr>
              <w:pStyle w:val="CellColumn"/>
              <w:jc w:val="right"/>
            </w:pPr>
            <w:r>
              <w:rPr>
                <w:rFonts w:cs="Times New Roman"/>
              </w:rPr>
              <w:t>13.138.202</w:t>
            </w:r>
          </w:p>
        </w:tc>
        <w:tc>
          <w:tcPr>
            <w:tcW w:w="2041" w:type="dxa"/>
          </w:tcPr>
          <w:p w:rsidR="005C2091" w:rsidRDefault="00A86293">
            <w:pPr>
              <w:pStyle w:val="CellColumn"/>
              <w:jc w:val="right"/>
            </w:pPr>
            <w:r>
              <w:rPr>
                <w:rFonts w:cs="Times New Roman"/>
              </w:rPr>
              <w:t>13.077.337</w:t>
            </w:r>
          </w:p>
        </w:tc>
        <w:tc>
          <w:tcPr>
            <w:tcW w:w="1224" w:type="dxa"/>
          </w:tcPr>
          <w:p w:rsidR="005C2091" w:rsidRDefault="00A86293">
            <w:pPr>
              <w:pStyle w:val="CellColumn"/>
              <w:jc w:val="right"/>
            </w:pPr>
            <w:r>
              <w:rPr>
                <w:rFonts w:cs="Times New Roman"/>
              </w:rPr>
              <w:t>99,5</w:t>
            </w:r>
          </w:p>
        </w:tc>
        <w:tc>
          <w:tcPr>
            <w:tcW w:w="1224" w:type="dxa"/>
          </w:tcPr>
          <w:p w:rsidR="005C2091" w:rsidRDefault="00A86293">
            <w:pPr>
              <w:pStyle w:val="CellColumn"/>
              <w:jc w:val="right"/>
            </w:pPr>
            <w:r>
              <w:rPr>
                <w:rFonts w:cs="Times New Roman"/>
              </w:rPr>
              <w:t>88,0</w:t>
            </w:r>
          </w:p>
        </w:tc>
      </w:tr>
    </w:tbl>
    <w:p w:rsidR="005C2091" w:rsidRDefault="005C2091">
      <w:pPr>
        <w:jc w:val="left"/>
      </w:pPr>
    </w:p>
    <w:p w:rsidR="005C2091" w:rsidRDefault="00A86293">
      <w:pPr>
        <w:pStyle w:val="Heading8"/>
        <w:jc w:val="left"/>
      </w:pPr>
      <w:r>
        <w:t>Zakonske i druge pravne osnove</w:t>
      </w:r>
    </w:p>
    <w:p w:rsidR="005C2091" w:rsidRDefault="00A86293">
      <w:r>
        <w:t xml:space="preserve">Sporazum između Ministarstva kulture i Grada Zagreba o zajedničkom financiranju rada i repertoara (programa) Hrvatskog narodnog kazališta u Zagrebu (prosinac 1994. godine)  </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2016. godinu</w:t>
      </w:r>
    </w:p>
    <w:p w:rsidR="005C2091" w:rsidRDefault="00A86293">
      <w:pPr>
        <w:pStyle w:val="Heading8"/>
        <w:jc w:val="left"/>
      </w:pPr>
      <w:r>
        <w:t>Opis aktivnosti</w:t>
      </w:r>
    </w:p>
    <w:p w:rsidR="005C2091" w:rsidRDefault="00A86293">
      <w:r>
        <w:t>Programska aktivnost HNK-a Zagreb obuhvaća financiranje Opere, Drame i Baleta. Ostvarenjem njihovih repertoara izvršene su minimalne obveze svake programske djelatnosti u jednoj kalendarskoj godini. U 2016. godini nije bilo odstupanja od plana.</w:t>
      </w:r>
    </w:p>
    <w:p w:rsidR="005C2091" w:rsidRDefault="00A86293">
      <w:pPr>
        <w:pStyle w:val="Heading3"/>
      </w:pPr>
      <w:r>
        <w:rPr>
          <w:rFonts w:cs="Times New Roman"/>
        </w:rPr>
        <w:t>44926 Hrvatski audiovizualni centar</w:t>
      </w:r>
    </w:p>
    <w:p w:rsidR="005C2091" w:rsidRDefault="00A86293">
      <w:r>
        <w:t>Centar je javna ustanova koja provodi Nacionalni program promicanja audiovizualnog stvaralaštva, raspodjeljuje sredstva za poticanje audiovizualnih (razvoj, proizvodnja, promocija, distribucija, prikazivanje audiovizualnih djela) i komplementarnih djelatnosti (zaštita audiovizualne baštine, filmski festivali, djelatnost razvijanja audiovizualne kulture, programi promocije i prodaje hrvatskih audiovizualnih djela, međunarodna suradnja, proučavanje i vrednovanje audiovizualnih djelatnosti, izdavaštvo te programi stručnog usavršavanja).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44926-Hrvatski audiovizualni centar</w:t>
            </w:r>
          </w:p>
        </w:tc>
        <w:tc>
          <w:tcPr>
            <w:tcW w:w="2041" w:type="dxa"/>
          </w:tcPr>
          <w:p w:rsidR="005C2091" w:rsidRDefault="00A86293">
            <w:pPr>
              <w:pStyle w:val="CellColumn"/>
              <w:jc w:val="right"/>
            </w:pPr>
            <w:r>
              <w:rPr>
                <w:rFonts w:cs="Times New Roman"/>
              </w:rPr>
              <w:t>63.303.737</w:t>
            </w:r>
          </w:p>
        </w:tc>
        <w:tc>
          <w:tcPr>
            <w:tcW w:w="2041" w:type="dxa"/>
          </w:tcPr>
          <w:p w:rsidR="005C2091" w:rsidRDefault="00A86293">
            <w:pPr>
              <w:pStyle w:val="CellColumn"/>
              <w:jc w:val="right"/>
            </w:pPr>
            <w:r>
              <w:rPr>
                <w:rFonts w:cs="Times New Roman"/>
              </w:rPr>
              <w:t>78.647.429</w:t>
            </w:r>
          </w:p>
        </w:tc>
        <w:tc>
          <w:tcPr>
            <w:tcW w:w="2041" w:type="dxa"/>
          </w:tcPr>
          <w:p w:rsidR="005C2091" w:rsidRDefault="00A86293">
            <w:pPr>
              <w:pStyle w:val="CellColumn"/>
              <w:jc w:val="right"/>
            </w:pPr>
            <w:r>
              <w:rPr>
                <w:rFonts w:cs="Times New Roman"/>
              </w:rPr>
              <w:t>81.613.719</w:t>
            </w:r>
          </w:p>
        </w:tc>
        <w:tc>
          <w:tcPr>
            <w:tcW w:w="1224" w:type="dxa"/>
          </w:tcPr>
          <w:p w:rsidR="005C2091" w:rsidRDefault="00A86293">
            <w:pPr>
              <w:pStyle w:val="CellColumn"/>
              <w:jc w:val="right"/>
            </w:pPr>
            <w:r>
              <w:rPr>
                <w:rFonts w:cs="Times New Roman"/>
              </w:rPr>
              <w:t>103,8</w:t>
            </w:r>
          </w:p>
        </w:tc>
        <w:tc>
          <w:tcPr>
            <w:tcW w:w="1224" w:type="dxa"/>
          </w:tcPr>
          <w:p w:rsidR="005C2091" w:rsidRDefault="00A86293">
            <w:pPr>
              <w:pStyle w:val="CellColumn"/>
              <w:jc w:val="right"/>
            </w:pPr>
            <w:r>
              <w:rPr>
                <w:rFonts w:cs="Times New Roman"/>
              </w:rPr>
              <w:t>128,9</w:t>
            </w:r>
          </w:p>
        </w:tc>
      </w:tr>
      <w:tr w:rsidR="005C2091">
        <w:trPr>
          <w:jc w:val="center"/>
        </w:trPr>
        <w:tc>
          <w:tcPr>
            <w:tcW w:w="1632" w:type="dxa"/>
          </w:tcPr>
          <w:p w:rsidR="005C2091" w:rsidRDefault="00A86293">
            <w:pPr>
              <w:jc w:val="left"/>
            </w:pPr>
            <w:r>
              <w:t>3906-PROGRAMI AUDIO VIZUALNE DJELATNOSTI I MEDIJA</w:t>
            </w:r>
          </w:p>
        </w:tc>
        <w:tc>
          <w:tcPr>
            <w:tcW w:w="2041" w:type="dxa"/>
          </w:tcPr>
          <w:p w:rsidR="005C2091" w:rsidRDefault="00A86293">
            <w:pPr>
              <w:jc w:val="right"/>
            </w:pPr>
            <w:r>
              <w:t>63.303.737</w:t>
            </w:r>
          </w:p>
        </w:tc>
        <w:tc>
          <w:tcPr>
            <w:tcW w:w="2041" w:type="dxa"/>
          </w:tcPr>
          <w:p w:rsidR="005C2091" w:rsidRDefault="00A86293">
            <w:pPr>
              <w:jc w:val="right"/>
            </w:pPr>
            <w:r>
              <w:t>78.647.429</w:t>
            </w:r>
          </w:p>
        </w:tc>
        <w:tc>
          <w:tcPr>
            <w:tcW w:w="2041" w:type="dxa"/>
          </w:tcPr>
          <w:p w:rsidR="005C2091" w:rsidRDefault="00A86293">
            <w:pPr>
              <w:jc w:val="right"/>
            </w:pPr>
            <w:r>
              <w:t>81.613.719</w:t>
            </w:r>
          </w:p>
        </w:tc>
        <w:tc>
          <w:tcPr>
            <w:tcW w:w="1224" w:type="dxa"/>
          </w:tcPr>
          <w:p w:rsidR="005C2091" w:rsidRDefault="00A86293">
            <w:pPr>
              <w:jc w:val="right"/>
            </w:pPr>
            <w:r>
              <w:t>103,8</w:t>
            </w:r>
          </w:p>
        </w:tc>
        <w:tc>
          <w:tcPr>
            <w:tcW w:w="1224" w:type="dxa"/>
          </w:tcPr>
          <w:p w:rsidR="005C2091" w:rsidRDefault="00A86293">
            <w:pPr>
              <w:jc w:val="right"/>
            </w:pPr>
            <w:r>
              <w:t>128,9</w:t>
            </w:r>
          </w:p>
        </w:tc>
      </w:tr>
    </w:tbl>
    <w:p w:rsidR="005C2091" w:rsidRDefault="005C2091">
      <w:pPr>
        <w:jc w:val="left"/>
      </w:pPr>
    </w:p>
    <w:p w:rsidR="005C2091" w:rsidRDefault="00A86293">
      <w:pPr>
        <w:pStyle w:val="Heading3"/>
      </w:pPr>
      <w:r>
        <w:rPr>
          <w:rFonts w:cs="Times New Roman"/>
        </w:rPr>
        <w:t>3906 PROGRAMI AUDIO VIZUALNE DJELATNOSTI I MEDIJA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3906-PROGRAMI AUDIO VIZUALNE DJELATNOSTI I MEDIJA</w:t>
            </w:r>
          </w:p>
        </w:tc>
        <w:tc>
          <w:tcPr>
            <w:tcW w:w="2041" w:type="dxa"/>
          </w:tcPr>
          <w:p w:rsidR="005C2091" w:rsidRDefault="00A86293">
            <w:pPr>
              <w:pStyle w:val="CellColumn"/>
              <w:jc w:val="right"/>
            </w:pPr>
            <w:r>
              <w:rPr>
                <w:rFonts w:cs="Times New Roman"/>
              </w:rPr>
              <w:t>63.303.737</w:t>
            </w:r>
          </w:p>
        </w:tc>
        <w:tc>
          <w:tcPr>
            <w:tcW w:w="2041" w:type="dxa"/>
          </w:tcPr>
          <w:p w:rsidR="005C2091" w:rsidRDefault="00A86293">
            <w:pPr>
              <w:pStyle w:val="CellColumn"/>
              <w:jc w:val="right"/>
            </w:pPr>
            <w:r>
              <w:rPr>
                <w:rFonts w:cs="Times New Roman"/>
              </w:rPr>
              <w:t>78.647.429</w:t>
            </w:r>
          </w:p>
        </w:tc>
        <w:tc>
          <w:tcPr>
            <w:tcW w:w="2041" w:type="dxa"/>
          </w:tcPr>
          <w:p w:rsidR="005C2091" w:rsidRDefault="00A86293">
            <w:pPr>
              <w:pStyle w:val="CellColumn"/>
              <w:jc w:val="right"/>
            </w:pPr>
            <w:r>
              <w:rPr>
                <w:rFonts w:cs="Times New Roman"/>
              </w:rPr>
              <w:t>81.613.719</w:t>
            </w:r>
          </w:p>
        </w:tc>
        <w:tc>
          <w:tcPr>
            <w:tcW w:w="1224" w:type="dxa"/>
          </w:tcPr>
          <w:p w:rsidR="005C2091" w:rsidRDefault="00A86293">
            <w:pPr>
              <w:pStyle w:val="CellColumn"/>
              <w:jc w:val="right"/>
            </w:pPr>
            <w:r>
              <w:rPr>
                <w:rFonts w:cs="Times New Roman"/>
              </w:rPr>
              <w:t>103,8</w:t>
            </w:r>
          </w:p>
        </w:tc>
        <w:tc>
          <w:tcPr>
            <w:tcW w:w="1224" w:type="dxa"/>
          </w:tcPr>
          <w:p w:rsidR="005C2091" w:rsidRDefault="00A86293">
            <w:pPr>
              <w:pStyle w:val="CellColumn"/>
              <w:jc w:val="right"/>
            </w:pPr>
            <w:r>
              <w:rPr>
                <w:rFonts w:cs="Times New Roman"/>
              </w:rPr>
              <w:t>128,9</w:t>
            </w:r>
          </w:p>
        </w:tc>
      </w:tr>
    </w:tbl>
    <w:p w:rsidR="005C2091" w:rsidRDefault="005C2091">
      <w:pPr>
        <w:jc w:val="left"/>
      </w:pPr>
    </w:p>
    <w:p w:rsidR="005C2091" w:rsidRDefault="00A86293">
      <w:r>
        <w:t>Hrvatski audiovizualni centar provodi Nacionalni program promicanja audiovizualnog stvaralaštva i putem javnog natječaja raspodijeljuje sredstva za poticanje audiovizualnih djelatnosti i komplementarnih djelatnosti. Pod audiovizualnim djelatnostima smatraju se razvoj, proizvodnja, promocija, distribucija i prikazivanje audiovizualnih djela: igranih i dokumentarnih filmova, animiranih filmova i eksperimentalnih filmova. Komplementarne djelatnosti su zaštita audiovizualne baštine uključujući kinotečnu djelatnost, filmski festivali i druge audiovizualne manifestacije, te djelatnosti razvijanja audiovizualne kulture, programi promocije i prodaje hrvatskih audiovizualnih djela, međunarodna suradnja, proučavanje i kritičko vrednovanje audiovizualnih djelatnosti, izdavaštvo u području audiovizualnih djelatnosti, programi stručnog usavršavanja i programi audiovizualnih udruga i organizacija.</w:t>
      </w:r>
    </w:p>
    <w:p w:rsidR="005C2091" w:rsidRDefault="00A86293">
      <w:pPr>
        <w:pStyle w:val="Heading8"/>
        <w:jc w:val="left"/>
      </w:pPr>
      <w:r>
        <w:t>Cilj 1. Razvoj proizvodnje, distribucije, prikazivanja, elektronske difuzije i promocije audiovizualnih djela</w:t>
      </w:r>
    </w:p>
    <w:p w:rsidR="005C2091" w:rsidRDefault="00A86293">
      <w:pPr>
        <w:pStyle w:val="Heading8"/>
        <w:jc w:val="left"/>
      </w:pPr>
      <w:r>
        <w:t>Opis provedbe cilja programa</w:t>
      </w:r>
    </w:p>
    <w:p w:rsidR="005C2091" w:rsidRDefault="00A86293">
      <w:r>
        <w:t xml:space="preserve">Ciljana financijska potpora distribuciji kroz programe Hrvatskog audiovizualnog centra i posebice financijska potpora kinoprikazivaštvu kroz dovršenje Nacionalnog programa digitalizacije nezavisnih kinodvorana čija je prva faza privedena kraju u listopadu 2013. godine, trebali bi rezultirati očuvanjem preostalih zasad nedigitaliziranih lokalnih kina naročito u manjim gradskim sredinama koja se u ovom trenutku nalaze u velikim teškoćama uslijed gotovo totalnog masovnog prelaza s analognog na digitalni način prikazivanja u svijetu. Digitalizacija ukupne nezavisne </w:t>
      </w:r>
    </w:p>
    <w:p w:rsidR="005C2091" w:rsidRDefault="00A86293">
      <w:r>
        <w:t>prikazivačke mreže u Republici Hrvatskoj tek je prvi korak prema željenom cilju: harmonizaciji i europeizaciji kinorepertoara, te u konačnici postizanja veće gledanosti i većeg tržišnog udjela hrvatskih i europskih djela u domaćoj kino - eksploataciji.</w:t>
      </w:r>
    </w:p>
    <w:p w:rsidR="005C2091" w:rsidRDefault="00A86293">
      <w:pPr>
        <w:pStyle w:val="Heading8"/>
        <w:jc w:val="left"/>
      </w:pPr>
      <w:r>
        <w:t>Cilj 2. Poticanje svestranih komplementarnih audiovizualnih djelatnosti</w:t>
      </w:r>
    </w:p>
    <w:p w:rsidR="005C2091" w:rsidRDefault="00A86293">
      <w:pPr>
        <w:pStyle w:val="Heading8"/>
        <w:jc w:val="left"/>
      </w:pPr>
      <w:r>
        <w:t>Opis provedbe cilja programa</w:t>
      </w:r>
    </w:p>
    <w:p w:rsidR="005C2091" w:rsidRDefault="00A86293">
      <w:r>
        <w:t>Nužno je poticati širenje filmske i općenito audiovizualne kulture te specifičnihznanja vezanih uz audiovizualno stvaralaštvo kroz izdavaštvo, filmske festivale, i neprofesijsko stvaralaštvo, kao i poticati raznolike oblike edukacije – kako one namijenjene profesionalcima tako i one namijenjene mladim naraštajima i širokoj publici.</w:t>
      </w:r>
    </w:p>
    <w:p w:rsidR="005C2091" w:rsidRDefault="00A86293">
      <w:pPr>
        <w:pStyle w:val="Heading4"/>
      </w:pPr>
      <w:r>
        <w:t>A781007 PROGRAM POTICANJA ULAGANJA U PROIZVODNJU AUDIOVIZUALNIH DJELA</w:t>
      </w:r>
    </w:p>
    <w:tbl>
      <w:tblPr>
        <w:tblStyle w:val="StilTablice"/>
        <w:tblW w:w="10206" w:type="dxa"/>
        <w:jc w:val="center"/>
        <w:tblLook w:val="04A0" w:firstRow="1" w:lastRow="0" w:firstColumn="1" w:lastColumn="0" w:noHBand="0" w:noVBand="1"/>
      </w:tblPr>
      <w:tblGrid>
        <w:gridCol w:w="1859"/>
        <w:gridCol w:w="1968"/>
        <w:gridCol w:w="1978"/>
        <w:gridCol w:w="1978"/>
        <w:gridCol w:w="1208"/>
        <w:gridCol w:w="1215"/>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A781007-PROGRAM POTICANJA ULAGANJA U PROIZVODNJU AUDIOVIZUALNIH DJELA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15.000.000</w:t>
            </w:r>
          </w:p>
        </w:tc>
        <w:tc>
          <w:tcPr>
            <w:tcW w:w="2041" w:type="dxa"/>
          </w:tcPr>
          <w:p w:rsidR="005C2091" w:rsidRDefault="00A86293">
            <w:pPr>
              <w:pStyle w:val="CellColumn"/>
              <w:jc w:val="right"/>
            </w:pPr>
            <w:r>
              <w:rPr>
                <w:rFonts w:cs="Times New Roman"/>
              </w:rPr>
              <w:t>15.000.000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audiovizualnim djelatnostima (NN 76/07,90/11)  </w:t>
      </w:r>
    </w:p>
    <w:p w:rsidR="005C2091" w:rsidRDefault="00A86293">
      <w:r>
        <w:t xml:space="preserve">Pravilnik o poticaju ulaganja u proizvodnju audiovizualnih djela (NN 3/15)  </w:t>
      </w:r>
    </w:p>
    <w:p w:rsidR="005C2091" w:rsidRDefault="00A86293">
      <w:r>
        <w:t xml:space="preserve"> Ukupni iznos troškova učinjenih u Republici Hrvatskoj na osnovi koje se izračunava povrat sredstava ne smije prelaziti 80% cjelokupnog proračuna audiovizualnog djela. Državna potpora iz stavka 1. ovoga članka za pojedino audiovizualno djelo ne može iznositi više od 4.000.000,00 kn, osim ako ovim Pravilnikom nije drukčije određeno. Zbroj sredstava iz državnih potpora Republike Hrvatske i drugih zemalja članica Europskog gospodarskog prostora, uključujući iznos državne potpore iz ovoga Pravilnika i potpora malih vrijednosti kao i drugih izvora financiranja koji se smatraju državnom potporom neovisno o razini davatelja, ne može iznositi više od 50% cjelokupnog proračuna predmetnog audiovizualnog djela. Intenzitet potpore za prekogranične koprodukcije koje financiraju najmanje dvije države članice, a u njima sudjeluju producenti iz najmanje dvije države članice mogu iznositi do 60% proračuna za filmsku produkciju. Sukladno važećim propisima o državnim potporama ograničenje od 50% iz prethodnog stavka ovoga članka ne odnosi se na teška ili zahtjevna audiovizualna djela i audiovizualna djela niskoga proračuna, uključujući djela kojima su dodijeljene potpore malih vrijednosti, gdje je moguće sufinanciranje državnim potporama do 80% cjelokupnog proračuna audiovizualnog djela. Podnositelj koji dokaže da će proizvodnjom djela u Republici Hrvatskoj premašiti iznos od 20.000.000,00 kn ukupnih troškova učinjenih u Republici Hrvatskoj u okviru proizvodnje djela, ima pravo uputiti zahtjev Centru za ostvarivanje prava na državnu potporu (u daljnjem tekstu: Zahtjev) za predmetno audiovizualno djelo u iznosu većem od 4.000.000,00 kn. Iznos državne potpore kao i dodatne obveze podnositelja utvrđuje Centar razmjerno raspoloživim sredstvima, sukladno ovom Pravilniku. Za dobivanje državne potpore potrebno je ostvariti minimalan broj bodova u Kvalifikacijskom testu iz Dodatka 1 ovoga Pravilnika.</w:t>
      </w:r>
    </w:p>
    <w:p w:rsidR="005C2091" w:rsidRDefault="00A86293">
      <w:pPr>
        <w:pStyle w:val="Heading8"/>
        <w:jc w:val="left"/>
      </w:pPr>
      <w:r>
        <w:t>Opis aktivnosti</w:t>
      </w:r>
    </w:p>
    <w:p w:rsidR="005C2091" w:rsidRDefault="00A86293">
      <w:r>
        <w:t>Poticanje proizvodnje audiovizualnih djela kroz povrat novčanih sredstava u visini 20% od ukupnih opravdanih troškova učinjenih na terotoriju Republike Hrvatske u okviru proizvodnje audiovizualnih djela koja su djelomično ili u cijelosti snimana u Hrvatskoj. U 2016. godini program je u potpunosti izvršen te nije bilo odstupanja od plana.</w:t>
      </w:r>
    </w:p>
    <w:p w:rsidR="005C2091" w:rsidRDefault="00A86293">
      <w:pPr>
        <w:pStyle w:val="Heading4"/>
      </w:pPr>
      <w:r>
        <w:t>A785006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A785006-ADMINISTRACIJA I UPRAVLJANJE</w:t>
            </w:r>
          </w:p>
        </w:tc>
        <w:tc>
          <w:tcPr>
            <w:tcW w:w="2041" w:type="dxa"/>
          </w:tcPr>
          <w:p w:rsidR="005C2091" w:rsidRDefault="00A86293">
            <w:pPr>
              <w:pStyle w:val="CellColumn"/>
              <w:jc w:val="right"/>
            </w:pPr>
            <w:r>
              <w:rPr>
                <w:rFonts w:cs="Times New Roman"/>
              </w:rPr>
              <w:t>30.679.855</w:t>
            </w:r>
          </w:p>
        </w:tc>
        <w:tc>
          <w:tcPr>
            <w:tcW w:w="2041" w:type="dxa"/>
          </w:tcPr>
          <w:p w:rsidR="005C2091" w:rsidRDefault="00A86293">
            <w:pPr>
              <w:pStyle w:val="CellColumn"/>
              <w:jc w:val="right"/>
            </w:pPr>
            <w:r>
              <w:rPr>
                <w:rFonts w:cs="Times New Roman"/>
              </w:rPr>
              <w:t>30.495.429</w:t>
            </w:r>
          </w:p>
        </w:tc>
        <w:tc>
          <w:tcPr>
            <w:tcW w:w="2041" w:type="dxa"/>
          </w:tcPr>
          <w:p w:rsidR="005C2091" w:rsidRDefault="00A86293">
            <w:pPr>
              <w:pStyle w:val="CellColumn"/>
              <w:jc w:val="right"/>
            </w:pPr>
            <w:r>
              <w:rPr>
                <w:rFonts w:cs="Times New Roman"/>
              </w:rPr>
              <w:t>33.470.706</w:t>
            </w:r>
          </w:p>
        </w:tc>
        <w:tc>
          <w:tcPr>
            <w:tcW w:w="1224" w:type="dxa"/>
          </w:tcPr>
          <w:p w:rsidR="005C2091" w:rsidRDefault="00A86293">
            <w:pPr>
              <w:pStyle w:val="CellColumn"/>
              <w:jc w:val="right"/>
            </w:pPr>
            <w:r>
              <w:rPr>
                <w:rFonts w:cs="Times New Roman"/>
              </w:rPr>
              <w:t>109,8</w:t>
            </w:r>
          </w:p>
        </w:tc>
        <w:tc>
          <w:tcPr>
            <w:tcW w:w="1224" w:type="dxa"/>
          </w:tcPr>
          <w:p w:rsidR="005C2091" w:rsidRDefault="00A86293">
            <w:pPr>
              <w:pStyle w:val="CellColumn"/>
              <w:jc w:val="right"/>
            </w:pPr>
            <w:r>
              <w:rPr>
                <w:rFonts w:cs="Times New Roman"/>
              </w:rPr>
              <w:t>109,1</w:t>
            </w:r>
          </w:p>
        </w:tc>
      </w:tr>
    </w:tbl>
    <w:p w:rsidR="005C2091" w:rsidRDefault="005C2091">
      <w:pPr>
        <w:jc w:val="left"/>
      </w:pPr>
    </w:p>
    <w:p w:rsidR="005C2091" w:rsidRDefault="00A86293">
      <w:pPr>
        <w:pStyle w:val="Heading8"/>
        <w:jc w:val="left"/>
      </w:pPr>
      <w:r>
        <w:t>Zakonske i druge pravne osnove</w:t>
      </w:r>
    </w:p>
    <w:p w:rsidR="005C2091" w:rsidRDefault="00A86293">
      <w:r>
        <w:t>Zakon o audiovizualnim djelatnostima (NN76/07)</w:t>
      </w:r>
    </w:p>
    <w:p w:rsidR="005C2091" w:rsidRDefault="00A86293">
      <w:pPr>
        <w:pStyle w:val="Heading8"/>
        <w:jc w:val="left"/>
      </w:pPr>
      <w:r>
        <w:t>Opis aktivnosti</w:t>
      </w:r>
    </w:p>
    <w:p w:rsidR="005C2091" w:rsidRDefault="00A86293">
      <w:r>
        <w:t>U ovoj aktivnosti osigurana su sredstva za rashode za zaposlene te materijalne rashode za zaposlenike Hrvatskog audiovizalnog centra. U 2016. godini sredstva korištena iz izvora 11 su utrošena prema planu. Odstupanje se odnosi na vlastita sredstva.</w:t>
      </w:r>
    </w:p>
    <w:p w:rsidR="005C2091" w:rsidRDefault="00A86293">
      <w:pPr>
        <w:pStyle w:val="Heading4"/>
      </w:pPr>
      <w:r>
        <w:t>A785007 DESK KREATIVNE EUROPE - MEDIA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A785007-DESK KREATIVNE EUROPE - MEDIA</w:t>
            </w:r>
          </w:p>
        </w:tc>
        <w:tc>
          <w:tcPr>
            <w:tcW w:w="2041" w:type="dxa"/>
          </w:tcPr>
          <w:p w:rsidR="005C2091" w:rsidRDefault="00A86293">
            <w:pPr>
              <w:pStyle w:val="CellColumn"/>
              <w:jc w:val="right"/>
            </w:pPr>
            <w:r>
              <w:rPr>
                <w:rFonts w:cs="Times New Roman"/>
              </w:rPr>
              <w:t>623.882</w:t>
            </w:r>
          </w:p>
        </w:tc>
        <w:tc>
          <w:tcPr>
            <w:tcW w:w="2041" w:type="dxa"/>
          </w:tcPr>
          <w:p w:rsidR="005C2091" w:rsidRDefault="00A86293">
            <w:pPr>
              <w:pStyle w:val="CellColumn"/>
              <w:jc w:val="right"/>
            </w:pPr>
            <w:r>
              <w:rPr>
                <w:rFonts w:cs="Times New Roman"/>
              </w:rPr>
              <w:t>632.000</w:t>
            </w:r>
          </w:p>
        </w:tc>
        <w:tc>
          <w:tcPr>
            <w:tcW w:w="2041" w:type="dxa"/>
          </w:tcPr>
          <w:p w:rsidR="005C2091" w:rsidRDefault="00A86293">
            <w:pPr>
              <w:pStyle w:val="CellColumn"/>
              <w:jc w:val="right"/>
            </w:pPr>
            <w:r>
              <w:rPr>
                <w:rFonts w:cs="Times New Roman"/>
              </w:rPr>
              <w:t>623.013</w:t>
            </w:r>
          </w:p>
        </w:tc>
        <w:tc>
          <w:tcPr>
            <w:tcW w:w="1224" w:type="dxa"/>
          </w:tcPr>
          <w:p w:rsidR="005C2091" w:rsidRDefault="00A86293">
            <w:pPr>
              <w:pStyle w:val="CellColumn"/>
              <w:jc w:val="right"/>
            </w:pPr>
            <w:r>
              <w:rPr>
                <w:rFonts w:cs="Times New Roman"/>
              </w:rPr>
              <w:t>98,6</w:t>
            </w:r>
          </w:p>
        </w:tc>
        <w:tc>
          <w:tcPr>
            <w:tcW w:w="1224" w:type="dxa"/>
          </w:tcPr>
          <w:p w:rsidR="005C2091" w:rsidRDefault="00A86293">
            <w:pPr>
              <w:pStyle w:val="CellColumn"/>
              <w:jc w:val="right"/>
            </w:pPr>
            <w:r>
              <w:rPr>
                <w:rFonts w:cs="Times New Roman"/>
              </w:rPr>
              <w:t>99,9</w:t>
            </w:r>
          </w:p>
        </w:tc>
      </w:tr>
    </w:tbl>
    <w:p w:rsidR="005C2091" w:rsidRDefault="005C2091">
      <w:pPr>
        <w:jc w:val="left"/>
      </w:pPr>
    </w:p>
    <w:p w:rsidR="005C2091" w:rsidRDefault="00A86293">
      <w:pPr>
        <w:pStyle w:val="Heading8"/>
        <w:jc w:val="left"/>
      </w:pPr>
      <w:r>
        <w:t>Zakonske i druge pravne osnove</w:t>
      </w:r>
    </w:p>
    <w:p w:rsidR="005C2091" w:rsidRDefault="00A86293">
      <w:r>
        <w:t>Uredba (EU) br. 1295/2013 Europskog parlamenta i Vijeća od 11. prosinca 2013. godine o uspostavi programa Kreativna Europa (2014. - 2020.), čl. 24.</w:t>
      </w:r>
    </w:p>
    <w:p w:rsidR="005C2091" w:rsidRDefault="00A86293">
      <w:pPr>
        <w:pStyle w:val="Heading8"/>
        <w:jc w:val="left"/>
      </w:pPr>
      <w:r>
        <w:t>Opis aktivnosti</w:t>
      </w:r>
    </w:p>
    <w:p w:rsidR="005C2091" w:rsidRDefault="00A86293">
      <w:r>
        <w:t>MEDIA je sastavni dio HAVC-a, ali i dio je programa Kreativna Europa 2014. - 2020. godine zajedno s Deskom Kreativne Europe - kultura.DKE – Ured MEDIA blisko surađuje s Izvršnom agencijom za obrazovanje, audiovizualnu politiku i kulturu (EACEA) te pruža savjetodavnu pomoć svima onima koji žele sudjelovati u Potprogramu MEDIA i njegovim aktivnostima kao što su stručno usavršavanje, razvoj projekata, razvoj publike, distribucija, festivali i pristup tržištima.  Financira se prema principu 50% Europska Komisija, 50% Ministarstvo kulture. U 2016. godini nije bilo odstupanja od plana.</w:t>
      </w:r>
    </w:p>
    <w:p w:rsidR="00F24C48" w:rsidRDefault="00F24C48"/>
    <w:p w:rsidR="005C2091" w:rsidRDefault="00A86293">
      <w:pPr>
        <w:pStyle w:val="Heading4"/>
      </w:pPr>
      <w:r>
        <w:t>A785009 PROGRAMI HRVATSKOG AUDIOVIZUALNOG CENTRA</w:t>
      </w:r>
    </w:p>
    <w:tbl>
      <w:tblPr>
        <w:tblStyle w:val="StilTablice"/>
        <w:tblW w:w="10206" w:type="dxa"/>
        <w:jc w:val="center"/>
        <w:tblLook w:val="04A0" w:firstRow="1" w:lastRow="0" w:firstColumn="1" w:lastColumn="0" w:noHBand="0" w:noVBand="1"/>
      </w:tblPr>
      <w:tblGrid>
        <w:gridCol w:w="1936"/>
        <w:gridCol w:w="1952"/>
        <w:gridCol w:w="1952"/>
        <w:gridCol w:w="1953"/>
        <w:gridCol w:w="1202"/>
        <w:gridCol w:w="121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A785009-PROGRAMI HRVATSKOG AUDIOVIZUALNOG CENTRA</w:t>
            </w:r>
          </w:p>
        </w:tc>
        <w:tc>
          <w:tcPr>
            <w:tcW w:w="2041" w:type="dxa"/>
          </w:tcPr>
          <w:p w:rsidR="005C2091" w:rsidRDefault="00A86293">
            <w:pPr>
              <w:pStyle w:val="CellColumn"/>
              <w:jc w:val="right"/>
            </w:pPr>
            <w:r>
              <w:rPr>
                <w:rFonts w:cs="Times New Roman"/>
              </w:rPr>
              <w:t>32.000.000</w:t>
            </w:r>
          </w:p>
        </w:tc>
        <w:tc>
          <w:tcPr>
            <w:tcW w:w="2041" w:type="dxa"/>
          </w:tcPr>
          <w:p w:rsidR="005C2091" w:rsidRDefault="00A86293">
            <w:pPr>
              <w:pStyle w:val="CellColumn"/>
              <w:jc w:val="right"/>
            </w:pPr>
            <w:r>
              <w:rPr>
                <w:rFonts w:cs="Times New Roman"/>
              </w:rPr>
              <w:t>32.520.000</w:t>
            </w:r>
          </w:p>
        </w:tc>
        <w:tc>
          <w:tcPr>
            <w:tcW w:w="2041" w:type="dxa"/>
          </w:tcPr>
          <w:p w:rsidR="005C2091" w:rsidRDefault="00A86293">
            <w:pPr>
              <w:pStyle w:val="CellColumn"/>
              <w:jc w:val="right"/>
            </w:pPr>
            <w:r>
              <w:rPr>
                <w:rFonts w:cs="Times New Roman"/>
              </w:rPr>
              <w:t>32.520.000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101,6</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audiovizualnim djelatnostima (NN 76/07,90/11)  </w:t>
      </w:r>
    </w:p>
    <w:p w:rsidR="005C2091" w:rsidRDefault="00A86293">
      <w:r>
        <w:t xml:space="preserve">Pravilnik o postupku, kriterijima i rokovima za provedbu Nacionalnog programa promicanja audiovizualnog stvaralaštva (NN 144/14) čl. 10, čl. 11,  čl. 12, čl. 13, čl. 14, čl. 15  </w:t>
      </w:r>
    </w:p>
    <w:p w:rsidR="005C2091" w:rsidRDefault="00A86293">
      <w:r>
        <w:t>Pravilnik o statusu i financiranju Pulskog filmskog festivala ( NN 5/14 , NN 61/14)</w:t>
      </w:r>
    </w:p>
    <w:p w:rsidR="005C2091" w:rsidRDefault="00A86293">
      <w:pPr>
        <w:pStyle w:val="Heading8"/>
        <w:jc w:val="left"/>
      </w:pPr>
      <w:r>
        <w:t>Opis aktivnosti</w:t>
      </w:r>
    </w:p>
    <w:p w:rsidR="005C2091" w:rsidRDefault="00A86293">
      <w:r>
        <w:t>Programi HAVC-a obuhvaćaju potporu audiovizualnom stvaralaštvu, komplementarnim djelatnostima te međunarodnoj suradnji i promociji. U 2016. godini nije bilo odstupanja od plana.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10"/>
        <w:gridCol w:w="2515"/>
        <w:gridCol w:w="1012"/>
        <w:gridCol w:w="1020"/>
        <w:gridCol w:w="1015"/>
        <w:gridCol w:w="1114"/>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F24C48">
            <w:pPr>
              <w:pStyle w:val="CellColumn"/>
              <w:spacing w:after="0"/>
              <w:jc w:val="left"/>
            </w:pPr>
            <w:r>
              <w:rPr>
                <w:rFonts w:cs="Times New Roman"/>
              </w:rPr>
              <w:t xml:space="preserve">Održanje broja </w:t>
            </w:r>
          </w:p>
          <w:p w:rsidR="005C2091" w:rsidRDefault="00F24C48" w:rsidP="00F24C48">
            <w:pPr>
              <w:pStyle w:val="CellColumn"/>
              <w:spacing w:after="0"/>
              <w:jc w:val="left"/>
            </w:pPr>
            <w:r>
              <w:rPr>
                <w:rFonts w:cs="Times New Roman"/>
              </w:rPr>
              <w:t>realizirani</w:t>
            </w:r>
            <w:r w:rsidR="00A86293">
              <w:rPr>
                <w:rFonts w:cs="Times New Roman"/>
              </w:rPr>
              <w:t xml:space="preserve">h filmskih </w:t>
            </w:r>
            <w:r>
              <w:rPr>
                <w:rFonts w:cs="Times New Roman"/>
              </w:rPr>
              <w:t>naslova -dugometr</w:t>
            </w:r>
            <w:r w:rsidR="00A86293">
              <w:rPr>
                <w:rFonts w:cs="Times New Roman"/>
              </w:rPr>
              <w:t>ažni igrani film</w:t>
            </w:r>
          </w:p>
        </w:tc>
        <w:tc>
          <w:tcPr>
            <w:tcW w:w="2551" w:type="dxa"/>
          </w:tcPr>
          <w:p w:rsidR="005C2091" w:rsidRDefault="00F24C48" w:rsidP="00F24C48">
            <w:pPr>
              <w:pStyle w:val="CellColumn"/>
              <w:spacing w:after="0"/>
            </w:pPr>
            <w:r>
              <w:rPr>
                <w:rFonts w:cs="Times New Roman"/>
              </w:rPr>
              <w:t>Održanje</w:t>
            </w:r>
            <w:r w:rsidR="00A86293">
              <w:rPr>
                <w:rFonts w:cs="Times New Roman"/>
              </w:rPr>
              <w:t xml:space="preserve">m ukupne razine sredstava za </w:t>
            </w:r>
            <w:r>
              <w:rPr>
                <w:rFonts w:cs="Times New Roman"/>
              </w:rPr>
              <w:t>proizvodn</w:t>
            </w:r>
            <w:r w:rsidR="00A86293">
              <w:rPr>
                <w:rFonts w:cs="Times New Roman"/>
              </w:rPr>
              <w:t xml:space="preserve">ju i osiguranj em veće razine </w:t>
            </w:r>
            <w:r>
              <w:rPr>
                <w:rFonts w:cs="Times New Roman"/>
              </w:rPr>
              <w:t>sufinancir</w:t>
            </w:r>
            <w:r w:rsidR="00A86293">
              <w:rPr>
                <w:rFonts w:cs="Times New Roman"/>
              </w:rPr>
              <w:t xml:space="preserve">anja po </w:t>
            </w:r>
            <w:r>
              <w:rPr>
                <w:rFonts w:cs="Times New Roman"/>
              </w:rPr>
              <w:t xml:space="preserve">filmu doći </w:t>
            </w:r>
            <w:r w:rsidR="00A86293">
              <w:rPr>
                <w:rFonts w:cs="Times New Roman"/>
              </w:rPr>
              <w:t xml:space="preserve">će do stabilnog broja realizacije odobrenih </w:t>
            </w:r>
          </w:p>
          <w:p w:rsidR="005C2091" w:rsidRDefault="00A86293" w:rsidP="00F24C48">
            <w:pPr>
              <w:pStyle w:val="CellColumn"/>
              <w:spacing w:after="0"/>
            </w:pPr>
            <w:r>
              <w:rPr>
                <w:rFonts w:cs="Times New Roman"/>
              </w:rPr>
              <w:t>projekata</w:t>
            </w:r>
          </w:p>
        </w:tc>
        <w:tc>
          <w:tcPr>
            <w:tcW w:w="1020" w:type="dxa"/>
          </w:tcPr>
          <w:p w:rsidR="005C2091" w:rsidRDefault="00A86293" w:rsidP="00F24C48">
            <w:pPr>
              <w:pStyle w:val="CellColumn"/>
              <w:spacing w:after="0"/>
              <w:jc w:val="right"/>
            </w:pPr>
            <w:r>
              <w:rPr>
                <w:rFonts w:cs="Times New Roman"/>
              </w:rPr>
              <w:t>Broj</w:t>
            </w:r>
          </w:p>
        </w:tc>
        <w:tc>
          <w:tcPr>
            <w:tcW w:w="1020" w:type="dxa"/>
          </w:tcPr>
          <w:p w:rsidR="005C2091" w:rsidRDefault="00A86293" w:rsidP="00F24C48">
            <w:pPr>
              <w:pStyle w:val="CellColumn"/>
              <w:spacing w:after="0"/>
              <w:jc w:val="right"/>
            </w:pPr>
            <w:r>
              <w:rPr>
                <w:rFonts w:cs="Times New Roman"/>
              </w:rPr>
              <w:t>11</w:t>
            </w:r>
          </w:p>
        </w:tc>
        <w:tc>
          <w:tcPr>
            <w:tcW w:w="1020" w:type="dxa"/>
          </w:tcPr>
          <w:p w:rsidR="005C2091" w:rsidRDefault="00A86293" w:rsidP="00F24C48">
            <w:pPr>
              <w:pStyle w:val="CellColumn"/>
              <w:spacing w:after="0"/>
              <w:jc w:val="right"/>
            </w:pPr>
            <w:r>
              <w:rPr>
                <w:rFonts w:cs="Times New Roman"/>
              </w:rPr>
              <w:t>HAVC</w:t>
            </w:r>
          </w:p>
        </w:tc>
        <w:tc>
          <w:tcPr>
            <w:tcW w:w="1020" w:type="dxa"/>
          </w:tcPr>
          <w:p w:rsidR="005C2091" w:rsidRDefault="00A86293" w:rsidP="00F24C48">
            <w:pPr>
              <w:pStyle w:val="CellColumn"/>
              <w:spacing w:after="0"/>
              <w:jc w:val="right"/>
            </w:pPr>
            <w:r>
              <w:rPr>
                <w:rFonts w:cs="Times New Roman"/>
              </w:rPr>
              <w:t>13</w:t>
            </w:r>
          </w:p>
        </w:tc>
        <w:tc>
          <w:tcPr>
            <w:tcW w:w="1020" w:type="dxa"/>
          </w:tcPr>
          <w:p w:rsidR="005C2091" w:rsidRDefault="00A86293" w:rsidP="00F24C48">
            <w:pPr>
              <w:pStyle w:val="CellColumn"/>
              <w:spacing w:after="0"/>
              <w:jc w:val="right"/>
            </w:pPr>
            <w:r>
              <w:rPr>
                <w:rFonts w:cs="Times New Roman"/>
              </w:rPr>
              <w:t>10</w:t>
            </w:r>
          </w:p>
        </w:tc>
      </w:tr>
      <w:tr w:rsidR="005C2091">
        <w:trPr>
          <w:jc w:val="center"/>
        </w:trPr>
        <w:tc>
          <w:tcPr>
            <w:tcW w:w="2551" w:type="dxa"/>
          </w:tcPr>
          <w:p w:rsidR="005C2091" w:rsidRDefault="00A86293" w:rsidP="00F24C48">
            <w:pPr>
              <w:pStyle w:val="CellColumn"/>
              <w:spacing w:after="0"/>
              <w:jc w:val="left"/>
            </w:pPr>
            <w:r>
              <w:rPr>
                <w:rFonts w:cs="Times New Roman"/>
              </w:rPr>
              <w:t xml:space="preserve">Održanje broja sufinancir </w:t>
            </w:r>
          </w:p>
          <w:p w:rsidR="005C2091" w:rsidRDefault="00A86293" w:rsidP="00F24C48">
            <w:pPr>
              <w:pStyle w:val="CellColumn"/>
              <w:spacing w:after="0"/>
              <w:jc w:val="left"/>
            </w:pPr>
            <w:r>
              <w:rPr>
                <w:rFonts w:cs="Times New Roman"/>
              </w:rPr>
              <w:t xml:space="preserve">anih filmskih festivala i </w:t>
            </w:r>
          </w:p>
          <w:p w:rsidR="005C2091" w:rsidRDefault="00F24C48" w:rsidP="00F24C48">
            <w:pPr>
              <w:pStyle w:val="CellColumn"/>
              <w:spacing w:after="0"/>
              <w:jc w:val="left"/>
            </w:pPr>
            <w:r>
              <w:rPr>
                <w:rFonts w:cs="Times New Roman"/>
              </w:rPr>
              <w:t>audiovizu</w:t>
            </w:r>
            <w:r w:rsidR="00A86293">
              <w:rPr>
                <w:rFonts w:cs="Times New Roman"/>
              </w:rPr>
              <w:t xml:space="preserve">alnih </w:t>
            </w:r>
            <w:r>
              <w:rPr>
                <w:rFonts w:cs="Times New Roman"/>
              </w:rPr>
              <w:t>manifesta</w:t>
            </w:r>
            <w:r w:rsidR="00A86293">
              <w:rPr>
                <w:rFonts w:cs="Times New Roman"/>
              </w:rPr>
              <w:t>cija u zemlji</w:t>
            </w:r>
          </w:p>
        </w:tc>
        <w:tc>
          <w:tcPr>
            <w:tcW w:w="2551" w:type="dxa"/>
          </w:tcPr>
          <w:p w:rsidR="005C2091" w:rsidRDefault="00F24C48" w:rsidP="00F24C48">
            <w:pPr>
              <w:pStyle w:val="CellColumn"/>
              <w:spacing w:after="0"/>
              <w:jc w:val="left"/>
            </w:pPr>
            <w:r>
              <w:rPr>
                <w:rFonts w:cs="Times New Roman"/>
              </w:rPr>
              <w:t>Povećanj</w:t>
            </w:r>
            <w:r w:rsidR="00A86293">
              <w:rPr>
                <w:rFonts w:cs="Times New Roman"/>
              </w:rPr>
              <w:t xml:space="preserve">em ukupnih </w:t>
            </w:r>
          </w:p>
          <w:p w:rsidR="005C2091" w:rsidRDefault="00A86293" w:rsidP="00F24C48">
            <w:pPr>
              <w:pStyle w:val="CellColumn"/>
              <w:spacing w:after="0"/>
              <w:jc w:val="left"/>
            </w:pPr>
            <w:r>
              <w:rPr>
                <w:rFonts w:cs="Times New Roman"/>
              </w:rPr>
              <w:t xml:space="preserve">sredstava </w:t>
            </w:r>
            <w:r w:rsidR="00F24C48">
              <w:rPr>
                <w:rFonts w:cs="Times New Roman"/>
              </w:rPr>
              <w:t>namijenje</w:t>
            </w:r>
            <w:r>
              <w:rPr>
                <w:rFonts w:cs="Times New Roman"/>
              </w:rPr>
              <w:t xml:space="preserve">nih </w:t>
            </w:r>
          </w:p>
          <w:p w:rsidR="005C2091" w:rsidRDefault="00A86293" w:rsidP="00F24C48">
            <w:pPr>
              <w:pStyle w:val="CellColumn"/>
              <w:spacing w:after="0"/>
              <w:jc w:val="left"/>
            </w:pPr>
            <w:r>
              <w:rPr>
                <w:rFonts w:cs="Times New Roman"/>
              </w:rPr>
              <w:t xml:space="preserve">filmskim </w:t>
            </w:r>
            <w:r w:rsidR="00F24C48">
              <w:rPr>
                <w:rFonts w:cs="Times New Roman"/>
              </w:rPr>
              <w:t>festivalim</w:t>
            </w:r>
            <w:r>
              <w:rPr>
                <w:rFonts w:cs="Times New Roman"/>
              </w:rPr>
              <w:t xml:space="preserve">a i </w:t>
            </w:r>
            <w:r w:rsidR="00F24C48">
              <w:rPr>
                <w:rFonts w:cs="Times New Roman"/>
              </w:rPr>
              <w:t>audiovizu</w:t>
            </w:r>
            <w:r>
              <w:rPr>
                <w:rFonts w:cs="Times New Roman"/>
              </w:rPr>
              <w:t xml:space="preserve">alnim </w:t>
            </w:r>
            <w:r w:rsidR="00F24C48">
              <w:rPr>
                <w:rFonts w:cs="Times New Roman"/>
              </w:rPr>
              <w:t>manifesta</w:t>
            </w:r>
            <w:r>
              <w:rPr>
                <w:rFonts w:cs="Times New Roman"/>
              </w:rPr>
              <w:t xml:space="preserve">cijama u zemlji, osigurat će se </w:t>
            </w:r>
            <w:r w:rsidR="00F24C48">
              <w:rPr>
                <w:rFonts w:cs="Times New Roman"/>
              </w:rPr>
              <w:t>kontinuite</w:t>
            </w:r>
            <w:r>
              <w:rPr>
                <w:rFonts w:cs="Times New Roman"/>
              </w:rPr>
              <w:t>t</w:t>
            </w:r>
          </w:p>
        </w:tc>
        <w:tc>
          <w:tcPr>
            <w:tcW w:w="1020" w:type="dxa"/>
          </w:tcPr>
          <w:p w:rsidR="005C2091" w:rsidRDefault="00A86293" w:rsidP="00F24C48">
            <w:pPr>
              <w:pStyle w:val="CellColumn"/>
              <w:spacing w:after="0"/>
              <w:jc w:val="right"/>
            </w:pPr>
            <w:r>
              <w:rPr>
                <w:rFonts w:cs="Times New Roman"/>
              </w:rPr>
              <w:t>Broj</w:t>
            </w:r>
          </w:p>
        </w:tc>
        <w:tc>
          <w:tcPr>
            <w:tcW w:w="1020" w:type="dxa"/>
          </w:tcPr>
          <w:p w:rsidR="005C2091" w:rsidRDefault="00A86293" w:rsidP="00F24C48">
            <w:pPr>
              <w:pStyle w:val="CellColumn"/>
              <w:spacing w:after="0"/>
              <w:jc w:val="right"/>
            </w:pPr>
            <w:r>
              <w:rPr>
                <w:rFonts w:cs="Times New Roman"/>
              </w:rPr>
              <w:t>56</w:t>
            </w:r>
          </w:p>
        </w:tc>
        <w:tc>
          <w:tcPr>
            <w:tcW w:w="1020" w:type="dxa"/>
          </w:tcPr>
          <w:p w:rsidR="005C2091" w:rsidRDefault="00A86293" w:rsidP="00F24C48">
            <w:pPr>
              <w:pStyle w:val="CellColumn"/>
              <w:spacing w:after="0"/>
              <w:jc w:val="right"/>
            </w:pPr>
            <w:r>
              <w:rPr>
                <w:rFonts w:cs="Times New Roman"/>
              </w:rPr>
              <w:t>HAVC</w:t>
            </w:r>
          </w:p>
        </w:tc>
        <w:tc>
          <w:tcPr>
            <w:tcW w:w="1020" w:type="dxa"/>
          </w:tcPr>
          <w:p w:rsidR="005C2091" w:rsidRDefault="00A86293" w:rsidP="00F24C48">
            <w:pPr>
              <w:pStyle w:val="CellColumn"/>
              <w:spacing w:after="0"/>
              <w:jc w:val="right"/>
            </w:pPr>
            <w:r>
              <w:rPr>
                <w:rFonts w:cs="Times New Roman"/>
              </w:rPr>
              <w:t>56</w:t>
            </w:r>
          </w:p>
        </w:tc>
        <w:tc>
          <w:tcPr>
            <w:tcW w:w="1020" w:type="dxa"/>
          </w:tcPr>
          <w:p w:rsidR="005C2091" w:rsidRDefault="00A86293" w:rsidP="00F24C48">
            <w:pPr>
              <w:pStyle w:val="CellColumn"/>
              <w:spacing w:after="0"/>
              <w:jc w:val="right"/>
            </w:pPr>
            <w:r>
              <w:rPr>
                <w:rFonts w:cs="Times New Roman"/>
              </w:rPr>
              <w:t>59</w:t>
            </w:r>
          </w:p>
        </w:tc>
      </w:tr>
      <w:tr w:rsidR="005C2091">
        <w:trPr>
          <w:jc w:val="center"/>
        </w:trPr>
        <w:tc>
          <w:tcPr>
            <w:tcW w:w="2551" w:type="dxa"/>
          </w:tcPr>
          <w:p w:rsidR="005C2091" w:rsidRDefault="00A86293" w:rsidP="00F24C48">
            <w:pPr>
              <w:pStyle w:val="CellColumn"/>
              <w:spacing w:after="0"/>
              <w:jc w:val="left"/>
            </w:pPr>
            <w:r>
              <w:rPr>
                <w:rFonts w:cs="Times New Roman"/>
              </w:rPr>
              <w:t xml:space="preserve">Povećanje broja </w:t>
            </w:r>
          </w:p>
          <w:p w:rsidR="005C2091" w:rsidRDefault="00A86293" w:rsidP="00F24C48">
            <w:pPr>
              <w:pStyle w:val="CellColumn"/>
              <w:spacing w:after="0"/>
              <w:jc w:val="left"/>
            </w:pPr>
            <w:r>
              <w:rPr>
                <w:rFonts w:cs="Times New Roman"/>
              </w:rPr>
              <w:t xml:space="preserve">obnovljenih kulturno vrijednih </w:t>
            </w:r>
            <w:r w:rsidR="00F24C48">
              <w:rPr>
                <w:rFonts w:cs="Times New Roman"/>
              </w:rPr>
              <w:t xml:space="preserve">naslova </w:t>
            </w:r>
            <w:r>
              <w:rPr>
                <w:rFonts w:cs="Times New Roman"/>
              </w:rPr>
              <w:t>fotokemijska restauracija -svi rodovi i vrste</w:t>
            </w:r>
          </w:p>
        </w:tc>
        <w:tc>
          <w:tcPr>
            <w:tcW w:w="2551" w:type="dxa"/>
          </w:tcPr>
          <w:p w:rsidR="005C2091" w:rsidRDefault="00A86293" w:rsidP="00F24C48">
            <w:pPr>
              <w:pStyle w:val="CellColumn"/>
              <w:spacing w:after="0"/>
              <w:jc w:val="left"/>
            </w:pPr>
            <w:r>
              <w:rPr>
                <w:rFonts w:cs="Times New Roman"/>
              </w:rPr>
              <w:t>Pove</w:t>
            </w:r>
            <w:r w:rsidR="00F24C48">
              <w:rPr>
                <w:rFonts w:cs="Times New Roman"/>
              </w:rPr>
              <w:t>ćanj</w:t>
            </w:r>
            <w:r>
              <w:rPr>
                <w:rFonts w:cs="Times New Roman"/>
              </w:rPr>
              <w:t xml:space="preserve">em ukupnih </w:t>
            </w:r>
          </w:p>
          <w:p w:rsidR="005C2091" w:rsidRDefault="00A86293" w:rsidP="00F24C48">
            <w:pPr>
              <w:pStyle w:val="CellColumn"/>
              <w:spacing w:after="0"/>
              <w:jc w:val="left"/>
            </w:pPr>
            <w:r>
              <w:rPr>
                <w:rFonts w:cs="Times New Roman"/>
              </w:rPr>
              <w:t xml:space="preserve">sredstava </w:t>
            </w:r>
            <w:r w:rsidR="00F24C48">
              <w:rPr>
                <w:rFonts w:cs="Times New Roman"/>
              </w:rPr>
              <w:t>naminjeni</w:t>
            </w:r>
            <w:r>
              <w:rPr>
                <w:rFonts w:cs="Times New Roman"/>
              </w:rPr>
              <w:t xml:space="preserve">h obnovi </w:t>
            </w:r>
          </w:p>
          <w:p w:rsidR="005C2091" w:rsidRDefault="00A86293" w:rsidP="00F24C48">
            <w:pPr>
              <w:pStyle w:val="CellColumn"/>
              <w:spacing w:after="0"/>
              <w:jc w:val="left"/>
            </w:pPr>
            <w:r>
              <w:rPr>
                <w:rFonts w:cs="Times New Roman"/>
              </w:rPr>
              <w:t xml:space="preserve">kulturno vrijednog domaćeg </w:t>
            </w:r>
          </w:p>
          <w:p w:rsidR="005C2091" w:rsidRDefault="00A86293" w:rsidP="00F24C48">
            <w:pPr>
              <w:pStyle w:val="CellColumn"/>
              <w:spacing w:after="0"/>
              <w:jc w:val="left"/>
            </w:pPr>
            <w:r>
              <w:rPr>
                <w:rFonts w:cs="Times New Roman"/>
              </w:rPr>
              <w:t xml:space="preserve">nasljeđa u okviru djelatnosti </w:t>
            </w:r>
          </w:p>
          <w:p w:rsidR="005C2091" w:rsidRDefault="00A86293" w:rsidP="00F24C48">
            <w:pPr>
              <w:pStyle w:val="CellColumn"/>
              <w:spacing w:after="0"/>
              <w:jc w:val="left"/>
            </w:pPr>
            <w:r>
              <w:rPr>
                <w:rFonts w:cs="Times New Roman"/>
              </w:rPr>
              <w:t xml:space="preserve">Kinoteke Hrvatske povećat će se broj </w:t>
            </w:r>
            <w:r w:rsidR="00F24C48">
              <w:rPr>
                <w:rFonts w:cs="Times New Roman"/>
              </w:rPr>
              <w:t xml:space="preserve">obnovljenih </w:t>
            </w:r>
            <w:r>
              <w:rPr>
                <w:rFonts w:cs="Times New Roman"/>
              </w:rPr>
              <w:t xml:space="preserve">vrijednih naslova iz domaće </w:t>
            </w:r>
          </w:p>
          <w:p w:rsidR="005C2091" w:rsidRDefault="00F24C48" w:rsidP="00F24C48">
            <w:pPr>
              <w:pStyle w:val="CellColumn"/>
              <w:spacing w:after="0"/>
              <w:jc w:val="left"/>
            </w:pPr>
            <w:r>
              <w:rPr>
                <w:rFonts w:cs="Times New Roman"/>
              </w:rPr>
              <w:t>audiovizu</w:t>
            </w:r>
            <w:r w:rsidR="00A86293">
              <w:rPr>
                <w:rFonts w:cs="Times New Roman"/>
              </w:rPr>
              <w:t>alne baštine</w:t>
            </w:r>
          </w:p>
        </w:tc>
        <w:tc>
          <w:tcPr>
            <w:tcW w:w="1020" w:type="dxa"/>
          </w:tcPr>
          <w:p w:rsidR="005C2091" w:rsidRDefault="00A86293" w:rsidP="00F24C48">
            <w:pPr>
              <w:pStyle w:val="CellColumn"/>
              <w:spacing w:after="0"/>
              <w:jc w:val="right"/>
            </w:pPr>
            <w:r>
              <w:rPr>
                <w:rFonts w:cs="Times New Roman"/>
              </w:rPr>
              <w:t>Broj</w:t>
            </w:r>
          </w:p>
        </w:tc>
        <w:tc>
          <w:tcPr>
            <w:tcW w:w="1020" w:type="dxa"/>
          </w:tcPr>
          <w:p w:rsidR="005C2091" w:rsidRDefault="00A86293" w:rsidP="00F24C48">
            <w:pPr>
              <w:pStyle w:val="CellColumn"/>
              <w:spacing w:after="0"/>
              <w:jc w:val="right"/>
            </w:pPr>
            <w:r>
              <w:rPr>
                <w:rFonts w:cs="Times New Roman"/>
              </w:rPr>
              <w:t>0</w:t>
            </w:r>
          </w:p>
        </w:tc>
        <w:tc>
          <w:tcPr>
            <w:tcW w:w="1020" w:type="dxa"/>
          </w:tcPr>
          <w:p w:rsidR="005C2091" w:rsidRDefault="00A86293" w:rsidP="00F24C48">
            <w:pPr>
              <w:pStyle w:val="CellColumn"/>
              <w:spacing w:after="0"/>
              <w:jc w:val="right"/>
            </w:pPr>
            <w:r>
              <w:rPr>
                <w:rFonts w:cs="Times New Roman"/>
              </w:rPr>
              <w:t>Hrvatska kinoteka, HAVC</w:t>
            </w:r>
          </w:p>
        </w:tc>
        <w:tc>
          <w:tcPr>
            <w:tcW w:w="1020" w:type="dxa"/>
          </w:tcPr>
          <w:p w:rsidR="005C2091" w:rsidRDefault="00A86293" w:rsidP="00F24C48">
            <w:pPr>
              <w:pStyle w:val="CellColumn"/>
              <w:spacing w:after="0"/>
              <w:jc w:val="right"/>
            </w:pPr>
            <w:r>
              <w:rPr>
                <w:rFonts w:cs="Times New Roman"/>
              </w:rPr>
              <w:t>15</w:t>
            </w:r>
          </w:p>
        </w:tc>
        <w:tc>
          <w:tcPr>
            <w:tcW w:w="1020" w:type="dxa"/>
          </w:tcPr>
          <w:p w:rsidR="005C2091" w:rsidRDefault="00A86293" w:rsidP="00F24C48">
            <w:pPr>
              <w:pStyle w:val="CellColumn"/>
              <w:spacing w:after="0"/>
              <w:jc w:val="right"/>
            </w:pPr>
            <w:r>
              <w:rPr>
                <w:rFonts w:cs="Times New Roman"/>
              </w:rPr>
              <w:t>n/p</w:t>
            </w:r>
          </w:p>
        </w:tc>
      </w:tr>
      <w:tr w:rsidR="005C2091">
        <w:trPr>
          <w:jc w:val="center"/>
        </w:trPr>
        <w:tc>
          <w:tcPr>
            <w:tcW w:w="2551" w:type="dxa"/>
          </w:tcPr>
          <w:p w:rsidR="005C2091" w:rsidRDefault="00A86293">
            <w:pPr>
              <w:pStyle w:val="CellColumn"/>
              <w:jc w:val="left"/>
            </w:pPr>
            <w:r>
              <w:rPr>
                <w:rFonts w:cs="Times New Roman"/>
              </w:rPr>
              <w:t>Povećanje lokalne potrošnje filmskih i televizijskih ekipa koje Hrvatsku koriste kao destinaciju za snimanje</w:t>
            </w:r>
          </w:p>
        </w:tc>
        <w:tc>
          <w:tcPr>
            <w:tcW w:w="2551" w:type="dxa"/>
          </w:tcPr>
          <w:p w:rsidR="005C2091" w:rsidRDefault="00A86293">
            <w:pPr>
              <w:pStyle w:val="CellColumn"/>
              <w:jc w:val="left"/>
            </w:pPr>
            <w:r>
              <w:rPr>
                <w:rFonts w:cs="Times New Roman"/>
              </w:rPr>
              <w:t>Izradom, usvajanjem i provedbom paketa regulativnih, fiskalnih i promidžbenih mjera Hrvatska će se pozicionirati ponovno kao zemlja destinacija za snimanja</w:t>
            </w:r>
          </w:p>
        </w:tc>
        <w:tc>
          <w:tcPr>
            <w:tcW w:w="1020" w:type="dxa"/>
          </w:tcPr>
          <w:p w:rsidR="005C2091" w:rsidRDefault="00A86293">
            <w:pPr>
              <w:pStyle w:val="CellColumn"/>
              <w:jc w:val="right"/>
            </w:pPr>
            <w:r>
              <w:rPr>
                <w:rFonts w:cs="Times New Roman"/>
              </w:rPr>
              <w:t>HRK</w:t>
            </w:r>
          </w:p>
        </w:tc>
        <w:tc>
          <w:tcPr>
            <w:tcW w:w="1020" w:type="dxa"/>
          </w:tcPr>
          <w:p w:rsidR="005C2091" w:rsidRDefault="00A86293">
            <w:pPr>
              <w:pStyle w:val="CellColumn"/>
              <w:jc w:val="right"/>
            </w:pPr>
            <w:r>
              <w:rPr>
                <w:rFonts w:cs="Times New Roman"/>
              </w:rPr>
              <w:t>82.877.548</w:t>
            </w:r>
          </w:p>
        </w:tc>
        <w:tc>
          <w:tcPr>
            <w:tcW w:w="1020" w:type="dxa"/>
          </w:tcPr>
          <w:p w:rsidR="005C2091" w:rsidRDefault="00A86293">
            <w:pPr>
              <w:pStyle w:val="CellColumn"/>
              <w:jc w:val="right"/>
            </w:pPr>
            <w:r>
              <w:rPr>
                <w:rFonts w:cs="Times New Roman"/>
              </w:rPr>
              <w:t>HAVC</w:t>
            </w:r>
          </w:p>
        </w:tc>
        <w:tc>
          <w:tcPr>
            <w:tcW w:w="1020" w:type="dxa"/>
          </w:tcPr>
          <w:p w:rsidR="005C2091" w:rsidRDefault="00A86293">
            <w:pPr>
              <w:pStyle w:val="CellColumn"/>
              <w:jc w:val="right"/>
            </w:pPr>
            <w:r>
              <w:rPr>
                <w:rFonts w:cs="Times New Roman"/>
              </w:rPr>
              <w:t>191.469.411</w:t>
            </w:r>
          </w:p>
        </w:tc>
        <w:tc>
          <w:tcPr>
            <w:tcW w:w="1020" w:type="dxa"/>
          </w:tcPr>
          <w:p w:rsidR="005C2091" w:rsidRDefault="00A86293">
            <w:pPr>
              <w:pStyle w:val="CellColumn"/>
              <w:jc w:val="right"/>
            </w:pPr>
            <w:r>
              <w:rPr>
                <w:rFonts w:cs="Times New Roman"/>
              </w:rPr>
              <w:t>67.942.931</w:t>
            </w:r>
          </w:p>
        </w:tc>
      </w:tr>
    </w:tbl>
    <w:p w:rsidR="005C2091" w:rsidRDefault="005C2091">
      <w:pPr>
        <w:jc w:val="left"/>
      </w:pPr>
    </w:p>
    <w:p w:rsidR="005C2091" w:rsidRDefault="00A86293">
      <w:pPr>
        <w:pStyle w:val="Heading3"/>
      </w:pPr>
      <w:r>
        <w:rPr>
          <w:rFonts w:cs="Times New Roman"/>
        </w:rPr>
        <w:t>45189 Međunarodni centar za podvodnu arheologiju</w:t>
      </w:r>
    </w:p>
    <w:p w:rsidR="005C2091" w:rsidRDefault="00A86293">
      <w:r>
        <w:t>Međunarodni centar za podvodnu arheologiju bavi se očuvanjem i promocijom podvodne kulturne baštine Hrvatske, jugoistočne Europe i Sredozemlja. Primarna mu je zadaća zaštita, proučavanje i očuvanje podvodne kulturne baštine u Republici Hrvatskoj, razvitak međunarodne stručno - znanstvene suradnje i edukacije u polju podvodne arheologije te popularizacija i predstavljanje podvodne baštine stručnoj i široj javnosti, provođenje aktivnosti obrazovanja u polju istraživanja, konzerviranja i restauriranja podvodne kulturne baštine.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45189-Međunarodni centar za podvodnu arheologiju</w:t>
            </w:r>
          </w:p>
        </w:tc>
        <w:tc>
          <w:tcPr>
            <w:tcW w:w="2041" w:type="dxa"/>
          </w:tcPr>
          <w:p w:rsidR="005C2091" w:rsidRDefault="00A86293">
            <w:pPr>
              <w:pStyle w:val="CellColumn"/>
              <w:jc w:val="right"/>
            </w:pPr>
            <w:r>
              <w:rPr>
                <w:rFonts w:cs="Times New Roman"/>
              </w:rPr>
              <w:t>1.830.968</w:t>
            </w:r>
          </w:p>
        </w:tc>
        <w:tc>
          <w:tcPr>
            <w:tcW w:w="2041" w:type="dxa"/>
          </w:tcPr>
          <w:p w:rsidR="005C2091" w:rsidRDefault="00A86293">
            <w:pPr>
              <w:pStyle w:val="CellColumn"/>
              <w:jc w:val="right"/>
            </w:pPr>
            <w:r>
              <w:rPr>
                <w:rFonts w:cs="Times New Roman"/>
              </w:rPr>
              <w:t>2.141.232</w:t>
            </w:r>
          </w:p>
        </w:tc>
        <w:tc>
          <w:tcPr>
            <w:tcW w:w="2041" w:type="dxa"/>
          </w:tcPr>
          <w:p w:rsidR="005C2091" w:rsidRDefault="00A86293">
            <w:pPr>
              <w:pStyle w:val="CellColumn"/>
              <w:jc w:val="right"/>
            </w:pPr>
            <w:r>
              <w:rPr>
                <w:rFonts w:cs="Times New Roman"/>
              </w:rPr>
              <w:t>2.247.181</w:t>
            </w:r>
          </w:p>
        </w:tc>
        <w:tc>
          <w:tcPr>
            <w:tcW w:w="1224" w:type="dxa"/>
          </w:tcPr>
          <w:p w:rsidR="005C2091" w:rsidRDefault="00A86293">
            <w:pPr>
              <w:pStyle w:val="CellColumn"/>
              <w:jc w:val="right"/>
            </w:pPr>
            <w:r>
              <w:rPr>
                <w:rFonts w:cs="Times New Roman"/>
              </w:rPr>
              <w:t>104,9</w:t>
            </w:r>
          </w:p>
        </w:tc>
        <w:tc>
          <w:tcPr>
            <w:tcW w:w="1224" w:type="dxa"/>
          </w:tcPr>
          <w:p w:rsidR="005C2091" w:rsidRDefault="00A86293">
            <w:pPr>
              <w:pStyle w:val="CellColumn"/>
              <w:jc w:val="right"/>
            </w:pPr>
            <w:r>
              <w:rPr>
                <w:rFonts w:cs="Times New Roman"/>
              </w:rPr>
              <w:t>122,7</w:t>
            </w:r>
          </w:p>
        </w:tc>
      </w:tr>
      <w:tr w:rsidR="005C2091">
        <w:trPr>
          <w:jc w:val="center"/>
        </w:trPr>
        <w:tc>
          <w:tcPr>
            <w:tcW w:w="1632" w:type="dxa"/>
          </w:tcPr>
          <w:p w:rsidR="005C2091" w:rsidRDefault="00A86293">
            <w:pPr>
              <w:jc w:val="left"/>
            </w:pPr>
            <w:r>
              <w:t>3908-ZAŠTITA KULTURNIH DOBARA</w:t>
            </w:r>
          </w:p>
        </w:tc>
        <w:tc>
          <w:tcPr>
            <w:tcW w:w="2041" w:type="dxa"/>
          </w:tcPr>
          <w:p w:rsidR="005C2091" w:rsidRDefault="00A86293">
            <w:pPr>
              <w:jc w:val="right"/>
            </w:pPr>
            <w:r>
              <w:t>1.830.968</w:t>
            </w:r>
          </w:p>
        </w:tc>
        <w:tc>
          <w:tcPr>
            <w:tcW w:w="2041" w:type="dxa"/>
          </w:tcPr>
          <w:p w:rsidR="005C2091" w:rsidRDefault="00A86293">
            <w:pPr>
              <w:jc w:val="right"/>
            </w:pPr>
            <w:r>
              <w:t>2.141.232</w:t>
            </w:r>
          </w:p>
        </w:tc>
        <w:tc>
          <w:tcPr>
            <w:tcW w:w="2041" w:type="dxa"/>
          </w:tcPr>
          <w:p w:rsidR="005C2091" w:rsidRDefault="00A86293">
            <w:pPr>
              <w:jc w:val="right"/>
            </w:pPr>
            <w:r>
              <w:t>2.247.181</w:t>
            </w:r>
          </w:p>
        </w:tc>
        <w:tc>
          <w:tcPr>
            <w:tcW w:w="1224" w:type="dxa"/>
          </w:tcPr>
          <w:p w:rsidR="005C2091" w:rsidRDefault="00A86293">
            <w:pPr>
              <w:jc w:val="right"/>
            </w:pPr>
            <w:r>
              <w:t>104,9</w:t>
            </w:r>
          </w:p>
        </w:tc>
        <w:tc>
          <w:tcPr>
            <w:tcW w:w="1224" w:type="dxa"/>
          </w:tcPr>
          <w:p w:rsidR="005C2091" w:rsidRDefault="00A86293">
            <w:pPr>
              <w:jc w:val="right"/>
            </w:pPr>
            <w:r>
              <w:t>122,7</w:t>
            </w:r>
          </w:p>
        </w:tc>
      </w:tr>
    </w:tbl>
    <w:p w:rsidR="005C2091" w:rsidRDefault="005C2091">
      <w:pPr>
        <w:jc w:val="left"/>
      </w:pPr>
    </w:p>
    <w:p w:rsidR="005C2091" w:rsidRDefault="00A86293">
      <w:pPr>
        <w:pStyle w:val="Heading3"/>
      </w:pPr>
      <w:r>
        <w:rPr>
          <w:rFonts w:cs="Times New Roman"/>
        </w:rPr>
        <w:t>3908 ZAŠTITA KULTURNIH DOBARA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3908-ZAŠTITA KULTURNIH DOBARA</w:t>
            </w:r>
          </w:p>
        </w:tc>
        <w:tc>
          <w:tcPr>
            <w:tcW w:w="2041" w:type="dxa"/>
          </w:tcPr>
          <w:p w:rsidR="005C2091" w:rsidRDefault="00A86293">
            <w:pPr>
              <w:pStyle w:val="CellColumn"/>
              <w:jc w:val="right"/>
            </w:pPr>
            <w:r>
              <w:rPr>
                <w:rFonts w:cs="Times New Roman"/>
              </w:rPr>
              <w:t>1.830.968</w:t>
            </w:r>
          </w:p>
        </w:tc>
        <w:tc>
          <w:tcPr>
            <w:tcW w:w="2041" w:type="dxa"/>
          </w:tcPr>
          <w:p w:rsidR="005C2091" w:rsidRDefault="00A86293">
            <w:pPr>
              <w:pStyle w:val="CellColumn"/>
              <w:jc w:val="right"/>
            </w:pPr>
            <w:r>
              <w:rPr>
                <w:rFonts w:cs="Times New Roman"/>
              </w:rPr>
              <w:t>2.141.232</w:t>
            </w:r>
          </w:p>
        </w:tc>
        <w:tc>
          <w:tcPr>
            <w:tcW w:w="2041" w:type="dxa"/>
          </w:tcPr>
          <w:p w:rsidR="005C2091" w:rsidRDefault="00A86293">
            <w:pPr>
              <w:pStyle w:val="CellColumn"/>
              <w:jc w:val="right"/>
            </w:pPr>
            <w:r>
              <w:rPr>
                <w:rFonts w:cs="Times New Roman"/>
              </w:rPr>
              <w:t>2.247.181</w:t>
            </w:r>
          </w:p>
        </w:tc>
        <w:tc>
          <w:tcPr>
            <w:tcW w:w="1224" w:type="dxa"/>
          </w:tcPr>
          <w:p w:rsidR="005C2091" w:rsidRDefault="00A86293">
            <w:pPr>
              <w:pStyle w:val="CellColumn"/>
              <w:jc w:val="right"/>
            </w:pPr>
            <w:r>
              <w:rPr>
                <w:rFonts w:cs="Times New Roman"/>
              </w:rPr>
              <w:t>104,9</w:t>
            </w:r>
          </w:p>
        </w:tc>
        <w:tc>
          <w:tcPr>
            <w:tcW w:w="1224" w:type="dxa"/>
          </w:tcPr>
          <w:p w:rsidR="005C2091" w:rsidRDefault="00A86293">
            <w:pPr>
              <w:pStyle w:val="CellColumn"/>
              <w:jc w:val="right"/>
            </w:pPr>
            <w:r>
              <w:rPr>
                <w:rFonts w:cs="Times New Roman"/>
              </w:rPr>
              <w:t>122,7</w:t>
            </w:r>
          </w:p>
        </w:tc>
      </w:tr>
    </w:tbl>
    <w:p w:rsidR="005C2091" w:rsidRDefault="005C2091">
      <w:pPr>
        <w:jc w:val="left"/>
      </w:pPr>
    </w:p>
    <w:p w:rsidR="005C2091" w:rsidRDefault="00A86293">
      <w:r>
        <w:t>Program zaštite kulturnih dobara odnosi se na rekognisciranje, istraživanje i zaštitu podvodnih arheoloških nalazišta u Republici Hrvatskoj.</w:t>
      </w:r>
    </w:p>
    <w:p w:rsidR="005C2091" w:rsidRDefault="00A86293">
      <w:pPr>
        <w:pStyle w:val="Heading4"/>
      </w:pPr>
      <w:r>
        <w:t>A843001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A843001-ADMINISTRACIJA I UPRAVLJANJE</w:t>
            </w:r>
          </w:p>
        </w:tc>
        <w:tc>
          <w:tcPr>
            <w:tcW w:w="2041" w:type="dxa"/>
          </w:tcPr>
          <w:p w:rsidR="005C2091" w:rsidRDefault="00A86293">
            <w:pPr>
              <w:pStyle w:val="CellColumn"/>
              <w:jc w:val="right"/>
            </w:pPr>
            <w:r>
              <w:rPr>
                <w:rFonts w:cs="Times New Roman"/>
              </w:rPr>
              <w:t>1.466.230</w:t>
            </w:r>
          </w:p>
        </w:tc>
        <w:tc>
          <w:tcPr>
            <w:tcW w:w="2041" w:type="dxa"/>
          </w:tcPr>
          <w:p w:rsidR="005C2091" w:rsidRDefault="00A86293">
            <w:pPr>
              <w:pStyle w:val="CellColumn"/>
              <w:jc w:val="right"/>
            </w:pPr>
            <w:r>
              <w:rPr>
                <w:rFonts w:cs="Times New Roman"/>
              </w:rPr>
              <w:t>1.441.232</w:t>
            </w:r>
          </w:p>
        </w:tc>
        <w:tc>
          <w:tcPr>
            <w:tcW w:w="2041" w:type="dxa"/>
          </w:tcPr>
          <w:p w:rsidR="005C2091" w:rsidRDefault="00A86293">
            <w:pPr>
              <w:pStyle w:val="CellColumn"/>
              <w:jc w:val="right"/>
            </w:pPr>
            <w:r>
              <w:rPr>
                <w:rFonts w:cs="Times New Roman"/>
              </w:rPr>
              <w:t>1.547.249</w:t>
            </w:r>
          </w:p>
        </w:tc>
        <w:tc>
          <w:tcPr>
            <w:tcW w:w="1224" w:type="dxa"/>
          </w:tcPr>
          <w:p w:rsidR="005C2091" w:rsidRDefault="00A86293">
            <w:pPr>
              <w:pStyle w:val="CellColumn"/>
              <w:jc w:val="right"/>
            </w:pPr>
            <w:r>
              <w:rPr>
                <w:rFonts w:cs="Times New Roman"/>
              </w:rPr>
              <w:t>107,4</w:t>
            </w:r>
          </w:p>
        </w:tc>
        <w:tc>
          <w:tcPr>
            <w:tcW w:w="1224" w:type="dxa"/>
          </w:tcPr>
          <w:p w:rsidR="005C2091" w:rsidRDefault="00A86293">
            <w:pPr>
              <w:pStyle w:val="CellColumn"/>
              <w:jc w:val="right"/>
            </w:pPr>
            <w:r>
              <w:rPr>
                <w:rFonts w:cs="Times New Roman"/>
              </w:rPr>
              <w:t>105,5</w:t>
            </w:r>
          </w:p>
        </w:tc>
      </w:tr>
    </w:tbl>
    <w:p w:rsidR="005C2091" w:rsidRDefault="005C2091">
      <w:pPr>
        <w:jc w:val="left"/>
      </w:pPr>
    </w:p>
    <w:p w:rsidR="005C2091" w:rsidRDefault="00A86293">
      <w:pPr>
        <w:pStyle w:val="Heading8"/>
        <w:jc w:val="left"/>
      </w:pPr>
      <w:r>
        <w:t>Zakonske i druge pravne osnove</w:t>
      </w:r>
    </w:p>
    <w:p w:rsidR="005C2091" w:rsidRDefault="00A86293">
      <w:r>
        <w:t>Uredba o osnivanju Međunarodnog centra za podvodnu arheologiju u Zadru (NN 33/08)</w:t>
      </w:r>
    </w:p>
    <w:p w:rsidR="005C2091" w:rsidRDefault="00A86293">
      <w:pPr>
        <w:pStyle w:val="Heading8"/>
        <w:jc w:val="left"/>
      </w:pPr>
      <w:r>
        <w:t>Opis aktivnosti</w:t>
      </w:r>
    </w:p>
    <w:p w:rsidR="005C2091" w:rsidRDefault="00A86293">
      <w:r>
        <w:t>U ovoj aktivnosti osigurana su sredstva za rashode za zaposlene te materijalne rashode. U 2016. godini sredstva korištena iz izvora 11 su utrošena prema planu. Odstupanje se odnosi na vlastita sredstva.</w:t>
      </w:r>
    </w:p>
    <w:p w:rsidR="005C2091" w:rsidRDefault="00A86293">
      <w:pPr>
        <w:pStyle w:val="Heading4"/>
      </w:pPr>
      <w:r>
        <w:t>A843002 PROGRAMI MEĐUNARODNOG CENTRA ZA PODVODNU ARHEOLOGIJU</w:t>
      </w:r>
    </w:p>
    <w:tbl>
      <w:tblPr>
        <w:tblStyle w:val="StilTablice"/>
        <w:tblW w:w="10206" w:type="dxa"/>
        <w:jc w:val="center"/>
        <w:tblLook w:val="04A0" w:firstRow="1" w:lastRow="0" w:firstColumn="1" w:lastColumn="0" w:noHBand="0" w:noVBand="1"/>
      </w:tblPr>
      <w:tblGrid>
        <w:gridCol w:w="1848"/>
        <w:gridCol w:w="1979"/>
        <w:gridCol w:w="1974"/>
        <w:gridCol w:w="1979"/>
        <w:gridCol w:w="1210"/>
        <w:gridCol w:w="121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A843002-PROGRAMI MEĐUNARODNOG CENTRA ZA PODVODNU ARHEOLOGIJU</w:t>
            </w:r>
          </w:p>
        </w:tc>
        <w:tc>
          <w:tcPr>
            <w:tcW w:w="2041" w:type="dxa"/>
          </w:tcPr>
          <w:p w:rsidR="005C2091" w:rsidRDefault="00A86293">
            <w:pPr>
              <w:pStyle w:val="CellColumn"/>
              <w:jc w:val="right"/>
            </w:pPr>
            <w:r>
              <w:rPr>
                <w:rFonts w:cs="Times New Roman"/>
              </w:rPr>
              <w:t>364.738</w:t>
            </w:r>
          </w:p>
        </w:tc>
        <w:tc>
          <w:tcPr>
            <w:tcW w:w="2041" w:type="dxa"/>
          </w:tcPr>
          <w:p w:rsidR="005C2091" w:rsidRDefault="00A86293">
            <w:pPr>
              <w:pStyle w:val="CellColumn"/>
              <w:jc w:val="right"/>
            </w:pPr>
            <w:r>
              <w:rPr>
                <w:rFonts w:cs="Times New Roman"/>
              </w:rPr>
              <w:t>700.000</w:t>
            </w:r>
          </w:p>
        </w:tc>
        <w:tc>
          <w:tcPr>
            <w:tcW w:w="2041" w:type="dxa"/>
          </w:tcPr>
          <w:p w:rsidR="005C2091" w:rsidRDefault="00A86293">
            <w:pPr>
              <w:pStyle w:val="CellColumn"/>
              <w:jc w:val="right"/>
            </w:pPr>
            <w:r>
              <w:rPr>
                <w:rFonts w:cs="Times New Roman"/>
              </w:rPr>
              <w:t>699.932</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191,9</w:t>
            </w:r>
          </w:p>
        </w:tc>
      </w:tr>
    </w:tbl>
    <w:p w:rsidR="005C2091" w:rsidRDefault="005C2091">
      <w:pPr>
        <w:jc w:val="left"/>
      </w:pPr>
    </w:p>
    <w:p w:rsidR="005C2091" w:rsidRDefault="00A86293">
      <w:pPr>
        <w:pStyle w:val="Heading8"/>
        <w:jc w:val="left"/>
      </w:pPr>
      <w:r>
        <w:t>Zakonske i druge pravne osnove</w:t>
      </w:r>
    </w:p>
    <w:p w:rsidR="005C2091" w:rsidRDefault="00A86293">
      <w:r>
        <w:t xml:space="preserve">Uredba o osnivanju Međunarodnog centra za podvodnu arheologiju u Zadru (NN 33/08)  </w:t>
      </w:r>
    </w:p>
    <w:p w:rsidR="005C2091" w:rsidRDefault="00A86293">
      <w:r>
        <w:t xml:space="preserve">Pravilnik o izboru i utvrđivanju programa javnih potreba u kulturi (NN 69/12, 44/13, 91/13, 72/15)  </w:t>
      </w:r>
    </w:p>
    <w:p w:rsidR="005C2091" w:rsidRDefault="00A86293">
      <w:r>
        <w:t>Na temelju Zakona o financiranju javnih potreba u kulturi („Narodne novine“, broj 47/90, 27/93 i 38/09) te članaka 2., 3., 4. i 5. Pravilnika o izboru i utvrđivanju programa javnih potreba u kulturi („Narodne novine“, broj 55/16) Ministarstvo kulture Republike Hrvatske objavljuje Poziv za predlaganje programa javnih potreba u kulturi Republike Hrvatske za 2016. godinu</w:t>
      </w:r>
    </w:p>
    <w:p w:rsidR="005C2091" w:rsidRDefault="00A86293">
      <w:pPr>
        <w:pStyle w:val="Heading8"/>
        <w:jc w:val="left"/>
      </w:pPr>
      <w:r>
        <w:t>Opis aktivnosti</w:t>
      </w:r>
    </w:p>
    <w:p w:rsidR="005C2091" w:rsidRDefault="00A86293">
      <w:r>
        <w:t>Osim glavne aktivnosti provođenja aktivnosti obrazovanja na području istraživanja, konzerviranja i restauriranja podvodne kulturne baštine, Centar je provodio i dio programskih aktivnosti: razvijanje i širenje najsuvremenijih metoda istraživanja u podvodnoj arheologiji, konzervaciji i restauraciji, obuci i razmjeni znanja. U 2015. godini sredstva su utrošena prema planu. Program je u cijelosti izvršen, nije bilo odstupanja od plana.</w:t>
      </w:r>
    </w:p>
    <w:p w:rsidR="005C2091" w:rsidRDefault="00A86293">
      <w:pPr>
        <w:pStyle w:val="Heading3"/>
      </w:pPr>
      <w:r>
        <w:rPr>
          <w:rFonts w:cs="Times New Roman"/>
        </w:rPr>
        <w:t>49075 Agencija za elektroničke medije</w:t>
      </w:r>
    </w:p>
    <w:p w:rsidR="005C2091" w:rsidRDefault="00A86293">
      <w:r>
        <w:t xml:space="preserve">Agencija za elektroničke medije bavi se nadzorom i analizom medijskih sadržaja pružatelja medijskih usluga. Bavi se poslovima sukladnosti programskih načela i obveza utvrđenih zakonom i podzakonskim aktima. Nadalje bavi se poslovima osiguravanja tehničke podrške. Provodi snimanja programa koja su potreba za analizu medijskih sadržaja. Obavlja izradu godišnjeg plana nadzora. Bavi se nadzorom i analizom medijskih sadržaja sukaldno godišnjem planu nadzora te  </w:t>
      </w:r>
    </w:p>
    <w:p w:rsidR="005C2091" w:rsidRDefault="00A86293">
      <w:r>
        <w:t>nadzorom usklađenosti obavljenog medijskog sadržaja sa zakonom i podzakonskim aktima, redovnog izvještavanja o rezultatima nadzora i provedenih analiza.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49075-Agencija za elektroničke medije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59.064.652</w:t>
            </w:r>
          </w:p>
        </w:tc>
        <w:tc>
          <w:tcPr>
            <w:tcW w:w="2041" w:type="dxa"/>
          </w:tcPr>
          <w:p w:rsidR="005C2091" w:rsidRDefault="00A86293">
            <w:pPr>
              <w:pStyle w:val="CellColumn"/>
              <w:jc w:val="right"/>
            </w:pPr>
            <w:r>
              <w:rPr>
                <w:rFonts w:cs="Times New Roman"/>
              </w:rPr>
              <w:t>50.334.897</w:t>
            </w:r>
          </w:p>
        </w:tc>
        <w:tc>
          <w:tcPr>
            <w:tcW w:w="1224" w:type="dxa"/>
          </w:tcPr>
          <w:p w:rsidR="005C2091" w:rsidRDefault="00A86293">
            <w:pPr>
              <w:pStyle w:val="CellColumn"/>
              <w:jc w:val="right"/>
            </w:pPr>
            <w:r>
              <w:rPr>
                <w:rFonts w:cs="Times New Roman"/>
              </w:rPr>
              <w:t>85,2</w:t>
            </w:r>
          </w:p>
        </w:tc>
        <w:tc>
          <w:tcPr>
            <w:tcW w:w="1224" w:type="dxa"/>
          </w:tcPr>
          <w:p w:rsidR="005C2091" w:rsidRDefault="00A86293">
            <w:pPr>
              <w:pStyle w:val="CellColumn"/>
              <w:jc w:val="right"/>
            </w:pPr>
            <w:r>
              <w:rPr>
                <w:rFonts w:cs="Times New Roman"/>
              </w:rPr>
              <w:t>0,0</w:t>
            </w:r>
          </w:p>
        </w:tc>
      </w:tr>
      <w:tr w:rsidR="005C2091">
        <w:trPr>
          <w:jc w:val="center"/>
        </w:trPr>
        <w:tc>
          <w:tcPr>
            <w:tcW w:w="1632" w:type="dxa"/>
          </w:tcPr>
          <w:p w:rsidR="005C2091" w:rsidRDefault="00A86293">
            <w:pPr>
              <w:jc w:val="left"/>
            </w:pPr>
            <w:r>
              <w:t>3906-PROGRAMI AUDIO VIZUALNE DJELATNOSTI I MEDIJA</w:t>
            </w:r>
          </w:p>
        </w:tc>
        <w:tc>
          <w:tcPr>
            <w:tcW w:w="2041" w:type="dxa"/>
          </w:tcPr>
          <w:p w:rsidR="005C2091" w:rsidRDefault="00A86293">
            <w:pPr>
              <w:jc w:val="right"/>
            </w:pPr>
            <w:r>
              <w:t>00</w:t>
            </w:r>
          </w:p>
        </w:tc>
        <w:tc>
          <w:tcPr>
            <w:tcW w:w="2041" w:type="dxa"/>
          </w:tcPr>
          <w:p w:rsidR="005C2091" w:rsidRDefault="00A86293">
            <w:pPr>
              <w:jc w:val="right"/>
            </w:pPr>
            <w:r>
              <w:t>59.064.652</w:t>
            </w:r>
          </w:p>
        </w:tc>
        <w:tc>
          <w:tcPr>
            <w:tcW w:w="2041" w:type="dxa"/>
          </w:tcPr>
          <w:p w:rsidR="005C2091" w:rsidRDefault="00A86293">
            <w:pPr>
              <w:jc w:val="right"/>
            </w:pPr>
            <w:r>
              <w:t>50.334.897</w:t>
            </w:r>
          </w:p>
        </w:tc>
        <w:tc>
          <w:tcPr>
            <w:tcW w:w="1224" w:type="dxa"/>
          </w:tcPr>
          <w:p w:rsidR="005C2091" w:rsidRDefault="00A86293">
            <w:pPr>
              <w:jc w:val="right"/>
            </w:pPr>
            <w:r>
              <w:t>85,2</w:t>
            </w:r>
          </w:p>
        </w:tc>
        <w:tc>
          <w:tcPr>
            <w:tcW w:w="1224"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t>3906 PROGRAMI AUDIO VIZUALNE DJELATNOSTI I MEDIJA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rsidTr="00F24C48">
        <w:trPr>
          <w:trHeight w:val="1434"/>
          <w:jc w:val="center"/>
        </w:trPr>
        <w:tc>
          <w:tcPr>
            <w:tcW w:w="1632" w:type="dxa"/>
          </w:tcPr>
          <w:p w:rsidR="005C2091" w:rsidRDefault="00A86293">
            <w:pPr>
              <w:pStyle w:val="CellColumn"/>
              <w:jc w:val="left"/>
            </w:pPr>
            <w:r>
              <w:rPr>
                <w:rFonts w:cs="Times New Roman"/>
              </w:rPr>
              <w:t>3906-PROGRAMI AUDIO VIZUALNE DJELATNOSTI I MEDIJA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59.064.652</w:t>
            </w:r>
          </w:p>
        </w:tc>
        <w:tc>
          <w:tcPr>
            <w:tcW w:w="2041" w:type="dxa"/>
          </w:tcPr>
          <w:p w:rsidR="005C2091" w:rsidRDefault="00A86293">
            <w:pPr>
              <w:pStyle w:val="CellColumn"/>
              <w:jc w:val="right"/>
            </w:pPr>
            <w:r>
              <w:rPr>
                <w:rFonts w:cs="Times New Roman"/>
              </w:rPr>
              <w:t>50.334.897</w:t>
            </w:r>
          </w:p>
        </w:tc>
        <w:tc>
          <w:tcPr>
            <w:tcW w:w="1224" w:type="dxa"/>
          </w:tcPr>
          <w:p w:rsidR="005C2091" w:rsidRDefault="00A86293">
            <w:pPr>
              <w:pStyle w:val="CellColumn"/>
              <w:jc w:val="right"/>
            </w:pPr>
            <w:r>
              <w:rPr>
                <w:rFonts w:cs="Times New Roman"/>
              </w:rPr>
              <w:t>85,2</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Sredstvima Fonda potiče se proizvodnja i objavljivanje audiovizualnih i radijskih programa i sadržaja nakladnika televizije i/ili radija na lokalnoj i regionalnoj razini, neprofitnih nakladnika televizije i/ili radija, neprofitnih pružatelja medijskih usluga iz članaka 19. i 79. Zakona o elektroničkim medijima, neprofitnih pružatelja elektroničkih publikacija, neprofitnih proizvođača audiovizualnih i/ili radijskih programa.</w:t>
      </w:r>
    </w:p>
    <w:p w:rsidR="00EA1ADA" w:rsidRDefault="00EA1ADA"/>
    <w:p w:rsidR="005C2091" w:rsidRDefault="00A86293">
      <w:pPr>
        <w:pStyle w:val="Heading4"/>
      </w:pPr>
      <w:r>
        <w:t>A908001 ADMINISTRACIJA I UPRAVLJANJE</w:t>
      </w:r>
    </w:p>
    <w:tbl>
      <w:tblPr>
        <w:tblStyle w:val="StilTablice"/>
        <w:tblW w:w="10206" w:type="dxa"/>
        <w:jc w:val="center"/>
        <w:tblLook w:val="04A0" w:firstRow="1" w:lastRow="0" w:firstColumn="1" w:lastColumn="0" w:noHBand="0" w:noVBand="1"/>
      </w:tblPr>
      <w:tblGrid>
        <w:gridCol w:w="1792"/>
        <w:gridCol w:w="1991"/>
        <w:gridCol w:w="1998"/>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A908001-ADMINISTRACIJA I UPRAVLJANJE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11.412.652</w:t>
            </w:r>
          </w:p>
        </w:tc>
        <w:tc>
          <w:tcPr>
            <w:tcW w:w="2041" w:type="dxa"/>
          </w:tcPr>
          <w:p w:rsidR="005C2091" w:rsidRDefault="00A86293">
            <w:pPr>
              <w:pStyle w:val="CellColumn"/>
              <w:jc w:val="right"/>
            </w:pPr>
            <w:r>
              <w:rPr>
                <w:rFonts w:cs="Times New Roman"/>
              </w:rPr>
              <w:t>8.943.882</w:t>
            </w:r>
          </w:p>
        </w:tc>
        <w:tc>
          <w:tcPr>
            <w:tcW w:w="1224" w:type="dxa"/>
          </w:tcPr>
          <w:p w:rsidR="005C2091" w:rsidRDefault="00A86293">
            <w:pPr>
              <w:pStyle w:val="CellColumn"/>
              <w:jc w:val="right"/>
            </w:pPr>
            <w:r>
              <w:rPr>
                <w:rFonts w:cs="Times New Roman"/>
              </w:rPr>
              <w:t>78,4</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Zakon o elektroničkim medijima, NN 153/09, 84/11, 94/13, 136/13</w:t>
      </w:r>
    </w:p>
    <w:p w:rsidR="005C2091" w:rsidRDefault="00A86293">
      <w:pPr>
        <w:pStyle w:val="Heading8"/>
        <w:jc w:val="left"/>
      </w:pPr>
      <w:r>
        <w:t>Opis aktivnosti</w:t>
      </w:r>
    </w:p>
    <w:p w:rsidR="005C2091" w:rsidRDefault="00A86293">
      <w:r>
        <w:t>U okviru ove aktivnosti osigurana su sredstva za redovnu djelatnost Agencije: za plaće za zaposlene i materijalni  rashodi Agencije. Sredstva su osigurana na izvoru 43.</w:t>
      </w:r>
    </w:p>
    <w:p w:rsidR="005C2091" w:rsidRDefault="00A86293">
      <w:pPr>
        <w:pStyle w:val="Heading4"/>
      </w:pPr>
      <w:r>
        <w:t>A908002 PROGRAMI AGENCIJE ZA ELEKTRONIČKE MEDIJE</w:t>
      </w:r>
    </w:p>
    <w:tbl>
      <w:tblPr>
        <w:tblStyle w:val="StilTablice"/>
        <w:tblW w:w="10206" w:type="dxa"/>
        <w:jc w:val="center"/>
        <w:tblLook w:val="04A0" w:firstRow="1" w:lastRow="0" w:firstColumn="1" w:lastColumn="0" w:noHBand="0" w:noVBand="1"/>
      </w:tblPr>
      <w:tblGrid>
        <w:gridCol w:w="1636"/>
        <w:gridCol w:w="2040"/>
        <w:gridCol w:w="2041"/>
        <w:gridCol w:w="2041"/>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A908002-PROGRAMI AGENCIJE ZA ELEKTRONIČKE MEDIJE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47.652.000</w:t>
            </w:r>
          </w:p>
        </w:tc>
        <w:tc>
          <w:tcPr>
            <w:tcW w:w="2041" w:type="dxa"/>
          </w:tcPr>
          <w:p w:rsidR="005C2091" w:rsidRDefault="00A86293">
            <w:pPr>
              <w:pStyle w:val="CellColumn"/>
              <w:jc w:val="right"/>
            </w:pPr>
            <w:r>
              <w:rPr>
                <w:rFonts w:cs="Times New Roman"/>
              </w:rPr>
              <w:t>41.391.015</w:t>
            </w:r>
          </w:p>
        </w:tc>
        <w:tc>
          <w:tcPr>
            <w:tcW w:w="1224" w:type="dxa"/>
          </w:tcPr>
          <w:p w:rsidR="005C2091" w:rsidRDefault="00A86293">
            <w:pPr>
              <w:pStyle w:val="CellColumn"/>
              <w:jc w:val="right"/>
            </w:pPr>
            <w:r>
              <w:rPr>
                <w:rFonts w:cs="Times New Roman"/>
              </w:rPr>
              <w:t>86,9</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elektroničkim medijima, NN 153/09, 84/11, 94/13, 136/13; Zakon o Hrvatskoj  </w:t>
      </w:r>
    </w:p>
    <w:p w:rsidR="005C2091" w:rsidRDefault="00A86293">
      <w:r>
        <w:t>radioteleviziji NN 137/10; Zakon o izmjenama i dopunama Zakona o Hrvatskoj radiotelev</w:t>
      </w:r>
      <w:r w:rsidR="00F24C48">
        <w:t xml:space="preserve">iziji 76/12; Zakon o medijima, </w:t>
      </w:r>
      <w:r>
        <w:t xml:space="preserve">integrirana verzija, NN 59/04, 84/11 i 84/13; - Zakon o elektroničkim komunikacijama NN 73/08 -Zakon o izmjenama i dopunama Zakona o elektroničkim komunikacijama NN 90/11 - Zakon o  izmjenama Zakona o elektroničkim komunikacijama NN133/12 - Zakon o izmjenama i dopunama  </w:t>
      </w:r>
    </w:p>
    <w:p w:rsidR="005C2091" w:rsidRDefault="00A86293">
      <w:r>
        <w:t xml:space="preserve">Zakona o elektroničkim komunikacijama NN 80/13  </w:t>
      </w:r>
    </w:p>
    <w:p w:rsidR="005C2091" w:rsidRDefault="00A86293">
      <w:r>
        <w:t>Pravilnik o Fondu za poticanje pluralizma i raznovrsnosti elektroničkih medija (Narodne novine broj 150/13)</w:t>
      </w:r>
    </w:p>
    <w:p w:rsidR="005C2091" w:rsidRDefault="00A86293">
      <w:pPr>
        <w:pStyle w:val="Heading8"/>
        <w:jc w:val="left"/>
      </w:pPr>
      <w:r>
        <w:t>Opis aktivnosti</w:t>
      </w:r>
    </w:p>
    <w:p w:rsidR="005C2091" w:rsidRDefault="00A86293">
      <w:r>
        <w:t>U ovoj aktivnosti osigurana su sredstva za Fond za poticanje pluralima medija koji se financira  iz 3% HRT pristojbe. Razlog odstupanja u odnosu na planirani iznos je u dinamici uplata HRT-a.  3% iznosa pristojbe od mjesečno ukupno prikupljenih sredstava nije uplaćivan dinamikom kako je planirano. Sredstva su osigurana na izvoru 43</w:t>
      </w:r>
    </w:p>
    <w:p w:rsidR="00F24C48" w:rsidRDefault="00F24C48" w:rsidP="00DB131A">
      <w:pPr>
        <w:overflowPunct/>
        <w:autoSpaceDE/>
        <w:autoSpaceDN/>
        <w:adjustRightInd/>
        <w:spacing w:after="200" w:line="276" w:lineRule="auto"/>
        <w:jc w:val="left"/>
        <w:textAlignment w:val="auto"/>
      </w:pPr>
      <w:r>
        <w:br w:type="page"/>
      </w:r>
    </w:p>
    <w:p w:rsidR="005C2091" w:rsidRDefault="00A86293">
      <w:pPr>
        <w:pStyle w:val="Heading1"/>
      </w:pPr>
      <w:r>
        <w:t>060 MINISTARSTVO POLJOPRIVREDE</w:t>
      </w:r>
    </w:p>
    <w:p w:rsidR="005C2091" w:rsidRDefault="00A86293">
      <w:r>
        <w:t xml:space="preserve">Ministarstvo poljoprivrede odgovorno je za provođenje poljoprivredne politike Vlade Republike Hrvatske i održivo i skladno korištenje funkcija šuma i trajno poboljšavanje njihova stanja. </w:t>
      </w:r>
    </w:p>
    <w:p w:rsidR="005C2091" w:rsidRDefault="00A86293">
      <w:r>
        <w:t>Ministarstvo poljoprivrede obavlja upravne i druge poslove koji se odnose na stalno povećanje konkurentnosti hrvatske poljoprivrede kroz poticanje proizvodnje, potporu dohotku poljoprivrednim gospodarstvima, kapitalna ulaganja i ruralni razvitak; povećanje trenda rasta potpora u poljoprivredi; nove investicije i poticaji za ekološku i organsku proizvodnju, prerađivačku industriju, ribarstvo te osiguranje zdravstvene ispravnosti i kakvoće hrane, zaštita i prilagođavanje korištenja šuma potrebama ukupnog gospodarskog razvitka Republike Hrvatske, razvoj gospodarenja lovištima i divljači i razvoj drvne industrije.</w:t>
      </w:r>
    </w:p>
    <w:tbl>
      <w:tblPr>
        <w:tblStyle w:val="StilTablice"/>
        <w:tblW w:w="10206" w:type="dxa"/>
        <w:jc w:val="center"/>
        <w:tblLook w:val="04A0" w:firstRow="1" w:lastRow="0" w:firstColumn="1" w:lastColumn="0" w:noHBand="0" w:noVBand="1"/>
      </w:tblPr>
      <w:tblGrid>
        <w:gridCol w:w="1692"/>
        <w:gridCol w:w="2024"/>
        <w:gridCol w:w="2025"/>
        <w:gridCol w:w="2025"/>
        <w:gridCol w:w="1219"/>
        <w:gridCol w:w="122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vAlign w:val="top"/>
          </w:tcPr>
          <w:p w:rsidR="005C2091" w:rsidRDefault="00A86293">
            <w:pPr>
              <w:pStyle w:val="CellColumn"/>
              <w:jc w:val="left"/>
            </w:pPr>
            <w:r>
              <w:rPr>
                <w:rFonts w:cs="Times New Roman"/>
              </w:rPr>
              <w:t>06005-Ministarstvo poljoprivrede</w:t>
            </w:r>
          </w:p>
        </w:tc>
        <w:tc>
          <w:tcPr>
            <w:tcW w:w="2041" w:type="dxa"/>
            <w:vAlign w:val="top"/>
          </w:tcPr>
          <w:p w:rsidR="005C2091" w:rsidRDefault="00A86293">
            <w:pPr>
              <w:pStyle w:val="CellColumn"/>
              <w:jc w:val="right"/>
            </w:pPr>
            <w:r>
              <w:rPr>
                <w:rFonts w:cs="Times New Roman"/>
              </w:rPr>
              <w:t>5.804.751.573</w:t>
            </w:r>
          </w:p>
        </w:tc>
        <w:tc>
          <w:tcPr>
            <w:tcW w:w="2041" w:type="dxa"/>
            <w:vAlign w:val="top"/>
          </w:tcPr>
          <w:p w:rsidR="005C2091" w:rsidRDefault="00A86293">
            <w:pPr>
              <w:pStyle w:val="CellColumn"/>
              <w:jc w:val="right"/>
            </w:pPr>
            <w:r>
              <w:rPr>
                <w:rFonts w:cs="Times New Roman"/>
              </w:rPr>
              <w:t>6.191.809.660</w:t>
            </w:r>
          </w:p>
        </w:tc>
        <w:tc>
          <w:tcPr>
            <w:tcW w:w="2041" w:type="dxa"/>
            <w:vAlign w:val="top"/>
          </w:tcPr>
          <w:p w:rsidR="005C2091" w:rsidRDefault="00A86293">
            <w:pPr>
              <w:pStyle w:val="CellColumn"/>
              <w:jc w:val="right"/>
            </w:pPr>
            <w:r>
              <w:rPr>
                <w:rFonts w:cs="Times New Roman"/>
              </w:rPr>
              <w:t>5.995.790.588</w:t>
            </w:r>
          </w:p>
        </w:tc>
        <w:tc>
          <w:tcPr>
            <w:tcW w:w="1224" w:type="dxa"/>
            <w:vAlign w:val="top"/>
          </w:tcPr>
          <w:p w:rsidR="005C2091" w:rsidRDefault="00A86293">
            <w:pPr>
              <w:pStyle w:val="CellColumn"/>
              <w:jc w:val="right"/>
            </w:pPr>
            <w:r>
              <w:rPr>
                <w:rFonts w:cs="Times New Roman"/>
              </w:rPr>
              <w:t>96,8</w:t>
            </w:r>
          </w:p>
        </w:tc>
        <w:tc>
          <w:tcPr>
            <w:tcW w:w="1224" w:type="dxa"/>
            <w:vAlign w:val="top"/>
          </w:tcPr>
          <w:p w:rsidR="005C2091" w:rsidRDefault="00A86293">
            <w:pPr>
              <w:pStyle w:val="CellColumn"/>
              <w:jc w:val="right"/>
            </w:pPr>
            <w:r>
              <w:rPr>
                <w:rFonts w:cs="Times New Roman"/>
              </w:rPr>
              <w:t>103,3</w:t>
            </w:r>
          </w:p>
        </w:tc>
      </w:tr>
      <w:tr w:rsidR="005C2091">
        <w:trPr>
          <w:jc w:val="center"/>
        </w:trPr>
        <w:tc>
          <w:tcPr>
            <w:tcW w:w="1632" w:type="dxa"/>
            <w:vAlign w:val="top"/>
          </w:tcPr>
          <w:p w:rsidR="005C2091" w:rsidRDefault="00A86293">
            <w:pPr>
              <w:pStyle w:val="CellColumn"/>
              <w:jc w:val="left"/>
            </w:pPr>
            <w:r>
              <w:rPr>
                <w:rFonts w:cs="Times New Roman"/>
              </w:rPr>
              <w:t>06025-Hrvatska agencija za hranu</w:t>
            </w:r>
          </w:p>
        </w:tc>
        <w:tc>
          <w:tcPr>
            <w:tcW w:w="2041" w:type="dxa"/>
            <w:vAlign w:val="top"/>
          </w:tcPr>
          <w:p w:rsidR="005C2091" w:rsidRDefault="00A86293">
            <w:pPr>
              <w:pStyle w:val="CellColumn"/>
              <w:jc w:val="right"/>
            </w:pPr>
            <w:r>
              <w:rPr>
                <w:rFonts w:cs="Times New Roman"/>
              </w:rPr>
              <w:t>4.467.148</w:t>
            </w:r>
          </w:p>
        </w:tc>
        <w:tc>
          <w:tcPr>
            <w:tcW w:w="2041" w:type="dxa"/>
            <w:vAlign w:val="top"/>
          </w:tcPr>
          <w:p w:rsidR="005C2091" w:rsidRDefault="00A86293">
            <w:pPr>
              <w:pStyle w:val="CellColumn"/>
              <w:jc w:val="right"/>
            </w:pPr>
            <w:r>
              <w:rPr>
                <w:rFonts w:cs="Times New Roman"/>
              </w:rPr>
              <w:t>5.224.891</w:t>
            </w:r>
          </w:p>
        </w:tc>
        <w:tc>
          <w:tcPr>
            <w:tcW w:w="2041" w:type="dxa"/>
            <w:vAlign w:val="top"/>
          </w:tcPr>
          <w:p w:rsidR="005C2091" w:rsidRDefault="00A86293">
            <w:pPr>
              <w:pStyle w:val="CellColumn"/>
              <w:jc w:val="right"/>
            </w:pPr>
            <w:r>
              <w:rPr>
                <w:rFonts w:cs="Times New Roman"/>
              </w:rPr>
              <w:t>4.629.130</w:t>
            </w:r>
          </w:p>
        </w:tc>
        <w:tc>
          <w:tcPr>
            <w:tcW w:w="1224" w:type="dxa"/>
            <w:vAlign w:val="top"/>
          </w:tcPr>
          <w:p w:rsidR="005C2091" w:rsidRDefault="00A86293">
            <w:pPr>
              <w:pStyle w:val="CellColumn"/>
              <w:jc w:val="right"/>
            </w:pPr>
            <w:r>
              <w:rPr>
                <w:rFonts w:cs="Times New Roman"/>
              </w:rPr>
              <w:t>88,6</w:t>
            </w:r>
          </w:p>
        </w:tc>
        <w:tc>
          <w:tcPr>
            <w:tcW w:w="1224" w:type="dxa"/>
            <w:vAlign w:val="top"/>
          </w:tcPr>
          <w:p w:rsidR="005C2091" w:rsidRDefault="00A86293">
            <w:pPr>
              <w:pStyle w:val="CellColumn"/>
              <w:jc w:val="right"/>
            </w:pPr>
            <w:r>
              <w:rPr>
                <w:rFonts w:cs="Times New Roman"/>
              </w:rPr>
              <w:t>103,6</w:t>
            </w:r>
          </w:p>
        </w:tc>
      </w:tr>
      <w:tr w:rsidR="005C2091">
        <w:trPr>
          <w:jc w:val="center"/>
        </w:trPr>
        <w:tc>
          <w:tcPr>
            <w:tcW w:w="1632" w:type="dxa"/>
            <w:vAlign w:val="top"/>
          </w:tcPr>
          <w:p w:rsidR="005C2091" w:rsidRDefault="00A86293">
            <w:pPr>
              <w:pStyle w:val="CellColumn"/>
              <w:jc w:val="left"/>
            </w:pPr>
            <w:r>
              <w:rPr>
                <w:rFonts w:cs="Times New Roman"/>
              </w:rPr>
              <w:t>06030-Agencija za plaćanja u poljoprivredi, ribarstvu i ruralnom razvoju</w:t>
            </w:r>
          </w:p>
        </w:tc>
        <w:tc>
          <w:tcPr>
            <w:tcW w:w="2041" w:type="dxa"/>
            <w:vAlign w:val="top"/>
          </w:tcPr>
          <w:p w:rsidR="005C2091" w:rsidRDefault="00A86293">
            <w:pPr>
              <w:pStyle w:val="CellColumn"/>
              <w:jc w:val="right"/>
            </w:pPr>
            <w:r>
              <w:rPr>
                <w:rFonts w:cs="Times New Roman"/>
              </w:rPr>
              <w:t>147.919.866</w:t>
            </w:r>
          </w:p>
        </w:tc>
        <w:tc>
          <w:tcPr>
            <w:tcW w:w="2041" w:type="dxa"/>
            <w:vAlign w:val="top"/>
          </w:tcPr>
          <w:p w:rsidR="005C2091" w:rsidRDefault="00A86293">
            <w:pPr>
              <w:pStyle w:val="CellColumn"/>
              <w:jc w:val="right"/>
            </w:pPr>
            <w:r>
              <w:rPr>
                <w:rFonts w:cs="Times New Roman"/>
              </w:rPr>
              <w:t>155.732.479</w:t>
            </w:r>
          </w:p>
        </w:tc>
        <w:tc>
          <w:tcPr>
            <w:tcW w:w="2041" w:type="dxa"/>
            <w:vAlign w:val="top"/>
          </w:tcPr>
          <w:p w:rsidR="005C2091" w:rsidRDefault="00A86293">
            <w:pPr>
              <w:pStyle w:val="CellColumn"/>
              <w:jc w:val="right"/>
            </w:pPr>
            <w:r>
              <w:rPr>
                <w:rFonts w:cs="Times New Roman"/>
              </w:rPr>
              <w:t>153.152.861</w:t>
            </w:r>
          </w:p>
        </w:tc>
        <w:tc>
          <w:tcPr>
            <w:tcW w:w="1224" w:type="dxa"/>
            <w:vAlign w:val="top"/>
          </w:tcPr>
          <w:p w:rsidR="005C2091" w:rsidRDefault="00A86293">
            <w:pPr>
              <w:pStyle w:val="CellColumn"/>
              <w:jc w:val="right"/>
            </w:pPr>
            <w:r>
              <w:rPr>
                <w:rFonts w:cs="Times New Roman"/>
              </w:rPr>
              <w:t>98,3</w:t>
            </w:r>
          </w:p>
        </w:tc>
        <w:tc>
          <w:tcPr>
            <w:tcW w:w="1224" w:type="dxa"/>
            <w:vAlign w:val="top"/>
          </w:tcPr>
          <w:p w:rsidR="005C2091" w:rsidRDefault="00A86293">
            <w:pPr>
              <w:pStyle w:val="CellColumn"/>
              <w:jc w:val="right"/>
            </w:pPr>
            <w:r>
              <w:rPr>
                <w:rFonts w:cs="Times New Roman"/>
              </w:rPr>
              <w:t>103,5</w:t>
            </w:r>
          </w:p>
        </w:tc>
      </w:tr>
      <w:tr w:rsidR="005C2091">
        <w:trPr>
          <w:jc w:val="center"/>
        </w:trPr>
        <w:tc>
          <w:tcPr>
            <w:tcW w:w="1632" w:type="dxa"/>
            <w:vAlign w:val="top"/>
          </w:tcPr>
          <w:p w:rsidR="005C2091" w:rsidRDefault="00A86293">
            <w:pPr>
              <w:pStyle w:val="CellColumn"/>
              <w:jc w:val="left"/>
            </w:pPr>
            <w:r>
              <w:rPr>
                <w:rFonts w:cs="Times New Roman"/>
              </w:rPr>
              <w:t>06035-Hrvatski centar za poljoprivredu, hranu i selo</w:t>
            </w:r>
          </w:p>
        </w:tc>
        <w:tc>
          <w:tcPr>
            <w:tcW w:w="2041" w:type="dxa"/>
            <w:vAlign w:val="top"/>
          </w:tcPr>
          <w:p w:rsidR="005C2091" w:rsidRDefault="00A86293">
            <w:pPr>
              <w:pStyle w:val="CellColumn"/>
              <w:jc w:val="right"/>
            </w:pPr>
            <w:r>
              <w:rPr>
                <w:rFonts w:cs="Times New Roman"/>
              </w:rPr>
              <w:t>32.311.508</w:t>
            </w:r>
          </w:p>
        </w:tc>
        <w:tc>
          <w:tcPr>
            <w:tcW w:w="2041" w:type="dxa"/>
            <w:vAlign w:val="top"/>
          </w:tcPr>
          <w:p w:rsidR="005C2091" w:rsidRDefault="00A86293">
            <w:pPr>
              <w:pStyle w:val="CellColumn"/>
              <w:jc w:val="right"/>
            </w:pPr>
            <w:r>
              <w:rPr>
                <w:rFonts w:cs="Times New Roman"/>
              </w:rPr>
              <w:t>34.104.067</w:t>
            </w:r>
          </w:p>
        </w:tc>
        <w:tc>
          <w:tcPr>
            <w:tcW w:w="2041" w:type="dxa"/>
            <w:vAlign w:val="top"/>
          </w:tcPr>
          <w:p w:rsidR="005C2091" w:rsidRDefault="00A86293">
            <w:pPr>
              <w:pStyle w:val="CellColumn"/>
              <w:jc w:val="right"/>
            </w:pPr>
            <w:r>
              <w:rPr>
                <w:rFonts w:cs="Times New Roman"/>
              </w:rPr>
              <w:t>32.750.112</w:t>
            </w:r>
          </w:p>
        </w:tc>
        <w:tc>
          <w:tcPr>
            <w:tcW w:w="1224" w:type="dxa"/>
            <w:vAlign w:val="top"/>
          </w:tcPr>
          <w:p w:rsidR="005C2091" w:rsidRDefault="00A86293">
            <w:pPr>
              <w:pStyle w:val="CellColumn"/>
              <w:jc w:val="right"/>
            </w:pPr>
            <w:r>
              <w:rPr>
                <w:rFonts w:cs="Times New Roman"/>
              </w:rPr>
              <w:t>96,0</w:t>
            </w:r>
          </w:p>
        </w:tc>
        <w:tc>
          <w:tcPr>
            <w:tcW w:w="1224" w:type="dxa"/>
            <w:vAlign w:val="top"/>
          </w:tcPr>
          <w:p w:rsidR="005C2091" w:rsidRDefault="00A86293">
            <w:pPr>
              <w:pStyle w:val="CellColumn"/>
              <w:jc w:val="right"/>
            </w:pPr>
            <w:r>
              <w:rPr>
                <w:rFonts w:cs="Times New Roman"/>
              </w:rPr>
              <w:t>101,4</w:t>
            </w:r>
          </w:p>
        </w:tc>
      </w:tr>
      <w:tr w:rsidR="005C2091">
        <w:trPr>
          <w:jc w:val="center"/>
        </w:trPr>
        <w:tc>
          <w:tcPr>
            <w:tcW w:w="1632" w:type="dxa"/>
            <w:vAlign w:val="top"/>
          </w:tcPr>
          <w:p w:rsidR="005C2091" w:rsidRDefault="00A86293">
            <w:pPr>
              <w:pStyle w:val="CellColumn"/>
              <w:jc w:val="left"/>
            </w:pPr>
            <w:r>
              <w:rPr>
                <w:rFonts w:cs="Times New Roman"/>
              </w:rPr>
              <w:t>06040-Agencija za poljoprivredno zemljište</w:t>
            </w:r>
          </w:p>
        </w:tc>
        <w:tc>
          <w:tcPr>
            <w:tcW w:w="2041" w:type="dxa"/>
            <w:vAlign w:val="top"/>
          </w:tcPr>
          <w:p w:rsidR="005C2091" w:rsidRDefault="00A86293">
            <w:pPr>
              <w:pStyle w:val="CellColumn"/>
              <w:jc w:val="right"/>
            </w:pPr>
            <w:r>
              <w:rPr>
                <w:rFonts w:cs="Times New Roman"/>
              </w:rPr>
              <w:t>21.178.602</w:t>
            </w:r>
          </w:p>
        </w:tc>
        <w:tc>
          <w:tcPr>
            <w:tcW w:w="2041" w:type="dxa"/>
            <w:vAlign w:val="top"/>
          </w:tcPr>
          <w:p w:rsidR="005C2091" w:rsidRDefault="00A86293">
            <w:pPr>
              <w:pStyle w:val="CellColumn"/>
              <w:jc w:val="right"/>
            </w:pPr>
            <w:r>
              <w:rPr>
                <w:rFonts w:cs="Times New Roman"/>
              </w:rPr>
              <w:t>15.124.627</w:t>
            </w:r>
          </w:p>
        </w:tc>
        <w:tc>
          <w:tcPr>
            <w:tcW w:w="2041" w:type="dxa"/>
            <w:vAlign w:val="top"/>
          </w:tcPr>
          <w:p w:rsidR="005C2091" w:rsidRDefault="00A86293">
            <w:pPr>
              <w:pStyle w:val="CellColumn"/>
              <w:jc w:val="right"/>
            </w:pPr>
            <w:r>
              <w:rPr>
                <w:rFonts w:cs="Times New Roman"/>
              </w:rPr>
              <w:t>14.307.806</w:t>
            </w:r>
          </w:p>
        </w:tc>
        <w:tc>
          <w:tcPr>
            <w:tcW w:w="1224" w:type="dxa"/>
            <w:vAlign w:val="top"/>
          </w:tcPr>
          <w:p w:rsidR="005C2091" w:rsidRDefault="00A86293">
            <w:pPr>
              <w:pStyle w:val="CellColumn"/>
              <w:jc w:val="right"/>
            </w:pPr>
            <w:r>
              <w:rPr>
                <w:rFonts w:cs="Times New Roman"/>
              </w:rPr>
              <w:t>94,6</w:t>
            </w:r>
          </w:p>
        </w:tc>
        <w:tc>
          <w:tcPr>
            <w:tcW w:w="1224" w:type="dxa"/>
            <w:vAlign w:val="top"/>
          </w:tcPr>
          <w:p w:rsidR="005C2091" w:rsidRDefault="00A86293">
            <w:pPr>
              <w:pStyle w:val="CellColumn"/>
              <w:jc w:val="right"/>
            </w:pPr>
            <w:r>
              <w:rPr>
                <w:rFonts w:cs="Times New Roman"/>
              </w:rPr>
              <w:t>67,6</w:t>
            </w:r>
          </w:p>
        </w:tc>
      </w:tr>
      <w:tr w:rsidR="005C2091">
        <w:trPr>
          <w:jc w:val="center"/>
        </w:trPr>
        <w:tc>
          <w:tcPr>
            <w:tcW w:w="1632" w:type="dxa"/>
            <w:vAlign w:val="top"/>
          </w:tcPr>
          <w:p w:rsidR="005C2091" w:rsidRDefault="00A86293">
            <w:pPr>
              <w:pStyle w:val="CellColumn"/>
              <w:jc w:val="left"/>
            </w:pPr>
            <w:r>
              <w:rPr>
                <w:rFonts w:cs="Times New Roman"/>
              </w:rPr>
              <w:t>06045-Hrvatska poljoprivredna agencija</w:t>
            </w:r>
          </w:p>
        </w:tc>
        <w:tc>
          <w:tcPr>
            <w:tcW w:w="2041" w:type="dxa"/>
            <w:vAlign w:val="top"/>
          </w:tcPr>
          <w:p w:rsidR="005C2091" w:rsidRDefault="00A86293">
            <w:pPr>
              <w:pStyle w:val="CellColumn"/>
              <w:jc w:val="right"/>
            </w:pPr>
            <w:r>
              <w:rPr>
                <w:rFonts w:cs="Times New Roman"/>
              </w:rPr>
              <w:t>54.894.264</w:t>
            </w:r>
          </w:p>
        </w:tc>
        <w:tc>
          <w:tcPr>
            <w:tcW w:w="2041" w:type="dxa"/>
            <w:vAlign w:val="top"/>
          </w:tcPr>
          <w:p w:rsidR="005C2091" w:rsidRDefault="00A86293">
            <w:pPr>
              <w:pStyle w:val="CellColumn"/>
              <w:jc w:val="right"/>
            </w:pPr>
            <w:r>
              <w:rPr>
                <w:rFonts w:cs="Times New Roman"/>
              </w:rPr>
              <w:t>63.819.110</w:t>
            </w:r>
          </w:p>
        </w:tc>
        <w:tc>
          <w:tcPr>
            <w:tcW w:w="2041" w:type="dxa"/>
            <w:vAlign w:val="top"/>
          </w:tcPr>
          <w:p w:rsidR="005C2091" w:rsidRDefault="00A86293">
            <w:pPr>
              <w:pStyle w:val="CellColumn"/>
              <w:jc w:val="right"/>
            </w:pPr>
            <w:r>
              <w:rPr>
                <w:rFonts w:cs="Times New Roman"/>
              </w:rPr>
              <w:t>54.653.235</w:t>
            </w:r>
          </w:p>
        </w:tc>
        <w:tc>
          <w:tcPr>
            <w:tcW w:w="1224" w:type="dxa"/>
            <w:vAlign w:val="top"/>
          </w:tcPr>
          <w:p w:rsidR="005C2091" w:rsidRDefault="00A86293">
            <w:pPr>
              <w:pStyle w:val="CellColumn"/>
              <w:jc w:val="right"/>
            </w:pPr>
            <w:r>
              <w:rPr>
                <w:rFonts w:cs="Times New Roman"/>
              </w:rPr>
              <w:t>85,6</w:t>
            </w:r>
          </w:p>
        </w:tc>
        <w:tc>
          <w:tcPr>
            <w:tcW w:w="1224" w:type="dxa"/>
            <w:vAlign w:val="top"/>
          </w:tcPr>
          <w:p w:rsidR="005C2091" w:rsidRDefault="00A86293">
            <w:pPr>
              <w:pStyle w:val="CellColumn"/>
              <w:jc w:val="right"/>
            </w:pPr>
            <w:r>
              <w:rPr>
                <w:rFonts w:cs="Times New Roman"/>
              </w:rPr>
              <w:t>99,6</w:t>
            </w:r>
          </w:p>
        </w:tc>
      </w:tr>
      <w:tr w:rsidR="005C2091">
        <w:trPr>
          <w:jc w:val="center"/>
        </w:trPr>
        <w:tc>
          <w:tcPr>
            <w:tcW w:w="1632" w:type="dxa"/>
            <w:vAlign w:val="top"/>
          </w:tcPr>
          <w:p w:rsidR="005C2091" w:rsidRDefault="00A86293">
            <w:pPr>
              <w:pStyle w:val="CellColumn"/>
              <w:jc w:val="left"/>
            </w:pPr>
            <w:r>
              <w:rPr>
                <w:rFonts w:cs="Times New Roman"/>
              </w:rPr>
              <w:t>06050-Savjetodavna služba</w:t>
            </w:r>
          </w:p>
        </w:tc>
        <w:tc>
          <w:tcPr>
            <w:tcW w:w="2041" w:type="dxa"/>
            <w:vAlign w:val="top"/>
          </w:tcPr>
          <w:p w:rsidR="005C2091" w:rsidRDefault="00A86293">
            <w:pPr>
              <w:pStyle w:val="CellColumn"/>
              <w:jc w:val="right"/>
            </w:pPr>
            <w:r>
              <w:rPr>
                <w:rFonts w:cs="Times New Roman"/>
              </w:rPr>
              <w:t>51.287.036</w:t>
            </w:r>
          </w:p>
        </w:tc>
        <w:tc>
          <w:tcPr>
            <w:tcW w:w="2041" w:type="dxa"/>
            <w:vAlign w:val="top"/>
          </w:tcPr>
          <w:p w:rsidR="005C2091" w:rsidRDefault="00A86293">
            <w:pPr>
              <w:pStyle w:val="CellColumn"/>
              <w:jc w:val="right"/>
            </w:pPr>
            <w:r>
              <w:rPr>
                <w:rFonts w:cs="Times New Roman"/>
              </w:rPr>
              <w:t>75.098.352</w:t>
            </w:r>
          </w:p>
        </w:tc>
        <w:tc>
          <w:tcPr>
            <w:tcW w:w="2041" w:type="dxa"/>
            <w:vAlign w:val="top"/>
          </w:tcPr>
          <w:p w:rsidR="005C2091" w:rsidRDefault="00A86293">
            <w:pPr>
              <w:pStyle w:val="CellColumn"/>
              <w:jc w:val="right"/>
            </w:pPr>
            <w:r>
              <w:rPr>
                <w:rFonts w:cs="Times New Roman"/>
              </w:rPr>
              <w:t>70.175.416</w:t>
            </w:r>
          </w:p>
        </w:tc>
        <w:tc>
          <w:tcPr>
            <w:tcW w:w="1224" w:type="dxa"/>
            <w:vAlign w:val="top"/>
          </w:tcPr>
          <w:p w:rsidR="005C2091" w:rsidRDefault="00A86293">
            <w:pPr>
              <w:pStyle w:val="CellColumn"/>
              <w:jc w:val="right"/>
            </w:pPr>
            <w:r>
              <w:rPr>
                <w:rFonts w:cs="Times New Roman"/>
              </w:rPr>
              <w:t>93,4</w:t>
            </w:r>
          </w:p>
        </w:tc>
        <w:tc>
          <w:tcPr>
            <w:tcW w:w="1224" w:type="dxa"/>
            <w:vAlign w:val="top"/>
          </w:tcPr>
          <w:p w:rsidR="005C2091" w:rsidRDefault="00A86293">
            <w:pPr>
              <w:pStyle w:val="CellColumn"/>
              <w:jc w:val="right"/>
            </w:pPr>
            <w:r>
              <w:rPr>
                <w:rFonts w:cs="Times New Roman"/>
              </w:rPr>
              <w:t>136,8</w:t>
            </w:r>
          </w:p>
        </w:tc>
      </w:tr>
      <w:tr w:rsidR="005C2091">
        <w:trPr>
          <w:jc w:val="center"/>
        </w:trPr>
        <w:tc>
          <w:tcPr>
            <w:tcW w:w="1632" w:type="dxa"/>
            <w:shd w:val="clear" w:color="auto" w:fill="B5C0D8"/>
          </w:tcPr>
          <w:p w:rsidR="005C2091" w:rsidRDefault="00A86293">
            <w:pPr>
              <w:pStyle w:val="CellColumn"/>
              <w:jc w:val="left"/>
            </w:pPr>
            <w:r>
              <w:rPr>
                <w:rFonts w:cs="Times New Roman"/>
              </w:rPr>
              <w:t>Ukupno 060-MINISTARSTVO POLJOPRIVREDE</w:t>
            </w:r>
          </w:p>
        </w:tc>
        <w:tc>
          <w:tcPr>
            <w:tcW w:w="2041" w:type="dxa"/>
            <w:shd w:val="clear" w:color="auto" w:fill="B5C0D8"/>
          </w:tcPr>
          <w:p w:rsidR="005C2091" w:rsidRDefault="00A86293">
            <w:pPr>
              <w:pStyle w:val="CellColumn"/>
              <w:jc w:val="right"/>
            </w:pPr>
            <w:r>
              <w:rPr>
                <w:rFonts w:cs="Times New Roman"/>
              </w:rPr>
              <w:t>6.116.809.998</w:t>
            </w:r>
          </w:p>
        </w:tc>
        <w:tc>
          <w:tcPr>
            <w:tcW w:w="2041" w:type="dxa"/>
            <w:shd w:val="clear" w:color="auto" w:fill="B5C0D8"/>
          </w:tcPr>
          <w:p w:rsidR="005C2091" w:rsidRDefault="00A86293">
            <w:pPr>
              <w:pStyle w:val="CellColumn"/>
              <w:jc w:val="right"/>
            </w:pPr>
            <w:r>
              <w:rPr>
                <w:rFonts w:cs="Times New Roman"/>
              </w:rPr>
              <w:t>6.540.913.186</w:t>
            </w:r>
          </w:p>
        </w:tc>
        <w:tc>
          <w:tcPr>
            <w:tcW w:w="2041" w:type="dxa"/>
            <w:shd w:val="clear" w:color="auto" w:fill="B5C0D8"/>
          </w:tcPr>
          <w:p w:rsidR="005C2091" w:rsidRDefault="00A86293">
            <w:pPr>
              <w:pStyle w:val="CellColumn"/>
              <w:jc w:val="right"/>
            </w:pPr>
            <w:r>
              <w:rPr>
                <w:rFonts w:cs="Times New Roman"/>
              </w:rPr>
              <w:t>6.325.459.148</w:t>
            </w:r>
          </w:p>
        </w:tc>
        <w:tc>
          <w:tcPr>
            <w:tcW w:w="1224" w:type="dxa"/>
            <w:shd w:val="clear" w:color="auto" w:fill="B5C0D8"/>
          </w:tcPr>
          <w:p w:rsidR="005C2091" w:rsidRDefault="00A86293">
            <w:pPr>
              <w:pStyle w:val="CellColumn"/>
              <w:jc w:val="right"/>
            </w:pPr>
            <w:r>
              <w:rPr>
                <w:rFonts w:cs="Times New Roman"/>
              </w:rPr>
              <w:t>96,7</w:t>
            </w:r>
          </w:p>
        </w:tc>
        <w:tc>
          <w:tcPr>
            <w:tcW w:w="1224" w:type="dxa"/>
            <w:shd w:val="clear" w:color="auto" w:fill="B5C0D8"/>
          </w:tcPr>
          <w:p w:rsidR="005C2091" w:rsidRDefault="00A86293">
            <w:pPr>
              <w:pStyle w:val="CellColumn"/>
              <w:jc w:val="right"/>
            </w:pPr>
            <w:r>
              <w:rPr>
                <w:rFonts w:cs="Times New Roman"/>
              </w:rPr>
              <w:t>103,4</w:t>
            </w:r>
          </w:p>
        </w:tc>
      </w:tr>
    </w:tbl>
    <w:p w:rsidR="005C2091" w:rsidRDefault="005C2091">
      <w:pPr>
        <w:jc w:val="left"/>
      </w:pPr>
    </w:p>
    <w:p w:rsidR="005C2091" w:rsidRDefault="00A86293">
      <w:pPr>
        <w:pStyle w:val="Heading2"/>
      </w:pPr>
      <w:r>
        <w:t>06005 Ministarstvo poljoprivrede</w:t>
      </w:r>
    </w:p>
    <w:p w:rsidR="005C2091" w:rsidRDefault="00A86293">
      <w:r>
        <w:t xml:space="preserve">Ministarstvo poljoprivrede obavlja upravne i druge poslove u području poljoprivrede, ribarstva, šumarstva, ruralnog razvoja, gospodarenja i raspolaganja poljoprivrednim zemljištem u vlasništvu države, poljoprivredne politike, tržišnih i </w:t>
      </w:r>
    </w:p>
    <w:p w:rsidR="005C2091" w:rsidRDefault="00A86293">
      <w:r>
        <w:t xml:space="preserve">strukturnih potpora u poljoprivredi, prehrambene i duhanske industrije i veterinarstva, i to: biljne proizvodnje i agroekologije, zaštitu biljnih sorti i priznavanje sorti poljoprivrednog bilja, promet i primjenu gnojiva i poboljšivača tla, biljnog zdravstva, prometa i primjene sredstava za zaštitu bilja,uzgoj uzgojno valjanih životinja, propisuje uvjete za proizvodnju i promet grožđa, vina i drugih proizvoda od grožđa i vina. </w:t>
      </w:r>
    </w:p>
    <w:p w:rsidR="005C2091" w:rsidRDefault="00A86293">
      <w:r>
        <w:t xml:space="preserve">Ministarstvo propisuje mjere upravljanja i gospodarenja biološkim bogatstvima mora i slatkih voda; određivanje i kontrolu ribolovnog napora; određivanje granica između unutarnjeg i vanjskoga ribolovnog mora, granica ribolovnih zona, propisuje namjene, vrste i količine ribolovnih alata i opreme u ribolovu, propisuje i uvjete za uzgoj ribe i drugih vodenih organizama, uvjete za obavljanje ribolova i uvjete za priznavanje organizacija proizvođača u ribarstvu. </w:t>
      </w:r>
    </w:p>
    <w:p w:rsidR="005C2091" w:rsidRDefault="00A86293">
      <w:r>
        <w:t xml:space="preserve">Ministarstvo obavlja upravne i druge poslove koji se odnose na šumarstvo, zaštitu šuma, uređivanje pravnih odnosa na šumama i šumskom zemljištu u vlasništvu države, osim imovinskopravnih poslova; drvnu industriju i lovstvo; inspekcijske poslove koji se odnose na šumarstvo i lovstvo; provodi međunarodne sporazume u dijelu koji se odnose na šumarstvo; uređenje odnosa i uvjeta proizvodnje, prometa i uporabe šumskog sjemena i šumskih sadnica, šumarske ekologije, zaštite šuma od elementarnih nepogoda i antropogenih utjecaja, požara, očuvanje šumskih genetskih izvora i šumskog reprodukcijskog materijala. </w:t>
      </w:r>
    </w:p>
    <w:p w:rsidR="005C2091" w:rsidRDefault="00A86293">
      <w:r>
        <w:t xml:space="preserve">Ministarstvo provodi i koordinira mjere ruralnog razvoja, razvitka seoskog prostora, ekološke i održive poljoprivrede, poljoprivrednog zadrugarstva i drugih oblika udruživanja u poljoprivredi i ribarstvu, promicanje autohtonih proizvoda, marketinške pripreme poljoprivredno-prehrambenih proizvoda, očuvanja izvornih i zaštićenih pasmina domaćih životinja. </w:t>
      </w:r>
    </w:p>
    <w:p w:rsidR="005C2091" w:rsidRDefault="00A86293">
      <w:r>
        <w:t xml:space="preserve">Ministarstvo uređuje pravne odnose na poljoprivrednom zemljištu, osim imovinskopravnih poslova, pokreće i vodi postupak komasacije, osim imovinskopravnih poslova, prenamjene poljoprivrednog zemljišta u građevinsko, zaštitu poljoprivrednog zemljišta, vođenje evidencije o poljoprivrednom zemljištu. Ministarstvo provodi mjere poticajne politike u poljoprivredi i ribarstvu, te njihovu prilagodbu mjerilima Svjetske trgovinske organizacije, uređuje i koordinira sufinanciranje poljoprivrede, ribarstva i prerade poljoprivrednih proizvoda proračunskim sredstvima. </w:t>
      </w:r>
    </w:p>
    <w:p w:rsidR="005C2091" w:rsidRDefault="00A86293">
      <w:r>
        <w:t xml:space="preserve">Ministarstvo obavlja upravne i druge poslove koji se odnose na zdravstvenu ispravnost, higijenu i kakvoću hrane, hrane za životinje i organizaciju službenih kontrola. </w:t>
      </w:r>
    </w:p>
    <w:p w:rsidR="005C2091" w:rsidRDefault="00A86293">
      <w:r>
        <w:t xml:space="preserve">Ministarstvo provodi mjere radi otkrivanja i sprječavanja pojava zaraznih bolesti životinja, zaštitu životinja i veterinarske lijekove, propisuje uvjete i kontrolu životinja i proizvoda životinjskog podrijetla u proizvodnji i prometu. </w:t>
      </w:r>
    </w:p>
    <w:p w:rsidR="005C2091" w:rsidRDefault="00A86293">
      <w:r>
        <w:t xml:space="preserve">Ministarstvo obavlja poslove fitosanitarne i granične veterinarske inspekcije, inspekcijske poslove u poljoprivredi, ribarstvu, veterinarstvu te, u skladu s posebnim propisom, o hrani inspekcijske poslove koji se odnose na zdravstvenu ispravnosti i higijenu hrane i hrane za životinje te kakvoću primarnih poljoprivrednih proizvoda, hrane i hrane za životinje. </w:t>
      </w:r>
    </w:p>
    <w:p w:rsidR="005C2091" w:rsidRDefault="00A86293">
      <w:r>
        <w:t xml:space="preserve">Ministarstvo koordinira i usklađuje hrvatsku poljoprivrednu politiku i politiku ruralnog razvoja s odgovarajućim politikama Europske unije u dijelu koji se odnosi na poljoprivredu, prehranu, ruralni razvoj i ribarstvo, provodi projekte iz fondova i programa EU i ostalih oblika međunarodne pomoći. </w:t>
      </w:r>
    </w:p>
    <w:p w:rsidR="005C2091" w:rsidRDefault="00A86293">
      <w:r>
        <w:t>Ministarstvo obavlja poslove koji se odnose na sudjelovanje Republike Hrvatske u radu tijela Europske unije u područjima iz njegove nadležnosti.</w:t>
      </w:r>
    </w:p>
    <w:tbl>
      <w:tblPr>
        <w:tblStyle w:val="StilTablice"/>
        <w:tblW w:w="10206" w:type="dxa"/>
        <w:jc w:val="center"/>
        <w:tblLook w:val="04A0" w:firstRow="1" w:lastRow="0" w:firstColumn="1" w:lastColumn="0" w:noHBand="0" w:noVBand="1"/>
      </w:tblPr>
      <w:tblGrid>
        <w:gridCol w:w="1943"/>
        <w:gridCol w:w="1953"/>
        <w:gridCol w:w="1954"/>
        <w:gridCol w:w="1954"/>
        <w:gridCol w:w="1195"/>
        <w:gridCol w:w="1207"/>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06005-Ministarstvo poljoprivrede</w:t>
            </w:r>
          </w:p>
        </w:tc>
        <w:tc>
          <w:tcPr>
            <w:tcW w:w="2041" w:type="dxa"/>
            <w:vAlign w:val="top"/>
          </w:tcPr>
          <w:p w:rsidR="005C2091" w:rsidRDefault="00A86293">
            <w:pPr>
              <w:pStyle w:val="CellColumn"/>
              <w:jc w:val="right"/>
            </w:pPr>
            <w:r>
              <w:rPr>
                <w:rFonts w:cs="Times New Roman"/>
              </w:rPr>
              <w:t>5.804.751.573</w:t>
            </w:r>
          </w:p>
        </w:tc>
        <w:tc>
          <w:tcPr>
            <w:tcW w:w="2041" w:type="dxa"/>
            <w:vAlign w:val="top"/>
          </w:tcPr>
          <w:p w:rsidR="005C2091" w:rsidRDefault="00A86293">
            <w:pPr>
              <w:pStyle w:val="CellColumn"/>
              <w:jc w:val="right"/>
            </w:pPr>
            <w:r>
              <w:rPr>
                <w:rFonts w:cs="Times New Roman"/>
              </w:rPr>
              <w:t>6.191.809.660</w:t>
            </w:r>
          </w:p>
        </w:tc>
        <w:tc>
          <w:tcPr>
            <w:tcW w:w="2041" w:type="dxa"/>
            <w:vAlign w:val="top"/>
          </w:tcPr>
          <w:p w:rsidR="005C2091" w:rsidRDefault="00A86293">
            <w:pPr>
              <w:pStyle w:val="CellColumn"/>
              <w:jc w:val="right"/>
            </w:pPr>
            <w:r>
              <w:rPr>
                <w:rFonts w:cs="Times New Roman"/>
              </w:rPr>
              <w:t>5.995.790.588</w:t>
            </w:r>
          </w:p>
        </w:tc>
        <w:tc>
          <w:tcPr>
            <w:tcW w:w="1224" w:type="dxa"/>
            <w:vAlign w:val="top"/>
          </w:tcPr>
          <w:p w:rsidR="005C2091" w:rsidRDefault="00A86293">
            <w:pPr>
              <w:pStyle w:val="CellColumn"/>
              <w:jc w:val="right"/>
            </w:pPr>
            <w:r>
              <w:rPr>
                <w:rFonts w:cs="Times New Roman"/>
              </w:rPr>
              <w:t>96,8</w:t>
            </w:r>
          </w:p>
        </w:tc>
        <w:tc>
          <w:tcPr>
            <w:tcW w:w="1224" w:type="dxa"/>
            <w:vAlign w:val="top"/>
          </w:tcPr>
          <w:p w:rsidR="005C2091" w:rsidRDefault="00A86293">
            <w:pPr>
              <w:pStyle w:val="CellColumn"/>
              <w:jc w:val="right"/>
            </w:pPr>
            <w:r>
              <w:rPr>
                <w:rFonts w:cs="Times New Roman"/>
              </w:rPr>
              <w:t>103,3</w:t>
            </w:r>
          </w:p>
        </w:tc>
      </w:tr>
      <w:tr w:rsidR="005C2091">
        <w:trPr>
          <w:jc w:val="center"/>
        </w:trPr>
        <w:tc>
          <w:tcPr>
            <w:tcW w:w="1632" w:type="dxa"/>
          </w:tcPr>
          <w:p w:rsidR="005C2091" w:rsidRDefault="00A86293">
            <w:pPr>
              <w:jc w:val="left"/>
            </w:pPr>
            <w:r>
              <w:t>3001-UPRAVLJANJE POLJOPRIVREDOM, RIBARSTVOM I RURALNIM RAZVOJEM</w:t>
            </w:r>
          </w:p>
        </w:tc>
        <w:tc>
          <w:tcPr>
            <w:tcW w:w="2041" w:type="dxa"/>
          </w:tcPr>
          <w:p w:rsidR="005C2091" w:rsidRDefault="00A86293">
            <w:pPr>
              <w:jc w:val="right"/>
            </w:pPr>
            <w:r>
              <w:t>228.715.457</w:t>
            </w:r>
          </w:p>
        </w:tc>
        <w:tc>
          <w:tcPr>
            <w:tcW w:w="2041" w:type="dxa"/>
          </w:tcPr>
          <w:p w:rsidR="005C2091" w:rsidRDefault="00A86293">
            <w:pPr>
              <w:jc w:val="right"/>
            </w:pPr>
            <w:r>
              <w:t>210.675.248</w:t>
            </w:r>
          </w:p>
        </w:tc>
        <w:tc>
          <w:tcPr>
            <w:tcW w:w="2041" w:type="dxa"/>
          </w:tcPr>
          <w:p w:rsidR="005C2091" w:rsidRDefault="00A86293">
            <w:pPr>
              <w:jc w:val="right"/>
            </w:pPr>
            <w:r>
              <w:t>207.015.410</w:t>
            </w:r>
          </w:p>
        </w:tc>
        <w:tc>
          <w:tcPr>
            <w:tcW w:w="1224" w:type="dxa"/>
          </w:tcPr>
          <w:p w:rsidR="005C2091" w:rsidRDefault="00A86293">
            <w:pPr>
              <w:jc w:val="right"/>
            </w:pPr>
            <w:r>
              <w:t>98,3</w:t>
            </w:r>
          </w:p>
        </w:tc>
        <w:tc>
          <w:tcPr>
            <w:tcW w:w="1224" w:type="dxa"/>
          </w:tcPr>
          <w:p w:rsidR="005C2091" w:rsidRDefault="00A86293">
            <w:pPr>
              <w:jc w:val="right"/>
            </w:pPr>
            <w:r>
              <w:t>90,5</w:t>
            </w:r>
          </w:p>
        </w:tc>
      </w:tr>
      <w:tr w:rsidR="005C2091">
        <w:trPr>
          <w:jc w:val="center"/>
        </w:trPr>
        <w:tc>
          <w:tcPr>
            <w:tcW w:w="1632" w:type="dxa"/>
          </w:tcPr>
          <w:p w:rsidR="005C2091" w:rsidRDefault="00A86293">
            <w:pPr>
              <w:jc w:val="left"/>
            </w:pPr>
            <w:r>
              <w:t>3002-POLJOPRIVREDA</w:t>
            </w:r>
          </w:p>
        </w:tc>
        <w:tc>
          <w:tcPr>
            <w:tcW w:w="2041" w:type="dxa"/>
          </w:tcPr>
          <w:p w:rsidR="005C2091" w:rsidRDefault="00A86293">
            <w:pPr>
              <w:jc w:val="right"/>
            </w:pPr>
            <w:r>
              <w:t>3.070.753.152</w:t>
            </w:r>
          </w:p>
        </w:tc>
        <w:tc>
          <w:tcPr>
            <w:tcW w:w="2041" w:type="dxa"/>
          </w:tcPr>
          <w:p w:rsidR="005C2091" w:rsidRDefault="00A86293">
            <w:pPr>
              <w:jc w:val="right"/>
            </w:pPr>
            <w:r>
              <w:t>2.603.874.556</w:t>
            </w:r>
          </w:p>
        </w:tc>
        <w:tc>
          <w:tcPr>
            <w:tcW w:w="2041" w:type="dxa"/>
          </w:tcPr>
          <w:p w:rsidR="005C2091" w:rsidRDefault="00A86293">
            <w:pPr>
              <w:jc w:val="right"/>
            </w:pPr>
            <w:r>
              <w:t>2.573.743.464</w:t>
            </w:r>
          </w:p>
        </w:tc>
        <w:tc>
          <w:tcPr>
            <w:tcW w:w="1224" w:type="dxa"/>
          </w:tcPr>
          <w:p w:rsidR="005C2091" w:rsidRDefault="00A86293">
            <w:pPr>
              <w:jc w:val="right"/>
            </w:pPr>
            <w:r>
              <w:t>98,8</w:t>
            </w:r>
          </w:p>
        </w:tc>
        <w:tc>
          <w:tcPr>
            <w:tcW w:w="1224" w:type="dxa"/>
          </w:tcPr>
          <w:p w:rsidR="005C2091" w:rsidRDefault="00A86293">
            <w:pPr>
              <w:jc w:val="right"/>
            </w:pPr>
            <w:r>
              <w:t>83,8</w:t>
            </w:r>
          </w:p>
        </w:tc>
      </w:tr>
      <w:tr w:rsidR="005C2091">
        <w:trPr>
          <w:jc w:val="center"/>
        </w:trPr>
        <w:tc>
          <w:tcPr>
            <w:tcW w:w="1632" w:type="dxa"/>
          </w:tcPr>
          <w:p w:rsidR="005C2091" w:rsidRDefault="00A86293">
            <w:pPr>
              <w:jc w:val="left"/>
            </w:pPr>
            <w:r>
              <w:t>3003-VETERINARSTVO I SIGURNOST HRANE</w:t>
            </w:r>
          </w:p>
        </w:tc>
        <w:tc>
          <w:tcPr>
            <w:tcW w:w="2041" w:type="dxa"/>
          </w:tcPr>
          <w:p w:rsidR="005C2091" w:rsidRDefault="00A86293">
            <w:pPr>
              <w:jc w:val="right"/>
            </w:pPr>
            <w:r>
              <w:t>305.019.351</w:t>
            </w:r>
          </w:p>
        </w:tc>
        <w:tc>
          <w:tcPr>
            <w:tcW w:w="2041" w:type="dxa"/>
          </w:tcPr>
          <w:p w:rsidR="005C2091" w:rsidRDefault="00A86293">
            <w:pPr>
              <w:jc w:val="right"/>
            </w:pPr>
            <w:r>
              <w:t>339.594.300</w:t>
            </w:r>
          </w:p>
        </w:tc>
        <w:tc>
          <w:tcPr>
            <w:tcW w:w="2041" w:type="dxa"/>
          </w:tcPr>
          <w:p w:rsidR="005C2091" w:rsidRDefault="00A86293">
            <w:pPr>
              <w:jc w:val="right"/>
            </w:pPr>
            <w:r>
              <w:t>325.096.716</w:t>
            </w:r>
          </w:p>
        </w:tc>
        <w:tc>
          <w:tcPr>
            <w:tcW w:w="1224" w:type="dxa"/>
          </w:tcPr>
          <w:p w:rsidR="005C2091" w:rsidRDefault="00A86293">
            <w:pPr>
              <w:jc w:val="right"/>
            </w:pPr>
            <w:r>
              <w:t>95,7</w:t>
            </w:r>
          </w:p>
        </w:tc>
        <w:tc>
          <w:tcPr>
            <w:tcW w:w="1224" w:type="dxa"/>
          </w:tcPr>
          <w:p w:rsidR="005C2091" w:rsidRDefault="00A86293">
            <w:pPr>
              <w:jc w:val="right"/>
            </w:pPr>
            <w:r>
              <w:t>106,6</w:t>
            </w:r>
          </w:p>
        </w:tc>
      </w:tr>
      <w:tr w:rsidR="005C2091">
        <w:trPr>
          <w:jc w:val="center"/>
        </w:trPr>
        <w:tc>
          <w:tcPr>
            <w:tcW w:w="1632" w:type="dxa"/>
          </w:tcPr>
          <w:p w:rsidR="005C2091" w:rsidRDefault="00A86293">
            <w:pPr>
              <w:jc w:val="left"/>
            </w:pPr>
            <w:r>
              <w:t>3004-RURALNI RAZVOJ</w:t>
            </w:r>
          </w:p>
        </w:tc>
        <w:tc>
          <w:tcPr>
            <w:tcW w:w="2041" w:type="dxa"/>
          </w:tcPr>
          <w:p w:rsidR="005C2091" w:rsidRDefault="00A86293">
            <w:pPr>
              <w:jc w:val="right"/>
            </w:pPr>
            <w:r>
              <w:t>1.065.874.438</w:t>
            </w:r>
          </w:p>
        </w:tc>
        <w:tc>
          <w:tcPr>
            <w:tcW w:w="2041" w:type="dxa"/>
          </w:tcPr>
          <w:p w:rsidR="005C2091" w:rsidRDefault="00A86293">
            <w:pPr>
              <w:jc w:val="right"/>
            </w:pPr>
            <w:r>
              <w:t>1.563.290.984</w:t>
            </w:r>
          </w:p>
        </w:tc>
        <w:tc>
          <w:tcPr>
            <w:tcW w:w="2041" w:type="dxa"/>
          </w:tcPr>
          <w:p w:rsidR="005C2091" w:rsidRDefault="00A86293">
            <w:pPr>
              <w:jc w:val="right"/>
            </w:pPr>
            <w:r>
              <w:t>1.548.820.768</w:t>
            </w:r>
          </w:p>
        </w:tc>
        <w:tc>
          <w:tcPr>
            <w:tcW w:w="1224" w:type="dxa"/>
          </w:tcPr>
          <w:p w:rsidR="005C2091" w:rsidRDefault="00A86293">
            <w:pPr>
              <w:jc w:val="right"/>
            </w:pPr>
            <w:r>
              <w:t>99,1</w:t>
            </w:r>
          </w:p>
        </w:tc>
        <w:tc>
          <w:tcPr>
            <w:tcW w:w="1224" w:type="dxa"/>
          </w:tcPr>
          <w:p w:rsidR="005C2091" w:rsidRDefault="00A86293">
            <w:pPr>
              <w:jc w:val="right"/>
            </w:pPr>
            <w:r>
              <w:t>145,3</w:t>
            </w:r>
          </w:p>
        </w:tc>
      </w:tr>
      <w:tr w:rsidR="005C2091">
        <w:trPr>
          <w:jc w:val="center"/>
        </w:trPr>
        <w:tc>
          <w:tcPr>
            <w:tcW w:w="1632" w:type="dxa"/>
          </w:tcPr>
          <w:p w:rsidR="005C2091" w:rsidRDefault="00A86293">
            <w:pPr>
              <w:jc w:val="left"/>
            </w:pPr>
            <w:r>
              <w:t>3005-RIBARSTVO</w:t>
            </w:r>
          </w:p>
        </w:tc>
        <w:tc>
          <w:tcPr>
            <w:tcW w:w="2041" w:type="dxa"/>
          </w:tcPr>
          <w:p w:rsidR="005C2091" w:rsidRDefault="00A86293">
            <w:pPr>
              <w:jc w:val="right"/>
            </w:pPr>
            <w:r>
              <w:t>165.691.294</w:t>
            </w:r>
          </w:p>
        </w:tc>
        <w:tc>
          <w:tcPr>
            <w:tcW w:w="2041" w:type="dxa"/>
          </w:tcPr>
          <w:p w:rsidR="005C2091" w:rsidRDefault="00A86293">
            <w:pPr>
              <w:jc w:val="right"/>
            </w:pPr>
            <w:r>
              <w:t>347.480.419</w:t>
            </w:r>
          </w:p>
        </w:tc>
        <w:tc>
          <w:tcPr>
            <w:tcW w:w="2041" w:type="dxa"/>
          </w:tcPr>
          <w:p w:rsidR="005C2091" w:rsidRDefault="00A86293">
            <w:pPr>
              <w:jc w:val="right"/>
            </w:pPr>
            <w:r>
              <w:t>257.648.548</w:t>
            </w:r>
          </w:p>
        </w:tc>
        <w:tc>
          <w:tcPr>
            <w:tcW w:w="1224" w:type="dxa"/>
          </w:tcPr>
          <w:p w:rsidR="005C2091" w:rsidRDefault="00A86293">
            <w:pPr>
              <w:jc w:val="right"/>
            </w:pPr>
            <w:r>
              <w:t>74,1</w:t>
            </w:r>
          </w:p>
        </w:tc>
        <w:tc>
          <w:tcPr>
            <w:tcW w:w="1224" w:type="dxa"/>
          </w:tcPr>
          <w:p w:rsidR="005C2091" w:rsidRDefault="00A86293">
            <w:pPr>
              <w:jc w:val="right"/>
            </w:pPr>
            <w:r>
              <w:t>155,5</w:t>
            </w:r>
          </w:p>
        </w:tc>
      </w:tr>
      <w:tr w:rsidR="005C2091">
        <w:trPr>
          <w:jc w:val="center"/>
        </w:trPr>
        <w:tc>
          <w:tcPr>
            <w:tcW w:w="1632" w:type="dxa"/>
          </w:tcPr>
          <w:p w:rsidR="005C2091" w:rsidRDefault="00A86293">
            <w:pPr>
              <w:jc w:val="left"/>
            </w:pPr>
            <w:r>
              <w:t>3006-GOSPODARENJE I ZAŠTITA ŠUMSKIH RESURSA, LOVIŠTA I DIVLJAČI</w:t>
            </w:r>
          </w:p>
        </w:tc>
        <w:tc>
          <w:tcPr>
            <w:tcW w:w="2041" w:type="dxa"/>
          </w:tcPr>
          <w:p w:rsidR="005C2091" w:rsidRDefault="00A86293">
            <w:pPr>
              <w:jc w:val="right"/>
            </w:pPr>
            <w:r>
              <w:t>97.826.468</w:t>
            </w:r>
          </w:p>
        </w:tc>
        <w:tc>
          <w:tcPr>
            <w:tcW w:w="2041" w:type="dxa"/>
          </w:tcPr>
          <w:p w:rsidR="005C2091" w:rsidRDefault="00A86293">
            <w:pPr>
              <w:jc w:val="right"/>
            </w:pPr>
            <w:r>
              <w:t>168.234.660</w:t>
            </w:r>
          </w:p>
        </w:tc>
        <w:tc>
          <w:tcPr>
            <w:tcW w:w="2041" w:type="dxa"/>
          </w:tcPr>
          <w:p w:rsidR="005C2091" w:rsidRDefault="00A86293">
            <w:pPr>
              <w:jc w:val="right"/>
            </w:pPr>
            <w:r>
              <w:t>150.273.515</w:t>
            </w:r>
          </w:p>
        </w:tc>
        <w:tc>
          <w:tcPr>
            <w:tcW w:w="1224" w:type="dxa"/>
          </w:tcPr>
          <w:p w:rsidR="005C2091" w:rsidRDefault="00A86293">
            <w:pPr>
              <w:jc w:val="right"/>
            </w:pPr>
            <w:r>
              <w:t>89,3</w:t>
            </w:r>
          </w:p>
        </w:tc>
        <w:tc>
          <w:tcPr>
            <w:tcW w:w="1224" w:type="dxa"/>
          </w:tcPr>
          <w:p w:rsidR="005C2091" w:rsidRDefault="00A86293">
            <w:pPr>
              <w:jc w:val="right"/>
            </w:pPr>
            <w:r>
              <w:t>153,6</w:t>
            </w:r>
          </w:p>
        </w:tc>
      </w:tr>
      <w:tr w:rsidR="005C2091">
        <w:trPr>
          <w:jc w:val="center"/>
        </w:trPr>
        <w:tc>
          <w:tcPr>
            <w:tcW w:w="1632" w:type="dxa"/>
          </w:tcPr>
          <w:p w:rsidR="005C2091" w:rsidRDefault="00A86293">
            <w:pPr>
              <w:jc w:val="left"/>
            </w:pPr>
            <w:r>
              <w:t>3007-SUSTAV NAVODNJAVANJA I ZAŠTITE OD ŠTETNOG DJELOVANJA VODA</w:t>
            </w:r>
          </w:p>
        </w:tc>
        <w:tc>
          <w:tcPr>
            <w:tcW w:w="2041" w:type="dxa"/>
          </w:tcPr>
          <w:p w:rsidR="005C2091" w:rsidRDefault="00A86293">
            <w:pPr>
              <w:jc w:val="right"/>
            </w:pPr>
            <w:r>
              <w:t>80.967.503</w:t>
            </w:r>
          </w:p>
        </w:tc>
        <w:tc>
          <w:tcPr>
            <w:tcW w:w="2041" w:type="dxa"/>
          </w:tcPr>
          <w:p w:rsidR="005C2091" w:rsidRDefault="00A86293">
            <w:pPr>
              <w:jc w:val="right"/>
            </w:pPr>
            <w:r>
              <w:t>23.066.205</w:t>
            </w:r>
          </w:p>
        </w:tc>
        <w:tc>
          <w:tcPr>
            <w:tcW w:w="2041" w:type="dxa"/>
          </w:tcPr>
          <w:p w:rsidR="005C2091" w:rsidRDefault="00A86293">
            <w:pPr>
              <w:jc w:val="right"/>
            </w:pPr>
            <w:r>
              <w:t>23.066.202</w:t>
            </w:r>
          </w:p>
        </w:tc>
        <w:tc>
          <w:tcPr>
            <w:tcW w:w="1224" w:type="dxa"/>
          </w:tcPr>
          <w:p w:rsidR="005C2091" w:rsidRDefault="00A86293">
            <w:pPr>
              <w:jc w:val="right"/>
            </w:pPr>
            <w:r>
              <w:t>100,0</w:t>
            </w:r>
          </w:p>
        </w:tc>
        <w:tc>
          <w:tcPr>
            <w:tcW w:w="1224" w:type="dxa"/>
          </w:tcPr>
          <w:p w:rsidR="005C2091" w:rsidRDefault="00A86293">
            <w:pPr>
              <w:jc w:val="right"/>
            </w:pPr>
            <w:r>
              <w:t>28,5</w:t>
            </w:r>
          </w:p>
        </w:tc>
      </w:tr>
      <w:tr w:rsidR="005C2091">
        <w:trPr>
          <w:jc w:val="center"/>
        </w:trPr>
        <w:tc>
          <w:tcPr>
            <w:tcW w:w="1632" w:type="dxa"/>
          </w:tcPr>
          <w:p w:rsidR="005C2091" w:rsidRDefault="00A86293">
            <w:pPr>
              <w:jc w:val="left"/>
            </w:pPr>
            <w:r>
              <w:t>3207-POTICANJE RAZVOJA INDUSTRIJSKE PRERADE DRVA</w:t>
            </w:r>
          </w:p>
        </w:tc>
        <w:tc>
          <w:tcPr>
            <w:tcW w:w="2041" w:type="dxa"/>
          </w:tcPr>
          <w:p w:rsidR="005C2091" w:rsidRDefault="00A86293">
            <w:pPr>
              <w:jc w:val="right"/>
            </w:pPr>
            <w:r>
              <w:t>33.342</w:t>
            </w:r>
          </w:p>
        </w:tc>
        <w:tc>
          <w:tcPr>
            <w:tcW w:w="2041" w:type="dxa"/>
          </w:tcPr>
          <w:p w:rsidR="005C2091" w:rsidRDefault="00A86293">
            <w:pPr>
              <w:jc w:val="right"/>
            </w:pPr>
            <w:r>
              <w:t>9.465.141</w:t>
            </w:r>
          </w:p>
        </w:tc>
        <w:tc>
          <w:tcPr>
            <w:tcW w:w="2041" w:type="dxa"/>
          </w:tcPr>
          <w:p w:rsidR="005C2091" w:rsidRDefault="00A86293">
            <w:pPr>
              <w:jc w:val="right"/>
            </w:pPr>
            <w:r>
              <w:t>8.036.337</w:t>
            </w:r>
          </w:p>
        </w:tc>
        <w:tc>
          <w:tcPr>
            <w:tcW w:w="1224" w:type="dxa"/>
          </w:tcPr>
          <w:p w:rsidR="005C2091" w:rsidRDefault="00A86293">
            <w:pPr>
              <w:jc w:val="right"/>
            </w:pPr>
            <w:r>
              <w:t>84,9</w:t>
            </w:r>
          </w:p>
        </w:tc>
        <w:tc>
          <w:tcPr>
            <w:tcW w:w="1224" w:type="dxa"/>
          </w:tcPr>
          <w:p w:rsidR="005C2091" w:rsidRDefault="00A86293">
            <w:pPr>
              <w:jc w:val="right"/>
            </w:pPr>
            <w:r>
              <w:t>24102,6</w:t>
            </w:r>
          </w:p>
        </w:tc>
      </w:tr>
      <w:tr w:rsidR="005C2091">
        <w:trPr>
          <w:jc w:val="center"/>
        </w:trPr>
        <w:tc>
          <w:tcPr>
            <w:tcW w:w="1632" w:type="dxa"/>
          </w:tcPr>
          <w:p w:rsidR="005C2091" w:rsidRDefault="00A86293">
            <w:pPr>
              <w:jc w:val="left"/>
            </w:pPr>
            <w:r>
              <w:t>3406-RAZVOJ SUSTAVA JAVNE ODVODNJE I ZAŠTITE VODA I MORA</w:t>
            </w:r>
          </w:p>
        </w:tc>
        <w:tc>
          <w:tcPr>
            <w:tcW w:w="2041" w:type="dxa"/>
          </w:tcPr>
          <w:p w:rsidR="005C2091" w:rsidRDefault="00A86293">
            <w:pPr>
              <w:jc w:val="right"/>
            </w:pPr>
            <w:r>
              <w:t>789.097.484</w:t>
            </w:r>
          </w:p>
        </w:tc>
        <w:tc>
          <w:tcPr>
            <w:tcW w:w="2041" w:type="dxa"/>
          </w:tcPr>
          <w:p w:rsidR="005C2091" w:rsidRDefault="00A86293">
            <w:pPr>
              <w:jc w:val="right"/>
            </w:pPr>
            <w:r>
              <w:t>925.630.586</w:t>
            </w:r>
          </w:p>
        </w:tc>
        <w:tc>
          <w:tcPr>
            <w:tcW w:w="2041" w:type="dxa"/>
          </w:tcPr>
          <w:p w:rsidR="005C2091" w:rsidRDefault="00A86293">
            <w:pPr>
              <w:jc w:val="right"/>
            </w:pPr>
            <w:r>
              <w:t>901.592.066</w:t>
            </w:r>
          </w:p>
        </w:tc>
        <w:tc>
          <w:tcPr>
            <w:tcW w:w="1224" w:type="dxa"/>
          </w:tcPr>
          <w:p w:rsidR="005C2091" w:rsidRDefault="00A86293">
            <w:pPr>
              <w:jc w:val="right"/>
            </w:pPr>
            <w:r>
              <w:t>97,4</w:t>
            </w:r>
          </w:p>
        </w:tc>
        <w:tc>
          <w:tcPr>
            <w:tcW w:w="1224" w:type="dxa"/>
          </w:tcPr>
          <w:p w:rsidR="005C2091" w:rsidRDefault="00A86293">
            <w:pPr>
              <w:jc w:val="right"/>
            </w:pPr>
            <w:r>
              <w:t>114,3</w:t>
            </w:r>
          </w:p>
        </w:tc>
      </w:tr>
      <w:tr w:rsidR="005C2091">
        <w:trPr>
          <w:jc w:val="center"/>
        </w:trPr>
        <w:tc>
          <w:tcPr>
            <w:tcW w:w="1632" w:type="dxa"/>
          </w:tcPr>
          <w:p w:rsidR="005C2091" w:rsidRDefault="00A86293">
            <w:pPr>
              <w:jc w:val="left"/>
            </w:pPr>
            <w:r>
              <w:t>3508-RAZVOJ I UPRAVLJANJE VODOOPSKRBNIM SUSTAVOM</w:t>
            </w:r>
          </w:p>
        </w:tc>
        <w:tc>
          <w:tcPr>
            <w:tcW w:w="2041" w:type="dxa"/>
          </w:tcPr>
          <w:p w:rsidR="005C2091" w:rsidRDefault="00A86293">
            <w:pPr>
              <w:jc w:val="right"/>
            </w:pPr>
            <w:r>
              <w:t>773.083</w:t>
            </w:r>
          </w:p>
        </w:tc>
        <w:tc>
          <w:tcPr>
            <w:tcW w:w="2041" w:type="dxa"/>
          </w:tcPr>
          <w:p w:rsidR="005C2091" w:rsidRDefault="00A86293">
            <w:pPr>
              <w:jc w:val="right"/>
            </w:pPr>
            <w:r>
              <w:t>497.561</w:t>
            </w:r>
          </w:p>
        </w:tc>
        <w:tc>
          <w:tcPr>
            <w:tcW w:w="2041" w:type="dxa"/>
          </w:tcPr>
          <w:p w:rsidR="005C2091" w:rsidRDefault="00A86293">
            <w:pPr>
              <w:jc w:val="right"/>
            </w:pPr>
            <w:r>
              <w:t>497.561</w:t>
            </w:r>
          </w:p>
        </w:tc>
        <w:tc>
          <w:tcPr>
            <w:tcW w:w="1224" w:type="dxa"/>
          </w:tcPr>
          <w:p w:rsidR="005C2091" w:rsidRDefault="00A86293">
            <w:pPr>
              <w:jc w:val="right"/>
            </w:pPr>
            <w:r>
              <w:t>100,0</w:t>
            </w:r>
          </w:p>
        </w:tc>
        <w:tc>
          <w:tcPr>
            <w:tcW w:w="1224" w:type="dxa"/>
          </w:tcPr>
          <w:p w:rsidR="005C2091" w:rsidRDefault="00A86293">
            <w:pPr>
              <w:jc w:val="right"/>
            </w:pPr>
            <w:r>
              <w:t>64,4</w:t>
            </w:r>
          </w:p>
        </w:tc>
      </w:tr>
    </w:tbl>
    <w:p w:rsidR="005C2091" w:rsidRDefault="005C2091">
      <w:pPr>
        <w:jc w:val="left"/>
      </w:pPr>
    </w:p>
    <w:p w:rsidR="005C2091" w:rsidRDefault="00A86293">
      <w:pPr>
        <w:pStyle w:val="Heading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3"/>
        <w:gridCol w:w="1951"/>
        <w:gridCol w:w="1952"/>
        <w:gridCol w:w="1952"/>
        <w:gridCol w:w="1199"/>
        <w:gridCol w:w="1209"/>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3001-UPRAVLJANJE POLJOPRIVREDOM, RIBARSTVOM I RURALNIM RAZVOJEM</w:t>
            </w:r>
          </w:p>
        </w:tc>
        <w:tc>
          <w:tcPr>
            <w:tcW w:w="2041" w:type="dxa"/>
          </w:tcPr>
          <w:p w:rsidR="005C2091" w:rsidRDefault="00A86293">
            <w:pPr>
              <w:pStyle w:val="CellColumn"/>
              <w:jc w:val="right"/>
            </w:pPr>
            <w:r>
              <w:rPr>
                <w:rFonts w:cs="Times New Roman"/>
              </w:rPr>
              <w:t>228.715.457</w:t>
            </w:r>
          </w:p>
        </w:tc>
        <w:tc>
          <w:tcPr>
            <w:tcW w:w="2041" w:type="dxa"/>
          </w:tcPr>
          <w:p w:rsidR="005C2091" w:rsidRDefault="00A86293">
            <w:pPr>
              <w:pStyle w:val="CellColumn"/>
              <w:jc w:val="right"/>
            </w:pPr>
            <w:r>
              <w:rPr>
                <w:rFonts w:cs="Times New Roman"/>
              </w:rPr>
              <w:t>210.675.248</w:t>
            </w:r>
          </w:p>
        </w:tc>
        <w:tc>
          <w:tcPr>
            <w:tcW w:w="2041" w:type="dxa"/>
          </w:tcPr>
          <w:p w:rsidR="005C2091" w:rsidRDefault="00A86293">
            <w:pPr>
              <w:pStyle w:val="CellColumn"/>
              <w:jc w:val="right"/>
            </w:pPr>
            <w:r>
              <w:rPr>
                <w:rFonts w:cs="Times New Roman"/>
              </w:rPr>
              <w:t>207.015.410</w:t>
            </w:r>
          </w:p>
        </w:tc>
        <w:tc>
          <w:tcPr>
            <w:tcW w:w="1224" w:type="dxa"/>
          </w:tcPr>
          <w:p w:rsidR="005C2091" w:rsidRDefault="00A86293">
            <w:pPr>
              <w:pStyle w:val="CellColumn"/>
              <w:jc w:val="right"/>
            </w:pPr>
            <w:r>
              <w:rPr>
                <w:rFonts w:cs="Times New Roman"/>
              </w:rPr>
              <w:t>98,3</w:t>
            </w:r>
          </w:p>
        </w:tc>
        <w:tc>
          <w:tcPr>
            <w:tcW w:w="1224" w:type="dxa"/>
          </w:tcPr>
          <w:p w:rsidR="005C2091" w:rsidRDefault="00A86293">
            <w:pPr>
              <w:pStyle w:val="CellColumn"/>
              <w:jc w:val="right"/>
            </w:pPr>
            <w:r>
              <w:rPr>
                <w:rFonts w:cs="Times New Roman"/>
              </w:rPr>
              <w:t>90,5</w:t>
            </w:r>
          </w:p>
        </w:tc>
      </w:tr>
    </w:tbl>
    <w:p w:rsidR="005C2091" w:rsidRDefault="005C2091">
      <w:pPr>
        <w:jc w:val="left"/>
      </w:pPr>
    </w:p>
    <w:p w:rsidR="005C2091" w:rsidRDefault="00A86293">
      <w:r>
        <w:t xml:space="preserve">Programom su obuhvaćene aktivnosti kojima se financiralo FADN istraživanja kojima se prikupljaju podaci za izračun strukturnih i ekonomskih pokazatelja vezanih uz poljoprivredu a koji omogućuju evaluaciju i bolje planiranje ciljanih mjera za pojedine skupine proizvođača. Također, kako bi se osiguralo kontinuirano participiranje u paleti mjera koja je na raspolaganju u području uređenja tržišta poljoprivredno-prehrambenih proizvoda, aktivnostima unutar ovoga programa financiraju se informacijski sustavi  kojima se kojim se prikupljanju podaci o cijenama određenih poljoprivrednih proizvoda te  proizvodni i ekonomski podaci o sektoru poljoprivrede i provedbi mjera poljoprivredne politike.  </w:t>
      </w:r>
    </w:p>
    <w:p w:rsidR="005C2091" w:rsidRDefault="00A86293">
      <w:r>
        <w:t>Realizacija programa doprinosi ostvarenju ciljeva utvrđenih u Strateškom planu Ministarstva poljoprivrede za razdoblje 2016. - 2018., i to posebnog cilja 1.4. Poboljšanje tržišnih mehanizama za prodaju poljoprivredno-prehrambenih i ribarskih proizvoda.</w:t>
      </w:r>
    </w:p>
    <w:p w:rsidR="005C2091" w:rsidRDefault="00A86293">
      <w:pPr>
        <w:pStyle w:val="Heading8"/>
        <w:jc w:val="left"/>
      </w:pPr>
      <w:r>
        <w:t>Cilj 1. Provedba financiranja poljoprivrednog i ribarskog sektora sukladno ZPP i ZRP</w:t>
      </w:r>
    </w:p>
    <w:p w:rsidR="005C2091" w:rsidRDefault="00A86293">
      <w:pPr>
        <w:pStyle w:val="Heading8"/>
        <w:jc w:val="left"/>
      </w:pPr>
      <w:r>
        <w:t>Opis provedbe cilja programa</w:t>
      </w:r>
    </w:p>
    <w:p w:rsidR="005C2091" w:rsidRDefault="00A86293">
      <w:r>
        <w:t>Republika Hrvatska je stjecanjem punopravnog članstva u EU uskladila tržišne mehanizme sukladno zahtjevima EU te osigurava njihovu provedbu kako bi postala ravnopravni sudionik zajedničkog europskog tržišta. Stoga je nužan kontinuiran rad u području politike tržišnih mehanizama kako bi se osiguralo kontinuirano participiranje u paleti mjera koja je na raspolaganju u području uređenja tržišta poljoprivredno-prehrambenih proizvoda.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89"/>
        <w:gridCol w:w="2475"/>
        <w:gridCol w:w="1007"/>
        <w:gridCol w:w="1014"/>
        <w:gridCol w:w="1192"/>
        <w:gridCol w:w="1014"/>
        <w:gridCol w:w="1015"/>
      </w:tblGrid>
      <w:tr w:rsidR="005C2091" w:rsidTr="00F24C48">
        <w:trPr>
          <w:jc w:val="center"/>
        </w:trPr>
        <w:tc>
          <w:tcPr>
            <w:tcW w:w="2489" w:type="dxa"/>
            <w:shd w:val="clear" w:color="auto" w:fill="B5C0D8"/>
          </w:tcPr>
          <w:p w:rsidR="005C2091" w:rsidRDefault="00A86293">
            <w:pPr>
              <w:jc w:val="center"/>
            </w:pPr>
            <w:r>
              <w:t>Pokazatelj učinka</w:t>
            </w:r>
          </w:p>
        </w:tc>
        <w:tc>
          <w:tcPr>
            <w:tcW w:w="2475" w:type="dxa"/>
            <w:shd w:val="clear" w:color="auto" w:fill="B5C0D8"/>
          </w:tcPr>
          <w:p w:rsidR="005C2091" w:rsidRDefault="00A86293">
            <w:pPr>
              <w:pStyle w:val="CellHeader"/>
              <w:jc w:val="center"/>
            </w:pPr>
            <w:r>
              <w:rPr>
                <w:rFonts w:cs="Times New Roman"/>
              </w:rPr>
              <w:t>Definicija</w:t>
            </w:r>
          </w:p>
        </w:tc>
        <w:tc>
          <w:tcPr>
            <w:tcW w:w="1007" w:type="dxa"/>
            <w:shd w:val="clear" w:color="auto" w:fill="B5C0D8"/>
          </w:tcPr>
          <w:p w:rsidR="005C2091" w:rsidRDefault="00A86293">
            <w:pPr>
              <w:pStyle w:val="CellHeader"/>
              <w:jc w:val="center"/>
            </w:pPr>
            <w:r>
              <w:rPr>
                <w:rFonts w:cs="Times New Roman"/>
              </w:rPr>
              <w:t>Jedinica</w:t>
            </w:r>
          </w:p>
        </w:tc>
        <w:tc>
          <w:tcPr>
            <w:tcW w:w="1014" w:type="dxa"/>
            <w:shd w:val="clear" w:color="auto" w:fill="B5C0D8"/>
          </w:tcPr>
          <w:p w:rsidR="005C2091" w:rsidRDefault="00A86293">
            <w:pPr>
              <w:pStyle w:val="CellHeader"/>
              <w:jc w:val="center"/>
            </w:pPr>
            <w:r>
              <w:rPr>
                <w:rFonts w:cs="Times New Roman"/>
              </w:rPr>
              <w:t>Polazna vrijednost</w:t>
            </w:r>
          </w:p>
        </w:tc>
        <w:tc>
          <w:tcPr>
            <w:tcW w:w="1192" w:type="dxa"/>
            <w:shd w:val="clear" w:color="auto" w:fill="B5C0D8"/>
          </w:tcPr>
          <w:p w:rsidR="005C2091" w:rsidRDefault="00A86293">
            <w:pPr>
              <w:pStyle w:val="CellHeader"/>
              <w:jc w:val="center"/>
            </w:pPr>
            <w:r>
              <w:rPr>
                <w:rFonts w:cs="Times New Roman"/>
              </w:rPr>
              <w:t>Izvor podataka</w:t>
            </w:r>
          </w:p>
        </w:tc>
        <w:tc>
          <w:tcPr>
            <w:tcW w:w="1014" w:type="dxa"/>
            <w:shd w:val="clear" w:color="auto" w:fill="B5C0D8"/>
          </w:tcPr>
          <w:p w:rsidR="005C2091" w:rsidRDefault="00A86293">
            <w:pPr>
              <w:pStyle w:val="CellHeader"/>
              <w:jc w:val="center"/>
            </w:pPr>
            <w:r>
              <w:rPr>
                <w:rFonts w:cs="Times New Roman"/>
              </w:rPr>
              <w:t>Ciljana vrijednost (2016.)</w:t>
            </w:r>
          </w:p>
        </w:tc>
        <w:tc>
          <w:tcPr>
            <w:tcW w:w="1015" w:type="dxa"/>
            <w:shd w:val="clear" w:color="auto" w:fill="B5C0D8"/>
          </w:tcPr>
          <w:p w:rsidR="005C2091" w:rsidRDefault="00A86293">
            <w:pPr>
              <w:pStyle w:val="CellHeader"/>
              <w:jc w:val="center"/>
            </w:pPr>
            <w:r>
              <w:rPr>
                <w:rFonts w:cs="Times New Roman"/>
              </w:rPr>
              <w:t>Ostvarena vrijednost (2016.)</w:t>
            </w:r>
          </w:p>
        </w:tc>
      </w:tr>
      <w:tr w:rsidR="005C2091" w:rsidTr="00F24C48">
        <w:trPr>
          <w:jc w:val="center"/>
        </w:trPr>
        <w:tc>
          <w:tcPr>
            <w:tcW w:w="2489" w:type="dxa"/>
          </w:tcPr>
          <w:p w:rsidR="005C2091" w:rsidRDefault="00A86293">
            <w:pPr>
              <w:pStyle w:val="CellColumn"/>
              <w:jc w:val="left"/>
            </w:pPr>
            <w:r>
              <w:rPr>
                <w:rFonts w:cs="Times New Roman"/>
              </w:rPr>
              <w:t>Učinkovita organizacija inspekcijskih nadzora u području poljoprivredne proizvodnje,  sigurnosti hrane u primarnoj poljoprivrednoj proizvodnji, kvalitete hrane i hrane za životinje</w:t>
            </w:r>
          </w:p>
        </w:tc>
        <w:tc>
          <w:tcPr>
            <w:tcW w:w="2475" w:type="dxa"/>
          </w:tcPr>
          <w:p w:rsidR="005C2091" w:rsidRDefault="00A86293">
            <w:pPr>
              <w:pStyle w:val="CellColumn"/>
              <w:jc w:val="left"/>
            </w:pPr>
            <w:r>
              <w:rPr>
                <w:rFonts w:cs="Times New Roman"/>
              </w:rPr>
              <w:t>Provedeni inspekcijski nadzori i uzorkovanja sukladno godišnjem planu rada</w:t>
            </w:r>
          </w:p>
        </w:tc>
        <w:tc>
          <w:tcPr>
            <w:tcW w:w="1007" w:type="dxa"/>
          </w:tcPr>
          <w:p w:rsidR="005C2091" w:rsidRDefault="00A86293">
            <w:pPr>
              <w:pStyle w:val="CellColumn"/>
              <w:jc w:val="right"/>
            </w:pPr>
            <w:r>
              <w:rPr>
                <w:rFonts w:cs="Times New Roman"/>
              </w:rPr>
              <w:t>%</w:t>
            </w:r>
          </w:p>
        </w:tc>
        <w:tc>
          <w:tcPr>
            <w:tcW w:w="1014" w:type="dxa"/>
          </w:tcPr>
          <w:p w:rsidR="005C2091" w:rsidRDefault="00A86293">
            <w:pPr>
              <w:pStyle w:val="CellColumn"/>
              <w:jc w:val="right"/>
            </w:pPr>
            <w:r>
              <w:rPr>
                <w:rFonts w:cs="Times New Roman"/>
              </w:rPr>
              <w:t>100</w:t>
            </w:r>
          </w:p>
        </w:tc>
        <w:tc>
          <w:tcPr>
            <w:tcW w:w="1192" w:type="dxa"/>
          </w:tcPr>
          <w:p w:rsidR="005C2091" w:rsidRDefault="00A86293">
            <w:pPr>
              <w:pStyle w:val="CellColumn"/>
              <w:jc w:val="right"/>
            </w:pPr>
            <w:r>
              <w:rPr>
                <w:rFonts w:cs="Times New Roman"/>
              </w:rPr>
              <w:t>Ministarstvo poljoprivrede</w:t>
            </w:r>
          </w:p>
        </w:tc>
        <w:tc>
          <w:tcPr>
            <w:tcW w:w="1014" w:type="dxa"/>
          </w:tcPr>
          <w:p w:rsidR="005C2091" w:rsidRDefault="00A86293">
            <w:pPr>
              <w:pStyle w:val="CellColumn"/>
              <w:jc w:val="right"/>
            </w:pPr>
            <w:r>
              <w:rPr>
                <w:rFonts w:cs="Times New Roman"/>
              </w:rPr>
              <w:t>100</w:t>
            </w:r>
          </w:p>
        </w:tc>
        <w:tc>
          <w:tcPr>
            <w:tcW w:w="1015" w:type="dxa"/>
          </w:tcPr>
          <w:p w:rsidR="005C2091" w:rsidRDefault="00A86293">
            <w:pPr>
              <w:pStyle w:val="CellColumn"/>
              <w:jc w:val="right"/>
            </w:pPr>
            <w:r>
              <w:rPr>
                <w:rFonts w:cs="Times New Roman"/>
              </w:rPr>
              <w:t>100</w:t>
            </w:r>
          </w:p>
        </w:tc>
      </w:tr>
    </w:tbl>
    <w:p w:rsidR="005C2091" w:rsidRDefault="005C2091">
      <w:pPr>
        <w:jc w:val="left"/>
      </w:pPr>
    </w:p>
    <w:p w:rsidR="005C2091" w:rsidRDefault="00A86293">
      <w:pPr>
        <w:pStyle w:val="Heading4"/>
      </w:pPr>
      <w:r>
        <w:t>A568116 POLJOPRIVREDNO INFORMACIJSKI CENTAR - PROVEDBA I USPOSTAVA</w:t>
      </w:r>
    </w:p>
    <w:tbl>
      <w:tblPr>
        <w:tblStyle w:val="StilTablice"/>
        <w:tblW w:w="10206" w:type="dxa"/>
        <w:jc w:val="center"/>
        <w:tblLook w:val="04A0" w:firstRow="1" w:lastRow="0" w:firstColumn="1" w:lastColumn="0" w:noHBand="0" w:noVBand="1"/>
      </w:tblPr>
      <w:tblGrid>
        <w:gridCol w:w="1859"/>
        <w:gridCol w:w="1977"/>
        <w:gridCol w:w="1967"/>
        <w:gridCol w:w="1977"/>
        <w:gridCol w:w="1210"/>
        <w:gridCol w:w="121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A568116-POLJOPRIVREDNO INFORMACIJSKI CENTAR - PROVEDBA I USPOSTAVA</w:t>
            </w:r>
          </w:p>
        </w:tc>
        <w:tc>
          <w:tcPr>
            <w:tcW w:w="2041" w:type="dxa"/>
          </w:tcPr>
          <w:p w:rsidR="005C2091" w:rsidRDefault="00A86293">
            <w:pPr>
              <w:pStyle w:val="CellColumn"/>
              <w:jc w:val="right"/>
            </w:pPr>
            <w:r>
              <w:rPr>
                <w:rFonts w:cs="Times New Roman"/>
              </w:rPr>
              <w:t>89.875</w:t>
            </w:r>
          </w:p>
        </w:tc>
        <w:tc>
          <w:tcPr>
            <w:tcW w:w="2041" w:type="dxa"/>
          </w:tcPr>
          <w:p w:rsidR="005C2091" w:rsidRDefault="00A86293">
            <w:pPr>
              <w:pStyle w:val="CellColumn"/>
              <w:jc w:val="right"/>
            </w:pPr>
            <w:r>
              <w:rPr>
                <w:rFonts w:cs="Times New Roman"/>
              </w:rPr>
              <w:t>66.000</w:t>
            </w:r>
          </w:p>
        </w:tc>
        <w:tc>
          <w:tcPr>
            <w:tcW w:w="2041" w:type="dxa"/>
          </w:tcPr>
          <w:p w:rsidR="005C2091" w:rsidRDefault="00A86293">
            <w:pPr>
              <w:pStyle w:val="CellColumn"/>
              <w:jc w:val="right"/>
            </w:pPr>
            <w:r>
              <w:rPr>
                <w:rFonts w:cs="Times New Roman"/>
              </w:rPr>
              <w:t>37.500</w:t>
            </w:r>
          </w:p>
        </w:tc>
        <w:tc>
          <w:tcPr>
            <w:tcW w:w="1224" w:type="dxa"/>
          </w:tcPr>
          <w:p w:rsidR="005C2091" w:rsidRDefault="00A86293">
            <w:pPr>
              <w:pStyle w:val="CellColumn"/>
              <w:jc w:val="right"/>
            </w:pPr>
            <w:r>
              <w:rPr>
                <w:rFonts w:cs="Times New Roman"/>
              </w:rPr>
              <w:t>56,8</w:t>
            </w:r>
          </w:p>
        </w:tc>
        <w:tc>
          <w:tcPr>
            <w:tcW w:w="1224" w:type="dxa"/>
          </w:tcPr>
          <w:p w:rsidR="005C2091" w:rsidRDefault="00A86293">
            <w:pPr>
              <w:pStyle w:val="CellColumn"/>
              <w:jc w:val="right"/>
            </w:pPr>
            <w:r>
              <w:rPr>
                <w:rFonts w:cs="Times New Roman"/>
              </w:rPr>
              <w:t>41,7</w:t>
            </w:r>
          </w:p>
        </w:tc>
      </w:tr>
    </w:tbl>
    <w:p w:rsidR="005C2091" w:rsidRDefault="005C2091">
      <w:pPr>
        <w:jc w:val="left"/>
      </w:pPr>
    </w:p>
    <w:p w:rsidR="005C2091" w:rsidRDefault="00A86293">
      <w:pPr>
        <w:pStyle w:val="Heading8"/>
        <w:jc w:val="left"/>
      </w:pPr>
      <w:r>
        <w:t>Zakonske i druge pravne osnove</w:t>
      </w:r>
    </w:p>
    <w:p w:rsidR="005C2091" w:rsidRDefault="00A86293">
      <w:r>
        <w:t>Zakon o poljoprivredi („Narodne novine“, broj 30/2015)</w:t>
      </w:r>
    </w:p>
    <w:p w:rsidR="005C2091" w:rsidRDefault="00A86293">
      <w:pPr>
        <w:pStyle w:val="Heading8"/>
        <w:jc w:val="left"/>
      </w:pPr>
      <w:r>
        <w:t>Opis aktivnosti</w:t>
      </w:r>
    </w:p>
    <w:p w:rsidR="005C2091" w:rsidRDefault="00A86293">
      <w:r>
        <w:t xml:space="preserve">Poljoprivredni informacijski centar (u daljnjem tekstu: PIC) jest informacijski sustav Ministarstva koji obavlja poslove prikupljanja i uporabe podataka i informacija i propisanih evidencija iz djelokruga središnjih tijela državne uprave, jedinica lokalne i područne (regionalne) samouprave, ustanova i slično od važnosti za poljoprivredu, obavlja poslove prikupljanja, obrade podataka i informacija za potrebe izvješćivanja javnosti o poljoprivredi i provedbi mjera poljoprivredne politike, prikupljanja i obrade podataka o cijenama i količinama određenih poljoprivredno-prehrambenih proizvoda i određenih poljoprivrednih inputa s domaćeg reprezentativnog tržišta, administrativne kontrole i kontrole na terenu te izvješćivanja o cijenama za nacionalne potrebe i potrebe Europske komisije, te koordinira izradu Zelenog izvješća Ministarstva poljoprivrede. </w:t>
      </w:r>
    </w:p>
    <w:p w:rsidR="005C2091" w:rsidRDefault="00A86293">
      <w:r>
        <w:t xml:space="preserve">Baza podataka Poljoprivredno informacijskog centra obuhvaća razne statističke podatke koji se odnose na poljoprivrednu proizvodnju i makroekonomske pokazatelje razvoja poljoprivredne djelatnosti i pripremljene su kao izvor podataka za izradu podloga i analiza neophodnih za ocjenu provedbe poljoprivredne politike. Baza podataka objavljena je na Portalu Ministarstva u obliku excel tabela i redovito se ažurira sukladno službenim objavama tijela nadležnih za podatke koji su predmet razmatranja.  </w:t>
      </w:r>
    </w:p>
    <w:p w:rsidR="005C2091" w:rsidRDefault="00A86293">
      <w:r>
        <w:t xml:space="preserve">U sklopu ove aktivnosti sva planirana sredstva nisu utrošena. Podaci o vanjskotrgovinskoj razmjeni poljoprivredno prehrambenih proizvoda obrađuju se pomoću softvera uvoz izvoz. Za održavanje softvera sklapa se ugovor s vanjskim izvođačem za što su predviđena sredstva u iznosu od 28.500,00 kuna. Budući nije bilo intervencija u održavanju softvera ova sredstva su ostala neutrošena. </w:t>
      </w:r>
    </w:p>
    <w:p w:rsidR="005C2091" w:rsidRDefault="00A86293">
      <w:r>
        <w:t>Kako bi se dobio uvid o stanju ponude i potražnje poljoprivredno-prehrambenih proizvoda na hrvatskom tržištu te informacije o potrošnji poljoprivredno-prehrambenih proizvoda po stanovniku i o stupnju samodostatnosti izračunate su proizvodno potrošne bilance za 2015. godinu temeljem Ugovora o izradi proizvodno potrošnih bilanci i ocjene samodostatnosti poljoprivredno-prehrambenih proizvoda (2015) i referentno razdoblje 2014./2015. godinu (ev.br.20/2016/BV) sklopljenog s Agronomskim fakultetom. Za plaćanje druge rate izračuna proizvodno potrošnih bilanci za 2013. i 2014. godinu te prve rate izračuna proizvodno potrošnih bilanci za 2015. godinu sa stavke 3237 Intelektualne i osobne usluge utrošeno je 37,5 tisuća kuna.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65"/>
        <w:gridCol w:w="2499"/>
        <w:gridCol w:w="1007"/>
        <w:gridCol w:w="1014"/>
        <w:gridCol w:w="1192"/>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izvještaja softvera</w:t>
            </w:r>
          </w:p>
        </w:tc>
        <w:tc>
          <w:tcPr>
            <w:tcW w:w="2551" w:type="dxa"/>
          </w:tcPr>
          <w:p w:rsidR="005C2091" w:rsidRDefault="00A86293">
            <w:pPr>
              <w:pStyle w:val="CellColumn"/>
              <w:jc w:val="left"/>
            </w:pPr>
            <w:r>
              <w:rPr>
                <w:rFonts w:cs="Times New Roman"/>
              </w:rPr>
              <w:t>Izvještaji prikazuju podatke vanjskotrgovinske razmjene poljoprivredno prehrambenih proizvoda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18</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18</w:t>
            </w:r>
          </w:p>
        </w:tc>
        <w:tc>
          <w:tcPr>
            <w:tcW w:w="1020" w:type="dxa"/>
          </w:tcPr>
          <w:p w:rsidR="005C2091" w:rsidRDefault="00A86293">
            <w:pPr>
              <w:pStyle w:val="CellColumn"/>
              <w:jc w:val="right"/>
            </w:pPr>
            <w:r>
              <w:rPr>
                <w:rFonts w:cs="Times New Roman"/>
              </w:rPr>
              <w:t>18</w:t>
            </w:r>
          </w:p>
        </w:tc>
      </w:tr>
    </w:tbl>
    <w:p w:rsidR="005C2091" w:rsidRDefault="005C2091">
      <w:pPr>
        <w:jc w:val="left"/>
      </w:pPr>
    </w:p>
    <w:p w:rsidR="005C2091" w:rsidRDefault="00A86293">
      <w:pPr>
        <w:pStyle w:val="Heading4"/>
      </w:pPr>
      <w:r>
        <w:t>A568268 TRŽIŠNO INFORMACIJSKI SUSTAV U POLJOPRIVREDI I OPREMANJE</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A568268-TRŽIŠNO INFORMACIJSKI SUSTAV U POLJOPRIVREDI I OPREMANJE</w:t>
            </w:r>
          </w:p>
        </w:tc>
        <w:tc>
          <w:tcPr>
            <w:tcW w:w="2041" w:type="dxa"/>
          </w:tcPr>
          <w:p w:rsidR="005C2091" w:rsidRDefault="00A86293">
            <w:pPr>
              <w:pStyle w:val="CellColumn"/>
              <w:jc w:val="right"/>
            </w:pPr>
            <w:r>
              <w:rPr>
                <w:rFonts w:cs="Times New Roman"/>
              </w:rPr>
              <w:t>38.337</w:t>
            </w:r>
          </w:p>
        </w:tc>
        <w:tc>
          <w:tcPr>
            <w:tcW w:w="2041" w:type="dxa"/>
          </w:tcPr>
          <w:p w:rsidR="005C2091" w:rsidRDefault="00A86293">
            <w:pPr>
              <w:pStyle w:val="CellColumn"/>
              <w:jc w:val="right"/>
            </w:pPr>
            <w:r>
              <w:rPr>
                <w:rFonts w:cs="Times New Roman"/>
              </w:rPr>
              <w:t>39.701</w:t>
            </w:r>
          </w:p>
        </w:tc>
        <w:tc>
          <w:tcPr>
            <w:tcW w:w="2041" w:type="dxa"/>
          </w:tcPr>
          <w:p w:rsidR="005C2091" w:rsidRDefault="00A86293">
            <w:pPr>
              <w:pStyle w:val="CellColumn"/>
              <w:jc w:val="right"/>
            </w:pPr>
            <w:r>
              <w:rPr>
                <w:rFonts w:cs="Times New Roman"/>
              </w:rPr>
              <w:t>38.243</w:t>
            </w:r>
          </w:p>
        </w:tc>
        <w:tc>
          <w:tcPr>
            <w:tcW w:w="1224" w:type="dxa"/>
          </w:tcPr>
          <w:p w:rsidR="005C2091" w:rsidRDefault="00A86293">
            <w:pPr>
              <w:pStyle w:val="CellColumn"/>
              <w:jc w:val="right"/>
            </w:pPr>
            <w:r>
              <w:rPr>
                <w:rFonts w:cs="Times New Roman"/>
              </w:rPr>
              <w:t>96,3</w:t>
            </w:r>
          </w:p>
        </w:tc>
        <w:tc>
          <w:tcPr>
            <w:tcW w:w="1224" w:type="dxa"/>
          </w:tcPr>
          <w:p w:rsidR="005C2091" w:rsidRDefault="00A86293">
            <w:pPr>
              <w:pStyle w:val="CellColumn"/>
              <w:jc w:val="right"/>
            </w:pPr>
            <w:r>
              <w:rPr>
                <w:rFonts w:cs="Times New Roman"/>
              </w:rPr>
              <w:t>99,8</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poljoprivredi („Narodne novine“, broj 30/12) </w:t>
      </w:r>
    </w:p>
    <w:p w:rsidR="005C2091" w:rsidRDefault="00A86293">
      <w:r>
        <w:t>Pravilnik o prikupljanju podataka i izvješćivanju o cijenama poljoprivrednih proizvoda („Narodne novine“, broj 145/2013)</w:t>
      </w:r>
    </w:p>
    <w:p w:rsidR="005C2091" w:rsidRDefault="00A86293">
      <w:pPr>
        <w:pStyle w:val="Heading8"/>
        <w:jc w:val="left"/>
      </w:pPr>
      <w:r>
        <w:t>Opis aktivnosti</w:t>
      </w:r>
    </w:p>
    <w:p w:rsidR="005C2091" w:rsidRDefault="00A86293">
      <w:r>
        <w:t xml:space="preserve">Tržišni cjenovni informacijski sustav u poljoprivredi je sustav prikupljanja i obrade podataka o cijenama i količinama određenih poljoprivredno-prehrambenih proizvoda i određenih poljoprivrednih inputa s domaćeg reprezentativnog tržišta, administrativne kontrole i kontrole na terenu te izvješćivanja o cijenama za nacionalne potrebe i potrebe Europske komisije.  </w:t>
      </w:r>
    </w:p>
    <w:p w:rsidR="005C2091" w:rsidRDefault="00A86293">
      <w:r>
        <w:t xml:space="preserve">U okviru djelokruga TISUP-a sve aktivnosti su obavljene sukladno planu. Izvješćivanja o cijenama određenih poljoprivrednih proizvoda odrađeno je sukladno obvezama prema Europskoj komisiji te su svi podaci i informacije redovito objavljivane na web stranici TISUP-a. </w:t>
      </w:r>
    </w:p>
    <w:p w:rsidR="005C2091" w:rsidRDefault="00A86293">
      <w:r>
        <w:t>U okviru proračunskih sredstava planiranih za razvoj sustava ostalo je neutrošeno 1.458,12 kuna. Planiran je iznos od 8.075 kn za publikaciju Agrimonth Grains jer je cijena pretplate tržišno promjenjiva i u USD ($). Razliku čine neutrošena sredstva utrošena koja su morala biti planirana zbog moguće promjene cijene i tečaja USD ($).</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6"/>
        <w:gridCol w:w="2488"/>
        <w:gridCol w:w="1007"/>
        <w:gridCol w:w="1014"/>
        <w:gridCol w:w="1192"/>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Provedba sustava cjenovnog izvješćivanja (TISUP). Broj sektora obuhvaćenih praćenjem cijena</w:t>
            </w:r>
          </w:p>
        </w:tc>
        <w:tc>
          <w:tcPr>
            <w:tcW w:w="2551" w:type="dxa"/>
          </w:tcPr>
          <w:p w:rsidR="005C2091" w:rsidRDefault="00A86293">
            <w:pPr>
              <w:pStyle w:val="CellColumn"/>
              <w:jc w:val="left"/>
            </w:pPr>
            <w:r>
              <w:rPr>
                <w:rFonts w:cs="Times New Roman"/>
              </w:rPr>
              <w:t>Izvještavanje o kretanju cijena poljoprivredno-prehrambenih proizvoda i određenih poljoprivrednih inputa u okviru utvrđenih sektora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12</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12</w:t>
            </w:r>
          </w:p>
        </w:tc>
        <w:tc>
          <w:tcPr>
            <w:tcW w:w="1020" w:type="dxa"/>
          </w:tcPr>
          <w:p w:rsidR="005C2091" w:rsidRDefault="00A86293">
            <w:pPr>
              <w:pStyle w:val="CellColumn"/>
              <w:jc w:val="right"/>
            </w:pPr>
            <w:r>
              <w:rPr>
                <w:rFonts w:cs="Times New Roman"/>
              </w:rPr>
              <w:t>12</w:t>
            </w:r>
          </w:p>
        </w:tc>
      </w:tr>
    </w:tbl>
    <w:p w:rsidR="005C2091" w:rsidRDefault="005C2091">
      <w:pPr>
        <w:jc w:val="left"/>
      </w:pPr>
    </w:p>
    <w:p w:rsidR="005C2091" w:rsidRDefault="00A86293">
      <w:pPr>
        <w:pStyle w:val="Heading4"/>
      </w:pPr>
      <w:r>
        <w:t>A650133 USPOSTAVA SUSTAVA POLJOPRIVREDNIH KNJIGOVODSTVENIH PODATAKA FADN</w:t>
      </w:r>
    </w:p>
    <w:tbl>
      <w:tblPr>
        <w:tblStyle w:val="StilTablice"/>
        <w:tblW w:w="10206" w:type="dxa"/>
        <w:jc w:val="center"/>
        <w:tblLook w:val="04A0" w:firstRow="1" w:lastRow="0" w:firstColumn="1" w:lastColumn="0" w:noHBand="0" w:noVBand="1"/>
      </w:tblPr>
      <w:tblGrid>
        <w:gridCol w:w="2125"/>
        <w:gridCol w:w="1897"/>
        <w:gridCol w:w="1887"/>
        <w:gridCol w:w="1898"/>
        <w:gridCol w:w="1193"/>
        <w:gridCol w:w="120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A650133-USPOSTAVA SUSTAVA POLJOPRIVREDNIH KNJIGOVODSTVENIH PODATAKA FADN</w:t>
            </w:r>
          </w:p>
        </w:tc>
        <w:tc>
          <w:tcPr>
            <w:tcW w:w="2041" w:type="dxa"/>
          </w:tcPr>
          <w:p w:rsidR="005C2091" w:rsidRDefault="00A86293">
            <w:pPr>
              <w:pStyle w:val="CellColumn"/>
              <w:jc w:val="right"/>
            </w:pPr>
            <w:r>
              <w:rPr>
                <w:rFonts w:cs="Times New Roman"/>
              </w:rPr>
              <w:t>134.624</w:t>
            </w:r>
          </w:p>
        </w:tc>
        <w:tc>
          <w:tcPr>
            <w:tcW w:w="2041" w:type="dxa"/>
          </w:tcPr>
          <w:p w:rsidR="005C2091" w:rsidRDefault="00A86293">
            <w:pPr>
              <w:pStyle w:val="CellColumn"/>
              <w:jc w:val="right"/>
            </w:pPr>
            <w:r>
              <w:rPr>
                <w:rFonts w:cs="Times New Roman"/>
              </w:rPr>
              <w:t>865.570</w:t>
            </w:r>
          </w:p>
        </w:tc>
        <w:tc>
          <w:tcPr>
            <w:tcW w:w="2041" w:type="dxa"/>
          </w:tcPr>
          <w:p w:rsidR="005C2091" w:rsidRDefault="00A86293">
            <w:pPr>
              <w:pStyle w:val="CellColumn"/>
              <w:jc w:val="right"/>
            </w:pPr>
            <w:r>
              <w:rPr>
                <w:rFonts w:cs="Times New Roman"/>
              </w:rPr>
              <w:t>73.713</w:t>
            </w:r>
          </w:p>
        </w:tc>
        <w:tc>
          <w:tcPr>
            <w:tcW w:w="1224" w:type="dxa"/>
          </w:tcPr>
          <w:p w:rsidR="005C2091" w:rsidRDefault="00A86293">
            <w:pPr>
              <w:pStyle w:val="CellColumn"/>
              <w:jc w:val="right"/>
            </w:pPr>
            <w:r>
              <w:rPr>
                <w:rFonts w:cs="Times New Roman"/>
              </w:rPr>
              <w:t>8,5</w:t>
            </w:r>
          </w:p>
        </w:tc>
        <w:tc>
          <w:tcPr>
            <w:tcW w:w="1224" w:type="dxa"/>
          </w:tcPr>
          <w:p w:rsidR="005C2091" w:rsidRDefault="00A86293">
            <w:pPr>
              <w:pStyle w:val="CellColumn"/>
              <w:jc w:val="right"/>
            </w:pPr>
            <w:r>
              <w:rPr>
                <w:rFonts w:cs="Times New Roman"/>
              </w:rPr>
              <w:t>54,8</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poljoprivredi („Narodne novine“, broj 30/15) </w:t>
      </w:r>
    </w:p>
    <w:p w:rsidR="005C2091" w:rsidRDefault="00A86293">
      <w:r>
        <w:t>Pravilnik o Sustavu poljoprivrednih knjigovodstvenih podataka („Narodne novine“, broj 70/15)</w:t>
      </w:r>
    </w:p>
    <w:p w:rsidR="005C2091" w:rsidRDefault="00A86293">
      <w:pPr>
        <w:pStyle w:val="Heading8"/>
        <w:jc w:val="left"/>
      </w:pPr>
      <w:r>
        <w:t>Opis aktivnosti</w:t>
      </w:r>
    </w:p>
    <w:p w:rsidR="005C2091" w:rsidRDefault="00A86293">
      <w:r>
        <w:t xml:space="preserve">U sklopu FADN sustava provodi se godišnje istraživanje kojim se prikupljanju proizvodni, ekonomski i financijski podaci s uzorka poljoprivrednih gospodarstava, klasificiranih u skupine prema kriterijima ekonomske veličine gospodarstva, vrste (tipa) poljoprivredne proizvodnje te regionalne pripadnost. </w:t>
      </w:r>
    </w:p>
    <w:p w:rsidR="005C2091" w:rsidRDefault="00A86293">
      <w:r>
        <w:t xml:space="preserve">Provođenje FADN istraživanja po FADN metodologiji obveza je svih država članica Europske unije, a predstavlja instrument Europske komisije za vrednovanje dohotka poljoprivrednih proizvođača te utvrđivanja utjecaja Zajedničke poljoprivredne politike Europske unije (engl. Common Agricultural Policy - CAP) na njihovo poslovanje. </w:t>
      </w:r>
    </w:p>
    <w:p w:rsidR="005C2091" w:rsidRDefault="00A86293">
      <w:r>
        <w:t xml:space="preserve">U 2016. godini provedeno je FADN istraživanje za knjigovodstvenu 2015. godinu. Podaci za knjigovodstvenu 2015. godinu prikupljani su na uzorku od 1.369 gospodarstava, tijekom istraživanja 35 poljoprivrednika je odustalo od istraživanja, a 17 upitnika nije popunjeno pa su Europskoj komisiji dostavljeni podaci s 1.337 poljoprivrednih gospodarstava. </w:t>
      </w:r>
    </w:p>
    <w:p w:rsidR="005C2091" w:rsidRDefault="00A86293">
      <w:r>
        <w:t xml:space="preserve">Provedba aktivnosti A650133 Sustav poljoprivrednih knjigovodstvenih podataka (FADN) - uspostava financira se u cijelosti iz izvora 51 i u 2016. godini planirana sredstva nisu u cijelosti iskorištena. Iskorišteno je 8,5 % planiranih sredstava. </w:t>
      </w:r>
    </w:p>
    <w:p w:rsidR="005C2091" w:rsidRDefault="00A86293">
      <w:r>
        <w:t xml:space="preserve">Zbog nedostatka ljudskih kapaciteta nisu realizirana sva planirana službena putovanja i stručno usavršavanje djelatnika za koja su predviđena sredstva na stavkama 3211 Službena putovanja i 3213 Stručno usavršavanje zaposlenika. U 2016. godini sudjelovalo se na dvije sjednice FADN odbora u Briselu i na 24. Pacioli radionici u Prištini, Kosovo. Za navedena putovanja utrošeno je 15,23 tisuća kuna za službena putovanja i 6,70 tisuća kuna za stručno usavršavanje djelatnika. </w:t>
      </w:r>
    </w:p>
    <w:p w:rsidR="005C2091" w:rsidRDefault="00A86293">
      <w:r>
        <w:t xml:space="preserve">Predviđena sredstva za intelektualne i osobne usluge, stavka 3237, utrošena su u iznosu od 49,21 tisuća kuna za plaćanje prve rate pružanja konzultantskih usluga izračuna SO koeficijenata 2013 (za razdoblje 2011. do 2015. godine) sukladno ugovoru sklopljenim s Agronomskim fakultetom (Ugovor Ev.br. 18/2016/BV).  </w:t>
      </w:r>
    </w:p>
    <w:p w:rsidR="005C2091" w:rsidRDefault="00A86293">
      <w:r>
        <w:t xml:space="preserve">Sa stavke 4221 Uredska oprema i namještaj utrošeno je 2,57 tisuća kuna za nabavku skenera. </w:t>
      </w:r>
    </w:p>
    <w:p w:rsidR="005C2091" w:rsidRDefault="00A86293">
      <w:r>
        <w:t>Budući su podaci prikupljeni FADN istraživanjem izuzetno važni za kreiranje Zajedničke poljoprivredne politike potrebno je prikupiti što točnije podatke. Kako bi se poljoprivrednici potaknuli na davanje točnih podataka države članice ih stimuliraju na razne načine (plaćanje naknade za vođenje knjigovodstva ili plaćanje usluge knjigovodstvenih ureda i dr.). Zbog ograničenih proračunskih sredstava iz nacionalnog proračuna nismo u mogućnosti plaćati naknadu vođenja knjigovodstva hrvatskim poljoprivrednicima međutim planirano je poljoprivrednim gospodarstvima koja sudjeluju u FADN istraživanju donirati tablete. U tu namjenu iskoristila bi se trenutno neiskorištena sredstva sa kao i buduća sredstva koja ćemo dobiti od Europske komisije. Mora se napomenuti da je sudjelovanje poljoprivrednih gospodarstva u FADN istraživanju dobrovoljno.</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94"/>
        <w:gridCol w:w="2468"/>
        <w:gridCol w:w="1007"/>
        <w:gridCol w:w="1015"/>
        <w:gridCol w:w="1192"/>
        <w:gridCol w:w="1015"/>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uzorka i dostizanje reprezentativnog uzorka istraživanja za FADN</w:t>
            </w:r>
          </w:p>
        </w:tc>
        <w:tc>
          <w:tcPr>
            <w:tcW w:w="2551" w:type="dxa"/>
          </w:tcPr>
          <w:p w:rsidR="005C2091" w:rsidRDefault="00A86293">
            <w:pPr>
              <w:pStyle w:val="CellColumn"/>
              <w:jc w:val="left"/>
            </w:pPr>
            <w:r>
              <w:rPr>
                <w:rFonts w:cs="Times New Roman"/>
              </w:rPr>
              <w:t>Broj FADN upitnika koji smo obvezni dostaviti Europskoj komisiji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1.190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1.251</w:t>
            </w:r>
          </w:p>
        </w:tc>
        <w:tc>
          <w:tcPr>
            <w:tcW w:w="1020" w:type="dxa"/>
          </w:tcPr>
          <w:p w:rsidR="005C2091" w:rsidRDefault="00A86293">
            <w:pPr>
              <w:pStyle w:val="CellColumn"/>
              <w:jc w:val="right"/>
            </w:pPr>
            <w:r>
              <w:rPr>
                <w:rFonts w:cs="Times New Roman"/>
              </w:rPr>
              <w:t>1.251</w:t>
            </w:r>
          </w:p>
        </w:tc>
      </w:tr>
    </w:tbl>
    <w:p w:rsidR="005C2091" w:rsidRDefault="005C2091">
      <w:pPr>
        <w:jc w:val="left"/>
      </w:pPr>
    </w:p>
    <w:p w:rsidR="005C2091" w:rsidRDefault="00A86293">
      <w:pPr>
        <w:pStyle w:val="Heading4"/>
      </w:pPr>
      <w:r>
        <w:t>K568254 USTROJAVANJE I OPREMANJE INSPEKCIJE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K568254-USTROJAVANJE I OPREMANJE INSPEKCIJE</w:t>
            </w:r>
          </w:p>
        </w:tc>
        <w:tc>
          <w:tcPr>
            <w:tcW w:w="2041" w:type="dxa"/>
          </w:tcPr>
          <w:p w:rsidR="005C2091" w:rsidRDefault="00A86293">
            <w:pPr>
              <w:pStyle w:val="CellColumn"/>
              <w:jc w:val="right"/>
            </w:pPr>
            <w:r>
              <w:rPr>
                <w:rFonts w:cs="Times New Roman"/>
              </w:rPr>
              <w:t>221.385</w:t>
            </w:r>
          </w:p>
        </w:tc>
        <w:tc>
          <w:tcPr>
            <w:tcW w:w="2041" w:type="dxa"/>
          </w:tcPr>
          <w:p w:rsidR="005C2091" w:rsidRDefault="00A86293">
            <w:pPr>
              <w:pStyle w:val="CellColumn"/>
              <w:jc w:val="right"/>
            </w:pPr>
            <w:r>
              <w:rPr>
                <w:rFonts w:cs="Times New Roman"/>
              </w:rPr>
              <w:t>284.407</w:t>
            </w:r>
          </w:p>
        </w:tc>
        <w:tc>
          <w:tcPr>
            <w:tcW w:w="2041" w:type="dxa"/>
          </w:tcPr>
          <w:p w:rsidR="005C2091" w:rsidRDefault="00A86293">
            <w:pPr>
              <w:pStyle w:val="CellColumn"/>
              <w:jc w:val="right"/>
            </w:pPr>
            <w:r>
              <w:rPr>
                <w:rFonts w:cs="Times New Roman"/>
              </w:rPr>
              <w:t>80.072</w:t>
            </w:r>
          </w:p>
        </w:tc>
        <w:tc>
          <w:tcPr>
            <w:tcW w:w="1224" w:type="dxa"/>
          </w:tcPr>
          <w:p w:rsidR="005C2091" w:rsidRDefault="00A86293">
            <w:pPr>
              <w:pStyle w:val="CellColumn"/>
              <w:jc w:val="right"/>
            </w:pPr>
            <w:r>
              <w:rPr>
                <w:rFonts w:cs="Times New Roman"/>
              </w:rPr>
              <w:t>28,2</w:t>
            </w:r>
          </w:p>
        </w:tc>
        <w:tc>
          <w:tcPr>
            <w:tcW w:w="1224" w:type="dxa"/>
          </w:tcPr>
          <w:p w:rsidR="005C2091" w:rsidRDefault="00A86293">
            <w:pPr>
              <w:pStyle w:val="CellColumn"/>
              <w:jc w:val="right"/>
            </w:pPr>
            <w:r>
              <w:rPr>
                <w:rFonts w:cs="Times New Roman"/>
              </w:rPr>
              <w:t>36,2</w:t>
            </w:r>
          </w:p>
        </w:tc>
      </w:tr>
    </w:tbl>
    <w:p w:rsidR="005C2091" w:rsidRDefault="005C2091">
      <w:pPr>
        <w:jc w:val="left"/>
      </w:pPr>
    </w:p>
    <w:p w:rsidR="005C2091" w:rsidRDefault="00A86293">
      <w:pPr>
        <w:pStyle w:val="Heading8"/>
        <w:jc w:val="left"/>
      </w:pPr>
      <w:r>
        <w:t>Zakonske i druge pravne osnove</w:t>
      </w:r>
    </w:p>
    <w:p w:rsidR="005C2091" w:rsidRDefault="00A86293">
      <w:r>
        <w:t xml:space="preserve">- Zakona o poljoprivredi („Narodne novine“, br. 30/2015), i važećih odredbi Zakona o zajedničkoj organizaciji tržišta poljoprivrednih proizvoda i posebnim mjerama i pravilima vezanim za tržište poljoprivrednih proizvoda („Narodne novine“, br. 82/2013 i 14/2014); </w:t>
      </w:r>
    </w:p>
    <w:p w:rsidR="005C2091" w:rsidRDefault="00A86293">
      <w:r>
        <w:t xml:space="preserve">- Zakona o poljoprivrednom zemljištu („Narodne novine“, br. 39/2013 i 48/2015); </w:t>
      </w:r>
    </w:p>
    <w:p w:rsidR="005C2091" w:rsidRDefault="00A86293">
      <w:r>
        <w:t xml:space="preserve">- Zakona o uskladištenju i skladišnici za žitarice i industrijsko bilje („Narodne novine“, br. 79/2009 i 124/2011); </w:t>
      </w:r>
    </w:p>
    <w:p w:rsidR="005C2091" w:rsidRDefault="00A86293">
      <w:r>
        <w:t xml:space="preserve">- Zakona o duhanu („Narodne novine“, br. 69/99, 22/2002 i 14/2014); </w:t>
      </w:r>
    </w:p>
    <w:p w:rsidR="005C2091" w:rsidRDefault="00A86293">
      <w:r>
        <w:t xml:space="preserve">- Zakona o gnojivima i poboljšivačima tla („Narodne novine“, br. 163/2003, 40/2007, 81/2013 i 14/2014);  </w:t>
      </w:r>
    </w:p>
    <w:p w:rsidR="005C2091" w:rsidRDefault="00A86293">
      <w:r>
        <w:t xml:space="preserve">- Zakona o provedbi Uredbe (EZ) br. 2003/2003 o gnojivima („Narodne novine“ br. 81/2013); </w:t>
      </w:r>
    </w:p>
    <w:p w:rsidR="005C2091" w:rsidRDefault="00A86293">
      <w:r>
        <w:t xml:space="preserve">- Zakona o sjemenu, sadnom materijalu i priznavanju sorti poljoprivrednog bilja („Narodne novine“, br. 140/2005, 35/2008, 25/2009, 124/2010, 55/2011 i 14/2014);   </w:t>
      </w:r>
    </w:p>
    <w:p w:rsidR="005C2091" w:rsidRDefault="00A86293">
      <w:r>
        <w:t xml:space="preserve">- Zakona o hrani („Narodne novine“, br. 81/2013 i 14/2014); </w:t>
      </w:r>
    </w:p>
    <w:p w:rsidR="005C2091" w:rsidRDefault="00A86293">
      <w:r>
        <w:t xml:space="preserve">- Zakona o kontaminantima („Narodne novine”, br. 39/2013); </w:t>
      </w:r>
    </w:p>
    <w:p w:rsidR="005C2091" w:rsidRDefault="00A86293">
      <w:r>
        <w:t xml:space="preserve">- Zakona o genetski modificiranim organizmima („Narodne novine“, br. 70/2005, 137/2009, 28/2013 i 47/2014); </w:t>
      </w:r>
    </w:p>
    <w:p w:rsidR="005C2091" w:rsidRDefault="00A86293">
      <w:r>
        <w:t xml:space="preserve">- Zakona o održivoj uporabi pesticida („Narodne novine“, br. 14/2014); </w:t>
      </w:r>
    </w:p>
    <w:p w:rsidR="005C2091" w:rsidRDefault="00A86293">
      <w:r>
        <w:t xml:space="preserve">- Zakona o provedbi Uredbe (EZ) br. 1107/2009 o stavljanju na tržište sredstava za  </w:t>
      </w:r>
    </w:p>
    <w:p w:rsidR="005C2091" w:rsidRDefault="00A86293">
      <w:r>
        <w:t xml:space="preserve">zaštitu bilja („Narodne novine“, br. 80/2013); </w:t>
      </w:r>
    </w:p>
    <w:p w:rsidR="005C2091" w:rsidRDefault="00A86293">
      <w:r>
        <w:t xml:space="preserve">- Zakon o provedbi Uredbe (EZ) br. 396/2005 o maksimalnim razinama ostataka pesticida u i na hrani i hrani za životinje biljnog i životinjskog podrijetla („Narodne novine“, br. 80/2013); </w:t>
      </w:r>
    </w:p>
    <w:p w:rsidR="005C2091" w:rsidRDefault="00A86293">
      <w:r>
        <w:t xml:space="preserve">- Zakona o službenim kontrolama koje se provode sukladno propisima o hrani, hrani za životinje, o zdravlju i dobrobiti životinja („Narodne novine“, br. 81/2013, 14/2014 i 56/2015);   </w:t>
      </w:r>
    </w:p>
    <w:p w:rsidR="005C2091" w:rsidRDefault="00A86293">
      <w:r>
        <w:t xml:space="preserve">- Zakona o higijeni hrane i mikrobiološkim kriterijima za hranu („Narodne novine“, br.  81/2013); </w:t>
      </w:r>
    </w:p>
    <w:p w:rsidR="005C2091" w:rsidRDefault="00A86293">
      <w:r>
        <w:t xml:space="preserve">- Zakona o suzbijanju zlouporabe opojnih droga („Narodne novine“, br. 107/2001, 87/2002, 163/2003, 141/2004, 40/2007, 149/2009, 84/2011 i 80/2013);  </w:t>
      </w:r>
    </w:p>
    <w:p w:rsidR="005C2091" w:rsidRDefault="00A86293">
      <w:r>
        <w:t xml:space="preserve">- Zakona o informiranju potrošača o hrani („Narodne novine“ br. 56/2013, 14/2014 i 56/2016);  </w:t>
      </w:r>
    </w:p>
    <w:p w:rsidR="005C2091" w:rsidRDefault="00A86293">
      <w:r>
        <w:t xml:space="preserve">- Zakona o provedbi Uredbe (EZ) br. 1829/2003 Europskog parlamenta i Vijeća od 22. rujna 2003. godine o genetski modificiranoj hrani i hrani za životinje i Uredbe (EZ) br. 1830/2003 Europskog parlamenta i Vijeća od 22. rujna 2003. godine o sljedivosti hrane i hrane za životinje proizvedenih od genetski modificiranih organizama kojom se izmjenjuje i dopunjuje Direktiva 2001/18/EZ („Narodne novine“, br. 18/2013 i 47/2014);  </w:t>
      </w:r>
    </w:p>
    <w:p w:rsidR="005C2091" w:rsidRDefault="00A86293">
      <w:r>
        <w:t>- Zakona o provedbi Uredbe (EZ) br. 258/97 Europskog parlamenta i Vijeća od 27. siječnja 1997. godine o novoj hrani i sastojcima nove hrane („Narodne novine“, br. 18/2013 i 47/2014);</w:t>
      </w:r>
    </w:p>
    <w:p w:rsidR="005C2091" w:rsidRDefault="00A86293">
      <w:pPr>
        <w:pStyle w:val="Heading8"/>
        <w:jc w:val="left"/>
      </w:pPr>
      <w:r>
        <w:t>Opis aktivnosti</w:t>
      </w:r>
    </w:p>
    <w:p w:rsidR="005C2091" w:rsidRDefault="00A86293">
      <w:r>
        <w:t xml:space="preserve">Nabavkom računalne (informatičke opreme) opreme, skenera, hladnjaka i druge opreme stvoreni su bolji materijalno-tehnički uvjeti odnosno povećana je efikasnost i učinkovitost rada poljoprivredne inspekcije Sektora inspekcija u poljoprivredi. Valja napomenuti da dio sredstva sa konta 4224 Instrumenti, uređaji i strojevi iznos  nije iskorišteno u vrijednosti 7.100,00 kn, budući nam ponuditelj još nije isporučio instrumente (šila za uzimanje uzoraka sjemena). </w:t>
      </w:r>
    </w:p>
    <w:p w:rsidR="005C2091" w:rsidRDefault="00A86293">
      <w:r>
        <w:t>Sektor inspekcija u poljoprivredi ne raspolaže s podacima za račune za nabavku informatičke opreme konto 4221 Uredska oprema i namještaj, budući su nabava i računi vezani za nabavu informatičke opreme u nadležnosti Sektora za informacijske sustave i logistiku.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1"/>
        <w:gridCol w:w="2481"/>
        <w:gridCol w:w="1007"/>
        <w:gridCol w:w="1015"/>
        <w:gridCol w:w="1192"/>
        <w:gridCol w:w="1015"/>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F24C48">
            <w:pPr>
              <w:pStyle w:val="CellColumn"/>
              <w:spacing w:after="0"/>
              <w:jc w:val="left"/>
            </w:pPr>
            <w:r>
              <w:rPr>
                <w:rFonts w:cs="Times New Roman"/>
              </w:rPr>
              <w:t xml:space="preserve">Povećanje broja </w:t>
            </w:r>
          </w:p>
          <w:p w:rsidR="005C2091" w:rsidRDefault="00A86293" w:rsidP="00F24C48">
            <w:pPr>
              <w:pStyle w:val="CellColumn"/>
              <w:spacing w:after="0"/>
              <w:jc w:val="left"/>
            </w:pPr>
            <w:r>
              <w:rPr>
                <w:rFonts w:cs="Times New Roman"/>
              </w:rPr>
              <w:t>inspekcijskih nadzora</w:t>
            </w:r>
          </w:p>
        </w:tc>
        <w:tc>
          <w:tcPr>
            <w:tcW w:w="2551" w:type="dxa"/>
          </w:tcPr>
          <w:p w:rsidR="005C2091" w:rsidRDefault="00A86293" w:rsidP="00F24C48">
            <w:pPr>
              <w:pStyle w:val="CellColumn"/>
              <w:spacing w:after="0"/>
              <w:jc w:val="left"/>
            </w:pPr>
            <w:r>
              <w:rPr>
                <w:rFonts w:cs="Times New Roman"/>
              </w:rPr>
              <w:t xml:space="preserve">Povećanjem broja </w:t>
            </w:r>
          </w:p>
          <w:p w:rsidR="005C2091" w:rsidRDefault="00A86293" w:rsidP="00F24C48">
            <w:pPr>
              <w:pStyle w:val="CellColumn"/>
              <w:spacing w:after="0"/>
              <w:jc w:val="left"/>
            </w:pPr>
            <w:r>
              <w:rPr>
                <w:rFonts w:cs="Times New Roman"/>
              </w:rPr>
              <w:t xml:space="preserve">inspekcijskih nadzora povećava se opća </w:t>
            </w:r>
          </w:p>
          <w:p w:rsidR="005C2091" w:rsidRDefault="00A86293" w:rsidP="00F24C48">
            <w:pPr>
              <w:pStyle w:val="CellColumn"/>
              <w:spacing w:after="0"/>
              <w:jc w:val="left"/>
            </w:pPr>
            <w:r>
              <w:rPr>
                <w:rFonts w:cs="Times New Roman"/>
              </w:rPr>
              <w:t xml:space="preserve">učinkovitost sustava inspekcije, što će bitno utjecati na smanjuje broja </w:t>
            </w:r>
          </w:p>
          <w:p w:rsidR="005C2091" w:rsidRDefault="00A86293" w:rsidP="00F24C48">
            <w:pPr>
              <w:pStyle w:val="CellColumn"/>
              <w:spacing w:after="0"/>
              <w:jc w:val="left"/>
            </w:pPr>
            <w:r>
              <w:rPr>
                <w:rFonts w:cs="Times New Roman"/>
              </w:rPr>
              <w:t xml:space="preserve">počinjenih nepravilnosti u </w:t>
            </w:r>
          </w:p>
          <w:p w:rsidR="005C2091" w:rsidRDefault="00A86293" w:rsidP="00F24C48">
            <w:pPr>
              <w:pStyle w:val="CellColumn"/>
              <w:spacing w:after="0"/>
              <w:jc w:val="left"/>
            </w:pPr>
            <w:r>
              <w:rPr>
                <w:rFonts w:cs="Times New Roman"/>
              </w:rPr>
              <w:t>budućem razdoblju</w:t>
            </w:r>
          </w:p>
        </w:tc>
        <w:tc>
          <w:tcPr>
            <w:tcW w:w="1020" w:type="dxa"/>
          </w:tcPr>
          <w:p w:rsidR="005C2091" w:rsidRDefault="00A86293" w:rsidP="00F24C48">
            <w:pPr>
              <w:pStyle w:val="CellColumn"/>
              <w:spacing w:after="0"/>
              <w:jc w:val="right"/>
            </w:pPr>
            <w:r>
              <w:rPr>
                <w:rFonts w:cs="Times New Roman"/>
              </w:rPr>
              <w:t>Broj</w:t>
            </w:r>
          </w:p>
        </w:tc>
        <w:tc>
          <w:tcPr>
            <w:tcW w:w="1020" w:type="dxa"/>
          </w:tcPr>
          <w:p w:rsidR="005C2091" w:rsidRDefault="00A86293" w:rsidP="00F24C48">
            <w:pPr>
              <w:pStyle w:val="CellColumn"/>
              <w:spacing w:after="0"/>
              <w:jc w:val="right"/>
            </w:pPr>
            <w:r>
              <w:rPr>
                <w:rFonts w:cs="Times New Roman"/>
              </w:rPr>
              <w:t>17.000</w:t>
            </w:r>
          </w:p>
        </w:tc>
        <w:tc>
          <w:tcPr>
            <w:tcW w:w="1020" w:type="dxa"/>
          </w:tcPr>
          <w:p w:rsidR="005C2091" w:rsidRDefault="00A86293" w:rsidP="00F24C48">
            <w:pPr>
              <w:pStyle w:val="CellColumn"/>
              <w:spacing w:after="0"/>
              <w:jc w:val="right"/>
            </w:pPr>
            <w:r>
              <w:rPr>
                <w:rFonts w:cs="Times New Roman"/>
              </w:rPr>
              <w:t>Ministarstvo poljoprivrede</w:t>
            </w:r>
          </w:p>
        </w:tc>
        <w:tc>
          <w:tcPr>
            <w:tcW w:w="1020" w:type="dxa"/>
          </w:tcPr>
          <w:p w:rsidR="005C2091" w:rsidRDefault="00A86293" w:rsidP="00F24C48">
            <w:pPr>
              <w:pStyle w:val="CellColumn"/>
              <w:spacing w:after="0"/>
              <w:jc w:val="right"/>
            </w:pPr>
            <w:r>
              <w:rPr>
                <w:rFonts w:cs="Times New Roman"/>
              </w:rPr>
              <w:t>17.100</w:t>
            </w:r>
          </w:p>
        </w:tc>
        <w:tc>
          <w:tcPr>
            <w:tcW w:w="1020" w:type="dxa"/>
          </w:tcPr>
          <w:p w:rsidR="005C2091" w:rsidRDefault="00A86293" w:rsidP="00F24C48">
            <w:pPr>
              <w:pStyle w:val="CellColumn"/>
              <w:spacing w:after="0"/>
              <w:jc w:val="right"/>
            </w:pPr>
            <w:r>
              <w:rPr>
                <w:rFonts w:cs="Times New Roman"/>
              </w:rPr>
              <w:t>17.136</w:t>
            </w:r>
          </w:p>
        </w:tc>
      </w:tr>
    </w:tbl>
    <w:p w:rsidR="005C2091" w:rsidRDefault="005C2091">
      <w:pPr>
        <w:jc w:val="left"/>
      </w:pPr>
    </w:p>
    <w:p w:rsidR="005C2091" w:rsidRDefault="00A86293">
      <w:pPr>
        <w:pStyle w:val="Heading3"/>
      </w:pPr>
      <w:r>
        <w:rPr>
          <w:rFonts w:cs="Times New Roman"/>
        </w:rPr>
        <w:t>3002 POLJOPRIVREDA</w:t>
      </w:r>
    </w:p>
    <w:tbl>
      <w:tblPr>
        <w:tblStyle w:val="StilTablice"/>
        <w:tblW w:w="10206" w:type="dxa"/>
        <w:jc w:val="center"/>
        <w:tblLook w:val="04A0" w:firstRow="1" w:lastRow="0" w:firstColumn="1" w:lastColumn="0" w:noHBand="0" w:noVBand="1"/>
      </w:tblPr>
      <w:tblGrid>
        <w:gridCol w:w="1716"/>
        <w:gridCol w:w="2018"/>
        <w:gridCol w:w="2018"/>
        <w:gridCol w:w="2018"/>
        <w:gridCol w:w="1216"/>
        <w:gridCol w:w="122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3002-POLJOPRIVREDA</w:t>
            </w:r>
          </w:p>
        </w:tc>
        <w:tc>
          <w:tcPr>
            <w:tcW w:w="2041" w:type="dxa"/>
          </w:tcPr>
          <w:p w:rsidR="005C2091" w:rsidRDefault="00A86293">
            <w:pPr>
              <w:pStyle w:val="CellColumn"/>
              <w:jc w:val="right"/>
            </w:pPr>
            <w:r>
              <w:rPr>
                <w:rFonts w:cs="Times New Roman"/>
              </w:rPr>
              <w:t>3.070.753.152</w:t>
            </w:r>
          </w:p>
        </w:tc>
        <w:tc>
          <w:tcPr>
            <w:tcW w:w="2041" w:type="dxa"/>
          </w:tcPr>
          <w:p w:rsidR="005C2091" w:rsidRDefault="00A86293">
            <w:pPr>
              <w:pStyle w:val="CellColumn"/>
              <w:jc w:val="right"/>
            </w:pPr>
            <w:r>
              <w:rPr>
                <w:rFonts w:cs="Times New Roman"/>
              </w:rPr>
              <w:t>2.603.874.556</w:t>
            </w:r>
          </w:p>
        </w:tc>
        <w:tc>
          <w:tcPr>
            <w:tcW w:w="2041" w:type="dxa"/>
          </w:tcPr>
          <w:p w:rsidR="005C2091" w:rsidRDefault="00A86293">
            <w:pPr>
              <w:pStyle w:val="CellColumn"/>
              <w:jc w:val="right"/>
            </w:pPr>
            <w:r>
              <w:rPr>
                <w:rFonts w:cs="Times New Roman"/>
              </w:rPr>
              <w:t>2.573.743.464</w:t>
            </w:r>
          </w:p>
        </w:tc>
        <w:tc>
          <w:tcPr>
            <w:tcW w:w="1224" w:type="dxa"/>
          </w:tcPr>
          <w:p w:rsidR="005C2091" w:rsidRDefault="00A86293">
            <w:pPr>
              <w:pStyle w:val="CellColumn"/>
              <w:jc w:val="right"/>
            </w:pPr>
            <w:r>
              <w:rPr>
                <w:rFonts w:cs="Times New Roman"/>
              </w:rPr>
              <w:t>98,8</w:t>
            </w:r>
          </w:p>
        </w:tc>
        <w:tc>
          <w:tcPr>
            <w:tcW w:w="1224" w:type="dxa"/>
          </w:tcPr>
          <w:p w:rsidR="005C2091" w:rsidRDefault="00A86293">
            <w:pPr>
              <w:pStyle w:val="CellColumn"/>
              <w:jc w:val="right"/>
            </w:pPr>
            <w:r>
              <w:rPr>
                <w:rFonts w:cs="Times New Roman"/>
              </w:rPr>
              <w:t>83,8</w:t>
            </w:r>
          </w:p>
        </w:tc>
      </w:tr>
    </w:tbl>
    <w:p w:rsidR="005C2091" w:rsidRDefault="005C2091">
      <w:pPr>
        <w:jc w:val="left"/>
      </w:pPr>
    </w:p>
    <w:p w:rsidR="005C2091" w:rsidRDefault="00A86293">
      <w:r>
        <w:t xml:space="preserve">Programom su obuhvaćene aktivnosti kojima se u najvećoj mjeri financiralo poticanje poljoprivredne proizvodnje putem izravnih plaćanja radi osiguranja stabilnosti dohotka proizvođača. Ovaj segment u ukupnom proračunu Ministarstva poljoprivrede financijski je najizdašniji i u tom aspektu najznačajniji. Aktivnosti za provedbu mjera stabilizacije tržišta poljoprivrednih proizvoda u slučaju mogućih poremećaja na tržištu (intervencija), obuhvaćaju mjere tržišno-cjenovne politike u okviru Zajedničke poljoprivredne politike EU. </w:t>
      </w:r>
    </w:p>
    <w:p w:rsidR="005C2091" w:rsidRDefault="00A86293">
      <w:r>
        <w:t xml:space="preserve">U sklopu programa, primijenjenim istraživanjima u poljoprivredi (VIP) omogućuje se prijenos znanstvenih spoznaja u praktičnoj primjeni. </w:t>
      </w:r>
    </w:p>
    <w:p w:rsidR="005C2091" w:rsidRDefault="00A86293">
      <w:r>
        <w:t>Realizacija programa doprinosi ostvarenju ciljeva utvrđenih u Strateškom planu Ministarstva poljoprivrede za razdoblje 2016. - 2018., i to posebnog cilja 1.2. Provedba financiranja poljoprivrednog i ribarskog sektora sukladno ZPP-i i ZRP-i i 1.4. Poboljšanje tržišnih mehanizama za prodaju poljoprivredno-prehrambenih i ribarskih proizvoda.</w:t>
      </w:r>
    </w:p>
    <w:p w:rsidR="005C2091" w:rsidRDefault="00A86293">
      <w:pPr>
        <w:pStyle w:val="Heading8"/>
        <w:jc w:val="left"/>
      </w:pPr>
      <w:r>
        <w:t>Cilj 1. Poboljšanje tržišnih mehanizama za prodaju poljoprivredno-prehrambenih i ribarskih proizvoda</w:t>
      </w:r>
    </w:p>
    <w:p w:rsidR="005C2091" w:rsidRDefault="00A86293">
      <w:pPr>
        <w:pStyle w:val="Heading8"/>
        <w:jc w:val="left"/>
      </w:pPr>
      <w:r>
        <w:t>Opis provedbe cilja programa</w:t>
      </w:r>
    </w:p>
    <w:p w:rsidR="005C2091" w:rsidRDefault="00A86293">
      <w:r>
        <w:t>Ulaskom na jedinstveno tržište EU cilj je osigurati našim poljoprivrednim proizvođačima da zadrže stabilan dohodak i povećaju rentabilnost čemu će pridonijeti mjere izravnih plaćanja sukladno pravilima Zajedničke poljoprivredne politike EU.</w:t>
      </w:r>
    </w:p>
    <w:p w:rsidR="005C2091" w:rsidRDefault="00A86293">
      <w:pPr>
        <w:pStyle w:val="Heading8"/>
        <w:jc w:val="left"/>
      </w:pPr>
      <w:r>
        <w:t>Cilj 2. Provedba financiranja poljoprivrednog i ribarskog sektora sukladno ZPP i ZRP</w:t>
      </w:r>
    </w:p>
    <w:p w:rsidR="005C2091" w:rsidRDefault="00A86293">
      <w:pPr>
        <w:pStyle w:val="Heading8"/>
        <w:jc w:val="left"/>
      </w:pPr>
      <w:r>
        <w:t>Opis provedbe cilja programa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86"/>
        <w:gridCol w:w="2481"/>
        <w:gridCol w:w="1005"/>
        <w:gridCol w:w="1014"/>
        <w:gridCol w:w="1192"/>
        <w:gridCol w:w="1014"/>
        <w:gridCol w:w="1014"/>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F24C48">
            <w:pPr>
              <w:pStyle w:val="CellColumn"/>
              <w:spacing w:after="0"/>
              <w:jc w:val="left"/>
            </w:pPr>
            <w:r>
              <w:rPr>
                <w:rFonts w:cs="Times New Roman"/>
              </w:rPr>
              <w:t xml:space="preserve">Povećanje broja </w:t>
            </w:r>
          </w:p>
          <w:p w:rsidR="005C2091" w:rsidRDefault="00A86293" w:rsidP="00F24C48">
            <w:pPr>
              <w:pStyle w:val="CellColumn"/>
              <w:spacing w:after="0"/>
              <w:jc w:val="left"/>
            </w:pPr>
            <w:r>
              <w:rPr>
                <w:rFonts w:cs="Times New Roman"/>
              </w:rPr>
              <w:t xml:space="preserve">mjera koje se </w:t>
            </w:r>
          </w:p>
          <w:p w:rsidR="005C2091" w:rsidRDefault="00A86293" w:rsidP="00F24C48">
            <w:pPr>
              <w:pStyle w:val="CellColumn"/>
              <w:spacing w:after="0"/>
              <w:jc w:val="left"/>
            </w:pPr>
            <w:r>
              <w:rPr>
                <w:rFonts w:cs="Times New Roman"/>
              </w:rPr>
              <w:t xml:space="preserve">nalaze u primjeni </w:t>
            </w:r>
          </w:p>
          <w:p w:rsidR="005C2091" w:rsidRDefault="00A86293" w:rsidP="00F24C48">
            <w:pPr>
              <w:pStyle w:val="CellColumn"/>
              <w:spacing w:after="0"/>
              <w:jc w:val="left"/>
            </w:pPr>
            <w:r>
              <w:rPr>
                <w:rFonts w:cs="Times New Roman"/>
              </w:rPr>
              <w:t xml:space="preserve">iz Zakona o </w:t>
            </w:r>
          </w:p>
          <w:p w:rsidR="005C2091" w:rsidRDefault="00A86293" w:rsidP="00F24C48">
            <w:pPr>
              <w:pStyle w:val="CellColumn"/>
              <w:spacing w:after="0"/>
              <w:jc w:val="left"/>
            </w:pPr>
            <w:r>
              <w:rPr>
                <w:rFonts w:cs="Times New Roman"/>
              </w:rPr>
              <w:t xml:space="preserve">uređenju tržišta </w:t>
            </w:r>
          </w:p>
          <w:p w:rsidR="005C2091" w:rsidRDefault="00A86293" w:rsidP="00F24C48">
            <w:pPr>
              <w:pStyle w:val="CellColumn"/>
              <w:spacing w:after="0"/>
              <w:jc w:val="left"/>
            </w:pPr>
            <w:r>
              <w:rPr>
                <w:rFonts w:cs="Times New Roman"/>
              </w:rPr>
              <w:t xml:space="preserve">poljoprivrednih </w:t>
            </w:r>
          </w:p>
          <w:p w:rsidR="005C2091" w:rsidRDefault="00A86293" w:rsidP="00F24C48">
            <w:pPr>
              <w:pStyle w:val="CellColumn"/>
              <w:spacing w:after="0"/>
              <w:jc w:val="left"/>
            </w:pPr>
            <w:r>
              <w:rPr>
                <w:rFonts w:cs="Times New Roman"/>
              </w:rPr>
              <w:t>proizvoda</w:t>
            </w:r>
          </w:p>
        </w:tc>
        <w:tc>
          <w:tcPr>
            <w:tcW w:w="2551" w:type="dxa"/>
          </w:tcPr>
          <w:p w:rsidR="005C2091" w:rsidRDefault="00A86293" w:rsidP="00F24C48">
            <w:pPr>
              <w:pStyle w:val="CellColumn"/>
              <w:spacing w:after="0"/>
              <w:jc w:val="left"/>
            </w:pPr>
            <w:r>
              <w:rPr>
                <w:rFonts w:cs="Times New Roman"/>
              </w:rPr>
              <w:t>Republika Hrvatska je stjecanjem punopravnog članstva u EU uskladila tržišne mehanizme sukladno zahtjevima EU te osigurava njihovu provedbu kako bi postala ravnopravni sudionik zajedničkog europskog tržišta. Stoga je nužan kontinuiran rad u području politike tržišnih mehanizama kako bi se osiguralo kontinuirano participiranje u paleti mjera koja je na raspolaganju u području uređaja tržište poljoprivredno-prehrambenih proizvoda.</w:t>
            </w:r>
          </w:p>
        </w:tc>
        <w:tc>
          <w:tcPr>
            <w:tcW w:w="1020" w:type="dxa"/>
          </w:tcPr>
          <w:p w:rsidR="005C2091" w:rsidRDefault="00A86293" w:rsidP="00F24C48">
            <w:pPr>
              <w:pStyle w:val="CellColumn"/>
              <w:spacing w:after="0"/>
              <w:jc w:val="right"/>
            </w:pPr>
            <w:r>
              <w:rPr>
                <w:rFonts w:cs="Times New Roman"/>
              </w:rPr>
              <w:t>Broj</w:t>
            </w:r>
          </w:p>
        </w:tc>
        <w:tc>
          <w:tcPr>
            <w:tcW w:w="1020" w:type="dxa"/>
          </w:tcPr>
          <w:p w:rsidR="005C2091" w:rsidRDefault="00A86293" w:rsidP="00F24C48">
            <w:pPr>
              <w:pStyle w:val="CellColumn"/>
              <w:spacing w:after="0"/>
              <w:jc w:val="right"/>
            </w:pPr>
            <w:r>
              <w:rPr>
                <w:rFonts w:cs="Times New Roman"/>
              </w:rPr>
              <w:t>7</w:t>
            </w:r>
          </w:p>
        </w:tc>
        <w:tc>
          <w:tcPr>
            <w:tcW w:w="1020" w:type="dxa"/>
          </w:tcPr>
          <w:p w:rsidR="005C2091" w:rsidRDefault="00A86293" w:rsidP="00F24C48">
            <w:pPr>
              <w:pStyle w:val="CellColumn"/>
              <w:spacing w:after="0"/>
              <w:jc w:val="right"/>
            </w:pPr>
            <w:r>
              <w:rPr>
                <w:rFonts w:cs="Times New Roman"/>
              </w:rPr>
              <w:t>Ministarstvo poljoprivrede</w:t>
            </w:r>
          </w:p>
        </w:tc>
        <w:tc>
          <w:tcPr>
            <w:tcW w:w="1020" w:type="dxa"/>
          </w:tcPr>
          <w:p w:rsidR="005C2091" w:rsidRDefault="00A86293" w:rsidP="00F24C48">
            <w:pPr>
              <w:pStyle w:val="CellColumn"/>
              <w:spacing w:after="0"/>
              <w:jc w:val="right"/>
            </w:pPr>
            <w:r>
              <w:rPr>
                <w:rFonts w:cs="Times New Roman"/>
              </w:rPr>
              <w:t>7</w:t>
            </w:r>
          </w:p>
        </w:tc>
        <w:tc>
          <w:tcPr>
            <w:tcW w:w="1020" w:type="dxa"/>
          </w:tcPr>
          <w:p w:rsidR="005C2091" w:rsidRDefault="00A86293" w:rsidP="00F24C48">
            <w:pPr>
              <w:pStyle w:val="CellColumn"/>
              <w:spacing w:after="0"/>
              <w:jc w:val="right"/>
            </w:pPr>
            <w:r>
              <w:rPr>
                <w:rFonts w:cs="Times New Roman"/>
              </w:rPr>
              <w:t>7</w:t>
            </w:r>
          </w:p>
        </w:tc>
      </w:tr>
      <w:tr w:rsidR="005C2091">
        <w:trPr>
          <w:jc w:val="center"/>
        </w:trPr>
        <w:tc>
          <w:tcPr>
            <w:tcW w:w="2551" w:type="dxa"/>
          </w:tcPr>
          <w:p w:rsidR="005C2091" w:rsidRDefault="00A86293" w:rsidP="00F24C48">
            <w:pPr>
              <w:pStyle w:val="CellColumn"/>
              <w:spacing w:after="0"/>
              <w:jc w:val="left"/>
            </w:pPr>
            <w:r>
              <w:rPr>
                <w:rFonts w:cs="Times New Roman"/>
              </w:rPr>
              <w:t>Povećanje dohotka poljoprivrednika i ribara</w:t>
            </w:r>
          </w:p>
        </w:tc>
        <w:tc>
          <w:tcPr>
            <w:tcW w:w="2551" w:type="dxa"/>
          </w:tcPr>
          <w:p w:rsidR="005C2091" w:rsidRDefault="00A86293" w:rsidP="00F24C48">
            <w:pPr>
              <w:pStyle w:val="CellColumn"/>
              <w:spacing w:after="0"/>
              <w:jc w:val="left"/>
            </w:pPr>
            <w:r>
              <w:rPr>
                <w:rFonts w:cs="Times New Roman"/>
              </w:rPr>
              <w:t>Osiguranje stabilnog sustava poticaja kroz povećanje financiranja iz EU dijela te održavanje nacionalnog udjela financiranja Usporedbom raspoloživih sredstava između godina dobiven je indeks za mjerenje ovog indikatora</w:t>
            </w:r>
          </w:p>
        </w:tc>
        <w:tc>
          <w:tcPr>
            <w:tcW w:w="1020" w:type="dxa"/>
          </w:tcPr>
          <w:p w:rsidR="005C2091" w:rsidRDefault="00A86293" w:rsidP="00F24C48">
            <w:pPr>
              <w:pStyle w:val="CellColumn"/>
              <w:spacing w:after="0"/>
              <w:jc w:val="right"/>
            </w:pPr>
            <w:r>
              <w:rPr>
                <w:rFonts w:cs="Times New Roman"/>
              </w:rPr>
              <w:t>Indeks</w:t>
            </w:r>
          </w:p>
        </w:tc>
        <w:tc>
          <w:tcPr>
            <w:tcW w:w="1020" w:type="dxa"/>
          </w:tcPr>
          <w:p w:rsidR="005C2091" w:rsidRDefault="00A86293" w:rsidP="00F24C48">
            <w:pPr>
              <w:pStyle w:val="CellColumn"/>
              <w:spacing w:after="0"/>
              <w:jc w:val="right"/>
            </w:pPr>
            <w:r>
              <w:rPr>
                <w:rFonts w:cs="Times New Roman"/>
              </w:rPr>
              <w:t>Indeks</w:t>
            </w:r>
          </w:p>
        </w:tc>
        <w:tc>
          <w:tcPr>
            <w:tcW w:w="1020" w:type="dxa"/>
          </w:tcPr>
          <w:p w:rsidR="005C2091" w:rsidRDefault="00A86293" w:rsidP="00F24C48">
            <w:pPr>
              <w:pStyle w:val="CellColumn"/>
              <w:spacing w:after="0"/>
              <w:jc w:val="right"/>
            </w:pPr>
            <w:r>
              <w:rPr>
                <w:rFonts w:cs="Times New Roman"/>
              </w:rPr>
              <w:t>Ministarstvo poljoprivrede</w:t>
            </w:r>
          </w:p>
        </w:tc>
        <w:tc>
          <w:tcPr>
            <w:tcW w:w="1020" w:type="dxa"/>
          </w:tcPr>
          <w:p w:rsidR="005C2091" w:rsidRDefault="00A86293" w:rsidP="00F24C48">
            <w:pPr>
              <w:pStyle w:val="CellColumn"/>
              <w:spacing w:after="0"/>
              <w:jc w:val="right"/>
            </w:pPr>
            <w:r>
              <w:rPr>
                <w:rFonts w:cs="Times New Roman"/>
              </w:rPr>
              <w:t>100</w:t>
            </w:r>
          </w:p>
        </w:tc>
        <w:tc>
          <w:tcPr>
            <w:tcW w:w="1020" w:type="dxa"/>
          </w:tcPr>
          <w:p w:rsidR="005C2091" w:rsidRDefault="00A86293" w:rsidP="00F24C48">
            <w:pPr>
              <w:pStyle w:val="CellColumn"/>
              <w:spacing w:after="0"/>
              <w:jc w:val="right"/>
            </w:pPr>
            <w:r>
              <w:rPr>
                <w:rFonts w:cs="Times New Roman"/>
              </w:rPr>
              <w:t>100</w:t>
            </w:r>
          </w:p>
        </w:tc>
      </w:tr>
    </w:tbl>
    <w:p w:rsidR="005C2091" w:rsidRDefault="005C2091">
      <w:pPr>
        <w:jc w:val="left"/>
      </w:pPr>
    </w:p>
    <w:p w:rsidR="00F24C48" w:rsidRDefault="00F24C48">
      <w:pPr>
        <w:jc w:val="left"/>
      </w:pPr>
    </w:p>
    <w:p w:rsidR="005C2091" w:rsidRDefault="00A86293">
      <w:pPr>
        <w:pStyle w:val="Heading4"/>
      </w:pPr>
      <w:r>
        <w:t>A568058 ISTRAŽIVANJE U POLJOPRIVREDI (VIJEĆE ZA ISTRAŽIVANJE U POLJOPRIVREDI)</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A568058-ISTRAŽIVANJE U POLJOPRIVREDI (VIJEĆE ZA ISTRAŽIVANJE U POLJOPRIVREDI)</w:t>
            </w:r>
          </w:p>
        </w:tc>
        <w:tc>
          <w:tcPr>
            <w:tcW w:w="2041" w:type="dxa"/>
          </w:tcPr>
          <w:p w:rsidR="005C2091" w:rsidRDefault="00A86293">
            <w:pPr>
              <w:pStyle w:val="CellColumn"/>
              <w:jc w:val="right"/>
            </w:pPr>
            <w:r>
              <w:rPr>
                <w:rFonts w:cs="Times New Roman"/>
              </w:rPr>
              <w:t>2.300.000</w:t>
            </w:r>
          </w:p>
        </w:tc>
        <w:tc>
          <w:tcPr>
            <w:tcW w:w="2041" w:type="dxa"/>
          </w:tcPr>
          <w:p w:rsidR="005C2091" w:rsidRDefault="00A86293">
            <w:pPr>
              <w:pStyle w:val="CellColumn"/>
              <w:jc w:val="right"/>
            </w:pPr>
            <w:r>
              <w:rPr>
                <w:rFonts w:cs="Times New Roman"/>
              </w:rPr>
              <w:t>2.211.439</w:t>
            </w:r>
          </w:p>
        </w:tc>
        <w:tc>
          <w:tcPr>
            <w:tcW w:w="2041" w:type="dxa"/>
          </w:tcPr>
          <w:p w:rsidR="005C2091" w:rsidRDefault="00A86293">
            <w:pPr>
              <w:pStyle w:val="CellColumn"/>
              <w:jc w:val="right"/>
            </w:pPr>
            <w:r>
              <w:rPr>
                <w:rFonts w:cs="Times New Roman"/>
              </w:rPr>
              <w:t>2.160.773</w:t>
            </w:r>
          </w:p>
        </w:tc>
        <w:tc>
          <w:tcPr>
            <w:tcW w:w="1224" w:type="dxa"/>
          </w:tcPr>
          <w:p w:rsidR="005C2091" w:rsidRDefault="00A86293">
            <w:pPr>
              <w:pStyle w:val="CellColumn"/>
              <w:jc w:val="right"/>
            </w:pPr>
            <w:r>
              <w:rPr>
                <w:rFonts w:cs="Times New Roman"/>
              </w:rPr>
              <w:t>97,7</w:t>
            </w:r>
          </w:p>
        </w:tc>
        <w:tc>
          <w:tcPr>
            <w:tcW w:w="1224" w:type="dxa"/>
          </w:tcPr>
          <w:p w:rsidR="005C2091" w:rsidRDefault="00A86293">
            <w:pPr>
              <w:pStyle w:val="CellColumn"/>
              <w:jc w:val="right"/>
            </w:pPr>
            <w:r>
              <w:rPr>
                <w:rFonts w:cs="Times New Roman"/>
              </w:rPr>
              <w:t>93,9</w:t>
            </w:r>
          </w:p>
        </w:tc>
      </w:tr>
    </w:tbl>
    <w:p w:rsidR="005C2091" w:rsidRDefault="005C2091">
      <w:pPr>
        <w:jc w:val="left"/>
      </w:pPr>
    </w:p>
    <w:p w:rsidR="005C2091" w:rsidRDefault="00A86293">
      <w:pPr>
        <w:pStyle w:val="Heading8"/>
        <w:jc w:val="left"/>
      </w:pPr>
      <w:r>
        <w:t>Zakonske i druge pravne osnove</w:t>
      </w:r>
    </w:p>
    <w:p w:rsidR="005C2091" w:rsidRDefault="00A86293">
      <w:r>
        <w:t>Zakon o poljoprivredi („Narodne novine“, broj 30/15)</w:t>
      </w:r>
    </w:p>
    <w:p w:rsidR="005C2091" w:rsidRDefault="00A86293">
      <w:pPr>
        <w:pStyle w:val="Heading8"/>
        <w:jc w:val="left"/>
      </w:pPr>
      <w:r>
        <w:t>Opis aktivnosti</w:t>
      </w:r>
    </w:p>
    <w:p w:rsidR="005C2091" w:rsidRDefault="00A86293">
      <w:r>
        <w:t xml:space="preserve">Vijeće za istraživanja u poljoprivredi (VIP) potiče strateška poljoprivredna istraživanja koja imaju za cilj primjenjivost rezultata istraživanja na obiteljskim poljoprivrednim gospodarstvima. Glavni cilj VIP-a je potaknuti proces prijenosa znanja sa znanstvenih institucija na poljoprivredna gospodarstva. Svrha VIP-a je povećati konkurentnost poljoprivrednog sektora na domaćem i svjetskom tržištu putem znanstvenih primijenjenih istraživanja koja će povećati kvalitetu poljoprivrednih proTijekom 2016. godine održano je sedam sjednica VIP-a te je praćena provedba i završetak projekata 11. i 12. te provedba projekata 13. VIP natječaja. Krajem lipnja potpisani su Ugovori o provedbi istraživačkih projekata 14. VIP natječaja.   </w:t>
      </w:r>
    </w:p>
    <w:p w:rsidR="005C2091" w:rsidRDefault="00A86293">
      <w:r>
        <w:t xml:space="preserve">Usvajanjem konačnih financijskih izvješća, za jedan projekt 11. VIP natječaja i za četiri projekta 12. VIP natječaja, u 2016. godini završena je provedba projekata 11. i 12. VIP natječaja.  </w:t>
      </w:r>
    </w:p>
    <w:p w:rsidR="005C2091" w:rsidRDefault="00A86293">
      <w:r>
        <w:t xml:space="preserve">U 2016. godini usvojena su godišnja izvješća za 22 projekta 13. VIP natječaja temeljem kojih je isplaćena druga rata sufinanciranja u iznosu od 1.149,05 tisuća kuna. </w:t>
      </w:r>
    </w:p>
    <w:p w:rsidR="005C2091" w:rsidRDefault="00A86293">
      <w:r>
        <w:t xml:space="preserve">Ugovori za sufinanciranje 16 novih projekata u sklopu 14. VIP natječaja sklopljeni su 30. lipnja 2016. godine. Ukupna vrijednost projekata je 2.135,72 tisuće kuna od čega će Ministarstvo poljoprivrede sufinancirati 1.753,22 tisuće kuna. Za isplatu prve rate sufinanciranja ovih projekata utrošeno je 876,61 tisuća kuna.  </w:t>
      </w:r>
    </w:p>
    <w:p w:rsidR="005C2091" w:rsidRDefault="00A86293">
      <w:r>
        <w:t xml:space="preserve">U sklopu kontrole provedbe projekata članovi VIP-a obavljaju terenske preglede tijekom kojih se utvrđuju činjenice temeljem kojih se VIP-u predlaže nastavak financiranja projekta odnosno prekid financiranja ili smanjenje financiranja u određenom postotku. U 2016. godini obavljena su 22 terenska pregleda projekata 13. VIP natječaja. Svi projekti u nadzoru zadovoljili su uvjete za daljnje financiranje. Osim naknade za obavljene terenske preglede članovima VIP-a isplaćuje se i naknada za sudjelovanje na sjednicama u neto iznosu od 200 kuna mjesečno uz uvjet da članovi prisustvuju sjednici VIP-a te izvrše preuzete obveze članstva. </w:t>
      </w:r>
    </w:p>
    <w:p w:rsidR="005C2091" w:rsidRDefault="00A86293">
      <w:r>
        <w:t xml:space="preserve">Za potrebe provedbe 14. VIP natječaja izvršene su stručna i dvije znanstvene recenzije za projekte koji su zadovoljili formalne uvjete natječaja. Za navedene recenzije plaćane su naknade recenzentima. </w:t>
      </w:r>
    </w:p>
    <w:p w:rsidR="005C2091" w:rsidRDefault="00A86293">
      <w:r>
        <w:t xml:space="preserve">Za naknade članovima VIP-a te za obavljene stručne i znanstvene recenzije projekata prijavljenih na 14. VIP natječaj utrošeno je 135,11 tisuća kuna. </w:t>
      </w:r>
    </w:p>
    <w:p w:rsidR="005C2091" w:rsidRDefault="00A86293">
      <w:r>
        <w:t>izvoda i stupanj zadovoljenja domaće potrošnje.</w:t>
      </w:r>
    </w:p>
    <w:p w:rsidR="00F24C48" w:rsidRDefault="00F24C48"/>
    <w:p w:rsidR="00F24C48" w:rsidRDefault="00F24C48"/>
    <w:p w:rsidR="00F24C48" w:rsidRDefault="00F24C48"/>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2"/>
        <w:gridCol w:w="2483"/>
        <w:gridCol w:w="1006"/>
        <w:gridCol w:w="1014"/>
        <w:gridCol w:w="1192"/>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sufinanciranih istraživanja</w:t>
            </w:r>
          </w:p>
        </w:tc>
        <w:tc>
          <w:tcPr>
            <w:tcW w:w="2551" w:type="dxa"/>
          </w:tcPr>
          <w:p w:rsidR="005C2091" w:rsidRDefault="00A86293">
            <w:pPr>
              <w:pStyle w:val="CellColumn"/>
              <w:jc w:val="left"/>
            </w:pPr>
            <w:r>
              <w:rPr>
                <w:rFonts w:cs="Times New Roman"/>
              </w:rPr>
              <w:t>Prijenos znanja sa znanstvenih institucija na obiteljska poljoprivredna gospodarstva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277</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281</w:t>
            </w:r>
          </w:p>
        </w:tc>
        <w:tc>
          <w:tcPr>
            <w:tcW w:w="1020" w:type="dxa"/>
          </w:tcPr>
          <w:p w:rsidR="005C2091" w:rsidRDefault="00A86293">
            <w:pPr>
              <w:pStyle w:val="CellColumn"/>
              <w:jc w:val="right"/>
            </w:pPr>
            <w:r>
              <w:rPr>
                <w:rFonts w:cs="Times New Roman"/>
              </w:rPr>
              <w:t>293</w:t>
            </w:r>
          </w:p>
        </w:tc>
      </w:tr>
    </w:tbl>
    <w:p w:rsidR="005C2091" w:rsidRDefault="005C2091">
      <w:pPr>
        <w:jc w:val="left"/>
      </w:pPr>
    </w:p>
    <w:p w:rsidR="005C2091" w:rsidRDefault="00A86293">
      <w:pPr>
        <w:pStyle w:val="Heading4"/>
      </w:pPr>
      <w:r>
        <w:t>A819058 ZPP - IZRAVNA PLAĆANJA POLJOPRIVREDNIM PROIZVOĐAČIMA</w:t>
      </w:r>
    </w:p>
    <w:tbl>
      <w:tblPr>
        <w:tblStyle w:val="StilTablice"/>
        <w:tblW w:w="10206" w:type="dxa"/>
        <w:jc w:val="center"/>
        <w:tblLook w:val="04A0" w:firstRow="1" w:lastRow="0" w:firstColumn="1" w:lastColumn="0" w:noHBand="0" w:noVBand="1"/>
      </w:tblPr>
      <w:tblGrid>
        <w:gridCol w:w="1960"/>
        <w:gridCol w:w="1949"/>
        <w:gridCol w:w="1949"/>
        <w:gridCol w:w="1949"/>
        <w:gridCol w:w="1193"/>
        <w:gridCol w:w="120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A819058-ZPP - IZRAVNA PLAĆANJA POLJOPRIVREDNIM PROIZVOĐAČIMA</w:t>
            </w:r>
          </w:p>
        </w:tc>
        <w:tc>
          <w:tcPr>
            <w:tcW w:w="2041" w:type="dxa"/>
          </w:tcPr>
          <w:p w:rsidR="005C2091" w:rsidRDefault="00A86293">
            <w:pPr>
              <w:pStyle w:val="CellColumn"/>
              <w:jc w:val="right"/>
            </w:pPr>
            <w:r>
              <w:rPr>
                <w:rFonts w:cs="Times New Roman"/>
              </w:rPr>
              <w:t>2.866.635.117</w:t>
            </w:r>
          </w:p>
        </w:tc>
        <w:tc>
          <w:tcPr>
            <w:tcW w:w="2041" w:type="dxa"/>
          </w:tcPr>
          <w:p w:rsidR="005C2091" w:rsidRDefault="00A86293">
            <w:pPr>
              <w:pStyle w:val="CellColumn"/>
              <w:jc w:val="right"/>
            </w:pPr>
            <w:r>
              <w:rPr>
                <w:rFonts w:cs="Times New Roman"/>
              </w:rPr>
              <w:t>2.301.449.815</w:t>
            </w:r>
          </w:p>
        </w:tc>
        <w:tc>
          <w:tcPr>
            <w:tcW w:w="2041" w:type="dxa"/>
          </w:tcPr>
          <w:p w:rsidR="005C2091" w:rsidRDefault="00A86293">
            <w:pPr>
              <w:pStyle w:val="CellColumn"/>
              <w:jc w:val="right"/>
            </w:pPr>
            <w:r>
              <w:rPr>
                <w:rFonts w:cs="Times New Roman"/>
              </w:rPr>
              <w:t>2.300.676.148</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80,3</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poljoprivredi („Narodne novine“ broj 30/15) </w:t>
      </w:r>
    </w:p>
    <w:p w:rsidR="005C2091" w:rsidRDefault="00A86293">
      <w:r>
        <w:t>Pravilnik o provedbi izravne potpore poljoprivredi i IAKS mjera ruralnog razvoja za 2016. godinu („Narodne novine“ br. 20/16, 39/16 i 91/16)</w:t>
      </w:r>
    </w:p>
    <w:p w:rsidR="005C2091" w:rsidRDefault="00A86293">
      <w:pPr>
        <w:pStyle w:val="Heading8"/>
        <w:jc w:val="left"/>
      </w:pPr>
      <w:r>
        <w:t>Opis aktivnosti</w:t>
      </w:r>
    </w:p>
    <w:p w:rsidR="005C2091" w:rsidRDefault="00A86293">
      <w:r>
        <w:t xml:space="preserve">U sklopu reformskog paketa Zajedničke poljoprivredne politike EU za razdoblje 2015-2020, od 2015. godine provodi se novi sustav izravnih potpora temeljem Uredbe (EU) br. 1307/2013 Europskog parlamenta i Vijeća od 17. prosinca 2013. o utvrđivanju pravila za izravna plaćanja poljoprivrednicima u programima potpore u okviru zajedničke poljoprivredne politike i o stavljanju izvan snage Uredbe Vijeća (EZ) br. 637/2008 i Uredbe Vijeća (EZ) br. 73/2009. Kao sekundarni izvor prava Europske unije navedena Uredba je neposredno i u cijelosti primjenjiva u Republici Hrvatskoj, te se Zakonom o poljoprivredi („Narodne novine“ broj 30/15) osigurava njezina provedba kao i provedba svih njenih izmjena i dopuna.  </w:t>
      </w:r>
    </w:p>
    <w:p w:rsidR="005C2091" w:rsidRDefault="00A86293">
      <w:r>
        <w:t xml:space="preserve">Program izravnih plaćanja koji se primjenjuje u programsko-financijskom razdoblju 2015.-2020. sastoji se od sljedećih dijelova: </w:t>
      </w:r>
    </w:p>
    <w:p w:rsidR="005C2091" w:rsidRDefault="00A86293">
      <w:r>
        <w:t xml:space="preserve">A) PROIZVODNO-NEVEZANA POTPORA ILI POTPORA PO POVRŠINI: </w:t>
      </w:r>
    </w:p>
    <w:p w:rsidR="005C2091" w:rsidRDefault="00A86293">
      <w:r>
        <w:t xml:space="preserve">1. Program osnovnog plaćanja (prema pravima na plaćanja) </w:t>
      </w:r>
    </w:p>
    <w:p w:rsidR="005C2091" w:rsidRDefault="00A86293">
      <w:r>
        <w:t xml:space="preserve">2. Zeleno plaćanje (vezano uz osnovno plaćanja) </w:t>
      </w:r>
    </w:p>
    <w:p w:rsidR="005C2091" w:rsidRDefault="00A86293">
      <w:r>
        <w:t xml:space="preserve">3. Dodatno preraspodijeljeno plaćanje (za prvih 20 hektara) </w:t>
      </w:r>
    </w:p>
    <w:p w:rsidR="005C2091" w:rsidRDefault="00A86293">
      <w:r>
        <w:t xml:space="preserve">4. Dodatno plaćanje za mlade poljoprivrednike (za 50 ha) </w:t>
      </w:r>
    </w:p>
    <w:p w:rsidR="005C2091" w:rsidRDefault="00A86293">
      <w:r>
        <w:t xml:space="preserve">B) PROIZVODNO-VEZANE POTPORE: </w:t>
      </w:r>
    </w:p>
    <w:p w:rsidR="005C2091" w:rsidRDefault="00A86293">
      <w:r>
        <w:t xml:space="preserve">1. Mjere potpora stočarstvu </w:t>
      </w:r>
    </w:p>
    <w:p w:rsidR="005C2091" w:rsidRDefault="00A86293">
      <w:r>
        <w:t xml:space="preserve">2. Mjere potpora biljnoj proizvodnji </w:t>
      </w:r>
    </w:p>
    <w:p w:rsidR="005C2091" w:rsidRDefault="00A86293">
      <w:r>
        <w:t xml:space="preserve">C) DOBROVOLJNI PROGRAM ZA MALE POLJOPRIVREDNIKE </w:t>
      </w:r>
    </w:p>
    <w:p w:rsidR="005C2091" w:rsidRDefault="00A86293">
      <w:r>
        <w:t xml:space="preserve">Program izravne potpore financira se do 2021. godine djelomično iz Europskog poljoprivrednog jamstvenog fonda (EAGF) prema utvrđenoj dinamici u Ugovoru o pristupanju Republike Hrvatske Europskoj uniji.  </w:t>
      </w:r>
    </w:p>
    <w:p w:rsidR="005C2091" w:rsidRDefault="00A86293">
      <w:r>
        <w:t xml:space="preserve">Od 2015. godine ukupna godišnja omotnica za financiranje Programa izravnih plaćanja u pojedinoj proizvodnoj godini (godina podnošenja zahtjeva) iznosi 432,425 milijuna €.  </w:t>
      </w:r>
    </w:p>
    <w:p w:rsidR="005C2091" w:rsidRDefault="00A86293">
      <w:r>
        <w:t xml:space="preserve">U financijskoj (proračunskoj) 2016. godini planirana su sredstva za isplatu većeg dijela proizvodne 2015. godine, preostala za isplatu nakon avansa u studenom 2015. godine u iznosu od 750,8 milijuna kuna, te sredstva za isplatu avansa za proizvodnu 2016. godinu.   </w:t>
      </w:r>
    </w:p>
    <w:p w:rsidR="005C2091" w:rsidRDefault="00A86293">
      <w:r>
        <w:t xml:space="preserve">Maksimalna omotnica za proizvodnu 2015. godinu iznosila je 3,37 milijardi kuna (tečaj za 2015. godinu: 1€ = 7,6445 kuna), od čega je za isplatu osigurano 2,24 milijardi kuna (udio EAGF financiranja iznosi 1,37 milijardi kuna).  </w:t>
      </w:r>
    </w:p>
    <w:p w:rsidR="005C2091" w:rsidRDefault="00A86293">
      <w:r>
        <w:t xml:space="preserve">Maksimalna omotnica za proizvodnu 2016. godinu iznosi 3,25 milijardi kuna (tečaj za 2016. godinu: 1€ = 7,522  kuna). Iz proračuna za 2016. godinu isplaćen je avans u iznosu od 805,6 milijuna kuna. Avans je isplaćen iz EAGF udjela koji za proizvodnu 2016. godinu iznosi 1,53 milijardi kuna. Ostatak iznosa za proizvodnu 2016. planira se u proračunu za 2017. godinu. </w:t>
      </w:r>
    </w:p>
    <w:p w:rsidR="005C2091" w:rsidRDefault="00A86293">
      <w:r>
        <w:t>U 2016. godini razlog neizvršenja plana proračuna u 100%-tnom iznosu je smanjenje potpore po korisnicima nakon provedbe administrativne kontrole i kontrole na terenu nakon čega se u slučaju nepravilnosti izračunavaju potrebna smanjenja. Jedan od razloga je i tehničke prirode npr. u Upisniku poljoprivrednih gospodarstava su navedeni krivi računi korisnika na koje nije moguće izvršiti isplatu, unatoč višekratnim pozivima Agencije za plaćanja u poljoprivredi, ribarstvu i ruralnom razvoju da se računi ažuriraju.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51"/>
        <w:gridCol w:w="2519"/>
        <w:gridCol w:w="1004"/>
        <w:gridCol w:w="1013"/>
        <w:gridCol w:w="1192"/>
        <w:gridCol w:w="1013"/>
        <w:gridCol w:w="1014"/>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udjela izravnih plaćanja koje se financiraju iz EU fondova</w:t>
            </w:r>
          </w:p>
        </w:tc>
        <w:tc>
          <w:tcPr>
            <w:tcW w:w="2551" w:type="dxa"/>
          </w:tcPr>
          <w:p w:rsidR="005C2091" w:rsidRDefault="00A86293">
            <w:pPr>
              <w:pStyle w:val="CellColumn"/>
              <w:jc w:val="left"/>
            </w:pPr>
            <w:r>
              <w:rPr>
                <w:rFonts w:cs="Times New Roman"/>
              </w:rPr>
              <w:t>Povećanjemfinanciranja iz EU fondova rasterećuju se izdaci iz Državnog proračuna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51</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51</w:t>
            </w:r>
          </w:p>
        </w:tc>
        <w:tc>
          <w:tcPr>
            <w:tcW w:w="1020" w:type="dxa"/>
          </w:tcPr>
          <w:p w:rsidR="005C2091" w:rsidRDefault="00A86293">
            <w:pPr>
              <w:pStyle w:val="CellColumn"/>
              <w:jc w:val="right"/>
            </w:pPr>
            <w:r>
              <w:rPr>
                <w:rFonts w:cs="Times New Roman"/>
              </w:rPr>
              <w:t>51</w:t>
            </w:r>
          </w:p>
        </w:tc>
      </w:tr>
    </w:tbl>
    <w:p w:rsidR="005C2091" w:rsidRDefault="005C2091">
      <w:pPr>
        <w:jc w:val="left"/>
      </w:pPr>
    </w:p>
    <w:p w:rsidR="005C2091" w:rsidRDefault="00A86293">
      <w:pPr>
        <w:pStyle w:val="Heading4"/>
      </w:pPr>
      <w:r>
        <w:t>A820055 IZRAVNA PLAĆANJA U POLJOPRIVREDI</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A820055-IZRAVNA PLAĆANJA U POLJOPRIVREDI</w:t>
            </w:r>
          </w:p>
        </w:tc>
        <w:tc>
          <w:tcPr>
            <w:tcW w:w="2041" w:type="dxa"/>
          </w:tcPr>
          <w:p w:rsidR="005C2091" w:rsidRDefault="00A86293">
            <w:pPr>
              <w:pStyle w:val="CellColumn"/>
              <w:jc w:val="right"/>
            </w:pPr>
            <w:r>
              <w:rPr>
                <w:rFonts w:cs="Times New Roman"/>
              </w:rPr>
              <w:t>138.594.175</w:t>
            </w:r>
          </w:p>
        </w:tc>
        <w:tc>
          <w:tcPr>
            <w:tcW w:w="2041" w:type="dxa"/>
          </w:tcPr>
          <w:p w:rsidR="005C2091" w:rsidRDefault="00A86293">
            <w:pPr>
              <w:pStyle w:val="CellColumn"/>
              <w:jc w:val="right"/>
            </w:pPr>
            <w:r>
              <w:rPr>
                <w:rFonts w:cs="Times New Roman"/>
              </w:rPr>
              <w:t>135.744.174</w:t>
            </w:r>
          </w:p>
        </w:tc>
        <w:tc>
          <w:tcPr>
            <w:tcW w:w="2041" w:type="dxa"/>
          </w:tcPr>
          <w:p w:rsidR="005C2091" w:rsidRDefault="00A86293">
            <w:pPr>
              <w:pStyle w:val="CellColumn"/>
              <w:jc w:val="right"/>
            </w:pPr>
            <w:r>
              <w:rPr>
                <w:rFonts w:cs="Times New Roman"/>
              </w:rPr>
              <w:t>135.431.384</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97,7</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poljoprivredi („Narodne novine“ broj 30/15) </w:t>
      </w:r>
    </w:p>
    <w:p w:rsidR="005C2091" w:rsidRDefault="00A86293">
      <w:r>
        <w:t>Pravilnik o provedbi izravne potpore poljoprivredi i IAKS mjera ruralnog razvoja za 2016. godinu („Narodne novine“ br. 20/16, 39/16 i 91/16)</w:t>
      </w:r>
    </w:p>
    <w:p w:rsidR="005C2091" w:rsidRDefault="00A86293">
      <w:pPr>
        <w:pStyle w:val="Heading8"/>
        <w:jc w:val="left"/>
      </w:pPr>
      <w:r>
        <w:t>Opis aktivnosti</w:t>
      </w:r>
    </w:p>
    <w:p w:rsidR="005C2091" w:rsidRDefault="00A86293">
      <w:r>
        <w:t xml:space="preserve">Aktivnost Izravna plaćanja u poljoprivredi odnosi se na financiranje izravnih plaćanja koja su se tijekom 2016. godine isplaćivala temeljem podnesenih zahtjeva korisnika u 2015. godini sukladno Zakonu o poljoprivredi („Narodne novine“ broj br. 30/15). </w:t>
      </w:r>
    </w:p>
    <w:p w:rsidR="005C2091" w:rsidRDefault="00A86293">
      <w:r>
        <w:t xml:space="preserve">Osigurana sredstva su isplaćivana korisnicima za plaćanja u iznimno osjetljivim sektorima (mliječne krave, rasplodne krmače, maslinovo ulje i duhan) za koje je Republika Hrvatska dobila mogućnost da iz državnog proračuna može tri godine nakon pristupanja isplaćivati ove potpore u maksimalnom iznosu od 167,59 milijuna kuna. </w:t>
      </w:r>
    </w:p>
    <w:p w:rsidR="005C2091" w:rsidRDefault="00A86293">
      <w:r>
        <w:t>U 2016. godini razlog neznatnog neizvršenja plana proračuna u 100%-tnom iznosu je smanjenje potpore po korisnicima nakon provedbe administrativne kontrole i kontrole na terenu nakon čega se u slučaju nepravilnosti izračunavaju potrebna smanjenja. Jedan od razloga je i tehničke prirode npr. u Upisniku poljoprivrednih gospodarstava su navedeni krivi računi korisnika na koje nije moguće izvršiti isplatu, unatoč višekratnim pozivima Agencije za plaćanja u poljoprivredi, ribarstvu i ruralnom razvoju da se računi ažuriraju.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8"/>
        <w:gridCol w:w="2482"/>
        <w:gridCol w:w="1004"/>
        <w:gridCol w:w="1013"/>
        <w:gridCol w:w="1192"/>
        <w:gridCol w:w="1013"/>
        <w:gridCol w:w="1014"/>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održanih edukacija/izdanih priručnika</w:t>
            </w:r>
          </w:p>
        </w:tc>
        <w:tc>
          <w:tcPr>
            <w:tcW w:w="2551" w:type="dxa"/>
          </w:tcPr>
          <w:p w:rsidR="005C2091" w:rsidRDefault="00A86293">
            <w:pPr>
              <w:pStyle w:val="CellColumn"/>
              <w:jc w:val="left"/>
            </w:pPr>
            <w:r>
              <w:rPr>
                <w:rFonts w:cs="Times New Roman"/>
              </w:rPr>
              <w:t>Veća  educiranost poljoprivrednika u ispunjavanju uvjeta i kriterija za ostvarenje izravnih potpora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15/1</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30/3</w:t>
            </w:r>
          </w:p>
        </w:tc>
        <w:tc>
          <w:tcPr>
            <w:tcW w:w="1020" w:type="dxa"/>
          </w:tcPr>
          <w:p w:rsidR="005C2091" w:rsidRDefault="00A86293">
            <w:pPr>
              <w:pStyle w:val="CellColumn"/>
              <w:jc w:val="right"/>
            </w:pPr>
            <w:r>
              <w:rPr>
                <w:rFonts w:cs="Times New Roman"/>
              </w:rPr>
              <w:t>30/3</w:t>
            </w:r>
          </w:p>
        </w:tc>
      </w:tr>
      <w:tr w:rsidR="005C2091">
        <w:trPr>
          <w:jc w:val="center"/>
        </w:trPr>
        <w:tc>
          <w:tcPr>
            <w:tcW w:w="2551" w:type="dxa"/>
          </w:tcPr>
          <w:p w:rsidR="005C2091" w:rsidRDefault="00A86293">
            <w:pPr>
              <w:pStyle w:val="CellColumn"/>
              <w:jc w:val="left"/>
            </w:pPr>
            <w:r>
              <w:rPr>
                <w:rFonts w:cs="Times New Roman"/>
              </w:rPr>
              <w:t>Povećanje broja sektora obuhvaćenih proizvodno vezanom potporom</w:t>
            </w:r>
          </w:p>
        </w:tc>
        <w:tc>
          <w:tcPr>
            <w:tcW w:w="2551" w:type="dxa"/>
          </w:tcPr>
          <w:p w:rsidR="005C2091" w:rsidRDefault="00A86293">
            <w:pPr>
              <w:pStyle w:val="CellColumn"/>
              <w:jc w:val="left"/>
            </w:pPr>
            <w:r>
              <w:rPr>
                <w:rFonts w:cs="Times New Roman"/>
              </w:rPr>
              <w:t>Proizvodno vezanom potporom utječe se na održavanje razine proizvodnje u osjetljivim sektorima te izbjegava napuštanje proizvodnje.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4</w:t>
            </w:r>
          </w:p>
        </w:tc>
      </w:tr>
    </w:tbl>
    <w:p w:rsidR="005C2091" w:rsidRDefault="005C2091">
      <w:pPr>
        <w:jc w:val="left"/>
      </w:pPr>
    </w:p>
    <w:p w:rsidR="005C2091" w:rsidRDefault="00A86293">
      <w:pPr>
        <w:pStyle w:val="Heading4"/>
      </w:pPr>
      <w:r>
        <w:t>A821058 ZPP - MJERE UREĐENJA TRŽIŠTA POLJOPRIVREDNIH PROIZVODA</w:t>
      </w:r>
    </w:p>
    <w:tbl>
      <w:tblPr>
        <w:tblStyle w:val="StilTablice"/>
        <w:tblW w:w="10206" w:type="dxa"/>
        <w:jc w:val="center"/>
        <w:tblLook w:val="04A0" w:firstRow="1" w:lastRow="0" w:firstColumn="1" w:lastColumn="0" w:noHBand="0" w:noVBand="1"/>
      </w:tblPr>
      <w:tblGrid>
        <w:gridCol w:w="1927"/>
        <w:gridCol w:w="1950"/>
        <w:gridCol w:w="1959"/>
        <w:gridCol w:w="1959"/>
        <w:gridCol w:w="1201"/>
        <w:gridCol w:w="1210"/>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A821058-ZPP - MJERE UREĐENJA TRŽIŠTA POLJOPRIVREDNIH PROIZVODA</w:t>
            </w:r>
          </w:p>
        </w:tc>
        <w:tc>
          <w:tcPr>
            <w:tcW w:w="2041" w:type="dxa"/>
          </w:tcPr>
          <w:p w:rsidR="005C2091" w:rsidRDefault="00A86293">
            <w:pPr>
              <w:pStyle w:val="CellColumn"/>
              <w:jc w:val="right"/>
            </w:pPr>
            <w:r>
              <w:rPr>
                <w:rFonts w:cs="Times New Roman"/>
              </w:rPr>
              <w:t>59.210.458</w:t>
            </w:r>
          </w:p>
        </w:tc>
        <w:tc>
          <w:tcPr>
            <w:tcW w:w="2041" w:type="dxa"/>
          </w:tcPr>
          <w:p w:rsidR="005C2091" w:rsidRDefault="00A86293">
            <w:pPr>
              <w:pStyle w:val="CellColumn"/>
              <w:jc w:val="right"/>
            </w:pPr>
            <w:r>
              <w:rPr>
                <w:rFonts w:cs="Times New Roman"/>
              </w:rPr>
              <w:t>128.730.183</w:t>
            </w:r>
          </w:p>
        </w:tc>
        <w:tc>
          <w:tcPr>
            <w:tcW w:w="2041" w:type="dxa"/>
          </w:tcPr>
          <w:p w:rsidR="005C2091" w:rsidRDefault="00A86293">
            <w:pPr>
              <w:pStyle w:val="CellColumn"/>
              <w:jc w:val="right"/>
            </w:pPr>
            <w:r>
              <w:rPr>
                <w:rFonts w:cs="Times New Roman"/>
              </w:rPr>
              <w:t>100.483.874</w:t>
            </w:r>
          </w:p>
        </w:tc>
        <w:tc>
          <w:tcPr>
            <w:tcW w:w="1224" w:type="dxa"/>
          </w:tcPr>
          <w:p w:rsidR="005C2091" w:rsidRDefault="00A86293">
            <w:pPr>
              <w:pStyle w:val="CellColumn"/>
              <w:jc w:val="right"/>
            </w:pPr>
            <w:r>
              <w:rPr>
                <w:rFonts w:cs="Times New Roman"/>
              </w:rPr>
              <w:t>78,1</w:t>
            </w:r>
          </w:p>
        </w:tc>
        <w:tc>
          <w:tcPr>
            <w:tcW w:w="1224" w:type="dxa"/>
          </w:tcPr>
          <w:p w:rsidR="005C2091" w:rsidRDefault="00A86293">
            <w:pPr>
              <w:pStyle w:val="CellColumn"/>
              <w:jc w:val="right"/>
            </w:pPr>
            <w:r>
              <w:rPr>
                <w:rFonts w:cs="Times New Roman"/>
              </w:rPr>
              <w:t>169,7</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poljoprivredi (NN 30/15) </w:t>
      </w:r>
    </w:p>
    <w:p w:rsidR="005C2091" w:rsidRDefault="00A86293">
      <w:r>
        <w:t xml:space="preserve">• Pravilnik o provedbi Sheme školskog voća i povrća (»Narodne novine«, br. 47/15.) </w:t>
      </w:r>
    </w:p>
    <w:p w:rsidR="005C2091" w:rsidRDefault="00A86293">
      <w:r>
        <w:t xml:space="preserve">• Pravilnik o provedbi privremenih izvanrednih mjera potpore proizvođačima voća i povrća za postupke povlačenja s tržišta, neubiranja i zelene berbe (»Narodne novine«, br. 111/14. i 122/14.) </w:t>
      </w:r>
    </w:p>
    <w:p w:rsidR="005C2091" w:rsidRDefault="00A86293">
      <w:r>
        <w:t xml:space="preserve">• Pravilnik o utvrđivanju dodatnih privremenih izvanrednih mjera potpore proizvođačima određenog voća i povrća (»Narodne novine«, br. 117/14. i 136/14.) </w:t>
      </w:r>
    </w:p>
    <w:p w:rsidR="005C2091" w:rsidRDefault="00A86293">
      <w:r>
        <w:t xml:space="preserve">• Pravilnik o provedbi mjere Restrukturiranje i konverzija vinograda iz Nacionalnog programa pomoći sektoru vina 2014. – 2018. (»Narodne novine«, br. 129/14.) </w:t>
      </w:r>
    </w:p>
    <w:p w:rsidR="005C2091" w:rsidRDefault="00A86293">
      <w:r>
        <w:t xml:space="preserve">• Pravilnik o provedbi mjere Investicija u vinarije i marketing vina iz Nacionalnog programa pomoći sektoru vina 2014. – 2018. (»Narodne novine«, br. 129/14.) </w:t>
      </w:r>
    </w:p>
    <w:p w:rsidR="005C2091" w:rsidRDefault="00A86293">
      <w:r>
        <w:t xml:space="preserve">• Pravilnik o provedbi mjere Promidžba na tržištima trećih zemalja iz Nacionalnog programa pomoći sektoru vina 2014. – 2018. (»Narodne novine«, br. 37/15 i 49/15.) </w:t>
      </w:r>
    </w:p>
    <w:p w:rsidR="005C2091" w:rsidRDefault="00A86293">
      <w:r>
        <w:t xml:space="preserve">• Pravilnik o provedbi program mlijeka u školama (»Narodne novine«, br. 96/15.) </w:t>
      </w:r>
    </w:p>
    <w:p w:rsidR="005C2091" w:rsidRDefault="00A86293">
      <w:r>
        <w:t xml:space="preserve">• Pravilnik o uvjetima i načinu provedbe posebnih mjera pomoći za sektor pčelarstva u 2015. godini prema Nacionalnom pčelarskom programu za razdoblje od 2014. do 2016. godine (»Narodne novine«, br. 106/13., 142/13., 65/14. i 69/14.) </w:t>
      </w:r>
    </w:p>
    <w:p w:rsidR="005C2091" w:rsidRDefault="00A86293">
      <w:r>
        <w:t xml:space="preserve">• Nacionalni program pomoći sektoru vina 2014. – 2018. usvojen Zaključkom Vlade Republike Hrvatske, klase: 022-03/13-07/164, urbroja: 50301-05/25-13-2, od 26. lipnja 2013. godine </w:t>
      </w:r>
    </w:p>
    <w:p w:rsidR="005C2091" w:rsidRDefault="00A86293">
      <w:r>
        <w:t xml:space="preserve">• Nacionalni pčelarski program za razdoblje od 2014. do 2016. godine usvojen Zaključkom Vlade Republike Hrvatske, klase: 022-03/13-07/59, urbroja: 50301– 05/25-13-3, od 4. travnja 2013. godine; klase: 022-03/14-07/195; urbroja: 50301-05/25-14-2, od 22. svibnja 2014. godine i klase: 022-03/15-07/31, urbroja: 50301-05/25-15-2, od 11. veljače 2015. godine </w:t>
      </w:r>
    </w:p>
    <w:p w:rsidR="005C2091" w:rsidRDefault="00A86293">
      <w:r>
        <w:t>• Nacionalna strategija za provedbu Sheme školskog voća i povrća za razdoblje od 1. kolovoza 2014. do 31. srpnja 2015. godine</w:t>
      </w:r>
    </w:p>
    <w:p w:rsidR="005C2091" w:rsidRDefault="00A86293">
      <w:pPr>
        <w:pStyle w:val="Heading8"/>
        <w:jc w:val="left"/>
      </w:pPr>
      <w:r>
        <w:t>Opis aktivnosti</w:t>
      </w:r>
    </w:p>
    <w:p w:rsidR="005C2091" w:rsidRDefault="00A86293">
      <w:r>
        <w:t xml:space="preserve">U sklopu reformskog paketa Zajedničke poljoprivredne politike EU za razdoblje 2013-2020, od 2013. godine provodi se sustav financiranja mjera uređenja tržišta temeljem Uredbe (EU) br. 1308/2013 Europskog parlamenta i Vijeća od 17. prosinca 2013. o uspostavljanju zajedničke organizacije tržišta poljoprivrednih proizvoda i stavljanju izvan snage uredbi Vijeća (EEZ) br. 922/72, (EEZ) br. 234/79, (EZ) br. 1037/2001 i (EZ) br. 1234/2007 (SL L 347, 20. 12. 2013.), kako je posljednji put izmijenjena Uredbom (EU) br. 1310/2013 Europskog parlamenta i Vijeća od 17. prosinca 2013. o utvrđivanju određenih prijelaznih odredaba o potpori ruralnom razvoju Europskog poljoprivrednoga fonda za ruralni razvoj (EPFRR) i o izmjenama Uredbe (EU) br. 1305/2013 Europskog parlamenta i Vijeća u pogledu sredstava i njihove raspodjele za godinu 2014. i o izmjeni Uredbe Vijeća (EZ) br. 73/2009 i uredaba (EU) br. 1307/2013, (EU) br. 1306/2013 i (EU) br. 1308/2013 Europskog parlamenta i Vijeća u pogledu njihove primjene u godini 2014. (SL L 347, 20. 12. 2013.). Kao sekundarni izvor prava Europske unije navedena Uredba je neposredno i u cijelosti primjenjiva u Republici Hrvatskoj, te se Zakonom o poljoprivredi („Narodne novine“ broj 30/15) osigurava njezina provedba kao i provedba svih njenih izmjena i dopuna.  </w:t>
      </w:r>
    </w:p>
    <w:p w:rsidR="005C2091" w:rsidRDefault="00A86293">
      <w:r>
        <w:t xml:space="preserve">Proračunska pozicija ZPP - mjere uređenja tržišta poljoprivrednih proizvoda A821058 uspostavljena je za provedbu svih aktivnosti koje proizlaze iz obveze primjeni provođenja Uredbe EU 1308/2013 (EU) o zajedničkoj organizaciji tržišta poljoprivrednih proizvoda i Uredba EU 3/2008 mjere informiranja i promocije poljoprivrednih proizvoda.   </w:t>
      </w:r>
    </w:p>
    <w:p w:rsidR="005C2091" w:rsidRDefault="00A86293">
      <w:r>
        <w:t xml:space="preserve">Pozicija A821058 uspostavljena ja za provedbu mjera uređenje tržišta poljoprivrednih proizvoda. Financijskim okvirom ove stavke provodi se niz akreditiranih mjera uređenja tržišta, među kojima je najznačajnija mjera koja je prisutna u kontinuitetu svake godine - Programa potpora sektorima vina, pčelarstva, školskog voća, Proizvođačkim organizacijama u sektoru voća I povrća. Pored ove mjere s ove pozicije se provode i sve mjere Intervencija na unutarnjem tržištu EU (otkup za interventne zalihe, interventno skladištenje proizvoda) Program izvanrednih mjera na tržištu, te mjere “trgovine s traćim zemljama” u okviru kojih se provode isplate naknada za izvozne subvencije.  </w:t>
      </w:r>
    </w:p>
    <w:p w:rsidR="005C2091" w:rsidRDefault="00A86293">
      <w:r>
        <w:t xml:space="preserve">U provedbi mjera Programa potpora za sektore vina, pčelarstvo, školsko voće i školsko mlijeko (nova mjera u primjeni od školske 2015/16 godine) pored sredstva EAGF fonda sudjeluju i učešćem sredstva RH i to različitim intenzitetom od 10 – do 75% ovisno o mjeri. Stoga je slijedom provedbe ovih mjera bilo nužno planirati odgovarajuća sredstva na izvoru 11 predviđajući maksimalni potencijal provedbe koji omogućuju sredstva EAGF fonda.  </w:t>
      </w:r>
    </w:p>
    <w:p w:rsidR="005C2091" w:rsidRDefault="00A86293">
      <w:r>
        <w:t xml:space="preserve">Nadalje, na sastavnicu ove aktivnosti koju čini izvor 551 nužno je uvijek planirati s određenom rezervom. Obzirom da se tim sredstvima (100% EU izvor – EAGF fond) financira cijeli niz izvanrednih tržnih mjera ( iste nije moguće predvidjeti) kao što su Intervencija na unutarnjem tržištu EU (otkup za interventne zalihe, interventno skladištenje proizvoda) Program izvanrednih mjera na tržištu, te mjere “Trgovine s traćim zemljama”. Pri tome se mjere Intervencija na unutarnjem tržištu EU i “Trgovine s trećim zemljama” pokreću mehanizmom propisanih minimalnih cijena na tržištu te je stoga nužno zbog nemogućnosti sigurnog predviđanja kretanja cijena na tržištu, u proračunu moraju biti rezervirana sredstva za ove namjene kako bi  u slučaju da dođe do poremećaja i pada cijena postojala mogućnost otvaranju sustava intervencije na hrvatskom tržištu.  </w:t>
      </w:r>
    </w:p>
    <w:p w:rsidR="005C2091" w:rsidRDefault="00A86293">
      <w:r>
        <w:t xml:space="preserve">Obrazloženje odstupanja izvršenje proračunske pozicija A821058 ZPP - mjere uređenja tržišta poljoprivrednih proizvoda od planiranih sredstva. </w:t>
      </w:r>
    </w:p>
    <w:p w:rsidR="005C2091" w:rsidRDefault="00A86293">
      <w:r>
        <w:t xml:space="preserve">Planom DP za 2016 godinu predviđena su sredstva na poziciji A821058 ZPP - mjere uređenja tržišta poljoprivrednih proizvoda u iznosu 128.730.183,00 kuna. Izvršenje sa krajem 2016 godine je 100.483.874,26 kuna odnosno 78%, odnosno podbačaj od 28 milijuna kuna. Do podbačaja  u izvršenju došlo je iz slijedećih razloga: neizvršenje planova po Nacionalnom programu za vino u okviru kojeg Hrvatska raspolaže sa 11 mil. EUR godišnjom omotnicom i koja se provodi kroz tri mjere : promidžba vina, konverzija i rekonstrukcija vinograda i investicije u vinarije. U 2016 godine došlo je do prolongacije većeg dijela projekta koju su trebali biti završeni u mjerama investicija i konverzije vinograda obzirom da su korisnici tražili prolongacije izvršenje projekata jer nisu bili u mogućnosti u dobivenom roku 2016 godine iste završiti te su te obveze prenijete u 2017. godine. kako se mjere investicija i konverzija i rekonstrukcija vinograda sufinanciraju 100% iz Eu proračuna (izvor 551) a tu je i iskazana glavnine neizvršenja temeljni razlozi u podbačaju od planiranog iznosa i gore navedenih 28 milijuna kuna su neprovođenje i zatvaranje investicijskih projekta u sektoru vina. </w:t>
      </w:r>
    </w:p>
    <w:p w:rsidR="005C2091" w:rsidRDefault="00A86293">
      <w:r>
        <w:t>Pozicija A821058 uspostavljena ja za provedbu mjera uređenje tržišta poljoprivrednih proizvoda. Financijskim okvirom ove stavke provodi se niz akreditiranih mjera uređenja tržišta, među kojima je najznačajnija mjera koja je prisutna u kontinuitetu svake godine - Programa potpora sektorima vina, pčelarstva, školskog voća, Proizvođačkim organizacijama u sektoru voća I povrća. Pored ove mjere s ove pozicije se provode i sve mjere Intervencija na unutarnjem tržištu EU (otkup za interventne zalihe, interventno skladištenje proizvoda) Program izvanrednih mjera na tržištu, te mjere “trgovine s traćim zemljama” u okviru kojih se provode isplate naknada za izvozne subvencije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2"/>
        <w:gridCol w:w="2483"/>
        <w:gridCol w:w="1006"/>
        <w:gridCol w:w="1014"/>
        <w:gridCol w:w="1192"/>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497844">
            <w:pPr>
              <w:pStyle w:val="CellColumn"/>
              <w:spacing w:after="0"/>
              <w:jc w:val="left"/>
            </w:pPr>
            <w:r>
              <w:rPr>
                <w:rFonts w:cs="Times New Roman"/>
              </w:rPr>
              <w:t xml:space="preserve">Povećanje broja </w:t>
            </w:r>
          </w:p>
          <w:p w:rsidR="005C2091" w:rsidRDefault="00A86293" w:rsidP="00497844">
            <w:pPr>
              <w:pStyle w:val="CellColumn"/>
              <w:spacing w:after="0"/>
              <w:jc w:val="left"/>
            </w:pPr>
            <w:r>
              <w:rPr>
                <w:rFonts w:cs="Times New Roman"/>
              </w:rPr>
              <w:t xml:space="preserve">mjera koje se </w:t>
            </w:r>
          </w:p>
          <w:p w:rsidR="005C2091" w:rsidRDefault="00A86293" w:rsidP="00497844">
            <w:pPr>
              <w:pStyle w:val="CellColumn"/>
              <w:spacing w:after="0"/>
              <w:jc w:val="left"/>
            </w:pPr>
            <w:r>
              <w:rPr>
                <w:rFonts w:cs="Times New Roman"/>
              </w:rPr>
              <w:t xml:space="preserve">nalaze u primjeni </w:t>
            </w:r>
          </w:p>
          <w:p w:rsidR="005C2091" w:rsidRDefault="00A86293" w:rsidP="00497844">
            <w:pPr>
              <w:pStyle w:val="CellColumn"/>
              <w:spacing w:after="0"/>
              <w:jc w:val="left"/>
            </w:pPr>
            <w:r>
              <w:rPr>
                <w:rFonts w:cs="Times New Roman"/>
              </w:rPr>
              <w:t xml:space="preserve">iz Zakona o </w:t>
            </w:r>
          </w:p>
          <w:p w:rsidR="005C2091" w:rsidRDefault="00A86293" w:rsidP="00497844">
            <w:pPr>
              <w:pStyle w:val="CellColumn"/>
              <w:spacing w:after="0"/>
              <w:jc w:val="left"/>
            </w:pPr>
            <w:r>
              <w:rPr>
                <w:rFonts w:cs="Times New Roman"/>
              </w:rPr>
              <w:t xml:space="preserve">uređenju tržišta </w:t>
            </w:r>
          </w:p>
          <w:p w:rsidR="005C2091" w:rsidRDefault="00A86293" w:rsidP="00497844">
            <w:pPr>
              <w:pStyle w:val="CellColumn"/>
              <w:spacing w:after="0"/>
              <w:jc w:val="left"/>
            </w:pPr>
            <w:r>
              <w:rPr>
                <w:rFonts w:cs="Times New Roman"/>
              </w:rPr>
              <w:t xml:space="preserve">poljoprivrednih </w:t>
            </w:r>
          </w:p>
          <w:p w:rsidR="005C2091" w:rsidRDefault="00A86293" w:rsidP="00497844">
            <w:pPr>
              <w:pStyle w:val="CellColumn"/>
              <w:spacing w:after="0"/>
              <w:jc w:val="left"/>
            </w:pPr>
            <w:r>
              <w:rPr>
                <w:rFonts w:cs="Times New Roman"/>
              </w:rPr>
              <w:t>proizvoda</w:t>
            </w:r>
          </w:p>
        </w:tc>
        <w:tc>
          <w:tcPr>
            <w:tcW w:w="2551" w:type="dxa"/>
          </w:tcPr>
          <w:p w:rsidR="005C2091" w:rsidRDefault="00A86293" w:rsidP="00497844">
            <w:pPr>
              <w:pStyle w:val="CellColumn"/>
              <w:spacing w:after="0"/>
              <w:jc w:val="left"/>
            </w:pPr>
            <w:r>
              <w:rPr>
                <w:rFonts w:cs="Times New Roman"/>
              </w:rPr>
              <w:t xml:space="preserve">Povećanje broja </w:t>
            </w:r>
          </w:p>
          <w:p w:rsidR="005C2091" w:rsidRDefault="00A86293" w:rsidP="00497844">
            <w:pPr>
              <w:pStyle w:val="CellColumn"/>
              <w:spacing w:after="0"/>
              <w:jc w:val="left"/>
            </w:pPr>
            <w:r>
              <w:rPr>
                <w:rFonts w:cs="Times New Roman"/>
              </w:rPr>
              <w:t xml:space="preserve">mjera koje se </w:t>
            </w:r>
          </w:p>
          <w:p w:rsidR="005C2091" w:rsidRDefault="00A86293" w:rsidP="00497844">
            <w:pPr>
              <w:pStyle w:val="CellColumn"/>
              <w:spacing w:after="0"/>
              <w:jc w:val="left"/>
            </w:pPr>
            <w:r>
              <w:rPr>
                <w:rFonts w:cs="Times New Roman"/>
              </w:rPr>
              <w:t xml:space="preserve">nalaze u primjeni </w:t>
            </w:r>
          </w:p>
          <w:p w:rsidR="005C2091" w:rsidRDefault="00A86293" w:rsidP="00497844">
            <w:pPr>
              <w:pStyle w:val="CellColumn"/>
              <w:spacing w:after="0"/>
              <w:jc w:val="left"/>
            </w:pPr>
            <w:r>
              <w:rPr>
                <w:rFonts w:cs="Times New Roman"/>
              </w:rPr>
              <w:t xml:space="preserve">iz Zakona o </w:t>
            </w:r>
          </w:p>
          <w:p w:rsidR="005C2091" w:rsidRDefault="00A86293" w:rsidP="00497844">
            <w:pPr>
              <w:pStyle w:val="CellColumn"/>
              <w:spacing w:after="0"/>
              <w:jc w:val="left"/>
            </w:pPr>
            <w:r>
              <w:rPr>
                <w:rFonts w:cs="Times New Roman"/>
              </w:rPr>
              <w:t xml:space="preserve">uređenju tržišta </w:t>
            </w:r>
          </w:p>
          <w:p w:rsidR="005C2091" w:rsidRDefault="00A86293" w:rsidP="00497844">
            <w:pPr>
              <w:pStyle w:val="CellColumn"/>
              <w:spacing w:after="0"/>
              <w:jc w:val="left"/>
            </w:pPr>
            <w:r>
              <w:rPr>
                <w:rFonts w:cs="Times New Roman"/>
              </w:rPr>
              <w:t xml:space="preserve">poljoprivrednih </w:t>
            </w:r>
          </w:p>
          <w:p w:rsidR="005C2091" w:rsidRDefault="00A86293" w:rsidP="00497844">
            <w:pPr>
              <w:pStyle w:val="CellColumn"/>
              <w:spacing w:after="0"/>
              <w:jc w:val="left"/>
            </w:pPr>
            <w:r>
              <w:rPr>
                <w:rFonts w:cs="Times New Roman"/>
              </w:rPr>
              <w:t>proizvoda</w:t>
            </w:r>
          </w:p>
        </w:tc>
        <w:tc>
          <w:tcPr>
            <w:tcW w:w="1020" w:type="dxa"/>
          </w:tcPr>
          <w:p w:rsidR="005C2091" w:rsidRDefault="00A86293" w:rsidP="00497844">
            <w:pPr>
              <w:pStyle w:val="CellColumn"/>
              <w:spacing w:after="0"/>
              <w:jc w:val="right"/>
            </w:pPr>
            <w:r>
              <w:rPr>
                <w:rFonts w:cs="Times New Roman"/>
              </w:rPr>
              <w:t>Broj</w:t>
            </w:r>
          </w:p>
        </w:tc>
        <w:tc>
          <w:tcPr>
            <w:tcW w:w="1020" w:type="dxa"/>
          </w:tcPr>
          <w:p w:rsidR="005C2091" w:rsidRDefault="00A86293" w:rsidP="00497844">
            <w:pPr>
              <w:pStyle w:val="CellColumn"/>
              <w:spacing w:after="0"/>
              <w:jc w:val="right"/>
            </w:pPr>
            <w:r>
              <w:rPr>
                <w:rFonts w:cs="Times New Roman"/>
              </w:rPr>
              <w:t>7</w:t>
            </w:r>
          </w:p>
        </w:tc>
        <w:tc>
          <w:tcPr>
            <w:tcW w:w="1020" w:type="dxa"/>
          </w:tcPr>
          <w:p w:rsidR="005C2091" w:rsidRDefault="00A86293" w:rsidP="00497844">
            <w:pPr>
              <w:pStyle w:val="CellColumn"/>
              <w:spacing w:after="0"/>
              <w:jc w:val="right"/>
            </w:pPr>
            <w:r>
              <w:rPr>
                <w:rFonts w:cs="Times New Roman"/>
              </w:rPr>
              <w:t>Ministarstvo poljoprivrede</w:t>
            </w:r>
          </w:p>
        </w:tc>
        <w:tc>
          <w:tcPr>
            <w:tcW w:w="1020" w:type="dxa"/>
          </w:tcPr>
          <w:p w:rsidR="005C2091" w:rsidRDefault="00A86293" w:rsidP="00497844">
            <w:pPr>
              <w:pStyle w:val="CellColumn"/>
              <w:spacing w:after="0"/>
              <w:jc w:val="right"/>
            </w:pPr>
            <w:r>
              <w:rPr>
                <w:rFonts w:cs="Times New Roman"/>
              </w:rPr>
              <w:t>7</w:t>
            </w:r>
          </w:p>
        </w:tc>
        <w:tc>
          <w:tcPr>
            <w:tcW w:w="1020" w:type="dxa"/>
          </w:tcPr>
          <w:p w:rsidR="005C2091" w:rsidRDefault="00A86293" w:rsidP="00497844">
            <w:pPr>
              <w:pStyle w:val="CellColumn"/>
              <w:spacing w:after="0"/>
              <w:jc w:val="right"/>
            </w:pPr>
            <w:r>
              <w:rPr>
                <w:rFonts w:cs="Times New Roman"/>
              </w:rPr>
              <w:t>7</w:t>
            </w:r>
          </w:p>
        </w:tc>
      </w:tr>
    </w:tbl>
    <w:p w:rsidR="005C2091" w:rsidRDefault="005C2091">
      <w:pPr>
        <w:jc w:val="left"/>
      </w:pPr>
    </w:p>
    <w:p w:rsidR="005C2091" w:rsidRDefault="00A86293">
      <w:pPr>
        <w:pStyle w:val="Heading4"/>
      </w:pPr>
      <w:r>
        <w:t>T820064 POTICANJE PROIZVOĐAČKIH ORGANIZACIJA, NACIONALNOG PROGRAMA ZA TOPLOKRVNE KONJE I POKRIĆE TROŠKOVA LIJEČENJA KONJA</w:t>
      </w:r>
    </w:p>
    <w:tbl>
      <w:tblPr>
        <w:tblStyle w:val="StilTablice"/>
        <w:tblW w:w="10206" w:type="dxa"/>
        <w:jc w:val="center"/>
        <w:tblLook w:val="04A0" w:firstRow="1" w:lastRow="0" w:firstColumn="1" w:lastColumn="0" w:noHBand="0" w:noVBand="1"/>
      </w:tblPr>
      <w:tblGrid>
        <w:gridCol w:w="1759"/>
        <w:gridCol w:w="2004"/>
        <w:gridCol w:w="2004"/>
        <w:gridCol w:w="2004"/>
        <w:gridCol w:w="1216"/>
        <w:gridCol w:w="121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T820064-POTICANJE PROIZVOĐAČKIH ORGANIZACIJA, NACIONALNOG PROGRAMA ZA TOPLOKRVNE KONJE I POKRIĆE TROŠKOVA LIJEČENJA KONJA</w:t>
            </w:r>
          </w:p>
        </w:tc>
        <w:tc>
          <w:tcPr>
            <w:tcW w:w="2041" w:type="dxa"/>
          </w:tcPr>
          <w:p w:rsidR="005C2091" w:rsidRDefault="00A86293">
            <w:pPr>
              <w:pStyle w:val="CellColumn"/>
              <w:jc w:val="right"/>
            </w:pPr>
            <w:r>
              <w:rPr>
                <w:rFonts w:cs="Times New Roman"/>
              </w:rPr>
              <w:t>1.952.900</w:t>
            </w:r>
          </w:p>
        </w:tc>
        <w:tc>
          <w:tcPr>
            <w:tcW w:w="2041" w:type="dxa"/>
          </w:tcPr>
          <w:p w:rsidR="005C2091" w:rsidRDefault="00A86293">
            <w:pPr>
              <w:pStyle w:val="CellColumn"/>
              <w:jc w:val="right"/>
            </w:pPr>
            <w:r>
              <w:rPr>
                <w:rFonts w:cs="Times New Roman"/>
              </w:rPr>
              <w:t>2.136.000</w:t>
            </w:r>
          </w:p>
        </w:tc>
        <w:tc>
          <w:tcPr>
            <w:tcW w:w="2041" w:type="dxa"/>
          </w:tcPr>
          <w:p w:rsidR="005C2091" w:rsidRDefault="00A86293">
            <w:pPr>
              <w:pStyle w:val="CellColumn"/>
              <w:jc w:val="right"/>
            </w:pPr>
            <w:r>
              <w:rPr>
                <w:rFonts w:cs="Times New Roman"/>
              </w:rPr>
              <w:t>2.123.916</w:t>
            </w:r>
          </w:p>
        </w:tc>
        <w:tc>
          <w:tcPr>
            <w:tcW w:w="1224" w:type="dxa"/>
          </w:tcPr>
          <w:p w:rsidR="005C2091" w:rsidRDefault="00A86293">
            <w:pPr>
              <w:pStyle w:val="CellColumn"/>
              <w:jc w:val="right"/>
            </w:pPr>
            <w:r>
              <w:rPr>
                <w:rFonts w:cs="Times New Roman"/>
              </w:rPr>
              <w:t>99,4</w:t>
            </w:r>
          </w:p>
        </w:tc>
        <w:tc>
          <w:tcPr>
            <w:tcW w:w="1224" w:type="dxa"/>
          </w:tcPr>
          <w:p w:rsidR="005C2091" w:rsidRDefault="00A86293">
            <w:pPr>
              <w:pStyle w:val="CellColumn"/>
              <w:jc w:val="right"/>
            </w:pPr>
            <w:r>
              <w:rPr>
                <w:rFonts w:cs="Times New Roman"/>
              </w:rPr>
              <w:t>108,8</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poljoprivredi (NN 30/15) </w:t>
      </w:r>
    </w:p>
    <w:p w:rsidR="005C2091" w:rsidRDefault="00A86293">
      <w:r>
        <w:t>Pravilniku o priznavanju i potporama za početak rada proizvođačkih organizacija (»Narodne novine« broj 81/15, 97/15, 100/15, 101/15, 124/15)</w:t>
      </w:r>
    </w:p>
    <w:p w:rsidR="005C2091" w:rsidRDefault="00A86293">
      <w:pPr>
        <w:pStyle w:val="Heading8"/>
        <w:jc w:val="left"/>
      </w:pPr>
      <w:r>
        <w:t>Opis aktivnosti</w:t>
      </w:r>
    </w:p>
    <w:p w:rsidR="005C2091" w:rsidRDefault="00A86293">
      <w:r>
        <w:t xml:space="preserve">U cilju jačanje uloge proizvođačkih organizacija kroz koje proizvođači promiču svoje interese te se poslovno i tržišno povezuju uspostavljena je nacionalna potpora uspostavi i početak rada priznatih proizvođačkih organizacija.  </w:t>
      </w:r>
    </w:p>
    <w:p w:rsidR="005C2091" w:rsidRDefault="00A86293">
      <w:r>
        <w:t xml:space="preserve"> </w:t>
      </w:r>
    </w:p>
    <w:p w:rsidR="005C2091" w:rsidRDefault="00A86293">
      <w:r>
        <w:t>Krajem 2015 godine Ministarstvo je prvi puta odobrilo za 3 proizvođačke organizacije potporu za njihov rad iz nacionalnih sredstava. ta se potpora dodjeljuje jednom godišnje u narednih 5 godina. Slijedom toga je u proračunu za 2016 godinu planirano 2.136.000,00, a potrošeno je na toj poziciji 2.123.915,54, odnosno 99,4%. razlika se odnosi na manji dio nepriznatih troškova u konačnoj procjeni zahtjeva proizvođačkih organizacija koje je provodila Agencija za plaćanja u poljoprivredi i ruralnom razvoju.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2"/>
        <w:gridCol w:w="2483"/>
        <w:gridCol w:w="1006"/>
        <w:gridCol w:w="1014"/>
        <w:gridCol w:w="1192"/>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497844">
            <w:pPr>
              <w:pStyle w:val="CellColumn"/>
              <w:spacing w:after="0"/>
              <w:jc w:val="left"/>
            </w:pPr>
            <w:r>
              <w:rPr>
                <w:rFonts w:cs="Times New Roman"/>
              </w:rPr>
              <w:t xml:space="preserve">Povećanje broja </w:t>
            </w:r>
          </w:p>
          <w:p w:rsidR="005C2091" w:rsidRDefault="00A86293" w:rsidP="00497844">
            <w:pPr>
              <w:pStyle w:val="CellColumn"/>
              <w:spacing w:after="0"/>
              <w:jc w:val="left"/>
            </w:pPr>
            <w:r>
              <w:rPr>
                <w:rFonts w:cs="Times New Roman"/>
              </w:rPr>
              <w:t xml:space="preserve">sektora s </w:t>
            </w:r>
          </w:p>
          <w:p w:rsidR="005C2091" w:rsidRDefault="00A86293" w:rsidP="00497844">
            <w:pPr>
              <w:pStyle w:val="CellColumn"/>
              <w:spacing w:after="0"/>
              <w:jc w:val="left"/>
            </w:pPr>
            <w:r>
              <w:rPr>
                <w:rFonts w:cs="Times New Roman"/>
              </w:rPr>
              <w:t xml:space="preserve">proizvođačkim </w:t>
            </w:r>
          </w:p>
          <w:p w:rsidR="005C2091" w:rsidRDefault="00A86293" w:rsidP="00497844">
            <w:pPr>
              <w:pStyle w:val="CellColumn"/>
              <w:spacing w:after="0"/>
              <w:jc w:val="left"/>
            </w:pPr>
            <w:r>
              <w:rPr>
                <w:rFonts w:cs="Times New Roman"/>
              </w:rPr>
              <w:t>organizacijama</w:t>
            </w:r>
          </w:p>
        </w:tc>
        <w:tc>
          <w:tcPr>
            <w:tcW w:w="2551" w:type="dxa"/>
          </w:tcPr>
          <w:p w:rsidR="005C2091" w:rsidRDefault="00A86293" w:rsidP="00497844">
            <w:pPr>
              <w:pStyle w:val="CellColumn"/>
              <w:spacing w:after="0"/>
              <w:jc w:val="left"/>
            </w:pPr>
            <w:r>
              <w:rPr>
                <w:rFonts w:cs="Times New Roman"/>
              </w:rPr>
              <w:t xml:space="preserve">Povećanje broja </w:t>
            </w:r>
          </w:p>
          <w:p w:rsidR="005C2091" w:rsidRDefault="00A86293" w:rsidP="00497844">
            <w:pPr>
              <w:pStyle w:val="CellColumn"/>
              <w:spacing w:after="0"/>
              <w:jc w:val="left"/>
            </w:pPr>
            <w:r>
              <w:rPr>
                <w:rFonts w:cs="Times New Roman"/>
              </w:rPr>
              <w:t xml:space="preserve">sektora s </w:t>
            </w:r>
          </w:p>
          <w:p w:rsidR="005C2091" w:rsidRDefault="00A86293" w:rsidP="00497844">
            <w:pPr>
              <w:pStyle w:val="CellColumn"/>
              <w:spacing w:after="0"/>
              <w:jc w:val="left"/>
            </w:pPr>
            <w:r>
              <w:rPr>
                <w:rFonts w:cs="Times New Roman"/>
              </w:rPr>
              <w:t xml:space="preserve">proizvođačkim </w:t>
            </w:r>
          </w:p>
          <w:p w:rsidR="005C2091" w:rsidRDefault="00A86293" w:rsidP="00497844">
            <w:pPr>
              <w:pStyle w:val="CellColumn"/>
              <w:spacing w:after="0"/>
              <w:jc w:val="left"/>
            </w:pPr>
            <w:r>
              <w:rPr>
                <w:rFonts w:cs="Times New Roman"/>
              </w:rPr>
              <w:t>organizacijama</w:t>
            </w:r>
          </w:p>
        </w:tc>
        <w:tc>
          <w:tcPr>
            <w:tcW w:w="1020" w:type="dxa"/>
          </w:tcPr>
          <w:p w:rsidR="005C2091" w:rsidRDefault="00A86293" w:rsidP="00497844">
            <w:pPr>
              <w:pStyle w:val="CellColumn"/>
              <w:spacing w:after="0"/>
              <w:jc w:val="right"/>
            </w:pPr>
            <w:r>
              <w:rPr>
                <w:rFonts w:cs="Times New Roman"/>
              </w:rPr>
              <w:t>Broj</w:t>
            </w:r>
          </w:p>
        </w:tc>
        <w:tc>
          <w:tcPr>
            <w:tcW w:w="1020" w:type="dxa"/>
          </w:tcPr>
          <w:p w:rsidR="005C2091" w:rsidRDefault="00A86293" w:rsidP="00497844">
            <w:pPr>
              <w:pStyle w:val="CellColumn"/>
              <w:spacing w:after="0"/>
              <w:jc w:val="right"/>
            </w:pPr>
            <w:r>
              <w:rPr>
                <w:rFonts w:cs="Times New Roman"/>
              </w:rPr>
              <w:t>2</w:t>
            </w:r>
          </w:p>
        </w:tc>
        <w:tc>
          <w:tcPr>
            <w:tcW w:w="1020" w:type="dxa"/>
          </w:tcPr>
          <w:p w:rsidR="005C2091" w:rsidRDefault="00A86293" w:rsidP="00497844">
            <w:pPr>
              <w:pStyle w:val="CellColumn"/>
              <w:spacing w:after="0"/>
              <w:jc w:val="right"/>
            </w:pPr>
            <w:r>
              <w:rPr>
                <w:rFonts w:cs="Times New Roman"/>
              </w:rPr>
              <w:t>Ministarstvo poljoprivrede</w:t>
            </w:r>
          </w:p>
        </w:tc>
        <w:tc>
          <w:tcPr>
            <w:tcW w:w="1020" w:type="dxa"/>
          </w:tcPr>
          <w:p w:rsidR="005C2091" w:rsidRDefault="00A86293" w:rsidP="00497844">
            <w:pPr>
              <w:pStyle w:val="CellColumn"/>
              <w:spacing w:after="0"/>
              <w:jc w:val="right"/>
            </w:pPr>
            <w:r>
              <w:rPr>
                <w:rFonts w:cs="Times New Roman"/>
              </w:rPr>
              <w:t>3</w:t>
            </w:r>
          </w:p>
        </w:tc>
        <w:tc>
          <w:tcPr>
            <w:tcW w:w="1020" w:type="dxa"/>
          </w:tcPr>
          <w:p w:rsidR="005C2091" w:rsidRDefault="00A86293" w:rsidP="00497844">
            <w:pPr>
              <w:pStyle w:val="CellColumn"/>
              <w:spacing w:after="0"/>
              <w:jc w:val="right"/>
            </w:pPr>
            <w:r>
              <w:rPr>
                <w:rFonts w:cs="Times New Roman"/>
              </w:rPr>
              <w:t>3</w:t>
            </w:r>
          </w:p>
        </w:tc>
      </w:tr>
    </w:tbl>
    <w:p w:rsidR="005C2091" w:rsidRDefault="005C2091">
      <w:pPr>
        <w:jc w:val="left"/>
      </w:pPr>
    </w:p>
    <w:p w:rsidR="005C2091" w:rsidRDefault="00A86293">
      <w:pPr>
        <w:pStyle w:val="Heading4"/>
      </w:pPr>
      <w:r>
        <w:t>T820067 REGISTAR DRŽAVNIH POTPORA U POLJOPRIVREDI-USPOSTAVA</w:t>
      </w:r>
    </w:p>
    <w:tbl>
      <w:tblPr>
        <w:tblStyle w:val="StilTablice"/>
        <w:tblW w:w="10206" w:type="dxa"/>
        <w:jc w:val="center"/>
        <w:tblLook w:val="04A0" w:firstRow="1" w:lastRow="0" w:firstColumn="1" w:lastColumn="0" w:noHBand="0" w:noVBand="1"/>
      </w:tblPr>
      <w:tblGrid>
        <w:gridCol w:w="1703"/>
        <w:gridCol w:w="2021"/>
        <w:gridCol w:w="2019"/>
        <w:gridCol w:w="2022"/>
        <w:gridCol w:w="1220"/>
        <w:gridCol w:w="1221"/>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T820067-REGISTAR DRŽAVNIH POTPORA U POLJOPRIVREDI-USPOSTAVA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27.075</w:t>
            </w:r>
          </w:p>
        </w:tc>
        <w:tc>
          <w:tcPr>
            <w:tcW w:w="2041" w:type="dxa"/>
          </w:tcPr>
          <w:p w:rsidR="005C2091" w:rsidRDefault="00A86293">
            <w:pPr>
              <w:pStyle w:val="CellColumn"/>
              <w:jc w:val="right"/>
            </w:pPr>
            <w:r>
              <w:rPr>
                <w:rFonts w:cs="Times New Roman"/>
              </w:rPr>
              <w:t>10.938</w:t>
            </w:r>
          </w:p>
        </w:tc>
        <w:tc>
          <w:tcPr>
            <w:tcW w:w="1224" w:type="dxa"/>
          </w:tcPr>
          <w:p w:rsidR="005C2091" w:rsidRDefault="00A86293">
            <w:pPr>
              <w:pStyle w:val="CellColumn"/>
              <w:jc w:val="right"/>
            </w:pPr>
            <w:r>
              <w:rPr>
                <w:rFonts w:cs="Times New Roman"/>
              </w:rPr>
              <w:t>40,4</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Zakon o poljoprivredi („Narodne novine“, 30/2015), članak 67.</w:t>
      </w:r>
    </w:p>
    <w:p w:rsidR="005C2091" w:rsidRDefault="00A86293">
      <w:pPr>
        <w:pStyle w:val="Heading8"/>
        <w:jc w:val="left"/>
      </w:pPr>
      <w:r>
        <w:t>Opis aktivnosti</w:t>
      </w:r>
    </w:p>
    <w:p w:rsidR="005C2091" w:rsidRDefault="00A86293">
      <w:r>
        <w:t xml:space="preserve">Republika Hrvatska pristupanjem u EU preuzela je zakonodavstvo, obveze, ali i najbolju praksu Europskog okruženja i registar državnih potpora u poljoprivredi ugradila u svoje planove. Sukladno smjernicama Europske Komisije te prioritetima EU i RH u području praćenja državnih potpora u poljoprivredi, Ministarstvo poljoprivrede planira razviti Registar državnih potpora za potrebe praćenja državnih potpora i analizu njihove učinkovitosti te osigurati nužni prostor i mogućnost daljeg softverskog i tehničkog unapređenja. </w:t>
      </w:r>
    </w:p>
    <w:p w:rsidR="005C2091" w:rsidRDefault="00A86293">
      <w:r>
        <w:t xml:space="preserve">Zakon o poljoprivredi („Narodne novine“, broj 30/2015) u članku 67. propisuje obvezu vođenja registra državnih potpora.  </w:t>
      </w:r>
    </w:p>
    <w:p w:rsidR="005C2091" w:rsidRDefault="00A86293">
      <w:r>
        <w:t xml:space="preserve">Registar državnih potpora u poljoprivredi postoji kao Excel datoteka i nužno je osigurati dalju softversku razradu, izgradnju, povezivanje te potencijalno uključivanje i integraciju u druge informacijske sustave. Sukladno postojećoj natječajnoj regulativi, kao i planu i proračunu za istu aktivnost, pristupilo se sustavu bagatelne nabave i prikupljanja ponuda temeljem upita i ocjene tvrtki koje su spremne ponuditi najpovoljnije uvjete za izradu funkcionalne i natječajne specifikacije. Odluku o odabiru tvrtke Combis d.o.o. donijela je Radna skupina za uspostavu Registra državnih potpora u poljoprivredi, osnovana rješenjem ministra poljoprivrede (KLASA: 300-01-/16-01/42, URBROJ: 525-07/1325-16-1 od 7. studenoga 2016. godine) temeljem razmatranja prispjelih ponuda i odabira najbolje. </w:t>
      </w:r>
    </w:p>
    <w:p w:rsidR="005C2091" w:rsidRDefault="00A86293">
      <w:r>
        <w:t xml:space="preserve">Radna skupina razmotrila je 3 (tri) prispjele ponude od 5 (pet) tvrtki kojima je poslan upit za dostavljanje ponuda: </w:t>
      </w:r>
    </w:p>
    <w:p w:rsidR="005C2091" w:rsidRDefault="00A86293">
      <w:r>
        <w:t xml:space="preserve">1. Tvrtka Combis  d.o.o. ponudila je ujedno i najpovoljniju ponudu usluge izrade specifikacije po cijeni 8.750,00 kn, s PDV-om ukupno 10.937,50 kn. Ponuda ove  tvrtke ocijenjena je najpovoljnijom, jer su, uz najnižu cijenu usluge, ponudili visoku razinu kvalitete usluge, održavanje niza konzultativnih sastanaka i radionica u cilju kvalitetne pripreme specifikacija, ali i reference koje imaju pokazale su se kao vrlo  prihvatljive, jer su do sada već radili na izradi registara (npr. SISMIG Ministarstva poduzetništva i obrta), ali i na razvoju složenih ICT sustava kao partner Hrvatskog telekoma. </w:t>
      </w:r>
    </w:p>
    <w:p w:rsidR="005C2091" w:rsidRDefault="00A86293">
      <w:r>
        <w:t xml:space="preserve">2. Tvrtka Qualia d.o.o.iz Zagreba dostavila je ponudu s cijenom 23.333,33, s PDV-om ukupno 29.166,66 kn, </w:t>
      </w:r>
    </w:p>
    <w:p w:rsidR="005C2091" w:rsidRDefault="00A86293">
      <w:r>
        <w:t xml:space="preserve">3. Tvrka Info Novitas d.o.o. iz Zagreba dostavila je ponudu s cijenom 22.320,00, s PDV-om ukupno 27,900,00 kn </w:t>
      </w:r>
    </w:p>
    <w:p w:rsidR="005C2091" w:rsidRDefault="00A86293">
      <w:r>
        <w:t>Tvrtke Spin d.o.o. iz Osijeka i Span d.o.o. iz Zagreba nisu dostavile ponudu.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8"/>
        <w:gridCol w:w="2484"/>
        <w:gridCol w:w="1007"/>
        <w:gridCol w:w="1015"/>
        <w:gridCol w:w="1192"/>
        <w:gridCol w:w="1015"/>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Uspostava registra državnih potpora u poljoprivredi</w:t>
            </w:r>
          </w:p>
        </w:tc>
        <w:tc>
          <w:tcPr>
            <w:tcW w:w="2551" w:type="dxa"/>
          </w:tcPr>
          <w:p w:rsidR="005C2091" w:rsidRDefault="00A86293">
            <w:pPr>
              <w:pStyle w:val="CellColumn"/>
              <w:jc w:val="left"/>
            </w:pPr>
            <w:r>
              <w:rPr>
                <w:rFonts w:cs="Times New Roman"/>
              </w:rPr>
              <w:t>Izrada funkcionalne i natječajne specifikacije za uspostavljanje registra državnih potpora u poljoprivredi kao aplikativnog (softverskog) rješenja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1</w:t>
            </w:r>
          </w:p>
        </w:tc>
      </w:tr>
    </w:tbl>
    <w:p w:rsidR="005C2091" w:rsidRDefault="005C2091">
      <w:pPr>
        <w:jc w:val="left"/>
      </w:pPr>
    </w:p>
    <w:p w:rsidR="005C2091" w:rsidRDefault="00A86293">
      <w:pPr>
        <w:pStyle w:val="Heading3"/>
      </w:pPr>
      <w:r>
        <w:rPr>
          <w:rFonts w:cs="Times New Roman"/>
        </w:rPr>
        <w:t>3003 VETERINARSTVO I SIGURNOST HRANE</w:t>
      </w:r>
    </w:p>
    <w:tbl>
      <w:tblPr>
        <w:tblStyle w:val="StilTablice"/>
        <w:tblW w:w="10206" w:type="dxa"/>
        <w:jc w:val="center"/>
        <w:tblLook w:val="04A0" w:firstRow="1" w:lastRow="0" w:firstColumn="1" w:lastColumn="0" w:noHBand="0" w:noVBand="1"/>
      </w:tblPr>
      <w:tblGrid>
        <w:gridCol w:w="1770"/>
        <w:gridCol w:w="2002"/>
        <w:gridCol w:w="2002"/>
        <w:gridCol w:w="2002"/>
        <w:gridCol w:w="1213"/>
        <w:gridCol w:w="1217"/>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3003-VETERINARSTVO I SIGURNOST HRANE</w:t>
            </w:r>
          </w:p>
        </w:tc>
        <w:tc>
          <w:tcPr>
            <w:tcW w:w="2041" w:type="dxa"/>
          </w:tcPr>
          <w:p w:rsidR="005C2091" w:rsidRDefault="00A86293">
            <w:pPr>
              <w:pStyle w:val="CellColumn"/>
              <w:jc w:val="right"/>
            </w:pPr>
            <w:r>
              <w:rPr>
                <w:rFonts w:cs="Times New Roman"/>
              </w:rPr>
              <w:t>305.019.351</w:t>
            </w:r>
          </w:p>
        </w:tc>
        <w:tc>
          <w:tcPr>
            <w:tcW w:w="2041" w:type="dxa"/>
          </w:tcPr>
          <w:p w:rsidR="005C2091" w:rsidRDefault="00A86293">
            <w:pPr>
              <w:pStyle w:val="CellColumn"/>
              <w:jc w:val="right"/>
            </w:pPr>
            <w:r>
              <w:rPr>
                <w:rFonts w:cs="Times New Roman"/>
              </w:rPr>
              <w:t>339.594.300</w:t>
            </w:r>
          </w:p>
        </w:tc>
        <w:tc>
          <w:tcPr>
            <w:tcW w:w="2041" w:type="dxa"/>
          </w:tcPr>
          <w:p w:rsidR="005C2091" w:rsidRDefault="00A86293">
            <w:pPr>
              <w:pStyle w:val="CellColumn"/>
              <w:jc w:val="right"/>
            </w:pPr>
            <w:r>
              <w:rPr>
                <w:rFonts w:cs="Times New Roman"/>
              </w:rPr>
              <w:t>325.096.716</w:t>
            </w:r>
          </w:p>
        </w:tc>
        <w:tc>
          <w:tcPr>
            <w:tcW w:w="1224" w:type="dxa"/>
          </w:tcPr>
          <w:p w:rsidR="005C2091" w:rsidRDefault="00A86293">
            <w:pPr>
              <w:pStyle w:val="CellColumn"/>
              <w:jc w:val="right"/>
            </w:pPr>
            <w:r>
              <w:rPr>
                <w:rFonts w:cs="Times New Roman"/>
              </w:rPr>
              <w:t>95,7</w:t>
            </w:r>
          </w:p>
        </w:tc>
        <w:tc>
          <w:tcPr>
            <w:tcW w:w="1224" w:type="dxa"/>
          </w:tcPr>
          <w:p w:rsidR="005C2091" w:rsidRDefault="00A86293">
            <w:pPr>
              <w:pStyle w:val="CellColumn"/>
              <w:jc w:val="right"/>
            </w:pPr>
            <w:r>
              <w:rPr>
                <w:rFonts w:cs="Times New Roman"/>
              </w:rPr>
              <w:t>106,6</w:t>
            </w:r>
          </w:p>
        </w:tc>
      </w:tr>
    </w:tbl>
    <w:p w:rsidR="005C2091" w:rsidRDefault="005C2091">
      <w:pPr>
        <w:jc w:val="left"/>
      </w:pPr>
    </w:p>
    <w:p w:rsidR="005C2091" w:rsidRDefault="00A86293">
      <w:r>
        <w:t xml:space="preserve">Bolesti koje se prenose hranom ili potječu od hrane ili hrane za životinje, životinja ili bilja, zabilježene su na svakom kontinentu u prošlom desetljeću i tako ukazuju na javno zdravstveni i društveni značaj tih bolesti što je rezultiralo sve većom zabrinutosti potrošača. Ove bolesti ne samo da značajno utječu na zdravlje i dobrobit ljudi, životinja i bilja, već imaju i ekonomske posljedice budući da predstavljaju opterećenje za zdravstveni sustav i značajno smanjuju ekonomsku produktivnost.  </w:t>
      </w:r>
    </w:p>
    <w:p w:rsidR="005C2091" w:rsidRDefault="00A86293">
      <w:r>
        <w:t xml:space="preserve">Zbog sve većeg broja bolesti i kriza u području sigurnosti hrane i hrane za životinje, te zdravlja životinja i zdravstvene zaštite bilja, globalizacije i liberalizacije tržišta, raznolikog izbora hrane te sve većih zahtjeva potrošača uveden je integrirani pristup sigurnosti hrane čiji je cilj osiguranje visoke razine sigurnosti hrane i hrane za životinje a u svrhu zaštite zdravlja ljudi, životinja te zdravstvene zaštite bilja te zaštite interesa potrošača. </w:t>
      </w:r>
    </w:p>
    <w:p w:rsidR="005C2091" w:rsidRDefault="00A86293">
      <w:r>
        <w:t xml:space="preserve">Visoka razina sigurnosti hrane i hrane za životinje a u svrhu zaštite zdravlja ljudi, životinja te zdravstvene zaštite bilja te zaštite interesa potrošača postiže se unapređenjem sustva sigurnosti i kakvoće hrane i hrane za životinje te učinkovitom organizacijom službenih kontrola u području sigurnosta i kakvoće hrane, hrane za životinje, zdravlja i zaštite životinja. </w:t>
      </w:r>
    </w:p>
    <w:p w:rsidR="005C2091" w:rsidRDefault="00A86293">
      <w:r>
        <w:t xml:space="preserve"> Unapređenje sustava sigurnosti i kakvoće hrane i hrane za životinje u narednom trogodišnjem razdoblju MP će ostvariti unapređenjem upravljanja incidentima kroz unapređenje RASFF sustava i sustav pripravnosti u slučaju izbijanja krize u području sigurnosti hrane i hrane za životinje te uspostavom sustava službenih i referentnih laboratorija za hranu i hranu za životinje. </w:t>
      </w:r>
    </w:p>
    <w:p w:rsidR="005C2091" w:rsidRDefault="00A86293">
      <w:r>
        <w:t xml:space="preserve">Učinkovitu organizaciju službenih kontrola u području sigurnosti i kakvoće hrane, hrane za životinje, zdravlja i zaštite životinja u narednom trogodišnjem razdoblju MP će ostvariti provedbom službenih kobntrola sukladno planu kontrola i provedbom planauzorkovanja hrane u svrhu mikrobiološkog ispitivanja. </w:t>
      </w:r>
    </w:p>
    <w:p w:rsidR="005C2091" w:rsidRDefault="00A86293">
      <w:r>
        <w:t xml:space="preserve">Sustav sigurnosti i kakvoće hrane i hrane za životinje uključuje nadležno tijelo odnosno Ministarstvo poljoprivrede (MP), tijela nadležna za provođenje službenih kontrola hrane i hrane za životinje (Ministarstvo poljoprivrede, Ministarstvo zdravlja), te druge institucije u Republici Hrvatskoj (kontrolna tijela, službeni i referentni laboratoriji, Hrvatska agencija za hranu). U navedenom sustavu, MP je određeno kao nadležno tijelo odnosno središnje tijelo državne uprave nadležno za sigurnost, higijenu i kakvoću hrane i hrane za životinje te predstavlja nacionalnu kontakt točku prema Europskoj komisiji u području sigurnosti hrane i hrane za životinje. </w:t>
      </w:r>
    </w:p>
    <w:p w:rsidR="005C2091" w:rsidRDefault="00A86293">
      <w:r>
        <w:t>Kao nadležno tijelo MP je odgovorno za razvoj politike u području sigurnosti i kakvoće hrane i hrane za životinje, organizaciju službenih kontrola te za osiguranje učinkovite i djelotvorne koordinacije svih aktivnosti, a osobito aktivnosti službenih kontrola, između svih tijela i institucija u RH uključenih u sustav sigurnosti hrane i hrane za životinje.</w:t>
      </w:r>
    </w:p>
    <w:p w:rsidR="005C2091" w:rsidRDefault="00A86293">
      <w:pPr>
        <w:pStyle w:val="Heading8"/>
        <w:jc w:val="left"/>
      </w:pPr>
      <w:r>
        <w:t>Cilj 1. Povećanje sigurne hrane životinjskog podrijetla i hrane za životinje na tržištu Republike Hrvatske</w:t>
      </w:r>
    </w:p>
    <w:p w:rsidR="005C2091" w:rsidRDefault="00A86293">
      <w:pPr>
        <w:pStyle w:val="Heading8"/>
        <w:jc w:val="left"/>
      </w:pPr>
      <w:r>
        <w:t>Opis provedbe cilja programa</w:t>
      </w:r>
    </w:p>
    <w:p w:rsidR="005C2091" w:rsidRDefault="00A86293">
      <w:r>
        <w:t>Redovitim provođenjem službenih kontrola putem educiranih osoba koje provode službene kontrole u svim fazama proizvodnje, prerade i distribucije hrane ili hrane za životinje, te na životinjama i proizvodima životinjskog podrijetla, na temelju analize rizika i s odgovarajućom učestalosti, prema planu kontrola, povećava se sigurnost hrane koja se stavlja na tržište te time zaštitu zdravlja ljudi, životinja i interesa potrošača.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80"/>
        <w:gridCol w:w="2481"/>
        <w:gridCol w:w="1008"/>
        <w:gridCol w:w="1015"/>
        <w:gridCol w:w="1192"/>
        <w:gridCol w:w="1015"/>
        <w:gridCol w:w="1015"/>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proizvodnih područja za uzgoj i izlov živih školjkaša obuhvaćenih Planom praćenja kvalitete mora i školjkaša</w:t>
            </w:r>
          </w:p>
        </w:tc>
        <w:tc>
          <w:tcPr>
            <w:tcW w:w="2551" w:type="dxa"/>
          </w:tcPr>
          <w:p w:rsidR="00497844" w:rsidRDefault="00A86293">
            <w:pPr>
              <w:pStyle w:val="CellColumn"/>
              <w:jc w:val="left"/>
              <w:rPr>
                <w:rFonts w:cs="Times New Roman"/>
              </w:rPr>
            </w:pPr>
            <w:r>
              <w:rPr>
                <w:rFonts w:cs="Times New Roman"/>
              </w:rPr>
              <w:t>Povećanjem broja odobrenja za stavljanje u promet veterinarsko medicinskih proizvoda u propisanom roku</w:t>
            </w:r>
          </w:p>
          <w:p w:rsidR="005C2091" w:rsidRDefault="00A86293">
            <w:pPr>
              <w:pStyle w:val="CellColumn"/>
              <w:jc w:val="left"/>
            </w:pPr>
            <w:r>
              <w:rPr>
                <w:rFonts w:cs="Times New Roman"/>
              </w:rPr>
              <w:t xml:space="preserve"> smanjit će se udio nezakonitog prometa veterinarsko medicinskim proizvodima (VMP)a time povećati  kontrola uporabe i smanjiti broj uzoraka s utvrđenim reziduama (ostatcima)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25</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27</w:t>
            </w:r>
          </w:p>
        </w:tc>
      </w:tr>
      <w:tr w:rsidR="005C2091">
        <w:trPr>
          <w:jc w:val="center"/>
        </w:trPr>
        <w:tc>
          <w:tcPr>
            <w:tcW w:w="2551" w:type="dxa"/>
          </w:tcPr>
          <w:p w:rsidR="005C2091" w:rsidRDefault="00A86293">
            <w:pPr>
              <w:pStyle w:val="CellColumn"/>
              <w:jc w:val="left"/>
            </w:pPr>
            <w:r>
              <w:rPr>
                <w:rFonts w:cs="Times New Roman"/>
              </w:rPr>
              <w:t xml:space="preserve">Povećanje kontrole uporabe VMP i smanjiti broj uzoraka s utvrđenim reziduama (ostatcima) </w:t>
            </w:r>
          </w:p>
          <w:p w:rsidR="005C2091" w:rsidRDefault="00A86293">
            <w:pPr>
              <w:pStyle w:val="CellColumn"/>
              <w:jc w:val="left"/>
            </w:pPr>
            <w:r>
              <w:rPr>
                <w:rFonts w:cs="Times New Roman"/>
              </w:rPr>
              <w:t>Smanjiti broj nesukladnih nalaza</w:t>
            </w:r>
          </w:p>
        </w:tc>
        <w:tc>
          <w:tcPr>
            <w:tcW w:w="2551" w:type="dxa"/>
          </w:tcPr>
          <w:p w:rsidR="005C2091" w:rsidRDefault="00A86293">
            <w:pPr>
              <w:pStyle w:val="CellColumn"/>
              <w:jc w:val="left"/>
            </w:pPr>
            <w:r>
              <w:rPr>
                <w:rFonts w:cs="Times New Roman"/>
              </w:rPr>
              <w:t xml:space="preserve">Povećanjem broja odobrenja za stavljanje u promet veterinarsko medicinskih proizvoda u propisanom roku </w:t>
            </w:r>
          </w:p>
          <w:p w:rsidR="005C2091" w:rsidRDefault="00A86293">
            <w:pPr>
              <w:pStyle w:val="CellColumn"/>
              <w:jc w:val="left"/>
            </w:pPr>
            <w:r>
              <w:rPr>
                <w:rFonts w:cs="Times New Roman"/>
              </w:rPr>
              <w:t>smanjit će se udio nezakonitog prometa veterinarsko medicinskim proizvodima (VMP)a time povećati  kontrola uporabe i smanjiti broj uzoraka s utvrđenim reziduama (ostatcima)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7</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6</w:t>
            </w:r>
          </w:p>
        </w:tc>
      </w:tr>
    </w:tbl>
    <w:p w:rsidR="005C2091" w:rsidRDefault="005C2091">
      <w:pPr>
        <w:jc w:val="left"/>
      </w:pPr>
    </w:p>
    <w:p w:rsidR="005C2091" w:rsidRDefault="00A86293">
      <w:pPr>
        <w:pStyle w:val="Heading4"/>
      </w:pPr>
      <w:r>
        <w:t>A401084 MONITORING PROGRAMI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A401084-MONITORING PROGRAMI</w:t>
            </w:r>
          </w:p>
        </w:tc>
        <w:tc>
          <w:tcPr>
            <w:tcW w:w="2041" w:type="dxa"/>
          </w:tcPr>
          <w:p w:rsidR="005C2091" w:rsidRDefault="00A86293">
            <w:pPr>
              <w:pStyle w:val="CellColumn"/>
              <w:jc w:val="right"/>
            </w:pPr>
            <w:r>
              <w:rPr>
                <w:rFonts w:cs="Times New Roman"/>
              </w:rPr>
              <w:t>19.303.478</w:t>
            </w:r>
          </w:p>
        </w:tc>
        <w:tc>
          <w:tcPr>
            <w:tcW w:w="2041" w:type="dxa"/>
          </w:tcPr>
          <w:p w:rsidR="005C2091" w:rsidRDefault="00A86293">
            <w:pPr>
              <w:pStyle w:val="CellColumn"/>
              <w:jc w:val="right"/>
            </w:pPr>
            <w:r>
              <w:rPr>
                <w:rFonts w:cs="Times New Roman"/>
              </w:rPr>
              <w:t>20.389.982</w:t>
            </w:r>
          </w:p>
        </w:tc>
        <w:tc>
          <w:tcPr>
            <w:tcW w:w="2041" w:type="dxa"/>
          </w:tcPr>
          <w:p w:rsidR="005C2091" w:rsidRDefault="00A86293">
            <w:pPr>
              <w:pStyle w:val="CellColumn"/>
              <w:jc w:val="right"/>
            </w:pPr>
            <w:r>
              <w:rPr>
                <w:rFonts w:cs="Times New Roman"/>
              </w:rPr>
              <w:t>20.040.330</w:t>
            </w:r>
          </w:p>
        </w:tc>
        <w:tc>
          <w:tcPr>
            <w:tcW w:w="1224" w:type="dxa"/>
          </w:tcPr>
          <w:p w:rsidR="005C2091" w:rsidRDefault="00A86293">
            <w:pPr>
              <w:pStyle w:val="CellColumn"/>
              <w:jc w:val="right"/>
            </w:pPr>
            <w:r>
              <w:rPr>
                <w:rFonts w:cs="Times New Roman"/>
              </w:rPr>
              <w:t>98,3</w:t>
            </w:r>
          </w:p>
        </w:tc>
        <w:tc>
          <w:tcPr>
            <w:tcW w:w="1224" w:type="dxa"/>
          </w:tcPr>
          <w:p w:rsidR="005C2091" w:rsidRDefault="00A86293">
            <w:pPr>
              <w:pStyle w:val="CellColumn"/>
              <w:jc w:val="right"/>
            </w:pPr>
            <w:r>
              <w:rPr>
                <w:rFonts w:cs="Times New Roman"/>
              </w:rPr>
              <w:t>103,8</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veterinarstvu („Narodne novine“, broj 82/2013, 148/2013);  </w:t>
      </w:r>
    </w:p>
    <w:p w:rsidR="005C2091" w:rsidRDefault="00A86293">
      <w:r>
        <w:t xml:space="preserve">Pravilnik o izdavanju certifikata za žive životinje i proizvode životinjskog podrijetla u međunarodnom prometu („Narodne novine“, broj 137/08 i 97/09). </w:t>
      </w:r>
    </w:p>
    <w:p w:rsidR="005C2091" w:rsidRDefault="00A86293">
      <w:r>
        <w:t xml:space="preserve">Zakon o hrani (Narodne novine, broj 81/2013 i 14/2014); </w:t>
      </w:r>
    </w:p>
    <w:p w:rsidR="005C2091" w:rsidRDefault="00A86293">
      <w:r>
        <w:t xml:space="preserve">Zakon o higijeni hrane i mikrobiološkim kriterijima za hranu (Narodne novine, broj 81/2013) </w:t>
      </w:r>
    </w:p>
    <w:p w:rsidR="005C2091" w:rsidRDefault="00A86293">
      <w:r>
        <w:t>akon o službenim kontrolama koje se provode sukladno propisima o hrani, hrani za životinje, o zdravlju i dobrobiti životinja (»Narodne novine« broj 81/2013, 14/2014, 56/2015)</w:t>
      </w:r>
    </w:p>
    <w:p w:rsidR="005C2091" w:rsidRDefault="00A86293">
      <w:pPr>
        <w:pStyle w:val="Heading8"/>
        <w:jc w:val="left"/>
      </w:pPr>
      <w:r>
        <w:t>Opis aktivnosti</w:t>
      </w:r>
    </w:p>
    <w:p w:rsidR="005C2091" w:rsidRDefault="00A86293">
      <w:r>
        <w:t>Državni program monitoringa rezidua (DPMR) dio je službenih kontrola koje se provode radi zaštite javnoga zdravlja. DPMR je sustavno praćenje rezidua i drugih za ljudsko zdravlje škodljivih onečišćivača, u proizvodima životinjskoga podrijetla koji su namijenjeni prehrani ljudi. DPMR se dostavlja Europskoj Komisiji (EK) radi odobravanja do 30. ožujka tekuće godine. EK provjerava da li se zemlje pridržavaju Plana koji je naveden i je li je Plan izrađen i provođen u skladu s navedenim Direktivama. Ukoliko EK odobri Plan zemlja dobije dozvolu izvoza živih životinja i njihovih proizvoda u EU. Ukoliko EK utvrdi da dostavljeni Plan nije u skladu  ili se ne provodi na propisani način može ukinuti zemlji izvozni status. Obično je potrebno pet godina odobrenog DPMR od EK prije nego zemlja ponovno postigne izvozni status u EU.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0"/>
        <w:gridCol w:w="2481"/>
        <w:gridCol w:w="1008"/>
        <w:gridCol w:w="1015"/>
        <w:gridCol w:w="1192"/>
        <w:gridCol w:w="1015"/>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kontrole uporabe VMP i smanjenje broja uzoraka s utvrđenim reziduama. Smanjenje nesukladnih nalaza</w:t>
            </w:r>
          </w:p>
        </w:tc>
        <w:tc>
          <w:tcPr>
            <w:tcW w:w="2551" w:type="dxa"/>
          </w:tcPr>
          <w:p w:rsidR="005C2091" w:rsidRDefault="00A86293">
            <w:pPr>
              <w:pStyle w:val="CellColumn"/>
              <w:jc w:val="left"/>
            </w:pPr>
            <w:r>
              <w:rPr>
                <w:rFonts w:cs="Times New Roman"/>
              </w:rPr>
              <w:t xml:space="preserve">Povećanjem broja odobrenja za stavljanje u promet veterinarsko medicinskih proizvoda u propisanom roku </w:t>
            </w:r>
          </w:p>
          <w:p w:rsidR="005C2091" w:rsidRDefault="00A86293">
            <w:pPr>
              <w:pStyle w:val="CellColumn"/>
              <w:jc w:val="left"/>
            </w:pPr>
            <w:r>
              <w:rPr>
                <w:rFonts w:cs="Times New Roman"/>
              </w:rPr>
              <w:t>smanjit će se udio nezakonitog prometa veterinarsko medicinskim proizvodima (VMP)a time povećati  kontrola uporabe i smanjiti broj uzoraka s utvrđenim reziduama (ostatcima)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7</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6</w:t>
            </w:r>
          </w:p>
        </w:tc>
        <w:tc>
          <w:tcPr>
            <w:tcW w:w="1020" w:type="dxa"/>
          </w:tcPr>
          <w:p w:rsidR="005C2091" w:rsidRDefault="00A86293">
            <w:pPr>
              <w:pStyle w:val="CellColumn"/>
              <w:jc w:val="right"/>
            </w:pPr>
            <w:r>
              <w:rPr>
                <w:rFonts w:cs="Times New Roman"/>
              </w:rPr>
              <w:t>5</w:t>
            </w:r>
          </w:p>
        </w:tc>
      </w:tr>
      <w:tr w:rsidR="005C2091">
        <w:trPr>
          <w:jc w:val="center"/>
        </w:trPr>
        <w:tc>
          <w:tcPr>
            <w:tcW w:w="2551" w:type="dxa"/>
          </w:tcPr>
          <w:p w:rsidR="005C2091" w:rsidRDefault="00A86293">
            <w:pPr>
              <w:pStyle w:val="CellColumn"/>
              <w:jc w:val="left"/>
            </w:pPr>
            <w:r>
              <w:rPr>
                <w:rFonts w:cs="Times New Roman"/>
              </w:rPr>
              <w:t>Povećanje broja proizvodnih područja za uzgoj i izlov živih školjkaša obuhvaćenih Planom praćenja kakvoće mora i školjkaša. Ciljani broj proizvodnih područja je 58.</w:t>
            </w:r>
          </w:p>
        </w:tc>
        <w:tc>
          <w:tcPr>
            <w:tcW w:w="2551" w:type="dxa"/>
          </w:tcPr>
          <w:p w:rsidR="005C2091" w:rsidRDefault="00A86293">
            <w:pPr>
              <w:pStyle w:val="CellColumn"/>
              <w:jc w:val="left"/>
            </w:pPr>
            <w:r>
              <w:rPr>
                <w:rFonts w:cs="Times New Roman"/>
              </w:rPr>
              <w:t xml:space="preserve">Povećanjem broja odobrenja za stavljanje u promet veterinarsko medicinskih proizvoda u propisanom roku </w:t>
            </w:r>
          </w:p>
          <w:p w:rsidR="005C2091" w:rsidRDefault="00A86293">
            <w:pPr>
              <w:pStyle w:val="CellColumn"/>
              <w:jc w:val="left"/>
            </w:pPr>
            <w:r>
              <w:rPr>
                <w:rFonts w:cs="Times New Roman"/>
              </w:rPr>
              <w:t>smanjit će se udio nezakonitog prometa veterinarsko medicinskim proizvodima (VMP)a time povećati  kontrola uporabe i smanjiti broj uzoraka s utvrđenim reziduama (ostatcima)</w:t>
            </w:r>
          </w:p>
        </w:tc>
        <w:tc>
          <w:tcPr>
            <w:tcW w:w="1020" w:type="dxa"/>
          </w:tcPr>
          <w:p w:rsidR="005C2091" w:rsidRDefault="00A86293">
            <w:pPr>
              <w:pStyle w:val="CellColumn"/>
              <w:jc w:val="right"/>
            </w:pPr>
            <w:r>
              <w:rPr>
                <w:rFonts w:cs="Times New Roman"/>
              </w:rPr>
              <w:t>25</w:t>
            </w:r>
          </w:p>
        </w:tc>
        <w:tc>
          <w:tcPr>
            <w:tcW w:w="1020" w:type="dxa"/>
          </w:tcPr>
          <w:p w:rsidR="005C2091" w:rsidRDefault="00A86293">
            <w:pPr>
              <w:pStyle w:val="CellColumn"/>
              <w:jc w:val="right"/>
            </w:pPr>
            <w:r>
              <w:rPr>
                <w:rFonts w:cs="Times New Roman"/>
              </w:rPr>
              <w:t>25</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27</w:t>
            </w:r>
          </w:p>
        </w:tc>
      </w:tr>
    </w:tbl>
    <w:p w:rsidR="005C2091" w:rsidRDefault="005C2091">
      <w:pPr>
        <w:jc w:val="left"/>
      </w:pPr>
    </w:p>
    <w:p w:rsidR="005C2091" w:rsidRDefault="00A86293">
      <w:pPr>
        <w:pStyle w:val="Heading4"/>
      </w:pPr>
      <w:r>
        <w:t>A401116 SLUŽBENE KONTROLE VETERINARSKE INSPEKCIJE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A401116-SLUŽBENE KONTROLE VETERINARSKE INSPEKCIJE</w:t>
            </w:r>
          </w:p>
        </w:tc>
        <w:tc>
          <w:tcPr>
            <w:tcW w:w="2041" w:type="dxa"/>
          </w:tcPr>
          <w:p w:rsidR="005C2091" w:rsidRDefault="00A86293">
            <w:pPr>
              <w:pStyle w:val="CellColumn"/>
              <w:jc w:val="right"/>
            </w:pPr>
            <w:r>
              <w:rPr>
                <w:rFonts w:cs="Times New Roman"/>
              </w:rPr>
              <w:t>45.258.275</w:t>
            </w:r>
          </w:p>
        </w:tc>
        <w:tc>
          <w:tcPr>
            <w:tcW w:w="2041" w:type="dxa"/>
          </w:tcPr>
          <w:p w:rsidR="005C2091" w:rsidRDefault="00A86293">
            <w:pPr>
              <w:pStyle w:val="CellColumn"/>
              <w:jc w:val="right"/>
            </w:pPr>
            <w:r>
              <w:rPr>
                <w:rFonts w:cs="Times New Roman"/>
              </w:rPr>
              <w:t>46.046.600</w:t>
            </w:r>
          </w:p>
        </w:tc>
        <w:tc>
          <w:tcPr>
            <w:tcW w:w="2041" w:type="dxa"/>
          </w:tcPr>
          <w:p w:rsidR="005C2091" w:rsidRDefault="00A86293">
            <w:pPr>
              <w:pStyle w:val="CellColumn"/>
              <w:jc w:val="right"/>
            </w:pPr>
            <w:r>
              <w:rPr>
                <w:rFonts w:cs="Times New Roman"/>
              </w:rPr>
              <w:t>43.996.801</w:t>
            </w:r>
          </w:p>
        </w:tc>
        <w:tc>
          <w:tcPr>
            <w:tcW w:w="1224" w:type="dxa"/>
          </w:tcPr>
          <w:p w:rsidR="005C2091" w:rsidRDefault="00A86293">
            <w:pPr>
              <w:pStyle w:val="CellColumn"/>
              <w:jc w:val="right"/>
            </w:pPr>
            <w:r>
              <w:rPr>
                <w:rFonts w:cs="Times New Roman"/>
              </w:rPr>
              <w:t>95,5</w:t>
            </w:r>
          </w:p>
        </w:tc>
        <w:tc>
          <w:tcPr>
            <w:tcW w:w="1224" w:type="dxa"/>
          </w:tcPr>
          <w:p w:rsidR="005C2091" w:rsidRDefault="00A86293">
            <w:pPr>
              <w:pStyle w:val="CellColumn"/>
              <w:jc w:val="right"/>
            </w:pPr>
            <w:r>
              <w:rPr>
                <w:rFonts w:cs="Times New Roman"/>
              </w:rPr>
              <w:t>97,2</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visini pristojbi i naknada za službene kontrole („Narodne novine“, broj 84/2015, 100/2015, 14/2016), kojim se implementiraju odredbe Uredbe (EZ) br. 882/2004 Europskog Parlamenta i Vijeća od 29. travnja 2004. o minimalnim visinama pristojbi i naknada za provođenje službenih kontrola.   </w:t>
      </w:r>
    </w:p>
    <w:p w:rsidR="005C2091" w:rsidRDefault="00A86293">
      <w:r>
        <w:t>Zakon o veterinarstvu („Narodne novine“, broj 82/2013, 148/2013);</w:t>
      </w:r>
    </w:p>
    <w:p w:rsidR="005C2091" w:rsidRDefault="00A86293">
      <w:pPr>
        <w:pStyle w:val="Heading8"/>
        <w:jc w:val="left"/>
      </w:pPr>
      <w:r>
        <w:t>Opis aktivnosti</w:t>
      </w:r>
    </w:p>
    <w:p w:rsidR="005C2091" w:rsidRDefault="00A86293">
      <w:r>
        <w:t>Aktivnost obuhvaća sredstva za provođenje službenih kontrola u svim fazama proizvodnje, prerade i distribucije hrane ili hrane za životinje, te na životinjama i proizvodima životinjskog podrijetla, na temelju analize rizika i s odgovarajućom učestalosti, prema planu kontrola, u cilju osiguravanja zdravstvene ispravnosti, higijene i kakvoće hrane i hrane za životinje odnosno stavljanja na tržište sigurne hrane te time osiguravajući zaštitu zdravlja ljudi, životinja i interesa potrošača.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8"/>
        <w:gridCol w:w="2489"/>
        <w:gridCol w:w="1000"/>
        <w:gridCol w:w="1012"/>
        <w:gridCol w:w="1192"/>
        <w:gridCol w:w="1012"/>
        <w:gridCol w:w="1013"/>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postotka utvrđenih/otkrivenih nesukladnih pošiljaka hrane životinjskog podrijetla i hrane za životinje pri uvozu</w:t>
            </w:r>
          </w:p>
        </w:tc>
        <w:tc>
          <w:tcPr>
            <w:tcW w:w="2551" w:type="dxa"/>
          </w:tcPr>
          <w:p w:rsidR="005C2091" w:rsidRDefault="00A86293">
            <w:pPr>
              <w:pStyle w:val="CellColumn"/>
              <w:jc w:val="left"/>
            </w:pPr>
            <w:r>
              <w:rPr>
                <w:rFonts w:cs="Times New Roman"/>
              </w:rPr>
              <w:t>Povećanjem postotka utvrđenih/otkrivenih nesukladnih pošiljaka hrane životinjskog podrijetla i hrane za životinje pri uvozu osigurava se smanjenje broja zdravstveno neispravne odnosno nesukladne hrane na području RH</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0,42</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0,50</w:t>
            </w:r>
          </w:p>
        </w:tc>
        <w:tc>
          <w:tcPr>
            <w:tcW w:w="1020" w:type="dxa"/>
          </w:tcPr>
          <w:p w:rsidR="005C2091" w:rsidRDefault="00A86293">
            <w:pPr>
              <w:pStyle w:val="CellColumn"/>
              <w:jc w:val="right"/>
            </w:pPr>
            <w:r>
              <w:rPr>
                <w:rFonts w:cs="Times New Roman"/>
              </w:rPr>
              <w:t>0,58</w:t>
            </w:r>
          </w:p>
        </w:tc>
      </w:tr>
      <w:tr w:rsidR="005C2091">
        <w:trPr>
          <w:jc w:val="center"/>
        </w:trPr>
        <w:tc>
          <w:tcPr>
            <w:tcW w:w="2551" w:type="dxa"/>
          </w:tcPr>
          <w:p w:rsidR="005C2091" w:rsidRDefault="00A86293">
            <w:pPr>
              <w:pStyle w:val="CellColumn"/>
              <w:jc w:val="left"/>
            </w:pPr>
            <w:r>
              <w:rPr>
                <w:rFonts w:cs="Times New Roman"/>
              </w:rPr>
              <w:t xml:space="preserve">Povećanje broja sukladnih objekata </w:t>
            </w:r>
          </w:p>
          <w:p w:rsidR="005C2091" w:rsidRDefault="00A86293">
            <w:pPr>
              <w:pStyle w:val="CellColumn"/>
              <w:jc w:val="left"/>
            </w:pPr>
            <w:r>
              <w:rPr>
                <w:rFonts w:cs="Times New Roman"/>
              </w:rPr>
              <w:t>(kategorija 1.)/unaprjeđenja objekata</w:t>
            </w:r>
          </w:p>
        </w:tc>
        <w:tc>
          <w:tcPr>
            <w:tcW w:w="2551" w:type="dxa"/>
          </w:tcPr>
          <w:p w:rsidR="005C2091" w:rsidRDefault="00A86293">
            <w:pPr>
              <w:pStyle w:val="CellColumn"/>
              <w:jc w:val="left"/>
            </w:pPr>
            <w:r>
              <w:rPr>
                <w:rFonts w:cs="Times New Roman"/>
              </w:rPr>
              <w:t>Povećanjem broja sukladnih objekata (kategorija 1.) u poslovanju s hranom životinjskog podrijetla osigurava se stavljanje na tržište zdravstveno ispravne hrana odnosno sigurnost hrane te time zaštita zdravlja ljudi i zaštita interesa potrošača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93,89</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99,22</w:t>
            </w:r>
          </w:p>
        </w:tc>
      </w:tr>
    </w:tbl>
    <w:p w:rsidR="005C2091" w:rsidRDefault="005C2091">
      <w:pPr>
        <w:jc w:val="left"/>
      </w:pPr>
    </w:p>
    <w:p w:rsidR="005C2091" w:rsidRDefault="00A86293">
      <w:pPr>
        <w:pStyle w:val="Heading4"/>
      </w:pPr>
      <w:r>
        <w:t>A568001 ZDRAVSTVENA ZAŠTITA ŽIVOTINJA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A568001-ZDRAVSTVENA ZAŠTITA ŽIVOTINJA</w:t>
            </w:r>
          </w:p>
        </w:tc>
        <w:tc>
          <w:tcPr>
            <w:tcW w:w="2041" w:type="dxa"/>
          </w:tcPr>
          <w:p w:rsidR="005C2091" w:rsidRDefault="00A86293">
            <w:pPr>
              <w:pStyle w:val="CellColumn"/>
              <w:jc w:val="right"/>
            </w:pPr>
            <w:r>
              <w:rPr>
                <w:rFonts w:cs="Times New Roman"/>
              </w:rPr>
              <w:t>189.861.372</w:t>
            </w:r>
          </w:p>
        </w:tc>
        <w:tc>
          <w:tcPr>
            <w:tcW w:w="2041" w:type="dxa"/>
          </w:tcPr>
          <w:p w:rsidR="005C2091" w:rsidRDefault="00A86293">
            <w:pPr>
              <w:pStyle w:val="CellColumn"/>
              <w:jc w:val="right"/>
            </w:pPr>
            <w:r>
              <w:rPr>
                <w:rFonts w:cs="Times New Roman"/>
              </w:rPr>
              <w:t>215.116.489</w:t>
            </w:r>
          </w:p>
        </w:tc>
        <w:tc>
          <w:tcPr>
            <w:tcW w:w="2041" w:type="dxa"/>
          </w:tcPr>
          <w:p w:rsidR="005C2091" w:rsidRDefault="00A86293">
            <w:pPr>
              <w:pStyle w:val="CellColumn"/>
              <w:jc w:val="right"/>
            </w:pPr>
            <w:r>
              <w:rPr>
                <w:rFonts w:cs="Times New Roman"/>
              </w:rPr>
              <w:t>206.705.129</w:t>
            </w:r>
          </w:p>
        </w:tc>
        <w:tc>
          <w:tcPr>
            <w:tcW w:w="1224" w:type="dxa"/>
          </w:tcPr>
          <w:p w:rsidR="005C2091" w:rsidRDefault="00A86293">
            <w:pPr>
              <w:pStyle w:val="CellColumn"/>
              <w:jc w:val="right"/>
            </w:pPr>
            <w:r>
              <w:rPr>
                <w:rFonts w:cs="Times New Roman"/>
              </w:rPr>
              <w:t>96,1</w:t>
            </w:r>
          </w:p>
        </w:tc>
        <w:tc>
          <w:tcPr>
            <w:tcW w:w="1224" w:type="dxa"/>
          </w:tcPr>
          <w:p w:rsidR="005C2091" w:rsidRDefault="00A86293">
            <w:pPr>
              <w:pStyle w:val="CellColumn"/>
              <w:jc w:val="right"/>
            </w:pPr>
            <w:r>
              <w:rPr>
                <w:rFonts w:cs="Times New Roman"/>
              </w:rPr>
              <w:t>108,9</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veterinarstvu („Narodne novine“, broj 82/2013, 148/2013);  </w:t>
      </w:r>
    </w:p>
    <w:p w:rsidR="005C2091" w:rsidRDefault="00A86293">
      <w:r>
        <w:t xml:space="preserve">Pravilnik o izdavanju certifikata za žive životinje i proizvode životinjskog podrijetla u međunarodnom prometu („Narodne novine“, broj 137/08 i 97/09). </w:t>
      </w:r>
    </w:p>
    <w:p w:rsidR="005C2091" w:rsidRDefault="00A86293">
      <w:r>
        <w:t xml:space="preserve">Zakon o hrani (Narodne novine, broj 81/2013 i 14/2014); </w:t>
      </w:r>
    </w:p>
    <w:p w:rsidR="005C2091" w:rsidRDefault="00A86293">
      <w:r>
        <w:t xml:space="preserve">Zakon o higijeni hrane i mikrobiološkim kriterijima za hranu (Narodne novine, broj 81/2013) </w:t>
      </w:r>
    </w:p>
    <w:p w:rsidR="005C2091" w:rsidRDefault="00A86293">
      <w:r>
        <w:t xml:space="preserve">Zakon o službenim kontrolama koje se provode sukladno propisima o hrani, hrani za životinje, o zdravlju i dobrobiti životinja (»Narodne novine« broj 81/2013, 14/2014, 56/2015) </w:t>
      </w:r>
    </w:p>
    <w:p w:rsidR="005C2091" w:rsidRDefault="00A86293">
      <w:r>
        <w:t>Pravilnik o visini pristojbi i naknada za službene kontrole („Narodne novine“, broj 84/2015, 100/2015, 14/2016), kojim se implementiraju odredbe Uredbe (EZ) br. 882/2004 Europskog Parlamenta i Vijeća od 29. travnja 2004. o minimalnim visinama pristojbi i naknada za provođenje službenih kontrola.</w:t>
      </w:r>
    </w:p>
    <w:p w:rsidR="00497844" w:rsidRDefault="00497844"/>
    <w:p w:rsidR="005C2091" w:rsidRDefault="00A86293">
      <w:pPr>
        <w:pStyle w:val="Heading8"/>
        <w:jc w:val="left"/>
      </w:pPr>
      <w:r>
        <w:t>Opis aktivnosti</w:t>
      </w:r>
    </w:p>
    <w:p w:rsidR="005C2091" w:rsidRDefault="00A86293">
      <w:r>
        <w:t>U svrhu zaštite i unaprjeđenja zdravstvenog statusa životinja u Republici Hrvatskoj (RH), a osobito životinja koje se koriste za proizvodnju hrane, MP Uprava za veterinarstvo i sigurnost hrane određuje provedbu preventivnih mjera te mjera za rano otkrivanje, nadziranje, kontrolu i iskorjenjivanje bolesti životinja, uključujući zoonoze, bolesti koje izazivaju značajne ekonomske štete, te druge bolesti životinja od interesa za RH. U tu svrhu provodi se uzorkovanje i laboratorijsko pretraživanje, provedba preventivnih biosigurnosnih mjera, cijepljenje, klanje ili usmrćivanje i neškodljivo uklanjanje životinja.</w:t>
      </w:r>
    </w:p>
    <w:p w:rsidR="00497844" w:rsidRDefault="00497844"/>
    <w:p w:rsidR="00497844" w:rsidRDefault="00497844"/>
    <w:p w:rsidR="00497844" w:rsidRDefault="00497844"/>
    <w:p w:rsidR="00497844" w:rsidRDefault="00497844"/>
    <w:p w:rsidR="00497844" w:rsidRDefault="00497844"/>
    <w:p w:rsidR="00497844" w:rsidRDefault="00497844"/>
    <w:p w:rsidR="00497844" w:rsidRDefault="00497844"/>
    <w:p w:rsidR="00497844" w:rsidRDefault="00497844"/>
    <w:p w:rsidR="00497844" w:rsidRDefault="00497844"/>
    <w:p w:rsidR="00497844" w:rsidRDefault="00497844"/>
    <w:p w:rsidR="00497844" w:rsidRDefault="00497844"/>
    <w:p w:rsidR="00497844" w:rsidRDefault="00497844"/>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8"/>
        <w:gridCol w:w="2486"/>
        <w:gridCol w:w="1007"/>
        <w:gridCol w:w="1014"/>
        <w:gridCol w:w="1192"/>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certificiranih „službeno slobodnih“ stada u odnosu na ukupan broj stada</w:t>
            </w:r>
          </w:p>
        </w:tc>
        <w:tc>
          <w:tcPr>
            <w:tcW w:w="2551" w:type="dxa"/>
          </w:tcPr>
          <w:p w:rsidR="005C2091" w:rsidRDefault="00A86293">
            <w:pPr>
              <w:pStyle w:val="CellColumn"/>
              <w:jc w:val="left"/>
            </w:pPr>
            <w:r>
              <w:rPr>
                <w:rFonts w:cs="Times New Roman"/>
              </w:rPr>
              <w:t>Provođenjem Programa certificiranja stada u odnosu na određenu zaraznu bolest 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tuberkuloze goveda gdje je očekivana prevalencija ispod 0,2% ,tj. 99,8% stada službeno slobodnih od tuberkuloze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96</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98</w:t>
            </w:r>
          </w:p>
        </w:tc>
        <w:tc>
          <w:tcPr>
            <w:tcW w:w="1020" w:type="dxa"/>
          </w:tcPr>
          <w:p w:rsidR="005C2091" w:rsidRDefault="00A86293">
            <w:pPr>
              <w:pStyle w:val="CellColumn"/>
              <w:jc w:val="right"/>
            </w:pPr>
            <w:r>
              <w:rPr>
                <w:rFonts w:cs="Times New Roman"/>
              </w:rPr>
              <w:t>98,35</w:t>
            </w:r>
          </w:p>
        </w:tc>
      </w:tr>
      <w:tr w:rsidR="005C2091">
        <w:trPr>
          <w:jc w:val="center"/>
        </w:trPr>
        <w:tc>
          <w:tcPr>
            <w:tcW w:w="2551" w:type="dxa"/>
          </w:tcPr>
          <w:p w:rsidR="005C2091" w:rsidRDefault="00A86293">
            <w:pPr>
              <w:pStyle w:val="CellColumn"/>
              <w:jc w:val="left"/>
            </w:pPr>
            <w:r>
              <w:rPr>
                <w:rFonts w:cs="Times New Roman"/>
              </w:rPr>
              <w:t>Povećanje broja subjekata koji drže životinje i postupaju s njima sukladno propisima o dobrobiti u odnosu na ukupan broj subjekata koji drže životinj</w:t>
            </w:r>
          </w:p>
        </w:tc>
        <w:tc>
          <w:tcPr>
            <w:tcW w:w="2551" w:type="dxa"/>
          </w:tcPr>
          <w:p w:rsidR="005C2091" w:rsidRDefault="00A86293">
            <w:pPr>
              <w:pStyle w:val="CellColumn"/>
              <w:jc w:val="left"/>
            </w:pPr>
            <w:r>
              <w:rPr>
                <w:rFonts w:cs="Times New Roman"/>
              </w:rPr>
              <w:t>Provođenjem Programa certificiranja stada u odnosu na određenu zaraznu bolest 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tuberkuloze goveda gdje je očekivana prevalencija ispod 0,2% ,tj. 99,8% stada službeno slobodnih od tuberkuloze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80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85</w:t>
            </w:r>
          </w:p>
        </w:tc>
        <w:tc>
          <w:tcPr>
            <w:tcW w:w="1020" w:type="dxa"/>
          </w:tcPr>
          <w:p w:rsidR="005C2091" w:rsidRDefault="00A86293">
            <w:pPr>
              <w:pStyle w:val="CellColumn"/>
              <w:jc w:val="right"/>
            </w:pPr>
            <w:r>
              <w:rPr>
                <w:rFonts w:cs="Times New Roman"/>
              </w:rPr>
              <w:t>85</w:t>
            </w:r>
          </w:p>
        </w:tc>
      </w:tr>
      <w:tr w:rsidR="005C2091">
        <w:trPr>
          <w:jc w:val="center"/>
        </w:trPr>
        <w:tc>
          <w:tcPr>
            <w:tcW w:w="2551" w:type="dxa"/>
          </w:tcPr>
          <w:p w:rsidR="005C2091" w:rsidRDefault="00A86293">
            <w:pPr>
              <w:pStyle w:val="CellColumn"/>
              <w:jc w:val="left"/>
            </w:pPr>
            <w:r>
              <w:rPr>
                <w:rFonts w:cs="Times New Roman"/>
              </w:rPr>
              <w:t>Smanjenje broja slučajeva bolesti i životinja izlučenih iz uzgoja</w:t>
            </w:r>
          </w:p>
        </w:tc>
        <w:tc>
          <w:tcPr>
            <w:tcW w:w="2551" w:type="dxa"/>
          </w:tcPr>
          <w:p w:rsidR="005C2091" w:rsidRDefault="00A86293">
            <w:pPr>
              <w:pStyle w:val="CellColumn"/>
              <w:jc w:val="left"/>
            </w:pPr>
            <w:r>
              <w:rPr>
                <w:rFonts w:cs="Times New Roman"/>
              </w:rPr>
              <w:t>Provođenjem Programa certificiranja stada u odnosu na određenu zaraznu bolest očekuje se povećanje broja „službeno slobodnih“ stada, čime se smanjuje mogućnost prijenosa zaraze između stada, te se time smanjuje i broj slučajeva zar. bolesti, kao i broj izlučenih životinja Točan pokazatelj željene prevalencije (EU standard za priznavanje statusa zemlje slobodne od bolesti) može se iznijeti samo u slučaju određene zarazne bolesti, npr. tuberkuloze goveda gdje je očekivana prevalencija ispod 0,2% ,tj. 99,8% stada službeno slobodnih od tuberkuloze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1.580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1.350</w:t>
            </w:r>
          </w:p>
        </w:tc>
        <w:tc>
          <w:tcPr>
            <w:tcW w:w="1020" w:type="dxa"/>
          </w:tcPr>
          <w:p w:rsidR="005C2091" w:rsidRDefault="00A86293">
            <w:pPr>
              <w:pStyle w:val="CellColumn"/>
              <w:jc w:val="right"/>
            </w:pPr>
            <w:r>
              <w:rPr>
                <w:rFonts w:cs="Times New Roman"/>
              </w:rPr>
              <w:t>690</w:t>
            </w:r>
          </w:p>
        </w:tc>
      </w:tr>
      <w:tr w:rsidR="005C2091">
        <w:trPr>
          <w:jc w:val="center"/>
        </w:trPr>
        <w:tc>
          <w:tcPr>
            <w:tcW w:w="2551" w:type="dxa"/>
          </w:tcPr>
          <w:p w:rsidR="005C2091" w:rsidRDefault="00A86293">
            <w:pPr>
              <w:pStyle w:val="CellColumn"/>
              <w:jc w:val="left"/>
            </w:pPr>
            <w:r>
              <w:rPr>
                <w:rFonts w:cs="Times New Roman"/>
              </w:rPr>
              <w:t>Unaprjeđenje postojećih i uspostava preostalih propisanih računalnih programa i baza podataka</w:t>
            </w:r>
          </w:p>
        </w:tc>
        <w:tc>
          <w:tcPr>
            <w:tcW w:w="2551" w:type="dxa"/>
          </w:tcPr>
          <w:p w:rsidR="005C2091" w:rsidRDefault="00A86293">
            <w:pPr>
              <w:pStyle w:val="CellColumn"/>
              <w:jc w:val="left"/>
            </w:pPr>
            <w:r>
              <w:rPr>
                <w:rFonts w:cs="Times New Roman"/>
              </w:rPr>
              <w:t>Unaprjeđenjem  SVIS-a razvojem i povećanjem broja računalnih programa doći e i do  većeg povezivanja  -integracije postojećih i novih programa.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29</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21</w:t>
            </w:r>
          </w:p>
        </w:tc>
        <w:tc>
          <w:tcPr>
            <w:tcW w:w="1020" w:type="dxa"/>
          </w:tcPr>
          <w:p w:rsidR="005C2091" w:rsidRDefault="00A86293">
            <w:pPr>
              <w:pStyle w:val="CellColumn"/>
              <w:jc w:val="right"/>
            </w:pPr>
            <w:r>
              <w:rPr>
                <w:rFonts w:cs="Times New Roman"/>
              </w:rPr>
              <w:t>19</w:t>
            </w:r>
          </w:p>
        </w:tc>
      </w:tr>
    </w:tbl>
    <w:p w:rsidR="005C2091" w:rsidRDefault="005C2091">
      <w:pPr>
        <w:jc w:val="left"/>
      </w:pPr>
    </w:p>
    <w:p w:rsidR="005C2091" w:rsidRDefault="00A86293">
      <w:pPr>
        <w:pStyle w:val="Heading4"/>
      </w:pPr>
      <w:r>
        <w:t>A568057 ZBRINJAVANJE-NEŠKODLJIVO UNIŠTAVANJE</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A568057-ZBRINJAVANJE-NEŠKODLJIVO UNIŠTAVANJE</w:t>
            </w:r>
          </w:p>
        </w:tc>
        <w:tc>
          <w:tcPr>
            <w:tcW w:w="2041" w:type="dxa"/>
          </w:tcPr>
          <w:p w:rsidR="005C2091" w:rsidRDefault="00A86293">
            <w:pPr>
              <w:pStyle w:val="CellColumn"/>
              <w:jc w:val="right"/>
            </w:pPr>
            <w:r>
              <w:rPr>
                <w:rFonts w:cs="Times New Roman"/>
              </w:rPr>
              <w:t>33.661.445</w:t>
            </w:r>
          </w:p>
        </w:tc>
        <w:tc>
          <w:tcPr>
            <w:tcW w:w="2041" w:type="dxa"/>
          </w:tcPr>
          <w:p w:rsidR="005C2091" w:rsidRDefault="00A86293">
            <w:pPr>
              <w:pStyle w:val="CellColumn"/>
              <w:jc w:val="right"/>
            </w:pPr>
            <w:r>
              <w:rPr>
                <w:rFonts w:cs="Times New Roman"/>
              </w:rPr>
              <w:t>38.661.500</w:t>
            </w:r>
          </w:p>
        </w:tc>
        <w:tc>
          <w:tcPr>
            <w:tcW w:w="2041" w:type="dxa"/>
          </w:tcPr>
          <w:p w:rsidR="005C2091" w:rsidRDefault="00A86293">
            <w:pPr>
              <w:pStyle w:val="CellColumn"/>
              <w:jc w:val="right"/>
            </w:pPr>
            <w:r>
              <w:rPr>
                <w:rFonts w:cs="Times New Roman"/>
              </w:rPr>
              <w:t>38.661.500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114,9</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veterinarstvu („Narodne novine“, broj 82/2013, 148/2013);  </w:t>
      </w:r>
    </w:p>
    <w:p w:rsidR="005C2091" w:rsidRDefault="00A86293">
      <w:r>
        <w:t xml:space="preserve">Pravilnik o izdavanju certifikata za žive životinje i proizvode životinjskog podrijetla u međunarodnom prometu („Narodne novine“, broj 137/08 i 97/09). </w:t>
      </w:r>
    </w:p>
    <w:p w:rsidR="005C2091" w:rsidRDefault="00A86293">
      <w:r>
        <w:t xml:space="preserve">Zakon o hrani (Narodne novine, broj 81/2013 i 14/2014); </w:t>
      </w:r>
    </w:p>
    <w:p w:rsidR="005C2091" w:rsidRDefault="00A86293">
      <w:r>
        <w:t xml:space="preserve">Zakon o higijeni hrane i mikrobiološkim kriterijima za hranu (Narodne novine, broj 81/2013) </w:t>
      </w:r>
    </w:p>
    <w:p w:rsidR="005C2091" w:rsidRDefault="00A86293">
      <w:r>
        <w:t xml:space="preserve">Zakon o službenim kontrolama koje se provode sukladno propisima o hrani, hrani za životinje, o zdravlju i dobrobiti životinja (»Narodne novine« broj 81/2013, 14/2014, 56/2015) </w:t>
      </w:r>
    </w:p>
    <w:p w:rsidR="005C2091" w:rsidRDefault="00A86293">
      <w:r>
        <w:t>Pravilnik o visini pristojbi i naknada za službene kontrole („Narodne novine“, broj 84/2015, 100/2015, 14/2016), kojim se implementiraju odredbe Uredbe (EZ) br. 882/2004 Europskog Parlamenta i Vijeća od 29. travnja 2004. o minimalnim visinama pristojbi i naknada za provođenje službenih kontrola.</w:t>
      </w:r>
    </w:p>
    <w:p w:rsidR="005C2091" w:rsidRDefault="00A86293">
      <w:pPr>
        <w:pStyle w:val="Heading8"/>
        <w:jc w:val="left"/>
      </w:pPr>
      <w:r>
        <w:t>Opis aktivnosti</w:t>
      </w:r>
    </w:p>
    <w:p w:rsidR="005C2091" w:rsidRDefault="00A86293">
      <w:r>
        <w:t xml:space="preserve">Sakupljanje, prijevoz, skladištenje, postupanje, prerada i uporaba ili uklanjanje nusproizvoda životinjskog podrijetla koji nisu za prehranu ljudi.  </w:t>
      </w:r>
    </w:p>
    <w:p w:rsidR="005C2091" w:rsidRDefault="00A86293">
      <w:r>
        <w:t>Aktivnosti obavljaju pravne i fizičke osobe, tj. subjekti u poslovanju s nusproizvodima životinjskog podrijetla koji nisu za prehranu ljudi, čiji su objekti ili aktivnosti upisani u Upisnik koji vodi Uprava za veterinarstvo i sigurnost hrane.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1"/>
        <w:gridCol w:w="2481"/>
        <w:gridCol w:w="1007"/>
        <w:gridCol w:w="1015"/>
        <w:gridCol w:w="1192"/>
        <w:gridCol w:w="1015"/>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količine prikupljenih i prerađenih nusproizvoda</w:t>
            </w:r>
          </w:p>
        </w:tc>
        <w:tc>
          <w:tcPr>
            <w:tcW w:w="2551" w:type="dxa"/>
          </w:tcPr>
          <w:p w:rsidR="005C2091" w:rsidRDefault="00A86293">
            <w:pPr>
              <w:pStyle w:val="CellColumn"/>
              <w:jc w:val="left"/>
            </w:pPr>
            <w:r>
              <w:rPr>
                <w:rFonts w:cs="Times New Roman"/>
              </w:rPr>
              <w:t>Uspostavom organizacije sabirališta i prijevoza uginulih i usmrćenih životinja povećat će se količina sakupljenih i prerađenih</w:t>
            </w:r>
          </w:p>
        </w:tc>
        <w:tc>
          <w:tcPr>
            <w:tcW w:w="1020" w:type="dxa"/>
          </w:tcPr>
          <w:p w:rsidR="005C2091" w:rsidRDefault="00A86293">
            <w:pPr>
              <w:pStyle w:val="CellColumn"/>
              <w:jc w:val="right"/>
            </w:pPr>
            <w:r>
              <w:rPr>
                <w:rFonts w:cs="Times New Roman"/>
              </w:rPr>
              <w:t>tona</w:t>
            </w:r>
          </w:p>
        </w:tc>
        <w:tc>
          <w:tcPr>
            <w:tcW w:w="1020" w:type="dxa"/>
          </w:tcPr>
          <w:p w:rsidR="005C2091" w:rsidRDefault="00A86293">
            <w:pPr>
              <w:pStyle w:val="CellColumn"/>
              <w:jc w:val="right"/>
            </w:pPr>
            <w:r>
              <w:rPr>
                <w:rFonts w:cs="Times New Roman"/>
              </w:rPr>
              <w:t>4700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4800</w:t>
            </w:r>
          </w:p>
        </w:tc>
        <w:tc>
          <w:tcPr>
            <w:tcW w:w="1020" w:type="dxa"/>
          </w:tcPr>
          <w:p w:rsidR="005C2091" w:rsidRDefault="00A86293">
            <w:pPr>
              <w:pStyle w:val="CellColumn"/>
              <w:jc w:val="right"/>
            </w:pPr>
            <w:r>
              <w:rPr>
                <w:rFonts w:cs="Times New Roman"/>
              </w:rPr>
              <w:t>10290</w:t>
            </w:r>
          </w:p>
        </w:tc>
      </w:tr>
      <w:tr w:rsidR="005C2091">
        <w:trPr>
          <w:jc w:val="center"/>
        </w:trPr>
        <w:tc>
          <w:tcPr>
            <w:tcW w:w="2551" w:type="dxa"/>
          </w:tcPr>
          <w:p w:rsidR="005C2091" w:rsidRDefault="00A86293">
            <w:pPr>
              <w:pStyle w:val="CellColumn"/>
              <w:jc w:val="left"/>
            </w:pPr>
            <w:r>
              <w:rPr>
                <w:rFonts w:cs="Times New Roman"/>
              </w:rPr>
              <w:t>Povećanje broja    odobrenih sabirališta</w:t>
            </w:r>
          </w:p>
        </w:tc>
        <w:tc>
          <w:tcPr>
            <w:tcW w:w="2551" w:type="dxa"/>
          </w:tcPr>
          <w:p w:rsidR="005C2091" w:rsidRDefault="00A86293">
            <w:pPr>
              <w:pStyle w:val="CellColumn"/>
              <w:jc w:val="left"/>
            </w:pPr>
            <w:r>
              <w:rPr>
                <w:rFonts w:cs="Times New Roman"/>
              </w:rPr>
              <w:t>Uspostavom organizacije sabirališta i prijevoza uginulih i usmrćenih životinja povećat će se količina sakupljenih i prerađenih nusproizvoda životinjskog podrijetla u odobrenim objektima za preradu istih</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6</w:t>
            </w:r>
          </w:p>
        </w:tc>
      </w:tr>
    </w:tbl>
    <w:p w:rsidR="005C2091" w:rsidRDefault="005C2091">
      <w:pPr>
        <w:jc w:val="left"/>
      </w:pPr>
    </w:p>
    <w:p w:rsidR="005C2091" w:rsidRDefault="00A86293">
      <w:pPr>
        <w:pStyle w:val="Heading4"/>
      </w:pPr>
      <w:r>
        <w:t>T568081 USLUGE OZNAČAVANJA ŽIVOTINJA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T568081-USLUGE OZNAČAVANJA ŽIVOTINJA</w:t>
            </w:r>
          </w:p>
        </w:tc>
        <w:tc>
          <w:tcPr>
            <w:tcW w:w="2041" w:type="dxa"/>
          </w:tcPr>
          <w:p w:rsidR="005C2091" w:rsidRDefault="00A86293">
            <w:pPr>
              <w:pStyle w:val="CellColumn"/>
              <w:jc w:val="right"/>
            </w:pPr>
            <w:r>
              <w:rPr>
                <w:rFonts w:cs="Times New Roman"/>
              </w:rPr>
              <w:t>4.595.592</w:t>
            </w:r>
          </w:p>
        </w:tc>
        <w:tc>
          <w:tcPr>
            <w:tcW w:w="2041" w:type="dxa"/>
          </w:tcPr>
          <w:p w:rsidR="005C2091" w:rsidRDefault="00A86293">
            <w:pPr>
              <w:pStyle w:val="CellColumn"/>
              <w:jc w:val="right"/>
            </w:pPr>
            <w:r>
              <w:rPr>
                <w:rFonts w:cs="Times New Roman"/>
              </w:rPr>
              <w:t>5.602.150</w:t>
            </w:r>
          </w:p>
        </w:tc>
        <w:tc>
          <w:tcPr>
            <w:tcW w:w="2041" w:type="dxa"/>
          </w:tcPr>
          <w:p w:rsidR="005C2091" w:rsidRDefault="00A86293">
            <w:pPr>
              <w:pStyle w:val="CellColumn"/>
              <w:jc w:val="right"/>
            </w:pPr>
            <w:r>
              <w:rPr>
                <w:rFonts w:cs="Times New Roman"/>
              </w:rPr>
              <w:t>5.601.848</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121,9</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veterinarstvu („Narodne novine“, broj 82/2013, 148/2013);  </w:t>
      </w:r>
    </w:p>
    <w:p w:rsidR="005C2091" w:rsidRDefault="00A86293">
      <w:r>
        <w:t xml:space="preserve">Pravilnik o izdavanju certifikata za žive životinje i proizvode životinjskog podrijetla u međunarodnom prometu („Narodne novine“, broj 137/08 i 97/09). </w:t>
      </w:r>
    </w:p>
    <w:p w:rsidR="005C2091" w:rsidRDefault="00A86293">
      <w:r>
        <w:t xml:space="preserve">Zakon o hrani (Narodne novine, broj 81/2013 i 14/2014); </w:t>
      </w:r>
    </w:p>
    <w:p w:rsidR="005C2091" w:rsidRDefault="00A86293">
      <w:r>
        <w:t xml:space="preserve">Zakon o higijeni hrane i mikrobiološkim kriterijima za hranu (Narodne novine, broj 81/2013) </w:t>
      </w:r>
    </w:p>
    <w:p w:rsidR="005C2091" w:rsidRDefault="00A86293">
      <w:r>
        <w:t xml:space="preserve">Zakon o službenim kontrolama koje se provode sukladno propisima o hrani, hrani za životinje, o zdravlju i dobrobiti životinja (»Narodne novine« broj 81/2013, 14/2014, 56/2015) </w:t>
      </w:r>
    </w:p>
    <w:p w:rsidR="005C2091" w:rsidRDefault="00A86293">
      <w:r>
        <w:t>Pravilnik o visini pristojbi i naknada za službene kontrole („Narodne novine“, broj 84/2015, 100/2015, 14/2016), kojim se implementiraju odredbe Uredbe (EZ) br. 882/2004 Europskog Parlamenta i Vijeća od 29. travnja 2004. o minimalnim visinama pristojbi i naknada za provođenje službenih kontrola.</w:t>
      </w:r>
    </w:p>
    <w:p w:rsidR="005C2091" w:rsidRDefault="00A86293">
      <w:pPr>
        <w:pStyle w:val="Heading8"/>
        <w:jc w:val="left"/>
      </w:pPr>
      <w:r>
        <w:t>Opis aktivnosti</w:t>
      </w:r>
    </w:p>
    <w:p w:rsidR="005C2091" w:rsidRDefault="00A86293">
      <w:r>
        <w:t xml:space="preserve">Označavanje i registraciju životinja kao sastavne i nerazdvojive dijelove ukupnog procesa identifikacije životinja obavljaju ovlašteni i registrirani označavatelji koji mogu biti:  </w:t>
      </w:r>
    </w:p>
    <w:p w:rsidR="005C2091" w:rsidRDefault="00A86293">
      <w:r>
        <w:t></w:t>
      </w:r>
      <w:r>
        <w:tab/>
        <w:t xml:space="preserve">posjednici životinja;  </w:t>
      </w:r>
    </w:p>
    <w:p w:rsidR="005C2091" w:rsidRDefault="00A86293">
      <w:r>
        <w:t></w:t>
      </w:r>
      <w:r>
        <w:tab/>
        <w:t xml:space="preserve">ovlaštene veterinarske organizacije;  </w:t>
      </w:r>
    </w:p>
    <w:p w:rsidR="005C2091" w:rsidRDefault="00A86293">
      <w:r>
        <w:t></w:t>
      </w:r>
      <w:r>
        <w:tab/>
        <w:t xml:space="preserve">djelatnici Hrvatske poljoprivredne agencije.  </w:t>
      </w:r>
    </w:p>
    <w:p w:rsidR="005C2091" w:rsidRDefault="00A86293">
      <w:r>
        <w:t xml:space="preserve">Označavanje podrazumijeva sam čin stavljanja sredstva za označavanje (ušna markica, elektronski transponder u obliku parenteralnog mikročipa ili bolusa) na životinju, a registraciju označenih životinja rade označavatelji unosom u računalne baze – registre označenih životinja koji se vode za svaku vrstu domaćih životinja posebno. Ovi registri jesu:  </w:t>
      </w:r>
    </w:p>
    <w:p w:rsidR="005C2091" w:rsidRDefault="00A86293">
      <w:r>
        <w:t xml:space="preserve">Jedinstveni registar goveda;  </w:t>
      </w:r>
    </w:p>
    <w:p w:rsidR="005C2091" w:rsidRDefault="00A86293">
      <w:r>
        <w:t xml:space="preserve">Jedinstveni registar svinja;  </w:t>
      </w:r>
    </w:p>
    <w:p w:rsidR="005C2091" w:rsidRDefault="00A86293">
      <w:r>
        <w:t xml:space="preserve">Jedinstveni registar ovaca i koza;  </w:t>
      </w:r>
    </w:p>
    <w:p w:rsidR="005C2091" w:rsidRDefault="00A86293">
      <w:r>
        <w:t xml:space="preserve">Jedinstveni registar konja.  </w:t>
      </w:r>
    </w:p>
    <w:p w:rsidR="005C2091" w:rsidRDefault="00A86293">
      <w:r>
        <w:t xml:space="preserve">Sve ove baze dijelovi su računalnog sustava Jedinstvenog registra domaćih životinja koji pored ovih registara sadrži i druge podatke iz područja veterinarskog javnog zdravstva i veterinarske inspekcije.  </w:t>
      </w:r>
    </w:p>
    <w:p w:rsidR="005C2091" w:rsidRDefault="00A86293">
      <w:r>
        <w:t xml:space="preserve">Tehničke poslove vezane za održavanje, razvoj i dogradnju ovog računalnog sustava Uprava za veterinarstvo i sigurnost hrane povjerava, na osnovi zakona i ugovora, Hrvatskoj poljoprivrednoj agenciji.  </w:t>
      </w:r>
    </w:p>
    <w:p w:rsidR="005C2091" w:rsidRDefault="00A86293">
      <w:r>
        <w:t>Premještanje (migriranje) životinja i veterinarski pregled gospodarstva registrira se u ovom sustavu isključivo od strane ovlaštenih veterinarskih organizacija. Inspekcijski nadzor sustava obavlja veterinarska inspekcija, a za funkcioniranje cijelog sustava brine se Uprava za veterinarstvo i sigurnost hrane.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0"/>
        <w:gridCol w:w="2485"/>
        <w:gridCol w:w="1006"/>
        <w:gridCol w:w="1014"/>
        <w:gridCol w:w="1192"/>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Smanjenje postotka pogrešaka u registraciji prometa goveda</w:t>
            </w:r>
          </w:p>
        </w:tc>
        <w:tc>
          <w:tcPr>
            <w:tcW w:w="2551" w:type="dxa"/>
          </w:tcPr>
          <w:p w:rsidR="005C2091" w:rsidRDefault="00A86293">
            <w:pPr>
              <w:pStyle w:val="CellColumn"/>
              <w:jc w:val="left"/>
            </w:pPr>
            <w:r>
              <w:rPr>
                <w:rFonts w:cs="Times New Roman"/>
              </w:rPr>
              <w:t>Unaprjeđenjem sustava obvezatnog označavanja životinja te uspostava učinkovite kontrole prometa životinja, smanjit će se postotak pogrješaka u registraciji i prometu životinja, smanjiti broj nesukladnih gospodarstava i povećati postotak onih koji se pridržavaju propisa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15,5</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14,5</w:t>
            </w:r>
          </w:p>
        </w:tc>
        <w:tc>
          <w:tcPr>
            <w:tcW w:w="1020" w:type="dxa"/>
          </w:tcPr>
          <w:p w:rsidR="005C2091" w:rsidRDefault="00A86293">
            <w:pPr>
              <w:pStyle w:val="CellColumn"/>
              <w:jc w:val="right"/>
            </w:pPr>
            <w:r>
              <w:rPr>
                <w:rFonts w:cs="Times New Roman"/>
              </w:rPr>
              <w:t>8,64</w:t>
            </w:r>
          </w:p>
        </w:tc>
      </w:tr>
      <w:tr w:rsidR="005C2091">
        <w:trPr>
          <w:jc w:val="center"/>
        </w:trPr>
        <w:tc>
          <w:tcPr>
            <w:tcW w:w="2551" w:type="dxa"/>
          </w:tcPr>
          <w:p w:rsidR="005C2091" w:rsidRDefault="00A86293">
            <w:pPr>
              <w:pStyle w:val="CellColumn"/>
              <w:jc w:val="left"/>
            </w:pPr>
            <w:r>
              <w:rPr>
                <w:rFonts w:cs="Times New Roman"/>
              </w:rPr>
              <w:t>Smanjenje postotka nesukladnih gospodarstava u prometu goveda</w:t>
            </w:r>
          </w:p>
        </w:tc>
        <w:tc>
          <w:tcPr>
            <w:tcW w:w="2551" w:type="dxa"/>
          </w:tcPr>
          <w:p w:rsidR="005C2091" w:rsidRDefault="00A86293">
            <w:pPr>
              <w:pStyle w:val="CellColumn"/>
              <w:jc w:val="left"/>
            </w:pPr>
            <w:r>
              <w:rPr>
                <w:rFonts w:cs="Times New Roman"/>
              </w:rPr>
              <w:t>Unaprjeđenjem sustava obvezatnog označavanja životinja te uspostava učinkovite kontrole prometa životinja, smanjit će se postotak pogrješaka u registraciji i prometu životinja, smanjiti broj nesukladnih gospodarstava i povećati postotak onih koji se pridržavaju propisa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7</w:t>
            </w:r>
          </w:p>
        </w:tc>
        <w:tc>
          <w:tcPr>
            <w:tcW w:w="1020" w:type="dxa"/>
          </w:tcPr>
          <w:p w:rsidR="005C2091" w:rsidRDefault="00A86293">
            <w:pPr>
              <w:pStyle w:val="CellColumn"/>
              <w:jc w:val="right"/>
            </w:pPr>
            <w:r>
              <w:rPr>
                <w:rFonts w:cs="Times New Roman"/>
              </w:rPr>
              <w:t>7</w:t>
            </w:r>
          </w:p>
        </w:tc>
      </w:tr>
      <w:tr w:rsidR="005C2091">
        <w:trPr>
          <w:jc w:val="center"/>
        </w:trPr>
        <w:tc>
          <w:tcPr>
            <w:tcW w:w="2551" w:type="dxa"/>
          </w:tcPr>
          <w:p w:rsidR="005C2091" w:rsidRDefault="00A86293">
            <w:pPr>
              <w:pStyle w:val="CellColumn"/>
              <w:jc w:val="left"/>
            </w:pPr>
            <w:r>
              <w:rPr>
                <w:rFonts w:cs="Times New Roman"/>
              </w:rPr>
              <w:t>Povećanje postotka gospodarstava koje se pridržavaju propisa o označavanju i registraciji (goveda, svinje, ovce i koze)</w:t>
            </w:r>
          </w:p>
        </w:tc>
        <w:tc>
          <w:tcPr>
            <w:tcW w:w="2551" w:type="dxa"/>
          </w:tcPr>
          <w:p w:rsidR="005C2091" w:rsidRDefault="00A86293">
            <w:pPr>
              <w:pStyle w:val="CellColumn"/>
              <w:jc w:val="left"/>
            </w:pPr>
            <w:r>
              <w:rPr>
                <w:rFonts w:cs="Times New Roman"/>
              </w:rPr>
              <w:t>Unaprjeđenjem sustava obvezatnog označavanja životinja te uspostava učinkovite kontrole prometa životinja, smanjit će se postotak pogrješaka u registraciji i prometu životinja, smanjiti broj nesukladnih gospodarstava i povećati postotak onih koji se pridržavaju propisa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8,45</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18,3</w:t>
            </w:r>
          </w:p>
        </w:tc>
      </w:tr>
    </w:tbl>
    <w:p w:rsidR="005C2091" w:rsidRDefault="005C2091">
      <w:pPr>
        <w:jc w:val="left"/>
      </w:pPr>
    </w:p>
    <w:p w:rsidR="005C2091" w:rsidRDefault="00A86293">
      <w:pPr>
        <w:pStyle w:val="Heading3"/>
      </w:pPr>
      <w:r>
        <w:rPr>
          <w:rFonts w:cs="Times New Roman"/>
        </w:rPr>
        <w:t>3004 RURALNI RAZVOJ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3004-RURALNI RAZVOJ</w:t>
            </w:r>
          </w:p>
        </w:tc>
        <w:tc>
          <w:tcPr>
            <w:tcW w:w="2041" w:type="dxa"/>
          </w:tcPr>
          <w:p w:rsidR="005C2091" w:rsidRDefault="00A86293">
            <w:pPr>
              <w:pStyle w:val="CellColumn"/>
              <w:jc w:val="right"/>
            </w:pPr>
            <w:r>
              <w:rPr>
                <w:rFonts w:cs="Times New Roman"/>
              </w:rPr>
              <w:t>1.065.874.438</w:t>
            </w:r>
          </w:p>
        </w:tc>
        <w:tc>
          <w:tcPr>
            <w:tcW w:w="2041" w:type="dxa"/>
          </w:tcPr>
          <w:p w:rsidR="005C2091" w:rsidRDefault="00A86293">
            <w:pPr>
              <w:pStyle w:val="CellColumn"/>
              <w:jc w:val="right"/>
            </w:pPr>
            <w:r>
              <w:rPr>
                <w:rFonts w:cs="Times New Roman"/>
              </w:rPr>
              <w:t>1.563.290.984</w:t>
            </w:r>
          </w:p>
        </w:tc>
        <w:tc>
          <w:tcPr>
            <w:tcW w:w="2041" w:type="dxa"/>
          </w:tcPr>
          <w:p w:rsidR="005C2091" w:rsidRDefault="00A86293">
            <w:pPr>
              <w:pStyle w:val="CellColumn"/>
              <w:jc w:val="right"/>
            </w:pPr>
            <w:r>
              <w:rPr>
                <w:rFonts w:cs="Times New Roman"/>
              </w:rPr>
              <w:t>1.548.820.768</w:t>
            </w:r>
          </w:p>
        </w:tc>
        <w:tc>
          <w:tcPr>
            <w:tcW w:w="1224" w:type="dxa"/>
          </w:tcPr>
          <w:p w:rsidR="005C2091" w:rsidRDefault="00A86293">
            <w:pPr>
              <w:pStyle w:val="CellColumn"/>
              <w:jc w:val="right"/>
            </w:pPr>
            <w:r>
              <w:rPr>
                <w:rFonts w:cs="Times New Roman"/>
              </w:rPr>
              <w:t>99,1</w:t>
            </w:r>
          </w:p>
        </w:tc>
        <w:tc>
          <w:tcPr>
            <w:tcW w:w="1224" w:type="dxa"/>
          </w:tcPr>
          <w:p w:rsidR="005C2091" w:rsidRDefault="00A86293">
            <w:pPr>
              <w:pStyle w:val="CellColumn"/>
              <w:jc w:val="right"/>
            </w:pPr>
            <w:r>
              <w:rPr>
                <w:rFonts w:cs="Times New Roman"/>
              </w:rPr>
              <w:t>145,3</w:t>
            </w:r>
          </w:p>
        </w:tc>
      </w:tr>
    </w:tbl>
    <w:p w:rsidR="005C2091" w:rsidRDefault="005C2091">
      <w:pPr>
        <w:jc w:val="left"/>
      </w:pPr>
    </w:p>
    <w:p w:rsidR="005C2091" w:rsidRDefault="00A86293">
      <w:r>
        <w:t xml:space="preserve">Sukladno trendovima Zajedničke poljoprivredne politike u Europskoj uniji ruralni razvoj zauzima sve značajnije mjesto te postaje sve naglašenije područje u oblikovanju poljoprivredne politike RH. Kao bitna sastavnica europskog modela poljoprivrede, svrha je politike ruralnog razvoja oblikovati dosljedan i trajan okvir koji će zajamčiti budućnost ruralnom prostoru te stimulirati održivost i zapošljavanje. Cilj mjera ruralnog razvoja je smanjenje razlika u gospodarskom razvitku i životnim uvjetima u odnosu na ostala područja, kreiranje snažnog poljoprivrednog sektora, povećanje konkurentnosti ruralnog područja, očuvanje okoliša i prirodnih resursa te očuvanje i napredak seoskih područja i ruralnih vrijednosti. Svrha ruralnog razvoja je poboljšanje kvalitete života u područjima gdje su ti uvjeti znatno niži od prosjeka. Ovo se odnosi na mogućnost zapošljavanja, razinu dohotka, javne usluge i infrastrukturu. Poljoprivreda daje velike mogućnosti za zapošljavanje u tim područjima, ali ima i ruralnih područja gdje većina nije zaposlena u poljoprivrednom sektoru. Stoga se uspješna politika ruralnog razvoja ne veže isključivo uz poljoprivrednu djelatnost već, osim poljoprivrede, obuhvaća i šumarstvo, okoliš, diversifikaciju ruralnog gospodarstva, kvalitetu ruralnog života, inovacije u poljoprivredi, nove načine upotrebe poljoprivrednih proizvoda, zaštitu okoliša u seoskim sredinama i stvaranje novih radnih mjesta. Navedeni opći ciljevi proizlaze iz Programa ruralnog razvoja Republike Hrvatske za razdoblje 2014.- 2020. i Uredbe EU 1305/2013. Kvaliteta življenja ruralnog stanovništva neprekidno se poboljšava, a razlike u životnom standardu između ruralnog i urbanog stanovništva se smanjuju. Jedan od primarnih ciljeva koji se nameće je taj da ruralna područja postanu vitalna i privlačna mjesta za život i rad, s razvijenim raznolikim gospodarskim mogućnostima u skladu s lokalnim uvjetima i obilježjima. Dinamičkim vezama između sela, manjih gradova i gradskih područja, ruralna područja bi trebala doprinijeti razvoju gospodarstva u cjelini. Ruralna područja sposobna su se brzo prilagoditi gospodarskim, društvenim, kulturnim, ekološkim i tehnološkim promjenama i potpuno se integrirati u tržišno gospodarstvo. Nedovoljno razvijena temeljna infrastruktura na ruralnim područjima otežava razvoj poljoprivrednih gospodarstava i nepovoljno utječe na kvalitetu života u ruralnim područjima. Jedinice lokalne samouprave imaju veliku potrebu za ulaganja u temeljnu infrastrukturu kako bi povećale kvalitetu života u okviru svojih životnih sredina i stvorile realne osnove za razvoj na ruralnom prostoru. Proširenje na nepoljoprivredne djelatnosti, odnosno diversifikacija ekonomskih aktivnosti na ruralnom području vrlo je važan segment u razvoju ruralnih područja, a doprinosi otvaranju novih radnih mjesta, smanjuje depopulaciju stanovništva te doprinosi poboljšanju životnih uvjeta na sveukupnom ruralnom prostoru. Očuvanje kulturne baštine, seoskih običaja i manifestacija koje promiču ruralni razvoj, kao aktivnosti usko su povezane s poljoprivrednom proizvodnjom, seoskim okruženjem i načinom života te na najbolji mogući način prezentiraju tradicijsku osnovu i ambijentalni ugođaj. U novom programskom razdoblju (2014. – 2020.), uz ostale, provodi se mjera M07 „Osnovne usluge i obnova sela u ruralnim područjima“, temeljem koje ulaganja osim komunalne i prometne infrastrukture obuhvaćaju i društvenu, socijalnu i turističku infrastrukturu. Temeljni cilj mjere je vezan na uređivanje naselja i stvaranje temelja za razvoj kvalitetnoga socijalnoga i ekonomskog načina života u kvalitetnom okolišu, uz istodoban razvoj gospodarstva. Pri tome valja omogućiti sljedeće:  </w:t>
      </w:r>
    </w:p>
    <w:p w:rsidR="005C2091" w:rsidRDefault="00A86293">
      <w:r>
        <w:t xml:space="preserve">Očuvanje i razvoj regionalnih identiteta i regionalnih značajaka  </w:t>
      </w:r>
    </w:p>
    <w:p w:rsidR="005C2091" w:rsidRDefault="00A86293">
      <w:r>
        <w:t xml:space="preserve">Ekonomski, prostorno uravnotežen i održivi razvoj sela sa zaštitom okoliša kao jednom od osnovnih postavaka  </w:t>
      </w:r>
    </w:p>
    <w:p w:rsidR="005C2091" w:rsidRDefault="00A86293">
      <w:r>
        <w:t>Kvalitetne životne uvjete za cjelokupno seosko stanovništvo. Kulturno i povijesno nasljeđe kroz svakodnevni život, osim što se zasniva na tradicionalnosti, zanimljivo je i značajno i zbog podizanja vrijednosti destinacije kroz gostoljubivost domaćina, originalnosti ponude (aktivnosti koje se svakodnevno upražnjavaju i nisu usmjerene isključivo prema turistima – gostima), položaju smještaja, povoljnoj cijeni. Stoga je vrlo važno, prije svega očuvati, ali u istoj mjeri i zaštititi te očuvati kulturnu baštinu i tradicijske vrijednosti, ali i naglasiti važnost poljoprivredne djelatnosti u okviru gospodarstva u svemu tome te ih putem organiziranja manifestacija prezentirati ruralnom stanovništvu, ali i gostima.</w:t>
      </w:r>
    </w:p>
    <w:p w:rsidR="005C2091" w:rsidRDefault="00A86293">
      <w:pPr>
        <w:pStyle w:val="Heading8"/>
        <w:jc w:val="left"/>
      </w:pPr>
      <w:r>
        <w:t>Cilj 1. Poboljšanje uvjeta života na ruralnom prostoru kroz povećanje konkurentnosti poljoprivredno - prerađivačkog i šumarskog sektora te ulaganja u obnovu i razvoj ruralnih područja</w:t>
      </w:r>
    </w:p>
    <w:p w:rsidR="005C2091" w:rsidRDefault="00A86293">
      <w:pPr>
        <w:pStyle w:val="Heading8"/>
        <w:jc w:val="left"/>
      </w:pPr>
      <w:r>
        <w:t>Opis provedbe cilja programa</w:t>
      </w:r>
    </w:p>
    <w:p w:rsidR="005C2091" w:rsidRDefault="00A86293">
      <w:r>
        <w:t xml:space="preserve">Kvaliteta življenja ruralnog stanovništva neprekidno se poboljšava, a razlike u životnom standardu između ruralnog i urbanog stanovništva se smanjuju. Jedan od primarnih ciljeva koji se nameće je taj da ruralna područja postanu vitalna i privlačna mjesta za život i rad, s razvijenim raznolikim gospodarskim mogućnostima u skladu s lokalnim uvjetima i obilježjima. Dinamičkim vezama između sela, manjih gradova i gradskih područja, ruralna područja bi trebala doprinijeti razvoju gospodarstva u cjelini. Cilj je ruralna područja prilagoditi gospodarskim, društvenim, kulturnim, ekološkim i tehnološkim promjenama koje se brže događaju u urbanim područjima te se ravnomjerno i potpuno integrirati u tržišno gospodarstvo. Nedovoljno razvijena temeljna infrastruktura na ruralnim područjima otežava razvoj poljoprivrednih gospodarstava i nepovoljno utječe na kvalitetu života u ruralnim područjima. Jedinice lokalne samouprave imaju veliku potrebu za ulaganja u temeljnu infrastrukturu kako bi povećale kvalitetu života u okviru svojih životnih sredina i stvorile realne osnove za razvoj na ruralnom prostoru. </w:t>
      </w:r>
    </w:p>
    <w:p w:rsidR="005C2091" w:rsidRDefault="00A86293">
      <w:r>
        <w:t xml:space="preserve">Proširenje na nepoljoprivredne djelatnosti, odnosno diversifikacija ekonomskih aktivnosti na ruralnom području vrlo je važan segment u razvoju ruralnih područja, a doprinosi otvaranju novih radnih mjesta, smanjuje depopulaciju stanovništva te doprinosi poboljšanju životnih uvjeta na sveukupnom ruralnom prostoru. „Postojeći“ načini ostvarenja postavljenog cilja: 3.1.1. Strukturna potpora kroz mjeru diversifikacija 3.1.2. Ulaganja u razvoj komunalne i prometne ruralne infrastrukture „Novi“ načini ostvarivanja postavljenog cilja: 3.1.3. Ulaganja u razvoj društvene, socijalne i turističke ruralne infrastrukture U novom programskom razdoblju (2014. – 2020.) planira se provoditi mjera M07 „Osnovne Temeljne usluge i obnova sela u ruralnim područjima“ čiji će opseg ulaganja biti znatno širi od trenutnog onogkoji je u IPARD-u. Ulaganja će osim komunalne i prometne infrastrukture obuhvatiti i društvenu, socijalnu i turističku infrastrukturu. Temeljni cilj mjere trebao bi biti vezan na uređivanje naseljâa i na stvaranje temelja za razvoj kvalitetnoga socijalnoga i ekonomskog načina života u kvalitetnom okolišu, uz istodoban razvoj gospodarstva. Pri tome valja omogućiti sljedeće: •Očuvanje i razvoj regionalnih identiteta i regionalnih značajaka •Ekonomski, prostorno uravnotežen i održivi razvoj sela sa zaštitom okoliša kao jednom od osnovnih postavaka •Kvalitetne životne uvjete za cjelokupno seosko stanovništvo. Provedbom mjere M06 „ Razvoj poljoprivrednih gospodarstava i poslovanja“ nastoji se postići pozitivan utjecaj na demografsku obnovu opustošenih ruralnih područja, kako bi se potakao ostanak mladih u ruralnim područjima, odnosno njihov povratak iz gradova osiguranjem primjerenih životnih i radnih uvjeta.  </w:t>
      </w:r>
    </w:p>
    <w:p w:rsidR="005C2091" w:rsidRDefault="00A86293">
      <w:r>
        <w:t xml:space="preserve">Implementacijom mjere M03 „Sustavi kvalitete za poljoprivredne proizvode i hranu“ prvenstveno se podiže vrijednost poljoprivednih i/ili prehrambenih proizvoda, što istovremeno znači i povećanje dohotka za proizvođače. S druge strane, izražen je i utjecaj takvih proizvoda na doprinos održivom razvoju ruralnih područja, kao i jačanju turističke ponude. </w:t>
      </w:r>
    </w:p>
    <w:p w:rsidR="005C2091" w:rsidRDefault="00A86293">
      <w:r>
        <w:t xml:space="preserve">Kroz provedbu mjere M04 „Ulaganja u fizičku imovinu“ prihvatljiva su brojna ulaganja koja su dostupna u znatno širem opsegu od inicijalno dostupnog kroz IPARD. Provedba mjere omogućava brojna ulaganja u primarnu poljoprivredu i preradu poljoprivrednih proizvoda, kao i u djelatnosti usmjerene u navodnjavanje poljoprivrednih površina i očuvanje krajobraznih vrijednosti. </w:t>
      </w:r>
    </w:p>
    <w:p w:rsidR="005C2091" w:rsidRDefault="00A86293">
      <w:r>
        <w:t>Godišnja plaćanja po jedinici površine ili uvjetnom grlu kao naknada korisniku za gubitak prihoda i dodatne troškove koji su rezultat pridržavanja posebnih uvjeta koji nadilaze minimalno propisane uvjete, provoditi će se kontinuirano tijekom programskog razdoblja 2014.-2020. u okviru mjera M10, M11 i M13 sa svrhom ublažavanja gospodarski nepovoljnih faktora na poslovanje.</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89"/>
        <w:gridCol w:w="2476"/>
        <w:gridCol w:w="1006"/>
        <w:gridCol w:w="1014"/>
        <w:gridCol w:w="1192"/>
        <w:gridCol w:w="1014"/>
        <w:gridCol w:w="1015"/>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Indeks realnog dohotka u poljoprivredi po jedinici godišnjeg rada (Izvor: DZS-druga procjena realnog dohotka u poljoprivredi)</w:t>
            </w:r>
          </w:p>
        </w:tc>
        <w:tc>
          <w:tcPr>
            <w:tcW w:w="2551" w:type="dxa"/>
          </w:tcPr>
          <w:p w:rsidR="005C2091" w:rsidRDefault="00A86293">
            <w:pPr>
              <w:pStyle w:val="CellColumn"/>
              <w:jc w:val="left"/>
            </w:pPr>
            <w:r>
              <w:rPr>
                <w:rFonts w:cs="Times New Roman"/>
              </w:rPr>
              <w:t>Kvocijent vrijednosti faktorskog dohotka izraženoga u kunama i uloženog rada izraženoga u ukupnim jedinicama godišnjeg rada, deflacioniran s implicitnim indeksom cijena bruto domaćeg proizvoda</w:t>
            </w:r>
          </w:p>
        </w:tc>
        <w:tc>
          <w:tcPr>
            <w:tcW w:w="1020" w:type="dxa"/>
          </w:tcPr>
          <w:p w:rsidR="005C2091" w:rsidRDefault="00A86293">
            <w:pPr>
              <w:pStyle w:val="CellColumn"/>
              <w:jc w:val="right"/>
            </w:pPr>
            <w:r>
              <w:rPr>
                <w:rFonts w:cs="Times New Roman"/>
              </w:rPr>
              <w:t>Hrk</w:t>
            </w:r>
          </w:p>
        </w:tc>
        <w:tc>
          <w:tcPr>
            <w:tcW w:w="1020" w:type="dxa"/>
          </w:tcPr>
          <w:p w:rsidR="005C2091" w:rsidRDefault="00A86293">
            <w:pPr>
              <w:pStyle w:val="CellColumn"/>
              <w:jc w:val="right"/>
            </w:pPr>
            <w:r>
              <w:rPr>
                <w:rFonts w:cs="Times New Roman"/>
              </w:rPr>
              <w:t>36.422</w:t>
            </w:r>
          </w:p>
        </w:tc>
        <w:tc>
          <w:tcPr>
            <w:tcW w:w="1020" w:type="dxa"/>
          </w:tcPr>
          <w:p w:rsidR="005C2091" w:rsidRDefault="00A86293">
            <w:pPr>
              <w:pStyle w:val="CellColumn"/>
              <w:jc w:val="right"/>
            </w:pPr>
            <w:r>
              <w:rPr>
                <w:rFonts w:cs="Times New Roman"/>
              </w:rPr>
              <w:t>Državni zavod za statistiku</w:t>
            </w:r>
          </w:p>
        </w:tc>
        <w:tc>
          <w:tcPr>
            <w:tcW w:w="1020" w:type="dxa"/>
          </w:tcPr>
          <w:p w:rsidR="005C2091" w:rsidRDefault="00A86293">
            <w:pPr>
              <w:pStyle w:val="CellColumn"/>
              <w:jc w:val="right"/>
            </w:pPr>
            <w:r>
              <w:rPr>
                <w:rFonts w:cs="Times New Roman"/>
              </w:rPr>
              <w:t>37.000</w:t>
            </w:r>
          </w:p>
        </w:tc>
        <w:tc>
          <w:tcPr>
            <w:tcW w:w="1020" w:type="dxa"/>
          </w:tcPr>
          <w:p w:rsidR="005C2091" w:rsidRDefault="00A86293">
            <w:pPr>
              <w:pStyle w:val="CellColumn"/>
              <w:jc w:val="right"/>
            </w:pPr>
            <w:r>
              <w:rPr>
                <w:rFonts w:cs="Times New Roman"/>
              </w:rPr>
              <w:t>37.782</w:t>
            </w:r>
          </w:p>
        </w:tc>
      </w:tr>
      <w:tr w:rsidR="005C2091">
        <w:trPr>
          <w:jc w:val="center"/>
        </w:trPr>
        <w:tc>
          <w:tcPr>
            <w:tcW w:w="2551" w:type="dxa"/>
          </w:tcPr>
          <w:p w:rsidR="005C2091" w:rsidRDefault="00A86293">
            <w:pPr>
              <w:pStyle w:val="CellColumn"/>
              <w:jc w:val="left"/>
            </w:pPr>
            <w:r>
              <w:rPr>
                <w:rFonts w:cs="Times New Roman"/>
              </w:rPr>
              <w:t>Povećanje površina poljoprivrednog zemljišta za koje su sklopljeni ugovori o upravljanju kojima se pridonosi bioraznolikosti; poboljšava gospodarenje vodama; poboljšava gospodarenje tlom i/ili sprečava erozija tla</w:t>
            </w:r>
          </w:p>
        </w:tc>
        <w:tc>
          <w:tcPr>
            <w:tcW w:w="2551" w:type="dxa"/>
          </w:tcPr>
          <w:p w:rsidR="005C2091" w:rsidRDefault="00A86293">
            <w:pPr>
              <w:pStyle w:val="CellColumn"/>
              <w:jc w:val="left"/>
            </w:pPr>
            <w:r>
              <w:rPr>
                <w:rFonts w:cs="Times New Roman"/>
              </w:rPr>
              <w:t>Sukladnost s okvirom provedbe M10</w:t>
            </w:r>
          </w:p>
        </w:tc>
        <w:tc>
          <w:tcPr>
            <w:tcW w:w="1020" w:type="dxa"/>
          </w:tcPr>
          <w:p w:rsidR="005C2091" w:rsidRDefault="00A86293">
            <w:pPr>
              <w:pStyle w:val="CellColumn"/>
              <w:jc w:val="right"/>
            </w:pPr>
            <w:r>
              <w:rPr>
                <w:rFonts w:cs="Times New Roman"/>
              </w:rPr>
              <w:t>Indeks</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102</w:t>
            </w:r>
          </w:p>
        </w:tc>
        <w:tc>
          <w:tcPr>
            <w:tcW w:w="1020" w:type="dxa"/>
          </w:tcPr>
          <w:p w:rsidR="005C2091" w:rsidRDefault="00A86293">
            <w:pPr>
              <w:pStyle w:val="CellColumn"/>
              <w:jc w:val="right"/>
            </w:pPr>
            <w:r>
              <w:rPr>
                <w:rFonts w:cs="Times New Roman"/>
              </w:rPr>
              <w:t>123</w:t>
            </w:r>
          </w:p>
        </w:tc>
      </w:tr>
      <w:tr w:rsidR="005C2091">
        <w:trPr>
          <w:jc w:val="center"/>
        </w:trPr>
        <w:tc>
          <w:tcPr>
            <w:tcW w:w="2551" w:type="dxa"/>
          </w:tcPr>
          <w:p w:rsidR="005C2091" w:rsidRDefault="00A86293">
            <w:pPr>
              <w:pStyle w:val="CellColumn"/>
              <w:jc w:val="left"/>
            </w:pPr>
            <w:r>
              <w:rPr>
                <w:rFonts w:cs="Times New Roman"/>
              </w:rPr>
              <w:t>Povećanje površina navodnjavanog zemljišta</w:t>
            </w:r>
          </w:p>
        </w:tc>
        <w:tc>
          <w:tcPr>
            <w:tcW w:w="2551" w:type="dxa"/>
          </w:tcPr>
          <w:p w:rsidR="005C2091" w:rsidRDefault="00A86293">
            <w:pPr>
              <w:pStyle w:val="CellColumn"/>
              <w:jc w:val="left"/>
            </w:pPr>
            <w:r>
              <w:rPr>
                <w:rFonts w:cs="Times New Roman"/>
              </w:rPr>
              <w:t>Sukladnost s okvirom provedbe M04 (4.1.3.)</w:t>
            </w:r>
          </w:p>
        </w:tc>
        <w:tc>
          <w:tcPr>
            <w:tcW w:w="1020" w:type="dxa"/>
          </w:tcPr>
          <w:p w:rsidR="005C2091" w:rsidRDefault="00A86293">
            <w:pPr>
              <w:pStyle w:val="CellColumn"/>
              <w:jc w:val="right"/>
            </w:pPr>
            <w:r>
              <w:rPr>
                <w:rFonts w:cs="Times New Roman"/>
              </w:rPr>
              <w:t>Indeks</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Povećanje obuhvata stanovništva djelatnosti LAG-ova</w:t>
            </w:r>
          </w:p>
        </w:tc>
        <w:tc>
          <w:tcPr>
            <w:tcW w:w="2551" w:type="dxa"/>
          </w:tcPr>
          <w:p w:rsidR="005C2091" w:rsidRDefault="00A86293">
            <w:pPr>
              <w:pStyle w:val="CellColumn"/>
              <w:jc w:val="left"/>
            </w:pPr>
            <w:r>
              <w:rPr>
                <w:rFonts w:cs="Times New Roman"/>
              </w:rPr>
              <w:t>Sukladnost s okvirom provedbe M19</w:t>
            </w:r>
          </w:p>
        </w:tc>
        <w:tc>
          <w:tcPr>
            <w:tcW w:w="1020" w:type="dxa"/>
          </w:tcPr>
          <w:p w:rsidR="005C2091" w:rsidRDefault="00A86293">
            <w:pPr>
              <w:pStyle w:val="CellColumn"/>
              <w:jc w:val="right"/>
            </w:pPr>
            <w:r>
              <w:rPr>
                <w:rFonts w:cs="Times New Roman"/>
              </w:rPr>
              <w:t>Indeks</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130</w:t>
            </w:r>
          </w:p>
        </w:tc>
        <w:tc>
          <w:tcPr>
            <w:tcW w:w="1020" w:type="dxa"/>
          </w:tcPr>
          <w:p w:rsidR="005C2091" w:rsidRDefault="00A86293">
            <w:pPr>
              <w:pStyle w:val="CellColumn"/>
              <w:jc w:val="right"/>
            </w:pPr>
            <w:r>
              <w:rPr>
                <w:rFonts w:cs="Times New Roman"/>
              </w:rPr>
              <w:t>152</w:t>
            </w:r>
          </w:p>
        </w:tc>
      </w:tr>
    </w:tbl>
    <w:p w:rsidR="005C2091" w:rsidRDefault="005C2091">
      <w:pPr>
        <w:jc w:val="left"/>
      </w:pPr>
    </w:p>
    <w:p w:rsidR="005C2091" w:rsidRDefault="00A86293">
      <w:pPr>
        <w:pStyle w:val="Heading4"/>
      </w:pPr>
      <w:r>
        <w:t>A820058 ZPP - MJERE RURALNOG RAZVOJA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A820058-ZPP - MJERE RURALNOG RAZVOJA</w:t>
            </w:r>
          </w:p>
        </w:tc>
        <w:tc>
          <w:tcPr>
            <w:tcW w:w="2041" w:type="dxa"/>
          </w:tcPr>
          <w:p w:rsidR="005C2091" w:rsidRDefault="00A86293">
            <w:pPr>
              <w:pStyle w:val="CellColumn"/>
              <w:jc w:val="right"/>
            </w:pPr>
            <w:r>
              <w:rPr>
                <w:rFonts w:cs="Times New Roman"/>
              </w:rPr>
              <w:t>616.182.214</w:t>
            </w:r>
          </w:p>
        </w:tc>
        <w:tc>
          <w:tcPr>
            <w:tcW w:w="2041" w:type="dxa"/>
          </w:tcPr>
          <w:p w:rsidR="005C2091" w:rsidRDefault="00A86293">
            <w:pPr>
              <w:pStyle w:val="CellColumn"/>
              <w:jc w:val="right"/>
            </w:pPr>
            <w:r>
              <w:rPr>
                <w:rFonts w:cs="Times New Roman"/>
              </w:rPr>
              <w:t>1.188.927.089</w:t>
            </w:r>
          </w:p>
        </w:tc>
        <w:tc>
          <w:tcPr>
            <w:tcW w:w="2041" w:type="dxa"/>
          </w:tcPr>
          <w:p w:rsidR="005C2091" w:rsidRDefault="00A86293">
            <w:pPr>
              <w:pStyle w:val="CellColumn"/>
              <w:jc w:val="right"/>
            </w:pPr>
            <w:r>
              <w:rPr>
                <w:rFonts w:cs="Times New Roman"/>
              </w:rPr>
              <w:t>1.185.368.320</w:t>
            </w:r>
          </w:p>
        </w:tc>
        <w:tc>
          <w:tcPr>
            <w:tcW w:w="1224" w:type="dxa"/>
          </w:tcPr>
          <w:p w:rsidR="005C2091" w:rsidRDefault="00A86293">
            <w:pPr>
              <w:pStyle w:val="CellColumn"/>
              <w:jc w:val="right"/>
            </w:pPr>
            <w:r>
              <w:rPr>
                <w:rFonts w:cs="Times New Roman"/>
              </w:rPr>
              <w:t>99,7</w:t>
            </w:r>
          </w:p>
        </w:tc>
        <w:tc>
          <w:tcPr>
            <w:tcW w:w="1224" w:type="dxa"/>
          </w:tcPr>
          <w:p w:rsidR="005C2091" w:rsidRDefault="00A86293">
            <w:pPr>
              <w:pStyle w:val="CellColumn"/>
              <w:jc w:val="right"/>
            </w:pPr>
            <w:r>
              <w:rPr>
                <w:rFonts w:cs="Times New Roman"/>
              </w:rPr>
              <w:t>192,4</w:t>
            </w:r>
          </w:p>
        </w:tc>
      </w:tr>
    </w:tbl>
    <w:p w:rsidR="005C2091" w:rsidRDefault="005C2091">
      <w:pPr>
        <w:jc w:val="left"/>
      </w:pPr>
    </w:p>
    <w:p w:rsidR="005C2091" w:rsidRDefault="00A86293">
      <w:pPr>
        <w:pStyle w:val="Heading8"/>
        <w:jc w:val="left"/>
      </w:pPr>
      <w:r>
        <w:t>Zakonske i druge pravne osnove</w:t>
      </w:r>
    </w:p>
    <w:p w:rsidR="005C2091" w:rsidRDefault="00A86293">
      <w:r>
        <w:t>Zakon o poljoprivredi (NN 30/15) Zakon o potpori poljoprivredi i ruralnom razvoju (»Narodne novine«, br. 80/2013, 41/2014 i 107/2014) Zakon o potvrđivanju Sporazuma između Vlade Republike Hrvatske i Komisije Europskih zajednica o pravilima za suradnju u vezi s financijskom pomoći europske komisije Republici Hrvatskoj i provedbe pomoći u okviru komponente V. (IPARD) Instrumenta pretpristupne pomoći (IPA) (»Narodne novine«, br. 10/08.) Zakon o potvrđivanju Višegodišnjeg sporazuma o financiranju 2007. – 2010. između Komisije Europskih zajednica u ime Europske zajednice i Vlade Republike Hrvatske (»Narodne novine«, br. 1/10,6/12.) Okvirni sporazum između Vlade Republike Hrvatske i Komisije europskih zajednica o pravilima za suradnju u svezi financijske pomoći Europske zajednice Republici Hrvatskoj u provedbi pomoći u okviru Instrumenta pretpristupne pomoći (IPA) od 27. kolovoza 2007. Uredba (EU) br. 1305/2013 EUROPSKOG PARLAMENTA I VIJEĆA o potpori ruralnom razvoju iz Europskog poljoprivrednog fonda za ruralni razvoj (EPFRR) i stavljanju izvan snage Uredbe Vijeća (EZ) br. 1698/2005 Uredba (EU) br. 1306/2013 EUROPSKOG PARLAMENTA I VIJEĆA o financiranju, upravljanju i nadzoru zajedničke poljoprivredne politike i o stavljanju izvan snage uredaba Vijeća (EEZ) br. 352/78, (EZ) br. 165/94, (EZ) br. 2799/98, (EZ) br. 814/2000, (EZ) br. 1290/2005 i (EZ) 485/2008 Pravilnik o provedbi izravne potpore poljoprivredi i IAKS mjera ruralnog razvoja („Narodne novine“, broj 35/15 i 53/15) Pravilnik o ostvarivanju prava na potporu osiguranja od mogućih šteta proizvodnji u poljoprivredi („Narodne novine“, broj 33/12) Pravilnik o provedbi mjere M04 »Ulaganja u fizičku imovinu«, podmjere 4.1. »Potpora za ulaganja u poljoprivredna gospodarstva« iz Programa ruralnog razvoja Republike Hrvatske za razdoblje 2014. – 2020. („Narodne novine“, broj 7/15) Pravilnik o provedbi mjere M04 »Ulaganja u fizičku imovinu», podmjere 4.2. »Potpora za ulaganja u preradu, marketing i/ili razvoj poljoprivrednih proizvoda« iz Programa ruralnog razvoja Republike Hrvatske za razdoblje 2014. – 2020. („Narodne novine“, broj 7/15) Pravilnik o dodjeli potpore za »Razminiranje poljoprivrednog zemljišta« iz Programa ruralnog razvoja Republike Hrvatske za razdoblje 2014. – 2020. („Narodne novine“, broj 38/15 ) Pravilnik o provedbi mjere M05 »Obnavljanje poljoprivrednog proizvodnog potencijala narušenog elementarnim nepogodama i katastrofalnim događajima te uvođenje odgovarajućih preventivnih aktivnosti«, podmjere 5.2. »Potpora za ulaganja u obnovu poljoprivrednog zemljišta i proizvodnog potencijala narušenog elementarnim nepogodama, nepovoljnim klimatskim prilikama i katastrofalnim događajima« iz Programa ruralnog razvoja Republike Hrvatske za razdoblje 2014. – 2020. („Narodne novine“, broj 112/14) Pravilnik o provedbi podmjere 6.1. »Potpora za pokretanje poslovanja mladim poljoprivrednicima«, podmjere 6.2. »Potpora ulaganju u pokretanje nepoljoprivrednih djelatnosti u ruralnim područjima« i podmjere 6.3. »Potpora razvoju malih poljoprivrednih gospodarstava« u okviru mjere M06 »Razvoj poljoprivrednih gospodarstava i poslovanja« iz Programa ruralnog razvoja Republike Hrvatske za razdoblje 2014. – 2020. („Narodne novine“, broj 42/15 ) Pravilnik o provedbi mjere M07 »Temeljne usluge i obnova sela u ruralnim područjima« iz Programa ruralnog razvoja Republike Hrvatske za razdoblje 2014. – 2020. („Narodne novine“, broj 22/15) Pravilnik o provedbi podmjere 19.1. »Pripremna pomoć« u okviru mjere M19 »LEADER – CLLD« iz Programa ruralnog razvoja Republike Hrvatske za razdoblje 2014. – 2020. („Narodne novine“, broj 43/15)</w:t>
      </w:r>
    </w:p>
    <w:p w:rsidR="005C2091" w:rsidRDefault="00A86293">
      <w:pPr>
        <w:pStyle w:val="Heading8"/>
        <w:jc w:val="left"/>
      </w:pPr>
      <w:r>
        <w:t>Opis aktivnosti</w:t>
      </w:r>
    </w:p>
    <w:p w:rsidR="005C2091" w:rsidRDefault="00A86293">
      <w:r>
        <w:t xml:space="preserve">Financijski plan za 2016. izrađen je temeljem planiranja Upravljačkog tijela na razini pojedinačnih mjera, uzimajući u obzir karakteristike pojedinih mjera i spremnosti sustava za provedbu tih mjera. Iskorištenje aktivnosti je na razini 99,70%, neovisno o odstupanjima u provedbi pojedinih elemenata u sklopu aktivnosti tijekom godine, primjerice: </w:t>
      </w:r>
    </w:p>
    <w:p w:rsidR="005C2091" w:rsidRDefault="00A86293">
      <w:r>
        <w:t xml:space="preserve">M04-Ulaganja u fizičku imovinu  za broj korisnika koja primaju potporu radi ulaganja u poljoprivredna gospodarstva (4.1) ciljana vrijednost na razini 2016. je 150 korisnika, dok realizacija iznosi 30 korisnika (svi u okviru provedbe natječaja za tip operacije 4.1.2.), što izravno proizlazi iz produljenja obrade 1. natječaja za 4.1.1. za koji se predviđa ugovaranje na razini 382 korisnika do kraja postupka ugovaranja po natječaju. </w:t>
      </w:r>
    </w:p>
    <w:p w:rsidR="005C2091" w:rsidRDefault="00A86293">
      <w:r>
        <w:t xml:space="preserve">Ukupna duljina (re)konstruirane šumske infrastrukture kroz PRR (4.3.3) planirana je s ciljem ostvarivanja ukupno 20 km šumske infrastrukture dok realizacija iznosi 0 km, obzirom da obrada projekata pristiglih na natječaj nije završena u okviru planske godine. </w:t>
      </w:r>
    </w:p>
    <w:p w:rsidR="005C2091" w:rsidRDefault="00A86293">
      <w:r>
        <w:t xml:space="preserve">M06 - Razvoj poljoprivrednih gospodarstava i poslovanja za broj korisnika koji primaju potporu u svojstvu malih poljoprivrednih gospodarstava za pokretanje poslovanja (6.3) ciljana vrijednost na razini 2016. je 1.000 korisnika, dok realizacija iznosi 976 korisnika (97,6%) iako se očekuje da će do kraja postupka ugovaranja po natječaju biti ugovoreno 1.002 korisnika. </w:t>
      </w:r>
    </w:p>
    <w:p w:rsidR="005C2091" w:rsidRDefault="00A86293">
      <w:r>
        <w:t xml:space="preserve">M09 - Uspostavljanje skupina proizvođača i organizacija </w:t>
      </w:r>
    </w:p>
    <w:p w:rsidR="005C2091" w:rsidRDefault="00A86293">
      <w:r>
        <w:t xml:space="preserve">Broj aktivnosti (osnovane skupine proizvođača) kojima je dodijeljena potpora – cilj 2016. je postavljen na razini 4 operativne skupine kojima se odobrava potpora, ali je kao posljedica potreba za usklađivanjem pravnih preduvjeta provedbe mjere natječaj kasnio s raspisivanjem. </w:t>
      </w:r>
    </w:p>
    <w:p w:rsidR="005C2091" w:rsidRDefault="00A86293">
      <w:r>
        <w:t xml:space="preserve">M17- Upravljanje rizikom </w:t>
      </w:r>
    </w:p>
    <w:p w:rsidR="005C2091" w:rsidRDefault="00A86293">
      <w:r>
        <w:t xml:space="preserve">Broj poljoprivrednih gospodarstava kojima se pruža potpora radi premija za osiguranje (17.1) ciljana vrijednost 2016. iznosila je 1.000 PG, no obzirom na izmjene rokova za podnošenje zahtjeva za potporom (zaključno s 31.01.2017.) realizacija iznosi 0 PG u 2016.  </w:t>
      </w:r>
    </w:p>
    <w:p w:rsidR="005C2091" w:rsidRDefault="00A86293">
      <w:r>
        <w:t xml:space="preserve">M13 – Plaćanja područjima s prirodnim ograničenjima ili ostalim posebnim ograničenjima  </w:t>
      </w:r>
    </w:p>
    <w:p w:rsidR="005C2091" w:rsidRDefault="00A86293">
      <w:r>
        <w:t xml:space="preserve">Područje s prirodnim ograničenjima ili ostalim posebnim ograničenjima (13.2) – cilj 2016. je na razini 355.117 ha, dok tražena potpora za 2016.g iznosi 353.476,48 ha. Ciljana vrijednost predstavlja apsolutnu vrijednost obuhvata predmetnih površina te eventualna odstupanja mogu nastati ukoliko dio korisnika ne zatraži potporu ili kao posljedica umanjenja nakon administrativne obrade zahtjeva. Područje s prirodnim ograničenjima ili ostalim posebnim ograničenjima (13.3) – cilj 2016. je na razini 35.333 ha, dok tražena potpora za 2016.g iznosi 35.202,93 ha. Ciljana vrijednost predstavlja apsolutnu vrijednost obuhvata predmetnih površina te eventualna odstupanja mogu nastati ukoliko dio korisnika ne zatraži potporu ili kao posljedica umanjenja nakon administrativne obrade zahtjeva. </w:t>
      </w:r>
    </w:p>
    <w:p w:rsidR="005C2091" w:rsidRDefault="00A86293">
      <w:r>
        <w:t xml:space="preserve">M7 – Temeljne usluge i obnova sela u ruralnim područjima </w:t>
      </w:r>
    </w:p>
    <w:p w:rsidR="005C2091" w:rsidRDefault="00A86293">
      <w:r>
        <w:t xml:space="preserve">Broj aktivnosti koje primaju potporu radi izrade projekta razvoja sela i planova upravljanja područjem N2000/HNV (7.1) – ciljana vrijednost 2016. na razini 150, dok je realizacija 49 (32,7%) radi preopterećenja administrativnog kapaciteta APPRRR potrebom za simultanom obradom više različitih natječaja u okviru provedbe PRR 2014.-2020. te cilj nije u potpunosti ostvaren u okviru 2016. godine, iako se očekuje da će do kraja postupka ugovaranja po natječaju biti ugovoreno 240 korisnika. </w:t>
      </w:r>
    </w:p>
    <w:p w:rsidR="005C2091" w:rsidRDefault="00A86293">
      <w:r>
        <w:t xml:space="preserve"> Broj aktivnosti koje primaju potporu radi ulaganja u temeljne lokalne usluge za ruralno stanovništvo (7.4) – ciljana vrijednost 2016. je na razini 100, dok je realizacija 0. Planirani natječaj nije raspisan tijekom 2016. godine radi potreba usklađivanja s područjem državnih potpora.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11"/>
        <w:gridCol w:w="2511"/>
        <w:gridCol w:w="973"/>
        <w:gridCol w:w="1000"/>
        <w:gridCol w:w="1192"/>
        <w:gridCol w:w="1000"/>
        <w:gridCol w:w="1019"/>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sudionika u programima osposobljavanjima osposobljavanje/stjecanje vještina</w:t>
            </w:r>
          </w:p>
        </w:tc>
        <w:tc>
          <w:tcPr>
            <w:tcW w:w="2551" w:type="dxa"/>
          </w:tcPr>
          <w:p w:rsidR="005C2091" w:rsidRDefault="00A86293">
            <w:pPr>
              <w:pStyle w:val="CellColumn"/>
              <w:jc w:val="left"/>
            </w:pPr>
            <w:r>
              <w:rPr>
                <w:rFonts w:cs="Times New Roman"/>
              </w:rPr>
              <w:t>Broj sudionika u programima osposobljavanjima osposobljavanje/stjecanje vještina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3.000</w:t>
            </w:r>
          </w:p>
        </w:tc>
        <w:tc>
          <w:tcPr>
            <w:tcW w:w="1020" w:type="dxa"/>
          </w:tcPr>
          <w:p w:rsidR="005C2091" w:rsidRDefault="00A86293">
            <w:pPr>
              <w:pStyle w:val="CellColumn"/>
              <w:jc w:val="right"/>
            </w:pPr>
            <w:r>
              <w:rPr>
                <w:rFonts w:cs="Times New Roman"/>
              </w:rPr>
              <w:t>14.539</w:t>
            </w:r>
          </w:p>
        </w:tc>
      </w:tr>
      <w:tr w:rsidR="005C2091">
        <w:trPr>
          <w:jc w:val="center"/>
        </w:trPr>
        <w:tc>
          <w:tcPr>
            <w:tcW w:w="2551" w:type="dxa"/>
          </w:tcPr>
          <w:p w:rsidR="005C2091" w:rsidRDefault="00A86293">
            <w:pPr>
              <w:pStyle w:val="CellColumn"/>
              <w:jc w:val="left"/>
            </w:pPr>
            <w:r>
              <w:rPr>
                <w:rFonts w:cs="Times New Roman"/>
              </w:rPr>
              <w:t>Broj korisnika savjetodavnih usluga</w:t>
            </w:r>
          </w:p>
        </w:tc>
        <w:tc>
          <w:tcPr>
            <w:tcW w:w="2551" w:type="dxa"/>
          </w:tcPr>
          <w:p w:rsidR="005C2091" w:rsidRDefault="00A86293">
            <w:pPr>
              <w:pStyle w:val="CellColumn"/>
              <w:jc w:val="left"/>
            </w:pPr>
            <w:r>
              <w:rPr>
                <w:rFonts w:cs="Times New Roman"/>
              </w:rPr>
              <w:t>Broj korisnika savjetodavnih usluga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1.297</w:t>
            </w:r>
          </w:p>
        </w:tc>
      </w:tr>
      <w:tr w:rsidR="005C2091">
        <w:trPr>
          <w:jc w:val="center"/>
        </w:trPr>
        <w:tc>
          <w:tcPr>
            <w:tcW w:w="2551" w:type="dxa"/>
          </w:tcPr>
          <w:p w:rsidR="005C2091" w:rsidRDefault="00A86293">
            <w:pPr>
              <w:pStyle w:val="CellColumn"/>
              <w:jc w:val="left"/>
            </w:pPr>
            <w:r>
              <w:rPr>
                <w:rFonts w:cs="Times New Roman"/>
              </w:rPr>
              <w:t>Broj poljoprivrednih gospodarstava koja primaju potporu za sudjelovanje u programima kvalitete, lokalnim tržištima i kratkim lancima opskrbe te proizvođačkim skupinama/organizacijama</w:t>
            </w:r>
          </w:p>
        </w:tc>
        <w:tc>
          <w:tcPr>
            <w:tcW w:w="2551" w:type="dxa"/>
          </w:tcPr>
          <w:p w:rsidR="005C2091" w:rsidRDefault="00A86293">
            <w:pPr>
              <w:pStyle w:val="CellColumn"/>
              <w:jc w:val="left"/>
            </w:pPr>
            <w:r>
              <w:rPr>
                <w:rFonts w:cs="Times New Roman"/>
              </w:rPr>
              <w:t>Broj poljoprivrednih gospodarstava koja primaju potporu za sudjelovanje u programima kvalitete, lokalnim tržištima i kratkim lancima opskrbe te proizvođačkim skupinama/organizacijama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Broj korisnika koja primaju potporu radi ulaganja u poljoprivredna gospodarstva</w:t>
            </w:r>
          </w:p>
        </w:tc>
        <w:tc>
          <w:tcPr>
            <w:tcW w:w="2551" w:type="dxa"/>
          </w:tcPr>
          <w:p w:rsidR="005C2091" w:rsidRDefault="00A86293">
            <w:pPr>
              <w:pStyle w:val="CellColumn"/>
              <w:jc w:val="left"/>
            </w:pPr>
            <w:r>
              <w:rPr>
                <w:rFonts w:cs="Times New Roman"/>
              </w:rPr>
              <w:t>korisnika koja primaju potporu radi ulaganja u poljoprivredna gospodarstva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150</w:t>
            </w:r>
          </w:p>
        </w:tc>
        <w:tc>
          <w:tcPr>
            <w:tcW w:w="1020" w:type="dxa"/>
          </w:tcPr>
          <w:p w:rsidR="005C2091" w:rsidRDefault="00A86293">
            <w:pPr>
              <w:pStyle w:val="CellColumn"/>
              <w:jc w:val="right"/>
            </w:pPr>
            <w:r>
              <w:rPr>
                <w:rFonts w:cs="Times New Roman"/>
              </w:rPr>
              <w:t>30</w:t>
            </w:r>
          </w:p>
        </w:tc>
      </w:tr>
      <w:tr w:rsidR="005C2091">
        <w:trPr>
          <w:jc w:val="center"/>
        </w:trPr>
        <w:tc>
          <w:tcPr>
            <w:tcW w:w="2551" w:type="dxa"/>
          </w:tcPr>
          <w:p w:rsidR="005C2091" w:rsidRDefault="00A86293">
            <w:pPr>
              <w:pStyle w:val="CellColumn"/>
              <w:jc w:val="left"/>
            </w:pPr>
            <w:r>
              <w:rPr>
                <w:rFonts w:cs="Times New Roman"/>
              </w:rPr>
              <w:t>Ukupna duljina (re)konstruirane šumske infrastrukture kroz PRR</w:t>
            </w:r>
          </w:p>
        </w:tc>
        <w:tc>
          <w:tcPr>
            <w:tcW w:w="2551" w:type="dxa"/>
          </w:tcPr>
          <w:p w:rsidR="005C2091" w:rsidRDefault="00A86293">
            <w:pPr>
              <w:pStyle w:val="CellColumn"/>
              <w:jc w:val="left"/>
            </w:pPr>
            <w:r>
              <w:rPr>
                <w:rFonts w:cs="Times New Roman"/>
              </w:rPr>
              <w:t>Ukupna duljina (re)konstruirane šumske infrastrukture kroz PRR</w:t>
            </w:r>
          </w:p>
        </w:tc>
        <w:tc>
          <w:tcPr>
            <w:tcW w:w="1020" w:type="dxa"/>
          </w:tcPr>
          <w:p w:rsidR="005C2091" w:rsidRDefault="00A86293">
            <w:pPr>
              <w:pStyle w:val="CellColumn"/>
              <w:jc w:val="right"/>
            </w:pPr>
            <w:r>
              <w:rPr>
                <w:rFonts w:cs="Times New Roman"/>
              </w:rPr>
              <w:t>km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Razminiranopoljoprivredno zemljište sredstvima iz PRR</w:t>
            </w:r>
          </w:p>
        </w:tc>
        <w:tc>
          <w:tcPr>
            <w:tcW w:w="2551" w:type="dxa"/>
          </w:tcPr>
          <w:p w:rsidR="005C2091" w:rsidRDefault="00A86293">
            <w:pPr>
              <w:pStyle w:val="CellColumn"/>
              <w:jc w:val="left"/>
            </w:pPr>
            <w:r>
              <w:rPr>
                <w:rFonts w:cs="Times New Roman"/>
              </w:rPr>
              <w:t>Razminiranopoljoprivredno zemljište sredstvima iz PRR</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2.000</w:t>
            </w:r>
          </w:p>
        </w:tc>
        <w:tc>
          <w:tcPr>
            <w:tcW w:w="1020" w:type="dxa"/>
          </w:tcPr>
          <w:p w:rsidR="005C2091" w:rsidRDefault="00A86293">
            <w:pPr>
              <w:pStyle w:val="CellColumn"/>
              <w:jc w:val="right"/>
            </w:pPr>
            <w:r>
              <w:rPr>
                <w:rFonts w:cs="Times New Roman"/>
              </w:rPr>
              <w:t>3.011,40</w:t>
            </w:r>
          </w:p>
        </w:tc>
      </w:tr>
      <w:tr w:rsidR="005C2091">
        <w:trPr>
          <w:jc w:val="center"/>
        </w:trPr>
        <w:tc>
          <w:tcPr>
            <w:tcW w:w="2551" w:type="dxa"/>
          </w:tcPr>
          <w:p w:rsidR="005C2091" w:rsidRDefault="00A86293">
            <w:pPr>
              <w:pStyle w:val="CellColumn"/>
              <w:jc w:val="left"/>
            </w:pPr>
            <w:r>
              <w:rPr>
                <w:rFonts w:cs="Times New Roman"/>
              </w:rPr>
              <w:t>Broj korisnika koji primaju potporu u svojstvu mladih poljoprivrednika za pokretanje poslovanja</w:t>
            </w:r>
          </w:p>
        </w:tc>
        <w:tc>
          <w:tcPr>
            <w:tcW w:w="2551" w:type="dxa"/>
          </w:tcPr>
          <w:p w:rsidR="005C2091" w:rsidRDefault="00A86293">
            <w:pPr>
              <w:pStyle w:val="CellColumn"/>
              <w:jc w:val="left"/>
            </w:pPr>
            <w:r>
              <w:rPr>
                <w:rFonts w:cs="Times New Roman"/>
              </w:rPr>
              <w:t>Broj korisnika koji primaju potporu u svojstvu mladih poljoprivrednika za pokretanje poslovanja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200</w:t>
            </w:r>
          </w:p>
        </w:tc>
        <w:tc>
          <w:tcPr>
            <w:tcW w:w="1020" w:type="dxa"/>
          </w:tcPr>
          <w:p w:rsidR="005C2091" w:rsidRDefault="00A86293">
            <w:pPr>
              <w:pStyle w:val="CellColumn"/>
              <w:jc w:val="right"/>
            </w:pPr>
            <w:r>
              <w:rPr>
                <w:rFonts w:cs="Times New Roman"/>
              </w:rPr>
              <w:t>226</w:t>
            </w:r>
          </w:p>
        </w:tc>
      </w:tr>
      <w:tr w:rsidR="005C2091">
        <w:trPr>
          <w:jc w:val="center"/>
        </w:trPr>
        <w:tc>
          <w:tcPr>
            <w:tcW w:w="2551" w:type="dxa"/>
          </w:tcPr>
          <w:p w:rsidR="005C2091" w:rsidRDefault="00A86293">
            <w:pPr>
              <w:pStyle w:val="CellColumn"/>
              <w:jc w:val="left"/>
            </w:pPr>
            <w:r>
              <w:rPr>
                <w:rFonts w:cs="Times New Roman"/>
              </w:rPr>
              <w:t>Broj korisnika koji primaju potporu u svojstvu malih poljoprivrednih gospodarstava za pokretanje poslovanja</w:t>
            </w:r>
          </w:p>
        </w:tc>
        <w:tc>
          <w:tcPr>
            <w:tcW w:w="2551" w:type="dxa"/>
          </w:tcPr>
          <w:p w:rsidR="005C2091" w:rsidRDefault="00A86293">
            <w:pPr>
              <w:pStyle w:val="CellColumn"/>
              <w:jc w:val="left"/>
            </w:pPr>
            <w:r>
              <w:rPr>
                <w:rFonts w:cs="Times New Roman"/>
              </w:rPr>
              <w:t>Broj korisnika koji primaju potporu u svojstvu malih poljoprivrednih gospodarstava za pokretanje poslovanja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976</w:t>
            </w:r>
          </w:p>
        </w:tc>
      </w:tr>
      <w:tr w:rsidR="005C2091">
        <w:trPr>
          <w:jc w:val="center"/>
        </w:trPr>
        <w:tc>
          <w:tcPr>
            <w:tcW w:w="2551" w:type="dxa"/>
          </w:tcPr>
          <w:p w:rsidR="005C2091" w:rsidRDefault="00A86293">
            <w:pPr>
              <w:pStyle w:val="CellColumn"/>
              <w:jc w:val="left"/>
            </w:pPr>
            <w:r>
              <w:rPr>
                <w:rFonts w:cs="Times New Roman"/>
              </w:rPr>
              <w:t>Broj aktivnosti (osnovane skupine proizvođača) kojima je dodijeljena potpora</w:t>
            </w:r>
          </w:p>
        </w:tc>
        <w:tc>
          <w:tcPr>
            <w:tcW w:w="2551" w:type="dxa"/>
          </w:tcPr>
          <w:p w:rsidR="005C2091" w:rsidRDefault="00A86293">
            <w:pPr>
              <w:pStyle w:val="CellColumn"/>
              <w:jc w:val="left"/>
            </w:pPr>
            <w:r>
              <w:rPr>
                <w:rFonts w:cs="Times New Roman"/>
              </w:rPr>
              <w:t>Broj aktivnosti (osnovane skupine proizvođača) kojima je dodijeljena potpora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Broj poljoprivrednih gospodarstava koja sudjeluju u suradnji/lokalnom promicanju među subjektima u lancu opskrbe</w:t>
            </w:r>
          </w:p>
        </w:tc>
        <w:tc>
          <w:tcPr>
            <w:tcW w:w="2551" w:type="dxa"/>
          </w:tcPr>
          <w:p w:rsidR="005C2091" w:rsidRDefault="00A86293">
            <w:pPr>
              <w:pStyle w:val="CellColumn"/>
              <w:jc w:val="left"/>
            </w:pPr>
            <w:r>
              <w:rPr>
                <w:rFonts w:cs="Times New Roman"/>
              </w:rPr>
              <w:t>Broj poljoprivrednih gospodarstava koja sudjeluju u suradnji/lokalnom promicanju među subjektima u lancu opskrbe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Broj poljoprivrednih gospodarstava kojima se pruža potpora radi premija za osiguranje</w:t>
            </w:r>
          </w:p>
        </w:tc>
        <w:tc>
          <w:tcPr>
            <w:tcW w:w="2551" w:type="dxa"/>
          </w:tcPr>
          <w:p w:rsidR="005C2091" w:rsidRDefault="00A86293">
            <w:pPr>
              <w:pStyle w:val="CellColumn"/>
              <w:jc w:val="left"/>
            </w:pPr>
            <w:r>
              <w:rPr>
                <w:rFonts w:cs="Times New Roman"/>
              </w:rPr>
              <w:t>Broj poljoprivrednih gospodarstava kojima se pruža potpora radi premija za osiguranje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1.000</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Broj aktivnosti potpore za neproduktivna ulaganja</w:t>
            </w:r>
          </w:p>
        </w:tc>
        <w:tc>
          <w:tcPr>
            <w:tcW w:w="2551" w:type="dxa"/>
          </w:tcPr>
          <w:p w:rsidR="005C2091" w:rsidRDefault="00A86293">
            <w:pPr>
              <w:pStyle w:val="CellColumn"/>
              <w:jc w:val="left"/>
            </w:pPr>
            <w:r>
              <w:rPr>
                <w:rFonts w:cs="Times New Roman"/>
              </w:rPr>
              <w:t>Broj aktivnosti potpore za neproduktivna ulaganja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Područje (ha) u okviru mjera za poljoprivredu, okoliš i klimatske uvjete</w:t>
            </w:r>
          </w:p>
        </w:tc>
        <w:tc>
          <w:tcPr>
            <w:tcW w:w="2551" w:type="dxa"/>
          </w:tcPr>
          <w:p w:rsidR="005C2091" w:rsidRDefault="00A86293">
            <w:pPr>
              <w:pStyle w:val="CellColumn"/>
              <w:jc w:val="left"/>
            </w:pPr>
            <w:r>
              <w:rPr>
                <w:rFonts w:cs="Times New Roman"/>
              </w:rPr>
              <w:t>Područje (ha) u okviru mjera za poljoprivredu, okoliš i klimatske uvjete</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200</w:t>
            </w:r>
          </w:p>
        </w:tc>
        <w:tc>
          <w:tcPr>
            <w:tcW w:w="1020" w:type="dxa"/>
          </w:tcPr>
          <w:p w:rsidR="005C2091" w:rsidRDefault="00A86293">
            <w:pPr>
              <w:pStyle w:val="CellColumn"/>
              <w:jc w:val="right"/>
            </w:pPr>
            <w:r>
              <w:rPr>
                <w:rFonts w:cs="Times New Roman"/>
              </w:rPr>
              <w:t>3.457,17</w:t>
            </w:r>
          </w:p>
        </w:tc>
      </w:tr>
      <w:tr w:rsidR="005C2091">
        <w:trPr>
          <w:jc w:val="center"/>
        </w:trPr>
        <w:tc>
          <w:tcPr>
            <w:tcW w:w="2551" w:type="dxa"/>
          </w:tcPr>
          <w:p w:rsidR="005C2091" w:rsidRDefault="00A86293">
            <w:pPr>
              <w:pStyle w:val="CellColumn"/>
              <w:jc w:val="left"/>
            </w:pPr>
            <w:r>
              <w:rPr>
                <w:rFonts w:cs="Times New Roman"/>
              </w:rPr>
              <w:t>Područje pod ekološkim uzgojem</w:t>
            </w:r>
          </w:p>
        </w:tc>
        <w:tc>
          <w:tcPr>
            <w:tcW w:w="2551" w:type="dxa"/>
          </w:tcPr>
          <w:p w:rsidR="005C2091" w:rsidRDefault="00A86293">
            <w:pPr>
              <w:pStyle w:val="CellColumn"/>
              <w:jc w:val="left"/>
            </w:pPr>
            <w:r>
              <w:rPr>
                <w:rFonts w:cs="Times New Roman"/>
              </w:rPr>
              <w:t>Područje pod ekološkim uzgojem</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50.054</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53.000</w:t>
            </w:r>
          </w:p>
        </w:tc>
        <w:tc>
          <w:tcPr>
            <w:tcW w:w="1020" w:type="dxa"/>
          </w:tcPr>
          <w:p w:rsidR="005C2091" w:rsidRDefault="00A86293">
            <w:pPr>
              <w:pStyle w:val="CellColumn"/>
              <w:jc w:val="right"/>
            </w:pPr>
            <w:r>
              <w:rPr>
                <w:rFonts w:cs="Times New Roman"/>
              </w:rPr>
              <w:t>91.871</w:t>
            </w:r>
          </w:p>
        </w:tc>
      </w:tr>
      <w:tr w:rsidR="005C2091">
        <w:trPr>
          <w:jc w:val="center"/>
        </w:trPr>
        <w:tc>
          <w:tcPr>
            <w:tcW w:w="2551" w:type="dxa"/>
          </w:tcPr>
          <w:p w:rsidR="005C2091" w:rsidRDefault="00A86293">
            <w:pPr>
              <w:pStyle w:val="CellColumn"/>
              <w:jc w:val="left"/>
            </w:pPr>
            <w:r>
              <w:rPr>
                <w:rFonts w:cs="Times New Roman"/>
              </w:rPr>
              <w:t>Područje s prirodnim ograničenjima ili ostalim posebnim ograničenjima</w:t>
            </w:r>
          </w:p>
        </w:tc>
        <w:tc>
          <w:tcPr>
            <w:tcW w:w="2551" w:type="dxa"/>
          </w:tcPr>
          <w:p w:rsidR="005C2091" w:rsidRDefault="00A86293">
            <w:pPr>
              <w:pStyle w:val="CellColumn"/>
              <w:jc w:val="left"/>
            </w:pPr>
            <w:r>
              <w:rPr>
                <w:rFonts w:cs="Times New Roman"/>
              </w:rPr>
              <w:t>Područje s prirodnim ograničenjima ili ostalim posebnim ograničenjima</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32.034</w:t>
            </w:r>
          </w:p>
        </w:tc>
        <w:tc>
          <w:tcPr>
            <w:tcW w:w="1020" w:type="dxa"/>
          </w:tcPr>
          <w:p w:rsidR="005C2091" w:rsidRDefault="00A86293">
            <w:pPr>
              <w:pStyle w:val="CellColumn"/>
              <w:jc w:val="right"/>
            </w:pPr>
            <w:r>
              <w:rPr>
                <w:rFonts w:cs="Times New Roman"/>
              </w:rPr>
              <w:t>64.491</w:t>
            </w:r>
          </w:p>
        </w:tc>
      </w:tr>
      <w:tr w:rsidR="005C2091">
        <w:trPr>
          <w:jc w:val="center"/>
        </w:trPr>
        <w:tc>
          <w:tcPr>
            <w:tcW w:w="2551" w:type="dxa"/>
          </w:tcPr>
          <w:p w:rsidR="005C2091" w:rsidRDefault="00A86293">
            <w:pPr>
              <w:pStyle w:val="CellColumn"/>
              <w:jc w:val="left"/>
            </w:pPr>
            <w:r>
              <w:rPr>
                <w:rFonts w:cs="Times New Roman"/>
              </w:rPr>
              <w:t>Područje s prirodnim ograničenjima ili ostalim posebnim ograničenjima</w:t>
            </w:r>
          </w:p>
        </w:tc>
        <w:tc>
          <w:tcPr>
            <w:tcW w:w="2551" w:type="dxa"/>
          </w:tcPr>
          <w:p w:rsidR="005C2091" w:rsidRDefault="00A86293">
            <w:pPr>
              <w:pStyle w:val="CellColumn"/>
              <w:jc w:val="left"/>
            </w:pPr>
            <w:r>
              <w:rPr>
                <w:rFonts w:cs="Times New Roman"/>
              </w:rPr>
              <w:t>Područje s prirodnim ograničenjima ili ostalim posebnim ograničenjima</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355.117</w:t>
            </w:r>
          </w:p>
        </w:tc>
        <w:tc>
          <w:tcPr>
            <w:tcW w:w="1020" w:type="dxa"/>
          </w:tcPr>
          <w:p w:rsidR="005C2091" w:rsidRDefault="00A86293">
            <w:pPr>
              <w:pStyle w:val="CellColumn"/>
              <w:jc w:val="right"/>
            </w:pPr>
            <w:r>
              <w:rPr>
                <w:rFonts w:cs="Times New Roman"/>
              </w:rPr>
              <w:t>353.476,48</w:t>
            </w:r>
          </w:p>
        </w:tc>
      </w:tr>
    </w:tbl>
    <w:p w:rsidR="005C2091" w:rsidRDefault="005C2091">
      <w:pPr>
        <w:jc w:val="left"/>
      </w:pPr>
    </w:p>
    <w:p w:rsidR="005C2091" w:rsidRDefault="00A86293">
      <w:pPr>
        <w:pStyle w:val="Heading4"/>
      </w:pPr>
      <w:r>
        <w:t>A821067 TEHNIČKA POMOĆ – PROGRAM RURALNOG RAZVOJA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A821067-TEHNIČKA POMOĆ – PROGRAM RURALNOG RAZVOJA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10.865.006</w:t>
            </w:r>
          </w:p>
        </w:tc>
        <w:tc>
          <w:tcPr>
            <w:tcW w:w="2041" w:type="dxa"/>
          </w:tcPr>
          <w:p w:rsidR="005C2091" w:rsidRDefault="00A86293">
            <w:pPr>
              <w:pStyle w:val="CellColumn"/>
              <w:jc w:val="right"/>
            </w:pPr>
            <w:r>
              <w:rPr>
                <w:rFonts w:cs="Times New Roman"/>
              </w:rPr>
              <w:t>7.935.583</w:t>
            </w:r>
          </w:p>
        </w:tc>
        <w:tc>
          <w:tcPr>
            <w:tcW w:w="1224" w:type="dxa"/>
          </w:tcPr>
          <w:p w:rsidR="005C2091" w:rsidRDefault="00A86293">
            <w:pPr>
              <w:pStyle w:val="CellColumn"/>
              <w:jc w:val="right"/>
            </w:pPr>
            <w:r>
              <w:rPr>
                <w:rFonts w:cs="Times New Roman"/>
              </w:rPr>
              <w:t>73,0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Sporazum o načinu provedbe mjere „Tehnička pomoć“ unutar programa ruralnog razvoja </w:t>
      </w:r>
    </w:p>
    <w:p w:rsidR="005C2091" w:rsidRDefault="00A86293">
      <w:r>
        <w:t xml:space="preserve">Republike Hrvatske za razdoblje 2014.-2020. (KLASA: 018-07/15-01/0028; URBROJ: </w:t>
      </w:r>
    </w:p>
    <w:p w:rsidR="005C2091" w:rsidRDefault="00A86293">
      <w:r>
        <w:t>525-15-113) od 11.08.2015.</w:t>
      </w:r>
    </w:p>
    <w:p w:rsidR="005C2091" w:rsidRDefault="00A86293">
      <w:pPr>
        <w:pStyle w:val="Heading8"/>
        <w:jc w:val="left"/>
      </w:pPr>
      <w:r>
        <w:t>Opis aktivnosti</w:t>
      </w:r>
    </w:p>
    <w:p w:rsidR="005C2091" w:rsidRDefault="00A86293">
      <w:r>
        <w:t>Iskorištenje sredstava predviđenih na stavci Tehnička pomoć manje je u odnosu na planom predviđeno zbog nezapošljavanja novih djelatnika u 2016. za koje je bio predviđen dio sredstava namijenjen isplati plaća, kao i zbog neugovaranja izrade računalnog programa (računalne usluge) i nabavke cestovnog motornog vozila. Ove aktivnosti, iako su bile predviđene za realizaciju u 2016. nisu provedene, te se predviđa njihova realizacija u 2017.</w:t>
      </w:r>
    </w:p>
    <w:p w:rsidR="005C2091" w:rsidRDefault="00A86293">
      <w:pPr>
        <w:pStyle w:val="Heading4"/>
      </w:pPr>
      <w:r>
        <w:t>T401118 IPARD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T401118-IPARD</w:t>
            </w:r>
          </w:p>
        </w:tc>
        <w:tc>
          <w:tcPr>
            <w:tcW w:w="2041" w:type="dxa"/>
          </w:tcPr>
          <w:p w:rsidR="005C2091" w:rsidRDefault="00A86293">
            <w:pPr>
              <w:pStyle w:val="CellColumn"/>
              <w:jc w:val="right"/>
            </w:pPr>
            <w:r>
              <w:rPr>
                <w:rFonts w:cs="Times New Roman"/>
              </w:rPr>
              <w:t>231.987.383</w:t>
            </w:r>
          </w:p>
        </w:tc>
        <w:tc>
          <w:tcPr>
            <w:tcW w:w="2041" w:type="dxa"/>
          </w:tcPr>
          <w:p w:rsidR="005C2091" w:rsidRDefault="00A86293">
            <w:pPr>
              <w:pStyle w:val="CellColumn"/>
              <w:jc w:val="right"/>
            </w:pPr>
            <w:r>
              <w:rPr>
                <w:rFonts w:cs="Times New Roman"/>
              </w:rPr>
              <w:t>309.680.525</w:t>
            </w:r>
          </w:p>
        </w:tc>
        <w:tc>
          <w:tcPr>
            <w:tcW w:w="2041" w:type="dxa"/>
          </w:tcPr>
          <w:p w:rsidR="005C2091" w:rsidRDefault="00A86293">
            <w:pPr>
              <w:pStyle w:val="CellColumn"/>
              <w:jc w:val="right"/>
            </w:pPr>
            <w:r>
              <w:rPr>
                <w:rFonts w:cs="Times New Roman"/>
              </w:rPr>
              <w:t>302.115.412</w:t>
            </w:r>
          </w:p>
        </w:tc>
        <w:tc>
          <w:tcPr>
            <w:tcW w:w="1224" w:type="dxa"/>
          </w:tcPr>
          <w:p w:rsidR="005C2091" w:rsidRDefault="00A86293">
            <w:pPr>
              <w:pStyle w:val="CellColumn"/>
              <w:jc w:val="right"/>
            </w:pPr>
            <w:r>
              <w:rPr>
                <w:rFonts w:cs="Times New Roman"/>
              </w:rPr>
              <w:t>97,6</w:t>
            </w:r>
          </w:p>
        </w:tc>
        <w:tc>
          <w:tcPr>
            <w:tcW w:w="1224" w:type="dxa"/>
          </w:tcPr>
          <w:p w:rsidR="005C2091" w:rsidRDefault="00A86293">
            <w:pPr>
              <w:pStyle w:val="CellColumn"/>
              <w:jc w:val="right"/>
            </w:pPr>
            <w:r>
              <w:rPr>
                <w:rFonts w:cs="Times New Roman"/>
              </w:rPr>
              <w:t>130,2</w:t>
            </w:r>
          </w:p>
        </w:tc>
      </w:tr>
    </w:tbl>
    <w:p w:rsidR="005C2091" w:rsidRDefault="005C2091">
      <w:pPr>
        <w:jc w:val="left"/>
      </w:pPr>
    </w:p>
    <w:p w:rsidR="005C2091" w:rsidRDefault="00A86293">
      <w:pPr>
        <w:pStyle w:val="Heading8"/>
        <w:jc w:val="left"/>
      </w:pPr>
      <w:r>
        <w:t>Opis aktivnosti</w:t>
      </w:r>
    </w:p>
    <w:p w:rsidR="005C2091" w:rsidRDefault="00A86293">
      <w:r>
        <w:t>Iskorištenje IPARD-a je visokih 97,81 %, a razlika do pune iskorištenosti nastala je uslijed odbijanja Zahtjeva za isplatu dijela projekata za koje je pred isplatu utvrđeno kako se radi o onima koji su umjetno stvorili uvjete prihvatljivosti te je iste trebalo odbiti, kako bi se spriječile kasnije korekcije od strane EK</w:t>
      </w:r>
    </w:p>
    <w:p w:rsidR="005C2091" w:rsidRDefault="00A86293">
      <w:pPr>
        <w:pStyle w:val="Heading3"/>
      </w:pPr>
      <w:r>
        <w:rPr>
          <w:rFonts w:cs="Times New Roman"/>
        </w:rPr>
        <w:t>3005 RIBARSTVO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3005-RIBARSTVO</w:t>
            </w:r>
          </w:p>
        </w:tc>
        <w:tc>
          <w:tcPr>
            <w:tcW w:w="2041" w:type="dxa"/>
          </w:tcPr>
          <w:p w:rsidR="005C2091" w:rsidRDefault="00A86293">
            <w:pPr>
              <w:pStyle w:val="CellColumn"/>
              <w:jc w:val="right"/>
            </w:pPr>
            <w:r>
              <w:rPr>
                <w:rFonts w:cs="Times New Roman"/>
              </w:rPr>
              <w:t>165.691.294</w:t>
            </w:r>
          </w:p>
        </w:tc>
        <w:tc>
          <w:tcPr>
            <w:tcW w:w="2041" w:type="dxa"/>
          </w:tcPr>
          <w:p w:rsidR="005C2091" w:rsidRDefault="00A86293">
            <w:pPr>
              <w:pStyle w:val="CellColumn"/>
              <w:jc w:val="right"/>
            </w:pPr>
            <w:r>
              <w:rPr>
                <w:rFonts w:cs="Times New Roman"/>
              </w:rPr>
              <w:t>347.480.419</w:t>
            </w:r>
          </w:p>
        </w:tc>
        <w:tc>
          <w:tcPr>
            <w:tcW w:w="2041" w:type="dxa"/>
          </w:tcPr>
          <w:p w:rsidR="005C2091" w:rsidRDefault="00A86293">
            <w:pPr>
              <w:pStyle w:val="CellColumn"/>
              <w:jc w:val="right"/>
            </w:pPr>
            <w:r>
              <w:rPr>
                <w:rFonts w:cs="Times New Roman"/>
              </w:rPr>
              <w:t>257.648.548</w:t>
            </w:r>
          </w:p>
        </w:tc>
        <w:tc>
          <w:tcPr>
            <w:tcW w:w="1224" w:type="dxa"/>
          </w:tcPr>
          <w:p w:rsidR="005C2091" w:rsidRDefault="00A86293">
            <w:pPr>
              <w:pStyle w:val="CellColumn"/>
              <w:jc w:val="right"/>
            </w:pPr>
            <w:r>
              <w:rPr>
                <w:rFonts w:cs="Times New Roman"/>
              </w:rPr>
              <w:t>74,1</w:t>
            </w:r>
          </w:p>
        </w:tc>
        <w:tc>
          <w:tcPr>
            <w:tcW w:w="1224" w:type="dxa"/>
          </w:tcPr>
          <w:p w:rsidR="005C2091" w:rsidRDefault="00A86293">
            <w:pPr>
              <w:pStyle w:val="CellColumn"/>
              <w:jc w:val="right"/>
            </w:pPr>
            <w:r>
              <w:rPr>
                <w:rFonts w:cs="Times New Roman"/>
              </w:rPr>
              <w:t>155,5</w:t>
            </w:r>
          </w:p>
        </w:tc>
      </w:tr>
    </w:tbl>
    <w:p w:rsidR="005C2091" w:rsidRDefault="005C2091">
      <w:pPr>
        <w:jc w:val="left"/>
      </w:pPr>
    </w:p>
    <w:p w:rsidR="005C2091" w:rsidRDefault="00A86293">
      <w:r>
        <w:t xml:space="preserve">U cilju uspostave ribarstvene politike u skladu sa zahtjevima Europske unije, i obzirom na potrebu jačanja konkurentnosti ribarskog sektora na zajedničkom tržištu EU, kroz program Ribarstvo predviđena su financiranja glavnih aktivnosti kako bi se postigli navedeni ciljevi. Pravna stečevina EU u dijelu ribarstva obuhvaćena je kroz Zajedničku ribarstvenu politiku EU koja sadrži: upravljanje resursima i flotom, nadzor i kontrolu, strukturne i tržišne mjere, državnu potporu te međunarodne ugovore, te je sukladno tomu i koncipiran sam Državni proračun RH. Također, u 2016. godini započela je puna implementacija i provedba novoga Operativnoga programa za pomorstvo i ribarstvo za programsko razdoblje 2014.-2020. godina, te je raspisano 16 natječaja za provedbu mjera unutar navedenoga Operativnoga programa. Ne manje značajna mogućnost je i provedba i financiranje državnih potpora u sektoru ribarstva. Održivo gospodarenje ribljim resursima temeljna je odrednica politike ribarstva koja je uređena odgovarajućim zakonodavnim okvirom. Cilj održivog upravljanja živim bogatstvima jest postići odgovorno i održivo iskorištavanje ribljih resursa na ekološki uravnotežen te gospodarski i društveno opravdan način kroz mjere za zaštitu, očuvanje i obnovu resursa i eko-sustava.  </w:t>
      </w:r>
    </w:p>
    <w:p w:rsidR="005C2091" w:rsidRDefault="00A86293">
      <w:r>
        <w:t xml:space="preserve">Mjere očuvanja i upravljanja se moraju zasnivati na najboljim dostupnim znanstvenim spoznajama i osiguravati dugoročnu održivost podjednako ribljih resursa kao i djelatnosti ribarstva te je stoga neophodan učinkovit sustav prikupljanja podataka o stanju resursa i ribolovnim aktivnostima.  </w:t>
      </w:r>
    </w:p>
    <w:p w:rsidR="005C2091" w:rsidRDefault="00A86293">
      <w:r>
        <w:t>Također, održivo gospodarenje ribljim resursima nije moguće bez učinkovitog sustava nadzora i kontrole kroz rad inspekcijskih službi i sustav satelitskog praćenja plovila. Uspostava funkcionalnog i odgovarajućeg sustava satelitskog praćenja plovila (VMS) u sklopu Ribarskog monitoring centra jedna je od značajnijih aktivnosti u procesu prilagodbe u okviru Zajedničke ribarstvene politike EU.</w:t>
      </w:r>
    </w:p>
    <w:p w:rsidR="005C2091" w:rsidRDefault="00A86293">
      <w:pPr>
        <w:pStyle w:val="Heading8"/>
        <w:jc w:val="left"/>
      </w:pPr>
      <w:r>
        <w:t xml:space="preserve">Cilj 1. Provedba financiranja poljoprivrednog i ribarskog sektora sukladno ZPP i ZRP  </w:t>
      </w:r>
    </w:p>
    <w:p w:rsidR="005C2091" w:rsidRDefault="00A86293">
      <w:pPr>
        <w:pStyle w:val="Heading8"/>
        <w:jc w:val="left"/>
      </w:pPr>
      <w:r>
        <w:t>Opis provedbe cilja programa</w:t>
      </w:r>
    </w:p>
    <w:p w:rsidR="005C2091" w:rsidRDefault="00A86293">
      <w:r>
        <w:t>Ovim ciljem doprinijet će se unapređenju sektora te postizanju cilja a to je „Postizanje konkurentnog, modernog i dinamičnog sektora ribarstva i akvakulture kroz održivo iskorištenje resursa.“. U razdoblju 2016. godina RH koristila su se sredstva EU kroz Europski fond za pomorstvo i ribarstvo. Strateškim dokumentima dijagnosticirani su problemi i potrebe ribarskog sektora te su određeni prioriteti i ciljevi, kao i mjere koje će se provoditi u programskom razdoblju 2014.-2020. Operativnim programom za pomorstvo i ribarstvo predviđeno je financiranje svih  segmenata ribarstva, odnosno uzgoj, ulov i prerada te popratna infrastruktura (luke, iskrcajna mjesta.), ali i prikupljanje podataka i nadzor i kontrola. Da bi ribari, uzgajivači i prerađivači u ribarstvu mogli konkurentno sudjelovati na zajedničkom tržištu EU ovakvo sufinanciranje je neophodno. Također, pri utvrđivanju mjera sufinanciranja potrebno je uzeti u obzir i racionalno upravljanje resursima mora i kopnenih voda, kroz sufinanciranje određenih mjera (trajno ili privremeno odustajanje od ribolova, preusmjeravanje u druge djelatnosti) a koje imaju za cilj usklađivanje ribolovnog napora sa stanjem resursa.</w:t>
      </w:r>
    </w:p>
    <w:p w:rsidR="005C2091" w:rsidRDefault="00A86293">
      <w:pPr>
        <w:pStyle w:val="Heading8"/>
        <w:jc w:val="left"/>
      </w:pPr>
      <w:r>
        <w:t>Cilj 2. Održivo upravljanje živim bogatstvima u ribarstvu</w:t>
      </w:r>
    </w:p>
    <w:p w:rsidR="005C2091" w:rsidRDefault="00A86293">
      <w:pPr>
        <w:pStyle w:val="Heading8"/>
        <w:jc w:val="left"/>
      </w:pPr>
      <w:r>
        <w:t>Opis provedbe cilja programa</w:t>
      </w:r>
    </w:p>
    <w:p w:rsidR="005C2091" w:rsidRDefault="00A86293">
      <w:r>
        <w:t xml:space="preserve">Ovim ciljem uređuje se gospodarenje i zaštitu obnovljivih bioloških bogatstava mora i slatkih voda, način i uvjete obavljanja ribolova i uzgoja, praćenje ulova i uzgoja kroz prikupljanje podataka i sustav praćenja plovila, nadzor i inspekciju. Ostvarivanjem ovog cilja ide se u smjeru uspostave učinkovitog sustava prikupljanja podataka, nadzora i kontrole (satelitski sustav nadzora, nacionalni program prikupljanja podataka, iskrcajna mjesta i sl).  </w:t>
      </w:r>
    </w:p>
    <w:p w:rsidR="005C2091" w:rsidRDefault="00A86293">
      <w:r>
        <w:t>Temeljem ostvarivanja ovoga cilja jedino je moguće donositi kvalitetne mjere ribarske politike. Uspostava ovoga sustava je započeta kroz niz aktivnosti vezanih uz uvođenje Ribarstvenog monitoring centra, geoinformacijskog sustava, te osnaživanje ribarske inspekcije u svim segmentima.</w:t>
      </w:r>
    </w:p>
    <w:p w:rsidR="005C2091" w:rsidRDefault="00A86293">
      <w:pPr>
        <w:pStyle w:val="Heading8"/>
        <w:jc w:val="left"/>
      </w:pPr>
      <w:r>
        <w:t>Cilj 3. Poboljšanje tržišnih mehanizama za prodaju poljoprivredno – prehrambenih i ribarskih proizvoda</w:t>
      </w:r>
    </w:p>
    <w:p w:rsidR="005C2091" w:rsidRDefault="00A86293">
      <w:pPr>
        <w:pStyle w:val="Heading8"/>
        <w:jc w:val="left"/>
      </w:pPr>
      <w:r>
        <w:t>Opis provedbe cilja programa</w:t>
      </w:r>
    </w:p>
    <w:p w:rsidR="005C2091" w:rsidRDefault="00A86293">
      <w:r>
        <w:t xml:space="preserve">Poboljšanje tržišnih mehanizama za prodaju ribarskih proizvoda obuhvaća reguliranje tržišta proizvoda ribarstva kroz uspostavu odgovarajuće infrastrukture (ribarske luke, ribe, iskrcajna mjesta...), uspostavu adekvatnih i konkurentnih udruženja u ribarstvu kao i uspostavu mjera intervencija i cjenovnih mjera. Ovaj cilj će se realizirati kroz financiranje mjera od zajedničkog interesa na lokalnoj i državnoj razini. Zakonodavstvom su posebno prepoznate organizacije proizvođača i ribarske zadruge te međustrukovne organizacije. Ovakvim uređenjem tržišta proizvoda ribarstva, ribari imaju priliku poduzeti mjere pomoću kojih će osigurati najbolje tržišne uvjete za svoje proizvode.  </w:t>
      </w:r>
    </w:p>
    <w:p w:rsidR="005C2091" w:rsidRDefault="00A86293">
      <w:r>
        <w:t>Organizirano trženje, te postojanje jasnih kanala prodaje jedan je od uvjeta koje je potrebno osigurati kako bi i hrvatsko ribarstvo steklo ravnopravne uvjete nastupa na tržištu s uvjetima koje danas imaju ribari država članica. To prvenstveno daje na značaju organizacijama proizvođača u ribarstvu te uspostavi organiziranog sustava trženja, te je RH započela sa ulaganjima u ribarske zadruge koje u svojim postavkama mogu zadovoljiti uvjete kako bi prerasle u organizacije proizvođača, koje su temelj za provođenje mjera uređenja tržišta u EU.</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81"/>
        <w:gridCol w:w="2489"/>
        <w:gridCol w:w="1004"/>
        <w:gridCol w:w="1013"/>
        <w:gridCol w:w="1192"/>
        <w:gridCol w:w="1013"/>
        <w:gridCol w:w="1014"/>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dohotka poljoprivrednika i ribara</w:t>
            </w:r>
          </w:p>
        </w:tc>
        <w:tc>
          <w:tcPr>
            <w:tcW w:w="2551" w:type="dxa"/>
          </w:tcPr>
          <w:p w:rsidR="005C2091" w:rsidRDefault="00A86293">
            <w:pPr>
              <w:pStyle w:val="CellColumn"/>
              <w:jc w:val="left"/>
            </w:pPr>
            <w:r>
              <w:rPr>
                <w:rFonts w:cs="Times New Roman"/>
              </w:rPr>
              <w:t>Usklađenost sustava potpora u ribarstvu s EU omogućit će što veću iskorištenost sredstava iz EU fondova, odnosno povećanje dohotka subjekata u ribarstvu.</w:t>
            </w:r>
          </w:p>
        </w:tc>
        <w:tc>
          <w:tcPr>
            <w:tcW w:w="1020" w:type="dxa"/>
          </w:tcPr>
          <w:p w:rsidR="005C2091" w:rsidRDefault="00A86293">
            <w:pPr>
              <w:pStyle w:val="CellColumn"/>
              <w:jc w:val="right"/>
            </w:pPr>
            <w:r>
              <w:rPr>
                <w:rFonts w:cs="Times New Roman"/>
              </w:rPr>
              <w:t>Index</w:t>
            </w:r>
          </w:p>
        </w:tc>
        <w:tc>
          <w:tcPr>
            <w:tcW w:w="1020" w:type="dxa"/>
          </w:tcPr>
          <w:p w:rsidR="005C2091" w:rsidRDefault="00A86293">
            <w:pPr>
              <w:pStyle w:val="CellColumn"/>
              <w:jc w:val="right"/>
            </w:pPr>
            <w:r>
              <w:rPr>
                <w:rFonts w:cs="Times New Roman"/>
              </w:rPr>
              <w:t>105</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110</w:t>
            </w:r>
          </w:p>
        </w:tc>
        <w:tc>
          <w:tcPr>
            <w:tcW w:w="1020" w:type="dxa"/>
          </w:tcPr>
          <w:p w:rsidR="005C2091" w:rsidRDefault="00A86293">
            <w:pPr>
              <w:pStyle w:val="CellColumn"/>
              <w:jc w:val="right"/>
            </w:pPr>
            <w:r>
              <w:rPr>
                <w:rFonts w:cs="Times New Roman"/>
              </w:rPr>
              <w:t>110</w:t>
            </w:r>
          </w:p>
        </w:tc>
      </w:tr>
      <w:tr w:rsidR="005C2091">
        <w:trPr>
          <w:jc w:val="center"/>
        </w:trPr>
        <w:tc>
          <w:tcPr>
            <w:tcW w:w="2551" w:type="dxa"/>
          </w:tcPr>
          <w:p w:rsidR="005C2091" w:rsidRDefault="00A86293">
            <w:pPr>
              <w:pStyle w:val="CellColumn"/>
              <w:jc w:val="left"/>
            </w:pPr>
            <w:r>
              <w:rPr>
                <w:rFonts w:cs="Times New Roman"/>
              </w:rPr>
              <w:t>Očuvanje ili povećanje ulova po jedinici ribolovnog napora</w:t>
            </w:r>
          </w:p>
        </w:tc>
        <w:tc>
          <w:tcPr>
            <w:tcW w:w="2551" w:type="dxa"/>
          </w:tcPr>
          <w:p w:rsidR="005C2091" w:rsidRDefault="00A86293">
            <w:pPr>
              <w:pStyle w:val="CellColumn"/>
              <w:jc w:val="left"/>
            </w:pPr>
            <w:r>
              <w:rPr>
                <w:rFonts w:cs="Times New Roman"/>
              </w:rPr>
              <w:t>Ulov po jedinici ribolovnog napora iskazuje podjednako mogućnost ulova (posljedično i rentabilnost djelatnosti) kao i stanje samog resursa. Obzirom na razlike vrijednosti u različitim segmentima flote, usporedba vrijednosti između godina daje indeks kojim se može mjeriti kretanje ovog indikatora</w:t>
            </w:r>
          </w:p>
        </w:tc>
        <w:tc>
          <w:tcPr>
            <w:tcW w:w="1020" w:type="dxa"/>
          </w:tcPr>
          <w:p w:rsidR="005C2091" w:rsidRDefault="00A86293">
            <w:pPr>
              <w:pStyle w:val="CellColumn"/>
              <w:jc w:val="right"/>
            </w:pPr>
            <w:r>
              <w:rPr>
                <w:rFonts w:cs="Times New Roman"/>
              </w:rPr>
              <w:t>Index</w:t>
            </w:r>
          </w:p>
        </w:tc>
        <w:tc>
          <w:tcPr>
            <w:tcW w:w="1020" w:type="dxa"/>
          </w:tcPr>
          <w:p w:rsidR="005C2091" w:rsidRDefault="00A86293">
            <w:pPr>
              <w:pStyle w:val="CellColumn"/>
              <w:jc w:val="right"/>
            </w:pPr>
            <w:r>
              <w:rPr>
                <w:rFonts w:cs="Times New Roman"/>
              </w:rPr>
              <w:t>105</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105</w:t>
            </w:r>
          </w:p>
        </w:tc>
        <w:tc>
          <w:tcPr>
            <w:tcW w:w="1020" w:type="dxa"/>
          </w:tcPr>
          <w:p w:rsidR="005C2091" w:rsidRDefault="00A86293">
            <w:pPr>
              <w:pStyle w:val="CellColumn"/>
              <w:jc w:val="right"/>
            </w:pPr>
            <w:r>
              <w:rPr>
                <w:rFonts w:cs="Times New Roman"/>
              </w:rPr>
              <w:t>105</w:t>
            </w:r>
          </w:p>
        </w:tc>
      </w:tr>
      <w:tr w:rsidR="005C2091">
        <w:trPr>
          <w:jc w:val="center"/>
        </w:trPr>
        <w:tc>
          <w:tcPr>
            <w:tcW w:w="2551" w:type="dxa"/>
          </w:tcPr>
          <w:p w:rsidR="005C2091" w:rsidRDefault="00A86293">
            <w:pPr>
              <w:pStyle w:val="CellColumn"/>
              <w:jc w:val="left"/>
            </w:pPr>
            <w:r>
              <w:rPr>
                <w:rFonts w:cs="Times New Roman"/>
              </w:rPr>
              <w:t>Poticanje organiziranog tržišta proizvoda ribarstva</w:t>
            </w:r>
          </w:p>
        </w:tc>
        <w:tc>
          <w:tcPr>
            <w:tcW w:w="2551" w:type="dxa"/>
          </w:tcPr>
          <w:p w:rsidR="005C2091" w:rsidRDefault="00A86293">
            <w:pPr>
              <w:pStyle w:val="CellColumn"/>
              <w:jc w:val="left"/>
            </w:pPr>
            <w:r>
              <w:rPr>
                <w:rFonts w:cs="Times New Roman"/>
              </w:rPr>
              <w:t>Količina ribarskih proizvoda/ulova plasirana na tržište preko nekog oblika udruživanja u odnosu na ukupnu proizvodnju/ulov plasiran na tržište po segmentima proizvodnje/ulova</w:t>
            </w:r>
          </w:p>
        </w:tc>
        <w:tc>
          <w:tcPr>
            <w:tcW w:w="1020" w:type="dxa"/>
          </w:tcPr>
          <w:p w:rsidR="005C2091" w:rsidRDefault="00A86293">
            <w:pPr>
              <w:pStyle w:val="CellColumn"/>
              <w:jc w:val="right"/>
            </w:pPr>
            <w:r>
              <w:rPr>
                <w:rFonts w:cs="Times New Roman"/>
              </w:rPr>
              <w:t>Index</w:t>
            </w:r>
          </w:p>
        </w:tc>
        <w:tc>
          <w:tcPr>
            <w:tcW w:w="1020" w:type="dxa"/>
          </w:tcPr>
          <w:p w:rsidR="005C2091" w:rsidRDefault="00A86293">
            <w:pPr>
              <w:pStyle w:val="CellColumn"/>
              <w:jc w:val="right"/>
            </w:pPr>
            <w:r>
              <w:rPr>
                <w:rFonts w:cs="Times New Roman"/>
              </w:rPr>
              <w:t>105</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110</w:t>
            </w:r>
          </w:p>
        </w:tc>
        <w:tc>
          <w:tcPr>
            <w:tcW w:w="1020" w:type="dxa"/>
          </w:tcPr>
          <w:p w:rsidR="005C2091" w:rsidRDefault="00A86293">
            <w:pPr>
              <w:pStyle w:val="CellColumn"/>
              <w:jc w:val="right"/>
            </w:pPr>
            <w:r>
              <w:rPr>
                <w:rFonts w:cs="Times New Roman"/>
              </w:rPr>
              <w:t>110</w:t>
            </w:r>
          </w:p>
        </w:tc>
      </w:tr>
    </w:tbl>
    <w:p w:rsidR="005C2091" w:rsidRDefault="005C2091">
      <w:pPr>
        <w:jc w:val="left"/>
      </w:pPr>
    </w:p>
    <w:p w:rsidR="005C2091" w:rsidRDefault="00A86293">
      <w:pPr>
        <w:pStyle w:val="Heading4"/>
      </w:pPr>
      <w:r>
        <w:t>A650134 INTERVENCIJE NA TRŽIŠTU PROIZVODA RIBARSTVA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A650134-INTERVENCIJE NA TRŽIŠTU PROIZVODA RIBARSTVA</w:t>
            </w:r>
          </w:p>
        </w:tc>
        <w:tc>
          <w:tcPr>
            <w:tcW w:w="2041" w:type="dxa"/>
          </w:tcPr>
          <w:p w:rsidR="005C2091" w:rsidRDefault="00A86293">
            <w:pPr>
              <w:pStyle w:val="CellColumn"/>
              <w:jc w:val="right"/>
            </w:pPr>
            <w:r>
              <w:rPr>
                <w:rFonts w:cs="Times New Roman"/>
              </w:rPr>
              <w:t>83.898.119</w:t>
            </w:r>
          </w:p>
        </w:tc>
        <w:tc>
          <w:tcPr>
            <w:tcW w:w="2041" w:type="dxa"/>
          </w:tcPr>
          <w:p w:rsidR="005C2091" w:rsidRDefault="00A86293">
            <w:pPr>
              <w:pStyle w:val="CellColumn"/>
              <w:jc w:val="right"/>
            </w:pPr>
            <w:r>
              <w:rPr>
                <w:rFonts w:cs="Times New Roman"/>
              </w:rPr>
              <w:t>87.826.350</w:t>
            </w:r>
          </w:p>
        </w:tc>
        <w:tc>
          <w:tcPr>
            <w:tcW w:w="2041" w:type="dxa"/>
          </w:tcPr>
          <w:p w:rsidR="005C2091" w:rsidRDefault="00A86293">
            <w:pPr>
              <w:pStyle w:val="CellColumn"/>
              <w:jc w:val="right"/>
            </w:pPr>
            <w:r>
              <w:rPr>
                <w:rFonts w:cs="Times New Roman"/>
              </w:rPr>
              <w:t>87.630.643</w:t>
            </w:r>
          </w:p>
        </w:tc>
        <w:tc>
          <w:tcPr>
            <w:tcW w:w="1224" w:type="dxa"/>
          </w:tcPr>
          <w:p w:rsidR="005C2091" w:rsidRDefault="00A86293">
            <w:pPr>
              <w:pStyle w:val="CellColumn"/>
              <w:jc w:val="right"/>
            </w:pPr>
            <w:r>
              <w:rPr>
                <w:rFonts w:cs="Times New Roman"/>
              </w:rPr>
              <w:t>99,8</w:t>
            </w:r>
          </w:p>
        </w:tc>
        <w:tc>
          <w:tcPr>
            <w:tcW w:w="1224" w:type="dxa"/>
          </w:tcPr>
          <w:p w:rsidR="005C2091" w:rsidRDefault="00A86293">
            <w:pPr>
              <w:pStyle w:val="CellColumn"/>
              <w:jc w:val="right"/>
            </w:pPr>
            <w:r>
              <w:rPr>
                <w:rFonts w:cs="Times New Roman"/>
              </w:rPr>
              <w:t>104,4</w:t>
            </w:r>
          </w:p>
        </w:tc>
      </w:tr>
    </w:tbl>
    <w:p w:rsidR="005C2091" w:rsidRDefault="005C2091">
      <w:pPr>
        <w:jc w:val="left"/>
      </w:pPr>
    </w:p>
    <w:p w:rsidR="005C2091" w:rsidRDefault="00A86293">
      <w:pPr>
        <w:pStyle w:val="Heading8"/>
        <w:jc w:val="left"/>
      </w:pPr>
      <w:r>
        <w:t>Zakonske i druge pravne osnove</w:t>
      </w:r>
    </w:p>
    <w:p w:rsidR="005C2091" w:rsidRDefault="00A86293">
      <w:r>
        <w:t>Na temelju članka 59. stavka 2. Zakona o morskom ribarstvu (»Narodne novine«, broj 81/2013, 14/2014 i 152/2014)</w:t>
      </w:r>
    </w:p>
    <w:p w:rsidR="005C2091" w:rsidRDefault="00A86293">
      <w:pPr>
        <w:pStyle w:val="Heading8"/>
        <w:jc w:val="left"/>
      </w:pPr>
      <w:r>
        <w:t>Opis aktivnosti</w:t>
      </w:r>
    </w:p>
    <w:p w:rsidR="005C2091" w:rsidRDefault="00A86293">
      <w:r>
        <w:t xml:space="preserve">Za omogućavanje održivog razvoja, sektoru ribarstva namijenjeni su različiti modeli potpora, kako putem nacionalnih sredstava, tako i putem EU fondova. Financiranje mjera i ostvarivanje postavljenih ciljeva države članice putem EU fondova vrši se putem modela strukturnih potpora, odnosno posebno kreiranih fondova za određena vremenska razdoblja. Za razliku od strukturne potpore gdje državni proračun sudjeluje u određenom postotnom iznosu u ukupnom iznosu javne potpore, državna potpora u ribarstvu podrazumijeva one mehanizme potpore kada država sama, bez sufinanciranja od strane EU fondova vrši sufinanciranje određenih mjera za razvoj sektora ribarstva. Takva državna potpora ima propisane stroge uvjete, kriterije, način dodjele i obvezu izvještavanja. Obzirom na posebne uvjete koje je Republika Hrvatska dobila kroz Ugovor o pristupanju, državna potpora u našem se slučaju može podijeliti na postojeću državnu potporu i državnu potporu sukladno pravnoj stečevini. Postojeća državna potpora je iznimka za Republiku Hrvatsku koja podrazumijeva mogućnost zadržavanja onih modela državne potpore koje je Republika Hrvatska provodila do pristupanja Europskoj uniji i to tijekom trogodišnjeg razdoblja od pristupanja, a što je isteklo 2016. godine.  </w:t>
      </w:r>
    </w:p>
    <w:p w:rsidR="005C2091" w:rsidRDefault="00A86293">
      <w:r>
        <w:t>Postotak izvršenja u odnosu na planirano iznosio je 99,77%, odnosno od 87.826.350 kuna iskorišteno je 87.630.642,68 kuna.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6"/>
        <w:gridCol w:w="2485"/>
        <w:gridCol w:w="1008"/>
        <w:gridCol w:w="1015"/>
        <w:gridCol w:w="1192"/>
        <w:gridCol w:w="1015"/>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Isplata državnih potpora sektoru ribarstva</w:t>
            </w:r>
          </w:p>
        </w:tc>
        <w:tc>
          <w:tcPr>
            <w:tcW w:w="2551" w:type="dxa"/>
          </w:tcPr>
          <w:p w:rsidR="005C2091" w:rsidRDefault="00A86293">
            <w:pPr>
              <w:pStyle w:val="CellColumn"/>
              <w:jc w:val="left"/>
            </w:pPr>
            <w:r>
              <w:rPr>
                <w:rFonts w:cs="Times New Roman"/>
              </w:rPr>
              <w:t>Sektor ribarstva uz fondove u ribarstvu ima na raspolaganju i financiranje kroz sustav državnih potpora, a trenutno je najznačajnija provedba postojećih državnih potpora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20</w:t>
            </w:r>
          </w:p>
        </w:tc>
      </w:tr>
    </w:tbl>
    <w:p w:rsidR="005C2091" w:rsidRDefault="005C2091">
      <w:pPr>
        <w:jc w:val="left"/>
      </w:pPr>
    </w:p>
    <w:p w:rsidR="005C2091" w:rsidRDefault="00A86293">
      <w:pPr>
        <w:pStyle w:val="Heading4"/>
      </w:pPr>
      <w:r>
        <w:t>A828057 OPERATIVNI PROGRAM RIBARSTVA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A828057-OPERATIVNI PROGRAM RIBARSTVA</w:t>
            </w:r>
          </w:p>
        </w:tc>
        <w:tc>
          <w:tcPr>
            <w:tcW w:w="2041" w:type="dxa"/>
          </w:tcPr>
          <w:p w:rsidR="005C2091" w:rsidRDefault="00A86293">
            <w:pPr>
              <w:pStyle w:val="CellColumn"/>
              <w:jc w:val="right"/>
            </w:pPr>
            <w:r>
              <w:rPr>
                <w:rFonts w:cs="Times New Roman"/>
              </w:rPr>
              <w:t>46.422.046</w:t>
            </w:r>
          </w:p>
        </w:tc>
        <w:tc>
          <w:tcPr>
            <w:tcW w:w="2041" w:type="dxa"/>
          </w:tcPr>
          <w:p w:rsidR="005C2091" w:rsidRDefault="00A86293">
            <w:pPr>
              <w:pStyle w:val="CellColumn"/>
              <w:jc w:val="right"/>
            </w:pPr>
            <w:r>
              <w:rPr>
                <w:rFonts w:cs="Times New Roman"/>
              </w:rPr>
              <w:t>225.858.234</w:t>
            </w:r>
          </w:p>
        </w:tc>
        <w:tc>
          <w:tcPr>
            <w:tcW w:w="2041" w:type="dxa"/>
          </w:tcPr>
          <w:p w:rsidR="005C2091" w:rsidRDefault="00A86293">
            <w:pPr>
              <w:pStyle w:val="CellColumn"/>
              <w:jc w:val="right"/>
            </w:pPr>
            <w:r>
              <w:rPr>
                <w:rFonts w:cs="Times New Roman"/>
              </w:rPr>
              <w:t>135.701.101</w:t>
            </w:r>
          </w:p>
        </w:tc>
        <w:tc>
          <w:tcPr>
            <w:tcW w:w="1224" w:type="dxa"/>
          </w:tcPr>
          <w:p w:rsidR="005C2091" w:rsidRDefault="00A86293">
            <w:pPr>
              <w:pStyle w:val="CellColumn"/>
              <w:jc w:val="right"/>
            </w:pPr>
            <w:r>
              <w:rPr>
                <w:rFonts w:cs="Times New Roman"/>
              </w:rPr>
              <w:t>60,1</w:t>
            </w:r>
          </w:p>
        </w:tc>
        <w:tc>
          <w:tcPr>
            <w:tcW w:w="1224" w:type="dxa"/>
          </w:tcPr>
          <w:p w:rsidR="005C2091" w:rsidRDefault="00A86293">
            <w:pPr>
              <w:pStyle w:val="CellColumn"/>
              <w:jc w:val="right"/>
            </w:pPr>
            <w:r>
              <w:rPr>
                <w:rFonts w:cs="Times New Roman"/>
              </w:rPr>
              <w:t>292,3</w:t>
            </w:r>
          </w:p>
        </w:tc>
      </w:tr>
    </w:tbl>
    <w:p w:rsidR="005C2091" w:rsidRDefault="005C2091">
      <w:pPr>
        <w:jc w:val="left"/>
      </w:pPr>
    </w:p>
    <w:p w:rsidR="005C2091" w:rsidRDefault="00A86293">
      <w:pPr>
        <w:pStyle w:val="Heading8"/>
        <w:jc w:val="left"/>
      </w:pPr>
      <w:r>
        <w:t>Zakonske i druge pravne osnove</w:t>
      </w:r>
    </w:p>
    <w:p w:rsidR="005C2091" w:rsidRDefault="00A86293">
      <w:r>
        <w:t>Odluka EK o odobrenju Operativnoga programa za pomorstvo i ribarstvo</w:t>
      </w:r>
    </w:p>
    <w:p w:rsidR="005C2091" w:rsidRDefault="00A86293">
      <w:pPr>
        <w:pStyle w:val="Heading8"/>
        <w:jc w:val="left"/>
      </w:pPr>
      <w:r>
        <w:t>Opis aktivnosti</w:t>
      </w:r>
    </w:p>
    <w:p w:rsidR="005C2091" w:rsidRDefault="00A86293">
      <w:r>
        <w:t xml:space="preserve">Republika Hrvatska kroz Operativni program za pomorstvo i ribarstvo (2014.-2020.) dobila je na raspolaganje ukupno oko 352 mil. EUR-a. OPPiR-om predviđeno je ukupno 36 mjera koje će se provoditi u ovome razdoblju te su pokriveni svi segmenti ribarstva od uzgoja i ulova (morskog i slatkovodnog) do mjera stavljanja na tržište i prerade proizvoda ribarstva. Također, ovim fondom EU obuhvaćene su i mjere financiranja nadzora i kontrole te prikupljanja podataka. Kao najznačajnija mjera izdvojeno je financiranje ribarskih luka i iskrcajnih mjesta kojima bi se riješio dugogodišnji problem veza i iskrcaja. </w:t>
      </w:r>
    </w:p>
    <w:p w:rsidR="005C2091" w:rsidRDefault="00A86293">
      <w:r>
        <w:t>Ministarstvo poljoprivrede raspisalo je u 2016. godini šest Natječaja iz OPPiR-a, te je od planiranih 225.858.234 kuna iskorišteno 135.701.101,10 kuna odnosno 60,08%. Važno je napomenuti da je iskorištenje na izvoru 12 iznosilo 90%.</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1"/>
        <w:gridCol w:w="2490"/>
        <w:gridCol w:w="1008"/>
        <w:gridCol w:w="1015"/>
        <w:gridCol w:w="1192"/>
        <w:gridCol w:w="1015"/>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mjera kroz fondove EU u dijelu ribarstva</w:t>
            </w:r>
          </w:p>
        </w:tc>
        <w:tc>
          <w:tcPr>
            <w:tcW w:w="2551" w:type="dxa"/>
          </w:tcPr>
          <w:p w:rsidR="005C2091" w:rsidRDefault="00A86293">
            <w:pPr>
              <w:pStyle w:val="CellColumn"/>
              <w:jc w:val="left"/>
            </w:pPr>
            <w:r>
              <w:rPr>
                <w:rFonts w:cs="Times New Roman"/>
              </w:rPr>
              <w:t>Ribarstvu kao grani gospodarstva namijenjen je trenutačno Europski fond za pomorstvo i ribarstvo koji treba doprinijeti konkurentnosti i razvoju sektora ribarstva u svim segmentima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16</w:t>
            </w:r>
          </w:p>
        </w:tc>
      </w:tr>
    </w:tbl>
    <w:p w:rsidR="005C2091" w:rsidRDefault="005C2091">
      <w:pPr>
        <w:jc w:val="left"/>
      </w:pPr>
    </w:p>
    <w:p w:rsidR="005C2091" w:rsidRDefault="00A86293">
      <w:pPr>
        <w:pStyle w:val="Heading4"/>
      </w:pPr>
      <w:r>
        <w:t>K401095 SATELITSKI SUSTAV NADZORA PLOVILA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K401095-SATELITSKI SUSTAV NADZORA PLOVILA</w:t>
            </w:r>
          </w:p>
        </w:tc>
        <w:tc>
          <w:tcPr>
            <w:tcW w:w="2041" w:type="dxa"/>
          </w:tcPr>
          <w:p w:rsidR="005C2091" w:rsidRDefault="00A86293">
            <w:pPr>
              <w:pStyle w:val="CellColumn"/>
              <w:jc w:val="right"/>
            </w:pPr>
            <w:r>
              <w:rPr>
                <w:rFonts w:cs="Times New Roman"/>
              </w:rPr>
              <w:t>6.340.732</w:t>
            </w:r>
          </w:p>
        </w:tc>
        <w:tc>
          <w:tcPr>
            <w:tcW w:w="2041" w:type="dxa"/>
          </w:tcPr>
          <w:p w:rsidR="005C2091" w:rsidRDefault="00A86293">
            <w:pPr>
              <w:pStyle w:val="CellColumn"/>
              <w:jc w:val="right"/>
            </w:pPr>
            <w:r>
              <w:rPr>
                <w:rFonts w:cs="Times New Roman"/>
              </w:rPr>
              <w:t>7.835.250</w:t>
            </w:r>
          </w:p>
        </w:tc>
        <w:tc>
          <w:tcPr>
            <w:tcW w:w="2041" w:type="dxa"/>
          </w:tcPr>
          <w:p w:rsidR="005C2091" w:rsidRDefault="00A86293">
            <w:pPr>
              <w:pStyle w:val="CellColumn"/>
              <w:jc w:val="right"/>
            </w:pPr>
            <w:r>
              <w:rPr>
                <w:rFonts w:cs="Times New Roman"/>
              </w:rPr>
              <w:t>7.237.424</w:t>
            </w:r>
          </w:p>
        </w:tc>
        <w:tc>
          <w:tcPr>
            <w:tcW w:w="1224" w:type="dxa"/>
          </w:tcPr>
          <w:p w:rsidR="005C2091" w:rsidRDefault="00A86293">
            <w:pPr>
              <w:pStyle w:val="CellColumn"/>
              <w:jc w:val="right"/>
            </w:pPr>
            <w:r>
              <w:rPr>
                <w:rFonts w:cs="Times New Roman"/>
              </w:rPr>
              <w:t>92,4</w:t>
            </w:r>
          </w:p>
        </w:tc>
        <w:tc>
          <w:tcPr>
            <w:tcW w:w="1224" w:type="dxa"/>
          </w:tcPr>
          <w:p w:rsidR="005C2091" w:rsidRDefault="00A86293">
            <w:pPr>
              <w:pStyle w:val="CellColumn"/>
              <w:jc w:val="right"/>
            </w:pPr>
            <w:r>
              <w:rPr>
                <w:rFonts w:cs="Times New Roman"/>
              </w:rPr>
              <w:t>114,1</w:t>
            </w:r>
          </w:p>
        </w:tc>
      </w:tr>
    </w:tbl>
    <w:p w:rsidR="005C2091" w:rsidRDefault="005C2091">
      <w:pPr>
        <w:jc w:val="left"/>
      </w:pPr>
    </w:p>
    <w:p w:rsidR="005C2091" w:rsidRDefault="00A86293">
      <w:pPr>
        <w:pStyle w:val="Heading8"/>
        <w:jc w:val="left"/>
      </w:pPr>
      <w:r>
        <w:t>Zakonske i druge pravne osnove</w:t>
      </w:r>
    </w:p>
    <w:p w:rsidR="005C2091" w:rsidRDefault="00A86293">
      <w:r>
        <w:t>Na temelju članka 40. Zakona o morskom ribarstvu (»Narodne novine«, broj 81/2013, 14/2014 i 152/2014)</w:t>
      </w:r>
    </w:p>
    <w:p w:rsidR="005C2091" w:rsidRDefault="00A86293">
      <w:pPr>
        <w:pStyle w:val="Heading8"/>
        <w:jc w:val="left"/>
      </w:pPr>
      <w:r>
        <w:t>Opis aktivnosti</w:t>
      </w:r>
    </w:p>
    <w:p w:rsidR="005C2091" w:rsidRDefault="00A86293">
      <w:r>
        <w:t>Europska Unija, kao i različite međunarodne organizacije kojih je članica Republika Hrvatska, kao jedan od najznačajnijih mehanizama praćenja aktivnosti flote određuju sustav satelitskog praćenja plovila (Vessel Monitoring System, VMS). Ova je obveza u europskom zakonodavstvu uvedena još 1996. godine, a ponovno je naglašena u Uredbi Vijeća (EZ) 1224/2009 od 20. studenog 2009. kojom se uspostavlja sustav kontrola Zajednice za osiguranje poštivanja propisa o zajedničkoj ribarstvenoj politici. Sukladno ovim obvezama, određena ribarska plovila moraju imati instalirane uređaje koji omogućavaju satelitsko praćenje. Dodatno, Republika Hrvatska ima obvezu podatke iz VMS-a dostavljati međunarodnim organizacijama u slučajevima kada njezina plovila ribolov obavljaju izvan teritorijalnog mora, a za neke oblike ribolova stalno bez obzira na područje rada. Takav način praćenja plovila uvelike olakšava kontrolu aktivnosti flote, generiranje statističkih podataka u svrhu razvoja održivog ribarstva i služi kao dodatna mjera u sprječavanju nezakonitih radnji na moru. Nepostojanje odgovarajućeg sustava značilo bi i nemogućnost priznavanja ulova koje ostvaruju hrvatski ribarski brodovi kao legalno ostvarenog ulova. Da bi navedeni sustav bio funkcionalan potrebno je osigurati sredstva za prijenos podataka putem satelita o vremenu, poziciji i brzini kretanja plovila, te uspostaviti efikasno održavanje uređaja za slanje navedenih podatka putem VMS sustava (Vessel Monitoring System). Republika Hrvatska je sa VMS uređajima pokrila sva ribarska plovila te većinu plovila sa Elektronskim očevidnikom. Uz satelitski sustav prijenosa podataka dio podataka (podaci iz Elektronski očevidnika i sa VMS-a) se prenosi GPRS-om kada su plovila u području pokrivenom signalom.</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8"/>
        <w:gridCol w:w="2481"/>
        <w:gridCol w:w="1009"/>
        <w:gridCol w:w="1015"/>
        <w:gridCol w:w="1192"/>
        <w:gridCol w:w="1015"/>
        <w:gridCol w:w="1016"/>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plovila pokrivenih satelitskim sustavom nadzora plovila (VMS)</w:t>
            </w:r>
          </w:p>
        </w:tc>
        <w:tc>
          <w:tcPr>
            <w:tcW w:w="2551" w:type="dxa"/>
          </w:tcPr>
          <w:p w:rsidR="005C2091" w:rsidRDefault="00A86293">
            <w:pPr>
              <w:pStyle w:val="CellColumn"/>
              <w:jc w:val="left"/>
            </w:pPr>
            <w:r>
              <w:rPr>
                <w:rFonts w:cs="Times New Roman"/>
              </w:rPr>
              <w:t>Satelitskim sustavom nadzora plovila osigurava se učinkovita kontrola i nadzor ribolovnih aktivnosti.</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400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500</w:t>
            </w:r>
          </w:p>
        </w:tc>
        <w:tc>
          <w:tcPr>
            <w:tcW w:w="1020" w:type="dxa"/>
          </w:tcPr>
          <w:p w:rsidR="005C2091" w:rsidRDefault="00A86293">
            <w:pPr>
              <w:pStyle w:val="CellColumn"/>
              <w:jc w:val="right"/>
            </w:pPr>
            <w:r>
              <w:rPr>
                <w:rFonts w:cs="Times New Roman"/>
              </w:rPr>
              <w:t>500</w:t>
            </w:r>
          </w:p>
        </w:tc>
      </w:tr>
    </w:tbl>
    <w:p w:rsidR="005C2091" w:rsidRDefault="005C2091">
      <w:pPr>
        <w:jc w:val="left"/>
      </w:pPr>
    </w:p>
    <w:p w:rsidR="00497844" w:rsidRDefault="00497844">
      <w:pPr>
        <w:jc w:val="left"/>
      </w:pPr>
    </w:p>
    <w:p w:rsidR="00497844" w:rsidRDefault="00497844">
      <w:pPr>
        <w:jc w:val="left"/>
      </w:pPr>
    </w:p>
    <w:p w:rsidR="00497844" w:rsidRDefault="00497844">
      <w:pPr>
        <w:jc w:val="left"/>
      </w:pPr>
    </w:p>
    <w:p w:rsidR="00497844" w:rsidRDefault="00497844">
      <w:pPr>
        <w:jc w:val="left"/>
      </w:pPr>
    </w:p>
    <w:p w:rsidR="005C2091" w:rsidRDefault="00A86293">
      <w:pPr>
        <w:pStyle w:val="Heading3"/>
      </w:pPr>
      <w:r>
        <w:rPr>
          <w:rFonts w:cs="Times New Roman"/>
        </w:rPr>
        <w:t>3006 GOSPODARENJE I ZAŠTITA ŠUMSKIH RESURSA, LOVIŠTA I DIVLJAČI</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3006-GOSPODARENJE I ZAŠTITA ŠUMSKIH RESURSA, LOVIŠTA I DIVLJAČI</w:t>
            </w:r>
          </w:p>
        </w:tc>
        <w:tc>
          <w:tcPr>
            <w:tcW w:w="2041" w:type="dxa"/>
          </w:tcPr>
          <w:p w:rsidR="005C2091" w:rsidRDefault="00A86293">
            <w:pPr>
              <w:pStyle w:val="CellColumn"/>
              <w:jc w:val="right"/>
            </w:pPr>
            <w:r>
              <w:rPr>
                <w:rFonts w:cs="Times New Roman"/>
              </w:rPr>
              <w:t>97.826.468</w:t>
            </w:r>
          </w:p>
        </w:tc>
        <w:tc>
          <w:tcPr>
            <w:tcW w:w="2041" w:type="dxa"/>
          </w:tcPr>
          <w:p w:rsidR="005C2091" w:rsidRDefault="00A86293">
            <w:pPr>
              <w:pStyle w:val="CellColumn"/>
              <w:jc w:val="right"/>
            </w:pPr>
            <w:r>
              <w:rPr>
                <w:rFonts w:cs="Times New Roman"/>
              </w:rPr>
              <w:t>168.234.660</w:t>
            </w:r>
          </w:p>
        </w:tc>
        <w:tc>
          <w:tcPr>
            <w:tcW w:w="2041" w:type="dxa"/>
          </w:tcPr>
          <w:p w:rsidR="005C2091" w:rsidRDefault="00A86293">
            <w:pPr>
              <w:pStyle w:val="CellColumn"/>
              <w:jc w:val="right"/>
            </w:pPr>
            <w:r>
              <w:rPr>
                <w:rFonts w:cs="Times New Roman"/>
              </w:rPr>
              <w:t>150.273.515</w:t>
            </w:r>
          </w:p>
        </w:tc>
        <w:tc>
          <w:tcPr>
            <w:tcW w:w="1224" w:type="dxa"/>
          </w:tcPr>
          <w:p w:rsidR="005C2091" w:rsidRDefault="00A86293">
            <w:pPr>
              <w:pStyle w:val="CellColumn"/>
              <w:jc w:val="right"/>
            </w:pPr>
            <w:r>
              <w:rPr>
                <w:rFonts w:cs="Times New Roman"/>
              </w:rPr>
              <w:t>89,3</w:t>
            </w:r>
          </w:p>
        </w:tc>
        <w:tc>
          <w:tcPr>
            <w:tcW w:w="1224" w:type="dxa"/>
          </w:tcPr>
          <w:p w:rsidR="005C2091" w:rsidRDefault="00A86293">
            <w:pPr>
              <w:pStyle w:val="CellColumn"/>
              <w:jc w:val="right"/>
            </w:pPr>
            <w:r>
              <w:rPr>
                <w:rFonts w:cs="Times New Roman"/>
              </w:rPr>
              <w:t>153,6</w:t>
            </w:r>
          </w:p>
        </w:tc>
      </w:tr>
    </w:tbl>
    <w:p w:rsidR="005C2091" w:rsidRDefault="005C2091">
      <w:pPr>
        <w:jc w:val="left"/>
      </w:pPr>
    </w:p>
    <w:p w:rsidR="005C2091" w:rsidRDefault="00A86293">
      <w:r>
        <w:t>Ministarstvo poljoprivrede kroz svoj djelokrug rada vezan uz gospodarenje lovištima i divljači obavlja upravne i stručne poslove u vezi s provedbom propisa lovno-gospodarskih osnova, programa uzgoja i zaštite divljači. Navedenim se pridonosi održanju prirodnih odnosa između vrsta, očuvanju biološke raznolikosti te zaštiti divljači i njenih prirodnih staništa. Kroz zakupe i koncesije na lovištima usmjerava se razvoj gospodarstva i turističke ponude u sklopu lovno- turističkih aranžmana. Također se potiče napučivanje lovišta vrstama divljači zbog održanja bio-raznolikosti u područjima gdje je došlo do narušavanja prirodnih odnosa između vrsta. Unaprjeđivanje postojeće baze podataka (Središnja lovna evidencija) predstavlja dio razvoja predmetne gospodarske grane, a ima za svrhu mogućnost uvida u postojeće stanje vezano uz brojnost divljači te stanje očuvanja staništa.</w:t>
      </w:r>
    </w:p>
    <w:p w:rsidR="005C2091" w:rsidRDefault="00A86293">
      <w:pPr>
        <w:pStyle w:val="Heading8"/>
        <w:jc w:val="left"/>
      </w:pPr>
      <w:r>
        <w:t>Cilj 1. Razvoj gospodarenja lovištima i divljači</w:t>
      </w:r>
    </w:p>
    <w:p w:rsidR="005C2091" w:rsidRDefault="00A86293">
      <w:pPr>
        <w:pStyle w:val="Heading8"/>
        <w:jc w:val="left"/>
      </w:pPr>
      <w:r>
        <w:t>Opis provedbe cilja programa</w:t>
      </w:r>
    </w:p>
    <w:p w:rsidR="005C2091" w:rsidRDefault="00A86293">
      <w:r>
        <w:t>Unapređenje lovstva s ciljem poboljšanja gospodarenja lovištima i divljači, povećanja brojnog stanja divljači čije je brojno stanje ispod propisanoga, te njihovo praćenje.</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79"/>
        <w:gridCol w:w="2485"/>
        <w:gridCol w:w="1007"/>
        <w:gridCol w:w="1014"/>
        <w:gridCol w:w="1192"/>
        <w:gridCol w:w="1014"/>
        <w:gridCol w:w="1015"/>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Izvršenje plana gospodarenja smeđim medvjedom</w:t>
            </w:r>
          </w:p>
        </w:tc>
        <w:tc>
          <w:tcPr>
            <w:tcW w:w="2551" w:type="dxa"/>
          </w:tcPr>
          <w:p w:rsidR="005C2091" w:rsidRDefault="00A86293">
            <w:pPr>
              <w:pStyle w:val="CellColumn"/>
              <w:jc w:val="left"/>
            </w:pPr>
            <w:r>
              <w:rPr>
                <w:rFonts w:cs="Times New Roman"/>
              </w:rPr>
              <w:t>Izvršenje Plana gospodarenja smeđim medvjedom u Republici Hrvatskoj, izvršenje redovnog izlučenja radi održavanja zdrave i stabilne populacije</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120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120</w:t>
            </w:r>
          </w:p>
        </w:tc>
        <w:tc>
          <w:tcPr>
            <w:tcW w:w="1020" w:type="dxa"/>
          </w:tcPr>
          <w:p w:rsidR="005C2091" w:rsidRDefault="00A86293">
            <w:pPr>
              <w:pStyle w:val="CellColumn"/>
              <w:jc w:val="right"/>
            </w:pPr>
            <w:r>
              <w:rPr>
                <w:rFonts w:cs="Times New Roman"/>
              </w:rPr>
              <w:t>120</w:t>
            </w:r>
          </w:p>
        </w:tc>
      </w:tr>
      <w:tr w:rsidR="005C2091">
        <w:trPr>
          <w:jc w:val="center"/>
        </w:trPr>
        <w:tc>
          <w:tcPr>
            <w:tcW w:w="2551" w:type="dxa"/>
          </w:tcPr>
          <w:p w:rsidR="005C2091" w:rsidRDefault="00A86293">
            <w:pPr>
              <w:pStyle w:val="CellColumn"/>
              <w:jc w:val="left"/>
            </w:pPr>
            <w:r>
              <w:rPr>
                <w:rFonts w:cs="Times New Roman"/>
              </w:rPr>
              <w:t>Broj stranih lovaca u RH</w:t>
            </w:r>
          </w:p>
        </w:tc>
        <w:tc>
          <w:tcPr>
            <w:tcW w:w="2551" w:type="dxa"/>
          </w:tcPr>
          <w:p w:rsidR="005C2091" w:rsidRDefault="00A86293">
            <w:pPr>
              <w:pStyle w:val="CellColumn"/>
              <w:jc w:val="left"/>
            </w:pPr>
            <w:r>
              <w:rPr>
                <w:rFonts w:cs="Times New Roman"/>
              </w:rPr>
              <w:t>Povećanje interesa stranih lovaca za lovnoturističke aranžmane u RH</w:t>
            </w:r>
          </w:p>
        </w:tc>
        <w:tc>
          <w:tcPr>
            <w:tcW w:w="1020" w:type="dxa"/>
          </w:tcPr>
          <w:p w:rsidR="005C2091" w:rsidRDefault="00A86293">
            <w:pPr>
              <w:pStyle w:val="CellColumn"/>
              <w:jc w:val="right"/>
            </w:pPr>
            <w:r>
              <w:rPr>
                <w:rFonts w:cs="Times New Roman"/>
              </w:rPr>
              <w:t>kom</w:t>
            </w:r>
          </w:p>
        </w:tc>
        <w:tc>
          <w:tcPr>
            <w:tcW w:w="1020" w:type="dxa"/>
          </w:tcPr>
          <w:p w:rsidR="005C2091" w:rsidRDefault="00A86293">
            <w:pPr>
              <w:pStyle w:val="CellColumn"/>
              <w:jc w:val="right"/>
            </w:pPr>
            <w:r>
              <w:rPr>
                <w:rFonts w:cs="Times New Roman"/>
              </w:rPr>
              <w:t>7700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8000</w:t>
            </w:r>
          </w:p>
        </w:tc>
        <w:tc>
          <w:tcPr>
            <w:tcW w:w="1020" w:type="dxa"/>
          </w:tcPr>
          <w:p w:rsidR="005C2091" w:rsidRDefault="00A86293">
            <w:pPr>
              <w:pStyle w:val="CellColumn"/>
              <w:jc w:val="right"/>
            </w:pPr>
            <w:r>
              <w:rPr>
                <w:rFonts w:cs="Times New Roman"/>
              </w:rPr>
              <w:t>10190</w:t>
            </w:r>
          </w:p>
        </w:tc>
      </w:tr>
      <w:tr w:rsidR="005C2091">
        <w:trPr>
          <w:jc w:val="center"/>
        </w:trPr>
        <w:tc>
          <w:tcPr>
            <w:tcW w:w="2551" w:type="dxa"/>
          </w:tcPr>
          <w:p w:rsidR="005C2091" w:rsidRDefault="00A86293">
            <w:pPr>
              <w:pStyle w:val="CellColumn"/>
              <w:jc w:val="left"/>
            </w:pPr>
            <w:r>
              <w:rPr>
                <w:rFonts w:cs="Times New Roman"/>
              </w:rPr>
              <w:t>Zdrava populacija</w:t>
            </w:r>
          </w:p>
        </w:tc>
        <w:tc>
          <w:tcPr>
            <w:tcW w:w="2551" w:type="dxa"/>
          </w:tcPr>
          <w:p w:rsidR="005C2091" w:rsidRDefault="00A86293">
            <w:pPr>
              <w:pStyle w:val="CellColumn"/>
              <w:jc w:val="left"/>
            </w:pPr>
            <w:r>
              <w:rPr>
                <w:rFonts w:cs="Times New Roman"/>
              </w:rPr>
              <w:t>Analiza i liječenje divljači sa smanjenjem brojnog stanja divljači prijenosnika bolesti.</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70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70</w:t>
            </w:r>
          </w:p>
        </w:tc>
        <w:tc>
          <w:tcPr>
            <w:tcW w:w="1020" w:type="dxa"/>
          </w:tcPr>
          <w:p w:rsidR="005C2091" w:rsidRDefault="00A86293">
            <w:pPr>
              <w:pStyle w:val="CellColumn"/>
              <w:jc w:val="right"/>
            </w:pPr>
            <w:r>
              <w:rPr>
                <w:rFonts w:cs="Times New Roman"/>
              </w:rPr>
              <w:t>70</w:t>
            </w:r>
          </w:p>
        </w:tc>
      </w:tr>
    </w:tbl>
    <w:p w:rsidR="005C2091" w:rsidRDefault="005C2091">
      <w:pPr>
        <w:jc w:val="left"/>
      </w:pPr>
    </w:p>
    <w:p w:rsidR="005C2091" w:rsidRDefault="00A86293">
      <w:pPr>
        <w:pStyle w:val="Heading4"/>
      </w:pPr>
      <w:r>
        <w:t>A568060 UNAPREĐENJE LOVSTVA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A568060-UNAPREĐENJE LOVSTVA</w:t>
            </w:r>
          </w:p>
        </w:tc>
        <w:tc>
          <w:tcPr>
            <w:tcW w:w="2041" w:type="dxa"/>
          </w:tcPr>
          <w:p w:rsidR="005C2091" w:rsidRDefault="00A86293">
            <w:pPr>
              <w:pStyle w:val="CellColumn"/>
              <w:jc w:val="right"/>
            </w:pPr>
            <w:r>
              <w:rPr>
                <w:rFonts w:cs="Times New Roman"/>
              </w:rPr>
              <w:t>2.936.945</w:t>
            </w:r>
          </w:p>
        </w:tc>
        <w:tc>
          <w:tcPr>
            <w:tcW w:w="2041" w:type="dxa"/>
          </w:tcPr>
          <w:p w:rsidR="005C2091" w:rsidRDefault="00A86293">
            <w:pPr>
              <w:pStyle w:val="CellColumn"/>
              <w:jc w:val="right"/>
            </w:pPr>
            <w:r>
              <w:rPr>
                <w:rFonts w:cs="Times New Roman"/>
              </w:rPr>
              <w:t>4.450.000</w:t>
            </w:r>
          </w:p>
        </w:tc>
        <w:tc>
          <w:tcPr>
            <w:tcW w:w="2041" w:type="dxa"/>
          </w:tcPr>
          <w:p w:rsidR="005C2091" w:rsidRDefault="00A86293">
            <w:pPr>
              <w:pStyle w:val="CellColumn"/>
              <w:jc w:val="right"/>
            </w:pPr>
            <w:r>
              <w:rPr>
                <w:rFonts w:cs="Times New Roman"/>
              </w:rPr>
              <w:t>1.078.950</w:t>
            </w:r>
          </w:p>
        </w:tc>
        <w:tc>
          <w:tcPr>
            <w:tcW w:w="1224" w:type="dxa"/>
          </w:tcPr>
          <w:p w:rsidR="005C2091" w:rsidRDefault="00A86293">
            <w:pPr>
              <w:pStyle w:val="CellColumn"/>
              <w:jc w:val="right"/>
            </w:pPr>
            <w:r>
              <w:rPr>
                <w:rFonts w:cs="Times New Roman"/>
              </w:rPr>
              <w:t>24,2</w:t>
            </w:r>
          </w:p>
        </w:tc>
        <w:tc>
          <w:tcPr>
            <w:tcW w:w="1224" w:type="dxa"/>
          </w:tcPr>
          <w:p w:rsidR="005C2091" w:rsidRDefault="00A86293">
            <w:pPr>
              <w:pStyle w:val="CellColumn"/>
              <w:jc w:val="right"/>
            </w:pPr>
            <w:r>
              <w:rPr>
                <w:rFonts w:cs="Times New Roman"/>
              </w:rPr>
              <w:t>36,7</w:t>
            </w:r>
          </w:p>
        </w:tc>
      </w:tr>
    </w:tbl>
    <w:p w:rsidR="005C2091" w:rsidRDefault="005C2091">
      <w:pPr>
        <w:jc w:val="left"/>
      </w:pPr>
    </w:p>
    <w:p w:rsidR="005C2091" w:rsidRDefault="00A86293">
      <w:pPr>
        <w:pStyle w:val="Heading8"/>
        <w:jc w:val="left"/>
      </w:pPr>
      <w:r>
        <w:t>Zakonske i druge pravne osnove</w:t>
      </w:r>
    </w:p>
    <w:p w:rsidR="005C2091" w:rsidRDefault="00A86293">
      <w:r>
        <w:t>Zakon o lovstvu (NN 140/05, 75/09, 14/14, 21/16, 41/16 i 67/16), Plan gospodarenja smeđim medvjedom i Akcijski plan za 2016. godinu</w:t>
      </w:r>
    </w:p>
    <w:p w:rsidR="005C2091" w:rsidRDefault="00A86293">
      <w:pPr>
        <w:pStyle w:val="Heading8"/>
        <w:jc w:val="left"/>
      </w:pPr>
      <w:r>
        <w:t>Opis aktivnosti</w:t>
      </w:r>
    </w:p>
    <w:p w:rsidR="005C2091" w:rsidRDefault="00A86293">
      <w:r>
        <w:t xml:space="preserve">Sukladno odredbama članka 27. stavkom 1, točkom 3. Zakona o lovstvu propisano je </w:t>
      </w:r>
    </w:p>
    <w:p w:rsidR="005C2091" w:rsidRDefault="00A86293">
      <w:r>
        <w:t xml:space="preserve">da sredstva naknade za koncesiju i zakup raspoređuju se na način: </w:t>
      </w:r>
    </w:p>
    <w:p w:rsidR="005C2091" w:rsidRDefault="00A86293">
      <w:r>
        <w:t xml:space="preserve">1. 50 % sredstava za naknade vlasnicima zemljišta bez prava lova, razmjerno površini </w:t>
      </w:r>
    </w:p>
    <w:p w:rsidR="005C2091" w:rsidRDefault="00A86293">
      <w:r>
        <w:t xml:space="preserve">koja je obuhvaćena lovištima za koja se uplaćuje lovozakupnina, preko proračuna </w:t>
      </w:r>
    </w:p>
    <w:p w:rsidR="005C2091" w:rsidRDefault="00A86293">
      <w:r>
        <w:t xml:space="preserve">županija i Grada Zagreba na čijem području je ustanovljeno lovište, </w:t>
      </w:r>
    </w:p>
    <w:p w:rsidR="005C2091" w:rsidRDefault="00A86293">
      <w:r>
        <w:t xml:space="preserve">2. 30 % sredstava u Proračun, </w:t>
      </w:r>
    </w:p>
    <w:p w:rsidR="005C2091" w:rsidRDefault="00A86293">
      <w:r>
        <w:t xml:space="preserve">3. 10% sredstava u Proračun kao namjenski prihod Ministarstva za provedbu Zakona, </w:t>
      </w:r>
    </w:p>
    <w:p w:rsidR="005C2091" w:rsidRDefault="00A86293">
      <w:r>
        <w:t xml:space="preserve">4. 10 % sredstava na račun županija i Grada Zagreba za provedbu Zakona. </w:t>
      </w:r>
    </w:p>
    <w:p w:rsidR="005C2091" w:rsidRDefault="00A86293">
      <w:r>
        <w:t>Veći dio sredstava utrošen je na provedbu mjera uzgoja i zaštite divljači, dok je preostali dio utrošen na intelektualne, računalne i ostale usluge te kapitalne donacije neprofitnim organizacijama putem natječaja za sufinanciranje. Bitno je naglasiti da se sva sredstva na ovoj aktivnosti odnose na vlastite prihode koji se u proračunu planiraju unutar izvora 43.</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0"/>
        <w:gridCol w:w="2492"/>
        <w:gridCol w:w="1007"/>
        <w:gridCol w:w="1015"/>
        <w:gridCol w:w="1192"/>
        <w:gridCol w:w="1015"/>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Lovišta sa štetnim događajem</w:t>
            </w:r>
          </w:p>
        </w:tc>
        <w:tc>
          <w:tcPr>
            <w:tcW w:w="2551" w:type="dxa"/>
          </w:tcPr>
          <w:p w:rsidR="005C2091" w:rsidRDefault="00A86293">
            <w:pPr>
              <w:pStyle w:val="CellColumn"/>
              <w:jc w:val="left"/>
            </w:pPr>
            <w:r>
              <w:rPr>
                <w:rFonts w:cs="Times New Roman"/>
              </w:rPr>
              <w:t>Sprječavanje šteta od divljači na poljoprivrednim usjevima i u prometu</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Strateški plan Ministarstva poljoprivrede</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95</w:t>
            </w:r>
          </w:p>
        </w:tc>
      </w:tr>
    </w:tbl>
    <w:p w:rsidR="005C2091" w:rsidRDefault="005C2091">
      <w:pPr>
        <w:jc w:val="left"/>
      </w:pPr>
    </w:p>
    <w:p w:rsidR="005C2091" w:rsidRDefault="00A86293">
      <w:pPr>
        <w:pStyle w:val="Heading4"/>
      </w:pPr>
      <w:r>
        <w:t>A820038 UNAPREĐENJE ŠUMARSTVA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A820038-UNAPREĐENJE ŠUMARSTVA</w:t>
            </w:r>
          </w:p>
        </w:tc>
        <w:tc>
          <w:tcPr>
            <w:tcW w:w="2041" w:type="dxa"/>
          </w:tcPr>
          <w:p w:rsidR="005C2091" w:rsidRDefault="00A86293">
            <w:pPr>
              <w:pStyle w:val="CellColumn"/>
              <w:jc w:val="right"/>
            </w:pPr>
            <w:r>
              <w:rPr>
                <w:rFonts w:cs="Times New Roman"/>
              </w:rPr>
              <w:t>299.434</w:t>
            </w:r>
          </w:p>
        </w:tc>
        <w:tc>
          <w:tcPr>
            <w:tcW w:w="2041" w:type="dxa"/>
          </w:tcPr>
          <w:p w:rsidR="005C2091" w:rsidRDefault="00A86293">
            <w:pPr>
              <w:pStyle w:val="CellColumn"/>
              <w:jc w:val="right"/>
            </w:pPr>
            <w:r>
              <w:rPr>
                <w:rFonts w:cs="Times New Roman"/>
              </w:rPr>
              <w:t>850.600</w:t>
            </w:r>
          </w:p>
        </w:tc>
        <w:tc>
          <w:tcPr>
            <w:tcW w:w="2041" w:type="dxa"/>
          </w:tcPr>
          <w:p w:rsidR="005C2091" w:rsidRDefault="00A86293">
            <w:pPr>
              <w:pStyle w:val="CellColumn"/>
              <w:jc w:val="right"/>
            </w:pPr>
            <w:r>
              <w:rPr>
                <w:rFonts w:cs="Times New Roman"/>
              </w:rPr>
              <w:t>136.475</w:t>
            </w:r>
          </w:p>
        </w:tc>
        <w:tc>
          <w:tcPr>
            <w:tcW w:w="1224" w:type="dxa"/>
          </w:tcPr>
          <w:p w:rsidR="005C2091" w:rsidRDefault="00A86293">
            <w:pPr>
              <w:pStyle w:val="CellColumn"/>
              <w:jc w:val="right"/>
            </w:pPr>
            <w:r>
              <w:rPr>
                <w:rFonts w:cs="Times New Roman"/>
              </w:rPr>
              <w:t>16,0</w:t>
            </w:r>
          </w:p>
        </w:tc>
        <w:tc>
          <w:tcPr>
            <w:tcW w:w="1224" w:type="dxa"/>
          </w:tcPr>
          <w:p w:rsidR="005C2091" w:rsidRDefault="00A86293">
            <w:pPr>
              <w:pStyle w:val="CellColumn"/>
              <w:jc w:val="right"/>
            </w:pPr>
            <w:r>
              <w:rPr>
                <w:rFonts w:cs="Times New Roman"/>
              </w:rPr>
              <w:t>45,6</w:t>
            </w:r>
          </w:p>
        </w:tc>
      </w:tr>
    </w:tbl>
    <w:p w:rsidR="005C2091" w:rsidRDefault="005C2091">
      <w:pPr>
        <w:jc w:val="left"/>
      </w:pPr>
    </w:p>
    <w:p w:rsidR="005C2091" w:rsidRDefault="00A86293">
      <w:pPr>
        <w:pStyle w:val="Heading8"/>
        <w:jc w:val="left"/>
      </w:pPr>
      <w:r>
        <w:t>Zakonske i druge pravne osnove</w:t>
      </w:r>
    </w:p>
    <w:p w:rsidR="005C2091" w:rsidRDefault="00A86293">
      <w:r>
        <w:t>Pravilnik o načinu motrenja oštećenosti šumskih ekosustava (NN 76/13 i 122/14)</w:t>
      </w:r>
    </w:p>
    <w:p w:rsidR="005C2091" w:rsidRDefault="00A86293">
      <w:pPr>
        <w:pStyle w:val="Heading8"/>
        <w:jc w:val="left"/>
      </w:pPr>
      <w:r>
        <w:t>Opis aktivnosti</w:t>
      </w:r>
    </w:p>
    <w:p w:rsidR="005C2091" w:rsidRDefault="00A86293">
      <w:r>
        <w:t>Odobravanje šumskogospodarskih planova ide planiranim tijekom odnosno površina za koju su odobreni šumskogsopdarski planovi (privatne i državne šume) povećana je. Nadalje, ostatak sredstva je  planiran za provedbu Strateške procjene utjecaja na okoliš Šumskogospodarske osnove područja Republike Hrvatske za razdoblje 01.01.2016. - 31. 12. 2025. u iznosu 150.000,00 kuna (bez PDV) te će plaćanje iste biti provedeno u tri faze. Zbog kašnjenja u dostavi Nacrta studije u protekloj godini nisu isplaćena sredstva, a dinamika plaćanja je zavisna o stupnju dovršenosti dokumenta.   Na izvoru 11 unutar Aktivnosti A820038 je stoga od planiranih 260.000 utrošeno 120.932,93</w:t>
      </w:r>
      <w:r w:rsidR="00497844">
        <w:t>.</w:t>
      </w:r>
      <w:r>
        <w:t xml:space="preserve"> </w:t>
      </w:r>
    </w:p>
    <w:p w:rsidR="005C2091" w:rsidRDefault="00A86293">
      <w:r>
        <w:t>Ostatak sredstva (planiranih 590.000,00) nalazi se na izvoru 43 i prenosi se u narednu proračunsku godinu.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5"/>
        <w:gridCol w:w="2484"/>
        <w:gridCol w:w="1005"/>
        <w:gridCol w:w="1013"/>
        <w:gridCol w:w="1192"/>
        <w:gridCol w:w="1013"/>
        <w:gridCol w:w="1014"/>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površine šuma za koju su odobreni programi/osnove gospodarenja</w:t>
            </w:r>
          </w:p>
        </w:tc>
        <w:tc>
          <w:tcPr>
            <w:tcW w:w="2551" w:type="dxa"/>
          </w:tcPr>
          <w:p w:rsidR="005C2091" w:rsidRDefault="00A86293">
            <w:pPr>
              <w:pStyle w:val="CellColumn"/>
              <w:jc w:val="left"/>
            </w:pPr>
            <w:r>
              <w:rPr>
                <w:rFonts w:cs="Times New Roman"/>
              </w:rPr>
              <w:t>Povećanje površine šuma za koju su odobreni programi/osnove gospodarenja</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2.225.000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2.275.00</w:t>
            </w:r>
          </w:p>
        </w:tc>
        <w:tc>
          <w:tcPr>
            <w:tcW w:w="1020" w:type="dxa"/>
          </w:tcPr>
          <w:p w:rsidR="005C2091" w:rsidRDefault="00A86293">
            <w:pPr>
              <w:pStyle w:val="CellColumn"/>
              <w:jc w:val="right"/>
            </w:pPr>
            <w:r>
              <w:rPr>
                <w:rFonts w:cs="Times New Roman"/>
              </w:rPr>
              <w:t>2.240.000</w:t>
            </w:r>
          </w:p>
        </w:tc>
      </w:tr>
      <w:tr w:rsidR="005C2091">
        <w:trPr>
          <w:jc w:val="center"/>
        </w:trPr>
        <w:tc>
          <w:tcPr>
            <w:tcW w:w="2551" w:type="dxa"/>
          </w:tcPr>
          <w:p w:rsidR="005C2091" w:rsidRDefault="00A86293">
            <w:pPr>
              <w:pStyle w:val="CellColumn"/>
              <w:jc w:val="left"/>
            </w:pPr>
            <w:r>
              <w:rPr>
                <w:rFonts w:cs="Times New Roman"/>
              </w:rPr>
              <w:t>Smanjenje broja predmeta u postupku kojima je istekao rok za rješavanje</w:t>
            </w:r>
          </w:p>
        </w:tc>
        <w:tc>
          <w:tcPr>
            <w:tcW w:w="2551" w:type="dxa"/>
          </w:tcPr>
          <w:p w:rsidR="005C2091" w:rsidRDefault="00A86293">
            <w:pPr>
              <w:pStyle w:val="CellColumn"/>
              <w:jc w:val="left"/>
            </w:pPr>
            <w:r>
              <w:rPr>
                <w:rFonts w:cs="Times New Roman"/>
              </w:rPr>
              <w:t>Smanjenje broja predmeta u postupku kojima je istekao rok za rješavanje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850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763</w:t>
            </w:r>
          </w:p>
        </w:tc>
        <w:tc>
          <w:tcPr>
            <w:tcW w:w="1020" w:type="dxa"/>
          </w:tcPr>
          <w:p w:rsidR="005C2091" w:rsidRDefault="00A86293">
            <w:pPr>
              <w:pStyle w:val="CellColumn"/>
              <w:jc w:val="right"/>
            </w:pPr>
            <w:r>
              <w:rPr>
                <w:rFonts w:cs="Times New Roman"/>
              </w:rPr>
              <w:t>700</w:t>
            </w:r>
          </w:p>
        </w:tc>
      </w:tr>
    </w:tbl>
    <w:p w:rsidR="005C2091" w:rsidRDefault="005C2091">
      <w:pPr>
        <w:jc w:val="left"/>
      </w:pPr>
    </w:p>
    <w:p w:rsidR="005C2091" w:rsidRDefault="00A86293">
      <w:pPr>
        <w:pStyle w:val="Heading4"/>
      </w:pPr>
      <w:r>
        <w:t>A820065 OPĆEKORISNE FUNKCIJE ŠUMA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A820065-OPĆEKORISNE FUNKCIJE ŠUMA</w:t>
            </w:r>
          </w:p>
        </w:tc>
        <w:tc>
          <w:tcPr>
            <w:tcW w:w="2041" w:type="dxa"/>
          </w:tcPr>
          <w:p w:rsidR="005C2091" w:rsidRDefault="00A86293">
            <w:pPr>
              <w:pStyle w:val="CellColumn"/>
              <w:jc w:val="right"/>
            </w:pPr>
            <w:r>
              <w:rPr>
                <w:rFonts w:cs="Times New Roman"/>
              </w:rPr>
              <w:t>92.332.540</w:t>
            </w:r>
          </w:p>
        </w:tc>
        <w:tc>
          <w:tcPr>
            <w:tcW w:w="2041" w:type="dxa"/>
          </w:tcPr>
          <w:p w:rsidR="005C2091" w:rsidRDefault="00A86293">
            <w:pPr>
              <w:pStyle w:val="CellColumn"/>
              <w:jc w:val="right"/>
            </w:pPr>
            <w:r>
              <w:rPr>
                <w:rFonts w:cs="Times New Roman"/>
              </w:rPr>
              <w:t>160.681.274</w:t>
            </w:r>
          </w:p>
        </w:tc>
        <w:tc>
          <w:tcPr>
            <w:tcW w:w="2041" w:type="dxa"/>
          </w:tcPr>
          <w:p w:rsidR="005C2091" w:rsidRDefault="00A86293">
            <w:pPr>
              <w:pStyle w:val="CellColumn"/>
              <w:jc w:val="right"/>
            </w:pPr>
            <w:r>
              <w:rPr>
                <w:rFonts w:cs="Times New Roman"/>
              </w:rPr>
              <w:t>147.188.111</w:t>
            </w:r>
          </w:p>
        </w:tc>
        <w:tc>
          <w:tcPr>
            <w:tcW w:w="1224" w:type="dxa"/>
          </w:tcPr>
          <w:p w:rsidR="005C2091" w:rsidRDefault="00A86293">
            <w:pPr>
              <w:pStyle w:val="CellColumn"/>
              <w:jc w:val="right"/>
            </w:pPr>
            <w:r>
              <w:rPr>
                <w:rFonts w:cs="Times New Roman"/>
              </w:rPr>
              <w:t>91,6</w:t>
            </w:r>
          </w:p>
        </w:tc>
        <w:tc>
          <w:tcPr>
            <w:tcW w:w="1224" w:type="dxa"/>
          </w:tcPr>
          <w:p w:rsidR="005C2091" w:rsidRDefault="00A86293">
            <w:pPr>
              <w:pStyle w:val="CellColumn"/>
              <w:jc w:val="right"/>
            </w:pPr>
            <w:r>
              <w:rPr>
                <w:rFonts w:cs="Times New Roman"/>
              </w:rPr>
              <w:t>159,4</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šumama ( NN br. NN 140/05, 82/06, 129/08, 80/10, 124/10, 25/12, 68/12, 148/13, 94/14) </w:t>
      </w:r>
    </w:p>
    <w:p w:rsidR="005C2091" w:rsidRDefault="00A86293">
      <w:r>
        <w:t>Pravilnik o postupku za ostvarivanje prava na sredstva iz naknade za korištenje općekorisnih funkcija šuma za izvršene radove u šumama (NN br. 22/15)</w:t>
      </w:r>
    </w:p>
    <w:p w:rsidR="005C2091" w:rsidRDefault="00A86293">
      <w:pPr>
        <w:pStyle w:val="Heading8"/>
        <w:jc w:val="left"/>
      </w:pPr>
      <w:r>
        <w:t>Opis aktivnosti</w:t>
      </w:r>
    </w:p>
    <w:p w:rsidR="005C2091" w:rsidRDefault="00A86293">
      <w:r>
        <w:t xml:space="preserve">Sredstva prikupljena iz obveze plaćanja naknade za korištenje općekorisnih funkcija šume koju imaju sve pravne i fizičke osobe koje u RH obavljaju gospodarsku djelatnost i to u iznosu od 0,0265% od ukupnog prihoda ili ukupnih primitaka. </w:t>
      </w:r>
    </w:p>
    <w:p w:rsidR="005C2091" w:rsidRDefault="00A86293">
      <w:r>
        <w:t xml:space="preserve">Sredstva naknade raspoređuju se razmjerno udjelu u površini šuma i šumskih zemljišta. </w:t>
      </w:r>
    </w:p>
    <w:p w:rsidR="005C2091" w:rsidRDefault="00A86293">
      <w:r>
        <w:t xml:space="preserve">Od ukupno naplaćenih sredstava OKFŠ-a 23% se raspoređuje na vatrogasnu zajednicu, razminiranje šuma i znanstvene radove iz područja šumarstva i to: </w:t>
      </w:r>
    </w:p>
    <w:p w:rsidR="005C2091" w:rsidRDefault="00A86293">
      <w:r>
        <w:t xml:space="preserve">- 5% za potrebe vatrogasnih zajednica </w:t>
      </w:r>
    </w:p>
    <w:p w:rsidR="005C2091" w:rsidRDefault="00A86293">
      <w:r>
        <w:t xml:space="preserve">- 5% za potrebe znanstvenoistraživačkog rada  i izdavaštva u šumarstvu </w:t>
      </w:r>
    </w:p>
    <w:p w:rsidR="005C2091" w:rsidRDefault="00A86293">
      <w:r>
        <w:t>- 13% za potrebe razminiranja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0"/>
        <w:gridCol w:w="2479"/>
        <w:gridCol w:w="1009"/>
        <w:gridCol w:w="1015"/>
        <w:gridCol w:w="1192"/>
        <w:gridCol w:w="1015"/>
        <w:gridCol w:w="1016"/>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Projekti prijavljeni na javni poziv</w:t>
            </w:r>
          </w:p>
        </w:tc>
        <w:tc>
          <w:tcPr>
            <w:tcW w:w="2551" w:type="dxa"/>
          </w:tcPr>
          <w:p w:rsidR="005C2091" w:rsidRDefault="00A86293">
            <w:pPr>
              <w:pStyle w:val="CellColumn"/>
              <w:jc w:val="left"/>
            </w:pPr>
            <w:r>
              <w:rPr>
                <w:rFonts w:cs="Times New Roman"/>
              </w:rPr>
              <w:t>Projekti prijavljeni na javni poziv</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22</w:t>
            </w:r>
          </w:p>
        </w:tc>
        <w:tc>
          <w:tcPr>
            <w:tcW w:w="1020" w:type="dxa"/>
          </w:tcPr>
          <w:p w:rsidR="005C2091" w:rsidRDefault="00A86293">
            <w:pPr>
              <w:pStyle w:val="CellColumn"/>
              <w:jc w:val="right"/>
            </w:pPr>
            <w:r>
              <w:rPr>
                <w:rFonts w:cs="Times New Roman"/>
              </w:rPr>
              <w:t>5</w:t>
            </w:r>
          </w:p>
        </w:tc>
      </w:tr>
    </w:tbl>
    <w:p w:rsidR="005C2091" w:rsidRDefault="005C2091">
      <w:pPr>
        <w:jc w:val="left"/>
      </w:pPr>
    </w:p>
    <w:p w:rsidR="005C2091" w:rsidRDefault="00A86293">
      <w:pPr>
        <w:pStyle w:val="Heading4"/>
      </w:pPr>
      <w:r>
        <w:t>K821018 PROVEDBA MEĐUNARODNIH OBVEZA U ŠUMARSTVU</w:t>
      </w:r>
    </w:p>
    <w:tbl>
      <w:tblPr>
        <w:tblStyle w:val="StilTablice"/>
        <w:tblW w:w="10206" w:type="dxa"/>
        <w:jc w:val="center"/>
        <w:tblLook w:val="04A0" w:firstRow="1" w:lastRow="0" w:firstColumn="1" w:lastColumn="0" w:noHBand="0" w:noVBand="1"/>
      </w:tblPr>
      <w:tblGrid>
        <w:gridCol w:w="1771"/>
        <w:gridCol w:w="2001"/>
        <w:gridCol w:w="1999"/>
        <w:gridCol w:w="2001"/>
        <w:gridCol w:w="1215"/>
        <w:gridCol w:w="121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K821018-PROVEDBA MEĐUNARODNIH OBVEZA U ŠUMARSTVU</w:t>
            </w:r>
          </w:p>
        </w:tc>
        <w:tc>
          <w:tcPr>
            <w:tcW w:w="2041" w:type="dxa"/>
          </w:tcPr>
          <w:p w:rsidR="005C2091" w:rsidRDefault="00A86293">
            <w:pPr>
              <w:pStyle w:val="CellColumn"/>
              <w:jc w:val="right"/>
            </w:pPr>
            <w:r>
              <w:rPr>
                <w:rFonts w:cs="Times New Roman"/>
              </w:rPr>
              <w:t>443.642</w:t>
            </w:r>
          </w:p>
        </w:tc>
        <w:tc>
          <w:tcPr>
            <w:tcW w:w="2041" w:type="dxa"/>
          </w:tcPr>
          <w:p w:rsidR="005C2091" w:rsidRDefault="00A86293">
            <w:pPr>
              <w:pStyle w:val="CellColumn"/>
              <w:jc w:val="right"/>
            </w:pPr>
            <w:r>
              <w:rPr>
                <w:rFonts w:cs="Times New Roman"/>
              </w:rPr>
              <w:t>410.286</w:t>
            </w:r>
          </w:p>
        </w:tc>
        <w:tc>
          <w:tcPr>
            <w:tcW w:w="2041" w:type="dxa"/>
          </w:tcPr>
          <w:p w:rsidR="005C2091" w:rsidRDefault="00A86293">
            <w:pPr>
              <w:pStyle w:val="CellColumn"/>
              <w:jc w:val="right"/>
            </w:pPr>
            <w:r>
              <w:rPr>
                <w:rFonts w:cs="Times New Roman"/>
              </w:rPr>
              <w:t>189.094</w:t>
            </w:r>
          </w:p>
        </w:tc>
        <w:tc>
          <w:tcPr>
            <w:tcW w:w="1224" w:type="dxa"/>
          </w:tcPr>
          <w:p w:rsidR="005C2091" w:rsidRDefault="00A86293">
            <w:pPr>
              <w:pStyle w:val="CellColumn"/>
              <w:jc w:val="right"/>
            </w:pPr>
            <w:r>
              <w:rPr>
                <w:rFonts w:cs="Times New Roman"/>
              </w:rPr>
              <w:t>46,1</w:t>
            </w:r>
          </w:p>
        </w:tc>
        <w:tc>
          <w:tcPr>
            <w:tcW w:w="1224" w:type="dxa"/>
          </w:tcPr>
          <w:p w:rsidR="005C2091" w:rsidRDefault="00A86293">
            <w:pPr>
              <w:pStyle w:val="CellColumn"/>
              <w:jc w:val="right"/>
            </w:pPr>
            <w:r>
              <w:rPr>
                <w:rFonts w:cs="Times New Roman"/>
              </w:rPr>
              <w:t>42,6</w:t>
            </w:r>
          </w:p>
        </w:tc>
      </w:tr>
    </w:tbl>
    <w:p w:rsidR="005C2091" w:rsidRDefault="005C2091">
      <w:pPr>
        <w:jc w:val="left"/>
      </w:pPr>
    </w:p>
    <w:p w:rsidR="005C2091" w:rsidRDefault="00A86293">
      <w:pPr>
        <w:pStyle w:val="Heading8"/>
        <w:jc w:val="left"/>
      </w:pPr>
      <w:r>
        <w:t>Opis aktivnosti</w:t>
      </w:r>
    </w:p>
    <w:p w:rsidR="005C2091" w:rsidRDefault="00A86293">
      <w:r>
        <w:t xml:space="preserve">Sudjelovanje na sastancima: </w:t>
      </w:r>
    </w:p>
    <w:p w:rsidR="005C2091" w:rsidRDefault="00A86293">
      <w:r>
        <w:t xml:space="preserve">- radnih tijela Vijeća EU i Europske komisije, </w:t>
      </w:r>
    </w:p>
    <w:p w:rsidR="005C2091" w:rsidRDefault="00A86293">
      <w:r>
        <w:t xml:space="preserve">- međunarodnih tijela i organizacija kojih je RH član (UNFF, UNECE, FAO, OECD, FOREST EUROPE, UNFCCC), te ispunjavanje obveza preuzetih članstvom: </w:t>
      </w:r>
    </w:p>
    <w:p w:rsidR="005C2091" w:rsidRDefault="00A86293">
      <w:r>
        <w:t xml:space="preserve">- UNFF AHEG i radna skupina (izrada strateškog plana) </w:t>
      </w:r>
    </w:p>
    <w:p w:rsidR="005C2091" w:rsidRDefault="00A86293">
      <w:r>
        <w:t xml:space="preserve">- UNFF12 specijalno zasjedanje </w:t>
      </w:r>
    </w:p>
    <w:p w:rsidR="005C2091" w:rsidRDefault="00A86293">
      <w:r>
        <w:t xml:space="preserve">- UNECE ToS sastanci </w:t>
      </w:r>
    </w:p>
    <w:p w:rsidR="005C2091" w:rsidRDefault="00A86293">
      <w:r>
        <w:t xml:space="preserve">- FOREST EUROPE - sastanci na stručnom nivou (ELM) tijekom uz mogućnost nastavka pregovora za pravno obvezujući sporazum (LBA) </w:t>
      </w:r>
    </w:p>
    <w:p w:rsidR="005C2091" w:rsidRDefault="00A86293">
      <w:r>
        <w:t xml:space="preserve">- FAO COFO 23 zasjedanje </w:t>
      </w:r>
    </w:p>
    <w:p w:rsidR="005C2091" w:rsidRDefault="00A86293">
      <w:r>
        <w:t xml:space="preserve">Domaćinstvo međunarodnog UNECE sastanka 2017. </w:t>
      </w:r>
    </w:p>
    <w:p w:rsidR="005C2091" w:rsidRDefault="00A86293">
      <w:r>
        <w:t>Sufinanciranje dijela aktivnost Regionalnog ureda Europskog šumarskog instituta na području jugoistočne Europe (EFISEE). - ( NEOSTVARENO, radna tijela Vlade RH tražila da se isto prebaci u 2017. g.)</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2"/>
        <w:gridCol w:w="2483"/>
        <w:gridCol w:w="1006"/>
        <w:gridCol w:w="1014"/>
        <w:gridCol w:w="1192"/>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Izrada i dostava izvješća međunarodnim institucijama</w:t>
            </w:r>
          </w:p>
        </w:tc>
        <w:tc>
          <w:tcPr>
            <w:tcW w:w="2551" w:type="dxa"/>
          </w:tcPr>
          <w:p w:rsidR="005C2091" w:rsidRDefault="00A86293">
            <w:pPr>
              <w:pStyle w:val="CellColumn"/>
              <w:jc w:val="left"/>
            </w:pPr>
            <w:r>
              <w:rPr>
                <w:rFonts w:cs="Times New Roman"/>
              </w:rPr>
              <w:t>Izrada i dostava izvješća međunarodnim institucijama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5</w:t>
            </w:r>
          </w:p>
        </w:tc>
      </w:tr>
      <w:tr w:rsidR="005C2091">
        <w:trPr>
          <w:jc w:val="center"/>
        </w:trPr>
        <w:tc>
          <w:tcPr>
            <w:tcW w:w="2551" w:type="dxa"/>
          </w:tcPr>
          <w:p w:rsidR="005C2091" w:rsidRDefault="00A86293">
            <w:pPr>
              <w:pStyle w:val="CellColumn"/>
              <w:jc w:val="left"/>
            </w:pPr>
            <w:r>
              <w:rPr>
                <w:rFonts w:cs="Times New Roman"/>
              </w:rPr>
              <w:t>Sudjelovanje na međunarodnim događanjima</w:t>
            </w:r>
          </w:p>
        </w:tc>
        <w:tc>
          <w:tcPr>
            <w:tcW w:w="2551" w:type="dxa"/>
          </w:tcPr>
          <w:p w:rsidR="005C2091" w:rsidRDefault="00A86293">
            <w:pPr>
              <w:pStyle w:val="CellColumn"/>
              <w:jc w:val="left"/>
            </w:pPr>
            <w:r>
              <w:rPr>
                <w:rFonts w:cs="Times New Roman"/>
              </w:rPr>
              <w:t>Sudjelovanje na međunarodnim događanjima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21</w:t>
            </w:r>
          </w:p>
        </w:tc>
        <w:tc>
          <w:tcPr>
            <w:tcW w:w="1020" w:type="dxa"/>
          </w:tcPr>
          <w:p w:rsidR="005C2091" w:rsidRDefault="00A86293">
            <w:pPr>
              <w:pStyle w:val="CellColumn"/>
              <w:jc w:val="right"/>
            </w:pPr>
            <w:r>
              <w:rPr>
                <w:rFonts w:cs="Times New Roman"/>
              </w:rPr>
              <w:t>21</w:t>
            </w:r>
          </w:p>
        </w:tc>
      </w:tr>
    </w:tbl>
    <w:p w:rsidR="005C2091" w:rsidRDefault="005C2091">
      <w:pPr>
        <w:jc w:val="left"/>
      </w:pPr>
    </w:p>
    <w:p w:rsidR="005C2091" w:rsidRDefault="00A86293">
      <w:pPr>
        <w:pStyle w:val="Heading4"/>
      </w:pPr>
      <w:r>
        <w:t>K828037 MJERE OČUVANJA ŠUMSKIH GENETSKIH RESURSA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K828037-MJERE OČUVANJA ŠUMSKIH GENETSKIH RESURSA</w:t>
            </w:r>
          </w:p>
        </w:tc>
        <w:tc>
          <w:tcPr>
            <w:tcW w:w="2041" w:type="dxa"/>
          </w:tcPr>
          <w:p w:rsidR="005C2091" w:rsidRDefault="00A86293">
            <w:pPr>
              <w:pStyle w:val="CellColumn"/>
              <w:jc w:val="right"/>
            </w:pPr>
            <w:r>
              <w:rPr>
                <w:rFonts w:cs="Times New Roman"/>
              </w:rPr>
              <w:t>695.815</w:t>
            </w:r>
          </w:p>
        </w:tc>
        <w:tc>
          <w:tcPr>
            <w:tcW w:w="2041" w:type="dxa"/>
          </w:tcPr>
          <w:p w:rsidR="005C2091" w:rsidRDefault="00A86293">
            <w:pPr>
              <w:pStyle w:val="CellColumn"/>
              <w:jc w:val="right"/>
            </w:pPr>
            <w:r>
              <w:rPr>
                <w:rFonts w:cs="Times New Roman"/>
              </w:rPr>
              <w:t>475.000</w:t>
            </w:r>
          </w:p>
        </w:tc>
        <w:tc>
          <w:tcPr>
            <w:tcW w:w="2041" w:type="dxa"/>
          </w:tcPr>
          <w:p w:rsidR="005C2091" w:rsidRDefault="00A86293">
            <w:pPr>
              <w:pStyle w:val="CellColumn"/>
              <w:jc w:val="right"/>
            </w:pPr>
            <w:r>
              <w:rPr>
                <w:rFonts w:cs="Times New Roman"/>
              </w:rPr>
              <w:t>475.000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68,3</w:t>
            </w:r>
          </w:p>
        </w:tc>
      </w:tr>
    </w:tbl>
    <w:p w:rsidR="005C2091" w:rsidRDefault="005C2091">
      <w:pPr>
        <w:jc w:val="left"/>
      </w:pPr>
    </w:p>
    <w:p w:rsidR="005C2091" w:rsidRDefault="00A86293">
      <w:pPr>
        <w:pStyle w:val="Heading8"/>
        <w:jc w:val="left"/>
      </w:pPr>
      <w:r>
        <w:t>Zakonske i druge pravne osnove</w:t>
      </w:r>
    </w:p>
    <w:p w:rsidR="005C2091" w:rsidRDefault="00A86293">
      <w:r>
        <w:t>članak  49. stavak 5. Zakona o šumskom reprodukcijskom materijalu (NN 75/09, 61/11, 56/13 i 14/14).</w:t>
      </w:r>
    </w:p>
    <w:p w:rsidR="005C2091" w:rsidRDefault="00A86293">
      <w:pPr>
        <w:pStyle w:val="Heading8"/>
        <w:jc w:val="left"/>
      </w:pPr>
      <w:r>
        <w:t>Opis aktivnosti</w:t>
      </w:r>
    </w:p>
    <w:p w:rsidR="005C2091" w:rsidRDefault="00A86293">
      <w:r>
        <w:t>Program radova za sjemensku štedionicu, genetsku i sjemenku banku svojti šumskog drveća – nastavak je poslova započetih 2010. godine za potrebe Republike Hrvatske očuvanje genetske raznolikosti svojti šumskog drveća i njihovih genetskih izvora provodi ustanovljavanjem genetske banke svojti šumskog drveća, dok se osiguravanje dovoljnih količina šumskog reprodukcijskog materijala potrebnog za održivo gospodarenje šumskim resursima i očuvanje šumskih genetskih izvora provodi kroz ustrojavanje sjemenske štedionice. Navedene poslove provodi Hrvatski šumarski institut (HŠI) slijedom potpisanog Ugovora o financiranju Program radova za sjemensku štedionicu, genetsku i sjemenku banku svojti šumskog drveća sklopljenog između Ministarstva poljoprivrede i HŠI-a 1. lipnja 2016. godine, a sve temeljem članaka  49. stavak 5. Zakona o šumskom reprodukcijskom materijalu (NN 75/09, 61/11, 56/13 i 14/14).</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ishodišnih sjemenskih jedinica</w:t>
            </w:r>
          </w:p>
        </w:tc>
        <w:tc>
          <w:tcPr>
            <w:tcW w:w="2551" w:type="dxa"/>
          </w:tcPr>
          <w:p w:rsidR="005C2091" w:rsidRDefault="00A86293">
            <w:pPr>
              <w:pStyle w:val="CellColumn"/>
              <w:jc w:val="left"/>
            </w:pPr>
            <w:r>
              <w:rPr>
                <w:rFonts w:cs="Times New Roman"/>
              </w:rPr>
              <w:t>Broj ishodišnih sjemenskih jedinica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340</w:t>
            </w:r>
          </w:p>
        </w:tc>
        <w:tc>
          <w:tcPr>
            <w:tcW w:w="1020" w:type="dxa"/>
          </w:tcPr>
          <w:p w:rsidR="005C2091" w:rsidRDefault="00A86293">
            <w:pPr>
              <w:pStyle w:val="CellColumn"/>
              <w:jc w:val="right"/>
            </w:pPr>
            <w:r>
              <w:rPr>
                <w:rFonts w:cs="Times New Roman"/>
              </w:rPr>
              <w:t>Hrvatski šumarski institut</w:t>
            </w:r>
          </w:p>
        </w:tc>
        <w:tc>
          <w:tcPr>
            <w:tcW w:w="1020" w:type="dxa"/>
          </w:tcPr>
          <w:p w:rsidR="005C2091" w:rsidRDefault="00A86293">
            <w:pPr>
              <w:pStyle w:val="CellColumn"/>
              <w:jc w:val="right"/>
            </w:pPr>
            <w:r>
              <w:rPr>
                <w:rFonts w:cs="Times New Roman"/>
              </w:rPr>
              <w:t>350</w:t>
            </w:r>
          </w:p>
        </w:tc>
        <w:tc>
          <w:tcPr>
            <w:tcW w:w="1020" w:type="dxa"/>
          </w:tcPr>
          <w:p w:rsidR="005C2091" w:rsidRDefault="00A86293">
            <w:pPr>
              <w:pStyle w:val="CellColumn"/>
              <w:jc w:val="right"/>
            </w:pPr>
            <w:r>
              <w:rPr>
                <w:rFonts w:cs="Times New Roman"/>
              </w:rPr>
              <w:t>353</w:t>
            </w:r>
          </w:p>
        </w:tc>
      </w:tr>
      <w:tr w:rsidR="005C2091">
        <w:trPr>
          <w:jc w:val="center"/>
        </w:trPr>
        <w:tc>
          <w:tcPr>
            <w:tcW w:w="2551" w:type="dxa"/>
          </w:tcPr>
          <w:p w:rsidR="005C2091" w:rsidRDefault="00A86293">
            <w:pPr>
              <w:pStyle w:val="CellColumn"/>
              <w:jc w:val="left"/>
            </w:pPr>
            <w:r>
              <w:rPr>
                <w:rFonts w:cs="Times New Roman"/>
              </w:rPr>
              <w:t>Količina uskladištenog šumskog reprodukcijskog materijala</w:t>
            </w:r>
          </w:p>
        </w:tc>
        <w:tc>
          <w:tcPr>
            <w:tcW w:w="2551" w:type="dxa"/>
          </w:tcPr>
          <w:p w:rsidR="005C2091" w:rsidRDefault="00A86293">
            <w:pPr>
              <w:pStyle w:val="CellColumn"/>
              <w:jc w:val="left"/>
            </w:pPr>
            <w:r>
              <w:rPr>
                <w:rFonts w:cs="Times New Roman"/>
              </w:rPr>
              <w:t>Količina uskladištenog šumskog reprodukcijskog materijala</w:t>
            </w:r>
          </w:p>
        </w:tc>
        <w:tc>
          <w:tcPr>
            <w:tcW w:w="1020" w:type="dxa"/>
          </w:tcPr>
          <w:p w:rsidR="005C2091" w:rsidRDefault="00A86293">
            <w:pPr>
              <w:pStyle w:val="CellColumn"/>
              <w:jc w:val="right"/>
            </w:pPr>
            <w:r>
              <w:rPr>
                <w:rFonts w:cs="Times New Roman"/>
              </w:rPr>
              <w:t>kg</w:t>
            </w:r>
          </w:p>
        </w:tc>
        <w:tc>
          <w:tcPr>
            <w:tcW w:w="1020" w:type="dxa"/>
          </w:tcPr>
          <w:p w:rsidR="005C2091" w:rsidRDefault="00A86293">
            <w:pPr>
              <w:pStyle w:val="CellColumn"/>
              <w:jc w:val="right"/>
            </w:pPr>
            <w:r>
              <w:rPr>
                <w:rFonts w:cs="Times New Roman"/>
              </w:rPr>
              <w:t>2000</w:t>
            </w:r>
          </w:p>
        </w:tc>
        <w:tc>
          <w:tcPr>
            <w:tcW w:w="1020" w:type="dxa"/>
          </w:tcPr>
          <w:p w:rsidR="005C2091" w:rsidRDefault="00A86293">
            <w:pPr>
              <w:pStyle w:val="CellColumn"/>
              <w:jc w:val="right"/>
            </w:pPr>
            <w:r>
              <w:rPr>
                <w:rFonts w:cs="Times New Roman"/>
              </w:rPr>
              <w:t>Hrvatski šumarski</w:t>
            </w:r>
          </w:p>
        </w:tc>
        <w:tc>
          <w:tcPr>
            <w:tcW w:w="1020" w:type="dxa"/>
          </w:tcPr>
          <w:p w:rsidR="005C2091" w:rsidRDefault="00A86293">
            <w:pPr>
              <w:pStyle w:val="CellColumn"/>
              <w:jc w:val="right"/>
            </w:pPr>
            <w:r>
              <w:rPr>
                <w:rFonts w:cs="Times New Roman"/>
              </w:rPr>
              <w:t>5000</w:t>
            </w:r>
          </w:p>
        </w:tc>
        <w:tc>
          <w:tcPr>
            <w:tcW w:w="1020" w:type="dxa"/>
          </w:tcPr>
          <w:p w:rsidR="005C2091" w:rsidRDefault="00A86293">
            <w:pPr>
              <w:pStyle w:val="CellColumn"/>
              <w:jc w:val="right"/>
            </w:pPr>
            <w:r>
              <w:rPr>
                <w:rFonts w:cs="Times New Roman"/>
              </w:rPr>
              <w:t>4500</w:t>
            </w:r>
          </w:p>
        </w:tc>
      </w:tr>
    </w:tbl>
    <w:p w:rsidR="005C2091" w:rsidRDefault="005C2091">
      <w:pPr>
        <w:jc w:val="left"/>
      </w:pPr>
    </w:p>
    <w:p w:rsidR="005C2091" w:rsidRDefault="00A86293">
      <w:pPr>
        <w:pStyle w:val="Heading4"/>
      </w:pPr>
      <w:r>
        <w:t>K828038 MJERE ZAŠTITE ŠUMA OD BIOTSKIH I ABIOTSKIH ČIMBENIKA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K828038-MJERE ZAŠTITE ŠUMA OD BIOTSKIH I ABIOTSKIH ČIMBENIKA</w:t>
            </w:r>
          </w:p>
        </w:tc>
        <w:tc>
          <w:tcPr>
            <w:tcW w:w="2041" w:type="dxa"/>
          </w:tcPr>
          <w:p w:rsidR="005C2091" w:rsidRDefault="00A86293">
            <w:pPr>
              <w:pStyle w:val="CellColumn"/>
              <w:jc w:val="right"/>
            </w:pPr>
            <w:r>
              <w:rPr>
                <w:rFonts w:cs="Times New Roman"/>
              </w:rPr>
              <w:t>1.097.013</w:t>
            </w:r>
          </w:p>
        </w:tc>
        <w:tc>
          <w:tcPr>
            <w:tcW w:w="2041" w:type="dxa"/>
          </w:tcPr>
          <w:p w:rsidR="005C2091" w:rsidRDefault="00A86293">
            <w:pPr>
              <w:pStyle w:val="CellColumn"/>
              <w:jc w:val="right"/>
            </w:pPr>
            <w:r>
              <w:rPr>
                <w:rFonts w:cs="Times New Roman"/>
              </w:rPr>
              <w:t>1.090.000</w:t>
            </w:r>
          </w:p>
        </w:tc>
        <w:tc>
          <w:tcPr>
            <w:tcW w:w="2041" w:type="dxa"/>
          </w:tcPr>
          <w:p w:rsidR="005C2091" w:rsidRDefault="00A86293">
            <w:pPr>
              <w:pStyle w:val="CellColumn"/>
              <w:jc w:val="right"/>
            </w:pPr>
            <w:r>
              <w:rPr>
                <w:rFonts w:cs="Times New Roman"/>
              </w:rPr>
              <w:t>1.027.237</w:t>
            </w:r>
          </w:p>
        </w:tc>
        <w:tc>
          <w:tcPr>
            <w:tcW w:w="1224" w:type="dxa"/>
          </w:tcPr>
          <w:p w:rsidR="005C2091" w:rsidRDefault="00A86293">
            <w:pPr>
              <w:pStyle w:val="CellColumn"/>
              <w:jc w:val="right"/>
            </w:pPr>
            <w:r>
              <w:rPr>
                <w:rFonts w:cs="Times New Roman"/>
              </w:rPr>
              <w:t>94,2</w:t>
            </w:r>
          </w:p>
        </w:tc>
        <w:tc>
          <w:tcPr>
            <w:tcW w:w="1224" w:type="dxa"/>
          </w:tcPr>
          <w:p w:rsidR="005C2091" w:rsidRDefault="00A86293">
            <w:pPr>
              <w:pStyle w:val="CellColumn"/>
              <w:jc w:val="right"/>
            </w:pPr>
            <w:r>
              <w:rPr>
                <w:rFonts w:cs="Times New Roman"/>
              </w:rPr>
              <w:t>93,6</w:t>
            </w:r>
          </w:p>
        </w:tc>
      </w:tr>
    </w:tbl>
    <w:p w:rsidR="005C2091" w:rsidRDefault="005C2091">
      <w:pPr>
        <w:jc w:val="left"/>
      </w:pPr>
    </w:p>
    <w:p w:rsidR="005C2091" w:rsidRDefault="00A86293">
      <w:pPr>
        <w:pStyle w:val="Heading8"/>
        <w:jc w:val="left"/>
      </w:pPr>
      <w:r>
        <w:t>Zakonske i druge pravne osnove</w:t>
      </w:r>
    </w:p>
    <w:p w:rsidR="005C2091" w:rsidRDefault="00A86293">
      <w:r>
        <w:t xml:space="preserve">članak 15. stavka 4. Pravilnika o načinu motrenja oštećenosti šumskih ekosustava (NN 76/13 i 122/14) </w:t>
      </w:r>
    </w:p>
    <w:p w:rsidR="005C2091" w:rsidRDefault="00A86293">
      <w:r>
        <w:t xml:space="preserve">članak 73. Zakona o biljnom zdravstvu (NN 75/05 i 55/11) </w:t>
      </w:r>
    </w:p>
    <w:p w:rsidR="005C2091" w:rsidRDefault="00A86293">
      <w:r>
        <w:t>članak 3. stavka 4. Pravilnika o načinu prikupljanja podataka, vođenju registra te uvjetima korištenja podataka o šumskim požarima (NN br. 75/13; 150/14 i 21/17).</w:t>
      </w:r>
    </w:p>
    <w:p w:rsidR="005C2091" w:rsidRDefault="00A86293">
      <w:pPr>
        <w:pStyle w:val="Heading8"/>
        <w:jc w:val="left"/>
      </w:pPr>
      <w:r>
        <w:t>Opis aktivnosti</w:t>
      </w:r>
    </w:p>
    <w:p w:rsidR="005C2091" w:rsidRDefault="00A86293">
      <w:r>
        <w:t xml:space="preserve">Financiranje Nacionalnog programa motrenja oštećenosti šumskih ekosustava - 2016. g. u RH je po 28 put provedena godišnja procjena oštećenosti šuma na boindikacijskim točkama razine 1. Procjena je obavljena na 95 točaka odnosno 2376 stabala različitih vrsta drveća. Nadalje na 7 ploha intenzivnog motrenja razine 2 prikupljeni su podaci o oštećenosti krošanja kemizmu biljnog materijala rastu i prirastu stabala, depoziciji, fenologiji, otopini tla, meteorološkim mjerenjima, otpadu sa stabala, štetama od abiotičkih i biotičkih čimbenika, utjecaja prizemnog ozona na vegetaciju te pasivno mjerenju koncentracija ozona. Prikupljeni podaci dostavljeni su u bazu podataka UNCLRTAP. – PODACI IZ IZVJEŠĆA OŠTEĆENOST ŠUMSKIH EKOSUSTAVA RH ZA 2016. GODINU.  Radovi definirani sklapanjem Ugovora između Ministarstva poljoprivrede i Hrvatskog šumarskog instituta 18. travnja 2016. godine, a sve temeljem članka 15. stavka 4. Pravilnika o načinu motrenja oštećenosti šumskih ekosustava (NN 76/13 i 122/14). </w:t>
      </w:r>
    </w:p>
    <w:p w:rsidR="005C2091" w:rsidRDefault="00A86293">
      <w:r>
        <w:t xml:space="preserve">Program radova za izvještajno-prognozne poslove u šumarstvu – u 2016. G. nastavljeno je redovito praćenje zdravstvenog stanja šuma kako u državnom tako i u privatnom vlasništvu. Analizirano je 150 uzoraka grana na kojima su u laboratorijskim uvjetima prognozirala pojava i razvoj populacija štetnih organizama. Za najznačajnije štetnike šuma napravljene su prognoze napada koje su služile kao temelj za planiranje mjera suzbijanja. Nadalje provedeno je znanstveno istraživanje o biološkom suzbijanju kestenove ose šiškarice parazitoidom, izrađen Priručnik o sitnim glodavcima Hrvatske te brošura o mjerama za suzbijanje potkornjaka. Održane su dvije radionice za sve sudionike uključene u zdravstvenu zaštitu šuma.  – PODACI IZ GODIŠNJEG IZVJEŠĆA O IZVRŠENJU PROGRAMA RADOVA ZA IZVJEŠTAJNO-PROGNOZNE POSLOVE U ŠUMARSTVU ZA 2016. GODINU. Radovi definirani sklapanjem Ugovora između Ministarstva poljoprivrede i Hrvatskog šumarskog instituta 1. svibnja 2016. godine, a sve temeljem članka 73. Zakona o biljnom zdravstvu (NN 75/05 i 55/11). </w:t>
      </w:r>
    </w:p>
    <w:p w:rsidR="005C2091" w:rsidRDefault="00A86293">
      <w:r>
        <w:t>Sporazum o smještaju baze podataka, vođenju i održavanju Registra o šumskim požarima – Hrvatske šume d.o.o. su tijekom 2016. godine održavale bazu podataka te vodile i održavale Registar o šumskim požarima u RH sukladno Sporazumu o smještaju baze podataka, vođenju i održavanju Registra o šumskim požarima potpisanom između Ministarstva poljoprivrede i Hrvatskih šuma d.o.o. 13. studenog  2013. godine, a koji je sklopljen temeljem članka 3. stavka 4. Pravilnika o načinu prikupljanja podataka, vođenju registra te uvjetima korištenja podataka o šumskim požarima (NN br. 75/13; 150/14 i 21/17).</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28"/>
        <w:gridCol w:w="2427"/>
        <w:gridCol w:w="1000"/>
        <w:gridCol w:w="1053"/>
        <w:gridCol w:w="1192"/>
        <w:gridCol w:w="1053"/>
        <w:gridCol w:w="1053"/>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Opožarena   površina šuma</w:t>
            </w:r>
          </w:p>
        </w:tc>
        <w:tc>
          <w:tcPr>
            <w:tcW w:w="2551" w:type="dxa"/>
          </w:tcPr>
          <w:p w:rsidR="005C2091" w:rsidRDefault="00A86293">
            <w:pPr>
              <w:pStyle w:val="CellColumn"/>
              <w:jc w:val="left"/>
            </w:pPr>
            <w:r>
              <w:rPr>
                <w:rFonts w:cs="Times New Roman"/>
              </w:rPr>
              <w:t>Opožarena   površina šuma</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13300</w:t>
            </w:r>
          </w:p>
        </w:tc>
        <w:tc>
          <w:tcPr>
            <w:tcW w:w="1020" w:type="dxa"/>
          </w:tcPr>
          <w:p w:rsidR="005C2091" w:rsidRDefault="00A86293">
            <w:pPr>
              <w:pStyle w:val="CellColumn"/>
              <w:jc w:val="right"/>
            </w:pPr>
            <w:r>
              <w:rPr>
                <w:rFonts w:cs="Times New Roman"/>
              </w:rPr>
              <w:t>Registar šumskih požara - Ministarstvo poljoprivrede</w:t>
            </w:r>
          </w:p>
        </w:tc>
        <w:tc>
          <w:tcPr>
            <w:tcW w:w="1020" w:type="dxa"/>
          </w:tcPr>
          <w:p w:rsidR="005C2091" w:rsidRDefault="00A86293">
            <w:pPr>
              <w:pStyle w:val="CellColumn"/>
              <w:jc w:val="right"/>
            </w:pPr>
            <w:r>
              <w:rPr>
                <w:rFonts w:cs="Times New Roman"/>
              </w:rPr>
              <w:t>7065</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Indikatori motrenja oštećenosti šumskih ekosustava</w:t>
            </w:r>
          </w:p>
        </w:tc>
        <w:tc>
          <w:tcPr>
            <w:tcW w:w="2551" w:type="dxa"/>
          </w:tcPr>
          <w:p w:rsidR="005C2091" w:rsidRDefault="00A86293">
            <w:pPr>
              <w:pStyle w:val="CellColumn"/>
              <w:jc w:val="left"/>
            </w:pPr>
            <w:r>
              <w:rPr>
                <w:rFonts w:cs="Times New Roman"/>
              </w:rPr>
              <w:t>Indikatori motrenja oštećenosti šumskih ekosustava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11 parametara, 105 točaka</w:t>
            </w:r>
          </w:p>
        </w:tc>
        <w:tc>
          <w:tcPr>
            <w:tcW w:w="1020" w:type="dxa"/>
          </w:tcPr>
          <w:p w:rsidR="005C2091" w:rsidRDefault="00A86293">
            <w:pPr>
              <w:pStyle w:val="CellColumn"/>
              <w:jc w:val="right"/>
            </w:pPr>
            <w:r>
              <w:rPr>
                <w:rFonts w:cs="Times New Roman"/>
              </w:rPr>
              <w:t>Hrvatski šumarski institut</w:t>
            </w:r>
          </w:p>
        </w:tc>
        <w:tc>
          <w:tcPr>
            <w:tcW w:w="1020" w:type="dxa"/>
          </w:tcPr>
          <w:p w:rsidR="005C2091" w:rsidRDefault="00A86293">
            <w:pPr>
              <w:pStyle w:val="CellColumn"/>
              <w:jc w:val="right"/>
            </w:pPr>
            <w:r>
              <w:rPr>
                <w:rFonts w:cs="Times New Roman"/>
              </w:rPr>
              <w:t>11 parametara, 105 točaka</w:t>
            </w:r>
          </w:p>
        </w:tc>
        <w:tc>
          <w:tcPr>
            <w:tcW w:w="1020" w:type="dxa"/>
          </w:tcPr>
          <w:p w:rsidR="005C2091" w:rsidRDefault="00A86293">
            <w:pPr>
              <w:pStyle w:val="CellColumn"/>
              <w:jc w:val="right"/>
            </w:pPr>
            <w:r>
              <w:rPr>
                <w:rFonts w:cs="Times New Roman"/>
              </w:rPr>
              <w:t>11 parametara, 105 točaka</w:t>
            </w:r>
          </w:p>
        </w:tc>
      </w:tr>
    </w:tbl>
    <w:p w:rsidR="005C2091" w:rsidRDefault="005C2091">
      <w:pPr>
        <w:jc w:val="left"/>
      </w:pPr>
    </w:p>
    <w:p w:rsidR="00497844" w:rsidRDefault="00497844">
      <w:pPr>
        <w:jc w:val="left"/>
      </w:pPr>
    </w:p>
    <w:p w:rsidR="00497844" w:rsidRDefault="00497844">
      <w:pPr>
        <w:jc w:val="left"/>
      </w:pPr>
    </w:p>
    <w:p w:rsidR="005C2091" w:rsidRDefault="00A86293">
      <w:pPr>
        <w:pStyle w:val="Heading3"/>
      </w:pPr>
      <w:r>
        <w:rPr>
          <w:rFonts w:cs="Times New Roman"/>
        </w:rPr>
        <w:t>3007 SUSTAV NAVODNJAVANJA I ZAŠTITE OD ŠTETNOG DJELOVANJA VODA</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3007-SUSTAV NAVODNJAVANJA I ZAŠTITE OD ŠTETNOG DJELOVANJA VODA</w:t>
            </w:r>
          </w:p>
        </w:tc>
        <w:tc>
          <w:tcPr>
            <w:tcW w:w="2041" w:type="dxa"/>
          </w:tcPr>
          <w:p w:rsidR="005C2091" w:rsidRDefault="00A86293">
            <w:pPr>
              <w:pStyle w:val="CellColumn"/>
              <w:jc w:val="right"/>
            </w:pPr>
            <w:r>
              <w:rPr>
                <w:rFonts w:cs="Times New Roman"/>
              </w:rPr>
              <w:t>80.967.503</w:t>
            </w:r>
          </w:p>
        </w:tc>
        <w:tc>
          <w:tcPr>
            <w:tcW w:w="2041" w:type="dxa"/>
          </w:tcPr>
          <w:p w:rsidR="005C2091" w:rsidRDefault="00A86293">
            <w:pPr>
              <w:pStyle w:val="CellColumn"/>
              <w:jc w:val="right"/>
            </w:pPr>
            <w:r>
              <w:rPr>
                <w:rFonts w:cs="Times New Roman"/>
              </w:rPr>
              <w:t>23.066.205</w:t>
            </w:r>
          </w:p>
        </w:tc>
        <w:tc>
          <w:tcPr>
            <w:tcW w:w="2041" w:type="dxa"/>
          </w:tcPr>
          <w:p w:rsidR="005C2091" w:rsidRDefault="00A86293">
            <w:pPr>
              <w:pStyle w:val="CellColumn"/>
              <w:jc w:val="right"/>
            </w:pPr>
            <w:r>
              <w:rPr>
                <w:rFonts w:cs="Times New Roman"/>
              </w:rPr>
              <w:t>23.066.202</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28,5</w:t>
            </w:r>
          </w:p>
        </w:tc>
      </w:tr>
    </w:tbl>
    <w:p w:rsidR="005C2091" w:rsidRDefault="005C2091">
      <w:pPr>
        <w:jc w:val="left"/>
      </w:pPr>
    </w:p>
    <w:p w:rsidR="005C2091" w:rsidRDefault="00A86293">
      <w:r>
        <w:t xml:space="preserve">Navodnjavanje i zaštita poljoprivrednih površina od štetnog djelovanja voda od presudne je važnosti u razvoju, stabilnosti i gospodarskoj isplativosti svake cjelovite poljoprivredne proizvodnje. </w:t>
      </w:r>
    </w:p>
    <w:p w:rsidR="005C2091" w:rsidRDefault="00A86293">
      <w:r>
        <w:t xml:space="preserve">Provedbom Nacionalnog projekta navodnjavanja i gospodarenja poljoprivrednim zemljištem i vodama u RH (NAPNAV) nastavljaju se aktivnosti započete 2004. godine koje imaju za krajnji cilj izgradnju infrastrukture za sustavnu primjenu navodnjavanja na cca 65.000 ha poljoprivrednih površina do 2020. godine čime će se omogućiti stabilizacija te povećanje poljoprivredne proizvodnje, a time i povećanje konkurentnosti iste na domaćem i stranom tržištu, povećanje vrijednosti poljoprivrednog sektora u ukupnom gospodarstvu i racionalnije gospodarenje vodnim resursima. Osim izgradnje sustava navodnjavanja realizacijom ovog programa pripremit će se i projektna dokumentacija za sustave navodnjavanja koji se financiraju iz nacionalnih sredstava, ali i onih koji se planiraju aplicirati za EU fondove u programskom razdoblju 2014.-2020. </w:t>
      </w:r>
    </w:p>
    <w:p w:rsidR="005C2091" w:rsidRDefault="00A86293">
      <w:r>
        <w:t>Nadalje, održiva zaštita od poplava i drugih oblika štetnoga djelovanja voda podrazumijeva postizanje gospodarski opravdanih stupnjeva zaštite stanovništva, materijalnih dobara i ostalih ugroženih vrijednosti (gospodarski objekti, prometnice, infrastrukturni sustavi, poljoprivredne površine, kulturno-povijesna baština i ostalo), uz poticanje očuvanja i unapređivanja ekološkog stanja voda i poplavnih površina, radi stvaranja preduvjeta za daljnji održivi gospodarski razvoj.</w:t>
      </w:r>
    </w:p>
    <w:p w:rsidR="005C2091" w:rsidRDefault="00A86293">
      <w:pPr>
        <w:pStyle w:val="Heading8"/>
        <w:jc w:val="left"/>
      </w:pPr>
      <w:r>
        <w:t>Cilj 1. Povećanje broja poljoprivrednih površina pod navodnjavanjem</w:t>
      </w:r>
    </w:p>
    <w:p w:rsidR="005C2091" w:rsidRDefault="00A86293">
      <w:pPr>
        <w:pStyle w:val="Heading8"/>
        <w:jc w:val="left"/>
      </w:pPr>
      <w:r>
        <w:t>Opis provedbe cilja programa</w:t>
      </w:r>
    </w:p>
    <w:p w:rsidR="005C2091" w:rsidRDefault="00A86293">
      <w:r>
        <w:t>Cilj programa provodi se realizacijom Nacionalnog projekta navodnjavanja i gospodarenja poljoprivrednim zemljištem i vodama u Republici Hrvatskoj (NAPNAV), izradom studijske i projektne dokumentacije za sustave javnog navodnjavanja kao i izgradnjom novih te rekonstrukcijom postojećih sustava javnog navodnjavanja u svrhu boljeg gospodarenja poljoprivrednim zemljištem i vodama u uvjetima navodnjavanja.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76"/>
        <w:gridCol w:w="2480"/>
        <w:gridCol w:w="1005"/>
        <w:gridCol w:w="1014"/>
        <w:gridCol w:w="1203"/>
        <w:gridCol w:w="1014"/>
        <w:gridCol w:w="1014"/>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Mogućnost priključenja na sustav javnog navodnjavanja</w:t>
            </w:r>
          </w:p>
        </w:tc>
        <w:tc>
          <w:tcPr>
            <w:tcW w:w="2551" w:type="dxa"/>
          </w:tcPr>
          <w:p w:rsidR="005C2091" w:rsidRDefault="00A86293">
            <w:pPr>
              <w:pStyle w:val="CellColumn"/>
              <w:jc w:val="left"/>
            </w:pPr>
            <w:r>
              <w:rPr>
                <w:rFonts w:cs="Times New Roman"/>
              </w:rPr>
              <w:t>Povećanje poljoprivrednih površina u obuhvatu infrastrukture za navodnjavanje</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16.269</w:t>
            </w:r>
          </w:p>
        </w:tc>
        <w:tc>
          <w:tcPr>
            <w:tcW w:w="1020" w:type="dxa"/>
          </w:tcPr>
          <w:p w:rsidR="005C2091" w:rsidRDefault="00A86293">
            <w:pPr>
              <w:pStyle w:val="CellColumn"/>
              <w:jc w:val="right"/>
            </w:pPr>
            <w:r>
              <w:rPr>
                <w:rFonts w:cs="Times New Roman"/>
              </w:rPr>
              <w:t>Izvještaj o provedbi NAPNAV-a (25.07.2016); Strateški plan</w:t>
            </w:r>
          </w:p>
        </w:tc>
        <w:tc>
          <w:tcPr>
            <w:tcW w:w="1020" w:type="dxa"/>
          </w:tcPr>
          <w:p w:rsidR="005C2091" w:rsidRDefault="00A86293">
            <w:pPr>
              <w:pStyle w:val="CellColumn"/>
              <w:jc w:val="right"/>
            </w:pPr>
            <w:r>
              <w:rPr>
                <w:rFonts w:cs="Times New Roman"/>
              </w:rPr>
              <w:t>22.529</w:t>
            </w:r>
          </w:p>
        </w:tc>
        <w:tc>
          <w:tcPr>
            <w:tcW w:w="1020" w:type="dxa"/>
          </w:tcPr>
          <w:p w:rsidR="005C2091" w:rsidRDefault="00A86293">
            <w:pPr>
              <w:pStyle w:val="CellColumn"/>
              <w:jc w:val="right"/>
            </w:pPr>
            <w:r>
              <w:rPr>
                <w:rFonts w:cs="Times New Roman"/>
              </w:rPr>
              <w:t>22.529</w:t>
            </w:r>
          </w:p>
        </w:tc>
      </w:tr>
    </w:tbl>
    <w:p w:rsidR="005C2091" w:rsidRDefault="005C2091">
      <w:pPr>
        <w:jc w:val="left"/>
      </w:pPr>
    </w:p>
    <w:p w:rsidR="005C2091" w:rsidRDefault="00A86293">
      <w:pPr>
        <w:pStyle w:val="Heading4"/>
      </w:pPr>
      <w:r>
        <w:t>K819042 SUSTAV NAVODNJAVANJA KAPINCI - VAŠKA</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K819042-SUSTAV NAVODNJAVANJA KAPINCI - VAŠKA</w:t>
            </w:r>
          </w:p>
        </w:tc>
        <w:tc>
          <w:tcPr>
            <w:tcW w:w="2041" w:type="dxa"/>
          </w:tcPr>
          <w:p w:rsidR="005C2091" w:rsidRDefault="00A86293">
            <w:pPr>
              <w:pStyle w:val="CellColumn"/>
              <w:jc w:val="right"/>
            </w:pPr>
            <w:r>
              <w:rPr>
                <w:rFonts w:cs="Times New Roman"/>
              </w:rPr>
              <w:t>13.999.999</w:t>
            </w:r>
          </w:p>
        </w:tc>
        <w:tc>
          <w:tcPr>
            <w:tcW w:w="2041" w:type="dxa"/>
          </w:tcPr>
          <w:p w:rsidR="005C2091" w:rsidRDefault="00A86293">
            <w:pPr>
              <w:pStyle w:val="CellColumn"/>
              <w:jc w:val="right"/>
            </w:pPr>
            <w:r>
              <w:rPr>
                <w:rFonts w:cs="Times New Roman"/>
              </w:rPr>
              <w:t>10.447.394</w:t>
            </w:r>
          </w:p>
        </w:tc>
        <w:tc>
          <w:tcPr>
            <w:tcW w:w="2041" w:type="dxa"/>
          </w:tcPr>
          <w:p w:rsidR="005C2091" w:rsidRDefault="00A86293">
            <w:pPr>
              <w:pStyle w:val="CellColumn"/>
              <w:jc w:val="right"/>
            </w:pPr>
            <w:r>
              <w:rPr>
                <w:rFonts w:cs="Times New Roman"/>
              </w:rPr>
              <w:t>10.447.394</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74,6</w:t>
            </w:r>
          </w:p>
        </w:tc>
      </w:tr>
    </w:tbl>
    <w:p w:rsidR="005C2091" w:rsidRDefault="005C2091">
      <w:pPr>
        <w:jc w:val="left"/>
      </w:pPr>
    </w:p>
    <w:p w:rsidR="005C2091" w:rsidRDefault="00A86293">
      <w:pPr>
        <w:pStyle w:val="Heading8"/>
        <w:jc w:val="left"/>
      </w:pPr>
      <w:r>
        <w:t>Zakonske i druge pravne osnove</w:t>
      </w:r>
    </w:p>
    <w:p w:rsidR="005C2091" w:rsidRDefault="00A86293">
      <w:r>
        <w:t>Zakon o vodama („Narodne novine“, broj 153/09.63/11, 130/11, 56/13, i 14/14); Zakon o financiranju vodnoga gospodarstva („Narodne novine“, broj 153/09, 90/11, 56/19, 154/14 i 119/15); Strategija upravljanja vodama („Narodne novine“, broj 91/08); Nacionalni projekt navodnjavanja i gospodarenja poljoprivrednim zemljištem i vodama u Republici Hrvatskoj – NAPNAV (Agronomski i Građevinski fakultet Sveučilišta u Zagrebu, srpanj 2005.); Pravilnik o upravljanju i uređenju sustava za navodnjavanje („Narodne novine“, broj 83/10 i 78/14)., Pravilnik o provedbi mjere M04. „Ulaganja u fizičku imovinu“. Podmjera 4.3. „Potpora o za ulaganja u infrastrukturu vezano uz razvoj, modernizaciju i prilagodbu poljoprivrede i šumarstva“, tip operacije 4.3.1. „Investicije u osnovnu infrastrukturu javnog navodnjavanja“ iz Program ruralnog razvoja Republike Hrvatske za razdoblje 2014.-2020. („Narodne novine“, broj 62/16)</w:t>
      </w:r>
    </w:p>
    <w:p w:rsidR="005C2091" w:rsidRDefault="00A86293">
      <w:pPr>
        <w:pStyle w:val="Heading8"/>
        <w:jc w:val="left"/>
      </w:pPr>
      <w:r>
        <w:t>Opis aktivnosti</w:t>
      </w:r>
    </w:p>
    <w:p w:rsidR="005C2091" w:rsidRDefault="00A86293">
      <w:r>
        <w:t>Aktivnost obuhvaća izgradnju sustava navodnjavanja Kapinci – Vaška u Virovitičko podravskoj županiji ukupnog obuhvata 1260 ha.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9"/>
        <w:gridCol w:w="2480"/>
        <w:gridCol w:w="1006"/>
        <w:gridCol w:w="1014"/>
        <w:gridCol w:w="1198"/>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izgrađenih vodnih građevina za navodnjavanje osim kanalske mreže</w:t>
            </w:r>
          </w:p>
        </w:tc>
        <w:tc>
          <w:tcPr>
            <w:tcW w:w="2551" w:type="dxa"/>
          </w:tcPr>
          <w:p w:rsidR="005C2091" w:rsidRDefault="00A86293">
            <w:pPr>
              <w:pStyle w:val="CellColumn"/>
              <w:jc w:val="left"/>
            </w:pPr>
            <w:r>
              <w:rPr>
                <w:rFonts w:cs="Times New Roman"/>
              </w:rPr>
              <w:t>Broj izgrađenih vodnih građevina za navodnjavanje osim kanalske mreže</w:t>
            </w:r>
          </w:p>
        </w:tc>
        <w:tc>
          <w:tcPr>
            <w:tcW w:w="1020" w:type="dxa"/>
          </w:tcPr>
          <w:p w:rsidR="005C2091" w:rsidRDefault="00A86293">
            <w:pPr>
              <w:pStyle w:val="CellColumn"/>
              <w:jc w:val="right"/>
            </w:pPr>
            <w:r>
              <w:rPr>
                <w:rFonts w:cs="Times New Roman"/>
              </w:rPr>
              <w:t>komad</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Izvještaj o Provedbi NAPNAV-a (25.07.2016.) ; Strateški plan</w:t>
            </w:r>
          </w:p>
        </w:tc>
        <w:tc>
          <w:tcPr>
            <w:tcW w:w="1020" w:type="dxa"/>
          </w:tcPr>
          <w:p w:rsidR="005C2091" w:rsidRDefault="00A86293">
            <w:pPr>
              <w:pStyle w:val="CellColumn"/>
              <w:jc w:val="right"/>
            </w:pPr>
            <w:r>
              <w:rPr>
                <w:rFonts w:cs="Times New Roman"/>
              </w:rPr>
              <w:t>17</w:t>
            </w:r>
          </w:p>
        </w:tc>
        <w:tc>
          <w:tcPr>
            <w:tcW w:w="1020" w:type="dxa"/>
          </w:tcPr>
          <w:p w:rsidR="005C2091" w:rsidRDefault="00A86293">
            <w:pPr>
              <w:pStyle w:val="CellColumn"/>
              <w:jc w:val="right"/>
            </w:pPr>
            <w:r>
              <w:rPr>
                <w:rFonts w:cs="Times New Roman"/>
              </w:rPr>
              <w:t>17</w:t>
            </w:r>
          </w:p>
        </w:tc>
      </w:tr>
    </w:tbl>
    <w:p w:rsidR="005C2091" w:rsidRDefault="005C2091">
      <w:pPr>
        <w:jc w:val="left"/>
      </w:pPr>
    </w:p>
    <w:p w:rsidR="005C2091" w:rsidRDefault="00A86293">
      <w:pPr>
        <w:pStyle w:val="Heading4"/>
      </w:pPr>
      <w:r>
        <w:t>K820062 SUSTAV NAVODNJAVANJA BARANJA</w:t>
      </w:r>
    </w:p>
    <w:tbl>
      <w:tblPr>
        <w:tblStyle w:val="StilTablice"/>
        <w:tblW w:w="10206" w:type="dxa"/>
        <w:jc w:val="center"/>
        <w:tblLook w:val="04A0" w:firstRow="1" w:lastRow="0" w:firstColumn="1" w:lastColumn="0" w:noHBand="0" w:noVBand="1"/>
      </w:tblPr>
      <w:tblGrid>
        <w:gridCol w:w="1860"/>
        <w:gridCol w:w="1974"/>
        <w:gridCol w:w="1974"/>
        <w:gridCol w:w="1974"/>
        <w:gridCol w:w="1209"/>
        <w:gridCol w:w="1215"/>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K820062-SUSTAV NAVODNJAVANJA BARANJA</w:t>
            </w:r>
          </w:p>
        </w:tc>
        <w:tc>
          <w:tcPr>
            <w:tcW w:w="2041" w:type="dxa"/>
          </w:tcPr>
          <w:p w:rsidR="005C2091" w:rsidRDefault="00A86293">
            <w:pPr>
              <w:pStyle w:val="CellColumn"/>
              <w:jc w:val="right"/>
            </w:pPr>
            <w:r>
              <w:rPr>
                <w:rFonts w:cs="Times New Roman"/>
              </w:rPr>
              <w:t>3.000.000</w:t>
            </w:r>
          </w:p>
        </w:tc>
        <w:tc>
          <w:tcPr>
            <w:tcW w:w="2041" w:type="dxa"/>
          </w:tcPr>
          <w:p w:rsidR="005C2091" w:rsidRDefault="00A86293">
            <w:pPr>
              <w:pStyle w:val="CellColumn"/>
              <w:jc w:val="right"/>
            </w:pPr>
            <w:r>
              <w:rPr>
                <w:rFonts w:cs="Times New Roman"/>
              </w:rPr>
              <w:t>5.400.000</w:t>
            </w:r>
          </w:p>
        </w:tc>
        <w:tc>
          <w:tcPr>
            <w:tcW w:w="2041" w:type="dxa"/>
          </w:tcPr>
          <w:p w:rsidR="005C2091" w:rsidRDefault="00A86293">
            <w:pPr>
              <w:pStyle w:val="CellColumn"/>
              <w:jc w:val="right"/>
            </w:pPr>
            <w:r>
              <w:rPr>
                <w:rFonts w:cs="Times New Roman"/>
              </w:rPr>
              <w:t>5.400.000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180,0</w:t>
            </w:r>
          </w:p>
        </w:tc>
      </w:tr>
    </w:tbl>
    <w:p w:rsidR="005C2091" w:rsidRDefault="005C2091">
      <w:pPr>
        <w:jc w:val="left"/>
      </w:pPr>
    </w:p>
    <w:p w:rsidR="005C2091" w:rsidRDefault="00A86293">
      <w:pPr>
        <w:pStyle w:val="Heading8"/>
        <w:jc w:val="left"/>
      </w:pPr>
      <w:r>
        <w:t>Zakonske i druge pravne osnove</w:t>
      </w:r>
    </w:p>
    <w:p w:rsidR="005C2091" w:rsidRDefault="00A86293">
      <w:r>
        <w:t>Zakon o vodama („Narodne novine“, broj 153/09.63/11, 130/11, 56/13, i 14/14); Zakon o financiranju vodnoga gospodarstva („Narodne novine“, broj 153/09, 90/11, 56/19, 154/14 i 119/15); Strategija upravljanja vodama („Narodne novine“, broj 91/08); Nacionalni projekt navodnjavanja i gospodarenja poljoprivrednim zemljištem i vodama u Republici Hrvatskoj – NAPNAV (Agronomski i Građevinski fakultet Sveučilišta u Zagrebu, srpanj 2005.); Pravilnik o upravljanju i uređenju sustava za navodnjavanje („Narodne novine“, broj 83/10 i 78/14)., Pravilnik o provedbi mjere M04. „Ulaganja u fizičku imovinu“. Podmjera 4.3. „Potpora o za ulaganja u infrastrukturu vezano uz razvoj, modernizaciju i prilagodbu poljoprivrede i šumarstva“, tip operacije 4.3.1. „Investicije u osnovnu infrastrukturu javnog navodnjavanja“ iz Program ruralnog razvoja Republike Hrvatske za razdoblje 2014.-2020. („Narodne novine“, broj 62/16)</w:t>
      </w:r>
    </w:p>
    <w:p w:rsidR="005C2091" w:rsidRDefault="00A86293">
      <w:pPr>
        <w:pStyle w:val="Heading8"/>
        <w:jc w:val="left"/>
      </w:pPr>
      <w:r>
        <w:t>Opis aktivnosti</w:t>
      </w:r>
    </w:p>
    <w:p w:rsidR="005C2091" w:rsidRDefault="00A86293">
      <w:r>
        <w:t>Aktivnost obuhvaća izgradnju sustava navodnjavanja Baranja u Osječko-baranjskoj županiji okupnog obuhvata 5.000 ha.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9"/>
        <w:gridCol w:w="2480"/>
        <w:gridCol w:w="1006"/>
        <w:gridCol w:w="1014"/>
        <w:gridCol w:w="1198"/>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izgrađenih vodnih građevina za navodnjavanje osim kanalske mreže</w:t>
            </w:r>
          </w:p>
        </w:tc>
        <w:tc>
          <w:tcPr>
            <w:tcW w:w="2551" w:type="dxa"/>
          </w:tcPr>
          <w:p w:rsidR="005C2091" w:rsidRDefault="00A86293">
            <w:pPr>
              <w:pStyle w:val="CellColumn"/>
              <w:jc w:val="left"/>
            </w:pPr>
            <w:r>
              <w:rPr>
                <w:rFonts w:cs="Times New Roman"/>
              </w:rPr>
              <w:t>Broj izgrađenih vodnih građevina za navodnjavanje osim kanalske mreže</w:t>
            </w:r>
          </w:p>
        </w:tc>
        <w:tc>
          <w:tcPr>
            <w:tcW w:w="1020" w:type="dxa"/>
          </w:tcPr>
          <w:p w:rsidR="005C2091" w:rsidRDefault="00A86293">
            <w:pPr>
              <w:pStyle w:val="CellColumn"/>
              <w:jc w:val="right"/>
            </w:pPr>
            <w:r>
              <w:rPr>
                <w:rFonts w:cs="Times New Roman"/>
              </w:rPr>
              <w:t>komad</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Izvještaj o Provedbi NAPNAV-a (25.07.2016.) ; Strateški plan</w:t>
            </w:r>
          </w:p>
        </w:tc>
        <w:tc>
          <w:tcPr>
            <w:tcW w:w="1020" w:type="dxa"/>
          </w:tcPr>
          <w:p w:rsidR="005C2091" w:rsidRDefault="00A86293">
            <w:pPr>
              <w:pStyle w:val="CellColumn"/>
              <w:jc w:val="right"/>
            </w:pPr>
            <w:r>
              <w:rPr>
                <w:rFonts w:cs="Times New Roman"/>
              </w:rPr>
              <w:t>17</w:t>
            </w:r>
          </w:p>
        </w:tc>
        <w:tc>
          <w:tcPr>
            <w:tcW w:w="1020" w:type="dxa"/>
          </w:tcPr>
          <w:p w:rsidR="005C2091" w:rsidRDefault="00A86293">
            <w:pPr>
              <w:pStyle w:val="CellColumn"/>
              <w:jc w:val="right"/>
            </w:pPr>
            <w:r>
              <w:rPr>
                <w:rFonts w:cs="Times New Roman"/>
              </w:rPr>
              <w:t>17</w:t>
            </w:r>
          </w:p>
        </w:tc>
      </w:tr>
    </w:tbl>
    <w:p w:rsidR="005C2091" w:rsidRDefault="005C2091">
      <w:pPr>
        <w:jc w:val="left"/>
      </w:pPr>
    </w:p>
    <w:p w:rsidR="005C2091" w:rsidRDefault="00A86293">
      <w:pPr>
        <w:pStyle w:val="Heading4"/>
      </w:pPr>
      <w:r>
        <w:t>K828016 PILOT PROJEKT NAVODNJAVANJA DONJA NERETVA</w:t>
      </w:r>
    </w:p>
    <w:tbl>
      <w:tblPr>
        <w:tblStyle w:val="StilTablice"/>
        <w:tblW w:w="10206" w:type="dxa"/>
        <w:jc w:val="center"/>
        <w:tblLook w:val="04A0" w:firstRow="1" w:lastRow="0" w:firstColumn="1" w:lastColumn="0" w:noHBand="0" w:noVBand="1"/>
      </w:tblPr>
      <w:tblGrid>
        <w:gridCol w:w="1860"/>
        <w:gridCol w:w="1974"/>
        <w:gridCol w:w="1974"/>
        <w:gridCol w:w="1974"/>
        <w:gridCol w:w="1209"/>
        <w:gridCol w:w="1215"/>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K828016-PILOT PROJEKT NAVODNJAVANJA DONJA NERETVA</w:t>
            </w:r>
          </w:p>
        </w:tc>
        <w:tc>
          <w:tcPr>
            <w:tcW w:w="2041" w:type="dxa"/>
          </w:tcPr>
          <w:p w:rsidR="005C2091" w:rsidRDefault="00A86293">
            <w:pPr>
              <w:pStyle w:val="CellColumn"/>
              <w:jc w:val="right"/>
            </w:pPr>
            <w:r>
              <w:rPr>
                <w:rFonts w:cs="Times New Roman"/>
              </w:rPr>
              <w:t>3.500.000</w:t>
            </w:r>
          </w:p>
        </w:tc>
        <w:tc>
          <w:tcPr>
            <w:tcW w:w="2041" w:type="dxa"/>
          </w:tcPr>
          <w:p w:rsidR="005C2091" w:rsidRDefault="00A86293">
            <w:pPr>
              <w:pStyle w:val="CellColumn"/>
              <w:jc w:val="right"/>
            </w:pPr>
            <w:r>
              <w:rPr>
                <w:rFonts w:cs="Times New Roman"/>
              </w:rPr>
              <w:t>1.706.023</w:t>
            </w:r>
          </w:p>
        </w:tc>
        <w:tc>
          <w:tcPr>
            <w:tcW w:w="2041" w:type="dxa"/>
          </w:tcPr>
          <w:p w:rsidR="005C2091" w:rsidRDefault="00A86293">
            <w:pPr>
              <w:pStyle w:val="CellColumn"/>
              <w:jc w:val="right"/>
            </w:pPr>
            <w:r>
              <w:rPr>
                <w:rFonts w:cs="Times New Roman"/>
              </w:rPr>
              <w:t>1.706.022</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48,7</w:t>
            </w:r>
          </w:p>
        </w:tc>
      </w:tr>
    </w:tbl>
    <w:p w:rsidR="005C2091" w:rsidRDefault="005C2091">
      <w:pPr>
        <w:jc w:val="left"/>
      </w:pPr>
    </w:p>
    <w:p w:rsidR="005C2091" w:rsidRDefault="00A86293">
      <w:pPr>
        <w:pStyle w:val="Heading8"/>
        <w:jc w:val="left"/>
      </w:pPr>
      <w:r>
        <w:t>Zakonske i druge pravne osnove</w:t>
      </w:r>
    </w:p>
    <w:p w:rsidR="005C2091" w:rsidRDefault="00A86293">
      <w:r>
        <w:t>Zakon o vodama („Narodne novine“, broj 153/09.63/11, 130/11, 56/13, i 14/14); Zakon o financiranju vodnoga gospodarstva („Narodne novine“, broj 153/09, 90/11, 56/19, 154/14 i 119/15); Strategija upravljanja vodama („Narodne novine“, broj 91/08); Nacionalni projekt navodnjavanja i gospodarenja poljoprivrednim zemljištem i vodama u Republici Hrvatskoj – NAPNAV (Agronomski i Građevinski fakultet Sveučilišta u Zagrebu, srpanj 2005.); Pravilnik o upravljanju i uređenju sustava za navodnjavanje („Narodne novine“, broj 83/10 i 78/14)., Pravilnik o provedbi mjere M04. „Ulaganja u fizičku imovinu“. Podmjera 4.3. „Potpora o za ulaganja u infrastrukturu vezano uz razvoj, modernizaciju i prilagodbu poljoprivrede i šumarstva“, tip operacije 4.3.1. „Investicije u osnovnu infrastrukturu javnog navodnjavanja“ iz Program ruralnog razvoja Republike Hrvatske za razdoblje 2014.-2020. („Narodne novine“, broj 62/16)</w:t>
      </w:r>
    </w:p>
    <w:p w:rsidR="005C2091" w:rsidRDefault="00A86293">
      <w:pPr>
        <w:pStyle w:val="Heading8"/>
        <w:jc w:val="left"/>
      </w:pPr>
      <w:r>
        <w:t>Opis aktivnosti</w:t>
      </w:r>
    </w:p>
    <w:p w:rsidR="005C2091" w:rsidRDefault="00A86293">
      <w:r>
        <w:t>Aktivnost obuhvaća izradu detaljne projektne dokumentacije za nacionalni pilot projekt navodnjavanja Donja Neretva.</w:t>
      </w:r>
    </w:p>
    <w:p w:rsidR="00497844" w:rsidRDefault="00497844"/>
    <w:p w:rsidR="00497844" w:rsidRDefault="00497844"/>
    <w:p w:rsidR="00497844" w:rsidRDefault="00497844"/>
    <w:p w:rsidR="00497844" w:rsidRDefault="00497844"/>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9"/>
        <w:gridCol w:w="2480"/>
        <w:gridCol w:w="1006"/>
        <w:gridCol w:w="1014"/>
        <w:gridCol w:w="1198"/>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izgrađenih vodnih građevina za navodnjavanje osim kanalske mreže</w:t>
            </w:r>
          </w:p>
        </w:tc>
        <w:tc>
          <w:tcPr>
            <w:tcW w:w="2551" w:type="dxa"/>
          </w:tcPr>
          <w:p w:rsidR="005C2091" w:rsidRDefault="00A86293">
            <w:pPr>
              <w:pStyle w:val="CellColumn"/>
              <w:jc w:val="left"/>
            </w:pPr>
            <w:r>
              <w:rPr>
                <w:rFonts w:cs="Times New Roman"/>
              </w:rPr>
              <w:t>Broj izgrađenih vodnih građevina za navodnjavanje osim kanalske mreže</w:t>
            </w:r>
          </w:p>
        </w:tc>
        <w:tc>
          <w:tcPr>
            <w:tcW w:w="1020" w:type="dxa"/>
          </w:tcPr>
          <w:p w:rsidR="005C2091" w:rsidRDefault="00A86293">
            <w:pPr>
              <w:pStyle w:val="CellColumn"/>
              <w:jc w:val="right"/>
            </w:pPr>
            <w:r>
              <w:rPr>
                <w:rFonts w:cs="Times New Roman"/>
              </w:rPr>
              <w:t>komad</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Izvještaj o Provedbi NAPNAV-a (25.07.2016.) ; Strateški plan</w:t>
            </w:r>
          </w:p>
        </w:tc>
        <w:tc>
          <w:tcPr>
            <w:tcW w:w="1020" w:type="dxa"/>
          </w:tcPr>
          <w:p w:rsidR="005C2091" w:rsidRDefault="00A86293">
            <w:pPr>
              <w:pStyle w:val="CellColumn"/>
              <w:jc w:val="right"/>
            </w:pPr>
            <w:r>
              <w:rPr>
                <w:rFonts w:cs="Times New Roman"/>
              </w:rPr>
              <w:t>17</w:t>
            </w:r>
          </w:p>
        </w:tc>
        <w:tc>
          <w:tcPr>
            <w:tcW w:w="1020" w:type="dxa"/>
          </w:tcPr>
          <w:p w:rsidR="005C2091" w:rsidRDefault="00A86293">
            <w:pPr>
              <w:pStyle w:val="CellColumn"/>
              <w:jc w:val="right"/>
            </w:pPr>
            <w:r>
              <w:rPr>
                <w:rFonts w:cs="Times New Roman"/>
              </w:rPr>
              <w:t>17</w:t>
            </w:r>
          </w:p>
        </w:tc>
      </w:tr>
    </w:tbl>
    <w:p w:rsidR="005C2091" w:rsidRDefault="005C2091">
      <w:pPr>
        <w:jc w:val="left"/>
      </w:pPr>
    </w:p>
    <w:p w:rsidR="005C2091" w:rsidRDefault="00A86293">
      <w:pPr>
        <w:pStyle w:val="Heading4"/>
      </w:pPr>
      <w:r>
        <w:t>T568108 SUSTAV ZA NAVODNJAVANJE</w:t>
      </w:r>
    </w:p>
    <w:tbl>
      <w:tblPr>
        <w:tblStyle w:val="StilTablice"/>
        <w:tblW w:w="10206" w:type="dxa"/>
        <w:jc w:val="center"/>
        <w:tblLook w:val="04A0" w:firstRow="1" w:lastRow="0" w:firstColumn="1" w:lastColumn="0" w:noHBand="0" w:noVBand="1"/>
      </w:tblPr>
      <w:tblGrid>
        <w:gridCol w:w="1837"/>
        <w:gridCol w:w="1985"/>
        <w:gridCol w:w="1979"/>
        <w:gridCol w:w="1979"/>
        <w:gridCol w:w="1210"/>
        <w:gridCol w:w="121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T568108-SUSTAV ZA NAVODNJAVANJE</w:t>
            </w:r>
          </w:p>
        </w:tc>
        <w:tc>
          <w:tcPr>
            <w:tcW w:w="2041" w:type="dxa"/>
          </w:tcPr>
          <w:p w:rsidR="005C2091" w:rsidRDefault="00A86293">
            <w:pPr>
              <w:pStyle w:val="CellColumn"/>
              <w:jc w:val="right"/>
            </w:pPr>
            <w:r>
              <w:rPr>
                <w:rFonts w:cs="Times New Roman"/>
              </w:rPr>
              <w:t>13.535.504</w:t>
            </w:r>
          </w:p>
        </w:tc>
        <w:tc>
          <w:tcPr>
            <w:tcW w:w="2041" w:type="dxa"/>
          </w:tcPr>
          <w:p w:rsidR="005C2091" w:rsidRDefault="00A86293">
            <w:pPr>
              <w:pStyle w:val="CellColumn"/>
              <w:jc w:val="right"/>
            </w:pPr>
            <w:r>
              <w:rPr>
                <w:rFonts w:cs="Times New Roman"/>
              </w:rPr>
              <w:t>5.512.788</w:t>
            </w:r>
          </w:p>
        </w:tc>
        <w:tc>
          <w:tcPr>
            <w:tcW w:w="2041" w:type="dxa"/>
          </w:tcPr>
          <w:p w:rsidR="005C2091" w:rsidRDefault="00A86293">
            <w:pPr>
              <w:pStyle w:val="CellColumn"/>
              <w:jc w:val="right"/>
            </w:pPr>
            <w:r>
              <w:rPr>
                <w:rFonts w:cs="Times New Roman"/>
              </w:rPr>
              <w:t>5.512.786</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40,7</w:t>
            </w:r>
          </w:p>
        </w:tc>
      </w:tr>
    </w:tbl>
    <w:p w:rsidR="005C2091" w:rsidRDefault="005C2091">
      <w:pPr>
        <w:jc w:val="left"/>
      </w:pPr>
    </w:p>
    <w:p w:rsidR="005C2091" w:rsidRDefault="00A86293">
      <w:pPr>
        <w:pStyle w:val="Heading8"/>
        <w:jc w:val="left"/>
      </w:pPr>
      <w:r>
        <w:t>Zakonske i druge pravne osnove</w:t>
      </w:r>
    </w:p>
    <w:p w:rsidR="005C2091" w:rsidRDefault="00A86293">
      <w:r>
        <w:t>Zakon o vodama („Narodne novine“, broj 153/09.63/11, 130/11, 56/13, i 14/14); Zakon o financiranju vodnoga gospodarstva („Narodne novine“, broj 153/09, 90/11, 56/19, 154/14 i 119/15); Strategija upravljanja vodama („Narodne novine“, broj 91/08); Nacionalni projekt navodnjavanja i gospodarenja poljoprivrednim zemljištem i vodama u Republici Hrvatskoj – NAPNAV (Agronomski i Građevinski fakultet Sveučilišta u Zagrebu, srpanj 2005.); Pravilnik o upravljanju i uređenju sustava za navodnjavanje („Narodne novine“, broj 83/10 i 78/14)., Pravilnik o provedbi mjere M04. „Ulaganja u fizičku imovinu“. Podmjera 4.3. „Potpora o za ulaganja u infrastrukturu vezano uz razvoj, modernizaciju i prilagodbu poljoprivrede i šumarstva“, tip operacije 4.3.1. „Investicije u osnovnu infrastrukturu javnog navodnjavanja“ iz Program ruralnog razvoja Republike Hrvatske za razdoblje 2014.-2020. („Narodne novine“, broj 62/16)</w:t>
      </w:r>
    </w:p>
    <w:p w:rsidR="005C2091" w:rsidRDefault="00A86293">
      <w:pPr>
        <w:pStyle w:val="Heading8"/>
        <w:jc w:val="left"/>
      </w:pPr>
      <w:r>
        <w:t>Opis aktivnosti</w:t>
      </w:r>
    </w:p>
    <w:p w:rsidR="005C2091" w:rsidRDefault="00A86293">
      <w:r>
        <w:t>Aktivnost obuhvaća financiranje izrade studijske i projektne dokumentacije za sustave javnog navodnjavanja kao pripremu za ishođenje potrebnih dozvola za gradnju i prijavu projekata javnog navodnjavanja za financiranje sredstvima Europskog poljoprivrednog fonda za ruralni razvoj, putem Programa ruralnog razvoja Republike Hrvatske za razdoblje 2014-2020., kroz natječaje Agencije za plaćanje u poljoprivredi, ribarstvu i ruralnom razvoju, za provedbu podmjere 4.3. “Potpora za ulaganja u infrastrukturu vezano uz razvoj, modernizaciju i prilagodbu poljoprivrede i šumarstva”, tip operacije 4.3.1. “Investicije u osnovnu infrastrukturu javnog navodnjavanja”.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9"/>
        <w:gridCol w:w="2480"/>
        <w:gridCol w:w="1006"/>
        <w:gridCol w:w="1014"/>
        <w:gridCol w:w="1198"/>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izgrađenih vodnih građevina za navodnjavanje osim kanalske mreže</w:t>
            </w:r>
          </w:p>
        </w:tc>
        <w:tc>
          <w:tcPr>
            <w:tcW w:w="2551" w:type="dxa"/>
          </w:tcPr>
          <w:p w:rsidR="005C2091" w:rsidRDefault="00A86293">
            <w:pPr>
              <w:pStyle w:val="CellColumn"/>
              <w:jc w:val="left"/>
            </w:pPr>
            <w:r>
              <w:rPr>
                <w:rFonts w:cs="Times New Roman"/>
              </w:rPr>
              <w:t>Broj izgrađenih vodnih građevina za navodnjavanje osim kanalske mreže</w:t>
            </w:r>
          </w:p>
        </w:tc>
        <w:tc>
          <w:tcPr>
            <w:tcW w:w="1020" w:type="dxa"/>
          </w:tcPr>
          <w:p w:rsidR="005C2091" w:rsidRDefault="00A86293">
            <w:pPr>
              <w:pStyle w:val="CellColumn"/>
              <w:jc w:val="right"/>
            </w:pPr>
            <w:r>
              <w:rPr>
                <w:rFonts w:cs="Times New Roman"/>
              </w:rPr>
              <w:t>komad</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Izvještaj o Provedbi NAPNAV-a (25.07.2016.) ; Strateški plan</w:t>
            </w:r>
          </w:p>
        </w:tc>
        <w:tc>
          <w:tcPr>
            <w:tcW w:w="1020" w:type="dxa"/>
          </w:tcPr>
          <w:p w:rsidR="005C2091" w:rsidRDefault="00A86293">
            <w:pPr>
              <w:pStyle w:val="CellColumn"/>
              <w:jc w:val="right"/>
            </w:pPr>
            <w:r>
              <w:rPr>
                <w:rFonts w:cs="Times New Roman"/>
              </w:rPr>
              <w:t>17</w:t>
            </w:r>
          </w:p>
        </w:tc>
        <w:tc>
          <w:tcPr>
            <w:tcW w:w="1020" w:type="dxa"/>
          </w:tcPr>
          <w:p w:rsidR="005C2091" w:rsidRDefault="00A86293">
            <w:pPr>
              <w:pStyle w:val="CellColumn"/>
              <w:jc w:val="right"/>
            </w:pPr>
            <w:r>
              <w:rPr>
                <w:rFonts w:cs="Times New Roman"/>
              </w:rPr>
              <w:t>17</w:t>
            </w:r>
          </w:p>
        </w:tc>
      </w:tr>
    </w:tbl>
    <w:p w:rsidR="005C2091" w:rsidRDefault="005C2091">
      <w:pPr>
        <w:jc w:val="left"/>
      </w:pPr>
    </w:p>
    <w:p w:rsidR="005C2091" w:rsidRDefault="00A86293">
      <w:pPr>
        <w:pStyle w:val="Heading3"/>
      </w:pPr>
      <w:r>
        <w:rPr>
          <w:rFonts w:cs="Times New Roman"/>
        </w:rPr>
        <w:t>3207 POTICANJE RAZVOJA INDUSTRIJSKE PRERADE DRVA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3207-POTICANJE RAZVOJA INDUSTRIJSKE PRERADE DRVA</w:t>
            </w:r>
          </w:p>
        </w:tc>
        <w:tc>
          <w:tcPr>
            <w:tcW w:w="2041" w:type="dxa"/>
          </w:tcPr>
          <w:p w:rsidR="005C2091" w:rsidRDefault="00A86293">
            <w:pPr>
              <w:pStyle w:val="CellColumn"/>
              <w:jc w:val="right"/>
            </w:pPr>
            <w:r>
              <w:rPr>
                <w:rFonts w:cs="Times New Roman"/>
              </w:rPr>
              <w:t>33.342</w:t>
            </w:r>
          </w:p>
        </w:tc>
        <w:tc>
          <w:tcPr>
            <w:tcW w:w="2041" w:type="dxa"/>
          </w:tcPr>
          <w:p w:rsidR="005C2091" w:rsidRDefault="00A86293">
            <w:pPr>
              <w:pStyle w:val="CellColumn"/>
              <w:jc w:val="right"/>
            </w:pPr>
            <w:r>
              <w:rPr>
                <w:rFonts w:cs="Times New Roman"/>
              </w:rPr>
              <w:t>9.465.141</w:t>
            </w:r>
          </w:p>
        </w:tc>
        <w:tc>
          <w:tcPr>
            <w:tcW w:w="2041" w:type="dxa"/>
          </w:tcPr>
          <w:p w:rsidR="005C2091" w:rsidRDefault="00A86293">
            <w:pPr>
              <w:pStyle w:val="CellColumn"/>
              <w:jc w:val="right"/>
            </w:pPr>
            <w:r>
              <w:rPr>
                <w:rFonts w:cs="Times New Roman"/>
              </w:rPr>
              <w:t>8.036.337</w:t>
            </w:r>
          </w:p>
        </w:tc>
        <w:tc>
          <w:tcPr>
            <w:tcW w:w="1224" w:type="dxa"/>
          </w:tcPr>
          <w:p w:rsidR="005C2091" w:rsidRDefault="00A86293">
            <w:pPr>
              <w:pStyle w:val="CellColumn"/>
              <w:jc w:val="right"/>
            </w:pPr>
            <w:r>
              <w:rPr>
                <w:rFonts w:cs="Times New Roman"/>
              </w:rPr>
              <w:t>84,9</w:t>
            </w:r>
          </w:p>
        </w:tc>
        <w:tc>
          <w:tcPr>
            <w:tcW w:w="1224" w:type="dxa"/>
          </w:tcPr>
          <w:p w:rsidR="005C2091" w:rsidRDefault="00A86293">
            <w:pPr>
              <w:pStyle w:val="CellColumn"/>
              <w:jc w:val="right"/>
            </w:pPr>
            <w:r>
              <w:rPr>
                <w:rFonts w:cs="Times New Roman"/>
              </w:rPr>
              <w:t>24102,6</w:t>
            </w:r>
          </w:p>
        </w:tc>
      </w:tr>
    </w:tbl>
    <w:p w:rsidR="005C2091" w:rsidRDefault="005C2091">
      <w:pPr>
        <w:jc w:val="left"/>
      </w:pPr>
    </w:p>
    <w:p w:rsidR="005C2091" w:rsidRDefault="00A86293">
      <w:r>
        <w:t>Program je usmjeren na poticanje rasta i razvoja ekonomskih djelatnosti prerade drva i  proizvodnje namještaja u funkciji njihovog održivog razvoja i konkurentnosti. Svrha programa je proizvodnja proizvoda veće dodane vrijednosti, prilagođavanje tržišnim uvjetima, ravnomjeran razvoj djelatnosti na području RH te poticanje znanja i izvrsnosti kao pokretača dugoročnog gospodarskog razvoja.</w:t>
      </w:r>
    </w:p>
    <w:p w:rsidR="005C2091" w:rsidRDefault="00A86293">
      <w:pPr>
        <w:pStyle w:val="Heading8"/>
        <w:jc w:val="left"/>
      </w:pPr>
      <w:r>
        <w:t xml:space="preserve">Cilj 1. Povećanje konkurentnosti prerade drva i proizvodnje namještaja  </w:t>
      </w:r>
    </w:p>
    <w:p w:rsidR="005C2091" w:rsidRDefault="00A86293">
      <w:pPr>
        <w:pStyle w:val="Heading8"/>
        <w:jc w:val="left"/>
      </w:pPr>
      <w:r>
        <w:t>Opis provedbe cilja programa</w:t>
      </w:r>
    </w:p>
    <w:p w:rsidR="005C2091" w:rsidRDefault="00A86293">
      <w:r>
        <w:t>Prerada drva i proizvodnja namještaja imaju komparativne prednosti, i to dugogodišnju tradiciju, visok potencijal domaće sirovine, potencijal lokacije, relativno niska ulaganja u pojedine poslovne procese te dobru prostornu raspoređenost poslovnih subjekata te je cilj pretvaranje istih u konkurentske prednosti.</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Postotno povećanje izvoza i indeksa pokrivenosti uvoza izvozom drva, proizvoda od drva i namještaja</w:t>
            </w:r>
          </w:p>
        </w:tc>
        <w:tc>
          <w:tcPr>
            <w:tcW w:w="2551" w:type="dxa"/>
          </w:tcPr>
          <w:p w:rsidR="005C2091" w:rsidRDefault="00A86293">
            <w:pPr>
              <w:pStyle w:val="CellColumn"/>
              <w:jc w:val="left"/>
            </w:pPr>
            <w:r>
              <w:rPr>
                <w:rFonts w:cs="Times New Roman"/>
              </w:rPr>
              <w:t>Relativni odnosi uvoza i izvoza iskazani pokrivenošću uvoza izvozom čiji pokazatelj mjeri sposobnost zemlje da održava ravnotežu u robnoj razmjeni.</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Državni zavod za statistiku</w:t>
            </w:r>
          </w:p>
        </w:tc>
        <w:tc>
          <w:tcPr>
            <w:tcW w:w="1020" w:type="dxa"/>
          </w:tcPr>
          <w:p w:rsidR="005C2091" w:rsidRDefault="00A86293">
            <w:pPr>
              <w:pStyle w:val="CellColumn"/>
              <w:jc w:val="right"/>
            </w:pPr>
            <w:r>
              <w:rPr>
                <w:rFonts w:cs="Times New Roman"/>
              </w:rPr>
              <w:t>105</w:t>
            </w:r>
          </w:p>
        </w:tc>
        <w:tc>
          <w:tcPr>
            <w:tcW w:w="1020" w:type="dxa"/>
          </w:tcPr>
          <w:p w:rsidR="005C2091" w:rsidRDefault="00A86293">
            <w:pPr>
              <w:pStyle w:val="CellColumn"/>
              <w:jc w:val="right"/>
            </w:pPr>
            <w:r>
              <w:rPr>
                <w:rFonts w:cs="Times New Roman"/>
              </w:rPr>
              <w:t>105</w:t>
            </w:r>
          </w:p>
        </w:tc>
      </w:tr>
    </w:tbl>
    <w:p w:rsidR="005C2091" w:rsidRDefault="005C2091">
      <w:pPr>
        <w:jc w:val="left"/>
      </w:pPr>
    </w:p>
    <w:p w:rsidR="005C2091" w:rsidRDefault="00A86293">
      <w:pPr>
        <w:pStyle w:val="Heading4"/>
      </w:pPr>
      <w:r>
        <w:t>A819039 AKTIVNOSTI ZA ODRŽIVI RAZVOJ DRVNE INDUSTRIJE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A819039-AKTIVNOSTI ZA ODRŽIVI RAZVOJ DRVNE INDUSTRIJE</w:t>
            </w:r>
          </w:p>
        </w:tc>
        <w:tc>
          <w:tcPr>
            <w:tcW w:w="2041" w:type="dxa"/>
          </w:tcPr>
          <w:p w:rsidR="005C2091" w:rsidRDefault="00A86293">
            <w:pPr>
              <w:pStyle w:val="CellColumn"/>
              <w:jc w:val="right"/>
            </w:pPr>
            <w:r>
              <w:rPr>
                <w:rFonts w:cs="Times New Roman"/>
              </w:rPr>
              <w:t>33.042</w:t>
            </w:r>
          </w:p>
        </w:tc>
        <w:tc>
          <w:tcPr>
            <w:tcW w:w="2041" w:type="dxa"/>
          </w:tcPr>
          <w:p w:rsidR="005C2091" w:rsidRDefault="00A86293">
            <w:pPr>
              <w:pStyle w:val="CellColumn"/>
              <w:jc w:val="right"/>
            </w:pPr>
            <w:r>
              <w:rPr>
                <w:rFonts w:cs="Times New Roman"/>
              </w:rPr>
              <w:t>73.166</w:t>
            </w:r>
          </w:p>
        </w:tc>
        <w:tc>
          <w:tcPr>
            <w:tcW w:w="2041" w:type="dxa"/>
          </w:tcPr>
          <w:p w:rsidR="005C2091" w:rsidRDefault="00A86293">
            <w:pPr>
              <w:pStyle w:val="CellColumn"/>
              <w:jc w:val="right"/>
            </w:pPr>
            <w:r>
              <w:rPr>
                <w:rFonts w:cs="Times New Roman"/>
              </w:rPr>
              <w:t>59.951</w:t>
            </w:r>
          </w:p>
        </w:tc>
        <w:tc>
          <w:tcPr>
            <w:tcW w:w="1224" w:type="dxa"/>
          </w:tcPr>
          <w:p w:rsidR="005C2091" w:rsidRDefault="00A86293">
            <w:pPr>
              <w:pStyle w:val="CellColumn"/>
              <w:jc w:val="right"/>
            </w:pPr>
            <w:r>
              <w:rPr>
                <w:rFonts w:cs="Times New Roman"/>
              </w:rPr>
              <w:t>81,9</w:t>
            </w:r>
          </w:p>
        </w:tc>
        <w:tc>
          <w:tcPr>
            <w:tcW w:w="1224" w:type="dxa"/>
          </w:tcPr>
          <w:p w:rsidR="005C2091" w:rsidRDefault="00A86293">
            <w:pPr>
              <w:pStyle w:val="CellColumn"/>
              <w:jc w:val="right"/>
            </w:pPr>
            <w:r>
              <w:rPr>
                <w:rFonts w:cs="Times New Roman"/>
              </w:rPr>
              <w:t>181,4</w:t>
            </w:r>
          </w:p>
        </w:tc>
      </w:tr>
    </w:tbl>
    <w:p w:rsidR="005C2091" w:rsidRDefault="005C2091">
      <w:pPr>
        <w:jc w:val="left"/>
      </w:pPr>
    </w:p>
    <w:p w:rsidR="005C2091" w:rsidRDefault="00A86293">
      <w:pPr>
        <w:pStyle w:val="Heading8"/>
        <w:jc w:val="left"/>
      </w:pPr>
      <w:r>
        <w:t>Zakonske i druge pravne osnove</w:t>
      </w:r>
    </w:p>
    <w:p w:rsidR="005C2091" w:rsidRDefault="00A86293">
      <w:r>
        <w:t>Zakon o provedbi Uredbi Europske unije u vezi s trgovinom ilegalno posječenim drvom i proizvodima od takvog drva („Narodne novine“, broj 54/2013).</w:t>
      </w:r>
    </w:p>
    <w:p w:rsidR="005C2091" w:rsidRDefault="00A86293">
      <w:pPr>
        <w:pStyle w:val="Heading8"/>
        <w:jc w:val="left"/>
      </w:pPr>
      <w:r>
        <w:t>Opis aktivnosti</w:t>
      </w:r>
    </w:p>
    <w:p w:rsidR="005C2091" w:rsidRDefault="00A86293">
      <w:r>
        <w:t>Aktivnost je usmjerena na uređivanje područja proizvodnje i prometa drvom i proizvodima od drva djelatnosti prerade drva i proizvodnje namještaja sukladno nacionalnom zakonodavstvu RH kao i nacionalnom zakonodavstvu zemalja s kojima se obavlja vanjsko trgovinska razmjena.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382"/>
        <w:gridCol w:w="2359"/>
        <w:gridCol w:w="1004"/>
        <w:gridCol w:w="1125"/>
        <w:gridCol w:w="1192"/>
        <w:gridCol w:w="1137"/>
        <w:gridCol w:w="1007"/>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Izrada i donošenje zakonodavnog okvira za djelatnosti prerade drva, proizvoda od drva i namještaja</w:t>
            </w:r>
          </w:p>
        </w:tc>
        <w:tc>
          <w:tcPr>
            <w:tcW w:w="2551" w:type="dxa"/>
          </w:tcPr>
          <w:p w:rsidR="005C2091" w:rsidRDefault="00A86293">
            <w:pPr>
              <w:pStyle w:val="CellColumn"/>
              <w:jc w:val="left"/>
            </w:pPr>
            <w:r>
              <w:rPr>
                <w:rFonts w:cs="Times New Roman"/>
              </w:rPr>
              <w:t>Zakonski okvir za sprječavanje stavljanja u promet na unutarnje tržište nezakonito posječenog drva i proizvoda od takvog drva.</w:t>
            </w:r>
          </w:p>
        </w:tc>
        <w:tc>
          <w:tcPr>
            <w:tcW w:w="1020" w:type="dxa"/>
          </w:tcPr>
          <w:p w:rsidR="005C2091" w:rsidRDefault="00A86293">
            <w:pPr>
              <w:pStyle w:val="CellColumn"/>
              <w:jc w:val="right"/>
            </w:pPr>
            <w:r>
              <w:rPr>
                <w:rFonts w:cs="Times New Roman"/>
              </w:rPr>
              <w:t>ima/nema</w:t>
            </w:r>
          </w:p>
        </w:tc>
        <w:tc>
          <w:tcPr>
            <w:tcW w:w="1020" w:type="dxa"/>
          </w:tcPr>
          <w:p w:rsidR="005C2091" w:rsidRDefault="00A86293">
            <w:pPr>
              <w:pStyle w:val="CellColumn"/>
              <w:jc w:val="right"/>
            </w:pPr>
            <w:r>
              <w:rPr>
                <w:rFonts w:cs="Times New Roman"/>
              </w:rPr>
              <w:t>Zakon o provedbi Uredbi EU u vezi s trgovinom ilegalno posječenim drvom i proizvodima od takvog drva</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Podzakonski akti temeljem Zakona</w:t>
            </w:r>
          </w:p>
        </w:tc>
        <w:tc>
          <w:tcPr>
            <w:tcW w:w="1020" w:type="dxa"/>
          </w:tcPr>
          <w:p w:rsidR="005C2091" w:rsidRDefault="00A86293">
            <w:pPr>
              <w:pStyle w:val="CellColumn"/>
              <w:jc w:val="right"/>
            </w:pPr>
            <w:r>
              <w:rPr>
                <w:rFonts w:cs="Times New Roman"/>
              </w:rPr>
              <w:t>Nacrt prijedloga zakona o prometu drva i proizvoda od drva</w:t>
            </w:r>
          </w:p>
        </w:tc>
      </w:tr>
    </w:tbl>
    <w:p w:rsidR="005C2091" w:rsidRDefault="005C2091">
      <w:pPr>
        <w:jc w:val="left"/>
      </w:pPr>
    </w:p>
    <w:p w:rsidR="005C2091" w:rsidRDefault="00A86293">
      <w:pPr>
        <w:pStyle w:val="Heading4"/>
      </w:pPr>
      <w:r>
        <w:t>K828006 MJERE RAZVOJA KONKURENTNOSTI DRVNOG SEKTORA</w:t>
      </w:r>
    </w:p>
    <w:tbl>
      <w:tblPr>
        <w:tblStyle w:val="StilTablice"/>
        <w:tblW w:w="10206" w:type="dxa"/>
        <w:jc w:val="center"/>
        <w:tblLook w:val="04A0" w:firstRow="1" w:lastRow="0" w:firstColumn="1" w:lastColumn="0" w:noHBand="0" w:noVBand="1"/>
      </w:tblPr>
      <w:tblGrid>
        <w:gridCol w:w="1948"/>
        <w:gridCol w:w="1943"/>
        <w:gridCol w:w="1950"/>
        <w:gridCol w:w="1950"/>
        <w:gridCol w:w="1203"/>
        <w:gridCol w:w="121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K828006-MJERE RAZVOJA KONKURENTNOSTI DRVNOG SEKTORA</w:t>
            </w:r>
          </w:p>
        </w:tc>
        <w:tc>
          <w:tcPr>
            <w:tcW w:w="2041" w:type="dxa"/>
          </w:tcPr>
          <w:p w:rsidR="005C2091" w:rsidRDefault="00A86293">
            <w:pPr>
              <w:pStyle w:val="CellColumn"/>
              <w:jc w:val="right"/>
            </w:pPr>
            <w:r>
              <w:rPr>
                <w:rFonts w:cs="Times New Roman"/>
              </w:rPr>
              <w:t>300</w:t>
            </w:r>
          </w:p>
        </w:tc>
        <w:tc>
          <w:tcPr>
            <w:tcW w:w="2041" w:type="dxa"/>
          </w:tcPr>
          <w:p w:rsidR="005C2091" w:rsidRDefault="00A86293">
            <w:pPr>
              <w:pStyle w:val="CellColumn"/>
              <w:jc w:val="right"/>
            </w:pPr>
            <w:r>
              <w:rPr>
                <w:rFonts w:cs="Times New Roman"/>
              </w:rPr>
              <w:t>9.391.975</w:t>
            </w:r>
          </w:p>
        </w:tc>
        <w:tc>
          <w:tcPr>
            <w:tcW w:w="2041" w:type="dxa"/>
          </w:tcPr>
          <w:p w:rsidR="005C2091" w:rsidRDefault="00A86293">
            <w:pPr>
              <w:pStyle w:val="CellColumn"/>
              <w:jc w:val="right"/>
            </w:pPr>
            <w:r>
              <w:rPr>
                <w:rFonts w:cs="Times New Roman"/>
              </w:rPr>
              <w:t>7.976.386</w:t>
            </w:r>
          </w:p>
        </w:tc>
        <w:tc>
          <w:tcPr>
            <w:tcW w:w="1224" w:type="dxa"/>
          </w:tcPr>
          <w:p w:rsidR="005C2091" w:rsidRDefault="00A86293">
            <w:pPr>
              <w:pStyle w:val="CellColumn"/>
              <w:jc w:val="right"/>
            </w:pPr>
            <w:r>
              <w:rPr>
                <w:rFonts w:cs="Times New Roman"/>
              </w:rPr>
              <w:t>84,9</w:t>
            </w:r>
          </w:p>
        </w:tc>
        <w:tc>
          <w:tcPr>
            <w:tcW w:w="1224" w:type="dxa"/>
          </w:tcPr>
          <w:p w:rsidR="005C2091" w:rsidRDefault="00A86293">
            <w:pPr>
              <w:pStyle w:val="CellColumn"/>
              <w:jc w:val="right"/>
            </w:pPr>
            <w:r>
              <w:rPr>
                <w:rFonts w:cs="Times New Roman"/>
              </w:rPr>
              <w:t>2658795,3</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državnim potporama („Narodne novine“, broj 47/14). </w:t>
      </w:r>
    </w:p>
    <w:p w:rsidR="005C2091" w:rsidRDefault="00A86293">
      <w:r>
        <w:t>Uredba Komisije (EU) br. 1407/2013, od 18. prosinca 2013., o primjeni članaka 107. i 108. Ugovora o funkcioniranju Europske unije na de minimis potpore (SL EU, L352, od 24. 12. 2013. p. 1.).</w:t>
      </w:r>
    </w:p>
    <w:p w:rsidR="005C2091" w:rsidRDefault="00A86293">
      <w:pPr>
        <w:pStyle w:val="Heading8"/>
        <w:jc w:val="left"/>
      </w:pPr>
      <w:r>
        <w:t>Opis aktivnosti</w:t>
      </w:r>
    </w:p>
    <w:p w:rsidR="005C2091" w:rsidRDefault="00A86293">
      <w:r>
        <w:t xml:space="preserve">Aktivnost je usmjerena na sufinanciranje investicijskih ulaganja s ciljem poticanja razvoja prerade drva i proizvodnje namještaja kroz ulaganja u proizvodnu tehnologiju, primjenu i poboljšanje informacijske i komunikacijske tehnologije za poboljšanje poslovnih i proizvodnih procesa i za nastupe na sajmovima i izložbama.  </w:t>
      </w:r>
    </w:p>
    <w:p w:rsidR="005C2091" w:rsidRDefault="00A86293">
      <w:r>
        <w:t xml:space="preserve">Temeljem Programa potpora male vrijednosti za razvoj prerade drva i proizvodnje namještaja Republike Hrvatske za 2016. godinu, a putem javnog natječaja za dodjelu potpora male vrijednosti za poticanje razvoja prerade drva i proizvodnje namještaja Republike Hrvatske u 2016. godini, dodijeljene su potpore male vrijednosti poduzetnicima registrirane djelatnosti prema Nacionalnoj klasifikaciji djelatnosti NKD 2007. u područjima: Prerada drva i proizvoda od drva i pluta, osim namještaja; proizvodnja proizvoda od slame i pletarskih materijala (C16) i Proizvodnja namještaja (C31).  </w:t>
      </w:r>
    </w:p>
    <w:p w:rsidR="005C2091" w:rsidRDefault="00A86293">
      <w:r>
        <w:t>Aktivnost je bila usmjerena na sufinanciranje investicijskih ulaganja s ciljem poticanja razvoja prerade drva i proizvodnje namještaja kroz ulaganja u proizvodnu tehnologiju, primjenu i poboljšanje informacijske i komunikacijske tehnologije za poboljšanje poslovnih i proizvodnih procesa i za nastupe na sajmovima i izložbama. Ukupno su sufinancirana 33 investicijska ulaganja.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Rast indeksa fizičkog obujma industrije prerade drva</w:t>
            </w:r>
          </w:p>
        </w:tc>
        <w:tc>
          <w:tcPr>
            <w:tcW w:w="2551" w:type="dxa"/>
          </w:tcPr>
          <w:p w:rsidR="005C2091" w:rsidRDefault="00A86293">
            <w:pPr>
              <w:pStyle w:val="CellColumn"/>
              <w:jc w:val="left"/>
            </w:pPr>
            <w:r>
              <w:rPr>
                <w:rFonts w:cs="Times New Roman"/>
              </w:rPr>
              <w:t xml:space="preserve">Rast kratkoročnog pokazatelja poslovnog ciklusa kojim se mjere mjesečni rezultati  </w:t>
            </w:r>
          </w:p>
          <w:p w:rsidR="005C2091" w:rsidRDefault="00A86293">
            <w:pPr>
              <w:pStyle w:val="CellColumn"/>
              <w:jc w:val="left"/>
            </w:pPr>
            <w:r>
              <w:rPr>
                <w:rFonts w:cs="Times New Roman"/>
              </w:rPr>
              <w:t>sektora prerade drva</w:t>
            </w:r>
          </w:p>
        </w:tc>
        <w:tc>
          <w:tcPr>
            <w:tcW w:w="1020" w:type="dxa"/>
          </w:tcPr>
          <w:p w:rsidR="005C2091" w:rsidRDefault="00A86293">
            <w:pPr>
              <w:pStyle w:val="CellColumn"/>
              <w:jc w:val="right"/>
            </w:pPr>
            <w:r>
              <w:rPr>
                <w:rFonts w:cs="Times New Roman"/>
              </w:rPr>
              <w:t>stopa</w:t>
            </w:r>
          </w:p>
        </w:tc>
        <w:tc>
          <w:tcPr>
            <w:tcW w:w="1020" w:type="dxa"/>
          </w:tcPr>
          <w:p w:rsidR="005C2091" w:rsidRDefault="00A86293">
            <w:pPr>
              <w:pStyle w:val="CellColumn"/>
              <w:jc w:val="right"/>
            </w:pPr>
            <w:r>
              <w:rPr>
                <w:rFonts w:cs="Times New Roman"/>
              </w:rPr>
              <w:t>96,3</w:t>
            </w:r>
          </w:p>
        </w:tc>
        <w:tc>
          <w:tcPr>
            <w:tcW w:w="1020" w:type="dxa"/>
          </w:tcPr>
          <w:p w:rsidR="005C2091" w:rsidRDefault="00A86293">
            <w:pPr>
              <w:pStyle w:val="CellColumn"/>
              <w:jc w:val="right"/>
            </w:pPr>
            <w:r>
              <w:rPr>
                <w:rFonts w:cs="Times New Roman"/>
              </w:rPr>
              <w:t>Državni Zavod za statistiku</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Rast indeksa fizičkog obujma industrije prerade drva</w:t>
            </w:r>
          </w:p>
        </w:tc>
        <w:tc>
          <w:tcPr>
            <w:tcW w:w="2551" w:type="dxa"/>
          </w:tcPr>
          <w:p w:rsidR="005C2091" w:rsidRDefault="00A86293">
            <w:pPr>
              <w:pStyle w:val="CellColumn"/>
              <w:jc w:val="left"/>
            </w:pPr>
            <w:r>
              <w:rPr>
                <w:rFonts w:cs="Times New Roman"/>
              </w:rPr>
              <w:t xml:space="preserve">Rast kratkoročnog pokazatelja poslovnog ciklusa kojim se mjere mjesečni rezultati  </w:t>
            </w:r>
          </w:p>
          <w:p w:rsidR="005C2091" w:rsidRDefault="00A86293">
            <w:pPr>
              <w:pStyle w:val="CellColumn"/>
              <w:jc w:val="left"/>
            </w:pPr>
            <w:r>
              <w:rPr>
                <w:rFonts w:cs="Times New Roman"/>
              </w:rPr>
              <w:t>sektora prerade drva</w:t>
            </w:r>
          </w:p>
        </w:tc>
        <w:tc>
          <w:tcPr>
            <w:tcW w:w="1020" w:type="dxa"/>
          </w:tcPr>
          <w:p w:rsidR="005C2091" w:rsidRDefault="00A86293">
            <w:pPr>
              <w:pStyle w:val="CellColumn"/>
              <w:jc w:val="right"/>
            </w:pPr>
            <w:r>
              <w:rPr>
                <w:rFonts w:cs="Times New Roman"/>
              </w:rPr>
              <w:t>stopa</w:t>
            </w:r>
          </w:p>
        </w:tc>
        <w:tc>
          <w:tcPr>
            <w:tcW w:w="1020" w:type="dxa"/>
          </w:tcPr>
          <w:p w:rsidR="005C2091" w:rsidRDefault="00A86293">
            <w:pPr>
              <w:pStyle w:val="CellColumn"/>
              <w:jc w:val="right"/>
            </w:pPr>
            <w:r>
              <w:rPr>
                <w:rFonts w:cs="Times New Roman"/>
              </w:rPr>
              <w:t>99,2</w:t>
            </w:r>
          </w:p>
        </w:tc>
        <w:tc>
          <w:tcPr>
            <w:tcW w:w="1020" w:type="dxa"/>
          </w:tcPr>
          <w:p w:rsidR="005C2091" w:rsidRDefault="00A86293">
            <w:pPr>
              <w:pStyle w:val="CellColumn"/>
              <w:jc w:val="right"/>
            </w:pPr>
            <w:r>
              <w:rPr>
                <w:rFonts w:cs="Times New Roman"/>
              </w:rPr>
              <w:t>Državni Zavod za statistiku</w:t>
            </w:r>
          </w:p>
        </w:tc>
        <w:tc>
          <w:tcPr>
            <w:tcW w:w="1020" w:type="dxa"/>
          </w:tcPr>
          <w:p w:rsidR="005C2091" w:rsidRDefault="00A86293">
            <w:pPr>
              <w:pStyle w:val="CellColumn"/>
              <w:jc w:val="right"/>
            </w:pPr>
            <w:r>
              <w:rPr>
                <w:rFonts w:cs="Times New Roman"/>
              </w:rPr>
              <w:t>101</w:t>
            </w:r>
          </w:p>
        </w:tc>
        <w:tc>
          <w:tcPr>
            <w:tcW w:w="1020" w:type="dxa"/>
          </w:tcPr>
          <w:p w:rsidR="005C2091" w:rsidRDefault="00A86293">
            <w:pPr>
              <w:pStyle w:val="CellColumn"/>
              <w:jc w:val="right"/>
            </w:pPr>
            <w:r>
              <w:rPr>
                <w:rFonts w:cs="Times New Roman"/>
              </w:rPr>
              <w:t>101</w:t>
            </w:r>
          </w:p>
        </w:tc>
      </w:tr>
    </w:tbl>
    <w:p w:rsidR="005C2091" w:rsidRDefault="005C2091">
      <w:pPr>
        <w:jc w:val="left"/>
      </w:pPr>
    </w:p>
    <w:p w:rsidR="005C2091" w:rsidRDefault="00A86293">
      <w:pPr>
        <w:pStyle w:val="Heading3"/>
      </w:pPr>
      <w:r>
        <w:rPr>
          <w:rFonts w:cs="Times New Roman"/>
        </w:rPr>
        <w:t>3406 RAZVOJ SUSTAVA JAVNE ODVODNJE I ZAŠTITE VODA I MORA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3406-RAZVOJ SUSTAVA JAVNE ODVODNJE I ZAŠTITE VODA I MORA</w:t>
            </w:r>
          </w:p>
        </w:tc>
        <w:tc>
          <w:tcPr>
            <w:tcW w:w="2041" w:type="dxa"/>
          </w:tcPr>
          <w:p w:rsidR="005C2091" w:rsidRDefault="00A86293">
            <w:pPr>
              <w:pStyle w:val="CellColumn"/>
              <w:jc w:val="right"/>
            </w:pPr>
            <w:r>
              <w:rPr>
                <w:rFonts w:cs="Times New Roman"/>
              </w:rPr>
              <w:t>789.097.484</w:t>
            </w:r>
          </w:p>
        </w:tc>
        <w:tc>
          <w:tcPr>
            <w:tcW w:w="2041" w:type="dxa"/>
          </w:tcPr>
          <w:p w:rsidR="005C2091" w:rsidRDefault="00A86293">
            <w:pPr>
              <w:pStyle w:val="CellColumn"/>
              <w:jc w:val="right"/>
            </w:pPr>
            <w:r>
              <w:rPr>
                <w:rFonts w:cs="Times New Roman"/>
              </w:rPr>
              <w:t>925.630.586</w:t>
            </w:r>
          </w:p>
        </w:tc>
        <w:tc>
          <w:tcPr>
            <w:tcW w:w="2041" w:type="dxa"/>
          </w:tcPr>
          <w:p w:rsidR="005C2091" w:rsidRDefault="00A86293">
            <w:pPr>
              <w:pStyle w:val="CellColumn"/>
              <w:jc w:val="right"/>
            </w:pPr>
            <w:r>
              <w:rPr>
                <w:rFonts w:cs="Times New Roman"/>
              </w:rPr>
              <w:t>901.592.066</w:t>
            </w:r>
          </w:p>
        </w:tc>
        <w:tc>
          <w:tcPr>
            <w:tcW w:w="1224" w:type="dxa"/>
          </w:tcPr>
          <w:p w:rsidR="005C2091" w:rsidRDefault="00A86293">
            <w:pPr>
              <w:pStyle w:val="CellColumn"/>
              <w:jc w:val="right"/>
            </w:pPr>
            <w:r>
              <w:rPr>
                <w:rFonts w:cs="Times New Roman"/>
              </w:rPr>
              <w:t>97,4</w:t>
            </w:r>
          </w:p>
        </w:tc>
        <w:tc>
          <w:tcPr>
            <w:tcW w:w="1224" w:type="dxa"/>
          </w:tcPr>
          <w:p w:rsidR="005C2091" w:rsidRDefault="00A86293">
            <w:pPr>
              <w:pStyle w:val="CellColumn"/>
              <w:jc w:val="right"/>
            </w:pPr>
            <w:r>
              <w:rPr>
                <w:rFonts w:cs="Times New Roman"/>
              </w:rPr>
              <w:t>114,3</w:t>
            </w:r>
          </w:p>
        </w:tc>
      </w:tr>
    </w:tbl>
    <w:p w:rsidR="005C2091" w:rsidRDefault="005C2091">
      <w:pPr>
        <w:jc w:val="left"/>
      </w:pPr>
    </w:p>
    <w:p w:rsidR="005C2091" w:rsidRDefault="00A86293">
      <w:r>
        <w:t>Program se odnosi na ulaganje u rekonstrukciju i gradnju sustava javne odvodnje uključujući i pročišćavanje otpadnih voda, ulaganje u rekonstrukciju i gradnju vodnih građevina za odvodnju otpadnih voda (osim mreže), uključujući uređaje za pročišćavanje i za zbrinjavanje mulja, te pripremu projektne i studijske dokumentacije sukladno EU regulativi te apliciranjem projekata za EU fondove.</w:t>
      </w:r>
    </w:p>
    <w:p w:rsidR="005C2091" w:rsidRDefault="00A86293">
      <w:pPr>
        <w:pStyle w:val="Heading8"/>
        <w:jc w:val="left"/>
      </w:pPr>
      <w:r>
        <w:t>Cilj 1. Postizanje i očuvanje dobrog stanja voda</w:t>
      </w:r>
    </w:p>
    <w:p w:rsidR="005C2091" w:rsidRDefault="00A86293">
      <w:pPr>
        <w:pStyle w:val="Heading8"/>
        <w:jc w:val="left"/>
      </w:pPr>
      <w:r>
        <w:t>Opis provedbe cilja programa</w:t>
      </w:r>
    </w:p>
    <w:p w:rsidR="005C2091" w:rsidRDefault="00A86293">
      <w:r>
        <w:t>Cilj podrazumijeva postizanje i očuvanje dobroga stanja voda, sprečavanje onečišćenja voda, sprečavanje promjena hidromorfoloških karakteristika voda koje su pod takvim rizicima i sanaciju stanja voda gdje je ono narušeno u svrhu očuvanjazdravlja ljudi i okoliša.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17"/>
        <w:gridCol w:w="2517"/>
        <w:gridCol w:w="1015"/>
        <w:gridCol w:w="1018"/>
        <w:gridCol w:w="1103"/>
        <w:gridCol w:w="1018"/>
        <w:gridCol w:w="1018"/>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Najmanje dobro stanje svih vodnih tijela prema Planu upravljanja vodnim područjima</w:t>
            </w:r>
          </w:p>
        </w:tc>
        <w:tc>
          <w:tcPr>
            <w:tcW w:w="2551" w:type="dxa"/>
          </w:tcPr>
          <w:p w:rsidR="005C2091" w:rsidRDefault="00A86293">
            <w:pPr>
              <w:pStyle w:val="CellColumn"/>
              <w:jc w:val="left"/>
            </w:pPr>
            <w:r>
              <w:rPr>
                <w:rFonts w:cs="Times New Roman"/>
              </w:rPr>
              <w:t>Najmanje dobro stanje svih vodnih tijela prema Planu upravljanja vodnim područjima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Izvješće HV o monitoringu stanja vodnih tijela u RH</w:t>
            </w:r>
          </w:p>
        </w:tc>
        <w:tc>
          <w:tcPr>
            <w:tcW w:w="1020" w:type="dxa"/>
          </w:tcPr>
          <w:p w:rsidR="005C2091" w:rsidRDefault="00A86293">
            <w:pPr>
              <w:pStyle w:val="CellColumn"/>
              <w:jc w:val="right"/>
            </w:pPr>
            <w:r>
              <w:rPr>
                <w:rFonts w:cs="Times New Roman"/>
              </w:rPr>
              <w:t>51</w:t>
            </w:r>
          </w:p>
        </w:tc>
        <w:tc>
          <w:tcPr>
            <w:tcW w:w="1020" w:type="dxa"/>
          </w:tcPr>
          <w:p w:rsidR="005C2091" w:rsidRDefault="00A86293">
            <w:pPr>
              <w:pStyle w:val="CellColumn"/>
              <w:jc w:val="right"/>
            </w:pPr>
            <w:r>
              <w:rPr>
                <w:rFonts w:cs="Times New Roman"/>
              </w:rPr>
              <w:t>51</w:t>
            </w:r>
          </w:p>
        </w:tc>
      </w:tr>
    </w:tbl>
    <w:p w:rsidR="005C2091" w:rsidRDefault="005C2091">
      <w:pPr>
        <w:jc w:val="left"/>
      </w:pPr>
    </w:p>
    <w:p w:rsidR="005C2091" w:rsidRDefault="00A86293">
      <w:pPr>
        <w:pStyle w:val="Heading4"/>
      </w:pPr>
      <w:r>
        <w:t>A650006 ISPITIVANJE VODA NA TERITORIJU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A650006-ISPITIVANJE VODA NA TERITORIJU RH</w:t>
            </w:r>
          </w:p>
        </w:tc>
        <w:tc>
          <w:tcPr>
            <w:tcW w:w="2041" w:type="dxa"/>
          </w:tcPr>
          <w:p w:rsidR="005C2091" w:rsidRDefault="00A86293">
            <w:pPr>
              <w:pStyle w:val="CellColumn"/>
              <w:jc w:val="right"/>
            </w:pPr>
            <w:r>
              <w:rPr>
                <w:rFonts w:cs="Times New Roman"/>
              </w:rPr>
              <w:t>33.967</w:t>
            </w:r>
          </w:p>
        </w:tc>
        <w:tc>
          <w:tcPr>
            <w:tcW w:w="2041" w:type="dxa"/>
          </w:tcPr>
          <w:p w:rsidR="005C2091" w:rsidRDefault="00A86293">
            <w:pPr>
              <w:pStyle w:val="CellColumn"/>
              <w:jc w:val="right"/>
            </w:pPr>
            <w:r>
              <w:rPr>
                <w:rFonts w:cs="Times New Roman"/>
              </w:rPr>
              <w:t>11.517</w:t>
            </w:r>
          </w:p>
        </w:tc>
        <w:tc>
          <w:tcPr>
            <w:tcW w:w="2041" w:type="dxa"/>
          </w:tcPr>
          <w:p w:rsidR="005C2091" w:rsidRDefault="00A86293">
            <w:pPr>
              <w:pStyle w:val="CellColumn"/>
              <w:jc w:val="right"/>
            </w:pPr>
            <w:r>
              <w:rPr>
                <w:rFonts w:cs="Times New Roman"/>
              </w:rPr>
              <w:t>11.316</w:t>
            </w:r>
          </w:p>
        </w:tc>
        <w:tc>
          <w:tcPr>
            <w:tcW w:w="1224" w:type="dxa"/>
          </w:tcPr>
          <w:p w:rsidR="005C2091" w:rsidRDefault="00A86293">
            <w:pPr>
              <w:pStyle w:val="CellColumn"/>
              <w:jc w:val="right"/>
            </w:pPr>
            <w:r>
              <w:rPr>
                <w:rFonts w:cs="Times New Roman"/>
              </w:rPr>
              <w:t>98,3</w:t>
            </w:r>
          </w:p>
        </w:tc>
        <w:tc>
          <w:tcPr>
            <w:tcW w:w="1224" w:type="dxa"/>
          </w:tcPr>
          <w:p w:rsidR="005C2091" w:rsidRDefault="00A86293">
            <w:pPr>
              <w:pStyle w:val="CellColumn"/>
              <w:jc w:val="right"/>
            </w:pPr>
            <w:r>
              <w:rPr>
                <w:rFonts w:cs="Times New Roman"/>
              </w:rPr>
              <w:t>33,3</w:t>
            </w:r>
          </w:p>
        </w:tc>
      </w:tr>
    </w:tbl>
    <w:p w:rsidR="005C2091" w:rsidRDefault="005C2091">
      <w:pPr>
        <w:jc w:val="left"/>
      </w:pPr>
    </w:p>
    <w:p w:rsidR="005C2091" w:rsidRDefault="00A86293">
      <w:pPr>
        <w:pStyle w:val="Heading8"/>
        <w:jc w:val="left"/>
      </w:pPr>
      <w:r>
        <w:t>Zakonske i druge pravne osnove</w:t>
      </w:r>
    </w:p>
    <w:p w:rsidR="005C2091" w:rsidRDefault="00A86293">
      <w:r>
        <w:t>članci 220. i 221. Zakona o vodama (Narodne novine, br. 153/09, 63/11, 130/11, 56/13 i 14/14) i članak 13. Pravilnika o posebnim uvjetima za obavljanje djelatnosti uzimanja uzoraka i ispitivanja voda (Narodne novine, br. 74/13 i 140/15).</w:t>
      </w:r>
    </w:p>
    <w:p w:rsidR="005C2091" w:rsidRDefault="00A86293">
      <w:pPr>
        <w:pStyle w:val="Heading8"/>
        <w:jc w:val="left"/>
      </w:pPr>
      <w:r>
        <w:t>Opis aktivnosti</w:t>
      </w:r>
    </w:p>
    <w:p w:rsidR="005C2091" w:rsidRDefault="00A86293">
      <w:r>
        <w:t>Ovom aktivnošću se osiguravaju financijska sredstva za financiranje stručnih osoba izvan Ministarstva koje sudjeluju u radu povjerenstva, a koje imaju potreba znanja za ocjenu ispunjavanja posebnih uvjeta u postupku ovlašćivanja laboratorija za obavljanje posebne djelatnosti za potrebe upravljanja vodama - uzimanje uzoraka i ispitivanja voda. Isto tako predviđena je isplata naknade za rad u povjerenstvima za donošenje zakonskih i podzakonskih propisa iz područja vodnoga gospodarstva.</w:t>
      </w:r>
    </w:p>
    <w:p w:rsidR="005C2091" w:rsidRDefault="00A86293">
      <w:pPr>
        <w:pStyle w:val="Heading4"/>
      </w:pPr>
      <w:r>
        <w:t>A650016 USKLAĐIVANJE PROPISA RH SA PROPISIMA EU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A650016-USKLAĐIVANJE PROPISA RH SA PROPISIMA EU</w:t>
            </w:r>
          </w:p>
        </w:tc>
        <w:tc>
          <w:tcPr>
            <w:tcW w:w="2041" w:type="dxa"/>
          </w:tcPr>
          <w:p w:rsidR="005C2091" w:rsidRDefault="00A86293">
            <w:pPr>
              <w:pStyle w:val="CellColumn"/>
              <w:jc w:val="right"/>
            </w:pPr>
            <w:r>
              <w:rPr>
                <w:rFonts w:cs="Times New Roman"/>
              </w:rPr>
              <w:t>501.210</w:t>
            </w:r>
          </w:p>
        </w:tc>
        <w:tc>
          <w:tcPr>
            <w:tcW w:w="2041" w:type="dxa"/>
          </w:tcPr>
          <w:p w:rsidR="005C2091" w:rsidRDefault="00A86293">
            <w:pPr>
              <w:pStyle w:val="CellColumn"/>
              <w:jc w:val="right"/>
            </w:pPr>
            <w:r>
              <w:rPr>
                <w:rFonts w:cs="Times New Roman"/>
              </w:rPr>
              <w:t>119.000</w:t>
            </w:r>
          </w:p>
        </w:tc>
        <w:tc>
          <w:tcPr>
            <w:tcW w:w="2041" w:type="dxa"/>
          </w:tcPr>
          <w:p w:rsidR="005C2091" w:rsidRDefault="00A86293">
            <w:pPr>
              <w:pStyle w:val="CellColumn"/>
              <w:jc w:val="right"/>
            </w:pPr>
            <w:r>
              <w:rPr>
                <w:rFonts w:cs="Times New Roman"/>
              </w:rPr>
              <w:t>119.000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23,7</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vodama (Narodne novine, br. 153/09, 63/11, 130/11, 56/13 i 14/14) </w:t>
      </w:r>
    </w:p>
    <w:p w:rsidR="005C2091" w:rsidRDefault="00A86293">
      <w:r>
        <w:t>Zakon o zaštiti okoliša (Narodne novine, br. 80/13, 153/13 i 78/15)</w:t>
      </w:r>
    </w:p>
    <w:p w:rsidR="005C2091" w:rsidRDefault="00A86293">
      <w:pPr>
        <w:pStyle w:val="Heading8"/>
        <w:jc w:val="left"/>
      </w:pPr>
      <w:r>
        <w:t>Opis aktivnosti</w:t>
      </w:r>
    </w:p>
    <w:p w:rsidR="005C2091" w:rsidRDefault="00A86293">
      <w:r>
        <w:t>Usklađivanje propisa RH sa EU- aktivnost se odnosila na osiguranje sredstava za izradu Strateške studije utjecaja Plana upravljanja vodnim područjima (2016.-2021.) na okoliš</w:t>
      </w:r>
    </w:p>
    <w:p w:rsidR="005C2091" w:rsidRDefault="00A86293">
      <w:pPr>
        <w:pStyle w:val="Heading4"/>
      </w:pPr>
      <w:r>
        <w:t>A650019 SMANJIVANJE NUTRIJENATA U SLIVU RIJEKE DUNAV</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A650019-SMANJIVANJE NUTRIJENATA U SLIVU RIJEKE DUNAV</w:t>
            </w:r>
          </w:p>
        </w:tc>
        <w:tc>
          <w:tcPr>
            <w:tcW w:w="2041" w:type="dxa"/>
          </w:tcPr>
          <w:p w:rsidR="005C2091" w:rsidRDefault="00A86293">
            <w:pPr>
              <w:pStyle w:val="CellColumn"/>
              <w:jc w:val="right"/>
            </w:pPr>
            <w:r>
              <w:rPr>
                <w:rFonts w:cs="Times New Roman"/>
              </w:rPr>
              <w:t>752.321</w:t>
            </w:r>
          </w:p>
        </w:tc>
        <w:tc>
          <w:tcPr>
            <w:tcW w:w="2041" w:type="dxa"/>
          </w:tcPr>
          <w:p w:rsidR="005C2091" w:rsidRDefault="00A86293">
            <w:pPr>
              <w:pStyle w:val="CellColumn"/>
              <w:jc w:val="right"/>
            </w:pPr>
            <w:r>
              <w:rPr>
                <w:rFonts w:cs="Times New Roman"/>
              </w:rPr>
              <w:t>738.942</w:t>
            </w:r>
          </w:p>
        </w:tc>
        <w:tc>
          <w:tcPr>
            <w:tcW w:w="2041" w:type="dxa"/>
          </w:tcPr>
          <w:p w:rsidR="005C2091" w:rsidRDefault="00A86293">
            <w:pPr>
              <w:pStyle w:val="CellColumn"/>
              <w:jc w:val="right"/>
            </w:pPr>
            <w:r>
              <w:rPr>
                <w:rFonts w:cs="Times New Roman"/>
              </w:rPr>
              <w:t>738.941</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98,2</w:t>
            </w:r>
          </w:p>
        </w:tc>
      </w:tr>
    </w:tbl>
    <w:p w:rsidR="005C2091" w:rsidRDefault="005C2091">
      <w:pPr>
        <w:jc w:val="left"/>
      </w:pPr>
    </w:p>
    <w:p w:rsidR="005C2091" w:rsidRDefault="00A86293">
      <w:pPr>
        <w:pStyle w:val="Heading8"/>
        <w:jc w:val="left"/>
      </w:pPr>
      <w:r>
        <w:t>Zakonske i druge pravne osnove</w:t>
      </w:r>
    </w:p>
    <w:p w:rsidR="005C2091" w:rsidRDefault="00A86293">
      <w:r>
        <w:t>Konvencija o suradnji na zaštiti i održivoj uporabi rijeke Dunav (Narodne novine-Međunarodni ugovori, broj 2/1996)</w:t>
      </w:r>
    </w:p>
    <w:p w:rsidR="005C2091" w:rsidRDefault="00A86293">
      <w:pPr>
        <w:pStyle w:val="Heading8"/>
        <w:jc w:val="left"/>
      </w:pPr>
      <w:r>
        <w:t>Opis aktivnosti</w:t>
      </w:r>
    </w:p>
    <w:p w:rsidR="005C2091" w:rsidRDefault="00A86293">
      <w:r>
        <w:t>Smanjivanje nutrijenata u slivu rijeke Dunav – aktivnost se odnosila na osiguranje sredstava za godišnju članarina Republike Hrvatske u Međunarodnoj komisiji za zaštitu Dunava, sukladno Konvenciji o suradnji na zaštiti i održivoj uporabi rijeke Dunav (Narodne novine- Međunarodni ugovori, broj 19/1996)</w:t>
      </w:r>
    </w:p>
    <w:p w:rsidR="005C2091" w:rsidRDefault="00A86293">
      <w:pPr>
        <w:pStyle w:val="Heading4"/>
      </w:pPr>
      <w:r>
        <w:t>A650037 MEĐUNARODNA SURADNJA PO BILATERALNIM I MULTILATERALNIM UGOVORIMA</w:t>
      </w:r>
    </w:p>
    <w:tbl>
      <w:tblPr>
        <w:tblStyle w:val="StilTablice"/>
        <w:tblW w:w="10206" w:type="dxa"/>
        <w:jc w:val="center"/>
        <w:tblLook w:val="04A0" w:firstRow="1" w:lastRow="0" w:firstColumn="1" w:lastColumn="0" w:noHBand="0" w:noVBand="1"/>
      </w:tblPr>
      <w:tblGrid>
        <w:gridCol w:w="2048"/>
        <w:gridCol w:w="1920"/>
        <w:gridCol w:w="1912"/>
        <w:gridCol w:w="1920"/>
        <w:gridCol w:w="1198"/>
        <w:gridCol w:w="120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A650037-MEĐUNARODNA SURADNJA PO BILATERALNIM I MULTILATERALNIM UGOVORIMA</w:t>
            </w:r>
          </w:p>
        </w:tc>
        <w:tc>
          <w:tcPr>
            <w:tcW w:w="2041" w:type="dxa"/>
          </w:tcPr>
          <w:p w:rsidR="005C2091" w:rsidRDefault="00A86293">
            <w:pPr>
              <w:pStyle w:val="CellColumn"/>
              <w:jc w:val="right"/>
            </w:pPr>
            <w:r>
              <w:rPr>
                <w:rFonts w:cs="Times New Roman"/>
              </w:rPr>
              <w:t>460.000</w:t>
            </w:r>
          </w:p>
        </w:tc>
        <w:tc>
          <w:tcPr>
            <w:tcW w:w="2041" w:type="dxa"/>
          </w:tcPr>
          <w:p w:rsidR="005C2091" w:rsidRDefault="00A86293">
            <w:pPr>
              <w:pStyle w:val="CellColumn"/>
              <w:jc w:val="right"/>
            </w:pPr>
            <w:r>
              <w:rPr>
                <w:rFonts w:cs="Times New Roman"/>
              </w:rPr>
              <w:t>483.951</w:t>
            </w:r>
          </w:p>
        </w:tc>
        <w:tc>
          <w:tcPr>
            <w:tcW w:w="2041" w:type="dxa"/>
          </w:tcPr>
          <w:p w:rsidR="005C2091" w:rsidRDefault="00A86293">
            <w:pPr>
              <w:pStyle w:val="CellColumn"/>
              <w:jc w:val="right"/>
            </w:pPr>
            <w:r>
              <w:rPr>
                <w:rFonts w:cs="Times New Roman"/>
              </w:rPr>
              <w:t>483.950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105,2</w:t>
            </w:r>
          </w:p>
        </w:tc>
      </w:tr>
    </w:tbl>
    <w:p w:rsidR="005C2091" w:rsidRDefault="005C2091">
      <w:pPr>
        <w:jc w:val="left"/>
      </w:pPr>
    </w:p>
    <w:p w:rsidR="005C2091" w:rsidRDefault="00A86293">
      <w:pPr>
        <w:pStyle w:val="Heading8"/>
        <w:jc w:val="left"/>
      </w:pPr>
      <w:r>
        <w:t>Zakonske i druge pravne osnove</w:t>
      </w:r>
    </w:p>
    <w:p w:rsidR="005C2091" w:rsidRDefault="00A86293">
      <w:r>
        <w:t>Okvirni sporazum o slivu rijeke Save (Narodne Novine-Međunarodni ugovori broj 14/2003)</w:t>
      </w:r>
    </w:p>
    <w:p w:rsidR="005C2091" w:rsidRDefault="00A86293">
      <w:pPr>
        <w:pStyle w:val="Heading8"/>
        <w:jc w:val="left"/>
      </w:pPr>
      <w:r>
        <w:t>Opis aktivnosti</w:t>
      </w:r>
    </w:p>
    <w:p w:rsidR="005C2091" w:rsidRDefault="00A86293">
      <w:r>
        <w:t>Međunarodna suradnja po bilateralnim i multilateralnim ugovorima– aktivnost se odnosila na osiguranje sredstava za plaćanje godišnje članarine RH u Međunarodnoj komisiji za sliv rijeke Save, sukladno Okvirnom sporazumu o slivu rijeke Save, a drugu polovicu u jednakom iznosu osigurava Ministarstvo mora, prometa i infrastrukture</w:t>
      </w:r>
    </w:p>
    <w:p w:rsidR="005C2091" w:rsidRDefault="00A86293">
      <w:pPr>
        <w:pStyle w:val="Heading4"/>
      </w:pPr>
      <w:r>
        <w:t>K650038 ISPA PROJEKT ODVODNJE I PROČIŠĆAVANJA OTPADNIH VODA GRADA KARLOVCA</w:t>
      </w:r>
    </w:p>
    <w:tbl>
      <w:tblPr>
        <w:tblStyle w:val="StilTablice"/>
        <w:tblW w:w="10206" w:type="dxa"/>
        <w:jc w:val="center"/>
        <w:tblLook w:val="04A0" w:firstRow="1" w:lastRow="0" w:firstColumn="1" w:lastColumn="0" w:noHBand="0" w:noVBand="1"/>
      </w:tblPr>
      <w:tblGrid>
        <w:gridCol w:w="1749"/>
        <w:gridCol w:w="2008"/>
        <w:gridCol w:w="2007"/>
        <w:gridCol w:w="2007"/>
        <w:gridCol w:w="1216"/>
        <w:gridCol w:w="121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K650038-ISPA PROJEKT ODVODNJE I PROČIŠĆAVANJA OTPADNIH VODA GRADA KARLOVCA</w:t>
            </w:r>
          </w:p>
        </w:tc>
        <w:tc>
          <w:tcPr>
            <w:tcW w:w="2041" w:type="dxa"/>
          </w:tcPr>
          <w:p w:rsidR="005C2091" w:rsidRDefault="00A86293">
            <w:pPr>
              <w:pStyle w:val="CellColumn"/>
              <w:jc w:val="right"/>
            </w:pPr>
            <w:r>
              <w:rPr>
                <w:rFonts w:cs="Times New Roman"/>
              </w:rPr>
              <w:t>2.375.000</w:t>
            </w:r>
          </w:p>
        </w:tc>
        <w:tc>
          <w:tcPr>
            <w:tcW w:w="2041" w:type="dxa"/>
          </w:tcPr>
          <w:p w:rsidR="005C2091" w:rsidRDefault="00A86293">
            <w:pPr>
              <w:pStyle w:val="CellColumn"/>
              <w:jc w:val="right"/>
            </w:pPr>
            <w:r>
              <w:rPr>
                <w:rFonts w:cs="Times New Roman"/>
              </w:rPr>
              <w:t>2.272.024</w:t>
            </w:r>
          </w:p>
        </w:tc>
        <w:tc>
          <w:tcPr>
            <w:tcW w:w="2041" w:type="dxa"/>
          </w:tcPr>
          <w:p w:rsidR="005C2091" w:rsidRDefault="00A86293">
            <w:pPr>
              <w:pStyle w:val="CellColumn"/>
              <w:jc w:val="right"/>
            </w:pPr>
            <w:r>
              <w:rPr>
                <w:rFonts w:cs="Times New Roman"/>
              </w:rPr>
              <w:t>2.272.024</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95,7</w:t>
            </w:r>
          </w:p>
        </w:tc>
      </w:tr>
    </w:tbl>
    <w:p w:rsidR="005C2091" w:rsidRDefault="005C2091">
      <w:pPr>
        <w:jc w:val="left"/>
      </w:pPr>
    </w:p>
    <w:p w:rsidR="005C2091" w:rsidRDefault="00A86293">
      <w:pPr>
        <w:pStyle w:val="Heading8"/>
        <w:jc w:val="left"/>
      </w:pPr>
      <w:r>
        <w:t>Zakonske i druge pravne osnove</w:t>
      </w:r>
    </w:p>
    <w:p w:rsidR="005C2091" w:rsidRDefault="00A86293">
      <w:r>
        <w:t>U 2016. godini se sa navedene stavke sufinancirala otplata kredita sukladno obvezi po Sporazumu donesenom od strane Vlade RH – pomoć Karlovcu u vraćanju kredita EBRD-a. Od 3.370.000,00 HRK ukupno planiranih sredstava na razdjelu Ministarstva poljoprivrede plaćeno je 2.272.023,81 HRK dok je sa razdjela Ministarstva zaštite okoliša i energetike od ukupno planiranih 1.930.221,00 HRK plaćeno 1.913.579,00 HRK čime je kredit zatvoren u 2016. godini te sukladno tome sredstva nisu planirana u 2017. godini.</w:t>
      </w:r>
    </w:p>
    <w:p w:rsidR="005C2091" w:rsidRDefault="00A86293">
      <w:pPr>
        <w:pStyle w:val="Heading8"/>
        <w:jc w:val="left"/>
      </w:pPr>
      <w:r>
        <w:t>Opis aktivnosti</w:t>
      </w:r>
    </w:p>
    <w:p w:rsidR="005C2091" w:rsidRDefault="00A86293">
      <w:r>
        <w:t>Projekt je završio u 2013. i završno plaćanje je izvršeno u 2014.g. U 2016.g. je izvršeno plaćanje otplata kredita sukladno obvezi po Sporazumu donesenom od strane Vlade RH – pomoć Karlovcu u vraćanju kredita EBRD-a.</w:t>
      </w:r>
    </w:p>
    <w:p w:rsidR="005C2091" w:rsidRDefault="00A86293">
      <w:pPr>
        <w:pStyle w:val="Heading4"/>
      </w:pPr>
      <w:r>
        <w:t>K819057 OPERATIVNI PROGRAM OKOLIŠ PRIORITET II I III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K819057-OPERATIVNI PROGRAM OKOLIŠ PRIORITET II I III</w:t>
            </w:r>
          </w:p>
        </w:tc>
        <w:tc>
          <w:tcPr>
            <w:tcW w:w="2041" w:type="dxa"/>
          </w:tcPr>
          <w:p w:rsidR="005C2091" w:rsidRDefault="00A86293">
            <w:pPr>
              <w:pStyle w:val="CellColumn"/>
              <w:jc w:val="right"/>
            </w:pPr>
            <w:r>
              <w:rPr>
                <w:rFonts w:cs="Times New Roman"/>
              </w:rPr>
              <w:t>301.785.016</w:t>
            </w:r>
          </w:p>
        </w:tc>
        <w:tc>
          <w:tcPr>
            <w:tcW w:w="2041" w:type="dxa"/>
          </w:tcPr>
          <w:p w:rsidR="005C2091" w:rsidRDefault="00A86293">
            <w:pPr>
              <w:pStyle w:val="CellColumn"/>
              <w:jc w:val="right"/>
            </w:pPr>
            <w:r>
              <w:rPr>
                <w:rFonts w:cs="Times New Roman"/>
              </w:rPr>
              <w:t>636.232.419</w:t>
            </w:r>
          </w:p>
        </w:tc>
        <w:tc>
          <w:tcPr>
            <w:tcW w:w="2041" w:type="dxa"/>
          </w:tcPr>
          <w:p w:rsidR="005C2091" w:rsidRDefault="00A86293">
            <w:pPr>
              <w:pStyle w:val="CellColumn"/>
              <w:jc w:val="right"/>
            </w:pPr>
            <w:r>
              <w:rPr>
                <w:rFonts w:cs="Times New Roman"/>
              </w:rPr>
              <w:t>637.453.279</w:t>
            </w:r>
          </w:p>
        </w:tc>
        <w:tc>
          <w:tcPr>
            <w:tcW w:w="1224" w:type="dxa"/>
          </w:tcPr>
          <w:p w:rsidR="005C2091" w:rsidRDefault="00A86293">
            <w:pPr>
              <w:pStyle w:val="CellColumn"/>
              <w:jc w:val="right"/>
            </w:pPr>
            <w:r>
              <w:rPr>
                <w:rFonts w:cs="Times New Roman"/>
              </w:rPr>
              <w:t>100,2</w:t>
            </w:r>
          </w:p>
        </w:tc>
        <w:tc>
          <w:tcPr>
            <w:tcW w:w="1224" w:type="dxa"/>
          </w:tcPr>
          <w:p w:rsidR="005C2091" w:rsidRDefault="00A86293">
            <w:pPr>
              <w:pStyle w:val="CellColumn"/>
              <w:jc w:val="right"/>
            </w:pPr>
            <w:r>
              <w:rPr>
                <w:rFonts w:cs="Times New Roman"/>
              </w:rPr>
              <w:t>211,2</w:t>
            </w:r>
          </w:p>
        </w:tc>
      </w:tr>
    </w:tbl>
    <w:p w:rsidR="005C2091" w:rsidRDefault="005C2091">
      <w:pPr>
        <w:jc w:val="left"/>
      </w:pPr>
    </w:p>
    <w:p w:rsidR="005C2091" w:rsidRDefault="00A86293">
      <w:pPr>
        <w:pStyle w:val="Heading8"/>
        <w:jc w:val="left"/>
      </w:pPr>
      <w:r>
        <w:t>Zakonske i druge pravne osnove</w:t>
      </w:r>
    </w:p>
    <w:p w:rsidR="005C2091" w:rsidRDefault="00A86293">
      <w:r>
        <w:t xml:space="preserve">Operativni Program Okoliš provodi se unutar programskog razdoblja 2007-2013. u skladu su zakonom o vodama („Narodne novine“, broj 153/09, 63/11, 130/11, 56/13 i 14/14) (Zakonom o izmjenama i dopunama Zakona o poljoprivrednom zemljištu („Narodne novineˮ, broj 63/11) djelomično ukinute pojedine odredbe Zakona o vodama); Strategije upravljanja vodama („Narodne novine“, broj 91/08); Zakonom o financiranju vodnoga gospodarstva („Narodne novine“, broj 153/09, 90/11, 56/13, 119/15 i 120/16), Višegodišnjim programom gradnje komunalnih vodnih građevina za razdoblje 2014.-2023. („Narodne novine“ broj 117/15) i Višegodišnjim programom gradnje regulacijskih i zaštitnih građevina i građevina za melioracije za razdoblje 2013.-2017. („Narodni novine“ broj 117/15). </w:t>
      </w:r>
    </w:p>
    <w:p w:rsidR="005C2091" w:rsidRDefault="00A86293">
      <w:r>
        <w:t xml:space="preserve">OP OKOLIŠ Prioritet II odnosi se na infrastrukturne projekte vodoopskrbe i odvodnje, a Prioritet III na tehničku pomoć za institucionalno jačanje Sektora međunarodnih projekata.  </w:t>
      </w:r>
    </w:p>
    <w:p w:rsidR="005C2091" w:rsidRDefault="00A86293">
      <w:r>
        <w:t>Kroz ovu aktivnost radi se na unaprjeđenju vodoopskrbnog i kanalizacijskog sustava kao i izgradnji uređaje za pročišćavanje otpadnih voda, čime će se pridonijeti provedbi pravne stečevine EU-a, a osobito Okvirnoj direktivi o vodama, Direktivi o vodi namijenjenoj za ljudsku potrošnju i Direktivi o pročišćavanju komunalnih otpadnih voda. Planiranje financijskih sredstava radi se na temelju procjene vremena potrebnog za završetak odobrenih projekata.</w:t>
      </w:r>
    </w:p>
    <w:p w:rsidR="005C2091" w:rsidRDefault="00A86293">
      <w:pPr>
        <w:pStyle w:val="Heading8"/>
        <w:jc w:val="left"/>
      </w:pPr>
      <w:r>
        <w:t>Opis aktivnosti</w:t>
      </w:r>
    </w:p>
    <w:p w:rsidR="005C2091" w:rsidRDefault="00A86293">
      <w:r>
        <w:t xml:space="preserve">Aktivnost se provodi kroz slijedeće projekte:  </w:t>
      </w:r>
    </w:p>
    <w:p w:rsidR="005C2091" w:rsidRDefault="00A86293">
      <w:r>
        <w:t xml:space="preserve">- Sustav vodoopskrbe i odvodnje s uređajem za pročišćavanje otpadnih voda grada Knina  </w:t>
      </w:r>
    </w:p>
    <w:p w:rsidR="005C2091" w:rsidRDefault="00A86293">
      <w:r>
        <w:t xml:space="preserve">- Sustav vodoopskrbe i odvodnje s uređajem za pročišćavanje otpadnih voda Grada Drniša  </w:t>
      </w:r>
    </w:p>
    <w:p w:rsidR="005C2091" w:rsidRDefault="00A86293">
      <w:r>
        <w:t xml:space="preserve">- Sustav vodoopskrbe i odvodnje s uređajem za pročišćavanje otpadnih voda grada Siska  </w:t>
      </w:r>
    </w:p>
    <w:p w:rsidR="005C2091" w:rsidRDefault="00A86293">
      <w:r>
        <w:t xml:space="preserve">- Projekt poboljšanja vodne infrastrukture u Osijeku  </w:t>
      </w:r>
    </w:p>
    <w:p w:rsidR="005C2091" w:rsidRDefault="00A86293">
      <w:r>
        <w:t xml:space="preserve">- Sustav odvodnje s uređajima za pročišćavanje otpadnih voda Poreča  </w:t>
      </w:r>
    </w:p>
    <w:p w:rsidR="005C2091" w:rsidRDefault="00A86293">
      <w:r>
        <w:t xml:space="preserve">- Poboljšanja vodnokomunalne strukture grada Vukovara  </w:t>
      </w:r>
    </w:p>
    <w:p w:rsidR="005C2091" w:rsidRDefault="00A86293">
      <w:r>
        <w:t xml:space="preserve">- Poboljšanja vodnokomunalne infrastrukture aglomeracije Županja </w:t>
      </w:r>
    </w:p>
    <w:p w:rsidR="005C2091" w:rsidRDefault="00A86293">
      <w:r>
        <w:t xml:space="preserve">- Sustava odvodnje sa uređajem za pročišćavanje otpadnih voda u aglomeraciji Čakovec </w:t>
      </w:r>
    </w:p>
    <w:p w:rsidR="005C2091" w:rsidRDefault="00A86293">
      <w:r>
        <w:t xml:space="preserve">- EU projekt  Nova Gradiška – Razvoj vodnokomunalne infrastrukture Nova Gradiška </w:t>
      </w:r>
    </w:p>
    <w:p w:rsidR="005C2091" w:rsidRDefault="00A86293">
      <w:r>
        <w:t xml:space="preserve">- Projekt poboljšanja komunalne infrastrukture aglomeracije Virovitice </w:t>
      </w:r>
    </w:p>
    <w:p w:rsidR="005C2091" w:rsidRDefault="00A86293">
      <w:r>
        <w:t xml:space="preserve">- Regionalni vodoopskrbni sustav Osijek </w:t>
      </w:r>
    </w:p>
    <w:p w:rsidR="005C2091" w:rsidRDefault="00A86293">
      <w:r>
        <w:t xml:space="preserve">- Sustav odvodnje i pročišćavanje otpadnih voda Vodice – Tribunj Srima </w:t>
      </w:r>
    </w:p>
    <w:p w:rsidR="005C2091" w:rsidRDefault="00A86293">
      <w:r>
        <w:t xml:space="preserve">- Male intervencije 1 –„ Financiranje provedbe investicijskih projekata koji se odnose na manje dijelove sustava javne vodoopskrbe/odvodnje“ </w:t>
      </w:r>
    </w:p>
    <w:p w:rsidR="005C2091" w:rsidRDefault="00A86293">
      <w:r>
        <w:t xml:space="preserve">- Male intervencije 2 – „Financiranje provedbe investicijskih projekata koji se odnose na manje dijelove sustava javne vodoopskrbe/odvodnje 2“ </w:t>
      </w:r>
    </w:p>
    <w:p w:rsidR="005C2091" w:rsidRDefault="00A86293">
      <w:r>
        <w:t xml:space="preserve">- Priprema studijsko-projektne dokumentacije za EU fondove 2014-2020 </w:t>
      </w:r>
    </w:p>
    <w:p w:rsidR="005C2091" w:rsidRDefault="00A86293">
      <w:r>
        <w:t xml:space="preserve">Projekti Knin, Drniš i Sisak biti će završeni u 2017.g. (nakon završetka razdoblja prihvatljivosti troškova OPZO) te se na temelju ugovora o sufinanciranju resorno ministarstvo obvezuje osigurati potrebna sredstva u Državnom proračunu.  </w:t>
      </w:r>
    </w:p>
    <w:p w:rsidR="005C2091" w:rsidRDefault="00A86293">
      <w:r>
        <w:t>Obzirom da je bilo evidentno da projekti Osijek, Poreč, Vukovar, Županja, Nova Gradiška, Vodice, Virovitica i RVS Osijek neće moći biti završeni do kraja 2016.g., iskorištena je mogućnost faziranja projekata, čime je omogućeno da ugovori unutar projekata, za koje je procijenjeno da je to korisno, budu podijeljeni u 2 faze. Prva faza će se završiti u okviru OPZO, a II faza biti će prebačena u  OPKK, čime će se omogućiti završetak financiranja ugovora iz OPKK nakon kraja 2016.g., a što znači biti će dostupno sufinanciranje od strane EU.</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Dužina izgrađene magistralne i sekundarne vodoopskrbne mreže</w:t>
            </w:r>
          </w:p>
        </w:tc>
        <w:tc>
          <w:tcPr>
            <w:tcW w:w="2551" w:type="dxa"/>
          </w:tcPr>
          <w:p w:rsidR="005C2091" w:rsidRDefault="00A86293">
            <w:pPr>
              <w:pStyle w:val="CellColumn"/>
              <w:jc w:val="left"/>
            </w:pPr>
            <w:r>
              <w:rPr>
                <w:rFonts w:cs="Times New Roman"/>
              </w:rPr>
              <w:t>Dužina izgrađene magistralne i sekundarne vodoopskrbne mreže</w:t>
            </w:r>
          </w:p>
        </w:tc>
        <w:tc>
          <w:tcPr>
            <w:tcW w:w="1020" w:type="dxa"/>
          </w:tcPr>
          <w:p w:rsidR="005C2091" w:rsidRDefault="00A86293">
            <w:pPr>
              <w:pStyle w:val="CellColumn"/>
              <w:jc w:val="right"/>
            </w:pPr>
            <w:r>
              <w:rPr>
                <w:rFonts w:cs="Times New Roman"/>
              </w:rPr>
              <w:t>km</w:t>
            </w:r>
          </w:p>
        </w:tc>
        <w:tc>
          <w:tcPr>
            <w:tcW w:w="1020" w:type="dxa"/>
          </w:tcPr>
          <w:p w:rsidR="005C2091" w:rsidRDefault="00A86293">
            <w:pPr>
              <w:pStyle w:val="CellColumn"/>
              <w:jc w:val="right"/>
            </w:pPr>
            <w:r>
              <w:rPr>
                <w:rFonts w:cs="Times New Roman"/>
              </w:rPr>
              <w:t>13,6</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142,8</w:t>
            </w:r>
          </w:p>
        </w:tc>
        <w:tc>
          <w:tcPr>
            <w:tcW w:w="1020" w:type="dxa"/>
          </w:tcPr>
          <w:p w:rsidR="005C2091" w:rsidRDefault="00A86293">
            <w:pPr>
              <w:pStyle w:val="CellColumn"/>
              <w:jc w:val="right"/>
            </w:pPr>
            <w:r>
              <w:rPr>
                <w:rFonts w:cs="Times New Roman"/>
              </w:rPr>
              <w:t>29,6</w:t>
            </w:r>
          </w:p>
        </w:tc>
      </w:tr>
      <w:tr w:rsidR="005C2091">
        <w:trPr>
          <w:jc w:val="center"/>
        </w:trPr>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Dužina izgrađene magistralne i sekundarne  mreže odvodnje otpadnih voda</w:t>
            </w:r>
          </w:p>
        </w:tc>
        <w:tc>
          <w:tcPr>
            <w:tcW w:w="2551" w:type="dxa"/>
          </w:tcPr>
          <w:p w:rsidR="005C2091" w:rsidRDefault="00A86293">
            <w:pPr>
              <w:pStyle w:val="CellColumn"/>
              <w:jc w:val="left"/>
            </w:pPr>
            <w:r>
              <w:rPr>
                <w:rFonts w:cs="Times New Roman"/>
              </w:rPr>
              <w:t>Dužina izgrađene magistralne i sekundarne  mreže odvodnje otpadnih voda</w:t>
            </w:r>
          </w:p>
        </w:tc>
        <w:tc>
          <w:tcPr>
            <w:tcW w:w="1020" w:type="dxa"/>
          </w:tcPr>
          <w:p w:rsidR="005C2091" w:rsidRDefault="00A86293">
            <w:pPr>
              <w:pStyle w:val="CellColumn"/>
              <w:jc w:val="right"/>
            </w:pPr>
            <w:r>
              <w:rPr>
                <w:rFonts w:cs="Times New Roman"/>
              </w:rPr>
              <w:t>km</w:t>
            </w:r>
          </w:p>
        </w:tc>
        <w:tc>
          <w:tcPr>
            <w:tcW w:w="1020" w:type="dxa"/>
          </w:tcPr>
          <w:p w:rsidR="005C2091" w:rsidRDefault="00A86293">
            <w:pPr>
              <w:pStyle w:val="CellColumn"/>
              <w:jc w:val="right"/>
            </w:pPr>
            <w:r>
              <w:rPr>
                <w:rFonts w:cs="Times New Roman"/>
              </w:rPr>
              <w:t>44,7</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432,44</w:t>
            </w:r>
          </w:p>
        </w:tc>
        <w:tc>
          <w:tcPr>
            <w:tcW w:w="1020" w:type="dxa"/>
          </w:tcPr>
          <w:p w:rsidR="005C2091" w:rsidRDefault="00A86293">
            <w:pPr>
              <w:pStyle w:val="CellColumn"/>
              <w:jc w:val="right"/>
            </w:pPr>
            <w:r>
              <w:rPr>
                <w:rFonts w:cs="Times New Roman"/>
              </w:rPr>
              <w:t>188,9</w:t>
            </w:r>
          </w:p>
        </w:tc>
      </w:tr>
      <w:tr w:rsidR="005C2091">
        <w:trPr>
          <w:jc w:val="center"/>
        </w:trPr>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1020" w:type="dxa"/>
          </w:tcPr>
          <w:p w:rsidR="005C2091" w:rsidRDefault="00A86293">
            <w:pPr>
              <w:pStyle w:val="CellColumn"/>
              <w:jc w:val="right"/>
            </w:pPr>
            <w:r>
              <w:rPr>
                <w:rFonts w:cs="Times New Roman"/>
              </w:rPr>
              <w:t>br</w:t>
            </w:r>
          </w:p>
        </w:tc>
        <w:tc>
          <w:tcPr>
            <w:tcW w:w="1020" w:type="dxa"/>
          </w:tcPr>
          <w:p w:rsidR="005C2091" w:rsidRDefault="00A86293">
            <w:pPr>
              <w:pStyle w:val="CellColumn"/>
              <w:jc w:val="right"/>
            </w:pPr>
            <w:r>
              <w:rPr>
                <w:rFonts w:cs="Times New Roman"/>
              </w:rPr>
              <w:t>1</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1</w:t>
            </w:r>
          </w:p>
        </w:tc>
      </w:tr>
    </w:tbl>
    <w:p w:rsidR="005C2091" w:rsidRDefault="005C2091">
      <w:pPr>
        <w:jc w:val="left"/>
      </w:pPr>
    </w:p>
    <w:p w:rsidR="005C2091" w:rsidRDefault="00A86293">
      <w:pPr>
        <w:pStyle w:val="Heading4"/>
      </w:pPr>
      <w:r>
        <w:t>K819065 OP KONKURENTNOST I KOHEZIJA 2014.- 2020. PRIORITETI 5 I 6</w:t>
      </w:r>
    </w:p>
    <w:tbl>
      <w:tblPr>
        <w:tblStyle w:val="StilTablice"/>
        <w:tblW w:w="10206" w:type="dxa"/>
        <w:jc w:val="center"/>
        <w:tblLook w:val="04A0" w:firstRow="1" w:lastRow="0" w:firstColumn="1" w:lastColumn="0" w:noHBand="0" w:noVBand="1"/>
      </w:tblPr>
      <w:tblGrid>
        <w:gridCol w:w="1881"/>
        <w:gridCol w:w="1960"/>
        <w:gridCol w:w="1972"/>
        <w:gridCol w:w="1972"/>
        <w:gridCol w:w="1207"/>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K819065-OP KONKURENTNOST I KOHEZIJA 2014.- 2020. PRIORITETI 5 I 6</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54.247.858</w:t>
            </w:r>
          </w:p>
        </w:tc>
        <w:tc>
          <w:tcPr>
            <w:tcW w:w="2041" w:type="dxa"/>
          </w:tcPr>
          <w:p w:rsidR="005C2091" w:rsidRDefault="00A86293">
            <w:pPr>
              <w:pStyle w:val="CellColumn"/>
              <w:jc w:val="right"/>
            </w:pPr>
            <w:r>
              <w:rPr>
                <w:rFonts w:cs="Times New Roman"/>
              </w:rPr>
              <w:t>28.988.682</w:t>
            </w:r>
          </w:p>
        </w:tc>
        <w:tc>
          <w:tcPr>
            <w:tcW w:w="1224" w:type="dxa"/>
          </w:tcPr>
          <w:p w:rsidR="005C2091" w:rsidRDefault="00A86293">
            <w:pPr>
              <w:pStyle w:val="CellColumn"/>
              <w:jc w:val="right"/>
            </w:pPr>
            <w:r>
              <w:rPr>
                <w:rFonts w:cs="Times New Roman"/>
              </w:rPr>
              <w:t>53,4</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Operativni program Konkurentnost i kohezija 2014.-2020. odobren je od Europske komisije 12. prosinca 2014. godine” i provodi se unutar programskog razdoblja 2014-2020, u skladu sa Zakonom o vodama („Narodne novine“, broj 153/09, 63/11, 130/11, 56/13 i 14/14) (Zakonom o izmjenama i dopunama Zakona o poljoprivrednom zemljištu („Narodne novineˮ, broj 63/11) djelomično ukinute pojedine odredbe Zakona o vodama)); Strategijom upravljanja vodama („Narodne novine“, broj 91/08); Zakonom o financiranju vodnoga gospodarstva („Narodne novine“, broj 153/09, 90/11, 56/13,  119/15 i 120/16), Višegodišnjim programa gradnje komunalnih vodnih građevina za razdoblje 2014.-2023. („Narodne novine“ broj 117/15) i Višegodišnjim programom gradnje regulacijskih i zaštitnih građevina i građevina za melioracije za razdoblje 2013.-2017. („Narodni novine“ broj 117/15).</w:t>
      </w:r>
    </w:p>
    <w:p w:rsidR="005C2091" w:rsidRDefault="00A86293">
      <w:pPr>
        <w:pStyle w:val="Heading8"/>
        <w:jc w:val="left"/>
      </w:pPr>
      <w:r>
        <w:t>Opis aktivnosti</w:t>
      </w:r>
    </w:p>
    <w:p w:rsidR="005C2091" w:rsidRDefault="00A86293">
      <w:r>
        <w:t xml:space="preserve">U nadležnosti Sektora međunarodnih projekata Uprave vodnoga gospodarstva iz  OPKK su: </w:t>
      </w:r>
    </w:p>
    <w:p w:rsidR="005C2091" w:rsidRDefault="00A86293">
      <w:r>
        <w:t xml:space="preserve">Specifični cilj 5b1 Jačanje sustava upravljanja katastrofama </w:t>
      </w:r>
    </w:p>
    <w:p w:rsidR="005C2091" w:rsidRDefault="00A86293">
      <w:r>
        <w:t xml:space="preserve">Provodi se kroz Projekte zaštite od štetnog djelovanja voda, a radi se na promicanje ulaganja koja se odnose na posebne rizike, osiguranje otpornosti na katastrofe i razvoj sustava za upravljanje katastrofama, kao i izgradnja i modernizacija nasipa u svrhu zaštite od štetnog djelovanja voda. Planirani projekti koji će prvi ići u provedbu su:  </w:t>
      </w:r>
    </w:p>
    <w:p w:rsidR="005C2091" w:rsidRDefault="00A86293">
      <w:r>
        <w:t xml:space="preserve">Projekti zaštite od štetnog djelovanja voda: </w:t>
      </w:r>
    </w:p>
    <w:p w:rsidR="005C2091" w:rsidRDefault="00A86293">
      <w:r>
        <w:t xml:space="preserve">• Modernizacija lijevoobalnih Savskih nasipa od Račinovaca do Nove Gradiške  </w:t>
      </w:r>
    </w:p>
    <w:p w:rsidR="005C2091" w:rsidRDefault="00A86293">
      <w:r>
        <w:t xml:space="preserve">• Priprema projektno studijske dokumentacije  </w:t>
      </w:r>
    </w:p>
    <w:p w:rsidR="005C2091" w:rsidRDefault="00A86293">
      <w:r>
        <w:t xml:space="preserve">Specifični cilj 6ii1 Unaprjeđenje javnog vodoopskrbnog sustava u svrhu osiguranja kvalitete i sigurnosti usluga opskrbe pitkom vodom i  </w:t>
      </w:r>
    </w:p>
    <w:p w:rsidR="005C2091" w:rsidRDefault="00A86293">
      <w:r>
        <w:t xml:space="preserve">Specifični cilj 6ii2 Razvoj sustava prikupljanja i obrade otpadnih voda s ciljem doprinosa poboljšanju stanja voda Kroz ovu aktivnost radi se na ulaganju u vodni sektor kako bi se ispunili zahtjevi pravne stečevine Unije u području okoliša a osobito Okvirnoj direktivi o vodama, Direktivi o vodi namijenjenoj za ljudsku potrošnju i Direktivi o pročišćavanju komunalnih otpadnih voda i zadovoljile potrebe koje su utvrdile države članice za ulaganjem koje nadilazi te zahtjeve: unaprjeđenje javnog vodoopskrbnog sustava u svrhu osiguranja kvalitete i sigurnosti usluga opskrbe pitkom vodom i razvoj sustava prikupljanja i obrade otpadnih voda s ciljem doprinosa poboljšanju stanja voda. </w:t>
      </w:r>
    </w:p>
    <w:p w:rsidR="005C2091" w:rsidRDefault="00A86293">
      <w:r>
        <w:t xml:space="preserve">Planiranje financijskih sredstava radi se na temelju analize spremnosti projekata u pripremi i dinamike provedbe projekata u provedbi. </w:t>
      </w:r>
    </w:p>
    <w:p w:rsidR="005C2091" w:rsidRDefault="00A86293">
      <w:r>
        <w:t xml:space="preserve">U provedbi je Projekt Petrinja, a do kraja 2016. očekuje se potpisaivanje Ugovora  o dodjeli bespovratnih sredstava za Projekt Rovinj. </w:t>
      </w:r>
    </w:p>
    <w:p w:rsidR="005C2091" w:rsidRDefault="00A86293">
      <w:r>
        <w:t xml:space="preserve">8 projekata koji su odobreni u okviru Operativnog programa Zaštite okoliša 2007. – 2013. (OPZO 2007. -2013.g.)  provoditi će se u fazama i završiti u programskom razdoblju 2014. – 2020. u okviru Operativnog programa Konkurentnost i kohezija. To su sljedeći projekti:   </w:t>
      </w:r>
    </w:p>
    <w:p w:rsidR="005C2091" w:rsidRDefault="00A86293">
      <w:r>
        <w:t xml:space="preserve">• Sustav prikupljanja i pročišćavanja otpadnih voda - Osijek (faza II), </w:t>
      </w:r>
    </w:p>
    <w:p w:rsidR="005C2091" w:rsidRDefault="00A86293">
      <w:r>
        <w:t xml:space="preserve">• Sustav prikupljanja i pročišćavanja otpadnih voda - Poreč (faza II), </w:t>
      </w:r>
    </w:p>
    <w:p w:rsidR="005C2091" w:rsidRDefault="00A86293">
      <w:r>
        <w:t xml:space="preserve">• Sustav prikupljanja i pročišćavanja otpadnih voda - Vukovar (faza II), </w:t>
      </w:r>
    </w:p>
    <w:p w:rsidR="005C2091" w:rsidRDefault="00A86293">
      <w:r>
        <w:t xml:space="preserve">• Sustav prikupljanja i pročišćavanja otpadnih voda - Vodice (faza II),  </w:t>
      </w:r>
    </w:p>
    <w:p w:rsidR="005C2091" w:rsidRDefault="00A86293">
      <w:r>
        <w:t xml:space="preserve">• Regionalni vodoopskrbni sustav Osijek (faza II),  </w:t>
      </w:r>
    </w:p>
    <w:p w:rsidR="005C2091" w:rsidRDefault="00A86293">
      <w:r>
        <w:t xml:space="preserve">• Sustav prikupljanja i pročišćavanja otpadnih voda - Virovitica (faza II),  </w:t>
      </w:r>
    </w:p>
    <w:p w:rsidR="005C2091" w:rsidRDefault="00A86293">
      <w:r>
        <w:t xml:space="preserve">• Sustav prikupljanja i pročišćavanja otpadnih voda - Nova Gradiška (faza II),  </w:t>
      </w:r>
    </w:p>
    <w:p w:rsidR="005C2091" w:rsidRDefault="00A86293">
      <w:r>
        <w:t xml:space="preserve">• Sustav prikupljanja i pročišćavanja otpadnih voda - Županja (faza II).  </w:t>
      </w:r>
    </w:p>
    <w:p w:rsidR="005C2091" w:rsidRDefault="00A86293">
      <w:r>
        <w:t xml:space="preserve">Krajem 2016 započelo je ocjenjivanja projekta Krk – „Sustav prikupljanja i pročišćavanja otpadnih voda Otok Krk“.  Odobrenje projekta se planira do lipnja 2017.  U različitim fazama pripreme je veliki broj projekata za koje očekujemo da će biti spremni za financiranje u 2017.godini. Sektor međunarodnih projekata je korisnik Tehničke pomoći Prioritetne osi 10 OPKK Unutar navedene aktivnosti financira se tehnička pomoć za službenike unutar Sustava  za upravljanje i kontrolu Operativnog programa konkurentnost i kohezija. Obavijest o dodjeli bespovratnih sredstava potpisana je 25.09.2015. i projekt traje do 08.2021. godine, temeljem čega je planirano sufinanciranje sredstava za isplatu plaća, službenih putovanja, stručnog usavršavanja zaposlenika, potrošnog uredskog materijala, promidžbe, režijskih troškova, leasinga vozila, konzultantskih usluga, uredske opreme, izrade računalnog programa i pripadajućih licenci. 85% troškova financira iz EU fonda, a 15% iz Državnog proračuna RH.  </w:t>
      </w:r>
    </w:p>
    <w:p w:rsidR="005C2091" w:rsidRDefault="00A86293">
      <w:r>
        <w:t>U 2016.g. tek se započelo sa provedbom navedene aktivnosti, pa su sukladno navedenom i ciljane vrijednosti pokazatelja rezultata jednake nuli.</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Dužina izgrađene magistralne i sekundarne vodoopskrbne mreže</w:t>
            </w:r>
          </w:p>
        </w:tc>
        <w:tc>
          <w:tcPr>
            <w:tcW w:w="2551" w:type="dxa"/>
          </w:tcPr>
          <w:p w:rsidR="005C2091" w:rsidRDefault="00A86293">
            <w:pPr>
              <w:pStyle w:val="CellColumn"/>
              <w:jc w:val="left"/>
            </w:pPr>
            <w:r>
              <w:rPr>
                <w:rFonts w:cs="Times New Roman"/>
              </w:rPr>
              <w:t>Dužina izgrađene magistralne i sekundarne vodoopskrbne mreže</w:t>
            </w:r>
          </w:p>
        </w:tc>
        <w:tc>
          <w:tcPr>
            <w:tcW w:w="1020" w:type="dxa"/>
          </w:tcPr>
          <w:p w:rsidR="005C2091" w:rsidRDefault="00A86293">
            <w:pPr>
              <w:pStyle w:val="CellColumn"/>
              <w:jc w:val="right"/>
            </w:pPr>
            <w:r>
              <w:rPr>
                <w:rFonts w:cs="Times New Roman"/>
              </w:rPr>
              <w:t>km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Dužina izgrađene magistralne i sekundarne  mreže odvodnje otpadnih voda</w:t>
            </w:r>
          </w:p>
        </w:tc>
        <w:tc>
          <w:tcPr>
            <w:tcW w:w="2551" w:type="dxa"/>
          </w:tcPr>
          <w:p w:rsidR="005C2091" w:rsidRDefault="00A86293">
            <w:pPr>
              <w:pStyle w:val="CellColumn"/>
              <w:jc w:val="left"/>
            </w:pPr>
            <w:r>
              <w:rPr>
                <w:rFonts w:cs="Times New Roman"/>
              </w:rPr>
              <w:t>Dužina izgrađene magistralne i sekundarne  mreže odvodnje otpadnih voda</w:t>
            </w:r>
          </w:p>
        </w:tc>
        <w:tc>
          <w:tcPr>
            <w:tcW w:w="1020" w:type="dxa"/>
          </w:tcPr>
          <w:p w:rsidR="005C2091" w:rsidRDefault="00A86293">
            <w:pPr>
              <w:pStyle w:val="CellColumn"/>
              <w:jc w:val="right"/>
            </w:pPr>
            <w:r>
              <w:rPr>
                <w:rFonts w:cs="Times New Roman"/>
              </w:rPr>
              <w:t>km</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0</w:t>
            </w:r>
          </w:p>
        </w:tc>
      </w:tr>
      <w:tr w:rsidR="005C2091">
        <w:trPr>
          <w:jc w:val="center"/>
        </w:trPr>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0</w:t>
            </w:r>
          </w:p>
        </w:tc>
      </w:tr>
    </w:tbl>
    <w:p w:rsidR="005C2091" w:rsidRDefault="005C2091">
      <w:pPr>
        <w:jc w:val="left"/>
      </w:pPr>
    </w:p>
    <w:p w:rsidR="005C2091" w:rsidRDefault="00A86293">
      <w:pPr>
        <w:pStyle w:val="Heading4"/>
      </w:pPr>
      <w:r>
        <w:t>K820056 PROJEKT IZGRADNJE VODOKOMUNALNE INFRASTRUKTURE</w:t>
      </w:r>
    </w:p>
    <w:tbl>
      <w:tblPr>
        <w:tblStyle w:val="StilTablice"/>
        <w:tblW w:w="10206" w:type="dxa"/>
        <w:jc w:val="center"/>
        <w:tblLook w:val="04A0" w:firstRow="1" w:lastRow="0" w:firstColumn="1" w:lastColumn="0" w:noHBand="0" w:noVBand="1"/>
      </w:tblPr>
      <w:tblGrid>
        <w:gridCol w:w="1981"/>
        <w:gridCol w:w="1940"/>
        <w:gridCol w:w="1941"/>
        <w:gridCol w:w="1941"/>
        <w:gridCol w:w="1196"/>
        <w:gridCol w:w="120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K820056-PROJEKT IZGRADNJE VODOKOMUNALNE INFRASTRUKTURE</w:t>
            </w:r>
          </w:p>
        </w:tc>
        <w:tc>
          <w:tcPr>
            <w:tcW w:w="2041" w:type="dxa"/>
          </w:tcPr>
          <w:p w:rsidR="005C2091" w:rsidRDefault="00A86293">
            <w:pPr>
              <w:pStyle w:val="CellColumn"/>
              <w:jc w:val="right"/>
            </w:pPr>
            <w:r>
              <w:rPr>
                <w:rFonts w:cs="Times New Roman"/>
              </w:rPr>
              <w:t>353.050.640</w:t>
            </w:r>
          </w:p>
        </w:tc>
        <w:tc>
          <w:tcPr>
            <w:tcW w:w="2041" w:type="dxa"/>
          </w:tcPr>
          <w:p w:rsidR="005C2091" w:rsidRDefault="00A86293">
            <w:pPr>
              <w:pStyle w:val="CellColumn"/>
              <w:jc w:val="right"/>
            </w:pPr>
            <w:r>
              <w:rPr>
                <w:rFonts w:cs="Times New Roman"/>
              </w:rPr>
              <w:t>201.281.413</w:t>
            </w:r>
          </w:p>
        </w:tc>
        <w:tc>
          <w:tcPr>
            <w:tcW w:w="2041" w:type="dxa"/>
          </w:tcPr>
          <w:p w:rsidR="005C2091" w:rsidRDefault="00A86293">
            <w:pPr>
              <w:pStyle w:val="CellColumn"/>
              <w:jc w:val="right"/>
            </w:pPr>
            <w:r>
              <w:rPr>
                <w:rFonts w:cs="Times New Roman"/>
              </w:rPr>
              <w:t>201.281.413</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57,0</w:t>
            </w:r>
          </w:p>
        </w:tc>
      </w:tr>
    </w:tbl>
    <w:p w:rsidR="005C2091" w:rsidRDefault="005C2091">
      <w:pPr>
        <w:jc w:val="left"/>
      </w:pPr>
    </w:p>
    <w:p w:rsidR="005C2091" w:rsidRDefault="00A86293">
      <w:pPr>
        <w:pStyle w:val="Heading8"/>
        <w:jc w:val="left"/>
      </w:pPr>
      <w:r>
        <w:t>Zakonske i druge pravne osnove</w:t>
      </w:r>
    </w:p>
    <w:p w:rsidR="005C2091" w:rsidRDefault="00A86293">
      <w:r>
        <w:t>Za provedbu projekta osigurana su sredstva zajmova Europske investicijske banke (EIB) i Razvojne banke Vijeća Europe (CEB) u iznosima od po 75 milijuna EUR, odnosno u ukupnom iznosu od 150 milijuna EUR. Datum potpisivanja zajma EIB-a je 18. listopad 2011. – potvrđen Zakonom o potvrđivanju Ugovora o financiranju između Republike Hrvatske i Europske investicijske banke za projekt „Financiranje vodno-komunalne infrastrukture“ („Narodne novine – Međunarodni ugovori“ broj 15/11) a datum potpisivanja zajma CEB-a je 27. i 29. lipnja 2012. – potvrđen Zakonom o potvrđivanju Okvirnog ugovora o zajmu između Republike Hrvatske i Razvojne banke Vijeća Europe za projekt „Financiranje vodno-komunalne infrastrukture“ („Narodne novine – Međunarodni ugovori“ broj 7/12). Banke sudjeluju u financiranju svakog pojedinog potprojekta u jednakim iznosima do maksimalno 90% od njegove ukupne vrijednosti, uz obvezno učešće jedinica lokalne samouprave do pune vrijednosti (10% procijenjene vrijednosti investicije potprojekta bez PDV-a) dok lokalna komunalna poduzeća osiguravaju i sredstva za financiranje PDV-a. Razdoblje provedbe obuhvaća period od 2013. Do kraja 2017. godine. U lipnju 2016. godine povučena je posljednja (četvrta) tranša zajmova EIB-a i CEB-a i tim sredstvima se zajedno sa neutrošenim sredstvima iz 2015. godine financirala provedba Projekta tijekom 2016. godine.</w:t>
      </w:r>
    </w:p>
    <w:p w:rsidR="005C2091" w:rsidRDefault="00A86293">
      <w:pPr>
        <w:pStyle w:val="Heading8"/>
        <w:jc w:val="left"/>
      </w:pPr>
      <w:r>
        <w:t>Opis aktivnosti</w:t>
      </w:r>
    </w:p>
    <w:p w:rsidR="005C2091" w:rsidRDefault="00A86293">
      <w:r>
        <w:t xml:space="preserve">Projekt obuhvaća ulaganja u vodoopskrbne sustave, prikupljanje i pročišćavanje otpadnih voda te odvodnju oborinskih voda u općinama smještenima u svim hrvatskim županijama s izuzetkom Grada Zagreba. U okviru Projekta moguća su slijedeća ulaganja u vodno-komunalnu infrastrukturu po pojedinom potprojektu: </w:t>
      </w:r>
    </w:p>
    <w:p w:rsidR="005C2091" w:rsidRDefault="00A86293">
      <w:r>
        <w:t xml:space="preserve">1) proširenja/rekonstrukcije sustava odvodnje otpadnih i oborinskih voda i izgradnje uređaja za pročišćavanje otpadnih voda te </w:t>
      </w:r>
    </w:p>
    <w:p w:rsidR="005C2091" w:rsidRDefault="00A86293">
      <w:r>
        <w:t xml:space="preserve">2) proširenje/rekonstrukcija vvodoopskrbnih sustava. </w:t>
      </w:r>
    </w:p>
    <w:p w:rsidR="005C2091" w:rsidRDefault="00A86293">
      <w:r>
        <w:t>Na kraju 2016. godine za provedbu je identificirano ukupno 130 potprojekata (od čega ih je dovršeno 73, dok su u tijeku radovi na 55 projekta a za 2 projekta je javna nabava u tijeku). Dovršetak cjelokupnog Projekta, koji uključuje i nove potprojekte očekuje se do kraja 2017. godine.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Dužina izgrađene magistralne i sekundarne vodoopskrbne mreže</w:t>
            </w:r>
          </w:p>
        </w:tc>
        <w:tc>
          <w:tcPr>
            <w:tcW w:w="2551" w:type="dxa"/>
          </w:tcPr>
          <w:p w:rsidR="005C2091" w:rsidRDefault="00A86293">
            <w:pPr>
              <w:pStyle w:val="CellColumn"/>
              <w:jc w:val="left"/>
            </w:pPr>
            <w:r>
              <w:rPr>
                <w:rFonts w:cs="Times New Roman"/>
              </w:rPr>
              <w:t>Dužina izgrađene magistralne i sekundarne vodoopskrbne mreže</w:t>
            </w:r>
          </w:p>
        </w:tc>
        <w:tc>
          <w:tcPr>
            <w:tcW w:w="1020" w:type="dxa"/>
          </w:tcPr>
          <w:p w:rsidR="005C2091" w:rsidRDefault="00A86293">
            <w:pPr>
              <w:pStyle w:val="CellColumn"/>
              <w:jc w:val="right"/>
            </w:pPr>
            <w:r>
              <w:rPr>
                <w:rFonts w:cs="Times New Roman"/>
              </w:rPr>
              <w:t>km</w:t>
            </w:r>
          </w:p>
        </w:tc>
        <w:tc>
          <w:tcPr>
            <w:tcW w:w="1020" w:type="dxa"/>
          </w:tcPr>
          <w:p w:rsidR="005C2091" w:rsidRDefault="00A86293">
            <w:pPr>
              <w:pStyle w:val="CellColumn"/>
              <w:jc w:val="right"/>
            </w:pPr>
            <w:r>
              <w:rPr>
                <w:rFonts w:cs="Times New Roman"/>
              </w:rPr>
              <w:t>485</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587</w:t>
            </w:r>
          </w:p>
        </w:tc>
        <w:tc>
          <w:tcPr>
            <w:tcW w:w="1020" w:type="dxa"/>
          </w:tcPr>
          <w:p w:rsidR="005C2091" w:rsidRDefault="00A86293">
            <w:pPr>
              <w:pStyle w:val="CellColumn"/>
              <w:jc w:val="right"/>
            </w:pPr>
            <w:r>
              <w:rPr>
                <w:rFonts w:cs="Times New Roman"/>
              </w:rPr>
              <w:t>561</w:t>
            </w:r>
          </w:p>
        </w:tc>
      </w:tr>
      <w:tr w:rsidR="005C2091">
        <w:trPr>
          <w:jc w:val="center"/>
        </w:trPr>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24</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28</w:t>
            </w:r>
          </w:p>
        </w:tc>
        <w:tc>
          <w:tcPr>
            <w:tcW w:w="1020" w:type="dxa"/>
          </w:tcPr>
          <w:p w:rsidR="005C2091" w:rsidRDefault="00A86293">
            <w:pPr>
              <w:pStyle w:val="CellColumn"/>
              <w:jc w:val="right"/>
            </w:pPr>
            <w:r>
              <w:rPr>
                <w:rFonts w:cs="Times New Roman"/>
              </w:rPr>
              <w:t>27</w:t>
            </w:r>
          </w:p>
        </w:tc>
      </w:tr>
      <w:tr w:rsidR="005C2091">
        <w:trPr>
          <w:jc w:val="center"/>
        </w:trPr>
        <w:tc>
          <w:tcPr>
            <w:tcW w:w="2551" w:type="dxa"/>
          </w:tcPr>
          <w:p w:rsidR="005C2091" w:rsidRDefault="00A86293">
            <w:pPr>
              <w:pStyle w:val="CellColumn"/>
              <w:jc w:val="left"/>
            </w:pPr>
            <w:r>
              <w:rPr>
                <w:rFonts w:cs="Times New Roman"/>
              </w:rPr>
              <w:t>Dužina izgrađene magistralne i sekundarne  mreže odvodnje otpadnih voda</w:t>
            </w:r>
          </w:p>
        </w:tc>
        <w:tc>
          <w:tcPr>
            <w:tcW w:w="2551" w:type="dxa"/>
          </w:tcPr>
          <w:p w:rsidR="005C2091" w:rsidRDefault="00A86293">
            <w:pPr>
              <w:pStyle w:val="CellColumn"/>
              <w:jc w:val="left"/>
            </w:pPr>
            <w:r>
              <w:rPr>
                <w:rFonts w:cs="Times New Roman"/>
              </w:rPr>
              <w:t>Dužina izgrađene magistralne i sekundarne  mreže odvodnje otpadnih voda</w:t>
            </w:r>
          </w:p>
        </w:tc>
        <w:tc>
          <w:tcPr>
            <w:tcW w:w="1020" w:type="dxa"/>
          </w:tcPr>
          <w:p w:rsidR="005C2091" w:rsidRDefault="00A86293">
            <w:pPr>
              <w:pStyle w:val="CellColumn"/>
              <w:jc w:val="right"/>
            </w:pPr>
            <w:r>
              <w:rPr>
                <w:rFonts w:cs="Times New Roman"/>
              </w:rPr>
              <w:t>km</w:t>
            </w:r>
          </w:p>
        </w:tc>
        <w:tc>
          <w:tcPr>
            <w:tcW w:w="1020" w:type="dxa"/>
          </w:tcPr>
          <w:p w:rsidR="005C2091" w:rsidRDefault="00A86293">
            <w:pPr>
              <w:pStyle w:val="CellColumn"/>
              <w:jc w:val="right"/>
            </w:pPr>
            <w:r>
              <w:rPr>
                <w:rFonts w:cs="Times New Roman"/>
              </w:rPr>
              <w:t>265</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310</w:t>
            </w:r>
          </w:p>
        </w:tc>
        <w:tc>
          <w:tcPr>
            <w:tcW w:w="1020" w:type="dxa"/>
          </w:tcPr>
          <w:p w:rsidR="005C2091" w:rsidRDefault="00A86293">
            <w:pPr>
              <w:pStyle w:val="CellColumn"/>
              <w:jc w:val="right"/>
            </w:pPr>
            <w:r>
              <w:rPr>
                <w:rFonts w:cs="Times New Roman"/>
              </w:rPr>
              <w:t>301</w:t>
            </w:r>
          </w:p>
        </w:tc>
      </w:tr>
      <w:tr w:rsidR="005C2091">
        <w:trPr>
          <w:jc w:val="center"/>
        </w:trPr>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22</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26</w:t>
            </w:r>
          </w:p>
        </w:tc>
        <w:tc>
          <w:tcPr>
            <w:tcW w:w="1020" w:type="dxa"/>
          </w:tcPr>
          <w:p w:rsidR="005C2091" w:rsidRDefault="00A86293">
            <w:pPr>
              <w:pStyle w:val="CellColumn"/>
              <w:jc w:val="right"/>
            </w:pPr>
            <w:r>
              <w:rPr>
                <w:rFonts w:cs="Times New Roman"/>
              </w:rPr>
              <w:t>25</w:t>
            </w:r>
          </w:p>
        </w:tc>
      </w:tr>
    </w:tbl>
    <w:p w:rsidR="005C2091" w:rsidRDefault="005C2091">
      <w:pPr>
        <w:jc w:val="left"/>
      </w:pPr>
    </w:p>
    <w:p w:rsidR="005C2091" w:rsidRDefault="00A86293">
      <w:pPr>
        <w:pStyle w:val="Heading4"/>
      </w:pPr>
      <w:r>
        <w:t>T650040 PROJEKT ZAŠTITE JADRANA OD ONEČIŠĆENJA IBRD I DOMAĆA KOMPONENTA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T650040-PROJEKT ZAŠTITE JADRANA OD ONEČIŠĆENJA IBRD I DOMAĆA KOMPONENTA</w:t>
            </w:r>
          </w:p>
        </w:tc>
        <w:tc>
          <w:tcPr>
            <w:tcW w:w="2041" w:type="dxa"/>
          </w:tcPr>
          <w:p w:rsidR="005C2091" w:rsidRDefault="00A86293">
            <w:pPr>
              <w:pStyle w:val="CellColumn"/>
              <w:jc w:val="right"/>
            </w:pPr>
            <w:r>
              <w:rPr>
                <w:rFonts w:cs="Times New Roman"/>
              </w:rPr>
              <w:t>128.820.087</w:t>
            </w:r>
          </w:p>
        </w:tc>
        <w:tc>
          <w:tcPr>
            <w:tcW w:w="2041" w:type="dxa"/>
          </w:tcPr>
          <w:p w:rsidR="005C2091" w:rsidRDefault="00A86293">
            <w:pPr>
              <w:pStyle w:val="CellColumn"/>
              <w:jc w:val="right"/>
            </w:pPr>
            <w:r>
              <w:rPr>
                <w:rFonts w:cs="Times New Roman"/>
              </w:rPr>
              <w:t>30.243.462</w:t>
            </w:r>
          </w:p>
        </w:tc>
        <w:tc>
          <w:tcPr>
            <w:tcW w:w="2041" w:type="dxa"/>
          </w:tcPr>
          <w:p w:rsidR="005C2091" w:rsidRDefault="00A86293">
            <w:pPr>
              <w:pStyle w:val="CellColumn"/>
              <w:jc w:val="right"/>
            </w:pPr>
            <w:r>
              <w:rPr>
                <w:rFonts w:cs="Times New Roman"/>
              </w:rPr>
              <w:t>30.243.461</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23,5</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„Projekt zaštite od onečišćenja voda na priobalnom području 2ˮ; zajam broj 7640 HR; Darovnica GEF-a broj TF 092704; Datum potpisivanja Ugovora o zajmu između Republike Hrvatske i Međunarodne banke za obnovu i razvoj je 6. veljače 2009. – potvrđen Zakonom o potvrđivanju („Narodne novine – Međunarodni ugovoriˮ broj 4/09). </w:t>
      </w:r>
    </w:p>
    <w:p w:rsidR="005C2091" w:rsidRDefault="00A86293">
      <w:r>
        <w:t xml:space="preserve">Ukupna vrijednost druge faze projekta Jadran je 120 mil. EUR, od čega je sredstvima Zajma Svjetske banke financirano 58.518.343,42. EUR, te su projekti financirani navedenim sredstvima dovršeni. Zajam prati i Darovnica GEF-a u iznosu 5.694.591,80 USD.  </w:t>
      </w:r>
    </w:p>
    <w:p w:rsidR="005C2091" w:rsidRDefault="00A86293">
      <w:r>
        <w:t>Svjetska banka je na zahtjev za produženjem korištenja sredstava GEF-a pozitivno odgovorila te je datum zatvaranja Darovnice produžen do 31.05.2016. uz još četiri mjeseca za plaćanje aktivnosti završenih do datuma zatvaranja darovnice.</w:t>
      </w:r>
    </w:p>
    <w:p w:rsidR="005C2091" w:rsidRDefault="00A86293">
      <w:pPr>
        <w:pStyle w:val="Heading8"/>
        <w:jc w:val="left"/>
      </w:pPr>
      <w:r>
        <w:t>Opis aktivnosti</w:t>
      </w:r>
    </w:p>
    <w:p w:rsidR="005C2091" w:rsidRDefault="00A86293">
      <w:r>
        <w:t>Glavni ciljevi projekta su ulaganje u priobalnu infrastrukturu za zaštitu okoliša, institucionalno jačanje  kroz financiranje nabave opreme, tehničke pomoći, izobrazbe i studija kao i jačanje sustava za nadzor kakvoće priobalnih voda, što se provodilo kroz dvije faze. Prva faza završena je 2009. godine nakon čega je uslijedila provedba druge faze.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Dužina izgrađene magistralne i sekundarne  mreže odvodnje otpadnih voda</w:t>
            </w:r>
          </w:p>
        </w:tc>
        <w:tc>
          <w:tcPr>
            <w:tcW w:w="2551" w:type="dxa"/>
          </w:tcPr>
          <w:p w:rsidR="005C2091" w:rsidRDefault="00A86293">
            <w:pPr>
              <w:pStyle w:val="CellColumn"/>
              <w:jc w:val="left"/>
            </w:pPr>
            <w:r>
              <w:rPr>
                <w:rFonts w:cs="Times New Roman"/>
              </w:rPr>
              <w:t>Dužina izgrađene magistralne i sekundarne  mreže odvodnje otpadnih voda</w:t>
            </w:r>
          </w:p>
        </w:tc>
        <w:tc>
          <w:tcPr>
            <w:tcW w:w="1020" w:type="dxa"/>
          </w:tcPr>
          <w:p w:rsidR="005C2091" w:rsidRDefault="00A86293">
            <w:pPr>
              <w:pStyle w:val="CellColumn"/>
              <w:jc w:val="right"/>
            </w:pPr>
            <w:r>
              <w:rPr>
                <w:rFonts w:cs="Times New Roman"/>
              </w:rPr>
              <w:t>km</w:t>
            </w:r>
          </w:p>
        </w:tc>
        <w:tc>
          <w:tcPr>
            <w:tcW w:w="1020" w:type="dxa"/>
          </w:tcPr>
          <w:p w:rsidR="005C2091" w:rsidRDefault="00A86293">
            <w:pPr>
              <w:pStyle w:val="CellColumn"/>
              <w:jc w:val="right"/>
            </w:pPr>
            <w:r>
              <w:rPr>
                <w:rFonts w:cs="Times New Roman"/>
              </w:rPr>
              <w:t>169</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169</w:t>
            </w:r>
          </w:p>
        </w:tc>
        <w:tc>
          <w:tcPr>
            <w:tcW w:w="1020" w:type="dxa"/>
          </w:tcPr>
          <w:p w:rsidR="005C2091" w:rsidRDefault="00A86293">
            <w:pPr>
              <w:pStyle w:val="CellColumn"/>
              <w:jc w:val="right"/>
            </w:pPr>
            <w:r>
              <w:rPr>
                <w:rFonts w:cs="Times New Roman"/>
              </w:rPr>
              <w:t>169</w:t>
            </w:r>
          </w:p>
        </w:tc>
      </w:tr>
      <w:tr w:rsidR="005C2091">
        <w:trPr>
          <w:jc w:val="center"/>
        </w:trPr>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2551" w:type="dxa"/>
          </w:tcPr>
          <w:p w:rsidR="005C2091" w:rsidRDefault="00A86293">
            <w:pPr>
              <w:pStyle w:val="CellColumn"/>
              <w:jc w:val="left"/>
            </w:pPr>
            <w:r>
              <w:rPr>
                <w:rFonts w:cs="Times New Roman"/>
              </w:rPr>
              <w:t>Broj izgrađenih vodnih građevina uključujući i uređaje za pročišćavanje i za kondicioniranje vode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Hrvatske vode</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20</w:t>
            </w:r>
          </w:p>
        </w:tc>
      </w:tr>
    </w:tbl>
    <w:p w:rsidR="005C2091" w:rsidRDefault="005C2091">
      <w:pPr>
        <w:jc w:val="left"/>
      </w:pPr>
    </w:p>
    <w:p w:rsidR="005C2091" w:rsidRDefault="00A86293">
      <w:pPr>
        <w:pStyle w:val="Heading3"/>
      </w:pPr>
      <w:r>
        <w:rPr>
          <w:rFonts w:cs="Times New Roman"/>
        </w:rPr>
        <w:t>3508 RAZVOJ I UPRAVLJANJE VODOOPSKRBNIM SUSTAVOM</w:t>
      </w:r>
    </w:p>
    <w:tbl>
      <w:tblPr>
        <w:tblStyle w:val="StilTablice"/>
        <w:tblW w:w="10206" w:type="dxa"/>
        <w:jc w:val="center"/>
        <w:tblLook w:val="04A0" w:firstRow="1" w:lastRow="0" w:firstColumn="1" w:lastColumn="0" w:noHBand="0" w:noVBand="1"/>
      </w:tblPr>
      <w:tblGrid>
        <w:gridCol w:w="1859"/>
        <w:gridCol w:w="1975"/>
        <w:gridCol w:w="1971"/>
        <w:gridCol w:w="1975"/>
        <w:gridCol w:w="1210"/>
        <w:gridCol w:w="1216"/>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3508-RAZVOJ I UPRAVLJANJE VODOOPSKRBNIM SUSTAVOM</w:t>
            </w:r>
          </w:p>
        </w:tc>
        <w:tc>
          <w:tcPr>
            <w:tcW w:w="2041" w:type="dxa"/>
          </w:tcPr>
          <w:p w:rsidR="005C2091" w:rsidRDefault="00A86293">
            <w:pPr>
              <w:pStyle w:val="CellColumn"/>
              <w:jc w:val="right"/>
            </w:pPr>
            <w:r>
              <w:rPr>
                <w:rFonts w:cs="Times New Roman"/>
              </w:rPr>
              <w:t>773.083</w:t>
            </w:r>
          </w:p>
        </w:tc>
        <w:tc>
          <w:tcPr>
            <w:tcW w:w="2041" w:type="dxa"/>
          </w:tcPr>
          <w:p w:rsidR="005C2091" w:rsidRDefault="00A86293">
            <w:pPr>
              <w:pStyle w:val="CellColumn"/>
              <w:jc w:val="right"/>
            </w:pPr>
            <w:r>
              <w:rPr>
                <w:rFonts w:cs="Times New Roman"/>
              </w:rPr>
              <w:t>497.561</w:t>
            </w:r>
          </w:p>
        </w:tc>
        <w:tc>
          <w:tcPr>
            <w:tcW w:w="2041" w:type="dxa"/>
          </w:tcPr>
          <w:p w:rsidR="005C2091" w:rsidRDefault="00A86293">
            <w:pPr>
              <w:pStyle w:val="CellColumn"/>
              <w:jc w:val="right"/>
            </w:pPr>
            <w:r>
              <w:rPr>
                <w:rFonts w:cs="Times New Roman"/>
              </w:rPr>
              <w:t>497.561</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64,4</w:t>
            </w:r>
          </w:p>
        </w:tc>
      </w:tr>
    </w:tbl>
    <w:p w:rsidR="005C2091" w:rsidRDefault="005C2091">
      <w:pPr>
        <w:jc w:val="left"/>
      </w:pPr>
    </w:p>
    <w:p w:rsidR="005C2091" w:rsidRDefault="00A86293">
      <w:r>
        <w:t xml:space="preserve">Ovim programom obuhvaćeno je financiranje rada Vijeća za vodne usluge. Prihvaćanjem pravne stečevine Europske Unije Republika Hrvatska preuzela je i regulative koje utječu na definiranje buduće politike gospodarenja vodama i tarifne politike cijena vodnih usluga. </w:t>
      </w:r>
    </w:p>
    <w:p w:rsidR="005C2091" w:rsidRDefault="00A86293">
      <w:r>
        <w:t>U odnosu na trenutno stanje identificirano u Strategiji upravljanja vodama, ciljevi nove politike gospodarenje vodama, između ostalog, uključuju okrupnjavanje vodnokomunalnog sektora te uvođenje načela ekonomske cijene vode i punog povrata troškova. Također, cijena vodnih usluga ne može pokrivati troškove neekonomičnog poslovanja isporučitelja vodnih usluga.</w:t>
      </w:r>
    </w:p>
    <w:p w:rsidR="005C2091" w:rsidRDefault="00A86293">
      <w:pPr>
        <w:pStyle w:val="Heading4"/>
      </w:pPr>
      <w:r>
        <w:t>A820042 VIJEĆE ZA VODNE USLUGE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A820042-VIJEĆE ZA VODNE USLUGE</w:t>
            </w:r>
          </w:p>
        </w:tc>
        <w:tc>
          <w:tcPr>
            <w:tcW w:w="2041" w:type="dxa"/>
          </w:tcPr>
          <w:p w:rsidR="005C2091" w:rsidRDefault="00A86293">
            <w:pPr>
              <w:pStyle w:val="CellColumn"/>
              <w:jc w:val="right"/>
            </w:pPr>
            <w:r>
              <w:rPr>
                <w:rFonts w:cs="Times New Roman"/>
              </w:rPr>
              <w:t>773.083</w:t>
            </w:r>
          </w:p>
        </w:tc>
        <w:tc>
          <w:tcPr>
            <w:tcW w:w="2041" w:type="dxa"/>
          </w:tcPr>
          <w:p w:rsidR="005C2091" w:rsidRDefault="00A86293">
            <w:pPr>
              <w:pStyle w:val="CellColumn"/>
              <w:jc w:val="right"/>
            </w:pPr>
            <w:r>
              <w:rPr>
                <w:rFonts w:cs="Times New Roman"/>
              </w:rPr>
              <w:t>497.561</w:t>
            </w:r>
          </w:p>
        </w:tc>
        <w:tc>
          <w:tcPr>
            <w:tcW w:w="2041" w:type="dxa"/>
          </w:tcPr>
          <w:p w:rsidR="005C2091" w:rsidRDefault="00A86293">
            <w:pPr>
              <w:pStyle w:val="CellColumn"/>
              <w:jc w:val="right"/>
            </w:pPr>
            <w:r>
              <w:rPr>
                <w:rFonts w:cs="Times New Roman"/>
              </w:rPr>
              <w:t>497.561</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64,4</w:t>
            </w:r>
          </w:p>
        </w:tc>
      </w:tr>
    </w:tbl>
    <w:p w:rsidR="005C2091" w:rsidRDefault="005C2091">
      <w:pPr>
        <w:jc w:val="left"/>
      </w:pPr>
    </w:p>
    <w:p w:rsidR="005C2091" w:rsidRDefault="00A86293">
      <w:pPr>
        <w:pStyle w:val="Heading8"/>
        <w:jc w:val="left"/>
      </w:pPr>
      <w:r>
        <w:t>Zakonske i druge pravne osnove</w:t>
      </w:r>
    </w:p>
    <w:p w:rsidR="005C2091" w:rsidRDefault="00A86293">
      <w:r>
        <w:t>Zakon o vodama (Narodne novine, br. 153/09, 60/11, 130/11,56/13 i 14/14)</w:t>
      </w:r>
    </w:p>
    <w:p w:rsidR="005C2091" w:rsidRDefault="00A86293">
      <w:pPr>
        <w:pStyle w:val="Heading8"/>
        <w:jc w:val="left"/>
      </w:pPr>
      <w:r>
        <w:t>Opis aktivnosti</w:t>
      </w:r>
    </w:p>
    <w:p w:rsidR="005C2091" w:rsidRDefault="00A86293">
      <w:r>
        <w:t xml:space="preserve">Sredstva na predmetnoj aktivnosti, sukladno odredbama Zakona o vodama (Narodne novine, br. 153/09, 60/11, 130/11,56/13 i 14/14) osigurana su za rad Vijeća za vodne usluge (naknada za rad i putni troškovi).  </w:t>
      </w:r>
    </w:p>
    <w:p w:rsidR="005C2091" w:rsidRDefault="00A86293">
      <w:r>
        <w:t>Zakonom o vodama (Narodne novine, br. 153/2009, 63/2011, 130/2011, 56/2013 i 14/2014) člankom 217. stavak 1., osnovano je Vijeće za vodne usluge kao neovisno državno tijelo, radi osiguranja zakonitosti u području određivanja cijene vodnih usluga te naknade za razvoj, a Vijeće u drugom sazivu imenovano je 6. veljače 2015. Odlukom Hrvatskog sabora Klasa:021-13/14-07/41.</w:t>
      </w:r>
    </w:p>
    <w:p w:rsidR="005C2091" w:rsidRDefault="00A86293">
      <w:pPr>
        <w:pStyle w:val="Heading2"/>
      </w:pPr>
      <w:r>
        <w:t>06025 Hrvatska agencija za hranu</w:t>
      </w:r>
    </w:p>
    <w:p w:rsidR="005C2091" w:rsidRDefault="00A86293">
      <w:r>
        <w:t xml:space="preserve">Hrvatska agencija za hranu (HAH) teži da se pozicionira kao prepoznatljiva i relevantna institucija koja svoj rad bazira na znanstvenom i stručnom pristupu procjeni rizika glede zdravstvene ispravnosti hrane i hrane za životinje i na obavještavanju o rezultatima procjene rizika, a koja u svome radu teži izvrsnosti i liderstvu u regiji. </w:t>
      </w:r>
    </w:p>
    <w:p w:rsidR="005C2091" w:rsidRDefault="00A86293">
      <w:r>
        <w:t>Vjerujemo kako jedino osiguranjem kvalitete svojih izlaznih dokumenata i usluga, možemo odgovoriti na sve veće potrebe i očekivanja svih dionika u području sigurnosti hrane, u okviru svojih nadležnosti definiranih Zakonom o hrani (NN br. 81/13;14/14).</w:t>
      </w:r>
    </w:p>
    <w:tbl>
      <w:tblPr>
        <w:tblStyle w:val="StilTablice"/>
        <w:tblW w:w="10206" w:type="dxa"/>
        <w:jc w:val="center"/>
        <w:tblLook w:val="04A0" w:firstRow="1" w:lastRow="0" w:firstColumn="1" w:lastColumn="0" w:noHBand="0" w:noVBand="1"/>
      </w:tblPr>
      <w:tblGrid>
        <w:gridCol w:w="1943"/>
        <w:gridCol w:w="1949"/>
        <w:gridCol w:w="1949"/>
        <w:gridCol w:w="1950"/>
        <w:gridCol w:w="1203"/>
        <w:gridCol w:w="121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06025-Hrvatska agencija za hranu</w:t>
            </w:r>
          </w:p>
        </w:tc>
        <w:tc>
          <w:tcPr>
            <w:tcW w:w="2041" w:type="dxa"/>
            <w:vAlign w:val="top"/>
          </w:tcPr>
          <w:p w:rsidR="005C2091" w:rsidRDefault="00A86293">
            <w:pPr>
              <w:pStyle w:val="CellColumn"/>
              <w:jc w:val="right"/>
            </w:pPr>
            <w:r>
              <w:rPr>
                <w:rFonts w:cs="Times New Roman"/>
              </w:rPr>
              <w:t>4.467.148</w:t>
            </w:r>
          </w:p>
        </w:tc>
        <w:tc>
          <w:tcPr>
            <w:tcW w:w="2041" w:type="dxa"/>
            <w:vAlign w:val="top"/>
          </w:tcPr>
          <w:p w:rsidR="005C2091" w:rsidRDefault="00A86293">
            <w:pPr>
              <w:pStyle w:val="CellColumn"/>
              <w:jc w:val="right"/>
            </w:pPr>
            <w:r>
              <w:rPr>
                <w:rFonts w:cs="Times New Roman"/>
              </w:rPr>
              <w:t>5.224.891</w:t>
            </w:r>
          </w:p>
        </w:tc>
        <w:tc>
          <w:tcPr>
            <w:tcW w:w="2041" w:type="dxa"/>
            <w:vAlign w:val="top"/>
          </w:tcPr>
          <w:p w:rsidR="005C2091" w:rsidRDefault="00A86293">
            <w:pPr>
              <w:pStyle w:val="CellColumn"/>
              <w:jc w:val="right"/>
            </w:pPr>
            <w:r>
              <w:rPr>
                <w:rFonts w:cs="Times New Roman"/>
              </w:rPr>
              <w:t>4.629.130</w:t>
            </w:r>
          </w:p>
        </w:tc>
        <w:tc>
          <w:tcPr>
            <w:tcW w:w="1224" w:type="dxa"/>
            <w:vAlign w:val="top"/>
          </w:tcPr>
          <w:p w:rsidR="005C2091" w:rsidRDefault="00A86293">
            <w:pPr>
              <w:pStyle w:val="CellColumn"/>
              <w:jc w:val="right"/>
            </w:pPr>
            <w:r>
              <w:rPr>
                <w:rFonts w:cs="Times New Roman"/>
              </w:rPr>
              <w:t>88,6</w:t>
            </w:r>
          </w:p>
        </w:tc>
        <w:tc>
          <w:tcPr>
            <w:tcW w:w="1224" w:type="dxa"/>
            <w:vAlign w:val="top"/>
          </w:tcPr>
          <w:p w:rsidR="005C2091" w:rsidRDefault="00A86293">
            <w:pPr>
              <w:pStyle w:val="CellColumn"/>
              <w:jc w:val="right"/>
            </w:pPr>
            <w:r>
              <w:rPr>
                <w:rFonts w:cs="Times New Roman"/>
              </w:rPr>
              <w:t>103,6</w:t>
            </w:r>
          </w:p>
        </w:tc>
      </w:tr>
      <w:tr w:rsidR="005C2091">
        <w:trPr>
          <w:jc w:val="center"/>
        </w:trPr>
        <w:tc>
          <w:tcPr>
            <w:tcW w:w="1632" w:type="dxa"/>
          </w:tcPr>
          <w:p w:rsidR="005C2091" w:rsidRDefault="00A86293">
            <w:pPr>
              <w:jc w:val="left"/>
            </w:pPr>
            <w:r>
              <w:t>3001-UPRAVLJANJE POLJOPRIVREDOM, RIBARSTVOM I RURALNIM RAZVOJEM</w:t>
            </w:r>
          </w:p>
        </w:tc>
        <w:tc>
          <w:tcPr>
            <w:tcW w:w="2041" w:type="dxa"/>
          </w:tcPr>
          <w:p w:rsidR="005C2091" w:rsidRDefault="00A86293">
            <w:pPr>
              <w:jc w:val="right"/>
            </w:pPr>
            <w:r>
              <w:t>4.467.148</w:t>
            </w:r>
          </w:p>
        </w:tc>
        <w:tc>
          <w:tcPr>
            <w:tcW w:w="2041" w:type="dxa"/>
          </w:tcPr>
          <w:p w:rsidR="005C2091" w:rsidRDefault="00A86293">
            <w:pPr>
              <w:jc w:val="right"/>
            </w:pPr>
            <w:r>
              <w:t>5.224.891</w:t>
            </w:r>
          </w:p>
        </w:tc>
        <w:tc>
          <w:tcPr>
            <w:tcW w:w="2041" w:type="dxa"/>
          </w:tcPr>
          <w:p w:rsidR="005C2091" w:rsidRDefault="00A86293">
            <w:pPr>
              <w:jc w:val="right"/>
            </w:pPr>
            <w:r>
              <w:t>4.629.130</w:t>
            </w:r>
          </w:p>
        </w:tc>
        <w:tc>
          <w:tcPr>
            <w:tcW w:w="1224" w:type="dxa"/>
          </w:tcPr>
          <w:p w:rsidR="005C2091" w:rsidRDefault="00A86293">
            <w:pPr>
              <w:jc w:val="right"/>
            </w:pPr>
            <w:r>
              <w:t>88,6</w:t>
            </w:r>
          </w:p>
        </w:tc>
        <w:tc>
          <w:tcPr>
            <w:tcW w:w="1224" w:type="dxa"/>
          </w:tcPr>
          <w:p w:rsidR="005C2091" w:rsidRDefault="00A86293">
            <w:pPr>
              <w:jc w:val="right"/>
            </w:pPr>
            <w:r>
              <w:t>103,6</w:t>
            </w:r>
          </w:p>
        </w:tc>
      </w:tr>
    </w:tbl>
    <w:p w:rsidR="005C2091" w:rsidRDefault="005C2091">
      <w:pPr>
        <w:jc w:val="left"/>
      </w:pPr>
    </w:p>
    <w:p w:rsidR="005C2091" w:rsidRDefault="00A86293">
      <w:pPr>
        <w:pStyle w:val="Heading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3"/>
        <w:gridCol w:w="1949"/>
        <w:gridCol w:w="1949"/>
        <w:gridCol w:w="1950"/>
        <w:gridCol w:w="1203"/>
        <w:gridCol w:w="1212"/>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3001-UPRAVLJANJE POLJOPRIVREDOM, RIBARSTVOM I RURALNIM RAZVOJEM</w:t>
            </w:r>
          </w:p>
        </w:tc>
        <w:tc>
          <w:tcPr>
            <w:tcW w:w="2041" w:type="dxa"/>
          </w:tcPr>
          <w:p w:rsidR="005C2091" w:rsidRDefault="00A86293">
            <w:pPr>
              <w:pStyle w:val="CellColumn"/>
              <w:jc w:val="right"/>
            </w:pPr>
            <w:r>
              <w:rPr>
                <w:rFonts w:cs="Times New Roman"/>
              </w:rPr>
              <w:t>4.467.148</w:t>
            </w:r>
          </w:p>
        </w:tc>
        <w:tc>
          <w:tcPr>
            <w:tcW w:w="2041" w:type="dxa"/>
          </w:tcPr>
          <w:p w:rsidR="005C2091" w:rsidRDefault="00A86293">
            <w:pPr>
              <w:pStyle w:val="CellColumn"/>
              <w:jc w:val="right"/>
            </w:pPr>
            <w:r>
              <w:rPr>
                <w:rFonts w:cs="Times New Roman"/>
              </w:rPr>
              <w:t>5.224.891</w:t>
            </w:r>
          </w:p>
        </w:tc>
        <w:tc>
          <w:tcPr>
            <w:tcW w:w="2041" w:type="dxa"/>
          </w:tcPr>
          <w:p w:rsidR="005C2091" w:rsidRDefault="00A86293">
            <w:pPr>
              <w:pStyle w:val="CellColumn"/>
              <w:jc w:val="right"/>
            </w:pPr>
            <w:r>
              <w:rPr>
                <w:rFonts w:cs="Times New Roman"/>
              </w:rPr>
              <w:t>4.629.130</w:t>
            </w:r>
          </w:p>
        </w:tc>
        <w:tc>
          <w:tcPr>
            <w:tcW w:w="1224" w:type="dxa"/>
          </w:tcPr>
          <w:p w:rsidR="005C2091" w:rsidRDefault="00A86293">
            <w:pPr>
              <w:pStyle w:val="CellColumn"/>
              <w:jc w:val="right"/>
            </w:pPr>
            <w:r>
              <w:rPr>
                <w:rFonts w:cs="Times New Roman"/>
              </w:rPr>
              <w:t>88,6</w:t>
            </w:r>
          </w:p>
        </w:tc>
        <w:tc>
          <w:tcPr>
            <w:tcW w:w="1224" w:type="dxa"/>
          </w:tcPr>
          <w:p w:rsidR="005C2091" w:rsidRDefault="00A86293">
            <w:pPr>
              <w:pStyle w:val="CellColumn"/>
              <w:jc w:val="right"/>
            </w:pPr>
            <w:r>
              <w:rPr>
                <w:rFonts w:cs="Times New Roman"/>
              </w:rPr>
              <w:t>103,6</w:t>
            </w:r>
          </w:p>
        </w:tc>
      </w:tr>
    </w:tbl>
    <w:p w:rsidR="005C2091" w:rsidRDefault="005C2091">
      <w:pPr>
        <w:jc w:val="left"/>
      </w:pPr>
    </w:p>
    <w:p w:rsidR="005C2091" w:rsidRDefault="00A86293">
      <w:r>
        <w:t xml:space="preserve">Djelatnosti Hrvatske agencije za hranu: </w:t>
      </w:r>
    </w:p>
    <w:p w:rsidR="005C2091" w:rsidRDefault="00A86293">
      <w:r>
        <w:t>•</w:t>
      </w:r>
      <w:r>
        <w:tab/>
        <w:t xml:space="preserve">znanstvena procjena rizika u području sigurnosti hrane i hrane za životinje, </w:t>
      </w:r>
    </w:p>
    <w:p w:rsidR="005C2091" w:rsidRDefault="00A86293">
      <w:r>
        <w:t>•</w:t>
      </w:r>
      <w:r>
        <w:tab/>
        <w:t xml:space="preserve">izrada znanstvenih studija u području sigurnosti hrane i hrane za životinje, </w:t>
      </w:r>
    </w:p>
    <w:p w:rsidR="005C2091" w:rsidRDefault="00A86293">
      <w:r>
        <w:t>•</w:t>
      </w:r>
      <w:r>
        <w:tab/>
        <w:t xml:space="preserve">davanje znanstvenih mišljenja na zahtjev nadležnih tijela, po službenoj dužnosti ili na zahtjev trećih zainteresiranih strana za njihove potrebe, </w:t>
      </w:r>
    </w:p>
    <w:p w:rsidR="005C2091" w:rsidRDefault="00A86293">
      <w:r>
        <w:t>•</w:t>
      </w:r>
      <w:r>
        <w:tab/>
        <w:t xml:space="preserve">davanje stručnih mišljenja te pružanje znanstvene i tehničke pomoći nadležnim tijelima u području sigurnosti hrane i hrane za životinje, kvalitete hrane i hrane za životinje, u pitanjima prehrane ljudi, u pitanjima koja se odnose na stavljanje na tržište nove hrane, hrane obogaćene nutrijentima, hrane za posebne prehrambene potrebe, hrane za životinje za posebne hranidbene namjene i GM hrane i hrane za životinje, pitanjima vezanim uz zdravlje i zaštitu životinja te biljno zdravstvo, </w:t>
      </w:r>
    </w:p>
    <w:p w:rsidR="005C2091" w:rsidRDefault="00A86293">
      <w:r>
        <w:t>•</w:t>
      </w:r>
      <w:r>
        <w:tab/>
        <w:t xml:space="preserve">izrada inicijalne procjene rizika (kao kontakt točka HR RASFF sustava), </w:t>
      </w:r>
    </w:p>
    <w:p w:rsidR="005C2091" w:rsidRDefault="00A86293">
      <w:r>
        <w:t>•</w:t>
      </w:r>
      <w:r>
        <w:tab/>
        <w:t xml:space="preserve">prikupljanje i analiza rezultata službenih kontrola i ostalih podataka u svrhu karakteriziranja i praćenja rizika koji imaju izravan ili neizravan utjecaj na sigurnost hrane i hrane za životinje, </w:t>
      </w:r>
    </w:p>
    <w:p w:rsidR="005C2091" w:rsidRDefault="00A86293">
      <w:r>
        <w:t>•</w:t>
      </w:r>
      <w:r>
        <w:tab/>
        <w:t xml:space="preserve">identifikacija i karakterizacija rizika te rizika u nastajanju, </w:t>
      </w:r>
    </w:p>
    <w:p w:rsidR="005C2091" w:rsidRDefault="00A86293">
      <w:r>
        <w:t>•</w:t>
      </w:r>
      <w:r>
        <w:tab/>
        <w:t xml:space="preserve">uspostava i koordiniranje nacionalne mreže institucija uključenih u sustav sigurnosti hrane i hrane za životinje u Republici Hrvatskoj, </w:t>
      </w:r>
    </w:p>
    <w:p w:rsidR="005C2091" w:rsidRDefault="00A86293">
      <w:r>
        <w:t>•</w:t>
      </w:r>
      <w:r>
        <w:tab/>
        <w:t xml:space="preserve">razvoj i primjena jedinstvene metodologije procjene rizika u području sigurnosti hrane i hrane za životinje, </w:t>
      </w:r>
    </w:p>
    <w:p w:rsidR="005C2091" w:rsidRDefault="00A86293">
      <w:r>
        <w:t>•</w:t>
      </w:r>
      <w:r>
        <w:tab/>
        <w:t xml:space="preserve">edukacija zainteresiranih strana i izdavanje edukativnih materijala vezano za opasnosti i rizike koji potječu od hrane i hrane za životinje, </w:t>
      </w:r>
    </w:p>
    <w:p w:rsidR="005C2091" w:rsidRDefault="00A86293">
      <w:r>
        <w:t>•</w:t>
      </w:r>
      <w:r>
        <w:tab/>
        <w:t xml:space="preserve">obavještavanje javnosti o pitanjima u okviru svoje djelatnosti, </w:t>
      </w:r>
    </w:p>
    <w:p w:rsidR="005C2091" w:rsidRDefault="00A86293">
      <w:r>
        <w:t>•</w:t>
      </w:r>
      <w:r>
        <w:tab/>
        <w:t xml:space="preserve">izvođenje neovisnih zaključaka i izražavanje stavova u pitanjima iz svoje djelatnosti te pružanje brzih, pouzdanih, objektivnih i razumljivih informacija javnosti i zainteresiranim stranama, </w:t>
      </w:r>
    </w:p>
    <w:p w:rsidR="005C2091" w:rsidRDefault="00A86293">
      <w:r>
        <w:t>•</w:t>
      </w:r>
      <w:r>
        <w:tab/>
        <w:t xml:space="preserve">suradnja u promicanju učinkovite povezanosti funkcija upravljanja rizikom, procjene rizika i komunikacije o riziku. </w:t>
      </w:r>
    </w:p>
    <w:p w:rsidR="005C2091" w:rsidRDefault="00A86293">
      <w:r>
        <w:t xml:space="preserve"> Ovim Programom  obuhvaćene su aktivnosti  financiranja redovnog rada HAH-a te izrade znanstvenih projekata i znanstvenih studija koji su neophodni za pružanje transparentnih i neovisnih znanstvenih savjeta i mišljenja u svrhu znanstvene i stručne potpore povezane s rizicima hrane u RH.</w:t>
      </w:r>
    </w:p>
    <w:p w:rsidR="005C2091" w:rsidRDefault="00A86293">
      <w:pPr>
        <w:pStyle w:val="Heading8"/>
        <w:jc w:val="left"/>
      </w:pPr>
      <w:r>
        <w:t>Cilj 1. Administracija i upravljanje Hrvatske agencije za hranu</w:t>
      </w:r>
    </w:p>
    <w:p w:rsidR="005C2091" w:rsidRDefault="00A86293">
      <w:pPr>
        <w:pStyle w:val="Heading8"/>
        <w:jc w:val="left"/>
      </w:pPr>
      <w:r>
        <w:t>Opis provedbe cilja programa</w:t>
      </w:r>
    </w:p>
    <w:p w:rsidR="005C2091" w:rsidRDefault="00A86293">
      <w:r>
        <w:t xml:space="preserve">Cilj koji osigurava redovno poslovanje HAH-a kroz zakonito i učinkovito funkcioniranje i kontrolu financijskog poslovanja, nabave i fiskalne odgovornosti. Obuhvaća aktivnosti poput izrade pravne podloge za provođenje znanstvenih projekata i znanstvenih studija koji su neophodni za pružanje transparentnih i neovisnih znanstvenih savjeta i mišljenja u svrhu znanstvene i stručne potpore povezane s rizicima porijeklom od hrane u RH. Podrazumijeva stalno praćenje zakonskih i podzakonskih propisa te sudjelovanje u izradi nacrta općih akata, planova i izvješća. </w:t>
      </w:r>
    </w:p>
    <w:p w:rsidR="005C2091" w:rsidRDefault="00A86293">
      <w:r>
        <w:t xml:space="preserve">Podcilj 1.1. Izrada nacrta općih akata, ugovora, planova, izvješća i sudjelovanje u radu tijela </w:t>
      </w:r>
    </w:p>
    <w:p w:rsidR="005C2091" w:rsidRDefault="00A86293">
      <w:r>
        <w:t xml:space="preserve">Uključuje proučavanje zakonskih i podzakonskih nacionalnih propisa te izradu prijedloga Pravilnika, Poslovnika, izradu Ugovora, Odluka te sudjelovanje u izradi Strategija i Planova. Važan dio redovitog poslovanja je sudjelovanje i sazivanje sjednica tijela HAH-a, sudjelovanje u radu Povjerenstva i drugih radnih tijela. </w:t>
      </w:r>
    </w:p>
    <w:p w:rsidR="005C2091" w:rsidRDefault="00A86293">
      <w:r>
        <w:t xml:space="preserve">Podcilj 1.2. Zakonito i učinkovito funkcioniranje i kontrola financijskog upravljanja i nabave </w:t>
      </w:r>
    </w:p>
    <w:p w:rsidR="005C2091" w:rsidRDefault="00A86293">
      <w:r>
        <w:t xml:space="preserve">Podrazumijeva zakonito i učinkovito funkcioniranje i kontrolu financijskog poslovanja izradom Financijskog plana i Plana nabave te kontrolu izvršenja državnog proračuna u odnosu na planirana sredstva.  </w:t>
      </w:r>
    </w:p>
    <w:p w:rsidR="005C2091" w:rsidRDefault="00A86293">
      <w:r>
        <w:t xml:space="preserve">Omogućuje zakonito i učinkovito provođenje Zakona o fiskalnoj odgovornosti i povezivanje poslovnih procesa vezanih uz nabavu i izvršenje Financijskog plana i Plana nabave HAH-a s proceduralnim postavkama odredaba Zakona o fiskalnoj odgovornosti. </w:t>
      </w:r>
    </w:p>
    <w:p w:rsidR="005C2091" w:rsidRDefault="00A86293">
      <w:r>
        <w:t xml:space="preserve">Podcilj 1.3. Upravljanje ljudskim potencijalima i opremanje </w:t>
      </w:r>
    </w:p>
    <w:p w:rsidR="005C2091" w:rsidRDefault="00A86293">
      <w:r>
        <w:t>Ključan segment razvoja HAH-a su ljudi te ulaganje u ljudski potencijal kroz edukacije i usavršavanja na pojedinim stručnim područjima. Osim edukacija djelatnika osiguravaju se i dostatna sredstva za provođenje redovitog poslovanja HAH-a.</w:t>
      </w:r>
    </w:p>
    <w:p w:rsidR="005C2091" w:rsidRDefault="00A86293">
      <w:pPr>
        <w:pStyle w:val="Heading8"/>
        <w:jc w:val="left"/>
      </w:pPr>
      <w:r>
        <w:t>Cilj 2. Unapređenje procjene rizika u području sigurnosti hrane i hrane za životinje</w:t>
      </w:r>
    </w:p>
    <w:p w:rsidR="005C2091" w:rsidRDefault="00A86293">
      <w:pPr>
        <w:pStyle w:val="Heading8"/>
        <w:jc w:val="left"/>
      </w:pPr>
      <w:r>
        <w:t>Opis provedbe cilja programa</w:t>
      </w:r>
    </w:p>
    <w:p w:rsidR="005C2091" w:rsidRDefault="00A86293">
      <w:r>
        <w:t xml:space="preserve">HAH ima jasne smjernice djelovanja uključujući sve teme koje imaju izravan ili neizravan utjecaj na sigurnost hrane i hrane za životinje kao i zaštitu bilja te zdravlje i dobrobit životinja. Kako bi HAH mogla predstavljati neovisno tijelo za znanstvenu procjenu rizika u hrani i neovisan izvor savjeta, nužno je osigurati rezultate službenih kontrola te rezultate monitoringa, kao i znanstvenih studija realiziranih kroz mrežu institucija definiranu Pravilnikom o pravilima uspostave nacionalne mreže institucija u području sigurnosti hrane i hrane za životinje (NN 43/10) te Pravilnikom o izdavanju znanstvenog mišljenja i pružanju znanstvene i tehničke potpore (NN 130/09). </w:t>
      </w:r>
    </w:p>
    <w:p w:rsidR="005C2091" w:rsidRDefault="00A86293">
      <w:r>
        <w:t xml:space="preserve">Podcilj 2.1. Procjena rizika u području sigurnosti hrane i hrane za životinje </w:t>
      </w:r>
    </w:p>
    <w:p w:rsidR="005C2091" w:rsidRDefault="00A86293">
      <w:r>
        <w:t xml:space="preserve">HAH ima jasne smjernice djelovanja uključujući sve teme koje imaju izravan ili neizravan utjecaj na sigurnost hrane i hrane za životinje kao i zaštitu bilja te zdravlje i dobrobit životinja. Kako bi HAH mogla predstavljati neovisno tijelo za znanstvenu procjenu rizika u hrani i neovisan izvor savjeta, nužno je osigurati rezultate službenih kontrola te rezultate monitoringa, kao i znanstvenih studija realiziranih kroz mrežu institucija definiranu Pravilnikom o pravilima uspostave nacionalne mreže institucija u području sigurnosti hrane i hrane za životinje (NN 43/10) te Pravilnikom o izdavanju znanstvenog mišljenja i pružanju znanstvene i tehničke potpore (NN 130/09). </w:t>
      </w:r>
    </w:p>
    <w:p w:rsidR="005C2091" w:rsidRDefault="00A86293">
      <w:r>
        <w:t xml:space="preserve">Osim toga, omogućuje razvoj i primjenu jedinstvenih metodologija procjene rizika radi sigurnosti hrane i hrane za životinje, zaprimanje obavijesti putem sustava brzog uzbunjivanja za hranu i hranu za životinje kroz provođenje pasivnog dežurstva 24 sata na dan sedam dana u tjednu potrebno za izradu Inicijalne procjene rizika (IPR) u roku od tri sata od zaprimanja, na temelju Pravilnika o sustavu brzog uzbunjivanja za hranu i hranu za životinje (NN br. 86/12) te  izradu i realizaciju znanstvenih studija u području sigurnosti hrane i hrane za životinje.  </w:t>
      </w:r>
    </w:p>
    <w:p w:rsidR="005C2091" w:rsidRDefault="00A86293">
      <w:r>
        <w:t xml:space="preserve">Podcilj 2.2. Izrada znanstvenih studija i znanstvenih mišljenja u svrhu karakteriziranja i praćenja rizika te kao potpora nadležnom tijelu i zainteresiranim stranama </w:t>
      </w:r>
    </w:p>
    <w:p w:rsidR="005C2091" w:rsidRDefault="00A86293">
      <w:r>
        <w:t xml:space="preserve">Prikupljanjem podataka službenih kontrola hrane i hrane za životinje formiraju se baze podataka te se rezultati statistički obrađuju i koriste u izradi Godišnjih izvještaja o rezultatima analiza hrane i hrane za životinje i za izradu Znanstvenih mišljenja. Za izradu Znanstvenih mišljenja sazivaju se sjednice znanstvenih tijela HAH-a, a sazivanje sjednica, pripremu materijala i izradu Zapisnika osigurava koordinator – djelatnik HAH-a. </w:t>
      </w:r>
    </w:p>
    <w:p w:rsidR="005C2091" w:rsidRDefault="00A86293">
      <w:r>
        <w:t xml:space="preserve">Tijekom 2016. godine pokrenuto je i realizirano nekoliko znanstvenih studija: </w:t>
      </w:r>
    </w:p>
    <w:p w:rsidR="005C2091" w:rsidRDefault="00A86293">
      <w:r>
        <w:t></w:t>
      </w:r>
      <w:r>
        <w:tab/>
        <w:t xml:space="preserve">Znanstvena studija „Određivanje anorganskog arsena u različitim vrstama hrane iz prehrambenog lanca“ </w:t>
      </w:r>
    </w:p>
    <w:p w:rsidR="005C2091" w:rsidRDefault="00A86293">
      <w:r>
        <w:t></w:t>
      </w:r>
      <w:r>
        <w:tab/>
        <w:t xml:space="preserve">Znanstvena studija „Određivanje prisutnosti patulina u voćnim sokovima i kašastim proizvodima na bazi jabuka i drugog voća u RH“ </w:t>
      </w:r>
    </w:p>
    <w:p w:rsidR="005C2091" w:rsidRDefault="00A86293">
      <w:r>
        <w:t></w:t>
      </w:r>
      <w:r>
        <w:tab/>
        <w:t xml:space="preserve">Znanstvena studija „Određivanje ergot alkaloida u hrani i žitaricama“  </w:t>
      </w:r>
    </w:p>
    <w:p w:rsidR="005C2091" w:rsidRDefault="00A86293">
      <w:r>
        <w:t></w:t>
      </w:r>
      <w:r>
        <w:tab/>
        <w:t xml:space="preserve">Znanstvena studija „Molekularna/genetska istraživanja učestalosti Giardia/Cryptosporia u uzgojima školjkaša u RH“ </w:t>
      </w:r>
    </w:p>
    <w:p w:rsidR="005C2091" w:rsidRDefault="00A86293">
      <w:r>
        <w:t></w:t>
      </w:r>
      <w:r>
        <w:tab/>
        <w:t xml:space="preserve">Znanstvena studija „Istraživanje prisutnosti patogenih bakterija u uzgojima školjkaša u RH“ </w:t>
      </w:r>
    </w:p>
    <w:p w:rsidR="005C2091" w:rsidRDefault="00A86293">
      <w:r>
        <w:t></w:t>
      </w:r>
      <w:r>
        <w:tab/>
        <w:t xml:space="preserve">Znanstvena studija „Određivanje acetiliranog oblika DON-a u žitaricama i proizvodima od žitarica“ </w:t>
      </w:r>
    </w:p>
    <w:p w:rsidR="005C2091" w:rsidRDefault="00A86293">
      <w:r>
        <w:t></w:t>
      </w:r>
      <w:r>
        <w:tab/>
        <w:t xml:space="preserve">Znanstvena studija „Određivanje sadržaja trans-masnih kiselina u konditorskim proizvodima na tržištu RH“ </w:t>
      </w:r>
    </w:p>
    <w:p w:rsidR="005C2091" w:rsidRDefault="00A86293">
      <w:r>
        <w:t xml:space="preserve">Podcilj 2.3. Uspostavljanje nacionalne baze podataka o prehrambenim navikama i sastavu hrane </w:t>
      </w:r>
    </w:p>
    <w:p w:rsidR="005C2091" w:rsidRDefault="00A86293">
      <w:r>
        <w:t xml:space="preserve">U cilju unapređenja procjene rizika u području sigurnosti hrane, prehrambene navike           predstavljaju osnovu za njenu provedbu. Korist od ovakve baze podataka je višeznačna, kako za HAH u obavljanju svoje glavne djelatnosti, tako i za širu zajednicu i sve sudionike u sustavu sigurnosti hrane. Prikupljanjem podataka o sastavu hrane  te kodiranjem grupa hrane prema FoodEx 2 izrađuje se baza podataka i periodični izvještaj, koji služe kao podloga za izradu stručnih materijala ( letak, brošura, priručnik). Podaci dobiveni ovim istraživanjem bude veliki interes od strane sudionika  sustava sigurnosti hrane u RH.  </w:t>
      </w:r>
    </w:p>
    <w:p w:rsidR="005C2091" w:rsidRDefault="00A86293">
      <w:r>
        <w:t xml:space="preserve">Podcilj 2.4. Jačanje komunikacije i dijaloga </w:t>
      </w:r>
    </w:p>
    <w:p w:rsidR="005C2091" w:rsidRDefault="00A86293">
      <w:r>
        <w:t xml:space="preserve">Kontinuiranim radom na unapređivanju dijaloga sa zainteresiranim stranama i stalnim kontaktima sa komunikatorima i upraviteljima rizika u RH i procjeniteljima rizika u zemljama članicama EU, ali i drugim zainteresiranim stranama HAH ima za cilj osigurati pravovremene i relevantne informacije na svim područjima svoga rada. U tom smislu publicirati će stručne i popularne materijale vezane uz rizike porijeklom iz hrane, a namijenjene ciljanim skupinama potrošača kao i proizvođačima hrane. </w:t>
      </w:r>
    </w:p>
    <w:p w:rsidR="005C2091" w:rsidRDefault="00A86293">
      <w:r>
        <w:t xml:space="preserve">Podcilj 2.5. Uspostava i koordiniranje nacionalne mreže institucija u području sigurnosti hrane </w:t>
      </w:r>
    </w:p>
    <w:p w:rsidR="005C2091" w:rsidRDefault="00A86293">
      <w:r>
        <w:t xml:space="preserve">Kroz poslove uspostave i koordiniranja nacionalne mreže institucija u području sigurnosti hrane vrši se ažuriranje i vođenje baza podataka, izrada izvještaja, organizacija i provedba sastanaka, te slanje informacija između članica mreže  i Europske agencije za hranu (EFSA). Uspostava mreže institucija provodi se u skladu sa člankom 36. Direktive EZ broj 178/2002. Focal Point djeluje kao poveznica između EFSA-e i nacionalnih institucija za sigurnost hrane, istraživačkih instituta, potrošača te dionika u zemljama članicama EU. FP je mreža koja svojim aktivnostima značajno doprinosi poboljšanju znanstvene suradnje između EFSA-e i zemalja članica EU. HAH je imenovana 2009. godine kao Focal Point za Hrvatsku.  </w:t>
      </w:r>
    </w:p>
    <w:p w:rsidR="005C2091" w:rsidRDefault="00A86293">
      <w:r>
        <w:t>Ciljevi aktivnosti su brža i jednostavnija razmjena znanstvenih informacija između nacionalnih institucija i EFSA-e, podrška aktivnostima koje su određene člankom 36. kojim se određuje uspostava nacionalne mreže institucija sa institutima, fakultetima, laboratorijima, upravljačima rizika, procjeniteljima rizika, dionicima i EFSA-om, podrška u popularizaciji EFSA-ine baze podataka o znanstvenicima i podizanje vidljivosti znanstvenog rada i dosega EFSA-e.</w:t>
      </w:r>
    </w:p>
    <w:p w:rsidR="005C2091" w:rsidRDefault="00A86293">
      <w:pPr>
        <w:pStyle w:val="Heading8"/>
        <w:jc w:val="left"/>
      </w:pPr>
      <w:r>
        <w:t>Cilj 3. Jačanje komunikacije i dijaloga na nacionalnoj i međunarodnoj razini</w:t>
      </w:r>
    </w:p>
    <w:p w:rsidR="005C2091" w:rsidRDefault="00A86293">
      <w:pPr>
        <w:pStyle w:val="Heading8"/>
        <w:jc w:val="left"/>
      </w:pPr>
      <w:r>
        <w:t>Opis provedbe cilja programa</w:t>
      </w:r>
    </w:p>
    <w:p w:rsidR="005C2091" w:rsidRDefault="00A86293">
      <w:r>
        <w:t xml:space="preserve">Suradnjom na nacionalnoj i međunarodnoj razini HAH sudjeluje u radu Povjerenstava prilikom izrade propisa u području sigurnosti hrane i hrane za životinje te u radu stručnih tijela EFSA-e. Komunikacijom se osigurava zastupanje i predstavljanje HAH-a, na temelju prezentacije rezultata istraživanja na seminarima i kongresima, sudjelovanjem u radu tijela kroz izvješća i obavještavanjem javnosti o rezultatima procjene rizika putem obavijesti i izjava. </w:t>
      </w:r>
    </w:p>
    <w:p w:rsidR="005C2091" w:rsidRDefault="00A86293">
      <w:r>
        <w:t>Na međunarodnoj razini u 2016.g. HAH  je sudjelovala u provedbi projekata:  FP7- Ukupna prehrambena studija-Total Diet Study (TDS), Kontaktna točka Europske agencije za sigurnost hrane, Prikupljanje podataka o sastavu hrane FAO, Elektronski prijenos nacionalnih laboratorijskih podataka u EFSA-u (SSD2.)</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akata, sjednica</w:t>
            </w:r>
          </w:p>
        </w:tc>
        <w:tc>
          <w:tcPr>
            <w:tcW w:w="2551" w:type="dxa"/>
          </w:tcPr>
          <w:p w:rsidR="005C2091" w:rsidRDefault="00A86293">
            <w:pPr>
              <w:pStyle w:val="CellColumn"/>
              <w:jc w:val="left"/>
            </w:pPr>
            <w:r>
              <w:rPr>
                <w:rFonts w:cs="Times New Roman"/>
              </w:rPr>
              <w:t>Izrada nacrta općih akata, ugovora, odluka, planova i izvješća;sudjelovanje u radu stručnih tijela, povjerenstava i drugih radnih tijela HAH-a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HAH</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30</w:t>
            </w:r>
          </w:p>
        </w:tc>
      </w:tr>
      <w:tr w:rsidR="005C2091">
        <w:trPr>
          <w:jc w:val="center"/>
        </w:trPr>
        <w:tc>
          <w:tcPr>
            <w:tcW w:w="2551" w:type="dxa"/>
          </w:tcPr>
          <w:p w:rsidR="005C2091" w:rsidRDefault="00A86293">
            <w:pPr>
              <w:pStyle w:val="CellColumn"/>
              <w:jc w:val="left"/>
            </w:pPr>
            <w:r>
              <w:rPr>
                <w:rFonts w:cs="Times New Roman"/>
              </w:rPr>
              <w:t>Broj akata, poslovnih procesa</w:t>
            </w:r>
          </w:p>
        </w:tc>
        <w:tc>
          <w:tcPr>
            <w:tcW w:w="2551" w:type="dxa"/>
          </w:tcPr>
          <w:p w:rsidR="005C2091" w:rsidRDefault="00A86293">
            <w:pPr>
              <w:pStyle w:val="CellColumn"/>
              <w:jc w:val="left"/>
            </w:pPr>
            <w:r>
              <w:rPr>
                <w:rFonts w:cs="Times New Roman"/>
              </w:rPr>
              <w:t>Broj proučenih zakonskih i podzakonskih propisa, broj donesenih internih pravilnika, poslovnika, odluka, planova i strategija; uspostava poslovnih procesa vezano za sazivanje i sudjelovanje u radu tijela, te poslovnih procesa vezanih uz izvršenja i postupanja po zakonskim  i podzakonskim propisima koji se tiču FP i PN, te poslovnih procesa vezanih za objedinjavanje metodologija u procjeni rizika, izvješća o rezultatima istraživanja i drugih poslovnih procesa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HAH</w:t>
            </w:r>
          </w:p>
        </w:tc>
        <w:tc>
          <w:tcPr>
            <w:tcW w:w="1020" w:type="dxa"/>
          </w:tcPr>
          <w:p w:rsidR="005C2091" w:rsidRDefault="00A86293">
            <w:pPr>
              <w:pStyle w:val="CellColumn"/>
              <w:jc w:val="right"/>
            </w:pPr>
            <w:r>
              <w:rPr>
                <w:rFonts w:cs="Times New Roman"/>
              </w:rPr>
              <w:t>6</w:t>
            </w:r>
          </w:p>
        </w:tc>
        <w:tc>
          <w:tcPr>
            <w:tcW w:w="1020" w:type="dxa"/>
          </w:tcPr>
          <w:p w:rsidR="005C2091" w:rsidRDefault="00A86293">
            <w:pPr>
              <w:pStyle w:val="CellColumn"/>
              <w:jc w:val="right"/>
            </w:pPr>
            <w:r>
              <w:rPr>
                <w:rFonts w:cs="Times New Roman"/>
              </w:rPr>
              <w:t>6</w:t>
            </w:r>
          </w:p>
        </w:tc>
      </w:tr>
      <w:tr w:rsidR="005C2091">
        <w:trPr>
          <w:jc w:val="center"/>
        </w:trPr>
        <w:tc>
          <w:tcPr>
            <w:tcW w:w="2551" w:type="dxa"/>
          </w:tcPr>
          <w:p w:rsidR="005C2091" w:rsidRDefault="00A86293">
            <w:pPr>
              <w:pStyle w:val="CellColumn"/>
              <w:jc w:val="left"/>
            </w:pPr>
            <w:r>
              <w:rPr>
                <w:rFonts w:cs="Times New Roman"/>
              </w:rPr>
              <w:t>Broj zaposlenika, redovno uredsko poslovanje, rad predstavničkih tijela</w:t>
            </w:r>
          </w:p>
        </w:tc>
        <w:tc>
          <w:tcPr>
            <w:tcW w:w="2551" w:type="dxa"/>
          </w:tcPr>
          <w:p w:rsidR="005C2091" w:rsidRDefault="00A86293">
            <w:pPr>
              <w:pStyle w:val="CellColumn"/>
              <w:jc w:val="left"/>
            </w:pPr>
            <w:r>
              <w:rPr>
                <w:rFonts w:cs="Times New Roman"/>
              </w:rPr>
              <w:t>Educiranje zaposlenika, kao ključnog segmenta razvoja HAH-a odvija se kroz razne oblike edukacija i usavršavanja na pojedinim stručnim područjima, te provođenje redovitog poslovanja HAH-a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HAH</w:t>
            </w:r>
          </w:p>
        </w:tc>
        <w:tc>
          <w:tcPr>
            <w:tcW w:w="1020" w:type="dxa"/>
          </w:tcPr>
          <w:p w:rsidR="005C2091" w:rsidRDefault="00A86293">
            <w:pPr>
              <w:pStyle w:val="CellColumn"/>
              <w:jc w:val="right"/>
            </w:pPr>
            <w:r>
              <w:rPr>
                <w:rFonts w:cs="Times New Roman"/>
              </w:rPr>
              <w:t>22</w:t>
            </w:r>
          </w:p>
        </w:tc>
        <w:tc>
          <w:tcPr>
            <w:tcW w:w="1020" w:type="dxa"/>
          </w:tcPr>
          <w:p w:rsidR="005C2091" w:rsidRDefault="00A86293">
            <w:pPr>
              <w:pStyle w:val="CellColumn"/>
              <w:jc w:val="right"/>
            </w:pPr>
            <w:r>
              <w:rPr>
                <w:rFonts w:cs="Times New Roman"/>
              </w:rPr>
              <w:t>22</w:t>
            </w:r>
          </w:p>
        </w:tc>
      </w:tr>
      <w:tr w:rsidR="005C2091">
        <w:trPr>
          <w:jc w:val="center"/>
        </w:trPr>
        <w:tc>
          <w:tcPr>
            <w:tcW w:w="2551" w:type="dxa"/>
          </w:tcPr>
          <w:p w:rsidR="005C2091" w:rsidRDefault="00A86293">
            <w:pPr>
              <w:pStyle w:val="CellColumn"/>
              <w:jc w:val="left"/>
            </w:pPr>
            <w:r>
              <w:rPr>
                <w:rFonts w:cs="Times New Roman"/>
              </w:rPr>
              <w:t>Broj inicijalnih procjena</w:t>
            </w:r>
          </w:p>
        </w:tc>
        <w:tc>
          <w:tcPr>
            <w:tcW w:w="2551" w:type="dxa"/>
          </w:tcPr>
          <w:p w:rsidR="005C2091" w:rsidRDefault="00A86293">
            <w:pPr>
              <w:pStyle w:val="CellColumn"/>
              <w:jc w:val="left"/>
            </w:pPr>
            <w:r>
              <w:rPr>
                <w:rFonts w:cs="Times New Roman"/>
              </w:rPr>
              <w:t>Izrada izvještaja o zaprimljenoj obavijesti putem sustava brzog uzbunjivanja uz procjenu rizika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HAH</w:t>
            </w:r>
          </w:p>
        </w:tc>
        <w:tc>
          <w:tcPr>
            <w:tcW w:w="1020" w:type="dxa"/>
          </w:tcPr>
          <w:p w:rsidR="005C2091" w:rsidRDefault="00A86293">
            <w:pPr>
              <w:pStyle w:val="CellColumn"/>
              <w:jc w:val="right"/>
            </w:pPr>
            <w:r>
              <w:rPr>
                <w:rFonts w:cs="Times New Roman"/>
              </w:rPr>
              <w:t>6</w:t>
            </w:r>
          </w:p>
        </w:tc>
        <w:tc>
          <w:tcPr>
            <w:tcW w:w="1020" w:type="dxa"/>
          </w:tcPr>
          <w:p w:rsidR="005C2091" w:rsidRDefault="00A86293">
            <w:pPr>
              <w:pStyle w:val="CellColumn"/>
              <w:jc w:val="right"/>
            </w:pPr>
            <w:r>
              <w:rPr>
                <w:rFonts w:cs="Times New Roman"/>
              </w:rPr>
              <w:t>8</w:t>
            </w:r>
          </w:p>
        </w:tc>
      </w:tr>
      <w:tr w:rsidR="005C2091">
        <w:trPr>
          <w:jc w:val="center"/>
        </w:trPr>
        <w:tc>
          <w:tcPr>
            <w:tcW w:w="2551" w:type="dxa"/>
          </w:tcPr>
          <w:p w:rsidR="005C2091" w:rsidRDefault="00A86293">
            <w:pPr>
              <w:pStyle w:val="CellColumn"/>
              <w:jc w:val="left"/>
            </w:pPr>
            <w:r>
              <w:rPr>
                <w:rFonts w:cs="Times New Roman"/>
              </w:rPr>
              <w:t>Broj znanstvenih studija, znanstvenih mišljenja</w:t>
            </w:r>
          </w:p>
        </w:tc>
        <w:tc>
          <w:tcPr>
            <w:tcW w:w="2551" w:type="dxa"/>
          </w:tcPr>
          <w:p w:rsidR="005C2091" w:rsidRDefault="00A86293">
            <w:pPr>
              <w:pStyle w:val="CellColumn"/>
              <w:jc w:val="left"/>
            </w:pPr>
            <w:r>
              <w:rPr>
                <w:rFonts w:cs="Times New Roman"/>
              </w:rPr>
              <w:t>Zakonska zadaća HAH-a je izdavanje znanstvenih mišljenja i izrada znanstvenih studija koje donose znanstvena i stručna tijela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16</w:t>
            </w:r>
          </w:p>
        </w:tc>
        <w:tc>
          <w:tcPr>
            <w:tcW w:w="1020" w:type="dxa"/>
          </w:tcPr>
          <w:p w:rsidR="005C2091" w:rsidRDefault="00A86293">
            <w:pPr>
              <w:pStyle w:val="CellColumn"/>
              <w:jc w:val="right"/>
            </w:pPr>
            <w:r>
              <w:rPr>
                <w:rFonts w:cs="Times New Roman"/>
              </w:rPr>
              <w:t>HAH</w:t>
            </w:r>
          </w:p>
        </w:tc>
        <w:tc>
          <w:tcPr>
            <w:tcW w:w="1020" w:type="dxa"/>
          </w:tcPr>
          <w:p w:rsidR="005C2091" w:rsidRDefault="00A86293">
            <w:pPr>
              <w:pStyle w:val="CellColumn"/>
              <w:jc w:val="right"/>
            </w:pPr>
            <w:r>
              <w:rPr>
                <w:rFonts w:cs="Times New Roman"/>
              </w:rPr>
              <w:t>17</w:t>
            </w:r>
          </w:p>
        </w:tc>
        <w:tc>
          <w:tcPr>
            <w:tcW w:w="1020" w:type="dxa"/>
          </w:tcPr>
          <w:p w:rsidR="005C2091" w:rsidRDefault="00A86293">
            <w:pPr>
              <w:pStyle w:val="CellColumn"/>
              <w:jc w:val="right"/>
            </w:pPr>
            <w:r>
              <w:rPr>
                <w:rFonts w:cs="Times New Roman"/>
              </w:rPr>
              <w:t>17</w:t>
            </w:r>
          </w:p>
        </w:tc>
      </w:tr>
      <w:tr w:rsidR="005C2091">
        <w:trPr>
          <w:jc w:val="center"/>
        </w:trPr>
        <w:tc>
          <w:tcPr>
            <w:tcW w:w="2551" w:type="dxa"/>
          </w:tcPr>
          <w:p w:rsidR="005C2091" w:rsidRDefault="00A86293">
            <w:pPr>
              <w:pStyle w:val="CellColumn"/>
              <w:jc w:val="left"/>
            </w:pPr>
            <w:r>
              <w:rPr>
                <w:rFonts w:cs="Times New Roman"/>
              </w:rPr>
              <w:t>Uspostavljanje nacionalne baze podataka prehrambenih navika</w:t>
            </w:r>
          </w:p>
        </w:tc>
        <w:tc>
          <w:tcPr>
            <w:tcW w:w="2551" w:type="dxa"/>
          </w:tcPr>
          <w:p w:rsidR="005C2091" w:rsidRDefault="00A86293">
            <w:pPr>
              <w:pStyle w:val="CellColumn"/>
              <w:jc w:val="left"/>
            </w:pPr>
            <w:r>
              <w:rPr>
                <w:rFonts w:cs="Times New Roman"/>
              </w:rPr>
              <w:t>Prikupljanjem podataka o sastavu hrane izrađuje se baza podataka(prehrambene navike) koja predstavlja jednu od osnova za unaprjeđenje i provedbu procjene rizika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6</w:t>
            </w:r>
          </w:p>
        </w:tc>
        <w:tc>
          <w:tcPr>
            <w:tcW w:w="1020" w:type="dxa"/>
          </w:tcPr>
          <w:p w:rsidR="005C2091" w:rsidRDefault="00A86293">
            <w:pPr>
              <w:pStyle w:val="CellColumn"/>
              <w:jc w:val="right"/>
            </w:pPr>
            <w:r>
              <w:rPr>
                <w:rFonts w:cs="Times New Roman"/>
              </w:rPr>
              <w:t>HAH</w:t>
            </w:r>
          </w:p>
        </w:tc>
        <w:tc>
          <w:tcPr>
            <w:tcW w:w="1020" w:type="dxa"/>
          </w:tcPr>
          <w:p w:rsidR="005C2091" w:rsidRDefault="00A86293">
            <w:pPr>
              <w:pStyle w:val="CellColumn"/>
              <w:jc w:val="right"/>
            </w:pPr>
            <w:r>
              <w:rPr>
                <w:rFonts w:cs="Times New Roman"/>
              </w:rPr>
              <w:t>8</w:t>
            </w:r>
          </w:p>
        </w:tc>
        <w:tc>
          <w:tcPr>
            <w:tcW w:w="1020" w:type="dxa"/>
          </w:tcPr>
          <w:p w:rsidR="005C2091" w:rsidRDefault="00A86293">
            <w:pPr>
              <w:pStyle w:val="CellColumn"/>
              <w:jc w:val="right"/>
            </w:pPr>
            <w:r>
              <w:rPr>
                <w:rFonts w:cs="Times New Roman"/>
              </w:rPr>
              <w:t>8</w:t>
            </w:r>
          </w:p>
        </w:tc>
      </w:tr>
      <w:tr w:rsidR="005C2091">
        <w:trPr>
          <w:jc w:val="center"/>
        </w:trPr>
        <w:tc>
          <w:tcPr>
            <w:tcW w:w="2551" w:type="dxa"/>
          </w:tcPr>
          <w:p w:rsidR="005C2091" w:rsidRDefault="00A86293">
            <w:pPr>
              <w:pStyle w:val="CellColumn"/>
              <w:jc w:val="left"/>
            </w:pPr>
            <w:r>
              <w:rPr>
                <w:rFonts w:cs="Times New Roman"/>
              </w:rPr>
              <w:t>Jačanje komunikacije i dijaloga</w:t>
            </w:r>
          </w:p>
        </w:tc>
        <w:tc>
          <w:tcPr>
            <w:tcW w:w="2551" w:type="dxa"/>
          </w:tcPr>
          <w:p w:rsidR="005C2091" w:rsidRDefault="00A86293">
            <w:pPr>
              <w:pStyle w:val="CellColumn"/>
              <w:jc w:val="left"/>
            </w:pPr>
            <w:r>
              <w:rPr>
                <w:rFonts w:cs="Times New Roman"/>
              </w:rPr>
              <w:t>Unaprjeđivanjem dijaloga i stalnih kontakata s upraviteljima rizika u zemljama članicama EU te drugim zainteresiranim stranama HAH osigurava pravovremene i relevantne informacije na svim područjima svoga rada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23</w:t>
            </w:r>
          </w:p>
        </w:tc>
        <w:tc>
          <w:tcPr>
            <w:tcW w:w="1020" w:type="dxa"/>
          </w:tcPr>
          <w:p w:rsidR="005C2091" w:rsidRDefault="00A86293">
            <w:pPr>
              <w:pStyle w:val="CellColumn"/>
              <w:jc w:val="right"/>
            </w:pPr>
            <w:r>
              <w:rPr>
                <w:rFonts w:cs="Times New Roman"/>
              </w:rPr>
              <w:t>HAH</w:t>
            </w:r>
          </w:p>
        </w:tc>
        <w:tc>
          <w:tcPr>
            <w:tcW w:w="1020" w:type="dxa"/>
          </w:tcPr>
          <w:p w:rsidR="005C2091" w:rsidRDefault="00A86293">
            <w:pPr>
              <w:pStyle w:val="CellColumn"/>
              <w:jc w:val="right"/>
            </w:pPr>
            <w:r>
              <w:rPr>
                <w:rFonts w:cs="Times New Roman"/>
              </w:rPr>
              <w:t>28</w:t>
            </w:r>
          </w:p>
        </w:tc>
        <w:tc>
          <w:tcPr>
            <w:tcW w:w="1020" w:type="dxa"/>
          </w:tcPr>
          <w:p w:rsidR="005C2091" w:rsidRDefault="00A86293">
            <w:pPr>
              <w:pStyle w:val="CellColumn"/>
              <w:jc w:val="right"/>
            </w:pPr>
            <w:r>
              <w:rPr>
                <w:rFonts w:cs="Times New Roman"/>
              </w:rPr>
              <w:t>28</w:t>
            </w:r>
          </w:p>
        </w:tc>
      </w:tr>
      <w:tr w:rsidR="005C2091">
        <w:trPr>
          <w:jc w:val="center"/>
        </w:trPr>
        <w:tc>
          <w:tcPr>
            <w:tcW w:w="2551" w:type="dxa"/>
          </w:tcPr>
          <w:p w:rsidR="005C2091" w:rsidRDefault="00A86293">
            <w:pPr>
              <w:pStyle w:val="CellColumn"/>
              <w:jc w:val="left"/>
            </w:pPr>
            <w:r>
              <w:rPr>
                <w:rFonts w:cs="Times New Roman"/>
              </w:rPr>
              <w:t>Broj institucija uključenih u NMI</w:t>
            </w:r>
          </w:p>
        </w:tc>
        <w:tc>
          <w:tcPr>
            <w:tcW w:w="2551" w:type="dxa"/>
          </w:tcPr>
          <w:p w:rsidR="005C2091" w:rsidRDefault="00A86293">
            <w:pPr>
              <w:pStyle w:val="CellColumn"/>
              <w:jc w:val="left"/>
            </w:pPr>
            <w:r>
              <w:rPr>
                <w:rFonts w:cs="Times New Roman"/>
              </w:rPr>
              <w:t>HAH uspostavlja i koordinira NMI u cilju stvaranja okvira za znanstvenu suradnju koordinacijom aktivnosti , razmjenom informacija, razmjenom iskustava i najbolje prakse u okviru djelatnosti HAH-a, te u smislu sveukupnog djelokruga EFSA-e</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38</w:t>
            </w:r>
          </w:p>
        </w:tc>
        <w:tc>
          <w:tcPr>
            <w:tcW w:w="1020" w:type="dxa"/>
          </w:tcPr>
          <w:p w:rsidR="005C2091" w:rsidRDefault="00A86293">
            <w:pPr>
              <w:pStyle w:val="CellColumn"/>
              <w:jc w:val="right"/>
            </w:pPr>
            <w:r>
              <w:rPr>
                <w:rFonts w:cs="Times New Roman"/>
              </w:rPr>
              <w:t>HAH</w:t>
            </w:r>
          </w:p>
        </w:tc>
        <w:tc>
          <w:tcPr>
            <w:tcW w:w="1020" w:type="dxa"/>
          </w:tcPr>
          <w:p w:rsidR="005C2091" w:rsidRDefault="00A86293">
            <w:pPr>
              <w:pStyle w:val="CellColumn"/>
              <w:jc w:val="right"/>
            </w:pPr>
            <w:r>
              <w:rPr>
                <w:rFonts w:cs="Times New Roman"/>
              </w:rPr>
              <w:t>38</w:t>
            </w:r>
          </w:p>
        </w:tc>
        <w:tc>
          <w:tcPr>
            <w:tcW w:w="1020" w:type="dxa"/>
          </w:tcPr>
          <w:p w:rsidR="005C2091" w:rsidRDefault="00A86293">
            <w:pPr>
              <w:pStyle w:val="CellColumn"/>
              <w:jc w:val="right"/>
            </w:pPr>
            <w:r>
              <w:rPr>
                <w:rFonts w:cs="Times New Roman"/>
              </w:rPr>
              <w:t>38</w:t>
            </w:r>
          </w:p>
        </w:tc>
      </w:tr>
      <w:tr w:rsidR="005C2091">
        <w:trPr>
          <w:jc w:val="center"/>
        </w:trPr>
        <w:tc>
          <w:tcPr>
            <w:tcW w:w="2551" w:type="dxa"/>
          </w:tcPr>
          <w:p w:rsidR="005C2091" w:rsidRDefault="00A86293">
            <w:pPr>
              <w:pStyle w:val="CellColumn"/>
              <w:jc w:val="left"/>
            </w:pPr>
            <w:r>
              <w:rPr>
                <w:rFonts w:cs="Times New Roman"/>
              </w:rPr>
              <w:t>Jačanje komunikacije i dijaloga</w:t>
            </w:r>
          </w:p>
        </w:tc>
        <w:tc>
          <w:tcPr>
            <w:tcW w:w="2551" w:type="dxa"/>
          </w:tcPr>
          <w:p w:rsidR="005C2091" w:rsidRDefault="00A86293">
            <w:pPr>
              <w:pStyle w:val="CellColumn"/>
              <w:jc w:val="left"/>
            </w:pPr>
            <w:r>
              <w:rPr>
                <w:rFonts w:cs="Times New Roman"/>
              </w:rPr>
              <w:t>Suradnjom na nacionalnoj i međunarodnoj razini u radu povjerenstava i drugih stručnih tijela, HAH osigurava zastupanje i predstavljanje kroz izvješća, obavijesti o rezultatima procjene rizika, te kroz prezentacije rezultata istraživanja, seminarima i kongresima. HAH je imenovan kontakt točkom EFSA-e . HAH pridonosi boljoj komunikaciji i povezanosti nacionalnih i međunarodnih institucija i kroz dva svoja projekta(FAO i SSD2)</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23</w:t>
            </w:r>
          </w:p>
        </w:tc>
        <w:tc>
          <w:tcPr>
            <w:tcW w:w="1020" w:type="dxa"/>
          </w:tcPr>
          <w:p w:rsidR="005C2091" w:rsidRDefault="00A86293">
            <w:pPr>
              <w:pStyle w:val="CellColumn"/>
              <w:jc w:val="right"/>
            </w:pPr>
            <w:r>
              <w:rPr>
                <w:rFonts w:cs="Times New Roman"/>
              </w:rPr>
              <w:t>HAH</w:t>
            </w:r>
          </w:p>
        </w:tc>
        <w:tc>
          <w:tcPr>
            <w:tcW w:w="1020" w:type="dxa"/>
          </w:tcPr>
          <w:p w:rsidR="005C2091" w:rsidRDefault="00A86293">
            <w:pPr>
              <w:pStyle w:val="CellColumn"/>
              <w:jc w:val="right"/>
            </w:pPr>
            <w:r>
              <w:rPr>
                <w:rFonts w:cs="Times New Roman"/>
              </w:rPr>
              <w:t>28</w:t>
            </w:r>
          </w:p>
        </w:tc>
        <w:tc>
          <w:tcPr>
            <w:tcW w:w="1020" w:type="dxa"/>
          </w:tcPr>
          <w:p w:rsidR="005C2091" w:rsidRDefault="00A86293">
            <w:pPr>
              <w:pStyle w:val="CellColumn"/>
              <w:jc w:val="right"/>
            </w:pPr>
            <w:r>
              <w:rPr>
                <w:rFonts w:cs="Times New Roman"/>
              </w:rPr>
              <w:t>28</w:t>
            </w:r>
          </w:p>
        </w:tc>
      </w:tr>
    </w:tbl>
    <w:p w:rsidR="005C2091" w:rsidRDefault="005C2091">
      <w:pPr>
        <w:jc w:val="left"/>
      </w:pPr>
    </w:p>
    <w:p w:rsidR="005C2091" w:rsidRDefault="00A86293">
      <w:pPr>
        <w:pStyle w:val="Heading4"/>
      </w:pPr>
      <w:r>
        <w:t>A815001 ADMINISTRACIJA I UPRAVLJANJE HRVATSKE AGENCIJE ZA HRANU</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A815001-ADMINISTRACIJA I UPRAVLJANJE HRVATSKE AGENCIJE ZA HRANU</w:t>
            </w:r>
          </w:p>
        </w:tc>
        <w:tc>
          <w:tcPr>
            <w:tcW w:w="2041" w:type="dxa"/>
          </w:tcPr>
          <w:p w:rsidR="005C2091" w:rsidRDefault="00A86293">
            <w:pPr>
              <w:pStyle w:val="CellColumn"/>
              <w:jc w:val="right"/>
            </w:pPr>
            <w:r>
              <w:rPr>
                <w:rFonts w:cs="Times New Roman"/>
              </w:rPr>
              <w:t>4.027.527</w:t>
            </w:r>
          </w:p>
        </w:tc>
        <w:tc>
          <w:tcPr>
            <w:tcW w:w="2041" w:type="dxa"/>
          </w:tcPr>
          <w:p w:rsidR="005C2091" w:rsidRDefault="00A86293">
            <w:pPr>
              <w:pStyle w:val="CellColumn"/>
              <w:jc w:val="right"/>
            </w:pPr>
            <w:r>
              <w:rPr>
                <w:rFonts w:cs="Times New Roman"/>
              </w:rPr>
              <w:t>3.775.476</w:t>
            </w:r>
          </w:p>
        </w:tc>
        <w:tc>
          <w:tcPr>
            <w:tcW w:w="2041" w:type="dxa"/>
          </w:tcPr>
          <w:p w:rsidR="005C2091" w:rsidRDefault="00A86293">
            <w:pPr>
              <w:pStyle w:val="CellColumn"/>
              <w:jc w:val="right"/>
            </w:pPr>
            <w:r>
              <w:rPr>
                <w:rFonts w:cs="Times New Roman"/>
              </w:rPr>
              <w:t>3.634.631</w:t>
            </w:r>
          </w:p>
        </w:tc>
        <w:tc>
          <w:tcPr>
            <w:tcW w:w="1224" w:type="dxa"/>
          </w:tcPr>
          <w:p w:rsidR="005C2091" w:rsidRDefault="00A86293">
            <w:pPr>
              <w:pStyle w:val="CellColumn"/>
              <w:jc w:val="right"/>
            </w:pPr>
            <w:r>
              <w:rPr>
                <w:rFonts w:cs="Times New Roman"/>
              </w:rPr>
              <w:t>96,3</w:t>
            </w:r>
          </w:p>
        </w:tc>
        <w:tc>
          <w:tcPr>
            <w:tcW w:w="1224" w:type="dxa"/>
          </w:tcPr>
          <w:p w:rsidR="005C2091" w:rsidRDefault="00A86293">
            <w:pPr>
              <w:pStyle w:val="CellColumn"/>
              <w:jc w:val="right"/>
            </w:pPr>
            <w:r>
              <w:rPr>
                <w:rFonts w:cs="Times New Roman"/>
              </w:rPr>
              <w:t>90,2</w:t>
            </w:r>
          </w:p>
        </w:tc>
      </w:tr>
    </w:tbl>
    <w:p w:rsidR="005C2091" w:rsidRDefault="005C2091">
      <w:pPr>
        <w:jc w:val="left"/>
      </w:pPr>
    </w:p>
    <w:p w:rsidR="005C2091" w:rsidRDefault="00A86293">
      <w:pPr>
        <w:pStyle w:val="Heading8"/>
        <w:jc w:val="left"/>
      </w:pPr>
      <w:r>
        <w:t>Zakonske i druge pravne osnove</w:t>
      </w:r>
    </w:p>
    <w:p w:rsidR="005C2091" w:rsidRDefault="00A86293">
      <w:r>
        <w:t>Zakon o hrani (NN 81/13, 14/14)</w:t>
      </w:r>
    </w:p>
    <w:p w:rsidR="005C2091" w:rsidRDefault="00A86293">
      <w:pPr>
        <w:pStyle w:val="Heading8"/>
        <w:jc w:val="left"/>
      </w:pPr>
      <w:r>
        <w:t>Opis aktivnosti</w:t>
      </w:r>
    </w:p>
    <w:p w:rsidR="005C2091" w:rsidRDefault="00A86293">
      <w:r>
        <w:t xml:space="preserve">Cilj koji osigurava redovno poslovanje HAH-a kroz zakonito i učinkovito funkcioniranje i kontrolu financijskog poslovanja, nabave i fiskalne odgovornosti. Obuhvaća aktivnosti poput izrade pravne podloge za provođenje znanstvenih projekata i znanstvenih studija koji su neophodni za pružanje transparentnih i neovisnih znanstvenih savjeta i mišljenja u svrhu znanstvene i stručne potpore povezane s rizicima porijeklom od hrane u RH. Podrazumijeva stalno praćenje zakonskih i podzakonskih propisa te sudjelovanje u izradi nacrta općih akata, planova i izvješća. </w:t>
      </w:r>
    </w:p>
    <w:p w:rsidR="005C2091" w:rsidRDefault="00A86293">
      <w:r>
        <w:t>Ključan segment razvoja HAH-a su ljudi te ulaganje u ljudski potencijal kroz edukacije i usavršavanja na pojedinim stručnim područjima. Osim edukacija djelatnika osiguravaju se i dostatna sredstva za provođenje redovitog poslovanja HAH-a.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zaposlenika, redovno uredsko poslovanje, rad predstavničkih tijela</w:t>
            </w:r>
          </w:p>
        </w:tc>
        <w:tc>
          <w:tcPr>
            <w:tcW w:w="2551" w:type="dxa"/>
          </w:tcPr>
          <w:p w:rsidR="005C2091" w:rsidRDefault="00A86293">
            <w:pPr>
              <w:pStyle w:val="CellColumn"/>
              <w:jc w:val="left"/>
            </w:pPr>
            <w:r>
              <w:rPr>
                <w:rFonts w:cs="Times New Roman"/>
              </w:rPr>
              <w:t>Educiranje zaposlenika, kao ključnog segmenta razvoja HAH-a odvija se kroz razne oblike edukacija i usavršavanja na pojedinim stručnim područjima, te provođenje redovitog poslovanja HAH-a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20</w:t>
            </w:r>
          </w:p>
        </w:tc>
        <w:tc>
          <w:tcPr>
            <w:tcW w:w="1020" w:type="dxa"/>
          </w:tcPr>
          <w:p w:rsidR="005C2091" w:rsidRDefault="00A86293">
            <w:pPr>
              <w:pStyle w:val="CellColumn"/>
              <w:jc w:val="right"/>
            </w:pPr>
            <w:r>
              <w:rPr>
                <w:rFonts w:cs="Times New Roman"/>
              </w:rPr>
              <w:t>HAH</w:t>
            </w:r>
          </w:p>
        </w:tc>
        <w:tc>
          <w:tcPr>
            <w:tcW w:w="1020" w:type="dxa"/>
          </w:tcPr>
          <w:p w:rsidR="005C2091" w:rsidRDefault="00A86293">
            <w:pPr>
              <w:pStyle w:val="CellColumn"/>
              <w:jc w:val="right"/>
            </w:pPr>
            <w:r>
              <w:rPr>
                <w:rFonts w:cs="Times New Roman"/>
              </w:rPr>
              <w:t>22</w:t>
            </w:r>
          </w:p>
        </w:tc>
        <w:tc>
          <w:tcPr>
            <w:tcW w:w="1020" w:type="dxa"/>
          </w:tcPr>
          <w:p w:rsidR="005C2091" w:rsidRDefault="00A86293">
            <w:pPr>
              <w:pStyle w:val="CellColumn"/>
              <w:jc w:val="right"/>
            </w:pPr>
            <w:r>
              <w:rPr>
                <w:rFonts w:cs="Times New Roman"/>
              </w:rPr>
              <w:t>22</w:t>
            </w:r>
          </w:p>
        </w:tc>
      </w:tr>
    </w:tbl>
    <w:p w:rsidR="005C2091" w:rsidRDefault="005C2091">
      <w:pPr>
        <w:jc w:val="left"/>
      </w:pPr>
    </w:p>
    <w:p w:rsidR="005C2091" w:rsidRDefault="00A86293">
      <w:pPr>
        <w:pStyle w:val="Heading4"/>
      </w:pPr>
      <w:r>
        <w:t>A815010 PRIKUPLJANJE PODATAKA O SASTAVU HRANE - FAO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A815010-PRIKUPLJANJE PODATAKA O SASTAVU HRANE - FAO</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15.590</w:t>
            </w:r>
          </w:p>
        </w:tc>
        <w:tc>
          <w:tcPr>
            <w:tcW w:w="2041"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Zakon o hrani (NN 81/13, 14/14)</w:t>
      </w:r>
    </w:p>
    <w:p w:rsidR="005C2091" w:rsidRDefault="00A86293">
      <w:pPr>
        <w:pStyle w:val="Heading8"/>
        <w:jc w:val="left"/>
      </w:pPr>
      <w:r>
        <w:t>Opis aktivnosti</w:t>
      </w:r>
    </w:p>
    <w:p w:rsidR="005C2091" w:rsidRDefault="00A86293">
      <w:r>
        <w:t xml:space="preserve">National Agricultural and Food Centre iz Slovačke je voditelj projekta na kojem Hrvatska agencija za hranu sudjeluje kao partner. Projektom se prikupljaju analitički podaci 100 odabranih namirnica o sastavu hrane koristeći se FAO/INFOODS alatom za kompiliranje. Nakon što se podaci prikupe stvorit će se nacionalna baza podataka o sastavu hrane koja će biti dio Europske i Istočno-azijske baze. Očekuje se širenje baze podataka o sastavu hrane i u narednim godinama. </w:t>
      </w:r>
    </w:p>
    <w:p w:rsidR="005C2091" w:rsidRDefault="00A86293">
      <w:r>
        <w:t xml:space="preserve">Prikupljeni su i obrađeni podaci za 101 namirnicu/hranu, poslani u FAO. Nakon validacije podataka, tablica će biti dostupna on-line na web stranici FAO INFOODS-a i HAH-a. </w:t>
      </w:r>
    </w:p>
    <w:p w:rsidR="005C2091" w:rsidRDefault="00A86293">
      <w:r>
        <w:t>Ovim su ispunjeni zadaci ugovoreni ovim projektom. Rezultati projekta bit će komunicirani kroz organizaciju radionice za prehrambeni sektor i akademsku zajednicu u ožujku 2017. godine. Time su se stekli uvjeti za razvoj nacionalne tablice o sastavu hrane, metodologijom koja omogućuje kvalitetne i usporedive podatke sa svim zemljama koje razvijaju ovakve tablice pod pokroviteljstvom Organizacije za hranu i poljoprivredu pri Ujedinjenim narodima. Ovaj projekt rezultirao je i organiziranjem nacionalnih institucija koje raspolažu analizama o sastavu hrane, da se udruže u cilju kreiranja nacionalnih tablica. Oformljena je e-mail adresa radne grupe HAH-a koja nastavlja s radom i nakon završetka projekta, a koja stoji na usluzi svim zainteresiranim stranama po pitanju ustupanja analitičkih podataka sastava hrane, ne starijih od 5 godina.</w:t>
      </w:r>
    </w:p>
    <w:p w:rsidR="005C2091" w:rsidRDefault="00A86293">
      <w:pPr>
        <w:pStyle w:val="Heading4"/>
      </w:pPr>
      <w:r>
        <w:t>K815000 OPREMANJE HRVATSKE AGENCIJE ZA HRANU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K815000-OPREMANJE HRVATSKE AGENCIJE ZA HRANU</w:t>
            </w:r>
          </w:p>
        </w:tc>
        <w:tc>
          <w:tcPr>
            <w:tcW w:w="2041" w:type="dxa"/>
          </w:tcPr>
          <w:p w:rsidR="005C2091" w:rsidRDefault="00A86293">
            <w:pPr>
              <w:pStyle w:val="CellColumn"/>
              <w:jc w:val="right"/>
            </w:pPr>
            <w:r>
              <w:rPr>
                <w:rFonts w:cs="Times New Roman"/>
              </w:rPr>
              <w:t>93.433</w:t>
            </w:r>
          </w:p>
        </w:tc>
        <w:tc>
          <w:tcPr>
            <w:tcW w:w="2041" w:type="dxa"/>
          </w:tcPr>
          <w:p w:rsidR="005C2091" w:rsidRDefault="00A86293">
            <w:pPr>
              <w:pStyle w:val="CellColumn"/>
              <w:jc w:val="right"/>
            </w:pPr>
            <w:r>
              <w:rPr>
                <w:rFonts w:cs="Times New Roman"/>
              </w:rPr>
              <w:t>282.525</w:t>
            </w:r>
          </w:p>
        </w:tc>
        <w:tc>
          <w:tcPr>
            <w:tcW w:w="2041" w:type="dxa"/>
          </w:tcPr>
          <w:p w:rsidR="005C2091" w:rsidRDefault="00A86293">
            <w:pPr>
              <w:pStyle w:val="CellColumn"/>
              <w:jc w:val="right"/>
            </w:pPr>
            <w:r>
              <w:rPr>
                <w:rFonts w:cs="Times New Roman"/>
              </w:rPr>
              <w:t>261.813</w:t>
            </w:r>
          </w:p>
        </w:tc>
        <w:tc>
          <w:tcPr>
            <w:tcW w:w="1224" w:type="dxa"/>
          </w:tcPr>
          <w:p w:rsidR="005C2091" w:rsidRDefault="00A86293">
            <w:pPr>
              <w:pStyle w:val="CellColumn"/>
              <w:jc w:val="right"/>
            </w:pPr>
            <w:r>
              <w:rPr>
                <w:rFonts w:cs="Times New Roman"/>
              </w:rPr>
              <w:t>92,7</w:t>
            </w:r>
          </w:p>
        </w:tc>
        <w:tc>
          <w:tcPr>
            <w:tcW w:w="1224" w:type="dxa"/>
          </w:tcPr>
          <w:p w:rsidR="005C2091" w:rsidRDefault="00A86293">
            <w:pPr>
              <w:pStyle w:val="CellColumn"/>
              <w:jc w:val="right"/>
            </w:pPr>
            <w:r>
              <w:rPr>
                <w:rFonts w:cs="Times New Roman"/>
              </w:rPr>
              <w:t>280,2</w:t>
            </w:r>
          </w:p>
        </w:tc>
      </w:tr>
    </w:tbl>
    <w:p w:rsidR="005C2091" w:rsidRDefault="005C2091">
      <w:pPr>
        <w:jc w:val="left"/>
      </w:pPr>
    </w:p>
    <w:p w:rsidR="005C2091" w:rsidRDefault="00A86293">
      <w:pPr>
        <w:pStyle w:val="Heading8"/>
        <w:jc w:val="left"/>
      </w:pPr>
      <w:r>
        <w:t>Zakonske i druge pravne osnove</w:t>
      </w:r>
    </w:p>
    <w:p w:rsidR="005C2091" w:rsidRDefault="00A86293">
      <w:r>
        <w:t>Zakon o hrani (NN 81/13, 14/14)</w:t>
      </w:r>
    </w:p>
    <w:p w:rsidR="005C2091" w:rsidRDefault="00A86293">
      <w:pPr>
        <w:pStyle w:val="Heading8"/>
        <w:jc w:val="left"/>
      </w:pPr>
      <w:r>
        <w:t>Opis aktivnosti</w:t>
      </w:r>
    </w:p>
    <w:p w:rsidR="005C2091" w:rsidRDefault="00A86293">
      <w:r>
        <w:t>Ova aktivnost podrazumijeva opremanje tehničkom opremom, licencama te nabavu službenog vozila za obavljanje redovitih aktivnosti Agencije. U 2016. godini, uslijed dotrajalosti dijela informatičke opreme nabavljena su nova računala, licence za korištenje softvera Microsoft  preko Ureda za središnju javnu nabavu, antivirusne licence te službeni automobil.</w:t>
      </w:r>
    </w:p>
    <w:p w:rsidR="005C2091" w:rsidRDefault="00A86293">
      <w:pPr>
        <w:pStyle w:val="Heading4"/>
      </w:pPr>
      <w:r>
        <w:t>K815006 UKUPNA PREHRAMBENA STUDIJA - FP7</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K815006-UKUPNA PREHRAMBENA STUDIJA - FP7</w:t>
            </w:r>
          </w:p>
        </w:tc>
        <w:tc>
          <w:tcPr>
            <w:tcW w:w="2041" w:type="dxa"/>
          </w:tcPr>
          <w:p w:rsidR="005C2091" w:rsidRDefault="00A86293">
            <w:pPr>
              <w:pStyle w:val="CellColumn"/>
              <w:jc w:val="right"/>
            </w:pPr>
            <w:r>
              <w:rPr>
                <w:rFonts w:cs="Times New Roman"/>
              </w:rPr>
              <w:t>17.149</w:t>
            </w:r>
          </w:p>
        </w:tc>
        <w:tc>
          <w:tcPr>
            <w:tcW w:w="2041" w:type="dxa"/>
          </w:tcPr>
          <w:p w:rsidR="005C2091" w:rsidRDefault="00A86293">
            <w:pPr>
              <w:pStyle w:val="CellColumn"/>
              <w:jc w:val="right"/>
            </w:pPr>
            <w:r>
              <w:rPr>
                <w:rFonts w:cs="Times New Roman"/>
              </w:rPr>
              <w:t>20.300</w:t>
            </w:r>
          </w:p>
        </w:tc>
        <w:tc>
          <w:tcPr>
            <w:tcW w:w="2041" w:type="dxa"/>
          </w:tcPr>
          <w:p w:rsidR="005C2091" w:rsidRDefault="00A86293">
            <w:pPr>
              <w:pStyle w:val="CellColumn"/>
              <w:jc w:val="right"/>
            </w:pPr>
            <w:r>
              <w:rPr>
                <w:rFonts w:cs="Times New Roman"/>
              </w:rPr>
              <w:t>14.366</w:t>
            </w:r>
          </w:p>
        </w:tc>
        <w:tc>
          <w:tcPr>
            <w:tcW w:w="1224" w:type="dxa"/>
          </w:tcPr>
          <w:p w:rsidR="005C2091" w:rsidRDefault="00A86293">
            <w:pPr>
              <w:pStyle w:val="CellColumn"/>
              <w:jc w:val="right"/>
            </w:pPr>
            <w:r>
              <w:rPr>
                <w:rFonts w:cs="Times New Roman"/>
              </w:rPr>
              <w:t>70,8</w:t>
            </w:r>
          </w:p>
        </w:tc>
        <w:tc>
          <w:tcPr>
            <w:tcW w:w="1224" w:type="dxa"/>
          </w:tcPr>
          <w:p w:rsidR="005C2091" w:rsidRDefault="00A86293">
            <w:pPr>
              <w:pStyle w:val="CellColumn"/>
              <w:jc w:val="right"/>
            </w:pPr>
            <w:r>
              <w:rPr>
                <w:rFonts w:cs="Times New Roman"/>
              </w:rPr>
              <w:t>83,8</w:t>
            </w:r>
          </w:p>
        </w:tc>
      </w:tr>
    </w:tbl>
    <w:p w:rsidR="005C2091" w:rsidRDefault="005C2091">
      <w:pPr>
        <w:jc w:val="left"/>
      </w:pPr>
    </w:p>
    <w:p w:rsidR="005C2091" w:rsidRDefault="00A86293">
      <w:pPr>
        <w:pStyle w:val="Heading8"/>
        <w:jc w:val="left"/>
      </w:pPr>
      <w:r>
        <w:t>Zakonske i druge pravne osnove</w:t>
      </w:r>
    </w:p>
    <w:p w:rsidR="005C2091" w:rsidRDefault="00A86293">
      <w:r>
        <w:t>Zakon o hrani (NN 81/13, 14/14)</w:t>
      </w:r>
    </w:p>
    <w:p w:rsidR="005C2091" w:rsidRDefault="00A86293">
      <w:pPr>
        <w:pStyle w:val="Heading8"/>
        <w:jc w:val="left"/>
      </w:pPr>
      <w:r>
        <w:t>Opis aktivnosti</w:t>
      </w:r>
    </w:p>
    <w:p w:rsidR="005C2091" w:rsidRDefault="00A86293">
      <w:r>
        <w:t xml:space="preserve">Početkom 2011. godine HAH se na poziv Francuske agencije ANSES uključio u prijavu znanstvenog projekta FP7 Total Diet Study (TDS) Exposure. Projekt je iz područja 2.2.4. Kvaliteta i sigurnost hrane, te uključuje 26 institucija iz 19 zemalja. Projekt je započeo u veljači 2012. </w:t>
      </w:r>
    </w:p>
    <w:p w:rsidR="005C2091" w:rsidRDefault="00A86293">
      <w:r>
        <w:t xml:space="preserve">Total Diet Study (TDS) podrazumijeva ukupnu izloženost kontaminantima porijeklom iz hrane u onom obliku u kojem se hrana konzumira, (ne podrazumijeva sirove namirnice, osim onih koje se u tom obliku konzumiraju), a sve u svrhu dobivanja podataka o stvarnoj  izloženosti svim kontaminantima porijeklom iz prehrane. </w:t>
      </w:r>
    </w:p>
    <w:p w:rsidR="005C2091" w:rsidRDefault="00A86293">
      <w:r>
        <w:t xml:space="preserve">Do sada je na  projektu izvršeno: </w:t>
      </w:r>
    </w:p>
    <w:p w:rsidR="005C2091" w:rsidRDefault="00A86293">
      <w:r>
        <w:t></w:t>
      </w:r>
      <w:r>
        <w:tab/>
        <w:t xml:space="preserve">Lista populacije od interesa za ovakav tip istraživanja </w:t>
      </w:r>
    </w:p>
    <w:p w:rsidR="005C2091" w:rsidRDefault="00A86293">
      <w:r>
        <w:t></w:t>
      </w:r>
      <w:r>
        <w:tab/>
        <w:t xml:space="preserve">Kriteriji za odabir kontaminanta od interesa za ovakav tip istraživanja </w:t>
      </w:r>
    </w:p>
    <w:p w:rsidR="005C2091" w:rsidRDefault="00A86293">
      <w:r>
        <w:t></w:t>
      </w:r>
      <w:r>
        <w:tab/>
        <w:t xml:space="preserve">Baza podataka o dosadašnjim istraživanjima </w:t>
      </w:r>
    </w:p>
    <w:p w:rsidR="005C2091" w:rsidRDefault="00A86293">
      <w:r>
        <w:t></w:t>
      </w:r>
      <w:r>
        <w:tab/>
        <w:t xml:space="preserve">Europski TDS riječnik </w:t>
      </w:r>
    </w:p>
    <w:p w:rsidR="005C2091" w:rsidRDefault="00A86293">
      <w:r>
        <w:t></w:t>
      </w:r>
      <w:r>
        <w:tab/>
        <w:t xml:space="preserve">Pripreme za pilot istraživanja u nekoliko zemalja </w:t>
      </w:r>
    </w:p>
    <w:p w:rsidR="005C2091" w:rsidRDefault="00A86293">
      <w:r>
        <w:t></w:t>
      </w:r>
      <w:r>
        <w:tab/>
        <w:t xml:space="preserve">SWOT analiza </w:t>
      </w:r>
    </w:p>
    <w:p w:rsidR="005C2091" w:rsidRDefault="00A86293">
      <w:r>
        <w:t></w:t>
      </w:r>
      <w:r>
        <w:tab/>
        <w:t xml:space="preserve">Baza podataka Wiki (prihvatljive analitičke metode za svaki kontaminant) </w:t>
      </w:r>
    </w:p>
    <w:p w:rsidR="005C2091" w:rsidRDefault="00A86293">
      <w:r>
        <w:t></w:t>
      </w:r>
      <w:r>
        <w:tab/>
        <w:t xml:space="preserve">Zahtjevi na FoodCASE-Risk program  </w:t>
      </w:r>
    </w:p>
    <w:p w:rsidR="005C2091" w:rsidRDefault="00A86293">
      <w:r>
        <w:t></w:t>
      </w:r>
      <w:r>
        <w:tab/>
        <w:t xml:space="preserve">SOPs –zahtjevi i preporuke za prihvatljive kriterije </w:t>
      </w:r>
    </w:p>
    <w:p w:rsidR="005C2091" w:rsidRDefault="00A86293">
      <w:r>
        <w:t xml:space="preserve">Ispunjeni su svi zadaci propisani projektom i održan je završni sastanak na kojem se razmišljalo o mogućnostima za nastavak suradnje i korištenja rezultata proizašlih iz ovog projekta. Logistiku, infrastrukturu i održavanje web stranice preuzet će EuroFIR ASBL, tako da će rezultati i alati s projekta biti dostupni partnerima, koji su ujedno i članovi EuroFIR-a kao i svim ostalim zainteresiranima. </w:t>
      </w:r>
    </w:p>
    <w:p w:rsidR="005C2091" w:rsidRDefault="00A86293">
      <w:r>
        <w:t>Sredinom 2017. godine očekuje se i konačna potvrda Europske komisije završnog izvješća ovog projekta.</w:t>
      </w:r>
    </w:p>
    <w:p w:rsidR="005C2091" w:rsidRDefault="00A86293">
      <w:pPr>
        <w:pStyle w:val="Heading4"/>
      </w:pPr>
      <w:r>
        <w:t>T815008 KONTAKTNA TOČKA EUROPSKE AGENCIJE ZA SIGURNOST HRANE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T815008-KONTAKTNA TOČKA EUROPSKE AGENCIJE ZA SIGURNOST HRANE</w:t>
            </w:r>
          </w:p>
        </w:tc>
        <w:tc>
          <w:tcPr>
            <w:tcW w:w="2041" w:type="dxa"/>
          </w:tcPr>
          <w:p w:rsidR="005C2091" w:rsidRDefault="00A86293">
            <w:pPr>
              <w:pStyle w:val="CellColumn"/>
              <w:jc w:val="right"/>
            </w:pPr>
            <w:r>
              <w:rPr>
                <w:rFonts w:cs="Times New Roman"/>
              </w:rPr>
              <w:t>297.269</w:t>
            </w:r>
          </w:p>
        </w:tc>
        <w:tc>
          <w:tcPr>
            <w:tcW w:w="2041" w:type="dxa"/>
          </w:tcPr>
          <w:p w:rsidR="005C2091" w:rsidRDefault="00A86293">
            <w:pPr>
              <w:pStyle w:val="CellColumn"/>
              <w:jc w:val="right"/>
            </w:pPr>
            <w:r>
              <w:rPr>
                <w:rFonts w:cs="Times New Roman"/>
              </w:rPr>
              <w:t>200.000</w:t>
            </w:r>
          </w:p>
        </w:tc>
        <w:tc>
          <w:tcPr>
            <w:tcW w:w="2041" w:type="dxa"/>
          </w:tcPr>
          <w:p w:rsidR="005C2091" w:rsidRDefault="00A86293">
            <w:pPr>
              <w:pStyle w:val="CellColumn"/>
              <w:jc w:val="right"/>
            </w:pPr>
            <w:r>
              <w:rPr>
                <w:rFonts w:cs="Times New Roman"/>
              </w:rPr>
              <w:t>179.086</w:t>
            </w:r>
          </w:p>
        </w:tc>
        <w:tc>
          <w:tcPr>
            <w:tcW w:w="1224" w:type="dxa"/>
          </w:tcPr>
          <w:p w:rsidR="005C2091" w:rsidRDefault="00A86293">
            <w:pPr>
              <w:pStyle w:val="CellColumn"/>
              <w:jc w:val="right"/>
            </w:pPr>
            <w:r>
              <w:rPr>
                <w:rFonts w:cs="Times New Roman"/>
              </w:rPr>
              <w:t>89,5</w:t>
            </w:r>
          </w:p>
        </w:tc>
        <w:tc>
          <w:tcPr>
            <w:tcW w:w="1224" w:type="dxa"/>
          </w:tcPr>
          <w:p w:rsidR="005C2091" w:rsidRDefault="00A86293">
            <w:pPr>
              <w:pStyle w:val="CellColumn"/>
              <w:jc w:val="right"/>
            </w:pPr>
            <w:r>
              <w:rPr>
                <w:rFonts w:cs="Times New Roman"/>
              </w:rPr>
              <w:t>60,2</w:t>
            </w:r>
          </w:p>
        </w:tc>
      </w:tr>
    </w:tbl>
    <w:p w:rsidR="005C2091" w:rsidRDefault="005C2091">
      <w:pPr>
        <w:jc w:val="left"/>
      </w:pPr>
    </w:p>
    <w:p w:rsidR="005C2091" w:rsidRDefault="00A86293">
      <w:pPr>
        <w:pStyle w:val="Heading8"/>
        <w:jc w:val="left"/>
      </w:pPr>
      <w:r>
        <w:t>Zakonske i druge pravne osnove</w:t>
      </w:r>
    </w:p>
    <w:p w:rsidR="005C2091" w:rsidRDefault="00A86293">
      <w:r>
        <w:t>Zakon o hrani (NN 81/13, 14/14)</w:t>
      </w:r>
    </w:p>
    <w:p w:rsidR="005C2091" w:rsidRDefault="00A86293">
      <w:pPr>
        <w:pStyle w:val="Heading8"/>
        <w:jc w:val="left"/>
      </w:pPr>
      <w:r>
        <w:t>Opis aktivnosti</w:t>
      </w:r>
    </w:p>
    <w:p w:rsidR="005C2091" w:rsidRDefault="00A86293">
      <w:r>
        <w:t xml:space="preserve">Focal Point djeluje kao poveznica između Europske agencije za sigurnost hrane (EFSA) i nacionalnih institucija za sigurnost hrane, istraživačkih instituta, potrošača te dionika u zemljama članicama EU. Focal Point mreža se sastoji od članova iz 27 zemalja članica EU, Islanda i Norveške, te promatrača iz Švicarske i pretpristupnih zemalja. Focal Point mreža je svojim aktivnostima značajno doprinijela poboljšanju znanstvene suradnje između EFSA-e i zemalja članica EU.Hrvatska agencija za hranu (HAH) imenovana je 2009. godine kao Focal Point za Hrvatsku.  </w:t>
      </w:r>
    </w:p>
    <w:p w:rsidR="005C2091" w:rsidRDefault="00A86293">
      <w:r>
        <w:t xml:space="preserve">Planirane, te ostvarene aktivnosti u 2016.g.: </w:t>
      </w:r>
    </w:p>
    <w:p w:rsidR="005C2091" w:rsidRDefault="00A86293">
      <w:r>
        <w:t xml:space="preserve">1. Provedeno je istraživanje „Istraživanje pokazatelja korelacije utjecaja hranidbe pilića konvencionalnom hranom i hranom na bazi proteina kukaca“  </w:t>
      </w:r>
    </w:p>
    <w:p w:rsidR="005C2091" w:rsidRDefault="00A86293">
      <w:r>
        <w:t xml:space="preserve">2.  Sudjelovanje na stručnim i znanstvenim skupovima u cilju promoviranja znanstvene djelatnosti EFSA-e te rezultati provedenih istraživanja: </w:t>
      </w:r>
    </w:p>
    <w:p w:rsidR="005C2091" w:rsidRDefault="00A86293">
      <w:r>
        <w:t xml:space="preserve"> - Međunarodna znanstvena konferencija  Hygiena Alimentorum XXXVII International Scientific Conference „Safety and quality of milk and plant commodities”,     </w:t>
      </w:r>
    </w:p>
    <w:p w:rsidR="005C2091" w:rsidRDefault="00A86293">
      <w:r>
        <w:t xml:space="preserve"> - 9. Međunarodni znanstveno - stručni skup-Poljoprivreda u zaštiti prirode i okoliša   </w:t>
      </w:r>
    </w:p>
    <w:p w:rsidR="005C2091" w:rsidRDefault="00A86293">
      <w:r>
        <w:t xml:space="preserve">3. Sudjelovanje u organizaciji konferencije “Svjetski dan hrane 2016.: Klima se mijenja. Hrana i poljoprivreda moraju također.“ </w:t>
      </w:r>
    </w:p>
    <w:p w:rsidR="005C2091" w:rsidRDefault="00A86293">
      <w:r>
        <w:t xml:space="preserve">4. Pronalaženje relevantnih nacionalnih stručnjaka u svrhu sudjelovanja na edukativnim radionicama i usavršavanjima u organizaciji EFSA-e ili neke od zemalja članica EU  </w:t>
      </w:r>
    </w:p>
    <w:p w:rsidR="005C2091" w:rsidRDefault="00A86293">
      <w:r>
        <w:t xml:space="preserve">5. Kontakti sa Ministarstvom znanosti, obrazovanja i športa (identificirana je mogućnost financiranja na nacionalnoj razini putem Hrvatske zaklade za znanost no za prošlu godinu  nije bilo objavljenih projekata iz područja sigurnosti hrane) </w:t>
      </w:r>
    </w:p>
    <w:p w:rsidR="005C2091" w:rsidRDefault="00A86293">
      <w:r>
        <w:t xml:space="preserve">6. S ciljem promicanja EFSA-ine misije FP je  aktivno sudjelovao u studijskom posjetu zemalja pristupnica EU u sklopu EFSA Pre-Accession Programme 2015-2017 </w:t>
      </w:r>
    </w:p>
    <w:p w:rsidR="005C2091" w:rsidRDefault="00A86293">
      <w:r>
        <w:t xml:space="preserve">7.  Razmjena informacija između nacionalnih tijela zemalja članica, EFSA-e i Nacionalne mreže institucija </w:t>
      </w:r>
    </w:p>
    <w:p w:rsidR="005C2091" w:rsidRDefault="00A86293">
      <w:r>
        <w:t xml:space="preserve">Tijekom 2016. godine kontaktima u Nacionalnoj mreži institucija (NMI) je proslijeđeno oko sedamdeset različitih informacija zaprimljenih od EFSA-e ili neke od zemalja članica. </w:t>
      </w:r>
    </w:p>
    <w:p w:rsidR="005C2091" w:rsidRDefault="00A86293">
      <w:r>
        <w:t xml:space="preserve">8. Posebne aktivnosti FP </w:t>
      </w:r>
    </w:p>
    <w:p w:rsidR="005C2091" w:rsidRDefault="00A86293">
      <w:r>
        <w:t>- S namjenom uključenja u EFSA Art.36 List, i pružanja tehničke podrške i pomoći pri prijavi FP je u 2016. godini surađivao sa Agronomskim fakultetom u Zagrebu, Poljoprivrednim fakultetom u Osijeku, Hrvatskim zavodom za javno zdravstvo i  Nastavnim zavodom za javno zdravstvo Dr.Andrija Štampar</w:t>
      </w:r>
    </w:p>
    <w:p w:rsidR="005C2091" w:rsidRDefault="00A86293">
      <w:pPr>
        <w:pStyle w:val="Heading4"/>
      </w:pPr>
      <w:r>
        <w:t>T815012 ELEKTRONSKI PRIJENOS NACIONALNIH LABORATORIJSKIH PODATAKA U EFSA</w:t>
      </w:r>
    </w:p>
    <w:tbl>
      <w:tblPr>
        <w:tblStyle w:val="StilTablice"/>
        <w:tblW w:w="10206" w:type="dxa"/>
        <w:jc w:val="center"/>
        <w:tblLook w:val="04A0" w:firstRow="1" w:lastRow="0" w:firstColumn="1" w:lastColumn="0" w:noHBand="0" w:noVBand="1"/>
      </w:tblPr>
      <w:tblGrid>
        <w:gridCol w:w="1949"/>
        <w:gridCol w:w="1949"/>
        <w:gridCol w:w="1943"/>
        <w:gridCol w:w="1949"/>
        <w:gridCol w:w="1204"/>
        <w:gridCol w:w="121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T815012-ELEKTRONSKI PRIJENOS NACIONALNIH LABORATORIJSKIH PODATAKA U EFSA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931.000</w:t>
            </w:r>
          </w:p>
        </w:tc>
        <w:tc>
          <w:tcPr>
            <w:tcW w:w="2041" w:type="dxa"/>
          </w:tcPr>
          <w:p w:rsidR="005C2091" w:rsidRDefault="00A86293">
            <w:pPr>
              <w:pStyle w:val="CellColumn"/>
              <w:jc w:val="right"/>
            </w:pPr>
            <w:r>
              <w:rPr>
                <w:rFonts w:cs="Times New Roman"/>
              </w:rPr>
              <w:t>539.235</w:t>
            </w:r>
          </w:p>
        </w:tc>
        <w:tc>
          <w:tcPr>
            <w:tcW w:w="1224" w:type="dxa"/>
          </w:tcPr>
          <w:p w:rsidR="005C2091" w:rsidRDefault="00A86293">
            <w:pPr>
              <w:pStyle w:val="CellColumn"/>
              <w:jc w:val="right"/>
            </w:pPr>
            <w:r>
              <w:rPr>
                <w:rFonts w:cs="Times New Roman"/>
              </w:rPr>
              <w:t>57,9</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Zakon o hrani (NN 81/13, 14/14)</w:t>
      </w:r>
    </w:p>
    <w:p w:rsidR="005C2091" w:rsidRDefault="00A86293">
      <w:pPr>
        <w:pStyle w:val="Heading8"/>
        <w:jc w:val="left"/>
      </w:pPr>
      <w:r>
        <w:t>Opis aktivnosti</w:t>
      </w:r>
    </w:p>
    <w:p w:rsidR="005C2091" w:rsidRDefault="00A86293">
      <w:r>
        <w:t xml:space="preserve">Projekt je pilot projekt implementacije SSD2 u okviru elektroničkog prijenosa standardiziranog prikupljanja analitičkih podataka u EFSA-u. Glavni zadatak projekta je napraviti nacionalnu bazu podataka za elektronsko prikupljanje, ekstrakciju, transformaciju, validaciju i prijenos podataka o službenim kontrolama u EFSA-u za kontaminante, aditive, rezidue pesticida i veterinarsko medicinske proizvode, uz automatsko ažuriranje nacionalne baze podataka EFSA katalozima, na godišnjoj osnovi. </w:t>
      </w:r>
    </w:p>
    <w:p w:rsidR="005C2091" w:rsidRDefault="00A86293">
      <w:r>
        <w:t xml:space="preserve">Ovdje se radi o nadogradnji postojećeg sustava SSD1 putem kojega se prikupljaju i šalju podaci o službenim kontrolama u EFSA-u. Nakon informatičkog povezivanja izvora podataka (MP, MZ i HVI) prošireni podaci će dolaziti u HAH na evaluaciju i biti će putem web sučelja (koje će se kreirati ovim projektom) poslani u EFSA-u. Nakon završetka projekta EFSA će, temeljem prikupljenih modela i prijedloga iz zemalja koje su na ovom projektu, kreirati novi, poboljšani model SSD2 za prikupljanje podataka iz zemalja članica o rezultatima analize službenih kontrola, koji će biti obvezan za sve članice u narednim godinama.  </w:t>
      </w:r>
    </w:p>
    <w:p w:rsidR="005C2091" w:rsidRDefault="00A86293">
      <w:r>
        <w:t xml:space="preserve">Aktivnosti odrađene u okviru SSD2 projekta  u 2016.g.: </w:t>
      </w:r>
    </w:p>
    <w:p w:rsidR="005C2091" w:rsidRDefault="00A86293">
      <w:r>
        <w:t>1.</w:t>
      </w:r>
      <w:r>
        <w:tab/>
        <w:t xml:space="preserve">Izrada  Data Standardization document </w:t>
      </w:r>
    </w:p>
    <w:p w:rsidR="005C2091" w:rsidRDefault="00A86293">
      <w:r>
        <w:t>-</w:t>
      </w:r>
      <w:r>
        <w:tab/>
        <w:t xml:space="preserve">Domene uključene u ovaj projekt su veterinarsko medicinski proizvodi, kontaminanti, aditivi i pesticidi </w:t>
      </w:r>
    </w:p>
    <w:p w:rsidR="005C2091" w:rsidRDefault="00A86293">
      <w:r>
        <w:t>-</w:t>
      </w:r>
      <w:r>
        <w:tab/>
        <w:t xml:space="preserve">Nakon mapiranja elemenata i šifarnika postojećih baza podataka na SSD2 elemente i šifarnike, izrađen je i poslan u EFSA-u “Data Standardization document” </w:t>
      </w:r>
    </w:p>
    <w:p w:rsidR="005C2091" w:rsidRDefault="00A86293">
      <w:r>
        <w:t>-</w:t>
      </w:r>
      <w:r>
        <w:tab/>
        <w:t xml:space="preserve">EFSA je prihvatila dostavljeni “Data Standardization document” </w:t>
      </w:r>
    </w:p>
    <w:p w:rsidR="005C2091" w:rsidRDefault="00A86293">
      <w:r>
        <w:t>2.</w:t>
      </w:r>
      <w:r>
        <w:tab/>
        <w:t xml:space="preserve">Razvijena baza podataka  </w:t>
      </w:r>
    </w:p>
    <w:p w:rsidR="005C2091" w:rsidRDefault="00A86293">
      <w:r>
        <w:t>-</w:t>
      </w:r>
      <w:r>
        <w:tab/>
        <w:t xml:space="preserve">Razvijena je baza podataka za prihvat nestrukturiranih podataka za sve domene uključene u projekt </w:t>
      </w:r>
    </w:p>
    <w:p w:rsidR="005C2091" w:rsidRDefault="00A86293">
      <w:r>
        <w:t>-</w:t>
      </w:r>
      <w:r>
        <w:tab/>
        <w:t xml:space="preserve">Nakon validacije podataka oni su se ekstrahirali u HAH-ovu SSD2 strukturiranu bazu podataka  </w:t>
      </w:r>
    </w:p>
    <w:p w:rsidR="005C2091" w:rsidRDefault="00A86293">
      <w:r>
        <w:t>3.</w:t>
      </w:r>
      <w:r>
        <w:tab/>
        <w:t xml:space="preserve">Testiranje web servisa za izabranu domenu  </w:t>
      </w:r>
    </w:p>
    <w:p w:rsidR="005C2091" w:rsidRDefault="00A86293">
      <w:r>
        <w:t>-</w:t>
      </w:r>
      <w:r>
        <w:tab/>
        <w:t xml:space="preserve">Razvijen web servis za slanje podataka iz HAH-ove baze u EFSA-inu </w:t>
      </w:r>
    </w:p>
    <w:p w:rsidR="005C2091" w:rsidRDefault="00A86293">
      <w:r>
        <w:t>4.</w:t>
      </w:r>
      <w:r>
        <w:tab/>
        <w:t xml:space="preserve">Testiran web servis za primanje kataloga od EFSA-e u HAH-ovu bazu podataka </w:t>
      </w:r>
    </w:p>
    <w:p w:rsidR="005C2091" w:rsidRDefault="00A86293">
      <w:r>
        <w:t>-</w:t>
      </w:r>
      <w:r>
        <w:tab/>
        <w:t>Bilo koja promjena koja nastane u EFSA-inoj bazi podataka automatski se šalje u HAH-ovu bazu podataka i dodaje se u nju te postaje njen sastavni dio</w:t>
      </w:r>
    </w:p>
    <w:p w:rsidR="005C2091" w:rsidRDefault="00A86293">
      <w:pPr>
        <w:pStyle w:val="Heading2"/>
      </w:pPr>
      <w:r>
        <w:t>06030 Agencija za plaćanja u poljoprivredi, ribarstvu i ruralnom razvoju</w:t>
      </w:r>
    </w:p>
    <w:p w:rsidR="005C2091" w:rsidRDefault="00A86293">
      <w:r>
        <w:t xml:space="preserve">Agencija za plaćanja u poljoprivredi, ribarstvu i ruralnom razvoju osnovana je Zakonom o osnivanju Agencije za plaćanja Agencije za plaćanja  u poljoprivredi, ribarstvu i ruralnom razvoju (NN30/09, 56/13) kao javna ustanova radi operativne provedbe mjera tržišne i strukturne potpore u poljoprivredi, ribarstvu i ruralnom razvoju, a započela je s radom danom upisa u sudski registar 18. prosinca 2009.godine. Osnivač Agencije je Republika Hrvatska, a osnivačka prava i dužnosti u ime osnivača obavlja Ministarstvo poljoprivrede.  </w:t>
      </w:r>
    </w:p>
    <w:p w:rsidR="005C2091" w:rsidRDefault="00A86293">
      <w:r>
        <w:t xml:space="preserve">U provođenju općih ciljeva nadležnog, Ministarstva poljoprivrede, Agencija za plaćanja sudjeluje u provođenju cilja „1. Podizanje razine konkurentnosti poljoprivredno-prehrambenog i ribarskog sektora razini EU kako bi se smanjile razlike u negativnim pokazateljima proizvodnje u sektoru u odnosu na EU“ i općeg cilja  “3. Poboljšanje uvjeta života na ruralnom prostoru kroz povećanje konkurentnosti poljoprivredno-prerađivačkog i šumarskog sektora te ulaganja u obnovu i razvoj ruralnih područja“.  </w:t>
      </w:r>
    </w:p>
    <w:p w:rsidR="005C2091" w:rsidRDefault="00A86293">
      <w:r>
        <w:t xml:space="preserve">Vizija Agencije za plaćanja u poljoprivredi, ribarstvu i ruralnom razvoju jest „Primjereniji životni standard poljoprivrednika i ribara te očuvanje ruralnih prostora i njihov uravnotežen razvoj.“  </w:t>
      </w:r>
    </w:p>
    <w:p w:rsidR="005C2091" w:rsidRDefault="00A86293">
      <w:r>
        <w:t xml:space="preserve">Misija Agencije za plaćanja je povezivanje hrvatskih poljoprivrednika, ribara i subjekata u ruralnom prostoru s institucijama na nacionalnoj i europskoj razini koje kroz svoje programe i fondove financiraju razvoj poljoprivrede, ribarstva i ruralnog.  </w:t>
      </w:r>
    </w:p>
    <w:p w:rsidR="005C2091" w:rsidRDefault="00A86293">
      <w:r>
        <w:t xml:space="preserve">Operativna provedba mjera tržišne i strukturne potpore u poljoprivredi, ribarstvu i ruralnom razvoju podrazumijeva zaprimanje zahtjeva poljoprivrednika za potpore, administrativne kontrole zahtjeva, kontrole na terenu, odobravanje i na koncu isplatu potpora. Za navedenu provedbu Agencija je uspostavila Integrirani administrativni i kontrolni sustav (IAKS) koji obuhvaća niz standarda i procesa definiranih na razini EU, a kojih su se zemlje članice dužne pridržavati prilikom zaprimanja, obrade, kontrole i praćenja zahtjeva poljoprivrednika za izravnu potporu i određene mjere ruralnog razvoja, a u svrhu poboljšanja učinkovitosti i nadzora potpore EU.  </w:t>
      </w:r>
    </w:p>
    <w:p w:rsidR="005C2091" w:rsidRDefault="00A86293">
      <w:r>
        <w:t>Posebnu važnost zaslužuju ciljevi koji proizlaze iz višeznačne uloge u osiguranju primjerenog životnog standarda poljoprivrednog stanovništva i poboljšanje kvalitete života u ruralnom prostoru, ali i održivo upravljanje resursima te brigu za okoliš. U području ruralnog razvoja koje će postupno postajati središnje mjesto hrvatske poljoprivredne politike, posebno je važna ubrzana provedba zakonodavnog i institucionalnog okvira u skladu s EU okvirom kako bi se pravodobno i učinkovito nadomjestili određeni negativni učinci prilagodbe politike na području izravnih plaćanja.</w:t>
      </w:r>
    </w:p>
    <w:tbl>
      <w:tblPr>
        <w:tblStyle w:val="StilTablice"/>
        <w:tblW w:w="10206" w:type="dxa"/>
        <w:jc w:val="center"/>
        <w:tblLook w:val="04A0" w:firstRow="1" w:lastRow="0" w:firstColumn="1" w:lastColumn="0" w:noHBand="0" w:noVBand="1"/>
      </w:tblPr>
      <w:tblGrid>
        <w:gridCol w:w="1943"/>
        <w:gridCol w:w="1951"/>
        <w:gridCol w:w="1952"/>
        <w:gridCol w:w="1952"/>
        <w:gridCol w:w="1199"/>
        <w:gridCol w:w="1209"/>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06030-Agencija za plaćanja u poljoprivredi, ribarstvu i ruralnom razvoju</w:t>
            </w:r>
          </w:p>
        </w:tc>
        <w:tc>
          <w:tcPr>
            <w:tcW w:w="2041" w:type="dxa"/>
            <w:vAlign w:val="top"/>
          </w:tcPr>
          <w:p w:rsidR="005C2091" w:rsidRDefault="00A86293">
            <w:pPr>
              <w:pStyle w:val="CellColumn"/>
              <w:jc w:val="right"/>
            </w:pPr>
            <w:r>
              <w:rPr>
                <w:rFonts w:cs="Times New Roman"/>
              </w:rPr>
              <w:t>147.919.866</w:t>
            </w:r>
          </w:p>
        </w:tc>
        <w:tc>
          <w:tcPr>
            <w:tcW w:w="2041" w:type="dxa"/>
            <w:vAlign w:val="top"/>
          </w:tcPr>
          <w:p w:rsidR="005C2091" w:rsidRDefault="00A86293">
            <w:pPr>
              <w:pStyle w:val="CellColumn"/>
              <w:jc w:val="right"/>
            </w:pPr>
            <w:r>
              <w:rPr>
                <w:rFonts w:cs="Times New Roman"/>
              </w:rPr>
              <w:t>155.732.479</w:t>
            </w:r>
          </w:p>
        </w:tc>
        <w:tc>
          <w:tcPr>
            <w:tcW w:w="2041" w:type="dxa"/>
            <w:vAlign w:val="top"/>
          </w:tcPr>
          <w:p w:rsidR="005C2091" w:rsidRDefault="00A86293">
            <w:pPr>
              <w:pStyle w:val="CellColumn"/>
              <w:jc w:val="right"/>
            </w:pPr>
            <w:r>
              <w:rPr>
                <w:rFonts w:cs="Times New Roman"/>
              </w:rPr>
              <w:t>153.152.861</w:t>
            </w:r>
          </w:p>
        </w:tc>
        <w:tc>
          <w:tcPr>
            <w:tcW w:w="1224" w:type="dxa"/>
            <w:vAlign w:val="top"/>
          </w:tcPr>
          <w:p w:rsidR="005C2091" w:rsidRDefault="00A86293">
            <w:pPr>
              <w:pStyle w:val="CellColumn"/>
              <w:jc w:val="right"/>
            </w:pPr>
            <w:r>
              <w:rPr>
                <w:rFonts w:cs="Times New Roman"/>
              </w:rPr>
              <w:t>98,3</w:t>
            </w:r>
          </w:p>
        </w:tc>
        <w:tc>
          <w:tcPr>
            <w:tcW w:w="1224" w:type="dxa"/>
            <w:vAlign w:val="top"/>
          </w:tcPr>
          <w:p w:rsidR="005C2091" w:rsidRDefault="00A86293">
            <w:pPr>
              <w:pStyle w:val="CellColumn"/>
              <w:jc w:val="right"/>
            </w:pPr>
            <w:r>
              <w:rPr>
                <w:rFonts w:cs="Times New Roman"/>
              </w:rPr>
              <w:t>103,5</w:t>
            </w:r>
          </w:p>
        </w:tc>
      </w:tr>
      <w:tr w:rsidR="005C2091">
        <w:trPr>
          <w:jc w:val="center"/>
        </w:trPr>
        <w:tc>
          <w:tcPr>
            <w:tcW w:w="1632" w:type="dxa"/>
          </w:tcPr>
          <w:p w:rsidR="005C2091" w:rsidRDefault="00A86293">
            <w:pPr>
              <w:jc w:val="left"/>
            </w:pPr>
            <w:r>
              <w:t>3001-UPRAVLJANJE POLJOPRIVREDOM, RIBARSTVOM I RURALNIM RAZVOJEM</w:t>
            </w:r>
          </w:p>
        </w:tc>
        <w:tc>
          <w:tcPr>
            <w:tcW w:w="2041" w:type="dxa"/>
          </w:tcPr>
          <w:p w:rsidR="005C2091" w:rsidRDefault="00A86293">
            <w:pPr>
              <w:jc w:val="right"/>
            </w:pPr>
            <w:r>
              <w:t>145.795.797</w:t>
            </w:r>
          </w:p>
        </w:tc>
        <w:tc>
          <w:tcPr>
            <w:tcW w:w="2041" w:type="dxa"/>
          </w:tcPr>
          <w:p w:rsidR="005C2091" w:rsidRDefault="00A86293">
            <w:pPr>
              <w:jc w:val="right"/>
            </w:pPr>
            <w:r>
              <w:t>148.505.206</w:t>
            </w:r>
          </w:p>
        </w:tc>
        <w:tc>
          <w:tcPr>
            <w:tcW w:w="2041" w:type="dxa"/>
          </w:tcPr>
          <w:p w:rsidR="005C2091" w:rsidRDefault="00A86293">
            <w:pPr>
              <w:jc w:val="right"/>
            </w:pPr>
            <w:r>
              <w:t>147.175.076</w:t>
            </w:r>
          </w:p>
        </w:tc>
        <w:tc>
          <w:tcPr>
            <w:tcW w:w="1224" w:type="dxa"/>
          </w:tcPr>
          <w:p w:rsidR="005C2091" w:rsidRDefault="00A86293">
            <w:pPr>
              <w:jc w:val="right"/>
            </w:pPr>
            <w:r>
              <w:t>99,1</w:t>
            </w:r>
          </w:p>
        </w:tc>
        <w:tc>
          <w:tcPr>
            <w:tcW w:w="1224" w:type="dxa"/>
          </w:tcPr>
          <w:p w:rsidR="005C2091" w:rsidRDefault="00A86293">
            <w:pPr>
              <w:jc w:val="right"/>
            </w:pPr>
            <w:r>
              <w:t>100,9</w:t>
            </w:r>
          </w:p>
        </w:tc>
      </w:tr>
      <w:tr w:rsidR="005C2091">
        <w:trPr>
          <w:jc w:val="center"/>
        </w:trPr>
        <w:tc>
          <w:tcPr>
            <w:tcW w:w="1632" w:type="dxa"/>
          </w:tcPr>
          <w:p w:rsidR="005C2091" w:rsidRDefault="00A86293">
            <w:pPr>
              <w:jc w:val="left"/>
            </w:pPr>
            <w:r>
              <w:t>3002-POLJOPRIVREDA</w:t>
            </w:r>
          </w:p>
        </w:tc>
        <w:tc>
          <w:tcPr>
            <w:tcW w:w="2041" w:type="dxa"/>
          </w:tcPr>
          <w:p w:rsidR="005C2091" w:rsidRDefault="00A86293">
            <w:pPr>
              <w:jc w:val="right"/>
            </w:pPr>
            <w:r>
              <w:t>2.124.069</w:t>
            </w:r>
          </w:p>
        </w:tc>
        <w:tc>
          <w:tcPr>
            <w:tcW w:w="2041" w:type="dxa"/>
          </w:tcPr>
          <w:p w:rsidR="005C2091" w:rsidRDefault="00A86293">
            <w:pPr>
              <w:jc w:val="right"/>
            </w:pPr>
            <w:r>
              <w:t>930.000</w:t>
            </w:r>
          </w:p>
        </w:tc>
        <w:tc>
          <w:tcPr>
            <w:tcW w:w="2041" w:type="dxa"/>
          </w:tcPr>
          <w:p w:rsidR="005C2091" w:rsidRDefault="00A86293">
            <w:pPr>
              <w:jc w:val="right"/>
            </w:pPr>
            <w:r>
              <w:t>930.000</w:t>
            </w:r>
          </w:p>
        </w:tc>
        <w:tc>
          <w:tcPr>
            <w:tcW w:w="1224" w:type="dxa"/>
          </w:tcPr>
          <w:p w:rsidR="005C2091" w:rsidRDefault="00A86293">
            <w:pPr>
              <w:jc w:val="right"/>
            </w:pPr>
            <w:r>
              <w:t>100,0</w:t>
            </w:r>
          </w:p>
        </w:tc>
        <w:tc>
          <w:tcPr>
            <w:tcW w:w="1224" w:type="dxa"/>
          </w:tcPr>
          <w:p w:rsidR="005C2091" w:rsidRDefault="00A86293">
            <w:pPr>
              <w:jc w:val="right"/>
            </w:pPr>
            <w:r>
              <w:t>43,8</w:t>
            </w:r>
          </w:p>
        </w:tc>
      </w:tr>
      <w:tr w:rsidR="005C2091">
        <w:trPr>
          <w:jc w:val="center"/>
        </w:trPr>
        <w:tc>
          <w:tcPr>
            <w:tcW w:w="1632" w:type="dxa"/>
          </w:tcPr>
          <w:p w:rsidR="005C2091" w:rsidRDefault="00A86293">
            <w:pPr>
              <w:jc w:val="left"/>
            </w:pPr>
            <w:r>
              <w:t>3004-RURALNI RAZVOJ</w:t>
            </w:r>
          </w:p>
        </w:tc>
        <w:tc>
          <w:tcPr>
            <w:tcW w:w="2041" w:type="dxa"/>
          </w:tcPr>
          <w:p w:rsidR="005C2091" w:rsidRDefault="00A86293">
            <w:pPr>
              <w:jc w:val="right"/>
            </w:pPr>
            <w:r>
              <w:t>00</w:t>
            </w:r>
          </w:p>
        </w:tc>
        <w:tc>
          <w:tcPr>
            <w:tcW w:w="2041" w:type="dxa"/>
          </w:tcPr>
          <w:p w:rsidR="005C2091" w:rsidRDefault="00A86293">
            <w:pPr>
              <w:jc w:val="right"/>
            </w:pPr>
            <w:r>
              <w:t>6.297.273</w:t>
            </w:r>
          </w:p>
        </w:tc>
        <w:tc>
          <w:tcPr>
            <w:tcW w:w="2041" w:type="dxa"/>
          </w:tcPr>
          <w:p w:rsidR="005C2091" w:rsidRDefault="00A86293">
            <w:pPr>
              <w:jc w:val="right"/>
            </w:pPr>
            <w:r>
              <w:t>5.047.786</w:t>
            </w:r>
          </w:p>
        </w:tc>
        <w:tc>
          <w:tcPr>
            <w:tcW w:w="1224" w:type="dxa"/>
          </w:tcPr>
          <w:p w:rsidR="005C2091" w:rsidRDefault="00A86293">
            <w:pPr>
              <w:jc w:val="right"/>
            </w:pPr>
            <w:r>
              <w:t>80,2</w:t>
            </w:r>
          </w:p>
        </w:tc>
        <w:tc>
          <w:tcPr>
            <w:tcW w:w="1224" w:type="dxa"/>
          </w:tcPr>
          <w:p w:rsidR="005C2091" w:rsidRDefault="00A86293">
            <w:pPr>
              <w:jc w:val="right"/>
            </w:pPr>
            <w:r>
              <w:t>0,0</w:t>
            </w:r>
          </w:p>
        </w:tc>
      </w:tr>
    </w:tbl>
    <w:p w:rsidR="005C2091" w:rsidRDefault="005C2091">
      <w:pPr>
        <w:jc w:val="left"/>
      </w:pPr>
    </w:p>
    <w:p w:rsidR="005C2091" w:rsidRDefault="00A86293">
      <w:pPr>
        <w:pStyle w:val="Heading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3"/>
        <w:gridCol w:w="1951"/>
        <w:gridCol w:w="1952"/>
        <w:gridCol w:w="1952"/>
        <w:gridCol w:w="1199"/>
        <w:gridCol w:w="1209"/>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3001-UPRAVLJANJE POLJOPRIVREDOM, RIBARSTVOM I RURALNIM RAZVOJEM</w:t>
            </w:r>
          </w:p>
        </w:tc>
        <w:tc>
          <w:tcPr>
            <w:tcW w:w="2041" w:type="dxa"/>
          </w:tcPr>
          <w:p w:rsidR="005C2091" w:rsidRDefault="00A86293">
            <w:pPr>
              <w:pStyle w:val="CellColumn"/>
              <w:jc w:val="right"/>
            </w:pPr>
            <w:r>
              <w:rPr>
                <w:rFonts w:cs="Times New Roman"/>
              </w:rPr>
              <w:t>145.795.797</w:t>
            </w:r>
          </w:p>
        </w:tc>
        <w:tc>
          <w:tcPr>
            <w:tcW w:w="2041" w:type="dxa"/>
          </w:tcPr>
          <w:p w:rsidR="005C2091" w:rsidRDefault="00A86293">
            <w:pPr>
              <w:pStyle w:val="CellColumn"/>
              <w:jc w:val="right"/>
            </w:pPr>
            <w:r>
              <w:rPr>
                <w:rFonts w:cs="Times New Roman"/>
              </w:rPr>
              <w:t>148.505.206</w:t>
            </w:r>
          </w:p>
        </w:tc>
        <w:tc>
          <w:tcPr>
            <w:tcW w:w="2041" w:type="dxa"/>
          </w:tcPr>
          <w:p w:rsidR="005C2091" w:rsidRDefault="00A86293">
            <w:pPr>
              <w:pStyle w:val="CellColumn"/>
              <w:jc w:val="right"/>
            </w:pPr>
            <w:r>
              <w:rPr>
                <w:rFonts w:cs="Times New Roman"/>
              </w:rPr>
              <w:t>147.175.076</w:t>
            </w:r>
          </w:p>
        </w:tc>
        <w:tc>
          <w:tcPr>
            <w:tcW w:w="1224" w:type="dxa"/>
          </w:tcPr>
          <w:p w:rsidR="005C2091" w:rsidRDefault="00A86293">
            <w:pPr>
              <w:pStyle w:val="CellColumn"/>
              <w:jc w:val="right"/>
            </w:pPr>
            <w:r>
              <w:rPr>
                <w:rFonts w:cs="Times New Roman"/>
              </w:rPr>
              <w:t>99,1</w:t>
            </w:r>
          </w:p>
        </w:tc>
        <w:tc>
          <w:tcPr>
            <w:tcW w:w="1224" w:type="dxa"/>
          </w:tcPr>
          <w:p w:rsidR="005C2091" w:rsidRDefault="00A86293">
            <w:pPr>
              <w:pStyle w:val="CellColumn"/>
              <w:jc w:val="right"/>
            </w:pPr>
            <w:r>
              <w:rPr>
                <w:rFonts w:cs="Times New Roman"/>
              </w:rPr>
              <w:t>100,9</w:t>
            </w:r>
          </w:p>
        </w:tc>
      </w:tr>
    </w:tbl>
    <w:p w:rsidR="005C2091" w:rsidRDefault="005C2091">
      <w:pPr>
        <w:jc w:val="left"/>
      </w:pPr>
    </w:p>
    <w:p w:rsidR="005C2091" w:rsidRDefault="00A86293">
      <w:r>
        <w:t xml:space="preserve">Stvaranje konkurentnog poljoprivredno-prehrambenog sektora koji će iskoristiti komparativne prednosti Republike Hrvatske zahtjeva dosljednu provedbu sveobuhvatnih mjera na čitavom nizu područja što uključuje: učinkovite mjere zemljišne politike, provedbu financiranja sukladno pravilima EU, restrukturiranje poljoprivredne proizvodnje u smjeru visoko dohodovnih proizvoda deficitarnih na tržištu, te djelotvorno tržište koje pruža odgovarajuće okruženje za tehničke i poduzetničke sposobnosti hrvatskih poljoprivrednika.   </w:t>
      </w:r>
    </w:p>
    <w:p w:rsidR="005C2091" w:rsidRDefault="00A86293">
      <w:r>
        <w:t xml:space="preserve">Hrvatska poljoprivredna politika provodi značajne promjene koje su nužne zbog prilagodbe na sustav Zajedničke poljoprivredne politike EU (ZPP) za financijsko razdoblje 2015-2020. Utvrđeni dugoročni ciljevi hrvatske poljoprivredne politike sukladni su ciljevima ZPP-a. Obje politike ističu nužnost stalnog jačanja konkurentnosti u poljoprivredi i osiguranja prehrambene sigurnosti.  </w:t>
      </w:r>
    </w:p>
    <w:p w:rsidR="005C2091" w:rsidRDefault="00A86293">
      <w:r>
        <w:t>Posebnu važnost zaslužuju ciljevi koji proizlaze iz višeznačne uloge u osiguranju primjerenog životnog standarda poljoprivrednog stanovništva i poboljšanje kvalitete života u ruralnom prostoru, ali i održivo upravljanje resursima te brigu za okoliš. U području ruralnog razvoja koje će postupno postajati središnje mjesto hrvatske poljoprivredne politike, posebno je važna ubrzana provedba zakonodavnog i institucionalnog okvira u skladu s EU okvirom kako bi se pravodobno i učinkovito nadomjestili određeni negativni učinci prilagodbe politike na području izravnih plaćanja.</w:t>
      </w:r>
    </w:p>
    <w:p w:rsidR="005C2091" w:rsidRDefault="00A86293">
      <w:pPr>
        <w:pStyle w:val="Heading8"/>
        <w:jc w:val="left"/>
      </w:pPr>
      <w:r>
        <w:t>Cilj 1. Provedba financiranja poljoprivrednog i ribarskog sektora sukladno Zajedničkoj poljoprivrednoj politici EU (ZPP) i Zajedničkoj ribarskoj politici EU (ZRP)</w:t>
      </w:r>
    </w:p>
    <w:p w:rsidR="005C2091" w:rsidRDefault="00A86293">
      <w:pPr>
        <w:pStyle w:val="Heading8"/>
        <w:jc w:val="left"/>
      </w:pPr>
      <w:r>
        <w:t>Opis provedbe cilja programa</w:t>
      </w:r>
    </w:p>
    <w:p w:rsidR="005C2091" w:rsidRDefault="00A86293">
      <w:r>
        <w:t xml:space="preserve">Hrvatska poljoprivredna politika provodi značajne promjene koje su nužne zbog prilagodbe na sustav Zajedničke poljoprivredne politike EU (ZPP) za financijsko razdoblje 2015-2020. Utvrđeni dugoročni ciljevi hrvatske poljoprivredne politike sukladni su ciljevima ZPP-a. Obje politike ističu nužnost stalnog jačanja konkurentnosti u poljoprivredi i osiguranja prehrambene sigurnosti. </w:t>
      </w:r>
    </w:p>
    <w:p w:rsidR="005C2091" w:rsidRDefault="00A86293">
      <w:r>
        <w:t xml:space="preserve">Posebnu važnost zaslužuju ciljevi koji proizlaze iz višeznačne uloge u osiguranju primjerenog životnog standarda poljoprivrednog stanovništva i poboljšanje kvalitete života u ruralnom prostoru, ali i održivo upravljanje resursima te brigu za okoliš. U području ruralnog razvoja koje će postupno postajati središnje mjesto hrvatske poljoprivredne politike, posebno je važna ubrzana provedba zakonodavnog i institucionalnog okvira u skladu s EU okvirom kako bi se pravodobno i učinkovito nadomjestili određeni negativni učinci prilagodbe politike na području izravnih plaćanja. </w:t>
      </w:r>
    </w:p>
    <w:p w:rsidR="005C2091" w:rsidRDefault="00A86293">
      <w:r>
        <w:t>Ovaj opći cilj definiran strateškim planom MP, od strane Agencije za plaćanja u poljoprivredi, ribarstvu i ruralnom razvoju ostvaruje se kroz poseban cilj " provedba financiranja poljoprivrednog i ribarskog sektora sukladno ZPP i ZRP i to kroz reformu sustava poljoprivredne potpore, provedbu mjera strukturne politike prema modelu EU i praćenjem državnih potpora sukladno praksi EU.</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dohotka poljoprivrednika i ribara</w:t>
            </w:r>
          </w:p>
        </w:tc>
        <w:tc>
          <w:tcPr>
            <w:tcW w:w="2551" w:type="dxa"/>
          </w:tcPr>
          <w:p w:rsidR="005C2091" w:rsidRDefault="00A86293">
            <w:pPr>
              <w:pStyle w:val="CellColumn"/>
              <w:jc w:val="left"/>
            </w:pPr>
            <w:r>
              <w:rPr>
                <w:rFonts w:cs="Times New Roman"/>
              </w:rPr>
              <w:t>Podizanje razine konkurentnosti poljoprivredno-prehrambenog i ribarskog sektora razini EU kako bi se smanjile razlike u negativnim pokazateljima proizvodnje u sektoru u odnosu na EU</w:t>
            </w:r>
          </w:p>
        </w:tc>
        <w:tc>
          <w:tcPr>
            <w:tcW w:w="1020" w:type="dxa"/>
          </w:tcPr>
          <w:p w:rsidR="005C2091" w:rsidRDefault="00A86293">
            <w:pPr>
              <w:pStyle w:val="CellColumn"/>
              <w:jc w:val="right"/>
            </w:pPr>
            <w:r>
              <w:rPr>
                <w:rFonts w:cs="Times New Roman"/>
              </w:rPr>
              <w:t>INDEX</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Strateški plan MP</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bl>
    <w:p w:rsidR="005C2091" w:rsidRDefault="005C2091">
      <w:pPr>
        <w:jc w:val="left"/>
      </w:pPr>
    </w:p>
    <w:p w:rsidR="005C2091" w:rsidRDefault="00A86293">
      <w:pPr>
        <w:pStyle w:val="Heading4"/>
      </w:pPr>
      <w:r>
        <w:t>A841001 ADMINISTRACIJA I UPRAVLJANJE AGENCIJE ZA PLAĆANJA U POLJOPRIVREDI, RIBARSTVU I RURALNOM RAZVOJU</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A841001-ADMINISTRACIJA I UPRAVLJANJE AGENCIJE ZA PLAĆANJA U POLJOPRIVREDI, RIBARSTVU I RURALNOM RAZVOJU</w:t>
            </w:r>
          </w:p>
        </w:tc>
        <w:tc>
          <w:tcPr>
            <w:tcW w:w="2041" w:type="dxa"/>
          </w:tcPr>
          <w:p w:rsidR="005C2091" w:rsidRDefault="00A86293">
            <w:pPr>
              <w:pStyle w:val="CellColumn"/>
              <w:jc w:val="right"/>
            </w:pPr>
            <w:r>
              <w:rPr>
                <w:rFonts w:cs="Times New Roman"/>
              </w:rPr>
              <w:t>122.051.489</w:t>
            </w:r>
          </w:p>
        </w:tc>
        <w:tc>
          <w:tcPr>
            <w:tcW w:w="2041" w:type="dxa"/>
          </w:tcPr>
          <w:p w:rsidR="005C2091" w:rsidRDefault="00A86293">
            <w:pPr>
              <w:pStyle w:val="CellColumn"/>
              <w:jc w:val="right"/>
            </w:pPr>
            <w:r>
              <w:rPr>
                <w:rFonts w:cs="Times New Roman"/>
              </w:rPr>
              <w:t>122.399.586</w:t>
            </w:r>
          </w:p>
        </w:tc>
        <w:tc>
          <w:tcPr>
            <w:tcW w:w="2041" w:type="dxa"/>
          </w:tcPr>
          <w:p w:rsidR="005C2091" w:rsidRDefault="00A86293">
            <w:pPr>
              <w:pStyle w:val="CellColumn"/>
              <w:jc w:val="right"/>
            </w:pPr>
            <w:r>
              <w:rPr>
                <w:rFonts w:cs="Times New Roman"/>
              </w:rPr>
              <w:t>121.408.744</w:t>
            </w:r>
          </w:p>
        </w:tc>
        <w:tc>
          <w:tcPr>
            <w:tcW w:w="1224" w:type="dxa"/>
          </w:tcPr>
          <w:p w:rsidR="005C2091" w:rsidRDefault="00A86293">
            <w:pPr>
              <w:pStyle w:val="CellColumn"/>
              <w:jc w:val="right"/>
            </w:pPr>
            <w:r>
              <w:rPr>
                <w:rFonts w:cs="Times New Roman"/>
              </w:rPr>
              <w:t>99,2</w:t>
            </w:r>
          </w:p>
        </w:tc>
        <w:tc>
          <w:tcPr>
            <w:tcW w:w="1224" w:type="dxa"/>
          </w:tcPr>
          <w:p w:rsidR="005C2091" w:rsidRDefault="00A86293">
            <w:pPr>
              <w:pStyle w:val="CellColumn"/>
              <w:jc w:val="right"/>
            </w:pPr>
            <w:r>
              <w:rPr>
                <w:rFonts w:cs="Times New Roman"/>
              </w:rPr>
              <w:t>99,5</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osnivanju Agencije za plaćanja u poljoprivredi, ribarstvu i ruralnom razvoju (NN br.30/09 i 56/13)   </w:t>
      </w:r>
    </w:p>
    <w:p w:rsidR="005C2091" w:rsidRDefault="00A86293">
      <w:r>
        <w:t>-</w:t>
      </w:r>
      <w:r>
        <w:tab/>
        <w:t xml:space="preserve">Zakon o poljoprivredi (NN br.30/15) čl.107  </w:t>
      </w:r>
    </w:p>
    <w:p w:rsidR="005C2091" w:rsidRDefault="00A86293">
      <w:r>
        <w:t xml:space="preserve">-            Pravilnik o proračunskom računovodstvu i kontni plan (NN 124/14), </w:t>
      </w:r>
    </w:p>
    <w:p w:rsidR="005C2091" w:rsidRDefault="00A86293">
      <w:r>
        <w:t xml:space="preserve">-            Zakon o izvršavanj Državnog proračuna RH za 2016.godinu (NN 26/2016) </w:t>
      </w:r>
    </w:p>
    <w:p w:rsidR="005C2091" w:rsidRDefault="00A86293">
      <w:r>
        <w:t xml:space="preserve">-            Zakon o proračunu ( 87/08, 136/12 i 15/15) </w:t>
      </w:r>
    </w:p>
    <w:p w:rsidR="005C2091" w:rsidRDefault="00A86293">
      <w:r>
        <w:t>-</w:t>
      </w:r>
      <w:r>
        <w:tab/>
        <w:t xml:space="preserve">Pravilnik o unutarnjem ustroju i sistematizaciji radnih mjesta od 05.06.2015.godine (Agencija za plaćanja u poljoprivredi, ribarstvu i ruralnom razvoju)  </w:t>
      </w:r>
    </w:p>
    <w:p w:rsidR="005C2091" w:rsidRDefault="00A86293">
      <w:r>
        <w:t>-</w:t>
      </w:r>
      <w:r>
        <w:tab/>
        <w:t>Zapošljavanje radnika i upravljanje ljudskim potencijalima u Agenciji za plaćanja provodi se sukladno zakonskoj osnovi i internim propisima APPRRR-a kao što su Statut Agencije za plaćanja, Pravilnik o radu, Pravilnik o unutarnjem ustroju i sistematizaciji radnih mjesta te sukladno Temeljnom kolektivnom ugovoru za službenike i namještenike u javnim službama i Zakonu o radu kao nacionalnim propisima.</w:t>
      </w:r>
    </w:p>
    <w:p w:rsidR="005C2091" w:rsidRDefault="00A86293">
      <w:pPr>
        <w:pStyle w:val="Heading8"/>
        <w:jc w:val="left"/>
      </w:pPr>
      <w:r>
        <w:t>Opis aktivnosti</w:t>
      </w:r>
    </w:p>
    <w:p w:rsidR="005C2091" w:rsidRDefault="00A86293">
      <w:r>
        <w:t xml:space="preserve">Ovom aktivnosti obuhvaćene su aktivnosti koje osiguravaju redovito poslovanje i obavljanje svih djelatnosti Agencije za plaćanja u poljoprivredi, ribarstvu i ruralnom razvoju. Iz tih aktivnosti financiraju se troškovi ukupnih rashoda za zaposlene, korištenja usluga i dobara, opremanje ureda.  </w:t>
      </w:r>
    </w:p>
    <w:p w:rsidR="005C2091" w:rsidRDefault="00A86293">
      <w:r>
        <w:t xml:space="preserve">Sukladno izrađenim analizama obima posla za period od 2015.-2017. godine u mjesecu lipnju 2015. godine na sjednici Upravnog vijeća APPRRR-a usvojen je Pravilnik o unutarnjem ustroju i sistematizaciji radnih mjesta kojim je sistematizirano 738 radnih mjesta i to 379 radnih mjesta u središnjem uredu i 359 radnih mjesta u regionalnim uredima APPRRR-a. Prema usvojenom Pravilniku o unutarnjem ustroju i sistematizaciji radnih mjesta usvojene su i Izmjene i dopune Plana zapošljavanja za 2016. godinu, sukladno kojem se u Agenciji za plaćanja nastavilo s popunjavanjem preostalih nepopunjenih sistematiziranih radnih mjesta. Na dan 31. prosinca 2016. godine u Agenciji za plaćanja zaposleno je ukupno 707 radnika, od toga 359 radnika u središnjem uredu i 348 radnika u regionalnim uredima. Agencija za plaćanja tijekom 2016. godine objavila ukupno 07 javnih natječaja od čega: </w:t>
      </w:r>
    </w:p>
    <w:p w:rsidR="005C2091" w:rsidRDefault="00A86293">
      <w:r>
        <w:t>-</w:t>
      </w:r>
      <w:r>
        <w:tab/>
        <w:t xml:space="preserve">06 javnih natječaja za prijem u radni odnos do povratka privremeno nenazočnih radnica - za 29 izvršitelja, od kojih je 1 poništen </w:t>
      </w:r>
    </w:p>
    <w:p w:rsidR="005C2091" w:rsidRDefault="00A86293">
      <w:r>
        <w:t>-</w:t>
      </w:r>
      <w:r>
        <w:tab/>
        <w:t xml:space="preserve">01 javni natječaj za imenovanje ravnatelja i zamjenika ravnatelja - za 2 izvršitelja </w:t>
      </w:r>
    </w:p>
    <w:p w:rsidR="005C2091" w:rsidRDefault="00A86293">
      <w:r>
        <w:t xml:space="preserve">Od ukupnog broja zaposlenih 87% ima visoku i višu stručnu spremu, većinom iz područja agronomije i ekonomije. Više od 70% radnika u rasponu je od 30-49 godina starosti, a 63% svih zaposlenih su žene. Radi kvalitetnijeg, efikasnijeg i učinkovitog obavljanja zadanih poslova za svaku godinu se izrađuje Plan izobrazbe zaposlenika na temelju kataloga edukacijskih tema. Sve pohađane edukacije se evidentiraju i prati se provedba Plana. Organizacijska jedinica Agencije zadužena za upravljanje ljudskim potencijalima upravljat će edukacijama na način da identificira potrebe za edukacijama temeljem individualnih planova, rezervira sredstava za edukacije, organizira edukacije i prati provedbu plana. Unutarnji ustroj Agencije je  uspostavljen na način da omogućava obavljanje glavnih funkcija vezano uz izdatke Zajedničke poljoprivredne politike, a to su odobravanje i kontrola plaćanja, isplata odobrenih iznosa podnositelju zahtjeva i računovodstvo za evidentiranje svih plaćanja s jasnom raspodjelom ovlasti i odgovornosti na svim operativnim razinama te odvajanjem triju glavnih funkcija Agencije. Nad osjetljivim radnim mjestima provodio se pojačan nadzor (superkontrola) i poduzimale se mjere radi izbjegavanja sukoba interesa koje su propisane u Etičkom kodeksu radnika Agencije. Agencija u cilju osiguravanja točnih i ažurnih podataka u Upisnicima vrši razmjenu službenih podataka s nadležnim institucijama kao što su FINA (provjera točnosti žiro računa korisnika) i MUP (provjera prebivališta). Agencija za plaćanja u poljoprivredi, ribarstvu i ruralnom razvoju kontinuirano je provodila aktivnosti vezane uz Zajedničku poljoprivrednu politiku EU.       </w:t>
      </w:r>
    </w:p>
    <w:p w:rsidR="005C2091" w:rsidRDefault="00A86293">
      <w:r>
        <w:t xml:space="preserve">Agencija za plaćanja je temeljem provedenih postupaka javne nabave zaključila 2 okvirna sporazuma i 14 ugovora o javnoj nabavi. </w:t>
      </w:r>
    </w:p>
    <w:p w:rsidR="005C2091" w:rsidRDefault="00A86293">
      <w:r>
        <w:t xml:space="preserve">Sukladno Zakonskim propisima, pravovremeno obavljane su sve obveze vezane uz </w:t>
      </w:r>
    </w:p>
    <w:p w:rsidR="005C2091" w:rsidRDefault="00A86293">
      <w:r>
        <w:t>-</w:t>
      </w:r>
      <w:r>
        <w:tab/>
        <w:t xml:space="preserve">Planiranje proračuna, </w:t>
      </w:r>
    </w:p>
    <w:p w:rsidR="005C2091" w:rsidRDefault="00A86293">
      <w:r>
        <w:t>-</w:t>
      </w:r>
      <w:r>
        <w:tab/>
        <w:t xml:space="preserve">Praćenje izvršenja proračuna i plaćanja – obavljanje plaćanja u domaćoj i inozemnoj valuti na temelju zahtjeva za plaćanje prema Državnoj riznici,  </w:t>
      </w:r>
    </w:p>
    <w:p w:rsidR="005C2091" w:rsidRDefault="00A86293">
      <w:r>
        <w:t>-</w:t>
      </w:r>
      <w:r>
        <w:tab/>
        <w:t xml:space="preserve">Knjigovodstvo – evidentiranje svih poslovnih događaja u glavnoj knjizi, analitici i izvanbilančnoj evidenciji,  </w:t>
      </w:r>
    </w:p>
    <w:p w:rsidR="005C2091" w:rsidRDefault="00A86293">
      <w:r>
        <w:t>-</w:t>
      </w:r>
      <w:r>
        <w:tab/>
        <w:t xml:space="preserve">Računovodstvene kontrole – ispravnost i pouzdanost računovodstvenih podataka </w:t>
      </w:r>
    </w:p>
    <w:p w:rsidR="005C2091" w:rsidRDefault="00A86293">
      <w:r>
        <w:t>-</w:t>
      </w:r>
      <w:r>
        <w:tab/>
        <w:t xml:space="preserve">Obračun plaće i drugih primanja zaposlenika </w:t>
      </w:r>
    </w:p>
    <w:p w:rsidR="005C2091" w:rsidRDefault="00A86293">
      <w:r>
        <w:t>-</w:t>
      </w:r>
      <w:r>
        <w:tab/>
        <w:t xml:space="preserve">Računovodstvene analize –usporedba planiranog i ostvarenog, istraživanje odstupanja, izvještavanje, </w:t>
      </w:r>
    </w:p>
    <w:p w:rsidR="005C2091" w:rsidRDefault="00A86293">
      <w:r>
        <w:t>-</w:t>
      </w:r>
      <w:r>
        <w:tab/>
        <w:t xml:space="preserve">Računovodstveno informiranje – računovodstveni i financijski izvještaji, sintetizirane i detaljne informacije za interne i eksterne korisnike.  </w:t>
      </w:r>
    </w:p>
    <w:p w:rsidR="005C2091" w:rsidRDefault="00A86293">
      <w:r>
        <w:t xml:space="preserve">Agencija za plaćanja je tijekom 2016. godine imala 1 rebalans proračuna i sedam preraspodjela sredstava. </w:t>
      </w:r>
    </w:p>
    <w:p w:rsidR="005C2091" w:rsidRDefault="00A86293">
      <w:r>
        <w:t xml:space="preserve">Proračun za 2016.g. je objavljen u Narodnim novinama broj 26/16 od 21.03.2016., a proračun za 2017.g. je u Narodnim novinama broj 119/2016. od 20.12.2016.g. </w:t>
      </w:r>
    </w:p>
    <w:p w:rsidR="005C2091" w:rsidRDefault="00A86293">
      <w:r>
        <w:t xml:space="preserve">Dana 31.12.2016. godine izvršenje proračuna u odnosu na planirano bilo je 98,34%. </w:t>
      </w:r>
    </w:p>
    <w:p w:rsidR="005C2091" w:rsidRDefault="00A86293">
      <w:r>
        <w:t xml:space="preserve">Agencija za plaćanja za svaku godinu donosi Plan klasifikacijskih i brojčanih oznaka pismena i signatura stvaratelja i primatelja pismena. Tijekom godine odrađeni su poslovi koji se odnose na zaprimanja, evidentiranja, dostave u rad, praćenje rješavanja i potpisivanja, otpreme, arhiviranja, izlučivanja i izvješćivanja o evidentiranim unosima koji se obavljao u regionalnim uredima i središnjem uredu Agencije.  </w:t>
      </w:r>
    </w:p>
    <w:p w:rsidR="005C2091" w:rsidRDefault="00A86293">
      <w:r>
        <w:t xml:space="preserve">Provodile su se aktivnosti značajne za povezivanje pojedinačnih procesnih aplikativnih modula s ISUD aplikacijom za upravljanje dokumentima kroz koju je moguće pratiti ulaz/izlaz dokumenta i e- zapisa </w:t>
      </w:r>
    </w:p>
    <w:p w:rsidR="005C2091" w:rsidRDefault="00A86293">
      <w:r>
        <w:t>te slijed i dokumentiranost pojedinog poslovnog procesa, a sve sa svrhom osiguranja revizijskog traga, dostupnosti, točnosti, učinkovitosti i povezanosti dokumenata svih provedbenih aktivnosti iz nadležnosti Agencije za plaćanja. Također su izvršene izmjene i dopune postojećih procedura, administrativno tehnički poslovi potrebni za rad Agencije za plaćanja te održavanje SAP aplikacije za evidenciju korištenja uredskog materijala.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Osigurani odgovarajući ljudski potencijali</w:t>
            </w:r>
          </w:p>
        </w:tc>
        <w:tc>
          <w:tcPr>
            <w:tcW w:w="2551" w:type="dxa"/>
          </w:tcPr>
          <w:p w:rsidR="005C2091" w:rsidRDefault="00A86293">
            <w:pPr>
              <w:pStyle w:val="CellColumn"/>
              <w:jc w:val="left"/>
            </w:pPr>
            <w:r>
              <w:rPr>
                <w:rFonts w:cs="Times New Roman"/>
              </w:rPr>
              <w:t>Zapošljavanje stručnih osoba temeljem objave javnih natječaja</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724</w:t>
            </w:r>
          </w:p>
        </w:tc>
        <w:tc>
          <w:tcPr>
            <w:tcW w:w="1020" w:type="dxa"/>
          </w:tcPr>
          <w:p w:rsidR="005C2091" w:rsidRDefault="00A86293">
            <w:pPr>
              <w:pStyle w:val="CellColumn"/>
              <w:jc w:val="right"/>
            </w:pPr>
            <w:r>
              <w:rPr>
                <w:rFonts w:cs="Times New Roman"/>
              </w:rPr>
              <w:t>APRRR</w:t>
            </w:r>
          </w:p>
        </w:tc>
        <w:tc>
          <w:tcPr>
            <w:tcW w:w="1020" w:type="dxa"/>
          </w:tcPr>
          <w:p w:rsidR="005C2091" w:rsidRDefault="00A86293">
            <w:pPr>
              <w:pStyle w:val="CellColumn"/>
              <w:jc w:val="right"/>
            </w:pPr>
            <w:r>
              <w:rPr>
                <w:rFonts w:cs="Times New Roman"/>
              </w:rPr>
              <w:t>738</w:t>
            </w:r>
          </w:p>
        </w:tc>
        <w:tc>
          <w:tcPr>
            <w:tcW w:w="1020" w:type="dxa"/>
          </w:tcPr>
          <w:p w:rsidR="005C2091" w:rsidRDefault="00A86293">
            <w:pPr>
              <w:pStyle w:val="CellColumn"/>
              <w:jc w:val="right"/>
            </w:pPr>
            <w:r>
              <w:rPr>
                <w:rFonts w:cs="Times New Roman"/>
              </w:rPr>
              <w:t>707</w:t>
            </w:r>
          </w:p>
        </w:tc>
      </w:tr>
      <w:tr w:rsidR="005C2091">
        <w:trPr>
          <w:jc w:val="center"/>
        </w:trPr>
        <w:tc>
          <w:tcPr>
            <w:tcW w:w="2551" w:type="dxa"/>
          </w:tcPr>
          <w:p w:rsidR="005C2091" w:rsidRDefault="00A86293">
            <w:pPr>
              <w:pStyle w:val="CellColumn"/>
              <w:jc w:val="left"/>
            </w:pPr>
            <w:r>
              <w:rPr>
                <w:rFonts w:cs="Times New Roman"/>
              </w:rPr>
              <w:t>Provedba postupaka javne nabave za potrebe redovnog poslovanja</w:t>
            </w:r>
          </w:p>
        </w:tc>
        <w:tc>
          <w:tcPr>
            <w:tcW w:w="2551" w:type="dxa"/>
          </w:tcPr>
          <w:p w:rsidR="005C2091" w:rsidRDefault="00A86293">
            <w:pPr>
              <w:pStyle w:val="CellColumn"/>
              <w:jc w:val="left"/>
            </w:pPr>
            <w:r>
              <w:rPr>
                <w:rFonts w:cs="Times New Roman"/>
              </w:rPr>
              <w:t>Kvalitetna i pravovremena provedba postupka javne nabave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99</w:t>
            </w:r>
          </w:p>
        </w:tc>
        <w:tc>
          <w:tcPr>
            <w:tcW w:w="1020" w:type="dxa"/>
          </w:tcPr>
          <w:p w:rsidR="005C2091" w:rsidRDefault="00A86293">
            <w:pPr>
              <w:pStyle w:val="CellColumn"/>
              <w:jc w:val="right"/>
            </w:pPr>
            <w:r>
              <w:rPr>
                <w:rFonts w:cs="Times New Roman"/>
              </w:rPr>
              <w:t>APPRRR</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bl>
    <w:p w:rsidR="005C2091" w:rsidRDefault="005C2091">
      <w:pPr>
        <w:jc w:val="left"/>
      </w:pPr>
    </w:p>
    <w:p w:rsidR="005C2091" w:rsidRDefault="00A86293">
      <w:pPr>
        <w:pStyle w:val="Heading4"/>
      </w:pPr>
      <w:r>
        <w:t>K841002 INFORMATIZACIJA</w:t>
      </w:r>
    </w:p>
    <w:tbl>
      <w:tblPr>
        <w:tblStyle w:val="StilTablice"/>
        <w:tblW w:w="10206" w:type="dxa"/>
        <w:jc w:val="center"/>
        <w:tblLook w:val="04A0" w:firstRow="1" w:lastRow="0" w:firstColumn="1" w:lastColumn="0" w:noHBand="0" w:noVBand="1"/>
      </w:tblPr>
      <w:tblGrid>
        <w:gridCol w:w="1914"/>
        <w:gridCol w:w="1959"/>
        <w:gridCol w:w="1959"/>
        <w:gridCol w:w="1959"/>
        <w:gridCol w:w="1203"/>
        <w:gridCol w:w="121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K841002-INFORMATIZACIJA</w:t>
            </w:r>
          </w:p>
        </w:tc>
        <w:tc>
          <w:tcPr>
            <w:tcW w:w="2041" w:type="dxa"/>
          </w:tcPr>
          <w:p w:rsidR="005C2091" w:rsidRDefault="00A86293">
            <w:pPr>
              <w:pStyle w:val="CellColumn"/>
              <w:jc w:val="right"/>
            </w:pPr>
            <w:r>
              <w:rPr>
                <w:rFonts w:cs="Times New Roman"/>
              </w:rPr>
              <w:t>23.744.308</w:t>
            </w:r>
          </w:p>
        </w:tc>
        <w:tc>
          <w:tcPr>
            <w:tcW w:w="2041" w:type="dxa"/>
          </w:tcPr>
          <w:p w:rsidR="005C2091" w:rsidRDefault="00A86293">
            <w:pPr>
              <w:pStyle w:val="CellColumn"/>
              <w:jc w:val="right"/>
            </w:pPr>
            <w:r>
              <w:rPr>
                <w:rFonts w:cs="Times New Roman"/>
              </w:rPr>
              <w:t>26.105.620</w:t>
            </w:r>
          </w:p>
        </w:tc>
        <w:tc>
          <w:tcPr>
            <w:tcW w:w="2041" w:type="dxa"/>
          </w:tcPr>
          <w:p w:rsidR="005C2091" w:rsidRDefault="00A86293">
            <w:pPr>
              <w:pStyle w:val="CellColumn"/>
              <w:jc w:val="right"/>
            </w:pPr>
            <w:r>
              <w:rPr>
                <w:rFonts w:cs="Times New Roman"/>
              </w:rPr>
              <w:t>25.766.332</w:t>
            </w:r>
          </w:p>
        </w:tc>
        <w:tc>
          <w:tcPr>
            <w:tcW w:w="1224" w:type="dxa"/>
          </w:tcPr>
          <w:p w:rsidR="005C2091" w:rsidRDefault="00A86293">
            <w:pPr>
              <w:pStyle w:val="CellColumn"/>
              <w:jc w:val="right"/>
            </w:pPr>
            <w:r>
              <w:rPr>
                <w:rFonts w:cs="Times New Roman"/>
              </w:rPr>
              <w:t>98,7</w:t>
            </w:r>
          </w:p>
        </w:tc>
        <w:tc>
          <w:tcPr>
            <w:tcW w:w="1224" w:type="dxa"/>
          </w:tcPr>
          <w:p w:rsidR="005C2091" w:rsidRDefault="00A86293">
            <w:pPr>
              <w:pStyle w:val="CellColumn"/>
              <w:jc w:val="right"/>
            </w:pPr>
            <w:r>
              <w:rPr>
                <w:rFonts w:cs="Times New Roman"/>
              </w:rPr>
              <w:t>108,5</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poljoprivredi (NN br.30/15) čl.17.-18., čl. 20.-49. Pravilnik o evidenciji uporabe poljoprivrednog zemljišta (NN br.30/2015);  </w:t>
      </w:r>
    </w:p>
    <w:p w:rsidR="005C2091" w:rsidRDefault="00A86293">
      <w:r>
        <w:t>-</w:t>
      </w:r>
      <w:r>
        <w:tab/>
        <w:t xml:space="preserve"> Zakon o nacionalnoj infrastrukturi prostornih podataka (NN 56/13) čl.25     </w:t>
      </w:r>
    </w:p>
    <w:p w:rsidR="005C2091" w:rsidRDefault="00A86293">
      <w:r>
        <w:t>-</w:t>
      </w:r>
      <w:r>
        <w:tab/>
        <w:t xml:space="preserve"> EU Uredbe  1305/20131306/2013,01307/2013      </w:t>
      </w:r>
    </w:p>
    <w:p w:rsidR="005C2091" w:rsidRDefault="00A86293">
      <w:r>
        <w:t>-</w:t>
      </w:r>
      <w:r>
        <w:tab/>
        <w:t xml:space="preserve"> Delegirane uredbe Komisije (EU) br. 639/2014, 640/2014, 641/2014  Provedbene uredbe Komisije (EU) br. 807/2014, 808/2014, 809/2014   Uredba Vijeća (EZ) 834/2007</w:t>
      </w:r>
    </w:p>
    <w:p w:rsidR="005C2091" w:rsidRDefault="00A86293">
      <w:pPr>
        <w:pStyle w:val="Heading8"/>
        <w:jc w:val="left"/>
      </w:pPr>
      <w:r>
        <w:t>Opis aktivnosti</w:t>
      </w:r>
    </w:p>
    <w:p w:rsidR="005C2091" w:rsidRDefault="00A86293">
      <w:r>
        <w:t xml:space="preserve">'Pod pojmom "informatizacija" Agencija podrazumijeva kupovinu raznih gotovih programskih rješenja i izradu posebnih programskih rješenja (aplikacija) kojima se služi u svakodnevnom radu i preko kojih obavlja glavne poslovne procese: isplate, obrade i kontrole izravnih, tržišnih i ruralnih potpora i mjera te potrebne informatičke opreme. Uz osnovne procese, informatizirani su i horizontalni  (potporni) procesi kao što je ARKOD, razni registri, financije i računovodstvo i sl.  </w:t>
      </w:r>
    </w:p>
    <w:p w:rsidR="005C2091" w:rsidRDefault="00A86293">
      <w:r>
        <w:t xml:space="preserve">Kroz ovu aktivnost ostvaruje se i prvi opći cilj Strateškog plana ministarstva poljoprivrede „Podizanje razine konkurentnosti poljoprivredno-prehrambenog i ribarskog sektora razini EU kako bi se smanjile razlike u negativnim pokazateljima proizvodnje u sektoru u odnosu na EU“ odnosno poseban cilj „Provedba financiranja poljoprivrednog i ribarskog sektora sukladno Zajedničkoj poljoprivrednoj politici EU (ZPP) i Zajedničkoj ribarskoj politici EU (ZRP). Operativna provedba mjera Zajedničke poljoprivredne politike  odvija se kroz kontrolni informatički podržan sustav APPRRR-a u skladu s akreditacijskim kriterijima.  </w:t>
      </w:r>
    </w:p>
    <w:p w:rsidR="005C2091" w:rsidRDefault="00A86293">
      <w:r>
        <w:t xml:space="preserve"> Nalazom revizije vezanog za ISO 270002 utvrđeno je da je u sklopu Tehničke zaštite – potrebno ugraditi sustav kontrole pristupa s evidencijom radnog vremena 21regionalni ured. U 2016.g. navedeni sustav uveden je u 5 ureda. Rok za otklanjanje ovog nalaza jest 2018.godina. Osim navedebog u cilju nadogradnje i održavanja informacijske strukture realizirana je nabava hardvera , stolnih računala i printera te proširen postojeći diskovni sustav za backupa podataka te proširen diskobni sustav seknudarne lokacije sukladnu planu nabave za 2016.g. Nabavljen je »Network load balancing« sustava. </w:t>
      </w:r>
    </w:p>
    <w:p w:rsidR="005C2091" w:rsidRDefault="00A86293">
      <w:r>
        <w:t xml:space="preserve">U 2016.g. obavljene su i sljedeće  aktivnosti u cilju osiguranja kvalitetne aplikativne podrške za sve procese Agencije: </w:t>
      </w:r>
    </w:p>
    <w:p w:rsidR="005C2091" w:rsidRDefault="00A86293">
      <w:r>
        <w:t>-</w:t>
      </w:r>
      <w:r>
        <w:tab/>
        <w:t>Nadogradnja i optimizacija postojećih funkcionalnosti unutar postojećih sustava ovisno opromjenama RH i EU regulativa odnosno izmjenama poslovnih procesa za izravne potpore i IAKS mjere ruralnog razvoja te poslovnih procesa za mjere ruralnog razvoja, administriranje potpora u pčelarstvu, nadogradnja ZOT registra u cilju provedbe novih mjera u pčelarstvu, ažuriranje ARKOD sustava i nadogradnja sustava za monitoring i agrookolišne mjere, izrada web aplikacije za razmjenu podataka s vanjskim institucijama, nadogradnja Nature 2000, nadogradnja infrastrukturnih podataka za e-dozvole, nadogradnja i optimiziranje softvera temeljem usavršavanja metodologije i revizorskih nalaza, održavanje ISA sustava i projekata razvijenih u sklopu projekta IPA TA 2011.</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497844">
            <w:pPr>
              <w:pStyle w:val="CellColumn"/>
              <w:jc w:val="left"/>
            </w:pPr>
            <w:r>
              <w:rPr>
                <w:rFonts w:cs="Times New Roman"/>
              </w:rPr>
              <w:t>Sigurnost</w:t>
            </w:r>
            <w:r w:rsidR="00497844">
              <w:t xml:space="preserve"> </w:t>
            </w:r>
            <w:r w:rsidR="00497844">
              <w:rPr>
                <w:rFonts w:cs="Times New Roman"/>
              </w:rPr>
              <w:t>informacij</w:t>
            </w:r>
            <w:r>
              <w:rPr>
                <w:rFonts w:cs="Times New Roman"/>
              </w:rPr>
              <w:t>skog sustava</w:t>
            </w:r>
            <w:r w:rsidR="00497844">
              <w:t xml:space="preserve"> </w:t>
            </w:r>
            <w:r>
              <w:rPr>
                <w:rFonts w:cs="Times New Roman"/>
              </w:rPr>
              <w:t>sukladna</w:t>
            </w:r>
            <w:r w:rsidR="00497844">
              <w:t xml:space="preserve"> </w:t>
            </w:r>
            <w:r w:rsidR="00497844">
              <w:rPr>
                <w:rFonts w:cs="Times New Roman"/>
              </w:rPr>
              <w:t xml:space="preserve">s </w:t>
            </w:r>
            <w:r>
              <w:rPr>
                <w:rFonts w:cs="Times New Roman"/>
              </w:rPr>
              <w:t>ISO</w:t>
            </w:r>
            <w:r w:rsidR="00497844">
              <w:t xml:space="preserve"> </w:t>
            </w:r>
            <w:r>
              <w:rPr>
                <w:rFonts w:cs="Times New Roman"/>
              </w:rPr>
              <w:t>27001</w:t>
            </w:r>
          </w:p>
        </w:tc>
        <w:tc>
          <w:tcPr>
            <w:tcW w:w="2551" w:type="dxa"/>
          </w:tcPr>
          <w:p w:rsidR="005C2091" w:rsidRDefault="00A86293" w:rsidP="00497844">
            <w:pPr>
              <w:pStyle w:val="CellColumn"/>
              <w:jc w:val="left"/>
            </w:pPr>
            <w:r>
              <w:rPr>
                <w:rFonts w:cs="Times New Roman"/>
              </w:rPr>
              <w:t>Sigurnost</w:t>
            </w:r>
            <w:r w:rsidR="00497844">
              <w:t xml:space="preserve"> </w:t>
            </w:r>
            <w:r>
              <w:rPr>
                <w:rFonts w:cs="Times New Roman"/>
              </w:rPr>
              <w:t>informacij skog sustava</w:t>
            </w:r>
            <w:r w:rsidR="00497844">
              <w:t xml:space="preserve"> </w:t>
            </w:r>
            <w:r>
              <w:rPr>
                <w:rFonts w:cs="Times New Roman"/>
              </w:rPr>
              <w:t>sukladna</w:t>
            </w:r>
            <w:r w:rsidR="00497844">
              <w:t xml:space="preserve"> </w:t>
            </w:r>
            <w:r w:rsidR="00497844">
              <w:rPr>
                <w:rFonts w:cs="Times New Roman"/>
              </w:rPr>
              <w:t xml:space="preserve">s </w:t>
            </w:r>
            <w:r>
              <w:rPr>
                <w:rFonts w:cs="Times New Roman"/>
              </w:rPr>
              <w:t>ISO27001</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5</w:t>
            </w:r>
          </w:p>
        </w:tc>
        <w:tc>
          <w:tcPr>
            <w:tcW w:w="1020" w:type="dxa"/>
          </w:tcPr>
          <w:p w:rsidR="005C2091" w:rsidRDefault="00A86293">
            <w:pPr>
              <w:pStyle w:val="CellColumn"/>
              <w:jc w:val="right"/>
            </w:pPr>
            <w:r>
              <w:rPr>
                <w:rFonts w:cs="Times New Roman"/>
              </w:rPr>
              <w:t>APPRRR</w:t>
            </w:r>
          </w:p>
        </w:tc>
        <w:tc>
          <w:tcPr>
            <w:tcW w:w="1020" w:type="dxa"/>
          </w:tcPr>
          <w:p w:rsidR="005C2091" w:rsidRDefault="00A86293">
            <w:pPr>
              <w:pStyle w:val="CellColumn"/>
              <w:jc w:val="right"/>
            </w:pPr>
            <w:r>
              <w:rPr>
                <w:rFonts w:cs="Times New Roman"/>
              </w:rPr>
              <w:t>25</w:t>
            </w:r>
          </w:p>
        </w:tc>
        <w:tc>
          <w:tcPr>
            <w:tcW w:w="1020" w:type="dxa"/>
          </w:tcPr>
          <w:p w:rsidR="005C2091" w:rsidRDefault="00A86293">
            <w:pPr>
              <w:pStyle w:val="CellColumn"/>
              <w:jc w:val="right"/>
            </w:pPr>
            <w:r>
              <w:rPr>
                <w:rFonts w:cs="Times New Roman"/>
              </w:rPr>
              <w:t>25</w:t>
            </w:r>
          </w:p>
        </w:tc>
      </w:tr>
      <w:tr w:rsidR="005C2091">
        <w:trPr>
          <w:jc w:val="center"/>
        </w:trPr>
        <w:tc>
          <w:tcPr>
            <w:tcW w:w="2551" w:type="dxa"/>
          </w:tcPr>
          <w:p w:rsidR="005C2091" w:rsidRDefault="00A86293" w:rsidP="00497844">
            <w:pPr>
              <w:pStyle w:val="CellColumn"/>
              <w:jc w:val="left"/>
            </w:pPr>
            <w:r>
              <w:rPr>
                <w:rFonts w:cs="Times New Roman"/>
              </w:rPr>
              <w:t>Pravovre meno</w:t>
            </w:r>
            <w:r w:rsidR="00497844">
              <w:t xml:space="preserve"> </w:t>
            </w:r>
            <w:r>
              <w:rPr>
                <w:rFonts w:cs="Times New Roman"/>
              </w:rPr>
              <w:t>ažurirane pisane procedure i</w:t>
            </w:r>
            <w:r>
              <w:rPr>
                <w:rFonts w:cs="Times New Roman"/>
              </w:rPr>
              <w:tab/>
              <w:t xml:space="preserve"> IT</w:t>
            </w:r>
            <w:r w:rsidR="00497844">
              <w:t xml:space="preserve"> </w:t>
            </w:r>
            <w:r>
              <w:rPr>
                <w:rFonts w:cs="Times New Roman"/>
              </w:rPr>
              <w:t>aplikacije</w:t>
            </w:r>
          </w:p>
        </w:tc>
        <w:tc>
          <w:tcPr>
            <w:tcW w:w="2551" w:type="dxa"/>
          </w:tcPr>
          <w:p w:rsidR="005C2091" w:rsidRDefault="00A86293" w:rsidP="00497844">
            <w:pPr>
              <w:pStyle w:val="CellColumn"/>
              <w:jc w:val="left"/>
            </w:pPr>
            <w:r>
              <w:rPr>
                <w:rFonts w:cs="Times New Roman"/>
              </w:rPr>
              <w:t>Pravovre meno</w:t>
            </w:r>
            <w:r w:rsidR="00497844">
              <w:t xml:space="preserve"> </w:t>
            </w:r>
            <w:r>
              <w:rPr>
                <w:rFonts w:cs="Times New Roman"/>
              </w:rPr>
              <w:t>ažurirane pisane procedure i</w:t>
            </w:r>
            <w:r>
              <w:rPr>
                <w:rFonts w:cs="Times New Roman"/>
              </w:rPr>
              <w:tab/>
              <w:t xml:space="preserve"> IT</w:t>
            </w:r>
            <w:r w:rsidR="00497844">
              <w:t xml:space="preserve"> </w:t>
            </w:r>
            <w:r>
              <w:rPr>
                <w:rFonts w:cs="Times New Roman"/>
              </w:rPr>
              <w:t>aplikacije</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APPRRR</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bl>
    <w:p w:rsidR="005C2091" w:rsidRDefault="005C2091">
      <w:pPr>
        <w:jc w:val="left"/>
      </w:pPr>
    </w:p>
    <w:p w:rsidR="005C2091" w:rsidRDefault="00A86293">
      <w:pPr>
        <w:pStyle w:val="Heading3"/>
      </w:pPr>
      <w:r>
        <w:rPr>
          <w:rFonts w:cs="Times New Roman"/>
        </w:rPr>
        <w:t>3002 POLJOPRIVREDA</w:t>
      </w:r>
    </w:p>
    <w:tbl>
      <w:tblPr>
        <w:tblStyle w:val="StilTablice"/>
        <w:tblW w:w="10206" w:type="dxa"/>
        <w:jc w:val="center"/>
        <w:tblLook w:val="04A0" w:firstRow="1" w:lastRow="0" w:firstColumn="1" w:lastColumn="0" w:noHBand="0" w:noVBand="1"/>
      </w:tblPr>
      <w:tblGrid>
        <w:gridCol w:w="1715"/>
        <w:gridCol w:w="2018"/>
        <w:gridCol w:w="2016"/>
        <w:gridCol w:w="2017"/>
        <w:gridCol w:w="1219"/>
        <w:gridCol w:w="122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3002-POLJOPRIVREDA</w:t>
            </w:r>
          </w:p>
        </w:tc>
        <w:tc>
          <w:tcPr>
            <w:tcW w:w="2041" w:type="dxa"/>
          </w:tcPr>
          <w:p w:rsidR="005C2091" w:rsidRDefault="00A86293">
            <w:pPr>
              <w:pStyle w:val="CellColumn"/>
              <w:jc w:val="right"/>
            </w:pPr>
            <w:r>
              <w:rPr>
                <w:rFonts w:cs="Times New Roman"/>
              </w:rPr>
              <w:t>2.124.069</w:t>
            </w:r>
          </w:p>
        </w:tc>
        <w:tc>
          <w:tcPr>
            <w:tcW w:w="2041" w:type="dxa"/>
          </w:tcPr>
          <w:p w:rsidR="005C2091" w:rsidRDefault="00A86293">
            <w:pPr>
              <w:pStyle w:val="CellColumn"/>
              <w:jc w:val="right"/>
            </w:pPr>
            <w:r>
              <w:rPr>
                <w:rFonts w:cs="Times New Roman"/>
              </w:rPr>
              <w:t>930.000</w:t>
            </w:r>
          </w:p>
        </w:tc>
        <w:tc>
          <w:tcPr>
            <w:tcW w:w="2041" w:type="dxa"/>
          </w:tcPr>
          <w:p w:rsidR="005C2091" w:rsidRDefault="00A86293">
            <w:pPr>
              <w:pStyle w:val="CellColumn"/>
              <w:jc w:val="right"/>
            </w:pPr>
            <w:r>
              <w:rPr>
                <w:rFonts w:cs="Times New Roman"/>
              </w:rPr>
              <w:t>930.000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43,8</w:t>
            </w:r>
          </w:p>
        </w:tc>
      </w:tr>
    </w:tbl>
    <w:p w:rsidR="005C2091" w:rsidRDefault="005C2091">
      <w:pPr>
        <w:jc w:val="left"/>
      </w:pPr>
    </w:p>
    <w:p w:rsidR="005C2091" w:rsidRDefault="00A86293">
      <w:r>
        <w:t xml:space="preserve">Stvaranje konkurentnog poljoprivredno-prehrambenog sektora koji će iskoristiti komparativne prednosti Republike Hrvatske zahtjeva dosljednu provedbu sveobuhvatnih mjera na čitavom nizu područja što uključuje: učinkovite mjere zemljišne politike, provedbu financiranja sukladno pravilima EU, restrukturiranje poljoprivredne proizvodnje u smjeru visoko dohodovnih proizvoda deficitarnih na tržištu, te djelotvorno tržište koje pruža odgovarajuće okruženje za tehničke i poduzetničke sposobnosti hrvatskih poljoprivrednika.   </w:t>
      </w:r>
    </w:p>
    <w:p w:rsidR="005C2091" w:rsidRDefault="00A86293">
      <w:r>
        <w:t xml:space="preserve">Hrvatska poljoprivredna politika provodi značajne promjene koje su nužne zbog prilagodbe na sustav Zajedničke poljoprivredne politike EU (ZPP) za financijsko razdoblje 2015-2020. Utvrđeni dugoročni ciljevi hrvatske poljoprivredne politike sukladni su ciljevima ZPP-a. Obje politike ističu nužnost stalnog jačanja konkurentnosti u poljoprivredi i osiguranja prehrambene sigurnosti.  </w:t>
      </w:r>
    </w:p>
    <w:p w:rsidR="005C2091" w:rsidRDefault="00A86293">
      <w:r>
        <w:t>Posebnu važnost zaslužuju ciljevi koji proizlaze iz višeznačne uloge u osiguranju primjerenog životnog standarda poljoprivrednog stanovništva i poboljšanje kvalitete života u ruralnom prostoru, ali i održivo upravljanje resursima te brigu za okoliš. U području ruralnog razvoja koje će postupno postajati središnje mjesto hrvatske poljoprivredne politike, posebno je važna ubrzana provedba zakonodavnog i institucionalnog okvira u skladu s EU okvirom kako bi se pravodobno i učinkovito nadomjestili određeni negativni učinci prilagodbe politike na području izravnih plaćanja.</w:t>
      </w:r>
    </w:p>
    <w:p w:rsidR="005C2091" w:rsidRDefault="00A86293">
      <w:pPr>
        <w:pStyle w:val="Heading8"/>
        <w:jc w:val="left"/>
      </w:pPr>
      <w:r>
        <w:t>Cilj 1. Provedba financiranja poljoprivrednog i ribarskog sektora sukladno Zajedničkoj poljoprivrednoj politici EU (ZPP) i Zajedničkoj ribarskoj politici EU (ZRP)</w:t>
      </w:r>
    </w:p>
    <w:p w:rsidR="005C2091" w:rsidRDefault="00A86293">
      <w:pPr>
        <w:pStyle w:val="Heading8"/>
        <w:jc w:val="left"/>
      </w:pPr>
      <w:r>
        <w:t>Opis provedbe cilja programa</w:t>
      </w:r>
    </w:p>
    <w:p w:rsidR="005C2091" w:rsidRDefault="00A86293">
      <w:r>
        <w:t xml:space="preserve">Hrvatska poljoprivredna politika provodi značajne promjene koje su nužne zbog prilagodbe na sustav Zajedničke poljoprivredne politike EU (ZPP) za financijsko razdoblje 2015-2020. Utvrđeni dugoročni ciljevi hrvatske poljoprivredne politike sukladni su ciljevima ZPP-a. Obje politike ističu nužnost stalnog jačanja konkurentnosti u poljoprivredi i osiguranja prehrambene sigurnosti. </w:t>
      </w:r>
    </w:p>
    <w:p w:rsidR="005C2091" w:rsidRDefault="00A86293">
      <w:r>
        <w:t xml:space="preserve">Posebnu važnost zaslužuju ciljevi koji proizlaze iz višeznačne uloge u osiguranju primjerenog životnog standarda poljoprivrednog stanovništva i poboljšanje kvalitete života u ruralnom prostoru, ali i održivo upravljanje resursima te brigu za okoliš. U području ruralnog razvoja koje će postupno postajati središnje mjesto hrvatske poljoprivredne politike, posebno je važna ubrzana provedba zakonodavnog i institucionalnog okvira u skladu s EU okvirom kako bi se pravodobno i učinkovito nadomjestili određeni negativni učinci prilagodbe politike na području izravnih plaćanja. </w:t>
      </w:r>
    </w:p>
    <w:p w:rsidR="005C2091" w:rsidRDefault="00A86293">
      <w:r>
        <w:t>Ovaj opći cilj definiran strateškim planom MP, od strane Agencije za plaćanja u poljoprivredi, ribarstvu i ruralnom razvoju ostvaruje se kroz poseban cilj " provedba financiranja poljoprivrednog i ribarskog sektora sukladno ZPP i ZRP i to kroz reformu sustava poljoprivredne potpore, provedbu mjera strukturne politike prema modelu EU i praćenjem državnih potpora sukladno praksi EU.</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dohotka poljoprivrednika i ribara</w:t>
            </w:r>
          </w:p>
        </w:tc>
        <w:tc>
          <w:tcPr>
            <w:tcW w:w="2551" w:type="dxa"/>
          </w:tcPr>
          <w:p w:rsidR="005C2091" w:rsidRDefault="00A86293">
            <w:pPr>
              <w:pStyle w:val="CellColumn"/>
              <w:jc w:val="left"/>
            </w:pPr>
            <w:r>
              <w:rPr>
                <w:rFonts w:cs="Times New Roman"/>
              </w:rPr>
              <w:t>Podizanje razine konkurentnosti poljoprivredno-prehrambenog i ribarskog sektora razini EU kako bi se smanjile razlike u negativnim pokazateljima proizvodnje u sektoru u odnosu na EU</w:t>
            </w:r>
          </w:p>
        </w:tc>
        <w:tc>
          <w:tcPr>
            <w:tcW w:w="1020" w:type="dxa"/>
          </w:tcPr>
          <w:p w:rsidR="005C2091" w:rsidRDefault="00A86293">
            <w:pPr>
              <w:pStyle w:val="CellColumn"/>
              <w:jc w:val="right"/>
            </w:pPr>
            <w:r>
              <w:rPr>
                <w:rFonts w:cs="Times New Roman"/>
              </w:rPr>
              <w:t>indeks</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Strateški plan MP</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bl>
    <w:p w:rsidR="005C2091" w:rsidRDefault="005C2091">
      <w:pPr>
        <w:jc w:val="left"/>
      </w:pPr>
    </w:p>
    <w:p w:rsidR="005C2091" w:rsidRDefault="00A86293">
      <w:pPr>
        <w:pStyle w:val="Heading4"/>
      </w:pPr>
      <w:r>
        <w:t>K650068 USPOSTAVA INTERGRIRANOG ADMINISTRATIVNOG  KONTROLNOG SUSTAVA - LPIS</w:t>
      </w:r>
    </w:p>
    <w:tbl>
      <w:tblPr>
        <w:tblStyle w:val="StilTablice"/>
        <w:tblW w:w="10206" w:type="dxa"/>
        <w:jc w:val="center"/>
        <w:tblLook w:val="04A0" w:firstRow="1" w:lastRow="0" w:firstColumn="1" w:lastColumn="0" w:noHBand="0" w:noVBand="1"/>
      </w:tblPr>
      <w:tblGrid>
        <w:gridCol w:w="2137"/>
        <w:gridCol w:w="1900"/>
        <w:gridCol w:w="1881"/>
        <w:gridCol w:w="1892"/>
        <w:gridCol w:w="1191"/>
        <w:gridCol w:w="1205"/>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K650068-USPOSTAVA INTERGRIRANOG ADMINISTRATIVNOG  KONTROLNOG SUSTAVA - LPIS</w:t>
            </w:r>
          </w:p>
        </w:tc>
        <w:tc>
          <w:tcPr>
            <w:tcW w:w="2041" w:type="dxa"/>
          </w:tcPr>
          <w:p w:rsidR="005C2091" w:rsidRDefault="00A86293">
            <w:pPr>
              <w:pStyle w:val="CellColumn"/>
              <w:jc w:val="right"/>
            </w:pPr>
            <w:r>
              <w:rPr>
                <w:rFonts w:cs="Times New Roman"/>
              </w:rPr>
              <w:t>2.124.069</w:t>
            </w:r>
          </w:p>
        </w:tc>
        <w:tc>
          <w:tcPr>
            <w:tcW w:w="2041" w:type="dxa"/>
          </w:tcPr>
          <w:p w:rsidR="005C2091" w:rsidRDefault="00A86293">
            <w:pPr>
              <w:pStyle w:val="CellColumn"/>
              <w:jc w:val="right"/>
            </w:pPr>
            <w:r>
              <w:rPr>
                <w:rFonts w:cs="Times New Roman"/>
              </w:rPr>
              <w:t>930.000</w:t>
            </w:r>
          </w:p>
        </w:tc>
        <w:tc>
          <w:tcPr>
            <w:tcW w:w="2041" w:type="dxa"/>
          </w:tcPr>
          <w:p w:rsidR="005C2091" w:rsidRDefault="00A86293">
            <w:pPr>
              <w:pStyle w:val="CellColumn"/>
              <w:jc w:val="right"/>
            </w:pPr>
            <w:r>
              <w:rPr>
                <w:rFonts w:cs="Times New Roman"/>
              </w:rPr>
              <w:t>930.000</w:t>
            </w:r>
          </w:p>
        </w:tc>
        <w:tc>
          <w:tcPr>
            <w:tcW w:w="1224" w:type="dxa"/>
          </w:tcPr>
          <w:p w:rsidR="005C2091" w:rsidRDefault="00A86293">
            <w:pPr>
              <w:pStyle w:val="CellColumn"/>
              <w:jc w:val="right"/>
            </w:pPr>
            <w:r>
              <w:rPr>
                <w:rFonts w:cs="Times New Roman"/>
              </w:rPr>
              <w:t>100,0</w:t>
            </w:r>
          </w:p>
        </w:tc>
        <w:tc>
          <w:tcPr>
            <w:tcW w:w="1224" w:type="dxa"/>
          </w:tcPr>
          <w:p w:rsidR="005C2091" w:rsidRDefault="00A86293">
            <w:pPr>
              <w:pStyle w:val="CellColumn"/>
              <w:jc w:val="right"/>
            </w:pPr>
            <w:r>
              <w:rPr>
                <w:rFonts w:cs="Times New Roman"/>
              </w:rPr>
              <w:t>43,8</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poljoprivredi (NN br.30/15) čl.17.-18., čl. 20.-49. Pravilnik o evidenciji uporabe poljoprivrednog zemljišta (NN br.30/2015); Zakon o nacionalnoj infrastrukturi prostornih podataka (NN 56/13) čl.25        EU Uredbe  1305/20131306/2013,01307/2013     Delegirane uredbe Komisije (EU) br. 639/2014, 640/2014, 641/2014  Provedbene uredbe Komisije (EU) br. 807/2014, 808/2014, 809/2014   Uredba Vijeća (EZ) 834/2007   </w:t>
      </w:r>
    </w:p>
    <w:p w:rsidR="005C2091" w:rsidRDefault="00A86293">
      <w:r>
        <w:t xml:space="preserve"> Pravna osnova : Uredba (EU) br.1306/13 čl. 70, Zakon o poljoprivredi NN 30/15 čl 122, Pravilnik o evidenciji uporabe poljoprivrednog zemljišta - NN 35/15 čl 4, te Sporazum o poslovnoj suradnji između APPRRR i Državne geodetske uprave (DGU) od 23.10.2013.  </w:t>
      </w:r>
    </w:p>
    <w:p w:rsidR="005C2091" w:rsidRDefault="00A86293">
      <w:r>
        <w:t>Pravna osnova: Uredba  (EU) br. 1307/2013 čl 43, Pravilnik o višestrukoj sukladnosti NN 27/14 dodatak 1, dodatak 2,   Zakon o poljoprivredi NN 30/15 čl 122, Pravilnik o evidenciji uporabe poljoprivrednog zemljišta - NN 35/15, te Sporazum o poslovnoj suradnji između APPRRR i Državne geodetske uprave (DGU) od 23.10.2013.</w:t>
      </w:r>
    </w:p>
    <w:p w:rsidR="005C2091" w:rsidRDefault="00A86293">
      <w:pPr>
        <w:pStyle w:val="Heading8"/>
        <w:jc w:val="left"/>
      </w:pPr>
      <w:r>
        <w:t>Opis aktivnosti</w:t>
      </w:r>
    </w:p>
    <w:p w:rsidR="005C2091" w:rsidRDefault="00A86293">
      <w:r>
        <w:t xml:space="preserve">Operativna provedba mjera poljoprivredne politike u nadležnosti je Agencije za plaćanja u skladu sa Zakonom o osnivanju Agencije za plaćanja u poljoprivredi, ribarstvu i ruralnom razvoju. Agencija za plaćanja obavlja sljedeće poslove:  </w:t>
      </w:r>
    </w:p>
    <w:p w:rsidR="005C2091" w:rsidRDefault="00A86293">
      <w:r>
        <w:t xml:space="preserve">– provodi mjere izravne potpore  </w:t>
      </w:r>
    </w:p>
    <w:p w:rsidR="005C2091" w:rsidRDefault="00A86293">
      <w:r>
        <w:t xml:space="preserve">– provodi mjere i određena pravila utvrđena  Zakonom o poljoprivredi vezana uz zajedničku organizaciju tržišta poljoprivrednih proizvoda  </w:t>
      </w:r>
    </w:p>
    <w:p w:rsidR="005C2091" w:rsidRDefault="00A86293">
      <w:r>
        <w:t xml:space="preserve">– provodi i druge mjere kojima se ostvaruju ciljevi poljoprivredne politike   </w:t>
      </w:r>
    </w:p>
    <w:p w:rsidR="005C2091" w:rsidRDefault="00A86293">
      <w:r>
        <w:t xml:space="preserve">– vodi upisnike i/ili registre za koje je nadležno Ministarstvo u skladu s odredbama posebnih propisa  </w:t>
      </w:r>
    </w:p>
    <w:p w:rsidR="005C2091" w:rsidRDefault="00A86293">
      <w:r>
        <w:t xml:space="preserve">– uspostavlja, održava i koristi IAKS  </w:t>
      </w:r>
    </w:p>
    <w:p w:rsidR="005C2091" w:rsidRDefault="00A86293">
      <w:r>
        <w:t xml:space="preserve">– priprema stručne podloge i analize obavlja i druge poslove u skladu s odredbama  Zakona o poljoprivredi.    </w:t>
      </w:r>
    </w:p>
    <w:p w:rsidR="005C2091" w:rsidRDefault="00A86293">
      <w:r>
        <w:t xml:space="preserve">Kroz ovu aktivnost ostvaruje se i prvi opći cilj Strateškog plana ministarstva poljoprivrede „Podizanje razine konkurentnosti poljoprivredno-prehrambenog i ribarskog sektora razini EU kako bi se smanjile razlike u negativnim pokazateljima proizvodnje u sektoru u odnosu na EU“ odnosno poseban cilj „Provedba financiranja poljoprivrednog i ribarskog sektora sukladno Zajedničkoj poljoprivrednoj politici EU (ZPP) i Zajedničkoj ribarskoj politici EU (ZRP). Operativna provedba mjera poljoprivredne politike jedna je od mjera provođenja posebnog cilja između ostalog kroz ažuriran ARKOD sustav sukladno EU zahtjevima (ažuriranje DOF-a).  </w:t>
      </w:r>
    </w:p>
    <w:p w:rsidR="005C2091" w:rsidRDefault="00A86293">
      <w:r>
        <w:t xml:space="preserve">Za potrebe poboljšanja kvalitete ARKOD podataka, nužno je posjedovati ažurne i precizne  podatke o reljefu terena, koji su neophodni i kod primjene Nitratne direktive, agro-okolišnih mjera, kao i mjera ruralnog razvoja. Uvođenjem poboljšanih DMR podataka, otvoriti će se mogućnosti za primjenu automatskog pristupa u detektiranju nastalih promjena na poljoprivrednim površinama. Za postupak prijelaza na podatke znatno veće gustoće nego što se koriste danas, potrebno je najprije provesti jednokratnu - inicijalnu izradu ovih podataka, te se kasnije sa svakom novim produkcijom DOF-a, ovi podaci automatski ažuriraju, što će rezultirati i njihovom sve boljom kvalitetom i dodanom vrijednošću. Okvirni troškovi provedbe procjenjuju se na 90 mil kn, što bi se dijelilo na cca 10 institucija kroz 4 godine za dijelove projekta koji će financirati iz domaćih izvora.  Pravna osnova za provedbu ovih aktivnosti je Zakon o poljoprivredi NN 30/15 čl 122, Pravilnik o evidenciji uporabe poljoprivrednog zemljišta - NN 35/15, te Sporazum o poslovnoj suradnji između APPRRR i Državne geodetske uprave (DGU) od 23.10.2013.  </w:t>
      </w:r>
    </w:p>
    <w:p w:rsidR="005C2091" w:rsidRDefault="00A86293">
      <w:r>
        <w:t xml:space="preserve">Od 2016. godine EU kroz COPERNICUS program omogućava korištenje besplatnih satelitskih snimaka 10 metarske rezolucije u intervalima do 5 dana osiguranim za cijelo područje RH. Da bi se omogućilo korištenje ovih podataka, RH bi trebala uspostaviti sustav koji će biti u stanju preuzimati podatke, obrađivati ih, arhivirati, te omogućiti zainteresiranim institucijama njihov dohvat i preuzimanje.  </w:t>
      </w:r>
    </w:p>
    <w:p w:rsidR="005C2091" w:rsidRDefault="00A86293">
      <w:r>
        <w:t xml:space="preserve">U 2016. godini većina aktivnosti koje su izvedene u okviru održavanja i vođenja Upisnika poljoprivrednika obuhvatile su:  </w:t>
      </w:r>
    </w:p>
    <w:p w:rsidR="005C2091" w:rsidRDefault="00A86293">
      <w:r>
        <w:t xml:space="preserve">-upis u Upisnik poljoprivrednika </w:t>
      </w:r>
    </w:p>
    <w:p w:rsidR="005C2091" w:rsidRDefault="00A86293">
      <w:r>
        <w:t xml:space="preserve">-promjene podataka na postojećim poljoprivrednim gospodarstvima kao što su:  </w:t>
      </w:r>
    </w:p>
    <w:p w:rsidR="005C2091" w:rsidRDefault="00A86293">
      <w:r>
        <w:t xml:space="preserve">- promjena nositelja/odgovorne osobe poljoprivrednog gospodarstva,  </w:t>
      </w:r>
    </w:p>
    <w:p w:rsidR="005C2091" w:rsidRDefault="00A86293">
      <w:r>
        <w:t xml:space="preserve">- promjena prebivališta nositelja i članova obiteljskog poljoprivrednog gospodarstva,  </w:t>
      </w:r>
    </w:p>
    <w:p w:rsidR="005C2091" w:rsidRDefault="00A86293">
      <w:r>
        <w:t xml:space="preserve">- upis ili ispis članova obiteljskog poljoprivrednog gospodarstva,  </w:t>
      </w:r>
    </w:p>
    <w:p w:rsidR="005C2091" w:rsidRDefault="00A86293">
      <w:r>
        <w:t xml:space="preserve">- promjena podataka u obrtnom registru,  </w:t>
      </w:r>
    </w:p>
    <w:p w:rsidR="005C2091" w:rsidRDefault="00A86293">
      <w:r>
        <w:t xml:space="preserve">- promjena podataka u sudskom registru,  </w:t>
      </w:r>
    </w:p>
    <w:p w:rsidR="005C2091" w:rsidRDefault="00A86293">
      <w:r>
        <w:t xml:space="preserve">- promjena žiro računa nositelja OPG-a ili obrta, trgovačkog društva, zadruge,  </w:t>
      </w:r>
    </w:p>
    <w:p w:rsidR="005C2091" w:rsidRDefault="00A86293">
      <w:r>
        <w:t xml:space="preserve">- promjena posjeda poljoprivrednog zemljišta,  </w:t>
      </w:r>
    </w:p>
    <w:p w:rsidR="005C2091" w:rsidRDefault="00A86293">
      <w:r>
        <w:t xml:space="preserve">- ispis iz Upisnika poljoprivrednika.  </w:t>
      </w:r>
    </w:p>
    <w:p w:rsidR="005C2091" w:rsidRDefault="00A86293">
      <w:r>
        <w:t xml:space="preserve">Tijekom 2016 godine u ARKOD sustavu provodilo se: </w:t>
      </w:r>
    </w:p>
    <w:p w:rsidR="005C2091" w:rsidRDefault="00A86293">
      <w:r>
        <w:t>1.</w:t>
      </w:r>
      <w:r>
        <w:tab/>
        <w:t xml:space="preserve">Ažuriranje ARKOD podataka prema DOF5 podacima importiranih u 2015. i 2016. godini – 962.736 ARKOD parcela. </w:t>
      </w:r>
    </w:p>
    <w:p w:rsidR="005C2091" w:rsidRDefault="00A86293">
      <w:r>
        <w:t>2.</w:t>
      </w:r>
      <w:r>
        <w:tab/>
        <w:t xml:space="preserve">Nabava DOF5 podataka iz arhive satelitskih izvornika za granično područje Republike Hrvatske i Republike Slovenije od 2014. i 2015. godine (575 listova DOF 5 i 525 listova NIRDOF – 5,25% površine RH) </w:t>
      </w:r>
    </w:p>
    <w:p w:rsidR="005C2091" w:rsidRDefault="00A86293">
      <w:r>
        <w:t>3.</w:t>
      </w:r>
      <w:r>
        <w:tab/>
        <w:t xml:space="preserve">Priprema za vektorizaciju potrebnih EZP elemenata za područje cijele RH  </w:t>
      </w:r>
    </w:p>
    <w:p w:rsidR="005C2091" w:rsidRDefault="00A86293">
      <w:r>
        <w:t>4.</w:t>
      </w:r>
      <w:r>
        <w:tab/>
        <w:t xml:space="preserve">Prilagodba i nadogradnja sustava potrebnim promjenama za kampanju 2017: </w:t>
      </w:r>
    </w:p>
    <w:p w:rsidR="005C2091" w:rsidRDefault="00A86293">
      <w:r>
        <w:t>a.</w:t>
      </w:r>
      <w:r>
        <w:tab/>
        <w:t xml:space="preserve">Priprema sustava za zamjenu referentnog sloja Okolišno osjetljivih travnjaka </w:t>
      </w:r>
    </w:p>
    <w:p w:rsidR="005C2091" w:rsidRDefault="00A86293">
      <w:r>
        <w:t>b.</w:t>
      </w:r>
      <w:r>
        <w:tab/>
        <w:t xml:space="preserve">Priprema za evidentiranje promjena unutar ANC područja </w:t>
      </w:r>
    </w:p>
    <w:p w:rsidR="005C2091" w:rsidRDefault="00A86293">
      <w:r>
        <w:t>c.</w:t>
      </w:r>
      <w:r>
        <w:tab/>
        <w:t xml:space="preserve">Pripreme za primjenu referentnog sloja TT15  </w:t>
      </w:r>
    </w:p>
    <w:p w:rsidR="005C2091" w:rsidRDefault="00A86293">
      <w:r>
        <w:t>5.</w:t>
      </w:r>
      <w:r>
        <w:tab/>
        <w:t xml:space="preserve">Import DKP podataka u sustavu za područje cijele države </w:t>
      </w:r>
    </w:p>
    <w:p w:rsidR="005C2091" w:rsidRDefault="00A86293">
      <w:r>
        <w:t>6.</w:t>
      </w:r>
      <w:r>
        <w:tab/>
        <w:t xml:space="preserve">Import radnih verzija DOF podataka 3.726 listova (34,38% površine RH) –  prema proceduri L1PXC </w:t>
      </w:r>
    </w:p>
    <w:p w:rsidR="005C2091" w:rsidRDefault="00A86293">
      <w:r>
        <w:t>7.</w:t>
      </w:r>
      <w:r>
        <w:tab/>
        <w:t xml:space="preserve">Import podataka Hrvatskog centra za razminiranje (Minski sumnjiva područja i razminirana) -službena za 2015. godinu. </w:t>
      </w:r>
    </w:p>
    <w:p w:rsidR="005C2091" w:rsidRDefault="00A86293">
      <w:r>
        <w:t>8.</w:t>
      </w:r>
      <w:r>
        <w:tab/>
        <w:t xml:space="preserve">Import podataka infrastrukture (Hrvatske željeznice, Hrvatske ceste, Hrvatske autoceste, Hrvatske željeznice, plovni putevi, Hrvatske šume ) </w:t>
      </w:r>
    </w:p>
    <w:p w:rsidR="005C2091" w:rsidRDefault="00A86293">
      <w:r>
        <w:t>9.</w:t>
      </w:r>
      <w:r>
        <w:tab/>
        <w:t xml:space="preserve">Import podataka Hrvatske agencije za okoliš i prirodu (NATURA 2000 i Zaštićenih područja) </w:t>
      </w:r>
    </w:p>
    <w:p w:rsidR="005C2091" w:rsidRDefault="00A86293">
      <w:r>
        <w:t>10.</w:t>
      </w:r>
      <w:r>
        <w:tab/>
        <w:t xml:space="preserve">Organiziranje edukacija i radionica za djelatnika područnih ureda i ARKOD koordinatore, kao i djelatnike na centralnoj razini i iz Ministarstva poljoprivrede (186 djelatnika na temu svih novih nadogradnji ARKOD sustava) </w:t>
      </w:r>
    </w:p>
    <w:p w:rsidR="005C2091" w:rsidRDefault="00A86293">
      <w:r>
        <w:t>11.</w:t>
      </w:r>
      <w:r>
        <w:tab/>
        <w:t xml:space="preserve">Provedbe redovitih ažuriranja kroz vizualne kontrole BlokDOF i FVV (944.372 ARKOD parcele)  </w:t>
      </w:r>
    </w:p>
    <w:p w:rsidR="005C2091" w:rsidRDefault="00A86293">
      <w:r>
        <w:t>12.</w:t>
      </w:r>
      <w:r>
        <w:tab/>
        <w:t xml:space="preserve">Kontinuirana podrška help-deska regionalnim uredima, korisnicima i građanima za temu ARKOD sustava </w:t>
      </w:r>
    </w:p>
    <w:p w:rsidR="005C2091" w:rsidRDefault="00A86293">
      <w:r>
        <w:t>13.</w:t>
      </w:r>
      <w:r>
        <w:tab/>
        <w:t xml:space="preserve">Temeljem reakcija građana  i zahtjeva vlasnika katastarskih čestica pojačana provjera i uređenje ARKOD površina temeljem Integracije ARKOD-a, Upisnika i Digitalnog katastarskog plana uz paralelnu provjeru katastarskih i zemljišnoknjižnih podataka </w:t>
      </w:r>
    </w:p>
    <w:p w:rsidR="005C2091" w:rsidRDefault="00A86293">
      <w:r>
        <w:t xml:space="preserve"> </w:t>
      </w:r>
    </w:p>
    <w:p w:rsidR="005C2091" w:rsidRDefault="00A86293">
      <w:r>
        <w:t xml:space="preserve">Kontrola kvalitete ARKOD-a </w:t>
      </w:r>
    </w:p>
    <w:p w:rsidR="005C2091" w:rsidRDefault="00A86293">
      <w:r>
        <w:t>1.</w:t>
      </w:r>
      <w:r>
        <w:tab/>
        <w:t xml:space="preserve">BTP – brzi terenski posjeti - 964 ARKOD parcela </w:t>
      </w:r>
    </w:p>
    <w:p w:rsidR="005C2091" w:rsidRDefault="00A86293">
      <w:r>
        <w:t>2.</w:t>
      </w:r>
      <w:r>
        <w:tab/>
        <w:t xml:space="preserve">Kontrola kvalitete prostornih i alfanumeričkih ARKOD podataka te ostalih prostornih podataka   </w:t>
      </w:r>
    </w:p>
    <w:p w:rsidR="005C2091" w:rsidRDefault="00A86293">
      <w:r>
        <w:t>3.</w:t>
      </w:r>
      <w:r>
        <w:tab/>
        <w:t xml:space="preserve">LPIS Quality Assessment (LPIS QA) za 2016. godinu – razmjena sa JRC – 1.250 ARKOD parcela </w:t>
      </w:r>
    </w:p>
    <w:p w:rsidR="005C2091" w:rsidRDefault="00A86293">
      <w:r>
        <w:t>4.</w:t>
      </w:r>
      <w:r>
        <w:tab/>
        <w:t xml:space="preserve">Ažuriranje ARKOD-a temeljem LPIS QA rezultata iz 2016. godine – 1.250 ARKOD parcela </w:t>
      </w:r>
    </w:p>
    <w:p w:rsidR="005C2091" w:rsidRDefault="00A86293">
      <w:r>
        <w:t>5.</w:t>
      </w:r>
      <w:r>
        <w:tab/>
        <w:t xml:space="preserve">Provedba samokontrole napravljenih izmjena u ARKOD-u – 1.777 ARKOD parcela </w:t>
      </w:r>
    </w:p>
    <w:p w:rsidR="005C2091" w:rsidRDefault="00A86293">
      <w:r>
        <w:t>6.</w:t>
      </w:r>
      <w:r>
        <w:tab/>
        <w:t xml:space="preserve">Ažuriranje ARKOD-a temeljem OTS kontrola u 2016. godini 25.446 parcela </w:t>
      </w:r>
    </w:p>
    <w:p w:rsidR="005C2091" w:rsidRDefault="00A86293">
      <w:r>
        <w:t>7.</w:t>
      </w:r>
      <w:r>
        <w:tab/>
        <w:t xml:space="preserve">Ažuriranje ARKOD-a temeljem CWRS kontrola iz 2016. godini-  11.422 parcele </w:t>
      </w:r>
    </w:p>
    <w:p w:rsidR="005C2091" w:rsidRDefault="00A86293">
      <w:r>
        <w:t>8.</w:t>
      </w:r>
      <w:r>
        <w:tab/>
        <w:t xml:space="preserve">Ažuriranje ARKOD-a temeljem CWRS zona, parcela koje nisu bile predmetom kontrole zahtjeva – 37.773 parcele </w:t>
      </w:r>
    </w:p>
    <w:p w:rsidR="005C2091" w:rsidRDefault="00A86293">
      <w:r>
        <w:t xml:space="preserve">U Upisnik subjekata u ekološkoj proizvodnji upisano je 4.011 subjekata koji se bave proizvodnjom, preradom, distribucijom, uvozom i izvozom ekoloških proizvoda.  </w:t>
      </w:r>
    </w:p>
    <w:p w:rsidR="005C2091" w:rsidRDefault="00A86293">
      <w:r>
        <w:t xml:space="preserve">Tijekom 2016. razvijene su dodatne funkcionalnosti u Agronet sustavu za unos podataka od strane Ovlaštenih kontrolni tijela o utvrđenim površinama i kulturama pod ekološkim uzgojem unutar Arkod parcela. S Ovlaštenim kontrolnim tijelima razmijenjeni su podaci o 3.416 subjekata o utvrđenim površinama i kulturama pod ekološkim uzgojem unutar ARKOD parcela, a za potrebe odobravanja potpore za  Mjeru 11 Ekološki uzgoj unutar IAKS mjera ruralnog razvoja. </w:t>
      </w:r>
    </w:p>
    <w:p w:rsidR="005C2091" w:rsidRDefault="00A86293">
      <w:r>
        <w:t xml:space="preserve">Registar primarnih proizvođača hrane za životinje redovito se održava, a podaci iz registra redovito se dostavljaju Upravi za veterinarstvo i sigurnost hrane. Broj korisnika u Registru primarnih proizvođača iznosi 25.317. Provode se sve redovne aktivnosti vezane za održavanje RPPHŽ-a.  Na dan 31.12.16. u RU obrađeno je 166 zahtjeva. </w:t>
      </w:r>
    </w:p>
    <w:p w:rsidR="005C2091" w:rsidRDefault="00A86293">
      <w:r>
        <w:t xml:space="preserve">Agencija provodi poslove klasičnih  i CwRS kontrola na terenu prihvatljivosti izravnih potpora i IAKS mjera ruralnog razvoja i kontrola višestruke sukladnosti  </w:t>
      </w:r>
    </w:p>
    <w:p w:rsidR="005C2091" w:rsidRDefault="00A86293">
      <w:r>
        <w:t xml:space="preserve">U 2016 godini sveukupno je obavljeno 9639 kontrola , na 7779 gospodarstava: </w:t>
      </w:r>
    </w:p>
    <w:p w:rsidR="005C2091" w:rsidRDefault="00A86293">
      <w:r>
        <w:t>•</w:t>
      </w:r>
      <w:r>
        <w:tab/>
        <w:t xml:space="preserve">Klasične kontrole na terenu prihvatljivosti zahtjeva  za stoku         -    2.024 </w:t>
      </w:r>
    </w:p>
    <w:p w:rsidR="005C2091" w:rsidRDefault="00A86293">
      <w:r>
        <w:t>•</w:t>
      </w:r>
      <w:r>
        <w:tab/>
        <w:t xml:space="preserve">Klasične kontrole na terenu prihvatljivosti zahtjeva za površine     -    3.559 </w:t>
      </w:r>
    </w:p>
    <w:p w:rsidR="005C2091" w:rsidRDefault="00A86293">
      <w:r>
        <w:t>•</w:t>
      </w:r>
      <w:r>
        <w:tab/>
        <w:t xml:space="preserve">Kontrola na terenu daljinskim istraživanjem (CwRS) prihvatljivosti zahtjeva za površine    -    4.009 </w:t>
      </w:r>
    </w:p>
    <w:p w:rsidR="005C2091" w:rsidRDefault="00A86293">
      <w:r>
        <w:t>•</w:t>
      </w:r>
      <w:r>
        <w:tab/>
        <w:t>Kontrole  po inspekcijskom rješenju    -   189</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rsidP="00981877">
            <w:pPr>
              <w:pStyle w:val="CellColumn"/>
              <w:spacing w:after="0"/>
              <w:jc w:val="left"/>
            </w:pPr>
            <w:r>
              <w:rPr>
                <w:rFonts w:cs="Times New Roman"/>
              </w:rPr>
              <w:t>DOF nije stariji od 3 godine</w:t>
            </w:r>
          </w:p>
        </w:tc>
        <w:tc>
          <w:tcPr>
            <w:tcW w:w="2551" w:type="dxa"/>
          </w:tcPr>
          <w:p w:rsidR="005C2091" w:rsidRDefault="00A86293" w:rsidP="00981877">
            <w:pPr>
              <w:pStyle w:val="CellColumn"/>
              <w:spacing w:after="0"/>
              <w:jc w:val="left"/>
            </w:pPr>
            <w:r>
              <w:rPr>
                <w:rFonts w:cs="Times New Roman"/>
              </w:rPr>
              <w:t>ažuriranje  DOF  karata</w:t>
            </w:r>
          </w:p>
        </w:tc>
        <w:tc>
          <w:tcPr>
            <w:tcW w:w="1020" w:type="dxa"/>
          </w:tcPr>
          <w:p w:rsidR="005C2091" w:rsidRDefault="00A86293" w:rsidP="00981877">
            <w:pPr>
              <w:pStyle w:val="CellColumn"/>
              <w:spacing w:after="0"/>
              <w:jc w:val="right"/>
            </w:pPr>
            <w:r>
              <w:rPr>
                <w:rFonts w:cs="Times New Roman"/>
              </w:rPr>
              <w:t>%</w:t>
            </w:r>
          </w:p>
        </w:tc>
        <w:tc>
          <w:tcPr>
            <w:tcW w:w="1020" w:type="dxa"/>
          </w:tcPr>
          <w:p w:rsidR="005C2091" w:rsidRDefault="00A86293" w:rsidP="00981877">
            <w:pPr>
              <w:pStyle w:val="CellColumn"/>
              <w:spacing w:after="0"/>
              <w:jc w:val="right"/>
            </w:pPr>
            <w:r>
              <w:rPr>
                <w:rFonts w:cs="Times New Roman"/>
              </w:rPr>
              <w:t>100</w:t>
            </w:r>
          </w:p>
        </w:tc>
        <w:tc>
          <w:tcPr>
            <w:tcW w:w="1020" w:type="dxa"/>
          </w:tcPr>
          <w:p w:rsidR="005C2091" w:rsidRDefault="00A86293" w:rsidP="00981877">
            <w:pPr>
              <w:pStyle w:val="CellColumn"/>
              <w:spacing w:after="0"/>
              <w:jc w:val="right"/>
            </w:pPr>
            <w:r>
              <w:rPr>
                <w:rFonts w:cs="Times New Roman"/>
              </w:rPr>
              <w:t>APPRRR</w:t>
            </w:r>
          </w:p>
        </w:tc>
        <w:tc>
          <w:tcPr>
            <w:tcW w:w="1020" w:type="dxa"/>
          </w:tcPr>
          <w:p w:rsidR="005C2091" w:rsidRDefault="00A86293" w:rsidP="00981877">
            <w:pPr>
              <w:pStyle w:val="CellColumn"/>
              <w:spacing w:after="0"/>
              <w:jc w:val="right"/>
            </w:pPr>
            <w:r>
              <w:rPr>
                <w:rFonts w:cs="Times New Roman"/>
              </w:rPr>
              <w:t>50</w:t>
            </w:r>
          </w:p>
        </w:tc>
        <w:tc>
          <w:tcPr>
            <w:tcW w:w="1020" w:type="dxa"/>
          </w:tcPr>
          <w:p w:rsidR="005C2091" w:rsidRDefault="00A86293" w:rsidP="00981877">
            <w:pPr>
              <w:pStyle w:val="CellColumn"/>
              <w:spacing w:after="0"/>
              <w:jc w:val="right"/>
            </w:pPr>
            <w:r>
              <w:rPr>
                <w:rFonts w:cs="Times New Roman"/>
              </w:rPr>
              <w:t>50</w:t>
            </w:r>
          </w:p>
        </w:tc>
      </w:tr>
      <w:tr w:rsidR="005C2091">
        <w:trPr>
          <w:jc w:val="center"/>
        </w:trPr>
        <w:tc>
          <w:tcPr>
            <w:tcW w:w="2551" w:type="dxa"/>
          </w:tcPr>
          <w:p w:rsidR="005C2091" w:rsidRDefault="00A86293" w:rsidP="00981877">
            <w:pPr>
              <w:pStyle w:val="CellColumn"/>
              <w:spacing w:after="0"/>
              <w:jc w:val="left"/>
            </w:pPr>
            <w:r>
              <w:rPr>
                <w:rFonts w:cs="Times New Roman"/>
              </w:rPr>
              <w:t xml:space="preserve">Ažuriranje prema  </w:t>
            </w:r>
          </w:p>
          <w:p w:rsidR="005C2091" w:rsidRDefault="00A86293" w:rsidP="00981877">
            <w:pPr>
              <w:pStyle w:val="CellColumn"/>
              <w:spacing w:after="0"/>
              <w:jc w:val="left"/>
            </w:pPr>
            <w:r>
              <w:rPr>
                <w:rFonts w:cs="Times New Roman"/>
              </w:rPr>
              <w:t>rezultatima</w:t>
            </w:r>
            <w:r>
              <w:rPr>
                <w:rFonts w:cs="Times New Roman"/>
              </w:rPr>
              <w:tab/>
              <w:t xml:space="preserve"> KNT, CWRS  kontrola, te inspekcijskih riješenja</w:t>
            </w:r>
          </w:p>
        </w:tc>
        <w:tc>
          <w:tcPr>
            <w:tcW w:w="2551" w:type="dxa"/>
          </w:tcPr>
          <w:p w:rsidR="005C2091" w:rsidRDefault="00A86293" w:rsidP="00981877">
            <w:pPr>
              <w:pStyle w:val="CellColumn"/>
              <w:spacing w:after="0"/>
              <w:jc w:val="left"/>
            </w:pPr>
            <w:r>
              <w:rPr>
                <w:rFonts w:cs="Times New Roman"/>
              </w:rPr>
              <w:t>Provedba ažuriranja ARKOD podataka po završetku kontrola</w:t>
            </w:r>
          </w:p>
        </w:tc>
        <w:tc>
          <w:tcPr>
            <w:tcW w:w="1020" w:type="dxa"/>
          </w:tcPr>
          <w:p w:rsidR="005C2091" w:rsidRDefault="00A86293" w:rsidP="00981877">
            <w:pPr>
              <w:pStyle w:val="CellColumn"/>
              <w:spacing w:after="0"/>
              <w:jc w:val="right"/>
            </w:pPr>
            <w:r>
              <w:rPr>
                <w:rFonts w:cs="Times New Roman"/>
              </w:rPr>
              <w:t>%</w:t>
            </w:r>
          </w:p>
        </w:tc>
        <w:tc>
          <w:tcPr>
            <w:tcW w:w="1020" w:type="dxa"/>
          </w:tcPr>
          <w:p w:rsidR="005C2091" w:rsidRDefault="00A86293" w:rsidP="00981877">
            <w:pPr>
              <w:pStyle w:val="CellColumn"/>
              <w:spacing w:after="0"/>
              <w:jc w:val="right"/>
            </w:pPr>
            <w:r>
              <w:rPr>
                <w:rFonts w:cs="Times New Roman"/>
              </w:rPr>
              <w:t>100</w:t>
            </w:r>
          </w:p>
        </w:tc>
        <w:tc>
          <w:tcPr>
            <w:tcW w:w="1020" w:type="dxa"/>
          </w:tcPr>
          <w:p w:rsidR="005C2091" w:rsidRDefault="00A86293" w:rsidP="00981877">
            <w:pPr>
              <w:pStyle w:val="CellColumn"/>
              <w:spacing w:after="0"/>
              <w:jc w:val="right"/>
            </w:pPr>
            <w:r>
              <w:rPr>
                <w:rFonts w:cs="Times New Roman"/>
              </w:rPr>
              <w:t>APPRRR</w:t>
            </w:r>
          </w:p>
        </w:tc>
        <w:tc>
          <w:tcPr>
            <w:tcW w:w="1020" w:type="dxa"/>
          </w:tcPr>
          <w:p w:rsidR="005C2091" w:rsidRDefault="00A86293" w:rsidP="00981877">
            <w:pPr>
              <w:pStyle w:val="CellColumn"/>
              <w:spacing w:after="0"/>
              <w:jc w:val="right"/>
            </w:pPr>
            <w:r>
              <w:rPr>
                <w:rFonts w:cs="Times New Roman"/>
              </w:rPr>
              <w:t>100</w:t>
            </w:r>
          </w:p>
        </w:tc>
        <w:tc>
          <w:tcPr>
            <w:tcW w:w="1020" w:type="dxa"/>
          </w:tcPr>
          <w:p w:rsidR="005C2091" w:rsidRDefault="00A86293" w:rsidP="00981877">
            <w:pPr>
              <w:pStyle w:val="CellColumn"/>
              <w:spacing w:after="0"/>
              <w:jc w:val="right"/>
            </w:pPr>
            <w:r>
              <w:rPr>
                <w:rFonts w:cs="Times New Roman"/>
              </w:rPr>
              <w:t>100</w:t>
            </w:r>
          </w:p>
        </w:tc>
      </w:tr>
      <w:tr w:rsidR="005C2091">
        <w:trPr>
          <w:jc w:val="center"/>
        </w:trPr>
        <w:tc>
          <w:tcPr>
            <w:tcW w:w="2551" w:type="dxa"/>
          </w:tcPr>
          <w:p w:rsidR="005C2091" w:rsidRDefault="00A86293" w:rsidP="00981877">
            <w:pPr>
              <w:pStyle w:val="CellColumn"/>
              <w:spacing w:after="0"/>
              <w:jc w:val="left"/>
            </w:pPr>
            <w:r>
              <w:rPr>
                <w:rFonts w:cs="Times New Roman"/>
              </w:rPr>
              <w:t>Sistemski pregled površina u ARKODu</w:t>
            </w:r>
            <w:r>
              <w:rPr>
                <w:rFonts w:cs="Times New Roman"/>
              </w:rPr>
              <w:tab/>
              <w:t xml:space="preserve"> putem blok DOFa</w:t>
            </w:r>
          </w:p>
        </w:tc>
        <w:tc>
          <w:tcPr>
            <w:tcW w:w="2551" w:type="dxa"/>
          </w:tcPr>
          <w:p w:rsidR="005C2091" w:rsidRDefault="00A86293" w:rsidP="00981877">
            <w:pPr>
              <w:pStyle w:val="CellColumn"/>
              <w:spacing w:after="0"/>
              <w:jc w:val="left"/>
            </w:pPr>
            <w:r>
              <w:rPr>
                <w:rFonts w:cs="Times New Roman"/>
              </w:rPr>
              <w:t xml:space="preserve">Sistemaki vizualni pregled </w:t>
            </w:r>
          </w:p>
          <w:p w:rsidR="005C2091" w:rsidRDefault="00A86293" w:rsidP="00981877">
            <w:pPr>
              <w:pStyle w:val="CellColumn"/>
              <w:spacing w:after="0"/>
              <w:jc w:val="left"/>
            </w:pPr>
            <w:r>
              <w:rPr>
                <w:rFonts w:cs="Times New Roman"/>
              </w:rPr>
              <w:t xml:space="preserve">ARKOD parcela prema </w:t>
            </w:r>
          </w:p>
          <w:p w:rsidR="005C2091" w:rsidRDefault="00A86293" w:rsidP="00981877">
            <w:pPr>
              <w:pStyle w:val="CellColumn"/>
              <w:spacing w:after="0"/>
              <w:jc w:val="left"/>
            </w:pPr>
            <w:r>
              <w:rPr>
                <w:rFonts w:cs="Times New Roman"/>
              </w:rPr>
              <w:t>BlokDOF metodi</w:t>
            </w:r>
          </w:p>
        </w:tc>
        <w:tc>
          <w:tcPr>
            <w:tcW w:w="1020" w:type="dxa"/>
          </w:tcPr>
          <w:p w:rsidR="005C2091" w:rsidRDefault="00A86293" w:rsidP="00981877">
            <w:pPr>
              <w:pStyle w:val="CellColumn"/>
              <w:spacing w:after="0"/>
              <w:jc w:val="right"/>
            </w:pPr>
            <w:r>
              <w:rPr>
                <w:rFonts w:cs="Times New Roman"/>
              </w:rPr>
              <w:t>%</w:t>
            </w:r>
          </w:p>
        </w:tc>
        <w:tc>
          <w:tcPr>
            <w:tcW w:w="1020" w:type="dxa"/>
          </w:tcPr>
          <w:p w:rsidR="005C2091" w:rsidRDefault="00A86293" w:rsidP="00981877">
            <w:pPr>
              <w:pStyle w:val="CellColumn"/>
              <w:spacing w:after="0"/>
              <w:jc w:val="right"/>
            </w:pPr>
            <w:r>
              <w:rPr>
                <w:rFonts w:cs="Times New Roman"/>
              </w:rPr>
              <w:t>10</w:t>
            </w:r>
          </w:p>
        </w:tc>
        <w:tc>
          <w:tcPr>
            <w:tcW w:w="1020" w:type="dxa"/>
          </w:tcPr>
          <w:p w:rsidR="005C2091" w:rsidRDefault="00A86293" w:rsidP="00981877">
            <w:pPr>
              <w:pStyle w:val="CellColumn"/>
              <w:spacing w:after="0"/>
              <w:jc w:val="right"/>
            </w:pPr>
            <w:r>
              <w:rPr>
                <w:rFonts w:cs="Times New Roman"/>
              </w:rPr>
              <w:t>APPRRR</w:t>
            </w:r>
          </w:p>
        </w:tc>
        <w:tc>
          <w:tcPr>
            <w:tcW w:w="1020" w:type="dxa"/>
          </w:tcPr>
          <w:p w:rsidR="005C2091" w:rsidRDefault="00A86293" w:rsidP="00981877">
            <w:pPr>
              <w:pStyle w:val="CellColumn"/>
              <w:spacing w:after="0"/>
              <w:jc w:val="right"/>
            </w:pPr>
            <w:r>
              <w:rPr>
                <w:rFonts w:cs="Times New Roman"/>
              </w:rPr>
              <w:t>10</w:t>
            </w:r>
          </w:p>
        </w:tc>
        <w:tc>
          <w:tcPr>
            <w:tcW w:w="1020" w:type="dxa"/>
          </w:tcPr>
          <w:p w:rsidR="005C2091" w:rsidRDefault="00A86293" w:rsidP="00981877">
            <w:pPr>
              <w:pStyle w:val="CellColumn"/>
              <w:spacing w:after="0"/>
              <w:jc w:val="right"/>
            </w:pPr>
            <w:r>
              <w:rPr>
                <w:rFonts w:cs="Times New Roman"/>
              </w:rPr>
              <w:t>10</w:t>
            </w:r>
          </w:p>
        </w:tc>
      </w:tr>
      <w:tr w:rsidR="005C2091">
        <w:trPr>
          <w:jc w:val="center"/>
        </w:trPr>
        <w:tc>
          <w:tcPr>
            <w:tcW w:w="2551" w:type="dxa"/>
          </w:tcPr>
          <w:p w:rsidR="005C2091" w:rsidRDefault="00A86293" w:rsidP="00981877">
            <w:pPr>
              <w:pStyle w:val="CellColumn"/>
              <w:spacing w:after="0"/>
              <w:jc w:val="left"/>
            </w:pPr>
            <w:r>
              <w:rPr>
                <w:rFonts w:cs="Times New Roman"/>
              </w:rPr>
              <w:t xml:space="preserve">Provedena kontrola kvalitete </w:t>
            </w:r>
          </w:p>
          <w:p w:rsidR="005C2091" w:rsidRDefault="00A86293" w:rsidP="00981877">
            <w:pPr>
              <w:pStyle w:val="CellColumn"/>
              <w:spacing w:after="0"/>
              <w:jc w:val="left"/>
            </w:pPr>
            <w:r>
              <w:rPr>
                <w:rFonts w:cs="Times New Roman"/>
              </w:rPr>
              <w:t>ARKOD-a</w:t>
            </w:r>
          </w:p>
        </w:tc>
        <w:tc>
          <w:tcPr>
            <w:tcW w:w="2551" w:type="dxa"/>
          </w:tcPr>
          <w:p w:rsidR="005C2091" w:rsidRDefault="00A86293" w:rsidP="00981877">
            <w:pPr>
              <w:pStyle w:val="CellColumn"/>
              <w:spacing w:after="0"/>
              <w:jc w:val="left"/>
            </w:pPr>
            <w:r>
              <w:rPr>
                <w:rFonts w:cs="Times New Roman"/>
              </w:rPr>
              <w:t xml:space="preserve">Agencija provodi terensku </w:t>
            </w:r>
          </w:p>
          <w:p w:rsidR="005C2091" w:rsidRDefault="00A86293" w:rsidP="00981877">
            <w:pPr>
              <w:pStyle w:val="CellColumn"/>
              <w:spacing w:after="0"/>
              <w:jc w:val="left"/>
            </w:pPr>
            <w:r>
              <w:rPr>
                <w:rFonts w:cs="Times New Roman"/>
              </w:rPr>
              <w:t xml:space="preserve">kontrolu kvalitete finalnih </w:t>
            </w:r>
          </w:p>
          <w:p w:rsidR="005C2091" w:rsidRDefault="00A86293" w:rsidP="00981877">
            <w:pPr>
              <w:pStyle w:val="CellColumn"/>
              <w:spacing w:after="0"/>
              <w:jc w:val="left"/>
            </w:pPr>
            <w:r>
              <w:rPr>
                <w:rFonts w:cs="Times New Roman"/>
              </w:rPr>
              <w:t xml:space="preserve">ARKOD podataka prema </w:t>
            </w:r>
          </w:p>
          <w:p w:rsidR="005C2091" w:rsidRDefault="00A86293" w:rsidP="00981877">
            <w:pPr>
              <w:pStyle w:val="CellColumn"/>
              <w:spacing w:after="0"/>
              <w:jc w:val="left"/>
            </w:pPr>
            <w:r>
              <w:rPr>
                <w:rFonts w:cs="Times New Roman"/>
              </w:rPr>
              <w:t>analizi rizika i slučajnom uzorku</w:t>
            </w:r>
          </w:p>
        </w:tc>
        <w:tc>
          <w:tcPr>
            <w:tcW w:w="1020" w:type="dxa"/>
          </w:tcPr>
          <w:p w:rsidR="005C2091" w:rsidRDefault="00A86293" w:rsidP="00981877">
            <w:pPr>
              <w:pStyle w:val="CellColumn"/>
              <w:spacing w:after="0"/>
              <w:jc w:val="right"/>
            </w:pPr>
            <w:r>
              <w:rPr>
                <w:rFonts w:cs="Times New Roman"/>
              </w:rPr>
              <w:t>%</w:t>
            </w:r>
          </w:p>
        </w:tc>
        <w:tc>
          <w:tcPr>
            <w:tcW w:w="1020" w:type="dxa"/>
          </w:tcPr>
          <w:p w:rsidR="005C2091" w:rsidRDefault="00A86293" w:rsidP="00981877">
            <w:pPr>
              <w:pStyle w:val="CellColumn"/>
              <w:spacing w:after="0"/>
              <w:jc w:val="right"/>
            </w:pPr>
            <w:r>
              <w:rPr>
                <w:rFonts w:cs="Times New Roman"/>
              </w:rPr>
              <w:t>5</w:t>
            </w:r>
          </w:p>
        </w:tc>
        <w:tc>
          <w:tcPr>
            <w:tcW w:w="1020" w:type="dxa"/>
          </w:tcPr>
          <w:p w:rsidR="005C2091" w:rsidRDefault="00A86293" w:rsidP="00981877">
            <w:pPr>
              <w:pStyle w:val="CellColumn"/>
              <w:spacing w:after="0"/>
              <w:jc w:val="right"/>
            </w:pPr>
            <w:r>
              <w:rPr>
                <w:rFonts w:cs="Times New Roman"/>
              </w:rPr>
              <w:t>APPRRR</w:t>
            </w:r>
          </w:p>
        </w:tc>
        <w:tc>
          <w:tcPr>
            <w:tcW w:w="1020" w:type="dxa"/>
          </w:tcPr>
          <w:p w:rsidR="005C2091" w:rsidRDefault="00A86293" w:rsidP="00981877">
            <w:pPr>
              <w:pStyle w:val="CellColumn"/>
              <w:spacing w:after="0"/>
              <w:jc w:val="right"/>
            </w:pPr>
            <w:r>
              <w:rPr>
                <w:rFonts w:cs="Times New Roman"/>
              </w:rPr>
              <w:t>5</w:t>
            </w:r>
          </w:p>
        </w:tc>
        <w:tc>
          <w:tcPr>
            <w:tcW w:w="1020" w:type="dxa"/>
          </w:tcPr>
          <w:p w:rsidR="005C2091" w:rsidRDefault="00A86293" w:rsidP="00981877">
            <w:pPr>
              <w:pStyle w:val="CellColumn"/>
              <w:spacing w:after="0"/>
              <w:jc w:val="right"/>
            </w:pPr>
            <w:r>
              <w:rPr>
                <w:rFonts w:cs="Times New Roman"/>
              </w:rPr>
              <w:t>5</w:t>
            </w:r>
          </w:p>
        </w:tc>
      </w:tr>
    </w:tbl>
    <w:p w:rsidR="005C2091" w:rsidRDefault="005C2091">
      <w:pPr>
        <w:jc w:val="left"/>
      </w:pPr>
    </w:p>
    <w:p w:rsidR="005C2091" w:rsidRDefault="00A86293">
      <w:pPr>
        <w:pStyle w:val="Heading3"/>
      </w:pPr>
      <w:r>
        <w:rPr>
          <w:rFonts w:cs="Times New Roman"/>
        </w:rPr>
        <w:t>3004 RURALNI RAZVOJ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3004-RURALNI RAZVOJ</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6.297.273</w:t>
            </w:r>
          </w:p>
        </w:tc>
        <w:tc>
          <w:tcPr>
            <w:tcW w:w="2041" w:type="dxa"/>
          </w:tcPr>
          <w:p w:rsidR="005C2091" w:rsidRDefault="00A86293">
            <w:pPr>
              <w:pStyle w:val="CellColumn"/>
              <w:jc w:val="right"/>
            </w:pPr>
            <w:r>
              <w:rPr>
                <w:rFonts w:cs="Times New Roman"/>
              </w:rPr>
              <w:t>5.047.786</w:t>
            </w:r>
          </w:p>
        </w:tc>
        <w:tc>
          <w:tcPr>
            <w:tcW w:w="1224" w:type="dxa"/>
          </w:tcPr>
          <w:p w:rsidR="005C2091" w:rsidRDefault="00A86293">
            <w:pPr>
              <w:pStyle w:val="CellColumn"/>
              <w:jc w:val="right"/>
            </w:pPr>
            <w:r>
              <w:rPr>
                <w:rFonts w:cs="Times New Roman"/>
              </w:rPr>
              <w:t>80,2</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 xml:space="preserve">U skladu sa Strategijom Europa 2020. i poštujući ciljeve, prioritete i mjere iz Uredbe (EU) br. 1305/2013, Ministarstvo poljoprivrede je unutar Programa ruralnog razvoja izradilo strategiju ruralnog razvoja u Hrvatskoj, koja je u cijelosti usklađena sa strategijom Republike Hrvatske za ulaganje u ESI fondove kao što je definirano u Sporazumu o partnerstvu.  </w:t>
      </w:r>
    </w:p>
    <w:p w:rsidR="005C2091" w:rsidRDefault="00A86293">
      <w:r>
        <w:t xml:space="preserve">Ulaganjem u restrukturiranje i modernizaciju poljoprivredne i prehrambene djelatnosti posebice kroz približavanje dostupnosti infrastrukture, okrupnjavanje i privođenje poljoprivrednog zemljišta svrsi, utječe  se na konkurentnost poljoprivredno-prerađivačkog sektora, a samim time na poboljšanja uvjeta života na ruralnom prostoru kojim dominira poljoprivreda i s njome povezane djelatnosti. U tom procesu provodi se i generacijska obnova, koja je uz provedbu obrazovanja temelj ubrzanom razvoju održivih poljoprivrednih gospodarstava. Program ruralnog razvoja predstavlja okosnicu sigurnosti i dostupnosti hrane, poštujući načela održivog upravljanja prirodnim resursima, te u konačnici uravnoteženog teritorijalnog razvoja ruralnih gospodarstava što je u pozitivnoj korelaciji s dugoročnim strateškim ciljevima politike ruralnog razvoja EU-a u razdoblju od 2014. do 2020. Uspostavom novih sustava za navodnjavanje u poljoprivredi pozitivno se utječe na produktivnost i konkurentnost proizvodnje u cjelini, anulirajući uvjetovanost proizvodnje vremenskim uvjetima, u prvom redu problemima nepredvidivosti nedostatne i/ili prekomjerne dostupnosti vode u proizvodnom ciklusu.  </w:t>
      </w:r>
    </w:p>
    <w:p w:rsidR="005C2091" w:rsidRDefault="00A86293">
      <w:r>
        <w:t xml:space="preserve">Metode i prakse koje doprinose obnovi i očuvanju okoliša s pozitivnim utjecajem na bioraznolikost predstavljaju strateške ciljeve Republike Hrvatske te je iz tog aspekta planirano osiguranje dugoročno održive poljoprivredne proizvodnje kako u gospodarskom tako i okolišnom smislu, osobito na područjima s prirodnim i drugim posebnim ograničenjima poljoprivredne proizvodnje. Među planirane ciljeve uključena je i potpora za korištenje obnovljivih izvora iz poljoprivrede, prehrambene industrije i šumarstva u svrhu proizvodnje energije na način koji doprinosi smanjenju emisije stakleničkih plinova i ima minimalan negativni učinak na okoliš. Obnova degradiranih šumskih sastojina i zamjena šumskih kultura u smislu održivog gospodarenja šumama doprinosi povećanju otpornosti i vrijednosti okoliša, uz poboljšanje sposobnosti za izdvajanje i sekvestraciju ugljika. Očuvanjem biološke raznolikosti, povećanjem udjela ekološke poljoprivrede u ukupnoj poljoprivrednoj proizvodnji, smanjenjem negativnih utjecaja na okoliš, te održivim gospodarenjem šumama pozitivno se utječe na poboljšanje uvjeta i kvalitete života u pretežito ruralnom prostoru. </w:t>
      </w:r>
    </w:p>
    <w:p w:rsidR="005C2091" w:rsidRDefault="00A86293">
      <w:r>
        <w:t>Ulaganjem u malu infrastrukturu, javne usluge i obnovu sela te aktivnosti s ciljem obnove i unapređenja kulturne i prirodne baštine sela i ruralnog krajolika promiče se društveno-gospodarska održivost u ruralnim područjima te  ima pozitivan utjecaj na uravnotežen teritorijalni razvoj ruralnih područja, posebice kroz nastavak implementacije „CLLD bottom-up“ pristupa na području obuhvaćenom lokalnim akcijskim strategijama, koje pokrivaju pretežito ruralna područja.</w:t>
      </w:r>
    </w:p>
    <w:p w:rsidR="005C2091" w:rsidRDefault="00A86293">
      <w:pPr>
        <w:pStyle w:val="Heading8"/>
        <w:jc w:val="left"/>
      </w:pPr>
      <w:r>
        <w:t>Cilj 1. Restrukturiranje i modernizacija poljoprivrednog i prehrambenog sektora</w:t>
      </w:r>
    </w:p>
    <w:p w:rsidR="005C2091" w:rsidRDefault="00A86293">
      <w:pPr>
        <w:pStyle w:val="Heading8"/>
        <w:jc w:val="left"/>
      </w:pPr>
      <w:r>
        <w:t>Opis provedbe cilja programa</w:t>
      </w:r>
    </w:p>
    <w:p w:rsidR="005C2091" w:rsidRDefault="00A86293">
      <w:r>
        <w:t>S obzirom na nisku produktivnost koja obilježava poljoprivredni sektori i visoki stupanj rascjepkanosti strukture poljoprivrednih gospodarstava, Program ruralnog razvoja namijenjen je rješavanju potreba restrukturiranja i modernizacije hrvatske poljoprivrede i prehrambene djelatnosti putem mjera za poboljšanje gospodarske učinkovitosti i konkurentnosti, uključujući infrastrukturu za navodnjavanje, obnovu poljoprivrednog potencijala s naglaskom na razminiranje poljoprivrednog zemljišta, okrupnjavanje zemljišta, poticanje generacijske obnove te razvoj malih i održivih konkurentnih gospodarstava. Smanjenje troškova poljoprivredne proizvodnje/prerade hrane rezultira  poboljšanjem kvalitete i sigurnosti hrane što  doprinosi konkurentnost te  ima pozitivan utjecaj na prihode na gospodarstvu. Potpora za restrukturiranje i modernizaciju tih sektora također osigurava pozitivan utjecaj na okoliš ulaganjima u zelene tehnologije i prakse te racionalno korištenje gnojiva i pesticida. Stoga  Program ruralnog razvoja doprinosi postignuću ciljeva postavljenih u Strategiji Europa 2020 za pametan, održiv i uključiv rast te ima pozitivan učinak prema gospodarstvu s niskom razinom ugljika s naglaskom na stvaranje novih radnih mjesta u poljoprivredi, prehrambenom i šumarskom sektoru kao rezultat poboljšane konkurentnosti i održivosti.</w:t>
      </w:r>
    </w:p>
    <w:p w:rsidR="005C2091" w:rsidRDefault="00A86293">
      <w:pPr>
        <w:pStyle w:val="Heading8"/>
        <w:jc w:val="left"/>
      </w:pPr>
      <w:r>
        <w:t>Cilj 2. Promicanje okolišno učinkovitog poljoprivrednog sustava</w:t>
      </w:r>
    </w:p>
    <w:p w:rsidR="005C2091" w:rsidRDefault="00A86293">
      <w:pPr>
        <w:pStyle w:val="Heading8"/>
        <w:jc w:val="left"/>
      </w:pPr>
      <w:r>
        <w:t>Opis provedbe cilja programa</w:t>
      </w:r>
    </w:p>
    <w:p w:rsidR="005C2091" w:rsidRDefault="00A86293">
      <w:r>
        <w:t>Strateški cilj Hrvatske je obnova, očuvanje i poboljšanje biološke raznolikosti i visoke prirodne vrijednosti poljoprivrednog zemljišta (NATURA 2000 i sl.) promicanjem okolišno učinkovitog sustava s naglaskom na ekološki uzgoj i prateće poljoprivredne proizvodnje u područjima koja se suočavaju s prirodnih i drugim ograničenjima. Odobravanje potpore za ekonomske gubitke s kojima se suočavaju poljoprivrednici u područjima sa prirodnim i drugim posebnih ograničenjima omoguće održavanje poljoprivrednog zemljišta i očuvanje sela, kao i promicanje održivog sustava poljoprivredne proizvodnje u tim područjima. Takva potpora  pridonosi sprječavanju napuštanja poljoprivrednog zemljišta i smanjenju rizika od gubitka biološke raznolikosti. Nedostatak svijesti o važnosti i prednostima održivog upravljanja ekosustavima je rezultiralo intenzivnim poljoprivrednim praksama i prekomjernim korištenjem mineralnih gnojiva i pesticida s posljedičnim utjecajem na okoliš koji treba rješavati specifičnim mjerama potpore. Stoga  se Programom ruralnog razvoja doprinosi dostizanju ciljeva postavljenih u Strategiji Europa 2020 o bioraznolikosti s naglaskom na održivoj poljoprivredi i šumarstvu.</w:t>
      </w:r>
    </w:p>
    <w:p w:rsidR="005C2091" w:rsidRDefault="00A86293">
      <w:pPr>
        <w:pStyle w:val="Heading8"/>
        <w:jc w:val="left"/>
      </w:pPr>
      <w:r>
        <w:t>Cilj 3. Poboljšana učinkovitost resursa te pomaka ka klimatski elastičnoj poljoprivredi, prehrambenoj industriji i šumarstvu</w:t>
      </w:r>
    </w:p>
    <w:p w:rsidR="005C2091" w:rsidRDefault="00A86293">
      <w:pPr>
        <w:pStyle w:val="Heading8"/>
        <w:jc w:val="left"/>
      </w:pPr>
      <w:r>
        <w:t>Opis provedbe cilja programa</w:t>
      </w:r>
    </w:p>
    <w:p w:rsidR="005C2091" w:rsidRDefault="00A86293">
      <w:r>
        <w:t>Proizvodnjom energije iz obnovljivih izvora iz poljoprivrede, prehrambene industrije i šumarstva je nacionalni prioritet, potiče se održivo gospodarenje prirodnim bogatstvima i smanjenje emisije stakleničkih plinova kako bi se postigli ciljevi Europa 2020. Poseban prioritet je poticanje korištenja drvne biomase, s obzirom nedovoljno iskorišteni potencijal stvorene šumske biomase. Potiču se ulaganja za korištenje poljoprivredne biomase i solarne energije u poljoprivredi i preradi. Hrvatska je sve više izložena ekstremnim vremenskim uvjetima koji uzrokuju suše i poplave, što se pripisuje klimatskim promjenama. Vrlo mali udio poljoprivrednog zemljišta se navodnjava, što značajno utječe na produktivnost. Ključni prioritet je uspostava novih infrastrukturnih sustava za navodnjavanje u poljoprivredi, te poboljšanje upravljanja sušom u poljoprivredi radi osiguranja održive proizvodnje kao što je navedeno u Sporazumu o partnerstvu. Održivo gospodarenje šumama, uključujući obnovu degradiranih šumskih sastojina i zamjena šumskih kultura je prioritet koji  doprinosi povećanju otpornosti na klimatske promjene i vrijednost okoliša, kao i poboljšanje ekosustava, uključujući područja NATURA 2000. Aktivnosti su usmjerene i na povećanje povoljnog učinka šuma na vodni režim i zaštitu i kvalitetu tla, a šumski radovi   unaprijeđuju stabilnost, strukturu, elastičnost i zdravstveno stanje šuma, kako bi poboljšali svoju sposobnost za izdvajanje i sekvestraciju ugljika. Programom ruralnog razvoja   se doprinosi postizanju ciljeva postavljenih u Strategije Europa 2020., koja propisuje stvaranje gospodarstava otpornijih na klimatske promjene u poljoprivredi i šumarstvu.</w:t>
      </w:r>
    </w:p>
    <w:p w:rsidR="005C2091" w:rsidRDefault="00A86293">
      <w:pPr>
        <w:pStyle w:val="Heading8"/>
        <w:jc w:val="left"/>
      </w:pPr>
      <w:r>
        <w:t>Cilj 4. Smanjenje ruralne depopulacije i povećanje kvalitete života te gospodarski oporavak</w:t>
      </w:r>
    </w:p>
    <w:p w:rsidR="005C2091" w:rsidRDefault="00A86293">
      <w:pPr>
        <w:pStyle w:val="Heading8"/>
        <w:jc w:val="left"/>
      </w:pPr>
      <w:r>
        <w:t>Opis provedbe cilja programa</w:t>
      </w:r>
    </w:p>
    <w:p w:rsidR="005C2091" w:rsidRDefault="00A86293">
      <w:r>
        <w:t>Loša kvaliteta života u ruralnim područjima, uključujući nedostatak osnovnih usluga i neadekvatnih socijalnih i kulturnih sadržaja i nedostatka prateće infrastrukture, dovelo je do značajne depopulacije, a posebno radno aktivnog  stanovništva. Da bi ruralna područja bila što atraktivnija, pogotovo ona udaljena i rijetko naseljena područja, ulaganja u komunalnu infrastrukturu (nerazvrstane ceste, vodovod i kanalizacija) i javne usluge su nužna za društveno-gospodarsku održivost ruralnih područja. Aktivnosti se provodi u skladu s lokalnim razvojnim planovima/strategijama kako bi se postigla najviša dodana vrijednost investicija kroz Program ruralnog razvoja s ciljem gospodarskog oporavaka, promicanja rasta i stvaranje radnih mjesta. Programom ruralnog razvoja doprinosi se postignuću ciljeva postavljenih u Strategiji Europa 2020 za pametan, održiv i uključiv rast promicanjem uravnoteženog teritorijalnog razvoja ruralnih područja koje pružaju bolje osnovne usluge i lokalni razvoj zajednice kao što je utvrđeno u Sporazumom o partnerstvu.</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95"/>
        <w:gridCol w:w="2495"/>
        <w:gridCol w:w="1012"/>
        <w:gridCol w:w="1015"/>
        <w:gridCol w:w="1159"/>
        <w:gridCol w:w="1015"/>
        <w:gridCol w:w="1015"/>
      </w:tblGrid>
      <w:tr w:rsidR="005C2091" w:rsidTr="00981877">
        <w:trPr>
          <w:jc w:val="center"/>
        </w:trPr>
        <w:tc>
          <w:tcPr>
            <w:tcW w:w="2495" w:type="dxa"/>
            <w:shd w:val="clear" w:color="auto" w:fill="B5C0D8"/>
          </w:tcPr>
          <w:p w:rsidR="005C2091" w:rsidRDefault="00A86293">
            <w:pPr>
              <w:jc w:val="center"/>
            </w:pPr>
            <w:r>
              <w:t>Pokazatelj učinka</w:t>
            </w:r>
          </w:p>
        </w:tc>
        <w:tc>
          <w:tcPr>
            <w:tcW w:w="2495" w:type="dxa"/>
            <w:shd w:val="clear" w:color="auto" w:fill="B5C0D8"/>
          </w:tcPr>
          <w:p w:rsidR="005C2091" w:rsidRDefault="00A86293">
            <w:pPr>
              <w:pStyle w:val="CellHeader"/>
              <w:jc w:val="center"/>
            </w:pPr>
            <w:r>
              <w:rPr>
                <w:rFonts w:cs="Times New Roman"/>
              </w:rPr>
              <w:t>Definicija</w:t>
            </w:r>
          </w:p>
        </w:tc>
        <w:tc>
          <w:tcPr>
            <w:tcW w:w="1012" w:type="dxa"/>
            <w:shd w:val="clear" w:color="auto" w:fill="B5C0D8"/>
          </w:tcPr>
          <w:p w:rsidR="005C2091" w:rsidRDefault="00A86293">
            <w:pPr>
              <w:pStyle w:val="CellHeader"/>
              <w:jc w:val="center"/>
            </w:pPr>
            <w:r>
              <w:rPr>
                <w:rFonts w:cs="Times New Roman"/>
              </w:rPr>
              <w:t>Jedinica</w:t>
            </w:r>
          </w:p>
        </w:tc>
        <w:tc>
          <w:tcPr>
            <w:tcW w:w="1015" w:type="dxa"/>
            <w:shd w:val="clear" w:color="auto" w:fill="B5C0D8"/>
          </w:tcPr>
          <w:p w:rsidR="005C2091" w:rsidRDefault="00A86293">
            <w:pPr>
              <w:pStyle w:val="CellHeader"/>
              <w:jc w:val="center"/>
            </w:pPr>
            <w:r>
              <w:rPr>
                <w:rFonts w:cs="Times New Roman"/>
              </w:rPr>
              <w:t>Polazna vrijednost</w:t>
            </w:r>
          </w:p>
        </w:tc>
        <w:tc>
          <w:tcPr>
            <w:tcW w:w="1159" w:type="dxa"/>
            <w:shd w:val="clear" w:color="auto" w:fill="B5C0D8"/>
          </w:tcPr>
          <w:p w:rsidR="005C2091" w:rsidRDefault="00A86293">
            <w:pPr>
              <w:pStyle w:val="CellHeader"/>
              <w:jc w:val="center"/>
            </w:pPr>
            <w:r>
              <w:rPr>
                <w:rFonts w:cs="Times New Roman"/>
              </w:rPr>
              <w:t>Izvor podataka</w:t>
            </w:r>
          </w:p>
        </w:tc>
        <w:tc>
          <w:tcPr>
            <w:tcW w:w="1015" w:type="dxa"/>
            <w:shd w:val="clear" w:color="auto" w:fill="B5C0D8"/>
          </w:tcPr>
          <w:p w:rsidR="005C2091" w:rsidRDefault="00A86293">
            <w:pPr>
              <w:pStyle w:val="CellHeader"/>
              <w:jc w:val="center"/>
            </w:pPr>
            <w:r>
              <w:rPr>
                <w:rFonts w:cs="Times New Roman"/>
              </w:rPr>
              <w:t>Ciljana vrijednost (2016.)</w:t>
            </w:r>
          </w:p>
        </w:tc>
        <w:tc>
          <w:tcPr>
            <w:tcW w:w="1015" w:type="dxa"/>
            <w:shd w:val="clear" w:color="auto" w:fill="B5C0D8"/>
          </w:tcPr>
          <w:p w:rsidR="005C2091" w:rsidRDefault="00A86293">
            <w:pPr>
              <w:pStyle w:val="CellHeader"/>
              <w:jc w:val="center"/>
            </w:pPr>
            <w:r>
              <w:rPr>
                <w:rFonts w:cs="Times New Roman"/>
              </w:rPr>
              <w:t>Ostvarena vrijednost (2016.)</w:t>
            </w:r>
          </w:p>
        </w:tc>
      </w:tr>
      <w:tr w:rsidR="005C2091" w:rsidTr="00981877">
        <w:trPr>
          <w:jc w:val="center"/>
        </w:trPr>
        <w:tc>
          <w:tcPr>
            <w:tcW w:w="2495" w:type="dxa"/>
          </w:tcPr>
          <w:p w:rsidR="005C2091" w:rsidRDefault="00A86293">
            <w:pPr>
              <w:pStyle w:val="CellColumn"/>
              <w:jc w:val="left"/>
            </w:pPr>
            <w:r>
              <w:rPr>
                <w:rFonts w:cs="Times New Roman"/>
              </w:rPr>
              <w:t>Restrukturiranje i modernizacija poljoprivrednog i prehrambenog sektora</w:t>
            </w:r>
          </w:p>
        </w:tc>
        <w:tc>
          <w:tcPr>
            <w:tcW w:w="2495" w:type="dxa"/>
          </w:tcPr>
          <w:p w:rsidR="005C2091" w:rsidRDefault="00A86293">
            <w:pPr>
              <w:pStyle w:val="CellColumn"/>
              <w:jc w:val="left"/>
            </w:pPr>
            <w:r>
              <w:rPr>
                <w:rFonts w:cs="Times New Roman"/>
              </w:rPr>
              <w:t>Indeks realnog dohotka u poljoprivredi po jedinici godišnjeg rada</w:t>
            </w:r>
          </w:p>
        </w:tc>
        <w:tc>
          <w:tcPr>
            <w:tcW w:w="1012" w:type="dxa"/>
          </w:tcPr>
          <w:p w:rsidR="005C2091" w:rsidRDefault="00A86293">
            <w:pPr>
              <w:pStyle w:val="CellColumn"/>
              <w:jc w:val="right"/>
            </w:pPr>
            <w:r>
              <w:rPr>
                <w:rFonts w:cs="Times New Roman"/>
              </w:rPr>
              <w:t>HRK</w:t>
            </w:r>
          </w:p>
        </w:tc>
        <w:tc>
          <w:tcPr>
            <w:tcW w:w="1015" w:type="dxa"/>
          </w:tcPr>
          <w:p w:rsidR="005C2091" w:rsidRDefault="00A86293">
            <w:pPr>
              <w:pStyle w:val="CellColumn"/>
              <w:jc w:val="right"/>
            </w:pPr>
            <w:r>
              <w:rPr>
                <w:rFonts w:cs="Times New Roman"/>
              </w:rPr>
              <w:t>38 284</w:t>
            </w:r>
          </w:p>
        </w:tc>
        <w:tc>
          <w:tcPr>
            <w:tcW w:w="1159" w:type="dxa"/>
          </w:tcPr>
          <w:p w:rsidR="005C2091" w:rsidRDefault="00A86293">
            <w:pPr>
              <w:pStyle w:val="CellColumn"/>
              <w:jc w:val="right"/>
            </w:pPr>
            <w:r>
              <w:rPr>
                <w:rFonts w:cs="Times New Roman"/>
              </w:rPr>
              <w:t>DZS-druga procjena realnog dohotka u poljoprivredi</w:t>
            </w:r>
          </w:p>
        </w:tc>
        <w:tc>
          <w:tcPr>
            <w:tcW w:w="1015" w:type="dxa"/>
          </w:tcPr>
          <w:p w:rsidR="005C2091" w:rsidRDefault="00A86293">
            <w:pPr>
              <w:pStyle w:val="CellColumn"/>
              <w:jc w:val="right"/>
            </w:pPr>
            <w:r>
              <w:rPr>
                <w:rFonts w:cs="Times New Roman"/>
              </w:rPr>
              <w:t>38300</w:t>
            </w:r>
          </w:p>
        </w:tc>
        <w:tc>
          <w:tcPr>
            <w:tcW w:w="1015" w:type="dxa"/>
          </w:tcPr>
          <w:p w:rsidR="005C2091" w:rsidRDefault="005C2091">
            <w:pPr>
              <w:jc w:val="left"/>
            </w:pPr>
          </w:p>
        </w:tc>
      </w:tr>
      <w:tr w:rsidR="005C2091" w:rsidTr="00981877">
        <w:trPr>
          <w:jc w:val="center"/>
        </w:trPr>
        <w:tc>
          <w:tcPr>
            <w:tcW w:w="2495" w:type="dxa"/>
          </w:tcPr>
          <w:p w:rsidR="005C2091" w:rsidRDefault="00A86293">
            <w:pPr>
              <w:pStyle w:val="CellColumn"/>
              <w:jc w:val="left"/>
            </w:pPr>
            <w:r>
              <w:rPr>
                <w:rFonts w:cs="Times New Roman"/>
              </w:rPr>
              <w:t>Promicanje okolišno učinkovitog poljoprivrednog sustava</w:t>
            </w:r>
          </w:p>
        </w:tc>
        <w:tc>
          <w:tcPr>
            <w:tcW w:w="2495" w:type="dxa"/>
          </w:tcPr>
          <w:p w:rsidR="005C2091" w:rsidRDefault="00A86293">
            <w:pPr>
              <w:pStyle w:val="CellColumn"/>
              <w:jc w:val="left"/>
            </w:pPr>
            <w:r>
              <w:rPr>
                <w:rFonts w:cs="Times New Roman"/>
              </w:rPr>
              <w:t>Povećanje površina poljoprivrednog zemljišta za koje su sklopljeni ugovori o upravljanju kojima se pridonosi bioraznolikosti; poboljšava gospodarenje vodama; poboljšava gospodarenje tlom i/ili sprečava erozija tla</w:t>
            </w:r>
          </w:p>
        </w:tc>
        <w:tc>
          <w:tcPr>
            <w:tcW w:w="1012" w:type="dxa"/>
          </w:tcPr>
          <w:p w:rsidR="005C2091" w:rsidRDefault="00A86293">
            <w:pPr>
              <w:pStyle w:val="CellColumn"/>
              <w:jc w:val="right"/>
            </w:pPr>
            <w:r>
              <w:rPr>
                <w:rFonts w:cs="Times New Roman"/>
              </w:rPr>
              <w:t>INDEKS</w:t>
            </w:r>
          </w:p>
        </w:tc>
        <w:tc>
          <w:tcPr>
            <w:tcW w:w="1015" w:type="dxa"/>
          </w:tcPr>
          <w:p w:rsidR="005C2091" w:rsidRDefault="00A86293">
            <w:pPr>
              <w:pStyle w:val="CellColumn"/>
              <w:jc w:val="right"/>
            </w:pPr>
            <w:r>
              <w:rPr>
                <w:rFonts w:cs="Times New Roman"/>
              </w:rPr>
              <w:t>100</w:t>
            </w:r>
          </w:p>
        </w:tc>
        <w:tc>
          <w:tcPr>
            <w:tcW w:w="1159" w:type="dxa"/>
          </w:tcPr>
          <w:p w:rsidR="005C2091" w:rsidRDefault="00A86293">
            <w:pPr>
              <w:pStyle w:val="CellColumn"/>
              <w:jc w:val="right"/>
            </w:pPr>
            <w:r>
              <w:rPr>
                <w:rFonts w:cs="Times New Roman"/>
              </w:rPr>
              <w:t>Strateški plan MP</w:t>
            </w:r>
          </w:p>
        </w:tc>
        <w:tc>
          <w:tcPr>
            <w:tcW w:w="1015" w:type="dxa"/>
          </w:tcPr>
          <w:p w:rsidR="005C2091" w:rsidRDefault="00A86293">
            <w:pPr>
              <w:pStyle w:val="CellColumn"/>
              <w:jc w:val="right"/>
            </w:pPr>
            <w:r>
              <w:rPr>
                <w:rFonts w:cs="Times New Roman"/>
              </w:rPr>
              <w:t>100</w:t>
            </w:r>
          </w:p>
        </w:tc>
        <w:tc>
          <w:tcPr>
            <w:tcW w:w="1015" w:type="dxa"/>
          </w:tcPr>
          <w:p w:rsidR="005C2091" w:rsidRDefault="00A86293">
            <w:pPr>
              <w:pStyle w:val="CellColumn"/>
              <w:jc w:val="right"/>
            </w:pPr>
            <w:r>
              <w:rPr>
                <w:rFonts w:cs="Times New Roman"/>
              </w:rPr>
              <w:t>100</w:t>
            </w:r>
          </w:p>
        </w:tc>
      </w:tr>
    </w:tbl>
    <w:p w:rsidR="005C2091" w:rsidRDefault="005C2091">
      <w:pPr>
        <w:jc w:val="left"/>
      </w:pPr>
    </w:p>
    <w:p w:rsidR="005C2091" w:rsidRDefault="00A86293">
      <w:pPr>
        <w:pStyle w:val="Heading4"/>
      </w:pPr>
      <w:r>
        <w:t>A841005 TEHNIČKA POMOĆ - PROGRAM RURALNOG RAZVOJA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A841005-TEHNIČKA POMOĆ - PROGRAM RURALNOG RAZVOJA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6.297.273</w:t>
            </w:r>
          </w:p>
        </w:tc>
        <w:tc>
          <w:tcPr>
            <w:tcW w:w="2041" w:type="dxa"/>
          </w:tcPr>
          <w:p w:rsidR="005C2091" w:rsidRDefault="00A86293">
            <w:pPr>
              <w:pStyle w:val="CellColumn"/>
              <w:jc w:val="right"/>
            </w:pPr>
            <w:r>
              <w:rPr>
                <w:rFonts w:cs="Times New Roman"/>
              </w:rPr>
              <w:t>5.047.786</w:t>
            </w:r>
          </w:p>
        </w:tc>
        <w:tc>
          <w:tcPr>
            <w:tcW w:w="1224" w:type="dxa"/>
          </w:tcPr>
          <w:p w:rsidR="005C2091" w:rsidRDefault="00A86293">
            <w:pPr>
              <w:pStyle w:val="CellColumn"/>
              <w:jc w:val="right"/>
            </w:pPr>
            <w:r>
              <w:rPr>
                <w:rFonts w:cs="Times New Roman"/>
              </w:rPr>
              <w:t>80,2</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Sporazum  o načinu provedbe mjere Tehnička pomoć unutar programa ruralnog razvoja RH za razdoblje 2014.-2020 (KLASA:320-01/15-01/179);   </w:t>
      </w:r>
    </w:p>
    <w:p w:rsidR="005C2091" w:rsidRDefault="00A86293">
      <w:r>
        <w:t xml:space="preserve">- Financijska Uredba (EU) br.966/2012 čl.30; Uredbe (EU) br. 1303/2013; 1305/2013;1306/2013,   </w:t>
      </w:r>
    </w:p>
    <w:p w:rsidR="005C2091" w:rsidRDefault="00A86293">
      <w:r>
        <w:t xml:space="preserve">- Delegirane Uredbe (EU) br. 907/2014; 807/2014; Provedbena uredba 809/2014;  </w:t>
      </w:r>
    </w:p>
    <w:p w:rsidR="005C2091" w:rsidRDefault="00A86293">
      <w:r>
        <w:t xml:space="preserve">-  Zakon o poljoprivredi (NN 30/15);   </w:t>
      </w:r>
    </w:p>
    <w:p w:rsidR="005C2091" w:rsidRDefault="00A86293">
      <w:r>
        <w:t>- Programa ruralnog razvoja Republike Hrvatske za razdoblje 2014. – 2020; Priručnik o provedbi M20</w:t>
      </w:r>
    </w:p>
    <w:p w:rsidR="005C2091" w:rsidRDefault="00A86293">
      <w:pPr>
        <w:pStyle w:val="Heading8"/>
        <w:jc w:val="left"/>
      </w:pPr>
      <w:r>
        <w:t>Opis aktivnosti</w:t>
      </w:r>
    </w:p>
    <w:p w:rsidR="005C2091" w:rsidRDefault="00A86293">
      <w:r>
        <w:t xml:space="preserve">U 2016. Agencija za plaćanja u poljoprivredi ribarstvu i ruralnom razvoju reakizirala je sljedeće aktivnosti koje su direktno povezane sa provedbom programa ruralnog razvoja:  </w:t>
      </w:r>
    </w:p>
    <w:p w:rsidR="005C2091" w:rsidRDefault="00A86293">
      <w:r>
        <w:t xml:space="preserve">- isplata plaće zaposlenicima koji su sukladno opisu poslova radili isključivo na mjerama ruralnog razvoja </w:t>
      </w:r>
    </w:p>
    <w:p w:rsidR="005C2091" w:rsidRDefault="00A86293">
      <w:r>
        <w:t xml:space="preserve">- edukacija vezana uz mjere ruralnog razvoja </w:t>
      </w:r>
    </w:p>
    <w:p w:rsidR="005C2091" w:rsidRDefault="00A86293">
      <w:r>
        <w:t xml:space="preserve">- angažiranje vanjskih suradnika za provođenje natječaja mjera ruralnog razvoja </w:t>
      </w:r>
    </w:p>
    <w:p w:rsidR="005C2091" w:rsidRDefault="00A86293">
      <w:r>
        <w:t xml:space="preserve">- objavljivanje natječaja za mjere ruralnog razvoja (Narodne novine) </w:t>
      </w:r>
    </w:p>
    <w:p w:rsidR="005C2091" w:rsidRDefault="00A86293">
      <w:r>
        <w:t xml:space="preserve">Mjera 20. regulirana je Sporazumom načinu provedbe mjere 20 „Tehnička pomoć" te se Priručnikom o provedbi mjere Tehnička pomoć koje izrađuje i odobrava Uprava za upravljanje EU fondom za ruralni razvoj, EU i međunarodnu suradnju Ministarstvu poljoprivrede, regulira način podnošenja godišnjeg plana korištenja sredstava Tehnička pomoć kao i način podnošenja zahtjeva za isplatu. </w:t>
      </w:r>
    </w:p>
    <w:p w:rsidR="005C2091" w:rsidRDefault="00A86293">
      <w:r>
        <w:t xml:space="preserve">Sukladno Sporazumu i vodiču svake godine do kraja studenog tekuće godine korisnici Mjere Tehnička pomoć M20 šalju Godišnji plan korištenja sredstva tehničke pomoći za narednu godinu na odobrenje Uprava za upravljanje EU fondom za ruralni razvoj, EU i međunarodnu suradnju Ministarstvu poljoprivrede te se nakon odobrenja za svaku kalendarsku godinu šalju kvartalno zahtjevi za isplatu za ostvarene aktivnosti iz odobrenog godišnjeg plana korištenja sredstava TP </w:t>
      </w:r>
    </w:p>
    <w:p w:rsidR="005C2091" w:rsidRDefault="00A86293">
      <w:r>
        <w:t xml:space="preserve">Objavljeni natječaji Programa ruralnog razvoja RH 2014. – 2020. </w:t>
      </w:r>
    </w:p>
    <w:p w:rsidR="005C2091" w:rsidRDefault="00A86293">
      <w:r>
        <w:t xml:space="preserve">Mjera 4 – podmjera 4.1. »Potpora za ulaganja u poljoprivredna gospodarstva«  </w:t>
      </w:r>
    </w:p>
    <w:p w:rsidR="005C2091" w:rsidRDefault="00A86293">
      <w:r>
        <w:t>-</w:t>
      </w:r>
      <w:r>
        <w:tab/>
        <w:t xml:space="preserve">Operacija 4.1.1. </w:t>
      </w:r>
    </w:p>
    <w:p w:rsidR="005C2091" w:rsidRDefault="00A86293">
      <w:r>
        <w:t xml:space="preserve">Drugi natječaj (za sektor voća i povrća) </w:t>
      </w:r>
    </w:p>
    <w:p w:rsidR="005C2091" w:rsidRDefault="00A86293">
      <w:r>
        <w:t>•</w:t>
      </w:r>
      <w:r>
        <w:tab/>
        <w:t xml:space="preserve">raspisan je od 04. studenoga 2015. do 15. siječnja 2016. </w:t>
      </w:r>
    </w:p>
    <w:p w:rsidR="005C2091" w:rsidRDefault="00A86293">
      <w:r>
        <w:t>•</w:t>
      </w:r>
      <w:r>
        <w:tab/>
        <w:t xml:space="preserve">Zaprimljeno 373 Zahtjeva s ukupnim iznosom tražene potpore 1.110.128.747,62 HRK.  </w:t>
      </w:r>
    </w:p>
    <w:p w:rsidR="005C2091" w:rsidRDefault="00A86293">
      <w:r>
        <w:t>•</w:t>
      </w:r>
      <w:r>
        <w:tab/>
        <w:t xml:space="preserve">Izdano je 36 odluka o odbijanju u ukupnom iznosu tražene potpore 133.645.669,10 HRK. </w:t>
      </w:r>
    </w:p>
    <w:p w:rsidR="005C2091" w:rsidRDefault="00A86293">
      <w:r>
        <w:t>•</w:t>
      </w:r>
      <w:r>
        <w:tab/>
        <w:t xml:space="preserve">Izdane su sve Odluke o privremenoj raspodjeli sredstava, odnosno ukupno 328 (raspoloživa alokacija sredstava je za 24 zahtjeva).  </w:t>
      </w:r>
    </w:p>
    <w:p w:rsidR="005C2091" w:rsidRDefault="00A86293">
      <w:r>
        <w:t>•</w:t>
      </w:r>
      <w:r>
        <w:tab/>
        <w:t xml:space="preserve">Odustalo je ukupno 10 korisnika, od toga 9 tijekom obrade, a 1 nakon izdavanja odluka o privremenoj raspodjeli sredstava. </w:t>
      </w:r>
    </w:p>
    <w:p w:rsidR="005C2091" w:rsidRDefault="00A86293">
      <w:r>
        <w:t>•</w:t>
      </w:r>
      <w:r>
        <w:tab/>
        <w:t xml:space="preserve">Prigovori korisnika su u tijeku. </w:t>
      </w:r>
    </w:p>
    <w:p w:rsidR="005C2091" w:rsidRDefault="00A86293">
      <w:r>
        <w:t xml:space="preserve">             Drugi natječaj (sektor peradarstva i svinjogojstva)   </w:t>
      </w:r>
    </w:p>
    <w:p w:rsidR="005C2091" w:rsidRDefault="00A86293">
      <w:r>
        <w:t>•</w:t>
      </w:r>
      <w:r>
        <w:tab/>
        <w:t xml:space="preserve">raspisan od 04. studenoga 2015. do 15. siječnja 2016.  </w:t>
      </w:r>
    </w:p>
    <w:p w:rsidR="005C2091" w:rsidRDefault="00A86293">
      <w:r>
        <w:t>•</w:t>
      </w:r>
      <w:r>
        <w:tab/>
        <w:t xml:space="preserve">Zaprimljeno 99 Zahtjeva s ukupnim iznosom tražene potpore 523.208.721,24 HRK.  </w:t>
      </w:r>
    </w:p>
    <w:p w:rsidR="005C2091" w:rsidRDefault="00A86293">
      <w:r>
        <w:t>•</w:t>
      </w:r>
      <w:r>
        <w:tab/>
        <w:t xml:space="preserve">Izdano je 14 odluka o odbijanju u ukupnom iznosu tražene potpore 87.173.776,00 HRK . </w:t>
      </w:r>
    </w:p>
    <w:p w:rsidR="005C2091" w:rsidRDefault="00A86293">
      <w:r>
        <w:t>•</w:t>
      </w:r>
      <w:r>
        <w:tab/>
        <w:t xml:space="preserve">Izdane su sve Odluke o privremenoj raspodjeli sredstva odnosno (ukupno 80), a raspoloživa alokacija dostatna je za 8 zahtjeva.  </w:t>
      </w:r>
    </w:p>
    <w:p w:rsidR="005C2091" w:rsidRDefault="00A86293">
      <w:r>
        <w:t>•</w:t>
      </w:r>
      <w:r>
        <w:tab/>
        <w:t xml:space="preserve">Odustalo je ukupno 8 korisnika, 5 tijekom obrade, a 3 nakon izdavanja odluka o privremenoj raspodjeli sredstava. </w:t>
      </w:r>
    </w:p>
    <w:p w:rsidR="005C2091" w:rsidRDefault="00A86293">
      <w:r>
        <w:t>•</w:t>
      </w:r>
      <w:r>
        <w:tab/>
        <w:t xml:space="preserve">Prigovori korisnika su u tijeku. </w:t>
      </w:r>
    </w:p>
    <w:p w:rsidR="005C2091" w:rsidRDefault="00A86293">
      <w:r>
        <w:t>-</w:t>
      </w:r>
      <w:r>
        <w:tab/>
        <w:t xml:space="preserve">Operacija 4.1.2. </w:t>
      </w:r>
    </w:p>
    <w:p w:rsidR="005C2091" w:rsidRDefault="00A86293">
      <w:r>
        <w:t xml:space="preserve">               Treći natječaj  </w:t>
      </w:r>
    </w:p>
    <w:p w:rsidR="005C2091" w:rsidRDefault="00A86293">
      <w:r>
        <w:t>•</w:t>
      </w:r>
      <w:r>
        <w:tab/>
        <w:t xml:space="preserve">raspisan je od 27. studenoga 2015. do 27. siječnja 2016.  </w:t>
      </w:r>
    </w:p>
    <w:p w:rsidR="005C2091" w:rsidRDefault="00A86293">
      <w:r>
        <w:t>•</w:t>
      </w:r>
      <w:r>
        <w:tab/>
        <w:t xml:space="preserve">221 Zahtjev za potporu u ukupnom iznosu tražene potpore 337.779.851,67 HRK.  </w:t>
      </w:r>
    </w:p>
    <w:p w:rsidR="005C2091" w:rsidRDefault="00A86293">
      <w:r>
        <w:t>•</w:t>
      </w:r>
      <w:r>
        <w:tab/>
        <w:t xml:space="preserve">26 odluka o odbijanju u ukupnom iznosu tražene potpore 34.858.492,01 HRK.  </w:t>
      </w:r>
    </w:p>
    <w:p w:rsidR="005C2091" w:rsidRDefault="00A86293">
      <w:r>
        <w:t>•</w:t>
      </w:r>
      <w:r>
        <w:tab/>
        <w:t xml:space="preserve">Odustalo je 6 korisnika. </w:t>
      </w:r>
    </w:p>
    <w:p w:rsidR="005C2091" w:rsidRDefault="00A86293">
      <w:r>
        <w:t>•</w:t>
      </w:r>
      <w:r>
        <w:tab/>
        <w:t xml:space="preserve">Izdavanje Odluka o privremenoj raspodjeli sredstava planira se do kraja ožujka 2017. Trenutno je na privremenoj Rang listi 74 zahtjeva za potporu unutar alokacije sredstava. </w:t>
      </w:r>
    </w:p>
    <w:p w:rsidR="005C2091" w:rsidRDefault="00A86293">
      <w:r>
        <w:t>•</w:t>
      </w:r>
      <w:r>
        <w:tab/>
        <w:t xml:space="preserve">Administrativna obrada je u tijeku. </w:t>
      </w:r>
    </w:p>
    <w:p w:rsidR="005C2091" w:rsidRDefault="00A86293">
      <w:r>
        <w:t>-</w:t>
      </w:r>
      <w:r>
        <w:tab/>
        <w:t xml:space="preserve">Operacija 4.1.3. </w:t>
      </w:r>
    </w:p>
    <w:p w:rsidR="005C2091" w:rsidRDefault="00A86293">
      <w:r>
        <w:t xml:space="preserve">Prvi natječaj  </w:t>
      </w:r>
    </w:p>
    <w:p w:rsidR="005C2091" w:rsidRDefault="00A86293">
      <w:r>
        <w:t>•</w:t>
      </w:r>
      <w:r>
        <w:tab/>
        <w:t xml:space="preserve">raspisan od 6. lipnja 2016. do 6. listopada 2016. </w:t>
      </w:r>
    </w:p>
    <w:p w:rsidR="005C2091" w:rsidRDefault="00A86293">
      <w:r>
        <w:t>•</w:t>
      </w:r>
      <w:r>
        <w:tab/>
        <w:t xml:space="preserve">Zaprimljeno je 39 Zahtjeva s ukupnim iznosom potpore od 16.889.858,65 HRK. </w:t>
      </w:r>
    </w:p>
    <w:p w:rsidR="005C2091" w:rsidRDefault="00A86293">
      <w:r>
        <w:t>•</w:t>
      </w:r>
      <w:r>
        <w:tab/>
        <w:t xml:space="preserve">Administrativna obrada zahtjeva još nije započela.  </w:t>
      </w:r>
    </w:p>
    <w:p w:rsidR="005C2091" w:rsidRDefault="00A86293">
      <w:r>
        <w:t xml:space="preserve">Mjera 4 – podmjera 4.3. »Potpora za ulaganja u infrastrukturu javnog navodnjavanjatva«  </w:t>
      </w:r>
    </w:p>
    <w:p w:rsidR="005C2091" w:rsidRDefault="00A86293">
      <w:r>
        <w:t>-</w:t>
      </w:r>
      <w:r>
        <w:tab/>
        <w:t xml:space="preserve">Operacija 4.3.1. </w:t>
      </w:r>
    </w:p>
    <w:p w:rsidR="005C2091" w:rsidRDefault="00A86293">
      <w:r>
        <w:t xml:space="preserve">Prvi natječaj  </w:t>
      </w:r>
    </w:p>
    <w:p w:rsidR="005C2091" w:rsidRDefault="00A86293">
      <w:r>
        <w:t>•</w:t>
      </w:r>
      <w:r>
        <w:tab/>
        <w:t xml:space="preserve">Raspisan je od 27. srpnja 2016. do 27. listopada 2016. </w:t>
      </w:r>
    </w:p>
    <w:p w:rsidR="005C2091" w:rsidRDefault="00A86293">
      <w:r>
        <w:t>•</w:t>
      </w:r>
      <w:r>
        <w:tab/>
        <w:t xml:space="preserve">Zaprimljeno 9 zahtjeva u ukupnom iznosu tražene potpore 360.246.535,45 HRK. </w:t>
      </w:r>
    </w:p>
    <w:p w:rsidR="005C2091" w:rsidRDefault="00A86293">
      <w:r>
        <w:t>•</w:t>
      </w:r>
      <w:r>
        <w:tab/>
        <w:t xml:space="preserve">Administrativna obrada zahtjeva za potporu je u tijeku.  </w:t>
      </w:r>
    </w:p>
    <w:p w:rsidR="005C2091" w:rsidRDefault="00A86293">
      <w:r>
        <w:t>-</w:t>
      </w:r>
      <w:r>
        <w:tab/>
        <w:t xml:space="preserve">Operacija 4.3.3. </w:t>
      </w:r>
    </w:p>
    <w:p w:rsidR="005C2091" w:rsidRDefault="00A86293">
      <w:r>
        <w:t xml:space="preserve">Prvi natječaj  </w:t>
      </w:r>
    </w:p>
    <w:p w:rsidR="005C2091" w:rsidRDefault="00A86293">
      <w:r>
        <w:t>•</w:t>
      </w:r>
      <w:r>
        <w:tab/>
        <w:t xml:space="preserve">raspisan je od 7. prosinca 2015. do 7. srpnja 2016.  </w:t>
      </w:r>
    </w:p>
    <w:p w:rsidR="005C2091" w:rsidRDefault="00A86293">
      <w:r>
        <w:t>•</w:t>
      </w:r>
      <w:r>
        <w:tab/>
        <w:t xml:space="preserve">Zaprimljeno 12 Zahtjeva za potporu u ukupnom iznosu tražene potpore 23.518.955,42 HRK.  </w:t>
      </w:r>
    </w:p>
    <w:p w:rsidR="005C2091" w:rsidRDefault="00A86293">
      <w:r>
        <w:t>•</w:t>
      </w:r>
      <w:r>
        <w:tab/>
        <w:t xml:space="preserve">Izdane su 4 Odluke o odbijanju ukupnom iznosu tražene potpore 7.007.662,95 HRK.  </w:t>
      </w:r>
    </w:p>
    <w:p w:rsidR="005C2091" w:rsidRDefault="00A86293">
      <w:r>
        <w:t>•</w:t>
      </w:r>
      <w:r>
        <w:tab/>
        <w:t xml:space="preserve">8 korisnika je u fazi provedbe javne nabave.  </w:t>
      </w:r>
    </w:p>
    <w:p w:rsidR="005C2091" w:rsidRDefault="00A86293">
      <w:r>
        <w:t>•</w:t>
      </w:r>
      <w:r>
        <w:tab/>
        <w:t xml:space="preserve">Administrativna obrada je u tijeku. </w:t>
      </w:r>
    </w:p>
    <w:p w:rsidR="005C2091" w:rsidRDefault="00A86293">
      <w:r>
        <w:t xml:space="preserve">Mjera 5 – podmjera 5.2. »Potpora za ulaganja u obnovu poljoprivrednog zemljišta i proizvodnog potencijala narušenog elementarnim nepogodama, nepovoljnim klimatskim prilikama i katastrofalnim događajima«, </w:t>
      </w:r>
    </w:p>
    <w:p w:rsidR="005C2091" w:rsidRDefault="00A86293">
      <w:r>
        <w:t>-</w:t>
      </w:r>
      <w:r>
        <w:tab/>
        <w:t xml:space="preserve">Operacija 5.2.2. </w:t>
      </w:r>
    </w:p>
    <w:p w:rsidR="005C2091" w:rsidRDefault="00A86293">
      <w:r>
        <w:tab/>
        <w:t xml:space="preserve">Drugi natječaj  </w:t>
      </w:r>
    </w:p>
    <w:p w:rsidR="005C2091" w:rsidRDefault="00A86293">
      <w:r>
        <w:t>•</w:t>
      </w:r>
      <w:r>
        <w:tab/>
        <w:t xml:space="preserve">Raspisan je od 4. svibnja 2016. do 3. lipnja 2016.  </w:t>
      </w:r>
    </w:p>
    <w:p w:rsidR="005C2091" w:rsidRDefault="00A86293">
      <w:r>
        <w:t>•</w:t>
      </w:r>
      <w:r>
        <w:tab/>
        <w:t xml:space="preserve">Zaprimljeno 7 Zahtjeva s ukupnim iznosom tražene potpore 209.750.439,80 HRK.  </w:t>
      </w:r>
    </w:p>
    <w:p w:rsidR="005C2091" w:rsidRDefault="00A86293">
      <w:r>
        <w:t>•</w:t>
      </w:r>
      <w:r>
        <w:tab/>
        <w:t xml:space="preserve">Izdano je 7 odluka o dodjeli sredstava u ukupnom iznosu potpore 207.394.049,40 HRK. </w:t>
      </w:r>
    </w:p>
    <w:p w:rsidR="005C2091" w:rsidRDefault="00A86293">
      <w:r>
        <w:t>•</w:t>
      </w:r>
      <w:r>
        <w:tab/>
        <w:t xml:space="preserve">Administrativna obrada zahtjeva je završena u cijelosti. </w:t>
      </w:r>
    </w:p>
    <w:p w:rsidR="005C2091" w:rsidRDefault="00A86293">
      <w:r>
        <w:t xml:space="preserve">Mjera 7 - Podmjera 7.2. » Ulaganja u izradu, poboljšanje ili proširenje svih vrsta male infrastrukture, uključujući ulaganja u obnovljive izvore energije i uštedu energije« </w:t>
      </w:r>
    </w:p>
    <w:p w:rsidR="005C2091" w:rsidRDefault="00A86293">
      <w:r>
        <w:t>-</w:t>
      </w:r>
      <w:r>
        <w:tab/>
        <w:t xml:space="preserve">Operacija 7.2.1. </w:t>
      </w:r>
    </w:p>
    <w:p w:rsidR="005C2091" w:rsidRDefault="00A86293">
      <w:r>
        <w:t xml:space="preserve">Prvi natječaj </w:t>
      </w:r>
    </w:p>
    <w:p w:rsidR="005C2091" w:rsidRDefault="00A86293">
      <w:r>
        <w:t>•</w:t>
      </w:r>
      <w:r>
        <w:tab/>
        <w:t xml:space="preserve">raspisan od 05. runja 2016. do 05. listopada 2016.  </w:t>
      </w:r>
    </w:p>
    <w:p w:rsidR="005C2091" w:rsidRDefault="00A86293">
      <w:r>
        <w:t>•</w:t>
      </w:r>
      <w:r>
        <w:tab/>
        <w:t xml:space="preserve">Zaprimljeno ukupno 108 zahtjeva s traženim iznosom potpore od  463.654.692,28 HRK.  </w:t>
      </w:r>
    </w:p>
    <w:p w:rsidR="005C2091" w:rsidRDefault="00A86293">
      <w:r>
        <w:t>•</w:t>
      </w:r>
      <w:r>
        <w:tab/>
        <w:t xml:space="preserve">Izdano 8 Odluka o odbijanju u ukupnom iznosu tražene potpore 45.154.882,23 HRK  </w:t>
      </w:r>
    </w:p>
    <w:p w:rsidR="005C2091" w:rsidRDefault="00A86293">
      <w:r>
        <w:t>•</w:t>
      </w:r>
      <w:r>
        <w:tab/>
        <w:t xml:space="preserve">Izdane 2 potvrde o odustajanju. </w:t>
      </w:r>
    </w:p>
    <w:p w:rsidR="005C2091" w:rsidRDefault="00A86293">
      <w:r>
        <w:t>-</w:t>
      </w:r>
      <w:r>
        <w:tab/>
        <w:t xml:space="preserve">Operacija 7.2.2. </w:t>
      </w:r>
    </w:p>
    <w:p w:rsidR="005C2091" w:rsidRDefault="00A86293">
      <w:r>
        <w:t xml:space="preserve">Prvi natječaj </w:t>
      </w:r>
    </w:p>
    <w:p w:rsidR="005C2091" w:rsidRDefault="00A86293">
      <w:r>
        <w:t>•</w:t>
      </w:r>
      <w:r>
        <w:tab/>
        <w:t xml:space="preserve">Raspisan od 04. studenoga 2016. do 23. prosinca 2016.  </w:t>
      </w:r>
    </w:p>
    <w:p w:rsidR="005C2091" w:rsidRDefault="00A86293">
      <w:r>
        <w:t>•</w:t>
      </w:r>
      <w:r>
        <w:tab/>
        <w:t xml:space="preserve">zaprimljeno 262 zahtjeva s traženim iznosom potpore od  817.591.375,16 HRK.  </w:t>
      </w:r>
    </w:p>
    <w:p w:rsidR="005C2091" w:rsidRDefault="00A86293">
      <w:r>
        <w:t>•</w:t>
      </w:r>
      <w:r>
        <w:tab/>
        <w:t xml:space="preserve">Administrativna obrada zahtjeva još nije započela. </w:t>
      </w:r>
    </w:p>
    <w:p w:rsidR="005C2091" w:rsidRDefault="00A86293">
      <w:r>
        <w:t xml:space="preserve">Mjera 8 - Podmjera 8.5. »Potpora za ulaganja u poboljšanje otpornosti i okolišne vrijednosti šumskih ekosustava« </w:t>
      </w:r>
    </w:p>
    <w:p w:rsidR="005C2091" w:rsidRDefault="00A86293">
      <w:r>
        <w:t>-</w:t>
      </w:r>
      <w:r>
        <w:tab/>
        <w:t xml:space="preserve">Operacija 8.5.1. </w:t>
      </w:r>
    </w:p>
    <w:p w:rsidR="005C2091" w:rsidRDefault="00A86293">
      <w:r>
        <w:t xml:space="preserve">Prvi natječaj </w:t>
      </w:r>
    </w:p>
    <w:p w:rsidR="005C2091" w:rsidRDefault="00A86293">
      <w:r>
        <w:t>•</w:t>
      </w:r>
      <w:r>
        <w:tab/>
        <w:t xml:space="preserve">raspisan od 8. lipnja 2016. do 10. listopada 2016./produljenje do 10. studenog 2016.  </w:t>
      </w:r>
    </w:p>
    <w:p w:rsidR="005C2091" w:rsidRDefault="00A86293">
      <w:r>
        <w:t>•</w:t>
      </w:r>
      <w:r>
        <w:tab/>
        <w:t xml:space="preserve">Zaprimljeno je 42 zahtjeva za potporu s iznosom potpore od 19.434.357,30 HRK.  </w:t>
      </w:r>
    </w:p>
    <w:p w:rsidR="005C2091" w:rsidRDefault="00A86293">
      <w:r>
        <w:t>•</w:t>
      </w:r>
      <w:r>
        <w:tab/>
        <w:t xml:space="preserve">Administrativna obrada zahtjeva je u tijeku. </w:t>
      </w:r>
    </w:p>
    <w:p w:rsidR="005C2091" w:rsidRDefault="00A86293">
      <w:r>
        <w:t>-</w:t>
      </w:r>
      <w:r>
        <w:tab/>
        <w:t xml:space="preserve">Operacija 8.5.2. </w:t>
      </w:r>
    </w:p>
    <w:p w:rsidR="005C2091" w:rsidRDefault="00A86293">
      <w:r>
        <w:t>•</w:t>
      </w:r>
      <w:r>
        <w:tab/>
        <w:t xml:space="preserve">Raspisan od 15. lipnja 2016. do 17. listopada 2016. </w:t>
      </w:r>
    </w:p>
    <w:p w:rsidR="005C2091" w:rsidRDefault="00A86293">
      <w:r>
        <w:t>•</w:t>
      </w:r>
      <w:r>
        <w:tab/>
        <w:t xml:space="preserve">Zaprimljeno 25 zahtjeva za potporu s traženom potporom od 11.568.888,96 HRK.  </w:t>
      </w:r>
    </w:p>
    <w:p w:rsidR="005C2091" w:rsidRDefault="00A86293">
      <w:r>
        <w:t>•</w:t>
      </w:r>
      <w:r>
        <w:tab/>
        <w:t xml:space="preserve">Administrativna obrada zahtjeva nije započela. </w:t>
      </w:r>
    </w:p>
    <w:p w:rsidR="005C2091" w:rsidRDefault="00A86293">
      <w:r>
        <w:t>-</w:t>
      </w:r>
      <w:r>
        <w:tab/>
        <w:t xml:space="preserve">Podmjera 8.6. »Potpora za ulaganja u šumarske tehnologije te u preradu, mobilizaciju i marketing šumskih proizvoda« </w:t>
      </w:r>
    </w:p>
    <w:p w:rsidR="005C2091" w:rsidRDefault="00A86293">
      <w:r>
        <w:t>-</w:t>
      </w:r>
      <w:r>
        <w:tab/>
        <w:t xml:space="preserve">Operacija 8.6.1. </w:t>
      </w:r>
    </w:p>
    <w:p w:rsidR="005C2091" w:rsidRDefault="00A86293">
      <w:r>
        <w:t xml:space="preserve">Prvi natječaj </w:t>
      </w:r>
    </w:p>
    <w:p w:rsidR="005C2091" w:rsidRDefault="00A86293">
      <w:r>
        <w:t>•</w:t>
      </w:r>
      <w:r>
        <w:tab/>
        <w:t xml:space="preserve">raspisan je 15. lipnja 2016. (Zahtjevi zaprimani od 15. srpnja do 15. studenoga 2016.) </w:t>
      </w:r>
    </w:p>
    <w:p w:rsidR="005C2091" w:rsidRDefault="00A86293">
      <w:r>
        <w:t>•</w:t>
      </w:r>
      <w:r>
        <w:tab/>
        <w:t xml:space="preserve">Zaprimljena 42 Zahtjeva, s traženom potporom od 53.418.682,73 HRK. </w:t>
      </w:r>
    </w:p>
    <w:p w:rsidR="005C2091" w:rsidRDefault="00A86293">
      <w:r>
        <w:t>•</w:t>
      </w:r>
      <w:r>
        <w:tab/>
        <w:t xml:space="preserve">Administrativna obrada zahtjeva nije započela. </w:t>
      </w:r>
    </w:p>
    <w:p w:rsidR="005C2091" w:rsidRDefault="00A86293">
      <w:r>
        <w:t>-</w:t>
      </w:r>
      <w:r>
        <w:tab/>
        <w:t xml:space="preserve">Operacija 8.6.1. </w:t>
      </w:r>
    </w:p>
    <w:p w:rsidR="005C2091" w:rsidRDefault="00A86293">
      <w:r>
        <w:t xml:space="preserve">Prvi natječaj </w:t>
      </w:r>
    </w:p>
    <w:p w:rsidR="005C2091" w:rsidRDefault="00A86293">
      <w:r>
        <w:t>•</w:t>
      </w:r>
      <w:r>
        <w:tab/>
        <w:t xml:space="preserve">raspisan je 15. lipnja 2016. (Zahtjevi zaprimani od 15. srpnja do 15. studenoga 2016.) </w:t>
      </w:r>
    </w:p>
    <w:p w:rsidR="005C2091" w:rsidRDefault="00A86293">
      <w:r>
        <w:t>•</w:t>
      </w:r>
      <w:r>
        <w:tab/>
        <w:t xml:space="preserve">Zaprimljena 42 Zahtjeva, s traženom potporom od 53.418.682,73 HRK. </w:t>
      </w:r>
    </w:p>
    <w:p w:rsidR="005C2091" w:rsidRDefault="00A86293">
      <w:r>
        <w:t>•</w:t>
      </w:r>
      <w:r>
        <w:tab/>
        <w:t xml:space="preserve">Administrativna obrada zahtjeva nije započela. </w:t>
      </w:r>
    </w:p>
    <w:p w:rsidR="005C2091" w:rsidRDefault="00A86293">
      <w:r>
        <w:t xml:space="preserve"> </w:t>
      </w:r>
    </w:p>
    <w:p w:rsidR="005C2091" w:rsidRDefault="00A86293">
      <w:r>
        <w:t>-</w:t>
      </w:r>
      <w:r>
        <w:tab/>
        <w:t xml:space="preserve">Operacija 8.6.2. </w:t>
      </w:r>
    </w:p>
    <w:p w:rsidR="005C2091" w:rsidRDefault="00A86293">
      <w:r>
        <w:t xml:space="preserve">Prvi natječaj </w:t>
      </w:r>
    </w:p>
    <w:p w:rsidR="005C2091" w:rsidRDefault="00A86293">
      <w:r>
        <w:t>•</w:t>
      </w:r>
      <w:r>
        <w:tab/>
        <w:t xml:space="preserve">Zaprimanje zahtjeva od 15. srpnja 2016. do 15. studenoga 2016. </w:t>
      </w:r>
    </w:p>
    <w:p w:rsidR="005C2091" w:rsidRDefault="00A86293">
      <w:r>
        <w:t>•</w:t>
      </w:r>
      <w:r>
        <w:tab/>
        <w:t xml:space="preserve">45 Zahtjeva za potporu, s traženim iznosom od 81.085.268,50 HRK. </w:t>
      </w:r>
    </w:p>
    <w:p w:rsidR="005C2091" w:rsidRDefault="00A86293">
      <w:r>
        <w:t>•</w:t>
      </w:r>
      <w:r>
        <w:tab/>
        <w:t xml:space="preserve">Administrativna obrada zahtjeva nije započela. </w:t>
      </w:r>
    </w:p>
    <w:p w:rsidR="005C2091" w:rsidRDefault="00A86293">
      <w:r>
        <w:t>-</w:t>
      </w:r>
      <w:r>
        <w:tab/>
        <w:t xml:space="preserve">Operacija 8.6.3. </w:t>
      </w:r>
    </w:p>
    <w:p w:rsidR="005C2091" w:rsidRDefault="00A86293">
      <w:r>
        <w:t xml:space="preserve">Prvi natječaj </w:t>
      </w:r>
    </w:p>
    <w:p w:rsidR="005C2091" w:rsidRDefault="00A86293">
      <w:r>
        <w:t>•</w:t>
      </w:r>
      <w:r>
        <w:tab/>
        <w:t xml:space="preserve">Zaprimanje zahtjeva od 22. srpnja do 22. studenoga 2016. </w:t>
      </w:r>
    </w:p>
    <w:p w:rsidR="005C2091" w:rsidRDefault="00A86293">
      <w:r>
        <w:t>•</w:t>
      </w:r>
      <w:r>
        <w:tab/>
        <w:t xml:space="preserve">Zaprimljena 2 Zahtjeva za potporu s traženim iznosom od 286.459,00 HRK. </w:t>
      </w:r>
    </w:p>
    <w:p w:rsidR="005C2091" w:rsidRDefault="00A86293">
      <w:r>
        <w:t>•</w:t>
      </w:r>
      <w:r>
        <w:tab/>
        <w:t xml:space="preserve">Administrativna obrada zahtjeva nije započela. </w:t>
      </w:r>
    </w:p>
    <w:p w:rsidR="005C2091" w:rsidRDefault="00A86293">
      <w:r>
        <w:t xml:space="preserve">Mjera 19 - Podmjera 19.2. »Provedba operacija unutar CLLD strategije« </w:t>
      </w:r>
    </w:p>
    <w:p w:rsidR="005C2091" w:rsidRDefault="00A86293">
      <w:r>
        <w:t>-</w:t>
      </w:r>
      <w:r>
        <w:tab/>
        <w:t xml:space="preserve">Operacija 19.2.1. </w:t>
      </w:r>
    </w:p>
    <w:p w:rsidR="005C2091" w:rsidRDefault="00A86293">
      <w:r>
        <w:t xml:space="preserve">Prvi natječaj </w:t>
      </w:r>
    </w:p>
    <w:p w:rsidR="005C2091" w:rsidRDefault="00A86293">
      <w:r>
        <w:t>•</w:t>
      </w:r>
      <w:r>
        <w:tab/>
        <w:t xml:space="preserve">raspisan od 03.06.2016. do 01.07.2016. godine.  </w:t>
      </w:r>
    </w:p>
    <w:p w:rsidR="005C2091" w:rsidRDefault="00A86293">
      <w:r>
        <w:t>•</w:t>
      </w:r>
      <w:r>
        <w:tab/>
        <w:t xml:space="preserve">Zaprimljeno ukupno 55 Zahtjeva za potporu. </w:t>
      </w:r>
    </w:p>
    <w:p w:rsidR="005C2091" w:rsidRDefault="00A86293">
      <w:r>
        <w:t>•</w:t>
      </w:r>
      <w:r>
        <w:tab/>
        <w:t xml:space="preserve">54 Odluke o odabiru LAG-a. </w:t>
      </w:r>
    </w:p>
    <w:p w:rsidR="005C2091" w:rsidRDefault="00A86293">
      <w:r>
        <w:t>•</w:t>
      </w:r>
      <w:r>
        <w:tab/>
        <w:t xml:space="preserve">1 Odluka o odbijanju LAG-a. </w:t>
      </w:r>
    </w:p>
    <w:p w:rsidR="005C2091" w:rsidRDefault="00A86293">
      <w:r>
        <w:t xml:space="preserve"> </w:t>
      </w:r>
    </w:p>
    <w:p w:rsidR="005C2091" w:rsidRDefault="00A86293">
      <w:r>
        <w:t>U 2016. IPARD provedba IPARD Programa se je u potpunosti završavila.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zaposlenih</w:t>
            </w:r>
          </w:p>
        </w:tc>
        <w:tc>
          <w:tcPr>
            <w:tcW w:w="2551" w:type="dxa"/>
          </w:tcPr>
          <w:p w:rsidR="005C2091" w:rsidRDefault="00A86293">
            <w:pPr>
              <w:pStyle w:val="CellColumn"/>
              <w:jc w:val="left"/>
            </w:pPr>
            <w:r>
              <w:rPr>
                <w:rFonts w:cs="Times New Roman"/>
              </w:rPr>
              <w:t>Sistematizacijom i definiranjem opisa poslova isključivo za Program ruralnog razvoja, povećati broj zaposlenih</w:t>
            </w:r>
          </w:p>
        </w:tc>
        <w:tc>
          <w:tcPr>
            <w:tcW w:w="1020" w:type="dxa"/>
          </w:tcPr>
          <w:p w:rsidR="005C2091" w:rsidRDefault="00A86293">
            <w:pPr>
              <w:pStyle w:val="CellColumn"/>
              <w:jc w:val="right"/>
            </w:pPr>
            <w:r>
              <w:rPr>
                <w:rFonts w:cs="Times New Roman"/>
              </w:rPr>
              <w:t>broj</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APPRRR</w:t>
            </w:r>
          </w:p>
        </w:tc>
        <w:tc>
          <w:tcPr>
            <w:tcW w:w="1020" w:type="dxa"/>
          </w:tcPr>
          <w:p w:rsidR="005C2091" w:rsidRDefault="00A86293">
            <w:pPr>
              <w:pStyle w:val="CellColumn"/>
              <w:jc w:val="right"/>
            </w:pPr>
            <w:r>
              <w:rPr>
                <w:rFonts w:cs="Times New Roman"/>
              </w:rPr>
              <w:t>68</w:t>
            </w:r>
          </w:p>
        </w:tc>
        <w:tc>
          <w:tcPr>
            <w:tcW w:w="1020" w:type="dxa"/>
          </w:tcPr>
          <w:p w:rsidR="005C2091" w:rsidRDefault="00A86293">
            <w:pPr>
              <w:pStyle w:val="CellColumn"/>
              <w:jc w:val="right"/>
            </w:pPr>
            <w:r>
              <w:rPr>
                <w:rFonts w:cs="Times New Roman"/>
              </w:rPr>
              <w:t>68</w:t>
            </w:r>
          </w:p>
        </w:tc>
      </w:tr>
    </w:tbl>
    <w:p w:rsidR="005C2091" w:rsidRDefault="005C2091">
      <w:pPr>
        <w:jc w:val="left"/>
      </w:pPr>
    </w:p>
    <w:p w:rsidR="005C2091" w:rsidRDefault="00A86293">
      <w:pPr>
        <w:pStyle w:val="Heading2"/>
      </w:pPr>
      <w:r>
        <w:t>06035 Hrvatski centar za poljoprivredu, hranu i selo</w:t>
      </w:r>
    </w:p>
    <w:p w:rsidR="005C2091" w:rsidRDefault="00A86293">
      <w:r>
        <w:t xml:space="preserve">Hrvatski centar za poljoprivredu, hranu i selo javna je ustanova koja obavlja istraživanja, analize, te izrađuje stručne i znanstvene podloge za potrebe planiranja, provođenja i kontrole mjera poljoprivredne i ruralne politike, povećanja konkurentnosti domaće poljoprivrede i agrobiznisa. S obzirom na više vrsta djelatnosti kojima se Centar bavi poslovanje se financira iz različitih izvora, te su i izvršenja plana po izvorima različita. Ukupno izvršenje plana za Centar iznosi 96% što je zadovoljavajuće. Izvršenje plana po izvorima: </w:t>
      </w:r>
    </w:p>
    <w:p w:rsidR="005C2091" w:rsidRDefault="00A86293">
      <w:r>
        <w:t xml:space="preserve">- 11 iz kojeg Centar financira 90% rashoda za zaposlene (plaće i prijevoz na posao i  s posla) ostvareno je s 99,61%, </w:t>
      </w:r>
    </w:p>
    <w:p w:rsidR="005C2091" w:rsidRDefault="00A86293">
      <w:r>
        <w:t xml:space="preserve">- 12 iz kojeg se financira 25% EU projekta "Otkrivanje i dijagnosticiranje štetnih organizama" s 94,43%, </w:t>
      </w:r>
    </w:p>
    <w:p w:rsidR="005C2091" w:rsidRDefault="00A86293">
      <w:r>
        <w:t xml:space="preserve">- 43-namjenski prihodi iz kojih se pokrivaju svi troškovi za obavljanje osnovne djelatnosti ostvareno je s 97,5%, </w:t>
      </w:r>
    </w:p>
    <w:p w:rsidR="005C2091" w:rsidRDefault="00A86293">
      <w:r>
        <w:t xml:space="preserve">- 559 koji predstavlja sredstva za refundaciju od EU za "Otkrivanje i dijagnosticiranje štetnih organizama" ostvareno je s 88,06%. </w:t>
      </w:r>
    </w:p>
    <w:p w:rsidR="005C2091" w:rsidRDefault="00A86293">
      <w:r>
        <w:t xml:space="preserve">Veća odstupanja od izvršenja plana bilježi izvor 31-vlastiti prihodi koji se ostvaruju prodajom viška poljoprivrednih proizvoda iz vlastitih pokusa. Izvršenje plana izvora 31 je 83,9%, a najveće odstupanje bilježe planirani rashodi za zaposlene (plaće i ostali rashodi) koji su ostvareni s 59,46% iz razloga što se natječaj za zapošljavanje djelatnika zbog odlaska na rodiljne dopuste nije realizirao u 2016. godini, već je realizacija ostvarena u 2017. godini.  </w:t>
      </w:r>
    </w:p>
    <w:p w:rsidR="005C2091" w:rsidRDefault="00A86293">
      <w:r>
        <w:t>Veća odstupanje od izvršenja plana također bilježi i izvor 52, a radi se o planiranoj donaciji repromaterijala za sredozemnu voćnu muhu koja nije ostvarena u 2016. godini, već je ista prenesena u 2017. godinu.</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06035-Hrvatski centar za poljoprivredu, hranu i selo</w:t>
            </w:r>
          </w:p>
        </w:tc>
        <w:tc>
          <w:tcPr>
            <w:tcW w:w="2041" w:type="dxa"/>
            <w:vAlign w:val="top"/>
          </w:tcPr>
          <w:p w:rsidR="005C2091" w:rsidRDefault="00A86293">
            <w:pPr>
              <w:pStyle w:val="CellColumn"/>
              <w:jc w:val="right"/>
            </w:pPr>
            <w:r>
              <w:rPr>
                <w:rFonts w:cs="Times New Roman"/>
              </w:rPr>
              <w:t>32.311.508</w:t>
            </w:r>
          </w:p>
        </w:tc>
        <w:tc>
          <w:tcPr>
            <w:tcW w:w="2041" w:type="dxa"/>
            <w:vAlign w:val="top"/>
          </w:tcPr>
          <w:p w:rsidR="005C2091" w:rsidRDefault="00A86293">
            <w:pPr>
              <w:pStyle w:val="CellColumn"/>
              <w:jc w:val="right"/>
            </w:pPr>
            <w:r>
              <w:rPr>
                <w:rFonts w:cs="Times New Roman"/>
              </w:rPr>
              <w:t>34.104.067</w:t>
            </w:r>
          </w:p>
        </w:tc>
        <w:tc>
          <w:tcPr>
            <w:tcW w:w="2041" w:type="dxa"/>
            <w:vAlign w:val="top"/>
          </w:tcPr>
          <w:p w:rsidR="005C2091" w:rsidRDefault="00A86293">
            <w:pPr>
              <w:pStyle w:val="CellColumn"/>
              <w:jc w:val="right"/>
            </w:pPr>
            <w:r>
              <w:rPr>
                <w:rFonts w:cs="Times New Roman"/>
              </w:rPr>
              <w:t>32.750.112</w:t>
            </w:r>
          </w:p>
        </w:tc>
        <w:tc>
          <w:tcPr>
            <w:tcW w:w="1224" w:type="dxa"/>
            <w:vAlign w:val="top"/>
          </w:tcPr>
          <w:p w:rsidR="005C2091" w:rsidRDefault="00A86293">
            <w:pPr>
              <w:pStyle w:val="CellColumn"/>
              <w:jc w:val="right"/>
            </w:pPr>
            <w:r>
              <w:rPr>
                <w:rFonts w:cs="Times New Roman"/>
              </w:rPr>
              <w:t>96,0</w:t>
            </w:r>
          </w:p>
        </w:tc>
        <w:tc>
          <w:tcPr>
            <w:tcW w:w="1224" w:type="dxa"/>
            <w:vAlign w:val="top"/>
          </w:tcPr>
          <w:p w:rsidR="005C2091" w:rsidRDefault="00A86293">
            <w:pPr>
              <w:pStyle w:val="CellColumn"/>
              <w:jc w:val="right"/>
            </w:pPr>
            <w:r>
              <w:rPr>
                <w:rFonts w:cs="Times New Roman"/>
              </w:rPr>
              <w:t>101,4</w:t>
            </w:r>
          </w:p>
        </w:tc>
      </w:tr>
      <w:tr w:rsidR="005C2091">
        <w:trPr>
          <w:jc w:val="center"/>
        </w:trPr>
        <w:tc>
          <w:tcPr>
            <w:tcW w:w="1632" w:type="dxa"/>
          </w:tcPr>
          <w:p w:rsidR="005C2091" w:rsidRDefault="00A86293">
            <w:pPr>
              <w:jc w:val="left"/>
            </w:pPr>
            <w:r>
              <w:t>3001-UPRAVLJANJE POLJOPRIVREDOM, RIBARSTVOM I RURALNIM RAZVOJEM</w:t>
            </w:r>
          </w:p>
        </w:tc>
        <w:tc>
          <w:tcPr>
            <w:tcW w:w="2041" w:type="dxa"/>
          </w:tcPr>
          <w:p w:rsidR="005C2091" w:rsidRDefault="00A86293">
            <w:pPr>
              <w:jc w:val="right"/>
            </w:pPr>
            <w:r>
              <w:t>27.764.163</w:t>
            </w:r>
          </w:p>
        </w:tc>
        <w:tc>
          <w:tcPr>
            <w:tcW w:w="2041" w:type="dxa"/>
          </w:tcPr>
          <w:p w:rsidR="005C2091" w:rsidRDefault="00A86293">
            <w:pPr>
              <w:jc w:val="right"/>
            </w:pPr>
            <w:r>
              <w:t>29.613.941</w:t>
            </w:r>
          </w:p>
        </w:tc>
        <w:tc>
          <w:tcPr>
            <w:tcW w:w="2041" w:type="dxa"/>
          </w:tcPr>
          <w:p w:rsidR="005C2091" w:rsidRDefault="00A86293">
            <w:pPr>
              <w:jc w:val="right"/>
            </w:pPr>
            <w:r>
              <w:t>28.816.304</w:t>
            </w:r>
          </w:p>
        </w:tc>
        <w:tc>
          <w:tcPr>
            <w:tcW w:w="1224" w:type="dxa"/>
          </w:tcPr>
          <w:p w:rsidR="005C2091" w:rsidRDefault="00A86293">
            <w:pPr>
              <w:jc w:val="right"/>
            </w:pPr>
            <w:r>
              <w:t>97,3</w:t>
            </w:r>
          </w:p>
        </w:tc>
        <w:tc>
          <w:tcPr>
            <w:tcW w:w="1224" w:type="dxa"/>
          </w:tcPr>
          <w:p w:rsidR="005C2091" w:rsidRDefault="00A86293">
            <w:pPr>
              <w:jc w:val="right"/>
            </w:pPr>
            <w:r>
              <w:t>103,8</w:t>
            </w:r>
          </w:p>
        </w:tc>
      </w:tr>
      <w:tr w:rsidR="005C2091">
        <w:trPr>
          <w:jc w:val="center"/>
        </w:trPr>
        <w:tc>
          <w:tcPr>
            <w:tcW w:w="1632" w:type="dxa"/>
          </w:tcPr>
          <w:p w:rsidR="005C2091" w:rsidRDefault="00A86293">
            <w:pPr>
              <w:jc w:val="left"/>
            </w:pPr>
            <w:r>
              <w:t>3002-POLJOPRIVREDA</w:t>
            </w:r>
          </w:p>
        </w:tc>
        <w:tc>
          <w:tcPr>
            <w:tcW w:w="2041" w:type="dxa"/>
          </w:tcPr>
          <w:p w:rsidR="005C2091" w:rsidRDefault="00A86293">
            <w:pPr>
              <w:jc w:val="right"/>
            </w:pPr>
            <w:r>
              <w:t>1.853.273</w:t>
            </w:r>
          </w:p>
        </w:tc>
        <w:tc>
          <w:tcPr>
            <w:tcW w:w="2041" w:type="dxa"/>
          </w:tcPr>
          <w:p w:rsidR="005C2091" w:rsidRDefault="00A86293">
            <w:pPr>
              <w:jc w:val="right"/>
            </w:pPr>
            <w:r>
              <w:t>2.175.200</w:t>
            </w:r>
          </w:p>
        </w:tc>
        <w:tc>
          <w:tcPr>
            <w:tcW w:w="2041" w:type="dxa"/>
          </w:tcPr>
          <w:p w:rsidR="005C2091" w:rsidRDefault="00A86293">
            <w:pPr>
              <w:jc w:val="right"/>
            </w:pPr>
            <w:r>
              <w:t>1.860.737</w:t>
            </w:r>
          </w:p>
        </w:tc>
        <w:tc>
          <w:tcPr>
            <w:tcW w:w="1224" w:type="dxa"/>
          </w:tcPr>
          <w:p w:rsidR="005C2091" w:rsidRDefault="00A86293">
            <w:pPr>
              <w:jc w:val="right"/>
            </w:pPr>
            <w:r>
              <w:t>85,5</w:t>
            </w:r>
          </w:p>
        </w:tc>
        <w:tc>
          <w:tcPr>
            <w:tcW w:w="1224" w:type="dxa"/>
          </w:tcPr>
          <w:p w:rsidR="005C2091" w:rsidRDefault="00A86293">
            <w:pPr>
              <w:jc w:val="right"/>
            </w:pPr>
            <w:r>
              <w:t>100,4</w:t>
            </w:r>
          </w:p>
        </w:tc>
      </w:tr>
      <w:tr w:rsidR="005C2091">
        <w:trPr>
          <w:jc w:val="center"/>
        </w:trPr>
        <w:tc>
          <w:tcPr>
            <w:tcW w:w="1632" w:type="dxa"/>
          </w:tcPr>
          <w:p w:rsidR="005C2091" w:rsidRDefault="00A86293">
            <w:pPr>
              <w:jc w:val="left"/>
            </w:pPr>
            <w:r>
              <w:t>3003-VETERINARSTVO I SIGURNOST HRANE</w:t>
            </w:r>
          </w:p>
        </w:tc>
        <w:tc>
          <w:tcPr>
            <w:tcW w:w="2041" w:type="dxa"/>
          </w:tcPr>
          <w:p w:rsidR="005C2091" w:rsidRDefault="00A86293">
            <w:pPr>
              <w:jc w:val="right"/>
            </w:pPr>
            <w:r>
              <w:t>2.694.072</w:t>
            </w:r>
          </w:p>
        </w:tc>
        <w:tc>
          <w:tcPr>
            <w:tcW w:w="2041" w:type="dxa"/>
          </w:tcPr>
          <w:p w:rsidR="005C2091" w:rsidRDefault="00A86293">
            <w:pPr>
              <w:jc w:val="right"/>
            </w:pPr>
            <w:r>
              <w:t>2.314.926</w:t>
            </w:r>
          </w:p>
        </w:tc>
        <w:tc>
          <w:tcPr>
            <w:tcW w:w="2041" w:type="dxa"/>
          </w:tcPr>
          <w:p w:rsidR="005C2091" w:rsidRDefault="00A86293">
            <w:pPr>
              <w:jc w:val="right"/>
            </w:pPr>
            <w:r>
              <w:t>2.073.071</w:t>
            </w:r>
          </w:p>
        </w:tc>
        <w:tc>
          <w:tcPr>
            <w:tcW w:w="1224" w:type="dxa"/>
          </w:tcPr>
          <w:p w:rsidR="005C2091" w:rsidRDefault="00A86293">
            <w:pPr>
              <w:jc w:val="right"/>
            </w:pPr>
            <w:r>
              <w:t>89,6</w:t>
            </w:r>
          </w:p>
        </w:tc>
        <w:tc>
          <w:tcPr>
            <w:tcW w:w="1224" w:type="dxa"/>
          </w:tcPr>
          <w:p w:rsidR="005C2091" w:rsidRDefault="00A86293">
            <w:pPr>
              <w:jc w:val="right"/>
            </w:pPr>
            <w:r>
              <w:t>76,9</w:t>
            </w:r>
          </w:p>
        </w:tc>
      </w:tr>
    </w:tbl>
    <w:p w:rsidR="005C2091" w:rsidRDefault="005C2091">
      <w:pPr>
        <w:jc w:val="left"/>
      </w:pPr>
    </w:p>
    <w:p w:rsidR="005C2091" w:rsidRDefault="00A86293">
      <w:pPr>
        <w:pStyle w:val="Heading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3001-UPRAVLJANJE POLJOPRIVREDOM, RIBARSTVOM I RURALNIM RAZVOJEM</w:t>
            </w:r>
          </w:p>
        </w:tc>
        <w:tc>
          <w:tcPr>
            <w:tcW w:w="2041" w:type="dxa"/>
          </w:tcPr>
          <w:p w:rsidR="005C2091" w:rsidRDefault="00A86293">
            <w:pPr>
              <w:pStyle w:val="CellColumn"/>
              <w:jc w:val="right"/>
            </w:pPr>
            <w:r>
              <w:rPr>
                <w:rFonts w:cs="Times New Roman"/>
              </w:rPr>
              <w:t>27.764.163</w:t>
            </w:r>
          </w:p>
        </w:tc>
        <w:tc>
          <w:tcPr>
            <w:tcW w:w="2041" w:type="dxa"/>
          </w:tcPr>
          <w:p w:rsidR="005C2091" w:rsidRDefault="00A86293">
            <w:pPr>
              <w:pStyle w:val="CellColumn"/>
              <w:jc w:val="right"/>
            </w:pPr>
            <w:r>
              <w:rPr>
                <w:rFonts w:cs="Times New Roman"/>
              </w:rPr>
              <w:t>29.613.941</w:t>
            </w:r>
          </w:p>
        </w:tc>
        <w:tc>
          <w:tcPr>
            <w:tcW w:w="2041" w:type="dxa"/>
          </w:tcPr>
          <w:p w:rsidR="005C2091" w:rsidRDefault="00A86293">
            <w:pPr>
              <w:pStyle w:val="CellColumn"/>
              <w:jc w:val="right"/>
            </w:pPr>
            <w:r>
              <w:rPr>
                <w:rFonts w:cs="Times New Roman"/>
              </w:rPr>
              <w:t>28.816.304</w:t>
            </w:r>
          </w:p>
        </w:tc>
        <w:tc>
          <w:tcPr>
            <w:tcW w:w="1224" w:type="dxa"/>
          </w:tcPr>
          <w:p w:rsidR="005C2091" w:rsidRDefault="00A86293">
            <w:pPr>
              <w:pStyle w:val="CellColumn"/>
              <w:jc w:val="right"/>
            </w:pPr>
            <w:r>
              <w:rPr>
                <w:rFonts w:cs="Times New Roman"/>
              </w:rPr>
              <w:t>97,3</w:t>
            </w:r>
          </w:p>
        </w:tc>
        <w:tc>
          <w:tcPr>
            <w:tcW w:w="1224" w:type="dxa"/>
          </w:tcPr>
          <w:p w:rsidR="005C2091" w:rsidRDefault="00A86293">
            <w:pPr>
              <w:pStyle w:val="CellColumn"/>
              <w:jc w:val="right"/>
            </w:pPr>
            <w:r>
              <w:rPr>
                <w:rFonts w:cs="Times New Roman"/>
              </w:rPr>
              <w:t>103,8</w:t>
            </w:r>
          </w:p>
        </w:tc>
      </w:tr>
    </w:tbl>
    <w:p w:rsidR="005C2091" w:rsidRDefault="005C2091">
      <w:pPr>
        <w:jc w:val="left"/>
      </w:pPr>
    </w:p>
    <w:p w:rsidR="005C2091" w:rsidRDefault="00A86293">
      <w:r>
        <w:t xml:space="preserve">Cilj provedbe programa je olakšati i potaknuti procese prilagodbe, rasta i razvoja poljoprivrednog sektora i cjelokupnog ruralnog prostora u odnosu na izazove globalizacije, prehrambenih ekoloških i klimatskih izazova pred poljoprivredom, razvijanje vrsnosti stručnog i istraživačkog rada, te vrsnosti servisiranja poljoprivrede i poljoprivrednika, u području nadzora, javnih ovlasti, prijenosa znanja i tehnologije iz područja poljoprivrede i srodnih znanosti u strukture uprave i gospodarstva, koji se bave poljoprivrednom politikom i proizvodnjom . </w:t>
      </w:r>
    </w:p>
    <w:p w:rsidR="005C2091" w:rsidRDefault="00A86293">
      <w:r>
        <w:t>Program Upravljanje poljoprivredom, ribarstvom i ruralnim razvojem (3001) koji financijski iznosi 86,8% plana za 2016. godinu bilježi 97,3% izvršenja. U okviru ovog programa pored plaća, prijevoza i ostalih materijalnih rashoda za zaposlene koji su se financirali iz proračunskih sredstava (izvor 11) i djelomično vlastitih sredstava (izvor 31), financirali su se i svi ostali troškovi za uredno obavljanje djelatnosti i stjecanje namjenskih i vlastitih prihoda. Tako su se u sklopu ovog programa financirali rashodi za materijal i energiju, rashodi za usluge, te ostali nespomenuti rashodi poslovanja, što sve zajedni čini materijalne rashode razreda 3 proračunskog kontnog plana. Financirali su se i rashodi za nabavu neproizvedene dugotrajne imovine, rashodi za nabavu proizvedene dugotrajne imovine i informatizacija, što sve zajedno čini rashode razreda 4 proračunskog kontnog plana</w:t>
      </w:r>
    </w:p>
    <w:p w:rsidR="005C2091" w:rsidRDefault="00A86293">
      <w:pPr>
        <w:pStyle w:val="Heading8"/>
        <w:jc w:val="left"/>
      </w:pPr>
      <w:r>
        <w:t xml:space="preserve">Cilj 1. Zaštita poljoprivrednih kultura od štetnih organizama </w:t>
      </w:r>
    </w:p>
    <w:p w:rsidR="005C2091" w:rsidRDefault="00A86293">
      <w:pPr>
        <w:pStyle w:val="Heading8"/>
        <w:jc w:val="left"/>
      </w:pPr>
      <w:r>
        <w:t>Opis provedbe cilja programa</w:t>
      </w:r>
    </w:p>
    <w:p w:rsidR="005C2091" w:rsidRDefault="00A86293">
      <w:r>
        <w:t xml:space="preserve">Sve poljoprivredne kulture napadaju različiti štetnici, uzročnici bolesti te korovi koje nazivamo štetnim organizmima. Primarni cilj biljnog zdravstva jest zaštita bilja, biljnih proizvoda i drugih nadziranih predmeta od štetnih organizama bilja, sprječavanje unošenja i širenja štetnih organizama bilja, utvrđivanje prisutnosti i određivanje vrsta štetnih organizama, omogućavanje optimalne proizvodnje i trgovine biljem, zaštita okoliša od posljedica djelovanja štetnih organizama bilja i kemijskih sredstava za zaštitu bilja koja se koriste za njihovo suzbijanje, uvođenje biološke zaštite bilja i usmjeravanje razvoja zdravstvene zaštite bilja, omogućavanje izobrazbe i podizanja svijesti stanovništva o važnosti pravilne zdravstvene zaštite bilja. Jedan od važnih uvjeta poljoprivredne proizvodnje je uspješno ostvarena zaštita kultiviranih biljaka od štetnih organizama. Zavod za zaštitu bilja HCPHS-a provodeći aktivnosti u skladu sa Zakonom o biljnom zdravstvu (NN 75/05, 25/09, 55/11), Zakonom o održivoj uporabi pesticida (NN 14/14), Zakonom o provedbi Uredbe (EZ) br. 1107/2009 o stavljanju na tržište sredstava za zaštitu bilja (NN 80/13) i Zakonom o provedbi Uredbe (EZ) br. 396/2005 o maksimalnim razinama ostataka pesticida u i na hrani i hrani za životinje biljnog i životinjskog podrijetla (NN 80/13) te njihovim pratećim propisima predstavlja vrlo značajnu sastavnicu u sustavu zaštite poljoprivrednih kultura prateći direktive EU i EPPO standarde. </w:t>
      </w:r>
    </w:p>
    <w:p w:rsidR="005C2091" w:rsidRDefault="00A86293">
      <w:r>
        <w:t>Istraživanje štetnih organizama i nadzor nad štetnim organizmima pridonijet će njihovoj učinkovitijoj kontroli (suzbijanju, ograničavanju širenja, reduciranju njihovih negativnih učinaka u poljoprivrednoj proizvodnji) te samim tim smanjenju ekonomskih šteta i gubitaka u poljoprivrednoj proizvodnji. Smanjenjem gubitaka uslijed štetnih organizama povećava se produktivnost, učinkovitost i konkurentnost poljoprivredne proizvodnje (na individualnoj i nacionalnoj razini). Učinkovit, transparentan i sustavni nadzor nad štetnim organizmima osigurava nužne preduvjete za trgovinu biljem i biljnim proizvodima na zajedničkom tržištu Unije i ostalim tržištima. Unapređenje sustava kvalitete ima za cilj podizanje razine kvalitete dijagnostičkih i ostalih aktivnosti Zavoda za zaštitu bilja, u svrhu unaprjeđivanja istraživanja i nadzora nad poljoprivrednom proizvodnjom. Podizanje razine kvalitete u istraživanju i nadzoru nad proizvodnjom osigurati će ispunjavanje strogih kriterija sigurnosti hrane proizvedene u Hrvatskoj na zahtjevnom globalnom tržištu, što je preduvjet osiguravanju konkurentnosti   suvremene poljoprivredne proizvodnje (primarne proizvodnje, poljoprivrede).</w:t>
      </w:r>
    </w:p>
    <w:p w:rsidR="005C2091" w:rsidRDefault="00A86293">
      <w:pPr>
        <w:pStyle w:val="Heading8"/>
        <w:jc w:val="left"/>
      </w:pPr>
      <w:r>
        <w:t xml:space="preserve">Cilj 2.  Unapređenje uzgoja poljoprivrednih kultura </w:t>
      </w:r>
    </w:p>
    <w:p w:rsidR="005C2091" w:rsidRDefault="00A86293">
      <w:pPr>
        <w:pStyle w:val="Heading8"/>
        <w:jc w:val="left"/>
      </w:pPr>
      <w:r>
        <w:t>Opis provedbe cilja programa</w:t>
      </w:r>
    </w:p>
    <w:p w:rsidR="005C2091" w:rsidRDefault="00A86293">
      <w:r>
        <w:t>Provođenje postupaka priznavanja sorti i dodjeljivanja oplemenjivačkog prava, prethodi njihovu ulasku u certifikacijsku shemu proizvodnje i stavljanja na tržište. Nakon toga obavlja se nadzor proizvodnje sjemenskih usjeva i sadnog materijala, izdavanje certifikata, pakiranje, plombiranje, označavanje i post kontrola. Certificiranje sjemena je sustav kvalitete koji osigurava da je sjeme namjenjeno tržištu službeno kontrolirano i nadzirano ili jednostavnije, sustav koji garantira da svako pakiranje (vreća, kutija) sadrži ono što piše na etiketi. Primatelji usluga su gospodarski subjekti koji se bave proizvodnjom i prodajom sjemena.</w:t>
      </w:r>
    </w:p>
    <w:p w:rsidR="005C2091" w:rsidRDefault="00A86293">
      <w:pPr>
        <w:pStyle w:val="Heading8"/>
        <w:jc w:val="left"/>
      </w:pPr>
      <w:r>
        <w:t xml:space="preserve">Cilj 3. Kakvoća poljoprivrednih proizvoda i proizvoda pri puštanju u promet i na tržištu (sljedivost u kakvoći, zaštita   potrošača, zaštita legalne proizvodnje) </w:t>
      </w:r>
    </w:p>
    <w:p w:rsidR="005C2091" w:rsidRDefault="00A86293">
      <w:pPr>
        <w:pStyle w:val="Heading8"/>
        <w:jc w:val="left"/>
      </w:pPr>
      <w:r>
        <w:t>Opis provedbe cilja programa</w:t>
      </w:r>
    </w:p>
    <w:p w:rsidR="005C2091" w:rsidRDefault="00A86293">
      <w:r>
        <w:t>Utvrđivanje kakvoće poljoprivrednih proizvoda provodi se na temelju važećih zakona i pripadajućih pravilnika te uredbi EU. U utvrđivanju kakvoće provjeravaju se sljedivost, od nasada vinove loze ili neke voćne vrste, do finalnog proizvoda, te različiti parametri kakvoće: fizikalno kemijska svojstva, organoleptična svojstva, mikrobiološka svojstva i autentičnost proizvoda. Ovim programom odobravalo se stavljanje u promet vina u količinama koje su proizvedene. Količina vina također je označavana i markicama. Korisnici programa su proizvođači vina u RH.</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Nadzor sjemena</w:t>
            </w:r>
          </w:p>
        </w:tc>
        <w:tc>
          <w:tcPr>
            <w:tcW w:w="2551" w:type="dxa"/>
          </w:tcPr>
          <w:p w:rsidR="005C2091" w:rsidRDefault="00A86293">
            <w:pPr>
              <w:pStyle w:val="CellColumn"/>
              <w:jc w:val="left"/>
            </w:pPr>
            <w:r>
              <w:rPr>
                <w:rFonts w:cs="Times New Roman"/>
              </w:rPr>
              <w:t>Nadzor reprodukcijskog poljoprivrednog materijala</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17000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17974</w:t>
            </w:r>
          </w:p>
        </w:tc>
        <w:tc>
          <w:tcPr>
            <w:tcW w:w="1020" w:type="dxa"/>
          </w:tcPr>
          <w:p w:rsidR="005C2091" w:rsidRDefault="00A86293">
            <w:pPr>
              <w:pStyle w:val="CellColumn"/>
              <w:jc w:val="right"/>
            </w:pPr>
            <w:r>
              <w:rPr>
                <w:rFonts w:cs="Times New Roman"/>
              </w:rPr>
              <w:t>19509</w:t>
            </w:r>
          </w:p>
        </w:tc>
      </w:tr>
      <w:tr w:rsidR="005C2091">
        <w:trPr>
          <w:jc w:val="center"/>
        </w:trPr>
        <w:tc>
          <w:tcPr>
            <w:tcW w:w="2551" w:type="dxa"/>
          </w:tcPr>
          <w:p w:rsidR="005C2091" w:rsidRDefault="00A86293">
            <w:pPr>
              <w:pStyle w:val="CellColumn"/>
              <w:jc w:val="left"/>
            </w:pPr>
            <w:r>
              <w:rPr>
                <w:rFonts w:cs="Times New Roman"/>
              </w:rPr>
              <w:t>Nadzor sadnog materijala</w:t>
            </w:r>
          </w:p>
        </w:tc>
        <w:tc>
          <w:tcPr>
            <w:tcW w:w="2551" w:type="dxa"/>
          </w:tcPr>
          <w:p w:rsidR="005C2091" w:rsidRDefault="00A86293">
            <w:pPr>
              <w:pStyle w:val="CellColumn"/>
              <w:jc w:val="left"/>
            </w:pPr>
            <w:r>
              <w:rPr>
                <w:rFonts w:cs="Times New Roman"/>
              </w:rPr>
              <w:t>Nadzor reprodukcijskog poljoprivrednog materijala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5300000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5800000</w:t>
            </w:r>
          </w:p>
        </w:tc>
        <w:tc>
          <w:tcPr>
            <w:tcW w:w="1020" w:type="dxa"/>
          </w:tcPr>
          <w:p w:rsidR="005C2091" w:rsidRDefault="00A86293">
            <w:pPr>
              <w:pStyle w:val="CellColumn"/>
              <w:jc w:val="right"/>
            </w:pPr>
            <w:r>
              <w:rPr>
                <w:rFonts w:cs="Times New Roman"/>
              </w:rPr>
              <w:t>4723996</w:t>
            </w:r>
          </w:p>
        </w:tc>
      </w:tr>
      <w:tr w:rsidR="005C2091">
        <w:trPr>
          <w:jc w:val="center"/>
        </w:trPr>
        <w:tc>
          <w:tcPr>
            <w:tcW w:w="2551" w:type="dxa"/>
          </w:tcPr>
          <w:p w:rsidR="005C2091" w:rsidRDefault="00A86293">
            <w:pPr>
              <w:pStyle w:val="CellColumn"/>
              <w:jc w:val="left"/>
            </w:pPr>
            <w:r>
              <w:rPr>
                <w:rFonts w:cs="Times New Roman"/>
              </w:rPr>
              <w:t>Pred i post kontrola u polju sadnog materijala</w:t>
            </w:r>
          </w:p>
        </w:tc>
        <w:tc>
          <w:tcPr>
            <w:tcW w:w="2551" w:type="dxa"/>
          </w:tcPr>
          <w:p w:rsidR="005C2091" w:rsidRDefault="00A86293">
            <w:pPr>
              <w:pStyle w:val="CellColumn"/>
              <w:jc w:val="left"/>
            </w:pPr>
            <w:r>
              <w:rPr>
                <w:rFonts w:cs="Times New Roman"/>
              </w:rPr>
              <w:t>Nadzor reprodukcijskog poljoprivrednog materijala</w:t>
            </w:r>
          </w:p>
        </w:tc>
        <w:tc>
          <w:tcPr>
            <w:tcW w:w="1020" w:type="dxa"/>
          </w:tcPr>
          <w:p w:rsidR="005C2091" w:rsidRDefault="00A86293">
            <w:pPr>
              <w:pStyle w:val="CellColumn"/>
              <w:jc w:val="right"/>
            </w:pPr>
            <w:r>
              <w:rPr>
                <w:rFonts w:cs="Times New Roman"/>
              </w:rPr>
              <w:t>partija</w:t>
            </w:r>
          </w:p>
        </w:tc>
        <w:tc>
          <w:tcPr>
            <w:tcW w:w="1020" w:type="dxa"/>
          </w:tcPr>
          <w:p w:rsidR="005C2091" w:rsidRDefault="00A86293">
            <w:pPr>
              <w:pStyle w:val="CellColumn"/>
              <w:jc w:val="right"/>
            </w:pPr>
            <w:r>
              <w:rPr>
                <w:rFonts w:cs="Times New Roman"/>
              </w:rPr>
              <w:t>2000000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2001684</w:t>
            </w:r>
          </w:p>
        </w:tc>
        <w:tc>
          <w:tcPr>
            <w:tcW w:w="1020" w:type="dxa"/>
          </w:tcPr>
          <w:p w:rsidR="005C2091" w:rsidRDefault="00A86293">
            <w:pPr>
              <w:pStyle w:val="CellColumn"/>
              <w:jc w:val="right"/>
            </w:pPr>
            <w:r>
              <w:rPr>
                <w:rFonts w:cs="Times New Roman"/>
              </w:rPr>
              <w:t>220000</w:t>
            </w:r>
          </w:p>
        </w:tc>
      </w:tr>
      <w:tr w:rsidR="005C2091">
        <w:trPr>
          <w:jc w:val="center"/>
        </w:trPr>
        <w:tc>
          <w:tcPr>
            <w:tcW w:w="2551" w:type="dxa"/>
          </w:tcPr>
          <w:p w:rsidR="005C2091" w:rsidRDefault="00A86293">
            <w:pPr>
              <w:pStyle w:val="CellColumn"/>
              <w:jc w:val="left"/>
            </w:pPr>
            <w:r>
              <w:rPr>
                <w:rFonts w:cs="Times New Roman"/>
              </w:rPr>
              <w:t>Izdavanje certifikata za sjeme</w:t>
            </w:r>
          </w:p>
        </w:tc>
        <w:tc>
          <w:tcPr>
            <w:tcW w:w="2551" w:type="dxa"/>
          </w:tcPr>
          <w:p w:rsidR="005C2091" w:rsidRDefault="00A86293">
            <w:pPr>
              <w:pStyle w:val="CellColumn"/>
              <w:jc w:val="left"/>
            </w:pPr>
            <w:r>
              <w:rPr>
                <w:rFonts w:cs="Times New Roman"/>
              </w:rPr>
              <w:t>Izdavanje certifikata</w:t>
            </w:r>
          </w:p>
        </w:tc>
        <w:tc>
          <w:tcPr>
            <w:tcW w:w="1020" w:type="dxa"/>
          </w:tcPr>
          <w:p w:rsidR="005C2091" w:rsidRDefault="00A86293">
            <w:pPr>
              <w:pStyle w:val="CellColumn"/>
              <w:jc w:val="right"/>
            </w:pPr>
            <w:r>
              <w:rPr>
                <w:rFonts w:cs="Times New Roman"/>
              </w:rPr>
              <w:t>partija</w:t>
            </w:r>
          </w:p>
        </w:tc>
        <w:tc>
          <w:tcPr>
            <w:tcW w:w="1020" w:type="dxa"/>
          </w:tcPr>
          <w:p w:rsidR="005C2091" w:rsidRDefault="00A86293">
            <w:pPr>
              <w:pStyle w:val="CellColumn"/>
              <w:jc w:val="right"/>
            </w:pPr>
            <w:r>
              <w:rPr>
                <w:rFonts w:cs="Times New Roman"/>
              </w:rPr>
              <w:t>3800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3960</w:t>
            </w:r>
          </w:p>
        </w:tc>
        <w:tc>
          <w:tcPr>
            <w:tcW w:w="1020" w:type="dxa"/>
          </w:tcPr>
          <w:p w:rsidR="005C2091" w:rsidRDefault="00A86293">
            <w:pPr>
              <w:pStyle w:val="CellColumn"/>
              <w:jc w:val="right"/>
            </w:pPr>
            <w:r>
              <w:rPr>
                <w:rFonts w:cs="Times New Roman"/>
              </w:rPr>
              <w:t>3935</w:t>
            </w:r>
          </w:p>
        </w:tc>
      </w:tr>
      <w:tr w:rsidR="005C2091">
        <w:trPr>
          <w:jc w:val="center"/>
        </w:trPr>
        <w:tc>
          <w:tcPr>
            <w:tcW w:w="2551" w:type="dxa"/>
          </w:tcPr>
          <w:p w:rsidR="005C2091" w:rsidRDefault="00A86293">
            <w:pPr>
              <w:pStyle w:val="CellColumn"/>
              <w:jc w:val="left"/>
            </w:pPr>
            <w:r>
              <w:rPr>
                <w:rFonts w:cs="Times New Roman"/>
              </w:rPr>
              <w:t>Izdavanje certifikata za sadni materijal</w:t>
            </w:r>
          </w:p>
        </w:tc>
        <w:tc>
          <w:tcPr>
            <w:tcW w:w="2551" w:type="dxa"/>
          </w:tcPr>
          <w:p w:rsidR="005C2091" w:rsidRDefault="00A86293">
            <w:pPr>
              <w:pStyle w:val="CellColumn"/>
              <w:jc w:val="left"/>
            </w:pPr>
            <w:r>
              <w:rPr>
                <w:rFonts w:cs="Times New Roman"/>
              </w:rPr>
              <w:t>Izdavanje certifikata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1500000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1514514</w:t>
            </w:r>
          </w:p>
        </w:tc>
        <w:tc>
          <w:tcPr>
            <w:tcW w:w="1020" w:type="dxa"/>
          </w:tcPr>
          <w:p w:rsidR="005C2091" w:rsidRDefault="00A86293">
            <w:pPr>
              <w:pStyle w:val="CellColumn"/>
              <w:jc w:val="right"/>
            </w:pPr>
            <w:r>
              <w:rPr>
                <w:rFonts w:cs="Times New Roman"/>
              </w:rPr>
              <w:t>1307834</w:t>
            </w:r>
          </w:p>
        </w:tc>
      </w:tr>
      <w:tr w:rsidR="005C2091">
        <w:trPr>
          <w:jc w:val="center"/>
        </w:trPr>
        <w:tc>
          <w:tcPr>
            <w:tcW w:w="2551" w:type="dxa"/>
          </w:tcPr>
          <w:p w:rsidR="005C2091" w:rsidRDefault="00A86293">
            <w:pPr>
              <w:pStyle w:val="CellColumn"/>
              <w:jc w:val="left"/>
            </w:pPr>
            <w:r>
              <w:rPr>
                <w:rFonts w:cs="Times New Roman"/>
              </w:rPr>
              <w:t>Broj nadzora inspekcijskih analiza</w:t>
            </w:r>
          </w:p>
        </w:tc>
        <w:tc>
          <w:tcPr>
            <w:tcW w:w="2551" w:type="dxa"/>
          </w:tcPr>
          <w:p w:rsidR="005C2091" w:rsidRDefault="00A86293">
            <w:pPr>
              <w:pStyle w:val="CellColumn"/>
              <w:jc w:val="left"/>
            </w:pPr>
            <w:r>
              <w:rPr>
                <w:rFonts w:cs="Times New Roman"/>
              </w:rPr>
              <w:t>Ispitivanje kvalitete sjemen</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600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695</w:t>
            </w:r>
          </w:p>
        </w:tc>
        <w:tc>
          <w:tcPr>
            <w:tcW w:w="1020" w:type="dxa"/>
          </w:tcPr>
          <w:p w:rsidR="005C2091" w:rsidRDefault="00A86293">
            <w:pPr>
              <w:pStyle w:val="CellColumn"/>
              <w:jc w:val="right"/>
            </w:pPr>
            <w:r>
              <w:rPr>
                <w:rFonts w:cs="Times New Roman"/>
              </w:rPr>
              <w:t>630</w:t>
            </w:r>
          </w:p>
        </w:tc>
      </w:tr>
      <w:tr w:rsidR="005C2091">
        <w:trPr>
          <w:jc w:val="center"/>
        </w:trPr>
        <w:tc>
          <w:tcPr>
            <w:tcW w:w="2551" w:type="dxa"/>
          </w:tcPr>
          <w:p w:rsidR="005C2091" w:rsidRDefault="00A86293">
            <w:pPr>
              <w:pStyle w:val="CellColumn"/>
              <w:jc w:val="left"/>
            </w:pPr>
            <w:r>
              <w:rPr>
                <w:rFonts w:cs="Times New Roman"/>
              </w:rPr>
              <w:t>Broj analiza ISTA certifikata</w:t>
            </w:r>
          </w:p>
        </w:tc>
        <w:tc>
          <w:tcPr>
            <w:tcW w:w="2551" w:type="dxa"/>
          </w:tcPr>
          <w:p w:rsidR="005C2091" w:rsidRDefault="00A86293">
            <w:pPr>
              <w:pStyle w:val="CellColumn"/>
              <w:jc w:val="left"/>
            </w:pPr>
            <w:r>
              <w:rPr>
                <w:rFonts w:cs="Times New Roman"/>
              </w:rPr>
              <w:t xml:space="preserve">Ispitivanje </w:t>
            </w:r>
          </w:p>
          <w:p w:rsidR="005C2091" w:rsidRDefault="00A86293">
            <w:pPr>
              <w:pStyle w:val="CellColumn"/>
              <w:jc w:val="left"/>
            </w:pPr>
            <w:r>
              <w:rPr>
                <w:rFonts w:cs="Times New Roman"/>
              </w:rPr>
              <w:t>kvalitete sjemena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2000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2536</w:t>
            </w:r>
          </w:p>
        </w:tc>
        <w:tc>
          <w:tcPr>
            <w:tcW w:w="1020" w:type="dxa"/>
          </w:tcPr>
          <w:p w:rsidR="005C2091" w:rsidRDefault="00A86293">
            <w:pPr>
              <w:pStyle w:val="CellColumn"/>
              <w:jc w:val="right"/>
            </w:pPr>
            <w:r>
              <w:rPr>
                <w:rFonts w:cs="Times New Roman"/>
              </w:rPr>
              <w:t>2640</w:t>
            </w:r>
          </w:p>
        </w:tc>
      </w:tr>
      <w:tr w:rsidR="005C2091">
        <w:trPr>
          <w:jc w:val="center"/>
        </w:trPr>
        <w:tc>
          <w:tcPr>
            <w:tcW w:w="2551" w:type="dxa"/>
          </w:tcPr>
          <w:p w:rsidR="005C2091" w:rsidRDefault="00A86293">
            <w:pPr>
              <w:pStyle w:val="CellColumn"/>
              <w:jc w:val="left"/>
            </w:pPr>
            <w:r>
              <w:rPr>
                <w:rFonts w:cs="Times New Roman"/>
              </w:rPr>
              <w:t>Broj analiza u laboratoriju za</w:t>
            </w:r>
            <w:r>
              <w:rPr>
                <w:rFonts w:cs="Times New Roman"/>
              </w:rPr>
              <w:tab/>
              <w:t>post kontole</w:t>
            </w:r>
          </w:p>
        </w:tc>
        <w:tc>
          <w:tcPr>
            <w:tcW w:w="2551" w:type="dxa"/>
          </w:tcPr>
          <w:p w:rsidR="005C2091" w:rsidRDefault="00A86293">
            <w:pPr>
              <w:pStyle w:val="CellColumn"/>
              <w:jc w:val="left"/>
            </w:pPr>
            <w:r>
              <w:rPr>
                <w:rFonts w:cs="Times New Roman"/>
              </w:rPr>
              <w:t>Ispitivanje kvalitete sjemena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2000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2598</w:t>
            </w:r>
          </w:p>
        </w:tc>
        <w:tc>
          <w:tcPr>
            <w:tcW w:w="1020" w:type="dxa"/>
          </w:tcPr>
          <w:p w:rsidR="005C2091" w:rsidRDefault="00A86293">
            <w:pPr>
              <w:pStyle w:val="CellColumn"/>
              <w:jc w:val="right"/>
            </w:pPr>
            <w:r>
              <w:rPr>
                <w:rFonts w:cs="Times New Roman"/>
              </w:rPr>
              <w:t>1750</w:t>
            </w:r>
          </w:p>
        </w:tc>
      </w:tr>
      <w:tr w:rsidR="005C2091">
        <w:trPr>
          <w:jc w:val="center"/>
        </w:trPr>
        <w:tc>
          <w:tcPr>
            <w:tcW w:w="2551" w:type="dxa"/>
          </w:tcPr>
          <w:p w:rsidR="005C2091" w:rsidRDefault="00A86293">
            <w:pPr>
              <w:pStyle w:val="CellColumn"/>
              <w:jc w:val="left"/>
            </w:pPr>
            <w:r>
              <w:rPr>
                <w:rFonts w:cs="Times New Roman"/>
              </w:rPr>
              <w:t>Broj analiza inspekcijskih nadzora</w:t>
            </w:r>
          </w:p>
        </w:tc>
        <w:tc>
          <w:tcPr>
            <w:tcW w:w="2551" w:type="dxa"/>
          </w:tcPr>
          <w:p w:rsidR="005C2091" w:rsidRDefault="00A86293">
            <w:pPr>
              <w:pStyle w:val="CellColumn"/>
              <w:jc w:val="left"/>
            </w:pPr>
            <w:r>
              <w:rPr>
                <w:rFonts w:cs="Times New Roman"/>
              </w:rPr>
              <w:t>Utvrđivanje prisutnosti GMO-a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300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357</w:t>
            </w:r>
          </w:p>
        </w:tc>
        <w:tc>
          <w:tcPr>
            <w:tcW w:w="1020" w:type="dxa"/>
          </w:tcPr>
          <w:p w:rsidR="005C2091" w:rsidRDefault="00A86293">
            <w:pPr>
              <w:pStyle w:val="CellColumn"/>
              <w:jc w:val="right"/>
            </w:pPr>
            <w:r>
              <w:rPr>
                <w:rFonts w:cs="Times New Roman"/>
              </w:rPr>
              <w:t>500</w:t>
            </w:r>
          </w:p>
        </w:tc>
      </w:tr>
      <w:tr w:rsidR="005C2091">
        <w:trPr>
          <w:jc w:val="center"/>
        </w:trPr>
        <w:tc>
          <w:tcPr>
            <w:tcW w:w="2551" w:type="dxa"/>
          </w:tcPr>
          <w:p w:rsidR="005C2091" w:rsidRDefault="00A86293">
            <w:pPr>
              <w:pStyle w:val="CellColumn"/>
              <w:jc w:val="left"/>
            </w:pPr>
            <w:r>
              <w:rPr>
                <w:rFonts w:cs="Times New Roman"/>
              </w:rPr>
              <w:t>Pregledane površine</w:t>
            </w:r>
            <w:r>
              <w:rPr>
                <w:rFonts w:cs="Times New Roman"/>
              </w:rPr>
              <w:tab/>
              <w:t>u hektarima u postupku</w:t>
            </w:r>
          </w:p>
        </w:tc>
        <w:tc>
          <w:tcPr>
            <w:tcW w:w="2551" w:type="dxa"/>
          </w:tcPr>
          <w:p w:rsidR="005C2091" w:rsidRDefault="00A86293">
            <w:pPr>
              <w:pStyle w:val="CellColumn"/>
              <w:jc w:val="left"/>
            </w:pPr>
            <w:r>
              <w:rPr>
                <w:rFonts w:cs="Times New Roman"/>
              </w:rPr>
              <w:t>Fitosanitarni pregled sjemena i sadnog materijala</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460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465</w:t>
            </w:r>
          </w:p>
        </w:tc>
        <w:tc>
          <w:tcPr>
            <w:tcW w:w="1020" w:type="dxa"/>
          </w:tcPr>
          <w:p w:rsidR="005C2091" w:rsidRDefault="00A86293">
            <w:pPr>
              <w:pStyle w:val="CellColumn"/>
              <w:jc w:val="right"/>
            </w:pPr>
            <w:r>
              <w:rPr>
                <w:rFonts w:cs="Times New Roman"/>
              </w:rPr>
              <w:t>397</w:t>
            </w:r>
          </w:p>
        </w:tc>
      </w:tr>
      <w:tr w:rsidR="005C2091">
        <w:trPr>
          <w:jc w:val="center"/>
        </w:trPr>
        <w:tc>
          <w:tcPr>
            <w:tcW w:w="2551" w:type="dxa"/>
          </w:tcPr>
          <w:p w:rsidR="005C2091" w:rsidRDefault="00A86293">
            <w:pPr>
              <w:pStyle w:val="CellColumn"/>
              <w:jc w:val="left"/>
            </w:pPr>
            <w:r>
              <w:rPr>
                <w:rFonts w:cs="Times New Roman"/>
              </w:rPr>
              <w:t>Broj pregledanih sadnica</w:t>
            </w:r>
            <w:r>
              <w:rPr>
                <w:rFonts w:cs="Times New Roman"/>
              </w:rPr>
              <w:tab/>
              <w:t>u postupku ispitivanja fitosanitarne ispravnosti sadnog materijala</w:t>
            </w:r>
          </w:p>
        </w:tc>
        <w:tc>
          <w:tcPr>
            <w:tcW w:w="2551" w:type="dxa"/>
          </w:tcPr>
          <w:p w:rsidR="005C2091" w:rsidRDefault="00A86293">
            <w:pPr>
              <w:pStyle w:val="CellColumn"/>
              <w:jc w:val="left"/>
            </w:pPr>
            <w:r>
              <w:rPr>
                <w:rFonts w:cs="Times New Roman"/>
              </w:rPr>
              <w:t>Fitosanitarn</w:t>
            </w:r>
            <w:r w:rsidR="00981877">
              <w:rPr>
                <w:rFonts w:cs="Times New Roman"/>
              </w:rPr>
              <w:t xml:space="preserve">i nadzor sjemena </w:t>
            </w:r>
            <w:r>
              <w:rPr>
                <w:rFonts w:cs="Times New Roman"/>
              </w:rPr>
              <w:t>i sadnog materijala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5520900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5520900</w:t>
            </w:r>
          </w:p>
        </w:tc>
        <w:tc>
          <w:tcPr>
            <w:tcW w:w="1020" w:type="dxa"/>
          </w:tcPr>
          <w:p w:rsidR="005C2091" w:rsidRDefault="00A86293">
            <w:pPr>
              <w:pStyle w:val="CellColumn"/>
              <w:jc w:val="right"/>
            </w:pPr>
            <w:r>
              <w:rPr>
                <w:rFonts w:cs="Times New Roman"/>
              </w:rPr>
              <w:t>29364623</w:t>
            </w:r>
          </w:p>
        </w:tc>
      </w:tr>
      <w:tr w:rsidR="005C2091">
        <w:trPr>
          <w:jc w:val="center"/>
        </w:trPr>
        <w:tc>
          <w:tcPr>
            <w:tcW w:w="2551" w:type="dxa"/>
          </w:tcPr>
          <w:p w:rsidR="005C2091" w:rsidRDefault="00A86293">
            <w:pPr>
              <w:pStyle w:val="CellColumn"/>
              <w:jc w:val="left"/>
            </w:pPr>
            <w:r>
              <w:rPr>
                <w:rFonts w:cs="Times New Roman"/>
              </w:rPr>
              <w:t>Broj analiza  u dijagnostičkim laboratorijima</w:t>
            </w:r>
            <w:r>
              <w:rPr>
                <w:rFonts w:cs="Times New Roman"/>
              </w:rPr>
              <w:tab/>
              <w:t>radi određivanja prisustva štetnih organizama</w:t>
            </w:r>
          </w:p>
        </w:tc>
        <w:tc>
          <w:tcPr>
            <w:tcW w:w="2551" w:type="dxa"/>
          </w:tcPr>
          <w:p w:rsidR="005C2091" w:rsidRDefault="00A86293">
            <w:pPr>
              <w:pStyle w:val="CellColumn"/>
              <w:jc w:val="left"/>
            </w:pPr>
            <w:r>
              <w:rPr>
                <w:rFonts w:cs="Times New Roman"/>
              </w:rPr>
              <w:t>Laboratorijske analize  u dijagnostičkim laboratorijima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5100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5146</w:t>
            </w:r>
          </w:p>
        </w:tc>
        <w:tc>
          <w:tcPr>
            <w:tcW w:w="1020" w:type="dxa"/>
          </w:tcPr>
          <w:p w:rsidR="005C2091" w:rsidRDefault="00A86293">
            <w:pPr>
              <w:pStyle w:val="CellColumn"/>
              <w:jc w:val="right"/>
            </w:pPr>
            <w:r>
              <w:rPr>
                <w:rFonts w:cs="Times New Roman"/>
              </w:rPr>
              <w:t>4967</w:t>
            </w:r>
          </w:p>
        </w:tc>
      </w:tr>
      <w:tr w:rsidR="005C2091">
        <w:trPr>
          <w:jc w:val="center"/>
        </w:trPr>
        <w:tc>
          <w:tcPr>
            <w:tcW w:w="2551" w:type="dxa"/>
          </w:tcPr>
          <w:p w:rsidR="005C2091" w:rsidRDefault="00A86293">
            <w:pPr>
              <w:pStyle w:val="CellColumn"/>
              <w:jc w:val="left"/>
            </w:pPr>
            <w:r>
              <w:rPr>
                <w:rFonts w:cs="Times New Roman"/>
              </w:rPr>
              <w:t>Izrađena mišljenja za registraciju SZB</w:t>
            </w:r>
          </w:p>
        </w:tc>
        <w:tc>
          <w:tcPr>
            <w:tcW w:w="2551" w:type="dxa"/>
          </w:tcPr>
          <w:p w:rsidR="005C2091" w:rsidRDefault="00A86293">
            <w:pPr>
              <w:pStyle w:val="CellColumn"/>
              <w:jc w:val="left"/>
            </w:pPr>
            <w:r>
              <w:rPr>
                <w:rFonts w:cs="Times New Roman"/>
              </w:rPr>
              <w:t xml:space="preserve">Registracija sredstava </w:t>
            </w:r>
            <w:r w:rsidR="00981877">
              <w:t xml:space="preserve"> </w:t>
            </w:r>
            <w:r w:rsidR="00981877">
              <w:rPr>
                <w:rFonts w:cs="Times New Roman"/>
              </w:rPr>
              <w:t xml:space="preserve">za </w:t>
            </w:r>
            <w:r>
              <w:rPr>
                <w:rFonts w:cs="Times New Roman"/>
              </w:rPr>
              <w:t>zaštitu bilj</w:t>
            </w:r>
            <w:r w:rsidR="00981877">
              <w:rPr>
                <w:rFonts w:cs="Times New Roman"/>
              </w:rPr>
              <w:t xml:space="preserve">a </w:t>
            </w:r>
            <w:r>
              <w:rPr>
                <w:rFonts w:cs="Times New Roman"/>
              </w:rPr>
              <w:t xml:space="preserve">i </w:t>
            </w:r>
            <w:r w:rsidR="00981877">
              <w:t xml:space="preserve"> </w:t>
            </w:r>
            <w:r>
              <w:rPr>
                <w:rFonts w:cs="Times New Roman"/>
              </w:rPr>
              <w:t>njihova kontrola</w:t>
            </w:r>
            <w:r>
              <w:rPr>
                <w:rFonts w:cs="Times New Roman"/>
              </w:rPr>
              <w:tab/>
              <w:t>u prometu</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180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197</w:t>
            </w:r>
          </w:p>
        </w:tc>
        <w:tc>
          <w:tcPr>
            <w:tcW w:w="1020" w:type="dxa"/>
          </w:tcPr>
          <w:p w:rsidR="005C2091" w:rsidRDefault="00A86293">
            <w:pPr>
              <w:pStyle w:val="CellColumn"/>
              <w:jc w:val="right"/>
            </w:pPr>
            <w:r>
              <w:rPr>
                <w:rFonts w:cs="Times New Roman"/>
              </w:rPr>
              <w:t>173</w:t>
            </w:r>
          </w:p>
        </w:tc>
      </w:tr>
      <w:tr w:rsidR="005C2091">
        <w:trPr>
          <w:jc w:val="center"/>
        </w:trPr>
        <w:tc>
          <w:tcPr>
            <w:tcW w:w="2551" w:type="dxa"/>
          </w:tcPr>
          <w:p w:rsidR="005C2091" w:rsidRDefault="00A86293">
            <w:pPr>
              <w:pStyle w:val="CellColumn"/>
              <w:jc w:val="left"/>
            </w:pPr>
            <w:r>
              <w:rPr>
                <w:rFonts w:cs="Times New Roman"/>
              </w:rPr>
              <w:t>Analize  u sklopu programa post-registracijske kontrole  i ispravnosti</w:t>
            </w:r>
          </w:p>
        </w:tc>
        <w:tc>
          <w:tcPr>
            <w:tcW w:w="2551" w:type="dxa"/>
          </w:tcPr>
          <w:p w:rsidR="005C2091" w:rsidRDefault="00A86293">
            <w:pPr>
              <w:pStyle w:val="CellColumn"/>
              <w:jc w:val="left"/>
            </w:pPr>
            <w:r>
              <w:rPr>
                <w:rFonts w:cs="Times New Roman"/>
              </w:rPr>
              <w:t xml:space="preserve">Registracija sredstava </w:t>
            </w:r>
          </w:p>
          <w:p w:rsidR="005C2091" w:rsidRPr="00981877" w:rsidRDefault="00981877">
            <w:pPr>
              <w:pStyle w:val="CellColumn"/>
              <w:jc w:val="left"/>
              <w:rPr>
                <w:rFonts w:cs="Times New Roman"/>
              </w:rPr>
            </w:pPr>
            <w:r>
              <w:rPr>
                <w:rFonts w:cs="Times New Roman"/>
              </w:rPr>
              <w:t xml:space="preserve">za </w:t>
            </w:r>
            <w:r w:rsidR="00A86293">
              <w:rPr>
                <w:rFonts w:cs="Times New Roman"/>
              </w:rPr>
              <w:t>zaštitu bilja</w:t>
            </w:r>
            <w:r>
              <w:rPr>
                <w:rFonts w:cs="Times New Roman"/>
              </w:rPr>
              <w:t xml:space="preserve"> </w:t>
            </w:r>
            <w:r w:rsidR="00A86293">
              <w:rPr>
                <w:rFonts w:cs="Times New Roman"/>
              </w:rPr>
              <w:t>i njihova kontrola</w:t>
            </w:r>
            <w:r w:rsidR="00A86293">
              <w:rPr>
                <w:rFonts w:cs="Times New Roman"/>
              </w:rPr>
              <w:tab/>
              <w:t>u prometu</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40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45</w:t>
            </w:r>
          </w:p>
        </w:tc>
        <w:tc>
          <w:tcPr>
            <w:tcW w:w="1020" w:type="dxa"/>
          </w:tcPr>
          <w:p w:rsidR="005C2091" w:rsidRDefault="00A86293">
            <w:pPr>
              <w:pStyle w:val="CellColumn"/>
              <w:jc w:val="right"/>
            </w:pPr>
            <w:r>
              <w:rPr>
                <w:rFonts w:cs="Times New Roman"/>
              </w:rPr>
              <w:t>127</w:t>
            </w:r>
          </w:p>
        </w:tc>
      </w:tr>
      <w:tr w:rsidR="005C2091">
        <w:trPr>
          <w:jc w:val="center"/>
        </w:trPr>
        <w:tc>
          <w:tcPr>
            <w:tcW w:w="2551" w:type="dxa"/>
          </w:tcPr>
          <w:p w:rsidR="005C2091" w:rsidRDefault="00A86293">
            <w:pPr>
              <w:pStyle w:val="CellColumn"/>
              <w:jc w:val="left"/>
            </w:pPr>
            <w:r>
              <w:rPr>
                <w:rFonts w:cs="Times New Roman"/>
              </w:rPr>
              <w:t>Broj analiza privatnih subjekata</w:t>
            </w:r>
          </w:p>
        </w:tc>
        <w:tc>
          <w:tcPr>
            <w:tcW w:w="2551" w:type="dxa"/>
          </w:tcPr>
          <w:p w:rsidR="005C2091" w:rsidRDefault="00A86293">
            <w:pPr>
              <w:pStyle w:val="CellColumn"/>
              <w:jc w:val="left"/>
            </w:pPr>
            <w:r>
              <w:rPr>
                <w:rFonts w:cs="Times New Roman"/>
              </w:rPr>
              <w:t>Utvrđivanje prisutnosti GMO-</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300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468</w:t>
            </w:r>
          </w:p>
        </w:tc>
        <w:tc>
          <w:tcPr>
            <w:tcW w:w="1020" w:type="dxa"/>
          </w:tcPr>
          <w:p w:rsidR="005C2091" w:rsidRDefault="00A86293">
            <w:pPr>
              <w:pStyle w:val="CellColumn"/>
              <w:jc w:val="right"/>
            </w:pPr>
            <w:r>
              <w:rPr>
                <w:rFonts w:cs="Times New Roman"/>
              </w:rPr>
              <w:t>370</w:t>
            </w:r>
          </w:p>
        </w:tc>
      </w:tr>
      <w:tr w:rsidR="005C2091">
        <w:trPr>
          <w:jc w:val="center"/>
        </w:trPr>
        <w:tc>
          <w:tcPr>
            <w:tcW w:w="2551" w:type="dxa"/>
          </w:tcPr>
          <w:p w:rsidR="005C2091" w:rsidRDefault="00A86293">
            <w:pPr>
              <w:pStyle w:val="CellColumn"/>
              <w:jc w:val="left"/>
            </w:pPr>
            <w:r>
              <w:rPr>
                <w:rFonts w:cs="Times New Roman"/>
              </w:rPr>
              <w:t>Broj upisanih evidencija proizvođača</w:t>
            </w:r>
          </w:p>
        </w:tc>
        <w:tc>
          <w:tcPr>
            <w:tcW w:w="2551" w:type="dxa"/>
          </w:tcPr>
          <w:p w:rsidR="005C2091" w:rsidRDefault="00A86293">
            <w:pPr>
              <w:pStyle w:val="CellColumn"/>
              <w:jc w:val="left"/>
            </w:pPr>
            <w:r>
              <w:rPr>
                <w:rFonts w:cs="Times New Roman"/>
              </w:rPr>
              <w:t>Vođenje evidencije proizvođača i proizvodnje voćnih  vina u RH</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150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171</w:t>
            </w:r>
          </w:p>
        </w:tc>
        <w:tc>
          <w:tcPr>
            <w:tcW w:w="1020" w:type="dxa"/>
          </w:tcPr>
          <w:p w:rsidR="005C2091" w:rsidRDefault="00A86293">
            <w:pPr>
              <w:pStyle w:val="CellColumn"/>
              <w:jc w:val="right"/>
            </w:pPr>
            <w:r>
              <w:rPr>
                <w:rFonts w:cs="Times New Roman"/>
              </w:rPr>
              <w:t>181</w:t>
            </w:r>
          </w:p>
        </w:tc>
      </w:tr>
      <w:tr w:rsidR="005C2091">
        <w:trPr>
          <w:jc w:val="center"/>
        </w:trPr>
        <w:tc>
          <w:tcPr>
            <w:tcW w:w="2551" w:type="dxa"/>
          </w:tcPr>
          <w:p w:rsidR="005C2091" w:rsidRDefault="00A86293">
            <w:pPr>
              <w:pStyle w:val="CellColumn"/>
              <w:jc w:val="left"/>
            </w:pPr>
            <w:r>
              <w:rPr>
                <w:rFonts w:cs="Times New Roman"/>
              </w:rPr>
              <w:t>Proizvedena autentična vina</w:t>
            </w:r>
          </w:p>
        </w:tc>
        <w:tc>
          <w:tcPr>
            <w:tcW w:w="2551" w:type="dxa"/>
          </w:tcPr>
          <w:p w:rsidR="005C2091" w:rsidRDefault="00A86293">
            <w:pPr>
              <w:pStyle w:val="CellColumn"/>
              <w:jc w:val="left"/>
            </w:pPr>
            <w:r>
              <w:rPr>
                <w:rFonts w:cs="Times New Roman"/>
              </w:rPr>
              <w:t>Autentična vina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30</w:t>
            </w:r>
          </w:p>
        </w:tc>
        <w:tc>
          <w:tcPr>
            <w:tcW w:w="1020" w:type="dxa"/>
          </w:tcPr>
          <w:p w:rsidR="005C2091" w:rsidRDefault="00A86293">
            <w:pPr>
              <w:pStyle w:val="CellColumn"/>
              <w:jc w:val="right"/>
            </w:pPr>
            <w:r>
              <w:rPr>
                <w:rFonts w:cs="Times New Roman"/>
              </w:rPr>
              <w:t>30</w:t>
            </w:r>
          </w:p>
        </w:tc>
      </w:tr>
      <w:tr w:rsidR="005C2091">
        <w:trPr>
          <w:jc w:val="center"/>
        </w:trPr>
        <w:tc>
          <w:tcPr>
            <w:tcW w:w="2551" w:type="dxa"/>
          </w:tcPr>
          <w:p w:rsidR="005C2091" w:rsidRDefault="00A86293">
            <w:pPr>
              <w:pStyle w:val="CellColumn"/>
              <w:jc w:val="left"/>
            </w:pPr>
            <w:r>
              <w:rPr>
                <w:rFonts w:cs="Times New Roman"/>
              </w:rPr>
              <w:t>Izdana rješenja za promet proizvoda</w:t>
            </w:r>
          </w:p>
        </w:tc>
        <w:tc>
          <w:tcPr>
            <w:tcW w:w="2551" w:type="dxa"/>
          </w:tcPr>
          <w:p w:rsidR="005C2091" w:rsidRDefault="00A86293">
            <w:pPr>
              <w:pStyle w:val="CellColumn"/>
              <w:jc w:val="left"/>
            </w:pPr>
            <w:r>
              <w:rPr>
                <w:rFonts w:cs="Times New Roman"/>
              </w:rPr>
              <w:t>Ispitivanje i određivanje kakvoće grožđa, mošta, vina, proizvod</w:t>
            </w:r>
            <w:r w:rsidR="00981877">
              <w:rPr>
                <w:rFonts w:cs="Times New Roman"/>
              </w:rPr>
              <w:t xml:space="preserve">a od grožđa i vina, voćnih vina </w:t>
            </w:r>
            <w:r>
              <w:rPr>
                <w:rFonts w:cs="Times New Roman"/>
              </w:rPr>
              <w:t>te vinskog   i voćnog octa,</w:t>
            </w:r>
            <w:r>
              <w:rPr>
                <w:rFonts w:cs="Times New Roman"/>
              </w:rPr>
              <w:tab/>
              <w:t xml:space="preserve">pri puštanju u promet i iz prometa, </w:t>
            </w:r>
            <w:r w:rsidR="00D3530B">
              <w:rPr>
                <w:rFonts w:cs="Times New Roman"/>
              </w:rPr>
              <w:t xml:space="preserve">s </w:t>
            </w:r>
            <w:r w:rsidR="00981877">
              <w:rPr>
                <w:rFonts w:cs="Times New Roman"/>
              </w:rPr>
              <w:t xml:space="preserve">ciljem zaštite </w:t>
            </w:r>
            <w:r>
              <w:rPr>
                <w:rFonts w:cs="Times New Roman"/>
              </w:rPr>
              <w:t xml:space="preserve">sigurnosti potrošača </w:t>
            </w:r>
            <w:r w:rsidR="00D3530B">
              <w:rPr>
                <w:rFonts w:cs="Times New Roman"/>
              </w:rPr>
              <w:t xml:space="preserve">ali </w:t>
            </w:r>
            <w:r>
              <w:rPr>
                <w:rFonts w:cs="Times New Roman"/>
              </w:rPr>
              <w:t>i zaštite svakog l</w:t>
            </w:r>
            <w:r w:rsidR="00D3530B">
              <w:rPr>
                <w:rFonts w:cs="Times New Roman"/>
              </w:rPr>
              <w:t xml:space="preserve">egalnog proizvođača </w:t>
            </w:r>
            <w:r>
              <w:rPr>
                <w:rFonts w:cs="Times New Roman"/>
              </w:rPr>
              <w:t>od nelojalne konkurencije</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4000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4170</w:t>
            </w:r>
          </w:p>
        </w:tc>
        <w:tc>
          <w:tcPr>
            <w:tcW w:w="1020" w:type="dxa"/>
          </w:tcPr>
          <w:p w:rsidR="005C2091" w:rsidRDefault="00A86293">
            <w:pPr>
              <w:pStyle w:val="CellColumn"/>
              <w:jc w:val="right"/>
            </w:pPr>
            <w:r>
              <w:rPr>
                <w:rFonts w:cs="Times New Roman"/>
              </w:rPr>
              <w:t>5696</w:t>
            </w:r>
          </w:p>
        </w:tc>
      </w:tr>
      <w:tr w:rsidR="005C2091">
        <w:trPr>
          <w:jc w:val="center"/>
        </w:trPr>
        <w:tc>
          <w:tcPr>
            <w:tcW w:w="2551" w:type="dxa"/>
          </w:tcPr>
          <w:p w:rsidR="005C2091" w:rsidRDefault="00A86293">
            <w:pPr>
              <w:pStyle w:val="CellColumn"/>
              <w:jc w:val="left"/>
            </w:pPr>
            <w:r>
              <w:rPr>
                <w:rFonts w:cs="Times New Roman"/>
              </w:rPr>
              <w:t>Izdana mišljenja po inspekcijskim postupcima</w:t>
            </w:r>
          </w:p>
        </w:tc>
        <w:tc>
          <w:tcPr>
            <w:tcW w:w="2551" w:type="dxa"/>
          </w:tcPr>
          <w:p w:rsidR="005C2091" w:rsidRDefault="00A86293">
            <w:pPr>
              <w:pStyle w:val="CellColumn"/>
              <w:jc w:val="left"/>
            </w:pPr>
            <w:r>
              <w:rPr>
                <w:rFonts w:cs="Times New Roman"/>
              </w:rPr>
              <w:t xml:space="preserve">Ispitivanje i određivanje  kakvoće grožđa, mošta, vina, proizvoda od grožđa i vina,voćnih vina te </w:t>
            </w:r>
            <w:r w:rsidR="00D3530B">
              <w:rPr>
                <w:rFonts w:cs="Times New Roman"/>
              </w:rPr>
              <w:t xml:space="preserve">vinskog   i voćnog octa, </w:t>
            </w:r>
            <w:r>
              <w:rPr>
                <w:rFonts w:cs="Times New Roman"/>
              </w:rPr>
              <w:t>pri puštanju u promet i iz prometa, s ciljem zaštite sigurnosti potrošača, ali i zaštite svakog legalnog proizvođača od nelojalne konkurencije</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70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74</w:t>
            </w:r>
          </w:p>
        </w:tc>
        <w:tc>
          <w:tcPr>
            <w:tcW w:w="1020" w:type="dxa"/>
          </w:tcPr>
          <w:p w:rsidR="005C2091" w:rsidRDefault="00A86293">
            <w:pPr>
              <w:pStyle w:val="CellColumn"/>
              <w:jc w:val="right"/>
            </w:pPr>
            <w:r>
              <w:rPr>
                <w:rFonts w:cs="Times New Roman"/>
              </w:rPr>
              <w:t>130</w:t>
            </w:r>
          </w:p>
        </w:tc>
      </w:tr>
    </w:tbl>
    <w:p w:rsidR="005C2091" w:rsidRDefault="005C2091">
      <w:pPr>
        <w:jc w:val="left"/>
      </w:pPr>
    </w:p>
    <w:p w:rsidR="005C2091" w:rsidRDefault="00A86293">
      <w:pPr>
        <w:pStyle w:val="Heading4"/>
      </w:pPr>
      <w:r>
        <w:t>A842001 ADMINISTRACIJA I UPRAVLJANJE HRVATSKOG CENTRA ZA POLJOPRIVREDU, HRANU I SELO</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A842001-ADMINISTRACIJA I UPRAVLJANJE HRVATSKOG CENTRA ZA POLJOPRIVREDU, HRANU I SELO</w:t>
            </w:r>
          </w:p>
        </w:tc>
        <w:tc>
          <w:tcPr>
            <w:tcW w:w="2041" w:type="dxa"/>
          </w:tcPr>
          <w:p w:rsidR="005C2091" w:rsidRDefault="00A86293">
            <w:pPr>
              <w:pStyle w:val="CellColumn"/>
              <w:jc w:val="right"/>
            </w:pPr>
            <w:r>
              <w:rPr>
                <w:rFonts w:cs="Times New Roman"/>
              </w:rPr>
              <w:t>26.258.442</w:t>
            </w:r>
          </w:p>
        </w:tc>
        <w:tc>
          <w:tcPr>
            <w:tcW w:w="2041" w:type="dxa"/>
          </w:tcPr>
          <w:p w:rsidR="005C2091" w:rsidRDefault="00A86293">
            <w:pPr>
              <w:pStyle w:val="CellColumn"/>
              <w:jc w:val="right"/>
            </w:pPr>
            <w:r>
              <w:rPr>
                <w:rFonts w:cs="Times New Roman"/>
              </w:rPr>
              <w:t>28.072.941</w:t>
            </w:r>
          </w:p>
        </w:tc>
        <w:tc>
          <w:tcPr>
            <w:tcW w:w="2041" w:type="dxa"/>
          </w:tcPr>
          <w:p w:rsidR="005C2091" w:rsidRDefault="00A86293">
            <w:pPr>
              <w:pStyle w:val="CellColumn"/>
              <w:jc w:val="right"/>
            </w:pPr>
            <w:r>
              <w:rPr>
                <w:rFonts w:cs="Times New Roman"/>
              </w:rPr>
              <w:t>27.374.249</w:t>
            </w:r>
          </w:p>
        </w:tc>
        <w:tc>
          <w:tcPr>
            <w:tcW w:w="1224" w:type="dxa"/>
          </w:tcPr>
          <w:p w:rsidR="005C2091" w:rsidRDefault="00A86293">
            <w:pPr>
              <w:pStyle w:val="CellColumn"/>
              <w:jc w:val="right"/>
            </w:pPr>
            <w:r>
              <w:rPr>
                <w:rFonts w:cs="Times New Roman"/>
              </w:rPr>
              <w:t>97,5</w:t>
            </w:r>
          </w:p>
        </w:tc>
        <w:tc>
          <w:tcPr>
            <w:tcW w:w="1224" w:type="dxa"/>
          </w:tcPr>
          <w:p w:rsidR="005C2091" w:rsidRDefault="00A86293">
            <w:pPr>
              <w:pStyle w:val="CellColumn"/>
              <w:jc w:val="right"/>
            </w:pPr>
            <w:r>
              <w:rPr>
                <w:rFonts w:cs="Times New Roman"/>
              </w:rPr>
              <w:t>104,2</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osnivanju Hrvatskog centra za poljoprivredu, hranu i selo (»Narodne novine«, br. 25/09, 124/10) </w:t>
      </w:r>
    </w:p>
    <w:p w:rsidR="005C2091" w:rsidRDefault="00A86293">
      <w:r>
        <w:t xml:space="preserve">Zakon o biljnom zdravstvu (»Narodne novine«, br. 75/05, 25/09 i 55/11) </w:t>
      </w:r>
    </w:p>
    <w:p w:rsidR="005C2091" w:rsidRDefault="00A86293">
      <w:r>
        <w:t xml:space="preserve">Zakon o održivoj uporabi pesticida (»Narodne novine«, br. 14/14) </w:t>
      </w:r>
    </w:p>
    <w:p w:rsidR="005C2091" w:rsidRDefault="00A86293">
      <w:r>
        <w:t xml:space="preserve">Zakon o provedbi Uredbe (EZ) br. 1107/2009 o stavljanju na tržište sredstava za zaštitu bilja (»Narodne novine«, br. 80/13) </w:t>
      </w:r>
    </w:p>
    <w:p w:rsidR="005C2091" w:rsidRDefault="00A86293">
      <w:r>
        <w:t xml:space="preserve">Zakon o sjemenu, sadnom materijalu i priznavanju sorti poljoprivrednog bilja (»Narodne novine«, br.140/05, 35/08, 25/09 i 124/10), </w:t>
      </w:r>
    </w:p>
    <w:p w:rsidR="005C2091" w:rsidRDefault="00A86293">
      <w:r>
        <w:t xml:space="preserve">Zakon o zaštiti biljnih sorti (»Narodne novine«, br.131/97, 62/00, 67/08, 124/10) </w:t>
      </w:r>
    </w:p>
    <w:p w:rsidR="005C2091" w:rsidRDefault="00A86293">
      <w:r>
        <w:t xml:space="preserve">Zakon o vinu (»Narodne novine«, br.96/03, 25/09, 22/11, 55/11, 82/13 i 14/14), </w:t>
      </w:r>
    </w:p>
    <w:p w:rsidR="005C2091" w:rsidRDefault="00A86293">
      <w:r>
        <w:t>Zakon o zajedničkoj organizaciji tržišta poljoprivrednih proizvoda i posebnim mjerama i pravilima vezanim za tržište poljoprivrednih proizvoda (»Narodne novine«, br. 82/13).</w:t>
      </w:r>
    </w:p>
    <w:p w:rsidR="005C2091" w:rsidRDefault="00A86293">
      <w:pPr>
        <w:pStyle w:val="Heading8"/>
        <w:jc w:val="left"/>
      </w:pPr>
      <w:r>
        <w:t>Opis aktivnosti</w:t>
      </w:r>
    </w:p>
    <w:p w:rsidR="005C2091" w:rsidRDefault="00A86293">
      <w:r>
        <w:t>U planu proračuna za 2016. godinu planirane su naknade za zaposlene, materijalni i financijski rashodi vezani za obavljanje redovnih djelatnosti HCPHS-a, a koje se odnose na istraživanja, analize, te stručne i znanstvene podloge za potrebe planiranja provođenja i kontrole mjera poljoprivredne i ruralne politike, povećanja konkuretnosti domaće poljoprivrede i agrobiznisa, kao i za sve javne ovlasti u području ispitivanja kakvoće vina, zaštite bilja i izdavanja certifikata u području sjemena i sadnog materijala. U okviru ove aktivnosti utrošeno je ukupno 15.903.540,11 kn za plaće i ostale naknade za zaposlene, te prijevoz na posao i s posla, od čega se iz proračunskih sredstava financiralo (izvor 11) - 15.083.927,32 kn ili 94,8%, te vlastitih prihoda (izvor 31) - 819.612,79 kn ili 5,2%. Preostalim iznosom od 11.707.708,89 kn financirani su ostali materijalni rashodi i to: uredski materijal, materijal i sirovine, energija, službena putovanja, zakupnine i najmnine, intelektualne usluge, računalne usluge, naknade za rad predstavničkih i izvršnih tijela, komunalne usluge, usluge tekućeg i investicijskog održavanja, usluge telefona, pošte i prijevoza, zdravstvene i veterinarske usluge, te ostale nespomenute usluge. Svi ovi materijalni rashodi i usluge financirani su iz namjenskih prihoda zarađenih na tržištu (izvor 43).</w:t>
      </w:r>
    </w:p>
    <w:p w:rsidR="005C2091" w:rsidRDefault="00A86293">
      <w:pPr>
        <w:pStyle w:val="Heading4"/>
      </w:pPr>
      <w:r>
        <w:t>K842002 OPREMANJE USTROJSTVENIH JEDINICA HRVATSKOG CENTRA ZA POLJOPRIVREDU, HRANU I SELO</w:t>
      </w:r>
    </w:p>
    <w:tbl>
      <w:tblPr>
        <w:tblStyle w:val="StilTablice"/>
        <w:tblW w:w="10206" w:type="dxa"/>
        <w:jc w:val="center"/>
        <w:tblLook w:val="04A0" w:firstRow="1" w:lastRow="0" w:firstColumn="1" w:lastColumn="0" w:noHBand="0" w:noVBand="1"/>
      </w:tblPr>
      <w:tblGrid>
        <w:gridCol w:w="1766"/>
        <w:gridCol w:w="2002"/>
        <w:gridCol w:w="2002"/>
        <w:gridCol w:w="2002"/>
        <w:gridCol w:w="1215"/>
        <w:gridCol w:w="1219"/>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K842002-OPREMANJE USTROJSTVENIH JEDINICA HRVATSKOG CENTRA ZA POLJOPRIVREDU, HRANU I SELO</w:t>
            </w:r>
          </w:p>
        </w:tc>
        <w:tc>
          <w:tcPr>
            <w:tcW w:w="2041" w:type="dxa"/>
          </w:tcPr>
          <w:p w:rsidR="005C2091" w:rsidRDefault="00A86293">
            <w:pPr>
              <w:pStyle w:val="CellColumn"/>
              <w:jc w:val="right"/>
            </w:pPr>
            <w:r>
              <w:rPr>
                <w:rFonts w:cs="Times New Roman"/>
              </w:rPr>
              <w:t>1.408.982</w:t>
            </w:r>
          </w:p>
        </w:tc>
        <w:tc>
          <w:tcPr>
            <w:tcW w:w="2041" w:type="dxa"/>
          </w:tcPr>
          <w:p w:rsidR="005C2091" w:rsidRDefault="00A86293">
            <w:pPr>
              <w:pStyle w:val="CellColumn"/>
              <w:jc w:val="right"/>
            </w:pPr>
            <w:r>
              <w:rPr>
                <w:rFonts w:cs="Times New Roman"/>
              </w:rPr>
              <w:t>1.331.000</w:t>
            </w:r>
          </w:p>
        </w:tc>
        <w:tc>
          <w:tcPr>
            <w:tcW w:w="2041" w:type="dxa"/>
          </w:tcPr>
          <w:p w:rsidR="005C2091" w:rsidRDefault="00A86293">
            <w:pPr>
              <w:pStyle w:val="CellColumn"/>
              <w:jc w:val="right"/>
            </w:pPr>
            <w:r>
              <w:rPr>
                <w:rFonts w:cs="Times New Roman"/>
              </w:rPr>
              <w:t>1.242.269</w:t>
            </w:r>
          </w:p>
        </w:tc>
        <w:tc>
          <w:tcPr>
            <w:tcW w:w="1224" w:type="dxa"/>
          </w:tcPr>
          <w:p w:rsidR="005C2091" w:rsidRDefault="00A86293">
            <w:pPr>
              <w:pStyle w:val="CellColumn"/>
              <w:jc w:val="right"/>
            </w:pPr>
            <w:r>
              <w:rPr>
                <w:rFonts w:cs="Times New Roman"/>
              </w:rPr>
              <w:t>93,3</w:t>
            </w:r>
          </w:p>
        </w:tc>
        <w:tc>
          <w:tcPr>
            <w:tcW w:w="1224" w:type="dxa"/>
          </w:tcPr>
          <w:p w:rsidR="005C2091" w:rsidRDefault="00A86293">
            <w:pPr>
              <w:pStyle w:val="CellColumn"/>
              <w:jc w:val="right"/>
            </w:pPr>
            <w:r>
              <w:rPr>
                <w:rFonts w:cs="Times New Roman"/>
              </w:rPr>
              <w:t>88,2</w:t>
            </w:r>
          </w:p>
        </w:tc>
      </w:tr>
    </w:tbl>
    <w:p w:rsidR="005C2091" w:rsidRDefault="005C2091">
      <w:pPr>
        <w:jc w:val="left"/>
      </w:pPr>
    </w:p>
    <w:p w:rsidR="005C2091" w:rsidRDefault="00A86293">
      <w:pPr>
        <w:pStyle w:val="Heading8"/>
        <w:jc w:val="left"/>
      </w:pPr>
      <w:r>
        <w:t>Zakonske i druge pravne osnove</w:t>
      </w:r>
    </w:p>
    <w:p w:rsidR="005C2091" w:rsidRDefault="00A86293">
      <w:r>
        <w:t>Zakon o osnivanju Hrvatskog centra za poljoprivredu, hranu i selo (»Narodne novine«, br. 25/09, 124/10)</w:t>
      </w:r>
    </w:p>
    <w:p w:rsidR="005C2091" w:rsidRDefault="00A86293">
      <w:pPr>
        <w:pStyle w:val="Heading8"/>
        <w:jc w:val="left"/>
      </w:pPr>
      <w:r>
        <w:t>Opis aktivnosti</w:t>
      </w:r>
    </w:p>
    <w:p w:rsidR="005C2091" w:rsidRDefault="00A86293">
      <w:r>
        <w:t>Cilj je osposobiti ustrojstvene jedinice HCPHS-a za redovno obavljanje djelatnosti sukladno zakonskim propisima. Značajna ulaganja koja su izvršena u 2016. godini su ulaganja na tuđoj imovini na zgradi, Rim 98 koje je izvršeno s 92,5%, dodatno ulaganje u građevinske objekte koji su u vlasništvu Centra u Osijeku s 92,11%, ulaganja u laboratorijsku opremu izvršena su  s 77,37%. Ulaganja u strojeve i uređaje za ostale namjene izvršeno je ulaganje u strojeve za obradu zemlje u Osijeku i isto je izvršeno s 142,81% plana. Budući da se radi o financiranju iz namjenskih sredstava (izvor 43) isto ulaganje je moglo biti provedeno.</w:t>
      </w:r>
    </w:p>
    <w:p w:rsidR="005C2091" w:rsidRDefault="00A86293">
      <w:pPr>
        <w:pStyle w:val="Heading4"/>
      </w:pPr>
      <w:r>
        <w:t>K842004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K842004-INFORMATIZACIJA</w:t>
            </w:r>
          </w:p>
        </w:tc>
        <w:tc>
          <w:tcPr>
            <w:tcW w:w="2041" w:type="dxa"/>
          </w:tcPr>
          <w:p w:rsidR="005C2091" w:rsidRDefault="00A86293">
            <w:pPr>
              <w:pStyle w:val="CellColumn"/>
              <w:jc w:val="right"/>
            </w:pPr>
            <w:r>
              <w:rPr>
                <w:rFonts w:cs="Times New Roman"/>
              </w:rPr>
              <w:t>96.739</w:t>
            </w:r>
          </w:p>
        </w:tc>
        <w:tc>
          <w:tcPr>
            <w:tcW w:w="2041" w:type="dxa"/>
          </w:tcPr>
          <w:p w:rsidR="005C2091" w:rsidRDefault="00A86293">
            <w:pPr>
              <w:pStyle w:val="CellColumn"/>
              <w:jc w:val="right"/>
            </w:pPr>
            <w:r>
              <w:rPr>
                <w:rFonts w:cs="Times New Roman"/>
              </w:rPr>
              <w:t>210.000</w:t>
            </w:r>
          </w:p>
        </w:tc>
        <w:tc>
          <w:tcPr>
            <w:tcW w:w="2041" w:type="dxa"/>
          </w:tcPr>
          <w:p w:rsidR="005C2091" w:rsidRDefault="00A86293">
            <w:pPr>
              <w:pStyle w:val="CellColumn"/>
              <w:jc w:val="right"/>
            </w:pPr>
            <w:r>
              <w:rPr>
                <w:rFonts w:cs="Times New Roman"/>
              </w:rPr>
              <w:t>199.786</w:t>
            </w:r>
          </w:p>
        </w:tc>
        <w:tc>
          <w:tcPr>
            <w:tcW w:w="1224" w:type="dxa"/>
          </w:tcPr>
          <w:p w:rsidR="005C2091" w:rsidRDefault="00A86293">
            <w:pPr>
              <w:pStyle w:val="CellColumn"/>
              <w:jc w:val="right"/>
            </w:pPr>
            <w:r>
              <w:rPr>
                <w:rFonts w:cs="Times New Roman"/>
              </w:rPr>
              <w:t>95,1</w:t>
            </w:r>
          </w:p>
        </w:tc>
        <w:tc>
          <w:tcPr>
            <w:tcW w:w="1224" w:type="dxa"/>
          </w:tcPr>
          <w:p w:rsidR="005C2091" w:rsidRDefault="00A86293">
            <w:pPr>
              <w:pStyle w:val="CellColumn"/>
              <w:jc w:val="right"/>
            </w:pPr>
            <w:r>
              <w:rPr>
                <w:rFonts w:cs="Times New Roman"/>
              </w:rPr>
              <w:t>206,5</w:t>
            </w:r>
          </w:p>
        </w:tc>
      </w:tr>
    </w:tbl>
    <w:p w:rsidR="005C2091" w:rsidRDefault="005C2091">
      <w:pPr>
        <w:jc w:val="left"/>
      </w:pPr>
    </w:p>
    <w:p w:rsidR="005C2091" w:rsidRDefault="00A86293">
      <w:pPr>
        <w:pStyle w:val="Heading8"/>
        <w:jc w:val="left"/>
      </w:pPr>
      <w:r>
        <w:t>Zakonske i druge pravne osnove</w:t>
      </w:r>
    </w:p>
    <w:p w:rsidR="005C2091" w:rsidRDefault="00A86293">
      <w:r>
        <w:t>Zakon o osnivanju Hrvatskog centra za poljoprivredu, hranu i selo (»Narodne novine«, br. 25/09, 124/10)</w:t>
      </w:r>
    </w:p>
    <w:p w:rsidR="005C2091" w:rsidRDefault="00A86293">
      <w:pPr>
        <w:pStyle w:val="Heading8"/>
        <w:jc w:val="left"/>
      </w:pPr>
      <w:r>
        <w:t>Opis aktivnosti</w:t>
      </w:r>
    </w:p>
    <w:p w:rsidR="005C2091" w:rsidRDefault="00A86293">
      <w:r>
        <w:t>Za potrebe rada ustrojstvenih jedinica Centra, konkretno Zavoda za zaštitu bilja i Zavoda za vinogradarstvo i vinarstvo, izvršili smo nadogradnju i modernizaciju određenih aplikacija kako bi udovoljavale svim zahtjevima koji su određeni zakonskim regulativama, a i radi podizanja standarda rada, eliminacije dupliciranja posla, te bržeg i jednostavnijeg protoka informacija između stručnjaka kao i s Ministarstvom poljoprivrede, te nabavka računalne opreme. Također je u Uredu ravnatelja nabavljen novi software za urudžbiranje.</w:t>
      </w:r>
    </w:p>
    <w:p w:rsidR="005C2091" w:rsidRDefault="00A86293">
      <w:pPr>
        <w:pStyle w:val="Heading3"/>
      </w:pPr>
      <w:r>
        <w:rPr>
          <w:rFonts w:cs="Times New Roman"/>
        </w:rPr>
        <w:t>3002 POLJOPRIVREDA</w:t>
      </w:r>
    </w:p>
    <w:tbl>
      <w:tblPr>
        <w:tblStyle w:val="StilTablice"/>
        <w:tblW w:w="10206" w:type="dxa"/>
        <w:jc w:val="center"/>
        <w:tblLook w:val="04A0" w:firstRow="1" w:lastRow="0" w:firstColumn="1" w:lastColumn="0" w:noHBand="0" w:noVBand="1"/>
      </w:tblPr>
      <w:tblGrid>
        <w:gridCol w:w="1715"/>
        <w:gridCol w:w="2017"/>
        <w:gridCol w:w="2017"/>
        <w:gridCol w:w="2017"/>
        <w:gridCol w:w="1219"/>
        <w:gridCol w:w="122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3002-POLJOPRIVREDA</w:t>
            </w:r>
          </w:p>
        </w:tc>
        <w:tc>
          <w:tcPr>
            <w:tcW w:w="2041" w:type="dxa"/>
          </w:tcPr>
          <w:p w:rsidR="005C2091" w:rsidRDefault="00A86293">
            <w:pPr>
              <w:pStyle w:val="CellColumn"/>
              <w:jc w:val="right"/>
            </w:pPr>
            <w:r>
              <w:rPr>
                <w:rFonts w:cs="Times New Roman"/>
              </w:rPr>
              <w:t>1.853.273</w:t>
            </w:r>
          </w:p>
        </w:tc>
        <w:tc>
          <w:tcPr>
            <w:tcW w:w="2041" w:type="dxa"/>
          </w:tcPr>
          <w:p w:rsidR="005C2091" w:rsidRDefault="00A86293">
            <w:pPr>
              <w:pStyle w:val="CellColumn"/>
              <w:jc w:val="right"/>
            </w:pPr>
            <w:r>
              <w:rPr>
                <w:rFonts w:cs="Times New Roman"/>
              </w:rPr>
              <w:t>2.175.200</w:t>
            </w:r>
          </w:p>
        </w:tc>
        <w:tc>
          <w:tcPr>
            <w:tcW w:w="2041" w:type="dxa"/>
          </w:tcPr>
          <w:p w:rsidR="005C2091" w:rsidRDefault="00A86293">
            <w:pPr>
              <w:pStyle w:val="CellColumn"/>
              <w:jc w:val="right"/>
            </w:pPr>
            <w:r>
              <w:rPr>
                <w:rFonts w:cs="Times New Roman"/>
              </w:rPr>
              <w:t>1.860.737</w:t>
            </w:r>
          </w:p>
        </w:tc>
        <w:tc>
          <w:tcPr>
            <w:tcW w:w="1224" w:type="dxa"/>
          </w:tcPr>
          <w:p w:rsidR="005C2091" w:rsidRDefault="00A86293">
            <w:pPr>
              <w:pStyle w:val="CellColumn"/>
              <w:jc w:val="right"/>
            </w:pPr>
            <w:r>
              <w:rPr>
                <w:rFonts w:cs="Times New Roman"/>
              </w:rPr>
              <w:t>85,5</w:t>
            </w:r>
          </w:p>
        </w:tc>
        <w:tc>
          <w:tcPr>
            <w:tcW w:w="1224" w:type="dxa"/>
          </w:tcPr>
          <w:p w:rsidR="005C2091" w:rsidRDefault="00A86293">
            <w:pPr>
              <w:pStyle w:val="CellColumn"/>
              <w:jc w:val="right"/>
            </w:pPr>
            <w:r>
              <w:rPr>
                <w:rFonts w:cs="Times New Roman"/>
              </w:rPr>
              <w:t>100,4</w:t>
            </w:r>
          </w:p>
        </w:tc>
      </w:tr>
    </w:tbl>
    <w:p w:rsidR="005C2091" w:rsidRDefault="005C2091">
      <w:pPr>
        <w:jc w:val="left"/>
      </w:pPr>
    </w:p>
    <w:p w:rsidR="005C2091" w:rsidRDefault="00A86293">
      <w:r>
        <w:t xml:space="preserve">Program istraživanja uzgoja poljoprivrednih kultura će obuhvatiti jezgričavo i koštićavo voće (jabuka, kruška, šljiva, trešnja, višnja, marelica…), mediteranskih kultura (maslina, agrumi, smokva ...), sjemenarsku proizvodnju, vinovu lozu itd. </w:t>
      </w:r>
    </w:p>
    <w:p w:rsidR="005C2091" w:rsidRDefault="00A86293">
      <w:r>
        <w:t>Praćenje i istraživanje će se obavljati na vlastitim pokušalištima u Zelini, Kaštelima, Osijeku i drugim površinama koje koristi Centar.</w:t>
      </w:r>
    </w:p>
    <w:p w:rsidR="005C2091" w:rsidRDefault="00A86293">
      <w:pPr>
        <w:pStyle w:val="Heading8"/>
        <w:jc w:val="left"/>
      </w:pPr>
      <w:r>
        <w:t xml:space="preserve">Cilj 1. Unapređenje uzgoja poljoprivrednih kultura </w:t>
      </w:r>
    </w:p>
    <w:p w:rsidR="005C2091" w:rsidRDefault="00A86293">
      <w:pPr>
        <w:pStyle w:val="Heading8"/>
        <w:jc w:val="left"/>
      </w:pPr>
      <w:r>
        <w:t>Opis provedbe cilja programa</w:t>
      </w:r>
    </w:p>
    <w:p w:rsidR="005C2091" w:rsidRDefault="00A86293">
      <w:r>
        <w:t>U području sjemenarstva i rasadničarstva obavljaju se sljedeći poslovi: Ispitivanja novih biljnih sorti za potrebe  stavljanja sorti na sortnu listu. Ova ispitivanja sastoje se od ispitivanja gospodarske vrijednosti (VCU) i ispitivanja različitosti, ujednačenosti i stabilnosti (DUS). DUS ispitivanja na sortama nekih biljnih vrsta obavljaju se i za potrebe zaštite biljnih sorti. Obavlja se nadzor nad proizvodnjom sjemena  i  sadnog materijala temeljem čega se obavlja  postupak izdavanja certifikata za sjeme krmnog bilja, žitarica,  repa, povrća, krumpira, uljarica i predivog bilja, te sadni materijal voćnih vrsta i loza. Provodi se nadzor nad radom ovlaštenih laboratorija, nadzor nad radom ovlaštenih uzorkivača, nadzor nad radom ovlaštenih održivača sorti, provjere postojanja uvjeta za upis u upisnike dobavljača,  laboratorija i  uzorkivača  sjemena, odobrava  dobavljaču  obavljanja nadzora pod stručnom kontrolom. Također se obavlja poljoprivredna proizvodnja na površinama namjenjenim postavljanju sortnih pokusa i pokusa pred i post-kontrole kako  bi  ih  se  držalo  u  primjerenoj  kondiciji  za  navedenu namjenu. Cilj  je unaprijediti sjemensku proizvodnju kroz aktivnosti priznavanja sorti te pred i post kontrolu sjemenske proizvodnje. Kroz navedene aktivnosti dobivaju se i podaci o isplativosti agrotehničkih  mjera i sorti, koje će biti dane na uvid široj poljoprivrednoj javnosti.</w:t>
      </w:r>
    </w:p>
    <w:p w:rsidR="005C2091" w:rsidRDefault="00A86293">
      <w:pPr>
        <w:pStyle w:val="Heading8"/>
        <w:jc w:val="left"/>
      </w:pPr>
      <w:r>
        <w:t xml:space="preserve">Cilj 2. Unaprjeđenje voćarstva u Republici </w:t>
      </w:r>
    </w:p>
    <w:p w:rsidR="005C2091" w:rsidRDefault="00A86293">
      <w:pPr>
        <w:pStyle w:val="Heading8"/>
        <w:jc w:val="left"/>
      </w:pPr>
      <w:r>
        <w:t>Opis provedbe cilja programa</w:t>
      </w:r>
    </w:p>
    <w:p w:rsidR="005C2091" w:rsidRDefault="00A86293">
      <w:r>
        <w:t>Cilj je  na  temelju  dobivenih  rezulatata  istraživanja dati  preporuke  vezano  na odabir podloga, kultivara, prikladnost područja uzgoja, organičavajuće faktore pri uzgoju, te općenito tehnologiju uzgoja voćnih sorti.</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novih sorti</w:t>
            </w:r>
          </w:p>
        </w:tc>
        <w:tc>
          <w:tcPr>
            <w:tcW w:w="2551" w:type="dxa"/>
          </w:tcPr>
          <w:p w:rsidR="005C2091" w:rsidRDefault="00A86293">
            <w:pPr>
              <w:pStyle w:val="CellColumn"/>
              <w:jc w:val="left"/>
            </w:pPr>
            <w:r>
              <w:rPr>
                <w:rFonts w:cs="Times New Roman"/>
              </w:rPr>
              <w:t>Utvrđi</w:t>
            </w:r>
            <w:r w:rsidR="00D3530B">
              <w:rPr>
                <w:rFonts w:cs="Times New Roman"/>
              </w:rPr>
              <w:t xml:space="preserve">vanje  kriterija dodjeljiva nja </w:t>
            </w:r>
            <w:r>
              <w:rPr>
                <w:rFonts w:cs="Times New Roman"/>
              </w:rPr>
              <w:t>oplemenjivačkog prava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24</w:t>
            </w:r>
          </w:p>
        </w:tc>
        <w:tc>
          <w:tcPr>
            <w:tcW w:w="1020" w:type="dxa"/>
          </w:tcPr>
          <w:p w:rsidR="005C2091" w:rsidRDefault="00A86293">
            <w:pPr>
              <w:pStyle w:val="CellColumn"/>
              <w:jc w:val="right"/>
            </w:pPr>
            <w:r>
              <w:rPr>
                <w:rFonts w:cs="Times New Roman"/>
              </w:rPr>
              <w:t>10</w:t>
            </w:r>
          </w:p>
        </w:tc>
      </w:tr>
      <w:tr w:rsidR="005C2091">
        <w:trPr>
          <w:jc w:val="center"/>
        </w:trPr>
        <w:tc>
          <w:tcPr>
            <w:tcW w:w="2551" w:type="dxa"/>
          </w:tcPr>
          <w:p w:rsidR="005C2091" w:rsidRDefault="00A86293">
            <w:pPr>
              <w:pStyle w:val="CellColumn"/>
              <w:jc w:val="left"/>
            </w:pPr>
            <w:r>
              <w:rPr>
                <w:rFonts w:cs="Times New Roman"/>
              </w:rPr>
              <w:t>Broj sorti</w:t>
            </w:r>
          </w:p>
        </w:tc>
        <w:tc>
          <w:tcPr>
            <w:tcW w:w="2551" w:type="dxa"/>
          </w:tcPr>
          <w:p w:rsidR="005C2091" w:rsidRPr="00D3530B" w:rsidRDefault="00A86293">
            <w:pPr>
              <w:pStyle w:val="CellColumn"/>
              <w:jc w:val="left"/>
              <w:rPr>
                <w:rFonts w:cs="Times New Roman"/>
              </w:rPr>
            </w:pPr>
            <w:r>
              <w:rPr>
                <w:rFonts w:cs="Times New Roman"/>
              </w:rPr>
              <w:t xml:space="preserve">Postupak </w:t>
            </w:r>
            <w:r w:rsidR="00D3530B">
              <w:rPr>
                <w:rFonts w:cs="Times New Roman"/>
              </w:rPr>
              <w:t>ispitivanja sorti</w:t>
            </w:r>
            <w:r w:rsidR="00D3530B">
              <w:rPr>
                <w:rFonts w:cs="Times New Roman"/>
              </w:rPr>
              <w:tab/>
              <w:t xml:space="preserve">u svrhu upisa </w:t>
            </w:r>
            <w:r>
              <w:rPr>
                <w:rFonts w:cs="Times New Roman"/>
              </w:rPr>
              <w:t>u sortnu listu</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200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330</w:t>
            </w:r>
          </w:p>
        </w:tc>
        <w:tc>
          <w:tcPr>
            <w:tcW w:w="1020" w:type="dxa"/>
          </w:tcPr>
          <w:p w:rsidR="005C2091" w:rsidRDefault="00A86293">
            <w:pPr>
              <w:pStyle w:val="CellColumn"/>
              <w:jc w:val="right"/>
            </w:pPr>
            <w:r>
              <w:rPr>
                <w:rFonts w:cs="Times New Roman"/>
              </w:rPr>
              <w:t>130</w:t>
            </w:r>
          </w:p>
        </w:tc>
      </w:tr>
      <w:tr w:rsidR="005C2091">
        <w:trPr>
          <w:jc w:val="center"/>
        </w:trPr>
        <w:tc>
          <w:tcPr>
            <w:tcW w:w="2551" w:type="dxa"/>
          </w:tcPr>
          <w:p w:rsidR="005C2091" w:rsidRDefault="00A86293">
            <w:pPr>
              <w:pStyle w:val="CellColumn"/>
              <w:jc w:val="left"/>
            </w:pPr>
            <w:r>
              <w:rPr>
                <w:rFonts w:cs="Times New Roman"/>
              </w:rPr>
              <w:t>Broj introduciranih sort</w:t>
            </w:r>
          </w:p>
        </w:tc>
        <w:tc>
          <w:tcPr>
            <w:tcW w:w="2551" w:type="dxa"/>
          </w:tcPr>
          <w:p w:rsidR="005C2091" w:rsidRDefault="00A86293">
            <w:pPr>
              <w:pStyle w:val="CellColumn"/>
              <w:jc w:val="left"/>
            </w:pPr>
            <w:r>
              <w:rPr>
                <w:rFonts w:cs="Times New Roman"/>
              </w:rPr>
              <w:t>Očuvanje biljnih genetskih izvora voćnih vrsta</w:t>
            </w:r>
          </w:p>
        </w:tc>
        <w:tc>
          <w:tcPr>
            <w:tcW w:w="1020" w:type="dxa"/>
          </w:tcPr>
          <w:p w:rsidR="005C2091" w:rsidRDefault="00A86293">
            <w:pPr>
              <w:pStyle w:val="CellColumn"/>
              <w:jc w:val="right"/>
            </w:pPr>
            <w:r>
              <w:rPr>
                <w:rFonts w:cs="Times New Roman"/>
              </w:rPr>
              <w:t>sorta</w:t>
            </w:r>
          </w:p>
        </w:tc>
        <w:tc>
          <w:tcPr>
            <w:tcW w:w="1020" w:type="dxa"/>
          </w:tcPr>
          <w:p w:rsidR="005C2091" w:rsidRDefault="00A86293">
            <w:pPr>
              <w:pStyle w:val="CellColumn"/>
              <w:jc w:val="right"/>
            </w:pPr>
            <w:r>
              <w:rPr>
                <w:rFonts w:cs="Times New Roman"/>
              </w:rPr>
              <w:t>110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165</w:t>
            </w:r>
          </w:p>
        </w:tc>
        <w:tc>
          <w:tcPr>
            <w:tcW w:w="1020" w:type="dxa"/>
          </w:tcPr>
          <w:p w:rsidR="005C2091" w:rsidRDefault="00A86293">
            <w:pPr>
              <w:pStyle w:val="CellColumn"/>
              <w:jc w:val="right"/>
            </w:pPr>
            <w:r>
              <w:rPr>
                <w:rFonts w:cs="Times New Roman"/>
              </w:rPr>
              <w:t>210</w:t>
            </w:r>
          </w:p>
        </w:tc>
      </w:tr>
    </w:tbl>
    <w:p w:rsidR="005C2091" w:rsidRDefault="005C2091">
      <w:pPr>
        <w:jc w:val="left"/>
      </w:pPr>
    </w:p>
    <w:p w:rsidR="005C2091" w:rsidRDefault="00A86293">
      <w:pPr>
        <w:pStyle w:val="Heading4"/>
      </w:pPr>
      <w:r>
        <w:t>A842016 POKUŠALIŠTA OSIJEK</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A842016-POKUŠALIŠTA OSIJEK</w:t>
            </w:r>
          </w:p>
        </w:tc>
        <w:tc>
          <w:tcPr>
            <w:tcW w:w="2041" w:type="dxa"/>
          </w:tcPr>
          <w:p w:rsidR="005C2091" w:rsidRDefault="00A86293">
            <w:pPr>
              <w:pStyle w:val="CellColumn"/>
              <w:jc w:val="right"/>
            </w:pPr>
            <w:r>
              <w:rPr>
                <w:rFonts w:cs="Times New Roman"/>
              </w:rPr>
              <w:t>1.376.731</w:t>
            </w:r>
          </w:p>
        </w:tc>
        <w:tc>
          <w:tcPr>
            <w:tcW w:w="2041" w:type="dxa"/>
          </w:tcPr>
          <w:p w:rsidR="005C2091" w:rsidRDefault="00A86293">
            <w:pPr>
              <w:pStyle w:val="CellColumn"/>
              <w:jc w:val="right"/>
            </w:pPr>
            <w:r>
              <w:rPr>
                <w:rFonts w:cs="Times New Roman"/>
              </w:rPr>
              <w:t>1.628.000</w:t>
            </w:r>
          </w:p>
        </w:tc>
        <w:tc>
          <w:tcPr>
            <w:tcW w:w="2041" w:type="dxa"/>
          </w:tcPr>
          <w:p w:rsidR="005C2091" w:rsidRDefault="00A86293">
            <w:pPr>
              <w:pStyle w:val="CellColumn"/>
              <w:jc w:val="right"/>
            </w:pPr>
            <w:r>
              <w:rPr>
                <w:rFonts w:cs="Times New Roman"/>
              </w:rPr>
              <w:t>1.578.751</w:t>
            </w:r>
          </w:p>
        </w:tc>
        <w:tc>
          <w:tcPr>
            <w:tcW w:w="1224" w:type="dxa"/>
          </w:tcPr>
          <w:p w:rsidR="005C2091" w:rsidRDefault="00A86293">
            <w:pPr>
              <w:pStyle w:val="CellColumn"/>
              <w:jc w:val="right"/>
            </w:pPr>
            <w:r>
              <w:rPr>
                <w:rFonts w:cs="Times New Roman"/>
              </w:rPr>
              <w:t>97,0</w:t>
            </w:r>
          </w:p>
        </w:tc>
        <w:tc>
          <w:tcPr>
            <w:tcW w:w="1224" w:type="dxa"/>
          </w:tcPr>
          <w:p w:rsidR="005C2091" w:rsidRDefault="00A86293">
            <w:pPr>
              <w:pStyle w:val="CellColumn"/>
              <w:jc w:val="right"/>
            </w:pPr>
            <w:r>
              <w:rPr>
                <w:rFonts w:cs="Times New Roman"/>
              </w:rPr>
              <w:t>114,7</w:t>
            </w:r>
          </w:p>
        </w:tc>
      </w:tr>
    </w:tbl>
    <w:p w:rsidR="005C2091" w:rsidRDefault="005C2091">
      <w:pPr>
        <w:jc w:val="left"/>
      </w:pPr>
    </w:p>
    <w:p w:rsidR="005C2091" w:rsidRDefault="00A86293">
      <w:pPr>
        <w:pStyle w:val="Heading8"/>
        <w:jc w:val="left"/>
      </w:pPr>
      <w:r>
        <w:t>Zakonske i druge pravne osnove</w:t>
      </w:r>
    </w:p>
    <w:p w:rsidR="005C2091" w:rsidRDefault="00A86293">
      <w:r>
        <w:t>Zakon o osnivanju Hrvatskog centra za poljoprivredu, hranu i selo (»Narodne novine«, br. 25/09, 124/10)</w:t>
      </w:r>
    </w:p>
    <w:p w:rsidR="005C2091" w:rsidRDefault="00A86293">
      <w:pPr>
        <w:pStyle w:val="Heading8"/>
        <w:jc w:val="left"/>
      </w:pPr>
      <w:r>
        <w:t>Opis aktivnosti</w:t>
      </w:r>
    </w:p>
    <w:p w:rsidR="005C2091" w:rsidRDefault="00A86293">
      <w:r>
        <w:t xml:space="preserve">Aktivnosti po ovom programu usmjerene su u dva pravca. Primarno je dovesti poljoprivredne površine u stanje ujednačenosti tla pogodno za postavljanje pokusa za priznavanje sorti, te pred i post-kontrolu sjemenske proizvodnje. Drugi sekundarni cilj je provjeriti različite agrotehnike i sorte radi pribavljanja podataka o isplativnosti istih kako bi se rezultati stavili na uvid široj poljoprivrednoj javnosti. </w:t>
      </w:r>
    </w:p>
    <w:p w:rsidR="005C2091" w:rsidRDefault="00A86293">
      <w:r>
        <w:t>Na površinama na koje dolaze pokusi ne smije biti vidljivih tragova prethodnih pokusa koji bi mogli utjecati na izražajnost svojstava sorti koje se ispituju. Za ovo je potrebno na odgovarajućoj površini rotirati različite usjeve kroz 3-5 godina ovisno o biljnoj vrsti, te primjeniti odgovarajuću plodosmjenu. Za postizanje drugog cilja provodi se proizvodnja ratarskih kultura na pojedinim tablama uz korištenje različitog (najraširenijeg) sortimenta i različitih tehnika uzgoja (obrade, gnojidbe i primjene pesticida) kako bi se dobio uvid u isplativost istih. Kao rezultat ostaje znatna količina poljoprivrednih proizvoda čija vrijednost treba pokriti trošak postavljanja i provođenja pokusa.</w:t>
      </w:r>
    </w:p>
    <w:p w:rsidR="005C2091" w:rsidRDefault="00A86293">
      <w:pPr>
        <w:pStyle w:val="Heading4"/>
      </w:pPr>
      <w:r>
        <w:t>K842007 SIT TEHNIKA ZAŠTITE BILJA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K842007-SIT TEHNIKA ZAŠTITE BILJA</w:t>
            </w:r>
          </w:p>
        </w:tc>
        <w:tc>
          <w:tcPr>
            <w:tcW w:w="2041" w:type="dxa"/>
          </w:tcPr>
          <w:p w:rsidR="005C2091" w:rsidRDefault="00A86293">
            <w:pPr>
              <w:pStyle w:val="CellColumn"/>
              <w:jc w:val="right"/>
            </w:pPr>
            <w:r>
              <w:rPr>
                <w:rFonts w:cs="Times New Roman"/>
              </w:rPr>
              <w:t>120.971</w:t>
            </w:r>
          </w:p>
        </w:tc>
        <w:tc>
          <w:tcPr>
            <w:tcW w:w="2041" w:type="dxa"/>
          </w:tcPr>
          <w:p w:rsidR="005C2091" w:rsidRDefault="00A86293">
            <w:pPr>
              <w:pStyle w:val="CellColumn"/>
              <w:jc w:val="right"/>
            </w:pPr>
            <w:r>
              <w:rPr>
                <w:rFonts w:cs="Times New Roman"/>
              </w:rPr>
              <w:t>287.000</w:t>
            </w:r>
          </w:p>
        </w:tc>
        <w:tc>
          <w:tcPr>
            <w:tcW w:w="2041" w:type="dxa"/>
          </w:tcPr>
          <w:p w:rsidR="005C2091" w:rsidRDefault="00A86293">
            <w:pPr>
              <w:pStyle w:val="CellColumn"/>
              <w:jc w:val="right"/>
            </w:pPr>
            <w:r>
              <w:rPr>
                <w:rFonts w:cs="Times New Roman"/>
              </w:rPr>
              <w:t>53.335</w:t>
            </w:r>
          </w:p>
        </w:tc>
        <w:tc>
          <w:tcPr>
            <w:tcW w:w="1224" w:type="dxa"/>
          </w:tcPr>
          <w:p w:rsidR="005C2091" w:rsidRDefault="00A86293">
            <w:pPr>
              <w:pStyle w:val="CellColumn"/>
              <w:jc w:val="right"/>
            </w:pPr>
            <w:r>
              <w:rPr>
                <w:rFonts w:cs="Times New Roman"/>
              </w:rPr>
              <w:t>18,6</w:t>
            </w:r>
          </w:p>
        </w:tc>
        <w:tc>
          <w:tcPr>
            <w:tcW w:w="1224" w:type="dxa"/>
          </w:tcPr>
          <w:p w:rsidR="005C2091" w:rsidRDefault="00A86293">
            <w:pPr>
              <w:pStyle w:val="CellColumn"/>
              <w:jc w:val="right"/>
            </w:pPr>
            <w:r>
              <w:rPr>
                <w:rFonts w:cs="Times New Roman"/>
              </w:rPr>
              <w:t>44,1</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osnivanju Hrvatskog centra za poljoprivredu, hranu i selo (»Narodne novine«, br. 25/09, 124/10) </w:t>
      </w:r>
    </w:p>
    <w:p w:rsidR="005C2091" w:rsidRDefault="00A86293">
      <w:r>
        <w:t xml:space="preserve">Zakon o biljnom zdravstvu (»Narodne novine«, br. 75/05, 25/09 i 55/11) </w:t>
      </w:r>
    </w:p>
    <w:p w:rsidR="005C2091" w:rsidRDefault="00A86293">
      <w:r>
        <w:t>Naredba o sprječavanju širenja i suzbijanja sredozemne voćne muhe - Ceratitis capitata (»Narodne novine«, br. 34/2015)</w:t>
      </w:r>
    </w:p>
    <w:p w:rsidR="005C2091" w:rsidRDefault="00A86293">
      <w:pPr>
        <w:pStyle w:val="Heading8"/>
        <w:jc w:val="left"/>
      </w:pPr>
      <w:r>
        <w:t>Opis aktivnosti</w:t>
      </w:r>
    </w:p>
    <w:p w:rsidR="005C2091" w:rsidRDefault="00A86293">
      <w:r>
        <w:t xml:space="preserve">Program je implementacija metode oslobađanja sterilnih kukaca i eliminiranje upotrebe sredstava za zaštitu bilja u zaštiti voćnih vrsta s naglaskom na mandarinu. Program se provodi temeljem Naredbe o sprječavanju širenja i suzbijanju sredozemne voćne muhe (»Narodne novine« br. 34/2015) u suradnji s Međunarodnom agencijom za atomsku energiju. </w:t>
      </w:r>
    </w:p>
    <w:p w:rsidR="005C2091" w:rsidRDefault="00A86293">
      <w:r>
        <w:t>Budući da je u 2016. godini izostala planirana donacija u materijalu IAEA, već će isto biti realizirano u 2017. godini izvršenje je znatno manje od plana.</w:t>
      </w:r>
    </w:p>
    <w:p w:rsidR="005C2091" w:rsidRDefault="00A86293">
      <w:pPr>
        <w:pStyle w:val="Heading4"/>
      </w:pPr>
      <w:r>
        <w:t>K842008 POKUŠALIŠTA ZAVODA ZA VOĆARSTVO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K842008-POKUŠALIŠTA ZAVODA ZA VOĆARSTVO</w:t>
            </w:r>
          </w:p>
        </w:tc>
        <w:tc>
          <w:tcPr>
            <w:tcW w:w="2041" w:type="dxa"/>
          </w:tcPr>
          <w:p w:rsidR="005C2091" w:rsidRDefault="00A86293">
            <w:pPr>
              <w:pStyle w:val="CellColumn"/>
              <w:jc w:val="right"/>
            </w:pPr>
            <w:r>
              <w:rPr>
                <w:rFonts w:cs="Times New Roman"/>
              </w:rPr>
              <w:t>355.570</w:t>
            </w:r>
          </w:p>
        </w:tc>
        <w:tc>
          <w:tcPr>
            <w:tcW w:w="2041" w:type="dxa"/>
          </w:tcPr>
          <w:p w:rsidR="005C2091" w:rsidRDefault="00A86293">
            <w:pPr>
              <w:pStyle w:val="CellColumn"/>
              <w:jc w:val="right"/>
            </w:pPr>
            <w:r>
              <w:rPr>
                <w:rFonts w:cs="Times New Roman"/>
              </w:rPr>
              <w:t>260.200</w:t>
            </w:r>
          </w:p>
        </w:tc>
        <w:tc>
          <w:tcPr>
            <w:tcW w:w="2041" w:type="dxa"/>
          </w:tcPr>
          <w:p w:rsidR="005C2091" w:rsidRDefault="00A86293">
            <w:pPr>
              <w:pStyle w:val="CellColumn"/>
              <w:jc w:val="right"/>
            </w:pPr>
            <w:r>
              <w:rPr>
                <w:rFonts w:cs="Times New Roman"/>
              </w:rPr>
              <w:t>228.651</w:t>
            </w:r>
          </w:p>
        </w:tc>
        <w:tc>
          <w:tcPr>
            <w:tcW w:w="1224" w:type="dxa"/>
          </w:tcPr>
          <w:p w:rsidR="005C2091" w:rsidRDefault="00A86293">
            <w:pPr>
              <w:pStyle w:val="CellColumn"/>
              <w:jc w:val="right"/>
            </w:pPr>
            <w:r>
              <w:rPr>
                <w:rFonts w:cs="Times New Roman"/>
              </w:rPr>
              <w:t>87,9</w:t>
            </w:r>
          </w:p>
        </w:tc>
        <w:tc>
          <w:tcPr>
            <w:tcW w:w="1224" w:type="dxa"/>
          </w:tcPr>
          <w:p w:rsidR="005C2091" w:rsidRDefault="00A86293">
            <w:pPr>
              <w:pStyle w:val="CellColumn"/>
              <w:jc w:val="right"/>
            </w:pPr>
            <w:r>
              <w:rPr>
                <w:rFonts w:cs="Times New Roman"/>
              </w:rPr>
              <w:t>64,3</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osnivanju Hrvatskog centra za poljoprivredu, hranu i selo (»Narodne novine«, br. 25/09, 124/10) </w:t>
      </w:r>
    </w:p>
    <w:p w:rsidR="005C2091" w:rsidRDefault="00A86293">
      <w:r>
        <w:t xml:space="preserve">Zakon o poljoprivredi (»Narodne novine«, br. 30/15) </w:t>
      </w:r>
    </w:p>
    <w:p w:rsidR="005C2091" w:rsidRDefault="00A86293">
      <w:r>
        <w:t xml:space="preserve">Pravilnik o upisu sorti u popis sorti voćnih vrsta (»Narodne novine«, br. 89/09, 77/13, 118/16) </w:t>
      </w:r>
    </w:p>
    <w:p w:rsidR="005C2091" w:rsidRDefault="00A86293">
      <w:r>
        <w:t>Pravilnik o postupku utvrđivanja različitosti, ujednačenosti i postojanosti voćnih vrsta u svrhu priznavanja sorti (»Narodne novine«, br. 121/16).</w:t>
      </w:r>
    </w:p>
    <w:p w:rsidR="005C2091" w:rsidRDefault="00A86293">
      <w:pPr>
        <w:pStyle w:val="Heading8"/>
        <w:jc w:val="left"/>
      </w:pPr>
      <w:r>
        <w:t>Opis aktivnosti</w:t>
      </w:r>
    </w:p>
    <w:p w:rsidR="005C2091" w:rsidRDefault="00A86293">
      <w:r>
        <w:t xml:space="preserve">Zavod za voćarstvo provodi istraživanja temeljena na Zakonu o sjemenu, sadnom materijalu i priznavanju sorti poljoprivrednog bilja (»Narodne novine«, br. 140/05) na više pokušališta koja su smještena na lokalitetima Zelina (Grad Sv. Ivan Zelina) i Kaštel Štafilić (SDŽ), s ciljem realizacije primjenjenih istraživanja u voćarstvu što uključuje različita istraživanja sorti i podloga voćnih vrsta na razini predintrodukcije, introdukcije, sortnih pokusa, "post-harvest" pokusa, formiranja kolekcijskog nasada, te ostalih relevantnih stručnih i znanstvenih istraživanja. </w:t>
      </w:r>
    </w:p>
    <w:p w:rsidR="005C2091" w:rsidRDefault="00A86293">
      <w:r>
        <w:t>Korisnici usluga su svi oni koji se izravno i neizravno bave voćarskom proizvodnjom, među ostalim i znanstveno-obrazovne institucije, te ministarstva koja se bave strateškim planiranjima. Primjenom rezultata istraživanja stvaraju se temeljne informacije koje su potrebne za odluke, planiranja i investiranja, što u konačnici utječe na pozitivne financijske rezultate poslovanja. Bez obzira što je izvršenje plana 87,9% odrađeni su svi planirani poslovi i zadaci sa znatno manjim sredstvima nego prethodnih godina, a što je u skladu sa smjernicama ekonomske politike Vlade.</w:t>
      </w:r>
    </w:p>
    <w:p w:rsidR="005C2091" w:rsidRDefault="00A86293">
      <w:pPr>
        <w:pStyle w:val="Heading3"/>
      </w:pPr>
      <w:r>
        <w:rPr>
          <w:rFonts w:cs="Times New Roman"/>
        </w:rPr>
        <w:t>3003 VETERINARSTVO I SIGURNOST HRANE</w:t>
      </w:r>
    </w:p>
    <w:tbl>
      <w:tblPr>
        <w:tblStyle w:val="StilTablice"/>
        <w:tblW w:w="10206" w:type="dxa"/>
        <w:jc w:val="center"/>
        <w:tblLook w:val="04A0" w:firstRow="1" w:lastRow="0" w:firstColumn="1" w:lastColumn="0" w:noHBand="0" w:noVBand="1"/>
      </w:tblPr>
      <w:tblGrid>
        <w:gridCol w:w="1770"/>
        <w:gridCol w:w="2000"/>
        <w:gridCol w:w="2001"/>
        <w:gridCol w:w="2001"/>
        <w:gridCol w:w="1215"/>
        <w:gridCol w:w="1219"/>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3003-VETERINARSTVO I SIGURNOST HRANE</w:t>
            </w:r>
          </w:p>
        </w:tc>
        <w:tc>
          <w:tcPr>
            <w:tcW w:w="2041" w:type="dxa"/>
          </w:tcPr>
          <w:p w:rsidR="005C2091" w:rsidRDefault="00A86293">
            <w:pPr>
              <w:pStyle w:val="CellColumn"/>
              <w:jc w:val="right"/>
            </w:pPr>
            <w:r>
              <w:rPr>
                <w:rFonts w:cs="Times New Roman"/>
              </w:rPr>
              <w:t>2.694.072</w:t>
            </w:r>
          </w:p>
        </w:tc>
        <w:tc>
          <w:tcPr>
            <w:tcW w:w="2041" w:type="dxa"/>
          </w:tcPr>
          <w:p w:rsidR="005C2091" w:rsidRDefault="00A86293">
            <w:pPr>
              <w:pStyle w:val="CellColumn"/>
              <w:jc w:val="right"/>
            </w:pPr>
            <w:r>
              <w:rPr>
                <w:rFonts w:cs="Times New Roman"/>
              </w:rPr>
              <w:t>2.314.926</w:t>
            </w:r>
          </w:p>
        </w:tc>
        <w:tc>
          <w:tcPr>
            <w:tcW w:w="2041" w:type="dxa"/>
          </w:tcPr>
          <w:p w:rsidR="005C2091" w:rsidRDefault="00A86293">
            <w:pPr>
              <w:pStyle w:val="CellColumn"/>
              <w:jc w:val="right"/>
            </w:pPr>
            <w:r>
              <w:rPr>
                <w:rFonts w:cs="Times New Roman"/>
              </w:rPr>
              <w:t>2.073.071</w:t>
            </w:r>
          </w:p>
        </w:tc>
        <w:tc>
          <w:tcPr>
            <w:tcW w:w="1224" w:type="dxa"/>
          </w:tcPr>
          <w:p w:rsidR="005C2091" w:rsidRDefault="00A86293">
            <w:pPr>
              <w:pStyle w:val="CellColumn"/>
              <w:jc w:val="right"/>
            </w:pPr>
            <w:r>
              <w:rPr>
                <w:rFonts w:cs="Times New Roman"/>
              </w:rPr>
              <w:t>89,6</w:t>
            </w:r>
          </w:p>
        </w:tc>
        <w:tc>
          <w:tcPr>
            <w:tcW w:w="1224" w:type="dxa"/>
          </w:tcPr>
          <w:p w:rsidR="005C2091" w:rsidRDefault="00A86293">
            <w:pPr>
              <w:pStyle w:val="CellColumn"/>
              <w:jc w:val="right"/>
            </w:pPr>
            <w:r>
              <w:rPr>
                <w:rFonts w:cs="Times New Roman"/>
              </w:rPr>
              <w:t>76,9</w:t>
            </w:r>
          </w:p>
        </w:tc>
      </w:tr>
    </w:tbl>
    <w:p w:rsidR="005C2091" w:rsidRDefault="005C2091">
      <w:pPr>
        <w:jc w:val="left"/>
      </w:pPr>
    </w:p>
    <w:p w:rsidR="005C2091" w:rsidRDefault="00A86293">
      <w:r>
        <w:t xml:space="preserve">RH kao i druge zemlje planira i provodi nacionalnu politiku biljnog zdravstva s ciljem zdravstvene zaštite bilja od štetnih organizama bilja kako bi se spriječilo propadanje poljoprivrednih usjeva i prinosa, te zajamčila sigurnost trajne opskrbe stanovništva zdravom hranom biljnog podrijetla visoke kakvoće. Primarni cilj biljnog zdravstva jest zdravstvena zaštita bilja, biljnih proizvoda i drugih nadziranih predmeta od štetnih organizama bilja, sprečavanje unošenja u RH i širenja štetnih organizama bilja, utvrđivanje prisutnosti i određivanje vrsta štetnih organizama, omogućavanje optimalne proizvodnje i trgovine biljem, pravilna primjena sredstava za zaštitu bilja, zaštita okoliša od posljedica djelovanja štetnih organizama bilja, uvođenje biološke zaštite bilja i usmjeravanje razvoja zdravstvene zaštite bilja, omogućavanje izobrazbe i podizanja svijesti stanovništva o važnosti pravilne zdravstvene zaštite bilja. </w:t>
      </w:r>
    </w:p>
    <w:p w:rsidR="005C2091" w:rsidRDefault="00A86293">
      <w:r>
        <w:t xml:space="preserve">U okviru programa nalaze se 3 podprograma i to Otkrivanje i dijagnosticiranje štetnih organizama koje se financira 75% iz sredstava EU, potprogram Nacionalne banke biljnih gena u cijelosti financiran iz državnog proračuna i potprogram Nove tehnologije sorti jabuka kao VIP projekt koji se financira iza državnog proračuna i donacijom Grada Sveti Ivan Zelina.  </w:t>
      </w:r>
    </w:p>
    <w:p w:rsidR="005C2091" w:rsidRDefault="00A86293">
      <w:r>
        <w:t>Zbog loših vremenskih uvjeta (konkretno mraza u proljeće 2016. godine) izvršenja programa je 89,6% .</w:t>
      </w:r>
    </w:p>
    <w:p w:rsidR="005C2091" w:rsidRDefault="00A86293">
      <w:pPr>
        <w:pStyle w:val="Heading8"/>
        <w:jc w:val="left"/>
      </w:pPr>
      <w:r>
        <w:t xml:space="preserve">Cilj 1. Zaštita poljoprivrednih kultura od štetnih organizama </w:t>
      </w:r>
    </w:p>
    <w:p w:rsidR="005C2091" w:rsidRDefault="00A86293">
      <w:pPr>
        <w:pStyle w:val="Heading8"/>
        <w:jc w:val="left"/>
      </w:pPr>
      <w:r>
        <w:t>Opis provedbe cilja programa</w:t>
      </w:r>
    </w:p>
    <w:p w:rsidR="005C2091" w:rsidRDefault="00A86293">
      <w:r>
        <w:t>Sustavno praćenje zdravstvenog stanja bilja u cilju otkrivanja gospodarskih i karantenskih štetnih organizama te razrađivanje, istraživanje i predlaganje mjera i metoda zaštite</w:t>
      </w:r>
    </w:p>
    <w:p w:rsidR="005C2091" w:rsidRDefault="00A86293">
      <w:pPr>
        <w:pStyle w:val="Heading8"/>
        <w:jc w:val="left"/>
      </w:pPr>
      <w:r>
        <w:t xml:space="preserve">Cilj 2. Unaprjeđenje uzgoja poljoprivrednih kultura </w:t>
      </w:r>
    </w:p>
    <w:p w:rsidR="005C2091" w:rsidRDefault="00A86293">
      <w:pPr>
        <w:pStyle w:val="Heading8"/>
        <w:jc w:val="left"/>
      </w:pPr>
      <w:r>
        <w:t>Opis provedbe cilja programa</w:t>
      </w:r>
    </w:p>
    <w:p w:rsidR="005C2091" w:rsidRDefault="00A86293">
      <w:r>
        <w:t>Provođenje istraživanja, nadzora, javnih ovlasti u svrhu povećanja učinkovitosti i konkurentnosti poljoprivredne proizvodnje. Korisnici programa su gospodarski subjekti koji se bave biljnim materijalom.</w:t>
      </w:r>
    </w:p>
    <w:p w:rsidR="005C2091" w:rsidRDefault="00A86293">
      <w:pPr>
        <w:pStyle w:val="Heading8"/>
        <w:jc w:val="left"/>
      </w:pPr>
      <w:r>
        <w:t xml:space="preserve">Cilj 3. Nove tehnologije uzgoja starih sorti jabuka u održivom sustavu proizvodnje </w:t>
      </w:r>
    </w:p>
    <w:p w:rsidR="005C2091" w:rsidRDefault="00A86293">
      <w:pPr>
        <w:pStyle w:val="Heading8"/>
        <w:jc w:val="left"/>
      </w:pPr>
      <w:r>
        <w:t>Opis provedbe cilja programa</w:t>
      </w:r>
    </w:p>
    <w:p w:rsidR="005C2091" w:rsidRDefault="00A86293">
      <w:r>
        <w:t>Projektom će se dobiti detaljni i pouzdani podaci o sastavu plodova sorti jabuka koje konzumiramo, te isti mogu biti korisni za određivanje prioriteta nacionalnih strategija.</w:t>
      </w:r>
    </w:p>
    <w:p w:rsidR="005C2091" w:rsidRDefault="00A86293">
      <w:pPr>
        <w:pStyle w:val="Heading8"/>
        <w:jc w:val="left"/>
      </w:pPr>
      <w:r>
        <w:t xml:space="preserve">Cilj 4. Očuvanje biljnih genetskih izvora </w:t>
      </w:r>
    </w:p>
    <w:p w:rsidR="005C2091" w:rsidRDefault="00A86293">
      <w:pPr>
        <w:pStyle w:val="Heading8"/>
        <w:jc w:val="left"/>
      </w:pPr>
      <w:r>
        <w:t>Opis provedbe cilja programa</w:t>
      </w:r>
    </w:p>
    <w:p w:rsidR="005C2091" w:rsidRDefault="00A86293">
      <w:r>
        <w:t>Nacionalni program očuvanja i održive uporabe biljnih genetskih izvora za hranu i poljoprivredu u Republici Hrvatskoj.</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Vizualni pregledi</w:t>
            </w:r>
          </w:p>
        </w:tc>
        <w:tc>
          <w:tcPr>
            <w:tcW w:w="2551" w:type="dxa"/>
          </w:tcPr>
          <w:p w:rsidR="005C2091" w:rsidRDefault="00A86293">
            <w:pPr>
              <w:pStyle w:val="CellColumn"/>
              <w:jc w:val="left"/>
            </w:pPr>
            <w:r>
              <w:rPr>
                <w:rFonts w:cs="Times New Roman"/>
              </w:rPr>
              <w:t>Sustavno praćenje zdravstvenog stanja bilja</w:t>
            </w:r>
            <w:r>
              <w:rPr>
                <w:rFonts w:cs="Times New Roman"/>
              </w:rPr>
              <w:tab/>
              <w:t>u cilju otkrivanja gospodarskih</w:t>
            </w:r>
            <w:r w:rsidR="00D3530B">
              <w:rPr>
                <w:rFonts w:cs="Times New Roman"/>
              </w:rPr>
              <w:t xml:space="preserve"> </w:t>
            </w:r>
            <w:r>
              <w:rPr>
                <w:rFonts w:cs="Times New Roman"/>
              </w:rPr>
              <w:t xml:space="preserve">i </w:t>
            </w:r>
            <w:r w:rsidR="00D3530B">
              <w:rPr>
                <w:rFonts w:cs="Times New Roman"/>
              </w:rPr>
              <w:t xml:space="preserve">karantenskih štetnih </w:t>
            </w:r>
            <w:r>
              <w:rPr>
                <w:rFonts w:cs="Times New Roman"/>
              </w:rPr>
              <w:t xml:space="preserve">organizama te </w:t>
            </w:r>
            <w:r w:rsidR="00D3530B">
              <w:rPr>
                <w:rFonts w:cs="Times New Roman"/>
              </w:rPr>
              <w:t xml:space="preserve">razrađivanje, istraživanje </w:t>
            </w:r>
            <w:r>
              <w:rPr>
                <w:rFonts w:cs="Times New Roman"/>
              </w:rPr>
              <w:t>i predlaganje mjera i metoda zaštite</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3126</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3005</w:t>
            </w:r>
          </w:p>
        </w:tc>
        <w:tc>
          <w:tcPr>
            <w:tcW w:w="1020" w:type="dxa"/>
          </w:tcPr>
          <w:p w:rsidR="005C2091" w:rsidRDefault="00A86293">
            <w:pPr>
              <w:pStyle w:val="CellColumn"/>
              <w:jc w:val="right"/>
            </w:pPr>
            <w:r>
              <w:rPr>
                <w:rFonts w:cs="Times New Roman"/>
              </w:rPr>
              <w:t>3959</w:t>
            </w:r>
          </w:p>
        </w:tc>
      </w:tr>
      <w:tr w:rsidR="005C2091">
        <w:trPr>
          <w:jc w:val="center"/>
        </w:trPr>
        <w:tc>
          <w:tcPr>
            <w:tcW w:w="2551" w:type="dxa"/>
          </w:tcPr>
          <w:p w:rsidR="005C2091" w:rsidRDefault="00A86293">
            <w:pPr>
              <w:pStyle w:val="CellColumn"/>
              <w:jc w:val="left"/>
            </w:pPr>
            <w:r>
              <w:rPr>
                <w:rFonts w:cs="Times New Roman"/>
              </w:rPr>
              <w:t xml:space="preserve">VCU </w:t>
            </w:r>
          </w:p>
          <w:p w:rsidR="005C2091" w:rsidRDefault="00A86293">
            <w:pPr>
              <w:pStyle w:val="CellColumn"/>
              <w:jc w:val="left"/>
            </w:pPr>
            <w:r>
              <w:rPr>
                <w:rFonts w:cs="Times New Roman"/>
              </w:rPr>
              <w:t>ispitivanje</w:t>
            </w:r>
          </w:p>
        </w:tc>
        <w:tc>
          <w:tcPr>
            <w:tcW w:w="2551" w:type="dxa"/>
          </w:tcPr>
          <w:p w:rsidR="005C2091" w:rsidRDefault="00A86293">
            <w:pPr>
              <w:pStyle w:val="CellColumn"/>
              <w:jc w:val="left"/>
            </w:pPr>
            <w:r>
              <w:rPr>
                <w:rFonts w:cs="Times New Roman"/>
              </w:rPr>
              <w:t>Ispitivanje novih sorti</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150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180</w:t>
            </w:r>
          </w:p>
        </w:tc>
        <w:tc>
          <w:tcPr>
            <w:tcW w:w="1020" w:type="dxa"/>
          </w:tcPr>
          <w:p w:rsidR="005C2091" w:rsidRDefault="00A86293">
            <w:pPr>
              <w:pStyle w:val="CellColumn"/>
              <w:jc w:val="right"/>
            </w:pPr>
            <w:r>
              <w:rPr>
                <w:rFonts w:cs="Times New Roman"/>
              </w:rPr>
              <w:t>130</w:t>
            </w:r>
          </w:p>
        </w:tc>
      </w:tr>
      <w:tr w:rsidR="005C2091">
        <w:trPr>
          <w:jc w:val="center"/>
        </w:trPr>
        <w:tc>
          <w:tcPr>
            <w:tcW w:w="2551" w:type="dxa"/>
          </w:tcPr>
          <w:p w:rsidR="005C2091" w:rsidRDefault="00A86293">
            <w:pPr>
              <w:pStyle w:val="CellColumn"/>
              <w:jc w:val="left"/>
            </w:pPr>
            <w:r>
              <w:rPr>
                <w:rFonts w:cs="Times New Roman"/>
              </w:rPr>
              <w:t xml:space="preserve">DUS </w:t>
            </w:r>
          </w:p>
          <w:p w:rsidR="005C2091" w:rsidRDefault="00A86293">
            <w:pPr>
              <w:pStyle w:val="CellColumn"/>
              <w:jc w:val="left"/>
            </w:pPr>
            <w:r>
              <w:rPr>
                <w:rFonts w:cs="Times New Roman"/>
              </w:rPr>
              <w:t>ispitivanje</w:t>
            </w:r>
          </w:p>
        </w:tc>
        <w:tc>
          <w:tcPr>
            <w:tcW w:w="2551" w:type="dxa"/>
          </w:tcPr>
          <w:p w:rsidR="005C2091" w:rsidRDefault="00A86293">
            <w:pPr>
              <w:pStyle w:val="CellColumn"/>
              <w:jc w:val="left"/>
            </w:pPr>
            <w:r>
              <w:rPr>
                <w:rFonts w:cs="Times New Roman"/>
              </w:rPr>
              <w:t>Ispitivanje novih sorti</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130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149</w:t>
            </w:r>
          </w:p>
        </w:tc>
        <w:tc>
          <w:tcPr>
            <w:tcW w:w="1020" w:type="dxa"/>
          </w:tcPr>
          <w:p w:rsidR="005C2091" w:rsidRDefault="00A86293">
            <w:pPr>
              <w:pStyle w:val="CellColumn"/>
              <w:jc w:val="right"/>
            </w:pPr>
            <w:r>
              <w:rPr>
                <w:rFonts w:cs="Times New Roman"/>
              </w:rPr>
              <w:t>113</w:t>
            </w:r>
          </w:p>
        </w:tc>
      </w:tr>
      <w:tr w:rsidR="005C2091">
        <w:trPr>
          <w:jc w:val="center"/>
        </w:trPr>
        <w:tc>
          <w:tcPr>
            <w:tcW w:w="2551" w:type="dxa"/>
          </w:tcPr>
          <w:p w:rsidR="005C2091" w:rsidRDefault="00A86293">
            <w:pPr>
              <w:pStyle w:val="CellColumn"/>
              <w:jc w:val="left"/>
            </w:pPr>
            <w:r>
              <w:rPr>
                <w:rFonts w:cs="Times New Roman"/>
              </w:rPr>
              <w:t>Nova sorta</w:t>
            </w:r>
          </w:p>
        </w:tc>
        <w:tc>
          <w:tcPr>
            <w:tcW w:w="2551" w:type="dxa"/>
          </w:tcPr>
          <w:p w:rsidR="005C2091" w:rsidRDefault="00A86293">
            <w:pPr>
              <w:pStyle w:val="CellColumn"/>
              <w:jc w:val="left"/>
            </w:pPr>
            <w:r>
              <w:rPr>
                <w:rFonts w:cs="Times New Roman"/>
              </w:rPr>
              <w:t>Utvrđivanje  kriterija dodjeljivanja oplemenjivačkog prava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16</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16</w:t>
            </w:r>
          </w:p>
        </w:tc>
        <w:tc>
          <w:tcPr>
            <w:tcW w:w="1020" w:type="dxa"/>
          </w:tcPr>
          <w:p w:rsidR="005C2091" w:rsidRDefault="00A86293">
            <w:pPr>
              <w:pStyle w:val="CellColumn"/>
              <w:jc w:val="right"/>
            </w:pPr>
            <w:r>
              <w:rPr>
                <w:rFonts w:cs="Times New Roman"/>
              </w:rPr>
              <w:t>10</w:t>
            </w:r>
          </w:p>
        </w:tc>
      </w:tr>
      <w:tr w:rsidR="005C2091">
        <w:trPr>
          <w:jc w:val="center"/>
        </w:trPr>
        <w:tc>
          <w:tcPr>
            <w:tcW w:w="2551" w:type="dxa"/>
          </w:tcPr>
          <w:p w:rsidR="005C2091" w:rsidRDefault="00A86293">
            <w:pPr>
              <w:pStyle w:val="CellColumn"/>
              <w:jc w:val="left"/>
            </w:pPr>
            <w:r>
              <w:rPr>
                <w:rFonts w:cs="Times New Roman"/>
              </w:rPr>
              <w:t>Broj primki</w:t>
            </w:r>
          </w:p>
        </w:tc>
        <w:tc>
          <w:tcPr>
            <w:tcW w:w="2551" w:type="dxa"/>
          </w:tcPr>
          <w:p w:rsidR="005C2091" w:rsidRDefault="00A86293">
            <w:pPr>
              <w:pStyle w:val="CellColumn"/>
              <w:jc w:val="left"/>
            </w:pPr>
            <w:r>
              <w:rPr>
                <w:rFonts w:cs="Times New Roman"/>
              </w:rPr>
              <w:t>Uključenje u nacionalnu bazu podataka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457</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470</w:t>
            </w:r>
          </w:p>
        </w:tc>
        <w:tc>
          <w:tcPr>
            <w:tcW w:w="1020" w:type="dxa"/>
          </w:tcPr>
          <w:p w:rsidR="005C2091" w:rsidRDefault="00A86293">
            <w:pPr>
              <w:pStyle w:val="CellColumn"/>
              <w:jc w:val="right"/>
            </w:pPr>
            <w:r>
              <w:rPr>
                <w:rFonts w:cs="Times New Roman"/>
              </w:rPr>
              <w:t>541</w:t>
            </w:r>
          </w:p>
        </w:tc>
      </w:tr>
      <w:tr w:rsidR="005C2091">
        <w:trPr>
          <w:jc w:val="center"/>
        </w:trPr>
        <w:tc>
          <w:tcPr>
            <w:tcW w:w="2551" w:type="dxa"/>
          </w:tcPr>
          <w:p w:rsidR="005C2091" w:rsidRDefault="00A86293">
            <w:pPr>
              <w:pStyle w:val="CellColumn"/>
              <w:jc w:val="left"/>
            </w:pPr>
            <w:r>
              <w:rPr>
                <w:rFonts w:cs="Times New Roman"/>
              </w:rPr>
              <w:t>Broj primki</w:t>
            </w:r>
          </w:p>
        </w:tc>
        <w:tc>
          <w:tcPr>
            <w:tcW w:w="2551" w:type="dxa"/>
          </w:tcPr>
          <w:p w:rsidR="005C2091" w:rsidRDefault="00A86293">
            <w:pPr>
              <w:pStyle w:val="CellColumn"/>
              <w:jc w:val="left"/>
            </w:pPr>
            <w:r>
              <w:rPr>
                <w:rFonts w:cs="Times New Roman"/>
              </w:rPr>
              <w:t>Očuvanje biljnih genetskih izvora voćnih vrsta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160</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165</w:t>
            </w:r>
          </w:p>
        </w:tc>
        <w:tc>
          <w:tcPr>
            <w:tcW w:w="1020" w:type="dxa"/>
          </w:tcPr>
          <w:p w:rsidR="005C2091" w:rsidRDefault="00A86293">
            <w:pPr>
              <w:pStyle w:val="CellColumn"/>
              <w:jc w:val="right"/>
            </w:pPr>
            <w:r>
              <w:rPr>
                <w:rFonts w:cs="Times New Roman"/>
              </w:rPr>
              <w:t>192</w:t>
            </w:r>
          </w:p>
        </w:tc>
      </w:tr>
      <w:tr w:rsidR="005C2091">
        <w:trPr>
          <w:jc w:val="center"/>
        </w:trPr>
        <w:tc>
          <w:tcPr>
            <w:tcW w:w="2551" w:type="dxa"/>
          </w:tcPr>
          <w:p w:rsidR="005C2091" w:rsidRDefault="00A86293">
            <w:pPr>
              <w:pStyle w:val="CellColumn"/>
              <w:jc w:val="left"/>
            </w:pPr>
            <w:r>
              <w:rPr>
                <w:rFonts w:cs="Times New Roman"/>
              </w:rPr>
              <w:t>Broj primki</w:t>
            </w:r>
          </w:p>
        </w:tc>
        <w:tc>
          <w:tcPr>
            <w:tcW w:w="2551" w:type="dxa"/>
          </w:tcPr>
          <w:p w:rsidR="005C2091" w:rsidRDefault="00A86293">
            <w:pPr>
              <w:pStyle w:val="CellColumn"/>
              <w:jc w:val="left"/>
            </w:pPr>
            <w:r>
              <w:rPr>
                <w:rFonts w:cs="Times New Roman"/>
              </w:rPr>
              <w:t>Introdukcija sorti  voćnih vrsta</w:t>
            </w:r>
          </w:p>
        </w:tc>
        <w:tc>
          <w:tcPr>
            <w:tcW w:w="1020" w:type="dxa"/>
          </w:tcPr>
          <w:p w:rsidR="005C2091" w:rsidRDefault="00A86293">
            <w:pPr>
              <w:pStyle w:val="CellColumn"/>
              <w:jc w:val="right"/>
            </w:pPr>
            <w:r>
              <w:rPr>
                <w:rFonts w:cs="Times New Roman"/>
              </w:rPr>
              <w:t>komada</w:t>
            </w:r>
          </w:p>
        </w:tc>
        <w:tc>
          <w:tcPr>
            <w:tcW w:w="1020" w:type="dxa"/>
          </w:tcPr>
          <w:p w:rsidR="005C2091" w:rsidRDefault="00A86293">
            <w:pPr>
              <w:pStyle w:val="CellColumn"/>
              <w:jc w:val="right"/>
            </w:pPr>
            <w:r>
              <w:rPr>
                <w:rFonts w:cs="Times New Roman"/>
              </w:rPr>
              <w:t>85</w:t>
            </w:r>
          </w:p>
        </w:tc>
        <w:tc>
          <w:tcPr>
            <w:tcW w:w="1020" w:type="dxa"/>
          </w:tcPr>
          <w:p w:rsidR="005C2091" w:rsidRDefault="00A86293">
            <w:pPr>
              <w:pStyle w:val="CellColumn"/>
              <w:jc w:val="right"/>
            </w:pPr>
            <w:r>
              <w:rPr>
                <w:rFonts w:cs="Times New Roman"/>
              </w:rPr>
              <w:t>HCPHS</w:t>
            </w:r>
          </w:p>
        </w:tc>
        <w:tc>
          <w:tcPr>
            <w:tcW w:w="1020" w:type="dxa"/>
          </w:tcPr>
          <w:p w:rsidR="005C2091" w:rsidRDefault="00A86293">
            <w:pPr>
              <w:pStyle w:val="CellColumn"/>
              <w:jc w:val="right"/>
            </w:pPr>
            <w:r>
              <w:rPr>
                <w:rFonts w:cs="Times New Roman"/>
              </w:rPr>
              <w:t>90</w:t>
            </w:r>
          </w:p>
        </w:tc>
        <w:tc>
          <w:tcPr>
            <w:tcW w:w="1020" w:type="dxa"/>
          </w:tcPr>
          <w:p w:rsidR="005C2091" w:rsidRDefault="00A86293">
            <w:pPr>
              <w:pStyle w:val="CellColumn"/>
              <w:jc w:val="right"/>
            </w:pPr>
            <w:r>
              <w:rPr>
                <w:rFonts w:cs="Times New Roman"/>
              </w:rPr>
              <w:t>110</w:t>
            </w:r>
          </w:p>
        </w:tc>
      </w:tr>
    </w:tbl>
    <w:p w:rsidR="005C2091" w:rsidRDefault="005C2091">
      <w:pPr>
        <w:jc w:val="left"/>
      </w:pPr>
    </w:p>
    <w:p w:rsidR="005C2091" w:rsidRDefault="00A86293">
      <w:pPr>
        <w:pStyle w:val="Heading4"/>
      </w:pPr>
      <w:r>
        <w:t>A842006 OTKRIVANJE I DIJAGNOSTICIRANJE ŠTETNIH ORGANIZAMA</w:t>
      </w:r>
    </w:p>
    <w:tbl>
      <w:tblPr>
        <w:tblStyle w:val="StilTablice"/>
        <w:tblW w:w="10206" w:type="dxa"/>
        <w:jc w:val="center"/>
        <w:tblLook w:val="04A0" w:firstRow="1" w:lastRow="0" w:firstColumn="1" w:lastColumn="0" w:noHBand="0" w:noVBand="1"/>
      </w:tblPr>
      <w:tblGrid>
        <w:gridCol w:w="2103"/>
        <w:gridCol w:w="1902"/>
        <w:gridCol w:w="1902"/>
        <w:gridCol w:w="1902"/>
        <w:gridCol w:w="1192"/>
        <w:gridCol w:w="1205"/>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A842006-OTKRIVANJE I DIJAGNOSTICIRANJE ŠTETNIH ORGANIZAMA</w:t>
            </w:r>
          </w:p>
        </w:tc>
        <w:tc>
          <w:tcPr>
            <w:tcW w:w="2041" w:type="dxa"/>
          </w:tcPr>
          <w:p w:rsidR="005C2091" w:rsidRDefault="00A86293">
            <w:pPr>
              <w:pStyle w:val="CellColumn"/>
              <w:jc w:val="right"/>
            </w:pPr>
            <w:r>
              <w:rPr>
                <w:rFonts w:cs="Times New Roman"/>
              </w:rPr>
              <w:t>2.356.041</w:t>
            </w:r>
          </w:p>
        </w:tc>
        <w:tc>
          <w:tcPr>
            <w:tcW w:w="2041" w:type="dxa"/>
          </w:tcPr>
          <w:p w:rsidR="005C2091" w:rsidRDefault="00A86293">
            <w:pPr>
              <w:pStyle w:val="CellColumn"/>
              <w:jc w:val="right"/>
            </w:pPr>
            <w:r>
              <w:rPr>
                <w:rFonts w:cs="Times New Roman"/>
              </w:rPr>
              <w:t>1.890.000</w:t>
            </w:r>
          </w:p>
        </w:tc>
        <w:tc>
          <w:tcPr>
            <w:tcW w:w="2041" w:type="dxa"/>
          </w:tcPr>
          <w:p w:rsidR="005C2091" w:rsidRDefault="00A86293">
            <w:pPr>
              <w:pStyle w:val="CellColumn"/>
              <w:jc w:val="right"/>
            </w:pPr>
            <w:r>
              <w:rPr>
                <w:rFonts w:cs="Times New Roman"/>
              </w:rPr>
              <w:t>1.720.948</w:t>
            </w:r>
          </w:p>
        </w:tc>
        <w:tc>
          <w:tcPr>
            <w:tcW w:w="1224" w:type="dxa"/>
          </w:tcPr>
          <w:p w:rsidR="005C2091" w:rsidRDefault="00A86293">
            <w:pPr>
              <w:pStyle w:val="CellColumn"/>
              <w:jc w:val="right"/>
            </w:pPr>
            <w:r>
              <w:rPr>
                <w:rFonts w:cs="Times New Roman"/>
              </w:rPr>
              <w:t>91,1</w:t>
            </w:r>
          </w:p>
        </w:tc>
        <w:tc>
          <w:tcPr>
            <w:tcW w:w="1224" w:type="dxa"/>
          </w:tcPr>
          <w:p w:rsidR="005C2091" w:rsidRDefault="00A86293">
            <w:pPr>
              <w:pStyle w:val="CellColumn"/>
              <w:jc w:val="right"/>
            </w:pPr>
            <w:r>
              <w:rPr>
                <w:rFonts w:cs="Times New Roman"/>
              </w:rPr>
              <w:t>73,0</w:t>
            </w:r>
          </w:p>
        </w:tc>
      </w:tr>
    </w:tbl>
    <w:p w:rsidR="005C2091" w:rsidRDefault="005C2091">
      <w:pPr>
        <w:jc w:val="left"/>
      </w:pPr>
    </w:p>
    <w:p w:rsidR="005C2091" w:rsidRDefault="00A86293">
      <w:pPr>
        <w:pStyle w:val="Heading8"/>
        <w:jc w:val="left"/>
      </w:pPr>
      <w:r>
        <w:t>Zakonske i druge pravne osnove</w:t>
      </w:r>
    </w:p>
    <w:p w:rsidR="005C2091" w:rsidRDefault="00A86293">
      <w:r>
        <w:t>Zakon o osnivanju Hrvatskog centra za poljoprivredu, hranu i selo (»Narodne novine«, br. 25/09, 124/10</w:t>
      </w:r>
    </w:p>
    <w:p w:rsidR="005C2091" w:rsidRDefault="00A86293">
      <w:pPr>
        <w:pStyle w:val="Heading8"/>
        <w:jc w:val="left"/>
      </w:pPr>
      <w:r>
        <w:t>Opis aktivnosti</w:t>
      </w:r>
    </w:p>
    <w:p w:rsidR="005C2091" w:rsidRDefault="00A86293">
      <w:r>
        <w:t xml:space="preserve">U suradnji sa MP-om provode se programi posebnog nadzora (PPN) koji obuhvaćaju otkrivanje karantenskih i  štetnih organizama, izvještavanje o prisutnosti, pojavi i širenju štetnih organizama, razrađivanje i predlaganje  preventivnih mjera i mjera suzbijanja štetnih organizama. </w:t>
      </w:r>
    </w:p>
    <w:p w:rsidR="005C2091" w:rsidRDefault="00A86293">
      <w:r>
        <w:t>Kako se radi o štetnim organizmima koji se pojavljuju na teritoriju cijele EU isti su sufinancirani od strane EU u iznosu od 75% stvarnih troškova. Izvršenje projekta od 91,1% je zadovoljavajuće, a u toku provedbe projekta odrađene su sve aktivnosti koje su zadane ugovorom između Ministarstva poljoprivrede i EU.</w:t>
      </w:r>
    </w:p>
    <w:p w:rsidR="005C2091" w:rsidRDefault="00A86293">
      <w:pPr>
        <w:pStyle w:val="Heading4"/>
      </w:pPr>
      <w:r>
        <w:t>K842018 NACIONALNA BANKA BILJNIH GENA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K842018-NACIONALNA BANKA BILJNIH GENA</w:t>
            </w:r>
          </w:p>
        </w:tc>
        <w:tc>
          <w:tcPr>
            <w:tcW w:w="2041" w:type="dxa"/>
          </w:tcPr>
          <w:p w:rsidR="005C2091" w:rsidRDefault="00A86293">
            <w:pPr>
              <w:pStyle w:val="CellColumn"/>
              <w:jc w:val="right"/>
            </w:pPr>
            <w:r>
              <w:rPr>
                <w:rFonts w:cs="Times New Roman"/>
              </w:rPr>
              <w:t>338.031</w:t>
            </w:r>
          </w:p>
        </w:tc>
        <w:tc>
          <w:tcPr>
            <w:tcW w:w="2041" w:type="dxa"/>
          </w:tcPr>
          <w:p w:rsidR="005C2091" w:rsidRDefault="00A86293">
            <w:pPr>
              <w:pStyle w:val="CellColumn"/>
              <w:jc w:val="right"/>
            </w:pPr>
            <w:r>
              <w:rPr>
                <w:rFonts w:cs="Times New Roman"/>
              </w:rPr>
              <w:t>337.936</w:t>
            </w:r>
          </w:p>
        </w:tc>
        <w:tc>
          <w:tcPr>
            <w:tcW w:w="2041" w:type="dxa"/>
          </w:tcPr>
          <w:p w:rsidR="005C2091" w:rsidRDefault="00A86293">
            <w:pPr>
              <w:pStyle w:val="CellColumn"/>
              <w:jc w:val="right"/>
            </w:pPr>
            <w:r>
              <w:rPr>
                <w:rFonts w:cs="Times New Roman"/>
              </w:rPr>
              <w:t>280.724</w:t>
            </w:r>
          </w:p>
        </w:tc>
        <w:tc>
          <w:tcPr>
            <w:tcW w:w="1224" w:type="dxa"/>
          </w:tcPr>
          <w:p w:rsidR="005C2091" w:rsidRDefault="00A86293">
            <w:pPr>
              <w:pStyle w:val="CellColumn"/>
              <w:jc w:val="right"/>
            </w:pPr>
            <w:r>
              <w:rPr>
                <w:rFonts w:cs="Times New Roman"/>
              </w:rPr>
              <w:t>83,1</w:t>
            </w:r>
          </w:p>
        </w:tc>
        <w:tc>
          <w:tcPr>
            <w:tcW w:w="1224" w:type="dxa"/>
          </w:tcPr>
          <w:p w:rsidR="005C2091" w:rsidRDefault="00A86293">
            <w:pPr>
              <w:pStyle w:val="CellColumn"/>
              <w:jc w:val="right"/>
            </w:pPr>
            <w:r>
              <w:rPr>
                <w:rFonts w:cs="Times New Roman"/>
              </w:rPr>
              <w:t>83,0</w:t>
            </w:r>
          </w:p>
        </w:tc>
      </w:tr>
    </w:tbl>
    <w:p w:rsidR="005C2091" w:rsidRDefault="005C2091">
      <w:pPr>
        <w:jc w:val="left"/>
      </w:pPr>
    </w:p>
    <w:p w:rsidR="005C2091" w:rsidRDefault="00A86293">
      <w:pPr>
        <w:pStyle w:val="Heading8"/>
        <w:jc w:val="left"/>
      </w:pPr>
      <w:r>
        <w:t>Zakonske i druge pravne osnove</w:t>
      </w:r>
    </w:p>
    <w:p w:rsidR="005C2091" w:rsidRDefault="00A86293">
      <w:r>
        <w:t>Ugovor o financiranju i sudjelovanju u radu Nacionalne banke biljnih gena, Klasa: 011-02/12-01/113 Urbroj: 515-09/1165-14-51 sklopljen s Ministarstvom poljoprivrede.</w:t>
      </w:r>
    </w:p>
    <w:p w:rsidR="005C2091" w:rsidRDefault="00A86293">
      <w:pPr>
        <w:pStyle w:val="Heading8"/>
        <w:jc w:val="left"/>
      </w:pPr>
      <w:r>
        <w:t>Opis aktivnosti</w:t>
      </w:r>
    </w:p>
    <w:p w:rsidR="005C2091" w:rsidRDefault="00A86293">
      <w:r>
        <w:t xml:space="preserve">Biljni i genetski izvori za hranu i poljoprivredu čine biološku osnovu za svjetsku prehrambenu sigurnost, te predstavljaju izvor koji poljoprivrednici i oplemenjivači bilja koriste za unapređivanje kvalitete visine prinosa. Republika Hrvatska ima suvereno pravo na biljne genetske izvore na svom području kao i dužnost očekivanja i održive uporabe tih izvora. Očuvanje biljnih genetskih izvora provodi se u sklopu Nacionalnog programa očuvanja i održive uporabe biljnih genetskih izvora za hranu i poljoprivredu u Republici Hrvatskoj u kojem HCPHS ima značajnu ulogu. </w:t>
      </w:r>
    </w:p>
    <w:p w:rsidR="005C2091" w:rsidRDefault="00A86293">
      <w:r>
        <w:t>Izvršenje projekta od 83,1% je zadovoljavajuće, budući da se zbog vremenskih nepogoda (mraza) u proljeće 2016. godine neke aktivnosti nisu mogle provoditi.</w:t>
      </w:r>
    </w:p>
    <w:p w:rsidR="005C2091" w:rsidRDefault="00A86293">
      <w:pPr>
        <w:pStyle w:val="Heading4"/>
      </w:pPr>
      <w:r>
        <w:t>K842019 NOVE TEHNOLOGIJE UZGOJA STARIH SORTI JABUKA U ODRŽIVOM SUSTAVU PROIZVODNJE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K842019-NOVE TEHNOLOGIJE UZGOJA STARIH SORTI JABUKA U ODRŽIVOM SUSTAVU PROIZVODNJE</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86.990</w:t>
            </w:r>
          </w:p>
        </w:tc>
        <w:tc>
          <w:tcPr>
            <w:tcW w:w="2041" w:type="dxa"/>
          </w:tcPr>
          <w:p w:rsidR="005C2091" w:rsidRDefault="00A86293">
            <w:pPr>
              <w:pStyle w:val="CellColumn"/>
              <w:jc w:val="right"/>
            </w:pPr>
            <w:r>
              <w:rPr>
                <w:rFonts w:cs="Times New Roman"/>
              </w:rPr>
              <w:t>71.399</w:t>
            </w:r>
          </w:p>
        </w:tc>
        <w:tc>
          <w:tcPr>
            <w:tcW w:w="1224" w:type="dxa"/>
          </w:tcPr>
          <w:p w:rsidR="005C2091" w:rsidRDefault="00A86293">
            <w:pPr>
              <w:pStyle w:val="CellColumn"/>
              <w:jc w:val="right"/>
            </w:pPr>
            <w:r>
              <w:rPr>
                <w:rFonts w:cs="Times New Roman"/>
              </w:rPr>
              <w:t>82,1</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Ugovor o radu na istraživačkom projektu "Nove tehnologije uzgoja starih sorti jabuka u održivom  sustavu proizvodnje" broj 2015-13/62 sklopljen s Ministarstvom poljoprivrede.</w:t>
      </w:r>
    </w:p>
    <w:p w:rsidR="005C2091" w:rsidRDefault="00A86293">
      <w:pPr>
        <w:pStyle w:val="Heading8"/>
        <w:jc w:val="left"/>
      </w:pPr>
      <w:r>
        <w:t>Opis aktivnosti</w:t>
      </w:r>
    </w:p>
    <w:p w:rsidR="005C2091" w:rsidRDefault="00A86293">
      <w:r>
        <w:t xml:space="preserve">Projektom će se dobiti detaljni i pouzdani podaci o sastavu plodova sorti jabuka koje konzumiramo, te isti mogu biti korisni za određivanje prioriteta nacionalnih strategija. Sastavi plodova sorti jabuka dobiti će se usporedbom  morfoloških svojstava sorti jabuka u istraživanju i određivanjem razlike u urodu između istraživanih sorti. </w:t>
      </w:r>
    </w:p>
    <w:p w:rsidR="005C2091" w:rsidRDefault="00A86293">
      <w:r>
        <w:t>Izvršenje projekta od 82,1% je zadovoljavajuće, budući da se zbog vremenskih nepogoda (mraza) u proljeće 2016. godine neke aktivnosti nisu mogle provoditi.</w:t>
      </w:r>
    </w:p>
    <w:p w:rsidR="005C2091" w:rsidRDefault="00A86293">
      <w:pPr>
        <w:pStyle w:val="Heading2"/>
      </w:pPr>
      <w:r>
        <w:t>06040 Agencija za poljoprivredno zemljište</w:t>
      </w:r>
    </w:p>
    <w:p w:rsidR="005C2091" w:rsidRDefault="00A86293">
      <w:r>
        <w:t>Agenciju za poljoprivredno zemljište kao specijaliziranu javnu ustanovu je osnovala Vlada Republike Hrvatske Uredbom o osnivanju Agencije za poljoprivredno zemljište temeljem Zakona o poljoprivrednom zemljištu. Osnovna djelatnost Agencije za poljoprivredno zemljište je raspolaganje državnim poljoprivrednim zemljištem:davanje u zakup, zakup ribnjaka, zakup zajedničkih pašnjaka, zamjena zemljišta u cilju okrupnjavanja, prodaja državnog zemljišta u iznimnim situacijama, privremeno korištenje, davanje u zakup bez javnog poziva znanstvenim institucijama; praćenje korištenja državnog poljoprivrednog zemljišta; stjecanje poljoprivrednog zemljišta u privatnom vlasništvu; gospodarenje zemljišnim fondom;vođenje evidencije o plaćanjima i korištenju državnog poljoprivrednog zemljišta; praćenje i ocjenjivanje učinaka raznih mjera poljoprivredne politike i mjera drugih politika na tržište poljoprivrednim zemljištem, povezivanje i koordinacija rada državnih tijela, ustanova, jedinica područne (regionalne) samouprave i jedinica lokalne samouprave po pitanju mjera zemljišne politike i drugih politika koje imaju utjecaj na tržište poljoprivrednim zemljištem; sudjelovanje u postupcima uređenja poljoprivrednog zemljišta u skladu s posebnim propisima; komasacija poljoprivrednog zemljišta, te obavljanje i drugih poslova u skladu sa Zakonom o komasaciji poljoprivrednog zemljišta i ostalim propisima.</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06040-Agencija za poljoprivredno zemljište</w:t>
            </w:r>
          </w:p>
        </w:tc>
        <w:tc>
          <w:tcPr>
            <w:tcW w:w="2041" w:type="dxa"/>
            <w:vAlign w:val="top"/>
          </w:tcPr>
          <w:p w:rsidR="005C2091" w:rsidRDefault="00A86293">
            <w:pPr>
              <w:pStyle w:val="CellColumn"/>
              <w:jc w:val="right"/>
            </w:pPr>
            <w:r>
              <w:rPr>
                <w:rFonts w:cs="Times New Roman"/>
              </w:rPr>
              <w:t>21.178.602</w:t>
            </w:r>
          </w:p>
        </w:tc>
        <w:tc>
          <w:tcPr>
            <w:tcW w:w="2041" w:type="dxa"/>
            <w:vAlign w:val="top"/>
          </w:tcPr>
          <w:p w:rsidR="005C2091" w:rsidRDefault="00A86293">
            <w:pPr>
              <w:pStyle w:val="CellColumn"/>
              <w:jc w:val="right"/>
            </w:pPr>
            <w:r>
              <w:rPr>
                <w:rFonts w:cs="Times New Roman"/>
              </w:rPr>
              <w:t>15.124.627</w:t>
            </w:r>
          </w:p>
        </w:tc>
        <w:tc>
          <w:tcPr>
            <w:tcW w:w="2041" w:type="dxa"/>
            <w:vAlign w:val="top"/>
          </w:tcPr>
          <w:p w:rsidR="005C2091" w:rsidRDefault="00A86293">
            <w:pPr>
              <w:pStyle w:val="CellColumn"/>
              <w:jc w:val="right"/>
            </w:pPr>
            <w:r>
              <w:rPr>
                <w:rFonts w:cs="Times New Roman"/>
              </w:rPr>
              <w:t>14.307.806</w:t>
            </w:r>
          </w:p>
        </w:tc>
        <w:tc>
          <w:tcPr>
            <w:tcW w:w="1224" w:type="dxa"/>
            <w:vAlign w:val="top"/>
          </w:tcPr>
          <w:p w:rsidR="005C2091" w:rsidRDefault="00A86293">
            <w:pPr>
              <w:pStyle w:val="CellColumn"/>
              <w:jc w:val="right"/>
            </w:pPr>
            <w:r>
              <w:rPr>
                <w:rFonts w:cs="Times New Roman"/>
              </w:rPr>
              <w:t>94,6</w:t>
            </w:r>
          </w:p>
        </w:tc>
        <w:tc>
          <w:tcPr>
            <w:tcW w:w="1224" w:type="dxa"/>
            <w:vAlign w:val="top"/>
          </w:tcPr>
          <w:p w:rsidR="005C2091" w:rsidRDefault="00A86293">
            <w:pPr>
              <w:pStyle w:val="CellColumn"/>
              <w:jc w:val="right"/>
            </w:pPr>
            <w:r>
              <w:rPr>
                <w:rFonts w:cs="Times New Roman"/>
              </w:rPr>
              <w:t>67,6</w:t>
            </w:r>
          </w:p>
        </w:tc>
      </w:tr>
      <w:tr w:rsidR="005C2091">
        <w:trPr>
          <w:jc w:val="center"/>
        </w:trPr>
        <w:tc>
          <w:tcPr>
            <w:tcW w:w="1632" w:type="dxa"/>
          </w:tcPr>
          <w:p w:rsidR="005C2091" w:rsidRDefault="00A86293">
            <w:pPr>
              <w:jc w:val="left"/>
            </w:pPr>
            <w:r>
              <w:t>3001-UPRAVLJANJE POLJOPRIVREDOM, RIBARSTVOM I RURALNIM RAZVOJEM</w:t>
            </w:r>
          </w:p>
        </w:tc>
        <w:tc>
          <w:tcPr>
            <w:tcW w:w="2041" w:type="dxa"/>
          </w:tcPr>
          <w:p w:rsidR="005C2091" w:rsidRDefault="00A86293">
            <w:pPr>
              <w:jc w:val="right"/>
            </w:pPr>
            <w:r>
              <w:t>21.178.602</w:t>
            </w:r>
          </w:p>
        </w:tc>
        <w:tc>
          <w:tcPr>
            <w:tcW w:w="2041" w:type="dxa"/>
          </w:tcPr>
          <w:p w:rsidR="005C2091" w:rsidRDefault="00A86293">
            <w:pPr>
              <w:jc w:val="right"/>
            </w:pPr>
            <w:r>
              <w:t>15.124.627</w:t>
            </w:r>
          </w:p>
        </w:tc>
        <w:tc>
          <w:tcPr>
            <w:tcW w:w="2041" w:type="dxa"/>
          </w:tcPr>
          <w:p w:rsidR="005C2091" w:rsidRDefault="00A86293">
            <w:pPr>
              <w:jc w:val="right"/>
            </w:pPr>
            <w:r>
              <w:t>14.307.806</w:t>
            </w:r>
          </w:p>
        </w:tc>
        <w:tc>
          <w:tcPr>
            <w:tcW w:w="1224" w:type="dxa"/>
          </w:tcPr>
          <w:p w:rsidR="005C2091" w:rsidRDefault="00A86293">
            <w:pPr>
              <w:jc w:val="right"/>
            </w:pPr>
            <w:r>
              <w:t>94,6</w:t>
            </w:r>
          </w:p>
        </w:tc>
        <w:tc>
          <w:tcPr>
            <w:tcW w:w="1224" w:type="dxa"/>
          </w:tcPr>
          <w:p w:rsidR="005C2091" w:rsidRDefault="00A86293">
            <w:pPr>
              <w:jc w:val="right"/>
            </w:pPr>
            <w:r>
              <w:t>67,6</w:t>
            </w:r>
          </w:p>
        </w:tc>
      </w:tr>
    </w:tbl>
    <w:p w:rsidR="005C2091" w:rsidRDefault="005C2091">
      <w:pPr>
        <w:jc w:val="left"/>
      </w:pPr>
    </w:p>
    <w:p w:rsidR="005C2091" w:rsidRDefault="00A86293">
      <w:pPr>
        <w:pStyle w:val="Heading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3001-UPRAVLJANJE POLJOPRIVREDOM, RIBARSTVOM I RURALNIM RAZVOJEM</w:t>
            </w:r>
          </w:p>
        </w:tc>
        <w:tc>
          <w:tcPr>
            <w:tcW w:w="2041" w:type="dxa"/>
          </w:tcPr>
          <w:p w:rsidR="005C2091" w:rsidRDefault="00A86293">
            <w:pPr>
              <w:pStyle w:val="CellColumn"/>
              <w:jc w:val="right"/>
            </w:pPr>
            <w:r>
              <w:rPr>
                <w:rFonts w:cs="Times New Roman"/>
              </w:rPr>
              <w:t>21.178.602</w:t>
            </w:r>
          </w:p>
        </w:tc>
        <w:tc>
          <w:tcPr>
            <w:tcW w:w="2041" w:type="dxa"/>
          </w:tcPr>
          <w:p w:rsidR="005C2091" w:rsidRDefault="00A86293">
            <w:pPr>
              <w:pStyle w:val="CellColumn"/>
              <w:jc w:val="right"/>
            </w:pPr>
            <w:r>
              <w:rPr>
                <w:rFonts w:cs="Times New Roman"/>
              </w:rPr>
              <w:t>15.124.627</w:t>
            </w:r>
          </w:p>
        </w:tc>
        <w:tc>
          <w:tcPr>
            <w:tcW w:w="2041" w:type="dxa"/>
          </w:tcPr>
          <w:p w:rsidR="005C2091" w:rsidRDefault="00A86293">
            <w:pPr>
              <w:pStyle w:val="CellColumn"/>
              <w:jc w:val="right"/>
            </w:pPr>
            <w:r>
              <w:rPr>
                <w:rFonts w:cs="Times New Roman"/>
              </w:rPr>
              <w:t>14.307.806</w:t>
            </w:r>
          </w:p>
        </w:tc>
        <w:tc>
          <w:tcPr>
            <w:tcW w:w="1224" w:type="dxa"/>
          </w:tcPr>
          <w:p w:rsidR="005C2091" w:rsidRDefault="00A86293">
            <w:pPr>
              <w:pStyle w:val="CellColumn"/>
              <w:jc w:val="right"/>
            </w:pPr>
            <w:r>
              <w:rPr>
                <w:rFonts w:cs="Times New Roman"/>
              </w:rPr>
              <w:t>94,6</w:t>
            </w:r>
          </w:p>
        </w:tc>
        <w:tc>
          <w:tcPr>
            <w:tcW w:w="1224" w:type="dxa"/>
          </w:tcPr>
          <w:p w:rsidR="005C2091" w:rsidRDefault="00A86293">
            <w:pPr>
              <w:pStyle w:val="CellColumn"/>
              <w:jc w:val="right"/>
            </w:pPr>
            <w:r>
              <w:rPr>
                <w:rFonts w:cs="Times New Roman"/>
              </w:rPr>
              <w:t>67,6</w:t>
            </w:r>
          </w:p>
        </w:tc>
      </w:tr>
    </w:tbl>
    <w:p w:rsidR="005C2091" w:rsidRDefault="005C2091">
      <w:pPr>
        <w:jc w:val="left"/>
      </w:pPr>
    </w:p>
    <w:p w:rsidR="005C2091" w:rsidRDefault="00A86293">
      <w:r>
        <w:t>Ovim programom su obuhvaćene aktivnosti u sklopu kojih će se financirati poslovi i djelatnosti Agencije za poljoprivredno zemljište iz njezinog djelokruga rada.</w:t>
      </w:r>
    </w:p>
    <w:p w:rsidR="005C2091" w:rsidRDefault="00A86293">
      <w:pPr>
        <w:pStyle w:val="Heading8"/>
        <w:jc w:val="left"/>
      </w:pPr>
      <w:r>
        <w:t>Cilj 1. Raspolaganje poljoprivrednim zemljištem</w:t>
      </w:r>
    </w:p>
    <w:p w:rsidR="005C2091" w:rsidRDefault="00A86293">
      <w:pPr>
        <w:pStyle w:val="Heading8"/>
        <w:jc w:val="left"/>
      </w:pPr>
      <w:r>
        <w:t>Opis provedbe cilja programa</w:t>
      </w:r>
    </w:p>
    <w:p w:rsidR="005C2091" w:rsidRDefault="00A86293">
      <w:r>
        <w:t>Najvažniji cilj primjene Zakona o poljoprivrednom zemljištu (NN br. 39/13 i 48/15) je što efikasnije raspolaganje poljoprivrednim zemljištem u vlasništvu države u svrhu okrupnjavanja poljoprivrednog zemljišta. U tom cilju Agencija za poljoprivredno zemljište putem raspisa natječaja za zakup i prodaju vrši odabir zakupoprimaca/kupaca poljoprivrednog zemljišta u vlasništvu države koje time ulazi u raspolaganje s namjenom poljoprivredne proizvodnje.</w:t>
      </w:r>
    </w:p>
    <w:p w:rsidR="005C2091" w:rsidRDefault="00A86293">
      <w:pPr>
        <w:pStyle w:val="Heading8"/>
        <w:jc w:val="left"/>
      </w:pPr>
      <w:r>
        <w:t>Cilj 2. Formiranje zemljišnog fonda</w:t>
      </w:r>
    </w:p>
    <w:p w:rsidR="005C2091" w:rsidRDefault="00A86293">
      <w:pPr>
        <w:pStyle w:val="Heading8"/>
        <w:jc w:val="left"/>
      </w:pPr>
      <w:r>
        <w:t>Opis provedbe cilja programa</w:t>
      </w:r>
    </w:p>
    <w:p w:rsidR="005C2091" w:rsidRDefault="00A86293">
      <w:r>
        <w:t>Zakon o poljoprivrednom zemljištu (NN br. 39/13 i 48/15) uređuje primjenu izravnih mjera koje za posljedicu imaju okrupnjavanje poljoprivrednog posjeda. Izravne mjere koje su uređene Zakonom o poljoprivrednom zemljištu (NN br. 39/13 i 48/15) su: raspolaganje poljoprivrednim zemljištem u vlasništvu države, te formiranje i gospodarenje zemljišnim fondom. Zemljišni fond čini državno poljoprivredno zemljište, kupljeno privatno poljoprivredno zemljište od strane Agencije za poljoprivredno zemljište te poljoprivredno zemljište koje je država stekla zamjenom sa fizičkim i pravnim osobama. S ciljem oživljavanja tržišta poljoprivrednim zemljištem, te stvaranjem većeg fonda poljoprivrednog zemljišta za namjene okrupnjavanja, Agencija za poljoprivredno zemljište se javlja na tržištu kao kupac privatnog poljoprivrednog zemljišta i provodi postupke zamjene poljoprivrednog zemljišta.</w:t>
      </w:r>
    </w:p>
    <w:p w:rsidR="005C2091" w:rsidRDefault="00A86293">
      <w:pPr>
        <w:pStyle w:val="Heading8"/>
        <w:jc w:val="left"/>
      </w:pPr>
      <w:r>
        <w:t>Cilj 3. Komasacija poljoprivrednog zemljišta</w:t>
      </w:r>
    </w:p>
    <w:p w:rsidR="005C2091" w:rsidRDefault="00A86293">
      <w:pPr>
        <w:pStyle w:val="Heading8"/>
        <w:jc w:val="left"/>
      </w:pPr>
      <w:r>
        <w:t>Opis provedbe cilja programa</w:t>
      </w:r>
    </w:p>
    <w:p w:rsidR="005C2091" w:rsidRDefault="00A86293">
      <w:r>
        <w:t>Usvajanjem Zakona o komasaciji poljoprivrednog zemljišta (NN br. 51/15) stvara se pravna podloga za provođenjem mjera komasacije poljoprivrednog zemljišta. Komasacija je, u smislu ovoga Zakona, skup administrativnih i tehničkih postupaka kojima se male i usitnjene površine poljoprivrednog zemljišta sjedinjuju u veće i uređenije, uređuju putne i kanalske mreže te sređuju vlasnički i drugi stvarnopravni odnosi na zemljištu, u cilju okrupnjavanja posjeda i katastarskih čestica u veće i pravilnije, radi njihovoga ekonomičnijeg iskorištavanja, stvaranja povoljnijih uvjeta za razvoj poljoprivredne proizvodnje, radi osnivanja i izgradnje poljoprivrednih putova, vodnih građevina za melioracije te izvođenja i drugih radova na uređenju zemljišta namijenjenog poljoprivredi. Komasacija se provodi na temelju višegodišnjih programa, koje donosi Hrvatski Sabor i godišnjih programa, koje donosi Vlada Republike Hrvatske. Programima se utvrđuju u prvome redu područja na kojima će se provoditi komasacija, izvori financiranja te rokovi za provedbu programa. Programe izrađuje Agencija za poljoprivredno zemljište. Sredstva potrebna za izvršenje programa osiguravaju se u Državnom proračunu Republike Hrvatske, proračunu jedinica lokalne i područne (regionalne) samouprave, iz sredstava fondova Europske unije, sredstava donacija, te drugih sredstava zainteresiranih pravnih i fizičkih osoba. Sudionici komasacije su vlasnici zemljišta kao i osobe koje na zemljištu, na kojem se provodi komasacija, imaju stvarna prava ili na zakonu zasnovani pravni interes. Komasacija obuhvaća, u pravilu, poljoprivredno zemljište jedne katastarske općine. Ako to zahtijevaju gospodarski ili drugi opravdani razlozi, komasacija može obuhvatiti poljoprivredno zemljište u više katastarskih općina.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361"/>
        <w:gridCol w:w="2342"/>
        <w:gridCol w:w="986"/>
        <w:gridCol w:w="1081"/>
        <w:gridCol w:w="1303"/>
        <w:gridCol w:w="1019"/>
        <w:gridCol w:w="1114"/>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površina poljoprivrednog zemljišta u vlasništvu države kojima je raspolagano</w:t>
            </w:r>
          </w:p>
        </w:tc>
        <w:tc>
          <w:tcPr>
            <w:tcW w:w="2551" w:type="dxa"/>
          </w:tcPr>
          <w:p w:rsidR="005C2091" w:rsidRDefault="00A86293">
            <w:pPr>
              <w:pStyle w:val="CellColumn"/>
              <w:jc w:val="left"/>
            </w:pPr>
            <w:r>
              <w:rPr>
                <w:rFonts w:cs="Times New Roman"/>
              </w:rPr>
              <w:t>Svo (100%) poljoprivredno zemljište u vlasništvu države je prodano, dano u zakup i dano u dugogodišnji zakup</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Do sada je raspolagano sa cca 250.000,00 ha</w:t>
            </w:r>
          </w:p>
        </w:tc>
        <w:tc>
          <w:tcPr>
            <w:tcW w:w="1020" w:type="dxa"/>
          </w:tcPr>
          <w:p w:rsidR="005C2091" w:rsidRDefault="00A86293">
            <w:pPr>
              <w:pStyle w:val="CellColumn"/>
              <w:jc w:val="right"/>
            </w:pPr>
            <w:r>
              <w:rPr>
                <w:rFonts w:cs="Times New Roman"/>
              </w:rPr>
              <w:t>Ministarstvo poljoprivrede</w:t>
            </w:r>
          </w:p>
        </w:tc>
        <w:tc>
          <w:tcPr>
            <w:tcW w:w="1020" w:type="dxa"/>
          </w:tcPr>
          <w:p w:rsidR="005C2091" w:rsidRDefault="00A86293">
            <w:pPr>
              <w:pStyle w:val="CellColumn"/>
              <w:jc w:val="right"/>
            </w:pPr>
            <w:r>
              <w:rPr>
                <w:rFonts w:cs="Times New Roman"/>
              </w:rPr>
              <w:t>350.000,00</w:t>
            </w:r>
          </w:p>
        </w:tc>
        <w:tc>
          <w:tcPr>
            <w:tcW w:w="1020" w:type="dxa"/>
          </w:tcPr>
          <w:p w:rsidR="005C2091" w:rsidRDefault="00A86293">
            <w:pPr>
              <w:pStyle w:val="CellColumn"/>
              <w:jc w:val="right"/>
            </w:pPr>
            <w:r>
              <w:rPr>
                <w:rFonts w:cs="Times New Roman"/>
              </w:rPr>
              <w:t>18.524,7905</w:t>
            </w:r>
          </w:p>
        </w:tc>
      </w:tr>
      <w:tr w:rsidR="005C2091">
        <w:trPr>
          <w:jc w:val="center"/>
        </w:trPr>
        <w:tc>
          <w:tcPr>
            <w:tcW w:w="2551" w:type="dxa"/>
          </w:tcPr>
          <w:p w:rsidR="005C2091" w:rsidRDefault="00A86293">
            <w:pPr>
              <w:pStyle w:val="CellColumn"/>
              <w:jc w:val="left"/>
            </w:pPr>
            <w:r>
              <w:rPr>
                <w:rFonts w:cs="Times New Roman"/>
              </w:rPr>
              <w:t>Povećan broj transakcija poljoprivrednim zemljištem koje "ulazi" u sastav zemljišnog fonda i povećan broj transakcija poljoprivrednim zemljištem iz zemljišnog fonda</w:t>
            </w:r>
          </w:p>
        </w:tc>
        <w:tc>
          <w:tcPr>
            <w:tcW w:w="2551" w:type="dxa"/>
          </w:tcPr>
          <w:p w:rsidR="005C2091" w:rsidRDefault="00A86293">
            <w:pPr>
              <w:pStyle w:val="CellColumn"/>
              <w:jc w:val="left"/>
            </w:pPr>
            <w:r>
              <w:rPr>
                <w:rFonts w:cs="Times New Roman"/>
              </w:rPr>
              <w:t>Agencija za poljoprivredno zemljište kupuje privatno poljoprivredno zemljište i mijenja zemljište sa fizičkim i pravnim osobama, zatim od stečenog zemljišta formira zemljišni fond kojim gospodari putem prodaje, zamjene i zakupa</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0,00</w:t>
            </w:r>
          </w:p>
        </w:tc>
        <w:tc>
          <w:tcPr>
            <w:tcW w:w="1020" w:type="dxa"/>
          </w:tcPr>
          <w:p w:rsidR="005C2091" w:rsidRDefault="00A86293">
            <w:pPr>
              <w:pStyle w:val="CellColumn"/>
              <w:jc w:val="right"/>
            </w:pPr>
            <w:r>
              <w:rPr>
                <w:rFonts w:cs="Times New Roman"/>
              </w:rPr>
              <w:t>Agencija za poljoprivredno zemljište</w:t>
            </w:r>
          </w:p>
        </w:tc>
        <w:tc>
          <w:tcPr>
            <w:tcW w:w="1020" w:type="dxa"/>
          </w:tcPr>
          <w:p w:rsidR="005C2091" w:rsidRDefault="00A86293">
            <w:pPr>
              <w:pStyle w:val="CellColumn"/>
              <w:jc w:val="right"/>
            </w:pPr>
            <w:r>
              <w:rPr>
                <w:rFonts w:cs="Times New Roman"/>
              </w:rPr>
              <w:t>20,00</w:t>
            </w:r>
          </w:p>
        </w:tc>
        <w:tc>
          <w:tcPr>
            <w:tcW w:w="1020" w:type="dxa"/>
          </w:tcPr>
          <w:p w:rsidR="005C2091" w:rsidRDefault="00A86293">
            <w:pPr>
              <w:pStyle w:val="CellColumn"/>
              <w:jc w:val="right"/>
            </w:pPr>
            <w:r>
              <w:rPr>
                <w:rFonts w:cs="Times New Roman"/>
              </w:rPr>
              <w:t>32,9259</w:t>
            </w:r>
          </w:p>
        </w:tc>
      </w:tr>
      <w:tr w:rsidR="005C2091">
        <w:trPr>
          <w:jc w:val="center"/>
        </w:trPr>
        <w:tc>
          <w:tcPr>
            <w:tcW w:w="2551" w:type="dxa"/>
          </w:tcPr>
          <w:p w:rsidR="005C2091" w:rsidRDefault="00A86293">
            <w:pPr>
              <w:pStyle w:val="CellColumn"/>
              <w:jc w:val="left"/>
            </w:pPr>
            <w:r>
              <w:rPr>
                <w:rFonts w:cs="Times New Roman"/>
              </w:rPr>
              <w:t>Povećanje komasiranih poljoprivrednih površina</w:t>
            </w:r>
          </w:p>
        </w:tc>
        <w:tc>
          <w:tcPr>
            <w:tcW w:w="2551" w:type="dxa"/>
          </w:tcPr>
          <w:p w:rsidR="005C2091" w:rsidRDefault="00A86293">
            <w:pPr>
              <w:pStyle w:val="CellColumn"/>
              <w:jc w:val="left"/>
            </w:pPr>
            <w:r>
              <w:rPr>
                <w:rFonts w:cs="Times New Roman"/>
              </w:rPr>
              <w:t>Jedinice lokalne i regionalne samouprave provode mjere komasacije na svojem području</w:t>
            </w:r>
          </w:p>
        </w:tc>
        <w:tc>
          <w:tcPr>
            <w:tcW w:w="1020" w:type="dxa"/>
          </w:tcPr>
          <w:p w:rsidR="005C2091" w:rsidRDefault="00A86293">
            <w:pPr>
              <w:pStyle w:val="CellColumn"/>
              <w:jc w:val="right"/>
            </w:pPr>
            <w:r>
              <w:rPr>
                <w:rFonts w:cs="Times New Roman"/>
              </w:rPr>
              <w:t>Površina (ha)</w:t>
            </w:r>
          </w:p>
        </w:tc>
        <w:tc>
          <w:tcPr>
            <w:tcW w:w="1020" w:type="dxa"/>
          </w:tcPr>
          <w:p w:rsidR="005C2091" w:rsidRDefault="00A86293">
            <w:pPr>
              <w:pStyle w:val="CellColumn"/>
              <w:jc w:val="right"/>
            </w:pPr>
            <w:r>
              <w:rPr>
                <w:rFonts w:cs="Times New Roman"/>
              </w:rPr>
              <w:t>0,00</w:t>
            </w:r>
          </w:p>
        </w:tc>
        <w:tc>
          <w:tcPr>
            <w:tcW w:w="1020" w:type="dxa"/>
          </w:tcPr>
          <w:p w:rsidR="005C2091" w:rsidRDefault="00A86293">
            <w:pPr>
              <w:pStyle w:val="CellColumn"/>
              <w:jc w:val="right"/>
            </w:pPr>
            <w:r>
              <w:rPr>
                <w:rFonts w:cs="Times New Roman"/>
              </w:rPr>
              <w:t>Agencija za poljoprivredno zemljište</w:t>
            </w:r>
          </w:p>
        </w:tc>
        <w:tc>
          <w:tcPr>
            <w:tcW w:w="1020" w:type="dxa"/>
          </w:tcPr>
          <w:p w:rsidR="005C2091" w:rsidRDefault="00A86293">
            <w:pPr>
              <w:pStyle w:val="CellColumn"/>
              <w:jc w:val="right"/>
            </w:pPr>
            <w:r>
              <w:rPr>
                <w:rFonts w:cs="Times New Roman"/>
              </w:rPr>
              <w:t>5,00</w:t>
            </w:r>
          </w:p>
        </w:tc>
        <w:tc>
          <w:tcPr>
            <w:tcW w:w="1020" w:type="dxa"/>
          </w:tcPr>
          <w:p w:rsidR="005C2091" w:rsidRDefault="00A86293">
            <w:pPr>
              <w:pStyle w:val="CellColumn"/>
              <w:jc w:val="right"/>
            </w:pPr>
            <w:r>
              <w:rPr>
                <w:rFonts w:cs="Times New Roman"/>
              </w:rPr>
              <w:t>0,00</w:t>
            </w:r>
          </w:p>
        </w:tc>
      </w:tr>
    </w:tbl>
    <w:p w:rsidR="005C2091" w:rsidRDefault="005C2091">
      <w:pPr>
        <w:jc w:val="left"/>
      </w:pPr>
    </w:p>
    <w:p w:rsidR="005C2091" w:rsidRDefault="00A86293">
      <w:pPr>
        <w:pStyle w:val="Heading4"/>
      </w:pPr>
      <w:r>
        <w:t>A850001 ADMINISTRACIJA I UPRAVLJANJE AGENCIJE ZA POLJOPRIVREDNO ZEMLJIŠTE</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A850001-ADMINISTRACIJA I UPRAVLJANJE AGENCIJE ZA POLJOPRIVREDNO ZEMLJIŠTE</w:t>
            </w:r>
          </w:p>
        </w:tc>
        <w:tc>
          <w:tcPr>
            <w:tcW w:w="2041" w:type="dxa"/>
          </w:tcPr>
          <w:p w:rsidR="005C2091" w:rsidRDefault="00A86293">
            <w:pPr>
              <w:pStyle w:val="CellColumn"/>
              <w:jc w:val="right"/>
            </w:pPr>
            <w:r>
              <w:rPr>
                <w:rFonts w:cs="Times New Roman"/>
              </w:rPr>
              <w:t>17.605.745</w:t>
            </w:r>
          </w:p>
        </w:tc>
        <w:tc>
          <w:tcPr>
            <w:tcW w:w="2041" w:type="dxa"/>
          </w:tcPr>
          <w:p w:rsidR="005C2091" w:rsidRDefault="00A86293">
            <w:pPr>
              <w:pStyle w:val="CellColumn"/>
              <w:jc w:val="right"/>
            </w:pPr>
            <w:r>
              <w:rPr>
                <w:rFonts w:cs="Times New Roman"/>
              </w:rPr>
              <w:t>14.873.627</w:t>
            </w:r>
          </w:p>
        </w:tc>
        <w:tc>
          <w:tcPr>
            <w:tcW w:w="2041" w:type="dxa"/>
          </w:tcPr>
          <w:p w:rsidR="005C2091" w:rsidRDefault="00A86293">
            <w:pPr>
              <w:pStyle w:val="CellColumn"/>
              <w:jc w:val="right"/>
            </w:pPr>
            <w:r>
              <w:rPr>
                <w:rFonts w:cs="Times New Roman"/>
              </w:rPr>
              <w:t>14.249.084</w:t>
            </w:r>
          </w:p>
        </w:tc>
        <w:tc>
          <w:tcPr>
            <w:tcW w:w="1224" w:type="dxa"/>
          </w:tcPr>
          <w:p w:rsidR="005C2091" w:rsidRDefault="00A86293">
            <w:pPr>
              <w:pStyle w:val="CellColumn"/>
              <w:jc w:val="right"/>
            </w:pPr>
            <w:r>
              <w:rPr>
                <w:rFonts w:cs="Times New Roman"/>
              </w:rPr>
              <w:t>95,8</w:t>
            </w:r>
          </w:p>
        </w:tc>
        <w:tc>
          <w:tcPr>
            <w:tcW w:w="1224" w:type="dxa"/>
          </w:tcPr>
          <w:p w:rsidR="005C2091" w:rsidRDefault="00A86293">
            <w:pPr>
              <w:pStyle w:val="CellColumn"/>
              <w:jc w:val="right"/>
            </w:pPr>
            <w:r>
              <w:rPr>
                <w:rFonts w:cs="Times New Roman"/>
              </w:rPr>
              <w:t>80,9</w:t>
            </w:r>
          </w:p>
        </w:tc>
      </w:tr>
    </w:tbl>
    <w:p w:rsidR="005C2091" w:rsidRDefault="005C2091">
      <w:pPr>
        <w:jc w:val="left"/>
      </w:pPr>
    </w:p>
    <w:p w:rsidR="005C2091" w:rsidRDefault="00A86293">
      <w:pPr>
        <w:pStyle w:val="Heading8"/>
        <w:jc w:val="left"/>
      </w:pPr>
      <w:r>
        <w:t>Zakonske i druge pravne osnove</w:t>
      </w:r>
    </w:p>
    <w:p w:rsidR="005C2091" w:rsidRDefault="00A86293">
      <w:r>
        <w:t>Zakon o poljoprivrednom zemljištu (NN br. 39/13 i 48/15)</w:t>
      </w:r>
    </w:p>
    <w:p w:rsidR="005C2091" w:rsidRDefault="00A86293">
      <w:pPr>
        <w:pStyle w:val="Heading8"/>
        <w:jc w:val="left"/>
      </w:pPr>
      <w:r>
        <w:t>Opis aktivnosti</w:t>
      </w:r>
    </w:p>
    <w:p w:rsidR="005C2091" w:rsidRDefault="00A86293">
      <w:r>
        <w:t>Za redovito poslovanje i obavljanje svih djelatnosti u Agenciji za poljoprivredno zemljište kroz navedenu aktivnost u 2016. godini, planirana sredstva su realizirana za financiranje ukupnih rashoda za zaposlene, korištenja usluga i dobara, nabave neproizvedene i proizvedene dugotrajne imovine.</w:t>
      </w:r>
    </w:p>
    <w:p w:rsidR="005C2091" w:rsidRDefault="00A86293">
      <w:pPr>
        <w:pStyle w:val="Heading4"/>
      </w:pPr>
      <w:r>
        <w:t>A850010 KOMASACIJA POLJOPRIVREDNOG ZEMLJIŠTA</w:t>
      </w:r>
    </w:p>
    <w:tbl>
      <w:tblPr>
        <w:tblStyle w:val="StilTablice"/>
        <w:tblW w:w="10206" w:type="dxa"/>
        <w:jc w:val="center"/>
        <w:tblLook w:val="04A0" w:firstRow="1" w:lastRow="0" w:firstColumn="1" w:lastColumn="0" w:noHBand="0" w:noVBand="1"/>
      </w:tblPr>
      <w:tblGrid>
        <w:gridCol w:w="2004"/>
        <w:gridCol w:w="1940"/>
        <w:gridCol w:w="1917"/>
        <w:gridCol w:w="1934"/>
        <w:gridCol w:w="1201"/>
        <w:gridCol w:w="1210"/>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A850010-KOMASACIJA POLJOPRIVREDNOG ZEMLJIŠTA</w:t>
            </w:r>
          </w:p>
        </w:tc>
        <w:tc>
          <w:tcPr>
            <w:tcW w:w="2041" w:type="dxa"/>
          </w:tcPr>
          <w:p w:rsidR="005C2091" w:rsidRDefault="00A86293">
            <w:pPr>
              <w:pStyle w:val="CellColumn"/>
              <w:jc w:val="right"/>
            </w:pPr>
            <w:r>
              <w:rPr>
                <w:rFonts w:cs="Times New Roman"/>
              </w:rPr>
              <w:t>1.854.564</w:t>
            </w:r>
          </w:p>
        </w:tc>
        <w:tc>
          <w:tcPr>
            <w:tcW w:w="2041" w:type="dxa"/>
          </w:tcPr>
          <w:p w:rsidR="005C2091" w:rsidRDefault="00A86293">
            <w:pPr>
              <w:pStyle w:val="CellColumn"/>
              <w:jc w:val="right"/>
            </w:pPr>
            <w:r>
              <w:rPr>
                <w:rFonts w:cs="Times New Roman"/>
              </w:rPr>
              <w:t>56.000</w:t>
            </w:r>
          </w:p>
        </w:tc>
        <w:tc>
          <w:tcPr>
            <w:tcW w:w="2041" w:type="dxa"/>
          </w:tcPr>
          <w:p w:rsidR="005C2091" w:rsidRDefault="00A86293">
            <w:pPr>
              <w:pStyle w:val="CellColumn"/>
              <w:jc w:val="right"/>
            </w:pPr>
            <w:r>
              <w:rPr>
                <w:rFonts w:cs="Times New Roman"/>
              </w:rPr>
              <w:t>55.347</w:t>
            </w:r>
          </w:p>
        </w:tc>
        <w:tc>
          <w:tcPr>
            <w:tcW w:w="1224" w:type="dxa"/>
          </w:tcPr>
          <w:p w:rsidR="005C2091" w:rsidRDefault="00A86293">
            <w:pPr>
              <w:pStyle w:val="CellColumn"/>
              <w:jc w:val="right"/>
            </w:pPr>
            <w:r>
              <w:rPr>
                <w:rFonts w:cs="Times New Roman"/>
              </w:rPr>
              <w:t>98,8</w:t>
            </w:r>
          </w:p>
        </w:tc>
        <w:tc>
          <w:tcPr>
            <w:tcW w:w="1224" w:type="dxa"/>
          </w:tcPr>
          <w:p w:rsidR="005C2091" w:rsidRDefault="00A86293">
            <w:pPr>
              <w:pStyle w:val="CellColumn"/>
              <w:jc w:val="right"/>
            </w:pPr>
            <w:r>
              <w:rPr>
                <w:rFonts w:cs="Times New Roman"/>
              </w:rPr>
              <w:t>3,0</w:t>
            </w:r>
          </w:p>
        </w:tc>
      </w:tr>
    </w:tbl>
    <w:p w:rsidR="005C2091" w:rsidRDefault="005C2091">
      <w:pPr>
        <w:jc w:val="left"/>
      </w:pPr>
    </w:p>
    <w:p w:rsidR="005C2091" w:rsidRDefault="00A86293">
      <w:pPr>
        <w:pStyle w:val="Heading8"/>
        <w:jc w:val="left"/>
      </w:pPr>
      <w:r>
        <w:t>Zakonske i druge pravne osnove</w:t>
      </w:r>
    </w:p>
    <w:p w:rsidR="005C2091" w:rsidRDefault="00A86293">
      <w:r>
        <w:t>Zakon o komasaciji poljoprivrednog zemljišta (NN br. 51/15)</w:t>
      </w:r>
    </w:p>
    <w:p w:rsidR="005C2091" w:rsidRDefault="00A86293">
      <w:pPr>
        <w:pStyle w:val="Heading8"/>
        <w:jc w:val="left"/>
      </w:pPr>
      <w:r>
        <w:t>Opis aktivnosti</w:t>
      </w:r>
    </w:p>
    <w:p w:rsidR="005C2091" w:rsidRDefault="00A86293">
      <w:r>
        <w:t>Prema Zakonu o komasaciji poljoprivrednog zemljišta (NN br. 51/15) u nadležnosti Agencije za poljoprivredno zemljište su poslovi komasacije koji podrazumijevaju skup administrativnih i tehničkih postupaka kojima se male i usitnjene površine poljoprivrednog zemljišta sjedinjuju u veće i uređenije, uređuju putne i kanalske mreže, te uređuju vlasničkih i drugih stvarnopravni odnosi na zemljištu, a sve u cilju okrupnjavanja posjeda i katastarskih čestica u veće i pravilnije radi njihovog ekonomičnijeg iskorištavanja, stvaranja povoljnih uvjeta za razvoj poljoprivredne proizvodnje, osnivanja i izgradnje poljoprivrednih putova, vodnih građevina za melioracije, te izvođenje i drugih radova na uređenju zemljišta namijenjenog poljoprivredi. Sredstva predviđena za provedbu ovog projekta početkom 2016. godine su utrošena u svrhu promidžbe i prijevoda dokumentacije vezane za sami projekt. Slijedom nastalih događaja, uzrokovanih zbog nemogućnosti provedbe samog zakona, došlo je do obustave svih aktivnosti vezanih za projekt komasacije. Sukladno navedenom, planirana sredstva za 2016. godinu su kroz provedbu rebalansa smanjena na razinu realiziranih s početka godine.</w:t>
      </w:r>
    </w:p>
    <w:p w:rsidR="005C2091" w:rsidRDefault="00A86293">
      <w:pPr>
        <w:pStyle w:val="Heading4"/>
      </w:pPr>
      <w:r>
        <w:t>T850008 IPA 2012 POKROV I KORIŠTENJE ZEMLJIŠTA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T850008-IPA 2012 POKROV I KORIŠTENJE ZEMLJIŠTA</w:t>
            </w:r>
          </w:p>
        </w:tc>
        <w:tc>
          <w:tcPr>
            <w:tcW w:w="2041" w:type="dxa"/>
          </w:tcPr>
          <w:p w:rsidR="005C2091" w:rsidRDefault="00A86293">
            <w:pPr>
              <w:pStyle w:val="CellColumn"/>
              <w:jc w:val="right"/>
            </w:pPr>
            <w:r>
              <w:rPr>
                <w:rFonts w:cs="Times New Roman"/>
              </w:rPr>
              <w:t>1.718.293</w:t>
            </w:r>
          </w:p>
        </w:tc>
        <w:tc>
          <w:tcPr>
            <w:tcW w:w="2041" w:type="dxa"/>
          </w:tcPr>
          <w:p w:rsidR="005C2091" w:rsidRDefault="00A86293">
            <w:pPr>
              <w:pStyle w:val="CellColumn"/>
              <w:jc w:val="right"/>
            </w:pPr>
            <w:r>
              <w:rPr>
                <w:rFonts w:cs="Times New Roman"/>
              </w:rPr>
              <w:t>195.000</w:t>
            </w:r>
          </w:p>
        </w:tc>
        <w:tc>
          <w:tcPr>
            <w:tcW w:w="2041" w:type="dxa"/>
          </w:tcPr>
          <w:p w:rsidR="005C2091" w:rsidRDefault="00A86293">
            <w:pPr>
              <w:pStyle w:val="CellColumn"/>
              <w:jc w:val="right"/>
            </w:pPr>
            <w:r>
              <w:rPr>
                <w:rFonts w:cs="Times New Roman"/>
              </w:rPr>
              <w:t>3.375</w:t>
            </w:r>
          </w:p>
        </w:tc>
        <w:tc>
          <w:tcPr>
            <w:tcW w:w="1224" w:type="dxa"/>
          </w:tcPr>
          <w:p w:rsidR="005C2091" w:rsidRDefault="00A86293">
            <w:pPr>
              <w:pStyle w:val="CellColumn"/>
              <w:jc w:val="right"/>
            </w:pPr>
            <w:r>
              <w:rPr>
                <w:rFonts w:cs="Times New Roman"/>
              </w:rPr>
              <w:t>1,7</w:t>
            </w:r>
          </w:p>
        </w:tc>
        <w:tc>
          <w:tcPr>
            <w:tcW w:w="1224" w:type="dxa"/>
          </w:tcPr>
          <w:p w:rsidR="005C2091" w:rsidRDefault="00A86293">
            <w:pPr>
              <w:pStyle w:val="CellColumn"/>
              <w:jc w:val="right"/>
            </w:pPr>
            <w:r>
              <w:rPr>
                <w:rFonts w:cs="Times New Roman"/>
              </w:rPr>
              <w:t>0,2</w:t>
            </w:r>
          </w:p>
        </w:tc>
      </w:tr>
    </w:tbl>
    <w:p w:rsidR="005C2091" w:rsidRDefault="005C2091">
      <w:pPr>
        <w:jc w:val="left"/>
      </w:pPr>
    </w:p>
    <w:p w:rsidR="005C2091" w:rsidRDefault="00A86293">
      <w:pPr>
        <w:pStyle w:val="Heading8"/>
        <w:jc w:val="left"/>
      </w:pPr>
      <w:r>
        <w:t>Zakonske i druge pravne osnove</w:t>
      </w:r>
    </w:p>
    <w:p w:rsidR="005C2091" w:rsidRDefault="00A86293">
      <w:r>
        <w:t>Grant contract - External actions of the European Union (14463.2013.002-2013.450)</w:t>
      </w:r>
    </w:p>
    <w:p w:rsidR="005C2091" w:rsidRDefault="00A86293">
      <w:pPr>
        <w:pStyle w:val="Heading8"/>
        <w:jc w:val="left"/>
      </w:pPr>
      <w:r>
        <w:t>Opis aktivnosti</w:t>
      </w:r>
    </w:p>
    <w:p w:rsidR="005C2091" w:rsidRDefault="00A86293">
      <w:r>
        <w:t>Agencija za poljoprivredno zemljište u 2015. godini je provodila projekt LUCAS (Land use/cover statistics) u suradnji sa Državnim zavodom za statistiku u sklopu višenamjenskog statističkog programa MBA IPA 2012 (IPA 2012 Multi-beneficiary statistical cooperation programme). Cilj je bio utvrditi pokrov i korištenje zemljišta na 3.500 točaka na području teritorija Republike Hrvatske, a dobiveni statistički podaci služiti će Europskoj komisiji za izradu raznih statističkih izvještaja na području Europske Unije. Realizacija samog projekta završila je krajem 2015. godine, dok su za 2016. godinu planirana sredstva koja bi bila doznačena nakon revizije Europske komisije u iznosu od 10% ukupne doznačene vrijednosti projekta te bi bila iskorištena za potrebe aktivnosti nakon završetka projekta. Budući da su planirana navedena sredstva doznačena tek krajem 2016. godine, došlo je do male realizacije istih te su kao takva prebačena u financijski plan za 2017. godinu.</w:t>
      </w:r>
    </w:p>
    <w:p w:rsidR="005C2091" w:rsidRDefault="00A86293">
      <w:pPr>
        <w:pStyle w:val="Heading2"/>
      </w:pPr>
      <w:r>
        <w:t>06045 Hrvatska poljoprivredna agencija</w:t>
      </w:r>
    </w:p>
    <w:p w:rsidR="005C2091" w:rsidRDefault="00A86293">
      <w:r>
        <w:t xml:space="preserve">Hrvatska poljoprivredna agencija je institucija osnovana Uredbom Vlade Republike Hrvatske 1994. godine. Pravni je slijednik tada osnovanog Hrvatskog stočarsko selekcijskog centra. </w:t>
      </w:r>
    </w:p>
    <w:p w:rsidR="005C2091" w:rsidRDefault="00A86293">
      <w:r>
        <w:t xml:space="preserve">Agencija je osnovana kao specijalizirana ustanova za obavljanje poslova u stočarstvu i poljoprivredi, a temeljem djelatnosti koje obavlja sukladno Uredbi Vlade RH predstavlja instituciju zaduženu za razvoj stočarske proizvodnje unutar poljoprivrednog sektora Republike Hrvatske. Aktivnosti Agencije usmjerene su korisnicima odnosno poljoprivrednim proizvođačima i uzgajivačima stoke s ciljem razvoja i unapređenja stočarstva, podizanja konkurentnosti proizvodnje kao i kvalitete svih segmenata života poljoprivrednih proizvođača.  </w:t>
      </w:r>
    </w:p>
    <w:p w:rsidR="005C2091" w:rsidRDefault="00A86293">
      <w:r>
        <w:t>Mjerama koje provodi, te razvojem i implementacijom najnovijih saznanja o stočarskoj proizvodnji na gospodarstvima hrvatskih stočarskih proizvođača, Hrvatska poljoprivredna agencija utječe na trajno unapređenje poljoprivrednog odnosno stočarskog sektora i svakodnevni je servis poljoprivrednim proizvođačima u organizaciji proizvodnje.</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06045-Hrvatska poljoprivredna agencija</w:t>
            </w:r>
          </w:p>
        </w:tc>
        <w:tc>
          <w:tcPr>
            <w:tcW w:w="2041" w:type="dxa"/>
            <w:vAlign w:val="top"/>
          </w:tcPr>
          <w:p w:rsidR="005C2091" w:rsidRDefault="00A86293">
            <w:pPr>
              <w:pStyle w:val="CellColumn"/>
              <w:jc w:val="right"/>
            </w:pPr>
            <w:r>
              <w:rPr>
                <w:rFonts w:cs="Times New Roman"/>
              </w:rPr>
              <w:t>54.894.264</w:t>
            </w:r>
          </w:p>
        </w:tc>
        <w:tc>
          <w:tcPr>
            <w:tcW w:w="2041" w:type="dxa"/>
            <w:vAlign w:val="top"/>
          </w:tcPr>
          <w:p w:rsidR="005C2091" w:rsidRDefault="00A86293">
            <w:pPr>
              <w:pStyle w:val="CellColumn"/>
              <w:jc w:val="right"/>
            </w:pPr>
            <w:r>
              <w:rPr>
                <w:rFonts w:cs="Times New Roman"/>
              </w:rPr>
              <w:t>63.819.110</w:t>
            </w:r>
          </w:p>
        </w:tc>
        <w:tc>
          <w:tcPr>
            <w:tcW w:w="2041" w:type="dxa"/>
            <w:vAlign w:val="top"/>
          </w:tcPr>
          <w:p w:rsidR="005C2091" w:rsidRDefault="00A86293">
            <w:pPr>
              <w:pStyle w:val="CellColumn"/>
              <w:jc w:val="right"/>
            </w:pPr>
            <w:r>
              <w:rPr>
                <w:rFonts w:cs="Times New Roman"/>
              </w:rPr>
              <w:t>54.653.235</w:t>
            </w:r>
          </w:p>
        </w:tc>
        <w:tc>
          <w:tcPr>
            <w:tcW w:w="1224" w:type="dxa"/>
            <w:vAlign w:val="top"/>
          </w:tcPr>
          <w:p w:rsidR="005C2091" w:rsidRDefault="00A86293">
            <w:pPr>
              <w:pStyle w:val="CellColumn"/>
              <w:jc w:val="right"/>
            </w:pPr>
            <w:r>
              <w:rPr>
                <w:rFonts w:cs="Times New Roman"/>
              </w:rPr>
              <w:t>85,6</w:t>
            </w:r>
          </w:p>
        </w:tc>
        <w:tc>
          <w:tcPr>
            <w:tcW w:w="1224" w:type="dxa"/>
            <w:vAlign w:val="top"/>
          </w:tcPr>
          <w:p w:rsidR="005C2091" w:rsidRDefault="00A86293">
            <w:pPr>
              <w:pStyle w:val="CellColumn"/>
              <w:jc w:val="right"/>
            </w:pPr>
            <w:r>
              <w:rPr>
                <w:rFonts w:cs="Times New Roman"/>
              </w:rPr>
              <w:t>99,6</w:t>
            </w:r>
          </w:p>
        </w:tc>
      </w:tr>
      <w:tr w:rsidR="005C2091">
        <w:trPr>
          <w:jc w:val="center"/>
        </w:trPr>
        <w:tc>
          <w:tcPr>
            <w:tcW w:w="1632" w:type="dxa"/>
          </w:tcPr>
          <w:p w:rsidR="005C2091" w:rsidRDefault="00A86293">
            <w:pPr>
              <w:jc w:val="left"/>
            </w:pPr>
            <w:r>
              <w:t>3001-UPRAVLJANJE POLJOPRIVREDOM, RIBARSTVOM I RURALNIM RAZVOJEM</w:t>
            </w:r>
          </w:p>
        </w:tc>
        <w:tc>
          <w:tcPr>
            <w:tcW w:w="2041" w:type="dxa"/>
          </w:tcPr>
          <w:p w:rsidR="005C2091" w:rsidRDefault="00A86293">
            <w:pPr>
              <w:jc w:val="right"/>
            </w:pPr>
            <w:r>
              <w:t>54.894.264</w:t>
            </w:r>
          </w:p>
        </w:tc>
        <w:tc>
          <w:tcPr>
            <w:tcW w:w="2041" w:type="dxa"/>
          </w:tcPr>
          <w:p w:rsidR="005C2091" w:rsidRDefault="00A86293">
            <w:pPr>
              <w:jc w:val="right"/>
            </w:pPr>
            <w:r>
              <w:t>63.819.110</w:t>
            </w:r>
          </w:p>
        </w:tc>
        <w:tc>
          <w:tcPr>
            <w:tcW w:w="2041" w:type="dxa"/>
          </w:tcPr>
          <w:p w:rsidR="005C2091" w:rsidRDefault="00A86293">
            <w:pPr>
              <w:jc w:val="right"/>
            </w:pPr>
            <w:r>
              <w:t>54.653.235</w:t>
            </w:r>
          </w:p>
        </w:tc>
        <w:tc>
          <w:tcPr>
            <w:tcW w:w="1224" w:type="dxa"/>
          </w:tcPr>
          <w:p w:rsidR="005C2091" w:rsidRDefault="00A86293">
            <w:pPr>
              <w:jc w:val="right"/>
            </w:pPr>
            <w:r>
              <w:t>85,6</w:t>
            </w:r>
          </w:p>
        </w:tc>
        <w:tc>
          <w:tcPr>
            <w:tcW w:w="1224" w:type="dxa"/>
          </w:tcPr>
          <w:p w:rsidR="005C2091" w:rsidRDefault="00A86293">
            <w:pPr>
              <w:jc w:val="right"/>
            </w:pPr>
            <w:r>
              <w:t>99,6</w:t>
            </w:r>
          </w:p>
        </w:tc>
      </w:tr>
    </w:tbl>
    <w:p w:rsidR="005C2091" w:rsidRDefault="005C2091">
      <w:pPr>
        <w:jc w:val="left"/>
      </w:pPr>
    </w:p>
    <w:p w:rsidR="005C2091" w:rsidRDefault="00A86293">
      <w:pPr>
        <w:pStyle w:val="Heading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3001-UPRAVLJANJE POLJOPRIVREDOM, RIBARSTVOM I RURALNIM RAZVOJEM</w:t>
            </w:r>
          </w:p>
        </w:tc>
        <w:tc>
          <w:tcPr>
            <w:tcW w:w="2041" w:type="dxa"/>
          </w:tcPr>
          <w:p w:rsidR="005C2091" w:rsidRDefault="00A86293">
            <w:pPr>
              <w:pStyle w:val="CellColumn"/>
              <w:jc w:val="right"/>
            </w:pPr>
            <w:r>
              <w:rPr>
                <w:rFonts w:cs="Times New Roman"/>
              </w:rPr>
              <w:t>54.894.264</w:t>
            </w:r>
          </w:p>
        </w:tc>
        <w:tc>
          <w:tcPr>
            <w:tcW w:w="2041" w:type="dxa"/>
          </w:tcPr>
          <w:p w:rsidR="005C2091" w:rsidRDefault="00A86293">
            <w:pPr>
              <w:pStyle w:val="CellColumn"/>
              <w:jc w:val="right"/>
            </w:pPr>
            <w:r>
              <w:rPr>
                <w:rFonts w:cs="Times New Roman"/>
              </w:rPr>
              <w:t>63.819.110</w:t>
            </w:r>
          </w:p>
        </w:tc>
        <w:tc>
          <w:tcPr>
            <w:tcW w:w="2041" w:type="dxa"/>
          </w:tcPr>
          <w:p w:rsidR="005C2091" w:rsidRDefault="00A86293">
            <w:pPr>
              <w:pStyle w:val="CellColumn"/>
              <w:jc w:val="right"/>
            </w:pPr>
            <w:r>
              <w:rPr>
                <w:rFonts w:cs="Times New Roman"/>
              </w:rPr>
              <w:t>54.653.235</w:t>
            </w:r>
          </w:p>
        </w:tc>
        <w:tc>
          <w:tcPr>
            <w:tcW w:w="1224" w:type="dxa"/>
          </w:tcPr>
          <w:p w:rsidR="005C2091" w:rsidRDefault="00A86293">
            <w:pPr>
              <w:pStyle w:val="CellColumn"/>
              <w:jc w:val="right"/>
            </w:pPr>
            <w:r>
              <w:rPr>
                <w:rFonts w:cs="Times New Roman"/>
              </w:rPr>
              <w:t>85,6</w:t>
            </w:r>
          </w:p>
        </w:tc>
        <w:tc>
          <w:tcPr>
            <w:tcW w:w="1224" w:type="dxa"/>
          </w:tcPr>
          <w:p w:rsidR="005C2091" w:rsidRDefault="00A86293">
            <w:pPr>
              <w:pStyle w:val="CellColumn"/>
              <w:jc w:val="right"/>
            </w:pPr>
            <w:r>
              <w:rPr>
                <w:rFonts w:cs="Times New Roman"/>
              </w:rPr>
              <w:t>99,6</w:t>
            </w:r>
          </w:p>
        </w:tc>
      </w:tr>
    </w:tbl>
    <w:p w:rsidR="005C2091" w:rsidRDefault="005C2091">
      <w:pPr>
        <w:jc w:val="left"/>
      </w:pPr>
    </w:p>
    <w:p w:rsidR="005C2091" w:rsidRDefault="00A86293">
      <w:r>
        <w:t>Aktivnosti iz programa usmjerene su na jačanje i razvoj stočarske proizvodnje u Republici Hrvatskoj s ciljem dosizanja razine razvoja ostalih članica Europske Unije kako bi poljoprivredni proizvođači imali jednake mogućnosti na europskom tržištu stočarskih proizvoda.</w:t>
      </w:r>
    </w:p>
    <w:p w:rsidR="005C2091" w:rsidRDefault="00A86293">
      <w:pPr>
        <w:pStyle w:val="Heading8"/>
        <w:jc w:val="left"/>
      </w:pPr>
      <w:r>
        <w:t>Cilj 1. Jačanje i razvoj stočarske proizvodnje u Republici Hrvatskoj</w:t>
      </w:r>
    </w:p>
    <w:p w:rsidR="005C2091" w:rsidRDefault="00A86293">
      <w:pPr>
        <w:pStyle w:val="Heading8"/>
        <w:jc w:val="left"/>
      </w:pPr>
      <w:r>
        <w:t>Opis provedbe cilja programa</w:t>
      </w:r>
    </w:p>
    <w:p w:rsidR="005C2091" w:rsidRDefault="00A86293">
      <w:r>
        <w:t>Prema pokazateljima učinaka, cilj Jačanje i razvoj stočarske proizvodnje u Republici Hrvatskoj proveden je prema predviđenom planu. U provedbi uzgojnih programa kroz ispitivanja proizvodnih svojstava svih vrsta i pasmina domaćih životinja, obradi uzgojno selekcijskih podataka i izračunu uzgojnih vrijednosti za sva uzgojno valjana grla domaćih životinja, Agencija je provela sve planirane postupke sukladno propisima i procedurama Međunarodnog komiteta za kontrolu proizvodnosti domaćih životinja (ICAR) i Referentnog laboratorija za zootehniku Europske Unije (INTERBULL). Uz praćenje konvencionalne proizvodnje, HPA sudjeluje u izradi i provedbi programa zaštite i očuvanja izvornih i zaštićenih pasmina i sojeva domaćih životinja te je provela sve planirane postupke sukladno Nacionalnom programu očuvanja izvornih i zaštićenih pasmina domaćih životinja u Republici Hrvatskoj. Agencija redovito organizira i održava specijalizirana savjetovanja i radionice za uzgajivače te je publicirala planirane informativne i edukativne materijale.</w:t>
      </w:r>
    </w:p>
    <w:p w:rsidR="005C2091" w:rsidRDefault="00A86293">
      <w:pPr>
        <w:pStyle w:val="Heading8"/>
        <w:jc w:val="left"/>
      </w:pPr>
      <w:r>
        <w:t>Cilj 2. Razvoj Jedinstvenog registra domaćih životinja</w:t>
      </w:r>
    </w:p>
    <w:p w:rsidR="005C2091" w:rsidRDefault="00A86293">
      <w:pPr>
        <w:pStyle w:val="Heading8"/>
        <w:jc w:val="left"/>
      </w:pPr>
      <w:r>
        <w:t>Opis provedbe cilja programa</w:t>
      </w:r>
    </w:p>
    <w:p w:rsidR="005C2091" w:rsidRDefault="00A86293">
      <w:r>
        <w:t>Održavanje i razvoj Jedinstvenog registra domaćih životinja provodila se sukladno planiranim aktivnostima, te potrebama svih dionika ovog sustava (Ministarstvo poljoprivrede – uprava za veterinarstvo i sigurnost hrane, APPRRR, DZS i sl.).</w:t>
      </w:r>
    </w:p>
    <w:p w:rsidR="005C2091" w:rsidRDefault="00A86293">
      <w:pPr>
        <w:pStyle w:val="Heading8"/>
        <w:jc w:val="left"/>
      </w:pPr>
      <w:r>
        <w:t>Cilj 3. Unapređenje kvalitete stočarskih proizvoda sustavnom kontrolom kvalitete</w:t>
      </w:r>
    </w:p>
    <w:p w:rsidR="005C2091" w:rsidRDefault="00A86293">
      <w:pPr>
        <w:pStyle w:val="Heading8"/>
        <w:jc w:val="left"/>
      </w:pPr>
      <w:r>
        <w:t>Opis provedbe cilja programa</w:t>
      </w:r>
    </w:p>
    <w:p w:rsidR="005C2091" w:rsidRDefault="00A86293">
      <w:r>
        <w:t>Prema pokazateljima učinaka, cilj Unapređenje kvalitete stočarskih proizvoda sustavom kontrole kvalitete proveden je prema predviđenom planu.</w:t>
      </w:r>
    </w:p>
    <w:p w:rsidR="005C2091" w:rsidRDefault="00A86293">
      <w:pPr>
        <w:pStyle w:val="Heading8"/>
        <w:jc w:val="left"/>
      </w:pPr>
      <w:r>
        <w:t xml:space="preserve">Cilj 4. Stručna i tehnička potpora sustavima plaćanja u poljoprivredi i ruralnom razvoju </w:t>
      </w:r>
    </w:p>
    <w:p w:rsidR="005C2091" w:rsidRDefault="00A86293">
      <w:pPr>
        <w:pStyle w:val="Heading8"/>
        <w:jc w:val="left"/>
      </w:pPr>
      <w:r>
        <w:t>Opis provedbe cilja programa</w:t>
      </w:r>
    </w:p>
    <w:p w:rsidR="005C2091" w:rsidRDefault="00A86293">
      <w:r>
        <w:t>Stručna i tehnička potpora sustavima potpora u poljoprivredi provodila se sukladno planiranim i delegiranim aktivnostima iz Sporazumu o poslovnoj suradnji između HPA i APPRRR. Sustav izravne potpore u poljoprivredi i IAKS mjera ruralnog razvoja u stočarstvu – od popunjavanja Jedinstvenog zahtjeva do odobravanja potpore – temelji se na podacima iz Jedinstvenog registra domaćih životinja i drugih propisanih registara koje vodi HPA. Klasičnim kontrolama na terenu poljoprivrednih površina i stada domaćih životinja te kontrolama površina putem sustava daljinskog istraživanja djelatnici HPA utvrđivali su prihvatljivost zahtjeva za izravne potpore u poljoprivredi i IAKS mjera ruralnog razvoja.</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85"/>
        <w:gridCol w:w="2463"/>
        <w:gridCol w:w="1214"/>
        <w:gridCol w:w="1012"/>
        <w:gridCol w:w="1007"/>
        <w:gridCol w:w="1012"/>
        <w:gridCol w:w="1013"/>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broja grla s izračunatim uzgojnim vrijednostima, uključivanje novih svojstava, primjena novih metoda i modela u izračunu</w:t>
            </w:r>
          </w:p>
        </w:tc>
        <w:tc>
          <w:tcPr>
            <w:tcW w:w="2551" w:type="dxa"/>
          </w:tcPr>
          <w:p w:rsidR="005C2091" w:rsidRDefault="00A86293">
            <w:pPr>
              <w:pStyle w:val="CellColumn"/>
              <w:jc w:val="left"/>
            </w:pPr>
            <w:r>
              <w:rPr>
                <w:rFonts w:cs="Times New Roman"/>
              </w:rPr>
              <w:t>Povećanje broja grla s izračunatim uzgojnim vrijednostima</w:t>
            </w:r>
          </w:p>
        </w:tc>
        <w:tc>
          <w:tcPr>
            <w:tcW w:w="1020" w:type="dxa"/>
          </w:tcPr>
          <w:p w:rsidR="005C2091" w:rsidRDefault="00A86293">
            <w:pPr>
              <w:pStyle w:val="CellColumn"/>
              <w:jc w:val="right"/>
            </w:pPr>
            <w:r>
              <w:rPr>
                <w:rFonts w:cs="Times New Roman"/>
              </w:rPr>
              <w:t>Broj grla s uzgojnim vrijednostima</w:t>
            </w:r>
          </w:p>
        </w:tc>
        <w:tc>
          <w:tcPr>
            <w:tcW w:w="1020" w:type="dxa"/>
          </w:tcPr>
          <w:p w:rsidR="005C2091" w:rsidRDefault="00A86293">
            <w:pPr>
              <w:pStyle w:val="CellColumn"/>
              <w:jc w:val="right"/>
            </w:pPr>
            <w:r>
              <w:rPr>
                <w:rFonts w:cs="Times New Roman"/>
              </w:rPr>
              <w:t>1.934.577</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1.958.001</w:t>
            </w:r>
          </w:p>
        </w:tc>
        <w:tc>
          <w:tcPr>
            <w:tcW w:w="1020" w:type="dxa"/>
          </w:tcPr>
          <w:p w:rsidR="005C2091" w:rsidRDefault="00A86293">
            <w:pPr>
              <w:pStyle w:val="CellColumn"/>
              <w:jc w:val="right"/>
            </w:pPr>
            <w:r>
              <w:rPr>
                <w:rFonts w:cs="Times New Roman"/>
              </w:rPr>
              <w:t>1.959.403</w:t>
            </w:r>
          </w:p>
        </w:tc>
      </w:tr>
      <w:tr w:rsidR="005C2091">
        <w:trPr>
          <w:jc w:val="center"/>
        </w:trPr>
        <w:tc>
          <w:tcPr>
            <w:tcW w:w="2551" w:type="dxa"/>
          </w:tcPr>
          <w:p w:rsidR="005C2091" w:rsidRDefault="00A86293">
            <w:pPr>
              <w:pStyle w:val="CellColumn"/>
              <w:jc w:val="left"/>
            </w:pPr>
            <w:r>
              <w:rPr>
                <w:rFonts w:cs="Times New Roman"/>
              </w:rPr>
              <w:t>Održanje stabilne populacije izvornih pasmina domaćih životinja</w:t>
            </w:r>
          </w:p>
        </w:tc>
        <w:tc>
          <w:tcPr>
            <w:tcW w:w="2551" w:type="dxa"/>
          </w:tcPr>
          <w:p w:rsidR="005C2091" w:rsidRDefault="00A86293">
            <w:pPr>
              <w:pStyle w:val="CellColumn"/>
              <w:jc w:val="left"/>
            </w:pPr>
            <w:r>
              <w:rPr>
                <w:rFonts w:cs="Times New Roman"/>
              </w:rPr>
              <w:t>Održavanje stabilne populacije izvornih pasmina domaćih životinja</w:t>
            </w:r>
          </w:p>
        </w:tc>
        <w:tc>
          <w:tcPr>
            <w:tcW w:w="1020" w:type="dxa"/>
          </w:tcPr>
          <w:p w:rsidR="005C2091" w:rsidRDefault="00A86293">
            <w:pPr>
              <w:pStyle w:val="CellColumn"/>
              <w:jc w:val="right"/>
            </w:pPr>
            <w:r>
              <w:rPr>
                <w:rFonts w:cs="Times New Roman"/>
              </w:rPr>
              <w:t>Indeks</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Održavanje specijaliziranih savjetovanja, publiciranje informativnih i edukativnih materijala</w:t>
            </w:r>
          </w:p>
        </w:tc>
        <w:tc>
          <w:tcPr>
            <w:tcW w:w="2551" w:type="dxa"/>
          </w:tcPr>
          <w:p w:rsidR="005C2091" w:rsidRDefault="00A86293">
            <w:pPr>
              <w:pStyle w:val="CellColumn"/>
              <w:jc w:val="left"/>
            </w:pPr>
            <w:r>
              <w:rPr>
                <w:rFonts w:cs="Times New Roman"/>
              </w:rPr>
              <w:t>Održavanje specijaliziranih savjetovanja, publiciranje informativnih i edukativnih materijala</w:t>
            </w:r>
          </w:p>
        </w:tc>
        <w:tc>
          <w:tcPr>
            <w:tcW w:w="1020" w:type="dxa"/>
          </w:tcPr>
          <w:p w:rsidR="005C2091" w:rsidRDefault="00A86293">
            <w:pPr>
              <w:pStyle w:val="CellColumn"/>
              <w:jc w:val="right"/>
            </w:pPr>
            <w:r>
              <w:rPr>
                <w:rFonts w:cs="Times New Roman"/>
              </w:rPr>
              <w:t>Indeks</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Zadržavanje i povećanje broja proizvoda sa znakom</w:t>
            </w:r>
          </w:p>
        </w:tc>
        <w:tc>
          <w:tcPr>
            <w:tcW w:w="2551" w:type="dxa"/>
          </w:tcPr>
          <w:p w:rsidR="005C2091" w:rsidRDefault="00A86293">
            <w:pPr>
              <w:pStyle w:val="CellColumn"/>
              <w:jc w:val="left"/>
            </w:pPr>
            <w:r>
              <w:rPr>
                <w:rFonts w:cs="Times New Roman"/>
              </w:rPr>
              <w:t>Zadržavanje i povećanje broja proizvoda sa znakom</w:t>
            </w:r>
          </w:p>
        </w:tc>
        <w:tc>
          <w:tcPr>
            <w:tcW w:w="1020" w:type="dxa"/>
          </w:tcPr>
          <w:p w:rsidR="005C2091" w:rsidRDefault="00A86293">
            <w:pPr>
              <w:pStyle w:val="CellColumn"/>
              <w:jc w:val="right"/>
            </w:pPr>
            <w:r>
              <w:rPr>
                <w:rFonts w:cs="Times New Roman"/>
              </w:rPr>
              <w:t>Broj proizvoda</w:t>
            </w:r>
          </w:p>
        </w:tc>
        <w:tc>
          <w:tcPr>
            <w:tcW w:w="1020" w:type="dxa"/>
          </w:tcPr>
          <w:p w:rsidR="005C2091" w:rsidRDefault="00A86293">
            <w:pPr>
              <w:pStyle w:val="CellColumn"/>
              <w:jc w:val="right"/>
            </w:pPr>
            <w:r>
              <w:rPr>
                <w:rFonts w:cs="Times New Roman"/>
              </w:rPr>
              <w:t>455</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490</w:t>
            </w:r>
          </w:p>
        </w:tc>
        <w:tc>
          <w:tcPr>
            <w:tcW w:w="1020" w:type="dxa"/>
          </w:tcPr>
          <w:p w:rsidR="005C2091" w:rsidRDefault="00A86293">
            <w:pPr>
              <w:pStyle w:val="CellColumn"/>
              <w:jc w:val="right"/>
            </w:pPr>
            <w:r>
              <w:rPr>
                <w:rFonts w:cs="Times New Roman"/>
              </w:rPr>
              <w:t>450</w:t>
            </w:r>
          </w:p>
        </w:tc>
      </w:tr>
      <w:tr w:rsidR="005C2091">
        <w:trPr>
          <w:jc w:val="center"/>
        </w:trPr>
        <w:tc>
          <w:tcPr>
            <w:tcW w:w="2551" w:type="dxa"/>
          </w:tcPr>
          <w:p w:rsidR="005C2091" w:rsidRDefault="00A86293">
            <w:pPr>
              <w:pStyle w:val="CellColumn"/>
              <w:jc w:val="left"/>
            </w:pPr>
            <w:r>
              <w:rPr>
                <w:rFonts w:cs="Times New Roman"/>
              </w:rPr>
              <w:t>Potpuna funkcionalnost Registra farmi i registara pojedinih vrsta domaćih životinja</w:t>
            </w:r>
          </w:p>
        </w:tc>
        <w:tc>
          <w:tcPr>
            <w:tcW w:w="2551" w:type="dxa"/>
          </w:tcPr>
          <w:p w:rsidR="005C2091" w:rsidRDefault="00A86293">
            <w:pPr>
              <w:pStyle w:val="CellColumn"/>
              <w:jc w:val="left"/>
            </w:pPr>
            <w:r>
              <w:rPr>
                <w:rFonts w:cs="Times New Roman"/>
              </w:rPr>
              <w:t>Funkcionalnost Registra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90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95</w:t>
            </w:r>
          </w:p>
        </w:tc>
        <w:tc>
          <w:tcPr>
            <w:tcW w:w="1020" w:type="dxa"/>
          </w:tcPr>
          <w:p w:rsidR="005C2091" w:rsidRDefault="00A86293">
            <w:pPr>
              <w:pStyle w:val="CellColumn"/>
              <w:jc w:val="right"/>
            </w:pPr>
            <w:r>
              <w:rPr>
                <w:rFonts w:cs="Times New Roman"/>
              </w:rPr>
              <w:t>95</w:t>
            </w:r>
          </w:p>
        </w:tc>
      </w:tr>
      <w:tr w:rsidR="005C2091">
        <w:trPr>
          <w:jc w:val="center"/>
        </w:trPr>
        <w:tc>
          <w:tcPr>
            <w:tcW w:w="2551" w:type="dxa"/>
          </w:tcPr>
          <w:p w:rsidR="005C2091" w:rsidRDefault="00A86293">
            <w:pPr>
              <w:pStyle w:val="CellColumn"/>
              <w:jc w:val="left"/>
            </w:pPr>
            <w:r>
              <w:rPr>
                <w:rFonts w:cs="Times New Roman"/>
              </w:rPr>
              <w:t>Izrada i primjena novih aplikacija za sustave u stočarstvu</w:t>
            </w:r>
          </w:p>
        </w:tc>
        <w:tc>
          <w:tcPr>
            <w:tcW w:w="2551" w:type="dxa"/>
          </w:tcPr>
          <w:p w:rsidR="005C2091" w:rsidRDefault="00A86293">
            <w:pPr>
              <w:pStyle w:val="CellColumn"/>
              <w:jc w:val="left"/>
            </w:pPr>
            <w:r>
              <w:rPr>
                <w:rFonts w:cs="Times New Roman"/>
              </w:rPr>
              <w:t>Sveobuhvatne informacije o farmama i stanju stočarstva u Republici Hrvatskoj</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50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60</w:t>
            </w:r>
          </w:p>
        </w:tc>
        <w:tc>
          <w:tcPr>
            <w:tcW w:w="1020" w:type="dxa"/>
          </w:tcPr>
          <w:p w:rsidR="005C2091" w:rsidRDefault="00A86293">
            <w:pPr>
              <w:pStyle w:val="CellColumn"/>
              <w:jc w:val="right"/>
            </w:pPr>
            <w:r>
              <w:rPr>
                <w:rFonts w:cs="Times New Roman"/>
              </w:rPr>
              <w:t>60</w:t>
            </w:r>
          </w:p>
        </w:tc>
      </w:tr>
      <w:tr w:rsidR="005C2091">
        <w:trPr>
          <w:jc w:val="center"/>
        </w:trPr>
        <w:tc>
          <w:tcPr>
            <w:tcW w:w="2551" w:type="dxa"/>
          </w:tcPr>
          <w:p w:rsidR="005C2091" w:rsidRDefault="00A86293">
            <w:pPr>
              <w:pStyle w:val="CellColumn"/>
              <w:jc w:val="left"/>
            </w:pPr>
            <w:r>
              <w:rPr>
                <w:rFonts w:cs="Times New Roman"/>
              </w:rPr>
              <w:t>Brza razmjena potrebnih i dobro organiziranih posataka s APPRRR</w:t>
            </w:r>
          </w:p>
        </w:tc>
        <w:tc>
          <w:tcPr>
            <w:tcW w:w="2551" w:type="dxa"/>
          </w:tcPr>
          <w:p w:rsidR="005C2091" w:rsidRDefault="00A86293">
            <w:pPr>
              <w:pStyle w:val="CellColumn"/>
              <w:jc w:val="left"/>
            </w:pPr>
            <w:r>
              <w:rPr>
                <w:rFonts w:cs="Times New Roman"/>
              </w:rPr>
              <w:t>Unapređenje postojećih aplikacija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80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85</w:t>
            </w:r>
          </w:p>
        </w:tc>
        <w:tc>
          <w:tcPr>
            <w:tcW w:w="1020" w:type="dxa"/>
          </w:tcPr>
          <w:p w:rsidR="005C2091" w:rsidRDefault="00A86293">
            <w:pPr>
              <w:pStyle w:val="CellColumn"/>
              <w:jc w:val="right"/>
            </w:pPr>
            <w:r>
              <w:rPr>
                <w:rFonts w:cs="Times New Roman"/>
              </w:rPr>
              <w:t>85</w:t>
            </w:r>
          </w:p>
        </w:tc>
      </w:tr>
      <w:tr w:rsidR="005C2091">
        <w:trPr>
          <w:jc w:val="center"/>
        </w:trPr>
        <w:tc>
          <w:tcPr>
            <w:tcW w:w="2551" w:type="dxa"/>
          </w:tcPr>
          <w:p w:rsidR="005C2091" w:rsidRDefault="00A86293">
            <w:pPr>
              <w:pStyle w:val="CellColumn"/>
              <w:jc w:val="left"/>
            </w:pPr>
            <w:r>
              <w:rPr>
                <w:rFonts w:cs="Times New Roman"/>
              </w:rPr>
              <w:t>Stabilna provedba kontrole kvalitete svježeg sirovog mlijeka obuhvatom svih isporučitelja mlijeka i svih grla u sustavu kontrola proizvodnih svojstava</w:t>
            </w:r>
          </w:p>
        </w:tc>
        <w:tc>
          <w:tcPr>
            <w:tcW w:w="2551" w:type="dxa"/>
          </w:tcPr>
          <w:p w:rsidR="005C2091" w:rsidRDefault="00A86293">
            <w:pPr>
              <w:pStyle w:val="CellColumn"/>
              <w:jc w:val="left"/>
            </w:pPr>
            <w:r>
              <w:rPr>
                <w:rFonts w:cs="Times New Roman"/>
              </w:rPr>
              <w:t>Kontrola kvalitete svježe sirovog mlijeka</w:t>
            </w:r>
          </w:p>
        </w:tc>
        <w:tc>
          <w:tcPr>
            <w:tcW w:w="1020" w:type="dxa"/>
          </w:tcPr>
          <w:p w:rsidR="005C2091" w:rsidRDefault="00A86293">
            <w:pPr>
              <w:pStyle w:val="CellColumn"/>
              <w:jc w:val="right"/>
            </w:pPr>
            <w:r>
              <w:rPr>
                <w:rFonts w:cs="Times New Roman"/>
              </w:rPr>
              <w:t>Indeks</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Izvršene kontrole kvalitete hrane za životinje i izrađeni izvještaji u planiranim terminima</w:t>
            </w:r>
          </w:p>
        </w:tc>
        <w:tc>
          <w:tcPr>
            <w:tcW w:w="2551" w:type="dxa"/>
          </w:tcPr>
          <w:p w:rsidR="005C2091" w:rsidRDefault="00A86293">
            <w:pPr>
              <w:pStyle w:val="CellColumn"/>
              <w:jc w:val="left"/>
            </w:pPr>
            <w:r>
              <w:rPr>
                <w:rFonts w:cs="Times New Roman"/>
              </w:rPr>
              <w:t>Analiza kvalitete hrane za životinje</w:t>
            </w:r>
          </w:p>
        </w:tc>
        <w:tc>
          <w:tcPr>
            <w:tcW w:w="1020" w:type="dxa"/>
          </w:tcPr>
          <w:p w:rsidR="005C2091" w:rsidRDefault="00A86293">
            <w:pPr>
              <w:pStyle w:val="CellColumn"/>
              <w:jc w:val="right"/>
            </w:pPr>
            <w:r>
              <w:rPr>
                <w:rFonts w:cs="Times New Roman"/>
              </w:rPr>
              <w:t>Indeks</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Izvršene kontrole kvalitete meda sukladno zahtjevima pojedinog programa</w:t>
            </w:r>
          </w:p>
        </w:tc>
        <w:tc>
          <w:tcPr>
            <w:tcW w:w="2551" w:type="dxa"/>
          </w:tcPr>
          <w:p w:rsidR="005C2091" w:rsidRDefault="00A86293">
            <w:pPr>
              <w:pStyle w:val="CellColumn"/>
              <w:jc w:val="left"/>
            </w:pPr>
            <w:r>
              <w:rPr>
                <w:rFonts w:cs="Times New Roman"/>
              </w:rPr>
              <w:t>Analize kvalitete meda</w:t>
            </w:r>
          </w:p>
        </w:tc>
        <w:tc>
          <w:tcPr>
            <w:tcW w:w="1020" w:type="dxa"/>
          </w:tcPr>
          <w:p w:rsidR="005C2091" w:rsidRDefault="00A86293">
            <w:pPr>
              <w:pStyle w:val="CellColumn"/>
              <w:jc w:val="right"/>
            </w:pPr>
            <w:r>
              <w:rPr>
                <w:rFonts w:cs="Times New Roman"/>
              </w:rPr>
              <w:t>Indeks</w:t>
            </w:r>
          </w:p>
        </w:tc>
        <w:tc>
          <w:tcPr>
            <w:tcW w:w="1020" w:type="dxa"/>
          </w:tcPr>
          <w:p w:rsidR="005C2091" w:rsidRDefault="00A86293">
            <w:pPr>
              <w:pStyle w:val="CellColumn"/>
              <w:jc w:val="right"/>
            </w:pPr>
            <w:r>
              <w:rPr>
                <w:rFonts w:cs="Times New Roman"/>
              </w:rPr>
              <w:t>90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95</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Provedeni nadzori razvrstavanja i označavanja trupova u klaonicama sukladno propisima</w:t>
            </w:r>
          </w:p>
        </w:tc>
        <w:tc>
          <w:tcPr>
            <w:tcW w:w="2551" w:type="dxa"/>
          </w:tcPr>
          <w:p w:rsidR="005C2091" w:rsidRDefault="00A86293">
            <w:pPr>
              <w:pStyle w:val="CellColumn"/>
              <w:jc w:val="left"/>
            </w:pPr>
            <w:r>
              <w:rPr>
                <w:rFonts w:cs="Times New Roman"/>
              </w:rPr>
              <w:t>Nadzor klasiranja trupova na liniji klanja</w:t>
            </w:r>
          </w:p>
        </w:tc>
        <w:tc>
          <w:tcPr>
            <w:tcW w:w="1020" w:type="dxa"/>
          </w:tcPr>
          <w:p w:rsidR="005C2091" w:rsidRDefault="00A86293">
            <w:pPr>
              <w:pStyle w:val="CellColumn"/>
              <w:jc w:val="right"/>
            </w:pPr>
            <w:r>
              <w:rPr>
                <w:rFonts w:cs="Times New Roman"/>
              </w:rPr>
              <w:t>Indeks</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Broj obavljenih kontrola izravnih plaćanja i IAKS mjera ruralnog razvoja na terenu</w:t>
            </w:r>
          </w:p>
        </w:tc>
        <w:tc>
          <w:tcPr>
            <w:tcW w:w="2551" w:type="dxa"/>
          </w:tcPr>
          <w:p w:rsidR="005C2091" w:rsidRDefault="00A86293">
            <w:pPr>
              <w:pStyle w:val="CellColumn"/>
              <w:jc w:val="left"/>
            </w:pPr>
            <w:r>
              <w:rPr>
                <w:rFonts w:cs="Times New Roman"/>
              </w:rPr>
              <w:t>Broj obavljenih kontrola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86</w:t>
            </w:r>
          </w:p>
        </w:tc>
        <w:tc>
          <w:tcPr>
            <w:tcW w:w="1020" w:type="dxa"/>
          </w:tcPr>
          <w:p w:rsidR="005C2091" w:rsidRDefault="00A86293">
            <w:pPr>
              <w:pStyle w:val="CellColumn"/>
              <w:jc w:val="right"/>
            </w:pPr>
            <w:r>
              <w:rPr>
                <w:rFonts w:cs="Times New Roman"/>
              </w:rPr>
              <w:t>87.83</w:t>
            </w:r>
          </w:p>
        </w:tc>
      </w:tr>
      <w:tr w:rsidR="005C2091">
        <w:trPr>
          <w:jc w:val="center"/>
        </w:trPr>
        <w:tc>
          <w:tcPr>
            <w:tcW w:w="2551" w:type="dxa"/>
          </w:tcPr>
          <w:p w:rsidR="005C2091" w:rsidRDefault="00A86293">
            <w:pPr>
              <w:pStyle w:val="CellColumn"/>
              <w:jc w:val="left"/>
            </w:pPr>
            <w:r>
              <w:rPr>
                <w:rFonts w:cs="Times New Roman"/>
              </w:rPr>
              <w:t>Broj pomoći poljoprivrednicima pri podnošenju zahtjeva za novčanim potporama</w:t>
            </w:r>
          </w:p>
        </w:tc>
        <w:tc>
          <w:tcPr>
            <w:tcW w:w="2551" w:type="dxa"/>
          </w:tcPr>
          <w:p w:rsidR="005C2091" w:rsidRDefault="00A86293">
            <w:pPr>
              <w:pStyle w:val="CellColumn"/>
              <w:jc w:val="left"/>
            </w:pPr>
            <w:r>
              <w:rPr>
                <w:rFonts w:cs="Times New Roman"/>
              </w:rPr>
              <w:t>Broj popunjenih zahtjeva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98.87</w:t>
            </w:r>
          </w:p>
        </w:tc>
      </w:tr>
      <w:tr w:rsidR="005C2091">
        <w:trPr>
          <w:jc w:val="center"/>
        </w:trPr>
        <w:tc>
          <w:tcPr>
            <w:tcW w:w="2551" w:type="dxa"/>
          </w:tcPr>
          <w:p w:rsidR="005C2091" w:rsidRDefault="00A86293">
            <w:pPr>
              <w:pStyle w:val="CellColumn"/>
              <w:jc w:val="left"/>
            </w:pPr>
            <w:r>
              <w:rPr>
                <w:rFonts w:cs="Times New Roman"/>
              </w:rPr>
              <w:t>Prihvat podataka od otkupljivača o otkupljenim količinama svježeg sirovog mlijeka</w:t>
            </w:r>
          </w:p>
        </w:tc>
        <w:tc>
          <w:tcPr>
            <w:tcW w:w="2551" w:type="dxa"/>
          </w:tcPr>
          <w:p w:rsidR="005C2091" w:rsidRDefault="00A86293">
            <w:pPr>
              <w:pStyle w:val="CellColumn"/>
              <w:jc w:val="left"/>
            </w:pPr>
            <w:r>
              <w:rPr>
                <w:rFonts w:cs="Times New Roman"/>
              </w:rPr>
              <w:t>Prihvat podataka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100</w:t>
            </w:r>
          </w:p>
        </w:tc>
      </w:tr>
      <w:tr w:rsidR="005C2091">
        <w:trPr>
          <w:jc w:val="center"/>
        </w:trPr>
        <w:tc>
          <w:tcPr>
            <w:tcW w:w="2551" w:type="dxa"/>
          </w:tcPr>
          <w:p w:rsidR="005C2091" w:rsidRDefault="00A86293">
            <w:pPr>
              <w:pStyle w:val="CellColumn"/>
              <w:jc w:val="left"/>
            </w:pPr>
            <w:r>
              <w:rPr>
                <w:rFonts w:cs="Times New Roman"/>
              </w:rPr>
              <w:t>Zadržavanje razine broja gospodarstava koja sudjeluju u kontroli mliječnosti</w:t>
            </w:r>
          </w:p>
        </w:tc>
        <w:tc>
          <w:tcPr>
            <w:tcW w:w="2551" w:type="dxa"/>
          </w:tcPr>
          <w:p w:rsidR="005C2091" w:rsidRDefault="00A86293">
            <w:pPr>
              <w:pStyle w:val="CellColumn"/>
              <w:jc w:val="left"/>
            </w:pPr>
            <w:r>
              <w:rPr>
                <w:rFonts w:cs="Times New Roman"/>
              </w:rPr>
              <w:t>Udio gospodarstva</w:t>
            </w:r>
          </w:p>
        </w:tc>
        <w:tc>
          <w:tcPr>
            <w:tcW w:w="1020" w:type="dxa"/>
          </w:tcPr>
          <w:p w:rsidR="005C2091" w:rsidRDefault="00A86293">
            <w:pPr>
              <w:pStyle w:val="CellColumn"/>
              <w:jc w:val="right"/>
            </w:pPr>
            <w:r>
              <w:rPr>
                <w:rFonts w:cs="Times New Roman"/>
              </w:rPr>
              <w:t>%</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HPA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92.04</w:t>
            </w:r>
          </w:p>
        </w:tc>
      </w:tr>
    </w:tbl>
    <w:p w:rsidR="005C2091" w:rsidRDefault="005C2091">
      <w:pPr>
        <w:jc w:val="left"/>
      </w:pPr>
    </w:p>
    <w:p w:rsidR="00D3530B" w:rsidRDefault="00D3530B">
      <w:pPr>
        <w:jc w:val="left"/>
      </w:pPr>
    </w:p>
    <w:p w:rsidR="00D3530B" w:rsidRDefault="00D3530B">
      <w:pPr>
        <w:jc w:val="left"/>
      </w:pPr>
    </w:p>
    <w:p w:rsidR="00D3530B" w:rsidRDefault="00D3530B">
      <w:pPr>
        <w:jc w:val="left"/>
      </w:pPr>
    </w:p>
    <w:p w:rsidR="00D3530B" w:rsidRDefault="00D3530B">
      <w:pPr>
        <w:jc w:val="left"/>
      </w:pPr>
    </w:p>
    <w:p w:rsidR="005C2091" w:rsidRDefault="00A86293">
      <w:pPr>
        <w:pStyle w:val="Heading4"/>
      </w:pPr>
      <w:r>
        <w:t>A852001 ADMINISTRACIJA I UPRAVLJANJE HRVATSKE POLJOPRIVREDNE AGENCIJE</w:t>
      </w:r>
    </w:p>
    <w:tbl>
      <w:tblPr>
        <w:tblStyle w:val="StilTablice"/>
        <w:tblW w:w="10206" w:type="dxa"/>
        <w:jc w:val="center"/>
        <w:tblLook w:val="04A0" w:firstRow="1" w:lastRow="0" w:firstColumn="1" w:lastColumn="0" w:noHBand="0" w:noVBand="1"/>
      </w:tblPr>
      <w:tblGrid>
        <w:gridCol w:w="1837"/>
        <w:gridCol w:w="1981"/>
        <w:gridCol w:w="1982"/>
        <w:gridCol w:w="1982"/>
        <w:gridCol w:w="1209"/>
        <w:gridCol w:w="1215"/>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A852001-ADMINISTRACIJA I UPRAVLJANJE HRVATSKE POLJOPRIVREDNE AGENCIJE</w:t>
            </w:r>
          </w:p>
        </w:tc>
        <w:tc>
          <w:tcPr>
            <w:tcW w:w="2041" w:type="dxa"/>
          </w:tcPr>
          <w:p w:rsidR="005C2091" w:rsidRDefault="00A86293">
            <w:pPr>
              <w:pStyle w:val="CellColumn"/>
              <w:jc w:val="right"/>
            </w:pPr>
            <w:r>
              <w:rPr>
                <w:rFonts w:cs="Times New Roman"/>
              </w:rPr>
              <w:t>52.793.822</w:t>
            </w:r>
          </w:p>
        </w:tc>
        <w:tc>
          <w:tcPr>
            <w:tcW w:w="2041" w:type="dxa"/>
          </w:tcPr>
          <w:p w:rsidR="005C2091" w:rsidRDefault="00A86293">
            <w:pPr>
              <w:pStyle w:val="CellColumn"/>
              <w:jc w:val="right"/>
            </w:pPr>
            <w:r>
              <w:rPr>
                <w:rFonts w:cs="Times New Roman"/>
              </w:rPr>
              <w:t>57.889.110</w:t>
            </w:r>
          </w:p>
        </w:tc>
        <w:tc>
          <w:tcPr>
            <w:tcW w:w="2041" w:type="dxa"/>
          </w:tcPr>
          <w:p w:rsidR="005C2091" w:rsidRDefault="00A86293">
            <w:pPr>
              <w:pStyle w:val="CellColumn"/>
              <w:jc w:val="right"/>
            </w:pPr>
            <w:r>
              <w:rPr>
                <w:rFonts w:cs="Times New Roman"/>
              </w:rPr>
              <w:t>53.132.458</w:t>
            </w:r>
          </w:p>
        </w:tc>
        <w:tc>
          <w:tcPr>
            <w:tcW w:w="1224" w:type="dxa"/>
          </w:tcPr>
          <w:p w:rsidR="005C2091" w:rsidRDefault="00A86293">
            <w:pPr>
              <w:pStyle w:val="CellColumn"/>
              <w:jc w:val="right"/>
            </w:pPr>
            <w:r>
              <w:rPr>
                <w:rFonts w:cs="Times New Roman"/>
              </w:rPr>
              <w:t>91,8</w:t>
            </w:r>
          </w:p>
        </w:tc>
        <w:tc>
          <w:tcPr>
            <w:tcW w:w="1224" w:type="dxa"/>
          </w:tcPr>
          <w:p w:rsidR="005C2091" w:rsidRDefault="00A86293">
            <w:pPr>
              <w:pStyle w:val="CellColumn"/>
              <w:jc w:val="right"/>
            </w:pPr>
            <w:r>
              <w:rPr>
                <w:rFonts w:cs="Times New Roman"/>
              </w:rPr>
              <w:t>100,6</w:t>
            </w:r>
          </w:p>
        </w:tc>
      </w:tr>
    </w:tbl>
    <w:p w:rsidR="005C2091" w:rsidRDefault="005C2091">
      <w:pPr>
        <w:jc w:val="left"/>
      </w:pPr>
    </w:p>
    <w:p w:rsidR="005C2091" w:rsidRDefault="00A86293">
      <w:pPr>
        <w:pStyle w:val="Heading8"/>
        <w:jc w:val="left"/>
      </w:pPr>
      <w:r>
        <w:t>Zakonske i druge pravne osnove</w:t>
      </w:r>
    </w:p>
    <w:p w:rsidR="005C2091" w:rsidRDefault="00A86293">
      <w:r>
        <w:t xml:space="preserve">-Uredba Vlade Republike Hrvatske o osnivanju Hrvatske poljoprivredne agencije (NN 63/94, 93/96, 11/97, 48/00, 08/01, 78/03, 28/09, 106/12) </w:t>
      </w:r>
    </w:p>
    <w:p w:rsidR="005C2091" w:rsidRDefault="00A86293">
      <w:r>
        <w:t xml:space="preserve">-Zakon o poljoprivredi (NN 30/15) </w:t>
      </w:r>
    </w:p>
    <w:p w:rsidR="005C2091" w:rsidRDefault="00A86293">
      <w:r>
        <w:t xml:space="preserve">-Zakon o stočarstvu (NN 70/97, 36/98, 151/03, 132/06, 14/14) </w:t>
      </w:r>
    </w:p>
    <w:p w:rsidR="005C2091" w:rsidRDefault="00A86293">
      <w:r>
        <w:t xml:space="preserve">-Zakon o veterinarstvu (NN 82/13, 148/13) </w:t>
      </w:r>
    </w:p>
    <w:p w:rsidR="005C2091" w:rsidRDefault="00A86293">
      <w:r>
        <w:t xml:space="preserve">-Pravilnici iz područja obveznog označavanja i registracije domaćih životinja </w:t>
      </w:r>
    </w:p>
    <w:p w:rsidR="005C2091" w:rsidRDefault="00A86293">
      <w:r>
        <w:t xml:space="preserve">-Pravilnik o vođenju matičnih knjiga i uzgojnih upisnika te upisu uzgojno valjanih životinja </w:t>
      </w:r>
    </w:p>
    <w:p w:rsidR="005C2091" w:rsidRDefault="00A86293">
      <w:r>
        <w:t xml:space="preserve">-Pravilnik o kakvoći svježeg sirovog mlijeka </w:t>
      </w:r>
    </w:p>
    <w:p w:rsidR="005C2091" w:rsidRDefault="00A86293">
      <w:r>
        <w:t>-Pravilnici o kakvoći trupova i polovica (goveđih, svinjskih i ovčjih)</w:t>
      </w:r>
    </w:p>
    <w:p w:rsidR="005C2091" w:rsidRDefault="00A86293">
      <w:pPr>
        <w:pStyle w:val="Heading8"/>
        <w:jc w:val="left"/>
      </w:pPr>
      <w:r>
        <w:t>Opis aktivnosti</w:t>
      </w:r>
    </w:p>
    <w:p w:rsidR="005C2091" w:rsidRDefault="00A86293">
      <w:r>
        <w:t xml:space="preserve">Ovim programom obuhvaćene su aktivnosti redovnog poslovanja iz djelatnosti Agencije, ukupni rashodi za zaposlene, rashodi za meterijal i energiju i rashodi za usluge. </w:t>
      </w:r>
    </w:p>
    <w:p w:rsidR="005C2091" w:rsidRDefault="00A86293">
      <w:r>
        <w:t>Hrvatska poljoprivredna agencija sudjeluje u provedbi uzgojnih programa kroz ispitivanje proizvodnih svojstava svih vrsta i pasmina domaćih životinja, obradi uzgojno selekcijskih podataka i izračunu uzgojnih vrijednosti za sva uzgojno valjana grla domaćih životinja. Agencija u okviru redovne djelatnosti provodi kontrolu kvalitete svježeg sirovog mlijeka, stočne hrane i meda te provodi sustav kontrole ocjene (kvalitete) trupova na liniji klanja.</w:t>
      </w:r>
    </w:p>
    <w:p w:rsidR="005C2091" w:rsidRDefault="00A86293">
      <w:pPr>
        <w:pStyle w:val="Heading4"/>
      </w:pPr>
      <w:r>
        <w:t>K852006 INFORMATIZACIJA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K852006-INFORMATIZACIJA</w:t>
            </w:r>
          </w:p>
        </w:tc>
        <w:tc>
          <w:tcPr>
            <w:tcW w:w="2041" w:type="dxa"/>
          </w:tcPr>
          <w:p w:rsidR="005C2091" w:rsidRDefault="00A86293">
            <w:pPr>
              <w:pStyle w:val="CellColumn"/>
              <w:jc w:val="right"/>
            </w:pPr>
            <w:r>
              <w:rPr>
                <w:rFonts w:cs="Times New Roman"/>
              </w:rPr>
              <w:t>2.100.443</w:t>
            </w:r>
          </w:p>
        </w:tc>
        <w:tc>
          <w:tcPr>
            <w:tcW w:w="2041" w:type="dxa"/>
          </w:tcPr>
          <w:p w:rsidR="005C2091" w:rsidRDefault="00A86293">
            <w:pPr>
              <w:pStyle w:val="CellColumn"/>
              <w:jc w:val="right"/>
            </w:pPr>
            <w:r>
              <w:rPr>
                <w:rFonts w:cs="Times New Roman"/>
              </w:rPr>
              <w:t>5.930.000</w:t>
            </w:r>
          </w:p>
        </w:tc>
        <w:tc>
          <w:tcPr>
            <w:tcW w:w="2041" w:type="dxa"/>
          </w:tcPr>
          <w:p w:rsidR="005C2091" w:rsidRDefault="00A86293">
            <w:pPr>
              <w:pStyle w:val="CellColumn"/>
              <w:jc w:val="right"/>
            </w:pPr>
            <w:r>
              <w:rPr>
                <w:rFonts w:cs="Times New Roman"/>
              </w:rPr>
              <w:t>1.520.777</w:t>
            </w:r>
          </w:p>
        </w:tc>
        <w:tc>
          <w:tcPr>
            <w:tcW w:w="1224" w:type="dxa"/>
          </w:tcPr>
          <w:p w:rsidR="005C2091" w:rsidRDefault="00A86293">
            <w:pPr>
              <w:pStyle w:val="CellColumn"/>
              <w:jc w:val="right"/>
            </w:pPr>
            <w:r>
              <w:rPr>
                <w:rFonts w:cs="Times New Roman"/>
              </w:rPr>
              <w:t>25,6</w:t>
            </w:r>
          </w:p>
        </w:tc>
        <w:tc>
          <w:tcPr>
            <w:tcW w:w="1224" w:type="dxa"/>
          </w:tcPr>
          <w:p w:rsidR="005C2091" w:rsidRDefault="00A86293">
            <w:pPr>
              <w:pStyle w:val="CellColumn"/>
              <w:jc w:val="right"/>
            </w:pPr>
            <w:r>
              <w:rPr>
                <w:rFonts w:cs="Times New Roman"/>
              </w:rPr>
              <w:t>72,4</w:t>
            </w:r>
          </w:p>
        </w:tc>
      </w:tr>
    </w:tbl>
    <w:p w:rsidR="005C2091" w:rsidRDefault="005C2091">
      <w:pPr>
        <w:jc w:val="left"/>
      </w:pPr>
    </w:p>
    <w:p w:rsidR="005C2091" w:rsidRDefault="00A86293">
      <w:pPr>
        <w:pStyle w:val="Heading8"/>
        <w:jc w:val="left"/>
      </w:pPr>
      <w:r>
        <w:t>Zakonske i druge pravne osnove</w:t>
      </w:r>
    </w:p>
    <w:p w:rsidR="005C2091" w:rsidRDefault="00A86293">
      <w:r>
        <w:t xml:space="preserve">-Uredba Vlade Republike Hrvatske o osnivanju Hrvatske poljoprivredne agencije (NN 63/94, 93/96, 11/97, 48/00, 08/01, 78/03, 28/09, 106/12) </w:t>
      </w:r>
    </w:p>
    <w:p w:rsidR="005C2091" w:rsidRDefault="00A86293">
      <w:r>
        <w:t xml:space="preserve">-Zakon o poljoprivredi (NN 30/15) </w:t>
      </w:r>
    </w:p>
    <w:p w:rsidR="005C2091" w:rsidRDefault="00A86293">
      <w:r>
        <w:t xml:space="preserve">-Zakon o stočarstvu (NN 70/97, 36/98, 151/03, 132/06, 14/14) </w:t>
      </w:r>
    </w:p>
    <w:p w:rsidR="005C2091" w:rsidRDefault="00A86293">
      <w:r>
        <w:t xml:space="preserve">-Zakon o veterinarstvu (NN 82/13, 148/13) </w:t>
      </w:r>
    </w:p>
    <w:p w:rsidR="005C2091" w:rsidRDefault="00A86293">
      <w:r>
        <w:t xml:space="preserve">-Pravilnici iz područja obveznog označavanja i registracije domaćih životinja </w:t>
      </w:r>
    </w:p>
    <w:p w:rsidR="005C2091" w:rsidRDefault="00A86293">
      <w:r>
        <w:t xml:space="preserve">-Pravilnik o vođenju matičnih knjiga i uzgojnih upisnika te upisu uzgojno valjanih životinja </w:t>
      </w:r>
    </w:p>
    <w:p w:rsidR="005C2091" w:rsidRDefault="00A86293">
      <w:r>
        <w:t xml:space="preserve">-Pravilnik o kakvoći svježeg sirovog mlijeka </w:t>
      </w:r>
    </w:p>
    <w:p w:rsidR="005C2091" w:rsidRDefault="00A86293">
      <w:r>
        <w:t>-Pravilnici o kakvoći trupova i polovica (goveđih, svinjskih i ovčjih)</w:t>
      </w:r>
    </w:p>
    <w:p w:rsidR="005C2091" w:rsidRDefault="00A86293">
      <w:pPr>
        <w:pStyle w:val="Heading8"/>
        <w:jc w:val="left"/>
      </w:pPr>
      <w:r>
        <w:t>Opis aktivnosti</w:t>
      </w:r>
    </w:p>
    <w:p w:rsidR="005C2091" w:rsidRDefault="00A86293">
      <w:r>
        <w:t xml:space="preserve">Hrvatska poljoprivredna agencija vodi Jedinstveni registar domaćih životinja (goveda, kopitari, svinje, ovce i koze) koji je temeljna baza podataka o domaćim životinjama  gospodarstvima i posjednicima u Republici Hrvatskoj u elektronskom obliku.  </w:t>
      </w:r>
    </w:p>
    <w:p w:rsidR="005C2091" w:rsidRDefault="00A86293">
      <w:r>
        <w:t>U cilju kvalitetnog funkcioniranja sustava i sigurnosti pohranjenih podataka, sustavno se razvija i unapređuje računalna i mrežna infrastruktura. Zbog stalne dogradnje i promjena u Jedinstvenom registru domaćih životinja te bazama podataka o uzgojno valjanim životinjama, a s obzirom na velik broj korisnika sustava, Agencija vodi računa i neprestano unapređuje korisničku podršku za rad u aplikacijama što rezultira ažurnijim punjenjem baze kvalitetnim podacima i boljim korištenjem upisanih podataka.</w:t>
      </w:r>
    </w:p>
    <w:p w:rsidR="005C2091" w:rsidRDefault="00A86293">
      <w:pPr>
        <w:pStyle w:val="Heading2"/>
      </w:pPr>
      <w:r>
        <w:t>06050 Savjetodavna služba</w:t>
      </w:r>
    </w:p>
    <w:p w:rsidR="005C2091" w:rsidRDefault="00A86293">
      <w:r>
        <w:t xml:space="preserve">Savjetodavna služba je specijalizirana javna ustanova za obavljanje poslova savjetodavne djelatnosti u poljoprivredi, ruralnom razvoju, ribarstvu i unapređenju gospodarenja šumama i šumskim zemljištima šumoposjednika osnovana Zakonom o savjetodavnoj službi. Osnivač Službe je Republika Hrvatska (RH), a prava i dužnosti osnivača obavlja Ministarstvo poljoprivrede. Služba ima svojstvo pravne osobe s pravima i obvezama propisanim Zakonom o savjetodavnoj službi, Zakonom o ustanovama, posebnim zakonima i Statutom Službe.  </w:t>
      </w:r>
    </w:p>
    <w:p w:rsidR="005C2091" w:rsidRDefault="00A86293">
      <w:r>
        <w:t xml:space="preserve">Temeljem Zakona o savjetodavnoj službi, poslove provođenja stručnog nadzora u integriranoj proizvodnji, organiziranje i izvođenje obrazovanja i osposobljavanja iz područja poljoprivrede, ribarstva, šumarstva i ruralnog razvoja, Služba obavlja kao javnu ovlast, kao i poslove predlaganja Ministarstvu odobrenja programa gospodarenja šumoposjednika; predlaganje smjernica gospodarenja i praćenje programa provedbe gospodarenja šumoposjednika; izrada i predlaganje na odobrenje operativnog godišnjeg plana za šume šumoposjednika te postupanje po zahtjevima za nužnu doznaku stabala u šumama šumoposjednika za koje nisu izrađeni programi gospodarenja, putem licenciranih osoba (izvođača) izvođenje doznake i nužne doznake stabala u šumama šumoposjednika, obilježbe drveta i ostalih šumskih proizvoda; praćenje izdavanja popratnice; utvrđivanje posebnih uvjeta za izgradnju šumske infrastukture i/ili građevina planiranih prostornim planovima u postupku izdavanja lokacijske dozvole; stručna potpora šumoposjednicima kod trženja šumskih proizvoda, sukladno Zakonu o šumama. </w:t>
      </w:r>
    </w:p>
    <w:p w:rsidR="005C2091" w:rsidRDefault="00A86293">
      <w:r>
        <w:t xml:space="preserve">Poslovi Službe, sukladno zakonskoj djelatnosti obavljaju se na području cijele RH u 112 ureda, odnosno ispostava. Uz svakodnevne stručne poslove obavljaju se i specifični specijalistički poslovi koji zahtijevaju svakodnevni obilazak klijenata i dostupnost klijentima na području cijele RH.  </w:t>
      </w:r>
    </w:p>
    <w:p w:rsidR="005C2091" w:rsidRDefault="00A86293">
      <w:r>
        <w:t xml:space="preserve">Pravilnikom o unutarnjem ustrojstvu i sistematizaciji radnih mjesta Savjetodavne službe sistematizirano je 398 radnih mjesta, dok je 31. prosinca 2016. zaposlen 251 službenik. </w:t>
      </w:r>
    </w:p>
    <w:p w:rsidR="005C2091" w:rsidRDefault="00A86293">
      <w:r>
        <w:t>Služba ostvaruje sredstva za rad iz državnog proračuna RH, obavljanjem svoje djelatnosti i iz drugih izvora na način i pod uvjetima propisanim Zakonom i Statutom Službe. Služba korisnicima svoje usluge trenutno pruža besplatno, te uz sredstva državnog proračuna ostvaruje namjenske prihode temeljem Zakona o održivoj uporabi pesticida, Zakona o šumama, Zakona o šumskom reprodukcijskom materijalu i prihode temeljem Sporazuma o preraspodjeli doznačenih sredstava Europske Komisije namijenjenih razvoju sustava poljoprivrednih knjigovodstvenih podataka (FADN) zaključenim s Ministarstvom poljoprivrede. Kroz provedbu mjere 01 "Prenošenje znanja i aktivnosti informiranja" i mjere 02 „Savjetodavne službe, službe za upravljanje poljoprivrednim gospodarstvom i pomoć poljoprivrednim gospodarstvima“ iz Programa ruralnog razvoja Republike Hrvatske za razdoblje 2014. – 2020.  Služba od 2016. godine djelomično financira rashode za plaće i materijalne rashode sredstvima Europskog poljoprivrednog fonda za ruralni razvoj. Savjetodavna služba je sukladno Pravilniku o provedbi Sheme školskog voća i povrća odobrena od strane Ministarstva poljoprivrede kao tijelo nadležno za promociju i prateće mjere u okviru Sheme školskog voća i povrća, koje se financiraju iz Europskog poljoprivrednog jamstvenog fonda.</w:t>
      </w:r>
    </w:p>
    <w:p w:rsidR="00D3530B" w:rsidRDefault="00D3530B"/>
    <w:p w:rsidR="00D3530B" w:rsidRDefault="00D3530B"/>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vAlign w:val="top"/>
          </w:tcPr>
          <w:p w:rsidR="005C2091" w:rsidRDefault="00A86293">
            <w:pPr>
              <w:pStyle w:val="CellColumn"/>
              <w:jc w:val="left"/>
            </w:pPr>
            <w:r>
              <w:rPr>
                <w:rFonts w:cs="Times New Roman"/>
              </w:rPr>
              <w:t>06050-Savjetodavna služba</w:t>
            </w:r>
          </w:p>
        </w:tc>
        <w:tc>
          <w:tcPr>
            <w:tcW w:w="2041" w:type="dxa"/>
            <w:vAlign w:val="top"/>
          </w:tcPr>
          <w:p w:rsidR="005C2091" w:rsidRDefault="00A86293">
            <w:pPr>
              <w:pStyle w:val="CellColumn"/>
              <w:jc w:val="right"/>
            </w:pPr>
            <w:r>
              <w:rPr>
                <w:rFonts w:cs="Times New Roman"/>
              </w:rPr>
              <w:t>51.287.036</w:t>
            </w:r>
          </w:p>
        </w:tc>
        <w:tc>
          <w:tcPr>
            <w:tcW w:w="2041" w:type="dxa"/>
            <w:vAlign w:val="top"/>
          </w:tcPr>
          <w:p w:rsidR="005C2091" w:rsidRDefault="00A86293">
            <w:pPr>
              <w:pStyle w:val="CellColumn"/>
              <w:jc w:val="right"/>
            </w:pPr>
            <w:r>
              <w:rPr>
                <w:rFonts w:cs="Times New Roman"/>
              </w:rPr>
              <w:t>75.098.352</w:t>
            </w:r>
          </w:p>
        </w:tc>
        <w:tc>
          <w:tcPr>
            <w:tcW w:w="2041" w:type="dxa"/>
            <w:vAlign w:val="top"/>
          </w:tcPr>
          <w:p w:rsidR="005C2091" w:rsidRDefault="00A86293">
            <w:pPr>
              <w:pStyle w:val="CellColumn"/>
              <w:jc w:val="right"/>
            </w:pPr>
            <w:r>
              <w:rPr>
                <w:rFonts w:cs="Times New Roman"/>
              </w:rPr>
              <w:t>70.175.416</w:t>
            </w:r>
          </w:p>
        </w:tc>
        <w:tc>
          <w:tcPr>
            <w:tcW w:w="1224" w:type="dxa"/>
            <w:vAlign w:val="top"/>
          </w:tcPr>
          <w:p w:rsidR="005C2091" w:rsidRDefault="00A86293">
            <w:pPr>
              <w:pStyle w:val="CellColumn"/>
              <w:jc w:val="right"/>
            </w:pPr>
            <w:r>
              <w:rPr>
                <w:rFonts w:cs="Times New Roman"/>
              </w:rPr>
              <w:t>93,4</w:t>
            </w:r>
          </w:p>
        </w:tc>
        <w:tc>
          <w:tcPr>
            <w:tcW w:w="1224" w:type="dxa"/>
            <w:vAlign w:val="top"/>
          </w:tcPr>
          <w:p w:rsidR="005C2091" w:rsidRDefault="00A86293">
            <w:pPr>
              <w:pStyle w:val="CellColumn"/>
              <w:jc w:val="right"/>
            </w:pPr>
            <w:r>
              <w:rPr>
                <w:rFonts w:cs="Times New Roman"/>
              </w:rPr>
              <w:t>136,8</w:t>
            </w:r>
          </w:p>
        </w:tc>
      </w:tr>
      <w:tr w:rsidR="005C2091">
        <w:trPr>
          <w:jc w:val="center"/>
        </w:trPr>
        <w:tc>
          <w:tcPr>
            <w:tcW w:w="1632" w:type="dxa"/>
          </w:tcPr>
          <w:p w:rsidR="005C2091" w:rsidRDefault="00A86293">
            <w:pPr>
              <w:jc w:val="left"/>
            </w:pPr>
            <w:r>
              <w:t>3001-UPRAVLJANJE POLJOPRIVREDOM, RIBARSTVOM I RURALNIM RAZVOJEM</w:t>
            </w:r>
          </w:p>
        </w:tc>
        <w:tc>
          <w:tcPr>
            <w:tcW w:w="2041" w:type="dxa"/>
          </w:tcPr>
          <w:p w:rsidR="005C2091" w:rsidRDefault="00A86293">
            <w:pPr>
              <w:jc w:val="right"/>
            </w:pPr>
            <w:r>
              <w:t>38.464.267</w:t>
            </w:r>
          </w:p>
        </w:tc>
        <w:tc>
          <w:tcPr>
            <w:tcW w:w="2041" w:type="dxa"/>
          </w:tcPr>
          <w:p w:rsidR="005C2091" w:rsidRDefault="00A86293">
            <w:pPr>
              <w:jc w:val="right"/>
            </w:pPr>
            <w:r>
              <w:t>31.548.600</w:t>
            </w:r>
          </w:p>
        </w:tc>
        <w:tc>
          <w:tcPr>
            <w:tcW w:w="2041" w:type="dxa"/>
          </w:tcPr>
          <w:p w:rsidR="005C2091" w:rsidRDefault="00A86293">
            <w:pPr>
              <w:jc w:val="right"/>
            </w:pPr>
            <w:r>
              <w:t>31.201.710</w:t>
            </w:r>
          </w:p>
        </w:tc>
        <w:tc>
          <w:tcPr>
            <w:tcW w:w="1224" w:type="dxa"/>
          </w:tcPr>
          <w:p w:rsidR="005C2091" w:rsidRDefault="00A86293">
            <w:pPr>
              <w:jc w:val="right"/>
            </w:pPr>
            <w:r>
              <w:t>98,9</w:t>
            </w:r>
          </w:p>
        </w:tc>
        <w:tc>
          <w:tcPr>
            <w:tcW w:w="1224" w:type="dxa"/>
          </w:tcPr>
          <w:p w:rsidR="005C2091" w:rsidRDefault="00A86293">
            <w:pPr>
              <w:jc w:val="right"/>
            </w:pPr>
            <w:r>
              <w:t>81,1</w:t>
            </w:r>
          </w:p>
        </w:tc>
      </w:tr>
      <w:tr w:rsidR="005C2091">
        <w:trPr>
          <w:jc w:val="center"/>
        </w:trPr>
        <w:tc>
          <w:tcPr>
            <w:tcW w:w="1632" w:type="dxa"/>
          </w:tcPr>
          <w:p w:rsidR="005C2091" w:rsidRDefault="00A86293">
            <w:pPr>
              <w:jc w:val="left"/>
            </w:pPr>
            <w:r>
              <w:t>3002-POLJOPRIVREDA</w:t>
            </w:r>
          </w:p>
        </w:tc>
        <w:tc>
          <w:tcPr>
            <w:tcW w:w="2041" w:type="dxa"/>
          </w:tcPr>
          <w:p w:rsidR="005C2091" w:rsidRDefault="00A86293">
            <w:pPr>
              <w:jc w:val="right"/>
            </w:pPr>
            <w:r>
              <w:t>964.888</w:t>
            </w:r>
          </w:p>
        </w:tc>
        <w:tc>
          <w:tcPr>
            <w:tcW w:w="2041" w:type="dxa"/>
          </w:tcPr>
          <w:p w:rsidR="005C2091" w:rsidRDefault="00A86293">
            <w:pPr>
              <w:jc w:val="right"/>
            </w:pPr>
            <w:r>
              <w:t>1.042.000</w:t>
            </w:r>
          </w:p>
        </w:tc>
        <w:tc>
          <w:tcPr>
            <w:tcW w:w="2041" w:type="dxa"/>
          </w:tcPr>
          <w:p w:rsidR="005C2091" w:rsidRDefault="00A86293">
            <w:pPr>
              <w:jc w:val="right"/>
            </w:pPr>
            <w:r>
              <w:t>842.826</w:t>
            </w:r>
          </w:p>
        </w:tc>
        <w:tc>
          <w:tcPr>
            <w:tcW w:w="1224" w:type="dxa"/>
          </w:tcPr>
          <w:p w:rsidR="005C2091" w:rsidRDefault="00A86293">
            <w:pPr>
              <w:jc w:val="right"/>
            </w:pPr>
            <w:r>
              <w:t>80,9</w:t>
            </w:r>
          </w:p>
        </w:tc>
        <w:tc>
          <w:tcPr>
            <w:tcW w:w="1224" w:type="dxa"/>
          </w:tcPr>
          <w:p w:rsidR="005C2091" w:rsidRDefault="00A86293">
            <w:pPr>
              <w:jc w:val="right"/>
            </w:pPr>
            <w:r>
              <w:t>87,3</w:t>
            </w:r>
          </w:p>
        </w:tc>
      </w:tr>
      <w:tr w:rsidR="005C2091">
        <w:trPr>
          <w:jc w:val="center"/>
        </w:trPr>
        <w:tc>
          <w:tcPr>
            <w:tcW w:w="1632" w:type="dxa"/>
          </w:tcPr>
          <w:p w:rsidR="005C2091" w:rsidRDefault="00A86293">
            <w:pPr>
              <w:jc w:val="left"/>
            </w:pPr>
            <w:r>
              <w:t>3003-VETERINARSTVO I SIGURNOST HRANE</w:t>
            </w:r>
          </w:p>
        </w:tc>
        <w:tc>
          <w:tcPr>
            <w:tcW w:w="2041" w:type="dxa"/>
          </w:tcPr>
          <w:p w:rsidR="005C2091" w:rsidRDefault="00A86293">
            <w:pPr>
              <w:jc w:val="right"/>
            </w:pPr>
            <w:r>
              <w:t>1.469.997</w:t>
            </w:r>
          </w:p>
        </w:tc>
        <w:tc>
          <w:tcPr>
            <w:tcW w:w="2041" w:type="dxa"/>
          </w:tcPr>
          <w:p w:rsidR="005C2091" w:rsidRDefault="00A86293">
            <w:pPr>
              <w:jc w:val="right"/>
            </w:pPr>
            <w:r>
              <w:t>4.730.000</w:t>
            </w:r>
          </w:p>
        </w:tc>
        <w:tc>
          <w:tcPr>
            <w:tcW w:w="2041" w:type="dxa"/>
          </w:tcPr>
          <w:p w:rsidR="005C2091" w:rsidRDefault="00A86293">
            <w:pPr>
              <w:jc w:val="right"/>
            </w:pPr>
            <w:r>
              <w:t>4.403.254</w:t>
            </w:r>
          </w:p>
        </w:tc>
        <w:tc>
          <w:tcPr>
            <w:tcW w:w="1224" w:type="dxa"/>
          </w:tcPr>
          <w:p w:rsidR="005C2091" w:rsidRDefault="00A86293">
            <w:pPr>
              <w:jc w:val="right"/>
            </w:pPr>
            <w:r>
              <w:t>93,1</w:t>
            </w:r>
          </w:p>
        </w:tc>
        <w:tc>
          <w:tcPr>
            <w:tcW w:w="1224" w:type="dxa"/>
          </w:tcPr>
          <w:p w:rsidR="005C2091" w:rsidRDefault="00A86293">
            <w:pPr>
              <w:jc w:val="right"/>
            </w:pPr>
            <w:r>
              <w:t>299,5</w:t>
            </w:r>
          </w:p>
        </w:tc>
      </w:tr>
      <w:tr w:rsidR="005C2091">
        <w:trPr>
          <w:jc w:val="center"/>
        </w:trPr>
        <w:tc>
          <w:tcPr>
            <w:tcW w:w="1632" w:type="dxa"/>
          </w:tcPr>
          <w:p w:rsidR="005C2091" w:rsidRDefault="00A86293">
            <w:pPr>
              <w:jc w:val="left"/>
            </w:pPr>
            <w:r>
              <w:t>3004-RURALNI RAZVOJ</w:t>
            </w:r>
          </w:p>
        </w:tc>
        <w:tc>
          <w:tcPr>
            <w:tcW w:w="2041" w:type="dxa"/>
          </w:tcPr>
          <w:p w:rsidR="005C2091" w:rsidRDefault="00A86293">
            <w:pPr>
              <w:jc w:val="right"/>
            </w:pPr>
            <w:r>
              <w:t>00</w:t>
            </w:r>
          </w:p>
        </w:tc>
        <w:tc>
          <w:tcPr>
            <w:tcW w:w="2041" w:type="dxa"/>
          </w:tcPr>
          <w:p w:rsidR="005C2091" w:rsidRDefault="00A86293">
            <w:pPr>
              <w:jc w:val="right"/>
            </w:pPr>
            <w:r>
              <w:t>9.217.752</w:t>
            </w:r>
          </w:p>
        </w:tc>
        <w:tc>
          <w:tcPr>
            <w:tcW w:w="2041" w:type="dxa"/>
          </w:tcPr>
          <w:p w:rsidR="005C2091" w:rsidRDefault="00A86293">
            <w:pPr>
              <w:jc w:val="right"/>
            </w:pPr>
            <w:r>
              <w:t>8.585.728</w:t>
            </w:r>
          </w:p>
        </w:tc>
        <w:tc>
          <w:tcPr>
            <w:tcW w:w="1224" w:type="dxa"/>
          </w:tcPr>
          <w:p w:rsidR="005C2091" w:rsidRDefault="00A86293">
            <w:pPr>
              <w:jc w:val="right"/>
            </w:pPr>
            <w:r>
              <w:t>93,1</w:t>
            </w:r>
          </w:p>
        </w:tc>
        <w:tc>
          <w:tcPr>
            <w:tcW w:w="1224" w:type="dxa"/>
          </w:tcPr>
          <w:p w:rsidR="005C2091" w:rsidRDefault="00A86293">
            <w:pPr>
              <w:jc w:val="right"/>
            </w:pPr>
            <w:r>
              <w:t>0,0</w:t>
            </w:r>
          </w:p>
        </w:tc>
      </w:tr>
      <w:tr w:rsidR="005C2091">
        <w:trPr>
          <w:jc w:val="center"/>
        </w:trPr>
        <w:tc>
          <w:tcPr>
            <w:tcW w:w="1632" w:type="dxa"/>
          </w:tcPr>
          <w:p w:rsidR="005C2091" w:rsidRDefault="00A86293">
            <w:pPr>
              <w:jc w:val="left"/>
            </w:pPr>
            <w:r>
              <w:t>3006-GOSPODARENJE I ZAŠTITA ŠUMSKIH RESURSA, LOVIŠTA I DIVLJAČI</w:t>
            </w:r>
          </w:p>
        </w:tc>
        <w:tc>
          <w:tcPr>
            <w:tcW w:w="2041" w:type="dxa"/>
          </w:tcPr>
          <w:p w:rsidR="005C2091" w:rsidRDefault="00A86293">
            <w:pPr>
              <w:jc w:val="right"/>
            </w:pPr>
            <w:r>
              <w:t>10.387.884</w:t>
            </w:r>
          </w:p>
        </w:tc>
        <w:tc>
          <w:tcPr>
            <w:tcW w:w="2041" w:type="dxa"/>
          </w:tcPr>
          <w:p w:rsidR="005C2091" w:rsidRDefault="00A86293">
            <w:pPr>
              <w:jc w:val="right"/>
            </w:pPr>
            <w:r>
              <w:t>28.560.000</w:t>
            </w:r>
          </w:p>
        </w:tc>
        <w:tc>
          <w:tcPr>
            <w:tcW w:w="2041" w:type="dxa"/>
          </w:tcPr>
          <w:p w:rsidR="005C2091" w:rsidRDefault="00A86293">
            <w:pPr>
              <w:jc w:val="right"/>
            </w:pPr>
            <w:r>
              <w:t>25.141.898</w:t>
            </w:r>
          </w:p>
        </w:tc>
        <w:tc>
          <w:tcPr>
            <w:tcW w:w="1224" w:type="dxa"/>
          </w:tcPr>
          <w:p w:rsidR="005C2091" w:rsidRDefault="00A86293">
            <w:pPr>
              <w:jc w:val="right"/>
            </w:pPr>
            <w:r>
              <w:t>88,0</w:t>
            </w:r>
          </w:p>
        </w:tc>
        <w:tc>
          <w:tcPr>
            <w:tcW w:w="1224" w:type="dxa"/>
          </w:tcPr>
          <w:p w:rsidR="005C2091" w:rsidRDefault="00A86293">
            <w:pPr>
              <w:jc w:val="right"/>
            </w:pPr>
            <w:r>
              <w:t>242,0</w:t>
            </w:r>
          </w:p>
        </w:tc>
      </w:tr>
    </w:tbl>
    <w:p w:rsidR="005C2091" w:rsidRDefault="005C2091">
      <w:pPr>
        <w:jc w:val="left"/>
      </w:pPr>
    </w:p>
    <w:p w:rsidR="005C2091" w:rsidRDefault="00A86293">
      <w:pPr>
        <w:pStyle w:val="Heading3"/>
      </w:pPr>
      <w:r>
        <w:rPr>
          <w:rFonts w:cs="Times New Roman"/>
        </w:rPr>
        <w:t>3001 UPRAVLJANJE POLJOPRIVREDOM, RIBARSTVOM I RURALNIM RAZVOJEM</w:t>
      </w:r>
    </w:p>
    <w:tbl>
      <w:tblPr>
        <w:tblStyle w:val="StilTablice"/>
        <w:tblW w:w="10206" w:type="dxa"/>
        <w:jc w:val="center"/>
        <w:tblLook w:val="04A0" w:firstRow="1" w:lastRow="0" w:firstColumn="1" w:lastColumn="0" w:noHBand="0" w:noVBand="1"/>
      </w:tblPr>
      <w:tblGrid>
        <w:gridCol w:w="1944"/>
        <w:gridCol w:w="1951"/>
        <w:gridCol w:w="1950"/>
        <w:gridCol w:w="1950"/>
        <w:gridCol w:w="1201"/>
        <w:gridCol w:w="1210"/>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3001-UPRAVLJANJE POLJOPRIVREDOM, RIBARSTVOM I RURALNIM RAZVOJEM</w:t>
            </w:r>
          </w:p>
        </w:tc>
        <w:tc>
          <w:tcPr>
            <w:tcW w:w="2041" w:type="dxa"/>
          </w:tcPr>
          <w:p w:rsidR="005C2091" w:rsidRDefault="00A86293">
            <w:pPr>
              <w:pStyle w:val="CellColumn"/>
              <w:jc w:val="right"/>
            </w:pPr>
            <w:r>
              <w:rPr>
                <w:rFonts w:cs="Times New Roman"/>
              </w:rPr>
              <w:t>38.464.267</w:t>
            </w:r>
          </w:p>
        </w:tc>
        <w:tc>
          <w:tcPr>
            <w:tcW w:w="2041" w:type="dxa"/>
          </w:tcPr>
          <w:p w:rsidR="005C2091" w:rsidRDefault="00A86293">
            <w:pPr>
              <w:pStyle w:val="CellColumn"/>
              <w:jc w:val="right"/>
            </w:pPr>
            <w:r>
              <w:rPr>
                <w:rFonts w:cs="Times New Roman"/>
              </w:rPr>
              <w:t>31.548.600</w:t>
            </w:r>
          </w:p>
        </w:tc>
        <w:tc>
          <w:tcPr>
            <w:tcW w:w="2041" w:type="dxa"/>
          </w:tcPr>
          <w:p w:rsidR="005C2091" w:rsidRDefault="00A86293">
            <w:pPr>
              <w:pStyle w:val="CellColumn"/>
              <w:jc w:val="right"/>
            </w:pPr>
            <w:r>
              <w:rPr>
                <w:rFonts w:cs="Times New Roman"/>
              </w:rPr>
              <w:t>31.201.710</w:t>
            </w:r>
          </w:p>
        </w:tc>
        <w:tc>
          <w:tcPr>
            <w:tcW w:w="1224" w:type="dxa"/>
          </w:tcPr>
          <w:p w:rsidR="005C2091" w:rsidRDefault="00A86293">
            <w:pPr>
              <w:pStyle w:val="CellColumn"/>
              <w:jc w:val="right"/>
            </w:pPr>
            <w:r>
              <w:rPr>
                <w:rFonts w:cs="Times New Roman"/>
              </w:rPr>
              <w:t>98,9</w:t>
            </w:r>
          </w:p>
        </w:tc>
        <w:tc>
          <w:tcPr>
            <w:tcW w:w="1224" w:type="dxa"/>
          </w:tcPr>
          <w:p w:rsidR="005C2091" w:rsidRDefault="00A86293">
            <w:pPr>
              <w:pStyle w:val="CellColumn"/>
              <w:jc w:val="right"/>
            </w:pPr>
            <w:r>
              <w:rPr>
                <w:rFonts w:cs="Times New Roman"/>
              </w:rPr>
              <w:t>81,1</w:t>
            </w:r>
          </w:p>
        </w:tc>
      </w:tr>
    </w:tbl>
    <w:p w:rsidR="005C2091" w:rsidRDefault="005C2091">
      <w:pPr>
        <w:jc w:val="left"/>
      </w:pPr>
    </w:p>
    <w:p w:rsidR="005C2091" w:rsidRDefault="00A86293">
      <w:r>
        <w:t xml:space="preserve">Intenzivni su bili poslovi savjetovanja i pružanja stručne pomoći poljoprivrednicima u sustavu ekološke i integrirane poljoprivredne proizvodnje, u svim granama stočarske proizvodnje, te voćarstvu, vinogradarstvu, povrćarstvu i maslinarstvu, vezano za primjenu suvremenih tehnologija uzgoja na bazi održive i konkurentne proizvodnje, poštivanja načela dobre poljoprivredne i okolišne prakse te dostizanje standarda u očuvanju okoliša i dobrobiti životinja. Savjeti su se odnosili najvećim dijelom na poštivanje zakonodavnih propisa, učinkovito korištenje resursa i pravodobno provođenje određenih agrotehničkih mjera, savjetovanje o uzgoju i trženju poljoprivrednih proizvoda i proizvoda ribarstva, mogućnostima i uvjetima za ostvarivanje financijskih i drugih potpora, održivom razvoju poljoprivrede i ribarstva i drugo. Tome su doprinijela i aktivna sudjelovanja službenika u brojnim radnim tijelima i stručnim Povjerenstvima pri Ministarstvu poljoprivrede u izradi propisa, prikupljanju podataka za Tržišni informacijski sustav u poljoprivredi (TISUP), pripremi i izradi tehnoloških uputa, operativnih programa i mjera za unapređenja sektora poljoprivrede i ribarstva te programa ruralnog razvoja Republike Hrvatske.  </w:t>
      </w:r>
    </w:p>
    <w:p w:rsidR="005C2091" w:rsidRDefault="00A86293">
      <w:r>
        <w:t>Ovim programom obuhvaćena je aktivnost iz koje se u najvećoj mjeri financira redovan rad Službe.</w:t>
      </w:r>
    </w:p>
    <w:p w:rsidR="005C2091" w:rsidRDefault="00A86293">
      <w:pPr>
        <w:pStyle w:val="Heading8"/>
        <w:jc w:val="left"/>
      </w:pPr>
      <w:r>
        <w:t>Cilj 1. Povećanje konkurentnosti poljoprivrednih gospodarstava i subjekata u ribarstvu</w:t>
      </w:r>
    </w:p>
    <w:p w:rsidR="005C2091" w:rsidRDefault="00A86293">
      <w:pPr>
        <w:pStyle w:val="Heading8"/>
        <w:jc w:val="left"/>
      </w:pPr>
      <w:r>
        <w:t>Opis provedbe cilja programa</w:t>
      </w:r>
    </w:p>
    <w:p w:rsidR="005C2091" w:rsidRDefault="00A86293">
      <w:r>
        <w:t xml:space="preserve">Na temu višestruke sukladnosti tijekom godine putem 728 održanih predavanja kroz mjeru M01 educirano je 14.150 predstavnika poljoprivrednih gospodarstava (PG), dok je kroz mjeru M02 upoznato s propisanim obvezama dodatnih 3.372 PG-a što je ukupno 17.522 PG-a. </w:t>
      </w:r>
    </w:p>
    <w:p w:rsidR="005C2091" w:rsidRDefault="00A86293">
      <w:r>
        <w:t xml:space="preserve">Stručnim savjetovanjem o proizvodnji proizvoda s dodanom vrijednosti, razvoju dopunskih djelatnosti, promociji i povećanju trženja poljoprivrednih proizvoda obuhvaćeno je ukupno 6.010 PG-a. </w:t>
      </w:r>
    </w:p>
    <w:p w:rsidR="005C2091" w:rsidRDefault="00A86293">
      <w:r>
        <w:t xml:space="preserve">U sklopu aktivne suradnje s Udrugama, LAG-ovima i proizvođačkim organizacijama, a u cilju pružanja stručne i poslovne suradnje te poticanja na različite oblike interesnog udruživanja i organiziranja, zabilježena je suradnja sa 300 različitih subjekata. </w:t>
      </w:r>
    </w:p>
    <w:p w:rsidR="005C2091" w:rsidRDefault="00A86293">
      <w:r>
        <w:t>Tijekom godine djelatnici svih podružnica sudjelovali su u organizaciji i provedbi 150 različitih manifestacija, na kojima se okupilo gotovo 130 tisuća posjetitelja</w:t>
      </w:r>
    </w:p>
    <w:p w:rsidR="005C2091" w:rsidRDefault="00A86293">
      <w:pPr>
        <w:pStyle w:val="Heading8"/>
        <w:jc w:val="left"/>
      </w:pPr>
      <w:r>
        <w:t>Cilj 2. Učinkovitije korištenje nacionalnih i EU fondova</w:t>
      </w:r>
    </w:p>
    <w:p w:rsidR="005C2091" w:rsidRDefault="00A86293">
      <w:pPr>
        <w:pStyle w:val="Heading8"/>
        <w:jc w:val="left"/>
      </w:pPr>
      <w:r>
        <w:t>Opis provedbe cilja programa</w:t>
      </w:r>
    </w:p>
    <w:p w:rsidR="005C2091" w:rsidRDefault="00A86293">
      <w:r>
        <w:t xml:space="preserve">Posebna pozornost u radu Savjetodavne službe odnosila se na savjetodavnu potporu pri planiranju projekata i prijavi projekata na mjere iz Programa ruralnog razvoja RH, Nacionalnog programa pomoći sektoru vina, Operativnog programa za ribarstvo i Nacionalnog pčelarskog programa. Rad na provedbi programa potpore iz EU fondova za poljoprivredu i ruralni razvoja najvećim se dijelom odnosio na informiranje korisnika, njih oko 20.000, vezano za uvjete, prilike i mogućnosti korištenja nacionalnih i EU fondova s ciljem održivog razvoja ruralnih područja. Ove informacije i savjeti su se često puta proširivale na savjetovanje glede tehnoloških savjeta, optimizacije ulaganja, savjeta vezano uz tumačenja mnoštva zakonskih i pod zakonskih propisa koje se posredno ili neposredno odnose na svakog konkretnog korisnika odnosno projekt i pojedinačno ulaganje. Informacije i savjeti pružani su i putem predavanja, elektronskih medija, objavama na mrežnim stranicama Savjetodavne službe i objavama članaka u tiskovinama. Ukupno je obavljeno više od 360 različitih predavanja i medijskih publikacija. </w:t>
      </w:r>
    </w:p>
    <w:p w:rsidR="005C2091" w:rsidRDefault="00A86293">
      <w:r>
        <w:t xml:space="preserve">Značajan dio aktivnosti odnosio se na pomoć korisnicima na ukupno 117 zahtjeva za potporu za podmjeru 6.3. „Potpora razvoju malih poljoprivrednih gospodarstava“ i 25 zahtjeva za podmjeru 6.1. „Potpora za pokretanje poslovanja mladim poljoprivrednicima“ koji su s uspjehom prošli na prvim provedenim natječajima. </w:t>
      </w:r>
    </w:p>
    <w:p w:rsidR="005C2091" w:rsidRDefault="00A86293">
      <w:r>
        <w:t>Dio savjetnika provodio je savjetovanje za relativno manja ulaganja korisnika podmjere 4.1. koji su pretežno sami radili na kreiranju svojih zahtjeva.</w:t>
      </w:r>
    </w:p>
    <w:p w:rsidR="005C2091" w:rsidRDefault="00A86293">
      <w:pPr>
        <w:pStyle w:val="Heading8"/>
        <w:jc w:val="left"/>
      </w:pPr>
      <w:r>
        <w:t>Cilj 3. Stručni nadzor integrirane proizvodnje</w:t>
      </w:r>
    </w:p>
    <w:p w:rsidR="005C2091" w:rsidRDefault="00A86293">
      <w:pPr>
        <w:pStyle w:val="Heading8"/>
        <w:jc w:val="left"/>
      </w:pPr>
      <w:r>
        <w:t>Opis provedbe cilja programa</w:t>
      </w:r>
    </w:p>
    <w:p w:rsidR="005C2091" w:rsidRDefault="00A86293">
      <w:r>
        <w:t xml:space="preserve">Proizvođači u sustavu integrirane proizvodnje prema vlastitoj odluci dužni su za svaku sezonu prijaviti stručni nadzor koji je u 2016. smanjen u odnosu na prethodne godine zbog ukidanja potpora za taj oblik poljoprivredne proizvodnje. </w:t>
      </w:r>
    </w:p>
    <w:p w:rsidR="005C2091" w:rsidRDefault="00A86293">
      <w:r>
        <w:t>Tijekom 2016. godine stručnim nadzorom integrirane proizvodnje obuhvaćeno je 119 poljoprivrednih gospodarstava. Dio gospodarstava je odustao nakon prijave stručnog nadzora, na 3 gospodarstva je utvrđeno da nisu zadovoljeni principi integrirane proizvodnje dok je 1 gospodarstvo prešlo na ekološku poljoprivrednu proizvodnju. Nakon provedenih nadzora održane su 4 sjednice povjerenstva za dodjelu potvrda integrirane proizvodnje, te je izdano samo 55 potvrda integrirane proizvodnje.</w:t>
      </w:r>
    </w:p>
    <w:p w:rsidR="005C2091" w:rsidRDefault="00A86293">
      <w:pPr>
        <w:pStyle w:val="Heading8"/>
        <w:jc w:val="left"/>
      </w:pPr>
      <w:r>
        <w:t>Cilj 4. Stručno obrazovanje i osposobljavanje poljoprivrednih gospodarstava, subjekata u ribarstvu i šumoposjednika</w:t>
      </w:r>
    </w:p>
    <w:p w:rsidR="005C2091" w:rsidRDefault="00A86293">
      <w:pPr>
        <w:pStyle w:val="Heading8"/>
        <w:jc w:val="left"/>
      </w:pPr>
      <w:r>
        <w:t>Opis provedbe cilja programa</w:t>
      </w:r>
    </w:p>
    <w:p w:rsidR="005C2091" w:rsidRDefault="00A86293">
      <w:r>
        <w:t>Poslovi obrazovanja i osposobljavanja provode se putem održavanja tečajeva na cijelom području RH, te su u 2016. godini vezani uz provedbu strukovnog osposobljavanja kroz mjeru M01 „Prenošenje znanja i aktivnosti informiranja“ temeljem odobrenog programa osposobljavanja za 2016. godinu i provedbu osnovne izobrazbe o sigurnom rukovanju i pravilnoj primjeni pesticida osnovom ovlaštenja za modul za profesionalne korisnike po odobrenom programu.</w:t>
      </w:r>
    </w:p>
    <w:p w:rsidR="005C2091" w:rsidRDefault="00A86293">
      <w:pPr>
        <w:pStyle w:val="Heading8"/>
        <w:jc w:val="left"/>
      </w:pPr>
      <w:r>
        <w:t>Pokazatelji učinka</w:t>
      </w:r>
    </w:p>
    <w:tbl>
      <w:tblPr>
        <w:tblStyle w:val="StilTablice"/>
        <w:tblW w:w="10206" w:type="dxa"/>
        <w:jc w:val="center"/>
        <w:tblLook w:val="04A0" w:firstRow="1" w:lastRow="0" w:firstColumn="1" w:lastColumn="0" w:noHBand="0" w:noVBand="1"/>
      </w:tblPr>
      <w:tblGrid>
        <w:gridCol w:w="2400"/>
        <w:gridCol w:w="2397"/>
        <w:gridCol w:w="1148"/>
        <w:gridCol w:w="1006"/>
        <w:gridCol w:w="1242"/>
        <w:gridCol w:w="1006"/>
        <w:gridCol w:w="1007"/>
      </w:tblGrid>
      <w:tr w:rsidR="005C2091">
        <w:trPr>
          <w:jc w:val="center"/>
        </w:trPr>
        <w:tc>
          <w:tcPr>
            <w:tcW w:w="2551" w:type="dxa"/>
            <w:shd w:val="clear" w:color="auto" w:fill="B5C0D8"/>
          </w:tcPr>
          <w:p w:rsidR="005C2091" w:rsidRDefault="00A86293">
            <w:pPr>
              <w:jc w:val="center"/>
            </w:pPr>
            <w:r>
              <w:t>Pokazatelj učinka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918"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Savjetovanje poljoprivrednika vezano uz višestruku sukladnost</w:t>
            </w:r>
          </w:p>
        </w:tc>
        <w:tc>
          <w:tcPr>
            <w:tcW w:w="2551" w:type="dxa"/>
          </w:tcPr>
          <w:p w:rsidR="005C2091" w:rsidRDefault="00A86293">
            <w:pPr>
              <w:pStyle w:val="CellColumn"/>
              <w:jc w:val="left"/>
            </w:pPr>
            <w:r>
              <w:rPr>
                <w:rFonts w:cs="Times New Roman"/>
              </w:rPr>
              <w:t>Savjetnik korisnicima prenosi znanje o uvjetima višestruke sukladnosti</w:t>
            </w:r>
          </w:p>
        </w:tc>
        <w:tc>
          <w:tcPr>
            <w:tcW w:w="1020" w:type="dxa"/>
          </w:tcPr>
          <w:p w:rsidR="005C2091" w:rsidRDefault="00A86293">
            <w:pPr>
              <w:pStyle w:val="CellColumn"/>
              <w:jc w:val="right"/>
            </w:pPr>
            <w:r>
              <w:rPr>
                <w:rFonts w:cs="Times New Roman"/>
              </w:rPr>
              <w:t>% korisnika izravnih plaćanja</w:t>
            </w:r>
          </w:p>
        </w:tc>
        <w:tc>
          <w:tcPr>
            <w:tcW w:w="1020" w:type="dxa"/>
          </w:tcPr>
          <w:p w:rsidR="005C2091" w:rsidRDefault="00A86293">
            <w:pPr>
              <w:pStyle w:val="CellColumn"/>
              <w:jc w:val="right"/>
            </w:pPr>
            <w:r>
              <w:rPr>
                <w:rFonts w:cs="Times New Roman"/>
              </w:rPr>
              <w:t>17</w:t>
            </w:r>
          </w:p>
        </w:tc>
        <w:tc>
          <w:tcPr>
            <w:tcW w:w="1020" w:type="dxa"/>
          </w:tcPr>
          <w:p w:rsidR="005C2091" w:rsidRDefault="00A86293">
            <w:pPr>
              <w:pStyle w:val="CellColumn"/>
              <w:jc w:val="right"/>
            </w:pPr>
            <w:r>
              <w:rPr>
                <w:rFonts w:cs="Times New Roman"/>
              </w:rPr>
              <w:t>Savjetodavna služba, APPRRR</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16</w:t>
            </w:r>
          </w:p>
        </w:tc>
      </w:tr>
      <w:tr w:rsidR="005C2091">
        <w:trPr>
          <w:jc w:val="center"/>
        </w:trPr>
        <w:tc>
          <w:tcPr>
            <w:tcW w:w="2551" w:type="dxa"/>
          </w:tcPr>
          <w:p w:rsidR="005C2091" w:rsidRDefault="00A86293">
            <w:pPr>
              <w:pStyle w:val="CellColumn"/>
              <w:jc w:val="left"/>
            </w:pPr>
            <w:r>
              <w:rPr>
                <w:rFonts w:cs="Times New Roman"/>
              </w:rPr>
              <w:t>Savjetovanje PG-a o preradi i trženju</w:t>
            </w:r>
          </w:p>
        </w:tc>
        <w:tc>
          <w:tcPr>
            <w:tcW w:w="2551" w:type="dxa"/>
          </w:tcPr>
          <w:p w:rsidR="005C2091" w:rsidRDefault="00A86293">
            <w:pPr>
              <w:pStyle w:val="CellColumn"/>
              <w:jc w:val="left"/>
            </w:pPr>
            <w:r>
              <w:rPr>
                <w:rFonts w:cs="Times New Roman"/>
              </w:rPr>
              <w:t>Edukacija i savjetovanje PG-a, subjekata u ribarstvu i šumoposjednika o proizvodnji proizvoda s dodanom vrijednosti, razvoju dopunskih djelatnosti, promociji i povećanju trženja poljoprivrednih proizvoda, proizvoda ribarstva i šumarstva</w:t>
            </w:r>
          </w:p>
        </w:tc>
        <w:tc>
          <w:tcPr>
            <w:tcW w:w="1020" w:type="dxa"/>
          </w:tcPr>
          <w:p w:rsidR="005C2091" w:rsidRDefault="00A86293">
            <w:pPr>
              <w:pStyle w:val="CellColumn"/>
              <w:jc w:val="right"/>
            </w:pPr>
            <w:r>
              <w:rPr>
                <w:rFonts w:cs="Times New Roman"/>
              </w:rPr>
              <w:t>Savjetovanje PG-a o preradi i trženju</w:t>
            </w:r>
          </w:p>
        </w:tc>
        <w:tc>
          <w:tcPr>
            <w:tcW w:w="1020" w:type="dxa"/>
          </w:tcPr>
          <w:p w:rsidR="005C2091" w:rsidRDefault="00A86293">
            <w:pPr>
              <w:pStyle w:val="CellColumn"/>
              <w:jc w:val="right"/>
            </w:pPr>
            <w:r>
              <w:rPr>
                <w:rFonts w:cs="Times New Roman"/>
              </w:rPr>
              <w:t>330</w:t>
            </w:r>
          </w:p>
        </w:tc>
        <w:tc>
          <w:tcPr>
            <w:tcW w:w="1020" w:type="dxa"/>
          </w:tcPr>
          <w:p w:rsidR="005C2091" w:rsidRDefault="00A86293">
            <w:pPr>
              <w:pStyle w:val="CellColumn"/>
              <w:jc w:val="right"/>
            </w:pPr>
            <w:r>
              <w:rPr>
                <w:rFonts w:cs="Times New Roman"/>
              </w:rPr>
              <w:t>Savjetodavna služba, Ministarstvo poljoprivrede, Ministarstvo turizma</w:t>
            </w:r>
          </w:p>
        </w:tc>
        <w:tc>
          <w:tcPr>
            <w:tcW w:w="1020" w:type="dxa"/>
          </w:tcPr>
          <w:p w:rsidR="005C2091" w:rsidRDefault="00A86293">
            <w:pPr>
              <w:pStyle w:val="CellColumn"/>
              <w:jc w:val="right"/>
            </w:pPr>
            <w:r>
              <w:rPr>
                <w:rFonts w:cs="Times New Roman"/>
              </w:rPr>
              <w:t>300</w:t>
            </w:r>
          </w:p>
        </w:tc>
        <w:tc>
          <w:tcPr>
            <w:tcW w:w="1020" w:type="dxa"/>
          </w:tcPr>
          <w:p w:rsidR="005C2091" w:rsidRDefault="00A86293">
            <w:pPr>
              <w:pStyle w:val="CellColumn"/>
              <w:jc w:val="right"/>
            </w:pPr>
            <w:r>
              <w:rPr>
                <w:rFonts w:cs="Times New Roman"/>
              </w:rPr>
              <w:t>305</w:t>
            </w:r>
          </w:p>
        </w:tc>
      </w:tr>
      <w:tr w:rsidR="005C2091">
        <w:trPr>
          <w:jc w:val="center"/>
        </w:trPr>
        <w:tc>
          <w:tcPr>
            <w:tcW w:w="2551" w:type="dxa"/>
          </w:tcPr>
          <w:p w:rsidR="005C2091" w:rsidRDefault="00A86293">
            <w:pPr>
              <w:pStyle w:val="CellColumn"/>
              <w:jc w:val="left"/>
            </w:pPr>
            <w:r>
              <w:rPr>
                <w:rFonts w:cs="Times New Roman"/>
              </w:rPr>
              <w:t>Stručna pomoć i posredovanje</w:t>
            </w:r>
          </w:p>
        </w:tc>
        <w:tc>
          <w:tcPr>
            <w:tcW w:w="2551" w:type="dxa"/>
          </w:tcPr>
          <w:p w:rsidR="005C2091" w:rsidRDefault="00A86293">
            <w:pPr>
              <w:pStyle w:val="CellColumn"/>
              <w:jc w:val="left"/>
            </w:pPr>
            <w:r>
              <w:rPr>
                <w:rFonts w:cs="Times New Roman"/>
              </w:rPr>
              <w:t>Edukacija i savjetovanje PG-a, subjekata u ribarstvu i šumoposjednika o važnosti stvaranja proizvođačkih grupa i organizacija te pružanje stručnih i poslovnih informacija i znanja o načinima udruživanja prema najvišim europskim standardima</w:t>
            </w:r>
          </w:p>
        </w:tc>
        <w:tc>
          <w:tcPr>
            <w:tcW w:w="1020" w:type="dxa"/>
          </w:tcPr>
          <w:p w:rsidR="005C2091" w:rsidRDefault="00A86293">
            <w:pPr>
              <w:pStyle w:val="CellColumn"/>
              <w:jc w:val="right"/>
            </w:pPr>
            <w:r>
              <w:rPr>
                <w:rFonts w:cs="Times New Roman"/>
              </w:rPr>
              <w:t>Broj interesnih udruženja i organizacija</w:t>
            </w:r>
          </w:p>
        </w:tc>
        <w:tc>
          <w:tcPr>
            <w:tcW w:w="1020" w:type="dxa"/>
          </w:tcPr>
          <w:p w:rsidR="005C2091" w:rsidRDefault="00A86293">
            <w:pPr>
              <w:pStyle w:val="CellColumn"/>
              <w:jc w:val="right"/>
            </w:pPr>
            <w:r>
              <w:rPr>
                <w:rFonts w:cs="Times New Roman"/>
              </w:rPr>
              <w:t>333</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300</w:t>
            </w:r>
          </w:p>
        </w:tc>
        <w:tc>
          <w:tcPr>
            <w:tcW w:w="1020" w:type="dxa"/>
          </w:tcPr>
          <w:p w:rsidR="005C2091" w:rsidRDefault="00A86293">
            <w:pPr>
              <w:pStyle w:val="CellColumn"/>
              <w:jc w:val="right"/>
            </w:pPr>
            <w:r>
              <w:rPr>
                <w:rFonts w:cs="Times New Roman"/>
              </w:rPr>
              <w:t>300</w:t>
            </w:r>
          </w:p>
        </w:tc>
      </w:tr>
      <w:tr w:rsidR="005C2091">
        <w:trPr>
          <w:jc w:val="center"/>
        </w:trPr>
        <w:tc>
          <w:tcPr>
            <w:tcW w:w="2551" w:type="dxa"/>
          </w:tcPr>
          <w:p w:rsidR="005C2091" w:rsidRDefault="00A86293">
            <w:pPr>
              <w:pStyle w:val="CellColumn"/>
              <w:jc w:val="left"/>
            </w:pPr>
            <w:r>
              <w:rPr>
                <w:rFonts w:cs="Times New Roman"/>
              </w:rPr>
              <w:t>Informiranje korisnika</w:t>
            </w:r>
          </w:p>
        </w:tc>
        <w:tc>
          <w:tcPr>
            <w:tcW w:w="2551" w:type="dxa"/>
          </w:tcPr>
          <w:p w:rsidR="005C2091" w:rsidRDefault="00A86293">
            <w:pPr>
              <w:pStyle w:val="CellColumn"/>
              <w:jc w:val="left"/>
            </w:pPr>
            <w:r>
              <w:rPr>
                <w:rFonts w:cs="Times New Roman"/>
              </w:rPr>
              <w:t>Povećanjem uključenosti djelatnika Savjetodavne službe povećava se opseg i protok kvalitetnih informacija o prilikama za korištenje nacionalnih i EU fondova do potencijalnih korisnika</w:t>
            </w:r>
          </w:p>
        </w:tc>
        <w:tc>
          <w:tcPr>
            <w:tcW w:w="1020" w:type="dxa"/>
          </w:tcPr>
          <w:p w:rsidR="005C2091" w:rsidRDefault="00A86293">
            <w:pPr>
              <w:pStyle w:val="CellColumn"/>
              <w:jc w:val="right"/>
            </w:pPr>
            <w:r>
              <w:rPr>
                <w:rFonts w:cs="Times New Roman"/>
              </w:rPr>
              <w:t>Broj korisnika</w:t>
            </w:r>
          </w:p>
        </w:tc>
        <w:tc>
          <w:tcPr>
            <w:tcW w:w="1020" w:type="dxa"/>
          </w:tcPr>
          <w:p w:rsidR="005C2091" w:rsidRDefault="00A86293">
            <w:pPr>
              <w:pStyle w:val="CellColumn"/>
              <w:jc w:val="right"/>
            </w:pPr>
            <w:r>
              <w:rPr>
                <w:rFonts w:cs="Times New Roman"/>
              </w:rPr>
              <w:t>19.050</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20.000</w:t>
            </w:r>
          </w:p>
        </w:tc>
        <w:tc>
          <w:tcPr>
            <w:tcW w:w="1020" w:type="dxa"/>
          </w:tcPr>
          <w:p w:rsidR="005C2091" w:rsidRDefault="00A86293">
            <w:pPr>
              <w:pStyle w:val="CellColumn"/>
              <w:jc w:val="right"/>
            </w:pPr>
            <w:r>
              <w:rPr>
                <w:rFonts w:cs="Times New Roman"/>
              </w:rPr>
              <w:t>20.000</w:t>
            </w:r>
          </w:p>
        </w:tc>
      </w:tr>
      <w:tr w:rsidR="005C2091">
        <w:trPr>
          <w:jc w:val="center"/>
        </w:trPr>
        <w:tc>
          <w:tcPr>
            <w:tcW w:w="2551" w:type="dxa"/>
          </w:tcPr>
          <w:p w:rsidR="005C2091" w:rsidRDefault="00A86293">
            <w:pPr>
              <w:pStyle w:val="CellColumn"/>
              <w:jc w:val="left"/>
            </w:pPr>
            <w:r>
              <w:rPr>
                <w:rFonts w:cs="Times New Roman"/>
              </w:rPr>
              <w:t>Provjera prihvatljivosti projekata i korisnika</w:t>
            </w:r>
          </w:p>
        </w:tc>
        <w:tc>
          <w:tcPr>
            <w:tcW w:w="2551" w:type="dxa"/>
          </w:tcPr>
          <w:p w:rsidR="005C2091" w:rsidRDefault="00A86293">
            <w:pPr>
              <w:pStyle w:val="CellColumn"/>
              <w:jc w:val="left"/>
            </w:pPr>
            <w:r>
              <w:rPr>
                <w:rFonts w:cs="Times New Roman"/>
              </w:rPr>
              <w:t>Provjerom prihvatljivosti projekata napraviti će se selekcija prihvatljivih projekata i korisnika koji su sukladni pravilnicima i procedurama za korištenje nacionalnih i EU fondova</w:t>
            </w:r>
          </w:p>
        </w:tc>
        <w:tc>
          <w:tcPr>
            <w:tcW w:w="1020" w:type="dxa"/>
          </w:tcPr>
          <w:p w:rsidR="005C2091" w:rsidRDefault="00A86293">
            <w:pPr>
              <w:pStyle w:val="CellColumn"/>
              <w:jc w:val="right"/>
            </w:pPr>
            <w:r>
              <w:rPr>
                <w:rFonts w:cs="Times New Roman"/>
              </w:rPr>
              <w:t>Broj provjera korisnika</w:t>
            </w:r>
          </w:p>
        </w:tc>
        <w:tc>
          <w:tcPr>
            <w:tcW w:w="1020" w:type="dxa"/>
          </w:tcPr>
          <w:p w:rsidR="005C2091" w:rsidRDefault="00A86293">
            <w:pPr>
              <w:pStyle w:val="CellColumn"/>
              <w:jc w:val="right"/>
            </w:pPr>
            <w:r>
              <w:rPr>
                <w:rFonts w:cs="Times New Roman"/>
              </w:rPr>
              <w:t>600</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650</w:t>
            </w:r>
          </w:p>
        </w:tc>
        <w:tc>
          <w:tcPr>
            <w:tcW w:w="1020" w:type="dxa"/>
          </w:tcPr>
          <w:p w:rsidR="005C2091" w:rsidRDefault="00A86293">
            <w:pPr>
              <w:pStyle w:val="CellColumn"/>
              <w:jc w:val="right"/>
            </w:pPr>
            <w:r>
              <w:rPr>
                <w:rFonts w:cs="Times New Roman"/>
              </w:rPr>
              <w:t>650</w:t>
            </w:r>
          </w:p>
        </w:tc>
      </w:tr>
      <w:tr w:rsidR="005C2091">
        <w:trPr>
          <w:jc w:val="center"/>
        </w:trPr>
        <w:tc>
          <w:tcPr>
            <w:tcW w:w="2551" w:type="dxa"/>
          </w:tcPr>
          <w:p w:rsidR="005C2091" w:rsidRDefault="00A86293">
            <w:pPr>
              <w:pStyle w:val="CellColumn"/>
              <w:jc w:val="left"/>
            </w:pPr>
            <w:r>
              <w:rPr>
                <w:rFonts w:cs="Times New Roman"/>
              </w:rPr>
              <w:t>Obrada i broj prijavljenih zahtjeva</w:t>
            </w:r>
          </w:p>
        </w:tc>
        <w:tc>
          <w:tcPr>
            <w:tcW w:w="2551" w:type="dxa"/>
          </w:tcPr>
          <w:p w:rsidR="005C2091" w:rsidRDefault="00A86293">
            <w:pPr>
              <w:pStyle w:val="CellColumn"/>
              <w:jc w:val="left"/>
            </w:pPr>
            <w:r>
              <w:rPr>
                <w:rFonts w:cs="Times New Roman"/>
              </w:rPr>
              <w:t>Obradom i prijavom zahtjeva za korištenje nacionalnih i EU fondova povećat će se broj korisnika i ukupan iznos iskorištenosti sredstava</w:t>
            </w:r>
          </w:p>
        </w:tc>
        <w:tc>
          <w:tcPr>
            <w:tcW w:w="1020" w:type="dxa"/>
          </w:tcPr>
          <w:p w:rsidR="005C2091" w:rsidRDefault="00A86293">
            <w:pPr>
              <w:pStyle w:val="CellColumn"/>
              <w:jc w:val="right"/>
            </w:pPr>
            <w:r>
              <w:rPr>
                <w:rFonts w:cs="Times New Roman"/>
              </w:rPr>
              <w:t>Broj zahtjeva</w:t>
            </w:r>
          </w:p>
        </w:tc>
        <w:tc>
          <w:tcPr>
            <w:tcW w:w="1020" w:type="dxa"/>
          </w:tcPr>
          <w:p w:rsidR="005C2091" w:rsidRDefault="00A86293">
            <w:pPr>
              <w:pStyle w:val="CellColumn"/>
              <w:jc w:val="right"/>
            </w:pPr>
            <w:r>
              <w:rPr>
                <w:rFonts w:cs="Times New Roman"/>
              </w:rPr>
              <w:t>180</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195</w:t>
            </w:r>
          </w:p>
        </w:tc>
        <w:tc>
          <w:tcPr>
            <w:tcW w:w="1020" w:type="dxa"/>
          </w:tcPr>
          <w:p w:rsidR="005C2091" w:rsidRDefault="00A86293">
            <w:pPr>
              <w:pStyle w:val="CellColumn"/>
              <w:jc w:val="right"/>
            </w:pPr>
            <w:r>
              <w:rPr>
                <w:rFonts w:cs="Times New Roman"/>
              </w:rPr>
              <w:t>650</w:t>
            </w:r>
          </w:p>
        </w:tc>
      </w:tr>
      <w:tr w:rsidR="005C2091">
        <w:trPr>
          <w:jc w:val="center"/>
        </w:trPr>
        <w:tc>
          <w:tcPr>
            <w:tcW w:w="2551" w:type="dxa"/>
          </w:tcPr>
          <w:p w:rsidR="005C2091" w:rsidRDefault="00A86293">
            <w:pPr>
              <w:pStyle w:val="CellColumn"/>
              <w:jc w:val="left"/>
            </w:pPr>
            <w:r>
              <w:rPr>
                <w:rFonts w:cs="Times New Roman"/>
              </w:rPr>
              <w:t>Obavljeni nadzor</w:t>
            </w:r>
          </w:p>
        </w:tc>
        <w:tc>
          <w:tcPr>
            <w:tcW w:w="2551" w:type="dxa"/>
          </w:tcPr>
          <w:p w:rsidR="005C2091" w:rsidRDefault="00A86293">
            <w:pPr>
              <w:pStyle w:val="CellColumn"/>
              <w:jc w:val="left"/>
            </w:pPr>
            <w:r>
              <w:rPr>
                <w:rFonts w:cs="Times New Roman"/>
              </w:rPr>
              <w:t>Jasnim zahtjevima koje proizvođači u integriranoj proizvodnji trebaju zadovoljiti bit će omogućeno unapređenje postojeće proizvodnje čime će rasti broj proizvođača uključenih u integriranu proizvodnju</w:t>
            </w:r>
          </w:p>
        </w:tc>
        <w:tc>
          <w:tcPr>
            <w:tcW w:w="1020" w:type="dxa"/>
          </w:tcPr>
          <w:p w:rsidR="005C2091" w:rsidRDefault="00A86293">
            <w:pPr>
              <w:pStyle w:val="CellColumn"/>
              <w:jc w:val="right"/>
            </w:pPr>
            <w:r>
              <w:rPr>
                <w:rFonts w:cs="Times New Roman"/>
              </w:rPr>
              <w:t>Broj prijavljenih PG-a za stručni nadzor</w:t>
            </w:r>
          </w:p>
        </w:tc>
        <w:tc>
          <w:tcPr>
            <w:tcW w:w="1020" w:type="dxa"/>
          </w:tcPr>
          <w:p w:rsidR="005C2091" w:rsidRDefault="00A86293">
            <w:pPr>
              <w:pStyle w:val="CellColumn"/>
              <w:jc w:val="right"/>
            </w:pPr>
            <w:r>
              <w:rPr>
                <w:rFonts w:cs="Times New Roman"/>
              </w:rPr>
              <w:t>833</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150</w:t>
            </w:r>
          </w:p>
        </w:tc>
        <w:tc>
          <w:tcPr>
            <w:tcW w:w="1020" w:type="dxa"/>
          </w:tcPr>
          <w:p w:rsidR="005C2091" w:rsidRDefault="00A86293">
            <w:pPr>
              <w:pStyle w:val="CellColumn"/>
              <w:jc w:val="right"/>
            </w:pPr>
            <w:r>
              <w:rPr>
                <w:rFonts w:cs="Times New Roman"/>
              </w:rPr>
              <w:t>119</w:t>
            </w:r>
          </w:p>
        </w:tc>
      </w:tr>
      <w:tr w:rsidR="005C2091">
        <w:trPr>
          <w:jc w:val="center"/>
        </w:trPr>
        <w:tc>
          <w:tcPr>
            <w:tcW w:w="2551" w:type="dxa"/>
          </w:tcPr>
          <w:p w:rsidR="005C2091" w:rsidRDefault="00A86293">
            <w:pPr>
              <w:pStyle w:val="CellColumn"/>
              <w:jc w:val="left"/>
            </w:pPr>
            <w:r>
              <w:rPr>
                <w:rFonts w:cs="Times New Roman"/>
              </w:rPr>
              <w:t>Izdane potvrde</w:t>
            </w:r>
          </w:p>
        </w:tc>
        <w:tc>
          <w:tcPr>
            <w:tcW w:w="2551" w:type="dxa"/>
          </w:tcPr>
          <w:p w:rsidR="005C2091" w:rsidRDefault="00A86293">
            <w:pPr>
              <w:pStyle w:val="CellColumn"/>
              <w:jc w:val="left"/>
            </w:pPr>
            <w:r>
              <w:rPr>
                <w:rFonts w:cs="Times New Roman"/>
              </w:rPr>
              <w:t>Kvalitetna edukacija proizvođača u integriranoj proizvodnji, jasno opisani zahtjevi te preporučene korektivne mjere za uklanjanje nepravilnosti rezultiraju većim brojem izdanih potvrda o integriranoj proizvodnji</w:t>
            </w:r>
          </w:p>
        </w:tc>
        <w:tc>
          <w:tcPr>
            <w:tcW w:w="1020" w:type="dxa"/>
          </w:tcPr>
          <w:p w:rsidR="005C2091" w:rsidRDefault="00A86293">
            <w:pPr>
              <w:pStyle w:val="CellColumn"/>
              <w:jc w:val="right"/>
            </w:pPr>
            <w:r>
              <w:rPr>
                <w:rFonts w:cs="Times New Roman"/>
              </w:rPr>
              <w:t>Broj izdanih potvrda PG-ima</w:t>
            </w:r>
          </w:p>
        </w:tc>
        <w:tc>
          <w:tcPr>
            <w:tcW w:w="1020" w:type="dxa"/>
          </w:tcPr>
          <w:p w:rsidR="005C2091" w:rsidRDefault="00A86293">
            <w:pPr>
              <w:pStyle w:val="CellColumn"/>
              <w:jc w:val="right"/>
            </w:pPr>
            <w:r>
              <w:rPr>
                <w:rFonts w:cs="Times New Roman"/>
              </w:rPr>
              <w:t>526</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130</w:t>
            </w:r>
          </w:p>
        </w:tc>
        <w:tc>
          <w:tcPr>
            <w:tcW w:w="1020" w:type="dxa"/>
          </w:tcPr>
          <w:p w:rsidR="005C2091" w:rsidRDefault="00A86293">
            <w:pPr>
              <w:pStyle w:val="CellColumn"/>
              <w:jc w:val="right"/>
            </w:pPr>
            <w:r>
              <w:rPr>
                <w:rFonts w:cs="Times New Roman"/>
              </w:rPr>
              <w:t>55</w:t>
            </w:r>
          </w:p>
        </w:tc>
      </w:tr>
      <w:tr w:rsidR="005C2091">
        <w:trPr>
          <w:jc w:val="center"/>
        </w:trPr>
        <w:tc>
          <w:tcPr>
            <w:tcW w:w="2551" w:type="dxa"/>
          </w:tcPr>
          <w:p w:rsidR="005C2091" w:rsidRDefault="00A86293">
            <w:pPr>
              <w:pStyle w:val="CellColumn"/>
              <w:jc w:val="left"/>
            </w:pPr>
            <w:r>
              <w:rPr>
                <w:rFonts w:cs="Times New Roman"/>
              </w:rPr>
              <w:t>Program izobrazbe</w:t>
            </w:r>
          </w:p>
        </w:tc>
        <w:tc>
          <w:tcPr>
            <w:tcW w:w="2551" w:type="dxa"/>
          </w:tcPr>
          <w:p w:rsidR="005C2091" w:rsidRDefault="00A86293">
            <w:pPr>
              <w:pStyle w:val="CellColumn"/>
              <w:jc w:val="left"/>
            </w:pPr>
            <w:r>
              <w:rPr>
                <w:rFonts w:cs="Times New Roman"/>
              </w:rPr>
              <w:t>Izrada programa obrazovanja i osposobljavanja iz područja poljoprivrede, ribarstva, ruralnog razvoja i šumarstva</w:t>
            </w:r>
          </w:p>
        </w:tc>
        <w:tc>
          <w:tcPr>
            <w:tcW w:w="1020" w:type="dxa"/>
          </w:tcPr>
          <w:p w:rsidR="005C2091" w:rsidRDefault="00A86293">
            <w:pPr>
              <w:pStyle w:val="CellColumn"/>
              <w:jc w:val="right"/>
            </w:pPr>
            <w:r>
              <w:rPr>
                <w:rFonts w:cs="Times New Roman"/>
              </w:rPr>
              <w:t>Broj programa</w:t>
            </w:r>
          </w:p>
        </w:tc>
        <w:tc>
          <w:tcPr>
            <w:tcW w:w="1020" w:type="dxa"/>
          </w:tcPr>
          <w:p w:rsidR="005C2091" w:rsidRDefault="00A86293">
            <w:pPr>
              <w:pStyle w:val="CellColumn"/>
              <w:jc w:val="right"/>
            </w:pPr>
            <w:r>
              <w:rPr>
                <w:rFonts w:cs="Times New Roman"/>
              </w:rPr>
              <w:t>4</w:t>
            </w:r>
          </w:p>
        </w:tc>
        <w:tc>
          <w:tcPr>
            <w:tcW w:w="1020" w:type="dxa"/>
          </w:tcPr>
          <w:p w:rsidR="005C2091" w:rsidRDefault="00A86293">
            <w:pPr>
              <w:pStyle w:val="CellColumn"/>
              <w:jc w:val="right"/>
            </w:pPr>
            <w:r>
              <w:rPr>
                <w:rFonts w:cs="Times New Roman"/>
              </w:rPr>
              <w:t>Savjetodavna služba i Ministarstvo poljoprivrede</w:t>
            </w:r>
          </w:p>
        </w:tc>
        <w:tc>
          <w:tcPr>
            <w:tcW w:w="1020" w:type="dxa"/>
          </w:tcPr>
          <w:p w:rsidR="005C2091" w:rsidRDefault="00A86293">
            <w:pPr>
              <w:pStyle w:val="CellColumn"/>
              <w:jc w:val="right"/>
            </w:pPr>
            <w:r>
              <w:rPr>
                <w:rFonts w:cs="Times New Roman"/>
              </w:rPr>
              <w:t>28</w:t>
            </w:r>
          </w:p>
        </w:tc>
        <w:tc>
          <w:tcPr>
            <w:tcW w:w="1020" w:type="dxa"/>
          </w:tcPr>
          <w:p w:rsidR="005C2091" w:rsidRDefault="00A86293">
            <w:pPr>
              <w:pStyle w:val="CellColumn"/>
              <w:jc w:val="right"/>
            </w:pPr>
            <w:r>
              <w:rPr>
                <w:rFonts w:cs="Times New Roman"/>
              </w:rPr>
              <w:t>27</w:t>
            </w:r>
          </w:p>
        </w:tc>
      </w:tr>
      <w:tr w:rsidR="005C2091">
        <w:trPr>
          <w:jc w:val="center"/>
        </w:trPr>
        <w:tc>
          <w:tcPr>
            <w:tcW w:w="2551" w:type="dxa"/>
          </w:tcPr>
          <w:p w:rsidR="005C2091" w:rsidRDefault="00A86293">
            <w:pPr>
              <w:pStyle w:val="CellColumn"/>
              <w:jc w:val="left"/>
            </w:pPr>
            <w:r>
              <w:rPr>
                <w:rFonts w:cs="Times New Roman"/>
              </w:rPr>
              <w:t>Organiziranje i izvođenje obrazovanja</w:t>
            </w:r>
          </w:p>
        </w:tc>
        <w:tc>
          <w:tcPr>
            <w:tcW w:w="2551" w:type="dxa"/>
          </w:tcPr>
          <w:p w:rsidR="005C2091" w:rsidRDefault="00A86293">
            <w:pPr>
              <w:pStyle w:val="CellColumn"/>
              <w:jc w:val="left"/>
            </w:pPr>
            <w:r>
              <w:rPr>
                <w:rFonts w:cs="Times New Roman"/>
              </w:rPr>
              <w:t>Organiziranje i izvođenje obrazovanja i osposobljavanja iz područja poljoprivrede, ribarstva, ruralnog razvoja i šumarstva</w:t>
            </w:r>
          </w:p>
        </w:tc>
        <w:tc>
          <w:tcPr>
            <w:tcW w:w="1020" w:type="dxa"/>
          </w:tcPr>
          <w:p w:rsidR="005C2091" w:rsidRDefault="00A86293">
            <w:pPr>
              <w:pStyle w:val="CellColumn"/>
              <w:jc w:val="right"/>
            </w:pPr>
            <w:r>
              <w:rPr>
                <w:rFonts w:cs="Times New Roman"/>
              </w:rPr>
              <w:t>Broj korisnika po godini</w:t>
            </w:r>
          </w:p>
        </w:tc>
        <w:tc>
          <w:tcPr>
            <w:tcW w:w="1020" w:type="dxa"/>
          </w:tcPr>
          <w:p w:rsidR="005C2091" w:rsidRDefault="00A86293">
            <w:pPr>
              <w:pStyle w:val="CellColumn"/>
              <w:jc w:val="right"/>
            </w:pPr>
            <w:r>
              <w:rPr>
                <w:rFonts w:cs="Times New Roman"/>
              </w:rPr>
              <w:t>21.500</w:t>
            </w:r>
          </w:p>
        </w:tc>
        <w:tc>
          <w:tcPr>
            <w:tcW w:w="1020" w:type="dxa"/>
          </w:tcPr>
          <w:p w:rsidR="005C2091" w:rsidRDefault="00A86293">
            <w:pPr>
              <w:pStyle w:val="CellColumn"/>
              <w:jc w:val="right"/>
            </w:pPr>
            <w:r>
              <w:rPr>
                <w:rFonts w:cs="Times New Roman"/>
              </w:rPr>
              <w:t>Savjetodavna služba i Ministarstvo poljoprivrede</w:t>
            </w:r>
          </w:p>
        </w:tc>
        <w:tc>
          <w:tcPr>
            <w:tcW w:w="1020" w:type="dxa"/>
          </w:tcPr>
          <w:p w:rsidR="005C2091" w:rsidRDefault="00A86293">
            <w:pPr>
              <w:pStyle w:val="CellColumn"/>
              <w:jc w:val="right"/>
            </w:pPr>
            <w:r>
              <w:rPr>
                <w:rFonts w:cs="Times New Roman"/>
              </w:rPr>
              <w:t>26.000</w:t>
            </w:r>
          </w:p>
        </w:tc>
        <w:tc>
          <w:tcPr>
            <w:tcW w:w="1020" w:type="dxa"/>
          </w:tcPr>
          <w:p w:rsidR="005C2091" w:rsidRDefault="00A86293">
            <w:pPr>
              <w:pStyle w:val="CellColumn"/>
              <w:jc w:val="right"/>
            </w:pPr>
            <w:r>
              <w:rPr>
                <w:rFonts w:cs="Times New Roman"/>
              </w:rPr>
              <w:t>25.984</w:t>
            </w:r>
          </w:p>
        </w:tc>
      </w:tr>
    </w:tbl>
    <w:p w:rsidR="005C2091" w:rsidRDefault="005C2091">
      <w:pPr>
        <w:jc w:val="left"/>
      </w:pPr>
    </w:p>
    <w:p w:rsidR="005C2091" w:rsidRDefault="00A86293">
      <w:pPr>
        <w:pStyle w:val="Heading4"/>
      </w:pPr>
      <w:r>
        <w:t>A865001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A865001-ADMINISTRACIJA I UPRAVLJANJE</w:t>
            </w:r>
          </w:p>
        </w:tc>
        <w:tc>
          <w:tcPr>
            <w:tcW w:w="2041" w:type="dxa"/>
          </w:tcPr>
          <w:p w:rsidR="005C2091" w:rsidRDefault="00A86293">
            <w:pPr>
              <w:pStyle w:val="CellColumn"/>
              <w:jc w:val="right"/>
            </w:pPr>
            <w:r>
              <w:rPr>
                <w:rFonts w:cs="Times New Roman"/>
              </w:rPr>
              <w:t>38.464.267</w:t>
            </w:r>
          </w:p>
        </w:tc>
        <w:tc>
          <w:tcPr>
            <w:tcW w:w="2041" w:type="dxa"/>
          </w:tcPr>
          <w:p w:rsidR="005C2091" w:rsidRDefault="00A86293">
            <w:pPr>
              <w:pStyle w:val="CellColumn"/>
              <w:jc w:val="right"/>
            </w:pPr>
            <w:r>
              <w:rPr>
                <w:rFonts w:cs="Times New Roman"/>
              </w:rPr>
              <w:t>31.548.600</w:t>
            </w:r>
          </w:p>
        </w:tc>
        <w:tc>
          <w:tcPr>
            <w:tcW w:w="2041" w:type="dxa"/>
          </w:tcPr>
          <w:p w:rsidR="005C2091" w:rsidRDefault="00A86293">
            <w:pPr>
              <w:pStyle w:val="CellColumn"/>
              <w:jc w:val="right"/>
            </w:pPr>
            <w:r>
              <w:rPr>
                <w:rFonts w:cs="Times New Roman"/>
              </w:rPr>
              <w:t>31.201.710</w:t>
            </w:r>
          </w:p>
        </w:tc>
        <w:tc>
          <w:tcPr>
            <w:tcW w:w="1224" w:type="dxa"/>
          </w:tcPr>
          <w:p w:rsidR="005C2091" w:rsidRDefault="00A86293">
            <w:pPr>
              <w:pStyle w:val="CellColumn"/>
              <w:jc w:val="right"/>
            </w:pPr>
            <w:r>
              <w:rPr>
                <w:rFonts w:cs="Times New Roman"/>
              </w:rPr>
              <w:t>98,9</w:t>
            </w:r>
          </w:p>
        </w:tc>
        <w:tc>
          <w:tcPr>
            <w:tcW w:w="1224" w:type="dxa"/>
          </w:tcPr>
          <w:p w:rsidR="005C2091" w:rsidRDefault="00A86293">
            <w:pPr>
              <w:pStyle w:val="CellColumn"/>
              <w:jc w:val="right"/>
            </w:pPr>
            <w:r>
              <w:rPr>
                <w:rFonts w:cs="Times New Roman"/>
              </w:rPr>
              <w:t>81,1</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Savjetodavnoj službi (“Narodne novine” br. 50/12 i 148/13) </w:t>
      </w:r>
    </w:p>
    <w:p w:rsidR="005C2091" w:rsidRDefault="00A86293">
      <w:r>
        <w:t xml:space="preserve">Zakon o poljoprivredi (“Narodne novine” br. 30/15) </w:t>
      </w:r>
    </w:p>
    <w:p w:rsidR="005C2091" w:rsidRDefault="00A86293">
      <w:r>
        <w:t xml:space="preserve">Zakon o morskom ribarstvu (“Narodne novine” br. 81/13, 14/14 i 152/14) </w:t>
      </w:r>
    </w:p>
    <w:p w:rsidR="005C2091" w:rsidRDefault="00A86293">
      <w:r>
        <w:t xml:space="preserve">Pravilnik o višestrukoj sukladnosti (“Narodne novine” br. 32/15 i 45/16) </w:t>
      </w:r>
    </w:p>
    <w:p w:rsidR="005C2091" w:rsidRDefault="00A86293">
      <w:r>
        <w:t xml:space="preserve">Pravilnik o sustavu savjetovanja poljoprivrednika vezano za višestruku sukladnost (“Narodne novine” br. 22/10) </w:t>
      </w:r>
    </w:p>
    <w:p w:rsidR="005C2091" w:rsidRDefault="00A86293">
      <w:r>
        <w:t xml:space="preserve">Pravilnik o integriranoj proizvodnji poljoprivrednih proizvoda (“Narodne novine” br. 137/12 i 59/14) </w:t>
      </w:r>
    </w:p>
    <w:p w:rsidR="005C2091" w:rsidRDefault="00A86293">
      <w:r>
        <w:t xml:space="preserve">UREDBA (EU) br. 1307/2013 EUROPSKOG PARLAMENTA I VIJEĆA od 17. prosinca 2013. o utvrđivanju pravila za izravna plaćanja poljoprivrednicima u programima potpore u okviru zajedničke poljoprivredne politike i o stavljanju izvan snage Uredbe Vijeća (EZ) br. 637/2008 i Uredbe Vijeća (EZ) br. 73/2009 </w:t>
      </w:r>
    </w:p>
    <w:p w:rsidR="005C2091" w:rsidRDefault="00A86293">
      <w:r>
        <w:t>Pravilnik o provedbi izravne potpore poljoprivredi i IAKS mjera ruralnog razvoja za 2016. („Narodne novine“ br. 20/16, 39/16 i 91/16)</w:t>
      </w:r>
    </w:p>
    <w:p w:rsidR="005C2091" w:rsidRDefault="00A86293">
      <w:pPr>
        <w:pStyle w:val="Heading8"/>
        <w:jc w:val="left"/>
      </w:pPr>
      <w:r>
        <w:t>Opis aktivnosti</w:t>
      </w:r>
    </w:p>
    <w:p w:rsidR="005C2091" w:rsidRDefault="00A86293">
      <w:r>
        <w:t xml:space="preserve">U sklopu terenskog stručnog rada tijekom godine ostvarena je aktivna suradnja sa 17.522 PG-a, prosječno 97 po djelatniku.  </w:t>
      </w:r>
    </w:p>
    <w:p w:rsidR="005C2091" w:rsidRDefault="00A86293">
      <w:r>
        <w:t xml:space="preserve">U okviru stručnog rada i korištenja grupnih metoda rada ostvareno je 2.838 aktivnosti, što prosječno iznosi 16 po djelatniku.  </w:t>
      </w:r>
    </w:p>
    <w:p w:rsidR="005C2091" w:rsidRDefault="00A86293">
      <w:r>
        <w:t xml:space="preserve">Savjetodavna služba je sudjelovala u informiranju putem različitih medija kroz 2.550 različitih stručnih priloga ili prosječno 14 po djelatniku. </w:t>
      </w:r>
    </w:p>
    <w:p w:rsidR="005C2091" w:rsidRDefault="00A86293">
      <w:r>
        <w:t>Za redovito poslovanje i obavljanje poljoprivredne savjetodavne djelatnosti u Službi kroz navedenu aktivnost financirani su troškovi ukupnih rashoda za zaposlene, službenih putovanja, stručnog usavršavanja, korištenja privatnih automobila u službene svrhe, korištenja usluga i dobara, nabave neproizvedene i proizvedene dugotrajne imovine.</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282"/>
        <w:gridCol w:w="2330"/>
        <w:gridCol w:w="1414"/>
        <w:gridCol w:w="995"/>
        <w:gridCol w:w="1192"/>
        <w:gridCol w:w="995"/>
        <w:gridCol w:w="998"/>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Individualno savjetovanje i sustavno praćenje PG-a, subjekata u ribarstvu i šumoposjednika</w:t>
            </w:r>
          </w:p>
        </w:tc>
        <w:tc>
          <w:tcPr>
            <w:tcW w:w="2551" w:type="dxa"/>
          </w:tcPr>
          <w:p w:rsidR="005C2091" w:rsidRDefault="00A86293">
            <w:pPr>
              <w:pStyle w:val="CellColumn"/>
              <w:jc w:val="left"/>
            </w:pPr>
            <w:r>
              <w:rPr>
                <w:rFonts w:cs="Times New Roman"/>
              </w:rPr>
              <w:t>Savjetnik izravnim kontaktom pomaže u tehničko-tehnološkom unaprjeđenju i ostvarivanju veće dobiti poljoprivrednih gospodarstava, subjekata u ribarstvu i šumoposjednika što predstavlja intenzivan rad s poljoprivrednim gospodarstvima, subjektima u ribarstvu i šumoposjednicima</w:t>
            </w:r>
          </w:p>
        </w:tc>
        <w:tc>
          <w:tcPr>
            <w:tcW w:w="1020" w:type="dxa"/>
          </w:tcPr>
          <w:p w:rsidR="005C2091" w:rsidRDefault="00A86293">
            <w:pPr>
              <w:pStyle w:val="CellColumn"/>
              <w:jc w:val="right"/>
            </w:pPr>
            <w:r>
              <w:rPr>
                <w:rFonts w:cs="Times New Roman"/>
              </w:rPr>
              <w:t>Broj PG-a, subjekata u ribarstvu i šumoposjednika po djelatniku</w:t>
            </w:r>
          </w:p>
        </w:tc>
        <w:tc>
          <w:tcPr>
            <w:tcW w:w="1020" w:type="dxa"/>
          </w:tcPr>
          <w:p w:rsidR="005C2091" w:rsidRDefault="00A86293">
            <w:pPr>
              <w:pStyle w:val="CellColumn"/>
              <w:jc w:val="right"/>
            </w:pPr>
            <w:r>
              <w:rPr>
                <w:rFonts w:cs="Times New Roman"/>
              </w:rPr>
              <w:t>92</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100</w:t>
            </w:r>
          </w:p>
        </w:tc>
        <w:tc>
          <w:tcPr>
            <w:tcW w:w="1020" w:type="dxa"/>
          </w:tcPr>
          <w:p w:rsidR="005C2091" w:rsidRDefault="00A86293">
            <w:pPr>
              <w:pStyle w:val="CellColumn"/>
              <w:jc w:val="right"/>
            </w:pPr>
            <w:r>
              <w:rPr>
                <w:rFonts w:cs="Times New Roman"/>
              </w:rPr>
              <w:t>97</w:t>
            </w:r>
          </w:p>
        </w:tc>
      </w:tr>
      <w:tr w:rsidR="005C2091">
        <w:trPr>
          <w:jc w:val="center"/>
        </w:trPr>
        <w:tc>
          <w:tcPr>
            <w:tcW w:w="2551" w:type="dxa"/>
          </w:tcPr>
          <w:p w:rsidR="005C2091" w:rsidRDefault="00A86293">
            <w:pPr>
              <w:pStyle w:val="CellColumn"/>
              <w:jc w:val="left"/>
            </w:pPr>
            <w:r>
              <w:rPr>
                <w:rFonts w:cs="Times New Roman"/>
              </w:rPr>
              <w:t>Savjeti putem masovnih medija</w:t>
            </w:r>
          </w:p>
        </w:tc>
        <w:tc>
          <w:tcPr>
            <w:tcW w:w="2551" w:type="dxa"/>
          </w:tcPr>
          <w:p w:rsidR="005C2091" w:rsidRDefault="00A86293">
            <w:pPr>
              <w:pStyle w:val="CellColumn"/>
              <w:jc w:val="left"/>
            </w:pPr>
            <w:r>
              <w:rPr>
                <w:rFonts w:cs="Times New Roman"/>
              </w:rPr>
              <w:t>Savjetnik putem različitih medija prenosi znanje i vještine te pomaže u tehničko-tehnološkom unaprjeđenju i ostvarivanju veće dobiti poljoprivrednih gospodarstva, subjekata u ribarstvu i šumoposjednika</w:t>
            </w:r>
          </w:p>
        </w:tc>
        <w:tc>
          <w:tcPr>
            <w:tcW w:w="1020" w:type="dxa"/>
          </w:tcPr>
          <w:p w:rsidR="005C2091" w:rsidRDefault="00A86293">
            <w:pPr>
              <w:pStyle w:val="CellColumn"/>
              <w:jc w:val="right"/>
            </w:pPr>
            <w:r>
              <w:rPr>
                <w:rFonts w:cs="Times New Roman"/>
              </w:rPr>
              <w:t>Broj savjeta po djelatniku</w:t>
            </w:r>
          </w:p>
        </w:tc>
        <w:tc>
          <w:tcPr>
            <w:tcW w:w="1020" w:type="dxa"/>
          </w:tcPr>
          <w:p w:rsidR="005C2091" w:rsidRDefault="00A86293">
            <w:pPr>
              <w:pStyle w:val="CellColumn"/>
              <w:jc w:val="right"/>
            </w:pPr>
            <w:r>
              <w:rPr>
                <w:rFonts w:cs="Times New Roman"/>
              </w:rPr>
              <w:t>12</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14</w:t>
            </w:r>
          </w:p>
        </w:tc>
      </w:tr>
      <w:tr w:rsidR="005C2091">
        <w:trPr>
          <w:jc w:val="center"/>
        </w:trPr>
        <w:tc>
          <w:tcPr>
            <w:tcW w:w="2551" w:type="dxa"/>
          </w:tcPr>
          <w:p w:rsidR="005C2091" w:rsidRDefault="00A86293">
            <w:pPr>
              <w:pStyle w:val="CellColumn"/>
              <w:jc w:val="left"/>
            </w:pPr>
            <w:r>
              <w:rPr>
                <w:rFonts w:cs="Times New Roman"/>
              </w:rPr>
              <w:t>Skupne metode savjetovanja</w:t>
            </w:r>
          </w:p>
        </w:tc>
        <w:tc>
          <w:tcPr>
            <w:tcW w:w="2551" w:type="dxa"/>
          </w:tcPr>
          <w:p w:rsidR="005C2091" w:rsidRDefault="00A86293">
            <w:pPr>
              <w:pStyle w:val="CellColumn"/>
              <w:jc w:val="left"/>
            </w:pPr>
            <w:r>
              <w:rPr>
                <w:rFonts w:cs="Times New Roman"/>
              </w:rPr>
              <w:t>Savjetnik skupini korisnika odjednom prenosi znanje i vještine te pomaže u tehničko-tehnološkom unaprjeđenju i ostvarivanju veće dobiti poljoprivrednih gospodarstva, subjekata u ribarstvu i šumoposjednika</w:t>
            </w:r>
          </w:p>
        </w:tc>
        <w:tc>
          <w:tcPr>
            <w:tcW w:w="1020" w:type="dxa"/>
          </w:tcPr>
          <w:p w:rsidR="005C2091" w:rsidRDefault="00A86293">
            <w:pPr>
              <w:pStyle w:val="CellColumn"/>
              <w:jc w:val="right"/>
            </w:pPr>
            <w:r>
              <w:rPr>
                <w:rFonts w:cs="Times New Roman"/>
              </w:rPr>
              <w:t>Broj savjetovanja po djelatniku</w:t>
            </w:r>
          </w:p>
        </w:tc>
        <w:tc>
          <w:tcPr>
            <w:tcW w:w="1020" w:type="dxa"/>
          </w:tcPr>
          <w:p w:rsidR="005C2091" w:rsidRDefault="00A86293">
            <w:pPr>
              <w:pStyle w:val="CellColumn"/>
              <w:jc w:val="right"/>
            </w:pPr>
            <w:r>
              <w:rPr>
                <w:rFonts w:cs="Times New Roman"/>
              </w:rPr>
              <w:t>10</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15</w:t>
            </w:r>
          </w:p>
        </w:tc>
        <w:tc>
          <w:tcPr>
            <w:tcW w:w="1020" w:type="dxa"/>
          </w:tcPr>
          <w:p w:rsidR="005C2091" w:rsidRDefault="00A86293">
            <w:pPr>
              <w:pStyle w:val="CellColumn"/>
              <w:jc w:val="right"/>
            </w:pPr>
            <w:r>
              <w:rPr>
                <w:rFonts w:cs="Times New Roman"/>
              </w:rPr>
              <w:t>16</w:t>
            </w:r>
          </w:p>
        </w:tc>
      </w:tr>
    </w:tbl>
    <w:p w:rsidR="005C2091" w:rsidRDefault="005C2091">
      <w:pPr>
        <w:jc w:val="left"/>
      </w:pPr>
    </w:p>
    <w:p w:rsidR="005C2091" w:rsidRDefault="00A86293">
      <w:pPr>
        <w:pStyle w:val="Heading3"/>
      </w:pPr>
      <w:r>
        <w:rPr>
          <w:rFonts w:cs="Times New Roman"/>
        </w:rPr>
        <w:t>3002 POLJOPRIVREDA</w:t>
      </w:r>
    </w:p>
    <w:tbl>
      <w:tblPr>
        <w:tblStyle w:val="StilTablice"/>
        <w:tblW w:w="10206" w:type="dxa"/>
        <w:jc w:val="center"/>
        <w:tblLook w:val="04A0" w:firstRow="1" w:lastRow="0" w:firstColumn="1" w:lastColumn="0" w:noHBand="0" w:noVBand="1"/>
      </w:tblPr>
      <w:tblGrid>
        <w:gridCol w:w="1715"/>
        <w:gridCol w:w="2016"/>
        <w:gridCol w:w="2018"/>
        <w:gridCol w:w="2017"/>
        <w:gridCol w:w="1219"/>
        <w:gridCol w:w="1221"/>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3002-POLJOPRIVREDA</w:t>
            </w:r>
          </w:p>
        </w:tc>
        <w:tc>
          <w:tcPr>
            <w:tcW w:w="2041" w:type="dxa"/>
          </w:tcPr>
          <w:p w:rsidR="005C2091" w:rsidRDefault="00A86293">
            <w:pPr>
              <w:pStyle w:val="CellColumn"/>
              <w:jc w:val="right"/>
            </w:pPr>
            <w:r>
              <w:rPr>
                <w:rFonts w:cs="Times New Roman"/>
              </w:rPr>
              <w:t>964.888</w:t>
            </w:r>
          </w:p>
        </w:tc>
        <w:tc>
          <w:tcPr>
            <w:tcW w:w="2041" w:type="dxa"/>
          </w:tcPr>
          <w:p w:rsidR="005C2091" w:rsidRDefault="00A86293">
            <w:pPr>
              <w:pStyle w:val="CellColumn"/>
              <w:jc w:val="right"/>
            </w:pPr>
            <w:r>
              <w:rPr>
                <w:rFonts w:cs="Times New Roman"/>
              </w:rPr>
              <w:t>1.042.000</w:t>
            </w:r>
          </w:p>
        </w:tc>
        <w:tc>
          <w:tcPr>
            <w:tcW w:w="2041" w:type="dxa"/>
          </w:tcPr>
          <w:p w:rsidR="005C2091" w:rsidRDefault="00A86293">
            <w:pPr>
              <w:pStyle w:val="CellColumn"/>
              <w:jc w:val="right"/>
            </w:pPr>
            <w:r>
              <w:rPr>
                <w:rFonts w:cs="Times New Roman"/>
              </w:rPr>
              <w:t>842.826</w:t>
            </w:r>
          </w:p>
        </w:tc>
        <w:tc>
          <w:tcPr>
            <w:tcW w:w="1224" w:type="dxa"/>
          </w:tcPr>
          <w:p w:rsidR="005C2091" w:rsidRDefault="00A86293">
            <w:pPr>
              <w:pStyle w:val="CellColumn"/>
              <w:jc w:val="right"/>
            </w:pPr>
            <w:r>
              <w:rPr>
                <w:rFonts w:cs="Times New Roman"/>
              </w:rPr>
              <w:t>80,9</w:t>
            </w:r>
          </w:p>
        </w:tc>
        <w:tc>
          <w:tcPr>
            <w:tcW w:w="1224" w:type="dxa"/>
          </w:tcPr>
          <w:p w:rsidR="005C2091" w:rsidRDefault="00A86293">
            <w:pPr>
              <w:pStyle w:val="CellColumn"/>
              <w:jc w:val="right"/>
            </w:pPr>
            <w:r>
              <w:rPr>
                <w:rFonts w:cs="Times New Roman"/>
              </w:rPr>
              <w:t>87,3</w:t>
            </w:r>
          </w:p>
        </w:tc>
      </w:tr>
    </w:tbl>
    <w:p w:rsidR="005C2091" w:rsidRDefault="005C2091">
      <w:pPr>
        <w:jc w:val="left"/>
      </w:pPr>
    </w:p>
    <w:p w:rsidR="005C2091" w:rsidRDefault="00A86293">
      <w:r>
        <w:t>Ovim programom su obuhvaćene aktivnosti provođenja sustava poljoprivrednih knjigovodstvenih podataka – FADN (Engl. Farm Accountancy Data Network). Podaci koji se prikupljaju godišnjim FADN istraživanjem kontroliraju se i obrađuju sukladno propisanoj metodologiji, u svrhu izrade agregiranih podataka i individualnih rezultata FADN istraživanja te analiza podataka i diseminacija rezultata.</w:t>
      </w:r>
    </w:p>
    <w:p w:rsidR="005C2091" w:rsidRDefault="00A86293">
      <w:pPr>
        <w:pStyle w:val="Heading8"/>
        <w:jc w:val="left"/>
      </w:pPr>
      <w:r>
        <w:t>Cilj 1. Provođenje godišnjeg FADN istraživanja</w:t>
      </w:r>
    </w:p>
    <w:p w:rsidR="005C2091" w:rsidRDefault="00A86293">
      <w:pPr>
        <w:pStyle w:val="Heading8"/>
        <w:jc w:val="left"/>
      </w:pPr>
      <w:r>
        <w:t>Opis provedbe cilja programa</w:t>
      </w:r>
    </w:p>
    <w:p w:rsidR="005C2091" w:rsidRDefault="00A86293">
      <w:r>
        <w:t xml:space="preserve">Sukladno Pravilniku o provedbi sustava poljoprivrednih knjigovodstvenih podataka Služba je u svojstvu FADN agencije organizirala i provela godišnje FADN istraživanje na uzorku od 1.389 poljoprivrednih gospodarstava prema propisanoj metodologiji, koje je provodilo 58 službenika – terenskih savjetnika Službe. </w:t>
      </w:r>
    </w:p>
    <w:p w:rsidR="005C2091" w:rsidRDefault="00A86293">
      <w:r>
        <w:t xml:space="preserve">Prikupljeni strukturni, proizvodni, ekonomski i financijski podaci sustavno su kontrolirani, obrađeni i verificirani (RICA-1), izrađena su i dostavljena individualna izvješća za 1.337 poljoprivredno gospodarstvo za 2015. računovodstvenu godinu, te su izrađeni i na mrežnoj stranici www.fadn.hr javno objavljeni unaprijed definirani agregirani rezultati (tzv. Standardni rezultati 2015).  </w:t>
      </w:r>
    </w:p>
    <w:p w:rsidR="005C2091" w:rsidRDefault="00A86293">
      <w:r>
        <w:t>Najvažniji cilj u 2016. godini bila je dostava seta podataka u propisanoj formi izvješća (tzv. Farm Return) nadležnom tijelu Europske komisije prikupljenih na reprezentativnom uzorku poljoprivrednih gospodarstava za računovodstvenu 2015. godinu. Obzirom da je tijekom istraživanja od 1.389 odustalo 52 poljoprivredna gospodarstva, dok je 49 poljoprivrednih gospodarstava bilo ispod praga ekonomske veličine, konačni set podataka za dostavu EK činilo je 1.288 poljoprivrednih gospodarstava sukladno Selekcijskom planu 2015.</w:t>
      </w:r>
    </w:p>
    <w:p w:rsidR="005C2091" w:rsidRDefault="00A86293">
      <w:pPr>
        <w:pStyle w:val="Heading4"/>
      </w:pPr>
      <w:r>
        <w:t>A865002 PROVEDBA GODIŠNJIH FADN ISTRAŽIVANJA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A865002-PROVEDBA GODIŠNJIH FADN ISTRAŽIVANJA</w:t>
            </w:r>
          </w:p>
        </w:tc>
        <w:tc>
          <w:tcPr>
            <w:tcW w:w="2041" w:type="dxa"/>
          </w:tcPr>
          <w:p w:rsidR="005C2091" w:rsidRDefault="00A86293">
            <w:pPr>
              <w:pStyle w:val="CellColumn"/>
              <w:jc w:val="right"/>
            </w:pPr>
            <w:r>
              <w:rPr>
                <w:rFonts w:cs="Times New Roman"/>
              </w:rPr>
              <w:t>964.888</w:t>
            </w:r>
          </w:p>
        </w:tc>
        <w:tc>
          <w:tcPr>
            <w:tcW w:w="2041" w:type="dxa"/>
          </w:tcPr>
          <w:p w:rsidR="005C2091" w:rsidRDefault="00A86293">
            <w:pPr>
              <w:pStyle w:val="CellColumn"/>
              <w:jc w:val="right"/>
            </w:pPr>
            <w:r>
              <w:rPr>
                <w:rFonts w:cs="Times New Roman"/>
              </w:rPr>
              <w:t>1.042.000</w:t>
            </w:r>
          </w:p>
        </w:tc>
        <w:tc>
          <w:tcPr>
            <w:tcW w:w="2041" w:type="dxa"/>
          </w:tcPr>
          <w:p w:rsidR="005C2091" w:rsidRDefault="00A86293">
            <w:pPr>
              <w:pStyle w:val="CellColumn"/>
              <w:jc w:val="right"/>
            </w:pPr>
            <w:r>
              <w:rPr>
                <w:rFonts w:cs="Times New Roman"/>
              </w:rPr>
              <w:t>842.826</w:t>
            </w:r>
          </w:p>
        </w:tc>
        <w:tc>
          <w:tcPr>
            <w:tcW w:w="1224" w:type="dxa"/>
          </w:tcPr>
          <w:p w:rsidR="005C2091" w:rsidRDefault="00A86293">
            <w:pPr>
              <w:pStyle w:val="CellColumn"/>
              <w:jc w:val="right"/>
            </w:pPr>
            <w:r>
              <w:rPr>
                <w:rFonts w:cs="Times New Roman"/>
              </w:rPr>
              <w:t>80,9</w:t>
            </w:r>
          </w:p>
        </w:tc>
        <w:tc>
          <w:tcPr>
            <w:tcW w:w="1224" w:type="dxa"/>
          </w:tcPr>
          <w:p w:rsidR="005C2091" w:rsidRDefault="00A86293">
            <w:pPr>
              <w:pStyle w:val="CellColumn"/>
              <w:jc w:val="right"/>
            </w:pPr>
            <w:r>
              <w:rPr>
                <w:rFonts w:cs="Times New Roman"/>
              </w:rPr>
              <w:t>87,3</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provedbi sustava poljoprivrednih knjigovodstvenih podataka (“Narodne novine” br. 70/15) </w:t>
      </w:r>
    </w:p>
    <w:p w:rsidR="005C2091" w:rsidRDefault="00A86293">
      <w:r>
        <w:t>Sporazum o preraspodjeli doznačenih sredstava Europske Komisije namijenjenih razvoju sustava poljoprivrednih knjigovodstvenih podataka (FADN)</w:t>
      </w:r>
    </w:p>
    <w:p w:rsidR="005C2091" w:rsidRDefault="00A86293">
      <w:pPr>
        <w:pStyle w:val="Heading8"/>
        <w:jc w:val="left"/>
      </w:pPr>
      <w:r>
        <w:t>Opis aktivnosti</w:t>
      </w:r>
    </w:p>
    <w:p w:rsidR="005C2091" w:rsidRDefault="00A86293">
      <w:r>
        <w:t xml:space="preserve">Pomoć s osnove standardne naknade koju Europska Komisija plaća državama članicama sukladno Provedbenoj Uredbi Komisije br. 220/2015. se sukladno Sporazumu o preraspodjeli doznačenih sredstava Europske Komisije namijenjenih razvoju sustava poljoprivrednih knjigovodstvenih podataka (FADN) zaključenim s Ministarstvom poljoprivrede, koristi za podmirivanje rashoda koji se odnose na organizaciju rada FADN sustava i nabavu nefinancijske imovine vezane za daljnji razvoj FADN sustava. </w:t>
      </w:r>
    </w:p>
    <w:p w:rsidR="005C2091" w:rsidRDefault="00A86293">
      <w:r>
        <w:t xml:space="preserve">Za provedbu godišnjih FADN istraživanja u Službi kroz navedenu aktivnost financirani su troškovi službenih putovanja, stručnog usavršavanja, korištenja privatnih automobila u službene svrhe, rashodi za materijal i energiju, rashodi za usluge i nabavu nefinancijske imovine. U 2016. godini nije realizirana planirana nabava službene radne odjeće i obuće za djelatnike koji provode istraživanja te će se navedeno realizirati u 2017. godini. </w:t>
      </w:r>
    </w:p>
    <w:p w:rsidR="005C2091" w:rsidRDefault="00A86293">
      <w:r>
        <w:t>.</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87"/>
        <w:gridCol w:w="2478"/>
        <w:gridCol w:w="1006"/>
        <w:gridCol w:w="1014"/>
        <w:gridCol w:w="1192"/>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Povećanje uzorka poljoprivrednih gospodarstava</w:t>
            </w:r>
          </w:p>
        </w:tc>
        <w:tc>
          <w:tcPr>
            <w:tcW w:w="2551" w:type="dxa"/>
          </w:tcPr>
          <w:p w:rsidR="005C2091" w:rsidRDefault="00A86293">
            <w:pPr>
              <w:pStyle w:val="CellColumn"/>
              <w:jc w:val="left"/>
            </w:pPr>
            <w:r>
              <w:rPr>
                <w:rFonts w:cs="Times New Roman"/>
              </w:rPr>
              <w:t>Poboljšanje statističkih podataka dobivenih godišnjim FADN istraživanjem</w:t>
            </w:r>
          </w:p>
        </w:tc>
        <w:tc>
          <w:tcPr>
            <w:tcW w:w="1020" w:type="dxa"/>
          </w:tcPr>
          <w:p w:rsidR="005C2091" w:rsidRDefault="00A86293">
            <w:pPr>
              <w:pStyle w:val="CellColumn"/>
              <w:jc w:val="right"/>
            </w:pPr>
            <w:r>
              <w:rPr>
                <w:rFonts w:cs="Times New Roman"/>
              </w:rPr>
              <w:t>Broj PG-a</w:t>
            </w:r>
          </w:p>
        </w:tc>
        <w:tc>
          <w:tcPr>
            <w:tcW w:w="1020" w:type="dxa"/>
          </w:tcPr>
          <w:p w:rsidR="005C2091" w:rsidRDefault="00A86293">
            <w:pPr>
              <w:pStyle w:val="CellColumn"/>
              <w:jc w:val="right"/>
            </w:pPr>
            <w:r>
              <w:rPr>
                <w:rFonts w:cs="Times New Roman"/>
              </w:rPr>
              <w:t>1.251</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1.251</w:t>
            </w:r>
          </w:p>
        </w:tc>
        <w:tc>
          <w:tcPr>
            <w:tcW w:w="1020" w:type="dxa"/>
          </w:tcPr>
          <w:p w:rsidR="005C2091" w:rsidRDefault="00A86293">
            <w:pPr>
              <w:pStyle w:val="CellColumn"/>
              <w:jc w:val="right"/>
            </w:pPr>
            <w:r>
              <w:rPr>
                <w:rFonts w:cs="Times New Roman"/>
              </w:rPr>
              <w:t>1.288</w:t>
            </w:r>
          </w:p>
        </w:tc>
      </w:tr>
    </w:tbl>
    <w:p w:rsidR="005C2091" w:rsidRDefault="005C2091">
      <w:pPr>
        <w:jc w:val="left"/>
      </w:pPr>
    </w:p>
    <w:p w:rsidR="005C2091" w:rsidRDefault="00A86293">
      <w:pPr>
        <w:pStyle w:val="Heading3"/>
      </w:pPr>
      <w:r>
        <w:rPr>
          <w:rFonts w:cs="Times New Roman"/>
        </w:rPr>
        <w:t>3003 VETERINARSTVO I SIGURNOST HRANE</w:t>
      </w:r>
    </w:p>
    <w:tbl>
      <w:tblPr>
        <w:tblStyle w:val="StilTablice"/>
        <w:tblW w:w="10206" w:type="dxa"/>
        <w:jc w:val="center"/>
        <w:tblLook w:val="04A0" w:firstRow="1" w:lastRow="0" w:firstColumn="1" w:lastColumn="0" w:noHBand="0" w:noVBand="1"/>
      </w:tblPr>
      <w:tblGrid>
        <w:gridCol w:w="1770"/>
        <w:gridCol w:w="2000"/>
        <w:gridCol w:w="2001"/>
        <w:gridCol w:w="2001"/>
        <w:gridCol w:w="1215"/>
        <w:gridCol w:w="1219"/>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3003-VETERINARSTVO I SIGURNOST HRANE</w:t>
            </w:r>
          </w:p>
        </w:tc>
        <w:tc>
          <w:tcPr>
            <w:tcW w:w="2041" w:type="dxa"/>
          </w:tcPr>
          <w:p w:rsidR="005C2091" w:rsidRDefault="00A86293">
            <w:pPr>
              <w:pStyle w:val="CellColumn"/>
              <w:jc w:val="right"/>
            </w:pPr>
            <w:r>
              <w:rPr>
                <w:rFonts w:cs="Times New Roman"/>
              </w:rPr>
              <w:t>1.469.997</w:t>
            </w:r>
          </w:p>
        </w:tc>
        <w:tc>
          <w:tcPr>
            <w:tcW w:w="2041" w:type="dxa"/>
          </w:tcPr>
          <w:p w:rsidR="005C2091" w:rsidRDefault="00A86293">
            <w:pPr>
              <w:pStyle w:val="CellColumn"/>
              <w:jc w:val="right"/>
            </w:pPr>
            <w:r>
              <w:rPr>
                <w:rFonts w:cs="Times New Roman"/>
              </w:rPr>
              <w:t>4.730.000</w:t>
            </w:r>
          </w:p>
        </w:tc>
        <w:tc>
          <w:tcPr>
            <w:tcW w:w="2041" w:type="dxa"/>
          </w:tcPr>
          <w:p w:rsidR="005C2091" w:rsidRDefault="00A86293">
            <w:pPr>
              <w:pStyle w:val="CellColumn"/>
              <w:jc w:val="right"/>
            </w:pPr>
            <w:r>
              <w:rPr>
                <w:rFonts w:cs="Times New Roman"/>
              </w:rPr>
              <w:t>4.403.254</w:t>
            </w:r>
          </w:p>
        </w:tc>
        <w:tc>
          <w:tcPr>
            <w:tcW w:w="1224" w:type="dxa"/>
          </w:tcPr>
          <w:p w:rsidR="005C2091" w:rsidRDefault="00A86293">
            <w:pPr>
              <w:pStyle w:val="CellColumn"/>
              <w:jc w:val="right"/>
            </w:pPr>
            <w:r>
              <w:rPr>
                <w:rFonts w:cs="Times New Roman"/>
              </w:rPr>
              <w:t>93,1</w:t>
            </w:r>
          </w:p>
        </w:tc>
        <w:tc>
          <w:tcPr>
            <w:tcW w:w="1224" w:type="dxa"/>
          </w:tcPr>
          <w:p w:rsidR="005C2091" w:rsidRDefault="00A86293">
            <w:pPr>
              <w:pStyle w:val="CellColumn"/>
              <w:jc w:val="right"/>
            </w:pPr>
            <w:r>
              <w:rPr>
                <w:rFonts w:cs="Times New Roman"/>
              </w:rPr>
              <w:t>299,5</w:t>
            </w:r>
          </w:p>
        </w:tc>
      </w:tr>
    </w:tbl>
    <w:p w:rsidR="005C2091" w:rsidRDefault="005C2091">
      <w:pPr>
        <w:jc w:val="left"/>
      </w:pPr>
    </w:p>
    <w:p w:rsidR="005C2091" w:rsidRDefault="00A86293">
      <w:r>
        <w:t>Ovim programom su obuhvaćene aktivnosti u sklopu kojih se financira provedba Nacionalnog akcijskog plana za postizanje održive uporabe pesticida (NAP) kroz izobrazbu profesionalnih korisnika pesticida, izdavanje identifikacijskih iskaznica, izvještajno prognozne poslove i edukaciju o novim metodama i tehnikama zaštite bilja.</w:t>
      </w:r>
    </w:p>
    <w:p w:rsidR="005C2091" w:rsidRDefault="00A86293">
      <w:pPr>
        <w:pStyle w:val="Heading8"/>
        <w:jc w:val="left"/>
      </w:pPr>
      <w:r>
        <w:t>Cilj 1. Postizanje održive uporabe pesticida</w:t>
      </w:r>
    </w:p>
    <w:p w:rsidR="005C2091" w:rsidRDefault="00A86293">
      <w:pPr>
        <w:pStyle w:val="Heading8"/>
        <w:jc w:val="left"/>
      </w:pPr>
      <w:r>
        <w:t>Opis provedbe cilja programa</w:t>
      </w:r>
    </w:p>
    <w:p w:rsidR="005C2091" w:rsidRDefault="00A86293">
      <w:r>
        <w:t xml:space="preserve">Savjetodavna služba je ovlaštena za provođenje izobrazbe profesionalnih korisnika o sigurnom rukovanju s pesticidima i pravilnoj primjeni pesticida po određenim modulima, kategorijama i potkategorijama. Prema Zakonu o održivoj uporabi pesticida Služba izdaje iskaznice svim obveznicima izobrazbe i ovlaštenim predavačima. </w:t>
      </w:r>
    </w:p>
    <w:p w:rsidR="005C2091" w:rsidRDefault="00A86293">
      <w:r>
        <w:t xml:space="preserve">Tijekom godine vrlo intenzivno su na cijelom području RH organizirane i provođene izobrazbe o održivoj uporabi pesticida. Održano je 218 izobrazbi za 11.834 polaznika, prema obrazovnom programu koji je odobrilo Ministarstvo poljoprivrede, a podrazumijeva odgovarajući sadržaj, obavezni minimum od 15 školskih sati trajanja i polaganje ispita poslije izobrazbe. U provedbi je sudjelovalo 127 ovlaštenih predavača ustrojenih u županijske predavačke timove predvođene koordinatorima. Početkom 2016. godine je omogućeno preuzimanje podataka iz Fitosanitarnog informacijskog sustava Ministarstva poljoprivrede za tisak iskaznica, te je 140.000 iskaznica dostavljeno obveznicima izobrazbe koji su ostvarili pravo na izdavanje iskaznice. </w:t>
      </w:r>
    </w:p>
    <w:p w:rsidR="005C2091" w:rsidRDefault="00A86293">
      <w:r>
        <w:t xml:space="preserve">Obvezna primjena temeljnih načela integrirane zaštite bilja je uspostavljena od 1. siječnja 2014. godine temeljem odredbi Pravilnika o uspostavi akcijskog okvira za postizanje održive uporabe pesticida. Suvremena integrirana zaštita bilja se temelji na izvještajno prognoznim poslovima. Cilj izvještajno prognoznih poslova je predvidjeti jačinu pojave štetnih organizama i odrediti optimalne rokove i mjere za suzbijanje istih, kako bi se spriječile ili smanjile štete u poljoprivrednoj proizvodnji. Služba provodi izvještajno prognozne poslove na temelju prikupljenih podataka na terenu. U 2016. nabavljena je 101 agroklimatska stanica za što učinkovitije prikupljanje klimatskih podataka i davanje što kvalitetnijih preporuka za zaštitu bilja. </w:t>
      </w:r>
    </w:p>
    <w:p w:rsidR="005C2091" w:rsidRDefault="00A86293">
      <w:r>
        <w:t xml:space="preserve">Tijekom 2016. na mrežnoj stranici Službe (http://www.savjetodavna.hr) objavljene su 953 preporuke za zaštitu bilja. Kako bi bile dostupne što većem broju proizvođača na županijskoj razini preporuke su objavljivane u lokalnim medijima: 57 lokalnih radio-postaja, 20 županijskih tiskovina, 155 oglasnih ploča, 15 mrežnih portala udruga, ukupno 247 različitih medija. Preporuke za zaštitu bilja putem elektronske pošte primalo je 3.300 korisnika, koji su se registrirali putem mrežne stranice. </w:t>
      </w:r>
    </w:p>
    <w:p w:rsidR="005C2091" w:rsidRDefault="00A86293">
      <w:r>
        <w:t>I ove, kao i svih prethodnih godina, udruzi CROCPA pružena je pomoć u realizaciji projekta CROCPA EKO MODEL putem kojeg poljoprivredni proizvođači zbrinjavaju praznu ambalažu sredstava za zaštitu bilja.</w:t>
      </w:r>
    </w:p>
    <w:p w:rsidR="005C2091" w:rsidRDefault="00A86293">
      <w:pPr>
        <w:pStyle w:val="Heading4"/>
      </w:pPr>
      <w:r>
        <w:t>A865004 PROVEDBA NACIONALNOG AKCIJSKOG PLANA ZA POSTIZANJE ODRŽIVE UPORABE PESTICIDA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A865004-PROVEDBA NACIONALNOG AKCIJSKOG PLANA ZA POSTIZANJE ODRŽIVE UPORABE PESTICIDA</w:t>
            </w:r>
          </w:p>
        </w:tc>
        <w:tc>
          <w:tcPr>
            <w:tcW w:w="2041" w:type="dxa"/>
          </w:tcPr>
          <w:p w:rsidR="005C2091" w:rsidRDefault="00A86293">
            <w:pPr>
              <w:pStyle w:val="CellColumn"/>
              <w:jc w:val="right"/>
            </w:pPr>
            <w:r>
              <w:rPr>
                <w:rFonts w:cs="Times New Roman"/>
              </w:rPr>
              <w:t>1.469.997</w:t>
            </w:r>
          </w:p>
        </w:tc>
        <w:tc>
          <w:tcPr>
            <w:tcW w:w="2041" w:type="dxa"/>
          </w:tcPr>
          <w:p w:rsidR="005C2091" w:rsidRDefault="00A86293">
            <w:pPr>
              <w:pStyle w:val="CellColumn"/>
              <w:jc w:val="right"/>
            </w:pPr>
            <w:r>
              <w:rPr>
                <w:rFonts w:cs="Times New Roman"/>
              </w:rPr>
              <w:t>4.730.000</w:t>
            </w:r>
          </w:p>
        </w:tc>
        <w:tc>
          <w:tcPr>
            <w:tcW w:w="2041" w:type="dxa"/>
          </w:tcPr>
          <w:p w:rsidR="005C2091" w:rsidRDefault="00A86293">
            <w:pPr>
              <w:pStyle w:val="CellColumn"/>
              <w:jc w:val="right"/>
            </w:pPr>
            <w:r>
              <w:rPr>
                <w:rFonts w:cs="Times New Roman"/>
              </w:rPr>
              <w:t>4.403.254</w:t>
            </w:r>
          </w:p>
        </w:tc>
        <w:tc>
          <w:tcPr>
            <w:tcW w:w="1224" w:type="dxa"/>
          </w:tcPr>
          <w:p w:rsidR="005C2091" w:rsidRDefault="00A86293">
            <w:pPr>
              <w:pStyle w:val="CellColumn"/>
              <w:jc w:val="right"/>
            </w:pPr>
            <w:r>
              <w:rPr>
                <w:rFonts w:cs="Times New Roman"/>
              </w:rPr>
              <w:t>93,1</w:t>
            </w:r>
          </w:p>
        </w:tc>
        <w:tc>
          <w:tcPr>
            <w:tcW w:w="1224" w:type="dxa"/>
          </w:tcPr>
          <w:p w:rsidR="005C2091" w:rsidRDefault="00A86293">
            <w:pPr>
              <w:pStyle w:val="CellColumn"/>
              <w:jc w:val="right"/>
            </w:pPr>
            <w:r>
              <w:rPr>
                <w:rFonts w:cs="Times New Roman"/>
              </w:rPr>
              <w:t>299,5</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održivoj uporabi pesticida (“Narodne novine” br. 14/14) </w:t>
      </w:r>
    </w:p>
    <w:p w:rsidR="005C2091" w:rsidRDefault="00A86293">
      <w:r>
        <w:t xml:space="preserve">Pravilnik o uspostavi akcijskog okvira za postizanje održive uporabe pesticida (“Narodne novine” br. 142/12) </w:t>
      </w:r>
    </w:p>
    <w:p w:rsidR="005C2091" w:rsidRDefault="00A86293">
      <w:r>
        <w:t xml:space="preserve">Pravilnik o visini naknada i načinu raspodjele sredstava u postupku registracije sredstava za zaštitu bilja, ocjene aktivne tvari i izdavanja dozvola za sredstva za zaštitu bilja (“Narodne novine” br. 94/07, 36/10, 55/10 i 38/13) </w:t>
      </w:r>
    </w:p>
    <w:p w:rsidR="005C2091" w:rsidRDefault="00A86293">
      <w:r>
        <w:t>Pravilnik o visini naknada za obavljanje poslova u skladu sa Zakonom o održivoj uporabi pesticida („Narodne novine“ br. 140/14)</w:t>
      </w:r>
    </w:p>
    <w:p w:rsidR="005C2091" w:rsidRDefault="00A86293">
      <w:pPr>
        <w:pStyle w:val="Heading8"/>
        <w:jc w:val="left"/>
      </w:pPr>
      <w:r>
        <w:t>Opis aktivnosti</w:t>
      </w:r>
    </w:p>
    <w:p w:rsidR="005C2091" w:rsidRDefault="00A86293">
      <w:r>
        <w:t>Kroz navedenu aktivnost financirani su materijalni rashodi i rashodi za nabavu nefinancijske imovine vezani za provedbu Nacionalnog akcijskog plana za postizanje održive uporabe pesticida, iz ostvarenih prihoda s osnove naplaćenih naknada za izobrazbu profesionalnih korisnika, distributera i savjetnika, polaganje ispita i izdavanje iskaznice sukladno Zakonu o održivoj uporabi pesticida.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263"/>
        <w:gridCol w:w="2332"/>
        <w:gridCol w:w="1414"/>
        <w:gridCol w:w="1001"/>
        <w:gridCol w:w="1192"/>
        <w:gridCol w:w="1001"/>
        <w:gridCol w:w="1003"/>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Obveznici izobrazbe koji su ostvarili pravo na izdavanje iskaznice</w:t>
            </w:r>
          </w:p>
        </w:tc>
        <w:tc>
          <w:tcPr>
            <w:tcW w:w="2551" w:type="dxa"/>
          </w:tcPr>
          <w:p w:rsidR="005C2091" w:rsidRDefault="00A86293">
            <w:pPr>
              <w:pStyle w:val="CellColumn"/>
              <w:jc w:val="left"/>
            </w:pPr>
            <w:r>
              <w:rPr>
                <w:rFonts w:cs="Times New Roman"/>
              </w:rPr>
              <w:t>Iskaznicom se potvrđuje razina znanja za sigurno rukovanje i pravilnu primjenu pesticida</w:t>
            </w:r>
          </w:p>
        </w:tc>
        <w:tc>
          <w:tcPr>
            <w:tcW w:w="1020" w:type="dxa"/>
          </w:tcPr>
          <w:p w:rsidR="005C2091" w:rsidRDefault="00D3530B" w:rsidP="00D3530B">
            <w:pPr>
              <w:pStyle w:val="CellColumn"/>
            </w:pPr>
            <w:r>
              <w:rPr>
                <w:rFonts w:cs="Times New Roman"/>
              </w:rPr>
              <w:t xml:space="preserve">Broj </w:t>
            </w:r>
            <w:r w:rsidR="00A86293">
              <w:rPr>
                <w:rFonts w:cs="Times New Roman"/>
              </w:rPr>
              <w:t>izdanih identifikacijskih iskaznica</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150.000</w:t>
            </w:r>
          </w:p>
        </w:tc>
        <w:tc>
          <w:tcPr>
            <w:tcW w:w="1020" w:type="dxa"/>
          </w:tcPr>
          <w:p w:rsidR="005C2091" w:rsidRDefault="00A86293">
            <w:pPr>
              <w:pStyle w:val="CellColumn"/>
              <w:jc w:val="right"/>
            </w:pPr>
            <w:r>
              <w:rPr>
                <w:rFonts w:cs="Times New Roman"/>
              </w:rPr>
              <w:t>140.000</w:t>
            </w:r>
          </w:p>
        </w:tc>
      </w:tr>
      <w:tr w:rsidR="005C2091">
        <w:trPr>
          <w:jc w:val="center"/>
        </w:trPr>
        <w:tc>
          <w:tcPr>
            <w:tcW w:w="2551" w:type="dxa"/>
          </w:tcPr>
          <w:p w:rsidR="005C2091" w:rsidRDefault="00A86293">
            <w:pPr>
              <w:pStyle w:val="CellColumn"/>
              <w:jc w:val="left"/>
            </w:pPr>
            <w:r>
              <w:rPr>
                <w:rFonts w:cs="Times New Roman"/>
              </w:rPr>
              <w:t>Objavljene preporuke za zaštitu bilja</w:t>
            </w:r>
          </w:p>
        </w:tc>
        <w:tc>
          <w:tcPr>
            <w:tcW w:w="2551" w:type="dxa"/>
          </w:tcPr>
          <w:p w:rsidR="005C2091" w:rsidRDefault="00A86293">
            <w:pPr>
              <w:pStyle w:val="CellColumn"/>
              <w:jc w:val="left"/>
            </w:pPr>
            <w:r>
              <w:rPr>
                <w:rFonts w:cs="Times New Roman"/>
              </w:rPr>
              <w:t>Objavljivanjem preporuka za zaštitu bilja putem elektronskih i tiskanih medija, mrežnih stranica Službe i izravno korisnicima elektronskim putem omogućuje se pravovremeno provođenje mjera za suzbijanje štetnih organizama</w:t>
            </w:r>
          </w:p>
        </w:tc>
        <w:tc>
          <w:tcPr>
            <w:tcW w:w="1020" w:type="dxa"/>
          </w:tcPr>
          <w:p w:rsidR="005C2091" w:rsidRDefault="00A86293" w:rsidP="00D3530B">
            <w:pPr>
              <w:pStyle w:val="CellColumn"/>
            </w:pPr>
            <w:r>
              <w:rPr>
                <w:rFonts w:cs="Times New Roman"/>
              </w:rPr>
              <w:t>Broj objavljenih preporuka</w:t>
            </w:r>
          </w:p>
        </w:tc>
        <w:tc>
          <w:tcPr>
            <w:tcW w:w="1020" w:type="dxa"/>
          </w:tcPr>
          <w:p w:rsidR="005C2091" w:rsidRDefault="00A86293">
            <w:pPr>
              <w:pStyle w:val="CellColumn"/>
              <w:jc w:val="right"/>
            </w:pPr>
            <w:r>
              <w:rPr>
                <w:rFonts w:cs="Times New Roman"/>
              </w:rPr>
              <w:t>840</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900</w:t>
            </w:r>
          </w:p>
        </w:tc>
        <w:tc>
          <w:tcPr>
            <w:tcW w:w="1020" w:type="dxa"/>
          </w:tcPr>
          <w:p w:rsidR="005C2091" w:rsidRDefault="00A86293">
            <w:pPr>
              <w:pStyle w:val="CellColumn"/>
              <w:jc w:val="right"/>
            </w:pPr>
            <w:r>
              <w:rPr>
                <w:rFonts w:cs="Times New Roman"/>
              </w:rPr>
              <w:t>953</w:t>
            </w:r>
          </w:p>
        </w:tc>
      </w:tr>
    </w:tbl>
    <w:p w:rsidR="005C2091" w:rsidRDefault="005C2091">
      <w:pPr>
        <w:jc w:val="left"/>
      </w:pPr>
    </w:p>
    <w:p w:rsidR="005C2091" w:rsidRDefault="00A86293">
      <w:pPr>
        <w:pStyle w:val="Heading3"/>
      </w:pPr>
      <w:r>
        <w:rPr>
          <w:rFonts w:cs="Times New Roman"/>
        </w:rPr>
        <w:t>3004 RURALNI RAZVOJ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3004-RURALNI RAZVOJ</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9.217.752</w:t>
            </w:r>
          </w:p>
        </w:tc>
        <w:tc>
          <w:tcPr>
            <w:tcW w:w="2041" w:type="dxa"/>
          </w:tcPr>
          <w:p w:rsidR="005C2091" w:rsidRDefault="00A86293">
            <w:pPr>
              <w:pStyle w:val="CellColumn"/>
              <w:jc w:val="right"/>
            </w:pPr>
            <w:r>
              <w:rPr>
                <w:rFonts w:cs="Times New Roman"/>
              </w:rPr>
              <w:t>8.585.728</w:t>
            </w:r>
          </w:p>
        </w:tc>
        <w:tc>
          <w:tcPr>
            <w:tcW w:w="1224" w:type="dxa"/>
          </w:tcPr>
          <w:p w:rsidR="005C2091" w:rsidRDefault="00A86293">
            <w:pPr>
              <w:pStyle w:val="CellColumn"/>
              <w:jc w:val="right"/>
            </w:pPr>
            <w:r>
              <w:rPr>
                <w:rFonts w:cs="Times New Roman"/>
              </w:rPr>
              <w:t>93,1</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r>
        <w:t>Ovim programom su obuhvaćene aktivnosti u sklopu kojih se financira edukacija i savjetovanje sukladno Programu ruralnog razvoja Republike Hrvatske 2014. – 2020. iz sredstava Europskog poljoprivrednog fonda za ruralni razvoj te promocija i prateće mjere u okviru Sheme školskog voća i povrća koje se financiraju iz Europskog poljoprivrednog jamstvenog fonda.</w:t>
      </w:r>
    </w:p>
    <w:p w:rsidR="005C2091" w:rsidRDefault="00A86293">
      <w:pPr>
        <w:pStyle w:val="Heading8"/>
        <w:jc w:val="left"/>
      </w:pPr>
      <w:r>
        <w:t>Cilj 1. Prijenos znanja i informacija korisnicima radi postizanja konkurentnosti poljoprivrede</w:t>
      </w:r>
    </w:p>
    <w:p w:rsidR="005C2091" w:rsidRDefault="00A86293">
      <w:pPr>
        <w:pStyle w:val="Heading8"/>
        <w:jc w:val="left"/>
      </w:pPr>
      <w:r>
        <w:t>Opis provedbe cilja programa</w:t>
      </w:r>
    </w:p>
    <w:p w:rsidR="005C2091" w:rsidRDefault="00A86293">
      <w:r>
        <w:t xml:space="preserve">Službenici Savjetodavne službe metodama savjetodavnog rada prenose znanja i informacije korisnicima s ciljem modernizacije i povećanja konkurentnosti poljoprivrednih gospodarstava, subjekata u ribarstvu i šumoposjednika, kroz Mjeru 01: Prenošenje znanja i aktivnosti informiranja i Mjeru 02: Savjetodavne službe, službe za upravljanje PG i pomoć PG, te informiraju javnost o Shemi školskog voća i povrća. </w:t>
      </w:r>
    </w:p>
    <w:p w:rsidR="005C2091" w:rsidRDefault="00A86293">
      <w:r>
        <w:t xml:space="preserve">Savjetodavna služba je prihvatljivi korisnik u provedbi Mjere 01 u dijelu koji se odnosi na tip operacije 1.1.1. „Strukovno osposobljavanje za višestruku sukladnost, paket mjera poljoprivreda, okoliš i klimatske promjene, ekološki uzgoj“ te na tip operacije 1.1.2. „Strukovno osposobljavanje za poljoprivrednike“, a za navedenu mjeru potrebno je osigurati nacionalno sufinanciranje u iznosu od 10%. Provedba operacije 1.1.1. se odvijala kroz 6 šestosatnih odobrenih programa osposobljavanja, a provedba operacije 1.1.2. kroz 21 odobreni program osposobljavanja različitog trajanja u rasponu od 6 do 56 sati. Strukovno osposobljavanje je provodilo 180 odobrenih predavača koji su održali 728 tečajeva za 14.150 polaznika. </w:t>
      </w:r>
    </w:p>
    <w:p w:rsidR="005C2091" w:rsidRDefault="00A86293">
      <w:r>
        <w:t xml:space="preserve">Sukladno Pravilniku o provedbi Mjere 02 „Savjetodavne službe, službe za upravljanje poljoprivrednim gospodarstvom i pomoć poljoprivrednim gospodarstvima“ iz Programa ruralnog razvoja Republike Hrvatske za razdoblje 2014. – 2020. Savjetodavna služba je prihvatljivi korisnik podmjere 2.1. „Potpora za pružanje savjetodavnih usluga“ i podmjere 2.3. „Potpora za osposobljavanje savjetnika“, a za navedenu mjeru potrebno je osigurati nacionalno sufinanciranje u iznosu od 15%. Savjetodavna služba kreirala je Savjetničke pakete za različite tipove i razine proizvodnje, tako da svaki poljoprivrednik/šumoposjednik u suradnji sa savjetnikom može sukladno stanju poljoprivrednog gospodarstva/šumskog posjeda i problemu kreirati aktivnosti u ostvarenju željenog rezultata. Savjetnički paket niz je aktivnosti i usluga osmišljenih za korisnika paketa (poljoprivrednika ili šumoposjednika) s ciljem pružanja efikasnog i kvalitetnog savjeta u skladu s odrednicama Zajedničke poljoprivredne politike EU. Savjetovanje se u 2016. provodilo kroz četiri tipa operacija 2.1.1. „Savjetovanje o višestrukoj sukladnosti, paketu mjera okoliš i klimatske promjene i ekološki uzgoj“, 2.1.2. „Savjetovanje o modernizaciji i povećanju konkurentnosti poljoprivrednih gospodarstava, 2.1.3. „Savjetovanje šumoposjednika“ i 2.1.4. „Savjetovanje mladih poljoprivrednika“. Do kraja 2016. otvoreno je 3.270 a zatvoreno 1.297 savjetničkih dok se savjetovanje za preostale otvorene pakete nastavlja u 2017. godini. </w:t>
      </w:r>
    </w:p>
    <w:p w:rsidR="005C2091" w:rsidRDefault="00A86293">
      <w:r>
        <w:t>Shema školskog voća i povrća se počela provoditi u RH od školske godine 2013./2014., s ciljem djelovanja na prehrambene navike tj. povećanje potrošnje voća i povrća kod djece školskog uzrasta, što u konačnici treba rezultirati smanjenjem pretilosti, dijabetesa i bolesti srca u dječjoj dobi i ograničenjem unosa hrane s visokim sadržajem masti, šećera i soli. Savjetodavna služba je temeljem podnesenog Godišnjeg plana aktivnosti, Odlukom ministra poljoprivrede ostala tijelo nadležno za komunikaciju u okviru Sheme, te je održano 240 predavanja koja je pohađalo oko 11.000 učenika. Više od 80 djelatnika Savjetodavne službe različitih specijalnosti, održavalo je predavanja o 15 različitih tema iz uzgoja i njege voća i povrća.</w:t>
      </w:r>
    </w:p>
    <w:p w:rsidR="005C2091" w:rsidRDefault="00A86293">
      <w:pPr>
        <w:pStyle w:val="Heading4"/>
      </w:pPr>
      <w:r>
        <w:t>A865006 EDUKACIJA I SAVJETOVANJE - PROGRAM RURALNOG RAZVOJA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A865006-EDUKACIJA I SAVJETOVANJE - PROGRAM RURALNOG RAZVOJA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9.152.752</w:t>
            </w:r>
          </w:p>
        </w:tc>
        <w:tc>
          <w:tcPr>
            <w:tcW w:w="2041" w:type="dxa"/>
          </w:tcPr>
          <w:p w:rsidR="005C2091" w:rsidRDefault="00A86293">
            <w:pPr>
              <w:pStyle w:val="CellColumn"/>
              <w:jc w:val="right"/>
            </w:pPr>
            <w:r>
              <w:rPr>
                <w:rFonts w:cs="Times New Roman"/>
              </w:rPr>
              <w:t>8.522.533</w:t>
            </w:r>
          </w:p>
        </w:tc>
        <w:tc>
          <w:tcPr>
            <w:tcW w:w="1224" w:type="dxa"/>
          </w:tcPr>
          <w:p w:rsidR="005C2091" w:rsidRDefault="00A86293">
            <w:pPr>
              <w:pStyle w:val="CellColumn"/>
              <w:jc w:val="right"/>
            </w:pPr>
            <w:r>
              <w:rPr>
                <w:rFonts w:cs="Times New Roman"/>
              </w:rPr>
              <w:t>93,1</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provedbi mjere 01 "Prenošenje znanja i aktivnosti informiranja", podmjere 1.1. "Potpora za strukovno osposobljavanje i aktivnosti za stjecanje vještina", tip operacije 1.1.1. "Strukovno osposobljavanje za višestruku sukladnost, paket mjera poljoprivreda, okoliš i klimatske promjene, ekološki uzgoj" i tip operacije 1.1.2. "Strukovno osposobljavanje za poljoprivrednike" iz Programa ruralnog razvoja Republike Hrvatske za razdoblje 2014. - 2020. („Narodne novine“ br. 96/15) </w:t>
      </w:r>
    </w:p>
    <w:p w:rsidR="005C2091" w:rsidRDefault="00A86293">
      <w:r>
        <w:t xml:space="preserve">Pravilnik o provedbi mjere M02 "Savjetodavne službe, službe za upravljanje poljoprivrednim gospodarstvom i pomoć poljoprivrednim gospodarstvima" iz Programa ruralnog razvoja Republike Hrvatske za razdoblje 2014. - 2020. („Narodne novine“ br. 123/15) </w:t>
      </w:r>
    </w:p>
    <w:p w:rsidR="005C2091" w:rsidRDefault="00A86293">
      <w:r>
        <w:t>Program ruralnog razvoja Republike Hrvatske 2014. – 2020.</w:t>
      </w:r>
    </w:p>
    <w:p w:rsidR="005C2091" w:rsidRDefault="00A86293">
      <w:pPr>
        <w:pStyle w:val="Heading8"/>
        <w:jc w:val="left"/>
      </w:pPr>
      <w:r>
        <w:t>Opis aktivnosti</w:t>
      </w:r>
    </w:p>
    <w:p w:rsidR="005C2091" w:rsidRDefault="00A86293">
      <w:r>
        <w:t>Kroz provedbu Mjere 01: Prenošenje znanja i aktivnosti informiranja i Mjere0 2: Savjetodavne službe, službe za upravljanje PG i pomoć PG u Službi se kroz navedenu aktivnost financiraju rashodi za plaće, naknade troškova zaposlenima i drugi direktni i indirektni troškovi sukladno Programu ruralnog razvoja Republike Hrvatske 2014. – 2020.</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66"/>
        <w:gridCol w:w="2494"/>
        <w:gridCol w:w="1011"/>
        <w:gridCol w:w="1014"/>
        <w:gridCol w:w="1192"/>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Usvojena znanja i informacije</w:t>
            </w:r>
          </w:p>
        </w:tc>
        <w:tc>
          <w:tcPr>
            <w:tcW w:w="2551" w:type="dxa"/>
          </w:tcPr>
          <w:p w:rsidR="005C2091" w:rsidRDefault="00A86293">
            <w:pPr>
              <w:pStyle w:val="CellColumn"/>
              <w:jc w:val="left"/>
            </w:pPr>
            <w:r>
              <w:rPr>
                <w:rFonts w:cs="Times New Roman"/>
              </w:rPr>
              <w:t>Poljoprivredna gospodarstva, subjekti u ribarstvu i šumoposjednici kroz mjere Programa ruralnog razvoja usvajaju znanja i informacije za osuvremenjivanje poljoprivredne proizvodnje i povećanje konkurentnosti postojećih proizvodnji</w:t>
            </w:r>
          </w:p>
        </w:tc>
        <w:tc>
          <w:tcPr>
            <w:tcW w:w="1020" w:type="dxa"/>
          </w:tcPr>
          <w:p w:rsidR="005C2091" w:rsidRDefault="00A86293">
            <w:pPr>
              <w:pStyle w:val="CellColumn"/>
              <w:jc w:val="right"/>
            </w:pPr>
            <w:r>
              <w:rPr>
                <w:rFonts w:cs="Times New Roman"/>
              </w:rPr>
              <w:t>Broj korisnika</w:t>
            </w:r>
          </w:p>
        </w:tc>
        <w:tc>
          <w:tcPr>
            <w:tcW w:w="1020" w:type="dxa"/>
          </w:tcPr>
          <w:p w:rsidR="005C2091" w:rsidRDefault="00A86293">
            <w:pPr>
              <w:pStyle w:val="CellColumn"/>
              <w:jc w:val="right"/>
            </w:pPr>
            <w:r>
              <w:rPr>
                <w:rFonts w:cs="Times New Roman"/>
              </w:rPr>
              <w:t>0</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20.000</w:t>
            </w:r>
          </w:p>
        </w:tc>
        <w:tc>
          <w:tcPr>
            <w:tcW w:w="1020" w:type="dxa"/>
          </w:tcPr>
          <w:p w:rsidR="005C2091" w:rsidRDefault="00A86293">
            <w:pPr>
              <w:pStyle w:val="CellColumn"/>
              <w:jc w:val="right"/>
            </w:pPr>
            <w:r>
              <w:rPr>
                <w:rFonts w:cs="Times New Roman"/>
              </w:rPr>
              <w:t>17.522</w:t>
            </w:r>
          </w:p>
        </w:tc>
      </w:tr>
    </w:tbl>
    <w:p w:rsidR="005C2091" w:rsidRDefault="005C2091">
      <w:pPr>
        <w:jc w:val="left"/>
      </w:pPr>
    </w:p>
    <w:p w:rsidR="00D3530B" w:rsidRDefault="00D3530B">
      <w:pPr>
        <w:jc w:val="left"/>
      </w:pPr>
    </w:p>
    <w:p w:rsidR="00D3530B" w:rsidRDefault="00D3530B">
      <w:pPr>
        <w:jc w:val="left"/>
      </w:pPr>
    </w:p>
    <w:p w:rsidR="005C2091" w:rsidRDefault="00A86293">
      <w:pPr>
        <w:pStyle w:val="Heading4"/>
      </w:pPr>
      <w:r>
        <w:t>A865007 KOMUNIKACIJA SHEME ŠKOLSKOG VOĆA I PRAĆENJE PROGRAMA MLIJEKA</w:t>
      </w:r>
    </w:p>
    <w:tbl>
      <w:tblPr>
        <w:tblStyle w:val="StilTablice"/>
        <w:tblW w:w="10206" w:type="dxa"/>
        <w:jc w:val="center"/>
        <w:tblLook w:val="04A0" w:firstRow="1" w:lastRow="0" w:firstColumn="1" w:lastColumn="0" w:noHBand="0" w:noVBand="1"/>
      </w:tblPr>
      <w:tblGrid>
        <w:gridCol w:w="1648"/>
        <w:gridCol w:w="2037"/>
        <w:gridCol w:w="2037"/>
        <w:gridCol w:w="2037"/>
        <w:gridCol w:w="1223"/>
        <w:gridCol w:w="1224"/>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A865007-KOMUNIKACIJA SHEME ŠKOLSKOG VOĆA I PRAĆENJE PROGRAMA MLIJEKA</w:t>
            </w:r>
          </w:p>
        </w:tc>
        <w:tc>
          <w:tcPr>
            <w:tcW w:w="2041" w:type="dxa"/>
          </w:tcPr>
          <w:p w:rsidR="005C2091" w:rsidRDefault="00A86293">
            <w:pPr>
              <w:pStyle w:val="CellColumn"/>
              <w:jc w:val="right"/>
            </w:pPr>
            <w:r>
              <w:rPr>
                <w:rFonts w:cs="Times New Roman"/>
              </w:rPr>
              <w:t>00</w:t>
            </w:r>
          </w:p>
        </w:tc>
        <w:tc>
          <w:tcPr>
            <w:tcW w:w="2041" w:type="dxa"/>
          </w:tcPr>
          <w:p w:rsidR="005C2091" w:rsidRDefault="00A86293">
            <w:pPr>
              <w:pStyle w:val="CellColumn"/>
              <w:jc w:val="right"/>
            </w:pPr>
            <w:r>
              <w:rPr>
                <w:rFonts w:cs="Times New Roman"/>
              </w:rPr>
              <w:t>65.000</w:t>
            </w:r>
          </w:p>
        </w:tc>
        <w:tc>
          <w:tcPr>
            <w:tcW w:w="2041" w:type="dxa"/>
          </w:tcPr>
          <w:p w:rsidR="005C2091" w:rsidRDefault="00A86293">
            <w:pPr>
              <w:pStyle w:val="CellColumn"/>
              <w:jc w:val="right"/>
            </w:pPr>
            <w:r>
              <w:rPr>
                <w:rFonts w:cs="Times New Roman"/>
              </w:rPr>
              <w:t>63.195</w:t>
            </w:r>
          </w:p>
        </w:tc>
        <w:tc>
          <w:tcPr>
            <w:tcW w:w="1224" w:type="dxa"/>
          </w:tcPr>
          <w:p w:rsidR="005C2091" w:rsidRDefault="00A86293">
            <w:pPr>
              <w:pStyle w:val="CellColumn"/>
              <w:jc w:val="right"/>
            </w:pPr>
            <w:r>
              <w:rPr>
                <w:rFonts w:cs="Times New Roman"/>
              </w:rPr>
              <w:t>97,2</w:t>
            </w:r>
          </w:p>
        </w:tc>
        <w:tc>
          <w:tcPr>
            <w:tcW w:w="1224" w:type="dxa"/>
          </w:tcPr>
          <w:p w:rsidR="005C2091" w:rsidRDefault="00A86293">
            <w:pPr>
              <w:pStyle w:val="CellColumn"/>
              <w:jc w:val="right"/>
            </w:pPr>
            <w:r>
              <w:rPr>
                <w:rFonts w:cs="Times New Roman"/>
              </w:rPr>
              <w:t>0,0</w:t>
            </w:r>
          </w:p>
        </w:tc>
      </w:tr>
    </w:tbl>
    <w:p w:rsidR="005C2091" w:rsidRDefault="005C2091">
      <w:pPr>
        <w:jc w:val="left"/>
      </w:pPr>
    </w:p>
    <w:p w:rsidR="005C2091" w:rsidRDefault="00A86293">
      <w:pPr>
        <w:pStyle w:val="Heading8"/>
        <w:jc w:val="left"/>
      </w:pPr>
      <w:r>
        <w:t>Zakonske i druge pravne osnove</w:t>
      </w:r>
    </w:p>
    <w:p w:rsidR="005C2091" w:rsidRDefault="00A86293">
      <w:r>
        <w:t xml:space="preserve">Pravilnik o provedbi Sheme školskog voća i povrća („Narodne novine“ br. 40/16) </w:t>
      </w:r>
    </w:p>
    <w:p w:rsidR="005C2091" w:rsidRDefault="00A86293">
      <w:r>
        <w:t xml:space="preserve">Pravilnik o provedbi programa mlijeka u školama („Narodne novine“ br. 96/15) </w:t>
      </w:r>
    </w:p>
    <w:p w:rsidR="005C2091" w:rsidRDefault="00A86293">
      <w:r>
        <w:t>Pravilnik o provedbi Programa mlijeka u školama za razdoblje od 1. kolovoza 2016. do 31. srpnja 2017. godine („Narodne novine“ br. 79/16 i 81/16)</w:t>
      </w:r>
    </w:p>
    <w:p w:rsidR="005C2091" w:rsidRDefault="00A86293">
      <w:pPr>
        <w:pStyle w:val="Heading8"/>
        <w:jc w:val="left"/>
      </w:pPr>
      <w:r>
        <w:t>Opis aktivnosti</w:t>
      </w:r>
    </w:p>
    <w:p w:rsidR="005C2091" w:rsidRDefault="00A86293">
      <w:r>
        <w:t>Savjetodavna služba je kroz ovu aktivnost financirala troškove koji su direktno vezani uz informiranje javnosti o Shemi školskog voća i povrća.</w:t>
      </w:r>
    </w:p>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474"/>
        <w:gridCol w:w="2477"/>
        <w:gridCol w:w="1020"/>
        <w:gridCol w:w="1014"/>
        <w:gridCol w:w="1192"/>
        <w:gridCol w:w="1014"/>
        <w:gridCol w:w="1015"/>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Provedba informativne kampanje za Shemu školskog voća i povrća</w:t>
            </w:r>
          </w:p>
        </w:tc>
        <w:tc>
          <w:tcPr>
            <w:tcW w:w="2551" w:type="dxa"/>
          </w:tcPr>
          <w:p w:rsidR="005C2091" w:rsidRDefault="00A86293">
            <w:pPr>
              <w:pStyle w:val="CellColumn"/>
              <w:jc w:val="left"/>
            </w:pPr>
            <w:r>
              <w:rPr>
                <w:rFonts w:cs="Times New Roman"/>
              </w:rPr>
              <w:t>Informiranje javnosti putem web stranice, promotivnih letaka i Europskog plakata kao i predavanjima u školama koje sudjeluju u provedbi Sheme</w:t>
            </w:r>
          </w:p>
        </w:tc>
        <w:tc>
          <w:tcPr>
            <w:tcW w:w="1020" w:type="dxa"/>
          </w:tcPr>
          <w:p w:rsidR="005C2091" w:rsidRDefault="00A86293" w:rsidP="004071BD">
            <w:pPr>
              <w:pStyle w:val="CellColumn"/>
            </w:pPr>
            <w:r>
              <w:rPr>
                <w:rFonts w:cs="Times New Roman"/>
              </w:rPr>
              <w:t>Broj održanih predavanja</w:t>
            </w:r>
          </w:p>
        </w:tc>
        <w:tc>
          <w:tcPr>
            <w:tcW w:w="1020" w:type="dxa"/>
          </w:tcPr>
          <w:p w:rsidR="005C2091" w:rsidRDefault="00A86293">
            <w:pPr>
              <w:pStyle w:val="CellColumn"/>
              <w:jc w:val="right"/>
            </w:pPr>
            <w:r>
              <w:rPr>
                <w:rFonts w:cs="Times New Roman"/>
              </w:rPr>
              <w:t>370</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300</w:t>
            </w:r>
          </w:p>
        </w:tc>
        <w:tc>
          <w:tcPr>
            <w:tcW w:w="1020" w:type="dxa"/>
          </w:tcPr>
          <w:p w:rsidR="005C2091" w:rsidRDefault="00A86293">
            <w:pPr>
              <w:pStyle w:val="CellColumn"/>
              <w:jc w:val="right"/>
            </w:pPr>
            <w:r>
              <w:rPr>
                <w:rFonts w:cs="Times New Roman"/>
              </w:rPr>
              <w:t>240</w:t>
            </w:r>
          </w:p>
        </w:tc>
      </w:tr>
      <w:tr w:rsidR="005C2091">
        <w:trPr>
          <w:jc w:val="center"/>
        </w:trPr>
        <w:tc>
          <w:tcPr>
            <w:tcW w:w="2551" w:type="dxa"/>
          </w:tcPr>
          <w:p w:rsidR="005C2091" w:rsidRDefault="00A86293">
            <w:pPr>
              <w:pStyle w:val="CellColumn"/>
              <w:jc w:val="left"/>
            </w:pPr>
            <w:r>
              <w:rPr>
                <w:rFonts w:cs="Times New Roman"/>
              </w:rPr>
              <w:t>Praćenje učinkovitosti provedbe Programa mlijeka u školama</w:t>
            </w:r>
          </w:p>
        </w:tc>
        <w:tc>
          <w:tcPr>
            <w:tcW w:w="2551" w:type="dxa"/>
          </w:tcPr>
          <w:p w:rsidR="005C2091" w:rsidRDefault="00A86293">
            <w:pPr>
              <w:pStyle w:val="CellColumn"/>
              <w:jc w:val="left"/>
            </w:pPr>
            <w:r>
              <w:rPr>
                <w:rFonts w:cs="Times New Roman"/>
              </w:rPr>
              <w:t>Promatranje parametara navike konzumiranja i znanja o mlijeku i mliječnim proizvodima učenika osnovnih škola od 1. do 4. razreda</w:t>
            </w:r>
          </w:p>
        </w:tc>
        <w:tc>
          <w:tcPr>
            <w:tcW w:w="1020" w:type="dxa"/>
          </w:tcPr>
          <w:p w:rsidR="005C2091" w:rsidRDefault="00A86293" w:rsidP="004071BD">
            <w:pPr>
              <w:pStyle w:val="CellColumn"/>
            </w:pPr>
            <w:r>
              <w:rPr>
                <w:rFonts w:cs="Times New Roman"/>
              </w:rPr>
              <w:t>Broj anketiranih škola</w:t>
            </w:r>
          </w:p>
        </w:tc>
        <w:tc>
          <w:tcPr>
            <w:tcW w:w="1020" w:type="dxa"/>
          </w:tcPr>
          <w:p w:rsidR="005C2091" w:rsidRDefault="00A86293">
            <w:pPr>
              <w:pStyle w:val="CellColumn"/>
              <w:jc w:val="right"/>
            </w:pPr>
            <w:r>
              <w:rPr>
                <w:rFonts w:cs="Times New Roman"/>
              </w:rPr>
              <w:t>74</w:t>
            </w:r>
          </w:p>
        </w:tc>
        <w:tc>
          <w:tcPr>
            <w:tcW w:w="1020" w:type="dxa"/>
          </w:tcPr>
          <w:p w:rsidR="005C2091" w:rsidRDefault="00A86293">
            <w:pPr>
              <w:pStyle w:val="CellColumn"/>
              <w:jc w:val="right"/>
            </w:pPr>
            <w:r>
              <w:rPr>
                <w:rFonts w:cs="Times New Roman"/>
              </w:rPr>
              <w:t>Savjetodavna služba</w:t>
            </w:r>
          </w:p>
        </w:tc>
        <w:tc>
          <w:tcPr>
            <w:tcW w:w="1020" w:type="dxa"/>
          </w:tcPr>
          <w:p w:rsidR="005C2091" w:rsidRDefault="00A86293">
            <w:pPr>
              <w:pStyle w:val="CellColumn"/>
              <w:jc w:val="right"/>
            </w:pPr>
            <w:r>
              <w:rPr>
                <w:rFonts w:cs="Times New Roman"/>
              </w:rPr>
              <w:t>70</w:t>
            </w:r>
          </w:p>
        </w:tc>
        <w:tc>
          <w:tcPr>
            <w:tcW w:w="1020" w:type="dxa"/>
          </w:tcPr>
          <w:p w:rsidR="005C2091" w:rsidRDefault="00A86293">
            <w:pPr>
              <w:pStyle w:val="CellColumn"/>
              <w:jc w:val="right"/>
            </w:pPr>
            <w:r>
              <w:rPr>
                <w:rFonts w:cs="Times New Roman"/>
              </w:rPr>
              <w:t>54</w:t>
            </w:r>
          </w:p>
        </w:tc>
      </w:tr>
    </w:tbl>
    <w:p w:rsidR="005C2091" w:rsidRDefault="005C2091">
      <w:pPr>
        <w:jc w:val="left"/>
      </w:pPr>
    </w:p>
    <w:p w:rsidR="00D3530B" w:rsidRDefault="00D3530B">
      <w:pPr>
        <w:jc w:val="left"/>
      </w:pPr>
    </w:p>
    <w:p w:rsidR="00D3530B" w:rsidRDefault="00D3530B">
      <w:pPr>
        <w:jc w:val="left"/>
      </w:pPr>
    </w:p>
    <w:p w:rsidR="005C2091" w:rsidRDefault="00A86293">
      <w:pPr>
        <w:pStyle w:val="Heading3"/>
      </w:pPr>
      <w:r>
        <w:rPr>
          <w:rFonts w:cs="Times New Roman"/>
        </w:rPr>
        <w:t>3006 GOSPODARENJE I ZAŠTITA ŠUMSKIH RESURSA, LOVIŠTA I DIVLJAČI</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C2091">
        <w:trPr>
          <w:jc w:val="center"/>
        </w:trPr>
        <w:tc>
          <w:tcPr>
            <w:tcW w:w="1632" w:type="dxa"/>
            <w:shd w:val="clear" w:color="auto" w:fill="B5C0D8"/>
          </w:tcPr>
          <w:p w:rsidR="005C2091" w:rsidRDefault="005C2091">
            <w:pPr>
              <w:pStyle w:val="CellHeader"/>
              <w:jc w:val="center"/>
            </w:pP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Index izvršenje 2016./2015.</w:t>
            </w:r>
          </w:p>
        </w:tc>
      </w:tr>
      <w:tr w:rsidR="005C2091">
        <w:trPr>
          <w:jc w:val="center"/>
        </w:trPr>
        <w:tc>
          <w:tcPr>
            <w:tcW w:w="1632" w:type="dxa"/>
          </w:tcPr>
          <w:p w:rsidR="005C2091" w:rsidRDefault="00A86293">
            <w:pPr>
              <w:pStyle w:val="CellColumn"/>
              <w:jc w:val="left"/>
            </w:pPr>
            <w:r>
              <w:rPr>
                <w:rFonts w:cs="Times New Roman"/>
              </w:rPr>
              <w:t>3006-GOSPODARENJE I ZAŠTITA ŠUMSKIH RESURSA, LOVIŠTA I DIVLJAČI</w:t>
            </w:r>
          </w:p>
        </w:tc>
        <w:tc>
          <w:tcPr>
            <w:tcW w:w="2041" w:type="dxa"/>
          </w:tcPr>
          <w:p w:rsidR="005C2091" w:rsidRDefault="00A86293">
            <w:pPr>
              <w:pStyle w:val="CellColumn"/>
              <w:jc w:val="right"/>
            </w:pPr>
            <w:r>
              <w:rPr>
                <w:rFonts w:cs="Times New Roman"/>
              </w:rPr>
              <w:t>10.387.884</w:t>
            </w:r>
          </w:p>
        </w:tc>
        <w:tc>
          <w:tcPr>
            <w:tcW w:w="2041" w:type="dxa"/>
          </w:tcPr>
          <w:p w:rsidR="005C2091" w:rsidRDefault="00A86293">
            <w:pPr>
              <w:pStyle w:val="CellColumn"/>
              <w:jc w:val="right"/>
            </w:pPr>
            <w:r>
              <w:rPr>
                <w:rFonts w:cs="Times New Roman"/>
              </w:rPr>
              <w:t>28.560.000</w:t>
            </w:r>
          </w:p>
        </w:tc>
        <w:tc>
          <w:tcPr>
            <w:tcW w:w="2041" w:type="dxa"/>
          </w:tcPr>
          <w:p w:rsidR="005C2091" w:rsidRDefault="00A86293">
            <w:pPr>
              <w:pStyle w:val="CellColumn"/>
              <w:jc w:val="right"/>
            </w:pPr>
            <w:r>
              <w:rPr>
                <w:rFonts w:cs="Times New Roman"/>
              </w:rPr>
              <w:t>25.141.898</w:t>
            </w:r>
          </w:p>
        </w:tc>
        <w:tc>
          <w:tcPr>
            <w:tcW w:w="1224" w:type="dxa"/>
          </w:tcPr>
          <w:p w:rsidR="005C2091" w:rsidRDefault="00A86293">
            <w:pPr>
              <w:pStyle w:val="CellColumn"/>
              <w:jc w:val="right"/>
            </w:pPr>
            <w:r>
              <w:rPr>
                <w:rFonts w:cs="Times New Roman"/>
              </w:rPr>
              <w:t>88,0</w:t>
            </w:r>
          </w:p>
        </w:tc>
        <w:tc>
          <w:tcPr>
            <w:tcW w:w="1224" w:type="dxa"/>
          </w:tcPr>
          <w:p w:rsidR="005C2091" w:rsidRDefault="00A86293">
            <w:pPr>
              <w:pStyle w:val="CellColumn"/>
              <w:jc w:val="right"/>
            </w:pPr>
            <w:r>
              <w:rPr>
                <w:rFonts w:cs="Times New Roman"/>
              </w:rPr>
              <w:t>242,0</w:t>
            </w:r>
          </w:p>
        </w:tc>
      </w:tr>
    </w:tbl>
    <w:p w:rsidR="005C2091" w:rsidRDefault="005C2091">
      <w:pPr>
        <w:jc w:val="left"/>
      </w:pPr>
    </w:p>
    <w:p w:rsidR="005C2091" w:rsidRDefault="00A86293">
      <w:r>
        <w:t>Ovim programom su obuhvaćene aktivnosti u sklopu kojih se financira unapređenje gospodarenja šumama i šumskim zemljištima šumoposjednika.</w:t>
      </w:r>
    </w:p>
    <w:p w:rsidR="005C2091" w:rsidRDefault="00A86293">
      <w:pPr>
        <w:pStyle w:val="Heading8"/>
        <w:jc w:val="left"/>
      </w:pPr>
      <w:r>
        <w:t>Cilj 1. Poboljšanje stanja šuma šumoposjednika</w:t>
      </w:r>
    </w:p>
    <w:p w:rsidR="005C2091" w:rsidRDefault="00A86293">
      <w:pPr>
        <w:pStyle w:val="Heading8"/>
        <w:jc w:val="left"/>
      </w:pPr>
      <w:r>
        <w:t>Opis provedbe cilja programa</w:t>
      </w:r>
    </w:p>
    <w:p w:rsidR="005C2091" w:rsidRDefault="00A86293">
      <w:r>
        <w:t xml:space="preserve">Savjetodavna služba je prema Zakonu o šumama nadležna za obavljanje poslova dijela javnih ovlasti te unapređenja gospodarenja šumama i šumskim zemljištima šumoposjednika u RH, te sukladno navedenom obavlja administrativne poslove potrebne za izvršenje javnih ovlasti; vodi propisane evidencije za praćenje financijskih, upravnih i stručnih poslova za šume šumoposjednika; provodi postupke javne nabave i prati izvršenje ugovora za radove u šumama šumoposjednika i za potrebe Službe; nadzire kvalitetu i količinu izvršenih radova u šumama šumoposjednika (kolaudacije radova), provodi savjetovanje i informiranje šumoposjednika i javnosti te vodi propisane baze podataka u svojoj nadležnosti. </w:t>
      </w:r>
    </w:p>
    <w:p w:rsidR="005C2091" w:rsidRDefault="00A86293">
      <w:r>
        <w:t xml:space="preserve">Služba priprema zahtjeve za odobrenje šumskogospodarskih planova za šume šumoposjednika, evidentira podatke o izvršenim radovima biološke obnove šuma sukladno odobrenim šumskogospodarskim planovima, vodi evidencije prometa drvom i radova izvršenih u šumama šumoposjednika, prati zdravstveno stanje šuma, pojavu štetnih organizama i šumskih požara kao što planira i prati održavanje šumskih prometnica te priprema stručne podloge za izgradnju šumske infrastrukture te protupožarnih prosjeka za šume šumoposjednika. </w:t>
      </w:r>
    </w:p>
    <w:p w:rsidR="005C2091" w:rsidRDefault="00A86293">
      <w:r>
        <w:t xml:space="preserve">Kroz stručne kontrole i kolaudacije izvršenih radova u šumama licenciranih izvođača i samih šumoposjednika, raspoređuju se sredstava iz naplaćene naknade za opće korisne funkcije šuma (OKFŠ) sukladno Zakonu o šumama i podzakonskim aktima a sve u cilju održivog gospodarenja šumskim resursima i poboljšanju stanja šuma šumoposjednika.  </w:t>
      </w:r>
    </w:p>
    <w:p w:rsidR="005C2091" w:rsidRDefault="00A86293">
      <w:r>
        <w:t>U 2016. godini zaprimljeno je 5.170 zahtjeva za doznaku stabala, izvršeno 187 procjena šumske štete, izdana 1.391 popratnica za božićna drvca, 4.806 popratnica za drvo, te je provedeno utvrđivanje posebnih uvjeta za izgradnju šumske infraksturure i/ili građevina u postupku izdavanja 271 lokacijske dozvole. Kako je zbog privremenog financiranja Rješenje o odobrenju Operativnog godišnjeg plana za radove u šumama šumoposjednika za 2016. godinu zaprimljeno 8. travnja 2016. godine kao i ograničenog kapaciteta Sektora za programe i projekte u šumarstvu koji je u 2016. godini raspolagao s 29 službenika šumarske specijalnosti neutrošena sredstva ostvarena s osnove naknade za OKFŠ će se utrošiti u 2017. godini.</w:t>
      </w:r>
    </w:p>
    <w:p w:rsidR="00D3530B" w:rsidRDefault="00D3530B"/>
    <w:p w:rsidR="00D3530B" w:rsidRDefault="00D3530B"/>
    <w:p w:rsidR="00D3530B" w:rsidRDefault="00D3530B"/>
    <w:p w:rsidR="005C2091" w:rsidRDefault="00A86293">
      <w:pPr>
        <w:pStyle w:val="Heading4"/>
      </w:pPr>
      <w:r>
        <w:t>A865005 UNAPREĐENJE GOSPODARENJA ŠUMAMA I ŠUMSKIM ZEMLJIŠTIMA ŠUMOPOSJEDNIKA</w:t>
      </w:r>
    </w:p>
    <w:tbl>
      <w:tblPr>
        <w:tblStyle w:val="StilTablice"/>
        <w:tblW w:w="10206" w:type="dxa"/>
        <w:jc w:val="center"/>
        <w:tblLook w:val="04A0" w:firstRow="1" w:lastRow="0" w:firstColumn="1" w:lastColumn="0" w:noHBand="0" w:noVBand="1"/>
      </w:tblPr>
      <w:tblGrid>
        <w:gridCol w:w="1904"/>
        <w:gridCol w:w="1962"/>
        <w:gridCol w:w="1962"/>
        <w:gridCol w:w="1962"/>
        <w:gridCol w:w="1204"/>
        <w:gridCol w:w="1212"/>
      </w:tblGrid>
      <w:tr w:rsidR="005C2091">
        <w:trPr>
          <w:jc w:val="center"/>
        </w:trPr>
        <w:tc>
          <w:tcPr>
            <w:tcW w:w="1632" w:type="dxa"/>
            <w:shd w:val="clear" w:color="auto" w:fill="B5C0D8"/>
          </w:tcPr>
          <w:p w:rsidR="005C2091" w:rsidRDefault="00A86293">
            <w:pPr>
              <w:pStyle w:val="CellHeader"/>
              <w:jc w:val="center"/>
            </w:pPr>
            <w:r>
              <w:rPr>
                <w:rFonts w:cs="Times New Roman"/>
              </w:rPr>
              <w:t>Naziv aktivnosti</w:t>
            </w:r>
          </w:p>
        </w:tc>
        <w:tc>
          <w:tcPr>
            <w:tcW w:w="2041" w:type="dxa"/>
            <w:shd w:val="clear" w:color="auto" w:fill="B5C0D8"/>
          </w:tcPr>
          <w:p w:rsidR="005C2091" w:rsidRDefault="00A86293">
            <w:pPr>
              <w:pStyle w:val="CellHeader"/>
              <w:jc w:val="center"/>
            </w:pPr>
            <w:r>
              <w:rPr>
                <w:rFonts w:cs="Times New Roman"/>
              </w:rPr>
              <w:t>Izvršenje 2015. (kn)</w:t>
            </w:r>
          </w:p>
        </w:tc>
        <w:tc>
          <w:tcPr>
            <w:tcW w:w="2041" w:type="dxa"/>
            <w:shd w:val="clear" w:color="auto" w:fill="B5C0D8"/>
          </w:tcPr>
          <w:p w:rsidR="005C2091" w:rsidRDefault="00A86293">
            <w:pPr>
              <w:pStyle w:val="CellHeader"/>
              <w:jc w:val="center"/>
            </w:pPr>
            <w:r>
              <w:rPr>
                <w:rFonts w:cs="Times New Roman"/>
              </w:rPr>
              <w:t>Plan 2016. (kn)</w:t>
            </w:r>
          </w:p>
        </w:tc>
        <w:tc>
          <w:tcPr>
            <w:tcW w:w="2041" w:type="dxa"/>
            <w:shd w:val="clear" w:color="auto" w:fill="B5C0D8"/>
          </w:tcPr>
          <w:p w:rsidR="005C2091" w:rsidRDefault="00A86293">
            <w:pPr>
              <w:pStyle w:val="CellHeader"/>
              <w:jc w:val="center"/>
            </w:pPr>
            <w:r>
              <w:rPr>
                <w:rFonts w:cs="Times New Roman"/>
              </w:rPr>
              <w:t>Izvršenje 2016. (kn)</w:t>
            </w:r>
          </w:p>
        </w:tc>
        <w:tc>
          <w:tcPr>
            <w:tcW w:w="1224" w:type="dxa"/>
            <w:shd w:val="clear" w:color="auto" w:fill="B5C0D8"/>
          </w:tcPr>
          <w:p w:rsidR="005C2091" w:rsidRDefault="00A86293">
            <w:pPr>
              <w:pStyle w:val="CellHeader"/>
              <w:jc w:val="center"/>
            </w:pPr>
            <w:r>
              <w:rPr>
                <w:rFonts w:cs="Times New Roman"/>
              </w:rPr>
              <w:t>Indeks izvršenje 2016./plan 2016.</w:t>
            </w:r>
          </w:p>
        </w:tc>
        <w:tc>
          <w:tcPr>
            <w:tcW w:w="1224" w:type="dxa"/>
            <w:shd w:val="clear" w:color="auto" w:fill="B5C0D8"/>
          </w:tcPr>
          <w:p w:rsidR="005C2091" w:rsidRDefault="00A86293">
            <w:pPr>
              <w:pStyle w:val="CellHeader"/>
              <w:jc w:val="center"/>
            </w:pPr>
            <w:r>
              <w:rPr>
                <w:rFonts w:cs="Times New Roman"/>
              </w:rPr>
              <w:t>Indeks izvršenje 2016./2015.</w:t>
            </w:r>
          </w:p>
        </w:tc>
      </w:tr>
      <w:tr w:rsidR="005C2091">
        <w:trPr>
          <w:jc w:val="center"/>
        </w:trPr>
        <w:tc>
          <w:tcPr>
            <w:tcW w:w="1632" w:type="dxa"/>
          </w:tcPr>
          <w:p w:rsidR="005C2091" w:rsidRDefault="00A86293">
            <w:pPr>
              <w:pStyle w:val="CellColumn"/>
              <w:jc w:val="left"/>
            </w:pPr>
            <w:r>
              <w:rPr>
                <w:rFonts w:cs="Times New Roman"/>
              </w:rPr>
              <w:t>A865005-UNAPREĐENJE GOSPODARENJA ŠUMAMA I ŠUMSKIM ZEMLJIŠTIMA ŠUMOPOSJEDNIKA</w:t>
            </w:r>
          </w:p>
        </w:tc>
        <w:tc>
          <w:tcPr>
            <w:tcW w:w="2041" w:type="dxa"/>
          </w:tcPr>
          <w:p w:rsidR="005C2091" w:rsidRDefault="00A86293">
            <w:pPr>
              <w:pStyle w:val="CellColumn"/>
              <w:jc w:val="right"/>
            </w:pPr>
            <w:r>
              <w:rPr>
                <w:rFonts w:cs="Times New Roman"/>
              </w:rPr>
              <w:t>10.387.884</w:t>
            </w:r>
          </w:p>
        </w:tc>
        <w:tc>
          <w:tcPr>
            <w:tcW w:w="2041" w:type="dxa"/>
          </w:tcPr>
          <w:p w:rsidR="005C2091" w:rsidRDefault="00A86293">
            <w:pPr>
              <w:pStyle w:val="CellColumn"/>
              <w:jc w:val="right"/>
            </w:pPr>
            <w:r>
              <w:rPr>
                <w:rFonts w:cs="Times New Roman"/>
              </w:rPr>
              <w:t>28.560.000</w:t>
            </w:r>
          </w:p>
        </w:tc>
        <w:tc>
          <w:tcPr>
            <w:tcW w:w="2041" w:type="dxa"/>
          </w:tcPr>
          <w:p w:rsidR="005C2091" w:rsidRDefault="00A86293">
            <w:pPr>
              <w:pStyle w:val="CellColumn"/>
              <w:jc w:val="right"/>
            </w:pPr>
            <w:r>
              <w:rPr>
                <w:rFonts w:cs="Times New Roman"/>
              </w:rPr>
              <w:t>25.141.898</w:t>
            </w:r>
          </w:p>
        </w:tc>
        <w:tc>
          <w:tcPr>
            <w:tcW w:w="1224" w:type="dxa"/>
          </w:tcPr>
          <w:p w:rsidR="005C2091" w:rsidRDefault="00A86293">
            <w:pPr>
              <w:pStyle w:val="CellColumn"/>
              <w:jc w:val="right"/>
            </w:pPr>
            <w:r>
              <w:rPr>
                <w:rFonts w:cs="Times New Roman"/>
              </w:rPr>
              <w:t>88,0</w:t>
            </w:r>
          </w:p>
        </w:tc>
        <w:tc>
          <w:tcPr>
            <w:tcW w:w="1224" w:type="dxa"/>
          </w:tcPr>
          <w:p w:rsidR="005C2091" w:rsidRDefault="00A86293">
            <w:pPr>
              <w:pStyle w:val="CellColumn"/>
              <w:jc w:val="right"/>
            </w:pPr>
            <w:r>
              <w:rPr>
                <w:rFonts w:cs="Times New Roman"/>
              </w:rPr>
              <w:t>242,0</w:t>
            </w:r>
          </w:p>
        </w:tc>
      </w:tr>
    </w:tbl>
    <w:p w:rsidR="005C2091" w:rsidRDefault="005C2091">
      <w:pPr>
        <w:jc w:val="left"/>
      </w:pPr>
    </w:p>
    <w:p w:rsidR="005C2091" w:rsidRDefault="00A86293">
      <w:pPr>
        <w:pStyle w:val="Heading8"/>
        <w:jc w:val="left"/>
      </w:pPr>
      <w:r>
        <w:t>Zakonske i druge pravne osnove</w:t>
      </w:r>
    </w:p>
    <w:p w:rsidR="005C2091" w:rsidRDefault="00A86293">
      <w:r>
        <w:t xml:space="preserve">Zakon o šumama (“Narodne novine” br. 140/05, 82/06, 129/08, 80/10, 124/10, 25/12, 68/12, 148/13 i 94/14) </w:t>
      </w:r>
    </w:p>
    <w:p w:rsidR="005C2091" w:rsidRDefault="00A86293">
      <w:r>
        <w:t xml:space="preserve">Zakon o šumskom reprodukcijskom materijalu (“Narodne novine” br. 75/09, 61/11, 56/13 i 14/14) </w:t>
      </w:r>
    </w:p>
    <w:p w:rsidR="005C2091" w:rsidRDefault="00A86293">
      <w:r>
        <w:t xml:space="preserve">Šumsko-odštetni cjenik (“Narodne novine” br. 37/15) </w:t>
      </w:r>
    </w:p>
    <w:p w:rsidR="005C2091" w:rsidRDefault="00A86293">
      <w:r>
        <w:t xml:space="preserve">Pravilnik o Upisniku dobavljača božićnih drvaca (“Narodne novine” br. 27/15) </w:t>
      </w:r>
    </w:p>
    <w:p w:rsidR="005C2091" w:rsidRDefault="00A86293">
      <w:r>
        <w:t xml:space="preserve">Pravilnik o postupku za ostvarivanje prava na sredstva iz naknade za korištenje općekorisnih funkcija šuma za izvršene radove u šumama („Narodne novine“ br. 22/15 i 93/15) </w:t>
      </w:r>
    </w:p>
    <w:p w:rsidR="005C2091" w:rsidRDefault="00A86293">
      <w:r>
        <w:t xml:space="preserve">Pravilnik o uređivanju šuma („Narodne novine“ br. 79/15) </w:t>
      </w:r>
    </w:p>
    <w:p w:rsidR="005C2091" w:rsidRDefault="00A86293">
      <w:r>
        <w:t xml:space="preserve">Nacionalna šumarska politika i strategija (“Narodne novine” br. 120/03) </w:t>
      </w:r>
    </w:p>
    <w:p w:rsidR="005C2091" w:rsidRDefault="00A86293">
      <w:r>
        <w:t xml:space="preserve">Pravilnik o čuvanju šuma („Narodne novine“ br. 28/15) </w:t>
      </w:r>
    </w:p>
    <w:p w:rsidR="005C2091" w:rsidRDefault="00A86293">
      <w:r>
        <w:t xml:space="preserve">Pravilnik o načinu motrenja oštećenosti šumskih ekosustava („Narodne novine“ br.  76/13 i 122/14) </w:t>
      </w:r>
    </w:p>
    <w:p w:rsidR="005C2091" w:rsidRDefault="00A86293">
      <w:r>
        <w:t xml:space="preserve">Pravilnik o načinu obračuna, obrascima i rokovima uplate naknade za korištenje općekorisnih funkcija šuma („Narodne novine“ br.  19/15) </w:t>
      </w:r>
    </w:p>
    <w:p w:rsidR="005C2091" w:rsidRDefault="00A86293">
      <w:r>
        <w:t xml:space="preserve">Pravilnik o doznaci stabala, obilježavanju drvnih sortimenata, popratnici i šumskom redu („Narodne novine“ br. 17/15) </w:t>
      </w:r>
    </w:p>
    <w:p w:rsidR="005C2091" w:rsidRDefault="00A86293">
      <w:r>
        <w:t xml:space="preserve">Pravilnik o vrsti šumarskih radova, minimalnim uvjetima za njihovo izvođenje te radovima koje šumoposjednici mogu izvoditi samostalno („Narodne novine“ br. 16/15) </w:t>
      </w:r>
    </w:p>
    <w:p w:rsidR="005C2091" w:rsidRDefault="00A86293">
      <w:r>
        <w:t xml:space="preserve">Pravilnik o načinu prikupljanja podataka, vođenju registra te uvjetima korištenja podataka o šumskim požarima („Narodne novine“ br. 75/13 i 150/14) </w:t>
      </w:r>
    </w:p>
    <w:p w:rsidR="005C2091" w:rsidRDefault="00A86293">
      <w:r>
        <w:t xml:space="preserve">Pravilnik o uvjetima i mjerilima za odobrenje opsega nužne doznake stabala u šumama šumoposjednika („Narodne novine“ br. 135/14) </w:t>
      </w:r>
    </w:p>
    <w:p w:rsidR="005C2091" w:rsidRDefault="00A86293">
      <w:r>
        <w:t>Pravilnik o Upisniku šumoposjednika („Narodne novine“ br. 137/14)</w:t>
      </w:r>
    </w:p>
    <w:p w:rsidR="005C2091" w:rsidRDefault="00A86293">
      <w:pPr>
        <w:pStyle w:val="Heading8"/>
        <w:jc w:val="left"/>
      </w:pPr>
      <w:r>
        <w:t>Opis aktivnosti</w:t>
      </w:r>
    </w:p>
    <w:p w:rsidR="005C2091" w:rsidRDefault="00A86293">
      <w:r>
        <w:t>Za provedbu unapređenja gospodarenja šumama i šumskim zemljištima šumoposjednika u Službi se kroz navedenu aktivnost financiraju radovi biološke obnove šuma, materijalni rashodi i rashodi za nabavu nefinancijske imovine sukladno Zakonu o šumama.</w:t>
      </w:r>
    </w:p>
    <w:p w:rsidR="00D3530B" w:rsidRDefault="00D3530B"/>
    <w:p w:rsidR="00D3530B" w:rsidRDefault="00D3530B"/>
    <w:p w:rsidR="005C2091" w:rsidRDefault="00A86293">
      <w:pPr>
        <w:pStyle w:val="Heading8"/>
        <w:jc w:val="left"/>
      </w:pPr>
      <w:r>
        <w:t>Pokazatelji rezultata</w:t>
      </w:r>
    </w:p>
    <w:tbl>
      <w:tblPr>
        <w:tblStyle w:val="StilTablice"/>
        <w:tblW w:w="10206" w:type="dxa"/>
        <w:jc w:val="center"/>
        <w:tblLook w:val="04A0" w:firstRow="1" w:lastRow="0" w:firstColumn="1" w:lastColumn="0" w:noHBand="0" w:noVBand="1"/>
      </w:tblPr>
      <w:tblGrid>
        <w:gridCol w:w="2304"/>
        <w:gridCol w:w="2303"/>
        <w:gridCol w:w="1414"/>
        <w:gridCol w:w="997"/>
        <w:gridCol w:w="1192"/>
        <w:gridCol w:w="997"/>
        <w:gridCol w:w="999"/>
      </w:tblGrid>
      <w:tr w:rsidR="005C2091">
        <w:trPr>
          <w:jc w:val="center"/>
        </w:trPr>
        <w:tc>
          <w:tcPr>
            <w:tcW w:w="2551" w:type="dxa"/>
            <w:shd w:val="clear" w:color="auto" w:fill="B5C0D8"/>
          </w:tcPr>
          <w:p w:rsidR="005C2091" w:rsidRDefault="00A86293">
            <w:pPr>
              <w:jc w:val="center"/>
            </w:pPr>
            <w:r>
              <w:t>Pokazatelj rezultata</w:t>
            </w:r>
          </w:p>
        </w:tc>
        <w:tc>
          <w:tcPr>
            <w:tcW w:w="2551" w:type="dxa"/>
            <w:shd w:val="clear" w:color="auto" w:fill="B5C0D8"/>
          </w:tcPr>
          <w:p w:rsidR="005C2091" w:rsidRDefault="00A86293">
            <w:pPr>
              <w:pStyle w:val="CellHeader"/>
              <w:jc w:val="center"/>
            </w:pPr>
            <w:r>
              <w:rPr>
                <w:rFonts w:cs="Times New Roman"/>
              </w:rPr>
              <w:t>Definicija</w:t>
            </w:r>
          </w:p>
        </w:tc>
        <w:tc>
          <w:tcPr>
            <w:tcW w:w="1020" w:type="dxa"/>
            <w:shd w:val="clear" w:color="auto" w:fill="B5C0D8"/>
          </w:tcPr>
          <w:p w:rsidR="005C2091" w:rsidRDefault="00A86293">
            <w:pPr>
              <w:pStyle w:val="CellHeader"/>
              <w:jc w:val="center"/>
            </w:pPr>
            <w:r>
              <w:rPr>
                <w:rFonts w:cs="Times New Roman"/>
              </w:rPr>
              <w:t>Jedinica</w:t>
            </w:r>
          </w:p>
        </w:tc>
        <w:tc>
          <w:tcPr>
            <w:tcW w:w="1020" w:type="dxa"/>
            <w:shd w:val="clear" w:color="auto" w:fill="B5C0D8"/>
          </w:tcPr>
          <w:p w:rsidR="005C2091" w:rsidRDefault="00A86293">
            <w:pPr>
              <w:pStyle w:val="CellHeader"/>
              <w:jc w:val="center"/>
            </w:pPr>
            <w:r>
              <w:rPr>
                <w:rFonts w:cs="Times New Roman"/>
              </w:rPr>
              <w:t>Polazna vrijednost</w:t>
            </w:r>
          </w:p>
        </w:tc>
        <w:tc>
          <w:tcPr>
            <w:tcW w:w="1020" w:type="dxa"/>
            <w:shd w:val="clear" w:color="auto" w:fill="B5C0D8"/>
          </w:tcPr>
          <w:p w:rsidR="005C2091" w:rsidRDefault="00A86293">
            <w:pPr>
              <w:pStyle w:val="CellHeader"/>
              <w:jc w:val="center"/>
            </w:pPr>
            <w:r>
              <w:rPr>
                <w:rFonts w:cs="Times New Roman"/>
              </w:rPr>
              <w:t>Izvor podataka</w:t>
            </w:r>
          </w:p>
        </w:tc>
        <w:tc>
          <w:tcPr>
            <w:tcW w:w="1020" w:type="dxa"/>
            <w:shd w:val="clear" w:color="auto" w:fill="B5C0D8"/>
          </w:tcPr>
          <w:p w:rsidR="005C2091" w:rsidRDefault="00A86293">
            <w:pPr>
              <w:pStyle w:val="CellHeader"/>
              <w:jc w:val="center"/>
            </w:pPr>
            <w:r>
              <w:rPr>
                <w:rFonts w:cs="Times New Roman"/>
              </w:rPr>
              <w:t>Ciljana vrijednost (2016.)</w:t>
            </w:r>
          </w:p>
        </w:tc>
        <w:tc>
          <w:tcPr>
            <w:tcW w:w="1020" w:type="dxa"/>
            <w:shd w:val="clear" w:color="auto" w:fill="B5C0D8"/>
          </w:tcPr>
          <w:p w:rsidR="005C2091" w:rsidRDefault="00A86293">
            <w:pPr>
              <w:pStyle w:val="CellHeader"/>
              <w:jc w:val="center"/>
            </w:pPr>
            <w:r>
              <w:rPr>
                <w:rFonts w:cs="Times New Roman"/>
              </w:rPr>
              <w:t>Ostvarena vrijednost (2016.)</w:t>
            </w:r>
          </w:p>
        </w:tc>
      </w:tr>
      <w:tr w:rsidR="005C2091">
        <w:trPr>
          <w:jc w:val="center"/>
        </w:trPr>
        <w:tc>
          <w:tcPr>
            <w:tcW w:w="2551" w:type="dxa"/>
          </w:tcPr>
          <w:p w:rsidR="005C2091" w:rsidRDefault="00A86293">
            <w:pPr>
              <w:pStyle w:val="CellColumn"/>
              <w:jc w:val="left"/>
            </w:pPr>
            <w:r>
              <w:rPr>
                <w:rFonts w:cs="Times New Roman"/>
              </w:rPr>
              <w:t>Broj šumoposjednika uključenih u godišnji operativni plan za šume šumoposjednika</w:t>
            </w:r>
          </w:p>
        </w:tc>
        <w:tc>
          <w:tcPr>
            <w:tcW w:w="2551" w:type="dxa"/>
          </w:tcPr>
          <w:p w:rsidR="005C2091" w:rsidRDefault="00A86293">
            <w:pPr>
              <w:pStyle w:val="CellColumn"/>
              <w:jc w:val="left"/>
            </w:pPr>
            <w:r>
              <w:rPr>
                <w:rFonts w:cs="Times New Roman"/>
              </w:rPr>
              <w:t>Informiranjem šumoposjednika o potrebi unapređenja stanja u privatnim šumama i potrebi očuvanja biološke raznolikosti povećati će se broj šumoposjednika uključenih u gospodarenje šumama</w:t>
            </w:r>
          </w:p>
        </w:tc>
        <w:tc>
          <w:tcPr>
            <w:tcW w:w="1020" w:type="dxa"/>
          </w:tcPr>
          <w:p w:rsidR="005C2091" w:rsidRDefault="00A86293">
            <w:pPr>
              <w:pStyle w:val="CellColumn"/>
              <w:jc w:val="right"/>
            </w:pPr>
            <w:r>
              <w:rPr>
                <w:rFonts w:cs="Times New Roman"/>
              </w:rPr>
              <w:t>Broj šumoposjednika</w:t>
            </w:r>
          </w:p>
        </w:tc>
        <w:tc>
          <w:tcPr>
            <w:tcW w:w="1020" w:type="dxa"/>
          </w:tcPr>
          <w:p w:rsidR="005C2091" w:rsidRDefault="00A86293">
            <w:pPr>
              <w:pStyle w:val="CellColumn"/>
              <w:jc w:val="right"/>
            </w:pPr>
            <w:r>
              <w:rPr>
                <w:rFonts w:cs="Times New Roman"/>
              </w:rPr>
              <w:t>20.000</w:t>
            </w:r>
          </w:p>
        </w:tc>
        <w:tc>
          <w:tcPr>
            <w:tcW w:w="1020" w:type="dxa"/>
          </w:tcPr>
          <w:p w:rsidR="005C2091" w:rsidRDefault="00A86293">
            <w:pPr>
              <w:pStyle w:val="CellColumn"/>
              <w:jc w:val="right"/>
            </w:pPr>
            <w:r>
              <w:rPr>
                <w:rFonts w:cs="Times New Roman"/>
              </w:rPr>
              <w:t>Savjetodavna služba i Ministarstvo poljoprivrede</w:t>
            </w:r>
          </w:p>
        </w:tc>
        <w:tc>
          <w:tcPr>
            <w:tcW w:w="1020" w:type="dxa"/>
          </w:tcPr>
          <w:p w:rsidR="005C2091" w:rsidRDefault="00A86293">
            <w:pPr>
              <w:pStyle w:val="CellColumn"/>
              <w:jc w:val="right"/>
            </w:pPr>
            <w:r>
              <w:rPr>
                <w:rFonts w:cs="Times New Roman"/>
              </w:rPr>
              <w:t>20.000</w:t>
            </w:r>
          </w:p>
        </w:tc>
        <w:tc>
          <w:tcPr>
            <w:tcW w:w="1020" w:type="dxa"/>
          </w:tcPr>
          <w:p w:rsidR="005C2091" w:rsidRDefault="00A86293">
            <w:pPr>
              <w:pStyle w:val="CellColumn"/>
              <w:jc w:val="right"/>
            </w:pPr>
            <w:r>
              <w:rPr>
                <w:rFonts w:cs="Times New Roman"/>
              </w:rPr>
              <w:t>17.600</w:t>
            </w:r>
          </w:p>
        </w:tc>
      </w:tr>
      <w:tr w:rsidR="005C2091">
        <w:trPr>
          <w:jc w:val="center"/>
        </w:trPr>
        <w:tc>
          <w:tcPr>
            <w:tcW w:w="2551" w:type="dxa"/>
          </w:tcPr>
          <w:p w:rsidR="005C2091" w:rsidRDefault="00A86293">
            <w:pPr>
              <w:pStyle w:val="CellColumn"/>
              <w:jc w:val="left"/>
            </w:pPr>
            <w:r>
              <w:rPr>
                <w:rFonts w:cs="Times New Roman"/>
              </w:rPr>
              <w:t>Površina šuma i šumskih zemljišta šumoposjednika uključenih u godišnji operativni plan za šume šumoposjednika</w:t>
            </w:r>
          </w:p>
        </w:tc>
        <w:tc>
          <w:tcPr>
            <w:tcW w:w="2551" w:type="dxa"/>
          </w:tcPr>
          <w:p w:rsidR="005C2091" w:rsidRDefault="00A86293">
            <w:pPr>
              <w:pStyle w:val="CellColumn"/>
              <w:jc w:val="left"/>
            </w:pPr>
            <w:r>
              <w:rPr>
                <w:rFonts w:cs="Times New Roman"/>
              </w:rPr>
              <w:t>Površine šuma i šumskih zemljišta uključenih u gospodarenje šumama u razmjeru su s brojem šumoposjednika upisanih u upisnik šumoposjednika</w:t>
            </w:r>
          </w:p>
        </w:tc>
        <w:tc>
          <w:tcPr>
            <w:tcW w:w="1020" w:type="dxa"/>
          </w:tcPr>
          <w:p w:rsidR="005C2091" w:rsidRDefault="00A86293">
            <w:pPr>
              <w:pStyle w:val="CellColumn"/>
              <w:jc w:val="right"/>
            </w:pPr>
            <w:r>
              <w:rPr>
                <w:rFonts w:cs="Times New Roman"/>
              </w:rPr>
              <w:t>ha</w:t>
            </w:r>
          </w:p>
        </w:tc>
        <w:tc>
          <w:tcPr>
            <w:tcW w:w="1020" w:type="dxa"/>
          </w:tcPr>
          <w:p w:rsidR="005C2091" w:rsidRDefault="00A86293">
            <w:pPr>
              <w:pStyle w:val="CellColumn"/>
              <w:jc w:val="right"/>
            </w:pPr>
            <w:r>
              <w:rPr>
                <w:rFonts w:cs="Times New Roman"/>
              </w:rPr>
              <w:t>66.000</w:t>
            </w:r>
          </w:p>
        </w:tc>
        <w:tc>
          <w:tcPr>
            <w:tcW w:w="1020" w:type="dxa"/>
          </w:tcPr>
          <w:p w:rsidR="005C2091" w:rsidRDefault="00A86293">
            <w:pPr>
              <w:pStyle w:val="CellColumn"/>
              <w:jc w:val="right"/>
            </w:pPr>
            <w:r>
              <w:rPr>
                <w:rFonts w:cs="Times New Roman"/>
              </w:rPr>
              <w:t>Savjetodavna služba i Ministarstvo poljoprivrede</w:t>
            </w:r>
          </w:p>
        </w:tc>
        <w:tc>
          <w:tcPr>
            <w:tcW w:w="1020" w:type="dxa"/>
          </w:tcPr>
          <w:p w:rsidR="005C2091" w:rsidRDefault="00A86293">
            <w:pPr>
              <w:pStyle w:val="CellColumn"/>
              <w:jc w:val="right"/>
            </w:pPr>
            <w:r>
              <w:rPr>
                <w:rFonts w:cs="Times New Roman"/>
              </w:rPr>
              <w:t>60.000</w:t>
            </w:r>
          </w:p>
        </w:tc>
        <w:tc>
          <w:tcPr>
            <w:tcW w:w="1020" w:type="dxa"/>
          </w:tcPr>
          <w:p w:rsidR="005C2091" w:rsidRDefault="00A86293">
            <w:pPr>
              <w:pStyle w:val="CellColumn"/>
              <w:jc w:val="right"/>
            </w:pPr>
            <w:r>
              <w:rPr>
                <w:rFonts w:cs="Times New Roman"/>
              </w:rPr>
              <w:t>52.800</w:t>
            </w:r>
          </w:p>
        </w:tc>
      </w:tr>
    </w:tbl>
    <w:p w:rsidR="005C2091" w:rsidRDefault="005C2091">
      <w:pPr>
        <w:jc w:val="left"/>
      </w:pPr>
    </w:p>
    <w:p w:rsidR="00505632" w:rsidRPr="00FE4B89" w:rsidRDefault="00D3530B" w:rsidP="00505632">
      <w:r>
        <w:br w:type="page"/>
      </w:r>
    </w:p>
    <w:p w:rsidR="00505632" w:rsidRDefault="00505632" w:rsidP="00505632">
      <w:pPr>
        <w:pStyle w:val="Heading1"/>
      </w:pPr>
      <w:r>
        <w:t>061 MINISTARSTVO REGIONALNOGA RAZVOJA I FONDOVA EUROPSKE UNIJE</w:t>
      </w:r>
    </w:p>
    <w:p w:rsidR="00505632" w:rsidRDefault="00505632" w:rsidP="00505632">
      <w:r>
        <w:t xml:space="preserve">Tijekom 2016. godine Ministarstvo regionalnoga razvoja i fondova Europske unije bio je nositelj politike ravnomjernog regionalnog razvoja čiji je bio cilj dodatno razvijati slabije razvijena područja u Republici Hrvatskoj i tako smanjiti regionalne razvojne nejednakosti u Republici Hrvatskoj. Regionalni razvoj jedna je od najvažnijih smjernica Europske unije koja čak trećinu svoga proračuna izdvaja za razvoj slabije razvijenih regija u EU, kroz kohezijsku politiku EU. Ministarstvo regionalnoga razvoja i fondova Europske unije osiguralo je strateški i institucionalni okvir za upravljanje sredstvima iz fondova Europske unije, državnog proračuna i ostalih izvora koji su maksimizirali pozitivne učinke korištenja sredstava na konkurentnost hrvatskog gospodarstva, društveni standard hrvatskih građana te uravnoteženi regionalni razvoj.  </w:t>
      </w:r>
    </w:p>
    <w:p w:rsidR="00505632" w:rsidRDefault="00505632" w:rsidP="00505632">
      <w:r>
        <w:t xml:space="preserve">Pod nadležnosti ministarstva od 2016. godine nalazi se glava 10 Fond za obnovu i razvoj Grada Vukovara koji je imao za cilj podržavanje institucija, organizacija, poduzetnika i građana u provedbi razvojnih projekata na području grada Vukovara.  </w:t>
      </w:r>
    </w:p>
    <w:p w:rsidR="00505632" w:rsidRDefault="00505632" w:rsidP="00505632">
      <w:r>
        <w:t xml:space="preserve">U nadležnosti Ministarstva regionalnoga razvoja i fondova EU nalazi se glava 20 Agencija za regionalni razvoj Republike Hrvatske koja je osnovana 24. prosinca 2008. godine Uredbom o osnivanju Agencije za regionalni razvoj Republike Hrvatske (Narodne novine, broj 155/08), kao provedbeno tijelo Ministarstva regionalnoga razvoja i fondova EU za financiranje, nabavu, plaćanje i nadzor provedbe projekata regionalne razvojne politike Republike Hrvatske. Agencija je akreditirana od strane Europske komisije čime je potvrđena kao provedbeno i ugovarateljno tijelo za II B IPA komponentu koja uključuje transnacionalne programe i programe prekogranične suradnje. Provedba predstavlja financijsko upravljanje projektima, pripremu i izradu smjernica za natječajne procedure, provođenje postupaka nabave vezano za prijave projekata za dodjelu sredstava iz pojedinih programa, ocjenjivanje projektnih ideja, odabira projekata kojima će se dodijeliti financijska sredstva, priprema i zaključenje ugovora, vršenje plaćanja prema utvrđenim kriterijima i sklopljenim ugovorima te praćenje tijekova financijskih sredstava.  </w:t>
      </w:r>
    </w:p>
    <w:p w:rsidR="00505632" w:rsidRDefault="00505632" w:rsidP="00505632">
      <w:r>
        <w:t xml:space="preserve">Također, u nadležnosti ministarstva postoji glava 25 Središnja agencija za financiranje i ugovaranje programa i projekata Europske unije SAFU, javna ustanova koja je osnovana 2007. godine.  </w:t>
      </w:r>
    </w:p>
    <w:p w:rsidR="00505632" w:rsidRDefault="00505632" w:rsidP="00505632">
      <w:r>
        <w:t xml:space="preserve">Kao Provedbena agencija za I. komponentu IPA programa i Prijelazni instrument, nadležnost SAFU-a  je bila cjelokupno upravljanje sredstvima, natječajne procedure i procedure nadmetanja, ugovaranje, plaćanja, računovodstvo te izvještavanje o financiranju nabave u decentraliziranom sustavu provedbe programa iz EU fondova u Republici Hrvatskoj.  </w:t>
      </w:r>
    </w:p>
    <w:p w:rsidR="00505632" w:rsidRDefault="00505632" w:rsidP="00505632">
      <w:r>
        <w:t xml:space="preserve">Izravno vezana na ulogu provedbenog tijela jest bila dodatna uloga Twinning administrativnog ureda, koju je SAFU obavljao u okviru I. komponente IPA programa i Prijelaznog instrumenta za sve Twinning i Twinning light projekte koji su se provodili u Republici Hrvatskoj.  </w:t>
      </w:r>
    </w:p>
    <w:p w:rsidR="00505632" w:rsidRDefault="00505632" w:rsidP="00505632">
      <w:r>
        <w:t>U sustavu upravljanja i korištenja strukturnih instrumenata, u pojedinim operativnim programima, SAFU je imao ulogu Posredničkog tijela razine 2, pri čemu je Agencija bila zadužena za pripremu metodologije za ocjenjivanje kriterija prihvatljivosti projektnih prijava, provođenje postupaka provjere prihvatljivosti projektnih prijava te, kao jedan od potpisnika ugovora, kontrolu prihvatljivosti troškova i nadzor provedbe projekata.</w:t>
      </w:r>
    </w:p>
    <w:tbl>
      <w:tblPr>
        <w:tblStyle w:val="StilTablice"/>
        <w:tblW w:w="10206" w:type="dxa"/>
        <w:jc w:val="center"/>
        <w:tblLook w:val="04A0" w:firstRow="1" w:lastRow="0" w:firstColumn="1" w:lastColumn="0" w:noHBand="0" w:noVBand="1"/>
      </w:tblPr>
      <w:tblGrid>
        <w:gridCol w:w="1714"/>
        <w:gridCol w:w="2018"/>
        <w:gridCol w:w="2018"/>
        <w:gridCol w:w="2018"/>
        <w:gridCol w:w="1218"/>
        <w:gridCol w:w="1220"/>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06105-Ministarstvo regionalnoga razvoja i fondova Europske unije</w:t>
            </w:r>
          </w:p>
        </w:tc>
        <w:tc>
          <w:tcPr>
            <w:tcW w:w="2041" w:type="dxa"/>
            <w:vAlign w:val="top"/>
          </w:tcPr>
          <w:p w:rsidR="00505632" w:rsidRDefault="00505632" w:rsidP="00AD4E52">
            <w:pPr>
              <w:pStyle w:val="CellColumn"/>
              <w:jc w:val="right"/>
            </w:pPr>
            <w:r>
              <w:rPr>
                <w:rFonts w:cs="Times New Roman"/>
              </w:rPr>
              <w:t>440.701.724</w:t>
            </w:r>
          </w:p>
        </w:tc>
        <w:tc>
          <w:tcPr>
            <w:tcW w:w="2041" w:type="dxa"/>
            <w:vAlign w:val="top"/>
          </w:tcPr>
          <w:p w:rsidR="00505632" w:rsidRDefault="00505632" w:rsidP="00AD4E52">
            <w:pPr>
              <w:pStyle w:val="CellColumn"/>
              <w:jc w:val="right"/>
            </w:pPr>
            <w:r>
              <w:rPr>
                <w:rFonts w:cs="Times New Roman"/>
              </w:rPr>
              <w:t>777.205.387</w:t>
            </w:r>
          </w:p>
        </w:tc>
        <w:tc>
          <w:tcPr>
            <w:tcW w:w="2041" w:type="dxa"/>
            <w:vAlign w:val="top"/>
          </w:tcPr>
          <w:p w:rsidR="00505632" w:rsidRDefault="00505632" w:rsidP="00AD4E52">
            <w:pPr>
              <w:pStyle w:val="CellColumn"/>
              <w:jc w:val="right"/>
            </w:pPr>
            <w:r>
              <w:rPr>
                <w:rFonts w:cs="Times New Roman"/>
              </w:rPr>
              <w:t>510.136.274</w:t>
            </w:r>
          </w:p>
        </w:tc>
        <w:tc>
          <w:tcPr>
            <w:tcW w:w="1224" w:type="dxa"/>
            <w:vAlign w:val="top"/>
          </w:tcPr>
          <w:p w:rsidR="00505632" w:rsidRDefault="00505632" w:rsidP="00AD4E52">
            <w:pPr>
              <w:pStyle w:val="CellColumn"/>
              <w:jc w:val="right"/>
            </w:pPr>
            <w:r>
              <w:rPr>
                <w:rFonts w:cs="Times New Roman"/>
              </w:rPr>
              <w:t>65,6</w:t>
            </w:r>
          </w:p>
        </w:tc>
        <w:tc>
          <w:tcPr>
            <w:tcW w:w="1224" w:type="dxa"/>
            <w:vAlign w:val="top"/>
          </w:tcPr>
          <w:p w:rsidR="00505632" w:rsidRDefault="00505632" w:rsidP="00AD4E52">
            <w:pPr>
              <w:pStyle w:val="CellColumn"/>
              <w:jc w:val="right"/>
            </w:pPr>
            <w:r>
              <w:rPr>
                <w:rFonts w:cs="Times New Roman"/>
              </w:rPr>
              <w:t>115,8</w:t>
            </w:r>
          </w:p>
        </w:tc>
      </w:tr>
      <w:tr w:rsidR="00505632" w:rsidTr="00AD4E52">
        <w:trPr>
          <w:jc w:val="center"/>
        </w:trPr>
        <w:tc>
          <w:tcPr>
            <w:tcW w:w="1632" w:type="dxa"/>
            <w:vAlign w:val="top"/>
          </w:tcPr>
          <w:p w:rsidR="00505632" w:rsidRDefault="00505632" w:rsidP="00AD4E52">
            <w:pPr>
              <w:pStyle w:val="CellColumn"/>
              <w:jc w:val="left"/>
            </w:pPr>
            <w:r>
              <w:rPr>
                <w:rFonts w:cs="Times New Roman"/>
              </w:rPr>
              <w:t>06110-Fond za obnovu i razvoj Grada Vukovara</w:t>
            </w:r>
          </w:p>
        </w:tc>
        <w:tc>
          <w:tcPr>
            <w:tcW w:w="2041" w:type="dxa"/>
            <w:vAlign w:val="top"/>
          </w:tcPr>
          <w:p w:rsidR="00505632" w:rsidRDefault="00505632" w:rsidP="00AD4E52">
            <w:pPr>
              <w:pStyle w:val="CellColumn"/>
              <w:jc w:val="right"/>
            </w:pPr>
            <w:r>
              <w:rPr>
                <w:rFonts w:cs="Times New Roman"/>
              </w:rPr>
              <w:t>00</w:t>
            </w:r>
          </w:p>
        </w:tc>
        <w:tc>
          <w:tcPr>
            <w:tcW w:w="2041" w:type="dxa"/>
            <w:vAlign w:val="top"/>
          </w:tcPr>
          <w:p w:rsidR="00505632" w:rsidRDefault="00505632" w:rsidP="00AD4E52">
            <w:pPr>
              <w:pStyle w:val="CellColumn"/>
              <w:jc w:val="right"/>
            </w:pPr>
            <w:r>
              <w:rPr>
                <w:rFonts w:cs="Times New Roman"/>
              </w:rPr>
              <w:t>39.675.000</w:t>
            </w:r>
          </w:p>
        </w:tc>
        <w:tc>
          <w:tcPr>
            <w:tcW w:w="2041" w:type="dxa"/>
            <w:vAlign w:val="top"/>
          </w:tcPr>
          <w:p w:rsidR="00505632" w:rsidRDefault="00505632" w:rsidP="00AD4E52">
            <w:pPr>
              <w:pStyle w:val="CellColumn"/>
              <w:jc w:val="right"/>
            </w:pPr>
            <w:r>
              <w:rPr>
                <w:rFonts w:cs="Times New Roman"/>
              </w:rPr>
              <w:t>39.518.042</w:t>
            </w:r>
          </w:p>
        </w:tc>
        <w:tc>
          <w:tcPr>
            <w:tcW w:w="1224" w:type="dxa"/>
            <w:vAlign w:val="top"/>
          </w:tcPr>
          <w:p w:rsidR="00505632" w:rsidRDefault="00505632" w:rsidP="00AD4E52">
            <w:pPr>
              <w:pStyle w:val="CellColumn"/>
              <w:jc w:val="right"/>
            </w:pPr>
            <w:r>
              <w:rPr>
                <w:rFonts w:cs="Times New Roman"/>
              </w:rPr>
              <w:t>99,6</w:t>
            </w:r>
          </w:p>
        </w:tc>
        <w:tc>
          <w:tcPr>
            <w:tcW w:w="1224" w:type="dxa"/>
            <w:vAlign w:val="top"/>
          </w:tcPr>
          <w:p w:rsidR="00505632" w:rsidRDefault="00505632" w:rsidP="00AD4E52">
            <w:pPr>
              <w:pStyle w:val="CellColumn"/>
              <w:jc w:val="right"/>
            </w:pPr>
            <w:r>
              <w:rPr>
                <w:rFonts w:cs="Times New Roman"/>
              </w:rPr>
              <w:t>0,0</w:t>
            </w:r>
          </w:p>
        </w:tc>
      </w:tr>
      <w:tr w:rsidR="00505632" w:rsidTr="00AD4E52">
        <w:trPr>
          <w:jc w:val="center"/>
        </w:trPr>
        <w:tc>
          <w:tcPr>
            <w:tcW w:w="1632" w:type="dxa"/>
            <w:vAlign w:val="top"/>
          </w:tcPr>
          <w:p w:rsidR="00505632" w:rsidRDefault="00505632" w:rsidP="00AD4E52">
            <w:pPr>
              <w:pStyle w:val="CellColumn"/>
              <w:jc w:val="left"/>
            </w:pPr>
            <w:r>
              <w:rPr>
                <w:rFonts w:cs="Times New Roman"/>
              </w:rPr>
              <w:t>06120-Agencija za regionalni razvoj Republike Hrvatske</w:t>
            </w:r>
          </w:p>
        </w:tc>
        <w:tc>
          <w:tcPr>
            <w:tcW w:w="2041" w:type="dxa"/>
            <w:vAlign w:val="top"/>
          </w:tcPr>
          <w:p w:rsidR="00505632" w:rsidRDefault="00505632" w:rsidP="00AD4E52">
            <w:pPr>
              <w:pStyle w:val="CellColumn"/>
              <w:jc w:val="right"/>
            </w:pPr>
            <w:r>
              <w:rPr>
                <w:rFonts w:cs="Times New Roman"/>
              </w:rPr>
              <w:t>12.001.902</w:t>
            </w:r>
          </w:p>
        </w:tc>
        <w:tc>
          <w:tcPr>
            <w:tcW w:w="2041" w:type="dxa"/>
            <w:vAlign w:val="top"/>
          </w:tcPr>
          <w:p w:rsidR="00505632" w:rsidRDefault="00505632" w:rsidP="00AD4E52">
            <w:pPr>
              <w:pStyle w:val="CellColumn"/>
              <w:jc w:val="right"/>
            </w:pPr>
            <w:r>
              <w:rPr>
                <w:rFonts w:cs="Times New Roman"/>
              </w:rPr>
              <w:t>15.751.944</w:t>
            </w:r>
          </w:p>
        </w:tc>
        <w:tc>
          <w:tcPr>
            <w:tcW w:w="2041" w:type="dxa"/>
            <w:vAlign w:val="top"/>
          </w:tcPr>
          <w:p w:rsidR="00505632" w:rsidRDefault="00505632" w:rsidP="00AD4E52">
            <w:pPr>
              <w:pStyle w:val="CellColumn"/>
              <w:jc w:val="right"/>
            </w:pPr>
            <w:r>
              <w:rPr>
                <w:rFonts w:cs="Times New Roman"/>
              </w:rPr>
              <w:t>13.489.828</w:t>
            </w:r>
          </w:p>
        </w:tc>
        <w:tc>
          <w:tcPr>
            <w:tcW w:w="1224" w:type="dxa"/>
            <w:vAlign w:val="top"/>
          </w:tcPr>
          <w:p w:rsidR="00505632" w:rsidRDefault="00505632" w:rsidP="00AD4E52">
            <w:pPr>
              <w:pStyle w:val="CellColumn"/>
              <w:jc w:val="right"/>
            </w:pPr>
            <w:r>
              <w:rPr>
                <w:rFonts w:cs="Times New Roman"/>
              </w:rPr>
              <w:t>85,6</w:t>
            </w:r>
          </w:p>
        </w:tc>
        <w:tc>
          <w:tcPr>
            <w:tcW w:w="1224" w:type="dxa"/>
            <w:vAlign w:val="top"/>
          </w:tcPr>
          <w:p w:rsidR="00505632" w:rsidRDefault="00505632" w:rsidP="00AD4E52">
            <w:pPr>
              <w:pStyle w:val="CellColumn"/>
              <w:jc w:val="right"/>
            </w:pPr>
            <w:r>
              <w:rPr>
                <w:rFonts w:cs="Times New Roman"/>
              </w:rPr>
              <w:t>112,4</w:t>
            </w:r>
          </w:p>
        </w:tc>
      </w:tr>
      <w:tr w:rsidR="00505632" w:rsidTr="00AD4E52">
        <w:trPr>
          <w:jc w:val="center"/>
        </w:trPr>
        <w:tc>
          <w:tcPr>
            <w:tcW w:w="1632" w:type="dxa"/>
            <w:vAlign w:val="top"/>
          </w:tcPr>
          <w:p w:rsidR="00505632" w:rsidRDefault="00505632" w:rsidP="00AD4E52">
            <w:pPr>
              <w:pStyle w:val="CellColumn"/>
              <w:jc w:val="left"/>
            </w:pPr>
            <w:r>
              <w:rPr>
                <w:rFonts w:cs="Times New Roman"/>
              </w:rPr>
              <w:t>06125-Središnja agencija za financiranje i ugovaranje programa i projekata Europske unije</w:t>
            </w:r>
          </w:p>
        </w:tc>
        <w:tc>
          <w:tcPr>
            <w:tcW w:w="2041" w:type="dxa"/>
            <w:vAlign w:val="top"/>
          </w:tcPr>
          <w:p w:rsidR="00505632" w:rsidRDefault="00505632" w:rsidP="00AD4E52">
            <w:pPr>
              <w:pStyle w:val="CellColumn"/>
              <w:jc w:val="right"/>
            </w:pPr>
            <w:r>
              <w:rPr>
                <w:rFonts w:cs="Times New Roman"/>
              </w:rPr>
              <w:t>31.627.033</w:t>
            </w:r>
          </w:p>
        </w:tc>
        <w:tc>
          <w:tcPr>
            <w:tcW w:w="2041" w:type="dxa"/>
            <w:vAlign w:val="top"/>
          </w:tcPr>
          <w:p w:rsidR="00505632" w:rsidRDefault="00505632" w:rsidP="00AD4E52">
            <w:pPr>
              <w:pStyle w:val="CellColumn"/>
              <w:jc w:val="right"/>
            </w:pPr>
            <w:r>
              <w:rPr>
                <w:rFonts w:cs="Times New Roman"/>
              </w:rPr>
              <w:t>42.584.149</w:t>
            </w:r>
          </w:p>
        </w:tc>
        <w:tc>
          <w:tcPr>
            <w:tcW w:w="2041" w:type="dxa"/>
            <w:vAlign w:val="top"/>
          </w:tcPr>
          <w:p w:rsidR="00505632" w:rsidRDefault="00505632" w:rsidP="00AD4E52">
            <w:pPr>
              <w:pStyle w:val="CellColumn"/>
              <w:jc w:val="right"/>
            </w:pPr>
            <w:r>
              <w:rPr>
                <w:rFonts w:cs="Times New Roman"/>
              </w:rPr>
              <w:t>39.020.834</w:t>
            </w:r>
          </w:p>
        </w:tc>
        <w:tc>
          <w:tcPr>
            <w:tcW w:w="1224" w:type="dxa"/>
            <w:vAlign w:val="top"/>
          </w:tcPr>
          <w:p w:rsidR="00505632" w:rsidRDefault="00505632" w:rsidP="00AD4E52">
            <w:pPr>
              <w:pStyle w:val="CellColumn"/>
              <w:jc w:val="right"/>
            </w:pPr>
            <w:r>
              <w:rPr>
                <w:rFonts w:cs="Times New Roman"/>
              </w:rPr>
              <w:t>91,6</w:t>
            </w:r>
          </w:p>
        </w:tc>
        <w:tc>
          <w:tcPr>
            <w:tcW w:w="1224" w:type="dxa"/>
            <w:vAlign w:val="top"/>
          </w:tcPr>
          <w:p w:rsidR="00505632" w:rsidRDefault="00505632" w:rsidP="00AD4E52">
            <w:pPr>
              <w:pStyle w:val="CellColumn"/>
              <w:jc w:val="right"/>
            </w:pPr>
            <w:r>
              <w:rPr>
                <w:rFonts w:cs="Times New Roman"/>
              </w:rPr>
              <w:t>123,4</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061-MINISTARSTVO REGIONALNOGA RAZVOJA I FONDOVA EUROPSKE UNIJE</w:t>
            </w:r>
          </w:p>
        </w:tc>
        <w:tc>
          <w:tcPr>
            <w:tcW w:w="2041" w:type="dxa"/>
            <w:shd w:val="clear" w:color="auto" w:fill="B5C0D8"/>
          </w:tcPr>
          <w:p w:rsidR="00505632" w:rsidRDefault="00505632" w:rsidP="00AD4E52">
            <w:pPr>
              <w:pStyle w:val="CellColumn"/>
              <w:jc w:val="right"/>
            </w:pPr>
            <w:r>
              <w:rPr>
                <w:rFonts w:cs="Times New Roman"/>
              </w:rPr>
              <w:t>484.330.658</w:t>
            </w:r>
          </w:p>
        </w:tc>
        <w:tc>
          <w:tcPr>
            <w:tcW w:w="2041" w:type="dxa"/>
            <w:shd w:val="clear" w:color="auto" w:fill="B5C0D8"/>
          </w:tcPr>
          <w:p w:rsidR="00505632" w:rsidRDefault="00505632" w:rsidP="00AD4E52">
            <w:pPr>
              <w:pStyle w:val="CellColumn"/>
              <w:jc w:val="right"/>
            </w:pPr>
            <w:r>
              <w:rPr>
                <w:rFonts w:cs="Times New Roman"/>
              </w:rPr>
              <w:t>875.216.480</w:t>
            </w:r>
          </w:p>
        </w:tc>
        <w:tc>
          <w:tcPr>
            <w:tcW w:w="2041" w:type="dxa"/>
            <w:shd w:val="clear" w:color="auto" w:fill="B5C0D8"/>
          </w:tcPr>
          <w:p w:rsidR="00505632" w:rsidRDefault="00505632" w:rsidP="00AD4E52">
            <w:pPr>
              <w:pStyle w:val="CellColumn"/>
              <w:jc w:val="right"/>
            </w:pPr>
            <w:r>
              <w:rPr>
                <w:rFonts w:cs="Times New Roman"/>
              </w:rPr>
              <w:t>602.164.977</w:t>
            </w:r>
          </w:p>
        </w:tc>
        <w:tc>
          <w:tcPr>
            <w:tcW w:w="1224" w:type="dxa"/>
            <w:shd w:val="clear" w:color="auto" w:fill="B5C0D8"/>
          </w:tcPr>
          <w:p w:rsidR="00505632" w:rsidRDefault="00505632" w:rsidP="00AD4E52">
            <w:pPr>
              <w:pStyle w:val="CellColumn"/>
              <w:jc w:val="right"/>
            </w:pPr>
            <w:r>
              <w:rPr>
                <w:rFonts w:cs="Times New Roman"/>
              </w:rPr>
              <w:t>68,8</w:t>
            </w:r>
          </w:p>
        </w:tc>
        <w:tc>
          <w:tcPr>
            <w:tcW w:w="1224" w:type="dxa"/>
            <w:shd w:val="clear" w:color="auto" w:fill="B5C0D8"/>
          </w:tcPr>
          <w:p w:rsidR="00505632" w:rsidRDefault="00505632" w:rsidP="00AD4E52">
            <w:pPr>
              <w:pStyle w:val="CellColumn"/>
              <w:jc w:val="right"/>
            </w:pPr>
            <w:r>
              <w:rPr>
                <w:rFonts w:cs="Times New Roman"/>
              </w:rPr>
              <w:t>124,3</w:t>
            </w:r>
          </w:p>
        </w:tc>
      </w:tr>
    </w:tbl>
    <w:p w:rsidR="00505632" w:rsidRDefault="00505632" w:rsidP="00505632">
      <w:pPr>
        <w:jc w:val="left"/>
      </w:pPr>
    </w:p>
    <w:p w:rsidR="00505632" w:rsidRDefault="00505632" w:rsidP="00505632">
      <w:pPr>
        <w:pStyle w:val="Heading2"/>
      </w:pPr>
      <w:r>
        <w:t>06105 Ministarstvo regionalnoga razvoja i fondova Europske unije</w:t>
      </w:r>
    </w:p>
    <w:p w:rsidR="00505632" w:rsidRDefault="00505632" w:rsidP="00505632">
      <w:r>
        <w:t xml:space="preserve">Ministarstvo regionalnoga razvoja i fondova Europske unije tijekom 2016. godine bio je nositelj  politike ravnomjernog regionalnog razvoja čiji je cilj bio dodatno razvijati slabije razvijena područja u Republici Hrvatskoj i na taj način nastojati smanjiti regionalne razvojne nejednakosti u Republici Hrvatskoj. Regionalni razvoj jedna je od najvažnijih smjernica Europske unije koja čak trećinu svoga proračuna izdvaja za razvoj slabije razvijenih regija u EU, kroz kohezijsku politiku EU  Ministarstvo regionalnoga razvoja i fondova Europske unije osiguralo je strateški i institucionalni okvir za upravljanje sredstvima iz fondova Europske unije, državnog proračuna i ostalih izvora koji su maksimizirati pozitivne učinke korištenja sredstava na konkurentnost hrvatskog gospodarstva, društveni standard hrvatskih građana te uravnoteženi regionalni razvoj.  </w:t>
      </w:r>
    </w:p>
    <w:p w:rsidR="00505632" w:rsidRDefault="00505632" w:rsidP="00505632">
      <w:r>
        <w:t xml:space="preserve">Vizija Ministarstva je bila ravnomjerni razvoj svih krajeva Hrvatske.  </w:t>
      </w:r>
    </w:p>
    <w:p w:rsidR="00505632" w:rsidRDefault="00505632" w:rsidP="00505632">
      <w:r>
        <w:t xml:space="preserve">Misija Ministarstva je bila osigurati kvalitetne javne politike za unaprjeđenje radnih i životnih uvjeta u svim dijelovima Hrvatske, a osobito u slabije razvijenim područjima.  </w:t>
      </w:r>
    </w:p>
    <w:p w:rsidR="00505632" w:rsidRDefault="00505632" w:rsidP="00505632">
      <w:r>
        <w:t xml:space="preserve">Ministarstvo regionalnoga razvoja i fondova Europske unije obavljalo je  upravne i druge poslove koji su se odnosili na:   </w:t>
      </w:r>
    </w:p>
    <w:p w:rsidR="00505632" w:rsidRDefault="00505632" w:rsidP="00505632">
      <w:r>
        <w:t xml:space="preserve">•planiranje i provođenje regionalne razvojne politike i uspostave cjelovitog sustava planiranja, programiranja, upravljanja i financiranja regionalnoga razvoja  </w:t>
      </w:r>
    </w:p>
    <w:p w:rsidR="00505632" w:rsidRDefault="00505632" w:rsidP="00505632">
      <w:r>
        <w:t xml:space="preserve">•koordinaciju sudionika i aktivnosti vezanih uz planiranje, programiranje, provedbu, praćenje provedbe i vrednovanje godišnjih i višegodišnjih regionalnih razvojnih programa i projekata koji su namijenjeni razvoju županija i širih regija, poticanju razvoja područja koja zaostaju za nacionalnim razvojnim prosjekom, poticanju razvoja prekogranične, međuregionalne i transnacionalne suradnje kao i na pripremu prioriteta i višegodišnjih i godišnjih strateških i operativnih dokumenata za korištenje sredstava fondova Europske unije i ostalih međunarodnih izvora financiranja namijenjenih regionalnom razvoju  </w:t>
      </w:r>
    </w:p>
    <w:p w:rsidR="00505632" w:rsidRDefault="00505632" w:rsidP="00505632">
      <w:r>
        <w:t xml:space="preserve">•predlaganje izmjena sustava upravljanja regionalnim razvojem  </w:t>
      </w:r>
    </w:p>
    <w:p w:rsidR="00505632" w:rsidRDefault="00505632" w:rsidP="00505632">
      <w:r>
        <w:t xml:space="preserve">•predlaganje i koordinaciju provedbe državnih poticajnih mjera i regionalnih razvojnih programa i projekata te praćenje njihove provedbe i vrednovanje njihovih učinaka  </w:t>
      </w:r>
    </w:p>
    <w:p w:rsidR="00505632" w:rsidRDefault="00505632" w:rsidP="00505632">
      <w:r>
        <w:t xml:space="preserve">•koordinaciju i vođenje svih međuresornih radnih skupina vezano uz regionalni razvoj i koordinaciju svih poslova vezanih za usklađivanje s Europskom unijom na području regionalne politike i upravljanja strukturnim instrumentima  </w:t>
      </w:r>
    </w:p>
    <w:p w:rsidR="00505632" w:rsidRDefault="00505632" w:rsidP="00505632">
      <w:r>
        <w:t xml:space="preserve">•suradnju i koordinaciju potrebnih aktivnosti s jedinicama lokalne i regionalne (područne) samouprave, te s ostalim sudionicima i nositeljima u pripremi, organizaciji i provedbi razvojnih programa i projekata  </w:t>
      </w:r>
    </w:p>
    <w:p w:rsidR="00505632" w:rsidRDefault="00505632" w:rsidP="00505632">
      <w:r>
        <w:t xml:space="preserve">•pripremu strateških dokumenata koji uređuju nacionalne razvojne ciljeve i prioritete za korištenje sredstava iz fondova Europske unije te prati provedbu mjera i aktivnosti utvrđenih takvim strateškim dokumentima; koordinira poslove vezane uz upravljanje programima Europske unije otvorenih Republici Hrvatskoj, te u okviru svojeg djelokruga surađuje s institucijama i tijelima Europske unije i državama članicama  </w:t>
      </w:r>
    </w:p>
    <w:p w:rsidR="00505632" w:rsidRDefault="00505632" w:rsidP="00505632">
      <w:r>
        <w:t xml:space="preserve">•održivi razvoj Jadranskog mora, otoka i priobalja; predlaganje razvojne politike i uspostave cjelovitog sustava planiranja, programiranja, upravljanja i financiranja razvoja otoka i priobalja, planiranje, izradu i provedbu strateških dokumenata i projekata prometne, komunalne i društvene infrastrukture na otocima i u priobalju; pokretanje, usklađivanje i nadzor poslova određenih aktima i propisima kojima se uređuje razvitak otoka i priobalja  </w:t>
      </w:r>
    </w:p>
    <w:p w:rsidR="00505632" w:rsidRDefault="00505632" w:rsidP="00505632">
      <w:r>
        <w:t>•upravne i druge poslove koji se odnose na sudjelovanje u radu tijela Europske unije na područjima iz nadležnosti ministarstva</w:t>
      </w:r>
    </w:p>
    <w:tbl>
      <w:tblPr>
        <w:tblStyle w:val="StilTablice"/>
        <w:tblW w:w="10206" w:type="dxa"/>
        <w:jc w:val="center"/>
        <w:tblLook w:val="04A0" w:firstRow="1" w:lastRow="0" w:firstColumn="1" w:lastColumn="0" w:noHBand="0" w:noVBand="1"/>
      </w:tblPr>
      <w:tblGrid>
        <w:gridCol w:w="1881"/>
        <w:gridCol w:w="1969"/>
        <w:gridCol w:w="1970"/>
        <w:gridCol w:w="1970"/>
        <w:gridCol w:w="1204"/>
        <w:gridCol w:w="121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06105-Ministarstvo regionalnoga razvoja i fondova Europske unije</w:t>
            </w:r>
          </w:p>
        </w:tc>
        <w:tc>
          <w:tcPr>
            <w:tcW w:w="2041" w:type="dxa"/>
            <w:vAlign w:val="top"/>
          </w:tcPr>
          <w:p w:rsidR="00505632" w:rsidRDefault="00505632" w:rsidP="00AD4E52">
            <w:pPr>
              <w:pStyle w:val="CellColumn"/>
              <w:jc w:val="right"/>
            </w:pPr>
            <w:r>
              <w:rPr>
                <w:rFonts w:cs="Times New Roman"/>
              </w:rPr>
              <w:t>440.701.724</w:t>
            </w:r>
          </w:p>
        </w:tc>
        <w:tc>
          <w:tcPr>
            <w:tcW w:w="2041" w:type="dxa"/>
            <w:vAlign w:val="top"/>
          </w:tcPr>
          <w:p w:rsidR="00505632" w:rsidRDefault="00505632" w:rsidP="00AD4E52">
            <w:pPr>
              <w:pStyle w:val="CellColumn"/>
              <w:jc w:val="right"/>
            </w:pPr>
            <w:r>
              <w:rPr>
                <w:rFonts w:cs="Times New Roman"/>
              </w:rPr>
              <w:t>777.205.387</w:t>
            </w:r>
          </w:p>
        </w:tc>
        <w:tc>
          <w:tcPr>
            <w:tcW w:w="2041" w:type="dxa"/>
            <w:vAlign w:val="top"/>
          </w:tcPr>
          <w:p w:rsidR="00505632" w:rsidRDefault="00505632" w:rsidP="00AD4E52">
            <w:pPr>
              <w:pStyle w:val="CellColumn"/>
              <w:jc w:val="right"/>
            </w:pPr>
            <w:r>
              <w:rPr>
                <w:rFonts w:cs="Times New Roman"/>
              </w:rPr>
              <w:t>510.136.274</w:t>
            </w:r>
          </w:p>
        </w:tc>
        <w:tc>
          <w:tcPr>
            <w:tcW w:w="1224" w:type="dxa"/>
            <w:vAlign w:val="top"/>
          </w:tcPr>
          <w:p w:rsidR="00505632" w:rsidRDefault="00505632" w:rsidP="00AD4E52">
            <w:pPr>
              <w:pStyle w:val="CellColumn"/>
              <w:jc w:val="right"/>
            </w:pPr>
            <w:r>
              <w:rPr>
                <w:rFonts w:cs="Times New Roman"/>
              </w:rPr>
              <w:t>65,6</w:t>
            </w:r>
          </w:p>
        </w:tc>
        <w:tc>
          <w:tcPr>
            <w:tcW w:w="1224" w:type="dxa"/>
            <w:vAlign w:val="top"/>
          </w:tcPr>
          <w:p w:rsidR="00505632" w:rsidRDefault="00505632" w:rsidP="00AD4E52">
            <w:pPr>
              <w:pStyle w:val="CellColumn"/>
              <w:jc w:val="right"/>
            </w:pPr>
            <w:r>
              <w:rPr>
                <w:rFonts w:cs="Times New Roman"/>
              </w:rPr>
              <w:t>115,8</w:t>
            </w:r>
          </w:p>
        </w:tc>
      </w:tr>
      <w:tr w:rsidR="00505632" w:rsidTr="00AD4E52">
        <w:trPr>
          <w:jc w:val="center"/>
        </w:trPr>
        <w:tc>
          <w:tcPr>
            <w:tcW w:w="1632" w:type="dxa"/>
          </w:tcPr>
          <w:p w:rsidR="00505632" w:rsidRDefault="00505632" w:rsidP="00AD4E52">
            <w:pPr>
              <w:jc w:val="left"/>
            </w:pPr>
            <w:r>
              <w:t>2201-STRATEŠKO PLANIRANJE, PROVEDBA I PODRŠKA REGIONALNOM RAZVOJU</w:t>
            </w:r>
          </w:p>
        </w:tc>
        <w:tc>
          <w:tcPr>
            <w:tcW w:w="2041" w:type="dxa"/>
          </w:tcPr>
          <w:p w:rsidR="00505632" w:rsidRDefault="00505632" w:rsidP="00AD4E52">
            <w:pPr>
              <w:jc w:val="right"/>
            </w:pPr>
            <w:r>
              <w:t>38.497.804</w:t>
            </w:r>
          </w:p>
        </w:tc>
        <w:tc>
          <w:tcPr>
            <w:tcW w:w="2041" w:type="dxa"/>
          </w:tcPr>
          <w:p w:rsidR="00505632" w:rsidRDefault="00505632" w:rsidP="00AD4E52">
            <w:pPr>
              <w:jc w:val="right"/>
            </w:pPr>
            <w:r>
              <w:t>36.520.225</w:t>
            </w:r>
          </w:p>
        </w:tc>
        <w:tc>
          <w:tcPr>
            <w:tcW w:w="2041" w:type="dxa"/>
          </w:tcPr>
          <w:p w:rsidR="00505632" w:rsidRDefault="00505632" w:rsidP="00AD4E52">
            <w:pPr>
              <w:jc w:val="right"/>
            </w:pPr>
            <w:r>
              <w:t>31.063.953</w:t>
            </w:r>
          </w:p>
        </w:tc>
        <w:tc>
          <w:tcPr>
            <w:tcW w:w="1224" w:type="dxa"/>
          </w:tcPr>
          <w:p w:rsidR="00505632" w:rsidRDefault="00505632" w:rsidP="00AD4E52">
            <w:pPr>
              <w:jc w:val="right"/>
            </w:pPr>
            <w:r>
              <w:t>85,1</w:t>
            </w:r>
          </w:p>
        </w:tc>
        <w:tc>
          <w:tcPr>
            <w:tcW w:w="1224" w:type="dxa"/>
          </w:tcPr>
          <w:p w:rsidR="00505632" w:rsidRDefault="00505632" w:rsidP="00AD4E52">
            <w:pPr>
              <w:jc w:val="right"/>
            </w:pPr>
            <w:r>
              <w:t>80,7</w:t>
            </w:r>
          </w:p>
        </w:tc>
      </w:tr>
      <w:tr w:rsidR="00505632" w:rsidTr="00AD4E52">
        <w:trPr>
          <w:jc w:val="center"/>
        </w:trPr>
        <w:tc>
          <w:tcPr>
            <w:tcW w:w="1632" w:type="dxa"/>
          </w:tcPr>
          <w:p w:rsidR="00505632" w:rsidRDefault="00505632" w:rsidP="00AD4E52">
            <w:pPr>
              <w:jc w:val="left"/>
            </w:pPr>
            <w:r>
              <w:t>2901-REGIONALNA KONKURENTNOST I URBANI RAZVOJ</w:t>
            </w:r>
          </w:p>
        </w:tc>
        <w:tc>
          <w:tcPr>
            <w:tcW w:w="2041" w:type="dxa"/>
          </w:tcPr>
          <w:p w:rsidR="00505632" w:rsidRDefault="00505632" w:rsidP="00AD4E52">
            <w:pPr>
              <w:jc w:val="right"/>
            </w:pPr>
            <w:r>
              <w:t>140.532.848</w:t>
            </w:r>
          </w:p>
        </w:tc>
        <w:tc>
          <w:tcPr>
            <w:tcW w:w="2041" w:type="dxa"/>
          </w:tcPr>
          <w:p w:rsidR="00505632" w:rsidRDefault="00505632" w:rsidP="00AD4E52">
            <w:pPr>
              <w:jc w:val="right"/>
            </w:pPr>
            <w:r>
              <w:t>480.449.546</w:t>
            </w:r>
          </w:p>
        </w:tc>
        <w:tc>
          <w:tcPr>
            <w:tcW w:w="2041" w:type="dxa"/>
          </w:tcPr>
          <w:p w:rsidR="00505632" w:rsidRDefault="00505632" w:rsidP="00AD4E52">
            <w:pPr>
              <w:jc w:val="right"/>
            </w:pPr>
            <w:r>
              <w:t>258.276.644</w:t>
            </w:r>
          </w:p>
        </w:tc>
        <w:tc>
          <w:tcPr>
            <w:tcW w:w="1224" w:type="dxa"/>
          </w:tcPr>
          <w:p w:rsidR="00505632" w:rsidRDefault="00505632" w:rsidP="00AD4E52">
            <w:pPr>
              <w:jc w:val="right"/>
            </w:pPr>
            <w:r>
              <w:t>53,8</w:t>
            </w:r>
          </w:p>
        </w:tc>
        <w:tc>
          <w:tcPr>
            <w:tcW w:w="1224" w:type="dxa"/>
          </w:tcPr>
          <w:p w:rsidR="00505632" w:rsidRDefault="00505632" w:rsidP="00AD4E52">
            <w:pPr>
              <w:jc w:val="right"/>
            </w:pPr>
            <w:r>
              <w:t>183,8</w:t>
            </w:r>
          </w:p>
        </w:tc>
      </w:tr>
      <w:tr w:rsidR="00505632" w:rsidTr="00AD4E52">
        <w:trPr>
          <w:jc w:val="center"/>
        </w:trPr>
        <w:tc>
          <w:tcPr>
            <w:tcW w:w="1632" w:type="dxa"/>
          </w:tcPr>
          <w:p w:rsidR="00505632" w:rsidRDefault="00505632" w:rsidP="00AD4E52">
            <w:pPr>
              <w:jc w:val="left"/>
            </w:pPr>
            <w:r>
              <w:t>2902-RAZVOJ POTPOMOGNUTIH PODRUČJA</w:t>
            </w:r>
          </w:p>
        </w:tc>
        <w:tc>
          <w:tcPr>
            <w:tcW w:w="2041" w:type="dxa"/>
          </w:tcPr>
          <w:p w:rsidR="00505632" w:rsidRDefault="00505632" w:rsidP="00AD4E52">
            <w:pPr>
              <w:jc w:val="right"/>
            </w:pPr>
            <w:r>
              <w:t>94.238.065</w:t>
            </w:r>
          </w:p>
        </w:tc>
        <w:tc>
          <w:tcPr>
            <w:tcW w:w="2041" w:type="dxa"/>
          </w:tcPr>
          <w:p w:rsidR="00505632" w:rsidRDefault="00505632" w:rsidP="00AD4E52">
            <w:pPr>
              <w:jc w:val="right"/>
            </w:pPr>
            <w:r>
              <w:t>81.631.476</w:t>
            </w:r>
          </w:p>
        </w:tc>
        <w:tc>
          <w:tcPr>
            <w:tcW w:w="2041" w:type="dxa"/>
          </w:tcPr>
          <w:p w:rsidR="00505632" w:rsidRDefault="00505632" w:rsidP="00AD4E52">
            <w:pPr>
              <w:jc w:val="right"/>
            </w:pPr>
            <w:r>
              <w:t>62.048.439</w:t>
            </w:r>
          </w:p>
        </w:tc>
        <w:tc>
          <w:tcPr>
            <w:tcW w:w="1224" w:type="dxa"/>
          </w:tcPr>
          <w:p w:rsidR="00505632" w:rsidRDefault="00505632" w:rsidP="00AD4E52">
            <w:pPr>
              <w:jc w:val="right"/>
            </w:pPr>
            <w:r>
              <w:t>76,0</w:t>
            </w:r>
          </w:p>
        </w:tc>
        <w:tc>
          <w:tcPr>
            <w:tcW w:w="1224" w:type="dxa"/>
          </w:tcPr>
          <w:p w:rsidR="00505632" w:rsidRDefault="00505632" w:rsidP="00AD4E52">
            <w:pPr>
              <w:jc w:val="right"/>
            </w:pPr>
            <w:r>
              <w:t>65,8</w:t>
            </w:r>
          </w:p>
        </w:tc>
      </w:tr>
      <w:tr w:rsidR="00505632" w:rsidTr="00AD4E52">
        <w:trPr>
          <w:jc w:val="center"/>
        </w:trPr>
        <w:tc>
          <w:tcPr>
            <w:tcW w:w="1632" w:type="dxa"/>
          </w:tcPr>
          <w:p w:rsidR="00505632" w:rsidRDefault="00505632" w:rsidP="00AD4E52">
            <w:pPr>
              <w:jc w:val="left"/>
            </w:pPr>
            <w:r>
              <w:t>2903-TERITORIJALNA SURADNJA</w:t>
            </w:r>
          </w:p>
        </w:tc>
        <w:tc>
          <w:tcPr>
            <w:tcW w:w="2041" w:type="dxa"/>
          </w:tcPr>
          <w:p w:rsidR="00505632" w:rsidRDefault="00505632" w:rsidP="00AD4E52">
            <w:pPr>
              <w:jc w:val="right"/>
            </w:pPr>
            <w:r>
              <w:t>20.821.314</w:t>
            </w:r>
          </w:p>
        </w:tc>
        <w:tc>
          <w:tcPr>
            <w:tcW w:w="2041" w:type="dxa"/>
          </w:tcPr>
          <w:p w:rsidR="00505632" w:rsidRDefault="00505632" w:rsidP="00AD4E52">
            <w:pPr>
              <w:jc w:val="right"/>
            </w:pPr>
            <w:r>
              <w:t>26.904.044</w:t>
            </w:r>
          </w:p>
        </w:tc>
        <w:tc>
          <w:tcPr>
            <w:tcW w:w="2041" w:type="dxa"/>
          </w:tcPr>
          <w:p w:rsidR="00505632" w:rsidRDefault="00505632" w:rsidP="00AD4E52">
            <w:pPr>
              <w:jc w:val="right"/>
            </w:pPr>
            <w:r>
              <w:t>23.380.851</w:t>
            </w:r>
          </w:p>
        </w:tc>
        <w:tc>
          <w:tcPr>
            <w:tcW w:w="1224" w:type="dxa"/>
          </w:tcPr>
          <w:p w:rsidR="00505632" w:rsidRDefault="00505632" w:rsidP="00AD4E52">
            <w:pPr>
              <w:jc w:val="right"/>
            </w:pPr>
            <w:r>
              <w:t>86,9</w:t>
            </w:r>
          </w:p>
        </w:tc>
        <w:tc>
          <w:tcPr>
            <w:tcW w:w="1224" w:type="dxa"/>
          </w:tcPr>
          <w:p w:rsidR="00505632" w:rsidRDefault="00505632" w:rsidP="00AD4E52">
            <w:pPr>
              <w:jc w:val="right"/>
            </w:pPr>
            <w:r>
              <w:t>112,3</w:t>
            </w:r>
          </w:p>
        </w:tc>
      </w:tr>
      <w:tr w:rsidR="00505632" w:rsidTr="00AD4E52">
        <w:trPr>
          <w:jc w:val="center"/>
        </w:trPr>
        <w:tc>
          <w:tcPr>
            <w:tcW w:w="1632" w:type="dxa"/>
          </w:tcPr>
          <w:p w:rsidR="00505632" w:rsidRDefault="00505632" w:rsidP="00AD4E52">
            <w:pPr>
              <w:jc w:val="left"/>
            </w:pPr>
            <w:r>
              <w:t>2904-ODRŽIVI RAZVOJ JADRANSKIH OTOKA</w:t>
            </w:r>
          </w:p>
        </w:tc>
        <w:tc>
          <w:tcPr>
            <w:tcW w:w="2041" w:type="dxa"/>
          </w:tcPr>
          <w:p w:rsidR="00505632" w:rsidRDefault="00505632" w:rsidP="00AD4E52">
            <w:pPr>
              <w:jc w:val="right"/>
            </w:pPr>
            <w:r>
              <w:t>146.611.694</w:t>
            </w:r>
          </w:p>
        </w:tc>
        <w:tc>
          <w:tcPr>
            <w:tcW w:w="2041" w:type="dxa"/>
          </w:tcPr>
          <w:p w:rsidR="00505632" w:rsidRDefault="00505632" w:rsidP="00AD4E52">
            <w:pPr>
              <w:jc w:val="right"/>
            </w:pPr>
            <w:r>
              <w:t>151.700.096</w:t>
            </w:r>
          </w:p>
        </w:tc>
        <w:tc>
          <w:tcPr>
            <w:tcW w:w="2041" w:type="dxa"/>
          </w:tcPr>
          <w:p w:rsidR="00505632" w:rsidRDefault="00505632" w:rsidP="00AD4E52">
            <w:pPr>
              <w:jc w:val="right"/>
            </w:pPr>
            <w:r>
              <w:t>135.366.387</w:t>
            </w:r>
          </w:p>
        </w:tc>
        <w:tc>
          <w:tcPr>
            <w:tcW w:w="1224" w:type="dxa"/>
          </w:tcPr>
          <w:p w:rsidR="00505632" w:rsidRDefault="00505632" w:rsidP="00AD4E52">
            <w:pPr>
              <w:jc w:val="right"/>
            </w:pPr>
            <w:r>
              <w:t>89,2</w:t>
            </w:r>
          </w:p>
        </w:tc>
        <w:tc>
          <w:tcPr>
            <w:tcW w:w="1224" w:type="dxa"/>
          </w:tcPr>
          <w:p w:rsidR="00505632" w:rsidRDefault="00505632" w:rsidP="00AD4E52">
            <w:pPr>
              <w:jc w:val="right"/>
            </w:pPr>
            <w:r>
              <w:t>92,3</w:t>
            </w:r>
          </w:p>
        </w:tc>
      </w:tr>
    </w:tbl>
    <w:p w:rsidR="00505632" w:rsidRDefault="00505632" w:rsidP="00505632">
      <w:pPr>
        <w:jc w:val="left"/>
      </w:pPr>
    </w:p>
    <w:p w:rsidR="00505632" w:rsidRDefault="00505632" w:rsidP="00505632">
      <w:pPr>
        <w:pStyle w:val="Heading3"/>
      </w:pPr>
      <w:r>
        <w:rPr>
          <w:rFonts w:cs="Times New Roman"/>
        </w:rPr>
        <w:t>2201 STRATEŠKO PLANIRANJE, PROVEDBA I PODRŠKA REGIONALNOM RAZVOJU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2201-STRATEŠKO PLANIRANJE, PROVEDBA I PODRŠKA REGIONALNOM RAZVOJU</w:t>
            </w:r>
          </w:p>
        </w:tc>
        <w:tc>
          <w:tcPr>
            <w:tcW w:w="2041" w:type="dxa"/>
          </w:tcPr>
          <w:p w:rsidR="00505632" w:rsidRDefault="00505632" w:rsidP="00AD4E52">
            <w:pPr>
              <w:pStyle w:val="CellColumn"/>
              <w:jc w:val="right"/>
            </w:pPr>
            <w:r>
              <w:rPr>
                <w:rFonts w:cs="Times New Roman"/>
              </w:rPr>
              <w:t>38.497.804</w:t>
            </w:r>
          </w:p>
        </w:tc>
        <w:tc>
          <w:tcPr>
            <w:tcW w:w="2041" w:type="dxa"/>
          </w:tcPr>
          <w:p w:rsidR="00505632" w:rsidRDefault="00505632" w:rsidP="00AD4E52">
            <w:pPr>
              <w:pStyle w:val="CellColumn"/>
              <w:jc w:val="right"/>
            </w:pPr>
            <w:r>
              <w:rPr>
                <w:rFonts w:cs="Times New Roman"/>
              </w:rPr>
              <w:t>36.520.225</w:t>
            </w:r>
          </w:p>
        </w:tc>
        <w:tc>
          <w:tcPr>
            <w:tcW w:w="2041" w:type="dxa"/>
          </w:tcPr>
          <w:p w:rsidR="00505632" w:rsidRDefault="00505632" w:rsidP="00AD4E52">
            <w:pPr>
              <w:pStyle w:val="CellColumn"/>
              <w:jc w:val="right"/>
            </w:pPr>
            <w:r>
              <w:rPr>
                <w:rFonts w:cs="Times New Roman"/>
              </w:rPr>
              <w:t>31.063.953</w:t>
            </w:r>
          </w:p>
        </w:tc>
        <w:tc>
          <w:tcPr>
            <w:tcW w:w="1224" w:type="dxa"/>
          </w:tcPr>
          <w:p w:rsidR="00505632" w:rsidRDefault="00505632" w:rsidP="00AD4E52">
            <w:pPr>
              <w:pStyle w:val="CellColumn"/>
              <w:jc w:val="right"/>
            </w:pPr>
            <w:r>
              <w:rPr>
                <w:rFonts w:cs="Times New Roman"/>
              </w:rPr>
              <w:t>85,1</w:t>
            </w:r>
          </w:p>
        </w:tc>
        <w:tc>
          <w:tcPr>
            <w:tcW w:w="1224" w:type="dxa"/>
          </w:tcPr>
          <w:p w:rsidR="00505632" w:rsidRDefault="00505632" w:rsidP="00AD4E52">
            <w:pPr>
              <w:pStyle w:val="CellColumn"/>
              <w:jc w:val="right"/>
            </w:pPr>
            <w:r>
              <w:rPr>
                <w:rFonts w:cs="Times New Roman"/>
              </w:rPr>
              <w:t>80,7</w:t>
            </w:r>
          </w:p>
        </w:tc>
      </w:tr>
    </w:tbl>
    <w:p w:rsidR="00505632" w:rsidRDefault="00505632" w:rsidP="00505632">
      <w:pPr>
        <w:jc w:val="left"/>
      </w:pPr>
    </w:p>
    <w:p w:rsidR="00505632" w:rsidRDefault="00505632" w:rsidP="00505632">
      <w:r>
        <w:t xml:space="preserve">Aktivnosti predviđene programom vezano uz izradu i praćenje provedbe nacionalnih strateških dokumenata za korištenje fondova Europske unije i sudjelovanje u Europskom semestru, koordinaciju fondova Europske unije, koordinaciju Financijskog mehanizma Europskog gospodarskog prostora (EGP) i Norveškog financijskog mehanizma kao i koordinaciju Švicarskog programa suradnje, obrazovanje potencijalnih korisnika za korištenje  sredstava Europske  unije te informiranje javnosti o mogućnostima korištenja sredstava Europske unije provedene su u cijelosti u obimu koji je planiran za 2016. godinu. Značajnijih odstupanja od plana nije bilo. Aktivnosti koordinacije unutar okvira za gospodarsko upravljanje Europske unije, prebačene su Odlukom Vlade Republike Hrvatske u Ured predsjednika Vlade Republike Hrvatske u ožujku 2016. godine (Narodne novine, broj 22/2016). Uspješno i u cijelosti je proveden projekt podrške uspostave sustava strateškog planiranja i upravljanja razvojem, na čijim rezultatima se temelji reforma sustava strateškog planiranja i upravljanja razvojem na nacionalnoj razini, koja će se provoditi u razdoblju 2017.-2020. godine.  </w:t>
      </w:r>
    </w:p>
    <w:p w:rsidR="00505632" w:rsidRDefault="00505632" w:rsidP="00505632">
      <w:r>
        <w:t>Švicarsko-hrvatski program suradnje prolazio je kroz manja kašnjenje u potvrđivanju Okvirnog sporazuma zbog čega su procedure finaliziranja odobrenja pojedinih projekata okončane tek u 1Q 2017 nastavno na stupanje na snagu Okvirnog sporazuma 9. siječnja 2017.</w:t>
      </w:r>
    </w:p>
    <w:p w:rsidR="00505632" w:rsidRDefault="00505632" w:rsidP="00505632">
      <w:pPr>
        <w:pStyle w:val="Heading8"/>
        <w:jc w:val="left"/>
      </w:pPr>
      <w:r>
        <w:t>Cilj 1. Uspješna koordinacija gospodarskih i fiskalnih politika u sklopu ciklusa Europskog semestra i procedura ekonomskog upravljanja</w:t>
      </w:r>
    </w:p>
    <w:p w:rsidR="00505632" w:rsidRDefault="00505632" w:rsidP="00505632">
      <w:pPr>
        <w:pStyle w:val="Heading8"/>
        <w:jc w:val="left"/>
      </w:pPr>
      <w:r>
        <w:t>Opis provedbe cilja programa</w:t>
      </w:r>
    </w:p>
    <w:p w:rsidR="00505632" w:rsidRDefault="00505632" w:rsidP="00505632">
      <w:r>
        <w:t xml:space="preserve">Tijekom 2016. godine u navedenom cilju Ministarstvo regionalnoga razvoja i fondova Europske unije identificira mogućnosti da se određeni nacionalni razvojni prioriteti financiraju sredstvima EU/EGP/Švicarskim mehanizmom u područjima u kojima je to moguće obzirom na regulatorni okvir. Provedbom koordinacijskih aktivnosti Ministarstvo regionalnog razvoja i fondova EU osigurava učinkovito usmjeravanje te korištenje raspoloživih sredstava na nacionalne razvojne prioritete.  </w:t>
      </w:r>
    </w:p>
    <w:p w:rsidR="00505632" w:rsidRDefault="00505632" w:rsidP="00505632">
      <w:r>
        <w:t>Ministarstvo partnerski surađuje s tijelima Europske komisije i zemljama EGP-a te Švicarskom Konfederacijom s jedne strane te institucijama Republike Hrvatske s druge strane kako bi se optimalno i učinkovito iskoristila sredstva za ispunjenje obaveza RH i ostvarivanje zajedničkih ciljeva s donatorima. Sveobuhvatnost poslovnih procesa očituje se ne samo kroz koordinaciju   institucija RH i EK odnosno zemalja EGP-a i Švicarske Konfederacije u pripremi projekata već i u strateškim dokumentima u kojima Ministarstvo predstavlja Republiku Hrvatsku kao ravnopravnog partnera. Nakon ulaska u EU, Ministarstvo je nastavilo s jačanjem uloge koordinacijskog tijela za upravljanje strukturnim instrumentima a kao takvo u ostalim bilateralnim i multilateralnim mehanizmima  provodi slične uloge kao Nacionalna fokalna točka odnosno Nacionalna koordinacijska jedinica.</w:t>
      </w:r>
    </w:p>
    <w:p w:rsidR="00505632" w:rsidRDefault="00505632" w:rsidP="00505632">
      <w:pPr>
        <w:pStyle w:val="Heading8"/>
        <w:jc w:val="left"/>
      </w:pPr>
      <w:r>
        <w:t>Cilj 2. Ostvarivanje nacionalnih razvojnih prioriteta kroz koordinaciju korištenja sredstva EU, EGP i Švicarske Konfederacije</w:t>
      </w:r>
    </w:p>
    <w:p w:rsidR="00505632" w:rsidRDefault="00505632" w:rsidP="00505632">
      <w:pPr>
        <w:pStyle w:val="Heading8"/>
        <w:jc w:val="left"/>
      </w:pPr>
      <w:r>
        <w:t>Opis provedbe cilja programa</w:t>
      </w:r>
    </w:p>
    <w:p w:rsidR="00505632" w:rsidRDefault="00505632" w:rsidP="00505632">
      <w:r>
        <w:t>Tijekom 2016. godine Ministarstvo regionalnog razvoja i fondova Europske unije nastavilo je s postupcima identificiranja nacionalnih prioriteta za financiranje sredstvima EGP/Švicarskog financijskog mehanizma. Projekti koji su uključeni za financiranje kroz Švicarsko –hrvatski program suradnje nastavljeni su detaljnim pripremama za odobravanje u drugom stupnju čime će od 2017. godine biti omogućena njihova provedba. Po sklapanju sporazuma između EK i donatora vezano uz financijske mehanizme EGP 2014-2021 započele su pripreme za pregovore s Donatorima koji će se otvoriti u 2017. godini.</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363"/>
        <w:gridCol w:w="2375"/>
        <w:gridCol w:w="973"/>
        <w:gridCol w:w="1000"/>
        <w:gridCol w:w="1493"/>
        <w:gridCol w:w="1000"/>
        <w:gridCol w:w="1002"/>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Funkcionalan sustav za koordinaciju gospodarskih i financijskih politika s europskim okvirom prilagođen nacionalnom kontekstu</w:t>
            </w:r>
          </w:p>
        </w:tc>
        <w:tc>
          <w:tcPr>
            <w:tcW w:w="2551" w:type="dxa"/>
          </w:tcPr>
          <w:p w:rsidR="00505632" w:rsidRDefault="00505632" w:rsidP="00AD4E52">
            <w:pPr>
              <w:pStyle w:val="CellColumn"/>
              <w:jc w:val="left"/>
            </w:pPr>
            <w:r>
              <w:rPr>
                <w:rFonts w:cs="Times New Roman"/>
              </w:rPr>
              <w:t>Funkcionalni sustav podrazumijeva jasnu, transparentnu i učinkovitu strukturu i organizaciju procesa u kojem svatko zna svoju ulogu i pravovremeno i djelotvorno reagira na postavljenu zadaću u okviru Europskog semestra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 xml:space="preserve">Uspješna provedba godišnjih programa sukladno Akcijskom planu;  </w:t>
            </w:r>
          </w:p>
          <w:p w:rsidR="00505632" w:rsidRDefault="00505632" w:rsidP="00AD4E52">
            <w:pPr>
              <w:pStyle w:val="CellColumn"/>
              <w:jc w:val="left"/>
            </w:pPr>
            <w:r>
              <w:rPr>
                <w:rFonts w:cs="Times New Roman"/>
              </w:rPr>
              <w:t xml:space="preserve">Pozitivan učinak na  </w:t>
            </w:r>
          </w:p>
          <w:p w:rsidR="00505632" w:rsidRDefault="00505632" w:rsidP="00AD4E52">
            <w:pPr>
              <w:pStyle w:val="CellColumn"/>
              <w:jc w:val="left"/>
            </w:pPr>
            <w:r>
              <w:rPr>
                <w:rFonts w:cs="Times New Roman"/>
              </w:rPr>
              <w:t>makroekonomske pokazatelje</w:t>
            </w:r>
          </w:p>
        </w:tc>
        <w:tc>
          <w:tcPr>
            <w:tcW w:w="2551" w:type="dxa"/>
          </w:tcPr>
          <w:p w:rsidR="00505632" w:rsidRDefault="00505632" w:rsidP="00AD4E52">
            <w:pPr>
              <w:pStyle w:val="CellColumn"/>
              <w:jc w:val="left"/>
            </w:pPr>
            <w:r>
              <w:rPr>
                <w:rFonts w:cs="Times New Roman"/>
              </w:rPr>
              <w:t xml:space="preserve">Uspješna provedba podrazumijeva ispunjenje zadanih ciljeva i makroekonomskih varijabli koje su postavljene u okviru godišnjih programa i unutar specifičnih preporuka. Učinak se  </w:t>
            </w:r>
          </w:p>
          <w:p w:rsidR="00505632" w:rsidRDefault="00505632" w:rsidP="00AD4E52">
            <w:pPr>
              <w:pStyle w:val="CellColumn"/>
              <w:jc w:val="left"/>
            </w:pPr>
            <w:r>
              <w:rPr>
                <w:rFonts w:cs="Times New Roman"/>
              </w:rPr>
              <w:t>mjeri u % ispunjenja plana. Pozitivan učinak na makroekonomske varijable znači da je provedba politika djelotvorna i učinkovita.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MRRFEU/MFIN</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80</w:t>
            </w:r>
          </w:p>
        </w:tc>
      </w:tr>
      <w:tr w:rsidR="00505632" w:rsidTr="00AD4E52">
        <w:trPr>
          <w:jc w:val="center"/>
        </w:trPr>
        <w:tc>
          <w:tcPr>
            <w:tcW w:w="2551" w:type="dxa"/>
          </w:tcPr>
          <w:p w:rsidR="00505632" w:rsidRDefault="00505632" w:rsidP="00AD4E52">
            <w:pPr>
              <w:pStyle w:val="CellColumn"/>
              <w:jc w:val="left"/>
            </w:pPr>
            <w:r>
              <w:rPr>
                <w:rFonts w:cs="Times New Roman"/>
              </w:rPr>
              <w:t>Ustrojen i funkcionalni sustav strateškog planiranja na nacionalnoj razini, usmjeren na glavne determinante gospodarskog i društvenog razvoja</w:t>
            </w:r>
          </w:p>
        </w:tc>
        <w:tc>
          <w:tcPr>
            <w:tcW w:w="2551" w:type="dxa"/>
          </w:tcPr>
          <w:p w:rsidR="00505632" w:rsidRDefault="00505632" w:rsidP="00AD4E52">
            <w:pPr>
              <w:pStyle w:val="CellColumn"/>
              <w:jc w:val="left"/>
            </w:pPr>
            <w:r>
              <w:rPr>
                <w:rFonts w:cs="Times New Roman"/>
              </w:rPr>
              <w:t>Uspostava sustava za strateško planiranje na nacionalnoj razini, uključujući pripremu krovnih strateških dokumenata vezano za korištenje EU fondova i sudjelovanja u Europskom semestru, izrada okvira za pripremu i praćenje provedbe nacionalnih strategija te uspostava posebnih mehanizama i instrumenata za pripremu i provedbu strateških inicijativa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50</w:t>
            </w:r>
          </w:p>
        </w:tc>
      </w:tr>
      <w:tr w:rsidR="00505632" w:rsidTr="00AD4E52">
        <w:trPr>
          <w:jc w:val="center"/>
        </w:trPr>
        <w:tc>
          <w:tcPr>
            <w:tcW w:w="2551" w:type="dxa"/>
          </w:tcPr>
          <w:p w:rsidR="00505632" w:rsidRDefault="00505632" w:rsidP="00AD4E52">
            <w:pPr>
              <w:pStyle w:val="CellColumn"/>
              <w:jc w:val="left"/>
            </w:pPr>
            <w:r>
              <w:rPr>
                <w:rFonts w:cs="Times New Roman"/>
              </w:rPr>
              <w:t>Omjer vrijednosti programiranih projekata u odnosu na vrijednost alociranih sredstava</w:t>
            </w:r>
          </w:p>
        </w:tc>
        <w:tc>
          <w:tcPr>
            <w:tcW w:w="2551" w:type="dxa"/>
          </w:tcPr>
          <w:p w:rsidR="00505632" w:rsidRDefault="00505632" w:rsidP="00AD4E52">
            <w:pPr>
              <w:pStyle w:val="CellColumn"/>
              <w:jc w:val="left"/>
            </w:pPr>
            <w:r>
              <w:rPr>
                <w:rFonts w:cs="Times New Roman"/>
              </w:rPr>
              <w:t>Koordinirana priprema projekata u svrhu iscrpljivanja alociranih sredstva trenutno raspoloživim programima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65</w:t>
            </w:r>
          </w:p>
        </w:tc>
      </w:tr>
      <w:tr w:rsidR="00505632" w:rsidTr="00AD4E52">
        <w:trPr>
          <w:jc w:val="center"/>
        </w:trPr>
        <w:tc>
          <w:tcPr>
            <w:tcW w:w="2551" w:type="dxa"/>
          </w:tcPr>
          <w:p w:rsidR="00505632" w:rsidRDefault="00505632" w:rsidP="00AD4E52">
            <w:pPr>
              <w:pStyle w:val="CellColumn"/>
              <w:jc w:val="left"/>
            </w:pPr>
            <w:r>
              <w:rPr>
                <w:rFonts w:cs="Times New Roman"/>
              </w:rPr>
              <w:t>Uspostavljen sustav nadzora kroz sastanke za praćenje provedbe i izvješća</w:t>
            </w:r>
          </w:p>
        </w:tc>
        <w:tc>
          <w:tcPr>
            <w:tcW w:w="2551" w:type="dxa"/>
          </w:tcPr>
          <w:p w:rsidR="00505632" w:rsidRDefault="00505632" w:rsidP="00AD4E52">
            <w:pPr>
              <w:pStyle w:val="CellColumn"/>
              <w:jc w:val="left"/>
            </w:pPr>
            <w:r>
              <w:rPr>
                <w:rFonts w:cs="Times New Roman"/>
              </w:rPr>
              <w:t>Koordinacija prikupljanja pojedinačnih izvješća o provedbi projekata i izvješćivanje kroz uspostavljen sustav nadzornih odbora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MRRFEU i zemlje EGP-a</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70</w:t>
            </w:r>
          </w:p>
        </w:tc>
      </w:tr>
    </w:tbl>
    <w:p w:rsidR="00505632" w:rsidRDefault="00505632" w:rsidP="00505632">
      <w:pPr>
        <w:jc w:val="left"/>
      </w:pPr>
    </w:p>
    <w:p w:rsidR="00505632" w:rsidRDefault="00505632" w:rsidP="00505632">
      <w:pPr>
        <w:pStyle w:val="Heading4"/>
      </w:pPr>
      <w:r>
        <w:t>A680033 NORVEŠKI FINANCIJSKI MEHANIZAM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A680033-NORVEŠKI FINANCIJSKI MEHANIZAM</w:t>
            </w:r>
          </w:p>
        </w:tc>
        <w:tc>
          <w:tcPr>
            <w:tcW w:w="2041" w:type="dxa"/>
          </w:tcPr>
          <w:p w:rsidR="00505632" w:rsidRDefault="00505632" w:rsidP="00AD4E52">
            <w:pPr>
              <w:pStyle w:val="CellColumn"/>
              <w:jc w:val="right"/>
            </w:pPr>
            <w:r>
              <w:rPr>
                <w:rFonts w:cs="Times New Roman"/>
              </w:rPr>
              <w:t>174.934</w:t>
            </w:r>
          </w:p>
        </w:tc>
        <w:tc>
          <w:tcPr>
            <w:tcW w:w="2041" w:type="dxa"/>
          </w:tcPr>
          <w:p w:rsidR="00505632" w:rsidRDefault="00505632" w:rsidP="00AD4E52">
            <w:pPr>
              <w:pStyle w:val="CellColumn"/>
              <w:jc w:val="right"/>
            </w:pPr>
            <w:r>
              <w:rPr>
                <w:rFonts w:cs="Times New Roman"/>
              </w:rPr>
              <w:t>532.600</w:t>
            </w:r>
          </w:p>
        </w:tc>
        <w:tc>
          <w:tcPr>
            <w:tcW w:w="2041" w:type="dxa"/>
          </w:tcPr>
          <w:p w:rsidR="00505632" w:rsidRDefault="00505632" w:rsidP="00AD4E52">
            <w:pPr>
              <w:pStyle w:val="CellColumn"/>
              <w:jc w:val="right"/>
            </w:pPr>
            <w:r>
              <w:rPr>
                <w:rFonts w:cs="Times New Roman"/>
              </w:rPr>
              <w:t>410.049</w:t>
            </w:r>
          </w:p>
        </w:tc>
        <w:tc>
          <w:tcPr>
            <w:tcW w:w="1224" w:type="dxa"/>
          </w:tcPr>
          <w:p w:rsidR="00505632" w:rsidRDefault="00505632" w:rsidP="00AD4E52">
            <w:pPr>
              <w:pStyle w:val="CellColumn"/>
              <w:jc w:val="right"/>
            </w:pPr>
            <w:r>
              <w:rPr>
                <w:rFonts w:cs="Times New Roman"/>
              </w:rPr>
              <w:t>77,0</w:t>
            </w:r>
          </w:p>
        </w:tc>
        <w:tc>
          <w:tcPr>
            <w:tcW w:w="1224" w:type="dxa"/>
          </w:tcPr>
          <w:p w:rsidR="00505632" w:rsidRDefault="00505632" w:rsidP="00AD4E52">
            <w:pPr>
              <w:pStyle w:val="CellColumn"/>
              <w:jc w:val="right"/>
            </w:pPr>
            <w:r>
              <w:rPr>
                <w:rFonts w:cs="Times New Roman"/>
              </w:rPr>
              <w:t>234,4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potvrđivanju Memoranduma o suglasnosti o provedbi EGP financijskog mehanizma za razdoblje od 2009. do 2014. između Republike Hrvatske i Kraljevine Norveške, Islanda i Kneževine Lihtenštajna kojeg je Hrvatski sabor donio na sjednici 3. listopada 2014. godine, a stupio je na snagu 7. listopada 2014. godine. Aktivnost se provodi paralelno sa aktivnosti Norveški financijski mehanizam temeljem spomenutog zakona.</w:t>
      </w:r>
    </w:p>
    <w:p w:rsidR="00505632" w:rsidRDefault="00505632" w:rsidP="00505632">
      <w:pPr>
        <w:pStyle w:val="Heading8"/>
        <w:jc w:val="left"/>
      </w:pPr>
      <w:r>
        <w:t>Opis aktivnosti</w:t>
      </w:r>
    </w:p>
    <w:p w:rsidR="00505632" w:rsidRDefault="00505632" w:rsidP="00505632">
      <w:r>
        <w:t>Provedba planiranih aktivnosti usmjerena je prema učinkovitijoj provedbi i   upravljanju sredstvima financijskih mehanizama Kraljevine Norveške  financijskog mehanizma Europskog gospodarskog prostora u skladu sa zahtjevima Kraljevine Norveške, Islanda i Kneževine Lihtenštajna i Republike Hrvatske u skladu s potpisanim međunarodnim sporazumima i na pripreme za koordinaciju aktivnosti vezano uz novi programski period. Glavni cilj je provedba praćenja programa i projekata financiranih u okviru financijskog razdoblja  2009. – 2014., implementaciju uspostavljenog sustava za provedbu i praćenje programa i projekata u okviru 2009. – 2014.  te pripreme i programiranje novih programa i projekata u okviru financijskog razdoblja 2014. – 2021. Sredstva se troše u skladu s godišnjim planom aktivnosti koji uključuje isplate za korisnike Bilateralnog fonda, isplate za korisnike projekata EGP mehanizma definirane Memorandumom o razumijevanju, održavanje godišnjih i tehničkih sastanaka, promotivne aktivnosti, nabava promidžbenog materijala,  održavanje web stranice, plaćanje vanjskih stručnjaka angažiranih za provedbu financijskih i promidžbenih poslova, službena putovanja zbog sudjelovanja na edukacijama i sastancima organiziranim od strane Ureda financijskog mehanizma, sudjelovanje na sastancima o definiranju mehanizma u 2014.-2021. periodu i ostalo. Određena odstupanja od planirane potrošnje nastala su zbog činjenice da su bilateralni projekt trajali duže od planiranog čime se isplata dijela sredstava prebacila s 2016. na 2017. te također u činjenici da zbog promjene Vlade pregovori o potpisivanju Memoranduma o razumijevanju nisu započeli tijekom 2016. kako je inicijalno planirano.</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Omogućena stručna podrška institucijama u provedbi projekata u okviru financijskih instrumenata EGP-a 2009-2014</w:t>
            </w:r>
          </w:p>
        </w:tc>
        <w:tc>
          <w:tcPr>
            <w:tcW w:w="2551" w:type="dxa"/>
          </w:tcPr>
          <w:p w:rsidR="00505632" w:rsidRDefault="00505632" w:rsidP="00AD4E52">
            <w:pPr>
              <w:pStyle w:val="CellColumn"/>
              <w:jc w:val="left"/>
            </w:pPr>
            <w:r>
              <w:rPr>
                <w:rFonts w:cs="Times New Roman"/>
              </w:rPr>
              <w:t>Stručna podrška institucijama u provedbi projekata u okviru Norveškog financijskog mehanizma 2009-2014.</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Zemlje EGP-a</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Uspostavljeni sustav u skladu s donesenom regulativom</w:t>
            </w:r>
          </w:p>
        </w:tc>
        <w:tc>
          <w:tcPr>
            <w:tcW w:w="2551" w:type="dxa"/>
          </w:tcPr>
          <w:p w:rsidR="00505632" w:rsidRDefault="00505632" w:rsidP="00AD4E52">
            <w:pPr>
              <w:pStyle w:val="CellColumn"/>
              <w:jc w:val="left"/>
            </w:pPr>
            <w:r>
              <w:rPr>
                <w:rFonts w:cs="Times New Roman"/>
              </w:rPr>
              <w:t>Uspostavljen sustav u skladu s donesenom regulativom za razdoblje 2014.-2021</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Zemlje EGP-a</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15</w:t>
            </w:r>
          </w:p>
        </w:tc>
      </w:tr>
      <w:tr w:rsidR="00505632" w:rsidTr="00AD4E52">
        <w:trPr>
          <w:jc w:val="center"/>
        </w:trPr>
        <w:tc>
          <w:tcPr>
            <w:tcW w:w="2551" w:type="dxa"/>
          </w:tcPr>
          <w:p w:rsidR="00505632" w:rsidRDefault="00505632" w:rsidP="00AD4E52">
            <w:pPr>
              <w:pStyle w:val="CellColumn"/>
              <w:jc w:val="left"/>
            </w:pPr>
            <w:r>
              <w:rPr>
                <w:rFonts w:cs="Times New Roman"/>
              </w:rPr>
              <w:t>Definirana prioritetna područja ulaganja</w:t>
            </w:r>
          </w:p>
        </w:tc>
        <w:tc>
          <w:tcPr>
            <w:tcW w:w="2551" w:type="dxa"/>
          </w:tcPr>
          <w:p w:rsidR="00505632" w:rsidRDefault="00505632" w:rsidP="00AD4E52">
            <w:pPr>
              <w:pStyle w:val="CellColumn"/>
              <w:jc w:val="left"/>
            </w:pPr>
            <w:r>
              <w:rPr>
                <w:rFonts w:cs="Times New Roman"/>
              </w:rPr>
              <w:t>Definirana prioritetna područja ulaganja za razdoblje 2014-2021</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Zemlje EGP-a</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A758033 FINANCIJSKI MEHANIZAM EGP</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A758033-FINANCIJSKI MEHANIZAM EGP</w:t>
            </w:r>
          </w:p>
        </w:tc>
        <w:tc>
          <w:tcPr>
            <w:tcW w:w="2041" w:type="dxa"/>
          </w:tcPr>
          <w:p w:rsidR="00505632" w:rsidRDefault="00505632" w:rsidP="00AD4E52">
            <w:pPr>
              <w:pStyle w:val="CellColumn"/>
              <w:jc w:val="right"/>
            </w:pPr>
            <w:r>
              <w:rPr>
                <w:rFonts w:cs="Times New Roman"/>
              </w:rPr>
              <w:t>580.312</w:t>
            </w:r>
          </w:p>
        </w:tc>
        <w:tc>
          <w:tcPr>
            <w:tcW w:w="2041" w:type="dxa"/>
          </w:tcPr>
          <w:p w:rsidR="00505632" w:rsidRDefault="00505632" w:rsidP="00AD4E52">
            <w:pPr>
              <w:pStyle w:val="CellColumn"/>
              <w:jc w:val="right"/>
            </w:pPr>
            <w:r>
              <w:rPr>
                <w:rFonts w:cs="Times New Roman"/>
              </w:rPr>
              <w:t>2.385.200</w:t>
            </w:r>
          </w:p>
        </w:tc>
        <w:tc>
          <w:tcPr>
            <w:tcW w:w="2041" w:type="dxa"/>
          </w:tcPr>
          <w:p w:rsidR="00505632" w:rsidRDefault="00505632" w:rsidP="00AD4E52">
            <w:pPr>
              <w:pStyle w:val="CellColumn"/>
              <w:jc w:val="right"/>
            </w:pPr>
            <w:r>
              <w:rPr>
                <w:rFonts w:cs="Times New Roman"/>
              </w:rPr>
              <w:t>2.028.393</w:t>
            </w:r>
          </w:p>
        </w:tc>
        <w:tc>
          <w:tcPr>
            <w:tcW w:w="1224" w:type="dxa"/>
          </w:tcPr>
          <w:p w:rsidR="00505632" w:rsidRDefault="00505632" w:rsidP="00AD4E52">
            <w:pPr>
              <w:pStyle w:val="CellColumn"/>
              <w:jc w:val="right"/>
            </w:pPr>
            <w:r>
              <w:rPr>
                <w:rFonts w:cs="Times New Roman"/>
              </w:rPr>
              <w:t>85,0</w:t>
            </w:r>
          </w:p>
        </w:tc>
        <w:tc>
          <w:tcPr>
            <w:tcW w:w="1224" w:type="dxa"/>
          </w:tcPr>
          <w:p w:rsidR="00505632" w:rsidRDefault="00505632" w:rsidP="00AD4E52">
            <w:pPr>
              <w:pStyle w:val="CellColumn"/>
              <w:jc w:val="right"/>
            </w:pPr>
            <w:r>
              <w:rPr>
                <w:rFonts w:cs="Times New Roman"/>
              </w:rPr>
              <w:t>349,5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potvrđivanju Memoranduma o suglasnosti o provedbi EGP financijskog mehanizma za razdoblje od 2009. do 2014. između Republike Hrvatske i Kraljevine Norveške, Islanda i Kneževine Lihtenštajna kojeg je Hrvatski sabor donio na sjednici 3. listopada 2014. godine, a stupio je na snagu 7. listopada 2014. godine. Aktivnost se provodi paralelno sa aktivnosti Norveški financijski mehanizam temeljem spomenutog zakona.</w:t>
      </w:r>
    </w:p>
    <w:p w:rsidR="00505632" w:rsidRDefault="00505632" w:rsidP="00505632">
      <w:pPr>
        <w:pStyle w:val="Heading8"/>
        <w:jc w:val="left"/>
      </w:pPr>
      <w:r>
        <w:t>Opis aktivnosti</w:t>
      </w:r>
    </w:p>
    <w:p w:rsidR="00505632" w:rsidRDefault="00505632" w:rsidP="00505632">
      <w:r>
        <w:t>Provedba planiranih aktivnosti usmjerena je prema učinkovitijoj provedbi i upravljanju sredstvima financijskih mehanizama Kraljevine Norveške  financijskog mehanizma Europskog gospodarskog prostora u skladu sa zahtjevima Kraljevine Norveške, Islanda i Kneževine Lihtenštajna i Republike Hrvatske u skladu s potpisanim međunarodnim sporazumima i na pripreme za koordinaciju aktivnosti vezano uz novi programski period. Glavni cilj je provedba praćenja programa i projekata financiranih u okviru financijskog razdoblja  2009. – 2014., implementaciju uspostavljenog sustava za provedbu i praćenje programa i projekata u okviru 2009. – 2014.  te pripreme i programiranje novih programa i projekata u okviru financijskog razdoblja 2014. – 2021. Sredstva se troše u skladu s godišnjim planom aktivnosti koji uključuje isplate za korisnike Bilateralnog fonda, isplate za korisnike projekata EGP mehanizma definirane Memorandumom o razumijevanju, održavanje godišnjih i tehničkih sastanaka, promotivne aktivnosti, nabava promidžbenog materijala,  održavanje web stranice, plaćanje vanjskih stručnjaka angažiranih za provedbu financijskih i promidžbenih poslova, službena putovanja zbog sudjelovanja na edukacijama i sastancima organiziranim od strane Ureda financijskog mehanizma, sudjelovanje na sastancima o definiranju mehanizma u 2014.-2021. periodu i ostalo. Određena odstupanja od planirane potrošnje nastala su zbog činjenice da su bilateralni projekt trajali duže od planiranog čime se isplata dijela sredstava prebacila s 2016. na 2017. te također u činjenici da zbog promjene Vlade pregovori o potpisivanju Memoranduma o razumijevanju nisu započeli tijekom 2016. kako je inicijalno planirano.</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kvalitetnih financijskih među izvješća  i godišnjih izviješća o  praćenju provedbe projekata financiranih iz instrumenata EGP-a 2009-2014</w:t>
            </w:r>
          </w:p>
        </w:tc>
        <w:tc>
          <w:tcPr>
            <w:tcW w:w="2551" w:type="dxa"/>
          </w:tcPr>
          <w:p w:rsidR="00505632" w:rsidRDefault="00505632" w:rsidP="00AD4E52">
            <w:pPr>
              <w:pStyle w:val="CellColumn"/>
              <w:jc w:val="left"/>
            </w:pPr>
            <w:r>
              <w:rPr>
                <w:rFonts w:cs="Times New Roman"/>
              </w:rPr>
              <w:t>Broj izvješća u kojima korisnici ispunjavaju potrebni obuhvat  sadržaja i ispravnost /točnost podataka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11</w:t>
            </w:r>
          </w:p>
        </w:tc>
        <w:tc>
          <w:tcPr>
            <w:tcW w:w="1020" w:type="dxa"/>
          </w:tcPr>
          <w:p w:rsidR="00505632" w:rsidRDefault="00505632" w:rsidP="00AD4E52">
            <w:pPr>
              <w:pStyle w:val="CellColumn"/>
              <w:jc w:val="right"/>
            </w:pPr>
            <w:r>
              <w:rPr>
                <w:rFonts w:cs="Times New Roman"/>
              </w:rPr>
              <w:t>Zemlje EGP-a</w:t>
            </w:r>
          </w:p>
        </w:tc>
        <w:tc>
          <w:tcPr>
            <w:tcW w:w="1020" w:type="dxa"/>
          </w:tcPr>
          <w:p w:rsidR="00505632" w:rsidRDefault="00505632" w:rsidP="00AD4E52">
            <w:pPr>
              <w:pStyle w:val="CellColumn"/>
              <w:jc w:val="right"/>
            </w:pPr>
            <w:r>
              <w:rPr>
                <w:rFonts w:cs="Times New Roman"/>
              </w:rPr>
              <w:t>11</w:t>
            </w:r>
          </w:p>
        </w:tc>
        <w:tc>
          <w:tcPr>
            <w:tcW w:w="1020" w:type="dxa"/>
          </w:tcPr>
          <w:p w:rsidR="00505632" w:rsidRDefault="00505632" w:rsidP="00AD4E52">
            <w:pPr>
              <w:pStyle w:val="CellColumn"/>
              <w:jc w:val="right"/>
            </w:pPr>
            <w:r>
              <w:rPr>
                <w:rFonts w:cs="Times New Roman"/>
              </w:rPr>
              <w:t>11</w:t>
            </w:r>
          </w:p>
        </w:tc>
      </w:tr>
      <w:tr w:rsidR="00505632" w:rsidTr="00AD4E52">
        <w:trPr>
          <w:jc w:val="center"/>
        </w:trPr>
        <w:tc>
          <w:tcPr>
            <w:tcW w:w="2551" w:type="dxa"/>
          </w:tcPr>
          <w:p w:rsidR="00505632" w:rsidRDefault="00505632" w:rsidP="00AD4E52">
            <w:pPr>
              <w:pStyle w:val="CellColumn"/>
              <w:jc w:val="left"/>
            </w:pPr>
            <w:r>
              <w:rPr>
                <w:rFonts w:cs="Times New Roman"/>
              </w:rPr>
              <w:t>Uspostavljen nadzorni odbor za praćenju provedbe Programa financiranih iz instrumenata EGP-a 2014-2021</w:t>
            </w:r>
          </w:p>
        </w:tc>
        <w:tc>
          <w:tcPr>
            <w:tcW w:w="2551" w:type="dxa"/>
          </w:tcPr>
          <w:p w:rsidR="00505632" w:rsidRDefault="00505632" w:rsidP="00AD4E52">
            <w:pPr>
              <w:pStyle w:val="CellColumn"/>
              <w:jc w:val="left"/>
            </w:pPr>
            <w:r>
              <w:rPr>
                <w:rFonts w:cs="Times New Roman"/>
              </w:rPr>
              <w:t>Uspostavljeni nadzorni odbor koji prati provedbu Programa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Zemlje EGP-a</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K758028 IPA 2013 FFRAC USPOSTAVA SUSTAVA ZA STRATEŠKO PLANIRANJE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K758028-IPA 2013 FFRAC USPOSTAVA SUSTAVA ZA STRATEŠKO PLANIRANJE</w:t>
            </w:r>
          </w:p>
        </w:tc>
        <w:tc>
          <w:tcPr>
            <w:tcW w:w="2041" w:type="dxa"/>
          </w:tcPr>
          <w:p w:rsidR="00505632" w:rsidRDefault="00505632" w:rsidP="00AD4E52">
            <w:pPr>
              <w:pStyle w:val="CellColumn"/>
              <w:jc w:val="right"/>
            </w:pPr>
            <w:r>
              <w:rPr>
                <w:rFonts w:cs="Times New Roman"/>
              </w:rPr>
              <w:t>1.480.626</w:t>
            </w:r>
          </w:p>
        </w:tc>
        <w:tc>
          <w:tcPr>
            <w:tcW w:w="2041" w:type="dxa"/>
          </w:tcPr>
          <w:p w:rsidR="00505632" w:rsidRDefault="00505632" w:rsidP="00AD4E52">
            <w:pPr>
              <w:pStyle w:val="CellColumn"/>
              <w:jc w:val="right"/>
            </w:pPr>
            <w:r>
              <w:rPr>
                <w:rFonts w:cs="Times New Roman"/>
              </w:rPr>
              <w:t>438.000</w:t>
            </w:r>
          </w:p>
        </w:tc>
        <w:tc>
          <w:tcPr>
            <w:tcW w:w="2041" w:type="dxa"/>
          </w:tcPr>
          <w:p w:rsidR="00505632" w:rsidRDefault="00505632" w:rsidP="00AD4E52">
            <w:pPr>
              <w:pStyle w:val="CellColumn"/>
              <w:jc w:val="right"/>
            </w:pPr>
            <w:r>
              <w:rPr>
                <w:rFonts w:cs="Times New Roman"/>
              </w:rPr>
              <w:t>382.343</w:t>
            </w:r>
          </w:p>
        </w:tc>
        <w:tc>
          <w:tcPr>
            <w:tcW w:w="1224" w:type="dxa"/>
          </w:tcPr>
          <w:p w:rsidR="00505632" w:rsidRDefault="00505632" w:rsidP="00AD4E52">
            <w:pPr>
              <w:pStyle w:val="CellColumn"/>
              <w:jc w:val="right"/>
            </w:pPr>
            <w:r>
              <w:rPr>
                <w:rFonts w:cs="Times New Roman"/>
              </w:rPr>
              <w:t>87,3</w:t>
            </w:r>
          </w:p>
        </w:tc>
        <w:tc>
          <w:tcPr>
            <w:tcW w:w="1224" w:type="dxa"/>
          </w:tcPr>
          <w:p w:rsidR="00505632" w:rsidRDefault="00505632" w:rsidP="00AD4E52">
            <w:pPr>
              <w:pStyle w:val="CellColumn"/>
              <w:jc w:val="right"/>
            </w:pPr>
            <w:r>
              <w:rPr>
                <w:rFonts w:cs="Times New Roman"/>
              </w:rPr>
              <w:t>25,8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potvrđivanju Okvirnog sporazuma između Vlade Republike Hrvatske i Komisije europskih zajednica o pravilima za suradnju u svezi financijske pomoći Europske zajednice Republici Hrvatskoj u provedbi pomoći u okviru Instrumenta pretpristupne pomoći (IPA) - (NN 10/2007).</w:t>
      </w:r>
    </w:p>
    <w:p w:rsidR="00505632" w:rsidRDefault="00505632" w:rsidP="00505632">
      <w:pPr>
        <w:pStyle w:val="Heading8"/>
        <w:jc w:val="left"/>
      </w:pPr>
      <w:r>
        <w:t>Opis aktivnosti</w:t>
      </w:r>
    </w:p>
    <w:p w:rsidR="00505632" w:rsidRDefault="00505632" w:rsidP="00505632">
      <w:r>
        <w:t xml:space="preserve">Provedba aktivnosti K758028 osigurana je sredstvima iz pretpristupnog programa IPA. Navedena sredstva korištena su za provedbu Twinning light projekta IPA FFRAC 2013 „Podrška uspostavi sustava za strateško planiranje na nacionalnoj razini“. Aktivnosti u okviru projekta realizirane su kroz konto 3237 – Intelektualne i osobne usluge. Tijekom 2016. godine ostvaren je jedno završno plaćanje po ugovoru u okviru Twinning light projekta u iznosu od 382.342,83 kuna. U okviru navedenog projekta koji je Ministarstvo regionalnoga razvoja i fondova Europske unije provelo u suradnji s Uredom Vlade Republike Litve, razrađen je prijedlog modela za učinkovitiji sustav strateškog planiranja razvoja. U sklopu projekta izrađene su analize sustava i usporedba s drugim državama članicama Europske unije, razrađen je prijedlog hijerarhije i povezanosti strateških dokumenata za dugoročno, srednjoročno i kratkoročno planiranje te poveznica s proračunskim planiranjem, definirane su ključne uloge u sustavu strateškog planiranja i upravljanja razvojem te su razvijena pravila, procedure i metodološke smjernice za izradu i praćenje učinkovitosti u provedbi strateških dokumenata na nacionalnoj razini. Rezultati provedbe ovoga projekta čine kvalitetnu podlogu za izradu prijedloga zakonskog i institucionalnog okvira za cjelovito uređenje novog sustava strateškog planiranja i upravljanja razvojem.  </w:t>
      </w:r>
    </w:p>
    <w:p w:rsidR="00505632" w:rsidRDefault="00505632" w:rsidP="00505632">
      <w:r>
        <w:t>Realizacija stavke 3237 je izvršena u iznosu od 87,29%. Radi se ujedno i o reformskoj mjeri definiranoj u Nacionalnom programu reformi od 2016.</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Izrađena analiza funkcionalnosti postojećeg sustava strateškog planiranja i usporedbe sa sustavima koji postoje u ostalim državama članicama EU</w:t>
            </w:r>
          </w:p>
        </w:tc>
        <w:tc>
          <w:tcPr>
            <w:tcW w:w="2551" w:type="dxa"/>
          </w:tcPr>
          <w:p w:rsidR="00505632" w:rsidRDefault="00505632" w:rsidP="00AD4E52">
            <w:pPr>
              <w:pStyle w:val="CellColumn"/>
              <w:jc w:val="left"/>
            </w:pPr>
            <w:r>
              <w:rPr>
                <w:rFonts w:cs="Times New Roman"/>
              </w:rPr>
              <w:t>Analiza funkcionalnosti postojećeg sustava strateškog planiranja i komparativna analiza sustava u tri zemlje članice EU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Prijedlog institucionalnog i zakonodavnog okvira na nacionalnoj razini</w:t>
            </w:r>
          </w:p>
        </w:tc>
        <w:tc>
          <w:tcPr>
            <w:tcW w:w="2551" w:type="dxa"/>
          </w:tcPr>
          <w:p w:rsidR="00505632" w:rsidRDefault="00505632" w:rsidP="00AD4E52">
            <w:pPr>
              <w:pStyle w:val="CellColumn"/>
              <w:jc w:val="left"/>
            </w:pPr>
            <w:r>
              <w:rPr>
                <w:rFonts w:cs="Times New Roman"/>
              </w:rPr>
              <w:t xml:space="preserve">Institucionalni okvir te </w:t>
            </w:r>
          </w:p>
          <w:p w:rsidR="00505632" w:rsidRDefault="00505632" w:rsidP="00AD4E52">
            <w:pPr>
              <w:pStyle w:val="CellColumn"/>
              <w:jc w:val="left"/>
            </w:pPr>
            <w:r>
              <w:rPr>
                <w:rFonts w:cs="Times New Roman"/>
              </w:rPr>
              <w:t>prijedlog modela sustava za strateško planiranje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Kompletirana metodologija za izradu strateških dokumenata, akcijskih planova i provedbenih izvješća</w:t>
            </w:r>
          </w:p>
        </w:tc>
        <w:tc>
          <w:tcPr>
            <w:tcW w:w="2551" w:type="dxa"/>
          </w:tcPr>
          <w:p w:rsidR="00505632" w:rsidRDefault="00505632" w:rsidP="00AD4E52">
            <w:pPr>
              <w:pStyle w:val="CellColumn"/>
              <w:jc w:val="left"/>
            </w:pPr>
            <w:r>
              <w:rPr>
                <w:rFonts w:cs="Times New Roman"/>
              </w:rPr>
              <w:t>Metodologija izradu strateških dokumenata, akcijskih planova i provedbenih izvješća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70</w:t>
            </w:r>
          </w:p>
        </w:tc>
      </w:tr>
      <w:tr w:rsidR="00505632" w:rsidTr="00AD4E52">
        <w:trPr>
          <w:jc w:val="center"/>
        </w:trPr>
        <w:tc>
          <w:tcPr>
            <w:tcW w:w="2551" w:type="dxa"/>
          </w:tcPr>
          <w:p w:rsidR="00505632" w:rsidRDefault="00505632" w:rsidP="00AD4E52">
            <w:pPr>
              <w:pStyle w:val="CellColumn"/>
              <w:jc w:val="left"/>
            </w:pPr>
            <w:r>
              <w:rPr>
                <w:rFonts w:cs="Times New Roman"/>
              </w:rPr>
              <w:t>Uspostava i održavanje sustava za praćenje/IT sustava za strateško planiranje</w:t>
            </w:r>
          </w:p>
        </w:tc>
        <w:tc>
          <w:tcPr>
            <w:tcW w:w="2551" w:type="dxa"/>
          </w:tcPr>
          <w:p w:rsidR="00505632" w:rsidRDefault="00505632" w:rsidP="00AD4E52">
            <w:pPr>
              <w:pStyle w:val="CellColumn"/>
              <w:jc w:val="left"/>
            </w:pPr>
            <w:r>
              <w:rPr>
                <w:rFonts w:cs="Times New Roman"/>
              </w:rPr>
              <w:t>Informacijski sustav za praćenje i izvještavanje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30</w:t>
            </w:r>
          </w:p>
        </w:tc>
      </w:tr>
    </w:tbl>
    <w:p w:rsidR="00505632" w:rsidRDefault="00505632" w:rsidP="00505632">
      <w:pPr>
        <w:jc w:val="left"/>
      </w:pPr>
    </w:p>
    <w:p w:rsidR="00505632" w:rsidRDefault="00505632" w:rsidP="00505632">
      <w:pPr>
        <w:pStyle w:val="Heading4"/>
      </w:pPr>
      <w:r>
        <w:t>T758034 ŠVICARSKO - HRVATSKI PROGRAM SURADNJE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T758034-ŠVICARSKO - HRVATSKI PROGRAM SURADNJE</w:t>
            </w:r>
          </w:p>
        </w:tc>
        <w:tc>
          <w:tcPr>
            <w:tcW w:w="2041" w:type="dxa"/>
          </w:tcPr>
          <w:p w:rsidR="00505632" w:rsidRDefault="00505632" w:rsidP="00AD4E52">
            <w:pPr>
              <w:pStyle w:val="CellColumn"/>
              <w:jc w:val="right"/>
            </w:pPr>
            <w:r>
              <w:rPr>
                <w:rFonts w:cs="Times New Roman"/>
              </w:rPr>
              <w:t>6.269</w:t>
            </w:r>
          </w:p>
        </w:tc>
        <w:tc>
          <w:tcPr>
            <w:tcW w:w="2041" w:type="dxa"/>
          </w:tcPr>
          <w:p w:rsidR="00505632" w:rsidRDefault="00505632" w:rsidP="00AD4E52">
            <w:pPr>
              <w:pStyle w:val="CellColumn"/>
              <w:jc w:val="right"/>
            </w:pPr>
            <w:r>
              <w:rPr>
                <w:rFonts w:cs="Times New Roman"/>
              </w:rPr>
              <w:t>345.500</w:t>
            </w:r>
          </w:p>
        </w:tc>
        <w:tc>
          <w:tcPr>
            <w:tcW w:w="2041" w:type="dxa"/>
          </w:tcPr>
          <w:p w:rsidR="00505632" w:rsidRDefault="00505632" w:rsidP="00AD4E52">
            <w:pPr>
              <w:pStyle w:val="CellColumn"/>
              <w:jc w:val="right"/>
            </w:pPr>
            <w:r>
              <w:rPr>
                <w:rFonts w:cs="Times New Roman"/>
              </w:rPr>
              <w:t>272.145</w:t>
            </w:r>
          </w:p>
        </w:tc>
        <w:tc>
          <w:tcPr>
            <w:tcW w:w="1224" w:type="dxa"/>
          </w:tcPr>
          <w:p w:rsidR="00505632" w:rsidRDefault="00505632" w:rsidP="00AD4E52">
            <w:pPr>
              <w:pStyle w:val="CellColumn"/>
              <w:jc w:val="right"/>
            </w:pPr>
            <w:r>
              <w:rPr>
                <w:rFonts w:cs="Times New Roman"/>
              </w:rPr>
              <w:t>78,8</w:t>
            </w:r>
          </w:p>
        </w:tc>
        <w:tc>
          <w:tcPr>
            <w:tcW w:w="1224" w:type="dxa"/>
          </w:tcPr>
          <w:p w:rsidR="00505632" w:rsidRDefault="00505632" w:rsidP="00AD4E52">
            <w:pPr>
              <w:pStyle w:val="CellColumn"/>
              <w:jc w:val="right"/>
            </w:pPr>
            <w:r>
              <w:rPr>
                <w:rFonts w:cs="Times New Roman"/>
              </w:rPr>
              <w:t>4340,9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potvrđivanju Okvirnog sporazuma između Švicarskog saveznog vijeća i Vlade Republike Hrvatske o provedbi Švicarsko-hrvatskog programa suradnje na smanjenju ekonomskih i socijalnih nejednakosti unutar proširene Europske unije kojeg je Hrvatski sabor donio na sjednici 15.prosinca 2016. godine, a stupio je na snagu 9. siječnja 2017. godine.</w:t>
      </w:r>
    </w:p>
    <w:p w:rsidR="00505632" w:rsidRDefault="00505632" w:rsidP="00505632">
      <w:pPr>
        <w:pStyle w:val="Heading8"/>
        <w:jc w:val="left"/>
      </w:pPr>
      <w:r>
        <w:t>Opis aktivnosti</w:t>
      </w:r>
    </w:p>
    <w:p w:rsidR="00505632" w:rsidRDefault="00505632" w:rsidP="00505632">
      <w:r>
        <w:t>Sredstva planirana na aktivnosti T758034 koriste se u sklopu Fond za tehničku pomoć kojima se osiguravaju financijska sredstva Nacionalnoj koordinacijskoj jedinici za aktivnosti u skladu s Okvirnim sporazumom. Sredstva se troše u skladu s planom koji je usuglašen na godišnjoj razini i sa nadležnim tijelima u Švicarskoj Konfederaciji i prema planu aktivnosti za  2016. organiziran je prvi godišnji sastanak na kojem je prezentirano prvo godišnje izvješće o provedbi Programa. Osim navedenoga planirana su sredstva i za aktivnosti promidžbe zaključivanja ugovora o pojedinim projektima iz programa no zbog kašnjenja procedure potvrđivanja Okvirnog sporazuma navedene aktivnosti nisu bile realizirane u 2016. godini. Navedeno  je ujedno razlog što su planirana sredstva na stavkama - 3293 Reprezentacija, 3235 Zakupnine i najamnine te 3233 Usluge promidžbe i informiranja ostala većim dijelom nepotrošena. U svrhu priprema  IT rješenja za Švicarsko-hrvatski program suradnje izvršena usluga pripreme Idejnog zadatka, Idejnog rješenja i Idejnog projekta u svrhu uspostave sustava u nadležnosti Nacionalne koordinacijske jedinice u okviru Švicarsko-hrvatskog programa suradnje te će ista nakon uspostave u idućoj fazi biti na raspolaganju javnosti u svrhu informiranja, ali će istovremeno imati ulaze za korisničke institucije i na taj način osigurati automatsko praćenje i administriranje Programa i pripadajućih projekata. Realizacija sredstva na navedenoj stavci je izvršena u iznosu od 96,5%. Realizacija službenih  putovanja u svrhu razmjene iskustva s drugim zemljama korisnicama Programa izvršena je u skladu s planom , a provedene su i 1.tehničke misije na traženje Švicarskih partnera na lokacije projekata u sklopu Programa. Izvršenje stavke 3211 je 94,93%.</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63"/>
        <w:gridCol w:w="2497"/>
        <w:gridCol w:w="1003"/>
        <w:gridCol w:w="1013"/>
        <w:gridCol w:w="1203"/>
        <w:gridCol w:w="1013"/>
        <w:gridCol w:w="1014"/>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Postavljene metodologije, pravila i procedure za provedbu programa pomoći Švicarske Konfederacije</w:t>
            </w:r>
          </w:p>
        </w:tc>
        <w:tc>
          <w:tcPr>
            <w:tcW w:w="2551" w:type="dxa"/>
          </w:tcPr>
          <w:p w:rsidR="00505632" w:rsidRDefault="00505632" w:rsidP="00AD4E52">
            <w:pPr>
              <w:pStyle w:val="CellColumn"/>
              <w:jc w:val="left"/>
            </w:pPr>
            <w:r>
              <w:rPr>
                <w:rFonts w:cs="Times New Roman"/>
              </w:rPr>
              <w:t>Nastavno na Okvirni sporazum za svaki pojedini projekt definirati pravila postupanja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Švicarska konfederacija</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Projektni prijedlozi odobreni od strane relevantnih institucija davateljica pomoći u okviru programa pomoći Švicarske Konfederacije</w:t>
            </w:r>
          </w:p>
        </w:tc>
        <w:tc>
          <w:tcPr>
            <w:tcW w:w="2551" w:type="dxa"/>
          </w:tcPr>
          <w:p w:rsidR="00505632" w:rsidRDefault="00505632" w:rsidP="00AD4E52">
            <w:pPr>
              <w:pStyle w:val="CellColumn"/>
              <w:jc w:val="left"/>
            </w:pPr>
            <w:r>
              <w:rPr>
                <w:rFonts w:cs="Times New Roman"/>
              </w:rPr>
              <w:t>Provedene konzultacije i dovršeni te odobreni projekti u okviru Švicarsko-hrvatskog programa suradnje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Švicarska konfederacija</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60</w:t>
            </w:r>
          </w:p>
        </w:tc>
      </w:tr>
      <w:tr w:rsidR="00505632" w:rsidTr="00AD4E52">
        <w:trPr>
          <w:jc w:val="center"/>
        </w:trPr>
        <w:tc>
          <w:tcPr>
            <w:tcW w:w="2551" w:type="dxa"/>
          </w:tcPr>
          <w:p w:rsidR="00505632" w:rsidRDefault="00505632" w:rsidP="00AD4E52">
            <w:pPr>
              <w:pStyle w:val="CellColumn"/>
              <w:jc w:val="left"/>
            </w:pPr>
            <w:r>
              <w:rPr>
                <w:rFonts w:cs="Times New Roman"/>
              </w:rPr>
              <w:t>Uspostavljen nadzorni odbor za praćenje provedbe projekata iz Švicarskog programa pomoći  i uspostavljeni mehanizmi suradnje na razini sustava upravljanja Švicarskim programom pomoći</w:t>
            </w:r>
          </w:p>
        </w:tc>
        <w:tc>
          <w:tcPr>
            <w:tcW w:w="2551" w:type="dxa"/>
          </w:tcPr>
          <w:p w:rsidR="00505632" w:rsidRDefault="00505632" w:rsidP="00AD4E52">
            <w:pPr>
              <w:pStyle w:val="CellColumn"/>
              <w:jc w:val="left"/>
            </w:pPr>
            <w:r>
              <w:rPr>
                <w:rFonts w:cs="Times New Roman"/>
              </w:rPr>
              <w:t>Uspostavljeni mehanizmi suradnje i sastanci sa svrhom praćenja pojedinih projekata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Zemlje EGP-a</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50</w:t>
            </w:r>
          </w:p>
        </w:tc>
      </w:tr>
      <w:tr w:rsidR="00505632" w:rsidTr="00AD4E52">
        <w:trPr>
          <w:jc w:val="center"/>
        </w:trPr>
        <w:tc>
          <w:tcPr>
            <w:tcW w:w="2551" w:type="dxa"/>
          </w:tcPr>
          <w:p w:rsidR="00505632" w:rsidRDefault="00505632" w:rsidP="00AD4E52">
            <w:pPr>
              <w:pStyle w:val="CellColumn"/>
              <w:jc w:val="left"/>
            </w:pPr>
            <w:r>
              <w:rPr>
                <w:rFonts w:cs="Times New Roman"/>
              </w:rPr>
              <w:t>Broj kvalitetnih financijskih među izvješća i godišnjih izvješća o praćenju provedbe projekata financiranih iz Švicarskog programa pomoć</w:t>
            </w:r>
          </w:p>
        </w:tc>
        <w:tc>
          <w:tcPr>
            <w:tcW w:w="2551" w:type="dxa"/>
          </w:tcPr>
          <w:p w:rsidR="00505632" w:rsidRDefault="00505632" w:rsidP="00AD4E52">
            <w:pPr>
              <w:pStyle w:val="CellColumn"/>
              <w:jc w:val="left"/>
            </w:pPr>
            <w:r>
              <w:rPr>
                <w:rFonts w:cs="Times New Roman"/>
              </w:rPr>
              <w:t>Godišnja/Periodična izvješća pripremljena i odobrena na nacionalnoj razini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3"/>
      </w:pPr>
      <w:r>
        <w:rPr>
          <w:rFonts w:cs="Times New Roman"/>
        </w:rPr>
        <w:t>2901 REGIONALNA KONKURENTNOST I URBANI RAZVOJ</w:t>
      </w:r>
    </w:p>
    <w:tbl>
      <w:tblPr>
        <w:tblStyle w:val="StilTablice"/>
        <w:tblW w:w="10206" w:type="dxa"/>
        <w:jc w:val="center"/>
        <w:tblLook w:val="04A0" w:firstRow="1" w:lastRow="0" w:firstColumn="1" w:lastColumn="0" w:noHBand="0" w:noVBand="1"/>
      </w:tblPr>
      <w:tblGrid>
        <w:gridCol w:w="1881"/>
        <w:gridCol w:w="1969"/>
        <w:gridCol w:w="1970"/>
        <w:gridCol w:w="1970"/>
        <w:gridCol w:w="1204"/>
        <w:gridCol w:w="121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2901-REGIONALNA KONKURENTNOST I URBANI RAZVOJ</w:t>
            </w:r>
          </w:p>
        </w:tc>
        <w:tc>
          <w:tcPr>
            <w:tcW w:w="2041" w:type="dxa"/>
          </w:tcPr>
          <w:p w:rsidR="00505632" w:rsidRDefault="00505632" w:rsidP="00AD4E52">
            <w:pPr>
              <w:pStyle w:val="CellColumn"/>
              <w:jc w:val="right"/>
            </w:pPr>
            <w:r>
              <w:rPr>
                <w:rFonts w:cs="Times New Roman"/>
              </w:rPr>
              <w:t>140.532.848</w:t>
            </w:r>
          </w:p>
        </w:tc>
        <w:tc>
          <w:tcPr>
            <w:tcW w:w="2041" w:type="dxa"/>
          </w:tcPr>
          <w:p w:rsidR="00505632" w:rsidRDefault="00505632" w:rsidP="00AD4E52">
            <w:pPr>
              <w:pStyle w:val="CellColumn"/>
              <w:jc w:val="right"/>
            </w:pPr>
            <w:r>
              <w:rPr>
                <w:rFonts w:cs="Times New Roman"/>
              </w:rPr>
              <w:t>480.449.546</w:t>
            </w:r>
          </w:p>
        </w:tc>
        <w:tc>
          <w:tcPr>
            <w:tcW w:w="2041" w:type="dxa"/>
          </w:tcPr>
          <w:p w:rsidR="00505632" w:rsidRDefault="00505632" w:rsidP="00AD4E52">
            <w:pPr>
              <w:pStyle w:val="CellColumn"/>
              <w:jc w:val="right"/>
            </w:pPr>
            <w:r>
              <w:rPr>
                <w:rFonts w:cs="Times New Roman"/>
              </w:rPr>
              <w:t>258.276.644</w:t>
            </w:r>
          </w:p>
        </w:tc>
        <w:tc>
          <w:tcPr>
            <w:tcW w:w="1224" w:type="dxa"/>
          </w:tcPr>
          <w:p w:rsidR="00505632" w:rsidRDefault="00505632" w:rsidP="00AD4E52">
            <w:pPr>
              <w:pStyle w:val="CellColumn"/>
              <w:jc w:val="right"/>
            </w:pPr>
            <w:r>
              <w:rPr>
                <w:rFonts w:cs="Times New Roman"/>
              </w:rPr>
              <w:t>53,8</w:t>
            </w:r>
          </w:p>
        </w:tc>
        <w:tc>
          <w:tcPr>
            <w:tcW w:w="1224" w:type="dxa"/>
          </w:tcPr>
          <w:p w:rsidR="00505632" w:rsidRDefault="00505632" w:rsidP="00AD4E52">
            <w:pPr>
              <w:pStyle w:val="CellColumn"/>
              <w:jc w:val="right"/>
            </w:pPr>
            <w:r>
              <w:rPr>
                <w:rFonts w:cs="Times New Roman"/>
              </w:rPr>
              <w:t>183,8</w:t>
            </w:r>
          </w:p>
        </w:tc>
      </w:tr>
    </w:tbl>
    <w:p w:rsidR="00505632" w:rsidRDefault="00505632" w:rsidP="00505632">
      <w:pPr>
        <w:jc w:val="left"/>
      </w:pPr>
    </w:p>
    <w:p w:rsidR="00505632" w:rsidRDefault="00505632" w:rsidP="00505632">
      <w:r>
        <w:t xml:space="preserve">Postojanje kvalitetne komunalne i socijalne infrastrukture te njeno učinkovito održavanje i upravljanje čine osnovne pretpostavke razvoja svih segmenata društveno-gospodarskog razvoja, podizanja kvalitete života te smanjivanja zaostajanja slabije razvijenih regija. </w:t>
      </w:r>
    </w:p>
    <w:p w:rsidR="00505632" w:rsidRDefault="00505632" w:rsidP="00505632">
      <w:r>
        <w:t xml:space="preserve">Cilj ovog Programa je usmjeren na rješavanje identificiranih prioritetnih potreba usuglašenih između svih zainteresiranih strana koji se odnose na izgradnju, sanaciju, nadogradnju i/ili opremanjem objekata komunalne i socijalne infrastrukture, i kao takvih prepoznatih u strateškim planskim dokumentima na svim razinama, a u cilju smanjivanja zaostajanja slabije razvijenih regija.  </w:t>
      </w:r>
    </w:p>
    <w:p w:rsidR="00505632" w:rsidRDefault="00505632" w:rsidP="00505632">
      <w:r>
        <w:t xml:space="preserve">U okviru ovog Programa Sektor za provedbu programa regionalnoga razvoja provodio je višegodišnji projekt EIB II kojim se financirala obnova, izgradnja, nadogradnja i rekonstrukcija komunalne i socijalne infrastrukture u JLS-ima, u prvom redu potprojekti iz područja vodoopskrbe i odvodnje, lokalnih cesta, školskih objekata i dječjih vrtića.  </w:t>
      </w:r>
    </w:p>
    <w:p w:rsidR="00505632" w:rsidRDefault="00505632" w:rsidP="00505632">
      <w:r>
        <w:t xml:space="preserve">Osim višegodišnjeg projekta provodio se i godišnji program „Regionalni razvojni projekti“ kojeg su se sufinancirali projekti koji se odnose na završetak izgradnje ili obnove objekata javne namjene koji su na raspolaganju široj lokalnoj zajednici i čija realizacija doprinosi kvaliteti života lokalnog stanovništva, a nisu prihvatljivi za financiranje putem postojećih programa ili iz ESI fondova.  </w:t>
      </w:r>
    </w:p>
    <w:p w:rsidR="00505632" w:rsidRDefault="00505632" w:rsidP="00505632">
      <w:r>
        <w:t>Realizacijom navedenih aktivnosti u okviru Programa regionalnog razvoja nastoji se smanjiti negativni trend razvoja pojedinih područja, obnova i revitalizacija ratom stradalih područja, poboljšanje kvalitete života, povećanje obrazovnog standarda stanovništva, stvaranje preduvjeta za gospodarski i društveni razvoj.</w:t>
      </w:r>
    </w:p>
    <w:p w:rsidR="00505632" w:rsidRDefault="00505632" w:rsidP="00505632">
      <w:pPr>
        <w:pStyle w:val="Heading8"/>
        <w:jc w:val="left"/>
      </w:pPr>
      <w:r>
        <w:t xml:space="preserve">Cilj 1. Poticanje konkurentnog i uravnoteženog regionalnoga razvoja  </w:t>
      </w:r>
    </w:p>
    <w:p w:rsidR="00505632" w:rsidRDefault="00505632" w:rsidP="00505632">
      <w:pPr>
        <w:pStyle w:val="Heading8"/>
        <w:jc w:val="left"/>
      </w:pPr>
      <w:r>
        <w:t>Opis provedbe cilja programa</w:t>
      </w:r>
    </w:p>
    <w:p w:rsidR="00505632" w:rsidRDefault="00505632" w:rsidP="00505632">
      <w:r>
        <w:t xml:space="preserve">Cilj je politike regionalnoga razvoja Republike Hrvatske pridonijeti ukupnom nacionalnom rastu i razvoju stvaranjem uvjeta koji će smanjiti društvene i gospodarske razvojne nejednakosti među statističkim regijama i županijama, omogućiti svim područjima da postanu konkurentna te uspostaviti okvir za koordinirane nacionalne, regionalne i lokalne inicijative kojima je cilj unapređenje gospodarskog i društvenog razvoja zemlje. </w:t>
      </w:r>
    </w:p>
    <w:p w:rsidR="00505632" w:rsidRDefault="00505632" w:rsidP="00505632">
      <w:r>
        <w:t xml:space="preserve">U svrhu izjednačavanja uvjeta i kvalitete života u slabije razvijenim područjima (potpomognuta područja izdvojena temeljem indeksa razvijenosti) s ostalim područjima Republike Hrvatske intenziv </w:t>
      </w:r>
    </w:p>
    <w:p w:rsidR="00505632" w:rsidRDefault="00505632" w:rsidP="00505632">
      <w:r>
        <w:t xml:space="preserve">no će se raditi na poboljšanju uvjeta života u svim segmentima. To se planira postići podizanjem kvalitete gospodarske, društvene i komunalne infrastrukture, jačanjem urbanih žarišta razvoja na tim područjima te smanjenjem njihove prometne izoliranosti tj. boljom prometnom dostupnosti.  </w:t>
      </w:r>
    </w:p>
    <w:p w:rsidR="00505632" w:rsidRDefault="00505632" w:rsidP="00505632">
      <w:r>
        <w:t>Diferenciranim ulaganjima u pojedina područja Republike Hrvatske nastoji se omogućiti slabije razvijenim područjima da ubrzaju svoj razvoj i smanje zaostajanje u razvijenosti za nacionalnim prosjekom. To se provodi na način da se, naravno tamo gdje je to gospodarski i društveno opravdano, u slabije razvijena područja usmjerava veća koncentracija sredstava, odnosno veći intenzitet potpora. Takvim se pristupom želi, uz doprinos ukupnom gospodarskom razvoju hrvatskih regija, doprinijeti i smanjenju regionalnih razlika te teritorijalnoj, gospodarskoj i društvenoj koheziji.</w:t>
      </w:r>
    </w:p>
    <w:p w:rsidR="00505632" w:rsidRDefault="00505632" w:rsidP="00505632">
      <w:pPr>
        <w:pStyle w:val="Heading8"/>
        <w:jc w:val="left"/>
      </w:pPr>
      <w:r>
        <w:t>Cilj 2. Podizanje razine konkurentnosti regija i urbanih područja</w:t>
      </w:r>
    </w:p>
    <w:p w:rsidR="00505632" w:rsidRDefault="00505632" w:rsidP="00505632">
      <w:pPr>
        <w:pStyle w:val="Heading8"/>
        <w:jc w:val="left"/>
      </w:pPr>
      <w:r>
        <w:t>Opis provedbe cilja programa</w:t>
      </w:r>
    </w:p>
    <w:p w:rsidR="00505632" w:rsidRDefault="00505632" w:rsidP="00505632">
      <w:r>
        <w:t xml:space="preserve">Cilj je politike regionalnoga razvoja Republike Hrvatske pridonijeti ukupnom društveno-gospodarskom razvoju, uz poštivanje načela održivog razvoja, stvaranjem uvjeta koji će svim dijelovima Republike Hrvatske omogućiti jačanje konkurentnosti i realizaciju vlastitih razvojnih potencijala. To se, između ostalog, planira ostvariti boljim povezivanjem razvojnih prioriteta središnje razine s razvojnim potrebama jedinica područne (regionalne) i lokalne samouprave, kako bi se dostupna sredstva ulagala tako da pridonose ostvarivanju nacionalnih, regionalnih i lokalnih razvojnih ciljeva na koherentan i integrirani način.  </w:t>
      </w:r>
    </w:p>
    <w:p w:rsidR="00505632" w:rsidRDefault="00505632" w:rsidP="00505632">
      <w:r>
        <w:t>Uz izradu novih strateških dokumenata, Ministarstvo će nastaviti poticati jačanje konkurentnosti hrvatskih regija, razvojem poslovne infrastrukture, pružanjem pomoći u pripremi i provedbi regionalnih i lokalnih razvojnih projekata, jačanjem kapaciteta za upravljanje regionalnim razvojem na svim razinama te učinkovitom suradnjom između javnog sektora, znanstveno-istraživačkih institucija i poslovnog sektora.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razlike u razvijenosti između najslabije i najjače razvijene JPS prema indeksu razvijenosti</w:t>
            </w:r>
          </w:p>
        </w:tc>
        <w:tc>
          <w:tcPr>
            <w:tcW w:w="2551" w:type="dxa"/>
          </w:tcPr>
          <w:p w:rsidR="00505632" w:rsidRDefault="00505632" w:rsidP="00AD4E52">
            <w:pPr>
              <w:pStyle w:val="CellColumn"/>
              <w:jc w:val="left"/>
            </w:pPr>
            <w:r>
              <w:rPr>
                <w:rFonts w:cs="Times New Roman"/>
              </w:rPr>
              <w:t>Smanjenje razlike u razvijenosti između najslabije i najjače razvijene JPS prema indeksu razvijenosti, utvrđenog na temelju godišnjeg praćenja vrijednosti indeksa razvijenosti JLPRS prema vrijednosti IR utvrđenog u postupku ocjenjivanja i razvrstavanja provedenog 2013. godine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181</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182</w:t>
            </w:r>
          </w:p>
        </w:tc>
        <w:tc>
          <w:tcPr>
            <w:tcW w:w="1020" w:type="dxa"/>
          </w:tcPr>
          <w:p w:rsidR="00505632" w:rsidRDefault="00505632" w:rsidP="00AD4E52">
            <w:pPr>
              <w:pStyle w:val="CellColumn"/>
              <w:jc w:val="right"/>
            </w:pPr>
            <w:r>
              <w:rPr>
                <w:rFonts w:cs="Times New Roman"/>
              </w:rPr>
              <w:t>181</w:t>
            </w:r>
          </w:p>
        </w:tc>
      </w:tr>
    </w:tbl>
    <w:p w:rsidR="00505632" w:rsidRDefault="00505632" w:rsidP="00505632">
      <w:pPr>
        <w:jc w:val="left"/>
      </w:pPr>
    </w:p>
    <w:p w:rsidR="00505632" w:rsidRDefault="00505632" w:rsidP="00505632">
      <w:pPr>
        <w:jc w:val="left"/>
      </w:pPr>
    </w:p>
    <w:p w:rsidR="00505632" w:rsidRDefault="00505632" w:rsidP="00505632">
      <w:pPr>
        <w:pStyle w:val="Heading4"/>
      </w:pPr>
      <w:r>
        <w:t>A828031 PROVEDBA STRATEGIJE I ZAKONA O REGIONALNOM RAZVOJU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A828031-PROVEDBA STRATEGIJE I ZAKONA O REGIONALNOM RAZVOJU</w:t>
            </w:r>
          </w:p>
        </w:tc>
        <w:tc>
          <w:tcPr>
            <w:tcW w:w="2041" w:type="dxa"/>
          </w:tcPr>
          <w:p w:rsidR="00505632" w:rsidRDefault="00505632" w:rsidP="00AD4E52">
            <w:pPr>
              <w:pStyle w:val="CellColumn"/>
              <w:jc w:val="right"/>
            </w:pPr>
            <w:r>
              <w:rPr>
                <w:rFonts w:cs="Times New Roman"/>
              </w:rPr>
              <w:t>182.805</w:t>
            </w:r>
          </w:p>
        </w:tc>
        <w:tc>
          <w:tcPr>
            <w:tcW w:w="2041" w:type="dxa"/>
          </w:tcPr>
          <w:p w:rsidR="00505632" w:rsidRDefault="00505632" w:rsidP="00AD4E52">
            <w:pPr>
              <w:pStyle w:val="CellColumn"/>
              <w:jc w:val="right"/>
            </w:pPr>
            <w:r>
              <w:rPr>
                <w:rFonts w:cs="Times New Roman"/>
              </w:rPr>
              <w:t>855.910</w:t>
            </w:r>
          </w:p>
        </w:tc>
        <w:tc>
          <w:tcPr>
            <w:tcW w:w="2041" w:type="dxa"/>
          </w:tcPr>
          <w:p w:rsidR="00505632" w:rsidRDefault="00505632" w:rsidP="00AD4E52">
            <w:pPr>
              <w:pStyle w:val="CellColumn"/>
              <w:jc w:val="right"/>
            </w:pPr>
            <w:r>
              <w:rPr>
                <w:rFonts w:cs="Times New Roman"/>
              </w:rPr>
              <w:t>575.679</w:t>
            </w:r>
          </w:p>
        </w:tc>
        <w:tc>
          <w:tcPr>
            <w:tcW w:w="1224" w:type="dxa"/>
          </w:tcPr>
          <w:p w:rsidR="00505632" w:rsidRDefault="00505632" w:rsidP="00AD4E52">
            <w:pPr>
              <w:pStyle w:val="CellColumn"/>
              <w:jc w:val="right"/>
            </w:pPr>
            <w:r>
              <w:rPr>
                <w:rFonts w:cs="Times New Roman"/>
              </w:rPr>
              <w:t>67,3</w:t>
            </w:r>
          </w:p>
        </w:tc>
        <w:tc>
          <w:tcPr>
            <w:tcW w:w="1224" w:type="dxa"/>
          </w:tcPr>
          <w:p w:rsidR="00505632" w:rsidRDefault="00505632" w:rsidP="00AD4E52">
            <w:pPr>
              <w:pStyle w:val="CellColumn"/>
              <w:jc w:val="right"/>
            </w:pPr>
            <w:r>
              <w:rPr>
                <w:rFonts w:cs="Times New Roman"/>
              </w:rPr>
              <w:t>314,9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regionalnom razvoju Republike Hrvatske (Narodne novine, broj 147/14)  </w:t>
      </w:r>
    </w:p>
    <w:p w:rsidR="00505632" w:rsidRDefault="00505632" w:rsidP="00505632">
      <w:r>
        <w:t xml:space="preserve">2. Uredba o indeksu razvijenosti (Narodne novine, br. 63/10 i 158/13)  </w:t>
      </w:r>
    </w:p>
    <w:p w:rsidR="00505632" w:rsidRDefault="00505632" w:rsidP="00505632">
      <w:r>
        <w:t xml:space="preserve">3. Odluka o razvrstavanju jedinica lokalne i područne samouprave prema stupnju razvijenosti (Narodne novine, broj 158/13). </w:t>
      </w:r>
    </w:p>
    <w:p w:rsidR="00505632" w:rsidRDefault="00505632" w:rsidP="00505632">
      <w:r>
        <w:t xml:space="preserve">4. Uredba o osnivanju, sastavu, djelokrugu i načinu rada partnerskih vijeća (NN 103/15) </w:t>
      </w:r>
    </w:p>
    <w:p w:rsidR="00505632" w:rsidRDefault="00505632" w:rsidP="00505632">
      <w:r>
        <w:t xml:space="preserve">5. Odluka o osnivanju Partnerskog vijeća Jadranske Hrvatske (NN 51/16), (NN 18/16) </w:t>
      </w:r>
    </w:p>
    <w:p w:rsidR="00505632" w:rsidRDefault="00505632" w:rsidP="00505632">
      <w:r>
        <w:t xml:space="preserve">6. Odluka o osnivanju Partnerskog vijeća Kontinentalne Hrvatske (NN 51/16), (NN 18/16) </w:t>
      </w:r>
    </w:p>
    <w:p w:rsidR="00505632" w:rsidRDefault="00505632" w:rsidP="00505632">
      <w:r>
        <w:t xml:space="preserve">7. Pravilnik o postupku i metodologiji vrednovanja politike regionalnog razvoja (NN 121/15) </w:t>
      </w:r>
    </w:p>
    <w:p w:rsidR="00505632" w:rsidRDefault="00505632" w:rsidP="00505632">
      <w:r>
        <w:t xml:space="preserve">8. Pravilnik o provedbi postupka akreditacije regionalnih koordinatora (NN 121/15) </w:t>
      </w:r>
    </w:p>
    <w:p w:rsidR="00505632" w:rsidRDefault="00505632" w:rsidP="00505632">
      <w:r>
        <w:t xml:space="preserve">9. Pravilnik o Upisniku regionalnih koordinatora i lokalnih razvojnih agencija (NN 121/15) </w:t>
      </w:r>
    </w:p>
    <w:p w:rsidR="00505632" w:rsidRDefault="00505632" w:rsidP="00505632">
      <w:r>
        <w:t xml:space="preserve">10. Pravilnik o ustrojavanju, sadržaju i načinu vođenja središnje elektroničke baze razvojnih projekata i razvojnih pokazatelja (NN 121/15) </w:t>
      </w:r>
    </w:p>
    <w:p w:rsidR="00505632" w:rsidRDefault="00505632" w:rsidP="00505632">
      <w:r>
        <w:t xml:space="preserve">11. Odluka o visini naknade, načinu isplate kao i prihvatljivim troškovima za korištenje naknade zbog zaštićenih prirodnih područja (NN 102/15) </w:t>
      </w:r>
    </w:p>
    <w:p w:rsidR="00505632" w:rsidRDefault="00505632" w:rsidP="00505632">
      <w:r>
        <w:t xml:space="preserve">12. Smjernice za izradu strategije razvoja urbanih područja, praćenje njihove provedbe i vrednovanje </w:t>
      </w:r>
    </w:p>
    <w:p w:rsidR="00505632" w:rsidRDefault="00505632" w:rsidP="00505632">
      <w:r>
        <w:t xml:space="preserve">13. Smjernice za izradu županijskih razvojnih strategija, praćenje i vrednovanje njihove provedbe </w:t>
      </w:r>
    </w:p>
    <w:p w:rsidR="00505632" w:rsidRDefault="00505632" w:rsidP="00505632">
      <w:r>
        <w:t>14. Upute za izradu i sadržaj izvještaja županija o provedbi županijskih razvojnih strategija</w:t>
      </w:r>
    </w:p>
    <w:p w:rsidR="00505632" w:rsidRDefault="00505632" w:rsidP="00505632">
      <w:pPr>
        <w:pStyle w:val="Heading8"/>
        <w:jc w:val="left"/>
      </w:pPr>
      <w:r>
        <w:t>Opis aktivnosti</w:t>
      </w:r>
    </w:p>
    <w:p w:rsidR="00505632" w:rsidRDefault="00505632" w:rsidP="00505632">
      <w:r>
        <w:t xml:space="preserve">Ova proračunska aktivnost povezana je s rashodima središnje razine koji su, u skladu sa Zakonom o regionalnom razvoju Republike Hrvatske (Narodne novine, broj 147/14, u nastavku: Zakon), vezani uz izradu nove generacije planskih dokumenta regionalnoga razvoja kojima se utvrđuju ciljevi i prioriteti ulaganja u regionalni razvoj na državnoj razini u razdoblju 2014.-2020., izradu teritorijalnih programa te ocjenu usklađenosti županijskih razvojnih strategija sa Strategijom regionalnog razvoja Republike Hrvatske za razdoblje do kraja 2020. godine (u nastavku teksta: Strategija). U svrhu korigiranja indeksa razvijenosti jedinica lokalne i područne (regionalne) samouprave s ciljem otklanjanja uočenih nedostataka istog, u 2016. godini izrađen je informacijski sustav pokazatelja i podataka potrebnih za evaluaciju postojećeg i izradu novog indeksa razvijenosti i to provedbom projekta „Izrada i implementacija sustava pokazatelja i podataka  potrebnih za evaluaciju postojećeg i izradu novog indeksa razvijenosti jedinica lokalne i područne (regionalne) samouprave“, a temeljem ugovora sklopljenog s Centrom za lokalni razvoj Ekonomskog fakulteta Sveučilišta u Rijeci d.o.o. Informatički sustav uspostavljen je s namjenom evaluacije te modeliranja i testiranja različitih varijanti modela koji u konačnici trebaju rezultirati novim modelom izračuna indeksa razvijenosti. </w:t>
      </w:r>
    </w:p>
    <w:p w:rsidR="00505632" w:rsidRDefault="00505632" w:rsidP="00505632">
      <w:r>
        <w:t xml:space="preserve">U 2016. godini izrađena je Strategija, a njezina izrada bila je podržana stručnom pomoći Ekonomskog instituta Zagreb provedbom projekta „Pružanje pomoći Ministarstvu pri definiranju razvojnih prioriteta na razini statističkih (NUTS II) regija“.  Za potrebe izrade Strategije, u 2016. godini održane su sjednice partnerskih vijeća statističkih regija tj. Partnerskog vijeća Kontinentalne Hrvatske i Partnerskog vijeća Jadranske Hrvatske, osnovana Odlukama Vlade RH, u skladu sa Zakonom o regionalnom razvoju Republike Hrvatske. Tijekom 2016. godine ex-ante evaluator Strategije, Institut za razvoj i međunarodne odnose proveo je njezino prethodno vrednovanje i to u okviru projekta „Ex - ante evaluacija Strategije regionalnoga razvoja Republike Hrvatske za razdoblje do kraja 2020.“.   </w:t>
      </w:r>
    </w:p>
    <w:p w:rsidR="00505632" w:rsidRDefault="00505632" w:rsidP="00505632">
      <w:r>
        <w:t>Za Strategiju je također proveden i postupak strateške procjene utjecaja na okoliš, a Stratešku studiju utjecaja Strategije na okoliš uključujući i Glavnu ocjenu utjecaja Strategije na ekološku mrežu izradio je Dvokut-ECRO d.o.o. Budući da se za Strategiju izrađuje i Akcijski plan, njezin provedbeni dokument za razdoblje 2017.-2019., njezino se donošenje prolongiralo na 2017. godinu. Posljedično i provedba Strategije nije još započela u 2016. godini stoga i planirana sredstva na predmetnoj aktivnosti nisu u potpunosti utrošena. Također, u 2016. godini nisu izrađene i dugoročne strateške podloge za vođenje politike regionalnog razvoja za razdoblje od najmanje 15 godina te ostali programi predviđeni Zakonom (za urbana područja, potpomognuta područja i područja s razvojnim posebnostima). S obzirom na navedeno, od planiranih 855.910,00 kuna, na predmetnoj proračunskoj aktivnosti utrošeno je 575.678,74 kuna.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Usvojena Strategija regionalnoga razvoja Republike Hrvatske 2014.-2020.</w:t>
            </w:r>
          </w:p>
        </w:tc>
        <w:tc>
          <w:tcPr>
            <w:tcW w:w="2551" w:type="dxa"/>
          </w:tcPr>
          <w:p w:rsidR="00505632" w:rsidRDefault="00505632" w:rsidP="00AD4E52">
            <w:pPr>
              <w:pStyle w:val="CellColumn"/>
              <w:jc w:val="left"/>
            </w:pPr>
            <w:r>
              <w:rPr>
                <w:rFonts w:cs="Times New Roman"/>
              </w:rPr>
              <w:t>Strategija regionalnoga razvoja Republike Hrvatske 2014.-2020.</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Izrađene ocjene usklađenosti  ŽRS-a sa SRR RH za razdoblje 2014.-2020.</w:t>
            </w:r>
          </w:p>
        </w:tc>
        <w:tc>
          <w:tcPr>
            <w:tcW w:w="2551" w:type="dxa"/>
          </w:tcPr>
          <w:p w:rsidR="00505632" w:rsidRDefault="00505632" w:rsidP="00AD4E52">
            <w:pPr>
              <w:pStyle w:val="CellColumn"/>
              <w:jc w:val="left"/>
            </w:pPr>
            <w:r>
              <w:rPr>
                <w:rFonts w:cs="Times New Roman"/>
              </w:rPr>
              <w:t>Izrađene ocjene usklađenosti  ŽRS-a sa SRR RH za razdoblje 2014.-2020.</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21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Izrađene ocjene usklađenosti strategija održivog urbanog razvoja za razdoblje 2014.-2020.</w:t>
            </w:r>
          </w:p>
        </w:tc>
        <w:tc>
          <w:tcPr>
            <w:tcW w:w="2551" w:type="dxa"/>
          </w:tcPr>
          <w:p w:rsidR="00505632" w:rsidRDefault="00505632" w:rsidP="00AD4E52">
            <w:pPr>
              <w:pStyle w:val="CellColumn"/>
              <w:jc w:val="left"/>
            </w:pPr>
            <w:r>
              <w:rPr>
                <w:rFonts w:cs="Times New Roman"/>
              </w:rPr>
              <w:t>Izrađene ocjene usklađenosti strategija održivog urbanog razvoja za razdoblje 2014.-2020.</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Usvojeni višegodišnji teritorijalni programi</w:t>
            </w:r>
          </w:p>
        </w:tc>
        <w:tc>
          <w:tcPr>
            <w:tcW w:w="2551" w:type="dxa"/>
          </w:tcPr>
          <w:p w:rsidR="00505632" w:rsidRDefault="00505632" w:rsidP="00AD4E52">
            <w:pPr>
              <w:pStyle w:val="CellColumn"/>
              <w:jc w:val="left"/>
            </w:pPr>
            <w:r>
              <w:rPr>
                <w:rFonts w:cs="Times New Roman"/>
              </w:rPr>
              <w:t>Usvojeni višegodišnji teritorijalni programi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K570341 REGIONALNI RAZVOJNI PROJEKTI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K570341-REGIONALNI RAZVOJNI PROJEKTI</w:t>
            </w:r>
          </w:p>
        </w:tc>
        <w:tc>
          <w:tcPr>
            <w:tcW w:w="2041" w:type="dxa"/>
          </w:tcPr>
          <w:p w:rsidR="00505632" w:rsidRDefault="00505632" w:rsidP="00AD4E52">
            <w:pPr>
              <w:pStyle w:val="CellColumn"/>
              <w:jc w:val="right"/>
            </w:pPr>
            <w:r>
              <w:rPr>
                <w:rFonts w:cs="Times New Roman"/>
              </w:rPr>
              <w:t>2.691.106</w:t>
            </w:r>
          </w:p>
        </w:tc>
        <w:tc>
          <w:tcPr>
            <w:tcW w:w="2041" w:type="dxa"/>
          </w:tcPr>
          <w:p w:rsidR="00505632" w:rsidRDefault="00505632" w:rsidP="00AD4E52">
            <w:pPr>
              <w:pStyle w:val="CellColumn"/>
              <w:jc w:val="right"/>
            </w:pPr>
            <w:r>
              <w:rPr>
                <w:rFonts w:cs="Times New Roman"/>
              </w:rPr>
              <w:t>10.823.200</w:t>
            </w:r>
          </w:p>
        </w:tc>
        <w:tc>
          <w:tcPr>
            <w:tcW w:w="2041" w:type="dxa"/>
          </w:tcPr>
          <w:p w:rsidR="00505632" w:rsidRDefault="00505632" w:rsidP="00AD4E52">
            <w:pPr>
              <w:pStyle w:val="CellColumn"/>
              <w:jc w:val="right"/>
            </w:pPr>
            <w:r>
              <w:rPr>
                <w:rFonts w:cs="Times New Roman"/>
              </w:rPr>
              <w:t>10.823.188</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402,2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regionalnom razvoju Republike Hrvatske (NN 147/14)</w:t>
      </w:r>
    </w:p>
    <w:p w:rsidR="00505632" w:rsidRDefault="00505632" w:rsidP="00505632">
      <w:pPr>
        <w:pStyle w:val="Heading8"/>
        <w:jc w:val="left"/>
      </w:pPr>
      <w:r>
        <w:t>Opis aktivnosti</w:t>
      </w:r>
    </w:p>
    <w:p w:rsidR="00505632" w:rsidRDefault="00505632" w:rsidP="00505632">
      <w:r>
        <w:t xml:space="preserve">Program se donosi na godišnjoj osnovi i projekti se sufinanciraju sredstvima u tekućoj godini. Odlukom o usmjeravanju i rasporedu sredstava za regionalne razvojne projekte u 2016., sredstva su bila usmjerena na projekte koji se odnose na nastavak izgradnje i obnove infrastrukturnih projekata čija je provedba započela u ranijim godinama, a Ministarstvo je prethodne faze radova financiralo ili sufinanciralo putem godišnjih ili višegodišnjih programa, na projekte čiji su nositelji drugi pravni subjekti, a odnose se na završetak izgradnje ili obnove objekata javne namjene koji su na raspolaganju široj lokalnoj zajednici i za koje se ocijenilo da će njihova realizacije doprinijeti očuvanju kulturne baštine kao i održivosti i daljnjem razvoju lokalne zajednice. Sredstva su također bila usmjerena na rješavanje  otvorenih, nepodmirenih potraživanja iz ranijih godina (sudske nagodbe). </w:t>
      </w:r>
    </w:p>
    <w:p w:rsidR="00505632" w:rsidRDefault="00505632" w:rsidP="00505632">
      <w:r>
        <w:t xml:space="preserve">U Državnom proračunu za 2016. godinu za ovu aktivnost  je bilo osigurano 10.823.200,00 kuna. </w:t>
      </w:r>
    </w:p>
    <w:p w:rsidR="00505632" w:rsidRDefault="00505632" w:rsidP="00505632">
      <w:r>
        <w:t>Sukladno osiguranim sredstvima u okviru programa sklopljen je 21 Ugovor o sufinanciranju projekata, odnosno proveden je 21 projekt.</w:t>
      </w:r>
    </w:p>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regionalnih razvojnih projekata, odnosno broja izgrađenih i obnovljenih objekata javne namjene</w:t>
            </w:r>
          </w:p>
        </w:tc>
        <w:tc>
          <w:tcPr>
            <w:tcW w:w="2551" w:type="dxa"/>
          </w:tcPr>
          <w:p w:rsidR="00505632" w:rsidRDefault="00505632" w:rsidP="00AD4E52">
            <w:pPr>
              <w:pStyle w:val="CellColumn"/>
              <w:jc w:val="left"/>
            </w:pPr>
            <w:r>
              <w:rPr>
                <w:rFonts w:cs="Times New Roman"/>
              </w:rPr>
              <w:t>Sufinanciranje projekata čija realizacija pridonosi podizanju ukupne kvalitete življenja stanovništva te su bitini za gospodarski i održivi razvoj tog područja. Projekti se odnose na izgradnju i obnovu objekata javne namjene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14</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19</w:t>
            </w:r>
          </w:p>
        </w:tc>
        <w:tc>
          <w:tcPr>
            <w:tcW w:w="1020" w:type="dxa"/>
          </w:tcPr>
          <w:p w:rsidR="00505632" w:rsidRDefault="00505632" w:rsidP="00AD4E52">
            <w:pPr>
              <w:pStyle w:val="CellColumn"/>
              <w:jc w:val="right"/>
            </w:pPr>
            <w:r>
              <w:rPr>
                <w:rFonts w:cs="Times New Roman"/>
              </w:rPr>
              <w:t>21</w:t>
            </w:r>
          </w:p>
        </w:tc>
      </w:tr>
    </w:tbl>
    <w:p w:rsidR="00505632" w:rsidRDefault="00505632" w:rsidP="00505632">
      <w:pPr>
        <w:jc w:val="left"/>
      </w:pPr>
    </w:p>
    <w:p w:rsidR="00505632" w:rsidRDefault="00505632" w:rsidP="00505632">
      <w:pPr>
        <w:pStyle w:val="Heading4"/>
      </w:pPr>
      <w:r>
        <w:t>K680034 OPERATIVNI PROGRAM KONKURENTNOST I  KOHEZIJA 2014-2020</w:t>
      </w:r>
    </w:p>
    <w:tbl>
      <w:tblPr>
        <w:tblStyle w:val="StilTablice"/>
        <w:tblW w:w="10206" w:type="dxa"/>
        <w:jc w:val="center"/>
        <w:tblLook w:val="04A0" w:firstRow="1" w:lastRow="0" w:firstColumn="1" w:lastColumn="0" w:noHBand="0" w:noVBand="1"/>
      </w:tblPr>
      <w:tblGrid>
        <w:gridCol w:w="1881"/>
        <w:gridCol w:w="1968"/>
        <w:gridCol w:w="1969"/>
        <w:gridCol w:w="1969"/>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K680034-OPERATIVNI PROGRAM KONKURENTNOST I  KOHEZIJA 2014-2020</w:t>
            </w:r>
          </w:p>
        </w:tc>
        <w:tc>
          <w:tcPr>
            <w:tcW w:w="2041" w:type="dxa"/>
          </w:tcPr>
          <w:p w:rsidR="00505632" w:rsidRDefault="00505632" w:rsidP="00AD4E52">
            <w:pPr>
              <w:pStyle w:val="CellColumn"/>
              <w:jc w:val="right"/>
            </w:pPr>
            <w:r>
              <w:rPr>
                <w:rFonts w:cs="Times New Roman"/>
              </w:rPr>
              <w:t>11.393.376</w:t>
            </w:r>
          </w:p>
        </w:tc>
        <w:tc>
          <w:tcPr>
            <w:tcW w:w="2041" w:type="dxa"/>
          </w:tcPr>
          <w:p w:rsidR="00505632" w:rsidRDefault="00505632" w:rsidP="00AD4E52">
            <w:pPr>
              <w:pStyle w:val="CellColumn"/>
              <w:jc w:val="right"/>
            </w:pPr>
            <w:r>
              <w:rPr>
                <w:rFonts w:cs="Times New Roman"/>
              </w:rPr>
              <w:t>47.419.376</w:t>
            </w:r>
          </w:p>
        </w:tc>
        <w:tc>
          <w:tcPr>
            <w:tcW w:w="2041" w:type="dxa"/>
          </w:tcPr>
          <w:p w:rsidR="00505632" w:rsidRDefault="00505632" w:rsidP="00AD4E52">
            <w:pPr>
              <w:pStyle w:val="CellColumn"/>
              <w:jc w:val="right"/>
            </w:pPr>
            <w:r>
              <w:rPr>
                <w:rFonts w:cs="Times New Roman"/>
              </w:rPr>
              <w:t>42.539.577</w:t>
            </w:r>
          </w:p>
        </w:tc>
        <w:tc>
          <w:tcPr>
            <w:tcW w:w="1224" w:type="dxa"/>
          </w:tcPr>
          <w:p w:rsidR="00505632" w:rsidRDefault="00505632" w:rsidP="00AD4E52">
            <w:pPr>
              <w:pStyle w:val="CellColumn"/>
              <w:jc w:val="right"/>
            </w:pPr>
            <w:r>
              <w:rPr>
                <w:rFonts w:cs="Times New Roman"/>
              </w:rPr>
              <w:t>89,7</w:t>
            </w:r>
          </w:p>
        </w:tc>
        <w:tc>
          <w:tcPr>
            <w:tcW w:w="1224" w:type="dxa"/>
          </w:tcPr>
          <w:p w:rsidR="00505632" w:rsidRDefault="00505632" w:rsidP="00AD4E52">
            <w:pPr>
              <w:pStyle w:val="CellColumn"/>
              <w:jc w:val="right"/>
            </w:pPr>
            <w:r>
              <w:rPr>
                <w:rFonts w:cs="Times New Roman"/>
              </w:rPr>
              <w:t>373,4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Pravna osnova obuhvaća Zakon o uspostavi institucionalnog okvira za provedbu Europskih strukturnih i investicijskih fondova u Republici Hrvatskoj u financijskom razdoblju 2014. – 2020. (NN 92/2014), Uredbu o tijelima u sustavima upravljanja i kontrole korištenja Europskog socijalnog fonda, Europskog fonda za regionalni razvoj i Kohezijskog fonda, u vezi s ciljem »Ulaganje za rast i radna mjesta« (NN 107/2014, 23/15 i 129/2015), Pravilnik o prihvatljivosti izdataka (NN 143/14), Operativni program »Konkurentnost i kohezija« (Provedbena Odluka Komisije C(2014) 9885 final).</w:t>
      </w:r>
    </w:p>
    <w:p w:rsidR="00505632" w:rsidRDefault="00505632" w:rsidP="00505632">
      <w:pPr>
        <w:pStyle w:val="Heading8"/>
        <w:jc w:val="left"/>
      </w:pPr>
      <w:r>
        <w:t>Opis aktivnosti</w:t>
      </w:r>
    </w:p>
    <w:p w:rsidR="00505632" w:rsidRDefault="00505632" w:rsidP="00505632">
      <w:r>
        <w:t xml:space="preserve">Ministarstvo regionalnoga razvoja i fondova Europske unije je Upravljačko tijelo Operativnog programa Konkurentnost i kohezija 2014.-2020 (OPKK). Također, Ministarstvo je Koordinacijsko tijelo za Europske strukturne i investicijske (ESI) fondove.  </w:t>
      </w:r>
    </w:p>
    <w:p w:rsidR="00505632" w:rsidRDefault="00505632" w:rsidP="00505632">
      <w:r>
        <w:t xml:space="preserve">U okviru aktivnosti koje se financiraju iz Prioritetne osi 10: Tehnička pomoć OPKK, Ministarstvo regionalnoga razvoja i fondova Europske unije korisnik je bespovratnih sredstava Europskog fonda za regionalni razvoj (EFRR). Namjena ovih bespovratnih sredstava tehničke pomoći je pružati podršku za obavljanje funkcija Upravljačkog i Koordinacijskog tijela. Sredstvima EFFR-a (tj. sredstvima tehničke pomoći) sufinancirani su (po stopi od 85%) prihvatljivi troškovi koji nastaju i vezani su uz aktivnosti i funkcije Upravljačkog i Koordinacijskog tijela. </w:t>
      </w:r>
    </w:p>
    <w:p w:rsidR="00505632" w:rsidRDefault="00505632" w:rsidP="00505632">
      <w:r>
        <w:t xml:space="preserve">U odnosu na Plan za 2016. realizacija je na zadovoljavajućoj razini. Krajem 2016. poništena su dva postupka javne nabave ukupne procijenjene vrijednosti od 24.875.000,00 kuna (s PDV-om). Riječ je o dvogodišnjim okvirnim sporazumima, za koje bi se, da nije bilo poništenja postupaka javne nabave, početni troškovi za ugovorene usluge izvršiteljima platili do kraja  2016. godini. Dodatno, dva planirana postupka javne nabave (procijenjene vrijednosti od ukupno preko 20 milijuna kuna s PDV-om) nisu uspjela biti pokrenuta do kraja 2016. te su izostala početna plaćanja temeljem tih planiranih ugovora.   </w:t>
      </w:r>
    </w:p>
    <w:p w:rsidR="00505632" w:rsidRDefault="00505632" w:rsidP="00505632">
      <w:r>
        <w:t xml:space="preserve">Postotak iskorištenosti sredstava tehničke pomoći na kraju 2016. godine (u odnosu na sredstva dodijeljena Ministarstvu putem Obavijesti o dodjeli bespovratnih sredstava iz rujna 2015.) iznosi  </w:t>
      </w:r>
    </w:p>
    <w:p w:rsidR="00505632" w:rsidRDefault="00505632" w:rsidP="00505632">
      <w:r>
        <w:t xml:space="preserve">17,6%. Ciljana vrijednosti ovog pokazatelja rezultata od 32% bila je postavljena pri izradi izvornog plana za 2016., koji je rebalansom značajno umanjen. </w:t>
      </w:r>
    </w:p>
    <w:p w:rsidR="00505632" w:rsidRDefault="00505632" w:rsidP="00505632">
      <w:r>
        <w:t xml:space="preserve">Pored gore navedenih aktivnosti tehničke pomoći za koje je Ministarstvo korisnik, s ove proračunske pozicije vrše se plaćanja korisnicima bespovratnih sredstava tehničke pomoći u okviru Poziva KK.10.1.1.01. (korisnici su tijela u Sustavu upravljanja u kontrole OPKK, a plaćanje se vrše za dva korisnika koji su izvanproračunski fondovi) te se vrše plaćanja korisnicima bespovratnih sredstava tehničke pomoći u okviru Poziva KK.10.1.3.01 (korisnici su 21 regionalni koordinator, u smislu Zakona o regionalnom razvoju). Plan za 2016. u vezi s tim aktivnostima drugih korisnika bespovratnih sredstava tehničke pomoći nije u potpunosti izvršen iz razloga što je jedan korisnik trebao raditi ispravke u zahtjevu za nadoknadom sredstava te isti nije mogao biti odobren na vrijeme kako bi se plaćanje izvršilo u 2016. godini. </w:t>
      </w:r>
    </w:p>
    <w:p w:rsidR="00505632" w:rsidRDefault="00505632" w:rsidP="00505632">
      <w:r>
        <w:t xml:space="preserve">U okviru ovog Operativnog programa MRRFEU provodi aktivnosti i planira sredstva u proračunu vezane uz: projekte kojima se potiče održivi urbani razvoj kroz mehanizam integriranih teritorijalna ulaganja (u daljnjem tekstu: ITU), integrirana ulaganja u fizičku, ekonomsku i socijalnu regeneraciju depriviranih zajednica te rashode vezane za upravljanje i kontrolu korištenja sredstava Operativnog programa.  </w:t>
      </w:r>
    </w:p>
    <w:p w:rsidR="00505632" w:rsidRDefault="00505632" w:rsidP="00505632">
      <w:r>
        <w:t xml:space="preserve">Temelj za provedbu ITU-a su strategije urbanog razvoja koje predviđaju integrirane mjere za suočavanje s ekonomskim, okolišnim, klimatskim, demografskim i socijalnim  </w:t>
      </w:r>
    </w:p>
    <w:p w:rsidR="00505632" w:rsidRDefault="00505632" w:rsidP="00505632">
      <w:r>
        <w:t xml:space="preserve">izazovima koji pogađaju urbana područja, istodobno uzimajući u obzir potrebu za promicanjem urbano-ruralnih veza. Provedba ITU-a usmjerit će se na manji broj većih gradova s potrebnim kapacitetima za uspješnu primjenu ovoga mehanizma, a koji će se definirati kroz kandidacijski postupak. Ukupna vrijednost sredstava koja se usmjerava kroz ITU mehanizam u sedmogodišnjem razdoblju iznosi 345.351.269 eura i ona obuhvaćaju sredstva Europskog fonda za regionalni razvoj, Kohezijskog fonda i Europskog socijalnog fonda.  </w:t>
      </w:r>
    </w:p>
    <w:p w:rsidR="00505632" w:rsidRDefault="00505632" w:rsidP="00505632">
      <w:r>
        <w:t xml:space="preserve">MRRFEU, nadležno za upravljanje ITU mehanizmom te koordinaciju tijela koji su dio ITU sustava upravljanja i kontrole, je 23. ožujka 2016. godine objavilo ograničeni Poziv za odabir područja za provedbu mehanizma integriranih teritorijalnih ulaganja (u nastavku teksta: Poziv). Poziv se odnosio na podnošenje prijava od strane sedam najvećih urbanih područja u Republici Hrvatskoj čiji gradovi središta imaju više od 50.000 stanovnika u središnjim naseljima – Zagreb, Osijek, Rijeka, Split, Zadar, Slavonski Brod i Pula prihvatljivih za financiranje kroz ITU mehanizam. </w:t>
      </w:r>
    </w:p>
    <w:p w:rsidR="00505632" w:rsidRDefault="00505632" w:rsidP="00505632">
      <w:r>
        <w:t xml:space="preserve">Nastavno na objavljeni Poziv, Ministarstvo je 5. listopada 2016. godine donijelo Odluku o odabiru područja za provedbu mehanizma integriranih teritorijalnih ulaganja, kojom su za provedbu ITU mehanizma odabrana urbana područja: Osijek, Pula, Rijeka, Slavonski Brod, Split, Zadar i Zagreb. </w:t>
      </w:r>
    </w:p>
    <w:p w:rsidR="00505632" w:rsidRDefault="00505632" w:rsidP="00505632">
      <w:r>
        <w:t xml:space="preserve">Planirani postotak ugovorene alokacije za 2016. godinu  nije postigao ciljanu vrijednost, s obzirom da nije potpisan sporazum o obavljanju delegiranih funkcija te sporazum o provedbi ITU mehanizma. Uredba o izmjenama i dopunama Uredbe o tijelima u SUK-u nije donesena tijekom 2016. godine, te su navedeni sporazumi preduvjet za objavu poziva na dostavu projektnih prijedloga. </w:t>
      </w:r>
    </w:p>
    <w:p w:rsidR="00505632" w:rsidRDefault="00505632" w:rsidP="00505632">
      <w:r>
        <w:t>Slijedom navedenog, planirani postotak iskorištenosti ugovorenih sredstava za ITU mehanizam također nije ostvario ciljanu vrijednost za 2016. godinu.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 xml:space="preserve">Postotak  </w:t>
            </w:r>
          </w:p>
          <w:p w:rsidR="00505632" w:rsidRDefault="00505632" w:rsidP="00AD4E52">
            <w:pPr>
              <w:pStyle w:val="CellColumn"/>
              <w:jc w:val="left"/>
            </w:pPr>
            <w:r>
              <w:rPr>
                <w:rFonts w:cs="Times New Roman"/>
              </w:rPr>
              <w:t>ugovorenosti alokacije za ITU i deprivirana područja (ugovoreno od ukupne alokacije)</w:t>
            </w:r>
          </w:p>
        </w:tc>
        <w:tc>
          <w:tcPr>
            <w:tcW w:w="2551" w:type="dxa"/>
          </w:tcPr>
          <w:p w:rsidR="00505632" w:rsidRDefault="00505632" w:rsidP="00AD4E52">
            <w:pPr>
              <w:pStyle w:val="CellColumn"/>
              <w:jc w:val="left"/>
            </w:pPr>
            <w:r>
              <w:rPr>
                <w:rFonts w:cs="Times New Roman"/>
              </w:rPr>
              <w:t>Ugovorene alokacije za ITU i deprivirana područja (ugovoreno od ukupne alokacije)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Postotak iskorištenosti ugovorenih sredstava za ITU i deprivirana područja (plaćeno od ukupno ugovorenih bespovratnih sredstava)</w:t>
            </w:r>
          </w:p>
        </w:tc>
        <w:tc>
          <w:tcPr>
            <w:tcW w:w="2551" w:type="dxa"/>
          </w:tcPr>
          <w:p w:rsidR="00505632" w:rsidRDefault="00505632" w:rsidP="00AD4E52">
            <w:pPr>
              <w:pStyle w:val="CellColumn"/>
              <w:jc w:val="left"/>
            </w:pPr>
            <w:r>
              <w:rPr>
                <w:rFonts w:cs="Times New Roman"/>
              </w:rPr>
              <w:t>Ugovorena sredstava za ITU i deprivirana područja (plaćeno od ukupno ugovorenih bespovratnih sredstava)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32</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Postotak iskorištenosti sredstava tehničke pomoći</w:t>
            </w:r>
          </w:p>
        </w:tc>
        <w:tc>
          <w:tcPr>
            <w:tcW w:w="2551" w:type="dxa"/>
          </w:tcPr>
          <w:p w:rsidR="00505632" w:rsidRDefault="00505632" w:rsidP="00AD4E52">
            <w:pPr>
              <w:pStyle w:val="CellColumn"/>
              <w:jc w:val="left"/>
            </w:pPr>
            <w:r>
              <w:rPr>
                <w:rFonts w:cs="Times New Roman"/>
              </w:rPr>
              <w:t>Postotak iskorištenosti sredstava tehničke pomoći</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32</w:t>
            </w:r>
          </w:p>
        </w:tc>
        <w:tc>
          <w:tcPr>
            <w:tcW w:w="1020" w:type="dxa"/>
          </w:tcPr>
          <w:p w:rsidR="00505632" w:rsidRDefault="00505632" w:rsidP="00AD4E52">
            <w:pPr>
              <w:pStyle w:val="CellColumn"/>
              <w:jc w:val="right"/>
            </w:pPr>
            <w:r>
              <w:rPr>
                <w:rFonts w:cs="Times New Roman"/>
              </w:rPr>
              <w:t>17,6</w:t>
            </w:r>
          </w:p>
        </w:tc>
      </w:tr>
    </w:tbl>
    <w:p w:rsidR="00505632" w:rsidRDefault="00505632" w:rsidP="00505632">
      <w:pPr>
        <w:jc w:val="left"/>
      </w:pPr>
    </w:p>
    <w:p w:rsidR="00505632" w:rsidRDefault="00505632" w:rsidP="00505632">
      <w:pPr>
        <w:pStyle w:val="Heading4"/>
      </w:pPr>
      <w:r>
        <w:t>K680040 FOND ZA SUFINANCIRANJE EU PROJEKATA</w:t>
      </w:r>
    </w:p>
    <w:tbl>
      <w:tblPr>
        <w:tblStyle w:val="StilTablice"/>
        <w:tblW w:w="10206" w:type="dxa"/>
        <w:jc w:val="center"/>
        <w:tblLook w:val="04A0" w:firstRow="1" w:lastRow="0" w:firstColumn="1" w:lastColumn="0" w:noHBand="0" w:noVBand="1"/>
      </w:tblPr>
      <w:tblGrid>
        <w:gridCol w:w="1804"/>
        <w:gridCol w:w="1984"/>
        <w:gridCol w:w="1997"/>
        <w:gridCol w:w="1992"/>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K680040-FOND ZA SUFINANCIRANJE EU PROJEKATA</w:t>
            </w:r>
          </w:p>
        </w:tc>
        <w:tc>
          <w:tcPr>
            <w:tcW w:w="2041" w:type="dxa"/>
          </w:tcPr>
          <w:p w:rsidR="00505632" w:rsidRDefault="00505632" w:rsidP="00AD4E52">
            <w:pPr>
              <w:pStyle w:val="CellColumn"/>
              <w:jc w:val="right"/>
            </w:pPr>
            <w:r>
              <w:rPr>
                <w:rFonts w:cs="Times New Roman"/>
              </w:rPr>
              <w:t>592.048</w:t>
            </w:r>
          </w:p>
        </w:tc>
        <w:tc>
          <w:tcPr>
            <w:tcW w:w="2041" w:type="dxa"/>
          </w:tcPr>
          <w:p w:rsidR="00505632" w:rsidRDefault="00505632" w:rsidP="00AD4E52">
            <w:pPr>
              <w:pStyle w:val="CellColumn"/>
              <w:jc w:val="right"/>
            </w:pPr>
            <w:r>
              <w:rPr>
                <w:rFonts w:cs="Times New Roman"/>
              </w:rPr>
              <w:t>175.000.000</w:t>
            </w:r>
          </w:p>
        </w:tc>
        <w:tc>
          <w:tcPr>
            <w:tcW w:w="2041" w:type="dxa"/>
          </w:tcPr>
          <w:p w:rsidR="00505632" w:rsidRDefault="00505632" w:rsidP="00AD4E52">
            <w:pPr>
              <w:pStyle w:val="CellColumn"/>
              <w:jc w:val="right"/>
            </w:pPr>
            <w:r>
              <w:rPr>
                <w:rFonts w:cs="Times New Roman"/>
              </w:rPr>
              <w:t>19.389.403</w:t>
            </w:r>
          </w:p>
        </w:tc>
        <w:tc>
          <w:tcPr>
            <w:tcW w:w="1224" w:type="dxa"/>
          </w:tcPr>
          <w:p w:rsidR="00505632" w:rsidRDefault="00505632" w:rsidP="00AD4E52">
            <w:pPr>
              <w:pStyle w:val="CellColumn"/>
              <w:jc w:val="right"/>
            </w:pPr>
            <w:r>
              <w:rPr>
                <w:rFonts w:cs="Times New Roman"/>
              </w:rPr>
              <w:t>11,1</w:t>
            </w:r>
          </w:p>
        </w:tc>
        <w:tc>
          <w:tcPr>
            <w:tcW w:w="1224" w:type="dxa"/>
          </w:tcPr>
          <w:p w:rsidR="00505632" w:rsidRDefault="00505632" w:rsidP="00AD4E52">
            <w:pPr>
              <w:pStyle w:val="CellColumn"/>
              <w:jc w:val="right"/>
            </w:pPr>
            <w:r>
              <w:rPr>
                <w:rFonts w:cs="Times New Roman"/>
              </w:rPr>
              <w:t>3275,0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financiranju  jedinica lokalne i područne (regionalne) samouprave  (NN 117/93, 69/97, 33/00, 73/00, 127/00, 59/01, 107/01, 117/01, 150/02, 147/03, 132/06, 26/07, 73/08, 25/12, 147/14, 100/15 i 115/16)  </w:t>
      </w:r>
    </w:p>
    <w:p w:rsidR="00505632" w:rsidRDefault="00505632" w:rsidP="00505632">
      <w:r>
        <w:t>2. Pravilnik o uvjetima i kriterijima dodjeljivanju sredstava Fonda za sufinanciranje provedbe EU projekata na regionalnoj i lokalnoj razini (NN 82/15, 15/16 i 19/17)</w:t>
      </w:r>
    </w:p>
    <w:p w:rsidR="00505632" w:rsidRDefault="00505632" w:rsidP="00505632">
      <w:pPr>
        <w:pStyle w:val="Heading8"/>
        <w:jc w:val="left"/>
      </w:pPr>
      <w:r>
        <w:t>Opis aktivnosti</w:t>
      </w:r>
    </w:p>
    <w:p w:rsidR="00505632" w:rsidRDefault="00505632" w:rsidP="00505632">
      <w:r>
        <w:t xml:space="preserve">Fond za sufinanciranje provedbe EU projekata na regionalnoj i lokalnoj razini je uspostavljen radi povećanja apsorpcije sredstava iz europskih strukturnih i investicijskih fondova koja su na raspolaganju Republici Hrvatskoj te pridonošenja jačanju konkurentnosti regija i uravnoteženom regionalnom razvoju. Sredstva Fonda se koriste za pomoći projektima sufinanciranim sredstvima europskih strukturnih i investicijskih fondova čiji su nositelji općine, gradovi i županije, odnosno pravne osobe u njihovom većinskom vlasništvu ili suvlasništvu i ustanove čiji su osnivači. Sredstva Fonda dodjeljuju se Korisniku isključivo radi sufinanciranja dijela sredstava koje je Korisnik na temelju Ugovora o EU projektu dužan osigurati iz vlastitih izvora (učešće Korisnika) u provedbi EU projekta.  </w:t>
      </w:r>
    </w:p>
    <w:p w:rsidR="00505632" w:rsidRDefault="00505632" w:rsidP="00505632">
      <w:r>
        <w:t xml:space="preserve">Sredstva Fonda osigurana su u skladu s člankom 45. Zakona o financiranju jedinica lokalne i područne (regionalne) samouprave (Narodne novine, broj 117/93, 69/97, 33/00, 73/00, 127/00,  </w:t>
      </w:r>
    </w:p>
    <w:p w:rsidR="00505632" w:rsidRDefault="00505632" w:rsidP="00505632">
      <w:r>
        <w:t xml:space="preserve">59/01, 107/01, 117/01, 150/02, 147/03, 132/06, 26/07, 73/08, 25/12 i 147/14) iz prihoda ostvarenih od poreza na dohodak u visini od 1,5% koja se uplaćuju u državni proračun. </w:t>
      </w:r>
    </w:p>
    <w:p w:rsidR="00505632" w:rsidRDefault="00505632" w:rsidP="00505632">
      <w:r>
        <w:t xml:space="preserve">Drugi Javni poziv za dodjelu sredstava Fonda za sufinanciranje provedbe EU projekata na regionalnoj i lokalnoj razini za 2016. godinu bio je otvoren od 15. ožujka 2016. do 15. prosinca 2016. U sklopu javnog poziva zaprimljeno je 123 zahtjeva za dodjelu sredstava Fonda u vrijednosti od 73.322.958 kuna. Vrijednost donesenih Odluka o dodjeli sredstava Fonda iznosi 16.916.703,79  kuna. U 2016. godini isplaćena sredstva iznose 19.389.403,41 kn.   </w:t>
      </w:r>
    </w:p>
    <w:p w:rsidR="00505632" w:rsidRDefault="00505632" w:rsidP="00505632">
      <w:r>
        <w:t>Povlačenje sredstava Fonda ovisi o dostavi odobrenih izvješataja relevantnog tijela u sustavu upravljanja i kontrole korištenja EU fondova u Republici Hrvatskoj nadležnog za kontrolu prihvatljivosti izdataka u okviru Ugovora o EU projektu od strane korisnika temeljem kojih se obavlja isplata sredstava Fonda.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projekata kojima je sufinancirana provedba</w:t>
            </w:r>
          </w:p>
        </w:tc>
        <w:tc>
          <w:tcPr>
            <w:tcW w:w="2551" w:type="dxa"/>
          </w:tcPr>
          <w:p w:rsidR="00505632" w:rsidRDefault="00505632" w:rsidP="00AD4E52">
            <w:pPr>
              <w:pStyle w:val="CellColumn"/>
              <w:jc w:val="left"/>
            </w:pPr>
            <w:r>
              <w:rPr>
                <w:rFonts w:cs="Times New Roman"/>
              </w:rPr>
              <w:t>Projekti kojima je sufinancirana provedba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92</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175</w:t>
            </w:r>
          </w:p>
        </w:tc>
        <w:tc>
          <w:tcPr>
            <w:tcW w:w="1020" w:type="dxa"/>
          </w:tcPr>
          <w:p w:rsidR="00505632" w:rsidRDefault="00505632" w:rsidP="00AD4E52">
            <w:pPr>
              <w:pStyle w:val="CellColumn"/>
              <w:jc w:val="right"/>
            </w:pPr>
            <w:r>
              <w:rPr>
                <w:rFonts w:cs="Times New Roman"/>
              </w:rPr>
              <w:t>180</w:t>
            </w:r>
          </w:p>
        </w:tc>
      </w:tr>
    </w:tbl>
    <w:p w:rsidR="00505632" w:rsidRDefault="00505632" w:rsidP="00505632">
      <w:pPr>
        <w:pStyle w:val="Heading4"/>
      </w:pPr>
      <w:r>
        <w:t>K820022 OP REGIONALNA KONKURENTNOST PRIORITET 1 I 3</w:t>
      </w:r>
    </w:p>
    <w:tbl>
      <w:tblPr>
        <w:tblStyle w:val="StilTablice"/>
        <w:tblW w:w="10206" w:type="dxa"/>
        <w:jc w:val="center"/>
        <w:tblLook w:val="04A0" w:firstRow="1" w:lastRow="0" w:firstColumn="1" w:lastColumn="0" w:noHBand="0" w:noVBand="1"/>
      </w:tblPr>
      <w:tblGrid>
        <w:gridCol w:w="1881"/>
        <w:gridCol w:w="1963"/>
        <w:gridCol w:w="1972"/>
        <w:gridCol w:w="1972"/>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K820022-OP REGIONALNA KONKURENTNOST PRIORITET 1 I 3</w:t>
            </w:r>
          </w:p>
        </w:tc>
        <w:tc>
          <w:tcPr>
            <w:tcW w:w="2041" w:type="dxa"/>
          </w:tcPr>
          <w:p w:rsidR="00505632" w:rsidRDefault="00505632" w:rsidP="00AD4E52">
            <w:pPr>
              <w:pStyle w:val="CellColumn"/>
              <w:jc w:val="right"/>
            </w:pPr>
            <w:r>
              <w:rPr>
                <w:rFonts w:cs="Times New Roman"/>
              </w:rPr>
              <w:t>96.646.884</w:t>
            </w:r>
          </w:p>
        </w:tc>
        <w:tc>
          <w:tcPr>
            <w:tcW w:w="2041" w:type="dxa"/>
          </w:tcPr>
          <w:p w:rsidR="00505632" w:rsidRDefault="00505632" w:rsidP="00AD4E52">
            <w:pPr>
              <w:pStyle w:val="CellColumn"/>
              <w:jc w:val="right"/>
            </w:pPr>
            <w:r>
              <w:rPr>
                <w:rFonts w:cs="Times New Roman"/>
              </w:rPr>
              <w:t>228.031.060</w:t>
            </w:r>
          </w:p>
        </w:tc>
        <w:tc>
          <w:tcPr>
            <w:tcW w:w="2041" w:type="dxa"/>
          </w:tcPr>
          <w:p w:rsidR="00505632" w:rsidRDefault="00505632" w:rsidP="00AD4E52">
            <w:pPr>
              <w:pStyle w:val="CellColumn"/>
              <w:jc w:val="right"/>
            </w:pPr>
            <w:r>
              <w:rPr>
                <w:rFonts w:cs="Times New Roman"/>
              </w:rPr>
              <w:t>166.628.797</w:t>
            </w:r>
          </w:p>
        </w:tc>
        <w:tc>
          <w:tcPr>
            <w:tcW w:w="1224" w:type="dxa"/>
          </w:tcPr>
          <w:p w:rsidR="00505632" w:rsidRDefault="00505632" w:rsidP="00AD4E52">
            <w:pPr>
              <w:pStyle w:val="CellColumn"/>
              <w:jc w:val="right"/>
            </w:pPr>
            <w:r>
              <w:rPr>
                <w:rFonts w:cs="Times New Roman"/>
              </w:rPr>
              <w:t>73,1</w:t>
            </w:r>
          </w:p>
        </w:tc>
        <w:tc>
          <w:tcPr>
            <w:tcW w:w="1224" w:type="dxa"/>
          </w:tcPr>
          <w:p w:rsidR="00505632" w:rsidRDefault="00505632" w:rsidP="00AD4E52">
            <w:pPr>
              <w:pStyle w:val="CellColumn"/>
              <w:jc w:val="right"/>
            </w:pPr>
            <w:r>
              <w:rPr>
                <w:rFonts w:cs="Times New Roman"/>
              </w:rPr>
              <w:t>172,4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uspostavi institucionalnog okvira za korištenje strukturnih instrumenata Europske unije u Republici Hrvatskoj (NN 78/12, 143/13 i 157/13),  </w:t>
      </w:r>
    </w:p>
    <w:p w:rsidR="00505632" w:rsidRDefault="00505632" w:rsidP="00505632">
      <w:r>
        <w:t xml:space="preserve">2.Uredbu o tijelima u sustavu upravljanja i kontrole korištenja strukturnih instrumenata Europske unije u Republici Hrvatskoj (NN 97/12), </w:t>
      </w:r>
    </w:p>
    <w:p w:rsidR="00505632" w:rsidRDefault="00505632" w:rsidP="00505632">
      <w:r>
        <w:t>3. Pravilnik o prihvatljivosti izdataka (NN 5/14).</w:t>
      </w:r>
    </w:p>
    <w:p w:rsidR="00505632" w:rsidRDefault="00505632" w:rsidP="00505632">
      <w:pPr>
        <w:pStyle w:val="Heading8"/>
        <w:jc w:val="left"/>
      </w:pPr>
      <w:r>
        <w:t>Opis aktivnosti</w:t>
      </w:r>
    </w:p>
    <w:p w:rsidR="00505632" w:rsidRDefault="00505632" w:rsidP="00505632">
      <w:r>
        <w:t xml:space="preserve">U okviru Operativnog programa Regionalna konkurentnost 2007.-2013. (OPRK) Ministarstvo regionalnoga razvoja i fondova Europske unije nadležno je za upravljanje cijelim Operativnim programom u svojstvu Upravljačkog tijela, u svojstvu Posredničkog tijela razine 1 nadležno je za upravljanje Prioritetnom osi 1 - Razvoj i unaprjeđenje regionalne infrastrukture i jačanje atraktivnosti regija te je korisnik sredstava u okviru prioritetne osi 3. – Tehnička pomoć.   </w:t>
      </w:r>
    </w:p>
    <w:p w:rsidR="00505632" w:rsidRDefault="00505632" w:rsidP="00505632">
      <w:r>
        <w:t xml:space="preserve">U okviru Prioritetne osi 1 u 2016. godini planirani su značajni rashodi iz razloga što je 2016. godina zadnja godina provedbe Operativnog programa Regionalna konkurentnost 2007.-2013. te su planirana plaćanja potrebna za dovršetak ugovorenih projekata za Shemu dodjele bespovratnih sredstava za poslovnu infrastrukturu.  </w:t>
      </w:r>
    </w:p>
    <w:p w:rsidR="00505632" w:rsidRDefault="00505632" w:rsidP="00505632">
      <w:r>
        <w:t xml:space="preserve">U okviru Prioritetne osi 1, dinamika realizacije projekata se tijekom 2016. godine  znatno ubrzala na projektima 4. poziva  zbog završetka samog programa jedino kod jednog projekta, kod kojeg je znatnije narušena dinamika izvođenja radova, realizacija će završiti u 2017. godini.  </w:t>
      </w:r>
    </w:p>
    <w:p w:rsidR="00505632" w:rsidRDefault="00505632" w:rsidP="00505632">
      <w:r>
        <w:t xml:space="preserve">Zbog znatnije narušene dinamike realizacije u 2015. kao i prijašnjim godinama, a unatoč značajnog ubrzanja u dinamici izvođenja radova koje je uslijedilo tijekom 2016. godine planirani iznosi iz Plana za 2016. nisu u potpunosti ostvareni.   </w:t>
      </w:r>
    </w:p>
    <w:p w:rsidR="00505632" w:rsidRDefault="00505632" w:rsidP="00505632">
      <w:r>
        <w:t xml:space="preserve">U okviru Prioritetne osi 1, tijekom 2016. godine izvršeno je 90 plaćanja prema korisnicima Sheme dodjele bespovratnih sredstava za poslovnu infrastrukturu u ukupnom iznosu od 170.301.136 kuna.  </w:t>
      </w:r>
    </w:p>
    <w:p w:rsidR="00505632" w:rsidRDefault="00505632" w:rsidP="00505632">
      <w:r>
        <w:t>Vezano za sredstva koja Ministarstvo koristi u okviru prioritetne osi 3. – Tehnička pomoć, u odnosu na Plan za 2016. realizacija je na vrlo zadovoljavajućoj razini. Utrošena su gotovo sva sredstva planirana za aktivnosti tehničke pomoći. Imajući u vidu da je 2016. bila zadnja godina provedbe Prioritetne osi 3 ovoga Operativnog programa, te da je u 2016. opseg aktivnosti tehničke pomoći koje se financiranju iz OPRK bio smanjen bilo je moguće isplanirati vrlo precizno potrebna sredstva. Ukupni postotak iskorištenosti sredstava u okviru Prioritetne osi 3. – Tehnička pomoć (koja su Ministarstvu dodijeljena Ugovor o dodjeli bespovratnih sredstava za razdoblje 1.7.2013.-31.12.2016.) iznosi 99,99%.</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353"/>
        <w:gridCol w:w="2352"/>
        <w:gridCol w:w="983"/>
        <w:gridCol w:w="1004"/>
        <w:gridCol w:w="1504"/>
        <w:gridCol w:w="1004"/>
        <w:gridCol w:w="1006"/>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 financijska vrijednost objavljenih poziva za dodjelu bespovratnih sredstava</w:t>
            </w:r>
          </w:p>
        </w:tc>
        <w:tc>
          <w:tcPr>
            <w:tcW w:w="2551" w:type="dxa"/>
          </w:tcPr>
          <w:p w:rsidR="00505632" w:rsidRDefault="00505632" w:rsidP="00AD4E52">
            <w:pPr>
              <w:pStyle w:val="CellColumn"/>
              <w:jc w:val="left"/>
            </w:pPr>
            <w:r>
              <w:rPr>
                <w:rFonts w:cs="Times New Roman"/>
              </w:rPr>
              <w:t>Objavljeni pozivi za dodjelu bespovratnih sredstava</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EUR</w:t>
            </w:r>
          </w:p>
        </w:tc>
        <w:tc>
          <w:tcPr>
            <w:tcW w:w="1020" w:type="dxa"/>
          </w:tcPr>
          <w:p w:rsidR="00505632" w:rsidRDefault="00505632" w:rsidP="00AD4E52">
            <w:pPr>
              <w:pStyle w:val="CellColumn"/>
              <w:jc w:val="right"/>
            </w:pPr>
            <w:r>
              <w:rPr>
                <w:rFonts w:cs="Times New Roman"/>
              </w:rPr>
              <w:t xml:space="preserve">4 natječaja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54,17 mil €</w:t>
            </w:r>
          </w:p>
        </w:tc>
        <w:tc>
          <w:tcPr>
            <w:tcW w:w="1020" w:type="dxa"/>
          </w:tcPr>
          <w:p w:rsidR="00505632" w:rsidRDefault="00505632" w:rsidP="00AD4E52">
            <w:pPr>
              <w:pStyle w:val="CellColumn"/>
              <w:jc w:val="right"/>
            </w:pPr>
            <w:r>
              <w:rPr>
                <w:rFonts w:cs="Times New Roman"/>
              </w:rPr>
              <w:t>SAFU/MRRFEU</w:t>
            </w:r>
          </w:p>
        </w:tc>
        <w:tc>
          <w:tcPr>
            <w:tcW w:w="1020" w:type="dxa"/>
          </w:tcPr>
          <w:p w:rsidR="00505632" w:rsidRDefault="00505632" w:rsidP="00AD4E52">
            <w:pPr>
              <w:pStyle w:val="CellColumn"/>
              <w:jc w:val="right"/>
            </w:pPr>
            <w:r>
              <w:rPr>
                <w:rFonts w:cs="Times New Roman"/>
              </w:rPr>
              <w:t xml:space="preserve">4 natječaja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54,17 mil €</w:t>
            </w:r>
          </w:p>
        </w:tc>
        <w:tc>
          <w:tcPr>
            <w:tcW w:w="1020" w:type="dxa"/>
          </w:tcPr>
          <w:p w:rsidR="00505632" w:rsidRDefault="00505632" w:rsidP="00AD4E52">
            <w:pPr>
              <w:pStyle w:val="CellColumn"/>
              <w:jc w:val="right"/>
            </w:pPr>
            <w:r>
              <w:rPr>
                <w:rFonts w:cs="Times New Roman"/>
              </w:rPr>
              <w:t xml:space="preserve">4 natječaja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54,17 mil €</w:t>
            </w:r>
          </w:p>
        </w:tc>
      </w:tr>
      <w:tr w:rsidR="00505632" w:rsidTr="00AD4E52">
        <w:trPr>
          <w:jc w:val="center"/>
        </w:trPr>
        <w:tc>
          <w:tcPr>
            <w:tcW w:w="2551" w:type="dxa"/>
          </w:tcPr>
          <w:p w:rsidR="00505632" w:rsidRDefault="00505632" w:rsidP="00AD4E52">
            <w:pPr>
              <w:pStyle w:val="CellColumn"/>
              <w:jc w:val="left"/>
            </w:pPr>
            <w:r>
              <w:rPr>
                <w:rFonts w:cs="Times New Roman"/>
              </w:rPr>
              <w:t>Broj i financijska vrijednost ugovorenih projekata izgradnje poslovne infrastrukture</w:t>
            </w:r>
          </w:p>
        </w:tc>
        <w:tc>
          <w:tcPr>
            <w:tcW w:w="2551" w:type="dxa"/>
          </w:tcPr>
          <w:p w:rsidR="00505632" w:rsidRDefault="00505632" w:rsidP="00AD4E52">
            <w:pPr>
              <w:pStyle w:val="CellColumn"/>
              <w:jc w:val="left"/>
            </w:pPr>
            <w:r>
              <w:rPr>
                <w:rFonts w:cs="Times New Roman"/>
              </w:rPr>
              <w:t>Ugovoreni projekti izgradnje poslovne infrastrukture</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EUR</w:t>
            </w:r>
          </w:p>
        </w:tc>
        <w:tc>
          <w:tcPr>
            <w:tcW w:w="1020" w:type="dxa"/>
          </w:tcPr>
          <w:p w:rsidR="00505632" w:rsidRDefault="00505632" w:rsidP="00AD4E52">
            <w:pPr>
              <w:pStyle w:val="CellColumn"/>
              <w:jc w:val="right"/>
            </w:pPr>
            <w:r>
              <w:rPr>
                <w:rFonts w:cs="Times New Roman"/>
              </w:rPr>
              <w:t xml:space="preserve">50 ugovora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85,24 mil €</w:t>
            </w:r>
          </w:p>
        </w:tc>
        <w:tc>
          <w:tcPr>
            <w:tcW w:w="1020" w:type="dxa"/>
          </w:tcPr>
          <w:p w:rsidR="00505632" w:rsidRDefault="00505632" w:rsidP="00AD4E52">
            <w:pPr>
              <w:pStyle w:val="CellColumn"/>
              <w:jc w:val="right"/>
            </w:pPr>
            <w:r>
              <w:rPr>
                <w:rFonts w:cs="Times New Roman"/>
              </w:rPr>
              <w:t>SAFU/MRRFEU</w:t>
            </w:r>
          </w:p>
        </w:tc>
        <w:tc>
          <w:tcPr>
            <w:tcW w:w="1020" w:type="dxa"/>
          </w:tcPr>
          <w:p w:rsidR="00505632" w:rsidRDefault="00505632" w:rsidP="00AD4E52">
            <w:pPr>
              <w:pStyle w:val="CellColumn"/>
              <w:jc w:val="right"/>
            </w:pPr>
            <w:r>
              <w:rPr>
                <w:rFonts w:cs="Times New Roman"/>
              </w:rPr>
              <w:t xml:space="preserve">50 ugovora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85,24 mil €</w:t>
            </w:r>
          </w:p>
        </w:tc>
        <w:tc>
          <w:tcPr>
            <w:tcW w:w="1020" w:type="dxa"/>
          </w:tcPr>
          <w:p w:rsidR="00505632" w:rsidRDefault="00505632" w:rsidP="00AD4E52">
            <w:pPr>
              <w:pStyle w:val="CellColumn"/>
              <w:jc w:val="right"/>
            </w:pPr>
            <w:r>
              <w:rPr>
                <w:rFonts w:cs="Times New Roman"/>
              </w:rPr>
              <w:t xml:space="preserve">50 ugovora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85,24 mil €</w:t>
            </w:r>
          </w:p>
        </w:tc>
      </w:tr>
      <w:tr w:rsidR="00505632" w:rsidTr="00AD4E52">
        <w:trPr>
          <w:jc w:val="center"/>
        </w:trPr>
        <w:tc>
          <w:tcPr>
            <w:tcW w:w="2551" w:type="dxa"/>
          </w:tcPr>
          <w:p w:rsidR="00505632" w:rsidRDefault="00505632" w:rsidP="00AD4E52">
            <w:pPr>
              <w:pStyle w:val="CellColumn"/>
              <w:jc w:val="left"/>
            </w:pPr>
            <w:r>
              <w:rPr>
                <w:rFonts w:cs="Times New Roman"/>
              </w:rPr>
              <w:t>Iskorištenost alociranih sredstava</w:t>
            </w:r>
          </w:p>
        </w:tc>
        <w:tc>
          <w:tcPr>
            <w:tcW w:w="2551" w:type="dxa"/>
          </w:tcPr>
          <w:p w:rsidR="00505632" w:rsidRDefault="00505632" w:rsidP="00AD4E52">
            <w:pPr>
              <w:pStyle w:val="CellColumn"/>
              <w:jc w:val="left"/>
            </w:pPr>
            <w:r>
              <w:rPr>
                <w:rFonts w:cs="Times New Roman"/>
              </w:rPr>
              <w:t>Iskorištenost alociranih</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23,22</w:t>
            </w:r>
          </w:p>
        </w:tc>
        <w:tc>
          <w:tcPr>
            <w:tcW w:w="1020" w:type="dxa"/>
          </w:tcPr>
          <w:p w:rsidR="00505632" w:rsidRDefault="00505632" w:rsidP="00AD4E52">
            <w:pPr>
              <w:pStyle w:val="CellColumn"/>
              <w:jc w:val="right"/>
            </w:pPr>
            <w:r>
              <w:rPr>
                <w:rFonts w:cs="Times New Roman"/>
              </w:rPr>
              <w:t>SAFU/MRRFEU</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79,61</w:t>
            </w:r>
          </w:p>
        </w:tc>
      </w:tr>
    </w:tbl>
    <w:p w:rsidR="00505632" w:rsidRDefault="00505632" w:rsidP="00505632">
      <w:pPr>
        <w:jc w:val="left"/>
      </w:pPr>
    </w:p>
    <w:p w:rsidR="00505632" w:rsidRDefault="00505632" w:rsidP="00505632">
      <w:pPr>
        <w:pStyle w:val="Heading4"/>
      </w:pPr>
      <w:r>
        <w:t>T570346 PROGRAM INTEGRALNOG RAZVOJA LOKALNE ZAJEDNICE (EIB)</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T570346-PROGRAM INTEGRALNOG RAZVOJA LOKALNE ZAJEDNICE (EIB)</w:t>
            </w:r>
          </w:p>
        </w:tc>
        <w:tc>
          <w:tcPr>
            <w:tcW w:w="2041" w:type="dxa"/>
          </w:tcPr>
          <w:p w:rsidR="00505632" w:rsidRDefault="00505632" w:rsidP="00AD4E52">
            <w:pPr>
              <w:pStyle w:val="CellColumn"/>
              <w:jc w:val="right"/>
            </w:pPr>
            <w:r>
              <w:rPr>
                <w:rFonts w:cs="Times New Roman"/>
              </w:rPr>
              <w:t>29.026.629</w:t>
            </w:r>
          </w:p>
        </w:tc>
        <w:tc>
          <w:tcPr>
            <w:tcW w:w="2041" w:type="dxa"/>
          </w:tcPr>
          <w:p w:rsidR="00505632" w:rsidRDefault="00505632" w:rsidP="00AD4E52">
            <w:pPr>
              <w:pStyle w:val="CellColumn"/>
              <w:jc w:val="right"/>
            </w:pPr>
            <w:r>
              <w:rPr>
                <w:rFonts w:cs="Times New Roman"/>
              </w:rPr>
              <w:t>18.320.000</w:t>
            </w:r>
          </w:p>
        </w:tc>
        <w:tc>
          <w:tcPr>
            <w:tcW w:w="2041" w:type="dxa"/>
          </w:tcPr>
          <w:p w:rsidR="00505632" w:rsidRDefault="00505632" w:rsidP="00AD4E52">
            <w:pPr>
              <w:pStyle w:val="CellColumn"/>
              <w:jc w:val="right"/>
            </w:pPr>
            <w:r>
              <w:rPr>
                <w:rFonts w:cs="Times New Roman"/>
              </w:rPr>
              <w:t>18.320.000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63,1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Međunarodni ugovor: Zajam br. 22.881–Okvirni višesektorski zajam za komunalnu infrastrukturu za projekt „Integralni razvoj lokalne zajednice“ (EIB II), sklopljen s Europskom Investicijskom Bankom (NN/MU 7/05)</w:t>
      </w:r>
    </w:p>
    <w:p w:rsidR="00505632" w:rsidRDefault="00505632" w:rsidP="00505632">
      <w:pPr>
        <w:pStyle w:val="Heading8"/>
        <w:jc w:val="left"/>
      </w:pPr>
      <w:r>
        <w:t>Opis aktivnosti</w:t>
      </w:r>
    </w:p>
    <w:p w:rsidR="00505632" w:rsidRDefault="00505632" w:rsidP="00505632">
      <w:r>
        <w:t xml:space="preserve">Projekt EIB II provodi se od 2005. godine, te se njime financira obnova, izgradnja, nadogradnja i rekonstrukcija komunalne i socijalne infrastrukture u JLS-ima, u prvom redu potprojekata iz područja vodoopskrbe i odvodnje, lokalnih cesta, školskih objekata i dječjih vrtića. Cilj  je povećati kvalitetu i dostupnost komunalnih usluga, obrazovnog standarda, zdravstvene zaštite, skrbi o posebno ranjivim skupinama (djeca,stariji), smanjiti neuravnoteženost u razvoju pojedinih područja i stvoriti preduvjete za održivi gospodarski i društveni razvoj. U realizaciji ovog Programa sudjeluje i 293 jedinice lokalne samouprave sa područja cijele Republike Hrvatske, a sam portfelj potprojekata čini 566 potprojekata.   </w:t>
      </w:r>
    </w:p>
    <w:p w:rsidR="00505632" w:rsidRDefault="00505632" w:rsidP="00505632">
      <w:r>
        <w:t xml:space="preserve">Potprojekti se realiziraju kroz dvije osnovne komponente, komunalnu i socijalnu.   </w:t>
      </w:r>
    </w:p>
    <w:p w:rsidR="00505632" w:rsidRDefault="00505632" w:rsidP="00505632">
      <w:r>
        <w:t xml:space="preserve">U komponenti komunalne infrastrukture prioriteti se daju objektima lokalnih i nerazvrstanih cesta, objektima vodoopskrbe i odvodnje, nogostupima i javnoj rasvjeti.  </w:t>
      </w:r>
    </w:p>
    <w:p w:rsidR="00505632" w:rsidRDefault="00505632" w:rsidP="00505632">
      <w:r>
        <w:t xml:space="preserve">Cilj realizacije potprojekata komunalne infrastrukture je prije svega unaprijediti život na području pojedinih naselja, te stvoriti preduvjete za gospodarski i društveni razvoj. Izgradnja i sanacija komunalne infrastrukture omogućava brži i jednostavniji protok ljudi, roba i usluga, povećanje stupnja sigurnosti svih sudionika u prometu, povećanje nivoa komunalnih usluga i broj komunalnih priključaka, bolju iskorištenost prirodnih resursa uz očuvanje prirodnog okoliša. Komponenta komunalne infrastrukture sadrži 389 potprojekata.   </w:t>
      </w:r>
    </w:p>
    <w:p w:rsidR="00505632" w:rsidRDefault="00505632" w:rsidP="00505632">
      <w:r>
        <w:t xml:space="preserve">Komponenta socijalne infrastrukture obuhvaća školske objekte (škole, školsko-špotrske dvorane, đačke domove), dječje vrtiće i jaslice, objekte javne namjene kao što su domovi zdravlja i ambulante, domovi za starije i nemoćne, te ostale objekte javne namjene koji pridonose jačanju socijalne kohezije (domovi kulture, knjižnice). Realizacija potprojekta iz socijalne infrastrukture podići će obrazovni standard, povećati skrb o djeci i starijima, a prije svega unaprijediti i poboljšati način života lokalnog stanovništva. Komponenta socijalne infrastrukture sadrži 177 potprojekata.  </w:t>
      </w:r>
    </w:p>
    <w:p w:rsidR="00505632" w:rsidRDefault="00505632" w:rsidP="00505632">
      <w:r>
        <w:t xml:space="preserve">Završno s 31.12.2014. godine Zajam je u cijelosti iskorišten, uslijedilo je Završno izvješće Europskoj investicijskoj banci te su se tijekom 2016. godine u cilju završetka radova koristila isključivo sredstva državnog proračuna osigurana na stavci domaće komponente.  </w:t>
      </w:r>
    </w:p>
    <w:p w:rsidR="00505632" w:rsidRDefault="00505632" w:rsidP="00505632">
      <w:r>
        <w:t>Tijekom 2016. radovi su se odvijali na 5 objekata, od čega su radovi okončani na četiri objekta.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izgrađenih objekata komunalne infrastrukture  (broj saniranih i moderniziranih cesta, broj izgrađene vodovodne i kanalizacijske mreže i broj novih priključaka</w:t>
            </w:r>
          </w:p>
        </w:tc>
        <w:tc>
          <w:tcPr>
            <w:tcW w:w="2551" w:type="dxa"/>
          </w:tcPr>
          <w:p w:rsidR="00505632" w:rsidRDefault="00505632" w:rsidP="00AD4E52">
            <w:pPr>
              <w:pStyle w:val="CellColumn"/>
              <w:jc w:val="left"/>
            </w:pPr>
            <w:r>
              <w:rPr>
                <w:rFonts w:cs="Times New Roman"/>
              </w:rPr>
              <w:t>Izgrađeni objekti komunalne infrastrukture (prometnice,  vodovodi i kanalizacijski sustavi) pridonijeti će boljoj prometnoj povezanosti, sigurnosti prometa, većoj iskoristivosti prirodnih resursa, zaštiti okoliša i podizanju nivoa komunalnih usluga.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341</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341</w:t>
            </w:r>
          </w:p>
        </w:tc>
        <w:tc>
          <w:tcPr>
            <w:tcW w:w="1020" w:type="dxa"/>
          </w:tcPr>
          <w:p w:rsidR="00505632" w:rsidRDefault="00505632" w:rsidP="00AD4E52">
            <w:pPr>
              <w:pStyle w:val="CellColumn"/>
              <w:jc w:val="right"/>
            </w:pPr>
            <w:r>
              <w:rPr>
                <w:rFonts w:cs="Times New Roman"/>
              </w:rPr>
              <w:t>341</w:t>
            </w:r>
          </w:p>
        </w:tc>
      </w:tr>
      <w:tr w:rsidR="00505632" w:rsidTr="00AD4E52">
        <w:trPr>
          <w:jc w:val="center"/>
        </w:trPr>
        <w:tc>
          <w:tcPr>
            <w:tcW w:w="2551" w:type="dxa"/>
          </w:tcPr>
          <w:p w:rsidR="00505632" w:rsidRDefault="00505632" w:rsidP="00AD4E52">
            <w:pPr>
              <w:pStyle w:val="CellColumn"/>
              <w:jc w:val="left"/>
            </w:pPr>
            <w:r>
              <w:rPr>
                <w:rFonts w:cs="Times New Roman"/>
              </w:rPr>
              <w:t>Povećanje broja izgrađenih objekata socijalne infrastrukture (broj izgrađenih školskih objekata, broj izgrađenih dječjih vrtića, broj izgrađenih ostalih objekata javne namjene)</w:t>
            </w:r>
          </w:p>
        </w:tc>
        <w:tc>
          <w:tcPr>
            <w:tcW w:w="2551" w:type="dxa"/>
          </w:tcPr>
          <w:p w:rsidR="00505632" w:rsidRDefault="00505632" w:rsidP="00AD4E52">
            <w:pPr>
              <w:pStyle w:val="CellColumn"/>
              <w:jc w:val="left"/>
            </w:pPr>
            <w:r>
              <w:rPr>
                <w:rFonts w:cs="Times New Roman"/>
              </w:rPr>
              <w:t>Izgrađeni objekti socijalne infrastrukture (dječji vrtići, školski objekti i ostali objekti javne namjene) pridonijeti će povećanoj skrbi o djeci, podizanju nivoa obrazovnih standarda, povećanje broja aktivnosti izvan nastavnog programa, povećanju skrbi o starijim i invalidima, povećanje zapošljavanja žena.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141</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145</w:t>
            </w:r>
          </w:p>
        </w:tc>
        <w:tc>
          <w:tcPr>
            <w:tcW w:w="1020" w:type="dxa"/>
          </w:tcPr>
          <w:p w:rsidR="00505632" w:rsidRDefault="00505632" w:rsidP="00AD4E52">
            <w:pPr>
              <w:pStyle w:val="CellColumn"/>
              <w:jc w:val="right"/>
            </w:pPr>
            <w:r>
              <w:rPr>
                <w:rFonts w:cs="Times New Roman"/>
              </w:rPr>
              <w:t>145</w:t>
            </w:r>
          </w:p>
        </w:tc>
      </w:tr>
    </w:tbl>
    <w:p w:rsidR="00505632" w:rsidRDefault="00505632" w:rsidP="00505632">
      <w:pPr>
        <w:jc w:val="left"/>
      </w:pPr>
    </w:p>
    <w:p w:rsidR="00505632" w:rsidRDefault="00505632" w:rsidP="00505632">
      <w:pPr>
        <w:pStyle w:val="Heading3"/>
      </w:pPr>
      <w:r>
        <w:rPr>
          <w:rFonts w:cs="Times New Roman"/>
        </w:rPr>
        <w:t>2902 RAZVOJ POTPOMOGNUTIH PODRUČJA</w:t>
      </w:r>
    </w:p>
    <w:tbl>
      <w:tblPr>
        <w:tblStyle w:val="StilTablice"/>
        <w:tblW w:w="10206" w:type="dxa"/>
        <w:jc w:val="center"/>
        <w:tblLook w:val="04A0" w:firstRow="1" w:lastRow="0" w:firstColumn="1" w:lastColumn="0" w:noHBand="0" w:noVBand="1"/>
      </w:tblPr>
      <w:tblGrid>
        <w:gridCol w:w="1837"/>
        <w:gridCol w:w="1981"/>
        <w:gridCol w:w="1982"/>
        <w:gridCol w:w="1982"/>
        <w:gridCol w:w="1209"/>
        <w:gridCol w:w="1215"/>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2902-RAZVOJ POTPOMOGNUTIH PODRUČJA</w:t>
            </w:r>
          </w:p>
        </w:tc>
        <w:tc>
          <w:tcPr>
            <w:tcW w:w="2041" w:type="dxa"/>
          </w:tcPr>
          <w:p w:rsidR="00505632" w:rsidRDefault="00505632" w:rsidP="00AD4E52">
            <w:pPr>
              <w:pStyle w:val="CellColumn"/>
              <w:jc w:val="right"/>
            </w:pPr>
            <w:r>
              <w:rPr>
                <w:rFonts w:cs="Times New Roman"/>
              </w:rPr>
              <w:t>94.238.065</w:t>
            </w:r>
          </w:p>
        </w:tc>
        <w:tc>
          <w:tcPr>
            <w:tcW w:w="2041" w:type="dxa"/>
          </w:tcPr>
          <w:p w:rsidR="00505632" w:rsidRDefault="00505632" w:rsidP="00AD4E52">
            <w:pPr>
              <w:pStyle w:val="CellColumn"/>
              <w:jc w:val="right"/>
            </w:pPr>
            <w:r>
              <w:rPr>
                <w:rFonts w:cs="Times New Roman"/>
              </w:rPr>
              <w:t>81.631.476</w:t>
            </w:r>
          </w:p>
        </w:tc>
        <w:tc>
          <w:tcPr>
            <w:tcW w:w="2041" w:type="dxa"/>
          </w:tcPr>
          <w:p w:rsidR="00505632" w:rsidRDefault="00505632" w:rsidP="00AD4E52">
            <w:pPr>
              <w:pStyle w:val="CellColumn"/>
              <w:jc w:val="right"/>
            </w:pPr>
            <w:r>
              <w:rPr>
                <w:rFonts w:cs="Times New Roman"/>
              </w:rPr>
              <w:t>62.048.439</w:t>
            </w:r>
          </w:p>
        </w:tc>
        <w:tc>
          <w:tcPr>
            <w:tcW w:w="1224" w:type="dxa"/>
          </w:tcPr>
          <w:p w:rsidR="00505632" w:rsidRDefault="00505632" w:rsidP="00AD4E52">
            <w:pPr>
              <w:pStyle w:val="CellColumn"/>
              <w:jc w:val="right"/>
            </w:pPr>
            <w:r>
              <w:rPr>
                <w:rFonts w:cs="Times New Roman"/>
              </w:rPr>
              <w:t>76,0</w:t>
            </w:r>
          </w:p>
        </w:tc>
        <w:tc>
          <w:tcPr>
            <w:tcW w:w="1224" w:type="dxa"/>
          </w:tcPr>
          <w:p w:rsidR="00505632" w:rsidRDefault="00505632" w:rsidP="00AD4E52">
            <w:pPr>
              <w:pStyle w:val="CellColumn"/>
              <w:jc w:val="right"/>
            </w:pPr>
            <w:r>
              <w:rPr>
                <w:rFonts w:cs="Times New Roman"/>
              </w:rPr>
              <w:t>65,8</w:t>
            </w:r>
          </w:p>
        </w:tc>
      </w:tr>
    </w:tbl>
    <w:p w:rsidR="00505632" w:rsidRDefault="00505632" w:rsidP="00505632">
      <w:pPr>
        <w:jc w:val="left"/>
      </w:pPr>
    </w:p>
    <w:p w:rsidR="00505632" w:rsidRDefault="00505632" w:rsidP="00505632">
      <w:r>
        <w:t xml:space="preserve">Realizacijom Programa Razvoj potpomognutih područja nastoji se smanjiti negativni trend razvoja pojedinih područja, obnova i revitalizacija ratom stradalih područja, poboljšanje kvalitete života, povećanje obrazovnog standarda stanovništva, te stvaranje preduvjeta za gospodarski i društveni razvoj.  </w:t>
      </w:r>
    </w:p>
    <w:p w:rsidR="00505632" w:rsidRDefault="00505632" w:rsidP="00505632">
      <w:r>
        <w:t xml:space="preserve">Kroz program se sufinanciraju manji infrastrukturni projekti čiji su nositelji jedinice lokalne ili regionalne samouprave u području izgradnje, nadogradnje i sanacije komunalne i socijalne infrastrukture, te izrade prostorne i druge planske, projektne i programske razvojne dokumentacije, kao i drugi projekti čija realizacija pridonosi podizanju ukupne kvalitete življenja stanovništva. </w:t>
      </w:r>
    </w:p>
    <w:p w:rsidR="00505632" w:rsidRDefault="00505632" w:rsidP="00505632">
      <w:r>
        <w:t xml:space="preserve">U okviru ovog Programa provodila se godišnja aktivnost Razvoj potpomognutih područja i aktivnost Fond za razvoj brdsko-planinskih područja.  </w:t>
      </w:r>
    </w:p>
    <w:p w:rsidR="00505632" w:rsidRDefault="00505632" w:rsidP="00505632">
      <w:r>
        <w:t>Također se provodila i aktivnost pripreme i provedbe razvojnih projekata prihvatljivih za financiranje iz fondova Europske unije, a s ciljem stvaranja zalihe kvalitetnih projekata prihvatljivih za financiranje iz ESI fondova te jačanja apsorpcijskih kapaciteta regionalne i lokalne razine za korištenje sredstava ESI fondova čime se doprinosi jačanju konkurentnosti hrvatskih regija.</w:t>
      </w:r>
    </w:p>
    <w:p w:rsidR="00505632" w:rsidRDefault="00505632" w:rsidP="00505632">
      <w:pPr>
        <w:pStyle w:val="Heading8"/>
        <w:jc w:val="left"/>
      </w:pPr>
      <w:r>
        <w:t>Cilj 1. Smanjenje zaostajanja slabije razvijenih područja</w:t>
      </w:r>
    </w:p>
    <w:p w:rsidR="00505632" w:rsidRDefault="00505632" w:rsidP="00505632">
      <w:pPr>
        <w:pStyle w:val="Heading8"/>
        <w:jc w:val="left"/>
      </w:pPr>
      <w:r>
        <w:t>Opis provedbe cilja programa</w:t>
      </w:r>
    </w:p>
    <w:p w:rsidR="00505632" w:rsidRDefault="00505632" w:rsidP="00505632">
      <w:r>
        <w:t xml:space="preserve">Postojanje kvalitetne komunalne i socijalne infrastrukture te njeno učinkovito održavanje i upravljanje čine osnovne pretpostavke razvoja svih segmenata društveno-gospodarskog razvoja, podizanja kvalitete života te smanjivanja zaostajanja slabije razvijenih regija. </w:t>
      </w:r>
    </w:p>
    <w:p w:rsidR="00505632" w:rsidRDefault="00505632" w:rsidP="00505632">
      <w:r>
        <w:t xml:space="preserve">Ovaj cilj je usmjeren na rješavanje identificiranih prioritetnih potreba usuglašenih između svih zainteresiranih strana koji se odnose na izgradnju, sanaciju, nadogradnju i/ili opremanjem objekata komunalne i socijalne infrastrukture, i kao takvih prepoznatih u strateškim planskim dokumentima na svim razinama, a u cilju podizanja kvalitete života i jačanju konkurentnosti u svim područjima Republike Hrvatske. </w:t>
      </w:r>
    </w:p>
    <w:p w:rsidR="00505632" w:rsidRDefault="00505632" w:rsidP="00505632">
      <w:r>
        <w:t>Provedbom aktivnosti u okviru ovog Porgrama programa nastoji se smanjiti negativni trend razvoja pojedinih područja, obnova i revitalizacija ratom stradalih područja, poboljšanje kvalitete života, povećanje obrazovnog standarda stanovništva, stvaranje preduvjeta za gospodarski i društveni razvoj.</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indeksa razvijenosti JLPS-a, tj. povećanje standarda i kvalitete života stanovnika</w:t>
            </w:r>
          </w:p>
        </w:tc>
        <w:tc>
          <w:tcPr>
            <w:tcW w:w="2551" w:type="dxa"/>
          </w:tcPr>
          <w:p w:rsidR="00505632" w:rsidRDefault="00505632" w:rsidP="00AD4E52">
            <w:pPr>
              <w:pStyle w:val="CellColumn"/>
              <w:jc w:val="left"/>
            </w:pPr>
            <w:r>
              <w:rPr>
                <w:rFonts w:cs="Times New Roman"/>
              </w:rPr>
              <w:t>Manji udio JLS-a sa zaostajanjem većim od 25% prosjeka razvijenosti RH u ukupnom broju JLS-a u RH</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47,5</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49</w:t>
            </w:r>
          </w:p>
        </w:tc>
        <w:tc>
          <w:tcPr>
            <w:tcW w:w="1020" w:type="dxa"/>
          </w:tcPr>
          <w:p w:rsidR="00505632" w:rsidRDefault="00505632" w:rsidP="00AD4E52">
            <w:pPr>
              <w:pStyle w:val="CellColumn"/>
              <w:jc w:val="right"/>
            </w:pPr>
            <w:r>
              <w:rPr>
                <w:rFonts w:cs="Times New Roman"/>
              </w:rPr>
              <w:t>49</w:t>
            </w:r>
          </w:p>
        </w:tc>
      </w:tr>
    </w:tbl>
    <w:p w:rsidR="00505632" w:rsidRDefault="00505632" w:rsidP="00505632">
      <w:pPr>
        <w:jc w:val="left"/>
      </w:pPr>
    </w:p>
    <w:p w:rsidR="00505632" w:rsidRDefault="00505632" w:rsidP="00505632">
      <w:pPr>
        <w:pStyle w:val="Heading4"/>
      </w:pPr>
      <w:r>
        <w:t>A758019 SUFINANCIRANJE EU PROJEKATA NA POTPOMOGNUTIM I DRUGIM SPECIFIČNIM PODRUČJIMA</w:t>
      </w:r>
    </w:p>
    <w:tbl>
      <w:tblPr>
        <w:tblStyle w:val="StilTablice"/>
        <w:tblW w:w="10206" w:type="dxa"/>
        <w:jc w:val="center"/>
        <w:tblLook w:val="04A0" w:firstRow="1" w:lastRow="0" w:firstColumn="1" w:lastColumn="0" w:noHBand="0" w:noVBand="1"/>
      </w:tblPr>
      <w:tblGrid>
        <w:gridCol w:w="1871"/>
        <w:gridCol w:w="1971"/>
        <w:gridCol w:w="1971"/>
        <w:gridCol w:w="1971"/>
        <w:gridCol w:w="1208"/>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A758019-SUFINANCIRANJE EU PROJEKATA NA POTPOMOGNUTIM I DRUGIM SPECIFIČNIM PODRUČJIMA</w:t>
            </w:r>
          </w:p>
        </w:tc>
        <w:tc>
          <w:tcPr>
            <w:tcW w:w="2041" w:type="dxa"/>
          </w:tcPr>
          <w:p w:rsidR="00505632" w:rsidRDefault="00505632" w:rsidP="00AD4E52">
            <w:pPr>
              <w:pStyle w:val="CellColumn"/>
              <w:jc w:val="right"/>
            </w:pPr>
            <w:r>
              <w:rPr>
                <w:rFonts w:cs="Times New Roman"/>
              </w:rPr>
              <w:t>6.298.882</w:t>
            </w:r>
          </w:p>
        </w:tc>
        <w:tc>
          <w:tcPr>
            <w:tcW w:w="2041" w:type="dxa"/>
          </w:tcPr>
          <w:p w:rsidR="00505632" w:rsidRDefault="00505632" w:rsidP="00AD4E52">
            <w:pPr>
              <w:pStyle w:val="CellColumn"/>
              <w:jc w:val="right"/>
            </w:pPr>
            <w:r>
              <w:rPr>
                <w:rFonts w:cs="Times New Roman"/>
              </w:rPr>
              <w:t>2.432.354</w:t>
            </w:r>
          </w:p>
        </w:tc>
        <w:tc>
          <w:tcPr>
            <w:tcW w:w="2041" w:type="dxa"/>
          </w:tcPr>
          <w:p w:rsidR="00505632" w:rsidRDefault="00505632" w:rsidP="00AD4E52">
            <w:pPr>
              <w:pStyle w:val="CellColumn"/>
              <w:jc w:val="right"/>
            </w:pPr>
            <w:r>
              <w:rPr>
                <w:rFonts w:cs="Times New Roman"/>
              </w:rPr>
              <w:t>2.391.704</w:t>
            </w:r>
          </w:p>
        </w:tc>
        <w:tc>
          <w:tcPr>
            <w:tcW w:w="1224" w:type="dxa"/>
          </w:tcPr>
          <w:p w:rsidR="00505632" w:rsidRDefault="00505632" w:rsidP="00AD4E52">
            <w:pPr>
              <w:pStyle w:val="CellColumn"/>
              <w:jc w:val="right"/>
            </w:pPr>
            <w:r>
              <w:rPr>
                <w:rFonts w:cs="Times New Roman"/>
              </w:rPr>
              <w:t>98,3</w:t>
            </w:r>
          </w:p>
        </w:tc>
        <w:tc>
          <w:tcPr>
            <w:tcW w:w="1224" w:type="dxa"/>
          </w:tcPr>
          <w:p w:rsidR="00505632" w:rsidRDefault="00505632" w:rsidP="00AD4E52">
            <w:pPr>
              <w:pStyle w:val="CellColumn"/>
              <w:jc w:val="right"/>
            </w:pPr>
            <w:r>
              <w:rPr>
                <w:rFonts w:cs="Times New Roman"/>
              </w:rPr>
              <w:t>38,0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Odluka o razvrstavanju jedinica lokalne i područne samouprave prema stupnju razvijenosti (NN 158/13) </w:t>
      </w:r>
    </w:p>
    <w:p w:rsidR="00505632" w:rsidRDefault="00505632" w:rsidP="00505632">
      <w:r>
        <w:t>2. Zakon o financiranju lokalne i područne samouprave (Narodne novine, br. 117/93, 69/97, 33/00, 73/00, 127/00, 59/01, 107/01, 117/01, 150/02, 147/03, 132/06, 26/07, 73/08, 25/12, 147/14, 100/15).</w:t>
      </w:r>
    </w:p>
    <w:p w:rsidR="00505632" w:rsidRDefault="00505632" w:rsidP="00505632">
      <w:pPr>
        <w:pStyle w:val="Heading8"/>
        <w:jc w:val="left"/>
      </w:pPr>
      <w:r>
        <w:t>Opis aktivnosti</w:t>
      </w:r>
    </w:p>
    <w:p w:rsidR="00505632" w:rsidRDefault="00505632" w:rsidP="00505632">
      <w:r>
        <w:t xml:space="preserve">Aktivnost se provodila s ciljem stvaranja zalihe kvalitetnih projekata prihvatljivih za financiranje iz ESI fondova te jačanja apsorpcijskih kapaciteta regionalne i lokalne razine za korištenje sredstava ESI fondova čime se doprinosi jačanju konkurentnosti hrvatskih regija.  Kroz aktivnost je sufinancirana izrada projektne dokumentacije potrebna za prijavu projekata na EU natječaje. </w:t>
      </w:r>
    </w:p>
    <w:p w:rsidR="00505632" w:rsidRDefault="00505632" w:rsidP="00505632">
      <w:r>
        <w:t xml:space="preserve">Za provedbu navedene aktivnosti nisu utrošena sva planirana sredstva s obzirom su temeljem zahtjeva korisnika produljeni rokovi za izvršenje 8 Ugovora o sufinanciranju (5 iz potprograma Priprema lokalnih projekata na potpomognutim područjima te 3 Ugovora o sufinanciranju iz potprograma Priprema regionalnih razvojnih projekata. Temeljem produljenja Ugovora u 2017. godinu prenesene su obveze po navedenim ugovorima. </w:t>
      </w:r>
    </w:p>
    <w:p w:rsidR="00505632" w:rsidRDefault="00505632" w:rsidP="00505632">
      <w:r>
        <w:t>U okviru ove aktivnosti do kraja 2016. godine kumulativno su pripremljena ukupno 134 razvojna projekta (20 regionalnih i 114 lokalnih projekata) od kojih je 7 projekata (5 regionalnih i 2 lokalna projekta) ostvarilo sredstva na dosadašnjim natječajima.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pripremljenih regionalnih i lokalnih razvojnih projekata</w:t>
            </w:r>
          </w:p>
        </w:tc>
        <w:tc>
          <w:tcPr>
            <w:tcW w:w="2551" w:type="dxa"/>
          </w:tcPr>
          <w:p w:rsidR="00505632" w:rsidRDefault="00505632" w:rsidP="00AD4E52">
            <w:pPr>
              <w:pStyle w:val="CellColumn"/>
              <w:jc w:val="left"/>
            </w:pPr>
            <w:r>
              <w:rPr>
                <w:rFonts w:cs="Times New Roman"/>
              </w:rPr>
              <w:t>Broj pripremljenih regionalnih i lokalnih razvojnih projekata spremnih za prijavu na natječaje za dodjelu bespovratnih sredstava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126</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143</w:t>
            </w:r>
          </w:p>
        </w:tc>
        <w:tc>
          <w:tcPr>
            <w:tcW w:w="1020" w:type="dxa"/>
          </w:tcPr>
          <w:p w:rsidR="00505632" w:rsidRDefault="00505632" w:rsidP="00AD4E52">
            <w:pPr>
              <w:pStyle w:val="CellColumn"/>
              <w:jc w:val="right"/>
            </w:pPr>
            <w:r>
              <w:rPr>
                <w:rFonts w:cs="Times New Roman"/>
              </w:rPr>
              <w:t>134</w:t>
            </w:r>
          </w:p>
        </w:tc>
      </w:tr>
    </w:tbl>
    <w:p w:rsidR="00505632" w:rsidRDefault="00505632" w:rsidP="00505632">
      <w:pPr>
        <w:jc w:val="left"/>
      </w:pPr>
    </w:p>
    <w:p w:rsidR="00505632" w:rsidRDefault="00505632" w:rsidP="00505632">
      <w:pPr>
        <w:pStyle w:val="Heading4"/>
      </w:pPr>
      <w:r>
        <w:t>K549110 RAZVOJ POTPOMOGNUTIH PODRUČJA</w:t>
      </w:r>
    </w:p>
    <w:tbl>
      <w:tblPr>
        <w:tblStyle w:val="StilTablice"/>
        <w:tblW w:w="10206" w:type="dxa"/>
        <w:jc w:val="center"/>
        <w:tblLook w:val="04A0" w:firstRow="1" w:lastRow="0" w:firstColumn="1" w:lastColumn="0" w:noHBand="0" w:noVBand="1"/>
      </w:tblPr>
      <w:tblGrid>
        <w:gridCol w:w="1837"/>
        <w:gridCol w:w="1981"/>
        <w:gridCol w:w="1982"/>
        <w:gridCol w:w="1982"/>
        <w:gridCol w:w="1209"/>
        <w:gridCol w:w="1215"/>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K549110-RAZVOJ POTPOMOGNUTIH PODRUČJA</w:t>
            </w:r>
          </w:p>
        </w:tc>
        <w:tc>
          <w:tcPr>
            <w:tcW w:w="2041" w:type="dxa"/>
          </w:tcPr>
          <w:p w:rsidR="00505632" w:rsidRDefault="00505632" w:rsidP="00AD4E52">
            <w:pPr>
              <w:pStyle w:val="CellColumn"/>
              <w:jc w:val="right"/>
            </w:pPr>
            <w:r>
              <w:rPr>
                <w:rFonts w:cs="Times New Roman"/>
              </w:rPr>
              <w:t>47.939.182</w:t>
            </w:r>
          </w:p>
        </w:tc>
        <w:tc>
          <w:tcPr>
            <w:tcW w:w="2041" w:type="dxa"/>
          </w:tcPr>
          <w:p w:rsidR="00505632" w:rsidRDefault="00505632" w:rsidP="00AD4E52">
            <w:pPr>
              <w:pStyle w:val="CellColumn"/>
              <w:jc w:val="right"/>
            </w:pPr>
            <w:r>
              <w:rPr>
                <w:rFonts w:cs="Times New Roman"/>
              </w:rPr>
              <w:t>48.874.122</w:t>
            </w:r>
          </w:p>
        </w:tc>
        <w:tc>
          <w:tcPr>
            <w:tcW w:w="2041" w:type="dxa"/>
          </w:tcPr>
          <w:p w:rsidR="00505632" w:rsidRDefault="00505632" w:rsidP="00AD4E52">
            <w:pPr>
              <w:pStyle w:val="CellColumn"/>
              <w:jc w:val="right"/>
            </w:pPr>
            <w:r>
              <w:rPr>
                <w:rFonts w:cs="Times New Roman"/>
              </w:rPr>
              <w:t>48.874.122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102,0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regionalnom razvoju Republike Hrvatske (NN 147/14) </w:t>
      </w:r>
    </w:p>
    <w:p w:rsidR="00505632" w:rsidRDefault="00505632" w:rsidP="00505632">
      <w:r>
        <w:t xml:space="preserve">2. Uredba o indeksu razvijenosti (NN 63/10 i 158/13) </w:t>
      </w:r>
    </w:p>
    <w:p w:rsidR="00505632" w:rsidRDefault="00505632" w:rsidP="00505632">
      <w:r>
        <w:t>3. Odluka o razvrstavanju jedinica lokalne i područne samouprave prema stupnju razvijenosti (NN 158/13)</w:t>
      </w:r>
    </w:p>
    <w:p w:rsidR="00505632" w:rsidRDefault="00505632" w:rsidP="00505632">
      <w:pPr>
        <w:pStyle w:val="Heading8"/>
        <w:jc w:val="left"/>
      </w:pPr>
      <w:r>
        <w:t>Opis aktivnosti</w:t>
      </w:r>
    </w:p>
    <w:p w:rsidR="00505632" w:rsidRDefault="00505632" w:rsidP="00505632">
      <w:r>
        <w:t xml:space="preserve">U Državnom proračunu za 2016. godinu, za aktivnost K549110 – Razvoj potpomognutih područja,  bilo je osigurano ukupno 48,87 milijuna kuna, a cjelokupni iznos sredstva je bio usmjeren na realizaciju Programa održivog razvoja lokalne zajednice. </w:t>
      </w:r>
    </w:p>
    <w:p w:rsidR="00505632" w:rsidRDefault="00505632" w:rsidP="00505632">
      <w:r>
        <w:t xml:space="preserve">Cilj  ovog Programa je doprinijeti ostvarenju regionalnog razvoja u skladu s načelima razvojne politike, održivog razvoja i socijalne uključenosti, kao dijela razvojnih prioriteta strategije regionalnog razvoja i županijskih razvojnih strategija te podržavanju gospodarske i socijalne revitalizacije slabije razvijenih područja, kao jednog od načina jačanja socijalne kohezije i održivog razvoja, imajući u vidu da se kroz ostvarenje ciljeva programa zadovoljava uvjet pomoći onima čiji indeks razvijenosti ne prelazi prosjek Republike Hrvatske. </w:t>
      </w:r>
    </w:p>
    <w:p w:rsidR="00505632" w:rsidRDefault="00505632" w:rsidP="00505632">
      <w:r>
        <w:t xml:space="preserve">Programom se, na godišnjoj razini, sufinanciraju projekti kojima su nositelji jedinice lokalne i područne (regionalne) samouprave, a za koje se ocjenjuje da će pridonijeti znatnijem razvoju pojedinih područja i stvoriti preduvjete za održivi gospodarski i društveni razvoj te poboljšati standard i kvalitetu života lokalnog stanovništva. Riječ je o manjim projektima komunalne i socijalne infrastrukture, koji se ne mogu financirati iz ESI fondova ili iz drugih izvora, a važni su za ujednačavanja razvoja. </w:t>
      </w:r>
    </w:p>
    <w:p w:rsidR="00505632" w:rsidRDefault="00505632" w:rsidP="00505632">
      <w:r>
        <w:t xml:space="preserve">Poziv za iskaz interesa za sufinanciranje projekata u 2016. godini, po ovom Programu, objavljen je 10. ožujka 2016. na  web stranici Ministarstva te je zaprimljeno ukupno 567 zahtjeva.  </w:t>
      </w:r>
    </w:p>
    <w:p w:rsidR="00505632" w:rsidRDefault="00505632" w:rsidP="00505632">
      <w:r>
        <w:t xml:space="preserve">Od 567 zaprimljenih zahtjeva 525 zahtjeva je zadovoljilo administrativnu provjeru i upućeno je u daljnju proceduru vrednovanja. </w:t>
      </w:r>
    </w:p>
    <w:p w:rsidR="00505632" w:rsidRDefault="00505632" w:rsidP="00505632">
      <w:r>
        <w:t>Odlukom o odabiru projekata, ministar je potvrdio odabir predloženih projekata od strane Povjerenstva te je tako u 2016. godini sklopljeno 216 ugovora o sufinanciranju infrastrukturnih projekata jedinica lokalne i područne (regionalne) samouprave. Od ukupno 216 sklopljenih ugovora provedeno je 210 projekata.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obnovljenih i izgrađenih objekata socijalne, komunalne ili gospodarske infrastrukture</w:t>
            </w:r>
          </w:p>
        </w:tc>
        <w:tc>
          <w:tcPr>
            <w:tcW w:w="2551" w:type="dxa"/>
          </w:tcPr>
          <w:p w:rsidR="00505632" w:rsidRDefault="00505632" w:rsidP="00AD4E52">
            <w:pPr>
              <w:pStyle w:val="CellColumn"/>
              <w:jc w:val="left"/>
            </w:pPr>
            <w:r>
              <w:rPr>
                <w:rFonts w:cs="Times New Roman"/>
              </w:rPr>
              <w:t>Obnovljeni, izgrađeni dječji vrtići, škole, domovi za starije i nemoćne, objekti javne namjene (domovi kulture, knjižnice, dvorane,  domovi za branitelje), vodovodni sustavi za opskrbu pitkom vodom; lokalni sustavi za navodnjavanje, sustavi za prikupljanje izvorske vode,odnosno provedba projekata koji imaju lokalni značaj za zajednicu, a premali su da bi se financirali  iz drugih izvora, dok njihova potreba proizlazi iz nedovoljnih financijskih i organizacijskih kapaciteta zajednice.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600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760</w:t>
            </w:r>
          </w:p>
        </w:tc>
        <w:tc>
          <w:tcPr>
            <w:tcW w:w="1020" w:type="dxa"/>
          </w:tcPr>
          <w:p w:rsidR="00505632" w:rsidRDefault="00505632" w:rsidP="00AD4E52">
            <w:pPr>
              <w:pStyle w:val="CellColumn"/>
              <w:jc w:val="right"/>
            </w:pPr>
            <w:r>
              <w:rPr>
                <w:rFonts w:cs="Times New Roman"/>
              </w:rPr>
              <w:t>810</w:t>
            </w:r>
          </w:p>
        </w:tc>
      </w:tr>
    </w:tbl>
    <w:p w:rsidR="00505632" w:rsidRDefault="00505632" w:rsidP="00505632">
      <w:pPr>
        <w:jc w:val="left"/>
      </w:pPr>
    </w:p>
    <w:p w:rsidR="00505632" w:rsidRDefault="00505632" w:rsidP="00505632">
      <w:pPr>
        <w:pStyle w:val="Heading4"/>
      </w:pPr>
      <w:r>
        <w:t>K758042 FOND ZA RAZVOJ BRDSKO - PLANINSKIH PODRUČJA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K758042-FOND ZA RAZVOJ BRDSKO - PLANINSKIH PODRUČJA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30.000.000</w:t>
            </w:r>
          </w:p>
        </w:tc>
        <w:tc>
          <w:tcPr>
            <w:tcW w:w="2041" w:type="dxa"/>
          </w:tcPr>
          <w:p w:rsidR="00505632" w:rsidRDefault="00505632" w:rsidP="00AD4E52">
            <w:pPr>
              <w:pStyle w:val="CellColumn"/>
              <w:jc w:val="right"/>
            </w:pPr>
            <w:r>
              <w:rPr>
                <w:rFonts w:cs="Times New Roman"/>
              </w:rPr>
              <w:t>10.457.614</w:t>
            </w:r>
          </w:p>
        </w:tc>
        <w:tc>
          <w:tcPr>
            <w:tcW w:w="1224" w:type="dxa"/>
          </w:tcPr>
          <w:p w:rsidR="00505632" w:rsidRDefault="00505632" w:rsidP="00AD4E52">
            <w:pPr>
              <w:pStyle w:val="CellColumn"/>
              <w:jc w:val="right"/>
            </w:pPr>
            <w:r>
              <w:rPr>
                <w:rFonts w:cs="Times New Roman"/>
              </w:rPr>
              <w:t>34,9</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Odluka o razvrstavanju jedinica lokalne i područne samouprave prema stupnju razvijenosti (NN 158/13) </w:t>
      </w:r>
    </w:p>
    <w:p w:rsidR="00505632" w:rsidRDefault="00505632" w:rsidP="00505632">
      <w:r>
        <w:t>2. Zakon o financiranju lokalne i područne samouprave (Narodne novine, br. 117/93, 69/97, 33/00, 73/00, 127/00, 59/01, 107/01, 117/01, 150/02, 147/03, 132/06, 26/07, 73/08, 25/12, 147/14, 100/15).</w:t>
      </w:r>
    </w:p>
    <w:p w:rsidR="00505632" w:rsidRDefault="00505632" w:rsidP="00505632">
      <w:pPr>
        <w:pStyle w:val="Heading8"/>
        <w:jc w:val="left"/>
      </w:pPr>
      <w:r>
        <w:t>Opis aktivnosti</w:t>
      </w:r>
    </w:p>
    <w:p w:rsidR="00505632" w:rsidRDefault="00505632" w:rsidP="00505632">
      <w:r>
        <w:t xml:space="preserve">Fond za razvoj brdsko-planinskih područja namijenjen je financiranju kapitalnih projekta na brdsko-planinskim područjima. Fond je uspostavljen u cilju pridonošenja jačanju konkurentnosti regija te uravnoteženom regionalnom razvoju.  </w:t>
      </w:r>
    </w:p>
    <w:p w:rsidR="00505632" w:rsidRDefault="00505632" w:rsidP="00505632">
      <w:r>
        <w:t xml:space="preserve">Sredstva Fonda namijenjena su za potporu razvoju jedinica lokalne samouprave s brdsko-planinskih područja razvrstanih u III. i IV. skupinu prema indeksu razvijenosti kroz povećani udjel u prihodima od poreza na dohodak namijenjen financiranju kapitalnih projekta na njihovom području. Izdvojena sredstva Ministarstvo prati po jedinicama lokalne samouprave gdje su i ostvarena. Ministarstvo također koordinira i nadzire provedbu projekata te prati trošenje odobrenih sredstava u skladu s njihovom namjenom i sklopljenim ugovorom. </w:t>
      </w:r>
    </w:p>
    <w:p w:rsidR="00505632" w:rsidRDefault="00505632" w:rsidP="00505632">
      <w:r>
        <w:t xml:space="preserve">U Državnom proračunu za 2016. godinu na aktivnosti je planiran iznos od 30.000.000 kuna za razvoj kapitalnih projekata od interesa za razvoj brdsko-planinskih područja, jedinica lokalne samouprave III. i IV. skupine prema indeksu razvijenosti.  </w:t>
      </w:r>
    </w:p>
    <w:p w:rsidR="00505632" w:rsidRDefault="00505632" w:rsidP="00505632">
      <w:r>
        <w:t xml:space="preserve">Provedba aktivnosti započela je sredinom godine. Na traženje JLS u 2016. godini ugovoreno je financiranje 45 projekata ukupne vrijednosti 20.379.317,99 kuna, temeljem čega je i isplaćeno 10,45 milijuna kuna. </w:t>
      </w:r>
    </w:p>
    <w:p w:rsidR="00505632" w:rsidRDefault="00505632" w:rsidP="00505632">
      <w:r>
        <w:t>Realizacija Programa je u tijeku i nastavlja se i u idućoj godini. Ministarstvo će i nadalje koordinirati i nadzirati provedbu projekata te pratiti trošenje odobrenih sredstava u skladu s njihovom namjenom i sklopljenim ugovorom.</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projekata kojima su dodijeljena  sredstva</w:t>
            </w:r>
          </w:p>
        </w:tc>
        <w:tc>
          <w:tcPr>
            <w:tcW w:w="2551" w:type="dxa"/>
          </w:tcPr>
          <w:p w:rsidR="00505632" w:rsidRDefault="00505632" w:rsidP="00AD4E52">
            <w:pPr>
              <w:pStyle w:val="CellColumn"/>
              <w:jc w:val="left"/>
            </w:pPr>
            <w:r>
              <w:rPr>
                <w:rFonts w:cs="Times New Roman"/>
              </w:rPr>
              <w:t>Financiranje kapitalnih projekata na JLS-a na brdsko-planinskim područjima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45</w:t>
            </w:r>
          </w:p>
        </w:tc>
      </w:tr>
    </w:tbl>
    <w:p w:rsidR="00505632" w:rsidRDefault="00505632" w:rsidP="00505632">
      <w:pPr>
        <w:jc w:val="left"/>
      </w:pPr>
    </w:p>
    <w:p w:rsidR="00505632" w:rsidRDefault="00505632" w:rsidP="00505632">
      <w:pPr>
        <w:pStyle w:val="Heading3"/>
      </w:pPr>
      <w:r>
        <w:rPr>
          <w:rFonts w:cs="Times New Roman"/>
        </w:rPr>
        <w:t>2903 TERITORIJALNA SURADNJA</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2903-TERITORIJALNA SURADNJA</w:t>
            </w:r>
          </w:p>
        </w:tc>
        <w:tc>
          <w:tcPr>
            <w:tcW w:w="2041" w:type="dxa"/>
          </w:tcPr>
          <w:p w:rsidR="00505632" w:rsidRDefault="00505632" w:rsidP="00AD4E52">
            <w:pPr>
              <w:pStyle w:val="CellColumn"/>
              <w:jc w:val="right"/>
            </w:pPr>
            <w:r>
              <w:rPr>
                <w:rFonts w:cs="Times New Roman"/>
              </w:rPr>
              <w:t>20.821.314</w:t>
            </w:r>
          </w:p>
        </w:tc>
        <w:tc>
          <w:tcPr>
            <w:tcW w:w="2041" w:type="dxa"/>
          </w:tcPr>
          <w:p w:rsidR="00505632" w:rsidRDefault="00505632" w:rsidP="00AD4E52">
            <w:pPr>
              <w:pStyle w:val="CellColumn"/>
              <w:jc w:val="right"/>
            </w:pPr>
            <w:r>
              <w:rPr>
                <w:rFonts w:cs="Times New Roman"/>
              </w:rPr>
              <w:t>26.904.044</w:t>
            </w:r>
          </w:p>
        </w:tc>
        <w:tc>
          <w:tcPr>
            <w:tcW w:w="2041" w:type="dxa"/>
          </w:tcPr>
          <w:p w:rsidR="00505632" w:rsidRDefault="00505632" w:rsidP="00AD4E52">
            <w:pPr>
              <w:pStyle w:val="CellColumn"/>
              <w:jc w:val="right"/>
            </w:pPr>
            <w:r>
              <w:rPr>
                <w:rFonts w:cs="Times New Roman"/>
              </w:rPr>
              <w:t>23.380.851</w:t>
            </w:r>
          </w:p>
        </w:tc>
        <w:tc>
          <w:tcPr>
            <w:tcW w:w="1224" w:type="dxa"/>
          </w:tcPr>
          <w:p w:rsidR="00505632" w:rsidRDefault="00505632" w:rsidP="00AD4E52">
            <w:pPr>
              <w:pStyle w:val="CellColumn"/>
              <w:jc w:val="right"/>
            </w:pPr>
            <w:r>
              <w:rPr>
                <w:rFonts w:cs="Times New Roman"/>
              </w:rPr>
              <w:t>86,9</w:t>
            </w:r>
          </w:p>
        </w:tc>
        <w:tc>
          <w:tcPr>
            <w:tcW w:w="1224" w:type="dxa"/>
          </w:tcPr>
          <w:p w:rsidR="00505632" w:rsidRDefault="00505632" w:rsidP="00AD4E52">
            <w:pPr>
              <w:pStyle w:val="CellColumn"/>
              <w:jc w:val="right"/>
            </w:pPr>
            <w:r>
              <w:rPr>
                <w:rFonts w:cs="Times New Roman"/>
              </w:rPr>
              <w:t>112,3</w:t>
            </w:r>
          </w:p>
        </w:tc>
      </w:tr>
    </w:tbl>
    <w:p w:rsidR="00505632" w:rsidRDefault="00505632" w:rsidP="00505632">
      <w:pPr>
        <w:jc w:val="left"/>
      </w:pPr>
    </w:p>
    <w:p w:rsidR="00505632" w:rsidRDefault="00505632" w:rsidP="00505632">
      <w:r>
        <w:t xml:space="preserve">Europska teritorijalna suradnja odnosi se na stvaranje podloge za razvoj koordinirane, sustavne i strateški usmjerene suradnje na lokalnoj, regionalnoj i središnjoj državnoj razini, s partnerima iz susjednih zemalja i ostalih regija Europske unije, kako bi se kroz zajednički pristup na odgovarajućoj administrativno-teritorijalnoj razini smanjio negativan utjecaj granica i promovirala društveno-gospodarska kohezija.   </w:t>
      </w:r>
    </w:p>
    <w:p w:rsidR="00505632" w:rsidRDefault="00505632" w:rsidP="00505632">
      <w:r>
        <w:t xml:space="preserve">Geopolitički i geostrateški položaj Republike Hrvatske daju izrazito veliko značenje ovom cilju. Jedinstven oblik Republike Hrvatske i dugačka granica sa susjednim državama pružaju čvrste osnove za uključivanje u programe prekogranične suradnje. Gotovo sve županije, osim Bjelovarsko-bilogorske, Požeško-slavonske i Grada Zagreba, dijele granicu s drugim državama te su prihvatljive za uključivanje u prekogranične programe suradnje, dok je za sudjelovanje u programima transnacionalne i međuregionalne suradnje prihvatljiv cjelokupan teritorij Republike Hrvatske.   </w:t>
      </w:r>
    </w:p>
    <w:p w:rsidR="00505632" w:rsidRDefault="00505632" w:rsidP="00505632">
      <w:r>
        <w:t xml:space="preserve">U financijskom razdoblju 2007.-2013. Republika Hrvatska je sudjelovala u 6 prekograničnih programa (Jadranska prekogranična suradnja, Mađarska – Hrvatska, Slovenija – Hrvatska, Hrvatska – Bosna i Hercegovina, Hrvatska – Crna Gora i Hrvatska – Srbija) i 2 transnacionalna programa (Jugoistočna Europa i Mediteran). Dok je sudjelovanje u transnacionalnim programima u pretpristupnom razdoblju bilo ograničeno u smislu raspoložive IPA alokacije i mogućnosti preuzimanja vodeće uloge u projektima, u programima prekogranične suradnje Republika Hrvatska je sudjelovala u punom kapacitetu kao i države članice Europske unije te je imala jednaka prava i obveze.   </w:t>
      </w:r>
    </w:p>
    <w:p w:rsidR="00505632" w:rsidRDefault="00505632" w:rsidP="00505632">
      <w:r>
        <w:t xml:space="preserve">U financijskom razdoblju 2014.-2020. Republika Hrvatska sudjeluje u 5 programa prekogranične suradnje, s tim da je po prvi puta, kao zemlja članica Europske unije, preuzela ulogu upravljačkog tijela za 2 programa prekogranične suradnje s državama nečlanicama Europske unije (IPA program prekogranične suradnje Hrvatska – Bosna i Hercegovina – Crna Gora i IPA program prekogranične suradnje Hrvatska – Srbija). Sukladno Uredbi o tijelima u sustavima upravljanja i kontrole za provedbu programa kojima se podržava cilj „Europska teritorijalna suradnja“ u financijskom razdoblju 2014.-2020.,upravljačko tijelo navedenih programa je Agencija za regionalni razvoj RH, dok je MRRFEU tijelo za ovjeravanje i nacionalno tijelo. U ulozi tijela za ovjeravanje MRRFEU je odgovorno za primanje uplata od Europske komisije i provođenje isplata vodećim projektnim partnerima. Ovjeravanjem troškova i podnošenjem zahtjeva za plaćanje Europskoj komisiji potvrđuje da su prijavljeni izdaci u skladu s EU, programskim i nacionalnim pravilima. </w:t>
      </w:r>
    </w:p>
    <w:p w:rsidR="00505632" w:rsidRDefault="00505632" w:rsidP="00505632">
      <w:r>
        <w:t xml:space="preserve">Uz spomenuta dva programa, Republika Hrvatska sudjeluje u još tri bilateralna programa s državama članicama Europske unije (Italija – Hrvatska, Slovenija – Hrvatska i Mađarska – Hrvatska) čije upravljanje vodi Talijanska Republika, Republika Slovenija odnosno Mađarska.   </w:t>
      </w:r>
    </w:p>
    <w:p w:rsidR="00505632" w:rsidRDefault="00505632" w:rsidP="00505632">
      <w:r>
        <w:t xml:space="preserve">Sukladno spomenutoj Uredbi, MRRFEU kao nacionalno tijelo predstavlja Republiku Hrvatsku u svim programima transnacionalne suradnje u kojima Hrvatska sudjeluje i u dva programa međuregionalne suradnje (INTERACT III i INTERREG EUROPE) te je odgovorno za uspostavu i funkcioniranje sustava upravljanja i kontrole na nacionalnoj razini. U skladu s istom Uredbom, nacionalno tijelo za preostala dva programa međuregionalne suradnje (ESPON i URBACT) je Ministarstvo graditeljstva i prostornoga uređenja.  </w:t>
      </w:r>
    </w:p>
    <w:p w:rsidR="00505632" w:rsidRDefault="00505632" w:rsidP="00505632">
      <w:r>
        <w:t xml:space="preserve">Prekogranična, transnacionalna i međuregionalna suradnja važan su element u politici gospodarske i društvene kohezije Europske unije te doprinose ispunjenju sveukupnih ciljeva politike regionalnog razvoja Republike Hrvatske.    </w:t>
      </w:r>
    </w:p>
    <w:p w:rsidR="00505632" w:rsidRDefault="00505632" w:rsidP="00505632">
      <w:r>
        <w:t>Sam proces programiranja i provedbe projekata značajno će doprinositi ostvarenju posebnog cilja posebno kroz organizaciju radionica, konferencija i partnerskih konzultacija što jasno prikazuju pokazatelji rezultata po pitanju organiziranih radionica te broja hrvatskih prijavitelja.</w:t>
      </w:r>
    </w:p>
    <w:p w:rsidR="00505632" w:rsidRDefault="00505632" w:rsidP="00505632">
      <w:pPr>
        <w:pStyle w:val="Heading8"/>
        <w:jc w:val="left"/>
      </w:pPr>
      <w:r>
        <w:t>Cilj 1. Razvoj teritorijalne suradnje</w:t>
      </w:r>
    </w:p>
    <w:p w:rsidR="00505632" w:rsidRDefault="00505632" w:rsidP="00505632">
      <w:pPr>
        <w:pStyle w:val="Heading8"/>
        <w:jc w:val="left"/>
      </w:pPr>
      <w:r>
        <w:t>Opis provedbe cilja programa</w:t>
      </w:r>
    </w:p>
    <w:p w:rsidR="00505632" w:rsidRDefault="00505632" w:rsidP="00505632">
      <w:r>
        <w:t xml:space="preserve">Cilj Razvoj teritorijalne suradnje odnosi se na stvaranje podloge za razvoj koordinirane, sustavne i strateški usmjerene suradnje na lokalnoj, regionalnoj i središnjoj državnoj razini, s partnerima iz susjednih zemalja i ostalih regija Europske unije, kako bi se kroz zajednički pristup na odgovarajućoj administrativno-teritorijalnoj razini smanjio negativan utjecaj granica i promovirala društveno-gospodarska kohezija.   </w:t>
      </w:r>
    </w:p>
    <w:p w:rsidR="00505632" w:rsidRDefault="00505632" w:rsidP="00505632">
      <w:r>
        <w:t>Cilj će se ostvariti jačanjem prekogranične, transnacionalne i međuregionalne suradnje putem zajedničkih lokalnih, regionalnih i nacionalnih inicijativa, odnosno provedbom i završetkom programa prekogranične i transnacionalne suradnje u kojima je Republika Hrvatska sudjelovala u razdoblju 2007.-2013. te uključivanjem u nove prekogranične, transnacionalne i međuregionalne programe suradnje u razdoblju 2014.-2020.</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25"/>
        <w:gridCol w:w="2514"/>
        <w:gridCol w:w="1013"/>
        <w:gridCol w:w="1017"/>
        <w:gridCol w:w="1103"/>
        <w:gridCol w:w="1017"/>
        <w:gridCol w:w="1017"/>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stope iskorištenosti sredstava po pojedinom prekograničnom i transnacionalnom programu</w:t>
            </w:r>
          </w:p>
        </w:tc>
        <w:tc>
          <w:tcPr>
            <w:tcW w:w="2551" w:type="dxa"/>
          </w:tcPr>
          <w:p w:rsidR="00505632" w:rsidRDefault="00505632" w:rsidP="00AD4E52">
            <w:pPr>
              <w:pStyle w:val="CellColumn"/>
              <w:jc w:val="left"/>
            </w:pPr>
            <w:r>
              <w:rPr>
                <w:rFonts w:cs="Times New Roman"/>
              </w:rPr>
              <w:t>Stopa iskorištenosti sredstava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Programska izvješća, monitoring izvješća, evaluacijska izvješća</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50</w:t>
            </w:r>
          </w:p>
        </w:tc>
      </w:tr>
    </w:tbl>
    <w:p w:rsidR="00505632" w:rsidRDefault="00505632" w:rsidP="00505632">
      <w:pPr>
        <w:jc w:val="left"/>
      </w:pPr>
    </w:p>
    <w:p w:rsidR="00505632" w:rsidRDefault="00505632" w:rsidP="00505632">
      <w:pPr>
        <w:pStyle w:val="Heading4"/>
      </w:pPr>
      <w:r>
        <w:t>A680031 PROGRAM TRANSNACIONALNE SURADNJE  SREDIŠNJA EUROPA</w:t>
      </w:r>
    </w:p>
    <w:tbl>
      <w:tblPr>
        <w:tblStyle w:val="StilTablice"/>
        <w:tblW w:w="10206" w:type="dxa"/>
        <w:jc w:val="center"/>
        <w:tblLook w:val="04A0" w:firstRow="1" w:lastRow="0" w:firstColumn="1" w:lastColumn="0" w:noHBand="0" w:noVBand="1"/>
      </w:tblPr>
      <w:tblGrid>
        <w:gridCol w:w="2082"/>
        <w:gridCol w:w="1910"/>
        <w:gridCol w:w="1901"/>
        <w:gridCol w:w="1910"/>
        <w:gridCol w:w="1196"/>
        <w:gridCol w:w="120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A680031-PROGRAM TRANSNACIONALNE SURADNJE  SREDIŠNJA EUROPA</w:t>
            </w:r>
          </w:p>
        </w:tc>
        <w:tc>
          <w:tcPr>
            <w:tcW w:w="2041" w:type="dxa"/>
          </w:tcPr>
          <w:p w:rsidR="00505632" w:rsidRDefault="00505632" w:rsidP="00AD4E52">
            <w:pPr>
              <w:pStyle w:val="CellColumn"/>
              <w:jc w:val="right"/>
            </w:pPr>
            <w:r>
              <w:rPr>
                <w:rFonts w:cs="Times New Roman"/>
              </w:rPr>
              <w:t>206.352</w:t>
            </w:r>
          </w:p>
        </w:tc>
        <w:tc>
          <w:tcPr>
            <w:tcW w:w="2041" w:type="dxa"/>
          </w:tcPr>
          <w:p w:rsidR="00505632" w:rsidRDefault="00505632" w:rsidP="00AD4E52">
            <w:pPr>
              <w:pStyle w:val="CellColumn"/>
              <w:jc w:val="right"/>
            </w:pPr>
            <w:r>
              <w:rPr>
                <w:rFonts w:cs="Times New Roman"/>
              </w:rPr>
              <w:t>127.700</w:t>
            </w:r>
          </w:p>
        </w:tc>
        <w:tc>
          <w:tcPr>
            <w:tcW w:w="2041" w:type="dxa"/>
          </w:tcPr>
          <w:p w:rsidR="00505632" w:rsidRDefault="00505632" w:rsidP="00AD4E52">
            <w:pPr>
              <w:pStyle w:val="CellColumn"/>
              <w:jc w:val="right"/>
            </w:pPr>
            <w:r>
              <w:rPr>
                <w:rFonts w:cs="Times New Roman"/>
              </w:rPr>
              <w:t>121.815</w:t>
            </w:r>
          </w:p>
        </w:tc>
        <w:tc>
          <w:tcPr>
            <w:tcW w:w="1224" w:type="dxa"/>
          </w:tcPr>
          <w:p w:rsidR="00505632" w:rsidRDefault="00505632" w:rsidP="00AD4E52">
            <w:pPr>
              <w:pStyle w:val="CellColumn"/>
              <w:jc w:val="right"/>
            </w:pPr>
            <w:r>
              <w:rPr>
                <w:rFonts w:cs="Times New Roman"/>
              </w:rPr>
              <w:t>95,4</w:t>
            </w:r>
          </w:p>
        </w:tc>
        <w:tc>
          <w:tcPr>
            <w:tcW w:w="1224" w:type="dxa"/>
          </w:tcPr>
          <w:p w:rsidR="00505632" w:rsidRDefault="00505632" w:rsidP="00AD4E52">
            <w:pPr>
              <w:pStyle w:val="CellColumn"/>
              <w:jc w:val="right"/>
            </w:pPr>
            <w:r>
              <w:rPr>
                <w:rFonts w:cs="Times New Roman"/>
              </w:rPr>
              <w:t>59,0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uspostavi institucionalnog okvira za provedbu Europskih strukturnih i investicijskih fondova u Republici Hrvatskoj u financijskom razdoblju 2014. – 2020. (NN 92/2014), članak 4., stavak 2., točka 2 </w:t>
      </w:r>
    </w:p>
    <w:p w:rsidR="00505632" w:rsidRDefault="00505632" w:rsidP="00505632">
      <w:r>
        <w:t xml:space="preserve">2. Uredba o tijelima u sustavima upravljanja i kontrole za provedbu programa kojima se podržava cilj »Europska teritorijalna suradnja« u financijskom razdoblju 2014. – 2020. (NN 120/2014) - članak 4., stavak 3., točke 17. i 19. </w:t>
      </w:r>
    </w:p>
    <w:p w:rsidR="00505632" w:rsidRDefault="00505632" w:rsidP="00505632">
      <w:r>
        <w:t xml:space="preserve">3. Program suradnje odobren od strane Europske komisije 16. prosinca 2014. (prioritetna os 5, Tehnička pomoć) </w:t>
      </w:r>
    </w:p>
    <w:p w:rsidR="00505632" w:rsidRDefault="00505632" w:rsidP="00505632">
      <w:r>
        <w:t xml:space="preserve">4. Suglasnost na program suradnje i utvrđeno nacionalno sufinanciranje programa od 28. svibnja 2014. </w:t>
      </w:r>
    </w:p>
    <w:p w:rsidR="00505632" w:rsidRDefault="00505632" w:rsidP="00505632">
      <w:r>
        <w:t>5. Programski dokumenti - priručnik za tehničku pomoć</w:t>
      </w:r>
    </w:p>
    <w:p w:rsidR="00505632" w:rsidRDefault="00505632" w:rsidP="00505632">
      <w:pPr>
        <w:pStyle w:val="Heading8"/>
        <w:jc w:val="left"/>
      </w:pPr>
      <w:r>
        <w:t>Opis aktivnosti</w:t>
      </w:r>
    </w:p>
    <w:p w:rsidR="00505632" w:rsidRDefault="00505632" w:rsidP="00505632">
      <w:r>
        <w:t xml:space="preserve">Program transnacionalne suradnje Središnja Europa nastavak je programa iz razdoblja 2007. – 2013. u kojem u razdoblju 2014. – 2020. sudjeluje i Republika Hrvatska. Programsko područje obuhvaća 9 država članica Europske unije: Hrvatsku, Austriju, Sloveniju, Mađarsku, Slovačku, Češku, Poljsku, Njemačku i Italiju.   </w:t>
      </w:r>
    </w:p>
    <w:p w:rsidR="00505632" w:rsidRDefault="00505632" w:rsidP="00505632">
      <w:r>
        <w:t xml:space="preserve">Program će biti usredotočen na istraživanje, razvoj, inovacije, smanjenje emisije ugljičnog dioksida, prirodno i kulturno nasljeđe te transport u području obuhvaćenom programom.   </w:t>
      </w:r>
    </w:p>
    <w:p w:rsidR="00505632" w:rsidRDefault="00505632" w:rsidP="00505632">
      <w:r>
        <w:t>Kroz aktivnost je izvršena uplata obveznog nacionalnog sufinanciranja za prioritet tehničke pomoći za 2016. godinu te su plaćeni troškovi službenih putovanja vezanih uz sudjelovanje na programskim sastancima. U 2016. godini održana je jedna informativna radionica za potencijalne hrvatske prijavitelje, jedna implementacijska radionica za hrvatske projektne partnere 1. poziva na dostavu projektnih prijedloga, jedan sastanak Odbora za praćenje i jedan sastanak nacionalnih kontakt točaka. Također je održan i prvi sastanak radne grupe za evaluaciju programa. 2. poziv na dostavu projektnih prijedloga objavljen je u 2016. godini, no nije donesena odluka o financiranju.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Odbora za praćenje (kumulativ)</w:t>
            </w:r>
          </w:p>
        </w:tc>
        <w:tc>
          <w:tcPr>
            <w:tcW w:w="2551" w:type="dxa"/>
          </w:tcPr>
          <w:p w:rsidR="00505632" w:rsidRDefault="00505632" w:rsidP="00AD4E52">
            <w:pPr>
              <w:pStyle w:val="CellColumn"/>
              <w:jc w:val="left"/>
            </w:pPr>
            <w:r>
              <w:rPr>
                <w:rFonts w:cs="Times New Roman"/>
              </w:rPr>
              <w:t>Broj održanih informativnih i edukativnih radionica, konferencija, sastanaka Odbora za praćenje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9</w:t>
            </w:r>
          </w:p>
        </w:tc>
      </w:tr>
      <w:tr w:rsidR="00505632" w:rsidTr="00AD4E52">
        <w:trPr>
          <w:jc w:val="center"/>
        </w:trPr>
        <w:tc>
          <w:tcPr>
            <w:tcW w:w="2551" w:type="dxa"/>
          </w:tcPr>
          <w:p w:rsidR="00505632" w:rsidRDefault="00505632" w:rsidP="00AD4E52">
            <w:pPr>
              <w:pStyle w:val="CellColumn"/>
              <w:jc w:val="left"/>
            </w:pPr>
            <w:r>
              <w:rPr>
                <w:rFonts w:cs="Times New Roman"/>
              </w:rPr>
              <w:t>Broj objavljenih poziva na dostavu projektnih prijedloga (kumulativ)</w:t>
            </w:r>
          </w:p>
        </w:tc>
        <w:tc>
          <w:tcPr>
            <w:tcW w:w="2551" w:type="dxa"/>
          </w:tcPr>
          <w:p w:rsidR="00505632" w:rsidRDefault="00505632" w:rsidP="00AD4E52">
            <w:pPr>
              <w:pStyle w:val="CellColumn"/>
              <w:jc w:val="left"/>
            </w:pPr>
            <w:r>
              <w:rPr>
                <w:rFonts w:cs="Times New Roman"/>
              </w:rPr>
              <w:t>Pozivi na dostavu projektnih prijedloga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 xml:space="preserve">Broj prijavljenih projektnih  </w:t>
            </w:r>
          </w:p>
          <w:p w:rsidR="00505632" w:rsidRDefault="00505632" w:rsidP="00AD4E52">
            <w:pPr>
              <w:pStyle w:val="CellColumn"/>
              <w:jc w:val="left"/>
            </w:pPr>
            <w:r>
              <w:rPr>
                <w:rFonts w:cs="Times New Roman"/>
              </w:rPr>
              <w:t>prijedloga s uključenim hrvatskim prijaviteljima na natječaje (kumulativ)</w:t>
            </w:r>
          </w:p>
        </w:tc>
        <w:tc>
          <w:tcPr>
            <w:tcW w:w="2551" w:type="dxa"/>
          </w:tcPr>
          <w:p w:rsidR="00505632" w:rsidRDefault="00505632" w:rsidP="00AD4E52">
            <w:pPr>
              <w:pStyle w:val="CellColumn"/>
              <w:jc w:val="left"/>
            </w:pPr>
            <w:r>
              <w:rPr>
                <w:rFonts w:cs="Times New Roman"/>
              </w:rPr>
              <w:t>Projektni prijedlozi s uključenim hrvatskim prijaviteljima na natječaje (kumulativ)</w:t>
            </w:r>
            <w:r>
              <w:rPr>
                <w:rFonts w:cs="Times New Roman"/>
              </w:rPr>
              <w:tab/>
              <w:t>broj</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300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500</w:t>
            </w:r>
          </w:p>
        </w:tc>
        <w:tc>
          <w:tcPr>
            <w:tcW w:w="1020" w:type="dxa"/>
          </w:tcPr>
          <w:p w:rsidR="00505632" w:rsidRDefault="00505632" w:rsidP="00AD4E52">
            <w:pPr>
              <w:pStyle w:val="CellColumn"/>
              <w:jc w:val="right"/>
            </w:pPr>
            <w:r>
              <w:rPr>
                <w:rFonts w:cs="Times New Roman"/>
              </w:rPr>
              <w:t>427</w:t>
            </w:r>
          </w:p>
        </w:tc>
      </w:tr>
      <w:tr w:rsidR="00505632" w:rsidTr="00AD4E52">
        <w:trPr>
          <w:jc w:val="center"/>
        </w:trPr>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1020" w:type="dxa"/>
          </w:tcPr>
          <w:p w:rsidR="00505632" w:rsidRDefault="00505632" w:rsidP="00AD4E52">
            <w:pPr>
              <w:pStyle w:val="CellColumn"/>
              <w:jc w:val="right"/>
            </w:pPr>
            <w:r>
              <w:rPr>
                <w:rFonts w:cs="Times New Roman"/>
              </w:rPr>
              <w:t>milijuni EUR</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6,5</w:t>
            </w:r>
          </w:p>
        </w:tc>
        <w:tc>
          <w:tcPr>
            <w:tcW w:w="1020" w:type="dxa"/>
          </w:tcPr>
          <w:p w:rsidR="00505632" w:rsidRDefault="00505632" w:rsidP="00AD4E52">
            <w:pPr>
              <w:pStyle w:val="CellColumn"/>
              <w:jc w:val="right"/>
            </w:pPr>
            <w:r>
              <w:rPr>
                <w:rFonts w:cs="Times New Roman"/>
              </w:rPr>
              <w:t>4,8</w:t>
            </w:r>
          </w:p>
        </w:tc>
      </w:tr>
    </w:tbl>
    <w:p w:rsidR="00505632" w:rsidRDefault="00505632" w:rsidP="00505632">
      <w:pPr>
        <w:jc w:val="left"/>
      </w:pPr>
    </w:p>
    <w:p w:rsidR="00505632" w:rsidRDefault="00505632" w:rsidP="00505632">
      <w:pPr>
        <w:pStyle w:val="Heading4"/>
      </w:pPr>
      <w:r>
        <w:t>A758030 PROGRAM MEĐUREGIONALNE SURADNJE INTERREG EUROPE</w:t>
      </w:r>
    </w:p>
    <w:tbl>
      <w:tblPr>
        <w:tblStyle w:val="StilTablice"/>
        <w:tblW w:w="10206" w:type="dxa"/>
        <w:jc w:val="center"/>
        <w:tblLook w:val="04A0" w:firstRow="1" w:lastRow="0" w:firstColumn="1" w:lastColumn="0" w:noHBand="0" w:noVBand="1"/>
      </w:tblPr>
      <w:tblGrid>
        <w:gridCol w:w="1992"/>
        <w:gridCol w:w="1939"/>
        <w:gridCol w:w="1923"/>
        <w:gridCol w:w="1939"/>
        <w:gridCol w:w="1202"/>
        <w:gridCol w:w="121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A758030-PROGRAM MEĐUREGIONALNE SURADNJE INTERREG EUROPE</w:t>
            </w:r>
          </w:p>
        </w:tc>
        <w:tc>
          <w:tcPr>
            <w:tcW w:w="2041" w:type="dxa"/>
          </w:tcPr>
          <w:p w:rsidR="00505632" w:rsidRDefault="00505632" w:rsidP="00AD4E52">
            <w:pPr>
              <w:pStyle w:val="CellColumn"/>
              <w:jc w:val="right"/>
            </w:pPr>
            <w:r>
              <w:rPr>
                <w:rFonts w:cs="Times New Roman"/>
              </w:rPr>
              <w:t>153.175</w:t>
            </w:r>
          </w:p>
        </w:tc>
        <w:tc>
          <w:tcPr>
            <w:tcW w:w="2041" w:type="dxa"/>
          </w:tcPr>
          <w:p w:rsidR="00505632" w:rsidRDefault="00505632" w:rsidP="00AD4E52">
            <w:pPr>
              <w:pStyle w:val="CellColumn"/>
              <w:jc w:val="right"/>
            </w:pPr>
            <w:r>
              <w:rPr>
                <w:rFonts w:cs="Times New Roman"/>
              </w:rPr>
              <w:t>90.638</w:t>
            </w:r>
          </w:p>
        </w:tc>
        <w:tc>
          <w:tcPr>
            <w:tcW w:w="2041" w:type="dxa"/>
          </w:tcPr>
          <w:p w:rsidR="00505632" w:rsidRDefault="00505632" w:rsidP="00AD4E52">
            <w:pPr>
              <w:pStyle w:val="CellColumn"/>
              <w:jc w:val="right"/>
            </w:pPr>
            <w:r>
              <w:rPr>
                <w:rFonts w:cs="Times New Roman"/>
              </w:rPr>
              <w:t>87.099</w:t>
            </w:r>
          </w:p>
        </w:tc>
        <w:tc>
          <w:tcPr>
            <w:tcW w:w="1224" w:type="dxa"/>
          </w:tcPr>
          <w:p w:rsidR="00505632" w:rsidRDefault="00505632" w:rsidP="00AD4E52">
            <w:pPr>
              <w:pStyle w:val="CellColumn"/>
              <w:jc w:val="right"/>
            </w:pPr>
            <w:r>
              <w:rPr>
                <w:rFonts w:cs="Times New Roman"/>
              </w:rPr>
              <w:t>96,1</w:t>
            </w:r>
          </w:p>
        </w:tc>
        <w:tc>
          <w:tcPr>
            <w:tcW w:w="1224" w:type="dxa"/>
          </w:tcPr>
          <w:p w:rsidR="00505632" w:rsidRDefault="00505632" w:rsidP="00AD4E52">
            <w:pPr>
              <w:pStyle w:val="CellColumn"/>
              <w:jc w:val="right"/>
            </w:pPr>
            <w:r>
              <w:rPr>
                <w:rFonts w:cs="Times New Roman"/>
              </w:rPr>
              <w:t>56,9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uspostavi institucionalnog okvira za provedbu Europskih strukturnih i investicijskih fondova u Republici Hrvatskoj u financijskom razdoblju 2014. – 2020. (NN 92/2014), članak 4., stavak 2., točka 2 </w:t>
      </w:r>
    </w:p>
    <w:p w:rsidR="00505632" w:rsidRDefault="00505632" w:rsidP="00505632">
      <w:r>
        <w:t xml:space="preserve">2. Uredba o tijelima u sustavima upravljanja i kontrole za provedbu programa kojima se podržava cilj »Europska teritorijalna suradnja« u financijskom razdoblju 2014. – 2020. (NN 120/2014) - članak 4., stavak 3., točke 17. i 19. </w:t>
      </w:r>
    </w:p>
    <w:p w:rsidR="00505632" w:rsidRDefault="00505632" w:rsidP="00505632">
      <w:r>
        <w:t xml:space="preserve">3. Program suradnje odobren od strane Europske komisije 11. lipnja 2015. (prioritetna os 5, Tehnička pomoć) </w:t>
      </w:r>
    </w:p>
    <w:p w:rsidR="00505632" w:rsidRDefault="00505632" w:rsidP="00505632">
      <w:r>
        <w:t xml:space="preserve">4. Suglasnost na program suradnje i utvrđeno nacionalno sufinanciranje programa od 13. lipnja 2014. </w:t>
      </w:r>
    </w:p>
    <w:p w:rsidR="00505632" w:rsidRDefault="00505632" w:rsidP="00505632">
      <w:r>
        <w:t>5. Programski dokumenti - priručnik za tehničku pomoć</w:t>
      </w:r>
    </w:p>
    <w:p w:rsidR="00505632" w:rsidRDefault="00505632" w:rsidP="00505632">
      <w:pPr>
        <w:pStyle w:val="Heading8"/>
        <w:jc w:val="left"/>
      </w:pPr>
      <w:r>
        <w:t>Opis aktivnosti</w:t>
      </w:r>
    </w:p>
    <w:p w:rsidR="00505632" w:rsidRDefault="00505632" w:rsidP="00505632">
      <w:r>
        <w:t xml:space="preserve">Program INTERREG EUROPE je nastavak programa INTERREG IV C koji se provodio u razdoblju 2007. – 2013., u kojem su sudjelovale sve države EU (EU-27) te Norveška i  u kojem su sudjelovale sve države EU (EU-27) te Norveška i Švicarska. U novom financijskom razdoblju 2014. – 2020. u programu sudjeluje i Republika Hrvatska.   </w:t>
      </w:r>
    </w:p>
    <w:p w:rsidR="00505632" w:rsidRDefault="00505632" w:rsidP="00505632">
      <w:r>
        <w:t xml:space="preserve">Program je namijenjen razmjeni iskustava upravljačkih i provedbenih tijela nacionalnih operativnih programa te razmjenu dobre prakse u području zaštite okoliša, prometa i energetskog sektora.  </w:t>
      </w:r>
    </w:p>
    <w:p w:rsidR="00505632" w:rsidRDefault="00505632" w:rsidP="00505632">
      <w:r>
        <w:t>Kroz aktivnost je izvršena uplata obveznog nacionalnog sufinanciranja za prioritet tehničke pomoći za 2016. godinu te su plaćeni troškovi službenih putovanja vezanih uz sudjelovanje na programskim sastancima. U 2016. godini održana je jedna informativna radionica za potencijalne hrvatske prijavitelje, jedna implementacijska radionica za hrvatske projektne partnere, tri sastanka Odbora za praćenje i jedan sastanak nacionalnih kontakt točaka.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Odbora za praćenje (kumulativ)</w:t>
            </w:r>
          </w:p>
        </w:tc>
        <w:tc>
          <w:tcPr>
            <w:tcW w:w="2551" w:type="dxa"/>
          </w:tcPr>
          <w:p w:rsidR="00505632" w:rsidRDefault="00505632" w:rsidP="00AD4E52">
            <w:pPr>
              <w:pStyle w:val="CellColumn"/>
              <w:jc w:val="left"/>
            </w:pPr>
            <w:r>
              <w:rPr>
                <w:rFonts w:cs="Times New Roman"/>
              </w:rPr>
              <w:t>Broj održanih informativnih i edukativnih radionica, konferencija, sastanaka Odbora za praćenje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6</w:t>
            </w:r>
          </w:p>
        </w:tc>
        <w:tc>
          <w:tcPr>
            <w:tcW w:w="1020" w:type="dxa"/>
          </w:tcPr>
          <w:p w:rsidR="00505632" w:rsidRDefault="00505632" w:rsidP="00AD4E52">
            <w:pPr>
              <w:pStyle w:val="CellColumn"/>
              <w:jc w:val="right"/>
            </w:pPr>
            <w:r>
              <w:rPr>
                <w:rFonts w:cs="Times New Roman"/>
              </w:rPr>
              <w:t>9</w:t>
            </w:r>
          </w:p>
        </w:tc>
      </w:tr>
      <w:tr w:rsidR="00505632" w:rsidTr="00AD4E52">
        <w:trPr>
          <w:jc w:val="center"/>
        </w:trPr>
        <w:tc>
          <w:tcPr>
            <w:tcW w:w="2551" w:type="dxa"/>
          </w:tcPr>
          <w:p w:rsidR="00505632" w:rsidRDefault="00505632" w:rsidP="00AD4E52">
            <w:pPr>
              <w:pStyle w:val="CellColumn"/>
              <w:jc w:val="left"/>
            </w:pPr>
            <w:r>
              <w:rPr>
                <w:rFonts w:cs="Times New Roman"/>
              </w:rPr>
              <w:t>Broj objavljenih poziva na dostavu projektnih prijedloga (kumulativ)</w:t>
            </w:r>
          </w:p>
        </w:tc>
        <w:tc>
          <w:tcPr>
            <w:tcW w:w="2551" w:type="dxa"/>
          </w:tcPr>
          <w:p w:rsidR="00505632" w:rsidRDefault="00505632" w:rsidP="00AD4E52">
            <w:pPr>
              <w:pStyle w:val="CellColumn"/>
              <w:jc w:val="left"/>
            </w:pPr>
            <w:r>
              <w:rPr>
                <w:rFonts w:cs="Times New Roman"/>
              </w:rPr>
              <w:t>Objavljeni pozivi na dostavu projektnih prijedloga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Broj prijavljenih projektnih prijedloga s uključenim hrvatskim prijaviteljima na natječaje (kumulativ</w:t>
            </w:r>
          </w:p>
        </w:tc>
        <w:tc>
          <w:tcPr>
            <w:tcW w:w="2551" w:type="dxa"/>
          </w:tcPr>
          <w:p w:rsidR="00505632" w:rsidRDefault="00505632" w:rsidP="00AD4E52">
            <w:pPr>
              <w:pStyle w:val="CellColumn"/>
              <w:jc w:val="left"/>
            </w:pPr>
            <w:r>
              <w:rPr>
                <w:rFonts w:cs="Times New Roman"/>
              </w:rPr>
              <w:t>Projektni prijedlozi s uključenim hrvatskim prijaviteljima na natječaje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150</w:t>
            </w:r>
          </w:p>
        </w:tc>
        <w:tc>
          <w:tcPr>
            <w:tcW w:w="1020" w:type="dxa"/>
          </w:tcPr>
          <w:p w:rsidR="00505632" w:rsidRDefault="00505632" w:rsidP="00AD4E52">
            <w:pPr>
              <w:pStyle w:val="CellColumn"/>
              <w:jc w:val="right"/>
            </w:pPr>
            <w:r>
              <w:rPr>
                <w:rFonts w:cs="Times New Roman"/>
              </w:rPr>
              <w:t>75</w:t>
            </w:r>
          </w:p>
        </w:tc>
      </w:tr>
      <w:tr w:rsidR="00505632" w:rsidTr="00AD4E52">
        <w:trPr>
          <w:jc w:val="center"/>
        </w:trPr>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1020" w:type="dxa"/>
          </w:tcPr>
          <w:p w:rsidR="00505632" w:rsidRDefault="00505632" w:rsidP="00AD4E52">
            <w:pPr>
              <w:pStyle w:val="CellColumn"/>
              <w:jc w:val="right"/>
            </w:pPr>
            <w:r>
              <w:rPr>
                <w:rFonts w:cs="Times New Roman"/>
              </w:rPr>
              <w:t>milijuni EUR</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0,7</w:t>
            </w:r>
          </w:p>
        </w:tc>
        <w:tc>
          <w:tcPr>
            <w:tcW w:w="1020" w:type="dxa"/>
          </w:tcPr>
          <w:p w:rsidR="00505632" w:rsidRDefault="00505632" w:rsidP="00AD4E52">
            <w:pPr>
              <w:pStyle w:val="CellColumn"/>
              <w:jc w:val="right"/>
            </w:pPr>
            <w:r>
              <w:rPr>
                <w:rFonts w:cs="Times New Roman"/>
              </w:rPr>
              <w:t>1,7</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K828011 IPA II PROGRAM PREKOGRANIČNE SURADNJE HRVATSKA-MAĐARSKA</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K828011-IPA II PROGRAM PREKOGRANIČNE SURADNJE HRVATSKA-MAĐARSKA</w:t>
            </w:r>
          </w:p>
        </w:tc>
        <w:tc>
          <w:tcPr>
            <w:tcW w:w="2041" w:type="dxa"/>
          </w:tcPr>
          <w:p w:rsidR="00505632" w:rsidRDefault="00505632" w:rsidP="00AD4E52">
            <w:pPr>
              <w:pStyle w:val="CellColumn"/>
              <w:jc w:val="right"/>
            </w:pPr>
            <w:r>
              <w:rPr>
                <w:rFonts w:cs="Times New Roman"/>
              </w:rPr>
              <w:t>1.111.261</w:t>
            </w:r>
          </w:p>
        </w:tc>
        <w:tc>
          <w:tcPr>
            <w:tcW w:w="2041" w:type="dxa"/>
          </w:tcPr>
          <w:p w:rsidR="00505632" w:rsidRDefault="00505632" w:rsidP="00AD4E52">
            <w:pPr>
              <w:pStyle w:val="CellColumn"/>
              <w:jc w:val="right"/>
            </w:pPr>
            <w:r>
              <w:rPr>
                <w:rFonts w:cs="Times New Roman"/>
              </w:rPr>
              <w:t>4.535.692</w:t>
            </w:r>
          </w:p>
        </w:tc>
        <w:tc>
          <w:tcPr>
            <w:tcW w:w="2041" w:type="dxa"/>
          </w:tcPr>
          <w:p w:rsidR="00505632" w:rsidRDefault="00505632" w:rsidP="00AD4E52">
            <w:pPr>
              <w:pStyle w:val="CellColumn"/>
              <w:jc w:val="right"/>
            </w:pPr>
            <w:r>
              <w:rPr>
                <w:rFonts w:cs="Times New Roman"/>
              </w:rPr>
              <w:t>3.548.505</w:t>
            </w:r>
          </w:p>
        </w:tc>
        <w:tc>
          <w:tcPr>
            <w:tcW w:w="1224" w:type="dxa"/>
          </w:tcPr>
          <w:p w:rsidR="00505632" w:rsidRDefault="00505632" w:rsidP="00AD4E52">
            <w:pPr>
              <w:pStyle w:val="CellColumn"/>
              <w:jc w:val="right"/>
            </w:pPr>
            <w:r>
              <w:rPr>
                <w:rFonts w:cs="Times New Roman"/>
              </w:rPr>
              <w:t>78,2</w:t>
            </w:r>
          </w:p>
        </w:tc>
        <w:tc>
          <w:tcPr>
            <w:tcW w:w="1224" w:type="dxa"/>
          </w:tcPr>
          <w:p w:rsidR="00505632" w:rsidRDefault="00505632" w:rsidP="00AD4E52">
            <w:pPr>
              <w:pStyle w:val="CellColumn"/>
              <w:jc w:val="right"/>
            </w:pPr>
            <w:r>
              <w:rPr>
                <w:rFonts w:cs="Times New Roman"/>
              </w:rPr>
              <w:t>319,3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potvrđivanju Sporazuma o financiranju između Vlade Republike Hrvatske i Komisije Europskih zajednica koji se odnosi na »IPA prekogranični program Mađarska – Hrvatska« u okviru Instrumenta pretpristupne pomoći (Narodne novine, međunarodni ugovori, broj 10/2009) </w:t>
      </w:r>
    </w:p>
    <w:p w:rsidR="00505632" w:rsidRDefault="00505632" w:rsidP="00505632">
      <w:r>
        <w:t xml:space="preserve">2. Zakon o potvrđivanju Sporazuma o financiranju između Vlade Republike Hrvatske i Komisije Europskih zajednica koji se odnosi na »IPA prekogranični program Mađarska – Hrvatska« u okviru Instrumenta pretpristupne pomoći (Narodne novine, međunarodni ugovori, broj 8/2011, 11/2013)    </w:t>
      </w:r>
    </w:p>
    <w:p w:rsidR="00505632" w:rsidRDefault="00505632" w:rsidP="00505632">
      <w:r>
        <w:t xml:space="preserve">3. Uredba o opsegu i sadržaju odgovornosti te ovlastima tijela nadležnih za upravljanje Instrumentom pretpristupne pomoći (IPA) (NN 29/2012, 117/2012, 76/2013)  </w:t>
      </w:r>
    </w:p>
    <w:p w:rsidR="00505632" w:rsidRDefault="00505632" w:rsidP="00505632">
      <w:r>
        <w:t xml:space="preserve">4. Odluka o imenovanju osoba nadležnih za upravljanje Instrumentom pretpristupne pomoći (IPA) (NN 26/2012, 117/2012, 12/2013, 76/2013)  </w:t>
      </w:r>
    </w:p>
    <w:p w:rsidR="00505632" w:rsidRDefault="00505632" w:rsidP="00505632">
      <w:r>
        <w:t xml:space="preserve">5. Uredba o opsegu i sadržaju odgovornosti te ovlastima tijela nadležnih za upravljanje Instrumentom pretpristupne pomoći (IPA) (NN 155/2013)  </w:t>
      </w:r>
    </w:p>
    <w:p w:rsidR="00505632" w:rsidRDefault="00505632" w:rsidP="00505632">
      <w:r>
        <w:t xml:space="preserve">6. Odluka o imenovanju osoba nadležnih za upravljanje Instrumentom pretpristupne pomoći (IPA) (NN 155/2013)  </w:t>
      </w:r>
    </w:p>
    <w:p w:rsidR="00505632" w:rsidRDefault="00505632" w:rsidP="00505632">
      <w:r>
        <w:t xml:space="preserve">7. Uredba o opsegu i sadržaju odgovornosti te ovlastima tijela nadležnih za upravljanje Instrumentom pretpristupne pomoći i Prijelaznim instrumentom (IPA) (NN 84/2014, 78/2015)  </w:t>
      </w:r>
    </w:p>
    <w:p w:rsidR="00505632" w:rsidRDefault="00505632" w:rsidP="00505632">
      <w:r>
        <w:t>8. Odluka o imenovanju osoba nadležnih za upravljanje Instrumentom pretpristupne pomoći (IPA) i Prijelaznim instrumentom (NN 84/2014, 78/2015)</w:t>
      </w:r>
    </w:p>
    <w:p w:rsidR="00505632" w:rsidRDefault="00505632" w:rsidP="00505632">
      <w:pPr>
        <w:pStyle w:val="Heading8"/>
        <w:jc w:val="left"/>
      </w:pPr>
      <w:r>
        <w:t>Opis aktivnosti</w:t>
      </w:r>
    </w:p>
    <w:p w:rsidR="00505632" w:rsidRDefault="00505632" w:rsidP="00505632">
      <w:r>
        <w:t xml:space="preserve">Cilj ove aktivnosti je poticanje razvoja temeljenog na kulturi i znanju kroz uspješno upravljanje prirodnom i kulturnom baštinom, te intenzivne društveno-gospodarske interakcije između dviju strana u programski prihvatljivom području. Program se provodi kroz dva programska prioriteta: održivi okoliš i turizam, te razvoj gospodarske suradnje i zajedničkih ljudskih kapaciteta.  </w:t>
      </w:r>
    </w:p>
    <w:p w:rsidR="00505632" w:rsidRDefault="00505632" w:rsidP="00505632">
      <w:r>
        <w:t>Program je završio s provedbom s 31. prosinca 2016. godine. Najveći dio utrošenih sredstava odnosi se na uplatu Upravljačkom tijelu za osiguranje likvidnosti programa iznad 95% potrošnje do zaključne uplate Europske komisije. Ostatak je utrošen na aktivnosti kontrolnog tijela, nabavu opreme i promotivnog materijala te nacionalno sufinanciranje udruga koje sudjeluju u projektima. Neutrošena sredstva preostala na izvoru 51 vratit će se u državni proračun.</w:t>
      </w:r>
    </w:p>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Zajedničkog odbora za praćenje</w:t>
            </w:r>
          </w:p>
        </w:tc>
        <w:tc>
          <w:tcPr>
            <w:tcW w:w="2551" w:type="dxa"/>
          </w:tcPr>
          <w:p w:rsidR="00505632" w:rsidRDefault="00505632" w:rsidP="00AD4E52">
            <w:pPr>
              <w:pStyle w:val="CellColumn"/>
              <w:jc w:val="left"/>
            </w:pPr>
            <w:r>
              <w:rPr>
                <w:rFonts w:cs="Times New Roman"/>
              </w:rPr>
              <w:t>Broj održanih informativnih i edukativnih radionica, konferencija,sastanaka Zajedničkogodbora za raćenje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46</w:t>
            </w:r>
          </w:p>
        </w:tc>
        <w:tc>
          <w:tcPr>
            <w:tcW w:w="1020" w:type="dxa"/>
          </w:tcPr>
          <w:p w:rsidR="00505632" w:rsidRDefault="00505632" w:rsidP="00AD4E52">
            <w:pPr>
              <w:pStyle w:val="CellColumn"/>
              <w:jc w:val="right"/>
            </w:pPr>
            <w:r>
              <w:rPr>
                <w:rFonts w:cs="Times New Roman"/>
              </w:rPr>
              <w:t>48</w:t>
            </w:r>
          </w:p>
        </w:tc>
      </w:tr>
      <w:tr w:rsidR="00505632" w:rsidTr="00AD4E52">
        <w:trPr>
          <w:jc w:val="center"/>
        </w:trPr>
        <w:tc>
          <w:tcPr>
            <w:tcW w:w="2551" w:type="dxa"/>
          </w:tcPr>
          <w:p w:rsidR="00505632" w:rsidRDefault="00505632" w:rsidP="00AD4E52">
            <w:pPr>
              <w:pStyle w:val="CellColumn"/>
              <w:jc w:val="left"/>
            </w:pPr>
            <w:r>
              <w:rPr>
                <w:rFonts w:cs="Times New Roman"/>
              </w:rPr>
              <w:t>Povećanje broja prijavljenih projektnih prijedloga s uključenim hrvatskim prijaviteljima na natječaje (kumulativ)</w:t>
            </w:r>
          </w:p>
        </w:tc>
        <w:tc>
          <w:tcPr>
            <w:tcW w:w="2551" w:type="dxa"/>
          </w:tcPr>
          <w:p w:rsidR="00505632" w:rsidRDefault="00505632" w:rsidP="00AD4E52">
            <w:pPr>
              <w:pStyle w:val="CellColumn"/>
              <w:jc w:val="left"/>
            </w:pPr>
            <w:r>
              <w:rPr>
                <w:rFonts w:cs="Times New Roman"/>
              </w:rPr>
              <w:t>Projektni prijedlozi s uključenim hrvatskim prijaviteljima na natječaje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210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370</w:t>
            </w:r>
          </w:p>
        </w:tc>
        <w:tc>
          <w:tcPr>
            <w:tcW w:w="1020" w:type="dxa"/>
          </w:tcPr>
          <w:p w:rsidR="00505632" w:rsidRDefault="00505632" w:rsidP="00AD4E52">
            <w:pPr>
              <w:pStyle w:val="CellColumn"/>
              <w:jc w:val="right"/>
            </w:pPr>
            <w:r>
              <w:rPr>
                <w:rFonts w:cs="Times New Roman"/>
              </w:rPr>
              <w:t>370</w:t>
            </w:r>
          </w:p>
        </w:tc>
      </w:tr>
      <w:tr w:rsidR="00505632" w:rsidTr="00AD4E52">
        <w:trPr>
          <w:jc w:val="center"/>
        </w:trPr>
        <w:tc>
          <w:tcPr>
            <w:tcW w:w="2551" w:type="dxa"/>
          </w:tcPr>
          <w:p w:rsidR="00505632" w:rsidRDefault="00505632" w:rsidP="00AD4E52">
            <w:pPr>
              <w:pStyle w:val="CellColumn"/>
              <w:jc w:val="left"/>
            </w:pPr>
            <w:r>
              <w:rPr>
                <w:rFonts w:cs="Times New Roman"/>
              </w:rPr>
              <w:t>Povećanje financijske vrijednosti ugovorenih projekata s hrvatskim partnerima (kumulativ)</w:t>
            </w:r>
          </w:p>
        </w:tc>
        <w:tc>
          <w:tcPr>
            <w:tcW w:w="2551" w:type="dxa"/>
          </w:tcPr>
          <w:p w:rsidR="00505632" w:rsidRDefault="00505632" w:rsidP="00AD4E52">
            <w:pPr>
              <w:pStyle w:val="CellColumn"/>
              <w:jc w:val="left"/>
            </w:pPr>
            <w:r>
              <w:rPr>
                <w:rFonts w:cs="Times New Roman"/>
              </w:rPr>
              <w:t>Ugovoreni projekti s hrvatskim partnerima (kumulativ)</w:t>
            </w:r>
          </w:p>
        </w:tc>
        <w:tc>
          <w:tcPr>
            <w:tcW w:w="1020" w:type="dxa"/>
          </w:tcPr>
          <w:p w:rsidR="00505632" w:rsidRDefault="00505632" w:rsidP="00AD4E52">
            <w:pPr>
              <w:pStyle w:val="CellColumn"/>
              <w:jc w:val="right"/>
            </w:pPr>
            <w:r>
              <w:rPr>
                <w:rFonts w:cs="Times New Roman"/>
              </w:rPr>
              <w:t>milijuni EUR</w:t>
            </w:r>
          </w:p>
        </w:tc>
        <w:tc>
          <w:tcPr>
            <w:tcW w:w="1020" w:type="dxa"/>
          </w:tcPr>
          <w:p w:rsidR="00505632" w:rsidRDefault="00505632" w:rsidP="00AD4E52">
            <w:pPr>
              <w:pStyle w:val="CellColumn"/>
              <w:jc w:val="right"/>
            </w:pPr>
            <w:r>
              <w:rPr>
                <w:rFonts w:cs="Times New Roman"/>
              </w:rPr>
              <w:t>18</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26</w:t>
            </w:r>
          </w:p>
        </w:tc>
        <w:tc>
          <w:tcPr>
            <w:tcW w:w="1020" w:type="dxa"/>
          </w:tcPr>
          <w:p w:rsidR="00505632" w:rsidRDefault="00505632" w:rsidP="00AD4E52">
            <w:pPr>
              <w:pStyle w:val="CellColumn"/>
              <w:jc w:val="right"/>
            </w:pPr>
            <w:r>
              <w:rPr>
                <w:rFonts w:cs="Times New Roman"/>
              </w:rPr>
              <w:t>27</w:t>
            </w:r>
          </w:p>
        </w:tc>
      </w:tr>
    </w:tbl>
    <w:p w:rsidR="00505632" w:rsidRDefault="00505632" w:rsidP="00505632">
      <w:pPr>
        <w:jc w:val="left"/>
      </w:pPr>
    </w:p>
    <w:p w:rsidR="00505632" w:rsidRDefault="00505632" w:rsidP="00505632">
      <w:pPr>
        <w:pStyle w:val="Heading4"/>
      </w:pPr>
      <w:r>
        <w:t>K828012 IPA II PROGRAM PREKOGRANIČNE SURADNJE SLOVENIJA-HRVATSKA</w:t>
      </w:r>
    </w:p>
    <w:tbl>
      <w:tblPr>
        <w:tblStyle w:val="StilTablice"/>
        <w:tblW w:w="10206" w:type="dxa"/>
        <w:jc w:val="center"/>
        <w:tblLook w:val="04A0" w:firstRow="1" w:lastRow="0" w:firstColumn="1" w:lastColumn="0" w:noHBand="0" w:noVBand="1"/>
      </w:tblPr>
      <w:tblGrid>
        <w:gridCol w:w="1803"/>
        <w:gridCol w:w="1990"/>
        <w:gridCol w:w="1993"/>
        <w:gridCol w:w="1990"/>
        <w:gridCol w:w="1213"/>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K828012-IPA II PROGRAM PREKOGRANIČNE SURADNJE SLOVENIJA-HRVATSKA</w:t>
            </w:r>
          </w:p>
        </w:tc>
        <w:tc>
          <w:tcPr>
            <w:tcW w:w="2041" w:type="dxa"/>
          </w:tcPr>
          <w:p w:rsidR="00505632" w:rsidRDefault="00505632" w:rsidP="00AD4E52">
            <w:pPr>
              <w:pStyle w:val="CellColumn"/>
              <w:jc w:val="right"/>
            </w:pPr>
            <w:r>
              <w:rPr>
                <w:rFonts w:cs="Times New Roman"/>
              </w:rPr>
              <w:t>770.532</w:t>
            </w:r>
          </w:p>
        </w:tc>
        <w:tc>
          <w:tcPr>
            <w:tcW w:w="2041" w:type="dxa"/>
          </w:tcPr>
          <w:p w:rsidR="00505632" w:rsidRDefault="00505632" w:rsidP="00AD4E52">
            <w:pPr>
              <w:pStyle w:val="CellColumn"/>
              <w:jc w:val="right"/>
            </w:pPr>
            <w:r>
              <w:rPr>
                <w:rFonts w:cs="Times New Roman"/>
              </w:rPr>
              <w:t>1.447.000</w:t>
            </w:r>
          </w:p>
        </w:tc>
        <w:tc>
          <w:tcPr>
            <w:tcW w:w="2041" w:type="dxa"/>
          </w:tcPr>
          <w:p w:rsidR="00505632" w:rsidRDefault="00505632" w:rsidP="00AD4E52">
            <w:pPr>
              <w:pStyle w:val="CellColumn"/>
              <w:jc w:val="right"/>
            </w:pPr>
            <w:r>
              <w:rPr>
                <w:rFonts w:cs="Times New Roman"/>
              </w:rPr>
              <w:t>662.699</w:t>
            </w:r>
          </w:p>
        </w:tc>
        <w:tc>
          <w:tcPr>
            <w:tcW w:w="1224" w:type="dxa"/>
          </w:tcPr>
          <w:p w:rsidR="00505632" w:rsidRDefault="00505632" w:rsidP="00AD4E52">
            <w:pPr>
              <w:pStyle w:val="CellColumn"/>
              <w:jc w:val="right"/>
            </w:pPr>
            <w:r>
              <w:rPr>
                <w:rFonts w:cs="Times New Roman"/>
              </w:rPr>
              <w:t>45,8</w:t>
            </w:r>
          </w:p>
        </w:tc>
        <w:tc>
          <w:tcPr>
            <w:tcW w:w="1224" w:type="dxa"/>
          </w:tcPr>
          <w:p w:rsidR="00505632" w:rsidRDefault="00505632" w:rsidP="00AD4E52">
            <w:pPr>
              <w:pStyle w:val="CellColumn"/>
              <w:jc w:val="right"/>
            </w:pPr>
            <w:r>
              <w:rPr>
                <w:rFonts w:cs="Times New Roman"/>
              </w:rPr>
              <w:t>86,0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potvrđivanju Sporazuma o financiranju između Vlade Republike Hrvatske i Komisije Europskih zajednica koji se odnosi na »IPA prekogranični program Slovenija – Hrvatska« u okviru Instrumenta pretpristupne pomoći (Narodne novine, međunarodni ugovori, broj 10/2009) </w:t>
      </w:r>
    </w:p>
    <w:p w:rsidR="00505632" w:rsidRDefault="00505632" w:rsidP="00505632">
      <w:r>
        <w:t xml:space="preserve">2. Zakon o potvrđivanju Sporazuma o financiranju između Vlade Republike Hrvatske i Europske komisije koji se odnosi na »IPA Program prekogranične suradnje Slovenija – Hrvatska« u okviru Instrumenta pretpristupne pomoći (NN MU 9/2011, 11/2013)       </w:t>
      </w:r>
    </w:p>
    <w:p w:rsidR="00505632" w:rsidRDefault="00505632" w:rsidP="00505632">
      <w:r>
        <w:t xml:space="preserve">3. Uredba o opsegu i sadržaju odgovornosti te ovlastima tijela nadležnih za upravljanje Instrumentom pretpristupne pomoći (IPA) (NN 29/2012, 117/2012, 76/2013)  </w:t>
      </w:r>
    </w:p>
    <w:p w:rsidR="00505632" w:rsidRDefault="00505632" w:rsidP="00505632">
      <w:r>
        <w:t xml:space="preserve">4. Odluka o imenovanju osoba nadležnih za upravljanje Instrumentom pretpristupne pomoći (IPA) (NN 26/2012, 117/2012, 12/2013, 76/2013)  </w:t>
      </w:r>
    </w:p>
    <w:p w:rsidR="00505632" w:rsidRDefault="00505632" w:rsidP="00505632">
      <w:r>
        <w:t xml:space="preserve">5. Uredba o opsegu i sadržaju odgovornosti te ovlastima tijela nadležnih za upravljanje Instrumentom pretpristupne pomoći (IPA) (NN 155/2013)  </w:t>
      </w:r>
    </w:p>
    <w:p w:rsidR="00505632" w:rsidRDefault="00505632" w:rsidP="00505632">
      <w:r>
        <w:t xml:space="preserve">6. Odluka o imenovanju osoba nadležnih za upravljanje Instrumentom pretpristupne pomoći (IPA) (NN 155/2013)  </w:t>
      </w:r>
    </w:p>
    <w:p w:rsidR="00505632" w:rsidRDefault="00505632" w:rsidP="00505632">
      <w:r>
        <w:t xml:space="preserve">7. Uredba o opsegu i sadržaju odgovornosti te ovlastima tijela nadležnih za upravljanje Instrumentom pretpristupne pomoći i Prijelaznim instrumentom (IPA) (NN 84/2014, 78/2015)  </w:t>
      </w:r>
    </w:p>
    <w:p w:rsidR="00505632" w:rsidRDefault="00505632" w:rsidP="00505632">
      <w:r>
        <w:t>8. Odluka o imenovanju osoba nadležnih za upravljanje Instrumentom pretpristupne pomoći (IPA) i Prijelaznim instrumentom (NN 84/2014, 78/2015)</w:t>
      </w:r>
    </w:p>
    <w:p w:rsidR="00505632" w:rsidRDefault="00505632" w:rsidP="00505632">
      <w:pPr>
        <w:pStyle w:val="Heading8"/>
        <w:jc w:val="left"/>
      </w:pPr>
      <w:r>
        <w:t>Opis aktivnosti</w:t>
      </w:r>
    </w:p>
    <w:p w:rsidR="00505632" w:rsidRDefault="00505632" w:rsidP="00505632">
      <w:r>
        <w:t xml:space="preserve">Provedbom navedene aktivnosti želi se stvoriti dinamično prekogranično područje između Hrvatske i Slovenije s intenzivnom interakcijom između razvojnih aktera i njihovih dionika u pograničnom području, prema unaprijed definiranim zajedničkim ciljevima.    </w:t>
      </w:r>
    </w:p>
    <w:p w:rsidR="00505632" w:rsidRDefault="00505632" w:rsidP="00505632">
      <w:r>
        <w:t xml:space="preserve">Operativni program postavlja okvir za implementaciju programske strategije na temelju analize socioekonomske situacije u prekograničnom području Hrvatske i Slovenije i ključnih potencijala pograničnog područja. Područja suradnje koja su pokazala najveći potencijal za prekograničnu suradnju su gospodarske aktivnosti, osobito turizam, i zaštita okoliša. Navedena područja stoga su odabrana kao prioriteti operativnoga programa. Prvi od navedenih prioriteta raščlanjen je na mjere koje obuhvaćaju prvi od navedenih prioriteta koje obuhvaćaju turizam i ruralni razvoj, razvoj poduzetništva, te društvenu integraciju. U drugom prioritetu definirane su mjere usmjerene na zaštitu okoliša, te na očuvanje prirodne i kulturne baštine. Postavljeni ciljevi programa smjeraju povećanju konkurentnosti ključnih sektora, podupiranju suradnje među različitim sektorima, te zaštiti prirodnih resursa za trajan održivi razvoj.  </w:t>
      </w:r>
    </w:p>
    <w:p w:rsidR="00505632" w:rsidRDefault="00505632" w:rsidP="00505632">
      <w:r>
        <w:t>Program je završio s provedbom s 31. prosinca 2016. godine. Sredstva su utrošena na aktivnosti kontrolnog tijela, nabavu opreme i promotivnog materijala, plaću hrvatskog predstavnika u Zajedničkom tajništvu te zadnju uplatu nacionalnog sufinanciranja za prioritet tehničke pomoći. Neutrošena sredstva preostala na izvoru 51 vratit će se u državni proračun.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Zajedničkog odbora za praćenje (kumulativ)</w:t>
            </w:r>
          </w:p>
        </w:tc>
        <w:tc>
          <w:tcPr>
            <w:tcW w:w="2551" w:type="dxa"/>
          </w:tcPr>
          <w:p w:rsidR="00505632" w:rsidRDefault="00505632" w:rsidP="00AD4E52">
            <w:pPr>
              <w:pStyle w:val="CellColumn"/>
              <w:jc w:val="left"/>
            </w:pPr>
            <w:r>
              <w:rPr>
                <w:rFonts w:cs="Times New Roman"/>
              </w:rPr>
              <w:t>Broj održanih informativnih i edukativnih radionica, konferencija, sastanaka Zajedničkog odbora za praćenje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30</w:t>
            </w:r>
          </w:p>
        </w:tc>
      </w:tr>
      <w:tr w:rsidR="00505632" w:rsidTr="00AD4E52">
        <w:trPr>
          <w:jc w:val="center"/>
        </w:trPr>
        <w:tc>
          <w:tcPr>
            <w:tcW w:w="2551" w:type="dxa"/>
          </w:tcPr>
          <w:p w:rsidR="00505632" w:rsidRDefault="00505632" w:rsidP="00AD4E52">
            <w:pPr>
              <w:pStyle w:val="CellColumn"/>
              <w:jc w:val="left"/>
            </w:pPr>
            <w:r>
              <w:rPr>
                <w:rFonts w:cs="Times New Roman"/>
              </w:rPr>
              <w:t>Povećanje broja prijavljenih projektnih prijedloga s uključenim hrvatskim pprijaviteljima na natječaje (kumulativ)</w:t>
            </w:r>
          </w:p>
        </w:tc>
        <w:tc>
          <w:tcPr>
            <w:tcW w:w="2551" w:type="dxa"/>
          </w:tcPr>
          <w:p w:rsidR="00505632" w:rsidRDefault="00505632" w:rsidP="00AD4E52">
            <w:pPr>
              <w:pStyle w:val="CellColumn"/>
              <w:jc w:val="left"/>
            </w:pPr>
            <w:r>
              <w:rPr>
                <w:rFonts w:cs="Times New Roman"/>
              </w:rPr>
              <w:t>Projektni prijedlozi s uključenim hrvatskim pprijaviteljima na natječaje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330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550</w:t>
            </w:r>
          </w:p>
        </w:tc>
        <w:tc>
          <w:tcPr>
            <w:tcW w:w="1020" w:type="dxa"/>
          </w:tcPr>
          <w:p w:rsidR="00505632" w:rsidRDefault="00505632" w:rsidP="00AD4E52">
            <w:pPr>
              <w:pStyle w:val="CellColumn"/>
              <w:jc w:val="right"/>
            </w:pPr>
            <w:r>
              <w:rPr>
                <w:rFonts w:cs="Times New Roman"/>
              </w:rPr>
              <w:t>550</w:t>
            </w:r>
          </w:p>
        </w:tc>
      </w:tr>
      <w:tr w:rsidR="00505632" w:rsidTr="00AD4E52">
        <w:trPr>
          <w:jc w:val="center"/>
        </w:trPr>
        <w:tc>
          <w:tcPr>
            <w:tcW w:w="2551" w:type="dxa"/>
          </w:tcPr>
          <w:p w:rsidR="00505632" w:rsidRDefault="00505632" w:rsidP="00AD4E52">
            <w:pPr>
              <w:pStyle w:val="CellColumn"/>
              <w:jc w:val="left"/>
            </w:pPr>
            <w:r>
              <w:rPr>
                <w:rFonts w:cs="Times New Roman"/>
              </w:rPr>
              <w:t>Povećanje financijske vrijednosti ugovorenih projekata s hrvatskim partnerima (kumulativ)</w:t>
            </w:r>
          </w:p>
        </w:tc>
        <w:tc>
          <w:tcPr>
            <w:tcW w:w="2551" w:type="dxa"/>
          </w:tcPr>
          <w:p w:rsidR="00505632" w:rsidRDefault="00505632" w:rsidP="00AD4E52">
            <w:pPr>
              <w:pStyle w:val="CellColumn"/>
              <w:jc w:val="left"/>
            </w:pPr>
            <w:r>
              <w:rPr>
                <w:rFonts w:cs="Times New Roman"/>
              </w:rPr>
              <w:t>Financijske vrijednosti ugovorenih projekata s hrvatskim partnerima (kumulativ)</w:t>
            </w:r>
          </w:p>
        </w:tc>
        <w:tc>
          <w:tcPr>
            <w:tcW w:w="1020" w:type="dxa"/>
          </w:tcPr>
          <w:p w:rsidR="00505632" w:rsidRDefault="00505632" w:rsidP="00AD4E52">
            <w:pPr>
              <w:pStyle w:val="CellColumn"/>
              <w:jc w:val="right"/>
            </w:pPr>
            <w:r>
              <w:rPr>
                <w:rFonts w:cs="Times New Roman"/>
              </w:rPr>
              <w:t>milijuni EUR</w:t>
            </w:r>
          </w:p>
        </w:tc>
        <w:tc>
          <w:tcPr>
            <w:tcW w:w="1020" w:type="dxa"/>
          </w:tcPr>
          <w:p w:rsidR="00505632" w:rsidRDefault="00505632" w:rsidP="00AD4E52">
            <w:pPr>
              <w:pStyle w:val="CellColumn"/>
              <w:jc w:val="right"/>
            </w:pPr>
            <w:r>
              <w:rPr>
                <w:rFonts w:cs="Times New Roman"/>
              </w:rPr>
              <w:t>14</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17</w:t>
            </w:r>
          </w:p>
        </w:tc>
      </w:tr>
    </w:tbl>
    <w:p w:rsidR="00505632" w:rsidRDefault="00505632" w:rsidP="00505632">
      <w:pPr>
        <w:jc w:val="left"/>
      </w:pPr>
    </w:p>
    <w:p w:rsidR="00505632" w:rsidRDefault="00505632" w:rsidP="00505632">
      <w:pPr>
        <w:pStyle w:val="Heading4"/>
      </w:pPr>
      <w:r>
        <w:t>K828013 IPA II PROGRAM JADRANSKE PREKOGRANIČNE SURADNJE</w:t>
      </w:r>
    </w:p>
    <w:tbl>
      <w:tblPr>
        <w:tblStyle w:val="StilTablice"/>
        <w:tblW w:w="10206" w:type="dxa"/>
        <w:jc w:val="center"/>
        <w:tblLook w:val="04A0" w:firstRow="1" w:lastRow="0" w:firstColumn="1" w:lastColumn="0" w:noHBand="0" w:noVBand="1"/>
      </w:tblPr>
      <w:tblGrid>
        <w:gridCol w:w="1803"/>
        <w:gridCol w:w="1990"/>
        <w:gridCol w:w="1993"/>
        <w:gridCol w:w="1990"/>
        <w:gridCol w:w="1213"/>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K828013-IPA II PROGRAM JADRANSKE PREKOGRANIČNE SURADNJE</w:t>
            </w:r>
          </w:p>
        </w:tc>
        <w:tc>
          <w:tcPr>
            <w:tcW w:w="2041" w:type="dxa"/>
          </w:tcPr>
          <w:p w:rsidR="00505632" w:rsidRDefault="00505632" w:rsidP="00AD4E52">
            <w:pPr>
              <w:pStyle w:val="CellColumn"/>
              <w:jc w:val="right"/>
            </w:pPr>
            <w:r>
              <w:rPr>
                <w:rFonts w:cs="Times New Roman"/>
              </w:rPr>
              <w:t>72.647</w:t>
            </w:r>
          </w:p>
        </w:tc>
        <w:tc>
          <w:tcPr>
            <w:tcW w:w="2041" w:type="dxa"/>
          </w:tcPr>
          <w:p w:rsidR="00505632" w:rsidRDefault="00505632" w:rsidP="00AD4E52">
            <w:pPr>
              <w:pStyle w:val="CellColumn"/>
              <w:jc w:val="right"/>
            </w:pPr>
            <w:r>
              <w:rPr>
                <w:rFonts w:cs="Times New Roman"/>
              </w:rPr>
              <w:t>1.930.000</w:t>
            </w:r>
          </w:p>
        </w:tc>
        <w:tc>
          <w:tcPr>
            <w:tcW w:w="2041" w:type="dxa"/>
          </w:tcPr>
          <w:p w:rsidR="00505632" w:rsidRDefault="00505632" w:rsidP="00AD4E52">
            <w:pPr>
              <w:pStyle w:val="CellColumn"/>
              <w:jc w:val="right"/>
            </w:pPr>
            <w:r>
              <w:rPr>
                <w:rFonts w:cs="Times New Roman"/>
              </w:rPr>
              <w:t>207.596</w:t>
            </w:r>
          </w:p>
        </w:tc>
        <w:tc>
          <w:tcPr>
            <w:tcW w:w="1224" w:type="dxa"/>
          </w:tcPr>
          <w:p w:rsidR="00505632" w:rsidRDefault="00505632" w:rsidP="00AD4E52">
            <w:pPr>
              <w:pStyle w:val="CellColumn"/>
              <w:jc w:val="right"/>
            </w:pPr>
            <w:r>
              <w:rPr>
                <w:rFonts w:cs="Times New Roman"/>
              </w:rPr>
              <w:t>10,8</w:t>
            </w:r>
          </w:p>
        </w:tc>
        <w:tc>
          <w:tcPr>
            <w:tcW w:w="1224" w:type="dxa"/>
          </w:tcPr>
          <w:p w:rsidR="00505632" w:rsidRDefault="00505632" w:rsidP="00AD4E52">
            <w:pPr>
              <w:pStyle w:val="CellColumn"/>
              <w:jc w:val="right"/>
            </w:pPr>
            <w:r>
              <w:rPr>
                <w:rFonts w:cs="Times New Roman"/>
              </w:rPr>
              <w:t>285,8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potvrđivanju Sporazuma o financiranju između Vlade Republike Hrvatske i Komisije Europskih zajednica koji se odnosi na »IPA – program Jadranska prekogranična suradnja« u okviru Instrumenta pretpristupne pomoći (Narodne novine, međunarodni ugovori, broj 10/2009)    </w:t>
      </w:r>
    </w:p>
    <w:p w:rsidR="00505632" w:rsidRDefault="00505632" w:rsidP="00505632">
      <w:r>
        <w:t xml:space="preserve">2. Zakon o potvrđivanju Sporazuma o financiranju između Vlade Republike Hrvatske i Europske komisije koji se odnosi na »IPA program jadranske prekogranične suradnje«  </w:t>
      </w:r>
    </w:p>
    <w:p w:rsidR="00505632" w:rsidRDefault="00505632" w:rsidP="00505632">
      <w:r>
        <w:t xml:space="preserve">3. Instrumenti pretpristupne pomoći (Narodne novine, međunarodni ugovori, broj 9/2011, 11/2013) </w:t>
      </w:r>
    </w:p>
    <w:p w:rsidR="00505632" w:rsidRDefault="00505632" w:rsidP="00505632">
      <w:r>
        <w:t xml:space="preserve">4. Uredba o opsegu i sadržaju odgovornosti te ovlastima tijela nadležnih za upravljanje Instrumentom pretpristupne pomoći (IPA) (NN 29/2012, 117/2012, 76/2013)  </w:t>
      </w:r>
    </w:p>
    <w:p w:rsidR="00505632" w:rsidRDefault="00505632" w:rsidP="00505632">
      <w:r>
        <w:t xml:space="preserve">5. Odluka o imenovanju osoba nadležnih za upravljanje Instrumentom pretpristupne pomoći (IPA) (NN 26/2012, 117/2012, 12/2013, 76/2013)  </w:t>
      </w:r>
    </w:p>
    <w:p w:rsidR="00505632" w:rsidRDefault="00505632" w:rsidP="00505632">
      <w:r>
        <w:t xml:space="preserve">6. Uredba o opsegu i sadržaju odgovornosti te ovlastima tijela nadležnih za upravljanje Instrumentom pretpristupne pomoći (IPA) (NN 155/2013)  </w:t>
      </w:r>
    </w:p>
    <w:p w:rsidR="00505632" w:rsidRDefault="00505632" w:rsidP="00505632">
      <w:r>
        <w:t xml:space="preserve">7. Odluka o imenovanju osoba nadležnih za upravljanje Instrumentom pretpristupne pomoći (IPA) (NN 155/2013)  </w:t>
      </w:r>
    </w:p>
    <w:p w:rsidR="00505632" w:rsidRDefault="00505632" w:rsidP="00505632">
      <w:r>
        <w:t xml:space="preserve">8. Uredba o opsegu i sadržaju odgovornosti te ovlastima tijela nadležnih za upravljanje Instrumentom pretpristupne pomoći i Prijelaznim instrumentom (IPA) (NN 84/2014, 78/2015)  </w:t>
      </w:r>
    </w:p>
    <w:p w:rsidR="00505632" w:rsidRDefault="00505632" w:rsidP="00505632">
      <w:r>
        <w:t>9. Odluka o imenovanju osoba nadležnih za upravljanje Instrumentom pretpristupne pomoći (IPA) i Prijelaznim instrumentom (NN 84/2014, 78/2015)</w:t>
      </w:r>
    </w:p>
    <w:p w:rsidR="00505632" w:rsidRDefault="00505632" w:rsidP="00505632">
      <w:pPr>
        <w:pStyle w:val="Heading8"/>
        <w:jc w:val="left"/>
      </w:pPr>
      <w:r>
        <w:t>Opis aktivnosti</w:t>
      </w:r>
    </w:p>
    <w:p w:rsidR="00505632" w:rsidRDefault="00505632" w:rsidP="00505632">
      <w:r>
        <w:t xml:space="preserve">Provedba aktivnosti je usmjerena prema ciljevima kohezijske politike Europske unije u pretpristupnim procesima i kroz prekograničnu suradnju pospješuje zahtjeve država kandidatkinja/potencijalnih kandidatkinja za podrškom u procesu institucionalnog razvoja i kompetencije za upravljanje instrumentima Zajednice, usmjerava sve države sudionice ka zajedničkim ciljevima kojima se ostvaruju novi i korisni oblici integracije i odnosi između teritorija, te povećava opću konkurentnost jadranskog područja.    </w:t>
      </w:r>
    </w:p>
    <w:p w:rsidR="00505632" w:rsidRDefault="00505632" w:rsidP="00505632">
      <w:r>
        <w:t xml:space="preserve">Prioriteti programa su jačanje istraživanja i inovacija kako bi se pospješio razvoj jadranskog područja kroz gospodarsku, društvenu i institucionalnu suradnju; promicanje, razvoj i zaštita prirodnih i kulturnih bogatstava zajedničkim upravljanjem tehnološkim i prirodnim rizicima, te jačanje i integracija postojećih infrastrukturnih mreža, promicanje i razvoj prometnih, informacijskih i komunikacijskih usluga.   </w:t>
      </w:r>
    </w:p>
    <w:p w:rsidR="00505632" w:rsidRDefault="00505632" w:rsidP="00505632">
      <w:r>
        <w:t>Program je završio s provedbom s 31. prosinca 2016. godine. Sredstva su utrošena najvećim dijelom na aktivnosti kontrolnog tijela, zatim nabavu opreme i promotivnog materijala te trošak službenih putovanja. Neutrošena sredstva preostala na izvoru 51 vratit će se u državni proračun.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Zajedničkog odbora za praćenje (kumulativ)</w:t>
            </w:r>
          </w:p>
        </w:tc>
        <w:tc>
          <w:tcPr>
            <w:tcW w:w="2551" w:type="dxa"/>
          </w:tcPr>
          <w:p w:rsidR="00505632" w:rsidRDefault="00505632" w:rsidP="00AD4E52">
            <w:pPr>
              <w:pStyle w:val="CellColumn"/>
              <w:jc w:val="left"/>
            </w:pPr>
            <w:r>
              <w:rPr>
                <w:rFonts w:cs="Times New Roman"/>
              </w:rPr>
              <w:t>Broj održanih informativnih i edukativnih radionica, konferencija, sastanaka Zajedničkog odbora za praćenje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18</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26</w:t>
            </w:r>
          </w:p>
        </w:tc>
        <w:tc>
          <w:tcPr>
            <w:tcW w:w="1020" w:type="dxa"/>
          </w:tcPr>
          <w:p w:rsidR="00505632" w:rsidRDefault="00505632" w:rsidP="00AD4E52">
            <w:pPr>
              <w:pStyle w:val="CellColumn"/>
              <w:jc w:val="right"/>
            </w:pPr>
            <w:r>
              <w:rPr>
                <w:rFonts w:cs="Times New Roman"/>
              </w:rPr>
              <w:t>28</w:t>
            </w:r>
          </w:p>
        </w:tc>
      </w:tr>
      <w:tr w:rsidR="00505632" w:rsidTr="00AD4E52">
        <w:trPr>
          <w:jc w:val="center"/>
        </w:trPr>
        <w:tc>
          <w:tcPr>
            <w:tcW w:w="2551" w:type="dxa"/>
          </w:tcPr>
          <w:p w:rsidR="00505632" w:rsidRDefault="00505632" w:rsidP="00AD4E52">
            <w:pPr>
              <w:pStyle w:val="CellColumn"/>
              <w:jc w:val="left"/>
            </w:pPr>
            <w:r>
              <w:rPr>
                <w:rFonts w:cs="Times New Roman"/>
              </w:rPr>
              <w:t>Povećanje financijske vrijednosti ugovorenih projekata s hrvatskim partnerima (kumulativ)</w:t>
            </w:r>
          </w:p>
        </w:tc>
        <w:tc>
          <w:tcPr>
            <w:tcW w:w="2551" w:type="dxa"/>
          </w:tcPr>
          <w:p w:rsidR="00505632" w:rsidRDefault="00505632" w:rsidP="00AD4E52">
            <w:pPr>
              <w:pStyle w:val="CellColumn"/>
              <w:jc w:val="left"/>
            </w:pPr>
            <w:r>
              <w:rPr>
                <w:rFonts w:cs="Times New Roman"/>
              </w:rPr>
              <w:t>Financijska vrijednosti ugovorenih projekata s hrvatskim partnerima (kumulativ)</w:t>
            </w:r>
          </w:p>
        </w:tc>
        <w:tc>
          <w:tcPr>
            <w:tcW w:w="1020" w:type="dxa"/>
          </w:tcPr>
          <w:p w:rsidR="00505632" w:rsidRDefault="00505632" w:rsidP="00AD4E52">
            <w:pPr>
              <w:pStyle w:val="CellColumn"/>
              <w:jc w:val="right"/>
            </w:pPr>
            <w:r>
              <w:rPr>
                <w:rFonts w:cs="Times New Roman"/>
              </w:rPr>
              <w:t>milijuni EUR</w:t>
            </w:r>
          </w:p>
        </w:tc>
        <w:tc>
          <w:tcPr>
            <w:tcW w:w="1020" w:type="dxa"/>
          </w:tcPr>
          <w:p w:rsidR="00505632" w:rsidRDefault="00505632" w:rsidP="00AD4E52">
            <w:pPr>
              <w:pStyle w:val="CellColumn"/>
              <w:jc w:val="right"/>
            </w:pPr>
            <w:r>
              <w:rPr>
                <w:rFonts w:cs="Times New Roman"/>
              </w:rPr>
              <w:t>36</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37</w:t>
            </w:r>
          </w:p>
        </w:tc>
        <w:tc>
          <w:tcPr>
            <w:tcW w:w="1020" w:type="dxa"/>
          </w:tcPr>
          <w:p w:rsidR="00505632" w:rsidRDefault="00505632" w:rsidP="00AD4E52">
            <w:pPr>
              <w:pStyle w:val="CellColumn"/>
              <w:jc w:val="right"/>
            </w:pPr>
            <w:r>
              <w:rPr>
                <w:rFonts w:cs="Times New Roman"/>
              </w:rPr>
              <w:t>38</w:t>
            </w:r>
          </w:p>
        </w:tc>
      </w:tr>
    </w:tbl>
    <w:p w:rsidR="00505632" w:rsidRDefault="00505632" w:rsidP="00505632">
      <w:pPr>
        <w:jc w:val="left"/>
      </w:pPr>
    </w:p>
    <w:p w:rsidR="00505632" w:rsidRDefault="00505632" w:rsidP="00505632">
      <w:pPr>
        <w:pStyle w:val="Heading4"/>
      </w:pPr>
      <w:r>
        <w:t>T680024 IPA II 2012 PROGRAM PREKOGRANIČNE SURADNJE HRVATSKA – CRNA GORA</w:t>
      </w:r>
    </w:p>
    <w:tbl>
      <w:tblPr>
        <w:tblStyle w:val="StilTablice"/>
        <w:tblW w:w="10206" w:type="dxa"/>
        <w:jc w:val="center"/>
        <w:tblLook w:val="04A0" w:firstRow="1" w:lastRow="0" w:firstColumn="1" w:lastColumn="0" w:noHBand="0" w:noVBand="1"/>
      </w:tblPr>
      <w:tblGrid>
        <w:gridCol w:w="1803"/>
        <w:gridCol w:w="1993"/>
        <w:gridCol w:w="1988"/>
        <w:gridCol w:w="1991"/>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T680024-IPA II 2012 PROGRAM PREKOGRANIČNE SURADNJE HRVATSKA – CRNA GORA</w:t>
            </w:r>
          </w:p>
        </w:tc>
        <w:tc>
          <w:tcPr>
            <w:tcW w:w="2041" w:type="dxa"/>
          </w:tcPr>
          <w:p w:rsidR="00505632" w:rsidRDefault="00505632" w:rsidP="00AD4E52">
            <w:pPr>
              <w:pStyle w:val="CellColumn"/>
              <w:jc w:val="right"/>
            </w:pPr>
            <w:r>
              <w:rPr>
                <w:rFonts w:cs="Times New Roman"/>
              </w:rPr>
              <w:t>2.927.785</w:t>
            </w:r>
          </w:p>
        </w:tc>
        <w:tc>
          <w:tcPr>
            <w:tcW w:w="2041" w:type="dxa"/>
          </w:tcPr>
          <w:p w:rsidR="00505632" w:rsidRDefault="00505632" w:rsidP="00AD4E52">
            <w:pPr>
              <w:pStyle w:val="CellColumn"/>
              <w:jc w:val="right"/>
            </w:pPr>
            <w:r>
              <w:rPr>
                <w:rFonts w:cs="Times New Roman"/>
              </w:rPr>
              <w:t>118.092</w:t>
            </w:r>
          </w:p>
        </w:tc>
        <w:tc>
          <w:tcPr>
            <w:tcW w:w="2041" w:type="dxa"/>
          </w:tcPr>
          <w:p w:rsidR="00505632" w:rsidRDefault="00505632" w:rsidP="00AD4E52">
            <w:pPr>
              <w:pStyle w:val="CellColumn"/>
              <w:jc w:val="right"/>
            </w:pPr>
            <w:r>
              <w:rPr>
                <w:rFonts w:cs="Times New Roman"/>
              </w:rPr>
              <w:t>118.090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4,0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potvrđivanju Sporazuma o financiranju između Vlade Republike Hrvatske i Europske komisije koji se odnosi na Program prekogranične suradnje Hrvatska – Crna Gora u okviru komponente Prekogranična suradnja programa IPA za 2012. i 2013. godinu (Međunarodni ugovori 10/2013) </w:t>
      </w:r>
    </w:p>
    <w:p w:rsidR="00505632" w:rsidRDefault="00505632" w:rsidP="00505632">
      <w:r>
        <w:t xml:space="preserve">2. Program suradnje kao dio Sporazuma o financiranju odobren od strane Europske komisije 11. prosinca 2012. (prioritet 2, Tehnička pomoć) </w:t>
      </w:r>
    </w:p>
    <w:p w:rsidR="00505632" w:rsidRDefault="00505632" w:rsidP="00505632">
      <w:r>
        <w:t xml:space="preserve">3. Ugovor o bespovratnim sredstvima tehničke pomoći (korisnik MRRFEU) </w:t>
      </w:r>
    </w:p>
    <w:p w:rsidR="00505632" w:rsidRDefault="00505632" w:rsidP="00505632">
      <w:r>
        <w:t xml:space="preserve">4. Uredba o opsegu i sadržaju odgovornosti te ovlastima tijela nadležnih za upravljanje Instrumentom pretpristupne pomoći (IPA) (NN 29/2012, 117/2012, 76/2013)  </w:t>
      </w:r>
    </w:p>
    <w:p w:rsidR="00505632" w:rsidRDefault="00505632" w:rsidP="00505632">
      <w:r>
        <w:t xml:space="preserve">5. Odluka o imenovanju osoba nadležnih za upravljanje Instrumentom pretpristupne pomoći (IPA) (NN 26/2012, 117/2012, 12/2013, 76/2013)  </w:t>
      </w:r>
    </w:p>
    <w:p w:rsidR="00505632" w:rsidRDefault="00505632" w:rsidP="00505632">
      <w:r>
        <w:t xml:space="preserve">6. Uredba o opsegu i sadržaju odgovornosti te ovlastima tijela nadležnih za upravljanje Instrumentom pretpristupne pomoći (IPA) (NN 155/2013)  </w:t>
      </w:r>
    </w:p>
    <w:p w:rsidR="00505632" w:rsidRDefault="00505632" w:rsidP="00505632">
      <w:r>
        <w:t xml:space="preserve">7. Odluka o imenovanju osoba nadležnih za upravljanje Instrumentom pretpristupne pomoći (IPA) (NN 155/2013)  </w:t>
      </w:r>
    </w:p>
    <w:p w:rsidR="00505632" w:rsidRDefault="00505632" w:rsidP="00505632">
      <w:r>
        <w:t xml:space="preserve">8. Uredba o opsegu i sadržaju odgovornosti te ovlastima tijela nadležnih za upravljanje Instrumentom pretpristupne pomoći i Prijelaznim instrumentom (IPA) (NN 84/2014, 78/2015)  </w:t>
      </w:r>
    </w:p>
    <w:p w:rsidR="00505632" w:rsidRDefault="00505632" w:rsidP="00505632">
      <w:r>
        <w:t xml:space="preserve">9. Odluka o imenovanju osoba nadležnih za upravljanje Instrumentom pretpristupne pomoći (IPA) i Prijelaznim instrumentom (NN 84/2014, 78/2015) </w:t>
      </w:r>
    </w:p>
    <w:p w:rsidR="00505632" w:rsidRDefault="00505632" w:rsidP="00505632">
      <w:r>
        <w:t xml:space="preserve">10. Provedbeni sporazum između Nacionalnog dužnosnika za ovjeravanje i čelnika Operativne strukture IPA IIb (izmjene 2012., 2013., 2015., 2016.)  </w:t>
      </w:r>
    </w:p>
    <w:p w:rsidR="00505632" w:rsidRDefault="00505632" w:rsidP="00505632">
      <w:r>
        <w:t>11. Operativni sporazum između čelnika Operativne strukture IPA IIb i Dužnosnika ovlaštenog za ovjeravanje programa (izmjene 2012., 2013., 2015., 2016.)</w:t>
      </w:r>
    </w:p>
    <w:p w:rsidR="00505632" w:rsidRDefault="00505632" w:rsidP="00505632">
      <w:pPr>
        <w:pStyle w:val="Heading8"/>
        <w:jc w:val="left"/>
      </w:pPr>
      <w:r>
        <w:t>Opis aktivnosti</w:t>
      </w:r>
    </w:p>
    <w:p w:rsidR="00505632" w:rsidRDefault="00505632" w:rsidP="00505632">
      <w:r>
        <w:t xml:space="preserve">Program prekogranične suradnje Hrvatska - Crna Gora provodi se kroz poboljšanje kvalitete života u pograničnom području između Republike Hrvatske i Crne Gore stvaranjem povoljnih ekoloških i društveno-gospodarskih uvjeta u programskom području, kao i poboljšanjem suradnje u zajednički odabranim sektorima i razvojem dobrosusjedskih odnosa.     </w:t>
      </w:r>
    </w:p>
    <w:p w:rsidR="00505632" w:rsidRDefault="00505632" w:rsidP="00505632">
      <w:r>
        <w:t xml:space="preserve">Definirani su i sljedeći specifični ciljevi programa: uspostaviti suradnju između institucija nadležnih za zaštitu okoliša te prirode i kulturne baštine provedbom zajedničkih programa, obrazovanjem, prijenosom znanja i iskustva te aktivnostima podizanja svijesti; stvoriti prepoznatljivu turističku ponudu temeljenu na prirodnim i kulturnim bogatstvima i ponovno uspostaviti društvene veze u prekograničnom području promicanjem tradicionalne i suvremene kulture; pojačati i poboljšati suradnju između institucija, građana i građanskih udruga u područjima kao što su turizam, obrazovanje, kultura i druga područja kako bi se potaknuo razvoj zajednice i poboljšali susjedski odnosi.  </w:t>
      </w:r>
    </w:p>
    <w:p w:rsidR="00505632" w:rsidRDefault="00505632" w:rsidP="00505632">
      <w:r>
        <w:t>Aktivnost se odnosi na alokaciju za programsku godinu 2012. i ne planira se u narednim godinama, osim za isplate korisnicima programa koje provodi Agencija za regionalni razvoj RH preko prijelaznog konta MRRFEU i koji se bilježe kao rashodi na izvoru 51. U veljači 2016. počela se koristiti nova alokacija za 2013. godinu, planirana na aktivnosti K680029 koja će se koristiti do završetka Programa. Kroz obje aktivnosti su u 2016. godini financirane plaće i službena putovanja Zajedničkog tehničkog tajništva (dvije osobe), troškovi opreme i uredskog materijala te troškovi u vezi s organizacijom radionica, sastanaka i konferencija.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(kumulativ)</w:t>
            </w:r>
          </w:p>
        </w:tc>
        <w:tc>
          <w:tcPr>
            <w:tcW w:w="2551" w:type="dxa"/>
          </w:tcPr>
          <w:p w:rsidR="00505632" w:rsidRDefault="00505632" w:rsidP="00AD4E52">
            <w:pPr>
              <w:pStyle w:val="CellColumn"/>
              <w:jc w:val="left"/>
            </w:pPr>
            <w:r>
              <w:rPr>
                <w:rFonts w:cs="Times New Roman"/>
              </w:rPr>
              <w:t>Broj održanih informativnih i edukativnih radionica, konferencija, sastanaka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89</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89</w:t>
            </w:r>
          </w:p>
        </w:tc>
        <w:tc>
          <w:tcPr>
            <w:tcW w:w="1020" w:type="dxa"/>
          </w:tcPr>
          <w:p w:rsidR="00505632" w:rsidRDefault="00505632" w:rsidP="00AD4E52">
            <w:pPr>
              <w:pStyle w:val="CellColumn"/>
              <w:jc w:val="right"/>
            </w:pPr>
            <w:r>
              <w:rPr>
                <w:rFonts w:cs="Times New Roman"/>
              </w:rPr>
              <w:t>91</w:t>
            </w:r>
          </w:p>
        </w:tc>
      </w:tr>
      <w:tr w:rsidR="00505632" w:rsidTr="00AD4E52">
        <w:trPr>
          <w:jc w:val="center"/>
        </w:trPr>
        <w:tc>
          <w:tcPr>
            <w:tcW w:w="2551" w:type="dxa"/>
          </w:tcPr>
          <w:p w:rsidR="00505632" w:rsidRDefault="00505632" w:rsidP="00AD4E52">
            <w:pPr>
              <w:pStyle w:val="CellColumn"/>
              <w:jc w:val="left"/>
            </w:pPr>
            <w:r>
              <w:rPr>
                <w:rFonts w:cs="Times New Roman"/>
              </w:rPr>
              <w:t>Broj prijavljenih projektnih prijedloga s uključenim hrvatskim prijaviteljima na natječaje (kumulativ)</w:t>
            </w:r>
          </w:p>
        </w:tc>
        <w:tc>
          <w:tcPr>
            <w:tcW w:w="2551" w:type="dxa"/>
          </w:tcPr>
          <w:p w:rsidR="00505632" w:rsidRDefault="00505632" w:rsidP="00AD4E52">
            <w:pPr>
              <w:pStyle w:val="CellColumn"/>
              <w:jc w:val="left"/>
            </w:pPr>
            <w:r>
              <w:rPr>
                <w:rFonts w:cs="Times New Roman"/>
              </w:rPr>
              <w:t>Prijavljeni projektni prijedlozi s uključenim hrvatskim prijaviteljima na natječaje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121</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121</w:t>
            </w:r>
          </w:p>
        </w:tc>
        <w:tc>
          <w:tcPr>
            <w:tcW w:w="1020" w:type="dxa"/>
          </w:tcPr>
          <w:p w:rsidR="00505632" w:rsidRDefault="00505632" w:rsidP="00AD4E52">
            <w:pPr>
              <w:pStyle w:val="CellColumn"/>
              <w:jc w:val="right"/>
            </w:pPr>
            <w:r>
              <w:rPr>
                <w:rFonts w:cs="Times New Roman"/>
              </w:rPr>
              <w:t>121</w:t>
            </w:r>
          </w:p>
        </w:tc>
      </w:tr>
      <w:tr w:rsidR="00505632" w:rsidTr="00AD4E52">
        <w:trPr>
          <w:jc w:val="center"/>
        </w:trPr>
        <w:tc>
          <w:tcPr>
            <w:tcW w:w="2551" w:type="dxa"/>
          </w:tcPr>
          <w:p w:rsidR="00505632" w:rsidRDefault="00505632" w:rsidP="00AD4E52">
            <w:pPr>
              <w:pStyle w:val="CellColumn"/>
              <w:jc w:val="left"/>
            </w:pPr>
            <w:r>
              <w:rPr>
                <w:rFonts w:cs="Times New Roman"/>
              </w:rPr>
              <w:t>Postotak ugovorenosti alokacija</w:t>
            </w:r>
          </w:p>
        </w:tc>
        <w:tc>
          <w:tcPr>
            <w:tcW w:w="2551" w:type="dxa"/>
          </w:tcPr>
          <w:p w:rsidR="00505632" w:rsidRDefault="00505632" w:rsidP="00AD4E52">
            <w:pPr>
              <w:pStyle w:val="CellColumn"/>
              <w:jc w:val="left"/>
            </w:pPr>
            <w:r>
              <w:rPr>
                <w:rFonts w:cs="Times New Roman"/>
              </w:rPr>
              <w:t>Postotak ugovorenosti alokacija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90</w:t>
            </w:r>
          </w:p>
        </w:tc>
      </w:tr>
    </w:tbl>
    <w:p w:rsidR="00505632" w:rsidRDefault="00505632" w:rsidP="00505632">
      <w:pPr>
        <w:jc w:val="left"/>
      </w:pPr>
    </w:p>
    <w:p w:rsidR="00505632" w:rsidRDefault="00505632" w:rsidP="00505632">
      <w:pPr>
        <w:pStyle w:val="Heading4"/>
      </w:pPr>
      <w:r>
        <w:t>T680028 IPA II 2012 PROGRAM PREKOGRANIČNE SURADNJE HRVATSKA – SRBIJA</w:t>
      </w:r>
    </w:p>
    <w:tbl>
      <w:tblPr>
        <w:tblStyle w:val="StilTablice"/>
        <w:tblW w:w="10206" w:type="dxa"/>
        <w:jc w:val="center"/>
        <w:tblLook w:val="04A0" w:firstRow="1" w:lastRow="0" w:firstColumn="1" w:lastColumn="0" w:noHBand="0" w:noVBand="1"/>
      </w:tblPr>
      <w:tblGrid>
        <w:gridCol w:w="1803"/>
        <w:gridCol w:w="1989"/>
        <w:gridCol w:w="1992"/>
        <w:gridCol w:w="1992"/>
        <w:gridCol w:w="1213"/>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T680028-IPA II 2012 PROGRAM PREKOGRANIČNE SURADNJE HRVATSKA – SRBIJA</w:t>
            </w:r>
          </w:p>
        </w:tc>
        <w:tc>
          <w:tcPr>
            <w:tcW w:w="2041" w:type="dxa"/>
          </w:tcPr>
          <w:p w:rsidR="00505632" w:rsidRDefault="00505632" w:rsidP="00AD4E52">
            <w:pPr>
              <w:pStyle w:val="CellColumn"/>
              <w:jc w:val="right"/>
            </w:pPr>
            <w:r>
              <w:rPr>
                <w:rFonts w:cs="Times New Roman"/>
              </w:rPr>
              <w:t>726.876</w:t>
            </w:r>
          </w:p>
        </w:tc>
        <w:tc>
          <w:tcPr>
            <w:tcW w:w="2041" w:type="dxa"/>
          </w:tcPr>
          <w:p w:rsidR="00505632" w:rsidRDefault="00505632" w:rsidP="00AD4E52">
            <w:pPr>
              <w:pStyle w:val="CellColumn"/>
              <w:jc w:val="right"/>
            </w:pPr>
            <w:r>
              <w:rPr>
                <w:rFonts w:cs="Times New Roman"/>
              </w:rPr>
              <w:t>5.470.627</w:t>
            </w:r>
          </w:p>
        </w:tc>
        <w:tc>
          <w:tcPr>
            <w:tcW w:w="2041" w:type="dxa"/>
          </w:tcPr>
          <w:p w:rsidR="00505632" w:rsidRDefault="00505632" w:rsidP="00AD4E52">
            <w:pPr>
              <w:pStyle w:val="CellColumn"/>
              <w:jc w:val="right"/>
            </w:pPr>
            <w:r>
              <w:rPr>
                <w:rFonts w:cs="Times New Roman"/>
              </w:rPr>
              <w:t>5.470.624</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752,6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potvrđivanju Sporazuma o financiranju između Vlade Republike Hrvatske i Europske komisije koji se odnosi na Program prekogranične suradnje Hrvatska – Srbija u okviru komponente Prekogranična suradnja programa IPA za 2012. i 2013. godinu (Međunarodni ugovori 10/2013) </w:t>
      </w:r>
    </w:p>
    <w:p w:rsidR="00505632" w:rsidRDefault="00505632" w:rsidP="00505632">
      <w:r>
        <w:t xml:space="preserve">2. Program suradnje kao dio Sporazuma o financiranju odobren od strane Europske komisije 11. prosinca 2012. (prioritet 2, Tehnička pomoć) </w:t>
      </w:r>
    </w:p>
    <w:p w:rsidR="00505632" w:rsidRDefault="00505632" w:rsidP="00505632">
      <w:r>
        <w:t xml:space="preserve">3. Ugovor o bespovratnim sredstvima tehničke pomoći (korisnik MRRFEU)  </w:t>
      </w:r>
    </w:p>
    <w:p w:rsidR="00505632" w:rsidRDefault="00505632" w:rsidP="00505632">
      <w:r>
        <w:t xml:space="preserve">4. Uredba o opsegu i sadržaju odgovornosti te ovlastima tijela nadležnih za upravljanje Instrumentom pretpristupne pomoći (IPA) (NN 29/2012, 117/2012, 76/2013)  </w:t>
      </w:r>
    </w:p>
    <w:p w:rsidR="00505632" w:rsidRDefault="00505632" w:rsidP="00505632">
      <w:r>
        <w:t xml:space="preserve">5. Odluka o imenovanju osoba nadležnih za upravljanje Instrumentom pretpristupne pomoći (IPA) (NN 26/2012, 117/2012, 12/2013, 76/2013)  </w:t>
      </w:r>
    </w:p>
    <w:p w:rsidR="00505632" w:rsidRDefault="00505632" w:rsidP="00505632">
      <w:r>
        <w:t xml:space="preserve">6. Uredba o opsegu i sadržaju odgovornosti te ovlastima tijela nadležnih za upravljanje Instrumentom pretpristupne pomoći (IPA) (NN 155/2013)  </w:t>
      </w:r>
    </w:p>
    <w:p w:rsidR="00505632" w:rsidRDefault="00505632" w:rsidP="00505632">
      <w:r>
        <w:t xml:space="preserve">7. Odluka o imenovanju osoba nadležnih za upravljanje Instrumentom pretpristupne pomoći (IPA) (NN 155/2013)  </w:t>
      </w:r>
    </w:p>
    <w:p w:rsidR="00505632" w:rsidRDefault="00505632" w:rsidP="00505632">
      <w:r>
        <w:t xml:space="preserve">8. Uredba o opsegu i sadržaju odgovornosti te ovlastima tijela nadležnih za upravljanje Instrumentom pretpristupne pomoći i Prijelaznim instrumentom (IPA) (NN 84/2014, 78/2015)  </w:t>
      </w:r>
    </w:p>
    <w:p w:rsidR="00505632" w:rsidRDefault="00505632" w:rsidP="00505632">
      <w:r>
        <w:t xml:space="preserve">9. Odluka o imenovanju osoba nadležnih za upravljanje Instrumentom pretpristupne pomoći (IPA) i Prijelaznim instrumentom (NN 84/2014, 78/2015) </w:t>
      </w:r>
    </w:p>
    <w:p w:rsidR="00505632" w:rsidRDefault="00505632" w:rsidP="00505632">
      <w:r>
        <w:t xml:space="preserve">10. Provedbeni sporazum između Nacionalnog dužnosnika za ovjeravanje i čelnika Operativne strukture IPA IIb (izmjene 2012., 2013., 2015., 2016.)  </w:t>
      </w:r>
    </w:p>
    <w:p w:rsidR="00505632" w:rsidRDefault="00505632" w:rsidP="00505632">
      <w:r>
        <w:t>11. Operativni sporazum između čelnika Operativne strukture IPA IIb i Dužnosnika ovlaštenog za ovjeravanje programa (izmjene 2012., 2013., 2015., 2016.)</w:t>
      </w:r>
    </w:p>
    <w:p w:rsidR="00505632" w:rsidRDefault="00505632" w:rsidP="00505632">
      <w:pPr>
        <w:pStyle w:val="Heading8"/>
        <w:jc w:val="left"/>
      </w:pPr>
      <w:r>
        <w:t>Opis aktivnosti</w:t>
      </w:r>
    </w:p>
    <w:p w:rsidR="00505632" w:rsidRDefault="00505632" w:rsidP="00505632">
      <w:r>
        <w:t xml:space="preserve">Cilj aktivnosti prekograničnog programa Hrvatska – Srbija je poticati prekograničnu suradnju pograničnih područja Republike Hrvatske i Republike Srbije radi povećanja raznolikosti i unapređenja regionalnog gospodarstva na socijalno i ekološki održiv način, uz istovremeno poboljšavanje dobrosusjedskih odnosa uzduž granice. Dodatni programski cilj jest izgradnja kapaciteta lokalnih, regionalnih i državnih institucija za upravljanje programima Europske unije i pripremanje tih institucija za upravljanje budućim programima prekogranične suradnje. </w:t>
      </w:r>
    </w:p>
    <w:p w:rsidR="00505632" w:rsidRDefault="00505632" w:rsidP="00505632">
      <w:r>
        <w:t xml:space="preserve">Kroz program se za financiranje odabiru projekti koji pripadaju sljedećim prioritetima: održivi društveno-ekonomski razvoj, zaštita okoliša, te poboljšanje međuljudskih odnosa.  </w:t>
      </w:r>
    </w:p>
    <w:p w:rsidR="00505632" w:rsidRDefault="00505632" w:rsidP="00505632">
      <w:r>
        <w:t>Aktivnost se odnosi na alokaciju za programsku godinu 2012. i ne planira se u narednim godinama, osim za isplate korisnicima programa koje provodi Agencija za regionalni razvoj RH preko prijelaznog konta MRRFEU i koji se bilježe kao rashodi na izvoru 51. Tijekom 2016. počela se koristiti nova alokacija, za 2013. godinu, koja je planirana na aktivnosti K758029. Kroz aktivnost su financirane plaće i službena putovanja Zajedničkog tehničkog tajništva (tri osobe), troškovi opreme i uredskog materijala te troškovi u vezi s organizacijom radionica, sastanaka i konferencija. Značajan dio sredstava utrošen u 2016. godini odnosi se na ranije spomenute isplate korisnicima programa.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(kumulativ)</w:t>
            </w:r>
          </w:p>
        </w:tc>
        <w:tc>
          <w:tcPr>
            <w:tcW w:w="2551" w:type="dxa"/>
          </w:tcPr>
          <w:p w:rsidR="00505632" w:rsidRDefault="00505632" w:rsidP="00AD4E52">
            <w:pPr>
              <w:pStyle w:val="CellColumn"/>
              <w:jc w:val="left"/>
            </w:pPr>
            <w:r>
              <w:rPr>
                <w:rFonts w:cs="Times New Roman"/>
              </w:rPr>
              <w:t xml:space="preserve">Broj održanih informativnih i edukativnih radionica, konferencija,  </w:t>
            </w:r>
          </w:p>
          <w:p w:rsidR="00505632" w:rsidRDefault="00505632" w:rsidP="00AD4E52">
            <w:pPr>
              <w:pStyle w:val="CellColumn"/>
              <w:jc w:val="left"/>
            </w:pPr>
            <w:r>
              <w:rPr>
                <w:rFonts w:cs="Times New Roman"/>
              </w:rPr>
              <w:t>sastanaka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36</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47</w:t>
            </w:r>
          </w:p>
        </w:tc>
        <w:tc>
          <w:tcPr>
            <w:tcW w:w="1020" w:type="dxa"/>
          </w:tcPr>
          <w:p w:rsidR="00505632" w:rsidRDefault="00505632" w:rsidP="00AD4E52">
            <w:pPr>
              <w:pStyle w:val="CellColumn"/>
              <w:jc w:val="right"/>
            </w:pPr>
            <w:r>
              <w:rPr>
                <w:rFonts w:cs="Times New Roman"/>
              </w:rPr>
              <w:t>47</w:t>
            </w:r>
          </w:p>
        </w:tc>
      </w:tr>
      <w:tr w:rsidR="00505632" w:rsidTr="00AD4E52">
        <w:trPr>
          <w:jc w:val="center"/>
        </w:trPr>
        <w:tc>
          <w:tcPr>
            <w:tcW w:w="2551" w:type="dxa"/>
          </w:tcPr>
          <w:p w:rsidR="00505632" w:rsidRDefault="00505632" w:rsidP="00AD4E52">
            <w:pPr>
              <w:pStyle w:val="CellColumn"/>
              <w:jc w:val="left"/>
            </w:pPr>
            <w:r>
              <w:rPr>
                <w:rFonts w:cs="Times New Roman"/>
              </w:rPr>
              <w:t>Broj prijavljenih projektnih prijedloga s uključenim hrvatskim prijaviteljima na natječaje (kumulativ)</w:t>
            </w:r>
          </w:p>
        </w:tc>
        <w:tc>
          <w:tcPr>
            <w:tcW w:w="2551" w:type="dxa"/>
          </w:tcPr>
          <w:p w:rsidR="00505632" w:rsidRDefault="00505632" w:rsidP="00AD4E52">
            <w:pPr>
              <w:pStyle w:val="CellColumn"/>
              <w:jc w:val="left"/>
            </w:pPr>
            <w:r>
              <w:rPr>
                <w:rFonts w:cs="Times New Roman"/>
              </w:rPr>
              <w:t>Projektni prijedlozi s uključenim hrvatskim prijaviteljima na natječaje (kumulativ)</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256</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278</w:t>
            </w:r>
          </w:p>
        </w:tc>
        <w:tc>
          <w:tcPr>
            <w:tcW w:w="1020" w:type="dxa"/>
          </w:tcPr>
          <w:p w:rsidR="00505632" w:rsidRDefault="00505632" w:rsidP="00AD4E52">
            <w:pPr>
              <w:pStyle w:val="CellColumn"/>
              <w:jc w:val="right"/>
            </w:pPr>
            <w:r>
              <w:rPr>
                <w:rFonts w:cs="Times New Roman"/>
              </w:rPr>
              <w:t>278</w:t>
            </w:r>
          </w:p>
        </w:tc>
      </w:tr>
      <w:tr w:rsidR="00505632" w:rsidTr="00AD4E52">
        <w:trPr>
          <w:jc w:val="center"/>
        </w:trPr>
        <w:tc>
          <w:tcPr>
            <w:tcW w:w="2551" w:type="dxa"/>
          </w:tcPr>
          <w:p w:rsidR="00505632" w:rsidRDefault="00505632" w:rsidP="00AD4E52">
            <w:pPr>
              <w:pStyle w:val="CellColumn"/>
              <w:jc w:val="left"/>
            </w:pPr>
            <w:r>
              <w:rPr>
                <w:rFonts w:cs="Times New Roman"/>
              </w:rPr>
              <w:t>Postotak ugovorenosti alokacija</w:t>
            </w:r>
          </w:p>
        </w:tc>
        <w:tc>
          <w:tcPr>
            <w:tcW w:w="2551" w:type="dxa"/>
          </w:tcPr>
          <w:p w:rsidR="00505632" w:rsidRDefault="00505632" w:rsidP="00AD4E52">
            <w:pPr>
              <w:pStyle w:val="CellColumn"/>
              <w:jc w:val="left"/>
            </w:pPr>
            <w:r>
              <w:rPr>
                <w:rFonts w:cs="Times New Roman"/>
              </w:rPr>
              <w:t>Postotak ugovorenosti alokacija</w:t>
            </w:r>
          </w:p>
        </w:tc>
        <w:tc>
          <w:tcPr>
            <w:tcW w:w="1020" w:type="dxa"/>
          </w:tcPr>
          <w:p w:rsidR="00505632" w:rsidRDefault="00505632" w:rsidP="00AD4E52">
            <w:pPr>
              <w:pStyle w:val="CellColumn"/>
              <w:jc w:val="right"/>
            </w:pPr>
            <w:r>
              <w:rPr>
                <w:rFonts w:cs="Times New Roman"/>
              </w:rPr>
              <w:t>EUR</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90</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T680037 PROGRAM PREKOGRANIČNE SURADNJE MAĐARSKA - HRVATSKA</w:t>
      </w:r>
    </w:p>
    <w:tbl>
      <w:tblPr>
        <w:tblStyle w:val="StilTablice"/>
        <w:tblW w:w="10206" w:type="dxa"/>
        <w:jc w:val="center"/>
        <w:tblLook w:val="04A0" w:firstRow="1" w:lastRow="0" w:firstColumn="1" w:lastColumn="0" w:noHBand="0" w:noVBand="1"/>
      </w:tblPr>
      <w:tblGrid>
        <w:gridCol w:w="1803"/>
        <w:gridCol w:w="1992"/>
        <w:gridCol w:w="1986"/>
        <w:gridCol w:w="1993"/>
        <w:gridCol w:w="1214"/>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T680037-PROGRAM PREKOGRANIČNE SURADNJE MAĐARSKA - HRVATSKA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28.000</w:t>
            </w:r>
          </w:p>
        </w:tc>
        <w:tc>
          <w:tcPr>
            <w:tcW w:w="2041" w:type="dxa"/>
          </w:tcPr>
          <w:p w:rsidR="00505632" w:rsidRDefault="00505632" w:rsidP="00AD4E52">
            <w:pPr>
              <w:pStyle w:val="CellColumn"/>
              <w:jc w:val="right"/>
            </w:pPr>
            <w:r>
              <w:rPr>
                <w:rFonts w:cs="Times New Roman"/>
              </w:rPr>
              <w:t>9.813</w:t>
            </w:r>
          </w:p>
        </w:tc>
        <w:tc>
          <w:tcPr>
            <w:tcW w:w="1224" w:type="dxa"/>
          </w:tcPr>
          <w:p w:rsidR="00505632" w:rsidRDefault="00505632" w:rsidP="00AD4E52">
            <w:pPr>
              <w:pStyle w:val="CellColumn"/>
              <w:jc w:val="right"/>
            </w:pPr>
            <w:r>
              <w:rPr>
                <w:rFonts w:cs="Times New Roman"/>
              </w:rPr>
              <w:t>35,0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uspostavi institucionalnog okvira za provedbu Europskih strukturnih i investicijskih fondova u Republici Hrvatskoj u financijskom razdoblju 2014. – 2020. (NN 92/2014), članak 4., stavak 2., točka 2 </w:t>
      </w:r>
    </w:p>
    <w:p w:rsidR="00505632" w:rsidRDefault="00505632" w:rsidP="00505632">
      <w:r>
        <w:t xml:space="preserve">2. Uredba o tijelima u sustavima upravljanja i kontrole za provedbu programa kojima se podržava cilj »Europska teritorijalna suradnja« u financijskom razdoblju 2014. – 2020. (NN 120/2014) - članak 4., stavak 3., točke 17. i 19. </w:t>
      </w:r>
    </w:p>
    <w:p w:rsidR="00505632" w:rsidRDefault="00505632" w:rsidP="00505632">
      <w:r>
        <w:t xml:space="preserve">3. Program suradnje odobren od strane Europske komisije 7. rujna 2015. (prioritetna os 5, Tehnička pomoć) </w:t>
      </w:r>
    </w:p>
    <w:p w:rsidR="00505632" w:rsidRDefault="00505632" w:rsidP="00505632">
      <w:r>
        <w:t xml:space="preserve">4. Suglasnost na program suradnje i utvrđeno nacionalno sufinanciranje programa od 19. veljače 2015. </w:t>
      </w:r>
    </w:p>
    <w:p w:rsidR="00505632" w:rsidRDefault="00505632" w:rsidP="00505632">
      <w:r>
        <w:t>5. Programski dokumenti – memorandum o razumijevanju i priručnik za tehničku pomoć</w:t>
      </w:r>
    </w:p>
    <w:p w:rsidR="00505632" w:rsidRDefault="00505632" w:rsidP="00505632">
      <w:pPr>
        <w:pStyle w:val="Heading8"/>
        <w:jc w:val="left"/>
      </w:pPr>
      <w:r>
        <w:t>Opis aktivnosti</w:t>
      </w:r>
    </w:p>
    <w:p w:rsidR="00505632" w:rsidRDefault="00505632" w:rsidP="00505632">
      <w:r>
        <w:t xml:space="preserve">Program prekogranične suradnje Mađarska-Hrvatska 2014.-2020.nastavak je prekogranične suradnje dviju država članica EU s manjim izmjenama prihvatljivog područja iz prethodnog razdoblja (Varaždinska, Bjelovarsko-bilogorska, Požeško-slavonska i Vukovarsko-srijemska županija postale su prihvatljivo područje, dok su u razdoblju 2007.- 2013. mogle sudjelovati kao pridruženo područje programa s ograničenim financijskim mogućnostima).   </w:t>
      </w:r>
    </w:p>
    <w:p w:rsidR="00505632" w:rsidRDefault="00505632" w:rsidP="00505632">
      <w:r>
        <w:t xml:space="preserve">Program će biti usmjeren na jačanje konkurentnosti malih i srednjih poduzeća, očuvanje i zaštitu okoliša, jačanje institucionalnih kapaciteta javnih tijela te ulaganje u obrazovanje.  </w:t>
      </w:r>
    </w:p>
    <w:p w:rsidR="00505632" w:rsidRDefault="00505632" w:rsidP="00505632">
      <w:r>
        <w:t xml:space="preserve">Kroz aktivnost su utrošena sredstva za troškove službenih putovanja odnosno sudjelovanja na sastancima Odbora za praćenje te troškove ureda predstavništva. </w:t>
      </w:r>
    </w:p>
    <w:p w:rsidR="00505632" w:rsidRDefault="00505632" w:rsidP="00505632">
      <w:r>
        <w:t xml:space="preserve">S obzirom da je program tek u 2016. godini započeo s provedbom, u 2017. i narednim godinama će trebati osigurati značajno više sredstava, od kojih će se najveći iznos odnositi na obvezno nacionalno sufinanciranje tehničke pomoći na godišnjoj razini. Inicijalno planirana uplata spomenutog nacionalnog sufinanciranja nije provedena u 2016. godini. </w:t>
      </w:r>
    </w:p>
    <w:p w:rsidR="00505632" w:rsidRDefault="00505632" w:rsidP="00505632">
      <w:r>
        <w:t>Odluka o financiranju projekata 1. poziva na dostavu projektnih prijedloga nije donesena u 2016. godini, kako je bilo planirano, te će se podatak o ugovorenim projektima ažurirati u 2017.</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Odbora za praćenje (kumulativ)</w:t>
            </w:r>
          </w:p>
        </w:tc>
        <w:tc>
          <w:tcPr>
            <w:tcW w:w="2551" w:type="dxa"/>
          </w:tcPr>
          <w:p w:rsidR="00505632" w:rsidRDefault="00505632" w:rsidP="00AD4E52">
            <w:pPr>
              <w:pStyle w:val="CellColumn"/>
              <w:jc w:val="left"/>
            </w:pPr>
            <w:r>
              <w:rPr>
                <w:rFonts w:cs="Times New Roman"/>
              </w:rPr>
              <w:t>Broj održanih informativnih i edukativnih radionica, konferencija, sastanaka Odbora za praćenje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8</w:t>
            </w:r>
          </w:p>
        </w:tc>
      </w:tr>
      <w:tr w:rsidR="00505632" w:rsidTr="00AD4E52">
        <w:trPr>
          <w:jc w:val="center"/>
        </w:trPr>
        <w:tc>
          <w:tcPr>
            <w:tcW w:w="2551" w:type="dxa"/>
          </w:tcPr>
          <w:p w:rsidR="00505632" w:rsidRDefault="00505632" w:rsidP="00AD4E52">
            <w:pPr>
              <w:pStyle w:val="CellColumn"/>
              <w:jc w:val="left"/>
            </w:pPr>
            <w:r>
              <w:rPr>
                <w:rFonts w:cs="Times New Roman"/>
              </w:rPr>
              <w:t>Broj objavljenih poziva na dostavu projektnih prijedloga (kumulativ)</w:t>
            </w:r>
          </w:p>
        </w:tc>
        <w:tc>
          <w:tcPr>
            <w:tcW w:w="2551" w:type="dxa"/>
          </w:tcPr>
          <w:p w:rsidR="00505632" w:rsidRDefault="00505632" w:rsidP="00AD4E52">
            <w:pPr>
              <w:pStyle w:val="CellColumn"/>
              <w:jc w:val="left"/>
            </w:pPr>
            <w:r>
              <w:rPr>
                <w:rFonts w:cs="Times New Roman"/>
              </w:rPr>
              <w:t>Objavljeni pozivi na dostavu projektnih prijedloga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Broj prijavljenih projektnih prijedloga s uključenim hrvatskim prijaviteljima na natječaje (kumulativ)</w:t>
            </w:r>
          </w:p>
        </w:tc>
        <w:tc>
          <w:tcPr>
            <w:tcW w:w="2551" w:type="dxa"/>
          </w:tcPr>
          <w:p w:rsidR="00505632" w:rsidRDefault="00505632" w:rsidP="00AD4E52">
            <w:pPr>
              <w:pStyle w:val="CellColumn"/>
              <w:jc w:val="left"/>
            </w:pPr>
            <w:r>
              <w:rPr>
                <w:rFonts w:cs="Times New Roman"/>
              </w:rPr>
              <w:t>Pojektni prijedlozi s uključenim hrvatskim prijaviteljima na natječaje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200</w:t>
            </w:r>
          </w:p>
        </w:tc>
        <w:tc>
          <w:tcPr>
            <w:tcW w:w="1020" w:type="dxa"/>
          </w:tcPr>
          <w:p w:rsidR="00505632" w:rsidRDefault="00505632" w:rsidP="00AD4E52">
            <w:pPr>
              <w:pStyle w:val="CellColumn"/>
              <w:jc w:val="right"/>
            </w:pPr>
            <w:r>
              <w:rPr>
                <w:rFonts w:cs="Times New Roman"/>
              </w:rPr>
              <w:t>208</w:t>
            </w:r>
          </w:p>
        </w:tc>
      </w:tr>
      <w:tr w:rsidR="00505632" w:rsidTr="00AD4E52">
        <w:trPr>
          <w:jc w:val="center"/>
        </w:trPr>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1020" w:type="dxa"/>
          </w:tcPr>
          <w:p w:rsidR="00505632" w:rsidRDefault="00505632" w:rsidP="00AD4E52">
            <w:pPr>
              <w:pStyle w:val="CellColumn"/>
              <w:jc w:val="right"/>
            </w:pPr>
            <w:r>
              <w:rPr>
                <w:rFonts w:cs="Times New Roman"/>
              </w:rPr>
              <w:t>milijuni EUR</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23</w:t>
            </w:r>
          </w:p>
        </w:tc>
        <w:tc>
          <w:tcPr>
            <w:tcW w:w="1020" w:type="dxa"/>
          </w:tcPr>
          <w:p w:rsidR="00505632" w:rsidRDefault="00505632" w:rsidP="00AD4E52">
            <w:pPr>
              <w:pStyle w:val="CellColumn"/>
              <w:jc w:val="right"/>
            </w:pPr>
            <w:r>
              <w:rPr>
                <w:rFonts w:cs="Times New Roman"/>
              </w:rPr>
              <w:t>1,8</w:t>
            </w:r>
          </w:p>
        </w:tc>
      </w:tr>
    </w:tbl>
    <w:p w:rsidR="00505632" w:rsidRDefault="00505632" w:rsidP="00505632">
      <w:pPr>
        <w:jc w:val="left"/>
      </w:pPr>
    </w:p>
    <w:p w:rsidR="00505632" w:rsidRDefault="00505632" w:rsidP="00505632">
      <w:pPr>
        <w:pStyle w:val="Heading4"/>
      </w:pPr>
      <w:r>
        <w:t>T758027 IPA II 2012 PROGRAM PREKOGRANIČNE SURADNJE HRVATSKA – BOSNA I HERCEGOVINA</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T758027-IPA II 2012 PROGRAM PREKOGRANIČNE SURADNJE HRVATSKA – BOSNA I HERCEGOVINA</w:t>
            </w:r>
          </w:p>
        </w:tc>
        <w:tc>
          <w:tcPr>
            <w:tcW w:w="2041" w:type="dxa"/>
          </w:tcPr>
          <w:p w:rsidR="00505632" w:rsidRDefault="00505632" w:rsidP="00AD4E52">
            <w:pPr>
              <w:pStyle w:val="CellColumn"/>
              <w:jc w:val="right"/>
            </w:pPr>
            <w:r>
              <w:rPr>
                <w:rFonts w:cs="Times New Roman"/>
              </w:rPr>
              <w:t>4.158.707</w:t>
            </w:r>
          </w:p>
        </w:tc>
        <w:tc>
          <w:tcPr>
            <w:tcW w:w="2041" w:type="dxa"/>
          </w:tcPr>
          <w:p w:rsidR="00505632" w:rsidRDefault="00505632" w:rsidP="00AD4E52">
            <w:pPr>
              <w:pStyle w:val="CellColumn"/>
              <w:jc w:val="right"/>
            </w:pPr>
            <w:r>
              <w:rPr>
                <w:rFonts w:cs="Times New Roman"/>
              </w:rPr>
              <w:t>1.270.238</w:t>
            </w:r>
          </w:p>
        </w:tc>
        <w:tc>
          <w:tcPr>
            <w:tcW w:w="2041" w:type="dxa"/>
          </w:tcPr>
          <w:p w:rsidR="00505632" w:rsidRDefault="00505632" w:rsidP="00AD4E52">
            <w:pPr>
              <w:pStyle w:val="CellColumn"/>
              <w:jc w:val="right"/>
            </w:pPr>
            <w:r>
              <w:rPr>
                <w:rFonts w:cs="Times New Roman"/>
              </w:rPr>
              <w:t>1.270.237</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30,5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potvrđivanju Sporazuma o financiranju između Vlade Republike Hrvatske i Europske komisije koji se odnosi na Program prekogranične suradnje Hrvatska – Srbija u okviru komponente Prekogranična suradnja programa IPA za 2012. i 2013. godinu (Međunarodni ugovori 10/2013) </w:t>
      </w:r>
    </w:p>
    <w:p w:rsidR="00505632" w:rsidRDefault="00505632" w:rsidP="00505632">
      <w:r>
        <w:t xml:space="preserve">2. Program suradnje kao dio Sporazuma o financiranju odobren od strane Europske komisije 7. prosinca 2012. (prioritet 3, Tehnička pomoć) </w:t>
      </w:r>
    </w:p>
    <w:p w:rsidR="00505632" w:rsidRDefault="00505632" w:rsidP="00505632">
      <w:r>
        <w:t xml:space="preserve">3. Ugovor o bespovratnim sredstvima tehničke pomoći (korisnik MRRFEU) </w:t>
      </w:r>
    </w:p>
    <w:p w:rsidR="00505632" w:rsidRDefault="00505632" w:rsidP="00505632">
      <w:r>
        <w:t xml:space="preserve">4. Uredba o opsegu i sadržaju odgovornosti te ovlastima tijela nadležnih za upravljanje Instrumentom pretpristupne pomoći (IPA) (NN 29/2012, 117/2012, 76/2013)  </w:t>
      </w:r>
    </w:p>
    <w:p w:rsidR="00505632" w:rsidRDefault="00505632" w:rsidP="00505632">
      <w:r>
        <w:t xml:space="preserve">5. Odluka o imenovanju osoba nadležnih za upravljanje Instrumentom pretpristupne pomoći (IPA) (NN 26/2012, 117/2012, 12/2013, 76/2013)  </w:t>
      </w:r>
    </w:p>
    <w:p w:rsidR="00505632" w:rsidRDefault="00505632" w:rsidP="00505632">
      <w:r>
        <w:t xml:space="preserve">6. Uredba o opsegu i sadržaju odgovornosti te ovlastima tijela nadležnih za upravljanje Instrumentom pretpristupne pomoći (IPA) (NN 155/2013)  </w:t>
      </w:r>
    </w:p>
    <w:p w:rsidR="00505632" w:rsidRDefault="00505632" w:rsidP="00505632">
      <w:r>
        <w:t xml:space="preserve">7. Odluka o imenovanju osoba nadležnih za upravljanje Instrumentom pretpristupne pomoći (IPA) (NN 155/2013)  </w:t>
      </w:r>
    </w:p>
    <w:p w:rsidR="00505632" w:rsidRDefault="00505632" w:rsidP="00505632">
      <w:r>
        <w:t xml:space="preserve">8. Uredba o opsegu i sadržaju odgovornosti te ovlastima tijela nadležnih za upravljanje Instrumentom pretpristupne pomoći i Prijelaznim instrumentom (IPA) (NN 84/2014, 78/2015)  </w:t>
      </w:r>
    </w:p>
    <w:p w:rsidR="00505632" w:rsidRDefault="00505632" w:rsidP="00505632">
      <w:r>
        <w:t xml:space="preserve">9. Odluka o imenovanju osoba nadležnih za upravljanje Instrumentom pretpristupne pomoći (IPA) i Prijelaznim instrumentom (NN 84/2014, 78/2015) </w:t>
      </w:r>
    </w:p>
    <w:p w:rsidR="00505632" w:rsidRDefault="00505632" w:rsidP="00505632">
      <w:r>
        <w:t xml:space="preserve">10. Provedbeni sporazum između Nacionalnog dužnosnika za ovjeravanje i čelnika Operativne strukture IPA IIb (izmjene 2012., 2013., 2015., 2016.)  </w:t>
      </w:r>
    </w:p>
    <w:p w:rsidR="00505632" w:rsidRDefault="00505632" w:rsidP="00505632">
      <w:r>
        <w:t>11. Operativni sporazum između čelnika Operativne strukture IPA IIb i Dužnosnika ovlaštenog za ovjeravanje programa (izmjene 2012., 2013., 2015., 2016.)</w:t>
      </w:r>
    </w:p>
    <w:p w:rsidR="00505632" w:rsidRDefault="00505632" w:rsidP="00505632">
      <w:pPr>
        <w:pStyle w:val="Heading8"/>
        <w:jc w:val="left"/>
      </w:pPr>
      <w:r>
        <w:t>Opis aktivnosti</w:t>
      </w:r>
    </w:p>
    <w:p w:rsidR="00505632" w:rsidRDefault="00505632" w:rsidP="00505632">
      <w:r>
        <w:t xml:space="preserve">Aktivnost se provodi na način da potiče stvaranje prekograničnih mreža i partnerstava, razvoj zajedničkih prekograničnih djelovanja u smjeru revitalizacije gospodarstva, zaštite prirode i okoliša, te jačanje socijalne kohezije na programskom području s neospornim prirodnim i kulturnim potencijalom koji nije dovoljno iskorišten.     </w:t>
      </w:r>
    </w:p>
    <w:p w:rsidR="00505632" w:rsidRDefault="00505632" w:rsidP="00505632">
      <w:r>
        <w:t xml:space="preserve">Dodatni je cilj programa izgradnja kapaciteta lokalnih, regionalnih i državnih institucija za upravljanje EU programima, te priprema za upravljanje budućim programima prekogranične suradnje. Planirani iznosi se odnose na isplate korisnicima programa koje se bilježe kao rashodi na izvoru 51 navedene aktivnosti.  </w:t>
      </w:r>
    </w:p>
    <w:p w:rsidR="00505632" w:rsidRDefault="00505632" w:rsidP="00505632">
      <w:r>
        <w:t xml:space="preserve">Aktivnost se odnosi na alokaciju za programsku godinu 2012. i ne planira se u narednim godinama, osim za isplate korisnicima programa koje provodi Agencija za regionalni razvoj RH preko prijelaznog konta MRRFEU i koji se bilježe kao rashodi na izvoru 51.  </w:t>
      </w:r>
    </w:p>
    <w:p w:rsidR="00505632" w:rsidRDefault="00505632" w:rsidP="00505632">
      <w:r>
        <w:t>Tijekom 2016. počela se koristiti nova alokacija, za 2013. godinu, koja je planirana na aktivnosti K680030. Kroz aktivnost su financirane plaće i službena putovanja Zajedničkog tehničkog tajništva (tri osobe), troškovi opreme i uredskog materijala te troškovi u vezi s organizacijom radionica, sastanaka i konferencija. Značajan dio sredstava utrošen u 2016. godini odnosi se na ranije spomenute isplate korisnicima programa.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(kumulativ)</w:t>
            </w:r>
          </w:p>
        </w:tc>
        <w:tc>
          <w:tcPr>
            <w:tcW w:w="2551" w:type="dxa"/>
          </w:tcPr>
          <w:p w:rsidR="00505632" w:rsidRDefault="00505632" w:rsidP="00AD4E52">
            <w:pPr>
              <w:pStyle w:val="CellColumn"/>
              <w:jc w:val="left"/>
            </w:pPr>
            <w:r>
              <w:rPr>
                <w:rFonts w:cs="Times New Roman"/>
              </w:rPr>
              <w:t>Broj održanih informativnih i edukativnih radionica, konferencija, sastanaka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55</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65</w:t>
            </w:r>
          </w:p>
        </w:tc>
        <w:tc>
          <w:tcPr>
            <w:tcW w:w="1020" w:type="dxa"/>
          </w:tcPr>
          <w:p w:rsidR="00505632" w:rsidRDefault="00505632" w:rsidP="00AD4E52">
            <w:pPr>
              <w:pStyle w:val="CellColumn"/>
              <w:jc w:val="right"/>
            </w:pPr>
            <w:r>
              <w:rPr>
                <w:rFonts w:cs="Times New Roman"/>
              </w:rPr>
              <w:t>65</w:t>
            </w:r>
          </w:p>
        </w:tc>
      </w:tr>
      <w:tr w:rsidR="00505632" w:rsidTr="00AD4E52">
        <w:trPr>
          <w:jc w:val="center"/>
        </w:trPr>
        <w:tc>
          <w:tcPr>
            <w:tcW w:w="2551" w:type="dxa"/>
          </w:tcPr>
          <w:p w:rsidR="00505632" w:rsidRDefault="00505632" w:rsidP="00AD4E52">
            <w:pPr>
              <w:pStyle w:val="CellColumn"/>
              <w:jc w:val="left"/>
            </w:pPr>
            <w:r>
              <w:rPr>
                <w:rFonts w:cs="Times New Roman"/>
              </w:rPr>
              <w:t>Broj prijavljenih projektnih prijedloga s uključenim hrvatskim prijaviteljima na natječaje (kumulativ)</w:t>
            </w:r>
          </w:p>
        </w:tc>
        <w:tc>
          <w:tcPr>
            <w:tcW w:w="2551" w:type="dxa"/>
          </w:tcPr>
          <w:p w:rsidR="00505632" w:rsidRDefault="00505632" w:rsidP="00AD4E52">
            <w:pPr>
              <w:pStyle w:val="CellColumn"/>
              <w:jc w:val="left"/>
            </w:pPr>
            <w:r>
              <w:rPr>
                <w:rFonts w:cs="Times New Roman"/>
              </w:rPr>
              <w:t>Projektni prijedlozi s uključenim hrvatskim prijaviteljima na natječaje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439</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439</w:t>
            </w:r>
          </w:p>
        </w:tc>
        <w:tc>
          <w:tcPr>
            <w:tcW w:w="1020" w:type="dxa"/>
          </w:tcPr>
          <w:p w:rsidR="00505632" w:rsidRDefault="00505632" w:rsidP="00AD4E52">
            <w:pPr>
              <w:pStyle w:val="CellColumn"/>
              <w:jc w:val="right"/>
            </w:pPr>
            <w:r>
              <w:rPr>
                <w:rFonts w:cs="Times New Roman"/>
              </w:rPr>
              <w:t>439</w:t>
            </w:r>
          </w:p>
        </w:tc>
      </w:tr>
      <w:tr w:rsidR="00505632" w:rsidTr="00AD4E52">
        <w:trPr>
          <w:jc w:val="center"/>
        </w:trPr>
        <w:tc>
          <w:tcPr>
            <w:tcW w:w="2551" w:type="dxa"/>
          </w:tcPr>
          <w:p w:rsidR="00505632" w:rsidRDefault="00505632" w:rsidP="00AD4E52">
            <w:pPr>
              <w:pStyle w:val="CellColumn"/>
              <w:jc w:val="left"/>
            </w:pPr>
            <w:r>
              <w:rPr>
                <w:rFonts w:cs="Times New Roman"/>
              </w:rPr>
              <w:t>Postotak ugovorenosti alokacija</w:t>
            </w:r>
          </w:p>
        </w:tc>
        <w:tc>
          <w:tcPr>
            <w:tcW w:w="2551" w:type="dxa"/>
          </w:tcPr>
          <w:p w:rsidR="00505632" w:rsidRDefault="00505632" w:rsidP="00AD4E52">
            <w:pPr>
              <w:pStyle w:val="CellColumn"/>
              <w:jc w:val="left"/>
            </w:pPr>
            <w:r>
              <w:rPr>
                <w:rFonts w:cs="Times New Roman"/>
              </w:rPr>
              <w:t>Postotak ugovorenosti alokacija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90</w:t>
            </w:r>
          </w:p>
        </w:tc>
      </w:tr>
    </w:tbl>
    <w:p w:rsidR="00505632" w:rsidRDefault="00505632" w:rsidP="00505632">
      <w:pPr>
        <w:jc w:val="left"/>
      </w:pPr>
    </w:p>
    <w:p w:rsidR="00505632" w:rsidRDefault="00505632" w:rsidP="00505632">
      <w:pPr>
        <w:pStyle w:val="Heading4"/>
      </w:pPr>
      <w:r>
        <w:t>T758035 IPA PROGRAM PREKOGRANIČNE SURADNJE HRVATSKA - BOSNA I HERCEGOVINA - CRNA GORA</w:t>
      </w:r>
    </w:p>
    <w:tbl>
      <w:tblPr>
        <w:tblStyle w:val="StilTablice"/>
        <w:tblW w:w="10206" w:type="dxa"/>
        <w:jc w:val="center"/>
        <w:tblLook w:val="04A0" w:firstRow="1" w:lastRow="0" w:firstColumn="1" w:lastColumn="0" w:noHBand="0" w:noVBand="1"/>
      </w:tblPr>
      <w:tblGrid>
        <w:gridCol w:w="1803"/>
        <w:gridCol w:w="1994"/>
        <w:gridCol w:w="1983"/>
        <w:gridCol w:w="1994"/>
        <w:gridCol w:w="1214"/>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T758035-IPA PROGRAM PREKOGRANIČNE SURADNJE HRVATSKA - BOSNA I HERCEGOVINA - CRNA GORA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3.000</w:t>
            </w:r>
          </w:p>
        </w:tc>
        <w:tc>
          <w:tcPr>
            <w:tcW w:w="2041" w:type="dxa"/>
          </w:tcPr>
          <w:p w:rsidR="00505632" w:rsidRDefault="00505632" w:rsidP="00AD4E52">
            <w:pPr>
              <w:pStyle w:val="CellColumn"/>
              <w:jc w:val="right"/>
            </w:pPr>
            <w:r>
              <w:rPr>
                <w:rFonts w:cs="Times New Roman"/>
              </w:rPr>
              <w:t>1.351</w:t>
            </w:r>
          </w:p>
        </w:tc>
        <w:tc>
          <w:tcPr>
            <w:tcW w:w="1224" w:type="dxa"/>
          </w:tcPr>
          <w:p w:rsidR="00505632" w:rsidRDefault="00505632" w:rsidP="00AD4E52">
            <w:pPr>
              <w:pStyle w:val="CellColumn"/>
              <w:jc w:val="right"/>
            </w:pPr>
            <w:r>
              <w:rPr>
                <w:rFonts w:cs="Times New Roman"/>
              </w:rPr>
              <w:t>45,0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uspostavi institucionalnog okvira za provedbu Europskih strukturnih i investicijskih fondova u Republici Hrvatskoj u financijskom razdoblju 2014. – 2020. (NN 92/2014), članak 4., stavak 2., točka 2 </w:t>
      </w:r>
    </w:p>
    <w:p w:rsidR="00505632" w:rsidRDefault="00505632" w:rsidP="00505632">
      <w:r>
        <w:t xml:space="preserve">2. Uredba o tijelima u sustavima upravljanja i kontrole za provedbu programa kojima se podržava cilj »Europska teritorijalna suradnja« u financijskom razdoblju 2014. – 2020. (NN 120/2014) - članak 4., stavak 3., točke 17. i 19. </w:t>
      </w:r>
    </w:p>
    <w:p w:rsidR="00505632" w:rsidRDefault="00505632" w:rsidP="00505632">
      <w:r>
        <w:t xml:space="preserve">3. Program suradnje odobren od strane Europske komisije 24. studenog 2015. (prioritetna os 5, Tehnička pomoć) </w:t>
      </w:r>
    </w:p>
    <w:p w:rsidR="00505632" w:rsidRDefault="00505632" w:rsidP="00505632">
      <w:r>
        <w:t xml:space="preserve">4. Suglasnost na program suradnje i utvrđeno nacionalno sufinanciranje programa od 13. studenog 2014. </w:t>
      </w:r>
    </w:p>
    <w:p w:rsidR="00505632" w:rsidRDefault="00505632" w:rsidP="00505632">
      <w:r>
        <w:t>5. Programski dokumenti – memorandum o razumijevanju i priručnik za tehničku pomoć</w:t>
      </w:r>
    </w:p>
    <w:p w:rsidR="00505632" w:rsidRDefault="00505632" w:rsidP="00505632">
      <w:pPr>
        <w:pStyle w:val="Heading8"/>
        <w:jc w:val="left"/>
      </w:pPr>
      <w:r>
        <w:t>Opis aktivnosti</w:t>
      </w:r>
    </w:p>
    <w:p w:rsidR="00505632" w:rsidRDefault="00505632" w:rsidP="00505632">
      <w:r>
        <w:t xml:space="preserve">Kroz program se za financiranje odabiru projekti koji pripadaju sljedećim prioritetima: javno zdravstvo i socijalna skrb, zaštita okoliša i bioraznolikosti, poboljšanje sustava upravljanja rizicima i promicanje održive energije i energetske učinkovitosti, razvoj turizma i očuvanje kulturne i prirodne baštine, konkurentnost i razvoj poslovnog okruženja.  </w:t>
      </w:r>
    </w:p>
    <w:p w:rsidR="00505632" w:rsidRDefault="00505632" w:rsidP="00505632">
      <w:r>
        <w:t xml:space="preserve">Kroz aktivnost su utrošena sredstva za troškove službenih putovanja odnosno sudjelovanja na sastancima Odbora za praćenje. </w:t>
      </w:r>
    </w:p>
    <w:p w:rsidR="00505632" w:rsidRDefault="00505632" w:rsidP="00505632">
      <w:r>
        <w:t>Inicijalno planirana uplata obveznog nacionalnog sufinanciranja tehničke pomoći na godišnjoj razini nije provedena u 2016. godini te će se planirati u narednim godinama.Odluka o financiranju projekata 1. poziva na dostavu projektnih prijedloga nije donesena u 2016. godini, kako je bilo planirano, te će se podatak o ugovorenim projektima ažurirati u 2017. godini.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Odbora za praćenje (kumulativ)</w:t>
            </w:r>
          </w:p>
        </w:tc>
        <w:tc>
          <w:tcPr>
            <w:tcW w:w="2551" w:type="dxa"/>
          </w:tcPr>
          <w:p w:rsidR="00505632" w:rsidRDefault="00505632" w:rsidP="00AD4E52">
            <w:pPr>
              <w:pStyle w:val="CellColumn"/>
              <w:jc w:val="left"/>
            </w:pPr>
            <w:r>
              <w:rPr>
                <w:rFonts w:cs="Times New Roman"/>
              </w:rPr>
              <w:t>Broj održanih informativnih i edukativnih radionica, konferencija, sastanaka Odbora za praćenje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Godišnje Izvješće o provedbi projekata</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3</w:t>
            </w:r>
          </w:p>
        </w:tc>
      </w:tr>
      <w:tr w:rsidR="00505632" w:rsidTr="00AD4E52">
        <w:trPr>
          <w:jc w:val="center"/>
        </w:trPr>
        <w:tc>
          <w:tcPr>
            <w:tcW w:w="2551" w:type="dxa"/>
          </w:tcPr>
          <w:p w:rsidR="00505632" w:rsidRDefault="00505632" w:rsidP="00AD4E52">
            <w:pPr>
              <w:pStyle w:val="CellColumn"/>
              <w:jc w:val="left"/>
            </w:pPr>
            <w:r>
              <w:rPr>
                <w:rFonts w:cs="Times New Roman"/>
              </w:rPr>
              <w:t>Broj objavljenih poziva na dostavu projektnih prijedloga (kumulativ)</w:t>
            </w:r>
          </w:p>
        </w:tc>
        <w:tc>
          <w:tcPr>
            <w:tcW w:w="2551" w:type="dxa"/>
          </w:tcPr>
          <w:p w:rsidR="00505632" w:rsidRDefault="00505632" w:rsidP="00AD4E52">
            <w:pPr>
              <w:pStyle w:val="CellColumn"/>
              <w:jc w:val="left"/>
            </w:pPr>
            <w:r>
              <w:rPr>
                <w:rFonts w:cs="Times New Roman"/>
              </w:rPr>
              <w:t>Objavljeni pozivi na dostavu projektnih prijedloga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Godišnje Izvješće o provedbi projekata</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Broj prijavljenih projektnih prijedloga s uključenim hrvatskim prijaviteljima na natječaje (kumulativ)</w:t>
            </w:r>
          </w:p>
        </w:tc>
        <w:tc>
          <w:tcPr>
            <w:tcW w:w="2551" w:type="dxa"/>
          </w:tcPr>
          <w:p w:rsidR="00505632" w:rsidRDefault="00505632" w:rsidP="00AD4E52">
            <w:pPr>
              <w:pStyle w:val="CellColumn"/>
              <w:jc w:val="left"/>
            </w:pPr>
            <w:r>
              <w:rPr>
                <w:rFonts w:cs="Times New Roman"/>
              </w:rPr>
              <w:t>Projektni prijedlozi s uključenim hrvatskim prijaviteljima na natječaje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Godišnje Izvješće o provedbi projekata</w:t>
            </w:r>
          </w:p>
        </w:tc>
        <w:tc>
          <w:tcPr>
            <w:tcW w:w="1020" w:type="dxa"/>
          </w:tcPr>
          <w:p w:rsidR="00505632" w:rsidRDefault="00505632" w:rsidP="00AD4E52">
            <w:pPr>
              <w:pStyle w:val="CellColumn"/>
              <w:jc w:val="right"/>
            </w:pPr>
            <w:r>
              <w:rPr>
                <w:rFonts w:cs="Times New Roman"/>
              </w:rPr>
              <w:t>200</w:t>
            </w:r>
          </w:p>
        </w:tc>
        <w:tc>
          <w:tcPr>
            <w:tcW w:w="1020" w:type="dxa"/>
          </w:tcPr>
          <w:p w:rsidR="00505632" w:rsidRDefault="00505632" w:rsidP="00AD4E52">
            <w:pPr>
              <w:pStyle w:val="CellColumn"/>
              <w:jc w:val="right"/>
            </w:pPr>
            <w:r>
              <w:rPr>
                <w:rFonts w:cs="Times New Roman"/>
              </w:rPr>
              <w:t>164</w:t>
            </w:r>
          </w:p>
        </w:tc>
      </w:tr>
      <w:tr w:rsidR="00505632" w:rsidTr="00AD4E52">
        <w:trPr>
          <w:jc w:val="center"/>
        </w:trPr>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1020" w:type="dxa"/>
          </w:tcPr>
          <w:p w:rsidR="00505632" w:rsidRDefault="00505632" w:rsidP="00AD4E52">
            <w:pPr>
              <w:pStyle w:val="CellColumn"/>
              <w:jc w:val="right"/>
            </w:pPr>
            <w:r>
              <w:rPr>
                <w:rFonts w:cs="Times New Roman"/>
              </w:rPr>
              <w:t>milijuni EUR</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Godišnje Izvješće o provedbi projekata</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T758036 PROGRAM PREKOGRANIČNE SURADNJE ITALIJA - HRVATSKA</w:t>
      </w:r>
    </w:p>
    <w:tbl>
      <w:tblPr>
        <w:tblStyle w:val="StilTablice"/>
        <w:tblW w:w="10206" w:type="dxa"/>
        <w:jc w:val="center"/>
        <w:tblLook w:val="04A0" w:firstRow="1" w:lastRow="0" w:firstColumn="1" w:lastColumn="0" w:noHBand="0" w:noVBand="1"/>
      </w:tblPr>
      <w:tblGrid>
        <w:gridCol w:w="1803"/>
        <w:gridCol w:w="1992"/>
        <w:gridCol w:w="1986"/>
        <w:gridCol w:w="1993"/>
        <w:gridCol w:w="1214"/>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T758036-PROGRAM PREKOGRANIČNE SURADNJE ITALIJA - HRVATSKA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85.000</w:t>
            </w:r>
          </w:p>
        </w:tc>
        <w:tc>
          <w:tcPr>
            <w:tcW w:w="2041" w:type="dxa"/>
          </w:tcPr>
          <w:p w:rsidR="00505632" w:rsidRDefault="00505632" w:rsidP="00AD4E52">
            <w:pPr>
              <w:pStyle w:val="CellColumn"/>
              <w:jc w:val="right"/>
            </w:pPr>
            <w:r>
              <w:rPr>
                <w:rFonts w:cs="Times New Roman"/>
              </w:rPr>
              <w:t>25.575</w:t>
            </w:r>
          </w:p>
        </w:tc>
        <w:tc>
          <w:tcPr>
            <w:tcW w:w="1224" w:type="dxa"/>
          </w:tcPr>
          <w:p w:rsidR="00505632" w:rsidRDefault="00505632" w:rsidP="00AD4E52">
            <w:pPr>
              <w:pStyle w:val="CellColumn"/>
              <w:jc w:val="right"/>
            </w:pPr>
            <w:r>
              <w:rPr>
                <w:rFonts w:cs="Times New Roman"/>
              </w:rPr>
              <w:t>30,1</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uspostavi institucionalnog okvira za provedbu Europskih strukturnih i investicijskih fondova u Republici Hrvatskoj u financijskom razdoblju 2014. – 2020. (NN 92/2014), članak 4., stavak 2., točka 2 </w:t>
      </w:r>
    </w:p>
    <w:p w:rsidR="00505632" w:rsidRDefault="00505632" w:rsidP="00505632">
      <w:r>
        <w:t xml:space="preserve">2. Uredba o tijelima u sustavima upravljanja i kontrole za provedbu programa kojima se podržava cilj »Europska teritorijalna suradnja« u financijskom razdoblju 2014. – 2020. (NN 120/2014) - članak 4., stavak 3., točke 17. i 19. </w:t>
      </w:r>
    </w:p>
    <w:p w:rsidR="00505632" w:rsidRDefault="00505632" w:rsidP="00505632">
      <w:r>
        <w:t xml:space="preserve">3. Program suradnje odobren od strane Europske komisije 15. prosinca 2015. (prioritetna os 5, Tehnička pomoć) </w:t>
      </w:r>
    </w:p>
    <w:p w:rsidR="00505632" w:rsidRDefault="00505632" w:rsidP="00505632">
      <w:r>
        <w:t>4. Suglasnost na program suradnje i utvrđeno nacionalno sufinanciranje programa od 12. kolovoza 2015.</w:t>
      </w:r>
    </w:p>
    <w:p w:rsidR="00505632" w:rsidRDefault="00505632" w:rsidP="00505632">
      <w:pPr>
        <w:pStyle w:val="Heading8"/>
        <w:jc w:val="left"/>
      </w:pPr>
      <w:r>
        <w:t>Opis aktivnosti</w:t>
      </w:r>
    </w:p>
    <w:p w:rsidR="00505632" w:rsidRDefault="00505632" w:rsidP="00505632">
      <w:r>
        <w:t xml:space="preserve">Bilateralni Program prekogranične suradnje Italija – Hrvatska 2014.- 2020. značajna je novost u odnosu na prethodno programsko razdoblje jer se suradnja dviju država odvijala uglavnom u kontekstu multilateralnog IPA programa Jadranska prekogranična suradnja te programa transnacionalne suradnje Mediteran i Jugoistočna Europa. </w:t>
      </w:r>
    </w:p>
    <w:p w:rsidR="00505632" w:rsidRDefault="00505632" w:rsidP="00505632">
      <w:r>
        <w:t xml:space="preserve">Program će se provoditi kroz sljedeće programske prioritete: 1. Plave inovacije, 2. Sigurnost i otpornost, 3. Okoliš i kulturna baština i 4. Pomorski prijevoz.  </w:t>
      </w:r>
    </w:p>
    <w:p w:rsidR="00505632" w:rsidRDefault="00505632" w:rsidP="00505632">
      <w:r>
        <w:t>Kroz aktivnost su u 2016. godini uglavnom financirana službena putovanja odnosno sudjelovanje na programskim sastancima. Planirani trošak organizacija informativnih radionica nije ostvaren jer je objava 1. poziva na dostavu projektnih prijedloga odgođena za 2017. godinu, zbog čega nisu ostvareni ni planirani pokazatelji rezultata.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Odbora za praćenje (kumulativ)</w:t>
            </w:r>
          </w:p>
        </w:tc>
        <w:tc>
          <w:tcPr>
            <w:tcW w:w="2551" w:type="dxa"/>
          </w:tcPr>
          <w:p w:rsidR="00505632" w:rsidRDefault="00505632" w:rsidP="00AD4E52">
            <w:pPr>
              <w:pStyle w:val="CellColumn"/>
              <w:jc w:val="left"/>
            </w:pPr>
            <w:r>
              <w:rPr>
                <w:rFonts w:cs="Times New Roman"/>
              </w:rPr>
              <w:t>Broj održanih informativnih i edukativnih radionica, konferencija, sastanaka Odbora za praćenje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3</w:t>
            </w:r>
          </w:p>
        </w:tc>
      </w:tr>
      <w:tr w:rsidR="00505632" w:rsidTr="00AD4E52">
        <w:trPr>
          <w:jc w:val="center"/>
        </w:trPr>
        <w:tc>
          <w:tcPr>
            <w:tcW w:w="2551" w:type="dxa"/>
          </w:tcPr>
          <w:p w:rsidR="00505632" w:rsidRDefault="00505632" w:rsidP="00AD4E52">
            <w:pPr>
              <w:pStyle w:val="CellColumn"/>
              <w:jc w:val="left"/>
            </w:pPr>
            <w:r>
              <w:rPr>
                <w:rFonts w:cs="Times New Roman"/>
              </w:rPr>
              <w:t>Broj objavljenih poziva na dostavu projektnih prijedloga (kumulativ)</w:t>
            </w:r>
          </w:p>
        </w:tc>
        <w:tc>
          <w:tcPr>
            <w:tcW w:w="2551" w:type="dxa"/>
          </w:tcPr>
          <w:p w:rsidR="00505632" w:rsidRDefault="00505632" w:rsidP="00AD4E52">
            <w:pPr>
              <w:pStyle w:val="CellColumn"/>
              <w:jc w:val="left"/>
            </w:pPr>
            <w:r>
              <w:rPr>
                <w:rFonts w:cs="Times New Roman"/>
              </w:rPr>
              <w:t>Objavljeni pozivi na dostavu projektnih prijedloga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Broj prijavljenih projektnih prijedloga s uključenim hrvatskim prijaviteljima na natječaje (kumulativ)</w:t>
            </w:r>
          </w:p>
        </w:tc>
        <w:tc>
          <w:tcPr>
            <w:tcW w:w="2551" w:type="dxa"/>
          </w:tcPr>
          <w:p w:rsidR="00505632" w:rsidRDefault="00505632" w:rsidP="00AD4E52">
            <w:pPr>
              <w:pStyle w:val="CellColumn"/>
              <w:jc w:val="left"/>
            </w:pPr>
            <w:r>
              <w:rPr>
                <w:rFonts w:cs="Times New Roman"/>
              </w:rPr>
              <w:t>Projektni prijedlozi s uključenim hrvatskim prijaviteljima na natječaje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300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1020" w:type="dxa"/>
          </w:tcPr>
          <w:p w:rsidR="00505632" w:rsidRDefault="00505632" w:rsidP="00AD4E52">
            <w:pPr>
              <w:pStyle w:val="CellColumn"/>
              <w:jc w:val="right"/>
            </w:pPr>
            <w:r>
              <w:rPr>
                <w:rFonts w:cs="Times New Roman"/>
              </w:rPr>
              <w:t>milijuni EUR</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T758038 JADRANSKO - JONSKI PROGRAM TRANSNACIONALNE SURADNJE</w:t>
      </w:r>
    </w:p>
    <w:tbl>
      <w:tblPr>
        <w:tblStyle w:val="StilTablice"/>
        <w:tblW w:w="10206" w:type="dxa"/>
        <w:jc w:val="center"/>
        <w:tblLook w:val="04A0" w:firstRow="1" w:lastRow="0" w:firstColumn="1" w:lastColumn="0" w:noHBand="0" w:noVBand="1"/>
      </w:tblPr>
      <w:tblGrid>
        <w:gridCol w:w="2081"/>
        <w:gridCol w:w="1913"/>
        <w:gridCol w:w="1894"/>
        <w:gridCol w:w="1914"/>
        <w:gridCol w:w="1196"/>
        <w:gridCol w:w="120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T758038-JADRANSKO - JONSKI PROGRAM TRANSNACIONALNE SURADNJE</w:t>
            </w:r>
          </w:p>
        </w:tc>
        <w:tc>
          <w:tcPr>
            <w:tcW w:w="2041" w:type="dxa"/>
          </w:tcPr>
          <w:p w:rsidR="00505632" w:rsidRDefault="00505632" w:rsidP="00AD4E52">
            <w:pPr>
              <w:pStyle w:val="CellColumn"/>
              <w:jc w:val="right"/>
            </w:pPr>
            <w:r>
              <w:rPr>
                <w:rFonts w:cs="Times New Roman"/>
              </w:rPr>
              <w:t>4.535</w:t>
            </w:r>
          </w:p>
        </w:tc>
        <w:tc>
          <w:tcPr>
            <w:tcW w:w="2041" w:type="dxa"/>
          </w:tcPr>
          <w:p w:rsidR="00505632" w:rsidRDefault="00505632" w:rsidP="00AD4E52">
            <w:pPr>
              <w:pStyle w:val="CellColumn"/>
              <w:jc w:val="right"/>
            </w:pPr>
            <w:r>
              <w:rPr>
                <w:rFonts w:cs="Times New Roman"/>
              </w:rPr>
              <w:t>36.000</w:t>
            </w:r>
          </w:p>
        </w:tc>
        <w:tc>
          <w:tcPr>
            <w:tcW w:w="2041" w:type="dxa"/>
          </w:tcPr>
          <w:p w:rsidR="00505632" w:rsidRDefault="00505632" w:rsidP="00AD4E52">
            <w:pPr>
              <w:pStyle w:val="CellColumn"/>
              <w:jc w:val="right"/>
            </w:pPr>
            <w:r>
              <w:rPr>
                <w:rFonts w:cs="Times New Roman"/>
              </w:rPr>
              <w:t>29.741</w:t>
            </w:r>
          </w:p>
        </w:tc>
        <w:tc>
          <w:tcPr>
            <w:tcW w:w="1224" w:type="dxa"/>
          </w:tcPr>
          <w:p w:rsidR="00505632" w:rsidRDefault="00505632" w:rsidP="00AD4E52">
            <w:pPr>
              <w:pStyle w:val="CellColumn"/>
              <w:jc w:val="right"/>
            </w:pPr>
            <w:r>
              <w:rPr>
                <w:rFonts w:cs="Times New Roman"/>
              </w:rPr>
              <w:t>82,6</w:t>
            </w:r>
          </w:p>
        </w:tc>
        <w:tc>
          <w:tcPr>
            <w:tcW w:w="1224" w:type="dxa"/>
          </w:tcPr>
          <w:p w:rsidR="00505632" w:rsidRDefault="00505632" w:rsidP="00AD4E52">
            <w:pPr>
              <w:pStyle w:val="CellColumn"/>
              <w:jc w:val="right"/>
            </w:pPr>
            <w:r>
              <w:rPr>
                <w:rFonts w:cs="Times New Roman"/>
              </w:rPr>
              <w:t>655,8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uspostavi institucionalnog okvira za provedbu Europskih strukturnih i investicijskih fondova u Republici Hrvatskoj u financijskom razdoblju 2014. – 2020. (NN 92/2014), članak 4., stavak 2., točka 2 </w:t>
      </w:r>
    </w:p>
    <w:p w:rsidR="00505632" w:rsidRDefault="00505632" w:rsidP="00505632">
      <w:r>
        <w:t xml:space="preserve">2. Uredba o tijelima u sustavima upravljanja i kontrole za provedbu programa kojima se podržava cilj »Europska teritorijalna suradnja« u financijskom razdoblju 2014. – 2020. (NN 120/2014) - članak 4., stavak 3., točke 17. i 19. </w:t>
      </w:r>
    </w:p>
    <w:p w:rsidR="00505632" w:rsidRDefault="00505632" w:rsidP="00505632">
      <w:r>
        <w:t xml:space="preserve">3. Program suradnje odobren od strane Europske komisije 20. listopada 2015. (prioritetna os 5, Tehnička pomoć) </w:t>
      </w:r>
    </w:p>
    <w:p w:rsidR="00505632" w:rsidRDefault="00505632" w:rsidP="00505632">
      <w:r>
        <w:t xml:space="preserve">4. Suglasnost na program suradnje i utvrđeno nacionalno sufinanciranje programa od 7. studenog 2014. </w:t>
      </w:r>
    </w:p>
    <w:p w:rsidR="00505632" w:rsidRDefault="00505632" w:rsidP="00505632">
      <w:r>
        <w:t>5. Programski dokumenti - priručnik za tehničku pomoć</w:t>
      </w:r>
    </w:p>
    <w:p w:rsidR="00505632" w:rsidRDefault="00505632" w:rsidP="00505632">
      <w:pPr>
        <w:pStyle w:val="Heading8"/>
        <w:jc w:val="left"/>
      </w:pPr>
      <w:r>
        <w:t>Opis aktivnosti</w:t>
      </w:r>
    </w:p>
    <w:p w:rsidR="00505632" w:rsidRDefault="00505632" w:rsidP="00505632">
      <w:r>
        <w:t xml:space="preserve">Jadransko-jonski program transnacionalne suradnje koji će se provoditi u financijskom razdoblju 2014.-2020., sukladno dogovoru s Europskom komisijom, sadržajno će se vezati uz prioritetna područja Strategije za jadransku i jonsku regiju (EUSAIR) odnosno bit će jedan od izvora financiranja Strategije. U programu sudjeluju četiri države članice Europske unije: Slovenija, Italija, Grčka i Hrvatska te četiri IPA države: Bosna i Hercegovina, Crna Gora, Srbija i Albanija, a bit će usmjeren na područja istraživanja i razvoja, prelazak na ekonomije s niskom razinom emisije CO2, očuvanje i zaštitu okoliša, promicanje održivog prometa te jačanje institucionalnih kapaciteta javnih tijela.   </w:t>
      </w:r>
    </w:p>
    <w:p w:rsidR="00505632" w:rsidRDefault="00505632" w:rsidP="00505632">
      <w:r>
        <w:t>Kroz aktivnost su plaćeni troškovi službenih putovanja vezanih uz sudjelovanje na programskim sastancima. U 2016. godini održana je jedna informativna radionica za potencijalne hrvatske prijavitelje i dva sastanka Odbora za praćenje. Inicijalno planirana uplata nacionalnog sufinanciranja tehničke pomoći nije provedena u 2016. godini te će se planirati u narednim godinama. Odluka o financiranju projekata 1. poziva na dostavu projektnih prijedloga nije donesena u 2016. godini, kako je bilo planirano, te će se podatak o ugovorenim projektima ažurirati u 2017. godini.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informativnih i edukativnih radionica, konferencija, sastanaka Odbora za praćenje (kumulativ)</w:t>
            </w:r>
          </w:p>
        </w:tc>
        <w:tc>
          <w:tcPr>
            <w:tcW w:w="2551" w:type="dxa"/>
          </w:tcPr>
          <w:p w:rsidR="00505632" w:rsidRDefault="00505632" w:rsidP="00AD4E52">
            <w:pPr>
              <w:pStyle w:val="CellColumn"/>
              <w:jc w:val="left"/>
            </w:pPr>
            <w:r>
              <w:rPr>
                <w:rFonts w:cs="Times New Roman"/>
              </w:rPr>
              <w:t>Broj održanih informativnih i edukativnih radionica, konferencija, sastanaka Odbora za praćenje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5</w:t>
            </w:r>
          </w:p>
        </w:tc>
      </w:tr>
      <w:tr w:rsidR="00505632" w:rsidTr="00AD4E52">
        <w:trPr>
          <w:jc w:val="center"/>
        </w:trPr>
        <w:tc>
          <w:tcPr>
            <w:tcW w:w="2551" w:type="dxa"/>
          </w:tcPr>
          <w:p w:rsidR="00505632" w:rsidRDefault="00505632" w:rsidP="00AD4E52">
            <w:pPr>
              <w:pStyle w:val="CellColumn"/>
              <w:jc w:val="left"/>
            </w:pPr>
            <w:r>
              <w:rPr>
                <w:rFonts w:cs="Times New Roman"/>
              </w:rPr>
              <w:t>Broj objavljenih poziva na dostavu projektnih prijedloga (kumulativ)</w:t>
            </w:r>
          </w:p>
        </w:tc>
        <w:tc>
          <w:tcPr>
            <w:tcW w:w="2551" w:type="dxa"/>
          </w:tcPr>
          <w:p w:rsidR="00505632" w:rsidRDefault="00505632" w:rsidP="00AD4E52">
            <w:pPr>
              <w:pStyle w:val="CellColumn"/>
              <w:jc w:val="left"/>
            </w:pPr>
            <w:r>
              <w:rPr>
                <w:rFonts w:cs="Times New Roman"/>
              </w:rPr>
              <w:t>Objavljeni pozivi na dostavu projektnih prijedloga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Broj prijavljenih projektnih prijedloga s uključenim hrvatskim prijaviteljima natječaje (kumulativ)</w:t>
            </w:r>
          </w:p>
        </w:tc>
        <w:tc>
          <w:tcPr>
            <w:tcW w:w="2551" w:type="dxa"/>
          </w:tcPr>
          <w:p w:rsidR="00505632" w:rsidRDefault="00505632" w:rsidP="00AD4E52">
            <w:pPr>
              <w:pStyle w:val="CellColumn"/>
              <w:jc w:val="left"/>
            </w:pPr>
            <w:r>
              <w:rPr>
                <w:rFonts w:cs="Times New Roman"/>
              </w:rPr>
              <w:t>Projektni prijedlozi s uključenim hrvatskim prijaviteljima na natječaje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300</w:t>
            </w:r>
          </w:p>
        </w:tc>
        <w:tc>
          <w:tcPr>
            <w:tcW w:w="1020" w:type="dxa"/>
          </w:tcPr>
          <w:p w:rsidR="00505632" w:rsidRDefault="00505632" w:rsidP="00AD4E52">
            <w:pPr>
              <w:pStyle w:val="CellColumn"/>
              <w:jc w:val="right"/>
            </w:pPr>
            <w:r>
              <w:rPr>
                <w:rFonts w:cs="Times New Roman"/>
              </w:rPr>
              <w:t>275</w:t>
            </w:r>
          </w:p>
        </w:tc>
      </w:tr>
      <w:tr w:rsidR="00505632" w:rsidTr="00AD4E52">
        <w:trPr>
          <w:jc w:val="center"/>
        </w:trPr>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2551" w:type="dxa"/>
          </w:tcPr>
          <w:p w:rsidR="00505632" w:rsidRDefault="00505632" w:rsidP="00AD4E52">
            <w:pPr>
              <w:pStyle w:val="CellColumn"/>
              <w:jc w:val="left"/>
            </w:pPr>
            <w:r>
              <w:rPr>
                <w:rFonts w:cs="Times New Roman"/>
              </w:rPr>
              <w:t>Financijska vrijednost ugovorenih projekata – dio koji se odnosi na hrvatske partnere (kumulativ)</w:t>
            </w:r>
          </w:p>
        </w:tc>
        <w:tc>
          <w:tcPr>
            <w:tcW w:w="1020" w:type="dxa"/>
          </w:tcPr>
          <w:p w:rsidR="00505632" w:rsidRDefault="00505632" w:rsidP="00AD4E52">
            <w:pPr>
              <w:pStyle w:val="CellColumn"/>
              <w:jc w:val="right"/>
            </w:pPr>
            <w:r>
              <w:rPr>
                <w:rFonts w:cs="Times New Roman"/>
              </w:rPr>
              <w:t>milijuni EUR</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Godišnja Izvješća o provedbi programa</w:t>
            </w:r>
          </w:p>
        </w:tc>
        <w:tc>
          <w:tcPr>
            <w:tcW w:w="1020" w:type="dxa"/>
          </w:tcPr>
          <w:p w:rsidR="00505632" w:rsidRDefault="00505632" w:rsidP="00AD4E52">
            <w:pPr>
              <w:pStyle w:val="CellColumn"/>
              <w:jc w:val="right"/>
            </w:pPr>
            <w:r>
              <w:rPr>
                <w:rFonts w:cs="Times New Roman"/>
              </w:rPr>
              <w:t>6</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3"/>
      </w:pPr>
      <w:r>
        <w:rPr>
          <w:rFonts w:cs="Times New Roman"/>
        </w:rPr>
        <w:t>2904 ODRŽIVI RAZVOJ JADRANSKIH OTOKA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2904-ODRŽIVI RAZVOJ JADRANSKIH OTOKA</w:t>
            </w:r>
          </w:p>
        </w:tc>
        <w:tc>
          <w:tcPr>
            <w:tcW w:w="2041" w:type="dxa"/>
          </w:tcPr>
          <w:p w:rsidR="00505632" w:rsidRDefault="00505632" w:rsidP="00AD4E52">
            <w:pPr>
              <w:pStyle w:val="CellColumn"/>
              <w:jc w:val="right"/>
            </w:pPr>
            <w:r>
              <w:rPr>
                <w:rFonts w:cs="Times New Roman"/>
              </w:rPr>
              <w:t>146.611.694</w:t>
            </w:r>
          </w:p>
        </w:tc>
        <w:tc>
          <w:tcPr>
            <w:tcW w:w="2041" w:type="dxa"/>
          </w:tcPr>
          <w:p w:rsidR="00505632" w:rsidRDefault="00505632" w:rsidP="00AD4E52">
            <w:pPr>
              <w:pStyle w:val="CellColumn"/>
              <w:jc w:val="right"/>
            </w:pPr>
            <w:r>
              <w:rPr>
                <w:rFonts w:cs="Times New Roman"/>
              </w:rPr>
              <w:t>151.700.096</w:t>
            </w:r>
          </w:p>
        </w:tc>
        <w:tc>
          <w:tcPr>
            <w:tcW w:w="2041" w:type="dxa"/>
          </w:tcPr>
          <w:p w:rsidR="00505632" w:rsidRDefault="00505632" w:rsidP="00AD4E52">
            <w:pPr>
              <w:pStyle w:val="CellColumn"/>
              <w:jc w:val="right"/>
            </w:pPr>
            <w:r>
              <w:rPr>
                <w:rFonts w:cs="Times New Roman"/>
              </w:rPr>
              <w:t>135.366.387</w:t>
            </w:r>
          </w:p>
        </w:tc>
        <w:tc>
          <w:tcPr>
            <w:tcW w:w="1224" w:type="dxa"/>
          </w:tcPr>
          <w:p w:rsidR="00505632" w:rsidRDefault="00505632" w:rsidP="00AD4E52">
            <w:pPr>
              <w:pStyle w:val="CellColumn"/>
              <w:jc w:val="right"/>
            </w:pPr>
            <w:r>
              <w:rPr>
                <w:rFonts w:cs="Times New Roman"/>
              </w:rPr>
              <w:t>89,2</w:t>
            </w:r>
          </w:p>
        </w:tc>
        <w:tc>
          <w:tcPr>
            <w:tcW w:w="1224" w:type="dxa"/>
          </w:tcPr>
          <w:p w:rsidR="00505632" w:rsidRDefault="00505632" w:rsidP="00AD4E52">
            <w:pPr>
              <w:pStyle w:val="CellColumn"/>
              <w:jc w:val="right"/>
            </w:pPr>
            <w:r>
              <w:rPr>
                <w:rFonts w:cs="Times New Roman"/>
              </w:rPr>
              <w:t>92,3</w:t>
            </w:r>
          </w:p>
        </w:tc>
      </w:tr>
    </w:tbl>
    <w:p w:rsidR="00505632" w:rsidRDefault="00505632" w:rsidP="00505632">
      <w:pPr>
        <w:jc w:val="left"/>
      </w:pPr>
    </w:p>
    <w:p w:rsidR="00505632" w:rsidRDefault="00505632" w:rsidP="00505632">
      <w:r>
        <w:t xml:space="preserve">Program se temelji na održivom razvoju otoka kroz poticanje demografskog preporoda i gospodarskog razvoja.  </w:t>
      </w:r>
    </w:p>
    <w:p w:rsidR="00505632" w:rsidRDefault="00505632" w:rsidP="00505632">
      <w:r>
        <w:t xml:space="preserve">S obzirom na specifičan geografski položaj hrvatskih otoka i njihovu demografsku strukturu, potrebno je, između ostalog, sustavno planirati i ulagati u izgradnju objekata komunalne i društvene infrastrukture. Iako su pojedini otoci, odnosno njihova područja, dosegli značajan nivo razvijenosti u odnosu na prethodno razdoblje i dalje je potrebno ulagati velike napore u njihov daljnji razvoj kako bi se, u konačnici, motiviralo otočno stanovništvo na ostanak na navedenim područjima i po mogućnosti povećao njegov broj.  </w:t>
      </w:r>
    </w:p>
    <w:p w:rsidR="00505632" w:rsidRDefault="00505632" w:rsidP="00505632">
      <w:r>
        <w:t>Poticanje gospodarskih aktivnosti na otocima provodi se kontinuirano od 2007. godine s namjerom da se poboljšaju uvjeti života na hrvatskim otocima i na području koje njima gravitira, na način da se prvenstveno stimulira proizvodnja osnivanjem proizvodnih i uslužnih subjekata na otocima čime se pospješuje zapošljavanje domicilnog radno sposobnog stanovništva i otvara mogućnost doseljavanja svih zainteresiranih koji žele živjeti i raditi na otocima.Program se provodi kroz aktivnosti kojima se podržavaju projekti izgradnje komunalne i društvene infrastrukture, što obuhvaća izgradnju vodoopskrbe i odvodnje, objekte za potrebe zdravstva i socijalne skrbi, škola, dječjih vrtića, te javnih objekata, projektima oživljavanja gospodarstva</w:t>
      </w:r>
    </w:p>
    <w:p w:rsidR="00505632" w:rsidRDefault="00505632" w:rsidP="00505632">
      <w:pPr>
        <w:pStyle w:val="Heading8"/>
        <w:jc w:val="left"/>
      </w:pPr>
      <w:r>
        <w:t>Cilj 1. Održivi razvoj otoka</w:t>
      </w:r>
    </w:p>
    <w:p w:rsidR="00505632" w:rsidRDefault="00505632" w:rsidP="00505632">
      <w:pPr>
        <w:pStyle w:val="Heading8"/>
        <w:jc w:val="left"/>
      </w:pPr>
      <w:r>
        <w:t>Opis provedbe cilja programa</w:t>
      </w:r>
    </w:p>
    <w:p w:rsidR="00505632" w:rsidRDefault="00505632" w:rsidP="00505632">
      <w:r>
        <w:t>Provedbom ovog cilja nastojalo se dodatno ujednačiti životne uvjete stanovništva na otocima i kopnu kroz smanjenje životnih troškova, čime se nastojalo izravno utjecati na smanjenje migriranja na područja gdje su manji troškovi života. To je u konačnici rezultiralo porastom broja stanovnika na otocima i razvojem gospodarstva.</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stanovnika na otocima</w:t>
            </w:r>
          </w:p>
        </w:tc>
        <w:tc>
          <w:tcPr>
            <w:tcW w:w="2551" w:type="dxa"/>
          </w:tcPr>
          <w:p w:rsidR="00505632" w:rsidRDefault="00505632" w:rsidP="00AD4E52">
            <w:pPr>
              <w:pStyle w:val="CellColumn"/>
              <w:jc w:val="left"/>
            </w:pPr>
            <w:r>
              <w:rPr>
                <w:rFonts w:cs="Times New Roman"/>
              </w:rPr>
              <w:t>Povećanjem razine izgrađenosti komunalne i društvene infrastrukture te razvojem i potporom otočnom gospodarstvu poboljšat će se uvjeti života na otocima što će rezultirati ostankom stanovnika na otocima, odnosno smanjenom depopulacijom</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132.756</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132.756</w:t>
            </w:r>
          </w:p>
        </w:tc>
        <w:tc>
          <w:tcPr>
            <w:tcW w:w="1020" w:type="dxa"/>
          </w:tcPr>
          <w:p w:rsidR="00505632" w:rsidRDefault="00505632" w:rsidP="00AD4E52">
            <w:pPr>
              <w:pStyle w:val="CellColumn"/>
              <w:jc w:val="right"/>
            </w:pPr>
            <w:r>
              <w:rPr>
                <w:rFonts w:cs="Times New Roman"/>
              </w:rPr>
              <w:t>132.756</w:t>
            </w:r>
          </w:p>
        </w:tc>
      </w:tr>
    </w:tbl>
    <w:p w:rsidR="00505632" w:rsidRDefault="00505632" w:rsidP="00505632">
      <w:pPr>
        <w:jc w:val="left"/>
      </w:pPr>
    </w:p>
    <w:p w:rsidR="00505632" w:rsidRDefault="00505632" w:rsidP="00505632">
      <w:pPr>
        <w:pStyle w:val="Heading4"/>
      </w:pPr>
      <w:r>
        <w:t>A570352 POTICANJE OTOČNOG JAVNOG CESTOVNOG PRIJEVOZA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A570352-POTICANJE OTOČNOG JAVNOG CESTOVNOG PRIJEVOZA</w:t>
            </w:r>
          </w:p>
        </w:tc>
        <w:tc>
          <w:tcPr>
            <w:tcW w:w="2041" w:type="dxa"/>
          </w:tcPr>
          <w:p w:rsidR="00505632" w:rsidRDefault="00505632" w:rsidP="00AD4E52">
            <w:pPr>
              <w:pStyle w:val="CellColumn"/>
              <w:jc w:val="right"/>
            </w:pPr>
            <w:r>
              <w:rPr>
                <w:rFonts w:cs="Times New Roman"/>
              </w:rPr>
              <w:t>34.994.520</w:t>
            </w:r>
          </w:p>
        </w:tc>
        <w:tc>
          <w:tcPr>
            <w:tcW w:w="2041" w:type="dxa"/>
          </w:tcPr>
          <w:p w:rsidR="00505632" w:rsidRDefault="00505632" w:rsidP="00AD4E52">
            <w:pPr>
              <w:pStyle w:val="CellColumn"/>
              <w:jc w:val="right"/>
            </w:pPr>
            <w:r>
              <w:rPr>
                <w:rFonts w:cs="Times New Roman"/>
              </w:rPr>
              <w:t>31.000.000</w:t>
            </w:r>
          </w:p>
        </w:tc>
        <w:tc>
          <w:tcPr>
            <w:tcW w:w="2041" w:type="dxa"/>
          </w:tcPr>
          <w:p w:rsidR="00505632" w:rsidRDefault="00505632" w:rsidP="00AD4E52">
            <w:pPr>
              <w:pStyle w:val="CellColumn"/>
              <w:jc w:val="right"/>
            </w:pPr>
            <w:r>
              <w:rPr>
                <w:rFonts w:cs="Times New Roman"/>
              </w:rPr>
              <w:t>31.000.000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88,6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otocima (NN br. 34/99, 149/99, 32/02 i 33/06); </w:t>
      </w:r>
    </w:p>
    <w:p w:rsidR="00505632" w:rsidRDefault="00505632" w:rsidP="00505632">
      <w:r>
        <w:t>2. Pravilnik o uvjetima, kriterijima i načinu ostvarivanja prava na besplatni javni otočni cestovni prijevoz (NN br. 82/07 i 35/11)</w:t>
      </w:r>
    </w:p>
    <w:p w:rsidR="00505632" w:rsidRDefault="00505632" w:rsidP="00505632">
      <w:pPr>
        <w:pStyle w:val="Heading8"/>
        <w:jc w:val="left"/>
      </w:pPr>
      <w:r>
        <w:t>Opis aktivnosti</w:t>
      </w:r>
    </w:p>
    <w:p w:rsidR="00505632" w:rsidRDefault="00505632" w:rsidP="00505632">
      <w:r>
        <w:t xml:space="preserve">Kroz ovu aktivnost se provodila mjera korištenja besplatnog javnog otočnog cestovnog prijevoza za učenike, studente, umirovljenike i osobe starije od 65 godina koji imaju prebivalište na otocima. Time se omogućilo smanjenje troškova prijevoza otočnog stanovništva, što je rezultiralo boljom mobilnosti otočnog stanovništva te boljom povezanost naselja na otoku i unaprjeđenje unutar-otočnog cestovnog prijevoza. Najveći učinak ove mjere odražavao se na otočne obitelji sa školskom djecom, jer se, uslijed smanjenja troškova prijevoza, većina učenika svakodnevno vraćala svojim obiteljima na otoke, za razliku od prije kada su mnogi već u osnovnoj školi odlazili u veća mjesta i gradove izvan otoka (zbog visokih troškova prijevoza i neodgovarajuće usluge) što je dodatno utjecalo na iseljavanje otočnih obitelji. </w:t>
      </w:r>
    </w:p>
    <w:p w:rsidR="00505632" w:rsidRDefault="00505632" w:rsidP="00505632">
      <w:r>
        <w:t>Ukupno je s ove aktivnosti u 2016. godini utrošeno 31.000.000,00 kuna.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otoka na kojima se određenim skupinama otočnog stanovništva sufinancira cestovni javni prijevoz</w:t>
            </w:r>
          </w:p>
        </w:tc>
        <w:tc>
          <w:tcPr>
            <w:tcW w:w="2551" w:type="dxa"/>
          </w:tcPr>
          <w:p w:rsidR="00505632" w:rsidRDefault="00505632" w:rsidP="00AD4E52">
            <w:pPr>
              <w:pStyle w:val="CellColumn"/>
              <w:jc w:val="left"/>
            </w:pPr>
            <w:r>
              <w:rPr>
                <w:rFonts w:cs="Times New Roman"/>
              </w:rPr>
              <w:t>Otoci na kojima se određenim skupinama otočnog stanovništva sufinancira cestovni javni prijevoz</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18</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18</w:t>
            </w:r>
          </w:p>
        </w:tc>
        <w:tc>
          <w:tcPr>
            <w:tcW w:w="1020" w:type="dxa"/>
          </w:tcPr>
          <w:p w:rsidR="00505632" w:rsidRDefault="00505632" w:rsidP="00AD4E52">
            <w:pPr>
              <w:pStyle w:val="CellColumn"/>
              <w:jc w:val="right"/>
            </w:pPr>
            <w:r>
              <w:rPr>
                <w:rFonts w:cs="Times New Roman"/>
              </w:rPr>
              <w:t>18</w:t>
            </w:r>
          </w:p>
        </w:tc>
      </w:tr>
    </w:tbl>
    <w:p w:rsidR="00505632" w:rsidRDefault="00505632" w:rsidP="00505632">
      <w:pPr>
        <w:jc w:val="left"/>
      </w:pPr>
    </w:p>
    <w:p w:rsidR="00505632" w:rsidRDefault="00505632" w:rsidP="00505632">
      <w:pPr>
        <w:pStyle w:val="Heading4"/>
      </w:pPr>
      <w:r>
        <w:t>A570354 VODOOPSKRBA OTOKA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A570354-VODOOPSKRBA OTOKA</w:t>
            </w:r>
          </w:p>
        </w:tc>
        <w:tc>
          <w:tcPr>
            <w:tcW w:w="2041" w:type="dxa"/>
          </w:tcPr>
          <w:p w:rsidR="00505632" w:rsidRDefault="00505632" w:rsidP="00AD4E52">
            <w:pPr>
              <w:pStyle w:val="CellColumn"/>
              <w:jc w:val="right"/>
            </w:pPr>
            <w:r>
              <w:rPr>
                <w:rFonts w:cs="Times New Roman"/>
              </w:rPr>
              <w:t>10.170.076</w:t>
            </w:r>
          </w:p>
        </w:tc>
        <w:tc>
          <w:tcPr>
            <w:tcW w:w="2041" w:type="dxa"/>
          </w:tcPr>
          <w:p w:rsidR="00505632" w:rsidRDefault="00505632" w:rsidP="00AD4E52">
            <w:pPr>
              <w:pStyle w:val="CellColumn"/>
              <w:jc w:val="right"/>
            </w:pPr>
            <w:r>
              <w:rPr>
                <w:rFonts w:cs="Times New Roman"/>
              </w:rPr>
              <w:t>10.000.000</w:t>
            </w:r>
          </w:p>
        </w:tc>
        <w:tc>
          <w:tcPr>
            <w:tcW w:w="2041" w:type="dxa"/>
          </w:tcPr>
          <w:p w:rsidR="00505632" w:rsidRDefault="00505632" w:rsidP="00AD4E52">
            <w:pPr>
              <w:pStyle w:val="CellColumn"/>
              <w:jc w:val="right"/>
            </w:pPr>
            <w:r>
              <w:rPr>
                <w:rFonts w:cs="Times New Roman"/>
              </w:rPr>
              <w:t>10.000.000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98,3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otocima, čl.33 </w:t>
      </w:r>
    </w:p>
    <w:p w:rsidR="00505632" w:rsidRDefault="00505632" w:rsidP="00505632">
      <w:r>
        <w:t>2. Pravilnik o postupku i načinu provedbe opskrbe otočnih kućanstava pitkom vodom brodom vodonoscem ili cestovnim otokom (NN br.35/11)</w:t>
      </w:r>
    </w:p>
    <w:p w:rsidR="00505632" w:rsidRDefault="00505632" w:rsidP="00505632">
      <w:pPr>
        <w:pStyle w:val="Heading8"/>
        <w:jc w:val="left"/>
      </w:pPr>
      <w:r>
        <w:t>Opis aktivnosti</w:t>
      </w:r>
    </w:p>
    <w:p w:rsidR="00505632" w:rsidRDefault="00505632" w:rsidP="00505632">
      <w:r>
        <w:t xml:space="preserve">Provedbom ove aktivnosti subvencionirala se cijena vode na otocima tako da su domaćinstva čiji članovi imaju prebivalište na otoku, a opskrbljuju se vodom vodonoscem ili cestovnim vozilom, plaćala vodu (do 20 m3 mjesečno tj. do 150 m3 ukupne godišnje potrošnje po domaćinstvu), po cijeni koja je jednaka prosječnoj cijeni isporuke vode u matičnoj obalno-otočnoj županiji, a iz državnog proračuna sufinancirala se razlika ukupne cijene vode koji iznos se prvenstveno odnosi na cijenu prijevoza vode brodom vodonoscem ili cestovnim vozilom. Na taj se način nastojalo smanjiti troškovi vodoopskrbe otočnom stanovništvu i ujednačiti ih s troškovima tj. cijenama vodoopskrbe domaćinstava na kopnu koji su priključeni na javnu vodoopskrbu. Sredstva su se odobravala otočnim komunalnim poduzećima u svrhu provođenja spomenute mjere. </w:t>
      </w:r>
    </w:p>
    <w:p w:rsidR="00505632" w:rsidRDefault="00505632" w:rsidP="00505632">
      <w:r>
        <w:t>Ukupno je s ove aktivnosti u 2016. godini utrošeno 10.000.000,00 kuna.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kućanstava koja se opskrbljuju vodom brodom vodonoscem ili cestovnim vozilom, a nisu spojena na vodoopskrbni sustav</w:t>
            </w:r>
          </w:p>
        </w:tc>
        <w:tc>
          <w:tcPr>
            <w:tcW w:w="2551" w:type="dxa"/>
          </w:tcPr>
          <w:p w:rsidR="00505632" w:rsidRDefault="00505632" w:rsidP="00AD4E52">
            <w:pPr>
              <w:pStyle w:val="CellColumn"/>
              <w:jc w:val="left"/>
            </w:pPr>
            <w:r>
              <w:rPr>
                <w:rFonts w:cs="Times New Roman"/>
              </w:rPr>
              <w:t>Kućanstva koja se opskrbljuju vodom brodom vodonoscem ili cestovnim vozilom, a nisu spojena na vodoopskrbni sustav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6.229</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6.229</w:t>
            </w:r>
          </w:p>
        </w:tc>
        <w:tc>
          <w:tcPr>
            <w:tcW w:w="1020" w:type="dxa"/>
          </w:tcPr>
          <w:p w:rsidR="00505632" w:rsidRDefault="00505632" w:rsidP="00AD4E52">
            <w:pPr>
              <w:pStyle w:val="CellColumn"/>
              <w:jc w:val="right"/>
            </w:pPr>
            <w:r>
              <w:rPr>
                <w:rFonts w:cs="Times New Roman"/>
              </w:rPr>
              <w:t>6.229</w:t>
            </w:r>
          </w:p>
        </w:tc>
      </w:tr>
    </w:tbl>
    <w:p w:rsidR="00505632" w:rsidRDefault="00505632" w:rsidP="00505632">
      <w:pPr>
        <w:jc w:val="left"/>
      </w:pPr>
    </w:p>
    <w:p w:rsidR="00505632" w:rsidRDefault="00505632" w:rsidP="00505632">
      <w:pPr>
        <w:pStyle w:val="Heading4"/>
      </w:pPr>
      <w:r>
        <w:t>A570356 POTICANJE OTOČNOG GOSPODARSTVA</w:t>
      </w:r>
    </w:p>
    <w:tbl>
      <w:tblPr>
        <w:tblStyle w:val="StilTablice"/>
        <w:tblW w:w="10206" w:type="dxa"/>
        <w:jc w:val="center"/>
        <w:tblLook w:val="04A0" w:firstRow="1" w:lastRow="0" w:firstColumn="1" w:lastColumn="0" w:noHBand="0" w:noVBand="1"/>
      </w:tblPr>
      <w:tblGrid>
        <w:gridCol w:w="1715"/>
        <w:gridCol w:w="2017"/>
        <w:gridCol w:w="2017"/>
        <w:gridCol w:w="2017"/>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A570356-POTICANJE OTOČNOG GOSPODARSTVA</w:t>
            </w:r>
          </w:p>
        </w:tc>
        <w:tc>
          <w:tcPr>
            <w:tcW w:w="2041" w:type="dxa"/>
          </w:tcPr>
          <w:p w:rsidR="00505632" w:rsidRDefault="00505632" w:rsidP="00AD4E52">
            <w:pPr>
              <w:pStyle w:val="CellColumn"/>
              <w:jc w:val="right"/>
            </w:pPr>
            <w:r>
              <w:rPr>
                <w:rFonts w:cs="Times New Roman"/>
              </w:rPr>
              <w:t>7.993.277</w:t>
            </w:r>
          </w:p>
        </w:tc>
        <w:tc>
          <w:tcPr>
            <w:tcW w:w="2041" w:type="dxa"/>
          </w:tcPr>
          <w:p w:rsidR="00505632" w:rsidRDefault="00505632" w:rsidP="00AD4E52">
            <w:pPr>
              <w:pStyle w:val="CellColumn"/>
              <w:jc w:val="right"/>
            </w:pPr>
            <w:r>
              <w:rPr>
                <w:rFonts w:cs="Times New Roman"/>
              </w:rPr>
              <w:t>8.500.000</w:t>
            </w:r>
          </w:p>
        </w:tc>
        <w:tc>
          <w:tcPr>
            <w:tcW w:w="2041" w:type="dxa"/>
          </w:tcPr>
          <w:p w:rsidR="00505632" w:rsidRDefault="00505632" w:rsidP="00AD4E52">
            <w:pPr>
              <w:pStyle w:val="CellColumn"/>
              <w:jc w:val="right"/>
            </w:pPr>
            <w:r>
              <w:rPr>
                <w:rFonts w:cs="Times New Roman"/>
              </w:rPr>
              <w:t>8.500.000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106,3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otocima</w:t>
      </w:r>
    </w:p>
    <w:p w:rsidR="00505632" w:rsidRDefault="00505632" w:rsidP="00505632">
      <w:pPr>
        <w:pStyle w:val="Heading8"/>
        <w:jc w:val="left"/>
      </w:pPr>
      <w:r>
        <w:t>Opis aktivnosti</w:t>
      </w:r>
    </w:p>
    <w:p w:rsidR="00505632" w:rsidRDefault="00505632" w:rsidP="00505632">
      <w:r>
        <w:t xml:space="preserve">Provedba ove aktivnosti je bila usmjerena da se poslodavcima, koji imaju sjedište i svoje djelatnosti (određene Zakonom) obavljaju na otocima, pomogne u poslovanju na način da za svakog (12 mjeseci u kontinuitetu)  zaposlenog djelatnika s prebivalištem na otoku dobije iznos u visini Zakonom predviđene financijske potpore (na otocima I skupine - slabo razvijenim i nerazvijenim, iznosi jednu prosječnu mjesečnu bruto plaću, odnosno pola prosječne mjesečne bruto plaće na otocima II skupine – razvijenijim otocima). Na taj su se način otočnim poslodavcima smanjili troškovi poslovanja, stvorili su se uvjeti za unaprjeđenje otočnog gospodarstva i očuvanje postojećih radnih mjesta, ali i zapošljavanje novih djelatnika, čime se nastojalo unaprijediti poslovanje i razvoj otočnih subjekata.  </w:t>
      </w:r>
    </w:p>
    <w:p w:rsidR="00505632" w:rsidRDefault="00505632" w:rsidP="00505632">
      <w:r>
        <w:t>Temeljem Javnog poziva u 2016. godini, na ovoj aktivnosti je utrošeno 8.499.999,99 kn za potpore otočnim poslodavcima, i to su potporu dobila 220 poslodavaca za 3188 zaposlenika.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Kumulativni broj otočnih  poslodavaca kojima je dodijeljena potpora</w:t>
            </w:r>
          </w:p>
        </w:tc>
        <w:tc>
          <w:tcPr>
            <w:tcW w:w="2551" w:type="dxa"/>
          </w:tcPr>
          <w:p w:rsidR="00505632" w:rsidRDefault="00505632" w:rsidP="00AD4E52">
            <w:pPr>
              <w:pStyle w:val="CellColumn"/>
              <w:jc w:val="left"/>
            </w:pPr>
            <w:r>
              <w:rPr>
                <w:rFonts w:cs="Times New Roman"/>
              </w:rPr>
              <w:t>Smanjenjem troškova poslovanja, stvaraju se uvjeti za unapređenje otočnog gospodarstva i očuvanje postojećih radnih mjesta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1.717</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1.734</w:t>
            </w:r>
          </w:p>
        </w:tc>
        <w:tc>
          <w:tcPr>
            <w:tcW w:w="1020" w:type="dxa"/>
          </w:tcPr>
          <w:p w:rsidR="00505632" w:rsidRDefault="00505632" w:rsidP="00AD4E52">
            <w:pPr>
              <w:pStyle w:val="CellColumn"/>
              <w:jc w:val="right"/>
            </w:pPr>
            <w:r>
              <w:rPr>
                <w:rFonts w:cs="Times New Roman"/>
              </w:rPr>
              <w:t>1.937</w:t>
            </w:r>
          </w:p>
        </w:tc>
      </w:tr>
    </w:tbl>
    <w:p w:rsidR="00505632" w:rsidRDefault="00505632" w:rsidP="00505632">
      <w:pPr>
        <w:jc w:val="left"/>
      </w:pPr>
    </w:p>
    <w:p w:rsidR="00505632" w:rsidRDefault="00505632" w:rsidP="00505632">
      <w:pPr>
        <w:pStyle w:val="Heading4"/>
      </w:pPr>
      <w:r>
        <w:t>A570463 RAZVOJ OTOKA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A570463-RAZVOJ OTOKA</w:t>
            </w:r>
          </w:p>
        </w:tc>
        <w:tc>
          <w:tcPr>
            <w:tcW w:w="2041" w:type="dxa"/>
          </w:tcPr>
          <w:p w:rsidR="00505632" w:rsidRDefault="00505632" w:rsidP="00AD4E52">
            <w:pPr>
              <w:pStyle w:val="CellColumn"/>
              <w:jc w:val="right"/>
            </w:pPr>
            <w:r>
              <w:rPr>
                <w:rFonts w:cs="Times New Roman"/>
              </w:rPr>
              <w:t>11.987.796</w:t>
            </w:r>
          </w:p>
        </w:tc>
        <w:tc>
          <w:tcPr>
            <w:tcW w:w="2041" w:type="dxa"/>
          </w:tcPr>
          <w:p w:rsidR="00505632" w:rsidRDefault="00505632" w:rsidP="00AD4E52">
            <w:pPr>
              <w:pStyle w:val="CellColumn"/>
              <w:jc w:val="right"/>
            </w:pPr>
            <w:r>
              <w:rPr>
                <w:rFonts w:cs="Times New Roman"/>
              </w:rPr>
              <w:t>15.200.000</w:t>
            </w:r>
          </w:p>
        </w:tc>
        <w:tc>
          <w:tcPr>
            <w:tcW w:w="2041" w:type="dxa"/>
          </w:tcPr>
          <w:p w:rsidR="00505632" w:rsidRDefault="00505632" w:rsidP="00AD4E52">
            <w:pPr>
              <w:pStyle w:val="CellColumn"/>
              <w:jc w:val="right"/>
            </w:pPr>
            <w:r>
              <w:rPr>
                <w:rFonts w:cs="Times New Roman"/>
              </w:rPr>
              <w:t>15.190.500</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126,7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1. Zakon o otocima</w:t>
      </w:r>
    </w:p>
    <w:p w:rsidR="00505632" w:rsidRDefault="00505632" w:rsidP="00505632">
      <w:pPr>
        <w:pStyle w:val="Heading8"/>
        <w:jc w:val="left"/>
      </w:pPr>
      <w:r>
        <w:t>Opis aktivnosti</w:t>
      </w:r>
    </w:p>
    <w:p w:rsidR="00505632" w:rsidRDefault="00505632" w:rsidP="00505632">
      <w:r>
        <w:t xml:space="preserve">Kroz Aktivnost A570463 – Razvoj otoka u 2016. iz sredstva Državnog proračuna RH u hrvatske otoke uloženo je 14.899.999,89 kn i to u 30 projekta (sportski objekti, dječji vrtići, dječja igrališta, društveni domovi, javne rasvjete, nerazvrstane ceste i staze…) te ulaganja u Udruge (290.500,00 kn). </w:t>
      </w:r>
    </w:p>
    <w:p w:rsidR="00505632" w:rsidRDefault="00505632" w:rsidP="00505632">
      <w:r>
        <w:t>Ulaganja u kapitalne projekte otočne infrastrukture su ulaganja sa ciljem razvoja  prometne (ceste, poljski, šumski i protupožarni putovi), komunalne (vodoopskrbni sustavi i sustavi odvodnje) i društvene (škole, sportske dvorane, dječji vrtići, domovi kulture, domovi za starije, ambulante, bazeni, vatrogasni domovi) infrastrukture.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izgrađenih objekata komunalne i društvene infrastrukture</w:t>
            </w:r>
          </w:p>
        </w:tc>
        <w:tc>
          <w:tcPr>
            <w:tcW w:w="2551" w:type="dxa"/>
          </w:tcPr>
          <w:p w:rsidR="00505632" w:rsidRDefault="00505632" w:rsidP="00AD4E52">
            <w:pPr>
              <w:pStyle w:val="CellColumn"/>
              <w:jc w:val="left"/>
            </w:pPr>
            <w:r>
              <w:rPr>
                <w:rFonts w:cs="Times New Roman"/>
              </w:rPr>
              <w:t>Povećanjem broja izgrađene komunalne i društvene infrastrukture povećati će se kvaliteta života na otocima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69</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99</w:t>
            </w:r>
          </w:p>
        </w:tc>
      </w:tr>
    </w:tbl>
    <w:p w:rsidR="00505632" w:rsidRDefault="00505632" w:rsidP="00505632">
      <w:pPr>
        <w:jc w:val="left"/>
      </w:pPr>
    </w:p>
    <w:p w:rsidR="00505632" w:rsidRDefault="00505632" w:rsidP="00505632">
      <w:pPr>
        <w:pStyle w:val="Heading4"/>
      </w:pPr>
      <w:r>
        <w:t>A819012 HRVATSKI OTOČNI PROIZVOD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A819012-HRVATSKI OTOČNI PROIZVOD</w:t>
            </w:r>
          </w:p>
        </w:tc>
        <w:tc>
          <w:tcPr>
            <w:tcW w:w="2041" w:type="dxa"/>
          </w:tcPr>
          <w:p w:rsidR="00505632" w:rsidRDefault="00505632" w:rsidP="00AD4E52">
            <w:pPr>
              <w:pStyle w:val="CellColumn"/>
              <w:jc w:val="right"/>
            </w:pPr>
            <w:r>
              <w:rPr>
                <w:rFonts w:cs="Times New Roman"/>
              </w:rPr>
              <w:t>253.421</w:t>
            </w:r>
          </w:p>
        </w:tc>
        <w:tc>
          <w:tcPr>
            <w:tcW w:w="2041" w:type="dxa"/>
          </w:tcPr>
          <w:p w:rsidR="00505632" w:rsidRDefault="00505632" w:rsidP="00AD4E52">
            <w:pPr>
              <w:pStyle w:val="CellColumn"/>
              <w:jc w:val="right"/>
            </w:pPr>
            <w:r>
              <w:rPr>
                <w:rFonts w:cs="Times New Roman"/>
              </w:rPr>
              <w:t>520.000</w:t>
            </w:r>
          </w:p>
        </w:tc>
        <w:tc>
          <w:tcPr>
            <w:tcW w:w="2041" w:type="dxa"/>
          </w:tcPr>
          <w:p w:rsidR="00505632" w:rsidRDefault="00505632" w:rsidP="00AD4E52">
            <w:pPr>
              <w:pStyle w:val="CellColumn"/>
              <w:jc w:val="right"/>
            </w:pPr>
            <w:r>
              <w:rPr>
                <w:rFonts w:cs="Times New Roman"/>
              </w:rPr>
              <w:t>312.678</w:t>
            </w:r>
          </w:p>
        </w:tc>
        <w:tc>
          <w:tcPr>
            <w:tcW w:w="1224" w:type="dxa"/>
          </w:tcPr>
          <w:p w:rsidR="00505632" w:rsidRDefault="00505632" w:rsidP="00AD4E52">
            <w:pPr>
              <w:pStyle w:val="CellColumn"/>
              <w:jc w:val="right"/>
            </w:pPr>
            <w:r>
              <w:rPr>
                <w:rFonts w:cs="Times New Roman"/>
              </w:rPr>
              <w:t>60,1</w:t>
            </w:r>
          </w:p>
        </w:tc>
        <w:tc>
          <w:tcPr>
            <w:tcW w:w="1224" w:type="dxa"/>
          </w:tcPr>
          <w:p w:rsidR="00505632" w:rsidRDefault="00505632" w:rsidP="00AD4E52">
            <w:pPr>
              <w:pStyle w:val="CellColumn"/>
              <w:jc w:val="right"/>
            </w:pPr>
            <w:r>
              <w:rPr>
                <w:rFonts w:cs="Times New Roman"/>
              </w:rPr>
              <w:t>123,4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otocima</w:t>
      </w:r>
    </w:p>
    <w:p w:rsidR="00505632" w:rsidRDefault="00505632" w:rsidP="00505632">
      <w:pPr>
        <w:pStyle w:val="Heading8"/>
        <w:jc w:val="left"/>
      </w:pPr>
      <w:r>
        <w:t>Opis aktivnosti</w:t>
      </w:r>
    </w:p>
    <w:p w:rsidR="00505632" w:rsidRDefault="00505632" w:rsidP="00505632">
      <w:r>
        <w:t>Provedba aktivnosti započela je početkom 2007. godine i odnosi se na projekt vizualnog označavanja otočnih proizvoda oznakom „Hrvatski otočni proizvod“ (HOP) s namjerom poticanja otočnih proizvođača u proizvodnji izvornih i kvalitetnih proizvoda. Projekt ima višestruke učinke, a najvažniji su gospodarski i demografski - otočni proizvođači kroz samozapošljavanje stvaraju proizvode natprosječne kvalitete stvarajući tako sebi i svojim obiteljima uvjete za opstanak i ostanak na hrvatskim otocima. Početkom 2016. godine raspisan je javni poziv putem kojeg su otočni proizvođači, kao i prethodnih godina, mogli svoje proizvode prijaviti za dodjelu oznake „Hrvatski otočni proizvod“. Po obradi zahtjeva oznaku je dobilo 68 otočna proizvođača za 111 proizvoda/linija. Za promociju otočnih proizvođača kojima je već dodijeljena oznaka i njihovih proizvoda, te za provođenje procedure dobivanja oznake u 2016. godini, Ministarstvo je izdvojilo 312.678,14 kuna.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otočnih proizvođača dobitnika oznake HOP</w:t>
            </w:r>
          </w:p>
        </w:tc>
        <w:tc>
          <w:tcPr>
            <w:tcW w:w="2551" w:type="dxa"/>
          </w:tcPr>
          <w:p w:rsidR="00505632" w:rsidRDefault="00505632" w:rsidP="00AD4E52">
            <w:pPr>
              <w:pStyle w:val="CellColumn"/>
              <w:jc w:val="left"/>
            </w:pPr>
            <w:r>
              <w:rPr>
                <w:rFonts w:cs="Times New Roman"/>
              </w:rPr>
              <w:t>Povećanjem broja uključenih proizvođača očekuje se povećanje zapošljavanja i jačanje marketinške pozicije na tržištu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181</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245</w:t>
            </w:r>
          </w:p>
        </w:tc>
        <w:tc>
          <w:tcPr>
            <w:tcW w:w="1020" w:type="dxa"/>
          </w:tcPr>
          <w:p w:rsidR="00505632" w:rsidRDefault="00505632" w:rsidP="00AD4E52">
            <w:pPr>
              <w:pStyle w:val="CellColumn"/>
              <w:jc w:val="right"/>
            </w:pPr>
            <w:r>
              <w:rPr>
                <w:rFonts w:cs="Times New Roman"/>
              </w:rPr>
              <w:t>249</w:t>
            </w:r>
          </w:p>
        </w:tc>
      </w:tr>
    </w:tbl>
    <w:p w:rsidR="00505632" w:rsidRDefault="00505632" w:rsidP="00505632">
      <w:pPr>
        <w:jc w:val="left"/>
      </w:pPr>
    </w:p>
    <w:p w:rsidR="00505632" w:rsidRDefault="00505632" w:rsidP="00505632">
      <w:pPr>
        <w:pStyle w:val="Heading4"/>
      </w:pPr>
      <w:r>
        <w:t>K819011 SUFINANCIRANJE IZGRADNJE VIŠENAMJENSKE GRADSKE DVORANE ŠPORTSKO-REKREATIVNOG CENTRA "VIŠNJIK" U ZADRU</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K819011-SUFINANCIRANJE IZGRADNJE VIŠENAMJENSKE GRADSKE DVORANE ŠPORTSKO-REKREATIVNOG CENTRA "VIŠNJIK" U ZADRU</w:t>
            </w:r>
          </w:p>
        </w:tc>
        <w:tc>
          <w:tcPr>
            <w:tcW w:w="2041" w:type="dxa"/>
          </w:tcPr>
          <w:p w:rsidR="00505632" w:rsidRDefault="00505632" w:rsidP="00AD4E52">
            <w:pPr>
              <w:pStyle w:val="CellColumn"/>
              <w:jc w:val="right"/>
            </w:pPr>
            <w:r>
              <w:rPr>
                <w:rFonts w:cs="Times New Roman"/>
              </w:rPr>
              <w:t>10.000.000</w:t>
            </w:r>
          </w:p>
        </w:tc>
        <w:tc>
          <w:tcPr>
            <w:tcW w:w="2041" w:type="dxa"/>
          </w:tcPr>
          <w:p w:rsidR="00505632" w:rsidRDefault="00505632" w:rsidP="00AD4E52">
            <w:pPr>
              <w:pStyle w:val="CellColumn"/>
              <w:jc w:val="right"/>
            </w:pPr>
            <w:r>
              <w:rPr>
                <w:rFonts w:cs="Times New Roman"/>
              </w:rPr>
              <w:t>10.000.000</w:t>
            </w:r>
          </w:p>
        </w:tc>
        <w:tc>
          <w:tcPr>
            <w:tcW w:w="2041" w:type="dxa"/>
          </w:tcPr>
          <w:p w:rsidR="00505632" w:rsidRDefault="00505632" w:rsidP="00AD4E52">
            <w:pPr>
              <w:pStyle w:val="CellColumn"/>
              <w:jc w:val="right"/>
            </w:pPr>
            <w:r>
              <w:rPr>
                <w:rFonts w:cs="Times New Roman"/>
              </w:rPr>
              <w:t>10.000.000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Odluka Vlade RH,  KLASA:361-01/07-02/01, URBROJ:5030120-07-22 od 12.10.2007., </w:t>
      </w:r>
    </w:p>
    <w:p w:rsidR="00505632" w:rsidRDefault="00505632" w:rsidP="00505632">
      <w:r>
        <w:t>2. Odluka Vlade RH,  KLASA:361-01/07-02/01, URBROJ:5030104-08-1 od 14.11.2008.</w:t>
      </w:r>
    </w:p>
    <w:p w:rsidR="00505632" w:rsidRDefault="00505632" w:rsidP="00505632">
      <w:pPr>
        <w:pStyle w:val="Heading8"/>
        <w:jc w:val="left"/>
      </w:pPr>
      <w:r>
        <w:t>Opis aktivnosti</w:t>
      </w:r>
    </w:p>
    <w:p w:rsidR="00505632" w:rsidRDefault="00505632" w:rsidP="00505632">
      <w:r>
        <w:t xml:space="preserve">Financiranje izvedenih radova vršilo se prema Odlukama Vlade RH,  KLASA:361-01/07-02/01, URBROJ:5030120-07-22 od 12.10.2007.,  i Odlukama  KLASA:361-01/07-02/01, URBROJ:5030104-08-1 od 14.11.2008. </w:t>
      </w:r>
    </w:p>
    <w:p w:rsidR="00505632" w:rsidRDefault="00505632" w:rsidP="00505632">
      <w:r>
        <w:t>U 2016. godini utrošeno je 10 mil kn na ovoj aktivnosti.</w:t>
      </w:r>
    </w:p>
    <w:p w:rsidR="00505632" w:rsidRDefault="00505632" w:rsidP="00505632">
      <w:pPr>
        <w:pStyle w:val="Heading4"/>
      </w:pPr>
      <w:r>
        <w:t>T570462 IZGRADNJA OBJEKATA KOMUNALNE I DRUŠTVENE INFRASTRUKTURE NA HRVATSKIM OTOCIMA (CEB IV)</w:t>
      </w:r>
    </w:p>
    <w:tbl>
      <w:tblPr>
        <w:tblStyle w:val="StilTablice"/>
        <w:tblW w:w="10206" w:type="dxa"/>
        <w:jc w:val="center"/>
        <w:tblLook w:val="04A0" w:firstRow="1" w:lastRow="0" w:firstColumn="1" w:lastColumn="0" w:noHBand="0" w:noVBand="1"/>
      </w:tblPr>
      <w:tblGrid>
        <w:gridCol w:w="1892"/>
        <w:gridCol w:w="1969"/>
        <w:gridCol w:w="1963"/>
        <w:gridCol w:w="1963"/>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T570462-IZGRADNJA OBJEKATA KOMUNALNE I DRUŠTVENE INFRASTRUKTURE NA HRVATSKIM OTOCIMA (CEB IV)</w:t>
            </w:r>
          </w:p>
        </w:tc>
        <w:tc>
          <w:tcPr>
            <w:tcW w:w="2041" w:type="dxa"/>
          </w:tcPr>
          <w:p w:rsidR="00505632" w:rsidRDefault="00505632" w:rsidP="00AD4E52">
            <w:pPr>
              <w:pStyle w:val="CellColumn"/>
              <w:jc w:val="right"/>
            </w:pPr>
            <w:r>
              <w:rPr>
                <w:rFonts w:cs="Times New Roman"/>
              </w:rPr>
              <w:t>21.585.577</w:t>
            </w:r>
          </w:p>
        </w:tc>
        <w:tc>
          <w:tcPr>
            <w:tcW w:w="2041" w:type="dxa"/>
          </w:tcPr>
          <w:p w:rsidR="00505632" w:rsidRDefault="00505632" w:rsidP="00AD4E52">
            <w:pPr>
              <w:pStyle w:val="CellColumn"/>
              <w:jc w:val="right"/>
            </w:pPr>
            <w:r>
              <w:rPr>
                <w:rFonts w:cs="Times New Roman"/>
              </w:rPr>
              <w:t>5.703.346</w:t>
            </w:r>
          </w:p>
        </w:tc>
        <w:tc>
          <w:tcPr>
            <w:tcW w:w="2041" w:type="dxa"/>
          </w:tcPr>
          <w:p w:rsidR="00505632" w:rsidRDefault="00505632" w:rsidP="00AD4E52">
            <w:pPr>
              <w:pStyle w:val="CellColumn"/>
              <w:jc w:val="right"/>
            </w:pPr>
            <w:r>
              <w:rPr>
                <w:rFonts w:cs="Times New Roman"/>
              </w:rPr>
              <w:t>5.702.474</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26,4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1. Zakon o otocima</w:t>
      </w:r>
    </w:p>
    <w:p w:rsidR="00505632" w:rsidRDefault="00505632" w:rsidP="00505632">
      <w:pPr>
        <w:pStyle w:val="Heading8"/>
        <w:jc w:val="left"/>
      </w:pPr>
      <w:r>
        <w:t>Opis aktivnosti</w:t>
      </w:r>
    </w:p>
    <w:p w:rsidR="00505632" w:rsidRDefault="00505632" w:rsidP="00505632">
      <w:r>
        <w:t>Projekt Izgradnja objekata komunalne i društvene infrastrukture na hrvatskim otocima provodi se kontinuirano od 2004., te je njime predviđena modernizacija ruralnih područja izgradnjom komunalne i društvene infrastrukture na otocima (ulaganja u infrastrukturu za vodoopskrbu i odvodnju, zdravstvo, socijalnu skrb i obrazovanje) uz očekivanje da će učinjeno pridonijeti gospodarskom i društvenom razvoju otoka, smanjiti iseljavanje te privući nove stanovnike. Tijekom 2016. godine u projekte ove aktivnosti uložena su ukupno 5.702.473,70 kn i to je sufinancirano 8 projekata. Projekt CEB IV je završen.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izgrađenih objekata komunalne i društvene infrastrukture</w:t>
            </w:r>
          </w:p>
        </w:tc>
        <w:tc>
          <w:tcPr>
            <w:tcW w:w="2551" w:type="dxa"/>
          </w:tcPr>
          <w:p w:rsidR="00505632" w:rsidRDefault="00505632" w:rsidP="00AD4E52">
            <w:pPr>
              <w:pStyle w:val="CellColumn"/>
              <w:jc w:val="left"/>
            </w:pPr>
            <w:r>
              <w:rPr>
                <w:rFonts w:cs="Times New Roman"/>
              </w:rPr>
              <w:t>Povećanjem broja izgrađene komunalne i društvene infrastrukture povećati će se kvaliteta života na otocima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99</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107</w:t>
            </w:r>
          </w:p>
        </w:tc>
        <w:tc>
          <w:tcPr>
            <w:tcW w:w="1020" w:type="dxa"/>
          </w:tcPr>
          <w:p w:rsidR="00505632" w:rsidRDefault="00505632" w:rsidP="00AD4E52">
            <w:pPr>
              <w:pStyle w:val="CellColumn"/>
              <w:jc w:val="right"/>
            </w:pPr>
            <w:r>
              <w:rPr>
                <w:rFonts w:cs="Times New Roman"/>
              </w:rPr>
              <w:t>107</w:t>
            </w:r>
          </w:p>
        </w:tc>
      </w:tr>
    </w:tbl>
    <w:p w:rsidR="00505632" w:rsidRDefault="00505632" w:rsidP="00505632">
      <w:pPr>
        <w:jc w:val="left"/>
      </w:pPr>
    </w:p>
    <w:p w:rsidR="00505632" w:rsidRDefault="00505632" w:rsidP="00505632">
      <w:pPr>
        <w:jc w:val="left"/>
      </w:pPr>
    </w:p>
    <w:p w:rsidR="00505632" w:rsidRDefault="00505632" w:rsidP="00505632">
      <w:pPr>
        <w:pStyle w:val="Heading4"/>
      </w:pPr>
      <w:r>
        <w:t>T821011 INTEGRALNI RAZVOJ LOKALNE ZAJEDNICE U PRIOBALJU (EIB II)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T821011-INTEGRALNI RAZVOJ LOKALNE ZAJEDNICE U PRIOBALJU (EIB II)</w:t>
            </w:r>
          </w:p>
        </w:tc>
        <w:tc>
          <w:tcPr>
            <w:tcW w:w="2041" w:type="dxa"/>
          </w:tcPr>
          <w:p w:rsidR="00505632" w:rsidRDefault="00505632" w:rsidP="00AD4E52">
            <w:pPr>
              <w:pStyle w:val="CellColumn"/>
              <w:jc w:val="right"/>
            </w:pPr>
            <w:r>
              <w:rPr>
                <w:rFonts w:cs="Times New Roman"/>
              </w:rPr>
              <w:t>2.947.457</w:t>
            </w:r>
          </w:p>
        </w:tc>
        <w:tc>
          <w:tcPr>
            <w:tcW w:w="2041" w:type="dxa"/>
          </w:tcPr>
          <w:p w:rsidR="00505632" w:rsidRDefault="00505632" w:rsidP="00AD4E52">
            <w:pPr>
              <w:pStyle w:val="CellColumn"/>
              <w:jc w:val="right"/>
            </w:pPr>
            <w:r>
              <w:rPr>
                <w:rFonts w:cs="Times New Roman"/>
              </w:rPr>
              <w:t>237.500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otocima</w:t>
      </w:r>
    </w:p>
    <w:p w:rsidR="00505632" w:rsidRDefault="00505632" w:rsidP="00505632">
      <w:pPr>
        <w:pStyle w:val="Heading8"/>
        <w:jc w:val="left"/>
      </w:pPr>
      <w:r>
        <w:t>Opis aktivnosti</w:t>
      </w:r>
    </w:p>
    <w:p w:rsidR="00505632" w:rsidRDefault="00505632" w:rsidP="00505632">
      <w:r>
        <w:t>Projekt „Integralni razvoj lokalne zajednice“ financira se sredstvima zajma Europske investicijske banke za koji je ugovor između Banke i Republike Hrvatske potpisan 2004. godine. Projekt je namijenjen financiranju višesektorskih investicijskih potprojekata, uključujući rekonstrukciju, obnovu i nadogradnju komunalne infrastrukture u općinama, gradovima i županijama, obnovu i nadogradnju komunalne i socijalne infrastrukture od strane lokalnih tijela uprave (opskrba vodom i plinom, odvodnja otpadnih voda, odlaganje otpada, lokalne prometnice, obrazovanje, kulturno nasljeđe). Projekt je formalno završen, sredstva u 2016. godini bila su planirana za preostali nezavršeni projekt „Izgradnja dječjeg vrtića u Polači“ (stečaj izvođača u tijeku) koji nije realiziran  zbog pravnih problema te u 2016. godini nije bilo ulaganja.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izgrađenih objekata komunalne i društvene infrastrukture</w:t>
            </w:r>
          </w:p>
        </w:tc>
        <w:tc>
          <w:tcPr>
            <w:tcW w:w="2551" w:type="dxa"/>
          </w:tcPr>
          <w:p w:rsidR="00505632" w:rsidRDefault="00505632" w:rsidP="00AD4E52">
            <w:pPr>
              <w:pStyle w:val="CellColumn"/>
              <w:jc w:val="left"/>
            </w:pPr>
            <w:r>
              <w:rPr>
                <w:rFonts w:cs="Times New Roman"/>
              </w:rPr>
              <w:t>Povećanjem broja izgrađene komunalne i društvene infrastrukture povećati će se kvaliteta života na otocima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54</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58</w:t>
            </w:r>
          </w:p>
        </w:tc>
        <w:tc>
          <w:tcPr>
            <w:tcW w:w="1020" w:type="dxa"/>
          </w:tcPr>
          <w:p w:rsidR="00505632" w:rsidRDefault="00505632" w:rsidP="00AD4E52">
            <w:pPr>
              <w:pStyle w:val="CellColumn"/>
              <w:jc w:val="right"/>
            </w:pPr>
            <w:r>
              <w:rPr>
                <w:rFonts w:cs="Times New Roman"/>
              </w:rPr>
              <w:t>57</w:t>
            </w:r>
          </w:p>
        </w:tc>
      </w:tr>
    </w:tbl>
    <w:p w:rsidR="00505632" w:rsidRDefault="00505632" w:rsidP="00505632">
      <w:pPr>
        <w:jc w:val="left"/>
      </w:pPr>
    </w:p>
    <w:p w:rsidR="00505632" w:rsidRDefault="00505632" w:rsidP="00505632">
      <w:pPr>
        <w:pStyle w:val="Heading4"/>
      </w:pPr>
      <w:r>
        <w:t>T821032 PROJEKT RAZVOJA OTOKA i PRIOBALJA (EIB III)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T821032-PROJEKT RAZVOJA OTOKA i PRIOBALJA (EIB III)</w:t>
            </w:r>
          </w:p>
        </w:tc>
        <w:tc>
          <w:tcPr>
            <w:tcW w:w="2041" w:type="dxa"/>
          </w:tcPr>
          <w:p w:rsidR="00505632" w:rsidRDefault="00505632" w:rsidP="00AD4E52">
            <w:pPr>
              <w:pStyle w:val="CellColumn"/>
              <w:jc w:val="right"/>
            </w:pPr>
            <w:r>
              <w:rPr>
                <w:rFonts w:cs="Times New Roman"/>
              </w:rPr>
              <w:t>19.141.928</w:t>
            </w:r>
          </w:p>
        </w:tc>
        <w:tc>
          <w:tcPr>
            <w:tcW w:w="2041" w:type="dxa"/>
          </w:tcPr>
          <w:p w:rsidR="00505632" w:rsidRDefault="00505632" w:rsidP="00AD4E52">
            <w:pPr>
              <w:pStyle w:val="CellColumn"/>
              <w:jc w:val="right"/>
            </w:pPr>
            <w:r>
              <w:rPr>
                <w:rFonts w:cs="Times New Roman"/>
              </w:rPr>
              <w:t>17.504.000</w:t>
            </w:r>
          </w:p>
        </w:tc>
        <w:tc>
          <w:tcPr>
            <w:tcW w:w="2041" w:type="dxa"/>
          </w:tcPr>
          <w:p w:rsidR="00505632" w:rsidRDefault="00505632" w:rsidP="00AD4E52">
            <w:pPr>
              <w:pStyle w:val="CellColumn"/>
              <w:jc w:val="right"/>
            </w:pPr>
            <w:r>
              <w:rPr>
                <w:rFonts w:cs="Times New Roman"/>
              </w:rPr>
              <w:t>17.503.936</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91,4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otocima</w:t>
      </w:r>
    </w:p>
    <w:p w:rsidR="00505632" w:rsidRDefault="00505632" w:rsidP="00505632">
      <w:pPr>
        <w:pStyle w:val="Heading8"/>
        <w:jc w:val="left"/>
      </w:pPr>
      <w:r>
        <w:t>Opis aktivnosti</w:t>
      </w:r>
    </w:p>
    <w:p w:rsidR="00505632" w:rsidRDefault="00505632" w:rsidP="00505632">
      <w:r>
        <w:t>Projekt se financirao sredstvima zajma Europske investicijske banke. Područje implementacije Projekta je 7 obalno-otočnih županija. Projekt se počeo provoditi u 2012. godini, a radi se o potprojektima društvene i socijalne infrastrukture (škole, školske-športske dvorane, dječji vrtići i građevine javne namjene) te u manjoj mjeri potprojektima  komunalne infrastrukture (odvodnja, ceste). U 2016. godini ukupno se ulagalo u 8 projekata i to s iznosom od 17.503.936,16 kn. Projekt je završen.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izgrađenih objekata komunalne i društvene infrastrukture</w:t>
            </w:r>
          </w:p>
        </w:tc>
        <w:tc>
          <w:tcPr>
            <w:tcW w:w="2551" w:type="dxa"/>
          </w:tcPr>
          <w:p w:rsidR="00505632" w:rsidRDefault="00505632" w:rsidP="00AD4E52">
            <w:pPr>
              <w:pStyle w:val="CellColumn"/>
              <w:jc w:val="left"/>
            </w:pPr>
            <w:r>
              <w:rPr>
                <w:rFonts w:cs="Times New Roman"/>
              </w:rPr>
              <w:t>Povećanjem broja izgrađene komunalne i društvene infrastrukture povećati će se kvaliteta života na otocima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17</w:t>
            </w:r>
          </w:p>
        </w:tc>
        <w:tc>
          <w:tcPr>
            <w:tcW w:w="1020" w:type="dxa"/>
          </w:tcPr>
          <w:p w:rsidR="00505632" w:rsidRDefault="00505632" w:rsidP="00AD4E52">
            <w:pPr>
              <w:pStyle w:val="CellColumn"/>
              <w:jc w:val="right"/>
            </w:pPr>
            <w:r>
              <w:rPr>
                <w:rFonts w:cs="Times New Roman"/>
              </w:rPr>
              <w:t>MRRFEU</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25</w:t>
            </w:r>
          </w:p>
        </w:tc>
      </w:tr>
    </w:tbl>
    <w:p w:rsidR="00505632" w:rsidRDefault="00505632" w:rsidP="00505632">
      <w:pPr>
        <w:jc w:val="left"/>
      </w:pPr>
    </w:p>
    <w:p w:rsidR="00505632" w:rsidRDefault="00505632" w:rsidP="00505632">
      <w:pPr>
        <w:pStyle w:val="Heading2"/>
      </w:pPr>
      <w:r>
        <w:t>06110 Fond za obnovu i razvoj Grada Vukovara</w:t>
      </w:r>
    </w:p>
    <w:p w:rsidR="00505632" w:rsidRDefault="00505632" w:rsidP="00505632">
      <w:r>
        <w:t>Tijekom 2016. godine Fond za obnovu i razvoj grada Vukovara financijski je podržavao institucije, organizacije, poduzetnike i građane u provedbi razvojnih projekata na području grada Vukovara. Djelatnost Fonda je obnova i razvoj Grada Vukovara, a osobito poslovi vezani za odobravanje zajmova i njihovo ulaganje u obnovu i razvoj gospodarstva i komunalne infrastrukture, stručno informiranje i savjetovanje ulagača, pomoć u izradi poduzetničke dokumentacije i ocjenjivanje ulagačkih pothvata, suradnja s drugim tijelima državne uprave, jedinicama lokalne samouprave i uprave, društvima koja obavljaju djelatnosti obnove i razvoja u interesu obnove i razvoja, obavljanje ostalih poslova koji osiguravaju primjenu i provedbu Zakona o obnovi i razvoju grada Vukovara.</w:t>
      </w:r>
    </w:p>
    <w:tbl>
      <w:tblPr>
        <w:tblStyle w:val="StilTablice"/>
        <w:tblW w:w="10206" w:type="dxa"/>
        <w:jc w:val="center"/>
        <w:tblLook w:val="04A0" w:firstRow="1" w:lastRow="0" w:firstColumn="1" w:lastColumn="0" w:noHBand="0" w:noVBand="1"/>
      </w:tblPr>
      <w:tblGrid>
        <w:gridCol w:w="1837"/>
        <w:gridCol w:w="1975"/>
        <w:gridCol w:w="1984"/>
        <w:gridCol w:w="1984"/>
        <w:gridCol w:w="1210"/>
        <w:gridCol w:w="1216"/>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06110-Fond za obnovu i razvoj Grada Vukovara</w:t>
            </w:r>
          </w:p>
        </w:tc>
        <w:tc>
          <w:tcPr>
            <w:tcW w:w="2041" w:type="dxa"/>
            <w:vAlign w:val="top"/>
          </w:tcPr>
          <w:p w:rsidR="00505632" w:rsidRDefault="00505632" w:rsidP="00AD4E52">
            <w:pPr>
              <w:pStyle w:val="CellColumn"/>
              <w:jc w:val="right"/>
            </w:pPr>
            <w:r>
              <w:rPr>
                <w:rFonts w:cs="Times New Roman"/>
              </w:rPr>
              <w:t>00</w:t>
            </w:r>
          </w:p>
        </w:tc>
        <w:tc>
          <w:tcPr>
            <w:tcW w:w="2041" w:type="dxa"/>
            <w:vAlign w:val="top"/>
          </w:tcPr>
          <w:p w:rsidR="00505632" w:rsidRDefault="00505632" w:rsidP="00AD4E52">
            <w:pPr>
              <w:pStyle w:val="CellColumn"/>
              <w:jc w:val="right"/>
            </w:pPr>
            <w:r>
              <w:rPr>
                <w:rFonts w:cs="Times New Roman"/>
              </w:rPr>
              <w:t>39.675.000</w:t>
            </w:r>
          </w:p>
        </w:tc>
        <w:tc>
          <w:tcPr>
            <w:tcW w:w="2041" w:type="dxa"/>
            <w:vAlign w:val="top"/>
          </w:tcPr>
          <w:p w:rsidR="00505632" w:rsidRDefault="00505632" w:rsidP="00AD4E52">
            <w:pPr>
              <w:pStyle w:val="CellColumn"/>
              <w:jc w:val="right"/>
            </w:pPr>
            <w:r>
              <w:rPr>
                <w:rFonts w:cs="Times New Roman"/>
              </w:rPr>
              <w:t>39.518.042</w:t>
            </w:r>
          </w:p>
        </w:tc>
        <w:tc>
          <w:tcPr>
            <w:tcW w:w="1224" w:type="dxa"/>
            <w:vAlign w:val="top"/>
          </w:tcPr>
          <w:p w:rsidR="00505632" w:rsidRDefault="00505632" w:rsidP="00AD4E52">
            <w:pPr>
              <w:pStyle w:val="CellColumn"/>
              <w:jc w:val="right"/>
            </w:pPr>
            <w:r>
              <w:rPr>
                <w:rFonts w:cs="Times New Roman"/>
              </w:rPr>
              <w:t>99,6</w:t>
            </w:r>
          </w:p>
        </w:tc>
        <w:tc>
          <w:tcPr>
            <w:tcW w:w="1224" w:type="dxa"/>
            <w:vAlign w:val="top"/>
          </w:tcPr>
          <w:p w:rsidR="00505632" w:rsidRDefault="00505632" w:rsidP="00AD4E52">
            <w:pPr>
              <w:pStyle w:val="CellColumn"/>
              <w:jc w:val="right"/>
            </w:pPr>
            <w:r>
              <w:rPr>
                <w:rFonts w:cs="Times New Roman"/>
              </w:rPr>
              <w:t>0,0</w:t>
            </w:r>
          </w:p>
        </w:tc>
      </w:tr>
      <w:tr w:rsidR="00505632" w:rsidTr="00AD4E52">
        <w:trPr>
          <w:jc w:val="center"/>
        </w:trPr>
        <w:tc>
          <w:tcPr>
            <w:tcW w:w="1632" w:type="dxa"/>
          </w:tcPr>
          <w:p w:rsidR="00505632" w:rsidRDefault="00505632" w:rsidP="00AD4E52">
            <w:pPr>
              <w:jc w:val="left"/>
            </w:pPr>
            <w:r>
              <w:t>2902-RAZVOJ POTPOMOGNUTIH PODRUČJA</w:t>
            </w:r>
          </w:p>
        </w:tc>
        <w:tc>
          <w:tcPr>
            <w:tcW w:w="2041" w:type="dxa"/>
          </w:tcPr>
          <w:p w:rsidR="00505632" w:rsidRDefault="00505632" w:rsidP="00AD4E52">
            <w:pPr>
              <w:jc w:val="right"/>
            </w:pPr>
            <w:r>
              <w:t>00</w:t>
            </w:r>
          </w:p>
        </w:tc>
        <w:tc>
          <w:tcPr>
            <w:tcW w:w="2041" w:type="dxa"/>
          </w:tcPr>
          <w:p w:rsidR="00505632" w:rsidRDefault="00505632" w:rsidP="00AD4E52">
            <w:pPr>
              <w:jc w:val="right"/>
            </w:pPr>
            <w:r>
              <w:t>39.675.000</w:t>
            </w:r>
          </w:p>
        </w:tc>
        <w:tc>
          <w:tcPr>
            <w:tcW w:w="2041" w:type="dxa"/>
          </w:tcPr>
          <w:p w:rsidR="00505632" w:rsidRDefault="00505632" w:rsidP="00AD4E52">
            <w:pPr>
              <w:jc w:val="right"/>
            </w:pPr>
            <w:r>
              <w:t>39.518.042</w:t>
            </w:r>
          </w:p>
        </w:tc>
        <w:tc>
          <w:tcPr>
            <w:tcW w:w="1224" w:type="dxa"/>
          </w:tcPr>
          <w:p w:rsidR="00505632" w:rsidRDefault="00505632" w:rsidP="00AD4E52">
            <w:pPr>
              <w:jc w:val="right"/>
            </w:pPr>
            <w:r>
              <w:t>99,6</w:t>
            </w:r>
          </w:p>
        </w:tc>
        <w:tc>
          <w:tcPr>
            <w:tcW w:w="1224" w:type="dxa"/>
          </w:tcPr>
          <w:p w:rsidR="00505632" w:rsidRDefault="00505632" w:rsidP="00AD4E52">
            <w:pPr>
              <w:jc w:val="right"/>
            </w:pPr>
            <w:r>
              <w:t>0,0</w:t>
            </w:r>
          </w:p>
        </w:tc>
      </w:tr>
    </w:tbl>
    <w:p w:rsidR="00505632" w:rsidRDefault="00505632" w:rsidP="00505632">
      <w:pPr>
        <w:jc w:val="left"/>
      </w:pPr>
    </w:p>
    <w:p w:rsidR="00505632" w:rsidRDefault="00505632" w:rsidP="00505632">
      <w:pPr>
        <w:pStyle w:val="Heading3"/>
      </w:pPr>
      <w:r>
        <w:rPr>
          <w:rFonts w:cs="Times New Roman"/>
        </w:rPr>
        <w:t>2902 RAZVOJ POTPOMOGNUTIH PODRUČJA</w:t>
      </w:r>
    </w:p>
    <w:tbl>
      <w:tblPr>
        <w:tblStyle w:val="StilTablice"/>
        <w:tblW w:w="10206" w:type="dxa"/>
        <w:jc w:val="center"/>
        <w:tblLook w:val="04A0" w:firstRow="1" w:lastRow="0" w:firstColumn="1" w:lastColumn="0" w:noHBand="0" w:noVBand="1"/>
      </w:tblPr>
      <w:tblGrid>
        <w:gridCol w:w="1837"/>
        <w:gridCol w:w="1975"/>
        <w:gridCol w:w="1984"/>
        <w:gridCol w:w="1984"/>
        <w:gridCol w:w="1210"/>
        <w:gridCol w:w="1216"/>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2902-RAZVOJ POTPOMOGNUTIH PODRUČJA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39.675.000</w:t>
            </w:r>
          </w:p>
        </w:tc>
        <w:tc>
          <w:tcPr>
            <w:tcW w:w="2041" w:type="dxa"/>
          </w:tcPr>
          <w:p w:rsidR="00505632" w:rsidRDefault="00505632" w:rsidP="00AD4E52">
            <w:pPr>
              <w:pStyle w:val="CellColumn"/>
              <w:jc w:val="right"/>
            </w:pPr>
            <w:r>
              <w:rPr>
                <w:rFonts w:cs="Times New Roman"/>
              </w:rPr>
              <w:t>39.518.042</w:t>
            </w:r>
          </w:p>
        </w:tc>
        <w:tc>
          <w:tcPr>
            <w:tcW w:w="1224" w:type="dxa"/>
          </w:tcPr>
          <w:p w:rsidR="00505632" w:rsidRDefault="00505632" w:rsidP="00AD4E52">
            <w:pPr>
              <w:pStyle w:val="CellColumn"/>
              <w:jc w:val="right"/>
            </w:pPr>
            <w:r>
              <w:rPr>
                <w:rFonts w:cs="Times New Roman"/>
              </w:rPr>
              <w:t>99,6</w:t>
            </w:r>
          </w:p>
        </w:tc>
        <w:tc>
          <w:tcPr>
            <w:tcW w:w="1224" w:type="dxa"/>
          </w:tcPr>
          <w:p w:rsidR="00505632" w:rsidRDefault="00505632" w:rsidP="00AD4E52">
            <w:pPr>
              <w:pStyle w:val="CellColumn"/>
              <w:jc w:val="right"/>
            </w:pPr>
            <w:r>
              <w:rPr>
                <w:rFonts w:cs="Times New Roman"/>
              </w:rPr>
              <w:t>0,0</w:t>
            </w:r>
          </w:p>
        </w:tc>
      </w:tr>
    </w:tbl>
    <w:p w:rsidR="00505632" w:rsidRDefault="00505632" w:rsidP="00505632">
      <w:pPr>
        <w:spacing w:after="0"/>
      </w:pPr>
    </w:p>
    <w:p w:rsidR="00505632" w:rsidRDefault="00505632" w:rsidP="00505632">
      <w:pPr>
        <w:spacing w:after="0"/>
      </w:pPr>
      <w:r>
        <w:t xml:space="preserve">Aktivnosti su se provodile kroz najvažnije područja obnove i razvoja Grada Vukovara što obuhvaća prostorno </w:t>
      </w:r>
    </w:p>
    <w:p w:rsidR="00505632" w:rsidRDefault="00505632" w:rsidP="00505632">
      <w:pPr>
        <w:spacing w:after="0"/>
      </w:pPr>
      <w:r>
        <w:t xml:space="preserve">uređenje, graditeljstvo, okoliš, infrastruktura, promet, vodno gospodarstvo i zaštitu okoliša, gospodarstvo, rad, </w:t>
      </w:r>
    </w:p>
    <w:p w:rsidR="00505632" w:rsidRDefault="00505632" w:rsidP="00505632">
      <w:pPr>
        <w:spacing w:after="0"/>
      </w:pPr>
      <w:r>
        <w:t xml:space="preserve">poduzetništvo, poljoprivredu, šumarstvo, ribarstvo, ruralni razvoj i turizam, društvene djelatnosti (znanost, </w:t>
      </w:r>
    </w:p>
    <w:p w:rsidR="00505632" w:rsidRDefault="00505632" w:rsidP="00505632">
      <w:pPr>
        <w:spacing w:after="0"/>
      </w:pPr>
      <w:r>
        <w:t>obrazovanje, šport i kultura), zdravstvo i socijalnu skrb, te obitelj i branitelje.</w:t>
      </w:r>
    </w:p>
    <w:p w:rsidR="00505632" w:rsidRDefault="00505632" w:rsidP="00505632">
      <w:pPr>
        <w:pStyle w:val="Heading8"/>
        <w:jc w:val="left"/>
      </w:pPr>
      <w:r>
        <w:t>Cilj 1. U gradu Vukovaru osigurani su preduvjeti za pametan, održiv i uključiv rast i razvoj</w:t>
      </w:r>
    </w:p>
    <w:p w:rsidR="00505632" w:rsidRDefault="00505632" w:rsidP="00505632">
      <w:pPr>
        <w:pStyle w:val="Heading8"/>
        <w:jc w:val="left"/>
      </w:pPr>
      <w:r>
        <w:t>Opis provedbe cilja programa</w:t>
      </w:r>
    </w:p>
    <w:p w:rsidR="00505632" w:rsidRDefault="00505632" w:rsidP="00505632">
      <w:r>
        <w:t xml:space="preserve">Cilj je usmjeren prema obnovi, održivom rastu i razvoju Grada Vukovara. Kroz ovaj cilj se provode i posebni ciljevi a to su: </w:t>
      </w:r>
    </w:p>
    <w:p w:rsidR="00505632" w:rsidRDefault="00505632" w:rsidP="00505632">
      <w:r>
        <w:t xml:space="preserve">1. Gospodarstvo - Konkurentno i održivo gospodarstvo i poduzetništvo grada Vukovara </w:t>
      </w:r>
    </w:p>
    <w:p w:rsidR="00505632" w:rsidRDefault="00505632" w:rsidP="00505632">
      <w:r>
        <w:t xml:space="preserve">2. Društvo - Izgrađenom društvenom infrastrukturom ojačan društveni kapital grada Vukovara </w:t>
      </w:r>
    </w:p>
    <w:p w:rsidR="00505632" w:rsidRDefault="00505632" w:rsidP="00505632">
      <w:r>
        <w:t xml:space="preserve">3. Prostor i okoliš - Uravnotežen urbani i ruralni razvoj grada Vukovara </w:t>
      </w:r>
    </w:p>
    <w:p w:rsidR="00505632" w:rsidRDefault="00505632" w:rsidP="00505632">
      <w:r>
        <w:t xml:space="preserve">4. Zdravstvo i socijalna skrb - Sustav zdravstva i socijalne skrbi moderniziran prema potrebama </w:t>
      </w:r>
    </w:p>
    <w:p w:rsidR="00505632" w:rsidRDefault="00505632" w:rsidP="00505632">
      <w:r>
        <w:t xml:space="preserve">zajednice </w:t>
      </w:r>
    </w:p>
    <w:p w:rsidR="00505632" w:rsidRDefault="00505632" w:rsidP="00505632">
      <w:r>
        <w:t>5. Branitelji i obitelji - Trajno očuvan spomen na Vukovar-Grad heroj i briga o stradalnicima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Udio zaposlenog stanovništva u dobi 15-64 u broju radno sposobnih stanovnika</w:t>
            </w:r>
          </w:p>
        </w:tc>
        <w:tc>
          <w:tcPr>
            <w:tcW w:w="2551" w:type="dxa"/>
          </w:tcPr>
          <w:p w:rsidR="00505632" w:rsidRDefault="00505632" w:rsidP="00AD4E52">
            <w:pPr>
              <w:pStyle w:val="CellColumn"/>
              <w:jc w:val="left"/>
            </w:pPr>
            <w:r>
              <w:rPr>
                <w:rFonts w:cs="Times New Roman"/>
              </w:rPr>
              <w:t xml:space="preserve">Udio zaposlenog stanovništva u dobi 15-64 u broju radno </w:t>
            </w:r>
          </w:p>
          <w:p w:rsidR="00505632" w:rsidRDefault="00505632" w:rsidP="00AD4E52">
            <w:pPr>
              <w:pStyle w:val="CellColumn"/>
              <w:jc w:val="left"/>
            </w:pPr>
            <w:r>
              <w:rPr>
                <w:rFonts w:cs="Times New Roman"/>
              </w:rPr>
              <w:t>sposobnih stanovnika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26</w:t>
            </w:r>
          </w:p>
        </w:tc>
        <w:tc>
          <w:tcPr>
            <w:tcW w:w="1020" w:type="dxa"/>
          </w:tcPr>
          <w:p w:rsidR="00505632" w:rsidRDefault="00505632" w:rsidP="00AD4E52">
            <w:pPr>
              <w:pStyle w:val="CellColumn"/>
              <w:jc w:val="right"/>
            </w:pPr>
            <w:r>
              <w:rPr>
                <w:rFonts w:cs="Times New Roman"/>
              </w:rPr>
              <w:t>Godišnji izvještaj</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23</w:t>
            </w:r>
          </w:p>
        </w:tc>
      </w:tr>
      <w:tr w:rsidR="00505632" w:rsidTr="00AD4E52">
        <w:trPr>
          <w:jc w:val="center"/>
        </w:trPr>
        <w:tc>
          <w:tcPr>
            <w:tcW w:w="2551" w:type="dxa"/>
          </w:tcPr>
          <w:p w:rsidR="00505632" w:rsidRDefault="00505632" w:rsidP="00AD4E52">
            <w:pPr>
              <w:pStyle w:val="CellColumn"/>
              <w:jc w:val="left"/>
            </w:pPr>
            <w:r>
              <w:rPr>
                <w:rFonts w:cs="Times New Roman"/>
              </w:rPr>
              <w:t>Udio investicija u projekte s naglaskom na inovacije i zelenu tehnologiju u odnosu na ukupan broj sufinanciranih projekata</w:t>
            </w:r>
          </w:p>
        </w:tc>
        <w:tc>
          <w:tcPr>
            <w:tcW w:w="2551" w:type="dxa"/>
          </w:tcPr>
          <w:p w:rsidR="00505632" w:rsidRDefault="00505632" w:rsidP="00AD4E52">
            <w:pPr>
              <w:pStyle w:val="CellColumn"/>
              <w:jc w:val="left"/>
            </w:pPr>
            <w:r>
              <w:rPr>
                <w:rFonts w:cs="Times New Roman"/>
              </w:rPr>
              <w:t>Udio investicija u projekte s naglaskom na inovacije i zelenu tehnologiju u odnosu na ukupan broj sufinanciranih projekata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Godišnji izvještaj</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5</w:t>
            </w:r>
          </w:p>
        </w:tc>
      </w:tr>
      <w:tr w:rsidR="00505632" w:rsidTr="00AD4E52">
        <w:trPr>
          <w:jc w:val="center"/>
        </w:trPr>
        <w:tc>
          <w:tcPr>
            <w:tcW w:w="2551" w:type="dxa"/>
          </w:tcPr>
          <w:p w:rsidR="00505632" w:rsidRDefault="00505632" w:rsidP="00AD4E52">
            <w:pPr>
              <w:pStyle w:val="CellColumn"/>
              <w:jc w:val="left"/>
            </w:pPr>
            <w:r>
              <w:rPr>
                <w:rFonts w:cs="Times New Roman"/>
              </w:rPr>
              <w:t>Udio stanovništva s posebnim potrebama u ukupnom stanovništvu (Vukovar i okolica)</w:t>
            </w:r>
          </w:p>
        </w:tc>
        <w:tc>
          <w:tcPr>
            <w:tcW w:w="2551" w:type="dxa"/>
          </w:tcPr>
          <w:p w:rsidR="00505632" w:rsidRDefault="00505632" w:rsidP="00AD4E52">
            <w:pPr>
              <w:pStyle w:val="CellColumn"/>
              <w:jc w:val="left"/>
            </w:pPr>
            <w:r>
              <w:rPr>
                <w:rFonts w:cs="Times New Roman"/>
              </w:rPr>
              <w:t>Udio stanovništva s posebnim potrebama u ukupnom stanovništvu (Vukovar i okolica)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Godišnji izvještaj</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70</w:t>
            </w:r>
          </w:p>
        </w:tc>
      </w:tr>
      <w:tr w:rsidR="00505632" w:rsidTr="00AD4E52">
        <w:trPr>
          <w:jc w:val="center"/>
        </w:trPr>
        <w:tc>
          <w:tcPr>
            <w:tcW w:w="2551" w:type="dxa"/>
          </w:tcPr>
          <w:p w:rsidR="00505632" w:rsidRDefault="00505632" w:rsidP="00AD4E52">
            <w:pPr>
              <w:pStyle w:val="CellColumn"/>
              <w:jc w:val="left"/>
            </w:pPr>
            <w:r>
              <w:rPr>
                <w:rFonts w:cs="Times New Roman"/>
              </w:rPr>
              <w:t>Indeks razvijenosti Grada Vukovara (MRRFEU)</w:t>
            </w:r>
          </w:p>
        </w:tc>
        <w:tc>
          <w:tcPr>
            <w:tcW w:w="2551" w:type="dxa"/>
          </w:tcPr>
          <w:p w:rsidR="00505632" w:rsidRDefault="00505632" w:rsidP="00AD4E52">
            <w:pPr>
              <w:pStyle w:val="CellColumn"/>
              <w:jc w:val="left"/>
            </w:pPr>
            <w:r>
              <w:rPr>
                <w:rFonts w:cs="Times New Roman"/>
              </w:rPr>
              <w:t>Indeks razvijenosti Grada Vukovara (MRRFEU)</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70,63</w:t>
            </w:r>
          </w:p>
        </w:tc>
        <w:tc>
          <w:tcPr>
            <w:tcW w:w="1020" w:type="dxa"/>
          </w:tcPr>
          <w:p w:rsidR="00505632" w:rsidRDefault="00505632" w:rsidP="00AD4E52">
            <w:pPr>
              <w:pStyle w:val="CellColumn"/>
              <w:jc w:val="right"/>
            </w:pPr>
            <w:r>
              <w:rPr>
                <w:rFonts w:cs="Times New Roman"/>
              </w:rPr>
              <w:t>Godišnji izvještaj</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70,63</w:t>
            </w:r>
          </w:p>
        </w:tc>
      </w:tr>
    </w:tbl>
    <w:p w:rsidR="00505632" w:rsidRDefault="00505632" w:rsidP="00505632"/>
    <w:p w:rsidR="00505632" w:rsidRDefault="00505632" w:rsidP="00505632">
      <w:pPr>
        <w:pStyle w:val="Heading2"/>
      </w:pPr>
      <w:r>
        <w:t>06120 Agencija za regionalni razvoj Republike Hrvatske</w:t>
      </w:r>
    </w:p>
    <w:p w:rsidR="00505632" w:rsidRDefault="00505632" w:rsidP="00505632">
      <w:r>
        <w:t xml:space="preserve">Agencija za regionalni razvoj Republike Hrvatske osnovana je 24. prosinca 2008. godine Uredbom o osnivanju Agencije za regionalni razvoj Republike Hrvatske (NN 155/08), kao provedbeno tijelo Ministarstva regionalnog razvoja, šumarstva i vodnoga gospodarstva za financiranje, nabavu, plaćanje i nadzor provedbe projekata regionalne razvojne politike Republike Hrvatske. </w:t>
      </w:r>
    </w:p>
    <w:p w:rsidR="00505632" w:rsidRDefault="00505632" w:rsidP="00505632">
      <w:r>
        <w:t xml:space="preserve">Provedba IPA programa </w:t>
      </w:r>
    </w:p>
    <w:p w:rsidR="00505632" w:rsidRDefault="00505632" w:rsidP="00505632">
      <w:r>
        <w:t xml:space="preserve">Agencija za regionalni razvoj Republike Hrvatske je akreditirana od strane Europske komisije čime je potvrđena kao provedbeno i ugovorno tijelo za IPA IIb komponentu koja uključuje programe prekogranične suradnje Hrvatska - Bosna i Hercegovina, Hrvatska - Crna Gora, Hrvatska - Srbija, te transnacionalne programe Mediteran i Jugoistočna Europa (za alokacije 2007. – 2009.). </w:t>
      </w:r>
    </w:p>
    <w:p w:rsidR="00505632" w:rsidRDefault="00505632" w:rsidP="00505632">
      <w:r>
        <w:t xml:space="preserve">Provedba u navedenom kontekstu predstavlja financijsko upravljanje projektima, pripremu i izradu smjernica za natječajne procedure, provođenje postupaka nabave vezano uz prijave projekata za dodjelu sredstava iz pojedinih programa, ocjenjivanje projektnih ideja, odabir projekata kojima će se dodijeliti financijska sredstva, pripremu i zaključenje ugovora, vršenje plaćanja prema utvrđenim kriterijima i sklopljenim ugovorima te praćenje tijekova financijskih sredstava. </w:t>
      </w:r>
    </w:p>
    <w:p w:rsidR="00505632" w:rsidRDefault="00505632" w:rsidP="00505632">
      <w:r>
        <w:t xml:space="preserve">Za financijsko razdoblje 2007.-2013. uspostavljeno je kontrolno tijelo unutar Ministarstva regionalnoga razvoja i fondova EU (MRRFEU) za programe prekogranične suradnje s državama članicama EU (Mađarska – Hrvatska, Slovenija – Hrvatska, Adriatic) te transnacionalne programe Jugoistočna Europa i Mediteran (za alokacije 2010. – 2013.). Temeljem Sporazuma između Agencije i MRRFEU Agencija od 15. svibnja 2014. godine obavlja poslove prvostupanjske kontrole za spomenute programe. Temeljem Uredbe o tijelima u sustavima upravljanja i kontrole za provedbu programa (NN120/14) kojima se podržava cilj »Europska teritorijalna suradnja« u financijskom razdoblju 2014. – 2020., Agencija je u čl. 5. imenovana kontrolnim tijelom za 11 programa te čl. 7. Upravljačkim tijelom za dva programa Europske teritorijalne suradnje.  </w:t>
      </w:r>
    </w:p>
    <w:p w:rsidR="00505632" w:rsidRDefault="00505632" w:rsidP="00505632">
      <w:r>
        <w:t xml:space="preserve">Nadležnosti Agencije sukladno nacionalnom zakonodavstvu  </w:t>
      </w:r>
    </w:p>
    <w:p w:rsidR="00505632" w:rsidRDefault="00505632" w:rsidP="00505632">
      <w:r>
        <w:t xml:space="preserve">Čl. 20. Zakona o regionalnom razvoju (Narodne novine, broj 147/14) definirano je da Agencija provodi aktivnosti kojima doprinosi ostvarenju ciljeva politike regionalnoga razvoja utvrđenim u planskim dokumentima politike regionalnoga razvoja. </w:t>
      </w:r>
    </w:p>
    <w:p w:rsidR="00505632" w:rsidRDefault="00505632" w:rsidP="00505632">
      <w:r>
        <w:t>Agencija, sukladno čl. 26. Zakona o regionalnom razvoju provodi postupak akreditacije regionalnih koordinatora, odnosno utvrđuje sposobnost regionalnih koordinatora za učinkovito i djelotvorno obavljanje poslova od općeg gospodarskog interesa koji su definirani u čl 25 ZRR-a te temeljem  Programa za osiguranje kvalitete rada regionalnih koordinatora.</w:t>
      </w:r>
    </w:p>
    <w:tbl>
      <w:tblPr>
        <w:tblStyle w:val="StilTablice"/>
        <w:tblW w:w="10206" w:type="dxa"/>
        <w:jc w:val="center"/>
        <w:tblLook w:val="04A0" w:firstRow="1" w:lastRow="0" w:firstColumn="1" w:lastColumn="0" w:noHBand="0" w:noVBand="1"/>
      </w:tblPr>
      <w:tblGrid>
        <w:gridCol w:w="1881"/>
        <w:gridCol w:w="1968"/>
        <w:gridCol w:w="1969"/>
        <w:gridCol w:w="1969"/>
        <w:gridCol w:w="1206"/>
        <w:gridCol w:w="1213"/>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06120-Agencija za regionalni razvoj Republike Hrvatske</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12.001.902</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15.751.944</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13.489.828</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85,6</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112,4</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left"/>
            </w:pPr>
            <w:r>
              <w:t>2901-REGIONALNA KONKURENTNOST I URBANI RAZVOJ</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8.919.845</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9.995.850</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9.122.182</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91,3</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102,3</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left"/>
            </w:pPr>
            <w:r>
              <w:t>2903-TERITORIJALNA SURADNJA</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3.082.056</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5.756.094</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4.367.646</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75,9</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141,7</w:t>
            </w:r>
          </w:p>
        </w:tc>
      </w:tr>
    </w:tbl>
    <w:p w:rsidR="00505632" w:rsidRDefault="00505632" w:rsidP="00505632">
      <w:pPr>
        <w:jc w:val="left"/>
      </w:pPr>
    </w:p>
    <w:p w:rsidR="00505632" w:rsidRDefault="00505632" w:rsidP="00505632">
      <w:pPr>
        <w:pStyle w:val="Heading3"/>
      </w:pPr>
      <w:r>
        <w:rPr>
          <w:rFonts w:cs="Times New Roman"/>
        </w:rPr>
        <w:t>2901 REGIONALNA KONKURENTNOST I URBANI RAZVOJ</w:t>
      </w:r>
    </w:p>
    <w:tbl>
      <w:tblPr>
        <w:tblStyle w:val="StilTablice"/>
        <w:tblW w:w="10206" w:type="dxa"/>
        <w:jc w:val="center"/>
        <w:tblLook w:val="04A0" w:firstRow="1" w:lastRow="0" w:firstColumn="1" w:lastColumn="0" w:noHBand="0" w:noVBand="1"/>
      </w:tblPr>
      <w:tblGrid>
        <w:gridCol w:w="1881"/>
        <w:gridCol w:w="1968"/>
        <w:gridCol w:w="1968"/>
        <w:gridCol w:w="1968"/>
        <w:gridCol w:w="1207"/>
        <w:gridCol w:w="1214"/>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Index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2901-REGIONALNA KONKURENTNOST I URBANI RAZVOJ</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8.919.845</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9.995.850</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9.122.182</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91,3</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102,3</w:t>
            </w:r>
          </w:p>
        </w:tc>
      </w:tr>
    </w:tbl>
    <w:p w:rsidR="00505632" w:rsidRDefault="00505632" w:rsidP="00505632">
      <w:pPr>
        <w:jc w:val="left"/>
      </w:pPr>
    </w:p>
    <w:p w:rsidR="00505632" w:rsidRDefault="00505632" w:rsidP="00505632">
      <w:r>
        <w:t xml:space="preserve">Prekogranična, transnacionalna i međuregionalna suradnja važan su element u politici gospodarske i društvene kohezije Europske unije, te doprinose ispunjenju sveukupnih ciljeva politike regionalnog razvoja Republike Hrvatske.    </w:t>
      </w:r>
    </w:p>
    <w:p w:rsidR="00505632" w:rsidRDefault="00505632" w:rsidP="00505632">
      <w:r>
        <w:t xml:space="preserve">Provedbom spomenutih programa nastoji se smanjiti negativni trend razvoja, obnoviti i revitalizirati pogranična područja, poboljšati kvalitetu života, razviti prekogranične mreže, partnerstva i aktivnosti kroz oživljavanje gospodarstva, očuvanje okoliša i stvaranje socijalne povezanosti, te razviti gospodarske i dobrosusjedske odnose u navedenim područjima.  </w:t>
      </w:r>
    </w:p>
    <w:p w:rsidR="00505632" w:rsidRDefault="00505632" w:rsidP="00505632">
      <w:r>
        <w:t xml:space="preserve">U financijskom razdoblju 2007.-2013. Republika Hrvatska je sudjelovala u 6 prekograničnih programa (Jadranska prekogranična suradnja, Mađarska – Hrvatska, Slovenija – Hrvatska, Hrvatska – Bosna i Hercegovina, Hrvatska – Crna Gora i Hrvatska – Srbija) i 2 transnacionalna programa (Jugoistočna Europa i Mediteran). </w:t>
      </w:r>
    </w:p>
    <w:p w:rsidR="00505632" w:rsidRDefault="00505632" w:rsidP="00505632">
      <w:r>
        <w:t>U financijskom razdoblju 2014.-2020. Republika Hrvatska sudjeluje u 5 programa prekogranične suradnje (Hrvatska - Bosna i Hercegovina - Crna Gora, Hrvatska – Srbija, Italija – Hrvatska, Mađarska – Hrvatska i Slovenija – Hrvatska), 4 programa transnacionalne suradnje (Dunav, Mediteran, Središnja Europa i Jadransko – jonski program) te 4 programa međuregionalne suradnje (Interreg, Urbact, Espon i Interact).</w:t>
      </w:r>
    </w:p>
    <w:p w:rsidR="00505632" w:rsidRDefault="00505632" w:rsidP="00505632">
      <w:pPr>
        <w:pStyle w:val="Heading8"/>
        <w:jc w:val="left"/>
      </w:pPr>
      <w:r>
        <w:t>Cilj 1. Razvoj pograničnih i perifernih područja u Republici Hrvatskoj</w:t>
      </w:r>
    </w:p>
    <w:p w:rsidR="00505632" w:rsidRDefault="00505632" w:rsidP="00505632">
      <w:pPr>
        <w:pStyle w:val="Heading4"/>
      </w:pPr>
      <w:r>
        <w:t>A828030 ADMINISTRACIJA I UPRAVLJANJE AGENCIJE ZA REGIONALNI RAZVOJ</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Naziv aktivnosti</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A828030-ADMINISTRACIJA I UPRAVLJANJE AGENCIJE ZA REGIONALNI RAZVOJ</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8.581.223</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9.550.850</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8.783.180</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92,0</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102,4</w:t>
            </w:r>
          </w:p>
        </w:tc>
      </w:tr>
    </w:tbl>
    <w:p w:rsidR="00505632" w:rsidRDefault="00505632" w:rsidP="00505632">
      <w:pPr>
        <w:pStyle w:val="Heading8"/>
        <w:jc w:val="left"/>
        <w:rPr>
          <w:b w:val="0"/>
        </w:rPr>
      </w:pPr>
    </w:p>
    <w:p w:rsidR="00505632" w:rsidRDefault="00505632" w:rsidP="00505632">
      <w:pPr>
        <w:pStyle w:val="Heading8"/>
        <w:jc w:val="left"/>
      </w:pPr>
      <w:r>
        <w:t>Opis aktivnosti</w:t>
      </w:r>
    </w:p>
    <w:p w:rsidR="00505632" w:rsidRDefault="00505632" w:rsidP="00505632">
      <w:r>
        <w:t xml:space="preserve">Sredstva planirana u aktivnosti A828030 - Administracija i upravljanje Agencije za regionalni razvoj utrošila su se na aktivnosti vezane za provedbu programa IPA IIb  te međuregionalnog programa URBACT za razdoblje 2014.-2020.   </w:t>
      </w:r>
    </w:p>
    <w:p w:rsidR="00505632" w:rsidRDefault="00505632" w:rsidP="00505632">
      <w:r>
        <w:t>Sredstva su većim dijelom utrošena na plaće zaposlenika, troškove uredskog poslovanja, režijske troškove te trošak najma (tzv. hladni pogon). Budući da redovne aktivnosti Agencije te aktivnosti vezane za provedbu navedenih programa obuhvaćaju i terensku provjeru projekata, kao i sudjelovanje na sastancima s programskim tijelima i radnim skupinama, dio sredstava utrošen je  i na službena putovanja te sve potrebne edukacije</w:t>
      </w:r>
    </w:p>
    <w:p w:rsidR="00505632" w:rsidRDefault="00505632" w:rsidP="00505632">
      <w:pPr>
        <w:pStyle w:val="Heading4"/>
      </w:pPr>
      <w:r>
        <w:t>K828029 INFORMATIZACIJA AGENCIJE ZA REGIONALNI RAZVOJ</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Naziv aktivnosti</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K828029-INFORMATIZACIJA AGENCIJE ZA REGIONALNI RAZVOJ</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338.623</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445.000</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339.002</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76,2</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100,1</w:t>
            </w:r>
          </w:p>
        </w:tc>
      </w:tr>
    </w:tbl>
    <w:p w:rsidR="00505632" w:rsidRDefault="00505632" w:rsidP="00505632">
      <w:pPr>
        <w:pStyle w:val="Heading8"/>
        <w:jc w:val="left"/>
        <w:rPr>
          <w:b w:val="0"/>
        </w:rPr>
      </w:pPr>
    </w:p>
    <w:p w:rsidR="00505632" w:rsidRDefault="00505632" w:rsidP="00505632">
      <w:pPr>
        <w:pStyle w:val="Heading8"/>
        <w:jc w:val="left"/>
      </w:pPr>
      <w:r>
        <w:t>Opis aktivnosti</w:t>
      </w:r>
    </w:p>
    <w:p w:rsidR="00505632" w:rsidRDefault="00505632" w:rsidP="00505632">
      <w:r>
        <w:t>Sredstva su većim dijelom utrošena na održavanje informatičkog sustava Agencije (održavanje, licence i hosting) te nabavku informatičke opreme novih zaposlenika. Dio sredstava utrošen je i za nabavku uredskog namještaja za potrebe novih zaposlenika.</w:t>
      </w:r>
    </w:p>
    <w:p w:rsidR="00505632" w:rsidRDefault="00505632" w:rsidP="00505632"/>
    <w:p w:rsidR="00505632" w:rsidRDefault="00505632" w:rsidP="00505632"/>
    <w:p w:rsidR="00505632" w:rsidRDefault="00505632" w:rsidP="00505632"/>
    <w:p w:rsidR="00505632" w:rsidRDefault="00505632" w:rsidP="00505632">
      <w:pPr>
        <w:pStyle w:val="Heading3"/>
      </w:pPr>
      <w:r>
        <w:rPr>
          <w:rFonts w:cs="Times New Roman"/>
        </w:rPr>
        <w:t>2903 TERITORIJALNA SURADNJA</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Index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2903-TERITORIJALNA SURADNJA</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3.082.056</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5.756.094</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4.367.646</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75,9</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141,7</w:t>
            </w:r>
          </w:p>
        </w:tc>
      </w:tr>
    </w:tbl>
    <w:p w:rsidR="00505632" w:rsidRDefault="00505632" w:rsidP="00505632">
      <w:pPr>
        <w:jc w:val="left"/>
      </w:pPr>
    </w:p>
    <w:p w:rsidR="00505632" w:rsidRDefault="00505632" w:rsidP="00505632">
      <w:pPr>
        <w:pStyle w:val="Heading4"/>
      </w:pPr>
      <w:r>
        <w:t>T828061 IPA PROGRAM PREKOGRANIČNE SURADNJE HRVATSKA - SRBIJA</w:t>
      </w:r>
    </w:p>
    <w:tbl>
      <w:tblPr>
        <w:tblStyle w:val="StilTablice"/>
        <w:tblW w:w="10206" w:type="dxa"/>
        <w:jc w:val="center"/>
        <w:tblLook w:val="04A0" w:firstRow="1" w:lastRow="0" w:firstColumn="1" w:lastColumn="0" w:noHBand="0" w:noVBand="1"/>
      </w:tblPr>
      <w:tblGrid>
        <w:gridCol w:w="1803"/>
        <w:gridCol w:w="1989"/>
        <w:gridCol w:w="1992"/>
        <w:gridCol w:w="1992"/>
        <w:gridCol w:w="1213"/>
        <w:gridCol w:w="1217"/>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Naziv aktivnosti</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T828061-IPA PROGRAM PREKOGRANIČNE SURADNJE HRVATSKA - SRBIJA</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848.361</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2.221.335</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1.691.975</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76,2</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199,4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1.</w:t>
      </w:r>
      <w:r>
        <w:tab/>
        <w:t xml:space="preserve">Zakon o institucionalnom okviru za provedbu europskih strukturnih i investicijskih fondova u Republici Hrvatskoj u financijskom razdoblju 2014. – 2020.  </w:t>
      </w:r>
    </w:p>
    <w:p w:rsidR="00505632" w:rsidRDefault="00505632" w:rsidP="00505632">
      <w:r>
        <w:t>2.</w:t>
      </w:r>
      <w:r>
        <w:tab/>
        <w:t>Uredba o tijelima u sustavima upravljanja i kontrole za provedbu programa kojima se podržava cilj „ Europska teritorijalna suradnja“ u financijskom razdoblju 2014. – 2020.</w:t>
      </w:r>
    </w:p>
    <w:p w:rsidR="00505632" w:rsidRDefault="00505632" w:rsidP="00505632">
      <w:pPr>
        <w:pStyle w:val="Heading8"/>
        <w:jc w:val="left"/>
      </w:pPr>
      <w:r>
        <w:t>Opis aktivnosti</w:t>
      </w:r>
    </w:p>
    <w:p w:rsidR="00505632" w:rsidRDefault="00505632" w:rsidP="00505632">
      <w:r>
        <w:t xml:space="preserve">Za navedeni program prekogranične suradnje Agencija u financijskom razdoblju 2014.-2020. ima funkciju Upravljačkog tijela sukladno Uredbi o tijelima u sustavima upravljanja i kontrole za provedbu programa kojima se podržava cilj „Europska teritorijalna suradnja“ u financijskom razdoblju 2014. – 2020., koja je stupila na snagu 18.listopada 2014. godine. U okviru Agencije ustrojen je Ured za upravljanje programima suradnje i regionalni razvoj na čelu s pomoćnicom ravnateljice te pripadajućom Službom za upravljanje i provedbu programa prekogranične suradnje koja je, osim za program prekogranične suradnje Hrvatska – Srbija, odgovorna za program prekogranične suradnje Hrvatska – Bosna i Hercegovina – Crna Gora. Osim Upravljačkog tijela, u Uredu je smješteno Zajedničko tajništvo programa sukladno članku 23. st. 2. Uredbe (EU) br. 1299/2013 EUROPSKOG PARLAMENTA I VIJEĆA od 17. prosinca 2013. o posebnim odredbama za potporu iz Europskog fonda za regionalni razvoj cilju „Europska teritorijalna suradnja“. </w:t>
      </w:r>
    </w:p>
    <w:p w:rsidR="00505632" w:rsidRDefault="00505632" w:rsidP="00505632">
      <w:r>
        <w:t>Većina utrošenih sredstava odnosi na troškove zaposlenika (6 zaposlenih), njihovih edukacija te dio troškova hladnog pogona (uredski materijal, režije, najam). Dio troškova odnosi se i na isplatu angažmana vanjskih ocjenjivača za projektne prijave zaprimljene u sklopu 1. Poziva na dostavu projektnih prijedloga Interreg IPA prekogranične suradnje Hrvatska-Srbija te obnovu dotrajale uredske i informatičke opreme.</w:t>
      </w:r>
    </w:p>
    <w:p w:rsidR="00505632" w:rsidRDefault="00505632" w:rsidP="00505632"/>
    <w:p w:rsidR="00505632" w:rsidRDefault="00505632" w:rsidP="00505632"/>
    <w:p w:rsidR="00505632" w:rsidRDefault="00505632" w:rsidP="00505632">
      <w:pPr>
        <w:pStyle w:val="Heading4"/>
      </w:pPr>
      <w:r>
        <w:t>T828062 IPA PROGRAM PREKOGRANIČNE SURADNJE HRVATSKA - BOSNA I HERCEGOVINA - CRNA GORA</w:t>
      </w:r>
    </w:p>
    <w:tbl>
      <w:tblPr>
        <w:tblStyle w:val="StilTablice"/>
        <w:tblW w:w="10206" w:type="dxa"/>
        <w:jc w:val="center"/>
        <w:tblLook w:val="04A0" w:firstRow="1" w:lastRow="0" w:firstColumn="1" w:lastColumn="0" w:noHBand="0" w:noVBand="1"/>
      </w:tblPr>
      <w:tblGrid>
        <w:gridCol w:w="1803"/>
        <w:gridCol w:w="1989"/>
        <w:gridCol w:w="1992"/>
        <w:gridCol w:w="1992"/>
        <w:gridCol w:w="1213"/>
        <w:gridCol w:w="1217"/>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Naziv aktivnosti</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T828062-IPA PROGRAM PREKOGRANIČNE SURADNJE HRVATSKA - BOSNA I HERCEGOVINA - CRNA GORA</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913.447</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2.537.482</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2.029.605</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80,0</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222,2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institucionalnom okviru za provedbu europskih strukturnih i investicijskih fondova u Republici Hrvatskoj u financijskom razdoblju 2014. – 2020.  </w:t>
      </w:r>
    </w:p>
    <w:p w:rsidR="00505632" w:rsidRDefault="00505632" w:rsidP="00505632">
      <w:r>
        <w:t>2. Uredba o tijelima u sustavima upravljanja i kontrole za provedbu programa kojima se podržava cilj „ Europska teritorijalna suradnja“ u financijskom razdoblju 2014. – 2020.</w:t>
      </w:r>
    </w:p>
    <w:p w:rsidR="00505632" w:rsidRDefault="00505632" w:rsidP="00505632">
      <w:pPr>
        <w:pStyle w:val="Heading8"/>
        <w:jc w:val="left"/>
      </w:pPr>
      <w:r>
        <w:t>Opis aktivnosti</w:t>
      </w:r>
    </w:p>
    <w:p w:rsidR="00505632" w:rsidRDefault="00505632" w:rsidP="00505632">
      <w:r>
        <w:t xml:space="preserve">Za navedeni Program prekogranične suradnje Agencija ima ulogu Upravljačkog tijela u financijskom razdoblju 2014.-2020. sukladno Uredbi o tijelima u sustavima upravljanja i kontrole za provedbu programa kojima se podržava cilj „Europska teritorijalna suradnja“ u financijskom razdoblju 2014. – 2020., koja je stupila na snagu 18.listopada 2014. godine. U okviru Agencije ustrojen je Ured za upravljanje programima suradnje i regionalni razvoj na čelu s pomoćnicom ravnateljice te pripadajućom Službom za upravljanje i provedbu programa prekogranične suradnje koja je, osim za program prekogranične suradnje Hrvatska – Bosna i Hercegovina – Crna Gora, odgovorna za program prekogranične suradnje Hrvatska – Srbija. U Službi je zaposleno 7 osoba. Osim Upravljačkog tijela, u Uredu je smješteno Zajedničko tajništvo programa sukladno članku 23. st. 2. Uredbe (EU) br. 1299/2013 EUROPSKOG PARLAMENTA I VIJEĆA od 17. prosinca 2013. o posebnim odredbama za potporu iz Europskog fonda za regionalni razvoj cilju „Europska teritorijalna suradnja”.  </w:t>
      </w:r>
    </w:p>
    <w:p w:rsidR="00505632" w:rsidRDefault="00505632" w:rsidP="00505632">
      <w:r>
        <w:t>Većina utrošenih sredstava odnosi na troškove zaposlenika (7 zaposlenih), njihovih edukacija te dio troškova hladnog pogona (uredski materijal, režije, najam). Dio troškova odnosi se i na isplatu angažmana vanjskih ocjenjivača za projektne prijave zaprimljene u sklopu 1. Poziva na dostavu projektnih prijedloga Interreg IPA prekogranične suradnje Hrvatska-Bosna i Hercegovina-Crna Gora te obnovu dotrajale uredske i informatičke opreme.</w:t>
      </w:r>
    </w:p>
    <w:p w:rsidR="00505632" w:rsidRDefault="00505632" w:rsidP="00505632">
      <w:pPr>
        <w:pStyle w:val="Heading4"/>
      </w:pPr>
      <w:r>
        <w:t>T828067 ZAJEDNIČKO TAJNIŠTVO SLOVENIJA-HRVATSKA (INTERREG 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Naziv aktivnosti</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T828067-ZAJEDNIČKO TAJNIŠTVO SLOVENIJA-HRVATSKA (INTERREG V-A)</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00</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397.227</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356.449</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89,7</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Program suradnje INTERREG V-A SLOVENIJA – HRVATSKA 2014.-2020.</w:t>
      </w:r>
    </w:p>
    <w:p w:rsidR="00505632" w:rsidRDefault="00505632" w:rsidP="00505632">
      <w:pPr>
        <w:pStyle w:val="Heading8"/>
        <w:jc w:val="left"/>
      </w:pPr>
      <w:r>
        <w:t>Opis aktivnosti</w:t>
      </w:r>
    </w:p>
    <w:p w:rsidR="00505632" w:rsidRDefault="00505632" w:rsidP="00505632">
      <w:r>
        <w:t xml:space="preserve">Za svaki od programa prekogranične suradnje potrebno je uspostaviti zajednička tijela (programska tijela sufinancirana od strane zemalja partnera)  koja sudjeluju u provedbi programa. Jedno od zajedničkih tijela je Zajedničko tajništvo koje je u pravilu sastavljeno od državljana zemalja partnera. Sukladno navedenom, Zajedničko tajništvo programa Slovenija-Hrvatska smješteno je u Ljubljani, a u Republici Hrvatskoj nalaze se dva područna ureda, u Krapini i Buzetu. Djelatnici Zajedničkog tajništva koji rade u područnim uredima zaposleni su od strane Agencije za regionalni razvoj Republike Hrvatske.  </w:t>
      </w:r>
    </w:p>
    <w:p w:rsidR="00505632" w:rsidRDefault="00505632" w:rsidP="00505632">
      <w:r>
        <w:t>U 2016. uspostavljena su dva ureda Zajedničkog tajništva te su sredstva utrošena na opremanje istih i troškove dvoje zaposlenih te njihovih edukacija i službenih putovanja.</w:t>
      </w:r>
    </w:p>
    <w:p w:rsidR="00505632" w:rsidRDefault="00505632" w:rsidP="00505632">
      <w:pPr>
        <w:pStyle w:val="Heading4"/>
      </w:pPr>
      <w:r>
        <w:t>T828068 ZAJEDNIČKO TAJNIŠTVO  ITALIJA-HRVATSKA (INTERREG 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Naziv aktivnosti</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T828068-ZAJEDNIČKO TAJNIŠTVO  ITALIJA-HRVATSKA (INTERREG V-A)</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00</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228.050</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123.293</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54,1</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Program prekogranične suradnje INTERREG V-A Italija –Hrvatska 2014.-2020</w:t>
      </w:r>
    </w:p>
    <w:p w:rsidR="00505632" w:rsidRDefault="00505632" w:rsidP="00505632">
      <w:pPr>
        <w:pStyle w:val="Heading8"/>
        <w:jc w:val="left"/>
      </w:pPr>
      <w:r>
        <w:t>Opis aktivnosti</w:t>
      </w:r>
    </w:p>
    <w:p w:rsidR="00505632" w:rsidRDefault="00505632" w:rsidP="00505632">
      <w:r>
        <w:t xml:space="preserve">Za svaki od programa prekogranične suradnje potrebno je uspostaviti zajednička tijela (programska tijela sufinancirana od strane zemalja partnera)  koja sudjeluju u provedbi programa. Jedno od zajedničkih tijela je Zajedničko tajništvo koje je u pravilu sastavljeno od državljana zemalja partnera. Sukladno navedenom, Zajedničko tajništvo programa Italija-Hrvatska smješteno je u Veneciji, a u Republici Hrvatskoj nalaze se dva područna ureda, u Zadru i Dubrovniku. Djelatnici Zajedničkog tajništva koji rade u područnim uredima zaposleni su od strane Agencije za regionalni razvoj Republike Hrvatske.  </w:t>
      </w:r>
    </w:p>
    <w:p w:rsidR="00505632" w:rsidRDefault="00505632" w:rsidP="00505632">
      <w:r>
        <w:t>U 2016. uspostavljena su dva ureda Zajedničkog tajništva te su sredstva utrošena na opremanje istih i troškove dvoje zaposlenih te njihovih edukacija i službenih putovanja.</w:t>
      </w:r>
    </w:p>
    <w:p w:rsidR="00505632" w:rsidRDefault="00505632" w:rsidP="00505632"/>
    <w:p w:rsidR="00505632" w:rsidRDefault="00505632" w:rsidP="00505632">
      <w:pPr>
        <w:pStyle w:val="Heading2"/>
      </w:pPr>
      <w:r>
        <w:t>06125 Središnja agencija za financiranje i ugovaranje programa i projekata Europske unije</w:t>
      </w:r>
    </w:p>
    <w:p w:rsidR="00505632" w:rsidRDefault="00505632" w:rsidP="00505632">
      <w:r>
        <w:t xml:space="preserve">U nadležnosti Ministarstva regionalnoga razvoja i fondova Europske unije nalazi se glava 25- Središnja agencija za financiranje i ugovaranje programa i projekata Europske unije (SAFU). Temeljem Okvirnog sporazuma između Vlade Republike Hrvatske i Komisije Europskih zajednica o pravilima za suradnju u svezi financijske pomoći Europske zajednice Republici Hrvatskoj u provedbi pomoći u okviru Instrumenta pretpristupne pomoći (NN-Međunarodni ugovori 4/09), Uredbe o opsegu i sadržaju odgovornosti te ovlastima tijela nadležnih za upravljanje instrumentom pretpristupne pomoći (IPA) i Prijelaznim instrumentom (NN 84/14) i Odluke Europske komisije od 13. lipnja 2013. godine o tehničkim odredbama za provedbu Prijelaznog instrumenta u Republici Hrvatskoj, SAFU je tijelo nadležno za provedbu prve (I) komponente Instrumenta pretpristupne pomoći i Prijelaznog instrumenta. U sklopu navedenih programa, SAFU ima ulogu provedbene agencije, što znači da je nadležna za provedbu javnih nadmetanja, sklapanje i vođenje ugovora, plaćanja i nadzor provedbe programa i projekata prema pravilima financijskog upravljanja i kontrole koje propisuje Europska komisija. SAFU je od strane Komisije akreditirana za navedene zadaće i obavlja ih u suradnji sa ostalim tijelima državne i javne uprave kao korisnicima projekata. Sukladno odredbama Zakona o uspostavi institucionalnog okvira za korištenje strukturnih instrumenata Europske unije u Republici Hrvatskoj (Narodne novine, br. 78/12, 143/13, 157/13) i Uredbe o tijelima u sustavu upravljanja i kontrole korištenja strukturnih instrumenata Europske unije u Republici Hrvatskoj (Narodne novine, br. 97/12, 18/16), SAFU je nadležna za obavljanje poslova Posredničkog tijela 2. razine u okviru strukturnih instrumenata, odnosno sljedećih operativnih programa: </w:t>
      </w:r>
    </w:p>
    <w:p w:rsidR="00505632" w:rsidRDefault="00505632" w:rsidP="00505632">
      <w:r>
        <w:t xml:space="preserve">• Operativnog programa za regionalnu konkurentnost </w:t>
      </w:r>
    </w:p>
    <w:p w:rsidR="00505632" w:rsidRDefault="00505632" w:rsidP="00505632">
      <w:r>
        <w:t>• Operativnog programa za okoliš – Prioritet 3. Tehnička pomoć</w:t>
      </w:r>
    </w:p>
    <w:p w:rsidR="00505632" w:rsidRDefault="00505632" w:rsidP="00505632">
      <w:r>
        <w:t xml:space="preserve">• Operativnog programa za promet – Prioritet 2. Unaprjeđenje sustava unutarnje plovidbe u Hrvatskoj i prioritet 3. Tehnička pomoć. </w:t>
      </w:r>
    </w:p>
    <w:p w:rsidR="00505632" w:rsidRDefault="00505632" w:rsidP="00505632">
      <w:r>
        <w:t>Kao Posredničko tijelo 2. razine SAFU sudjeluje u postupku evaluacije projektnih prijedloga, provodi administrativnu i terensku kontrolu provedbe projekata te ovjerava troškove korisnika. U sklopu navedenih operativnih programa, SAFU također ima ulogu partnera korisnicima i to kod projekata za koje je postupak javne nabave pokrenut prije datuma hrvatskog članstva u Europskoj uniji prema posebnim pravilima Komisije za koje je SAFU stekla potrebnu akreditaciju. To u praksi znači da SAFU provodi projekte u ime i za račun pojedinih ministarstava, odnosno korisnika projekata. Sukladno Zakonu o uspostavi institucionalnog okvira za provedbu Europskih strukturnih i investicijskih fondova u financijskom razdoblju 2014.-2020. (Narodne novine, broj 92/14) i Uredbi o tijelima u sustav upravljanja i kontrole korištenja Europskog socijalnog fonda, Europskog fonda za regionalni razvoj i Kohezijskog fonda, u vezi s ciljem “Ulaganje u rast i radna mjesta” (Narodne novine, broj 107/14), SAFU je određena kao Posredničko tijelo 2. razine za Operativni program za konkurentnost i koheziju. SAFU je tijekom 2015. godine izvršila potrebne organizacijske i administrativne promjene s ciljem osiguranja kapaciteta za izvršavanje dodijeljenih funkcija u financijskom razdoblju 2014.-2020. u skladu s načelima dobrog financijskog upravljanja. Pored navedenih zadaća, SAFU sustavno provodi izobrazbu i diseminira stečena znanja prema ključnim partnerskim institucijama i korisnicima u sustavu upravljanja fondovima Europske unije, a radi što učinkovitijeg iskorištavanja sredstava. Istovremeno, od lipnja 2014. godine SAFU je i sam korisnik tehničke pomoći u provedbi tri operativna programa: Operativni program Promet, Prioritet 3, Operativni program Regionalna konkurentnost, Prioritet 3 i Operativni program Okoliš, Prioritet 3, a od siječnja 2016. i tehničke pomoći u provedbi Operativnog programa Konkurentnost i kohezija. Financijski plan SAFU na kraju 2016. godine iznosio je  42.584.149 kn. Osim što je SAFU korisnik 3 projekta financirana iz Tehničke pomoći (Promet, Regionalna konkurentnost i Zaštita okoliša), tijekom 2016. godine započelo je i povlačenje sredstava iz programske perspektive 2014.-2020. iz OP Konkurentnost i kohezija.</w:t>
      </w:r>
    </w:p>
    <w:tbl>
      <w:tblPr>
        <w:tblStyle w:val="StilTablice"/>
        <w:tblW w:w="10206" w:type="dxa"/>
        <w:jc w:val="center"/>
        <w:tblLook w:val="04A0" w:firstRow="1" w:lastRow="0" w:firstColumn="1" w:lastColumn="0" w:noHBand="0" w:noVBand="1"/>
      </w:tblPr>
      <w:tblGrid>
        <w:gridCol w:w="1759"/>
        <w:gridCol w:w="2004"/>
        <w:gridCol w:w="2004"/>
        <w:gridCol w:w="2005"/>
        <w:gridCol w:w="1215"/>
        <w:gridCol w:w="1219"/>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06125-Središnja agencija za financiranje i ugovaranje programa i projekata Europske unije</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31.627.033</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42.584.149</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39.020.834</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91,6</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123,4</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left"/>
            </w:pPr>
            <w:r>
              <w:t>2210-FINANCIRANJE I UGOVARANJE PRETPRISTUPNIH I FONDOVA EU</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31.627.033</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42.584.149</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39.020.834</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91,6</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123,4</w:t>
            </w:r>
          </w:p>
        </w:tc>
      </w:tr>
    </w:tbl>
    <w:p w:rsidR="00505632" w:rsidRDefault="00505632" w:rsidP="00505632">
      <w:pPr>
        <w:jc w:val="left"/>
      </w:pPr>
    </w:p>
    <w:p w:rsidR="00505632" w:rsidRDefault="00505632" w:rsidP="00505632">
      <w:pPr>
        <w:pStyle w:val="Heading3"/>
      </w:pPr>
      <w:r>
        <w:rPr>
          <w:rFonts w:cs="Times New Roman"/>
        </w:rPr>
        <w:t>2210 FINANCIRANJE I UGOVARANJE PRETPRISTUPNIH I FONDOVA EU</w:t>
      </w:r>
    </w:p>
    <w:tbl>
      <w:tblPr>
        <w:tblStyle w:val="StilTablice"/>
        <w:tblW w:w="10206" w:type="dxa"/>
        <w:jc w:val="center"/>
        <w:tblLook w:val="04A0" w:firstRow="1" w:lastRow="0" w:firstColumn="1" w:lastColumn="0" w:noHBand="0" w:noVBand="1"/>
      </w:tblPr>
      <w:tblGrid>
        <w:gridCol w:w="1759"/>
        <w:gridCol w:w="2004"/>
        <w:gridCol w:w="2004"/>
        <w:gridCol w:w="2005"/>
        <w:gridCol w:w="1215"/>
        <w:gridCol w:w="1219"/>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Index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2210-FINANCIRANJE I UGOVARANJE PRETPRISTUPNIH I FONDOVA EU</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31.627.033</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42.584.149</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39.020.834</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91,6</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123,4</w:t>
            </w:r>
          </w:p>
        </w:tc>
      </w:tr>
    </w:tbl>
    <w:p w:rsidR="00505632" w:rsidRDefault="00505632" w:rsidP="00505632">
      <w:pPr>
        <w:jc w:val="left"/>
      </w:pPr>
    </w:p>
    <w:p w:rsidR="00505632" w:rsidRDefault="00505632" w:rsidP="00505632">
      <w:r>
        <w:t>Poštujući dodijeljene odgovornosti i ovlasti, SAFU će učinkovitim financijskim upravljanjem projektima i očuvanjem odgovarajućeg administrativnog kapaciteta osiguravati visoke stope ugovorenosti EU programa iz svoje nadležnosti, a u cilju osiguranja visoke razine iskorištenosti navedenih sredstava. Kao korisnik EU sredstava, SAFU će osigurati visoku razinu iskorištenosti sredstava tehničke pomoći u provedbi operativnih programa iz svoje nadležnosti. Također će se nastaviti s diseminacijom stečenih znanja putem aktivnosti izobrazbe (seminari/radionice u okviru različitih programa za različite ciljne skupine) te tzv. on-the-job treninga odnosno učenja uz rad na konkretnim primjerima iz prakse. Navedene aktivnosti u funkciji su ostvarenja općeg cilja Osiguranje visoke razine iskorištenosti sredstava fondova Europske unije s programom 2210 Financiranje i ugovaranje pretpristupnih i fondova Europske unije.</w:t>
      </w:r>
    </w:p>
    <w:p w:rsidR="00505632" w:rsidRDefault="00505632" w:rsidP="00505632">
      <w:pPr>
        <w:pStyle w:val="Heading8"/>
        <w:jc w:val="left"/>
      </w:pPr>
      <w:r>
        <w:t>Cilj 1. Kontinuirano održavanje visokih stopa ugovaranja i učinkovito upravljanje sredstvima iz IPA programa te Prijelaznog instrumenta u nadležnosti SAFU</w:t>
      </w:r>
    </w:p>
    <w:p w:rsidR="00505632" w:rsidRDefault="00505632" w:rsidP="00505632">
      <w:pPr>
        <w:pStyle w:val="Heading8"/>
        <w:jc w:val="left"/>
      </w:pPr>
      <w:r>
        <w:t>Opis provedbe cilja programa</w:t>
      </w:r>
    </w:p>
    <w:p w:rsidR="00505632" w:rsidRDefault="00505632" w:rsidP="00505632">
      <w:r>
        <w:t>Cilj programa ostvario se provođenjem postupaka nabave sukladno utvrđenim planovima i propisanim postupcima te provedbom programa izobrazbe za zaposlene u državnim i javnim institucijama angažiranim na projektima koji se sufinanciraju iz programa Europske unije.</w:t>
      </w:r>
    </w:p>
    <w:p w:rsidR="00505632" w:rsidRDefault="00505632" w:rsidP="00505632">
      <w:pPr>
        <w:pStyle w:val="Heading8"/>
        <w:jc w:val="left"/>
      </w:pPr>
      <w:r>
        <w:t>Cilj 2. Učinkovito upravljanje sredstvima strukturnih instrumenata u nadležnosti SAFU</w:t>
      </w:r>
    </w:p>
    <w:p w:rsidR="00505632" w:rsidRDefault="00505632" w:rsidP="00505632">
      <w:pPr>
        <w:pStyle w:val="Heading8"/>
        <w:jc w:val="left"/>
      </w:pPr>
      <w:r>
        <w:t>Opis provedbe cilja programa</w:t>
      </w:r>
    </w:p>
    <w:p w:rsidR="00505632" w:rsidRDefault="00505632" w:rsidP="00505632">
      <w:r>
        <w:t>Cilj programa ostvaren je kroz jačanje znanja i vještina za učinkovitu provedbu projekata od strane korisnika projekata u provedbi koji su u nadležnosti SAFU te održavanjem sustava spremnim za upravljanje Europskim strukturnim i investicijskim fondovima u nadležnosti SAFU prilagodbom organizacije i primjenjivih pravila postupanja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jc w:val="center"/>
            </w:pPr>
            <w:r>
              <w:t>Pokazatelj učinka</w:t>
            </w:r>
          </w:p>
        </w:tc>
        <w:tc>
          <w:tcPr>
            <w:tcW w:w="255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Definicija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Jedinica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Polazna vrijednost</w:t>
            </w:r>
          </w:p>
        </w:tc>
        <w:tc>
          <w:tcPr>
            <w:tcW w:w="918"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Izvor podataka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Ciljana vrijednost (2016.)</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Ostvarena vrijednost (2016.)</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Razina iskorištenosti sredstava iz IPA programa te Prijelaznog instrumenta u nadležnosti SAFU</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Razina iskorištenosti sredstava iz IPA programa te Prijelaznog instrumenta u nadležnosti 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Min 90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76,97</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Razina iskorištenosti sredstava iz strukturnih instrumenata u nadležnosti SAFU</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Razina iskorištenosti sredstava iz strukturnih instrumenata u nadležnosti 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Min 70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65,59</w:t>
            </w:r>
          </w:p>
        </w:tc>
      </w:tr>
    </w:tbl>
    <w:p w:rsidR="00505632" w:rsidRDefault="00505632" w:rsidP="00505632">
      <w:pPr>
        <w:jc w:val="left"/>
      </w:pPr>
    </w:p>
    <w:p w:rsidR="00505632" w:rsidRDefault="00505632" w:rsidP="00505632">
      <w:pPr>
        <w:pStyle w:val="Heading4"/>
      </w:pPr>
      <w:r>
        <w:t>A825001 ADMINISTRACIJA I UPRAVLJANJE SREDIŠNJE AGENCIJE ZA FINANCIRANJE I UGOVARANJE PROGRAMA I PROJEKATA EUROPSKE UNIJE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Naziv aktivnosti</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A825001-ADMINISTRACIJA I UPRAVLJANJE SREDIŠNJE AGENCIJE ZA FINANCIRANJE I UGOVARANJE PROGRAMA I PROJEKATA EUROPSKE UNIJE</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20.875.429</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21.554.303</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20.660.319</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95,9</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99,0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o osnivanju Središnje agencije za financiranje i ugovaranje programa i projekata Europske unije (Narodne novine, broj 90/2007, 114/2007, 29/2012, 56/2013); Okvirni sporazum između Vlade Republike Hrvatske i Komisije Europskih zajednica o pravilima za suradnju u svezi financijske pomoći Europske zajednice Republici Hrvatskoj u provedbi pomoći u okviru Instrumenta pretpristupne pomoći (Narodne novine - Međunarodni ugovori, broj 4/09); Uredba o opsegu i sadržaju odgovornosti te ovlastima tijela nadležnih za upravljanje instrumentom pretpristupne pomoći (IPA) i Prijelaznim instrumentom (Narodne novine, broj 84/14); Odluka Europske komisije od 13. lipnja 2013. godine o tehničkim odredbama za provedbu Prijelaznog instrumenta u Republici Hrvatskoj; Zakon o uspostavi institucionalnog okvira za korištenje strukturnih instrumenata Europske unije u Republici Hrvatskoj (Narodne novine, broj 78/12, 143/13, 157/13); Uredba o tijelima u sustavu upravljanja i kontrole korištenja strukturnih instrumenata Europske unije u Republici Hrvatskoj (Narodne novine, broj 97/12); Zakon o uspostavi institucionalnog okvira za provedbu Europskih strukturnih i investicijskih fondova u financijskom razdoblju 2014.-2020. (Narodne novine, broj 92/14); Uredba o tijelima u sustavu upravljanja i kontrole korištenja Europskog socijalnog fonda, Europskog fonda za regionalni razvoj i Kohezijskog fonda, u vezi s ciljem “Ulaganje u rast i radna mjesta” (Narodne novine, broj 107/14).</w:t>
      </w:r>
    </w:p>
    <w:p w:rsidR="00505632" w:rsidRDefault="00505632" w:rsidP="00505632">
      <w:pPr>
        <w:pStyle w:val="Heading8"/>
        <w:jc w:val="left"/>
      </w:pPr>
      <w:r>
        <w:t>Opis aktivnosti</w:t>
      </w:r>
    </w:p>
    <w:p w:rsidR="00505632" w:rsidRDefault="00505632" w:rsidP="00505632">
      <w:r>
        <w:t>U okviru Instrumenta pretpristupne pomoći (komponenta I) i Prijelaznog instrumenta, SAFU obavlja aktivnosti potpore korisničkim institucijama u pripremi projektne i natječajne dokumentacije i kontrolira kvalitetu iste prije objave javnog nadmetanja. Obavlja poslove ugovaranja i vodi sklopljene ugovore, vrši plaćanja, obavlja poslove računovodstva te izvještava o financiranju svih projekata iz svoje nadležnosti. U okviru strukturnih instrumenata, SAFU kao Posredničko tijelo razine 2 sudjeluje u pripremi uputa potencijalnim aplikantima u svrhu objave javnih poziva na dostavu projektnih prijedloga, zatim sudjeluje u evaluaciji projektnih prijedloga kroz provjeru prihvatljivosti korisnika i predloženih aktivnosti za financiranje iz relevantnog Operativnog programa, provjerava kvalitetu natječajne dokumentacije, vrši nadzor nad provedbom odobrenih projekata kroz kontrolu izvješća i terenske posjete, provjerava zahtjeve za isplatama i račune, provjerava i procesuira nepravilnosti u korištenju strukturnih instrumenata. SAFU također organizira i provodi edukacijske aktivnosti kroz organizaciju seminara i radionica iz područja financijskog upravljanja i kontrole nad EU fondovima, te iz područja javne nabave. Edukacija je namijenjena korisnicima projekata – tijelima državne i javne uprave na središnjoj i lokalnoj razini, poduzetnicima, znanstveno-istraživačkim institucijama, i svima drugima koji sudjeluju u korištenju sredstava u mandatu SAFU.</w:t>
      </w:r>
    </w:p>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292"/>
        <w:gridCol w:w="2292"/>
        <w:gridCol w:w="1791"/>
        <w:gridCol w:w="966"/>
        <w:gridCol w:w="927"/>
        <w:gridCol w:w="966"/>
        <w:gridCol w:w="972"/>
      </w:tblGrid>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jc w:val="center"/>
            </w:pPr>
            <w:r>
              <w:t>Pokazatelj rezultata</w:t>
            </w:r>
          </w:p>
        </w:tc>
        <w:tc>
          <w:tcPr>
            <w:tcW w:w="255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Definicija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Jedinica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Polazna vrijednost</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Izvor podataka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Ciljana vrijednost (2016.)</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Ostvarena vrijednost (2016.)</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Objavljena nadmetanja za pojedine projektne komponente</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Objavljena nadmetanja za pojedine projektne komponente</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n/a</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Ugovorenost (stopa ugovaranja) alociranih sredstava</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Ugovorenost (stopa ugovaranja) alociranih sredstava</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n/a</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Min 90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90,56</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Broj održanih seminara/radionica/"on-the-job" treninga u skladu s godišnjim planom izobrazbe SAFU</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Broj održanih seminara/radionica/"on-the-job" treninga u skladu s godišnjim planom izobrazbe 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 aktivnosti izobrazbe</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50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37</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Izvršenost funkcija SAFU kao PT2 definiranih relevantnim pravnim okvirom te delegiranjem funkcija od strane UT</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Izvršenost funkcija SAFU kao PT2 definiranih relevantnim pravnim okvirom te delegiranjem funkcija od strane UT</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Broj i struktura zaposlenika usklađeni s potrebama PT2 u financijskom razdoblju 2014-2020 iskazanima kroz provedenu analizu radne opterećenosti</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Broj i struktura zaposlenika usklađeni s potrebama PT2 u financijskom razdoblju 2014-2020 iskazanima kroz provedenu analizu radne opterećenosti</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95</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Uspostavljen učinkovi i funkcionalan sustav izobrazbe za korisnike projekata koji su u provedbi, a koji se financiraju iz programa iz nadležnosti SAFU</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Uspostavljen učinkovi i funkcionalan sustav izobrazbe za korisnike projekata koji su u provedbi, a koji se financiraju iz programa iz nadležnosti 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 održanih radionica/predavanja</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15</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Program izobrazbe za zaposlenike SAFU na poslovima PT2 razvijen i kontinuirano provođen</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Program izobrazbe za zaposlenike SAFU na poslovima PT2 razvijen i kontinuirano provođen</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Organizacijska struktura i modaliteti upravljanja prilagođeni potrebama funkcija koje SAFU kao PT2 izvršava u financijskom razdoblju 2014-2020</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Organizacijska struktura i modaliteti upravljanja prilagođeni potrebama funkcija koje SAFU kao PT2 izvršava u financijskom razdoblju 2014-2020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Interne procedure nužne za obavljanje funkcija PT2 u financijskom razdoblju 2014-2020 aćurirane i prilagođene</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Interne procedure nužne za obavljanje funkcija PT2 u financijskom razdoblju 2014-2020 aćurirane i prilagođene</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SAFU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100</w:t>
            </w:r>
          </w:p>
        </w:tc>
      </w:tr>
    </w:tbl>
    <w:p w:rsidR="00505632" w:rsidRDefault="00505632" w:rsidP="00505632">
      <w:pPr>
        <w:jc w:val="left"/>
      </w:pPr>
    </w:p>
    <w:p w:rsidR="00505632" w:rsidRDefault="00924825" w:rsidP="00924825">
      <w:pPr>
        <w:overflowPunct/>
        <w:autoSpaceDE/>
        <w:autoSpaceDN/>
        <w:adjustRightInd/>
        <w:spacing w:after="200" w:line="276" w:lineRule="auto"/>
        <w:jc w:val="left"/>
        <w:textAlignment w:val="auto"/>
      </w:pPr>
      <w:r>
        <w:br w:type="page"/>
      </w:r>
    </w:p>
    <w:p w:rsidR="00505632" w:rsidRDefault="00505632" w:rsidP="00505632">
      <w:pPr>
        <w:pStyle w:val="Heading1"/>
      </w:pPr>
      <w:r>
        <w:t>065 MINISTARSTVO MORA, PROMETA I INFRASTRUKTURE</w:t>
      </w:r>
    </w:p>
    <w:p w:rsidR="00505632" w:rsidRDefault="00505632" w:rsidP="00505632">
      <w:r>
        <w:t xml:space="preserve">Ministarstvo mora, prometa i infrastrukture obavlja upravne i druge poslove koji se odnose na: unutarnji međunarodni pomorski, nautički, cestovni, željeznički i zračni promet; sustav prometa žičarama, uspinjačama i vučnicama te promet na unutarnjim vodama s infrastrukturom tih vidova prometa; planiranje, izradu i provedbu strateških dokumenata i projekata prometne infrastrukture, predlaže strategiju razvoja svih vidova prometa; zaštitu mora od onečišćenja s brodova; morske luke, pomorsko dobro i utvrđivanje granica pomorskog dobra, pomorsko osiguranje i pomorske agencije; luke na unutarnjim plovnim putovima; kopnene robno-transportne centre; zračne luke; prijevozna sredstva osim onih poslova koji ulaze u djelokrug rada drugih ministarstava i pravnih osoba s javnim ovlastima, elektroničke komunikacije (telekomunikacije i radijske komunikacije) i poštanske usluge; inspekcijske poslove: sigurnosti plovidbe na moru, unutarnjeg i međunarodnog cestovnog prometa i cesta, osim poslova iz djelokruga Ministarstva unutarnjih poslova, sigurnosti željezničkog prometa, sigurnosti prometa žičarama, uspinjačama i vučnicama, sigurnosti plovidbe na unutarnjim vodama, te poštanskih usluga, unutarnjeg i međunarodnoga poštanskog prometa.  </w:t>
      </w:r>
    </w:p>
    <w:p w:rsidR="00505632" w:rsidRDefault="00505632" w:rsidP="00505632">
      <w:r>
        <w:t>Unutar Razdjela Ministarstva mora, prometa i infrastrukture nalaze se slijedeće pravne osobe: Agencija za obalni linijski promet, Agencija za vodne putove, Hrvatski hidrografski institut, Agencija za istraživanje nesreća u zračnom, pomorskom i željezničkom prometu, Agencija za sigurnost željezničkog prometa i Hrvatska agencija za civilno zrakoplovstvo.</w:t>
      </w:r>
    </w:p>
    <w:tbl>
      <w:tblPr>
        <w:tblStyle w:val="StilTablice"/>
        <w:tblW w:w="10206" w:type="dxa"/>
        <w:jc w:val="center"/>
        <w:tblLook w:val="04A0" w:firstRow="1" w:lastRow="0" w:firstColumn="1" w:lastColumn="0" w:noHBand="0" w:noVBand="1"/>
      </w:tblPr>
      <w:tblGrid>
        <w:gridCol w:w="1892"/>
        <w:gridCol w:w="1968"/>
        <w:gridCol w:w="1968"/>
        <w:gridCol w:w="1968"/>
        <w:gridCol w:w="1200"/>
        <w:gridCol w:w="1210"/>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06505-Ministarstvo mora, prometa i infrastrukture</w:t>
            </w:r>
          </w:p>
        </w:tc>
        <w:tc>
          <w:tcPr>
            <w:tcW w:w="2041" w:type="dxa"/>
            <w:vAlign w:val="top"/>
          </w:tcPr>
          <w:p w:rsidR="00505632" w:rsidRDefault="00505632" w:rsidP="00AD4E52">
            <w:pPr>
              <w:pStyle w:val="CellColumn"/>
              <w:jc w:val="right"/>
            </w:pPr>
            <w:r>
              <w:rPr>
                <w:rFonts w:cs="Times New Roman"/>
              </w:rPr>
              <w:t>5.272.045.553</w:t>
            </w:r>
          </w:p>
        </w:tc>
        <w:tc>
          <w:tcPr>
            <w:tcW w:w="2041" w:type="dxa"/>
            <w:vAlign w:val="top"/>
          </w:tcPr>
          <w:p w:rsidR="00505632" w:rsidRDefault="00505632" w:rsidP="00AD4E52">
            <w:pPr>
              <w:pStyle w:val="CellColumn"/>
              <w:jc w:val="right"/>
            </w:pPr>
            <w:r>
              <w:rPr>
                <w:rFonts w:cs="Times New Roman"/>
              </w:rPr>
              <w:t>5.528.530.634</w:t>
            </w:r>
          </w:p>
        </w:tc>
        <w:tc>
          <w:tcPr>
            <w:tcW w:w="2041" w:type="dxa"/>
            <w:vAlign w:val="top"/>
          </w:tcPr>
          <w:p w:rsidR="00505632" w:rsidRDefault="00505632" w:rsidP="00AD4E52">
            <w:pPr>
              <w:pStyle w:val="CellColumn"/>
              <w:jc w:val="right"/>
            </w:pPr>
            <w:r>
              <w:rPr>
                <w:rFonts w:cs="Times New Roman"/>
              </w:rPr>
              <w:t>5.400.191.003</w:t>
            </w:r>
          </w:p>
        </w:tc>
        <w:tc>
          <w:tcPr>
            <w:tcW w:w="1224" w:type="dxa"/>
            <w:vAlign w:val="top"/>
          </w:tcPr>
          <w:p w:rsidR="00505632" w:rsidRDefault="00505632" w:rsidP="00AD4E52">
            <w:pPr>
              <w:pStyle w:val="CellColumn"/>
              <w:jc w:val="right"/>
            </w:pPr>
            <w:r>
              <w:rPr>
                <w:rFonts w:cs="Times New Roman"/>
              </w:rPr>
              <w:t>97,7</w:t>
            </w:r>
          </w:p>
        </w:tc>
        <w:tc>
          <w:tcPr>
            <w:tcW w:w="1224" w:type="dxa"/>
            <w:vAlign w:val="top"/>
          </w:tcPr>
          <w:p w:rsidR="00505632" w:rsidRDefault="00505632" w:rsidP="00AD4E52">
            <w:pPr>
              <w:pStyle w:val="CellColumn"/>
              <w:jc w:val="right"/>
            </w:pPr>
            <w:r>
              <w:rPr>
                <w:rFonts w:cs="Times New Roman"/>
              </w:rPr>
              <w:t>102,4</w:t>
            </w:r>
          </w:p>
        </w:tc>
      </w:tr>
      <w:tr w:rsidR="00505632" w:rsidTr="00AD4E52">
        <w:trPr>
          <w:jc w:val="center"/>
        </w:trPr>
        <w:tc>
          <w:tcPr>
            <w:tcW w:w="1632" w:type="dxa"/>
            <w:vAlign w:val="top"/>
          </w:tcPr>
          <w:p w:rsidR="00505632" w:rsidRDefault="00505632" w:rsidP="00AD4E52">
            <w:pPr>
              <w:pStyle w:val="CellColumn"/>
              <w:jc w:val="left"/>
            </w:pPr>
            <w:r>
              <w:rPr>
                <w:rFonts w:cs="Times New Roman"/>
              </w:rPr>
              <w:t>06545-Agencija za obalni linijski pomorski promet</w:t>
            </w:r>
          </w:p>
        </w:tc>
        <w:tc>
          <w:tcPr>
            <w:tcW w:w="2041" w:type="dxa"/>
            <w:vAlign w:val="top"/>
          </w:tcPr>
          <w:p w:rsidR="00505632" w:rsidRDefault="00505632" w:rsidP="00AD4E52">
            <w:pPr>
              <w:pStyle w:val="CellColumn"/>
              <w:jc w:val="right"/>
            </w:pPr>
            <w:r>
              <w:rPr>
                <w:rFonts w:cs="Times New Roman"/>
              </w:rPr>
              <w:t>315.217.213</w:t>
            </w:r>
          </w:p>
        </w:tc>
        <w:tc>
          <w:tcPr>
            <w:tcW w:w="2041" w:type="dxa"/>
            <w:vAlign w:val="top"/>
          </w:tcPr>
          <w:p w:rsidR="00505632" w:rsidRDefault="00505632" w:rsidP="00AD4E52">
            <w:pPr>
              <w:pStyle w:val="CellColumn"/>
              <w:jc w:val="right"/>
            </w:pPr>
            <w:r>
              <w:rPr>
                <w:rFonts w:cs="Times New Roman"/>
              </w:rPr>
              <w:t>308.186.200</w:t>
            </w:r>
          </w:p>
        </w:tc>
        <w:tc>
          <w:tcPr>
            <w:tcW w:w="2041" w:type="dxa"/>
            <w:vAlign w:val="top"/>
          </w:tcPr>
          <w:p w:rsidR="00505632" w:rsidRDefault="00505632" w:rsidP="00AD4E52">
            <w:pPr>
              <w:pStyle w:val="CellColumn"/>
              <w:jc w:val="right"/>
            </w:pPr>
            <w:r>
              <w:rPr>
                <w:rFonts w:cs="Times New Roman"/>
              </w:rPr>
              <w:t>307.362.467</w:t>
            </w:r>
          </w:p>
        </w:tc>
        <w:tc>
          <w:tcPr>
            <w:tcW w:w="1224" w:type="dxa"/>
            <w:vAlign w:val="top"/>
          </w:tcPr>
          <w:p w:rsidR="00505632" w:rsidRDefault="00505632" w:rsidP="00AD4E52">
            <w:pPr>
              <w:pStyle w:val="CellColumn"/>
              <w:jc w:val="right"/>
            </w:pPr>
            <w:r>
              <w:rPr>
                <w:rFonts w:cs="Times New Roman"/>
              </w:rPr>
              <w:t>99,7</w:t>
            </w:r>
          </w:p>
        </w:tc>
        <w:tc>
          <w:tcPr>
            <w:tcW w:w="1224" w:type="dxa"/>
            <w:vAlign w:val="top"/>
          </w:tcPr>
          <w:p w:rsidR="00505632" w:rsidRDefault="00505632" w:rsidP="00AD4E52">
            <w:pPr>
              <w:pStyle w:val="CellColumn"/>
              <w:jc w:val="right"/>
            </w:pPr>
            <w:r>
              <w:rPr>
                <w:rFonts w:cs="Times New Roman"/>
              </w:rPr>
              <w:t>97,5</w:t>
            </w:r>
          </w:p>
        </w:tc>
      </w:tr>
      <w:tr w:rsidR="00505632" w:rsidTr="00AD4E52">
        <w:trPr>
          <w:jc w:val="center"/>
        </w:trPr>
        <w:tc>
          <w:tcPr>
            <w:tcW w:w="1632" w:type="dxa"/>
            <w:vAlign w:val="top"/>
          </w:tcPr>
          <w:p w:rsidR="00505632" w:rsidRDefault="00505632" w:rsidP="00AD4E52">
            <w:pPr>
              <w:pStyle w:val="CellColumn"/>
              <w:jc w:val="left"/>
            </w:pPr>
            <w:r>
              <w:rPr>
                <w:rFonts w:cs="Times New Roman"/>
              </w:rPr>
              <w:t>06550-Agencija za vodne putove</w:t>
            </w:r>
          </w:p>
        </w:tc>
        <w:tc>
          <w:tcPr>
            <w:tcW w:w="2041" w:type="dxa"/>
            <w:vAlign w:val="top"/>
          </w:tcPr>
          <w:p w:rsidR="00505632" w:rsidRDefault="00505632" w:rsidP="00AD4E52">
            <w:pPr>
              <w:pStyle w:val="CellColumn"/>
              <w:jc w:val="right"/>
            </w:pPr>
            <w:r>
              <w:rPr>
                <w:rFonts w:cs="Times New Roman"/>
              </w:rPr>
              <w:t>18.860.498</w:t>
            </w:r>
          </w:p>
        </w:tc>
        <w:tc>
          <w:tcPr>
            <w:tcW w:w="2041" w:type="dxa"/>
            <w:vAlign w:val="top"/>
          </w:tcPr>
          <w:p w:rsidR="00505632" w:rsidRDefault="00505632" w:rsidP="00AD4E52">
            <w:pPr>
              <w:pStyle w:val="CellColumn"/>
              <w:jc w:val="right"/>
            </w:pPr>
            <w:r>
              <w:rPr>
                <w:rFonts w:cs="Times New Roman"/>
              </w:rPr>
              <w:t>18.292.300</w:t>
            </w:r>
          </w:p>
        </w:tc>
        <w:tc>
          <w:tcPr>
            <w:tcW w:w="2041" w:type="dxa"/>
            <w:vAlign w:val="top"/>
          </w:tcPr>
          <w:p w:rsidR="00505632" w:rsidRDefault="00505632" w:rsidP="00AD4E52">
            <w:pPr>
              <w:pStyle w:val="CellColumn"/>
              <w:jc w:val="right"/>
            </w:pPr>
            <w:r>
              <w:rPr>
                <w:rFonts w:cs="Times New Roman"/>
              </w:rPr>
              <w:t>13.995.597</w:t>
            </w:r>
          </w:p>
        </w:tc>
        <w:tc>
          <w:tcPr>
            <w:tcW w:w="1224" w:type="dxa"/>
            <w:vAlign w:val="top"/>
          </w:tcPr>
          <w:p w:rsidR="00505632" w:rsidRDefault="00505632" w:rsidP="00AD4E52">
            <w:pPr>
              <w:pStyle w:val="CellColumn"/>
              <w:jc w:val="right"/>
            </w:pPr>
            <w:r>
              <w:rPr>
                <w:rFonts w:cs="Times New Roman"/>
              </w:rPr>
              <w:t>76,5</w:t>
            </w:r>
          </w:p>
        </w:tc>
        <w:tc>
          <w:tcPr>
            <w:tcW w:w="1224" w:type="dxa"/>
            <w:vAlign w:val="top"/>
          </w:tcPr>
          <w:p w:rsidR="00505632" w:rsidRDefault="00505632" w:rsidP="00AD4E52">
            <w:pPr>
              <w:pStyle w:val="CellColumn"/>
              <w:jc w:val="right"/>
            </w:pPr>
            <w:r>
              <w:rPr>
                <w:rFonts w:cs="Times New Roman"/>
              </w:rPr>
              <w:t>74,2</w:t>
            </w:r>
          </w:p>
        </w:tc>
      </w:tr>
      <w:tr w:rsidR="00505632" w:rsidTr="00AD4E52">
        <w:trPr>
          <w:jc w:val="center"/>
        </w:trPr>
        <w:tc>
          <w:tcPr>
            <w:tcW w:w="1632" w:type="dxa"/>
            <w:vAlign w:val="top"/>
          </w:tcPr>
          <w:p w:rsidR="00505632" w:rsidRDefault="00505632" w:rsidP="00AD4E52">
            <w:pPr>
              <w:pStyle w:val="CellColumn"/>
              <w:jc w:val="left"/>
            </w:pPr>
            <w:r>
              <w:rPr>
                <w:rFonts w:cs="Times New Roman"/>
              </w:rPr>
              <w:t>06551-Agencije u prometu i infrastrukturi</w:t>
            </w:r>
          </w:p>
        </w:tc>
        <w:tc>
          <w:tcPr>
            <w:tcW w:w="2041" w:type="dxa"/>
            <w:vAlign w:val="top"/>
          </w:tcPr>
          <w:p w:rsidR="00505632" w:rsidRDefault="00505632" w:rsidP="00AD4E52">
            <w:pPr>
              <w:pStyle w:val="CellColumn"/>
              <w:jc w:val="right"/>
            </w:pPr>
            <w:r>
              <w:rPr>
                <w:rFonts w:cs="Times New Roman"/>
              </w:rPr>
              <w:t>7.408.419</w:t>
            </w:r>
          </w:p>
        </w:tc>
        <w:tc>
          <w:tcPr>
            <w:tcW w:w="2041" w:type="dxa"/>
            <w:vAlign w:val="top"/>
          </w:tcPr>
          <w:p w:rsidR="00505632" w:rsidRDefault="00505632" w:rsidP="00AD4E52">
            <w:pPr>
              <w:pStyle w:val="CellColumn"/>
              <w:jc w:val="right"/>
            </w:pPr>
            <w:r>
              <w:rPr>
                <w:rFonts w:cs="Times New Roman"/>
              </w:rPr>
              <w:t>79.409.500</w:t>
            </w:r>
          </w:p>
        </w:tc>
        <w:tc>
          <w:tcPr>
            <w:tcW w:w="2041" w:type="dxa"/>
            <w:vAlign w:val="top"/>
          </w:tcPr>
          <w:p w:rsidR="00505632" w:rsidRDefault="00505632" w:rsidP="00AD4E52">
            <w:pPr>
              <w:pStyle w:val="CellColumn"/>
              <w:jc w:val="right"/>
            </w:pPr>
            <w:r>
              <w:rPr>
                <w:rFonts w:cs="Times New Roman"/>
              </w:rPr>
              <w:t>73.169.353</w:t>
            </w:r>
          </w:p>
        </w:tc>
        <w:tc>
          <w:tcPr>
            <w:tcW w:w="1224" w:type="dxa"/>
            <w:vAlign w:val="top"/>
          </w:tcPr>
          <w:p w:rsidR="00505632" w:rsidRDefault="00505632" w:rsidP="00AD4E52">
            <w:pPr>
              <w:pStyle w:val="CellColumn"/>
              <w:jc w:val="right"/>
            </w:pPr>
            <w:r>
              <w:rPr>
                <w:rFonts w:cs="Times New Roman"/>
              </w:rPr>
              <w:t>92,1</w:t>
            </w:r>
          </w:p>
        </w:tc>
        <w:tc>
          <w:tcPr>
            <w:tcW w:w="1224" w:type="dxa"/>
            <w:vAlign w:val="top"/>
          </w:tcPr>
          <w:p w:rsidR="00505632" w:rsidRDefault="00505632" w:rsidP="00AD4E52">
            <w:pPr>
              <w:pStyle w:val="CellColumn"/>
              <w:jc w:val="right"/>
            </w:pPr>
            <w:r>
              <w:rPr>
                <w:rFonts w:cs="Times New Roman"/>
              </w:rPr>
              <w:t>987,7</w:t>
            </w:r>
          </w:p>
        </w:tc>
      </w:tr>
      <w:tr w:rsidR="00505632" w:rsidTr="00AD4E52">
        <w:trPr>
          <w:jc w:val="center"/>
        </w:trPr>
        <w:tc>
          <w:tcPr>
            <w:tcW w:w="1632" w:type="dxa"/>
            <w:vAlign w:val="top"/>
          </w:tcPr>
          <w:p w:rsidR="00505632" w:rsidRDefault="00505632" w:rsidP="00AD4E52">
            <w:pPr>
              <w:pStyle w:val="CellColumn"/>
              <w:jc w:val="left"/>
            </w:pPr>
            <w:r>
              <w:rPr>
                <w:rFonts w:cs="Times New Roman"/>
              </w:rPr>
              <w:t>06560-Hrvatski hidrografski institut</w:t>
            </w:r>
          </w:p>
        </w:tc>
        <w:tc>
          <w:tcPr>
            <w:tcW w:w="2041" w:type="dxa"/>
            <w:vAlign w:val="top"/>
          </w:tcPr>
          <w:p w:rsidR="00505632" w:rsidRDefault="00505632" w:rsidP="00AD4E52">
            <w:pPr>
              <w:pStyle w:val="CellColumn"/>
              <w:jc w:val="right"/>
            </w:pPr>
            <w:r>
              <w:rPr>
                <w:rFonts w:cs="Times New Roman"/>
              </w:rPr>
              <w:t>14.569.673</w:t>
            </w:r>
          </w:p>
        </w:tc>
        <w:tc>
          <w:tcPr>
            <w:tcW w:w="2041" w:type="dxa"/>
            <w:vAlign w:val="top"/>
          </w:tcPr>
          <w:p w:rsidR="00505632" w:rsidRDefault="00505632" w:rsidP="00AD4E52">
            <w:pPr>
              <w:pStyle w:val="CellColumn"/>
              <w:jc w:val="right"/>
            </w:pPr>
            <w:r>
              <w:rPr>
                <w:rFonts w:cs="Times New Roman"/>
              </w:rPr>
              <w:t>17.235.200</w:t>
            </w:r>
          </w:p>
        </w:tc>
        <w:tc>
          <w:tcPr>
            <w:tcW w:w="2041" w:type="dxa"/>
            <w:vAlign w:val="top"/>
          </w:tcPr>
          <w:p w:rsidR="00505632" w:rsidRDefault="00505632" w:rsidP="00AD4E52">
            <w:pPr>
              <w:pStyle w:val="CellColumn"/>
              <w:jc w:val="right"/>
            </w:pPr>
            <w:r>
              <w:rPr>
                <w:rFonts w:cs="Times New Roman"/>
              </w:rPr>
              <w:t>14.558.624</w:t>
            </w:r>
          </w:p>
        </w:tc>
        <w:tc>
          <w:tcPr>
            <w:tcW w:w="1224" w:type="dxa"/>
            <w:vAlign w:val="top"/>
          </w:tcPr>
          <w:p w:rsidR="00505632" w:rsidRDefault="00505632" w:rsidP="00AD4E52">
            <w:pPr>
              <w:pStyle w:val="CellColumn"/>
              <w:jc w:val="right"/>
            </w:pPr>
            <w:r>
              <w:rPr>
                <w:rFonts w:cs="Times New Roman"/>
              </w:rPr>
              <w:t>84,5</w:t>
            </w:r>
          </w:p>
        </w:tc>
        <w:tc>
          <w:tcPr>
            <w:tcW w:w="1224" w:type="dxa"/>
            <w:vAlign w:val="top"/>
          </w:tcPr>
          <w:p w:rsidR="00505632" w:rsidRDefault="00505632" w:rsidP="00AD4E52">
            <w:pPr>
              <w:pStyle w:val="CellColumn"/>
              <w:jc w:val="right"/>
            </w:pPr>
            <w:r>
              <w:rPr>
                <w:rFonts w:cs="Times New Roman"/>
              </w:rPr>
              <w:t>99,9</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065-MINISTARSTVO MORA, PROMETA I INFRASTRUKTURE</w:t>
            </w:r>
          </w:p>
        </w:tc>
        <w:tc>
          <w:tcPr>
            <w:tcW w:w="2041" w:type="dxa"/>
            <w:shd w:val="clear" w:color="auto" w:fill="B5C0D8"/>
          </w:tcPr>
          <w:p w:rsidR="00505632" w:rsidRDefault="00505632" w:rsidP="00AD4E52">
            <w:pPr>
              <w:pStyle w:val="CellColumn"/>
              <w:jc w:val="right"/>
            </w:pPr>
            <w:r>
              <w:rPr>
                <w:rFonts w:cs="Times New Roman"/>
              </w:rPr>
              <w:t>5.628.101.356</w:t>
            </w:r>
          </w:p>
        </w:tc>
        <w:tc>
          <w:tcPr>
            <w:tcW w:w="2041" w:type="dxa"/>
            <w:shd w:val="clear" w:color="auto" w:fill="B5C0D8"/>
          </w:tcPr>
          <w:p w:rsidR="00505632" w:rsidRDefault="00505632" w:rsidP="00AD4E52">
            <w:pPr>
              <w:pStyle w:val="CellColumn"/>
              <w:jc w:val="right"/>
            </w:pPr>
            <w:r>
              <w:rPr>
                <w:rFonts w:cs="Times New Roman"/>
              </w:rPr>
              <w:t>5.951.653.834</w:t>
            </w:r>
          </w:p>
        </w:tc>
        <w:tc>
          <w:tcPr>
            <w:tcW w:w="2041" w:type="dxa"/>
            <w:shd w:val="clear" w:color="auto" w:fill="B5C0D8"/>
          </w:tcPr>
          <w:p w:rsidR="00505632" w:rsidRDefault="00505632" w:rsidP="00AD4E52">
            <w:pPr>
              <w:pStyle w:val="CellColumn"/>
              <w:jc w:val="right"/>
            </w:pPr>
            <w:r>
              <w:rPr>
                <w:rFonts w:cs="Times New Roman"/>
              </w:rPr>
              <w:t>5.809.277.045</w:t>
            </w:r>
          </w:p>
        </w:tc>
        <w:tc>
          <w:tcPr>
            <w:tcW w:w="1224" w:type="dxa"/>
            <w:shd w:val="clear" w:color="auto" w:fill="B5C0D8"/>
          </w:tcPr>
          <w:p w:rsidR="00505632" w:rsidRDefault="00505632" w:rsidP="00AD4E52">
            <w:pPr>
              <w:pStyle w:val="CellColumn"/>
              <w:jc w:val="right"/>
            </w:pPr>
            <w:r>
              <w:rPr>
                <w:rFonts w:cs="Times New Roman"/>
              </w:rPr>
              <w:t>97,6</w:t>
            </w:r>
          </w:p>
        </w:tc>
        <w:tc>
          <w:tcPr>
            <w:tcW w:w="1224" w:type="dxa"/>
            <w:shd w:val="clear" w:color="auto" w:fill="B5C0D8"/>
          </w:tcPr>
          <w:p w:rsidR="00505632" w:rsidRDefault="00505632" w:rsidP="00AD4E52">
            <w:pPr>
              <w:pStyle w:val="CellColumn"/>
              <w:jc w:val="right"/>
            </w:pPr>
            <w:r>
              <w:rPr>
                <w:rFonts w:cs="Times New Roman"/>
              </w:rPr>
              <w:t>103,2</w:t>
            </w:r>
          </w:p>
        </w:tc>
      </w:tr>
    </w:tbl>
    <w:p w:rsidR="00505632" w:rsidRDefault="00505632" w:rsidP="00505632">
      <w:pPr>
        <w:jc w:val="left"/>
      </w:pPr>
    </w:p>
    <w:p w:rsidR="00505632" w:rsidRDefault="00505632" w:rsidP="00505632">
      <w:pPr>
        <w:pStyle w:val="Heading2"/>
      </w:pPr>
      <w:r>
        <w:t>06505 Ministarstvo mora, prometa i infrastrukture</w:t>
      </w:r>
    </w:p>
    <w:p w:rsidR="00505632" w:rsidRDefault="00505632" w:rsidP="00505632">
      <w:r>
        <w:t>Najznačajniji poslovi i zadaci na razini Glave Ministarstva mora, prometa i infrastrukture u 2016. godini bili su stvaranje uvjeta i izgradnja kapaciteta koji su osigurali izradu kvalitetnih zakona i ostalih propisa te njihovo provođenje vezano uz zaštitu mora, pomorskog dobra i vodnih putova unutarnjih voda, osiguranje prometne povezanosti otoka međusobno i s kopnom, postizanje visoke razvijenosti elektroničkih komunikacija i tržišta poštanskih usluga, organiziranje izrade strateških infrastrukturnih projekata i investicijskih programa od posebnog značaja za Republiku Hrvatsku, organiziranje radova na izgradnji suvremene prometne infrastrukture, koja prometno povezuje sve regije i razvijanje svih vidova prometa uz visok stupanj profesionalnosti i sigurnosti u pružanju prijevoznih usluga te poduzimanje svih mjera zaštite okoliša u transportu.</w:t>
      </w:r>
    </w:p>
    <w:tbl>
      <w:tblPr>
        <w:tblStyle w:val="StilTablice"/>
        <w:tblW w:w="10206" w:type="dxa"/>
        <w:jc w:val="center"/>
        <w:tblLook w:val="04A0" w:firstRow="1" w:lastRow="0" w:firstColumn="1" w:lastColumn="0" w:noHBand="0" w:noVBand="1"/>
      </w:tblPr>
      <w:tblGrid>
        <w:gridCol w:w="1815"/>
        <w:gridCol w:w="1990"/>
        <w:gridCol w:w="1990"/>
        <w:gridCol w:w="1990"/>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06505-Ministarstvo mora, prometa i infrastrukture</w:t>
            </w:r>
          </w:p>
        </w:tc>
        <w:tc>
          <w:tcPr>
            <w:tcW w:w="2041" w:type="dxa"/>
            <w:vAlign w:val="top"/>
          </w:tcPr>
          <w:p w:rsidR="00505632" w:rsidRDefault="00505632" w:rsidP="00AD4E52">
            <w:pPr>
              <w:pStyle w:val="CellColumn"/>
              <w:jc w:val="right"/>
            </w:pPr>
            <w:r>
              <w:rPr>
                <w:rFonts w:cs="Times New Roman"/>
              </w:rPr>
              <w:t>5.272.045.553</w:t>
            </w:r>
          </w:p>
        </w:tc>
        <w:tc>
          <w:tcPr>
            <w:tcW w:w="2041" w:type="dxa"/>
            <w:vAlign w:val="top"/>
          </w:tcPr>
          <w:p w:rsidR="00505632" w:rsidRDefault="00505632" w:rsidP="00AD4E52">
            <w:pPr>
              <w:pStyle w:val="CellColumn"/>
              <w:jc w:val="right"/>
            </w:pPr>
            <w:r>
              <w:rPr>
                <w:rFonts w:cs="Times New Roman"/>
              </w:rPr>
              <w:t>5.528.530.634</w:t>
            </w:r>
          </w:p>
        </w:tc>
        <w:tc>
          <w:tcPr>
            <w:tcW w:w="2041" w:type="dxa"/>
            <w:vAlign w:val="top"/>
          </w:tcPr>
          <w:p w:rsidR="00505632" w:rsidRDefault="00505632" w:rsidP="00AD4E52">
            <w:pPr>
              <w:pStyle w:val="CellColumn"/>
              <w:jc w:val="right"/>
            </w:pPr>
            <w:r>
              <w:rPr>
                <w:rFonts w:cs="Times New Roman"/>
              </w:rPr>
              <w:t>5.400.191.003</w:t>
            </w:r>
          </w:p>
        </w:tc>
        <w:tc>
          <w:tcPr>
            <w:tcW w:w="1224" w:type="dxa"/>
            <w:vAlign w:val="top"/>
          </w:tcPr>
          <w:p w:rsidR="00505632" w:rsidRDefault="00505632" w:rsidP="00AD4E52">
            <w:pPr>
              <w:pStyle w:val="CellColumn"/>
              <w:jc w:val="right"/>
            </w:pPr>
            <w:r>
              <w:rPr>
                <w:rFonts w:cs="Times New Roman"/>
              </w:rPr>
              <w:t>97,7</w:t>
            </w:r>
          </w:p>
        </w:tc>
        <w:tc>
          <w:tcPr>
            <w:tcW w:w="1224" w:type="dxa"/>
            <w:vAlign w:val="top"/>
          </w:tcPr>
          <w:p w:rsidR="00505632" w:rsidRDefault="00505632" w:rsidP="00AD4E52">
            <w:pPr>
              <w:pStyle w:val="CellColumn"/>
              <w:jc w:val="right"/>
            </w:pPr>
            <w:r>
              <w:rPr>
                <w:rFonts w:cs="Times New Roman"/>
              </w:rPr>
              <w:t>102,4</w:t>
            </w:r>
          </w:p>
        </w:tc>
      </w:tr>
      <w:tr w:rsidR="00505632" w:rsidTr="00AD4E52">
        <w:trPr>
          <w:jc w:val="center"/>
        </w:trPr>
        <w:tc>
          <w:tcPr>
            <w:tcW w:w="1632" w:type="dxa"/>
          </w:tcPr>
          <w:p w:rsidR="00505632" w:rsidRDefault="00505632" w:rsidP="00AD4E52">
            <w:pPr>
              <w:jc w:val="left"/>
            </w:pPr>
            <w:r>
              <w:t>3101-UPRAVLJANJE NA PODRUČJU PROMETNE POLITIKE</w:t>
            </w:r>
          </w:p>
        </w:tc>
        <w:tc>
          <w:tcPr>
            <w:tcW w:w="2041" w:type="dxa"/>
          </w:tcPr>
          <w:p w:rsidR="00505632" w:rsidRDefault="00505632" w:rsidP="00AD4E52">
            <w:pPr>
              <w:jc w:val="right"/>
            </w:pPr>
            <w:r>
              <w:t>74.433.712</w:t>
            </w:r>
          </w:p>
        </w:tc>
        <w:tc>
          <w:tcPr>
            <w:tcW w:w="2041" w:type="dxa"/>
          </w:tcPr>
          <w:p w:rsidR="00505632" w:rsidRDefault="00505632" w:rsidP="00AD4E52">
            <w:pPr>
              <w:jc w:val="right"/>
            </w:pPr>
            <w:r>
              <w:t>78.694.000</w:t>
            </w:r>
          </w:p>
        </w:tc>
        <w:tc>
          <w:tcPr>
            <w:tcW w:w="2041" w:type="dxa"/>
          </w:tcPr>
          <w:p w:rsidR="00505632" w:rsidRDefault="00505632" w:rsidP="00AD4E52">
            <w:pPr>
              <w:jc w:val="right"/>
            </w:pPr>
            <w:r>
              <w:t>71.056.145</w:t>
            </w:r>
          </w:p>
        </w:tc>
        <w:tc>
          <w:tcPr>
            <w:tcW w:w="1224" w:type="dxa"/>
          </w:tcPr>
          <w:p w:rsidR="00505632" w:rsidRDefault="00505632" w:rsidP="00AD4E52">
            <w:pPr>
              <w:jc w:val="right"/>
            </w:pPr>
            <w:r>
              <w:t>90,3</w:t>
            </w:r>
          </w:p>
        </w:tc>
        <w:tc>
          <w:tcPr>
            <w:tcW w:w="1224" w:type="dxa"/>
          </w:tcPr>
          <w:p w:rsidR="00505632" w:rsidRDefault="00505632" w:rsidP="00AD4E52">
            <w:pPr>
              <w:jc w:val="right"/>
            </w:pPr>
            <w:r>
              <w:t>95,5</w:t>
            </w:r>
          </w:p>
        </w:tc>
      </w:tr>
      <w:tr w:rsidR="00505632" w:rsidTr="00AD4E52">
        <w:trPr>
          <w:jc w:val="center"/>
        </w:trPr>
        <w:tc>
          <w:tcPr>
            <w:tcW w:w="1632" w:type="dxa"/>
          </w:tcPr>
          <w:p w:rsidR="00505632" w:rsidRDefault="00505632" w:rsidP="00AD4E52">
            <w:pPr>
              <w:jc w:val="left"/>
            </w:pPr>
            <w:r>
              <w:t>3107-RAZVOJ TRŽIŠTA POŠTANSKIH USLUGA I ELEKTRONIČKIH KOMUNIKACIJA</w:t>
            </w:r>
          </w:p>
        </w:tc>
        <w:tc>
          <w:tcPr>
            <w:tcW w:w="2041" w:type="dxa"/>
          </w:tcPr>
          <w:p w:rsidR="00505632" w:rsidRDefault="00505632" w:rsidP="00AD4E52">
            <w:pPr>
              <w:jc w:val="right"/>
            </w:pPr>
            <w:r>
              <w:t>83.356.681</w:t>
            </w:r>
          </w:p>
        </w:tc>
        <w:tc>
          <w:tcPr>
            <w:tcW w:w="2041" w:type="dxa"/>
          </w:tcPr>
          <w:p w:rsidR="00505632" w:rsidRDefault="00505632" w:rsidP="00AD4E52">
            <w:pPr>
              <w:jc w:val="right"/>
            </w:pPr>
            <w:r>
              <w:t>80.793.000</w:t>
            </w:r>
          </w:p>
        </w:tc>
        <w:tc>
          <w:tcPr>
            <w:tcW w:w="2041" w:type="dxa"/>
          </w:tcPr>
          <w:p w:rsidR="00505632" w:rsidRDefault="00505632" w:rsidP="00AD4E52">
            <w:pPr>
              <w:jc w:val="right"/>
            </w:pPr>
            <w:r>
              <w:t>80.475.480</w:t>
            </w:r>
          </w:p>
        </w:tc>
        <w:tc>
          <w:tcPr>
            <w:tcW w:w="1224" w:type="dxa"/>
          </w:tcPr>
          <w:p w:rsidR="00505632" w:rsidRDefault="00505632" w:rsidP="00AD4E52">
            <w:pPr>
              <w:jc w:val="right"/>
            </w:pPr>
            <w:r>
              <w:t>99,6</w:t>
            </w:r>
          </w:p>
        </w:tc>
        <w:tc>
          <w:tcPr>
            <w:tcW w:w="1224" w:type="dxa"/>
          </w:tcPr>
          <w:p w:rsidR="00505632" w:rsidRDefault="00505632" w:rsidP="00AD4E52">
            <w:pPr>
              <w:jc w:val="right"/>
            </w:pPr>
            <w:r>
              <w:t>96,5</w:t>
            </w:r>
          </w:p>
        </w:tc>
      </w:tr>
      <w:tr w:rsidR="00505632" w:rsidTr="00AD4E52">
        <w:trPr>
          <w:jc w:val="center"/>
        </w:trPr>
        <w:tc>
          <w:tcPr>
            <w:tcW w:w="1632" w:type="dxa"/>
          </w:tcPr>
          <w:p w:rsidR="00505632" w:rsidRDefault="00505632" w:rsidP="00AD4E52">
            <w:pPr>
              <w:jc w:val="left"/>
            </w:pPr>
            <w:r>
              <w:t>3109-SIGURNOST POMORSKOG PROMETA</w:t>
            </w:r>
          </w:p>
        </w:tc>
        <w:tc>
          <w:tcPr>
            <w:tcW w:w="2041" w:type="dxa"/>
          </w:tcPr>
          <w:p w:rsidR="00505632" w:rsidRDefault="00505632" w:rsidP="00AD4E52">
            <w:pPr>
              <w:jc w:val="right"/>
            </w:pPr>
            <w:r>
              <w:t>87.861.285</w:t>
            </w:r>
          </w:p>
        </w:tc>
        <w:tc>
          <w:tcPr>
            <w:tcW w:w="2041" w:type="dxa"/>
          </w:tcPr>
          <w:p w:rsidR="00505632" w:rsidRDefault="00505632" w:rsidP="00AD4E52">
            <w:pPr>
              <w:jc w:val="right"/>
            </w:pPr>
            <w:r>
              <w:t>108.247.750</w:t>
            </w:r>
          </w:p>
        </w:tc>
        <w:tc>
          <w:tcPr>
            <w:tcW w:w="2041" w:type="dxa"/>
          </w:tcPr>
          <w:p w:rsidR="00505632" w:rsidRDefault="00505632" w:rsidP="00AD4E52">
            <w:pPr>
              <w:jc w:val="right"/>
            </w:pPr>
            <w:r>
              <w:t>94.463.487</w:t>
            </w:r>
          </w:p>
        </w:tc>
        <w:tc>
          <w:tcPr>
            <w:tcW w:w="1224" w:type="dxa"/>
          </w:tcPr>
          <w:p w:rsidR="00505632" w:rsidRDefault="00505632" w:rsidP="00AD4E52">
            <w:pPr>
              <w:jc w:val="right"/>
            </w:pPr>
            <w:r>
              <w:t>87,3</w:t>
            </w:r>
          </w:p>
        </w:tc>
        <w:tc>
          <w:tcPr>
            <w:tcW w:w="1224" w:type="dxa"/>
          </w:tcPr>
          <w:p w:rsidR="00505632" w:rsidRDefault="00505632" w:rsidP="00AD4E52">
            <w:pPr>
              <w:jc w:val="right"/>
            </w:pPr>
            <w:r>
              <w:t>107,5</w:t>
            </w:r>
          </w:p>
        </w:tc>
      </w:tr>
      <w:tr w:rsidR="00505632" w:rsidTr="00AD4E52">
        <w:trPr>
          <w:jc w:val="center"/>
        </w:trPr>
        <w:tc>
          <w:tcPr>
            <w:tcW w:w="1632" w:type="dxa"/>
          </w:tcPr>
          <w:p w:rsidR="00505632" w:rsidRDefault="00505632" w:rsidP="00AD4E52">
            <w:pPr>
              <w:jc w:val="left"/>
            </w:pPr>
            <w:r>
              <w:t>3110-RAZVOJ SUSTAVA CESTOVNOG PROMETA</w:t>
            </w:r>
          </w:p>
        </w:tc>
        <w:tc>
          <w:tcPr>
            <w:tcW w:w="2041" w:type="dxa"/>
          </w:tcPr>
          <w:p w:rsidR="00505632" w:rsidRDefault="00505632" w:rsidP="00AD4E52">
            <w:pPr>
              <w:jc w:val="right"/>
            </w:pPr>
            <w:r>
              <w:t>2.657.293.167</w:t>
            </w:r>
          </w:p>
        </w:tc>
        <w:tc>
          <w:tcPr>
            <w:tcW w:w="2041" w:type="dxa"/>
          </w:tcPr>
          <w:p w:rsidR="00505632" w:rsidRDefault="00505632" w:rsidP="00AD4E52">
            <w:pPr>
              <w:jc w:val="right"/>
            </w:pPr>
            <w:r>
              <w:t>2.835.197.633</w:t>
            </w:r>
          </w:p>
        </w:tc>
        <w:tc>
          <w:tcPr>
            <w:tcW w:w="2041" w:type="dxa"/>
          </w:tcPr>
          <w:p w:rsidR="00505632" w:rsidRDefault="00505632" w:rsidP="00AD4E52">
            <w:pPr>
              <w:jc w:val="right"/>
            </w:pPr>
            <w:r>
              <w:t>2.832.645.749</w:t>
            </w:r>
          </w:p>
        </w:tc>
        <w:tc>
          <w:tcPr>
            <w:tcW w:w="1224" w:type="dxa"/>
          </w:tcPr>
          <w:p w:rsidR="00505632" w:rsidRDefault="00505632" w:rsidP="00AD4E52">
            <w:pPr>
              <w:jc w:val="right"/>
            </w:pPr>
            <w:r>
              <w:t>99,9</w:t>
            </w:r>
          </w:p>
        </w:tc>
        <w:tc>
          <w:tcPr>
            <w:tcW w:w="1224" w:type="dxa"/>
          </w:tcPr>
          <w:p w:rsidR="00505632" w:rsidRDefault="00505632" w:rsidP="00AD4E52">
            <w:pPr>
              <w:jc w:val="right"/>
            </w:pPr>
            <w:r>
              <w:t>106,6</w:t>
            </w:r>
          </w:p>
        </w:tc>
      </w:tr>
      <w:tr w:rsidR="00505632" w:rsidTr="00AD4E52">
        <w:trPr>
          <w:jc w:val="center"/>
        </w:trPr>
        <w:tc>
          <w:tcPr>
            <w:tcW w:w="1632" w:type="dxa"/>
          </w:tcPr>
          <w:p w:rsidR="00505632" w:rsidRDefault="00505632" w:rsidP="00AD4E52">
            <w:pPr>
              <w:jc w:val="left"/>
            </w:pPr>
            <w:r>
              <w:t>3111-PRIPREMA I PROVEDBA PROJEKATA SUFINANCIRANIH SREDSTVIMA FONDOVA EU</w:t>
            </w:r>
          </w:p>
        </w:tc>
        <w:tc>
          <w:tcPr>
            <w:tcW w:w="2041" w:type="dxa"/>
          </w:tcPr>
          <w:p w:rsidR="00505632" w:rsidRDefault="00505632" w:rsidP="00AD4E52">
            <w:pPr>
              <w:jc w:val="right"/>
            </w:pPr>
            <w:r>
              <w:t>320.211.754</w:t>
            </w:r>
          </w:p>
        </w:tc>
        <w:tc>
          <w:tcPr>
            <w:tcW w:w="2041" w:type="dxa"/>
          </w:tcPr>
          <w:p w:rsidR="00505632" w:rsidRDefault="00505632" w:rsidP="00AD4E52">
            <w:pPr>
              <w:jc w:val="right"/>
            </w:pPr>
            <w:r>
              <w:t>524.697.300</w:t>
            </w:r>
          </w:p>
        </w:tc>
        <w:tc>
          <w:tcPr>
            <w:tcW w:w="2041" w:type="dxa"/>
          </w:tcPr>
          <w:p w:rsidR="00505632" w:rsidRDefault="00505632" w:rsidP="00AD4E52">
            <w:pPr>
              <w:jc w:val="right"/>
            </w:pPr>
            <w:r>
              <w:t>444.241.001</w:t>
            </w:r>
          </w:p>
        </w:tc>
        <w:tc>
          <w:tcPr>
            <w:tcW w:w="1224" w:type="dxa"/>
          </w:tcPr>
          <w:p w:rsidR="00505632" w:rsidRDefault="00505632" w:rsidP="00AD4E52">
            <w:pPr>
              <w:jc w:val="right"/>
            </w:pPr>
            <w:r>
              <w:t>84,7</w:t>
            </w:r>
          </w:p>
        </w:tc>
        <w:tc>
          <w:tcPr>
            <w:tcW w:w="1224" w:type="dxa"/>
          </w:tcPr>
          <w:p w:rsidR="00505632" w:rsidRDefault="00505632" w:rsidP="00AD4E52">
            <w:pPr>
              <w:jc w:val="right"/>
            </w:pPr>
            <w:r>
              <w:t>138,7</w:t>
            </w:r>
          </w:p>
        </w:tc>
      </w:tr>
      <w:tr w:rsidR="00505632" w:rsidTr="00AD4E52">
        <w:trPr>
          <w:jc w:val="center"/>
        </w:trPr>
        <w:tc>
          <w:tcPr>
            <w:tcW w:w="1632" w:type="dxa"/>
          </w:tcPr>
          <w:p w:rsidR="00505632" w:rsidRDefault="00505632" w:rsidP="00AD4E52">
            <w:pPr>
              <w:jc w:val="left"/>
            </w:pPr>
            <w:r>
              <w:t>3112-INSPEKCIJSKI NADZOR CESTOVNOG PROMETA I CESTA</w:t>
            </w:r>
          </w:p>
        </w:tc>
        <w:tc>
          <w:tcPr>
            <w:tcW w:w="2041" w:type="dxa"/>
          </w:tcPr>
          <w:p w:rsidR="00505632" w:rsidRDefault="00505632" w:rsidP="00AD4E52">
            <w:pPr>
              <w:jc w:val="right"/>
            </w:pPr>
            <w:r>
              <w:t>948.755</w:t>
            </w:r>
          </w:p>
        </w:tc>
        <w:tc>
          <w:tcPr>
            <w:tcW w:w="2041" w:type="dxa"/>
          </w:tcPr>
          <w:p w:rsidR="00505632" w:rsidRDefault="00505632" w:rsidP="00AD4E52">
            <w:pPr>
              <w:jc w:val="right"/>
            </w:pPr>
            <w:r>
              <w:t>1.130.000</w:t>
            </w:r>
          </w:p>
        </w:tc>
        <w:tc>
          <w:tcPr>
            <w:tcW w:w="2041" w:type="dxa"/>
          </w:tcPr>
          <w:p w:rsidR="00505632" w:rsidRDefault="00505632" w:rsidP="00AD4E52">
            <w:pPr>
              <w:jc w:val="right"/>
            </w:pPr>
            <w:r>
              <w:t>1.048.627</w:t>
            </w:r>
          </w:p>
        </w:tc>
        <w:tc>
          <w:tcPr>
            <w:tcW w:w="1224" w:type="dxa"/>
          </w:tcPr>
          <w:p w:rsidR="00505632" w:rsidRDefault="00505632" w:rsidP="00AD4E52">
            <w:pPr>
              <w:jc w:val="right"/>
            </w:pPr>
            <w:r>
              <w:t>92,8</w:t>
            </w:r>
          </w:p>
        </w:tc>
        <w:tc>
          <w:tcPr>
            <w:tcW w:w="1224" w:type="dxa"/>
          </w:tcPr>
          <w:p w:rsidR="00505632" w:rsidRDefault="00505632" w:rsidP="00AD4E52">
            <w:pPr>
              <w:jc w:val="right"/>
            </w:pPr>
            <w:r>
              <w:t>110,5</w:t>
            </w:r>
          </w:p>
        </w:tc>
      </w:tr>
      <w:tr w:rsidR="00505632" w:rsidTr="00AD4E52">
        <w:trPr>
          <w:jc w:val="center"/>
        </w:trPr>
        <w:tc>
          <w:tcPr>
            <w:tcW w:w="1632" w:type="dxa"/>
          </w:tcPr>
          <w:p w:rsidR="00505632" w:rsidRDefault="00505632" w:rsidP="00AD4E52">
            <w:pPr>
              <w:jc w:val="left"/>
            </w:pPr>
            <w:r>
              <w:t>3113-RAZVOJ SUSTAVA ZRAČNOG PROMETA</w:t>
            </w:r>
          </w:p>
        </w:tc>
        <w:tc>
          <w:tcPr>
            <w:tcW w:w="2041" w:type="dxa"/>
          </w:tcPr>
          <w:p w:rsidR="00505632" w:rsidRDefault="00505632" w:rsidP="00AD4E52">
            <w:pPr>
              <w:jc w:val="right"/>
            </w:pPr>
            <w:r>
              <w:t>158.847.702</w:t>
            </w:r>
          </w:p>
        </w:tc>
        <w:tc>
          <w:tcPr>
            <w:tcW w:w="2041" w:type="dxa"/>
          </w:tcPr>
          <w:p w:rsidR="00505632" w:rsidRDefault="00505632" w:rsidP="00AD4E52">
            <w:pPr>
              <w:jc w:val="right"/>
            </w:pPr>
            <w:r>
              <w:t>148.534.000</w:t>
            </w:r>
          </w:p>
        </w:tc>
        <w:tc>
          <w:tcPr>
            <w:tcW w:w="2041" w:type="dxa"/>
          </w:tcPr>
          <w:p w:rsidR="00505632" w:rsidRDefault="00505632" w:rsidP="00AD4E52">
            <w:pPr>
              <w:jc w:val="right"/>
            </w:pPr>
            <w:r>
              <w:t>139.698.541</w:t>
            </w:r>
          </w:p>
        </w:tc>
        <w:tc>
          <w:tcPr>
            <w:tcW w:w="1224" w:type="dxa"/>
          </w:tcPr>
          <w:p w:rsidR="00505632" w:rsidRDefault="00505632" w:rsidP="00AD4E52">
            <w:pPr>
              <w:jc w:val="right"/>
            </w:pPr>
            <w:r>
              <w:t>94,1</w:t>
            </w:r>
          </w:p>
        </w:tc>
        <w:tc>
          <w:tcPr>
            <w:tcW w:w="1224" w:type="dxa"/>
          </w:tcPr>
          <w:p w:rsidR="00505632" w:rsidRDefault="00505632" w:rsidP="00AD4E52">
            <w:pPr>
              <w:jc w:val="right"/>
            </w:pPr>
            <w:r>
              <w:t>87,9</w:t>
            </w:r>
          </w:p>
        </w:tc>
      </w:tr>
      <w:tr w:rsidR="00505632" w:rsidTr="00AD4E52">
        <w:trPr>
          <w:jc w:val="center"/>
        </w:trPr>
        <w:tc>
          <w:tcPr>
            <w:tcW w:w="1632" w:type="dxa"/>
          </w:tcPr>
          <w:p w:rsidR="00505632" w:rsidRDefault="00505632" w:rsidP="00AD4E52">
            <w:pPr>
              <w:jc w:val="left"/>
            </w:pPr>
            <w:r>
              <w:t>3114-RAZVOJ SUSTAVA ŽELJEZNIČKOG PROMETA</w:t>
            </w:r>
          </w:p>
        </w:tc>
        <w:tc>
          <w:tcPr>
            <w:tcW w:w="2041" w:type="dxa"/>
          </w:tcPr>
          <w:p w:rsidR="00505632" w:rsidRDefault="00505632" w:rsidP="00AD4E52">
            <w:pPr>
              <w:jc w:val="right"/>
            </w:pPr>
            <w:r>
              <w:t>1.495.564.762</w:t>
            </w:r>
          </w:p>
        </w:tc>
        <w:tc>
          <w:tcPr>
            <w:tcW w:w="2041" w:type="dxa"/>
          </w:tcPr>
          <w:p w:rsidR="00505632" w:rsidRDefault="00505632" w:rsidP="00AD4E52">
            <w:pPr>
              <w:jc w:val="right"/>
            </w:pPr>
            <w:r>
              <w:t>1.390.769.951</w:t>
            </w:r>
          </w:p>
        </w:tc>
        <w:tc>
          <w:tcPr>
            <w:tcW w:w="2041" w:type="dxa"/>
          </w:tcPr>
          <w:p w:rsidR="00505632" w:rsidRDefault="00505632" w:rsidP="00AD4E52">
            <w:pPr>
              <w:jc w:val="right"/>
            </w:pPr>
            <w:r>
              <w:t>1.389.320.359</w:t>
            </w:r>
          </w:p>
        </w:tc>
        <w:tc>
          <w:tcPr>
            <w:tcW w:w="1224" w:type="dxa"/>
          </w:tcPr>
          <w:p w:rsidR="00505632" w:rsidRDefault="00505632" w:rsidP="00AD4E52">
            <w:pPr>
              <w:jc w:val="right"/>
            </w:pPr>
            <w:r>
              <w:t>99,9</w:t>
            </w:r>
          </w:p>
        </w:tc>
        <w:tc>
          <w:tcPr>
            <w:tcW w:w="1224" w:type="dxa"/>
          </w:tcPr>
          <w:p w:rsidR="00505632" w:rsidRDefault="00505632" w:rsidP="00AD4E52">
            <w:pPr>
              <w:jc w:val="right"/>
            </w:pPr>
            <w:r>
              <w:t>92,9</w:t>
            </w:r>
          </w:p>
        </w:tc>
      </w:tr>
      <w:tr w:rsidR="00505632" w:rsidTr="00AD4E52">
        <w:trPr>
          <w:jc w:val="center"/>
        </w:trPr>
        <w:tc>
          <w:tcPr>
            <w:tcW w:w="1632" w:type="dxa"/>
          </w:tcPr>
          <w:p w:rsidR="00505632" w:rsidRDefault="00505632" w:rsidP="00AD4E52">
            <w:pPr>
              <w:jc w:val="left"/>
            </w:pPr>
            <w:r>
              <w:t>3115-RAZVOJ SUSTAVA PROMETA NA UNUTARNJIM VODNIM PUTOVIMA</w:t>
            </w:r>
          </w:p>
        </w:tc>
        <w:tc>
          <w:tcPr>
            <w:tcW w:w="2041" w:type="dxa"/>
          </w:tcPr>
          <w:p w:rsidR="00505632" w:rsidRDefault="00505632" w:rsidP="00AD4E52">
            <w:pPr>
              <w:jc w:val="right"/>
            </w:pPr>
            <w:r>
              <w:t>15.656.855</w:t>
            </w:r>
          </w:p>
        </w:tc>
        <w:tc>
          <w:tcPr>
            <w:tcW w:w="2041" w:type="dxa"/>
          </w:tcPr>
          <w:p w:rsidR="00505632" w:rsidRDefault="00505632" w:rsidP="00AD4E52">
            <w:pPr>
              <w:jc w:val="right"/>
            </w:pPr>
            <w:r>
              <w:t>19.341.000</w:t>
            </w:r>
          </w:p>
        </w:tc>
        <w:tc>
          <w:tcPr>
            <w:tcW w:w="2041" w:type="dxa"/>
          </w:tcPr>
          <w:p w:rsidR="00505632" w:rsidRDefault="00505632" w:rsidP="00AD4E52">
            <w:pPr>
              <w:jc w:val="right"/>
            </w:pPr>
            <w:r>
              <w:t>15.441.628</w:t>
            </w:r>
          </w:p>
        </w:tc>
        <w:tc>
          <w:tcPr>
            <w:tcW w:w="1224" w:type="dxa"/>
          </w:tcPr>
          <w:p w:rsidR="00505632" w:rsidRDefault="00505632" w:rsidP="00AD4E52">
            <w:pPr>
              <w:jc w:val="right"/>
            </w:pPr>
            <w:r>
              <w:t>79,8</w:t>
            </w:r>
          </w:p>
        </w:tc>
        <w:tc>
          <w:tcPr>
            <w:tcW w:w="1224" w:type="dxa"/>
          </w:tcPr>
          <w:p w:rsidR="00505632" w:rsidRDefault="00505632" w:rsidP="00AD4E52">
            <w:pPr>
              <w:jc w:val="right"/>
            </w:pPr>
            <w:r>
              <w:t>98,6</w:t>
            </w:r>
          </w:p>
        </w:tc>
      </w:tr>
      <w:tr w:rsidR="00505632" w:rsidTr="00AD4E52">
        <w:trPr>
          <w:jc w:val="center"/>
        </w:trPr>
        <w:tc>
          <w:tcPr>
            <w:tcW w:w="1632" w:type="dxa"/>
          </w:tcPr>
          <w:p w:rsidR="00505632" w:rsidRDefault="00505632" w:rsidP="00AD4E52">
            <w:pPr>
              <w:jc w:val="left"/>
            </w:pPr>
            <w:r>
              <w:t>3116-RAZVOJ SUSTAVA POMORSKOG PROMETA, POMORSKOG DOBRA I LUKA, TE ZAŠTITA MORSKOG OKOLIŠA OD ONEČIŠĆENJA S POMORSKIH OBJEKATA</w:t>
            </w:r>
          </w:p>
        </w:tc>
        <w:tc>
          <w:tcPr>
            <w:tcW w:w="2041" w:type="dxa"/>
          </w:tcPr>
          <w:p w:rsidR="00505632" w:rsidRDefault="00505632" w:rsidP="00AD4E52">
            <w:pPr>
              <w:jc w:val="right"/>
            </w:pPr>
            <w:r>
              <w:t>377.870.880</w:t>
            </w:r>
          </w:p>
        </w:tc>
        <w:tc>
          <w:tcPr>
            <w:tcW w:w="2041" w:type="dxa"/>
          </w:tcPr>
          <w:p w:rsidR="00505632" w:rsidRDefault="00505632" w:rsidP="00AD4E52">
            <w:pPr>
              <w:jc w:val="right"/>
            </w:pPr>
            <w:r>
              <w:t>341.126.000</w:t>
            </w:r>
          </w:p>
        </w:tc>
        <w:tc>
          <w:tcPr>
            <w:tcW w:w="2041" w:type="dxa"/>
          </w:tcPr>
          <w:p w:rsidR="00505632" w:rsidRDefault="00505632" w:rsidP="00AD4E52">
            <w:pPr>
              <w:jc w:val="right"/>
            </w:pPr>
            <w:r>
              <w:t>331.799.987</w:t>
            </w:r>
          </w:p>
        </w:tc>
        <w:tc>
          <w:tcPr>
            <w:tcW w:w="1224" w:type="dxa"/>
          </w:tcPr>
          <w:p w:rsidR="00505632" w:rsidRDefault="00505632" w:rsidP="00AD4E52">
            <w:pPr>
              <w:jc w:val="right"/>
            </w:pPr>
            <w:r>
              <w:t>97,3</w:t>
            </w:r>
          </w:p>
        </w:tc>
        <w:tc>
          <w:tcPr>
            <w:tcW w:w="1224" w:type="dxa"/>
          </w:tcPr>
          <w:p w:rsidR="00505632" w:rsidRDefault="00505632" w:rsidP="00AD4E52">
            <w:pPr>
              <w:jc w:val="right"/>
            </w:pPr>
            <w:r>
              <w:t>87,8</w:t>
            </w:r>
          </w:p>
        </w:tc>
      </w:tr>
    </w:tbl>
    <w:p w:rsidR="00505632" w:rsidRDefault="00505632" w:rsidP="00505632">
      <w:pPr>
        <w:jc w:val="left"/>
      </w:pPr>
    </w:p>
    <w:p w:rsidR="00505632" w:rsidRDefault="00505632" w:rsidP="00505632">
      <w:pPr>
        <w:pStyle w:val="Heading3"/>
      </w:pPr>
      <w:r>
        <w:rPr>
          <w:rFonts w:cs="Times New Roman"/>
        </w:rPr>
        <w:t>3101 UPRAVLJANJE NA PODRUČJU PROMETNE POLITIKE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3101-UPRAVLJANJE NA PODRUČJU PROMETNE POLITIKE</w:t>
            </w:r>
          </w:p>
        </w:tc>
        <w:tc>
          <w:tcPr>
            <w:tcW w:w="2041" w:type="dxa"/>
          </w:tcPr>
          <w:p w:rsidR="00505632" w:rsidRDefault="00505632" w:rsidP="00AD4E52">
            <w:pPr>
              <w:pStyle w:val="CellColumn"/>
              <w:jc w:val="right"/>
            </w:pPr>
            <w:r>
              <w:rPr>
                <w:rFonts w:cs="Times New Roman"/>
              </w:rPr>
              <w:t>74.433.712</w:t>
            </w:r>
          </w:p>
        </w:tc>
        <w:tc>
          <w:tcPr>
            <w:tcW w:w="2041" w:type="dxa"/>
          </w:tcPr>
          <w:p w:rsidR="00505632" w:rsidRDefault="00505632" w:rsidP="00AD4E52">
            <w:pPr>
              <w:pStyle w:val="CellColumn"/>
              <w:jc w:val="right"/>
            </w:pPr>
            <w:r>
              <w:rPr>
                <w:rFonts w:cs="Times New Roman"/>
              </w:rPr>
              <w:t>78.694.000</w:t>
            </w:r>
          </w:p>
        </w:tc>
        <w:tc>
          <w:tcPr>
            <w:tcW w:w="2041" w:type="dxa"/>
          </w:tcPr>
          <w:p w:rsidR="00505632" w:rsidRDefault="00505632" w:rsidP="00AD4E52">
            <w:pPr>
              <w:pStyle w:val="CellColumn"/>
              <w:jc w:val="right"/>
            </w:pPr>
            <w:r>
              <w:rPr>
                <w:rFonts w:cs="Times New Roman"/>
              </w:rPr>
              <w:t>71.056.145</w:t>
            </w:r>
          </w:p>
        </w:tc>
        <w:tc>
          <w:tcPr>
            <w:tcW w:w="1224" w:type="dxa"/>
          </w:tcPr>
          <w:p w:rsidR="00505632" w:rsidRDefault="00505632" w:rsidP="00AD4E52">
            <w:pPr>
              <w:pStyle w:val="CellColumn"/>
              <w:jc w:val="right"/>
            </w:pPr>
            <w:r>
              <w:rPr>
                <w:rFonts w:cs="Times New Roman"/>
              </w:rPr>
              <w:t>90,3</w:t>
            </w:r>
          </w:p>
        </w:tc>
        <w:tc>
          <w:tcPr>
            <w:tcW w:w="1224" w:type="dxa"/>
          </w:tcPr>
          <w:p w:rsidR="00505632" w:rsidRDefault="00505632" w:rsidP="00AD4E52">
            <w:pPr>
              <w:pStyle w:val="CellColumn"/>
              <w:jc w:val="right"/>
            </w:pPr>
            <w:r>
              <w:rPr>
                <w:rFonts w:cs="Times New Roman"/>
              </w:rPr>
              <w:t>95,5</w:t>
            </w:r>
          </w:p>
        </w:tc>
      </w:tr>
    </w:tbl>
    <w:p w:rsidR="00505632" w:rsidRDefault="00505632" w:rsidP="00505632">
      <w:pPr>
        <w:jc w:val="left"/>
      </w:pPr>
    </w:p>
    <w:p w:rsidR="00505632" w:rsidRDefault="00505632" w:rsidP="00505632">
      <w:r>
        <w:t xml:space="preserve">Program se izvršavo kroz 6 aktivnosti i projekata, a to su: Administracija i upravljanje, Obnova voznog parka, Informatizacija Ministarstva, Obveze po sudskim sporovima, Rekonstrukcija, obnova i održavanje poslovnih zgrada Ministarstva, Provedba Projekta e-građani.  </w:t>
      </w:r>
    </w:p>
    <w:p w:rsidR="00505632" w:rsidRDefault="00505632" w:rsidP="00505632">
      <w:r>
        <w:t>Sredstvima planiranim u okviru ovog programa financirali su se troškovi obavljanja redovite djelatnosti Ministarstva: plaće i ostali rashodi za zaposlene, materijalni troškovi, opremanje namještajem, informatičkom i ostalom opremom, informatizacija Ministarstva, stručno usavršavanje zaposlenika, obnova voznog parka, rekonstrukcija, obnova i održavanje poslovnih zgrada Ministarstva.</w:t>
      </w:r>
    </w:p>
    <w:p w:rsidR="00505632" w:rsidRDefault="00505632" w:rsidP="00505632">
      <w:pPr>
        <w:pStyle w:val="Heading8"/>
        <w:jc w:val="left"/>
      </w:pPr>
      <w:r>
        <w:t>Cilj 1. Povećanje kvalitete obavljanja poslova redovite djelatnosti Ministarstva</w:t>
      </w:r>
    </w:p>
    <w:p w:rsidR="00505632" w:rsidRDefault="00505632" w:rsidP="00505632">
      <w:pPr>
        <w:pStyle w:val="Heading8"/>
        <w:jc w:val="left"/>
      </w:pPr>
      <w:r>
        <w:t>Opis provedbe cilja programa</w:t>
      </w:r>
    </w:p>
    <w:p w:rsidR="00505632" w:rsidRDefault="00505632" w:rsidP="00505632">
      <w:r>
        <w:t>Cilj programa je bio povećati kvalitetu usluge prema korisnicima povećanjem ažurnosti i učinkovitosti poslovanja, smanjenjem troškova poslovanja, višim nivom informatizacije u vidu unapređenja poslovanja primjenom suvremenih informatičkih rješenja, sigurnošću informatičkog sustava, upravljanjem i razvojem ljudskih potencijala, te osiguranjem pravilnog, učinkovitog i ekonomičnog raspolaganja proračunskim i drugim sredstvima.</w:t>
      </w:r>
    </w:p>
    <w:p w:rsidR="00505632" w:rsidRDefault="00505632" w:rsidP="00505632">
      <w:pPr>
        <w:pStyle w:val="Heading4"/>
      </w:pPr>
      <w:r>
        <w:t>A250997 OBVEZE PO SUDSKIM SPOROVIMA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A250997-OBVEZE PO SUDSKIM SPOROVIMA</w:t>
            </w:r>
          </w:p>
        </w:tc>
        <w:tc>
          <w:tcPr>
            <w:tcW w:w="2041" w:type="dxa"/>
          </w:tcPr>
          <w:p w:rsidR="00505632" w:rsidRDefault="00505632" w:rsidP="00AD4E52">
            <w:pPr>
              <w:pStyle w:val="CellColumn"/>
              <w:jc w:val="right"/>
            </w:pPr>
            <w:r>
              <w:rPr>
                <w:rFonts w:cs="Times New Roman"/>
              </w:rPr>
              <w:t>4.324.718</w:t>
            </w:r>
          </w:p>
        </w:tc>
        <w:tc>
          <w:tcPr>
            <w:tcW w:w="2041" w:type="dxa"/>
          </w:tcPr>
          <w:p w:rsidR="00505632" w:rsidRDefault="00505632" w:rsidP="00AD4E52">
            <w:pPr>
              <w:pStyle w:val="CellColumn"/>
              <w:jc w:val="right"/>
            </w:pPr>
            <w:r>
              <w:rPr>
                <w:rFonts w:cs="Times New Roman"/>
              </w:rPr>
              <w:t>2.688.200</w:t>
            </w:r>
          </w:p>
        </w:tc>
        <w:tc>
          <w:tcPr>
            <w:tcW w:w="2041" w:type="dxa"/>
          </w:tcPr>
          <w:p w:rsidR="00505632" w:rsidRDefault="00505632" w:rsidP="00AD4E52">
            <w:pPr>
              <w:pStyle w:val="CellColumn"/>
              <w:jc w:val="right"/>
            </w:pPr>
            <w:r>
              <w:rPr>
                <w:rFonts w:cs="Times New Roman"/>
              </w:rPr>
              <w:t>531.354</w:t>
            </w:r>
          </w:p>
        </w:tc>
        <w:tc>
          <w:tcPr>
            <w:tcW w:w="1224" w:type="dxa"/>
          </w:tcPr>
          <w:p w:rsidR="00505632" w:rsidRDefault="00505632" w:rsidP="00AD4E52">
            <w:pPr>
              <w:pStyle w:val="CellColumn"/>
              <w:jc w:val="right"/>
            </w:pPr>
            <w:r>
              <w:rPr>
                <w:rFonts w:cs="Times New Roman"/>
              </w:rPr>
              <w:t>19,8</w:t>
            </w:r>
          </w:p>
        </w:tc>
        <w:tc>
          <w:tcPr>
            <w:tcW w:w="1224" w:type="dxa"/>
          </w:tcPr>
          <w:p w:rsidR="00505632" w:rsidRDefault="00505632" w:rsidP="00AD4E52">
            <w:pPr>
              <w:pStyle w:val="CellColumn"/>
              <w:jc w:val="right"/>
            </w:pPr>
            <w:r>
              <w:rPr>
                <w:rFonts w:cs="Times New Roman"/>
              </w:rPr>
              <w:t>12,3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sustavu državne uprave, </w:t>
      </w:r>
    </w:p>
    <w:p w:rsidR="00505632" w:rsidRDefault="00505632" w:rsidP="00505632">
      <w:r>
        <w:t xml:space="preserve">- Uredba o načelima za unutarnje ustrojstvo tijela državne uprave, </w:t>
      </w:r>
    </w:p>
    <w:p w:rsidR="00505632" w:rsidRDefault="00505632" w:rsidP="00505632">
      <w:r>
        <w:t xml:space="preserve">- Uredba o unutarnjem ustrojstvu Ministarstva pomorstva, prometa i infrastrukture (Narodne novine, broj 27/12, 36/12 i 79/13), </w:t>
      </w:r>
    </w:p>
    <w:p w:rsidR="00505632" w:rsidRDefault="00505632" w:rsidP="00505632">
      <w:r>
        <w:t xml:space="preserve">- Kolektivni ugovor za državne službenike i namještenike (Narodne novine, broj 104/13), </w:t>
      </w:r>
    </w:p>
    <w:p w:rsidR="00505632" w:rsidRDefault="00505632" w:rsidP="00505632">
      <w:r>
        <w:t xml:space="preserve">- Zakon o javnoj nabavi (Narodne novine, broj 90/11, 83/13, 143/13 i 13/14 – Odluka Ustavnog suda Republike Hrvatske), </w:t>
      </w:r>
    </w:p>
    <w:p w:rsidR="00505632" w:rsidRDefault="00505632" w:rsidP="00505632">
      <w:r>
        <w:t xml:space="preserve">- Zakon o upravljanju i raspolaganju imovinom u vlasništvu Republike Hrvatske (Narodne novine, broj 94/13), </w:t>
      </w:r>
    </w:p>
    <w:p w:rsidR="00505632" w:rsidRDefault="00505632" w:rsidP="00505632">
      <w:r>
        <w:t xml:space="preserve">- Zakon o informacijskoj sigurnosti, </w:t>
      </w:r>
    </w:p>
    <w:p w:rsidR="00505632" w:rsidRDefault="00505632" w:rsidP="00505632">
      <w:r>
        <w:t xml:space="preserve">- Zakon o proračunu,  </w:t>
      </w:r>
    </w:p>
    <w:p w:rsidR="00505632" w:rsidRDefault="00505632" w:rsidP="00505632">
      <w:r>
        <w:t>- Zakon o fiskalnoj odgovornosti i ostali relevantni propisi.</w:t>
      </w:r>
    </w:p>
    <w:p w:rsidR="00505632" w:rsidRDefault="00505632" w:rsidP="00505632">
      <w:pPr>
        <w:pStyle w:val="Heading8"/>
        <w:jc w:val="left"/>
      </w:pPr>
      <w:r>
        <w:t>Opis aktivnosti</w:t>
      </w:r>
    </w:p>
    <w:p w:rsidR="00505632" w:rsidRDefault="00505632" w:rsidP="00505632">
      <w:r>
        <w:t>Sredstva u okviru ove aktivnosti utrošena su za podmirenje obveza po izgubljenim sudskim sporovima i plaćanje  pripadajućih sudskih troškova.</w:t>
      </w:r>
    </w:p>
    <w:p w:rsidR="00505632" w:rsidRDefault="00505632" w:rsidP="00505632">
      <w:pPr>
        <w:pStyle w:val="Heading4"/>
      </w:pPr>
      <w:r>
        <w:t>A570000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A570000-ADMINISTRACIJA I UPRAVLJANJE</w:t>
            </w:r>
          </w:p>
        </w:tc>
        <w:tc>
          <w:tcPr>
            <w:tcW w:w="2041" w:type="dxa"/>
          </w:tcPr>
          <w:p w:rsidR="00505632" w:rsidRDefault="00505632" w:rsidP="00AD4E52">
            <w:pPr>
              <w:pStyle w:val="CellColumn"/>
              <w:jc w:val="right"/>
            </w:pPr>
            <w:r>
              <w:rPr>
                <w:rFonts w:cs="Times New Roman"/>
              </w:rPr>
              <w:t>57.309.141</w:t>
            </w:r>
          </w:p>
        </w:tc>
        <w:tc>
          <w:tcPr>
            <w:tcW w:w="2041" w:type="dxa"/>
          </w:tcPr>
          <w:p w:rsidR="00505632" w:rsidRDefault="00505632" w:rsidP="00AD4E52">
            <w:pPr>
              <w:pStyle w:val="CellColumn"/>
              <w:jc w:val="right"/>
            </w:pPr>
            <w:r>
              <w:rPr>
                <w:rFonts w:cs="Times New Roman"/>
              </w:rPr>
              <w:t>62.915.800</w:t>
            </w:r>
          </w:p>
        </w:tc>
        <w:tc>
          <w:tcPr>
            <w:tcW w:w="2041" w:type="dxa"/>
          </w:tcPr>
          <w:p w:rsidR="00505632" w:rsidRDefault="00505632" w:rsidP="00AD4E52">
            <w:pPr>
              <w:pStyle w:val="CellColumn"/>
              <w:jc w:val="right"/>
            </w:pPr>
            <w:r>
              <w:rPr>
                <w:rFonts w:cs="Times New Roman"/>
              </w:rPr>
              <w:t>59.675.266</w:t>
            </w:r>
          </w:p>
        </w:tc>
        <w:tc>
          <w:tcPr>
            <w:tcW w:w="1224" w:type="dxa"/>
          </w:tcPr>
          <w:p w:rsidR="00505632" w:rsidRDefault="00505632" w:rsidP="00AD4E52">
            <w:pPr>
              <w:pStyle w:val="CellColumn"/>
              <w:jc w:val="right"/>
            </w:pPr>
            <w:r>
              <w:rPr>
                <w:rFonts w:cs="Times New Roman"/>
              </w:rPr>
              <w:t>94,8</w:t>
            </w:r>
          </w:p>
        </w:tc>
        <w:tc>
          <w:tcPr>
            <w:tcW w:w="1224" w:type="dxa"/>
          </w:tcPr>
          <w:p w:rsidR="00505632" w:rsidRDefault="00505632" w:rsidP="00AD4E52">
            <w:pPr>
              <w:pStyle w:val="CellColumn"/>
              <w:jc w:val="right"/>
            </w:pPr>
            <w:r>
              <w:rPr>
                <w:rFonts w:cs="Times New Roman"/>
              </w:rPr>
              <w:t>104,1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sustavu državne uprave, </w:t>
      </w:r>
    </w:p>
    <w:p w:rsidR="00505632" w:rsidRDefault="00505632" w:rsidP="00505632">
      <w:r>
        <w:t xml:space="preserve">- Uredba o načelima za unutarnje ustrojstvo tijela državne uprave, </w:t>
      </w:r>
    </w:p>
    <w:p w:rsidR="00505632" w:rsidRDefault="00505632" w:rsidP="00505632">
      <w:r>
        <w:t xml:space="preserve">- Uredba o unutarnjem ustrojstvu Ministarstva pomorstva, prometa i infrastrukture (Narodne novine, broj 27/12, 36/12 i 79/13), </w:t>
      </w:r>
    </w:p>
    <w:p w:rsidR="00505632" w:rsidRDefault="00505632" w:rsidP="00505632">
      <w:r>
        <w:t xml:space="preserve">- Kolektivni ugovor za državne službenike i namještenike (Narodne novine, broj 104/13), </w:t>
      </w:r>
    </w:p>
    <w:p w:rsidR="00505632" w:rsidRDefault="00505632" w:rsidP="00505632">
      <w:r>
        <w:t xml:space="preserve">- Zakon o javnoj nabavi (Narodne novine, broj 90/11, 83/13, 143/13 i 13/14 – Odluka Ustavnog suda Republike Hrvatske), </w:t>
      </w:r>
    </w:p>
    <w:p w:rsidR="00505632" w:rsidRDefault="00505632" w:rsidP="00505632">
      <w:r>
        <w:t xml:space="preserve">- Zakon o upravljanju i raspolaganju imovinom u vlasništvu Republike Hrvatske (Narodne novine, broj 94/13), </w:t>
      </w:r>
    </w:p>
    <w:p w:rsidR="00505632" w:rsidRDefault="00505632" w:rsidP="00505632">
      <w:r>
        <w:t xml:space="preserve">- Zakon o informacijskoj sigurnosti, </w:t>
      </w:r>
    </w:p>
    <w:p w:rsidR="00505632" w:rsidRDefault="00505632" w:rsidP="00505632">
      <w:r>
        <w:t xml:space="preserve">- Zakon o proračunu,  </w:t>
      </w:r>
    </w:p>
    <w:p w:rsidR="00505632" w:rsidRDefault="00505632" w:rsidP="00505632">
      <w:r>
        <w:t>- Zakon o fiskalnoj odgovornosti i ostali relevantni propisi.</w:t>
      </w:r>
    </w:p>
    <w:p w:rsidR="00505632" w:rsidRDefault="00505632" w:rsidP="00505632">
      <w:pPr>
        <w:pStyle w:val="Heading8"/>
        <w:jc w:val="left"/>
      </w:pPr>
      <w:r>
        <w:t>Opis aktivnosti</w:t>
      </w:r>
    </w:p>
    <w:p w:rsidR="00505632" w:rsidRDefault="00505632" w:rsidP="00505632">
      <w:r>
        <w:t>U okviru ove aktivnosti sredstva su utrošena za obavljanje redovite djelatnosti Ministarstva i to kroz rashode za zaposlene, materijalne rashode, financijske rashode, rashode za nabavu uredske opreme i namještaja, komunikacijske opreme, opreme za održavanje i zaštitu i druge rashode. Zbog dotrajalosti postojećeg agregata i nedostatka rezervnih dijelova izvršila se izmjena čime se osigurala stabilnost struje na objektu „Kockica“ te automatsko i besprekidno napajanje za siguran rad uređaja i opreme.</w:t>
      </w:r>
    </w:p>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280"/>
        <w:gridCol w:w="2304"/>
        <w:gridCol w:w="978"/>
        <w:gridCol w:w="1002"/>
        <w:gridCol w:w="1636"/>
        <w:gridCol w:w="1002"/>
        <w:gridCol w:w="1004"/>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Izvedeni radovi</w:t>
            </w:r>
          </w:p>
        </w:tc>
        <w:tc>
          <w:tcPr>
            <w:tcW w:w="2551" w:type="dxa"/>
          </w:tcPr>
          <w:p w:rsidR="00505632" w:rsidRDefault="00505632" w:rsidP="00AD4E52">
            <w:pPr>
              <w:pStyle w:val="CellColumn"/>
              <w:jc w:val="left"/>
            </w:pPr>
            <w:r>
              <w:rPr>
                <w:rFonts w:cs="Times New Roman"/>
              </w:rPr>
              <w:t>Izmjenom agregata osigurati će se stabilnost struje na objektu „Kockica“ čime se ostvaruje automatsko i besprekidno napajanje te osigurava rad uređaja i opreme bez prekida.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Ministarstvo mora, prometa i infrastrukture, Okvirni sporazum za radove na unapređenju elektroenergetskog napajanja s izmjenom agregata</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82</w:t>
            </w:r>
          </w:p>
        </w:tc>
      </w:tr>
    </w:tbl>
    <w:p w:rsidR="00505632" w:rsidRDefault="00505632" w:rsidP="00505632">
      <w:pPr>
        <w:jc w:val="left"/>
      </w:pPr>
    </w:p>
    <w:p w:rsidR="00505632" w:rsidRDefault="00505632" w:rsidP="00505632">
      <w:pPr>
        <w:pStyle w:val="Heading4"/>
      </w:pPr>
      <w:r>
        <w:t>K570319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K570319-OBNOVA VOZNOG PARKA</w:t>
            </w:r>
          </w:p>
        </w:tc>
        <w:tc>
          <w:tcPr>
            <w:tcW w:w="2041" w:type="dxa"/>
          </w:tcPr>
          <w:p w:rsidR="00505632" w:rsidRDefault="00505632" w:rsidP="00AD4E52">
            <w:pPr>
              <w:pStyle w:val="CellColumn"/>
              <w:jc w:val="right"/>
            </w:pPr>
            <w:r>
              <w:rPr>
                <w:rFonts w:cs="Times New Roman"/>
              </w:rPr>
              <w:t>1.579.896</w:t>
            </w:r>
          </w:p>
        </w:tc>
        <w:tc>
          <w:tcPr>
            <w:tcW w:w="2041" w:type="dxa"/>
          </w:tcPr>
          <w:p w:rsidR="00505632" w:rsidRDefault="00505632" w:rsidP="00AD4E52">
            <w:pPr>
              <w:pStyle w:val="CellColumn"/>
              <w:jc w:val="right"/>
            </w:pPr>
            <w:r>
              <w:rPr>
                <w:rFonts w:cs="Times New Roman"/>
              </w:rPr>
              <w:t>1.670.000</w:t>
            </w:r>
          </w:p>
        </w:tc>
        <w:tc>
          <w:tcPr>
            <w:tcW w:w="2041" w:type="dxa"/>
          </w:tcPr>
          <w:p w:rsidR="00505632" w:rsidRDefault="00505632" w:rsidP="00AD4E52">
            <w:pPr>
              <w:pStyle w:val="CellColumn"/>
              <w:jc w:val="right"/>
            </w:pPr>
            <w:r>
              <w:rPr>
                <w:rFonts w:cs="Times New Roman"/>
              </w:rPr>
              <w:t>1.496.458</w:t>
            </w:r>
          </w:p>
        </w:tc>
        <w:tc>
          <w:tcPr>
            <w:tcW w:w="1224" w:type="dxa"/>
          </w:tcPr>
          <w:p w:rsidR="00505632" w:rsidRDefault="00505632" w:rsidP="00AD4E52">
            <w:pPr>
              <w:pStyle w:val="CellColumn"/>
              <w:jc w:val="right"/>
            </w:pPr>
            <w:r>
              <w:rPr>
                <w:rFonts w:cs="Times New Roman"/>
              </w:rPr>
              <w:t>89,6</w:t>
            </w:r>
          </w:p>
        </w:tc>
        <w:tc>
          <w:tcPr>
            <w:tcW w:w="1224" w:type="dxa"/>
          </w:tcPr>
          <w:p w:rsidR="00505632" w:rsidRDefault="00505632" w:rsidP="00AD4E52">
            <w:pPr>
              <w:pStyle w:val="CellColumn"/>
              <w:jc w:val="right"/>
            </w:pPr>
            <w:r>
              <w:rPr>
                <w:rFonts w:cs="Times New Roman"/>
              </w:rPr>
              <w:t>94,7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sustavu državne uprave, </w:t>
      </w:r>
    </w:p>
    <w:p w:rsidR="00505632" w:rsidRDefault="00505632" w:rsidP="00505632">
      <w:r>
        <w:t xml:space="preserve">- Uredba o načelima za unutarnje ustrojstvo tijela državne uprave, </w:t>
      </w:r>
    </w:p>
    <w:p w:rsidR="00505632" w:rsidRDefault="00505632" w:rsidP="00505632">
      <w:r>
        <w:t xml:space="preserve">- Uredba o unutarnjem ustrojstvu Ministarstva pomorstva, prometa i infrastrukture (Narodne novine, broj 27/12, 36/12 i 79/13), </w:t>
      </w:r>
    </w:p>
    <w:p w:rsidR="00505632" w:rsidRDefault="00505632" w:rsidP="00505632">
      <w:r>
        <w:t xml:space="preserve">- Kolektivni ugovor za državne službenike i namještenike (Narodne novine, broj 104/13), </w:t>
      </w:r>
    </w:p>
    <w:p w:rsidR="00505632" w:rsidRDefault="00505632" w:rsidP="00505632">
      <w:r>
        <w:t xml:space="preserve">- Zakon o javnoj nabavi (Narodne novine, broj 90/11, 83/13, 143/13 i 13/14 – Odluka Ustavnog suda Republike Hrvatske), </w:t>
      </w:r>
    </w:p>
    <w:p w:rsidR="00505632" w:rsidRDefault="00505632" w:rsidP="00505632">
      <w:r>
        <w:t xml:space="preserve">- Zakon o upravljanju i raspolaganju imovinom u vlasništvu Republike Hrvatske (Narodne novine, broj 94/13), </w:t>
      </w:r>
    </w:p>
    <w:p w:rsidR="00505632" w:rsidRDefault="00505632" w:rsidP="00505632">
      <w:r>
        <w:t xml:space="preserve">- Zakon o informacijskoj sigurnosti, </w:t>
      </w:r>
    </w:p>
    <w:p w:rsidR="00505632" w:rsidRDefault="00505632" w:rsidP="00505632">
      <w:r>
        <w:t xml:space="preserve">- Zakon o proračunu,  </w:t>
      </w:r>
    </w:p>
    <w:p w:rsidR="00505632" w:rsidRDefault="00505632" w:rsidP="00505632">
      <w:r>
        <w:t>- Zakon o fiskalnoj odgovornosti i ostali relevantni propisi.</w:t>
      </w:r>
    </w:p>
    <w:p w:rsidR="00505632" w:rsidRDefault="00505632" w:rsidP="00505632">
      <w:pPr>
        <w:pStyle w:val="Heading8"/>
        <w:jc w:val="left"/>
      </w:pPr>
      <w:r>
        <w:t>Opis aktivnosti</w:t>
      </w:r>
    </w:p>
    <w:p w:rsidR="00505632" w:rsidRDefault="00505632" w:rsidP="00505632">
      <w:r>
        <w:t>Sredstva u okviru ovog projekta utrošena su za otplatu leasing obroka po ugovorim o operativnom leasingu, redovno održavanje vozila u vlasnišvu Ministarstva, kupnju automobilskih guma te osiguranje i tehnički pregled vozila.</w:t>
      </w:r>
    </w:p>
    <w:p w:rsidR="00505632" w:rsidRDefault="00505632" w:rsidP="00505632"/>
    <w:p w:rsidR="00505632" w:rsidRDefault="00505632" w:rsidP="00505632">
      <w:pPr>
        <w:pStyle w:val="Heading4"/>
      </w:pPr>
      <w:r>
        <w:t>K570321 INFORMATIZACIJA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K570321-INFORMATIZACIJA</w:t>
            </w:r>
          </w:p>
        </w:tc>
        <w:tc>
          <w:tcPr>
            <w:tcW w:w="2041" w:type="dxa"/>
          </w:tcPr>
          <w:p w:rsidR="00505632" w:rsidRDefault="00505632" w:rsidP="00AD4E52">
            <w:pPr>
              <w:pStyle w:val="CellColumn"/>
              <w:jc w:val="right"/>
            </w:pPr>
            <w:r>
              <w:rPr>
                <w:rFonts w:cs="Times New Roman"/>
              </w:rPr>
              <w:t>9.490.329</w:t>
            </w:r>
          </w:p>
        </w:tc>
        <w:tc>
          <w:tcPr>
            <w:tcW w:w="2041" w:type="dxa"/>
          </w:tcPr>
          <w:p w:rsidR="00505632" w:rsidRDefault="00505632" w:rsidP="00AD4E52">
            <w:pPr>
              <w:pStyle w:val="CellColumn"/>
              <w:jc w:val="right"/>
            </w:pPr>
            <w:r>
              <w:rPr>
                <w:rFonts w:cs="Times New Roman"/>
              </w:rPr>
              <w:t>7.886.000</w:t>
            </w:r>
          </w:p>
        </w:tc>
        <w:tc>
          <w:tcPr>
            <w:tcW w:w="2041" w:type="dxa"/>
          </w:tcPr>
          <w:p w:rsidR="00505632" w:rsidRDefault="00505632" w:rsidP="00AD4E52">
            <w:pPr>
              <w:pStyle w:val="CellColumn"/>
              <w:jc w:val="right"/>
            </w:pPr>
            <w:r>
              <w:rPr>
                <w:rFonts w:cs="Times New Roman"/>
              </w:rPr>
              <w:t>6.944.151</w:t>
            </w:r>
          </w:p>
        </w:tc>
        <w:tc>
          <w:tcPr>
            <w:tcW w:w="1224" w:type="dxa"/>
          </w:tcPr>
          <w:p w:rsidR="00505632" w:rsidRDefault="00505632" w:rsidP="00AD4E52">
            <w:pPr>
              <w:pStyle w:val="CellColumn"/>
              <w:jc w:val="right"/>
            </w:pPr>
            <w:r>
              <w:rPr>
                <w:rFonts w:cs="Times New Roman"/>
              </w:rPr>
              <w:t>88,1</w:t>
            </w:r>
          </w:p>
        </w:tc>
        <w:tc>
          <w:tcPr>
            <w:tcW w:w="1224" w:type="dxa"/>
          </w:tcPr>
          <w:p w:rsidR="00505632" w:rsidRDefault="00505632" w:rsidP="00AD4E52">
            <w:pPr>
              <w:pStyle w:val="CellColumn"/>
              <w:jc w:val="right"/>
            </w:pPr>
            <w:r>
              <w:rPr>
                <w:rFonts w:cs="Times New Roman"/>
              </w:rPr>
              <w:t>73,2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sustavu državne uprave, </w:t>
      </w:r>
    </w:p>
    <w:p w:rsidR="00505632" w:rsidRDefault="00505632" w:rsidP="00505632">
      <w:r>
        <w:t xml:space="preserve">- Uredba o načelima za unutarnje ustrojstvo tijela državne uprave, </w:t>
      </w:r>
    </w:p>
    <w:p w:rsidR="00505632" w:rsidRDefault="00505632" w:rsidP="00505632">
      <w:r>
        <w:t xml:space="preserve">- Uredba o unutarnjem ustrojstvu Ministarstva pomorstva, prometa i infrastrukture (Narodne novine, broj 27/12, 36/12 i 79/13), </w:t>
      </w:r>
    </w:p>
    <w:p w:rsidR="00505632" w:rsidRDefault="00505632" w:rsidP="00505632">
      <w:r>
        <w:t xml:space="preserve">- Kolektivni ugovor za državne službenike i namještenike (Narodne novine, broj 104/13), </w:t>
      </w:r>
    </w:p>
    <w:p w:rsidR="00505632" w:rsidRDefault="00505632" w:rsidP="00505632">
      <w:r>
        <w:t xml:space="preserve">- Zakon o javnoj nabavi (Narodne novine, broj 90/11, 83/13, 143/13 i 13/14 – Odluka Ustavnog suda Republike Hrvatske), </w:t>
      </w:r>
    </w:p>
    <w:p w:rsidR="00505632" w:rsidRDefault="00505632" w:rsidP="00505632">
      <w:r>
        <w:t xml:space="preserve">- Zakon o upravljanju i raspolaganju imovinom u vlasništvu Republike Hrvatske (Narodne novine, broj 94/13), </w:t>
      </w:r>
    </w:p>
    <w:p w:rsidR="00505632" w:rsidRDefault="00505632" w:rsidP="00505632">
      <w:r>
        <w:t xml:space="preserve">- Zakon o informacijskoj sigurnosti, </w:t>
      </w:r>
    </w:p>
    <w:p w:rsidR="00505632" w:rsidRDefault="00505632" w:rsidP="00505632">
      <w:r>
        <w:t xml:space="preserve">- Zakon o proračunu,  </w:t>
      </w:r>
    </w:p>
    <w:p w:rsidR="00505632" w:rsidRDefault="00505632" w:rsidP="00505632">
      <w:r>
        <w:t>- Zakon o fiskalnoj odgovornosti i ostali relevantni propisi.</w:t>
      </w:r>
    </w:p>
    <w:p w:rsidR="00505632" w:rsidRDefault="00505632" w:rsidP="00505632">
      <w:pPr>
        <w:pStyle w:val="Heading8"/>
        <w:jc w:val="left"/>
      </w:pPr>
      <w:r>
        <w:t>Opis aktivnosti</w:t>
      </w:r>
    </w:p>
    <w:p w:rsidR="00505632" w:rsidRDefault="00505632" w:rsidP="00505632">
      <w:r>
        <w:t>Sredstva u okviru ovog projekta utrošena su za redovno održavanju aplikacija informatičkog sustava Ministarstva te nabavu komunikacijske i informatičke opreme i licenci.</w:t>
      </w:r>
    </w:p>
    <w:p w:rsidR="00505632" w:rsidRDefault="00505632" w:rsidP="00505632">
      <w:pPr>
        <w:pStyle w:val="Heading4"/>
      </w:pPr>
      <w:r>
        <w:t>K810016 REKONSTRUKCIJA, OBNOVA I ODRŽAVANJE POSLOVNIH ZGRADA MINISTARSTVA</w:t>
      </w:r>
    </w:p>
    <w:tbl>
      <w:tblPr>
        <w:tblStyle w:val="StilTablice"/>
        <w:tblW w:w="10206" w:type="dxa"/>
        <w:jc w:val="center"/>
        <w:tblLook w:val="04A0" w:firstRow="1" w:lastRow="0" w:firstColumn="1" w:lastColumn="0" w:noHBand="0" w:noVBand="1"/>
      </w:tblPr>
      <w:tblGrid>
        <w:gridCol w:w="1931"/>
        <w:gridCol w:w="1953"/>
        <w:gridCol w:w="1953"/>
        <w:gridCol w:w="1953"/>
        <w:gridCol w:w="1204"/>
        <w:gridCol w:w="121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K810016-REKONSTRUKCIJA, OBNOVA I ODRŽAVANJE POSLOVNIH ZGRADA MINISTARSTVA</w:t>
            </w:r>
          </w:p>
        </w:tc>
        <w:tc>
          <w:tcPr>
            <w:tcW w:w="2041" w:type="dxa"/>
          </w:tcPr>
          <w:p w:rsidR="00505632" w:rsidRDefault="00505632" w:rsidP="00AD4E52">
            <w:pPr>
              <w:pStyle w:val="CellColumn"/>
              <w:jc w:val="right"/>
            </w:pPr>
            <w:r>
              <w:rPr>
                <w:rFonts w:cs="Times New Roman"/>
              </w:rPr>
              <w:t>1.729.628</w:t>
            </w:r>
          </w:p>
        </w:tc>
        <w:tc>
          <w:tcPr>
            <w:tcW w:w="2041" w:type="dxa"/>
          </w:tcPr>
          <w:p w:rsidR="00505632" w:rsidRDefault="00505632" w:rsidP="00AD4E52">
            <w:pPr>
              <w:pStyle w:val="CellColumn"/>
              <w:jc w:val="right"/>
            </w:pPr>
            <w:r>
              <w:rPr>
                <w:rFonts w:cs="Times New Roman"/>
              </w:rPr>
              <w:t>3.519.000</w:t>
            </w:r>
          </w:p>
        </w:tc>
        <w:tc>
          <w:tcPr>
            <w:tcW w:w="2041" w:type="dxa"/>
          </w:tcPr>
          <w:p w:rsidR="00505632" w:rsidRDefault="00505632" w:rsidP="00AD4E52">
            <w:pPr>
              <w:pStyle w:val="CellColumn"/>
              <w:jc w:val="right"/>
            </w:pPr>
            <w:r>
              <w:rPr>
                <w:rFonts w:cs="Times New Roman"/>
              </w:rPr>
              <w:t>2.408.916</w:t>
            </w:r>
          </w:p>
        </w:tc>
        <w:tc>
          <w:tcPr>
            <w:tcW w:w="1224" w:type="dxa"/>
          </w:tcPr>
          <w:p w:rsidR="00505632" w:rsidRDefault="00505632" w:rsidP="00AD4E52">
            <w:pPr>
              <w:pStyle w:val="CellColumn"/>
              <w:jc w:val="right"/>
            </w:pPr>
            <w:r>
              <w:rPr>
                <w:rFonts w:cs="Times New Roman"/>
              </w:rPr>
              <w:t>68,5</w:t>
            </w:r>
          </w:p>
        </w:tc>
        <w:tc>
          <w:tcPr>
            <w:tcW w:w="1224" w:type="dxa"/>
          </w:tcPr>
          <w:p w:rsidR="00505632" w:rsidRDefault="00505632" w:rsidP="00AD4E52">
            <w:pPr>
              <w:pStyle w:val="CellColumn"/>
              <w:jc w:val="right"/>
            </w:pPr>
            <w:r>
              <w:rPr>
                <w:rFonts w:cs="Times New Roman"/>
              </w:rPr>
              <w:t>139,3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sustavu državne uprave, </w:t>
      </w:r>
    </w:p>
    <w:p w:rsidR="00505632" w:rsidRDefault="00505632" w:rsidP="00505632">
      <w:r>
        <w:t xml:space="preserve">- Uredba o načelima za unutarnje ustrojstvo tijela državne uprave, </w:t>
      </w:r>
    </w:p>
    <w:p w:rsidR="00505632" w:rsidRDefault="00505632" w:rsidP="00505632">
      <w:r>
        <w:t xml:space="preserve">- Uredba o unutarnjem ustrojstvu Ministarstva pomorstva, prometa i infrastrukture (Narodne novine, broj 27/12, 36/12 i 79/13), </w:t>
      </w:r>
    </w:p>
    <w:p w:rsidR="00505632" w:rsidRDefault="00505632" w:rsidP="00505632">
      <w:r>
        <w:t xml:space="preserve">- Kolektivni ugovor za državne službenike i namještenike (Narodne novine, broj 104/13), </w:t>
      </w:r>
    </w:p>
    <w:p w:rsidR="00505632" w:rsidRDefault="00505632" w:rsidP="00505632">
      <w:r>
        <w:t xml:space="preserve">- Zakon o javnoj nabavi (Narodne novine, broj 90/11, 83/13, 143/13 i 13/14 – Odluka Ustavnog suda Republike Hrvatske), </w:t>
      </w:r>
    </w:p>
    <w:p w:rsidR="00505632" w:rsidRDefault="00505632" w:rsidP="00505632">
      <w:r>
        <w:t xml:space="preserve">- Zakon o upravljanju i raspolaganju imovinom u vlasništvu Republike Hrvatske (Narodne novine, broj 94/13), </w:t>
      </w:r>
    </w:p>
    <w:p w:rsidR="00505632" w:rsidRDefault="00505632" w:rsidP="00505632">
      <w:r>
        <w:t xml:space="preserve">- Zakon o informacijskoj sigurnosti, </w:t>
      </w:r>
    </w:p>
    <w:p w:rsidR="00505632" w:rsidRDefault="00505632" w:rsidP="00505632">
      <w:r>
        <w:t xml:space="preserve">- Zakon o proračunu,  </w:t>
      </w:r>
    </w:p>
    <w:p w:rsidR="00505632" w:rsidRDefault="00505632" w:rsidP="00505632">
      <w:r>
        <w:t>- Zakon o fiskalnoj odgovornosti i ostali relevantni propisi.</w:t>
      </w:r>
    </w:p>
    <w:p w:rsidR="00505632" w:rsidRDefault="00505632" w:rsidP="00505632">
      <w:pPr>
        <w:pStyle w:val="Heading8"/>
        <w:jc w:val="left"/>
      </w:pPr>
      <w:r>
        <w:t>Opis aktivnosti</w:t>
      </w:r>
    </w:p>
    <w:p w:rsidR="00505632" w:rsidRDefault="00505632" w:rsidP="00505632">
      <w:r>
        <w:t>Sredstva su utrošena za održavanje objekta ''Kockica'' i Krležin Gvozd 1a koje koristi Ministarstvo. Nabavljen je novi transformator i nova sabirna stanica struje (trafostanica). Ujedno izmijenjen je dio instalacija priključnica radnih mjesta (kabliranje). Ministarstvo je posredstvom Agencije za pravni promet i posredovanje nekretninama zaključilo ugovor o energetskoj obnovi zgrade Kockica, međutim ugovor je raskinut jer odabrani ponuditelj nije pristupio izvođenju radova kako je ugovoreno. Iz navedenog razloga nije sanirana vanjska ovojnica (pročelje) te nije ostvarena ciljana vrijednost.</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48"/>
        <w:gridCol w:w="2461"/>
        <w:gridCol w:w="1004"/>
        <w:gridCol w:w="1013"/>
        <w:gridCol w:w="1253"/>
        <w:gridCol w:w="1013"/>
        <w:gridCol w:w="1014"/>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potrošnje energije</w:t>
            </w:r>
          </w:p>
        </w:tc>
        <w:tc>
          <w:tcPr>
            <w:tcW w:w="2551" w:type="dxa"/>
          </w:tcPr>
          <w:p w:rsidR="00505632" w:rsidRDefault="00505632" w:rsidP="00AD4E52">
            <w:pPr>
              <w:pStyle w:val="CellColumn"/>
              <w:jc w:val="left"/>
            </w:pPr>
            <w:r>
              <w:rPr>
                <w:rFonts w:cs="Times New Roman"/>
              </w:rPr>
              <w:t>Sanacijom vanjske ovojnice (pročelja) u cilju poboljšanja energetske učinkovitosti zgrade očekuje se smanjenje potrošnje energije za cca 50% na razini dvanaest mjeseci</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Ministarstvo mora, prometa i infrastrukture, Ugovor o energetskom učinku</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3"/>
      </w:pPr>
      <w:r>
        <w:rPr>
          <w:rFonts w:cs="Times New Roman"/>
        </w:rPr>
        <w:t>3107 RAZVOJ TRŽIŠTA POŠTANSKIH USLUGA I ELEKTRONIČKIH KOMUNIKACIJA</w:t>
      </w:r>
    </w:p>
    <w:tbl>
      <w:tblPr>
        <w:tblStyle w:val="StilTablice"/>
        <w:tblW w:w="10206" w:type="dxa"/>
        <w:jc w:val="center"/>
        <w:tblLook w:val="04A0" w:firstRow="1" w:lastRow="0" w:firstColumn="1" w:lastColumn="0" w:noHBand="0" w:noVBand="1"/>
      </w:tblPr>
      <w:tblGrid>
        <w:gridCol w:w="1725"/>
        <w:gridCol w:w="2014"/>
        <w:gridCol w:w="2015"/>
        <w:gridCol w:w="2015"/>
        <w:gridCol w:w="1217"/>
        <w:gridCol w:w="1220"/>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3107-RAZVOJ TRŽIŠTA POŠTANSKIH USLUGA I ELEKTRONIČKIH KOMUNIKACIJA</w:t>
            </w:r>
          </w:p>
        </w:tc>
        <w:tc>
          <w:tcPr>
            <w:tcW w:w="2041" w:type="dxa"/>
          </w:tcPr>
          <w:p w:rsidR="00505632" w:rsidRDefault="00505632" w:rsidP="00AD4E52">
            <w:pPr>
              <w:pStyle w:val="CellColumn"/>
              <w:jc w:val="right"/>
            </w:pPr>
            <w:r>
              <w:rPr>
                <w:rFonts w:cs="Times New Roman"/>
              </w:rPr>
              <w:t>83.356.681</w:t>
            </w:r>
          </w:p>
        </w:tc>
        <w:tc>
          <w:tcPr>
            <w:tcW w:w="2041" w:type="dxa"/>
          </w:tcPr>
          <w:p w:rsidR="00505632" w:rsidRDefault="00505632" w:rsidP="00AD4E52">
            <w:pPr>
              <w:pStyle w:val="CellColumn"/>
              <w:jc w:val="right"/>
            </w:pPr>
            <w:r>
              <w:rPr>
                <w:rFonts w:cs="Times New Roman"/>
              </w:rPr>
              <w:t>80.793.000</w:t>
            </w:r>
          </w:p>
        </w:tc>
        <w:tc>
          <w:tcPr>
            <w:tcW w:w="2041" w:type="dxa"/>
          </w:tcPr>
          <w:p w:rsidR="00505632" w:rsidRDefault="00505632" w:rsidP="00AD4E52">
            <w:pPr>
              <w:pStyle w:val="CellColumn"/>
              <w:jc w:val="right"/>
            </w:pPr>
            <w:r>
              <w:rPr>
                <w:rFonts w:cs="Times New Roman"/>
              </w:rPr>
              <w:t>80.475.480</w:t>
            </w:r>
          </w:p>
        </w:tc>
        <w:tc>
          <w:tcPr>
            <w:tcW w:w="1224" w:type="dxa"/>
          </w:tcPr>
          <w:p w:rsidR="00505632" w:rsidRDefault="00505632" w:rsidP="00AD4E52">
            <w:pPr>
              <w:pStyle w:val="CellColumn"/>
              <w:jc w:val="right"/>
            </w:pPr>
            <w:r>
              <w:rPr>
                <w:rFonts w:cs="Times New Roman"/>
              </w:rPr>
              <w:t>99,6</w:t>
            </w:r>
          </w:p>
        </w:tc>
        <w:tc>
          <w:tcPr>
            <w:tcW w:w="1224" w:type="dxa"/>
          </w:tcPr>
          <w:p w:rsidR="00505632" w:rsidRDefault="00505632" w:rsidP="00AD4E52">
            <w:pPr>
              <w:pStyle w:val="CellColumn"/>
              <w:jc w:val="right"/>
            </w:pPr>
            <w:r>
              <w:rPr>
                <w:rFonts w:cs="Times New Roman"/>
              </w:rPr>
              <w:t>96,5</w:t>
            </w:r>
          </w:p>
        </w:tc>
      </w:tr>
    </w:tbl>
    <w:p w:rsidR="00505632" w:rsidRDefault="00505632" w:rsidP="00505632">
      <w:pPr>
        <w:jc w:val="left"/>
      </w:pPr>
    </w:p>
    <w:p w:rsidR="00505632" w:rsidRDefault="00505632" w:rsidP="00505632">
      <w:r>
        <w:t xml:space="preserve">U skladu sa Zakonom o elektroničkim komunikacijama (NN br. 73/08., 90/11., 133/12., 80/13. i 71/14.) elektronička komunikacijska infrastruktura, obavljanje djelatnosti elektroničkih komunikacijskih mreža i usluga, gradnja, održavanje, razvoj i korištenje elektroničkih komunikacijskih mreža i elektroničke komunikacijske infrastrukture i druge povezane opreme te upravljanje i uporaba radiofrekvencijskog spektra, adresnog i brojevnog prostora, kao prirodno ograničenih općih dobara, od interesa su za Republiku Hrvatsku, budući da stupanj razvijenosti gospodarstva svake zemlje ovisi, između ostalog, i o stupnju razvijenosti i korištenja ove infrastrukture.  </w:t>
      </w:r>
    </w:p>
    <w:p w:rsidR="00505632" w:rsidRDefault="00505632" w:rsidP="00505632">
      <w:r>
        <w:t>Na temelju Zakona o poštanskim uslugama (NN br. 144/12., 153/13. i 78/15.) obavljanje univerzalne (poštanske) usluge od interesa je za Republiku Hrvatsku. Korisnicima poštanskih usluga na cijelom području Republike Hrvatske mora se osigurati univerzalna usluga pod jednakim uvjetima glede određene kakvoće i pristupačne cijene.</w:t>
      </w:r>
    </w:p>
    <w:p w:rsidR="00505632" w:rsidRDefault="00505632" w:rsidP="00505632">
      <w:pPr>
        <w:pStyle w:val="Heading8"/>
        <w:jc w:val="left"/>
      </w:pPr>
      <w:r>
        <w:t>Cilj 1. Visoka i ujednačena razvijenost širokopojasnog pristupa internetu</w:t>
      </w:r>
    </w:p>
    <w:p w:rsidR="00505632" w:rsidRDefault="00505632" w:rsidP="00505632">
      <w:pPr>
        <w:pStyle w:val="Heading8"/>
        <w:jc w:val="left"/>
      </w:pPr>
      <w:r>
        <w:t>Opis provedbe cilja programa</w:t>
      </w:r>
    </w:p>
    <w:p w:rsidR="00505632" w:rsidRDefault="00505632" w:rsidP="00505632">
      <w:r>
        <w:t xml:space="preserve">Republika Hrvatska, unatoč brzom razvoju infrastrukture širokopojasnog pristupa, još uvijek ima značajan zaostatak gustoće širokopojasnih priključaka za prosjekom država članica Europske unije. Jedan od glavnih razloga zaostajanja u gustoći širokopojasnih priključaka je nedostatan i neravnomjeran razvoj širokopojasne infrastrukture, osobito u područjima u kojima ne postoji dostatan komercijalni interes za ulaganja u tu infrastrukturu.  </w:t>
      </w:r>
    </w:p>
    <w:p w:rsidR="00505632" w:rsidRDefault="00505632" w:rsidP="00505632">
      <w:r>
        <w:t xml:space="preserve">Izradom i provedbom treće u nizu sektorskih strategija razvoja širokopojasnog pristupa, koja će u potpunosti biti usklađena s ciljevima Digitalne agende za Europu u dijelu koji se odnosi na razvoj širokopojasnog pristupa i stvaranje okruženja za razvoj brzog i ultrabrzog pristupa internetu, ispunit će se jedan od tri preduvjeta za korištenje sredstava iz europskih strukturnih i investicijskih fondova za razdoblje 2014.-2020. u skladu s Operativnim programom "Konkurentnost i kohezija", u kojem su za Tematski cilj 2., Specifični cilj 2.1. "Razvoj širokopojasne infrastrukture mreža sljedeće generacije" osigurana sredstva u iznosu od oko 209 milijuna EUR.  </w:t>
      </w:r>
    </w:p>
    <w:p w:rsidR="00505632" w:rsidRDefault="00505632" w:rsidP="00505632">
      <w:r>
        <w:t xml:space="preserve">Strategijom razvoja širokopojasnog pristupa u Republici Hrvatskoj za razdoblje od 2016. do 2020. godine (NN br. 68/16.) stavlja se naglasak i na potrebu osiguranja dostupnosti širokopojasnog pristupa s brzinama većim od 100 Mbit/s, kako bi razvoj infrastrukture širokopojasnog pristupa pratio razvoj usluga i aplikacija kojima su za nesmetani rad potrebne brzine širokopojasnog pristupa veće od 100 Mbit/s. Na taj način stvaraju se preduvjeti za ubrzani razvoj infrastrukture širokopojasnog pristupa i usluga, kao temelja za ubrzani gospodarski rast i novo zapošljavanje u kontekstu razvoja digitalnog gospodarstva, koje može ostvariti konkurentne prednosti na jedinstvenom tržištu Europske unije.  </w:t>
      </w:r>
    </w:p>
    <w:p w:rsidR="00505632" w:rsidRDefault="00505632" w:rsidP="00505632">
      <w:r>
        <w:t xml:space="preserve">Razvoj širokopojasnih komunikacija omogućuje privlačenje novih ulaganja, otvaranje novih radnih mjesta te revitalizaciju pasivnih područja. Dostupnost širokopojasnih usluga jedan je od ključnih čimbenika koji lokalnoj i područnoj (regionalnoj) samoupravi omogućuje i olakšava privlačenje ulaganja, uvođenje rada na daljinu, podizanje konkurentnosti malog i srednjeg poduzetništva, poticanje gospodarskog razvoja ruralnih područja, djelotvornije i brže usluge zdravstvene skrbi, kvalitetnije obrazovanje te kvalitetnije i pristupačnije usluge javne uprave.  </w:t>
      </w:r>
    </w:p>
    <w:p w:rsidR="00505632" w:rsidRDefault="00505632" w:rsidP="00505632">
      <w:r>
        <w:t>Kako bi se ostvarili zadani ciljevi, izrađena su i dva nacionalna okvirna programa za razvoj širokopojasne infrastrukture i mreža sljedeće generacije (NGN mreža) u područjima u kojima ne postoji dostatan komercijalni interes za ulaganja – ONP program i NP-BBI program, koji su ujedno i programi državnih potpora. Za ONP program od Europske komisije dobiveno je odobrenje državne potpore, dok je NP-BBI program u postupku prednotifikacije te će nakon završetka tog postupka postati i formalni okvir za izgradnju agregacijske NGN mreže.</w:t>
      </w:r>
    </w:p>
    <w:p w:rsidR="00505632" w:rsidRDefault="00505632" w:rsidP="00505632">
      <w:pPr>
        <w:pStyle w:val="Heading8"/>
        <w:jc w:val="left"/>
      </w:pPr>
      <w:r>
        <w:t>Cilj 2. Visoka kvaliteta i razvijeno tržište poštanskih usluga</w:t>
      </w:r>
    </w:p>
    <w:p w:rsidR="00505632" w:rsidRDefault="00505632" w:rsidP="00505632">
      <w:pPr>
        <w:pStyle w:val="Heading8"/>
        <w:jc w:val="left"/>
      </w:pPr>
      <w:r>
        <w:t>Opis provedbe cilja programa</w:t>
      </w:r>
    </w:p>
    <w:p w:rsidR="00505632" w:rsidRDefault="00505632" w:rsidP="00505632">
      <w:r>
        <w:t xml:space="preserve">Zakonom o poštanskim uslugama (NN br. 144/12., 153/13. i 78/15.) osigurana je potpuna liberalizacija tržišta poštanskih usluga u Republici Hrvatskoj od 1. siječnja 2013. godine, a HP – Hrvatska pošta d.d. tim je Zakonom stekla pravo i obvezu obavljanja univerzalne (poštanske) usluge u trajanju od 15 godina (od dana stupanja na snagu Zakona). Hrvatska regulatorna agencija za mrežne djelatnosti (HAKOM) obvezna je svakih pet godina provesti analizu stanja na tržištu poštanskih usluga radi utvrđivanja postoje li davatelji poštanskih usluga koji mogu osigurati obavljanje univerzalne usluge, te ako utvrdi njihovo postojanje, provesti postupak javnog natječaja.  </w:t>
      </w:r>
    </w:p>
    <w:p w:rsidR="00505632" w:rsidRDefault="00505632" w:rsidP="00505632">
      <w:r>
        <w:t xml:space="preserve">Osiguranje visoke razine pružanja univerzalne usluge po pristupačnoj cijeni svim korisnicima poštanskih usluga na cijelom području države te uspostava usklađenih načela regulacije u uvjetima liberaliziranog tržišta pridonijet će tržišnom natjecanju u području poštanskih usluga. Time se stvaraju preduvjeti za daljnji razvoj konkurentnog i dinamičnog tržišta poštanskih usluga, što će potaknuti otvaranje novoga investicijskog ciklusa, osobito u nove i inovativne usluge na poštanskom tržištu, kakve poznaju i razvijena tržišta država članica EU.  </w:t>
      </w:r>
    </w:p>
    <w:p w:rsidR="00505632" w:rsidRDefault="00505632" w:rsidP="00505632">
      <w:r>
        <w:t xml:space="preserve">Strategijom razvoja tržišta poštanskih usluga u Republici Hrvatskoj do 2020. godine (NN br. 125/15.) utvrđena su osnovna načela i smjernice razvoja nacionalnog tržišta poštanskih usluga u razdoblju do 2020. godine, kao i nacionalni prioriteti u razvoju poštanskih usluga i djelatnosti, a u skladu s ciljevima Strategije Europa 2020, važećim direktivama Europske unije i aktima Svjetske poštanske unije. Konkretne mjere i aktivnosti, usmjerene ostvarivanju strateških ciljeva, sadržane su u Akcijskom planu provedbe Strategije, zajedno s rokovima njihove provedbe, potrebnim sredstvima i pokazateljima uspješnosti provedbe te nositeljima provedbe pojedinih mjera i aktivnosti, koje čine nadležna tijela državne uprave, nacionalna regulatorna tijela, davatelj univerzalne usluge (HP – Hrvatska pošta d.d.) i drugi davatelji poštanskih usluga, te ostali dionici na tržištu poštanskih usluga. </w:t>
      </w:r>
    </w:p>
    <w:p w:rsidR="00505632" w:rsidRDefault="00505632" w:rsidP="00505632">
      <w:r>
        <w:t xml:space="preserve">Statističke podatke o tržištu elektroničkih komunikacija i poštanskih usluga prikuplja i analizira HAKOM, te ih objavljuje na svojim internetskim stranicama: https://www.hakom.hr/default.aspx?id=60 . </w:t>
      </w:r>
    </w:p>
    <w:p w:rsidR="00505632" w:rsidRDefault="00505632" w:rsidP="00505632">
      <w:r>
        <w:t xml:space="preserve">Za polaznu vrijednost pokazatelja učinka ovog cilja uzeta je zaokružena prosječna vrijednost (22,5%) za 2015. godinu (naime, prema podacima HAKOM-a, prosječna vrijednost za 2015. godinu iznosila je 22,3 %, a po tromjesečjima kako slijedi: I.: 27,5%, II.: 24,1%, III.: 18,4% i IV.: 19,1%), iz čega je vidljivo da je u drugom polugodištu, s obzirom na konsolidaciju tržišta, vrijednost bila u rasponu od 18% do 20%. </w:t>
      </w:r>
    </w:p>
    <w:p w:rsidR="00505632" w:rsidRDefault="00505632" w:rsidP="00505632">
      <w:r>
        <w:t xml:space="preserve">Prema podacima HAKOM-a prosječna vrijednost za 2016. godinu iznosila je 19,5% (a po tromjesečjima kako slijedi: I.: 18,5%, II.: 19,7%, III.: 20,6% i IV.: 19%). </w:t>
      </w:r>
    </w:p>
    <w:p w:rsidR="00505632" w:rsidRDefault="00505632" w:rsidP="00505632">
      <w:r>
        <w:t>Tijekom trećeg tromjesečja 2016. godine na tržištu poštanskih usluga pojavio se jedan novi davatelj usluga, tako da ih je sada ukupno 23 (krajem 2015. bilo ih je 22). Vodeći davatelj usluga je HP-Hrvatska pošta d.d. čiji prosječni udjel za 2016. godinu iznosi 80,5%.</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Dostupnost NGA širokopojasog pristupa (postotak kućanstava sa širokopojasnim pristupom brzine veće od 30 Mbit/s)</w:t>
            </w:r>
          </w:p>
        </w:tc>
        <w:tc>
          <w:tcPr>
            <w:tcW w:w="2551" w:type="dxa"/>
          </w:tcPr>
          <w:p w:rsidR="00505632" w:rsidRDefault="00505632" w:rsidP="00AD4E52">
            <w:pPr>
              <w:pStyle w:val="CellColumn"/>
              <w:jc w:val="left"/>
            </w:pPr>
            <w:r>
              <w:rPr>
                <w:rFonts w:cs="Times New Roman"/>
              </w:rPr>
              <w:t>Povećanjem broja kućanstava kojima je omogućen širokopojasni pristup od najmanje 30 Mbit/s stvorit će se uvjeti za ujednačeni razvoj i smanjenje digitalnog jaza (godišnja vrijednost)</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47,5</w:t>
            </w:r>
          </w:p>
        </w:tc>
        <w:tc>
          <w:tcPr>
            <w:tcW w:w="1020" w:type="dxa"/>
          </w:tcPr>
          <w:p w:rsidR="00505632" w:rsidRDefault="00505632" w:rsidP="00AD4E52">
            <w:pPr>
              <w:pStyle w:val="CellColumn"/>
              <w:jc w:val="right"/>
            </w:pPr>
            <w:r>
              <w:rPr>
                <w:rFonts w:cs="Times New Roman"/>
              </w:rPr>
              <w:t>HAKOM</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60</w:t>
            </w:r>
          </w:p>
        </w:tc>
      </w:tr>
      <w:tr w:rsidR="00505632" w:rsidTr="00AD4E52">
        <w:trPr>
          <w:jc w:val="center"/>
        </w:trPr>
        <w:tc>
          <w:tcPr>
            <w:tcW w:w="2551" w:type="dxa"/>
          </w:tcPr>
          <w:p w:rsidR="00505632" w:rsidRDefault="00505632" w:rsidP="00AD4E52">
            <w:pPr>
              <w:pStyle w:val="CellColumn"/>
              <w:jc w:val="left"/>
            </w:pPr>
            <w:r>
              <w:rPr>
                <w:rFonts w:cs="Times New Roman"/>
              </w:rPr>
              <w:t>Tržišni udjel ostalih davatelja poštanskih usluga u ukupnom broju ostvarenih poštanskih usluga</w:t>
            </w:r>
          </w:p>
        </w:tc>
        <w:tc>
          <w:tcPr>
            <w:tcW w:w="2551" w:type="dxa"/>
          </w:tcPr>
          <w:p w:rsidR="00505632" w:rsidRDefault="00505632" w:rsidP="00AD4E52">
            <w:pPr>
              <w:pStyle w:val="CellColumn"/>
              <w:jc w:val="left"/>
            </w:pPr>
            <w:r>
              <w:rPr>
                <w:rFonts w:cs="Times New Roman"/>
              </w:rPr>
              <w:t>Tržišni udjel ostalih davatelja poštanskih usluga u ukupnom broju ostvarenih poštanskih usluga pokazatelj je razvijenosti tržišta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22,5</w:t>
            </w:r>
          </w:p>
        </w:tc>
        <w:tc>
          <w:tcPr>
            <w:tcW w:w="1020" w:type="dxa"/>
          </w:tcPr>
          <w:p w:rsidR="00505632" w:rsidRDefault="00505632" w:rsidP="00AD4E52">
            <w:pPr>
              <w:pStyle w:val="CellColumn"/>
              <w:jc w:val="right"/>
            </w:pPr>
            <w:r>
              <w:rPr>
                <w:rFonts w:cs="Times New Roman"/>
              </w:rPr>
              <w:t>HAKOM</w:t>
            </w:r>
          </w:p>
        </w:tc>
        <w:tc>
          <w:tcPr>
            <w:tcW w:w="1020" w:type="dxa"/>
          </w:tcPr>
          <w:p w:rsidR="00505632" w:rsidRDefault="00505632" w:rsidP="00AD4E52">
            <w:pPr>
              <w:pStyle w:val="CellColumn"/>
              <w:jc w:val="right"/>
            </w:pPr>
            <w:r>
              <w:rPr>
                <w:rFonts w:cs="Times New Roman"/>
              </w:rPr>
              <w:t>22,5</w:t>
            </w:r>
          </w:p>
        </w:tc>
        <w:tc>
          <w:tcPr>
            <w:tcW w:w="1020" w:type="dxa"/>
          </w:tcPr>
          <w:p w:rsidR="00505632" w:rsidRDefault="00505632" w:rsidP="00AD4E52">
            <w:pPr>
              <w:pStyle w:val="CellColumn"/>
              <w:jc w:val="right"/>
            </w:pPr>
            <w:r>
              <w:rPr>
                <w:rFonts w:cs="Times New Roman"/>
              </w:rPr>
              <w:t>19,5</w:t>
            </w:r>
          </w:p>
        </w:tc>
      </w:tr>
    </w:tbl>
    <w:p w:rsidR="00505632" w:rsidRDefault="00505632" w:rsidP="00505632">
      <w:pPr>
        <w:jc w:val="left"/>
      </w:pPr>
    </w:p>
    <w:p w:rsidR="00505632" w:rsidRDefault="00505632" w:rsidP="00505632">
      <w:pPr>
        <w:pStyle w:val="Heading4"/>
      </w:pPr>
      <w:r>
        <w:t>A570340 RAZVOJ ELEKTRONIČKIH KOMUNIKACIJA, INFORMACIJSKOG DRUŠTVA I POŠTANSKIH USLUGA</w:t>
      </w:r>
    </w:p>
    <w:tbl>
      <w:tblPr>
        <w:tblStyle w:val="StilTablice"/>
        <w:tblW w:w="10206" w:type="dxa"/>
        <w:jc w:val="center"/>
        <w:tblLook w:val="04A0" w:firstRow="1" w:lastRow="0" w:firstColumn="1" w:lastColumn="0" w:noHBand="0" w:noVBand="1"/>
      </w:tblPr>
      <w:tblGrid>
        <w:gridCol w:w="1860"/>
        <w:gridCol w:w="1974"/>
        <w:gridCol w:w="1974"/>
        <w:gridCol w:w="1974"/>
        <w:gridCol w:w="1209"/>
        <w:gridCol w:w="1215"/>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A570340-RAZVOJ ELEKTRONIČKIH KOMUNIKACIJA, INFORMACIJSKOG DRUŠTVA I POŠTANSKIH USLUGA</w:t>
            </w:r>
          </w:p>
        </w:tc>
        <w:tc>
          <w:tcPr>
            <w:tcW w:w="2041" w:type="dxa"/>
          </w:tcPr>
          <w:p w:rsidR="00505632" w:rsidRDefault="00505632" w:rsidP="00AD4E52">
            <w:pPr>
              <w:pStyle w:val="CellColumn"/>
              <w:jc w:val="right"/>
            </w:pPr>
            <w:r>
              <w:rPr>
                <w:rFonts w:cs="Times New Roman"/>
              </w:rPr>
              <w:t>1.371.932</w:t>
            </w:r>
          </w:p>
        </w:tc>
        <w:tc>
          <w:tcPr>
            <w:tcW w:w="2041" w:type="dxa"/>
          </w:tcPr>
          <w:p w:rsidR="00505632" w:rsidRDefault="00505632" w:rsidP="00AD4E52">
            <w:pPr>
              <w:pStyle w:val="CellColumn"/>
              <w:jc w:val="right"/>
            </w:pPr>
            <w:r>
              <w:rPr>
                <w:rFonts w:cs="Times New Roman"/>
              </w:rPr>
              <w:t>1.280.000</w:t>
            </w:r>
          </w:p>
        </w:tc>
        <w:tc>
          <w:tcPr>
            <w:tcW w:w="2041" w:type="dxa"/>
          </w:tcPr>
          <w:p w:rsidR="00505632" w:rsidRDefault="00505632" w:rsidP="00AD4E52">
            <w:pPr>
              <w:pStyle w:val="CellColumn"/>
              <w:jc w:val="right"/>
            </w:pPr>
            <w:r>
              <w:rPr>
                <w:rFonts w:cs="Times New Roman"/>
              </w:rPr>
              <w:t>1.249.307</w:t>
            </w:r>
          </w:p>
        </w:tc>
        <w:tc>
          <w:tcPr>
            <w:tcW w:w="1224" w:type="dxa"/>
          </w:tcPr>
          <w:p w:rsidR="00505632" w:rsidRDefault="00505632" w:rsidP="00AD4E52">
            <w:pPr>
              <w:pStyle w:val="CellColumn"/>
              <w:jc w:val="right"/>
            </w:pPr>
            <w:r>
              <w:rPr>
                <w:rFonts w:cs="Times New Roman"/>
              </w:rPr>
              <w:t>97,6</w:t>
            </w:r>
          </w:p>
        </w:tc>
        <w:tc>
          <w:tcPr>
            <w:tcW w:w="1224" w:type="dxa"/>
          </w:tcPr>
          <w:p w:rsidR="00505632" w:rsidRDefault="00505632" w:rsidP="00AD4E52">
            <w:pPr>
              <w:pStyle w:val="CellColumn"/>
              <w:jc w:val="right"/>
            </w:pPr>
            <w:r>
              <w:rPr>
                <w:rFonts w:cs="Times New Roman"/>
              </w:rPr>
              <w:t>91,1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Uredba o potvrđivanju (ratifikaciji) Statuta i Konvencije Međunarodne udruge za telekomunikacije potpisanih u Ženevi, 22. prosinca 1992. godine (NN-MU br. 9/94.), </w:t>
      </w:r>
    </w:p>
    <w:p w:rsidR="00505632" w:rsidRDefault="00505632" w:rsidP="00505632">
      <w:r>
        <w:t xml:space="preserve">- Zakon o potvrđivanju Instrumenta kojim se mijenja i dopunjuje Konvencija o uspostavljanju Europskog ureda za radiokomunikacije (ERO) (NN-MU br. 8/07.), </w:t>
      </w:r>
    </w:p>
    <w:p w:rsidR="00505632" w:rsidRDefault="00505632" w:rsidP="00505632">
      <w:r>
        <w:t xml:space="preserve">- Zakon o elektroničkim komunikacijama (NN br. 73/08., 90/11., 133/12., 80/13. i 71/14.) – članak 24. stavak 2., </w:t>
      </w:r>
    </w:p>
    <w:p w:rsidR="00505632" w:rsidRDefault="00505632" w:rsidP="00505632">
      <w:r>
        <w:t>- Zakon o potvrđivanju Prvog dodatnog protokola uz Opća pravila Svjetske poštanske unije (NN-MU br. 1/11.).</w:t>
      </w:r>
    </w:p>
    <w:p w:rsidR="00505632" w:rsidRDefault="00505632" w:rsidP="00505632">
      <w:pPr>
        <w:pStyle w:val="Heading8"/>
        <w:jc w:val="left"/>
      </w:pPr>
      <w:r>
        <w:t>Opis aktivnosti</w:t>
      </w:r>
    </w:p>
    <w:p w:rsidR="00505632" w:rsidRDefault="00505632" w:rsidP="00505632">
      <w:r>
        <w:t xml:space="preserve">Sredstva su korištena za intelektualne i osobne usluge (72.577,32 kuna), za članstvo u međunarodnim organizacijama nadležnima za elektroničke komunikacije i poštanske usluge (1.106.729,68 kuna), te za tekuće donacije u novcu (70.000,00 kuna). </w:t>
      </w:r>
    </w:p>
    <w:p w:rsidR="00505632" w:rsidRDefault="00505632" w:rsidP="00505632">
      <w:r>
        <w:t xml:space="preserve">Isplaćena sredstva za intelektualne i osobne usluge korištena su za usluge vanjske suradnice prema Ugovoru o djelu. </w:t>
      </w:r>
    </w:p>
    <w:p w:rsidR="00505632" w:rsidRDefault="00505632" w:rsidP="00505632">
      <w:r>
        <w:t xml:space="preserve">Za međunarodne članarine isplaćeno je 1.106.729,68 kuna i to za: </w:t>
      </w:r>
    </w:p>
    <w:p w:rsidR="00505632" w:rsidRDefault="00505632" w:rsidP="00505632">
      <w:r>
        <w:t xml:space="preserve">- ITU – Međunarodna telekomunikacijska unija (International Telecommunication Union) – iznos godišnje članarine: 550.716,05 kn (protuvrijednost 79.500,00 CHF). Najvažnije zadaće ITU-a su namjena radiofrekvencijskog spektra i satelitskih orbita na globalnoj razini, normizacija u području komunikacijskih mreža i tehnologija te sveukupni razvoj ICT-a u svijetu. </w:t>
      </w:r>
    </w:p>
    <w:p w:rsidR="00505632" w:rsidRDefault="00505632" w:rsidP="00505632">
      <w:r>
        <w:t xml:space="preserve">- ECO – Europski komunikacijski ured (European Communications Office) – iznos godišnje članarine: 64.738,30 kn (protuvrijednost 64.466,00 DKK) </w:t>
      </w:r>
    </w:p>
    <w:p w:rsidR="00505632" w:rsidRDefault="00505632" w:rsidP="00505632">
      <w:r>
        <w:t xml:space="preserve">- ETSI – Europski institut za telekomunikacijske norme (European Telecommunications Standards Institute) – iznos godišnje članarine za 2016.: 91.929,55 kn (protuvrijednost 12.040,00 EUR), i za 2017.: 96.113,91 kn (protuvrijednost 12.760,00 EUR). Republika Hrvatska, kao članica ETSI-ja, ostvaruje uvid u sve telekomunikacijske norme te ima pravo sudjelovati u pripremi i razvoju tih norma. </w:t>
      </w:r>
    </w:p>
    <w:p w:rsidR="00505632" w:rsidRDefault="00505632" w:rsidP="00505632">
      <w:r>
        <w:t xml:space="preserve">- UPU – Svjetska poštanska unija (Universal Postal Union) – iznos godišnje članarine: 289.436,48 kn (protuvrijednost 41.770,00 CHF); troškovi prijevoda: 13.795,39 kn (protuvrijednost 1.986,54 CHF). Zadaća UPU-a je savjetovanje, posredovanje i povezivanje svih sudionika poštanskog sektora na globalnoj razini te pružanje tehničke pomoći, kao i utvrđivanje pravila za međunarodnu razmjenu poštanskih pošiljaka, poticanje razvoja poštanskog prometa i poboljšanje kakvoće poštanskih usluga. </w:t>
      </w:r>
    </w:p>
    <w:p w:rsidR="00505632" w:rsidRDefault="00505632" w:rsidP="00505632">
      <w:r>
        <w:t xml:space="preserve">Isplaćena sredstva za tekuće donacije u novcu korištena su za: </w:t>
      </w:r>
    </w:p>
    <w:p w:rsidR="00505632" w:rsidRDefault="00505632" w:rsidP="00505632">
      <w:r>
        <w:t xml:space="preserve">- suorganizaciju 39. Međunarodnog znanstveno-stručnog i tehnološkog skupa MIPRO 2016., koji je najveći skup u Republici Hrvatskoj u području informacijskih i komunikacijskih tehnologija, elektronike i mikroelektronike (40.000,00 kn) </w:t>
      </w:r>
    </w:p>
    <w:p w:rsidR="00505632" w:rsidRDefault="00505632" w:rsidP="00505632">
      <w:r>
        <w:t>- suorganizaciju i pokroviteljstvo 58. Međunarodnog simpozija "Elektronika u pomorstvu – ELMAR 2016.", znanstvene konferencije u području multimedijskih komunikacija, obrade slike i video signala, navigacijskih sustava, obrade govora i zvuka, telekomunikacija, radijskih komunikacija te elektronike u pomorstvu (30.000,00 kn).</w:t>
      </w:r>
    </w:p>
    <w:p w:rsidR="00505632" w:rsidRDefault="00505632" w:rsidP="00505632">
      <w:pPr>
        <w:pStyle w:val="Heading4"/>
      </w:pPr>
      <w:r>
        <w:t>A754032 NAKNADA KOJA SE DODJELJUJE PODUZETNICIMA KOJIMA JE POVJERENO OBAVLJANJE UNIVERZALNE POŠTANSKE USLUGE</w:t>
      </w:r>
    </w:p>
    <w:tbl>
      <w:tblPr>
        <w:tblStyle w:val="StilTablice"/>
        <w:tblW w:w="10206" w:type="dxa"/>
        <w:jc w:val="center"/>
        <w:tblLook w:val="04A0" w:firstRow="1" w:lastRow="0" w:firstColumn="1" w:lastColumn="0" w:noHBand="0" w:noVBand="1"/>
      </w:tblPr>
      <w:tblGrid>
        <w:gridCol w:w="1759"/>
        <w:gridCol w:w="2004"/>
        <w:gridCol w:w="2004"/>
        <w:gridCol w:w="2005"/>
        <w:gridCol w:w="1215"/>
        <w:gridCol w:w="121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A754032-NAKNADA KOJA SE DODJELJUJE PODUZETNICIMA KOJIMA JE POVJERENO OBAVLJANJE UNIVERZALNE POŠTANSKE USLUGE</w:t>
            </w:r>
          </w:p>
        </w:tc>
        <w:tc>
          <w:tcPr>
            <w:tcW w:w="2041" w:type="dxa"/>
          </w:tcPr>
          <w:p w:rsidR="00505632" w:rsidRDefault="00505632" w:rsidP="00AD4E52">
            <w:pPr>
              <w:pStyle w:val="CellColumn"/>
              <w:jc w:val="right"/>
            </w:pPr>
            <w:r>
              <w:rPr>
                <w:rFonts w:cs="Times New Roman"/>
              </w:rPr>
              <w:t>81.796.754</w:t>
            </w:r>
          </w:p>
        </w:tc>
        <w:tc>
          <w:tcPr>
            <w:tcW w:w="2041" w:type="dxa"/>
          </w:tcPr>
          <w:p w:rsidR="00505632" w:rsidRDefault="00505632" w:rsidP="00AD4E52">
            <w:pPr>
              <w:pStyle w:val="CellColumn"/>
              <w:jc w:val="right"/>
            </w:pPr>
            <w:r>
              <w:rPr>
                <w:rFonts w:cs="Times New Roman"/>
              </w:rPr>
              <w:t>79.063.000</w:t>
            </w:r>
          </w:p>
        </w:tc>
        <w:tc>
          <w:tcPr>
            <w:tcW w:w="2041" w:type="dxa"/>
          </w:tcPr>
          <w:p w:rsidR="00505632" w:rsidRDefault="00505632" w:rsidP="00AD4E52">
            <w:pPr>
              <w:pStyle w:val="CellColumn"/>
              <w:jc w:val="right"/>
            </w:pPr>
            <w:r>
              <w:rPr>
                <w:rFonts w:cs="Times New Roman"/>
              </w:rPr>
              <w:t>79.062.286</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96,7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poštanskim uslugama (NN br. 144/12., 153/13. i 78/15.), </w:t>
      </w:r>
    </w:p>
    <w:p w:rsidR="00505632" w:rsidRDefault="00505632" w:rsidP="00505632">
      <w:r>
        <w:t>- Odluka Vijeća HAKOM-a, KLASA: UP/I-344-02/16-06/01, URBROJ: 376-06/16-7, od 11. listopada 2016. godine</w:t>
      </w:r>
    </w:p>
    <w:p w:rsidR="00505632" w:rsidRDefault="00505632" w:rsidP="00505632">
      <w:pPr>
        <w:pStyle w:val="Heading8"/>
        <w:jc w:val="left"/>
      </w:pPr>
      <w:r>
        <w:t>Opis aktivnosti</w:t>
      </w:r>
    </w:p>
    <w:p w:rsidR="00505632" w:rsidRDefault="00505632" w:rsidP="00505632">
      <w:r>
        <w:t xml:space="preserve">Zakonom o poštanskim uslugama propisano je obavljanje univerzalne (poštanske) usluge kao usluge od interesa za Republiku Hrvatsku, pa se u skladu s tim univerzalna usluga smatra uslugom od općeg gospodarskog interesa. Odredbom članka 67. stavka 2. tog Zakona HP – Hrvatska pošta d.d. stekla je pravo i obvezu obavljanja univerzalne usluge u trajanju od 15 godina (od dana stupanja na snagu Zakona), a Hrvatska regulatorna agencija za mrežne djelatnosti (HAKOM) obvezna je svakih pet godina provesti analizu stanja na tržištu poštanskih usluga radi utvrđivanja postoje li davatelji poštanskih usluga koji mogu osigurati obavljanje univerzalne usluge, te ako utvrdi njihovo postojanje, mora provesti postupak javnog natječaja. </w:t>
      </w:r>
    </w:p>
    <w:p w:rsidR="00505632" w:rsidRDefault="00505632" w:rsidP="00505632">
      <w:r>
        <w:t>Zakonom o poštanskim uslugama propisan je i postupak naknade nepravednog financijskog opterećenja ako obveza pružanja univerzalne usluge za davatelja te usluge stvara neto trošak. HAKOM svojom odlukom utvrđuje iznos neto troška koji predstavlja nepravedno financijsko opterećenje davatelja univerzalne usluge, a koji se, na temelju članka 48. stavka 5. navedenog Zakona, isplaćuje iz sredstava državnog proračuna RH, u skladu s pravilima o državnim potporama. Ministarstvo mora, prometa i infrastrukture je davatelj državne potpore te je izradilo Program državne potpore HP – Hrvatskoj pošti d.d. u obliku naknade za obavljanje univerzalne usluge od 2014. do 2018. godine, na koji je Ministarstvo financija dalo suglasnost. Temeljem Odluke Vijeća HAKOM-a, kojom je utvrđeno da iznos od 79.062.286,00 kuna predstavlja nepravedno financijsko opterećenje za davatelja univerzalne usluge, HP – Hrvatsku poštu d.d. u 2015. godini i u skladu s Programom državnih potpora od 2014. do 2018. godine, isplaćen je utvrđeni iznos davatelju univerzalne usluge.</w:t>
      </w:r>
    </w:p>
    <w:p w:rsidR="00505632" w:rsidRDefault="00505632" w:rsidP="00505632">
      <w:pPr>
        <w:pStyle w:val="Heading4"/>
      </w:pPr>
      <w:r>
        <w:t>A820032 POTICANJE RAZVOJA ŠIROKOPOJASNOG PRISTUPA INTERNETU</w:t>
      </w:r>
    </w:p>
    <w:tbl>
      <w:tblPr>
        <w:tblStyle w:val="StilTablice"/>
        <w:tblW w:w="10206" w:type="dxa"/>
        <w:jc w:val="center"/>
        <w:tblLook w:val="04A0" w:firstRow="1" w:lastRow="0" w:firstColumn="1" w:lastColumn="0" w:noHBand="0" w:noVBand="1"/>
      </w:tblPr>
      <w:tblGrid>
        <w:gridCol w:w="1881"/>
        <w:gridCol w:w="1969"/>
        <w:gridCol w:w="1964"/>
        <w:gridCol w:w="1969"/>
        <w:gridCol w:w="1208"/>
        <w:gridCol w:w="1215"/>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A820032-POTICANJE RAZVOJA ŠIROKOPOJASNOG PRISTUPA INTERNETU</w:t>
            </w:r>
          </w:p>
        </w:tc>
        <w:tc>
          <w:tcPr>
            <w:tcW w:w="2041" w:type="dxa"/>
          </w:tcPr>
          <w:p w:rsidR="00505632" w:rsidRDefault="00505632" w:rsidP="00AD4E52">
            <w:pPr>
              <w:pStyle w:val="CellColumn"/>
              <w:jc w:val="right"/>
            </w:pPr>
            <w:r>
              <w:rPr>
                <w:rFonts w:cs="Times New Roman"/>
              </w:rPr>
              <w:t>187.995</w:t>
            </w:r>
          </w:p>
        </w:tc>
        <w:tc>
          <w:tcPr>
            <w:tcW w:w="2041" w:type="dxa"/>
          </w:tcPr>
          <w:p w:rsidR="00505632" w:rsidRDefault="00505632" w:rsidP="00AD4E52">
            <w:pPr>
              <w:pStyle w:val="CellColumn"/>
              <w:jc w:val="right"/>
            </w:pPr>
            <w:r>
              <w:rPr>
                <w:rFonts w:cs="Times New Roman"/>
              </w:rPr>
              <w:t>450.000</w:t>
            </w:r>
          </w:p>
        </w:tc>
        <w:tc>
          <w:tcPr>
            <w:tcW w:w="2041" w:type="dxa"/>
          </w:tcPr>
          <w:p w:rsidR="00505632" w:rsidRDefault="00505632" w:rsidP="00AD4E52">
            <w:pPr>
              <w:pStyle w:val="CellColumn"/>
              <w:jc w:val="right"/>
            </w:pPr>
            <w:r>
              <w:rPr>
                <w:rFonts w:cs="Times New Roman"/>
              </w:rPr>
              <w:t>163.888</w:t>
            </w:r>
          </w:p>
        </w:tc>
        <w:tc>
          <w:tcPr>
            <w:tcW w:w="1224" w:type="dxa"/>
          </w:tcPr>
          <w:p w:rsidR="00505632" w:rsidRDefault="00505632" w:rsidP="00AD4E52">
            <w:pPr>
              <w:pStyle w:val="CellColumn"/>
              <w:jc w:val="right"/>
            </w:pPr>
            <w:r>
              <w:rPr>
                <w:rFonts w:cs="Times New Roman"/>
              </w:rPr>
              <w:t>36,4</w:t>
            </w:r>
          </w:p>
        </w:tc>
        <w:tc>
          <w:tcPr>
            <w:tcW w:w="1224" w:type="dxa"/>
          </w:tcPr>
          <w:p w:rsidR="00505632" w:rsidRDefault="00505632" w:rsidP="00AD4E52">
            <w:pPr>
              <w:pStyle w:val="CellColumn"/>
              <w:jc w:val="right"/>
            </w:pPr>
            <w:r>
              <w:rPr>
                <w:rFonts w:cs="Times New Roman"/>
              </w:rPr>
              <w:t>87,2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elektroničkim komunikacijama (NN br. 73/08., 90/11., 133/12., 80/13. i 71/14.), </w:t>
      </w:r>
    </w:p>
    <w:p w:rsidR="00505632" w:rsidRDefault="00505632" w:rsidP="00505632">
      <w:r>
        <w:t xml:space="preserve">- Strategija razvoja širokopojasnog pristupa u Republici Hrvatskoj u razdoblju od 2016. do 2020. godine (NN br. 68/16.), </w:t>
      </w:r>
    </w:p>
    <w:p w:rsidR="00505632" w:rsidRDefault="00505632" w:rsidP="00505632">
      <w:r>
        <w:t>- Okvirni nacionalni program za razvoj infrastrukture širokopojasnog pristupa u područjima u kojima ne postoji dostatan komercijalni interes za ulaganja (NN br. 68/16.).</w:t>
      </w:r>
    </w:p>
    <w:p w:rsidR="00505632" w:rsidRDefault="00505632" w:rsidP="00505632">
      <w:pPr>
        <w:pStyle w:val="Heading8"/>
        <w:jc w:val="left"/>
      </w:pPr>
      <w:r>
        <w:t>Opis aktivnosti</w:t>
      </w:r>
    </w:p>
    <w:p w:rsidR="00505632" w:rsidRDefault="00505632" w:rsidP="00505632">
      <w:r>
        <w:t xml:space="preserve">Donošenje i provedba Strategije razvoja širokopojasnog pristupa u Republici Hrvatskoj za razdoblje od 2016. do 2020. godine. Provedba aktivnosti iz Akcijskog plana provedbe Strategije u 2016. godini odnosi se na:  </w:t>
      </w:r>
    </w:p>
    <w:p w:rsidR="00505632" w:rsidRDefault="00505632" w:rsidP="00505632">
      <w:r>
        <w:t xml:space="preserve">- u skladu s mjerom br. 11. Strategije "Povećanje investicijskog potencijala privatnog sektora" izrađena je Analiza utjecaja propisane visine naknada na investicijski potencijal privatnog sektora za razvoj širokopojasnih mreža sljedeće generacije (Faza 1. – Analiza naknada i njihovog utjecaja). Za usluge izrade navedene analize isplaćeno je 98.750,00 kuna tvrtki BDO savjetovanje d.o.o., Zagreb. </w:t>
      </w:r>
    </w:p>
    <w:p w:rsidR="00505632" w:rsidRDefault="00505632" w:rsidP="00505632">
      <w:r>
        <w:t xml:space="preserve">- u skladu s mjerom br. 9. Strategije "Provedba Nacionalnog programa razvoja širokopojasne agregacijske infrastrukture (NP-BBI) " sredstva su korištena za savjetodavne usluge koje je pružao Lator d.o.o., Zagreb u vezi s promjenom i nadopunom dokumentacije za Glavnu upravu za tržišno natjecanje Europske komisije u postupku prednotifikacije Nacionalnog programa razvoja širokopojasne agregacijske infrastrukture u područjima u kojima ne postoji dostatan komercijalni interes za ulaganja (NP-BBI program) (24.812,50 kuna), te za savjetodavne usluge oko podrške u drugom javnom savjetovanju o NP-BBI programu (23.000,00 kuna). </w:t>
      </w:r>
    </w:p>
    <w:p w:rsidR="00505632" w:rsidRDefault="00505632" w:rsidP="00505632">
      <w:r>
        <w:t xml:space="preserve">- u skladu s mjerom br. 2. Strategije "Promocija svih društvenih i ekonomskih koristi vezanih uz dostupnost širokopojasnog pristupa velikih brzina" sredstva su korištena za usluge tiskanja 300 primjeraka brošure "Nacionalni širokopojasni (NGN) plan Republike Hrvatske 2016. – 2020.". Za usluge tiskanja navedene brošure isplaćeno je 17.325,00 kuna tvrtki BRUNA SAMOBOR d.o.o. </w:t>
      </w:r>
    </w:p>
    <w:p w:rsidR="00505632" w:rsidRDefault="00505632" w:rsidP="00505632">
      <w:r>
        <w:t xml:space="preserve">Sredstva s ove aktivnosti utrošena su za intelektualne i osobne usluge (146.562,50 kuna), te za ostale usluge (17.325,00 kuna). </w:t>
      </w:r>
    </w:p>
    <w:p w:rsidR="00505632" w:rsidRDefault="00505632" w:rsidP="00505632">
      <w:r>
        <w:t xml:space="preserve">Prema podacima Europske komisije (Digital Scoreboard) vrijednost pokazatelja rezultata (postotak od ukupnog broja kućanstva koji su korisnici usluge pristupa internetu brzinom većom od 100 Mbit/s-nepokretna mreža) za 2016. godinu je 1%, a prema podacima HAKOM-a (za treće tromjesečje 2016. – Q3 2016.) vrijednost je 0,68%. </w:t>
      </w:r>
    </w:p>
    <w:p w:rsidR="00505632" w:rsidRDefault="00505632" w:rsidP="00505632">
      <w:r>
        <w:t xml:space="preserve">Europska komisija (EK) objavila je indeks gospodarske i društvene digitalizacije (Digital Economy and Society Index – DESI) za 2017. godinu. DESI je složeni pokazatelj gospodarske i društvene digitalizacije koji je razvila EK u svrhu ocjenjivanja razvoja država članica EU-a u području digitalizacije gospodarstva i društva u cjelini. </w:t>
      </w:r>
    </w:p>
    <w:p w:rsidR="00505632" w:rsidRDefault="00505632" w:rsidP="00505632">
      <w:r>
        <w:t>Usluge širokopojasnog pristupa u RH iskazane u DESI indeksu skuplje su u odnosu na ostale države članice EU-a budući da se stavljaju u omjer s kupovnom moći građana. Prema metodologiji DESI indeksa uspoređuju se cijene pristupa internetu u kojima je iskazan porez na dodanu vrijednost te mjerene paritetom kupovne moći, s ukupnim dohotkom. Konkretno, za nepokretni širokopojasni pristup internetu u Hrvatskoj je potrebno izdvojiti 2,9% prosječnog bruto prihoda u odnosu na EU prosjek koji iznosi 1,2%. Iz navedenog proizlazi da, iako postoji temelj u smislu korištenja interneta i pokrivenosti mrežama, kako bi se ostvario značajan napredak na navedenoj ljestvici, moraju se provesti sveobuhvatne politike u smislu smanjenja prepreka ulaganjima za daljnju gradnju širokopojasnih mreža, provesti Nacionalni širokopojasni (NGN) plan, koji predviđa izgradnju NGN mreža u ruralnim područjima RH sufinanciranjem iz ESI fondova, povećanje BDP-a po stanovniku i kupovne moći građana kako bi bili motivirani za korištenje naprednih usluga, te povećanje broja usluga za koje su potrebne velike brzine pristupa.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postotka od ukupnog broja kućanstava koji su korisnici usluge pristupa internetu brzinom većom od 100 Mbit/s (nepokretna mreža)</w:t>
            </w:r>
          </w:p>
        </w:tc>
        <w:tc>
          <w:tcPr>
            <w:tcW w:w="2551" w:type="dxa"/>
          </w:tcPr>
          <w:p w:rsidR="00505632" w:rsidRDefault="00505632" w:rsidP="00AD4E52">
            <w:pPr>
              <w:pStyle w:val="CellColumn"/>
              <w:jc w:val="left"/>
            </w:pPr>
            <w:r>
              <w:rPr>
                <w:rFonts w:cs="Times New Roman"/>
              </w:rPr>
              <w:t>Povećanje ovog postotka pokazatelj je dostupnosti mreža sljedeće generacije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0,24</w:t>
            </w:r>
          </w:p>
        </w:tc>
        <w:tc>
          <w:tcPr>
            <w:tcW w:w="1020" w:type="dxa"/>
          </w:tcPr>
          <w:p w:rsidR="00505632" w:rsidRDefault="00505632" w:rsidP="00AD4E52">
            <w:pPr>
              <w:pStyle w:val="CellColumn"/>
              <w:jc w:val="right"/>
            </w:pPr>
            <w:r>
              <w:rPr>
                <w:rFonts w:cs="Times New Roman"/>
              </w:rPr>
              <w:t>HAKOM</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3"/>
      </w:pPr>
      <w:r>
        <w:rPr>
          <w:rFonts w:cs="Times New Roman"/>
        </w:rPr>
        <w:t>3109 SIGURNOST POMORSKOG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3109-SIGURNOST POMORSKOG PROMETA</w:t>
            </w:r>
          </w:p>
        </w:tc>
        <w:tc>
          <w:tcPr>
            <w:tcW w:w="2041" w:type="dxa"/>
          </w:tcPr>
          <w:p w:rsidR="00505632" w:rsidRDefault="00505632" w:rsidP="00AD4E52">
            <w:pPr>
              <w:pStyle w:val="CellColumn"/>
              <w:jc w:val="right"/>
            </w:pPr>
            <w:r>
              <w:rPr>
                <w:rFonts w:cs="Times New Roman"/>
              </w:rPr>
              <w:t>87.861.285</w:t>
            </w:r>
          </w:p>
        </w:tc>
        <w:tc>
          <w:tcPr>
            <w:tcW w:w="2041" w:type="dxa"/>
          </w:tcPr>
          <w:p w:rsidR="00505632" w:rsidRDefault="00505632" w:rsidP="00AD4E52">
            <w:pPr>
              <w:pStyle w:val="CellColumn"/>
              <w:jc w:val="right"/>
            </w:pPr>
            <w:r>
              <w:rPr>
                <w:rFonts w:cs="Times New Roman"/>
              </w:rPr>
              <w:t>108.247.750</w:t>
            </w:r>
          </w:p>
        </w:tc>
        <w:tc>
          <w:tcPr>
            <w:tcW w:w="2041" w:type="dxa"/>
          </w:tcPr>
          <w:p w:rsidR="00505632" w:rsidRDefault="00505632" w:rsidP="00AD4E52">
            <w:pPr>
              <w:pStyle w:val="CellColumn"/>
              <w:jc w:val="right"/>
            </w:pPr>
            <w:r>
              <w:rPr>
                <w:rFonts w:cs="Times New Roman"/>
              </w:rPr>
              <w:t>94.463.487</w:t>
            </w:r>
          </w:p>
        </w:tc>
        <w:tc>
          <w:tcPr>
            <w:tcW w:w="1224" w:type="dxa"/>
          </w:tcPr>
          <w:p w:rsidR="00505632" w:rsidRDefault="00505632" w:rsidP="00AD4E52">
            <w:pPr>
              <w:pStyle w:val="CellColumn"/>
              <w:jc w:val="right"/>
            </w:pPr>
            <w:r>
              <w:rPr>
                <w:rFonts w:cs="Times New Roman"/>
              </w:rPr>
              <w:t>87,3</w:t>
            </w:r>
          </w:p>
        </w:tc>
        <w:tc>
          <w:tcPr>
            <w:tcW w:w="1224" w:type="dxa"/>
          </w:tcPr>
          <w:p w:rsidR="00505632" w:rsidRDefault="00505632" w:rsidP="00AD4E52">
            <w:pPr>
              <w:pStyle w:val="CellColumn"/>
              <w:jc w:val="right"/>
            </w:pPr>
            <w:r>
              <w:rPr>
                <w:rFonts w:cs="Times New Roman"/>
              </w:rPr>
              <w:t>107,5</w:t>
            </w:r>
          </w:p>
        </w:tc>
      </w:tr>
    </w:tbl>
    <w:p w:rsidR="00505632" w:rsidRDefault="00505632" w:rsidP="00505632">
      <w:pPr>
        <w:jc w:val="left"/>
      </w:pPr>
    </w:p>
    <w:p w:rsidR="00505632" w:rsidRDefault="00505632" w:rsidP="00505632">
      <w:r>
        <w:t>U okviru programa Sigurnost pomorskog prometa osiguravaju se sredstva za provedu međunarodnih i europskih standarda u pogledu sigurnosti plovidbe i zaštite mora od onečišćenja pri čemu su ključne zadaće: uspostava i potpuna operativnost sustava stalnog nadzora i upravljanja pomorskim prometom, učinkovit inspekcijski i/ili tehnički nadzor pomorskih objekata koji plove u unutrašnjim morskim vodama i teritorijalnom moru Republike Hrvatske, kao i nadzor poštivanja minimalnih zahtjeva koji se tiču osposobljenosti, uvjeta rada, te drugih odredbi međunarodnih i nacionalnih propisa koji se odnose na članove posade pomorskih objekata. Osim navedenog, u okviru programa Sigurnost pomorskog prometa osiguravaju se sredstava nužna za učinkovito djelovanje službe traganja i spašavanja ljudskih života na moru koja djeluje i kod drugih izvanrednih događaja na moru, uključujući i onečišćenje mora.</w:t>
      </w:r>
    </w:p>
    <w:p w:rsidR="00505632" w:rsidRDefault="00505632" w:rsidP="00505632">
      <w:pPr>
        <w:pStyle w:val="Heading8"/>
        <w:jc w:val="left"/>
      </w:pPr>
      <w:r>
        <w:t>Cilj 1. Podizanje razine sigurnosti plovidbe i zaštita ljudskih  života i imovine</w:t>
      </w:r>
    </w:p>
    <w:p w:rsidR="00505632" w:rsidRDefault="00505632" w:rsidP="00505632">
      <w:pPr>
        <w:pStyle w:val="Heading8"/>
        <w:jc w:val="left"/>
      </w:pPr>
      <w:r>
        <w:t>Opis provedbe cilja programa</w:t>
      </w:r>
    </w:p>
    <w:p w:rsidR="00505632" w:rsidRDefault="00505632" w:rsidP="00505632">
      <w:r>
        <w:t>U 2016. godini u odnosu 2015. godini, vidno je povećanje opterećenja pomorskog prometa za 10%. Osim povećanja volumena pomorskog prometa značajan porast ogleda se u činjenici iznimno loših vremenskih uvjeta (nevera) na području zapadne obale Istre u veljači 2016.</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 broj plovidbenih nezgoda</w:t>
            </w:r>
          </w:p>
        </w:tc>
        <w:tc>
          <w:tcPr>
            <w:tcW w:w="2551" w:type="dxa"/>
          </w:tcPr>
          <w:p w:rsidR="00505632" w:rsidRDefault="00505632" w:rsidP="00AD4E52">
            <w:pPr>
              <w:pStyle w:val="CellColumn"/>
              <w:jc w:val="left"/>
            </w:pPr>
            <w:r>
              <w:rPr>
                <w:rFonts w:cs="Times New Roman"/>
              </w:rPr>
              <w:t>Smanjenje broja evidentiranih pomorski nezgoda u promatranom razdoblju ukazuje na povećanje razine sigurnosti plovidbe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1.035</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&lt;1.030</w:t>
            </w:r>
          </w:p>
        </w:tc>
        <w:tc>
          <w:tcPr>
            <w:tcW w:w="1020" w:type="dxa"/>
          </w:tcPr>
          <w:p w:rsidR="00505632" w:rsidRDefault="00505632" w:rsidP="00AD4E52">
            <w:pPr>
              <w:pStyle w:val="CellColumn"/>
              <w:jc w:val="right"/>
            </w:pPr>
            <w:r>
              <w:rPr>
                <w:rFonts w:cs="Times New Roman"/>
              </w:rPr>
              <w:t>1.352</w:t>
            </w:r>
          </w:p>
        </w:tc>
      </w:tr>
    </w:tbl>
    <w:p w:rsidR="00505632" w:rsidRDefault="00505632" w:rsidP="00505632">
      <w:pPr>
        <w:jc w:val="left"/>
      </w:pPr>
    </w:p>
    <w:p w:rsidR="00505632" w:rsidRDefault="00505632" w:rsidP="00505632">
      <w:pPr>
        <w:pStyle w:val="Heading4"/>
      </w:pPr>
      <w:r>
        <w:t>A570017 SIGURNOST PLOVIDBE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A570017-SIGURNOST PLOVIDBE</w:t>
            </w:r>
          </w:p>
        </w:tc>
        <w:tc>
          <w:tcPr>
            <w:tcW w:w="2041" w:type="dxa"/>
          </w:tcPr>
          <w:p w:rsidR="00505632" w:rsidRDefault="00505632" w:rsidP="00AD4E52">
            <w:pPr>
              <w:pStyle w:val="CellColumn"/>
              <w:jc w:val="right"/>
            </w:pPr>
            <w:r>
              <w:rPr>
                <w:rFonts w:cs="Times New Roman"/>
              </w:rPr>
              <w:t>84.439.436</w:t>
            </w:r>
          </w:p>
        </w:tc>
        <w:tc>
          <w:tcPr>
            <w:tcW w:w="2041" w:type="dxa"/>
          </w:tcPr>
          <w:p w:rsidR="00505632" w:rsidRDefault="00505632" w:rsidP="00AD4E52">
            <w:pPr>
              <w:pStyle w:val="CellColumn"/>
              <w:jc w:val="right"/>
            </w:pPr>
            <w:r>
              <w:rPr>
                <w:rFonts w:cs="Times New Roman"/>
              </w:rPr>
              <w:t>99.097.750</w:t>
            </w:r>
          </w:p>
        </w:tc>
        <w:tc>
          <w:tcPr>
            <w:tcW w:w="2041" w:type="dxa"/>
          </w:tcPr>
          <w:p w:rsidR="00505632" w:rsidRDefault="00505632" w:rsidP="00AD4E52">
            <w:pPr>
              <w:pStyle w:val="CellColumn"/>
              <w:jc w:val="right"/>
            </w:pPr>
            <w:r>
              <w:rPr>
                <w:rFonts w:cs="Times New Roman"/>
              </w:rPr>
              <w:t>88.784.608</w:t>
            </w:r>
          </w:p>
        </w:tc>
        <w:tc>
          <w:tcPr>
            <w:tcW w:w="1224" w:type="dxa"/>
          </w:tcPr>
          <w:p w:rsidR="00505632" w:rsidRDefault="00505632" w:rsidP="00AD4E52">
            <w:pPr>
              <w:pStyle w:val="CellColumn"/>
              <w:jc w:val="right"/>
            </w:pPr>
            <w:r>
              <w:rPr>
                <w:rFonts w:cs="Times New Roman"/>
              </w:rPr>
              <w:t>89,6</w:t>
            </w:r>
          </w:p>
        </w:tc>
        <w:tc>
          <w:tcPr>
            <w:tcW w:w="1224" w:type="dxa"/>
          </w:tcPr>
          <w:p w:rsidR="00505632" w:rsidRDefault="00505632" w:rsidP="00AD4E52">
            <w:pPr>
              <w:pStyle w:val="CellColumn"/>
              <w:jc w:val="right"/>
            </w:pPr>
            <w:r>
              <w:rPr>
                <w:rFonts w:cs="Times New Roman"/>
              </w:rPr>
              <w:t>105,1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Pomorski zakonik (NN 181/04, 76/07, 146/08, 61/11, 56/13, 26/15)</w:t>
      </w:r>
    </w:p>
    <w:p w:rsidR="00505632" w:rsidRDefault="00505632" w:rsidP="00505632">
      <w:pPr>
        <w:pStyle w:val="Heading8"/>
        <w:jc w:val="left"/>
      </w:pPr>
      <w:r>
        <w:t>Opis aktivnosti</w:t>
      </w:r>
    </w:p>
    <w:p w:rsidR="00505632" w:rsidRDefault="00505632" w:rsidP="00505632">
      <w:r>
        <w:t xml:space="preserve">Tijekom 2016. godine obavljao se pojačani inspekcijski nadzor hrvatskih pomorskih objekata, s posebnim naglaskom na pregled putničkih brodova u međunarodnoj i nacionalnoj plovidbi, teretnih i ribarskih brodova u nacionalnoj plovidbi, te inspekcijski nadzor teretnih brodova hrvatske državne pripadnosti prema raspoloživosti u stranim lukama, sve u skladu s Planom rada za 2016.godinu. Pojačano su se nadzirali i svi ostali plovni objekti, posebno tijekom turističke sezone kada u našem teritorijalnom moru i unutarnjim morskim  vodama uz hrvatske plovne objekte plovi i preko 60.000 stranih plovila. Nastavljeno je sa programom osposobljavanja inspektora sigurnosti plovidbe za nadzor stranih brodova te osposobljavanje ovlaštenih djelatnika  za nadzor ribarskih i putničkih brodova u nacionalnoj plovidbi, a započet je i novi program za osposobljavanje nadzora pomorskog dobra. Kompletan program osmišljen je i proveden od strane inspektora te uz pomoć eksperata Hrvatskog registra brodova. </w:t>
      </w:r>
    </w:p>
    <w:p w:rsidR="00505632" w:rsidRDefault="00505632" w:rsidP="00505632">
      <w:r>
        <w:t xml:space="preserve">Sukladno obvezama EU Direktive o nadzoru državnih luka (PSC) u hrvatskim lukama pregledano je ukupno 310 stranih brodova. </w:t>
      </w:r>
    </w:p>
    <w:p w:rsidR="00505632" w:rsidRDefault="00505632" w:rsidP="00505632">
      <w:r>
        <w:t xml:space="preserve">Temeljem obveza europskih direktiva obavljeni su dodatni inspekcijski pregledi na stranim brodovima, nadzor odredbi Uredbe EU o jačanju sigurnosne zaštite brodova i luka. Tijekom turističke sezone obavljeno je 26 inspekcijskih pregleda sukladno Direktivi EU o sustavu inspekcijskih pregleda radi sigurnog obavljanja linijske plovidbe ro-ro putničkih brodova i brzih putničkih plovila zajednički sa inspektorima Republike Italije i Republike Slovenije  na domaćim i stranim brodovima. Nadzirane su i odredbe Direktive EU o  smanjenju sadržaja sumpora u određenim tekućim gorivima - proveden je nadzor sumpora u brodskom gorivu na 28 stranih brodova. Proveden je nadzor odredbi IMO Konvencije o životnim i radnim uvjetima pomoraca (MLC 2006) -  sati rada i odmora, nadzor odredbi Marpol Konvencije Priloga VI  o zaštiti zraka, te nadzor Uredbe o  zabrani organokositrenih spojeva na brodovima (AFS).  </w:t>
      </w:r>
    </w:p>
    <w:p w:rsidR="00505632" w:rsidRDefault="00505632" w:rsidP="00505632">
      <w:r>
        <w:t xml:space="preserve">Obavljen je inspekcijski nadzor nad svim trajektnim lukama u smislu osiguranja uvjeta sigurnosti plovidbe, određenim pozitivnim propisima luka - nadzor koncesionara športskih luka, luka županijskog i lokalnog značaja u djelu komunalnog djela luka, sukladno odredbama Zakona o pomorskom dobru i morskim lukama (koncesije), nadzor nad svim lukama otvorenim za međunarodni promet u pogledu primjene Zakona o sigurnosnoj zaštiti trgovačkih brodova i luka otvorenih za međunarodni promet, nadzor nad svim lukama posebne namjene, prioritetno nad lukama nautičkog turizma u smislu zadovoljavanja zakonom definiranih uvjeta, nadzor nad pomorskim dobrom u smislu zaštite od bespravnih aktivnosti koje ugrožavaju sigurnost plovidbe, zaštite plaža, njihovog propisanog obilježavanja, uređenja i načina korištenja, te nadzor nad obavljanjem koncesijskih djelatnosti u vezi sa sigurnošću plovidbe, te nadzor nad stanjem i urednim održavanjem plovnih puteva, kao i radom objekata sigurnosti plovidbe.  </w:t>
      </w:r>
    </w:p>
    <w:p w:rsidR="00505632" w:rsidRDefault="00505632" w:rsidP="00505632">
      <w:r>
        <w:t xml:space="preserve">U 2016. godini obavljene su dvije prosudbe priznate organizacije za statutarnu certifikaciju brodova (HRB-a) tj. njeni područni uredi u Puli i u Zadru, te je također obavljena prosudba glavnog ureda priznate organizacije za sigurnosnu zaštitu brodova u Splitu (HRB-a), isto tako tijekom 2016. godine obavljene su i dvije godišnje prosudbe priznatih organizacija za sigurnosnu zaštitu luka.  </w:t>
      </w:r>
    </w:p>
    <w:p w:rsidR="00505632" w:rsidRDefault="00505632" w:rsidP="00505632">
      <w:r>
        <w:t xml:space="preserve">Tijekom godine su obavljena 4 nadzora proizvođača rekreacijskih plovila, uspostavljen je i javni servis e-Plovilo koji je dostupan u okviru vladinog projekta e-Građanin. Jedan od ciljeva utvrđen Strategijom pomorskog razvitka i integralne pomorske politike Republike Hrvatske za razdoblje od 2014. do 2020. godine je pružanje učinkovite javne usluge pomorske administracije. Obzirom da je Javni pretraživač plovila, koji je predstavljen 15.07.2015. godine omogućio provjeru podataka za oko 130.000 plovnih objekata upisanih u upisnicima jahti, odnosno očevidnicima brodica i čamaca koje vode lučke kapetanije, pokazala se potreba za unapređivanjem sustava kojim će vlasnici plovila moći provjeriti informacije poput valjanosti tehničkog pregleda te imati uvid u obračune naknada za upotrebu pomorskog dobra i naknade za sigurnost plovidbe. Za razliku od Javnog pretraživača plovila e-Plovilo sadrži sve podatke koji su dostupni samo vlasniku plovila. e-Plovilo sadrži tehničke podatke o plovilu u listu A, podatke o vlasništvu u listu B te terete i zabilježbe u listu C. Osim prethodno navedenih podataka e-Plovilo sadrži podatak o valjanosti tehničkog pregleda. Također vlasnici plovila mogu u bilo kojem trenutku vidjeti da li su izdani novi obračuni naknada te jesu li isti plaćeni. Ukoliko vlasnici plovila utvrde da su izostavljeni neki podaci ili su neki podaci pogrešno uneseni u elektronske baze podataka dužni su se javiti nadležnoj lučkoj kapetaniji ili ispostavi lučke kapetanije. </w:t>
      </w:r>
    </w:p>
    <w:p w:rsidR="00505632" w:rsidRDefault="00505632" w:rsidP="00505632">
      <w:r>
        <w:t xml:space="preserve">Aktivnosti vezane za VTS sustav financirale su se s aktivnosti A570017 Sigurnost plovidbe i K819013 VTS SUSTAV- uspostava  nadzora plovidbe i sustava radioveza za praćenje pomorskog prometa , iz izvora 11-Opći prihodi i primici i 43-Ostali prihodi za posebne namjene. </w:t>
      </w:r>
    </w:p>
    <w:p w:rsidR="00505632" w:rsidRDefault="00505632" w:rsidP="00505632">
      <w:r>
        <w:t xml:space="preserve">U 2016. godini izrađena je Studija konsolidacije sustava obveznog javljanja brodova i uspostave zajedničkog jadranskog VTS sustava kojom je sustavno i cjelovito analizirano plovno područje  Istarske županije i Zaštićenog ekološko-ribolovnog pojasa Republike Hrvatske u svrhu optimizacije elemenata sigurne plovidbe s prijedlogom mjera unaprjeđenja sustava sigurnosti plovidbe, zaštite morskog okoliša i kvalitetnije organizacije pomorskog prometa i ljudskih aktivnosti u prostoru mora i priobalja. Nadalje, Studijom je obuhvaćen prijedlog unaprjeđenja postojećeg sustava obveznog javljanja brodova u Jadranu ADRIREP, unaprjeđenje i uspostava novih sustava usmjerene i odvojene plovidbe u Jadranu, te prijedlog pružanja zajedničkih jadranskih VTS usluga. </w:t>
      </w:r>
    </w:p>
    <w:p w:rsidR="00505632" w:rsidRDefault="00505632" w:rsidP="00505632">
      <w:r>
        <w:t xml:space="preserve">Izrađena je i Studija ravalorizacije kvantitativnih vrijednosti kriterija aplikacije „SPO Zakloništa“ s vrednovanjem kriterija potrebnih za upravljanje izvanrednim događajem kod onečišćenja mora, traganja i spašavanja pomorskih objekata i ljudskih života na moru, aktiviranja instituta podrtine, te spašavanja imovine kako bi se na optimalan način upravljalo izvanrednim događajem odnosno reakcijom na izvanredni događaj, te s minimalnim rizikom isti uspješno razriješio. Navedeno predstavlja preduvjet u razvoju koncepta optimizacije i integracije interventnog djelovanja kod izvanrednih događaja na moru kroz razvoj  nove web AdriaGIS (AdriaMAS) aplikacije koja treba podržavati poslovne procese operativnih poslova i taktičko-analitičkog planiranja integriranog djelovanja na izvanredne događaje na moru na razini alata za potporu pri odlučivanju kako bi se osiguralo adekvatno vrijeme, način odziva i učinkovito upravljanje izvanrednim događajima na moru, uključujući prevenciju nastanka izvanrednih događaja.  </w:t>
      </w:r>
    </w:p>
    <w:p w:rsidR="00505632" w:rsidRDefault="00505632" w:rsidP="00505632">
      <w:r>
        <w:t xml:space="preserve">Također, sredstava su korištena i za potrebe podizanja razine spremnosti službe traganja i spašavanja na moru i provedbu Plana intervencija kod iznenadnih onečišćenja mora. Sredstvu su iskorištena za izradu Programa dopunske izobrazbe i osposobljavanja djelatnika uključenih u akcije traganja i spašavanja kao i izradu Analize postojećih tehničkih resursa i dostupnosti usluga za reagiranje na iznenadna onečišćenja mora. Sredstva na predmetnoj aktivnosti planiraju se i izvršavaju u najvećem dijelu za potrebe intervencija kod iznenadnih onečišćenja mora koje provodi državni Stožer za intervencije. Kako u 2016. godini nije bilo takvih intervencija, sredstva nisu cjelovito iskorištena. Sredstvima se u 2016. godini financirala usluga izlaska tegljača Antares u vlasništvu Brodospas d.o.o. koji je angažiran po dojavi m/b Milton  jer je istome otkazao glavni stroj te je isti prijetio nasukanjem u akvatoriju nacionalnog parka Mljet i potencijalnim onečišćenjem okoliša.  </w:t>
      </w:r>
    </w:p>
    <w:p w:rsidR="00505632" w:rsidRDefault="00505632" w:rsidP="00505632">
      <w:r>
        <w:t xml:space="preserve">Između ostalog, sredstva su iskorištena za nadogradnju aplikacijskih sustava i baza podataka Informacijskog sustava sigurnosti plovidbe: </w:t>
      </w:r>
    </w:p>
    <w:p w:rsidR="00505632" w:rsidRDefault="00505632" w:rsidP="00505632">
      <w:r>
        <w:t xml:space="preserve">  - modulom prijave brodskog otpada u nacionalnoj plovidbi čiji su korisnici predstavnici brodara u nacionalnoj plovidbe. Aktivnost čeka donošenje zakonskog okvira odnosno Pravilnika o redu u lukama. </w:t>
      </w:r>
    </w:p>
    <w:p w:rsidR="00505632" w:rsidRDefault="00505632" w:rsidP="00505632">
      <w:r>
        <w:t xml:space="preserve">- prijava jahti dužine iznad 45 metara u ustavu CIMIS čiji su korisnici pomorski agenti jahti; </w:t>
      </w:r>
    </w:p>
    <w:p w:rsidR="00505632" w:rsidRDefault="00505632" w:rsidP="00505632">
      <w:r>
        <w:t xml:space="preserve">- Promijene u obradi FAL3 i FA4 obrazaca za potrebe Carinske uprave (brodske zalihe i osobne stvari članova posade brodova) koje koriste djelatnici Carinske uprave, njih 185;  </w:t>
      </w:r>
    </w:p>
    <w:p w:rsidR="00505632" w:rsidRDefault="00505632" w:rsidP="00505632">
      <w:r>
        <w:t xml:space="preserve">- CIMIS web servis razmjena usklađena sa XML specifikacijom SafeSeaNet v 3.1. pri čemu je komunikacija uspostavljena i teče u skladu s obvezama koje Republika Hrvatska ima prema Europskoj Komisiji </w:t>
      </w:r>
    </w:p>
    <w:p w:rsidR="00505632" w:rsidRDefault="00505632" w:rsidP="00505632">
      <w:r>
        <w:t xml:space="preserve">– nadogradnja modula traganje i spašavanje koji koriste svi djelatnici lučkih kapetanija i sipostava kao i djelatnici Nacionalne središnjice za traganje i spašavanje (MRCC) u svakodnevnom operativnom radu </w:t>
      </w:r>
    </w:p>
    <w:p w:rsidR="00505632" w:rsidRDefault="00505632" w:rsidP="00505632">
      <w:r>
        <w:t>Izvršena je integracija odnosno povezivanje sustava CIMIS s Pomorskim nezgodama (modul nIS) u dijelu GIS komponenti i  Integracija mobilne aplikacije za nautičku podršku i uzbunjivanje Službe traganja i spašavanja na moru (nIS) – moduli za Android i iPhone mobilne uređaje. Javna prezentacija je održana krajem srpnja 2016. godine u Rijeci te aplikacija trenutno ima 10.500 aktivnih korisnika.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Porast učestalosti inspekcijskih pregleda</w:t>
            </w:r>
          </w:p>
        </w:tc>
        <w:tc>
          <w:tcPr>
            <w:tcW w:w="2551" w:type="dxa"/>
          </w:tcPr>
          <w:p w:rsidR="00505632" w:rsidRDefault="00505632" w:rsidP="00AD4E52">
            <w:pPr>
              <w:pStyle w:val="CellColumn"/>
              <w:jc w:val="left"/>
            </w:pPr>
            <w:r>
              <w:rPr>
                <w:rFonts w:cs="Times New Roman"/>
              </w:rPr>
              <w:t>Veći broj inspekcijskih pregleda ukazuje na porast nadzora sigurnosti plovidbe od strane inspektora sigurnosti plovidbe i ovlaštenih djelatnika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7440</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&gt;7.500</w:t>
            </w:r>
          </w:p>
        </w:tc>
        <w:tc>
          <w:tcPr>
            <w:tcW w:w="1020" w:type="dxa"/>
          </w:tcPr>
          <w:p w:rsidR="00505632" w:rsidRDefault="00505632" w:rsidP="00AD4E52">
            <w:pPr>
              <w:pStyle w:val="CellColumn"/>
              <w:jc w:val="right"/>
            </w:pPr>
            <w:r>
              <w:rPr>
                <w:rFonts w:cs="Times New Roman"/>
              </w:rPr>
              <w:t>9.508</w:t>
            </w:r>
          </w:p>
        </w:tc>
      </w:tr>
      <w:tr w:rsidR="00505632" w:rsidTr="00AD4E52">
        <w:trPr>
          <w:jc w:val="center"/>
        </w:trPr>
        <w:tc>
          <w:tcPr>
            <w:tcW w:w="2551" w:type="dxa"/>
          </w:tcPr>
          <w:p w:rsidR="00505632" w:rsidRDefault="00505632" w:rsidP="00AD4E52">
            <w:pPr>
              <w:pStyle w:val="CellColumn"/>
              <w:jc w:val="left"/>
            </w:pPr>
            <w:r>
              <w:rPr>
                <w:rFonts w:cs="Times New Roman"/>
              </w:rPr>
              <w:t>Smanjenje broja zaustavljanja brodova hrvatske zastave u nacionalnoj plovidbi</w:t>
            </w:r>
          </w:p>
        </w:tc>
        <w:tc>
          <w:tcPr>
            <w:tcW w:w="2551" w:type="dxa"/>
          </w:tcPr>
          <w:p w:rsidR="00505632" w:rsidRDefault="00505632" w:rsidP="00AD4E52">
            <w:pPr>
              <w:pStyle w:val="CellColumn"/>
              <w:jc w:val="left"/>
            </w:pPr>
            <w:r>
              <w:rPr>
                <w:rFonts w:cs="Times New Roman"/>
              </w:rPr>
              <w:t>Manji broj zaustavljanja pokazatelj je da razine poštivanja zakonskih i tehničkih odredbi od strane brodara i vlasnika brodova u nacionalnoj plovidbi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&lt;9</w:t>
            </w:r>
          </w:p>
        </w:tc>
        <w:tc>
          <w:tcPr>
            <w:tcW w:w="1020" w:type="dxa"/>
          </w:tcPr>
          <w:p w:rsidR="00505632" w:rsidRDefault="00505632" w:rsidP="00AD4E52">
            <w:pPr>
              <w:pStyle w:val="CellColumn"/>
              <w:jc w:val="right"/>
            </w:pPr>
            <w:r>
              <w:rPr>
                <w:rFonts w:cs="Times New Roman"/>
              </w:rPr>
              <w:t>26</w:t>
            </w:r>
          </w:p>
        </w:tc>
      </w:tr>
      <w:tr w:rsidR="00505632" w:rsidTr="00AD4E52">
        <w:trPr>
          <w:jc w:val="center"/>
        </w:trPr>
        <w:tc>
          <w:tcPr>
            <w:tcW w:w="2551" w:type="dxa"/>
          </w:tcPr>
          <w:p w:rsidR="00505632" w:rsidRDefault="00505632" w:rsidP="00AD4E52">
            <w:pPr>
              <w:pStyle w:val="CellColumn"/>
              <w:jc w:val="left"/>
            </w:pPr>
            <w:r>
              <w:rPr>
                <w:rFonts w:cs="Times New Roman"/>
              </w:rPr>
              <w:t>Smanjenje onečišćenja mora s pomorskih objekata</w:t>
            </w:r>
          </w:p>
        </w:tc>
        <w:tc>
          <w:tcPr>
            <w:tcW w:w="2551" w:type="dxa"/>
          </w:tcPr>
          <w:p w:rsidR="00505632" w:rsidRDefault="00505632" w:rsidP="00AD4E52">
            <w:pPr>
              <w:pStyle w:val="CellColumn"/>
              <w:jc w:val="left"/>
            </w:pPr>
            <w:r>
              <w:rPr>
                <w:rFonts w:cs="Times New Roman"/>
              </w:rPr>
              <w:t>Manji broj onečišćenja mora s pomorskih objekata ukazuje na bolju zaštitu morskog okoliša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14</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&lt;13</w:t>
            </w:r>
          </w:p>
        </w:tc>
        <w:tc>
          <w:tcPr>
            <w:tcW w:w="1020" w:type="dxa"/>
          </w:tcPr>
          <w:p w:rsidR="00505632" w:rsidRDefault="00505632" w:rsidP="00AD4E52">
            <w:pPr>
              <w:pStyle w:val="CellColumn"/>
              <w:jc w:val="right"/>
            </w:pPr>
            <w:r>
              <w:rPr>
                <w:rFonts w:cs="Times New Roman"/>
              </w:rPr>
              <w:t>6</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K103278 OPREMANJE LUČKIH KAPETANIJA PLOVILIMA, VOZILIMA, UREĐAJIMA I OSTALOM OPREMOM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K103278-OPREMANJE LUČKIH KAPETANIJA PLOVILIMA, VOZILIMA, UREĐAJIMA I OSTALOM OPREMOM</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4.000.000</w:t>
            </w:r>
          </w:p>
        </w:tc>
        <w:tc>
          <w:tcPr>
            <w:tcW w:w="2041" w:type="dxa"/>
          </w:tcPr>
          <w:p w:rsidR="00505632" w:rsidRDefault="00505632" w:rsidP="00AD4E52">
            <w:pPr>
              <w:pStyle w:val="CellColumn"/>
              <w:jc w:val="right"/>
            </w:pPr>
            <w:r>
              <w:rPr>
                <w:rFonts w:cs="Times New Roman"/>
              </w:rPr>
              <w:t>3.972.000</w:t>
            </w:r>
          </w:p>
        </w:tc>
        <w:tc>
          <w:tcPr>
            <w:tcW w:w="1224" w:type="dxa"/>
          </w:tcPr>
          <w:p w:rsidR="00505632" w:rsidRDefault="00505632" w:rsidP="00AD4E52">
            <w:pPr>
              <w:pStyle w:val="CellColumn"/>
              <w:jc w:val="right"/>
            </w:pPr>
            <w:r>
              <w:rPr>
                <w:rFonts w:cs="Times New Roman"/>
              </w:rPr>
              <w:t>99,3</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Pomorski zakonik (NN 181/04, 76/07, 146/08, 61/11, 56/13, 26/15)</w:t>
      </w:r>
    </w:p>
    <w:p w:rsidR="00505632" w:rsidRDefault="00505632" w:rsidP="00505632">
      <w:pPr>
        <w:pStyle w:val="Heading8"/>
        <w:jc w:val="left"/>
      </w:pPr>
      <w:r>
        <w:t>Opis aktivnosti</w:t>
      </w:r>
    </w:p>
    <w:p w:rsidR="00505632" w:rsidRDefault="00505632" w:rsidP="00505632">
      <w:r>
        <w:t>Sredstvima je financirana izgradnja nove brodice za traganje i spašavanje na moru, a čija je namjena, pored navedenog, i inspekcijski nadzor sigurnosti plovidbe te prijevoz bolesnika. U skladu s ugovorom, završena je 1. i 2. faza, tj. završena izgradnja trupa brodice.</w:t>
      </w:r>
    </w:p>
    <w:p w:rsidR="00505632" w:rsidRDefault="00505632" w:rsidP="00505632">
      <w:pPr>
        <w:pStyle w:val="Heading4"/>
      </w:pPr>
      <w:r>
        <w:t>K819013 VTS SUSTAV-USPOSTAVA NADZORA PLOVIDBE I SUSTAVA RADIOVEZA ZA PRAĆENJE POMORSKOG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K819013-VTS SUSTAV-USPOSTAVA NADZORA PLOVIDBE I SUSTAVA RADIOVEZA ZA PRAĆENJE POMORSKOG PROMETA</w:t>
            </w:r>
          </w:p>
        </w:tc>
        <w:tc>
          <w:tcPr>
            <w:tcW w:w="2041" w:type="dxa"/>
          </w:tcPr>
          <w:p w:rsidR="00505632" w:rsidRDefault="00505632" w:rsidP="00AD4E52">
            <w:pPr>
              <w:pStyle w:val="CellColumn"/>
              <w:jc w:val="right"/>
            </w:pPr>
            <w:r>
              <w:rPr>
                <w:rFonts w:cs="Times New Roman"/>
              </w:rPr>
              <w:t>3.193.223</w:t>
            </w:r>
          </w:p>
        </w:tc>
        <w:tc>
          <w:tcPr>
            <w:tcW w:w="2041" w:type="dxa"/>
          </w:tcPr>
          <w:p w:rsidR="00505632" w:rsidRDefault="00505632" w:rsidP="00AD4E52">
            <w:pPr>
              <w:pStyle w:val="CellColumn"/>
              <w:jc w:val="right"/>
            </w:pPr>
            <w:r>
              <w:rPr>
                <w:rFonts w:cs="Times New Roman"/>
              </w:rPr>
              <w:t>5.150.000</w:t>
            </w:r>
          </w:p>
        </w:tc>
        <w:tc>
          <w:tcPr>
            <w:tcW w:w="2041" w:type="dxa"/>
          </w:tcPr>
          <w:p w:rsidR="00505632" w:rsidRDefault="00505632" w:rsidP="00AD4E52">
            <w:pPr>
              <w:pStyle w:val="CellColumn"/>
              <w:jc w:val="right"/>
            </w:pPr>
            <w:r>
              <w:rPr>
                <w:rFonts w:cs="Times New Roman"/>
              </w:rPr>
              <w:t>1.706.878</w:t>
            </w:r>
          </w:p>
        </w:tc>
        <w:tc>
          <w:tcPr>
            <w:tcW w:w="1224" w:type="dxa"/>
          </w:tcPr>
          <w:p w:rsidR="00505632" w:rsidRDefault="00505632" w:rsidP="00AD4E52">
            <w:pPr>
              <w:pStyle w:val="CellColumn"/>
              <w:jc w:val="right"/>
            </w:pPr>
            <w:r>
              <w:rPr>
                <w:rFonts w:cs="Times New Roman"/>
              </w:rPr>
              <w:t>33,1</w:t>
            </w:r>
          </w:p>
        </w:tc>
        <w:tc>
          <w:tcPr>
            <w:tcW w:w="1224" w:type="dxa"/>
          </w:tcPr>
          <w:p w:rsidR="00505632" w:rsidRDefault="00505632" w:rsidP="00AD4E52">
            <w:pPr>
              <w:pStyle w:val="CellColumn"/>
              <w:jc w:val="right"/>
            </w:pPr>
            <w:r>
              <w:rPr>
                <w:rFonts w:cs="Times New Roman"/>
              </w:rPr>
              <w:t>53,5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Pomorski zakonik (NN 181/04, 76/07, 146/08, 61/11, 56/13, 26/15), </w:t>
      </w:r>
    </w:p>
    <w:p w:rsidR="00505632" w:rsidRDefault="00505632" w:rsidP="00505632">
      <w:r>
        <w:t xml:space="preserve">- Pravilnik o uvjetima i načinu održavanja reda u lukama i na ostalim dijelovima unutarnjih morskih voda i teritorijalnog mora Republike Hrvatske (NN 90/05, 10/08, 155/08, 127/10, 80/12), </w:t>
      </w:r>
    </w:p>
    <w:p w:rsidR="00505632" w:rsidRDefault="00505632" w:rsidP="00505632">
      <w:r>
        <w:t xml:space="preserve">- Pravilnik o sigurnosti pomorske plovidbe u unutarnjim morskim vodama i teritorijalnom moru Republike Hrvatske te načinu i uvjetima obavljanja nadzora i upravljanja pomorskim prometom (NN 79/13, 57/15), </w:t>
      </w:r>
    </w:p>
    <w:p w:rsidR="00505632" w:rsidRDefault="00505632" w:rsidP="00505632">
      <w:r>
        <w:t>- Pravilnik o pomorskom peljarenju (NN 116/2010).</w:t>
      </w:r>
    </w:p>
    <w:p w:rsidR="00505632" w:rsidRDefault="00505632" w:rsidP="00505632">
      <w:pPr>
        <w:pStyle w:val="Heading8"/>
        <w:jc w:val="left"/>
      </w:pPr>
      <w:r>
        <w:t>Opis aktivnosti</w:t>
      </w:r>
    </w:p>
    <w:p w:rsidR="00505632" w:rsidRDefault="00505632" w:rsidP="00505632">
      <w:r>
        <w:t xml:space="preserve">U 2016. godini, aktivnosti vezane za VTS sustav financirale su se s aktivnosti A570017 Sigurnost plovidbe i projekta K819013 VTS SUSTAV- uspostava  nadzora plovidbe i sustava radioveza za praćenje pomorskog prometa, izvora 11 – Opći prihodi i primici i 43 – Ostali prihodi za posebne namjene. </w:t>
      </w:r>
    </w:p>
    <w:p w:rsidR="00505632" w:rsidRDefault="00505632" w:rsidP="00505632">
      <w:r>
        <w:t xml:space="preserve">Sredstva su utrošena na održavanje i razvoj Sustava za nadzor i upravljanje pomorskim prometom (VTMIS sustav) koji predstavlja složeni tehnički i informacijski sustav i zakonito sredstvo namijenjeno praćenju, upravljanju i organizaciji pomorskog prometa, sigurnosti plovidbe, ljudskih života i imovine na moru, te traganja i spašavanja u unutarnjim morskim vodama, teritorijalnom moru i zaštićenom ekološko-ribolovnom pojasu Republike Hrvatske.  </w:t>
      </w:r>
    </w:p>
    <w:p w:rsidR="00505632" w:rsidRDefault="00505632" w:rsidP="00505632">
      <w:r>
        <w:t xml:space="preserve">Strateški cilj, koji se odnosi na osiguranje tehničkih preduvjeta za uspostavu cjelovite usluge nadzora i upravljanja pomorskim prometom u unutarnjim morskim vodama, teritorijalnom moru, te zaštićenom ekološko-ribolovnom u tehničkim i operativnim segmentima, temelji se na osiguranju potpune funkcionalnosti sustava za upravljanje i nadzor pomorskog prometa na Jadranskom moru (VTS sustav), nastavkom izgradnje pripadajućih podsustava kao bitnih elemenata za njegovu potpunu funkcionalnost. U tom pogledu, tijekom 2016. godine, VTMIS sustav je dograđen sa šest (6) novih AIS baznih stanica, jednim (1) radarskim sustavom, tri (3) CCTV nadzorne kamere velikog dometa, jednom (1) CCTV nadzornom kamerom srednjeg dometa, te nadogradnjom Coastwatch aplikacijskog paketa paketa. </w:t>
      </w:r>
    </w:p>
    <w:p w:rsidR="00505632" w:rsidRDefault="00505632" w:rsidP="00505632">
      <w:r>
        <w:t xml:space="preserve">Tijekom planirane realizacije predmeta Ugovora o nadogradnji došlo je do izmjene položaja postavljanja radara u odnosu na položaj koji je naveden u Dokumentaciji za nadmetanje, temeljem izvedbenog tehničkog  rješenja koje je naknadno odobrio vlasnik objekta Plovput d.o.o. i nadležni Konzervatorski odjel u Šibeniku. Navedeno je uvjetovalo dodatni zahtjev vlanika objekta za izradom statičkog proračuna nosača signalnog stupa na koju se postavlja radar, a što zahtjeva dodatno vrijeme koje se nije moglo unaprijed predvidjeti. U skladu s navedenim, u 2016. godini realizirana je nabava, isporuka, instalacija i integracija opreme u vrijednosti 1.706.878,25 kn, odnosno 33,14% planirane nabave. Ostatak realizacije do planiranih sredstava biti će obavljen u prvom tromjesečju 2017. godine, temeljem Dodatka broj I Ugovora o nadogradnji VTMIS IV faza, a po integraciji u VTMIS sustav preostalih uređaja i opreme.  </w:t>
      </w:r>
    </w:p>
    <w:p w:rsidR="00505632" w:rsidRDefault="00505632" w:rsidP="00505632">
      <w:r>
        <w:t>Ispravnim radom VTMIS sustava tijekom 2016. godine utvrđeno je 222 prekršaja propisa o sigurnosti plovidbe, što je za 35 % manje nego u 2015. godini, te je pruženo 2101 usluga informacijske službe sigurnosti plovidbe što je za 32% manje nego u 2015. godini. U dijelu pružanja informacijskih usluga uočava se pad aktivnosti službe u odnosu na prethodne dvije godine, što je nedvojbeno rezultat proaktivnog međudjelovanja službe s plovnim objekatima, te kontinuiranog razvoja tehničkog i informacijskog dijela VTMIS sustava tijekom vremena, kao i obavljanje plovidbe plovnih objekata u skladu s dobrom pomoračkom praksom, pri čemu su zadovoljeni uvjeti sigurne plovidbe i poštivanja pomorskih propisa.</w:t>
      </w:r>
    </w:p>
    <w:p w:rsidR="00505632" w:rsidRDefault="00505632" w:rsidP="00505632">
      <w:pPr>
        <w:pStyle w:val="Heading3"/>
      </w:pPr>
      <w:r>
        <w:rPr>
          <w:rFonts w:cs="Times New Roman"/>
        </w:rPr>
        <w:t>3110 RAZVOJ SUSTAVA CESTOVNOG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3110-RAZVOJ SUSTAVA CESTOVNOG PROMETA</w:t>
            </w:r>
          </w:p>
        </w:tc>
        <w:tc>
          <w:tcPr>
            <w:tcW w:w="2041" w:type="dxa"/>
          </w:tcPr>
          <w:p w:rsidR="00505632" w:rsidRDefault="00505632" w:rsidP="00AD4E52">
            <w:pPr>
              <w:pStyle w:val="CellColumn"/>
              <w:jc w:val="right"/>
            </w:pPr>
            <w:r>
              <w:rPr>
                <w:rFonts w:cs="Times New Roman"/>
              </w:rPr>
              <w:t>2.657.293.167</w:t>
            </w:r>
          </w:p>
        </w:tc>
        <w:tc>
          <w:tcPr>
            <w:tcW w:w="2041" w:type="dxa"/>
          </w:tcPr>
          <w:p w:rsidR="00505632" w:rsidRDefault="00505632" w:rsidP="00AD4E52">
            <w:pPr>
              <w:pStyle w:val="CellColumn"/>
              <w:jc w:val="right"/>
            </w:pPr>
            <w:r>
              <w:rPr>
                <w:rFonts w:cs="Times New Roman"/>
              </w:rPr>
              <w:t>2.835.197.633</w:t>
            </w:r>
          </w:p>
        </w:tc>
        <w:tc>
          <w:tcPr>
            <w:tcW w:w="2041" w:type="dxa"/>
          </w:tcPr>
          <w:p w:rsidR="00505632" w:rsidRDefault="00505632" w:rsidP="00AD4E52">
            <w:pPr>
              <w:pStyle w:val="CellColumn"/>
              <w:jc w:val="right"/>
            </w:pPr>
            <w:r>
              <w:rPr>
                <w:rFonts w:cs="Times New Roman"/>
              </w:rPr>
              <w:t>2.832.645.749</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106,6</w:t>
            </w:r>
          </w:p>
        </w:tc>
      </w:tr>
    </w:tbl>
    <w:p w:rsidR="00505632" w:rsidRDefault="00505632" w:rsidP="00505632">
      <w:pPr>
        <w:jc w:val="left"/>
      </w:pPr>
    </w:p>
    <w:p w:rsidR="00505632" w:rsidRDefault="00505632" w:rsidP="00505632">
      <w:r>
        <w:t xml:space="preserve">Programom se osigurava financiranje građenja i održavanja javnih cesta u Republici Hrvatskoj i to temeljem naknade koja se isplaćuje iz trošarine na energente upraviteljima Hrvatske ceste d.o.o. i Hrvatske autoceste d.o.o. te temeljem Ugovora o koncesiji s koncesionarima Autocesta Zagreb-Macelj d.o.o., Autocesta Rijeka-Zagreb d.d. i Bina Istra d.d..   </w:t>
      </w:r>
    </w:p>
    <w:p w:rsidR="00505632" w:rsidRDefault="00505632" w:rsidP="00505632">
      <w:r>
        <w:t xml:space="preserve">Izvori sredstava za financiranje javnih cesta su: godišnja naknada za uporabu javnih cesta, koja se plaća pri registraciji motornih i priključnih vozila, cestarina za uporabu autoceste i objekta s naplatom (most, tunel, vijadukt i slično), naknada za uporabu javnih cesta motornim i priključnim vozilima registriranim izvan Republike Hrvatske, naknada za izvanredni prijevoz, naknada za prekomjernu uporabu, korisnička naknada, naknada za korištenje cestovnog zemljišta, naknada za korištenje cestovnog zemljišta, naknada za obavljanje pratećih djelatnosti, naknada za koncesije, sredstva državnog proračuna, naknada za financiranje građenja i održavanja javnih cesta, naknada za osnivanje prava služnosti i prava građenja na javnoj cesti i ostali izvori.  </w:t>
      </w:r>
    </w:p>
    <w:p w:rsidR="00505632" w:rsidRDefault="00505632" w:rsidP="00505632">
      <w:r>
        <w:t xml:space="preserve">Koncesijskim ugovorom između Republike Hrvatske i društva Autocesta Zagreb-Macelj d.o.o. društvu se nadoknađuje plaćeni PDV-a na cestarinu na vozila za prolazak koncesijskim područjem, naknada u iznosu od 56% do punog iznosa cestarine za I., II., III. i IV. skupinu vozila koja prometuju na dionici Mokrice-Krapina te Garancija za pad prometa (TSCA) tzv. TSCA doprinos koji se izračunava kao manjak u odnosu na prognozu za godinu n (forecasting shortfall) + manjak za izjednačavanje za godinu n-1 (balancing shortfall), a ta sredstva imaju tretman kredita te će ista koncesijsko društvo Autocesta Zagreb-Macelj d.o.o. vratiti na račun Državnog proračuna s kamatom od 6% godišnje, nakon što se ostvare ugovoreni uvjeti za povrat kredita. Koncesijskim ugovorom između Republike Hrvatske i društva Autocesta Rijeka-Zagreb d.d. koncesionaru se nadoknađuju troškovi održavanja obilaznice grada Rijeke, nadoknađuje se financijski doprinos u obliku troškova izvlaštenja zemljišta i objekata, premještanja instalacija, izrade projekata i upravnog postupka te se sufinancira mostarina mosta Krk za pravne i fizičke osobe. Koncesijskim ugovorom između Republike Hrvatske i društva Bina Istra d.d. društvu se nadoknađuje financijski doprinos koji predstavlja razliku između predviđenih prihoda od cestarine i troškova definiranih Ugovorom o koncesiji.  </w:t>
      </w:r>
    </w:p>
    <w:p w:rsidR="00505632" w:rsidRDefault="00505632" w:rsidP="00505632">
      <w:r>
        <w:t>Nadalje, programom se osigurava ostvarivanje prava na mobilnost i jednaku dostupnost sredstava prijevoza u cestovnom prometu osobama s invaliditetom, propisanih člankom 88. Zakona o cestama. Osobe s invaliditetom koje imaju određeni stupanj tjelesnog oštećenja, ostvaruju pravo na oslobađanje plaćanja godišnje naknade za uporabu javnih cesta koja se plaća pri registraciji osobnog automobila i/ili pravo na oslobađanje plaćanja cestarine za uporabu autocesta i objekata s naplatom (most, tunel, vijadukt i sl.). Tijekom 2016. godine osobama s invaliditetom nadoknađeno je ukupno 30.168 godišnjih naknada za uporabu javnih cesta, te 341.225 prolazaka dionicama autocesta, te je za 2017. godinu procijenjen iznos od 28.000.000 kn.</w:t>
      </w:r>
    </w:p>
    <w:p w:rsidR="00505632" w:rsidRDefault="00505632" w:rsidP="00505632">
      <w:pPr>
        <w:pStyle w:val="Heading8"/>
        <w:jc w:val="left"/>
      </w:pPr>
      <w:r>
        <w:t>Cilj 1. Razvijen sustav cestovnog prometa</w:t>
      </w:r>
    </w:p>
    <w:p w:rsidR="00505632" w:rsidRDefault="00505632" w:rsidP="00505632">
      <w:pPr>
        <w:pStyle w:val="Heading8"/>
        <w:jc w:val="left"/>
      </w:pPr>
      <w:r>
        <w:t>Opis provedbe cilja programa</w:t>
      </w:r>
    </w:p>
    <w:p w:rsidR="00505632" w:rsidRDefault="00505632" w:rsidP="00505632">
      <w:r>
        <w:t>Cilj ovog programa je kontinuirani razvoj i sigurnost cestovnog prometa, a ostvarivao se održavanjem stupnja sigurnosti, zaštite i učinkovitosti cestovnog prometa, izgradnjom autocesta i državnih cesta, održavanjem, rekonstrukcijom i modernizacijom javnih cesta u cilju boljeg međuregionalnog povezivanja unutar hrvatskog prostora te bržeg i učinkovitijeg integriranja hrvatske cestovne mreže s glavnim europskim pravcima.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dijela mreža državnih cesta u lošem i vrlo lošem stanju</w:t>
            </w:r>
          </w:p>
        </w:tc>
        <w:tc>
          <w:tcPr>
            <w:tcW w:w="2551" w:type="dxa"/>
          </w:tcPr>
          <w:p w:rsidR="00505632" w:rsidRDefault="00505632" w:rsidP="00AD4E52">
            <w:pPr>
              <w:pStyle w:val="CellColumn"/>
              <w:jc w:val="left"/>
            </w:pPr>
            <w:r>
              <w:rPr>
                <w:rFonts w:cs="Times New Roman"/>
              </w:rPr>
              <w:t>Smanjenje udjela cesta sa lošim i vrlo lošim stanjem kolnika doprinosi povećanju kvalitete usluga za korisnike cesta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23,70</w:t>
            </w:r>
          </w:p>
        </w:tc>
        <w:tc>
          <w:tcPr>
            <w:tcW w:w="1020" w:type="dxa"/>
          </w:tcPr>
          <w:p w:rsidR="00505632" w:rsidRDefault="00505632" w:rsidP="00AD4E52">
            <w:pPr>
              <w:pStyle w:val="CellColumn"/>
              <w:jc w:val="right"/>
            </w:pPr>
            <w:r>
              <w:rPr>
                <w:rFonts w:cs="Times New Roman"/>
              </w:rPr>
              <w:t>HC</w:t>
            </w:r>
          </w:p>
        </w:tc>
        <w:tc>
          <w:tcPr>
            <w:tcW w:w="1020" w:type="dxa"/>
          </w:tcPr>
          <w:p w:rsidR="00505632" w:rsidRDefault="00505632" w:rsidP="00AD4E52">
            <w:pPr>
              <w:pStyle w:val="CellColumn"/>
              <w:jc w:val="right"/>
            </w:pPr>
            <w:r>
              <w:rPr>
                <w:rFonts w:cs="Times New Roman"/>
              </w:rPr>
              <w:t>27,70</w:t>
            </w:r>
          </w:p>
        </w:tc>
        <w:tc>
          <w:tcPr>
            <w:tcW w:w="1020" w:type="dxa"/>
          </w:tcPr>
          <w:p w:rsidR="00505632" w:rsidRDefault="00505632" w:rsidP="00AD4E52">
            <w:pPr>
              <w:pStyle w:val="CellColumn"/>
              <w:jc w:val="right"/>
            </w:pPr>
            <w:r>
              <w:rPr>
                <w:rFonts w:cs="Times New Roman"/>
              </w:rPr>
              <w:t>21,70</w:t>
            </w:r>
          </w:p>
        </w:tc>
      </w:tr>
    </w:tbl>
    <w:p w:rsidR="00505632" w:rsidRDefault="00505632" w:rsidP="00505632">
      <w:pPr>
        <w:jc w:val="left"/>
      </w:pPr>
    </w:p>
    <w:p w:rsidR="00505632" w:rsidRDefault="00505632" w:rsidP="00505632">
      <w:pPr>
        <w:pStyle w:val="Heading4"/>
      </w:pPr>
      <w:r>
        <w:t>A570504 NAKNADA U CIJENI GORIVA ZA HAC D.O.O.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A570504-NAKNADA U CIJENI GORIVA ZA HAC D.O.O.</w:t>
            </w:r>
          </w:p>
        </w:tc>
        <w:tc>
          <w:tcPr>
            <w:tcW w:w="2041" w:type="dxa"/>
          </w:tcPr>
          <w:p w:rsidR="00505632" w:rsidRDefault="00505632" w:rsidP="00AD4E52">
            <w:pPr>
              <w:pStyle w:val="CellColumn"/>
              <w:jc w:val="right"/>
            </w:pPr>
            <w:r>
              <w:rPr>
                <w:rFonts w:cs="Times New Roman"/>
              </w:rPr>
              <w:t>446.877.000</w:t>
            </w:r>
          </w:p>
        </w:tc>
        <w:tc>
          <w:tcPr>
            <w:tcW w:w="2041" w:type="dxa"/>
          </w:tcPr>
          <w:p w:rsidR="00505632" w:rsidRDefault="00505632" w:rsidP="00AD4E52">
            <w:pPr>
              <w:pStyle w:val="CellColumn"/>
              <w:jc w:val="right"/>
            </w:pPr>
            <w:r>
              <w:rPr>
                <w:rFonts w:cs="Times New Roman"/>
              </w:rPr>
              <w:t>490.382.553</w:t>
            </w:r>
          </w:p>
        </w:tc>
        <w:tc>
          <w:tcPr>
            <w:tcW w:w="2041" w:type="dxa"/>
          </w:tcPr>
          <w:p w:rsidR="00505632" w:rsidRDefault="00505632" w:rsidP="00AD4E52">
            <w:pPr>
              <w:pStyle w:val="CellColumn"/>
              <w:jc w:val="right"/>
            </w:pPr>
            <w:r>
              <w:rPr>
                <w:rFonts w:cs="Times New Roman"/>
              </w:rPr>
              <w:t>490.382.553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109,7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cestama (NN 84/11, 22/13, 54/13, 148/13 i 92/14)</w:t>
      </w:r>
    </w:p>
    <w:p w:rsidR="00505632" w:rsidRDefault="00505632" w:rsidP="00505632">
      <w:pPr>
        <w:pStyle w:val="Heading8"/>
        <w:jc w:val="left"/>
      </w:pPr>
      <w:r>
        <w:t>Opis aktivnosti</w:t>
      </w:r>
    </w:p>
    <w:p w:rsidR="00505632" w:rsidRDefault="00505632" w:rsidP="00505632">
      <w:r>
        <w:t xml:space="preserve">Temeljem Zakona o cestama naknada za financiranje građenja i održavanja javnih cesta uplaćuje se po litri naplaćene trošarine na energente i to u iznosu od 0,20 kuna na račun Hrvatskih autocesta d.o.o. </w:t>
      </w:r>
    </w:p>
    <w:p w:rsidR="00505632" w:rsidRDefault="00505632" w:rsidP="00505632">
      <w:r>
        <w:t xml:space="preserve">Navedena proračunska sredstva utrošena su za:  </w:t>
      </w:r>
    </w:p>
    <w:p w:rsidR="00505632" w:rsidRDefault="00505632" w:rsidP="00505632">
      <w:r>
        <w:t xml:space="preserve">- dio investicija u autoceste u iznosu od 171,159 mil. kuna </w:t>
      </w:r>
    </w:p>
    <w:p w:rsidR="00505632" w:rsidRDefault="00505632" w:rsidP="00505632">
      <w:r>
        <w:t xml:space="preserve">- dio otplata glavnica kredita u iznosu od 319,223 mil. kuna </w:t>
      </w:r>
    </w:p>
    <w:p w:rsidR="00505632" w:rsidRDefault="00505632" w:rsidP="00505632">
      <w:r>
        <w:t xml:space="preserve">- investicijsko (izvanredno) održavanje autocesta u iznosu od 29,300 mil. kuna. </w:t>
      </w:r>
    </w:p>
    <w:p w:rsidR="00505632" w:rsidRDefault="00505632" w:rsidP="00505632">
      <w:r>
        <w:t xml:space="preserve">Glavnina radova koji su financirani ovim sredstvima, planirana i realizirana u promatranom razdoblju, odnosi se na izgradnju na pravcima: </w:t>
      </w:r>
    </w:p>
    <w:p w:rsidR="00505632" w:rsidRDefault="00505632" w:rsidP="00505632">
      <w:r>
        <w:t xml:space="preserve">- A3 Bregana - Zagreb - Lipovac, izgradnja Čvora Lipovljani </w:t>
      </w:r>
    </w:p>
    <w:p w:rsidR="00505632" w:rsidRDefault="00505632" w:rsidP="00505632">
      <w:r>
        <w:t xml:space="preserve">- DC10 - Podravski ipsilon, završetak izgradnje i opremanja dionice Čvor Gradec - Križevci duljine 12,5 km, koju je HAC u rujnu 2016. godine, bez naknade, predao na upravljanje Hrvatskim cestama d.o.o. </w:t>
      </w:r>
    </w:p>
    <w:p w:rsidR="00505632" w:rsidRDefault="00505632" w:rsidP="00505632">
      <w:r>
        <w:t xml:space="preserve">- DC12 - Podravski ipsilon, izgradnja dionice Čvor Vrbovec2 - Farkaševac (10,6 km). </w:t>
      </w:r>
    </w:p>
    <w:p w:rsidR="00505632" w:rsidRDefault="00505632" w:rsidP="00505632">
      <w:r>
        <w:t xml:space="preserve">Ulaganja u izvanredno održavanje autocesta u 2016. godini obuhvaćaju aktivnosti obnove i rekonstrukcije kolničke konstrukcije, mostova, nadvožnjaka, usjeka i pokosa, prometne opreme i signalizacije, sustava odvodnje, radove na pratećim uslužnim objektima i COKP-ama i slično, a sve u cilju produljenja vijeka trajanja imovine i poboljšanja kvalitete i sigurnosti cestovnog prometa. </w:t>
      </w:r>
    </w:p>
    <w:p w:rsidR="00505632" w:rsidRDefault="00505632" w:rsidP="00505632">
      <w:r>
        <w:t>Nastavno na navedeno cilj je ispunjen.</w:t>
      </w:r>
    </w:p>
    <w:p w:rsidR="00505632" w:rsidRDefault="00505632" w:rsidP="00505632">
      <w:pPr>
        <w:pStyle w:val="Heading4"/>
      </w:pPr>
      <w:r>
        <w:t>A570506 NAKNADA U CIJENI GORIVA ZA HC D.O.O.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A570506-NAKNADA U CIJENI GORIVA ZA HC D.O.O.</w:t>
            </w:r>
          </w:p>
        </w:tc>
        <w:tc>
          <w:tcPr>
            <w:tcW w:w="2041" w:type="dxa"/>
          </w:tcPr>
          <w:p w:rsidR="00505632" w:rsidRDefault="00505632" w:rsidP="00AD4E52">
            <w:pPr>
              <w:pStyle w:val="CellColumn"/>
              <w:jc w:val="right"/>
            </w:pPr>
            <w:r>
              <w:rPr>
                <w:rFonts w:cs="Times New Roman"/>
              </w:rPr>
              <w:t>1.760.000.000</w:t>
            </w:r>
          </w:p>
        </w:tc>
        <w:tc>
          <w:tcPr>
            <w:tcW w:w="2041" w:type="dxa"/>
          </w:tcPr>
          <w:p w:rsidR="00505632" w:rsidRDefault="00505632" w:rsidP="00AD4E52">
            <w:pPr>
              <w:pStyle w:val="CellColumn"/>
              <w:jc w:val="right"/>
            </w:pPr>
            <w:r>
              <w:rPr>
                <w:rFonts w:cs="Times New Roman"/>
              </w:rPr>
              <w:t>1.876.748.425</w:t>
            </w:r>
          </w:p>
        </w:tc>
        <w:tc>
          <w:tcPr>
            <w:tcW w:w="2041" w:type="dxa"/>
          </w:tcPr>
          <w:p w:rsidR="00505632" w:rsidRDefault="00505632" w:rsidP="00AD4E52">
            <w:pPr>
              <w:pStyle w:val="CellColumn"/>
              <w:jc w:val="right"/>
            </w:pPr>
            <w:r>
              <w:rPr>
                <w:rFonts w:cs="Times New Roman"/>
              </w:rPr>
              <w:t>1.876.748.425</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106,6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cestama (NN 84/11, 22/13, 54/13, 148/13 i 92/14)</w:t>
      </w:r>
    </w:p>
    <w:p w:rsidR="00505632" w:rsidRDefault="00505632" w:rsidP="00505632">
      <w:pPr>
        <w:pStyle w:val="Heading8"/>
        <w:jc w:val="left"/>
      </w:pPr>
      <w:r>
        <w:t>Opis aktivnosti</w:t>
      </w:r>
    </w:p>
    <w:p w:rsidR="00505632" w:rsidRDefault="00505632" w:rsidP="00505632">
      <w:r>
        <w:t xml:space="preserve">Temeljem Zakona o cestama naknada za financiranje građenja i održavanja javnih cesta uplaćuje se po litri naplaćene trošarine na energente i to u iznosu od 0,80 kuna na račun Hrvatskih cesta d.o.o.. </w:t>
      </w:r>
    </w:p>
    <w:p w:rsidR="00505632" w:rsidRDefault="00505632" w:rsidP="00505632">
      <w:r>
        <w:t xml:space="preserve">Navedena sredstva u iznosu od 621,8 mln kn utrošena su za financijska ulaganja, kako slijedi: </w:t>
      </w:r>
    </w:p>
    <w:p w:rsidR="00505632" w:rsidRDefault="00505632" w:rsidP="00505632">
      <w:r>
        <w:t xml:space="preserve">- Izgradnja – 312,6 mln kn </w:t>
      </w:r>
    </w:p>
    <w:p w:rsidR="00505632" w:rsidRDefault="00505632" w:rsidP="00505632">
      <w:r>
        <w:t xml:space="preserve">- Betterment 51,2 mln kn </w:t>
      </w:r>
    </w:p>
    <w:p w:rsidR="00505632" w:rsidRDefault="00505632" w:rsidP="00505632">
      <w:r>
        <w:t xml:space="preserve">- Investicijsko održavanje – 233,9 mln kn </w:t>
      </w:r>
    </w:p>
    <w:p w:rsidR="00505632" w:rsidRDefault="00505632" w:rsidP="00505632">
      <w:r>
        <w:t xml:space="preserve">- Nabava opreme – 17,2 mln kn </w:t>
      </w:r>
    </w:p>
    <w:p w:rsidR="00505632" w:rsidRDefault="00505632" w:rsidP="00505632">
      <w:r>
        <w:t xml:space="preserve">- Sanaciju klizišta – 6,9 mln kn </w:t>
      </w:r>
    </w:p>
    <w:p w:rsidR="00505632" w:rsidRDefault="00505632" w:rsidP="00505632">
      <w:r>
        <w:t xml:space="preserve">Osim navedenih investicijskih ulaganja doznačena sredstva su utrošene i na sljedeće aktivnosti: </w:t>
      </w:r>
    </w:p>
    <w:p w:rsidR="00505632" w:rsidRDefault="00505632" w:rsidP="00505632">
      <w:r>
        <w:t xml:space="preserve">- 383,6 mln. kn za održavanje cesta (redovito 367,9 mln kn i izvanredno 15,7 mln kn) </w:t>
      </w:r>
    </w:p>
    <w:p w:rsidR="00505632" w:rsidRDefault="00505632" w:rsidP="00505632">
      <w:r>
        <w:t xml:space="preserve">- 53,1 mln kn.kn za sanaciju šteta na poplavljenim područjima </w:t>
      </w:r>
    </w:p>
    <w:p w:rsidR="00505632" w:rsidRDefault="00505632" w:rsidP="00505632">
      <w:r>
        <w:t xml:space="preserve">- 413,2 mln kn za kamate i naknade za financiranje građenja i održavanja državnih cesta </w:t>
      </w:r>
    </w:p>
    <w:p w:rsidR="00505632" w:rsidRDefault="00505632" w:rsidP="00505632">
      <w:r>
        <w:t xml:space="preserve">- 17,0 mln kn za sufinanciranje Županijskih uprava za ceste </w:t>
      </w:r>
    </w:p>
    <w:p w:rsidR="00505632" w:rsidRDefault="00505632" w:rsidP="00505632">
      <w:r>
        <w:t xml:space="preserve">- 87,0 mln kn studije i troškove upravljanja </w:t>
      </w:r>
    </w:p>
    <w:p w:rsidR="00505632" w:rsidRDefault="00505632" w:rsidP="00505632">
      <w:r>
        <w:t xml:space="preserve">- 301,0 mln kn za otplatu dospjele glavnice </w:t>
      </w:r>
    </w:p>
    <w:p w:rsidR="00505632" w:rsidRDefault="00505632" w:rsidP="00505632">
      <w:r>
        <w:t>Nastavno na navedeno cilj je ispunjen.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 xml:space="preserve">Kilometri investicijskog održavanja državnih cesta  </w:t>
            </w:r>
          </w:p>
          <w:p w:rsidR="00505632" w:rsidRDefault="00505632" w:rsidP="00AD4E52">
            <w:pPr>
              <w:pStyle w:val="CellColumn"/>
              <w:jc w:val="left"/>
            </w:pPr>
            <w:r>
              <w:rPr>
                <w:rFonts w:cs="Times New Roman"/>
              </w:rPr>
              <w:t>(godišnja vrijednost)</w:t>
            </w:r>
          </w:p>
        </w:tc>
        <w:tc>
          <w:tcPr>
            <w:tcW w:w="2551" w:type="dxa"/>
          </w:tcPr>
          <w:p w:rsidR="00505632" w:rsidRDefault="00505632" w:rsidP="00AD4E52">
            <w:pPr>
              <w:pStyle w:val="CellColumn"/>
              <w:jc w:val="left"/>
            </w:pPr>
            <w:r>
              <w:rPr>
                <w:rFonts w:cs="Times New Roman"/>
              </w:rPr>
              <w:t>Unaprjeđenje stanja kolnika državnih cesta</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97</w:t>
            </w:r>
          </w:p>
        </w:tc>
        <w:tc>
          <w:tcPr>
            <w:tcW w:w="1020" w:type="dxa"/>
          </w:tcPr>
          <w:p w:rsidR="00505632" w:rsidRDefault="00505632" w:rsidP="00AD4E52">
            <w:pPr>
              <w:pStyle w:val="CellColumn"/>
              <w:jc w:val="right"/>
            </w:pPr>
            <w:r>
              <w:rPr>
                <w:rFonts w:cs="Times New Roman"/>
              </w:rPr>
              <w:t>Program građenja i održavanja javnih cesta 2013.-2016.</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60</w:t>
            </w:r>
          </w:p>
        </w:tc>
      </w:tr>
    </w:tbl>
    <w:p w:rsidR="00505632" w:rsidRDefault="00505632" w:rsidP="00505632">
      <w:pPr>
        <w:jc w:val="left"/>
      </w:pPr>
    </w:p>
    <w:p w:rsidR="00505632" w:rsidRDefault="00505632" w:rsidP="00505632">
      <w:pPr>
        <w:pStyle w:val="Heading4"/>
      </w:pPr>
      <w:r>
        <w:t>A754005 GODIŠNJA NAKNADA ZA UPORABU JAVNIH CESTA I CESTARINA ZA NAJTEŽE INVALIDE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A754005-GODIŠNJA NAKNADA ZA UPORABU JAVNIH CESTA I CESTARINA ZA NAJTEŽE INVALIDE</w:t>
            </w:r>
          </w:p>
        </w:tc>
        <w:tc>
          <w:tcPr>
            <w:tcW w:w="2041" w:type="dxa"/>
          </w:tcPr>
          <w:p w:rsidR="00505632" w:rsidRDefault="00505632" w:rsidP="00AD4E52">
            <w:pPr>
              <w:pStyle w:val="CellColumn"/>
              <w:jc w:val="right"/>
            </w:pPr>
            <w:r>
              <w:rPr>
                <w:rFonts w:cs="Times New Roman"/>
              </w:rPr>
              <w:t>27.850.854</w:t>
            </w:r>
          </w:p>
        </w:tc>
        <w:tc>
          <w:tcPr>
            <w:tcW w:w="2041" w:type="dxa"/>
          </w:tcPr>
          <w:p w:rsidR="00505632" w:rsidRDefault="00505632" w:rsidP="00AD4E52">
            <w:pPr>
              <w:pStyle w:val="CellColumn"/>
              <w:jc w:val="right"/>
            </w:pPr>
            <w:r>
              <w:rPr>
                <w:rFonts w:cs="Times New Roman"/>
              </w:rPr>
              <w:t>27.580.000</w:t>
            </w:r>
          </w:p>
        </w:tc>
        <w:tc>
          <w:tcPr>
            <w:tcW w:w="2041" w:type="dxa"/>
          </w:tcPr>
          <w:p w:rsidR="00505632" w:rsidRDefault="00505632" w:rsidP="00AD4E52">
            <w:pPr>
              <w:pStyle w:val="CellColumn"/>
              <w:jc w:val="right"/>
            </w:pPr>
            <w:r>
              <w:rPr>
                <w:rFonts w:cs="Times New Roman"/>
              </w:rPr>
              <w:t>27.578.765</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99,0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cestama (NN 84/11, 22/13, 54/13, 148/13 i 92/14) </w:t>
      </w:r>
    </w:p>
    <w:p w:rsidR="00505632" w:rsidRDefault="00505632" w:rsidP="00505632">
      <w:r>
        <w:t xml:space="preserve">- Pravilnik o  postupku i načinu ostvarivanja prava na oslobađanje plaćanja godišnje naknade za uporabu javnih cesta i cestarine (NN 136/11), </w:t>
      </w:r>
    </w:p>
    <w:p w:rsidR="00505632" w:rsidRDefault="00505632" w:rsidP="00505632">
      <w:r>
        <w:t>- Pravilnik o načinu, postupku i dinamici ostvarivanja prava na nadoknadu iznosa godišnje naknade i cestarine (NN 143/06)</w:t>
      </w:r>
    </w:p>
    <w:p w:rsidR="00505632" w:rsidRDefault="00505632" w:rsidP="00505632">
      <w:pPr>
        <w:pStyle w:val="Heading8"/>
        <w:jc w:val="left"/>
      </w:pPr>
      <w:r>
        <w:t>Opis aktivnosti</w:t>
      </w:r>
    </w:p>
    <w:p w:rsidR="00505632" w:rsidRDefault="00505632" w:rsidP="00505632">
      <w:r>
        <w:t>Na temelju rješenja ovog Ministarstva osobe s invaliditetom ostvaruju pravo na oslobađanje plaćanja godišnje naknade za uporabu javnih cesta i cestarine za uporabu autocesta, koje oni realiziraju prilikom registracije vozila u stanicama za tehnički pregled, odnosno prilikom vožnje dionicama autocesta kod nadležnih operatera. Rješenje ministarstva je završetak upravnog postupka tijekom kojeg su druga nadležna tijela utvrdila postotak tjelesnog oštećenja i područje na koje se to tjelesno oštećenje odnosi. Cilj ovog programa je omogućiti navedenim osobama s invaliditetom  mobilnost i jednaku dostupnost javnih cesta i autocesta. Naime, ostvarivanje ovih prava nije besplatno za osobe s invaliditetom, budući da se upraviteljima cesta i autocesta za svako korištenje i ostvarivanje godišnje naknade i cestarine sredstva nadoknađuju iz Državnog proračuna RH. Tijekom 2016. godine osobama s invaliditetom nadoknađeno je ukupno  30.168 godišnje naknade za uporabu javnih cesta, te 341.225 prolazaka za uporabu dionica autocesta. Ciljanu vrijednost za 2016. godinu nije bilo moguće točno predvidjeti budući ukupni broj ostvarenih oslobađanja od plaćanja ovisi o broju predanih zahtjeva i  broju vožnje autocestom (što pak ovisi o vremenskoj prognozi, odnosno broju sunčanih dana i cijeni goriva). Nastavno na navedeno cilj je ispunjen.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ostvarenih oslobađanja od plaćanja godišnje naknade za uporabu javnih cesta za vozila osoba s invaliditetom</w:t>
            </w:r>
          </w:p>
        </w:tc>
        <w:tc>
          <w:tcPr>
            <w:tcW w:w="2551" w:type="dxa"/>
          </w:tcPr>
          <w:p w:rsidR="00505632" w:rsidRDefault="00505632" w:rsidP="00AD4E52">
            <w:pPr>
              <w:pStyle w:val="CellColumn"/>
              <w:jc w:val="left"/>
            </w:pPr>
            <w:r>
              <w:rPr>
                <w:rFonts w:cs="Times New Roman"/>
              </w:rPr>
              <w:t>Broj isplaćenih naknada za uporabu javnih cesta za vozila osoba s invaliditetom</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33.150</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33.300</w:t>
            </w:r>
          </w:p>
        </w:tc>
        <w:tc>
          <w:tcPr>
            <w:tcW w:w="1020" w:type="dxa"/>
          </w:tcPr>
          <w:p w:rsidR="00505632" w:rsidRDefault="00505632" w:rsidP="00AD4E52">
            <w:pPr>
              <w:pStyle w:val="CellColumn"/>
              <w:jc w:val="right"/>
            </w:pPr>
            <w:r>
              <w:rPr>
                <w:rFonts w:cs="Times New Roman"/>
              </w:rPr>
              <w:t>30.168</w:t>
            </w:r>
          </w:p>
        </w:tc>
      </w:tr>
      <w:tr w:rsidR="00505632" w:rsidTr="00AD4E52">
        <w:trPr>
          <w:jc w:val="center"/>
        </w:trPr>
        <w:tc>
          <w:tcPr>
            <w:tcW w:w="2551" w:type="dxa"/>
          </w:tcPr>
          <w:p w:rsidR="00505632" w:rsidRDefault="00505632" w:rsidP="00AD4E52">
            <w:pPr>
              <w:pStyle w:val="CellColumn"/>
              <w:jc w:val="left"/>
            </w:pPr>
            <w:r>
              <w:rPr>
                <w:rFonts w:cs="Times New Roman"/>
              </w:rPr>
              <w:t>Broj ostvarenih  oslobađanja od plaćanja cestarine za uporabu dionica autocesta za vozila osoba s invaliditetom</w:t>
            </w:r>
          </w:p>
        </w:tc>
        <w:tc>
          <w:tcPr>
            <w:tcW w:w="2551" w:type="dxa"/>
          </w:tcPr>
          <w:p w:rsidR="00505632" w:rsidRDefault="00505632" w:rsidP="00AD4E52">
            <w:pPr>
              <w:pStyle w:val="CellColumn"/>
              <w:jc w:val="left"/>
            </w:pPr>
            <w:r>
              <w:rPr>
                <w:rFonts w:cs="Times New Roman"/>
              </w:rPr>
              <w:t>Broj isplaćenih nadoknada  za uporabu dionica autocesta za vozila osoba s invaliditetom</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362.701</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363.000</w:t>
            </w:r>
          </w:p>
        </w:tc>
        <w:tc>
          <w:tcPr>
            <w:tcW w:w="1020" w:type="dxa"/>
          </w:tcPr>
          <w:p w:rsidR="00505632" w:rsidRDefault="00505632" w:rsidP="00AD4E52">
            <w:pPr>
              <w:pStyle w:val="CellColumn"/>
              <w:jc w:val="right"/>
            </w:pPr>
            <w:r>
              <w:rPr>
                <w:rFonts w:cs="Times New Roman"/>
              </w:rPr>
              <w:t>341.225</w:t>
            </w:r>
          </w:p>
        </w:tc>
      </w:tr>
    </w:tbl>
    <w:p w:rsidR="00505632" w:rsidRDefault="00505632" w:rsidP="00505632">
      <w:pPr>
        <w:jc w:val="left"/>
      </w:pPr>
    </w:p>
    <w:p w:rsidR="00505632" w:rsidRDefault="00505632" w:rsidP="00505632">
      <w:pPr>
        <w:pStyle w:val="Heading4"/>
      </w:pPr>
      <w:r>
        <w:t>A819031 PROVEDBA UGOVORA O KONCESIJI - BINA-ISTRA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A819031-PROVEDBA UGOVORA O KONCESIJI - BINA-ISTRA</w:t>
            </w:r>
          </w:p>
        </w:tc>
        <w:tc>
          <w:tcPr>
            <w:tcW w:w="2041" w:type="dxa"/>
          </w:tcPr>
          <w:p w:rsidR="00505632" w:rsidRDefault="00505632" w:rsidP="00AD4E52">
            <w:pPr>
              <w:pStyle w:val="CellColumn"/>
              <w:jc w:val="right"/>
            </w:pPr>
            <w:r>
              <w:rPr>
                <w:rFonts w:cs="Times New Roman"/>
              </w:rPr>
              <w:t>278.528.990</w:t>
            </w:r>
          </w:p>
        </w:tc>
        <w:tc>
          <w:tcPr>
            <w:tcW w:w="2041" w:type="dxa"/>
          </w:tcPr>
          <w:p w:rsidR="00505632" w:rsidRDefault="00505632" w:rsidP="00AD4E52">
            <w:pPr>
              <w:pStyle w:val="CellColumn"/>
              <w:jc w:val="right"/>
            </w:pPr>
            <w:r>
              <w:rPr>
                <w:rFonts w:cs="Times New Roman"/>
              </w:rPr>
              <w:t>293.000.000</w:t>
            </w:r>
          </w:p>
        </w:tc>
        <w:tc>
          <w:tcPr>
            <w:tcW w:w="2041" w:type="dxa"/>
          </w:tcPr>
          <w:p w:rsidR="00505632" w:rsidRDefault="00505632" w:rsidP="00AD4E52">
            <w:pPr>
              <w:pStyle w:val="CellColumn"/>
              <w:jc w:val="right"/>
            </w:pPr>
            <w:r>
              <w:rPr>
                <w:rFonts w:cs="Times New Roman"/>
              </w:rPr>
              <w:t>293.000.000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105,2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Ugovor o koncesiji za financiranje, građenje, upravljanje i održavanje "Jadranske autoceste" dionica: Dragonja-Pula i Kanfanar-Pazin-Matulji (Prva i druga faza), od 25. rujna 1995. godine sa četiri izmjene Ugovora - članci 25.2 i 26.2 Poglavlja 5. Ugovora o koncesiji za financiranje, građenje, upravljanje i održavanje „Jadranske autoceste“ - dionica Dragonja-Pula i Kanfanar-Pazin-Matulji (Prva i druga faza) od 25. rujna 1995. godine i članak 6. Priloga 18. Ugovora o izmjenama i dopunama br. 4 Ugovora o koncesiji za financiranje, građenje, upravljanje i održavanje „Jadranske autoceste“ - dionica Dragonja-Pula i Kanfanar-Pazin-Matulji (Prva i druga faza) od 25. kolovoza 2008. godine.</w:t>
      </w:r>
    </w:p>
    <w:p w:rsidR="00505632" w:rsidRDefault="00505632" w:rsidP="00505632">
      <w:pPr>
        <w:pStyle w:val="Heading8"/>
        <w:jc w:val="left"/>
      </w:pPr>
      <w:r>
        <w:t>Opis aktivnosti</w:t>
      </w:r>
    </w:p>
    <w:p w:rsidR="00505632" w:rsidRDefault="00505632" w:rsidP="00505632">
      <w:r>
        <w:t xml:space="preserve">Sredstva s ove aktivnosti isplaćivana su sukladno člancima 25.2. i 26.2. Poglavlja 5, te sukladno Prilogu 18., Ugovora o izmjenama i dopunama br. 4, Ugovora o koncesiji za financiranje, građenje, upravljanje i održavanje „Jadranske autoceste“ – dionica Dragonja-Pula i Kanfanar-Pazin-Matulji (Prva i druga faza) od 25. kolovoza 2008. godine, a utrošena su za: </w:t>
      </w:r>
    </w:p>
    <w:p w:rsidR="00505632" w:rsidRDefault="00505632" w:rsidP="00505632">
      <w:r>
        <w:t xml:space="preserve">- podmirenje standardnih troškova Koncesionara </w:t>
      </w:r>
    </w:p>
    <w:p w:rsidR="00505632" w:rsidRDefault="00505632" w:rsidP="00505632">
      <w:r>
        <w:t xml:space="preserve">- troškove upravljanja i održavanja (na temelju ugovora o održavanju i upravljanju 142 km autoceste na Istarskom ipsilonu) </w:t>
      </w:r>
    </w:p>
    <w:p w:rsidR="00505632" w:rsidRDefault="00505632" w:rsidP="00505632">
      <w:r>
        <w:t xml:space="preserve">- izvanredno održavanje (tunel Učka, obnova autoceste) </w:t>
      </w:r>
    </w:p>
    <w:p w:rsidR="00505632" w:rsidRDefault="00505632" w:rsidP="00505632">
      <w:r>
        <w:t xml:space="preserve">- servisiranje duga (otplata kamate i glavnice na povučena sredstva iz kredita temeljem ugovora o kreditu). </w:t>
      </w:r>
    </w:p>
    <w:p w:rsidR="00505632" w:rsidRDefault="00505632" w:rsidP="00505632">
      <w:r>
        <w:t>Nastavno na navedeno cilj je ispunjen.</w:t>
      </w:r>
    </w:p>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prolazaka autocestom</w:t>
            </w:r>
          </w:p>
        </w:tc>
        <w:tc>
          <w:tcPr>
            <w:tcW w:w="2551" w:type="dxa"/>
          </w:tcPr>
          <w:p w:rsidR="00505632" w:rsidRDefault="00505632" w:rsidP="00AD4E52">
            <w:pPr>
              <w:pStyle w:val="CellColumn"/>
              <w:jc w:val="left"/>
            </w:pPr>
            <w:r>
              <w:rPr>
                <w:rFonts w:cs="Times New Roman"/>
              </w:rPr>
              <w:t>Unaprjeđenjem kvalitete usluge povećava se promet na Istarskom ipsilonu</w:t>
            </w:r>
          </w:p>
        </w:tc>
        <w:tc>
          <w:tcPr>
            <w:tcW w:w="1020" w:type="dxa"/>
          </w:tcPr>
          <w:p w:rsidR="00505632" w:rsidRDefault="00505632" w:rsidP="00AD4E52">
            <w:pPr>
              <w:pStyle w:val="CellColumn"/>
              <w:jc w:val="right"/>
            </w:pPr>
            <w:r>
              <w:rPr>
                <w:rFonts w:cs="Times New Roman"/>
              </w:rPr>
              <w:t>broj transakcija</w:t>
            </w:r>
          </w:p>
        </w:tc>
        <w:tc>
          <w:tcPr>
            <w:tcW w:w="1020" w:type="dxa"/>
          </w:tcPr>
          <w:p w:rsidR="00505632" w:rsidRDefault="00505632" w:rsidP="00AD4E52">
            <w:pPr>
              <w:pStyle w:val="CellColumn"/>
              <w:jc w:val="right"/>
            </w:pPr>
            <w:r>
              <w:rPr>
                <w:rFonts w:cs="Times New Roman"/>
              </w:rPr>
              <w:t>8.492.995</w:t>
            </w:r>
          </w:p>
        </w:tc>
        <w:tc>
          <w:tcPr>
            <w:tcW w:w="1020" w:type="dxa"/>
          </w:tcPr>
          <w:p w:rsidR="00505632" w:rsidRDefault="00505632" w:rsidP="00AD4E52">
            <w:pPr>
              <w:pStyle w:val="CellColumn"/>
              <w:jc w:val="right"/>
            </w:pPr>
            <w:r>
              <w:rPr>
                <w:rFonts w:cs="Times New Roman"/>
              </w:rPr>
              <w:t>Bina Istra</w:t>
            </w:r>
          </w:p>
        </w:tc>
        <w:tc>
          <w:tcPr>
            <w:tcW w:w="1020" w:type="dxa"/>
          </w:tcPr>
          <w:p w:rsidR="00505632" w:rsidRDefault="00505632" w:rsidP="00AD4E52">
            <w:pPr>
              <w:pStyle w:val="CellColumn"/>
              <w:jc w:val="right"/>
            </w:pPr>
            <w:r>
              <w:rPr>
                <w:rFonts w:cs="Times New Roman"/>
              </w:rPr>
              <w:t>8.747.785</w:t>
            </w:r>
          </w:p>
        </w:tc>
        <w:tc>
          <w:tcPr>
            <w:tcW w:w="1020" w:type="dxa"/>
          </w:tcPr>
          <w:p w:rsidR="00505632" w:rsidRDefault="00505632" w:rsidP="00AD4E52">
            <w:pPr>
              <w:pStyle w:val="CellColumn"/>
              <w:jc w:val="right"/>
            </w:pPr>
            <w:r>
              <w:rPr>
                <w:rFonts w:cs="Times New Roman"/>
              </w:rPr>
              <w:t>9.067.175</w:t>
            </w:r>
          </w:p>
        </w:tc>
      </w:tr>
    </w:tbl>
    <w:p w:rsidR="00505632" w:rsidRDefault="00505632" w:rsidP="00505632">
      <w:pPr>
        <w:jc w:val="left"/>
      </w:pPr>
    </w:p>
    <w:p w:rsidR="00505632" w:rsidRDefault="00505632" w:rsidP="00505632">
      <w:pPr>
        <w:pStyle w:val="Heading4"/>
      </w:pPr>
      <w:r>
        <w:t>A820029 NAKNADA CESTARINA ZA NATO I EUFOR VOZILA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A820029-NAKNADA CESTARINA ZA NATO I EUFOR VOZILA</w:t>
            </w:r>
          </w:p>
        </w:tc>
        <w:tc>
          <w:tcPr>
            <w:tcW w:w="2041" w:type="dxa"/>
          </w:tcPr>
          <w:p w:rsidR="00505632" w:rsidRDefault="00505632" w:rsidP="00AD4E52">
            <w:pPr>
              <w:pStyle w:val="CellColumn"/>
              <w:jc w:val="right"/>
            </w:pPr>
            <w:r>
              <w:rPr>
                <w:rFonts w:cs="Times New Roman"/>
              </w:rPr>
              <w:t>530.000</w:t>
            </w:r>
          </w:p>
        </w:tc>
        <w:tc>
          <w:tcPr>
            <w:tcW w:w="2041" w:type="dxa"/>
          </w:tcPr>
          <w:p w:rsidR="00505632" w:rsidRDefault="00505632" w:rsidP="00AD4E52">
            <w:pPr>
              <w:pStyle w:val="CellColumn"/>
              <w:jc w:val="right"/>
            </w:pPr>
            <w:r>
              <w:rPr>
                <w:rFonts w:cs="Times New Roman"/>
              </w:rPr>
              <w:t>580.000</w:t>
            </w:r>
          </w:p>
        </w:tc>
        <w:tc>
          <w:tcPr>
            <w:tcW w:w="2041" w:type="dxa"/>
          </w:tcPr>
          <w:p w:rsidR="00505632" w:rsidRDefault="00505632" w:rsidP="00AD4E52">
            <w:pPr>
              <w:pStyle w:val="CellColumn"/>
              <w:jc w:val="right"/>
            </w:pPr>
            <w:r>
              <w:rPr>
                <w:rFonts w:cs="Times New Roman"/>
              </w:rPr>
              <w:t>550.144</w:t>
            </w:r>
          </w:p>
        </w:tc>
        <w:tc>
          <w:tcPr>
            <w:tcW w:w="1224" w:type="dxa"/>
          </w:tcPr>
          <w:p w:rsidR="00505632" w:rsidRDefault="00505632" w:rsidP="00AD4E52">
            <w:pPr>
              <w:pStyle w:val="CellColumn"/>
              <w:jc w:val="right"/>
            </w:pPr>
            <w:r>
              <w:rPr>
                <w:rFonts w:cs="Times New Roman"/>
              </w:rPr>
              <w:t>94,9</w:t>
            </w:r>
          </w:p>
        </w:tc>
        <w:tc>
          <w:tcPr>
            <w:tcW w:w="1224" w:type="dxa"/>
          </w:tcPr>
          <w:p w:rsidR="00505632" w:rsidRDefault="00505632" w:rsidP="00AD4E52">
            <w:pPr>
              <w:pStyle w:val="CellColumn"/>
              <w:jc w:val="right"/>
            </w:pPr>
            <w:r>
              <w:rPr>
                <w:rFonts w:cs="Times New Roman"/>
              </w:rPr>
              <w:t>103,8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Osnova za isplatu sredstava je Postupno pravilo za propuštanje vozila NATO-a i EUFOR-a i vozila, kojima upravljaju djelatnici NATO-a i EUFOR-a kroz naplatne postaje na autocestama u Republici Hrvatskoj. Naknada se obračunava prema stvarno evidentiranim prolascima i nadoknađuje se Hrvatskim autocestama d.o.o., Autocesti Rijeka-Zagreb d.d., Autocesti Zagreb-Macelj d.o.o. i Bina Istri d.d.</w:t>
      </w:r>
    </w:p>
    <w:p w:rsidR="00505632" w:rsidRDefault="00505632" w:rsidP="00505632">
      <w:pPr>
        <w:pStyle w:val="Heading8"/>
        <w:jc w:val="left"/>
      </w:pPr>
      <w:r>
        <w:t>Opis aktivnosti</w:t>
      </w:r>
    </w:p>
    <w:p w:rsidR="00505632" w:rsidRDefault="00505632" w:rsidP="00505632">
      <w:r>
        <w:t xml:space="preserve">Sredstva su utrošena za potrebe plaćanja tekućih troškova Hrvatskih autocesta d.o.o., Autocesta Rijeka-Zagreb d.d., Autocesta Zagreb-Macelj d.o.o. i Bina Istre d.d.., osim ostvarenih prihoda od cestarine. </w:t>
      </w:r>
    </w:p>
    <w:p w:rsidR="00505632" w:rsidRDefault="00505632" w:rsidP="00505632">
      <w:r>
        <w:t>Nastavno na navedeno cilj je ispunjen.</w:t>
      </w:r>
    </w:p>
    <w:p w:rsidR="00505632" w:rsidRDefault="00505632" w:rsidP="00505632">
      <w:pPr>
        <w:pStyle w:val="Heading4"/>
      </w:pPr>
      <w:r>
        <w:t>A821001 PROVEDBA UGOVORA O KONCESIJI - AUTOCESTA RIJEKA-ZAGREB</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A821001-PROVEDBA UGOVORA O KONCESIJI - AUTOCESTA RIJEKA-ZAGREB</w:t>
            </w:r>
          </w:p>
        </w:tc>
        <w:tc>
          <w:tcPr>
            <w:tcW w:w="2041" w:type="dxa"/>
          </w:tcPr>
          <w:p w:rsidR="00505632" w:rsidRDefault="00505632" w:rsidP="00AD4E52">
            <w:pPr>
              <w:pStyle w:val="CellColumn"/>
              <w:jc w:val="right"/>
            </w:pPr>
            <w:r>
              <w:rPr>
                <w:rFonts w:cs="Times New Roman"/>
              </w:rPr>
              <w:t>48.015.439</w:t>
            </w:r>
          </w:p>
        </w:tc>
        <w:tc>
          <w:tcPr>
            <w:tcW w:w="2041" w:type="dxa"/>
          </w:tcPr>
          <w:p w:rsidR="00505632" w:rsidRDefault="00505632" w:rsidP="00AD4E52">
            <w:pPr>
              <w:pStyle w:val="CellColumn"/>
              <w:jc w:val="right"/>
            </w:pPr>
            <w:r>
              <w:rPr>
                <w:rFonts w:cs="Times New Roman"/>
              </w:rPr>
              <w:t>56.096.655</w:t>
            </w:r>
          </w:p>
        </w:tc>
        <w:tc>
          <w:tcPr>
            <w:tcW w:w="2041" w:type="dxa"/>
          </w:tcPr>
          <w:p w:rsidR="00505632" w:rsidRDefault="00505632" w:rsidP="00AD4E52">
            <w:pPr>
              <w:pStyle w:val="CellColumn"/>
              <w:jc w:val="right"/>
            </w:pPr>
            <w:r>
              <w:rPr>
                <w:rFonts w:cs="Times New Roman"/>
              </w:rPr>
              <w:t>56.023.667</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116,7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Osnova za isplatu sredstava je: </w:t>
      </w:r>
    </w:p>
    <w:p w:rsidR="00505632" w:rsidRDefault="00505632" w:rsidP="00505632">
      <w:r>
        <w:t xml:space="preserve">- doprinos Koncesionaru temeljem članka 16. stavak 7. i članka 17. stavak 1. Ugovora o koncesiji za građenje i gospodarenje autocestom Rijeka-Zagreb od 24. lipnja 1998. godine, </w:t>
      </w:r>
    </w:p>
    <w:p w:rsidR="00505632" w:rsidRDefault="00505632" w:rsidP="00505632">
      <w:r>
        <w:t xml:space="preserve">- naknada troškova održavanja obilaznice grada Rijeke koncesionaru Autocesta Rijeka-Zagreb temeljem članka 23. IV Ugovora o izmjenama i dopunama Ugovora o koncesiji od 23. kolovoza 2007. godine, </w:t>
      </w:r>
    </w:p>
    <w:p w:rsidR="00505632" w:rsidRDefault="00505632" w:rsidP="00505632">
      <w:r>
        <w:t>- sufinanciranje mostarine mosta Krk za pravne i fizičke osobe sukladno članku 90. Zakona o cestama.</w:t>
      </w:r>
    </w:p>
    <w:p w:rsidR="00505632" w:rsidRDefault="00505632" w:rsidP="00505632">
      <w:pPr>
        <w:pStyle w:val="Heading8"/>
        <w:jc w:val="left"/>
      </w:pPr>
      <w:r>
        <w:t>Opis aktivnosti</w:t>
      </w:r>
    </w:p>
    <w:p w:rsidR="00505632" w:rsidRDefault="00505632" w:rsidP="00505632">
      <w:r>
        <w:t xml:space="preserve">Navedena sredstva utrošena su za: </w:t>
      </w:r>
    </w:p>
    <w:p w:rsidR="00505632" w:rsidRDefault="00505632" w:rsidP="00505632">
      <w:r>
        <w:t xml:space="preserve">- iznos od 6.041.747,12 kuna sufinanciranje troškova usluga projektiranja u koje su uključeni svi troškovi upravnog postupka do konačnog izdavanja građevinske dozvole (što obuhvaća i troškove za izdavanje lokacijske dozvole, pristojbe, te pripadajući vodni i komunalni doprinos), izvlaštenja, zaključaka i troškova upisa (dio potraživanja iz 2014, 2015 i dio 2016. godine), </w:t>
      </w:r>
    </w:p>
    <w:p w:rsidR="00505632" w:rsidRDefault="00505632" w:rsidP="00505632">
      <w:r>
        <w:t xml:space="preserve">- iznos od 25.852.368,26 kuna za nadoknadu troškova održavanja obilaznice grada Rijeke (redovno i izvanredno održavanje), sukladno čl. 23. IV Ugovora o izmjenama i dopunama Ugovora o koncesiji (dio 2015. godine i dio 2016. godine), </w:t>
      </w:r>
    </w:p>
    <w:p w:rsidR="00505632" w:rsidRDefault="00505632" w:rsidP="00505632">
      <w:r>
        <w:t xml:space="preserve">- iznos od 24.129.552,00 kuna za sufinanciranje mostarine mosta Krk; za pravne osobe iznos 6.799.998,00 i fizičke osobe iznos 17.329.554,00 sukladno članku 90. Zakona o cestama. </w:t>
      </w:r>
    </w:p>
    <w:p w:rsidR="00505632" w:rsidRDefault="00505632" w:rsidP="00505632">
      <w:r>
        <w:t>Nastavno na navedeno cilj je ispunjen.</w:t>
      </w:r>
    </w:p>
    <w:p w:rsidR="00505632" w:rsidRDefault="00505632" w:rsidP="00505632">
      <w:pPr>
        <w:pStyle w:val="Heading4"/>
      </w:pPr>
      <w:r>
        <w:t>K570344 PROVEDBA UGOVORA O KONCESIJI - AUTOCESTA ZAGREB-MACELJ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K570344-PROVEDBA UGOVORA O KONCESIJI - AUTOCESTA ZAGREB-MACELJ</w:t>
            </w:r>
          </w:p>
        </w:tc>
        <w:tc>
          <w:tcPr>
            <w:tcW w:w="2041" w:type="dxa"/>
          </w:tcPr>
          <w:p w:rsidR="00505632" w:rsidRDefault="00505632" w:rsidP="00AD4E52">
            <w:pPr>
              <w:pStyle w:val="CellColumn"/>
              <w:jc w:val="right"/>
            </w:pPr>
            <w:r>
              <w:rPr>
                <w:rFonts w:cs="Times New Roman"/>
              </w:rPr>
              <w:t>84.126.182</w:t>
            </w:r>
          </w:p>
        </w:tc>
        <w:tc>
          <w:tcPr>
            <w:tcW w:w="2041" w:type="dxa"/>
          </w:tcPr>
          <w:p w:rsidR="00505632" w:rsidRDefault="00505632" w:rsidP="00AD4E52">
            <w:pPr>
              <w:pStyle w:val="CellColumn"/>
              <w:jc w:val="right"/>
            </w:pPr>
            <w:r>
              <w:rPr>
                <w:rFonts w:cs="Times New Roman"/>
              </w:rPr>
              <w:t>90.810.000</w:t>
            </w:r>
          </w:p>
        </w:tc>
        <w:tc>
          <w:tcPr>
            <w:tcW w:w="2041" w:type="dxa"/>
          </w:tcPr>
          <w:p w:rsidR="00505632" w:rsidRDefault="00505632" w:rsidP="00AD4E52">
            <w:pPr>
              <w:pStyle w:val="CellColumn"/>
              <w:jc w:val="right"/>
            </w:pPr>
            <w:r>
              <w:rPr>
                <w:rFonts w:cs="Times New Roman"/>
              </w:rPr>
              <w:t>88.362.194</w:t>
            </w:r>
          </w:p>
        </w:tc>
        <w:tc>
          <w:tcPr>
            <w:tcW w:w="1224" w:type="dxa"/>
          </w:tcPr>
          <w:p w:rsidR="00505632" w:rsidRDefault="00505632" w:rsidP="00AD4E52">
            <w:pPr>
              <w:pStyle w:val="CellColumn"/>
              <w:jc w:val="right"/>
            </w:pPr>
            <w:r>
              <w:rPr>
                <w:rFonts w:cs="Times New Roman"/>
              </w:rPr>
              <w:t>97,3</w:t>
            </w:r>
          </w:p>
        </w:tc>
        <w:tc>
          <w:tcPr>
            <w:tcW w:w="1224" w:type="dxa"/>
          </w:tcPr>
          <w:p w:rsidR="00505632" w:rsidRDefault="00505632" w:rsidP="00AD4E52">
            <w:pPr>
              <w:pStyle w:val="CellColumn"/>
              <w:jc w:val="right"/>
            </w:pPr>
            <w:r>
              <w:rPr>
                <w:rFonts w:cs="Times New Roman"/>
              </w:rPr>
              <w:t>105,0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Osnova za isplatu sredstava je plaćanje obveze Davatelja koncesije za uplatu Financijskog doprinosa temeljem članka 30.8 Ugovora o koncesiji između Republike Hrvatske i Autoceste Zagreb-Macelj d.o.o., kao i izmjenama Ugovora te temeljem Sporazuma o cestarini od 3. veljače 2006. godine. Plaćanje obaveza Davatelja koncesije po Garanciji za pad prometa na temelju zahtjeva – pisane obavijesti koncesionara.  </w:t>
      </w:r>
    </w:p>
    <w:p w:rsidR="00505632" w:rsidRDefault="00505632" w:rsidP="00505632">
      <w:r>
        <w:t>Sredstva imaju tretman kredita te će ista koncesijsko društvo Autocesta Zagreb-Macelj d.o.o. vratiti na račun Državnog proračuna s kamatom od 6% godišnje, nakon što se ostvare ugovoreni uvjeti za povrat kredita.</w:t>
      </w:r>
    </w:p>
    <w:p w:rsidR="00505632" w:rsidRDefault="00505632" w:rsidP="00505632">
      <w:pPr>
        <w:pStyle w:val="Heading8"/>
        <w:jc w:val="left"/>
      </w:pPr>
      <w:r>
        <w:t>Opis aktivnosti</w:t>
      </w:r>
    </w:p>
    <w:p w:rsidR="00505632" w:rsidRDefault="00505632" w:rsidP="00505632">
      <w:r>
        <w:t xml:space="preserve">Sredstva su utrošena za podmirenje kreditnih obaveza te na troškove iz operativnog poslovanja. </w:t>
      </w:r>
    </w:p>
    <w:p w:rsidR="00505632" w:rsidRDefault="00505632" w:rsidP="00505632">
      <w:r>
        <w:t>Nastavno na navedeno cilj je ispunjen.</w:t>
      </w:r>
    </w:p>
    <w:p w:rsidR="00505632" w:rsidRDefault="00505632" w:rsidP="00505632"/>
    <w:p w:rsidR="00505632" w:rsidRDefault="00505632" w:rsidP="00505632"/>
    <w:p w:rsidR="00505632" w:rsidRDefault="00505632" w:rsidP="00505632">
      <w:pPr>
        <w:pStyle w:val="Heading3"/>
      </w:pPr>
      <w:r>
        <w:rPr>
          <w:rFonts w:cs="Times New Roman"/>
        </w:rPr>
        <w:t>3111 PRIPREMA I PROVEDBA PROJEKATA SUFINANCIRANIH SREDSTVIMA FONDOVA EU</w:t>
      </w:r>
    </w:p>
    <w:tbl>
      <w:tblPr>
        <w:tblStyle w:val="StilTablice"/>
        <w:tblW w:w="10206" w:type="dxa"/>
        <w:jc w:val="center"/>
        <w:tblLook w:val="04A0" w:firstRow="1" w:lastRow="0" w:firstColumn="1" w:lastColumn="0" w:noHBand="0" w:noVBand="1"/>
      </w:tblPr>
      <w:tblGrid>
        <w:gridCol w:w="1815"/>
        <w:gridCol w:w="1989"/>
        <w:gridCol w:w="1989"/>
        <w:gridCol w:w="1989"/>
        <w:gridCol w:w="1209"/>
        <w:gridCol w:w="1215"/>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3111-PRIPREMA I PROVEDBA PROJEKATA SUFINANCIRANIH SREDSTVIMA FONDOVA EU</w:t>
            </w:r>
          </w:p>
        </w:tc>
        <w:tc>
          <w:tcPr>
            <w:tcW w:w="2041" w:type="dxa"/>
          </w:tcPr>
          <w:p w:rsidR="00505632" w:rsidRDefault="00505632" w:rsidP="00AD4E52">
            <w:pPr>
              <w:pStyle w:val="CellColumn"/>
              <w:jc w:val="right"/>
            </w:pPr>
            <w:r>
              <w:rPr>
                <w:rFonts w:cs="Times New Roman"/>
              </w:rPr>
              <w:t>320.211.754</w:t>
            </w:r>
          </w:p>
        </w:tc>
        <w:tc>
          <w:tcPr>
            <w:tcW w:w="2041" w:type="dxa"/>
          </w:tcPr>
          <w:p w:rsidR="00505632" w:rsidRDefault="00505632" w:rsidP="00AD4E52">
            <w:pPr>
              <w:pStyle w:val="CellColumn"/>
              <w:jc w:val="right"/>
            </w:pPr>
            <w:r>
              <w:rPr>
                <w:rFonts w:cs="Times New Roman"/>
              </w:rPr>
              <w:t>524.697.300</w:t>
            </w:r>
          </w:p>
        </w:tc>
        <w:tc>
          <w:tcPr>
            <w:tcW w:w="2041" w:type="dxa"/>
          </w:tcPr>
          <w:p w:rsidR="00505632" w:rsidRDefault="00505632" w:rsidP="00AD4E52">
            <w:pPr>
              <w:pStyle w:val="CellColumn"/>
              <w:jc w:val="right"/>
            </w:pPr>
            <w:r>
              <w:rPr>
                <w:rFonts w:cs="Times New Roman"/>
              </w:rPr>
              <w:t>444.241.001</w:t>
            </w:r>
          </w:p>
        </w:tc>
        <w:tc>
          <w:tcPr>
            <w:tcW w:w="1224" w:type="dxa"/>
          </w:tcPr>
          <w:p w:rsidR="00505632" w:rsidRDefault="00505632" w:rsidP="00AD4E52">
            <w:pPr>
              <w:pStyle w:val="CellColumn"/>
              <w:jc w:val="right"/>
            </w:pPr>
            <w:r>
              <w:rPr>
                <w:rFonts w:cs="Times New Roman"/>
              </w:rPr>
              <w:t>84,7</w:t>
            </w:r>
          </w:p>
        </w:tc>
        <w:tc>
          <w:tcPr>
            <w:tcW w:w="1224" w:type="dxa"/>
          </w:tcPr>
          <w:p w:rsidR="00505632" w:rsidRDefault="00505632" w:rsidP="00AD4E52">
            <w:pPr>
              <w:pStyle w:val="CellColumn"/>
              <w:jc w:val="right"/>
            </w:pPr>
            <w:r>
              <w:rPr>
                <w:rFonts w:cs="Times New Roman"/>
              </w:rPr>
              <w:t>138,7</w:t>
            </w:r>
          </w:p>
        </w:tc>
      </w:tr>
    </w:tbl>
    <w:p w:rsidR="00505632" w:rsidRDefault="00505632" w:rsidP="00505632">
      <w:pPr>
        <w:jc w:val="left"/>
      </w:pPr>
    </w:p>
    <w:p w:rsidR="00505632" w:rsidRDefault="00505632" w:rsidP="00505632">
      <w:r>
        <w:t xml:space="preserve">Program je povezan sa općim ciljem 1. Uspješna priprema i provedba projekata sufinanciranih sredstvima fondova EU Strateškog plana Ministarstva za razdoblje 2016.-2018.. U skladu s prometnom politikom Europske unije i globalnim trendovima, prometni sustav Republike Hrvatske razvija se po modelu koji omogućava održivi razvoj prometnog sustava uz energetsku učinkovitost, vođenje brige o okolišu uz maksimalnu sigurnost svih sudionika u prometu. Razvijen prometni sustav olakšava i potiče mobilnost ljudi i roba te, smanjivanjem prometne izoliranosti, omogućava rast produktivnosti i stvara pretpostavke za uravnotežen regionalni razvoj.  </w:t>
      </w:r>
    </w:p>
    <w:p w:rsidR="00505632" w:rsidRDefault="00505632" w:rsidP="00505632">
      <w:r>
        <w:t xml:space="preserve">Programom su se financirali projekti prometne infrastrukture, sredstvima Europske unije i nacionalnim sredstvima, a u svrhu postizanja visoko razvijenog, efikasnog, sigurnog, ekološki prihvatljivog i modernog prometnog i  komunikacijskog sustava, potpuno integriran u mrežu glavnih međunarodnih prometnih pravaca, koji najbolje iskorištava prometni i geografski položaj Republike Hrvatske i zadovoljava potrebe teretnog i putničkog prijevoza.  </w:t>
      </w:r>
    </w:p>
    <w:p w:rsidR="00505632" w:rsidRDefault="00505632" w:rsidP="00505632">
      <w:r>
        <w:t xml:space="preserve">Programom su se provodili projekti u svrhu poboljšavanja prometne infrastrukture u sektorima željeznice, cesta, morskih luka, luka na unutarnjim plovnim putovima i zračnih luka kroz razvoj prometnih mreža primarno na koridorima TEN-T, a sve u skladu sa strateškim ciljevima Operativnog programa Promet 2007.-2013. te u okviru prioritetne osi 7. Povezanost i mobilnost Operativnog programa »Konkurentnost i kohezija« 2014.-2020.  </w:t>
      </w:r>
    </w:p>
    <w:p w:rsidR="00505632" w:rsidRDefault="00505632" w:rsidP="00505632">
      <w:r>
        <w:t xml:space="preserve">Sukladno odredbama Uredbe o tijelima u sustavima upravljanja i kontrole korištenja Europskog socijalnog fonda, Europskog fonda za regionalni razvoj i Kohezijskog fonda, u vezi s ciljem "Ulaganje za rast i radna mjesta" (Narodne novine, broj 107/14, 23/15 i 129/15), ovo Ministarstvo bilo je nadležno za prioritetnu os 7., i za relevantni specifični cilj unutar prioritetne osi 2. „Korištenje informacijske i komunikacijske tehnologije“. Ministarstvo je tražilo promjenu nadležnosti službenim dopisom prema Ministarstvu regionalnoga razvoja i fondova Europske unije tj. donošenje nove Uredbe o izmjeni Uredbe o tijelima u sustavima upravljanja i kontrole korištenja Europskog socijalnog fonda, Europskog fonda za regionalni razvoj i Kohezijskog fonda, u vezi s ciljem "Ulaganje za rast i radna mjesta" (Narodne novine, broj 107/14, 23/15 i 129/15). </w:t>
      </w:r>
    </w:p>
    <w:p w:rsidR="00505632" w:rsidRDefault="00505632" w:rsidP="00505632">
      <w:r>
        <w:t>Nadalje, programom su se planirala sredstva tehničke pomoći koju države članice imaju pravo koristiti unutar Instrumenta za povezivanje Europe (CEF), koja se naziva Programme Support Actions (PSA). Sredstva su se koristila za jačanje kapaciteta na nacionalnoj razini za upravljanje CEF instrumentom te koordinaciju svih popratnih aktivnosti. Cilj stvaranja CEF-a jest ubrzati ulaganja u područje transeuropskih mreža i osigurati financijska sredstva, kako iz javnog tako i iz privatnog sektora. Primarni cilj programa je da pomogne stvaranju međusobno povezanih mreža širom Europe, koje će biti visokih performansi i ekološki održive, a time i da pridonose ekonomskom rastu i socijalnoj i teritorijalnoj koheziji unutar Europske unije.</w:t>
      </w:r>
    </w:p>
    <w:p w:rsidR="00505632" w:rsidRDefault="00505632" w:rsidP="00505632">
      <w:pPr>
        <w:pStyle w:val="Heading8"/>
        <w:jc w:val="left"/>
      </w:pPr>
      <w:r>
        <w:t>Cilj 1. Uspješna priprema i provedba projekata sufinanciranih sredstvima fondova EU</w:t>
      </w:r>
    </w:p>
    <w:p w:rsidR="00505632" w:rsidRDefault="00505632" w:rsidP="00505632">
      <w:pPr>
        <w:pStyle w:val="Heading8"/>
        <w:jc w:val="left"/>
      </w:pPr>
      <w:r>
        <w:t>Opis provedbe cilja programa</w:t>
      </w:r>
    </w:p>
    <w:p w:rsidR="00505632" w:rsidRDefault="00505632" w:rsidP="00505632">
      <w:r>
        <w:t xml:space="preserve">Programom se provodila aktivnosti za postizanje posebnog cilja Ministarstva 1.1. Uspješna priprema i provedba projekata sufinanciranih sredstvima fondova EU odnosno ostvarenje strateških ciljeva OP Promet 2007.-2013. te OP »Konkurentnost i kohezija« 2014.-2020. </w:t>
      </w:r>
    </w:p>
    <w:p w:rsidR="00505632" w:rsidRDefault="00505632" w:rsidP="00505632">
      <w:r>
        <w:t xml:space="preserve">Provođenjem OP Promet 2007.-2013. fokus je bio na slijedećim područjima: osiguravanje bolje integracije hrvatskih prometnih mreža unutar europske prometne mreže poboljšavanjem prometne infrastrukture u sektorima željeznice i unutarnjih plovnih putova kroz razvoj prometnih mreža na koridorima Transeuropske prometne mreže (TEN-T), ali i poboljšanjem regionalnih veza (ove mjere će omogućiti razvoj nacionalnog gospodarstva kroz bolju povezanost s ostatkom EU-a); stimuliranje ravnomjernijeg razvoja prometnih mreža provodeći mjere koje osiguravaju jednak udio ulaganja vezano uz sektor cesta i ostalih prometnih sektora, osobito željezničkog sektora; poboljšanje regionalne dostupnosti TEN-T mrežama u ostalim prometnim sektorima kao što su zračni i cestovni. </w:t>
      </w:r>
    </w:p>
    <w:p w:rsidR="00505632" w:rsidRDefault="00505632" w:rsidP="00505632">
      <w:r>
        <w:t xml:space="preserve">Obzirom na kašnjenja u implementaciji projekata odnosno samom ugovaranju novih projekata (žalbe za natječaje u postupku javne nabave), do kraja 2016. godine EK je prijavljeno 40,48 % od ukupne alokacije dodijeljene za OP Promet 2007.-2013. Kako je 2016. godina, zadnja godina prihvatljivosti izdataka u sklopu OP Promet, svi prihvatljivi troškovi u okviru projekata moraju biti podmireni od strane korisnika prema izvođačima radova/usluga najkasnije do 31. prosinca 2016. godine. Nastavno na prije navedeno, pristupilo se postupku faziranja pojedinih projekata tj. omogućavanja njihovog financiranja kroz dva Operativna programa (OP Promet/ OP »Konkurentnost i kohezija«). </w:t>
      </w:r>
    </w:p>
    <w:p w:rsidR="00505632" w:rsidRDefault="00505632" w:rsidP="00505632">
      <w:r>
        <w:t>U okviru Operativnog programa »Konkurentnost i kohezija«, prioritetna os 7, 20. listopada 2016. godine potpisan je Ugovor o dodjeli bespovratnih sredstava za projekt "Studija razvoja gradskog prometa na području grada Osijeka", šifra projekta:   KK.07.4.2.01.0001. Obzirom na kompleksnost projekata koji se planiraju financirati kroz OP »Konkurentnost i kohezija« dio ugovaranja i financiranja projekata planira se ostvariti kroz 2017. i 2018. godinu.</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0"/>
        <w:gridCol w:w="2551"/>
        <w:gridCol w:w="1020"/>
        <w:gridCol w:w="1020"/>
        <w:gridCol w:w="1025"/>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Odobrena sredstva koja su prijavljena Europskoj komisiji</w:t>
            </w:r>
          </w:p>
        </w:tc>
        <w:tc>
          <w:tcPr>
            <w:tcW w:w="2551" w:type="dxa"/>
          </w:tcPr>
          <w:p w:rsidR="00505632" w:rsidRDefault="00505632" w:rsidP="00AD4E52">
            <w:pPr>
              <w:pStyle w:val="CellColumn"/>
              <w:jc w:val="left"/>
            </w:pPr>
            <w:r>
              <w:rPr>
                <w:rFonts w:cs="Times New Roman"/>
              </w:rPr>
              <w:t>Ovim pokazateljem će se mjeriti učinkovitost realizacije planiranih načina ostvarenja posebnog cilja i to tako da će se za svaki način ostvarenja , a na osnovi pokazatelja rezultata, odrediti indeks za svaku godinu. Na osnovu indeksa načina ostvarenja odrediti će se indeks učinka ostvarenog posebnog cilja za svaku godinu.</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31,27</w:t>
            </w:r>
          </w:p>
        </w:tc>
        <w:tc>
          <w:tcPr>
            <w:tcW w:w="1020" w:type="dxa"/>
          </w:tcPr>
          <w:p w:rsidR="00505632" w:rsidRDefault="00505632" w:rsidP="00AD4E52">
            <w:pPr>
              <w:pStyle w:val="CellColumn"/>
              <w:jc w:val="right"/>
            </w:pPr>
            <w:r>
              <w:rPr>
                <w:rFonts w:cs="Times New Roman"/>
              </w:rPr>
              <w:t>Izvješća pokazatelja rezultata</w:t>
            </w:r>
          </w:p>
        </w:tc>
        <w:tc>
          <w:tcPr>
            <w:tcW w:w="1020" w:type="dxa"/>
          </w:tcPr>
          <w:p w:rsidR="00505632" w:rsidRDefault="00505632" w:rsidP="00AD4E52">
            <w:pPr>
              <w:pStyle w:val="CellColumn"/>
              <w:jc w:val="right"/>
            </w:pPr>
            <w:r>
              <w:rPr>
                <w:rFonts w:cs="Times New Roman"/>
              </w:rPr>
              <w:t>69,78</w:t>
            </w:r>
          </w:p>
        </w:tc>
        <w:tc>
          <w:tcPr>
            <w:tcW w:w="1020" w:type="dxa"/>
          </w:tcPr>
          <w:p w:rsidR="00505632" w:rsidRDefault="00505632" w:rsidP="00AD4E52">
            <w:pPr>
              <w:pStyle w:val="CellColumn"/>
              <w:jc w:val="right"/>
            </w:pPr>
            <w:r>
              <w:rPr>
                <w:rFonts w:cs="Times New Roman"/>
              </w:rPr>
              <w:t>40,48</w:t>
            </w:r>
          </w:p>
        </w:tc>
      </w:tr>
    </w:tbl>
    <w:p w:rsidR="00505632" w:rsidRDefault="00505632" w:rsidP="00505632">
      <w:pPr>
        <w:jc w:val="left"/>
      </w:pPr>
    </w:p>
    <w:p w:rsidR="00505632" w:rsidRDefault="00505632" w:rsidP="00505632">
      <w:pPr>
        <w:pStyle w:val="Heading4"/>
      </w:pPr>
      <w:r>
        <w:t>T754027 OP PROMET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T754027-OP PROMET</w:t>
            </w:r>
          </w:p>
        </w:tc>
        <w:tc>
          <w:tcPr>
            <w:tcW w:w="2041" w:type="dxa"/>
          </w:tcPr>
          <w:p w:rsidR="00505632" w:rsidRDefault="00505632" w:rsidP="00AD4E52">
            <w:pPr>
              <w:pStyle w:val="CellColumn"/>
              <w:jc w:val="right"/>
            </w:pPr>
            <w:r>
              <w:rPr>
                <w:rFonts w:cs="Times New Roman"/>
              </w:rPr>
              <w:t>320.197.138</w:t>
            </w:r>
          </w:p>
        </w:tc>
        <w:tc>
          <w:tcPr>
            <w:tcW w:w="2041" w:type="dxa"/>
          </w:tcPr>
          <w:p w:rsidR="00505632" w:rsidRDefault="00505632" w:rsidP="00AD4E52">
            <w:pPr>
              <w:pStyle w:val="CellColumn"/>
              <w:jc w:val="right"/>
            </w:pPr>
            <w:r>
              <w:rPr>
                <w:rFonts w:cs="Times New Roman"/>
              </w:rPr>
              <w:t>519.956.000</w:t>
            </w:r>
          </w:p>
        </w:tc>
        <w:tc>
          <w:tcPr>
            <w:tcW w:w="2041" w:type="dxa"/>
          </w:tcPr>
          <w:p w:rsidR="00505632" w:rsidRDefault="00505632" w:rsidP="00AD4E52">
            <w:pPr>
              <w:pStyle w:val="CellColumn"/>
              <w:jc w:val="right"/>
            </w:pPr>
            <w:r>
              <w:rPr>
                <w:rFonts w:cs="Times New Roman"/>
              </w:rPr>
              <w:t>442.030.149</w:t>
            </w:r>
          </w:p>
        </w:tc>
        <w:tc>
          <w:tcPr>
            <w:tcW w:w="1224" w:type="dxa"/>
          </w:tcPr>
          <w:p w:rsidR="00505632" w:rsidRDefault="00505632" w:rsidP="00AD4E52">
            <w:pPr>
              <w:pStyle w:val="CellColumn"/>
              <w:jc w:val="right"/>
            </w:pPr>
            <w:r>
              <w:rPr>
                <w:rFonts w:cs="Times New Roman"/>
              </w:rPr>
              <w:t>85,0</w:t>
            </w:r>
          </w:p>
        </w:tc>
        <w:tc>
          <w:tcPr>
            <w:tcW w:w="1224" w:type="dxa"/>
          </w:tcPr>
          <w:p w:rsidR="00505632" w:rsidRDefault="00505632" w:rsidP="00AD4E52">
            <w:pPr>
              <w:pStyle w:val="CellColumn"/>
              <w:jc w:val="right"/>
            </w:pPr>
            <w:r>
              <w:rPr>
                <w:rFonts w:cs="Times New Roman"/>
              </w:rPr>
              <w:t>138,0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Bijela knjiga o jedinstvenom europskom prometnom području (ECE 2011), </w:t>
      </w:r>
    </w:p>
    <w:p w:rsidR="00505632" w:rsidRDefault="00505632" w:rsidP="00505632">
      <w:r>
        <w:t xml:space="preserve">- Strategija prometnog razvoja Republike Hrvatske za razdoblje od 2014. do 2030. godine (Narodne novine, broj 131/14), </w:t>
      </w:r>
    </w:p>
    <w:p w:rsidR="00505632" w:rsidRDefault="00505632" w:rsidP="00505632">
      <w:r>
        <w:t xml:space="preserve">- Zakon o potvrđivanju Sporazuma o financiranju između Vlade Republike Hrvatske i Europske komisije kojim se mijenja Sporazum o financiranju između Vlade Republike Hrvatske i Europske komisije za višegodišnji Operativni program »Promet« za pomoć Zajednice iz Instrumenta pretpristupne pomoći u sklopu komponente »Regionalni razvoj« u Hrvatskoj (Narodne novine Međunarodni ugovori, broj 2/13), </w:t>
      </w:r>
    </w:p>
    <w:p w:rsidR="00505632" w:rsidRDefault="00505632" w:rsidP="00505632">
      <w:r>
        <w:t xml:space="preserve">- Izmjene i dopune Operativnog programa Promet 2007.-2013., odobrene od strane EK sa 13. studenim 2014. godine, </w:t>
      </w:r>
    </w:p>
    <w:p w:rsidR="00505632" w:rsidRDefault="00505632" w:rsidP="00505632">
      <w:r>
        <w:t xml:space="preserve">- Zakon o uspostavi institucionalnog okvira za korištenje strukturnih instrumenata Europske unije u Republici Hrvatskoj (Narodne novine, broj 78/12, 143/13, 157/13), </w:t>
      </w:r>
    </w:p>
    <w:p w:rsidR="00505632" w:rsidRDefault="00505632" w:rsidP="00505632">
      <w:r>
        <w:t xml:space="preserve">- Uredba o tijelima u sustavu upravljanja i kontrole korištenja strukturnih instrumenata Europske unije u Republici Hrvatskoj (Narodne novine, broj 97/12, 18/16), </w:t>
      </w:r>
    </w:p>
    <w:p w:rsidR="00505632" w:rsidRDefault="00505632" w:rsidP="00505632">
      <w:r>
        <w:t>- Strategija Europa 2020 (ožujak 2010.).</w:t>
      </w:r>
    </w:p>
    <w:p w:rsidR="00505632" w:rsidRDefault="00505632" w:rsidP="00505632">
      <w:pPr>
        <w:pStyle w:val="Heading8"/>
        <w:jc w:val="left"/>
      </w:pPr>
      <w:r>
        <w:t>Opis aktivnosti</w:t>
      </w:r>
    </w:p>
    <w:p w:rsidR="00505632" w:rsidRDefault="00505632" w:rsidP="00505632">
      <w:r>
        <w:t xml:space="preserve">Razvijena prometna infrastruktura temeljna je pretpostavka razvoja prometnog sustava, a razvijen prometni sustav neophodan je za društveni, demografski, gospodarski razvoj te promicanje regionalne povezanosti i suradnje. </w:t>
      </w:r>
    </w:p>
    <w:p w:rsidR="00505632" w:rsidRDefault="00505632" w:rsidP="00505632">
      <w:r>
        <w:t xml:space="preserve">U 2016. godini nastavljena je provedba potpisanih ugovora (IPA ugovora i ugovora o dodjeli bespovratnih sredstava) za radove i usluge (izrada studija isplativosti, izrada masterplanova - temeljnih strateških dokumenta na regionalnoj razini i preduvjeta za održivi razvoj prometnog sustava regije (županije)) te izrada studija opravdanosti. Korisnici EU sredstava su trgovačka društva u državnom (su)vlasništvu: HŽI d.o.o., HC d.o.o., HAC d.o.o., Zračna luka Dubrovnik d.o.o., te ŽUC-evi i jedinice lokalne i regionalne (samo)uprave.  </w:t>
      </w:r>
    </w:p>
    <w:p w:rsidR="00505632" w:rsidRDefault="00505632" w:rsidP="00505632">
      <w:r>
        <w:t xml:space="preserve">Tijekom 2016. godine završeni su ugovori za 10 projekata i to: TR.2.1.04-0001 Riječna luka Slavonski Brod - terminal za prihvat opasnog tereta, TR.3.1.02-0001 Potpora u pripremi Strategije prometnog razvoja Republike Hrvatske i razvijanju nacionalnog prometnog modela; TR.1.2.09-0001 Izrada studije izvedivosti prometnog povezivanja razdvojenog teritorija Republike Hrvatske; TR.1.2.11-0017 Izrada studije izvodljivosti za projekt "Izmještanje državne ceste D6, od čvora Novigrad do Lišnice-Karlovačka županija"; TR.1.2.12-0005 Studija izvodivosti Južne zaobilaznice Poreča:dionica Vrvari-Bijela Uvala; TR.1.2.12-0003 Izrada studije opravdanosti za zaobilaznicu grada Vodica; TR.1.2.10-0033 Studija izvodivosti s analizom troškova i koristi projekta - Batahovina II; TR.1.2.10-0009 Izrada studije izvedivost i analize troškova i koristi za izgradnju terminala za pomorski putnički promet; TR.1.2.22-0001 Izrada analize stanja tramvajske mreže u gradu Osijeku; TR.1.2.24-0001 Studija izvodljivosti s analizom troškova i koristi za brodske linije – projekt UrbEco. </w:t>
      </w:r>
    </w:p>
    <w:p w:rsidR="00505632" w:rsidRDefault="00505632" w:rsidP="00505632">
      <w:r>
        <w:t xml:space="preserve">Projekt "Strategija prometnog razvoja Republike Hrvatske – druga faza izrade", šifra projekta: TR.3.1.05-0001, krajem 2016. godine, raskinuta je te je Strategija završena od stane Ministarstva mora, prometa i infrastrukture. Trenutno se  provodi Strateška procjena utjecaja na okoliš, po čijem se završetku planira i usvajanje Strategije (2. kvartal 2017. godine). </w:t>
      </w:r>
    </w:p>
    <w:p w:rsidR="00505632" w:rsidRDefault="00505632" w:rsidP="00505632">
      <w:r>
        <w:t xml:space="preserve">Vrijednosno značajniji projekti za koje su planirana sredstva u 2016. godini su: </w:t>
      </w:r>
    </w:p>
    <w:p w:rsidR="00505632" w:rsidRDefault="00505632" w:rsidP="00505632">
      <w:r>
        <w:t xml:space="preserve">- Razvoj Zračne luke Dubrovnik čiji jenositelj Zračna luka Dubrovnik d.o.o. kojoj je 13. svibnja 2016. godine isplaćen predujam u iznosu od 55.734.730,25 kn u skladu sa odredbama sklopljenog Ugovora o dodjeli bespovratnih sredstava. Navedenim projektom sufinancirana su ukupno 4 ugovora o nabavi te su kroz 2016. godinu za njih nadoknađivani troškovi. To su ugovori: Izgradnja pristanišne zgrade dio C, Izgradnja novog glavnog ulaza u airside zonu, službeni prolaz O3, Nadogradnja postojeće opreme i usluga te proširenje računalno komunikacijske mreže, Rekonstrukcija trafostanice TS1. Dana 28. prosinca 2016. godine, na temelju nalaza ARPA-e donesena je Odluka o nepravilnosti koja se odnosila na ugovor Izgradnja pristanišne zgrade dio C kojom je definirano da se primjenjuje stopa ispravka od 5% na ukupno prihvatljive troškove iz Ugovora. Cilj projekta je međunarodno povezivanje izoliranog dijela Republike Hrvatske te povezivanje s glavnim gradom. Projekt je između ostalog usmjeren i na smanjenje prometnih zagušenja, provedbu mjera za zaštitu okoliša i povećanje energetske učinkovitosti, sanaciju postojećih i izgradnju novih kolničkih konstrukcija i objekata koji su potrebni za sigurno i neometano poslovanje zračne luke. Navedeni projekt se zbog dugotrajnosti provedbe nastavlja provoditi kroz  OP »Konkurentnost i kohezija«. Ovim projektom rekonstruirano je 27.000 m2 zračne luke što sa postojećim terminalom čini 52.000 m2.  </w:t>
      </w:r>
    </w:p>
    <w:p w:rsidR="00505632" w:rsidRDefault="00505632" w:rsidP="00505632">
      <w:r>
        <w:t xml:space="preserve">- Izgradnja mosta kopno-otok Čiovo u Trogiru sa spojnim cestama - 1. i 2. faza čiji je nositelj HC d.o.o. provodi se kroz dvije faze. Prva faza je izgradnja mosta Čiovo s pristupnim cestama i u tijeku je izvođenje radova prve faze. Izvoditelj radova je tvrtka VIADUKT d.o.o. Zagreb, a usluge nadzora pruža IGH d.d. Zagreb. Radovi se izvode sa zakašnjenjem zbog poteškoća u kojima se nalazi izvoditelj radova. Za navedeni projekt se zbog kompleksnosti provedbe planira produljenje financiranja te se isti planira nastaviti financirati kroz  OP »Konkurentnost i kohezija«. U drugoj fazi gradit će se spojne ceste na kopnenoj i na otočkoj strani te ćese rekonstruirati postojeće ceste koje će služiti kao gradilišne manipulativne ceste. </w:t>
      </w:r>
    </w:p>
    <w:p w:rsidR="00505632" w:rsidRDefault="00505632" w:rsidP="00505632">
      <w:r>
        <w:t xml:space="preserve">- Dovršetak projekta "Ulaz u Ploče" – Rekonstrukcija brze ceste i izgradnja spojne ceste za luku Ploče i grada Ploče nositelja projekta HAC d.o.o. u završnoj je fazi, izvođenje  radova dovršeno je 30. studenoga 2016. godine, korisnik je dostavio završni zahtjev za plaćanje s 31. prosinca 2016. godine, kojim potražuje preostale troškove za isplaćene privremene situacije.Okončana situacija koja nije ispostavljena u 2016. godini., a zbog procedure odobravanja završnih zahtjeva za plaćanje, korisniku nisu odobrena sredstva u 2016. godini te će ista biti odobrena u 2017. godini. Također u 2016. godini ostvareno je potpuno iskorištenje predujma koji je isplaćen 20. studenoga 2015. godine u iznosu od 15.682.500,00 kn. Realizacijom ovog projekta omogućit će se bolja povezanost grada i Luke Ploče na TEN-T mrežu, uklanjanje uskih grla, povećanje kapaciteta i regionalne pristupačnosti TEN-T mreži i prema ostalim državama EU. </w:t>
      </w:r>
    </w:p>
    <w:p w:rsidR="00505632" w:rsidRDefault="00505632" w:rsidP="00505632">
      <w:r>
        <w:t xml:space="preserve">- Rekonstrukcija postojećeg i izgradnja drugog kolosijeka željezničke pruge na dionici Dugo Selo-Križevci čiji je nositelj HŽI d.o.o. dana 08. lipnja 2016. godine isplaćen je predujam u iznosu od 151.712.156,75 kn. Sukladno odredbama Ugovora o dodjeli bespovratnih sredstava, korisnik je bio obvezan isplaćena sredstva utrošiti za pokriće mogućih troškova: izrade tehničke dokumentacije, izgradnje nathodnika za pješački promet u Dugom Selu, otkup zemljišta i drugih troškova vezanih uz rješavanje imovinsko-pravnih odnosa. Radi se o kontinuiranom procesu iz prijašnjih godina, kao dugotrajnom i nužnom preduvjetu za pokretanje izvođenja radova na izgradnji drugog kolosijeka i rekonstrukcije dionice pruge. Navedeni projekt se zbog dugotrajnosti i kompleksnosti provedbe nastavlja provoditi kroz OP »Konkurentnost i kohezija«. </w:t>
      </w:r>
    </w:p>
    <w:p w:rsidR="00505632" w:rsidRDefault="00505632" w:rsidP="00505632">
      <w:r>
        <w:t>- Kod projekta Izgradnje nove željezničke pruge za prigradski promet na dionici Gradec-Sveti Ivan Žabno korisnika HŽI d.o.o. krajem 2015. godine isplaćen je predujam u iznosu od 66 milijuna kuna koji je trebao biti utrošen tijekom 2016. godine . Međutim, zbog kašnjenja u provedbi nisu iskorištena planirana sredstva. Provedbom projekta nastojat će se približiti Grad Bjelovar i bjelovarsku regiju Gradu Zagrebu te osigurati bolju povezanost Bjelovarsko-bilogorske, Koprivničko-križevačke i Zagrebačke županije. Stanovnicima regije omogućit će se brža i kvalitetnija dnevna migracija na posao i školovanje prigradskim vlakovima, a putovanje od Bjelovara do Zagreba trajat će oko jedan sat. Izgradit će se jednokolosiječna, neelektrificirana željeznička pruga predviđena za prigradski željeznički promet duljine 12,2 km. Izvođenje radova povjereno je konzorciju Comsa (Španjolska)/Wiebe GmbH (Njemačka). Navedeni projekt se zbog kompleksnosti provedbe nastavlja provoditi kroz  OP »Konkurentnost i kohezija«.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88"/>
        <w:gridCol w:w="2488"/>
        <w:gridCol w:w="1006"/>
        <w:gridCol w:w="1014"/>
        <w:gridCol w:w="1181"/>
        <w:gridCol w:w="1014"/>
        <w:gridCol w:w="1015"/>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završenih projekata</w:t>
            </w:r>
          </w:p>
        </w:tc>
        <w:tc>
          <w:tcPr>
            <w:tcW w:w="2551" w:type="dxa"/>
          </w:tcPr>
          <w:p w:rsidR="00505632" w:rsidRDefault="00505632" w:rsidP="00AD4E52">
            <w:pPr>
              <w:pStyle w:val="CellColumn"/>
              <w:jc w:val="left"/>
            </w:pPr>
            <w:r>
              <w:rPr>
                <w:rFonts w:cs="Times New Roman"/>
              </w:rPr>
              <w:t>Broj projekata provedenih u okviru prioritetne osi 1 (uključujući izgradnju i pripremu projekata)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Odobrena Završna izvješća o provedbi projekata</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10</w:t>
            </w:r>
          </w:p>
        </w:tc>
      </w:tr>
      <w:tr w:rsidR="00505632" w:rsidTr="00AD4E52">
        <w:trPr>
          <w:jc w:val="center"/>
        </w:trPr>
        <w:tc>
          <w:tcPr>
            <w:tcW w:w="2551" w:type="dxa"/>
          </w:tcPr>
          <w:p w:rsidR="00505632" w:rsidRDefault="00505632" w:rsidP="00AD4E52">
            <w:pPr>
              <w:pStyle w:val="CellColumn"/>
              <w:jc w:val="left"/>
            </w:pPr>
            <w:r>
              <w:rPr>
                <w:rFonts w:cs="Times New Roman"/>
              </w:rPr>
              <w:t>Revidirani strateški dokument „Strategija prometnog razvoja RH 2014.-2030.“</w:t>
            </w:r>
          </w:p>
        </w:tc>
        <w:tc>
          <w:tcPr>
            <w:tcW w:w="2551" w:type="dxa"/>
          </w:tcPr>
          <w:p w:rsidR="00505632" w:rsidRDefault="00505632" w:rsidP="00AD4E52">
            <w:pPr>
              <w:pStyle w:val="CellColumn"/>
              <w:jc w:val="left"/>
            </w:pPr>
            <w:r>
              <w:rPr>
                <w:rFonts w:cs="Times New Roman"/>
              </w:rPr>
              <w:t>Revidirana Strategija prometnog razvoja RH 2014.-2030. dokument je koji definira smjer razvoja prometnog sustava RH u periodu 2014.-2030., a čini temelj sveobuhvatnog, intermodalnog, razvojnog i društveno odgovornog prometnog sustava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Izvješća o praćenju projekta, Integrirani informacijski sustav za upravljanje Kohezijskim fondom i strukturnim fondovima (SF MIS)</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Područje rekonstruiranog terminala zračne luke</w:t>
            </w:r>
          </w:p>
        </w:tc>
        <w:tc>
          <w:tcPr>
            <w:tcW w:w="2551" w:type="dxa"/>
          </w:tcPr>
          <w:p w:rsidR="00505632" w:rsidRDefault="00505632" w:rsidP="00AD4E52">
            <w:pPr>
              <w:pStyle w:val="CellColumn"/>
              <w:jc w:val="left"/>
            </w:pPr>
            <w:r>
              <w:rPr>
                <w:rFonts w:cs="Times New Roman"/>
              </w:rPr>
              <w:t>m² rekonstruiranog terminala zračne luke</w:t>
            </w:r>
          </w:p>
        </w:tc>
        <w:tc>
          <w:tcPr>
            <w:tcW w:w="1020" w:type="dxa"/>
          </w:tcPr>
          <w:p w:rsidR="00505632" w:rsidRDefault="00505632" w:rsidP="00AD4E52">
            <w:pPr>
              <w:pStyle w:val="CellColumn"/>
              <w:jc w:val="right"/>
            </w:pPr>
            <w:r>
              <w:rPr>
                <w:rFonts w:cs="Times New Roman"/>
              </w:rPr>
              <w:t>m²</w:t>
            </w:r>
          </w:p>
        </w:tc>
        <w:tc>
          <w:tcPr>
            <w:tcW w:w="1020" w:type="dxa"/>
          </w:tcPr>
          <w:p w:rsidR="00505632" w:rsidRDefault="00505632" w:rsidP="00AD4E52">
            <w:pPr>
              <w:pStyle w:val="CellColumn"/>
              <w:jc w:val="right"/>
            </w:pPr>
            <w:r>
              <w:rPr>
                <w:rFonts w:cs="Times New Roman"/>
              </w:rPr>
              <w:t>26.000</w:t>
            </w:r>
          </w:p>
        </w:tc>
        <w:tc>
          <w:tcPr>
            <w:tcW w:w="1020" w:type="dxa"/>
          </w:tcPr>
          <w:p w:rsidR="00505632" w:rsidRDefault="00505632" w:rsidP="00AD4E52">
            <w:pPr>
              <w:pStyle w:val="CellColumn"/>
              <w:jc w:val="right"/>
            </w:pPr>
            <w:r>
              <w:rPr>
                <w:rFonts w:cs="Times New Roman"/>
              </w:rPr>
              <w:t>Završno izvješće o provedbi projekata</w:t>
            </w:r>
          </w:p>
        </w:tc>
        <w:tc>
          <w:tcPr>
            <w:tcW w:w="1020" w:type="dxa"/>
          </w:tcPr>
          <w:p w:rsidR="00505632" w:rsidRDefault="00505632" w:rsidP="00AD4E52">
            <w:pPr>
              <w:pStyle w:val="CellColumn"/>
              <w:jc w:val="right"/>
            </w:pPr>
            <w:r>
              <w:rPr>
                <w:rFonts w:cs="Times New Roman"/>
              </w:rPr>
              <w:t>52.000</w:t>
            </w:r>
          </w:p>
        </w:tc>
        <w:tc>
          <w:tcPr>
            <w:tcW w:w="1020" w:type="dxa"/>
          </w:tcPr>
          <w:p w:rsidR="00505632" w:rsidRDefault="00505632" w:rsidP="00AD4E52">
            <w:pPr>
              <w:pStyle w:val="CellColumn"/>
              <w:jc w:val="right"/>
            </w:pPr>
            <w:r>
              <w:rPr>
                <w:rFonts w:cs="Times New Roman"/>
              </w:rPr>
              <w:t>52.000</w:t>
            </w:r>
          </w:p>
        </w:tc>
      </w:tr>
    </w:tbl>
    <w:p w:rsidR="00505632" w:rsidRDefault="00505632" w:rsidP="00505632">
      <w:pPr>
        <w:jc w:val="left"/>
      </w:pPr>
    </w:p>
    <w:p w:rsidR="00505632" w:rsidRDefault="00505632" w:rsidP="00505632">
      <w:pPr>
        <w:pStyle w:val="Heading4"/>
      </w:pPr>
      <w:r>
        <w:t>T754039 OP KONKURENTNOST I KOHEZIJA, PRIORITETNA OS 7. POVEZANOST I MOBILNOST</w:t>
      </w:r>
    </w:p>
    <w:tbl>
      <w:tblPr>
        <w:tblStyle w:val="StilTablice"/>
        <w:tblW w:w="10206" w:type="dxa"/>
        <w:jc w:val="center"/>
        <w:tblLook w:val="04A0" w:firstRow="1" w:lastRow="0" w:firstColumn="1" w:lastColumn="0" w:noHBand="0" w:noVBand="1"/>
      </w:tblPr>
      <w:tblGrid>
        <w:gridCol w:w="1882"/>
        <w:gridCol w:w="1965"/>
        <w:gridCol w:w="1969"/>
        <w:gridCol w:w="1969"/>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T754039-OP KONKURENTNOST I KOHEZIJA, PRIORITETNA OS 7. POVEZANOST I MOBILNOST</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3.273.300</w:t>
            </w:r>
          </w:p>
        </w:tc>
        <w:tc>
          <w:tcPr>
            <w:tcW w:w="2041" w:type="dxa"/>
          </w:tcPr>
          <w:p w:rsidR="00505632" w:rsidRDefault="00505632" w:rsidP="00AD4E52">
            <w:pPr>
              <w:pStyle w:val="CellColumn"/>
              <w:jc w:val="right"/>
            </w:pPr>
            <w:r>
              <w:rPr>
                <w:rFonts w:cs="Times New Roman"/>
              </w:rPr>
              <w:t>1.336.591</w:t>
            </w:r>
          </w:p>
        </w:tc>
        <w:tc>
          <w:tcPr>
            <w:tcW w:w="1224" w:type="dxa"/>
          </w:tcPr>
          <w:p w:rsidR="00505632" w:rsidRDefault="00505632" w:rsidP="00AD4E52">
            <w:pPr>
              <w:pStyle w:val="CellColumn"/>
              <w:jc w:val="right"/>
            </w:pPr>
            <w:r>
              <w:rPr>
                <w:rFonts w:cs="Times New Roman"/>
              </w:rPr>
              <w:t>40,8</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Bijela knjiga o jedinstvenom europskom prometnom području (ECE 2011), </w:t>
      </w:r>
    </w:p>
    <w:p w:rsidR="00505632" w:rsidRDefault="00505632" w:rsidP="00505632">
      <w:r>
        <w:t xml:space="preserve">- Strategija prometnog razvoja Republike Hrvatske za razdoblje od 2014. do 2030. godine (Narodne novine, broj 131/14), </w:t>
      </w:r>
    </w:p>
    <w:p w:rsidR="00505632" w:rsidRDefault="00505632" w:rsidP="00505632">
      <w:r>
        <w:t xml:space="preserve">- Strategija Europa 2020 (ožujak 2010.), </w:t>
      </w:r>
    </w:p>
    <w:p w:rsidR="00505632" w:rsidRDefault="00505632" w:rsidP="00505632">
      <w:r>
        <w:t xml:space="preserve">- Sporazum o partnerstvu između RH i EK za korištenje EU strukturnih i investicijskih fondova za rast i radna mjesta u razdoblju 2014.-2020., </w:t>
      </w:r>
    </w:p>
    <w:p w:rsidR="00505632" w:rsidRDefault="00505632" w:rsidP="00505632">
      <w:r>
        <w:t xml:space="preserve">- Operativni program „Konkurentnost i kohezija 2014.-2020.“, odobren od strane EK 12. prosinca 2014. godine, </w:t>
      </w:r>
    </w:p>
    <w:p w:rsidR="00505632" w:rsidRDefault="00505632" w:rsidP="00505632">
      <w:r>
        <w:t xml:space="preserve">- Zakon o uspostavi institucionalnog okvira za provedbu europskih strukturnih i investicijskih fondova u Republici Hrvatskoj u financijskom razdoblju 2014.-2020. (Narodne novine, broj 92/14), </w:t>
      </w:r>
    </w:p>
    <w:p w:rsidR="00505632" w:rsidRDefault="00505632" w:rsidP="00505632">
      <w:r>
        <w:t>- Uredba o tijelima u sustavima upravljanja i kontrole korištenja Europskog socijalnog fonda, Europskog fonda za regionalni razvoj i Kohezijskog fonda,  u vezi s ciljem „Ulaganje za rast i radna mjesta“ (Narodne novine, broj 107/14, 23/15, 129/15).</w:t>
      </w:r>
    </w:p>
    <w:p w:rsidR="00505632" w:rsidRDefault="00505632" w:rsidP="00505632">
      <w:pPr>
        <w:pStyle w:val="Heading8"/>
        <w:jc w:val="left"/>
      </w:pPr>
      <w:r>
        <w:t>Opis aktivnosti</w:t>
      </w:r>
    </w:p>
    <w:p w:rsidR="00505632" w:rsidRDefault="00505632" w:rsidP="00505632">
      <w:r>
        <w:t xml:space="preserve">Sredstva na tekućem projektu T754039 OP Konkurentnost i kohezija, prioritetna os 7. Povezanost i mobilnost trošena su za edukacije, osposobljavanje djelatnika za učinkovito upravljanje i provedbu OP-a; troškove plaća djelatnika Uprave za fondove EU; informiranje javnosti i podizanje kapaciteta potencijalnih korisnika (usluge fotokopiranja i ispisa na opremi u vlasništvu ponuditelja, tiskarske usluge - nabava promotivnih materijala OPKK, , simultani prijevod za radionicu "Poštivanje i implementacija horizontalnih načela u okviru Operativnog programa "Konkurentnost i kohezija", redizajn internetske stranice te usluga održavanja, zakupa domene i web prostora); angažiranje vanjskih stručnjaka (nabava pravnih usluga, nabava licenci za korištenje Microsoftovih softverskih proizvoda i usluga te nabava uredskog namještaja). </w:t>
      </w:r>
    </w:p>
    <w:p w:rsidR="00505632" w:rsidRDefault="00505632" w:rsidP="00505632">
      <w:r>
        <w:t>Potpisani ugovori o dodjeli bespovratnih sredstava su: Ugovor o nabavi pravnih usluga (ev. br. 9-23-16 od 28. lipnja 2016. godine), prvi godišnji Ugovor o nabavi licenci za korištenje Microsoftovih softverskih proizvoda i usluga (ev. br. 55-17-16 od 15. prosinca 2016. godine) i Okvirni sporazum za nabavu uredskog namještaja (ev.br. OS 18-1-16) te Ugovor o dodjeli bespovratnih sredstava za projekt "Studija razvoja gradskog prometa na području grada Osijeka", šifra projekta: KK.07.4.2.01.0001. Također je raspisan poziv za 4 projekta: 1. Izrada prometnog Master plana funkcionalne regije Istočna Hrvatska (Virovitičko - podravska županija), 2. Glavni plan razvoja prometnog sustava funkcionalne regije Sjeverni Jadran (Primorsko-goranska županija), 3. Izrada prometnog masterplana funkcionalne regije Sjeverna Dalmacija (Grad Zadar) i 4. Masterplan prometnog razvitka funkcionalne regije Srednja Dalmacija i strateška procjena utjecaja masterplana/programa na okoliš (Splitsko - Dalmatinska županija), međutim isti nisu ugovoreni do kraja 2016. godine radi dugotrajne procedure usklađivanja prijavnih obrazaca.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77"/>
        <w:gridCol w:w="2494"/>
        <w:gridCol w:w="1008"/>
        <w:gridCol w:w="1015"/>
        <w:gridCol w:w="1181"/>
        <w:gridCol w:w="1015"/>
        <w:gridCol w:w="1016"/>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potpisanih ugovora</w:t>
            </w:r>
          </w:p>
        </w:tc>
        <w:tc>
          <w:tcPr>
            <w:tcW w:w="2551" w:type="dxa"/>
          </w:tcPr>
          <w:p w:rsidR="00505632" w:rsidRDefault="00505632" w:rsidP="00AD4E52">
            <w:pPr>
              <w:pStyle w:val="CellColumn"/>
              <w:jc w:val="left"/>
            </w:pPr>
            <w:r>
              <w:rPr>
                <w:rFonts w:cs="Times New Roman"/>
              </w:rPr>
              <w:t>Potpisani ugovori o dodjeli bespovratnih sredstava, u okviru p.o.7 OP-a Konkurentnost i kohezija 2014-2020</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Integrirani informacijski sustav za upravljanje Kohezijskim fondom i strukturnim fondovima (SF MIS), Registar ugovora</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4"/>
      </w:pPr>
      <w:r>
        <w:t>T754040 CEF TEHNIČKA POMOĆ</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T754040-CEF TEHNIČKA POMOĆ</w:t>
            </w:r>
          </w:p>
        </w:tc>
        <w:tc>
          <w:tcPr>
            <w:tcW w:w="2041" w:type="dxa"/>
          </w:tcPr>
          <w:p w:rsidR="00505632" w:rsidRDefault="00505632" w:rsidP="00AD4E52">
            <w:pPr>
              <w:pStyle w:val="CellColumn"/>
              <w:jc w:val="right"/>
            </w:pPr>
            <w:r>
              <w:rPr>
                <w:rFonts w:cs="Times New Roman"/>
              </w:rPr>
              <w:t>14.616</w:t>
            </w:r>
          </w:p>
        </w:tc>
        <w:tc>
          <w:tcPr>
            <w:tcW w:w="2041" w:type="dxa"/>
          </w:tcPr>
          <w:p w:rsidR="00505632" w:rsidRDefault="00505632" w:rsidP="00AD4E52">
            <w:pPr>
              <w:pStyle w:val="CellColumn"/>
              <w:jc w:val="right"/>
            </w:pPr>
            <w:r>
              <w:rPr>
                <w:rFonts w:cs="Times New Roman"/>
              </w:rPr>
              <w:t>1.464.000</w:t>
            </w:r>
          </w:p>
        </w:tc>
        <w:tc>
          <w:tcPr>
            <w:tcW w:w="2041" w:type="dxa"/>
          </w:tcPr>
          <w:p w:rsidR="00505632" w:rsidRDefault="00505632" w:rsidP="00AD4E52">
            <w:pPr>
              <w:pStyle w:val="CellColumn"/>
              <w:jc w:val="right"/>
            </w:pPr>
            <w:r>
              <w:rPr>
                <w:rFonts w:cs="Times New Roman"/>
              </w:rPr>
              <w:t>874.260</w:t>
            </w:r>
          </w:p>
        </w:tc>
        <w:tc>
          <w:tcPr>
            <w:tcW w:w="1224" w:type="dxa"/>
          </w:tcPr>
          <w:p w:rsidR="00505632" w:rsidRDefault="00505632" w:rsidP="00AD4E52">
            <w:pPr>
              <w:pStyle w:val="CellColumn"/>
              <w:jc w:val="right"/>
            </w:pPr>
            <w:r>
              <w:rPr>
                <w:rFonts w:cs="Times New Roman"/>
              </w:rPr>
              <w:t>59,7</w:t>
            </w:r>
          </w:p>
        </w:tc>
        <w:tc>
          <w:tcPr>
            <w:tcW w:w="1224" w:type="dxa"/>
          </w:tcPr>
          <w:p w:rsidR="00505632" w:rsidRDefault="00505632" w:rsidP="00AD4E52">
            <w:pPr>
              <w:pStyle w:val="CellColumn"/>
              <w:jc w:val="right"/>
            </w:pPr>
            <w:r>
              <w:rPr>
                <w:rFonts w:cs="Times New Roman"/>
              </w:rPr>
              <w:t>5981,5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Uredba (EU) br. 1316/2013 Europskog parlamenta i Vijeća od 11. prosinca 2013. o uspostavi Instrumenta za povezivanje Europe, izmjeni Uredbe (EU) br. 913/2010 i stavljanju van snage uredbe (EZ) br. 680/2007 i (EZ) br. 67/2010 (Prilog 1), </w:t>
      </w:r>
    </w:p>
    <w:p w:rsidR="00505632" w:rsidRDefault="00505632" w:rsidP="00505632">
      <w:r>
        <w:t xml:space="preserve">- Delegirana uredba Komisije (EU) 2016/1649 od 8. srpnja 2016. o dopuni Uredbe (EU) br. 1316/2013 Europskog parlamenta i Vijeća o uspostavi Instrumenta za povezivanje Europe, a procjene financijske potpore predviđene za svaki prioritet u Priopćenju Komisije br. COM(2013) 940 final (Communication from the Commission – Building the Transport Core Network: Core Network Corridors and Connecting Europe Facility), </w:t>
      </w:r>
    </w:p>
    <w:p w:rsidR="00505632" w:rsidRDefault="00505632" w:rsidP="00505632">
      <w:r>
        <w:t xml:space="preserve">- Uredba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1083/2006Uredba (EU) br. 1315/2013 Europskog parlamenta i Vijeća od 11. prosinca 2013 o smjernicama Unije za razvoj transeuropske prometne mreže i stavljanju izvan snage Odluke br. 661/2010/EU, </w:t>
      </w:r>
    </w:p>
    <w:p w:rsidR="00505632" w:rsidRDefault="00505632" w:rsidP="00505632">
      <w:r>
        <w:t xml:space="preserve">- Uredba (EU) br. 2015/1017 Europskog parlamenta i Vijeća od 25. lipnja 2015 o Europskom fondu za strateška ulaganja, Europskom savjetodavnom centru za ulaganja i Europskom portalu projekata ulaganja i o izmjeni uredaba (EU) br. 1291/2013 i (EU) br. 1316/2013 – Europski fond za strateška ulaganja, </w:t>
      </w:r>
    </w:p>
    <w:p w:rsidR="00505632" w:rsidRDefault="00505632" w:rsidP="00505632">
      <w:r>
        <w:t>- Provedbena uredba Komisije (EU) br. 821/2014 od 28. srpnja 2014. o utvrđivanju pravila za primjenu Uredbe (EU) br. 1303/2013 Europskog parlamenta i Vijeća u pogledu detaljnih postupaka za prijenos programskih doprinosa i upravljanje njima, izvješćivanja o financijskim instrumentima, tehničkih obilježja mjera informiranja i komunikacije za operacije te sustava evidentiranja i pohranjivanja podataka.</w:t>
      </w:r>
    </w:p>
    <w:p w:rsidR="00505632" w:rsidRDefault="00505632" w:rsidP="00505632">
      <w:pPr>
        <w:pStyle w:val="Heading8"/>
        <w:jc w:val="left"/>
      </w:pPr>
      <w:r>
        <w:t>Opis aktivnosti</w:t>
      </w:r>
    </w:p>
    <w:p w:rsidR="00505632" w:rsidRDefault="00505632" w:rsidP="00505632">
      <w:r>
        <w:t xml:space="preserve">Sredstva na tekućem projektu T754040 CEF Tehnička pomoć za 2016. godinu planirana su u okviru uplaćenih  avansa od strane Europske komisije, a temeljem planiranog sklapanja ugovora o tehničkoj pomoći, u okviru Instrumenta za povezivanje Europe CEF (Connecting Europe Facility – CEF).  </w:t>
      </w:r>
    </w:p>
    <w:p w:rsidR="00505632" w:rsidRDefault="00505632" w:rsidP="00505632">
      <w:r>
        <w:t xml:space="preserve">Cilj stvaranja CEF-a jest ubrzati ulaganja u područje transeuropskih mreža i osigurati financijska sredstva, kako iz javnog tako i iz privatnog sektora. Primarni cilj programa je da pomogne stvaranju međusobno povezanih mreža širom Europe, koje će biti visokih performansi i ekološki održive, te pridonositi ekonomskom rastu i socijalnoj i teritorijalnoj koheziji unutar Europske unije. </w:t>
      </w:r>
    </w:p>
    <w:p w:rsidR="00505632" w:rsidRDefault="00505632" w:rsidP="00505632">
      <w:r>
        <w:t xml:space="preserve">Države Članice imaju pravo koristiti sredstva tehničke pomoći unutar CEF Instrumenta, koja se naziva Programme Support Actions (PSA). Sredstva se koriste za jačanje kapaciteta na nacionalnoj razini za upravljanje CEF instrumentom te koordinaciju svih popratnih aktivnosti. </w:t>
      </w:r>
    </w:p>
    <w:p w:rsidR="00505632" w:rsidRDefault="00505632" w:rsidP="00505632">
      <w:r>
        <w:t xml:space="preserve">U skladu s time, tijekom 2016. godine u provedbi su bili  slijedeći ugovori o tehničkoj pomoći između EK i Ministarstva: </w:t>
      </w:r>
    </w:p>
    <w:p w:rsidR="00505632" w:rsidRDefault="00505632" w:rsidP="00505632">
      <w:r>
        <w:t xml:space="preserve">1)Ugovor "Technical assistance services for the development and implementation of projects implementing the TEN-T Core Network in Member states eligible to the Cohesion envelope of the Connecting Europe Facility/Usluge Tehničke pomoći za razvoj i implementaciju projekata u koridorima osnovne mreže članicama prihvatljivim iz Kohezijske „omotnice“" u iznosu od 134.413,00 EUR.  </w:t>
      </w:r>
    </w:p>
    <w:p w:rsidR="00505632" w:rsidRDefault="00505632" w:rsidP="00505632">
      <w:r>
        <w:t xml:space="preserve">Iz navedenog ugovora tijekom 2016. godine odrađene su sljedeće aktivnosti:  </w:t>
      </w:r>
    </w:p>
    <w:p w:rsidR="00505632" w:rsidRDefault="00505632" w:rsidP="00505632">
      <w:r>
        <w:t xml:space="preserve">- MMPI je organizirao 4 konferencije,  a predstavnici MMPI- a  prisustvovali su na sljedećim sastancima:  sastanaku mediteranski koridor foruma isastanaku Rajna-Dunav koridor foruma. Dodatni sastanci  povezani sa tematikom CEF-a su: sastanak u vezi s koordinacijama i aktivnostima između država članica uz Osnovnu mrežu koridora (Danska), studijski posjet u vezi s razmjenom dobrih praksi u drugim državama članicama u upravljanju CEF i postavljanje sustava i upravljanja projektima (Slovačka) i sastanci koji se odnose na koordinaciju i aktivnosti unutar države članice s korisnicima. Osim toga, angažirano je i dodatno administrativno osoblje (četiri ugovora u listopadu, sedam ugovora u studenom i devet ugovora u prosincu). </w:t>
      </w:r>
    </w:p>
    <w:p w:rsidR="00505632" w:rsidRDefault="00505632" w:rsidP="00505632">
      <w:r>
        <w:t xml:space="preserve">Dana13. srpnja 2016. godine MMPI i RGO komunikacije potpisali su ugovor o nabavi za usluge savjetovanja u vezi s TENtec sustavom. Kick off sastanak održan je u srpnju 2016. godine kojim je formalno počeo projekt implementacije. Aktivnosti projekta su: izrada metodologije za prikupljanje podataka i podrška za upload podataka na TENtec baze, organizacija i održavanje treninga za edukaciju djelatnika MMPI. Održano je ukupno  5 radionica / treninga. Ugovor je u provedbi. </w:t>
      </w:r>
    </w:p>
    <w:p w:rsidR="00505632" w:rsidRDefault="00505632" w:rsidP="00505632">
      <w:r>
        <w:t>2) Tijekom 2016. godine potpisan je i ugovor "Support to participation of the Member states in the TEN-T Core Network corridors/Potpora sudjelovanju Republike Hrvatske u Koridorima osnovne mreže"  iznosu  301.165,00 EUR. U okviru spomenutog ugovora, potisan je »Ugovor  o nabavi tehničke pomoći za razvoj, pripremu i provedbu projekata TEN-T osnovne mreže u Hrvatskoj – savjetovanje i pomoć u radu vezanom za CEF projekte ev. Br. 32-53-16-1«, između naručitelja – MMPI i Zajednice ponuditelja - IGH Energija d.o.o. i Ecorys Hrvatska d.o.o., krajnji rok izvršenja usluge je 31. srpnja 2017. godine.</w:t>
      </w:r>
    </w:p>
    <w:p w:rsidR="00505632" w:rsidRDefault="00505632" w:rsidP="00505632">
      <w:pPr>
        <w:pStyle w:val="Heading3"/>
      </w:pPr>
      <w:r>
        <w:rPr>
          <w:rFonts w:cs="Times New Roman"/>
        </w:rPr>
        <w:t>3112 INSPEKCIJSKI NADZOR CESTOVNOG PROMETA I CESTA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3112-INSPEKCIJSKI NADZOR CESTOVNOG PROMETA I CESTA</w:t>
            </w:r>
          </w:p>
        </w:tc>
        <w:tc>
          <w:tcPr>
            <w:tcW w:w="2041" w:type="dxa"/>
          </w:tcPr>
          <w:p w:rsidR="00505632" w:rsidRDefault="00505632" w:rsidP="00AD4E52">
            <w:pPr>
              <w:pStyle w:val="CellColumn"/>
              <w:jc w:val="right"/>
            </w:pPr>
            <w:r>
              <w:rPr>
                <w:rFonts w:cs="Times New Roman"/>
              </w:rPr>
              <w:t>948.755</w:t>
            </w:r>
          </w:p>
        </w:tc>
        <w:tc>
          <w:tcPr>
            <w:tcW w:w="2041" w:type="dxa"/>
          </w:tcPr>
          <w:p w:rsidR="00505632" w:rsidRDefault="00505632" w:rsidP="00AD4E52">
            <w:pPr>
              <w:pStyle w:val="CellColumn"/>
              <w:jc w:val="right"/>
            </w:pPr>
            <w:r>
              <w:rPr>
                <w:rFonts w:cs="Times New Roman"/>
              </w:rPr>
              <w:t>1.130.000</w:t>
            </w:r>
          </w:p>
        </w:tc>
        <w:tc>
          <w:tcPr>
            <w:tcW w:w="2041" w:type="dxa"/>
          </w:tcPr>
          <w:p w:rsidR="00505632" w:rsidRDefault="00505632" w:rsidP="00AD4E52">
            <w:pPr>
              <w:pStyle w:val="CellColumn"/>
              <w:jc w:val="right"/>
            </w:pPr>
            <w:r>
              <w:rPr>
                <w:rFonts w:cs="Times New Roman"/>
              </w:rPr>
              <w:t>1.048.627</w:t>
            </w:r>
          </w:p>
        </w:tc>
        <w:tc>
          <w:tcPr>
            <w:tcW w:w="1224" w:type="dxa"/>
          </w:tcPr>
          <w:p w:rsidR="00505632" w:rsidRDefault="00505632" w:rsidP="00AD4E52">
            <w:pPr>
              <w:pStyle w:val="CellColumn"/>
              <w:jc w:val="right"/>
            </w:pPr>
            <w:r>
              <w:rPr>
                <w:rFonts w:cs="Times New Roman"/>
              </w:rPr>
              <w:t>92,8</w:t>
            </w:r>
          </w:p>
        </w:tc>
        <w:tc>
          <w:tcPr>
            <w:tcW w:w="1224" w:type="dxa"/>
          </w:tcPr>
          <w:p w:rsidR="00505632" w:rsidRDefault="00505632" w:rsidP="00AD4E52">
            <w:pPr>
              <w:pStyle w:val="CellColumn"/>
              <w:jc w:val="right"/>
            </w:pPr>
            <w:r>
              <w:rPr>
                <w:rFonts w:cs="Times New Roman"/>
              </w:rPr>
              <w:t>110,5</w:t>
            </w:r>
          </w:p>
        </w:tc>
      </w:tr>
    </w:tbl>
    <w:p w:rsidR="00505632" w:rsidRDefault="00505632" w:rsidP="00505632">
      <w:pPr>
        <w:jc w:val="left"/>
      </w:pPr>
    </w:p>
    <w:p w:rsidR="00505632" w:rsidRDefault="00505632" w:rsidP="00505632">
      <w:r>
        <w:t>U okviru programa Inspekcijski nadzor cestovnog prometa i cesta vrši se inspekcijski nadzor provedbe propisa kojim je uređeno upravno područje cestovnog prometa, javnih cesta i cestovne infrastrukture, čija zadaća je kontinuirani razvoj i sigurnost prometnog sustava.</w:t>
      </w:r>
    </w:p>
    <w:p w:rsidR="00505632" w:rsidRDefault="00505632" w:rsidP="00505632">
      <w:pPr>
        <w:pStyle w:val="Heading8"/>
        <w:jc w:val="left"/>
      </w:pPr>
      <w:r>
        <w:t>Cilj 1. Kvalitetan nadzor sustava cestovnog prometa, cestovne infrastrukture i žičara</w:t>
      </w:r>
    </w:p>
    <w:p w:rsidR="00505632" w:rsidRDefault="00505632" w:rsidP="00505632">
      <w:pPr>
        <w:pStyle w:val="Heading8"/>
        <w:jc w:val="left"/>
      </w:pPr>
      <w:r>
        <w:t>Opis provedbe cilja programa</w:t>
      </w:r>
    </w:p>
    <w:p w:rsidR="00505632" w:rsidRDefault="00505632" w:rsidP="00505632">
      <w:r>
        <w:t xml:space="preserve">Provedba cilja obuhvaćala je aktivnosti nadzora poduzetih od strane inspektora cestovnog prometa, na cestama i u tvrtkama, temeljenih na mjesečnim planovima (nadzor radnih vremena, potrebnih dokumenata, radionica, provjeru vozila u pogledu dopuštene mase, nadzor prijevoza opasnih tvari), nadzor nad sustavom cestovne infrastukture i sigurnosti prometa na cestama. Također su se obavljale i zajedničke kontrole s drugim nadležnim tijelima (MUP RH, Carina RH, CVH i dr.), kao i međunarodna suradnja kroz bilateralne i multilateralne aktivnosti s nadzornim tijelima drugih država članica EU (CORTE i ECR). Izvan mjesečnih planova rada izvršavali su se i izvanredni inspekcijski nadzori u smislu postupanja po zaprimljenim predstavkama. </w:t>
      </w:r>
    </w:p>
    <w:p w:rsidR="00505632" w:rsidRDefault="00505632" w:rsidP="00505632">
      <w:r>
        <w:t>Izvršene su i dodatne edukacije inspektora iz područja socijalnog zakonodavstva u cestovnom prijevozu, prijevoznog zakonodavstva u cestovnom prometu, ostalih propisa iz područja cestovnog prometa, inspekcije cestovnog prometa, upravnog postupka, prekršajnog postupka, uredskog poslovanja kao i razmjena praktičnih iskustava prilikom provedbe mobilnog nadzora.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Učešće nadziranih radnih dana od ukupnog broja radnih dana koje rade vozači vozila s ukupnom dopuštenom masom iznad 3,5 tona i vozača autobusa pregledom tahografa (analognih i digitalnih) i zapisa uređaja</w:t>
            </w:r>
          </w:p>
        </w:tc>
        <w:tc>
          <w:tcPr>
            <w:tcW w:w="2551" w:type="dxa"/>
          </w:tcPr>
          <w:p w:rsidR="00505632" w:rsidRDefault="00505632" w:rsidP="00AD4E52">
            <w:pPr>
              <w:pStyle w:val="CellColumn"/>
              <w:jc w:val="left"/>
            </w:pPr>
            <w:r>
              <w:rPr>
                <w:rFonts w:cs="Times New Roman"/>
              </w:rPr>
              <w:t>Kontinuiranim održanjem broja provjera radnih vremena i obveznih odmora vozača vozila za prijevoz putnika i tereta će znatno doprinijeti zdravlju mobilnih radnika kao i povećanju sigurnosti prometa na cestama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4,5</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4,5</w:t>
            </w:r>
          </w:p>
        </w:tc>
        <w:tc>
          <w:tcPr>
            <w:tcW w:w="1020" w:type="dxa"/>
          </w:tcPr>
          <w:p w:rsidR="00505632" w:rsidRDefault="00505632" w:rsidP="00AD4E52">
            <w:pPr>
              <w:pStyle w:val="CellColumn"/>
              <w:jc w:val="right"/>
            </w:pPr>
            <w:r>
              <w:rPr>
                <w:rFonts w:cs="Times New Roman"/>
              </w:rPr>
              <w:t>4,5</w:t>
            </w:r>
          </w:p>
        </w:tc>
      </w:tr>
    </w:tbl>
    <w:p w:rsidR="00505632" w:rsidRDefault="00505632" w:rsidP="00505632">
      <w:pPr>
        <w:jc w:val="left"/>
      </w:pPr>
    </w:p>
    <w:p w:rsidR="00505632" w:rsidRDefault="00505632" w:rsidP="00505632">
      <w:pPr>
        <w:pStyle w:val="Heading4"/>
      </w:pPr>
      <w:r>
        <w:t>K761028 OPREMANJE INSPEKCIJE OPREMOM I OSTALIM UREĐAJIMA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K761028-OPREMANJE INSPEKCIJE OPREMOM I OSTALIM UREĐAJIMA</w:t>
            </w:r>
          </w:p>
        </w:tc>
        <w:tc>
          <w:tcPr>
            <w:tcW w:w="2041" w:type="dxa"/>
          </w:tcPr>
          <w:p w:rsidR="00505632" w:rsidRDefault="00505632" w:rsidP="00AD4E52">
            <w:pPr>
              <w:pStyle w:val="CellColumn"/>
              <w:jc w:val="right"/>
            </w:pPr>
            <w:r>
              <w:rPr>
                <w:rFonts w:cs="Times New Roman"/>
              </w:rPr>
              <w:t>948.755</w:t>
            </w:r>
          </w:p>
        </w:tc>
        <w:tc>
          <w:tcPr>
            <w:tcW w:w="2041" w:type="dxa"/>
          </w:tcPr>
          <w:p w:rsidR="00505632" w:rsidRDefault="00505632" w:rsidP="00AD4E52">
            <w:pPr>
              <w:pStyle w:val="CellColumn"/>
              <w:jc w:val="right"/>
            </w:pPr>
            <w:r>
              <w:rPr>
                <w:rFonts w:cs="Times New Roman"/>
              </w:rPr>
              <w:t>1.130.000</w:t>
            </w:r>
          </w:p>
        </w:tc>
        <w:tc>
          <w:tcPr>
            <w:tcW w:w="2041" w:type="dxa"/>
          </w:tcPr>
          <w:p w:rsidR="00505632" w:rsidRDefault="00505632" w:rsidP="00AD4E52">
            <w:pPr>
              <w:pStyle w:val="CellColumn"/>
              <w:jc w:val="right"/>
            </w:pPr>
            <w:r>
              <w:rPr>
                <w:rFonts w:cs="Times New Roman"/>
              </w:rPr>
              <w:t>1.048.627</w:t>
            </w:r>
          </w:p>
        </w:tc>
        <w:tc>
          <w:tcPr>
            <w:tcW w:w="1224" w:type="dxa"/>
          </w:tcPr>
          <w:p w:rsidR="00505632" w:rsidRDefault="00505632" w:rsidP="00AD4E52">
            <w:pPr>
              <w:pStyle w:val="CellColumn"/>
              <w:jc w:val="right"/>
            </w:pPr>
            <w:r>
              <w:rPr>
                <w:rFonts w:cs="Times New Roman"/>
              </w:rPr>
              <w:t>92,8</w:t>
            </w:r>
          </w:p>
        </w:tc>
        <w:tc>
          <w:tcPr>
            <w:tcW w:w="1224" w:type="dxa"/>
          </w:tcPr>
          <w:p w:rsidR="00505632" w:rsidRDefault="00505632" w:rsidP="00AD4E52">
            <w:pPr>
              <w:pStyle w:val="CellColumn"/>
              <w:jc w:val="right"/>
            </w:pPr>
            <w:r>
              <w:rPr>
                <w:rFonts w:cs="Times New Roman"/>
              </w:rPr>
              <w:t>110,5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prijevozu u cestovnom prometu (NN 82/13), </w:t>
      </w:r>
    </w:p>
    <w:p w:rsidR="00505632" w:rsidRDefault="00505632" w:rsidP="00505632">
      <w:r>
        <w:t xml:space="preserve">- Zakon o sigurnosti prometa na cestama (NN 67/08, 48/10, 74/11, 80/13, 158/13, 92/14, 64/15),  </w:t>
      </w:r>
    </w:p>
    <w:p w:rsidR="00505632" w:rsidRDefault="00505632" w:rsidP="00505632">
      <w:r>
        <w:t xml:space="preserve">- Zakon o radnom vremenu, obveznim odmorima mobilnih radnika i uređajima za bilježenje u cestovnom prometu (NN 75/13, 36/15), </w:t>
      </w:r>
    </w:p>
    <w:p w:rsidR="00505632" w:rsidRDefault="00505632" w:rsidP="00505632">
      <w:r>
        <w:t xml:space="preserve">- Zakon o cestama (NN 84/11, 22/13, 54/13, 148/13, 92/14), </w:t>
      </w:r>
    </w:p>
    <w:p w:rsidR="00505632" w:rsidRDefault="00505632" w:rsidP="00505632">
      <w:r>
        <w:t xml:space="preserve">- Zakon o inspekciji cestovnog prometa i cesta (NN 22/14), </w:t>
      </w:r>
    </w:p>
    <w:p w:rsidR="00505632" w:rsidRDefault="00505632" w:rsidP="00505632">
      <w:r>
        <w:t xml:space="preserve">- Zakon o prijevozu opasnih tvari (NN 79/07)  </w:t>
      </w:r>
    </w:p>
    <w:p w:rsidR="00505632" w:rsidRDefault="00505632" w:rsidP="00505632">
      <w:r>
        <w:t xml:space="preserve">- ADR </w:t>
      </w:r>
    </w:p>
    <w:p w:rsidR="00505632" w:rsidRDefault="00505632" w:rsidP="00505632">
      <w:r>
        <w:t xml:space="preserve">- Zakon o žičarama za prijevoz osoba (NN 79/07, 75/90, 61/11, 22/14), </w:t>
      </w:r>
    </w:p>
    <w:p w:rsidR="00505632" w:rsidRDefault="00505632" w:rsidP="00505632">
      <w:r>
        <w:t xml:space="preserve">- Pravilnik o obrascu iskaznice, obliku značke, opremi i službenoj odjeći inspektora cestovnog prometa i inspektora cesta (NN br. 128/09),  </w:t>
      </w:r>
    </w:p>
    <w:p w:rsidR="00505632" w:rsidRDefault="00505632" w:rsidP="00505632">
      <w:r>
        <w:t>- Pravilnik o označavanju službenih vozila inspekcije cestovnog prometa i cesta (NN br. 66/14).</w:t>
      </w:r>
    </w:p>
    <w:p w:rsidR="00505632" w:rsidRDefault="00505632" w:rsidP="00505632">
      <w:pPr>
        <w:pStyle w:val="Heading8"/>
        <w:jc w:val="left"/>
      </w:pPr>
      <w:r>
        <w:t>Opis aktivnosti</w:t>
      </w:r>
    </w:p>
    <w:p w:rsidR="00505632" w:rsidRDefault="00505632" w:rsidP="00505632">
      <w:r>
        <w:t xml:space="preserve">Opremanjem inspekcije te stalnom modernizacijom specijalnih uređaja, opreme i aplikacija koji se koriste za potrebe obavljanja inspekcijskih nadzora, stvaraju se uvjeti za ostvarenje godišnjeg plana kao i izvršavanje dužnosti u skladu s Uredbom (EU) br. 165/2014 Europskog Parlamenta i Vijeća i Direktivom 2006/22/EZ Europskog Parlamenta i Vijeća. Sukladno Uredbi (EU) br. 165/2014, sve države članice EU moraju se pobrinuti da su službenici za kontrolu na odgovarajući način osposobljeni za analizu zabilježenih podataka i provjeru tahografa kako bi se uspostavile učinkovite i usklađene aktivnosti provjere i osigurala provedba. Direktivom 2006/22/EZ Europskog parlamenta i Vijeća od država članica zahtijeva se provedba minimalnog broja provjera na cesti. Europska Komisija je naznačila potrebu jačanja provjera i sankcija naročito za socijalno zakonodavstvo u poslovima cestovnog prijevoza i posebno na povećanju broja provjera radi poticanja sistematske razmjene podataka između država članica i radi usklađivanja poslova nadzora i poticanja osposobljavanja službenika odgovornih za provođenje zakona. Djelotvorna i ravnomjerna provedba tih odredaba poželjna je ako se žele postići njihovi ciljevi i ako se primjena tih propisa ne želi dovesti u pitanje.  </w:t>
      </w:r>
    </w:p>
    <w:p w:rsidR="00505632" w:rsidRDefault="00505632" w:rsidP="00505632">
      <w:r>
        <w:t xml:space="preserve">Temeljem programa nadogradnje razvoja i održavanjanacionalnog inspekcijskog sustava CRIS nadograđeni su obrasci mjere opreza, izmjenjeni su zapisnik o radnim vremenima kod kontrole na cesti, univerzalni zapisnik, prekršajni nalog, obavezni prekršajni nalog, ADR zapisnik i sl. </w:t>
      </w:r>
    </w:p>
    <w:p w:rsidR="00505632" w:rsidRDefault="00505632" w:rsidP="00505632">
      <w:r>
        <w:t xml:space="preserve">Putem spomenutog projekta planirana sredstva su utrošena na:  </w:t>
      </w:r>
    </w:p>
    <w:p w:rsidR="00505632" w:rsidRDefault="00505632" w:rsidP="00505632">
      <w:r>
        <w:t xml:space="preserve">- nabavu sklopivih reflektirajućih čunjeva za signalizaciju i ograđivanje prilikom cestovnih nadzora </w:t>
      </w:r>
    </w:p>
    <w:p w:rsidR="00505632" w:rsidRDefault="00505632" w:rsidP="00505632">
      <w:r>
        <w:t xml:space="preserve">- opremanje i održavanje službenih vozila posebnim uređajima za obavljanje inspekcijskog nadzora kako bi inspektori zaustavljali vozila u cestovnom prometu na propisani način u obavljanju poslova nadzora i upravljanja prometom na cestama </w:t>
      </w:r>
    </w:p>
    <w:p w:rsidR="00505632" w:rsidRDefault="00505632" w:rsidP="00505632">
      <w:r>
        <w:t xml:space="preserve">- redovito godišnje pregledavanje i ovjeravanje mobilnih vaga, kao i opremanje s novim mobilnim vagama za potrebe zakonskih propisa Direktive (EU) 2015/719 Europskog Parlamenta i Vijeća </w:t>
      </w:r>
    </w:p>
    <w:p w:rsidR="00505632" w:rsidRDefault="00505632" w:rsidP="00505632">
      <w:r>
        <w:t xml:space="preserve">- nadogradnja i održavanje web aplikacije potrebne za prikupljanje rezultata kontrola inspektora, pretraživanje i filtriranje podataka, izrada i ispis izvještaja potrebnih za razmjenu podataka s ostalim državama članicama i Komisiji prema Uredbi (EZ) br. 561/2006 Europskog Parlamenta i Vijeća. </w:t>
      </w:r>
    </w:p>
    <w:p w:rsidR="00505632" w:rsidRDefault="00505632" w:rsidP="00505632">
      <w:r>
        <w:t>Utrošenim proračunskim sredstvima postignuto je odgovarajuće bilježenje podataka i izvršavanje inspekcijskih provjera radi uspostave učinkovite i usklađene aktivnosti i osiguranja provedbe godišnjeg plana te preuzetih obveza RH kao punopravne članice EU.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Stupanj opremljenosti inspekcije adekvatnom opremom</w:t>
            </w:r>
          </w:p>
        </w:tc>
        <w:tc>
          <w:tcPr>
            <w:tcW w:w="2551" w:type="dxa"/>
          </w:tcPr>
          <w:p w:rsidR="00505632" w:rsidRDefault="00505632" w:rsidP="00AD4E52">
            <w:pPr>
              <w:pStyle w:val="CellColumn"/>
              <w:jc w:val="left"/>
            </w:pPr>
            <w:r>
              <w:rPr>
                <w:rFonts w:cs="Times New Roman"/>
              </w:rPr>
              <w:t>Nabava i nadogradnja adekvatne opreme te jačanje administrativnih kapaciteta omogućiti će ostvarenje godišnjeg plana ukupnog broja inspekcijskih pregleda radnih dana vozača u cestovnom prijevozu tereta i putnika, te nadzora cesta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90</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3"/>
      </w:pPr>
      <w:r>
        <w:rPr>
          <w:rFonts w:cs="Times New Roman"/>
        </w:rPr>
        <w:t>3113 RAZVOJ SUSTAVA ZRAČNOG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3113-RAZVOJ SUSTAVA ZRAČNOG PROMETA</w:t>
            </w:r>
          </w:p>
        </w:tc>
        <w:tc>
          <w:tcPr>
            <w:tcW w:w="2041" w:type="dxa"/>
          </w:tcPr>
          <w:p w:rsidR="00505632" w:rsidRDefault="00505632" w:rsidP="00AD4E52">
            <w:pPr>
              <w:pStyle w:val="CellColumn"/>
              <w:jc w:val="right"/>
            </w:pPr>
            <w:r>
              <w:rPr>
                <w:rFonts w:cs="Times New Roman"/>
              </w:rPr>
              <w:t>158.847.702</w:t>
            </w:r>
          </w:p>
        </w:tc>
        <w:tc>
          <w:tcPr>
            <w:tcW w:w="2041" w:type="dxa"/>
          </w:tcPr>
          <w:p w:rsidR="00505632" w:rsidRDefault="00505632" w:rsidP="00AD4E52">
            <w:pPr>
              <w:pStyle w:val="CellColumn"/>
              <w:jc w:val="right"/>
            </w:pPr>
            <w:r>
              <w:rPr>
                <w:rFonts w:cs="Times New Roman"/>
              </w:rPr>
              <w:t>148.534.000</w:t>
            </w:r>
          </w:p>
        </w:tc>
        <w:tc>
          <w:tcPr>
            <w:tcW w:w="2041" w:type="dxa"/>
          </w:tcPr>
          <w:p w:rsidR="00505632" w:rsidRDefault="00505632" w:rsidP="00AD4E52">
            <w:pPr>
              <w:pStyle w:val="CellColumn"/>
              <w:jc w:val="right"/>
            </w:pPr>
            <w:r>
              <w:rPr>
                <w:rFonts w:cs="Times New Roman"/>
              </w:rPr>
              <w:t>139.698.541</w:t>
            </w:r>
          </w:p>
        </w:tc>
        <w:tc>
          <w:tcPr>
            <w:tcW w:w="1224" w:type="dxa"/>
          </w:tcPr>
          <w:p w:rsidR="00505632" w:rsidRDefault="00505632" w:rsidP="00AD4E52">
            <w:pPr>
              <w:pStyle w:val="CellColumn"/>
              <w:jc w:val="right"/>
            </w:pPr>
            <w:r>
              <w:rPr>
                <w:rFonts w:cs="Times New Roman"/>
              </w:rPr>
              <w:t>94,1</w:t>
            </w:r>
          </w:p>
        </w:tc>
        <w:tc>
          <w:tcPr>
            <w:tcW w:w="1224" w:type="dxa"/>
          </w:tcPr>
          <w:p w:rsidR="00505632" w:rsidRDefault="00505632" w:rsidP="00AD4E52">
            <w:pPr>
              <w:pStyle w:val="CellColumn"/>
              <w:jc w:val="right"/>
            </w:pPr>
            <w:r>
              <w:rPr>
                <w:rFonts w:cs="Times New Roman"/>
              </w:rPr>
              <w:t>87,9</w:t>
            </w:r>
          </w:p>
        </w:tc>
      </w:tr>
    </w:tbl>
    <w:p w:rsidR="00505632" w:rsidRDefault="00505632" w:rsidP="00505632">
      <w:pPr>
        <w:jc w:val="left"/>
      </w:pPr>
    </w:p>
    <w:p w:rsidR="00505632" w:rsidRDefault="00505632" w:rsidP="00505632">
      <w:r>
        <w:t xml:space="preserve">Zadaća ovog programa je održavanje stupnja sigurnosti, zaštite, redovitosti i učinkovitosti civilnog zračnog prometa te proširenje i gradnja prateće infrastrukture za prihvat putnika i zrakoplova na aerodromima u Republici Hrvatskoj. Kroz ovaj program prvenstveno su se, na postojećim aerodromima, provodile aktivnosti vezane uz nužna tehnološka i sigurnosno-prometna unapređenja, odnosno vršena su ulaganja u infrastrukturu aerodroma i pripadajuću opremu kao i ulaganja u unapređenje zaštite i sigurnosti aerodroma te prilagođavanje sustava zračnog prometa Republike Hrvatske međunarodnim standardima. </w:t>
      </w:r>
    </w:p>
    <w:p w:rsidR="00505632" w:rsidRDefault="00505632" w:rsidP="00505632">
      <w:r>
        <w:t xml:space="preserve">Prioritetni cilj ovog programa je operacionalizacija mjera Nacionalnog programa sigurnosti u zračnom prometu i operacionalizacija mjera Nacionalnog programa zaštite civilnog zračnog prometa, čije se ostvarenje u 2016. godini provodilo kroz pružanje potpore svim aerodromima pri zatvaranju nalaza, koje je Hrvatska agencija za civilno zrakoplovstvo (HACZ) utvrdila aerodromima provođenjem korektivnih mjera koje se odnose na stanje sigurnosti na aerodromima. </w:t>
      </w:r>
    </w:p>
    <w:p w:rsidR="00505632" w:rsidRDefault="00505632" w:rsidP="00505632">
      <w:r>
        <w:t xml:space="preserve">Odvijanje domaćeg linijskog zračnog prijevoza, koje ima vrlo važnu ulogu za sustav zračnog prometa, provodilo se kroz poticanje očuvanja postojećih domaćih zračnih linija u svrhu osiguranja bolje mobilnosti stanovništva, bržeg i ekonomičnijeg prijevoza tereta kao i ujednačenog razvoja regija unutar Republike Hrvatske.  </w:t>
      </w:r>
    </w:p>
    <w:p w:rsidR="00505632" w:rsidRDefault="00505632" w:rsidP="00505632">
      <w:r>
        <w:t xml:space="preserve">Pored navedenog, kroz ovaj program provodile su se i aktivnosti vezane za očuvanje otvorenosti aerodroma za javni zračni promet te aktivnosti vezane za stvaranje uvjeta za kvalitetno traganje i spašavanja života koje se provodilo radi minimiziranja štetnih posljedica u slučaju incidenta te zaštiti života i imovine u prometu.  </w:t>
      </w:r>
    </w:p>
    <w:p w:rsidR="00505632" w:rsidRDefault="00505632" w:rsidP="00505632">
      <w:r>
        <w:t>U Strateškom planu Ministarstva mora, prometa i infrastrukture za razdoblje 2016.-2018. godine isti je povezan sa Općim ciljem 1. Održivi razvoj prometnog sustava, Posebni cilj 1.5. Razvijen sustav zračnog prometa.</w:t>
      </w:r>
    </w:p>
    <w:p w:rsidR="00505632" w:rsidRDefault="00505632" w:rsidP="00505632">
      <w:pPr>
        <w:pStyle w:val="Heading8"/>
        <w:jc w:val="left"/>
      </w:pPr>
      <w:r>
        <w:t>Cilj 1. Razvijen sustav zračnog prometa</w:t>
      </w:r>
    </w:p>
    <w:p w:rsidR="00505632" w:rsidRDefault="00505632" w:rsidP="00505632">
      <w:pPr>
        <w:pStyle w:val="Heading8"/>
        <w:jc w:val="left"/>
      </w:pPr>
      <w:r>
        <w:t>Opis provedbe cilja programa</w:t>
      </w:r>
    </w:p>
    <w:p w:rsidR="00505632" w:rsidRDefault="00505632" w:rsidP="00505632">
      <w:r>
        <w:t xml:space="preserve">Cilj ovog programa je podizanje razine sigurnosti i zaštite civilnog zračnog prometa, prometne infrastrukture i prometne usluge. Kroz ovaj program u 2016. godini sudjelovalo se u zatvaranju nalaza koje je Hrvatska agencija za civilno zrakoplovstvo (HACZ) utvrdila aerodromima provođenjem korektivnih mjera, koje se odnose na stanje sigurnosti na aerodromima. </w:t>
      </w:r>
    </w:p>
    <w:p w:rsidR="00505632" w:rsidRDefault="00505632" w:rsidP="00505632">
      <w:r>
        <w:t xml:space="preserve">Utrošenim proračunskim sredstvima s ovog programa, u 2016. godini podržano je 16 mjera (zahtjeva) aerodroma kojima se utjecalo na poboljšanje aerodromske infrastrukture i povećanje sigurnosti i zaštite aerodroma u Republici Hrvatskoj kao i zatvaranju 14 nalaza tj. nesukladnosti koje je HACZ utvrdila aerodromima.  </w:t>
      </w:r>
    </w:p>
    <w:p w:rsidR="00505632" w:rsidRDefault="00505632" w:rsidP="00505632">
      <w:r>
        <w:t xml:space="preserve">Sredstvima s ovog programa vršena je i nadoknada zračnim prijevoznicima (Croatia Airlines d.d. i Trade Air d.o.o.) za održavanje redovitih domaćih zračnih linija tijekom 2016. godine te su financirani troškovi za održavanje otvorenosti Zračne luke Osijek d.o.o. za civilni zračni promet. Osim toga, proračunskim sredstvima s ovoga programa u 2016. godini izvršena je nadoknada troškova Hrvatskoj kontroli zračne plovidbe d.o.o. za usluge koje je ista pružala letovima koji su izuzeti od plaćanja rutnih i terminalnih naknada (vojni letovi, potraga i spašavanje, policijski letovi, humanitarni letovi, određena osposobljavanja i dr.), a koji su nastali u 2015. godini. </w:t>
      </w:r>
    </w:p>
    <w:p w:rsidR="00505632" w:rsidRDefault="00505632" w:rsidP="00505632">
      <w:r>
        <w:t>Zadani ciljevi ovoga programa su ostvareni jer je proračunskim sredstvima u 2016. godini, postignut broj od 14 zatvorenih nalaza koje je HACZ utvrdila aerodromima. Tijekom 2016. godine ovaj program se provodio planiranom dinamikom te nije bilo problema u njegovu izvršavanju.</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podržanih (zatvorenih) nalaza „korektivnih mjera“ izrečenih aerodromima od strane Hrvatske agencije za civilno zrakoplovstvo (HACZ)</w:t>
            </w:r>
          </w:p>
        </w:tc>
        <w:tc>
          <w:tcPr>
            <w:tcW w:w="2551" w:type="dxa"/>
          </w:tcPr>
          <w:p w:rsidR="00505632" w:rsidRDefault="00505632" w:rsidP="00AD4E52">
            <w:pPr>
              <w:pStyle w:val="CellColumn"/>
              <w:jc w:val="left"/>
            </w:pPr>
            <w:r>
              <w:rPr>
                <w:rFonts w:cs="Times New Roman"/>
              </w:rPr>
              <w:t xml:space="preserve">Smanjenjem broja nezatvorenih nalaza „korektivnih mjera“ izrečenim aerodromima od strane Hrvatske agencije za civilno zrakoplovstvo (HACZ), povećava se razina sigurnosti i zaštite u civilnom zračnom prometu) </w:t>
            </w:r>
          </w:p>
          <w:p w:rsidR="00505632" w:rsidRDefault="00505632" w:rsidP="00AD4E52">
            <w:pPr>
              <w:pStyle w:val="CellColumn"/>
              <w:jc w:val="left"/>
            </w:pPr>
            <w:r>
              <w:rPr>
                <w:rFonts w:cs="Times New Roman"/>
              </w:rPr>
              <w:t>(godišnja vrijednost)</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13</w:t>
            </w:r>
          </w:p>
        </w:tc>
        <w:tc>
          <w:tcPr>
            <w:tcW w:w="1020" w:type="dxa"/>
          </w:tcPr>
          <w:p w:rsidR="00505632" w:rsidRDefault="00505632" w:rsidP="00AD4E52">
            <w:pPr>
              <w:pStyle w:val="CellColumn"/>
              <w:jc w:val="right"/>
            </w:pPr>
            <w:r>
              <w:rPr>
                <w:rFonts w:cs="Times New Roman"/>
              </w:rPr>
              <w:t xml:space="preserve">HACZ </w:t>
            </w:r>
          </w:p>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14</w:t>
            </w:r>
          </w:p>
        </w:tc>
        <w:tc>
          <w:tcPr>
            <w:tcW w:w="1020" w:type="dxa"/>
          </w:tcPr>
          <w:p w:rsidR="00505632" w:rsidRDefault="00505632" w:rsidP="00AD4E52">
            <w:pPr>
              <w:pStyle w:val="CellColumn"/>
              <w:jc w:val="right"/>
            </w:pPr>
            <w:r>
              <w:rPr>
                <w:rFonts w:cs="Times New Roman"/>
              </w:rPr>
              <w:t>14</w:t>
            </w:r>
          </w:p>
        </w:tc>
      </w:tr>
    </w:tbl>
    <w:p w:rsidR="00505632" w:rsidRDefault="00505632" w:rsidP="00505632">
      <w:pPr>
        <w:jc w:val="left"/>
      </w:pPr>
    </w:p>
    <w:p w:rsidR="00505632" w:rsidRDefault="00505632" w:rsidP="00505632">
      <w:pPr>
        <w:pStyle w:val="Heading4"/>
      </w:pPr>
      <w:r>
        <w:t>A570001 SURADNJA S MEĐUNARODNIM ORGANIZACIJAMA TE PROVEDBA MJERA RAZVITKA ZRAČNOG PROMETA</w:t>
      </w:r>
    </w:p>
    <w:tbl>
      <w:tblPr>
        <w:tblStyle w:val="StilTablice"/>
        <w:tblW w:w="10206" w:type="dxa"/>
        <w:jc w:val="center"/>
        <w:tblLook w:val="04A0" w:firstRow="1" w:lastRow="0" w:firstColumn="1" w:lastColumn="0" w:noHBand="0" w:noVBand="1"/>
      </w:tblPr>
      <w:tblGrid>
        <w:gridCol w:w="1904"/>
        <w:gridCol w:w="1961"/>
        <w:gridCol w:w="1961"/>
        <w:gridCol w:w="1961"/>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A570001-SURADNJA S MEĐUNARODNIM ORGANIZACIJAMA TE PROVEDBA MJERA RAZVITKA ZRAČNOG PROMETA</w:t>
            </w:r>
          </w:p>
        </w:tc>
        <w:tc>
          <w:tcPr>
            <w:tcW w:w="2041" w:type="dxa"/>
          </w:tcPr>
          <w:p w:rsidR="00505632" w:rsidRDefault="00505632" w:rsidP="00AD4E52">
            <w:pPr>
              <w:pStyle w:val="CellColumn"/>
              <w:jc w:val="right"/>
            </w:pPr>
            <w:r>
              <w:rPr>
                <w:rFonts w:cs="Times New Roman"/>
              </w:rPr>
              <w:t>2.387.353</w:t>
            </w:r>
          </w:p>
        </w:tc>
        <w:tc>
          <w:tcPr>
            <w:tcW w:w="2041" w:type="dxa"/>
          </w:tcPr>
          <w:p w:rsidR="00505632" w:rsidRDefault="00505632" w:rsidP="00AD4E52">
            <w:pPr>
              <w:pStyle w:val="CellColumn"/>
              <w:jc w:val="right"/>
            </w:pPr>
            <w:r>
              <w:rPr>
                <w:rFonts w:cs="Times New Roman"/>
              </w:rPr>
              <w:t>1.595.000</w:t>
            </w:r>
          </w:p>
        </w:tc>
        <w:tc>
          <w:tcPr>
            <w:tcW w:w="2041" w:type="dxa"/>
          </w:tcPr>
          <w:p w:rsidR="00505632" w:rsidRDefault="00505632" w:rsidP="00AD4E52">
            <w:pPr>
              <w:pStyle w:val="CellColumn"/>
              <w:jc w:val="right"/>
            </w:pPr>
            <w:r>
              <w:rPr>
                <w:rFonts w:cs="Times New Roman"/>
              </w:rPr>
              <w:t>1.420.668</w:t>
            </w:r>
          </w:p>
        </w:tc>
        <w:tc>
          <w:tcPr>
            <w:tcW w:w="1224" w:type="dxa"/>
          </w:tcPr>
          <w:p w:rsidR="00505632" w:rsidRDefault="00505632" w:rsidP="00AD4E52">
            <w:pPr>
              <w:pStyle w:val="CellColumn"/>
              <w:jc w:val="right"/>
            </w:pPr>
            <w:r>
              <w:rPr>
                <w:rFonts w:cs="Times New Roman"/>
              </w:rPr>
              <w:t>89,1</w:t>
            </w:r>
          </w:p>
        </w:tc>
        <w:tc>
          <w:tcPr>
            <w:tcW w:w="1224" w:type="dxa"/>
          </w:tcPr>
          <w:p w:rsidR="00505632" w:rsidRDefault="00505632" w:rsidP="00AD4E52">
            <w:pPr>
              <w:pStyle w:val="CellColumn"/>
              <w:jc w:val="right"/>
            </w:pPr>
            <w:r>
              <w:rPr>
                <w:rFonts w:cs="Times New Roman"/>
              </w:rPr>
              <w:t>59,5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zračnom prometu („Narodne novine“, broj 69/2009, 84/2011, 54/2013, 127/2013, 92/2014),  </w:t>
      </w:r>
    </w:p>
    <w:p w:rsidR="00505632" w:rsidRDefault="00505632" w:rsidP="00505632">
      <w:r>
        <w:t xml:space="preserve">- Odluka o osnivanju Nacionalnog povjerenstva za upravljanje zračnim prostorom („Narodne novine“, broj 76/2014), </w:t>
      </w:r>
    </w:p>
    <w:p w:rsidR="00505632" w:rsidRDefault="00505632" w:rsidP="00505632">
      <w:r>
        <w:t xml:space="preserve">- Odluka o osnivanju Nacionalnog povjerenstva za olakšice („Narodne novine“, broj 91/2011, 28/2013 i 76/2014, </w:t>
      </w:r>
    </w:p>
    <w:p w:rsidR="00505632" w:rsidRDefault="00505632" w:rsidP="00505632">
      <w:r>
        <w:t xml:space="preserve">- Odluka o osnivanju Povjerenstva za upravljanje sigurnošću u zračnom prometu („Narodne novine“, broj 76/2014), </w:t>
      </w:r>
    </w:p>
    <w:p w:rsidR="00505632" w:rsidRDefault="00505632" w:rsidP="00505632">
      <w:r>
        <w:t xml:space="preserve">- Odluka o osnivanju Nacionalnog povjerenstva za zaštitu civilnog zračnog prometa („Narodne novine“, broj 76/2014).  </w:t>
      </w:r>
    </w:p>
    <w:p w:rsidR="00505632" w:rsidRDefault="00505632" w:rsidP="00505632">
      <w:r>
        <w:t xml:space="preserve">- Čikaška konvencija (Convention on International Civil Aviation), potpisana u Chicagu 1944. godine te Protokol o važnim dopunama te konvencije potpisan u Montrealu iz 1980. godine - članarina Međunarodnoj organizaciji civilnog zrakoplovstva  ICAO (International Civil Aviation Organization), </w:t>
      </w:r>
    </w:p>
    <w:p w:rsidR="00505632" w:rsidRDefault="00505632" w:rsidP="00505632">
      <w:r>
        <w:t xml:space="preserve">- Rezolucija o administrativnim i financijskim odnosima između ICAO i ECAC usvojena na 14. ECAC trijenalu kao i članak 14(2) Statuta ECAC-a - članarina Europskoj konferenciju civilnog zrakoplovstva ECAC (European Civil Aviation Conference), </w:t>
      </w:r>
    </w:p>
    <w:p w:rsidR="00505632" w:rsidRDefault="00505632" w:rsidP="00505632">
      <w:r>
        <w:t>- Memorandum o sporazumijevanju od 22. ožujka 2016. potpisan u Utrechtu kojim je Republika Hrvatska postala osma članica ABIS grupe.</w:t>
      </w:r>
    </w:p>
    <w:p w:rsidR="00505632" w:rsidRDefault="00505632" w:rsidP="00505632">
      <w:pPr>
        <w:pStyle w:val="Heading8"/>
        <w:jc w:val="left"/>
      </w:pPr>
      <w:r>
        <w:t>Opis aktivnosti</w:t>
      </w:r>
    </w:p>
    <w:p w:rsidR="00505632" w:rsidRDefault="00505632" w:rsidP="00505632">
      <w:r>
        <w:t xml:space="preserve">Proračunskim sredstvima s ove aktivnosti u 2016. godini plaćene su obveze za članarine u međunarodnim organizacijama civilnog zrakoplovstva za 2016. godinu, kojih je Republika Hrvatska punopravni član (ICAO, ECAC, ABIS), plaćeni su i troškovi koji se odnose na stručnu literaturu, usluge interneta za 2016. godinu (ICAO dokumentacija - licenca). Sa ove aktivnosti plaćene su i ugovorne obveze za intelektualne usluge vezano uz uslugu savjetovanja na Projektu „Revizija sustava pružanja javnih usluga u zračnom prijevozu Republike Hrvatske: analiza postojećeg te priprema novog programa pružanja usluga od općeg gospodarskog interesa u zračnom prometu“. Osim toga, sredstva sa ove aktivnosti korištena su i za isplatu naknade članovima za rad u 4 (četiri) Povjerenstva koja su osnovana Odlukama Vlade Republike Hrvatske, a na temelju odredaba Zakona o zračnom prometu. </w:t>
      </w:r>
    </w:p>
    <w:p w:rsidR="00505632" w:rsidRDefault="00505632" w:rsidP="00505632">
      <w:r>
        <w:t>Planirani ciljevi ove aktivnosti u 2016. godini su postignuti, aktivnost se provodila planiranom dinamikom i nije bilo nikakvih problema u njenom izvršavanju.</w:t>
      </w:r>
    </w:p>
    <w:p w:rsidR="00505632" w:rsidRDefault="00505632" w:rsidP="00505632">
      <w:pPr>
        <w:pStyle w:val="Heading4"/>
      </w:pPr>
      <w:r>
        <w:t>A570249 GORSKE SLUŽBE SPAŠAVANJA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A570249-GORSKE SLUŽBE SPAŠAVANJA</w:t>
            </w:r>
          </w:p>
        </w:tc>
        <w:tc>
          <w:tcPr>
            <w:tcW w:w="2041" w:type="dxa"/>
          </w:tcPr>
          <w:p w:rsidR="00505632" w:rsidRDefault="00505632" w:rsidP="00AD4E52">
            <w:pPr>
              <w:pStyle w:val="CellColumn"/>
              <w:jc w:val="right"/>
            </w:pPr>
            <w:r>
              <w:rPr>
                <w:rFonts w:cs="Times New Roman"/>
              </w:rPr>
              <w:t>649.444</w:t>
            </w:r>
          </w:p>
        </w:tc>
        <w:tc>
          <w:tcPr>
            <w:tcW w:w="2041" w:type="dxa"/>
          </w:tcPr>
          <w:p w:rsidR="00505632" w:rsidRDefault="00505632" w:rsidP="00AD4E52">
            <w:pPr>
              <w:pStyle w:val="CellColumn"/>
              <w:jc w:val="right"/>
            </w:pPr>
            <w:r>
              <w:rPr>
                <w:rFonts w:cs="Times New Roman"/>
              </w:rPr>
              <w:t>650.000</w:t>
            </w:r>
          </w:p>
        </w:tc>
        <w:tc>
          <w:tcPr>
            <w:tcW w:w="2041" w:type="dxa"/>
          </w:tcPr>
          <w:p w:rsidR="00505632" w:rsidRDefault="00505632" w:rsidP="00AD4E52">
            <w:pPr>
              <w:pStyle w:val="CellColumn"/>
              <w:jc w:val="right"/>
            </w:pPr>
            <w:r>
              <w:rPr>
                <w:rFonts w:cs="Times New Roman"/>
              </w:rPr>
              <w:t>644.999</w:t>
            </w:r>
          </w:p>
        </w:tc>
        <w:tc>
          <w:tcPr>
            <w:tcW w:w="1224" w:type="dxa"/>
          </w:tcPr>
          <w:p w:rsidR="00505632" w:rsidRDefault="00505632" w:rsidP="00AD4E52">
            <w:pPr>
              <w:pStyle w:val="CellColumn"/>
              <w:jc w:val="right"/>
            </w:pPr>
            <w:r>
              <w:rPr>
                <w:rFonts w:cs="Times New Roman"/>
              </w:rPr>
              <w:t>99,2</w:t>
            </w:r>
          </w:p>
        </w:tc>
        <w:tc>
          <w:tcPr>
            <w:tcW w:w="1224" w:type="dxa"/>
          </w:tcPr>
          <w:p w:rsidR="00505632" w:rsidRDefault="00505632" w:rsidP="00AD4E52">
            <w:pPr>
              <w:pStyle w:val="CellColumn"/>
              <w:jc w:val="right"/>
            </w:pPr>
            <w:r>
              <w:rPr>
                <w:rFonts w:cs="Times New Roman"/>
              </w:rPr>
              <w:t>99,3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Sporazum o dugoročnoj suradnji u provedbi programa aktivnosti traganja i spašavanja na nepristupačnim prostorima izvan gradova i javnih prometnica Klasa: 400-01/03-03/131, Urbroj: 530-01-03-3 od 14. listopada 2003. godine, zaključen između Ministarstva i Hrvatske gorske službe spašavanja (HGSS), </w:t>
      </w:r>
    </w:p>
    <w:p w:rsidR="00505632" w:rsidRDefault="00505632" w:rsidP="00505632">
      <w:r>
        <w:t>- Ugovor br. 08/SZP/2016 zaključenim između Ministarstva mora, prometa i infrastrukture i HGSS</w:t>
      </w:r>
    </w:p>
    <w:p w:rsidR="00505632" w:rsidRDefault="00505632" w:rsidP="00505632">
      <w:pPr>
        <w:pStyle w:val="Heading8"/>
        <w:jc w:val="left"/>
      </w:pPr>
      <w:r>
        <w:t>Opis aktivnosti</w:t>
      </w:r>
    </w:p>
    <w:p w:rsidR="00505632" w:rsidRDefault="00505632" w:rsidP="00505632">
      <w:r>
        <w:t xml:space="preserve">Proračunskim sredstvima s ove aktivnosti u 2016. godini sufinanciran je dio aktivnosti Hrvatske gorske službe spašavanja (HGSS) iz cjelovitog Programa aktivnosti u provedbi priprema za zadaće traganja i spašavanja na nepristupačnim prostorima te zaštite i spašavanja života, sprječavanje nesreća i unapređenja sigurnosti za 2016. godinu, a u skladu sa Sporazumom o dugoročnoj suradnji i Ugovorom br. 08/SZP/2016. S obzirom da je HGSS jedina udruga u RH koja posjeduje posebna znanja i vještine tj. udruga koja je operativno sposobna za rad na području traganja i spašavanja na nepristupačnim prostorima izvan gradova i javnih prometnica, navedenim Sporazumom HGSS se obvezuje da će na poziv Ministarstva intervenirati u svim slučajevima kada dođe do prometne nesreće ili sumnje da je do nesreće došlo na nepristupačnim terenima i u situacijama kada treba primijeniti posebno znanje, vještinu i specijalnu opremu za spašavanje koju posjeduje HGSS. </w:t>
      </w:r>
    </w:p>
    <w:p w:rsidR="00505632" w:rsidRDefault="00505632" w:rsidP="00505632">
      <w:r>
        <w:t>Planirani ciljevi ove aktivnosti u 2016. godini su postignuti, aktivnost se provodila planiranom dinamikom i nije bilo nikakvih problema u njenom izvršavanju.</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4"/>
      </w:pPr>
      <w:r>
        <w:t>A570333 OSIGURANJE SIGURNOSNO PROMETNIH STANDARDA U ZRAČNIM LUKAMA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A570333-OSIGURANJE SIGURNOSNO PROMETNIH STANDARDA U ZRAČNIM LUKAMA RH</w:t>
            </w:r>
          </w:p>
        </w:tc>
        <w:tc>
          <w:tcPr>
            <w:tcW w:w="2041" w:type="dxa"/>
          </w:tcPr>
          <w:p w:rsidR="00505632" w:rsidRDefault="00505632" w:rsidP="00AD4E52">
            <w:pPr>
              <w:pStyle w:val="CellColumn"/>
              <w:jc w:val="right"/>
            </w:pPr>
            <w:r>
              <w:rPr>
                <w:rFonts w:cs="Times New Roman"/>
              </w:rPr>
              <w:t>18.748.908</w:t>
            </w:r>
          </w:p>
        </w:tc>
        <w:tc>
          <w:tcPr>
            <w:tcW w:w="2041" w:type="dxa"/>
          </w:tcPr>
          <w:p w:rsidR="00505632" w:rsidRDefault="00505632" w:rsidP="00AD4E52">
            <w:pPr>
              <w:pStyle w:val="CellColumn"/>
              <w:jc w:val="right"/>
            </w:pPr>
            <w:r>
              <w:rPr>
                <w:rFonts w:cs="Times New Roman"/>
              </w:rPr>
              <w:t>21.200.000</w:t>
            </w:r>
          </w:p>
        </w:tc>
        <w:tc>
          <w:tcPr>
            <w:tcW w:w="2041" w:type="dxa"/>
          </w:tcPr>
          <w:p w:rsidR="00505632" w:rsidRDefault="00505632" w:rsidP="00AD4E52">
            <w:pPr>
              <w:pStyle w:val="CellColumn"/>
              <w:jc w:val="right"/>
            </w:pPr>
            <w:r>
              <w:rPr>
                <w:rFonts w:cs="Times New Roman"/>
              </w:rPr>
              <w:t>20.776.768</w:t>
            </w:r>
          </w:p>
        </w:tc>
        <w:tc>
          <w:tcPr>
            <w:tcW w:w="1224" w:type="dxa"/>
          </w:tcPr>
          <w:p w:rsidR="00505632" w:rsidRDefault="00505632" w:rsidP="00AD4E52">
            <w:pPr>
              <w:pStyle w:val="CellColumn"/>
              <w:jc w:val="right"/>
            </w:pPr>
            <w:r>
              <w:rPr>
                <w:rFonts w:cs="Times New Roman"/>
              </w:rPr>
              <w:t>98,0</w:t>
            </w:r>
          </w:p>
        </w:tc>
        <w:tc>
          <w:tcPr>
            <w:tcW w:w="1224" w:type="dxa"/>
          </w:tcPr>
          <w:p w:rsidR="00505632" w:rsidRDefault="00505632" w:rsidP="00AD4E52">
            <w:pPr>
              <w:pStyle w:val="CellColumn"/>
              <w:jc w:val="right"/>
            </w:pPr>
            <w:r>
              <w:rPr>
                <w:rFonts w:cs="Times New Roman"/>
              </w:rPr>
              <w:t>110,8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zračnim lukama („Narodne novine“, broj 19/1998, 14/2011 i 78/2015),  </w:t>
      </w:r>
    </w:p>
    <w:p w:rsidR="00505632" w:rsidRDefault="00505632" w:rsidP="00505632">
      <w:r>
        <w:t xml:space="preserve">- Zakon o zračnom prometu („Narodne novine“, broj 69/2009, 84/2011, 54/2013, 127/2013, 92/2014),  </w:t>
      </w:r>
    </w:p>
    <w:p w:rsidR="00505632" w:rsidRDefault="00505632" w:rsidP="00505632">
      <w:r>
        <w:t xml:space="preserve">- Nacionalni program sigurnosti u zračnom prometu (“Narodne novine”, broj 141/15), </w:t>
      </w:r>
    </w:p>
    <w:p w:rsidR="00505632" w:rsidRDefault="00505632" w:rsidP="00505632">
      <w:r>
        <w:t xml:space="preserve">- Nacionalni program zaštite civilnog zračnog prometa, koji je Vlada Republike Hrvatske donijela na sjednici održanoj 21. ožujka 2013. (ne objavljuje se u Narodnim novinama), </w:t>
      </w:r>
    </w:p>
    <w:p w:rsidR="00505632" w:rsidRDefault="00505632" w:rsidP="00505632">
      <w:r>
        <w:t xml:space="preserve">- Dodatak 14 Čikaškoj konvenciji (standardi sigurnosti na aerodromima)  </w:t>
      </w:r>
    </w:p>
    <w:p w:rsidR="00505632" w:rsidRDefault="00505632" w:rsidP="00505632">
      <w:r>
        <w:t xml:space="preserve">- Mišljenje Agencije za zaštitu tržišnog natjecanja od 10. travnja 2014. (KLASA: 430-01/14-03/04; URBROJ: 580-09-2/31-2014-005),  </w:t>
      </w:r>
    </w:p>
    <w:p w:rsidR="00505632" w:rsidRDefault="00505632" w:rsidP="00505632">
      <w:r>
        <w:t>- Odluka o obvezi otvorenosti Zračne luke Osijek d.o.o. za javni zračni promet u razdoblju od 2014. – 2018. (KLASA: 402-01/13-03/02; Urbroj: 530-06-1-1-2-14-8).</w:t>
      </w:r>
    </w:p>
    <w:p w:rsidR="00505632" w:rsidRDefault="00505632" w:rsidP="00505632">
      <w:pPr>
        <w:pStyle w:val="Heading8"/>
        <w:jc w:val="left"/>
      </w:pPr>
      <w:r>
        <w:t>Opis aktivnosti</w:t>
      </w:r>
    </w:p>
    <w:p w:rsidR="00505632" w:rsidRDefault="00505632" w:rsidP="00505632">
      <w:r>
        <w:t xml:space="preserve">Sukladno obvezama koje proizlaze iz članstva Republike Hrvatske u međunarodnim organizacijama za civilni zračni promet (ICAO, ECAC, EUROCONTROL i dr.) Republika Hrvatska je dužna ispuniti zahtjeve za povećanim zaštitnim i sigurnosnim mjerama na svim aerodromima u zemlji. Mjere obuhvaćaju osiguranje potrebne zaštitne i sigurnosne opreme kao i izvođenje radova na aerodromskoj infrastrukturi koji su od važnosti za siguran prihvat zrakoplova i putnika na aerodromima.  </w:t>
      </w:r>
    </w:p>
    <w:p w:rsidR="00505632" w:rsidRDefault="00505632" w:rsidP="00505632">
      <w:r>
        <w:t xml:space="preserve">Utrošenim proračunskim sredstvima s ove aktivnosti (kapitalne pomoći), u 2016. godini podržano je 16 mjera (zahtjeva) aerodroma kojima se utjecalo na poboljšanje aerodromske infrastrukture i povećanje sigurnosti i zaštite aerodroma u Republici Hrvatskoj. Podržavanjem mjera (zahtjeva) aerodroma sudjelovalo se u zatvaranju 14 nalaza tj. nesukladnosti koje je Hrvatska agencija za civilno zrakoplovstvo (HACZ) utvrdila aerodromima provođenjem korektivnih mjera  koje se odnose na stanje sigurnosti na aerodromima. Zatvaranje nesukladnosti koje HACZ utvrdi aerodromima, infrastrukturne projekte kao i mjere sigurnosti i zaštite na aerodromima, uglavnom i u najvećoj mjeri financiraju sami aerodromi uz sufinanciranje države proračunskim sredstvima koja se planiraju na ovoj aktivnosti. Najznačajniji broj nesukladnosti koje je HACZ utvrdila aerodromima u proteklom razdoblju spadaju u kategoriju infrastrukture, fizičkih obilježja aerodroma i održavanja, sigurnosne opreme, opreme spasilačko vatrogasne službe te implementaciju Uredbe komisije (EU) 72/2010. Na dan 31. prosinca 2016. godine (ne uzimajući u obzir Međunarodnu Zračnu luku Zagreb), na aerodromima u Republici Hrvatskoj ostalo je 106 otvorenih nalaza tj. nesukladnosti. </w:t>
      </w:r>
    </w:p>
    <w:p w:rsidR="00505632" w:rsidRDefault="00505632" w:rsidP="00505632">
      <w:r>
        <w:t xml:space="preserve">U 2016. godini sredstvima s ove aktivnostu na Zračnoj luci Osijek sufinancirana je izrada glavnog projekta svjetala središnje linije i sustava sigurnosnih svjetala, mjerenje nosivosti osnovne staze, terenski istražni radovi i laboratorijska ispitivanja, obnova horizontalnih oznaka na USS-u, sanacija oštećenih betonskih elemenata uzdužnog kanala oborinske odvodnje, nabava vatrogasnog pjenila, radovi na rekonstrukciji putničke zgrade, na Zračnoj luci Zadar sufinancirana je sanacija kritičnih površina USS-a 14-32 ukupne širine 30 metara, na Zračnoj luci Rijeka sufinancirana je rekonstrukcija sustava svjetlosne organizacije – faza 2D i niveliranje RESA-e i osnovne staze USS-e – faza 2, na Zračnoj luci Pula sufinancirana je izgradnja privremene ograde, nabava tipskog kontejnera s opremom za smještaj osoblja službe sigurnosti, nabava RTG uređaja za kontrolu torbi/robe, nabava metal detektorskih vrata, nabava 2 komada uređaja za detekciju tragova eksploziva i radovi na sanaciji pukotina na operativnim površinama, na Aerodromu Brač sufinanciran a je nabava RTG uređaja za pregled odvojene prtljage, nabava RTG uređaja za pregled ručne prtljage, ravnanje terena i izrada geodetske podloge za osiguranje propisanih uvjeta za sigurnosnu površinu uzletno-sletne staze – RESA, izmještanje ograde na pragovima USS-e, poravnanje predpolja piste i niveliranju šahtova rasvjete piste, zamjena neispravnih kablova rasvjete piste, mjerenja PCN-a i ravnosti manevarskih površina USS-a, nabava i opremanje aerodromskog vatrogasnog vozila i nabava uređaja za detekciju tekućih eksploziva.  </w:t>
      </w:r>
    </w:p>
    <w:p w:rsidR="00505632" w:rsidRDefault="00505632" w:rsidP="00505632">
      <w:r>
        <w:t xml:space="preserve">Osim toga, sredstvima s ove aktivnosti - subvencije, financirane su i mjere očuvanja otvorenosti Zračne luke Osijek d.o.o. tj. financirani su troškovi obavljanja javne usluge (Services of General Economic Interest - SGEI) u iznosu od 3.200.000,00 kn koje su prema mišljenju Agencije za zaštitu tržišnog natjecanja od 10. travnja 2014. sukladne s pravilima iz Odluke Komisije od 20. prosinca 2011. o primjeni članka 106. stavka 2. Ugovora o funkcioniranju Europske unije na državne potpore u obliku naknade za pružanje javnih usluga koje se dodjeljuju određenim poduzetnicima kojima je povjereno obavljanje usluga od općeg gospodarskog interesa i izuzete su od obveze prijave Europskoj komisiji. </w:t>
      </w:r>
    </w:p>
    <w:p w:rsidR="00505632" w:rsidRDefault="00505632" w:rsidP="00505632">
      <w:r>
        <w:t xml:space="preserve">U odnosu za zadane ciljeve ove aktivnosti u 2016. godini iz Strateškog plana Ministarstva za razdoblje 2016. – 2018. godine, broj podržanih mjera (zahtjeva) aerodroma u svrhu sigurnosti i zaštite aerodroma u Republici Hrvatskoj u 2016. godini bio je 16, što je u skladu s ciljanom vrijednosti.  </w:t>
      </w:r>
    </w:p>
    <w:p w:rsidR="00505632" w:rsidRDefault="00505632" w:rsidP="00505632">
      <w:r>
        <w:t>Planirani ciljevi ove aktivnosti u 2016. godini su postignuti, aktivnost se provodila planiranom dinamikom te nije bilo problema u njenom izvršavanju. U provedbi ove aktivnosti nisu uočene nepravilnosti.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podržanih mjera (zahtjeva) aerodroma u svrhu sigurnosti i zaštite aerodroma u RH</w:t>
            </w:r>
          </w:p>
        </w:tc>
        <w:tc>
          <w:tcPr>
            <w:tcW w:w="2551" w:type="dxa"/>
          </w:tcPr>
          <w:p w:rsidR="00505632" w:rsidRDefault="00505632" w:rsidP="00AD4E52">
            <w:pPr>
              <w:pStyle w:val="CellColumn"/>
              <w:jc w:val="left"/>
            </w:pPr>
            <w:r>
              <w:rPr>
                <w:rFonts w:cs="Times New Roman"/>
              </w:rPr>
              <w:t xml:space="preserve">Povećanjem broja podržanih mjera (zahtjeva) aerodroma postiže se povećanje sigurnosti i zaštite zračnog prometa u RH)  </w:t>
            </w:r>
          </w:p>
          <w:p w:rsidR="00505632" w:rsidRDefault="00505632" w:rsidP="00AD4E52">
            <w:pPr>
              <w:pStyle w:val="CellColumn"/>
              <w:jc w:val="left"/>
            </w:pPr>
            <w:r>
              <w:rPr>
                <w:rFonts w:cs="Times New Roman"/>
              </w:rPr>
              <w:t>(godišnja vrijednost)</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16</w:t>
            </w:r>
          </w:p>
        </w:tc>
        <w:tc>
          <w:tcPr>
            <w:tcW w:w="1020" w:type="dxa"/>
          </w:tcPr>
          <w:p w:rsidR="00505632" w:rsidRDefault="00505632" w:rsidP="00AD4E52">
            <w:pPr>
              <w:pStyle w:val="CellColumn"/>
              <w:jc w:val="right"/>
            </w:pPr>
            <w:r>
              <w:rPr>
                <w:rFonts w:cs="Times New Roman"/>
              </w:rPr>
              <w:t>16</w:t>
            </w:r>
          </w:p>
        </w:tc>
      </w:tr>
    </w:tbl>
    <w:p w:rsidR="00505632" w:rsidRDefault="00505632" w:rsidP="00505632">
      <w:pPr>
        <w:jc w:val="left"/>
      </w:pPr>
    </w:p>
    <w:p w:rsidR="00505632" w:rsidRDefault="00505632" w:rsidP="00505632">
      <w:pPr>
        <w:pStyle w:val="Heading4"/>
      </w:pPr>
      <w:r>
        <w:t>A587050 OČUVANJE PROMETNE POVEZANOSTI REGIJA (DOMAĆI LINIJSKI ZRAČNI PRIJEVOZ)</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A587050-OČUVANJE PROMETNE POVEZANOSTI REGIJA (DOMAĆI LINIJSKI ZRAČNI PRIJEVOZ)</w:t>
            </w:r>
          </w:p>
        </w:tc>
        <w:tc>
          <w:tcPr>
            <w:tcW w:w="2041" w:type="dxa"/>
          </w:tcPr>
          <w:p w:rsidR="00505632" w:rsidRDefault="00505632" w:rsidP="00AD4E52">
            <w:pPr>
              <w:pStyle w:val="CellColumn"/>
              <w:jc w:val="right"/>
            </w:pPr>
            <w:r>
              <w:rPr>
                <w:rFonts w:cs="Times New Roman"/>
              </w:rPr>
              <w:t>91.545.073</w:t>
            </w:r>
          </w:p>
        </w:tc>
        <w:tc>
          <w:tcPr>
            <w:tcW w:w="2041" w:type="dxa"/>
          </w:tcPr>
          <w:p w:rsidR="00505632" w:rsidRDefault="00505632" w:rsidP="00AD4E52">
            <w:pPr>
              <w:pStyle w:val="CellColumn"/>
              <w:jc w:val="right"/>
            </w:pPr>
            <w:r>
              <w:rPr>
                <w:rFonts w:cs="Times New Roman"/>
              </w:rPr>
              <w:t>94.366.000</w:t>
            </w:r>
          </w:p>
        </w:tc>
        <w:tc>
          <w:tcPr>
            <w:tcW w:w="2041" w:type="dxa"/>
          </w:tcPr>
          <w:p w:rsidR="00505632" w:rsidRDefault="00505632" w:rsidP="00AD4E52">
            <w:pPr>
              <w:pStyle w:val="CellColumn"/>
              <w:jc w:val="right"/>
            </w:pPr>
            <w:r>
              <w:rPr>
                <w:rFonts w:cs="Times New Roman"/>
              </w:rPr>
              <w:t>93.812.409</w:t>
            </w:r>
          </w:p>
        </w:tc>
        <w:tc>
          <w:tcPr>
            <w:tcW w:w="1224" w:type="dxa"/>
          </w:tcPr>
          <w:p w:rsidR="00505632" w:rsidRDefault="00505632" w:rsidP="00AD4E52">
            <w:pPr>
              <w:pStyle w:val="CellColumn"/>
              <w:jc w:val="right"/>
            </w:pPr>
            <w:r>
              <w:rPr>
                <w:rFonts w:cs="Times New Roman"/>
              </w:rPr>
              <w:t>99,4</w:t>
            </w:r>
          </w:p>
        </w:tc>
        <w:tc>
          <w:tcPr>
            <w:tcW w:w="1224" w:type="dxa"/>
          </w:tcPr>
          <w:p w:rsidR="00505632" w:rsidRDefault="00505632" w:rsidP="00AD4E52">
            <w:pPr>
              <w:pStyle w:val="CellColumn"/>
              <w:jc w:val="right"/>
            </w:pPr>
            <w:r>
              <w:rPr>
                <w:rFonts w:cs="Times New Roman"/>
              </w:rPr>
              <w:t>102,5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zračnom prometu („Narodne novine“, broj 69/2009, 84/2011, 54/2013, 127/2013, 92/2014),  </w:t>
      </w:r>
    </w:p>
    <w:p w:rsidR="00505632" w:rsidRDefault="00505632" w:rsidP="00505632">
      <w:r>
        <w:t xml:space="preserve">- Javni natječaj za obavljanje redovitog zračnog prijevoza u skladu s obvezama javnih usluga koji je objavljen 5. studenog 2015. u Službenom listu Europske unije (C366), </w:t>
      </w:r>
    </w:p>
    <w:p w:rsidR="00505632" w:rsidRDefault="00505632" w:rsidP="00505632">
      <w:r>
        <w:t xml:space="preserve">- Ugovor o obvezi obavljanja domaćeg linijskog zračnog prijevoza sa zračnim prijevoznikom Croatia Airlines d.d. (Klasa: 406-01/13-01/70; Urbroj: 530-06-1-13-20) od 16. srpnja 2013. godine, </w:t>
      </w:r>
    </w:p>
    <w:p w:rsidR="00505632" w:rsidRDefault="00505632" w:rsidP="00505632">
      <w:r>
        <w:t xml:space="preserve">- Ugovor o obvezi obavljanja domaćeg linijskog zračnog prijevoza sa zračnim prijevoznikom Trade Air d.o.o. (Klasa: 406-01/13-01/70; Urbroj: 530-06-1-13-21) od 16. srpnja 2013. godine, </w:t>
      </w:r>
    </w:p>
    <w:p w:rsidR="00505632" w:rsidRDefault="00505632" w:rsidP="00505632">
      <w:r>
        <w:t xml:space="preserve">- Odluka o davanju suglasnosti Ministarstvu za preuzimanje obveza na teret državnog proračuna Republike Hrvatske u razdoblju od 2016. do 2020. godine za sklapanje ugovora o obvezi obavljanja domaćeg linijskog zračnog prijevoza (Klasa: 022-03/16-04/112; Urbroj: 50301-05/16-16-2) od 25. svibnja 2016. godine, </w:t>
      </w:r>
    </w:p>
    <w:p w:rsidR="00505632" w:rsidRDefault="00505632" w:rsidP="00505632">
      <w:r>
        <w:t xml:space="preserve">- Ugovor o obvezi obavljanja domaćeg linijskog zračnog prijevoza sa zračnim prijevoznikom Croatia Airlines d.d. (Klasa: 343-01/15-01/29; Urbroj: 530-06-1-1-16-29) od 30. svibnja 2016. godine, </w:t>
      </w:r>
    </w:p>
    <w:p w:rsidR="00505632" w:rsidRDefault="00505632" w:rsidP="00505632">
      <w:r>
        <w:t>- Ugovor o obvezi obavljanja domaćeg linijskog zračnog prijevoza sa zračnim prijevoznikom Trade Air d.o.o. (Klasa: 343-01/15-01/29; Urbroj: 530-06-1-1-16-31) od 30. svibnja 2016. godine.</w:t>
      </w:r>
    </w:p>
    <w:p w:rsidR="00505632" w:rsidRDefault="00505632" w:rsidP="00505632">
      <w:pPr>
        <w:pStyle w:val="Heading8"/>
        <w:jc w:val="left"/>
      </w:pPr>
      <w:r>
        <w:t>Opis aktivnosti</w:t>
      </w:r>
    </w:p>
    <w:p w:rsidR="00505632" w:rsidRDefault="00505632" w:rsidP="00505632">
      <w:r>
        <w:t xml:space="preserve">Utrošenim proračunskim sredstvima s ove aktivnosti isplaćivana je naknada zračnim prijevoznicima za obavljanje prijevoza na domaćim redovitim zračnim linijama, kao javne usluge (Services of General Economic Interest - SGEI). </w:t>
      </w:r>
    </w:p>
    <w:p w:rsidR="00505632" w:rsidRDefault="00505632" w:rsidP="00505632">
      <w:r>
        <w:t xml:space="preserve">Temeljem provedenog postupka Javnog natječaja za obavljanje usluge domaćeg linijskog zračnog prijevoza kao javne usluge (Services of General Economic Interest - SGEI)  u razdoblju od 31. ožujka 2013. do 26. ožujka 2016. godine i zaključenih ugovora o obvezi obavljanja domaćeg linijskog zračnog prijevoza između Ministarstva i društva Croatia Airlines d.d i Trade Air d.o.o od 16.7.2013., s ove aktivnosti u 2016. godini plaćeni su troškovi održavanja domaćih zračnih linija koji su nastali u razdoblju od 1. prosinca 2015. do 26. ožujka 2016. godine i to zračnom prijevozniku Croatia Airlines d.d. u iznosu od 23.452.254,00 kuna, a zračnom prijevozniku Trade Air d.o.o. plaćeni su troškovi za isto razdoblje u iznosu od 2.520.341,01 kuna.  </w:t>
      </w:r>
    </w:p>
    <w:p w:rsidR="00505632" w:rsidRDefault="00505632" w:rsidP="00505632">
      <w:r>
        <w:t xml:space="preserve">Navedenim zračnim prijevoznicima dodijeljeno je obavljanje prijevoza na domaćim redovitim zračnim linijama, kao javne usluge (Services of General Economic Interest - SGEI) i za razdoblju od 27. ožujka 2016. do 28. ožujka 2020. godine, a slijedom provedenog postupka javnog natječaja za obavljanje redovitog zračnog prijevoza u skladu s obvezama javnih usluga koji je objavljen 5. studenog 2015. u Službenom listu Europske unije (C366). </w:t>
      </w:r>
    </w:p>
    <w:p w:rsidR="00505632" w:rsidRDefault="00505632" w:rsidP="00505632">
      <w:r>
        <w:t xml:space="preserve">U skladu s sklopljenim Ugovorom o obvezi obavljanja domaćeg linijskog zračnog prijevoza sa zračnim prijevoznikom Croatia Airlines d.d. od 30. svibnja 2016. godine, proračunskim sredstvima s ove aktivnosti u 2016. godini plaćeni su i troškovi obavljanja domaćeg linijskog zračnog prijevoza koji su nastali u razdoblju od 27. ožujka 2016. do  30. studenog 2016. godine i to u iznosu od 59.703.238,00 kuna. </w:t>
      </w:r>
    </w:p>
    <w:p w:rsidR="00505632" w:rsidRDefault="00505632" w:rsidP="00505632">
      <w:r>
        <w:t xml:space="preserve">U skladu s sklopljenim Ugovorom o obvezi obavljanja domaćeg linijskog zračnog prijevoza sa zračnim prijevoznikom Trade Air d.o.o. od 30. svibnja 2016. godine, sredstvima s ove aktivnosti u 2016. godini, plaćeni su troškovi obavljanja domaćeg linijskog zračnog prijevoza koji su nastali u razdoblju od 27. ožujka 2016. do  30. studenog 2016. godine i to u iznosu od 8.136.575,89 kuna. </w:t>
      </w:r>
    </w:p>
    <w:p w:rsidR="00505632" w:rsidRDefault="00505632" w:rsidP="00505632">
      <w:r>
        <w:t xml:space="preserve">Zračni prijevoznici u 2016. godini obavljali su domaći linijski zračni prijevoz kao javnu uslugu (Services of General Economic Interest - SGEI) te je u razdoblju 1. siječnja do 30. prosinca 2016. godine Croatia Airlines ostvarila fizički promet od 6.391 letova dok je Trade Air u istom razdoblju ostvario fizički promet od 870 letova, odnosno u razdoblju siječanj – prosinac 2016. godine ostvaren je fizički promet od ukupno 7.261 letova na domaćim zračnim linijama.  </w:t>
      </w:r>
    </w:p>
    <w:p w:rsidR="00505632" w:rsidRDefault="00505632" w:rsidP="00505632">
      <w:r>
        <w:t xml:space="preserve">U odnosu za zadane ciljeve ove aktivnosti u 2016. godini iz Strateškog plana Ministarstva za razdoblje 2016. – 2018. godine, ostvareni broj letova na domaćim redovitim zračnim linijama u razdoblju od 1. siječnja do 31. prosinca 2016. godine bio je 7.261 što je za 61 let više od ciljane vrijednosti.  </w:t>
      </w:r>
    </w:p>
    <w:p w:rsidR="00505632" w:rsidRDefault="00505632" w:rsidP="00505632">
      <w:r>
        <w:t>Ova aktivnost  u 2016. godini provodila u skladu sa ugovorenim opsegom i planiranom dinamikom, planirani ciljevi ove aktivnosti su postignuti te nije bilo problema u njenom izvršavanju. U provedbi ove aktivnosti nisu uočene nepravilnosti.</w:t>
      </w:r>
    </w:p>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podržanih letova na domaćim zračnim linijama</w:t>
            </w:r>
          </w:p>
        </w:tc>
        <w:tc>
          <w:tcPr>
            <w:tcW w:w="2551" w:type="dxa"/>
          </w:tcPr>
          <w:p w:rsidR="00505632" w:rsidRDefault="00505632" w:rsidP="00AD4E52">
            <w:pPr>
              <w:pStyle w:val="CellColumn"/>
              <w:jc w:val="left"/>
            </w:pPr>
            <w:r>
              <w:rPr>
                <w:rFonts w:cs="Times New Roman"/>
              </w:rPr>
              <w:t xml:space="preserve">Očuvanjem broja domaćih letova postiže se ujednačeni razvoj regija te održavanje postojeće prometne povezanosti regija i područja unutar RH)  </w:t>
            </w:r>
          </w:p>
          <w:p w:rsidR="00505632" w:rsidRDefault="00505632" w:rsidP="00AD4E52">
            <w:pPr>
              <w:pStyle w:val="CellColumn"/>
              <w:jc w:val="left"/>
            </w:pPr>
            <w:r>
              <w:rPr>
                <w:rFonts w:cs="Times New Roman"/>
              </w:rPr>
              <w:t>(godišnja vrijednost)</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6.632</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7.200</w:t>
            </w:r>
          </w:p>
        </w:tc>
        <w:tc>
          <w:tcPr>
            <w:tcW w:w="1020" w:type="dxa"/>
          </w:tcPr>
          <w:p w:rsidR="00505632" w:rsidRDefault="00505632" w:rsidP="00AD4E52">
            <w:pPr>
              <w:pStyle w:val="CellColumn"/>
              <w:jc w:val="right"/>
            </w:pPr>
            <w:r>
              <w:rPr>
                <w:rFonts w:cs="Times New Roman"/>
              </w:rPr>
              <w:t>7.261</w:t>
            </w:r>
          </w:p>
        </w:tc>
      </w:tr>
    </w:tbl>
    <w:p w:rsidR="00505632" w:rsidRDefault="00505632" w:rsidP="00505632">
      <w:pPr>
        <w:jc w:val="left"/>
      </w:pPr>
    </w:p>
    <w:p w:rsidR="00505632" w:rsidRDefault="00505632" w:rsidP="00505632">
      <w:pPr>
        <w:pStyle w:val="Heading4"/>
      </w:pPr>
      <w:r>
        <w:t>A754025 NADOKNADA TROŠKOVA HRVATSKOJ KONTROLI ZRAČNE PLOVIDBE ZA RUTNE I TERMINALNE NAKNADE ZA IZUZETE LETOVE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A754025-NADOKNADA TROŠKOVA HRVATSKOJ KONTROLI ZRAČNE PLOVIDBE ZA RUTNE I TERMINALNE NAKNADE ZA IZUZETE LETOVE</w:t>
            </w:r>
          </w:p>
        </w:tc>
        <w:tc>
          <w:tcPr>
            <w:tcW w:w="2041" w:type="dxa"/>
          </w:tcPr>
          <w:p w:rsidR="00505632" w:rsidRDefault="00505632" w:rsidP="00AD4E52">
            <w:pPr>
              <w:pStyle w:val="CellColumn"/>
              <w:jc w:val="right"/>
            </w:pPr>
            <w:r>
              <w:rPr>
                <w:rFonts w:cs="Times New Roman"/>
              </w:rPr>
              <w:t>2.157.256</w:t>
            </w:r>
          </w:p>
        </w:tc>
        <w:tc>
          <w:tcPr>
            <w:tcW w:w="2041" w:type="dxa"/>
          </w:tcPr>
          <w:p w:rsidR="00505632" w:rsidRDefault="00505632" w:rsidP="00AD4E52">
            <w:pPr>
              <w:pStyle w:val="CellColumn"/>
              <w:jc w:val="right"/>
            </w:pPr>
            <w:r>
              <w:rPr>
                <w:rFonts w:cs="Times New Roman"/>
              </w:rPr>
              <w:t>3.043.000</w:t>
            </w:r>
          </w:p>
        </w:tc>
        <w:tc>
          <w:tcPr>
            <w:tcW w:w="2041" w:type="dxa"/>
          </w:tcPr>
          <w:p w:rsidR="00505632" w:rsidRDefault="00505632" w:rsidP="00AD4E52">
            <w:pPr>
              <w:pStyle w:val="CellColumn"/>
              <w:jc w:val="right"/>
            </w:pPr>
            <w:r>
              <w:rPr>
                <w:rFonts w:cs="Times New Roman"/>
              </w:rPr>
              <w:t>3.042.173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141,0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osnutku Hrvatske kontrole zračne plovidbe („Narodne novine“, broj 19/1998, 20/2000 i 51/2013), </w:t>
      </w:r>
    </w:p>
    <w:p w:rsidR="00505632" w:rsidRDefault="00505632" w:rsidP="00505632">
      <w:r>
        <w:t>- Odluka o utvrđivanju letova koji se izuzimaju od plaćanja naknada u zračnoj plovidbi („Narodne novine“, broj 81/2014).</w:t>
      </w:r>
    </w:p>
    <w:p w:rsidR="00505632" w:rsidRDefault="00505632" w:rsidP="00505632">
      <w:pPr>
        <w:pStyle w:val="Heading8"/>
        <w:jc w:val="left"/>
      </w:pPr>
      <w:r>
        <w:t>Opis aktivnosti</w:t>
      </w:r>
    </w:p>
    <w:p w:rsidR="00505632" w:rsidRDefault="00505632" w:rsidP="00505632">
      <w:r>
        <w:t xml:space="preserve">Temeljem Zakona o osnutku Hrvatske kontrole zračne plovidbe i Odluke o utvrđivanju letova koji se izuzimaju od plaćanja naknada u zračnoj plovidbi proračunskim sredstvima s ove aktivnosti u 2016. godini izvršena je nadoknada troškova usluga koje je Hrvatska kontrola zračne plovidbe d.o.o. pružala letovima koji su izuzeti od plaćanja rutnih i terminalnih naknada (potraga i spašavanje, vojni letovi, policijski letovi, humanitarni letovi, određena osposobljavanja i dr.), a koji su nastali u prethodnoj 2015. godini. </w:t>
      </w:r>
    </w:p>
    <w:p w:rsidR="00505632" w:rsidRDefault="00505632" w:rsidP="00505632">
      <w:r>
        <w:t xml:space="preserve">Zakonom o osnutku Hrvatske kontrole zračne plovidbe, između ostalog, određeno je i da će se troškovi usluga koje društvo Hrvatska kontrola zračne plovidbe d.o.o. pruža izuzetim letovima, istom Društvu nadoknađivati iz sredstava koja se osiguravaju u državnom proračunu Republike Hrvatske kao i da Društvo ima pravo na nadoknadu troškova za te letove i to počevši od 1. srpnja 2013., a troškovi letova će se nadoknađivati u tekućoj godini za troškove koji nastanu u prethodnoj godini. U skladu s tim, s ove aktivnosti u 2016. godini izvršena je nadoknada troškova Hrvatskoj kontroli zračne plovidbe d.o.o. a za usluge koje je ona pružila izuzetim letovima u razdoblju od 1. siječnja 2015. do 31. prosinca 2015. godine. </w:t>
      </w:r>
    </w:p>
    <w:p w:rsidR="00505632" w:rsidRDefault="00505632" w:rsidP="00505632">
      <w:r>
        <w:t xml:space="preserve">Hrvatska kontrola zračne plovidbe d.o.o. pružala je usluge izuzetim letovima u razdoblju od 1. siječnja 2015. do 31. prosinca 2015. godine, a za pružene usluge izuzetim letovima u navedenom razdoblju, odnosno za 4.992,40 servisnih jedinica (Service units) za rutne naknade te 465,60 servisnih jedinica (Service units) za terminalne naknade troškovi su iznosili 3.042.173,12 kuna. </w:t>
      </w:r>
    </w:p>
    <w:p w:rsidR="00505632" w:rsidRDefault="00505632" w:rsidP="00505632">
      <w:r>
        <w:t>Planirani ciljevi ove aktivnosti u 2016. godini su postignuti, aktivnost se provodila planiranom dinamikom i nije bilo nikakvih problema u njenom izvršavanju.</w:t>
      </w:r>
    </w:p>
    <w:p w:rsidR="00505632" w:rsidRDefault="00505632" w:rsidP="00505632">
      <w:pPr>
        <w:pStyle w:val="Heading4"/>
      </w:pPr>
      <w:r>
        <w:t>A754035 PROVEDBA UGOVORA O KONCESIJI ZA IZGRADNJU NOVOG PUTNIČKOG TERMINALA ZRAČNE LUKE ZAGREB</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A754035-PROVEDBA UGOVORA O KONCESIJI ZA IZGRADNJU NOVOG PUTNIČKOG TERMINALA ZRAČNE LUKE ZAGREB</w:t>
            </w:r>
          </w:p>
        </w:tc>
        <w:tc>
          <w:tcPr>
            <w:tcW w:w="2041" w:type="dxa"/>
          </w:tcPr>
          <w:p w:rsidR="00505632" w:rsidRDefault="00505632" w:rsidP="00AD4E52">
            <w:pPr>
              <w:pStyle w:val="CellColumn"/>
              <w:jc w:val="right"/>
            </w:pPr>
            <w:r>
              <w:rPr>
                <w:rFonts w:cs="Times New Roman"/>
              </w:rPr>
              <w:t>43.359.668</w:t>
            </w:r>
          </w:p>
        </w:tc>
        <w:tc>
          <w:tcPr>
            <w:tcW w:w="2041" w:type="dxa"/>
          </w:tcPr>
          <w:p w:rsidR="00505632" w:rsidRDefault="00505632" w:rsidP="00AD4E52">
            <w:pPr>
              <w:pStyle w:val="CellColumn"/>
              <w:jc w:val="right"/>
            </w:pPr>
            <w:r>
              <w:rPr>
                <w:rFonts w:cs="Times New Roman"/>
              </w:rPr>
              <w:t>27.680.000</w:t>
            </w:r>
          </w:p>
        </w:tc>
        <w:tc>
          <w:tcPr>
            <w:tcW w:w="2041" w:type="dxa"/>
          </w:tcPr>
          <w:p w:rsidR="00505632" w:rsidRDefault="00505632" w:rsidP="00AD4E52">
            <w:pPr>
              <w:pStyle w:val="CellColumn"/>
              <w:jc w:val="right"/>
            </w:pPr>
            <w:r>
              <w:rPr>
                <w:rFonts w:cs="Times New Roman"/>
              </w:rPr>
              <w:t>20.001.523</w:t>
            </w:r>
          </w:p>
        </w:tc>
        <w:tc>
          <w:tcPr>
            <w:tcW w:w="1224" w:type="dxa"/>
          </w:tcPr>
          <w:p w:rsidR="00505632" w:rsidRDefault="00505632" w:rsidP="00AD4E52">
            <w:pPr>
              <w:pStyle w:val="CellColumn"/>
              <w:jc w:val="right"/>
            </w:pPr>
            <w:r>
              <w:rPr>
                <w:rFonts w:cs="Times New Roman"/>
              </w:rPr>
              <w:t>72,3</w:t>
            </w:r>
          </w:p>
        </w:tc>
        <w:tc>
          <w:tcPr>
            <w:tcW w:w="1224" w:type="dxa"/>
          </w:tcPr>
          <w:p w:rsidR="00505632" w:rsidRDefault="00505632" w:rsidP="00AD4E52">
            <w:pPr>
              <w:pStyle w:val="CellColumn"/>
              <w:jc w:val="right"/>
            </w:pPr>
            <w:r>
              <w:rPr>
                <w:rFonts w:cs="Times New Roman"/>
              </w:rPr>
              <w:t>46,1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Ugovor o koncesiji (Izmjena br. 2 Ugovora o koncesiji za izgradnju i upravljanje Zračnom lukom Zagreb između Republike Hrvatske i Međunarodne zračne luke Zagreb d.d)., od 2. prosinca 2013. , </w:t>
      </w:r>
    </w:p>
    <w:p w:rsidR="00505632" w:rsidRDefault="00505632" w:rsidP="00505632">
      <w:r>
        <w:t xml:space="preserve">- Ugovor s Neovisnim inženjerom od 2. prosinca 2013. sklopljenog između Republike Hrvatske i Međunarodne zračne luke Zagreb d.d. i Ove Arup &amp; Partners International Limited i Deutsche Bank Luxembourg S.A, </w:t>
      </w:r>
    </w:p>
    <w:p w:rsidR="00505632" w:rsidRDefault="00505632" w:rsidP="00505632">
      <w:r>
        <w:t xml:space="preserve">- Zaključak Vlade Republike Hrvatske (KLASA: 022-03/14-07/262; URBROJ: 50301-05/05-14-2) od 10. srpnja 2014. , </w:t>
      </w:r>
    </w:p>
    <w:p w:rsidR="00505632" w:rsidRDefault="00505632" w:rsidP="00505632">
      <w:r>
        <w:t xml:space="preserve">- Sporazum o uređenju međusobnih odnosa u vezi davanja koncesije za Zračnu luku Zagreb između Ministarstva mora, prometa, i infrastrukture i Zračne luke Zagreb d.o.o.  (KLASA: 343-03/14-01/33, URBROJ: 383-14-1) od 14. srpnja 2014., </w:t>
      </w:r>
    </w:p>
    <w:p w:rsidR="00505632" w:rsidRDefault="00505632" w:rsidP="00505632">
      <w:r>
        <w:t>- Članak 9.b stavak 11. i članak 10. Zakona o zračnim lukama (19/1998, 14/2011 i 75/2015).</w:t>
      </w:r>
    </w:p>
    <w:p w:rsidR="00505632" w:rsidRDefault="00505632" w:rsidP="00505632">
      <w:pPr>
        <w:pStyle w:val="Heading8"/>
        <w:jc w:val="left"/>
      </w:pPr>
      <w:r>
        <w:t>Opis aktivnosti</w:t>
      </w:r>
    </w:p>
    <w:p w:rsidR="00505632" w:rsidRDefault="00505632" w:rsidP="00505632">
      <w:r>
        <w:t xml:space="preserve">Izvršenje  na ovoj aktivnosti u skladu je s Ugovorom o koncesiji za izgradnju i upravljanje Zračnom lukom Zagreb od 2. prosinca 2013. godine, Ugovora s Neovisnim inženjerom od 2. prosinca 2013. godine, Zaključkom Vlade RH od 10. Srpnja 2014. godine te Sporazumom o uređenju međusobnih odnosa u vezi davanja koncesije za Zračnu luku Zagreb između Ministarstva i Zračne luke Zagreb d.o.o. od 14. srpnja 2014. godine. </w:t>
      </w:r>
    </w:p>
    <w:p w:rsidR="00505632" w:rsidRDefault="00505632" w:rsidP="00505632">
      <w:r>
        <w:t xml:space="preserve">Naime, sukladno Zaključku Vlade Republike Hrvatske od 10. srpnja 2014. godine, Zračna luka Zagreb d.o.o., između ostalog, mora osigurati financijska sredstva za podmirenje obaveza davatelja koncesije vezane uz neovisnog inženjera i za podmirenje dijela radova na izgradnji sustava oborinske odvodnje i podvožnjaka. Slijedom navedenog Zaključka Vlade Republike Hrvatske i sklopljenog Sporazuma o uređenju međusobnih odnosa u vezi davanja koncesije za Zračnu luku Zagreb račune za navedene obveze davatelja koncesije plaćala je Zračna luka Zagreb d.o.o. vlastitim sredstvima uključujući i osiguranje sredstava za plaćanje PDV-a po istim računima.  </w:t>
      </w:r>
    </w:p>
    <w:p w:rsidR="00505632" w:rsidRDefault="00505632" w:rsidP="00505632">
      <w:r>
        <w:t>Izvršenje na ovoj aktivnosti vezano je uz zatvaranje obveza davatelja koncesije, odnosno zatvaranje računa koji se odnose na dio troškova neovisnog inženjera i dio troškova na izvedbi i dovršenju radova na izgradnji sustava oborinske odvodnje i podvožnjaka koje je, u ime davatelja koncesije, plaćala Zračna luka Zagreb d.o.o., a koji su tijekom 2016. godine evidentirani na ovoj aktivnosti i to na Izvoru 61 – donacije koje se uplaćuju u proračun.</w:t>
      </w:r>
    </w:p>
    <w:p w:rsidR="00505632" w:rsidRDefault="00505632" w:rsidP="00505632">
      <w:pPr>
        <w:pStyle w:val="Heading3"/>
      </w:pPr>
      <w:r>
        <w:rPr>
          <w:rFonts w:cs="Times New Roman"/>
        </w:rPr>
        <w:t>3114 RAZVOJ SUSTAVA ŽELJEZNIČKOG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3114-RAZVOJ SUSTAVA ŽELJEZNIČKOG PROMETA</w:t>
            </w:r>
          </w:p>
        </w:tc>
        <w:tc>
          <w:tcPr>
            <w:tcW w:w="2041" w:type="dxa"/>
          </w:tcPr>
          <w:p w:rsidR="00505632" w:rsidRDefault="00505632" w:rsidP="00AD4E52">
            <w:pPr>
              <w:pStyle w:val="CellColumn"/>
              <w:jc w:val="right"/>
            </w:pPr>
            <w:r>
              <w:rPr>
                <w:rFonts w:cs="Times New Roman"/>
              </w:rPr>
              <w:t>1.495.564.762</w:t>
            </w:r>
          </w:p>
        </w:tc>
        <w:tc>
          <w:tcPr>
            <w:tcW w:w="2041" w:type="dxa"/>
          </w:tcPr>
          <w:p w:rsidR="00505632" w:rsidRDefault="00505632" w:rsidP="00AD4E52">
            <w:pPr>
              <w:pStyle w:val="CellColumn"/>
              <w:jc w:val="right"/>
            </w:pPr>
            <w:r>
              <w:rPr>
                <w:rFonts w:cs="Times New Roman"/>
              </w:rPr>
              <w:t>1.390.769.951</w:t>
            </w:r>
          </w:p>
        </w:tc>
        <w:tc>
          <w:tcPr>
            <w:tcW w:w="2041" w:type="dxa"/>
          </w:tcPr>
          <w:p w:rsidR="00505632" w:rsidRDefault="00505632" w:rsidP="00AD4E52">
            <w:pPr>
              <w:pStyle w:val="CellColumn"/>
              <w:jc w:val="right"/>
            </w:pPr>
            <w:r>
              <w:rPr>
                <w:rFonts w:cs="Times New Roman"/>
              </w:rPr>
              <w:t>1.389.320.359</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92,9</w:t>
            </w:r>
          </w:p>
        </w:tc>
      </w:tr>
    </w:tbl>
    <w:p w:rsidR="00505632" w:rsidRDefault="00505632" w:rsidP="00505632">
      <w:pPr>
        <w:jc w:val="left"/>
      </w:pPr>
    </w:p>
    <w:p w:rsidR="00505632" w:rsidRDefault="00505632" w:rsidP="00505632">
      <w:r>
        <w:t xml:space="preserve">Glavni ciljevi Bijele knjige Europske komisije od 12. rujna 2001. godine „Europska prometna politika za 2010: vrijeme za odluku“ jesu jamčiti sigurne, učinkovite i visokokvalitetne usluge prijevoza putnika. Isto će se ostvariti kroz uređeno tržišno natjecanje, osiguravajući transparentnost i obavljanje usluga javnog prijevoza putnika, uzimajući u obzir čimbenike društvenog razvoja, razvoja okoliša, te regionalnog razvoja. Ponuditi će se tarifni uvjeti pojedinim skupinama putnika, što je obuhvaćeno Uredbom (EZ) br. 1370/2007 Europskog Parlamenta i Vijeća. Člankom 61. Zakona o željeznici (NN 94/13 i 148/13) uređuju se pravila pod kojima nadležna tijela, prilikom određivanja obveza obavljanja javnih usluga ili njihova ugovaranja, željezničkim prijevoznicima, koji obavljaju javne usluge, nadoknađuju nastale troškove i/ili dodjeljuju isključiva prava, u zamjenu za ispunjavanje obveza obavljanja javnih usluga.  </w:t>
      </w:r>
    </w:p>
    <w:p w:rsidR="00505632" w:rsidRDefault="00505632" w:rsidP="00505632">
      <w:r>
        <w:t xml:space="preserve">Sukladno definiranim ciljevima iz Strateškog plana Ministarstva za razdoblje 2016. – 2018. godine prioritetne aktivnosti u području željezničkog putničkog prometa su: unapređenje poslovanja na tržišnim načelima i stvaranje dugoročno održivih konkurentskih prednosti, informatizacija prodaje prijevoznih karata te uvođenje motornih vlakova u gradskom i regionalnom prijevozu. Reforme sektora podrazumijevaju i uspješnu provedbu procesa restrukturiranja, kojim će se postojeće željezničke kompanije učiniti efikasnijim, poslovanje održivim, a što će u konačnici smanjiti potrebe za javnim financiranjem. </w:t>
      </w:r>
    </w:p>
    <w:p w:rsidR="00505632" w:rsidRDefault="00505632" w:rsidP="00505632">
      <w:r>
        <w:t>Osim toga, ovim programom se osigurava i kontinuirano ulaganje u željezničku infrastrukturu kroz održavanje željezničke infrastrukture, organizaciju i regulaciju željezničkog prometa, upravljanje društvom HŽ Infrastruktura d.o.o. te financiranje investicijskih projekata. Budući da je glavna karakteristika postojećih infrastrukturnih kapaciteta dotrajalost,  daljnjim kontinuiranim ulaganjima u željezničku infrastrukturu nastojati će se osigurati odvijanje prometa odgovarajućom dinamikom. Temeljem Zakona o željeznici osiguravaju se financijska sredstva društvu HŽ Infrastruktura d.o.o. iz trošarina na prodana goriva, kojim se djelomično financira održavanje željezničke infrastrukture.</w:t>
      </w:r>
    </w:p>
    <w:p w:rsidR="00505632" w:rsidRDefault="00505632" w:rsidP="00505632">
      <w:pPr>
        <w:pStyle w:val="Heading8"/>
        <w:jc w:val="left"/>
      </w:pPr>
      <w:r>
        <w:t>Cilj 1. Razvijen sustav željezničkog prometa</w:t>
      </w:r>
    </w:p>
    <w:p w:rsidR="00505632" w:rsidRDefault="00505632" w:rsidP="00505632">
      <w:pPr>
        <w:pStyle w:val="Heading8"/>
        <w:jc w:val="left"/>
      </w:pPr>
      <w:r>
        <w:t>Opis provedbe cilja programa</w:t>
      </w:r>
    </w:p>
    <w:p w:rsidR="00505632" w:rsidRDefault="00505632" w:rsidP="00505632">
      <w:r>
        <w:t>Subvencioniranjem putničkog prijevoza i ulaganjima u modernizaciju voznih sredstava povećala se iskoristivost voznog parka.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dnevnih sati korištenja željezničkih vučnih vozila (čisti rad)</w:t>
            </w:r>
          </w:p>
        </w:tc>
        <w:tc>
          <w:tcPr>
            <w:tcW w:w="2551" w:type="dxa"/>
          </w:tcPr>
          <w:p w:rsidR="00505632" w:rsidRDefault="00505632" w:rsidP="00AD4E52">
            <w:pPr>
              <w:pStyle w:val="CellColumn"/>
              <w:jc w:val="left"/>
            </w:pPr>
            <w:r>
              <w:rPr>
                <w:rFonts w:cs="Times New Roman"/>
              </w:rPr>
              <w:t>Pokazuje koliko sati dnevno je angažirano svako vučno vozilo da bi se odvezli svi vlakovi prema VR</w:t>
            </w:r>
          </w:p>
        </w:tc>
        <w:tc>
          <w:tcPr>
            <w:tcW w:w="1020" w:type="dxa"/>
          </w:tcPr>
          <w:p w:rsidR="00505632" w:rsidRDefault="00505632" w:rsidP="00AD4E52">
            <w:pPr>
              <w:pStyle w:val="CellColumn"/>
              <w:jc w:val="right"/>
            </w:pPr>
            <w:r>
              <w:rPr>
                <w:rFonts w:cs="Times New Roman"/>
              </w:rPr>
              <w:t>sati (h)</w:t>
            </w:r>
          </w:p>
        </w:tc>
        <w:tc>
          <w:tcPr>
            <w:tcW w:w="1020" w:type="dxa"/>
          </w:tcPr>
          <w:p w:rsidR="00505632" w:rsidRDefault="00505632" w:rsidP="00AD4E52">
            <w:pPr>
              <w:pStyle w:val="CellColumn"/>
              <w:jc w:val="right"/>
            </w:pPr>
            <w:r>
              <w:rPr>
                <w:rFonts w:cs="Times New Roman"/>
              </w:rPr>
              <w:t>5,49</w:t>
            </w:r>
          </w:p>
        </w:tc>
        <w:tc>
          <w:tcPr>
            <w:tcW w:w="1020" w:type="dxa"/>
          </w:tcPr>
          <w:p w:rsidR="00505632" w:rsidRDefault="00505632" w:rsidP="00AD4E52">
            <w:pPr>
              <w:pStyle w:val="CellColumn"/>
              <w:jc w:val="right"/>
            </w:pPr>
            <w:r>
              <w:rPr>
                <w:rFonts w:cs="Times New Roman"/>
              </w:rPr>
              <w:t>HŽPP</w:t>
            </w:r>
          </w:p>
        </w:tc>
        <w:tc>
          <w:tcPr>
            <w:tcW w:w="1020" w:type="dxa"/>
          </w:tcPr>
          <w:p w:rsidR="00505632" w:rsidRDefault="00505632" w:rsidP="00AD4E52">
            <w:pPr>
              <w:pStyle w:val="CellColumn"/>
              <w:jc w:val="right"/>
            </w:pPr>
            <w:r>
              <w:rPr>
                <w:rFonts w:cs="Times New Roman"/>
              </w:rPr>
              <w:t>5,71</w:t>
            </w:r>
          </w:p>
        </w:tc>
        <w:tc>
          <w:tcPr>
            <w:tcW w:w="1020" w:type="dxa"/>
          </w:tcPr>
          <w:p w:rsidR="00505632" w:rsidRDefault="00505632" w:rsidP="00AD4E52">
            <w:pPr>
              <w:pStyle w:val="CellColumn"/>
              <w:jc w:val="right"/>
            </w:pPr>
            <w:r>
              <w:rPr>
                <w:rFonts w:cs="Times New Roman"/>
              </w:rPr>
              <w:t>6,20</w:t>
            </w:r>
          </w:p>
        </w:tc>
      </w:tr>
      <w:tr w:rsidR="00505632" w:rsidTr="00AD4E52">
        <w:trPr>
          <w:jc w:val="center"/>
        </w:trPr>
        <w:tc>
          <w:tcPr>
            <w:tcW w:w="2551" w:type="dxa"/>
          </w:tcPr>
          <w:p w:rsidR="00505632" w:rsidRDefault="00505632" w:rsidP="00AD4E52">
            <w:pPr>
              <w:pStyle w:val="CellColumn"/>
              <w:jc w:val="left"/>
            </w:pPr>
            <w:r>
              <w:rPr>
                <w:rFonts w:cs="Times New Roman"/>
              </w:rPr>
              <w:t>Smanjenje kašnjenja na 100 vlak km vlakova</w:t>
            </w:r>
          </w:p>
        </w:tc>
        <w:tc>
          <w:tcPr>
            <w:tcW w:w="2551" w:type="dxa"/>
          </w:tcPr>
          <w:p w:rsidR="00505632" w:rsidRDefault="00505632" w:rsidP="00AD4E52">
            <w:pPr>
              <w:pStyle w:val="CellColumn"/>
              <w:jc w:val="left"/>
            </w:pPr>
            <w:r>
              <w:rPr>
                <w:rFonts w:cs="Times New Roman"/>
              </w:rPr>
              <w:t>Smanjenjem zakašnjenja vlakova (putničkih i teretnih) povećava se kvaliteta usluge za krajnjeg korisnika</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112</w:t>
            </w:r>
          </w:p>
        </w:tc>
        <w:tc>
          <w:tcPr>
            <w:tcW w:w="1020" w:type="dxa"/>
          </w:tcPr>
          <w:p w:rsidR="00505632" w:rsidRDefault="00505632" w:rsidP="00AD4E52">
            <w:pPr>
              <w:pStyle w:val="CellColumn"/>
              <w:jc w:val="right"/>
            </w:pPr>
            <w:r>
              <w:rPr>
                <w:rFonts w:cs="Times New Roman"/>
              </w:rPr>
              <w:t>HŽI</w:t>
            </w:r>
          </w:p>
        </w:tc>
        <w:tc>
          <w:tcPr>
            <w:tcW w:w="1020" w:type="dxa"/>
          </w:tcPr>
          <w:p w:rsidR="00505632" w:rsidRDefault="00505632" w:rsidP="00AD4E52">
            <w:pPr>
              <w:pStyle w:val="CellColumn"/>
              <w:jc w:val="right"/>
            </w:pPr>
            <w:r>
              <w:rPr>
                <w:rFonts w:cs="Times New Roman"/>
              </w:rPr>
              <w:t>110</w:t>
            </w:r>
          </w:p>
        </w:tc>
        <w:tc>
          <w:tcPr>
            <w:tcW w:w="1020" w:type="dxa"/>
          </w:tcPr>
          <w:p w:rsidR="00505632" w:rsidRDefault="00505632" w:rsidP="00AD4E52">
            <w:pPr>
              <w:pStyle w:val="CellColumn"/>
              <w:jc w:val="right"/>
            </w:pPr>
            <w:r>
              <w:rPr>
                <w:rFonts w:cs="Times New Roman"/>
              </w:rPr>
              <w:t>94</w:t>
            </w:r>
          </w:p>
        </w:tc>
      </w:tr>
    </w:tbl>
    <w:p w:rsidR="00505632" w:rsidRDefault="00505632" w:rsidP="00505632">
      <w:pPr>
        <w:jc w:val="left"/>
      </w:pPr>
    </w:p>
    <w:p w:rsidR="00505632" w:rsidRDefault="00505632" w:rsidP="00505632">
      <w:pPr>
        <w:pStyle w:val="Heading4"/>
      </w:pPr>
      <w:r>
        <w:t>A570334 ODRŽAVANJE ŽELJEZNIČKE INFRASTRUKTURE I REGULACIJA PROMETA</w:t>
      </w:r>
    </w:p>
    <w:tbl>
      <w:tblPr>
        <w:tblStyle w:val="StilTablice"/>
        <w:tblW w:w="10206" w:type="dxa"/>
        <w:jc w:val="center"/>
        <w:tblLook w:val="04A0" w:firstRow="1" w:lastRow="0" w:firstColumn="1" w:lastColumn="0" w:noHBand="0" w:noVBand="1"/>
      </w:tblPr>
      <w:tblGrid>
        <w:gridCol w:w="1893"/>
        <w:gridCol w:w="1966"/>
        <w:gridCol w:w="1966"/>
        <w:gridCol w:w="1966"/>
        <w:gridCol w:w="1203"/>
        <w:gridCol w:w="121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A570334-ODRŽAVANJE ŽELJEZNIČKE INFRASTRUKTURE I REGULACIJA PROMETA</w:t>
            </w:r>
          </w:p>
        </w:tc>
        <w:tc>
          <w:tcPr>
            <w:tcW w:w="2041" w:type="dxa"/>
          </w:tcPr>
          <w:p w:rsidR="00505632" w:rsidRDefault="00505632" w:rsidP="00AD4E52">
            <w:pPr>
              <w:pStyle w:val="CellColumn"/>
              <w:jc w:val="right"/>
            </w:pPr>
            <w:r>
              <w:rPr>
                <w:rFonts w:cs="Times New Roman"/>
              </w:rPr>
              <w:t>516.000.000</w:t>
            </w:r>
          </w:p>
        </w:tc>
        <w:tc>
          <w:tcPr>
            <w:tcW w:w="2041" w:type="dxa"/>
          </w:tcPr>
          <w:p w:rsidR="00505632" w:rsidRDefault="00505632" w:rsidP="00AD4E52">
            <w:pPr>
              <w:pStyle w:val="CellColumn"/>
              <w:jc w:val="right"/>
            </w:pPr>
            <w:r>
              <w:rPr>
                <w:rFonts w:cs="Times New Roman"/>
              </w:rPr>
              <w:t>450.000.000</w:t>
            </w:r>
          </w:p>
        </w:tc>
        <w:tc>
          <w:tcPr>
            <w:tcW w:w="2041" w:type="dxa"/>
          </w:tcPr>
          <w:p w:rsidR="00505632" w:rsidRDefault="00505632" w:rsidP="00AD4E52">
            <w:pPr>
              <w:pStyle w:val="CellColumn"/>
              <w:jc w:val="right"/>
            </w:pPr>
            <w:r>
              <w:rPr>
                <w:rFonts w:cs="Times New Roman"/>
              </w:rPr>
              <w:t>450.000.000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87,2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željeznici (NN 94/13 i 148/13)</w:t>
      </w:r>
    </w:p>
    <w:p w:rsidR="00505632" w:rsidRDefault="00505632" w:rsidP="00505632">
      <w:pPr>
        <w:pStyle w:val="Heading8"/>
        <w:jc w:val="left"/>
      </w:pPr>
      <w:r>
        <w:t>Opis aktivnosti</w:t>
      </w:r>
    </w:p>
    <w:p w:rsidR="00505632" w:rsidRDefault="00505632" w:rsidP="00505632">
      <w:r>
        <w:t xml:space="preserve">Proračunska sredstva utrošena su za podmirenje dijela troškova održavanja željezničke infrastrukture, organizaciju i regulaciju željezničkog prometa te upravljanje društvom HŽ Infrastruktura d.o.o..  </w:t>
      </w:r>
    </w:p>
    <w:p w:rsidR="00505632" w:rsidRDefault="00505632" w:rsidP="00505632">
      <w:r>
        <w:t xml:space="preserve">Za održavanje željezničke infrastrukture u razdoblju siječanj-prosinac 2016. godine ukupno je utrošeno 199.365.000 kn i to za: </w:t>
      </w:r>
    </w:p>
    <w:p w:rsidR="00505632" w:rsidRDefault="00505632" w:rsidP="00505632">
      <w:r>
        <w:t xml:space="preserve">- građevinski infrastrukturni podsustav, iznos od 130.637.000 kn  </w:t>
      </w:r>
    </w:p>
    <w:p w:rsidR="00505632" w:rsidRDefault="00505632" w:rsidP="00505632">
      <w:r>
        <w:t xml:space="preserve">- elektroenergetski infrastrukturni podsustav, iznos od 28.706.000 kn  </w:t>
      </w:r>
    </w:p>
    <w:p w:rsidR="00505632" w:rsidRDefault="00505632" w:rsidP="00505632">
      <w:r>
        <w:t xml:space="preserve">- signalno-sigurnosni infrastrukturni podsustav, iznos od 38.677.000 kn  </w:t>
      </w:r>
    </w:p>
    <w:p w:rsidR="00505632" w:rsidRDefault="00505632" w:rsidP="00505632">
      <w:r>
        <w:t xml:space="preserve">- za ostale funkcionalne dijelove i opremu željezničke infrastrukture, iznos od 1.345.000 kn. </w:t>
      </w:r>
    </w:p>
    <w:p w:rsidR="00505632" w:rsidRDefault="00505632" w:rsidP="00505632">
      <w:r>
        <w:t xml:space="preserve">Proračunskim sredstvima ove aktivnosti podmiren je i dio troškova organizacije i reguliranja željezničkog prometa u iznosu 186.187.000 kn te dio troškova za upravljanje HŽ Infrastrukturom d.o.o. u iznosu 64.448.000 kn. </w:t>
      </w:r>
    </w:p>
    <w:p w:rsidR="00505632" w:rsidRDefault="00505632" w:rsidP="00505632">
      <w:r>
        <w:t>Od ukupno doznačenih sredstava društvu HŽ Infrastruktura d.o.o. za navedene namjene, iznos od 360.000.000 kn utrošen je za podmirenje troškova radnika na održavanju, organizaciji i regulaciji prometa te upravljanju društvom HŽ Infrastruktura d.o.o.. Iznosom od 90.000.000 kn podmirene su obveze prema dobavljačima za troškove usluga na održavanju pruga. Nastavno na navedeno cilj je ispunjen.</w:t>
      </w:r>
    </w:p>
    <w:p w:rsidR="00505632" w:rsidRDefault="00505632" w:rsidP="00505632">
      <w:pPr>
        <w:pStyle w:val="Heading4"/>
      </w:pPr>
      <w:r>
        <w:t>A570491 UNAPREĐENJE STRUKTURNIH REFORMI ŽELJEZNICE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A570491-UNAPREĐENJE STRUKTURNIH REFORMI ŽELJEZNICE</w:t>
            </w:r>
          </w:p>
        </w:tc>
        <w:tc>
          <w:tcPr>
            <w:tcW w:w="2041" w:type="dxa"/>
          </w:tcPr>
          <w:p w:rsidR="00505632" w:rsidRDefault="00505632" w:rsidP="00AD4E52">
            <w:pPr>
              <w:pStyle w:val="CellColumn"/>
              <w:jc w:val="right"/>
            </w:pPr>
            <w:r>
              <w:rPr>
                <w:rFonts w:cs="Times New Roman"/>
              </w:rPr>
              <w:t>575.051</w:t>
            </w:r>
          </w:p>
        </w:tc>
        <w:tc>
          <w:tcPr>
            <w:tcW w:w="2041" w:type="dxa"/>
          </w:tcPr>
          <w:p w:rsidR="00505632" w:rsidRDefault="00505632" w:rsidP="00AD4E52">
            <w:pPr>
              <w:pStyle w:val="CellColumn"/>
              <w:jc w:val="right"/>
            </w:pPr>
            <w:r>
              <w:rPr>
                <w:rFonts w:cs="Times New Roman"/>
              </w:rPr>
              <w:t>321.500</w:t>
            </w:r>
          </w:p>
        </w:tc>
        <w:tc>
          <w:tcPr>
            <w:tcW w:w="2041" w:type="dxa"/>
          </w:tcPr>
          <w:p w:rsidR="00505632" w:rsidRDefault="00505632" w:rsidP="00AD4E52">
            <w:pPr>
              <w:pStyle w:val="CellColumn"/>
              <w:jc w:val="right"/>
            </w:pPr>
            <w:r>
              <w:rPr>
                <w:rFonts w:cs="Times New Roman"/>
              </w:rPr>
              <w:t>249.163</w:t>
            </w:r>
          </w:p>
        </w:tc>
        <w:tc>
          <w:tcPr>
            <w:tcW w:w="1224" w:type="dxa"/>
          </w:tcPr>
          <w:p w:rsidR="00505632" w:rsidRDefault="00505632" w:rsidP="00AD4E52">
            <w:pPr>
              <w:pStyle w:val="CellColumn"/>
              <w:jc w:val="right"/>
            </w:pPr>
            <w:r>
              <w:rPr>
                <w:rFonts w:cs="Times New Roman"/>
              </w:rPr>
              <w:t>77,5</w:t>
            </w:r>
          </w:p>
        </w:tc>
        <w:tc>
          <w:tcPr>
            <w:tcW w:w="1224" w:type="dxa"/>
          </w:tcPr>
          <w:p w:rsidR="00505632" w:rsidRDefault="00505632" w:rsidP="00AD4E52">
            <w:pPr>
              <w:pStyle w:val="CellColumn"/>
              <w:jc w:val="right"/>
            </w:pPr>
            <w:r>
              <w:rPr>
                <w:rFonts w:cs="Times New Roman"/>
              </w:rPr>
              <w:t>43,3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željeznici (NN 94/13, 148/13), </w:t>
      </w:r>
    </w:p>
    <w:p w:rsidR="00505632" w:rsidRDefault="00505632" w:rsidP="00505632">
      <w:r>
        <w:t xml:space="preserve">- Zakon o sigurnosti i interoperabilnosti željezničkog sustava (NN 82/13), </w:t>
      </w:r>
    </w:p>
    <w:p w:rsidR="00505632" w:rsidRDefault="00505632" w:rsidP="00505632">
      <w:r>
        <w:t>- Zakon o regulaciji tržišta željezničkih usluga (NN 71/14).</w:t>
      </w:r>
    </w:p>
    <w:p w:rsidR="00505632" w:rsidRDefault="00505632" w:rsidP="00505632">
      <w:pPr>
        <w:pStyle w:val="Heading8"/>
        <w:jc w:val="left"/>
      </w:pPr>
      <w:r>
        <w:t>Opis aktivnosti</w:t>
      </w:r>
    </w:p>
    <w:p w:rsidR="00505632" w:rsidRDefault="00505632" w:rsidP="00505632">
      <w:r>
        <w:t xml:space="preserve">Najznačajniji iznos utrošen s ove aktivnosti odnosi se na plaćanje članarine. Republika Hrvatska je, temeljem Odluke i Zakona o potvrđivanju Protokola od 03. lipnja 1999. godine i izmjenama Konvencije o međunarodnom željezničkom prijevozu (COTIF) od 09. svibnja 1980. godine, svojim potpisom pristupila međunarodnoj organizaciji OTIF-u (funkcija Depozitarne uprave COTIF-a). Sukladno članku 26. „Financiranje troškova“ Konvencije o međunarodnom željezničkom prijevozu (COTIF) od 09. svibnja 1980. godine, u verziji Protokola o izmjenama od 03. lipnja 1999. godine, kao Država članica preuzela je prava i obveze te je dužna plaćati doprinos troškova Organizacije. Naknada OTIF-u za 2016. godinu bila je u iznosu od 147.906,61 kuna (21.345,13 CHF). </w:t>
      </w:r>
    </w:p>
    <w:p w:rsidR="00505632" w:rsidRDefault="00505632" w:rsidP="00505632">
      <w:r>
        <w:t>Temeljem Podugovora Ugovora o zajmu sklopljenog 7. svibnja 2015. između HŽ Infrastrukture i Ministartsva, Ministarstvo je u obvezi plaćanja kamata i i naknada te glavnice dijela kredita Svjetske banke 8500-HR te su plaćene kamate u iznosu od 68.932,89 kuna. Za intelektualne usluge utrošeno je 32.323,53 kune. Izvršena su sva navedena plaćanja te je cilj ispunjen.</w:t>
      </w:r>
    </w:p>
    <w:p w:rsidR="00505632" w:rsidRDefault="00505632" w:rsidP="00505632">
      <w:pPr>
        <w:pStyle w:val="Heading4"/>
      </w:pPr>
      <w:r>
        <w:t>A754029 NAKNADA U CIJENI GORIVA ZA HŽ INFRASTRUKTURU D.O.O.</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A754029-NAKNADA U CIJENI GORIVA ZA HŽ INFRASTRUKTURU D.O.O.</w:t>
            </w:r>
          </w:p>
        </w:tc>
        <w:tc>
          <w:tcPr>
            <w:tcW w:w="2041" w:type="dxa"/>
          </w:tcPr>
          <w:p w:rsidR="00505632" w:rsidRDefault="00505632" w:rsidP="00AD4E52">
            <w:pPr>
              <w:pStyle w:val="CellColumn"/>
              <w:jc w:val="right"/>
            </w:pPr>
            <w:r>
              <w:rPr>
                <w:rFonts w:cs="Times New Roman"/>
              </w:rPr>
              <w:t>440.000.000</w:t>
            </w:r>
          </w:p>
        </w:tc>
        <w:tc>
          <w:tcPr>
            <w:tcW w:w="2041" w:type="dxa"/>
          </w:tcPr>
          <w:p w:rsidR="00505632" w:rsidRDefault="00505632" w:rsidP="00AD4E52">
            <w:pPr>
              <w:pStyle w:val="CellColumn"/>
              <w:jc w:val="right"/>
            </w:pPr>
            <w:r>
              <w:rPr>
                <w:rFonts w:cs="Times New Roman"/>
              </w:rPr>
              <w:t>454.000.000</w:t>
            </w:r>
          </w:p>
        </w:tc>
        <w:tc>
          <w:tcPr>
            <w:tcW w:w="2041" w:type="dxa"/>
          </w:tcPr>
          <w:p w:rsidR="00505632" w:rsidRDefault="00505632" w:rsidP="00AD4E52">
            <w:pPr>
              <w:pStyle w:val="CellColumn"/>
              <w:jc w:val="right"/>
            </w:pPr>
            <w:r>
              <w:rPr>
                <w:rFonts w:cs="Times New Roman"/>
              </w:rPr>
              <w:t>454.000.000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103,2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željeznici (NN 94/13 i 148/13)</w:t>
      </w:r>
    </w:p>
    <w:p w:rsidR="00505632" w:rsidRDefault="00505632" w:rsidP="00505632">
      <w:pPr>
        <w:pStyle w:val="Heading8"/>
        <w:jc w:val="left"/>
      </w:pPr>
      <w:r>
        <w:t>Opis aktivnosti</w:t>
      </w:r>
    </w:p>
    <w:p w:rsidR="00505632" w:rsidRDefault="00505632" w:rsidP="00505632">
      <w:r>
        <w:t xml:space="preserve">Temeljem Zakona o željeznici, naknada za financiranje željezničke infrastrukture uplaćuje se po liti naplaćene trošarine na energente i to u iznosu od 0,20 kuna na račun HŽ Infrastrukture. </w:t>
      </w:r>
    </w:p>
    <w:p w:rsidR="00505632" w:rsidRDefault="00505632" w:rsidP="00505632">
      <w:r>
        <w:t xml:space="preserve">Proračunska sredstva utrošena su za podmirenje dijela troškova održavanja željezničke infrastrukture, organizacije i regulacije željezničkog prometa, te za upravljanje HŽ Infrastrukturom d.o.o. </w:t>
      </w:r>
    </w:p>
    <w:p w:rsidR="00505632" w:rsidRDefault="00505632" w:rsidP="00505632">
      <w:r>
        <w:t xml:space="preserve">Iz doznačenih trošarina u 2016. godini, za održavanje željezničke infrastrukture, ukupno je utrošeno 210.010.000 kn i to za: </w:t>
      </w:r>
    </w:p>
    <w:p w:rsidR="00505632" w:rsidRDefault="00505632" w:rsidP="00505632">
      <w:r>
        <w:t xml:space="preserve">- građevinski infrastrukturni podsustav, iznos od 132.654.000 kn  </w:t>
      </w:r>
    </w:p>
    <w:p w:rsidR="00505632" w:rsidRDefault="00505632" w:rsidP="00505632">
      <w:r>
        <w:t xml:space="preserve">- elektroenergetski infrastrukturni podsustav, iznos od 28.029.000 kn  </w:t>
      </w:r>
    </w:p>
    <w:p w:rsidR="00505632" w:rsidRDefault="00505632" w:rsidP="00505632">
      <w:r>
        <w:t xml:space="preserve">- signalno-sigurnosni infrastrukturni podsustav, iznos od 41.638.000 kn  </w:t>
      </w:r>
    </w:p>
    <w:p w:rsidR="00505632" w:rsidRDefault="00505632" w:rsidP="00505632">
      <w:r>
        <w:t xml:space="preserve">- za ostale funkcionalne dijelove i opremu željezničke infrastrukture, iznos od 7.689.000 kn </w:t>
      </w:r>
    </w:p>
    <w:p w:rsidR="00505632" w:rsidRDefault="00505632" w:rsidP="00505632">
      <w:r>
        <w:t xml:space="preserve">Proračunskim sredstvima ove aktivnosti podmiren je i dio troškova organizacije i reguliranja željezničkog prometa u iznosu od 184.488.000 kn te dio troškova za upravljanje HŽ Infrastrukturom d.o.o. u iznosu 59.502.000 kn. </w:t>
      </w:r>
    </w:p>
    <w:p w:rsidR="00505632" w:rsidRDefault="00505632" w:rsidP="00505632">
      <w:r>
        <w:t xml:space="preserve">Tijekom 2016. godine obavljane su redovite aktivnosti održavanja na 2.604 kilometara pruge, na 109 tunela, na 547 mostova i na 1.517 željezničko-cestovna prijelaza, a nastavljene su i redovite aktivnosti na održavanju 970 km kontaktne mreže (građ. duljina), od toga 966,7 km elektrificiranih izmjeničnim sustavom (25 kv, 50Hz) i 3,3 km elektrificiranih istosmjernim sustavom 3 kV. </w:t>
      </w:r>
    </w:p>
    <w:p w:rsidR="00505632" w:rsidRDefault="00505632" w:rsidP="00505632">
      <w:r>
        <w:t xml:space="preserve">Također, obnovljeno je 18,1 km pruga, od predviđenih 45,29 km, prema Rebalansu plana za 2016. U 2016. godini izvršen je samo dio planiranih radova najvećim dijelom zbog poslovnih poteškoća dobavljača koji je kasnio s isporukom robe za održavanje pruga. </w:t>
      </w:r>
    </w:p>
    <w:p w:rsidR="00505632" w:rsidRDefault="00505632" w:rsidP="00505632">
      <w:r>
        <w:t xml:space="preserve">U aktivnostima upravljanja i regulacije prometom, otpremljeno je 69.986 teretnih vlakova koji su ostvarili 5.334.438 vlak kilometara, što je za 6,1%. više vlak km u odnosu na 2015. godinu. U putničkom prijevozu otpremljeno je 237.040 vlakova koji su ostvarili 15.469.460 vlak kilometara, što je porast u odnosu na 2015. godinu za 0,8%.  </w:t>
      </w:r>
    </w:p>
    <w:p w:rsidR="00505632" w:rsidRDefault="00505632" w:rsidP="00505632">
      <w:r>
        <w:t xml:space="preserve">Tijekom 2016. godine prosječno kašnjenje na 100 vlak kilometara za teretne vlakove iznosilo je 92 minute, a za putničke vlakove 2 minute, što je poboljšanje u odnosu na 2015. godinu (kašnjenje u 2015. za putničke vlakove je 4 min. a za teretne 108 min) i u odnosu na rebalans plana 2016 (rebalans plana prosječnog kašnjenja na 100 vlak kilometara. je 106 minuta za teretne vlakove, a za putničke vlakove 4 minute).  </w:t>
      </w:r>
    </w:p>
    <w:p w:rsidR="00505632" w:rsidRDefault="00505632" w:rsidP="00505632">
      <w:r>
        <w:t xml:space="preserve">Prosječna dopuštena infrastrukturna brzina na prugama u uporabi u 2016. godini iznosi 79,88 km/h , što je poboljšanje u odnosu na rebalans plana (planirano 79,50 km/h) i odnosu na 2015. godinu (81,22 km/h). </w:t>
      </w:r>
    </w:p>
    <w:p w:rsidR="00505632" w:rsidRDefault="00505632" w:rsidP="00505632">
      <w:r>
        <w:t>Nastavno na navedeno, cilj je ispunjen.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kilometara novoizgrađenih i nadograđenih pruga</w:t>
            </w:r>
          </w:p>
        </w:tc>
        <w:tc>
          <w:tcPr>
            <w:tcW w:w="2551" w:type="dxa"/>
          </w:tcPr>
          <w:p w:rsidR="00505632" w:rsidRDefault="00505632" w:rsidP="00AD4E52">
            <w:pPr>
              <w:pStyle w:val="CellColumn"/>
              <w:jc w:val="left"/>
            </w:pPr>
            <w:r>
              <w:rPr>
                <w:rFonts w:cs="Times New Roman"/>
              </w:rPr>
              <w:t>Povećanjem broja km novoizgrađenih i nadograđenih pruga postiže se viša razina usluge željezničke infrastrukture</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HŽI</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A761011 POTICANJE ŽELJEZNIČKOG PUTNIČKOG PRIJEVOZA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A761011-POTICANJE ŽELJEZNIČKOG PUTNIČKOG PRIJEVOZA</w:t>
            </w:r>
          </w:p>
        </w:tc>
        <w:tc>
          <w:tcPr>
            <w:tcW w:w="2041" w:type="dxa"/>
          </w:tcPr>
          <w:p w:rsidR="00505632" w:rsidRDefault="00505632" w:rsidP="00AD4E52">
            <w:pPr>
              <w:pStyle w:val="CellColumn"/>
              <w:jc w:val="right"/>
            </w:pPr>
            <w:r>
              <w:rPr>
                <w:rFonts w:cs="Times New Roman"/>
              </w:rPr>
              <w:t>498.325.000</w:t>
            </w:r>
          </w:p>
        </w:tc>
        <w:tc>
          <w:tcPr>
            <w:tcW w:w="2041" w:type="dxa"/>
          </w:tcPr>
          <w:p w:rsidR="00505632" w:rsidRDefault="00505632" w:rsidP="00AD4E52">
            <w:pPr>
              <w:pStyle w:val="CellColumn"/>
              <w:jc w:val="right"/>
            </w:pPr>
            <w:r>
              <w:rPr>
                <w:rFonts w:cs="Times New Roman"/>
              </w:rPr>
              <w:t>447.740.000</w:t>
            </w:r>
          </w:p>
        </w:tc>
        <w:tc>
          <w:tcPr>
            <w:tcW w:w="2041" w:type="dxa"/>
          </w:tcPr>
          <w:p w:rsidR="00505632" w:rsidRDefault="00505632" w:rsidP="00AD4E52">
            <w:pPr>
              <w:pStyle w:val="CellColumn"/>
              <w:jc w:val="right"/>
            </w:pPr>
            <w:r>
              <w:rPr>
                <w:rFonts w:cs="Times New Roman"/>
              </w:rPr>
              <w:t>447.740.000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89,8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željeznici (NN 94/13, 148/13), </w:t>
      </w:r>
    </w:p>
    <w:p w:rsidR="00505632" w:rsidRDefault="00505632" w:rsidP="00505632">
      <w:r>
        <w:t xml:space="preserve">- Zakon o sigurnosti i interoperabilnosti željezničkog sustava (NN 82/13), </w:t>
      </w:r>
    </w:p>
    <w:p w:rsidR="00505632" w:rsidRDefault="00505632" w:rsidP="00505632">
      <w:r>
        <w:t xml:space="preserve">- Zakon o regulaciji tržišta željezničkih usluga (NN 71/14), </w:t>
      </w:r>
    </w:p>
    <w:p w:rsidR="00505632" w:rsidRDefault="00505632" w:rsidP="00505632">
      <w:r>
        <w:t xml:space="preserve">- Uredba (EZ) br. 1370/2007 o uslugama javnog željezničkog i cestovnog prijevoza putnika, </w:t>
      </w:r>
    </w:p>
    <w:p w:rsidR="00505632" w:rsidRDefault="00505632" w:rsidP="00505632">
      <w:r>
        <w:t>- Pravilnik o željezničkim vozilima (NN 121/15).</w:t>
      </w:r>
    </w:p>
    <w:p w:rsidR="00505632" w:rsidRDefault="00505632" w:rsidP="00505632">
      <w:pPr>
        <w:pStyle w:val="Heading8"/>
        <w:jc w:val="left"/>
      </w:pPr>
      <w:r>
        <w:t>Opis aktivnosti</w:t>
      </w:r>
    </w:p>
    <w:p w:rsidR="00505632" w:rsidRDefault="00505632" w:rsidP="00505632">
      <w:r>
        <w:t xml:space="preserve">Ministarstvo je potpisalo Ugovor (broj 3/2016/DP-HŽPP) o uslugama od općeg gospodarskog  interesa u javnom željezničkom prijevozu u Republici Hrvatskoj, kojim su odobrena sredstva u svrhu plaćanja nastalih obveza temeljem sljedećih ugovora i vrste usluga u razdoblju I-XII 2016. godine, u iznosu od 447.740.000 kuna: </w:t>
      </w:r>
    </w:p>
    <w:p w:rsidR="00505632" w:rsidRDefault="00505632" w:rsidP="00505632">
      <w:r>
        <w:t xml:space="preserve">- za tekuće održavanje željezničkih vozila utrošena su sredstava u iznosu od 102.628.282,21 temeljem sljedećih ugovora:  </w:t>
      </w:r>
    </w:p>
    <w:p w:rsidR="00505632" w:rsidRDefault="00505632" w:rsidP="00505632">
      <w:pPr>
        <w:ind w:left="709"/>
      </w:pPr>
      <w:r>
        <w:t xml:space="preserve"> - Usluga održavanja putničkih vagona proveden je otvoreni postupak javne nabave. Sredstva su utrošena temeljem nastalih obveza sukladno važećem ugovoru br. 140/15-PP sa zajednicom ponuditelja Održavanje vagona d.o.o. i TŽV Gredelj d.o.o. u stečaju u iznosu 30.040.337,80 kuna </w:t>
      </w:r>
    </w:p>
    <w:p w:rsidR="00505632" w:rsidRDefault="00505632" w:rsidP="00505632">
      <w:pPr>
        <w:ind w:left="709"/>
      </w:pPr>
      <w:r>
        <w:t xml:space="preserve">     - Za uslugu održavanja vučnih vozila proveden je postupak ugovaranja sa  povezanim društvom TSŽV d.o.o. Sredstva su utrošena u svrhu nastalih obveza temeljem ugovora br. 84/15-PP i 58/16-PP u iznosu 55.744.118,71 kuna </w:t>
      </w:r>
    </w:p>
    <w:p w:rsidR="00505632" w:rsidRDefault="00505632" w:rsidP="00505632">
      <w:pPr>
        <w:ind w:left="709"/>
      </w:pPr>
      <w:r>
        <w:t xml:space="preserve">     - Za uslugu čišćenja željezničkih vozila proveden je postupak ugovaranja sa povezanim društvom TSŽV d.o.o.. Sredstva su utrošena u svrhu nastalih obveza temeljem ugovora br. 6/15-PP i 6/16-PP u iznosu 16.843.825,70 kuna </w:t>
      </w:r>
    </w:p>
    <w:p w:rsidR="00505632" w:rsidRDefault="00505632" w:rsidP="00505632">
      <w:r>
        <w:t xml:space="preserve">- za uslugu pristupu željezničkoj infrastrukturi proveden je postupak ugovaranja sa društvom HŽ Infrastruktura d.o.o.. Sredstva su utrošena temeljem nastalih obveza i temeljem važećih ugovora za usluge u ukupnom iznosu 104.798.803,50 za: </w:t>
      </w:r>
    </w:p>
    <w:p w:rsidR="00505632" w:rsidRDefault="00505632" w:rsidP="00505632">
      <w:pPr>
        <w:ind w:left="709"/>
      </w:pPr>
      <w:r>
        <w:t xml:space="preserve">- Formiranje i rasformiranja sastava vlakova, korištenje putničkih kolodvora i uslugu najma trase sukladno ugovorima 816, 814, 757, 759 u iznosu 83.619.564,16 kuna, </w:t>
      </w:r>
    </w:p>
    <w:p w:rsidR="00505632" w:rsidRDefault="00505632" w:rsidP="00505632">
      <w:pPr>
        <w:ind w:left="709"/>
      </w:pPr>
      <w:r>
        <w:t xml:space="preserve">- Isporuku električne energije za vuču vlakova sukladno ugovorima 815 i 758 u iznosu 21.179.239,34 kuna </w:t>
      </w:r>
    </w:p>
    <w:p w:rsidR="00505632" w:rsidRDefault="00505632" w:rsidP="00505632">
      <w:r>
        <w:t xml:space="preserve">- Za uslugu nabavke pogonskog goriva za disel vuču proveden je otvoreni postupak javne nabave te je sklopljen ugovor 116/15 Sredstva su utrošena u svrhu plaćanja nastalih obveza u iznosu 45.981.597,52 kuna. Shodno stanju elektrificiranosti željezničke mreže RH HŽ Putnički prijevoz osigurava vožnju vlakova i na neelektrificiranoj željezničkoj mreži pokrećući vlakove s disel vučnim vozilima. HŽ Putnički prijevoz samostalno osigurava potrebnu količinu energenata kao pogonske energije za disel vučna vozila.  </w:t>
      </w:r>
    </w:p>
    <w:p w:rsidR="00505632" w:rsidRDefault="00505632" w:rsidP="00505632">
      <w:r>
        <w:t xml:space="preserve">- Sredstva utrošena za trošak radne snage HŽ Putničkog prijevoza za plaće zaposlenika u iznosu 152.000.000,00 kuna, </w:t>
      </w:r>
    </w:p>
    <w:p w:rsidR="00505632" w:rsidRDefault="00505632" w:rsidP="00505632">
      <w:r>
        <w:t xml:space="preserve">- Sredstva u iznosu 42.331.316,74 kuna za amortizaciju prijevoznih kapaciteta. </w:t>
      </w:r>
    </w:p>
    <w:p w:rsidR="00505632" w:rsidRDefault="00505632" w:rsidP="00505632">
      <w:r>
        <w:t xml:space="preserve">Sukladno odredbama Ugovora vrši se isplata sredstava na temelju isporučenih naloga s računima dobavljača za izvršene usluge. Troškovi održavanja putničkih vagona i vučnih vozila se sastoje od troškova usluge održavanja vučnih vozila po prijeđenom kilometru, usluge održavanja vagona i usluge čišćenja putničkih vagona i vlakova. HŽ Putnički prijevoza d.o.o., kao vlasnik prijevoznih kapaciteta (vučnih vozila i putničkih vagona), dužan je iste održavati poštujući odredbe Pravilnika o željezničkim vozilima, kao i odredbe Upute za održavanja vučnih vozila i  Upute za održavanje putničkih vagona. Istim Pravilnicima i Uputama su propisani ciklusi obaveznih servisnih i kontrolnih pregleda kao i način otklanjanja neispravnosti kroz izvanredne popravke. </w:t>
      </w:r>
    </w:p>
    <w:p w:rsidR="00505632" w:rsidRDefault="00505632" w:rsidP="00505632">
      <w:r>
        <w:t>Aktivnost se provodila sukladno očekivanjima, odnosno osigurala se redovitost pružanja usluga željezničkog prijevoza u 98,5% te je Ministarstvo provodilo Kontrole na licu mjesta, kako bi se utvrdilo što je učinjeno s utrošenim proračunskim sredstvima. Nije bilo potrebno poduzimati korektivne mjere kako bi se otklonili uzroci nezadovoljavajuće provedbe aktivnosti. S obzirom na navedeno, cilj je ispunjen.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Realizacija voznog reda na subvencioniranim dionicama</w:t>
            </w:r>
          </w:p>
        </w:tc>
        <w:tc>
          <w:tcPr>
            <w:tcW w:w="2551" w:type="dxa"/>
          </w:tcPr>
          <w:p w:rsidR="00505632" w:rsidRDefault="00505632" w:rsidP="00AD4E52">
            <w:pPr>
              <w:pStyle w:val="CellColumn"/>
              <w:jc w:val="left"/>
            </w:pPr>
            <w:r>
              <w:rPr>
                <w:rFonts w:cs="Times New Roman"/>
              </w:rPr>
              <w:t>Osiguranje redovitosti pružanja usluga željezničkog prijevoza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HŽPP</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98,5</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T754034 POTPORA TRGOVAČKIM DRUŠTVIMA U JAVNOM SEKTORU U PRIPREMI PROJEKATA PLANIRANIH ZA SUFINANCIRANJE IZ EU FONDOVA</w:t>
      </w:r>
    </w:p>
    <w:tbl>
      <w:tblPr>
        <w:tblStyle w:val="StilTablice"/>
        <w:tblW w:w="10206" w:type="dxa"/>
        <w:jc w:val="center"/>
        <w:tblLook w:val="04A0" w:firstRow="1" w:lastRow="0" w:firstColumn="1" w:lastColumn="0" w:noHBand="0" w:noVBand="1"/>
      </w:tblPr>
      <w:tblGrid>
        <w:gridCol w:w="1804"/>
        <w:gridCol w:w="1987"/>
        <w:gridCol w:w="1993"/>
        <w:gridCol w:w="1993"/>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T754034-POTPORA TRGOVAČKIM DRUŠTVIMA U JAVNOM SEKTORU U PRIPREMI PROJEKATA PLANIRANIH ZA SUFINANCIRANJE IZ EU FONDOVA</w:t>
            </w:r>
          </w:p>
        </w:tc>
        <w:tc>
          <w:tcPr>
            <w:tcW w:w="2041" w:type="dxa"/>
          </w:tcPr>
          <w:p w:rsidR="00505632" w:rsidRDefault="00505632" w:rsidP="00AD4E52">
            <w:pPr>
              <w:pStyle w:val="CellColumn"/>
              <w:jc w:val="right"/>
            </w:pPr>
            <w:r>
              <w:rPr>
                <w:rFonts w:cs="Times New Roman"/>
              </w:rPr>
              <w:t>1.664.711</w:t>
            </w:r>
          </w:p>
        </w:tc>
        <w:tc>
          <w:tcPr>
            <w:tcW w:w="2041" w:type="dxa"/>
          </w:tcPr>
          <w:p w:rsidR="00505632" w:rsidRDefault="00505632" w:rsidP="00AD4E52">
            <w:pPr>
              <w:pStyle w:val="CellColumn"/>
              <w:jc w:val="right"/>
            </w:pPr>
            <w:r>
              <w:rPr>
                <w:rFonts w:cs="Times New Roman"/>
              </w:rPr>
              <w:t>21.708.451</w:t>
            </w:r>
          </w:p>
        </w:tc>
        <w:tc>
          <w:tcPr>
            <w:tcW w:w="2041" w:type="dxa"/>
          </w:tcPr>
          <w:p w:rsidR="00505632" w:rsidRDefault="00505632" w:rsidP="00AD4E52">
            <w:pPr>
              <w:pStyle w:val="CellColumn"/>
              <w:jc w:val="right"/>
            </w:pPr>
            <w:r>
              <w:rPr>
                <w:rFonts w:cs="Times New Roman"/>
              </w:rPr>
              <w:t>20.331.196</w:t>
            </w:r>
          </w:p>
        </w:tc>
        <w:tc>
          <w:tcPr>
            <w:tcW w:w="1224" w:type="dxa"/>
          </w:tcPr>
          <w:p w:rsidR="00505632" w:rsidRDefault="00505632" w:rsidP="00AD4E52">
            <w:pPr>
              <w:pStyle w:val="CellColumn"/>
              <w:jc w:val="right"/>
            </w:pPr>
            <w:r>
              <w:rPr>
                <w:rFonts w:cs="Times New Roman"/>
              </w:rPr>
              <w:t>93,7</w:t>
            </w:r>
          </w:p>
        </w:tc>
        <w:tc>
          <w:tcPr>
            <w:tcW w:w="1224" w:type="dxa"/>
          </w:tcPr>
          <w:p w:rsidR="00505632" w:rsidRDefault="00505632" w:rsidP="00AD4E52">
            <w:pPr>
              <w:pStyle w:val="CellColumn"/>
              <w:jc w:val="right"/>
            </w:pPr>
            <w:r>
              <w:rPr>
                <w:rFonts w:cs="Times New Roman"/>
              </w:rPr>
              <w:t>1221,3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željeznici (NN 94/13, 148/13)</w:t>
      </w:r>
    </w:p>
    <w:p w:rsidR="00505632" w:rsidRDefault="00505632" w:rsidP="00505632">
      <w:pPr>
        <w:pStyle w:val="Heading8"/>
        <w:jc w:val="left"/>
      </w:pPr>
      <w:r>
        <w:t>Opis aktivnosti</w:t>
      </w:r>
    </w:p>
    <w:p w:rsidR="00505632" w:rsidRDefault="00505632" w:rsidP="00505632">
      <w:r>
        <w:t xml:space="preserve">Sredstva su utrošena za financiranje pripreme investicijskih projekta u 2016. godini, planiranih za financiranje iz EU fondova. Doznačena sredstva su se utrošila po projektima kako slijedi: </w:t>
      </w:r>
    </w:p>
    <w:p w:rsidR="00505632" w:rsidRDefault="00505632" w:rsidP="00505632">
      <w:r>
        <w:t xml:space="preserve">- Projekt rekonstrukcija postojećeg i izgradnja drugog kolosijeka odnosno nove dvokolosiječne pruge na dijelovima željezničke pruge Dugo Selo-Novska – za rješavanje imovinsko-pravnih odnosa i ostalih troškova u iznosu od 8.378.092,79 kn. </w:t>
      </w:r>
    </w:p>
    <w:p w:rsidR="00505632" w:rsidRDefault="00505632" w:rsidP="00505632">
      <w:r>
        <w:t xml:space="preserve">- Projekt Izgradnja nove željezničke pruge na dionici Goljak-Skradnik, pruga Zagreb Gk-Rijeka – sporazum za izradu izmjena i dopuna prostornog plana u iznosu od 398.320,00 kn. </w:t>
      </w:r>
    </w:p>
    <w:p w:rsidR="00505632" w:rsidRDefault="00505632" w:rsidP="00505632">
      <w:r>
        <w:t xml:space="preserve">- Projekt izgradnja pruge Gradec-Sv.I.Žabno – za rješavanje imovinsko-pravnih odnosa, arheoloških radova, dokumentacije i ostalih troškova u iznosu od 1.965.707,57 kn. </w:t>
      </w:r>
    </w:p>
    <w:p w:rsidR="00505632" w:rsidRDefault="00505632" w:rsidP="00505632">
      <w:r>
        <w:t xml:space="preserve">- Projekt rehabilitacije dionice pruge Okučani-Novska – pristojbe, priključci na elektro mrežu, troškovi tehničkog pregleda, koordinator II, troškovi produžetka ugovora za nadzor u iznosu od 5.141.406,72 kn. </w:t>
      </w:r>
    </w:p>
    <w:p w:rsidR="00505632" w:rsidRDefault="00505632" w:rsidP="00505632">
      <w:r>
        <w:t xml:space="preserve">- Projekt pripreme projekta i ostale projektne dokumentacije rekonstrukcije i elektrifikacije željezničke pruge Vinkovci-Vukovar – za rješavanje imovinsko-pravnih odnosa i ostalih troškova u iznosu od 726.253,29 kn. </w:t>
      </w:r>
    </w:p>
    <w:p w:rsidR="00505632" w:rsidRDefault="00505632" w:rsidP="00505632">
      <w:r>
        <w:t xml:space="preserve">- Projekt modernizacije i elektrifikacije dionice Zaprešić-Zabok – za rješavanje imovinsko-pravnih odnosa i ostalih troškova u iznosu od 3.721.415,69 kn. </w:t>
      </w:r>
    </w:p>
    <w:p w:rsidR="00505632" w:rsidRDefault="00505632" w:rsidP="00505632">
      <w:r>
        <w:t xml:space="preserve">Posebno se ističe problematika rješavanja imovinsko-pravnih odnosa, na koju se odnosi najveći iznos planiranih sredstava, a koju karakterizira veliki broj čestica i velik broj preduvjeta uz osiguranja sredstava, sukladno Zakonu o izvlaštenju (NN74/14), a realizacija samih imovinsko-pravnih odnosa ne ovisi o HŽ Infrastrukturi. Administartivni postupak rješavanja je složen i dugotrajan proces, a  katastar i zemljišne knjige nisu usklađene. Osim navedenog, u postupku provedbe u katastru moguće su žalbe vlasnika častice što dodatno utječe na vrijeme realizacije. </w:t>
      </w:r>
    </w:p>
    <w:p w:rsidR="00505632" w:rsidRDefault="00505632" w:rsidP="00505632">
      <w:r>
        <w:t xml:space="preserve">Zakonom o gradnji, koji je stupio na snagu 01.01.2014.godine, preduvjet za podnošenje zahtjeva za izdavanje građevinskih dozvola, osim dovršenog glavnog projekta, je i dostavljanje dokaza pravnog interesa. </w:t>
      </w:r>
    </w:p>
    <w:p w:rsidR="00505632" w:rsidRDefault="00505632" w:rsidP="00505632">
      <w:r>
        <w:t xml:space="preserve">Kao preduvjet za brže rješavanje administrativnih prepreka u ovakvim projektima potrebno je prevladati dokaz pravnog interesa i investitorstva koji su, kao preduvjeti za izdavanje građevinske dozvole, implementirani trenutnim Zakonom o gradnji, a nisi bili predviđeni prethodnim Zakonom o prostornom uređenju i gradnji, koji je bio na snazi prilikom potpisivanja ugovora za pripremu projektne dokumentacije. </w:t>
      </w:r>
    </w:p>
    <w:p w:rsidR="00505632" w:rsidRDefault="00505632" w:rsidP="00505632">
      <w:r>
        <w:t>Sve gore navedeno, značajno je utjecalo i dalje utječe na planiranu dinamiku realizacije odobrenih financijskih stredstava te će se neminovno reflektirati i na buduće razdoblje. Nastavno na navedeno, cilj je ispunjen.</w:t>
      </w:r>
    </w:p>
    <w:p w:rsidR="00505632" w:rsidRDefault="00505632" w:rsidP="00505632">
      <w:pPr>
        <w:pStyle w:val="Heading4"/>
      </w:pPr>
      <w:r>
        <w:t>T761012 MODERNIZACIJA ŽELJEZNIČKIH VOZILA</w:t>
      </w:r>
    </w:p>
    <w:tbl>
      <w:tblPr>
        <w:tblStyle w:val="StilTablice"/>
        <w:tblW w:w="10206" w:type="dxa"/>
        <w:jc w:val="center"/>
        <w:tblLook w:val="04A0" w:firstRow="1" w:lastRow="0" w:firstColumn="1" w:lastColumn="0" w:noHBand="0" w:noVBand="1"/>
      </w:tblPr>
      <w:tblGrid>
        <w:gridCol w:w="1737"/>
        <w:gridCol w:w="2011"/>
        <w:gridCol w:w="2011"/>
        <w:gridCol w:w="2011"/>
        <w:gridCol w:w="1216"/>
        <w:gridCol w:w="1220"/>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T761012-MODERNIZACIJA ŽELJEZNIČKIH VOZILA</w:t>
            </w:r>
          </w:p>
        </w:tc>
        <w:tc>
          <w:tcPr>
            <w:tcW w:w="2041" w:type="dxa"/>
          </w:tcPr>
          <w:p w:rsidR="00505632" w:rsidRDefault="00505632" w:rsidP="00AD4E52">
            <w:pPr>
              <w:pStyle w:val="CellColumn"/>
              <w:jc w:val="right"/>
            </w:pPr>
            <w:r>
              <w:rPr>
                <w:rFonts w:cs="Times New Roman"/>
              </w:rPr>
              <w:t>39.000.000</w:t>
            </w:r>
          </w:p>
        </w:tc>
        <w:tc>
          <w:tcPr>
            <w:tcW w:w="2041" w:type="dxa"/>
          </w:tcPr>
          <w:p w:rsidR="00505632" w:rsidRDefault="00505632" w:rsidP="00AD4E52">
            <w:pPr>
              <w:pStyle w:val="CellColumn"/>
              <w:jc w:val="right"/>
            </w:pPr>
            <w:r>
              <w:rPr>
                <w:rFonts w:cs="Times New Roman"/>
              </w:rPr>
              <w:t>17.000.000</w:t>
            </w:r>
          </w:p>
        </w:tc>
        <w:tc>
          <w:tcPr>
            <w:tcW w:w="2041" w:type="dxa"/>
          </w:tcPr>
          <w:p w:rsidR="00505632" w:rsidRDefault="00505632" w:rsidP="00AD4E52">
            <w:pPr>
              <w:pStyle w:val="CellColumn"/>
              <w:jc w:val="right"/>
            </w:pPr>
            <w:r>
              <w:rPr>
                <w:rFonts w:cs="Times New Roman"/>
              </w:rPr>
              <w:t>17.000.000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43,6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željeznici (NN 94/13, 148/13), </w:t>
      </w:r>
    </w:p>
    <w:p w:rsidR="00505632" w:rsidRDefault="00505632" w:rsidP="00505632">
      <w:r>
        <w:t xml:space="preserve">- Zakon o sigurnosti i interoperabilnosti željezničkog sustava (NN 82/13), </w:t>
      </w:r>
    </w:p>
    <w:p w:rsidR="00505632" w:rsidRDefault="00505632" w:rsidP="00505632">
      <w:r>
        <w:t xml:space="preserve">- Zakon o regulaciji tržišta željezničkih usluga (NN 71/14), </w:t>
      </w:r>
    </w:p>
    <w:p w:rsidR="00505632" w:rsidRDefault="00505632" w:rsidP="00505632">
      <w:r>
        <w:t>- Pravilnik o željezničkim vozilima (NN121/15).</w:t>
      </w:r>
    </w:p>
    <w:p w:rsidR="00505632" w:rsidRDefault="00505632" w:rsidP="00505632">
      <w:pPr>
        <w:pStyle w:val="Heading8"/>
        <w:jc w:val="left"/>
      </w:pPr>
      <w:r>
        <w:t>Opis aktivnosti</w:t>
      </w:r>
    </w:p>
    <w:p w:rsidR="00505632" w:rsidRDefault="00505632" w:rsidP="00505632">
      <w:r>
        <w:t xml:space="preserve">Ministarstvo je potpisao Ugovor (broj 4/2016/PF-HŽPP) o financiranju modernizacije željezničkih vozila u razdoblju od 01.01.2016. do 31.12.2016. godine, kojim su odobrena proračunska sredstva u iznosu od 17.000.000 kuna. Ista su utrošena za obavljanje redovitih popravaka na željezničkim vozilima, zamjene vitalnih dijelova na putničkim vagonima i revitalizacije motornih vlakova serije 7 123, 7 121 i 6 111, što je imalo za cilj ostvarivanje potrebne raspoloživosti željezničkih vozila za normalno odvijanje javnog željezničkog prijevoza putnika sukladno voznom redu za 2015./2016. godinu, kako slijedi:  </w:t>
      </w:r>
    </w:p>
    <w:p w:rsidR="00505632" w:rsidRDefault="00505632" w:rsidP="00505632">
      <w:r>
        <w:t xml:space="preserve">• Usluge provedene otvorenim postupkom javne nabave za redovite popravke i modernizaciju vlakova serije 7121 DMV u ukupnom iznosu od 7.377.140,77 kuna. U izvršavanju usluge redovitih popravaka na željezničkim vučnim vozilima poštivali su se zakonski i podzakonski propisi, prije svega Pravilnik o željezničkim vozilima. Opisom usluga za redovite popravke definiran je obim radova prema prethodno navedenom Pravilniku i Uputama za održavanje željezničkih vučnih vozila. U skladu s tim na željezničkim vozilima obavlja se redoviti popravak na dijelovima i sklopovima kao npr. osovinskim sklopovima i okretnim postoljima, revizija kočne opreme, uređaja za grijanje putničkog prostora, popravak i bojanje vanjske oplate željezničkog vozila, presvlačenje i zamjena dotrajalih sjedala u putničkom prostoru, redoviti popravak disel motora, redoviti popravak osovinskih prijenosnika, redoviti popravak dijelova i uređaja u upravljačnici vučnog vozila. Sredstva su utrošena u svrhu plaćanja nastalih obveza temeljem Ugovora 132/15 i 63/16 koji su sklopljeni s TŽV Gredelj d.o.o. u stečaju:   </w:t>
      </w:r>
    </w:p>
    <w:p w:rsidR="00505632" w:rsidRDefault="00505632" w:rsidP="00505632">
      <w:pPr>
        <w:ind w:left="709"/>
      </w:pPr>
      <w:r>
        <w:t xml:space="preserve">- 132/15-PP za vlak serije DMV 7121 113/114 u iznosu 2.999.999,74 kuna </w:t>
      </w:r>
    </w:p>
    <w:p w:rsidR="00505632" w:rsidRDefault="00505632" w:rsidP="00505632">
      <w:pPr>
        <w:ind w:left="709"/>
      </w:pPr>
      <w:r>
        <w:t xml:space="preserve">- 132/15-PP za vlak serije DMV 7121 121/122 u iznosu 1.499.990,12 kuna </w:t>
      </w:r>
    </w:p>
    <w:p w:rsidR="00505632" w:rsidRDefault="00505632" w:rsidP="00505632">
      <w:pPr>
        <w:ind w:left="709"/>
      </w:pPr>
      <w:r>
        <w:t xml:space="preserve">- 63/16-PP za vlak serije DMV 7121 109/110 u iznosu 2.877.150,91 kuna </w:t>
      </w:r>
    </w:p>
    <w:p w:rsidR="00505632" w:rsidRDefault="00505632" w:rsidP="00505632">
      <w:r>
        <w:t xml:space="preserve">• Usluge provedene otvorenim postupkom javne nabave za redovite popravke i modernizaciju vlakova serije 6 111 u ukupnom iznosu 2.999.973,22 kuna. U izvršavanju usluge redovitih popravaka na željezničkim vučnim vozilima poštivali su se zakonski i podzakonski propisi prije svega Pravilnik o željezničkim vozilima. Opisom usluge za redoviti popravk definiran je obim radova prema prethodno navedenom Pravilniku i Uputama za održavanje željezničkih vučnih vozila. U skladu s tim na željezničkom vučnom vozilu obavlja se redoviti popravak na dijelovima i sklopovima kao npr. osovinskim sklopovima i okretnim postoljima, revizija kočne opreme, uređaja za grijanje putničkog prostora, popravak i bojanje vanjske oplate željezničkog vozila, presvlačenje i zamjena dotrajalih sjedala u putničkom prostoru, redoviti popravakkrovne opreme, redoviti popravak vučnih motora, redoviti popravak dijelova i uređaja u upravljačnici vučnog vozila. Sredstava su utrošena u svrhu plaćanja nastalih obveza temeljem Ugovora 55/15-PP sklopljenim s TŽV Gredelj d.o.o. u stečaju: </w:t>
      </w:r>
    </w:p>
    <w:p w:rsidR="00505632" w:rsidRDefault="00505632" w:rsidP="00505632">
      <w:pPr>
        <w:ind w:left="709"/>
      </w:pPr>
      <w:r>
        <w:t xml:space="preserve">- 55/15-PP za vlak serije EMV 6111 020 u iznosu 2.999.973,22 kuna </w:t>
      </w:r>
    </w:p>
    <w:p w:rsidR="00505632" w:rsidRDefault="00505632" w:rsidP="00505632">
      <w:r>
        <w:t xml:space="preserve">• Usluga provedene otvorenim postupkom javne nabave za održavanje putničkih vagona. Tijekom redovitog održavanja putničkih vagona dolazi do potrebe zamjene vitalnih dijelova na putničkim vagonima između ostalog to su: osovinski sklopovi, akumulatorske baterije, Sredstava su utrošene u svrhu plaćanja nastalih obveza za zamjenu vitalnih dijelova na putničkim vagonima sukladno Ugovoru br. 140/15-PP sklopljenim s zajednicom ponuditelja TŽV Gredelj d.o.o. u stečaju i Održavanje vagona d.o.o. u iznosu 2.679.866,26 kuna </w:t>
      </w:r>
    </w:p>
    <w:p w:rsidR="00505632" w:rsidRDefault="00505632" w:rsidP="00505632">
      <w:r>
        <w:t xml:space="preserve">• Usluga provedene otvorenim postupkom javne nabave za uslugu srednjeg popravka putničkih vagona. U izvršavanju usluge redovitog popravka na putničkim vagonima poštiva se podzakonski akt Pravilnik o željezničkim vozilima s pripadajučim Uputama za održavanje putničkih vagona. U skladu s prethodnim navodom redoviti popravak se obavlja prema opisu poslova, te se obavlja redoviti popravak na okretnim postoljima, osovinskim sklopovima, kočnoj opremi, uređajima za krijanje i klimatizaciju putničkog prostora, presvlačenje i zamjena sjedala u putničkom prostoru. Sredstva su utrošena u svrhu plaćanja nastalih obveza za srednji popravak putničkih vagona sukladno Ugovoru br. 32/14-PP sklopljenim s TŽV Gredelj d.o.o. u iznosu od 2.240.201,21 kuna, </w:t>
      </w:r>
    </w:p>
    <w:p w:rsidR="00505632" w:rsidRDefault="00505632" w:rsidP="00505632">
      <w:r>
        <w:t xml:space="preserve">• Usluga provedena postupkom ugovaranja s povezanim društvom HŽ PP-a za uslugu revitalizacije motornih vlakova serije 7123 (nagibni) temeljem ugovora 10/13-PP sa TSŽV-om d.o.o. u iznosu 1.702.818,54 kuna. Nastavno na Pravilnik o željezničkim vozilima i Uputi za održavanje vučnih vozila posebno za održavanja nagibnih vlakova  serije 7 123 u sklopu kontrolnog pregleda KP 5 obavljena je revitalizacija istih. Opisom radova za revitalizaciju obavljen je popravak i revizija kočne opreme, nagibne tehnike, disel motora, hidroprijenosnika i ostalih sklopova na vlaku. </w:t>
      </w:r>
    </w:p>
    <w:p w:rsidR="00505632" w:rsidRDefault="00505632" w:rsidP="00505632">
      <w:r>
        <w:t>Ministarstvo je provodilo kontrole na licu mjesta, kako bi se utvrdilo što je učinjeno s utrošenim proračunskim sredstvima te nije bilo potrebno poduzimati korektivne mjere kako bi se otklonili uzroci nezadovoljavajuće provedbe aktivnosti. Obzirom na navedeno, cilj je ispunjen.</w:t>
      </w:r>
    </w:p>
    <w:p w:rsidR="00505632" w:rsidRDefault="00505632" w:rsidP="00505632">
      <w:pPr>
        <w:pStyle w:val="Heading3"/>
      </w:pPr>
      <w:r>
        <w:rPr>
          <w:rFonts w:cs="Times New Roman"/>
        </w:rPr>
        <w:t>3115 RAZVOJ SUSTAVA PROMETA NA UNUTARNJIM VODNIM PUTOVIMA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3115-RAZVOJ SUSTAVA PROMETA NA UNUTARNJIM VODNIM PUTOVIMA</w:t>
            </w:r>
          </w:p>
        </w:tc>
        <w:tc>
          <w:tcPr>
            <w:tcW w:w="2041" w:type="dxa"/>
          </w:tcPr>
          <w:p w:rsidR="00505632" w:rsidRDefault="00505632" w:rsidP="00AD4E52">
            <w:pPr>
              <w:pStyle w:val="CellColumn"/>
              <w:jc w:val="right"/>
            </w:pPr>
            <w:r>
              <w:rPr>
                <w:rFonts w:cs="Times New Roman"/>
              </w:rPr>
              <w:t>15.656.855</w:t>
            </w:r>
          </w:p>
        </w:tc>
        <w:tc>
          <w:tcPr>
            <w:tcW w:w="2041" w:type="dxa"/>
          </w:tcPr>
          <w:p w:rsidR="00505632" w:rsidRDefault="00505632" w:rsidP="00AD4E52">
            <w:pPr>
              <w:pStyle w:val="CellColumn"/>
              <w:jc w:val="right"/>
            </w:pPr>
            <w:r>
              <w:rPr>
                <w:rFonts w:cs="Times New Roman"/>
              </w:rPr>
              <w:t>19.341.000</w:t>
            </w:r>
          </w:p>
        </w:tc>
        <w:tc>
          <w:tcPr>
            <w:tcW w:w="2041" w:type="dxa"/>
          </w:tcPr>
          <w:p w:rsidR="00505632" w:rsidRDefault="00505632" w:rsidP="00AD4E52">
            <w:pPr>
              <w:pStyle w:val="CellColumn"/>
              <w:jc w:val="right"/>
            </w:pPr>
            <w:r>
              <w:rPr>
                <w:rFonts w:cs="Times New Roman"/>
              </w:rPr>
              <w:t>15.441.628</w:t>
            </w:r>
          </w:p>
        </w:tc>
        <w:tc>
          <w:tcPr>
            <w:tcW w:w="1224" w:type="dxa"/>
          </w:tcPr>
          <w:p w:rsidR="00505632" w:rsidRDefault="00505632" w:rsidP="00AD4E52">
            <w:pPr>
              <w:pStyle w:val="CellColumn"/>
              <w:jc w:val="right"/>
            </w:pPr>
            <w:r>
              <w:rPr>
                <w:rFonts w:cs="Times New Roman"/>
              </w:rPr>
              <w:t>79,8</w:t>
            </w:r>
          </w:p>
        </w:tc>
        <w:tc>
          <w:tcPr>
            <w:tcW w:w="1224" w:type="dxa"/>
          </w:tcPr>
          <w:p w:rsidR="00505632" w:rsidRDefault="00505632" w:rsidP="00AD4E52">
            <w:pPr>
              <w:pStyle w:val="CellColumn"/>
              <w:jc w:val="right"/>
            </w:pPr>
            <w:r>
              <w:rPr>
                <w:rFonts w:cs="Times New Roman"/>
              </w:rPr>
              <w:t>98,6</w:t>
            </w:r>
          </w:p>
        </w:tc>
      </w:tr>
    </w:tbl>
    <w:p w:rsidR="00505632" w:rsidRDefault="00505632" w:rsidP="00505632">
      <w:pPr>
        <w:jc w:val="left"/>
      </w:pPr>
    </w:p>
    <w:p w:rsidR="00505632" w:rsidRDefault="00505632" w:rsidP="00505632">
      <w:r>
        <w:t xml:space="preserve">Program se bavi razvojem infrastrukture na lučkom području, osiguravanjem sigurne plovidbe, te unapređenjem i razvitkom prometa na unutarnjim vodama. Navedenim programom nastoje se iskoristiti svi postojeći potencijali u unutarnjoj plovidbi RepublikeHrvatske kako bi se na što efikasniji način ostvario cilj prometne politike Republike Hrvatske, a time i priključivanje trendu razvoja prometne i gospodarske politike Europske unije. </w:t>
      </w:r>
    </w:p>
    <w:p w:rsidR="00505632" w:rsidRDefault="00505632" w:rsidP="00505632">
      <w:r>
        <w:t xml:space="preserve">Kontinuirani razvoj sustava prometa na unutarnjim vodama i osiguravanje uvjeta za njegovo odvijanje uz povećanje razine sigurnosti, pouzdanosti i zaštite okoliša, permanentni je cilj i zadaća Ministarstva. Ostvarivanje optimalnih infrastrukturnih i ekoloških uvjeta vodnih putova i luka unutarnjih voda, osiguravanje visoke razine sigurne plovidbe, razvoj brodarstva, inteligentnih sustava i multimodalnih i logističkih čvorišta transportne mreže, bitni su preduvjeti za privlačenje tržišta i na taj način povećanje obima prijevoza u unutarnjoj plovidbi, te održivi razvoj prometa, gospodarstva i turizma. </w:t>
      </w:r>
    </w:p>
    <w:p w:rsidR="00505632" w:rsidRDefault="00505632" w:rsidP="00505632">
      <w:r>
        <w:t xml:space="preserve">Ostvarivanje spomenutog cilja potrebno je provoditi kroz ujednačen razvoj infrastrukture, tržišta, informacijsko-komunikacijskih sustava za podršku upravljanja prometom i prijevozom u unutarnjoj plovidbi, osiguravanje visoke razine sigurnosti i zaštite okoliša u prometu, razvoj brodarstva, modernizaciju flote i plovnih objekata, poticanje prometne povezanosti, poboljšanje uvjeta rada i poticaje stručnog kadra, te promicanje unutarnje plovidbe kao ekološki najprihvatljivijeg vida prometa. </w:t>
      </w:r>
    </w:p>
    <w:p w:rsidR="00505632" w:rsidRDefault="00505632" w:rsidP="00505632">
      <w:r>
        <w:t xml:space="preserve">Gradnja i održavanje lučkih građevina te poticanje redovnog obavljanja javne službe lučkih uprava su temelj kvalitativnog i tehnološkog razvoja, moderniziranja i ostvarenja bolje integracije hrvatskih luka unutarnje plovidbe s gospodarskim zaleđem te stvaranje preduvjeta za razvitak intermodalnog prometa. </w:t>
      </w:r>
    </w:p>
    <w:p w:rsidR="00505632" w:rsidRDefault="00505632" w:rsidP="00505632">
      <w:r>
        <w:t xml:space="preserve">Sigurnost plovidbe na unutarnjim vodama provedena je kroz osiguravanje uvjeta rada lučkih kapetanija koje su ustrojene kao posebne ustrojstvene jedinice i čija je primarna zadaća kontrola i nadzor prometa i provođenje propisa u dijelu sigurnosti plovidbe. </w:t>
      </w:r>
    </w:p>
    <w:p w:rsidR="00505632" w:rsidRDefault="00505632" w:rsidP="00505632">
      <w:r>
        <w:t xml:space="preserve">Pomoći jedinicama lokalne i regionalne samouprave za razvoj riječnog prometa, županijskih luka i pristaništa ostvarene su kroz sufinanciranje troškova održavanja plovila i redovnog održavanja skelskog i trajektnog prijevoza putnika i tereta. </w:t>
      </w:r>
    </w:p>
    <w:p w:rsidR="00505632" w:rsidRDefault="00505632" w:rsidP="00505632">
      <w:r>
        <w:t xml:space="preserve">Stipendirano je ukupno 26 učenika i 6 studenata, čime je potaknut interes koji predstavlja temelj za izgradnju kvalitetnog domaćeg kadra i budućih administrativnih kapaciteta, a time jačanje institucijalno i administrativno jačanje. </w:t>
      </w:r>
    </w:p>
    <w:p w:rsidR="00505632" w:rsidRDefault="00505632" w:rsidP="00505632">
      <w:r>
        <w:t xml:space="preserve">Provođenjem odredaba međunarodnog Ugovora sufinanciran je rad i osiguran smještaj Savske komisije čime je osigurano njeno sudjelovanje u radu međunarodnih institucija iz područja unutarnje plovidbe. </w:t>
      </w:r>
    </w:p>
    <w:p w:rsidR="00505632" w:rsidRDefault="00505632" w:rsidP="00505632">
      <w:r>
        <w:t xml:space="preserve">Uloga riječnog prometa je od ključne važnosti za razvoj nedovoljno razvijenih regija. To se posebice odnosi na područje oko rijeke Save gdje se gospodarstvo regije tradicionalno nije usmjeravalo na promet roba riječnim putem. Razvoj mreže vodnih putova na rijeci Savi u ovom bi se kontekstu mogao promatrati kao nacionalni prioritet, budući da će uz povećanje učinkovitosti prometnog sustava u Republici Hrvatskoj doprinijeti i razvoju gospodarstva u jednoj od najslabije razvijenih regija, odnosno regiji koja ima ogroman potencijal za razvitak. </w:t>
      </w:r>
    </w:p>
    <w:p w:rsidR="00505632" w:rsidRDefault="00505632" w:rsidP="00505632">
      <w:r>
        <w:t>Nadalje, posebna pozornost u razvoju ovoga vida prometa će biti usmjerena ka poboljšanjima vezanim uz TEN-T koridor VII, rijeku Dunav s pripadajućim pritokama (rijeke Save i Drave).</w:t>
      </w:r>
    </w:p>
    <w:p w:rsidR="00505632" w:rsidRDefault="00505632" w:rsidP="00505632">
      <w:pPr>
        <w:pStyle w:val="Heading8"/>
        <w:jc w:val="left"/>
      </w:pPr>
      <w:r>
        <w:t>Cilj 1. Povećanje prometa u lukama unutarnjih voda i na unutarnjim vodnim putovima</w:t>
      </w:r>
    </w:p>
    <w:p w:rsidR="00505632" w:rsidRDefault="00505632" w:rsidP="00505632">
      <w:pPr>
        <w:pStyle w:val="Heading8"/>
        <w:jc w:val="left"/>
      </w:pPr>
      <w:r>
        <w:t>Opis provedbe cilja programa</w:t>
      </w:r>
    </w:p>
    <w:p w:rsidR="00505632" w:rsidRDefault="00505632" w:rsidP="00505632">
      <w:r>
        <w:t xml:space="preserve">Provođenjem programa razvoja i sigurnosti unutarnje plovidbe, lučke infrastrukture i plovnih putova unutarnjih voda putem lučkih uprava unutarnjih voda, Agencije za vodne putove i Ministarstva mora, prometa i infrastrukture u osnovnoj mjeri stvoreni su preduvjeti i osigurani minimalni uvjeti za omogućavanje prijevoza na unutarnjim vodnim putovima. Ciljane vrijednosti prometa u lukama unutarnjih voda od državnog značaja nisu dostignute u mjeri u kojoj su planirane zbog smanjenja gospodarstvenih aktivnosti u kontinentalnim istočnim krajevima Republike Hrvatske, zbog negativnog trenda iskorištavanja prijevoza roba riječnim putem i nepovoljnijoj plovnosti posebice rijeke Drave. Na taj način djelomično je ostvarena planirana iskoristivost ovog pouzdanog, ekonomičnog, sigurnog i energetski najučinkovitijeg oblika prijevoza koji pridonosi očuvanju okoliša. </w:t>
      </w:r>
    </w:p>
    <w:p w:rsidR="00505632" w:rsidRDefault="00505632" w:rsidP="00505632">
      <w:r>
        <w:t>Za razliku od niže ostvarene vrijenosti prekrcanog tereta u lukama unutarnjih voda, u putničkom prometu je ostvaren pozitivan trend s kontinuiranim rastom, što je viljivo u ostvarenom prometu od oko 1,5 milijuna putnika na unutarnjim vodam Republike Hrvatske u 2016. godini.</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Količina prekrcajnog tereta u lukama unutarnjih voda</w:t>
            </w:r>
          </w:p>
        </w:tc>
        <w:tc>
          <w:tcPr>
            <w:tcW w:w="2551" w:type="dxa"/>
          </w:tcPr>
          <w:p w:rsidR="00505632" w:rsidRDefault="00505632" w:rsidP="00AD4E52">
            <w:pPr>
              <w:pStyle w:val="CellColumn"/>
              <w:jc w:val="left"/>
            </w:pPr>
            <w:r>
              <w:rPr>
                <w:rFonts w:cs="Times New Roman"/>
              </w:rPr>
              <w:t>Ukupna količina prekrcajnog tereta u lukama unutarnjih voda</w:t>
            </w:r>
          </w:p>
        </w:tc>
        <w:tc>
          <w:tcPr>
            <w:tcW w:w="1020" w:type="dxa"/>
          </w:tcPr>
          <w:p w:rsidR="00505632" w:rsidRDefault="00505632" w:rsidP="00AD4E52">
            <w:pPr>
              <w:pStyle w:val="CellColumn"/>
              <w:jc w:val="right"/>
            </w:pPr>
            <w:r>
              <w:rPr>
                <w:rFonts w:cs="Times New Roman"/>
              </w:rPr>
              <w:t>t</w:t>
            </w:r>
          </w:p>
        </w:tc>
        <w:tc>
          <w:tcPr>
            <w:tcW w:w="1020" w:type="dxa"/>
          </w:tcPr>
          <w:p w:rsidR="00505632" w:rsidRDefault="00505632" w:rsidP="00AD4E52">
            <w:pPr>
              <w:pStyle w:val="CellColumn"/>
              <w:jc w:val="right"/>
            </w:pPr>
            <w:r>
              <w:rPr>
                <w:rFonts w:cs="Times New Roman"/>
              </w:rPr>
              <w:t>781.232</w:t>
            </w:r>
          </w:p>
        </w:tc>
        <w:tc>
          <w:tcPr>
            <w:tcW w:w="1020" w:type="dxa"/>
          </w:tcPr>
          <w:p w:rsidR="00505632" w:rsidRDefault="00505632" w:rsidP="00AD4E52">
            <w:pPr>
              <w:pStyle w:val="CellColumn"/>
              <w:jc w:val="right"/>
            </w:pPr>
            <w:r>
              <w:rPr>
                <w:rFonts w:cs="Times New Roman"/>
              </w:rPr>
              <w:t>LU</w:t>
            </w:r>
          </w:p>
        </w:tc>
        <w:tc>
          <w:tcPr>
            <w:tcW w:w="1020" w:type="dxa"/>
          </w:tcPr>
          <w:p w:rsidR="00505632" w:rsidRDefault="00505632" w:rsidP="00AD4E52">
            <w:pPr>
              <w:pStyle w:val="CellColumn"/>
              <w:jc w:val="right"/>
            </w:pPr>
            <w:r>
              <w:rPr>
                <w:rFonts w:cs="Times New Roman"/>
              </w:rPr>
              <w:t>850.000</w:t>
            </w:r>
          </w:p>
        </w:tc>
        <w:tc>
          <w:tcPr>
            <w:tcW w:w="1020" w:type="dxa"/>
          </w:tcPr>
          <w:p w:rsidR="00505632" w:rsidRDefault="00505632" w:rsidP="00AD4E52">
            <w:pPr>
              <w:pStyle w:val="CellColumn"/>
              <w:jc w:val="right"/>
            </w:pPr>
            <w:r>
              <w:rPr>
                <w:rFonts w:cs="Times New Roman"/>
              </w:rPr>
              <w:t>763.773</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A570445 POMOĆ JEDINICAMA LOKALNE I REGIONALNE SAMOUPRAVE ZA RAZVOJ RIJEČNOG PROMETA I ŽUPANIJSKIH LUKA I PRISTANIŠTA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A570445-POMOĆ JEDINICAMA LOKALNE I REGIONALNE SAMOUPRAVE ZA RAZVOJ RIJEČNOG PROMETA I ŽUPANIJSKIH LUKA I PRISTANIŠTA</w:t>
            </w:r>
          </w:p>
        </w:tc>
        <w:tc>
          <w:tcPr>
            <w:tcW w:w="2041" w:type="dxa"/>
          </w:tcPr>
          <w:p w:rsidR="00505632" w:rsidRDefault="00505632" w:rsidP="00AD4E52">
            <w:pPr>
              <w:pStyle w:val="CellColumn"/>
              <w:jc w:val="right"/>
            </w:pPr>
            <w:r>
              <w:rPr>
                <w:rFonts w:cs="Times New Roman"/>
              </w:rPr>
              <w:t>521.000</w:t>
            </w:r>
          </w:p>
        </w:tc>
        <w:tc>
          <w:tcPr>
            <w:tcW w:w="2041" w:type="dxa"/>
          </w:tcPr>
          <w:p w:rsidR="00505632" w:rsidRDefault="00505632" w:rsidP="00AD4E52">
            <w:pPr>
              <w:pStyle w:val="CellColumn"/>
              <w:jc w:val="right"/>
            </w:pPr>
            <w:r>
              <w:rPr>
                <w:rFonts w:cs="Times New Roman"/>
              </w:rPr>
              <w:t>300.000</w:t>
            </w:r>
          </w:p>
        </w:tc>
        <w:tc>
          <w:tcPr>
            <w:tcW w:w="2041" w:type="dxa"/>
          </w:tcPr>
          <w:p w:rsidR="00505632" w:rsidRDefault="00505632" w:rsidP="00AD4E52">
            <w:pPr>
              <w:pStyle w:val="CellColumn"/>
              <w:jc w:val="right"/>
            </w:pPr>
            <w:r>
              <w:rPr>
                <w:rFonts w:cs="Times New Roman"/>
              </w:rPr>
              <w:t>300.000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57,6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plovidbi i lukama unutarnjih voda (NN 109/07,132/07, 51A/13 i 152/14),  </w:t>
      </w:r>
    </w:p>
    <w:p w:rsidR="00505632" w:rsidRDefault="00505632" w:rsidP="00505632">
      <w:r>
        <w:t xml:space="preserve">- Strategija razvitka riječnog prometa u Republici Hrvatskoj (2008. – 2018.) (NN 65/08), </w:t>
      </w:r>
    </w:p>
    <w:p w:rsidR="00505632" w:rsidRDefault="00505632" w:rsidP="00505632">
      <w:r>
        <w:t>- Pravilnik o plovidbi unutarnjim vodama (NN 138/15).</w:t>
      </w:r>
    </w:p>
    <w:p w:rsidR="00505632" w:rsidRDefault="00505632" w:rsidP="00505632">
      <w:pPr>
        <w:pStyle w:val="Heading8"/>
        <w:jc w:val="left"/>
      </w:pPr>
      <w:r>
        <w:t>Opis aktivnosti</w:t>
      </w:r>
    </w:p>
    <w:p w:rsidR="00505632" w:rsidRDefault="00505632" w:rsidP="00505632">
      <w:r>
        <w:t xml:space="preserve">Tijekom 2016. godine proveden je postupak objave javnog poziva za dodjelu pomoći jedinicama lokalne i regionalne samouprave za održavanje i ulaganje u plovila za poprečni prijevoz putnika i roba preko vodnih putova pa su, temeljem prispjelih zahtjeva, dodjeljene pomoći za sufinanciranje troškova tekućeg održavanje plovila i kontinuiranog odvijanja prijevoza putnika i roba u iznosu od 300.000 kuna, čime je omogućeno obavljanje prijevoza putnika i roba na mjestima gdje nema cestovne infrastrukture (mostova), s ciljem poticanja bolje prometne povezanosti. </w:t>
      </w:r>
    </w:p>
    <w:p w:rsidR="00505632" w:rsidRDefault="00505632" w:rsidP="00505632">
      <w:r>
        <w:t>Broj plovila u vlasništvu jedinica lokalne i regionalne samouprave osposobljenih za prijevoz putnika i roba (4 plovila) je u skladu s očekivanim i ciljanim vrijednostima naznačenim u Strateškom planu Ministarstva za razdoblje od 2016.-2018. godine, čime su rezultati poticanja prometne povezanosti ostvareni u potpunosti.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plovila u vlasništvu jedinica lokalne i regionalne samouprave osposobljenih za prijevoz putnika i roba godišnje</w:t>
            </w:r>
          </w:p>
        </w:tc>
        <w:tc>
          <w:tcPr>
            <w:tcW w:w="2551" w:type="dxa"/>
          </w:tcPr>
          <w:p w:rsidR="00505632" w:rsidRDefault="00505632" w:rsidP="00AD4E52">
            <w:pPr>
              <w:pStyle w:val="CellColumn"/>
              <w:jc w:val="left"/>
            </w:pPr>
            <w:r>
              <w:rPr>
                <w:rFonts w:cs="Times New Roman"/>
              </w:rPr>
              <w:t>Broj plovila za prijevoz putnika i roba u vlasništvu jedinica lokalne i regionalne samouprave osposobljenih kroz dodjelu pomoći na razini godine</w:t>
            </w:r>
          </w:p>
        </w:tc>
        <w:tc>
          <w:tcPr>
            <w:tcW w:w="1020" w:type="dxa"/>
          </w:tcPr>
          <w:p w:rsidR="00505632" w:rsidRDefault="00505632" w:rsidP="00AD4E52">
            <w:pPr>
              <w:pStyle w:val="CellColumn"/>
              <w:jc w:val="right"/>
            </w:pPr>
            <w:r>
              <w:rPr>
                <w:rFonts w:cs="Times New Roman"/>
              </w:rPr>
              <w:t>kom</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4</w:t>
            </w:r>
          </w:p>
        </w:tc>
      </w:tr>
    </w:tbl>
    <w:p w:rsidR="00505632" w:rsidRDefault="00505632" w:rsidP="00505632">
      <w:pPr>
        <w:jc w:val="left"/>
      </w:pPr>
    </w:p>
    <w:p w:rsidR="00505632" w:rsidRDefault="00505632" w:rsidP="00505632">
      <w:pPr>
        <w:pStyle w:val="Heading4"/>
      </w:pPr>
      <w:r>
        <w:t>A570447 GRADNJA I MODERNIZACIJA LUČKIH GRAĐEVINA U UNUTARNJOJ PLOVIDBI</w:t>
      </w:r>
    </w:p>
    <w:tbl>
      <w:tblPr>
        <w:tblStyle w:val="StilTablice"/>
        <w:tblW w:w="10206" w:type="dxa"/>
        <w:jc w:val="center"/>
        <w:tblLook w:val="04A0" w:firstRow="1" w:lastRow="0" w:firstColumn="1" w:lastColumn="0" w:noHBand="0" w:noVBand="1"/>
      </w:tblPr>
      <w:tblGrid>
        <w:gridCol w:w="1737"/>
        <w:gridCol w:w="2010"/>
        <w:gridCol w:w="2011"/>
        <w:gridCol w:w="2011"/>
        <w:gridCol w:w="1217"/>
        <w:gridCol w:w="1220"/>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A570447-GRADNJA I MODERNIZACIJA LUČKIH GRAĐEVINA U UNUTARNJOJ PLOVIDBI</w:t>
            </w:r>
          </w:p>
        </w:tc>
        <w:tc>
          <w:tcPr>
            <w:tcW w:w="2041" w:type="dxa"/>
          </w:tcPr>
          <w:p w:rsidR="00505632" w:rsidRDefault="00505632" w:rsidP="00AD4E52">
            <w:pPr>
              <w:pStyle w:val="CellColumn"/>
              <w:jc w:val="right"/>
            </w:pPr>
            <w:r>
              <w:rPr>
                <w:rFonts w:cs="Times New Roman"/>
              </w:rPr>
              <w:t>4.283.135</w:t>
            </w:r>
          </w:p>
        </w:tc>
        <w:tc>
          <w:tcPr>
            <w:tcW w:w="2041" w:type="dxa"/>
          </w:tcPr>
          <w:p w:rsidR="00505632" w:rsidRDefault="00505632" w:rsidP="00AD4E52">
            <w:pPr>
              <w:pStyle w:val="CellColumn"/>
              <w:jc w:val="right"/>
            </w:pPr>
            <w:r>
              <w:rPr>
                <w:rFonts w:cs="Times New Roman"/>
              </w:rPr>
              <w:t>4.000.000</w:t>
            </w:r>
          </w:p>
        </w:tc>
        <w:tc>
          <w:tcPr>
            <w:tcW w:w="2041" w:type="dxa"/>
          </w:tcPr>
          <w:p w:rsidR="00505632" w:rsidRDefault="00505632" w:rsidP="00AD4E52">
            <w:pPr>
              <w:pStyle w:val="CellColumn"/>
              <w:jc w:val="right"/>
            </w:pPr>
            <w:r>
              <w:rPr>
                <w:rFonts w:cs="Times New Roman"/>
              </w:rPr>
              <w:t>3.843.667</w:t>
            </w:r>
          </w:p>
        </w:tc>
        <w:tc>
          <w:tcPr>
            <w:tcW w:w="1224" w:type="dxa"/>
          </w:tcPr>
          <w:p w:rsidR="00505632" w:rsidRDefault="00505632" w:rsidP="00AD4E52">
            <w:pPr>
              <w:pStyle w:val="CellColumn"/>
              <w:jc w:val="right"/>
            </w:pPr>
            <w:r>
              <w:rPr>
                <w:rFonts w:cs="Times New Roman"/>
              </w:rPr>
              <w:t>96,1</w:t>
            </w:r>
          </w:p>
        </w:tc>
        <w:tc>
          <w:tcPr>
            <w:tcW w:w="1224" w:type="dxa"/>
          </w:tcPr>
          <w:p w:rsidR="00505632" w:rsidRDefault="00505632" w:rsidP="00AD4E52">
            <w:pPr>
              <w:pStyle w:val="CellColumn"/>
              <w:jc w:val="right"/>
            </w:pPr>
            <w:r>
              <w:rPr>
                <w:rFonts w:cs="Times New Roman"/>
              </w:rPr>
              <w:t>89,7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plovidbi i lukama unutarnjih voda (NN 109/07,132/07, 51A/13 i 152/14),  </w:t>
      </w:r>
    </w:p>
    <w:p w:rsidR="00505632" w:rsidRDefault="00505632" w:rsidP="00505632">
      <w:r>
        <w:t xml:space="preserve">- Strategija razvitka riječnog prometa u Republici Hrvatskoj (2008. – 2018.) (NN 65/08), </w:t>
      </w:r>
    </w:p>
    <w:p w:rsidR="00505632" w:rsidRDefault="00505632" w:rsidP="00505632">
      <w:r>
        <w:t xml:space="preserve">- Srednjoročni plan razvitka vodnih putova i luka unutarnjih voda Republike Hrvatske (za razdoblje 2009. – 2016. godine) usvojen Zaključkom Vlade RH 19.12.2008. godine, </w:t>
      </w:r>
    </w:p>
    <w:p w:rsidR="00505632" w:rsidRDefault="00505632" w:rsidP="00505632">
      <w:r>
        <w:t xml:space="preserve">- AGN - European Agreement on Main Inland Waterways of International Importance ECE/TRANS/120/Rev.4 (1996.), </w:t>
      </w:r>
    </w:p>
    <w:p w:rsidR="00505632" w:rsidRDefault="00505632" w:rsidP="00505632">
      <w:r>
        <w:t>- AGTC -Protocol on Combined Transport on Inland Waterways to the European agreement on Important International Combined Transport Lines and Related Installations (1997.).</w:t>
      </w:r>
    </w:p>
    <w:p w:rsidR="00505632" w:rsidRDefault="00505632" w:rsidP="00505632">
      <w:pPr>
        <w:pStyle w:val="Heading8"/>
        <w:jc w:val="left"/>
      </w:pPr>
      <w:r>
        <w:t>Opis aktivnosti</w:t>
      </w:r>
    </w:p>
    <w:p w:rsidR="00505632" w:rsidRDefault="00505632" w:rsidP="00505632">
      <w:r>
        <w:t xml:space="preserve">U okviru ove aktivnosti, u 2016. godini, prijenosom financijskih sredstava lučkim upravama unutarnjih voda, namjenski su financirani kapitalni projekti na lučkim područjima unutarnjih voda (Vukovar, Osijek, Slavonski Brod i Sisak) i to kako slijedi: </w:t>
      </w:r>
    </w:p>
    <w:p w:rsidR="00505632" w:rsidRDefault="00505632" w:rsidP="00505632">
      <w:r>
        <w:t xml:space="preserve">- Lučka uprava Vukovar: izrađene su studije opravdanosti davanja koncesija za terminal za opskrbu plovila i terminal za tekuće terete, izrađena je projektna dokumentacija uređenja vezova na području pristaništa u Batini, pristaništa u Vučedolu, te studija opravdanosti komunalnih pristaništa „Lučica“ i „Marina“ </w:t>
      </w:r>
    </w:p>
    <w:p w:rsidR="00505632" w:rsidRDefault="00505632" w:rsidP="00505632">
      <w:r>
        <w:t xml:space="preserve">- Lučka uprava Osijek: izrađena je projektna dokumentacija za apliciranje projekta Terminal za rasute terete za sufinanciranje putem EU fonda, te je izgrađen pretovarni koš u luci Osijek </w:t>
      </w:r>
    </w:p>
    <w:p w:rsidR="00505632" w:rsidRDefault="00505632" w:rsidP="00505632">
      <w:r>
        <w:t xml:space="preserve">- Lučka uprava Slavonski Brod: obavljen je dio arheoloških radova lučkog područja kojim upravlja Lučka uprava Slavonski Brod, kao pripremnih radova za nastavak izgradnje lučke infrastrukture. </w:t>
      </w:r>
    </w:p>
    <w:p w:rsidR="00505632" w:rsidRDefault="00505632" w:rsidP="00505632">
      <w:r>
        <w:t>- Lučka uprava Sisak: nastavljeni su radovi na preuređenju broda Biokovo koji će služiti kao pristan u putničkom pristaništu) te je izrađena dorada projektne dokumentacije za komunalno pristanište u Sisku.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Stupanj izgrađenosti lučke infrastrukture</w:t>
            </w:r>
          </w:p>
        </w:tc>
        <w:tc>
          <w:tcPr>
            <w:tcW w:w="2551" w:type="dxa"/>
          </w:tcPr>
          <w:p w:rsidR="00505632" w:rsidRDefault="00505632" w:rsidP="00AD4E52">
            <w:pPr>
              <w:pStyle w:val="CellColumn"/>
              <w:jc w:val="left"/>
            </w:pPr>
            <w:r>
              <w:rPr>
                <w:rFonts w:cs="Times New Roman"/>
              </w:rPr>
              <w:t>Stupanj izgrađenosti planirane lučke infrastrukture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LU</w:t>
            </w:r>
          </w:p>
        </w:tc>
        <w:tc>
          <w:tcPr>
            <w:tcW w:w="1020" w:type="dxa"/>
          </w:tcPr>
          <w:p w:rsidR="00505632" w:rsidRDefault="00505632" w:rsidP="00AD4E52">
            <w:pPr>
              <w:pStyle w:val="CellColumn"/>
              <w:jc w:val="right"/>
            </w:pPr>
            <w:r>
              <w:rPr>
                <w:rFonts w:cs="Times New Roman"/>
              </w:rPr>
              <w:t>35</w:t>
            </w:r>
          </w:p>
        </w:tc>
        <w:tc>
          <w:tcPr>
            <w:tcW w:w="1020" w:type="dxa"/>
          </w:tcPr>
          <w:p w:rsidR="00505632" w:rsidRDefault="00505632" w:rsidP="00AD4E52">
            <w:pPr>
              <w:pStyle w:val="CellColumn"/>
              <w:jc w:val="right"/>
            </w:pPr>
            <w:r>
              <w:rPr>
                <w:rFonts w:cs="Times New Roman"/>
              </w:rPr>
              <w:t>35</w:t>
            </w:r>
          </w:p>
        </w:tc>
      </w:tr>
    </w:tbl>
    <w:p w:rsidR="00505632" w:rsidRDefault="00505632" w:rsidP="00505632">
      <w:pPr>
        <w:jc w:val="left"/>
      </w:pPr>
    </w:p>
    <w:p w:rsidR="00505632" w:rsidRDefault="00505632" w:rsidP="00505632">
      <w:pPr>
        <w:pStyle w:val="Heading4"/>
      </w:pPr>
      <w:r>
        <w:t>A754031 POTICANJE REDOVNOG OBAVLJANJA JAVNE SLUŽBE LUČKIH UPRAVA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A754031-POTICANJE REDOVNOG OBAVLJANJA JAVNE SLUŽBE LUČKIH UPRAVA</w:t>
            </w:r>
          </w:p>
        </w:tc>
        <w:tc>
          <w:tcPr>
            <w:tcW w:w="2041" w:type="dxa"/>
          </w:tcPr>
          <w:p w:rsidR="00505632" w:rsidRDefault="00505632" w:rsidP="00AD4E52">
            <w:pPr>
              <w:pStyle w:val="CellColumn"/>
              <w:jc w:val="right"/>
            </w:pPr>
            <w:r>
              <w:rPr>
                <w:rFonts w:cs="Times New Roman"/>
              </w:rPr>
              <w:t>8.554.662</w:t>
            </w:r>
          </w:p>
        </w:tc>
        <w:tc>
          <w:tcPr>
            <w:tcW w:w="2041" w:type="dxa"/>
          </w:tcPr>
          <w:p w:rsidR="00505632" w:rsidRDefault="00505632" w:rsidP="00AD4E52">
            <w:pPr>
              <w:pStyle w:val="CellColumn"/>
              <w:jc w:val="right"/>
            </w:pPr>
            <w:r>
              <w:rPr>
                <w:rFonts w:cs="Times New Roman"/>
              </w:rPr>
              <w:t>9.450.000</w:t>
            </w:r>
          </w:p>
        </w:tc>
        <w:tc>
          <w:tcPr>
            <w:tcW w:w="2041" w:type="dxa"/>
          </w:tcPr>
          <w:p w:rsidR="00505632" w:rsidRDefault="00505632" w:rsidP="00AD4E52">
            <w:pPr>
              <w:pStyle w:val="CellColumn"/>
              <w:jc w:val="right"/>
            </w:pPr>
            <w:r>
              <w:rPr>
                <w:rFonts w:cs="Times New Roman"/>
              </w:rPr>
              <w:t>8.417.998</w:t>
            </w:r>
          </w:p>
        </w:tc>
        <w:tc>
          <w:tcPr>
            <w:tcW w:w="1224" w:type="dxa"/>
          </w:tcPr>
          <w:p w:rsidR="00505632" w:rsidRDefault="00505632" w:rsidP="00AD4E52">
            <w:pPr>
              <w:pStyle w:val="CellColumn"/>
              <w:jc w:val="right"/>
            </w:pPr>
            <w:r>
              <w:rPr>
                <w:rFonts w:cs="Times New Roman"/>
              </w:rPr>
              <w:t>89,1</w:t>
            </w:r>
          </w:p>
        </w:tc>
        <w:tc>
          <w:tcPr>
            <w:tcW w:w="1224" w:type="dxa"/>
          </w:tcPr>
          <w:p w:rsidR="00505632" w:rsidRDefault="00505632" w:rsidP="00AD4E52">
            <w:pPr>
              <w:pStyle w:val="CellColumn"/>
              <w:jc w:val="right"/>
            </w:pPr>
            <w:r>
              <w:rPr>
                <w:rFonts w:cs="Times New Roman"/>
              </w:rPr>
              <w:t>98,4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plovidbi i lukama unutarnjih voda (NN 109/07,132/07, 51A/13 i 152/14),  </w:t>
      </w:r>
    </w:p>
    <w:p w:rsidR="00505632" w:rsidRDefault="00505632" w:rsidP="00505632">
      <w:r>
        <w:t xml:space="preserve">- Strategija razvitka riječnog prometa u Republici Hrvatskoj (2008. – 2018.) (NN 65/08), </w:t>
      </w:r>
    </w:p>
    <w:p w:rsidR="00505632" w:rsidRDefault="00505632" w:rsidP="00505632">
      <w:r>
        <w:t xml:space="preserve">- Srednjoročni plan razvitka vodnih putova i luka unutarnjih voda Republike Hrvatske (za razdoblje 2009. – 2016. godine) usvojen Zaključkom Vlade RH 19.12.2008. godine, </w:t>
      </w:r>
    </w:p>
    <w:p w:rsidR="00505632" w:rsidRDefault="00505632" w:rsidP="00505632">
      <w:r>
        <w:t xml:space="preserve">- AGN - European Agreement on Main Inland Waterways of International Importance ECE/TRANS/120/Rev.4 (1996.), </w:t>
      </w:r>
    </w:p>
    <w:p w:rsidR="00505632" w:rsidRDefault="00505632" w:rsidP="00505632">
      <w:r>
        <w:t>- AGTC -Protocol on Combined Transport on Inland Waterways to the European agreement on Important International Combined Transport Lines and Related Installations (1997.).</w:t>
      </w:r>
    </w:p>
    <w:p w:rsidR="00505632" w:rsidRDefault="00505632" w:rsidP="00505632">
      <w:pPr>
        <w:pStyle w:val="Heading8"/>
        <w:jc w:val="left"/>
      </w:pPr>
      <w:r>
        <w:t>Opis aktivnosti</w:t>
      </w:r>
    </w:p>
    <w:p w:rsidR="00505632" w:rsidRDefault="00505632" w:rsidP="00505632">
      <w:r>
        <w:t xml:space="preserve">Financijskim sredstva s navedene aktivnosti, prijenosom sredstava lučkim upravama unutarnjih voda u 2016. godini, realizirane su sljedeće aktivnosti: </w:t>
      </w:r>
    </w:p>
    <w:p w:rsidR="00505632" w:rsidRDefault="00505632" w:rsidP="00505632">
      <w:r>
        <w:t xml:space="preserve">- Lučka uprava Vukovar: izvršeni su radovi na sanaciji i redovnom održavanju infrastrukture u lučkom području (sanacija operativne obaloutvrde, željezničkih kolosjeka i manipulativnih površina u lučkom području i nastavak radova na sanaciji prilaznih cestana lučkom području u Vukovaru) </w:t>
      </w:r>
    </w:p>
    <w:p w:rsidR="00505632" w:rsidRDefault="00505632" w:rsidP="00505632">
      <w:r>
        <w:t xml:space="preserve">- Lučka uprava Osijek: redovito tehničko održavanje infrastrukture u lučkom području (sanacija okomite obaloutvrde, sanacijski radovi na željezničkom kolosjeku prema nalogu HŽ infrstrukture, te redovito održavanje putničkog pristaništa) i obavljanje javne službe LU Osijek (dio tekućih troškova)  </w:t>
      </w:r>
    </w:p>
    <w:p w:rsidR="00505632" w:rsidRDefault="00505632" w:rsidP="00505632">
      <w:r>
        <w:t xml:space="preserve">- Lučka uprava Slavonski Brod: redovno održavanje lučkog područja (košnja i čišćenje odvodnih kanala) te financiranje kamata za kreditno zaduženje LU Slavonski Brod </w:t>
      </w:r>
    </w:p>
    <w:p w:rsidR="00505632" w:rsidRDefault="00505632" w:rsidP="00505632">
      <w:r>
        <w:t xml:space="preserve">- Lučka uprava Sisak: redovito održavanje infrastrukture u bazenu Galdovo i Crnac i obavljanje javne službe LU Sisak (dio tekućih troškova). </w:t>
      </w:r>
    </w:p>
    <w:p w:rsidR="00505632" w:rsidRDefault="00505632" w:rsidP="00505632">
      <w:r>
        <w:t>Odstupanje izvršenih sredstava u odnosu na planirana, dogodilo se zbog visokog vodostaja rijeke Dunav, zbog čega nije bilo moguće realizirati planirani obim radova na sanaciji operativne obaloutvrde.</w:t>
      </w:r>
    </w:p>
    <w:p w:rsidR="00505632" w:rsidRDefault="00505632" w:rsidP="00505632"/>
    <w:p w:rsidR="00505632" w:rsidRDefault="00505632" w:rsidP="00505632"/>
    <w:p w:rsidR="00505632" w:rsidRDefault="00505632" w:rsidP="00505632"/>
    <w:p w:rsidR="00505632" w:rsidRDefault="00505632" w:rsidP="00505632">
      <w:pPr>
        <w:pStyle w:val="Heading4"/>
      </w:pPr>
      <w:r>
        <w:t>A754036 PRIPREMA PROJEKATA I PLANSKIH DOKUMENATA U UNUTARNJOJ PLOVIDBI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A754036-PRIPREMA PROJEKATA I PLANSKIH DOKUMENATA U UNUTARNJOJ PLOVIDBI</w:t>
            </w:r>
          </w:p>
        </w:tc>
        <w:tc>
          <w:tcPr>
            <w:tcW w:w="2041" w:type="dxa"/>
          </w:tcPr>
          <w:p w:rsidR="00505632" w:rsidRDefault="00505632" w:rsidP="00AD4E52">
            <w:pPr>
              <w:pStyle w:val="CellColumn"/>
              <w:jc w:val="right"/>
            </w:pPr>
            <w:r>
              <w:rPr>
                <w:rFonts w:cs="Times New Roman"/>
              </w:rPr>
              <w:t>152.688</w:t>
            </w:r>
          </w:p>
        </w:tc>
        <w:tc>
          <w:tcPr>
            <w:tcW w:w="2041" w:type="dxa"/>
          </w:tcPr>
          <w:p w:rsidR="00505632" w:rsidRDefault="00505632" w:rsidP="00AD4E52">
            <w:pPr>
              <w:pStyle w:val="CellColumn"/>
              <w:jc w:val="right"/>
            </w:pPr>
            <w:r>
              <w:rPr>
                <w:rFonts w:cs="Times New Roman"/>
              </w:rPr>
              <w:t>30.000</w:t>
            </w:r>
          </w:p>
        </w:tc>
        <w:tc>
          <w:tcPr>
            <w:tcW w:w="2041" w:type="dxa"/>
          </w:tcPr>
          <w:p w:rsidR="00505632" w:rsidRDefault="00505632" w:rsidP="00AD4E52">
            <w:pPr>
              <w:pStyle w:val="CellColumn"/>
              <w:jc w:val="right"/>
            </w:pPr>
            <w:r>
              <w:rPr>
                <w:rFonts w:cs="Times New Roman"/>
              </w:rPr>
              <w:t>8.972</w:t>
            </w:r>
          </w:p>
        </w:tc>
        <w:tc>
          <w:tcPr>
            <w:tcW w:w="1224" w:type="dxa"/>
          </w:tcPr>
          <w:p w:rsidR="00505632" w:rsidRDefault="00505632" w:rsidP="00AD4E52">
            <w:pPr>
              <w:pStyle w:val="CellColumn"/>
              <w:jc w:val="right"/>
            </w:pPr>
            <w:r>
              <w:rPr>
                <w:rFonts w:cs="Times New Roman"/>
              </w:rPr>
              <w:t>29,9</w:t>
            </w:r>
          </w:p>
        </w:tc>
        <w:tc>
          <w:tcPr>
            <w:tcW w:w="1224" w:type="dxa"/>
          </w:tcPr>
          <w:p w:rsidR="00505632" w:rsidRDefault="00505632" w:rsidP="00AD4E52">
            <w:pPr>
              <w:pStyle w:val="CellColumn"/>
              <w:jc w:val="right"/>
            </w:pPr>
            <w:r>
              <w:rPr>
                <w:rFonts w:cs="Times New Roman"/>
              </w:rPr>
              <w:t>5,9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plovidbi i lukama unutarnjih voda (NN 109/07,132/07, 51A/13 i 152/14),  </w:t>
      </w:r>
    </w:p>
    <w:p w:rsidR="00505632" w:rsidRDefault="00505632" w:rsidP="00505632">
      <w:r>
        <w:t xml:space="preserve">- Strategija razvitka riječnog prometa u Republici Hrvatskoj (2008. – 2018.) (NN 65/08), </w:t>
      </w:r>
    </w:p>
    <w:p w:rsidR="00505632" w:rsidRDefault="00505632" w:rsidP="00505632">
      <w:r>
        <w:t xml:space="preserve">- Srednjoročni plan razvitka vodnih putova i luka unutarnjih voda Republike Hrvatske (za razdoblje 2009. – 2016. godine) usvojen Zaključkom Vlade RH 19.12.2008. godine, </w:t>
      </w:r>
    </w:p>
    <w:p w:rsidR="00505632" w:rsidRDefault="00505632" w:rsidP="00505632">
      <w:r>
        <w:t xml:space="preserve">- Strategija prometnog razvoja Republike Hrvatske za razdoblje od 2014. do 2030. Godine (NN 131/14), </w:t>
      </w:r>
    </w:p>
    <w:p w:rsidR="00505632" w:rsidRDefault="00505632" w:rsidP="00505632">
      <w:r>
        <w:t>- Operativni program Konkurentnost i kohezija 2014. - 2020.</w:t>
      </w:r>
    </w:p>
    <w:p w:rsidR="00505632" w:rsidRDefault="00505632" w:rsidP="00505632">
      <w:pPr>
        <w:pStyle w:val="Heading8"/>
        <w:jc w:val="left"/>
      </w:pPr>
      <w:r>
        <w:t>Opis aktivnosti</w:t>
      </w:r>
    </w:p>
    <w:p w:rsidR="00505632" w:rsidRDefault="00505632" w:rsidP="00505632">
      <w:r>
        <w:t xml:space="preserve">Sredstva s ove aktivnosti utrošena su kroz ugovor o djelu, prilikom čega je istim realizirano sudjelovanje u pripremnim aktivnostima za izradu Srednjoročnog plana za razvitak unutarnje plovidbe za novo razdoblje, suradnja i potpora aktivnostima na implementaciji projekta, te pružanje administrativne i tehničke pomoći ostalim djelatnicima koji rade na projektu.  </w:t>
      </w:r>
    </w:p>
    <w:p w:rsidR="00505632" w:rsidRDefault="00505632" w:rsidP="00505632">
      <w:r>
        <w:t>Nizak indeks izvršenja u odnosu na planiran, rezultat je niza otegotnih okolnosti tijekom pokretanja postupka radi izmjene planskih dokumenata za razvoj unutarnje plovidbe.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pripremljenih projekata, planskih/strateških dokumenata - godišnje</w:t>
            </w:r>
          </w:p>
        </w:tc>
        <w:tc>
          <w:tcPr>
            <w:tcW w:w="2551" w:type="dxa"/>
          </w:tcPr>
          <w:p w:rsidR="00505632" w:rsidRDefault="00505632" w:rsidP="00AD4E52">
            <w:pPr>
              <w:pStyle w:val="CellColumn"/>
              <w:jc w:val="left"/>
            </w:pPr>
            <w:r>
              <w:rPr>
                <w:rFonts w:cs="Times New Roman"/>
              </w:rPr>
              <w:t>Broj pripremljenih projekata, planskih/strateških dokumenata na razini godine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A810015 POTPORA BRODARIMA UNUTARNJE PLOVIDBE U NACIONALNOM PRIJEVOZU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A810015-POTPORA BRODARIMA UNUTARNJE PLOVIDBE U NACIONALNOM PRIJEVOZU</w:t>
            </w:r>
          </w:p>
        </w:tc>
        <w:tc>
          <w:tcPr>
            <w:tcW w:w="2041" w:type="dxa"/>
          </w:tcPr>
          <w:p w:rsidR="00505632" w:rsidRDefault="00505632" w:rsidP="00AD4E52">
            <w:pPr>
              <w:pStyle w:val="CellColumn"/>
              <w:jc w:val="right"/>
            </w:pPr>
            <w:r>
              <w:rPr>
                <w:rFonts w:cs="Times New Roman"/>
              </w:rPr>
              <w:t>94.223</w:t>
            </w:r>
          </w:p>
        </w:tc>
        <w:tc>
          <w:tcPr>
            <w:tcW w:w="2041" w:type="dxa"/>
          </w:tcPr>
          <w:p w:rsidR="00505632" w:rsidRDefault="00505632" w:rsidP="00AD4E52">
            <w:pPr>
              <w:pStyle w:val="CellColumn"/>
              <w:jc w:val="right"/>
            </w:pPr>
            <w:r>
              <w:rPr>
                <w:rFonts w:cs="Times New Roman"/>
              </w:rPr>
              <w:t>130.000</w:t>
            </w:r>
          </w:p>
        </w:tc>
        <w:tc>
          <w:tcPr>
            <w:tcW w:w="2041" w:type="dxa"/>
          </w:tcPr>
          <w:p w:rsidR="00505632" w:rsidRDefault="00505632" w:rsidP="00AD4E52">
            <w:pPr>
              <w:pStyle w:val="CellColumn"/>
              <w:jc w:val="right"/>
            </w:pPr>
            <w:r>
              <w:rPr>
                <w:rFonts w:cs="Times New Roman"/>
              </w:rPr>
              <w:t>129.992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138,0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plovidbi i lukama unutarnjih voda (NN 109/07,132/07, 51A/13 i 152/14),  </w:t>
      </w:r>
    </w:p>
    <w:p w:rsidR="00505632" w:rsidRDefault="00505632" w:rsidP="00505632">
      <w:r>
        <w:t xml:space="preserve">- Strategija razvitka riječnog prometa u Republici Hrvatskoj (2008. – 2018.) (NN 65/08), </w:t>
      </w:r>
    </w:p>
    <w:p w:rsidR="00505632" w:rsidRDefault="00505632" w:rsidP="00505632">
      <w:r>
        <w:t xml:space="preserve">- Zakon o državnim potporama (NN 47/14), </w:t>
      </w:r>
    </w:p>
    <w:p w:rsidR="00505632" w:rsidRDefault="00505632" w:rsidP="00505632">
      <w:r>
        <w:t xml:space="preserve">- Odluka Vlade RH o donošenju smjernica politike državnih potpora za razdoblje 2015. -2017. Od 12. Prosinca 2014. Godine, </w:t>
      </w:r>
    </w:p>
    <w:p w:rsidR="00505632" w:rsidRDefault="00505632" w:rsidP="00505632">
      <w:r>
        <w:t xml:space="preserve">- Uredbi komisije (EU) broj 1407/2013. Od 18.12.2013. o primjeni članka 107. i 108. Ugovora o funkcioniranju EU o de minimis potporama, </w:t>
      </w:r>
    </w:p>
    <w:p w:rsidR="00505632" w:rsidRDefault="00505632" w:rsidP="00505632">
      <w:r>
        <w:t>- Odluka o objavljivanju pravila o potporama male vrijednosti (NN 47/07).</w:t>
      </w:r>
    </w:p>
    <w:p w:rsidR="00505632" w:rsidRDefault="00505632" w:rsidP="00505632">
      <w:pPr>
        <w:pStyle w:val="Heading8"/>
        <w:jc w:val="left"/>
      </w:pPr>
      <w:r>
        <w:t>Opis aktivnosti</w:t>
      </w:r>
    </w:p>
    <w:p w:rsidR="00505632" w:rsidRDefault="00505632" w:rsidP="00505632">
      <w:r>
        <w:t xml:space="preserve">Tijekom 2016. godine je proveden postupak javnog nadmetanja za dodjelu potpore male vrijednosti za modernizaciju flote plovila na unutarnjim vodama, zbog jačanja konkurentnosti i povećanja sigurnosti unutarnje plovidbe.  </w:t>
      </w:r>
    </w:p>
    <w:p w:rsidR="00505632" w:rsidRDefault="00505632" w:rsidP="00505632">
      <w:r>
        <w:t>Radi usklađivanja tehničkih zahtjeva na plovilima, u skladu s propisima Europske unije, a sukladno Tehničkoj direktivi 2006/87/EC, dodijeljeno je ukupno 5 potpora brodarima za sufinanciranje troškova modernizacije 14 plovila kroz nabavku navigacijske opreme ili dijela navigacijske opreme, čime je postignut veći rezultat od postavljenog cilja u Strateškom planu Ministarstva za razdoblje od 2016.-2018.</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realiziranih zahtjeva za sufinanciranje troškova brodara godišnje</w:t>
            </w:r>
          </w:p>
        </w:tc>
        <w:tc>
          <w:tcPr>
            <w:tcW w:w="2551" w:type="dxa"/>
          </w:tcPr>
          <w:p w:rsidR="00505632" w:rsidRDefault="00505632" w:rsidP="00AD4E52">
            <w:pPr>
              <w:pStyle w:val="CellColumn"/>
              <w:jc w:val="left"/>
            </w:pPr>
            <w:r>
              <w:rPr>
                <w:rFonts w:cs="Times New Roman"/>
              </w:rPr>
              <w:t>Broj realiziranih zahtjeva za sufinanciranje troškova brodara godišnje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5</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A810036 SIGURNOST PLOVIDBE UNUTARNJIM VODAMA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A810036-SIGURNOST PLOVIDBE UNUTARNJIM VODAMA</w:t>
            </w:r>
          </w:p>
        </w:tc>
        <w:tc>
          <w:tcPr>
            <w:tcW w:w="2041" w:type="dxa"/>
          </w:tcPr>
          <w:p w:rsidR="00505632" w:rsidRDefault="00505632" w:rsidP="00AD4E52">
            <w:pPr>
              <w:pStyle w:val="CellColumn"/>
              <w:jc w:val="right"/>
            </w:pPr>
            <w:r>
              <w:rPr>
                <w:rFonts w:cs="Times New Roman"/>
              </w:rPr>
              <w:t>656.129</w:t>
            </w:r>
          </w:p>
        </w:tc>
        <w:tc>
          <w:tcPr>
            <w:tcW w:w="2041" w:type="dxa"/>
          </w:tcPr>
          <w:p w:rsidR="00505632" w:rsidRDefault="00505632" w:rsidP="00AD4E52">
            <w:pPr>
              <w:pStyle w:val="CellColumn"/>
              <w:jc w:val="right"/>
            </w:pPr>
            <w:r>
              <w:rPr>
                <w:rFonts w:cs="Times New Roman"/>
              </w:rPr>
              <w:t>2.001.000</w:t>
            </w:r>
          </w:p>
        </w:tc>
        <w:tc>
          <w:tcPr>
            <w:tcW w:w="2041" w:type="dxa"/>
          </w:tcPr>
          <w:p w:rsidR="00505632" w:rsidRDefault="00505632" w:rsidP="00AD4E52">
            <w:pPr>
              <w:pStyle w:val="CellColumn"/>
              <w:jc w:val="right"/>
            </w:pPr>
            <w:r>
              <w:rPr>
                <w:rFonts w:cs="Times New Roman"/>
              </w:rPr>
              <w:t>1.356.719</w:t>
            </w:r>
          </w:p>
        </w:tc>
        <w:tc>
          <w:tcPr>
            <w:tcW w:w="1224" w:type="dxa"/>
          </w:tcPr>
          <w:p w:rsidR="00505632" w:rsidRDefault="00505632" w:rsidP="00AD4E52">
            <w:pPr>
              <w:pStyle w:val="CellColumn"/>
              <w:jc w:val="right"/>
            </w:pPr>
            <w:r>
              <w:rPr>
                <w:rFonts w:cs="Times New Roman"/>
              </w:rPr>
              <w:t>67,8</w:t>
            </w:r>
          </w:p>
        </w:tc>
        <w:tc>
          <w:tcPr>
            <w:tcW w:w="1224" w:type="dxa"/>
          </w:tcPr>
          <w:p w:rsidR="00505632" w:rsidRDefault="00505632" w:rsidP="00AD4E52">
            <w:pPr>
              <w:pStyle w:val="CellColumn"/>
              <w:jc w:val="right"/>
            </w:pPr>
            <w:r>
              <w:rPr>
                <w:rFonts w:cs="Times New Roman"/>
              </w:rPr>
              <w:t>206,8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plovidbi i lukama unutarnjih voda (NN 109/07,132/07, 51A/13 i 152/14)</w:t>
      </w:r>
    </w:p>
    <w:p w:rsidR="00505632" w:rsidRDefault="00505632" w:rsidP="00505632">
      <w:pPr>
        <w:pStyle w:val="Heading8"/>
        <w:jc w:val="left"/>
      </w:pPr>
      <w:r>
        <w:t>Opis aktivnosti</w:t>
      </w:r>
    </w:p>
    <w:p w:rsidR="00505632" w:rsidRDefault="00505632" w:rsidP="00505632">
      <w:r>
        <w:t xml:space="preserve">U 2016. godini je, kroz utrošena sredstva planirana u okviru ove aktivnosti, postignut cilj i ostvareni su rezultati visoke razine sigurne plovidbe, osiguravanjem uvjeta za redovan rad lučkih kapetanija unutarnjih voda i provođenjem redovnih održavanja i opremanja službenih plovila i poslovnih prostora. </w:t>
      </w:r>
    </w:p>
    <w:p w:rsidR="00505632" w:rsidRDefault="00505632" w:rsidP="00505632">
      <w:r>
        <w:t xml:space="preserve">Od značajnijih planiranih ulaganja za redovno poslovanje, obavljanja službe lučkih kapetanija unutarnjih voda i Sektora unutarnje plovidbe, te unapređenja sigurnost plovidbe na unutarnjim vodama, bitno je istaknuti remont službenog plovila Lučke kapetanije Osijek, rekonstrukciju sustava grijanja i hlađenja u Lučkoj kapetaniji Vukovar, te nabavu usluga skladištenja i čuvanja službenih plovila.  </w:t>
      </w:r>
    </w:p>
    <w:p w:rsidR="00505632" w:rsidRDefault="00505632" w:rsidP="00505632">
      <w:r>
        <w:t>Značajno odstupanje izvršenih sredstava u odnosu na planirana, odnosi se na utrošak sredstava za usluge i opremu strukturnog kabliranja u lučkim kapetanijama Vukovar, Osijek i Slavonski Brod, koja su izvršena u 2016. godini, ali zbog kasne dostave računa i nekompletne dokumentacije plaćanje je prolongirano za 2017. godinu. Značajnije odstupanje izvršenih sredstava u odnosu na planirana odnosi se i na druge aktivnosti, čija realizacije je okončana krajem 2016. godine, dok su računi zaprimljeni početkom 2017. godine, te će biti plaćeni na teret proračuna za 2017. godinu.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 broj plovidbenih nesreća na unutarnjim vodama</w:t>
            </w:r>
          </w:p>
        </w:tc>
        <w:tc>
          <w:tcPr>
            <w:tcW w:w="2551" w:type="dxa"/>
          </w:tcPr>
          <w:p w:rsidR="00505632" w:rsidRDefault="00505632" w:rsidP="00AD4E52">
            <w:pPr>
              <w:pStyle w:val="CellColumn"/>
              <w:jc w:val="left"/>
            </w:pPr>
            <w:r>
              <w:rPr>
                <w:rFonts w:cs="Times New Roman"/>
              </w:rPr>
              <w:t>Smanjen broj plovidbenih nesreća na unutarnjim vodama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&lt;7</w:t>
            </w:r>
          </w:p>
        </w:tc>
        <w:tc>
          <w:tcPr>
            <w:tcW w:w="1020" w:type="dxa"/>
          </w:tcPr>
          <w:p w:rsidR="00505632" w:rsidRDefault="00505632" w:rsidP="00AD4E52">
            <w:pPr>
              <w:pStyle w:val="CellColumn"/>
              <w:jc w:val="right"/>
            </w:pPr>
            <w:r>
              <w:rPr>
                <w:rFonts w:cs="Times New Roman"/>
              </w:rPr>
              <w:t>LK</w:t>
            </w:r>
          </w:p>
        </w:tc>
        <w:tc>
          <w:tcPr>
            <w:tcW w:w="1020" w:type="dxa"/>
          </w:tcPr>
          <w:p w:rsidR="00505632" w:rsidRDefault="00505632" w:rsidP="00AD4E52">
            <w:pPr>
              <w:pStyle w:val="CellColumn"/>
              <w:jc w:val="right"/>
            </w:pPr>
            <w:r>
              <w:rPr>
                <w:rFonts w:cs="Times New Roman"/>
              </w:rPr>
              <w:t>&lt;10</w:t>
            </w:r>
          </w:p>
        </w:tc>
        <w:tc>
          <w:tcPr>
            <w:tcW w:w="1020" w:type="dxa"/>
          </w:tcPr>
          <w:p w:rsidR="00505632" w:rsidRDefault="00505632" w:rsidP="00AD4E52">
            <w:pPr>
              <w:pStyle w:val="CellColumn"/>
              <w:jc w:val="right"/>
            </w:pPr>
            <w:r>
              <w:rPr>
                <w:rFonts w:cs="Times New Roman"/>
              </w:rPr>
              <w:t>6</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A821014 STIPENDIRANJE REDOVNIH STUDENATA I UČENIKA OBRAZOVNOG USMJERENJA IZ PODRUČJA UNUTARNJE PLOVIDBE, TE VJEŽBENIČKOG STAŽA BRODARACA UNUTARNJE PLOVIDBE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A821014-STIPENDIRANJE REDOVNIH STUDENATA I UČENIKA OBRAZOVNOG USMJERENJA IZ PODRUČJA UNUTARNJE PLOVIDBE, TE VJEŽBENIČKOG STAŽA BRODARACA UNUTARNJE PLOVIDBE</w:t>
            </w:r>
          </w:p>
        </w:tc>
        <w:tc>
          <w:tcPr>
            <w:tcW w:w="2041" w:type="dxa"/>
          </w:tcPr>
          <w:p w:rsidR="00505632" w:rsidRDefault="00505632" w:rsidP="00AD4E52">
            <w:pPr>
              <w:pStyle w:val="CellColumn"/>
              <w:jc w:val="right"/>
            </w:pPr>
            <w:r>
              <w:rPr>
                <w:rFonts w:cs="Times New Roman"/>
              </w:rPr>
              <w:t>325.200</w:t>
            </w:r>
          </w:p>
        </w:tc>
        <w:tc>
          <w:tcPr>
            <w:tcW w:w="2041" w:type="dxa"/>
          </w:tcPr>
          <w:p w:rsidR="00505632" w:rsidRDefault="00505632" w:rsidP="00AD4E52">
            <w:pPr>
              <w:pStyle w:val="CellColumn"/>
              <w:jc w:val="right"/>
            </w:pPr>
            <w:r>
              <w:rPr>
                <w:rFonts w:cs="Times New Roman"/>
              </w:rPr>
              <w:t>300.000</w:t>
            </w:r>
          </w:p>
        </w:tc>
        <w:tc>
          <w:tcPr>
            <w:tcW w:w="2041" w:type="dxa"/>
          </w:tcPr>
          <w:p w:rsidR="00505632" w:rsidRDefault="00505632" w:rsidP="00AD4E52">
            <w:pPr>
              <w:pStyle w:val="CellColumn"/>
              <w:jc w:val="right"/>
            </w:pPr>
            <w:r>
              <w:rPr>
                <w:rFonts w:cs="Times New Roman"/>
              </w:rPr>
              <w:t>292.000</w:t>
            </w:r>
          </w:p>
        </w:tc>
        <w:tc>
          <w:tcPr>
            <w:tcW w:w="1224" w:type="dxa"/>
          </w:tcPr>
          <w:p w:rsidR="00505632" w:rsidRDefault="00505632" w:rsidP="00AD4E52">
            <w:pPr>
              <w:pStyle w:val="CellColumn"/>
              <w:jc w:val="right"/>
            </w:pPr>
            <w:r>
              <w:rPr>
                <w:rFonts w:cs="Times New Roman"/>
              </w:rPr>
              <w:t>97,3</w:t>
            </w:r>
          </w:p>
        </w:tc>
        <w:tc>
          <w:tcPr>
            <w:tcW w:w="1224" w:type="dxa"/>
          </w:tcPr>
          <w:p w:rsidR="00505632" w:rsidRDefault="00505632" w:rsidP="00AD4E52">
            <w:pPr>
              <w:pStyle w:val="CellColumn"/>
              <w:jc w:val="right"/>
            </w:pPr>
            <w:r>
              <w:rPr>
                <w:rFonts w:cs="Times New Roman"/>
              </w:rPr>
              <w:t>89,8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Strategija razvitka riječnog prometa u Republici Hrvatskoj (2008. – 2018.) (NN 65/08), </w:t>
      </w:r>
    </w:p>
    <w:p w:rsidR="00505632" w:rsidRDefault="00505632" w:rsidP="00505632">
      <w:r>
        <w:t xml:space="preserve">- Zakon o sustavu državne uprave (NN 150/11;12/13), </w:t>
      </w:r>
    </w:p>
    <w:p w:rsidR="00505632" w:rsidRDefault="00505632" w:rsidP="00505632">
      <w:r>
        <w:t>- Odluka o uvjetima za dodjeljivanje stipendija redovitim učenicima Strukovne škole Sisak za šk. God. 2016/2017., kao i redovitim studentima preddiplomskog i diplomskog sveučilišnog studija pomorskih fakulteta u 2016/2017. godini.</w:t>
      </w:r>
    </w:p>
    <w:p w:rsidR="00505632" w:rsidRDefault="00505632" w:rsidP="00505632">
      <w:pPr>
        <w:pStyle w:val="Heading8"/>
        <w:jc w:val="left"/>
      </w:pPr>
      <w:r>
        <w:t>Opis aktivnosti</w:t>
      </w:r>
    </w:p>
    <w:p w:rsidR="00505632" w:rsidRDefault="00505632" w:rsidP="00505632">
      <w:r>
        <w:t xml:space="preserve">U 2016. godini je proveden postupak javnog nadmetanja te su temeljem istog dodijeljene stipendije učenicima Strukovne škole Sisak i studentima na Pomorskom fakultetu u Rijeci. Dodijeljeno je ukupno 6 stipendija učenicima koji se školuju za zanimanje nautičar unutarnje plovidbe i dvije stipendije studentima koji nastavljaju školovanje na Pomorskom fakultetu u Rijeci. </w:t>
      </w:r>
    </w:p>
    <w:p w:rsidR="00505632" w:rsidRDefault="00505632" w:rsidP="00505632">
      <w:r>
        <w:t>Tijekom 2016. godine, zajedno s novim stipendijama, ukupno je financijski potpomognuto 32 stipendista, od čega 26 učenika srednjoškolskog obrazovanja nautičkog smjera u Sisku i 6 studenata Pomorskog fakulteta u Rijeci, čime je ostvaren cilj zacrtan u Strateškom planu za 2016-2018. godinu.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dodijeljenih stipendija iz oblasti unutarnje plovidbe</w:t>
            </w:r>
          </w:p>
        </w:tc>
        <w:tc>
          <w:tcPr>
            <w:tcW w:w="2551" w:type="dxa"/>
          </w:tcPr>
          <w:p w:rsidR="00505632" w:rsidRDefault="00505632" w:rsidP="00AD4E52">
            <w:pPr>
              <w:pStyle w:val="CellColumn"/>
              <w:jc w:val="left"/>
            </w:pPr>
            <w:r>
              <w:rPr>
                <w:rFonts w:cs="Times New Roman"/>
              </w:rPr>
              <w:t>Broj dodijeljenih stipendija iz oblasti unutarnje plovidbe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27</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31</w:t>
            </w:r>
          </w:p>
        </w:tc>
        <w:tc>
          <w:tcPr>
            <w:tcW w:w="1020" w:type="dxa"/>
          </w:tcPr>
          <w:p w:rsidR="00505632" w:rsidRDefault="00505632" w:rsidP="00AD4E52">
            <w:pPr>
              <w:pStyle w:val="CellColumn"/>
              <w:jc w:val="right"/>
            </w:pPr>
            <w:r>
              <w:rPr>
                <w:rFonts w:cs="Times New Roman"/>
              </w:rPr>
              <w:t>32</w:t>
            </w:r>
          </w:p>
        </w:tc>
      </w:tr>
    </w:tbl>
    <w:p w:rsidR="00505632" w:rsidRDefault="00505632" w:rsidP="00505632">
      <w:pPr>
        <w:jc w:val="left"/>
      </w:pPr>
    </w:p>
    <w:p w:rsidR="00505632" w:rsidRDefault="00505632" w:rsidP="00505632">
      <w:pPr>
        <w:pStyle w:val="Heading4"/>
      </w:pPr>
      <w:r>
        <w:t>K570297 RAD SAVSKE KOMISIJE TE SUDJELOVANJE U RADU MEĐUNARODNIH INSTITUCIJA S PODRUČJA UNUTARNJE PLOVIDBE</w:t>
      </w:r>
    </w:p>
    <w:tbl>
      <w:tblPr>
        <w:tblStyle w:val="StilTablice"/>
        <w:tblW w:w="10206" w:type="dxa"/>
        <w:jc w:val="center"/>
        <w:tblLook w:val="04A0" w:firstRow="1" w:lastRow="0" w:firstColumn="1" w:lastColumn="0" w:noHBand="0" w:noVBand="1"/>
      </w:tblPr>
      <w:tblGrid>
        <w:gridCol w:w="1770"/>
        <w:gridCol w:w="2000"/>
        <w:gridCol w:w="2001"/>
        <w:gridCol w:w="2001"/>
        <w:gridCol w:w="1215"/>
        <w:gridCol w:w="121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K570297-RAD SAVSKE KOMISIJE TE SUDJELOVANJE U RADU MEĐUNARODNIH INSTITUCIJA S PODRUČJA UNUTARNJE PLOVIDBE</w:t>
            </w:r>
          </w:p>
        </w:tc>
        <w:tc>
          <w:tcPr>
            <w:tcW w:w="2041" w:type="dxa"/>
          </w:tcPr>
          <w:p w:rsidR="00505632" w:rsidRDefault="00505632" w:rsidP="00AD4E52">
            <w:pPr>
              <w:pStyle w:val="CellColumn"/>
              <w:jc w:val="right"/>
            </w:pPr>
            <w:r>
              <w:rPr>
                <w:rFonts w:cs="Times New Roman"/>
              </w:rPr>
              <w:t>1.069.818</w:t>
            </w:r>
          </w:p>
        </w:tc>
        <w:tc>
          <w:tcPr>
            <w:tcW w:w="2041" w:type="dxa"/>
          </w:tcPr>
          <w:p w:rsidR="00505632" w:rsidRDefault="00505632" w:rsidP="00AD4E52">
            <w:pPr>
              <w:pStyle w:val="CellColumn"/>
              <w:jc w:val="right"/>
            </w:pPr>
            <w:r>
              <w:rPr>
                <w:rFonts w:cs="Times New Roman"/>
              </w:rPr>
              <w:t>1.095.000</w:t>
            </w:r>
          </w:p>
        </w:tc>
        <w:tc>
          <w:tcPr>
            <w:tcW w:w="2041" w:type="dxa"/>
          </w:tcPr>
          <w:p w:rsidR="00505632" w:rsidRDefault="00505632" w:rsidP="00AD4E52">
            <w:pPr>
              <w:pStyle w:val="CellColumn"/>
              <w:jc w:val="right"/>
            </w:pPr>
            <w:r>
              <w:rPr>
                <w:rFonts w:cs="Times New Roman"/>
              </w:rPr>
              <w:t>1.092.281</w:t>
            </w:r>
          </w:p>
        </w:tc>
        <w:tc>
          <w:tcPr>
            <w:tcW w:w="1224" w:type="dxa"/>
          </w:tcPr>
          <w:p w:rsidR="00505632" w:rsidRDefault="00505632" w:rsidP="00AD4E52">
            <w:pPr>
              <w:pStyle w:val="CellColumn"/>
              <w:jc w:val="right"/>
            </w:pPr>
            <w:r>
              <w:rPr>
                <w:rFonts w:cs="Times New Roman"/>
              </w:rPr>
              <w:t>99,8</w:t>
            </w:r>
          </w:p>
        </w:tc>
        <w:tc>
          <w:tcPr>
            <w:tcW w:w="1224" w:type="dxa"/>
          </w:tcPr>
          <w:p w:rsidR="00505632" w:rsidRDefault="00505632" w:rsidP="00AD4E52">
            <w:pPr>
              <w:pStyle w:val="CellColumn"/>
              <w:jc w:val="right"/>
            </w:pPr>
            <w:r>
              <w:rPr>
                <w:rFonts w:cs="Times New Roman"/>
              </w:rPr>
              <w:t>102,1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Europski sporazum o međunarodnom prijevozu opasnih tvari unutarnjim plovnim putovima ADN,  </w:t>
      </w:r>
    </w:p>
    <w:p w:rsidR="00505632" w:rsidRDefault="00505632" w:rsidP="00505632">
      <w:r>
        <w:t xml:space="preserve">- Konvencija o režimu plovidbe na Dunavu (NN-MU/98), dopunski protokol od 26.03.1998,  </w:t>
      </w:r>
    </w:p>
    <w:p w:rsidR="00505632" w:rsidRDefault="00505632" w:rsidP="00505632">
      <w:r>
        <w:t xml:space="preserve">- Okvirni sporazum o slivu rijeke Save potpisan 03.12.2002. godine,  </w:t>
      </w:r>
    </w:p>
    <w:p w:rsidR="00505632" w:rsidRDefault="00505632" w:rsidP="00505632">
      <w:r>
        <w:t xml:space="preserve">- Europski ugovor o glavnim unutarnjim plovnim putovima od međunarodnog značaja (AGN),  </w:t>
      </w:r>
    </w:p>
    <w:p w:rsidR="00505632" w:rsidRDefault="00505632" w:rsidP="00505632">
      <w:r>
        <w:t xml:space="preserve">- Zakon o plovidbi i lukama unutarnjih voda (NN 109/07 i 132/07),  </w:t>
      </w:r>
    </w:p>
    <w:p w:rsidR="00505632" w:rsidRDefault="00505632" w:rsidP="00505632">
      <w:r>
        <w:t>- Strategija razvitka riječnog prometa u RH (2008-2018).</w:t>
      </w:r>
    </w:p>
    <w:p w:rsidR="00505632" w:rsidRDefault="00505632" w:rsidP="00505632">
      <w:pPr>
        <w:pStyle w:val="Heading8"/>
        <w:jc w:val="left"/>
      </w:pPr>
      <w:r>
        <w:t>Opis aktivnosti</w:t>
      </w:r>
    </w:p>
    <w:p w:rsidR="00505632" w:rsidRDefault="00505632" w:rsidP="00505632">
      <w:r>
        <w:t>U 2016. godini namjenski su utrošena sredstva za osiguravanje poslovnog prostora potrebnog za učinkovito funkcioniranje Međunarodne komisije za sliv rijeke Save (Savske komisije) i njenih radnih grupa, te kontribuciju u godišnjoj članarini Savske komisije.</w:t>
      </w:r>
    </w:p>
    <w:p w:rsidR="00505632" w:rsidRDefault="00505632" w:rsidP="00505632">
      <w:pPr>
        <w:pStyle w:val="Heading4"/>
      </w:pPr>
      <w:r>
        <w:t>K820033 IPA I 2010-AKCIJSKI PLAN ZA RAZVOJ BRODARSTVA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K820033-IPA I 2010-AKCIJSKI PLAN ZA RAZVOJ BRODARSTVA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2.035.000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plovidbi i lukama unutarnjih voda (NN 109/07,132/07, 51A/13 i 152/14), </w:t>
      </w:r>
    </w:p>
    <w:p w:rsidR="00505632" w:rsidRDefault="00505632" w:rsidP="00505632">
      <w:r>
        <w:t xml:space="preserve">- Strategija razvitka riječnog prometa u Republici Hrvatskoj (2008. – 2018.) (NN 65/08), </w:t>
      </w:r>
    </w:p>
    <w:p w:rsidR="00505632" w:rsidRDefault="00505632" w:rsidP="00505632">
      <w:r>
        <w:t xml:space="preserve">- NAIADES II - Navigation And Inland Waterway Action and Development in Europe (akcijski program EZ za razdoblje 2014.-2020.), </w:t>
      </w:r>
    </w:p>
    <w:p w:rsidR="00505632" w:rsidRDefault="00505632" w:rsidP="00505632">
      <w:r>
        <w:t>- ADN -Europski sporazum o međunarodnom prijevozu opasnih tereta na unutarnjim plovnim putovima (2008.).</w:t>
      </w:r>
    </w:p>
    <w:p w:rsidR="00505632" w:rsidRDefault="00505632" w:rsidP="00505632">
      <w:pPr>
        <w:pStyle w:val="Heading8"/>
        <w:jc w:val="left"/>
      </w:pPr>
      <w:r>
        <w:t>Opis aktivnosti</w:t>
      </w:r>
    </w:p>
    <w:p w:rsidR="00505632" w:rsidRDefault="00505632" w:rsidP="00505632">
      <w:r>
        <w:t xml:space="preserve">Projekt izrade Akcijskog plana je započet i suspendiran do daljnjega, tako da su sredstva u potpunosti ostala neiskorištena.  </w:t>
      </w:r>
    </w:p>
    <w:p w:rsidR="00505632" w:rsidRDefault="00505632" w:rsidP="00505632">
      <w:r>
        <w:t>Sredstva rebalansom nisu smanjena iz razloga što nije bilo poznato hoće li tijek projekta nastaviti te hoće li u tom slučaju, prema zahtjevu izvođača, biti potrebno izvršavati plaćanja.</w:t>
      </w:r>
    </w:p>
    <w:p w:rsidR="00505632" w:rsidRDefault="00505632" w:rsidP="00505632">
      <w:pPr>
        <w:pStyle w:val="Heading3"/>
      </w:pPr>
      <w:r>
        <w:rPr>
          <w:rFonts w:cs="Times New Roman"/>
        </w:rPr>
        <w:t>3116 RAZVOJ SUSTAVA POMORSKOG PROMETA, POMORSKOG DOBRA I LUKA, TE ZAŠTITA MORSKOG OKOLIŠA OD ONEČIŠĆENJA S POMORSKIH OBJEKATA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3116-RAZVOJ SUSTAVA POMORSKOG PROMETA, POMORSKOG DOBRA I LUKA, TE ZAŠTITA MORSKOG OKOLIŠA OD ONEČIŠĆENJA S POMORSKIH OBJEKATA</w:t>
            </w:r>
          </w:p>
        </w:tc>
        <w:tc>
          <w:tcPr>
            <w:tcW w:w="2041" w:type="dxa"/>
          </w:tcPr>
          <w:p w:rsidR="00505632" w:rsidRDefault="00505632" w:rsidP="00AD4E52">
            <w:pPr>
              <w:pStyle w:val="CellColumn"/>
              <w:jc w:val="right"/>
            </w:pPr>
            <w:r>
              <w:rPr>
                <w:rFonts w:cs="Times New Roman"/>
              </w:rPr>
              <w:t>377.870.880</w:t>
            </w:r>
          </w:p>
        </w:tc>
        <w:tc>
          <w:tcPr>
            <w:tcW w:w="2041" w:type="dxa"/>
          </w:tcPr>
          <w:p w:rsidR="00505632" w:rsidRDefault="00505632" w:rsidP="00AD4E52">
            <w:pPr>
              <w:pStyle w:val="CellColumn"/>
              <w:jc w:val="right"/>
            </w:pPr>
            <w:r>
              <w:rPr>
                <w:rFonts w:cs="Times New Roman"/>
              </w:rPr>
              <w:t>341.126.000</w:t>
            </w:r>
          </w:p>
        </w:tc>
        <w:tc>
          <w:tcPr>
            <w:tcW w:w="2041" w:type="dxa"/>
          </w:tcPr>
          <w:p w:rsidR="00505632" w:rsidRDefault="00505632" w:rsidP="00AD4E52">
            <w:pPr>
              <w:pStyle w:val="CellColumn"/>
              <w:jc w:val="right"/>
            </w:pPr>
            <w:r>
              <w:rPr>
                <w:rFonts w:cs="Times New Roman"/>
              </w:rPr>
              <w:t>331.799.987</w:t>
            </w:r>
          </w:p>
        </w:tc>
        <w:tc>
          <w:tcPr>
            <w:tcW w:w="1224" w:type="dxa"/>
          </w:tcPr>
          <w:p w:rsidR="00505632" w:rsidRDefault="00505632" w:rsidP="00AD4E52">
            <w:pPr>
              <w:pStyle w:val="CellColumn"/>
              <w:jc w:val="right"/>
            </w:pPr>
            <w:r>
              <w:rPr>
                <w:rFonts w:cs="Times New Roman"/>
              </w:rPr>
              <w:t>97,3</w:t>
            </w:r>
          </w:p>
        </w:tc>
        <w:tc>
          <w:tcPr>
            <w:tcW w:w="1224" w:type="dxa"/>
          </w:tcPr>
          <w:p w:rsidR="00505632" w:rsidRDefault="00505632" w:rsidP="00AD4E52">
            <w:pPr>
              <w:pStyle w:val="CellColumn"/>
              <w:jc w:val="right"/>
            </w:pPr>
            <w:r>
              <w:rPr>
                <w:rFonts w:cs="Times New Roman"/>
              </w:rPr>
              <w:t>87,8</w:t>
            </w:r>
          </w:p>
        </w:tc>
      </w:tr>
    </w:tbl>
    <w:p w:rsidR="00505632" w:rsidRDefault="00505632" w:rsidP="00505632">
      <w:pPr>
        <w:jc w:val="left"/>
      </w:pPr>
    </w:p>
    <w:p w:rsidR="00505632" w:rsidRDefault="00505632" w:rsidP="00505632">
      <w:r>
        <w:t xml:space="preserve">Pomorski promet je najvažniji oblik prometnog povezivanja kojim se ostvaruju dvije trećine svjetske trgovinske razmjene. Oko 80% svjetske trgovine po volumenu i 70% po vrijednosti odvija se morem. Pomorsko brodarstvo je najkonkurentnija privredna grana jer za međunarodne prijevoze mogu konkurirati svi brodari svijeta bez ograničenja. Međunarodno pomorsko brodarstvo se od 2008. godine nalazi u ozbiljnim financijskim teškoćama koje direktno utječu na likvidnost poslovanja brodara. Mjere štednje prioritetno su usmjerene na dodatnu racionalizaciju troškova poslovanja, a pojedini brodari su čak prisiljeni pristupiti i prodaji dijela svoje flote. Unatoč ovim teškoćama, brodari u međunarodnoj pomorskoj plovidbi kontinuirano i djelatno promiču interese razvoja hrvatskog brodarstva, za što je jedan od nesumnjivih temelja ulaganje u obrazovanje i razvoj vlastitog kadra. U tom smislu, hrvatski brodari tradicionalno na svoje brodove ukrcavaju hrvatske vježbenike (2013. oko 157, a u 2014. oko 173) za što su izdvojili vlastita sredstva u iznosu od prosječno 10.500 kuna po vježbeniku mjesečno. Temeljna pretpostavka razvijenog prometnog sustava ogleda se u razvijenosti nacionalnog brodarstva i lučke prometne infrastrukture. Razvoj brodarstva temelji se na primjeni najviših standarda sigurnosti plovidbe i zaštite morskog okoliša, dok razvijena prometna lučka infrastruktura osigurava izjednačenu razvijenost, kvalitetu i sigurnost prometnog sustava u cjelini.  </w:t>
      </w:r>
    </w:p>
    <w:p w:rsidR="00505632" w:rsidRDefault="00505632" w:rsidP="00505632">
      <w:r>
        <w:t xml:space="preserve">S druge strane, razvijenim sustavom upravljanja pomorskim dobrom kroz određivanje granica pomorskog dobra i lučkih područja, te upravljanjem lučkim i koncesijskim sustavom, ispunjavaju se preduvjeti učinkovitog i održivog razvoja samog prometnog sustava.  </w:t>
      </w:r>
    </w:p>
    <w:p w:rsidR="00505632" w:rsidRDefault="00505632" w:rsidP="00505632">
      <w:r>
        <w:t xml:space="preserve">Razvoj pomorskih usluga putem primjene suvremenih tehnologija, tehnološko-tehničkih i informatičkih rješenja, ulaganje u izgradnju i modernizaciju lučke infrastrukture, ulaganje u obnovu i razvoj trgovačke i putničke flote i poticajnim mjerama davanje mogućnosti školovanja budućih djelatnika u pomorskom prometu trajni je cilj i zadaća Ministarstva, a zaštita okoliša od onečišćenja nedjeljiva je djelatnost od djelatnosti prometa i provodi se kontinuirano.  </w:t>
      </w:r>
    </w:p>
    <w:p w:rsidR="00505632" w:rsidRDefault="00505632" w:rsidP="00505632">
      <w:r>
        <w:t xml:space="preserve">Jačanje tržišnih mehanizama u izgradnji i korištenju infrastrukture, čijom provedbom se i u 2016. godini nastojala ujednačiti razvijenost, kvaliteta i sigurnost prometne infrastrukture, visoka kvaliteta i razvijeno tržište pomorskih usluga, koncesijskog sustava, modernizacija flote, informatizacija poslovnih subjekata pomorskog gospodarstva, poticanje prometne pomorske povezanosti, kojom se postiže razvoj otoka i turizma, poboljšanje radnih uvjeta, edukacija i osposobljavanje stručnog kadra uz kontinuirano jačanje konkurentnosti brodara na tržištu pomorskih usluga, bitni su preduvjeti razvoja pomorskog prometa i lučke prometne infrastrukture.   </w:t>
      </w:r>
    </w:p>
    <w:p w:rsidR="00505632" w:rsidRDefault="00505632" w:rsidP="00505632">
      <w:r>
        <w:t xml:space="preserve">U lukama otvorenim za javni promet od posebnog državnog interesa, u 2016. godini rađeni su  veliki investicijski zahvati financirani od strane međunarodnih financijskih institucija kao i vlastitim sredstvima lučkih uprava. U području unapređenja lučkog sustava, temeljni ciljevi su se odnosili na modernizaciju luke Rijeka, radi povećanja tranzitnog tereta (posebice kontejnerskog i Ro-Ro prometa), gradnju terminala u luci Ploče, u cilju povećanja rasutih tereta i kontejnera kroz luku Ploče, za potrebe gravitacijskog područja i potrebe ostalih država na Vc prometnom koridoru, izgradnju obalne infrastrukture u luci Dubrovnik, izgradnju novoga putničkog i Ro-Ro terminala u luci Zadar, izgradnju operativne obale za prihvat putničkih brodova u luci Šibenik, te modernizaciju lučke infrastrukture u luci Split. Gradnja infrastrukture morskih luka temeljila se na kvalitativnoj i tehnološkoj modernizaciji, prometnom povezivanju s glavnim cestovnim i željezničkim koridorima u cilju ostvarenja bolje integracije s gospodarskim zaleđem, povećanju prometa, a time i preduvjeta za razvitak intermodalnog prometa.  </w:t>
      </w:r>
    </w:p>
    <w:p w:rsidR="00505632" w:rsidRDefault="00505632" w:rsidP="00505632">
      <w:r>
        <w:t xml:space="preserve">Uzimajući, između ostalog, u obzir i strateško opredjeljenje Europske unije, da treba poticati mjere zapošljavanja europskih pomoraca na brodovima pod zastavama država članica Europske unije, a nastojeći motivirati učenike i studente na izbor pomorskih zvanja, Vlada Republike Hrvatske od 2006. godine provodi Program stipendiranja učenika i studenata pomorskih škola i fakulteta. U razdoblju od 2006. do 2016. godine Ministarstvo mora, prometa i infrastrukture je stipendiralo sveukupno 1.148 stipendista, od čega 848 učenika pomorskih škola i 300 studenata pomorskih fakulteta. Za navedene namjene, iz nadležnosti Ministarstva mora, prometa i infrastrukture isplaćeno je ukupno 41,2 mln kn sredstava iz Državnog Proračuna Republike Hrvatske. Dodjela stipendija ima svrhu stimuliranja upisa učenika i studenata u srednje pomorske škole i pomorske fakultete, čime se pruža kvaliteta školovanja odnosno studiranja, a samim time i bolji stručni kadar na brodovima hrvatske trgovačke mornarice kao jamstvo za sigurnost plovidbe, zaštitu ljudskih života i zaštitu morskog okoliša.  </w:t>
      </w:r>
    </w:p>
    <w:p w:rsidR="00505632" w:rsidRDefault="00505632" w:rsidP="00505632">
      <w:r>
        <w:t xml:space="preserve">Kao jedan od ključnih problema u procesu stjecanja zvanja pomoraca sukladno međunarodnim standardima (STCW Konvencija) je provedba prakse na brodovima. Naime, kao uvjet za stjecanje časničkih zvanja, temeljem STCW Konvencije i hrvatskog Pravilnika o zvanjima i svjedodžbama o osposobljenosti pomoraca je 12 mjeseci plovidbene službe u svojstvu vježbenika palube, vježbenika stroja ili vježbenika elektrotehnike prema definiranom programu, od čega najmanje 6 mjeseci mora biti na brodovima u međunarodnoj plovidbi. Sve veći broj osoba koje završe školovanje na pomorskim učilištima ne mogu ispuniti ovaj nužni preduvjet za ulazak u svijet rada u pomorstvu, što dovodi u pitanje svrsishodnost ulaganja u pomorsko obrazovanje, a dugoročno ima izrazito štetne posljedice za jednu od ključnih sastavnica hrvatskog pomorstva.  </w:t>
      </w:r>
    </w:p>
    <w:p w:rsidR="00505632" w:rsidRDefault="00505632" w:rsidP="00505632">
      <w:r>
        <w:t xml:space="preserve">Već duže vrijeme poznato je da je broj vježbenika daleko veći od potreba Hrvatske trgovačke mornarice, ali ipak svi naši časnici priznati su u svijetu kao izrazito vrsni stručnjaci, te nađu mjesto na brodu ukoliko obave pripravnički staž i polože stručne ispite pri lučkim kapetanijama i time predstavljaju jedan od najboljih „hrvatskih izvoznih proizvoda“. </w:t>
      </w:r>
    </w:p>
    <w:p w:rsidR="00505632" w:rsidRDefault="00505632" w:rsidP="00505632">
      <w:r>
        <w:t xml:space="preserve">Doneseni Program Vlade RH o sufinanciranju vježbenika na brodove u međunarodnoj i nacionalnoj plovidbi ima za cilj:  </w:t>
      </w:r>
    </w:p>
    <w:p w:rsidR="00505632" w:rsidRDefault="00505632" w:rsidP="00505632">
      <w:r>
        <w:t xml:space="preserve">- stvoriti motivirajuće uvjete za izbor pomorskog zvanja;  </w:t>
      </w:r>
    </w:p>
    <w:p w:rsidR="00505632" w:rsidRDefault="00505632" w:rsidP="00505632">
      <w:r>
        <w:t xml:space="preserve">- omogućiti mladim pomorcima završetak obveznog obrazovnog procesa koji je preduvjet za stjecanje časničkih zvanja; </w:t>
      </w:r>
    </w:p>
    <w:p w:rsidR="00505632" w:rsidRDefault="00505632" w:rsidP="00505632">
      <w:r>
        <w:t xml:space="preserve">- potaknuti hrvatske brodare na ukrcaj vježbenika, posebice brodare koji su uključeni u grupaciju iznad obveza poreza po tonaži; </w:t>
      </w:r>
    </w:p>
    <w:p w:rsidR="00505632" w:rsidRDefault="00505632" w:rsidP="00505632">
      <w:r>
        <w:t xml:space="preserve">- smanjiti nezaposlenost u Republici Hrvatskoj.  </w:t>
      </w:r>
    </w:p>
    <w:p w:rsidR="00505632" w:rsidRDefault="00505632" w:rsidP="00505632">
      <w:r>
        <w:t>Ukrcaj vježbenika se sufinancira u iznosu do 73 kune dnevno po ukrcanom vježbeniku u međunarodnoj plovidbi, odnosno do 50 kuna dnevno u nacionalnoj plovidbi.</w:t>
      </w:r>
    </w:p>
    <w:p w:rsidR="00505632" w:rsidRDefault="00505632" w:rsidP="00505632">
      <w:pPr>
        <w:pStyle w:val="Heading8"/>
        <w:jc w:val="left"/>
      </w:pPr>
      <w:r>
        <w:t>Cilj 1. Razvijen sustav pomorskog prometa i prometa na unutarnjim plovnim putovima te učinkovito i sustavno upravljanje pomorskim dobrom</w:t>
      </w:r>
    </w:p>
    <w:p w:rsidR="00505632" w:rsidRDefault="00505632" w:rsidP="00505632">
      <w:pPr>
        <w:pStyle w:val="Heading8"/>
        <w:jc w:val="left"/>
      </w:pPr>
      <w:r>
        <w:t>Opis provedbe cilja programa</w:t>
      </w:r>
    </w:p>
    <w:p w:rsidR="00505632" w:rsidRDefault="00505632" w:rsidP="00505632">
      <w:r>
        <w:t xml:space="preserve">Učinkovit prometni sustav zasigurno je jedan od temeljnih uvjeta za uspješan gospodarski razvoj svake suvremene države. Istovremeno, prometni sustav predstavlja i čimbenik koji je od presudne važnosti u pogledu približavanja i povezivanja Republike Hrvatske s drugim europskim državama. Države s jasno razvijenom pomorskom politikom, koja je stavljena u funkciju gospodarskog razvoja, imaju posebne pogodnosti zbog različitih djelatnosti unutar tog sustava i iznimno velikog multiplikativnog faktora pojedinih djelatnosti pomorskog gospodarstva. S tog stanovišta uviđa se kako je jedan od temeljnih preduvjeta razvoja svake države, u procesima tehnološki i ekonomski učinkovite integracije, imanje razvijenog sustava pomorskog prometa i prometa na unutarnjim plovnim putovima uz učinkovito i sustavno upravljanje pomorskim dobrom. </w:t>
      </w:r>
    </w:p>
    <w:p w:rsidR="00505632" w:rsidRDefault="00505632" w:rsidP="00505632">
      <w:r>
        <w:t>Razvoj sustava pomorskog prometa, tijekom 2016. godine, temeljio se na modernizaciji i restrukturiranju prometnog i pomorskog sustava Republike Hrvatske u smjeru prihvaćanja i implementiranja suvremenih tehničko-tehnoloških razvojnih modaliteta, posebice vodeći računa o održivom rastu i razvoju pomorskoga prometa.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Količina prekrcanog tereta u lukama RH</w:t>
            </w:r>
          </w:p>
        </w:tc>
        <w:tc>
          <w:tcPr>
            <w:tcW w:w="2551" w:type="dxa"/>
          </w:tcPr>
          <w:p w:rsidR="00505632" w:rsidRDefault="00505632" w:rsidP="00AD4E52">
            <w:pPr>
              <w:pStyle w:val="CellColumn"/>
              <w:jc w:val="left"/>
            </w:pPr>
            <w:r>
              <w:rPr>
                <w:rFonts w:cs="Times New Roman"/>
              </w:rPr>
              <w:t>Radovima izgradnje lučke infrastrukture, osiguranja lučkog područja, gospodarske zone i plovnih putova povećat će se količina transporta pomorskog prometa i prometa na unutarnjim vodnim putovima i privlačenje korisnika što će rezultirati povećanjem prekrcanog tereta u lukama (godišnje vrijednosti)</w:t>
            </w:r>
          </w:p>
        </w:tc>
        <w:tc>
          <w:tcPr>
            <w:tcW w:w="1020" w:type="dxa"/>
          </w:tcPr>
          <w:p w:rsidR="00505632" w:rsidRDefault="00505632" w:rsidP="00AD4E52">
            <w:pPr>
              <w:pStyle w:val="CellColumn"/>
              <w:jc w:val="right"/>
            </w:pPr>
            <w:r>
              <w:rPr>
                <w:rFonts w:cs="Times New Roman"/>
              </w:rPr>
              <w:t>t</w:t>
            </w:r>
          </w:p>
        </w:tc>
        <w:tc>
          <w:tcPr>
            <w:tcW w:w="1020" w:type="dxa"/>
          </w:tcPr>
          <w:p w:rsidR="00505632" w:rsidRDefault="00505632" w:rsidP="00AD4E52">
            <w:pPr>
              <w:pStyle w:val="CellColumn"/>
              <w:jc w:val="right"/>
            </w:pPr>
            <w:r>
              <w:rPr>
                <w:rFonts w:cs="Times New Roman"/>
              </w:rPr>
              <w:t>18,0 mln</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18,7 mln</w:t>
            </w:r>
          </w:p>
        </w:tc>
        <w:tc>
          <w:tcPr>
            <w:tcW w:w="1020" w:type="dxa"/>
          </w:tcPr>
          <w:p w:rsidR="00505632" w:rsidRDefault="00505632" w:rsidP="00AD4E52">
            <w:pPr>
              <w:pStyle w:val="CellColumn"/>
              <w:jc w:val="right"/>
            </w:pPr>
            <w:r>
              <w:rPr>
                <w:rFonts w:cs="Times New Roman"/>
              </w:rPr>
              <w:t>23,9 mln</w:t>
            </w:r>
          </w:p>
        </w:tc>
      </w:tr>
    </w:tbl>
    <w:p w:rsidR="00505632" w:rsidRDefault="00505632" w:rsidP="00505632">
      <w:pPr>
        <w:jc w:val="left"/>
      </w:pPr>
    </w:p>
    <w:p w:rsidR="00505632" w:rsidRDefault="00505632" w:rsidP="00505632">
      <w:pPr>
        <w:pStyle w:val="Heading4"/>
      </w:pPr>
      <w:r>
        <w:t>A570219 IZGRADNJA, SANACIJA I REKONSTRUKCIJA OBJEKATA PODGRADNJE U LUKAMA OTVORENIM ZA JAVNI PROMET OD ŽUPANIJSKOG I LOKALNOG ZNAČAJA TE MODERNIZACIJA, OBNOVA I IZGRADNJA RIBARSKE INFRASTRUKTURE</w:t>
      </w:r>
    </w:p>
    <w:tbl>
      <w:tblPr>
        <w:tblStyle w:val="StilTablice"/>
        <w:tblW w:w="10206" w:type="dxa"/>
        <w:jc w:val="center"/>
        <w:tblLook w:val="04A0" w:firstRow="1" w:lastRow="0" w:firstColumn="1" w:lastColumn="0" w:noHBand="0" w:noVBand="1"/>
      </w:tblPr>
      <w:tblGrid>
        <w:gridCol w:w="1893"/>
        <w:gridCol w:w="1965"/>
        <w:gridCol w:w="1965"/>
        <w:gridCol w:w="1965"/>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A570219-IZGRADNJA, SANACIJA I REKONSTRUKCIJA OBJEKATA PODGRADNJE U LUKAMA OTVORENIM ZA JAVNI PROMET OD ŽUPANIJSKOG I LOKALNOG ZNAČAJA TE MODERNIZACIJA, OBNOVA I IZGRADNJA RIBARSKE INFRASTRUKTURE</w:t>
            </w:r>
          </w:p>
        </w:tc>
        <w:tc>
          <w:tcPr>
            <w:tcW w:w="2041" w:type="dxa"/>
          </w:tcPr>
          <w:p w:rsidR="00505632" w:rsidRDefault="00505632" w:rsidP="00AD4E52">
            <w:pPr>
              <w:pStyle w:val="CellColumn"/>
              <w:jc w:val="right"/>
            </w:pPr>
            <w:r>
              <w:rPr>
                <w:rFonts w:cs="Times New Roman"/>
              </w:rPr>
              <w:t>23.000.000</w:t>
            </w:r>
          </w:p>
        </w:tc>
        <w:tc>
          <w:tcPr>
            <w:tcW w:w="2041" w:type="dxa"/>
          </w:tcPr>
          <w:p w:rsidR="00505632" w:rsidRDefault="00505632" w:rsidP="00AD4E52">
            <w:pPr>
              <w:pStyle w:val="CellColumn"/>
              <w:jc w:val="right"/>
            </w:pPr>
            <w:r>
              <w:rPr>
                <w:rFonts w:cs="Times New Roman"/>
              </w:rPr>
              <w:t>44.000.000</w:t>
            </w:r>
          </w:p>
        </w:tc>
        <w:tc>
          <w:tcPr>
            <w:tcW w:w="2041" w:type="dxa"/>
          </w:tcPr>
          <w:p w:rsidR="00505632" w:rsidRDefault="00505632" w:rsidP="00AD4E52">
            <w:pPr>
              <w:pStyle w:val="CellColumn"/>
              <w:jc w:val="right"/>
            </w:pPr>
            <w:r>
              <w:rPr>
                <w:rFonts w:cs="Times New Roman"/>
              </w:rPr>
              <w:t>43.559.619</w:t>
            </w:r>
          </w:p>
        </w:tc>
        <w:tc>
          <w:tcPr>
            <w:tcW w:w="1224" w:type="dxa"/>
          </w:tcPr>
          <w:p w:rsidR="00505632" w:rsidRDefault="00505632" w:rsidP="00AD4E52">
            <w:pPr>
              <w:pStyle w:val="CellColumn"/>
              <w:jc w:val="right"/>
            </w:pPr>
            <w:r>
              <w:rPr>
                <w:rFonts w:cs="Times New Roman"/>
              </w:rPr>
              <w:t>99,0</w:t>
            </w:r>
          </w:p>
        </w:tc>
        <w:tc>
          <w:tcPr>
            <w:tcW w:w="1224" w:type="dxa"/>
          </w:tcPr>
          <w:p w:rsidR="00505632" w:rsidRDefault="00505632" w:rsidP="00AD4E52">
            <w:pPr>
              <w:pStyle w:val="CellColumn"/>
              <w:jc w:val="right"/>
            </w:pPr>
            <w:r>
              <w:rPr>
                <w:rFonts w:cs="Times New Roman"/>
              </w:rPr>
              <w:t>189,4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pomorskom dobru i morskim lukama (Narodne novine broj 158/03.,100/04., 141/06., 38/09, 123/11 i 56/16)</w:t>
      </w:r>
    </w:p>
    <w:p w:rsidR="00505632" w:rsidRDefault="00505632" w:rsidP="00505632">
      <w:pPr>
        <w:pStyle w:val="Heading8"/>
        <w:jc w:val="left"/>
      </w:pPr>
      <w:r>
        <w:t>Opis aktivnosti</w:t>
      </w:r>
    </w:p>
    <w:p w:rsidR="00505632" w:rsidRDefault="00505632" w:rsidP="00505632">
      <w:r>
        <w:t xml:space="preserve">Iz proračunske aktivnosti sufinancirana je osnovna infrastruktura važnijih građevina u lukama otvorenim za javni promet od županijskog i lokalnog značaja s ciljem razvoja i modernizacije pomorskog linijskog prometa tj. povećanje sigurnosti i unapređenje kvalitete javnog pomorskog prijevoza na povezivanju otoka s kopnom i otoka međusobno. </w:t>
      </w:r>
    </w:p>
    <w:p w:rsidR="00505632" w:rsidRDefault="00505632" w:rsidP="00505632">
      <w:r>
        <w:t xml:space="preserve">Ukupno je u 2016. godini od strane ovoga Ministarstva sufinancirano 16 projekta (građevina) u nadležnosti županijskih lučkih uprava: </w:t>
      </w:r>
    </w:p>
    <w:p w:rsidR="00505632" w:rsidRDefault="00505632" w:rsidP="00505632">
      <w:r>
        <w:t>1.</w:t>
      </w:r>
      <w:r>
        <w:tab/>
        <w:t xml:space="preserve">Županijskoj lučkoj upravi Zadar, u iznosu od 4.750.000,00 kuna za radove na projektu „Izgradnja trajektne luke Tkon - Otok Pašman“; </w:t>
      </w:r>
    </w:p>
    <w:p w:rsidR="00505632" w:rsidRDefault="00505632" w:rsidP="00505632">
      <w:r>
        <w:t>2.</w:t>
      </w:r>
      <w:r>
        <w:tab/>
        <w:t xml:space="preserve">Lučkoj upravi Splitsko-dalmatinske županije, u iznosu od 8.000.000,00 kuna za radove na projektu „Izgradnja trajektne luke Trogir-Soline“; </w:t>
      </w:r>
    </w:p>
    <w:p w:rsidR="00505632" w:rsidRDefault="00505632" w:rsidP="00505632">
      <w:r>
        <w:t>3.</w:t>
      </w:r>
      <w:r>
        <w:tab/>
        <w:t xml:space="preserve">Lučkoj upravi Šibensko-kninske županije, u iznosu od 8.450.000,00 kuna za radove na projektu „Izgradnja luke otvorene za javni promet Šibenik-Uvala Vrnaža“;  </w:t>
      </w:r>
    </w:p>
    <w:p w:rsidR="00505632" w:rsidRDefault="00505632" w:rsidP="00505632">
      <w:r>
        <w:t>4.</w:t>
      </w:r>
      <w:r>
        <w:tab/>
        <w:t xml:space="preserve">Županijskoj lučkoj upravi Rab, u iznosu od 3.247.553,95 kuna za radove na projektu „Produljenje gata u trajektnoj luci Lopar“;  </w:t>
      </w:r>
    </w:p>
    <w:p w:rsidR="00505632" w:rsidRDefault="00505632" w:rsidP="00505632">
      <w:r>
        <w:t>5.</w:t>
      </w:r>
      <w:r>
        <w:tab/>
        <w:t xml:space="preserve">Lučkoj upravi Splitsko-dalmatinske županije, u iznosu od 1.700.000,00 kuna za radove na projektu „Sanacija trajektnog  pristana u luci Supetar“; </w:t>
      </w:r>
    </w:p>
    <w:p w:rsidR="00505632" w:rsidRDefault="00505632" w:rsidP="00505632">
      <w:r>
        <w:t>6.</w:t>
      </w:r>
      <w:r>
        <w:tab/>
        <w:t xml:space="preserve">Lučkoj upravi Dubrovačko-neretvanske županije, u iznosu od 2.000.000,00 kuna za radove na projektu „Izgradnja lučke infrastrukture u luci Ston“; </w:t>
      </w:r>
    </w:p>
    <w:p w:rsidR="00505632" w:rsidRDefault="00505632" w:rsidP="00505632">
      <w:r>
        <w:t>7.</w:t>
      </w:r>
      <w:r>
        <w:tab/>
        <w:t xml:space="preserve">Županijskoj lučkoj upravi Zadar, u iznosu od 414.517,19 kuna za radove na projektu „Rekonstrukcija obalnog zida luke Petrčane“; </w:t>
      </w:r>
    </w:p>
    <w:p w:rsidR="00505632" w:rsidRDefault="00505632" w:rsidP="00505632">
      <w:r>
        <w:t>8.</w:t>
      </w:r>
      <w:r>
        <w:tab/>
        <w:t xml:space="preserve">Lučkoj upravi Šibensko-kninske županije, u iznosu od 854.275,89 kuna za radove na projektu „Izgradnja luke otvorene za javni promet Bilice-uvala Stubalj“;  </w:t>
      </w:r>
    </w:p>
    <w:p w:rsidR="00505632" w:rsidRDefault="00505632" w:rsidP="00505632">
      <w:r>
        <w:t>9.</w:t>
      </w:r>
      <w:r>
        <w:tab/>
        <w:t xml:space="preserve">Lučkoj upravi Pula, u iznosu od 2.750.000,00 kuna za  radove na projektu „Sanacija operativne obale podno pulske Arene“; </w:t>
      </w:r>
    </w:p>
    <w:p w:rsidR="00505632" w:rsidRDefault="00505632" w:rsidP="00505632">
      <w:r>
        <w:t>10.</w:t>
      </w:r>
      <w:r>
        <w:tab/>
        <w:t xml:space="preserve">Županijska lučka uprava Mali Lošinj, u iznosu od 3.000.000,00 kuna za  radove na projektu „Dogradnja operativnog mola i trajektne rampe u luci Susak“; </w:t>
      </w:r>
    </w:p>
    <w:p w:rsidR="00505632" w:rsidRDefault="00505632" w:rsidP="00505632">
      <w:r>
        <w:t>11.</w:t>
      </w:r>
      <w:r>
        <w:tab/>
        <w:t xml:space="preserve">Županijskoj lučkoj upravi Krk, u iznosu od 1.500.000,00 kuna za radove na projektu „Dogradnja i rekonstrukcija luke Njivice“; </w:t>
      </w:r>
    </w:p>
    <w:p w:rsidR="00505632" w:rsidRDefault="00505632" w:rsidP="00505632">
      <w:r>
        <w:t>12.</w:t>
      </w:r>
      <w:r>
        <w:tab/>
        <w:t xml:space="preserve">Lučkoj upravi Dubrovačko-neretvanske županije, u iznosu od 916.715,80 kuna za radove na projektu „Sanacija dijela lukobrana luke Prigradica“; </w:t>
      </w:r>
    </w:p>
    <w:p w:rsidR="00505632" w:rsidRDefault="00505632" w:rsidP="00505632">
      <w:r>
        <w:t>13.</w:t>
      </w:r>
      <w:r>
        <w:tab/>
        <w:t xml:space="preserve">Županijskoj lučkoj upravi Opatija-Lovran-Mošćenička Draga, u iznosu od 1.100.000,00 kuna za radove na projektu „Sanacija obale za potrebe izgradnje novog dijela luke Mošćenička draga“. </w:t>
      </w:r>
    </w:p>
    <w:p w:rsidR="00505632" w:rsidRDefault="00505632" w:rsidP="00505632">
      <w:r>
        <w:t>14.</w:t>
      </w:r>
      <w:r>
        <w:tab/>
        <w:t xml:space="preserve">Županijskoj lučkoj upravi Umag Novigrad, u iznosu od 1.250.000,00 kuna za radove na projektu „Sanacija gata pomorskog graničnog prijelaza I. kategorije u luci Umag“. </w:t>
      </w:r>
    </w:p>
    <w:p w:rsidR="00505632" w:rsidRDefault="00505632" w:rsidP="00505632">
      <w:r>
        <w:t>15.</w:t>
      </w:r>
      <w:r>
        <w:tab/>
        <w:t xml:space="preserve">Županijskoj lučkoj upravi Umag Novigrad, u iznosu od 1.000.000,00 kuna za radove na projektu „Sanacija carinskog gata i dijela operativne obale u luci Novigrad“. </w:t>
      </w:r>
    </w:p>
    <w:p w:rsidR="00505632" w:rsidRDefault="00505632" w:rsidP="00505632">
      <w:r>
        <w:t>16.</w:t>
      </w:r>
      <w:r>
        <w:tab/>
        <w:t>Županijskoj lučkoj upravi Crikvenica, u iznosu od 2.626.557,97 kuna za radove na projektu „Uklapanje u prostor dijelom izvedene komunalne luke Podvorska,rekonstrukcija i dogradnja“.</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Stupanj pripremljenosti projekta izrade nacionalnog plana razvoja luka od županijskog i lokalnog značaja</w:t>
            </w:r>
          </w:p>
        </w:tc>
        <w:tc>
          <w:tcPr>
            <w:tcW w:w="2551" w:type="dxa"/>
          </w:tcPr>
          <w:p w:rsidR="00505632" w:rsidRDefault="00505632" w:rsidP="00AD4E52">
            <w:pPr>
              <w:pStyle w:val="CellColumn"/>
              <w:jc w:val="left"/>
            </w:pPr>
            <w:r>
              <w:rPr>
                <w:rFonts w:cs="Times New Roman"/>
              </w:rPr>
              <w:t>Preduvjet daljnjeg razvoja pomorskog prometa i prateće infrastrukture jeste potreba izrade nacionalnog plana razvoja luka otvorenih za javni promet od županijskog i lokalnog značaja, a ovim pokazateljem mjerit će stupanj pripremljenosti izrade Programa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A570293 POTPORA LUČKOJ UPRAVI RIJEKA ZA VRAĆANJE OBVEZA PO ZAJMU EDCF - PROJEKT "SAMSUNG"</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A570293-POTPORA LUČKOJ UPRAVI RIJEKA ZA VRAĆANJE OBVEZA PO ZAJMU EDCF - PROJEKT "SAMSUNG"</w:t>
            </w:r>
          </w:p>
        </w:tc>
        <w:tc>
          <w:tcPr>
            <w:tcW w:w="2041" w:type="dxa"/>
          </w:tcPr>
          <w:p w:rsidR="00505632" w:rsidRDefault="00505632" w:rsidP="00AD4E52">
            <w:pPr>
              <w:pStyle w:val="CellColumn"/>
              <w:jc w:val="right"/>
            </w:pPr>
            <w:r>
              <w:rPr>
                <w:rFonts w:cs="Times New Roman"/>
              </w:rPr>
              <w:t>3.000.000</w:t>
            </w:r>
          </w:p>
        </w:tc>
        <w:tc>
          <w:tcPr>
            <w:tcW w:w="2041" w:type="dxa"/>
          </w:tcPr>
          <w:p w:rsidR="00505632" w:rsidRDefault="00505632" w:rsidP="00AD4E52">
            <w:pPr>
              <w:pStyle w:val="CellColumn"/>
              <w:jc w:val="right"/>
            </w:pPr>
            <w:r>
              <w:rPr>
                <w:rFonts w:cs="Times New Roman"/>
              </w:rPr>
              <w:t>3.000.000</w:t>
            </w:r>
          </w:p>
        </w:tc>
        <w:tc>
          <w:tcPr>
            <w:tcW w:w="2041" w:type="dxa"/>
          </w:tcPr>
          <w:p w:rsidR="00505632" w:rsidRDefault="00505632" w:rsidP="00AD4E52">
            <w:pPr>
              <w:pStyle w:val="CellColumn"/>
              <w:jc w:val="right"/>
            </w:pPr>
            <w:r>
              <w:rPr>
                <w:rFonts w:cs="Times New Roman"/>
              </w:rPr>
              <w:t>3.000.000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Ugovor o realizaciji Projekta „Samsung“ – modernizacije Luke Rijeka vezano na nabavku nove lučke opreme za terminal za rasute terete u Bakru i kontejnerski terminal Brajdica, po dugoročnom Zajmu Fonda gospodarskog razvitka i suradnje (EDCF)</w:t>
      </w:r>
    </w:p>
    <w:p w:rsidR="00505632" w:rsidRDefault="00505632" w:rsidP="00505632">
      <w:pPr>
        <w:pStyle w:val="Heading8"/>
        <w:jc w:val="left"/>
      </w:pPr>
      <w:r>
        <w:t>Opis aktivnosti</w:t>
      </w:r>
    </w:p>
    <w:p w:rsidR="00505632" w:rsidRDefault="00505632" w:rsidP="00505632">
      <w:r>
        <w:t xml:space="preserve">Predviđena sredstva u 2016. godini utrošena su za sufinanciranje obaveza (dospjela glavnica i kamata) po Zajmu Fonda gospodarskog razvitka i suradnje (EDCF) u cilju realizacije Projekta „Samsung“ – modernizacije Luke Rijeka vezano za nabavu lučke opreme za terminal za rasute terete u Bakru i kontejnerski terminal Brajdica. </w:t>
      </w:r>
    </w:p>
    <w:p w:rsidR="00505632" w:rsidRDefault="00505632" w:rsidP="00505632">
      <w:r>
        <w:t>Projekt je nastavak potpore iz Proračuna Republike Hrvatske na izgradnji lučke infrastrukture u luci Rijeka s ciljem povećanja prometa i kapaciteta rasutih tereta i kontejnerskog prijevoza predmetne luke.</w:t>
      </w:r>
    </w:p>
    <w:p w:rsidR="00505632" w:rsidRDefault="00505632" w:rsidP="00505632"/>
    <w:p w:rsidR="00505632" w:rsidRDefault="00505632" w:rsidP="00505632"/>
    <w:p w:rsidR="00505632" w:rsidRDefault="00505632" w:rsidP="00505632"/>
    <w:p w:rsidR="00505632" w:rsidRDefault="00505632" w:rsidP="00505632">
      <w:pPr>
        <w:pStyle w:val="Heading4"/>
      </w:pPr>
      <w:r>
        <w:t>A570294 POTPORA LUČKOJ UPRAVI RIJEKA ZA REALIZACIJU ZAJMA SVJETSKE BANKE (IBRD) - PROJEKT OBNOVE RIJEČKOG PROMETNOG PRAVCA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A570294-POTPORA LUČKOJ UPRAVI RIJEKA ZA REALIZACIJU ZAJMA SVJETSKE BANKE (IBRD) - PROJEKT OBNOVE RIJEČKOG PROMETNOG PRAVCA</w:t>
            </w:r>
          </w:p>
        </w:tc>
        <w:tc>
          <w:tcPr>
            <w:tcW w:w="2041" w:type="dxa"/>
          </w:tcPr>
          <w:p w:rsidR="00505632" w:rsidRDefault="00505632" w:rsidP="00AD4E52">
            <w:pPr>
              <w:pStyle w:val="CellColumn"/>
              <w:jc w:val="right"/>
            </w:pPr>
            <w:r>
              <w:rPr>
                <w:rFonts w:cs="Times New Roman"/>
              </w:rPr>
              <w:t>79.067.972</w:t>
            </w:r>
          </w:p>
        </w:tc>
        <w:tc>
          <w:tcPr>
            <w:tcW w:w="2041" w:type="dxa"/>
          </w:tcPr>
          <w:p w:rsidR="00505632" w:rsidRDefault="00505632" w:rsidP="00AD4E52">
            <w:pPr>
              <w:pStyle w:val="CellColumn"/>
              <w:jc w:val="right"/>
            </w:pPr>
            <w:r>
              <w:rPr>
                <w:rFonts w:cs="Times New Roman"/>
              </w:rPr>
              <w:t>54.651.000</w:t>
            </w:r>
          </w:p>
        </w:tc>
        <w:tc>
          <w:tcPr>
            <w:tcW w:w="2041" w:type="dxa"/>
          </w:tcPr>
          <w:p w:rsidR="00505632" w:rsidRDefault="00505632" w:rsidP="00AD4E52">
            <w:pPr>
              <w:pStyle w:val="CellColumn"/>
              <w:jc w:val="right"/>
            </w:pPr>
            <w:r>
              <w:rPr>
                <w:rFonts w:cs="Times New Roman"/>
              </w:rPr>
              <w:t>53.415.031</w:t>
            </w:r>
          </w:p>
        </w:tc>
        <w:tc>
          <w:tcPr>
            <w:tcW w:w="1224" w:type="dxa"/>
          </w:tcPr>
          <w:p w:rsidR="00505632" w:rsidRDefault="00505632" w:rsidP="00AD4E52">
            <w:pPr>
              <w:pStyle w:val="CellColumn"/>
              <w:jc w:val="right"/>
            </w:pPr>
            <w:r>
              <w:rPr>
                <w:rFonts w:cs="Times New Roman"/>
              </w:rPr>
              <w:t>97,7</w:t>
            </w:r>
          </w:p>
        </w:tc>
        <w:tc>
          <w:tcPr>
            <w:tcW w:w="1224" w:type="dxa"/>
          </w:tcPr>
          <w:p w:rsidR="00505632" w:rsidRDefault="00505632" w:rsidP="00AD4E52">
            <w:pPr>
              <w:pStyle w:val="CellColumn"/>
              <w:jc w:val="right"/>
            </w:pPr>
            <w:r>
              <w:rPr>
                <w:rFonts w:cs="Times New Roman"/>
              </w:rPr>
              <w:t>67,6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Odluka Vlade Republike Hrvatske o pokretanju postupka za sklapanje Ugovora o jamstvu za Projekt obnove riječkog prometnog pravca (Rijeka Gateway projekt I) između Republike Hrvatske i Međunarodne banke za obnovu i razvoj (IBRD) od 30. travnja 2003. godine,  </w:t>
      </w:r>
    </w:p>
    <w:p w:rsidR="00505632" w:rsidRDefault="00505632" w:rsidP="00505632">
      <w:r>
        <w:t xml:space="preserve">- Odluka Vlade Republike Hrvatske o davanju suglasnosti za sklapanje Ugovora o zajmu za Projekt obnove riječkog prometnog pravca između  Međunarodne banke za obnovu i razvoj (IBRD) i Lučke uprave Rijeka od 22. svibnja 2003. godine,  </w:t>
      </w:r>
    </w:p>
    <w:p w:rsidR="00505632" w:rsidRDefault="00505632" w:rsidP="00505632">
      <w:r>
        <w:t xml:space="preserve">- Ugovor o jamstvu između Republike Hrvatske i Svjetske banke (IBRD – Međunarodne banke za obnovu i razvoj) od 12. srpnja 2003. godine, Ugovora o zajmu br. 4715 HR sklopljenog između Lučke uprave Rijeka i Svjetske banke (IBRD - Međunarodne banke za obnovu i razvoj)  od 12. srpnja 2003. godine, Zakona o potvrđivanju Ugovora o jamstvu između Republike Hrvatske i Međunarodne banke za obnovu i razvoj za Projekt obnove riječkog prometnog pravca od 01. listopada 2003. godine (Narodne novine br. 16/2003 Međunarodni ugovori),  </w:t>
      </w:r>
    </w:p>
    <w:p w:rsidR="00505632" w:rsidRDefault="00505632" w:rsidP="00505632">
      <w:r>
        <w:t xml:space="preserve">- Ugovor o zajmu br. 4715 HR sklopljenog između Međunarodne banke za obnovu i razvoj (IBRD) i Lučke uprave Rijeka, kojim je IBRD odobrila Lučkoj upravi Rijeka zajam od 55.100.000,00 USD na rok od 15. godina, uključujući razdoblje počeka od 5 godina i uz varijabilnu kamatnu stopu (šestomjesečni LIBOR na USD), </w:t>
      </w:r>
    </w:p>
    <w:p w:rsidR="00505632" w:rsidRDefault="00505632" w:rsidP="00505632">
      <w:r>
        <w:t xml:space="preserve">- Odluka Vlade Republike Hrvatske o pokretanju postupka za sklapanje Ugovora o jamstvu za financiranje dodatnih troškova Projekta obnove riječkog prometnog pravca I (Rijeka Gateway projekt I) između Republike Hrvatske i Međunarodne banke za obnovu i razvoj (IBRD) od 26. travnja 2007. godine, </w:t>
      </w:r>
    </w:p>
    <w:p w:rsidR="00505632" w:rsidRDefault="00505632" w:rsidP="00505632">
      <w:r>
        <w:t xml:space="preserve">- Odluka Vlade Republike Hrvatske o davanju suglasnosti za sklapanje Ugovora o zajmu za financiranje dodatnih troškova Projekta obnove riječkog prometnog pravca između Međunarodne banke za obnovu i razvoj (IBRD) i Lučke uprave Rijeka od 26. travnja 2007. godine, </w:t>
      </w:r>
    </w:p>
    <w:p w:rsidR="00505632" w:rsidRDefault="00505632" w:rsidP="00505632">
      <w:r>
        <w:t xml:space="preserve">- Ugovor o jamstvu između Republike Hrvatske i Svjetske banke (IBRD – Međunarodne banke za obnovu i razvoj) od 11. lipnja 2007.godine, Ugovora o zajmu br. 47151 HR sklopljenog između Lučke uprave Rijeka i Svjetske banke (IBRD - Međunarodne banke za obnovu i razvoj) od 11. lipnja 2007. godine, Zakona o potvrđivanju Ugovora o jamstvu između Republike Hrvatske i Međunarodne banke za obnovu i razvoj za financiranje dodatnih troškova „Projekta obnove riječkog prometnog pravca“ od 10. listopada 2007. godine (Narodne novine br. 9/2007 Međunarodni ugovori),  </w:t>
      </w:r>
    </w:p>
    <w:p w:rsidR="00505632" w:rsidRDefault="00505632" w:rsidP="00505632">
      <w:r>
        <w:t xml:space="preserve">- Ugovor o zajmu (Loan Agreement no. 47151 HR) između Međunarodne banke za obnovu i razvoj (IBRD) i Lučke uprave Rijeka, kojim je IBRD odobrila Lučkoj upravi Rijeka dodatni zajam od 35.3 milijuna EUR (protuvrijednost 48.0 milijuna USD) za financiranje dodatnih troškova Projekta obnove riječkog prometnog pravca na rok od 13 godina, uključujući razdoblje počeka od 4 godine uz varijabilnu kamatnu stopu (EURIBOR + varijabilna marža), </w:t>
      </w:r>
    </w:p>
    <w:p w:rsidR="00505632" w:rsidRDefault="00505632" w:rsidP="00505632">
      <w:r>
        <w:t xml:space="preserve">- Odluka Vlade Republike Hrvatske o pokretanju postupka za sklapanje Ugovora o jamstvu između Republike Hrvatske i Međunarodne banke za obnovu i razvoj (IBRD) za Projekt obnove riječkog prometnog pravca II od 24. listopada 2008.godine, </w:t>
      </w:r>
    </w:p>
    <w:p w:rsidR="00505632" w:rsidRDefault="00505632" w:rsidP="00505632">
      <w:r>
        <w:t xml:space="preserve">- Odluka Vlade Republike Hrvatske o davanju suglasnosti za sklapanje Ugovora o zajmu između Lučke uprave Rijeka i Međunarodne banke za obnovu i razvoj (IBRD)za Projekt obnove riječkog prometnog pravca II od 24. listopada 2008. godine, </w:t>
      </w:r>
    </w:p>
    <w:p w:rsidR="00505632" w:rsidRDefault="00505632" w:rsidP="00505632">
      <w:r>
        <w:t xml:space="preserve">- Ugovor o jamstvu između Republike Hrvatske i Svjetske banke (IBRD – Međunarodne banke za obnovu i razvoj) od 17. travnja 2009. godine, Ugovora o zajmu br. 7638 HR sklopljenog između Lučke uprave Rijeka i Svjetske banke (IBRD - Međunarodne banke za obnovu i razvoj) od 17. travnja 2009.godine i Dodatka Ugovora o zajmu od 04. veljače 2014. godine kojim je utvrđeno restrukturiranje zajma i produženje roka korištenja zajma, Zakona o potvrđivanju Ugovora o jamstvu između Republike Hrvatske i Međunarodne banke za obnovu i razvoj za „Projekt obnove riječkog prometnog pravca II“ od 24.lipnja 2009.godine (Narodne novine br. 6/2009 Međunarodni ugovori), </w:t>
      </w:r>
    </w:p>
    <w:p w:rsidR="00505632" w:rsidRDefault="00505632" w:rsidP="00505632">
      <w:r>
        <w:t>- Ugovor o zajmu (Loan Agreement no. 7638 HR) između Međunarodne banke za obnovu i razvoj (IBRD) i Lučke uprave Rijeka, kojim je IBRD odobrila Lučkoj upravi Rijeka zajam od 84 milijuna EUR za financiranje Projekta obnove riječkog prometnog pravca II na rok od 23 godine, uključujući razdoblje počeka od 10 godina uz varijabilnu kamatnu stopu.</w:t>
      </w:r>
    </w:p>
    <w:p w:rsidR="00505632" w:rsidRDefault="00505632" w:rsidP="00505632">
      <w:pPr>
        <w:pStyle w:val="Heading8"/>
        <w:jc w:val="left"/>
      </w:pPr>
      <w:r>
        <w:t>Opis aktivnosti</w:t>
      </w:r>
    </w:p>
    <w:p w:rsidR="00505632" w:rsidRDefault="00505632" w:rsidP="00505632">
      <w:r>
        <w:t xml:space="preserve">Navedena sredstva utrošena su cjelovito u 2016. godini kao dio potpore koja je namijenjena realizaciji Zajma Svjetske banke – Međunarodne banke za obnovu i razvoj (IBRD) u cilju realizacije Projekta obnove riječkog prometnog pravca I. – uključujući dodatno financiranje (Rijeka Gateway Projekt I) i Projekta obnove riječkog prometnog pravca II. (Rijeka Gateway Projekt II).  </w:t>
      </w:r>
    </w:p>
    <w:p w:rsidR="00505632" w:rsidRDefault="00505632" w:rsidP="00505632">
      <w:r>
        <w:t>Utrošena sredstva u 2016.godini odnose se na glavnicu i kamate po IBRD zajmovima br. 4715 HR, 47151 HR (zajmovi u otplati) i 7638 HR (zajam u korištenju), koje su dospjele u 2016.godini (44.200.964,34 kn) i na domaće učešće od 5% u korištenju IBRD zajma br. 7638 HR za plaćanje obveza prema dobavljačima – izvođačima radova i za konzultantske usluge (9.214.066,75 kn), od čega se najveći dio (8.512.700,80 kn) odnosi na obveze prema ugovoru sa izvođačem radova na izgradnji Zagrebačkog pristaništa.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Izgrađenost infrastrukturnih objekata u luci Rijeka (Gateway projekt)</w:t>
            </w:r>
          </w:p>
        </w:tc>
        <w:tc>
          <w:tcPr>
            <w:tcW w:w="2551" w:type="dxa"/>
          </w:tcPr>
          <w:p w:rsidR="00505632" w:rsidRDefault="00505632" w:rsidP="00AD4E52">
            <w:pPr>
              <w:pStyle w:val="CellColumn"/>
              <w:jc w:val="left"/>
            </w:pPr>
            <w:r>
              <w:rPr>
                <w:rFonts w:cs="Times New Roman"/>
              </w:rPr>
              <w:t>Povećanjem izgrađenosti infrastrukturnih objekata stvorit će se preduvjet za povećanje prometa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Lučka uprava Rijeka</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75</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A570348 UTVRĐIVANJE I PROVEDBA GRANICA POMORSKOG DOBRA S IZVLAŠTENJEM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A570348-UTVRĐIVANJE I PROVEDBA GRANICA POMORSKOG DOBRA S IZVLAŠTENJEM</w:t>
            </w:r>
          </w:p>
        </w:tc>
        <w:tc>
          <w:tcPr>
            <w:tcW w:w="2041" w:type="dxa"/>
          </w:tcPr>
          <w:p w:rsidR="00505632" w:rsidRDefault="00505632" w:rsidP="00AD4E52">
            <w:pPr>
              <w:pStyle w:val="CellColumn"/>
              <w:jc w:val="right"/>
            </w:pPr>
            <w:r>
              <w:rPr>
                <w:rFonts w:cs="Times New Roman"/>
              </w:rPr>
              <w:t>1.938.304</w:t>
            </w:r>
          </w:p>
        </w:tc>
        <w:tc>
          <w:tcPr>
            <w:tcW w:w="2041" w:type="dxa"/>
          </w:tcPr>
          <w:p w:rsidR="00505632" w:rsidRDefault="00505632" w:rsidP="00AD4E52">
            <w:pPr>
              <w:pStyle w:val="CellColumn"/>
              <w:jc w:val="right"/>
            </w:pPr>
            <w:r>
              <w:rPr>
                <w:rFonts w:cs="Times New Roman"/>
              </w:rPr>
              <w:t>3.440.000</w:t>
            </w:r>
          </w:p>
        </w:tc>
        <w:tc>
          <w:tcPr>
            <w:tcW w:w="2041" w:type="dxa"/>
          </w:tcPr>
          <w:p w:rsidR="00505632" w:rsidRDefault="00505632" w:rsidP="00AD4E52">
            <w:pPr>
              <w:pStyle w:val="CellColumn"/>
              <w:jc w:val="right"/>
            </w:pPr>
            <w:r>
              <w:rPr>
                <w:rFonts w:cs="Times New Roman"/>
              </w:rPr>
              <w:t>597.710</w:t>
            </w:r>
          </w:p>
        </w:tc>
        <w:tc>
          <w:tcPr>
            <w:tcW w:w="1224" w:type="dxa"/>
          </w:tcPr>
          <w:p w:rsidR="00505632" w:rsidRDefault="00505632" w:rsidP="00AD4E52">
            <w:pPr>
              <w:pStyle w:val="CellColumn"/>
              <w:jc w:val="right"/>
            </w:pPr>
            <w:r>
              <w:rPr>
                <w:rFonts w:cs="Times New Roman"/>
              </w:rPr>
              <w:t>17,4</w:t>
            </w:r>
          </w:p>
        </w:tc>
        <w:tc>
          <w:tcPr>
            <w:tcW w:w="1224" w:type="dxa"/>
          </w:tcPr>
          <w:p w:rsidR="00505632" w:rsidRDefault="00505632" w:rsidP="00AD4E52">
            <w:pPr>
              <w:pStyle w:val="CellColumn"/>
              <w:jc w:val="right"/>
            </w:pPr>
            <w:r>
              <w:rPr>
                <w:rFonts w:cs="Times New Roman"/>
              </w:rPr>
              <w:t>30,8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pomorskom dobru i morskim lukama (Narodne novine broj 158/03.,100/04., 141/06., 38/09, 123/11 i 56/16) </w:t>
      </w:r>
    </w:p>
    <w:p w:rsidR="00505632" w:rsidRDefault="00505632" w:rsidP="00505632">
      <w:r>
        <w:t xml:space="preserve">- Odluka ministra mora, prometa i infrastrukture o dodjeli proračunskih sredstava jedinicama regionalne samouprave za potrebe sufinanciranja projekata čiji je krajnji cilj utvrđivanje i provedba granicama utvrđenog pomorskog dobra (izrada geodetskih podloga i geodetskih elaborata) u 2016. godini, </w:t>
      </w:r>
    </w:p>
    <w:p w:rsidR="00505632" w:rsidRDefault="00505632" w:rsidP="00505632">
      <w:r>
        <w:t xml:space="preserve">- Ugovor br. 2-POM/2016 o sufinanciranju projekta utvrđivanja i provedbe granicama utvrđenog pomorskog dobra u 2016. godini u Primorsko – goranskoj županiji, </w:t>
      </w:r>
    </w:p>
    <w:p w:rsidR="00505632" w:rsidRDefault="00505632" w:rsidP="00505632">
      <w:r>
        <w:t>- Članak 38. i 73. Zakona o sustavu države uprave i članak 3. Državnog proračuna Republike Hrvatske za 2016. godinu i projekciji za 2017. i 2018. godinu.</w:t>
      </w:r>
    </w:p>
    <w:p w:rsidR="00505632" w:rsidRDefault="00505632" w:rsidP="00505632">
      <w:pPr>
        <w:pStyle w:val="Heading8"/>
        <w:jc w:val="left"/>
      </w:pPr>
      <w:r>
        <w:t>Opis aktivnosti</w:t>
      </w:r>
    </w:p>
    <w:p w:rsidR="00505632" w:rsidRDefault="00505632" w:rsidP="00505632">
      <w:r>
        <w:t xml:space="preserve">Realizirana sredstva sa ove aktivnosti odnosila su se na  usluge izrade, kako slijedi: </w:t>
      </w:r>
    </w:p>
    <w:p w:rsidR="00505632" w:rsidRDefault="00505632" w:rsidP="00505632">
      <w:r>
        <w:t xml:space="preserve">- stručne analize kvalitete izrade zaprimljenih prijedloga granica pomorskog dobra te predlaganje mjera za poboljšanje, </w:t>
      </w:r>
    </w:p>
    <w:p w:rsidR="00505632" w:rsidRDefault="00505632" w:rsidP="00505632">
      <w:r>
        <w:t xml:space="preserve">- izrade dokumentacije sustava upravljanja za postupak utvrđivanja granica pomorskog dobra i postupak provedbe granica pomorskog dobra, </w:t>
      </w:r>
    </w:p>
    <w:p w:rsidR="00505632" w:rsidRDefault="00505632" w:rsidP="00505632">
      <w:r>
        <w:t xml:space="preserve">- stručne analize dodijeljenih koncesija na pomorskom dobru s aspekta gospodarske opravdanosti i </w:t>
      </w:r>
    </w:p>
    <w:p w:rsidR="00505632" w:rsidRDefault="00505632" w:rsidP="00505632">
      <w:r>
        <w:t xml:space="preserve">- izrade dokumentacije Sustava upravljanja kvalitetom za postupak pripreme i provedbu odluka o koncesijama na pomorskom dobru koje donosi Vlada Republike Hrvatske i postupak za nadzor nad provedbom ugovora o koncesiji na pomorskom dobru. </w:t>
      </w:r>
    </w:p>
    <w:p w:rsidR="00505632" w:rsidRDefault="00505632" w:rsidP="00505632">
      <w:r>
        <w:t>Najveći dio sredstava ove aktivnosti (preko 2.5 milijuna kuna) bio je planiran radi podmirenja troškova izvlaštenja s pomorskog dobra. S obzirom da do 31. prosinca 2016. godine Ministarstvo, mora prometa i infrastrukture nije, temeljem Rješenja nadležnog suda, zaprimilo nijedan zahtjev za podmirenjem troškova izvlaštenja s pomorskog dobra, ova sredstva time nisu ni utrošena tijekom 2016. godine.</w:t>
      </w:r>
    </w:p>
    <w:p w:rsidR="00505632" w:rsidRDefault="00505632" w:rsidP="00505632">
      <w:pPr>
        <w:pStyle w:val="Heading4"/>
      </w:pPr>
      <w:r>
        <w:t>A570350 DODJELA KONCESIJA NA POMORSKOM DOBRU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A570350-DODJELA KONCESIJA NA POMORSKOM DOBRU</w:t>
            </w:r>
          </w:p>
        </w:tc>
        <w:tc>
          <w:tcPr>
            <w:tcW w:w="2041" w:type="dxa"/>
          </w:tcPr>
          <w:p w:rsidR="00505632" w:rsidRDefault="00505632" w:rsidP="00AD4E52">
            <w:pPr>
              <w:pStyle w:val="CellColumn"/>
              <w:jc w:val="right"/>
            </w:pPr>
            <w:r>
              <w:rPr>
                <w:rFonts w:cs="Times New Roman"/>
              </w:rPr>
              <w:t>64.922</w:t>
            </w:r>
          </w:p>
        </w:tc>
        <w:tc>
          <w:tcPr>
            <w:tcW w:w="2041" w:type="dxa"/>
          </w:tcPr>
          <w:p w:rsidR="00505632" w:rsidRDefault="00505632" w:rsidP="00AD4E52">
            <w:pPr>
              <w:pStyle w:val="CellColumn"/>
              <w:jc w:val="right"/>
            </w:pPr>
            <w:r>
              <w:rPr>
                <w:rFonts w:cs="Times New Roman"/>
              </w:rPr>
              <w:t>250.000</w:t>
            </w:r>
          </w:p>
        </w:tc>
        <w:tc>
          <w:tcPr>
            <w:tcW w:w="2041" w:type="dxa"/>
          </w:tcPr>
          <w:p w:rsidR="00505632" w:rsidRDefault="00505632" w:rsidP="00AD4E52">
            <w:pPr>
              <w:pStyle w:val="CellColumn"/>
              <w:jc w:val="right"/>
            </w:pPr>
            <w:r>
              <w:rPr>
                <w:rFonts w:cs="Times New Roman"/>
              </w:rPr>
              <w:t>107.660</w:t>
            </w:r>
          </w:p>
        </w:tc>
        <w:tc>
          <w:tcPr>
            <w:tcW w:w="1224" w:type="dxa"/>
          </w:tcPr>
          <w:p w:rsidR="00505632" w:rsidRDefault="00505632" w:rsidP="00AD4E52">
            <w:pPr>
              <w:pStyle w:val="CellColumn"/>
              <w:jc w:val="right"/>
            </w:pPr>
            <w:r>
              <w:rPr>
                <w:rFonts w:cs="Times New Roman"/>
              </w:rPr>
              <w:t>43,1</w:t>
            </w:r>
          </w:p>
        </w:tc>
        <w:tc>
          <w:tcPr>
            <w:tcW w:w="1224" w:type="dxa"/>
          </w:tcPr>
          <w:p w:rsidR="00505632" w:rsidRDefault="00505632" w:rsidP="00AD4E52">
            <w:pPr>
              <w:pStyle w:val="CellColumn"/>
              <w:jc w:val="right"/>
            </w:pPr>
            <w:r>
              <w:rPr>
                <w:rFonts w:cs="Times New Roman"/>
              </w:rPr>
              <w:t>165,8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pomorskom dobru i morskim lukama (Narodne novine broj 158/03.,100/04., 141/06., 38/09, 123/11 i 56/16)</w:t>
      </w:r>
    </w:p>
    <w:p w:rsidR="00505632" w:rsidRDefault="00505632" w:rsidP="00505632">
      <w:pPr>
        <w:pStyle w:val="Heading8"/>
        <w:jc w:val="left"/>
      </w:pPr>
      <w:r>
        <w:t>Opis aktivnosti</w:t>
      </w:r>
    </w:p>
    <w:p w:rsidR="00505632" w:rsidRDefault="00505632" w:rsidP="00505632">
      <w:r>
        <w:t xml:space="preserve">Sredstva s ove aktivnosti, u 2016. godini, utrošena su radi izrade različitih stručnih analiza dodijeljenih koncesija na pomorskom dobru s aspekta gospodarske opravdanosti te radi izrade dokumentacije Sustava upravljanja kvalitetom za postupak pripreme i provedbu odluka o koncesijama na pomorskom dobru, koje donosi Vlada Republike Hrvatske, i postupak za nadzor nad provedbom ugovora o koncesiji na pomorskom dobru. </w:t>
      </w:r>
    </w:p>
    <w:p w:rsidR="00505632" w:rsidRDefault="00505632" w:rsidP="00505632">
      <w:r>
        <w:t>Preostali iznos neutrošenih sredstava ove aktivnosti odnosi se na inicijativu Ministarstva da tijekom 2016. godine izradi analizu određivanja početnih iznosa koncesijskih naknada na pomorskom dobru kao preduvjeta daljnjeg razvoja pomorskog gospodarstva Republike Hrvatske. S obzirom da do 31. prosinca 2016. godine nije pokrenuta nabavka usluge koja bi rezultirala izrađenom analizom, gore navedena sredstva time nisu ni utrošena.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Dodijeljene koncesije na pomorskom dobru prema kriteriju održivosti razvoja i uz poštivanje posebnosti određenih lokacija</w:t>
            </w:r>
          </w:p>
        </w:tc>
        <w:tc>
          <w:tcPr>
            <w:tcW w:w="2551" w:type="dxa"/>
          </w:tcPr>
          <w:p w:rsidR="00505632" w:rsidRDefault="00505632" w:rsidP="00AD4E52">
            <w:pPr>
              <w:pStyle w:val="CellColumn"/>
              <w:jc w:val="left"/>
            </w:pPr>
            <w:r>
              <w:rPr>
                <w:rFonts w:cs="Times New Roman"/>
              </w:rPr>
              <w:t>Upravljanje pomorskim dobrom kroz uvažavanje posebnosti lokacija (zaštita područja u prirodnom, kulturnom ili krajobraznom obliku) i dodjela koncesija radi gospodarskog korištenja ili posebne upotrebe prema ranije utvrđenim transparentnim kriterijima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6</w:t>
            </w:r>
          </w:p>
        </w:tc>
        <w:tc>
          <w:tcPr>
            <w:tcW w:w="1020" w:type="dxa"/>
          </w:tcPr>
          <w:p w:rsidR="00505632" w:rsidRDefault="00505632" w:rsidP="00AD4E52">
            <w:pPr>
              <w:pStyle w:val="CellColumn"/>
              <w:jc w:val="right"/>
            </w:pPr>
            <w:r>
              <w:rPr>
                <w:rFonts w:cs="Times New Roman"/>
              </w:rPr>
              <w:t>5</w:t>
            </w:r>
          </w:p>
        </w:tc>
      </w:tr>
    </w:tbl>
    <w:p w:rsidR="00505632" w:rsidRDefault="00505632" w:rsidP="00505632">
      <w:pPr>
        <w:jc w:val="left"/>
      </w:pPr>
    </w:p>
    <w:p w:rsidR="00505632" w:rsidRDefault="00505632" w:rsidP="00505632">
      <w:pPr>
        <w:pStyle w:val="Heading4"/>
      </w:pPr>
      <w:r>
        <w:t>A570464 POTPORA LUČKOJ UPRAVI DUBROVNIK ZA OTPLATU ZAJMA EBRD-PROJEKT IZGRADNJE LUČKE INFRASTRUKTURE-DOMAĆA KOMPONENTA</w:t>
      </w:r>
    </w:p>
    <w:tbl>
      <w:tblPr>
        <w:tblStyle w:val="StilTablice"/>
        <w:tblW w:w="10206" w:type="dxa"/>
        <w:jc w:val="center"/>
        <w:tblLook w:val="04A0" w:firstRow="1" w:lastRow="0" w:firstColumn="1" w:lastColumn="0" w:noHBand="0" w:noVBand="1"/>
      </w:tblPr>
      <w:tblGrid>
        <w:gridCol w:w="1959"/>
        <w:gridCol w:w="1945"/>
        <w:gridCol w:w="1946"/>
        <w:gridCol w:w="1946"/>
        <w:gridCol w:w="1200"/>
        <w:gridCol w:w="1210"/>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A570464-POTPORA LUČKOJ UPRAVI DUBROVNIK ZA OTPLATU ZAJMA EBRD-PROJEKT IZGRADNJE LUČKE INFRASTRUKTURE-DOMAĆA KOMPONENTA</w:t>
            </w:r>
          </w:p>
        </w:tc>
        <w:tc>
          <w:tcPr>
            <w:tcW w:w="2041" w:type="dxa"/>
          </w:tcPr>
          <w:p w:rsidR="00505632" w:rsidRDefault="00505632" w:rsidP="00AD4E52">
            <w:pPr>
              <w:pStyle w:val="CellColumn"/>
              <w:jc w:val="right"/>
            </w:pPr>
            <w:r>
              <w:rPr>
                <w:rFonts w:cs="Times New Roman"/>
              </w:rPr>
              <w:t>14.000.000</w:t>
            </w:r>
          </w:p>
        </w:tc>
        <w:tc>
          <w:tcPr>
            <w:tcW w:w="2041" w:type="dxa"/>
          </w:tcPr>
          <w:p w:rsidR="00505632" w:rsidRDefault="00505632" w:rsidP="00AD4E52">
            <w:pPr>
              <w:pStyle w:val="CellColumn"/>
              <w:jc w:val="right"/>
            </w:pPr>
            <w:r>
              <w:rPr>
                <w:rFonts w:cs="Times New Roman"/>
              </w:rPr>
              <w:t>15.000.000</w:t>
            </w:r>
          </w:p>
        </w:tc>
        <w:tc>
          <w:tcPr>
            <w:tcW w:w="2041" w:type="dxa"/>
          </w:tcPr>
          <w:p w:rsidR="00505632" w:rsidRDefault="00505632" w:rsidP="00AD4E52">
            <w:pPr>
              <w:pStyle w:val="CellColumn"/>
              <w:jc w:val="right"/>
            </w:pPr>
            <w:r>
              <w:rPr>
                <w:rFonts w:cs="Times New Roman"/>
              </w:rPr>
              <w:t>15.000.000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107,1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Odluka o dodjeli proračunskih sredstava Lučkoj upravi Dubrovnik za 2016. godinu namijenjenih za vraćanje obveza po zajmu Europske banke za obnovu i razvoj  (EBRD) za Projekt rekonstrukcije i izgradnje  lučke infrastrukture u luci Dubrovnik od 25. ožujka 2016. godine (Klasa: 400-01/16-03/84; Urbroj: 530-03-1-2-2-16-1), </w:t>
      </w:r>
    </w:p>
    <w:p w:rsidR="00505632" w:rsidRDefault="00505632" w:rsidP="00505632">
      <w:r>
        <w:t>- Ugovor br.8-POM/2016 o potpori za vraćanje obveza po zajmu Europske banke za obnovu i razvoj (EBRD) u cilju realizacije Projekta rekonstrukcije i izgradnje lučke infrastrukture u luci Dubrovnik od 29. ožujka 2016. godine (Klasa: 400-01/16-03/84; Urbroj: 530-03-1-2-2-16-2), između Ministarstva mora, prometa i infrastrukture i Lučke uprave Dubrovnik.</w:t>
      </w:r>
    </w:p>
    <w:p w:rsidR="00505632" w:rsidRDefault="00505632" w:rsidP="00505632">
      <w:pPr>
        <w:pStyle w:val="Heading8"/>
        <w:jc w:val="left"/>
      </w:pPr>
      <w:r>
        <w:t>Opis aktivnosti</w:t>
      </w:r>
    </w:p>
    <w:p w:rsidR="00505632" w:rsidRDefault="00505632" w:rsidP="00505632">
      <w:r>
        <w:t xml:space="preserve">Predviđena sredstva u 2016. godini utrošena su za sufinanciranje potpore za otplatu Zajma Europske banke za obnovu i razvoj (glavnice i kamata) s ciljem realizacije Projekta rekonstrukcije i izgradnje lučke infrastrukture u luci Dubrovnik. </w:t>
      </w:r>
    </w:p>
    <w:p w:rsidR="00505632" w:rsidRDefault="00505632" w:rsidP="00505632">
      <w:r>
        <w:t>Projekt je nastavak potpore iz Proračuna RH na izgradnji lučke infrastrukture u luci Dubrovnik s ciljem povećanja prometa prijevoza predmetne luke nakon što sva potrebna infrastruktura bude izgrađena.</w:t>
      </w:r>
    </w:p>
    <w:p w:rsidR="00505632" w:rsidRDefault="00505632" w:rsidP="00505632">
      <w:pPr>
        <w:pStyle w:val="Heading4"/>
      </w:pPr>
      <w:r>
        <w:t>A570482 STIPENDIRANJE REDOVITIH UČENIKA I STUDENATA SREDNJIH POMORSKIH ŠKOLA I POMORSKIH FAKULTETA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A570482-STIPENDIRANJE REDOVITIH UČENIKA I STUDENATA SREDNJIH POMORSKIH ŠKOLA I POMORSKIH FAKULTETA</w:t>
            </w:r>
          </w:p>
        </w:tc>
        <w:tc>
          <w:tcPr>
            <w:tcW w:w="2041" w:type="dxa"/>
          </w:tcPr>
          <w:p w:rsidR="00505632" w:rsidRDefault="00505632" w:rsidP="00AD4E52">
            <w:pPr>
              <w:pStyle w:val="CellColumn"/>
              <w:jc w:val="right"/>
            </w:pPr>
            <w:r>
              <w:rPr>
                <w:rFonts w:cs="Times New Roman"/>
              </w:rPr>
              <w:t>4.287.600</w:t>
            </w:r>
          </w:p>
        </w:tc>
        <w:tc>
          <w:tcPr>
            <w:tcW w:w="2041" w:type="dxa"/>
          </w:tcPr>
          <w:p w:rsidR="00505632" w:rsidRDefault="00505632" w:rsidP="00AD4E52">
            <w:pPr>
              <w:pStyle w:val="CellColumn"/>
              <w:jc w:val="right"/>
            </w:pPr>
            <w:r>
              <w:rPr>
                <w:rFonts w:cs="Times New Roman"/>
              </w:rPr>
              <w:t>4.188.000</w:t>
            </w:r>
          </w:p>
        </w:tc>
        <w:tc>
          <w:tcPr>
            <w:tcW w:w="2041" w:type="dxa"/>
          </w:tcPr>
          <w:p w:rsidR="00505632" w:rsidRDefault="00505632" w:rsidP="00AD4E52">
            <w:pPr>
              <w:pStyle w:val="CellColumn"/>
              <w:jc w:val="right"/>
            </w:pPr>
            <w:r>
              <w:rPr>
                <w:rFonts w:cs="Times New Roman"/>
              </w:rPr>
              <w:t>4.043.400</w:t>
            </w:r>
          </w:p>
        </w:tc>
        <w:tc>
          <w:tcPr>
            <w:tcW w:w="1224" w:type="dxa"/>
          </w:tcPr>
          <w:p w:rsidR="00505632" w:rsidRDefault="00505632" w:rsidP="00AD4E52">
            <w:pPr>
              <w:pStyle w:val="CellColumn"/>
              <w:jc w:val="right"/>
            </w:pPr>
            <w:r>
              <w:rPr>
                <w:rFonts w:cs="Times New Roman"/>
              </w:rPr>
              <w:t>96,5</w:t>
            </w:r>
          </w:p>
        </w:tc>
        <w:tc>
          <w:tcPr>
            <w:tcW w:w="1224" w:type="dxa"/>
          </w:tcPr>
          <w:p w:rsidR="00505632" w:rsidRDefault="00505632" w:rsidP="00AD4E52">
            <w:pPr>
              <w:pStyle w:val="CellColumn"/>
              <w:jc w:val="right"/>
            </w:pPr>
            <w:r>
              <w:rPr>
                <w:rFonts w:cs="Times New Roman"/>
              </w:rPr>
              <w:t>94,3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Program stipendiranja redovitih studenata preddiplomskog sveučilišnog studija nautičkog i brodostrojarskog smjera i učenika koji pohađaju srednjoškolsko obrazovanje nautičkog i brodostrojarskog smjera temelji se na Zaključku Vlade Republike Hrvatske (Klasa: 131-01/06-02/01, Urbroj: 5030116-06-2) od 23. veljače 2006. godine., </w:t>
      </w:r>
    </w:p>
    <w:p w:rsidR="00505632" w:rsidRDefault="00505632" w:rsidP="00505632">
      <w:r>
        <w:t xml:space="preserve">- Odluka ministra mora, prometa i infrastrukture o uvjetima za dodjelu stipendija redovitim studentima preddiplomskog sveučilišnog studija nautičkog i brodostrojarskog smjera, kao i učenicima koji pohađaju srednjoškolsko obrazovanje nautičkog, brodostrojarskog i ribarsko-nautičkog smjera u akademskoj, odnosno školskoj godini 2016./2017., </w:t>
      </w:r>
    </w:p>
    <w:p w:rsidR="00505632" w:rsidRDefault="00505632" w:rsidP="00505632">
      <w:r>
        <w:t xml:space="preserve">- Natječaj za dodjelu stipendija redovitim studentima preddiplomskog sveučilišnog studija nautičkog i brodostrojarskog smjera, te učenicima koji pohađaju srednjoškolsko obrazovanje nautičkog, brodostrojarskog i ribarsko-nautičkog smjera u akademskoj, odnosno školskoj godini 2016./2017., </w:t>
      </w:r>
    </w:p>
    <w:p w:rsidR="00505632" w:rsidRDefault="00505632" w:rsidP="00505632">
      <w:r>
        <w:t xml:space="preserve">- Rješenje Ministarstva mora, prometa i infrastrukture, </w:t>
      </w:r>
    </w:p>
    <w:p w:rsidR="00505632" w:rsidRDefault="00505632" w:rsidP="00505632">
      <w:r>
        <w:t>- Ugovor o dodjeli stipendije za svakog pojedinog studenta.</w:t>
      </w:r>
    </w:p>
    <w:p w:rsidR="00505632" w:rsidRDefault="00505632" w:rsidP="00505632">
      <w:pPr>
        <w:pStyle w:val="Heading8"/>
        <w:jc w:val="left"/>
      </w:pPr>
      <w:r>
        <w:t>Opis aktivnosti</w:t>
      </w:r>
    </w:p>
    <w:p w:rsidR="00505632" w:rsidRDefault="00505632" w:rsidP="00505632">
      <w:r>
        <w:t>Financijska proračunska sredstva u 2016. godini utrošena su za stipendiranje redovitih učenika i studenata srednjih pomorskih škola i pomorskih fakulteta, temeljem sklopljenih Ugovora o stipendiranju s Ministarstvom mora, prometa i infrastrukture po pojedinom studentu / učeniku na osnovu ranije donesenih Rješenja ministra mora, prometa i infrastrukture o dodjeli stipendije (2013. godine - 40 učenika,  2014. godine - 89 učenika i 29 studenata, 2015. godine 90 učenika i  42 studenta, 2016. godine - 47 učenika  i 23 studenta) za ukupno 360 stipendista (iznos pojedinačne stipendije za učenika iznosi 800,00 kn, a za studenta 1.200,00 kn). Poticanjem školovanja i specijalističke naobrazbe, razvidno je da se povećava broj i kvaliteta osposobljenih pomoraca na pomorskim školama i fakultetima, čime je ostvarena ciljana vrijednost u 2016. godini.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dodijeljenih školarina i stipendija u oblasti pomorskog prometa</w:t>
            </w:r>
          </w:p>
        </w:tc>
        <w:tc>
          <w:tcPr>
            <w:tcW w:w="2551" w:type="dxa"/>
          </w:tcPr>
          <w:p w:rsidR="00505632" w:rsidRDefault="00505632" w:rsidP="00AD4E52">
            <w:pPr>
              <w:pStyle w:val="CellColumn"/>
              <w:jc w:val="left"/>
            </w:pPr>
            <w:r>
              <w:rPr>
                <w:rFonts w:cs="Times New Roman"/>
              </w:rPr>
              <w:t>Edukacijom stručnog kadra postiže se kvalitetnija usluga u pomorskom prometu (godišnje vrijednosti)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374</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360</w:t>
            </w:r>
          </w:p>
        </w:tc>
        <w:tc>
          <w:tcPr>
            <w:tcW w:w="1020" w:type="dxa"/>
          </w:tcPr>
          <w:p w:rsidR="00505632" w:rsidRDefault="00505632" w:rsidP="00AD4E52">
            <w:pPr>
              <w:pStyle w:val="CellColumn"/>
              <w:jc w:val="right"/>
            </w:pPr>
            <w:r>
              <w:rPr>
                <w:rFonts w:cs="Times New Roman"/>
              </w:rPr>
              <w:t>360</w:t>
            </w:r>
          </w:p>
        </w:tc>
      </w:tr>
    </w:tbl>
    <w:p w:rsidR="00505632" w:rsidRDefault="00505632" w:rsidP="00505632">
      <w:pPr>
        <w:jc w:val="left"/>
      </w:pPr>
    </w:p>
    <w:p w:rsidR="00505632" w:rsidRDefault="00505632" w:rsidP="00505632">
      <w:pPr>
        <w:pStyle w:val="Heading4"/>
      </w:pPr>
      <w:r>
        <w:t>A570503 POTPORA LUČKOJ UPRAVI PLOČE ZA REALIZACIJU PROJEKTA INTEGRACIJE TRGOVINE I TRANSPORTA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A570503-POTPORA LUČKOJ UPRAVI PLOČE ZA REALIZACIJU PROJEKTA INTEGRACIJE TRGOVINE I TRANSPORTA</w:t>
            </w:r>
          </w:p>
        </w:tc>
        <w:tc>
          <w:tcPr>
            <w:tcW w:w="2041" w:type="dxa"/>
          </w:tcPr>
          <w:p w:rsidR="00505632" w:rsidRDefault="00505632" w:rsidP="00AD4E52">
            <w:pPr>
              <w:pStyle w:val="CellColumn"/>
              <w:jc w:val="right"/>
            </w:pPr>
            <w:r>
              <w:rPr>
                <w:rFonts w:cs="Times New Roman"/>
              </w:rPr>
              <w:t>25.000.000</w:t>
            </w:r>
          </w:p>
        </w:tc>
        <w:tc>
          <w:tcPr>
            <w:tcW w:w="2041" w:type="dxa"/>
          </w:tcPr>
          <w:p w:rsidR="00505632" w:rsidRDefault="00505632" w:rsidP="00AD4E52">
            <w:pPr>
              <w:pStyle w:val="CellColumn"/>
              <w:jc w:val="right"/>
            </w:pPr>
            <w:r>
              <w:rPr>
                <w:rFonts w:cs="Times New Roman"/>
              </w:rPr>
              <w:t>3.806.000</w:t>
            </w:r>
          </w:p>
        </w:tc>
        <w:tc>
          <w:tcPr>
            <w:tcW w:w="2041" w:type="dxa"/>
          </w:tcPr>
          <w:p w:rsidR="00505632" w:rsidRDefault="00505632" w:rsidP="00AD4E52">
            <w:pPr>
              <w:pStyle w:val="CellColumn"/>
              <w:jc w:val="right"/>
            </w:pPr>
            <w:r>
              <w:rPr>
                <w:rFonts w:cs="Times New Roman"/>
              </w:rPr>
              <w:t>3.805.568</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15,2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pomorskom dobru i morskim lukama (Narodne novine broj 158/03.,100/04., 141/06., 38/09, 123/11 i 56/16), </w:t>
      </w:r>
    </w:p>
    <w:p w:rsidR="00505632" w:rsidRDefault="00505632" w:rsidP="00505632">
      <w:r>
        <w:t xml:space="preserve">- Odluka o dodjeli proračunskih sredstava Lučkoj upravi Ploče za 2016. godinu namijenjenih za plaćanje udjela Republike Hrvatske u Projektu integracije trgovine i transporta (TTI) radi povlačenja sredstava Zajma Svjetske banke (Međunarodne banke za obnovu i razvoj-IBRD) od 25.03.2016. godine (Klasa: 400-01/16-03/81; Urbroj: 530-03-1-2-2-16-2), </w:t>
      </w:r>
    </w:p>
    <w:p w:rsidR="00505632" w:rsidRDefault="00505632" w:rsidP="00505632">
      <w:r>
        <w:t>- Ugovor br. 2 – POM/2016. o potpori za realizaciju Projekta integracije trgovine i transporta (TTI) u luci Ploče od 29.03.2016. godine (Klasa:400-01/16-03/81; Ur. broj: 530-03-1-2-2-16-4) koji je sklopljen između Lučke uprave Ploče i Ministarstva mora, prometa i infrastrukture.</w:t>
      </w:r>
    </w:p>
    <w:p w:rsidR="00505632" w:rsidRDefault="00505632" w:rsidP="00505632">
      <w:pPr>
        <w:pStyle w:val="Heading8"/>
        <w:jc w:val="left"/>
      </w:pPr>
      <w:r>
        <w:t>Opis aktivnosti</w:t>
      </w:r>
    </w:p>
    <w:p w:rsidR="00505632" w:rsidRDefault="00505632" w:rsidP="00505632">
      <w:r>
        <w:t xml:space="preserve">Predviđena sredstva u 2016. godini utrošena su za sufinanciranje obaveza u financiranju Projekta integracije trgovine i transporta za luku Ploče i za komponentu projekta »Izgradnja Terminala rasutih tereta TRT- Financiranje PDV-a«. Sredstva su trošena sukladno dinamici napredovanja radova u skladu s potpisanim ugovorima s izvođačima radova na predmetnim građevinama. </w:t>
      </w:r>
    </w:p>
    <w:p w:rsidR="00505632" w:rsidRDefault="00505632" w:rsidP="00505632">
      <w:r>
        <w:t>Projekt je nastavak potpore iz Proračuna RH na izgradnji lučke infrastrukture u luci Ploče s ciljem povećanja prometa i kapaciteta rasutih tereta i kontejnerskog prijevoza predmetne luke nakon što sva potrebna infrastruktura bude izgrađena.</w:t>
      </w:r>
    </w:p>
    <w:p w:rsidR="00505632" w:rsidRDefault="00505632" w:rsidP="00505632">
      <w:pPr>
        <w:pStyle w:val="Heading4"/>
      </w:pPr>
      <w:r>
        <w:t>A754030 ČLANARINE U MEĐUNARODNIM ORGANIZACIJAMA U POMORSTVU</w:t>
      </w:r>
    </w:p>
    <w:tbl>
      <w:tblPr>
        <w:tblStyle w:val="StilTablice"/>
        <w:tblW w:w="10206" w:type="dxa"/>
        <w:jc w:val="center"/>
        <w:tblLook w:val="04A0" w:firstRow="1" w:lastRow="0" w:firstColumn="1" w:lastColumn="0" w:noHBand="0" w:noVBand="1"/>
      </w:tblPr>
      <w:tblGrid>
        <w:gridCol w:w="1903"/>
        <w:gridCol w:w="1962"/>
        <w:gridCol w:w="1957"/>
        <w:gridCol w:w="1963"/>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A754030-ČLANARINE U MEĐUNARODNIM ORGANIZACIJAMA U POMORSTVU</w:t>
            </w:r>
          </w:p>
        </w:tc>
        <w:tc>
          <w:tcPr>
            <w:tcW w:w="2041" w:type="dxa"/>
          </w:tcPr>
          <w:p w:rsidR="00505632" w:rsidRDefault="00505632" w:rsidP="00AD4E52">
            <w:pPr>
              <w:pStyle w:val="CellColumn"/>
              <w:jc w:val="right"/>
            </w:pPr>
            <w:r>
              <w:rPr>
                <w:rFonts w:cs="Times New Roman"/>
              </w:rPr>
              <w:t>523.856</w:t>
            </w:r>
          </w:p>
        </w:tc>
        <w:tc>
          <w:tcPr>
            <w:tcW w:w="2041" w:type="dxa"/>
          </w:tcPr>
          <w:p w:rsidR="00505632" w:rsidRDefault="00505632" w:rsidP="00AD4E52">
            <w:pPr>
              <w:pStyle w:val="CellColumn"/>
              <w:jc w:val="right"/>
            </w:pPr>
            <w:r>
              <w:rPr>
                <w:rFonts w:cs="Times New Roman"/>
              </w:rPr>
              <w:t>610.000</w:t>
            </w:r>
          </w:p>
        </w:tc>
        <w:tc>
          <w:tcPr>
            <w:tcW w:w="2041" w:type="dxa"/>
          </w:tcPr>
          <w:p w:rsidR="00505632" w:rsidRDefault="00505632" w:rsidP="00AD4E52">
            <w:pPr>
              <w:pStyle w:val="CellColumn"/>
              <w:jc w:val="right"/>
            </w:pPr>
            <w:r>
              <w:rPr>
                <w:rFonts w:cs="Times New Roman"/>
              </w:rPr>
              <w:t>542.372</w:t>
            </w:r>
          </w:p>
        </w:tc>
        <w:tc>
          <w:tcPr>
            <w:tcW w:w="1224" w:type="dxa"/>
          </w:tcPr>
          <w:p w:rsidR="00505632" w:rsidRDefault="00505632" w:rsidP="00AD4E52">
            <w:pPr>
              <w:pStyle w:val="CellColumn"/>
              <w:jc w:val="right"/>
            </w:pPr>
            <w:r>
              <w:rPr>
                <w:rFonts w:cs="Times New Roman"/>
              </w:rPr>
              <w:t>88,9</w:t>
            </w:r>
          </w:p>
        </w:tc>
        <w:tc>
          <w:tcPr>
            <w:tcW w:w="1224" w:type="dxa"/>
          </w:tcPr>
          <w:p w:rsidR="00505632" w:rsidRDefault="00505632" w:rsidP="00AD4E52">
            <w:pPr>
              <w:pStyle w:val="CellColumn"/>
              <w:jc w:val="right"/>
            </w:pPr>
            <w:r>
              <w:rPr>
                <w:rFonts w:cs="Times New Roman"/>
              </w:rPr>
              <w:t>103,5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Najvažnije konvencije koje se tiču sigurnosti plovidbe, a koje su donesene od Međunarodne pomorske organizacije (IMO) : Međunarodna konvencija o sigurnosti ljudskih života na moru (SOLAS – Int.conv. for the safety at sea), Konvencija o međunarodnim pravilima o izbjegavanju sudara na moru (COLREG – Int.reg. for preventing collision at sea), </w:t>
      </w:r>
    </w:p>
    <w:p w:rsidR="00505632" w:rsidRDefault="00505632" w:rsidP="00505632">
      <w:r>
        <w:t xml:space="preserve">Međunarodna konvencija o sprečavanju onečišćenja mora s brodova (MARPOL – Int.conv. for the prevention of pollution from ships), Međunarodna konvencija o teretnim linijama (LL – Int.conv. on load lines), Međunarodna konvencija o baždarenju brodova (TONNAGE – Int.conv. on tonnage measurement of ships), Međunarodna konvencija o standardima uvježbavanja,stjecanja ovlaštenja i držanja straže (STCW – Int.conv.on standards of training, certification and watchkeeping for seafarers) i  Međunarodna konvencija o pomorskom traganju i spašavanju (SAR – Int.conv. on maritime search and rescue), </w:t>
      </w:r>
    </w:p>
    <w:p w:rsidR="00505632" w:rsidRDefault="00505632" w:rsidP="00505632">
      <w:r>
        <w:t>- Konvencija UN-a o pravu mora ( Sporazum o primjeni XI. dijela Konvencije Ujedi¬njenih naroda o pravu mora od 10. prosinca 1982.g. Republika Hrvatska dala je pristanak biti vezana Sporazumom 05.05.1995. prigodom polaganja notifikacije o sukcesiji Konvencije Ujedinjenih naroda o pravu mora kod glavnog tajnika UN-a).</w:t>
      </w:r>
    </w:p>
    <w:p w:rsidR="00505632" w:rsidRDefault="00505632" w:rsidP="00505632">
      <w:pPr>
        <w:pStyle w:val="Heading8"/>
        <w:jc w:val="left"/>
      </w:pPr>
      <w:r>
        <w:t>Opis aktivnosti</w:t>
      </w:r>
    </w:p>
    <w:p w:rsidR="00505632" w:rsidRDefault="00505632" w:rsidP="00505632">
      <w:r>
        <w:t xml:space="preserve">Temeljem dostavljenog Izvješća o stanju financija za Republiku Hrvatsku od strane Međunarodne pomorske organizacije (IMO) iz Londona kojeg je ovo Ministarstvo zaprimilo u listopadu 2016. godine, a vezano za trošak godišnjeg članstva Republike Hrvatske u Međunarodnoj pomorskoj organizaciji (IMO) za 2016. godinu u ukupnom iznosu od 38.910,03 GBP, račun na navedeni iznos je realiziran od strane ovoga Ministarstva u cijelosti. Za Republiku Hrvatsku, kao pomorsku zemlju, rad IMO-a je od izuzetnog značaja jer konvencije, preporuke i smjernice koje se usvajaju u okrilju ove Organizacije imaju velik i nezaobilazan značaj za razvoj pomorskog gospodarstva, pomorskog obrazovanja, znanosti, tehnologije i uprave, ukratko svih djelatnosti povezanih s morem i brodovima. Europska unija, prepoznajući značaj Međunarodne pomorske organizacije polaže veliku pozornost na koordinirani pristup država članica EU u Organizaciji. Tako se uoči i za vrijeme sjednica svih tijela IMO-a održavaju koordinacijski sastanci država članica EU radi rasprave o svim prijedlozima o kojim se raspravlja, te radi definiranja zajedničkih ili usuglašenih stajališta.  </w:t>
      </w:r>
    </w:p>
    <w:p w:rsidR="00505632" w:rsidRDefault="00505632" w:rsidP="00505632">
      <w:r>
        <w:t>Slijedom dostavljene Informacije o pozivu na uplatu doprinosa Republike Hrvatske za Međunarodnu vlast za morsko dno (ISBA), u 2016. godini plaćena su i proračunska sredstva za godišnju članarinu u korist Međunarodne uprave za morsko dno (International Seabed Authority).  Stalna misija Republike Hrvatske pri Ujedinjenim narodima u New Yorku proslijedila je Ministarstvu vanjskih i europskih poslova poziv Tajništva Međunarodne uprave za morsko dno (International Seabed Authority- ISBA), kojim se tražilo od Ministarstva mora, prometa i infrastrukture plaćanje dospjelih obveza članarine Međunarodnoj upravi za morsko dno (doprinosa u korist proračuna ISBA-e za 2016. godinu i nepodmirene obveze Republike Hrvatske za 2014. i 2015. godinu), u ukupnom iznosu od 28.245,50 USD. Preostala su neutrošena sredstva u iznosu od 67.628,40 kuna iz razloga što je tijekom 2016. godine došlo do pada tečaja engleske funte (GBP), pa je za plaćanje godišnje članarine za 2016. u korist Međunarodne pomorske organizacije (IMO) bilo potrebno manje sredstava u odnosu na Plan Proračuna za 2016.</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Sudjelovanje na sjednicama IMO-a</w:t>
            </w:r>
          </w:p>
        </w:tc>
        <w:tc>
          <w:tcPr>
            <w:tcW w:w="2551" w:type="dxa"/>
          </w:tcPr>
          <w:p w:rsidR="00505632" w:rsidRDefault="00505632" w:rsidP="00AD4E52">
            <w:pPr>
              <w:pStyle w:val="CellColumn"/>
              <w:jc w:val="left"/>
            </w:pPr>
            <w:r>
              <w:rPr>
                <w:rFonts w:cs="Times New Roman"/>
              </w:rPr>
              <w:t>Sudjelovanjem na sjednicama postiže se zastupljenost RH u radu Odbora i ostalih tijela IMO-a, uključujući i sudjelovanje u donošenju odluka i procesu izrade nacrta međunarodne strategije (radi se o godišnjim vrijednostima, te se iste ne mogu računat kumulativno)</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3</w:t>
            </w:r>
          </w:p>
        </w:tc>
      </w:tr>
    </w:tbl>
    <w:p w:rsidR="00505632" w:rsidRDefault="00505632" w:rsidP="00505632">
      <w:pPr>
        <w:jc w:val="left"/>
      </w:pPr>
    </w:p>
    <w:p w:rsidR="00505632" w:rsidRDefault="00505632" w:rsidP="00505632">
      <w:pPr>
        <w:pStyle w:val="Heading4"/>
      </w:pPr>
      <w:r>
        <w:t>A754037 SUFINANCIRANJE UKRCAJA VJEŽBENIKA NA BRODOVE U MEĐUNARODNOJ I NACIONALNOJ PLOVIDBI</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A754037-SUFINANCIRANJE UKRCAJA VJEŽBENIKA NA BRODOVE U MEĐUNARODNOJ I NACIONALNOJ PLOVIDBI</w:t>
            </w:r>
          </w:p>
        </w:tc>
        <w:tc>
          <w:tcPr>
            <w:tcW w:w="2041" w:type="dxa"/>
          </w:tcPr>
          <w:p w:rsidR="00505632" w:rsidRDefault="00505632" w:rsidP="00AD4E52">
            <w:pPr>
              <w:pStyle w:val="CellColumn"/>
              <w:jc w:val="right"/>
            </w:pPr>
            <w:r>
              <w:rPr>
                <w:rFonts w:cs="Times New Roman"/>
              </w:rPr>
              <w:t>1.779.485</w:t>
            </w:r>
          </w:p>
        </w:tc>
        <w:tc>
          <w:tcPr>
            <w:tcW w:w="2041" w:type="dxa"/>
          </w:tcPr>
          <w:p w:rsidR="00505632" w:rsidRDefault="00505632" w:rsidP="00AD4E52">
            <w:pPr>
              <w:pStyle w:val="CellColumn"/>
              <w:jc w:val="right"/>
            </w:pPr>
            <w:r>
              <w:rPr>
                <w:rFonts w:cs="Times New Roman"/>
              </w:rPr>
              <w:t>2.375.000</w:t>
            </w:r>
          </w:p>
        </w:tc>
        <w:tc>
          <w:tcPr>
            <w:tcW w:w="2041" w:type="dxa"/>
          </w:tcPr>
          <w:p w:rsidR="00505632" w:rsidRDefault="00505632" w:rsidP="00AD4E52">
            <w:pPr>
              <w:pStyle w:val="CellColumn"/>
              <w:jc w:val="right"/>
            </w:pPr>
            <w:r>
              <w:rPr>
                <w:rFonts w:cs="Times New Roman"/>
              </w:rPr>
              <w:t>2.209.905</w:t>
            </w:r>
          </w:p>
        </w:tc>
        <w:tc>
          <w:tcPr>
            <w:tcW w:w="1224" w:type="dxa"/>
          </w:tcPr>
          <w:p w:rsidR="00505632" w:rsidRDefault="00505632" w:rsidP="00AD4E52">
            <w:pPr>
              <w:pStyle w:val="CellColumn"/>
              <w:jc w:val="right"/>
            </w:pPr>
            <w:r>
              <w:rPr>
                <w:rFonts w:cs="Times New Roman"/>
              </w:rPr>
              <w:t>93,0</w:t>
            </w:r>
          </w:p>
        </w:tc>
        <w:tc>
          <w:tcPr>
            <w:tcW w:w="1224" w:type="dxa"/>
          </w:tcPr>
          <w:p w:rsidR="00505632" w:rsidRDefault="00505632" w:rsidP="00AD4E52">
            <w:pPr>
              <w:pStyle w:val="CellColumn"/>
              <w:jc w:val="right"/>
            </w:pPr>
            <w:r>
              <w:rPr>
                <w:rFonts w:cs="Times New Roman"/>
              </w:rPr>
              <w:t>124,2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Program sufinanciranja ukrcaja vježbenika palube, stroja i elektrotehnike na brodove u međunarodnoj i nacionalnoj plovidbi za 2015. i 2016. godinu, donesen temeljem Zaključka Vlade Republike Hrvatske od 17. prosinca 2014. godine.</w:t>
      </w:r>
    </w:p>
    <w:p w:rsidR="00505632" w:rsidRDefault="00505632" w:rsidP="00505632">
      <w:pPr>
        <w:pStyle w:val="Heading8"/>
        <w:jc w:val="left"/>
      </w:pPr>
      <w:r>
        <w:t>Opis aktivnosti</w:t>
      </w:r>
    </w:p>
    <w:p w:rsidR="00505632" w:rsidRDefault="00505632" w:rsidP="00505632">
      <w:r>
        <w:t xml:space="preserve">Isplaćenim sredstvima s ove aktivnosti polučeni su očekivani efekti te se djelomično ublažio problem obavljanja obvezne plovidbene prakse za stjecanje časničkih zvanja u pomorstvu. </w:t>
      </w:r>
    </w:p>
    <w:p w:rsidR="00505632" w:rsidRDefault="00505632" w:rsidP="00505632">
      <w:r>
        <w:t xml:space="preserve">Uvjet za stjecanje časničkih zvanja, temeljem STCW Konvencije i  Pravilnika o zvanjima i svjedodžbama o osposobljenosti pomoraca (Narodne novine, broj 130/13. i 45/14.) je 12 mjeseci plovidbene službe u svojstvu vježbenika palube, vježbenika stroja ili vježbenika elektrotehnike prema definiranom programu, od čega najmanje 6 mjeseci mora biti na brodovima u međunarodnoj plovidbi. </w:t>
      </w:r>
    </w:p>
    <w:p w:rsidR="00505632" w:rsidRDefault="00505632" w:rsidP="00505632">
      <w:r>
        <w:t xml:space="preserve">Ukrcaj vježbenika se sufinancira proračunskim sredstvima u iznosu od 73,0 kune po ukrcanom vježbeniku dnevno u međunarodnoj plovidbi, odnosno 50,0 kuna u nacionalnoj plovidbi.  </w:t>
      </w:r>
    </w:p>
    <w:p w:rsidR="00505632" w:rsidRDefault="00505632" w:rsidP="00505632">
      <w:r>
        <w:t xml:space="preserve">Počekom 2016. godine proračunska sredstva u iznosu od 334.000  kune dodijeljena su brodarima Brodospasu d.d., Split, Jadroliniji, Rijeka, Jadroplovu d.d., Split, Tankerskoj plovidbi d.d., Zadar, Uljanik plovidbi d.d., Pula za 176 vježbenika ukrcanih na brodove u 2015. godini koji su ostvarili ukupno 8.725 dana plovidbe (od toga 8.482 dana plovidbe u međunarodnoj plovidbi i 243 dana u nacionalnoj plovidbi u razdoblju od 15.10.2015. do 31.12.2015) i ista nisu mogla biti isplaćena spomenutim Brodarima iz Proračuna RH za 2015. godinu zbog kratkoće roka za dostavu zahtjeva brodara s priloženim obračunima za zadnje tromjesečje 2015. godine. </w:t>
      </w:r>
    </w:p>
    <w:p w:rsidR="00505632" w:rsidRDefault="00505632" w:rsidP="00505632">
      <w:r>
        <w:t>Krajem 2016. godine proračunska sredstva, u ukupnom iznosu od 1.875.905 kuna, dodijeljena su brodarima Brodospasu d.d., Split, Jadroliniji, Rijeka, Jadroplovu d.d., Split, Tankerskoj plovidbi d.d., Zadar, Uljanik plovidbi d.d., Pula, Atlantskoj plovidbi d.d., Dubrovnik i  Dinamarinu d.o.o., Rijeka za 279 ukrcana vježbenika koji su ostvarili ukupno 27.524 dana plovidbe (od toga 26.373 dana plovidbe u međunarodnoj plovidbi i 1.151 dana u nacionalnoj plovidbi u razdoblju od 01.01. do 15.10.2016. godine).</w:t>
      </w:r>
    </w:p>
    <w:p w:rsidR="00505632" w:rsidRDefault="00505632" w:rsidP="00505632">
      <w:pPr>
        <w:pStyle w:val="Heading4"/>
      </w:pPr>
      <w:r>
        <w:t>A810019 POTPORA LUČKOJ UPRAVI ŠIBENIK ZA REALIZACIJU ZAJMA EBRD-PROJEKT MODERNIZACIJE LUČKE INFRASTRUKTURE LUKE ŠIBENIK-DOMAĆA KOMPONENTA</w:t>
      </w:r>
    </w:p>
    <w:tbl>
      <w:tblPr>
        <w:tblStyle w:val="StilTablice"/>
        <w:tblW w:w="10206" w:type="dxa"/>
        <w:jc w:val="center"/>
        <w:tblLook w:val="04A0" w:firstRow="1" w:lastRow="0" w:firstColumn="1" w:lastColumn="0" w:noHBand="0" w:noVBand="1"/>
      </w:tblPr>
      <w:tblGrid>
        <w:gridCol w:w="1892"/>
        <w:gridCol w:w="1964"/>
        <w:gridCol w:w="1965"/>
        <w:gridCol w:w="1965"/>
        <w:gridCol w:w="1206"/>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A810019-POTPORA LUČKOJ UPRAVI ŠIBENIK ZA REALIZACIJU ZAJMA EBRD-PROJEKT MODERNIZACIJE LUČKE INFRASTRUKTURE LUKE ŠIBENIK-DOMAĆA KOMPONENTA</w:t>
            </w:r>
          </w:p>
        </w:tc>
        <w:tc>
          <w:tcPr>
            <w:tcW w:w="2041" w:type="dxa"/>
          </w:tcPr>
          <w:p w:rsidR="00505632" w:rsidRDefault="00505632" w:rsidP="00AD4E52">
            <w:pPr>
              <w:pStyle w:val="CellColumn"/>
              <w:jc w:val="right"/>
            </w:pPr>
            <w:r>
              <w:rPr>
                <w:rFonts w:cs="Times New Roman"/>
              </w:rPr>
              <w:t>7.285.634</w:t>
            </w:r>
          </w:p>
        </w:tc>
        <w:tc>
          <w:tcPr>
            <w:tcW w:w="2041" w:type="dxa"/>
          </w:tcPr>
          <w:p w:rsidR="00505632" w:rsidRDefault="00505632" w:rsidP="00AD4E52">
            <w:pPr>
              <w:pStyle w:val="CellColumn"/>
              <w:jc w:val="right"/>
            </w:pPr>
            <w:r>
              <w:rPr>
                <w:rFonts w:cs="Times New Roman"/>
              </w:rPr>
              <w:t>6.200.000</w:t>
            </w:r>
          </w:p>
        </w:tc>
        <w:tc>
          <w:tcPr>
            <w:tcW w:w="2041" w:type="dxa"/>
          </w:tcPr>
          <w:p w:rsidR="00505632" w:rsidRDefault="00505632" w:rsidP="00AD4E52">
            <w:pPr>
              <w:pStyle w:val="CellColumn"/>
              <w:jc w:val="right"/>
            </w:pPr>
            <w:r>
              <w:rPr>
                <w:rFonts w:cs="Times New Roman"/>
              </w:rPr>
              <w:t>5.887.786</w:t>
            </w:r>
          </w:p>
        </w:tc>
        <w:tc>
          <w:tcPr>
            <w:tcW w:w="1224" w:type="dxa"/>
          </w:tcPr>
          <w:p w:rsidR="00505632" w:rsidRDefault="00505632" w:rsidP="00AD4E52">
            <w:pPr>
              <w:pStyle w:val="CellColumn"/>
              <w:jc w:val="right"/>
            </w:pPr>
            <w:r>
              <w:rPr>
                <w:rFonts w:cs="Times New Roman"/>
              </w:rPr>
              <w:t>95,0</w:t>
            </w:r>
          </w:p>
        </w:tc>
        <w:tc>
          <w:tcPr>
            <w:tcW w:w="1224" w:type="dxa"/>
          </w:tcPr>
          <w:p w:rsidR="00505632" w:rsidRDefault="00505632" w:rsidP="00AD4E52">
            <w:pPr>
              <w:pStyle w:val="CellColumn"/>
              <w:jc w:val="right"/>
            </w:pPr>
            <w:r>
              <w:rPr>
                <w:rFonts w:cs="Times New Roman"/>
              </w:rPr>
              <w:t>80,8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pomorskom dobru i morskim lukama (Narodne novine broj 158/03.,100/04., 141/06., 38/09, 123/11 i 56/16)</w:t>
      </w:r>
    </w:p>
    <w:p w:rsidR="00505632" w:rsidRDefault="00505632" w:rsidP="00505632">
      <w:pPr>
        <w:pStyle w:val="Heading8"/>
        <w:jc w:val="left"/>
      </w:pPr>
      <w:r>
        <w:t>Opis aktivnosti</w:t>
      </w:r>
    </w:p>
    <w:p w:rsidR="00505632" w:rsidRDefault="00505632" w:rsidP="00505632">
      <w:r>
        <w:t>Predviđena sredstva u 2016. godini utrošena su za otplatu anuiteta (kamate i glavnice) po Zajmu br. 39749 Europske banke za obnovu i razvoj (EBRD) u cilju realizacije Projekta modernizacije infrastrukture u luci Šibenik.</w:t>
      </w:r>
    </w:p>
    <w:p w:rsidR="00505632" w:rsidRDefault="00505632" w:rsidP="00505632">
      <w:pPr>
        <w:pStyle w:val="Heading4"/>
      </w:pPr>
      <w:r>
        <w:t>A810034 POTPORA LUČKOJ UPRAVI PLOČE ZA OTPLATU ZAJMA SVJETSKE BANKE (IBRD) - PROJEKT INTEGRACIJE TRGOVINE I TRANSPORTA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A810034-POTPORA LUČKOJ UPRAVI PLOČE ZA OTPLATU ZAJMA SVJETSKE BANKE (IBRD) - PROJEKT INTEGRACIJE TRGOVINE I TRANSPORTA</w:t>
            </w:r>
          </w:p>
        </w:tc>
        <w:tc>
          <w:tcPr>
            <w:tcW w:w="2041" w:type="dxa"/>
          </w:tcPr>
          <w:p w:rsidR="00505632" w:rsidRDefault="00505632" w:rsidP="00AD4E52">
            <w:pPr>
              <w:pStyle w:val="CellColumn"/>
              <w:jc w:val="right"/>
            </w:pPr>
            <w:r>
              <w:rPr>
                <w:rFonts w:cs="Times New Roman"/>
              </w:rPr>
              <w:t>42.248.021</w:t>
            </w:r>
          </w:p>
        </w:tc>
        <w:tc>
          <w:tcPr>
            <w:tcW w:w="2041" w:type="dxa"/>
          </w:tcPr>
          <w:p w:rsidR="00505632" w:rsidRDefault="00505632" w:rsidP="00AD4E52">
            <w:pPr>
              <w:pStyle w:val="CellColumn"/>
              <w:jc w:val="right"/>
            </w:pPr>
            <w:r>
              <w:rPr>
                <w:rFonts w:cs="Times New Roman"/>
              </w:rPr>
              <w:t>52.566.000</w:t>
            </w:r>
          </w:p>
        </w:tc>
        <w:tc>
          <w:tcPr>
            <w:tcW w:w="2041" w:type="dxa"/>
          </w:tcPr>
          <w:p w:rsidR="00505632" w:rsidRDefault="00505632" w:rsidP="00AD4E52">
            <w:pPr>
              <w:pStyle w:val="CellColumn"/>
              <w:jc w:val="right"/>
            </w:pPr>
            <w:r>
              <w:rPr>
                <w:rFonts w:cs="Times New Roman"/>
              </w:rPr>
              <w:t>52.322.807</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123,8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pomorskom dobru i morskim lukama (Narodne novine broj 158/03.,100/04., 141/06., 38/09, 123/11 i 56/16) </w:t>
      </w:r>
    </w:p>
    <w:p w:rsidR="00505632" w:rsidRDefault="00505632" w:rsidP="00505632">
      <w:r>
        <w:t xml:space="preserve">- Odluka o dodjeli proračunskih sredstava Lučkoj upravi Ploče za 2016. godinu namijenjenih za vraćanje obveza s osnova  Zajma Svjetske banke (IBRD) - Projekt integracije trgovine i transporta (TTI) od 25.03.2016. (Klasa: 400-01/16-03/81; Urbroj: 530-03-1-2-2-16-1), </w:t>
      </w:r>
    </w:p>
    <w:p w:rsidR="00505632" w:rsidRDefault="00505632" w:rsidP="00505632">
      <w:r>
        <w:t>- Ugovor br. 1 – POM/2016. o potpori za otplatu Zajma Svjetske banke (IBRD) br.7410 HR za Projekt integracije trgovine i transporta (TTI) u luci Ploče, sklopljen 29. ožujka 2016. godine između Lučke uprave Ploče i Ministarstva mora, prometa i infrastrukture (Klasa:400-01/16-03/81; Ur. broj: 530-03-1-2-2-16-3).</w:t>
      </w:r>
    </w:p>
    <w:p w:rsidR="00505632" w:rsidRDefault="00505632" w:rsidP="00505632">
      <w:pPr>
        <w:pStyle w:val="Heading8"/>
        <w:jc w:val="left"/>
      </w:pPr>
      <w:r>
        <w:t>Opis aktivnosti</w:t>
      </w:r>
    </w:p>
    <w:p w:rsidR="00505632" w:rsidRDefault="00505632" w:rsidP="00505632">
      <w:r>
        <w:t xml:space="preserve">Predviđena sredstva u 2016. godini utrošena su za sufinanciranje obaveza otplate zajma Svjetske banke (IBRD) - Projekt integracije trgovine i transporta za luku Ploče – glavnice i dijela kamata. </w:t>
      </w:r>
    </w:p>
    <w:p w:rsidR="00505632" w:rsidRDefault="00505632" w:rsidP="00505632">
      <w:r>
        <w:t>Projekt je nastavak potpore iz Proračuna RH na izgradnji lučke infrastrukture u luci Ploče s ciljem povećanja prometa i kapaciteta rasutih tereta i kontejnerskog prijevoza predmetne luke nakon što sva potrebna infrastruktura bude izgrađena.</w:t>
      </w:r>
    </w:p>
    <w:p w:rsidR="00505632" w:rsidRDefault="00505632" w:rsidP="00505632">
      <w:pPr>
        <w:pStyle w:val="Heading4"/>
      </w:pPr>
      <w:r>
        <w:t>A810040 PRIPREMA I PROVEDBA PROJEKATA U POMORSTVU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A810040-PRIPREMA I PROVEDBA PROJEKATA U POMORSTVU</w:t>
            </w:r>
          </w:p>
        </w:tc>
        <w:tc>
          <w:tcPr>
            <w:tcW w:w="2041" w:type="dxa"/>
          </w:tcPr>
          <w:p w:rsidR="00505632" w:rsidRDefault="00505632" w:rsidP="00AD4E52">
            <w:pPr>
              <w:pStyle w:val="CellColumn"/>
              <w:jc w:val="right"/>
            </w:pPr>
            <w:r>
              <w:rPr>
                <w:rFonts w:cs="Times New Roman"/>
              </w:rPr>
              <w:t>112.757</w:t>
            </w:r>
          </w:p>
        </w:tc>
        <w:tc>
          <w:tcPr>
            <w:tcW w:w="2041" w:type="dxa"/>
          </w:tcPr>
          <w:p w:rsidR="00505632" w:rsidRDefault="00505632" w:rsidP="00AD4E52">
            <w:pPr>
              <w:pStyle w:val="CellColumn"/>
              <w:jc w:val="right"/>
            </w:pPr>
            <w:r>
              <w:rPr>
                <w:rFonts w:cs="Times New Roman"/>
              </w:rPr>
              <w:t>250.000</w:t>
            </w:r>
          </w:p>
        </w:tc>
        <w:tc>
          <w:tcPr>
            <w:tcW w:w="2041" w:type="dxa"/>
          </w:tcPr>
          <w:p w:rsidR="00505632" w:rsidRDefault="00505632" w:rsidP="00AD4E52">
            <w:pPr>
              <w:pStyle w:val="CellColumn"/>
              <w:jc w:val="right"/>
            </w:pPr>
            <w:r>
              <w:rPr>
                <w:rFonts w:cs="Times New Roman"/>
              </w:rPr>
              <w:t>110.922</w:t>
            </w:r>
          </w:p>
        </w:tc>
        <w:tc>
          <w:tcPr>
            <w:tcW w:w="1224" w:type="dxa"/>
          </w:tcPr>
          <w:p w:rsidR="00505632" w:rsidRDefault="00505632" w:rsidP="00AD4E52">
            <w:pPr>
              <w:pStyle w:val="CellColumn"/>
              <w:jc w:val="right"/>
            </w:pPr>
            <w:r>
              <w:rPr>
                <w:rFonts w:cs="Times New Roman"/>
              </w:rPr>
              <w:t>44,4</w:t>
            </w:r>
          </w:p>
        </w:tc>
        <w:tc>
          <w:tcPr>
            <w:tcW w:w="1224" w:type="dxa"/>
          </w:tcPr>
          <w:p w:rsidR="00505632" w:rsidRDefault="00505632" w:rsidP="00AD4E52">
            <w:pPr>
              <w:pStyle w:val="CellColumn"/>
              <w:jc w:val="right"/>
            </w:pPr>
            <w:r>
              <w:rPr>
                <w:rFonts w:cs="Times New Roman"/>
              </w:rPr>
              <w:t>98,4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pomorskom dobru i morskim lukama (Narodne novine broj 158/03.,100/04., 141/06., 38/09, 123/11 i 56/16), </w:t>
      </w:r>
    </w:p>
    <w:p w:rsidR="00505632" w:rsidRDefault="00505632" w:rsidP="00505632">
      <w:r>
        <w:t xml:space="preserve">- Strategija prometnog razvitka Republike Hrvatske iz 1999. godine,  </w:t>
      </w:r>
    </w:p>
    <w:p w:rsidR="00505632" w:rsidRDefault="00505632" w:rsidP="00505632">
      <w:r>
        <w:t>- Pomorski zakonik (NN 181/04., 76/07. i 146/08.).</w:t>
      </w:r>
    </w:p>
    <w:p w:rsidR="00505632" w:rsidRDefault="00505632" w:rsidP="00505632">
      <w:pPr>
        <w:pStyle w:val="Heading8"/>
        <w:jc w:val="left"/>
      </w:pPr>
      <w:r>
        <w:t>Opis aktivnosti</w:t>
      </w:r>
    </w:p>
    <w:p w:rsidR="00505632" w:rsidRDefault="00505632" w:rsidP="00505632">
      <w:r>
        <w:t>Sredstva ove aktivnosti utrošena su za pripremu i provedbu projekata iz područja pomorstva i to u dijelu pružanja administrativne i tehničke pomoći ostalim djelatnicima koji rade na pojedinim projektima iz područja pomorstva, te za za pripremu različitih projektnih prijedloga koji će se prijaviti za sufinanciranje putem EU fondova.</w:t>
      </w:r>
    </w:p>
    <w:p w:rsidR="00505632" w:rsidRDefault="00505632" w:rsidP="00505632">
      <w:pPr>
        <w:pStyle w:val="Heading4"/>
      </w:pPr>
      <w:r>
        <w:t>A820026 TEHNIČKO ODRŽAVANJE I UPRAVLJANJE ŠKOLSKIM BRODOM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A820026-TEHNIČKO ODRŽAVANJE I UPRAVLJANJE ŠKOLSKIM BRODOM</w:t>
            </w:r>
          </w:p>
        </w:tc>
        <w:tc>
          <w:tcPr>
            <w:tcW w:w="2041" w:type="dxa"/>
          </w:tcPr>
          <w:p w:rsidR="00505632" w:rsidRDefault="00505632" w:rsidP="00AD4E52">
            <w:pPr>
              <w:pStyle w:val="CellColumn"/>
              <w:jc w:val="right"/>
            </w:pPr>
            <w:r>
              <w:rPr>
                <w:rFonts w:cs="Times New Roman"/>
              </w:rPr>
              <w:t>2.792.716</w:t>
            </w:r>
          </w:p>
        </w:tc>
        <w:tc>
          <w:tcPr>
            <w:tcW w:w="2041" w:type="dxa"/>
          </w:tcPr>
          <w:p w:rsidR="00505632" w:rsidRDefault="00505632" w:rsidP="00AD4E52">
            <w:pPr>
              <w:pStyle w:val="CellColumn"/>
              <w:jc w:val="right"/>
            </w:pPr>
            <w:r>
              <w:rPr>
                <w:rFonts w:cs="Times New Roman"/>
              </w:rPr>
              <w:t>2.793.000</w:t>
            </w:r>
          </w:p>
        </w:tc>
        <w:tc>
          <w:tcPr>
            <w:tcW w:w="2041" w:type="dxa"/>
          </w:tcPr>
          <w:p w:rsidR="00505632" w:rsidRDefault="00505632" w:rsidP="00AD4E52">
            <w:pPr>
              <w:pStyle w:val="CellColumn"/>
              <w:jc w:val="right"/>
            </w:pPr>
            <w:r>
              <w:rPr>
                <w:rFonts w:cs="Times New Roman"/>
              </w:rPr>
              <w:t>2.743.538</w:t>
            </w:r>
          </w:p>
        </w:tc>
        <w:tc>
          <w:tcPr>
            <w:tcW w:w="1224" w:type="dxa"/>
          </w:tcPr>
          <w:p w:rsidR="00505632" w:rsidRDefault="00505632" w:rsidP="00AD4E52">
            <w:pPr>
              <w:pStyle w:val="CellColumn"/>
              <w:jc w:val="right"/>
            </w:pPr>
            <w:r>
              <w:rPr>
                <w:rFonts w:cs="Times New Roman"/>
              </w:rPr>
              <w:t>98,2</w:t>
            </w:r>
          </w:p>
        </w:tc>
        <w:tc>
          <w:tcPr>
            <w:tcW w:w="1224" w:type="dxa"/>
          </w:tcPr>
          <w:p w:rsidR="00505632" w:rsidRDefault="00505632" w:rsidP="00AD4E52">
            <w:pPr>
              <w:pStyle w:val="CellColumn"/>
              <w:jc w:val="right"/>
            </w:pPr>
            <w:r>
              <w:rPr>
                <w:rFonts w:cs="Times New Roman"/>
              </w:rPr>
              <w:t>98,2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Zaključak Vlade Republike Hrvatske od 31. svibnja 2007. godine kojim je zaduženo Ministarstvo mora, prometa i infrastrukture za praćenje korištenja, upravljanje i održavanje školskog broda „Kraljica mora“, </w:t>
      </w:r>
    </w:p>
    <w:p w:rsidR="00505632" w:rsidRDefault="00505632" w:rsidP="00505632">
      <w:r>
        <w:t>- Okvirni sporazum za nabavu usluge upravljanja školskim brodom  „Kraljica mora“, ev.br.OS -64-83-2012-VV od 11.02.2013. g., sklopljen između Ministarstva mora, prometa i infrastrukture i Jadrolinije, Rijeka.</w:t>
      </w:r>
    </w:p>
    <w:p w:rsidR="00505632" w:rsidRDefault="00505632" w:rsidP="00505632">
      <w:pPr>
        <w:pStyle w:val="Heading8"/>
        <w:jc w:val="left"/>
      </w:pPr>
      <w:r>
        <w:t>Opis aktivnosti</w:t>
      </w:r>
    </w:p>
    <w:p w:rsidR="00505632" w:rsidRDefault="00505632" w:rsidP="00505632">
      <w:r>
        <w:t xml:space="preserve">Brod „Kraljica mora“ je izgrađen s prvenstvenom namjenom educiranja pomorskih kadrova, a isto je sukladno propisima Međunarodne konvencije o standardima izobrazbe, izdavanju svjedodžbi i držanju straže pomoraca (STCW - The International Convention on Standards of Training, Certification and Watchkeeping for Seafarers). Poticanjem školovanja i specijalističke naobrazbe dovoljnog broja kadrova u pomorskom prometu (dodjela školarina i stipendija) postiže se potreban nivo znanja i vještina za pružanje kvalitetnih prometnih usluga. </w:t>
      </w:r>
    </w:p>
    <w:p w:rsidR="00505632" w:rsidRDefault="00505632" w:rsidP="00505632">
      <w:r>
        <w:t xml:space="preserve">Proračunska sredstva u 2016. godini bila su isključivo utrošena namjenski za upravljanje i održavanje školskog broda „Kraljica mora“. </w:t>
      </w:r>
    </w:p>
    <w:p w:rsidR="00505632" w:rsidRDefault="00505632" w:rsidP="00505632">
      <w:r>
        <w:t>Okvirni sporazum se počeo primjenjivati od 1. ožujka 2013. zaključivanjem pojedinačnih godišnjih ugovora te je zadnje razdoblje za koje je sklopljen godišnji ugovor sa Jadrolinijom, Rijeka za razdoblje  od 1. siječanj 2016. do 31. prosinac 2016. godine.</w:t>
      </w:r>
    </w:p>
    <w:p w:rsidR="00505632" w:rsidRDefault="00505632" w:rsidP="00505632">
      <w:pPr>
        <w:pStyle w:val="Heading4"/>
      </w:pPr>
      <w:r>
        <w:t>K587039 PROJEKT NOVA LUKA ZADAR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K587039-PROJEKT NOVA LUKA ZADAR</w:t>
            </w:r>
          </w:p>
        </w:tc>
        <w:tc>
          <w:tcPr>
            <w:tcW w:w="2041" w:type="dxa"/>
          </w:tcPr>
          <w:p w:rsidR="00505632" w:rsidRDefault="00505632" w:rsidP="00AD4E52">
            <w:pPr>
              <w:pStyle w:val="CellColumn"/>
              <w:jc w:val="right"/>
            </w:pPr>
            <w:r>
              <w:rPr>
                <w:rFonts w:cs="Times New Roman"/>
              </w:rPr>
              <w:t>160.128.412</w:t>
            </w:r>
          </w:p>
        </w:tc>
        <w:tc>
          <w:tcPr>
            <w:tcW w:w="2041" w:type="dxa"/>
          </w:tcPr>
          <w:p w:rsidR="00505632" w:rsidRDefault="00505632" w:rsidP="00AD4E52">
            <w:pPr>
              <w:pStyle w:val="CellColumn"/>
              <w:jc w:val="right"/>
            </w:pPr>
            <w:r>
              <w:rPr>
                <w:rFonts w:cs="Times New Roman"/>
              </w:rPr>
              <w:t>144.660.000</w:t>
            </w:r>
          </w:p>
        </w:tc>
        <w:tc>
          <w:tcPr>
            <w:tcW w:w="2041" w:type="dxa"/>
          </w:tcPr>
          <w:p w:rsidR="00505632" w:rsidRDefault="00505632" w:rsidP="00AD4E52">
            <w:pPr>
              <w:pStyle w:val="CellColumn"/>
              <w:jc w:val="right"/>
            </w:pPr>
            <w:r>
              <w:rPr>
                <w:rFonts w:cs="Times New Roman"/>
              </w:rPr>
              <w:t>141.266.784</w:t>
            </w:r>
          </w:p>
        </w:tc>
        <w:tc>
          <w:tcPr>
            <w:tcW w:w="1224" w:type="dxa"/>
          </w:tcPr>
          <w:p w:rsidR="00505632" w:rsidRDefault="00505632" w:rsidP="00AD4E52">
            <w:pPr>
              <w:pStyle w:val="CellColumn"/>
              <w:jc w:val="right"/>
            </w:pPr>
            <w:r>
              <w:rPr>
                <w:rFonts w:cs="Times New Roman"/>
              </w:rPr>
              <w:t>97,7</w:t>
            </w:r>
          </w:p>
        </w:tc>
        <w:tc>
          <w:tcPr>
            <w:tcW w:w="1224" w:type="dxa"/>
          </w:tcPr>
          <w:p w:rsidR="00505632" w:rsidRDefault="00505632" w:rsidP="00AD4E52">
            <w:pPr>
              <w:pStyle w:val="CellColumn"/>
              <w:jc w:val="right"/>
            </w:pPr>
            <w:r>
              <w:rPr>
                <w:rFonts w:cs="Times New Roman"/>
              </w:rPr>
              <w:t>88,2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pomorskom dobru i morskim lukama (Narodne novine broj 158/03.,100/04., 141/06., 38/09, 123/11 i 56/16) </w:t>
      </w:r>
    </w:p>
    <w:p w:rsidR="00505632" w:rsidRDefault="00505632" w:rsidP="00505632">
      <w:r>
        <w:t xml:space="preserve">- Zaključak Vlade RH od 09. lipnja 2006. godine. </w:t>
      </w:r>
    </w:p>
    <w:p w:rsidR="00505632" w:rsidRDefault="00505632" w:rsidP="00505632">
      <w:r>
        <w:t>- Odluka o dodijeli proračunskih sredstava Lučkoj upravi Zadar za 2016. godinu po Zajmovima Europske investicijske banke (EIB) br. 24.093 i njemačke banke razvojne banke Kreditanstallt fur Wiederaufbau (KfW) br. 23.289, Klasa: 400-01/16-03/85, Ur.broj: 530-03-1-2-2-16-1, od 25. ožujka 2016.g.</w:t>
      </w:r>
    </w:p>
    <w:p w:rsidR="00505632" w:rsidRDefault="00505632" w:rsidP="00505632">
      <w:pPr>
        <w:pStyle w:val="Heading8"/>
        <w:jc w:val="left"/>
      </w:pPr>
      <w:r>
        <w:t>Opis aktivnosti</w:t>
      </w:r>
    </w:p>
    <w:p w:rsidR="00505632" w:rsidRDefault="00505632" w:rsidP="00505632">
      <w:r>
        <w:t>Predviđena sredstva u 2016. godini utrošena su za sufinanciranje otplata obaveza (kamata, glavnice i naknade za neiskorištena sredstva) prema zajmu Europske investicijske banke (EIB), njemačke razvojne banke (KfW), OTP banke - Hrvatska kao i plaćanja poreza na dodanu vrijednost (PDV) na radove i usluge pri izvođenju građevinskih radova na izgradnji dijela projekta (LOT I, II i IIIa) kao i ostalih troškova neophodnih za provedbu projekta (projektiranje).</w:t>
      </w:r>
    </w:p>
    <w:p w:rsidR="00505632" w:rsidRDefault="00505632" w:rsidP="00505632"/>
    <w:p w:rsidR="00505632" w:rsidRDefault="00505632" w:rsidP="00505632"/>
    <w:p w:rsidR="00505632" w:rsidRDefault="00505632" w:rsidP="00505632"/>
    <w:p w:rsidR="00505632" w:rsidRDefault="00505632" w:rsidP="00505632">
      <w:pPr>
        <w:pStyle w:val="Heading4"/>
      </w:pPr>
      <w:r>
        <w:t>T754028 PROJEKT IZGRADNJE VANJSKIH VEZOVA NA GLAVNOM LUKOBRANU U GRADSKOJ LUCI SPLIT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T754028-PROJEKT IZGRADNJE VANJSKIH VEZOVA NA GLAVNOM LUKOBRANU U GRADSKOJ LUCI SPLIT</w:t>
            </w:r>
          </w:p>
        </w:tc>
        <w:tc>
          <w:tcPr>
            <w:tcW w:w="2041" w:type="dxa"/>
          </w:tcPr>
          <w:p w:rsidR="00505632" w:rsidRDefault="00505632" w:rsidP="00AD4E52">
            <w:pPr>
              <w:pStyle w:val="CellColumn"/>
              <w:jc w:val="right"/>
            </w:pPr>
            <w:r>
              <w:rPr>
                <w:rFonts w:cs="Times New Roman"/>
              </w:rPr>
              <w:t>12.035.000</w:t>
            </w:r>
          </w:p>
        </w:tc>
        <w:tc>
          <w:tcPr>
            <w:tcW w:w="2041" w:type="dxa"/>
          </w:tcPr>
          <w:p w:rsidR="00505632" w:rsidRDefault="00505632" w:rsidP="00AD4E52">
            <w:pPr>
              <w:pStyle w:val="CellColumn"/>
              <w:jc w:val="right"/>
            </w:pPr>
            <w:r>
              <w:rPr>
                <w:rFonts w:cs="Times New Roman"/>
              </w:rPr>
              <w:t>3.000.000</w:t>
            </w:r>
          </w:p>
        </w:tc>
        <w:tc>
          <w:tcPr>
            <w:tcW w:w="2041" w:type="dxa"/>
          </w:tcPr>
          <w:p w:rsidR="00505632" w:rsidRDefault="00505632" w:rsidP="00AD4E52">
            <w:pPr>
              <w:pStyle w:val="CellColumn"/>
              <w:jc w:val="right"/>
            </w:pPr>
            <w:r>
              <w:rPr>
                <w:rFonts w:cs="Times New Roman"/>
              </w:rPr>
              <w:t>3.000.000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24,9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Strategija prometnog razvitka Republike Hrvatske iz 1999. godine,  </w:t>
      </w:r>
    </w:p>
    <w:p w:rsidR="00505632" w:rsidRDefault="00505632" w:rsidP="00505632">
      <w:r>
        <w:t xml:space="preserve">- Pomorski zakonik (Narodne novine broj 181/04., 76/07., 146/08., 61/11. i 56/13.),  </w:t>
      </w:r>
    </w:p>
    <w:p w:rsidR="00505632" w:rsidRDefault="00505632" w:rsidP="00505632">
      <w:r>
        <w:t xml:space="preserve">- Zakon o pomorskom dobru i morskim lukama (Narodne novine broj 158/03.,100/04., 141/06., 38/09, 123/11 i 56/16), </w:t>
      </w:r>
    </w:p>
    <w:p w:rsidR="00505632" w:rsidRDefault="00505632" w:rsidP="00505632">
      <w:r>
        <w:t>- Pretpristupna pomorska strategija Republike Hrvatske, 2005</w:t>
      </w:r>
    </w:p>
    <w:p w:rsidR="00505632" w:rsidRDefault="00505632" w:rsidP="00505632">
      <w:pPr>
        <w:pStyle w:val="Heading8"/>
        <w:jc w:val="left"/>
      </w:pPr>
      <w:r>
        <w:t>Opis aktivnosti</w:t>
      </w:r>
    </w:p>
    <w:p w:rsidR="00505632" w:rsidRDefault="00505632" w:rsidP="00505632">
      <w:r>
        <w:t>Predviđena sredstva u 2016. godini utrošena su za podmirenje obaveza plaćanja poreza na dodanu vrijednost za Projekt obnove infrastrukture luke Split-Projekt izgradnje vanjskih vezova na glavnom lukobranu u Gradskoj luci Split.</w:t>
      </w:r>
    </w:p>
    <w:p w:rsidR="00505632" w:rsidRDefault="00505632" w:rsidP="00505632">
      <w:pPr>
        <w:pStyle w:val="Heading4"/>
      </w:pPr>
      <w:r>
        <w:t>T754033 IPA ADRIATIC -  BALMAS Projekt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T754033-IPA ADRIATIC -  BALMAS Projekt</w:t>
            </w:r>
          </w:p>
        </w:tc>
        <w:tc>
          <w:tcPr>
            <w:tcW w:w="2041" w:type="dxa"/>
          </w:tcPr>
          <w:p w:rsidR="00505632" w:rsidRDefault="00505632" w:rsidP="00AD4E52">
            <w:pPr>
              <w:pStyle w:val="CellColumn"/>
              <w:jc w:val="right"/>
            </w:pPr>
            <w:r>
              <w:rPr>
                <w:rFonts w:cs="Times New Roman"/>
              </w:rPr>
              <w:t>606.200</w:t>
            </w:r>
          </w:p>
        </w:tc>
        <w:tc>
          <w:tcPr>
            <w:tcW w:w="2041" w:type="dxa"/>
          </w:tcPr>
          <w:p w:rsidR="00505632" w:rsidRDefault="00505632" w:rsidP="00AD4E52">
            <w:pPr>
              <w:pStyle w:val="CellColumn"/>
              <w:jc w:val="right"/>
            </w:pPr>
            <w:r>
              <w:rPr>
                <w:rFonts w:cs="Times New Roman"/>
              </w:rPr>
              <w:t>337.000</w:t>
            </w:r>
          </w:p>
        </w:tc>
        <w:tc>
          <w:tcPr>
            <w:tcW w:w="2041" w:type="dxa"/>
          </w:tcPr>
          <w:p w:rsidR="00505632" w:rsidRDefault="00505632" w:rsidP="00AD4E52">
            <w:pPr>
              <w:pStyle w:val="CellColumn"/>
              <w:jc w:val="right"/>
            </w:pPr>
            <w:r>
              <w:rPr>
                <w:rFonts w:cs="Times New Roman"/>
              </w:rPr>
              <w:t>186.886</w:t>
            </w:r>
          </w:p>
        </w:tc>
        <w:tc>
          <w:tcPr>
            <w:tcW w:w="1224" w:type="dxa"/>
          </w:tcPr>
          <w:p w:rsidR="00505632" w:rsidRDefault="00505632" w:rsidP="00AD4E52">
            <w:pPr>
              <w:pStyle w:val="CellColumn"/>
              <w:jc w:val="right"/>
            </w:pPr>
            <w:r>
              <w:rPr>
                <w:rFonts w:cs="Times New Roman"/>
              </w:rPr>
              <w:t>55,5</w:t>
            </w:r>
          </w:p>
        </w:tc>
        <w:tc>
          <w:tcPr>
            <w:tcW w:w="1224" w:type="dxa"/>
          </w:tcPr>
          <w:p w:rsidR="00505632" w:rsidRDefault="00505632" w:rsidP="00AD4E52">
            <w:pPr>
              <w:pStyle w:val="CellColumn"/>
              <w:jc w:val="right"/>
            </w:pPr>
            <w:r>
              <w:rPr>
                <w:rFonts w:cs="Times New Roman"/>
              </w:rPr>
              <w:t>30,8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Pravilnik o upravljanju i nadzoru vodenog balasta (NN 55/07, 128/12)</w:t>
      </w:r>
    </w:p>
    <w:p w:rsidR="00505632" w:rsidRDefault="00505632" w:rsidP="00505632">
      <w:pPr>
        <w:pStyle w:val="Heading8"/>
        <w:jc w:val="left"/>
      </w:pPr>
      <w:r>
        <w:t>Opis aktivnosti</w:t>
      </w:r>
    </w:p>
    <w:p w:rsidR="00505632" w:rsidRDefault="00505632" w:rsidP="00505632">
      <w:r>
        <w:t xml:space="preserve">Ovaj europski projekt svojim se aktivnostima naslanja na učinkovitu primjenu Ballast water management konvencije na Jadranu, a ujedno aktivnostima nastoji smanjiti rizik od unosa štetnih morskih organizama i patogena. U projektu, čija je vrijednost veća od 7,0 milijuna EUR a, koji se realizira u okviru IPA ADRIATIC programa, sudjeluje više od 20 projektnih partnera.  </w:t>
      </w:r>
    </w:p>
    <w:p w:rsidR="00505632" w:rsidRDefault="00505632" w:rsidP="00505632">
      <w:r>
        <w:t>Jedna od aktivnosti ovog projekta podrazumijevala je i nabavku opreme za uzorkovanje i analizu sadržaja balastnih voda koja je od strane Ministarstva mora, prometa i infrastrukture nabavljena početkom rujna 2016. godine te kasnije ustupljena na korištenje inspektorima Lučke kapetanije Pula, Rijeka, Šibenik, Split i Ploče.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Implementacija IPA ADRIATIC-BALMAS projekta</w:t>
            </w:r>
          </w:p>
        </w:tc>
        <w:tc>
          <w:tcPr>
            <w:tcW w:w="2551" w:type="dxa"/>
          </w:tcPr>
          <w:p w:rsidR="00505632" w:rsidRDefault="00505632" w:rsidP="00AD4E52">
            <w:pPr>
              <w:pStyle w:val="CellColumn"/>
              <w:jc w:val="left"/>
            </w:pPr>
            <w:r>
              <w:rPr>
                <w:rFonts w:cs="Times New Roman"/>
              </w:rPr>
              <w:t>Implementacijom BALMAS projekta stvoriti će se osnova za učinkovitu primjenu Ballast water management konvencije na Jadranu</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MMPI</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2"/>
      </w:pPr>
      <w:r>
        <w:t>06545 Agencija za obalni linijski pomorski promet</w:t>
      </w:r>
    </w:p>
    <w:p w:rsidR="00505632" w:rsidRDefault="00505632" w:rsidP="00505632">
      <w:r>
        <w:t xml:space="preserve">Agencija za obalni linijski pomorski promet je samostalna pravna osoba utemeljena u cilju stvaranja glavnog regulatornog tijela Republike Hrvatske za sva pitanja linijskog putničkoga prometa na Jadranu. Najznačajniji posao Agencije je raspisivanje javnih natječaja za dodjelu koncesija i sklapanje ugovora o prijevozu na svim državnim linijama u javnom obalnom pomorskom prometu te nadzor nad kvalitetnim korištenjem sredstava koji se iz proračuna RH izdvajaju za održavanje pomorskih veza s otocima. Pored toga, djelatnost Agencije obuhvaća i uspostavu i upravljanje informatičkim sustavom javnog obalnog linijskog prometa.  </w:t>
      </w:r>
    </w:p>
    <w:p w:rsidR="00505632" w:rsidRDefault="00505632" w:rsidP="00505632">
      <w:r>
        <w:t>Pomorskim zakonikom i Zakonom o prijevozu u linijskom i povremenom obalnom pomorskom prometu Agencija je određena kao tijelo nadležno i za provedbu odredaba Uredbe (EU) br.1177/2010 Europskog parlamenta i vijeća od 24. studenoga 2010. o pravima putnika kada putuju morem ili unutarnjim plovnim putovima i o izmjeni Uredbe (EZ) br. 2006/2004. Time je Agencija imenovana kao NEB (National Enforcement Body), nacionalno tijelo odgovorno za izvršenje predmetne Uredbe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06545-Agencija za obalni linijski pomorski promet</w:t>
            </w:r>
          </w:p>
        </w:tc>
        <w:tc>
          <w:tcPr>
            <w:tcW w:w="2041" w:type="dxa"/>
            <w:vAlign w:val="top"/>
          </w:tcPr>
          <w:p w:rsidR="00505632" w:rsidRDefault="00505632" w:rsidP="00AD4E52">
            <w:pPr>
              <w:pStyle w:val="CellColumn"/>
              <w:jc w:val="right"/>
            </w:pPr>
            <w:r>
              <w:rPr>
                <w:rFonts w:cs="Times New Roman"/>
              </w:rPr>
              <w:t>315.217.213</w:t>
            </w:r>
          </w:p>
        </w:tc>
        <w:tc>
          <w:tcPr>
            <w:tcW w:w="2041" w:type="dxa"/>
            <w:vAlign w:val="top"/>
          </w:tcPr>
          <w:p w:rsidR="00505632" w:rsidRDefault="00505632" w:rsidP="00AD4E52">
            <w:pPr>
              <w:pStyle w:val="CellColumn"/>
              <w:jc w:val="right"/>
            </w:pPr>
            <w:r>
              <w:rPr>
                <w:rFonts w:cs="Times New Roman"/>
              </w:rPr>
              <w:t>308.186.200</w:t>
            </w:r>
          </w:p>
        </w:tc>
        <w:tc>
          <w:tcPr>
            <w:tcW w:w="2041" w:type="dxa"/>
            <w:vAlign w:val="top"/>
          </w:tcPr>
          <w:p w:rsidR="00505632" w:rsidRDefault="00505632" w:rsidP="00AD4E52">
            <w:pPr>
              <w:pStyle w:val="CellColumn"/>
              <w:jc w:val="right"/>
            </w:pPr>
            <w:r>
              <w:rPr>
                <w:rFonts w:cs="Times New Roman"/>
              </w:rPr>
              <w:t>307.362.467</w:t>
            </w:r>
          </w:p>
        </w:tc>
        <w:tc>
          <w:tcPr>
            <w:tcW w:w="1224" w:type="dxa"/>
            <w:vAlign w:val="top"/>
          </w:tcPr>
          <w:p w:rsidR="00505632" w:rsidRDefault="00505632" w:rsidP="00AD4E52">
            <w:pPr>
              <w:pStyle w:val="CellColumn"/>
              <w:jc w:val="right"/>
            </w:pPr>
            <w:r>
              <w:rPr>
                <w:rFonts w:cs="Times New Roman"/>
              </w:rPr>
              <w:t>99,7</w:t>
            </w:r>
          </w:p>
        </w:tc>
        <w:tc>
          <w:tcPr>
            <w:tcW w:w="1224" w:type="dxa"/>
            <w:vAlign w:val="top"/>
          </w:tcPr>
          <w:p w:rsidR="00505632" w:rsidRDefault="00505632" w:rsidP="00AD4E52">
            <w:pPr>
              <w:pStyle w:val="CellColumn"/>
              <w:jc w:val="right"/>
            </w:pPr>
            <w:r>
              <w:rPr>
                <w:rFonts w:cs="Times New Roman"/>
              </w:rPr>
              <w:t>97,5</w:t>
            </w:r>
          </w:p>
        </w:tc>
      </w:tr>
      <w:tr w:rsidR="00505632" w:rsidTr="00AD4E52">
        <w:trPr>
          <w:jc w:val="center"/>
        </w:trPr>
        <w:tc>
          <w:tcPr>
            <w:tcW w:w="1632" w:type="dxa"/>
          </w:tcPr>
          <w:p w:rsidR="00505632" w:rsidRDefault="00505632" w:rsidP="00AD4E52">
            <w:pPr>
              <w:jc w:val="left"/>
            </w:pPr>
            <w:r>
              <w:t>3116-RAZVOJ SUSTAVA POMORSKOG PROMETA, POMORSKOG DOBRA I LUKA, TE ZAŠTITA MORSKOG OKOLIŠA OD ONEČIŠĆENJA S POMORSKIH OBJEKATA</w:t>
            </w:r>
          </w:p>
        </w:tc>
        <w:tc>
          <w:tcPr>
            <w:tcW w:w="2041" w:type="dxa"/>
          </w:tcPr>
          <w:p w:rsidR="00505632" w:rsidRDefault="00505632" w:rsidP="00AD4E52">
            <w:pPr>
              <w:jc w:val="right"/>
            </w:pPr>
            <w:r>
              <w:t>315.217.213</w:t>
            </w:r>
          </w:p>
        </w:tc>
        <w:tc>
          <w:tcPr>
            <w:tcW w:w="2041" w:type="dxa"/>
          </w:tcPr>
          <w:p w:rsidR="00505632" w:rsidRDefault="00505632" w:rsidP="00AD4E52">
            <w:pPr>
              <w:jc w:val="right"/>
            </w:pPr>
            <w:r>
              <w:t>308.186.200</w:t>
            </w:r>
          </w:p>
        </w:tc>
        <w:tc>
          <w:tcPr>
            <w:tcW w:w="2041" w:type="dxa"/>
          </w:tcPr>
          <w:p w:rsidR="00505632" w:rsidRDefault="00505632" w:rsidP="00AD4E52">
            <w:pPr>
              <w:jc w:val="right"/>
            </w:pPr>
            <w:r>
              <w:t>307.362.467</w:t>
            </w:r>
          </w:p>
        </w:tc>
        <w:tc>
          <w:tcPr>
            <w:tcW w:w="1224" w:type="dxa"/>
          </w:tcPr>
          <w:p w:rsidR="00505632" w:rsidRDefault="00505632" w:rsidP="00AD4E52">
            <w:pPr>
              <w:jc w:val="right"/>
            </w:pPr>
            <w:r>
              <w:t>99,7</w:t>
            </w:r>
          </w:p>
        </w:tc>
        <w:tc>
          <w:tcPr>
            <w:tcW w:w="1224" w:type="dxa"/>
          </w:tcPr>
          <w:p w:rsidR="00505632" w:rsidRDefault="00505632" w:rsidP="00AD4E52">
            <w:pPr>
              <w:jc w:val="right"/>
            </w:pPr>
            <w:r>
              <w:t>97,5</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3"/>
      </w:pPr>
      <w:r>
        <w:rPr>
          <w:rFonts w:cs="Times New Roman"/>
        </w:rPr>
        <w:t>3116 RAZVOJ SUSTAVA POMORSKOG PROMETA, POMORSKOG DOBRA I LUKA, TE ZAŠTITA MORSKOG OKOLIŠA OD ONEČIŠĆENJA S POMORSKIH OBJEKATA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3116-RAZVOJ SUSTAVA POMORSKOG PROMETA, POMORSKOG DOBRA I LUKA, TE ZAŠTITA MORSKOG OKOLIŠA OD ONEČIŠĆENJA S POMORSKIH OBJEKATA</w:t>
            </w:r>
          </w:p>
        </w:tc>
        <w:tc>
          <w:tcPr>
            <w:tcW w:w="2041" w:type="dxa"/>
          </w:tcPr>
          <w:p w:rsidR="00505632" w:rsidRDefault="00505632" w:rsidP="00AD4E52">
            <w:pPr>
              <w:pStyle w:val="CellColumn"/>
              <w:jc w:val="right"/>
            </w:pPr>
            <w:r>
              <w:rPr>
                <w:rFonts w:cs="Times New Roman"/>
              </w:rPr>
              <w:t>315.217.213</w:t>
            </w:r>
          </w:p>
        </w:tc>
        <w:tc>
          <w:tcPr>
            <w:tcW w:w="2041" w:type="dxa"/>
          </w:tcPr>
          <w:p w:rsidR="00505632" w:rsidRDefault="00505632" w:rsidP="00AD4E52">
            <w:pPr>
              <w:pStyle w:val="CellColumn"/>
              <w:jc w:val="right"/>
            </w:pPr>
            <w:r>
              <w:rPr>
                <w:rFonts w:cs="Times New Roman"/>
              </w:rPr>
              <w:t>308.186.200</w:t>
            </w:r>
          </w:p>
        </w:tc>
        <w:tc>
          <w:tcPr>
            <w:tcW w:w="2041" w:type="dxa"/>
          </w:tcPr>
          <w:p w:rsidR="00505632" w:rsidRDefault="00505632" w:rsidP="00AD4E52">
            <w:pPr>
              <w:pStyle w:val="CellColumn"/>
              <w:jc w:val="right"/>
            </w:pPr>
            <w:r>
              <w:rPr>
                <w:rFonts w:cs="Times New Roman"/>
              </w:rPr>
              <w:t>307.362.467</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97,5</w:t>
            </w:r>
          </w:p>
        </w:tc>
      </w:tr>
    </w:tbl>
    <w:p w:rsidR="00505632" w:rsidRDefault="00505632" w:rsidP="00505632">
      <w:pPr>
        <w:jc w:val="left"/>
      </w:pPr>
    </w:p>
    <w:p w:rsidR="00505632" w:rsidRDefault="00505632" w:rsidP="00505632">
      <w:r>
        <w:t xml:space="preserve">U okviru programa dodjeljuju se potpore brodarima za održavanje prijevoza u linijskom pomorskom prometu i to za pokrivanje razlike između ostvarenih troškova i prihoda. Dodjelom potpora brodarima za održavanje trajektnih, brodskih i brzobrodskih linija nastoji se poboljšati sustav javnog linijskoga obalnog pomorskog prometa. Kroz podizanje kvalitete sustava javnog linijskog pomorskog prometa potiče se razvitak hrvatskih otoka, a posebno razvitak turizma kao glavne gospodarske djelatnosti na otocima. To je moguće, uz ostale mjere, i uvođenjem novih, bržih i modernijih plovila od strane brodara. Odlukom Vlade Republike Hrvatske o određivanju državnih linija u javnom prijevozu u linijskom obalnom pomorskom prometu utvrđeno je 53 državne linije od čega 15 brzobrodskih, 13 brodskih i 25 trajektnih linija (dvije brodske linije se ne održavaju) koje održava 12 brodara. Najveći broj linija održava brodar Jadrolinija, i to 36 državnih linija (od čega 4 profitabilne linije – linije koje ne primaju državnu potporu). Pravo na obavljanje javnog prijevoza temelji se na davanju koncesija čime se stvaraju pretpostavke za tržišni pristup i stvaranje konkurencije u obavljanju javnog obalnog linijskog pomorskog prometa.  </w:t>
      </w:r>
    </w:p>
    <w:p w:rsidR="00505632" w:rsidRDefault="00505632" w:rsidP="00505632">
      <w:r>
        <w:t xml:space="preserve">Proces informatizacije u obalnom linijskom pomorskom prometu obuhvaća izgradnju Sustava za evidenciju korisnika povlaštenog prijevoza, odobravanje prava na povlašteni prijevoz te praćenje korištenja te povlastice (kraće SEOP). </w:t>
      </w:r>
    </w:p>
    <w:p w:rsidR="00505632" w:rsidRDefault="00505632" w:rsidP="00505632">
      <w:r>
        <w:t xml:space="preserve">Kroz 2016. godinu SEOP je omogućio brzo i učinkovito korištenje prava na povlašteni prijevoz osoba s prebivalištem na otocima i osobnih vozila u vlasništvu takvih osoba te potpuni nadzor nad korištenjem financijskih sredstava koja se refundiraju brodarima na račun neostvarenih prihoda s osnova obavljenog povlaštenog prijevoza.  </w:t>
      </w:r>
    </w:p>
    <w:p w:rsidR="00505632" w:rsidRDefault="00505632" w:rsidP="00505632">
      <w:r>
        <w:t xml:space="preserve">Aktivnosti koje su se odnosile na projekt informatizacije u 2016. su:  </w:t>
      </w:r>
    </w:p>
    <w:p w:rsidR="00505632" w:rsidRDefault="00505632" w:rsidP="00505632">
      <w:r>
        <w:t xml:space="preserve">- kontinuirana produkcija sustava, odnosno pružanje usluga izdavanje iskaznica, evidencija korisnika povlaštenog prijevoza i korištenje njihovih prava na povlašteni prijevoz kroz SEOP  </w:t>
      </w:r>
    </w:p>
    <w:p w:rsidR="00505632" w:rsidRDefault="00505632" w:rsidP="00505632">
      <w:r>
        <w:t xml:space="preserve">- kontinuirano godišnje isporučivanje zaštićenih identifikacijskih elektroničkih iskaznica i zaštićenih samoljepljivih vinjeta za nove korisnike  </w:t>
      </w:r>
    </w:p>
    <w:p w:rsidR="00505632" w:rsidRDefault="00505632" w:rsidP="00505632">
      <w:r>
        <w:t xml:space="preserve">- održavanje i eventualne izmjene SEOP-a  </w:t>
      </w:r>
    </w:p>
    <w:p w:rsidR="00505632" w:rsidRDefault="00505632" w:rsidP="00505632">
      <w:r>
        <w:t xml:space="preserve">- podrška svim dionicima projekta od strane Agencije za obalni linijski pomorski promet (brodari, korisnici prava na povlašteni prijevoz i sl.).  </w:t>
      </w:r>
    </w:p>
    <w:p w:rsidR="00505632" w:rsidRDefault="00505632" w:rsidP="00505632">
      <w:r>
        <w:t>U Strateškom planu Ministarstva mora, prometa i infrastrukture za razdoblje 2016. – 2018. godine ovaj program povezan je sa Općim ciljem 1. Održivi razvoj pomorskog sustava, posebni cilj 1.2. Razvijeni sustav pomorskog prometa i prometa na unutarnjim vodnim putovima, te učinkovito i sustavno upravljanje pomorskim dobrom, a način ostvarivanja postavljenog posebnog cilja je 1.2.2. Poticanje pomorske prometne povezanosti i razvoj pomorske putničke flote kroz uvođenje novih tehnologija te osposobljavanje stručnog kadara u pomorstvu, s pokazateljem rezultata 1.2.2.1. Stupanj informatizacije na državnim linijama.</w:t>
      </w:r>
    </w:p>
    <w:p w:rsidR="00505632" w:rsidRDefault="00505632" w:rsidP="00505632">
      <w:pPr>
        <w:pStyle w:val="Heading8"/>
        <w:jc w:val="left"/>
      </w:pPr>
      <w:r>
        <w:t>Cilj 1. Koncesioniranje svih državnih linija u obalnom linijskom pomorskom prometu</w:t>
      </w:r>
    </w:p>
    <w:p w:rsidR="00505632" w:rsidRDefault="00505632" w:rsidP="00505632">
      <w:pPr>
        <w:pStyle w:val="Heading8"/>
        <w:jc w:val="left"/>
      </w:pPr>
      <w:r>
        <w:t>Opis provedbe cilja programa</w:t>
      </w:r>
    </w:p>
    <w:p w:rsidR="00505632" w:rsidRDefault="00505632" w:rsidP="00505632">
      <w:r>
        <w:t xml:space="preserve">U 2016. godini u nadležnosti Agencije za obalni linijski pomorski promet su bile 53 državne linije. U tome je 50 državnih linija koncesionirano (25 trajektnih, 10 brodskih i 15 brzobrodskih), dok je jedna brodska linija nekoncesionirana i održava se prema ugovoru o obavljanju privremenog javnog prijevoza u linijskom obalnom pomorskom prometu. </w:t>
      </w:r>
    </w:p>
    <w:p w:rsidR="00505632" w:rsidRDefault="00505632" w:rsidP="00505632">
      <w:r>
        <w:t>Kroz 2016. godinu nisu potpisivani novi koncesijski ugovori obzirom da se u toku godine definirao pravni okvir temeljem kojeg će biti raspisani novi natječaji i sklopiti novi ugovori od 01.01.2018. godine, a svi važeći ugovori su bili na snazi do 31.12.2016. godine.</w:t>
      </w:r>
    </w:p>
    <w:p w:rsidR="00505632" w:rsidRDefault="00505632" w:rsidP="00505632">
      <w:pPr>
        <w:pStyle w:val="Heading8"/>
        <w:jc w:val="left"/>
      </w:pPr>
      <w:r>
        <w:t>Cilj 2. Uvođenja sustava informatizacije na državnim linijama</w:t>
      </w:r>
    </w:p>
    <w:p w:rsidR="00505632" w:rsidRDefault="00505632" w:rsidP="00505632">
      <w:pPr>
        <w:pStyle w:val="Heading8"/>
        <w:jc w:val="left"/>
      </w:pPr>
      <w:r>
        <w:t>Opis provedbe cilja programa</w:t>
      </w:r>
    </w:p>
    <w:p w:rsidR="00505632" w:rsidRDefault="00505632" w:rsidP="00505632">
      <w:r>
        <w:t>Uvođenjem informatizacije na državnim linijama omogućena je brža i jednostavnija kupnja putnih karata te je smanjena zloupotreba korištenja otočnih prava. Sustav evidencije otočnih prava (SEOP) omogućio je jasnu identifikaciju korisnika povlaštenog prijevoza otočnom iskaznicom te utjecao na smanjenje zlouporabe povlastica.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učešća koncesioniranih linija u ukupnom broju državnih linija</w:t>
            </w:r>
          </w:p>
        </w:tc>
        <w:tc>
          <w:tcPr>
            <w:tcW w:w="2551" w:type="dxa"/>
          </w:tcPr>
          <w:p w:rsidR="00505632" w:rsidRDefault="00505632" w:rsidP="00AD4E52">
            <w:pPr>
              <w:pStyle w:val="CellColumn"/>
              <w:jc w:val="left"/>
            </w:pPr>
            <w:r>
              <w:rPr>
                <w:rFonts w:cs="Times New Roman"/>
              </w:rPr>
              <w:t>Povećanjem učešća koncesioniranih linija u ukupnom broju linja povećava se kvaliteta pomorskog prometa kao rezultat tržišne utakmice među brodarima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94</w:t>
            </w:r>
          </w:p>
        </w:tc>
        <w:tc>
          <w:tcPr>
            <w:tcW w:w="1020" w:type="dxa"/>
          </w:tcPr>
          <w:p w:rsidR="00505632" w:rsidRDefault="00505632" w:rsidP="00AD4E52">
            <w:pPr>
              <w:pStyle w:val="CellColumn"/>
              <w:jc w:val="right"/>
            </w:pPr>
            <w:r>
              <w:rPr>
                <w:rFonts w:cs="Times New Roman"/>
              </w:rPr>
              <w:t>Agencija za obalni linijski pomorski promet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94</w:t>
            </w:r>
          </w:p>
        </w:tc>
      </w:tr>
      <w:tr w:rsidR="00505632" w:rsidTr="00AD4E52">
        <w:trPr>
          <w:jc w:val="center"/>
        </w:trPr>
        <w:tc>
          <w:tcPr>
            <w:tcW w:w="2551" w:type="dxa"/>
          </w:tcPr>
          <w:p w:rsidR="00505632" w:rsidRDefault="00505632" w:rsidP="00AD4E52">
            <w:pPr>
              <w:pStyle w:val="CellColumn"/>
              <w:jc w:val="left"/>
            </w:pPr>
            <w:r>
              <w:rPr>
                <w:rFonts w:cs="Times New Roman"/>
              </w:rPr>
              <w:t>Stupanj informatizacije na državnim linijama</w:t>
            </w:r>
          </w:p>
        </w:tc>
        <w:tc>
          <w:tcPr>
            <w:tcW w:w="2551" w:type="dxa"/>
          </w:tcPr>
          <w:p w:rsidR="00505632" w:rsidRDefault="00505632" w:rsidP="00AD4E52">
            <w:pPr>
              <w:pStyle w:val="CellColumn"/>
              <w:jc w:val="left"/>
            </w:pPr>
            <w:r>
              <w:rPr>
                <w:rFonts w:cs="Times New Roman"/>
              </w:rPr>
              <w:t>Sustav omogućuje građanima jednostavnije korištenje povlastica te smanjuje njihovu zloupotrebu u pomorskom prijevozu</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Agencija za obalni linijski pomorski promet</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94</w:t>
            </w:r>
          </w:p>
        </w:tc>
      </w:tr>
    </w:tbl>
    <w:p w:rsidR="00505632" w:rsidRDefault="00505632" w:rsidP="00505632">
      <w:pPr>
        <w:jc w:val="left"/>
      </w:pPr>
    </w:p>
    <w:p w:rsidR="00505632" w:rsidRDefault="00505632" w:rsidP="00505632">
      <w:pPr>
        <w:pStyle w:val="Heading4"/>
      </w:pPr>
      <w:r>
        <w:t>A570323 POTICANJE REDOVITIH POMORSKIH PUTNIČKIH I BRZOBRODSKIH LINIJA</w:t>
      </w:r>
    </w:p>
    <w:tbl>
      <w:tblPr>
        <w:tblStyle w:val="StilTablice"/>
        <w:tblW w:w="10206" w:type="dxa"/>
        <w:jc w:val="center"/>
        <w:tblLook w:val="04A0" w:firstRow="1" w:lastRow="0" w:firstColumn="1" w:lastColumn="0" w:noHBand="0" w:noVBand="1"/>
      </w:tblPr>
      <w:tblGrid>
        <w:gridCol w:w="1670"/>
        <w:gridCol w:w="2031"/>
        <w:gridCol w:w="2031"/>
        <w:gridCol w:w="2031"/>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A570323-POTICANJE REDOVITIH POMORSKIH PUTNIČKIH I BRZOBRODSKIH LINIJA</w:t>
            </w:r>
          </w:p>
        </w:tc>
        <w:tc>
          <w:tcPr>
            <w:tcW w:w="2041" w:type="dxa"/>
          </w:tcPr>
          <w:p w:rsidR="00505632" w:rsidRDefault="00505632" w:rsidP="00AD4E52">
            <w:pPr>
              <w:pStyle w:val="CellColumn"/>
              <w:jc w:val="right"/>
            </w:pPr>
            <w:r>
              <w:rPr>
                <w:rFonts w:cs="Times New Roman"/>
              </w:rPr>
              <w:t>309.645.585</w:t>
            </w:r>
          </w:p>
        </w:tc>
        <w:tc>
          <w:tcPr>
            <w:tcW w:w="2041" w:type="dxa"/>
          </w:tcPr>
          <w:p w:rsidR="00505632" w:rsidRDefault="00505632" w:rsidP="00AD4E52">
            <w:pPr>
              <w:pStyle w:val="CellColumn"/>
              <w:jc w:val="right"/>
            </w:pPr>
            <w:r>
              <w:rPr>
                <w:rFonts w:cs="Times New Roman"/>
              </w:rPr>
              <w:t>303.780.000</w:t>
            </w:r>
          </w:p>
        </w:tc>
        <w:tc>
          <w:tcPr>
            <w:tcW w:w="2041" w:type="dxa"/>
          </w:tcPr>
          <w:p w:rsidR="00505632" w:rsidRDefault="00505632" w:rsidP="00AD4E52">
            <w:pPr>
              <w:pStyle w:val="CellColumn"/>
              <w:jc w:val="right"/>
            </w:pPr>
            <w:r>
              <w:rPr>
                <w:rFonts w:cs="Times New Roman"/>
              </w:rPr>
              <w:t>303.765.953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98,1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prijevozu u linijskom i povremenom obalnom pomorskom prometu (NN 33/06, 38/09, 87/09, 18/11, 80/13 i 56/16), članak 24.</w:t>
      </w:r>
    </w:p>
    <w:p w:rsidR="00505632" w:rsidRDefault="00505632" w:rsidP="00505632">
      <w:pPr>
        <w:pStyle w:val="Heading8"/>
        <w:jc w:val="left"/>
      </w:pPr>
      <w:r>
        <w:t>Opis aktivnosti</w:t>
      </w:r>
    </w:p>
    <w:p w:rsidR="00505632" w:rsidRDefault="00505632" w:rsidP="00505632">
      <w:r>
        <w:t>Osiguranjem i isplatom 303.765.953 kuna na ime potpore brodarima postignuta je puna sigurnost održavanja sustava obalnog linijskog pomorskog prometa. Zahvaljujući tome u 2016. godini je prevezeno 13.054.569 putnika i 3.102.264 vozila. Potporu je u 2016. godini primilo 12 brodara za održavanje 46 državnih linija (20 trajektnih, 11 brodskih i 15 brzobrodskih).</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prevezenih putnika</w:t>
            </w:r>
          </w:p>
        </w:tc>
        <w:tc>
          <w:tcPr>
            <w:tcW w:w="2551" w:type="dxa"/>
          </w:tcPr>
          <w:p w:rsidR="00505632" w:rsidRDefault="00505632" w:rsidP="00AD4E52">
            <w:pPr>
              <w:pStyle w:val="CellColumn"/>
              <w:jc w:val="left"/>
            </w:pPr>
            <w:r>
              <w:rPr>
                <w:rFonts w:cs="Times New Roman"/>
              </w:rPr>
              <w:t>Povećani broj prevezenih putnika u linijskom obalnom pomorskom prometu rezultat je uvođenja i održavanja pomorskih linija kojima su bolje povezani otoci s kopnom i međusobno</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12.500.172</w:t>
            </w:r>
          </w:p>
        </w:tc>
        <w:tc>
          <w:tcPr>
            <w:tcW w:w="1020" w:type="dxa"/>
          </w:tcPr>
          <w:p w:rsidR="00505632" w:rsidRDefault="00505632" w:rsidP="00AD4E52">
            <w:pPr>
              <w:pStyle w:val="CellColumn"/>
              <w:jc w:val="right"/>
            </w:pPr>
            <w:r>
              <w:rPr>
                <w:rFonts w:cs="Times New Roman"/>
              </w:rPr>
              <w:t>Agencija za obalni linijski pomorski promet</w:t>
            </w:r>
          </w:p>
        </w:tc>
        <w:tc>
          <w:tcPr>
            <w:tcW w:w="1020" w:type="dxa"/>
          </w:tcPr>
          <w:p w:rsidR="00505632" w:rsidRDefault="00505632" w:rsidP="00AD4E52">
            <w:pPr>
              <w:pStyle w:val="CellColumn"/>
              <w:jc w:val="right"/>
            </w:pPr>
            <w:r>
              <w:rPr>
                <w:rFonts w:cs="Times New Roman"/>
              </w:rPr>
              <w:t>12.800.000</w:t>
            </w:r>
          </w:p>
        </w:tc>
        <w:tc>
          <w:tcPr>
            <w:tcW w:w="1020" w:type="dxa"/>
          </w:tcPr>
          <w:p w:rsidR="00505632" w:rsidRDefault="00505632" w:rsidP="00AD4E52">
            <w:pPr>
              <w:pStyle w:val="CellColumn"/>
              <w:jc w:val="right"/>
            </w:pPr>
            <w:r>
              <w:rPr>
                <w:rFonts w:cs="Times New Roman"/>
              </w:rPr>
              <w:t>13.054.569</w:t>
            </w:r>
          </w:p>
        </w:tc>
      </w:tr>
      <w:tr w:rsidR="00505632" w:rsidTr="00AD4E52">
        <w:trPr>
          <w:jc w:val="center"/>
        </w:trPr>
        <w:tc>
          <w:tcPr>
            <w:tcW w:w="2551" w:type="dxa"/>
          </w:tcPr>
          <w:p w:rsidR="00505632" w:rsidRDefault="00505632" w:rsidP="00AD4E52">
            <w:pPr>
              <w:pStyle w:val="CellColumn"/>
              <w:jc w:val="left"/>
            </w:pPr>
            <w:r>
              <w:rPr>
                <w:rFonts w:cs="Times New Roman"/>
              </w:rPr>
              <w:t>Broj prevezenih vozila</w:t>
            </w:r>
          </w:p>
        </w:tc>
        <w:tc>
          <w:tcPr>
            <w:tcW w:w="2551" w:type="dxa"/>
          </w:tcPr>
          <w:p w:rsidR="00505632" w:rsidRDefault="00505632" w:rsidP="00AD4E52">
            <w:pPr>
              <w:pStyle w:val="CellColumn"/>
              <w:jc w:val="left"/>
            </w:pPr>
            <w:r>
              <w:rPr>
                <w:rFonts w:cs="Times New Roman"/>
              </w:rPr>
              <w:t>Povećani broj prevezenih vozila u linijskom obalnom pomorskom prometu rezultat je uvođenja i održavanja pomorskih linija kojima su bolje povezani otoci s kopnom i međusobno</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2.993.793</w:t>
            </w:r>
          </w:p>
        </w:tc>
        <w:tc>
          <w:tcPr>
            <w:tcW w:w="1020" w:type="dxa"/>
          </w:tcPr>
          <w:p w:rsidR="00505632" w:rsidRDefault="00505632" w:rsidP="00AD4E52">
            <w:pPr>
              <w:pStyle w:val="CellColumn"/>
              <w:jc w:val="right"/>
            </w:pPr>
            <w:r>
              <w:rPr>
                <w:rFonts w:cs="Times New Roman"/>
              </w:rPr>
              <w:t>Agencija za obalni linijski pomorski promet</w:t>
            </w:r>
          </w:p>
        </w:tc>
        <w:tc>
          <w:tcPr>
            <w:tcW w:w="1020" w:type="dxa"/>
          </w:tcPr>
          <w:p w:rsidR="00505632" w:rsidRDefault="00505632" w:rsidP="00AD4E52">
            <w:pPr>
              <w:pStyle w:val="CellColumn"/>
              <w:jc w:val="right"/>
            </w:pPr>
            <w:r>
              <w:rPr>
                <w:rFonts w:cs="Times New Roman"/>
              </w:rPr>
              <w:t>3.050.000</w:t>
            </w:r>
          </w:p>
        </w:tc>
        <w:tc>
          <w:tcPr>
            <w:tcW w:w="1020" w:type="dxa"/>
          </w:tcPr>
          <w:p w:rsidR="00505632" w:rsidRDefault="00505632" w:rsidP="00AD4E52">
            <w:pPr>
              <w:pStyle w:val="CellColumn"/>
              <w:jc w:val="right"/>
            </w:pPr>
            <w:r>
              <w:rPr>
                <w:rFonts w:cs="Times New Roman"/>
              </w:rPr>
              <w:t>3.102.264</w:t>
            </w:r>
          </w:p>
        </w:tc>
      </w:tr>
    </w:tbl>
    <w:p w:rsidR="00505632" w:rsidRDefault="00505632" w:rsidP="00505632">
      <w:pPr>
        <w:jc w:val="left"/>
      </w:pPr>
    </w:p>
    <w:p w:rsidR="00505632" w:rsidRDefault="00505632" w:rsidP="00505632">
      <w:pPr>
        <w:pStyle w:val="Heading4"/>
      </w:pPr>
      <w:r>
        <w:t>A587023 ADMINISTRACIJA I UPRAVLJANJE AGENCIJE ZA OBALNI LINIJSKI POMORSKI PROMET</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A587023-ADMINISTRACIJA I UPRAVLJANJE AGENCIJE ZA OBALNI LINIJSKI POMORSKI PROMET</w:t>
            </w:r>
          </w:p>
        </w:tc>
        <w:tc>
          <w:tcPr>
            <w:tcW w:w="2041" w:type="dxa"/>
          </w:tcPr>
          <w:p w:rsidR="00505632" w:rsidRDefault="00505632" w:rsidP="00AD4E52">
            <w:pPr>
              <w:pStyle w:val="CellColumn"/>
              <w:jc w:val="right"/>
            </w:pPr>
            <w:r>
              <w:rPr>
                <w:rFonts w:cs="Times New Roman"/>
              </w:rPr>
              <w:t>2.420.101</w:t>
            </w:r>
          </w:p>
        </w:tc>
        <w:tc>
          <w:tcPr>
            <w:tcW w:w="2041" w:type="dxa"/>
          </w:tcPr>
          <w:p w:rsidR="00505632" w:rsidRDefault="00505632" w:rsidP="00AD4E52">
            <w:pPr>
              <w:pStyle w:val="CellColumn"/>
              <w:jc w:val="right"/>
            </w:pPr>
            <w:r>
              <w:rPr>
                <w:rFonts w:cs="Times New Roman"/>
              </w:rPr>
              <w:t>2.886.600</w:t>
            </w:r>
          </w:p>
        </w:tc>
        <w:tc>
          <w:tcPr>
            <w:tcW w:w="2041" w:type="dxa"/>
          </w:tcPr>
          <w:p w:rsidR="00505632" w:rsidRDefault="00505632" w:rsidP="00AD4E52">
            <w:pPr>
              <w:pStyle w:val="CellColumn"/>
              <w:jc w:val="right"/>
            </w:pPr>
            <w:r>
              <w:rPr>
                <w:rFonts w:cs="Times New Roman"/>
              </w:rPr>
              <w:t>2.572.324</w:t>
            </w:r>
          </w:p>
        </w:tc>
        <w:tc>
          <w:tcPr>
            <w:tcW w:w="1224" w:type="dxa"/>
          </w:tcPr>
          <w:p w:rsidR="00505632" w:rsidRDefault="00505632" w:rsidP="00AD4E52">
            <w:pPr>
              <w:pStyle w:val="CellColumn"/>
              <w:jc w:val="right"/>
            </w:pPr>
            <w:r>
              <w:rPr>
                <w:rFonts w:cs="Times New Roman"/>
              </w:rPr>
              <w:t>89,1</w:t>
            </w:r>
          </w:p>
        </w:tc>
        <w:tc>
          <w:tcPr>
            <w:tcW w:w="1224" w:type="dxa"/>
          </w:tcPr>
          <w:p w:rsidR="00505632" w:rsidRDefault="00505632" w:rsidP="00AD4E52">
            <w:pPr>
              <w:pStyle w:val="CellColumn"/>
              <w:jc w:val="right"/>
            </w:pPr>
            <w:r>
              <w:rPr>
                <w:rFonts w:cs="Times New Roman"/>
              </w:rPr>
              <w:t>106,3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prijevozu u linijskom i povremenom obalnom pomorskom prometu (NN 33/06, 38/09, 87/09, 18/11, 80/13 i 56/16), članak 22.</w:t>
      </w:r>
    </w:p>
    <w:p w:rsidR="00505632" w:rsidRDefault="00505632" w:rsidP="00505632">
      <w:pPr>
        <w:pStyle w:val="Heading8"/>
        <w:jc w:val="left"/>
      </w:pPr>
      <w:r>
        <w:t>Opis aktivnosti</w:t>
      </w:r>
    </w:p>
    <w:p w:rsidR="00505632" w:rsidRDefault="00505632" w:rsidP="00505632">
      <w:r>
        <w:t>Sredstvima iz ove aktivnosti financirao se rad Agencije za obalni linijski pomorski promet, prije svega plaće djelatnika, materijalni troškovi te nabava opreme.</w:t>
      </w:r>
    </w:p>
    <w:p w:rsidR="00505632" w:rsidRDefault="00505632" w:rsidP="00505632">
      <w:pPr>
        <w:pStyle w:val="Heading4"/>
      </w:pPr>
      <w:r>
        <w:t>A587053 INFORMATIZACIJA U OBALNOM LINIJSKOM POMORSKOM PROMETU</w:t>
      </w:r>
    </w:p>
    <w:tbl>
      <w:tblPr>
        <w:tblStyle w:val="StilTablice"/>
        <w:tblW w:w="10206" w:type="dxa"/>
        <w:jc w:val="center"/>
        <w:tblLook w:val="04A0" w:firstRow="1" w:lastRow="0" w:firstColumn="1" w:lastColumn="0" w:noHBand="0" w:noVBand="1"/>
      </w:tblPr>
      <w:tblGrid>
        <w:gridCol w:w="1914"/>
        <w:gridCol w:w="1959"/>
        <w:gridCol w:w="1960"/>
        <w:gridCol w:w="1955"/>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A587053-INFORMATIZACIJA U OBALNOM LINIJSKOM POMORSKOM PROMETU</w:t>
            </w:r>
          </w:p>
        </w:tc>
        <w:tc>
          <w:tcPr>
            <w:tcW w:w="2041" w:type="dxa"/>
          </w:tcPr>
          <w:p w:rsidR="00505632" w:rsidRDefault="00505632" w:rsidP="00AD4E52">
            <w:pPr>
              <w:pStyle w:val="CellColumn"/>
              <w:jc w:val="right"/>
            </w:pPr>
            <w:r>
              <w:rPr>
                <w:rFonts w:cs="Times New Roman"/>
              </w:rPr>
              <w:t>3.093.300</w:t>
            </w:r>
          </w:p>
        </w:tc>
        <w:tc>
          <w:tcPr>
            <w:tcW w:w="2041" w:type="dxa"/>
          </w:tcPr>
          <w:p w:rsidR="00505632" w:rsidRDefault="00505632" w:rsidP="00AD4E52">
            <w:pPr>
              <w:pStyle w:val="CellColumn"/>
              <w:jc w:val="right"/>
            </w:pPr>
            <w:r>
              <w:rPr>
                <w:rFonts w:cs="Times New Roman"/>
              </w:rPr>
              <w:t>1.450.000</w:t>
            </w:r>
          </w:p>
        </w:tc>
        <w:tc>
          <w:tcPr>
            <w:tcW w:w="2041" w:type="dxa"/>
          </w:tcPr>
          <w:p w:rsidR="00505632" w:rsidRDefault="00505632" w:rsidP="00AD4E52">
            <w:pPr>
              <w:pStyle w:val="CellColumn"/>
              <w:jc w:val="right"/>
            </w:pPr>
            <w:r>
              <w:rPr>
                <w:rFonts w:cs="Times New Roman"/>
              </w:rPr>
              <w:t>961.642</w:t>
            </w:r>
          </w:p>
        </w:tc>
        <w:tc>
          <w:tcPr>
            <w:tcW w:w="1224" w:type="dxa"/>
          </w:tcPr>
          <w:p w:rsidR="00505632" w:rsidRDefault="00505632" w:rsidP="00AD4E52">
            <w:pPr>
              <w:pStyle w:val="CellColumn"/>
              <w:jc w:val="right"/>
            </w:pPr>
            <w:r>
              <w:rPr>
                <w:rFonts w:cs="Times New Roman"/>
              </w:rPr>
              <w:t>66,3</w:t>
            </w:r>
          </w:p>
        </w:tc>
        <w:tc>
          <w:tcPr>
            <w:tcW w:w="1224" w:type="dxa"/>
          </w:tcPr>
          <w:p w:rsidR="00505632" w:rsidRDefault="00505632" w:rsidP="00AD4E52">
            <w:pPr>
              <w:pStyle w:val="CellColumn"/>
              <w:jc w:val="right"/>
            </w:pPr>
            <w:r>
              <w:rPr>
                <w:rFonts w:cs="Times New Roman"/>
              </w:rPr>
              <w:t>31,1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prijevozu u linijskom i povremenom obalnom pomorskom prometu (NN 33/06, 38/09, 87/09, 18/11, 80/13 i 56/16), članak 47 i 47a.</w:t>
      </w:r>
    </w:p>
    <w:p w:rsidR="00505632" w:rsidRDefault="00505632" w:rsidP="00505632">
      <w:pPr>
        <w:pStyle w:val="Heading8"/>
        <w:jc w:val="left"/>
      </w:pPr>
      <w:r>
        <w:t>Opis aktivnosti</w:t>
      </w:r>
    </w:p>
    <w:p w:rsidR="00505632" w:rsidRDefault="00505632" w:rsidP="00505632">
      <w:r>
        <w:t xml:space="preserve">Sredstvima iz ove aktivnosti financirao se proces informatizacije u obalnom linijskom pomorskom prometu koji obuhvaća izmjene u Sustavu za evidenciju korisnika povlaštenog prijevoza (SEOP) te izradu i individualizaciju otočnih iskaznica za pomorski prijevoz putnika i vozila. </w:t>
      </w:r>
    </w:p>
    <w:p w:rsidR="00505632" w:rsidRDefault="00505632" w:rsidP="00505632">
      <w:r>
        <w:t>Uspostavom SEOP-a omogućena je korisnicima jednostavnija kupnja karata, prava otočana su identificirana otočnom iskaznicom, osigurani su preduvjeti za točne evidencije i nadzor prevezenih putnika i vozila te racionalno korištenje sredstava državnog proračuna. Jasno definiranim pravima koja pripadaju korisniku onemogućeno je da se zloupotrebljava pravo koje je dano određenom korisniku jer se povlastica može ostvariti samo temeljem otočne iskaznice.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Uspostava Sustava evidencije otočnih prava i izdavanje otočnih iskaznica za putnike i vozila</w:t>
            </w:r>
          </w:p>
        </w:tc>
        <w:tc>
          <w:tcPr>
            <w:tcW w:w="2551" w:type="dxa"/>
          </w:tcPr>
          <w:p w:rsidR="00505632" w:rsidRDefault="00505632" w:rsidP="00AD4E52">
            <w:pPr>
              <w:pStyle w:val="CellColumn"/>
              <w:jc w:val="left"/>
            </w:pPr>
            <w:r>
              <w:rPr>
                <w:rFonts w:cs="Times New Roman"/>
              </w:rPr>
              <w:t>Sustav je uspostavljen kada su uspostavljena organizacijska, tehnička i softverska rješenja potrebna za funkcioniranje Sustava za evidenciju otočnih prava, a kako bi se pravo na povlašteni prijevoz moglo ostvarivati temeljem otočne iskaznice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Agencija za obalni linijski pomorski promet</w:t>
            </w:r>
          </w:p>
        </w:tc>
        <w:tc>
          <w:tcPr>
            <w:tcW w:w="1020" w:type="dxa"/>
          </w:tcPr>
          <w:p w:rsidR="00505632" w:rsidRDefault="00505632" w:rsidP="00AD4E52">
            <w:pPr>
              <w:pStyle w:val="CellColumn"/>
              <w:jc w:val="right"/>
            </w:pPr>
            <w:r>
              <w:rPr>
                <w:rFonts w:cs="Times New Roman"/>
              </w:rPr>
              <w:t>94</w:t>
            </w:r>
          </w:p>
        </w:tc>
        <w:tc>
          <w:tcPr>
            <w:tcW w:w="1020" w:type="dxa"/>
          </w:tcPr>
          <w:p w:rsidR="00505632" w:rsidRDefault="00505632" w:rsidP="00AD4E52">
            <w:pPr>
              <w:pStyle w:val="CellColumn"/>
              <w:jc w:val="right"/>
            </w:pPr>
            <w:r>
              <w:rPr>
                <w:rFonts w:cs="Times New Roman"/>
              </w:rPr>
              <w:t>94</w:t>
            </w:r>
          </w:p>
        </w:tc>
      </w:tr>
    </w:tbl>
    <w:p w:rsidR="00505632" w:rsidRDefault="00505632" w:rsidP="00505632">
      <w:pPr>
        <w:jc w:val="left"/>
      </w:pPr>
    </w:p>
    <w:p w:rsidR="00505632" w:rsidRDefault="00505632" w:rsidP="00505632">
      <w:pPr>
        <w:pStyle w:val="Heading4"/>
      </w:pPr>
      <w:r>
        <w:t>K587052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K587052-OBNOVA VOZNOG PARKA</w:t>
            </w:r>
          </w:p>
        </w:tc>
        <w:tc>
          <w:tcPr>
            <w:tcW w:w="2041" w:type="dxa"/>
          </w:tcPr>
          <w:p w:rsidR="00505632" w:rsidRDefault="00505632" w:rsidP="00AD4E52">
            <w:pPr>
              <w:pStyle w:val="CellColumn"/>
              <w:jc w:val="right"/>
            </w:pPr>
            <w:r>
              <w:rPr>
                <w:rFonts w:cs="Times New Roman"/>
              </w:rPr>
              <w:t>58.227</w:t>
            </w:r>
          </w:p>
        </w:tc>
        <w:tc>
          <w:tcPr>
            <w:tcW w:w="2041" w:type="dxa"/>
          </w:tcPr>
          <w:p w:rsidR="00505632" w:rsidRDefault="00505632" w:rsidP="00AD4E52">
            <w:pPr>
              <w:pStyle w:val="CellColumn"/>
              <w:jc w:val="right"/>
            </w:pPr>
            <w:r>
              <w:rPr>
                <w:rFonts w:cs="Times New Roman"/>
              </w:rPr>
              <w:t>69.600</w:t>
            </w:r>
          </w:p>
        </w:tc>
        <w:tc>
          <w:tcPr>
            <w:tcW w:w="2041" w:type="dxa"/>
          </w:tcPr>
          <w:p w:rsidR="00505632" w:rsidRDefault="00505632" w:rsidP="00AD4E52">
            <w:pPr>
              <w:pStyle w:val="CellColumn"/>
              <w:jc w:val="right"/>
            </w:pPr>
            <w:r>
              <w:rPr>
                <w:rFonts w:cs="Times New Roman"/>
              </w:rPr>
              <w:t>62.547</w:t>
            </w:r>
          </w:p>
        </w:tc>
        <w:tc>
          <w:tcPr>
            <w:tcW w:w="1224" w:type="dxa"/>
          </w:tcPr>
          <w:p w:rsidR="00505632" w:rsidRDefault="00505632" w:rsidP="00AD4E52">
            <w:pPr>
              <w:pStyle w:val="CellColumn"/>
              <w:jc w:val="right"/>
            </w:pPr>
            <w:r>
              <w:rPr>
                <w:rFonts w:cs="Times New Roman"/>
              </w:rPr>
              <w:t>89,9</w:t>
            </w:r>
          </w:p>
        </w:tc>
        <w:tc>
          <w:tcPr>
            <w:tcW w:w="1224" w:type="dxa"/>
          </w:tcPr>
          <w:p w:rsidR="00505632" w:rsidRDefault="00505632" w:rsidP="00AD4E52">
            <w:pPr>
              <w:pStyle w:val="CellColumn"/>
              <w:jc w:val="right"/>
            </w:pPr>
            <w:r>
              <w:rPr>
                <w:rFonts w:cs="Times New Roman"/>
              </w:rPr>
              <w:t>107,4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prijevozu u linijskom i povremenom obalnom pomorskom prometu (NN 33/06, 38/09, 87/09, 18/11, 80/13 i 56/16), članak 22.</w:t>
      </w:r>
    </w:p>
    <w:p w:rsidR="00505632" w:rsidRDefault="00505632" w:rsidP="00505632">
      <w:pPr>
        <w:pStyle w:val="Heading8"/>
        <w:jc w:val="left"/>
      </w:pPr>
      <w:r>
        <w:t>Opis aktivnosti</w:t>
      </w:r>
    </w:p>
    <w:p w:rsidR="00505632" w:rsidRDefault="00505632" w:rsidP="00505632">
      <w:r>
        <w:t>Sredstvima iz ove aktivnosti financirali su se troškovi leasinga, održavanja i registracije osobnog automobila.</w:t>
      </w:r>
    </w:p>
    <w:p w:rsidR="00505632" w:rsidRDefault="00505632" w:rsidP="00505632">
      <w:pPr>
        <w:pStyle w:val="Heading2"/>
      </w:pPr>
      <w:r>
        <w:t>06550 Agencija za vodne putove</w:t>
      </w:r>
    </w:p>
    <w:p w:rsidR="00505632" w:rsidRDefault="00505632" w:rsidP="00505632">
      <w:r>
        <w:t>Agencija za vodne putove je javna ustanova, zadužena za gradnju, tehničko unapređenje, prometno-tehnološku modernizaciju vodnih putova, tehničko održavanje vodnih putova i osposobljavanje vodnih putova i objekata sigurnosti plovidbe onesposobljenih zbog elementarnih nepogoda. Najznačajniji poslovi i zadaci Agencije za vodne putove su, pored gore navedenih, i osiguranje funkcionalnosti hrvatskih riječnih informacijskih servisa te kontrola i nadzor stanja plovnih putova.</w:t>
      </w:r>
    </w:p>
    <w:tbl>
      <w:tblPr>
        <w:tblStyle w:val="StilTablice"/>
        <w:tblW w:w="10206" w:type="dxa"/>
        <w:jc w:val="center"/>
        <w:tblLook w:val="04A0" w:firstRow="1" w:lastRow="0" w:firstColumn="1" w:lastColumn="0" w:noHBand="0" w:noVBand="1"/>
      </w:tblPr>
      <w:tblGrid>
        <w:gridCol w:w="1815"/>
        <w:gridCol w:w="1988"/>
        <w:gridCol w:w="1988"/>
        <w:gridCol w:w="1988"/>
        <w:gridCol w:w="1211"/>
        <w:gridCol w:w="1216"/>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06550-Agencija za vodne putove</w:t>
            </w:r>
          </w:p>
        </w:tc>
        <w:tc>
          <w:tcPr>
            <w:tcW w:w="2041" w:type="dxa"/>
            <w:vAlign w:val="top"/>
          </w:tcPr>
          <w:p w:rsidR="00505632" w:rsidRDefault="00505632" w:rsidP="00AD4E52">
            <w:pPr>
              <w:pStyle w:val="CellColumn"/>
              <w:jc w:val="right"/>
            </w:pPr>
            <w:r>
              <w:rPr>
                <w:rFonts w:cs="Times New Roman"/>
              </w:rPr>
              <w:t>18.860.498</w:t>
            </w:r>
          </w:p>
        </w:tc>
        <w:tc>
          <w:tcPr>
            <w:tcW w:w="2041" w:type="dxa"/>
            <w:vAlign w:val="top"/>
          </w:tcPr>
          <w:p w:rsidR="00505632" w:rsidRDefault="00505632" w:rsidP="00AD4E52">
            <w:pPr>
              <w:pStyle w:val="CellColumn"/>
              <w:jc w:val="right"/>
            </w:pPr>
            <w:r>
              <w:rPr>
                <w:rFonts w:cs="Times New Roman"/>
              </w:rPr>
              <w:t>18.292.300</w:t>
            </w:r>
          </w:p>
        </w:tc>
        <w:tc>
          <w:tcPr>
            <w:tcW w:w="2041" w:type="dxa"/>
            <w:vAlign w:val="top"/>
          </w:tcPr>
          <w:p w:rsidR="00505632" w:rsidRDefault="00505632" w:rsidP="00AD4E52">
            <w:pPr>
              <w:pStyle w:val="CellColumn"/>
              <w:jc w:val="right"/>
            </w:pPr>
            <w:r>
              <w:rPr>
                <w:rFonts w:cs="Times New Roman"/>
              </w:rPr>
              <w:t>13.995.597</w:t>
            </w:r>
          </w:p>
        </w:tc>
        <w:tc>
          <w:tcPr>
            <w:tcW w:w="1224" w:type="dxa"/>
            <w:vAlign w:val="top"/>
          </w:tcPr>
          <w:p w:rsidR="00505632" w:rsidRDefault="00505632" w:rsidP="00AD4E52">
            <w:pPr>
              <w:pStyle w:val="CellColumn"/>
              <w:jc w:val="right"/>
            </w:pPr>
            <w:r>
              <w:rPr>
                <w:rFonts w:cs="Times New Roman"/>
              </w:rPr>
              <w:t>76,5</w:t>
            </w:r>
          </w:p>
        </w:tc>
        <w:tc>
          <w:tcPr>
            <w:tcW w:w="1224" w:type="dxa"/>
            <w:vAlign w:val="top"/>
          </w:tcPr>
          <w:p w:rsidR="00505632" w:rsidRDefault="00505632" w:rsidP="00AD4E52">
            <w:pPr>
              <w:pStyle w:val="CellColumn"/>
              <w:jc w:val="right"/>
            </w:pPr>
            <w:r>
              <w:rPr>
                <w:rFonts w:cs="Times New Roman"/>
              </w:rPr>
              <w:t>74,2</w:t>
            </w:r>
          </w:p>
        </w:tc>
      </w:tr>
      <w:tr w:rsidR="00505632" w:rsidTr="00AD4E52">
        <w:trPr>
          <w:jc w:val="center"/>
        </w:trPr>
        <w:tc>
          <w:tcPr>
            <w:tcW w:w="1632" w:type="dxa"/>
          </w:tcPr>
          <w:p w:rsidR="00505632" w:rsidRDefault="00505632" w:rsidP="00AD4E52">
            <w:pPr>
              <w:jc w:val="left"/>
            </w:pPr>
            <w:r>
              <w:t>3111-PRIPREMA I PROVEDBA PROJEKATA SUFINANCIRANIH SREDSTVIMA FONDOVA EU</w:t>
            </w:r>
          </w:p>
        </w:tc>
        <w:tc>
          <w:tcPr>
            <w:tcW w:w="2041" w:type="dxa"/>
          </w:tcPr>
          <w:p w:rsidR="00505632" w:rsidRDefault="00505632" w:rsidP="00AD4E52">
            <w:pPr>
              <w:jc w:val="right"/>
            </w:pPr>
            <w:r>
              <w:t>3.782.226</w:t>
            </w:r>
          </w:p>
        </w:tc>
        <w:tc>
          <w:tcPr>
            <w:tcW w:w="2041" w:type="dxa"/>
          </w:tcPr>
          <w:p w:rsidR="00505632" w:rsidRDefault="00505632" w:rsidP="00AD4E52">
            <w:pPr>
              <w:jc w:val="right"/>
            </w:pPr>
            <w:r>
              <w:t>4.565.800</w:t>
            </w:r>
          </w:p>
        </w:tc>
        <w:tc>
          <w:tcPr>
            <w:tcW w:w="2041" w:type="dxa"/>
          </w:tcPr>
          <w:p w:rsidR="00505632" w:rsidRDefault="00505632" w:rsidP="00AD4E52">
            <w:pPr>
              <w:jc w:val="right"/>
            </w:pPr>
            <w:r>
              <w:t>2.987.654</w:t>
            </w:r>
          </w:p>
        </w:tc>
        <w:tc>
          <w:tcPr>
            <w:tcW w:w="1224" w:type="dxa"/>
          </w:tcPr>
          <w:p w:rsidR="00505632" w:rsidRDefault="00505632" w:rsidP="00AD4E52">
            <w:pPr>
              <w:jc w:val="right"/>
            </w:pPr>
            <w:r>
              <w:t>65,4</w:t>
            </w:r>
          </w:p>
        </w:tc>
        <w:tc>
          <w:tcPr>
            <w:tcW w:w="1224" w:type="dxa"/>
          </w:tcPr>
          <w:p w:rsidR="00505632" w:rsidRDefault="00505632" w:rsidP="00AD4E52">
            <w:pPr>
              <w:jc w:val="right"/>
            </w:pPr>
            <w:r>
              <w:t>79,0</w:t>
            </w:r>
          </w:p>
        </w:tc>
      </w:tr>
      <w:tr w:rsidR="00505632" w:rsidTr="00AD4E52">
        <w:trPr>
          <w:jc w:val="center"/>
        </w:trPr>
        <w:tc>
          <w:tcPr>
            <w:tcW w:w="1632" w:type="dxa"/>
          </w:tcPr>
          <w:p w:rsidR="00505632" w:rsidRDefault="00505632" w:rsidP="00AD4E52">
            <w:pPr>
              <w:jc w:val="left"/>
            </w:pPr>
            <w:r>
              <w:t>3115-RAZVOJ SUSTAVA PROMETA NA UNUTARNJIM VODNIM PUTOVIMA</w:t>
            </w:r>
          </w:p>
        </w:tc>
        <w:tc>
          <w:tcPr>
            <w:tcW w:w="2041" w:type="dxa"/>
          </w:tcPr>
          <w:p w:rsidR="00505632" w:rsidRDefault="00505632" w:rsidP="00AD4E52">
            <w:pPr>
              <w:jc w:val="right"/>
            </w:pPr>
            <w:r>
              <w:t>15.078.272</w:t>
            </w:r>
          </w:p>
        </w:tc>
        <w:tc>
          <w:tcPr>
            <w:tcW w:w="2041" w:type="dxa"/>
          </w:tcPr>
          <w:p w:rsidR="00505632" w:rsidRDefault="00505632" w:rsidP="00AD4E52">
            <w:pPr>
              <w:jc w:val="right"/>
            </w:pPr>
            <w:r>
              <w:t>13.726.500</w:t>
            </w:r>
          </w:p>
        </w:tc>
        <w:tc>
          <w:tcPr>
            <w:tcW w:w="2041" w:type="dxa"/>
          </w:tcPr>
          <w:p w:rsidR="00505632" w:rsidRDefault="00505632" w:rsidP="00AD4E52">
            <w:pPr>
              <w:jc w:val="right"/>
            </w:pPr>
            <w:r>
              <w:t>11.007.943</w:t>
            </w:r>
          </w:p>
        </w:tc>
        <w:tc>
          <w:tcPr>
            <w:tcW w:w="1224" w:type="dxa"/>
          </w:tcPr>
          <w:p w:rsidR="00505632" w:rsidRDefault="00505632" w:rsidP="00AD4E52">
            <w:pPr>
              <w:jc w:val="right"/>
            </w:pPr>
            <w:r>
              <w:t>80,2</w:t>
            </w:r>
          </w:p>
        </w:tc>
        <w:tc>
          <w:tcPr>
            <w:tcW w:w="1224" w:type="dxa"/>
          </w:tcPr>
          <w:p w:rsidR="00505632" w:rsidRDefault="00505632" w:rsidP="00AD4E52">
            <w:pPr>
              <w:jc w:val="right"/>
            </w:pPr>
            <w:r>
              <w:t>73,0</w:t>
            </w:r>
          </w:p>
        </w:tc>
      </w:tr>
    </w:tbl>
    <w:p w:rsidR="00505632" w:rsidRDefault="00505632" w:rsidP="00505632">
      <w:pPr>
        <w:jc w:val="left"/>
      </w:pPr>
    </w:p>
    <w:p w:rsidR="00505632" w:rsidRDefault="00505632" w:rsidP="00505632">
      <w:pPr>
        <w:pStyle w:val="Heading3"/>
      </w:pPr>
      <w:r>
        <w:rPr>
          <w:rFonts w:cs="Times New Roman"/>
        </w:rPr>
        <w:t>3111 PRIPREMA I PROVEDBA PROJEKATA SUFINANCIRANIH SREDSTVIMA FONDOVA EU</w:t>
      </w:r>
    </w:p>
    <w:tbl>
      <w:tblPr>
        <w:tblStyle w:val="StilTablice"/>
        <w:tblW w:w="10206" w:type="dxa"/>
        <w:jc w:val="center"/>
        <w:tblLook w:val="04A0" w:firstRow="1" w:lastRow="0" w:firstColumn="1" w:lastColumn="0" w:noHBand="0" w:noVBand="1"/>
      </w:tblPr>
      <w:tblGrid>
        <w:gridCol w:w="1815"/>
        <w:gridCol w:w="1987"/>
        <w:gridCol w:w="1987"/>
        <w:gridCol w:w="1988"/>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3111-PRIPREMA I PROVEDBA PROJEKATA SUFINANCIRANIH SREDSTVIMA FONDOVA EU</w:t>
            </w:r>
          </w:p>
        </w:tc>
        <w:tc>
          <w:tcPr>
            <w:tcW w:w="2041" w:type="dxa"/>
          </w:tcPr>
          <w:p w:rsidR="00505632" w:rsidRDefault="00505632" w:rsidP="00AD4E52">
            <w:pPr>
              <w:pStyle w:val="CellColumn"/>
              <w:jc w:val="right"/>
            </w:pPr>
            <w:r>
              <w:rPr>
                <w:rFonts w:cs="Times New Roman"/>
              </w:rPr>
              <w:t>3.782.226</w:t>
            </w:r>
          </w:p>
        </w:tc>
        <w:tc>
          <w:tcPr>
            <w:tcW w:w="2041" w:type="dxa"/>
          </w:tcPr>
          <w:p w:rsidR="00505632" w:rsidRDefault="00505632" w:rsidP="00AD4E52">
            <w:pPr>
              <w:pStyle w:val="CellColumn"/>
              <w:jc w:val="right"/>
            </w:pPr>
            <w:r>
              <w:rPr>
                <w:rFonts w:cs="Times New Roman"/>
              </w:rPr>
              <w:t>4.565.800</w:t>
            </w:r>
          </w:p>
        </w:tc>
        <w:tc>
          <w:tcPr>
            <w:tcW w:w="2041" w:type="dxa"/>
          </w:tcPr>
          <w:p w:rsidR="00505632" w:rsidRDefault="00505632" w:rsidP="00AD4E52">
            <w:pPr>
              <w:pStyle w:val="CellColumn"/>
              <w:jc w:val="right"/>
            </w:pPr>
            <w:r>
              <w:rPr>
                <w:rFonts w:cs="Times New Roman"/>
              </w:rPr>
              <w:t>2.987.654</w:t>
            </w:r>
          </w:p>
        </w:tc>
        <w:tc>
          <w:tcPr>
            <w:tcW w:w="1224" w:type="dxa"/>
          </w:tcPr>
          <w:p w:rsidR="00505632" w:rsidRDefault="00505632" w:rsidP="00AD4E52">
            <w:pPr>
              <w:pStyle w:val="CellColumn"/>
              <w:jc w:val="right"/>
            </w:pPr>
            <w:r>
              <w:rPr>
                <w:rFonts w:cs="Times New Roman"/>
              </w:rPr>
              <w:t>65,4</w:t>
            </w:r>
          </w:p>
        </w:tc>
        <w:tc>
          <w:tcPr>
            <w:tcW w:w="1224" w:type="dxa"/>
          </w:tcPr>
          <w:p w:rsidR="00505632" w:rsidRDefault="00505632" w:rsidP="00AD4E52">
            <w:pPr>
              <w:pStyle w:val="CellColumn"/>
              <w:jc w:val="right"/>
            </w:pPr>
            <w:r>
              <w:rPr>
                <w:rFonts w:cs="Times New Roman"/>
              </w:rPr>
              <w:t>79,0</w:t>
            </w:r>
          </w:p>
        </w:tc>
      </w:tr>
    </w:tbl>
    <w:p w:rsidR="00505632" w:rsidRDefault="00505632" w:rsidP="00505632">
      <w:pPr>
        <w:jc w:val="left"/>
      </w:pPr>
    </w:p>
    <w:p w:rsidR="00505632" w:rsidRDefault="00505632" w:rsidP="00505632">
      <w:r>
        <w:t xml:space="preserve">Program se odnosi na unapređenje i informatizaciju sustava upravljama vodnim putovima. Provedbom ovog programa, sve dionice vodnih putova na kojima je uspostavljen međunarodni režim plovidbe pokrivene su riječnim informacijskim servisima.  </w:t>
      </w:r>
    </w:p>
    <w:p w:rsidR="00505632" w:rsidRDefault="00505632" w:rsidP="00505632">
      <w:r>
        <w:t>Planiranim sredstvima za 2016. godinu, kroz koordinirana provedba Master plana za rehabilitaciju i održavanje plovnog puta rijeke Dunav i njegovih plovnih pritoka, nabavljena je oprema za vodomjerne postaje i ugovorena nabava plovila za potrebe hidrografskih snimanja. Potpisan je ugovor i započeta provedba projekta CEF 2014.-2020.- RIS COMEX- Primjena RIS-a u upravljanju prometnim koridorima, koji će rezultate RIS-a implentirati na europskoj razini u jedinstveno upravljanje na pojedinim prometnim koridorima, a posebno na riječnom koridoru Dunava, ali i cestovnim i željezničkim koridorima.</w:t>
      </w:r>
    </w:p>
    <w:p w:rsidR="00505632" w:rsidRDefault="00505632" w:rsidP="00505632">
      <w:pPr>
        <w:pStyle w:val="Heading8"/>
        <w:jc w:val="left"/>
      </w:pPr>
      <w:r>
        <w:t>Cilj 1. Uspješna priprema i provedba projekata sufinanciranih sredstvima fondova EU</w:t>
      </w:r>
    </w:p>
    <w:p w:rsidR="00505632" w:rsidRDefault="00505632" w:rsidP="00505632">
      <w:pPr>
        <w:pStyle w:val="Heading8"/>
        <w:jc w:val="left"/>
      </w:pPr>
      <w:r>
        <w:t>Opis provedbe cilja programa</w:t>
      </w:r>
    </w:p>
    <w:p w:rsidR="00505632" w:rsidRDefault="00505632" w:rsidP="00505632">
      <w:r>
        <w:t>Cilj programa je uspješnom pripremom i provedbom projekata sufinanciranih sredstvima fondova EU, povećati količinu teretnog prometa na unutarnjim plovnim putovima kroz razvoj prometnih mreža na koridorima Transeuropske prometne mreže (TEN-T) te kroz poboljšanje regionalnih veza stimulirati ravnomjerniji razvoj prometnih mreža. Provedbom dosadašnja dva projekta i potpisom ugovora za još jedan planirani projekt, Republika Hrvatska se približila standardima drugih država članica EU, a sve radi bolje integracije unutar europske prometne mreže i poboljšanja prometne infrastrukture u sektoru unutarnjih plovnih putova.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projekta o dodjeli bespovratnih sredstava</w:t>
            </w:r>
          </w:p>
        </w:tc>
        <w:tc>
          <w:tcPr>
            <w:tcW w:w="2551" w:type="dxa"/>
          </w:tcPr>
          <w:p w:rsidR="00505632" w:rsidRDefault="00505632" w:rsidP="00AD4E52">
            <w:pPr>
              <w:pStyle w:val="CellColumn"/>
              <w:jc w:val="left"/>
            </w:pPr>
            <w:r>
              <w:rPr>
                <w:rFonts w:cs="Times New Roman"/>
              </w:rPr>
              <w:t>Projekti za koje je sklopljen ugovor o dodjeli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Agencija za vodne putove</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3</w:t>
            </w:r>
          </w:p>
        </w:tc>
      </w:tr>
    </w:tbl>
    <w:p w:rsidR="00505632" w:rsidRDefault="00505632" w:rsidP="00505632">
      <w:pPr>
        <w:jc w:val="left"/>
      </w:pPr>
    </w:p>
    <w:p w:rsidR="00505632" w:rsidRDefault="00505632" w:rsidP="00505632">
      <w:pPr>
        <w:pStyle w:val="Heading4"/>
      </w:pPr>
      <w:r>
        <w:t>K810052 CEF 2014.-2020.- FAIRway HRVATSKA - KOORDINIRANA PROVEDBA MASTER PLANA ZA REHABILITACIJU I ODRŽAVANJE PLOVNOG PUTA RIJEKE DUNAV I NJEGOVIH PLOVNIH PRITOKA</w:t>
      </w:r>
    </w:p>
    <w:tbl>
      <w:tblPr>
        <w:tblStyle w:val="StilTablice"/>
        <w:tblW w:w="10206" w:type="dxa"/>
        <w:jc w:val="center"/>
        <w:tblLook w:val="04A0" w:firstRow="1" w:lastRow="0" w:firstColumn="1" w:lastColumn="0" w:noHBand="0" w:noVBand="1"/>
      </w:tblPr>
      <w:tblGrid>
        <w:gridCol w:w="1737"/>
        <w:gridCol w:w="2010"/>
        <w:gridCol w:w="2012"/>
        <w:gridCol w:w="2010"/>
        <w:gridCol w:w="1217"/>
        <w:gridCol w:w="1220"/>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K810052-CEF 2014.-2020.- FAIRway HRVATSKA - KOORDINIRANA PROVEDBA MASTER PLANA ZA REHABILITACIJU I ODRŽAVANJE PLOVNOG PUTA RIJEKE DUNAV I NJEGOVIH PLOVNIH PRITOKA</w:t>
            </w:r>
          </w:p>
        </w:tc>
        <w:tc>
          <w:tcPr>
            <w:tcW w:w="2041" w:type="dxa"/>
          </w:tcPr>
          <w:p w:rsidR="00505632" w:rsidRDefault="00505632" w:rsidP="00AD4E52">
            <w:pPr>
              <w:pStyle w:val="CellColumn"/>
              <w:jc w:val="right"/>
            </w:pPr>
            <w:r>
              <w:rPr>
                <w:rFonts w:cs="Times New Roman"/>
              </w:rPr>
              <w:t>21.184</w:t>
            </w:r>
          </w:p>
        </w:tc>
        <w:tc>
          <w:tcPr>
            <w:tcW w:w="2041" w:type="dxa"/>
          </w:tcPr>
          <w:p w:rsidR="00505632" w:rsidRDefault="00505632" w:rsidP="00AD4E52">
            <w:pPr>
              <w:pStyle w:val="CellColumn"/>
              <w:jc w:val="right"/>
            </w:pPr>
            <w:r>
              <w:rPr>
                <w:rFonts w:cs="Times New Roman"/>
              </w:rPr>
              <w:t>2.472.100</w:t>
            </w:r>
          </w:p>
        </w:tc>
        <w:tc>
          <w:tcPr>
            <w:tcW w:w="2041" w:type="dxa"/>
          </w:tcPr>
          <w:p w:rsidR="00505632" w:rsidRDefault="00505632" w:rsidP="00AD4E52">
            <w:pPr>
              <w:pStyle w:val="CellColumn"/>
              <w:jc w:val="right"/>
            </w:pPr>
            <w:r>
              <w:rPr>
                <w:rFonts w:cs="Times New Roman"/>
              </w:rPr>
              <w:t>990.393</w:t>
            </w:r>
          </w:p>
        </w:tc>
        <w:tc>
          <w:tcPr>
            <w:tcW w:w="1224" w:type="dxa"/>
          </w:tcPr>
          <w:p w:rsidR="00505632" w:rsidRDefault="00505632" w:rsidP="00AD4E52">
            <w:pPr>
              <w:pStyle w:val="CellColumn"/>
              <w:jc w:val="right"/>
            </w:pPr>
            <w:r>
              <w:rPr>
                <w:rFonts w:cs="Times New Roman"/>
              </w:rPr>
              <w:t>40,1</w:t>
            </w:r>
          </w:p>
        </w:tc>
        <w:tc>
          <w:tcPr>
            <w:tcW w:w="1224" w:type="dxa"/>
          </w:tcPr>
          <w:p w:rsidR="00505632" w:rsidRDefault="00505632" w:rsidP="00AD4E52">
            <w:pPr>
              <w:pStyle w:val="CellColumn"/>
              <w:jc w:val="right"/>
            </w:pPr>
            <w:r>
              <w:rPr>
                <w:rFonts w:cs="Times New Roman"/>
              </w:rPr>
              <w:t>4675,2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sustavu provedbe programa EU i sustavu provedbe projekata financiranih iz sredstava zajmova  i darovnica iz ostalih inozemnih izvora (NN 58/06), </w:t>
      </w:r>
    </w:p>
    <w:p w:rsidR="00505632" w:rsidRDefault="00505632" w:rsidP="00505632">
      <w:r>
        <w:t>- Zakon o plovidbi i  lukama unutarnjih voda (NN 109/07, 132/07, 51A/13 i 152/14).</w:t>
      </w:r>
    </w:p>
    <w:p w:rsidR="00505632" w:rsidRDefault="00505632" w:rsidP="00505632">
      <w:pPr>
        <w:pStyle w:val="Heading8"/>
        <w:jc w:val="left"/>
      </w:pPr>
      <w:r>
        <w:t>Opis aktivnosti</w:t>
      </w:r>
    </w:p>
    <w:p w:rsidR="00505632" w:rsidRDefault="00505632" w:rsidP="00505632">
      <w:r>
        <w:t>Sredstvima planiranim na ovom projektu tijekom 2016. godine plaćani su troškovi službenih putovanja na sastanke dionika projekta te je ugovorena nabava plovila za potrebe hidrografskih snimanja i opreme za vodomjerne postaje. Do odstupanja u izvršenju, koje za ovaj projekt iznosi 59,9 % u odnosu na planirana sredstva, došlo je zbog ponavljanja postupaka javne nabave za nabavu plovila za obilježavnje vodnog puta i nabavu opreme za hidrografska snimanja. Provedena su dva postupka javne nabave do kraja 2016. godine u kojima nije bilo niti jedne valjane ponude, no unatoč tome projekt se izvršava u ugovorenim rokovima.</w:t>
      </w:r>
    </w:p>
    <w:p w:rsidR="00505632" w:rsidRDefault="00505632" w:rsidP="00505632">
      <w:pPr>
        <w:pStyle w:val="Heading4"/>
      </w:pPr>
      <w:r>
        <w:t>K810053 CEF 2014.-2020.-RIS COMEX-PRIMJENA RIS-A U UPRAVLJANJU PROMETNIM KORIDORIMA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K810053-CEF 2014.-2020.-RIS COMEX-PRIMJENA RIS-A U UPRAVLJANJU PROMETNIM KORIDORIMA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31.500</w:t>
            </w:r>
          </w:p>
        </w:tc>
        <w:tc>
          <w:tcPr>
            <w:tcW w:w="2041" w:type="dxa"/>
          </w:tcPr>
          <w:p w:rsidR="00505632" w:rsidRDefault="00505632" w:rsidP="00AD4E52">
            <w:pPr>
              <w:pStyle w:val="CellColumn"/>
              <w:jc w:val="right"/>
            </w:pPr>
            <w:r>
              <w:rPr>
                <w:rFonts w:cs="Times New Roman"/>
              </w:rPr>
              <w:t>4.221</w:t>
            </w:r>
          </w:p>
        </w:tc>
        <w:tc>
          <w:tcPr>
            <w:tcW w:w="1224" w:type="dxa"/>
          </w:tcPr>
          <w:p w:rsidR="00505632" w:rsidRDefault="00505632" w:rsidP="00AD4E52">
            <w:pPr>
              <w:pStyle w:val="CellColumn"/>
              <w:jc w:val="right"/>
            </w:pPr>
            <w:r>
              <w:rPr>
                <w:rFonts w:cs="Times New Roman"/>
              </w:rPr>
              <w:t>13,4</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sustavu provedbe programa EU i sustavu provedbe projekata financiranih iz sredstava zajmova  i darovnica iz ostalih inozemnih izvora (NN 58/06), </w:t>
      </w:r>
    </w:p>
    <w:p w:rsidR="00505632" w:rsidRDefault="00505632" w:rsidP="00505632">
      <w:r>
        <w:t xml:space="preserve">- Zakon o plovidbi i  lukama unutarnjih voda (NN 109/07, 132/07, 51A/13 i 152/14), </w:t>
      </w:r>
    </w:p>
    <w:p w:rsidR="00505632" w:rsidRDefault="00505632" w:rsidP="00505632">
      <w:r>
        <w:t>- Direktiva 2005/44/EZ (RIS direktiva).</w:t>
      </w:r>
    </w:p>
    <w:p w:rsidR="00505632" w:rsidRDefault="00505632" w:rsidP="00505632">
      <w:pPr>
        <w:pStyle w:val="Heading8"/>
        <w:jc w:val="left"/>
      </w:pPr>
      <w:r>
        <w:t>Opis aktivnosti</w:t>
      </w:r>
    </w:p>
    <w:p w:rsidR="00505632" w:rsidRDefault="00505632" w:rsidP="00505632">
      <w:r>
        <w:t>Ugovor za ovaj projekt je potpisan krajem 2016. godine te je održan početni sastanak za provedbu projekta  CEF 2014.-2020.- RIS COMEX- Primjena RIS-a u upravljanju prometnim koridorima. Projektom se nastoji rezultate RIS-a implementirati na europskoj razini u jedinstveno upravljanje na pojedinim prometnim koridorima, a posebno na riječnom koridoru Dunava.</w:t>
      </w:r>
    </w:p>
    <w:p w:rsidR="00505632" w:rsidRDefault="00505632" w:rsidP="00505632">
      <w:pPr>
        <w:pStyle w:val="Heading4"/>
      </w:pPr>
      <w:r>
        <w:t>T810051 OP PROMET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T810051-OP PROMET</w:t>
            </w:r>
          </w:p>
        </w:tc>
        <w:tc>
          <w:tcPr>
            <w:tcW w:w="2041" w:type="dxa"/>
          </w:tcPr>
          <w:p w:rsidR="00505632" w:rsidRDefault="00505632" w:rsidP="00AD4E52">
            <w:pPr>
              <w:pStyle w:val="CellColumn"/>
              <w:jc w:val="right"/>
            </w:pPr>
            <w:r>
              <w:rPr>
                <w:rFonts w:cs="Times New Roman"/>
              </w:rPr>
              <w:t>3.761.042</w:t>
            </w:r>
          </w:p>
        </w:tc>
        <w:tc>
          <w:tcPr>
            <w:tcW w:w="2041" w:type="dxa"/>
          </w:tcPr>
          <w:p w:rsidR="00505632" w:rsidRDefault="00505632" w:rsidP="00AD4E52">
            <w:pPr>
              <w:pStyle w:val="CellColumn"/>
              <w:jc w:val="right"/>
            </w:pPr>
            <w:r>
              <w:rPr>
                <w:rFonts w:cs="Times New Roman"/>
              </w:rPr>
              <w:t>2.062.200</w:t>
            </w:r>
          </w:p>
        </w:tc>
        <w:tc>
          <w:tcPr>
            <w:tcW w:w="2041" w:type="dxa"/>
          </w:tcPr>
          <w:p w:rsidR="00505632" w:rsidRDefault="00505632" w:rsidP="00AD4E52">
            <w:pPr>
              <w:pStyle w:val="CellColumn"/>
              <w:jc w:val="right"/>
            </w:pPr>
            <w:r>
              <w:rPr>
                <w:rFonts w:cs="Times New Roman"/>
              </w:rPr>
              <w:t>1.993.039</w:t>
            </w:r>
          </w:p>
        </w:tc>
        <w:tc>
          <w:tcPr>
            <w:tcW w:w="1224" w:type="dxa"/>
          </w:tcPr>
          <w:p w:rsidR="00505632" w:rsidRDefault="00505632" w:rsidP="00AD4E52">
            <w:pPr>
              <w:pStyle w:val="CellColumn"/>
              <w:jc w:val="right"/>
            </w:pPr>
            <w:r>
              <w:rPr>
                <w:rFonts w:cs="Times New Roman"/>
              </w:rPr>
              <w:t>96,6</w:t>
            </w:r>
          </w:p>
        </w:tc>
        <w:tc>
          <w:tcPr>
            <w:tcW w:w="1224" w:type="dxa"/>
          </w:tcPr>
          <w:p w:rsidR="00505632" w:rsidRDefault="00505632" w:rsidP="00AD4E52">
            <w:pPr>
              <w:pStyle w:val="CellColumn"/>
              <w:jc w:val="right"/>
            </w:pPr>
            <w:r>
              <w:rPr>
                <w:rFonts w:cs="Times New Roman"/>
              </w:rPr>
              <w:t>53,0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Bijela knjiga o jedinstvenom europskom prometnom području (ECE 2011), </w:t>
      </w:r>
    </w:p>
    <w:p w:rsidR="00505632" w:rsidRDefault="00505632" w:rsidP="00505632">
      <w:r>
        <w:t xml:space="preserve">- Strategija prometnog razvoja Republike Hrvatske za razdoblje od 2014. do 2030. godine (NN 131/14), </w:t>
      </w:r>
    </w:p>
    <w:p w:rsidR="00505632" w:rsidRDefault="00505632" w:rsidP="00505632">
      <w:r>
        <w:t xml:space="preserve">- Zakon o potvrđivanju Sporazuma o financiranju između Vlade Republike Hrvatske i Europske komisije kojim se mijenja Sporazum o financiranju između Vlade Republike Hrvatske i Europske komisije za višegodišnji Operativni program »Promet« za pomoć Zajednice iz Instrumenta pretpristupne pomoći u sklopu komponente »Regionalni razvoj« u Hrvatskoj (NN MU 02/2013), </w:t>
      </w:r>
    </w:p>
    <w:p w:rsidR="00505632" w:rsidRDefault="00505632" w:rsidP="00505632">
      <w:r>
        <w:t xml:space="preserve">- Izmjene i dopune Operativnog programa Promet 2007.-2013., odobrene od strane EK 30. studenoga 2015. godine, </w:t>
      </w:r>
    </w:p>
    <w:p w:rsidR="00505632" w:rsidRDefault="00505632" w:rsidP="00505632">
      <w:r>
        <w:t xml:space="preserve">- Zakon o uspostavi institucionalnog okvira za korištenje SI EU u RH (NN 78/12, 143/13, 157/13), </w:t>
      </w:r>
    </w:p>
    <w:p w:rsidR="00505632" w:rsidRDefault="00505632" w:rsidP="00505632">
      <w:r>
        <w:t xml:space="preserve">- Uredba o tijelima u sustavu upravljanja i kontrole korištenja SI EU u RH (NN 97/12, 18/16), </w:t>
      </w:r>
    </w:p>
    <w:p w:rsidR="00505632" w:rsidRDefault="00505632" w:rsidP="00505632">
      <w:r>
        <w:t xml:space="preserve">- Strategija Europa 2020 (ožujak 2010.), </w:t>
      </w:r>
    </w:p>
    <w:p w:rsidR="00505632" w:rsidRDefault="00505632" w:rsidP="00505632">
      <w:r>
        <w:t xml:space="preserve">- Zakon o plovidbi i lukama unutarnjih voda (Narodne novine br: NN 109/07, 132/07, 51A/13, 152/14), </w:t>
      </w:r>
    </w:p>
    <w:p w:rsidR="00505632" w:rsidRDefault="00505632" w:rsidP="00505632">
      <w:r>
        <w:t xml:space="preserve">- Pravilnik o tehničkom održavanju vodnih putova (Narodne novine br:62/09i 136/12),  </w:t>
      </w:r>
    </w:p>
    <w:p w:rsidR="00505632" w:rsidRDefault="00505632" w:rsidP="00505632">
      <w:r>
        <w:t xml:space="preserve">- Strategija razvitka riječnog prometa u Republici Hrvatskoj 2008-2018 (Narodne novine br: 65/08), </w:t>
      </w:r>
    </w:p>
    <w:p w:rsidR="00505632" w:rsidRDefault="00505632" w:rsidP="00505632">
      <w:r>
        <w:t>- Srednjoročni plan razvitka plovnih putova i luka unutarnjih voda Republike Hrvatske 2009-2016.</w:t>
      </w:r>
    </w:p>
    <w:p w:rsidR="00505632" w:rsidRDefault="00505632" w:rsidP="00505632">
      <w:pPr>
        <w:pStyle w:val="Heading8"/>
        <w:jc w:val="left"/>
      </w:pPr>
      <w:r>
        <w:t>Opis aktivnosti</w:t>
      </w:r>
    </w:p>
    <w:p w:rsidR="00505632" w:rsidRDefault="00505632" w:rsidP="00505632">
      <w:r>
        <w:t>Planiranim sredstvima financirana je provedba projekata u okviru prioritetne osi 2. Unapređenje sustava unutarnje plovidbe OP Prometa 2007.-2013., s fokusom na ulaganja u prometnu infrastrukturu unapređenjem sustava za kontrolu prometa i sigurnosti hrvatske mreže unutarnjih vodnih putova, sukladno s Direktivom o riječnim informacijskim servisima, kroz potpunu implementaciju riječnih informacijskih servisa na rijeci Savi. Provedbom projekta stvoreni su preduvjeti uspostave europske platforme za razmjenu podataka i bržu i ažurniju razmjenu informacija o prometu, odnosno omogućeno je povezivanje unutarnje plovidbe s drugim vidovima prometa. Projekt se odnosi na potpunu implementaciju riječnih informacijskih servisa na rijeci Savi u trajanju od 15 mjeseci. Projekt je završen u studenom 2016. godine, a završetkom projekta, riječnim informacijskim servisima pokriveno je ukupno 534,5 km vodnih putova, čime je ostvarena ciljana vrijednost.</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kilometara nadziranih unutarnjih vodnih putova na rijeci Savi, Dravi i Dunavu</w:t>
            </w:r>
          </w:p>
        </w:tc>
        <w:tc>
          <w:tcPr>
            <w:tcW w:w="2551" w:type="dxa"/>
          </w:tcPr>
          <w:p w:rsidR="00505632" w:rsidRDefault="00505632" w:rsidP="00AD4E52">
            <w:pPr>
              <w:pStyle w:val="CellColumn"/>
              <w:jc w:val="left"/>
            </w:pPr>
            <w:r>
              <w:rPr>
                <w:rFonts w:cs="Times New Roman"/>
              </w:rPr>
              <w:t>Implementacijom sustava za nadzor (RIS) povećat će se broj kilometara nadziranih unutarnjih vodnih putova na rijeci Savi, Dravi i Dunavu</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151,5</w:t>
            </w:r>
          </w:p>
        </w:tc>
        <w:tc>
          <w:tcPr>
            <w:tcW w:w="1020" w:type="dxa"/>
          </w:tcPr>
          <w:p w:rsidR="00505632" w:rsidRDefault="00505632" w:rsidP="00AD4E52">
            <w:pPr>
              <w:pStyle w:val="CellColumn"/>
              <w:jc w:val="right"/>
            </w:pPr>
            <w:r>
              <w:rPr>
                <w:rFonts w:cs="Times New Roman"/>
              </w:rPr>
              <w:t>Završno izvješće o provedbi projekata</w:t>
            </w:r>
          </w:p>
        </w:tc>
        <w:tc>
          <w:tcPr>
            <w:tcW w:w="1020" w:type="dxa"/>
          </w:tcPr>
          <w:p w:rsidR="00505632" w:rsidRDefault="00505632" w:rsidP="00AD4E52">
            <w:pPr>
              <w:pStyle w:val="CellColumn"/>
              <w:jc w:val="right"/>
            </w:pPr>
            <w:r>
              <w:rPr>
                <w:rFonts w:cs="Times New Roman"/>
              </w:rPr>
              <w:t>534,5</w:t>
            </w:r>
          </w:p>
        </w:tc>
        <w:tc>
          <w:tcPr>
            <w:tcW w:w="1020" w:type="dxa"/>
          </w:tcPr>
          <w:p w:rsidR="00505632" w:rsidRDefault="00505632" w:rsidP="00AD4E52">
            <w:pPr>
              <w:pStyle w:val="CellColumn"/>
              <w:jc w:val="right"/>
            </w:pPr>
            <w:r>
              <w:rPr>
                <w:rFonts w:cs="Times New Roman"/>
              </w:rPr>
              <w:t>534,5</w:t>
            </w:r>
          </w:p>
        </w:tc>
      </w:tr>
    </w:tbl>
    <w:p w:rsidR="00505632" w:rsidRDefault="00505632" w:rsidP="00505632">
      <w:pPr>
        <w:jc w:val="left"/>
      </w:pPr>
    </w:p>
    <w:p w:rsidR="00505632" w:rsidRDefault="00505632" w:rsidP="00505632">
      <w:pPr>
        <w:pStyle w:val="Heading3"/>
      </w:pPr>
      <w:r>
        <w:rPr>
          <w:rFonts w:cs="Times New Roman"/>
        </w:rPr>
        <w:t>3115 RAZVOJ SUSTAVA PROMETA NA UNUTARNJIM VODNIM PUTOVIMA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3115-RAZVOJ SUSTAVA PROMETA NA UNUTARNJIM VODNIM PUTOVIMA</w:t>
            </w:r>
          </w:p>
        </w:tc>
        <w:tc>
          <w:tcPr>
            <w:tcW w:w="2041" w:type="dxa"/>
          </w:tcPr>
          <w:p w:rsidR="00505632" w:rsidRDefault="00505632" w:rsidP="00AD4E52">
            <w:pPr>
              <w:pStyle w:val="CellColumn"/>
              <w:jc w:val="right"/>
            </w:pPr>
            <w:r>
              <w:rPr>
                <w:rFonts w:cs="Times New Roman"/>
              </w:rPr>
              <w:t>15.078.272</w:t>
            </w:r>
          </w:p>
        </w:tc>
        <w:tc>
          <w:tcPr>
            <w:tcW w:w="2041" w:type="dxa"/>
          </w:tcPr>
          <w:p w:rsidR="00505632" w:rsidRDefault="00505632" w:rsidP="00AD4E52">
            <w:pPr>
              <w:pStyle w:val="CellColumn"/>
              <w:jc w:val="right"/>
            </w:pPr>
            <w:r>
              <w:rPr>
                <w:rFonts w:cs="Times New Roman"/>
              </w:rPr>
              <w:t>13.726.500</w:t>
            </w:r>
          </w:p>
        </w:tc>
        <w:tc>
          <w:tcPr>
            <w:tcW w:w="2041" w:type="dxa"/>
          </w:tcPr>
          <w:p w:rsidR="00505632" w:rsidRDefault="00505632" w:rsidP="00AD4E52">
            <w:pPr>
              <w:pStyle w:val="CellColumn"/>
              <w:jc w:val="right"/>
            </w:pPr>
            <w:r>
              <w:rPr>
                <w:rFonts w:cs="Times New Roman"/>
              </w:rPr>
              <w:t>11.007.943</w:t>
            </w:r>
          </w:p>
        </w:tc>
        <w:tc>
          <w:tcPr>
            <w:tcW w:w="1224" w:type="dxa"/>
          </w:tcPr>
          <w:p w:rsidR="00505632" w:rsidRDefault="00505632" w:rsidP="00AD4E52">
            <w:pPr>
              <w:pStyle w:val="CellColumn"/>
              <w:jc w:val="right"/>
            </w:pPr>
            <w:r>
              <w:rPr>
                <w:rFonts w:cs="Times New Roman"/>
              </w:rPr>
              <w:t>80,2</w:t>
            </w:r>
          </w:p>
        </w:tc>
        <w:tc>
          <w:tcPr>
            <w:tcW w:w="1224" w:type="dxa"/>
          </w:tcPr>
          <w:p w:rsidR="00505632" w:rsidRDefault="00505632" w:rsidP="00AD4E52">
            <w:pPr>
              <w:pStyle w:val="CellColumn"/>
              <w:jc w:val="right"/>
            </w:pPr>
            <w:r>
              <w:rPr>
                <w:rFonts w:cs="Times New Roman"/>
              </w:rPr>
              <w:t>73,0</w:t>
            </w:r>
          </w:p>
        </w:tc>
      </w:tr>
    </w:tbl>
    <w:p w:rsidR="00505632" w:rsidRDefault="00505632" w:rsidP="00505632">
      <w:pPr>
        <w:jc w:val="left"/>
      </w:pPr>
    </w:p>
    <w:p w:rsidR="00505632" w:rsidRDefault="00505632" w:rsidP="00505632">
      <w:r>
        <w:t xml:space="preserve">Program se odnosi na radove tehničkog održavanja plovnih putova koji obuhvaćaju snimanje vodnih putova, održavanje dubine plovnih putova, održavanje objekata sigurnosti plovidbe, obilježavanje plovnih putova, održavanje objekata, uređaja i opreme za RIS (riječne informacijske servise), interventno održavanje plovnih putova, te uklanjanje plutajućih i potonulih predmeta koji ugrožavaju sigurnost plovidbe, a sve u svrhu razvijanja prometnog sustava odnosno prometne  infrastrukture. </w:t>
      </w:r>
    </w:p>
    <w:p w:rsidR="00505632" w:rsidRDefault="00505632" w:rsidP="00505632">
      <w:r>
        <w:t xml:space="preserve">Planiranim sredstvima u okviru ovog programa financirani su troškovi obavljanja redovite djelatnosti Agencije, izrada elaborata tehničkog čišćenja plovnog puta, izvođenje radova tehničkog održavanja plovnih putova, radova obilježavanja,  održavanje RIS servisa, te izrada projektne dokumentacije. </w:t>
      </w:r>
    </w:p>
    <w:p w:rsidR="00505632" w:rsidRDefault="00505632" w:rsidP="00505632">
      <w:r>
        <w:t>U Strategiji Vladinih programa za razdoblje 2016.-2018. Ovaj program povezan je s Općim ciljem 3.Ravnomjerni regionalni razvoj, Posebni cilj 3.4. Održivi  razvoj prometnog sustava.</w:t>
      </w:r>
    </w:p>
    <w:p w:rsidR="00505632" w:rsidRDefault="00505632" w:rsidP="00505632">
      <w:pPr>
        <w:pStyle w:val="Heading8"/>
        <w:jc w:val="left"/>
      </w:pPr>
      <w:r>
        <w:t>Cilj 1. Održavanje i poboljšanje uvjeta plovidbe</w:t>
      </w:r>
    </w:p>
    <w:p w:rsidR="00505632" w:rsidRDefault="00505632" w:rsidP="00505632">
      <w:pPr>
        <w:pStyle w:val="Heading8"/>
        <w:jc w:val="left"/>
      </w:pPr>
      <w:r>
        <w:t>Opis provedbe cilja programa</w:t>
      </w:r>
    </w:p>
    <w:p w:rsidR="00505632" w:rsidRDefault="00505632" w:rsidP="00505632">
      <w:r>
        <w:t xml:space="preserve">Provedbom ovog programa, izvođenjem radova tehničkog održavanja i obilježavanja vodnih putova, kvalitetnim održavanjem riječnih informacijskih servisa, te izradom potrebne projektne dokumentacije stvoreni su uvjeti sigurne plovidbe na unutarnjim plovnim putovima.  </w:t>
      </w:r>
    </w:p>
    <w:p w:rsidR="00505632" w:rsidRDefault="00505632" w:rsidP="00505632">
      <w:r>
        <w:t>Iz pokazatelja učinka vidljivo je da je izvršenjem aktivnosti na ovom programu, planirani cilj ovog programa postignut.</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Duljina plovnih putova koji su obilježeni za sigurnu plovidbu</w:t>
            </w:r>
          </w:p>
        </w:tc>
        <w:tc>
          <w:tcPr>
            <w:tcW w:w="2551" w:type="dxa"/>
          </w:tcPr>
          <w:p w:rsidR="00505632" w:rsidRDefault="00505632" w:rsidP="00AD4E52">
            <w:pPr>
              <w:pStyle w:val="CellColumn"/>
              <w:jc w:val="left"/>
            </w:pPr>
            <w:r>
              <w:rPr>
                <w:rFonts w:cs="Times New Roman"/>
              </w:rPr>
              <w:t>Osnovni element za sigurnu plovidbu je obilježen vodni put</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748</w:t>
            </w:r>
          </w:p>
        </w:tc>
        <w:tc>
          <w:tcPr>
            <w:tcW w:w="1020" w:type="dxa"/>
          </w:tcPr>
          <w:p w:rsidR="00505632" w:rsidRDefault="00505632" w:rsidP="00AD4E52">
            <w:pPr>
              <w:pStyle w:val="CellColumn"/>
              <w:jc w:val="right"/>
            </w:pPr>
            <w:r>
              <w:rPr>
                <w:rFonts w:cs="Times New Roman"/>
              </w:rPr>
              <w:t>Agencija za vodne putove</w:t>
            </w:r>
          </w:p>
        </w:tc>
        <w:tc>
          <w:tcPr>
            <w:tcW w:w="1020" w:type="dxa"/>
          </w:tcPr>
          <w:p w:rsidR="00505632" w:rsidRDefault="00505632" w:rsidP="00AD4E52">
            <w:pPr>
              <w:pStyle w:val="CellColumn"/>
              <w:jc w:val="right"/>
            </w:pPr>
            <w:r>
              <w:rPr>
                <w:rFonts w:cs="Times New Roman"/>
              </w:rPr>
              <w:t>748</w:t>
            </w:r>
          </w:p>
        </w:tc>
        <w:tc>
          <w:tcPr>
            <w:tcW w:w="1020" w:type="dxa"/>
          </w:tcPr>
          <w:p w:rsidR="00505632" w:rsidRDefault="00505632" w:rsidP="00AD4E52">
            <w:pPr>
              <w:pStyle w:val="CellColumn"/>
              <w:jc w:val="right"/>
            </w:pPr>
            <w:r>
              <w:rPr>
                <w:rFonts w:cs="Times New Roman"/>
              </w:rPr>
              <w:t>748</w:t>
            </w:r>
          </w:p>
        </w:tc>
      </w:tr>
    </w:tbl>
    <w:p w:rsidR="00505632" w:rsidRDefault="00505632" w:rsidP="00505632">
      <w:pPr>
        <w:jc w:val="left"/>
      </w:pPr>
    </w:p>
    <w:p w:rsidR="00505632" w:rsidRDefault="00505632" w:rsidP="00505632">
      <w:pPr>
        <w:pStyle w:val="Heading4"/>
      </w:pPr>
      <w:r>
        <w:t>A570448 ADMINISTRACIJA I UPRAVLJANJE AGENCIJE ZA VODNE PUTOVE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A570448-ADMINISTRACIJA I UPRAVLJANJE AGENCIJE ZA VODNE PUTOVE</w:t>
            </w:r>
          </w:p>
        </w:tc>
        <w:tc>
          <w:tcPr>
            <w:tcW w:w="2041" w:type="dxa"/>
          </w:tcPr>
          <w:p w:rsidR="00505632" w:rsidRDefault="00505632" w:rsidP="00AD4E52">
            <w:pPr>
              <w:pStyle w:val="CellColumn"/>
              <w:jc w:val="right"/>
            </w:pPr>
            <w:r>
              <w:rPr>
                <w:rFonts w:cs="Times New Roman"/>
              </w:rPr>
              <w:t>5.951.895</w:t>
            </w:r>
          </w:p>
        </w:tc>
        <w:tc>
          <w:tcPr>
            <w:tcW w:w="2041" w:type="dxa"/>
          </w:tcPr>
          <w:p w:rsidR="00505632" w:rsidRDefault="00505632" w:rsidP="00AD4E52">
            <w:pPr>
              <w:pStyle w:val="CellColumn"/>
              <w:jc w:val="right"/>
            </w:pPr>
            <w:r>
              <w:rPr>
                <w:rFonts w:cs="Times New Roman"/>
              </w:rPr>
              <w:t>6.331.500</w:t>
            </w:r>
          </w:p>
        </w:tc>
        <w:tc>
          <w:tcPr>
            <w:tcW w:w="2041" w:type="dxa"/>
          </w:tcPr>
          <w:p w:rsidR="00505632" w:rsidRDefault="00505632" w:rsidP="00AD4E52">
            <w:pPr>
              <w:pStyle w:val="CellColumn"/>
              <w:jc w:val="right"/>
            </w:pPr>
            <w:r>
              <w:rPr>
                <w:rFonts w:cs="Times New Roman"/>
              </w:rPr>
              <w:t>5.758.730</w:t>
            </w:r>
          </w:p>
        </w:tc>
        <w:tc>
          <w:tcPr>
            <w:tcW w:w="1224" w:type="dxa"/>
          </w:tcPr>
          <w:p w:rsidR="00505632" w:rsidRDefault="00505632" w:rsidP="00AD4E52">
            <w:pPr>
              <w:pStyle w:val="CellColumn"/>
              <w:jc w:val="right"/>
            </w:pPr>
            <w:r>
              <w:rPr>
                <w:rFonts w:cs="Times New Roman"/>
              </w:rPr>
              <w:t>91,0</w:t>
            </w:r>
          </w:p>
        </w:tc>
        <w:tc>
          <w:tcPr>
            <w:tcW w:w="1224" w:type="dxa"/>
          </w:tcPr>
          <w:p w:rsidR="00505632" w:rsidRDefault="00505632" w:rsidP="00AD4E52">
            <w:pPr>
              <w:pStyle w:val="CellColumn"/>
              <w:jc w:val="right"/>
            </w:pPr>
            <w:r>
              <w:rPr>
                <w:rFonts w:cs="Times New Roman"/>
              </w:rPr>
              <w:t>96,8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plovidbi i  lukama unutarnjih voda (NN 109/07, 132/07, 51A/13 i 152/14), </w:t>
      </w:r>
    </w:p>
    <w:p w:rsidR="00505632" w:rsidRDefault="00505632" w:rsidP="00505632">
      <w:r>
        <w:t>- Uredba o upravljanju i vođenju poslova Agencije za vodne putove (NN 58/08).</w:t>
      </w:r>
    </w:p>
    <w:p w:rsidR="00505632" w:rsidRDefault="00505632" w:rsidP="00505632">
      <w:pPr>
        <w:pStyle w:val="Heading8"/>
        <w:jc w:val="left"/>
      </w:pPr>
      <w:r>
        <w:t>Opis aktivnosti</w:t>
      </w:r>
    </w:p>
    <w:p w:rsidR="00505632" w:rsidRDefault="00505632" w:rsidP="00505632">
      <w:r>
        <w:t>Sredstvima ove aktivnosti osigurane su redovite isplate plaća djelatnika Agencije, provođena su stručna usavršavanja djelatnika, plaćene su usluge osiguranja i redovita opskrba gorivom plovila Agencije, te usluge tekućeg i investicijskog održavanja, što je omogućilo pravovremeno i učinkovito obavljanje redovne djelatnosti. Iznos koji je ostao neutrošen odnosi se na sredstva planirana za nabavku goriva i usluge tekućeg i investicijskog održavanja.</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4"/>
      </w:pPr>
      <w:r>
        <w:t>K810001 GRADNJA I TEHNIČKO ODRŽAVANJE PLOVNIH PUTOVA UNUTARNJIH VODA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K810001-GRADNJA I TEHNIČKO ODRŽAVANJE PLOVNIH PUTOVA UNUTARNJIH VODA</w:t>
            </w:r>
          </w:p>
        </w:tc>
        <w:tc>
          <w:tcPr>
            <w:tcW w:w="2041" w:type="dxa"/>
          </w:tcPr>
          <w:p w:rsidR="00505632" w:rsidRDefault="00505632" w:rsidP="00AD4E52">
            <w:pPr>
              <w:pStyle w:val="CellColumn"/>
              <w:jc w:val="right"/>
            </w:pPr>
            <w:r>
              <w:rPr>
                <w:rFonts w:cs="Times New Roman"/>
              </w:rPr>
              <w:t>8.365.514</w:t>
            </w:r>
          </w:p>
        </w:tc>
        <w:tc>
          <w:tcPr>
            <w:tcW w:w="2041" w:type="dxa"/>
          </w:tcPr>
          <w:p w:rsidR="00505632" w:rsidRDefault="00505632" w:rsidP="00AD4E52">
            <w:pPr>
              <w:pStyle w:val="CellColumn"/>
              <w:jc w:val="right"/>
            </w:pPr>
            <w:r>
              <w:rPr>
                <w:rFonts w:cs="Times New Roman"/>
              </w:rPr>
              <w:t>6.065.000</w:t>
            </w:r>
          </w:p>
        </w:tc>
        <w:tc>
          <w:tcPr>
            <w:tcW w:w="2041" w:type="dxa"/>
          </w:tcPr>
          <w:p w:rsidR="00505632" w:rsidRDefault="00505632" w:rsidP="00AD4E52">
            <w:pPr>
              <w:pStyle w:val="CellColumn"/>
              <w:jc w:val="right"/>
            </w:pPr>
            <w:r>
              <w:rPr>
                <w:rFonts w:cs="Times New Roman"/>
              </w:rPr>
              <w:t>4.925.423</w:t>
            </w:r>
          </w:p>
        </w:tc>
        <w:tc>
          <w:tcPr>
            <w:tcW w:w="1224" w:type="dxa"/>
          </w:tcPr>
          <w:p w:rsidR="00505632" w:rsidRDefault="00505632" w:rsidP="00AD4E52">
            <w:pPr>
              <w:pStyle w:val="CellColumn"/>
              <w:jc w:val="right"/>
            </w:pPr>
            <w:r>
              <w:rPr>
                <w:rFonts w:cs="Times New Roman"/>
              </w:rPr>
              <w:t>81,2</w:t>
            </w:r>
          </w:p>
        </w:tc>
        <w:tc>
          <w:tcPr>
            <w:tcW w:w="1224" w:type="dxa"/>
          </w:tcPr>
          <w:p w:rsidR="00505632" w:rsidRDefault="00505632" w:rsidP="00AD4E52">
            <w:pPr>
              <w:pStyle w:val="CellColumn"/>
              <w:jc w:val="right"/>
            </w:pPr>
            <w:r>
              <w:rPr>
                <w:rFonts w:cs="Times New Roman"/>
              </w:rPr>
              <w:t>58,9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plovidbi i  lukama unutarnjih voda (NN 109/07, 132/07, 51A/13 i 152/14), </w:t>
      </w:r>
    </w:p>
    <w:p w:rsidR="00505632" w:rsidRDefault="00505632" w:rsidP="00505632">
      <w:r>
        <w:t xml:space="preserve">- Pravilnik o tehničkom održavanju vodnih putova (NN 62/09 i 136/12), </w:t>
      </w:r>
    </w:p>
    <w:p w:rsidR="00505632" w:rsidRDefault="00505632" w:rsidP="00505632">
      <w:r>
        <w:t xml:space="preserve">- Strategija razvitka riječnog prometa u Republici Hrvatskoj 2008-2018(NN 65/08), </w:t>
      </w:r>
    </w:p>
    <w:p w:rsidR="00505632" w:rsidRDefault="00505632" w:rsidP="00505632">
      <w:r>
        <w:t>- Srednjoročni plan razvitka plovnih putova i luka unutarnjih voda Republike Hrvatske 2009-2016.</w:t>
      </w:r>
    </w:p>
    <w:p w:rsidR="00505632" w:rsidRDefault="00505632" w:rsidP="00505632">
      <w:pPr>
        <w:pStyle w:val="Heading8"/>
        <w:jc w:val="left"/>
      </w:pPr>
      <w:r>
        <w:t>Opis aktivnosti</w:t>
      </w:r>
    </w:p>
    <w:p w:rsidR="00505632" w:rsidRDefault="00505632" w:rsidP="00505632">
      <w:r>
        <w:t>Kroz projekt je financirana izrada projekata i studija te elaborata tehničkog čišćenja plovnog puta, koji su potrebni za redovno i kvalitetno izvođenje radova tehničkog održavanja plovnih putova, radovi tehničkog održavanja plovnih putova,  te radovi obilježavanja i usluge održavanja riječnih informacijskih servisa. Zbog velikih količina nanosa pijeska na ušću Drave u Dunav i plovnom putu rijeke Drave na rkm 10 , za radove održavanja, odnosno tehničkog čišćenja, tijekom 2016. godine utrošeno je cca 2,1 mil. kuna. Preostali dio sredstava utrošen je za poslove obilježavanja (cca 0,6 mil. kuna), za izradu projekata, studija i elaborata održavanja dubina odnosnom tehničko čišćenje (cca. 1,1 mil. kuna), te je ostatak sredstava utrošen je za održavanja riječnih informacijskih servisa.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rkm vodnih putova uređen na deklariranu klasu</w:t>
            </w:r>
          </w:p>
        </w:tc>
        <w:tc>
          <w:tcPr>
            <w:tcW w:w="2551" w:type="dxa"/>
          </w:tcPr>
          <w:p w:rsidR="00505632" w:rsidRDefault="00505632" w:rsidP="00AD4E52">
            <w:pPr>
              <w:pStyle w:val="CellColumn"/>
              <w:jc w:val="left"/>
            </w:pPr>
            <w:r>
              <w:rPr>
                <w:rFonts w:cs="Times New Roman"/>
              </w:rPr>
              <w:t>Dijelovi plovnih putova na kojima je zadovoljavajuća razina plovnosti</w:t>
            </w:r>
          </w:p>
        </w:tc>
        <w:tc>
          <w:tcPr>
            <w:tcW w:w="1020" w:type="dxa"/>
          </w:tcPr>
          <w:p w:rsidR="00505632" w:rsidRDefault="00505632" w:rsidP="00AD4E52">
            <w:pPr>
              <w:pStyle w:val="CellColumn"/>
              <w:jc w:val="right"/>
            </w:pPr>
            <w:r>
              <w:rPr>
                <w:rFonts w:cs="Times New Roman"/>
              </w:rPr>
              <w:t>rkm</w:t>
            </w:r>
          </w:p>
        </w:tc>
        <w:tc>
          <w:tcPr>
            <w:tcW w:w="1020" w:type="dxa"/>
          </w:tcPr>
          <w:p w:rsidR="00505632" w:rsidRDefault="00505632" w:rsidP="00AD4E52">
            <w:pPr>
              <w:pStyle w:val="CellColumn"/>
              <w:jc w:val="right"/>
            </w:pPr>
            <w:r>
              <w:rPr>
                <w:rFonts w:cs="Times New Roman"/>
              </w:rPr>
              <w:t>160</w:t>
            </w:r>
          </w:p>
        </w:tc>
        <w:tc>
          <w:tcPr>
            <w:tcW w:w="1020" w:type="dxa"/>
          </w:tcPr>
          <w:p w:rsidR="00505632" w:rsidRDefault="00505632" w:rsidP="00AD4E52">
            <w:pPr>
              <w:pStyle w:val="CellColumn"/>
              <w:jc w:val="right"/>
            </w:pPr>
            <w:r>
              <w:rPr>
                <w:rFonts w:cs="Times New Roman"/>
              </w:rPr>
              <w:t>Agencija za vodne putove</w:t>
            </w:r>
          </w:p>
        </w:tc>
        <w:tc>
          <w:tcPr>
            <w:tcW w:w="1020" w:type="dxa"/>
          </w:tcPr>
          <w:p w:rsidR="00505632" w:rsidRDefault="00505632" w:rsidP="00AD4E52">
            <w:pPr>
              <w:pStyle w:val="CellColumn"/>
              <w:jc w:val="right"/>
            </w:pPr>
            <w:r>
              <w:rPr>
                <w:rFonts w:cs="Times New Roman"/>
              </w:rPr>
              <w:t>160</w:t>
            </w:r>
          </w:p>
        </w:tc>
        <w:tc>
          <w:tcPr>
            <w:tcW w:w="1020" w:type="dxa"/>
          </w:tcPr>
          <w:p w:rsidR="00505632" w:rsidRDefault="00505632" w:rsidP="00AD4E52">
            <w:pPr>
              <w:pStyle w:val="CellColumn"/>
              <w:jc w:val="right"/>
            </w:pPr>
            <w:r>
              <w:rPr>
                <w:rFonts w:cs="Times New Roman"/>
              </w:rPr>
              <w:t>474</w:t>
            </w:r>
          </w:p>
        </w:tc>
      </w:tr>
    </w:tbl>
    <w:p w:rsidR="00505632" w:rsidRDefault="00505632" w:rsidP="00505632">
      <w:pPr>
        <w:jc w:val="left"/>
      </w:pPr>
    </w:p>
    <w:p w:rsidR="00505632" w:rsidRDefault="00505632" w:rsidP="00505632">
      <w:pPr>
        <w:pStyle w:val="Heading4"/>
      </w:pPr>
      <w:r>
        <w:t>K810006 IZGRADNJA VIŠENAMJENSKOG KANALA DUNAV-SAVA</w:t>
      </w:r>
    </w:p>
    <w:tbl>
      <w:tblPr>
        <w:tblStyle w:val="StilTablice"/>
        <w:tblW w:w="10206" w:type="dxa"/>
        <w:jc w:val="center"/>
        <w:tblLook w:val="04A0" w:firstRow="1" w:lastRow="0" w:firstColumn="1" w:lastColumn="0" w:noHBand="0" w:noVBand="1"/>
      </w:tblPr>
      <w:tblGrid>
        <w:gridCol w:w="1915"/>
        <w:gridCol w:w="1956"/>
        <w:gridCol w:w="1961"/>
        <w:gridCol w:w="1956"/>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K810006-IZGRADNJA VIŠENAMJENSKOG KANALA DUNAV-SAVA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1.000.000</w:t>
            </w:r>
          </w:p>
        </w:tc>
        <w:tc>
          <w:tcPr>
            <w:tcW w:w="2041" w:type="dxa"/>
          </w:tcPr>
          <w:p w:rsidR="00505632" w:rsidRDefault="00505632" w:rsidP="00AD4E52">
            <w:pPr>
              <w:pStyle w:val="CellColumn"/>
              <w:jc w:val="right"/>
            </w:pPr>
            <w:r>
              <w:rPr>
                <w:rFonts w:cs="Times New Roman"/>
              </w:rPr>
              <w:t>22.500</w:t>
            </w:r>
          </w:p>
        </w:tc>
        <w:tc>
          <w:tcPr>
            <w:tcW w:w="1224" w:type="dxa"/>
          </w:tcPr>
          <w:p w:rsidR="00505632" w:rsidRDefault="00505632" w:rsidP="00AD4E52">
            <w:pPr>
              <w:pStyle w:val="CellColumn"/>
              <w:jc w:val="right"/>
            </w:pPr>
            <w:r>
              <w:rPr>
                <w:rFonts w:cs="Times New Roman"/>
              </w:rPr>
              <w:t>2,2</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plovidbi i  lukama unutarnjih voda (NN 109/07, 132/07, 51A/13 i 152/14), </w:t>
      </w:r>
    </w:p>
    <w:p w:rsidR="00505632" w:rsidRDefault="00505632" w:rsidP="00505632">
      <w:r>
        <w:t xml:space="preserve">- Strategija razvitka riječnog prometa u Republici Hrvatskoj 2008-2018(Narodne novine br: 65/08), </w:t>
      </w:r>
    </w:p>
    <w:p w:rsidR="00505632" w:rsidRDefault="00505632" w:rsidP="00505632">
      <w:r>
        <w:t>- Srednjoročni plan razvitka plovnih putova i luka unutarnjih voda Republike Hrvatske 2009-2016.</w:t>
      </w:r>
    </w:p>
    <w:p w:rsidR="00505632" w:rsidRDefault="00505632" w:rsidP="00505632">
      <w:pPr>
        <w:pStyle w:val="Heading8"/>
        <w:jc w:val="left"/>
      </w:pPr>
      <w:r>
        <w:t>Opis aktivnosti</w:t>
      </w:r>
    </w:p>
    <w:p w:rsidR="00505632" w:rsidRDefault="00505632" w:rsidP="00505632">
      <w:r>
        <w:t>Projekt ima nizak indeks izvršenja zbog kašnjenja procedure usvajanja financijskog plana i dugotrajnog postupka javne nabave uslijed izjavljenje žalbe na dokumentaciju, koju je Državna komisija za kontrolu postupaka javne nabave, krajem listopada 2016., odbila kao neosnovanu. Zbog navedenog, te zbog poništenog postupka javne nabave (ponude pristigle na javno nadmetanje nisu valjane), monitoringa šumskih ekosustava na području budućeg višenamjenskog kanala Dunav Sava, koji su obveza prema Rješenju o usvajanju Studije o utjecaju na okoliš, nije ugovoren do kraja 2016. godine.</w:t>
      </w:r>
    </w:p>
    <w:p w:rsidR="00505632" w:rsidRDefault="00505632" w:rsidP="00505632">
      <w:pPr>
        <w:pStyle w:val="Heading4"/>
      </w:pPr>
      <w:r>
        <w:t>K810023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K810023-OBNOVA VOZNOG PARKA</w:t>
            </w:r>
          </w:p>
        </w:tc>
        <w:tc>
          <w:tcPr>
            <w:tcW w:w="2041" w:type="dxa"/>
          </w:tcPr>
          <w:p w:rsidR="00505632" w:rsidRDefault="00505632" w:rsidP="00AD4E52">
            <w:pPr>
              <w:pStyle w:val="CellColumn"/>
              <w:jc w:val="right"/>
            </w:pPr>
            <w:r>
              <w:rPr>
                <w:rFonts w:cs="Times New Roman"/>
              </w:rPr>
              <w:t>111.064</w:t>
            </w:r>
          </w:p>
        </w:tc>
        <w:tc>
          <w:tcPr>
            <w:tcW w:w="2041" w:type="dxa"/>
          </w:tcPr>
          <w:p w:rsidR="00505632" w:rsidRDefault="00505632" w:rsidP="00AD4E52">
            <w:pPr>
              <w:pStyle w:val="CellColumn"/>
              <w:jc w:val="right"/>
            </w:pPr>
            <w:r>
              <w:rPr>
                <w:rFonts w:cs="Times New Roman"/>
              </w:rPr>
              <w:t>130.000</w:t>
            </w:r>
          </w:p>
        </w:tc>
        <w:tc>
          <w:tcPr>
            <w:tcW w:w="2041" w:type="dxa"/>
          </w:tcPr>
          <w:p w:rsidR="00505632" w:rsidRDefault="00505632" w:rsidP="00AD4E52">
            <w:pPr>
              <w:pStyle w:val="CellColumn"/>
              <w:jc w:val="right"/>
            </w:pPr>
            <w:r>
              <w:rPr>
                <w:rFonts w:cs="Times New Roman"/>
              </w:rPr>
              <w:t>115.586</w:t>
            </w:r>
          </w:p>
        </w:tc>
        <w:tc>
          <w:tcPr>
            <w:tcW w:w="1224" w:type="dxa"/>
          </w:tcPr>
          <w:p w:rsidR="00505632" w:rsidRDefault="00505632" w:rsidP="00AD4E52">
            <w:pPr>
              <w:pStyle w:val="CellColumn"/>
              <w:jc w:val="right"/>
            </w:pPr>
            <w:r>
              <w:rPr>
                <w:rFonts w:cs="Times New Roman"/>
              </w:rPr>
              <w:t>88,9</w:t>
            </w:r>
          </w:p>
        </w:tc>
        <w:tc>
          <w:tcPr>
            <w:tcW w:w="1224" w:type="dxa"/>
          </w:tcPr>
          <w:p w:rsidR="00505632" w:rsidRDefault="00505632" w:rsidP="00AD4E52">
            <w:pPr>
              <w:pStyle w:val="CellColumn"/>
              <w:jc w:val="right"/>
            </w:pPr>
            <w:r>
              <w:rPr>
                <w:rFonts w:cs="Times New Roman"/>
              </w:rPr>
              <w:t>104,1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Uredba o upravljanju i vođenju poslova Agencije za vodne putove (NN 58/08)</w:t>
      </w:r>
    </w:p>
    <w:p w:rsidR="00505632" w:rsidRDefault="00505632" w:rsidP="00505632">
      <w:pPr>
        <w:pStyle w:val="Heading8"/>
        <w:jc w:val="left"/>
      </w:pPr>
      <w:r>
        <w:t>Opis aktivnosti</w:t>
      </w:r>
    </w:p>
    <w:p w:rsidR="00505632" w:rsidRDefault="00505632" w:rsidP="00505632">
      <w:r>
        <w:t>Sredstvima ovog projekta plaćane su najamnine za operativni leasing tri službena vozila, koja su nabavljena 2013. i 2014. godine zbog zastarjelosti voznog parka te velikih troškova održavanja.</w:t>
      </w:r>
    </w:p>
    <w:p w:rsidR="00505632" w:rsidRDefault="00505632" w:rsidP="00505632">
      <w:pPr>
        <w:pStyle w:val="Heading4"/>
      </w:pPr>
      <w:r>
        <w:t>K810024 IZGRADNJA PLOVILA I PLOVNIH OBJEKATA U RIJEČNOJ PLOVIDBI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K810024-IZGRADNJA PLOVILA I PLOVNIH OBJEKATA U RIJEČNOJ PLOVIDBI</w:t>
            </w:r>
          </w:p>
        </w:tc>
        <w:tc>
          <w:tcPr>
            <w:tcW w:w="2041" w:type="dxa"/>
          </w:tcPr>
          <w:p w:rsidR="00505632" w:rsidRDefault="00505632" w:rsidP="00AD4E52">
            <w:pPr>
              <w:pStyle w:val="CellColumn"/>
              <w:jc w:val="right"/>
            </w:pPr>
            <w:r>
              <w:rPr>
                <w:rFonts w:cs="Times New Roman"/>
              </w:rPr>
              <w:t>649.799</w:t>
            </w:r>
          </w:p>
        </w:tc>
        <w:tc>
          <w:tcPr>
            <w:tcW w:w="2041" w:type="dxa"/>
          </w:tcPr>
          <w:p w:rsidR="00505632" w:rsidRDefault="00505632" w:rsidP="00AD4E52">
            <w:pPr>
              <w:pStyle w:val="CellColumn"/>
              <w:jc w:val="right"/>
            </w:pPr>
            <w:r>
              <w:rPr>
                <w:rFonts w:cs="Times New Roman"/>
              </w:rPr>
              <w:t>200.000</w:t>
            </w:r>
          </w:p>
        </w:tc>
        <w:tc>
          <w:tcPr>
            <w:tcW w:w="2041" w:type="dxa"/>
          </w:tcPr>
          <w:p w:rsidR="00505632" w:rsidRDefault="00505632" w:rsidP="00AD4E52">
            <w:pPr>
              <w:pStyle w:val="CellColumn"/>
              <w:jc w:val="right"/>
            </w:pPr>
            <w:r>
              <w:rPr>
                <w:rFonts w:cs="Times New Roman"/>
              </w:rPr>
              <w:t>185.705</w:t>
            </w:r>
          </w:p>
        </w:tc>
        <w:tc>
          <w:tcPr>
            <w:tcW w:w="1224" w:type="dxa"/>
          </w:tcPr>
          <w:p w:rsidR="00505632" w:rsidRDefault="00505632" w:rsidP="00AD4E52">
            <w:pPr>
              <w:pStyle w:val="CellColumn"/>
              <w:jc w:val="right"/>
            </w:pPr>
            <w:r>
              <w:rPr>
                <w:rFonts w:cs="Times New Roman"/>
              </w:rPr>
              <w:t>92,9</w:t>
            </w:r>
          </w:p>
        </w:tc>
        <w:tc>
          <w:tcPr>
            <w:tcW w:w="1224" w:type="dxa"/>
          </w:tcPr>
          <w:p w:rsidR="00505632" w:rsidRDefault="00505632" w:rsidP="00AD4E52">
            <w:pPr>
              <w:pStyle w:val="CellColumn"/>
              <w:jc w:val="right"/>
            </w:pPr>
            <w:r>
              <w:rPr>
                <w:rFonts w:cs="Times New Roman"/>
              </w:rPr>
              <w:t>28,6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plovidbi i  lukama unutarnjih voda (NN 109/07, 132/07, 51A/13 i 152/14), </w:t>
      </w:r>
    </w:p>
    <w:p w:rsidR="00505632" w:rsidRDefault="00505632" w:rsidP="00505632">
      <w:r>
        <w:t>- Pravilnik o tehničkom održavanju vodnih putova (NN 62/09 i 136/12).</w:t>
      </w:r>
    </w:p>
    <w:p w:rsidR="00505632" w:rsidRDefault="00505632" w:rsidP="00505632">
      <w:pPr>
        <w:pStyle w:val="Heading8"/>
        <w:jc w:val="left"/>
      </w:pPr>
      <w:r>
        <w:t>Opis aktivnosti</w:t>
      </w:r>
    </w:p>
    <w:p w:rsidR="00505632" w:rsidRDefault="00505632" w:rsidP="00505632">
      <w:r>
        <w:t>Kroz projekt je planirana i završena dogradnja plovnog objekta pristana za službena plovila u Davoru. Dogradnjom pristana stvoreni su uvjeti za smještaj i odlaganje opreme potrebne za obilježavanje plovnih putova i privez službenog plovila Agencije, a sve u svrhu učinkovitijeg rada ekipe na obilježavanju plovnog puta rijeke Save.</w:t>
      </w:r>
    </w:p>
    <w:p w:rsidR="00505632" w:rsidRDefault="00505632" w:rsidP="00505632">
      <w:pPr>
        <w:pStyle w:val="Heading2"/>
      </w:pPr>
      <w:r>
        <w:t>06551 Agencije u prometu i infrastrukturi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45228-Agencija za sigurnost željezničkog prometa</w:t>
            </w:r>
          </w:p>
        </w:tc>
        <w:tc>
          <w:tcPr>
            <w:tcW w:w="2041" w:type="dxa"/>
          </w:tcPr>
          <w:p w:rsidR="00505632" w:rsidRDefault="00505632" w:rsidP="00AD4E52">
            <w:pPr>
              <w:pStyle w:val="CellColumn"/>
              <w:jc w:val="right"/>
            </w:pPr>
            <w:r>
              <w:rPr>
                <w:rFonts w:cs="Times New Roman"/>
              </w:rPr>
              <w:t>4.424.509</w:t>
            </w:r>
          </w:p>
        </w:tc>
        <w:tc>
          <w:tcPr>
            <w:tcW w:w="2041" w:type="dxa"/>
          </w:tcPr>
          <w:p w:rsidR="00505632" w:rsidRDefault="00505632" w:rsidP="00AD4E52">
            <w:pPr>
              <w:pStyle w:val="CellColumn"/>
              <w:jc w:val="right"/>
            </w:pPr>
            <w:r>
              <w:rPr>
                <w:rFonts w:cs="Times New Roman"/>
              </w:rPr>
              <w:t>4.819.500</w:t>
            </w:r>
          </w:p>
        </w:tc>
        <w:tc>
          <w:tcPr>
            <w:tcW w:w="2041" w:type="dxa"/>
          </w:tcPr>
          <w:p w:rsidR="00505632" w:rsidRDefault="00505632" w:rsidP="00AD4E52">
            <w:pPr>
              <w:pStyle w:val="CellColumn"/>
              <w:jc w:val="right"/>
            </w:pPr>
            <w:r>
              <w:rPr>
                <w:rFonts w:cs="Times New Roman"/>
              </w:rPr>
              <w:t>4.633.290</w:t>
            </w:r>
          </w:p>
        </w:tc>
        <w:tc>
          <w:tcPr>
            <w:tcW w:w="1224" w:type="dxa"/>
          </w:tcPr>
          <w:p w:rsidR="00505632" w:rsidRDefault="00505632" w:rsidP="00AD4E52">
            <w:pPr>
              <w:pStyle w:val="CellColumn"/>
              <w:jc w:val="right"/>
            </w:pPr>
            <w:r>
              <w:rPr>
                <w:rFonts w:cs="Times New Roman"/>
              </w:rPr>
              <w:t>96,1</w:t>
            </w:r>
          </w:p>
        </w:tc>
        <w:tc>
          <w:tcPr>
            <w:tcW w:w="1224" w:type="dxa"/>
          </w:tcPr>
          <w:p w:rsidR="00505632" w:rsidRDefault="00505632" w:rsidP="00AD4E52">
            <w:pPr>
              <w:pStyle w:val="CellColumn"/>
              <w:jc w:val="right"/>
            </w:pPr>
            <w:r>
              <w:rPr>
                <w:rFonts w:cs="Times New Roman"/>
              </w:rPr>
              <w:t>104,7</w:t>
            </w:r>
          </w:p>
        </w:tc>
      </w:tr>
      <w:tr w:rsidR="00505632" w:rsidTr="00AD4E52">
        <w:trPr>
          <w:jc w:val="center"/>
        </w:trPr>
        <w:tc>
          <w:tcPr>
            <w:tcW w:w="1632" w:type="dxa"/>
          </w:tcPr>
          <w:p w:rsidR="00505632" w:rsidRDefault="00505632" w:rsidP="00AD4E52">
            <w:pPr>
              <w:pStyle w:val="CellColumn"/>
              <w:jc w:val="left"/>
            </w:pPr>
            <w:r>
              <w:rPr>
                <w:rFonts w:cs="Times New Roman"/>
              </w:rPr>
              <w:t>48031-Agencija za istraživanje nesreća u zračnom, pomorskom i željezničkom prometu</w:t>
            </w:r>
          </w:p>
        </w:tc>
        <w:tc>
          <w:tcPr>
            <w:tcW w:w="2041" w:type="dxa"/>
          </w:tcPr>
          <w:p w:rsidR="00505632" w:rsidRDefault="00505632" w:rsidP="00AD4E52">
            <w:pPr>
              <w:pStyle w:val="CellColumn"/>
              <w:jc w:val="right"/>
            </w:pPr>
            <w:r>
              <w:rPr>
                <w:rFonts w:cs="Times New Roman"/>
              </w:rPr>
              <w:t>2.983.910</w:t>
            </w:r>
          </w:p>
        </w:tc>
        <w:tc>
          <w:tcPr>
            <w:tcW w:w="2041" w:type="dxa"/>
          </w:tcPr>
          <w:p w:rsidR="00505632" w:rsidRDefault="00505632" w:rsidP="00AD4E52">
            <w:pPr>
              <w:pStyle w:val="CellColumn"/>
              <w:jc w:val="right"/>
            </w:pPr>
            <w:r>
              <w:rPr>
                <w:rFonts w:cs="Times New Roman"/>
              </w:rPr>
              <w:t>2.983.000</w:t>
            </w:r>
          </w:p>
        </w:tc>
        <w:tc>
          <w:tcPr>
            <w:tcW w:w="2041" w:type="dxa"/>
          </w:tcPr>
          <w:p w:rsidR="00505632" w:rsidRDefault="00505632" w:rsidP="00AD4E52">
            <w:pPr>
              <w:pStyle w:val="CellColumn"/>
              <w:jc w:val="right"/>
            </w:pPr>
            <w:r>
              <w:rPr>
                <w:rFonts w:cs="Times New Roman"/>
              </w:rPr>
              <w:t>2.183.862</w:t>
            </w:r>
          </w:p>
        </w:tc>
        <w:tc>
          <w:tcPr>
            <w:tcW w:w="1224" w:type="dxa"/>
          </w:tcPr>
          <w:p w:rsidR="00505632" w:rsidRDefault="00505632" w:rsidP="00AD4E52">
            <w:pPr>
              <w:pStyle w:val="CellColumn"/>
              <w:jc w:val="right"/>
            </w:pPr>
            <w:r>
              <w:rPr>
                <w:rFonts w:cs="Times New Roman"/>
              </w:rPr>
              <w:t>73,2</w:t>
            </w:r>
          </w:p>
        </w:tc>
        <w:tc>
          <w:tcPr>
            <w:tcW w:w="1224" w:type="dxa"/>
          </w:tcPr>
          <w:p w:rsidR="00505632" w:rsidRDefault="00505632" w:rsidP="00AD4E52">
            <w:pPr>
              <w:pStyle w:val="CellColumn"/>
              <w:jc w:val="right"/>
            </w:pPr>
            <w:r>
              <w:rPr>
                <w:rFonts w:cs="Times New Roman"/>
              </w:rPr>
              <w:t>73,2</w:t>
            </w:r>
          </w:p>
        </w:tc>
      </w:tr>
      <w:tr w:rsidR="00505632" w:rsidTr="00AD4E52">
        <w:trPr>
          <w:jc w:val="center"/>
        </w:trPr>
        <w:tc>
          <w:tcPr>
            <w:tcW w:w="1632" w:type="dxa"/>
          </w:tcPr>
          <w:p w:rsidR="00505632" w:rsidRDefault="00505632" w:rsidP="00AD4E52">
            <w:pPr>
              <w:pStyle w:val="CellColumn"/>
              <w:jc w:val="left"/>
            </w:pPr>
            <w:r>
              <w:rPr>
                <w:rFonts w:cs="Times New Roman"/>
              </w:rPr>
              <w:t>49083-Hrvatska agencija za civilno zrakoplovstvo</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71.607.000</w:t>
            </w:r>
          </w:p>
        </w:tc>
        <w:tc>
          <w:tcPr>
            <w:tcW w:w="2041" w:type="dxa"/>
          </w:tcPr>
          <w:p w:rsidR="00505632" w:rsidRDefault="00505632" w:rsidP="00AD4E52">
            <w:pPr>
              <w:pStyle w:val="CellColumn"/>
              <w:jc w:val="right"/>
            </w:pPr>
            <w:r>
              <w:rPr>
                <w:rFonts w:cs="Times New Roman"/>
              </w:rPr>
              <w:t>66.352.202</w:t>
            </w:r>
          </w:p>
        </w:tc>
        <w:tc>
          <w:tcPr>
            <w:tcW w:w="1224" w:type="dxa"/>
          </w:tcPr>
          <w:p w:rsidR="00505632" w:rsidRDefault="00505632" w:rsidP="00AD4E52">
            <w:pPr>
              <w:pStyle w:val="CellColumn"/>
              <w:jc w:val="right"/>
            </w:pPr>
            <w:r>
              <w:rPr>
                <w:rFonts w:cs="Times New Roman"/>
              </w:rPr>
              <w:t>92,7</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3"/>
      </w:pPr>
      <w:r>
        <w:rPr>
          <w:rFonts w:cs="Times New Roman"/>
        </w:rPr>
        <w:t>45228 Agencija za sigurnost željezničkog prometa</w:t>
      </w:r>
    </w:p>
    <w:p w:rsidR="00505632" w:rsidRDefault="00505632" w:rsidP="00505632">
      <w:r>
        <w:t>Agencija za sigurnost željezničkog prometa je pravna osoba s javnim ovlastima sa sjedištem u Zagrebu. Osnivač Agencije je Republika Hrvatska. Agencija je samostalna u obavljanju poslova iz svog djelovanja, a za svoj rad odgovara Vladi Republike Hrvatske. Djelatnost Agencije obuhvaća poslove vezane uz potvrde i uvjerenja o sigurnosti, odobrenja, dozvola i drugih ovlaštenja te nadzor i inspekciju u cilju osiguravanja kontinuiranog udovoljavanja zahtjevima za sigurnost željezničkog sustava, vođenje propisanih registara te obavljanje drugih poslova utvrđenih Zakonom o sigurnosti i interoperabilnosti (u daljnjem tekstu: Zakon) i izravno primjenjivim propisima Europske unije.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45228-Agencija za sigurnost željezničkog prometa</w:t>
            </w:r>
          </w:p>
        </w:tc>
        <w:tc>
          <w:tcPr>
            <w:tcW w:w="2041" w:type="dxa"/>
          </w:tcPr>
          <w:p w:rsidR="00505632" w:rsidRDefault="00505632" w:rsidP="00AD4E52">
            <w:pPr>
              <w:pStyle w:val="CellColumn"/>
              <w:jc w:val="right"/>
            </w:pPr>
            <w:r>
              <w:rPr>
                <w:rFonts w:cs="Times New Roman"/>
              </w:rPr>
              <w:t>4.424.509</w:t>
            </w:r>
          </w:p>
        </w:tc>
        <w:tc>
          <w:tcPr>
            <w:tcW w:w="2041" w:type="dxa"/>
          </w:tcPr>
          <w:p w:rsidR="00505632" w:rsidRDefault="00505632" w:rsidP="00AD4E52">
            <w:pPr>
              <w:pStyle w:val="CellColumn"/>
              <w:jc w:val="right"/>
            </w:pPr>
            <w:r>
              <w:rPr>
                <w:rFonts w:cs="Times New Roman"/>
              </w:rPr>
              <w:t>4.819.500</w:t>
            </w:r>
          </w:p>
        </w:tc>
        <w:tc>
          <w:tcPr>
            <w:tcW w:w="2041" w:type="dxa"/>
          </w:tcPr>
          <w:p w:rsidR="00505632" w:rsidRDefault="00505632" w:rsidP="00AD4E52">
            <w:pPr>
              <w:pStyle w:val="CellColumn"/>
              <w:jc w:val="right"/>
            </w:pPr>
            <w:r>
              <w:rPr>
                <w:rFonts w:cs="Times New Roman"/>
              </w:rPr>
              <w:t>4.633.290</w:t>
            </w:r>
          </w:p>
        </w:tc>
        <w:tc>
          <w:tcPr>
            <w:tcW w:w="1224" w:type="dxa"/>
          </w:tcPr>
          <w:p w:rsidR="00505632" w:rsidRDefault="00505632" w:rsidP="00AD4E52">
            <w:pPr>
              <w:pStyle w:val="CellColumn"/>
              <w:jc w:val="right"/>
            </w:pPr>
            <w:r>
              <w:rPr>
                <w:rFonts w:cs="Times New Roman"/>
              </w:rPr>
              <w:t>96,1</w:t>
            </w:r>
          </w:p>
        </w:tc>
        <w:tc>
          <w:tcPr>
            <w:tcW w:w="1224" w:type="dxa"/>
          </w:tcPr>
          <w:p w:rsidR="00505632" w:rsidRDefault="00505632" w:rsidP="00AD4E52">
            <w:pPr>
              <w:pStyle w:val="CellColumn"/>
              <w:jc w:val="right"/>
            </w:pPr>
            <w:r>
              <w:rPr>
                <w:rFonts w:cs="Times New Roman"/>
              </w:rPr>
              <w:t>104,7</w:t>
            </w:r>
          </w:p>
        </w:tc>
      </w:tr>
      <w:tr w:rsidR="00505632" w:rsidTr="00AD4E52">
        <w:trPr>
          <w:jc w:val="center"/>
        </w:trPr>
        <w:tc>
          <w:tcPr>
            <w:tcW w:w="1632" w:type="dxa"/>
          </w:tcPr>
          <w:p w:rsidR="00505632" w:rsidRDefault="00505632" w:rsidP="00AD4E52">
            <w:pPr>
              <w:jc w:val="left"/>
            </w:pPr>
            <w:r>
              <w:t>3114-RAZVOJ SUSTAVA ŽELJEZNIČKOG PROMETA</w:t>
            </w:r>
          </w:p>
        </w:tc>
        <w:tc>
          <w:tcPr>
            <w:tcW w:w="2041" w:type="dxa"/>
          </w:tcPr>
          <w:p w:rsidR="00505632" w:rsidRDefault="00505632" w:rsidP="00AD4E52">
            <w:pPr>
              <w:jc w:val="right"/>
            </w:pPr>
            <w:r>
              <w:t>4.424.509</w:t>
            </w:r>
          </w:p>
        </w:tc>
        <w:tc>
          <w:tcPr>
            <w:tcW w:w="2041" w:type="dxa"/>
          </w:tcPr>
          <w:p w:rsidR="00505632" w:rsidRDefault="00505632" w:rsidP="00AD4E52">
            <w:pPr>
              <w:jc w:val="right"/>
            </w:pPr>
            <w:r>
              <w:t>4.819.500</w:t>
            </w:r>
          </w:p>
        </w:tc>
        <w:tc>
          <w:tcPr>
            <w:tcW w:w="2041" w:type="dxa"/>
          </w:tcPr>
          <w:p w:rsidR="00505632" w:rsidRDefault="00505632" w:rsidP="00AD4E52">
            <w:pPr>
              <w:jc w:val="right"/>
            </w:pPr>
            <w:r>
              <w:t>4.633.290</w:t>
            </w:r>
          </w:p>
        </w:tc>
        <w:tc>
          <w:tcPr>
            <w:tcW w:w="1224" w:type="dxa"/>
          </w:tcPr>
          <w:p w:rsidR="00505632" w:rsidRDefault="00505632" w:rsidP="00AD4E52">
            <w:pPr>
              <w:jc w:val="right"/>
            </w:pPr>
            <w:r>
              <w:t>96,1</w:t>
            </w:r>
          </w:p>
        </w:tc>
        <w:tc>
          <w:tcPr>
            <w:tcW w:w="1224" w:type="dxa"/>
          </w:tcPr>
          <w:p w:rsidR="00505632" w:rsidRDefault="00505632" w:rsidP="00AD4E52">
            <w:pPr>
              <w:jc w:val="right"/>
            </w:pPr>
            <w:r>
              <w:t>104,7</w:t>
            </w:r>
          </w:p>
        </w:tc>
      </w:tr>
    </w:tbl>
    <w:p w:rsidR="00505632" w:rsidRDefault="00505632" w:rsidP="00505632">
      <w:pPr>
        <w:jc w:val="left"/>
      </w:pPr>
    </w:p>
    <w:p w:rsidR="00505632" w:rsidRDefault="00505632" w:rsidP="00505632">
      <w:pPr>
        <w:pStyle w:val="Heading3"/>
      </w:pPr>
      <w:r>
        <w:rPr>
          <w:rFonts w:cs="Times New Roman"/>
        </w:rPr>
        <w:t>3114 RAZVOJ SUSTAVA ŽELJEZNIČKOG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3114-RAZVOJ SUSTAVA ŽELJEZNIČKOG PROMETA</w:t>
            </w:r>
          </w:p>
        </w:tc>
        <w:tc>
          <w:tcPr>
            <w:tcW w:w="2041" w:type="dxa"/>
          </w:tcPr>
          <w:p w:rsidR="00505632" w:rsidRDefault="00505632" w:rsidP="00AD4E52">
            <w:pPr>
              <w:pStyle w:val="CellColumn"/>
              <w:jc w:val="right"/>
            </w:pPr>
            <w:r>
              <w:rPr>
                <w:rFonts w:cs="Times New Roman"/>
              </w:rPr>
              <w:t>4.424.509</w:t>
            </w:r>
          </w:p>
        </w:tc>
        <w:tc>
          <w:tcPr>
            <w:tcW w:w="2041" w:type="dxa"/>
          </w:tcPr>
          <w:p w:rsidR="00505632" w:rsidRDefault="00505632" w:rsidP="00AD4E52">
            <w:pPr>
              <w:pStyle w:val="CellColumn"/>
              <w:jc w:val="right"/>
            </w:pPr>
            <w:r>
              <w:rPr>
                <w:rFonts w:cs="Times New Roman"/>
              </w:rPr>
              <w:t>4.819.500</w:t>
            </w:r>
          </w:p>
        </w:tc>
        <w:tc>
          <w:tcPr>
            <w:tcW w:w="2041" w:type="dxa"/>
          </w:tcPr>
          <w:p w:rsidR="00505632" w:rsidRDefault="00505632" w:rsidP="00AD4E52">
            <w:pPr>
              <w:pStyle w:val="CellColumn"/>
              <w:jc w:val="right"/>
            </w:pPr>
            <w:r>
              <w:rPr>
                <w:rFonts w:cs="Times New Roman"/>
              </w:rPr>
              <w:t>4.633.290</w:t>
            </w:r>
          </w:p>
        </w:tc>
        <w:tc>
          <w:tcPr>
            <w:tcW w:w="1224" w:type="dxa"/>
          </w:tcPr>
          <w:p w:rsidR="00505632" w:rsidRDefault="00505632" w:rsidP="00AD4E52">
            <w:pPr>
              <w:pStyle w:val="CellColumn"/>
              <w:jc w:val="right"/>
            </w:pPr>
            <w:r>
              <w:rPr>
                <w:rFonts w:cs="Times New Roman"/>
              </w:rPr>
              <w:t>96,1</w:t>
            </w:r>
          </w:p>
        </w:tc>
        <w:tc>
          <w:tcPr>
            <w:tcW w:w="1224" w:type="dxa"/>
          </w:tcPr>
          <w:p w:rsidR="00505632" w:rsidRDefault="00505632" w:rsidP="00AD4E52">
            <w:pPr>
              <w:pStyle w:val="CellColumn"/>
              <w:jc w:val="right"/>
            </w:pPr>
            <w:r>
              <w:rPr>
                <w:rFonts w:cs="Times New Roman"/>
              </w:rPr>
              <w:t>104,7</w:t>
            </w:r>
          </w:p>
        </w:tc>
      </w:tr>
    </w:tbl>
    <w:p w:rsidR="00505632" w:rsidRDefault="00505632" w:rsidP="00505632">
      <w:pPr>
        <w:jc w:val="left"/>
      </w:pPr>
    </w:p>
    <w:p w:rsidR="00505632" w:rsidRDefault="00505632" w:rsidP="00505632">
      <w:r>
        <w:t>Kroz ovaj program Agencija je, izdavanjem rješenja, odnosno rješavanjem upravnih predmeta iz područja svog djelovanja, utjecala na poboljšanje sigurnosti kopnenog prometa, jednog od strateških ciljeva nadležnog Ministarstva u dijelu koji je povezan s Općim ciljem 1. Održivi razvoj prometnog sustava - Posebni cilj 1.4. Razvijen sustav željezničkog i cestovnog prometa.</w:t>
      </w:r>
    </w:p>
    <w:p w:rsidR="00505632" w:rsidRDefault="00505632" w:rsidP="00505632">
      <w:pPr>
        <w:pStyle w:val="Heading8"/>
        <w:jc w:val="left"/>
      </w:pPr>
      <w:r>
        <w:t>Cilj 1. Povećati broj izdanih rješenja temeljem zaprimljenih zahtjeva podnositelja, dionika željezničkog sustava</w:t>
      </w:r>
    </w:p>
    <w:p w:rsidR="00505632" w:rsidRDefault="00505632" w:rsidP="00505632">
      <w:pPr>
        <w:pStyle w:val="Heading8"/>
        <w:jc w:val="left"/>
      </w:pPr>
      <w:r>
        <w:t>Opis provedbe cilja programa</w:t>
      </w:r>
    </w:p>
    <w:p w:rsidR="00505632" w:rsidRDefault="00505632" w:rsidP="00505632">
      <w:r>
        <w:t>Agencija je izdavanjem rješenja, odnosno rješavanjem upravnih predmeta utjecala na povećanje razine sigurnosti željezničkog sustava. Značajno odstupanje od ciljane vrijednosti vezano je uz povećanje broja inspekcijskih nadzora i pregleda sustava upravljanja sigurnošću (audita). Kako bi se izbjegao rizik nerješavanja upravnih predmeta u predviđenim rokovim, obrada zaprimljenih zahtjeva, u smislu realizacije postavljenih ciljeva, provodila se primjenom multidisciplinarnog pristupa organizacije rada uz pojačanu koordinaciju između nadležnih uprava.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06"/>
        <w:gridCol w:w="2511"/>
        <w:gridCol w:w="1013"/>
        <w:gridCol w:w="1017"/>
        <w:gridCol w:w="1125"/>
        <w:gridCol w:w="1017"/>
        <w:gridCol w:w="1017"/>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izdanih rješenja odnosno riješenih upravnih predmeta</w:t>
            </w:r>
          </w:p>
        </w:tc>
        <w:tc>
          <w:tcPr>
            <w:tcW w:w="2551" w:type="dxa"/>
          </w:tcPr>
          <w:p w:rsidR="00505632" w:rsidRDefault="00505632" w:rsidP="00AD4E52">
            <w:pPr>
              <w:pStyle w:val="CellColumn"/>
              <w:jc w:val="left"/>
            </w:pPr>
            <w:r>
              <w:rPr>
                <w:rFonts w:cs="Times New Roman"/>
              </w:rPr>
              <w:t>Broj izdanih rješenja odnosno riješenih upravnih predmeta iz područja djelovanja Agencije utječe na povećanje  razine sigurnost željezničkog prometa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613</w:t>
            </w:r>
          </w:p>
        </w:tc>
        <w:tc>
          <w:tcPr>
            <w:tcW w:w="918" w:type="dxa"/>
          </w:tcPr>
          <w:p w:rsidR="00505632" w:rsidRDefault="00505632" w:rsidP="00AD4E52">
            <w:pPr>
              <w:pStyle w:val="CellColumn"/>
              <w:jc w:val="right"/>
            </w:pPr>
            <w:r>
              <w:rPr>
                <w:rFonts w:cs="Times New Roman"/>
              </w:rPr>
              <w:t>Upisnik predmeta I. stupnja Agencije za sigurnost željezničkog prometa</w:t>
            </w:r>
          </w:p>
        </w:tc>
        <w:tc>
          <w:tcPr>
            <w:tcW w:w="1020" w:type="dxa"/>
          </w:tcPr>
          <w:p w:rsidR="00505632" w:rsidRDefault="00505632" w:rsidP="00AD4E52">
            <w:pPr>
              <w:pStyle w:val="CellColumn"/>
              <w:jc w:val="right"/>
            </w:pPr>
            <w:r>
              <w:rPr>
                <w:rFonts w:cs="Times New Roman"/>
              </w:rPr>
              <w:t>615</w:t>
            </w:r>
          </w:p>
        </w:tc>
        <w:tc>
          <w:tcPr>
            <w:tcW w:w="1020" w:type="dxa"/>
          </w:tcPr>
          <w:p w:rsidR="00505632" w:rsidRDefault="00505632" w:rsidP="00AD4E52">
            <w:pPr>
              <w:pStyle w:val="CellColumn"/>
              <w:jc w:val="right"/>
            </w:pPr>
            <w:r>
              <w:rPr>
                <w:rFonts w:cs="Times New Roman"/>
              </w:rPr>
              <w:t>755</w:t>
            </w:r>
          </w:p>
        </w:tc>
      </w:tr>
    </w:tbl>
    <w:p w:rsidR="00505632" w:rsidRDefault="00505632" w:rsidP="00505632">
      <w:pPr>
        <w:jc w:val="left"/>
      </w:pPr>
    </w:p>
    <w:p w:rsidR="00505632" w:rsidRDefault="00505632" w:rsidP="00505632">
      <w:pPr>
        <w:pStyle w:val="Heading4"/>
      </w:pPr>
      <w:r>
        <w:t>A840001 ADMINISTRACIJA I UPRAVLJANJE AGENCIJE ZA SIGURNOST ŽELJEZNIČKOG PROMETA</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A840001-ADMINISTRACIJA I UPRAVLJANJE AGENCIJE ZA SIGURNOST ŽELJEZNIČKOG PROMETA</w:t>
            </w:r>
          </w:p>
        </w:tc>
        <w:tc>
          <w:tcPr>
            <w:tcW w:w="2041" w:type="dxa"/>
          </w:tcPr>
          <w:p w:rsidR="00505632" w:rsidRDefault="00505632" w:rsidP="00AD4E52">
            <w:pPr>
              <w:pStyle w:val="CellColumn"/>
              <w:jc w:val="right"/>
            </w:pPr>
            <w:r>
              <w:rPr>
                <w:rFonts w:cs="Times New Roman"/>
              </w:rPr>
              <w:t>4.213.400</w:t>
            </w:r>
          </w:p>
        </w:tc>
        <w:tc>
          <w:tcPr>
            <w:tcW w:w="2041" w:type="dxa"/>
          </w:tcPr>
          <w:p w:rsidR="00505632" w:rsidRDefault="00505632" w:rsidP="00AD4E52">
            <w:pPr>
              <w:pStyle w:val="CellColumn"/>
              <w:jc w:val="right"/>
            </w:pPr>
            <w:r>
              <w:rPr>
                <w:rFonts w:cs="Times New Roman"/>
              </w:rPr>
              <w:t>4.614.500</w:t>
            </w:r>
          </w:p>
        </w:tc>
        <w:tc>
          <w:tcPr>
            <w:tcW w:w="2041" w:type="dxa"/>
          </w:tcPr>
          <w:p w:rsidR="00505632" w:rsidRDefault="00505632" w:rsidP="00AD4E52">
            <w:pPr>
              <w:pStyle w:val="CellColumn"/>
              <w:jc w:val="right"/>
            </w:pPr>
            <w:r>
              <w:rPr>
                <w:rFonts w:cs="Times New Roman"/>
              </w:rPr>
              <w:t>4.454.368</w:t>
            </w:r>
          </w:p>
        </w:tc>
        <w:tc>
          <w:tcPr>
            <w:tcW w:w="1224" w:type="dxa"/>
          </w:tcPr>
          <w:p w:rsidR="00505632" w:rsidRDefault="00505632" w:rsidP="00AD4E52">
            <w:pPr>
              <w:pStyle w:val="CellColumn"/>
              <w:jc w:val="right"/>
            </w:pPr>
            <w:r>
              <w:rPr>
                <w:rFonts w:cs="Times New Roman"/>
              </w:rPr>
              <w:t>96,5</w:t>
            </w:r>
          </w:p>
        </w:tc>
        <w:tc>
          <w:tcPr>
            <w:tcW w:w="1224" w:type="dxa"/>
          </w:tcPr>
          <w:p w:rsidR="00505632" w:rsidRDefault="00505632" w:rsidP="00AD4E52">
            <w:pPr>
              <w:pStyle w:val="CellColumn"/>
              <w:jc w:val="right"/>
            </w:pPr>
            <w:r>
              <w:rPr>
                <w:rFonts w:cs="Times New Roman"/>
              </w:rPr>
              <w:t>105,7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sigurnosti i interoperabilnosti željezničkog sustava (Narodne novine, broj 82/13, 18/15, 110/15), </w:t>
      </w:r>
    </w:p>
    <w:p w:rsidR="00505632" w:rsidRDefault="00505632" w:rsidP="00505632">
      <w:r>
        <w:t xml:space="preserve">- Zakon o željeznici (Narodne novine, broj 94/13 i 148/13), </w:t>
      </w:r>
    </w:p>
    <w:p w:rsidR="00505632" w:rsidRDefault="00505632" w:rsidP="00505632">
      <w:r>
        <w:t xml:space="preserve">- Zakon o ustanovama (Narodne novine, broj 76/93, 29/97, 47/99 i 35/08), </w:t>
      </w:r>
    </w:p>
    <w:p w:rsidR="00505632" w:rsidRDefault="00505632" w:rsidP="00505632">
      <w:r>
        <w:t xml:space="preserve">- Zakon o općem upravnom postupku (Narodne novine, broj 47/09.), </w:t>
      </w:r>
    </w:p>
    <w:p w:rsidR="00505632" w:rsidRDefault="00505632" w:rsidP="00505632">
      <w:r>
        <w:t xml:space="preserve">- Zakon o prijevozu opasnih tvari (Narodne novine, 79/07), </w:t>
      </w:r>
    </w:p>
    <w:p w:rsidR="00505632" w:rsidRDefault="00505632" w:rsidP="00505632">
      <w:r>
        <w:t xml:space="preserve">- Zakon o upravnim sporovima (Narodne novine 20/10, 143/12, 152/14, 94/16), </w:t>
      </w:r>
    </w:p>
    <w:p w:rsidR="00505632" w:rsidRDefault="00505632" w:rsidP="00505632">
      <w:r>
        <w:t xml:space="preserve">- Kazneni zakon (Narodne novine 125/11, 144/12, 56/15, 61/15), </w:t>
      </w:r>
    </w:p>
    <w:p w:rsidR="00505632" w:rsidRDefault="00505632" w:rsidP="00505632">
      <w:r>
        <w:t xml:space="preserve">- Prekršajni zakon (Narodne novine 107/07, 39/13, 157/13, 110/15), </w:t>
      </w:r>
    </w:p>
    <w:p w:rsidR="00505632" w:rsidRDefault="00505632" w:rsidP="00505632">
      <w:r>
        <w:t xml:space="preserve">- Zakon o prostornom uređenju (Narodne novine 153/13), </w:t>
      </w:r>
    </w:p>
    <w:p w:rsidR="00505632" w:rsidRDefault="00505632" w:rsidP="00505632">
      <w:r>
        <w:t xml:space="preserve">- Zakon o gradnji (Narodne novine 153/13), </w:t>
      </w:r>
    </w:p>
    <w:p w:rsidR="00505632" w:rsidRDefault="00505632" w:rsidP="00505632">
      <w:r>
        <w:t xml:space="preserve">- Zakon o zaštiti okoliša (Narodne novine 80/13, 153/13, 78/15), </w:t>
      </w:r>
    </w:p>
    <w:p w:rsidR="00505632" w:rsidRDefault="00505632" w:rsidP="00505632">
      <w:r>
        <w:t xml:space="preserve">- Zakon o strukovnom obrazovanju (Narodne novine 30/09, 24/10, 22/13), </w:t>
      </w:r>
    </w:p>
    <w:p w:rsidR="00505632" w:rsidRDefault="00505632" w:rsidP="00505632">
      <w:r>
        <w:t xml:space="preserve">- Zakon o pravu na pristup informacijama (Narodne novine 25/13, 85/15), </w:t>
      </w:r>
    </w:p>
    <w:p w:rsidR="00505632" w:rsidRDefault="00505632" w:rsidP="00505632">
      <w:r>
        <w:t>- Zakon o sustavu državne uprave (Narodne novine 150/11, 121/13,93/16, 104/16).</w:t>
      </w:r>
    </w:p>
    <w:p w:rsidR="00505632" w:rsidRDefault="00505632" w:rsidP="00505632">
      <w:pPr>
        <w:pStyle w:val="Heading8"/>
        <w:jc w:val="left"/>
      </w:pPr>
      <w:r>
        <w:t>Opis aktivnosti</w:t>
      </w:r>
    </w:p>
    <w:p w:rsidR="00505632" w:rsidRDefault="00505632" w:rsidP="00505632">
      <w:r>
        <w:t xml:space="preserve">Kroz navedenu aktivnost izvršen je najznačajniji dio proračuna Agencije kojim su pokriveni troškovi rada zaposlenika, njihova materijalna prava, službena putovanja, nabava nefinancijske imovine (oprema za rad) i drugi materijalni troškovi (uredski materijal, troškovi zakupa radnog prostora i vezani režijski troškovi, troškovi naknade za rad članova Upravnog vijeća). </w:t>
      </w:r>
    </w:p>
    <w:p w:rsidR="00505632" w:rsidRDefault="00505632" w:rsidP="00505632">
      <w:r>
        <w:t xml:space="preserve">Planovi edukacije, osposobljavanje i usavršavanje zaposlenika provodilo se kroz razne seminare i radne sastanke.  </w:t>
      </w:r>
    </w:p>
    <w:p w:rsidR="00505632" w:rsidRDefault="00505632" w:rsidP="00505632">
      <w:r>
        <w:t>U skladu sa Zakonom o sigurnosti i interoperabilnosti željezničkog sustava (NN 82/13, 18/15; članak 9 st. 5) Agencije je provodila aktivnu razmjena stajališta i iskustava s tijelima nadležnim za sigurnost u državama članicama Europske unije u cilju olakšanja i koordinacije izdavanja potvrda o sigurnosti. Osim za navedene svrhe, sredstva za službena putovanja najvećim su dijelom korištena za inozemna putovanja prema organizaciji ERA (European Railway Agency), ali i planu rada Uprave za nadzor (Inspekcijski nadzor – željeznički inspektori).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08"/>
        <w:gridCol w:w="2509"/>
        <w:gridCol w:w="1013"/>
        <w:gridCol w:w="1017"/>
        <w:gridCol w:w="1125"/>
        <w:gridCol w:w="1017"/>
        <w:gridCol w:w="1017"/>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razine sigurnosti željezničkog prometa</w:t>
            </w:r>
          </w:p>
        </w:tc>
        <w:tc>
          <w:tcPr>
            <w:tcW w:w="2551" w:type="dxa"/>
          </w:tcPr>
          <w:p w:rsidR="00505632" w:rsidRDefault="00505632" w:rsidP="00AD4E52">
            <w:pPr>
              <w:pStyle w:val="CellColumn"/>
              <w:jc w:val="left"/>
            </w:pPr>
            <w:r>
              <w:rPr>
                <w:rFonts w:cs="Times New Roman"/>
              </w:rPr>
              <w:t>Povećanjem broja nadzora utječe se na povećanje razine sigurnosti željezničkog sustava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200</w:t>
            </w:r>
          </w:p>
        </w:tc>
        <w:tc>
          <w:tcPr>
            <w:tcW w:w="1020" w:type="dxa"/>
          </w:tcPr>
          <w:p w:rsidR="00505632" w:rsidRDefault="00505632" w:rsidP="00AD4E52">
            <w:pPr>
              <w:pStyle w:val="CellColumn"/>
              <w:jc w:val="right"/>
            </w:pPr>
            <w:r>
              <w:rPr>
                <w:rFonts w:cs="Times New Roman"/>
              </w:rPr>
              <w:t>Godišnji plan rada Agencije za sigurnost željezničkog prometa za 2016.</w:t>
            </w:r>
          </w:p>
        </w:tc>
        <w:tc>
          <w:tcPr>
            <w:tcW w:w="1020" w:type="dxa"/>
          </w:tcPr>
          <w:p w:rsidR="00505632" w:rsidRDefault="00505632" w:rsidP="00AD4E52">
            <w:pPr>
              <w:pStyle w:val="CellColumn"/>
              <w:jc w:val="right"/>
            </w:pPr>
            <w:r>
              <w:rPr>
                <w:rFonts w:cs="Times New Roman"/>
              </w:rPr>
              <w:t>210</w:t>
            </w:r>
          </w:p>
        </w:tc>
        <w:tc>
          <w:tcPr>
            <w:tcW w:w="1020" w:type="dxa"/>
          </w:tcPr>
          <w:p w:rsidR="00505632" w:rsidRDefault="00505632" w:rsidP="00AD4E52">
            <w:pPr>
              <w:pStyle w:val="CellColumn"/>
              <w:jc w:val="right"/>
            </w:pPr>
            <w:r>
              <w:rPr>
                <w:rFonts w:cs="Times New Roman"/>
              </w:rPr>
              <w:t>315</w:t>
            </w:r>
          </w:p>
        </w:tc>
      </w:tr>
    </w:tbl>
    <w:p w:rsidR="00505632" w:rsidRDefault="00505632" w:rsidP="00505632">
      <w:pPr>
        <w:jc w:val="left"/>
      </w:pPr>
    </w:p>
    <w:p w:rsidR="00505632" w:rsidRDefault="00505632" w:rsidP="00505632">
      <w:pPr>
        <w:pStyle w:val="Heading4"/>
      </w:pPr>
      <w:r>
        <w:t>K840002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K840002-INFORMATIZACIJA</w:t>
            </w:r>
          </w:p>
        </w:tc>
        <w:tc>
          <w:tcPr>
            <w:tcW w:w="2041" w:type="dxa"/>
          </w:tcPr>
          <w:p w:rsidR="00505632" w:rsidRDefault="00505632" w:rsidP="00AD4E52">
            <w:pPr>
              <w:pStyle w:val="CellColumn"/>
              <w:jc w:val="right"/>
            </w:pPr>
            <w:r>
              <w:rPr>
                <w:rFonts w:cs="Times New Roman"/>
              </w:rPr>
              <w:t>211.109</w:t>
            </w:r>
          </w:p>
        </w:tc>
        <w:tc>
          <w:tcPr>
            <w:tcW w:w="2041" w:type="dxa"/>
          </w:tcPr>
          <w:p w:rsidR="00505632" w:rsidRDefault="00505632" w:rsidP="00AD4E52">
            <w:pPr>
              <w:pStyle w:val="CellColumn"/>
              <w:jc w:val="right"/>
            </w:pPr>
            <w:r>
              <w:rPr>
                <w:rFonts w:cs="Times New Roman"/>
              </w:rPr>
              <w:t>205.000</w:t>
            </w:r>
          </w:p>
        </w:tc>
        <w:tc>
          <w:tcPr>
            <w:tcW w:w="2041" w:type="dxa"/>
          </w:tcPr>
          <w:p w:rsidR="00505632" w:rsidRDefault="00505632" w:rsidP="00AD4E52">
            <w:pPr>
              <w:pStyle w:val="CellColumn"/>
              <w:jc w:val="right"/>
            </w:pPr>
            <w:r>
              <w:rPr>
                <w:rFonts w:cs="Times New Roman"/>
              </w:rPr>
              <w:t>178.922</w:t>
            </w:r>
          </w:p>
        </w:tc>
        <w:tc>
          <w:tcPr>
            <w:tcW w:w="1224" w:type="dxa"/>
          </w:tcPr>
          <w:p w:rsidR="00505632" w:rsidRDefault="00505632" w:rsidP="00AD4E52">
            <w:pPr>
              <w:pStyle w:val="CellColumn"/>
              <w:jc w:val="right"/>
            </w:pPr>
            <w:r>
              <w:rPr>
                <w:rFonts w:cs="Times New Roman"/>
              </w:rPr>
              <w:t>87,3</w:t>
            </w:r>
          </w:p>
        </w:tc>
        <w:tc>
          <w:tcPr>
            <w:tcW w:w="1224" w:type="dxa"/>
          </w:tcPr>
          <w:p w:rsidR="00505632" w:rsidRDefault="00505632" w:rsidP="00AD4E52">
            <w:pPr>
              <w:pStyle w:val="CellColumn"/>
              <w:jc w:val="right"/>
            </w:pPr>
            <w:r>
              <w:rPr>
                <w:rFonts w:cs="Times New Roman"/>
              </w:rPr>
              <w:t>84,8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sigurnosti i interoperabilnosti željezničkog sustava (Narodne novine, broj 82/13, 18/15, 110/15), </w:t>
      </w:r>
    </w:p>
    <w:p w:rsidR="00505632" w:rsidRDefault="00505632" w:rsidP="00505632">
      <w:r>
        <w:t xml:space="preserve">- Zakon o željeznici (Narodne novine, broj 94/13 i 148/13), </w:t>
      </w:r>
    </w:p>
    <w:p w:rsidR="00505632" w:rsidRDefault="00505632" w:rsidP="00505632">
      <w:r>
        <w:t xml:space="preserve">- Zakon o ustanovama (Narodne novine, broj 76/93, 29/97, 47/99 i 35/08), </w:t>
      </w:r>
    </w:p>
    <w:p w:rsidR="00505632" w:rsidRDefault="00505632" w:rsidP="00505632">
      <w:r>
        <w:t xml:space="preserve">- Zakon o općem upravnom postupku (Narodne novine, broj 47/09.), </w:t>
      </w:r>
    </w:p>
    <w:p w:rsidR="00505632" w:rsidRDefault="00505632" w:rsidP="00505632">
      <w:r>
        <w:t xml:space="preserve">- Zakon o prijevozu opasnih tvari (Narodne novine, 79/09), </w:t>
      </w:r>
    </w:p>
    <w:p w:rsidR="00505632" w:rsidRDefault="00505632" w:rsidP="00505632">
      <w:r>
        <w:t xml:space="preserve">- Zakon o upravnim sporovima (Narodne novine 20/10, 143/12, 152/14), </w:t>
      </w:r>
    </w:p>
    <w:p w:rsidR="00505632" w:rsidRDefault="00505632" w:rsidP="00505632">
      <w:r>
        <w:t xml:space="preserve">- Kazneni zakon (Narodne novine 125/11, 144/12, 56/15, 61/15), </w:t>
      </w:r>
    </w:p>
    <w:p w:rsidR="00505632" w:rsidRDefault="00505632" w:rsidP="00505632">
      <w:r>
        <w:t xml:space="preserve">- Prekršajni zakon (Narodne novine 107/07, 39/13, 157/13, 110/15), </w:t>
      </w:r>
    </w:p>
    <w:p w:rsidR="00505632" w:rsidRDefault="00505632" w:rsidP="00505632">
      <w:r>
        <w:t xml:space="preserve">- Zakon o prostornom uređenju (Narodne novine 153/13), </w:t>
      </w:r>
    </w:p>
    <w:p w:rsidR="00505632" w:rsidRDefault="00505632" w:rsidP="00505632">
      <w:r>
        <w:t xml:space="preserve">- Zakon o gradnji (Narodne novine 153/13), </w:t>
      </w:r>
    </w:p>
    <w:p w:rsidR="00505632" w:rsidRDefault="00505632" w:rsidP="00505632">
      <w:r>
        <w:t xml:space="preserve">- Zakon o zaštiti okoliša (Narodne novine 80/13, 153/13, 78/15), </w:t>
      </w:r>
    </w:p>
    <w:p w:rsidR="00505632" w:rsidRDefault="00505632" w:rsidP="00505632">
      <w:r>
        <w:t xml:space="preserve">- Zakon o strukovnom obrazovanju (Narodne novine 30/09, 24/10), </w:t>
      </w:r>
    </w:p>
    <w:p w:rsidR="00505632" w:rsidRDefault="00505632" w:rsidP="00505632">
      <w:r>
        <w:t xml:space="preserve">- Zakon o pravu na pristup informacijama (Narodne novine 25/13, 85/15), </w:t>
      </w:r>
    </w:p>
    <w:p w:rsidR="00505632" w:rsidRDefault="00505632" w:rsidP="00505632">
      <w:r>
        <w:t>- Zakon o sustavu državne uprave (Narodne novine 150/11, 121/13).</w:t>
      </w:r>
    </w:p>
    <w:p w:rsidR="00505632" w:rsidRDefault="00505632" w:rsidP="00505632">
      <w:pPr>
        <w:pStyle w:val="Heading8"/>
        <w:jc w:val="left"/>
      </w:pPr>
      <w:r>
        <w:t>Opis aktivnosti</w:t>
      </w:r>
    </w:p>
    <w:p w:rsidR="00505632" w:rsidRDefault="00505632" w:rsidP="00505632">
      <w:r>
        <w:t>Za projekt K840002 u 2016. godini sredstva su prvenstveno korištena za unapređenje jedinstvenog poslovnog informatičkog rješenja za upravljanje dokumentacijom (DMS sustav) koji se koristi u svakodnevnom radu Agencije (sve sukladno važećem Zakonu o upravnom postupku po kojem je Agencija dužna postupati na učinkovit način). Nadogradnjom postojećeg sustava odnosno realizacijom projekta nastala je adekvatna ušteda u proračunu budući da nije bilo potrebe za ugovaranjem redovnih mjesečnih održavanja.</w:t>
      </w:r>
    </w:p>
    <w:p w:rsidR="00505632" w:rsidRDefault="00505632" w:rsidP="00505632">
      <w:pPr>
        <w:pStyle w:val="Heading3"/>
      </w:pPr>
      <w:r>
        <w:rPr>
          <w:rFonts w:cs="Times New Roman"/>
        </w:rPr>
        <w:t>48031 Agencija za istraživanje nesreća u zračnom, pomorskom i željezničkom prometu</w:t>
      </w:r>
    </w:p>
    <w:p w:rsidR="00505632" w:rsidRDefault="00505632" w:rsidP="00505632">
      <w:r>
        <w:t xml:space="preserve">Agencija za istraživanje nesreća u zračnom, pomorskom i željezničkom prometu osnovana je Zakonom o osnivanju Agencije za istraživanje nesreća u zračnom, pomorskom i željezničkom prometu (Narodne novine broj 54/2013) kao pravna osoba koja na temelju javnih ovlasti samostalno obavlja poslove određene Zakonom, kao djelatnost od interesa za Republiku Hrvatsku. Agencija je funkcionalno i organizacijski nezavisno tijelo za istraživanje nesreća u zračnom, pomorskom i željezničkom prometu, koje potpuno autonomno provodi sigurnosne istrage s ciljem i zadatkom utvrđivanja uzroka nesreća, te s tim u vezi izdavanja sigurnosnih preporuka na osnovu nalaza provedenih sigurnosnih istraga.  </w:t>
      </w:r>
    </w:p>
    <w:p w:rsidR="00505632" w:rsidRDefault="00505632" w:rsidP="00505632">
      <w:r>
        <w:t xml:space="preserve">Agencija provodi aktivnosti vezane uz harmonizaciju standarda kroz osiguranje neovisnosti i suradnju nadležnih tijela u postupcima obavljanja istražnih radnji i izradi izvješća i sigurnosnih preporuka vezano uz nesreće u zračnom, pomorskom i željezničkom prometu.  </w:t>
      </w:r>
    </w:p>
    <w:p w:rsidR="00505632" w:rsidRDefault="00505632" w:rsidP="00505632">
      <w:r>
        <w:t xml:space="preserve">Agencija obavlja sljedeće aktivnosti na:  </w:t>
      </w:r>
    </w:p>
    <w:p w:rsidR="00505632" w:rsidRDefault="00505632" w:rsidP="00505632">
      <w:r>
        <w:t xml:space="preserve">A) području zračnog prometa  </w:t>
      </w:r>
    </w:p>
    <w:p w:rsidR="00505632" w:rsidRDefault="00505632" w:rsidP="00505632">
      <w:r>
        <w:t xml:space="preserve">- istraživanje nesreća i ozbiljnih nezgoda zrakoplova,  </w:t>
      </w:r>
    </w:p>
    <w:p w:rsidR="00505632" w:rsidRDefault="00505632" w:rsidP="00505632">
      <w:r>
        <w:t xml:space="preserve">- daje sigurnosne preporuke radi poboljšanja sigurnosti u zračnom prometu,  </w:t>
      </w:r>
    </w:p>
    <w:p w:rsidR="00505632" w:rsidRDefault="00505632" w:rsidP="00505632">
      <w:r>
        <w:t xml:space="preserve">- vodi Nacionalnu bazu podataka,  </w:t>
      </w:r>
    </w:p>
    <w:p w:rsidR="00505632" w:rsidRDefault="00505632" w:rsidP="00505632">
      <w:r>
        <w:t xml:space="preserve">- dostavlja podatke o događajima iz Nacionalne baze podataka u Središnju bazu Europske komisije,  </w:t>
      </w:r>
    </w:p>
    <w:p w:rsidR="00505632" w:rsidRDefault="00505632" w:rsidP="00505632">
      <w:r>
        <w:t xml:space="preserve">- razmjenjuje podatke iz svoje Nacionalne baze podataka s drugim istražnim tijelima uz uvjet očuvanja tajnosti podataka,  </w:t>
      </w:r>
    </w:p>
    <w:p w:rsidR="00505632" w:rsidRDefault="00505632" w:rsidP="00505632">
      <w:r>
        <w:t xml:space="preserve">- daje stručnu pomoć nadležnim istražnim tijelima Republike Hrvatske,  </w:t>
      </w:r>
    </w:p>
    <w:p w:rsidR="00505632" w:rsidRDefault="00505632" w:rsidP="00505632">
      <w:r>
        <w:t xml:space="preserve">- surađuje s tijelima nadležnim za istraživanje zrakoplovnih nesreća u državama članicama Organizacije međunarodnog civilnog zrakoplovstva (ICAO),  </w:t>
      </w:r>
    </w:p>
    <w:p w:rsidR="00505632" w:rsidRDefault="00505632" w:rsidP="00505632">
      <w:r>
        <w:t xml:space="preserve">- objavljuje rezultate istraživanja poštujući načela tajnosti,  </w:t>
      </w:r>
    </w:p>
    <w:p w:rsidR="00505632" w:rsidRDefault="00505632" w:rsidP="00505632">
      <w:r>
        <w:t xml:space="preserve">- utvrđuje popis stručnjaka za istraživanje zrakoplovnih nesreća.  </w:t>
      </w:r>
    </w:p>
    <w:p w:rsidR="00505632" w:rsidRDefault="00505632" w:rsidP="00505632">
      <w:r>
        <w:t xml:space="preserve">B) području pomorskog prometa  </w:t>
      </w:r>
    </w:p>
    <w:p w:rsidR="00505632" w:rsidRDefault="00505632" w:rsidP="00505632">
      <w:r>
        <w:t xml:space="preserve">- provodi sigurnosnu istragu u svrhu utvrđivanja uzroka nesreće i predlaganja mjera radi izbjegavanja pomorskih nesreća te unapređivanja sigurnosti plovidbe,  </w:t>
      </w:r>
    </w:p>
    <w:p w:rsidR="00505632" w:rsidRDefault="00505632" w:rsidP="00505632">
      <w:r>
        <w:t xml:space="preserve">- vodi pomorsku sigurnosnu istragu u slučaju vrlo ozbiljnih nesreća te dodatno, u slučajevima ozbiljnih nesreća i nezgoda, provodi preliminarnu istragu sa svrhom procjene potrebe provođenja sigurnosne istrage,  </w:t>
      </w:r>
    </w:p>
    <w:p w:rsidR="00505632" w:rsidRDefault="00505632" w:rsidP="00505632">
      <w:r>
        <w:t xml:space="preserve">- daje sigurnosne preporuke radi poboljšanja sigurnosti u pomorskom prometu,  </w:t>
      </w:r>
    </w:p>
    <w:p w:rsidR="00505632" w:rsidRDefault="00505632" w:rsidP="00505632">
      <w:r>
        <w:t xml:space="preserve">- vodi nacionalnu bazu podataka o pomorskim nesrećama,  </w:t>
      </w:r>
    </w:p>
    <w:p w:rsidR="00505632" w:rsidRDefault="00505632" w:rsidP="00505632">
      <w:r>
        <w:t xml:space="preserve">- izvještava Europsku komisiju o pomorskim nesrećama i nezgodama sukladno posebnom propisu kojim se uređuje način provedbe istraživanja te dostavlja podatke o rezultatima sigurnosnih istraga u skladu sa shemom EMCIP (European Marine Casualty Information Platform) baze podataka,  </w:t>
      </w:r>
    </w:p>
    <w:p w:rsidR="00505632" w:rsidRDefault="00505632" w:rsidP="00505632">
      <w:r>
        <w:t xml:space="preserve">- razmjenjuje podatke iz nacionalne baze podataka s drugim istražnim tijelima uz uvjet očuvanja tajnosti podataka,  </w:t>
      </w:r>
    </w:p>
    <w:p w:rsidR="00505632" w:rsidRDefault="00505632" w:rsidP="00505632">
      <w:r>
        <w:t xml:space="preserve">- u okviru ostvarivanja međusobne trajne suradnje, uzajamne pomoći i rada, Agencija s drugim istražnim tijelima razmjenjuje instalacije, uređaje i opremu za tehničko istraživanje olupina, brodske opreme i drugih objekata relevantnih za pomorsku sigurnosnu istragu, osigurava drugim tijelima pružanje informacija u svezi s istragom pomorske nesreće, pruža tehničku suradnju ili razmjenu znanja potrebnih za izvođenje posebnih zadataka, pribavlja i razmjenjuje informacije relevantne za analizu podataka o nesreći i izradu primjerenih preporuka,  </w:t>
      </w:r>
    </w:p>
    <w:p w:rsidR="00505632" w:rsidRDefault="00505632" w:rsidP="00505632">
      <w:r>
        <w:t xml:space="preserve">- priprema, izdaje i objavljuje izvješća pomorske sigurnosne istrage,  </w:t>
      </w:r>
    </w:p>
    <w:p w:rsidR="00505632" w:rsidRDefault="00505632" w:rsidP="00505632">
      <w:r>
        <w:t xml:space="preserve">- prikuplja podatke o poduzetim mjerama za provedbu sigurnosnih preporuka iz izvješća o provedenim sigurnosnim istragama,  </w:t>
      </w:r>
    </w:p>
    <w:p w:rsidR="00505632" w:rsidRDefault="00505632" w:rsidP="00505632">
      <w:r>
        <w:t xml:space="preserve">- surađuje s drugim tijelima u Republici Hrvatskoj u svrhu provođenja pomorske sigurnosne istrage,  </w:t>
      </w:r>
    </w:p>
    <w:p w:rsidR="00505632" w:rsidRDefault="00505632" w:rsidP="00505632">
      <w:r>
        <w:t xml:space="preserve">- utvrđuje popis vanjskih stručnjaka za pojedina područja sigurnosne istrage, imenovanih od slučaja do slučaja, čiji interesi ne mogu doći u sukob s povjerenim zadatkom,  </w:t>
      </w:r>
    </w:p>
    <w:p w:rsidR="00505632" w:rsidRDefault="00505632" w:rsidP="00505632">
      <w:r>
        <w:t xml:space="preserve">- izrađuje godišnje analize pomorskih nesreća te po potrebi i druge analize i studije,  </w:t>
      </w:r>
    </w:p>
    <w:p w:rsidR="00505632" w:rsidRDefault="00505632" w:rsidP="00505632">
      <w:r>
        <w:t xml:space="preserve">- sudjeluje na međunarodnim skupovima i seminarima radi usavršavanja osoblja koje se bavi provođenjem istraživanja.  </w:t>
      </w:r>
    </w:p>
    <w:p w:rsidR="00505632" w:rsidRDefault="00505632" w:rsidP="00505632">
      <w:r>
        <w:t xml:space="preserve">C) području željezničkog prometa  </w:t>
      </w:r>
    </w:p>
    <w:p w:rsidR="00505632" w:rsidRDefault="00505632" w:rsidP="00505632">
      <w:r>
        <w:t xml:space="preserve">- provodi istraživanja ozbiljnih nesreća u željezničkom prometu, kao i izvanrednih događaja koji su pod određenim okolnostima mogli dovesti do ozbiljnih nesreća,  </w:t>
      </w:r>
    </w:p>
    <w:p w:rsidR="00505632" w:rsidRDefault="00505632" w:rsidP="00505632">
      <w:r>
        <w:t xml:space="preserve">- sastavlja konačno izvješće o pojedinom provedenom istraživanju koje, po potrebi, može sadržavati sigurnosne preporuke radi poboljšanja sigurnosti u željezničkom prometu,  </w:t>
      </w:r>
    </w:p>
    <w:p w:rsidR="00505632" w:rsidRDefault="00505632" w:rsidP="00505632">
      <w:r>
        <w:t xml:space="preserve">- utvrđuje popis vanjskih stručnjaka za istraživanje pojedinih područja željezničkog prometa,  </w:t>
      </w:r>
    </w:p>
    <w:p w:rsidR="00505632" w:rsidRDefault="00505632" w:rsidP="00505632">
      <w:r>
        <w:t xml:space="preserve">- o pokretanju istraživanja ozbiljne nesreće ili izvanrednog događaja neposredno u roku od tjedan dana od donošenja odluke o pokretanju istraživanja, izvješćuje Europsku agenciju za željeznice (ERA),  </w:t>
      </w:r>
    </w:p>
    <w:p w:rsidR="00505632" w:rsidRDefault="00505632" w:rsidP="00505632">
      <w:r>
        <w:t xml:space="preserve">- javno objavljuje konačna izvješća o provedenim istraživanjima u željezničkom prometu i prosljeđuje ih Europskoj agenciji za željeznice (ERA),  </w:t>
      </w:r>
    </w:p>
    <w:p w:rsidR="00505632" w:rsidRDefault="00505632" w:rsidP="00505632">
      <w:r>
        <w:t xml:space="preserve">- svake godine, najkasnije do 30. rujna, objavljuje godišnje izvješće o provedenim istraživanjima iz prethodne godine i dostavlja ih Europskoj agenciji za željeznice (ERA),  </w:t>
      </w:r>
    </w:p>
    <w:p w:rsidR="00505632" w:rsidRDefault="00505632" w:rsidP="00505632">
      <w:r>
        <w:t>- izrađuje godišnje analize željezničkih nesreća te, po potrebi i druge analize i studije, sudjeluje na međunarodnim skupovima i seminarima o pitanjima istraživanja, kao i usavršavanjem osoblja koje se bavi provođenjem istraživanja.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48031-Agencija za istraživanje nesreća u zračnom, pomorskom i željezničkom prometu</w:t>
            </w:r>
          </w:p>
        </w:tc>
        <w:tc>
          <w:tcPr>
            <w:tcW w:w="2041" w:type="dxa"/>
          </w:tcPr>
          <w:p w:rsidR="00505632" w:rsidRDefault="00505632" w:rsidP="00AD4E52">
            <w:pPr>
              <w:pStyle w:val="CellColumn"/>
              <w:jc w:val="right"/>
            </w:pPr>
            <w:r>
              <w:rPr>
                <w:rFonts w:cs="Times New Roman"/>
              </w:rPr>
              <w:t>2.983.910</w:t>
            </w:r>
          </w:p>
        </w:tc>
        <w:tc>
          <w:tcPr>
            <w:tcW w:w="2041" w:type="dxa"/>
          </w:tcPr>
          <w:p w:rsidR="00505632" w:rsidRDefault="00505632" w:rsidP="00AD4E52">
            <w:pPr>
              <w:pStyle w:val="CellColumn"/>
              <w:jc w:val="right"/>
            </w:pPr>
            <w:r>
              <w:rPr>
                <w:rFonts w:cs="Times New Roman"/>
              </w:rPr>
              <w:t>2.983.000</w:t>
            </w:r>
          </w:p>
        </w:tc>
        <w:tc>
          <w:tcPr>
            <w:tcW w:w="2041" w:type="dxa"/>
          </w:tcPr>
          <w:p w:rsidR="00505632" w:rsidRDefault="00505632" w:rsidP="00AD4E52">
            <w:pPr>
              <w:pStyle w:val="CellColumn"/>
              <w:jc w:val="right"/>
            </w:pPr>
            <w:r>
              <w:rPr>
                <w:rFonts w:cs="Times New Roman"/>
              </w:rPr>
              <w:t>2.183.862</w:t>
            </w:r>
          </w:p>
        </w:tc>
        <w:tc>
          <w:tcPr>
            <w:tcW w:w="1224" w:type="dxa"/>
          </w:tcPr>
          <w:p w:rsidR="00505632" w:rsidRDefault="00505632" w:rsidP="00AD4E52">
            <w:pPr>
              <w:pStyle w:val="CellColumn"/>
              <w:jc w:val="right"/>
            </w:pPr>
            <w:r>
              <w:rPr>
                <w:rFonts w:cs="Times New Roman"/>
              </w:rPr>
              <w:t>73,2</w:t>
            </w:r>
          </w:p>
        </w:tc>
        <w:tc>
          <w:tcPr>
            <w:tcW w:w="1224" w:type="dxa"/>
          </w:tcPr>
          <w:p w:rsidR="00505632" w:rsidRDefault="00505632" w:rsidP="00AD4E52">
            <w:pPr>
              <w:pStyle w:val="CellColumn"/>
              <w:jc w:val="right"/>
            </w:pPr>
            <w:r>
              <w:rPr>
                <w:rFonts w:cs="Times New Roman"/>
              </w:rPr>
              <w:t>73,2</w:t>
            </w:r>
          </w:p>
        </w:tc>
      </w:tr>
      <w:tr w:rsidR="00505632" w:rsidTr="00AD4E52">
        <w:trPr>
          <w:jc w:val="center"/>
        </w:trPr>
        <w:tc>
          <w:tcPr>
            <w:tcW w:w="1632" w:type="dxa"/>
          </w:tcPr>
          <w:p w:rsidR="00505632" w:rsidRDefault="00505632" w:rsidP="00AD4E52">
            <w:pPr>
              <w:jc w:val="left"/>
            </w:pPr>
            <w:r>
              <w:t>3117-ISTRAŽIVANJE NESREĆA U PROMETU</w:t>
            </w:r>
          </w:p>
        </w:tc>
        <w:tc>
          <w:tcPr>
            <w:tcW w:w="2041" w:type="dxa"/>
          </w:tcPr>
          <w:p w:rsidR="00505632" w:rsidRDefault="00505632" w:rsidP="00AD4E52">
            <w:pPr>
              <w:jc w:val="right"/>
            </w:pPr>
            <w:r>
              <w:t>2.983.910</w:t>
            </w:r>
          </w:p>
        </w:tc>
        <w:tc>
          <w:tcPr>
            <w:tcW w:w="2041" w:type="dxa"/>
          </w:tcPr>
          <w:p w:rsidR="00505632" w:rsidRDefault="00505632" w:rsidP="00AD4E52">
            <w:pPr>
              <w:jc w:val="right"/>
            </w:pPr>
            <w:r>
              <w:t>2.983.000</w:t>
            </w:r>
          </w:p>
        </w:tc>
        <w:tc>
          <w:tcPr>
            <w:tcW w:w="2041" w:type="dxa"/>
          </w:tcPr>
          <w:p w:rsidR="00505632" w:rsidRDefault="00505632" w:rsidP="00AD4E52">
            <w:pPr>
              <w:jc w:val="right"/>
            </w:pPr>
            <w:r>
              <w:t>2.183.862</w:t>
            </w:r>
          </w:p>
        </w:tc>
        <w:tc>
          <w:tcPr>
            <w:tcW w:w="1224" w:type="dxa"/>
          </w:tcPr>
          <w:p w:rsidR="00505632" w:rsidRDefault="00505632" w:rsidP="00AD4E52">
            <w:pPr>
              <w:jc w:val="right"/>
            </w:pPr>
            <w:r>
              <w:t>73,2</w:t>
            </w:r>
          </w:p>
        </w:tc>
        <w:tc>
          <w:tcPr>
            <w:tcW w:w="1224" w:type="dxa"/>
          </w:tcPr>
          <w:p w:rsidR="00505632" w:rsidRDefault="00505632" w:rsidP="00AD4E52">
            <w:pPr>
              <w:jc w:val="right"/>
            </w:pPr>
            <w:r>
              <w:t>73,2</w:t>
            </w:r>
          </w:p>
        </w:tc>
      </w:tr>
    </w:tbl>
    <w:p w:rsidR="00505632" w:rsidRDefault="00505632" w:rsidP="00505632">
      <w:pPr>
        <w:jc w:val="left"/>
      </w:pPr>
    </w:p>
    <w:p w:rsidR="00505632" w:rsidRDefault="00505632" w:rsidP="00505632">
      <w:pPr>
        <w:pStyle w:val="Heading3"/>
      </w:pPr>
      <w:r>
        <w:rPr>
          <w:rFonts w:cs="Times New Roman"/>
        </w:rPr>
        <w:t>3117 ISTRAŽIVANJE NESREĆA U PROMETU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3117-ISTRAŽIVANJE NESREĆA U PROMETU</w:t>
            </w:r>
          </w:p>
        </w:tc>
        <w:tc>
          <w:tcPr>
            <w:tcW w:w="2041" w:type="dxa"/>
          </w:tcPr>
          <w:p w:rsidR="00505632" w:rsidRDefault="00505632" w:rsidP="00AD4E52">
            <w:pPr>
              <w:pStyle w:val="CellColumn"/>
              <w:jc w:val="right"/>
            </w:pPr>
            <w:r>
              <w:rPr>
                <w:rFonts w:cs="Times New Roman"/>
              </w:rPr>
              <w:t>2.983.910</w:t>
            </w:r>
          </w:p>
        </w:tc>
        <w:tc>
          <w:tcPr>
            <w:tcW w:w="2041" w:type="dxa"/>
          </w:tcPr>
          <w:p w:rsidR="00505632" w:rsidRDefault="00505632" w:rsidP="00AD4E52">
            <w:pPr>
              <w:pStyle w:val="CellColumn"/>
              <w:jc w:val="right"/>
            </w:pPr>
            <w:r>
              <w:rPr>
                <w:rFonts w:cs="Times New Roman"/>
              </w:rPr>
              <w:t>2.983.000</w:t>
            </w:r>
          </w:p>
        </w:tc>
        <w:tc>
          <w:tcPr>
            <w:tcW w:w="2041" w:type="dxa"/>
          </w:tcPr>
          <w:p w:rsidR="00505632" w:rsidRDefault="00505632" w:rsidP="00AD4E52">
            <w:pPr>
              <w:pStyle w:val="CellColumn"/>
              <w:jc w:val="right"/>
            </w:pPr>
            <w:r>
              <w:rPr>
                <w:rFonts w:cs="Times New Roman"/>
              </w:rPr>
              <w:t>2.183.862</w:t>
            </w:r>
          </w:p>
        </w:tc>
        <w:tc>
          <w:tcPr>
            <w:tcW w:w="1224" w:type="dxa"/>
          </w:tcPr>
          <w:p w:rsidR="00505632" w:rsidRDefault="00505632" w:rsidP="00AD4E52">
            <w:pPr>
              <w:pStyle w:val="CellColumn"/>
              <w:jc w:val="right"/>
            </w:pPr>
            <w:r>
              <w:rPr>
                <w:rFonts w:cs="Times New Roman"/>
              </w:rPr>
              <w:t>73,2</w:t>
            </w:r>
          </w:p>
        </w:tc>
        <w:tc>
          <w:tcPr>
            <w:tcW w:w="1224" w:type="dxa"/>
          </w:tcPr>
          <w:p w:rsidR="00505632" w:rsidRDefault="00505632" w:rsidP="00AD4E52">
            <w:pPr>
              <w:pStyle w:val="CellColumn"/>
              <w:jc w:val="right"/>
            </w:pPr>
            <w:r>
              <w:rPr>
                <w:rFonts w:cs="Times New Roman"/>
              </w:rPr>
              <w:t>73,2</w:t>
            </w:r>
          </w:p>
        </w:tc>
      </w:tr>
    </w:tbl>
    <w:p w:rsidR="00505632" w:rsidRDefault="00505632" w:rsidP="00505632">
      <w:pPr>
        <w:jc w:val="left"/>
      </w:pPr>
    </w:p>
    <w:p w:rsidR="00505632" w:rsidRDefault="00505632" w:rsidP="00505632">
      <w:r>
        <w:t xml:space="preserve">Kroz ovaj program osigurava se neovisnost, stručnost  i učinkovitost Agencije u postupcima obavljanja istražnih radnji vezano uz nesreće u zračnom, pomorskom i željezničkom prometu.  </w:t>
      </w:r>
    </w:p>
    <w:p w:rsidR="00505632" w:rsidRDefault="00505632" w:rsidP="00505632">
      <w:r>
        <w:t xml:space="preserve">Cilj ovoga programa je neovisno, stručno, efikasno i racionalno obavljanje istražnih radnji i izrada izvješća i sigurnosnih preporuka vezano uz nesreće u zračnom, pomorskom i željezničkom prometu, te njihova implementacija u praksi, sa svrhom aktivnog utjecaja na sigurnost zračnog, pomorskog i željezničkog prometa te sprječavanja budućih nesreća.  </w:t>
      </w:r>
    </w:p>
    <w:p w:rsidR="00505632" w:rsidRDefault="00505632" w:rsidP="00505632">
      <w:r>
        <w:t xml:space="preserve">U Strategiji Vladinih programa za razdoblje 2015.-2017. godine ovaj program povezan je s Općim ciljem „3. Ravnomjerni regionalni razvoj“ i posebnim ciljem „3.4. Održivi razvoj prometnog sustava“.  </w:t>
      </w:r>
    </w:p>
    <w:p w:rsidR="00505632" w:rsidRDefault="00505632" w:rsidP="00505632">
      <w:r>
        <w:t>U Strateškom planu Ministarstva mora, prometa i infrastrukture za razdoblje 2016.-2018. ovaj program povezan je s Općim ciljem 1. Održivi razvoj prometnog sustava, Poseban cilj 1.7. Razvijen sustav istraživanja nesreća u prometu, Način ostvarenja 1.7.1. Obavljanje istražnih radnji i izrada izvješća o nesrećama, nezgodama i događajima koji ugrožavaju sigurnost, 1.7.2. Predlaganje mjera i preporuka sa svrhom sprječavanja nesreća i nezgoda u prometu.</w:t>
      </w:r>
    </w:p>
    <w:p w:rsidR="00505632" w:rsidRDefault="00505632" w:rsidP="00505632">
      <w:pPr>
        <w:pStyle w:val="Heading8"/>
        <w:jc w:val="left"/>
      </w:pPr>
      <w:r>
        <w:t>Cilj 1. Razvijen sustav istraživanja nesreća u prometu</w:t>
      </w:r>
    </w:p>
    <w:p w:rsidR="00505632" w:rsidRDefault="00505632" w:rsidP="00505632">
      <w:pPr>
        <w:pStyle w:val="Heading8"/>
        <w:jc w:val="left"/>
      </w:pPr>
      <w:r>
        <w:t>Opis provedbe cilja programa</w:t>
      </w:r>
    </w:p>
    <w:p w:rsidR="00505632" w:rsidRDefault="00505632" w:rsidP="00505632">
      <w:r>
        <w:t xml:space="preserve">Cilj ovoga programa je povećanje i poboljšanje sigurnosti u zračnom, pomorskom i željezničkom prometu sukladno europskim standardima i preporučenoj praksi, neovisnim i stručnim obavljanjem istražnih radnji i izradom izvješća i sigurnosnih preporuka vezano uz nesreće u prometu, te njihovom implementacijom u praksi. </w:t>
      </w:r>
    </w:p>
    <w:p w:rsidR="00505632" w:rsidRDefault="00505632" w:rsidP="00505632">
      <w:r>
        <w:t xml:space="preserve">Obavljanjem istražnih radnji i žurnim djelovanjem povećava se razina sigurnosti u prometu, smanjuje broj nesreća i nezgoda i ojačava povjerenje javnosti u navedene grane prava. </w:t>
      </w:r>
    </w:p>
    <w:p w:rsidR="00505632" w:rsidRDefault="00505632" w:rsidP="00505632">
      <w:r>
        <w:t xml:space="preserve">Nakon obavljene tehničke istrage ili analize događaja koji ugrožava sigurnost u prometu, izrađuje se završno izvješće u kojem su navedeni svi kontributivni faktori i činjenice koje su dovele do nesreće, te utvrđen uzrok nesreće. </w:t>
      </w:r>
    </w:p>
    <w:p w:rsidR="00505632" w:rsidRDefault="00505632" w:rsidP="00505632">
      <w:r>
        <w:t xml:space="preserve">Kako bi se povećala razina sigurnosti u prometu, Agencija nastoji preventivno djelovati izdavanjem sigurnosnih preporuka. Sigurnosna preporuka se može izdati u bilo kojoj fazi tehničke istrage. Učinak istih prati se kroz njihovu provedbu tj. implementaciju. Tijelo kojem je sigurnosna preporuka upućena dužno je, sukladno propisima, potvrditi primitak sigurnosne preporuke i obavijestiti Agenciju o mjerama koje je poduzelo ili koje namjerava poduzeti i, prema potrebi, o vremenu potrebnom za njihovo poduzimanje, a ako te mjere nisu bile poduzete, o razlozima njihova nepoduzimanja.  </w:t>
      </w:r>
    </w:p>
    <w:p w:rsidR="00505632" w:rsidRDefault="00505632" w:rsidP="00505632">
      <w:r>
        <w:t xml:space="preserve">Problem koji se pojavljivao je taj da neke organizacije i tijela kojima je sigurnosna preporuka upućena nisu obavještavali Agenciju o poduzetim mjerama, odnosno o razlozima nepoduzimanja predloženih mjera. Navedeni problem nastojao se otkloniti tako da se primatelji sigurnosnih preporuka upoznaju s postojećim propisima i obavezama koje za njih proizlaze iz tih propisa. </w:t>
      </w:r>
    </w:p>
    <w:p w:rsidR="00505632" w:rsidRDefault="00505632" w:rsidP="00505632">
      <w:r>
        <w:t xml:space="preserve">Program se ostvarivao kroz nabavu adekvatne opreme za istražiteljske timove, zapošljavanjem odgovarajućeg kadra u skladu s proračunom Agencije, te povećanjem stupnja osposobljenosti istražiteljskih timova Agencije sudjelovanjem na domaćim i međunarodnim radionicama, seminarima i tečajevima namijenjenima istražiteljima nesreća u sve tri vrste prometa. </w:t>
      </w:r>
    </w:p>
    <w:p w:rsidR="00505632" w:rsidRDefault="00505632" w:rsidP="00505632">
      <w:r>
        <w:t>U 2016. godini Agencija je izdala 18 Završnih izvješća i 24 sigurnosne preporuke.</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provedenih (implementiranih) sigurnosnih preporuka</w:t>
            </w:r>
          </w:p>
        </w:tc>
        <w:tc>
          <w:tcPr>
            <w:tcW w:w="2551" w:type="dxa"/>
          </w:tcPr>
          <w:p w:rsidR="00505632" w:rsidRDefault="00505632" w:rsidP="00AD4E52">
            <w:pPr>
              <w:pStyle w:val="CellColumn"/>
              <w:jc w:val="left"/>
            </w:pPr>
            <w:r>
              <w:rPr>
                <w:rFonts w:cs="Times New Roman"/>
              </w:rPr>
              <w:t>Izdavanjem sigurnosnih preporuka preventivno se djeluje na razinu sigurnosti u prometu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w:t>
            </w:r>
          </w:p>
        </w:tc>
        <w:tc>
          <w:tcPr>
            <w:tcW w:w="918" w:type="dxa"/>
          </w:tcPr>
          <w:p w:rsidR="00505632" w:rsidRDefault="00505632" w:rsidP="00AD4E52">
            <w:pPr>
              <w:pStyle w:val="CellColumn"/>
              <w:jc w:val="right"/>
            </w:pPr>
            <w:r>
              <w:rPr>
                <w:rFonts w:cs="Times New Roman"/>
              </w:rPr>
              <w:t>AIN</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9</w:t>
            </w:r>
          </w:p>
        </w:tc>
      </w:tr>
    </w:tbl>
    <w:p w:rsidR="00505632" w:rsidRDefault="00505632" w:rsidP="00505632">
      <w:pPr>
        <w:jc w:val="left"/>
      </w:pPr>
    </w:p>
    <w:p w:rsidR="00505632" w:rsidRDefault="00505632" w:rsidP="00505632">
      <w:pPr>
        <w:pStyle w:val="Heading4"/>
      </w:pPr>
      <w:r>
        <w:t>A870003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A870003-ADMINISTRACIJA I UPRAVLJANJE</w:t>
            </w:r>
          </w:p>
        </w:tc>
        <w:tc>
          <w:tcPr>
            <w:tcW w:w="2041" w:type="dxa"/>
          </w:tcPr>
          <w:p w:rsidR="00505632" w:rsidRDefault="00505632" w:rsidP="00AD4E52">
            <w:pPr>
              <w:pStyle w:val="CellColumn"/>
              <w:jc w:val="right"/>
            </w:pPr>
            <w:r>
              <w:rPr>
                <w:rFonts w:cs="Times New Roman"/>
              </w:rPr>
              <w:t>2.891.372</w:t>
            </w:r>
          </w:p>
        </w:tc>
        <w:tc>
          <w:tcPr>
            <w:tcW w:w="2041" w:type="dxa"/>
          </w:tcPr>
          <w:p w:rsidR="00505632" w:rsidRDefault="00505632" w:rsidP="00AD4E52">
            <w:pPr>
              <w:pStyle w:val="CellColumn"/>
              <w:jc w:val="right"/>
            </w:pPr>
            <w:r>
              <w:rPr>
                <w:rFonts w:cs="Times New Roman"/>
              </w:rPr>
              <w:t>2.890.000</w:t>
            </w:r>
          </w:p>
        </w:tc>
        <w:tc>
          <w:tcPr>
            <w:tcW w:w="2041" w:type="dxa"/>
          </w:tcPr>
          <w:p w:rsidR="00505632" w:rsidRDefault="00505632" w:rsidP="00AD4E52">
            <w:pPr>
              <w:pStyle w:val="CellColumn"/>
              <w:jc w:val="right"/>
            </w:pPr>
            <w:r>
              <w:rPr>
                <w:rFonts w:cs="Times New Roman"/>
              </w:rPr>
              <w:t>2.104.959</w:t>
            </w:r>
          </w:p>
        </w:tc>
        <w:tc>
          <w:tcPr>
            <w:tcW w:w="1224" w:type="dxa"/>
          </w:tcPr>
          <w:p w:rsidR="00505632" w:rsidRDefault="00505632" w:rsidP="00AD4E52">
            <w:pPr>
              <w:pStyle w:val="CellColumn"/>
              <w:jc w:val="right"/>
            </w:pPr>
            <w:r>
              <w:rPr>
                <w:rFonts w:cs="Times New Roman"/>
              </w:rPr>
              <w:t>72,8</w:t>
            </w:r>
          </w:p>
        </w:tc>
        <w:tc>
          <w:tcPr>
            <w:tcW w:w="1224" w:type="dxa"/>
          </w:tcPr>
          <w:p w:rsidR="00505632" w:rsidRDefault="00505632" w:rsidP="00AD4E52">
            <w:pPr>
              <w:pStyle w:val="CellColumn"/>
              <w:jc w:val="right"/>
            </w:pPr>
            <w:r>
              <w:rPr>
                <w:rFonts w:cs="Times New Roman"/>
              </w:rPr>
              <w:t>72,8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osnivanju Agencije za istraživanje nesreća u zračnom, pomorskom i željezničkom prometu („Narodne novine“, broj 54/2013), </w:t>
      </w:r>
    </w:p>
    <w:p w:rsidR="00505632" w:rsidRDefault="00505632" w:rsidP="00505632">
      <w:r>
        <w:t xml:space="preserve">- Uredba (EU) br. 996/2010 Europskoga parlamenta i Vijeća od 20. listopada 2010. o istragama i sprječavanju nesreća i nezgoda u civilnom zrakoplovstvu,  </w:t>
      </w:r>
    </w:p>
    <w:p w:rsidR="00505632" w:rsidRDefault="00505632" w:rsidP="00505632">
      <w:r>
        <w:t xml:space="preserve">- Zakon o zračnom prometu („Narodne novine“, broj 69/09, 84/11, 54/13, 127/13 i 92/14), </w:t>
      </w:r>
    </w:p>
    <w:p w:rsidR="00505632" w:rsidRDefault="00505632" w:rsidP="00505632">
      <w:r>
        <w:t xml:space="preserve">- Pomorski zakonik („Narodne novine“, broj 181/04, 76/07, 146/08, 61/11, 56/13 i 26/15), </w:t>
      </w:r>
    </w:p>
    <w:p w:rsidR="00505632" w:rsidRDefault="00505632" w:rsidP="00505632">
      <w:r>
        <w:t xml:space="preserve">- Uredba o načinu i uvjetima za obavljanje sigurnosnih istraga pomorskih nesreća i nezgoda („Narodne novine“, broj 122/15), </w:t>
      </w:r>
    </w:p>
    <w:p w:rsidR="00505632" w:rsidRDefault="00505632" w:rsidP="00505632">
      <w:r>
        <w:t>- Zakon o sigurnosti i interoperabilnosti željezničkog sustava („Narodne novine“, broj 82/13 i 18/15 i 110/15).</w:t>
      </w:r>
    </w:p>
    <w:p w:rsidR="00505632" w:rsidRDefault="00505632" w:rsidP="00505632">
      <w:pPr>
        <w:pStyle w:val="Heading8"/>
        <w:jc w:val="left"/>
      </w:pPr>
      <w:r>
        <w:t>Opis aktivnosti</w:t>
      </w:r>
    </w:p>
    <w:p w:rsidR="00505632" w:rsidRDefault="00505632" w:rsidP="00505632">
      <w:r>
        <w:t xml:space="preserve">Cilj ove aktivnosti je osiguranje materijalno-tehničkih uvjeta rada i jačanje administrativnih kapaciteta, odnosno jačanje osposobljenosti istražiteljskih timova i administrativnih sposobnosti zaposlenika Agencije za osiguranje neovisnog i stručnog obavljanja istražnih radnji. </w:t>
      </w:r>
    </w:p>
    <w:p w:rsidR="00505632" w:rsidRDefault="00505632" w:rsidP="00505632">
      <w:r>
        <w:t xml:space="preserve">Na stavci 3111 plaće za redovan rad planirana su i utrošena sredstva koja zadovoljavaju broj od 8 zaposlenih u Agenciji tijekom 2016. godine. Indeks izvršenja na toj stavci iznosi 72,06 %. </w:t>
      </w:r>
    </w:p>
    <w:p w:rsidR="00505632" w:rsidRDefault="00505632" w:rsidP="00505632">
      <w:r>
        <w:t xml:space="preserve">Na stavci 3211 službena putovanja planirana sredstva većim su dijelom utrošena za putovanja u vezi s istragama zrakoplovnih i željezničkih nesreća i događaja koji ugrožavaju sigurnost. Isto tako, sredstva su utrošena i na sudjelovanja na redovnim sastancima i konferencijama europskih tijela u kojima Agencija ima svoje predstavnike (ENCASIA, EUAR, EMSA, NOA itd.). S obzirom da su zaposlenici Agencije dužni obaviti stručno usavršavanje prema zadanom planu i programu stručnog osposobljavanja, znatan dio sredstava utrošen je i na putovanja u vezi s obveznim školovanjem i stručnim usavršavanjem zaposlenika, a sukladno preporukama EU i ICAO auditora. Prilikom trošenja sredstava na ovoj stavci vodilo se računa o racionalizaciji dužine trajanja putovanja.  </w:t>
      </w:r>
    </w:p>
    <w:p w:rsidR="00505632" w:rsidRDefault="00505632" w:rsidP="00505632">
      <w:r>
        <w:t xml:space="preserve">Na stavci 3239 ostale nespomenute usluge koje se odnose prvenstveno na tehničku podršku istražiteljima na terenu, izradu stručnih tehničkih analiza, korištenje vanjskih stručnjaka i slično, sredstva nisu utrošena u planiranom iznosu iz razloga što se broj nesreća u zračnom, pomorskom i željezničkom prometu tijekom godine ne može unaprijed planirati, pa su sredstva trošena sukladno broju nesreća koje su se dogodile u 2016. godini. </w:t>
      </w:r>
    </w:p>
    <w:p w:rsidR="00505632" w:rsidRDefault="00505632" w:rsidP="00505632">
      <w:r>
        <w:t xml:space="preserve">Na stavci 3235 zakupnine i najamnine utrošena su planirana sredstva s  indeksom izvršenja 92,87%. Sredstva su utrošena u svrhu zakupa poslovnog  prostora potrebnog za rad Agencije. </w:t>
      </w:r>
    </w:p>
    <w:p w:rsidR="00505632" w:rsidRDefault="00505632" w:rsidP="00505632">
      <w:r>
        <w:t xml:space="preserve">Na stavci 3237 intelektualne i osobne usluge ostvareni su planirani rashodi. Sredstva su trošena sukladno potrebama Agencije i odnose se na korištenje usluga vanjskih stručnjaka za potrebe istraga nesreća, vještačenja i prijevode završnih izvješća na engleski jezik. </w:t>
      </w:r>
    </w:p>
    <w:p w:rsidR="00505632" w:rsidRDefault="00505632" w:rsidP="00505632">
      <w:r>
        <w:t>Sredstva na ostalim stavkama trošena su u skladu s brojem zaposlenika i potrebama Agencije tijekom 2016. godine.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Stupanj osposobljenosti istražiteljskog tima i djelatnika za obavljanje istražnih radnji vezano za nesreće i nezgode u prometuStupanj osposobljenosti istražiteljskog tima i djelatnika za obavljanje istražnih radnji vezano za nesreće i nezgode u prometuStupanj osposobljenosti istražiteljskog tima i djelatnika za obavljanje istražnih radnji vezano za nesreće i nezgode u promet</w:t>
            </w:r>
          </w:p>
        </w:tc>
        <w:tc>
          <w:tcPr>
            <w:tcW w:w="2551" w:type="dxa"/>
          </w:tcPr>
          <w:p w:rsidR="00505632" w:rsidRDefault="00505632" w:rsidP="00AD4E52">
            <w:pPr>
              <w:pStyle w:val="CellColumn"/>
              <w:jc w:val="left"/>
            </w:pPr>
            <w:r>
              <w:rPr>
                <w:rFonts w:cs="Times New Roman"/>
              </w:rPr>
              <w:t>Povećanjem stupnja osposobljenosti (dovoljan broj istražnih timova, adekvatna oprema, dovoljan broj vozila i stručna usavršavanja) istražiteljskog tima i djelatnika za obavljanje istražnih radnji postižu se kvalitetnije istražne radnje i završna izvješća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43</w:t>
            </w:r>
          </w:p>
        </w:tc>
        <w:tc>
          <w:tcPr>
            <w:tcW w:w="1020" w:type="dxa"/>
          </w:tcPr>
          <w:p w:rsidR="00505632" w:rsidRDefault="00505632" w:rsidP="00AD4E52">
            <w:pPr>
              <w:pStyle w:val="CellColumn"/>
              <w:jc w:val="right"/>
            </w:pPr>
            <w:r>
              <w:rPr>
                <w:rFonts w:cs="Times New Roman"/>
              </w:rPr>
              <w:t>AIN</w:t>
            </w:r>
          </w:p>
        </w:tc>
        <w:tc>
          <w:tcPr>
            <w:tcW w:w="1020" w:type="dxa"/>
          </w:tcPr>
          <w:p w:rsidR="00505632" w:rsidRDefault="00505632" w:rsidP="00AD4E52">
            <w:pPr>
              <w:pStyle w:val="CellColumn"/>
              <w:jc w:val="right"/>
            </w:pPr>
            <w:r>
              <w:rPr>
                <w:rFonts w:cs="Times New Roman"/>
              </w:rPr>
              <w:t>46</w:t>
            </w:r>
          </w:p>
        </w:tc>
        <w:tc>
          <w:tcPr>
            <w:tcW w:w="1020" w:type="dxa"/>
          </w:tcPr>
          <w:p w:rsidR="00505632" w:rsidRDefault="00505632" w:rsidP="00AD4E52">
            <w:pPr>
              <w:pStyle w:val="CellColumn"/>
              <w:jc w:val="right"/>
            </w:pPr>
            <w:r>
              <w:rPr>
                <w:rFonts w:cs="Times New Roman"/>
              </w:rPr>
              <w:t>46</w:t>
            </w:r>
          </w:p>
        </w:tc>
      </w:tr>
    </w:tbl>
    <w:p w:rsidR="00505632" w:rsidRDefault="00505632" w:rsidP="00505632">
      <w:pPr>
        <w:jc w:val="left"/>
      </w:pPr>
    </w:p>
    <w:p w:rsidR="00505632" w:rsidRDefault="00505632" w:rsidP="00505632">
      <w:pPr>
        <w:pStyle w:val="Heading4"/>
      </w:pPr>
      <w:r>
        <w:t>K870001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K870001-OBNOVA  VOZNOG PARKA</w:t>
            </w:r>
          </w:p>
        </w:tc>
        <w:tc>
          <w:tcPr>
            <w:tcW w:w="2041" w:type="dxa"/>
          </w:tcPr>
          <w:p w:rsidR="00505632" w:rsidRDefault="00505632" w:rsidP="00AD4E52">
            <w:pPr>
              <w:pStyle w:val="CellColumn"/>
              <w:jc w:val="right"/>
            </w:pPr>
            <w:r>
              <w:rPr>
                <w:rFonts w:cs="Times New Roman"/>
              </w:rPr>
              <w:t>92.538</w:t>
            </w:r>
          </w:p>
        </w:tc>
        <w:tc>
          <w:tcPr>
            <w:tcW w:w="2041" w:type="dxa"/>
          </w:tcPr>
          <w:p w:rsidR="00505632" w:rsidRDefault="00505632" w:rsidP="00AD4E52">
            <w:pPr>
              <w:pStyle w:val="CellColumn"/>
              <w:jc w:val="right"/>
            </w:pPr>
            <w:r>
              <w:rPr>
                <w:rFonts w:cs="Times New Roman"/>
              </w:rPr>
              <w:t>93.000</w:t>
            </w:r>
          </w:p>
        </w:tc>
        <w:tc>
          <w:tcPr>
            <w:tcW w:w="2041" w:type="dxa"/>
          </w:tcPr>
          <w:p w:rsidR="00505632" w:rsidRDefault="00505632" w:rsidP="00AD4E52">
            <w:pPr>
              <w:pStyle w:val="CellColumn"/>
              <w:jc w:val="right"/>
            </w:pPr>
            <w:r>
              <w:rPr>
                <w:rFonts w:cs="Times New Roman"/>
              </w:rPr>
              <w:t>78.903</w:t>
            </w:r>
          </w:p>
        </w:tc>
        <w:tc>
          <w:tcPr>
            <w:tcW w:w="1224" w:type="dxa"/>
          </w:tcPr>
          <w:p w:rsidR="00505632" w:rsidRDefault="00505632" w:rsidP="00AD4E52">
            <w:pPr>
              <w:pStyle w:val="CellColumn"/>
              <w:jc w:val="right"/>
            </w:pPr>
            <w:r>
              <w:rPr>
                <w:rFonts w:cs="Times New Roman"/>
              </w:rPr>
              <w:t>84,8</w:t>
            </w:r>
          </w:p>
        </w:tc>
        <w:tc>
          <w:tcPr>
            <w:tcW w:w="1224" w:type="dxa"/>
          </w:tcPr>
          <w:p w:rsidR="00505632" w:rsidRDefault="00505632" w:rsidP="00AD4E52">
            <w:pPr>
              <w:pStyle w:val="CellColumn"/>
              <w:jc w:val="right"/>
            </w:pPr>
            <w:r>
              <w:rPr>
                <w:rFonts w:cs="Times New Roman"/>
              </w:rPr>
              <w:t>85,3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sustavu državne uprave (NN 150/11, 12/13, 93/16, 104/16.)</w:t>
      </w:r>
    </w:p>
    <w:p w:rsidR="00505632" w:rsidRDefault="00505632" w:rsidP="00505632">
      <w:pPr>
        <w:pStyle w:val="Heading8"/>
        <w:jc w:val="left"/>
      </w:pPr>
      <w:r>
        <w:t>Opis aktivnosti</w:t>
      </w:r>
    </w:p>
    <w:p w:rsidR="00505632" w:rsidRDefault="00505632" w:rsidP="00505632">
      <w:r>
        <w:t xml:space="preserve">Prilikom izrade Državnog proračuna Republike Hrvatske za 2013. godinu, planirana je nabava službenih vozila potrebnih za obavljanje osnovnih djelatnosti Agencije putem operativnog leasinga. Po toj osnovi Ministarstvo mora, prometa i infrastrukture je prilikom objave javnog natječaja za nabavu vozila uvrstilo i dva vozila za potrebe Agencije. U 2014. godini došlo je do realizacije natječaja za nabavu službenih vozila koje je provelo Ministarstvo pomorstva, prometa i infrastrukture, te su za potrebe Agencije nabavljena dva službena vozila.  </w:t>
      </w:r>
    </w:p>
    <w:p w:rsidR="00505632" w:rsidRDefault="00505632" w:rsidP="00505632">
      <w:r>
        <w:t xml:space="preserve">Uz navedena dva nova vozila Agencija posjeduje i dva stara vozila.  </w:t>
      </w:r>
    </w:p>
    <w:p w:rsidR="00505632" w:rsidRDefault="00505632" w:rsidP="00505632">
      <w:r>
        <w:t>Sredstva utrošena na ovoj aktivnosti odnose se na usluge registracije i osiguranja, te redovito održavanje i popravak četiri službena vozila koja služe poglavito istražiteljskim timovima Agencije za potrebe odlaska na teren radi obavljanja očevida zrakoplovnih, pomorskih i željezničkih nesreća.</w:t>
      </w:r>
    </w:p>
    <w:p w:rsidR="00505632" w:rsidRDefault="00505632" w:rsidP="00505632">
      <w:pPr>
        <w:pStyle w:val="Heading3"/>
      </w:pPr>
      <w:r>
        <w:rPr>
          <w:rFonts w:cs="Times New Roman"/>
        </w:rPr>
        <w:t>49083 Hrvatska agencija za civilno zrakoplovstvo</w:t>
      </w:r>
    </w:p>
    <w:p w:rsidR="00505632" w:rsidRDefault="00505632" w:rsidP="00505632">
      <w:r>
        <w:t xml:space="preserve">Hrvatska agencija za civilno zrakoplovstvo osnovana je Zakonom o izmjenama i dopunama Zakona o zračnom prometu, kojeg je Hrvatski sabor donio na sjednici 20. travnja 2007. (NN 46/07). Osnivač Agencije je Republika Hrvatska, a osnivačka prava u skladu s odredbama ovoga Zakona obavlja Vlada Republike Hrvatske. Agencija je samostalna i neprofitna pravna osoba koja obavlja poslove od interesa za Republiku Hrvatsku u okviru djelokruga utvrđenog Zakonom o zračnom prometu i Statutom Agencije, a za svoj rad odgovara Vladi Republike Hrvatske kojoj podnosi Godišnje izvješće o radu.  </w:t>
      </w:r>
    </w:p>
    <w:p w:rsidR="00505632" w:rsidRDefault="00505632" w:rsidP="00505632">
      <w:r>
        <w:t xml:space="preserve">Agencija je 9. ožujka 2009. počela s operativnim radom. Djelatnost Agencije obuhvaća poslove vezane za sigurnost zračnog prometa, a osobito certificiranje, nadzor i inspekciju u cilju osiguravanja kontinuiranog udovoljavanja zahtjevima za obavljanje zračnog prijevoza i drugih djelatnosti u zračnom prometu, vođenje propisanih registara i evidencija te obavljanje drugih poslova utvrđenih Zakonom o zračnom prometu.  </w:t>
      </w:r>
    </w:p>
    <w:p w:rsidR="00505632" w:rsidRDefault="00505632" w:rsidP="00505632">
      <w:r>
        <w:t>Ministarstvo mora, prometa i infrastrukture je resorno ministarstvo za područje djelatnosti Agencije. U skladu s odredbama Zakona i Statuta Agencije, Agencijom upravlja Vijeće koje se sastoji od pet članova, koje na prijedlog ministra imenuje Vlada. Vijeće Agencije nema izvršne ni regulatorne ovlasti, kao ni ovlast za nametanje mjera na koje je ovlaštena Agencija.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49083-Hrvatska agencija za civilno zrakoplovstvo</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71.607.000</w:t>
            </w:r>
          </w:p>
        </w:tc>
        <w:tc>
          <w:tcPr>
            <w:tcW w:w="2041" w:type="dxa"/>
          </w:tcPr>
          <w:p w:rsidR="00505632" w:rsidRDefault="00505632" w:rsidP="00AD4E52">
            <w:pPr>
              <w:pStyle w:val="CellColumn"/>
              <w:jc w:val="right"/>
            </w:pPr>
            <w:r>
              <w:rPr>
                <w:rFonts w:cs="Times New Roman"/>
              </w:rPr>
              <w:t>66.352.202</w:t>
            </w:r>
          </w:p>
        </w:tc>
        <w:tc>
          <w:tcPr>
            <w:tcW w:w="1224" w:type="dxa"/>
          </w:tcPr>
          <w:p w:rsidR="00505632" w:rsidRDefault="00505632" w:rsidP="00AD4E52">
            <w:pPr>
              <w:pStyle w:val="CellColumn"/>
              <w:jc w:val="right"/>
            </w:pPr>
            <w:r>
              <w:rPr>
                <w:rFonts w:cs="Times New Roman"/>
              </w:rPr>
              <w:t>92,7</w:t>
            </w:r>
          </w:p>
        </w:tc>
        <w:tc>
          <w:tcPr>
            <w:tcW w:w="1224" w:type="dxa"/>
          </w:tcPr>
          <w:p w:rsidR="00505632" w:rsidRDefault="00505632" w:rsidP="00AD4E52">
            <w:pPr>
              <w:pStyle w:val="CellColumn"/>
              <w:jc w:val="right"/>
            </w:pPr>
            <w:r>
              <w:rPr>
                <w:rFonts w:cs="Times New Roman"/>
              </w:rPr>
              <w:t>0,0</w:t>
            </w:r>
          </w:p>
        </w:tc>
      </w:tr>
      <w:tr w:rsidR="00505632" w:rsidTr="00AD4E52">
        <w:trPr>
          <w:jc w:val="center"/>
        </w:trPr>
        <w:tc>
          <w:tcPr>
            <w:tcW w:w="1632" w:type="dxa"/>
          </w:tcPr>
          <w:p w:rsidR="00505632" w:rsidRDefault="00505632" w:rsidP="00AD4E52">
            <w:pPr>
              <w:jc w:val="left"/>
            </w:pPr>
            <w:r>
              <w:t>3113-RAZVOJ SUSTAVA ZRAČNOG PROMETA</w:t>
            </w:r>
          </w:p>
        </w:tc>
        <w:tc>
          <w:tcPr>
            <w:tcW w:w="2041" w:type="dxa"/>
          </w:tcPr>
          <w:p w:rsidR="00505632" w:rsidRDefault="00505632" w:rsidP="00AD4E52">
            <w:pPr>
              <w:jc w:val="right"/>
            </w:pPr>
            <w:r>
              <w:t>00</w:t>
            </w:r>
          </w:p>
        </w:tc>
        <w:tc>
          <w:tcPr>
            <w:tcW w:w="2041" w:type="dxa"/>
          </w:tcPr>
          <w:p w:rsidR="00505632" w:rsidRDefault="00505632" w:rsidP="00AD4E52">
            <w:pPr>
              <w:jc w:val="right"/>
            </w:pPr>
            <w:r>
              <w:t>71.607.000</w:t>
            </w:r>
          </w:p>
        </w:tc>
        <w:tc>
          <w:tcPr>
            <w:tcW w:w="2041" w:type="dxa"/>
          </w:tcPr>
          <w:p w:rsidR="00505632" w:rsidRDefault="00505632" w:rsidP="00AD4E52">
            <w:pPr>
              <w:jc w:val="right"/>
            </w:pPr>
            <w:r>
              <w:t>66.352.202</w:t>
            </w:r>
          </w:p>
        </w:tc>
        <w:tc>
          <w:tcPr>
            <w:tcW w:w="1224" w:type="dxa"/>
          </w:tcPr>
          <w:p w:rsidR="00505632" w:rsidRDefault="00505632" w:rsidP="00AD4E52">
            <w:pPr>
              <w:jc w:val="right"/>
            </w:pPr>
            <w:r>
              <w:t>92,7</w:t>
            </w:r>
          </w:p>
        </w:tc>
        <w:tc>
          <w:tcPr>
            <w:tcW w:w="1224" w:type="dxa"/>
          </w:tcPr>
          <w:p w:rsidR="00505632" w:rsidRDefault="00505632" w:rsidP="00AD4E52">
            <w:pPr>
              <w:jc w:val="right"/>
            </w:pPr>
            <w:r>
              <w:t>0,0</w:t>
            </w:r>
          </w:p>
        </w:tc>
      </w:tr>
    </w:tbl>
    <w:p w:rsidR="00505632" w:rsidRDefault="00505632" w:rsidP="00505632">
      <w:pPr>
        <w:jc w:val="left"/>
      </w:pPr>
    </w:p>
    <w:p w:rsidR="00505632" w:rsidRDefault="00505632" w:rsidP="00505632">
      <w:pPr>
        <w:pStyle w:val="Heading3"/>
      </w:pPr>
      <w:r>
        <w:rPr>
          <w:rFonts w:cs="Times New Roman"/>
        </w:rPr>
        <w:t>3113 RAZVOJ SUSTAVA ZRAČNOG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3113-RAZVOJ SUSTAVA ZRAČNOG PROMETA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71.607.000</w:t>
            </w:r>
          </w:p>
        </w:tc>
        <w:tc>
          <w:tcPr>
            <w:tcW w:w="2041" w:type="dxa"/>
          </w:tcPr>
          <w:p w:rsidR="00505632" w:rsidRDefault="00505632" w:rsidP="00AD4E52">
            <w:pPr>
              <w:pStyle w:val="CellColumn"/>
              <w:jc w:val="right"/>
            </w:pPr>
            <w:r>
              <w:rPr>
                <w:rFonts w:cs="Times New Roman"/>
              </w:rPr>
              <w:t>66.352.202</w:t>
            </w:r>
          </w:p>
        </w:tc>
        <w:tc>
          <w:tcPr>
            <w:tcW w:w="1224" w:type="dxa"/>
          </w:tcPr>
          <w:p w:rsidR="00505632" w:rsidRDefault="00505632" w:rsidP="00AD4E52">
            <w:pPr>
              <w:pStyle w:val="CellColumn"/>
              <w:jc w:val="right"/>
            </w:pPr>
            <w:r>
              <w:rPr>
                <w:rFonts w:cs="Times New Roman"/>
              </w:rPr>
              <w:t>92,7</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r>
        <w:t>Zadaća ovog programa je održavanje stupnja sigurnosti, zaštite, redovitosti i učinkovitosti civilnog zračnog prometa u Republici Hrvatskoj.</w:t>
      </w:r>
    </w:p>
    <w:p w:rsidR="00505632" w:rsidRDefault="00505632" w:rsidP="00505632">
      <w:pPr>
        <w:pStyle w:val="Heading8"/>
        <w:jc w:val="left"/>
      </w:pPr>
      <w:r>
        <w:t>Cilj 1. Sigurnost zračnog prometa</w:t>
      </w:r>
    </w:p>
    <w:p w:rsidR="00505632" w:rsidRDefault="00505632" w:rsidP="00505632">
      <w:pPr>
        <w:pStyle w:val="Heading8"/>
        <w:jc w:val="left"/>
      </w:pPr>
      <w:r>
        <w:t>Opis provedbe cilja programa</w:t>
      </w:r>
    </w:p>
    <w:p w:rsidR="00505632" w:rsidRDefault="00505632" w:rsidP="00505632">
      <w:r>
        <w:t>U cilju osiguravanja kontinuiranog udovoljavanja zahtjevima za obavljanje zračnog prijevoza i drugih djelatnosti u zračnom prometu, Hrvatska agencija za civilno zrakoplovstvo (HACZ) je u 2016. godini provodila svoju obvezu implementiranja međunarodnih zahtjeva vezano uz sigurnost i zaštitu civilnog zračnog prometa, a koji uređuju i standardiziraju postupke nadležnih tijela kod certificiranja i nadzora zrakoplovnih subjekata. Budući da zaposlenici Hrvatske agencije za civilno zrakoplovstvo moraju biti visoko kvalificirani i osposobljeni stručnjaci, koji u ime Agencije obavljaju stručne i tehničke zadatke provodeći nadzor i sudjelujući u međunarodnim tijelima, te čije je uloga presudna za nadzor sigurnosti i zaštite civilnog zračnog prometa, zaposlenici su sudjelovali na edukacijama i stručnim seminarima u zemlji i inozemstvu, a u skladu s Planom školovanja zaposlenika za 2016. godinu.</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451"/>
        <w:gridCol w:w="2464"/>
        <w:gridCol w:w="1003"/>
        <w:gridCol w:w="1013"/>
        <w:gridCol w:w="1248"/>
        <w:gridCol w:w="1013"/>
        <w:gridCol w:w="1014"/>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stupnja stručnosti zaposlenika</w:t>
            </w:r>
          </w:p>
        </w:tc>
        <w:tc>
          <w:tcPr>
            <w:tcW w:w="2551" w:type="dxa"/>
          </w:tcPr>
          <w:p w:rsidR="00505632" w:rsidRDefault="00505632" w:rsidP="00AD4E52">
            <w:pPr>
              <w:pStyle w:val="CellColumn"/>
              <w:jc w:val="left"/>
            </w:pPr>
            <w:r>
              <w:rPr>
                <w:rFonts w:cs="Times New Roman"/>
              </w:rPr>
              <w:t>Povećanjem stručnosti zaposlenika osigurati će kontinuirano udovoljavanje zahtjevima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55</w:t>
            </w:r>
          </w:p>
        </w:tc>
        <w:tc>
          <w:tcPr>
            <w:tcW w:w="918" w:type="dxa"/>
          </w:tcPr>
          <w:p w:rsidR="00505632" w:rsidRDefault="00505632" w:rsidP="00AD4E52">
            <w:pPr>
              <w:pStyle w:val="CellColumn"/>
              <w:jc w:val="right"/>
            </w:pPr>
            <w:r>
              <w:rPr>
                <w:rFonts w:cs="Times New Roman"/>
              </w:rPr>
              <w:t>Hrvatska agencija za civilno zrakoplovstvo</w:t>
            </w:r>
          </w:p>
        </w:tc>
        <w:tc>
          <w:tcPr>
            <w:tcW w:w="1020" w:type="dxa"/>
          </w:tcPr>
          <w:p w:rsidR="00505632" w:rsidRDefault="00505632" w:rsidP="00AD4E52">
            <w:pPr>
              <w:pStyle w:val="CellColumn"/>
              <w:jc w:val="right"/>
            </w:pPr>
            <w:r>
              <w:rPr>
                <w:rFonts w:cs="Times New Roman"/>
              </w:rPr>
              <w:t>65</w:t>
            </w:r>
          </w:p>
        </w:tc>
        <w:tc>
          <w:tcPr>
            <w:tcW w:w="1020" w:type="dxa"/>
          </w:tcPr>
          <w:p w:rsidR="00505632" w:rsidRDefault="00505632" w:rsidP="00AD4E52">
            <w:pPr>
              <w:pStyle w:val="CellColumn"/>
              <w:jc w:val="right"/>
            </w:pPr>
            <w:r>
              <w:rPr>
                <w:rFonts w:cs="Times New Roman"/>
              </w:rPr>
              <w:t>65</w:t>
            </w:r>
          </w:p>
        </w:tc>
      </w:tr>
    </w:tbl>
    <w:p w:rsidR="00505632" w:rsidRDefault="00505632" w:rsidP="00505632">
      <w:pPr>
        <w:jc w:val="left"/>
      </w:pPr>
    </w:p>
    <w:p w:rsidR="00505632" w:rsidRDefault="00505632" w:rsidP="00505632">
      <w:pPr>
        <w:pStyle w:val="Heading4"/>
      </w:pPr>
      <w:r>
        <w:t>A909001 ADMINISTRACIJA I UPRAVLJANJE</w:t>
      </w:r>
    </w:p>
    <w:tbl>
      <w:tblPr>
        <w:tblStyle w:val="StilTablice"/>
        <w:tblW w:w="10206" w:type="dxa"/>
        <w:jc w:val="center"/>
        <w:tblLook w:val="04A0" w:firstRow="1" w:lastRow="0" w:firstColumn="1" w:lastColumn="0" w:noHBand="0" w:noVBand="1"/>
      </w:tblPr>
      <w:tblGrid>
        <w:gridCol w:w="1792"/>
        <w:gridCol w:w="1990"/>
        <w:gridCol w:w="1997"/>
        <w:gridCol w:w="1997"/>
        <w:gridCol w:w="1213"/>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A909001-ADMINISTRACIJA I UPRAVLJANJE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71.607.000</w:t>
            </w:r>
          </w:p>
        </w:tc>
        <w:tc>
          <w:tcPr>
            <w:tcW w:w="2041" w:type="dxa"/>
          </w:tcPr>
          <w:p w:rsidR="00505632" w:rsidRDefault="00505632" w:rsidP="00AD4E52">
            <w:pPr>
              <w:pStyle w:val="CellColumn"/>
              <w:jc w:val="right"/>
            </w:pPr>
            <w:r>
              <w:rPr>
                <w:rFonts w:cs="Times New Roman"/>
              </w:rPr>
              <w:t>66.352.202</w:t>
            </w:r>
          </w:p>
        </w:tc>
        <w:tc>
          <w:tcPr>
            <w:tcW w:w="1224" w:type="dxa"/>
          </w:tcPr>
          <w:p w:rsidR="00505632" w:rsidRDefault="00505632" w:rsidP="00AD4E52">
            <w:pPr>
              <w:pStyle w:val="CellColumn"/>
              <w:jc w:val="right"/>
            </w:pPr>
            <w:r>
              <w:rPr>
                <w:rFonts w:cs="Times New Roman"/>
              </w:rPr>
              <w:t>92,7</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zračnom prometu («Narodne novine» broj 69/09, 84/11, 54/13, 127/13 i 92/14), </w:t>
      </w:r>
    </w:p>
    <w:p w:rsidR="00505632" w:rsidRDefault="00505632" w:rsidP="00505632">
      <w:r>
        <w:t xml:space="preserve">- Naredba o visini naknade za izvršeni pregled zrakoplova, zavisno od kategorije, namjene i udovoljavanja posebnim uvjetima («Narodne novine» broj 55/09), </w:t>
      </w:r>
    </w:p>
    <w:p w:rsidR="00505632" w:rsidRDefault="00505632" w:rsidP="00505632">
      <w:r>
        <w:t xml:space="preserve">- Naredba o visini naknade za utvrđivanje stručne sposobnosti zrakoplovnog osoblja («Narodne novine» broj 18/03 i 49/09), </w:t>
      </w:r>
    </w:p>
    <w:p w:rsidR="00505632" w:rsidRDefault="00505632" w:rsidP="00505632">
      <w:r>
        <w:t xml:space="preserve">- Pravilnik o utvrđivanju rutnih i terminalnih naknada («Narodne novine» broj 91/13), </w:t>
      </w:r>
    </w:p>
    <w:p w:rsidR="00505632" w:rsidRDefault="00505632" w:rsidP="00505632">
      <w:r>
        <w:t xml:space="preserve">- Naredba o utvrđivanju visine naknada za rad Agencije za civilno zrakoplovstvo («Narodne novine» broj 40/10), </w:t>
      </w:r>
    </w:p>
    <w:p w:rsidR="00505632" w:rsidRDefault="00505632" w:rsidP="00505632">
      <w:r>
        <w:t xml:space="preserve">- Uredba Europske komisije br. 391/2013 od 3. svibnja (SL L 128, 09.05.2013), </w:t>
      </w:r>
    </w:p>
    <w:p w:rsidR="00505632" w:rsidRDefault="00505632" w:rsidP="00505632">
      <w:r>
        <w:t>- Odluka Europske komisije br. 2015/348 do 2. ožujka 2015. godine.</w:t>
      </w:r>
    </w:p>
    <w:p w:rsidR="00505632" w:rsidRDefault="00505632" w:rsidP="00505632">
      <w:pPr>
        <w:pStyle w:val="Heading8"/>
        <w:jc w:val="left"/>
      </w:pPr>
      <w:r>
        <w:t>Opis aktivnosti</w:t>
      </w:r>
    </w:p>
    <w:p w:rsidR="00505632" w:rsidRDefault="00505632" w:rsidP="00505632">
      <w:r>
        <w:t xml:space="preserve">Aktivnost se provodila planiranom dinamikom, sredstva su utrošena za potrebe obavljanja nadzora i inspekcija sigurnosti zračnog prometa kao i za potrebe redovitog poslovanja Agencije. </w:t>
      </w:r>
    </w:p>
    <w:p w:rsidR="00505632" w:rsidRDefault="00505632" w:rsidP="00505632">
      <w:r>
        <w:t>U 2016. godini je provedeno je 544 nadzora i inspekcije od 570 planiranih, što znači da je provedeno 95,43 %. Nije bilo problema u izvršavanju aktivnosti a za najveći dio neprovedenih nadzora postoji opravdan razlog neprovođenja. Iz tog razloga se kao ciljana vrijednost u narednim planiranjima navodi 90%.</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6"/>
        <w:gridCol w:w="2455"/>
        <w:gridCol w:w="1005"/>
        <w:gridCol w:w="1014"/>
        <w:gridCol w:w="1248"/>
        <w:gridCol w:w="1014"/>
        <w:gridCol w:w="1014"/>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postotka obavljenih nadzora i inspekcija sigurnosti zračnog prometa</w:t>
            </w:r>
          </w:p>
        </w:tc>
        <w:tc>
          <w:tcPr>
            <w:tcW w:w="2551" w:type="dxa"/>
          </w:tcPr>
          <w:p w:rsidR="00505632" w:rsidRDefault="00505632" w:rsidP="00AD4E52">
            <w:pPr>
              <w:pStyle w:val="CellColumn"/>
              <w:jc w:val="left"/>
            </w:pPr>
            <w:r>
              <w:rPr>
                <w:rFonts w:cs="Times New Roman"/>
              </w:rPr>
              <w:t>Sukladno Zakonu o zračnom prometu Agencija provodi nadzor i inspekcije sigurnosti zračnog prometa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Hrvatska agencija za civilno zrakoplovstvo</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95,43</w:t>
            </w:r>
          </w:p>
        </w:tc>
      </w:tr>
    </w:tbl>
    <w:p w:rsidR="00505632" w:rsidRDefault="00505632" w:rsidP="00505632">
      <w:pPr>
        <w:jc w:val="left"/>
      </w:pPr>
    </w:p>
    <w:p w:rsidR="00505632" w:rsidRDefault="00505632" w:rsidP="00505632">
      <w:pPr>
        <w:pStyle w:val="Heading2"/>
      </w:pPr>
      <w:r>
        <w:t>06560 Hrvatski hidrografski institut</w:t>
      </w:r>
    </w:p>
    <w:p w:rsidR="00505632" w:rsidRDefault="00505632" w:rsidP="00505632">
      <w:r>
        <w:t xml:space="preserve">Hrvatski hidrografski institut je javna ustanova osnovana Zakonom o hidrografskoj djelatnosti koja obavlja hidrografske poslove od interesa za Republiku Hrvatsku.  </w:t>
      </w:r>
    </w:p>
    <w:p w:rsidR="00505632" w:rsidRDefault="00505632" w:rsidP="00505632">
      <w:r>
        <w:t>To su poslovi hidrografske izmjere; hidrografsko-navigacijskog osiguranja plovidbe plovnih objekata; služba navigacijskih obavijesti, prikupljanje, obrada i razmjena hidrografskih i navigacijskih obavijesti radi održavanja u ažurnom stanju službenih pomorskih navigacijskih karata i publikacija te objavljivanje izmjena i dopuna tih podataka u „Oglasu za pomorce“; poslovi nacionalnog koordinatora u prijemu, analizi, obradi i distribuciji pomorskih sigurnosnih informacija (MSI) u skladu s preporukama Međunarodne hidrografske organizacije (IHO) i Međunarodne pomorske organizacije (IMO). Nadalje, Hrvatski hidrografski institut vrši projektiranje, izradu, izdavanje i održavanje službenih pomorskih navigacijskih karata i publikacija, njihovo usklađivanje s IHO i IMO preporukama te održavanje i pohranjivanje izvornika; opisivanje i ucrtavanje geodetski određene granice suvereniteta Republike Hrvatske na moru; predstavlja Republiku Hrvatsku u IHO i drugim međunarodnim organizacijama za područje svoje djelatnosti, uspostavlja i upravlja Hidrografskim informacijskim sustavom te organizira mrežu stalnih i povremenih objekata hidrografije za prikupljanje podataka. Institut obavlja i stručni nadzor pouzdanosti mjernih metoda iz područja hidrografske djelatnosti, obavlja pregled i ovjeru hidrografskih originala/hidrografskih podloga ovlaštenih pravnih osoba; obavlja nakladničku i tiskarsku djelatnost i znanstvenoistraživačku djelatnost iz domena svoje djelatnosti, te stručne poslove zaštite morskog okoliša prema posebnim propisima iz područja zaštite okoliša, kao i druge poslove iz domena hidrografske djelatnosti.  U okviru Hrvatskog hidrografskog instituta ustrojeno je devet odjela.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06560-Hrvatski hidrografski institut</w:t>
            </w:r>
          </w:p>
        </w:tc>
        <w:tc>
          <w:tcPr>
            <w:tcW w:w="2041" w:type="dxa"/>
            <w:vAlign w:val="top"/>
          </w:tcPr>
          <w:p w:rsidR="00505632" w:rsidRDefault="00505632" w:rsidP="00AD4E52">
            <w:pPr>
              <w:pStyle w:val="CellColumn"/>
              <w:jc w:val="right"/>
            </w:pPr>
            <w:r>
              <w:rPr>
                <w:rFonts w:cs="Times New Roman"/>
              </w:rPr>
              <w:t>14.569.673</w:t>
            </w:r>
          </w:p>
        </w:tc>
        <w:tc>
          <w:tcPr>
            <w:tcW w:w="2041" w:type="dxa"/>
            <w:vAlign w:val="top"/>
          </w:tcPr>
          <w:p w:rsidR="00505632" w:rsidRDefault="00505632" w:rsidP="00AD4E52">
            <w:pPr>
              <w:pStyle w:val="CellColumn"/>
              <w:jc w:val="right"/>
            </w:pPr>
            <w:r>
              <w:rPr>
                <w:rFonts w:cs="Times New Roman"/>
              </w:rPr>
              <w:t>17.235.200</w:t>
            </w:r>
          </w:p>
        </w:tc>
        <w:tc>
          <w:tcPr>
            <w:tcW w:w="2041" w:type="dxa"/>
            <w:vAlign w:val="top"/>
          </w:tcPr>
          <w:p w:rsidR="00505632" w:rsidRDefault="00505632" w:rsidP="00AD4E52">
            <w:pPr>
              <w:pStyle w:val="CellColumn"/>
              <w:jc w:val="right"/>
            </w:pPr>
            <w:r>
              <w:rPr>
                <w:rFonts w:cs="Times New Roman"/>
              </w:rPr>
              <w:t>14.558.624</w:t>
            </w:r>
          </w:p>
        </w:tc>
        <w:tc>
          <w:tcPr>
            <w:tcW w:w="1224" w:type="dxa"/>
            <w:vAlign w:val="top"/>
          </w:tcPr>
          <w:p w:rsidR="00505632" w:rsidRDefault="00505632" w:rsidP="00AD4E52">
            <w:pPr>
              <w:pStyle w:val="CellColumn"/>
              <w:jc w:val="right"/>
            </w:pPr>
            <w:r>
              <w:rPr>
                <w:rFonts w:cs="Times New Roman"/>
              </w:rPr>
              <w:t>84,5</w:t>
            </w:r>
          </w:p>
        </w:tc>
        <w:tc>
          <w:tcPr>
            <w:tcW w:w="1224" w:type="dxa"/>
            <w:vAlign w:val="top"/>
          </w:tcPr>
          <w:p w:rsidR="00505632" w:rsidRDefault="00505632" w:rsidP="00AD4E52">
            <w:pPr>
              <w:pStyle w:val="CellColumn"/>
              <w:jc w:val="right"/>
            </w:pPr>
            <w:r>
              <w:rPr>
                <w:rFonts w:cs="Times New Roman"/>
              </w:rPr>
              <w:t>99,9</w:t>
            </w:r>
          </w:p>
        </w:tc>
      </w:tr>
      <w:tr w:rsidR="00505632" w:rsidTr="00AD4E52">
        <w:trPr>
          <w:jc w:val="center"/>
        </w:trPr>
        <w:tc>
          <w:tcPr>
            <w:tcW w:w="1632" w:type="dxa"/>
          </w:tcPr>
          <w:p w:rsidR="00505632" w:rsidRDefault="00505632" w:rsidP="00AD4E52">
            <w:pPr>
              <w:jc w:val="left"/>
            </w:pPr>
            <w:r>
              <w:t>3109-SIGURNOST POMORSKOG PROMETA</w:t>
            </w:r>
          </w:p>
        </w:tc>
        <w:tc>
          <w:tcPr>
            <w:tcW w:w="2041" w:type="dxa"/>
          </w:tcPr>
          <w:p w:rsidR="00505632" w:rsidRDefault="00505632" w:rsidP="00AD4E52">
            <w:pPr>
              <w:jc w:val="right"/>
            </w:pPr>
            <w:r>
              <w:t>14.569.673</w:t>
            </w:r>
          </w:p>
        </w:tc>
        <w:tc>
          <w:tcPr>
            <w:tcW w:w="2041" w:type="dxa"/>
          </w:tcPr>
          <w:p w:rsidR="00505632" w:rsidRDefault="00505632" w:rsidP="00AD4E52">
            <w:pPr>
              <w:jc w:val="right"/>
            </w:pPr>
            <w:r>
              <w:t>17.235.200</w:t>
            </w:r>
          </w:p>
        </w:tc>
        <w:tc>
          <w:tcPr>
            <w:tcW w:w="2041" w:type="dxa"/>
          </w:tcPr>
          <w:p w:rsidR="00505632" w:rsidRDefault="00505632" w:rsidP="00AD4E52">
            <w:pPr>
              <w:jc w:val="right"/>
            </w:pPr>
            <w:r>
              <w:t>14.558.624</w:t>
            </w:r>
          </w:p>
        </w:tc>
        <w:tc>
          <w:tcPr>
            <w:tcW w:w="1224" w:type="dxa"/>
          </w:tcPr>
          <w:p w:rsidR="00505632" w:rsidRDefault="00505632" w:rsidP="00AD4E52">
            <w:pPr>
              <w:jc w:val="right"/>
            </w:pPr>
            <w:r>
              <w:t>84,5</w:t>
            </w:r>
          </w:p>
        </w:tc>
        <w:tc>
          <w:tcPr>
            <w:tcW w:w="1224" w:type="dxa"/>
          </w:tcPr>
          <w:p w:rsidR="00505632" w:rsidRDefault="00505632" w:rsidP="00AD4E52">
            <w:pPr>
              <w:jc w:val="right"/>
            </w:pPr>
            <w:r>
              <w:t>99,9</w:t>
            </w:r>
          </w:p>
        </w:tc>
      </w:tr>
    </w:tbl>
    <w:p w:rsidR="00505632" w:rsidRDefault="00505632" w:rsidP="00505632">
      <w:pPr>
        <w:jc w:val="left"/>
      </w:pPr>
    </w:p>
    <w:p w:rsidR="00505632" w:rsidRDefault="00505632" w:rsidP="00505632">
      <w:pPr>
        <w:pStyle w:val="Heading3"/>
      </w:pPr>
      <w:r>
        <w:rPr>
          <w:rFonts w:cs="Times New Roman"/>
        </w:rPr>
        <w:t>3109 SIGURNOST POMORSKOG PROMETA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3109-SIGURNOST POMORSKOG PROMETA</w:t>
            </w:r>
          </w:p>
        </w:tc>
        <w:tc>
          <w:tcPr>
            <w:tcW w:w="2041" w:type="dxa"/>
          </w:tcPr>
          <w:p w:rsidR="00505632" w:rsidRDefault="00505632" w:rsidP="00AD4E52">
            <w:pPr>
              <w:pStyle w:val="CellColumn"/>
              <w:jc w:val="right"/>
            </w:pPr>
            <w:r>
              <w:rPr>
                <w:rFonts w:cs="Times New Roman"/>
              </w:rPr>
              <w:t>14.569.673</w:t>
            </w:r>
          </w:p>
        </w:tc>
        <w:tc>
          <w:tcPr>
            <w:tcW w:w="2041" w:type="dxa"/>
          </w:tcPr>
          <w:p w:rsidR="00505632" w:rsidRDefault="00505632" w:rsidP="00AD4E52">
            <w:pPr>
              <w:pStyle w:val="CellColumn"/>
              <w:jc w:val="right"/>
            </w:pPr>
            <w:r>
              <w:rPr>
                <w:rFonts w:cs="Times New Roman"/>
              </w:rPr>
              <w:t>17.235.200</w:t>
            </w:r>
          </w:p>
        </w:tc>
        <w:tc>
          <w:tcPr>
            <w:tcW w:w="2041" w:type="dxa"/>
          </w:tcPr>
          <w:p w:rsidR="00505632" w:rsidRDefault="00505632" w:rsidP="00AD4E52">
            <w:pPr>
              <w:pStyle w:val="CellColumn"/>
              <w:jc w:val="right"/>
            </w:pPr>
            <w:r>
              <w:rPr>
                <w:rFonts w:cs="Times New Roman"/>
              </w:rPr>
              <w:t>14.558.624</w:t>
            </w:r>
          </w:p>
        </w:tc>
        <w:tc>
          <w:tcPr>
            <w:tcW w:w="1224" w:type="dxa"/>
          </w:tcPr>
          <w:p w:rsidR="00505632" w:rsidRDefault="00505632" w:rsidP="00AD4E52">
            <w:pPr>
              <w:pStyle w:val="CellColumn"/>
              <w:jc w:val="right"/>
            </w:pPr>
            <w:r>
              <w:rPr>
                <w:rFonts w:cs="Times New Roman"/>
              </w:rPr>
              <w:t>84,5</w:t>
            </w:r>
          </w:p>
        </w:tc>
        <w:tc>
          <w:tcPr>
            <w:tcW w:w="1224" w:type="dxa"/>
          </w:tcPr>
          <w:p w:rsidR="00505632" w:rsidRDefault="00505632" w:rsidP="00AD4E52">
            <w:pPr>
              <w:pStyle w:val="CellColumn"/>
              <w:jc w:val="right"/>
            </w:pPr>
            <w:r>
              <w:rPr>
                <w:rFonts w:cs="Times New Roman"/>
              </w:rPr>
              <w:t>99,9</w:t>
            </w:r>
          </w:p>
        </w:tc>
      </w:tr>
    </w:tbl>
    <w:p w:rsidR="00505632" w:rsidRDefault="00505632" w:rsidP="00505632">
      <w:pPr>
        <w:jc w:val="left"/>
      </w:pPr>
    </w:p>
    <w:p w:rsidR="00505632" w:rsidRDefault="00505632" w:rsidP="00505632">
      <w:r>
        <w:t xml:space="preserve">Hrvatski hidrografski institut obavljajući poslove iz zakonskog djelokruga rada pridonosi informativnom segmentu sigurnosti pomorskog prometa. Obavljanje ovih poslova dio je programa 3109 - Sigurnost pomorskog prometa Strateškog plana MMPI za 2016.-2018. godinu.  </w:t>
      </w:r>
    </w:p>
    <w:p w:rsidR="00505632" w:rsidRDefault="00505632" w:rsidP="00505632">
      <w:r>
        <w:t xml:space="preserve">Hidrografska služba je skup aktivnosti koje sustavno i kontinuirano provodi nacionalni hidrografski ured s ciljem osiguranja dostupnosti hidrografsko-navigacijskih informacija koje su u izravnoj vezi sa sigurnošću plovidbe krajnjim korisnicima na brodovima, ali i brodarskim organizacijama i pomorskoj administraciji. Provođenjem hidrografskih istraživanja mora, morskog dna i podmorja, te obradom i javnom  objavom  službenih  pomorskih  navigacijskih  karata,  priručnika  i drugih informacija stvaraju se  pretpostavke kako  održavanja, tako  i  daljnjeg razvoja sveukupnog prometnog sustava. Provođenjem hidrografskih istraživanja, obradom i publiciranjem prikupljenih podataka stvaraju pretpostavke nesmetanog prijevoza putnika i tranzitu robe u domaćim lukama, razvoju nautičkog turizma, ekološkoj zaštiti mora, obrani i zaštiti suvereniteta hrvatskog teritorijalnog mora, razvoju infrastrukture u priobalju i otocima kroz polaganje podmorskih kabela, cjevovoda, ispusta i slično i nizu drugih gospodarskih djelatnosti. HHI obavlja poslove nacionalnog koordinatora za navigacijska upozorenja u skladu s međunarodnim propisima (WWNWS i Joint IMO/IHO Manual on Maritime Safety Information). Podaci se prikupljaju obilaskom terena, kao i zaprimanjem od drugih čimbenika sigurnosti plovidbe te se na prikladan način obrađuju i objavljuju. Poput papirnatih izdanja, u ažurnom stanju se moraju održavati i elektronske karte na ECDIS-u (Electronic Chart Display Information System). Sklop aktivnosti institucije proširen je uslijed primjene odredbi Zakona o izmjenama i dopunama Zakona o hidrografskoj djelatnosti iz lipnja 2014. godine poslovima pregleda i ovjere hidrografskih originala i podloga koje prikupljaju ovlaštene pravne osobe, te zadaćom uspostave i upravljanja Hidrografskim informacijskim sustavom kao integriranim prostornim informacijskim sustavom.  </w:t>
      </w:r>
    </w:p>
    <w:p w:rsidR="00505632" w:rsidRDefault="00505632" w:rsidP="00505632">
      <w:r>
        <w:t>Povećanje planiranoga iznosa u odnosu na prošlogodišnji posljedica je obveze obvezatnog remonta oba hidrografska broda, a što bi se namirilio vlastitim prihodima. Iznos planiranih proračunskih sredstava smanjen je.</w:t>
      </w:r>
    </w:p>
    <w:p w:rsidR="00505632" w:rsidRDefault="00505632" w:rsidP="00505632">
      <w:pPr>
        <w:pStyle w:val="Heading8"/>
        <w:jc w:val="left"/>
      </w:pPr>
      <w:r>
        <w:t>Cilj 1. Povećanje koeficijenta pokrivenosti hrvatskog dijela Jadranskog mora ažuriranim pomorskim navigacijskim kartama i priručnicima sa svim informacijama neophodnim radi sigurne plovidbe</w:t>
      </w:r>
    </w:p>
    <w:p w:rsidR="00505632" w:rsidRDefault="00505632" w:rsidP="00505632">
      <w:pPr>
        <w:pStyle w:val="Heading8"/>
        <w:jc w:val="left"/>
      </w:pPr>
      <w:r>
        <w:t>Opis provedbe cilja programa</w:t>
      </w:r>
    </w:p>
    <w:p w:rsidR="00505632" w:rsidRDefault="00505632" w:rsidP="00505632">
      <w:r>
        <w:t xml:space="preserve">Realizacijom ovog cilja HHI je osigurao da su korisnicima pomorskih navigacijskih karata i priručnika u svakom trenutku dostupne ažurne pomorske navigacijske karte i priručnici za plovidbu, te je uspostavljen sustav njihova održavanja kroz redovito mjesečno izdavanje publikacije „Oglas za pomorce“ temeljem koje pomorci i drugi zainteresirani korisnici održavaju u ažurnom stanju karte i publikacije tijekom vijeka njihova trajanja. Korisnici pomorskih navigacijskih karata i priručnika su svi pomorci trgovačke mornarice, ratne mornarice i plovila MUP-a, turisti - nautičari i pomorsko gospodarstvo, te pomorska administracija u cjelini (brodarske organizacije, brodogradilišta, lučke kapetanije i ispostave, lučke uprave i niz drugih). </w:t>
      </w:r>
    </w:p>
    <w:p w:rsidR="00505632" w:rsidRDefault="00505632" w:rsidP="00505632">
      <w:r>
        <w:t xml:space="preserve">Cilj programa realiziran je u skladu sa zacrtanim i usvojenim planovima rada na način da je HHI provedenim terenskim radovima i razmjenom informacija u skladu sa svojom ulogom koordinatora za navigacijske obavijesti (WWNWS i Joint IMO/IHOWMO Manual on Maritime Safety Information) prikupljao podatke čijom se obradom i publiciranjem zadovoljavaju svi međunarodni i nacionalni standardi po pitanju zahtjeva za informacijama koje su rezultat hidrografske djelatnosti.  </w:t>
      </w:r>
    </w:p>
    <w:p w:rsidR="00505632" w:rsidRDefault="00505632" w:rsidP="00505632">
      <w:r>
        <w:t>Hrvatski hidrografski institut raspolaže u svom portfelju s 87 službenih pomorskih navigacijskih karata, 17 publikacija i 119 ćelija elektroničkih navigacijskih karata (ENC). Tijekom 2016. godine u novom izdanju objavljeno je 5 službenih pomorskih karata, a u novoj nakladi sedam pomorskih karata, te je izdano 20 novih ćelija elektroničkih pomorskih karata, a osam ćelija ENC izdano je u novom izdanju. Značaj ovih službenih izdanja očituje se prvenstveno u njihovom  redovitom održavaju objavama ispravaka u mjesečnoj publikaciji Oglas za pomorce, te se u skladu s međunarodno definiranim standardima hidrografske službe povremeno izdaju nova izdanja (kojima se prethodna izdanja stavljaju izvan snage), kao i nove naklade koje sadrže sve važeće ispravke do trenutka tiskanja. Za praćenje realizacije cilja programa odabrano je 37 najznačajnijih izdanja - obalnih, kursnih i informativnih pomorskih karata te navigacijskih i drugih publikacija, procijenjen je vijek njihova trajanja, te se u odnosu na zadane parametre iz razdoblja u razdoblje prate ovi podaci s ciljem osiguranja raspoloživosti što novijih izdanja, odnosno naklada čime se povećava njihova upotrebna vrijednost i smanjuju aktivnosti koje krajnji korisnik mora poduzimati kako bi raspolagao ažurnim informacijama koje su mu nužne za realizaciju plovidbenog poduhvata ili druge aktivnosti.</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Koeficijent pokrivenosti hrvatskog dijela Jadranskog mora ažuriranim pomorskim kartama i publikacijama</w:t>
            </w:r>
          </w:p>
        </w:tc>
        <w:tc>
          <w:tcPr>
            <w:tcW w:w="2551" w:type="dxa"/>
          </w:tcPr>
          <w:p w:rsidR="00505632" w:rsidRDefault="00505632" w:rsidP="00AD4E52">
            <w:pPr>
              <w:pStyle w:val="CellColumn"/>
              <w:jc w:val="left"/>
            </w:pPr>
            <w:r>
              <w:rPr>
                <w:rFonts w:cs="Times New Roman"/>
              </w:rPr>
              <w:t>Koeficijent pokrivenosti hrvatskog dijela Jadranskog mora ažuriranim pomorskim kartama i publikacijama</w:t>
            </w:r>
          </w:p>
        </w:tc>
        <w:tc>
          <w:tcPr>
            <w:tcW w:w="1020" w:type="dxa"/>
          </w:tcPr>
          <w:p w:rsidR="00505632" w:rsidRDefault="00505632" w:rsidP="00AD4E52">
            <w:pPr>
              <w:pStyle w:val="CellColumn"/>
              <w:jc w:val="right"/>
            </w:pPr>
            <w:r>
              <w:rPr>
                <w:rFonts w:cs="Times New Roman"/>
              </w:rPr>
              <w:t>koeficijent</w:t>
            </w:r>
          </w:p>
        </w:tc>
        <w:tc>
          <w:tcPr>
            <w:tcW w:w="1020" w:type="dxa"/>
          </w:tcPr>
          <w:p w:rsidR="00505632" w:rsidRDefault="00505632" w:rsidP="00AD4E52">
            <w:pPr>
              <w:pStyle w:val="CellColumn"/>
              <w:jc w:val="right"/>
            </w:pPr>
            <w:r>
              <w:rPr>
                <w:rFonts w:cs="Times New Roman"/>
              </w:rPr>
              <w:t>42,2</w:t>
            </w:r>
          </w:p>
        </w:tc>
        <w:tc>
          <w:tcPr>
            <w:tcW w:w="1020" w:type="dxa"/>
          </w:tcPr>
          <w:p w:rsidR="00505632" w:rsidRDefault="00505632" w:rsidP="00AD4E52">
            <w:pPr>
              <w:pStyle w:val="CellColumn"/>
              <w:jc w:val="right"/>
            </w:pPr>
            <w:r>
              <w:rPr>
                <w:rFonts w:cs="Times New Roman"/>
              </w:rPr>
              <w:t>HHI</w:t>
            </w:r>
          </w:p>
        </w:tc>
        <w:tc>
          <w:tcPr>
            <w:tcW w:w="1020" w:type="dxa"/>
          </w:tcPr>
          <w:p w:rsidR="00505632" w:rsidRDefault="00505632" w:rsidP="00AD4E52">
            <w:pPr>
              <w:pStyle w:val="CellColumn"/>
              <w:jc w:val="right"/>
            </w:pPr>
            <w:r>
              <w:rPr>
                <w:rFonts w:cs="Times New Roman"/>
              </w:rPr>
              <w:t>42,2</w:t>
            </w:r>
          </w:p>
        </w:tc>
        <w:tc>
          <w:tcPr>
            <w:tcW w:w="1020" w:type="dxa"/>
          </w:tcPr>
          <w:p w:rsidR="00505632" w:rsidRDefault="00505632" w:rsidP="00AD4E52">
            <w:pPr>
              <w:pStyle w:val="CellColumn"/>
              <w:jc w:val="right"/>
            </w:pPr>
            <w:r>
              <w:rPr>
                <w:rFonts w:cs="Times New Roman"/>
              </w:rPr>
              <w:t>42,2</w:t>
            </w:r>
          </w:p>
        </w:tc>
      </w:tr>
    </w:tbl>
    <w:p w:rsidR="00505632" w:rsidRDefault="00505632" w:rsidP="00505632">
      <w:pPr>
        <w:jc w:val="left"/>
      </w:pPr>
    </w:p>
    <w:p w:rsidR="00505632" w:rsidRDefault="00505632" w:rsidP="00505632">
      <w:pPr>
        <w:pStyle w:val="Heading4"/>
      </w:pPr>
      <w:r>
        <w:t>A663000 ADMINISTRACIJA I UPRAVLJANJE HRVATSKOG HIDROGRAFSKOG INSTITUTA</w:t>
      </w:r>
    </w:p>
    <w:tbl>
      <w:tblPr>
        <w:tblStyle w:val="StilTablice"/>
        <w:tblW w:w="10206" w:type="dxa"/>
        <w:jc w:val="center"/>
        <w:tblLook w:val="04A0" w:firstRow="1" w:lastRow="0" w:firstColumn="1" w:lastColumn="0" w:noHBand="0" w:noVBand="1"/>
      </w:tblPr>
      <w:tblGrid>
        <w:gridCol w:w="1826"/>
        <w:gridCol w:w="1984"/>
        <w:gridCol w:w="1985"/>
        <w:gridCol w:w="1985"/>
        <w:gridCol w:w="1210"/>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A663000-ADMINISTRACIJA I UPRAVLJANJE HRVATSKOG HIDROGRAFSKOG INSTITUTA</w:t>
            </w:r>
          </w:p>
        </w:tc>
        <w:tc>
          <w:tcPr>
            <w:tcW w:w="2041" w:type="dxa"/>
          </w:tcPr>
          <w:p w:rsidR="00505632" w:rsidRDefault="00505632" w:rsidP="00AD4E52">
            <w:pPr>
              <w:pStyle w:val="CellColumn"/>
              <w:jc w:val="right"/>
            </w:pPr>
            <w:r>
              <w:rPr>
                <w:rFonts w:cs="Times New Roman"/>
              </w:rPr>
              <w:t>13.443.647</w:t>
            </w:r>
          </w:p>
        </w:tc>
        <w:tc>
          <w:tcPr>
            <w:tcW w:w="2041" w:type="dxa"/>
          </w:tcPr>
          <w:p w:rsidR="00505632" w:rsidRDefault="00505632" w:rsidP="00AD4E52">
            <w:pPr>
              <w:pStyle w:val="CellColumn"/>
              <w:jc w:val="right"/>
            </w:pPr>
            <w:r>
              <w:rPr>
                <w:rFonts w:cs="Times New Roman"/>
              </w:rPr>
              <w:t>15.678.700</w:t>
            </w:r>
          </w:p>
        </w:tc>
        <w:tc>
          <w:tcPr>
            <w:tcW w:w="2041" w:type="dxa"/>
          </w:tcPr>
          <w:p w:rsidR="00505632" w:rsidRDefault="00505632" w:rsidP="00AD4E52">
            <w:pPr>
              <w:pStyle w:val="CellColumn"/>
              <w:jc w:val="right"/>
            </w:pPr>
            <w:r>
              <w:rPr>
                <w:rFonts w:cs="Times New Roman"/>
              </w:rPr>
              <w:t>13.822.918</w:t>
            </w:r>
          </w:p>
        </w:tc>
        <w:tc>
          <w:tcPr>
            <w:tcW w:w="1224" w:type="dxa"/>
          </w:tcPr>
          <w:p w:rsidR="00505632" w:rsidRDefault="00505632" w:rsidP="00AD4E52">
            <w:pPr>
              <w:pStyle w:val="CellColumn"/>
              <w:jc w:val="right"/>
            </w:pPr>
            <w:r>
              <w:rPr>
                <w:rFonts w:cs="Times New Roman"/>
              </w:rPr>
              <w:t>88,2</w:t>
            </w:r>
          </w:p>
        </w:tc>
        <w:tc>
          <w:tcPr>
            <w:tcW w:w="1224" w:type="dxa"/>
          </w:tcPr>
          <w:p w:rsidR="00505632" w:rsidRDefault="00505632" w:rsidP="00AD4E52">
            <w:pPr>
              <w:pStyle w:val="CellColumn"/>
              <w:jc w:val="right"/>
            </w:pPr>
            <w:r>
              <w:rPr>
                <w:rFonts w:cs="Times New Roman"/>
              </w:rPr>
              <w:t>102,8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hidrografskoj djelatnosti („Narodne novine“ br 68/1998, 110/2008.-ispr., 163/2003 i 71/2014), </w:t>
      </w:r>
    </w:p>
    <w:p w:rsidR="00505632" w:rsidRDefault="00505632" w:rsidP="00505632">
      <w:r>
        <w:t xml:space="preserve">- Strateški plan Ministarstva mora, prometa i infrastrukture za razdoblje 2016.-2018. godine, </w:t>
      </w:r>
    </w:p>
    <w:p w:rsidR="00505632" w:rsidRDefault="00505632" w:rsidP="00505632">
      <w:r>
        <w:t xml:space="preserve">- Pravilnik o mjestima zakloništa („Narodne novine“ br. 3/2008), EU Directiva 2002/59/EC on Traffic Monitoring (s dopunama 2005), IMO Rezolucija o mjestima zakloništa A.949(23), A.950(23), kao i prijedlog EU Marine Strategy Directive COM 2005/505, </w:t>
      </w:r>
    </w:p>
    <w:p w:rsidR="00505632" w:rsidRDefault="00505632" w:rsidP="00505632">
      <w:r>
        <w:t xml:space="preserve">- Pomorski zakonik („Narodne novine“ br. 181/2004, 76/2007, 146/2008, 61/2011 i 56/2013, 26/2015, članak 18, te 51. st. 2 i 3, a u svezi s člankom 52), </w:t>
      </w:r>
    </w:p>
    <w:p w:rsidR="00505632" w:rsidRDefault="00505632" w:rsidP="00505632">
      <w:r>
        <w:t xml:space="preserve">- UN Konvencija o pravu mora (UNCLOS), </w:t>
      </w:r>
    </w:p>
    <w:p w:rsidR="00505632" w:rsidRDefault="00505632" w:rsidP="00505632">
      <w:r>
        <w:t xml:space="preserve">- Revidirana Konvencija o sigurnosti navigacije na moru (SOLAS – Safety Of Life At Sea, propis 9, poglavlje V, anex 1), </w:t>
      </w:r>
    </w:p>
    <w:p w:rsidR="00505632" w:rsidRDefault="00505632" w:rsidP="00505632">
      <w:r>
        <w:t>- Pariška konvencija.</w:t>
      </w:r>
    </w:p>
    <w:p w:rsidR="00505632" w:rsidRDefault="00505632" w:rsidP="00505632">
      <w:pPr>
        <w:pStyle w:val="Heading8"/>
        <w:jc w:val="left"/>
      </w:pPr>
      <w:r>
        <w:t>Opis aktivnosti</w:t>
      </w:r>
    </w:p>
    <w:p w:rsidR="00505632" w:rsidRDefault="00505632" w:rsidP="00505632">
      <w:r>
        <w:t xml:space="preserve">Kroz aktivnost Administracija i upravljanje Hrvatskog hidrografskog instituta financiran je najveći dio obavljene hidrografske djelatnosti. Ona se sastoji od rashoda za plaće djelatnika, te troškova održavanja i goriva dva hidrografska istraživačka broda kojima se obavlja terenski istraživački dio poslova, troškova licenci računalnih programa i troškova članarine Međunarodnoj hidrografskoj organizaciji (IHO) i drugih nužnih rashoda za obavljanje djelatnosti. Kroz aktivnost Administracija i upravljanje osiguralo se dobivanje temeljnih podataka kartografskih izvornika korištenih za izradu novih i korekciju postojećih pomorskih karata. Oceanološka mjerenja i motrenja provedena su s ciljem prikupljanja i pripreme oceanoloških podataka za potrebe pripreme te pri sastavljanju općeg sadržaja pomorske karte, plana ili publikacije, dok se reambulacijom prikupljaju pomorske sigurnosne informacije i podaci o morskim područjima plovidbe sa svrhom održavanja pomorskih karata i publikacija.  </w:t>
      </w:r>
    </w:p>
    <w:p w:rsidR="00505632" w:rsidRDefault="00505632" w:rsidP="00505632">
      <w:r>
        <w:t xml:space="preserve">U izvještajnom razdoblju zaprimljen je i obrađeno 396 navigacijskog radiooglasa. Pravovremenim i trajnim odvijanjem ovoga posla osigurava se korisnicima dnevna dostupnost svih informacija bitnih za sigurnost plovidbe, a temeljem prikupljenih informacija u izvještajnom je razdoblju sastavljeno, pripremljeno za tisak, tiskano i distribuirano dvanaest brojeva Oglasa za pomorce (OZP) na hrvatskom i engleskom jeziku temeljem kojega korisnici održavaju (korigiraju) službena izdanja Hrvatskog hidrografskog instituta. Kako je OZP službeni izvor podataka za korigiranje pomorskih karata i publikacija, to je s ciljem povećavanja dostupnosti informacija svim zainteresiranim korisnicima omogućeno preuzimanje digitalnog Oglasa za pomorce sa web stranica www.hhi.hr, kao i pregledavanje web arhive svih ranijih izdanja. Uz navedeno, u izvještajnom razdoblju redovito su održavani i priručnici za plovidbu: Peljar I Jadransko more – Istočna obala, Peljar za male brodove I i II dio, te sva službena izdanja pomorskih karata i publikacija, a održavani su i urednički primjerci karata i publikacija, kako vlastitih izdanja, tako i IH Republike Italije i British Admiralty za područje Jadranskog i Jonskog mora.   </w:t>
      </w:r>
    </w:p>
    <w:p w:rsidR="00505632" w:rsidRDefault="00505632" w:rsidP="00505632">
      <w:r>
        <w:t xml:space="preserve">Uz ukratko pobrojane aktivnosti iz domena informativnog i izdavačkog segmenta sigurnosti plovidbe, u prikladnom su obujmu provođena i hidrografska i oceanološka mjerenja, obavljani su poslovi međunarodne suradnje i sigurnosti plovidbe. Značajno je navesti i obavljanje remonta istraživačkih brodova “Hidra” i “Palagruža”, redovito održavanje zgrade i ostale istraživačke opreme i informatičke infrastrukture, uz dnevno ažuriranje web stranica. Ukupno je premjeren akvatorij površine 54,7 km². Izvršeno je kontinuirano mjerenje visine razine mora na stalnim mareografskim postajama i mjerenje površinskih valova i vjetra u akvatoriju luke Ploče.    </w:t>
      </w:r>
    </w:p>
    <w:p w:rsidR="00505632" w:rsidRDefault="00505632" w:rsidP="00505632">
      <w:r>
        <w:t>U izvještajnom razdoblju ukupno je otiskano i zaprimljeno u skladište 14.021 komada pomorskih karata te 1.950 komada publikacija, tj. 15.971 artikala koji su stavljeni na dispoziciju zainteresiranim korisnicima, čime su premašena prvobitna očekivanja. Do povećanja broja otiskanih pomorskih karata i publikacija zaprimljenih u skladište i stavljenih na dispoziciju korisnicima u odnosu na ciljanu vrijednost za 2016. godinu došlo je uslijed povećanoga interesa korisnika za pojedinim izdanjima, a kojemu je interesu udovoljeno.</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Ukupan broj otiskanih pomorskih karata i publikacija zaprimljenih u skladište i stavljenih na dispoziciju korisnicima tijekom jedne godine</w:t>
            </w:r>
          </w:p>
        </w:tc>
        <w:tc>
          <w:tcPr>
            <w:tcW w:w="2551" w:type="dxa"/>
          </w:tcPr>
          <w:p w:rsidR="00505632" w:rsidRDefault="00505632" w:rsidP="00AD4E52">
            <w:pPr>
              <w:pStyle w:val="CellColumn"/>
              <w:jc w:val="left"/>
            </w:pPr>
            <w:r>
              <w:rPr>
                <w:rFonts w:cs="Times New Roman"/>
              </w:rPr>
              <w:t>apsolutni broj otiskanih izdanja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24.840</w:t>
            </w:r>
          </w:p>
        </w:tc>
        <w:tc>
          <w:tcPr>
            <w:tcW w:w="1020" w:type="dxa"/>
          </w:tcPr>
          <w:p w:rsidR="00505632" w:rsidRDefault="00505632" w:rsidP="00AD4E52">
            <w:pPr>
              <w:pStyle w:val="CellColumn"/>
              <w:jc w:val="right"/>
            </w:pPr>
            <w:r>
              <w:rPr>
                <w:rFonts w:cs="Times New Roman"/>
              </w:rPr>
              <w:t>HHI</w:t>
            </w:r>
          </w:p>
        </w:tc>
        <w:tc>
          <w:tcPr>
            <w:tcW w:w="1020" w:type="dxa"/>
          </w:tcPr>
          <w:p w:rsidR="00505632" w:rsidRDefault="00505632" w:rsidP="00AD4E52">
            <w:pPr>
              <w:pStyle w:val="CellColumn"/>
              <w:jc w:val="right"/>
            </w:pPr>
            <w:r>
              <w:rPr>
                <w:rFonts w:cs="Times New Roman"/>
              </w:rPr>
              <w:t>10.000</w:t>
            </w:r>
          </w:p>
        </w:tc>
        <w:tc>
          <w:tcPr>
            <w:tcW w:w="1020" w:type="dxa"/>
          </w:tcPr>
          <w:p w:rsidR="00505632" w:rsidRDefault="00505632" w:rsidP="00AD4E52">
            <w:pPr>
              <w:pStyle w:val="CellColumn"/>
              <w:jc w:val="right"/>
            </w:pPr>
            <w:r>
              <w:rPr>
                <w:rFonts w:cs="Times New Roman"/>
              </w:rPr>
              <w:t>15.971</w:t>
            </w:r>
          </w:p>
        </w:tc>
      </w:tr>
    </w:tbl>
    <w:p w:rsidR="00505632" w:rsidRDefault="00505632" w:rsidP="00505632">
      <w:pPr>
        <w:jc w:val="left"/>
      </w:pPr>
    </w:p>
    <w:p w:rsidR="00505632" w:rsidRDefault="00505632" w:rsidP="00505632">
      <w:pPr>
        <w:pStyle w:val="Heading4"/>
      </w:pPr>
      <w:r>
        <w:t>K663002 USPOSTAVA HIDROGRAFSKOG INFORMACIJSKOG SUSTAVA</w:t>
      </w:r>
    </w:p>
    <w:tbl>
      <w:tblPr>
        <w:tblStyle w:val="StilTablice"/>
        <w:tblW w:w="10206" w:type="dxa"/>
        <w:jc w:val="center"/>
        <w:tblLook w:val="04A0" w:firstRow="1" w:lastRow="0" w:firstColumn="1" w:lastColumn="0" w:noHBand="0" w:noVBand="1"/>
      </w:tblPr>
      <w:tblGrid>
        <w:gridCol w:w="1859"/>
        <w:gridCol w:w="1975"/>
        <w:gridCol w:w="1971"/>
        <w:gridCol w:w="1975"/>
        <w:gridCol w:w="1210"/>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K663002-USPOSTAVA HIDROGRAFSKOG INFORMACIJSKOG SUSTAVA</w:t>
            </w:r>
          </w:p>
        </w:tc>
        <w:tc>
          <w:tcPr>
            <w:tcW w:w="2041" w:type="dxa"/>
          </w:tcPr>
          <w:p w:rsidR="00505632" w:rsidRDefault="00505632" w:rsidP="00AD4E52">
            <w:pPr>
              <w:pStyle w:val="CellColumn"/>
              <w:jc w:val="right"/>
            </w:pPr>
            <w:r>
              <w:rPr>
                <w:rFonts w:cs="Times New Roman"/>
              </w:rPr>
              <w:t>573.351</w:t>
            </w:r>
          </w:p>
        </w:tc>
        <w:tc>
          <w:tcPr>
            <w:tcW w:w="2041" w:type="dxa"/>
          </w:tcPr>
          <w:p w:rsidR="00505632" w:rsidRDefault="00505632" w:rsidP="00AD4E52">
            <w:pPr>
              <w:pStyle w:val="CellColumn"/>
              <w:jc w:val="right"/>
            </w:pPr>
            <w:r>
              <w:rPr>
                <w:rFonts w:cs="Times New Roman"/>
              </w:rPr>
              <w:t>479.200</w:t>
            </w:r>
          </w:p>
        </w:tc>
        <w:tc>
          <w:tcPr>
            <w:tcW w:w="2041" w:type="dxa"/>
          </w:tcPr>
          <w:p w:rsidR="00505632" w:rsidRDefault="00505632" w:rsidP="00AD4E52">
            <w:pPr>
              <w:pStyle w:val="CellColumn"/>
              <w:jc w:val="right"/>
            </w:pPr>
            <w:r>
              <w:rPr>
                <w:rFonts w:cs="Times New Roman"/>
              </w:rPr>
              <w:t>105.688</w:t>
            </w:r>
          </w:p>
        </w:tc>
        <w:tc>
          <w:tcPr>
            <w:tcW w:w="1224" w:type="dxa"/>
          </w:tcPr>
          <w:p w:rsidR="00505632" w:rsidRDefault="00505632" w:rsidP="00AD4E52">
            <w:pPr>
              <w:pStyle w:val="CellColumn"/>
              <w:jc w:val="right"/>
            </w:pPr>
            <w:r>
              <w:rPr>
                <w:rFonts w:cs="Times New Roman"/>
              </w:rPr>
              <w:t>22,1</w:t>
            </w:r>
          </w:p>
        </w:tc>
        <w:tc>
          <w:tcPr>
            <w:tcW w:w="1224" w:type="dxa"/>
          </w:tcPr>
          <w:p w:rsidR="00505632" w:rsidRDefault="00505632" w:rsidP="00AD4E52">
            <w:pPr>
              <w:pStyle w:val="CellColumn"/>
              <w:jc w:val="right"/>
            </w:pPr>
            <w:r>
              <w:rPr>
                <w:rFonts w:cs="Times New Roman"/>
              </w:rPr>
              <w:t>18,4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hidrografskoj djelatnosti („Narodne novine“ br 68/1998, 110/2008.-ispr., 163/2003 i 71/2014), čl. 15.</w:t>
      </w:r>
    </w:p>
    <w:p w:rsidR="00505632" w:rsidRDefault="00505632" w:rsidP="00505632">
      <w:pPr>
        <w:pStyle w:val="Heading8"/>
        <w:jc w:val="left"/>
      </w:pPr>
      <w:r>
        <w:t>Opis aktivnosti</w:t>
      </w:r>
    </w:p>
    <w:p w:rsidR="00505632" w:rsidRDefault="00505632" w:rsidP="00505632">
      <w:r>
        <w:t xml:space="preserve">Realizacijom projekta Uspostava hidrografskog informacijskog sustava obnovljen je dio potrebne opreme: prijamnik Navtex Sailor sa VHF radio postajom potreban za primanje i distribuciju navigacijskih  radiooglasa te anemometar - instrument za mjerenje brzine vjetra koji je odmah po nabavljanju i stavljen u funkciju.  </w:t>
      </w:r>
    </w:p>
    <w:p w:rsidR="00505632" w:rsidRDefault="00505632" w:rsidP="00505632">
      <w:r>
        <w:t>Daljnjim aktivnostima na uspostavi hidrografskog informacijskog sustava objedinile bi se baze prikupljenih različitih hidrografskih podataka s ciljem njihove maksimalne iskoristivosti. Obzirom na raznovrsnost  hidrografskih podataka to mogu biti podaci hidrografskog premjera, nautički podaci i različite vrste oceanografskih mjerenja, pa je ovo iznimno složen sustav, a njegovo je uspostavljanje dugoročan projekt.</w:t>
      </w:r>
    </w:p>
    <w:p w:rsidR="00505632" w:rsidRDefault="00505632" w:rsidP="00505632">
      <w:pPr>
        <w:pStyle w:val="Heading4"/>
      </w:pPr>
      <w:r>
        <w:t>K663005 IPA II PREKOGRANIČNI PROGRAM HRVATSKA-CRNA GORA 2007-2013 - USPOSTAVLJANJE VEĆE SIGURNOSTI I MJERA ZA ZAŠTITU POMORSKOG DOBRA (CORE)</w:t>
      </w:r>
    </w:p>
    <w:tbl>
      <w:tblPr>
        <w:tblStyle w:val="StilTablice"/>
        <w:tblW w:w="10206" w:type="dxa"/>
        <w:jc w:val="center"/>
        <w:tblLook w:val="04A0" w:firstRow="1" w:lastRow="0" w:firstColumn="1" w:lastColumn="0" w:noHBand="0" w:noVBand="1"/>
      </w:tblPr>
      <w:tblGrid>
        <w:gridCol w:w="1837"/>
        <w:gridCol w:w="1979"/>
        <w:gridCol w:w="1983"/>
        <w:gridCol w:w="1980"/>
        <w:gridCol w:w="1211"/>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K663005-IPA II PREKOGRANIČNI PROGRAM HRVATSKA-CRNA GORA 2007-2013 - USPOSTAVLJANJE VEĆE SIGURNOSTI I MJERA ZA ZAŠTITU POMORSKOG DOBRA (CORE)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1.077.300</w:t>
            </w:r>
          </w:p>
        </w:tc>
        <w:tc>
          <w:tcPr>
            <w:tcW w:w="2041" w:type="dxa"/>
          </w:tcPr>
          <w:p w:rsidR="00505632" w:rsidRDefault="00505632" w:rsidP="00AD4E52">
            <w:pPr>
              <w:pStyle w:val="CellColumn"/>
              <w:jc w:val="right"/>
            </w:pPr>
            <w:r>
              <w:rPr>
                <w:rFonts w:cs="Times New Roman"/>
              </w:rPr>
              <w:t>630.018</w:t>
            </w:r>
          </w:p>
        </w:tc>
        <w:tc>
          <w:tcPr>
            <w:tcW w:w="1224" w:type="dxa"/>
          </w:tcPr>
          <w:p w:rsidR="00505632" w:rsidRDefault="00505632" w:rsidP="00AD4E52">
            <w:pPr>
              <w:pStyle w:val="CellColumn"/>
              <w:jc w:val="right"/>
            </w:pPr>
            <w:r>
              <w:rPr>
                <w:rFonts w:cs="Times New Roman"/>
              </w:rPr>
              <w:t>58,5</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Grant Contract No. 2013-0017-975002 - potpisan između Agencije za regionalni razvoj Republike Hrvatske i Hrvatskog hidrografskog instituta</w:t>
      </w:r>
    </w:p>
    <w:p w:rsidR="00505632" w:rsidRDefault="00505632" w:rsidP="00505632">
      <w:pPr>
        <w:pStyle w:val="Heading8"/>
        <w:jc w:val="left"/>
      </w:pPr>
      <w:r>
        <w:t>Opis aktivnosti</w:t>
      </w:r>
    </w:p>
    <w:p w:rsidR="00505632" w:rsidRDefault="00505632" w:rsidP="00505632">
      <w:r>
        <w:t>Realizacijom EU projekta „Istraživanje i podizanje svijesti u prevenciji zaštite okoliša i uspostavljanje veće sigurnosti i mjera za zaštitu pomorskog dobra (naglasak na obali) u prekograničnom području Republike Hrvatske i Republike Crne Gore – CoRE“ je EU/IPA projekt iz komponente II (Prekogranična suradnja), Mjera 1.1. (Zajedničke mjere za zaštitu okoliša, prirode i kulturne baštine) opći cilj je pridonijeti poboljšanju ukupne zaštite i očuvanja istočnog dijela Jadrana. Hrvatski partneri u projektu su: Hrvatski Hidrografski institut kao funkcionalni vodeći partner i Sveučilište u Dubrovniku - Institut za more i priobalje. Predviđeno trajanje projekta CoRE je 23 mjeseca, a lokacija na kojoj se odvijaju projektne aktivnosti je Dubrovačko-neretvanska županija i crnogorsko primorje. Glavne teme projekta CORE su zaštita mora i pomorskog dobra u pograničnom području Hrvatska-Crna Gora, a specifični ciljevi su:  izraditi novu nautičku kartu sa ažuriranim hidrografskim mjerenjima (plovni putevi / očuvana staništa) i sigurnosne preporuke na temelju istraživanja i prikupljenih podataka, a koji se odnose na promjene obalne granice u Republici Hrvatskoj i Crnoj Gori pod utjecajem erozije i jačine valova te povećati opće znanje dionika projekta o pomorskom dobru (komponenta obale) i održive litoralizacije u prekograničnom području. U dosadašnjoj fazi projekta nabavljena je neophodna oprema: valografska plutača i panoramski dubinomjer – Side scan sonar, koji će se koristiti za oceanološka istraživanja kojima se postiže cilj projekta.</w:t>
      </w:r>
    </w:p>
    <w:p w:rsidR="00505632" w:rsidRDefault="00505632" w:rsidP="00505632">
      <w:pPr>
        <w:overflowPunct/>
        <w:autoSpaceDE/>
        <w:autoSpaceDN/>
        <w:adjustRightInd/>
        <w:spacing w:after="200" w:line="276" w:lineRule="auto"/>
        <w:jc w:val="left"/>
        <w:textAlignment w:val="auto"/>
      </w:pPr>
      <w:r>
        <w:br w:type="page"/>
      </w:r>
    </w:p>
    <w:p w:rsidR="00505632" w:rsidRDefault="00505632" w:rsidP="00505632">
      <w:pPr>
        <w:pStyle w:val="Heading1"/>
      </w:pPr>
      <w:r>
        <w:t>076 MINISTARSTVO GRADITELJSTVA I PROSTORNOGA UREĐENJA</w:t>
      </w:r>
    </w:p>
    <w:p w:rsidR="00505632" w:rsidRDefault="00505632" w:rsidP="00505632">
      <w:r>
        <w:t>Prema Zakonu o ustrojstvu i djelokrugu ministarstava i drugih središnjih tijela državne uprave (Narodne novine, br. 150/11, 22/12, 39/13, 125/13 i 148/13), djelokrug rada Ministarstva graditeljstva i prostornoga uređenja obuhvaća poslove koji se odnose na zaštitu i očuvanje prostora u skladu s politikom održivog razvitka Republike Hrvatske. Ministarstvo obavlja upravne i druge poslove koji se odnose na: prostorno uređenje Republike Hrvatske i usklađivanje prostornoga razvitka, planiranje, korištenje i zaštitu prostora, upravne i druge poslove koji se odnose na utvrđivanje uvjeta za projektiranje i gradnju građevina, povećanje energetske učinkovitosti, stanovanje, politiku stanovanja, gradnju stanova i naselja; realizaciju posebnih programa Vlade Republike Hrvatske u stanogradnji; politiku, praćenje i unapređivanje stanja u komunalnom gospodarstvu, ostvarivanje međunarodne suradnje u prostornom planiranju, graditeljstvu i stanovanju. U nadležnosti ovog Ministarstva je nadzor nad poslovanjem: - Agencije za pravni promet i posredovanje nekretninama - Državne geodetske uprave - Hrvatskog zavoda za prostorno planiranje - Agencije za ozakonjenje nezakonito izgrađenih zgrada - Agencije za obnovu osječke Tvrđe.</w:t>
      </w:r>
    </w:p>
    <w:tbl>
      <w:tblPr>
        <w:tblStyle w:val="StilTablice"/>
        <w:tblW w:w="10206" w:type="dxa"/>
        <w:jc w:val="center"/>
        <w:tblLook w:val="04A0" w:firstRow="1" w:lastRow="0" w:firstColumn="1" w:lastColumn="0" w:noHBand="0" w:noVBand="1"/>
      </w:tblPr>
      <w:tblGrid>
        <w:gridCol w:w="1714"/>
        <w:gridCol w:w="2018"/>
        <w:gridCol w:w="2018"/>
        <w:gridCol w:w="2018"/>
        <w:gridCol w:w="1218"/>
        <w:gridCol w:w="1220"/>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07605-Ministarstvo graditeljstva i prostornoga uređenja</w:t>
            </w:r>
          </w:p>
        </w:tc>
        <w:tc>
          <w:tcPr>
            <w:tcW w:w="2041" w:type="dxa"/>
            <w:vAlign w:val="top"/>
          </w:tcPr>
          <w:p w:rsidR="00505632" w:rsidRDefault="00505632" w:rsidP="00AD4E52">
            <w:pPr>
              <w:pStyle w:val="CellColumn"/>
              <w:jc w:val="right"/>
            </w:pPr>
            <w:r>
              <w:rPr>
                <w:rFonts w:cs="Times New Roman"/>
              </w:rPr>
              <w:t>104.784.975</w:t>
            </w:r>
          </w:p>
        </w:tc>
        <w:tc>
          <w:tcPr>
            <w:tcW w:w="2041" w:type="dxa"/>
            <w:vAlign w:val="top"/>
          </w:tcPr>
          <w:p w:rsidR="00505632" w:rsidRDefault="00505632" w:rsidP="00AD4E52">
            <w:pPr>
              <w:pStyle w:val="CellColumn"/>
              <w:jc w:val="right"/>
            </w:pPr>
            <w:r>
              <w:rPr>
                <w:rFonts w:cs="Times New Roman"/>
              </w:rPr>
              <w:t>148.198.602</w:t>
            </w:r>
          </w:p>
        </w:tc>
        <w:tc>
          <w:tcPr>
            <w:tcW w:w="2041" w:type="dxa"/>
            <w:vAlign w:val="top"/>
          </w:tcPr>
          <w:p w:rsidR="00505632" w:rsidRDefault="00505632" w:rsidP="00AD4E52">
            <w:pPr>
              <w:pStyle w:val="CellColumn"/>
              <w:jc w:val="right"/>
            </w:pPr>
            <w:r>
              <w:rPr>
                <w:rFonts w:cs="Times New Roman"/>
              </w:rPr>
              <w:t>114.662.467</w:t>
            </w:r>
          </w:p>
        </w:tc>
        <w:tc>
          <w:tcPr>
            <w:tcW w:w="1224" w:type="dxa"/>
            <w:vAlign w:val="top"/>
          </w:tcPr>
          <w:p w:rsidR="00505632" w:rsidRDefault="00505632" w:rsidP="00AD4E52">
            <w:pPr>
              <w:pStyle w:val="CellColumn"/>
              <w:jc w:val="right"/>
            </w:pPr>
            <w:r>
              <w:rPr>
                <w:rFonts w:cs="Times New Roman"/>
              </w:rPr>
              <w:t>77,4</w:t>
            </w:r>
          </w:p>
        </w:tc>
        <w:tc>
          <w:tcPr>
            <w:tcW w:w="1224" w:type="dxa"/>
            <w:vAlign w:val="top"/>
          </w:tcPr>
          <w:p w:rsidR="00505632" w:rsidRDefault="00505632" w:rsidP="00AD4E52">
            <w:pPr>
              <w:pStyle w:val="CellColumn"/>
              <w:jc w:val="right"/>
            </w:pPr>
            <w:r>
              <w:rPr>
                <w:rFonts w:cs="Times New Roman"/>
              </w:rPr>
              <w:t>109,4</w:t>
            </w:r>
          </w:p>
        </w:tc>
      </w:tr>
      <w:tr w:rsidR="00505632" w:rsidTr="00AD4E52">
        <w:trPr>
          <w:jc w:val="center"/>
        </w:trPr>
        <w:tc>
          <w:tcPr>
            <w:tcW w:w="1632" w:type="dxa"/>
            <w:vAlign w:val="top"/>
          </w:tcPr>
          <w:p w:rsidR="00505632" w:rsidRDefault="00505632" w:rsidP="00AD4E52">
            <w:pPr>
              <w:pStyle w:val="CellColumn"/>
              <w:jc w:val="left"/>
            </w:pPr>
            <w:r>
              <w:rPr>
                <w:rFonts w:cs="Times New Roman"/>
              </w:rPr>
              <w:t>07610-Hrvatski zavod za prostorni razvoj</w:t>
            </w:r>
          </w:p>
        </w:tc>
        <w:tc>
          <w:tcPr>
            <w:tcW w:w="2041" w:type="dxa"/>
            <w:vAlign w:val="top"/>
          </w:tcPr>
          <w:p w:rsidR="00505632" w:rsidRDefault="00505632" w:rsidP="00AD4E52">
            <w:pPr>
              <w:pStyle w:val="CellColumn"/>
              <w:jc w:val="right"/>
            </w:pPr>
            <w:r>
              <w:rPr>
                <w:rFonts w:cs="Times New Roman"/>
              </w:rPr>
              <w:t>7.130.625</w:t>
            </w:r>
          </w:p>
        </w:tc>
        <w:tc>
          <w:tcPr>
            <w:tcW w:w="2041" w:type="dxa"/>
            <w:vAlign w:val="top"/>
          </w:tcPr>
          <w:p w:rsidR="00505632" w:rsidRDefault="00505632" w:rsidP="00AD4E52">
            <w:pPr>
              <w:pStyle w:val="CellColumn"/>
              <w:jc w:val="right"/>
            </w:pPr>
            <w:r>
              <w:rPr>
                <w:rFonts w:cs="Times New Roman"/>
              </w:rPr>
              <w:t>8.497.650</w:t>
            </w:r>
          </w:p>
        </w:tc>
        <w:tc>
          <w:tcPr>
            <w:tcW w:w="2041" w:type="dxa"/>
            <w:vAlign w:val="top"/>
          </w:tcPr>
          <w:p w:rsidR="00505632" w:rsidRDefault="00505632" w:rsidP="00AD4E52">
            <w:pPr>
              <w:pStyle w:val="CellColumn"/>
              <w:jc w:val="right"/>
            </w:pPr>
            <w:r>
              <w:rPr>
                <w:rFonts w:cs="Times New Roman"/>
              </w:rPr>
              <w:t>5.872.880</w:t>
            </w:r>
          </w:p>
        </w:tc>
        <w:tc>
          <w:tcPr>
            <w:tcW w:w="1224" w:type="dxa"/>
            <w:vAlign w:val="top"/>
          </w:tcPr>
          <w:p w:rsidR="00505632" w:rsidRDefault="00505632" w:rsidP="00AD4E52">
            <w:pPr>
              <w:pStyle w:val="CellColumn"/>
              <w:jc w:val="right"/>
            </w:pPr>
            <w:r>
              <w:rPr>
                <w:rFonts w:cs="Times New Roman"/>
              </w:rPr>
              <w:t>69,1</w:t>
            </w:r>
          </w:p>
        </w:tc>
        <w:tc>
          <w:tcPr>
            <w:tcW w:w="1224" w:type="dxa"/>
            <w:vAlign w:val="top"/>
          </w:tcPr>
          <w:p w:rsidR="00505632" w:rsidRDefault="00505632" w:rsidP="00AD4E52">
            <w:pPr>
              <w:pStyle w:val="CellColumn"/>
              <w:jc w:val="right"/>
            </w:pPr>
            <w:r>
              <w:rPr>
                <w:rFonts w:cs="Times New Roman"/>
              </w:rPr>
              <w:t>82,4</w:t>
            </w:r>
          </w:p>
        </w:tc>
      </w:tr>
      <w:tr w:rsidR="00505632" w:rsidTr="00AD4E52">
        <w:trPr>
          <w:jc w:val="center"/>
        </w:trPr>
        <w:tc>
          <w:tcPr>
            <w:tcW w:w="1632" w:type="dxa"/>
            <w:vAlign w:val="top"/>
          </w:tcPr>
          <w:p w:rsidR="00505632" w:rsidRDefault="00505632" w:rsidP="00AD4E52">
            <w:pPr>
              <w:pStyle w:val="CellColumn"/>
              <w:jc w:val="left"/>
            </w:pPr>
            <w:r>
              <w:rPr>
                <w:rFonts w:cs="Times New Roman"/>
              </w:rPr>
              <w:t>07615-Agencija za ozakonjenje nezakonito izgrađenih zgrada</w:t>
            </w:r>
          </w:p>
        </w:tc>
        <w:tc>
          <w:tcPr>
            <w:tcW w:w="2041" w:type="dxa"/>
            <w:vAlign w:val="top"/>
          </w:tcPr>
          <w:p w:rsidR="00505632" w:rsidRDefault="00505632" w:rsidP="00AD4E52">
            <w:pPr>
              <w:pStyle w:val="CellColumn"/>
              <w:jc w:val="right"/>
            </w:pPr>
            <w:r>
              <w:rPr>
                <w:rFonts w:cs="Times New Roman"/>
              </w:rPr>
              <w:t>24.274.104</w:t>
            </w:r>
          </w:p>
        </w:tc>
        <w:tc>
          <w:tcPr>
            <w:tcW w:w="2041" w:type="dxa"/>
            <w:vAlign w:val="top"/>
          </w:tcPr>
          <w:p w:rsidR="00505632" w:rsidRDefault="00505632" w:rsidP="00AD4E52">
            <w:pPr>
              <w:pStyle w:val="CellColumn"/>
              <w:jc w:val="right"/>
            </w:pPr>
            <w:r>
              <w:rPr>
                <w:rFonts w:cs="Times New Roman"/>
              </w:rPr>
              <w:t>28.055.493</w:t>
            </w:r>
          </w:p>
        </w:tc>
        <w:tc>
          <w:tcPr>
            <w:tcW w:w="2041" w:type="dxa"/>
            <w:vAlign w:val="top"/>
          </w:tcPr>
          <w:p w:rsidR="00505632" w:rsidRDefault="00505632" w:rsidP="00AD4E52">
            <w:pPr>
              <w:pStyle w:val="CellColumn"/>
              <w:jc w:val="right"/>
            </w:pPr>
            <w:r>
              <w:rPr>
                <w:rFonts w:cs="Times New Roman"/>
              </w:rPr>
              <w:t>24.534.926</w:t>
            </w:r>
          </w:p>
        </w:tc>
        <w:tc>
          <w:tcPr>
            <w:tcW w:w="1224" w:type="dxa"/>
            <w:vAlign w:val="top"/>
          </w:tcPr>
          <w:p w:rsidR="00505632" w:rsidRDefault="00505632" w:rsidP="00AD4E52">
            <w:pPr>
              <w:pStyle w:val="CellColumn"/>
              <w:jc w:val="right"/>
            </w:pPr>
            <w:r>
              <w:rPr>
                <w:rFonts w:cs="Times New Roman"/>
              </w:rPr>
              <w:t>87,5</w:t>
            </w:r>
          </w:p>
        </w:tc>
        <w:tc>
          <w:tcPr>
            <w:tcW w:w="1224" w:type="dxa"/>
            <w:vAlign w:val="top"/>
          </w:tcPr>
          <w:p w:rsidR="00505632" w:rsidRDefault="00505632" w:rsidP="00AD4E52">
            <w:pPr>
              <w:pStyle w:val="CellColumn"/>
              <w:jc w:val="right"/>
            </w:pPr>
            <w:r>
              <w:rPr>
                <w:rFonts w:cs="Times New Roman"/>
              </w:rPr>
              <w:t>101,1</w:t>
            </w:r>
          </w:p>
        </w:tc>
      </w:tr>
      <w:tr w:rsidR="00505632" w:rsidTr="00AD4E52">
        <w:trPr>
          <w:jc w:val="center"/>
        </w:trPr>
        <w:tc>
          <w:tcPr>
            <w:tcW w:w="1632" w:type="dxa"/>
            <w:vAlign w:val="top"/>
          </w:tcPr>
          <w:p w:rsidR="00505632" w:rsidRDefault="00505632" w:rsidP="00AD4E52">
            <w:pPr>
              <w:pStyle w:val="CellColumn"/>
              <w:jc w:val="left"/>
            </w:pPr>
            <w:r>
              <w:rPr>
                <w:rFonts w:cs="Times New Roman"/>
              </w:rPr>
              <w:t>07620-Agencija za pravni promet i posredovanje nekretninama</w:t>
            </w:r>
          </w:p>
        </w:tc>
        <w:tc>
          <w:tcPr>
            <w:tcW w:w="2041" w:type="dxa"/>
            <w:vAlign w:val="top"/>
          </w:tcPr>
          <w:p w:rsidR="00505632" w:rsidRDefault="00505632" w:rsidP="00AD4E52">
            <w:pPr>
              <w:pStyle w:val="CellColumn"/>
              <w:jc w:val="right"/>
            </w:pPr>
            <w:r>
              <w:rPr>
                <w:rFonts w:cs="Times New Roman"/>
              </w:rPr>
              <w:t>529.652.816</w:t>
            </w:r>
          </w:p>
        </w:tc>
        <w:tc>
          <w:tcPr>
            <w:tcW w:w="2041" w:type="dxa"/>
            <w:vAlign w:val="top"/>
          </w:tcPr>
          <w:p w:rsidR="00505632" w:rsidRDefault="00505632" w:rsidP="00AD4E52">
            <w:pPr>
              <w:pStyle w:val="CellColumn"/>
              <w:jc w:val="right"/>
            </w:pPr>
            <w:r>
              <w:rPr>
                <w:rFonts w:cs="Times New Roman"/>
              </w:rPr>
              <w:t>373.350.891</w:t>
            </w:r>
          </w:p>
        </w:tc>
        <w:tc>
          <w:tcPr>
            <w:tcW w:w="2041" w:type="dxa"/>
            <w:vAlign w:val="top"/>
          </w:tcPr>
          <w:p w:rsidR="00505632" w:rsidRDefault="00505632" w:rsidP="00AD4E52">
            <w:pPr>
              <w:pStyle w:val="CellColumn"/>
              <w:jc w:val="right"/>
            </w:pPr>
            <w:r>
              <w:rPr>
                <w:rFonts w:cs="Times New Roman"/>
              </w:rPr>
              <w:t>256.763.745</w:t>
            </w:r>
          </w:p>
        </w:tc>
        <w:tc>
          <w:tcPr>
            <w:tcW w:w="1224" w:type="dxa"/>
            <w:vAlign w:val="top"/>
          </w:tcPr>
          <w:p w:rsidR="00505632" w:rsidRDefault="00505632" w:rsidP="00AD4E52">
            <w:pPr>
              <w:pStyle w:val="CellColumn"/>
              <w:jc w:val="right"/>
            </w:pPr>
            <w:r>
              <w:rPr>
                <w:rFonts w:cs="Times New Roman"/>
              </w:rPr>
              <w:t>68,8</w:t>
            </w:r>
          </w:p>
        </w:tc>
        <w:tc>
          <w:tcPr>
            <w:tcW w:w="1224" w:type="dxa"/>
            <w:vAlign w:val="top"/>
          </w:tcPr>
          <w:p w:rsidR="00505632" w:rsidRDefault="00505632" w:rsidP="00AD4E52">
            <w:pPr>
              <w:pStyle w:val="CellColumn"/>
              <w:jc w:val="right"/>
            </w:pPr>
            <w:r>
              <w:rPr>
                <w:rFonts w:cs="Times New Roman"/>
              </w:rPr>
              <w:t>48,5</w:t>
            </w:r>
          </w:p>
        </w:tc>
      </w:tr>
      <w:tr w:rsidR="00505632" w:rsidTr="00AD4E52">
        <w:trPr>
          <w:jc w:val="center"/>
        </w:trPr>
        <w:tc>
          <w:tcPr>
            <w:tcW w:w="1632" w:type="dxa"/>
            <w:vAlign w:val="top"/>
          </w:tcPr>
          <w:p w:rsidR="00505632" w:rsidRDefault="00505632" w:rsidP="00AD4E52">
            <w:pPr>
              <w:pStyle w:val="CellColumn"/>
              <w:jc w:val="left"/>
            </w:pPr>
            <w:r>
              <w:rPr>
                <w:rFonts w:cs="Times New Roman"/>
              </w:rPr>
              <w:t>07625-Državna geodetska uprava</w:t>
            </w:r>
          </w:p>
        </w:tc>
        <w:tc>
          <w:tcPr>
            <w:tcW w:w="2041" w:type="dxa"/>
            <w:vAlign w:val="top"/>
          </w:tcPr>
          <w:p w:rsidR="00505632" w:rsidRDefault="00505632" w:rsidP="00AD4E52">
            <w:pPr>
              <w:pStyle w:val="CellColumn"/>
              <w:jc w:val="right"/>
            </w:pPr>
            <w:r>
              <w:rPr>
                <w:rFonts w:cs="Times New Roman"/>
              </w:rPr>
              <w:t>196.169.730</w:t>
            </w:r>
          </w:p>
        </w:tc>
        <w:tc>
          <w:tcPr>
            <w:tcW w:w="2041" w:type="dxa"/>
            <w:vAlign w:val="top"/>
          </w:tcPr>
          <w:p w:rsidR="00505632" w:rsidRDefault="00505632" w:rsidP="00AD4E52">
            <w:pPr>
              <w:pStyle w:val="CellColumn"/>
              <w:jc w:val="right"/>
            </w:pPr>
            <w:r>
              <w:rPr>
                <w:rFonts w:cs="Times New Roman"/>
              </w:rPr>
              <w:t>197.209.713</w:t>
            </w:r>
          </w:p>
        </w:tc>
        <w:tc>
          <w:tcPr>
            <w:tcW w:w="2041" w:type="dxa"/>
            <w:vAlign w:val="top"/>
          </w:tcPr>
          <w:p w:rsidR="00505632" w:rsidRDefault="00505632" w:rsidP="00AD4E52">
            <w:pPr>
              <w:pStyle w:val="CellColumn"/>
              <w:jc w:val="right"/>
            </w:pPr>
            <w:r>
              <w:rPr>
                <w:rFonts w:cs="Times New Roman"/>
              </w:rPr>
              <w:t>200.488.390</w:t>
            </w:r>
          </w:p>
        </w:tc>
        <w:tc>
          <w:tcPr>
            <w:tcW w:w="1224" w:type="dxa"/>
            <w:vAlign w:val="top"/>
          </w:tcPr>
          <w:p w:rsidR="00505632" w:rsidRDefault="00505632" w:rsidP="00AD4E52">
            <w:pPr>
              <w:pStyle w:val="CellColumn"/>
              <w:jc w:val="right"/>
            </w:pPr>
            <w:r>
              <w:rPr>
                <w:rFonts w:cs="Times New Roman"/>
              </w:rPr>
              <w:t>101,7</w:t>
            </w:r>
          </w:p>
        </w:tc>
        <w:tc>
          <w:tcPr>
            <w:tcW w:w="1224" w:type="dxa"/>
            <w:vAlign w:val="top"/>
          </w:tcPr>
          <w:p w:rsidR="00505632" w:rsidRDefault="00505632" w:rsidP="00AD4E52">
            <w:pPr>
              <w:pStyle w:val="CellColumn"/>
              <w:jc w:val="right"/>
            </w:pPr>
            <w:r>
              <w:rPr>
                <w:rFonts w:cs="Times New Roman"/>
              </w:rPr>
              <w:t>102,2</w:t>
            </w:r>
          </w:p>
        </w:tc>
      </w:tr>
      <w:tr w:rsidR="00505632" w:rsidTr="00AD4E52">
        <w:trPr>
          <w:jc w:val="center"/>
        </w:trPr>
        <w:tc>
          <w:tcPr>
            <w:tcW w:w="1632" w:type="dxa"/>
            <w:vAlign w:val="top"/>
          </w:tcPr>
          <w:p w:rsidR="00505632" w:rsidRDefault="00505632" w:rsidP="00AD4E52">
            <w:pPr>
              <w:pStyle w:val="CellColumn"/>
              <w:jc w:val="left"/>
            </w:pPr>
            <w:r>
              <w:rPr>
                <w:rFonts w:cs="Times New Roman"/>
              </w:rPr>
              <w:t>07630-Agencija za obnovu osječke Tvrđe</w:t>
            </w:r>
          </w:p>
        </w:tc>
        <w:tc>
          <w:tcPr>
            <w:tcW w:w="2041" w:type="dxa"/>
            <w:vAlign w:val="top"/>
          </w:tcPr>
          <w:p w:rsidR="00505632" w:rsidRDefault="00505632" w:rsidP="00AD4E52">
            <w:pPr>
              <w:pStyle w:val="CellColumn"/>
              <w:jc w:val="right"/>
            </w:pPr>
            <w:r>
              <w:rPr>
                <w:rFonts w:cs="Times New Roman"/>
              </w:rPr>
              <w:t>00</w:t>
            </w:r>
          </w:p>
        </w:tc>
        <w:tc>
          <w:tcPr>
            <w:tcW w:w="2041" w:type="dxa"/>
            <w:vAlign w:val="top"/>
          </w:tcPr>
          <w:p w:rsidR="00505632" w:rsidRDefault="00505632" w:rsidP="00AD4E52">
            <w:pPr>
              <w:pStyle w:val="CellColumn"/>
              <w:jc w:val="right"/>
            </w:pPr>
            <w:r>
              <w:rPr>
                <w:rFonts w:cs="Times New Roman"/>
              </w:rPr>
              <w:t>1.000.000</w:t>
            </w:r>
          </w:p>
        </w:tc>
        <w:tc>
          <w:tcPr>
            <w:tcW w:w="2041" w:type="dxa"/>
            <w:vAlign w:val="top"/>
          </w:tcPr>
          <w:p w:rsidR="00505632" w:rsidRDefault="00505632" w:rsidP="00AD4E52">
            <w:pPr>
              <w:pStyle w:val="CellColumn"/>
              <w:jc w:val="right"/>
            </w:pPr>
            <w:r>
              <w:rPr>
                <w:rFonts w:cs="Times New Roman"/>
              </w:rPr>
              <w:t>998.997</w:t>
            </w:r>
          </w:p>
        </w:tc>
        <w:tc>
          <w:tcPr>
            <w:tcW w:w="1224" w:type="dxa"/>
            <w:vAlign w:val="top"/>
          </w:tcPr>
          <w:p w:rsidR="00505632" w:rsidRDefault="00505632" w:rsidP="00AD4E52">
            <w:pPr>
              <w:pStyle w:val="CellColumn"/>
              <w:jc w:val="right"/>
            </w:pPr>
            <w:r>
              <w:rPr>
                <w:rFonts w:cs="Times New Roman"/>
              </w:rPr>
              <w:t>99,9</w:t>
            </w:r>
          </w:p>
        </w:tc>
        <w:tc>
          <w:tcPr>
            <w:tcW w:w="1224" w:type="dxa"/>
            <w:vAlign w:val="top"/>
          </w:tcPr>
          <w:p w:rsidR="00505632" w:rsidRDefault="00505632" w:rsidP="00AD4E52">
            <w:pPr>
              <w:pStyle w:val="CellColumn"/>
              <w:jc w:val="right"/>
            </w:pPr>
            <w:r>
              <w:rPr>
                <w:rFonts w:cs="Times New Roman"/>
              </w:rPr>
              <w:t>0,0</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076-MINISTARSTVO GRADITELJSTVA I PROSTORNOGA UREĐENJA</w:t>
            </w:r>
          </w:p>
        </w:tc>
        <w:tc>
          <w:tcPr>
            <w:tcW w:w="2041" w:type="dxa"/>
            <w:shd w:val="clear" w:color="auto" w:fill="B5C0D8"/>
          </w:tcPr>
          <w:p w:rsidR="00505632" w:rsidRDefault="00505632" w:rsidP="00AD4E52">
            <w:pPr>
              <w:pStyle w:val="CellColumn"/>
              <w:jc w:val="right"/>
            </w:pPr>
            <w:r>
              <w:rPr>
                <w:rFonts w:cs="Times New Roman"/>
              </w:rPr>
              <w:t>862.012.251</w:t>
            </w:r>
          </w:p>
        </w:tc>
        <w:tc>
          <w:tcPr>
            <w:tcW w:w="2041" w:type="dxa"/>
            <w:shd w:val="clear" w:color="auto" w:fill="B5C0D8"/>
          </w:tcPr>
          <w:p w:rsidR="00505632" w:rsidRDefault="00505632" w:rsidP="00AD4E52">
            <w:pPr>
              <w:pStyle w:val="CellColumn"/>
              <w:jc w:val="right"/>
            </w:pPr>
            <w:r>
              <w:rPr>
                <w:rFonts w:cs="Times New Roman"/>
              </w:rPr>
              <w:t>756.312.349</w:t>
            </w:r>
          </w:p>
        </w:tc>
        <w:tc>
          <w:tcPr>
            <w:tcW w:w="2041" w:type="dxa"/>
            <w:shd w:val="clear" w:color="auto" w:fill="B5C0D8"/>
          </w:tcPr>
          <w:p w:rsidR="00505632" w:rsidRDefault="00505632" w:rsidP="00AD4E52">
            <w:pPr>
              <w:pStyle w:val="CellColumn"/>
              <w:jc w:val="right"/>
            </w:pPr>
            <w:r>
              <w:rPr>
                <w:rFonts w:cs="Times New Roman"/>
              </w:rPr>
              <w:t>603.321.404</w:t>
            </w:r>
          </w:p>
        </w:tc>
        <w:tc>
          <w:tcPr>
            <w:tcW w:w="1224" w:type="dxa"/>
            <w:shd w:val="clear" w:color="auto" w:fill="B5C0D8"/>
          </w:tcPr>
          <w:p w:rsidR="00505632" w:rsidRDefault="00505632" w:rsidP="00AD4E52">
            <w:pPr>
              <w:pStyle w:val="CellColumn"/>
              <w:jc w:val="right"/>
            </w:pPr>
            <w:r>
              <w:rPr>
                <w:rFonts w:cs="Times New Roman"/>
              </w:rPr>
              <w:t>79,8</w:t>
            </w:r>
          </w:p>
        </w:tc>
        <w:tc>
          <w:tcPr>
            <w:tcW w:w="1224" w:type="dxa"/>
            <w:shd w:val="clear" w:color="auto" w:fill="B5C0D8"/>
          </w:tcPr>
          <w:p w:rsidR="00505632" w:rsidRDefault="00505632" w:rsidP="00AD4E52">
            <w:pPr>
              <w:pStyle w:val="CellColumn"/>
              <w:jc w:val="right"/>
            </w:pPr>
            <w:r>
              <w:rPr>
                <w:rFonts w:cs="Times New Roman"/>
              </w:rPr>
              <w:t>70,0</w:t>
            </w:r>
          </w:p>
        </w:tc>
      </w:tr>
    </w:tbl>
    <w:p w:rsidR="00505632" w:rsidRDefault="00505632" w:rsidP="00505632">
      <w:pPr>
        <w:jc w:val="left"/>
      </w:pPr>
    </w:p>
    <w:p w:rsidR="00505632" w:rsidRDefault="00505632" w:rsidP="00505632">
      <w:pPr>
        <w:pStyle w:val="Heading2"/>
      </w:pPr>
      <w:r>
        <w:t>07605 Ministarstvo graditeljstva i prostornoga uređenja</w:t>
      </w:r>
    </w:p>
    <w:p w:rsidR="00505632" w:rsidRDefault="00505632" w:rsidP="00505632">
      <w:r>
        <w:t xml:space="preserve">Ministarstvo graditeljstva i prostornoga uređenja definiralo je da svojom politikom želi trajno stvarati uvjete za učinkovitim, ekonomičnim i svrhovitim upravljanjem prostorom, poboljšavati informiranosti i podizati svijest građana o potrebi očuvanja prostora u kojem žive, te unapređivati stanje u području stanovanja i graditeljstva. </w:t>
      </w:r>
    </w:p>
    <w:p w:rsidR="00505632" w:rsidRDefault="00505632" w:rsidP="00505632">
      <w:r>
        <w:t>Težište rada Ministarstva je na konstantnom poboljšavanju zakonske regulative, provođenju reformskih mjera iz Nacionalnog programa reformi, mjera iz Glavnih ciljeva Strategije Europa 2020, kao i nastavak razvoja Informacijskog sustava prostornog uređenja i njegovih modula.</w:t>
      </w:r>
    </w:p>
    <w:tbl>
      <w:tblPr>
        <w:tblStyle w:val="StilTablice"/>
        <w:tblW w:w="10206" w:type="dxa"/>
        <w:jc w:val="center"/>
        <w:tblLook w:val="04A0" w:firstRow="1" w:lastRow="0" w:firstColumn="1" w:lastColumn="0" w:noHBand="0" w:noVBand="1"/>
      </w:tblPr>
      <w:tblGrid>
        <w:gridCol w:w="1714"/>
        <w:gridCol w:w="2018"/>
        <w:gridCol w:w="2018"/>
        <w:gridCol w:w="2018"/>
        <w:gridCol w:w="1218"/>
        <w:gridCol w:w="1220"/>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07605-Ministarstvo graditeljstva i prostornoga uređenja</w:t>
            </w:r>
          </w:p>
        </w:tc>
        <w:tc>
          <w:tcPr>
            <w:tcW w:w="2041" w:type="dxa"/>
            <w:vAlign w:val="top"/>
          </w:tcPr>
          <w:p w:rsidR="00505632" w:rsidRDefault="00505632" w:rsidP="00AD4E52">
            <w:pPr>
              <w:pStyle w:val="CellColumn"/>
              <w:jc w:val="right"/>
            </w:pPr>
            <w:r>
              <w:rPr>
                <w:rFonts w:cs="Times New Roman"/>
              </w:rPr>
              <w:t>104.784.975</w:t>
            </w:r>
          </w:p>
        </w:tc>
        <w:tc>
          <w:tcPr>
            <w:tcW w:w="2041" w:type="dxa"/>
            <w:vAlign w:val="top"/>
          </w:tcPr>
          <w:p w:rsidR="00505632" w:rsidRDefault="00505632" w:rsidP="00AD4E52">
            <w:pPr>
              <w:pStyle w:val="CellColumn"/>
              <w:jc w:val="right"/>
            </w:pPr>
            <w:r>
              <w:rPr>
                <w:rFonts w:cs="Times New Roman"/>
              </w:rPr>
              <w:t>148.198.602</w:t>
            </w:r>
          </w:p>
        </w:tc>
        <w:tc>
          <w:tcPr>
            <w:tcW w:w="2041" w:type="dxa"/>
            <w:vAlign w:val="top"/>
          </w:tcPr>
          <w:p w:rsidR="00505632" w:rsidRDefault="00505632" w:rsidP="00AD4E52">
            <w:pPr>
              <w:pStyle w:val="CellColumn"/>
              <w:jc w:val="right"/>
            </w:pPr>
            <w:r>
              <w:rPr>
                <w:rFonts w:cs="Times New Roman"/>
              </w:rPr>
              <w:t>114.662.467</w:t>
            </w:r>
          </w:p>
        </w:tc>
        <w:tc>
          <w:tcPr>
            <w:tcW w:w="1224" w:type="dxa"/>
            <w:vAlign w:val="top"/>
          </w:tcPr>
          <w:p w:rsidR="00505632" w:rsidRDefault="00505632" w:rsidP="00AD4E52">
            <w:pPr>
              <w:pStyle w:val="CellColumn"/>
              <w:jc w:val="right"/>
            </w:pPr>
            <w:r>
              <w:rPr>
                <w:rFonts w:cs="Times New Roman"/>
              </w:rPr>
              <w:t>77,4</w:t>
            </w:r>
          </w:p>
        </w:tc>
        <w:tc>
          <w:tcPr>
            <w:tcW w:w="1224" w:type="dxa"/>
            <w:vAlign w:val="top"/>
          </w:tcPr>
          <w:p w:rsidR="00505632" w:rsidRDefault="00505632" w:rsidP="00AD4E52">
            <w:pPr>
              <w:pStyle w:val="CellColumn"/>
              <w:jc w:val="right"/>
            </w:pPr>
            <w:r>
              <w:rPr>
                <w:rFonts w:cs="Times New Roman"/>
              </w:rPr>
              <w:t>109,4</w:t>
            </w:r>
          </w:p>
        </w:tc>
      </w:tr>
      <w:tr w:rsidR="00505632" w:rsidTr="00AD4E52">
        <w:trPr>
          <w:jc w:val="center"/>
        </w:trPr>
        <w:tc>
          <w:tcPr>
            <w:tcW w:w="1632" w:type="dxa"/>
          </w:tcPr>
          <w:p w:rsidR="00505632" w:rsidRDefault="00505632" w:rsidP="00AD4E52">
            <w:pPr>
              <w:jc w:val="left"/>
            </w:pPr>
            <w:r>
              <w:t>3501-RAZVOJ I UPRAVLJANJE PROSTORNIM UREĐENJEM</w:t>
            </w:r>
          </w:p>
        </w:tc>
        <w:tc>
          <w:tcPr>
            <w:tcW w:w="2041" w:type="dxa"/>
          </w:tcPr>
          <w:p w:rsidR="00505632" w:rsidRDefault="00505632" w:rsidP="00AD4E52">
            <w:pPr>
              <w:jc w:val="right"/>
            </w:pPr>
            <w:r>
              <w:t>92.299.749</w:t>
            </w:r>
          </w:p>
        </w:tc>
        <w:tc>
          <w:tcPr>
            <w:tcW w:w="2041" w:type="dxa"/>
          </w:tcPr>
          <w:p w:rsidR="00505632" w:rsidRDefault="00505632" w:rsidP="00AD4E52">
            <w:pPr>
              <w:jc w:val="right"/>
            </w:pPr>
            <w:r>
              <w:t>101.147.202</w:t>
            </w:r>
          </w:p>
        </w:tc>
        <w:tc>
          <w:tcPr>
            <w:tcW w:w="2041" w:type="dxa"/>
          </w:tcPr>
          <w:p w:rsidR="00505632" w:rsidRDefault="00505632" w:rsidP="00AD4E52">
            <w:pPr>
              <w:jc w:val="right"/>
            </w:pPr>
            <w:r>
              <w:t>79.524.057</w:t>
            </w:r>
          </w:p>
        </w:tc>
        <w:tc>
          <w:tcPr>
            <w:tcW w:w="1224" w:type="dxa"/>
          </w:tcPr>
          <w:p w:rsidR="00505632" w:rsidRDefault="00505632" w:rsidP="00AD4E52">
            <w:pPr>
              <w:jc w:val="right"/>
            </w:pPr>
            <w:r>
              <w:t>78,6</w:t>
            </w:r>
          </w:p>
        </w:tc>
        <w:tc>
          <w:tcPr>
            <w:tcW w:w="1224" w:type="dxa"/>
          </w:tcPr>
          <w:p w:rsidR="00505632" w:rsidRDefault="00505632" w:rsidP="00AD4E52">
            <w:pPr>
              <w:jc w:val="right"/>
            </w:pPr>
            <w:r>
              <w:t>86,2</w:t>
            </w:r>
          </w:p>
        </w:tc>
      </w:tr>
      <w:tr w:rsidR="00505632" w:rsidTr="00AD4E52">
        <w:trPr>
          <w:jc w:val="center"/>
        </w:trPr>
        <w:tc>
          <w:tcPr>
            <w:tcW w:w="1632" w:type="dxa"/>
          </w:tcPr>
          <w:p w:rsidR="00505632" w:rsidRDefault="00505632" w:rsidP="00AD4E52">
            <w:pPr>
              <w:jc w:val="left"/>
            </w:pPr>
            <w:r>
              <w:t>3502-REGULATIVA I NADZOR U GRADITELJSTVU</w:t>
            </w:r>
          </w:p>
        </w:tc>
        <w:tc>
          <w:tcPr>
            <w:tcW w:w="2041" w:type="dxa"/>
          </w:tcPr>
          <w:p w:rsidR="00505632" w:rsidRDefault="00505632" w:rsidP="00AD4E52">
            <w:pPr>
              <w:jc w:val="right"/>
            </w:pPr>
            <w:r>
              <w:t>11.649.106</w:t>
            </w:r>
          </w:p>
        </w:tc>
        <w:tc>
          <w:tcPr>
            <w:tcW w:w="2041" w:type="dxa"/>
          </w:tcPr>
          <w:p w:rsidR="00505632" w:rsidRDefault="00505632" w:rsidP="00AD4E52">
            <w:pPr>
              <w:jc w:val="right"/>
            </w:pPr>
            <w:r>
              <w:t>47.051.400</w:t>
            </w:r>
          </w:p>
        </w:tc>
        <w:tc>
          <w:tcPr>
            <w:tcW w:w="2041" w:type="dxa"/>
          </w:tcPr>
          <w:p w:rsidR="00505632" w:rsidRDefault="00505632" w:rsidP="00AD4E52">
            <w:pPr>
              <w:jc w:val="right"/>
            </w:pPr>
            <w:r>
              <w:t>35.138.409</w:t>
            </w:r>
          </w:p>
        </w:tc>
        <w:tc>
          <w:tcPr>
            <w:tcW w:w="1224" w:type="dxa"/>
          </w:tcPr>
          <w:p w:rsidR="00505632" w:rsidRDefault="00505632" w:rsidP="00AD4E52">
            <w:pPr>
              <w:jc w:val="right"/>
            </w:pPr>
            <w:r>
              <w:t>74,7</w:t>
            </w:r>
          </w:p>
        </w:tc>
        <w:tc>
          <w:tcPr>
            <w:tcW w:w="1224" w:type="dxa"/>
          </w:tcPr>
          <w:p w:rsidR="00505632" w:rsidRDefault="00505632" w:rsidP="00AD4E52">
            <w:pPr>
              <w:jc w:val="right"/>
            </w:pPr>
            <w:r>
              <w:t>301,6</w:t>
            </w:r>
          </w:p>
        </w:tc>
      </w:tr>
    </w:tbl>
    <w:p w:rsidR="00505632" w:rsidRDefault="00505632" w:rsidP="00505632">
      <w:pPr>
        <w:jc w:val="left"/>
      </w:pPr>
    </w:p>
    <w:p w:rsidR="00505632" w:rsidRDefault="00505632" w:rsidP="00505632">
      <w:pPr>
        <w:pStyle w:val="Heading3"/>
      </w:pPr>
      <w:r>
        <w:rPr>
          <w:rFonts w:cs="Times New Roman"/>
        </w:rPr>
        <w:t>3501 RAZVOJ I UPRAVLJANJE PROSTORNIM UREĐENJEM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3501-RAZVOJ I UPRAVLJANJE PROSTORNIM UREĐENJEM</w:t>
            </w:r>
          </w:p>
        </w:tc>
        <w:tc>
          <w:tcPr>
            <w:tcW w:w="2041" w:type="dxa"/>
          </w:tcPr>
          <w:p w:rsidR="00505632" w:rsidRDefault="00505632" w:rsidP="00AD4E52">
            <w:pPr>
              <w:pStyle w:val="CellColumn"/>
              <w:jc w:val="right"/>
            </w:pPr>
            <w:r>
              <w:rPr>
                <w:rFonts w:cs="Times New Roman"/>
              </w:rPr>
              <w:t>92.299.749</w:t>
            </w:r>
          </w:p>
        </w:tc>
        <w:tc>
          <w:tcPr>
            <w:tcW w:w="2041" w:type="dxa"/>
          </w:tcPr>
          <w:p w:rsidR="00505632" w:rsidRDefault="00505632" w:rsidP="00AD4E52">
            <w:pPr>
              <w:pStyle w:val="CellColumn"/>
              <w:jc w:val="right"/>
            </w:pPr>
            <w:r>
              <w:rPr>
                <w:rFonts w:cs="Times New Roman"/>
              </w:rPr>
              <w:t>101.147.202</w:t>
            </w:r>
          </w:p>
        </w:tc>
        <w:tc>
          <w:tcPr>
            <w:tcW w:w="2041" w:type="dxa"/>
          </w:tcPr>
          <w:p w:rsidR="00505632" w:rsidRDefault="00505632" w:rsidP="00AD4E52">
            <w:pPr>
              <w:pStyle w:val="CellColumn"/>
              <w:jc w:val="right"/>
            </w:pPr>
            <w:r>
              <w:rPr>
                <w:rFonts w:cs="Times New Roman"/>
              </w:rPr>
              <w:t>79.524.057</w:t>
            </w:r>
          </w:p>
        </w:tc>
        <w:tc>
          <w:tcPr>
            <w:tcW w:w="1224" w:type="dxa"/>
          </w:tcPr>
          <w:p w:rsidR="00505632" w:rsidRDefault="00505632" w:rsidP="00AD4E52">
            <w:pPr>
              <w:pStyle w:val="CellColumn"/>
              <w:jc w:val="right"/>
            </w:pPr>
            <w:r>
              <w:rPr>
                <w:rFonts w:cs="Times New Roman"/>
              </w:rPr>
              <w:t>78,6</w:t>
            </w:r>
          </w:p>
        </w:tc>
        <w:tc>
          <w:tcPr>
            <w:tcW w:w="1224" w:type="dxa"/>
          </w:tcPr>
          <w:p w:rsidR="00505632" w:rsidRDefault="00505632" w:rsidP="00AD4E52">
            <w:pPr>
              <w:pStyle w:val="CellColumn"/>
              <w:jc w:val="right"/>
            </w:pPr>
            <w:r>
              <w:rPr>
                <w:rFonts w:cs="Times New Roman"/>
              </w:rPr>
              <w:t>86,2</w:t>
            </w:r>
          </w:p>
        </w:tc>
      </w:tr>
    </w:tbl>
    <w:p w:rsidR="00505632" w:rsidRDefault="00505632" w:rsidP="00505632">
      <w:pPr>
        <w:jc w:val="left"/>
      </w:pPr>
    </w:p>
    <w:p w:rsidR="00505632" w:rsidRDefault="00505632" w:rsidP="00505632">
      <w:pPr>
        <w:pStyle w:val="Heading4"/>
      </w:pPr>
      <w:r>
        <w:t>A538049 E-DOZVOLA I E-ARHIVA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A538049-E-DOZVOLA I E-ARHIVA</w:t>
            </w:r>
          </w:p>
        </w:tc>
        <w:tc>
          <w:tcPr>
            <w:tcW w:w="2041" w:type="dxa"/>
          </w:tcPr>
          <w:p w:rsidR="00505632" w:rsidRDefault="00505632" w:rsidP="00AD4E52">
            <w:pPr>
              <w:pStyle w:val="CellColumn"/>
              <w:jc w:val="right"/>
            </w:pPr>
            <w:r>
              <w:rPr>
                <w:rFonts w:cs="Times New Roman"/>
              </w:rPr>
              <w:t>1.994.720</w:t>
            </w:r>
          </w:p>
        </w:tc>
        <w:tc>
          <w:tcPr>
            <w:tcW w:w="2041" w:type="dxa"/>
          </w:tcPr>
          <w:p w:rsidR="00505632" w:rsidRDefault="00505632" w:rsidP="00AD4E52">
            <w:pPr>
              <w:pStyle w:val="CellColumn"/>
              <w:jc w:val="right"/>
            </w:pPr>
            <w:r>
              <w:rPr>
                <w:rFonts w:cs="Times New Roman"/>
              </w:rPr>
              <w:t>6.110.000</w:t>
            </w:r>
          </w:p>
        </w:tc>
        <w:tc>
          <w:tcPr>
            <w:tcW w:w="2041" w:type="dxa"/>
          </w:tcPr>
          <w:p w:rsidR="00505632" w:rsidRDefault="00505632" w:rsidP="00AD4E52">
            <w:pPr>
              <w:pStyle w:val="CellColumn"/>
              <w:jc w:val="right"/>
            </w:pPr>
            <w:r>
              <w:rPr>
                <w:rFonts w:cs="Times New Roman"/>
              </w:rPr>
              <w:t>3.907.569</w:t>
            </w:r>
          </w:p>
        </w:tc>
        <w:tc>
          <w:tcPr>
            <w:tcW w:w="1224" w:type="dxa"/>
          </w:tcPr>
          <w:p w:rsidR="00505632" w:rsidRDefault="00505632" w:rsidP="00AD4E52">
            <w:pPr>
              <w:pStyle w:val="CellColumn"/>
              <w:jc w:val="right"/>
            </w:pPr>
            <w:r>
              <w:rPr>
                <w:rFonts w:cs="Times New Roman"/>
              </w:rPr>
              <w:t>64,0</w:t>
            </w:r>
          </w:p>
        </w:tc>
        <w:tc>
          <w:tcPr>
            <w:tcW w:w="1224" w:type="dxa"/>
          </w:tcPr>
          <w:p w:rsidR="00505632" w:rsidRDefault="00505632" w:rsidP="00AD4E52">
            <w:pPr>
              <w:pStyle w:val="CellColumn"/>
              <w:jc w:val="right"/>
            </w:pPr>
            <w:r>
              <w:rPr>
                <w:rFonts w:cs="Times New Roman"/>
              </w:rPr>
              <w:t>195,9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prostornom uređenju (NN 153/13.), Zakon o gradnji (NN 153/13.), Naputak o izradi nacrta akata u postupku izdavanja akata na temelju Zakona o prostornom uređenju i Zakona o gradnji te provedbi tih postupaka elektroničkim putem (NN 56/14.).</w:t>
      </w:r>
    </w:p>
    <w:p w:rsidR="00505632" w:rsidRDefault="00505632" w:rsidP="00505632">
      <w:pPr>
        <w:pStyle w:val="Heading8"/>
        <w:jc w:val="left"/>
      </w:pPr>
      <w:r>
        <w:t>Opis aktivnosti</w:t>
      </w:r>
    </w:p>
    <w:p w:rsidR="00505632" w:rsidRDefault="00505632" w:rsidP="00505632">
      <w:r>
        <w:t xml:space="preserve">Od sredine 2014. godine u primjeni je informacijski sustav MGIPU namijenjen izdavanju jedinstvenog akta za građenje – e-Dozvola na području cijele RH te se isti kroz provedbu kontinuirano poboljšava kako kroz podršku korisnicima tako Uprava za dozvole državnog značaja izradila je bazu podataku kako bi aplikacija za izdavanje dozvola i drugih akata bila uvedena po županijama i JLS. Aplikacija nudi jednoobraznost i transparentnost podataka, kontrolu postupaka i mogućih grešaka u postupcima izdavanja dozvola.  </w:t>
      </w:r>
    </w:p>
    <w:p w:rsidR="00505632" w:rsidRDefault="00505632" w:rsidP="00505632">
      <w:r>
        <w:t>Kako bi se aplikacija mogla implementirati Sektor lokacijskih dozvola i investicija proveo je edukaciju službenika po županijama i gradovima nadležnim za izdavanje dozvola te prezentaciju široj javnosti i kontinuirano provodi podršku korisnicima. Sustav je nadograđen opcijama za uredsko poslovanje te se za isto provodila edukacija službenika upravnih odjela županija i gradova.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Postotak izrađenosti aplikacije</w:t>
            </w:r>
          </w:p>
        </w:tc>
        <w:tc>
          <w:tcPr>
            <w:tcW w:w="2551" w:type="dxa"/>
          </w:tcPr>
          <w:p w:rsidR="00505632" w:rsidRDefault="00505632" w:rsidP="00AD4E52">
            <w:pPr>
              <w:pStyle w:val="CellColumn"/>
              <w:jc w:val="left"/>
            </w:pPr>
            <w:r>
              <w:rPr>
                <w:rFonts w:cs="Times New Roman"/>
              </w:rPr>
              <w:t>Izrada aplikacije za centralizirani sustav izrade dozvola za područje RH</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90</w:t>
            </w:r>
          </w:p>
        </w:tc>
      </w:tr>
      <w:tr w:rsidR="00505632" w:rsidTr="00AD4E52">
        <w:trPr>
          <w:jc w:val="center"/>
        </w:trPr>
        <w:tc>
          <w:tcPr>
            <w:tcW w:w="2551" w:type="dxa"/>
          </w:tcPr>
          <w:p w:rsidR="00505632" w:rsidRDefault="00505632" w:rsidP="00AD4E52">
            <w:pPr>
              <w:pStyle w:val="CellColumn"/>
              <w:jc w:val="left"/>
            </w:pPr>
            <w:r>
              <w:rPr>
                <w:rFonts w:cs="Times New Roman"/>
              </w:rPr>
              <w:t>Povećanje broja educiranih državnih službenika</w:t>
            </w:r>
          </w:p>
        </w:tc>
        <w:tc>
          <w:tcPr>
            <w:tcW w:w="2551" w:type="dxa"/>
          </w:tcPr>
          <w:p w:rsidR="00505632" w:rsidRDefault="00505632" w:rsidP="00AD4E52">
            <w:pPr>
              <w:pStyle w:val="CellColumn"/>
              <w:jc w:val="left"/>
            </w:pPr>
            <w:r>
              <w:rPr>
                <w:rFonts w:cs="Times New Roman"/>
              </w:rPr>
              <w:t>Ministarstvo sudjeluje u organizaciji i provođenju edukacije državnih službenika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85</w:t>
            </w:r>
          </w:p>
        </w:tc>
      </w:tr>
    </w:tbl>
    <w:p w:rsidR="00505632" w:rsidRDefault="00505632" w:rsidP="00505632">
      <w:pPr>
        <w:jc w:val="left"/>
      </w:pPr>
    </w:p>
    <w:p w:rsidR="00505632" w:rsidRDefault="00505632" w:rsidP="00505632">
      <w:pPr>
        <w:pStyle w:val="Heading4"/>
      </w:pPr>
      <w:r>
        <w:t>A538050 ZADRŽAVANJE NEZAKONITO IZGRAĐENIH ZGRADA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A538050-ZADRŽAVANJE NEZAKONITO IZGRAĐENIH ZGRADA</w:t>
            </w:r>
          </w:p>
        </w:tc>
        <w:tc>
          <w:tcPr>
            <w:tcW w:w="2041" w:type="dxa"/>
          </w:tcPr>
          <w:p w:rsidR="00505632" w:rsidRDefault="00505632" w:rsidP="00AD4E52">
            <w:pPr>
              <w:pStyle w:val="CellColumn"/>
              <w:jc w:val="right"/>
            </w:pPr>
            <w:r>
              <w:rPr>
                <w:rFonts w:cs="Times New Roman"/>
              </w:rPr>
              <w:t>7.132.829</w:t>
            </w:r>
          </w:p>
        </w:tc>
        <w:tc>
          <w:tcPr>
            <w:tcW w:w="2041" w:type="dxa"/>
          </w:tcPr>
          <w:p w:rsidR="00505632" w:rsidRDefault="00505632" w:rsidP="00AD4E52">
            <w:pPr>
              <w:pStyle w:val="CellColumn"/>
              <w:jc w:val="right"/>
            </w:pPr>
            <w:r>
              <w:rPr>
                <w:rFonts w:cs="Times New Roman"/>
              </w:rPr>
              <w:t>5.740.000</w:t>
            </w:r>
          </w:p>
        </w:tc>
        <w:tc>
          <w:tcPr>
            <w:tcW w:w="2041" w:type="dxa"/>
          </w:tcPr>
          <w:p w:rsidR="00505632" w:rsidRDefault="00505632" w:rsidP="00AD4E52">
            <w:pPr>
              <w:pStyle w:val="CellColumn"/>
              <w:jc w:val="right"/>
            </w:pPr>
            <w:r>
              <w:rPr>
                <w:rFonts w:cs="Times New Roman"/>
              </w:rPr>
              <w:t>3.772.929</w:t>
            </w:r>
          </w:p>
        </w:tc>
        <w:tc>
          <w:tcPr>
            <w:tcW w:w="1224" w:type="dxa"/>
          </w:tcPr>
          <w:p w:rsidR="00505632" w:rsidRDefault="00505632" w:rsidP="00AD4E52">
            <w:pPr>
              <w:pStyle w:val="CellColumn"/>
              <w:jc w:val="right"/>
            </w:pPr>
            <w:r>
              <w:rPr>
                <w:rFonts w:cs="Times New Roman"/>
              </w:rPr>
              <w:t>65,7</w:t>
            </w:r>
          </w:p>
        </w:tc>
        <w:tc>
          <w:tcPr>
            <w:tcW w:w="1224" w:type="dxa"/>
          </w:tcPr>
          <w:p w:rsidR="00505632" w:rsidRDefault="00505632" w:rsidP="00AD4E52">
            <w:pPr>
              <w:pStyle w:val="CellColumn"/>
              <w:jc w:val="right"/>
            </w:pPr>
            <w:r>
              <w:rPr>
                <w:rFonts w:cs="Times New Roman"/>
              </w:rPr>
              <w:t>52,9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postupanju s nezakonito izgrađenim zgradama (Narodne novine, broj 86/12 i 143/13).</w:t>
      </w:r>
    </w:p>
    <w:p w:rsidR="00505632" w:rsidRDefault="00505632" w:rsidP="00505632">
      <w:pPr>
        <w:pStyle w:val="Heading8"/>
        <w:jc w:val="left"/>
      </w:pPr>
      <w:r>
        <w:t>Opis aktivnosti</w:t>
      </w:r>
    </w:p>
    <w:p w:rsidR="00505632" w:rsidRDefault="00505632" w:rsidP="00505632">
      <w:r>
        <w:t xml:space="preserve">Temeljem Zakona o postupanju s nezakonito izgrađenim zgradama čl. 31. (NN 143/13). </w:t>
      </w:r>
    </w:p>
    <w:p w:rsidR="00505632" w:rsidRDefault="00505632" w:rsidP="00505632">
      <w:r>
        <w:t xml:space="preserve">1. Dvadeset posto sredstva naknade prihod su proračuna jedinice lokalne, odnosno područne (regionalne) samouprave čije upravno tijelo donosi rješenje o izvedenom stanju, a koriste se namjenski za rad tih upravnih tijela. </w:t>
      </w:r>
    </w:p>
    <w:p w:rsidR="00505632" w:rsidRDefault="00505632" w:rsidP="00505632">
      <w:r>
        <w:t xml:space="preserve">2. Dvadeset posto sredstava naknade prihod su državnog proračuna Republike Hrvatske kada rješenje o izvedenom stanju donosi Agencija, a koriste se namjenski za njezin rad. </w:t>
      </w:r>
    </w:p>
    <w:p w:rsidR="00505632" w:rsidRDefault="00505632" w:rsidP="00505632">
      <w:r>
        <w:t xml:space="preserve">3. Trideset posto sredstva naknade prihod su proračuna jedinice lokalne samouprave na čijem se području nezakonito izgrađena zgrada nalazi, a koriste se namjenski za izradu prostornih planova kojima se propisuju uvjeti i kriteriji za urbanu obnovu i sanaciju područja zahvaćenih nezakonitom gradnjom te za poboljšanje infrastrukturno nedovoljno opremljenih i/ili neopremljenih naselja prema programu koji donosi predstavničko tijelo jedinice lokalne samouprave. </w:t>
      </w:r>
    </w:p>
    <w:p w:rsidR="00505632" w:rsidRDefault="00505632" w:rsidP="00505632">
      <w:r>
        <w:t xml:space="preserve">4. Pedeset posto sredstva naknade prihod su državnog proračuna Republike Hrvatske, a koriste se namjenski za provedbu ovoga Zakona, uklanjanje zgrada izgrađenih bez akta za građenje, za uspostavu i održavanje informacijskog sustava izdavanja akata za provedbu dokumenata prostornog uređenja, građenje i uporabu građevina te za uspostavu i održavanje katastra nekretnina. </w:t>
      </w:r>
    </w:p>
    <w:p w:rsidR="00505632" w:rsidRDefault="00505632" w:rsidP="00505632">
      <w:r>
        <w:t>Sukladno čl. 31. stavak 4. Zakona, ukupno uplaćena sredstva od naknade za legalizaciju od 01.01.2016. do 31.12.2016. godine iznosila su 144.625.547,00 kuna, te su korištena namjenski kako je propisano Zakonom, a dio sredstava je utrošen za sanaciju šteta od poplava u Vukovarsko-srijemskoj županiji.</w:t>
      </w:r>
    </w:p>
    <w:p w:rsidR="00505632" w:rsidRDefault="00505632" w:rsidP="00505632">
      <w:pPr>
        <w:pStyle w:val="Heading4"/>
      </w:pPr>
      <w:r>
        <w:t>A538065 EUROPSKA TERITORIJALNA SURADNJA – MEĐUREGIONALNI PROGRAM URBACT</w:t>
      </w:r>
    </w:p>
    <w:tbl>
      <w:tblPr>
        <w:tblStyle w:val="StilTablice"/>
        <w:tblW w:w="10206" w:type="dxa"/>
        <w:jc w:val="center"/>
        <w:tblLook w:val="04A0" w:firstRow="1" w:lastRow="0" w:firstColumn="1" w:lastColumn="0" w:noHBand="0" w:noVBand="1"/>
      </w:tblPr>
      <w:tblGrid>
        <w:gridCol w:w="1936"/>
        <w:gridCol w:w="1955"/>
        <w:gridCol w:w="1942"/>
        <w:gridCol w:w="1955"/>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A538065-EUROPSKA TERITORIJALNA SURADNJA – MEĐUREGIONALNI PROGRAM URBACT</w:t>
            </w:r>
          </w:p>
        </w:tc>
        <w:tc>
          <w:tcPr>
            <w:tcW w:w="2041" w:type="dxa"/>
          </w:tcPr>
          <w:p w:rsidR="00505632" w:rsidRDefault="00505632" w:rsidP="00AD4E52">
            <w:pPr>
              <w:pStyle w:val="CellColumn"/>
              <w:jc w:val="right"/>
            </w:pPr>
            <w:r>
              <w:rPr>
                <w:rFonts w:cs="Times New Roman"/>
              </w:rPr>
              <w:t>72.940</w:t>
            </w:r>
          </w:p>
        </w:tc>
        <w:tc>
          <w:tcPr>
            <w:tcW w:w="2041" w:type="dxa"/>
          </w:tcPr>
          <w:p w:rsidR="00505632" w:rsidRDefault="00505632" w:rsidP="00AD4E52">
            <w:pPr>
              <w:pStyle w:val="CellColumn"/>
              <w:jc w:val="right"/>
            </w:pPr>
            <w:r>
              <w:rPr>
                <w:rFonts w:cs="Times New Roman"/>
              </w:rPr>
              <w:t>38.500</w:t>
            </w:r>
          </w:p>
        </w:tc>
        <w:tc>
          <w:tcPr>
            <w:tcW w:w="2041" w:type="dxa"/>
          </w:tcPr>
          <w:p w:rsidR="00505632" w:rsidRDefault="00505632" w:rsidP="00AD4E52">
            <w:pPr>
              <w:pStyle w:val="CellColumn"/>
              <w:jc w:val="right"/>
            </w:pPr>
            <w:r>
              <w:rPr>
                <w:rFonts w:cs="Times New Roman"/>
              </w:rPr>
              <w:t>35.905</w:t>
            </w:r>
          </w:p>
        </w:tc>
        <w:tc>
          <w:tcPr>
            <w:tcW w:w="1224" w:type="dxa"/>
          </w:tcPr>
          <w:p w:rsidR="00505632" w:rsidRDefault="00505632" w:rsidP="00AD4E52">
            <w:pPr>
              <w:pStyle w:val="CellColumn"/>
              <w:jc w:val="right"/>
            </w:pPr>
            <w:r>
              <w:rPr>
                <w:rFonts w:cs="Times New Roman"/>
              </w:rPr>
              <w:t>93,3</w:t>
            </w:r>
          </w:p>
        </w:tc>
        <w:tc>
          <w:tcPr>
            <w:tcW w:w="1224" w:type="dxa"/>
          </w:tcPr>
          <w:p w:rsidR="00505632" w:rsidRDefault="00505632" w:rsidP="00AD4E52">
            <w:pPr>
              <w:pStyle w:val="CellColumn"/>
              <w:jc w:val="right"/>
            </w:pPr>
            <w:r>
              <w:rPr>
                <w:rFonts w:cs="Times New Roman"/>
              </w:rPr>
              <w:t>49,2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Vladi Republike Hrvatske (NN 150/11), Program međuregionalne suradnje EU</w:t>
      </w:r>
    </w:p>
    <w:p w:rsidR="00505632" w:rsidRDefault="00505632" w:rsidP="00505632">
      <w:pPr>
        <w:pStyle w:val="Heading8"/>
        <w:jc w:val="left"/>
      </w:pPr>
      <w:r>
        <w:t>Opis aktivnosti</w:t>
      </w:r>
    </w:p>
    <w:p w:rsidR="00505632" w:rsidRDefault="00505632" w:rsidP="00505632">
      <w:r>
        <w:t xml:space="preserve">Ministarstvo graditeljstva i prostornoga uređenja je temeljem Uredbe o tijelima u sustavima upravljanja i kontrole za provedbu programa kojima se podržava cilj "Europska teritorijalna suradnja" u financijskom razdoblju 2014. - 2020. (NN 120/2014) imenovano Nacionalnim tijelom za provedbu programa međuregionalne suradnje URBACT. </w:t>
      </w:r>
    </w:p>
    <w:p w:rsidR="00505632" w:rsidRDefault="00505632" w:rsidP="00505632">
      <w:r>
        <w:t xml:space="preserve">Program URBACT III namijenjen je razmjeni znanja i dobrih praksi prvenstveno između gradova. Tijekom 2016. Ministarstvo graditeljstva i prostornoga uređenja je sudjelovalo u sastancima Odbora za praćenje, a poslove nacionalne kontakt točke je obavljala Udruga gradova u RH.  </w:t>
      </w:r>
    </w:p>
    <w:p w:rsidR="00505632" w:rsidRDefault="00505632" w:rsidP="00505632">
      <w:r>
        <w:t>Godišnji doprinos koji Republika Hrvatska uplaćuje u proračun Programa je 4.784,90 €/godišnje odnosno ukupno 33.494 € za razdoblje 2014.-2020. Sufinanciranje projektnih partnera iz Republike Hrvatske sredstvima iz EFRR iznosi do 85%.</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Provedba Operativnog programa URBACT III, 2014.-2020.</w:t>
            </w:r>
          </w:p>
        </w:tc>
        <w:tc>
          <w:tcPr>
            <w:tcW w:w="2551" w:type="dxa"/>
          </w:tcPr>
          <w:p w:rsidR="00505632" w:rsidRDefault="00505632" w:rsidP="00AD4E52">
            <w:pPr>
              <w:pStyle w:val="CellColumn"/>
              <w:jc w:val="left"/>
            </w:pPr>
            <w:r>
              <w:rPr>
                <w:rFonts w:cs="Times New Roman"/>
              </w:rPr>
              <w:t>Broj programa koji su počeli s provedbom govori o uključenosti RH u programe međuregionalne suradnje kojima se jača sustav prostornog uređenja u RH</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Odluka EK o odobrenju programa</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10</w:t>
            </w:r>
          </w:p>
        </w:tc>
      </w:tr>
    </w:tbl>
    <w:p w:rsidR="00505632" w:rsidRDefault="00505632" w:rsidP="00505632">
      <w:pPr>
        <w:jc w:val="left"/>
      </w:pPr>
    </w:p>
    <w:p w:rsidR="00505632" w:rsidRDefault="00505632" w:rsidP="00505632">
      <w:pPr>
        <w:pStyle w:val="Heading4"/>
      </w:pPr>
      <w:r>
        <w:t>A538067 IZDAVANJE DOZVOLA ZA ZAHVATE U PROSTORU I GRAĐEVINE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A538067-IZDAVANJE DOZVOLA ZA ZAHVATE U PROSTORU I GRAĐEVINE</w:t>
            </w:r>
          </w:p>
        </w:tc>
        <w:tc>
          <w:tcPr>
            <w:tcW w:w="2041" w:type="dxa"/>
          </w:tcPr>
          <w:p w:rsidR="00505632" w:rsidRDefault="00505632" w:rsidP="00AD4E52">
            <w:pPr>
              <w:pStyle w:val="CellColumn"/>
              <w:jc w:val="right"/>
            </w:pPr>
            <w:r>
              <w:rPr>
                <w:rFonts w:cs="Times New Roman"/>
              </w:rPr>
              <w:t>66.054</w:t>
            </w:r>
          </w:p>
        </w:tc>
        <w:tc>
          <w:tcPr>
            <w:tcW w:w="2041" w:type="dxa"/>
          </w:tcPr>
          <w:p w:rsidR="00505632" w:rsidRDefault="00505632" w:rsidP="00AD4E52">
            <w:pPr>
              <w:pStyle w:val="CellColumn"/>
              <w:jc w:val="right"/>
            </w:pPr>
            <w:r>
              <w:rPr>
                <w:rFonts w:cs="Times New Roman"/>
              </w:rPr>
              <w:t>171.000</w:t>
            </w:r>
          </w:p>
        </w:tc>
        <w:tc>
          <w:tcPr>
            <w:tcW w:w="2041" w:type="dxa"/>
          </w:tcPr>
          <w:p w:rsidR="00505632" w:rsidRDefault="00505632" w:rsidP="00AD4E52">
            <w:pPr>
              <w:pStyle w:val="CellColumn"/>
              <w:jc w:val="right"/>
            </w:pPr>
            <w:r>
              <w:rPr>
                <w:rFonts w:cs="Times New Roman"/>
              </w:rPr>
              <w:t>78.764</w:t>
            </w:r>
          </w:p>
        </w:tc>
        <w:tc>
          <w:tcPr>
            <w:tcW w:w="1224" w:type="dxa"/>
          </w:tcPr>
          <w:p w:rsidR="00505632" w:rsidRDefault="00505632" w:rsidP="00AD4E52">
            <w:pPr>
              <w:pStyle w:val="CellColumn"/>
              <w:jc w:val="right"/>
            </w:pPr>
            <w:r>
              <w:rPr>
                <w:rFonts w:cs="Times New Roman"/>
              </w:rPr>
              <w:t>46,1</w:t>
            </w:r>
          </w:p>
        </w:tc>
        <w:tc>
          <w:tcPr>
            <w:tcW w:w="1224" w:type="dxa"/>
          </w:tcPr>
          <w:p w:rsidR="00505632" w:rsidRDefault="00505632" w:rsidP="00AD4E52">
            <w:pPr>
              <w:pStyle w:val="CellColumn"/>
              <w:jc w:val="right"/>
            </w:pPr>
            <w:r>
              <w:rPr>
                <w:rFonts w:cs="Times New Roman"/>
              </w:rPr>
              <w:t>119,2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prostornom uređenju (NN 153/13.), Zakon o gradnji (NN 153/13.), Naputak o izradi nacrta akata u postupku izdavanja akata na temelju Zakona o prostornom uređenju i Zakona o gradnji te provedbi tih postupaka elektroničkim putem (NN 56/14.).</w:t>
      </w:r>
    </w:p>
    <w:p w:rsidR="00505632" w:rsidRDefault="00505632" w:rsidP="00505632">
      <w:pPr>
        <w:pStyle w:val="Heading8"/>
        <w:jc w:val="left"/>
      </w:pPr>
      <w:r>
        <w:t>Opis aktivnosti</w:t>
      </w:r>
    </w:p>
    <w:p w:rsidR="00505632" w:rsidRDefault="00505632" w:rsidP="00505632">
      <w:r>
        <w:t xml:space="preserve">Provedba Zakona o prostornom uređenju odnosno postupak izdavanja lokacijske dozvole provodi se kontinuirano na zahtjev stranke, gdje se unutar sustava e-dozvole, po primitku urednog i potpunog zahtjeva isti rješava u primjerenom roku. Po izdavanju lokacijske dozvole od strane ovog Ministarstva izdaju se potvrde o usklađenosti parcelacijskog elaborata sa lokacijskom dozvolom odnosno planom u skladu s kojim je izrađen. </w:t>
      </w:r>
    </w:p>
    <w:p w:rsidR="00505632" w:rsidRDefault="00505632" w:rsidP="00505632">
      <w:r>
        <w:t xml:space="preserve">Na zahtjev stranaka prije postupka izdavanja lokacijske dozvole izdaju se obavijesti o posebnim uvjetima za određeni zahvat u prostoru, a također po zahtjevu i o načinu provedbe pojedinih odredbi Zakona o prostornom uređenju ili prostornog plana. </w:t>
      </w:r>
    </w:p>
    <w:p w:rsidR="00505632" w:rsidRDefault="00505632" w:rsidP="00505632">
      <w:r>
        <w:t xml:space="preserve">Provedba prostornih planova uključuje i kontinuirano izdavanje potvrda, mišljenja i obavijesti na razne upite iz područja prostornog uređenja javnih i privatnih zainteresiranih osoba. Osim navedenog, izdaju se mišljenja obzirom na posebne zakone, a posebno izdavanje mišljenja potrebnog za pokretanje postupka procjene utjecaja zahvata na okoliš. </w:t>
      </w:r>
    </w:p>
    <w:p w:rsidR="00505632" w:rsidRDefault="00505632" w:rsidP="00505632">
      <w:r>
        <w:t xml:space="preserve">U postupku procjene utjecaja zahvata na okoliš Sektor lokacijskih dozvola i investicija sudjeluje u radu savjetodavno stručnog povjerenstva. </w:t>
      </w:r>
    </w:p>
    <w:p w:rsidR="00505632" w:rsidRDefault="00505632" w:rsidP="00505632">
      <w:r>
        <w:t xml:space="preserve">Provedba Zakona o gradnji odnosno postupak izdavanja građevinske i uporabne dozvole provodi se kontinuirano na zahtjev stranke, gdje se unutar sustava e-dozvole, po primitku urednog i potpunog zahtjeva isti rješava u primjerenom roku.  </w:t>
      </w:r>
    </w:p>
    <w:p w:rsidR="00505632" w:rsidRDefault="00505632" w:rsidP="00505632">
      <w:r>
        <w:t xml:space="preserve">Izdavanje rješenja o tipskim projektima ne nalazi se unutar sustava e-dozvola. Rješenjem o tipskom projektu omogućava se korištenje jedne dokumentacije za gradnju većeg broja istih građevina odnosno dijelova građevina (npr. kiosk), čime se ubrzava gradnja te smanjuju troškovi za investitora.  </w:t>
      </w:r>
    </w:p>
    <w:p w:rsidR="00505632" w:rsidRDefault="00505632" w:rsidP="00505632">
      <w:r>
        <w:t xml:space="preserve">Na zahtjev stranaka za planiranu gradnju izdaju se i obavijesti o potrebnim potvrdama glavnog projekta, čime se investitorima odnosno projektantima znatno olakša postupak pribavljanja potrebne dokumentacije za ishođenje potrebnih dozvola. </w:t>
      </w:r>
    </w:p>
    <w:p w:rsidR="00505632" w:rsidRDefault="00505632" w:rsidP="00505632">
      <w:r>
        <w:t xml:space="preserve">Po primitku obavijesti investitora o početku građenja, dostavlja se obavijest ostalim nadležnim tijelima uz prethodnu provjeru potpunosti zahtjeva. </w:t>
      </w:r>
    </w:p>
    <w:p w:rsidR="00505632" w:rsidRDefault="00505632" w:rsidP="00505632">
      <w:r>
        <w:t xml:space="preserve">Na zahtjev stranaka kontinuirano se izdaju potvrde, mišljenja i obavijesti, čime se pridonosi kvalitetnijem provođenju zakona i ostalih propisa iz nadležnosti MGIPU te bržem pribavljanju potrebne dokumentacije i ishođenju potrebnih dozvola. Time se između ostalog neposredno utječe i na bolju poduzetničku klimu u državi. </w:t>
      </w:r>
    </w:p>
    <w:p w:rsidR="00505632" w:rsidRDefault="00505632" w:rsidP="00505632">
      <w:r>
        <w:t xml:space="preserve">U svrhu postizanja specifičnog cilja provedbe Zakona o strateškim investicijskim projektima Republike Hrvatske, provođene su sljedeće aktivnosti: </w:t>
      </w:r>
    </w:p>
    <w:p w:rsidR="00505632" w:rsidRDefault="00505632" w:rsidP="00505632">
      <w:r>
        <w:t xml:space="preserve">• U koordinaciji sa Ministarstvom gospodarstva, poduzetništva i obrta, Centrom sa praćenje poslovanja energetskog sektora (CEI) i Agencijom za investicije i konkurentnost (AIK), po provedenoj analizi usklađenosti sa prostornim planovima, što je jedan od osnovnih uvjeta proglašenja projekta strateškim investicijskim projektom Republike Hrvatske, izdana su stručna mišljenja i ocjene o prihvatljivosti prijedloga strateških projekata.  </w:t>
      </w:r>
    </w:p>
    <w:p w:rsidR="00505632" w:rsidRDefault="00505632" w:rsidP="00505632">
      <w:r>
        <w:t xml:space="preserve">• Povjerenstvo za procjenu i utvrđivanje prijedloga strateških projekata u čijem sastavu je i MGIPU provelo je ocjenu prijedloga strateških projekata te su po prijedlogu navedenog Povjerenstva tijekom 2016. godine donesene Odluke o uvrštenju šesnaest (16) projekata na Listu strateških projekata. </w:t>
      </w:r>
    </w:p>
    <w:p w:rsidR="00505632" w:rsidRDefault="00505632" w:rsidP="00505632">
      <w:r>
        <w:t xml:space="preserve">• Za projekte koji su na Listi strateških projekata osnovane su operativne skupine za pripremu i provedbu strateških projekata koje na sastancima predlažu načine otklanjanja prepreka provedbi navedenog Zakona. </w:t>
      </w:r>
    </w:p>
    <w:p w:rsidR="00505632" w:rsidRDefault="00505632" w:rsidP="00505632">
      <w:r>
        <w:t>• Vlada Republike Hrvatske tijekom 2016. godine donijela je Odluku o proglašenju projekta strateškim investicijskim projektom Republike Hrvatske za dva (2) projekta (Hotel Park Rovinj i Autokamp Punta Nova ).</w:t>
      </w:r>
    </w:p>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Održavanje kontinuiteta riješenosti zaprimljenih predmeta</w:t>
            </w:r>
          </w:p>
        </w:tc>
        <w:tc>
          <w:tcPr>
            <w:tcW w:w="2551" w:type="dxa"/>
          </w:tcPr>
          <w:p w:rsidR="00505632" w:rsidRDefault="00505632" w:rsidP="00AD4E52">
            <w:pPr>
              <w:pStyle w:val="CellColumn"/>
              <w:jc w:val="left"/>
            </w:pPr>
            <w:r>
              <w:rPr>
                <w:rFonts w:cs="Times New Roman"/>
              </w:rPr>
              <w:t>U nadležnosti Ministarstva je izdavanje lokacijskih i građevinskih dozvola za građevine prema posebnom propisu</w:t>
            </w:r>
          </w:p>
        </w:tc>
        <w:tc>
          <w:tcPr>
            <w:tcW w:w="1020" w:type="dxa"/>
          </w:tcPr>
          <w:p w:rsidR="00505632" w:rsidRDefault="00505632" w:rsidP="00AD4E52">
            <w:pPr>
              <w:pStyle w:val="CellColumn"/>
              <w:jc w:val="right"/>
            </w:pPr>
            <w:r>
              <w:rPr>
                <w:rFonts w:cs="Times New Roman"/>
              </w:rPr>
              <w:t>dani</w:t>
            </w:r>
          </w:p>
        </w:tc>
        <w:tc>
          <w:tcPr>
            <w:tcW w:w="1020" w:type="dxa"/>
          </w:tcPr>
          <w:p w:rsidR="00505632" w:rsidRDefault="00505632" w:rsidP="00AD4E52">
            <w:pPr>
              <w:pStyle w:val="CellColumn"/>
              <w:jc w:val="right"/>
            </w:pPr>
            <w:r>
              <w:rPr>
                <w:rFonts w:cs="Times New Roman"/>
              </w:rPr>
              <w:t>317</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&lt; 70</w:t>
            </w:r>
          </w:p>
        </w:tc>
        <w:tc>
          <w:tcPr>
            <w:tcW w:w="1020" w:type="dxa"/>
          </w:tcPr>
          <w:p w:rsidR="00505632" w:rsidRDefault="00505632" w:rsidP="00AD4E52">
            <w:pPr>
              <w:pStyle w:val="CellColumn"/>
              <w:jc w:val="right"/>
            </w:pPr>
            <w:r>
              <w:rPr>
                <w:rFonts w:cs="Times New Roman"/>
              </w:rPr>
              <w:t>128</w:t>
            </w:r>
          </w:p>
        </w:tc>
      </w:tr>
    </w:tbl>
    <w:p w:rsidR="00505632" w:rsidRDefault="00505632" w:rsidP="00505632">
      <w:pPr>
        <w:jc w:val="left"/>
      </w:pPr>
    </w:p>
    <w:p w:rsidR="00505632" w:rsidRDefault="00505632" w:rsidP="00505632">
      <w:pPr>
        <w:pStyle w:val="Heading4"/>
      </w:pPr>
      <w:r>
        <w:t>A576007 ADMINISTRACIJA I UPRAVLJANJE MINISTARSTVOM</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A576007-ADMINISTRACIJA I UPRAVLJANJE MINISTARSTVOM</w:t>
            </w:r>
          </w:p>
        </w:tc>
        <w:tc>
          <w:tcPr>
            <w:tcW w:w="2041" w:type="dxa"/>
          </w:tcPr>
          <w:p w:rsidR="00505632" w:rsidRDefault="00505632" w:rsidP="00AD4E52">
            <w:pPr>
              <w:pStyle w:val="CellColumn"/>
              <w:jc w:val="right"/>
            </w:pPr>
            <w:r>
              <w:rPr>
                <w:rFonts w:cs="Times New Roman"/>
              </w:rPr>
              <w:t>57.386.014</w:t>
            </w:r>
          </w:p>
        </w:tc>
        <w:tc>
          <w:tcPr>
            <w:tcW w:w="2041" w:type="dxa"/>
          </w:tcPr>
          <w:p w:rsidR="00505632" w:rsidRDefault="00505632" w:rsidP="00AD4E52">
            <w:pPr>
              <w:pStyle w:val="CellColumn"/>
              <w:jc w:val="right"/>
            </w:pPr>
            <w:r>
              <w:rPr>
                <w:rFonts w:cs="Times New Roman"/>
              </w:rPr>
              <w:t>57.651.702</w:t>
            </w:r>
          </w:p>
        </w:tc>
        <w:tc>
          <w:tcPr>
            <w:tcW w:w="2041" w:type="dxa"/>
          </w:tcPr>
          <w:p w:rsidR="00505632" w:rsidRDefault="00505632" w:rsidP="00AD4E52">
            <w:pPr>
              <w:pStyle w:val="CellColumn"/>
              <w:jc w:val="right"/>
            </w:pPr>
            <w:r>
              <w:rPr>
                <w:rFonts w:cs="Times New Roman"/>
              </w:rPr>
              <w:t>56.344.667</w:t>
            </w:r>
          </w:p>
        </w:tc>
        <w:tc>
          <w:tcPr>
            <w:tcW w:w="1224" w:type="dxa"/>
          </w:tcPr>
          <w:p w:rsidR="00505632" w:rsidRDefault="00505632" w:rsidP="00AD4E52">
            <w:pPr>
              <w:pStyle w:val="CellColumn"/>
              <w:jc w:val="right"/>
            </w:pPr>
            <w:r>
              <w:rPr>
                <w:rFonts w:cs="Times New Roman"/>
              </w:rPr>
              <w:t>97,7</w:t>
            </w:r>
          </w:p>
        </w:tc>
        <w:tc>
          <w:tcPr>
            <w:tcW w:w="1224" w:type="dxa"/>
          </w:tcPr>
          <w:p w:rsidR="00505632" w:rsidRDefault="00505632" w:rsidP="00AD4E52">
            <w:pPr>
              <w:pStyle w:val="CellColumn"/>
              <w:jc w:val="right"/>
            </w:pPr>
            <w:r>
              <w:rPr>
                <w:rFonts w:cs="Times New Roman"/>
              </w:rPr>
              <w:t>98,2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plaćama u javnim službama( NN 27/01,39/09), Zakon o proračunu ( NN 87/08, 136/01, 15/15), Zakon o javnoj nabavi (NN90/91, 83/13, 143/13 i 13/14).</w:t>
      </w:r>
    </w:p>
    <w:p w:rsidR="00505632" w:rsidRDefault="00505632" w:rsidP="00505632">
      <w:pPr>
        <w:pStyle w:val="Heading8"/>
        <w:jc w:val="left"/>
      </w:pPr>
      <w:r>
        <w:t>Opis aktivnosti</w:t>
      </w:r>
    </w:p>
    <w:p w:rsidR="00505632" w:rsidRDefault="00505632" w:rsidP="00505632">
      <w:r>
        <w:t>Ministarstvo kontinuirano detaljno, financijski i stručno prati ostvarenje zacrtanih zadataka uključujući zapošljavanje, troškove djelatnika i njihovih materijalnih prava, doprinosa, službenih putovanja, stručnog usavršavanja, materijalnih troškova roba i usluga, redovne režije, naknade, premije osiguranja. Aktivnost se u potpunosti financira iz proračunskih prihoda. Temelj ostvarenja ove aktivnosti je pravovremeno sagledavanje potreba u svim segmentima tzv. „hladnog pogona“ čime se omogućava ažurno obavljanje zacrtanih zadataka.</w:t>
      </w:r>
    </w:p>
    <w:p w:rsidR="00505632" w:rsidRDefault="00505632" w:rsidP="00505632">
      <w:pPr>
        <w:pStyle w:val="Heading4"/>
      </w:pPr>
      <w:r>
        <w:t>A576150 DJELOVANJE NA UNAPREĐENJU PROSTORNOG UREĐENJA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A576150-DJELOVANJE NA UNAPREĐENJU PROSTORNOG UREĐENJA</w:t>
            </w:r>
          </w:p>
        </w:tc>
        <w:tc>
          <w:tcPr>
            <w:tcW w:w="2041" w:type="dxa"/>
          </w:tcPr>
          <w:p w:rsidR="00505632" w:rsidRDefault="00505632" w:rsidP="00AD4E52">
            <w:pPr>
              <w:pStyle w:val="CellColumn"/>
              <w:jc w:val="right"/>
            </w:pPr>
            <w:r>
              <w:rPr>
                <w:rFonts w:cs="Times New Roman"/>
              </w:rPr>
              <w:t>1.055.516</w:t>
            </w:r>
          </w:p>
        </w:tc>
        <w:tc>
          <w:tcPr>
            <w:tcW w:w="2041" w:type="dxa"/>
          </w:tcPr>
          <w:p w:rsidR="00505632" w:rsidRDefault="00505632" w:rsidP="00AD4E52">
            <w:pPr>
              <w:pStyle w:val="CellColumn"/>
              <w:jc w:val="right"/>
            </w:pPr>
            <w:r>
              <w:rPr>
                <w:rFonts w:cs="Times New Roman"/>
              </w:rPr>
              <w:t>3.399.000</w:t>
            </w:r>
          </w:p>
        </w:tc>
        <w:tc>
          <w:tcPr>
            <w:tcW w:w="2041" w:type="dxa"/>
          </w:tcPr>
          <w:p w:rsidR="00505632" w:rsidRDefault="00505632" w:rsidP="00AD4E52">
            <w:pPr>
              <w:pStyle w:val="CellColumn"/>
              <w:jc w:val="right"/>
            </w:pPr>
            <w:r>
              <w:rPr>
                <w:rFonts w:cs="Times New Roman"/>
              </w:rPr>
              <w:t>3.148.150</w:t>
            </w:r>
          </w:p>
        </w:tc>
        <w:tc>
          <w:tcPr>
            <w:tcW w:w="1224" w:type="dxa"/>
          </w:tcPr>
          <w:p w:rsidR="00505632" w:rsidRDefault="00505632" w:rsidP="00AD4E52">
            <w:pPr>
              <w:pStyle w:val="CellColumn"/>
              <w:jc w:val="right"/>
            </w:pPr>
            <w:r>
              <w:rPr>
                <w:rFonts w:cs="Times New Roman"/>
              </w:rPr>
              <w:t>92,6</w:t>
            </w:r>
          </w:p>
        </w:tc>
        <w:tc>
          <w:tcPr>
            <w:tcW w:w="1224" w:type="dxa"/>
          </w:tcPr>
          <w:p w:rsidR="00505632" w:rsidRDefault="00505632" w:rsidP="00AD4E52">
            <w:pPr>
              <w:pStyle w:val="CellColumn"/>
              <w:jc w:val="right"/>
            </w:pPr>
            <w:r>
              <w:rPr>
                <w:rFonts w:cs="Times New Roman"/>
              </w:rPr>
              <w:t>298,3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prostornom uređenju (NN 153/13), Strategija prostornog uređenja Republike Hrvatske, Program prostornog uređenja Republike Hrvatske</w:t>
      </w:r>
    </w:p>
    <w:p w:rsidR="00505632" w:rsidRDefault="00505632" w:rsidP="00505632">
      <w:pPr>
        <w:pStyle w:val="Heading8"/>
        <w:jc w:val="left"/>
      </w:pPr>
      <w:r>
        <w:t>Opis aktivnosti</w:t>
      </w:r>
    </w:p>
    <w:p w:rsidR="00505632" w:rsidRDefault="00505632" w:rsidP="00505632">
      <w:r>
        <w:t xml:space="preserve">Svrhovita organizacija namjena i korištenje prostora, zaštita i upravljanje prostorom  Republike Hrvatske kao osobito vrijednim, ograničenim nacionalnim dobrom ostvaruje se kontinuirano, pa tako i u periodu 2016. godine, kroz izradu i donošenje prostornih planova te njihovih izmjena i dopuna na svim razinama: državna regionalna lokalna razina, kao i kroz izradu Strategije prostornog razvoja Republike Hrvatske te pripreme za izradu Državnog plana prostornog razvoja. . </w:t>
      </w:r>
    </w:p>
    <w:p w:rsidR="00505632" w:rsidRDefault="00505632" w:rsidP="00505632">
      <w:r>
        <w:t xml:space="preserve">Kroz izdavanje suglasnosti na prostorne planove u ZOP-u kontinuirano se izvršavalo praćenje unapređenja prostornog razvoja kao i razvoja, upravljanja, zaštite obalnog područja od značaja za državu. </w:t>
      </w:r>
    </w:p>
    <w:p w:rsidR="00505632" w:rsidRDefault="00505632" w:rsidP="00505632">
      <w:r>
        <w:t xml:space="preserve">Kroz izdavanje suglasnosti za poslove prostornog uređenja kontinuirano se pratio cilj unapređenja kvalitete izrade prostornih planova. </w:t>
      </w:r>
    </w:p>
    <w:p w:rsidR="00505632" w:rsidRDefault="00505632" w:rsidP="00505632">
      <w:r>
        <w:t>Kroz sufinanciranje izrade i donošenja prostornih planova omogućeno je jedinicama lokalne samouprave da  brže i efikasnije ostvare ciljeve vezane na unapređenju prostornog razvoja svojih administrativnih jedinica kroz izradu prostornih planova i njihovih izmjena i dopuna.</w:t>
      </w:r>
    </w:p>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Održavanje kontinuiteta obrađenih dokumenata u odnosu na zahtjeve.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A576192 PRAĆENJE UPRAVNOG POSTUPANJA I DONOŠENJE RJEŠENJA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A576192-PRAĆENJE UPRAVNOG POSTUPANJA I DONOŠENJE RJEŠENJA</w:t>
            </w:r>
          </w:p>
        </w:tc>
        <w:tc>
          <w:tcPr>
            <w:tcW w:w="2041" w:type="dxa"/>
          </w:tcPr>
          <w:p w:rsidR="00505632" w:rsidRDefault="00505632" w:rsidP="00AD4E52">
            <w:pPr>
              <w:pStyle w:val="CellColumn"/>
              <w:jc w:val="right"/>
            </w:pPr>
            <w:r>
              <w:rPr>
                <w:rFonts w:cs="Times New Roman"/>
              </w:rPr>
              <w:t>300.000</w:t>
            </w:r>
          </w:p>
        </w:tc>
        <w:tc>
          <w:tcPr>
            <w:tcW w:w="2041" w:type="dxa"/>
          </w:tcPr>
          <w:p w:rsidR="00505632" w:rsidRDefault="00505632" w:rsidP="00AD4E52">
            <w:pPr>
              <w:pStyle w:val="CellColumn"/>
              <w:jc w:val="right"/>
            </w:pPr>
            <w:r>
              <w:rPr>
                <w:rFonts w:cs="Times New Roman"/>
              </w:rPr>
              <w:t>95.000</w:t>
            </w:r>
          </w:p>
        </w:tc>
        <w:tc>
          <w:tcPr>
            <w:tcW w:w="2041" w:type="dxa"/>
          </w:tcPr>
          <w:p w:rsidR="00505632" w:rsidRDefault="00505632" w:rsidP="00AD4E52">
            <w:pPr>
              <w:pStyle w:val="CellColumn"/>
              <w:jc w:val="right"/>
            </w:pPr>
            <w:r>
              <w:rPr>
                <w:rFonts w:cs="Times New Roman"/>
              </w:rPr>
              <w:t>84.621</w:t>
            </w:r>
          </w:p>
        </w:tc>
        <w:tc>
          <w:tcPr>
            <w:tcW w:w="1224" w:type="dxa"/>
          </w:tcPr>
          <w:p w:rsidR="00505632" w:rsidRDefault="00505632" w:rsidP="00AD4E52">
            <w:pPr>
              <w:pStyle w:val="CellColumn"/>
              <w:jc w:val="right"/>
            </w:pPr>
            <w:r>
              <w:rPr>
                <w:rFonts w:cs="Times New Roman"/>
              </w:rPr>
              <w:t>89,1</w:t>
            </w:r>
          </w:p>
        </w:tc>
        <w:tc>
          <w:tcPr>
            <w:tcW w:w="1224" w:type="dxa"/>
          </w:tcPr>
          <w:p w:rsidR="00505632" w:rsidRDefault="00505632" w:rsidP="00AD4E52">
            <w:pPr>
              <w:pStyle w:val="CellColumn"/>
              <w:jc w:val="right"/>
            </w:pPr>
            <w:r>
              <w:rPr>
                <w:rFonts w:cs="Times New Roman"/>
              </w:rPr>
              <w:t>28,2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prostornom uređenju i gradnji (NN 76/07., 38/09., 55/11., 90/11. i 50/12.), Zakon o prostornom uređenju (NN 153/13), Zakon o gradnji (NN153/13), Zakon o postupanju s nezakonito izgrađenim zgradama (NN 86/12 i 143/13) </w:t>
      </w:r>
    </w:p>
    <w:p w:rsidR="00505632" w:rsidRDefault="00505632" w:rsidP="00505632">
      <w:r>
        <w:t>Zakon o komunalnom gospodarstvu (NN 26/03. (pročišćeni tekst), 36/95, 70/97, 128/99, 57/00, 129/00, 59/01, 82/04,  178/04, 38/09, 79/09,  49/11, 144/12, 147/14).</w:t>
      </w:r>
    </w:p>
    <w:p w:rsidR="00505632" w:rsidRDefault="00505632" w:rsidP="00505632">
      <w:pPr>
        <w:pStyle w:val="Heading8"/>
        <w:jc w:val="left"/>
      </w:pPr>
      <w:r>
        <w:t>Opis aktivnosti</w:t>
      </w:r>
    </w:p>
    <w:p w:rsidR="00505632" w:rsidRDefault="00505632" w:rsidP="00505632">
      <w:r>
        <w:t>Izrada rješenja povodom žalbi na rješenja upravnih tijela jedinica lokalne i područne (regionalne) samouprave i provođenje upravnog nadzora. U 2016. godini je u Ministarstvu zaprimljeno 4699 žalbi na rješenja prvostupanjskih tijela, a doneseno 4915 rješenja po žalbama. U Službi za nadzor je u 2016. godini zaprimljeno 404 predmeta, riješeno je 474 predmeta, a provedeno je i 16 nadzora  na terenu.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Učinkovita provedba upravnih postupaka i brže izdavanje akata</w:t>
            </w:r>
          </w:p>
        </w:tc>
        <w:tc>
          <w:tcPr>
            <w:tcW w:w="2551" w:type="dxa"/>
          </w:tcPr>
          <w:p w:rsidR="00505632" w:rsidRDefault="00505632" w:rsidP="00AD4E52">
            <w:pPr>
              <w:pStyle w:val="CellColumn"/>
              <w:jc w:val="left"/>
            </w:pPr>
            <w:r>
              <w:rPr>
                <w:rFonts w:cs="Times New Roman"/>
              </w:rPr>
              <w:t>Unaprijediti zakonitost izrade, donošenja i provođenja akata prostornog uređenja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93</w:t>
            </w:r>
          </w:p>
        </w:tc>
        <w:tc>
          <w:tcPr>
            <w:tcW w:w="1020" w:type="dxa"/>
          </w:tcPr>
          <w:p w:rsidR="00505632" w:rsidRDefault="00505632" w:rsidP="00AD4E52">
            <w:pPr>
              <w:pStyle w:val="CellColumn"/>
              <w:jc w:val="right"/>
            </w:pPr>
            <w:r>
              <w:rPr>
                <w:rFonts w:cs="Times New Roman"/>
              </w:rPr>
              <w:t>98</w:t>
            </w:r>
          </w:p>
        </w:tc>
      </w:tr>
    </w:tbl>
    <w:p w:rsidR="00505632" w:rsidRDefault="00505632" w:rsidP="00505632">
      <w:pPr>
        <w:jc w:val="left"/>
      </w:pPr>
    </w:p>
    <w:p w:rsidR="00505632" w:rsidRDefault="00505632" w:rsidP="00505632">
      <w:pPr>
        <w:pStyle w:val="Heading4"/>
      </w:pPr>
      <w:r>
        <w:t>A576199 PROSTORNO UREĐENJE PODRUČJA NASELJENIH ROMIMA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A576199-PROSTORNO UREĐENJE PODRUČJA NASELJENIH ROMIMA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100.000</w:t>
            </w:r>
          </w:p>
        </w:tc>
        <w:tc>
          <w:tcPr>
            <w:tcW w:w="2041" w:type="dxa"/>
          </w:tcPr>
          <w:p w:rsidR="00505632" w:rsidRDefault="00505632" w:rsidP="00AD4E52">
            <w:pPr>
              <w:pStyle w:val="CellColumn"/>
              <w:jc w:val="right"/>
            </w:pPr>
            <w:r>
              <w:rPr>
                <w:rFonts w:cs="Times New Roman"/>
              </w:rPr>
              <w:t>100.000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pStyle w:val="Heading8"/>
        <w:jc w:val="left"/>
        <w:rPr>
          <w:b w:val="0"/>
        </w:rPr>
      </w:pPr>
    </w:p>
    <w:p w:rsidR="00505632" w:rsidRDefault="00505632" w:rsidP="00505632">
      <w:pPr>
        <w:pStyle w:val="Heading8"/>
        <w:jc w:val="left"/>
      </w:pPr>
      <w:r>
        <w:t>Opis aktivnosti</w:t>
      </w:r>
    </w:p>
    <w:p w:rsidR="00505632" w:rsidRDefault="00505632" w:rsidP="00505632">
      <w:r>
        <w:t>Državnim proračunom za 2016. godinu, za aktivnosti A576199 Prostorno uređenje područja naseljenih Romima, predviđena su sredstva u iznosu od 100.000,00 kuna, koja su u cijelosti dodijeljena Općini Vrpolje, Brodsko-posavska županija u svrhu uređenja Romskog naselja Perkovačka i Općini Pribislavec, Međimurska županija u svrhu komunalnog uređenja Romskog naselja Pribislavec.</w:t>
      </w:r>
    </w:p>
    <w:p w:rsidR="00505632" w:rsidRDefault="00505632" w:rsidP="00505632">
      <w:pPr>
        <w:pStyle w:val="Heading4"/>
      </w:pPr>
      <w:r>
        <w:t>A576270 EUROPSKA TERITORIJALNA SURADNJA - MEĐUREGIONALNI PROGRAM ESPON</w:t>
      </w:r>
    </w:p>
    <w:tbl>
      <w:tblPr>
        <w:tblStyle w:val="StilTablice"/>
        <w:tblW w:w="10206" w:type="dxa"/>
        <w:jc w:val="center"/>
        <w:tblLook w:val="04A0" w:firstRow="1" w:lastRow="0" w:firstColumn="1" w:lastColumn="0" w:noHBand="0" w:noVBand="1"/>
      </w:tblPr>
      <w:tblGrid>
        <w:gridCol w:w="1936"/>
        <w:gridCol w:w="1952"/>
        <w:gridCol w:w="1947"/>
        <w:gridCol w:w="1953"/>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A576270-EUROPSKA TERITORIJALNA SURADNJA - MEĐUREGIONALNI PROGRAM ESPON</w:t>
            </w:r>
          </w:p>
        </w:tc>
        <w:tc>
          <w:tcPr>
            <w:tcW w:w="2041" w:type="dxa"/>
          </w:tcPr>
          <w:p w:rsidR="00505632" w:rsidRDefault="00505632" w:rsidP="00AD4E52">
            <w:pPr>
              <w:pStyle w:val="CellColumn"/>
              <w:jc w:val="right"/>
            </w:pPr>
            <w:r>
              <w:rPr>
                <w:rFonts w:cs="Times New Roman"/>
              </w:rPr>
              <w:t>462.550</w:t>
            </w:r>
          </w:p>
        </w:tc>
        <w:tc>
          <w:tcPr>
            <w:tcW w:w="2041" w:type="dxa"/>
          </w:tcPr>
          <w:p w:rsidR="00505632" w:rsidRDefault="00505632" w:rsidP="00AD4E52">
            <w:pPr>
              <w:pStyle w:val="CellColumn"/>
              <w:jc w:val="right"/>
            </w:pPr>
            <w:r>
              <w:rPr>
                <w:rFonts w:cs="Times New Roman"/>
              </w:rPr>
              <w:t>260.000</w:t>
            </w:r>
          </w:p>
        </w:tc>
        <w:tc>
          <w:tcPr>
            <w:tcW w:w="2041" w:type="dxa"/>
          </w:tcPr>
          <w:p w:rsidR="00505632" w:rsidRDefault="00505632" w:rsidP="00AD4E52">
            <w:pPr>
              <w:pStyle w:val="CellColumn"/>
              <w:jc w:val="right"/>
            </w:pPr>
            <w:r>
              <w:rPr>
                <w:rFonts w:cs="Times New Roman"/>
              </w:rPr>
              <w:t>245.867</w:t>
            </w:r>
          </w:p>
        </w:tc>
        <w:tc>
          <w:tcPr>
            <w:tcW w:w="1224" w:type="dxa"/>
          </w:tcPr>
          <w:p w:rsidR="00505632" w:rsidRDefault="00505632" w:rsidP="00AD4E52">
            <w:pPr>
              <w:pStyle w:val="CellColumn"/>
              <w:jc w:val="right"/>
            </w:pPr>
            <w:r>
              <w:rPr>
                <w:rFonts w:cs="Times New Roman"/>
              </w:rPr>
              <w:t>94,6</w:t>
            </w:r>
          </w:p>
        </w:tc>
        <w:tc>
          <w:tcPr>
            <w:tcW w:w="1224" w:type="dxa"/>
          </w:tcPr>
          <w:p w:rsidR="00505632" w:rsidRDefault="00505632" w:rsidP="00AD4E52">
            <w:pPr>
              <w:pStyle w:val="CellColumn"/>
              <w:jc w:val="right"/>
            </w:pPr>
            <w:r>
              <w:rPr>
                <w:rFonts w:cs="Times New Roman"/>
              </w:rPr>
              <w:t>53,2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Vladi Republike Hrvatske (NN 150/11), Program međuregionalne suradnje EU.</w:t>
      </w:r>
    </w:p>
    <w:p w:rsidR="00505632" w:rsidRDefault="00505632" w:rsidP="00505632">
      <w:pPr>
        <w:pStyle w:val="Heading8"/>
        <w:jc w:val="left"/>
      </w:pPr>
      <w:r>
        <w:t>Opis aktivnosti</w:t>
      </w:r>
    </w:p>
    <w:p w:rsidR="00505632" w:rsidRDefault="00505632" w:rsidP="00505632">
      <w:r>
        <w:t xml:space="preserve">Ministarstvo graditeljstva i prostornoga uređenja je temeljem Uredbe o tijelima u sustavima upravljanja i kontrole za provedbu programa kojima se podržava cilj "Europska teritorijalna suradnja" u financijskom razdoblju 2014. - 2020. (NN 120/2014) imenovano Nacionalnim tijelom za provedbu programa međuregionalne suradnje ESPON. </w:t>
      </w:r>
    </w:p>
    <w:p w:rsidR="00505632" w:rsidRDefault="00505632" w:rsidP="00505632">
      <w:r>
        <w:t xml:space="preserve">Cilj programa ESPON 2020 je prikupljanjem, diseminacijom i promocijom teritorijalnih dokaza, koji obuhvaćaju čitav teritorij država sudionika. Tijekom 2016. u radu Odbora za praćenje programa sudjelovale su nacionalne predstavnice iz MGIPU, a Hrvatski zavod za prostorni razvoj obavljao je poslove nacionalne kontakt točke. </w:t>
      </w:r>
    </w:p>
    <w:p w:rsidR="00505632" w:rsidRDefault="00505632" w:rsidP="00505632">
      <w:r>
        <w:t xml:space="preserve">Krajem 2016. program ESPON je objavio javni natječaj za nabavu usluge izrade drugih sedam projekata za primijenjena istraživanja (Applied Research Projects), te je otvoren poziv za dostavu tema za Targeted Analysis, a za tri projekta Targeted Analysis su u postupku javne nabave odbrani izrađivači. </w:t>
      </w:r>
    </w:p>
    <w:p w:rsidR="00505632" w:rsidRDefault="00505632" w:rsidP="00505632">
      <w:r>
        <w:t>Programom suradnje je definirano da je godišnji doprinos koji Republika Hrvatska uplaćuje u proračun Programa 32.415,79 €/godišnje što uključuje i uplatu Mehanizma osiguranja od odgovornosti. Tijekom 2016. uplaćen je ex-ante za 2016. godinu.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Provedba Operativnog programa ESPON, 2014.-2020.</w:t>
            </w:r>
          </w:p>
        </w:tc>
        <w:tc>
          <w:tcPr>
            <w:tcW w:w="2551" w:type="dxa"/>
          </w:tcPr>
          <w:p w:rsidR="00505632" w:rsidRDefault="00505632" w:rsidP="00AD4E52">
            <w:pPr>
              <w:pStyle w:val="CellColumn"/>
              <w:jc w:val="left"/>
            </w:pPr>
            <w:r>
              <w:rPr>
                <w:rFonts w:cs="Times New Roman"/>
              </w:rPr>
              <w:t>Broj programa koji su počeli s provedbom govori o uključenosti RH u programe međuregionalne suradnje kojima se jača sustav prostornog uređenja u RH</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Odluka EK o odobrenju programa</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7</w:t>
            </w:r>
          </w:p>
        </w:tc>
      </w:tr>
    </w:tbl>
    <w:p w:rsidR="00505632" w:rsidRDefault="00505632" w:rsidP="00505632">
      <w:pPr>
        <w:jc w:val="left"/>
      </w:pPr>
    </w:p>
    <w:p w:rsidR="00505632" w:rsidRDefault="00505632" w:rsidP="00505632">
      <w:pPr>
        <w:pStyle w:val="Heading4"/>
      </w:pPr>
      <w:r>
        <w:t>T538068 SANACIJA ŠTETA OD POPLAVA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T538068-SANACIJA ŠTETA OD POPLAVA</w:t>
            </w:r>
          </w:p>
        </w:tc>
        <w:tc>
          <w:tcPr>
            <w:tcW w:w="2041" w:type="dxa"/>
          </w:tcPr>
          <w:p w:rsidR="00505632" w:rsidRDefault="00505632" w:rsidP="00AD4E52">
            <w:pPr>
              <w:pStyle w:val="CellColumn"/>
              <w:jc w:val="right"/>
            </w:pPr>
            <w:r>
              <w:rPr>
                <w:rFonts w:cs="Times New Roman"/>
              </w:rPr>
              <w:t>17.056.906</w:t>
            </w:r>
          </w:p>
        </w:tc>
        <w:tc>
          <w:tcPr>
            <w:tcW w:w="2041" w:type="dxa"/>
          </w:tcPr>
          <w:p w:rsidR="00505632" w:rsidRDefault="00505632" w:rsidP="00AD4E52">
            <w:pPr>
              <w:pStyle w:val="CellColumn"/>
              <w:jc w:val="right"/>
            </w:pPr>
            <w:r>
              <w:rPr>
                <w:rFonts w:cs="Times New Roman"/>
              </w:rPr>
              <w:t>530.000</w:t>
            </w:r>
          </w:p>
        </w:tc>
        <w:tc>
          <w:tcPr>
            <w:tcW w:w="2041" w:type="dxa"/>
          </w:tcPr>
          <w:p w:rsidR="00505632" w:rsidRDefault="00505632" w:rsidP="00AD4E52">
            <w:pPr>
              <w:pStyle w:val="CellColumn"/>
              <w:jc w:val="right"/>
            </w:pPr>
            <w:r>
              <w:rPr>
                <w:rFonts w:cs="Times New Roman"/>
              </w:rPr>
              <w:t>785.055</w:t>
            </w:r>
          </w:p>
        </w:tc>
        <w:tc>
          <w:tcPr>
            <w:tcW w:w="1224" w:type="dxa"/>
          </w:tcPr>
          <w:p w:rsidR="00505632" w:rsidRDefault="00505632" w:rsidP="00AD4E52">
            <w:pPr>
              <w:pStyle w:val="CellColumn"/>
              <w:jc w:val="right"/>
            </w:pPr>
            <w:r>
              <w:rPr>
                <w:rFonts w:cs="Times New Roman"/>
              </w:rPr>
              <w:t>148,1</w:t>
            </w:r>
          </w:p>
        </w:tc>
        <w:tc>
          <w:tcPr>
            <w:tcW w:w="1224" w:type="dxa"/>
          </w:tcPr>
          <w:p w:rsidR="00505632" w:rsidRDefault="00505632" w:rsidP="00AD4E52">
            <w:pPr>
              <w:pStyle w:val="CellColumn"/>
              <w:jc w:val="right"/>
            </w:pPr>
            <w:r>
              <w:rPr>
                <w:rFonts w:cs="Times New Roman"/>
              </w:rPr>
              <w:t>4,6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saniranju posljedica katastrofe na području Vukovarsko-srijemske županije (NN 77/14);  Odluka o donošenju Programa obnove i saniranja posljedica katastrofe na području Vukovarsko-srijemske županije - obnova zgrada (NN 82/14).</w:t>
      </w:r>
    </w:p>
    <w:p w:rsidR="00505632" w:rsidRDefault="00505632" w:rsidP="00505632">
      <w:pPr>
        <w:pStyle w:val="Heading8"/>
        <w:jc w:val="left"/>
      </w:pPr>
      <w:r>
        <w:t>Opis aktivnosti</w:t>
      </w:r>
    </w:p>
    <w:p w:rsidR="00505632" w:rsidRDefault="00505632" w:rsidP="00505632">
      <w:r>
        <w:t xml:space="preserve">Zakonom o saniranju posljedica katastrofe na području Vukovarsko-srijemske županije (NN 86/12, 143/13) predviđene su mjere obnove zgrada koje se odnose na obnovu postojećih zgrada javne namjene, gospodarskih zgrada i stambenih zgrada te nezakonito izgrađenih zgrada javne namjene, gospodarskih zgrada i stambenih zgrada, za čije je ozakonjenje podnesen zahtjev u roku propisanom posebnim zakonom, na području Vukovarsko-srijemske županije koje su oštećene ili uništene poplavom. </w:t>
      </w:r>
    </w:p>
    <w:p w:rsidR="00505632" w:rsidRDefault="00505632" w:rsidP="00505632">
      <w:r>
        <w:t>Unutar aktivnosti Sanacija šteta od poplava isplaćena su sredstva u svrhu saniranja posljedica katastrofe bilo za obnovu zgrada koja se provodi njihovim popravkom, isplatom novčanih sredstava umjesto popravka ili uklanjanjem zgrada koje nisu sigurne za boravak i izgradnjom novih zgrada.</w:t>
      </w:r>
    </w:p>
    <w:p w:rsidR="00505632" w:rsidRDefault="00505632" w:rsidP="00505632">
      <w:pPr>
        <w:pStyle w:val="Heading4"/>
      </w:pPr>
      <w:r>
        <w:t>T538072 OPERATIVNI PROGRAM KONKURENTNOST I KOHEZIJA 2014.-2020.</w:t>
      </w:r>
    </w:p>
    <w:tbl>
      <w:tblPr>
        <w:tblStyle w:val="StilTablice"/>
        <w:tblW w:w="10206" w:type="dxa"/>
        <w:jc w:val="center"/>
        <w:tblLook w:val="04A0" w:firstRow="1" w:lastRow="0" w:firstColumn="1" w:lastColumn="0" w:noHBand="0" w:noVBand="1"/>
      </w:tblPr>
      <w:tblGrid>
        <w:gridCol w:w="1881"/>
        <w:gridCol w:w="1965"/>
        <w:gridCol w:w="1973"/>
        <w:gridCol w:w="1966"/>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T538072-OPERATIVNI PROGRAM KONKURENTNOST I KOHEZIJA 2014.-2020.</w:t>
            </w:r>
          </w:p>
        </w:tc>
        <w:tc>
          <w:tcPr>
            <w:tcW w:w="2041" w:type="dxa"/>
          </w:tcPr>
          <w:p w:rsidR="00505632" w:rsidRDefault="00505632" w:rsidP="00AD4E52">
            <w:pPr>
              <w:pStyle w:val="CellColumn"/>
              <w:jc w:val="right"/>
            </w:pPr>
            <w:r>
              <w:rPr>
                <w:rFonts w:cs="Times New Roman"/>
              </w:rPr>
              <w:t>1.083.737</w:t>
            </w:r>
          </w:p>
        </w:tc>
        <w:tc>
          <w:tcPr>
            <w:tcW w:w="2041" w:type="dxa"/>
          </w:tcPr>
          <w:p w:rsidR="00505632" w:rsidRDefault="00505632" w:rsidP="00AD4E52">
            <w:pPr>
              <w:pStyle w:val="CellColumn"/>
              <w:jc w:val="right"/>
            </w:pPr>
            <w:r>
              <w:rPr>
                <w:rFonts w:cs="Times New Roman"/>
              </w:rPr>
              <w:t>22.044.500</w:t>
            </w:r>
          </w:p>
        </w:tc>
        <w:tc>
          <w:tcPr>
            <w:tcW w:w="2041" w:type="dxa"/>
          </w:tcPr>
          <w:p w:rsidR="00505632" w:rsidRDefault="00505632" w:rsidP="00AD4E52">
            <w:pPr>
              <w:pStyle w:val="CellColumn"/>
              <w:jc w:val="right"/>
            </w:pPr>
            <w:r>
              <w:rPr>
                <w:rFonts w:cs="Times New Roman"/>
              </w:rPr>
              <w:t>7.662.112</w:t>
            </w:r>
          </w:p>
        </w:tc>
        <w:tc>
          <w:tcPr>
            <w:tcW w:w="1224" w:type="dxa"/>
          </w:tcPr>
          <w:p w:rsidR="00505632" w:rsidRDefault="00505632" w:rsidP="00AD4E52">
            <w:pPr>
              <w:pStyle w:val="CellColumn"/>
              <w:jc w:val="right"/>
            </w:pPr>
            <w:r>
              <w:rPr>
                <w:rFonts w:cs="Times New Roman"/>
              </w:rPr>
              <w:t>34,8</w:t>
            </w:r>
          </w:p>
        </w:tc>
        <w:tc>
          <w:tcPr>
            <w:tcW w:w="1224" w:type="dxa"/>
          </w:tcPr>
          <w:p w:rsidR="00505632" w:rsidRDefault="00505632" w:rsidP="00AD4E52">
            <w:pPr>
              <w:pStyle w:val="CellColumn"/>
              <w:jc w:val="right"/>
            </w:pPr>
            <w:r>
              <w:rPr>
                <w:rFonts w:cs="Times New Roman"/>
              </w:rPr>
              <w:t>707,0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Institucionalni okvir za korištenje Europskih strukturnih i investicijskih fondova u financijskom razdoblju 2014.-2020. utvrđen je Zakonom o uspostavi institucionalnog okvira za provedbu europskih strukturnih i investicijskih fondova u Republici Hrvatskoj u financijskom razdoblju 2014.-2020. (NN 92/14) te Uredbom o tijelima u sustavima upravljanja i kontrole korištenja Europskog socijalnog fonda, Europskog fonda za regionalni razvoj i Kohezijskog fonda, u vezi s ciljem „Ulaganje za rast i radna mjesta” (NN 107/14, 23/15, 129/15, 15/17, 18/17). </w:t>
      </w:r>
    </w:p>
    <w:p w:rsidR="00505632" w:rsidRDefault="00505632" w:rsidP="00505632">
      <w:r>
        <w:t>U okviru Operativnog programa „Konkurentnost i kohezija 2014.-2020.“, prioritetne osi 4 „Promicanje energetske učinkovitosti i obnovljivih izvora energije“, investicijskog prioriteta 4c „Podupiranje energetske učinkovitosti, pametnog upravljanja energijom i korištenja OIE u javnoj infrastrukturi, uključujući javne zgrade, te u stambenom sektoru“, Ministarstvo graditeljstva i prostornoga uređenja je Posredničko tijelo razine 1 za specifične ciljeve 4c1 „Smanjenje potrošnje energije u zgradama javnog sektora“ i 4c2 „Smanjenje potrošnje energije u stambenim zgradama (u višestambenim zgradama i obiteljskim kućama)“.</w:t>
      </w:r>
    </w:p>
    <w:p w:rsidR="00505632" w:rsidRDefault="00505632" w:rsidP="00505632">
      <w:pPr>
        <w:pStyle w:val="Heading8"/>
        <w:jc w:val="left"/>
      </w:pPr>
      <w:r>
        <w:t>Opis aktivnosti</w:t>
      </w:r>
    </w:p>
    <w:p w:rsidR="00505632" w:rsidRDefault="00505632" w:rsidP="00505632">
      <w:r>
        <w:t xml:space="preserve">Ministarstvo je u 2015. raspisalo dva Poziva za dostavu projektnih prijedloga (u daljnjem tekstu: poziv) u okviru specifičnog cilja 4c1 Smanjenje potrošnje energije u zgradama javnog sektora kao dva pilot projekta za izradu projektne dokumentacije te energetsku obnovu zgrada i korištenje obnovljivih izvora energije u javnim ustanovama koje obavljaju djelatnost odgoja i obrazovanja. Sufinanciranje za pilot projekt energetske obnove zgrada osigurava se 30% iz Europskog fonda za regionalni razvoj (EFRR),  kao sredstva EU koja se vode u proračunu Ministarstva (PT1),  te iz nacionalnih sredstava Fonda za zaštitu okoliša i energetsku učinkovitost ((FZOEU), dok se izrada projektne dokumentacije sufinancira 85% iz EFRR-a, a preostali dio su nacionalna sredstva FZOEU. </w:t>
      </w:r>
    </w:p>
    <w:p w:rsidR="00505632" w:rsidRDefault="00505632" w:rsidP="00505632">
      <w:r>
        <w:t xml:space="preserve">Ugovorena su 94 projekta, ukupne vrijednosti bespovratnih sredstava u iznosu 49.829.878,95 kn, od čega 22.439.655,47 kn iz EFRR-a i 27.390.223,48 kn nacionalnih sredstava FZOEU. U 2016. izvršena su plaćanja po navedenim pozivima u iznosu od 3.679.905,09 kn.  </w:t>
      </w:r>
    </w:p>
    <w:p w:rsidR="00505632" w:rsidRDefault="00505632" w:rsidP="00505632">
      <w:r>
        <w:t xml:space="preserve">Ministarstvo je krajem 2016. godine objavilo Poziv na dostavu projektnih prijedloga „Energetska obnova zgrada i korištenje OIE u javnim ustanovama koje obavljaju djelatnost odgoja i obrazovanja“ kojim će se dodjeljivati bespovratna sredstva putem otvorenog postupka u modalitetu višekratnih privremenih poziva. Prihvatljivi prijavitelji su jedinice lokalne ili područne (regionalne) samouprave koje su vlasnici zgrada ili osnivači javnih ustanova u kojima javne ustanove obavljaju djelatnost odgoja i obrazovanja te javne ustanove koje obavljaju djelatnost odgoja i obrazovanja. Ukupan raspoloživi iznos bespovratnih sredstava osiguran iz EFRR-a za dodjelu u okviru ovog Poziva je 152 milijuna kuna. </w:t>
      </w:r>
    </w:p>
    <w:p w:rsidR="00505632" w:rsidRDefault="00505632" w:rsidP="00505632">
      <w:r>
        <w:t xml:space="preserve">Također krajem 2016. godine, Ministarstvo je objavilo Poziv na dostavu projektnih prijedloga „Energetska obnova višestambenih zgrada“ kojim će se dodjeljivati bespovratna sredstva putem otvorenog postupka u modalitetu višekratnih privremenih poziva. Prihvatljivi prijavitelji su ovlašteni predstavnik suvlasnika zgrade ili upravitelj zgrade, u ime i za račun suvlasnika višestambene zgrade. Ukupan raspoloživi iznos bespovratnih sredstava osiguran iz EFRR-a za dodjelu u okviru ovog Poziva je 152 milijuna kuna. </w:t>
      </w:r>
    </w:p>
    <w:p w:rsidR="00505632" w:rsidRDefault="00505632" w:rsidP="00505632">
      <w:r>
        <w:t>Objava poziva na dodjelu bespovratnih sredstava za pripremu i provedbu energetske obnove i korištenje obnovljivih izvora energije u obiteljskim kućama ovisi o izmjeni Uredbe (EU) br. 1303/2013 Europskog parlamenta i Vijeća od 17. prosinca 2013. godine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 koja ne predviđa mogućnost da fizička osoba bude korisnik sredstava Europskog fonda za regionalni razvoj (EFRR), iz kojeg  bi se trebala osigurati sredstva za energetsku obnovu obiteljskih kuća. Izmjena navedene Uredbe od strane Europskog Parlamenta očekuje se krajem 2017. godine te će po izmjeni iste Ministarstvo objaviti navedeni poziv.</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042"/>
        <w:gridCol w:w="2041"/>
        <w:gridCol w:w="921"/>
        <w:gridCol w:w="978"/>
        <w:gridCol w:w="2264"/>
        <w:gridCol w:w="978"/>
        <w:gridCol w:w="982"/>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pripremljenih postupaka dodjele za energetsku obnovu zgrada javnog sektora sredstvima ESI fondova</w:t>
            </w:r>
          </w:p>
        </w:tc>
        <w:tc>
          <w:tcPr>
            <w:tcW w:w="2551" w:type="dxa"/>
          </w:tcPr>
          <w:p w:rsidR="00505632" w:rsidRDefault="00505632" w:rsidP="00AD4E52">
            <w:pPr>
              <w:pStyle w:val="CellColumn"/>
              <w:jc w:val="left"/>
            </w:pPr>
            <w:r>
              <w:rPr>
                <w:rFonts w:cs="Times New Roman"/>
              </w:rPr>
              <w:t>Definira se kao broj pripremljenih postupaka dodjele za energetsku obnovu zgrada javnog sektora sredstvima ESI fondova u 2016.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Integrirani informacijski sustav za upravljanje europskim strukturnim i investicijskim fondovima u razdoblju od 2014. do 2020. (ESIF MIS 2014-2020), mrežne stranice ESI fondova www.strukturnifondovi.hr, mrežne stranice Ministarstva graditeljstva i prostornoga uređenja www.mgipu.hr</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Broj pripremljenih postupaka dodjele za energetsku obnovu obiteljskih kuća sredstvima ESI fondova</w:t>
            </w:r>
          </w:p>
        </w:tc>
        <w:tc>
          <w:tcPr>
            <w:tcW w:w="2551" w:type="dxa"/>
          </w:tcPr>
          <w:p w:rsidR="00505632" w:rsidRDefault="00505632" w:rsidP="00AD4E52">
            <w:pPr>
              <w:pStyle w:val="CellColumn"/>
              <w:jc w:val="left"/>
            </w:pPr>
            <w:r>
              <w:rPr>
                <w:rFonts w:cs="Times New Roman"/>
              </w:rPr>
              <w:t>Definira se kao broj pripremljenih postupaka dodjele za energetsku obnovu obiteljskih kuća sredstvima ESI fondova u 2016.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Integrirani informacijski sustav za upravljanje europskim strukturnim i investicijskim fondovima u razdoblju od 2014. do 2020. (ESIF MIS 2014-2020), mrežne stranice ESI fondova www.strukturnifondovi.hr, mrežne stranice Ministarstva graditeljstva i prostornoga uređenja www.mgipu.hr</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Broj pripremljenih postupaka dodjele za energetsku obnovu višestambenih zgrada sredstvima ESI fondova</w:t>
            </w:r>
          </w:p>
        </w:tc>
        <w:tc>
          <w:tcPr>
            <w:tcW w:w="2551" w:type="dxa"/>
          </w:tcPr>
          <w:p w:rsidR="00505632" w:rsidRDefault="00505632" w:rsidP="00AD4E52">
            <w:pPr>
              <w:pStyle w:val="CellColumn"/>
              <w:jc w:val="left"/>
            </w:pPr>
            <w:r>
              <w:rPr>
                <w:rFonts w:cs="Times New Roman"/>
              </w:rPr>
              <w:t>Definira se kao broj pripremljenih postupaka dodjele za energetsku obnovu višestambenih zgrada sredstvima ESI fondova u 2016.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Integrirani informacijski sustav za upravljanje europskim strukturnim i investicijskim fondovima u razdoblju od 2014. do 2020. (ESIF MIS 2014-2020), mrežne stranice ESI fondova www.strukturnifondovi.hr, mrežne stranice Ministarstva graditeljstva i prostornoga uređenja www.mgipu.hr</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3"/>
      </w:pPr>
      <w:r>
        <w:rPr>
          <w:rFonts w:cs="Times New Roman"/>
        </w:rPr>
        <w:t>3502 REGULATIVA I NADZOR U GRADITELJSTVU</w:t>
      </w:r>
    </w:p>
    <w:tbl>
      <w:tblPr>
        <w:tblStyle w:val="StilTablice"/>
        <w:tblW w:w="10206" w:type="dxa"/>
        <w:jc w:val="center"/>
        <w:tblLook w:val="04A0" w:firstRow="1" w:lastRow="0" w:firstColumn="1" w:lastColumn="0" w:noHBand="0" w:noVBand="1"/>
      </w:tblPr>
      <w:tblGrid>
        <w:gridCol w:w="1714"/>
        <w:gridCol w:w="2017"/>
        <w:gridCol w:w="2018"/>
        <w:gridCol w:w="2018"/>
        <w:gridCol w:w="1218"/>
        <w:gridCol w:w="122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3502-REGULATIVA I NADZOR U GRADITELJSTVU</w:t>
            </w:r>
          </w:p>
        </w:tc>
        <w:tc>
          <w:tcPr>
            <w:tcW w:w="2041" w:type="dxa"/>
          </w:tcPr>
          <w:p w:rsidR="00505632" w:rsidRDefault="00505632" w:rsidP="00AD4E52">
            <w:pPr>
              <w:pStyle w:val="CellColumn"/>
              <w:jc w:val="right"/>
            </w:pPr>
            <w:r>
              <w:rPr>
                <w:rFonts w:cs="Times New Roman"/>
              </w:rPr>
              <w:t>11.649.106</w:t>
            </w:r>
          </w:p>
        </w:tc>
        <w:tc>
          <w:tcPr>
            <w:tcW w:w="2041" w:type="dxa"/>
          </w:tcPr>
          <w:p w:rsidR="00505632" w:rsidRDefault="00505632" w:rsidP="00AD4E52">
            <w:pPr>
              <w:pStyle w:val="CellColumn"/>
              <w:jc w:val="right"/>
            </w:pPr>
            <w:r>
              <w:rPr>
                <w:rFonts w:cs="Times New Roman"/>
              </w:rPr>
              <w:t>47.051.400</w:t>
            </w:r>
          </w:p>
        </w:tc>
        <w:tc>
          <w:tcPr>
            <w:tcW w:w="2041" w:type="dxa"/>
          </w:tcPr>
          <w:p w:rsidR="00505632" w:rsidRDefault="00505632" w:rsidP="00AD4E52">
            <w:pPr>
              <w:pStyle w:val="CellColumn"/>
              <w:jc w:val="right"/>
            </w:pPr>
            <w:r>
              <w:rPr>
                <w:rFonts w:cs="Times New Roman"/>
              </w:rPr>
              <w:t>35.138.409</w:t>
            </w:r>
          </w:p>
        </w:tc>
        <w:tc>
          <w:tcPr>
            <w:tcW w:w="1224" w:type="dxa"/>
          </w:tcPr>
          <w:p w:rsidR="00505632" w:rsidRDefault="00505632" w:rsidP="00AD4E52">
            <w:pPr>
              <w:pStyle w:val="CellColumn"/>
              <w:jc w:val="right"/>
            </w:pPr>
            <w:r>
              <w:rPr>
                <w:rFonts w:cs="Times New Roman"/>
              </w:rPr>
              <w:t>74,7</w:t>
            </w:r>
          </w:p>
        </w:tc>
        <w:tc>
          <w:tcPr>
            <w:tcW w:w="1224" w:type="dxa"/>
          </w:tcPr>
          <w:p w:rsidR="00505632" w:rsidRDefault="00505632" w:rsidP="00AD4E52">
            <w:pPr>
              <w:pStyle w:val="CellColumn"/>
              <w:jc w:val="right"/>
            </w:pPr>
            <w:r>
              <w:rPr>
                <w:rFonts w:cs="Times New Roman"/>
              </w:rPr>
              <w:t>301,6</w:t>
            </w:r>
          </w:p>
        </w:tc>
      </w:tr>
    </w:tbl>
    <w:p w:rsidR="00505632" w:rsidRDefault="00505632" w:rsidP="00505632">
      <w:pPr>
        <w:jc w:val="left"/>
      </w:pPr>
    </w:p>
    <w:p w:rsidR="00505632" w:rsidRDefault="00505632" w:rsidP="00505632">
      <w:pPr>
        <w:pStyle w:val="Heading4"/>
      </w:pPr>
      <w:r>
        <w:t>A538051 NADZOR NAD RADOM OVLAŠTENIH OSOBA ZA PROVOĐENJE ENERGETSKIH PREGLEDA I ENERGETSKO CERTIFICIRANJE</w:t>
      </w:r>
    </w:p>
    <w:tbl>
      <w:tblPr>
        <w:tblStyle w:val="StilTablice"/>
        <w:tblW w:w="10206" w:type="dxa"/>
        <w:jc w:val="center"/>
        <w:tblLook w:val="04A0" w:firstRow="1" w:lastRow="0" w:firstColumn="1" w:lastColumn="0" w:noHBand="0" w:noVBand="1"/>
      </w:tblPr>
      <w:tblGrid>
        <w:gridCol w:w="1693"/>
        <w:gridCol w:w="2023"/>
        <w:gridCol w:w="2024"/>
        <w:gridCol w:w="2024"/>
        <w:gridCol w:w="1220"/>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A538051-NADZOR NAD RADOM OVLAŠTENIH OSOBA ZA PROVOĐENJE ENERGETSKIH PREGLEDA I ENERGETSKO CERTIFICIRANJE</w:t>
            </w:r>
          </w:p>
        </w:tc>
        <w:tc>
          <w:tcPr>
            <w:tcW w:w="2041" w:type="dxa"/>
          </w:tcPr>
          <w:p w:rsidR="00505632" w:rsidRDefault="00505632" w:rsidP="00AD4E52">
            <w:pPr>
              <w:pStyle w:val="CellColumn"/>
              <w:jc w:val="right"/>
            </w:pPr>
            <w:r>
              <w:rPr>
                <w:rFonts w:cs="Times New Roman"/>
              </w:rPr>
              <w:t>73.350</w:t>
            </w:r>
          </w:p>
        </w:tc>
        <w:tc>
          <w:tcPr>
            <w:tcW w:w="2041" w:type="dxa"/>
          </w:tcPr>
          <w:p w:rsidR="00505632" w:rsidRDefault="00505632" w:rsidP="00AD4E52">
            <w:pPr>
              <w:pStyle w:val="CellColumn"/>
              <w:jc w:val="right"/>
            </w:pPr>
            <w:r>
              <w:rPr>
                <w:rFonts w:cs="Times New Roman"/>
              </w:rPr>
              <w:t>3.350.000</w:t>
            </w:r>
          </w:p>
        </w:tc>
        <w:tc>
          <w:tcPr>
            <w:tcW w:w="2041" w:type="dxa"/>
          </w:tcPr>
          <w:p w:rsidR="00505632" w:rsidRDefault="00505632" w:rsidP="00AD4E52">
            <w:pPr>
              <w:pStyle w:val="CellColumn"/>
              <w:jc w:val="right"/>
            </w:pPr>
            <w:r>
              <w:rPr>
                <w:rFonts w:cs="Times New Roman"/>
              </w:rPr>
              <w:t>1.001.250</w:t>
            </w:r>
          </w:p>
        </w:tc>
        <w:tc>
          <w:tcPr>
            <w:tcW w:w="1224" w:type="dxa"/>
          </w:tcPr>
          <w:p w:rsidR="00505632" w:rsidRDefault="00505632" w:rsidP="00AD4E52">
            <w:pPr>
              <w:pStyle w:val="CellColumn"/>
              <w:jc w:val="right"/>
            </w:pPr>
            <w:r>
              <w:rPr>
                <w:rFonts w:cs="Times New Roman"/>
              </w:rPr>
              <w:t>29,9</w:t>
            </w:r>
          </w:p>
        </w:tc>
        <w:tc>
          <w:tcPr>
            <w:tcW w:w="1224" w:type="dxa"/>
          </w:tcPr>
          <w:p w:rsidR="00505632" w:rsidRDefault="00505632" w:rsidP="00AD4E52">
            <w:pPr>
              <w:pStyle w:val="CellColumn"/>
              <w:jc w:val="right"/>
            </w:pPr>
            <w:r>
              <w:rPr>
                <w:rFonts w:cs="Times New Roman"/>
              </w:rPr>
              <w:t>1365,0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gradnji (NN 153/13), Pravilnik o osobama ovlaštenim za energetsko certificiranje, energetski pregled zgrade i redoviti pregled sustava grijanja i sustava hlađenja ili klimatizacije u zgradi (NN 73/15, 133/15), Pravilnik o energetskom pregledu zgrade i energetskom certificiranju (NN 48/14, 150/14, 133/15, 22/16, 49/16), Pravilnik o kontroli energetskog certifikata zgrade i izvješća o redovitom pregledu sustava grijanja i sustava hlađenja ili klimatizacije u zgradi (NN 73/15).</w:t>
      </w:r>
    </w:p>
    <w:p w:rsidR="00505632" w:rsidRDefault="00505632" w:rsidP="00505632">
      <w:pPr>
        <w:pStyle w:val="Heading8"/>
        <w:jc w:val="left"/>
      </w:pPr>
      <w:r>
        <w:t>Opis aktivnosti</w:t>
      </w:r>
    </w:p>
    <w:p w:rsidR="00505632" w:rsidRDefault="00505632" w:rsidP="00505632">
      <w:r>
        <w:t xml:space="preserve">Izmjenom Pravilnika o energetskom pregledu zgrade i energetskom certificiranju (NN 48/14, 150/14, 133/15, 22/16 i 49/16) u 2016. godine ukinuta je obveza energetskog certificiranja pružateljima usluga smještaja u stanovima, apartmanima i kućama za odmor čime je ukinut parafiskalni namet za obiteljske iznajmljivače.  </w:t>
      </w:r>
    </w:p>
    <w:p w:rsidR="00505632" w:rsidRDefault="00505632" w:rsidP="00505632">
      <w:r>
        <w:t xml:space="preserve">Planira se izrada nove Metodologije za provođenje energetskih pregleda zgrada. </w:t>
      </w:r>
    </w:p>
    <w:p w:rsidR="00505632" w:rsidRDefault="00505632" w:rsidP="00505632">
      <w:r>
        <w:t xml:space="preserve">Do kraja 2016. ovlašteno je 2 013 osoba: 1 141 fizičkih i 872 pravne osobe. Do kraja 2016. godine je izdano 157 483 energetskih certifikata.  </w:t>
      </w:r>
    </w:p>
    <w:p w:rsidR="00505632" w:rsidRDefault="00505632" w:rsidP="00505632">
      <w:r>
        <w:t xml:space="preserve">U svim završenim kontrolama energetskih certifikata, 50 EC je proglašeno nevažećim, a protiv jednog rješenja o proglašenju EC nevažećim pokrenut je upravni spor, koji nije okončan. U II kvartalu 2016. zaprimljeni su rezultati neovisne kontrole 250 izdanih EC zgrada, po kojima je u tijeku postupanje. </w:t>
      </w:r>
    </w:p>
    <w:p w:rsidR="00505632" w:rsidRDefault="00505632" w:rsidP="00505632">
      <w:r>
        <w:t xml:space="preserve">Projekt 5 Baza za izradu informacijskog sustava i računalnih aplikacija za izdavanje energetskih certifikata - u tijeku je završna faza izrade. Edukacija korisnika i puštanje u rad baze IEC provest će se nakon definiranja novog certifikata i puštanja u rad računalnog programa. U 2016. godini planira se i dogovara integracija svih 4 baza s EGOP-om za što je dobivena ponuda od tvrtke Infodom d.o.o.  Za Baze certificiranih instalatera OIE održana je edukacija korisnika te se očekuje puštanje u rad.   </w:t>
      </w:r>
    </w:p>
    <w:p w:rsidR="00505632" w:rsidRDefault="00505632" w:rsidP="00505632">
      <w:r>
        <w:t xml:space="preserve">Za računalni program za izračun energetskog svojstva zgrade potpisan je ugovor sa Sveučilištem u Zagrebu Fakultet organizacije i informatike, Varaždin. Izrada usluge je u završnoj fazi. Isporuka se planira u 2017. godini. </w:t>
      </w:r>
    </w:p>
    <w:p w:rsidR="00505632" w:rsidRDefault="00505632" w:rsidP="00505632">
      <w:r>
        <w:t xml:space="preserve">Za nadzor nad izradom i provjera računalne točnosti računalnog programa za određivanje energetskog svojstva zgrade izabran je FSB, Zagreb. Primjenom računalnog programa omogućit će se energetsko certificiranje zgrada prema primarnoj energiji, odnosno usporedba s troškovno optimalnim razinama minimalnih zahtjeva na energetsko svojstvo zgrade, sukladno Uredbi br. 244/2012 i Smjernici 2012/C 115/01.  </w:t>
      </w:r>
    </w:p>
    <w:p w:rsidR="00505632" w:rsidRDefault="00505632" w:rsidP="00505632">
      <w:r>
        <w:t>U 2016. osnovana je međusektorska radna skupina za Investicijski prioritet 2c1 za uspostavu IKT strukture i softverskih rješenja za komunikaciju između građana i javne uprave, u sklopu koje bi e-energetsko certificiranje prijavili kao podmodul ISPU projekta za apliciranje za bespovratna EU sredstva iz ESI fondova. U okviru planiranog dodatno se planira ugovaranje produkcijske podrške na godišnjoj razini te usklađivanje s Direktivom o energetskim uslugama.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izvršenih nadzora izdanih energetskih certifikata za zgrade</w:t>
            </w:r>
          </w:p>
        </w:tc>
        <w:tc>
          <w:tcPr>
            <w:tcW w:w="2551" w:type="dxa"/>
          </w:tcPr>
          <w:p w:rsidR="00505632" w:rsidRDefault="00505632" w:rsidP="00AD4E52">
            <w:pPr>
              <w:pStyle w:val="CellColumn"/>
              <w:jc w:val="left"/>
            </w:pPr>
            <w:r>
              <w:rPr>
                <w:rFonts w:cs="Times New Roman"/>
              </w:rPr>
              <w:t>Zakonska obveza energetskog certificiranja zgrada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195</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700</w:t>
            </w:r>
          </w:p>
        </w:tc>
        <w:tc>
          <w:tcPr>
            <w:tcW w:w="1020" w:type="dxa"/>
          </w:tcPr>
          <w:p w:rsidR="00505632" w:rsidRDefault="00505632" w:rsidP="00AD4E52">
            <w:pPr>
              <w:pStyle w:val="CellColumn"/>
              <w:jc w:val="right"/>
            </w:pPr>
            <w:r>
              <w:rPr>
                <w:rFonts w:cs="Times New Roman"/>
              </w:rPr>
              <w:t>429</w:t>
            </w:r>
          </w:p>
        </w:tc>
      </w:tr>
      <w:tr w:rsidR="00505632" w:rsidTr="00AD4E52">
        <w:trPr>
          <w:jc w:val="center"/>
        </w:trPr>
        <w:tc>
          <w:tcPr>
            <w:tcW w:w="2551" w:type="dxa"/>
          </w:tcPr>
          <w:p w:rsidR="00505632" w:rsidRDefault="00505632" w:rsidP="00AD4E52">
            <w:pPr>
              <w:pStyle w:val="CellColumn"/>
              <w:jc w:val="left"/>
            </w:pPr>
            <w:r>
              <w:rPr>
                <w:rFonts w:cs="Times New Roman"/>
              </w:rPr>
              <w:t>Uspostavljanje baze i registra energetski učinkovitog graditeljstva</w:t>
            </w:r>
          </w:p>
        </w:tc>
        <w:tc>
          <w:tcPr>
            <w:tcW w:w="2551" w:type="dxa"/>
          </w:tcPr>
          <w:p w:rsidR="00505632" w:rsidRDefault="00505632" w:rsidP="00AD4E52">
            <w:pPr>
              <w:pStyle w:val="CellColumn"/>
              <w:jc w:val="left"/>
            </w:pPr>
            <w:r>
              <w:rPr>
                <w:rFonts w:cs="Times New Roman"/>
              </w:rPr>
              <w:t>Izrada programa za uspostavljanje baze i registra energetski učinkovitog graditeljstva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30</w:t>
            </w:r>
          </w:p>
        </w:tc>
      </w:tr>
    </w:tbl>
    <w:p w:rsidR="00505632" w:rsidRDefault="00505632" w:rsidP="00505632">
      <w:pPr>
        <w:jc w:val="left"/>
      </w:pPr>
    </w:p>
    <w:p w:rsidR="00505632" w:rsidRDefault="00505632" w:rsidP="00505632">
      <w:pPr>
        <w:pStyle w:val="Heading4"/>
      </w:pPr>
      <w:r>
        <w:t>A538053 ENERGETSKA UČINKOVITOST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A538053-ENERGETSKA UČINKOVITOST</w:t>
            </w:r>
          </w:p>
        </w:tc>
        <w:tc>
          <w:tcPr>
            <w:tcW w:w="2041" w:type="dxa"/>
          </w:tcPr>
          <w:p w:rsidR="00505632" w:rsidRDefault="00505632" w:rsidP="00AD4E52">
            <w:pPr>
              <w:pStyle w:val="CellColumn"/>
              <w:jc w:val="right"/>
            </w:pPr>
            <w:r>
              <w:rPr>
                <w:rFonts w:cs="Times New Roman"/>
              </w:rPr>
              <w:t>862.433</w:t>
            </w:r>
          </w:p>
        </w:tc>
        <w:tc>
          <w:tcPr>
            <w:tcW w:w="2041" w:type="dxa"/>
          </w:tcPr>
          <w:p w:rsidR="00505632" w:rsidRDefault="00505632" w:rsidP="00AD4E52">
            <w:pPr>
              <w:pStyle w:val="CellColumn"/>
              <w:jc w:val="right"/>
            </w:pPr>
            <w:r>
              <w:rPr>
                <w:rFonts w:cs="Times New Roman"/>
              </w:rPr>
              <w:t>1.901.500</w:t>
            </w:r>
          </w:p>
        </w:tc>
        <w:tc>
          <w:tcPr>
            <w:tcW w:w="2041" w:type="dxa"/>
          </w:tcPr>
          <w:p w:rsidR="00505632" w:rsidRDefault="00505632" w:rsidP="00AD4E52">
            <w:pPr>
              <w:pStyle w:val="CellColumn"/>
              <w:jc w:val="right"/>
            </w:pPr>
            <w:r>
              <w:rPr>
                <w:rFonts w:cs="Times New Roman"/>
              </w:rPr>
              <w:t>1.099.591</w:t>
            </w:r>
          </w:p>
        </w:tc>
        <w:tc>
          <w:tcPr>
            <w:tcW w:w="1224" w:type="dxa"/>
          </w:tcPr>
          <w:p w:rsidR="00505632" w:rsidRDefault="00505632" w:rsidP="00AD4E52">
            <w:pPr>
              <w:pStyle w:val="CellColumn"/>
              <w:jc w:val="right"/>
            </w:pPr>
            <w:r>
              <w:rPr>
                <w:rFonts w:cs="Times New Roman"/>
              </w:rPr>
              <w:t>57,8</w:t>
            </w:r>
          </w:p>
        </w:tc>
        <w:tc>
          <w:tcPr>
            <w:tcW w:w="1224" w:type="dxa"/>
          </w:tcPr>
          <w:p w:rsidR="00505632" w:rsidRDefault="00505632" w:rsidP="00AD4E52">
            <w:pPr>
              <w:pStyle w:val="CellColumn"/>
              <w:jc w:val="right"/>
            </w:pPr>
            <w:r>
              <w:rPr>
                <w:rFonts w:cs="Times New Roman"/>
              </w:rPr>
              <w:t>127,5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Direktiva 2010/31/EU Europskog parlamenta i Vijeća od 19. svibnja 2010. o energetskoj učinkovitosti zgrada, Direktiva 2012/27/EU Europskog parlamenta i vijeća od 25. listopada 2012. o energetskoj učinkovitosti, izmjeni direktiva 2009/125/EZ i 2010/30/EU i stavljanju izvan snage direktiva 2004/8/EZ i 2006/32/EZ, Direktiva 2009/28/EZ Europskog parlamenta i Vijeća  od 23. travnja 2009. o promicanju uporabe energije iz obnovljivih izvora te o izmjeni i kasnijem stavljanju izvan snage direktiva 2001/77/EZ i 2003/30/EZ, Zakon o gradnji, Zakon o energetskoj učinkovitosti Uredba o ugovaranju i provedbi energetske usluge u javnom sektoru (NN, 69/2012), Pravilnik o sustavnom gospodarenju energijom u javnom sektoru (NN 18/15, 06/16).</w:t>
      </w:r>
    </w:p>
    <w:p w:rsidR="00505632" w:rsidRDefault="00505632" w:rsidP="00505632">
      <w:pPr>
        <w:pStyle w:val="Heading8"/>
        <w:jc w:val="left"/>
      </w:pPr>
      <w:r>
        <w:t>Opis aktivnosti</w:t>
      </w:r>
    </w:p>
    <w:p w:rsidR="00505632" w:rsidRDefault="00505632" w:rsidP="00505632">
      <w:r>
        <w:t xml:space="preserve">U sklopu Programa energetske obnove zgrada javnog sektora za razdoblje od 2014. do 2015. godine koji se provodi i tijekom 2016. godine traje obnova na pet lokacija za 62.175,23 m2 i 23 zgrade dok su u pripremi za obnovu (faza projektiranje i verifikacija projekta) četiri lokacije s površinom od 52.223,61 m2 odnosno 20 zgrada. U fazi ugovaranja su 3 projekta površine od 66.703,59 m2 za 27 zgrada. </w:t>
      </w:r>
    </w:p>
    <w:p w:rsidR="00505632" w:rsidRDefault="00505632" w:rsidP="00505632">
      <w:r>
        <w:t xml:space="preserve">Priprema se Program energetske obnove zgrada javnog sektora za period 2016.-2020. koji se upućuje Vladi RH na odobrenje. </w:t>
      </w:r>
    </w:p>
    <w:p w:rsidR="00505632" w:rsidRDefault="00505632" w:rsidP="00505632">
      <w:r>
        <w:t xml:space="preserve">U sklopu pripreme novog Programa EOZJS 2016-2020 izrađena je Metodologija za izradu tehničkih podloga za energetsku obnovu zgrada javnog sektora po ESCo modelu te standardizacija Ugovora o energetskom učinku. </w:t>
      </w:r>
    </w:p>
    <w:p w:rsidR="00505632" w:rsidRDefault="00505632" w:rsidP="00505632">
      <w:r>
        <w:t xml:space="preserve">U tijeku je priprema javnog poziva za energetsku obnovu obiteljskih kuća uz sufinanciranje iz Europskog fonda za regionalni razvoj putem kojeg je na raspolaganju 30 mil EUR.  </w:t>
      </w:r>
    </w:p>
    <w:p w:rsidR="00505632" w:rsidRDefault="00505632" w:rsidP="00505632">
      <w:r>
        <w:t xml:space="preserve">U listopadu 2016. godine objavljen je prvi javni poziv za obnovu višestambenih zgrada sufinanciran EU sredstvima putem kojeg se građanima dodjeljuje 60% bespovratnih sredstava. Po ovom pozivu se dodjeljuje 152 milijuna kuna, od ukupno alociranih 525 milijuna kuna za razdoblje do 2020. godine. </w:t>
      </w:r>
    </w:p>
    <w:p w:rsidR="00505632" w:rsidRDefault="00505632" w:rsidP="00505632">
      <w:r>
        <w:t xml:space="preserve">U tijeku je izrada 4. Nacionalnog plana energetske učinkovitosti za razdoblje 2017-2019 u dijelu mjera koje se odnose na poboljšanje energetske učinkovitosti u zgradarstvu. </w:t>
      </w:r>
    </w:p>
    <w:p w:rsidR="00505632" w:rsidRDefault="00505632" w:rsidP="00505632">
      <w:r>
        <w:t>U tijeku je izrada Programa poticanja gradnje novih i obnavljanje postojećih zgrada do standarda gotovo nulte energije.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postotka dovršenosti propisa</w:t>
            </w:r>
          </w:p>
        </w:tc>
        <w:tc>
          <w:tcPr>
            <w:tcW w:w="2551" w:type="dxa"/>
          </w:tcPr>
          <w:p w:rsidR="00505632" w:rsidRDefault="00505632" w:rsidP="00AD4E52">
            <w:pPr>
              <w:pStyle w:val="CellColumn"/>
              <w:jc w:val="left"/>
            </w:pPr>
            <w:r>
              <w:rPr>
                <w:rFonts w:cs="Times New Roman"/>
              </w:rPr>
              <w:t>Donošenje i usklađivanje propisa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90</w:t>
            </w:r>
          </w:p>
        </w:tc>
      </w:tr>
      <w:tr w:rsidR="00505632" w:rsidTr="00AD4E52">
        <w:trPr>
          <w:jc w:val="center"/>
        </w:trPr>
        <w:tc>
          <w:tcPr>
            <w:tcW w:w="2551" w:type="dxa"/>
          </w:tcPr>
          <w:p w:rsidR="00505632" w:rsidRDefault="00505632" w:rsidP="00AD4E52">
            <w:pPr>
              <w:pStyle w:val="CellColumn"/>
              <w:jc w:val="left"/>
            </w:pPr>
            <w:r>
              <w:rPr>
                <w:rFonts w:cs="Times New Roman"/>
              </w:rPr>
              <w:t>Povećanje energetski obnovljene korisne površine postojećeg fonda zgrada</w:t>
            </w:r>
          </w:p>
        </w:tc>
        <w:tc>
          <w:tcPr>
            <w:tcW w:w="2551" w:type="dxa"/>
          </w:tcPr>
          <w:p w:rsidR="00505632" w:rsidRDefault="00505632" w:rsidP="00AD4E52">
            <w:pPr>
              <w:pStyle w:val="CellColumn"/>
              <w:jc w:val="left"/>
            </w:pPr>
            <w:r>
              <w:rPr>
                <w:rFonts w:cs="Times New Roman"/>
              </w:rPr>
              <w:t>Energetska obnova zgrada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30</w:t>
            </w:r>
          </w:p>
        </w:tc>
      </w:tr>
      <w:tr w:rsidR="00505632" w:rsidTr="00AD4E52">
        <w:trPr>
          <w:jc w:val="center"/>
        </w:trPr>
        <w:tc>
          <w:tcPr>
            <w:tcW w:w="2551" w:type="dxa"/>
          </w:tcPr>
          <w:p w:rsidR="00505632" w:rsidRDefault="00505632" w:rsidP="00AD4E52">
            <w:pPr>
              <w:pStyle w:val="CellColumn"/>
              <w:jc w:val="left"/>
            </w:pPr>
            <w:r>
              <w:rPr>
                <w:rFonts w:cs="Times New Roman"/>
              </w:rPr>
              <w:t>Povećanje korisne površine izgrađenih gotovo nula energetskih zgrada</w:t>
            </w:r>
          </w:p>
        </w:tc>
        <w:tc>
          <w:tcPr>
            <w:tcW w:w="2551" w:type="dxa"/>
          </w:tcPr>
          <w:p w:rsidR="00505632" w:rsidRDefault="00505632" w:rsidP="00AD4E52">
            <w:pPr>
              <w:pStyle w:val="CellColumn"/>
              <w:jc w:val="left"/>
            </w:pPr>
            <w:r>
              <w:rPr>
                <w:rFonts w:cs="Times New Roman"/>
              </w:rPr>
              <w:t>Izgradnja u skladu sa zahtjevima energetske učinkovitosti</w:t>
            </w:r>
          </w:p>
        </w:tc>
        <w:tc>
          <w:tcPr>
            <w:tcW w:w="1020" w:type="dxa"/>
          </w:tcPr>
          <w:p w:rsidR="00505632" w:rsidRDefault="00505632" w:rsidP="00AD4E52">
            <w:pPr>
              <w:pStyle w:val="CellColumn"/>
              <w:jc w:val="right"/>
            </w:pPr>
            <w:r>
              <w:rPr>
                <w:rFonts w:cs="Times New Roman"/>
              </w:rPr>
              <w:t>m2</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247000</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A576056 STRUČNO - ANALITIČKI, UPRAVNI I NORMATIVNI POSLOVI GRADITELJSTVA, ODRŽIVA GRADNJA I PRISTUPAČNOST GRAĐEVINA</w:t>
      </w:r>
    </w:p>
    <w:tbl>
      <w:tblPr>
        <w:tblStyle w:val="StilTablice"/>
        <w:tblW w:w="10206" w:type="dxa"/>
        <w:jc w:val="center"/>
        <w:tblLook w:val="04A0" w:firstRow="1" w:lastRow="0" w:firstColumn="1" w:lastColumn="0" w:noHBand="0" w:noVBand="1"/>
      </w:tblPr>
      <w:tblGrid>
        <w:gridCol w:w="1764"/>
        <w:gridCol w:w="2003"/>
        <w:gridCol w:w="2001"/>
        <w:gridCol w:w="2003"/>
        <w:gridCol w:w="1216"/>
        <w:gridCol w:w="121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A576056-STRUČNO - ANALITIČKI, UPRAVNI I NORMATIVNI POSLOVI GRADITELJSTVA, ODRŽIVA GRADNJA I PRISTUPAČNOST GRAĐEVINA</w:t>
            </w:r>
          </w:p>
        </w:tc>
        <w:tc>
          <w:tcPr>
            <w:tcW w:w="2041" w:type="dxa"/>
          </w:tcPr>
          <w:p w:rsidR="00505632" w:rsidRDefault="00505632" w:rsidP="00AD4E52">
            <w:pPr>
              <w:pStyle w:val="CellColumn"/>
              <w:jc w:val="right"/>
            </w:pPr>
            <w:r>
              <w:rPr>
                <w:rFonts w:cs="Times New Roman"/>
              </w:rPr>
              <w:t>30.878</w:t>
            </w:r>
          </w:p>
        </w:tc>
        <w:tc>
          <w:tcPr>
            <w:tcW w:w="2041" w:type="dxa"/>
          </w:tcPr>
          <w:p w:rsidR="00505632" w:rsidRDefault="00505632" w:rsidP="00AD4E52">
            <w:pPr>
              <w:pStyle w:val="CellColumn"/>
              <w:jc w:val="right"/>
            </w:pPr>
            <w:r>
              <w:rPr>
                <w:rFonts w:cs="Times New Roman"/>
              </w:rPr>
              <w:t>244.150</w:t>
            </w:r>
          </w:p>
        </w:tc>
        <w:tc>
          <w:tcPr>
            <w:tcW w:w="2041" w:type="dxa"/>
          </w:tcPr>
          <w:p w:rsidR="00505632" w:rsidRDefault="00505632" w:rsidP="00AD4E52">
            <w:pPr>
              <w:pStyle w:val="CellColumn"/>
              <w:jc w:val="right"/>
            </w:pPr>
            <w:r>
              <w:rPr>
                <w:rFonts w:cs="Times New Roman"/>
              </w:rPr>
              <w:t>22.697</w:t>
            </w:r>
          </w:p>
        </w:tc>
        <w:tc>
          <w:tcPr>
            <w:tcW w:w="1224" w:type="dxa"/>
          </w:tcPr>
          <w:p w:rsidR="00505632" w:rsidRDefault="00505632" w:rsidP="00AD4E52">
            <w:pPr>
              <w:pStyle w:val="CellColumn"/>
              <w:jc w:val="right"/>
            </w:pPr>
            <w:r>
              <w:rPr>
                <w:rFonts w:cs="Times New Roman"/>
              </w:rPr>
              <w:t>9,3</w:t>
            </w:r>
          </w:p>
        </w:tc>
        <w:tc>
          <w:tcPr>
            <w:tcW w:w="1224" w:type="dxa"/>
          </w:tcPr>
          <w:p w:rsidR="00505632" w:rsidRDefault="00505632" w:rsidP="00AD4E52">
            <w:pPr>
              <w:pStyle w:val="CellColumn"/>
              <w:jc w:val="right"/>
            </w:pPr>
            <w:r>
              <w:rPr>
                <w:rFonts w:cs="Times New Roman"/>
              </w:rPr>
              <w:t>73,5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gradnji (NN 153/13.); Zakon o građevnim proizvodima (NN 76/13., 30/14.); Zakon o komori arhitekata i komorama inženjera u graditeljstvu i prostornom uređenju (NN 78/15.); Zakon o poslovima i djelatnostima prostornog uređenja i gradnje (NN 78/15); Pravilnik o osiguranju pristupačnosti građevina osobama s invaliditetom i smanjenom pokretljivosti (NN 78/13)</w:t>
      </w:r>
    </w:p>
    <w:p w:rsidR="00505632" w:rsidRDefault="00505632" w:rsidP="00505632">
      <w:pPr>
        <w:pStyle w:val="Heading8"/>
        <w:jc w:val="left"/>
      </w:pPr>
      <w:r>
        <w:t>Opis aktivnosti</w:t>
      </w:r>
    </w:p>
    <w:p w:rsidR="00505632" w:rsidRDefault="00505632" w:rsidP="00505632">
      <w:r>
        <w:t xml:space="preserve">Izrađeno je Izvješće o provedbi Nacionalne strategije izjednačavanja mogućnosti za osobe s invaliditetom za 2015. godinu, sukladno obvezi iz Nacionalne strategije izjednačavanja mogućnosti za osobe s invaliditetom od 2007. do 2015. godine iz mjere: I. Osigurati pristupačnost građevina osobama s invaliditetom i osobama smanjene pokretljivosti iz točke 2.6. Stanovanje, mobilnost i pristupačnost iz poglavlja 2. Područje djelovanja. </w:t>
      </w:r>
    </w:p>
    <w:p w:rsidR="00505632" w:rsidRDefault="00505632" w:rsidP="00505632">
      <w:r>
        <w:t xml:space="preserve">Europski akt o pristupačnosti (EAA) još uvijek nije donesen, te se još nije pristupilo izradi Tehničkog propisa o pristupačnosti, kojim bi se postrožili zahtjevi glede boravka, rada i uporabe prostora u građevinama, čime će se implementirati načela održivosti u gradnji. </w:t>
      </w:r>
    </w:p>
    <w:p w:rsidR="00505632" w:rsidRDefault="00505632" w:rsidP="00505632">
      <w:r>
        <w:t xml:space="preserve">Rad u povjerenstvima, odnosno radnim skupinama za izradu nacrta propisa u 2016. godini: </w:t>
      </w:r>
    </w:p>
    <w:p w:rsidR="00505632" w:rsidRDefault="00505632" w:rsidP="00505632">
      <w:r>
        <w:t xml:space="preserve">- Zakon o izmjenama i dopunama Zakona o građevnim proizvodima </w:t>
      </w:r>
    </w:p>
    <w:p w:rsidR="00505632" w:rsidRDefault="00505632" w:rsidP="00505632">
      <w:r>
        <w:t xml:space="preserve">- Pravilnik o tijelima, dokumentaciji i postupcima tržišta građevnih proizvoda </w:t>
      </w:r>
    </w:p>
    <w:p w:rsidR="00505632" w:rsidRDefault="00505632" w:rsidP="00505632">
      <w:r>
        <w:t xml:space="preserve">- Tehnički propis za građevinske konstrukcije </w:t>
      </w:r>
    </w:p>
    <w:p w:rsidR="00505632" w:rsidRDefault="00505632" w:rsidP="00505632">
      <w:r>
        <w:t xml:space="preserve">- Tehnički propis za staklene konstrukcije </w:t>
      </w:r>
    </w:p>
    <w:p w:rsidR="00505632" w:rsidRDefault="00505632" w:rsidP="00505632">
      <w:r>
        <w:t xml:space="preserve">- Tehnički propis za građevne proizvode </w:t>
      </w:r>
    </w:p>
    <w:p w:rsidR="00505632" w:rsidRDefault="00505632" w:rsidP="00505632">
      <w:r>
        <w:t>- Protokol Europske unije o upravljanju građevinskim otpadom i ostalim otpadom nastalim rušenjem.</w:t>
      </w:r>
    </w:p>
    <w:p w:rsidR="00505632" w:rsidRDefault="00505632" w:rsidP="00505632">
      <w:pPr>
        <w:pStyle w:val="Heading4"/>
      </w:pPr>
      <w:r>
        <w:t>A576060 NADZOR GRAĐENJA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A576060-NADZOR GRAĐENJA</w:t>
            </w:r>
          </w:p>
        </w:tc>
        <w:tc>
          <w:tcPr>
            <w:tcW w:w="2041" w:type="dxa"/>
          </w:tcPr>
          <w:p w:rsidR="00505632" w:rsidRDefault="00505632" w:rsidP="00AD4E52">
            <w:pPr>
              <w:pStyle w:val="CellColumn"/>
              <w:jc w:val="right"/>
            </w:pPr>
            <w:r>
              <w:rPr>
                <w:rFonts w:cs="Times New Roman"/>
              </w:rPr>
              <w:t>1.344.910</w:t>
            </w:r>
          </w:p>
        </w:tc>
        <w:tc>
          <w:tcPr>
            <w:tcW w:w="2041" w:type="dxa"/>
          </w:tcPr>
          <w:p w:rsidR="00505632" w:rsidRDefault="00505632" w:rsidP="00AD4E52">
            <w:pPr>
              <w:pStyle w:val="CellColumn"/>
              <w:jc w:val="right"/>
            </w:pPr>
            <w:r>
              <w:rPr>
                <w:rFonts w:cs="Times New Roman"/>
              </w:rPr>
              <w:t>6.962.000</w:t>
            </w:r>
          </w:p>
        </w:tc>
        <w:tc>
          <w:tcPr>
            <w:tcW w:w="2041" w:type="dxa"/>
          </w:tcPr>
          <w:p w:rsidR="00505632" w:rsidRDefault="00505632" w:rsidP="00AD4E52">
            <w:pPr>
              <w:pStyle w:val="CellColumn"/>
              <w:jc w:val="right"/>
            </w:pPr>
            <w:r>
              <w:rPr>
                <w:rFonts w:cs="Times New Roman"/>
              </w:rPr>
              <w:t>1.407.189</w:t>
            </w:r>
          </w:p>
        </w:tc>
        <w:tc>
          <w:tcPr>
            <w:tcW w:w="1224" w:type="dxa"/>
          </w:tcPr>
          <w:p w:rsidR="00505632" w:rsidRDefault="00505632" w:rsidP="00AD4E52">
            <w:pPr>
              <w:pStyle w:val="CellColumn"/>
              <w:jc w:val="right"/>
            </w:pPr>
            <w:r>
              <w:rPr>
                <w:rFonts w:cs="Times New Roman"/>
              </w:rPr>
              <w:t>20,2</w:t>
            </w:r>
          </w:p>
        </w:tc>
        <w:tc>
          <w:tcPr>
            <w:tcW w:w="1224" w:type="dxa"/>
          </w:tcPr>
          <w:p w:rsidR="00505632" w:rsidRDefault="00505632" w:rsidP="00AD4E52">
            <w:pPr>
              <w:pStyle w:val="CellColumn"/>
              <w:jc w:val="right"/>
            </w:pPr>
            <w:r>
              <w:rPr>
                <w:rFonts w:cs="Times New Roman"/>
              </w:rPr>
              <w:t>104,6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građevinskoj inspekciji,(NN 153/13.), Zakon o gradnji (NN 153/13.), Zakon o postupanju s nezakonito izgrađenim građevinama (NN 86/12, 143/13), Zakon o građevnim proizvodima, (NN 76/13., 30/14.), Pravilnik o jednostavnim i drugim građevinama i radovima (NN 79/14., 41/15., 75/15.).</w:t>
      </w:r>
    </w:p>
    <w:p w:rsidR="00505632" w:rsidRDefault="00505632" w:rsidP="00505632">
      <w:pPr>
        <w:pStyle w:val="Heading8"/>
        <w:jc w:val="left"/>
      </w:pPr>
      <w:r>
        <w:t>Opis aktivnosti</w:t>
      </w:r>
    </w:p>
    <w:p w:rsidR="00505632" w:rsidRDefault="00505632" w:rsidP="00505632">
      <w:r>
        <w:t xml:space="preserve">Rezultati nadzora građenja i druge aktivnosti inspekcije se prate kontinuirano, na način da se između svih poslova i aktivnosti posebno prati ukupan broj nadzora, vrsta nadziranih građevina i područja u kojima se gradi, broj uklonjenih građevina iz prostora, stanje ozakonjenja odnosno broj građevina koje su promijenile pravni status nakon postupanja inspekcije. Naime, povećan broj građevina koje su se nakon postupanja inspekcije uskladile sa zakonom, bilo da su investitori ishodili akt kojim se odobrava građenje, bilo da su pravomoćno ozakonili nezakonitu zgradu, bilo da je građevina prisilno uklonjena iz prostora putem ugovornog izvođača Ministarstva pokazatelj je stanja zakonitosti građenja u prostoru. </w:t>
      </w:r>
    </w:p>
    <w:p w:rsidR="00505632" w:rsidRDefault="00505632" w:rsidP="00505632">
      <w:r>
        <w:t xml:space="preserve">Tijekom 2016 godine obavljena su 11.200 nadzora, od kojih je posebno pregledano oko 2000 gradilišta tijekom travnja i svibnja (posebna akcija „gradilišta“), kako bi se utvrdilo opće stanje na terenu. Prati se stanje građenja u posebno zaštićenim područjima (nacionalni parkovi, parkovi prirode, kulturna dobra) te je obavljeno 780 nadzora u tim područjima. Prisilno je izvršeno 270 inspekcijskih rješenja, od kojih su veći dio nezakonitih građevina uklonili sami investitori, ali pod kontrolom inspekcije. Naime, većina investitora se odluči na uklanjanje tek kada se inspekcija s mehanizacijom pojavi na terenu. Isto tako, nakon postupanja inspekcije tijekom 2016. godine za oko 1.500 građevina je ishođen propisani akt za građenje. Inspekcija istovremeno prati od 2013. godine stanje vezano za zgrade koje su nezakonito izgrađene prije 21.06.2011. godine, a za koje je doneseno rješenje o uklanjanju. Do kraja 2016.  je obustavljeno oko 7200 inspekcijskih postupaka zbog ozakonjenja, uklanjanja i općenito promjene pravnog statusa nekretnine. Cijeni se da će se taj broj povećati 2017. godine zbog većeg broja pravomoćno okončanih postupaka ozakonjenja. </w:t>
      </w:r>
    </w:p>
    <w:p w:rsidR="00505632" w:rsidRDefault="00505632" w:rsidP="00505632">
      <w:r>
        <w:t xml:space="preserve">Građevinski inspektori ovlašteni za nadzor građenja građevina državnog značaja obavili su ukupno 42 nadzora kao što su vanjski vezovi na lukobranu gradske Luke Split, novi putnički terminal Zračne luke u Zagrebu i dr.  </w:t>
      </w:r>
    </w:p>
    <w:p w:rsidR="00505632" w:rsidRDefault="00505632" w:rsidP="00505632">
      <w:r>
        <w:t>Značajno je istači da je građevinska inspekcija tijekom 2016. pojačala svoje postupanje vezano za prisiljavanje nezakonitih graditelja da uklone nezakonitu građevinu, na način da izriče novčane kazne, te je u državni proračun 2016. uplaćeno oko 620.000,00  kn. Ukupna vrijednost donesenih kazni iznosi oko 1.700.000,00 kn, te su u tijeku postupci ovrhe koje provodi Državno odvjetništvo u suradnji s inspekcijom i službom financija ovoga Ministarstva.</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planiranih nadzora i poduzimanje mjera za građenje koje je u tijeku, prioritetno u posebno zaštićenim i izvan građevinskim područjima.</w:t>
            </w:r>
          </w:p>
        </w:tc>
        <w:tc>
          <w:tcPr>
            <w:tcW w:w="2551" w:type="dxa"/>
          </w:tcPr>
          <w:p w:rsidR="00505632" w:rsidRDefault="00505632" w:rsidP="00AD4E52">
            <w:pPr>
              <w:pStyle w:val="CellColumn"/>
              <w:jc w:val="left"/>
            </w:pPr>
            <w:r>
              <w:rPr>
                <w:rFonts w:cs="Times New Roman"/>
              </w:rPr>
              <w:t>Planiranim inspekcijskim nadzorima u zaštićenim područjima osigurava se prisutnost inspekcije u samom začetku i tijekom građenja te se omogućava pravovremeno otkrivanje i suzbijanje nezakonitosti.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700</w:t>
            </w:r>
          </w:p>
        </w:tc>
        <w:tc>
          <w:tcPr>
            <w:tcW w:w="1020" w:type="dxa"/>
          </w:tcPr>
          <w:p w:rsidR="00505632" w:rsidRDefault="00505632" w:rsidP="00AD4E52">
            <w:pPr>
              <w:pStyle w:val="CellColumn"/>
              <w:jc w:val="right"/>
            </w:pPr>
            <w:r>
              <w:rPr>
                <w:rFonts w:cs="Times New Roman"/>
              </w:rPr>
              <w:t>UIP</w:t>
            </w:r>
          </w:p>
        </w:tc>
        <w:tc>
          <w:tcPr>
            <w:tcW w:w="1020" w:type="dxa"/>
          </w:tcPr>
          <w:p w:rsidR="00505632" w:rsidRDefault="00505632" w:rsidP="00AD4E52">
            <w:pPr>
              <w:pStyle w:val="CellColumn"/>
              <w:jc w:val="right"/>
            </w:pPr>
            <w:r>
              <w:rPr>
                <w:rFonts w:cs="Times New Roman"/>
              </w:rPr>
              <w:t>800</w:t>
            </w:r>
          </w:p>
        </w:tc>
        <w:tc>
          <w:tcPr>
            <w:tcW w:w="1020" w:type="dxa"/>
          </w:tcPr>
          <w:p w:rsidR="00505632" w:rsidRDefault="00505632" w:rsidP="00AD4E52">
            <w:pPr>
              <w:pStyle w:val="CellColumn"/>
              <w:jc w:val="right"/>
            </w:pPr>
            <w:r>
              <w:rPr>
                <w:rFonts w:cs="Times New Roman"/>
              </w:rPr>
              <w:t>786</w:t>
            </w:r>
          </w:p>
        </w:tc>
      </w:tr>
      <w:tr w:rsidR="00505632" w:rsidTr="00AD4E52">
        <w:trPr>
          <w:jc w:val="center"/>
        </w:trPr>
        <w:tc>
          <w:tcPr>
            <w:tcW w:w="2551" w:type="dxa"/>
          </w:tcPr>
          <w:p w:rsidR="00505632" w:rsidRDefault="00505632" w:rsidP="00AD4E52">
            <w:pPr>
              <w:pStyle w:val="CellColumn"/>
              <w:jc w:val="left"/>
            </w:pPr>
            <w:r>
              <w:rPr>
                <w:rFonts w:cs="Times New Roman"/>
              </w:rPr>
              <w:t>Povećanje broja građevina koje su se uskladile s propisima nakon postupanja građevinske inspekcije</w:t>
            </w:r>
          </w:p>
        </w:tc>
        <w:tc>
          <w:tcPr>
            <w:tcW w:w="2551" w:type="dxa"/>
          </w:tcPr>
          <w:p w:rsidR="00505632" w:rsidRDefault="00505632" w:rsidP="00AD4E52">
            <w:pPr>
              <w:pStyle w:val="CellColumn"/>
              <w:jc w:val="left"/>
            </w:pPr>
            <w:r>
              <w:rPr>
                <w:rFonts w:cs="Times New Roman"/>
              </w:rPr>
              <w:t>Prati se stanje ukupno pravomoćno ozakonjenih zgrada, građevina za koje je ishođen akt za građenje i/ili uklonjene iz prostora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3500</w:t>
            </w:r>
          </w:p>
        </w:tc>
        <w:tc>
          <w:tcPr>
            <w:tcW w:w="1020" w:type="dxa"/>
          </w:tcPr>
          <w:p w:rsidR="00505632" w:rsidRDefault="00505632" w:rsidP="00AD4E52">
            <w:pPr>
              <w:pStyle w:val="CellColumn"/>
              <w:jc w:val="right"/>
            </w:pPr>
            <w:r>
              <w:rPr>
                <w:rFonts w:cs="Times New Roman"/>
              </w:rPr>
              <w:t>UIP</w:t>
            </w:r>
          </w:p>
        </w:tc>
        <w:tc>
          <w:tcPr>
            <w:tcW w:w="1020" w:type="dxa"/>
          </w:tcPr>
          <w:p w:rsidR="00505632" w:rsidRDefault="00505632" w:rsidP="00AD4E52">
            <w:pPr>
              <w:pStyle w:val="CellColumn"/>
              <w:jc w:val="right"/>
            </w:pPr>
            <w:r>
              <w:rPr>
                <w:rFonts w:cs="Times New Roman"/>
              </w:rPr>
              <w:t>10000</w:t>
            </w:r>
          </w:p>
        </w:tc>
        <w:tc>
          <w:tcPr>
            <w:tcW w:w="1020" w:type="dxa"/>
          </w:tcPr>
          <w:p w:rsidR="00505632" w:rsidRDefault="00505632" w:rsidP="00AD4E52">
            <w:pPr>
              <w:pStyle w:val="CellColumn"/>
              <w:jc w:val="right"/>
            </w:pPr>
            <w:r>
              <w:rPr>
                <w:rFonts w:cs="Times New Roman"/>
              </w:rPr>
              <w:t>7200</w:t>
            </w:r>
          </w:p>
        </w:tc>
      </w:tr>
    </w:tbl>
    <w:p w:rsidR="00505632" w:rsidRDefault="00505632" w:rsidP="00505632">
      <w:pPr>
        <w:jc w:val="left"/>
      </w:pPr>
    </w:p>
    <w:p w:rsidR="00505632" w:rsidRDefault="00505632" w:rsidP="00505632">
      <w:pPr>
        <w:pStyle w:val="Heading4"/>
      </w:pPr>
      <w:r>
        <w:t>A576187 STRUČNI ISPITI I DRUGE AKTIVNOSTI OVLAŠĆIVANJA FIZIČKIH I PRAVNIH OSOBA</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A576187-STRUČNI ISPITI I DRUGE AKTIVNOSTI OVLAŠĆIVANJA FIZIČKIH I PRAVNIH OSOBA</w:t>
            </w:r>
          </w:p>
        </w:tc>
        <w:tc>
          <w:tcPr>
            <w:tcW w:w="2041" w:type="dxa"/>
          </w:tcPr>
          <w:p w:rsidR="00505632" w:rsidRDefault="00505632" w:rsidP="00AD4E52">
            <w:pPr>
              <w:pStyle w:val="CellColumn"/>
              <w:jc w:val="right"/>
            </w:pPr>
            <w:r>
              <w:rPr>
                <w:rFonts w:cs="Times New Roman"/>
              </w:rPr>
              <w:t>999.873</w:t>
            </w:r>
          </w:p>
        </w:tc>
        <w:tc>
          <w:tcPr>
            <w:tcW w:w="2041" w:type="dxa"/>
          </w:tcPr>
          <w:p w:rsidR="00505632" w:rsidRDefault="00505632" w:rsidP="00AD4E52">
            <w:pPr>
              <w:pStyle w:val="CellColumn"/>
              <w:jc w:val="right"/>
            </w:pPr>
            <w:r>
              <w:rPr>
                <w:rFonts w:cs="Times New Roman"/>
              </w:rPr>
              <w:t>1.349.000</w:t>
            </w:r>
          </w:p>
        </w:tc>
        <w:tc>
          <w:tcPr>
            <w:tcW w:w="2041" w:type="dxa"/>
          </w:tcPr>
          <w:p w:rsidR="00505632" w:rsidRDefault="00505632" w:rsidP="00AD4E52">
            <w:pPr>
              <w:pStyle w:val="CellColumn"/>
              <w:jc w:val="right"/>
            </w:pPr>
            <w:r>
              <w:rPr>
                <w:rFonts w:cs="Times New Roman"/>
              </w:rPr>
              <w:t>1.265.217</w:t>
            </w:r>
          </w:p>
        </w:tc>
        <w:tc>
          <w:tcPr>
            <w:tcW w:w="1224" w:type="dxa"/>
          </w:tcPr>
          <w:p w:rsidR="00505632" w:rsidRDefault="00505632" w:rsidP="00AD4E52">
            <w:pPr>
              <w:pStyle w:val="CellColumn"/>
              <w:jc w:val="right"/>
            </w:pPr>
            <w:r>
              <w:rPr>
                <w:rFonts w:cs="Times New Roman"/>
              </w:rPr>
              <w:t>93,8</w:t>
            </w:r>
          </w:p>
        </w:tc>
        <w:tc>
          <w:tcPr>
            <w:tcW w:w="1224" w:type="dxa"/>
          </w:tcPr>
          <w:p w:rsidR="00505632" w:rsidRDefault="00505632" w:rsidP="00AD4E52">
            <w:pPr>
              <w:pStyle w:val="CellColumn"/>
              <w:jc w:val="right"/>
            </w:pPr>
            <w:r>
              <w:rPr>
                <w:rFonts w:cs="Times New Roman"/>
              </w:rPr>
              <w:t>126,5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gradnji (NN 153/13); Zakon o poslovima i djelatnostima prostornog uređenja i gradnje (NN 78/15); Pravilnik o stručnom ispitu osoba koje obavljaju poslove graditeljstva i prostornoga uređenja (NN 129/15); Pravilnik o kontroli projekata  (NN 32/14); Pravilnik o uvjetima i mjerilima za davanje ovlaštenja za kontrolu projekata  (NN 32/14., 69/14, 27/15).</w:t>
      </w:r>
    </w:p>
    <w:p w:rsidR="00505632" w:rsidRDefault="00505632" w:rsidP="00505632">
      <w:pPr>
        <w:pStyle w:val="Heading8"/>
        <w:jc w:val="left"/>
      </w:pPr>
      <w:r>
        <w:t>Opis aktivnosti</w:t>
      </w:r>
    </w:p>
    <w:p w:rsidR="00505632" w:rsidRDefault="00505632" w:rsidP="00505632">
      <w:r>
        <w:t>U 2016. izdano je: 6 ovlaštenja za revidente (od 6 zahtjeva) i riješeno 1390 zahtjeva za polaganje stručnog ispita od 1621 zahtjeva i izdano 1024 uvjerenja o položenim stručnim ispitima.</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Održavanje razine postotka rješavanja po zahtjevima za ovlaštenja, suglasnosti i drugih akata kojima se profesionalnim osobama odobrava provedba reguliranih postupaka, u godini podnošenja zahtjeva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86</w:t>
            </w:r>
          </w:p>
        </w:tc>
      </w:tr>
    </w:tbl>
    <w:p w:rsidR="00505632" w:rsidRDefault="00505632" w:rsidP="00505632">
      <w:pPr>
        <w:jc w:val="left"/>
      </w:pPr>
    </w:p>
    <w:p w:rsidR="00505632" w:rsidRDefault="00505632" w:rsidP="00505632">
      <w:pPr>
        <w:pStyle w:val="Heading4"/>
      </w:pPr>
      <w:r>
        <w:t>A576190 TEHNIČKI PREGLEDI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A576190-TEHNIČKI PREGLEDI</w:t>
            </w:r>
          </w:p>
        </w:tc>
        <w:tc>
          <w:tcPr>
            <w:tcW w:w="2041" w:type="dxa"/>
          </w:tcPr>
          <w:p w:rsidR="00505632" w:rsidRDefault="00505632" w:rsidP="00AD4E52">
            <w:pPr>
              <w:pStyle w:val="CellColumn"/>
              <w:jc w:val="right"/>
            </w:pPr>
            <w:r>
              <w:rPr>
                <w:rFonts w:cs="Times New Roman"/>
              </w:rPr>
              <w:t>246.146</w:t>
            </w:r>
          </w:p>
        </w:tc>
        <w:tc>
          <w:tcPr>
            <w:tcW w:w="2041" w:type="dxa"/>
          </w:tcPr>
          <w:p w:rsidR="00505632" w:rsidRDefault="00505632" w:rsidP="00AD4E52">
            <w:pPr>
              <w:pStyle w:val="CellColumn"/>
              <w:jc w:val="right"/>
            </w:pPr>
            <w:r>
              <w:rPr>
                <w:rFonts w:cs="Times New Roman"/>
              </w:rPr>
              <w:t>425.000</w:t>
            </w:r>
          </w:p>
        </w:tc>
        <w:tc>
          <w:tcPr>
            <w:tcW w:w="2041" w:type="dxa"/>
          </w:tcPr>
          <w:p w:rsidR="00505632" w:rsidRDefault="00505632" w:rsidP="00AD4E52">
            <w:pPr>
              <w:pStyle w:val="CellColumn"/>
              <w:jc w:val="right"/>
            </w:pPr>
            <w:r>
              <w:rPr>
                <w:rFonts w:cs="Times New Roman"/>
              </w:rPr>
              <w:t>149.371</w:t>
            </w:r>
          </w:p>
        </w:tc>
        <w:tc>
          <w:tcPr>
            <w:tcW w:w="1224" w:type="dxa"/>
          </w:tcPr>
          <w:p w:rsidR="00505632" w:rsidRDefault="00505632" w:rsidP="00AD4E52">
            <w:pPr>
              <w:pStyle w:val="CellColumn"/>
              <w:jc w:val="right"/>
            </w:pPr>
            <w:r>
              <w:rPr>
                <w:rFonts w:cs="Times New Roman"/>
              </w:rPr>
              <w:t>35,1</w:t>
            </w:r>
          </w:p>
        </w:tc>
        <w:tc>
          <w:tcPr>
            <w:tcW w:w="1224" w:type="dxa"/>
          </w:tcPr>
          <w:p w:rsidR="00505632" w:rsidRDefault="00505632" w:rsidP="00AD4E52">
            <w:pPr>
              <w:pStyle w:val="CellColumn"/>
              <w:jc w:val="right"/>
            </w:pPr>
            <w:r>
              <w:rPr>
                <w:rFonts w:cs="Times New Roman"/>
              </w:rPr>
              <w:t>60,7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Sukladno Zakonu o gradnji (NN 153/13, 20/17) i Pravilniku o tehničkom pregledu građevine (NN 108/04.).</w:t>
      </w:r>
    </w:p>
    <w:p w:rsidR="00505632" w:rsidRDefault="00505632" w:rsidP="00505632">
      <w:pPr>
        <w:pStyle w:val="Heading8"/>
        <w:jc w:val="left"/>
      </w:pPr>
      <w:r>
        <w:t>Opis aktivnosti</w:t>
      </w:r>
    </w:p>
    <w:p w:rsidR="00505632" w:rsidRDefault="00505632" w:rsidP="00505632">
      <w:r>
        <w:t xml:space="preserve">Ministarstvo je nadležno za izdavanje uporabnih dozvola za određene građevine koje se nalaze na teritoriju cijele države. Prije početka uporabe građevine  u postupku izdavanja uporabne dozvole, provodi se tehnički pregled na kojem se utvrđuje je li građevina izgrađena u skladu s glavnim projektom koji je sastavni dio građevinske dozvole po kojoj je trebala biti izgrađena. </w:t>
      </w:r>
    </w:p>
    <w:p w:rsidR="00505632" w:rsidRDefault="00505632" w:rsidP="00505632">
      <w:r>
        <w:t>Građevine u nadležnosti Ministarstva nalaze na području cijele države te se tehnički pregled obavlja izvan mjesta u kojem se nalazi sjedište Ministarstva, a sukladno članku 147. Zakona o gradnji investitor je dužan nadoknaditi Ministarstvu putne troškove i dnevnice za predstavnike koji su bili na tehničkom pregledu u visini određenoj posebnim propisima.</w:t>
      </w:r>
    </w:p>
    <w:p w:rsidR="00505632" w:rsidRDefault="00505632" w:rsidP="00505632">
      <w:pPr>
        <w:pStyle w:val="Heading4"/>
      </w:pPr>
      <w:r>
        <w:t>A576256 UNAPREĐENJE STANOVANJA I KOMUNALNOG GOSPODARSTVA</w:t>
      </w:r>
    </w:p>
    <w:tbl>
      <w:tblPr>
        <w:tblStyle w:val="StilTablice"/>
        <w:tblW w:w="10206" w:type="dxa"/>
        <w:jc w:val="center"/>
        <w:tblLook w:val="04A0" w:firstRow="1" w:lastRow="0" w:firstColumn="1" w:lastColumn="0" w:noHBand="0" w:noVBand="1"/>
      </w:tblPr>
      <w:tblGrid>
        <w:gridCol w:w="1715"/>
        <w:gridCol w:w="2016"/>
        <w:gridCol w:w="2018"/>
        <w:gridCol w:w="2018"/>
        <w:gridCol w:w="1218"/>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A576256-UNAPREĐENJE STANOVANJA I KOMUNALNOG GOSPODARSTVA</w:t>
            </w:r>
          </w:p>
        </w:tc>
        <w:tc>
          <w:tcPr>
            <w:tcW w:w="2041" w:type="dxa"/>
          </w:tcPr>
          <w:p w:rsidR="00505632" w:rsidRDefault="00505632" w:rsidP="00AD4E52">
            <w:pPr>
              <w:pStyle w:val="CellColumn"/>
              <w:jc w:val="right"/>
            </w:pPr>
            <w:r>
              <w:rPr>
                <w:rFonts w:cs="Times New Roman"/>
              </w:rPr>
              <w:t>6.804.040</w:t>
            </w:r>
          </w:p>
        </w:tc>
        <w:tc>
          <w:tcPr>
            <w:tcW w:w="2041" w:type="dxa"/>
          </w:tcPr>
          <w:p w:rsidR="00505632" w:rsidRDefault="00505632" w:rsidP="00AD4E52">
            <w:pPr>
              <w:pStyle w:val="CellColumn"/>
              <w:jc w:val="right"/>
            </w:pPr>
            <w:r>
              <w:rPr>
                <w:rFonts w:cs="Times New Roman"/>
              </w:rPr>
              <w:t>30.459.750</w:t>
            </w:r>
          </w:p>
        </w:tc>
        <w:tc>
          <w:tcPr>
            <w:tcW w:w="2041" w:type="dxa"/>
          </w:tcPr>
          <w:p w:rsidR="00505632" w:rsidRDefault="00505632" w:rsidP="00AD4E52">
            <w:pPr>
              <w:pStyle w:val="CellColumn"/>
              <w:jc w:val="right"/>
            </w:pPr>
            <w:r>
              <w:rPr>
                <w:rFonts w:cs="Times New Roman"/>
              </w:rPr>
              <w:t>30.112.379</w:t>
            </w:r>
          </w:p>
        </w:tc>
        <w:tc>
          <w:tcPr>
            <w:tcW w:w="1224" w:type="dxa"/>
          </w:tcPr>
          <w:p w:rsidR="00505632" w:rsidRDefault="00505632" w:rsidP="00AD4E52">
            <w:pPr>
              <w:pStyle w:val="CellColumn"/>
              <w:jc w:val="right"/>
            </w:pPr>
            <w:r>
              <w:rPr>
                <w:rFonts w:cs="Times New Roman"/>
              </w:rPr>
              <w:t>98,9</w:t>
            </w:r>
          </w:p>
        </w:tc>
        <w:tc>
          <w:tcPr>
            <w:tcW w:w="1224" w:type="dxa"/>
          </w:tcPr>
          <w:p w:rsidR="00505632" w:rsidRDefault="00505632" w:rsidP="00AD4E52">
            <w:pPr>
              <w:pStyle w:val="CellColumn"/>
              <w:jc w:val="right"/>
            </w:pPr>
            <w:r>
              <w:rPr>
                <w:rFonts w:cs="Times New Roman"/>
              </w:rPr>
              <w:t>442,6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komunalnom gospodarstvu (NN 36/95, 70/97, 128/99, 57/00, 129/00, 59/01, 26/03, 82/04, 110/04, 178/04, 38/09, 79/09, 153/09, 49/11, 84/11, 90/11, 144/12, 94/13, 153/13, 147/14, 36/15); Zakon o najmu stanova (NN 91/1996, 48/1998 - odluka Ustavnog suda, 66/1998 - ispravak odluke Ustavnog suda i 22/2006 -  Zakon o prodaji stanova namijenjenih za nadstojnika stambene zgrade); Zakon o društveno poticanoj stanogradnji (NN 109/01, 82/04, 76/07, 38/09, 86/12, 07/13, 26/15); Zakon o gradnji (NN 153/13).</w:t>
      </w:r>
    </w:p>
    <w:p w:rsidR="00505632" w:rsidRDefault="00505632" w:rsidP="00505632">
      <w:pPr>
        <w:pStyle w:val="Heading8"/>
        <w:jc w:val="left"/>
      </w:pPr>
      <w:r>
        <w:t>Opis aktivnosti</w:t>
      </w:r>
    </w:p>
    <w:p w:rsidR="00505632" w:rsidRDefault="00505632" w:rsidP="00505632">
      <w:r>
        <w:t xml:space="preserve">U Ministarstvu se kontinuirano prati stanje u stanovanju i komunalnom gospodarstvu, kao i primjena zakonske regulative, te se po potrebi donose novi zakoni i podzakonski akti. </w:t>
      </w:r>
    </w:p>
    <w:p w:rsidR="00505632" w:rsidRDefault="00505632" w:rsidP="00505632">
      <w:r>
        <w:t xml:space="preserve">Ministarstvo je u 2016. godini nastavilo s programom financiranja projekata za poticanje razvoja komunalnog gospodarstva i komunalnog standarda u gradovima i općinama. </w:t>
      </w:r>
    </w:p>
    <w:p w:rsidR="00505632" w:rsidRDefault="00505632" w:rsidP="00505632">
      <w:r>
        <w:t xml:space="preserve">Poticanje razvoja komunalnog gospodarstva podrazumijeva aktivnosti koje će pridonijeti boljem obavljanju određenih komunalnih djelatnosti i isporuci komunalnih usluga (u kvalitativnom i kvantitativnom smislu), te time i većoj kvaliteti življenja stanovnika na području pojedine jedinice lokalne samouprave, poput: </w:t>
      </w:r>
    </w:p>
    <w:p w:rsidR="00505632" w:rsidRDefault="00505632" w:rsidP="00505632">
      <w:r>
        <w:t xml:space="preserve">- Izrade projektne i druge tehničke dokumentacije za izvođenje objekata i uređaja komunalne infrastrukture i izvođenje većih zahvata na investicijskom održavanju komunalne infrastrukture </w:t>
      </w:r>
    </w:p>
    <w:p w:rsidR="00505632" w:rsidRDefault="00505632" w:rsidP="00505632">
      <w:r>
        <w:t xml:space="preserve">- Izvođenja objekata i uređaja komunalne infrastrukture, izvođenja radova na investicijskom održavanju komunalne infrastrukture te uređenja javnih površina, nerazvrstanih cesta, </w:t>
      </w:r>
    </w:p>
    <w:p w:rsidR="00505632" w:rsidRDefault="00505632" w:rsidP="00505632">
      <w:r>
        <w:t xml:space="preserve"> javne rasvjete i drugih javnih prostora u naseljima; </w:t>
      </w:r>
    </w:p>
    <w:p w:rsidR="00505632" w:rsidRDefault="00505632" w:rsidP="00505632">
      <w:r>
        <w:t xml:space="preserve">- Nabavke opreme kojom će se znatno poboljšati kvaliteta isporuke komunalne usluge odnosno obavljanje određene komunalne djelatnosti te nabavke druge komunalne opreme za javne površine naselja. Ministarstvo je zaprimilo 712 zahtjeva za dodjelu kapitalne pomoći, a odobreno je 232 zahtjeva. </w:t>
      </w:r>
    </w:p>
    <w:p w:rsidR="00505632" w:rsidRDefault="00505632" w:rsidP="00505632">
      <w:r>
        <w:t xml:space="preserve">Uz to, Ministarstvo prikuplja i analizira podatke o standardu stanovanja te postojećim  mjerama iz područja stanovanja u Republici Hrvatskoj i iz područja održivog stanovanja u Europskoj uniji (EU); pruža podršku tijelima i organizacijama EU u izradi analiza stanja iz područja stanovanja temeljem zaprimljenih zahtjeva (Upitnik);sudjeluje u radu UNECE-a te tijela Europske unije u području stanovanja (housing focal point).  </w:t>
      </w:r>
    </w:p>
    <w:p w:rsidR="00505632" w:rsidRDefault="00505632" w:rsidP="00505632">
      <w:r>
        <w:t xml:space="preserve">Također, Arhitektonske politike Republike Hrvatske 2013-2020, ApolitikA, Nacionalne smjernice za vrsnoću i kulturu građenja donesene su i usvojene na sjednici Vlade Republike Hrvatske održanoj 29.11.2012.godine, a Ministarstvo je u suradnji s Hrvatskom komorom arhitekata objavilo publikaciju te trenutno aktivno promovira dokument, a uključeno je i kao jedan od glavnih aktera u proces implementacije ciljeva utvrđenih navedenim dokumentom. U tu svrhu odlukom Ministarstva osnovana je radna skupina za praćenje implementacije ciljeva, koja je dužna pružati sva pojašnjenja o predloženim akcijama kao i dati drugu stručnu pomoć vezano uz samu implementaciju. Osim navedenih poslova u djelokrugu poslova je i praćenje i provedba nadzora nad APN-om i Agencijama koje provode POS program. </w:t>
      </w:r>
    </w:p>
    <w:p w:rsidR="00505632" w:rsidRDefault="00505632" w:rsidP="00505632">
      <w:r>
        <w:t xml:space="preserve">Rad u povjerenstvima, odnosno radnim skupinama za izradu nacrta propisa u 2016. godini: </w:t>
      </w:r>
    </w:p>
    <w:p w:rsidR="00505632" w:rsidRDefault="00505632" w:rsidP="00505632">
      <w:r>
        <w:t>- Zakon o komunalnom gospodarstvu</w:t>
      </w:r>
    </w:p>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Postotak utrošenosti sredstava u proračunskoj godini  namijenjenih gradovima i općinama za poticanje razvoja komunalnog gospodarstva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MGIPU</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jc w:val="left"/>
      </w:pPr>
    </w:p>
    <w:p w:rsidR="00505632" w:rsidRDefault="00505632" w:rsidP="00505632">
      <w:pPr>
        <w:pStyle w:val="Heading4"/>
      </w:pPr>
      <w:r>
        <w:t>T538061 PROVEDBA PROJEKTA INTELIGENTNA ENERGIJA EUROPE (EPBD-CA)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T538061-PROVEDBA PROJEKTA INTELIGENTNA ENERGIJA EUROPE (EPBD-CA)</w:t>
            </w:r>
          </w:p>
        </w:tc>
        <w:tc>
          <w:tcPr>
            <w:tcW w:w="2041" w:type="dxa"/>
          </w:tcPr>
          <w:p w:rsidR="00505632" w:rsidRDefault="00505632" w:rsidP="00AD4E52">
            <w:pPr>
              <w:pStyle w:val="CellColumn"/>
              <w:jc w:val="right"/>
            </w:pPr>
            <w:r>
              <w:rPr>
                <w:rFonts w:cs="Times New Roman"/>
              </w:rPr>
              <w:t>120.882</w:t>
            </w:r>
          </w:p>
        </w:tc>
        <w:tc>
          <w:tcPr>
            <w:tcW w:w="2041" w:type="dxa"/>
          </w:tcPr>
          <w:p w:rsidR="00505632" w:rsidRDefault="00505632" w:rsidP="00AD4E52">
            <w:pPr>
              <w:pStyle w:val="CellColumn"/>
              <w:jc w:val="right"/>
            </w:pPr>
            <w:r>
              <w:rPr>
                <w:rFonts w:cs="Times New Roman"/>
              </w:rPr>
              <w:t>255.000</w:t>
            </w:r>
          </w:p>
        </w:tc>
        <w:tc>
          <w:tcPr>
            <w:tcW w:w="2041" w:type="dxa"/>
          </w:tcPr>
          <w:p w:rsidR="00505632" w:rsidRDefault="00505632" w:rsidP="00AD4E52">
            <w:pPr>
              <w:pStyle w:val="CellColumn"/>
              <w:jc w:val="right"/>
            </w:pPr>
            <w:r>
              <w:rPr>
                <w:rFonts w:cs="Times New Roman"/>
              </w:rPr>
              <w:t>68.216</w:t>
            </w:r>
          </w:p>
        </w:tc>
        <w:tc>
          <w:tcPr>
            <w:tcW w:w="1224" w:type="dxa"/>
          </w:tcPr>
          <w:p w:rsidR="00505632" w:rsidRDefault="00505632" w:rsidP="00AD4E52">
            <w:pPr>
              <w:pStyle w:val="CellColumn"/>
              <w:jc w:val="right"/>
            </w:pPr>
            <w:r>
              <w:rPr>
                <w:rFonts w:cs="Times New Roman"/>
              </w:rPr>
              <w:t>26,8</w:t>
            </w:r>
          </w:p>
        </w:tc>
        <w:tc>
          <w:tcPr>
            <w:tcW w:w="1224" w:type="dxa"/>
          </w:tcPr>
          <w:p w:rsidR="00505632" w:rsidRDefault="00505632" w:rsidP="00AD4E52">
            <w:pPr>
              <w:pStyle w:val="CellColumn"/>
              <w:jc w:val="right"/>
            </w:pPr>
            <w:r>
              <w:rPr>
                <w:rFonts w:cs="Times New Roman"/>
              </w:rPr>
              <w:t>56,4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gradnji (NN 153/13) prenosi Direktivu EPBD, Ministarstvo je tijelo imenovano za prijenos EPBD  i za članicu Projekta CA-EPBD (klasa: 360-01/09-05/3, urbroj 531-01-09-1 od 10. prosinca 2009.).</w:t>
      </w:r>
    </w:p>
    <w:p w:rsidR="00505632" w:rsidRDefault="00505632" w:rsidP="00505632">
      <w:pPr>
        <w:pStyle w:val="Heading8"/>
        <w:jc w:val="left"/>
      </w:pPr>
      <w:r>
        <w:t>Opis aktivnosti</w:t>
      </w:r>
    </w:p>
    <w:p w:rsidR="00505632" w:rsidRDefault="00505632" w:rsidP="00505632">
      <w:r>
        <w:t xml:space="preserve">Aktivnosti sudjelovanja na Projektu,  utvrđeni su  u Ugovoru  GRANT AGREEMENT No 692447-CA IV_EPBD i Dodatkom AMENDMENT No AMD -692447-3: </w:t>
      </w:r>
    </w:p>
    <w:p w:rsidR="00505632" w:rsidRDefault="00505632" w:rsidP="00505632">
      <w:r>
        <w:t xml:space="preserve">- sudjelovanje na plenarnim sjednicama (4) i pomoć oko izvještaja </w:t>
      </w:r>
    </w:p>
    <w:p w:rsidR="00505632" w:rsidRDefault="00505632" w:rsidP="00505632">
      <w:r>
        <w:t xml:space="preserve">- priprema i podnošenje National Report za CA4 EPBD Book  te KIDs ( draft i final ) </w:t>
      </w:r>
    </w:p>
    <w:p w:rsidR="00505632" w:rsidRDefault="00505632" w:rsidP="00505632">
      <w:r>
        <w:t xml:space="preserve">Poslovi člana Upravljačkog tijela Projekta i vođenje tima CCT3 – utvrđeni su  navedenim Ugovorom.  </w:t>
      </w:r>
    </w:p>
    <w:p w:rsidR="00505632" w:rsidRDefault="00505632" w:rsidP="00505632">
      <w:r>
        <w:t xml:space="preserve">- Sudjelovanje na sastancima Upravljačkog tijela </w:t>
      </w:r>
    </w:p>
    <w:p w:rsidR="00505632" w:rsidRDefault="00505632" w:rsidP="00505632">
      <w:r>
        <w:t xml:space="preserve">- Organizacija, priprema i sudjelovanje na plenarnim sjednicama, radnim grupama i vođenje tima (CCT3),   </w:t>
      </w:r>
    </w:p>
    <w:p w:rsidR="00505632" w:rsidRDefault="00505632" w:rsidP="00505632">
      <w:r>
        <w:t xml:space="preserve">- Potpora Kordinatoru CA4 EPBD, </w:t>
      </w:r>
    </w:p>
    <w:p w:rsidR="00505632" w:rsidRDefault="00505632" w:rsidP="00505632">
      <w:r>
        <w:t xml:space="preserve">- Priprema materijala za sesije,  </w:t>
      </w:r>
    </w:p>
    <w:p w:rsidR="00505632" w:rsidRDefault="00505632" w:rsidP="00505632">
      <w:r>
        <w:t>- Izvještaji o progresu Projekta ( Central Team evolving strategic Report, Summary Report, Fact Sheets, Contribution to website). Svi poslovi su odrađeni u okviru rokova i proračuna Projekta.</w:t>
      </w:r>
    </w:p>
    <w:p w:rsidR="00505632" w:rsidRDefault="00505632" w:rsidP="00505632">
      <w:pPr>
        <w:pStyle w:val="Heading2"/>
      </w:pPr>
      <w:r>
        <w:t>07610 Hrvatski zavod za prostorni razvoj</w:t>
      </w:r>
    </w:p>
    <w:p w:rsidR="00505632" w:rsidRDefault="00505632" w:rsidP="00505632">
      <w:r>
        <w:t xml:space="preserve">Tijekom 2013. godine, temeljem odredbi čl. 30.-37., čl. 338. i čl. 339. Zakona o prostornom uređenju i gradnji (Narodne novine, br. 76/2007, 38/2009, 55/2011, 90/2011, 50/2012 i55/2012), osnovan je Hrvatski zavod za prostorni razvoj, za potrebe obavljanja stručnih poslova prostornog uređenja za Državu. Osnivač Zavoda je Republika Hrvatska, a osnivačka prava ostvaruje Vlada Republike Hrvatske. Istovremeno s početkom rada Zavoda, 1. siječnja </w:t>
      </w:r>
    </w:p>
    <w:p w:rsidR="00505632" w:rsidRDefault="00505632" w:rsidP="00505632">
      <w:r>
        <w:t xml:space="preserve">2014. godine stupio je na snagu Zakon o prostornom uređenju (Narodne novine, broj 153/2013) (u daljnjem tekstu: Zakon). </w:t>
      </w:r>
    </w:p>
    <w:p w:rsidR="00505632" w:rsidRDefault="00505632" w:rsidP="00505632">
      <w:r>
        <w:t xml:space="preserve">Odredbom članka 19. Zakona određeno je da djelatnost Zavoda obuhvaća osobito: </w:t>
      </w:r>
    </w:p>
    <w:p w:rsidR="00505632" w:rsidRDefault="00505632" w:rsidP="00505632">
      <w:r>
        <w:t xml:space="preserve">- izradu, odnosno koordinaciju izrade i praćenje provedbe Državnog plana prostornog razvoja i drugih prostornih planova koje donosi Hrvatski sabor ili Vlada </w:t>
      </w:r>
    </w:p>
    <w:p w:rsidR="00505632" w:rsidRDefault="00505632" w:rsidP="00505632">
      <w:r>
        <w:t xml:space="preserve">- izradu, odnosno koordinaciju izrade i suradnju u izradi drugih dokumenata od važnosti za prostorno uređenje i zaštitu prostora Države </w:t>
      </w:r>
    </w:p>
    <w:p w:rsidR="00505632" w:rsidRDefault="00505632" w:rsidP="00505632">
      <w:r>
        <w:t xml:space="preserve">- vođenje, razvoj i upravljanje informacijskog sustava prostornog uređenja </w:t>
      </w:r>
    </w:p>
    <w:p w:rsidR="00505632" w:rsidRDefault="00505632" w:rsidP="00505632">
      <w:r>
        <w:t xml:space="preserve">- pripremu liste pokazatelja o stanju u prostoru </w:t>
      </w:r>
    </w:p>
    <w:p w:rsidR="00505632" w:rsidRDefault="00505632" w:rsidP="00505632">
      <w:r>
        <w:t xml:space="preserve">- izradu, odnosno vođenje izrade izvješća o stanju u prostoru Države </w:t>
      </w:r>
    </w:p>
    <w:p w:rsidR="00505632" w:rsidRDefault="00505632" w:rsidP="00505632">
      <w:r>
        <w:t xml:space="preserve">- obavljanje stručnih poslova za određivanje sadržaja i metodologije prostornog planiranja u izradi prostornih planova i praćenju stanja u prostoru </w:t>
      </w:r>
    </w:p>
    <w:p w:rsidR="00505632" w:rsidRDefault="00505632" w:rsidP="00505632">
      <w:r>
        <w:t xml:space="preserve">- suradnju s osobama, međunarodnim tijelima, institucijama i udrugama na izradi i provedbi projekata i programa iz područja prostornog uređenja </w:t>
      </w:r>
    </w:p>
    <w:p w:rsidR="00505632" w:rsidRDefault="00505632" w:rsidP="00505632">
      <w:r>
        <w:t xml:space="preserve">- sudjelovanje u provedbi međunarodnih obveza Republike Hrvatske iz područja prostornog uređenja </w:t>
      </w:r>
    </w:p>
    <w:p w:rsidR="00505632" w:rsidRDefault="00505632" w:rsidP="00505632">
      <w:r>
        <w:t xml:space="preserve">- osiguravanje uvjeta za pristup informacijama o prostoru, kojima raspolaže </w:t>
      </w:r>
    </w:p>
    <w:p w:rsidR="00505632" w:rsidRDefault="00505632" w:rsidP="00505632">
      <w:r>
        <w:t xml:space="preserve">- sudjelovanje u izradi sektorskih strategija, planova, studija i drugih dokumenata državne razine propisanih posebnim zakonima </w:t>
      </w:r>
    </w:p>
    <w:p w:rsidR="00505632" w:rsidRDefault="00505632" w:rsidP="00505632">
      <w:r>
        <w:t>- druge poslove u skladu s ovim Zakonom, posebnim propisima i statutom Zavoda.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07610-Hrvatski zavod za prostorni razvoj</w:t>
            </w:r>
          </w:p>
        </w:tc>
        <w:tc>
          <w:tcPr>
            <w:tcW w:w="2041" w:type="dxa"/>
            <w:vAlign w:val="top"/>
          </w:tcPr>
          <w:p w:rsidR="00505632" w:rsidRDefault="00505632" w:rsidP="00AD4E52">
            <w:pPr>
              <w:pStyle w:val="CellColumn"/>
              <w:jc w:val="right"/>
            </w:pPr>
            <w:r>
              <w:rPr>
                <w:rFonts w:cs="Times New Roman"/>
              </w:rPr>
              <w:t>7.130.625</w:t>
            </w:r>
          </w:p>
        </w:tc>
        <w:tc>
          <w:tcPr>
            <w:tcW w:w="2041" w:type="dxa"/>
            <w:vAlign w:val="top"/>
          </w:tcPr>
          <w:p w:rsidR="00505632" w:rsidRDefault="00505632" w:rsidP="00AD4E52">
            <w:pPr>
              <w:pStyle w:val="CellColumn"/>
              <w:jc w:val="right"/>
            </w:pPr>
            <w:r>
              <w:rPr>
                <w:rFonts w:cs="Times New Roman"/>
              </w:rPr>
              <w:t>8.497.650</w:t>
            </w:r>
          </w:p>
        </w:tc>
        <w:tc>
          <w:tcPr>
            <w:tcW w:w="2041" w:type="dxa"/>
            <w:vAlign w:val="top"/>
          </w:tcPr>
          <w:p w:rsidR="00505632" w:rsidRDefault="00505632" w:rsidP="00AD4E52">
            <w:pPr>
              <w:pStyle w:val="CellColumn"/>
              <w:jc w:val="right"/>
            </w:pPr>
            <w:r>
              <w:rPr>
                <w:rFonts w:cs="Times New Roman"/>
              </w:rPr>
              <w:t>5.872.880</w:t>
            </w:r>
          </w:p>
        </w:tc>
        <w:tc>
          <w:tcPr>
            <w:tcW w:w="1224" w:type="dxa"/>
            <w:vAlign w:val="top"/>
          </w:tcPr>
          <w:p w:rsidR="00505632" w:rsidRDefault="00505632" w:rsidP="00AD4E52">
            <w:pPr>
              <w:pStyle w:val="CellColumn"/>
              <w:jc w:val="right"/>
            </w:pPr>
            <w:r>
              <w:rPr>
                <w:rFonts w:cs="Times New Roman"/>
              </w:rPr>
              <w:t>69,1</w:t>
            </w:r>
          </w:p>
        </w:tc>
        <w:tc>
          <w:tcPr>
            <w:tcW w:w="1224" w:type="dxa"/>
            <w:vAlign w:val="top"/>
          </w:tcPr>
          <w:p w:rsidR="00505632" w:rsidRDefault="00505632" w:rsidP="00AD4E52">
            <w:pPr>
              <w:pStyle w:val="CellColumn"/>
              <w:jc w:val="right"/>
            </w:pPr>
            <w:r>
              <w:rPr>
                <w:rFonts w:cs="Times New Roman"/>
              </w:rPr>
              <w:t>82,4</w:t>
            </w:r>
          </w:p>
        </w:tc>
      </w:tr>
      <w:tr w:rsidR="00505632" w:rsidTr="00AD4E52">
        <w:trPr>
          <w:jc w:val="center"/>
        </w:trPr>
        <w:tc>
          <w:tcPr>
            <w:tcW w:w="1632" w:type="dxa"/>
          </w:tcPr>
          <w:p w:rsidR="00505632" w:rsidRDefault="00505632" w:rsidP="00AD4E52">
            <w:pPr>
              <w:jc w:val="left"/>
            </w:pPr>
            <w:r>
              <w:t>3501-RAZVOJ I UPRAVLJANJE PROSTORNIM UREĐENJEM</w:t>
            </w:r>
          </w:p>
        </w:tc>
        <w:tc>
          <w:tcPr>
            <w:tcW w:w="2041" w:type="dxa"/>
          </w:tcPr>
          <w:p w:rsidR="00505632" w:rsidRDefault="00505632" w:rsidP="00AD4E52">
            <w:pPr>
              <w:jc w:val="right"/>
            </w:pPr>
            <w:r>
              <w:t>7.130.625</w:t>
            </w:r>
          </w:p>
        </w:tc>
        <w:tc>
          <w:tcPr>
            <w:tcW w:w="2041" w:type="dxa"/>
          </w:tcPr>
          <w:p w:rsidR="00505632" w:rsidRDefault="00505632" w:rsidP="00AD4E52">
            <w:pPr>
              <w:jc w:val="right"/>
            </w:pPr>
            <w:r>
              <w:t>8.497.650</w:t>
            </w:r>
          </w:p>
        </w:tc>
        <w:tc>
          <w:tcPr>
            <w:tcW w:w="2041" w:type="dxa"/>
          </w:tcPr>
          <w:p w:rsidR="00505632" w:rsidRDefault="00505632" w:rsidP="00AD4E52">
            <w:pPr>
              <w:jc w:val="right"/>
            </w:pPr>
            <w:r>
              <w:t>5.872.880</w:t>
            </w:r>
          </w:p>
        </w:tc>
        <w:tc>
          <w:tcPr>
            <w:tcW w:w="1224" w:type="dxa"/>
          </w:tcPr>
          <w:p w:rsidR="00505632" w:rsidRDefault="00505632" w:rsidP="00AD4E52">
            <w:pPr>
              <w:jc w:val="right"/>
            </w:pPr>
            <w:r>
              <w:t>69,1</w:t>
            </w:r>
          </w:p>
        </w:tc>
        <w:tc>
          <w:tcPr>
            <w:tcW w:w="1224" w:type="dxa"/>
          </w:tcPr>
          <w:p w:rsidR="00505632" w:rsidRDefault="00505632" w:rsidP="00AD4E52">
            <w:pPr>
              <w:jc w:val="right"/>
            </w:pPr>
            <w:r>
              <w:t>82,4</w:t>
            </w:r>
          </w:p>
        </w:tc>
      </w:tr>
    </w:tbl>
    <w:p w:rsidR="00505632" w:rsidRDefault="00505632" w:rsidP="00505632">
      <w:pPr>
        <w:jc w:val="left"/>
      </w:pPr>
    </w:p>
    <w:p w:rsidR="00505632" w:rsidRDefault="00505632" w:rsidP="00505632">
      <w:pPr>
        <w:pStyle w:val="Heading4"/>
      </w:pPr>
      <w:r>
        <w:t>A576151 IZRADA I PRAĆENJE PROVEDBE DOKUMENATA PROSTORNOG UREĐENJA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A576151-IZRADA I PRAĆENJE PROVEDBE DOKUMENATA PROSTORNOG UREĐENJA</w:t>
            </w:r>
          </w:p>
        </w:tc>
        <w:tc>
          <w:tcPr>
            <w:tcW w:w="2041" w:type="dxa"/>
          </w:tcPr>
          <w:p w:rsidR="00505632" w:rsidRDefault="00505632" w:rsidP="00AD4E52">
            <w:pPr>
              <w:pStyle w:val="CellColumn"/>
              <w:jc w:val="right"/>
            </w:pPr>
            <w:r>
              <w:rPr>
                <w:rFonts w:cs="Times New Roman"/>
              </w:rPr>
              <w:t>2.677.819</w:t>
            </w:r>
          </w:p>
        </w:tc>
        <w:tc>
          <w:tcPr>
            <w:tcW w:w="2041" w:type="dxa"/>
          </w:tcPr>
          <w:p w:rsidR="00505632" w:rsidRDefault="00505632" w:rsidP="00AD4E52">
            <w:pPr>
              <w:pStyle w:val="CellColumn"/>
              <w:jc w:val="right"/>
            </w:pPr>
            <w:r>
              <w:rPr>
                <w:rFonts w:cs="Times New Roman"/>
              </w:rPr>
              <w:t>2.427.250</w:t>
            </w:r>
          </w:p>
        </w:tc>
        <w:tc>
          <w:tcPr>
            <w:tcW w:w="2041" w:type="dxa"/>
          </w:tcPr>
          <w:p w:rsidR="00505632" w:rsidRDefault="00505632" w:rsidP="00AD4E52">
            <w:pPr>
              <w:pStyle w:val="CellColumn"/>
              <w:jc w:val="right"/>
            </w:pPr>
            <w:r>
              <w:rPr>
                <w:rFonts w:cs="Times New Roman"/>
              </w:rPr>
              <w:t>1.608.884</w:t>
            </w:r>
          </w:p>
        </w:tc>
        <w:tc>
          <w:tcPr>
            <w:tcW w:w="1224" w:type="dxa"/>
          </w:tcPr>
          <w:p w:rsidR="00505632" w:rsidRDefault="00505632" w:rsidP="00AD4E52">
            <w:pPr>
              <w:pStyle w:val="CellColumn"/>
              <w:jc w:val="right"/>
            </w:pPr>
            <w:r>
              <w:rPr>
                <w:rFonts w:cs="Times New Roman"/>
              </w:rPr>
              <w:t>66,3</w:t>
            </w:r>
          </w:p>
        </w:tc>
        <w:tc>
          <w:tcPr>
            <w:tcW w:w="1224" w:type="dxa"/>
          </w:tcPr>
          <w:p w:rsidR="00505632" w:rsidRDefault="00505632" w:rsidP="00AD4E52">
            <w:pPr>
              <w:pStyle w:val="CellColumn"/>
              <w:jc w:val="right"/>
            </w:pPr>
            <w:r>
              <w:rPr>
                <w:rFonts w:cs="Times New Roman"/>
              </w:rPr>
              <w:t>60,1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prostornom uređenju (NN 153/2013).</w:t>
      </w:r>
    </w:p>
    <w:p w:rsidR="00505632" w:rsidRDefault="00505632" w:rsidP="00505632">
      <w:pPr>
        <w:pStyle w:val="Heading8"/>
        <w:jc w:val="left"/>
      </w:pPr>
      <w:r>
        <w:t>Opis aktivnosti</w:t>
      </w:r>
    </w:p>
    <w:p w:rsidR="00505632" w:rsidRDefault="00505632" w:rsidP="00505632">
      <w:r>
        <w:t xml:space="preserve">Unapređenje stanja dokumenata prostornog uređenja kroz izradu i donošenje tih dokumenata temeljna je pretpostavka za održivo prostorno uređenje, posebno kada je riječ o dokumentima koje donosi Hrvatski sabor (Strategija prostornog razvoja RH, Izvješće o stanju u prostoru, Državni plan prostornog razvoja, prostorni planovi područja posebnih obilježja) odnosno Vlada RH (urbanistički planovi uređenja državnog značaja).  </w:t>
      </w:r>
    </w:p>
    <w:p w:rsidR="00505632" w:rsidRDefault="00505632" w:rsidP="00505632">
      <w:r>
        <w:t xml:space="preserve">Provedena je revizija Nacrta prijedloga Strategije prostornog razvoja RH (SPRRH) i njegovo upućivanje na mišljenje svim ministarstvima, zajednici općina i gradova te zajednici županija u Republici Hrvatskoj. Nacrt prijedloga SPRRH je u lipnju 2016. godine upućen Vladi RH u proceduru donošenja, ali nije uvršten na dnevni red i nije bio proslijeđen Hrvatskom saboru zbog donesene odluke o njegovom raspuštanju. Prema uputi stručne službe Vlade RH, u zadnjem kvartalu 2016. pokrenut je ponovni postupak prikupljanja mišljenja svih nadležnih tijela, radi upućivanja  Vladi RH, odnosno Hrvatskom saboru, na donošenje.  </w:t>
      </w:r>
    </w:p>
    <w:p w:rsidR="00505632" w:rsidRDefault="00505632" w:rsidP="00505632">
      <w:r>
        <w:t xml:space="preserve">S obzirom da Odluka o izradi DPPR-a nije donesena iz objektivnih razloga (nije donesena SPRRH), nastavljeno je s pripremnim radovima za njegovu izradu. U svrhu izrade stručne podloge za DPPR, nastavljen je projekt Obrada podataka prostornih planova uređenja općina i gradova, te županija, u sklopu kojeg su sklopljeni sporazumi o obradi podataka sa zavodima za prostorno uređenje koji nisu bili u mogućnosti sudjelovati u projektu u prethodnoj 2015. godini, odnosno sporazuma sa zavodima koji su u projektu sudjelovali 2015. godine o ažuriranju prethodno obrađenih podataka podacima iz prostornih planova koji su izmijenjeni u razdoblju od dovršetka obrade u 2015. godini do zaključno 1. rujna 2016. U 2016. godini izvršeno je ukupno 93 ažuriranja i to 4 ažuriranja prostornih planova županija i 89 ažuriranja prostornih planova uređenja gradova i općina. U 2016. godini izvršeno je ukupno 150 obrada i to 5 obrada prostornih plana županija i 145 obrada prostornih planova uređenja gradova i općina. Rezultat ažuriranja i obrada su potpuno obrađeni podaci za 19 županija i Grad Zagreb, dok je za područje Splitsko-dalmatinske županije podaci djelomično obrađeni.  </w:t>
      </w:r>
    </w:p>
    <w:p w:rsidR="00505632" w:rsidRDefault="00505632" w:rsidP="00505632">
      <w:r>
        <w:t xml:space="preserve">Nastavno na aktivnosti započete u 2015. godini, u 2016. je nastavljena koordinacija izrade Nacrta prijedloga Prostornog plana Parka prirode Papuk. Ugovorena je  usluga izrade Studije o značajnom utjecaju Prostornog plana Parka prirode Papuk na okoliš, uključujući poglavlje – Glavna ocjena prihvatljivosti Plana za ekološku mrežu, te je započet postupak strateške procjene utjecaja na okoliš Plana i proveden postupak rasprave o sadržaju Studije. </w:t>
      </w:r>
    </w:p>
    <w:p w:rsidR="00505632" w:rsidRDefault="00505632" w:rsidP="00505632">
      <w:r>
        <w:t xml:space="preserve">Dovršena je izrada Nacrta prijedloga UPU-a državnog značaja Vršna zona i UPU-a državnog značaja Skijaški kompleks i izrada strateških studija o značajnom utjecaju oba plana na okoliš. Organiziran je i proveden rad savjetodavnih stručnih povjerenstava za stratešku procjenu utjecaja na okoliš, te su prijedlozi Odluke o utvrđivanju Prijedloga UPU-a državnog značaja Vršna zona za javnu raspravu i Odluke o utvrđivanju Prijedloga UPU-a državnog značaja Skijaški kompleks za javnu raspravu, s Nacrtima prijedloga plana, upućeni na mišljenje javnopravnim tijelima prije upućivanja na donošenje Vladi RH (Vlada RH donijela je navedene odluke 19. siječnja 2017.). </w:t>
      </w:r>
    </w:p>
    <w:p w:rsidR="00505632" w:rsidRDefault="00505632" w:rsidP="00505632">
      <w:r>
        <w:t xml:space="preserve">Pripremljen je projektni zadatak i sklopljeni su sporazumi sa Zavodom za prostorno uređenje Zadarske županije i Zavodom za prostorno uređenje Ličko-senjske županije o izradi Stručno-analitičke podloge za izradu Prostornog plana Parka prirode Velebit. Nastavljen je rad na izradi i dovršetku stručnih podloga za izradu prostornih planova Nacionalnog parka Krka, Nacionalnog parka Kornati, Nacionalnog parka Mljet i Parka prirode Lastovsko otočje. </w:t>
      </w:r>
    </w:p>
    <w:p w:rsidR="00505632" w:rsidRDefault="00505632" w:rsidP="00505632">
      <w:r>
        <w:t>Pripremljeni su projektni zadaci i potpisani sporazumi sa šest zavoda za prostorno uređenje županija odnosno Grada Zagreba o provedbi pilot-projekata za utvrđivanje metodologije sanacije nezakonite gradnje, s planiranom provedbom u 2017. godini.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Državni plan prostornog razvoja</w:t>
            </w:r>
          </w:p>
        </w:tc>
        <w:tc>
          <w:tcPr>
            <w:tcW w:w="2551" w:type="dxa"/>
          </w:tcPr>
          <w:p w:rsidR="00505632" w:rsidRDefault="00505632" w:rsidP="00AD4E52">
            <w:pPr>
              <w:pStyle w:val="CellColumn"/>
              <w:jc w:val="left"/>
            </w:pPr>
            <w:r>
              <w:rPr>
                <w:rFonts w:cs="Times New Roman"/>
              </w:rPr>
              <w:t>Izrada Državnog plana prostornog razvoja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Zavod</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5</w:t>
            </w:r>
          </w:p>
        </w:tc>
      </w:tr>
      <w:tr w:rsidR="00505632" w:rsidTr="00AD4E52">
        <w:trPr>
          <w:jc w:val="center"/>
        </w:trPr>
        <w:tc>
          <w:tcPr>
            <w:tcW w:w="2551" w:type="dxa"/>
          </w:tcPr>
          <w:p w:rsidR="00505632" w:rsidRDefault="00505632" w:rsidP="00AD4E52">
            <w:pPr>
              <w:pStyle w:val="CellColumn"/>
              <w:jc w:val="left"/>
            </w:pPr>
            <w:r>
              <w:rPr>
                <w:rFonts w:cs="Times New Roman"/>
              </w:rPr>
              <w:t>Izmjene i dopune važećih prostornih planova područja posebnih obilježja ili novi plan</w:t>
            </w:r>
          </w:p>
        </w:tc>
        <w:tc>
          <w:tcPr>
            <w:tcW w:w="2551" w:type="dxa"/>
          </w:tcPr>
          <w:p w:rsidR="00505632" w:rsidRDefault="00505632" w:rsidP="00AD4E52">
            <w:pPr>
              <w:pStyle w:val="CellColumn"/>
              <w:jc w:val="left"/>
            </w:pPr>
            <w:r>
              <w:rPr>
                <w:rFonts w:cs="Times New Roman"/>
              </w:rPr>
              <w:t>Koordinacija izrade izmjene i dopune važećih prostornih planova područja posebnih obilježja ili novi plan</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Zavod</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Urbanistički plan uređenja državnog značaja</w:t>
            </w:r>
          </w:p>
        </w:tc>
        <w:tc>
          <w:tcPr>
            <w:tcW w:w="2551" w:type="dxa"/>
          </w:tcPr>
          <w:p w:rsidR="00505632" w:rsidRDefault="00505632" w:rsidP="00AD4E52">
            <w:pPr>
              <w:pStyle w:val="CellColumn"/>
              <w:jc w:val="left"/>
            </w:pPr>
            <w:r>
              <w:rPr>
                <w:rFonts w:cs="Times New Roman"/>
              </w:rPr>
              <w:t>Koordinacija izrade urbanističkog plana uređenja državnog značaja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Zavod</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A576269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A576269-ADMINISTRACIJA I UPRAVLJANJE</w:t>
            </w:r>
          </w:p>
        </w:tc>
        <w:tc>
          <w:tcPr>
            <w:tcW w:w="2041" w:type="dxa"/>
          </w:tcPr>
          <w:p w:rsidR="00505632" w:rsidRDefault="00505632" w:rsidP="00AD4E52">
            <w:pPr>
              <w:pStyle w:val="CellColumn"/>
              <w:jc w:val="right"/>
            </w:pPr>
            <w:r>
              <w:rPr>
                <w:rFonts w:cs="Times New Roman"/>
              </w:rPr>
              <w:t>3.163.044</w:t>
            </w:r>
          </w:p>
        </w:tc>
        <w:tc>
          <w:tcPr>
            <w:tcW w:w="2041" w:type="dxa"/>
          </w:tcPr>
          <w:p w:rsidR="00505632" w:rsidRDefault="00505632" w:rsidP="00AD4E52">
            <w:pPr>
              <w:pStyle w:val="CellColumn"/>
              <w:jc w:val="right"/>
            </w:pPr>
            <w:r>
              <w:rPr>
                <w:rFonts w:cs="Times New Roman"/>
              </w:rPr>
              <w:t>3.801.900</w:t>
            </w:r>
          </w:p>
        </w:tc>
        <w:tc>
          <w:tcPr>
            <w:tcW w:w="2041" w:type="dxa"/>
          </w:tcPr>
          <w:p w:rsidR="00505632" w:rsidRDefault="00505632" w:rsidP="00AD4E52">
            <w:pPr>
              <w:pStyle w:val="CellColumn"/>
              <w:jc w:val="right"/>
            </w:pPr>
            <w:r>
              <w:rPr>
                <w:rFonts w:cs="Times New Roman"/>
              </w:rPr>
              <w:t>3.238.571</w:t>
            </w:r>
          </w:p>
        </w:tc>
        <w:tc>
          <w:tcPr>
            <w:tcW w:w="1224" w:type="dxa"/>
          </w:tcPr>
          <w:p w:rsidR="00505632" w:rsidRDefault="00505632" w:rsidP="00AD4E52">
            <w:pPr>
              <w:pStyle w:val="CellColumn"/>
              <w:jc w:val="right"/>
            </w:pPr>
            <w:r>
              <w:rPr>
                <w:rFonts w:cs="Times New Roman"/>
              </w:rPr>
              <w:t>85,2</w:t>
            </w:r>
          </w:p>
        </w:tc>
        <w:tc>
          <w:tcPr>
            <w:tcW w:w="1224" w:type="dxa"/>
          </w:tcPr>
          <w:p w:rsidR="00505632" w:rsidRDefault="00505632" w:rsidP="00AD4E52">
            <w:pPr>
              <w:pStyle w:val="CellColumn"/>
              <w:jc w:val="right"/>
            </w:pPr>
            <w:r>
              <w:rPr>
                <w:rFonts w:cs="Times New Roman"/>
              </w:rPr>
              <w:t>102,4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prostornom uređenju (NN 153/2013).</w:t>
      </w:r>
    </w:p>
    <w:p w:rsidR="00505632" w:rsidRDefault="00505632" w:rsidP="00505632">
      <w:pPr>
        <w:pStyle w:val="Heading8"/>
        <w:jc w:val="left"/>
      </w:pPr>
      <w:r>
        <w:t>Opis aktivnosti</w:t>
      </w:r>
    </w:p>
    <w:p w:rsidR="00505632" w:rsidRDefault="00505632" w:rsidP="00505632">
      <w:r>
        <w:t xml:space="preserve">Kroz ovu se aktivnost omogućuje ostvarenje zacrtanih zadataka iz djelatnosti Zavoda, uključujući zapošljavanje, troškove djelatnika i njihovih materijalnih prava, doprinosa, službenih putovanja, stručnog usavršavanja, materijalnih troškova roba i usluga, redovne režije, naknade, premije osiguranja.  </w:t>
      </w:r>
    </w:p>
    <w:p w:rsidR="00505632" w:rsidRDefault="00505632" w:rsidP="00505632">
      <w:r>
        <w:t xml:space="preserve">Aktivnošću su obuhvaćene i međunarodne obveze (sudjelovanje u radu radnih skupina EU za teritorijalnu koheziju i za urbani razvoj na ekspertnoj i direktorskoj razini, kao i aktivnosti imenovane kontakt-točke programa ESPON u Hrvatskoj), koje proizlaze iz čl. 19. Zakona o prostornom uređenju i imenovanja od strane ministra graditeljstva i prostornog uređenja, kao i aktivnosti vezane uz organizaciju stručnih skupova i izdavanje stručnih publikacija. </w:t>
      </w:r>
    </w:p>
    <w:p w:rsidR="00505632" w:rsidRDefault="00505632" w:rsidP="00505632">
      <w:r>
        <w:t xml:space="preserve">Nastavljeno je sudjelovanje u radu radnih  EU za teritorijalnu koheziju i urbani razvoj te izvršavanje obveza Zavoda kao nacionalne kontakt-točke EU programa ESPON 2020. Za potrebe praćenje razvoja Urbane agende za EU, ministar graditeljstva i prostornoga uređenja imenovao je neformalnu međuresornu radnu skupinu čije aktivnosti koordinira Zavod.  </w:t>
      </w:r>
    </w:p>
    <w:p w:rsidR="00505632" w:rsidRDefault="00505632" w:rsidP="00505632">
      <w:r>
        <w:t xml:space="preserve">U svrhu pripreme sudjelovanja i izrade Nacionalnog doprinosa Republike Hrvatske za UN Habitat III konferenciju, ministar graditeljstva i prostornoga uređenja Lovro Kuščević je 3. svibnja 2016. godine donio Odluku o osnivanju Neformalne međuresorne radne skupine (NMRS) zadužene za prikupljanje potrebnih resornih podataka za izradu Nacionalnog doprinosa RH, koje je nakon toga objedinio ovaj Zavod. Nacionalni doprinos upućen je UN Habitatu i objavljen u obliku tiskane publikacije i e-knjige na hrvatskom jeziku.  </w:t>
      </w:r>
    </w:p>
    <w:p w:rsidR="00505632" w:rsidRDefault="00505632" w:rsidP="00505632">
      <w:r>
        <w:t xml:space="preserve">Prijavljen je i odobren za financiranje iz EMFF-a EU projekt SUPREME čiji je cilj podržati implementaciju prostornog planiranja morskog područja i uspostaviti stabilnu prekograničnu suradnju zemalja članica EU u području istočnog Sredozemlja, a početak provedbe  predviđen u prvoj polovici 2017. godine. </w:t>
      </w:r>
    </w:p>
    <w:p w:rsidR="00505632" w:rsidRDefault="00505632" w:rsidP="00505632">
      <w:r>
        <w:t xml:space="preserve">Organiziran je stručni skup pod nazivom „Strategije urbane regeneracije“, održan u Zagrebu 9. i 10. lipnja 2016. u velikoj predavaonici Arhitektonskog fakulteta, Kačićeva 26. Stručni skup sagledao je temu urbane regeneracije uz prezentacije više od 20 relevantnih domaćih i inozemnih stručnjaka, posebice arhitekata, urbanista i krajobraznih arhitekata te predstavnika jedinica lokalne samouprave, koji su kroz izlaganja i diskusije uz pomoć moderatora dali osnovne smjernice urbane regeneracije. Zbornik stručnog skupa, koji sadrži 32 stručna rada podijeljena u pet tematskih cjelina, izdan je u tiskanom obliku i u obliku e-knjige i može se bez naknade preuzeti na web-stranici HZPR-a.  </w:t>
      </w:r>
    </w:p>
    <w:p w:rsidR="00505632" w:rsidRDefault="00505632" w:rsidP="00505632">
      <w:r>
        <w:t xml:space="preserve">Organizirano je stručno usavršavanje putem specijaliziranih tečajeva: MS Excel – napredna razina: 5 zaposlenika, MS Access – osnovna razina: 1 zaposlenik, seminari vezani uz bagatelnu nabavu: 2 zaposlenika i ekonomski najprihvatljiviju ponudu – 2 zaposlenika te informiranje – 2 zaposlenika. </w:t>
      </w:r>
    </w:p>
    <w:p w:rsidR="00505632" w:rsidRDefault="00505632" w:rsidP="00505632">
      <w:r>
        <w:t>Provedena je prijava potreba HZPR-a za licence MS Windows i MS Office i sklapanje ugovora, s obzirom na novi način licenciranja Microsoft proizvoda u RH. Redovito se podmiruju troškovi za godišnje održavanje softwarea nabavljenog u prethodnim godinama (ESRI, Autodesk i Adobe), a u 2016. nadograđena je jedna licenca ArcGIS s verzije Standard na Advanced i nabavljene 2 godišnje pretplate za Adobe Acrobat Pro.</w:t>
      </w:r>
    </w:p>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Sastanci radnih skupina EU</w:t>
            </w:r>
          </w:p>
        </w:tc>
        <w:tc>
          <w:tcPr>
            <w:tcW w:w="2551" w:type="dxa"/>
          </w:tcPr>
          <w:p w:rsidR="00505632" w:rsidRDefault="00505632" w:rsidP="00AD4E52">
            <w:pPr>
              <w:pStyle w:val="CellColumn"/>
              <w:jc w:val="left"/>
            </w:pPr>
            <w:r>
              <w:rPr>
                <w:rFonts w:cs="Times New Roman"/>
              </w:rPr>
              <w:t>Priprema sudjelovanja i sudjelovanje na sastancima radnih skupina EU za teritorijalnu koheziju i urbani razvoj</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Zavod</w:t>
            </w:r>
          </w:p>
        </w:tc>
        <w:tc>
          <w:tcPr>
            <w:tcW w:w="1020" w:type="dxa"/>
          </w:tcPr>
          <w:p w:rsidR="00505632" w:rsidRDefault="00505632" w:rsidP="00AD4E52">
            <w:pPr>
              <w:pStyle w:val="CellColumn"/>
              <w:jc w:val="right"/>
            </w:pPr>
            <w:r>
              <w:rPr>
                <w:rFonts w:cs="Times New Roman"/>
              </w:rPr>
              <w:t>14</w:t>
            </w:r>
          </w:p>
        </w:tc>
        <w:tc>
          <w:tcPr>
            <w:tcW w:w="1020" w:type="dxa"/>
          </w:tcPr>
          <w:p w:rsidR="00505632" w:rsidRDefault="00505632" w:rsidP="00AD4E52">
            <w:pPr>
              <w:pStyle w:val="CellColumn"/>
              <w:jc w:val="right"/>
            </w:pPr>
            <w:r>
              <w:rPr>
                <w:rFonts w:cs="Times New Roman"/>
              </w:rPr>
              <w:t>14</w:t>
            </w:r>
          </w:p>
        </w:tc>
      </w:tr>
      <w:tr w:rsidR="00505632" w:rsidTr="00AD4E52">
        <w:trPr>
          <w:jc w:val="center"/>
        </w:trPr>
        <w:tc>
          <w:tcPr>
            <w:tcW w:w="2551" w:type="dxa"/>
          </w:tcPr>
          <w:p w:rsidR="00505632" w:rsidRDefault="00505632" w:rsidP="00AD4E52">
            <w:pPr>
              <w:pStyle w:val="CellColumn"/>
              <w:jc w:val="left"/>
            </w:pPr>
            <w:r>
              <w:rPr>
                <w:rFonts w:cs="Times New Roman"/>
              </w:rPr>
              <w:t>Provedene organizacije stručnih skupova i savjetovanja</w:t>
            </w:r>
          </w:p>
        </w:tc>
        <w:tc>
          <w:tcPr>
            <w:tcW w:w="2551" w:type="dxa"/>
          </w:tcPr>
          <w:p w:rsidR="00505632" w:rsidRDefault="00505632" w:rsidP="00AD4E52">
            <w:pPr>
              <w:pStyle w:val="CellColumn"/>
              <w:jc w:val="left"/>
            </w:pPr>
            <w:r>
              <w:rPr>
                <w:rFonts w:cs="Times New Roman"/>
              </w:rPr>
              <w:t>Organizacija stručnih skupova i savjetovanja s temama od značaja za prostorno i urbanističko planiranje i metodologiju prostornog planiranja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Zavod</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Izdane publikacije</w:t>
            </w:r>
          </w:p>
        </w:tc>
        <w:tc>
          <w:tcPr>
            <w:tcW w:w="2551" w:type="dxa"/>
          </w:tcPr>
          <w:p w:rsidR="00505632" w:rsidRDefault="00505632" w:rsidP="00AD4E52">
            <w:pPr>
              <w:pStyle w:val="CellColumn"/>
              <w:jc w:val="left"/>
            </w:pPr>
            <w:r>
              <w:rPr>
                <w:rFonts w:cs="Times New Roman"/>
              </w:rPr>
              <w:t>Priprema, grafička priprema i tisak publikacija vezanih uz metodologiju prostornog planiranja, prostorne planove i druge dokumente prostornog uređenja i izvještavanja o stanju u prostoru, te uz provedbu međunarodnih obveza RH u području prostornog uređenja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Zavod</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bl>
    <w:p w:rsidR="00505632" w:rsidRDefault="00505632" w:rsidP="00505632">
      <w:pPr>
        <w:jc w:val="left"/>
      </w:pPr>
    </w:p>
    <w:p w:rsidR="00505632" w:rsidRDefault="00505632" w:rsidP="00505632">
      <w:pPr>
        <w:pStyle w:val="Heading4"/>
      </w:pPr>
      <w:r>
        <w:t>K576116 INFORMACIJSKI SUSTAV PROSTORNOG UREĐENJA - ISPU</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K576116-INFORMACIJSKI SUSTAV PROSTORNOG UREĐENJA - ISPU</w:t>
            </w:r>
          </w:p>
        </w:tc>
        <w:tc>
          <w:tcPr>
            <w:tcW w:w="2041" w:type="dxa"/>
          </w:tcPr>
          <w:p w:rsidR="00505632" w:rsidRDefault="00505632" w:rsidP="00AD4E52">
            <w:pPr>
              <w:pStyle w:val="CellColumn"/>
              <w:jc w:val="right"/>
            </w:pPr>
            <w:r>
              <w:rPr>
                <w:rFonts w:cs="Times New Roman"/>
              </w:rPr>
              <w:t>1.289.762</w:t>
            </w:r>
          </w:p>
        </w:tc>
        <w:tc>
          <w:tcPr>
            <w:tcW w:w="2041" w:type="dxa"/>
          </w:tcPr>
          <w:p w:rsidR="00505632" w:rsidRDefault="00505632" w:rsidP="00AD4E52">
            <w:pPr>
              <w:pStyle w:val="CellColumn"/>
              <w:jc w:val="right"/>
            </w:pPr>
            <w:r>
              <w:rPr>
                <w:rFonts w:cs="Times New Roman"/>
              </w:rPr>
              <w:t>2.268.500</w:t>
            </w:r>
          </w:p>
        </w:tc>
        <w:tc>
          <w:tcPr>
            <w:tcW w:w="2041" w:type="dxa"/>
          </w:tcPr>
          <w:p w:rsidR="00505632" w:rsidRDefault="00505632" w:rsidP="00AD4E52">
            <w:pPr>
              <w:pStyle w:val="CellColumn"/>
              <w:jc w:val="right"/>
            </w:pPr>
            <w:r>
              <w:rPr>
                <w:rFonts w:cs="Times New Roman"/>
              </w:rPr>
              <w:t>1.025.425</w:t>
            </w:r>
          </w:p>
        </w:tc>
        <w:tc>
          <w:tcPr>
            <w:tcW w:w="1224" w:type="dxa"/>
          </w:tcPr>
          <w:p w:rsidR="00505632" w:rsidRDefault="00505632" w:rsidP="00AD4E52">
            <w:pPr>
              <w:pStyle w:val="CellColumn"/>
              <w:jc w:val="right"/>
            </w:pPr>
            <w:r>
              <w:rPr>
                <w:rFonts w:cs="Times New Roman"/>
              </w:rPr>
              <w:t>45,2</w:t>
            </w:r>
          </w:p>
        </w:tc>
        <w:tc>
          <w:tcPr>
            <w:tcW w:w="1224" w:type="dxa"/>
          </w:tcPr>
          <w:p w:rsidR="00505632" w:rsidRDefault="00505632" w:rsidP="00AD4E52">
            <w:pPr>
              <w:pStyle w:val="CellColumn"/>
              <w:jc w:val="right"/>
            </w:pPr>
            <w:r>
              <w:rPr>
                <w:rFonts w:cs="Times New Roman"/>
              </w:rPr>
              <w:t>79,5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prostornom uređenju (NN 153/13), Uredba o informacijskom sustavu prostornog uređenja (NN 115/15), Zakon o nacionalnoj infrastrukturi prostornih podataka (NN 56/13).</w:t>
      </w:r>
    </w:p>
    <w:p w:rsidR="00505632" w:rsidRDefault="00505632" w:rsidP="00505632">
      <w:pPr>
        <w:pStyle w:val="Heading8"/>
        <w:jc w:val="left"/>
      </w:pPr>
      <w:r>
        <w:t>Opis aktivnosti</w:t>
      </w:r>
    </w:p>
    <w:p w:rsidR="00505632" w:rsidRDefault="00505632" w:rsidP="00505632">
      <w:r>
        <w:t xml:space="preserve">Za potrebe izrade, donošenja, provedbe i nadzora prostornih planova, trajnog praćenja stanja u prostoru i području prostornog uređenja te izrade izvješća o stanju u prostoru uspostavlja se i vodi informacijski sustav prostornog uređenja (ISPU). ISPU uspostavlja i razvija Ministarstvo graditeljstva i prostornog uređenja u suradnji sa Zavodom i zavodima za prostorno uređenje županija i Grada Zagreba. Informacijski sustav vodi i njime upravlja Zavod, zavod za prostorno uređenje županije, odnosno Grada Zagreba i zavod velikog grada, svaki u okviru svojih ovlasti. </w:t>
      </w:r>
    </w:p>
    <w:p w:rsidR="00505632" w:rsidRDefault="00505632" w:rsidP="00505632">
      <w:r>
        <w:t xml:space="preserve">Proveden je postupak javne nabave i sklopljen ugovor za uslugu udomljavanja i održavanja geoportala i dijela modula ISPU-a (eKatalog, ePlanovi, ISPU lokator) te DOF 1968. Ugovorno razdoblje završava u lipnju 2017. </w:t>
      </w:r>
    </w:p>
    <w:p w:rsidR="00505632" w:rsidRDefault="00505632" w:rsidP="00505632">
      <w:r>
        <w:t xml:space="preserve">Aktivirane su mrežne usluge (WMS) kojima su odabrane karte iz prostornih planova objavljene na geoportalu ISPU-a učinjene dostupnima za prikaz u GIS-klijentima korisnika te su priređene i objavljene upute za korištenje mrežnih usluga u najzastupljenijim GIS-klijentima (ACAD Map 3d, ArcGIS i qGIS). Mrežne usluge su prijavljene u Registar izvora NIPP-a i opisane metapodacima koji su dostupni na Geoportalu NIPP-a. </w:t>
      </w:r>
    </w:p>
    <w:p w:rsidR="00505632" w:rsidRDefault="00505632" w:rsidP="00505632">
      <w:r>
        <w:t xml:space="preserve">Dorađene su upute za korištenje geoportala ISPU-a na hrvatskom jeziku i izrađene upute na engleskom jeziku te objavljene na geoportalu. </w:t>
      </w:r>
    </w:p>
    <w:p w:rsidR="00505632" w:rsidRDefault="00505632" w:rsidP="00505632">
      <w:r>
        <w:t xml:space="preserve">Dorađen je prijedlog za daljnji razvoj i uvođenje poboljšanja postojećih funkcionalnosti geoportala ISPU-a te modula ePlanovi i eKatalog. Na samom daljnjem razvoju i uvođenju poboljšanja nije se radilo tijekom 2016., zbog promjene prioriteta na razini MGIPU, odnosno provedbe novih aktivnosti navedenih u sljedećoj natuknici. </w:t>
      </w:r>
    </w:p>
    <w:p w:rsidR="00505632" w:rsidRDefault="00505632" w:rsidP="00505632">
      <w:r>
        <w:t xml:space="preserve">Predstavnica HZPR-a sudjelovala je u radu Radne skupine za izradu projektnog zadatka za izradu i uspostavu eArhiva planova (Registra prostornih planova) – modula za učitavanje u ISPU prostornih planova na snazi odnosno tzv. „stare generacije planova“ u prelaznom razdoblju do pune uspostave tzv. „nove generacije planova“. Izrada projektnog zadatka je u tijeku, a izrada aplikacije planira se tijekom 2017. godine. </w:t>
      </w:r>
    </w:p>
    <w:p w:rsidR="00505632" w:rsidRDefault="00505632" w:rsidP="00505632">
      <w:r>
        <w:t xml:space="preserve">Kontinuirano se vrši prikupljanje georeferenciranih rastera prostornih planova područja posebnih obilježja, prostornih planova županija i Grada Zagreba, prostornih planova uređenja gradova i općina od zavoda za prostorno uređenje županija i Grada Zagreba, kontrola svih prikupljenih materijala i po potrebi dodatna obrada – sve radi objave na geoportalu ISPU-a. U 2016. godini obrađen je i objavljen 151 plan, od toga 4 PPŽ i 2 PPPPO. Manji dio planova objavljen je prvi put, a većina se odnosila na objave izmjena i dopuna već prije objavljenih planova. </w:t>
      </w:r>
    </w:p>
    <w:p w:rsidR="00505632" w:rsidRDefault="00505632" w:rsidP="00505632">
      <w:r>
        <w:t xml:space="preserve">Kontinuirano se radi u modulu eKatalog: unos, održavanje i verifikacija metapodataka o planovima državne razine; održavanje šifrarnika po potrebi; obrada zahtjeva za otvaranje korisničkih računa (broj ovlaštenih korisnika krajem 2016. godine: 128); kontrola metapodataka koje unose i verificiraju županijski zavodi za prostorno uređenje (u 2016. je upisano i/ili ažurirano 1.975, a ukupno u bazi postoji više od 7.700 metapodataka, od kojih je 5.290 verificirano te dostupno javno i kroz modul eDozvola, čime je osigurano da su u eDozvoli uvijek dostupni ažurni podaci o prostornim planovima za potrebe izdavanja akata za gradnju); komunikacija sa zavodima oko potrebnih ispravaka, pomoć korisnicima u radu, obrada primjedbi korisnika i prijava bugova u aplikaciji. </w:t>
      </w:r>
    </w:p>
    <w:p w:rsidR="00505632" w:rsidRDefault="00505632" w:rsidP="00505632">
      <w:r>
        <w:t xml:space="preserve">Redovito se zaprimaju i obrađuju odluke o izradi prostornih planova radi objave na webu MGIPU-a i na geoportalu ISPU-a. U 2016. godini objavljeno je više od 400 odluka o izradi. </w:t>
      </w:r>
    </w:p>
    <w:p w:rsidR="00505632" w:rsidRDefault="00505632" w:rsidP="00505632">
      <w:r>
        <w:t>Pripremljen je projektni zadatak za izradu aplikacije Brownfield registar koja će se izrađivati u 2017. godini.</w:t>
      </w:r>
    </w:p>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Razvoj i održavanje modula ePlanovi</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ISPU</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85</w:t>
            </w:r>
          </w:p>
        </w:tc>
      </w:tr>
      <w:tr w:rsidR="00505632" w:rsidTr="00AD4E52">
        <w:trPr>
          <w:jc w:val="center"/>
        </w:trPr>
        <w:tc>
          <w:tcPr>
            <w:tcW w:w="2553" w:type="dxa"/>
          </w:tcPr>
          <w:p w:rsidR="00505632" w:rsidRDefault="00505632" w:rsidP="00AD4E52">
            <w:pPr>
              <w:pStyle w:val="CellColumn"/>
              <w:jc w:val="left"/>
            </w:pPr>
            <w:r>
              <w:rPr>
                <w:rFonts w:cs="Times New Roman"/>
              </w:rPr>
              <w:t>Razvoj i održavanje modula eKatalog</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ISPU</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95</w:t>
            </w:r>
          </w:p>
        </w:tc>
      </w:tr>
      <w:tr w:rsidR="00505632" w:rsidTr="00AD4E52">
        <w:trPr>
          <w:jc w:val="center"/>
        </w:trPr>
        <w:tc>
          <w:tcPr>
            <w:tcW w:w="2553" w:type="dxa"/>
          </w:tcPr>
          <w:p w:rsidR="00505632" w:rsidRDefault="00505632" w:rsidP="00AD4E52">
            <w:pPr>
              <w:pStyle w:val="CellColumn"/>
              <w:jc w:val="left"/>
            </w:pPr>
            <w:r>
              <w:rPr>
                <w:rFonts w:cs="Times New Roman"/>
              </w:rPr>
              <w:t>Unos u ISPU planova i metapodatke planova "nove generacije"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ISPU</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2"/>
      </w:pPr>
      <w:r>
        <w:t>07615 Agencija za ozakonjenje nezakonito izgrađenih zgrada</w:t>
      </w:r>
    </w:p>
    <w:p w:rsidR="00505632" w:rsidRDefault="00505632" w:rsidP="00505632">
      <w:r>
        <w:t xml:space="preserve">Temeljem Zakona o postupanju s nezakonito izgrađenim zgradama (Narodne novine, br. </w:t>
      </w:r>
    </w:p>
    <w:p w:rsidR="00505632" w:rsidRDefault="00505632" w:rsidP="00505632">
      <w:r>
        <w:t xml:space="preserve">86/12 i 143/13) osnovana je Agencija za ozakonjenje nezakonito izgrađenih zgrada za obavljanje praćenja i ubrzanje procesa ozakonjenja zgrada te postizanja ravnomjerne opterećenosti nadležnih upravnih tijela, kao javna ustanova. </w:t>
      </w:r>
    </w:p>
    <w:p w:rsidR="00505632" w:rsidRDefault="00505632" w:rsidP="00505632">
      <w:r>
        <w:t xml:space="preserve">Sredstva za rad Agencije za ozakonjenje nezakonito izgrađenih zgrada osiguravaju se u državnom proračunu Republike Hrvatske iz sredstava ostvarenih na temelju Zakona o postupanju s nezakonito izgrađenim zgradama. </w:t>
      </w:r>
    </w:p>
    <w:p w:rsidR="00505632" w:rsidRDefault="00505632" w:rsidP="00505632">
      <w:r>
        <w:t xml:space="preserve">Agencija za ozakonjenje nezakonito izgrađenih zgrada obavlja poslove s javnim ovlastima kako slijedi: </w:t>
      </w:r>
    </w:p>
    <w:p w:rsidR="00505632" w:rsidRDefault="00505632" w:rsidP="00505632">
      <w:r>
        <w:t xml:space="preserve">– provodi postupak i donosi rješenja o izvedenom stanju u slučajevima propisanim Zakonom o postupanju s nezakonito izgrađenim zgradama, </w:t>
      </w:r>
    </w:p>
    <w:p w:rsidR="00505632" w:rsidRDefault="00505632" w:rsidP="00505632">
      <w:r>
        <w:t xml:space="preserve">– priprema rješenja o visini naknade za zadržavanje nezakonito izgrađene zgrade u prostoru za riješene predmete te ih dostavlja jedinici lokalne samouprave na čijem se području nalazi zgrada, </w:t>
      </w:r>
    </w:p>
    <w:p w:rsidR="00505632" w:rsidRDefault="00505632" w:rsidP="00505632">
      <w:r>
        <w:t xml:space="preserve">– prati stanje rješavanja zahtjeva za ozakonjenje zgrada u županijama i gradovima, </w:t>
      </w:r>
    </w:p>
    <w:p w:rsidR="00505632" w:rsidRDefault="00505632" w:rsidP="00505632">
      <w:r>
        <w:t xml:space="preserve">– predlaže Ministarstvu, županijama i gradovima mjere u svrhu poboljšanja učinkovitosti rješavanja zahtjeva za ozakonjenje zgrada, </w:t>
      </w:r>
    </w:p>
    <w:p w:rsidR="00505632" w:rsidRDefault="00505632" w:rsidP="00505632">
      <w:r>
        <w:t xml:space="preserve">– evidentira ozakonjene zgrade u informacijskom sustavu prostornog uređenja, </w:t>
      </w:r>
    </w:p>
    <w:p w:rsidR="00505632" w:rsidRDefault="00505632" w:rsidP="00505632">
      <w:r>
        <w:t xml:space="preserve">– prati naplatu naknada za zadržavanje nezakonito izgrađenih zgrada u prostoru po izdanim rješenjima,  </w:t>
      </w:r>
    </w:p>
    <w:p w:rsidR="00505632" w:rsidRDefault="00505632" w:rsidP="00505632">
      <w:r>
        <w:t xml:space="preserve">– obavlja i druge poslove određene zakonom. </w:t>
      </w:r>
    </w:p>
    <w:p w:rsidR="00505632" w:rsidRDefault="00505632" w:rsidP="00505632">
      <w:r>
        <w:t>Agencija za ozakonjenje nezakonito izgrađenih zgrada je dužna izvještavati Ministarstvo o stanju rješavanja zahtjeva za ozakonjenje zgrada. Agencija za ozakonjenje nezakonito izgrađenih zgrada prestaje s radom završetkom ozakonjenja zgrada na temelju ovoga Zakona o postupanju s nezakonito izgrađenim zgradama.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07615-Agencija za ozakonjenje nezakonito izgrađenih zgrada</w:t>
            </w:r>
          </w:p>
        </w:tc>
        <w:tc>
          <w:tcPr>
            <w:tcW w:w="2041" w:type="dxa"/>
            <w:vAlign w:val="top"/>
          </w:tcPr>
          <w:p w:rsidR="00505632" w:rsidRDefault="00505632" w:rsidP="00AD4E52">
            <w:pPr>
              <w:pStyle w:val="CellColumn"/>
              <w:jc w:val="right"/>
            </w:pPr>
            <w:r>
              <w:rPr>
                <w:rFonts w:cs="Times New Roman"/>
              </w:rPr>
              <w:t>24.274.104</w:t>
            </w:r>
          </w:p>
        </w:tc>
        <w:tc>
          <w:tcPr>
            <w:tcW w:w="2041" w:type="dxa"/>
            <w:vAlign w:val="top"/>
          </w:tcPr>
          <w:p w:rsidR="00505632" w:rsidRDefault="00505632" w:rsidP="00AD4E52">
            <w:pPr>
              <w:pStyle w:val="CellColumn"/>
              <w:jc w:val="right"/>
            </w:pPr>
            <w:r>
              <w:rPr>
                <w:rFonts w:cs="Times New Roman"/>
              </w:rPr>
              <w:t>28.055.493</w:t>
            </w:r>
          </w:p>
        </w:tc>
        <w:tc>
          <w:tcPr>
            <w:tcW w:w="2041" w:type="dxa"/>
            <w:vAlign w:val="top"/>
          </w:tcPr>
          <w:p w:rsidR="00505632" w:rsidRDefault="00505632" w:rsidP="00AD4E52">
            <w:pPr>
              <w:pStyle w:val="CellColumn"/>
              <w:jc w:val="right"/>
            </w:pPr>
            <w:r>
              <w:rPr>
                <w:rFonts w:cs="Times New Roman"/>
              </w:rPr>
              <w:t>24.534.926</w:t>
            </w:r>
          </w:p>
        </w:tc>
        <w:tc>
          <w:tcPr>
            <w:tcW w:w="1224" w:type="dxa"/>
            <w:vAlign w:val="top"/>
          </w:tcPr>
          <w:p w:rsidR="00505632" w:rsidRDefault="00505632" w:rsidP="00AD4E52">
            <w:pPr>
              <w:pStyle w:val="CellColumn"/>
              <w:jc w:val="right"/>
            </w:pPr>
            <w:r>
              <w:rPr>
                <w:rFonts w:cs="Times New Roman"/>
              </w:rPr>
              <w:t>87,5</w:t>
            </w:r>
          </w:p>
        </w:tc>
        <w:tc>
          <w:tcPr>
            <w:tcW w:w="1224" w:type="dxa"/>
            <w:vAlign w:val="top"/>
          </w:tcPr>
          <w:p w:rsidR="00505632" w:rsidRDefault="00505632" w:rsidP="00AD4E52">
            <w:pPr>
              <w:pStyle w:val="CellColumn"/>
              <w:jc w:val="right"/>
            </w:pPr>
            <w:r>
              <w:rPr>
                <w:rFonts w:cs="Times New Roman"/>
              </w:rPr>
              <w:t>101,1</w:t>
            </w:r>
          </w:p>
        </w:tc>
      </w:tr>
      <w:tr w:rsidR="00505632" w:rsidTr="00AD4E52">
        <w:trPr>
          <w:jc w:val="center"/>
        </w:trPr>
        <w:tc>
          <w:tcPr>
            <w:tcW w:w="1632" w:type="dxa"/>
          </w:tcPr>
          <w:p w:rsidR="00505632" w:rsidRDefault="00505632" w:rsidP="00AD4E52">
            <w:pPr>
              <w:jc w:val="left"/>
            </w:pPr>
            <w:r>
              <w:t>3501-RAZVOJ I UPRAVLJANJE PROSTORNIM UREĐENJEM</w:t>
            </w:r>
          </w:p>
        </w:tc>
        <w:tc>
          <w:tcPr>
            <w:tcW w:w="2041" w:type="dxa"/>
          </w:tcPr>
          <w:p w:rsidR="00505632" w:rsidRDefault="00505632" w:rsidP="00AD4E52">
            <w:pPr>
              <w:jc w:val="right"/>
            </w:pPr>
            <w:r>
              <w:t>24.274.104</w:t>
            </w:r>
          </w:p>
        </w:tc>
        <w:tc>
          <w:tcPr>
            <w:tcW w:w="2041" w:type="dxa"/>
          </w:tcPr>
          <w:p w:rsidR="00505632" w:rsidRDefault="00505632" w:rsidP="00AD4E52">
            <w:pPr>
              <w:jc w:val="right"/>
            </w:pPr>
            <w:r>
              <w:t>28.055.493</w:t>
            </w:r>
          </w:p>
        </w:tc>
        <w:tc>
          <w:tcPr>
            <w:tcW w:w="2041" w:type="dxa"/>
          </w:tcPr>
          <w:p w:rsidR="00505632" w:rsidRDefault="00505632" w:rsidP="00AD4E52">
            <w:pPr>
              <w:jc w:val="right"/>
            </w:pPr>
            <w:r>
              <w:t>24.534.926</w:t>
            </w:r>
          </w:p>
        </w:tc>
        <w:tc>
          <w:tcPr>
            <w:tcW w:w="1224" w:type="dxa"/>
          </w:tcPr>
          <w:p w:rsidR="00505632" w:rsidRDefault="00505632" w:rsidP="00AD4E52">
            <w:pPr>
              <w:jc w:val="right"/>
            </w:pPr>
            <w:r>
              <w:t>87,5</w:t>
            </w:r>
          </w:p>
        </w:tc>
        <w:tc>
          <w:tcPr>
            <w:tcW w:w="1224" w:type="dxa"/>
          </w:tcPr>
          <w:p w:rsidR="00505632" w:rsidRDefault="00505632" w:rsidP="00AD4E52">
            <w:pPr>
              <w:jc w:val="right"/>
            </w:pPr>
            <w:r>
              <w:t>101,1</w:t>
            </w:r>
          </w:p>
        </w:tc>
      </w:tr>
    </w:tbl>
    <w:p w:rsidR="00505632" w:rsidRDefault="00505632" w:rsidP="00505632">
      <w:pPr>
        <w:jc w:val="left"/>
      </w:pPr>
    </w:p>
    <w:p w:rsidR="00505632" w:rsidRDefault="00505632" w:rsidP="00505632">
      <w:pPr>
        <w:pStyle w:val="Heading4"/>
      </w:pPr>
      <w:r>
        <w:t>A876001 ZADRŽAVANJE NEZAKONITO IZGRAĐENIH ZGRADA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A876001-ZADRŽAVANJE NEZAKONITO IZGRAĐENIH ZGRADA</w:t>
            </w:r>
          </w:p>
        </w:tc>
        <w:tc>
          <w:tcPr>
            <w:tcW w:w="2041" w:type="dxa"/>
          </w:tcPr>
          <w:p w:rsidR="00505632" w:rsidRDefault="00505632" w:rsidP="00AD4E52">
            <w:pPr>
              <w:pStyle w:val="CellColumn"/>
              <w:jc w:val="right"/>
            </w:pPr>
            <w:r>
              <w:rPr>
                <w:rFonts w:cs="Times New Roman"/>
              </w:rPr>
              <w:t>24.274.104</w:t>
            </w:r>
          </w:p>
        </w:tc>
        <w:tc>
          <w:tcPr>
            <w:tcW w:w="2041" w:type="dxa"/>
          </w:tcPr>
          <w:p w:rsidR="00505632" w:rsidRDefault="00505632" w:rsidP="00AD4E52">
            <w:pPr>
              <w:pStyle w:val="CellColumn"/>
              <w:jc w:val="right"/>
            </w:pPr>
            <w:r>
              <w:rPr>
                <w:rFonts w:cs="Times New Roman"/>
              </w:rPr>
              <w:t>28.055.493</w:t>
            </w:r>
          </w:p>
        </w:tc>
        <w:tc>
          <w:tcPr>
            <w:tcW w:w="2041" w:type="dxa"/>
          </w:tcPr>
          <w:p w:rsidR="00505632" w:rsidRDefault="00505632" w:rsidP="00AD4E52">
            <w:pPr>
              <w:pStyle w:val="CellColumn"/>
              <w:jc w:val="right"/>
            </w:pPr>
            <w:r>
              <w:rPr>
                <w:rFonts w:cs="Times New Roman"/>
              </w:rPr>
              <w:t>24.534.926</w:t>
            </w:r>
          </w:p>
        </w:tc>
        <w:tc>
          <w:tcPr>
            <w:tcW w:w="1224" w:type="dxa"/>
          </w:tcPr>
          <w:p w:rsidR="00505632" w:rsidRDefault="00505632" w:rsidP="00AD4E52">
            <w:pPr>
              <w:pStyle w:val="CellColumn"/>
              <w:jc w:val="right"/>
            </w:pPr>
            <w:r>
              <w:rPr>
                <w:rFonts w:cs="Times New Roman"/>
              </w:rPr>
              <w:t>87,5</w:t>
            </w:r>
          </w:p>
        </w:tc>
        <w:tc>
          <w:tcPr>
            <w:tcW w:w="1224" w:type="dxa"/>
          </w:tcPr>
          <w:p w:rsidR="00505632" w:rsidRDefault="00505632" w:rsidP="00AD4E52">
            <w:pPr>
              <w:pStyle w:val="CellColumn"/>
              <w:jc w:val="right"/>
            </w:pPr>
            <w:r>
              <w:rPr>
                <w:rFonts w:cs="Times New Roman"/>
              </w:rPr>
              <w:t>101,1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postupanju s nezakonito izgrađenim zgradama (NN 86/12 i 143/13)</w:t>
      </w:r>
    </w:p>
    <w:p w:rsidR="00505632" w:rsidRDefault="00505632" w:rsidP="00505632">
      <w:pPr>
        <w:pStyle w:val="Heading8"/>
        <w:jc w:val="left"/>
      </w:pPr>
      <w:r>
        <w:t>Opis aktivnosti</w:t>
      </w:r>
    </w:p>
    <w:p w:rsidR="00505632" w:rsidRDefault="00505632" w:rsidP="00505632">
      <w:r>
        <w:t xml:space="preserve">Agencija je započela s radom u veljači 2014. godine, u travnju su upućeni prvi akti podnositeljima zahtjeva.   Prikazani rezultati ostvarenog do 31.12.2016. godine predstavljaju rad Agencije kroz period  na obradi zaprimljenih zahtjeva za izdavanje rješenja o izvedenom stanju. </w:t>
      </w:r>
    </w:p>
    <w:p w:rsidR="00505632" w:rsidRDefault="00505632" w:rsidP="00505632">
      <w:r>
        <w:t xml:space="preserve">Zadaća Agencije je  rješavanje zahtjeva za ozakonjenje nezakonito izgrađenih zgrada s  cijelog područja Republike Hrvatske. Zbog dovoljnog broja riješenih predmeta u upravnim odjelima i ispostavama u Primorsko-goranskoj županiji i Dubrovačko- neretvanskoj županiji, nisu izuzimani predmeti u prva 4 izuzimanja. </w:t>
      </w:r>
    </w:p>
    <w:p w:rsidR="00505632" w:rsidRDefault="00505632" w:rsidP="00505632">
      <w:r>
        <w:t xml:space="preserve">Sukladno Odlukama o predmetima u kojima rješenje o izvedenom stanju donosi Agencija za ozakonjenje nezakonito izgrađenih zgrada koje donosi ministar graditeljstva   i   prostornoga   uređenja,   u   Agenciji   su   zaprimljeni   zahtjevi   za ozakonjenje po četiri provedena izuzimanja: </w:t>
      </w:r>
    </w:p>
    <w:p w:rsidR="00505632" w:rsidRDefault="00505632" w:rsidP="00505632">
      <w:r>
        <w:t xml:space="preserve">- I izuzimanje, veljača i ožujak 2014. godine: 53.826 zahtjeva </w:t>
      </w:r>
    </w:p>
    <w:p w:rsidR="00505632" w:rsidRDefault="00505632" w:rsidP="00505632">
      <w:r>
        <w:t xml:space="preserve">- II izuzimanje, rujan i listopad 2014. godine: 27.292 zahtjeva </w:t>
      </w:r>
    </w:p>
    <w:p w:rsidR="00505632" w:rsidRDefault="00505632" w:rsidP="00505632">
      <w:r>
        <w:t xml:space="preserve">- III izuzimanje, ožujak, travanj 2015. godine: 24.606 zahtjeva </w:t>
      </w:r>
    </w:p>
    <w:p w:rsidR="00505632" w:rsidRDefault="00505632" w:rsidP="00505632">
      <w:r>
        <w:t xml:space="preserve">- IV izuzimanje, prosinac 2015. godine: 30.441 zahtjeva </w:t>
      </w:r>
    </w:p>
    <w:p w:rsidR="00505632" w:rsidRDefault="00505632" w:rsidP="00505632">
      <w:r>
        <w:t xml:space="preserve">- V izuzimanje, procjena, prosinac 2016.godine: 24.000  zahtjeva cca. </w:t>
      </w:r>
    </w:p>
    <w:p w:rsidR="00505632" w:rsidRDefault="00505632" w:rsidP="00505632">
      <w:r>
        <w:t xml:space="preserve">Broj izdanih pravomoćnih rješenja evidentira se u Registru, podaci su slijedeći: </w:t>
      </w:r>
    </w:p>
    <w:p w:rsidR="00505632" w:rsidRDefault="00505632" w:rsidP="00505632">
      <w:r>
        <w:t>•  Ukupno  je  u  Registru</w:t>
      </w:r>
      <w:r>
        <w:tab/>
        <w:t xml:space="preserve">31.12.2016.  godine evidentirano 515.827  pravomoćnih rješenja, to je 62,38% ukupno primljenih zahtijeva (svi upravni odjeli i Agencija) </w:t>
      </w:r>
    </w:p>
    <w:p w:rsidR="00505632" w:rsidRDefault="00505632" w:rsidP="00505632">
      <w:r>
        <w:t xml:space="preserve">• Agencija je do 31.12.2016. godine upisala 67.692 rješenja, to je 49,71% preuzetih obveza </w:t>
      </w:r>
    </w:p>
    <w:p w:rsidR="00505632" w:rsidRDefault="00505632" w:rsidP="00505632">
      <w:r>
        <w:t xml:space="preserve">• U 2016. godini u Registar je upisano  ukupno 132.462 rješenja (svi upravni odjeli i </w:t>
      </w:r>
    </w:p>
    <w:p w:rsidR="00505632" w:rsidRDefault="00505632" w:rsidP="00505632">
      <w:r>
        <w:t xml:space="preserve">Agencija), od toga je 99.041 rješenja o izvedenom stanju, 10.752 rješenja o odbijanju, 9.307 rješenja o odbacivanju I 12.359 rješenja o obustavi postupka. </w:t>
      </w:r>
    </w:p>
    <w:p w:rsidR="00505632" w:rsidRDefault="00505632" w:rsidP="00505632">
      <w:r>
        <w:t xml:space="preserve">• U 2016. godini Agencija je donijela 33.052 pravomoćna rješenja (što je 7.712 rješenja više nego u 2015. godini, povećanje je 30,4% u odnosu na broj rješenja iz 2015. godine kad je donijeto 25.340 pravomoćnih rješenja)  </w:t>
      </w:r>
    </w:p>
    <w:p w:rsidR="00505632" w:rsidRDefault="00505632" w:rsidP="00505632">
      <w:r>
        <w:t xml:space="preserve">. pravomoćna rješenja Agencije čine 24,95%  ukupnog upisanih rješenja u 2016. godini, što znači da je svako 4. rješenje je donijeto u Agenciji. </w:t>
      </w:r>
    </w:p>
    <w:p w:rsidR="00505632" w:rsidRDefault="00505632" w:rsidP="00505632">
      <w:r>
        <w:t xml:space="preserve">Sveukupna Statistika rada Agencije: </w:t>
      </w:r>
    </w:p>
    <w:p w:rsidR="00505632" w:rsidRDefault="00505632" w:rsidP="00505632">
      <w:r>
        <w:t xml:space="preserve">• Pravomoćna i nepravomoćna rješenja: ukupno 72.941 (53,57%) </w:t>
      </w:r>
    </w:p>
    <w:p w:rsidR="00505632" w:rsidRDefault="00505632" w:rsidP="00505632">
      <w:r>
        <w:t xml:space="preserve">• Pravomoćna i nepravomoćna rješenja u 2016. godini: ukupno 30.362  </w:t>
      </w:r>
    </w:p>
    <w:p w:rsidR="00505632" w:rsidRDefault="00505632" w:rsidP="00505632">
      <w:r>
        <w:t xml:space="preserve">• Nacrta rješenja o visini naknade: ukupno 69.685,  u 2016. godini: 22.676 </w:t>
      </w:r>
    </w:p>
    <w:p w:rsidR="00505632" w:rsidRDefault="00505632" w:rsidP="00505632">
      <w:r>
        <w:t xml:space="preserve">• Zbroj nacrta rješenja o naknadi i rješenja o obustavi, odbijanju i odbacivanju: ukupno 84.137 (61,79%), u 2016. godini: 29.382  </w:t>
      </w:r>
    </w:p>
    <w:p w:rsidR="00505632" w:rsidRDefault="00505632" w:rsidP="00505632">
      <w:r>
        <w:t xml:space="preserve">• Obrađenih predmeta:135.799 (99,77%) </w:t>
      </w:r>
    </w:p>
    <w:p w:rsidR="00505632" w:rsidRDefault="00505632" w:rsidP="00505632">
      <w:r>
        <w:t xml:space="preserve">Agencija je u 2016. godini u jedinice lokalne samouprave na čijem se području nalazi nezakonito izgrađena zgrada uputila nacrte rješenja o visini naknade za zadržavanje nezakonito izgrađene zgrade za   22.676 zaprimljenih zahtjeva za ozakonjenje nezakonito izgrađenih zgrada. </w:t>
      </w:r>
    </w:p>
    <w:p w:rsidR="00505632" w:rsidRDefault="00505632" w:rsidP="00505632">
      <w:r>
        <w:t xml:space="preserve">Po tim predmetima je procijenjen iznos naknade od: </w:t>
      </w:r>
    </w:p>
    <w:p w:rsidR="00505632" w:rsidRDefault="00505632" w:rsidP="00505632">
      <w:r>
        <w:t xml:space="preserve">• 61.418.310,92 kuna (u izračun je uzet u obzir propisan popust od 25% za jednokratno plaćanje naknade). </w:t>
      </w:r>
    </w:p>
    <w:p w:rsidR="00505632" w:rsidRDefault="00505632" w:rsidP="00505632">
      <w:r>
        <w:t xml:space="preserve">Ovaj novčani prihod se raspoređuje na slijedeći način: </w:t>
      </w:r>
    </w:p>
    <w:p w:rsidR="00505632" w:rsidRDefault="00505632" w:rsidP="00505632">
      <w:r>
        <w:t xml:space="preserve">• 50% procijenjenog iznosa je:  30.709.155,46 kuna i  treba biti uplaćeno u Državni proračun, </w:t>
      </w:r>
    </w:p>
    <w:p w:rsidR="00505632" w:rsidRDefault="00505632" w:rsidP="00505632">
      <w:r>
        <w:t xml:space="preserve">• 20%  procijenjenog iznosa je: 12.283.662,18 kuna i predstavlja prihod Agencije u Državni proračun. </w:t>
      </w:r>
    </w:p>
    <w:p w:rsidR="00505632" w:rsidRDefault="00505632" w:rsidP="00505632">
      <w:r>
        <w:t xml:space="preserve">• 30% procijenjenog iznosa je: 18.425.493,27 kuna i predstavlja prihod JLS-a na čijem se području nalazi ozakonjena zgrada. </w:t>
      </w:r>
    </w:p>
    <w:p w:rsidR="00505632" w:rsidRDefault="00505632" w:rsidP="00505632">
      <w:r>
        <w:t xml:space="preserve">U 2016. godini je naplaćena naknada po 24.759 zahtjeva za izdavanje rješenja o izvedenom stanju. Veliki je vremenski razmak od izdavanja nacrta rješenja o visini naknade do plaćanja same naknade. Najveći razlog tom vremenskom odmaku je u nemogućnosti dijela upravnih tijela jedinica lokalne samouprave da prati tempo izdavanja nacrta rješenja o visini naknade koje im dostavlja Agencija, drugi, ali bitno manji  je razlog to što  dio podnositelja zahtjeva ulaže   žalbu na rješenje o visinu naknade pa se čeka drugostupanjska odluka po istoj što dovodi do višemjesečnog zastoja u provedbi daljnjih radnji u rješavanju predmetnog zahtjeva. </w:t>
      </w:r>
    </w:p>
    <w:p w:rsidR="00505632" w:rsidRDefault="00505632" w:rsidP="00505632">
      <w:r>
        <w:t xml:space="preserve">Naplaćena naknada u 2016. godini, po rješenjima donesenim u Agenciji je u ukupnom iznosu od: 65.051.796,60kn. </w:t>
      </w:r>
    </w:p>
    <w:p w:rsidR="00505632" w:rsidRDefault="00505632" w:rsidP="00505632">
      <w:r>
        <w:t xml:space="preserve">Uspostavljen je rad na evidentiranju ozakonjenih zgrada u Informacijskom sustavu prostornog uređenje (ISPU-u). Ukupno je evidentirano 376.112 zgrada iz 218.363 zahtjeva, od toga je u 2016. evidentirano 281.394 zgrada iz 161.715 zahtjeva. </w:t>
      </w:r>
    </w:p>
    <w:p w:rsidR="00505632" w:rsidRDefault="00505632" w:rsidP="00505632">
      <w:r>
        <w:t xml:space="preserve">Kako  bi  se    podigla  efikasnost i  provelo  racionalnije korištenje svih  resursa,  a posebno ljudskih, unutarnje ustrojstvo Agencije, način rada i rukovođenje utvrđeno je tako da se osigura zakonito, stručno, efikasno i racionalno obavljanje poslova i zadaća iz nadležnosti. </w:t>
      </w:r>
    </w:p>
    <w:p w:rsidR="00505632" w:rsidRDefault="00505632" w:rsidP="00505632">
      <w:r>
        <w:t xml:space="preserve">U 2016. godini je proveden i dodatni razvoj informatičke aplikacije / novih funkcionalnosti, rezultati čega su uočljivi u ovoj godini. </w:t>
      </w:r>
    </w:p>
    <w:p w:rsidR="00505632" w:rsidRDefault="00505632" w:rsidP="00505632">
      <w:r>
        <w:t xml:space="preserve">Poboljšanje materijalnih resursa se postiglo implementacijom nove informatičke opreme HW i SW okruženja. </w:t>
      </w:r>
    </w:p>
    <w:p w:rsidR="00505632" w:rsidRDefault="00505632" w:rsidP="00505632">
      <w:r>
        <w:t xml:space="preserve">Agencija, putem Registra, prati stanje rješavanja zahtjeva za ozakonjenje nezakonito izgrađenih zgrada u županijama i gradovima. </w:t>
      </w:r>
    </w:p>
    <w:p w:rsidR="00505632" w:rsidRDefault="00505632" w:rsidP="00505632">
      <w:r>
        <w:t xml:space="preserve">Kako je velik broj zahtjeva za ozakonjenje zaprimljen u zadnjim danima prije isteka propisanog roka (30.06.2013. godine), u velikoj su mjeri podnositelji predavali  tzv. </w:t>
      </w:r>
    </w:p>
    <w:p w:rsidR="00505632" w:rsidRDefault="00505632" w:rsidP="00505632">
      <w:r>
        <w:t xml:space="preserve">„prazni zahtjev“. To znači da isti ne sadrže propisanu dokumentaciju temeljem koje se utvrđuje činjenično stanje i izdaje rješenje o izvedenom stanju. Tako su i dalje aktivnosti,  i   u   upravnim  tijelima  gradova  i   županija  i   u   Agenciji,  najviše koncentrirane  na  dobavljanju  dopuna  tih  zahtjeva.  Upravna  tijela  zaključkom pozivaju podnositelje da dostave potrebnu dopunu. Ukoliko se dopuna ne dostavi, upravna  tijela  moraju  rješenjem  odbiti  zahtjev.  To  će  se,  u  narednom  periodu, događati u znatno većem broju nego do sada. Upravna tijela upozoravaju da su obrade zahtjeva koji imaju sve potrebne priloge pri kraju. </w:t>
      </w:r>
    </w:p>
    <w:p w:rsidR="00505632" w:rsidRDefault="00505632" w:rsidP="00505632">
      <w:r>
        <w:t xml:space="preserve">•      Registar      riješenih      zahtjeva      je      objavljen      na      web      stranici: </w:t>
      </w:r>
    </w:p>
    <w:p w:rsidR="00505632" w:rsidRDefault="00505632" w:rsidP="00505632">
      <w:r>
        <w:t xml:space="preserve">https://legalizacija.mgipu.hr/izvjesce. </w:t>
      </w:r>
    </w:p>
    <w:p w:rsidR="00505632" w:rsidRDefault="00505632" w:rsidP="00505632">
      <w:r>
        <w:t xml:space="preserve">• Izvješća o radu   s pregledom stanja riješenih izuzetih zahtjeva za ozakonjenje nezakonito izgrađenih zgrada objavljen je na web stranici: http://www.mgipu.hr/doc/AZONIZ/AZONIZ_statistika-4.pdf. </w:t>
      </w:r>
    </w:p>
    <w:p w:rsidR="00505632" w:rsidRDefault="00505632" w:rsidP="00505632">
      <w:r>
        <w:t xml:space="preserve">Do 30.06.2013. godine zaprimljeno je 826 948 zahtjeva za ozakonjenje nezakonito izgrađenih zgrada. Do 31.12.2016. godine izdano je: </w:t>
      </w:r>
    </w:p>
    <w:p w:rsidR="00505632" w:rsidRDefault="00505632" w:rsidP="00505632">
      <w:r>
        <w:t xml:space="preserve">• 515.827 rješenja o izvedenom stanju što čini 62,38% od ukupnog broje zaprimljenih zahtjeva </w:t>
      </w:r>
    </w:p>
    <w:p w:rsidR="00505632" w:rsidRDefault="00505632" w:rsidP="00505632">
      <w:r>
        <w:t xml:space="preserve">• Od toga je izdano 303 308 rješenje o izvedenom stanju, 6595 rješenje o odbijanju, </w:t>
      </w:r>
    </w:p>
    <w:p w:rsidR="00505632" w:rsidRDefault="00505632" w:rsidP="00505632">
      <w:r>
        <w:t xml:space="preserve">13863 rješenja o odbacivanju i 24 661 rješenja o obustavi. </w:t>
      </w:r>
    </w:p>
    <w:p w:rsidR="00505632" w:rsidRDefault="00505632" w:rsidP="00505632">
      <w:r>
        <w:t xml:space="preserve">Agencija je do 31.12.2016. godine upisala 67.692 rješenja i to je 49,71% preuzetih obveza. </w:t>
      </w:r>
    </w:p>
    <w:p w:rsidR="00505632" w:rsidRDefault="00505632" w:rsidP="00505632">
      <w:r>
        <w:t xml:space="preserve">U Registru  je evidentirano da je do kraja 2016. godine, (ukupno po pravomoćnim rješenjima o izvedenom stanju i pripadajućim rješenjima o visini naknade za zadržavanje nezakonito izgrađenih zgrada u prostoru) uplaćeno 1.318.612.073,20 kuna. Ovaj se prihod raspoređuje na slijedeći način: </w:t>
      </w:r>
    </w:p>
    <w:p w:rsidR="00505632" w:rsidRDefault="00505632" w:rsidP="00505632">
      <w:r>
        <w:t xml:space="preserve">• Prihod državnog proračuna: 50% , u iznosu od 659.306.036,60 kuna </w:t>
      </w:r>
    </w:p>
    <w:p w:rsidR="00505632" w:rsidRDefault="00505632" w:rsidP="00505632">
      <w:r>
        <w:t xml:space="preserve">• Prihod JLS-a: 30% , u iznosu od 395.583.621,90 kuna </w:t>
      </w:r>
    </w:p>
    <w:p w:rsidR="00505632" w:rsidRDefault="00505632" w:rsidP="00505632">
      <w:r>
        <w:t xml:space="preserve">• Prihod UO: 20%, u iznosu od 263.722.414,64 kuna </w:t>
      </w:r>
    </w:p>
    <w:p w:rsidR="00505632" w:rsidRDefault="00505632" w:rsidP="00505632">
      <w:r>
        <w:t xml:space="preserve">Evidenciji prihoda od ozakonjenja, sredstva uplaćena u Riznicu Republike Hrvatske su slijedeća: </w:t>
      </w:r>
    </w:p>
    <w:p w:rsidR="00505632" w:rsidRDefault="00505632" w:rsidP="00505632">
      <w:r>
        <w:t xml:space="preserve">• Ukupni prihod: 1.358.553.165,70 kuna </w:t>
      </w:r>
    </w:p>
    <w:p w:rsidR="00505632" w:rsidRDefault="00505632" w:rsidP="00505632">
      <w:r>
        <w:t xml:space="preserve">Raspodjela ukupnog prihoda: </w:t>
      </w:r>
    </w:p>
    <w:p w:rsidR="00505632" w:rsidRDefault="00505632" w:rsidP="00505632">
      <w:r>
        <w:t xml:space="preserve">• Prihod državnog proračuna: 50%  u iznosu od 679.276.582,85 kuna </w:t>
      </w:r>
    </w:p>
    <w:p w:rsidR="00505632" w:rsidRDefault="00505632" w:rsidP="00505632">
      <w:r>
        <w:t xml:space="preserve">• Prihod JLS-a: 30% , u iznosu od 407.565.949,71 kuna </w:t>
      </w:r>
    </w:p>
    <w:p w:rsidR="00505632" w:rsidRDefault="00505632" w:rsidP="00505632">
      <w:r>
        <w:t xml:space="preserve">• Prihod UO: 20%, u iznosu od 271.710.633,14 kuna </w:t>
      </w:r>
    </w:p>
    <w:p w:rsidR="00505632" w:rsidRDefault="00505632" w:rsidP="00505632">
      <w:r>
        <w:t>Agencija  je u 2016. godini ostvarila cilj zbog kojeg je osnovana i koji su postavljeni godišnjim planom.</w:t>
      </w:r>
    </w:p>
    <w:p w:rsidR="00505632" w:rsidRDefault="00505632" w:rsidP="00505632">
      <w:pPr>
        <w:pStyle w:val="Heading2"/>
      </w:pPr>
      <w:r>
        <w:t>07620 Agencija za pravni promet i posredovanje nekretninama</w:t>
      </w:r>
    </w:p>
    <w:p w:rsidR="00505632" w:rsidRDefault="00505632" w:rsidP="00505632">
      <w:r>
        <w:t xml:space="preserve">Agencija za pravni promet i posredovanje nekretninama osnovana je Uredbom Vlade Republike Hrvatske( NN 45/97 ). Agencija prometuje nekretninama na područjima  posebne državne skrbi prema odredbama Zakona o PPDS-u ( NN 26/03, 42/05,i 90/05 ), te na područjima izvan PPDS-a temeljem Odluke Vlade RH o provedbi stambenog zbrinjavanja povratnika bivših nositelja stanarskog prava ( NN 63/08 ). </w:t>
      </w:r>
    </w:p>
    <w:p w:rsidR="00505632" w:rsidRDefault="00505632" w:rsidP="00505632">
      <w:r>
        <w:t xml:space="preserve">Donošenjem Zakona o društveno poticanoj stanogradnji (NN 109/0, 82/04, 76/07,  38/09, 86/12,07/13 i 26/15) Agencija je proširila svoju djelatnost jer je  postala nositelj Društveno poticane stanogradnje ( gradnja, prodaja i davanje neprodanih stanova i garažno parkirnih mjesta u najam).   </w:t>
      </w:r>
    </w:p>
    <w:p w:rsidR="00505632" w:rsidRDefault="00505632" w:rsidP="00505632">
      <w:r>
        <w:t>Od 2013. godine APN je od resornog Ministarstva preuzeo i poslove stambenog zbrinjavanja stradalnika iz Domovinskog rata. Krajem 2013. godine APN je  počeo obavljati i poslove Energetske obnove javnih zgrada koo i poslove vezanie uz Poticanje mjera za poboljšanje energetske učinkovitosti ( programi SGE I HIO ). Od 2014. godine APN obavlja i poslove vezane uz sanaciju šteta od poplave.</w:t>
      </w:r>
    </w:p>
    <w:tbl>
      <w:tblPr>
        <w:tblStyle w:val="StilTablice"/>
        <w:tblW w:w="10206" w:type="dxa"/>
        <w:jc w:val="center"/>
        <w:tblLook w:val="04A0" w:firstRow="1" w:lastRow="0" w:firstColumn="1" w:lastColumn="0" w:noHBand="0" w:noVBand="1"/>
      </w:tblPr>
      <w:tblGrid>
        <w:gridCol w:w="1725"/>
        <w:gridCol w:w="2014"/>
        <w:gridCol w:w="2015"/>
        <w:gridCol w:w="2015"/>
        <w:gridCol w:w="1217"/>
        <w:gridCol w:w="1220"/>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07620-Agencija za pravni promet i posredovanje nekretninama</w:t>
            </w:r>
          </w:p>
        </w:tc>
        <w:tc>
          <w:tcPr>
            <w:tcW w:w="2041" w:type="dxa"/>
            <w:vAlign w:val="top"/>
          </w:tcPr>
          <w:p w:rsidR="00505632" w:rsidRDefault="00505632" w:rsidP="00AD4E52">
            <w:pPr>
              <w:pStyle w:val="CellColumn"/>
              <w:jc w:val="right"/>
            </w:pPr>
            <w:r>
              <w:rPr>
                <w:rFonts w:cs="Times New Roman"/>
              </w:rPr>
              <w:t>529.652.816</w:t>
            </w:r>
          </w:p>
        </w:tc>
        <w:tc>
          <w:tcPr>
            <w:tcW w:w="2041" w:type="dxa"/>
            <w:vAlign w:val="top"/>
          </w:tcPr>
          <w:p w:rsidR="00505632" w:rsidRDefault="00505632" w:rsidP="00AD4E52">
            <w:pPr>
              <w:pStyle w:val="CellColumn"/>
              <w:jc w:val="right"/>
            </w:pPr>
            <w:r>
              <w:rPr>
                <w:rFonts w:cs="Times New Roman"/>
              </w:rPr>
              <w:t>373.350.891</w:t>
            </w:r>
          </w:p>
        </w:tc>
        <w:tc>
          <w:tcPr>
            <w:tcW w:w="2041" w:type="dxa"/>
            <w:vAlign w:val="top"/>
          </w:tcPr>
          <w:p w:rsidR="00505632" w:rsidRDefault="00505632" w:rsidP="00AD4E52">
            <w:pPr>
              <w:pStyle w:val="CellColumn"/>
              <w:jc w:val="right"/>
            </w:pPr>
            <w:r>
              <w:rPr>
                <w:rFonts w:cs="Times New Roman"/>
              </w:rPr>
              <w:t>256.763.745</w:t>
            </w:r>
          </w:p>
        </w:tc>
        <w:tc>
          <w:tcPr>
            <w:tcW w:w="1224" w:type="dxa"/>
            <w:vAlign w:val="top"/>
          </w:tcPr>
          <w:p w:rsidR="00505632" w:rsidRDefault="00505632" w:rsidP="00AD4E52">
            <w:pPr>
              <w:pStyle w:val="CellColumn"/>
              <w:jc w:val="right"/>
            </w:pPr>
            <w:r>
              <w:rPr>
                <w:rFonts w:cs="Times New Roman"/>
              </w:rPr>
              <w:t>68,8</w:t>
            </w:r>
          </w:p>
        </w:tc>
        <w:tc>
          <w:tcPr>
            <w:tcW w:w="1224" w:type="dxa"/>
            <w:vAlign w:val="top"/>
          </w:tcPr>
          <w:p w:rsidR="00505632" w:rsidRDefault="00505632" w:rsidP="00AD4E52">
            <w:pPr>
              <w:pStyle w:val="CellColumn"/>
              <w:jc w:val="right"/>
            </w:pPr>
            <w:r>
              <w:rPr>
                <w:rFonts w:cs="Times New Roman"/>
              </w:rPr>
              <w:t>48,5</w:t>
            </w:r>
          </w:p>
        </w:tc>
      </w:tr>
      <w:tr w:rsidR="00505632" w:rsidTr="00AD4E52">
        <w:trPr>
          <w:jc w:val="center"/>
        </w:trPr>
        <w:tc>
          <w:tcPr>
            <w:tcW w:w="1632" w:type="dxa"/>
          </w:tcPr>
          <w:p w:rsidR="00505632" w:rsidRDefault="00505632" w:rsidP="00AD4E52">
            <w:pPr>
              <w:jc w:val="left"/>
            </w:pPr>
            <w:r>
              <w:t>3503-PROMETOVANJE NEKRETNINAMA</w:t>
            </w:r>
          </w:p>
        </w:tc>
        <w:tc>
          <w:tcPr>
            <w:tcW w:w="2041" w:type="dxa"/>
          </w:tcPr>
          <w:p w:rsidR="00505632" w:rsidRDefault="00505632" w:rsidP="00AD4E52">
            <w:pPr>
              <w:jc w:val="right"/>
            </w:pPr>
            <w:r>
              <w:t>389.987.750</w:t>
            </w:r>
          </w:p>
        </w:tc>
        <w:tc>
          <w:tcPr>
            <w:tcW w:w="2041" w:type="dxa"/>
          </w:tcPr>
          <w:p w:rsidR="00505632" w:rsidRDefault="00505632" w:rsidP="00AD4E52">
            <w:pPr>
              <w:jc w:val="right"/>
            </w:pPr>
            <w:r>
              <w:t>130.643.391</w:t>
            </w:r>
          </w:p>
        </w:tc>
        <w:tc>
          <w:tcPr>
            <w:tcW w:w="2041" w:type="dxa"/>
          </w:tcPr>
          <w:p w:rsidR="00505632" w:rsidRDefault="00505632" w:rsidP="00AD4E52">
            <w:pPr>
              <w:jc w:val="right"/>
            </w:pPr>
            <w:r>
              <w:t>140.519.654</w:t>
            </w:r>
          </w:p>
        </w:tc>
        <w:tc>
          <w:tcPr>
            <w:tcW w:w="1224" w:type="dxa"/>
          </w:tcPr>
          <w:p w:rsidR="00505632" w:rsidRDefault="00505632" w:rsidP="00AD4E52">
            <w:pPr>
              <w:jc w:val="right"/>
            </w:pPr>
            <w:r>
              <w:t>107,6</w:t>
            </w:r>
          </w:p>
        </w:tc>
        <w:tc>
          <w:tcPr>
            <w:tcW w:w="1224" w:type="dxa"/>
          </w:tcPr>
          <w:p w:rsidR="00505632" w:rsidRDefault="00505632" w:rsidP="00AD4E52">
            <w:pPr>
              <w:jc w:val="right"/>
            </w:pPr>
            <w:r>
              <w:t>36,0</w:t>
            </w:r>
          </w:p>
        </w:tc>
      </w:tr>
      <w:tr w:rsidR="00505632" w:rsidTr="00AD4E52">
        <w:trPr>
          <w:jc w:val="center"/>
        </w:trPr>
        <w:tc>
          <w:tcPr>
            <w:tcW w:w="1632" w:type="dxa"/>
          </w:tcPr>
          <w:p w:rsidR="00505632" w:rsidRDefault="00505632" w:rsidP="00AD4E52">
            <w:pPr>
              <w:jc w:val="left"/>
            </w:pPr>
            <w:r>
              <w:t>3504-POTICANJE STAMBENE GRADNJE</w:t>
            </w:r>
          </w:p>
        </w:tc>
        <w:tc>
          <w:tcPr>
            <w:tcW w:w="2041" w:type="dxa"/>
          </w:tcPr>
          <w:p w:rsidR="00505632" w:rsidRDefault="00505632" w:rsidP="00AD4E52">
            <w:pPr>
              <w:jc w:val="right"/>
            </w:pPr>
            <w:r>
              <w:t>139.665.066</w:t>
            </w:r>
          </w:p>
        </w:tc>
        <w:tc>
          <w:tcPr>
            <w:tcW w:w="2041" w:type="dxa"/>
          </w:tcPr>
          <w:p w:rsidR="00505632" w:rsidRDefault="00505632" w:rsidP="00AD4E52">
            <w:pPr>
              <w:jc w:val="right"/>
            </w:pPr>
            <w:r>
              <w:t>242.707.500</w:t>
            </w:r>
          </w:p>
        </w:tc>
        <w:tc>
          <w:tcPr>
            <w:tcW w:w="2041" w:type="dxa"/>
          </w:tcPr>
          <w:p w:rsidR="00505632" w:rsidRDefault="00505632" w:rsidP="00AD4E52">
            <w:pPr>
              <w:jc w:val="right"/>
            </w:pPr>
            <w:r>
              <w:t>116.244.091</w:t>
            </w:r>
          </w:p>
        </w:tc>
        <w:tc>
          <w:tcPr>
            <w:tcW w:w="1224" w:type="dxa"/>
          </w:tcPr>
          <w:p w:rsidR="00505632" w:rsidRDefault="00505632" w:rsidP="00AD4E52">
            <w:pPr>
              <w:jc w:val="right"/>
            </w:pPr>
            <w:r>
              <w:t>47,9</w:t>
            </w:r>
          </w:p>
        </w:tc>
        <w:tc>
          <w:tcPr>
            <w:tcW w:w="1224" w:type="dxa"/>
          </w:tcPr>
          <w:p w:rsidR="00505632" w:rsidRDefault="00505632" w:rsidP="00AD4E52">
            <w:pPr>
              <w:jc w:val="right"/>
            </w:pPr>
            <w:r>
              <w:t>83,2</w:t>
            </w:r>
          </w:p>
        </w:tc>
      </w:tr>
    </w:tbl>
    <w:p w:rsidR="00505632" w:rsidRDefault="00505632" w:rsidP="00505632">
      <w:pPr>
        <w:jc w:val="left"/>
      </w:pPr>
    </w:p>
    <w:p w:rsidR="00505632" w:rsidRDefault="00505632" w:rsidP="00505632">
      <w:pPr>
        <w:pStyle w:val="Heading3"/>
      </w:pPr>
      <w:r>
        <w:rPr>
          <w:rFonts w:cs="Times New Roman"/>
        </w:rPr>
        <w:t>3503 PROMETOVANJE NEKRETNINAMA</w:t>
      </w:r>
    </w:p>
    <w:tbl>
      <w:tblPr>
        <w:tblStyle w:val="StilTablice"/>
        <w:tblW w:w="10206" w:type="dxa"/>
        <w:jc w:val="center"/>
        <w:tblLook w:val="04A0" w:firstRow="1" w:lastRow="0" w:firstColumn="1" w:lastColumn="0" w:noHBand="0" w:noVBand="1"/>
      </w:tblPr>
      <w:tblGrid>
        <w:gridCol w:w="1725"/>
        <w:gridCol w:w="2014"/>
        <w:gridCol w:w="2015"/>
        <w:gridCol w:w="2015"/>
        <w:gridCol w:w="1217"/>
        <w:gridCol w:w="1220"/>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3503-PROMETOVANJE NEKRETNINAMA</w:t>
            </w:r>
          </w:p>
        </w:tc>
        <w:tc>
          <w:tcPr>
            <w:tcW w:w="2041" w:type="dxa"/>
          </w:tcPr>
          <w:p w:rsidR="00505632" w:rsidRDefault="00505632" w:rsidP="00AD4E52">
            <w:pPr>
              <w:pStyle w:val="CellColumn"/>
              <w:jc w:val="right"/>
            </w:pPr>
            <w:r>
              <w:rPr>
                <w:rFonts w:cs="Times New Roman"/>
              </w:rPr>
              <w:t>389.987.750</w:t>
            </w:r>
          </w:p>
        </w:tc>
        <w:tc>
          <w:tcPr>
            <w:tcW w:w="2041" w:type="dxa"/>
          </w:tcPr>
          <w:p w:rsidR="00505632" w:rsidRDefault="00505632" w:rsidP="00AD4E52">
            <w:pPr>
              <w:pStyle w:val="CellColumn"/>
              <w:jc w:val="right"/>
            </w:pPr>
            <w:r>
              <w:rPr>
                <w:rFonts w:cs="Times New Roman"/>
              </w:rPr>
              <w:t>130.643.391</w:t>
            </w:r>
          </w:p>
        </w:tc>
        <w:tc>
          <w:tcPr>
            <w:tcW w:w="2041" w:type="dxa"/>
          </w:tcPr>
          <w:p w:rsidR="00505632" w:rsidRDefault="00505632" w:rsidP="00AD4E52">
            <w:pPr>
              <w:pStyle w:val="CellColumn"/>
              <w:jc w:val="right"/>
            </w:pPr>
            <w:r>
              <w:rPr>
                <w:rFonts w:cs="Times New Roman"/>
              </w:rPr>
              <w:t>140.519.654</w:t>
            </w:r>
          </w:p>
        </w:tc>
        <w:tc>
          <w:tcPr>
            <w:tcW w:w="1224" w:type="dxa"/>
          </w:tcPr>
          <w:p w:rsidR="00505632" w:rsidRDefault="00505632" w:rsidP="00AD4E52">
            <w:pPr>
              <w:pStyle w:val="CellColumn"/>
              <w:jc w:val="right"/>
            </w:pPr>
            <w:r>
              <w:rPr>
                <w:rFonts w:cs="Times New Roman"/>
              </w:rPr>
              <w:t>107,6</w:t>
            </w:r>
          </w:p>
        </w:tc>
        <w:tc>
          <w:tcPr>
            <w:tcW w:w="1224" w:type="dxa"/>
          </w:tcPr>
          <w:p w:rsidR="00505632" w:rsidRDefault="00505632" w:rsidP="00AD4E52">
            <w:pPr>
              <w:pStyle w:val="CellColumn"/>
              <w:jc w:val="right"/>
            </w:pPr>
            <w:r>
              <w:rPr>
                <w:rFonts w:cs="Times New Roman"/>
              </w:rPr>
              <w:t>36,0</w:t>
            </w:r>
          </w:p>
        </w:tc>
      </w:tr>
    </w:tbl>
    <w:p w:rsidR="00505632" w:rsidRDefault="00505632" w:rsidP="00505632">
      <w:pPr>
        <w:jc w:val="left"/>
      </w:pPr>
    </w:p>
    <w:p w:rsidR="00505632" w:rsidRDefault="00505632" w:rsidP="00505632">
      <w:r>
        <w:t>Uključuje Administraciju i upravljanje, Kupnju nekretnina za račun RH, Informatizaciju agencije, Obnovu voznog parka, Obnovu dijelova urbanih sredina, te Sanaciju šteta od poplava. Izvršenje je za 7,6% veće od plana iz razloga što je aktivnost Obnove poplavljenih područja bila veća od plana.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kupnja stanova</w:t>
            </w:r>
          </w:p>
        </w:tc>
        <w:tc>
          <w:tcPr>
            <w:tcW w:w="2551" w:type="dxa"/>
          </w:tcPr>
          <w:p w:rsidR="00505632" w:rsidRDefault="00505632" w:rsidP="00AD4E52">
            <w:pPr>
              <w:pStyle w:val="CellColumn"/>
              <w:jc w:val="left"/>
            </w:pPr>
            <w:r>
              <w:rPr>
                <w:rFonts w:cs="Times New Roman"/>
              </w:rPr>
              <w:t>kupnjom stanova rješava se stambeno pitanje dijela korisnika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1593</w:t>
            </w:r>
          </w:p>
        </w:tc>
        <w:tc>
          <w:tcPr>
            <w:tcW w:w="1020" w:type="dxa"/>
          </w:tcPr>
          <w:p w:rsidR="00505632" w:rsidRDefault="00505632" w:rsidP="00AD4E52">
            <w:pPr>
              <w:pStyle w:val="CellColumn"/>
              <w:jc w:val="right"/>
            </w:pPr>
            <w:r>
              <w:rPr>
                <w:rFonts w:cs="Times New Roman"/>
              </w:rPr>
              <w:t>APN</w:t>
            </w:r>
          </w:p>
        </w:tc>
        <w:tc>
          <w:tcPr>
            <w:tcW w:w="1020" w:type="dxa"/>
          </w:tcPr>
          <w:p w:rsidR="00505632" w:rsidRDefault="00505632" w:rsidP="00AD4E52">
            <w:pPr>
              <w:pStyle w:val="CellColumn"/>
              <w:jc w:val="right"/>
            </w:pPr>
            <w:r>
              <w:rPr>
                <w:rFonts w:cs="Times New Roman"/>
              </w:rPr>
              <w:t>1643</w:t>
            </w:r>
          </w:p>
        </w:tc>
        <w:tc>
          <w:tcPr>
            <w:tcW w:w="1020" w:type="dxa"/>
          </w:tcPr>
          <w:p w:rsidR="00505632" w:rsidRDefault="00505632" w:rsidP="00AD4E52">
            <w:pPr>
              <w:pStyle w:val="CellColumn"/>
              <w:jc w:val="right"/>
            </w:pPr>
            <w:r>
              <w:rPr>
                <w:rFonts w:cs="Times New Roman"/>
              </w:rPr>
              <w:t>1640</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A551000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A551000-ADMINISTRACIJA I UPRAVLJANJE</w:t>
            </w:r>
          </w:p>
        </w:tc>
        <w:tc>
          <w:tcPr>
            <w:tcW w:w="2041" w:type="dxa"/>
          </w:tcPr>
          <w:p w:rsidR="00505632" w:rsidRDefault="00505632" w:rsidP="00AD4E52">
            <w:pPr>
              <w:pStyle w:val="CellColumn"/>
              <w:jc w:val="right"/>
            </w:pPr>
            <w:r>
              <w:rPr>
                <w:rFonts w:cs="Times New Roman"/>
              </w:rPr>
              <w:t>11.825.899</w:t>
            </w:r>
          </w:p>
        </w:tc>
        <w:tc>
          <w:tcPr>
            <w:tcW w:w="2041" w:type="dxa"/>
          </w:tcPr>
          <w:p w:rsidR="00505632" w:rsidRDefault="00505632" w:rsidP="00AD4E52">
            <w:pPr>
              <w:pStyle w:val="CellColumn"/>
              <w:jc w:val="right"/>
            </w:pPr>
            <w:r>
              <w:rPr>
                <w:rFonts w:cs="Times New Roman"/>
              </w:rPr>
              <w:t>12.330.091</w:t>
            </w:r>
          </w:p>
        </w:tc>
        <w:tc>
          <w:tcPr>
            <w:tcW w:w="2041" w:type="dxa"/>
          </w:tcPr>
          <w:p w:rsidR="00505632" w:rsidRDefault="00505632" w:rsidP="00AD4E52">
            <w:pPr>
              <w:pStyle w:val="CellColumn"/>
              <w:jc w:val="right"/>
            </w:pPr>
            <w:r>
              <w:rPr>
                <w:rFonts w:cs="Times New Roman"/>
              </w:rPr>
              <w:t>11.685.279</w:t>
            </w:r>
          </w:p>
        </w:tc>
        <w:tc>
          <w:tcPr>
            <w:tcW w:w="1224" w:type="dxa"/>
          </w:tcPr>
          <w:p w:rsidR="00505632" w:rsidRDefault="00505632" w:rsidP="00AD4E52">
            <w:pPr>
              <w:pStyle w:val="CellColumn"/>
              <w:jc w:val="right"/>
            </w:pPr>
            <w:r>
              <w:rPr>
                <w:rFonts w:cs="Times New Roman"/>
              </w:rPr>
              <w:t>94,8</w:t>
            </w:r>
          </w:p>
        </w:tc>
        <w:tc>
          <w:tcPr>
            <w:tcW w:w="1224" w:type="dxa"/>
          </w:tcPr>
          <w:p w:rsidR="00505632" w:rsidRDefault="00505632" w:rsidP="00AD4E52">
            <w:pPr>
              <w:pStyle w:val="CellColumn"/>
              <w:jc w:val="right"/>
            </w:pPr>
            <w:r>
              <w:rPr>
                <w:rFonts w:cs="Times New Roman"/>
              </w:rPr>
              <w:t>98,8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Agencija za pravni promet i posredovanje nekretninama osnovana je Uredbom Vlade Republike Hrvatske( NN 45/97).</w:t>
      </w:r>
    </w:p>
    <w:p w:rsidR="00505632" w:rsidRDefault="00505632" w:rsidP="00505632">
      <w:pPr>
        <w:pStyle w:val="Heading8"/>
        <w:jc w:val="left"/>
      </w:pPr>
      <w:r>
        <w:t>Opis aktivnosti</w:t>
      </w:r>
    </w:p>
    <w:p w:rsidR="00505632" w:rsidRDefault="00505632" w:rsidP="00505632">
      <w:r>
        <w:t>Ova aktivnost obuhvaća troškove zaposlenih ( plaće, doprinose i ostale rashode za zaposlene ), te materijalne rashode ( službena putovanja, računalne usluge, intelektualne usluge, promidžbu, troškove najma, energije, zakupa , pošte i telefona i ostalo)  neophodnih za normalno poslovanje agencije. Ovi troškovi su u odnosu na plan manji za 5,2%.</w:t>
      </w:r>
    </w:p>
    <w:p w:rsidR="00505632" w:rsidRDefault="00505632" w:rsidP="00505632">
      <w:pPr>
        <w:pStyle w:val="Heading4"/>
      </w:pPr>
      <w:r>
        <w:t>K260345 KUPOVANJE ODREĐENIH NEKRETNINA ZA RAČUN RH, TE DAVANJE ZAJMOVA DOMAĆIM FIZIČKIM OSOBAMA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K260345-KUPOVANJE ODREĐENIH NEKRETNINA ZA RAČUN RH, TE DAVANJE ZAJMOVA DOMAĆIM FIZIČKIM OSOBAMA</w:t>
            </w:r>
          </w:p>
        </w:tc>
        <w:tc>
          <w:tcPr>
            <w:tcW w:w="2041" w:type="dxa"/>
          </w:tcPr>
          <w:p w:rsidR="00505632" w:rsidRDefault="00505632" w:rsidP="00AD4E52">
            <w:pPr>
              <w:pStyle w:val="CellColumn"/>
              <w:jc w:val="right"/>
            </w:pPr>
            <w:r>
              <w:rPr>
                <w:rFonts w:cs="Times New Roman"/>
              </w:rPr>
              <w:t>31.052.244</w:t>
            </w:r>
          </w:p>
        </w:tc>
        <w:tc>
          <w:tcPr>
            <w:tcW w:w="2041" w:type="dxa"/>
          </w:tcPr>
          <w:p w:rsidR="00505632" w:rsidRDefault="00505632" w:rsidP="00AD4E52">
            <w:pPr>
              <w:pStyle w:val="CellColumn"/>
              <w:jc w:val="right"/>
            </w:pPr>
            <w:r>
              <w:rPr>
                <w:rFonts w:cs="Times New Roman"/>
              </w:rPr>
              <w:t>25.460.000</w:t>
            </w:r>
          </w:p>
        </w:tc>
        <w:tc>
          <w:tcPr>
            <w:tcW w:w="2041" w:type="dxa"/>
          </w:tcPr>
          <w:p w:rsidR="00505632" w:rsidRDefault="00505632" w:rsidP="00AD4E52">
            <w:pPr>
              <w:pStyle w:val="CellColumn"/>
              <w:jc w:val="right"/>
            </w:pPr>
            <w:r>
              <w:rPr>
                <w:rFonts w:cs="Times New Roman"/>
              </w:rPr>
              <w:t>18.631.376</w:t>
            </w:r>
          </w:p>
        </w:tc>
        <w:tc>
          <w:tcPr>
            <w:tcW w:w="1224" w:type="dxa"/>
          </w:tcPr>
          <w:p w:rsidR="00505632" w:rsidRDefault="00505632" w:rsidP="00AD4E52">
            <w:pPr>
              <w:pStyle w:val="CellColumn"/>
              <w:jc w:val="right"/>
            </w:pPr>
            <w:r>
              <w:rPr>
                <w:rFonts w:cs="Times New Roman"/>
              </w:rPr>
              <w:t>73,2</w:t>
            </w:r>
          </w:p>
        </w:tc>
        <w:tc>
          <w:tcPr>
            <w:tcW w:w="1224" w:type="dxa"/>
          </w:tcPr>
          <w:p w:rsidR="00505632" w:rsidRDefault="00505632" w:rsidP="00AD4E52">
            <w:pPr>
              <w:pStyle w:val="CellColumn"/>
              <w:jc w:val="right"/>
            </w:pPr>
            <w:r>
              <w:rPr>
                <w:rFonts w:cs="Times New Roman"/>
              </w:rPr>
              <w:t>60,0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Poslovi vezani uz kupnju nekretnina  izvan područja posebne državne skrbi odvijaju se sukladno Odluci o stambenom zbrinjavanju povratnika- bivših nositelja stanarskog prava izvan područja posebne državne skrbi (NN 29/11 i 139/11 ) i Odluci Vlade Republike Hrvatske o davanju ovlasti Agenciji za pravni promet i posredovanje nekretninama za raspolaganje nekretninama u vlasništvu Republike Hrvatske Klasa: 940-01/11-01/01, Ur broj :5030105-11-1 od 12. svibnja 2011. godine.</w:t>
      </w:r>
    </w:p>
    <w:p w:rsidR="00505632" w:rsidRDefault="00505632" w:rsidP="00505632">
      <w:pPr>
        <w:pStyle w:val="Heading8"/>
        <w:jc w:val="left"/>
      </w:pPr>
      <w:r>
        <w:t>Opis aktivnosti</w:t>
      </w:r>
    </w:p>
    <w:p w:rsidR="00505632" w:rsidRDefault="00505632" w:rsidP="00505632">
      <w:r>
        <w:t xml:space="preserve">APN, Odjel  za kupovinu nekretnina u okviru svog poslovanja obavlja poslove zaprimanja i vođenja evidencije o ponudama za prodaju nekretnina, prikuplja podatke o vlasništvu i posjedu nekretnina, procjenu vrijednosti nekretnina (putem ovlaštenih sudskih vještaka), obrađuje ponude za kupnju nekretnina, kontaktira s vlasnicima nekretnina glede ugovaranja kupnje, sklapa ugovore o kupoprodaji nekretnina, te obavlja ostale poslove u svezi sa kupnjom nekretnina. </w:t>
      </w:r>
    </w:p>
    <w:p w:rsidR="00505632" w:rsidRDefault="00505632" w:rsidP="00505632">
      <w:r>
        <w:t xml:space="preserve">Potrebe za kupnjom stanova dostavlja Državni ured za obnovu i stambeno zbrinjavanje. </w:t>
      </w:r>
    </w:p>
    <w:p w:rsidR="00505632" w:rsidRDefault="00505632" w:rsidP="00505632">
      <w:r>
        <w:t xml:space="preserve">Kupnja je započela 2006. godine, te je od tada do kraja 2016 godine kupljeno ukupno 1640 stanova.  </w:t>
      </w:r>
    </w:p>
    <w:p w:rsidR="00505632" w:rsidRDefault="00505632" w:rsidP="00505632">
      <w:r>
        <w:t>Ostvarena kupnja u  2016. godini manja je od plana iz razloga ponude neadekvatnih nekretnina kao i nedobivanja suglasnosti za kupnju od strane Državnog odvjetništva.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kupljenih stanova</w:t>
            </w:r>
          </w:p>
        </w:tc>
        <w:tc>
          <w:tcPr>
            <w:tcW w:w="2551" w:type="dxa"/>
          </w:tcPr>
          <w:p w:rsidR="00505632" w:rsidRDefault="00505632" w:rsidP="00AD4E52">
            <w:pPr>
              <w:pStyle w:val="CellColumn"/>
              <w:jc w:val="left"/>
            </w:pPr>
            <w:r>
              <w:rPr>
                <w:rFonts w:cs="Times New Roman"/>
              </w:rPr>
              <w:t>Kupnjom stanova rješava se stambeno pitanje dijela korisnika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1593</w:t>
            </w:r>
          </w:p>
        </w:tc>
        <w:tc>
          <w:tcPr>
            <w:tcW w:w="1020" w:type="dxa"/>
          </w:tcPr>
          <w:p w:rsidR="00505632" w:rsidRDefault="00505632" w:rsidP="00AD4E52">
            <w:pPr>
              <w:pStyle w:val="CellColumn"/>
              <w:jc w:val="right"/>
            </w:pPr>
            <w:r>
              <w:rPr>
                <w:rFonts w:cs="Times New Roman"/>
              </w:rPr>
              <w:t>Strateški plan</w:t>
            </w:r>
          </w:p>
        </w:tc>
        <w:tc>
          <w:tcPr>
            <w:tcW w:w="1020" w:type="dxa"/>
          </w:tcPr>
          <w:p w:rsidR="00505632" w:rsidRDefault="00505632" w:rsidP="00AD4E52">
            <w:pPr>
              <w:pStyle w:val="CellColumn"/>
              <w:jc w:val="right"/>
            </w:pPr>
            <w:r>
              <w:rPr>
                <w:rFonts w:cs="Times New Roman"/>
              </w:rPr>
              <w:t>1643</w:t>
            </w:r>
          </w:p>
        </w:tc>
        <w:tc>
          <w:tcPr>
            <w:tcW w:w="1020" w:type="dxa"/>
          </w:tcPr>
          <w:p w:rsidR="00505632" w:rsidRDefault="00505632" w:rsidP="00AD4E52">
            <w:pPr>
              <w:pStyle w:val="CellColumn"/>
              <w:jc w:val="right"/>
            </w:pPr>
            <w:r>
              <w:rPr>
                <w:rFonts w:cs="Times New Roman"/>
              </w:rPr>
              <w:t>1640</w:t>
            </w:r>
          </w:p>
        </w:tc>
      </w:tr>
    </w:tbl>
    <w:p w:rsidR="00505632" w:rsidRDefault="00505632" w:rsidP="00505632">
      <w:pPr>
        <w:jc w:val="left"/>
      </w:pPr>
    </w:p>
    <w:p w:rsidR="00505632" w:rsidRDefault="00505632" w:rsidP="00505632">
      <w:pPr>
        <w:pStyle w:val="Heading4"/>
      </w:pPr>
      <w:r>
        <w:t>K551003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K551003-INFORMATIZACIJA</w:t>
            </w:r>
          </w:p>
        </w:tc>
        <w:tc>
          <w:tcPr>
            <w:tcW w:w="2041" w:type="dxa"/>
          </w:tcPr>
          <w:p w:rsidR="00505632" w:rsidRDefault="00505632" w:rsidP="00AD4E52">
            <w:pPr>
              <w:pStyle w:val="CellColumn"/>
              <w:jc w:val="right"/>
            </w:pPr>
            <w:r>
              <w:rPr>
                <w:rFonts w:cs="Times New Roman"/>
              </w:rPr>
              <w:t>51.960</w:t>
            </w:r>
          </w:p>
        </w:tc>
        <w:tc>
          <w:tcPr>
            <w:tcW w:w="2041" w:type="dxa"/>
          </w:tcPr>
          <w:p w:rsidR="00505632" w:rsidRDefault="00505632" w:rsidP="00AD4E52">
            <w:pPr>
              <w:pStyle w:val="CellColumn"/>
              <w:jc w:val="right"/>
            </w:pPr>
            <w:r>
              <w:rPr>
                <w:rFonts w:cs="Times New Roman"/>
              </w:rPr>
              <w:t>419.000</w:t>
            </w:r>
          </w:p>
        </w:tc>
        <w:tc>
          <w:tcPr>
            <w:tcW w:w="2041" w:type="dxa"/>
          </w:tcPr>
          <w:p w:rsidR="00505632" w:rsidRDefault="00505632" w:rsidP="00AD4E52">
            <w:pPr>
              <w:pStyle w:val="CellColumn"/>
              <w:jc w:val="right"/>
            </w:pPr>
            <w:r>
              <w:rPr>
                <w:rFonts w:cs="Times New Roman"/>
              </w:rPr>
              <w:t>402.567</w:t>
            </w:r>
          </w:p>
        </w:tc>
        <w:tc>
          <w:tcPr>
            <w:tcW w:w="1224" w:type="dxa"/>
          </w:tcPr>
          <w:p w:rsidR="00505632" w:rsidRDefault="00505632" w:rsidP="00AD4E52">
            <w:pPr>
              <w:pStyle w:val="CellColumn"/>
              <w:jc w:val="right"/>
            </w:pPr>
            <w:r>
              <w:rPr>
                <w:rFonts w:cs="Times New Roman"/>
              </w:rPr>
              <w:t>96,1</w:t>
            </w:r>
          </w:p>
        </w:tc>
        <w:tc>
          <w:tcPr>
            <w:tcW w:w="1224" w:type="dxa"/>
          </w:tcPr>
          <w:p w:rsidR="00505632" w:rsidRDefault="00505632" w:rsidP="00AD4E52">
            <w:pPr>
              <w:pStyle w:val="CellColumn"/>
              <w:jc w:val="right"/>
            </w:pPr>
            <w:r>
              <w:rPr>
                <w:rFonts w:cs="Times New Roman"/>
              </w:rPr>
              <w:t>774,8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Informatizacija nije vezana uz neki posebni zakon već predstavlja nužnu pretpostavku za nesmetano obavljanje ostalih aktivnosti</w:t>
      </w:r>
    </w:p>
    <w:p w:rsidR="00505632" w:rsidRDefault="00505632" w:rsidP="00505632">
      <w:pPr>
        <w:pStyle w:val="Heading8"/>
        <w:jc w:val="left"/>
      </w:pPr>
      <w:r>
        <w:t>Opis aktivnosti</w:t>
      </w:r>
    </w:p>
    <w:p w:rsidR="00505632" w:rsidRDefault="00505632" w:rsidP="00505632">
      <w:r>
        <w:t>Sredstva su utrošena za kupnju računala i licenci za njihovo korištenje. Izvršenje je približno planu a u odnosu na proteklu godinu je bitno veće iz razloga što smo morali obnoviti veći broj računala te kupiti licence.</w:t>
      </w:r>
    </w:p>
    <w:p w:rsidR="00505632" w:rsidRDefault="00505632" w:rsidP="00505632">
      <w:pPr>
        <w:pStyle w:val="Heading4"/>
      </w:pPr>
      <w:r>
        <w:t>K551022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K551022-OBNOVA VOZNOG PARKA</w:t>
            </w:r>
          </w:p>
        </w:tc>
        <w:tc>
          <w:tcPr>
            <w:tcW w:w="2041" w:type="dxa"/>
          </w:tcPr>
          <w:p w:rsidR="00505632" w:rsidRDefault="00505632" w:rsidP="00AD4E52">
            <w:pPr>
              <w:pStyle w:val="CellColumn"/>
              <w:jc w:val="right"/>
            </w:pPr>
            <w:r>
              <w:rPr>
                <w:rFonts w:cs="Times New Roman"/>
              </w:rPr>
              <w:t>211.494</w:t>
            </w:r>
          </w:p>
        </w:tc>
        <w:tc>
          <w:tcPr>
            <w:tcW w:w="2041" w:type="dxa"/>
          </w:tcPr>
          <w:p w:rsidR="00505632" w:rsidRDefault="00505632" w:rsidP="00AD4E52">
            <w:pPr>
              <w:pStyle w:val="CellColumn"/>
              <w:jc w:val="right"/>
            </w:pPr>
            <w:r>
              <w:rPr>
                <w:rFonts w:cs="Times New Roman"/>
              </w:rPr>
              <w:t>259.300</w:t>
            </w:r>
          </w:p>
        </w:tc>
        <w:tc>
          <w:tcPr>
            <w:tcW w:w="2041" w:type="dxa"/>
          </w:tcPr>
          <w:p w:rsidR="00505632" w:rsidRDefault="00505632" w:rsidP="00AD4E52">
            <w:pPr>
              <w:pStyle w:val="CellColumn"/>
              <w:jc w:val="right"/>
            </w:pPr>
            <w:r>
              <w:rPr>
                <w:rFonts w:cs="Times New Roman"/>
              </w:rPr>
              <w:t>174.879</w:t>
            </w:r>
          </w:p>
        </w:tc>
        <w:tc>
          <w:tcPr>
            <w:tcW w:w="1224" w:type="dxa"/>
          </w:tcPr>
          <w:p w:rsidR="00505632" w:rsidRDefault="00505632" w:rsidP="00AD4E52">
            <w:pPr>
              <w:pStyle w:val="CellColumn"/>
              <w:jc w:val="right"/>
            </w:pPr>
            <w:r>
              <w:rPr>
                <w:rFonts w:cs="Times New Roman"/>
              </w:rPr>
              <w:t>67,4</w:t>
            </w:r>
          </w:p>
        </w:tc>
        <w:tc>
          <w:tcPr>
            <w:tcW w:w="1224" w:type="dxa"/>
          </w:tcPr>
          <w:p w:rsidR="00505632" w:rsidRDefault="00505632" w:rsidP="00AD4E52">
            <w:pPr>
              <w:pStyle w:val="CellColumn"/>
              <w:jc w:val="right"/>
            </w:pPr>
            <w:r>
              <w:rPr>
                <w:rFonts w:cs="Times New Roman"/>
              </w:rPr>
              <w:t>82,7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Obnova voznog parka nije definirana posebnim zakonom.</w:t>
      </w:r>
    </w:p>
    <w:p w:rsidR="00505632" w:rsidRDefault="00505632" w:rsidP="00505632">
      <w:pPr>
        <w:pStyle w:val="Heading8"/>
        <w:jc w:val="left"/>
      </w:pPr>
      <w:r>
        <w:t>Opis aktivnosti</w:t>
      </w:r>
    </w:p>
    <w:p w:rsidR="00505632" w:rsidRDefault="00505632" w:rsidP="00505632">
      <w:r>
        <w:t>na ovoj aktivnosti planiraju se troškovi za auto osiguranje ( obvezno i kasko), troškovi lizinga,  troškovi servisiranja i održavanja vozila, te njihove registracije. troškovi su manji od planiranih i iznose 67,4% plana.</w:t>
      </w:r>
    </w:p>
    <w:p w:rsidR="00505632" w:rsidRDefault="00505632" w:rsidP="00505632"/>
    <w:p w:rsidR="00505632" w:rsidRDefault="00505632" w:rsidP="00505632">
      <w:pPr>
        <w:pStyle w:val="Heading4"/>
      </w:pPr>
      <w:r>
        <w:t>T551028 SANACIJA ŠTETA OD POPLAVA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T551028-SANACIJA ŠTETA OD POPLAVA</w:t>
            </w:r>
          </w:p>
        </w:tc>
        <w:tc>
          <w:tcPr>
            <w:tcW w:w="2041" w:type="dxa"/>
          </w:tcPr>
          <w:p w:rsidR="00505632" w:rsidRDefault="00505632" w:rsidP="00AD4E52">
            <w:pPr>
              <w:pStyle w:val="CellColumn"/>
              <w:jc w:val="right"/>
            </w:pPr>
            <w:r>
              <w:rPr>
                <w:rFonts w:cs="Times New Roman"/>
              </w:rPr>
              <w:t>346.823.008</w:t>
            </w:r>
          </w:p>
        </w:tc>
        <w:tc>
          <w:tcPr>
            <w:tcW w:w="2041" w:type="dxa"/>
          </w:tcPr>
          <w:p w:rsidR="00505632" w:rsidRDefault="00505632" w:rsidP="00AD4E52">
            <w:pPr>
              <w:pStyle w:val="CellColumn"/>
              <w:jc w:val="right"/>
            </w:pPr>
            <w:r>
              <w:rPr>
                <w:rFonts w:cs="Times New Roman"/>
              </w:rPr>
              <w:t>92.000.000</w:t>
            </w:r>
          </w:p>
        </w:tc>
        <w:tc>
          <w:tcPr>
            <w:tcW w:w="2041" w:type="dxa"/>
          </w:tcPr>
          <w:p w:rsidR="00505632" w:rsidRDefault="00505632" w:rsidP="00AD4E52">
            <w:pPr>
              <w:pStyle w:val="CellColumn"/>
              <w:jc w:val="right"/>
            </w:pPr>
            <w:r>
              <w:rPr>
                <w:rFonts w:cs="Times New Roman"/>
              </w:rPr>
              <w:t>109.589.346</w:t>
            </w:r>
          </w:p>
        </w:tc>
        <w:tc>
          <w:tcPr>
            <w:tcW w:w="1224" w:type="dxa"/>
          </w:tcPr>
          <w:p w:rsidR="00505632" w:rsidRDefault="00505632" w:rsidP="00AD4E52">
            <w:pPr>
              <w:pStyle w:val="CellColumn"/>
              <w:jc w:val="right"/>
            </w:pPr>
            <w:r>
              <w:rPr>
                <w:rFonts w:cs="Times New Roman"/>
              </w:rPr>
              <w:t>119,1</w:t>
            </w:r>
          </w:p>
        </w:tc>
        <w:tc>
          <w:tcPr>
            <w:tcW w:w="1224" w:type="dxa"/>
          </w:tcPr>
          <w:p w:rsidR="00505632" w:rsidRDefault="00505632" w:rsidP="00AD4E52">
            <w:pPr>
              <w:pStyle w:val="CellColumn"/>
              <w:jc w:val="right"/>
            </w:pPr>
            <w:r>
              <w:rPr>
                <w:rFonts w:cs="Times New Roman"/>
              </w:rPr>
              <w:t>31,6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Zakonu o saniranju posljedica katastrofe na području Vukovarsko Srijemske županije.</w:t>
      </w:r>
    </w:p>
    <w:p w:rsidR="00505632" w:rsidRDefault="00505632" w:rsidP="00505632">
      <w:pPr>
        <w:pStyle w:val="Heading8"/>
        <w:jc w:val="left"/>
      </w:pPr>
      <w:r>
        <w:t>Opis aktivnosti</w:t>
      </w:r>
    </w:p>
    <w:p w:rsidR="00505632" w:rsidRDefault="00505632" w:rsidP="00505632">
      <w:r>
        <w:t xml:space="preserve">Radi se o aktivnosti temeljenoj na Zakonu o saniranju posljedica katastrofe na području Vukovarsko Srijemske županije. APN je zadužen za operativno provođenje obnove ( odabir izvođača, nadzora i koordinatora ) te za plaćanje obnove.  </w:t>
      </w:r>
    </w:p>
    <w:p w:rsidR="00505632" w:rsidRDefault="00505632" w:rsidP="00505632">
      <w:r>
        <w:t>Izvršenje je za 19,1% veće od plana iz razloga što je naknadno zaključeno mnogo više novih ugovora za sanaciju pomoćnih i gospodarskih zgrada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obnovljenih kuća</w:t>
            </w:r>
          </w:p>
        </w:tc>
        <w:tc>
          <w:tcPr>
            <w:tcW w:w="2551" w:type="dxa"/>
          </w:tcPr>
          <w:p w:rsidR="00505632" w:rsidRDefault="00505632" w:rsidP="00AD4E52">
            <w:pPr>
              <w:pStyle w:val="CellColumn"/>
              <w:jc w:val="left"/>
            </w:pPr>
            <w:r>
              <w:rPr>
                <w:rFonts w:cs="Times New Roman"/>
              </w:rPr>
              <w:t>Obnovom se omogućava stanovanje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980</w:t>
            </w:r>
          </w:p>
        </w:tc>
        <w:tc>
          <w:tcPr>
            <w:tcW w:w="1020" w:type="dxa"/>
          </w:tcPr>
          <w:p w:rsidR="00505632" w:rsidRDefault="00505632" w:rsidP="00AD4E52">
            <w:pPr>
              <w:pStyle w:val="CellColumn"/>
              <w:jc w:val="right"/>
            </w:pPr>
            <w:r>
              <w:rPr>
                <w:rFonts w:cs="Times New Roman"/>
              </w:rPr>
              <w:t>APN</w:t>
            </w:r>
          </w:p>
        </w:tc>
        <w:tc>
          <w:tcPr>
            <w:tcW w:w="1020" w:type="dxa"/>
          </w:tcPr>
          <w:p w:rsidR="00505632" w:rsidRDefault="00505632" w:rsidP="00AD4E52">
            <w:pPr>
              <w:pStyle w:val="CellColumn"/>
              <w:jc w:val="right"/>
            </w:pPr>
            <w:r>
              <w:rPr>
                <w:rFonts w:cs="Times New Roman"/>
              </w:rPr>
              <w:t>1088</w:t>
            </w:r>
          </w:p>
        </w:tc>
        <w:tc>
          <w:tcPr>
            <w:tcW w:w="1020" w:type="dxa"/>
          </w:tcPr>
          <w:p w:rsidR="00505632" w:rsidRDefault="00505632" w:rsidP="00AD4E52">
            <w:pPr>
              <w:pStyle w:val="CellColumn"/>
              <w:jc w:val="right"/>
            </w:pPr>
            <w:r>
              <w:rPr>
                <w:rFonts w:cs="Times New Roman"/>
              </w:rPr>
              <w:t>1080</w:t>
            </w:r>
          </w:p>
        </w:tc>
      </w:tr>
    </w:tbl>
    <w:p w:rsidR="00505632" w:rsidRDefault="00505632" w:rsidP="00505632">
      <w:pPr>
        <w:jc w:val="left"/>
      </w:pPr>
    </w:p>
    <w:p w:rsidR="00505632" w:rsidRDefault="00505632" w:rsidP="00505632">
      <w:pPr>
        <w:pStyle w:val="Heading4"/>
      </w:pPr>
      <w:r>
        <w:t>T551029 OBNOVA DIJELOVA URBANIH SREDINA NA ENERGETSKI UČINKOVIT NAČIN - FOSTERREG</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T551029-OBNOVA DIJELOVA URBANIH SREDINA NA ENERGETSKI UČINKOVIT NAČIN - FOSTERREG</w:t>
            </w:r>
          </w:p>
        </w:tc>
        <w:tc>
          <w:tcPr>
            <w:tcW w:w="2041" w:type="dxa"/>
          </w:tcPr>
          <w:p w:rsidR="00505632" w:rsidRDefault="00505632" w:rsidP="00AD4E52">
            <w:pPr>
              <w:pStyle w:val="CellColumn"/>
              <w:jc w:val="right"/>
            </w:pPr>
            <w:r>
              <w:rPr>
                <w:rFonts w:cs="Times New Roman"/>
              </w:rPr>
              <w:t>23.145</w:t>
            </w:r>
          </w:p>
        </w:tc>
        <w:tc>
          <w:tcPr>
            <w:tcW w:w="2041" w:type="dxa"/>
          </w:tcPr>
          <w:p w:rsidR="00505632" w:rsidRDefault="00505632" w:rsidP="00AD4E52">
            <w:pPr>
              <w:pStyle w:val="CellColumn"/>
              <w:jc w:val="right"/>
            </w:pPr>
            <w:r>
              <w:rPr>
                <w:rFonts w:cs="Times New Roman"/>
              </w:rPr>
              <w:t>175.000</w:t>
            </w:r>
          </w:p>
        </w:tc>
        <w:tc>
          <w:tcPr>
            <w:tcW w:w="2041" w:type="dxa"/>
          </w:tcPr>
          <w:p w:rsidR="00505632" w:rsidRDefault="00505632" w:rsidP="00AD4E52">
            <w:pPr>
              <w:pStyle w:val="CellColumn"/>
              <w:jc w:val="right"/>
            </w:pPr>
            <w:r>
              <w:rPr>
                <w:rFonts w:cs="Times New Roman"/>
              </w:rPr>
              <w:t>36.208</w:t>
            </w:r>
          </w:p>
        </w:tc>
        <w:tc>
          <w:tcPr>
            <w:tcW w:w="1224" w:type="dxa"/>
          </w:tcPr>
          <w:p w:rsidR="00505632" w:rsidRDefault="00505632" w:rsidP="00AD4E52">
            <w:pPr>
              <w:pStyle w:val="CellColumn"/>
              <w:jc w:val="right"/>
            </w:pPr>
            <w:r>
              <w:rPr>
                <w:rFonts w:cs="Times New Roman"/>
              </w:rPr>
              <w:t>20,7</w:t>
            </w:r>
          </w:p>
        </w:tc>
        <w:tc>
          <w:tcPr>
            <w:tcW w:w="1224" w:type="dxa"/>
          </w:tcPr>
          <w:p w:rsidR="00505632" w:rsidRDefault="00505632" w:rsidP="00AD4E52">
            <w:pPr>
              <w:pStyle w:val="CellColumn"/>
              <w:jc w:val="right"/>
            </w:pPr>
            <w:r>
              <w:rPr>
                <w:rFonts w:cs="Times New Roman"/>
              </w:rPr>
              <w:t>156,4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Pomoći EU po projektu Fosterreg</w:t>
      </w:r>
    </w:p>
    <w:p w:rsidR="00505632" w:rsidRDefault="00505632" w:rsidP="00505632">
      <w:pPr>
        <w:pStyle w:val="Heading8"/>
        <w:jc w:val="left"/>
      </w:pPr>
      <w:r>
        <w:t>Opis aktivnosti</w:t>
      </w:r>
    </w:p>
    <w:p w:rsidR="00505632" w:rsidRDefault="00505632" w:rsidP="00505632">
      <w:r>
        <w:t>radi se o pomoći EU koje pripadaju APN-u po projektu Fosterreg. Uloga APN-a je na edukacijskim mjerama za što nam je u trogodišnjem periodu ( 2015-2017.) iz sredstava EU odobreno ukupno 39.218,75 eura. FosterReg projekt bavi se implementacijom mjera energetske učinkovitosti u projektima urbane obnove na razini gradske četvrti. Cilj projekta FosterReg je jačanje kapaciteta djelatnika u javnoj upravi za planiranje, financiranje i provođenje projekata s integriranim mjerama energetske učinkovitosti u urbanu obnovu na razini gradske četvrti. Za postizanje toga cilja nužno je poboljšanje horizontalne integracije između različitih odjela javne uprave, kao i višerazinske koordinacije. Projekt se provodi u Nizozemskoj, Hrvatskoj i Španjolskoj. Izvršenje je bilo manje od plana iz razloga što se večina projekata planira za 2017. godinu.</w:t>
      </w:r>
    </w:p>
    <w:p w:rsidR="00505632" w:rsidRDefault="00505632" w:rsidP="00505632">
      <w:pPr>
        <w:pStyle w:val="Heading3"/>
      </w:pPr>
      <w:r>
        <w:rPr>
          <w:rFonts w:cs="Times New Roman"/>
        </w:rPr>
        <w:t>3504 POTICANJE STAMBENE GRADNJE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3504-POTICANJE STAMBENE GRADNJE</w:t>
            </w:r>
          </w:p>
        </w:tc>
        <w:tc>
          <w:tcPr>
            <w:tcW w:w="2041" w:type="dxa"/>
          </w:tcPr>
          <w:p w:rsidR="00505632" w:rsidRDefault="00505632" w:rsidP="00AD4E52">
            <w:pPr>
              <w:pStyle w:val="CellColumn"/>
              <w:jc w:val="right"/>
            </w:pPr>
            <w:r>
              <w:rPr>
                <w:rFonts w:cs="Times New Roman"/>
              </w:rPr>
              <w:t>139.665.066</w:t>
            </w:r>
          </w:p>
        </w:tc>
        <w:tc>
          <w:tcPr>
            <w:tcW w:w="2041" w:type="dxa"/>
          </w:tcPr>
          <w:p w:rsidR="00505632" w:rsidRDefault="00505632" w:rsidP="00AD4E52">
            <w:pPr>
              <w:pStyle w:val="CellColumn"/>
              <w:jc w:val="right"/>
            </w:pPr>
            <w:r>
              <w:rPr>
                <w:rFonts w:cs="Times New Roman"/>
              </w:rPr>
              <w:t>242.707.500</w:t>
            </w:r>
          </w:p>
        </w:tc>
        <w:tc>
          <w:tcPr>
            <w:tcW w:w="2041" w:type="dxa"/>
          </w:tcPr>
          <w:p w:rsidR="00505632" w:rsidRDefault="00505632" w:rsidP="00AD4E52">
            <w:pPr>
              <w:pStyle w:val="CellColumn"/>
              <w:jc w:val="right"/>
            </w:pPr>
            <w:r>
              <w:rPr>
                <w:rFonts w:cs="Times New Roman"/>
              </w:rPr>
              <w:t>116.244.091</w:t>
            </w:r>
          </w:p>
        </w:tc>
        <w:tc>
          <w:tcPr>
            <w:tcW w:w="1224" w:type="dxa"/>
          </w:tcPr>
          <w:p w:rsidR="00505632" w:rsidRDefault="00505632" w:rsidP="00AD4E52">
            <w:pPr>
              <w:pStyle w:val="CellColumn"/>
              <w:jc w:val="right"/>
            </w:pPr>
            <w:r>
              <w:rPr>
                <w:rFonts w:cs="Times New Roman"/>
              </w:rPr>
              <w:t>47,9</w:t>
            </w:r>
          </w:p>
        </w:tc>
        <w:tc>
          <w:tcPr>
            <w:tcW w:w="1224" w:type="dxa"/>
          </w:tcPr>
          <w:p w:rsidR="00505632" w:rsidRDefault="00505632" w:rsidP="00AD4E52">
            <w:pPr>
              <w:pStyle w:val="CellColumn"/>
              <w:jc w:val="right"/>
            </w:pPr>
            <w:r>
              <w:rPr>
                <w:rFonts w:cs="Times New Roman"/>
              </w:rPr>
              <w:t>83,2</w:t>
            </w:r>
          </w:p>
        </w:tc>
      </w:tr>
    </w:tbl>
    <w:p w:rsidR="00505632" w:rsidRDefault="00505632" w:rsidP="00505632">
      <w:pPr>
        <w:jc w:val="left"/>
      </w:pPr>
    </w:p>
    <w:p w:rsidR="00505632" w:rsidRDefault="00505632" w:rsidP="00505632">
      <w:r>
        <w:t>Ovaj program uključuje upravljanje društveno poticanom izgradnjom, energetsku obnovu zgrada javnog sektora, pribavljanje stanova za najam, poticanje mjera za poboljšanje energetske učinkovitosti, društveno poticanu stanogradnju, stambeno zbrinjavanje invalida Domovinskog rata i davanje subvencija. Izvršenje je znatno manje od plana iz razloga što se po programu POS-a nije investiralo kako je bilo planirano.</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izgrađenih stanova</w:t>
            </w:r>
          </w:p>
        </w:tc>
        <w:tc>
          <w:tcPr>
            <w:tcW w:w="2551" w:type="dxa"/>
          </w:tcPr>
          <w:p w:rsidR="00505632" w:rsidRDefault="00505632" w:rsidP="00AD4E52">
            <w:pPr>
              <w:pStyle w:val="CellColumn"/>
              <w:jc w:val="left"/>
            </w:pPr>
            <w:r>
              <w:rPr>
                <w:rFonts w:cs="Times New Roman"/>
              </w:rPr>
              <w:t>Izgradnjom stanova rješava se stambeni problem određenog broja ljudi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6975</w:t>
            </w:r>
          </w:p>
        </w:tc>
        <w:tc>
          <w:tcPr>
            <w:tcW w:w="1020" w:type="dxa"/>
          </w:tcPr>
          <w:p w:rsidR="00505632" w:rsidRDefault="00505632" w:rsidP="00AD4E52">
            <w:pPr>
              <w:pStyle w:val="CellColumn"/>
              <w:jc w:val="right"/>
            </w:pPr>
            <w:r>
              <w:rPr>
                <w:rFonts w:cs="Times New Roman"/>
              </w:rPr>
              <w:t>Strateški plan</w:t>
            </w:r>
          </w:p>
        </w:tc>
        <w:tc>
          <w:tcPr>
            <w:tcW w:w="1020" w:type="dxa"/>
          </w:tcPr>
          <w:p w:rsidR="00505632" w:rsidRDefault="00505632" w:rsidP="00AD4E52">
            <w:pPr>
              <w:pStyle w:val="CellColumn"/>
              <w:jc w:val="right"/>
            </w:pPr>
            <w:r>
              <w:rPr>
                <w:rFonts w:cs="Times New Roman"/>
              </w:rPr>
              <w:t>7833</w:t>
            </w:r>
          </w:p>
        </w:tc>
        <w:tc>
          <w:tcPr>
            <w:tcW w:w="1020" w:type="dxa"/>
          </w:tcPr>
          <w:p w:rsidR="00505632" w:rsidRDefault="00505632" w:rsidP="00AD4E52">
            <w:pPr>
              <w:pStyle w:val="CellColumn"/>
              <w:jc w:val="right"/>
            </w:pPr>
            <w:r>
              <w:rPr>
                <w:rFonts w:cs="Times New Roman"/>
              </w:rPr>
              <w:t>7800</w:t>
            </w:r>
          </w:p>
        </w:tc>
      </w:tr>
    </w:tbl>
    <w:p w:rsidR="00505632" w:rsidRDefault="00505632" w:rsidP="00505632">
      <w:pPr>
        <w:jc w:val="left"/>
      </w:pPr>
    </w:p>
    <w:p w:rsidR="00505632" w:rsidRDefault="00505632" w:rsidP="00505632">
      <w:pPr>
        <w:pStyle w:val="Heading4"/>
      </w:pPr>
      <w:r>
        <w:t>A551007 UPRAVLJANJE DRUŠTVENO POTICAJNOM STANOGRADNJOM</w:t>
      </w:r>
    </w:p>
    <w:tbl>
      <w:tblPr>
        <w:tblStyle w:val="StilTablice"/>
        <w:tblW w:w="10206" w:type="dxa"/>
        <w:jc w:val="center"/>
        <w:tblLook w:val="04A0" w:firstRow="1" w:lastRow="0" w:firstColumn="1" w:lastColumn="0" w:noHBand="0" w:noVBand="1"/>
      </w:tblPr>
      <w:tblGrid>
        <w:gridCol w:w="1892"/>
        <w:gridCol w:w="1964"/>
        <w:gridCol w:w="1965"/>
        <w:gridCol w:w="1965"/>
        <w:gridCol w:w="1206"/>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A551007-UPRAVLJANJE DRUŠTVENO POTICAJNOM STANOGRADNJOM</w:t>
            </w:r>
          </w:p>
        </w:tc>
        <w:tc>
          <w:tcPr>
            <w:tcW w:w="2041" w:type="dxa"/>
          </w:tcPr>
          <w:p w:rsidR="00505632" w:rsidRDefault="00505632" w:rsidP="00AD4E52">
            <w:pPr>
              <w:pStyle w:val="CellColumn"/>
              <w:jc w:val="right"/>
            </w:pPr>
            <w:r>
              <w:rPr>
                <w:rFonts w:cs="Times New Roman"/>
              </w:rPr>
              <w:t>1.963.445</w:t>
            </w:r>
          </w:p>
        </w:tc>
        <w:tc>
          <w:tcPr>
            <w:tcW w:w="2041" w:type="dxa"/>
          </w:tcPr>
          <w:p w:rsidR="00505632" w:rsidRDefault="00505632" w:rsidP="00AD4E52">
            <w:pPr>
              <w:pStyle w:val="CellColumn"/>
              <w:jc w:val="right"/>
            </w:pPr>
            <w:r>
              <w:rPr>
                <w:rFonts w:cs="Times New Roman"/>
              </w:rPr>
              <w:t>2.865.000</w:t>
            </w:r>
          </w:p>
        </w:tc>
        <w:tc>
          <w:tcPr>
            <w:tcW w:w="2041" w:type="dxa"/>
          </w:tcPr>
          <w:p w:rsidR="00505632" w:rsidRDefault="00505632" w:rsidP="00AD4E52">
            <w:pPr>
              <w:pStyle w:val="CellColumn"/>
              <w:jc w:val="right"/>
            </w:pPr>
            <w:r>
              <w:rPr>
                <w:rFonts w:cs="Times New Roman"/>
              </w:rPr>
              <w:t>2.834.633</w:t>
            </w:r>
          </w:p>
        </w:tc>
        <w:tc>
          <w:tcPr>
            <w:tcW w:w="1224" w:type="dxa"/>
          </w:tcPr>
          <w:p w:rsidR="00505632" w:rsidRDefault="00505632" w:rsidP="00AD4E52">
            <w:pPr>
              <w:pStyle w:val="CellColumn"/>
              <w:jc w:val="right"/>
            </w:pPr>
            <w:r>
              <w:rPr>
                <w:rFonts w:cs="Times New Roman"/>
              </w:rPr>
              <w:t>98,9</w:t>
            </w:r>
          </w:p>
        </w:tc>
        <w:tc>
          <w:tcPr>
            <w:tcW w:w="1224" w:type="dxa"/>
          </w:tcPr>
          <w:p w:rsidR="00505632" w:rsidRDefault="00505632" w:rsidP="00AD4E52">
            <w:pPr>
              <w:pStyle w:val="CellColumn"/>
              <w:jc w:val="right"/>
            </w:pPr>
            <w:r>
              <w:rPr>
                <w:rFonts w:cs="Times New Roman"/>
              </w:rPr>
              <w:t>144,4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društveno poticanoj stanogradnji (NN 109/01, 82/04, 76/07, 38/09, 86/12, 07/13 i 26/15)</w:t>
      </w:r>
    </w:p>
    <w:p w:rsidR="00505632" w:rsidRDefault="00505632" w:rsidP="00505632">
      <w:pPr>
        <w:pStyle w:val="Heading8"/>
        <w:jc w:val="left"/>
      </w:pPr>
      <w:r>
        <w:t>Opis aktivnosti</w:t>
      </w:r>
    </w:p>
    <w:p w:rsidR="00505632" w:rsidRDefault="00505632" w:rsidP="00505632">
      <w:r>
        <w:t>Radi se o troškovima koji su vezani uz izgradnju stanova prema Zakonu o POS.u a ne ulaze u cijenu stana ( usluge promidžbe, intelektualne usluge, računalne usluge, te trošak režija za izgrađene a neprodane stanove. ) Izvršenje je skoro jednako planu dok je u odnosu na prethodnu godinu znatno veće iz razloga puno većih troškova za promidžbu novih lokacija u Splitu i Zagrebu.</w:t>
      </w:r>
    </w:p>
    <w:p w:rsidR="00505632" w:rsidRDefault="00505632" w:rsidP="00505632">
      <w:pPr>
        <w:pStyle w:val="Heading4"/>
      </w:pPr>
      <w:r>
        <w:t>A551027 ENERGETSKA OBNOVA ZGRADA JAVNOG SEKTORA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A551027-ENERGETSKA OBNOVA ZGRADA JAVNOG SEKTORA</w:t>
            </w:r>
          </w:p>
        </w:tc>
        <w:tc>
          <w:tcPr>
            <w:tcW w:w="2041" w:type="dxa"/>
          </w:tcPr>
          <w:p w:rsidR="00505632" w:rsidRDefault="00505632" w:rsidP="00AD4E52">
            <w:pPr>
              <w:pStyle w:val="CellColumn"/>
              <w:jc w:val="right"/>
            </w:pPr>
            <w:r>
              <w:rPr>
                <w:rFonts w:cs="Times New Roman"/>
              </w:rPr>
              <w:t>5.167.791</w:t>
            </w:r>
          </w:p>
        </w:tc>
        <w:tc>
          <w:tcPr>
            <w:tcW w:w="2041" w:type="dxa"/>
          </w:tcPr>
          <w:p w:rsidR="00505632" w:rsidRDefault="00505632" w:rsidP="00AD4E52">
            <w:pPr>
              <w:pStyle w:val="CellColumn"/>
              <w:jc w:val="right"/>
            </w:pPr>
            <w:r>
              <w:rPr>
                <w:rFonts w:cs="Times New Roman"/>
              </w:rPr>
              <w:t>4.269.000</w:t>
            </w:r>
          </w:p>
        </w:tc>
        <w:tc>
          <w:tcPr>
            <w:tcW w:w="2041" w:type="dxa"/>
          </w:tcPr>
          <w:p w:rsidR="00505632" w:rsidRDefault="00505632" w:rsidP="00AD4E52">
            <w:pPr>
              <w:pStyle w:val="CellColumn"/>
              <w:jc w:val="right"/>
            </w:pPr>
            <w:r>
              <w:rPr>
                <w:rFonts w:cs="Times New Roman"/>
              </w:rPr>
              <w:t>2.820.589</w:t>
            </w:r>
          </w:p>
        </w:tc>
        <w:tc>
          <w:tcPr>
            <w:tcW w:w="1224" w:type="dxa"/>
          </w:tcPr>
          <w:p w:rsidR="00505632" w:rsidRDefault="00505632" w:rsidP="00AD4E52">
            <w:pPr>
              <w:pStyle w:val="CellColumn"/>
              <w:jc w:val="right"/>
            </w:pPr>
            <w:r>
              <w:rPr>
                <w:rFonts w:cs="Times New Roman"/>
              </w:rPr>
              <w:t>66,1</w:t>
            </w:r>
          </w:p>
        </w:tc>
        <w:tc>
          <w:tcPr>
            <w:tcW w:w="1224" w:type="dxa"/>
          </w:tcPr>
          <w:p w:rsidR="00505632" w:rsidRDefault="00505632" w:rsidP="00AD4E52">
            <w:pPr>
              <w:pStyle w:val="CellColumn"/>
              <w:jc w:val="right"/>
            </w:pPr>
            <w:r>
              <w:rPr>
                <w:rFonts w:cs="Times New Roman"/>
              </w:rPr>
              <w:t>54,6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Odlukom Vlade Republike Hrvatske (Klasa: 022-03/13-04/444, Ur.broj: 50301-05/20-13-3) od 31. listopada 2013. godine usvojen je Program energetske obnove zgrada javnog sektora za razdoblje 2014÷2015. godine, za čiju provedbu je bila zadužena Agencija za pravni promet i posredovanje nekretninama (dalje u tekstu: APN).</w:t>
      </w:r>
    </w:p>
    <w:p w:rsidR="00505632" w:rsidRDefault="00505632" w:rsidP="00505632">
      <w:pPr>
        <w:pStyle w:val="Heading8"/>
        <w:jc w:val="left"/>
      </w:pPr>
      <w:r>
        <w:t>Opis aktivnosti</w:t>
      </w:r>
    </w:p>
    <w:p w:rsidR="00505632" w:rsidRDefault="00505632" w:rsidP="00505632">
      <w:r>
        <w:t xml:space="preserve">Program energetske obnove zgrada javnog sektora 2016.÷2020. (Program), koji je u postupku usvajanja, osigurava kontinuitet ispunjenja zahtjeva sukladno Direktivi  2012/27/EU Europskog parlamenta i Vijeća od 25. listopada 2012. godine o energetskoj učinkovitosti kojom se od država članica traži da od 1. siječnja 2014. svake godine obnove 3% ukupne površine poda grijanih i/ili hlađenih zgrada u vlasništvu i uporabi središnje vlasti, odnosno da alternativnim pristupom postignu uštede energije u zgradama središnje vlasti jednak uštedama energije dobivenima putem stope obnove od 3 %. </w:t>
      </w:r>
    </w:p>
    <w:p w:rsidR="00505632" w:rsidRDefault="00505632" w:rsidP="00505632">
      <w:r>
        <w:t xml:space="preserve">Kako bi se iskoristio cjelokupni postojeći potencijal za uštedu energije cilj Programa je cjelovita obnova zgrada, uz maksimalno ulaganje privatnog kapitala na javnim zgradama, nastavak razvoja tržišta energetskih usluga i prenošenje iskustava sa zgrada javnog sektora na područje ugovaranja energetske usluge među privatnim subjektima. Potiču se investicije koje imaju pozitivan učinak na državni proračun, a kroz ESCO model se osigurava provedba mjera poboljšanja energetske učinkovitosti u zgradama javnog sektora bez dodatnog trošenja proračunskih sredstava vlasnika/korisnika. </w:t>
      </w:r>
    </w:p>
    <w:p w:rsidR="00505632" w:rsidRDefault="00505632" w:rsidP="00505632">
      <w:r>
        <w:t xml:space="preserve">U provođenju obnove zgrada javnog sektora putem energetske usluge, odnosno ugovora o energetskom učinku ugovaranje se provodi putem APN-a sukladno Zakonu o energetskoj učinkovitosti (Narodne novine, br.127/14) i Uredbi o ugovaranju i provedbi energetske usluge u javnom sektoru (Narodne novine, broj 11/15) i Programu. </w:t>
      </w:r>
    </w:p>
    <w:p w:rsidR="00505632" w:rsidRDefault="00505632" w:rsidP="00505632">
      <w:r>
        <w:t xml:space="preserve">Program se sufinancira sredstvima Europskog fonda za regionalni razvoj u sklopu Prioritetne osi 4. Promicanje energetske učinkovitosti i obnovljivih izvora energije, Investicijskom prioritetu 4c Podupiranje energetske učinkovitosti, pametnog upravljanja energijom i korištenja OIE u javnoj infrastrukturi, uključujući javne zgrade i u stambenom sektoru, Specifičnom cilju 4c1 Smanjenje potrošnje energije u zgradama javnog sektora, Operativnog programa Konkurentnost i kohezija 2014. - 2020. za koji je osigurano 211 810 805 EUR  što se prikazuje u Državnom proračunu Republike Hrvatske na izvoru 563 – Europski fond za regionalni razvoj (ERDF). </w:t>
      </w:r>
    </w:p>
    <w:p w:rsidR="00505632" w:rsidRDefault="00505632" w:rsidP="00505632">
      <w:r>
        <w:t xml:space="preserve">Prema analiziranim scenarijima predviđa se rast  intenziteta energetske obnove zgrada na 327.000 do 473.000 m² godišnje s očekivanim kumulativnim  uštedama u primarnoj energiji od 394 do 552 GWh do 2020. godine. </w:t>
      </w:r>
    </w:p>
    <w:p w:rsidR="00505632" w:rsidRDefault="00505632" w:rsidP="00505632">
      <w:r>
        <w:t>Izvršenje je manje od plana jer se aktivnost obnove prenijala u naredne godine temeljem novog programa.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energetska obnova</w:t>
            </w:r>
          </w:p>
        </w:tc>
        <w:tc>
          <w:tcPr>
            <w:tcW w:w="2551" w:type="dxa"/>
          </w:tcPr>
          <w:p w:rsidR="00505632" w:rsidRDefault="00505632" w:rsidP="00AD4E52">
            <w:pPr>
              <w:pStyle w:val="CellColumn"/>
              <w:jc w:val="left"/>
            </w:pPr>
            <w:r>
              <w:rPr>
                <w:rFonts w:cs="Times New Roman"/>
              </w:rPr>
              <w:t>Energetskom obnovom postići će se uštede</w:t>
            </w:r>
          </w:p>
        </w:tc>
        <w:tc>
          <w:tcPr>
            <w:tcW w:w="1020" w:type="dxa"/>
          </w:tcPr>
          <w:p w:rsidR="00505632" w:rsidRDefault="00505632" w:rsidP="00AD4E52">
            <w:pPr>
              <w:pStyle w:val="CellColumn"/>
              <w:jc w:val="right"/>
            </w:pPr>
            <w:r>
              <w:rPr>
                <w:rFonts w:cs="Times New Roman"/>
              </w:rPr>
              <w:t>NKP(m2)</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Strateški plan</w:t>
            </w:r>
          </w:p>
        </w:tc>
        <w:tc>
          <w:tcPr>
            <w:tcW w:w="1020" w:type="dxa"/>
          </w:tcPr>
          <w:p w:rsidR="00505632" w:rsidRDefault="00505632" w:rsidP="00AD4E52">
            <w:pPr>
              <w:pStyle w:val="CellColumn"/>
              <w:jc w:val="right"/>
            </w:pPr>
            <w:r>
              <w:rPr>
                <w:rFonts w:cs="Times New Roman"/>
              </w:rPr>
              <w:t>100.000,00</w:t>
            </w:r>
          </w:p>
        </w:tc>
        <w:tc>
          <w:tcPr>
            <w:tcW w:w="1020" w:type="dxa"/>
          </w:tcPr>
          <w:p w:rsidR="00505632" w:rsidRDefault="00505632" w:rsidP="00AD4E52">
            <w:pPr>
              <w:pStyle w:val="CellColumn"/>
              <w:jc w:val="right"/>
            </w:pPr>
            <w:r>
              <w:rPr>
                <w:rFonts w:cs="Times New Roman"/>
              </w:rPr>
              <w:t>68.425,00</w:t>
            </w:r>
          </w:p>
        </w:tc>
      </w:tr>
    </w:tbl>
    <w:p w:rsidR="00505632" w:rsidRDefault="00505632" w:rsidP="00505632">
      <w:pPr>
        <w:jc w:val="left"/>
      </w:pPr>
    </w:p>
    <w:p w:rsidR="00505632" w:rsidRDefault="00505632" w:rsidP="00505632">
      <w:pPr>
        <w:pStyle w:val="Heading4"/>
      </w:pPr>
      <w:r>
        <w:t>K551025 PRIBAVLJANJE STANOVA ZA NAJAM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K551025-PRIBAVLJANJE STANOVA ZA NAJAM</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10.000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nije donesen</w:t>
      </w:r>
    </w:p>
    <w:p w:rsidR="00505632" w:rsidRDefault="00505632" w:rsidP="00505632">
      <w:pPr>
        <w:pStyle w:val="Heading8"/>
        <w:jc w:val="left"/>
      </w:pPr>
      <w:r>
        <w:t>Opis aktivnosti</w:t>
      </w:r>
    </w:p>
    <w:p w:rsidR="00505632" w:rsidRDefault="00505632" w:rsidP="00505632">
      <w:r>
        <w:t>Ideja je bila da se osiguraju sredstva kojima bi se na tržištu kupovali slobodni stanovi i davali u najam. S obzirom da sredstva nisu osigurana ovaj program se nije ni aktivirao.</w:t>
      </w:r>
    </w:p>
    <w:p w:rsidR="00505632" w:rsidRDefault="00505632" w:rsidP="00505632">
      <w:pPr>
        <w:pStyle w:val="Heading4"/>
      </w:pPr>
      <w:r>
        <w:t>K551026 POTICANJE MJERA ZA POBOLJŠANJE ENERGETSKE UČINKOVITOSTI</w:t>
      </w:r>
    </w:p>
    <w:tbl>
      <w:tblPr>
        <w:tblStyle w:val="StilTablice"/>
        <w:tblW w:w="10206" w:type="dxa"/>
        <w:jc w:val="center"/>
        <w:tblLook w:val="04A0" w:firstRow="1" w:lastRow="0" w:firstColumn="1" w:lastColumn="0" w:noHBand="0" w:noVBand="1"/>
      </w:tblPr>
      <w:tblGrid>
        <w:gridCol w:w="1670"/>
        <w:gridCol w:w="2030"/>
        <w:gridCol w:w="2030"/>
        <w:gridCol w:w="2031"/>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K551026-POTICANJE MJERA ZA POBOLJŠANJE ENERGETSKE UČINKOVITOSTI</w:t>
            </w:r>
          </w:p>
        </w:tc>
        <w:tc>
          <w:tcPr>
            <w:tcW w:w="2041" w:type="dxa"/>
          </w:tcPr>
          <w:p w:rsidR="00505632" w:rsidRDefault="00505632" w:rsidP="00AD4E52">
            <w:pPr>
              <w:pStyle w:val="CellColumn"/>
              <w:jc w:val="right"/>
            </w:pPr>
            <w:r>
              <w:rPr>
                <w:rFonts w:cs="Times New Roman"/>
              </w:rPr>
              <w:t>4.863.452</w:t>
            </w:r>
          </w:p>
        </w:tc>
        <w:tc>
          <w:tcPr>
            <w:tcW w:w="2041" w:type="dxa"/>
          </w:tcPr>
          <w:p w:rsidR="00505632" w:rsidRDefault="00505632" w:rsidP="00AD4E52">
            <w:pPr>
              <w:pStyle w:val="CellColumn"/>
              <w:jc w:val="right"/>
            </w:pPr>
            <w:r>
              <w:rPr>
                <w:rFonts w:cs="Times New Roman"/>
              </w:rPr>
              <w:t>5.237.000</w:t>
            </w:r>
          </w:p>
        </w:tc>
        <w:tc>
          <w:tcPr>
            <w:tcW w:w="2041" w:type="dxa"/>
          </w:tcPr>
          <w:p w:rsidR="00505632" w:rsidRDefault="00505632" w:rsidP="00AD4E52">
            <w:pPr>
              <w:pStyle w:val="CellColumn"/>
              <w:jc w:val="right"/>
            </w:pPr>
            <w:r>
              <w:rPr>
                <w:rFonts w:cs="Times New Roman"/>
              </w:rPr>
              <w:t>3.699.428</w:t>
            </w:r>
          </w:p>
        </w:tc>
        <w:tc>
          <w:tcPr>
            <w:tcW w:w="1224" w:type="dxa"/>
          </w:tcPr>
          <w:p w:rsidR="00505632" w:rsidRDefault="00505632" w:rsidP="00AD4E52">
            <w:pPr>
              <w:pStyle w:val="CellColumn"/>
              <w:jc w:val="right"/>
            </w:pPr>
            <w:r>
              <w:rPr>
                <w:rFonts w:cs="Times New Roman"/>
              </w:rPr>
              <w:t>70,6</w:t>
            </w:r>
          </w:p>
        </w:tc>
        <w:tc>
          <w:tcPr>
            <w:tcW w:w="1224" w:type="dxa"/>
          </w:tcPr>
          <w:p w:rsidR="00505632" w:rsidRDefault="00505632" w:rsidP="00AD4E52">
            <w:pPr>
              <w:pStyle w:val="CellColumn"/>
              <w:jc w:val="right"/>
            </w:pPr>
            <w:r>
              <w:rPr>
                <w:rFonts w:cs="Times New Roman"/>
              </w:rPr>
              <w:t>76,1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energetskoj učinkovitosti (NN 127/14), Direktiva o energetskoj efikasnosti Europske unije (Energy efficiency Directive – EED, 2012/27/EU), Pravilnik o sustavnom gospodarenju energijom (NN 18/15) i Metodologija sustavnog gospodarenje energijom (NN18/15). Odjel za sustavno gospodarenje energijom, provodio je  i aktivnosti planirane Trećim nacionalnim akcijskim planom energetske učinkovitosti 2014-2016, te aktivno sudjeluje u planiranju aktivnovnostri predviđenih Četvrtim nacionalnim akcijskim planom 2017-</w:t>
      </w:r>
    </w:p>
    <w:p w:rsidR="00505632" w:rsidRDefault="00505632" w:rsidP="00505632">
      <w:pPr>
        <w:pStyle w:val="Heading8"/>
        <w:jc w:val="left"/>
      </w:pPr>
      <w:r>
        <w:t>Opis aktivnosti</w:t>
      </w:r>
    </w:p>
    <w:p w:rsidR="00505632" w:rsidRDefault="00505632" w:rsidP="00505632">
      <w:r>
        <w:t xml:space="preserve">Sustavno gospodarenje energijom podrazumijeva održivo upravljanje energetskim resursima. </w:t>
      </w:r>
    </w:p>
    <w:p w:rsidR="00505632" w:rsidRDefault="00505632" w:rsidP="00505632">
      <w:r>
        <w:t xml:space="preserve">Kao glavni ciljevi ističu se primjena modela kontinuiranog i sustavnog gospodarenja energijom, strateškog planiranja energetike i održivog upravljanja energetskim resursima na lokalnoj i regionalnoj razini, što doprinosi smanjenju potrošnje energenata, a s time i smanjenju emisija štetnih plinova u atmosferu, čime se potiče razvoj novih djelatnosti i poduzetništva. </w:t>
      </w:r>
    </w:p>
    <w:p w:rsidR="00505632" w:rsidRDefault="00505632" w:rsidP="00505632">
      <w:r>
        <w:t xml:space="preserve">Cilj programa je uvesti, provoditi i verificirati mjere sustavnog gospodarenja energijom u javnoj upravi. </w:t>
      </w:r>
    </w:p>
    <w:p w:rsidR="00505632" w:rsidRDefault="00505632" w:rsidP="00505632">
      <w:r>
        <w:t xml:space="preserve">Rezultati uspješne provedbe SGE-a svode se na: smanjenje financijskih troškova za energiju i vodu kroz gospodarenje energijom te kroz primjenu mjera energetske efikasnosti, smanjenje štetnih utjecaja na okoliš, formiranje obrazovanih i kompetentnih EE timova sposobnih za planiranje i upravljanje potrošnjom energije i uspostavljanje sustava gospodarenja objektima u vlasništvu ministarstva, grada ili županije preko sustava ISGE. </w:t>
      </w:r>
    </w:p>
    <w:p w:rsidR="00505632" w:rsidRDefault="00505632" w:rsidP="00505632">
      <w:r>
        <w:t xml:space="preserve">Informacijski sustav za gospodarenje energijom - ISGE je internetska aplikacija za nadzor i analizu potrošnje energije i vode u zgradama javnog sektora te predstavlja neizbježan alat za sustavno gospodarenje energijom. </w:t>
      </w:r>
    </w:p>
    <w:p w:rsidR="00505632" w:rsidRDefault="00505632" w:rsidP="00505632">
      <w:r>
        <w:t>Izvršenje je manje od plana iz razloga što se dio planiranih aktivnosti prenio u narednu godinu.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prikupljenih podataka kroz ISGE</w:t>
            </w:r>
          </w:p>
        </w:tc>
        <w:tc>
          <w:tcPr>
            <w:tcW w:w="2551" w:type="dxa"/>
          </w:tcPr>
          <w:p w:rsidR="00505632" w:rsidRDefault="00505632" w:rsidP="00AD4E52">
            <w:pPr>
              <w:pStyle w:val="CellColumn"/>
              <w:jc w:val="left"/>
            </w:pPr>
            <w:r>
              <w:rPr>
                <w:rFonts w:cs="Times New Roman"/>
              </w:rPr>
              <w:t>većim prikupljanjem doći če do racionalnijeg korištenja i ušteda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APN</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60</w:t>
            </w:r>
          </w:p>
        </w:tc>
      </w:tr>
    </w:tbl>
    <w:p w:rsidR="00505632" w:rsidRDefault="00505632" w:rsidP="00505632">
      <w:pPr>
        <w:jc w:val="left"/>
      </w:pPr>
    </w:p>
    <w:p w:rsidR="00505632" w:rsidRDefault="00505632" w:rsidP="00505632">
      <w:pPr>
        <w:pStyle w:val="Heading4"/>
      </w:pPr>
      <w:r>
        <w:t>K576201 DRUŠTVENO POTICANA STANOGRADNJA</w:t>
      </w:r>
    </w:p>
    <w:tbl>
      <w:tblPr>
        <w:tblStyle w:val="StilTablice"/>
        <w:tblW w:w="10206" w:type="dxa"/>
        <w:jc w:val="center"/>
        <w:tblLook w:val="04A0" w:firstRow="1" w:lastRow="0" w:firstColumn="1" w:lastColumn="0" w:noHBand="0" w:noVBand="1"/>
      </w:tblPr>
      <w:tblGrid>
        <w:gridCol w:w="1715"/>
        <w:gridCol w:w="2018"/>
        <w:gridCol w:w="2018"/>
        <w:gridCol w:w="2018"/>
        <w:gridCol w:w="1217"/>
        <w:gridCol w:w="1220"/>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K576201-DRUŠTVENO POTICANA STANOGRADNJA</w:t>
            </w:r>
          </w:p>
        </w:tc>
        <w:tc>
          <w:tcPr>
            <w:tcW w:w="2041" w:type="dxa"/>
          </w:tcPr>
          <w:p w:rsidR="00505632" w:rsidRDefault="00505632" w:rsidP="00AD4E52">
            <w:pPr>
              <w:pStyle w:val="CellColumn"/>
              <w:jc w:val="right"/>
            </w:pPr>
            <w:r>
              <w:rPr>
                <w:rFonts w:cs="Times New Roman"/>
              </w:rPr>
              <w:t>111.695.590</w:t>
            </w:r>
          </w:p>
        </w:tc>
        <w:tc>
          <w:tcPr>
            <w:tcW w:w="2041" w:type="dxa"/>
          </w:tcPr>
          <w:p w:rsidR="00505632" w:rsidRDefault="00505632" w:rsidP="00AD4E52">
            <w:pPr>
              <w:pStyle w:val="CellColumn"/>
              <w:jc w:val="right"/>
            </w:pPr>
            <w:r>
              <w:rPr>
                <w:rFonts w:cs="Times New Roman"/>
              </w:rPr>
              <w:t>230.000.000</w:t>
            </w:r>
          </w:p>
        </w:tc>
        <w:tc>
          <w:tcPr>
            <w:tcW w:w="2041" w:type="dxa"/>
          </w:tcPr>
          <w:p w:rsidR="00505632" w:rsidRDefault="00505632" w:rsidP="00AD4E52">
            <w:pPr>
              <w:pStyle w:val="CellColumn"/>
              <w:jc w:val="right"/>
            </w:pPr>
            <w:r>
              <w:rPr>
                <w:rFonts w:cs="Times New Roman"/>
              </w:rPr>
              <w:t>106.780.678</w:t>
            </w:r>
          </w:p>
        </w:tc>
        <w:tc>
          <w:tcPr>
            <w:tcW w:w="1224" w:type="dxa"/>
          </w:tcPr>
          <w:p w:rsidR="00505632" w:rsidRDefault="00505632" w:rsidP="00AD4E52">
            <w:pPr>
              <w:pStyle w:val="CellColumn"/>
              <w:jc w:val="right"/>
            </w:pPr>
            <w:r>
              <w:rPr>
                <w:rFonts w:cs="Times New Roman"/>
              </w:rPr>
              <w:t>46,4</w:t>
            </w:r>
          </w:p>
        </w:tc>
        <w:tc>
          <w:tcPr>
            <w:tcW w:w="1224" w:type="dxa"/>
          </w:tcPr>
          <w:p w:rsidR="00505632" w:rsidRDefault="00505632" w:rsidP="00AD4E52">
            <w:pPr>
              <w:pStyle w:val="CellColumn"/>
              <w:jc w:val="right"/>
            </w:pPr>
            <w:r>
              <w:rPr>
                <w:rFonts w:cs="Times New Roman"/>
              </w:rPr>
              <w:t>95,6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društveno poticanoj stanogradnji (NN 109/01, 82/04, 76/07, 38/09, 86/12, 07/13 i 26/15)</w:t>
      </w:r>
    </w:p>
    <w:p w:rsidR="00505632" w:rsidRDefault="00505632" w:rsidP="00505632">
      <w:pPr>
        <w:pStyle w:val="Heading8"/>
        <w:jc w:val="left"/>
      </w:pPr>
      <w:r>
        <w:t>Opis aktivnosti</w:t>
      </w:r>
    </w:p>
    <w:p w:rsidR="00505632" w:rsidRDefault="00505632" w:rsidP="00505632">
      <w:r>
        <w:t xml:space="preserve">Društveno poticana stanogradnja provodi se temeljem Zakona o društveno poticanoj stanogradnji i to uz participiranje javnih sredstava za izgradnju stanova, odnosno stambenih zgrada, organiziranom na način kojim se ostvaruje svrhovito korištenje javnih i drugih sredstava, te omogućuje prodaja stanova uz obročnu otplatu pod pristupačnijim uvjetima od tržnih u pogledu kamata i rokova otplate.  </w:t>
      </w:r>
    </w:p>
    <w:p w:rsidR="00505632" w:rsidRDefault="00505632" w:rsidP="00505632">
      <w:r>
        <w:t xml:space="preserve">U osnovi se radi o indirektnoj subvenciji cijene kapitala za neprofitnu gradnju, odnosno modelu prema kojem svi sudionici ostvaruju povrat uloženih sredstava, bez ikakvih nepovratnih subvencija, dok kupci uz mogućnost obročne otplate imaju korist u smislu povoljnijih uvjeta i rokova otplate cijene, odnosno kredita.      </w:t>
      </w:r>
    </w:p>
    <w:p w:rsidR="00505632" w:rsidRDefault="00505632" w:rsidP="00505632">
      <w:r>
        <w:t xml:space="preserve">Nositelji investitorskih poslova u vezi s izgradnjom i prodajom stanova su APN i neprofitne pravne osobe određene Zakonom o društveno poticanoj stanogradnji. APN i neprofitne pravne osobe u skladu s predvidivim javnim sredstvima i stambenim potrebama planiraju izgradnju stanova u određenom opsegu na osnovi objedinjenih planova. APN u ime svih neprofitnih pravnih osoba traži suglasnost ministra nadležnog za graditeljstvo kojom se utvrđuje ukupan provedbeni program društveno poticane stanogradnje u skladu s kojom APN pribavlja sredstva za ukupnu izgradnju stambenih objekata POS-a. </w:t>
      </w:r>
    </w:p>
    <w:p w:rsidR="00505632" w:rsidRDefault="00505632" w:rsidP="00505632">
      <w:r>
        <w:t xml:space="preserve">Ukupna sredstva za poticanu stanogradnju planiraju se proračunom APN-a, a uključuju osim potreba APN-a i potrebe neprofitnih pravnih osoba (Rijeka, Varaždin, Dubrovnik i Koprivnica). </w:t>
      </w:r>
    </w:p>
    <w:p w:rsidR="00505632" w:rsidRDefault="00505632" w:rsidP="00505632">
      <w:r>
        <w:t xml:space="preserve">Javnim sredstvima prema odredbama Zakona o Društveno poticanoj stanogradnji može se poticati gradnja i rekonstrukcija (dogradnja i nadogradnja) zgrada i obiteljskih kuća kojima se osigurava fizičkim osobama novi stambeni prostor u propisanom standardu, veličini i cijeni koštanja stana prema odredbama Zakona. </w:t>
      </w:r>
    </w:p>
    <w:p w:rsidR="00505632" w:rsidRDefault="00505632" w:rsidP="00505632">
      <w:r>
        <w:t xml:space="preserve">Od 2000. do kraja 2015. godine u okviru POS-a izgrađeno je ( APN + Lokalne agencije), odnosno u cijelosti dovršeno ukupno 6975 stanova u višestambenim zgradama.  </w:t>
      </w:r>
    </w:p>
    <w:p w:rsidR="00505632" w:rsidRDefault="00505632" w:rsidP="00505632">
      <w:r>
        <w:t xml:space="preserve">Tijekom 2016. godine izgrađeno je i useljeno ukupno 825 stanova. Trenutno je u tijeku izgradnja ukupno 410 stanova. Tijekom 2017. planira se izgraditi još 232 stana dok je u fazi pripreme ukupno 740 stanova, izgradnja kojih će se realizirati tijekom 2017. i 2018. godine. Zbog velikog interesa građana, planira se nastaviti izgradnja stanova na lokacijama u zagrebu i Splitu. </w:t>
      </w:r>
    </w:p>
    <w:p w:rsidR="00505632" w:rsidRDefault="00505632" w:rsidP="00505632">
      <w:r>
        <w:t>Izvršenje je manje od plana iz razloga što lokalne agencije nisu utrošile planirana sredstva a i APN nije realizirao sve projekte koji su bili u planu. Aktivnosti se prenose u naredne godine.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izgrađenih stanova</w:t>
            </w:r>
          </w:p>
        </w:tc>
        <w:tc>
          <w:tcPr>
            <w:tcW w:w="2551" w:type="dxa"/>
          </w:tcPr>
          <w:p w:rsidR="00505632" w:rsidRDefault="00505632" w:rsidP="00AD4E52">
            <w:pPr>
              <w:pStyle w:val="CellColumn"/>
              <w:jc w:val="left"/>
            </w:pPr>
            <w:r>
              <w:rPr>
                <w:rFonts w:cs="Times New Roman"/>
              </w:rPr>
              <w:t>izgradnjom stanova rješava se stambeno pitanje ljudi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6975</w:t>
            </w:r>
          </w:p>
        </w:tc>
        <w:tc>
          <w:tcPr>
            <w:tcW w:w="1020" w:type="dxa"/>
          </w:tcPr>
          <w:p w:rsidR="00505632" w:rsidRDefault="00505632" w:rsidP="00AD4E52">
            <w:pPr>
              <w:pStyle w:val="CellColumn"/>
              <w:jc w:val="right"/>
            </w:pPr>
            <w:r>
              <w:rPr>
                <w:rFonts w:cs="Times New Roman"/>
              </w:rPr>
              <w:t>Strateški plan</w:t>
            </w:r>
          </w:p>
        </w:tc>
        <w:tc>
          <w:tcPr>
            <w:tcW w:w="1020" w:type="dxa"/>
          </w:tcPr>
          <w:p w:rsidR="00505632" w:rsidRDefault="00505632" w:rsidP="00AD4E52">
            <w:pPr>
              <w:pStyle w:val="CellColumn"/>
              <w:jc w:val="right"/>
            </w:pPr>
            <w:r>
              <w:rPr>
                <w:rFonts w:cs="Times New Roman"/>
              </w:rPr>
              <w:t>7833</w:t>
            </w:r>
          </w:p>
        </w:tc>
        <w:tc>
          <w:tcPr>
            <w:tcW w:w="1020" w:type="dxa"/>
          </w:tcPr>
          <w:p w:rsidR="00505632" w:rsidRDefault="00505632" w:rsidP="00AD4E52">
            <w:pPr>
              <w:pStyle w:val="CellColumn"/>
              <w:jc w:val="right"/>
            </w:pPr>
            <w:r>
              <w:rPr>
                <w:rFonts w:cs="Times New Roman"/>
              </w:rPr>
              <w:t>7800</w:t>
            </w:r>
          </w:p>
        </w:tc>
      </w:tr>
      <w:tr w:rsidR="00505632" w:rsidTr="00AD4E52">
        <w:trPr>
          <w:jc w:val="center"/>
        </w:trPr>
        <w:tc>
          <w:tcPr>
            <w:tcW w:w="2551" w:type="dxa"/>
          </w:tcPr>
          <w:p w:rsidR="00505632" w:rsidRDefault="00505632" w:rsidP="00AD4E52">
            <w:pPr>
              <w:pStyle w:val="CellColumn"/>
              <w:jc w:val="left"/>
            </w:pPr>
            <w:r>
              <w:rPr>
                <w:rFonts w:cs="Times New Roman"/>
              </w:rPr>
              <w:t>kreditiranje izgradnje obiteljskih kuća</w:t>
            </w:r>
          </w:p>
        </w:tc>
        <w:tc>
          <w:tcPr>
            <w:tcW w:w="2551" w:type="dxa"/>
          </w:tcPr>
          <w:p w:rsidR="00505632" w:rsidRDefault="00505632" w:rsidP="00AD4E52">
            <w:pPr>
              <w:pStyle w:val="CellColumn"/>
              <w:jc w:val="left"/>
            </w:pPr>
            <w:r>
              <w:rPr>
                <w:rFonts w:cs="Times New Roman"/>
              </w:rPr>
              <w:t>izgradnjom kuća rješit će se stambeni problem korisnika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58</w:t>
            </w:r>
          </w:p>
        </w:tc>
        <w:tc>
          <w:tcPr>
            <w:tcW w:w="1020" w:type="dxa"/>
          </w:tcPr>
          <w:p w:rsidR="00505632" w:rsidRDefault="00505632" w:rsidP="00AD4E52">
            <w:pPr>
              <w:pStyle w:val="CellColumn"/>
              <w:jc w:val="right"/>
            </w:pPr>
            <w:r>
              <w:rPr>
                <w:rFonts w:cs="Times New Roman"/>
              </w:rPr>
              <w:t>Strateški plan</w:t>
            </w:r>
          </w:p>
        </w:tc>
        <w:tc>
          <w:tcPr>
            <w:tcW w:w="1020" w:type="dxa"/>
          </w:tcPr>
          <w:p w:rsidR="00505632" w:rsidRDefault="00505632" w:rsidP="00AD4E52">
            <w:pPr>
              <w:pStyle w:val="CellColumn"/>
              <w:jc w:val="right"/>
            </w:pPr>
            <w:r>
              <w:rPr>
                <w:rFonts w:cs="Times New Roman"/>
              </w:rPr>
              <w:t>65</w:t>
            </w:r>
          </w:p>
        </w:tc>
        <w:tc>
          <w:tcPr>
            <w:tcW w:w="1020" w:type="dxa"/>
          </w:tcPr>
          <w:p w:rsidR="00505632" w:rsidRDefault="00505632" w:rsidP="00AD4E52">
            <w:pPr>
              <w:pStyle w:val="CellColumn"/>
              <w:jc w:val="right"/>
            </w:pPr>
            <w:r>
              <w:rPr>
                <w:rFonts w:cs="Times New Roman"/>
              </w:rPr>
              <w:t>59</w:t>
            </w:r>
          </w:p>
        </w:tc>
      </w:tr>
      <w:tr w:rsidR="00505632" w:rsidTr="00AD4E52">
        <w:trPr>
          <w:jc w:val="center"/>
        </w:trPr>
        <w:tc>
          <w:tcPr>
            <w:tcW w:w="2551" w:type="dxa"/>
          </w:tcPr>
          <w:p w:rsidR="00505632" w:rsidRDefault="00505632" w:rsidP="00AD4E52">
            <w:pPr>
              <w:pStyle w:val="CellColumn"/>
              <w:jc w:val="left"/>
            </w:pPr>
            <w:r>
              <w:rPr>
                <w:rFonts w:cs="Times New Roman"/>
              </w:rPr>
              <w:t>davanje kredita po modelu POS+</w:t>
            </w:r>
          </w:p>
        </w:tc>
        <w:tc>
          <w:tcPr>
            <w:tcW w:w="2551" w:type="dxa"/>
          </w:tcPr>
          <w:p w:rsidR="00505632" w:rsidRDefault="00505632" w:rsidP="00AD4E52">
            <w:pPr>
              <w:pStyle w:val="CellColumn"/>
              <w:jc w:val="left"/>
            </w:pPr>
            <w:r>
              <w:rPr>
                <w:rFonts w:cs="Times New Roman"/>
              </w:rPr>
              <w:t>davanjem kredita rješit će stanbeno pitanje dijela korisnikam</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397</w:t>
            </w:r>
          </w:p>
        </w:tc>
        <w:tc>
          <w:tcPr>
            <w:tcW w:w="1020" w:type="dxa"/>
          </w:tcPr>
          <w:p w:rsidR="00505632" w:rsidRDefault="00505632" w:rsidP="00AD4E52">
            <w:pPr>
              <w:pStyle w:val="CellColumn"/>
              <w:jc w:val="right"/>
            </w:pPr>
            <w:r>
              <w:rPr>
                <w:rFonts w:cs="Times New Roman"/>
              </w:rPr>
              <w:t>Strateški plan</w:t>
            </w:r>
          </w:p>
        </w:tc>
        <w:tc>
          <w:tcPr>
            <w:tcW w:w="1020" w:type="dxa"/>
          </w:tcPr>
          <w:p w:rsidR="00505632" w:rsidRDefault="00505632" w:rsidP="00AD4E52">
            <w:pPr>
              <w:pStyle w:val="CellColumn"/>
              <w:jc w:val="right"/>
            </w:pPr>
            <w:r>
              <w:rPr>
                <w:rFonts w:cs="Times New Roman"/>
              </w:rPr>
              <w:t>497</w:t>
            </w:r>
          </w:p>
        </w:tc>
        <w:tc>
          <w:tcPr>
            <w:tcW w:w="1020" w:type="dxa"/>
          </w:tcPr>
          <w:p w:rsidR="00505632" w:rsidRDefault="00505632" w:rsidP="00AD4E52">
            <w:pPr>
              <w:pStyle w:val="CellColumn"/>
              <w:jc w:val="right"/>
            </w:pPr>
            <w:r>
              <w:rPr>
                <w:rFonts w:cs="Times New Roman"/>
              </w:rPr>
              <w:t>442</w:t>
            </w:r>
          </w:p>
        </w:tc>
      </w:tr>
      <w:tr w:rsidR="00505632" w:rsidTr="00AD4E52">
        <w:trPr>
          <w:jc w:val="center"/>
        </w:trPr>
        <w:tc>
          <w:tcPr>
            <w:tcW w:w="2551" w:type="dxa"/>
          </w:tcPr>
          <w:p w:rsidR="00505632" w:rsidRDefault="00505632" w:rsidP="00AD4E52">
            <w:pPr>
              <w:pStyle w:val="CellColumn"/>
              <w:jc w:val="left"/>
            </w:pPr>
            <w:r>
              <w:rPr>
                <w:rFonts w:cs="Times New Roman"/>
              </w:rPr>
              <w:t>davanje stanova u najam</w:t>
            </w:r>
          </w:p>
        </w:tc>
        <w:tc>
          <w:tcPr>
            <w:tcW w:w="2551" w:type="dxa"/>
          </w:tcPr>
          <w:p w:rsidR="00505632" w:rsidRDefault="00505632" w:rsidP="00AD4E52">
            <w:pPr>
              <w:pStyle w:val="CellColumn"/>
              <w:jc w:val="left"/>
            </w:pPr>
            <w:r>
              <w:rPr>
                <w:rFonts w:cs="Times New Roman"/>
              </w:rPr>
              <w:t>rješavanje stambenog pitanja određenog broja korisnika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Strateški plan</w:t>
            </w:r>
          </w:p>
        </w:tc>
        <w:tc>
          <w:tcPr>
            <w:tcW w:w="1020" w:type="dxa"/>
          </w:tcPr>
          <w:p w:rsidR="00505632" w:rsidRDefault="00505632" w:rsidP="00AD4E52">
            <w:pPr>
              <w:pStyle w:val="CellColumn"/>
              <w:jc w:val="right"/>
            </w:pPr>
            <w:r>
              <w:rPr>
                <w:rFonts w:cs="Times New Roman"/>
              </w:rPr>
              <w:t>400</w:t>
            </w:r>
          </w:p>
        </w:tc>
        <w:tc>
          <w:tcPr>
            <w:tcW w:w="1020" w:type="dxa"/>
          </w:tcPr>
          <w:p w:rsidR="00505632" w:rsidRDefault="00505632" w:rsidP="00AD4E52">
            <w:pPr>
              <w:pStyle w:val="CellColumn"/>
              <w:jc w:val="right"/>
            </w:pPr>
            <w:r>
              <w:rPr>
                <w:rFonts w:cs="Times New Roman"/>
              </w:rPr>
              <w:t>453</w:t>
            </w:r>
          </w:p>
        </w:tc>
      </w:tr>
    </w:tbl>
    <w:p w:rsidR="00505632" w:rsidRDefault="00505632" w:rsidP="00505632">
      <w:pPr>
        <w:jc w:val="left"/>
      </w:pPr>
    </w:p>
    <w:p w:rsidR="00505632" w:rsidRDefault="00505632" w:rsidP="00505632">
      <w:pPr>
        <w:pStyle w:val="Heading4"/>
      </w:pPr>
      <w:r>
        <w:t>K576202 STAMBENO ZBRINJAVANJE INVALIDA IZ DOMOVINSKOG 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K576202-STAMBENO ZBRINJAVANJE INVALIDA IZ DOMOVINSKOG RATA</w:t>
            </w:r>
          </w:p>
        </w:tc>
        <w:tc>
          <w:tcPr>
            <w:tcW w:w="2041" w:type="dxa"/>
          </w:tcPr>
          <w:p w:rsidR="00505632" w:rsidRDefault="00505632" w:rsidP="00AD4E52">
            <w:pPr>
              <w:pStyle w:val="CellColumn"/>
              <w:jc w:val="right"/>
            </w:pPr>
            <w:r>
              <w:rPr>
                <w:rFonts w:cs="Times New Roman"/>
              </w:rPr>
              <w:t>860.982</w:t>
            </w:r>
          </w:p>
        </w:tc>
        <w:tc>
          <w:tcPr>
            <w:tcW w:w="2041" w:type="dxa"/>
          </w:tcPr>
          <w:p w:rsidR="00505632" w:rsidRDefault="00505632" w:rsidP="00AD4E52">
            <w:pPr>
              <w:pStyle w:val="CellColumn"/>
              <w:jc w:val="right"/>
            </w:pPr>
            <w:r>
              <w:rPr>
                <w:rFonts w:cs="Times New Roman"/>
              </w:rPr>
              <w:t>326.500</w:t>
            </w:r>
          </w:p>
        </w:tc>
        <w:tc>
          <w:tcPr>
            <w:tcW w:w="2041" w:type="dxa"/>
          </w:tcPr>
          <w:p w:rsidR="00505632" w:rsidRDefault="00505632" w:rsidP="00AD4E52">
            <w:pPr>
              <w:pStyle w:val="CellColumn"/>
              <w:jc w:val="right"/>
            </w:pPr>
            <w:r>
              <w:rPr>
                <w:rFonts w:cs="Times New Roman"/>
              </w:rPr>
              <w:t>108.762</w:t>
            </w:r>
          </w:p>
        </w:tc>
        <w:tc>
          <w:tcPr>
            <w:tcW w:w="1224" w:type="dxa"/>
          </w:tcPr>
          <w:p w:rsidR="00505632" w:rsidRDefault="00505632" w:rsidP="00AD4E52">
            <w:pPr>
              <w:pStyle w:val="CellColumn"/>
              <w:jc w:val="right"/>
            </w:pPr>
            <w:r>
              <w:rPr>
                <w:rFonts w:cs="Times New Roman"/>
              </w:rPr>
              <w:t>33,3</w:t>
            </w:r>
          </w:p>
        </w:tc>
        <w:tc>
          <w:tcPr>
            <w:tcW w:w="1224" w:type="dxa"/>
          </w:tcPr>
          <w:p w:rsidR="00505632" w:rsidRDefault="00505632" w:rsidP="00AD4E52">
            <w:pPr>
              <w:pStyle w:val="CellColumn"/>
              <w:jc w:val="right"/>
            </w:pPr>
            <w:r>
              <w:rPr>
                <w:rFonts w:cs="Times New Roman"/>
              </w:rPr>
              <w:t>12,6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pravima hrvatskih branitelja iz Domovinskog rata i članova njihovih obitelji</w:t>
      </w:r>
    </w:p>
    <w:p w:rsidR="00505632" w:rsidRDefault="00505632" w:rsidP="00505632">
      <w:pPr>
        <w:pStyle w:val="Heading8"/>
        <w:jc w:val="left"/>
      </w:pPr>
      <w:r>
        <w:t>Opis aktivnosti</w:t>
      </w:r>
    </w:p>
    <w:p w:rsidR="00505632" w:rsidRDefault="00505632" w:rsidP="00505632">
      <w:r>
        <w:t xml:space="preserve">Na osnovi Zakona o pravima hrvatskih branitelja iz Domovinskog rata i članova njihovih obitelji Ministarstvo graditeljstva i prostornog uređenja provodilo je program stambenog zbrinjavanja. Sporazumom iz 2013. godine, operatvni poslovi oko građenja zgrada i izvođenja radova prenijeti su na APN.  Ministarstvo je vezano uz taj program zadržalo poslove koji se odnose na koordinaciju aktivnosti i kontrolu operativne provedbe programa u smislu same izgradnje odnosno izvođenja radova i namjenskog utroška sredstava. </w:t>
      </w:r>
    </w:p>
    <w:p w:rsidR="00505632" w:rsidRDefault="00505632" w:rsidP="00505632">
      <w:r>
        <w:t xml:space="preserve">U Programu stambenog zbrinjavanja stradalnika Domovinskog rata od 1997. godine do kraja 2016. godine stradalnicima je predano ukupno 6266 stanova na području cijele Republike Hrvatske. Nastavak organiziranja ovog programa ovisi o sredstvima planiranim u državnom proračunu. Prema potrebama dobivenim od strane Ministarstva branitelja, u periodu 2017-2019. godina nastavila bi se gradnja (po 50 stanova svake godine) i to na okacijama u Dubrovniku, Stonu, Biogradu, Makarskoj i Omišu. </w:t>
      </w:r>
    </w:p>
    <w:p w:rsidR="00505632" w:rsidRDefault="00505632" w:rsidP="00505632">
      <w:r>
        <w:t xml:space="preserve">U okviru ovog programa, kvaliteta stanovanja stradalnika unapređuje se i putem izvođenja posebnih prilagodbi za HRVI 100% prve skupine i specifičnih građevinskih radova na postojećim stambenim jedinicama te se posljednjih godina izvede okvirno 5 zahvata te vrste godišnje. </w:t>
      </w:r>
    </w:p>
    <w:p w:rsidR="00505632" w:rsidRDefault="00505632" w:rsidP="00505632">
      <w:r>
        <w:t>Plan nije ostvaren. Aktivnosti se nastavljaju u narednim godinama. Sredstva za izgradnju stanova osiguravaju se na pozicijama Ministarstva branitelja.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izgrađenih stanova</w:t>
            </w:r>
          </w:p>
        </w:tc>
        <w:tc>
          <w:tcPr>
            <w:tcW w:w="2551" w:type="dxa"/>
          </w:tcPr>
          <w:p w:rsidR="00505632" w:rsidRDefault="00505632" w:rsidP="00AD4E52">
            <w:pPr>
              <w:pStyle w:val="CellColumn"/>
              <w:jc w:val="left"/>
            </w:pPr>
            <w:r>
              <w:rPr>
                <w:rFonts w:cs="Times New Roman"/>
              </w:rPr>
              <w:t>izgradnjom stanova rješava se stambeno pitanje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6266</w:t>
            </w:r>
          </w:p>
        </w:tc>
        <w:tc>
          <w:tcPr>
            <w:tcW w:w="1020" w:type="dxa"/>
          </w:tcPr>
          <w:p w:rsidR="00505632" w:rsidRDefault="00505632" w:rsidP="00AD4E52">
            <w:pPr>
              <w:pStyle w:val="CellColumn"/>
              <w:jc w:val="right"/>
            </w:pPr>
            <w:r>
              <w:rPr>
                <w:rFonts w:cs="Times New Roman"/>
              </w:rPr>
              <w:t>Strateški plan</w:t>
            </w:r>
          </w:p>
        </w:tc>
        <w:tc>
          <w:tcPr>
            <w:tcW w:w="1020" w:type="dxa"/>
          </w:tcPr>
          <w:p w:rsidR="00505632" w:rsidRDefault="00505632" w:rsidP="00AD4E52">
            <w:pPr>
              <w:pStyle w:val="CellColumn"/>
              <w:jc w:val="right"/>
            </w:pPr>
            <w:r>
              <w:rPr>
                <w:rFonts w:cs="Times New Roman"/>
              </w:rPr>
              <w:t>6300</w:t>
            </w:r>
          </w:p>
        </w:tc>
        <w:tc>
          <w:tcPr>
            <w:tcW w:w="1020" w:type="dxa"/>
          </w:tcPr>
          <w:p w:rsidR="00505632" w:rsidRDefault="00505632" w:rsidP="00AD4E52">
            <w:pPr>
              <w:pStyle w:val="CellColumn"/>
              <w:jc w:val="right"/>
            </w:pPr>
            <w:r>
              <w:rPr>
                <w:rFonts w:cs="Times New Roman"/>
              </w:rPr>
              <w:t>6266</w:t>
            </w:r>
          </w:p>
        </w:tc>
      </w:tr>
    </w:tbl>
    <w:p w:rsidR="00505632" w:rsidRDefault="00505632" w:rsidP="00505632">
      <w:pPr>
        <w:jc w:val="left"/>
      </w:pPr>
    </w:p>
    <w:p w:rsidR="00505632" w:rsidRDefault="00505632" w:rsidP="00505632">
      <w:pPr>
        <w:pStyle w:val="Heading4"/>
      </w:pPr>
      <w:r>
        <w:t>T551024 SUBVENCIJE I DRŽAVNA JAMSTVA ZA STAMBENE KREDITE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T551024-SUBVENCIJE I DRŽAVNA JAMSTVA ZA STAMBENE KREDITE</w:t>
            </w:r>
          </w:p>
        </w:tc>
        <w:tc>
          <w:tcPr>
            <w:tcW w:w="2041" w:type="dxa"/>
          </w:tcPr>
          <w:p w:rsidR="00505632" w:rsidRDefault="00505632" w:rsidP="00AD4E52">
            <w:pPr>
              <w:pStyle w:val="CellColumn"/>
              <w:jc w:val="right"/>
            </w:pPr>
            <w:r>
              <w:rPr>
                <w:rFonts w:cs="Times New Roman"/>
              </w:rPr>
              <w:t>15.113.806</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je u postupku donošenja</w:t>
      </w:r>
    </w:p>
    <w:p w:rsidR="00505632" w:rsidRDefault="00505632" w:rsidP="00505632">
      <w:pPr>
        <w:pStyle w:val="Heading8"/>
        <w:jc w:val="left"/>
      </w:pPr>
      <w:r>
        <w:t>Opis aktivnosti</w:t>
      </w:r>
    </w:p>
    <w:p w:rsidR="00505632" w:rsidRDefault="00505632" w:rsidP="00505632">
      <w:r>
        <w:t>Po prethodnom Zakonu nije bilo plaćanja a novi zakon nije donesen.</w:t>
      </w:r>
    </w:p>
    <w:p w:rsidR="00505632" w:rsidRDefault="00505632" w:rsidP="00505632">
      <w:pPr>
        <w:pStyle w:val="Heading2"/>
      </w:pPr>
      <w:r>
        <w:t>07625 Državna geodetska uprava</w:t>
      </w:r>
    </w:p>
    <w:p w:rsidR="00505632" w:rsidRDefault="00505632" w:rsidP="00505632">
      <w:r>
        <w:t>Državna geodetska uprava je glava u razdjelu 076 25 i u svojoj nadležnosti izvršava sve poslove koji su vezani za Program 3505 Izmjere i upravljanje geodetskim evidencijama kroz Aktivnosti, Tekuće projekte i Kapitalne projekte i to: - A251923 Obveze po sudskim rješenjima - A664000 Administracija i upravljanje Državne geodetske uprave - A664001 Održavanje katastra zemljišta i uspostava katastra nekretnina - A664002 Temeljne geodetske osnove državne izmjere - A664003 Prostorni informacijski sustav - A664004 Uspostava i održavanje granične crte RH - A664006 Registar prostornih jedinica RH - A664021 Registracija poljoprivrednog zemljišta u vlasništvu RH - A664033 Uspostava nacionalne infrastrukture prostornih podataka - A664034 Vođenje i održavanje zajedničkog informacijskog sustava zemljišnih knjiga i katastra - A664039 Uspostava katastra nekretnina u funkciji racionalnog upravljanja zemljištem - Izvanredni program - T664009 Katastar nekretnina doline Neretve - T664010 Uređenje posjedovne i vlasničko pravne evidencije na otocima - K251615 Državna službena kartografija - K664012 Obnova voznog parka - K664013 Informatizacija Uprave - K664014 Izgradnja i opremanje poslovnih prostora Uprave i objekata geodetske infrastrukture - K664031 Izgradnja i opremanje Područnih ureda za katastar - K664032 Uknjižba nekretnina sa pravom vlasništva ili drugim stvarnim pravom - K664035 Sustav za identifikaciju zemljišnih čestica (LPIS) - K664038 IPA 2010 - ILAS Implementacija integriranog sustava zemljišne administracije - K664040 Projekt implementacije integriranog sustava zemljišne administracije (IBRD ZAJAM BR. 8086-HR).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07625-Državna geodetska uprava</w:t>
            </w:r>
          </w:p>
        </w:tc>
        <w:tc>
          <w:tcPr>
            <w:tcW w:w="2041" w:type="dxa"/>
            <w:vAlign w:val="top"/>
          </w:tcPr>
          <w:p w:rsidR="00505632" w:rsidRDefault="00505632" w:rsidP="00AD4E52">
            <w:pPr>
              <w:pStyle w:val="CellColumn"/>
              <w:jc w:val="right"/>
            </w:pPr>
            <w:r>
              <w:rPr>
                <w:rFonts w:cs="Times New Roman"/>
              </w:rPr>
              <w:t>196.169.730</w:t>
            </w:r>
          </w:p>
        </w:tc>
        <w:tc>
          <w:tcPr>
            <w:tcW w:w="2041" w:type="dxa"/>
            <w:vAlign w:val="top"/>
          </w:tcPr>
          <w:p w:rsidR="00505632" w:rsidRDefault="00505632" w:rsidP="00AD4E52">
            <w:pPr>
              <w:pStyle w:val="CellColumn"/>
              <w:jc w:val="right"/>
            </w:pPr>
            <w:r>
              <w:rPr>
                <w:rFonts w:cs="Times New Roman"/>
              </w:rPr>
              <w:t>197.209.713</w:t>
            </w:r>
          </w:p>
        </w:tc>
        <w:tc>
          <w:tcPr>
            <w:tcW w:w="2041" w:type="dxa"/>
            <w:vAlign w:val="top"/>
          </w:tcPr>
          <w:p w:rsidR="00505632" w:rsidRDefault="00505632" w:rsidP="00AD4E52">
            <w:pPr>
              <w:pStyle w:val="CellColumn"/>
              <w:jc w:val="right"/>
            </w:pPr>
            <w:r>
              <w:rPr>
                <w:rFonts w:cs="Times New Roman"/>
              </w:rPr>
              <w:t>200.488.390</w:t>
            </w:r>
          </w:p>
        </w:tc>
        <w:tc>
          <w:tcPr>
            <w:tcW w:w="1224" w:type="dxa"/>
            <w:vAlign w:val="top"/>
          </w:tcPr>
          <w:p w:rsidR="00505632" w:rsidRDefault="00505632" w:rsidP="00AD4E52">
            <w:pPr>
              <w:pStyle w:val="CellColumn"/>
              <w:jc w:val="right"/>
            </w:pPr>
            <w:r>
              <w:rPr>
                <w:rFonts w:cs="Times New Roman"/>
              </w:rPr>
              <w:t>101,7</w:t>
            </w:r>
          </w:p>
        </w:tc>
        <w:tc>
          <w:tcPr>
            <w:tcW w:w="1224" w:type="dxa"/>
            <w:vAlign w:val="top"/>
          </w:tcPr>
          <w:p w:rsidR="00505632" w:rsidRDefault="00505632" w:rsidP="00AD4E52">
            <w:pPr>
              <w:pStyle w:val="CellColumn"/>
              <w:jc w:val="right"/>
            </w:pPr>
            <w:r>
              <w:rPr>
                <w:rFonts w:cs="Times New Roman"/>
              </w:rPr>
              <w:t>102,2</w:t>
            </w:r>
          </w:p>
        </w:tc>
      </w:tr>
      <w:tr w:rsidR="00505632" w:rsidTr="00AD4E52">
        <w:trPr>
          <w:jc w:val="center"/>
        </w:trPr>
        <w:tc>
          <w:tcPr>
            <w:tcW w:w="1632" w:type="dxa"/>
          </w:tcPr>
          <w:p w:rsidR="00505632" w:rsidRDefault="00505632" w:rsidP="00AD4E52">
            <w:pPr>
              <w:jc w:val="left"/>
            </w:pPr>
            <w:r>
              <w:t>3505-IZMJERE I UPRAVLJANJE GEODETSKIM EVIDENCIJAMA</w:t>
            </w:r>
          </w:p>
        </w:tc>
        <w:tc>
          <w:tcPr>
            <w:tcW w:w="2041" w:type="dxa"/>
          </w:tcPr>
          <w:p w:rsidR="00505632" w:rsidRDefault="00505632" w:rsidP="00AD4E52">
            <w:pPr>
              <w:jc w:val="right"/>
            </w:pPr>
            <w:r>
              <w:t>196.169.730</w:t>
            </w:r>
          </w:p>
        </w:tc>
        <w:tc>
          <w:tcPr>
            <w:tcW w:w="2041" w:type="dxa"/>
          </w:tcPr>
          <w:p w:rsidR="00505632" w:rsidRDefault="00505632" w:rsidP="00AD4E52">
            <w:pPr>
              <w:jc w:val="right"/>
            </w:pPr>
            <w:r>
              <w:t>197.209.713</w:t>
            </w:r>
          </w:p>
        </w:tc>
        <w:tc>
          <w:tcPr>
            <w:tcW w:w="2041" w:type="dxa"/>
          </w:tcPr>
          <w:p w:rsidR="00505632" w:rsidRDefault="00505632" w:rsidP="00AD4E52">
            <w:pPr>
              <w:jc w:val="right"/>
            </w:pPr>
            <w:r>
              <w:t>200.488.390</w:t>
            </w:r>
          </w:p>
        </w:tc>
        <w:tc>
          <w:tcPr>
            <w:tcW w:w="1224" w:type="dxa"/>
          </w:tcPr>
          <w:p w:rsidR="00505632" w:rsidRDefault="00505632" w:rsidP="00AD4E52">
            <w:pPr>
              <w:jc w:val="right"/>
            </w:pPr>
            <w:r>
              <w:t>101,7</w:t>
            </w:r>
          </w:p>
        </w:tc>
        <w:tc>
          <w:tcPr>
            <w:tcW w:w="1224" w:type="dxa"/>
          </w:tcPr>
          <w:p w:rsidR="00505632" w:rsidRDefault="00505632" w:rsidP="00AD4E52">
            <w:pPr>
              <w:jc w:val="right"/>
            </w:pPr>
            <w:r>
              <w:t>102,2</w:t>
            </w:r>
          </w:p>
        </w:tc>
      </w:tr>
    </w:tbl>
    <w:p w:rsidR="00505632" w:rsidRDefault="00505632" w:rsidP="00505632">
      <w:pPr>
        <w:jc w:val="left"/>
      </w:pPr>
    </w:p>
    <w:p w:rsidR="00505632" w:rsidRDefault="00505632" w:rsidP="00505632">
      <w:pPr>
        <w:pStyle w:val="Heading3"/>
      </w:pPr>
      <w:r>
        <w:rPr>
          <w:rFonts w:cs="Times New Roman"/>
        </w:rPr>
        <w:t>3505 IZMJERE I UPRAVLJANJE GEODETSKIM EVIDENCIJAMA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3505-IZMJERE I UPRAVLJANJE GEODETSKIM EVIDENCIJAMA</w:t>
            </w:r>
          </w:p>
        </w:tc>
        <w:tc>
          <w:tcPr>
            <w:tcW w:w="2041" w:type="dxa"/>
          </w:tcPr>
          <w:p w:rsidR="00505632" w:rsidRDefault="00505632" w:rsidP="00AD4E52">
            <w:pPr>
              <w:pStyle w:val="CellColumn"/>
              <w:jc w:val="right"/>
            </w:pPr>
            <w:r>
              <w:rPr>
                <w:rFonts w:cs="Times New Roman"/>
              </w:rPr>
              <w:t>196.169.730</w:t>
            </w:r>
          </w:p>
        </w:tc>
        <w:tc>
          <w:tcPr>
            <w:tcW w:w="2041" w:type="dxa"/>
          </w:tcPr>
          <w:p w:rsidR="00505632" w:rsidRDefault="00505632" w:rsidP="00AD4E52">
            <w:pPr>
              <w:pStyle w:val="CellColumn"/>
              <w:jc w:val="right"/>
            </w:pPr>
            <w:r>
              <w:rPr>
                <w:rFonts w:cs="Times New Roman"/>
              </w:rPr>
              <w:t>197.209.713</w:t>
            </w:r>
          </w:p>
        </w:tc>
        <w:tc>
          <w:tcPr>
            <w:tcW w:w="2041" w:type="dxa"/>
          </w:tcPr>
          <w:p w:rsidR="00505632" w:rsidRDefault="00505632" w:rsidP="00AD4E52">
            <w:pPr>
              <w:pStyle w:val="CellColumn"/>
              <w:jc w:val="right"/>
            </w:pPr>
            <w:r>
              <w:rPr>
                <w:rFonts w:cs="Times New Roman"/>
              </w:rPr>
              <w:t>200.488.390</w:t>
            </w:r>
          </w:p>
        </w:tc>
        <w:tc>
          <w:tcPr>
            <w:tcW w:w="1224" w:type="dxa"/>
          </w:tcPr>
          <w:p w:rsidR="00505632" w:rsidRDefault="00505632" w:rsidP="00AD4E52">
            <w:pPr>
              <w:pStyle w:val="CellColumn"/>
              <w:jc w:val="right"/>
            </w:pPr>
            <w:r>
              <w:rPr>
                <w:rFonts w:cs="Times New Roman"/>
              </w:rPr>
              <w:t>101,7</w:t>
            </w:r>
          </w:p>
        </w:tc>
        <w:tc>
          <w:tcPr>
            <w:tcW w:w="1224" w:type="dxa"/>
          </w:tcPr>
          <w:p w:rsidR="00505632" w:rsidRDefault="00505632" w:rsidP="00AD4E52">
            <w:pPr>
              <w:pStyle w:val="CellColumn"/>
              <w:jc w:val="right"/>
            </w:pPr>
            <w:r>
              <w:rPr>
                <w:rFonts w:cs="Times New Roman"/>
              </w:rPr>
              <w:t>102,2</w:t>
            </w:r>
          </w:p>
        </w:tc>
      </w:tr>
    </w:tbl>
    <w:p w:rsidR="00505632" w:rsidRDefault="00505632" w:rsidP="00505632">
      <w:pPr>
        <w:jc w:val="left"/>
      </w:pPr>
    </w:p>
    <w:p w:rsidR="00505632" w:rsidRDefault="00505632" w:rsidP="00505632">
      <w:r>
        <w:t>Program predstavlja niz aktivnosti koje u ukupnom dijelu ostvaruju i stvaraju preduvjete za sva daljnja učinkovita upravljanja geodetskim evidencijama u Državnoj geodetskoj upravi, Područnim uredima i Ispostavama. Državna geodetska uprava vodi i razvija katastar nekretnina i službene prostorne podloge kojima omogućuje napredno upravljanje prostorom, pojavama i procesima u prostoru tijelima javne vlasti, te stvaranja uvjeta za ubrzani razvoj gospodarskim subjektima i pravnu sigurnost vlasništva svim subjektima s točnim i ažurnim podacima. Opći cilj je svrhovito organizirati korištenje i namjenu prostora. Uspostava, održavanje i vođenje katastra predstavlja glavnu aktivnost Državne geodetske uprave i angažira najveće kapacitete. Katastar u zajednici sa zemljišnim knjigama predstavlja okosnicu pravne države i vladavine prava, te je ključni čimbenik gospodarskog razvoja. Kvaliteta upisa u katastru (i u zemljišnim knjigama) neposredno utječe na gospodarski potencijal bilo koje lokalne zajednice i njegovo nesređeno stanje je važan ograničavajući faktor u provedbi gospodarskih projekata, funkcioniranju financijskog tržišta, te provedbi kapitalnih infrastrukturnih projekata države. Reforma zemljišne administracije (katastar i zemljišne knjige) dovesti će do pune funkcionalnosti sustava koji se temelji na uređenim i usklađenim podacima o nekretninama i vlasništvu za sva ključna područja u državi. kroz programske aktivnosti katastra: provedbom katastrskih izmjera, sređivanjem državnog poljoprivrednog zemljišta, sređivanjem imovinsko-pravnog, geodetsko-katastrskog i gospodarskog stanja na otocima i u dolini rijeke Neretve, sređivanju nakretnina u vlasništvu Republike Hrvatske, te vođenju i unapređenju Registra prostornih jedinica neposredno se poboljšava ažurnost podataka i njihova uskađenost sa stvarnim stanjem, a što pridonosi boljem i učinkovitijem upravljanju prostorom.</w:t>
      </w:r>
    </w:p>
    <w:p w:rsidR="00505632" w:rsidRDefault="00505632" w:rsidP="00505632">
      <w:pPr>
        <w:pStyle w:val="Heading8"/>
        <w:jc w:val="left"/>
      </w:pPr>
      <w:r>
        <w:t xml:space="preserve">Cilj 1. Povećati kvalitetu katastarskih i prostornih  podataka,  unaprjeđenje sustava katastra i zemljišnih knjiga  </w:t>
      </w:r>
    </w:p>
    <w:p w:rsidR="00505632" w:rsidRDefault="00505632" w:rsidP="00505632">
      <w:pPr>
        <w:pStyle w:val="Heading8"/>
        <w:jc w:val="left"/>
      </w:pPr>
      <w:r>
        <w:t>Opis provedbe cilja programa</w:t>
      </w:r>
    </w:p>
    <w:p w:rsidR="00505632" w:rsidRDefault="00505632" w:rsidP="00505632">
      <w:r>
        <w:t>Povećanje kvalitete  katastarskih i prostornih podataka u službenim registrima u odnosu na stanje na  terenu i osiguranje servisa svim korisnicima omogućuje učinkovitije korištenje podataka o kojima skrbi Državna geodetska uprava sa svojim Područnim uredima i Ispostavama te fizičkim i pravnim osobama koje su ovlaštene za poslove državne izmjere i katastra nekretnina, uz ažurno usklađivanje sa pozitivnim zakonskim propisima su u funkciji učinkovite zaštite prirode i okoliša te upravljanja prostorom. U nastavku provedbe programa „Uređena zamlja“ prema smjernicama NPR 2016 uspostava učinkovite zemljišne administracije  koja će osigurati pravnu sigurnost, potaknuti investicijska ulaganja, osigurati daljnji razvoj tržišta nekretnina i kolaboraciju s TDU izraditi će se tijekom 2017.godine Plan provedbe funkcionalnog spajanja katastarskih ureda i zemljišnoknjižnih odjela. Funkcionalnim spajanjem u novu instituciju za zemljišnu administraciju mora se osigurati pojednostavljenje i smanjenje broja procedura, u konačnici krajnji cilj je jačanje fiskalne politike, naplata javnih davanja na temelju podataka o stvarnom stanju, regulacija poslovanja nekretninama, praćenje investicijskih ulaganja od razine države do razine JLS i posebno za strateška planiranja usluga i infrastrukture</w:t>
      </w:r>
    </w:p>
    <w:p w:rsidR="00505632" w:rsidRDefault="00505632" w:rsidP="00505632">
      <w:pPr>
        <w:pStyle w:val="Heading8"/>
        <w:jc w:val="left"/>
      </w:pPr>
      <w:r>
        <w:t>Cilj 2.  Povećati ažurnost prostornih podataka</w:t>
      </w:r>
    </w:p>
    <w:p w:rsidR="00505632" w:rsidRDefault="00505632" w:rsidP="00505632">
      <w:pPr>
        <w:pStyle w:val="Heading8"/>
        <w:jc w:val="left"/>
      </w:pPr>
      <w:r>
        <w:t>Opis provedbe cilja programa</w:t>
      </w:r>
    </w:p>
    <w:p w:rsidR="00505632" w:rsidRDefault="00505632" w:rsidP="00505632">
      <w:r>
        <w:t xml:space="preserve">Ažurirani podatci državne izmjere i službenih državnih prostornih podloga u funkciji su učinkovite zaštite prirode i okoliša te upravljanja prostorom. Ažurni katastarski podaci i prostorni podaci su osnovna pretpostavka za efikasan gospodarski razvoj, kvalitetno i učinkovito funkcioniranje tržišta nekretnina i provedbu kapitalnih i infrastrukturnih projekata države. Ažuran katastar u zajednici sa zemljišnim knjigama doprinosi uspostavi pravne države i vladavini prava.  </w:t>
      </w:r>
    </w:p>
    <w:p w:rsidR="00505632" w:rsidRDefault="00505632" w:rsidP="00505632">
      <w:r>
        <w:t>Bez ažurnog i pouzdanog katastra postoji rizik suočavanja s trajnim problemom funkcioniranja tržišta nekretnina, provedbe kapitalnih i infrastrukturnih projekata države kao i stvaranja nepovjerenja građana u funkcioniranje pravne države.</w:t>
      </w:r>
    </w:p>
    <w:p w:rsidR="00505632" w:rsidRDefault="00505632" w:rsidP="00505632">
      <w:pPr>
        <w:pStyle w:val="Heading8"/>
        <w:jc w:val="left"/>
      </w:pPr>
      <w:r>
        <w:t>Cilj 3. Uspostaviti cjelovitu digitalnu Državnu službenu kartografiju</w:t>
      </w:r>
    </w:p>
    <w:p w:rsidR="00505632" w:rsidRDefault="00505632" w:rsidP="00505632">
      <w:pPr>
        <w:pStyle w:val="Heading8"/>
        <w:jc w:val="left"/>
      </w:pPr>
      <w:r>
        <w:t>Opis provedbe cilja programa</w:t>
      </w:r>
    </w:p>
    <w:p w:rsidR="00505632" w:rsidRDefault="00505632" w:rsidP="00505632">
      <w:r>
        <w:t>Državna geodetska uprava je preuzela postojeću službenu kartografiju u analognom obliku od Vojnogeografskog instituta u Beogradu i nakon osamostaljenja Republike Hrvatske započela sa uspostavom državne službene kartografije RH. Službene državne karte su Hrvatska osnovna karta (HOK) u mjerilima 1:5.000 ili 1: 10.000, ortofoto karta u mjerilima 1:2.000, 1:5.000 i sitnijem, detaljne topografske karte (DTK) u mjerilima 1:25.000 do 1:250.000 i pregledne topografske karte (PTK) u mjerilu 1:300.000 i sitnijem.  Do sada je obnovljena kartografska građa ortofoto karata, HOK-a i DTK-e koji su pohranjeni u DGU. Ubrzani gospodarski razvoj, prostorno planske potrebe drugih subjekata, provedba kapitalnih i infrastrukturnih projekata potrebni su  ažurni prostorni podatci, koji se mogu osigurati digitalnom Državnom službenom kartografijom.</w:t>
      </w:r>
    </w:p>
    <w:p w:rsidR="00505632" w:rsidRDefault="00505632" w:rsidP="00505632">
      <w:pPr>
        <w:pStyle w:val="Heading8"/>
        <w:jc w:val="left"/>
      </w:pPr>
      <w:r>
        <w:t xml:space="preserve">Cilj 4. Uspostava i razvoj nacionalne infrastrukture prostornih podataka </w:t>
      </w:r>
    </w:p>
    <w:p w:rsidR="00505632" w:rsidRDefault="00505632" w:rsidP="00505632">
      <w:pPr>
        <w:pStyle w:val="Heading8"/>
        <w:jc w:val="left"/>
      </w:pPr>
      <w:r>
        <w:t>Opis provedbe cilja programa</w:t>
      </w:r>
    </w:p>
    <w:p w:rsidR="00505632" w:rsidRDefault="00505632" w:rsidP="00505632">
      <w:r>
        <w:t xml:space="preserve">Uspostava Nacionalne infrastrukture prostornih podataka (u daljnjem tekstu NIPP) kao efikasnog sustava dijeljenja i razmjene prostornih informacija između subjekata (TDU, TRS, TLS, javni sustavi) obuhvaćenih NIPP-om u skladu sa INSPIRE direktivom EU rezultirati će učinkovitijim radom javne uprave, smanjivanjem troškova poslovanja gospodarstva. NIPP će omogućiti podizanje razine interoperabilnosti prostornih podataka javnog sektora. Ulaskom u EU postali smo dio Europske infrastrukture prostornih podataka te se suočavamo s novim obvezama i izazovima za novi razvoj. Velika raznolikost modela prostornih podataka i nepostojeće informacije o raspoloživosti, kvaliteti i uvjetima korištenja istih onemogućavaju učinkovitu interoperabilnost i korištenje podataka. Često se isti ili slični prostorni podaci obrađuju kod različitih subjekata. Takvo stanje nije uređeno i transparentno, gospodarski je neopravdano te direktno negativno utječe na državni proračun. Kako bi se to izbjeglo potrebno je predvidjeti provedbene mjere koje će omogućiti da se prostorni podaci izrađuju i održavaju jednom i to na mjestu gdje je to za svaki od njih najprikladnije, te lakšu uporabu i dostupnost prostornih podataka iz različitih izvora.  </w:t>
      </w:r>
    </w:p>
    <w:p w:rsidR="00505632" w:rsidRDefault="00505632" w:rsidP="00505632">
      <w:r>
        <w:t>Održavanje i razvoj nacionalne infrastrukture prostornih podataka kao i geoportala NIPP-a doprinijeti će ostvarenju općeg cilja.</w:t>
      </w:r>
    </w:p>
    <w:p w:rsidR="00505632" w:rsidRDefault="00505632" w:rsidP="00505632">
      <w:pPr>
        <w:pStyle w:val="Heading8"/>
        <w:jc w:val="left"/>
      </w:pPr>
      <w:r>
        <w:t>Cilj 5. Poboljšati evidentiranje u katastru građevina za koje su donesena rješenja i potvrde o izvedenom stanju</w:t>
      </w:r>
    </w:p>
    <w:p w:rsidR="00505632" w:rsidRDefault="00505632" w:rsidP="00505632">
      <w:pPr>
        <w:pStyle w:val="Heading8"/>
        <w:jc w:val="left"/>
      </w:pPr>
      <w:r>
        <w:t>Opis provedbe cilja programa</w:t>
      </w:r>
    </w:p>
    <w:p w:rsidR="00505632" w:rsidRDefault="00505632" w:rsidP="00505632">
      <w:r>
        <w:t xml:space="preserve">Provedbom Zakona o postupanju s nezakonito izgrađenim građevinama ozakonit će se dosadašnje nezakonito izgrađene zgrade i uključiti u pravni sustav, evidentirati u katastarskom operatu i upisati u zemljišne knjige, što će rezultirati usklađivanjem stanja u registrima sa stanjem u naravi i posljedično može doprinijeti stvarnom povećanju tržišta nekretnina. Pri tome će se kroz pojednostavljenje postupka ozakonjenja postojećih zgrada koje služe za obavljanje poljoprivrednih djelatnosti omogućiti ostvarenje nužnog preduvjeta legalnosti za podnošenje zahtjeva za poticaje i sredstva predpristupnih fondova EU (SAPARD I IPARD), odnosno kroz postupak ozakonjenja, omogućiti će se bitno brže sređivanje stanja u vezi nezakonite gradnje. Rezultat ovih aktivnosti biti će i unapređenje stanja u katastarskom operatu i pojednostavljenje i ubrzanje postupka izrade i donošenja prostornih planova lokalne i područne razine stvaranjem baze evidentiranih nezakonitih građevina i provedenih postupaka ozakonjenja. </w:t>
      </w:r>
    </w:p>
    <w:p w:rsidR="00505632" w:rsidRDefault="00505632" w:rsidP="00505632">
      <w:r>
        <w:t>Ulaganjem dijela ostvarenih prihoda od naknada za zadržavanje nezakonitih zgrada u ubrzanje provedbe katastarske izmjere i obnove zemljišnih knjiga osigurat će se točni, pouzdani i ažurni podatci, povećanje prometa nekretnina kroz zemljišne knjige, smanjenje broja imovinsko-pravnih sporova, povećanje broja registriranih zgrada, povećanje komunalnih prihoda općina i gradova i sl.</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Povećanjem nadogradnje jedinstvenog elektroničkog servisa utjecati će se na smanjenje broja stranaka</w:t>
            </w:r>
          </w:p>
        </w:tc>
        <w:tc>
          <w:tcPr>
            <w:tcW w:w="2551" w:type="dxa"/>
          </w:tcPr>
          <w:p w:rsidR="00505632" w:rsidRDefault="00505632" w:rsidP="00AD4E52">
            <w:pPr>
              <w:pStyle w:val="CellColumn"/>
              <w:jc w:val="left"/>
            </w:pPr>
            <w:r>
              <w:rPr>
                <w:rFonts w:cs="Times New Roman"/>
              </w:rPr>
              <w:t>Nadogradnja jedinstvenog elektroničkog servisa svim korisnicima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90</w:t>
            </w:r>
          </w:p>
        </w:tc>
      </w:tr>
      <w:tr w:rsidR="00505632" w:rsidTr="00AD4E52">
        <w:trPr>
          <w:jc w:val="center"/>
        </w:trPr>
        <w:tc>
          <w:tcPr>
            <w:tcW w:w="2551" w:type="dxa"/>
          </w:tcPr>
          <w:p w:rsidR="00505632" w:rsidRDefault="00505632" w:rsidP="00AD4E52">
            <w:pPr>
              <w:pStyle w:val="CellColumn"/>
              <w:jc w:val="left"/>
            </w:pPr>
            <w:r>
              <w:rPr>
                <w:rFonts w:cs="Times New Roman"/>
              </w:rPr>
              <w:t>Povećanje broja dovršenih obnova K.O</w:t>
            </w:r>
          </w:p>
        </w:tc>
        <w:tc>
          <w:tcPr>
            <w:tcW w:w="2551" w:type="dxa"/>
          </w:tcPr>
          <w:p w:rsidR="00505632" w:rsidRDefault="00505632" w:rsidP="00AD4E52">
            <w:pPr>
              <w:pStyle w:val="CellColumn"/>
              <w:jc w:val="left"/>
            </w:pPr>
            <w:r>
              <w:rPr>
                <w:rFonts w:cs="Times New Roman"/>
              </w:rPr>
              <w:t>Sustavna obnova katastra i (ZK) kroz katastarske izmjere i tehničke reambulacije K.O.</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173</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195</w:t>
            </w:r>
          </w:p>
        </w:tc>
        <w:tc>
          <w:tcPr>
            <w:tcW w:w="1020" w:type="dxa"/>
          </w:tcPr>
          <w:p w:rsidR="00505632" w:rsidRDefault="00505632" w:rsidP="00AD4E52">
            <w:pPr>
              <w:pStyle w:val="CellColumn"/>
              <w:jc w:val="right"/>
            </w:pPr>
            <w:r>
              <w:rPr>
                <w:rFonts w:cs="Times New Roman"/>
              </w:rPr>
              <w:t>185</w:t>
            </w:r>
          </w:p>
        </w:tc>
      </w:tr>
      <w:tr w:rsidR="00505632" w:rsidTr="00AD4E52">
        <w:trPr>
          <w:jc w:val="center"/>
        </w:trPr>
        <w:tc>
          <w:tcPr>
            <w:tcW w:w="2551" w:type="dxa"/>
          </w:tcPr>
          <w:p w:rsidR="00505632" w:rsidRDefault="00505632" w:rsidP="00AD4E52">
            <w:pPr>
              <w:pStyle w:val="CellColumn"/>
              <w:jc w:val="left"/>
            </w:pPr>
            <w:r>
              <w:rPr>
                <w:rFonts w:cs="Times New Roman"/>
              </w:rPr>
              <w:t>Povećanje efikasnosti u provođenju promjena</w:t>
            </w:r>
          </w:p>
        </w:tc>
        <w:tc>
          <w:tcPr>
            <w:tcW w:w="2551" w:type="dxa"/>
          </w:tcPr>
          <w:p w:rsidR="00505632" w:rsidRDefault="00505632" w:rsidP="00AD4E52">
            <w:pPr>
              <w:pStyle w:val="CellColumn"/>
              <w:jc w:val="left"/>
            </w:pPr>
            <w:r>
              <w:rPr>
                <w:rFonts w:cs="Times New Roman"/>
              </w:rPr>
              <w:t>Redovito provođenje promjena u katastarskom operatu i drugim registrima kojim se vode katastarskim uredima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98</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99</w:t>
            </w:r>
          </w:p>
        </w:tc>
        <w:tc>
          <w:tcPr>
            <w:tcW w:w="1020" w:type="dxa"/>
          </w:tcPr>
          <w:p w:rsidR="00505632" w:rsidRDefault="00505632" w:rsidP="00AD4E52">
            <w:pPr>
              <w:pStyle w:val="CellColumn"/>
              <w:jc w:val="right"/>
            </w:pPr>
            <w:r>
              <w:rPr>
                <w:rFonts w:cs="Times New Roman"/>
              </w:rPr>
              <w:t>99</w:t>
            </w:r>
          </w:p>
        </w:tc>
      </w:tr>
      <w:tr w:rsidR="00505632" w:rsidTr="00AD4E52">
        <w:trPr>
          <w:jc w:val="center"/>
        </w:trPr>
        <w:tc>
          <w:tcPr>
            <w:tcW w:w="2551" w:type="dxa"/>
          </w:tcPr>
          <w:p w:rsidR="00505632" w:rsidRDefault="00505632" w:rsidP="00AD4E52">
            <w:pPr>
              <w:pStyle w:val="CellColumn"/>
              <w:jc w:val="left"/>
            </w:pPr>
            <w:r>
              <w:rPr>
                <w:rFonts w:cs="Times New Roman"/>
              </w:rPr>
              <w:t>Gotovi homogenizirani katastarski planovi s tehničkim specifikacijama za daljnju implementaciju u ZIS</w:t>
            </w:r>
          </w:p>
        </w:tc>
        <w:tc>
          <w:tcPr>
            <w:tcW w:w="2551" w:type="dxa"/>
          </w:tcPr>
          <w:p w:rsidR="00505632" w:rsidRDefault="00505632" w:rsidP="00AD4E52">
            <w:pPr>
              <w:pStyle w:val="CellColumn"/>
              <w:jc w:val="left"/>
            </w:pPr>
            <w:r>
              <w:rPr>
                <w:rFonts w:cs="Times New Roman"/>
              </w:rPr>
              <w:t>Homogenizacijom katastarskog plana</w:t>
            </w:r>
          </w:p>
        </w:tc>
        <w:tc>
          <w:tcPr>
            <w:tcW w:w="1020" w:type="dxa"/>
          </w:tcPr>
          <w:p w:rsidR="00505632" w:rsidRDefault="00505632" w:rsidP="00AD4E52">
            <w:pPr>
              <w:pStyle w:val="CellColumn"/>
              <w:jc w:val="right"/>
            </w:pPr>
            <w:r>
              <w:rPr>
                <w:rFonts w:cs="Times New Roman"/>
              </w:rPr>
              <w:t>K.O.</w:t>
            </w:r>
          </w:p>
        </w:tc>
        <w:tc>
          <w:tcPr>
            <w:tcW w:w="1020" w:type="dxa"/>
          </w:tcPr>
          <w:p w:rsidR="00505632" w:rsidRDefault="00505632" w:rsidP="00AD4E52">
            <w:pPr>
              <w:pStyle w:val="CellColumn"/>
              <w:jc w:val="right"/>
            </w:pPr>
            <w:r>
              <w:rPr>
                <w:rFonts w:cs="Times New Roman"/>
              </w:rPr>
              <w:t>106</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300</w:t>
            </w:r>
          </w:p>
        </w:tc>
        <w:tc>
          <w:tcPr>
            <w:tcW w:w="1020" w:type="dxa"/>
          </w:tcPr>
          <w:p w:rsidR="00505632" w:rsidRDefault="00505632" w:rsidP="00AD4E52">
            <w:pPr>
              <w:pStyle w:val="CellColumn"/>
              <w:jc w:val="right"/>
            </w:pPr>
            <w:r>
              <w:rPr>
                <w:rFonts w:cs="Times New Roman"/>
              </w:rPr>
              <w:t>113</w:t>
            </w:r>
          </w:p>
        </w:tc>
      </w:tr>
      <w:tr w:rsidR="00505632" w:rsidTr="00AD4E52">
        <w:trPr>
          <w:jc w:val="center"/>
        </w:trPr>
        <w:tc>
          <w:tcPr>
            <w:tcW w:w="2551" w:type="dxa"/>
          </w:tcPr>
          <w:p w:rsidR="00505632" w:rsidRDefault="00505632" w:rsidP="00AD4E52">
            <w:pPr>
              <w:pStyle w:val="CellColumn"/>
              <w:jc w:val="left"/>
            </w:pPr>
            <w:r>
              <w:rPr>
                <w:rFonts w:cs="Times New Roman"/>
              </w:rPr>
              <w:t>Dovršena studija i prihvaćen model podataka za implementaciju</w:t>
            </w:r>
          </w:p>
        </w:tc>
        <w:tc>
          <w:tcPr>
            <w:tcW w:w="2551" w:type="dxa"/>
          </w:tcPr>
          <w:p w:rsidR="00505632" w:rsidRDefault="00505632" w:rsidP="00AD4E52">
            <w:pPr>
              <w:pStyle w:val="CellColumn"/>
              <w:jc w:val="left"/>
            </w:pPr>
            <w:r>
              <w:rPr>
                <w:rFonts w:cs="Times New Roman"/>
              </w:rPr>
              <w:t>Implementacija katastarskih vodova i uspostava katastra zgrada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80</w:t>
            </w:r>
          </w:p>
        </w:tc>
      </w:tr>
      <w:tr w:rsidR="00505632" w:rsidTr="00AD4E52">
        <w:trPr>
          <w:jc w:val="center"/>
        </w:trPr>
        <w:tc>
          <w:tcPr>
            <w:tcW w:w="2551" w:type="dxa"/>
          </w:tcPr>
          <w:p w:rsidR="00505632" w:rsidRDefault="00505632" w:rsidP="00AD4E52">
            <w:pPr>
              <w:pStyle w:val="CellColumn"/>
              <w:jc w:val="left"/>
            </w:pPr>
            <w:r>
              <w:rPr>
                <w:rFonts w:cs="Times New Roman"/>
              </w:rPr>
              <w:t>zgrađena, integrirana i testirana prva faza</w:t>
            </w:r>
          </w:p>
        </w:tc>
        <w:tc>
          <w:tcPr>
            <w:tcW w:w="2551" w:type="dxa"/>
          </w:tcPr>
          <w:p w:rsidR="00505632" w:rsidRDefault="00505632" w:rsidP="00AD4E52">
            <w:pPr>
              <w:pStyle w:val="CellColumn"/>
              <w:jc w:val="left"/>
            </w:pPr>
            <w:r>
              <w:rPr>
                <w:rFonts w:cs="Times New Roman"/>
              </w:rPr>
              <w:t>Izgradnja prve faze integriranog sustava zemljišne administracije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Povećanje broja lokacija na kojima je implementiran sustav</w:t>
            </w:r>
          </w:p>
        </w:tc>
        <w:tc>
          <w:tcPr>
            <w:tcW w:w="2551" w:type="dxa"/>
          </w:tcPr>
          <w:p w:rsidR="00505632" w:rsidRDefault="00505632" w:rsidP="00AD4E52">
            <w:pPr>
              <w:pStyle w:val="CellColumn"/>
              <w:jc w:val="left"/>
            </w:pPr>
            <w:r>
              <w:rPr>
                <w:rFonts w:cs="Times New Roman"/>
              </w:rPr>
              <w:t>Razvoj i uspostava druge faze integriranog sustava zemljišne administracije</w:t>
            </w:r>
          </w:p>
        </w:tc>
        <w:tc>
          <w:tcPr>
            <w:tcW w:w="1020" w:type="dxa"/>
          </w:tcPr>
          <w:p w:rsidR="00505632" w:rsidRDefault="00505632" w:rsidP="00AD4E52">
            <w:pPr>
              <w:pStyle w:val="CellColumn"/>
              <w:jc w:val="right"/>
            </w:pPr>
            <w:r>
              <w:rPr>
                <w:rFonts w:cs="Times New Roman"/>
              </w:rPr>
              <w:t>broj lokacija</w:t>
            </w:r>
          </w:p>
        </w:tc>
        <w:tc>
          <w:tcPr>
            <w:tcW w:w="1020" w:type="dxa"/>
          </w:tcPr>
          <w:p w:rsidR="00505632" w:rsidRDefault="00505632" w:rsidP="00AD4E52">
            <w:pPr>
              <w:pStyle w:val="CellColumn"/>
              <w:jc w:val="right"/>
            </w:pPr>
            <w:r>
              <w:rPr>
                <w:rFonts w:cs="Times New Roman"/>
              </w:rPr>
              <w:t>63</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112</w:t>
            </w:r>
          </w:p>
        </w:tc>
        <w:tc>
          <w:tcPr>
            <w:tcW w:w="1020" w:type="dxa"/>
          </w:tcPr>
          <w:p w:rsidR="00505632" w:rsidRDefault="00505632" w:rsidP="00AD4E52">
            <w:pPr>
              <w:pStyle w:val="CellColumn"/>
              <w:jc w:val="right"/>
            </w:pPr>
            <w:r>
              <w:rPr>
                <w:rFonts w:cs="Times New Roman"/>
              </w:rPr>
              <w:t>112</w:t>
            </w:r>
          </w:p>
        </w:tc>
      </w:tr>
      <w:tr w:rsidR="00505632" w:rsidTr="00AD4E52">
        <w:trPr>
          <w:jc w:val="center"/>
        </w:trPr>
        <w:tc>
          <w:tcPr>
            <w:tcW w:w="2551" w:type="dxa"/>
          </w:tcPr>
          <w:p w:rsidR="00505632" w:rsidRDefault="00505632" w:rsidP="00AD4E52">
            <w:pPr>
              <w:pStyle w:val="CellColumn"/>
              <w:jc w:val="left"/>
            </w:pPr>
            <w:r>
              <w:rPr>
                <w:rFonts w:cs="Times New Roman"/>
              </w:rPr>
              <w:t>Povećanje postotka educiranih djelatnika</w:t>
            </w:r>
          </w:p>
        </w:tc>
        <w:tc>
          <w:tcPr>
            <w:tcW w:w="2551" w:type="dxa"/>
          </w:tcPr>
          <w:p w:rsidR="00505632" w:rsidRDefault="00505632" w:rsidP="00AD4E52">
            <w:pPr>
              <w:pStyle w:val="CellColumn"/>
              <w:jc w:val="left"/>
            </w:pPr>
            <w:r>
              <w:rPr>
                <w:rFonts w:cs="Times New Roman"/>
              </w:rPr>
              <w:t>Edukacija djelatnika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85</w:t>
            </w:r>
          </w:p>
        </w:tc>
      </w:tr>
      <w:tr w:rsidR="00505632" w:rsidTr="00AD4E52">
        <w:trPr>
          <w:jc w:val="center"/>
        </w:trPr>
        <w:tc>
          <w:tcPr>
            <w:tcW w:w="2551" w:type="dxa"/>
          </w:tcPr>
          <w:p w:rsidR="00505632" w:rsidRDefault="00505632" w:rsidP="00AD4E52">
            <w:pPr>
              <w:pStyle w:val="CellColumn"/>
              <w:jc w:val="left"/>
            </w:pPr>
            <w:r>
              <w:rPr>
                <w:rFonts w:cs="Times New Roman"/>
              </w:rPr>
              <w:t>Povećanje broja lokacija sa uspostavljenim SRPJ</w:t>
            </w:r>
          </w:p>
        </w:tc>
        <w:tc>
          <w:tcPr>
            <w:tcW w:w="2551" w:type="dxa"/>
          </w:tcPr>
          <w:p w:rsidR="00505632" w:rsidRDefault="00505632" w:rsidP="00AD4E52">
            <w:pPr>
              <w:pStyle w:val="CellColumn"/>
              <w:jc w:val="left"/>
            </w:pPr>
            <w:r>
              <w:rPr>
                <w:rFonts w:cs="Times New Roman"/>
              </w:rPr>
              <w:t>Modernizacija SRPJ</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98</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99</w:t>
            </w:r>
          </w:p>
        </w:tc>
      </w:tr>
      <w:tr w:rsidR="00505632" w:rsidTr="00AD4E52">
        <w:trPr>
          <w:jc w:val="center"/>
        </w:trPr>
        <w:tc>
          <w:tcPr>
            <w:tcW w:w="2551" w:type="dxa"/>
          </w:tcPr>
          <w:p w:rsidR="00505632" w:rsidRDefault="00505632" w:rsidP="00AD4E52">
            <w:pPr>
              <w:pStyle w:val="CellColumn"/>
              <w:jc w:val="left"/>
            </w:pPr>
            <w:r>
              <w:rPr>
                <w:rFonts w:cs="Times New Roman"/>
              </w:rPr>
              <w:t>Povećanje broja obnovljenih trigonometara I reda</w:t>
            </w:r>
          </w:p>
        </w:tc>
        <w:tc>
          <w:tcPr>
            <w:tcW w:w="2551" w:type="dxa"/>
          </w:tcPr>
          <w:p w:rsidR="00505632" w:rsidRDefault="00505632" w:rsidP="00AD4E52">
            <w:pPr>
              <w:pStyle w:val="CellColumn"/>
              <w:jc w:val="left"/>
            </w:pPr>
            <w:r>
              <w:rPr>
                <w:rFonts w:cs="Times New Roman"/>
              </w:rPr>
              <w:t xml:space="preserve">Obnova i dovršenje osnovnih geodetskih mreža (visinske, gravitacijske i magnetnometrijske). Održavanje operabilnosti CROPS-a </w:t>
            </w:r>
          </w:p>
          <w:p w:rsidR="00505632" w:rsidRDefault="00505632" w:rsidP="00AD4E52">
            <w:pPr>
              <w:pStyle w:val="CellColumn"/>
              <w:jc w:val="left"/>
            </w:pPr>
            <w:r>
              <w:rPr>
                <w:rFonts w:cs="Times New Roman"/>
              </w:rPr>
              <w:t xml:space="preserve">1.4.5. Obnova i dovršenje osnovnih geodetskih mreža (visinske, gravitacijske i magnetnometrijske). Održavanje operabilnosti CROPS-a </w:t>
            </w:r>
          </w:p>
          <w:p w:rsidR="00505632" w:rsidRDefault="00505632" w:rsidP="00AD4E52">
            <w:pPr>
              <w:pStyle w:val="CellColumn"/>
              <w:jc w:val="left"/>
            </w:pPr>
            <w:r>
              <w:rPr>
                <w:rFonts w:cs="Times New Roman"/>
              </w:rPr>
              <w:t>Obnova i dovršenje osnovnih geodetskih mreža (visinske, gravitacijske i magnetnometrijske). Održavanje operabilnosti CROPS-a</w:t>
            </w:r>
          </w:p>
        </w:tc>
        <w:tc>
          <w:tcPr>
            <w:tcW w:w="1020" w:type="dxa"/>
          </w:tcPr>
          <w:p w:rsidR="00505632" w:rsidRDefault="00505632" w:rsidP="00AD4E52">
            <w:pPr>
              <w:pStyle w:val="CellColumn"/>
              <w:jc w:val="right"/>
            </w:pPr>
            <w:r>
              <w:rPr>
                <w:rFonts w:cs="Times New Roman"/>
              </w:rPr>
              <w:t>broj lokacija</w:t>
            </w:r>
          </w:p>
        </w:tc>
        <w:tc>
          <w:tcPr>
            <w:tcW w:w="1020" w:type="dxa"/>
          </w:tcPr>
          <w:p w:rsidR="00505632" w:rsidRDefault="00505632" w:rsidP="00AD4E52">
            <w:pPr>
              <w:pStyle w:val="CellColumn"/>
              <w:jc w:val="right"/>
            </w:pPr>
            <w:r>
              <w:rPr>
                <w:rFonts w:cs="Times New Roman"/>
              </w:rPr>
              <w:t>53</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59</w:t>
            </w:r>
          </w:p>
        </w:tc>
        <w:tc>
          <w:tcPr>
            <w:tcW w:w="1020" w:type="dxa"/>
          </w:tcPr>
          <w:p w:rsidR="00505632" w:rsidRDefault="00505632" w:rsidP="00AD4E52">
            <w:pPr>
              <w:pStyle w:val="CellColumn"/>
              <w:jc w:val="right"/>
            </w:pPr>
            <w:r>
              <w:rPr>
                <w:rFonts w:cs="Times New Roman"/>
              </w:rPr>
              <w:t>59</w:t>
            </w:r>
          </w:p>
        </w:tc>
      </w:tr>
      <w:tr w:rsidR="00505632" w:rsidTr="00AD4E52">
        <w:trPr>
          <w:jc w:val="center"/>
        </w:trPr>
        <w:tc>
          <w:tcPr>
            <w:tcW w:w="2551" w:type="dxa"/>
          </w:tcPr>
          <w:p w:rsidR="00505632" w:rsidRDefault="00505632" w:rsidP="00AD4E52">
            <w:pPr>
              <w:pStyle w:val="CellColumn"/>
              <w:jc w:val="left"/>
            </w:pPr>
            <w:r>
              <w:rPr>
                <w:rFonts w:cs="Times New Roman"/>
              </w:rPr>
              <w:t>Povećanje postotka izvršenih magnetometrijskih izmjera</w:t>
            </w:r>
          </w:p>
        </w:tc>
        <w:tc>
          <w:tcPr>
            <w:tcW w:w="2551" w:type="dxa"/>
          </w:tcPr>
          <w:p w:rsidR="00505632" w:rsidRDefault="00505632" w:rsidP="00AD4E52">
            <w:pPr>
              <w:pStyle w:val="CellColumn"/>
              <w:jc w:val="left"/>
            </w:pPr>
            <w:r>
              <w:rPr>
                <w:rFonts w:cs="Times New Roman"/>
              </w:rPr>
              <w:t>Obnova i dovršenje osnovnih geodetskih mreža (visinske, gravitacijske i magnetnometrijske). Održavanje operabilnosti CROPS-a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Povećanje postotka gravimetrijske izmjere</w:t>
            </w:r>
          </w:p>
        </w:tc>
        <w:tc>
          <w:tcPr>
            <w:tcW w:w="2551" w:type="dxa"/>
          </w:tcPr>
          <w:p w:rsidR="00505632" w:rsidRDefault="00505632" w:rsidP="00AD4E52">
            <w:pPr>
              <w:pStyle w:val="CellColumn"/>
              <w:jc w:val="left"/>
            </w:pPr>
            <w:r>
              <w:rPr>
                <w:rFonts w:cs="Times New Roman"/>
              </w:rPr>
              <w:t>Obnova i dovršenje osnovnih geodetskih mreža (visinske, gravitacijske i magnetnometrijske). Održavanje operabilnosti CROPS-a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Postotak snimljenog</w:t>
            </w:r>
          </w:p>
        </w:tc>
        <w:tc>
          <w:tcPr>
            <w:tcW w:w="2551" w:type="dxa"/>
          </w:tcPr>
          <w:p w:rsidR="00505632" w:rsidRDefault="00505632" w:rsidP="00AD4E52">
            <w:pPr>
              <w:pStyle w:val="CellColumn"/>
              <w:jc w:val="left"/>
            </w:pPr>
            <w:r>
              <w:rPr>
                <w:rFonts w:cs="Times New Roman"/>
              </w:rPr>
              <w:t>Ciklička i fotogametrijska snimanja iz zraka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Postotak provedenog od planiranog</w:t>
            </w:r>
          </w:p>
        </w:tc>
        <w:tc>
          <w:tcPr>
            <w:tcW w:w="2551" w:type="dxa"/>
          </w:tcPr>
          <w:p w:rsidR="00505632" w:rsidRDefault="00505632" w:rsidP="00AD4E52">
            <w:pPr>
              <w:pStyle w:val="CellColumn"/>
              <w:jc w:val="left"/>
            </w:pPr>
            <w:r>
              <w:rPr>
                <w:rFonts w:cs="Times New Roman"/>
              </w:rPr>
              <w:t>Održavanje kartografskih i topografskih baza podataka</w:t>
            </w:r>
          </w:p>
        </w:tc>
        <w:tc>
          <w:tcPr>
            <w:tcW w:w="1020" w:type="dxa"/>
          </w:tcPr>
          <w:p w:rsidR="00505632" w:rsidRDefault="00505632" w:rsidP="00AD4E52">
            <w:pPr>
              <w:pStyle w:val="CellColumn"/>
              <w:jc w:val="right"/>
            </w:pPr>
            <w:r>
              <w:rPr>
                <w:rFonts w:cs="Times New Roman"/>
              </w:rPr>
              <w:t>broj lokacija</w:t>
            </w:r>
          </w:p>
        </w:tc>
        <w:tc>
          <w:tcPr>
            <w:tcW w:w="1020" w:type="dxa"/>
          </w:tcPr>
          <w:p w:rsidR="00505632" w:rsidRDefault="00505632" w:rsidP="00AD4E52">
            <w:pPr>
              <w:pStyle w:val="CellColumn"/>
              <w:jc w:val="right"/>
            </w:pPr>
            <w:r>
              <w:rPr>
                <w:rFonts w:cs="Times New Roman"/>
              </w:rPr>
              <w:t>47</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55</w:t>
            </w:r>
          </w:p>
        </w:tc>
        <w:tc>
          <w:tcPr>
            <w:tcW w:w="1020" w:type="dxa"/>
          </w:tcPr>
          <w:p w:rsidR="00505632" w:rsidRDefault="00505632" w:rsidP="00AD4E52">
            <w:pPr>
              <w:pStyle w:val="CellColumn"/>
              <w:jc w:val="right"/>
            </w:pPr>
            <w:r>
              <w:rPr>
                <w:rFonts w:cs="Times New Roman"/>
              </w:rPr>
              <w:t>55</w:t>
            </w:r>
          </w:p>
        </w:tc>
      </w:tr>
      <w:tr w:rsidR="00505632" w:rsidTr="00AD4E52">
        <w:trPr>
          <w:jc w:val="center"/>
        </w:trPr>
        <w:tc>
          <w:tcPr>
            <w:tcW w:w="2551" w:type="dxa"/>
          </w:tcPr>
          <w:p w:rsidR="00505632" w:rsidRDefault="00505632" w:rsidP="00AD4E52">
            <w:pPr>
              <w:pStyle w:val="CellColumn"/>
              <w:jc w:val="left"/>
            </w:pPr>
            <w:r>
              <w:rPr>
                <w:rFonts w:cs="Times New Roman"/>
              </w:rPr>
              <w:t>Doneseni propisi i njihova provedba</w:t>
            </w:r>
          </w:p>
        </w:tc>
        <w:tc>
          <w:tcPr>
            <w:tcW w:w="2551" w:type="dxa"/>
          </w:tcPr>
          <w:p w:rsidR="00505632" w:rsidRDefault="00505632" w:rsidP="00AD4E52">
            <w:pPr>
              <w:pStyle w:val="CellColumn"/>
              <w:jc w:val="left"/>
            </w:pPr>
            <w:r>
              <w:rPr>
                <w:rFonts w:cs="Times New Roman"/>
              </w:rPr>
              <w:t>Donošenje i provedba propisa za održavanje i razvoj NIPP-a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92</w:t>
            </w:r>
          </w:p>
        </w:tc>
      </w:tr>
      <w:tr w:rsidR="00505632" w:rsidTr="00AD4E52">
        <w:trPr>
          <w:jc w:val="center"/>
        </w:trPr>
        <w:tc>
          <w:tcPr>
            <w:tcW w:w="2551" w:type="dxa"/>
          </w:tcPr>
          <w:p w:rsidR="00505632" w:rsidRDefault="00505632" w:rsidP="00AD4E52">
            <w:pPr>
              <w:pStyle w:val="CellColumn"/>
              <w:jc w:val="left"/>
            </w:pPr>
            <w:r>
              <w:rPr>
                <w:rFonts w:cs="Times New Roman"/>
              </w:rPr>
              <w:t>Povećanje broja izvora prostornih podataka čiji su metapodaci dostupni putem geoportala NIPP-a (usluga pretraživanja)</w:t>
            </w:r>
          </w:p>
        </w:tc>
        <w:tc>
          <w:tcPr>
            <w:tcW w:w="2551" w:type="dxa"/>
          </w:tcPr>
          <w:p w:rsidR="00505632" w:rsidRDefault="00505632" w:rsidP="00AD4E52">
            <w:pPr>
              <w:pStyle w:val="CellColumn"/>
              <w:jc w:val="left"/>
            </w:pPr>
            <w:r>
              <w:rPr>
                <w:rFonts w:cs="Times New Roman"/>
              </w:rPr>
              <w:t>Uspostava geoportala NIPP-a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52</w:t>
            </w:r>
          </w:p>
        </w:tc>
      </w:tr>
      <w:tr w:rsidR="00505632" w:rsidTr="00AD4E52">
        <w:trPr>
          <w:jc w:val="center"/>
        </w:trPr>
        <w:tc>
          <w:tcPr>
            <w:tcW w:w="2551" w:type="dxa"/>
          </w:tcPr>
          <w:p w:rsidR="00505632" w:rsidRDefault="00505632" w:rsidP="00AD4E52">
            <w:pPr>
              <w:pStyle w:val="CellColumn"/>
              <w:jc w:val="left"/>
            </w:pPr>
            <w:r>
              <w:rPr>
                <w:rFonts w:cs="Times New Roman"/>
              </w:rPr>
              <w:t>Povećanje broja umreženih subjekata NIPP-a</w:t>
            </w:r>
          </w:p>
        </w:tc>
        <w:tc>
          <w:tcPr>
            <w:tcW w:w="2551" w:type="dxa"/>
          </w:tcPr>
          <w:p w:rsidR="00505632" w:rsidRDefault="00505632" w:rsidP="00AD4E52">
            <w:pPr>
              <w:pStyle w:val="CellColumn"/>
              <w:jc w:val="left"/>
            </w:pPr>
            <w:r>
              <w:rPr>
                <w:rFonts w:cs="Times New Roman"/>
              </w:rPr>
              <w:t>Uspostava geoportala NIPP-a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35</w:t>
            </w:r>
          </w:p>
        </w:tc>
      </w:tr>
      <w:tr w:rsidR="00505632" w:rsidTr="00AD4E52">
        <w:trPr>
          <w:jc w:val="center"/>
        </w:trPr>
        <w:tc>
          <w:tcPr>
            <w:tcW w:w="2551" w:type="dxa"/>
          </w:tcPr>
          <w:p w:rsidR="00505632" w:rsidRDefault="00505632" w:rsidP="00AD4E52">
            <w:pPr>
              <w:pStyle w:val="CellColumn"/>
              <w:jc w:val="left"/>
            </w:pPr>
            <w:r>
              <w:rPr>
                <w:rFonts w:cs="Times New Roman"/>
              </w:rPr>
              <w:t>Provedbeni elaborati po rješenjima o izvedenom stanju nezakonite zgrade</w:t>
            </w:r>
          </w:p>
        </w:tc>
        <w:tc>
          <w:tcPr>
            <w:tcW w:w="2551" w:type="dxa"/>
          </w:tcPr>
          <w:p w:rsidR="00505632" w:rsidRDefault="00505632" w:rsidP="00AD4E52">
            <w:pPr>
              <w:pStyle w:val="CellColumn"/>
              <w:jc w:val="left"/>
            </w:pPr>
            <w:r>
              <w:rPr>
                <w:rFonts w:cs="Times New Roman"/>
              </w:rPr>
              <w:t>Provedba geodetskih elaborata po rješenjima o izvedenom stanju nezakonite zgrade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30000</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40000</w:t>
            </w:r>
          </w:p>
        </w:tc>
        <w:tc>
          <w:tcPr>
            <w:tcW w:w="1020" w:type="dxa"/>
          </w:tcPr>
          <w:p w:rsidR="00505632" w:rsidRDefault="00505632" w:rsidP="00AD4E52">
            <w:pPr>
              <w:pStyle w:val="CellColumn"/>
              <w:jc w:val="right"/>
            </w:pPr>
            <w:r>
              <w:rPr>
                <w:rFonts w:cs="Times New Roman"/>
              </w:rPr>
              <w:t>60000</w:t>
            </w:r>
          </w:p>
        </w:tc>
      </w:tr>
      <w:tr w:rsidR="00505632" w:rsidTr="00AD4E52">
        <w:trPr>
          <w:jc w:val="center"/>
        </w:trPr>
        <w:tc>
          <w:tcPr>
            <w:tcW w:w="2551" w:type="dxa"/>
          </w:tcPr>
          <w:p w:rsidR="00505632" w:rsidRDefault="00505632" w:rsidP="00AD4E52">
            <w:pPr>
              <w:pStyle w:val="CellColumn"/>
              <w:jc w:val="left"/>
            </w:pPr>
            <w:r>
              <w:rPr>
                <w:rFonts w:cs="Times New Roman"/>
              </w:rPr>
              <w:t>Povećanje broja dovršenih izmjera K.O.</w:t>
            </w:r>
          </w:p>
        </w:tc>
        <w:tc>
          <w:tcPr>
            <w:tcW w:w="2551" w:type="dxa"/>
          </w:tcPr>
          <w:p w:rsidR="00505632" w:rsidRDefault="00505632" w:rsidP="00AD4E52">
            <w:pPr>
              <w:pStyle w:val="CellColumn"/>
              <w:jc w:val="left"/>
            </w:pPr>
            <w:r>
              <w:rPr>
                <w:rFonts w:cs="Times New Roman"/>
              </w:rPr>
              <w:t>Ubrzanje provedbe katastarskih izmjera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75</w:t>
            </w:r>
          </w:p>
        </w:tc>
      </w:tr>
      <w:tr w:rsidR="00505632" w:rsidTr="00AD4E52">
        <w:trPr>
          <w:jc w:val="center"/>
        </w:trPr>
        <w:tc>
          <w:tcPr>
            <w:tcW w:w="2551" w:type="dxa"/>
          </w:tcPr>
          <w:p w:rsidR="00505632" w:rsidRDefault="00505632" w:rsidP="00AD4E52">
            <w:pPr>
              <w:pStyle w:val="CellColumn"/>
              <w:jc w:val="left"/>
            </w:pPr>
            <w:r>
              <w:rPr>
                <w:rFonts w:cs="Times New Roman"/>
              </w:rPr>
              <w:t>Povećanje broja lokacija na kojima je implementiran sustav</w:t>
            </w:r>
          </w:p>
        </w:tc>
        <w:tc>
          <w:tcPr>
            <w:tcW w:w="2551" w:type="dxa"/>
          </w:tcPr>
          <w:p w:rsidR="00505632" w:rsidRDefault="00505632" w:rsidP="00AD4E52">
            <w:pPr>
              <w:pStyle w:val="CellColumn"/>
              <w:jc w:val="left"/>
            </w:pPr>
            <w:r>
              <w:rPr>
                <w:rFonts w:cs="Times New Roman"/>
              </w:rPr>
              <w:t xml:space="preserve">Unapređenje zemljišno-knjižnog postupka </w:t>
            </w:r>
          </w:p>
          <w:p w:rsidR="00505632" w:rsidRDefault="00505632" w:rsidP="00AD4E52">
            <w:pPr>
              <w:pStyle w:val="CellColumn"/>
              <w:jc w:val="left"/>
            </w:pPr>
            <w:r>
              <w:rPr>
                <w:rFonts w:cs="Times New Roman"/>
              </w:rPr>
              <w:t>REFORMSKA MJERA</w:t>
            </w:r>
          </w:p>
        </w:tc>
        <w:tc>
          <w:tcPr>
            <w:tcW w:w="1020" w:type="dxa"/>
          </w:tcPr>
          <w:p w:rsidR="00505632" w:rsidRDefault="00505632" w:rsidP="00AD4E52">
            <w:pPr>
              <w:pStyle w:val="CellColumn"/>
              <w:jc w:val="right"/>
            </w:pPr>
            <w:r>
              <w:rPr>
                <w:rFonts w:cs="Times New Roman"/>
              </w:rPr>
              <w:t>broj lokacija</w:t>
            </w:r>
          </w:p>
        </w:tc>
        <w:tc>
          <w:tcPr>
            <w:tcW w:w="1020" w:type="dxa"/>
          </w:tcPr>
          <w:p w:rsidR="00505632" w:rsidRDefault="00505632" w:rsidP="00AD4E52">
            <w:pPr>
              <w:pStyle w:val="CellColumn"/>
              <w:jc w:val="right"/>
            </w:pPr>
            <w:r>
              <w:rPr>
                <w:rFonts w:cs="Times New Roman"/>
              </w:rPr>
              <w:t>112</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112</w:t>
            </w:r>
          </w:p>
        </w:tc>
        <w:tc>
          <w:tcPr>
            <w:tcW w:w="1020" w:type="dxa"/>
          </w:tcPr>
          <w:p w:rsidR="00505632" w:rsidRDefault="00505632" w:rsidP="00AD4E52">
            <w:pPr>
              <w:pStyle w:val="CellColumn"/>
              <w:jc w:val="right"/>
            </w:pPr>
            <w:r>
              <w:rPr>
                <w:rFonts w:cs="Times New Roman"/>
              </w:rPr>
              <w:t>112</w:t>
            </w:r>
          </w:p>
        </w:tc>
      </w:tr>
    </w:tbl>
    <w:p w:rsidR="00505632" w:rsidRDefault="00505632" w:rsidP="00505632">
      <w:pPr>
        <w:jc w:val="left"/>
      </w:pPr>
    </w:p>
    <w:p w:rsidR="00505632" w:rsidRDefault="00505632" w:rsidP="00505632">
      <w:pPr>
        <w:pStyle w:val="Heading4"/>
      </w:pPr>
      <w:r>
        <w:t>A664001 ODRŽAVANJE KATASTRA ZEMLJIŠTA I USPOSTAVA KATASTRA NEKRETNINA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A664001-ODRŽAVANJE KATASTRA ZEMLJIŠTA I USPOSTAVA KATASTRA NEKRETNINA</w:t>
            </w:r>
          </w:p>
        </w:tc>
        <w:tc>
          <w:tcPr>
            <w:tcW w:w="2041" w:type="dxa"/>
          </w:tcPr>
          <w:p w:rsidR="00505632" w:rsidRDefault="00505632" w:rsidP="00AD4E52">
            <w:pPr>
              <w:pStyle w:val="CellColumn"/>
              <w:jc w:val="right"/>
            </w:pPr>
            <w:r>
              <w:rPr>
                <w:rFonts w:cs="Times New Roman"/>
              </w:rPr>
              <w:t>10.596.348</w:t>
            </w:r>
          </w:p>
        </w:tc>
        <w:tc>
          <w:tcPr>
            <w:tcW w:w="2041" w:type="dxa"/>
          </w:tcPr>
          <w:p w:rsidR="00505632" w:rsidRDefault="00505632" w:rsidP="00AD4E52">
            <w:pPr>
              <w:pStyle w:val="CellColumn"/>
              <w:jc w:val="right"/>
            </w:pPr>
            <w:r>
              <w:rPr>
                <w:rFonts w:cs="Times New Roman"/>
              </w:rPr>
              <w:t>8.141.584</w:t>
            </w:r>
          </w:p>
        </w:tc>
        <w:tc>
          <w:tcPr>
            <w:tcW w:w="2041" w:type="dxa"/>
          </w:tcPr>
          <w:p w:rsidR="00505632" w:rsidRDefault="00505632" w:rsidP="00AD4E52">
            <w:pPr>
              <w:pStyle w:val="CellColumn"/>
              <w:jc w:val="right"/>
            </w:pPr>
            <w:r>
              <w:rPr>
                <w:rFonts w:cs="Times New Roman"/>
              </w:rPr>
              <w:t>7.861.044</w:t>
            </w:r>
          </w:p>
        </w:tc>
        <w:tc>
          <w:tcPr>
            <w:tcW w:w="1224" w:type="dxa"/>
          </w:tcPr>
          <w:p w:rsidR="00505632" w:rsidRDefault="00505632" w:rsidP="00AD4E52">
            <w:pPr>
              <w:pStyle w:val="CellColumn"/>
              <w:jc w:val="right"/>
            </w:pPr>
            <w:r>
              <w:rPr>
                <w:rFonts w:cs="Times New Roman"/>
              </w:rPr>
              <w:t>96,6</w:t>
            </w:r>
          </w:p>
        </w:tc>
        <w:tc>
          <w:tcPr>
            <w:tcW w:w="1224" w:type="dxa"/>
          </w:tcPr>
          <w:p w:rsidR="00505632" w:rsidRDefault="00505632" w:rsidP="00AD4E52">
            <w:pPr>
              <w:pStyle w:val="CellColumn"/>
              <w:jc w:val="right"/>
            </w:pPr>
            <w:r>
              <w:rPr>
                <w:rFonts w:cs="Times New Roman"/>
              </w:rPr>
              <w:t>74,2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w:t>
      </w:r>
      <w:r>
        <w:tab/>
        <w:t xml:space="preserve">Zakon o državnoj izmjeri i katastru nekretnina </w:t>
      </w:r>
    </w:p>
    <w:p w:rsidR="00505632" w:rsidRDefault="00505632" w:rsidP="00505632">
      <w:r>
        <w:t>•</w:t>
      </w:r>
      <w:r>
        <w:tab/>
        <w:t xml:space="preserve">Zakon o obavljanju geodetske djelatnosti  </w:t>
      </w:r>
    </w:p>
    <w:p w:rsidR="00505632" w:rsidRDefault="00505632" w:rsidP="00505632">
      <w:r>
        <w:t>•</w:t>
      </w:r>
      <w:r>
        <w:tab/>
        <w:t>Zakon o nacionalnoi infrastrukturi prostornih podataka</w:t>
      </w:r>
    </w:p>
    <w:p w:rsidR="00505632" w:rsidRDefault="00505632" w:rsidP="00505632">
      <w:pPr>
        <w:pStyle w:val="Heading8"/>
        <w:jc w:val="left"/>
      </w:pPr>
      <w:r>
        <w:t>Opis aktivnosti</w:t>
      </w:r>
    </w:p>
    <w:p w:rsidR="00505632" w:rsidRDefault="00505632" w:rsidP="00505632">
      <w:r>
        <w:t>Uspostava, održavanje i vođenje katastra predstavlja glavnu aktivnost Državne geodetske uprave i angažira najveće kapacitete. Katastar u zajednici sa zemljišnim knjigama predstavlja okosnicu pravne države i vladavine prava te je ključni čimbenik gospodarskog razvoja. Kvaliteta upisa u katastru i zemljišnim knjigama neposredno utječe na gospodarski potencijal bilo koje lokalne zajednice i njegovo nesređeno stanje je važan ograničavajući faktor u provedbi gospodarskih projekata, funkcioniranju tržišta nekretnina, slijedom čega i funkcioniranju financijskog tržišta, te provedbi kapitalnih infrastrukturnih projekata države. Treba napomenuti iako se govori o aktivnosti A664001 održavanje katastra i uspostava katastra nekretnina, treba naglasiti da i slijedeće aktivnosti: A664021 Registracija poljoprivrednog zemljišta, T664009 Katastar nekretnina doline Neretve, T664010 Uređenje posjedovne i vlasničko pravne evidencije na otocima u istoj su funkciji iako ih u Državnoj geodetskoj upravi razlikujemo zbog područja na kojima se provode i svrhe zbog kojih se rade.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dovršenih obnova K.O</w:t>
            </w:r>
          </w:p>
        </w:tc>
        <w:tc>
          <w:tcPr>
            <w:tcW w:w="2551" w:type="dxa"/>
          </w:tcPr>
          <w:p w:rsidR="00505632" w:rsidRDefault="00505632" w:rsidP="00AD4E52">
            <w:pPr>
              <w:pStyle w:val="CellColumn"/>
              <w:jc w:val="left"/>
            </w:pPr>
            <w:r>
              <w:rPr>
                <w:rFonts w:cs="Times New Roman"/>
              </w:rPr>
              <w:t>Sustavna obnova katastra i (ZK) kroz katastarske izmjere i tehničke reambulacije K.O.</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173</w:t>
            </w:r>
          </w:p>
        </w:tc>
        <w:tc>
          <w:tcPr>
            <w:tcW w:w="1020" w:type="dxa"/>
          </w:tcPr>
          <w:p w:rsidR="00505632" w:rsidRDefault="00505632" w:rsidP="00AD4E52">
            <w:pPr>
              <w:pStyle w:val="CellColumn"/>
              <w:jc w:val="right"/>
            </w:pPr>
            <w:r>
              <w:rPr>
                <w:rFonts w:cs="Times New Roman"/>
              </w:rPr>
              <w:t>DGU</w:t>
            </w:r>
          </w:p>
        </w:tc>
        <w:tc>
          <w:tcPr>
            <w:tcW w:w="1020" w:type="dxa"/>
          </w:tcPr>
          <w:p w:rsidR="00505632" w:rsidRDefault="00505632" w:rsidP="00AD4E52">
            <w:pPr>
              <w:pStyle w:val="CellColumn"/>
              <w:jc w:val="right"/>
            </w:pPr>
            <w:r>
              <w:rPr>
                <w:rFonts w:cs="Times New Roman"/>
              </w:rPr>
              <w:t>195</w:t>
            </w:r>
          </w:p>
        </w:tc>
        <w:tc>
          <w:tcPr>
            <w:tcW w:w="1020" w:type="dxa"/>
          </w:tcPr>
          <w:p w:rsidR="00505632" w:rsidRDefault="00505632" w:rsidP="00AD4E52">
            <w:pPr>
              <w:pStyle w:val="CellColumn"/>
              <w:jc w:val="right"/>
            </w:pPr>
            <w:r>
              <w:rPr>
                <w:rFonts w:cs="Times New Roman"/>
              </w:rPr>
              <w:t>185</w:t>
            </w:r>
          </w:p>
        </w:tc>
      </w:tr>
    </w:tbl>
    <w:p w:rsidR="00505632" w:rsidRDefault="00505632" w:rsidP="00505632">
      <w:pPr>
        <w:jc w:val="left"/>
      </w:pPr>
    </w:p>
    <w:p w:rsidR="00505632" w:rsidRDefault="00505632" w:rsidP="00505632">
      <w:pPr>
        <w:pStyle w:val="Heading2"/>
      </w:pPr>
      <w:r>
        <w:t>07630 Agencija za obnovu osječke Tvrđe</w:t>
      </w:r>
    </w:p>
    <w:p w:rsidR="00505632" w:rsidRDefault="00505632" w:rsidP="00505632">
      <w:r>
        <w:t xml:space="preserve">Agencija za obnovu osječke Tvrđe je nositelj je Strategije razvoja osječke Tvrđe, a osnovana kao javna ustanova za pripremu, organizaciju i provođenje programa zaštite, obnove i revitalizacije osječke Tvrđe na temelju članaka 7. i 12. Zakona o ustanovama (Narodne novine, br. 76/93 i 29/97). Osnivači agencije su Republika Hrvatska, zajedno s Osječkobaranjskom županijom i Gradom Osijekom u sljedećim omjerima: </w:t>
      </w:r>
    </w:p>
    <w:p w:rsidR="00505632" w:rsidRDefault="00505632" w:rsidP="00505632">
      <w:r>
        <w:t xml:space="preserve">- Republika Hrvatska 51% sredstava, </w:t>
      </w:r>
    </w:p>
    <w:p w:rsidR="00505632" w:rsidRDefault="00505632" w:rsidP="00505632">
      <w:r>
        <w:t xml:space="preserve">- Osječko-baranjska županija 24,5% sredstava, </w:t>
      </w:r>
    </w:p>
    <w:p w:rsidR="00505632" w:rsidRDefault="00505632" w:rsidP="00505632">
      <w:r>
        <w:t xml:space="preserve">- Grad Osijek 24,5% sredstava. </w:t>
      </w:r>
    </w:p>
    <w:p w:rsidR="00505632" w:rsidRDefault="00505632" w:rsidP="00505632">
      <w:r>
        <w:t xml:space="preserve">Djelatnost Agencije čine poslovi povezani sa zaštitom, obnovom i revitalizacijom osječke Tvrđe: </w:t>
      </w:r>
    </w:p>
    <w:p w:rsidR="00505632" w:rsidRDefault="00505632" w:rsidP="00505632">
      <w:r>
        <w:t xml:space="preserve">• izrada programa i planova obnove, investicijskih i drugih programa te dokumenata u vezi s obnovom spomeničke cjeline </w:t>
      </w:r>
    </w:p>
    <w:p w:rsidR="00505632" w:rsidRDefault="00505632" w:rsidP="00505632">
      <w:r>
        <w:t xml:space="preserve">• poslovi u vezi s pripremom i ustupanjem radova na obnovi </w:t>
      </w:r>
    </w:p>
    <w:p w:rsidR="00505632" w:rsidRDefault="00505632" w:rsidP="00505632">
      <w:r>
        <w:t xml:space="preserve">• organizacija i provođenje nadzora nad izvođenjem radova </w:t>
      </w:r>
    </w:p>
    <w:p w:rsidR="00505632" w:rsidRDefault="00505632" w:rsidP="00505632">
      <w:r>
        <w:t xml:space="preserve">• praćenje izvršenja investicijskih programa u pogledu trošenja sredstava te dinamike i rokova izvođenja radova </w:t>
      </w:r>
    </w:p>
    <w:p w:rsidR="00505632" w:rsidRDefault="00505632" w:rsidP="00505632">
      <w:r>
        <w:t xml:space="preserve">• sanacija ratnih šteta, vođenje rekonstrukcija krovnih konstrukcija i vanjske stolarije </w:t>
      </w:r>
    </w:p>
    <w:p w:rsidR="00505632" w:rsidRDefault="00505632" w:rsidP="00505632">
      <w:r>
        <w:t xml:space="preserve">• izgradnja, održavanje i organizacija korištenja informacijskog sustava osječke Tvrđe </w:t>
      </w:r>
    </w:p>
    <w:p w:rsidR="00505632" w:rsidRDefault="00505632" w:rsidP="00505632">
      <w:r>
        <w:t xml:space="preserve">• organizacija i izvođenje marketinških i drugih promidžbenih aktivnosti te </w:t>
      </w:r>
    </w:p>
    <w:p w:rsidR="00505632" w:rsidRDefault="00505632" w:rsidP="00505632">
      <w:r>
        <w:t xml:space="preserve">• usklađivanje rada sudionika u obnovi spomeničke cjeline. </w:t>
      </w:r>
    </w:p>
    <w:p w:rsidR="00505632" w:rsidRDefault="00505632" w:rsidP="00505632">
      <w:r>
        <w:t>Kao utvrda kulture, turizma, poduzetništva i znanja Tvrđa svojim građanima, stanovnicima, korisnicima i posjetiteljima pruža mjesto interakcije, zabave, učenja i usvajanja novih znanja, rada i poslovanja, a sve u prepoznatljivom kulturno-povijesnom ambijentu obogaćenom inovativnim sadržajima, europskim i svjetskim brendovima. Tvrđa - povijesna jezgra grada Osijeka, ostatak nekadašnje tvrđave, postupno je prerasla u gradski prostor, a obnovom i revitalizacijom potrebno ju je uzdići kako bi kulturna baština postala gospodarski resurs.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2" w:type="dxa"/>
            <w:shd w:val="clear" w:color="auto" w:fill="B5C0D8"/>
          </w:tcPr>
          <w:p w:rsidR="00505632" w:rsidRDefault="00505632" w:rsidP="00AD4E52">
            <w:pPr>
              <w:pStyle w:val="CellHeader"/>
              <w:jc w:val="center"/>
            </w:pPr>
            <w:r>
              <w:rPr>
                <w:rFonts w:cs="Times New Roman"/>
              </w:rPr>
              <w:t>Izvršenje 2015. (kn)</w:t>
            </w:r>
          </w:p>
        </w:tc>
        <w:tc>
          <w:tcPr>
            <w:tcW w:w="2042" w:type="dxa"/>
            <w:shd w:val="clear" w:color="auto" w:fill="B5C0D8"/>
          </w:tcPr>
          <w:p w:rsidR="00505632" w:rsidRDefault="00505632" w:rsidP="00AD4E52">
            <w:pPr>
              <w:pStyle w:val="CellHeader"/>
              <w:jc w:val="center"/>
            </w:pPr>
            <w:r>
              <w:rPr>
                <w:rFonts w:cs="Times New Roman"/>
              </w:rPr>
              <w:t>Plan 2016. (kn)</w:t>
            </w:r>
          </w:p>
        </w:tc>
        <w:tc>
          <w:tcPr>
            <w:tcW w:w="2042"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07630-Agencija za obnovu osječke Tvrđe</w:t>
            </w:r>
          </w:p>
        </w:tc>
        <w:tc>
          <w:tcPr>
            <w:tcW w:w="2042" w:type="dxa"/>
            <w:vAlign w:val="top"/>
          </w:tcPr>
          <w:p w:rsidR="00505632" w:rsidRDefault="00505632" w:rsidP="00AD4E52">
            <w:pPr>
              <w:pStyle w:val="CellColumn"/>
              <w:jc w:val="right"/>
            </w:pPr>
            <w:r>
              <w:rPr>
                <w:rFonts w:cs="Times New Roman"/>
              </w:rPr>
              <w:t>00</w:t>
            </w:r>
          </w:p>
        </w:tc>
        <w:tc>
          <w:tcPr>
            <w:tcW w:w="2042" w:type="dxa"/>
            <w:vAlign w:val="top"/>
          </w:tcPr>
          <w:p w:rsidR="00505632" w:rsidRDefault="00505632" w:rsidP="00AD4E52">
            <w:pPr>
              <w:pStyle w:val="CellColumn"/>
              <w:jc w:val="right"/>
            </w:pPr>
            <w:r>
              <w:rPr>
                <w:rFonts w:cs="Times New Roman"/>
              </w:rPr>
              <w:t>1.000.000</w:t>
            </w:r>
          </w:p>
        </w:tc>
        <w:tc>
          <w:tcPr>
            <w:tcW w:w="2042" w:type="dxa"/>
            <w:vAlign w:val="top"/>
          </w:tcPr>
          <w:p w:rsidR="00505632" w:rsidRDefault="00505632" w:rsidP="00AD4E52">
            <w:pPr>
              <w:pStyle w:val="CellColumn"/>
              <w:jc w:val="right"/>
            </w:pPr>
            <w:r>
              <w:rPr>
                <w:rFonts w:cs="Times New Roman"/>
              </w:rPr>
              <w:t>998.997</w:t>
            </w:r>
          </w:p>
        </w:tc>
        <w:tc>
          <w:tcPr>
            <w:tcW w:w="1224" w:type="dxa"/>
            <w:vAlign w:val="top"/>
          </w:tcPr>
          <w:p w:rsidR="00505632" w:rsidRDefault="00505632" w:rsidP="00AD4E52">
            <w:pPr>
              <w:pStyle w:val="CellColumn"/>
              <w:jc w:val="right"/>
            </w:pPr>
            <w:r>
              <w:rPr>
                <w:rFonts w:cs="Times New Roman"/>
              </w:rPr>
              <w:t>99,9</w:t>
            </w:r>
          </w:p>
        </w:tc>
        <w:tc>
          <w:tcPr>
            <w:tcW w:w="1224" w:type="dxa"/>
            <w:vAlign w:val="top"/>
          </w:tcPr>
          <w:p w:rsidR="00505632" w:rsidRDefault="00505632" w:rsidP="00AD4E52">
            <w:pPr>
              <w:pStyle w:val="CellColumn"/>
              <w:jc w:val="right"/>
            </w:pPr>
            <w:r>
              <w:rPr>
                <w:rFonts w:cs="Times New Roman"/>
              </w:rPr>
              <w:t>0,0</w:t>
            </w:r>
          </w:p>
        </w:tc>
      </w:tr>
      <w:tr w:rsidR="00505632" w:rsidTr="00AD4E52">
        <w:trPr>
          <w:jc w:val="center"/>
        </w:trPr>
        <w:tc>
          <w:tcPr>
            <w:tcW w:w="1632" w:type="dxa"/>
          </w:tcPr>
          <w:p w:rsidR="00505632" w:rsidRDefault="00505632" w:rsidP="00AD4E52">
            <w:pPr>
              <w:jc w:val="left"/>
            </w:pPr>
            <w:r>
              <w:t>3910-OČUVANJE KULTURNE BAŠTINE - SANACIJA OBJEKATA</w:t>
            </w:r>
          </w:p>
        </w:tc>
        <w:tc>
          <w:tcPr>
            <w:tcW w:w="2042" w:type="dxa"/>
          </w:tcPr>
          <w:p w:rsidR="00505632" w:rsidRDefault="00505632" w:rsidP="00AD4E52">
            <w:pPr>
              <w:jc w:val="right"/>
            </w:pPr>
            <w:r>
              <w:t>00</w:t>
            </w:r>
          </w:p>
        </w:tc>
        <w:tc>
          <w:tcPr>
            <w:tcW w:w="2042" w:type="dxa"/>
          </w:tcPr>
          <w:p w:rsidR="00505632" w:rsidRDefault="00505632" w:rsidP="00AD4E52">
            <w:pPr>
              <w:jc w:val="right"/>
            </w:pPr>
            <w:r>
              <w:t>1.000.000</w:t>
            </w:r>
          </w:p>
        </w:tc>
        <w:tc>
          <w:tcPr>
            <w:tcW w:w="2042" w:type="dxa"/>
          </w:tcPr>
          <w:p w:rsidR="00505632" w:rsidRDefault="00505632" w:rsidP="00AD4E52">
            <w:pPr>
              <w:jc w:val="right"/>
            </w:pPr>
            <w:r>
              <w:t>998.997</w:t>
            </w:r>
          </w:p>
        </w:tc>
        <w:tc>
          <w:tcPr>
            <w:tcW w:w="1224" w:type="dxa"/>
          </w:tcPr>
          <w:p w:rsidR="00505632" w:rsidRDefault="00505632" w:rsidP="00AD4E52">
            <w:pPr>
              <w:jc w:val="right"/>
            </w:pPr>
            <w:r>
              <w:t>99,9</w:t>
            </w:r>
          </w:p>
        </w:tc>
        <w:tc>
          <w:tcPr>
            <w:tcW w:w="1224" w:type="dxa"/>
          </w:tcPr>
          <w:p w:rsidR="00505632" w:rsidRDefault="00505632" w:rsidP="00AD4E52">
            <w:pPr>
              <w:jc w:val="right"/>
            </w:pPr>
            <w:r>
              <w:t>0,0</w:t>
            </w:r>
          </w:p>
        </w:tc>
      </w:tr>
    </w:tbl>
    <w:p w:rsidR="00505632" w:rsidRDefault="00505632" w:rsidP="00505632"/>
    <w:p w:rsidR="00505632" w:rsidRDefault="00505632" w:rsidP="00DB131A">
      <w:pPr>
        <w:overflowPunct/>
        <w:autoSpaceDE/>
        <w:autoSpaceDN/>
        <w:adjustRightInd/>
        <w:spacing w:after="200" w:line="276" w:lineRule="auto"/>
        <w:jc w:val="left"/>
        <w:textAlignment w:val="auto"/>
      </w:pPr>
      <w:r>
        <w:br w:type="page"/>
      </w:r>
    </w:p>
    <w:p w:rsidR="00505632" w:rsidRDefault="00505632" w:rsidP="00505632">
      <w:pPr>
        <w:pStyle w:val="Heading1"/>
      </w:pPr>
      <w:r>
        <w:t>077 MINISTARSTVO ZAŠTITE OKOLIŠA I ENERGETIKE</w:t>
      </w:r>
    </w:p>
    <w:p w:rsidR="00505632" w:rsidRDefault="00505632" w:rsidP="00505632">
      <w:r>
        <w:t xml:space="preserve">Proces određivanja strateških i srednjoročnih ciljeva Ministarstva, jednako kao i prilagođavanje postojećih odnosno uvođenje novih funkcija koje trebaju poslužiti njihovom ostvarenju, u bitnoj mjeri je određen složenošću okoline u kojoj djeluje. </w:t>
      </w:r>
    </w:p>
    <w:p w:rsidR="00505632" w:rsidRDefault="00505632" w:rsidP="00505632">
      <w:r>
        <w:t xml:space="preserve">Okolina rada MZOE determinirana je, s jedne strane, kroz status Republike Hrvatske kao nove članice Europske unije koja zaštiti okoliša pridaje značajnu pažnju i gdje postoji acquis i jasno definirani standardi dok, s druge strane, postoji jednako tako veliki broj međunarodnih akata drugih međunarodnih organizacija koji zahtijevaju učinkovito i djelotvorno Ministarstvo. Priključivanja EU ima dugoročan i uglavnom pozitivan učinak čiji će intenzitet s protekom vremena rasti i tražiti adekvatan kadar za obavljanje sve zahtjevnijih zadaća Ministarstva. </w:t>
      </w:r>
    </w:p>
    <w:p w:rsidR="00505632" w:rsidRDefault="00505632" w:rsidP="00505632">
      <w:r>
        <w:t xml:space="preserve">Uz to, stupanje na snagu novih zakona, donošenje jasnih i provedivih propisa te konstantan proces usklađivanja propisa s pravnom stečevinom EU postavlja pred Ministarstvo zahtjeve u fazi provedbe i njenog nadzora. </w:t>
      </w:r>
    </w:p>
    <w:p w:rsidR="00505632" w:rsidRDefault="00505632" w:rsidP="00505632">
      <w:r>
        <w:t>Održivi razvitak, očuvanje okoliša i prirode te klimatske promjene predstavljaju horizontalne teme koje zadiru u aktivnosti cjelokupne državne uprave i težište je rada ovog Ministarstva u ostvarivanju uvjeta za održivi razvitak. Donošenjem Nacionalne strategije održivog razvitka („Narodne novine“, broj 30/2009) Ministarstvo je postalo središnje koordinativno tijelo za teme održivog razvitka na nacionalnoj razini, te koordinatorom multilateralnih okolišnih sporazuma i globalnih pitanja održivog razvitka na međunarodnoj razini.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Index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07705-Ministarstvo zaštite okoliša i energetike</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194.197.550</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732.802.271</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863.211.768</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117,8</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444,5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07710-Agencija za zaštitu okoliša</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24.749.413</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2.372.663</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2.376.043</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100,1</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9,6</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07715-Nacionalni parkovi i parkovi prirode</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407.338.586</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593.725.941</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463.839.392</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78,1</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113,9</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07720-Državni hidrometeorološki zavod</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113.348.259</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108.731.192</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108.689.876</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100,0</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95,9</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07725-Državni zavod za zaštitu prirode</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10.491.255</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1.824.319</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1.831.684</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100,4</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17,5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07730-Hrvatska agencija za okoliš i prirodu</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00</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44.236.615</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33.067.449</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74,8</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0,0</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07735-Hrvatska agencija za obvezne zalihe nafte i naftnih derivata</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00</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45.661.091</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44.252.799</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96,9</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0,0</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07740-Centar za praćenje poslovanja energetskog sektora i investicija</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00</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1.023.624</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834.804</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81,6</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0,0</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left"/>
              <w:rPr>
                <w:lang w:eastAsia="en-US"/>
              </w:rPr>
            </w:pPr>
            <w:r>
              <w:rPr>
                <w:rFonts w:cs="Times New Roman"/>
                <w:lang w:eastAsia="en-US"/>
              </w:rPr>
              <w:t>Ukupno 077-MINISTARSTVO ZAŠTITE OKOLIŠA I ENERGETIKE</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750.125.062</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1.530.377.716</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1.518.103.815</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99,2</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202,4</w:t>
            </w:r>
          </w:p>
        </w:tc>
      </w:tr>
    </w:tbl>
    <w:p w:rsidR="00505632" w:rsidRDefault="00505632" w:rsidP="00505632">
      <w:pPr>
        <w:jc w:val="left"/>
      </w:pPr>
    </w:p>
    <w:p w:rsidR="00505632" w:rsidRDefault="00505632" w:rsidP="00505632">
      <w:pPr>
        <w:pStyle w:val="Heading2"/>
      </w:pPr>
      <w:r>
        <w:t>07705 Ministarstvo zaštite okoliša i energetike</w:t>
      </w:r>
    </w:p>
    <w:p w:rsidR="00505632" w:rsidRDefault="00505632" w:rsidP="00505632">
      <w:r>
        <w:t xml:space="preserve">Proces određivanja strateških i srednjoročnih ciljeva Ministarstva, jednako kao i prilagođavanje postojećih odnosno uvođenje novih funkcija koje trebaju poslužiti njihovom ostvarenju, u bitnoj mjeri je određen složenošću okoline u kojoj djeluje. </w:t>
      </w:r>
    </w:p>
    <w:p w:rsidR="00505632" w:rsidRDefault="00505632" w:rsidP="00505632">
      <w:r>
        <w:t xml:space="preserve">Okolina rada MZOE determinirana je, s jedne strane, kroz status Republike Hrvatske kao nove članice Europske unije koja zaštiti okoliša pridaje značajnu pažnju i gdje postoji acquis i jasno definirani standardi dok, s druge strane, postoji jednako tako veliki broj međunarodnih akata drugih međunarodnih organizacija koji zahtijevaju učinkovito i djelotvorno Ministarstvo. Priključivanja EU ima dugoročan i uglavnom pozitivan učinak čiji će intenzitet s protekom vremena rasti i tražiti adekvatan kadar za obavljanje sve zahtjevnijih zadaća Ministarstva. </w:t>
      </w:r>
    </w:p>
    <w:p w:rsidR="00505632" w:rsidRDefault="00505632" w:rsidP="00505632">
      <w:r>
        <w:t xml:space="preserve">Uz to, stupanje na snagu novih zakona, donošenje jasnih i provedivih propisa te konstantan proces usklađivanja propisa s pravnom stečevinom EU postavlja pred Ministarstvo zahtjeve u fazi provedbe i njenog nadzora. </w:t>
      </w:r>
    </w:p>
    <w:p w:rsidR="00505632" w:rsidRDefault="00505632" w:rsidP="00505632">
      <w:r>
        <w:t>Održivi razvitak, očuvanje okoliša i prirode te klimatske promjene predstavljaju horizontalne teme koje zadiru u aktivnosti cjelokupne državne uprave i težište je rada ovog Ministarstva u ostvarivanju uvjeta za održivi razvitak. Donošenjem Nacionalne strategije održivog razvitka („Narodne novine“, broj 30/2009) Ministarstvo je postalo središnje koordinativno tijelo za teme održivog razvitka na nacionalnoj razini, te koordinatorom multilateralnih okolišnih sporazuma i globalnih pitanja održivog razvitka na međunarodnoj razini.</w:t>
      </w:r>
    </w:p>
    <w:tbl>
      <w:tblPr>
        <w:tblStyle w:val="StilTablice"/>
        <w:tblW w:w="10206" w:type="dxa"/>
        <w:jc w:val="center"/>
        <w:tblLook w:val="04A0" w:firstRow="1" w:lastRow="0" w:firstColumn="1" w:lastColumn="0" w:noHBand="0" w:noVBand="1"/>
      </w:tblPr>
      <w:tblGrid>
        <w:gridCol w:w="1859"/>
        <w:gridCol w:w="1976"/>
        <w:gridCol w:w="1976"/>
        <w:gridCol w:w="1976"/>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07705-Ministarstvo zaštite okoliša i energetike</w:t>
            </w:r>
          </w:p>
        </w:tc>
        <w:tc>
          <w:tcPr>
            <w:tcW w:w="2041" w:type="dxa"/>
            <w:vAlign w:val="top"/>
          </w:tcPr>
          <w:p w:rsidR="00505632" w:rsidRDefault="00505632" w:rsidP="00AD4E52">
            <w:pPr>
              <w:pStyle w:val="CellColumn"/>
              <w:jc w:val="right"/>
            </w:pPr>
            <w:r>
              <w:rPr>
                <w:rFonts w:cs="Times New Roman"/>
              </w:rPr>
              <w:t>194.197.550</w:t>
            </w:r>
          </w:p>
        </w:tc>
        <w:tc>
          <w:tcPr>
            <w:tcW w:w="2041" w:type="dxa"/>
            <w:vAlign w:val="top"/>
          </w:tcPr>
          <w:p w:rsidR="00505632" w:rsidRDefault="00505632" w:rsidP="00AD4E52">
            <w:pPr>
              <w:pStyle w:val="CellColumn"/>
              <w:jc w:val="right"/>
            </w:pPr>
            <w:r>
              <w:rPr>
                <w:rFonts w:cs="Times New Roman"/>
              </w:rPr>
              <w:t>732.802.271</w:t>
            </w:r>
          </w:p>
        </w:tc>
        <w:tc>
          <w:tcPr>
            <w:tcW w:w="2041" w:type="dxa"/>
            <w:vAlign w:val="top"/>
          </w:tcPr>
          <w:p w:rsidR="00505632" w:rsidRDefault="00505632" w:rsidP="00AD4E52">
            <w:pPr>
              <w:pStyle w:val="CellColumn"/>
              <w:jc w:val="right"/>
            </w:pPr>
            <w:r>
              <w:rPr>
                <w:rFonts w:cs="Times New Roman"/>
              </w:rPr>
              <w:t>863.211.768</w:t>
            </w:r>
          </w:p>
        </w:tc>
        <w:tc>
          <w:tcPr>
            <w:tcW w:w="1224" w:type="dxa"/>
            <w:vAlign w:val="top"/>
          </w:tcPr>
          <w:p w:rsidR="00505632" w:rsidRDefault="00505632" w:rsidP="00AD4E52">
            <w:pPr>
              <w:pStyle w:val="CellColumn"/>
              <w:jc w:val="right"/>
            </w:pPr>
            <w:r>
              <w:rPr>
                <w:rFonts w:cs="Times New Roman"/>
              </w:rPr>
              <w:t>117,8</w:t>
            </w:r>
          </w:p>
        </w:tc>
        <w:tc>
          <w:tcPr>
            <w:tcW w:w="1224" w:type="dxa"/>
            <w:vAlign w:val="top"/>
          </w:tcPr>
          <w:p w:rsidR="00505632" w:rsidRDefault="00505632" w:rsidP="00AD4E52">
            <w:pPr>
              <w:pStyle w:val="CellColumn"/>
              <w:jc w:val="right"/>
            </w:pPr>
            <w:r>
              <w:rPr>
                <w:rFonts w:cs="Times New Roman"/>
              </w:rPr>
              <w:t>444,5</w:t>
            </w:r>
          </w:p>
        </w:tc>
      </w:tr>
      <w:tr w:rsidR="00505632" w:rsidTr="00AD4E52">
        <w:trPr>
          <w:jc w:val="center"/>
        </w:trPr>
        <w:tc>
          <w:tcPr>
            <w:tcW w:w="1632" w:type="dxa"/>
          </w:tcPr>
          <w:p w:rsidR="00505632" w:rsidRDefault="00505632" w:rsidP="00AD4E52">
            <w:pPr>
              <w:jc w:val="left"/>
            </w:pPr>
            <w:r>
              <w:t>3008-SUSTAV NAVODNJAVANJA I ZAŠTITE OD ŠTETNOG DJELOVANJA VODA</w:t>
            </w:r>
          </w:p>
        </w:tc>
        <w:tc>
          <w:tcPr>
            <w:tcW w:w="2041" w:type="dxa"/>
          </w:tcPr>
          <w:p w:rsidR="00505632" w:rsidRDefault="00505632" w:rsidP="00AD4E52">
            <w:pPr>
              <w:jc w:val="right"/>
            </w:pPr>
            <w:r>
              <w:t>00</w:t>
            </w:r>
          </w:p>
        </w:tc>
        <w:tc>
          <w:tcPr>
            <w:tcW w:w="2041" w:type="dxa"/>
          </w:tcPr>
          <w:p w:rsidR="00505632" w:rsidRDefault="00505632" w:rsidP="00AD4E52">
            <w:pPr>
              <w:jc w:val="right"/>
            </w:pPr>
            <w:r>
              <w:t>13.660.885</w:t>
            </w:r>
          </w:p>
        </w:tc>
        <w:tc>
          <w:tcPr>
            <w:tcW w:w="2041" w:type="dxa"/>
          </w:tcPr>
          <w:p w:rsidR="00505632" w:rsidRDefault="00505632" w:rsidP="00AD4E52">
            <w:pPr>
              <w:jc w:val="right"/>
            </w:pPr>
            <w:r>
              <w:t>12.714.255</w:t>
            </w:r>
          </w:p>
        </w:tc>
        <w:tc>
          <w:tcPr>
            <w:tcW w:w="1224" w:type="dxa"/>
          </w:tcPr>
          <w:p w:rsidR="00505632" w:rsidRDefault="00505632" w:rsidP="00AD4E52">
            <w:pPr>
              <w:jc w:val="right"/>
            </w:pPr>
            <w:r>
              <w:t>93,1</w:t>
            </w:r>
          </w:p>
        </w:tc>
        <w:tc>
          <w:tcPr>
            <w:tcW w:w="1224" w:type="dxa"/>
          </w:tcPr>
          <w:p w:rsidR="00505632" w:rsidRDefault="00505632" w:rsidP="00AD4E52">
            <w:pPr>
              <w:jc w:val="right"/>
            </w:pPr>
            <w:r>
              <w:t>0,0</w:t>
            </w:r>
          </w:p>
        </w:tc>
      </w:tr>
      <w:tr w:rsidR="00505632" w:rsidTr="00AD4E52">
        <w:trPr>
          <w:jc w:val="center"/>
        </w:trPr>
        <w:tc>
          <w:tcPr>
            <w:tcW w:w="1632" w:type="dxa"/>
          </w:tcPr>
          <w:p w:rsidR="00505632" w:rsidRDefault="00505632" w:rsidP="00AD4E52">
            <w:pPr>
              <w:jc w:val="left"/>
            </w:pPr>
            <w:r>
              <w:t>3225-RAZVOJ ENERGETSKOG SUSTAVA I GOSPODARENJA MINERALNIM SIROVINAMA</w:t>
            </w:r>
          </w:p>
        </w:tc>
        <w:tc>
          <w:tcPr>
            <w:tcW w:w="2041" w:type="dxa"/>
          </w:tcPr>
          <w:p w:rsidR="00505632" w:rsidRDefault="00505632" w:rsidP="00AD4E52">
            <w:pPr>
              <w:jc w:val="right"/>
            </w:pPr>
            <w:r>
              <w:t>00</w:t>
            </w:r>
          </w:p>
        </w:tc>
        <w:tc>
          <w:tcPr>
            <w:tcW w:w="2041" w:type="dxa"/>
          </w:tcPr>
          <w:p w:rsidR="00505632" w:rsidRDefault="00505632" w:rsidP="00AD4E52">
            <w:pPr>
              <w:jc w:val="right"/>
            </w:pPr>
            <w:r>
              <w:t>35.584.842</w:t>
            </w:r>
          </w:p>
        </w:tc>
        <w:tc>
          <w:tcPr>
            <w:tcW w:w="2041" w:type="dxa"/>
          </w:tcPr>
          <w:p w:rsidR="00505632" w:rsidRDefault="00505632" w:rsidP="00AD4E52">
            <w:pPr>
              <w:jc w:val="right"/>
            </w:pPr>
            <w:r>
              <w:t>9.744.512</w:t>
            </w:r>
          </w:p>
        </w:tc>
        <w:tc>
          <w:tcPr>
            <w:tcW w:w="1224" w:type="dxa"/>
          </w:tcPr>
          <w:p w:rsidR="00505632" w:rsidRDefault="00505632" w:rsidP="00AD4E52">
            <w:pPr>
              <w:jc w:val="right"/>
            </w:pPr>
            <w:r>
              <w:t>27,4</w:t>
            </w:r>
          </w:p>
        </w:tc>
        <w:tc>
          <w:tcPr>
            <w:tcW w:w="1224" w:type="dxa"/>
          </w:tcPr>
          <w:p w:rsidR="00505632" w:rsidRDefault="00505632" w:rsidP="00AD4E52">
            <w:pPr>
              <w:jc w:val="right"/>
            </w:pPr>
            <w:r>
              <w:t>0,0</w:t>
            </w:r>
          </w:p>
        </w:tc>
      </w:tr>
      <w:tr w:rsidR="00505632" w:rsidTr="00AD4E52">
        <w:trPr>
          <w:jc w:val="center"/>
        </w:trPr>
        <w:tc>
          <w:tcPr>
            <w:tcW w:w="1632" w:type="dxa"/>
          </w:tcPr>
          <w:p w:rsidR="00505632" w:rsidRDefault="00505632" w:rsidP="00AD4E52">
            <w:pPr>
              <w:jc w:val="left"/>
            </w:pPr>
            <w:r>
              <w:t>3401-ZAŠTITA PRIRODE</w:t>
            </w:r>
          </w:p>
        </w:tc>
        <w:tc>
          <w:tcPr>
            <w:tcW w:w="2041" w:type="dxa"/>
          </w:tcPr>
          <w:p w:rsidR="00505632" w:rsidRDefault="00505632" w:rsidP="00AD4E52">
            <w:pPr>
              <w:jc w:val="right"/>
            </w:pPr>
            <w:r>
              <w:t>7.615.560</w:t>
            </w:r>
          </w:p>
        </w:tc>
        <w:tc>
          <w:tcPr>
            <w:tcW w:w="2041" w:type="dxa"/>
          </w:tcPr>
          <w:p w:rsidR="00505632" w:rsidRDefault="00505632" w:rsidP="00AD4E52">
            <w:pPr>
              <w:jc w:val="right"/>
            </w:pPr>
            <w:r>
              <w:t>5.240.500</w:t>
            </w:r>
          </w:p>
        </w:tc>
        <w:tc>
          <w:tcPr>
            <w:tcW w:w="2041" w:type="dxa"/>
          </w:tcPr>
          <w:p w:rsidR="00505632" w:rsidRDefault="00505632" w:rsidP="00AD4E52">
            <w:pPr>
              <w:jc w:val="right"/>
            </w:pPr>
            <w:r>
              <w:t>5.000.571</w:t>
            </w:r>
          </w:p>
        </w:tc>
        <w:tc>
          <w:tcPr>
            <w:tcW w:w="1224" w:type="dxa"/>
          </w:tcPr>
          <w:p w:rsidR="00505632" w:rsidRDefault="00505632" w:rsidP="00AD4E52">
            <w:pPr>
              <w:jc w:val="right"/>
            </w:pPr>
            <w:r>
              <w:t>95,4</w:t>
            </w:r>
          </w:p>
        </w:tc>
        <w:tc>
          <w:tcPr>
            <w:tcW w:w="1224" w:type="dxa"/>
          </w:tcPr>
          <w:p w:rsidR="00505632" w:rsidRDefault="00505632" w:rsidP="00AD4E52">
            <w:pPr>
              <w:jc w:val="right"/>
            </w:pPr>
            <w:r>
              <w:t>65,7</w:t>
            </w:r>
          </w:p>
        </w:tc>
      </w:tr>
      <w:tr w:rsidR="00505632" w:rsidTr="00AD4E52">
        <w:trPr>
          <w:jc w:val="center"/>
        </w:trPr>
        <w:tc>
          <w:tcPr>
            <w:tcW w:w="1632" w:type="dxa"/>
          </w:tcPr>
          <w:p w:rsidR="00505632" w:rsidRDefault="00505632" w:rsidP="00AD4E52">
            <w:pPr>
              <w:jc w:val="left"/>
            </w:pPr>
            <w:r>
              <w:t>3402-ZAŠTITA OKOLIŠA</w:t>
            </w:r>
          </w:p>
        </w:tc>
        <w:tc>
          <w:tcPr>
            <w:tcW w:w="2041" w:type="dxa"/>
          </w:tcPr>
          <w:p w:rsidR="00505632" w:rsidRDefault="00505632" w:rsidP="00AD4E52">
            <w:pPr>
              <w:jc w:val="right"/>
            </w:pPr>
            <w:r>
              <w:t>74.506.344</w:t>
            </w:r>
          </w:p>
        </w:tc>
        <w:tc>
          <w:tcPr>
            <w:tcW w:w="2041" w:type="dxa"/>
          </w:tcPr>
          <w:p w:rsidR="00505632" w:rsidRDefault="00505632" w:rsidP="00AD4E52">
            <w:pPr>
              <w:jc w:val="right"/>
            </w:pPr>
            <w:r>
              <w:t>95.455.903</w:t>
            </w:r>
          </w:p>
        </w:tc>
        <w:tc>
          <w:tcPr>
            <w:tcW w:w="2041" w:type="dxa"/>
          </w:tcPr>
          <w:p w:rsidR="00505632" w:rsidRDefault="00505632" w:rsidP="00AD4E52">
            <w:pPr>
              <w:jc w:val="right"/>
            </w:pPr>
            <w:r>
              <w:t>84.365.218</w:t>
            </w:r>
          </w:p>
        </w:tc>
        <w:tc>
          <w:tcPr>
            <w:tcW w:w="1224" w:type="dxa"/>
          </w:tcPr>
          <w:p w:rsidR="00505632" w:rsidRDefault="00505632" w:rsidP="00AD4E52">
            <w:pPr>
              <w:jc w:val="right"/>
            </w:pPr>
            <w:r>
              <w:t>88,4</w:t>
            </w:r>
          </w:p>
        </w:tc>
        <w:tc>
          <w:tcPr>
            <w:tcW w:w="1224" w:type="dxa"/>
          </w:tcPr>
          <w:p w:rsidR="00505632" w:rsidRDefault="00505632" w:rsidP="00AD4E52">
            <w:pPr>
              <w:jc w:val="right"/>
            </w:pPr>
            <w:r>
              <w:t>113,2</w:t>
            </w:r>
          </w:p>
        </w:tc>
      </w:tr>
      <w:tr w:rsidR="00505632" w:rsidTr="00AD4E52">
        <w:trPr>
          <w:jc w:val="center"/>
        </w:trPr>
        <w:tc>
          <w:tcPr>
            <w:tcW w:w="1632" w:type="dxa"/>
          </w:tcPr>
          <w:p w:rsidR="00505632" w:rsidRDefault="00505632" w:rsidP="00AD4E52">
            <w:pPr>
              <w:jc w:val="left"/>
            </w:pPr>
            <w:r>
              <w:t>3405-GOSPODARENJE OTPADOM</w:t>
            </w:r>
          </w:p>
        </w:tc>
        <w:tc>
          <w:tcPr>
            <w:tcW w:w="2041" w:type="dxa"/>
          </w:tcPr>
          <w:p w:rsidR="00505632" w:rsidRDefault="00505632" w:rsidP="00AD4E52">
            <w:pPr>
              <w:jc w:val="right"/>
            </w:pPr>
            <w:r>
              <w:t>112.075.646</w:t>
            </w:r>
          </w:p>
        </w:tc>
        <w:tc>
          <w:tcPr>
            <w:tcW w:w="2041" w:type="dxa"/>
          </w:tcPr>
          <w:p w:rsidR="00505632" w:rsidRDefault="00505632" w:rsidP="00AD4E52">
            <w:pPr>
              <w:jc w:val="right"/>
            </w:pPr>
            <w:r>
              <w:t>204.825.091</w:t>
            </w:r>
          </w:p>
        </w:tc>
        <w:tc>
          <w:tcPr>
            <w:tcW w:w="2041" w:type="dxa"/>
          </w:tcPr>
          <w:p w:rsidR="00505632" w:rsidRDefault="00505632" w:rsidP="00AD4E52">
            <w:pPr>
              <w:jc w:val="right"/>
            </w:pPr>
            <w:r>
              <w:t>191.359.087</w:t>
            </w:r>
          </w:p>
        </w:tc>
        <w:tc>
          <w:tcPr>
            <w:tcW w:w="1224" w:type="dxa"/>
          </w:tcPr>
          <w:p w:rsidR="00505632" w:rsidRDefault="00505632" w:rsidP="00AD4E52">
            <w:pPr>
              <w:jc w:val="right"/>
            </w:pPr>
            <w:r>
              <w:t>93,4</w:t>
            </w:r>
          </w:p>
        </w:tc>
        <w:tc>
          <w:tcPr>
            <w:tcW w:w="1224" w:type="dxa"/>
          </w:tcPr>
          <w:p w:rsidR="00505632" w:rsidRDefault="00505632" w:rsidP="00AD4E52">
            <w:pPr>
              <w:jc w:val="right"/>
            </w:pPr>
            <w:r>
              <w:t>170,7</w:t>
            </w:r>
          </w:p>
        </w:tc>
      </w:tr>
      <w:tr w:rsidR="00505632" w:rsidTr="00AD4E52">
        <w:trPr>
          <w:jc w:val="center"/>
        </w:trPr>
        <w:tc>
          <w:tcPr>
            <w:tcW w:w="1632" w:type="dxa"/>
          </w:tcPr>
          <w:p w:rsidR="00505632" w:rsidRDefault="00505632" w:rsidP="00AD4E52">
            <w:pPr>
              <w:jc w:val="left"/>
            </w:pPr>
            <w:r>
              <w:t>3408-RAZVOJ SUSTAVA JAVNE ODVODNJE I ZAŠTITE VODA I MORA</w:t>
            </w:r>
          </w:p>
        </w:tc>
        <w:tc>
          <w:tcPr>
            <w:tcW w:w="2041" w:type="dxa"/>
          </w:tcPr>
          <w:p w:rsidR="00505632" w:rsidRDefault="00505632" w:rsidP="00AD4E52">
            <w:pPr>
              <w:jc w:val="right"/>
            </w:pPr>
            <w:r>
              <w:t>00</w:t>
            </w:r>
          </w:p>
        </w:tc>
        <w:tc>
          <w:tcPr>
            <w:tcW w:w="2041" w:type="dxa"/>
          </w:tcPr>
          <w:p w:rsidR="00505632" w:rsidRDefault="00505632" w:rsidP="00AD4E52">
            <w:pPr>
              <w:jc w:val="right"/>
            </w:pPr>
            <w:r>
              <w:t>377.777.111</w:t>
            </w:r>
          </w:p>
        </w:tc>
        <w:tc>
          <w:tcPr>
            <w:tcW w:w="2041" w:type="dxa"/>
          </w:tcPr>
          <w:p w:rsidR="00505632" w:rsidRDefault="00505632" w:rsidP="00AD4E52">
            <w:pPr>
              <w:jc w:val="right"/>
            </w:pPr>
            <w:r>
              <w:t>560.028.125</w:t>
            </w:r>
          </w:p>
        </w:tc>
        <w:tc>
          <w:tcPr>
            <w:tcW w:w="1224" w:type="dxa"/>
          </w:tcPr>
          <w:p w:rsidR="00505632" w:rsidRDefault="00505632" w:rsidP="00AD4E52">
            <w:pPr>
              <w:jc w:val="right"/>
            </w:pPr>
            <w:r>
              <w:t>148,2</w:t>
            </w:r>
          </w:p>
        </w:tc>
        <w:tc>
          <w:tcPr>
            <w:tcW w:w="1224" w:type="dxa"/>
          </w:tcPr>
          <w:p w:rsidR="00505632" w:rsidRDefault="00505632" w:rsidP="00AD4E52">
            <w:pPr>
              <w:jc w:val="right"/>
            </w:pPr>
            <w:r>
              <w:t>0,0</w:t>
            </w:r>
          </w:p>
        </w:tc>
      </w:tr>
      <w:tr w:rsidR="00505632" w:rsidTr="00AD4E52">
        <w:trPr>
          <w:jc w:val="center"/>
        </w:trPr>
        <w:tc>
          <w:tcPr>
            <w:tcW w:w="1632" w:type="dxa"/>
          </w:tcPr>
          <w:p w:rsidR="00505632" w:rsidRDefault="00505632" w:rsidP="00AD4E52">
            <w:pPr>
              <w:jc w:val="left"/>
            </w:pPr>
            <w:r>
              <w:t>3509-RAZVOJ I UPRAVLJANJE VODOOPSKRBNIM SUSTAVOM</w:t>
            </w:r>
          </w:p>
        </w:tc>
        <w:tc>
          <w:tcPr>
            <w:tcW w:w="2041" w:type="dxa"/>
          </w:tcPr>
          <w:p w:rsidR="00505632" w:rsidRDefault="00505632" w:rsidP="00AD4E52">
            <w:pPr>
              <w:jc w:val="right"/>
            </w:pPr>
            <w:r>
              <w:t>00</w:t>
            </w:r>
          </w:p>
        </w:tc>
        <w:tc>
          <w:tcPr>
            <w:tcW w:w="2041" w:type="dxa"/>
          </w:tcPr>
          <w:p w:rsidR="00505632" w:rsidRDefault="00505632" w:rsidP="00AD4E52">
            <w:pPr>
              <w:jc w:val="right"/>
            </w:pPr>
            <w:r>
              <w:t>257.939</w:t>
            </w:r>
          </w:p>
        </w:tc>
        <w:tc>
          <w:tcPr>
            <w:tcW w:w="2041" w:type="dxa"/>
          </w:tcPr>
          <w:p w:rsidR="00505632" w:rsidRDefault="00505632" w:rsidP="00AD4E52">
            <w:pPr>
              <w:jc w:val="right"/>
            </w:pPr>
            <w:r>
              <w:t>00</w:t>
            </w:r>
          </w:p>
        </w:tc>
        <w:tc>
          <w:tcPr>
            <w:tcW w:w="1224" w:type="dxa"/>
          </w:tcPr>
          <w:p w:rsidR="00505632" w:rsidRDefault="00505632" w:rsidP="00AD4E52">
            <w:pPr>
              <w:jc w:val="right"/>
            </w:pPr>
            <w:r>
              <w:t>0,0</w:t>
            </w:r>
          </w:p>
        </w:tc>
        <w:tc>
          <w:tcPr>
            <w:tcW w:w="1224" w:type="dxa"/>
          </w:tcPr>
          <w:p w:rsidR="00505632" w:rsidRDefault="00505632" w:rsidP="00AD4E52">
            <w:pPr>
              <w:jc w:val="right"/>
            </w:pPr>
            <w:r>
              <w:t>0,0</w:t>
            </w:r>
          </w:p>
        </w:tc>
      </w:tr>
    </w:tbl>
    <w:p w:rsidR="00505632" w:rsidRDefault="00505632" w:rsidP="00505632">
      <w:pPr>
        <w:jc w:val="left"/>
      </w:pPr>
    </w:p>
    <w:p w:rsidR="00505632" w:rsidRDefault="00505632" w:rsidP="00505632">
      <w:pPr>
        <w:pStyle w:val="Heading3"/>
      </w:pPr>
      <w:r>
        <w:rPr>
          <w:rFonts w:cs="Times New Roman"/>
        </w:rPr>
        <w:t>3008 SUSTAV NAVODNJAVANJA I ZAŠTITE OD ŠTETNOG DJELOVANJA VODA</w:t>
      </w:r>
    </w:p>
    <w:tbl>
      <w:tblPr>
        <w:tblStyle w:val="StilTablice"/>
        <w:tblW w:w="10206" w:type="dxa"/>
        <w:jc w:val="center"/>
        <w:tblLook w:val="04A0" w:firstRow="1" w:lastRow="0" w:firstColumn="1" w:lastColumn="0" w:noHBand="0" w:noVBand="1"/>
      </w:tblPr>
      <w:tblGrid>
        <w:gridCol w:w="1859"/>
        <w:gridCol w:w="1968"/>
        <w:gridCol w:w="1978"/>
        <w:gridCol w:w="1978"/>
        <w:gridCol w:w="1208"/>
        <w:gridCol w:w="1215"/>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3008-SUSTAV NAVODNJAVANJA I ZAŠTITE OD ŠTETNOG DJELOVANJA VODA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13.660.885</w:t>
            </w:r>
          </w:p>
        </w:tc>
        <w:tc>
          <w:tcPr>
            <w:tcW w:w="2041" w:type="dxa"/>
          </w:tcPr>
          <w:p w:rsidR="00505632" w:rsidRDefault="00505632" w:rsidP="00AD4E52">
            <w:pPr>
              <w:pStyle w:val="CellColumn"/>
              <w:jc w:val="right"/>
            </w:pPr>
            <w:r>
              <w:rPr>
                <w:rFonts w:cs="Times New Roman"/>
              </w:rPr>
              <w:t>12.714.255</w:t>
            </w:r>
          </w:p>
        </w:tc>
        <w:tc>
          <w:tcPr>
            <w:tcW w:w="1224" w:type="dxa"/>
          </w:tcPr>
          <w:p w:rsidR="00505632" w:rsidRDefault="00505632" w:rsidP="00AD4E52">
            <w:pPr>
              <w:pStyle w:val="CellColumn"/>
              <w:jc w:val="right"/>
            </w:pPr>
            <w:r>
              <w:rPr>
                <w:rFonts w:cs="Times New Roman"/>
              </w:rPr>
              <w:t>93,1</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r>
        <w:t xml:space="preserve">2004. godine pokrenute su  aktivnosti za izradu strateškog plana unapređenja poljoprivrede primjenom navodnjavanja s ciljem osiguranja uvjeta za optimalno korištenje prirodnih resursa tala i voda te je isti usvojen 2005. godine pod nazivom Nacionalni projekt navodnjavanja i gospodarenja poljoprivrednim zemljištem i vodama u Republici Hrvatskoj (NAPNAV). Provedbom NAPNAV-a ostvaruju se uvjeti za izgradnju vodnih građevina za navodnjavanje odnosno sustava javnog navodnjavanja čime se direktno utječe na povećanje poljoprivrednih površina pod navodnjavanjem odnosno na bolje gospodarenjem poljoprivrednim zemljištem i vodama u uvjetima navodnjavanja. Prema NAPNAV-u određeni su kratkoročni i dugoročni ciljevi te rokovi realizacije. Tako je do 2020. godine na području Republike Hrvatske planirano izgraditi sustave navodnjavanja na ukupno 65.000 ha poljoprivrednih površina. S obzirom na dosadašnje iskustvo i poteškoće u provedbi NAPNAV-a, a uzimajući u obzir pristupanje Republike Hrvatske u Europsku uniju ukazala se potreba za usklađivanje NAPNAV-a- s ostalim planskim i programskim dokumentima pogotovo po pitanju financiranju izgradnje sustava navodnjavanja koji se planiraju sufinancirati sredstvima EU fondova u programskom razdoblju 2014.-2020. god. </w:t>
      </w:r>
    </w:p>
    <w:p w:rsidR="00505632" w:rsidRDefault="00505632" w:rsidP="00505632">
      <w:r>
        <w:t>Tako je Programom ruralnog razvoja Republike Hrvatske za programsko razdoblje 2014.-2020. kroz Mjeru 04. Ulaganje u fizičku imovinu, podmjeru 4.3. Potpore za ulaganja u infrastrukturu povezanu s razvojem, osuvremenjivanjem ili prilagodbom poljoprivrede i šumarstva, sredstvima Europskog poljoprivrednog fonda za ruralni razvoj planirano financirati investicije u novu infrastrukturu za sustave navodnjavanja s isključivim ciljem povećanja poljoprivrednih površina koje se mogu navodnjavati, prvenstveno radi smanjenja negativnog učinka suša, osiguranja stabilnosti poljoprivredne proizvodnje i povećanja konkurentnosti poljoprivredne proizvodnje.</w:t>
      </w:r>
    </w:p>
    <w:p w:rsidR="00505632" w:rsidRDefault="00505632" w:rsidP="00505632">
      <w:pPr>
        <w:pStyle w:val="Heading8"/>
        <w:jc w:val="left"/>
      </w:pPr>
      <w:r>
        <w:t>Cilj 1. Povećanje broja poljoprivrednih površina pod navodnjavanjem</w:t>
      </w:r>
    </w:p>
    <w:p w:rsidR="00505632" w:rsidRDefault="00505632" w:rsidP="00505632">
      <w:pPr>
        <w:pStyle w:val="Heading8"/>
        <w:jc w:val="left"/>
      </w:pPr>
      <w:r>
        <w:t>Opis provedbe cilja programa</w:t>
      </w:r>
    </w:p>
    <w:p w:rsidR="00505632" w:rsidRDefault="00505632" w:rsidP="00505632">
      <w:r>
        <w:t>Cilj programa provodi se realizacijom Nacionalnog projekta navodnjavanja i gospodarenja poljoprivrednim zemljištem i vodama u Republici Hrvatskoj (NAPNAV), izradom studijske i projektne dokumentacije za sustave javnog navodnjavanja kao i izgradnjom novih te rekonstrukcijom postojećih sustava javnog navodnjavanja u svrhu boljeg gospodarenja poljoprivrednim zemljištem i vodama u uvjetima navodnjavanja.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476"/>
        <w:gridCol w:w="2480"/>
        <w:gridCol w:w="1005"/>
        <w:gridCol w:w="1014"/>
        <w:gridCol w:w="1203"/>
        <w:gridCol w:w="1014"/>
        <w:gridCol w:w="1014"/>
      </w:tblGrid>
      <w:tr w:rsidR="00505632" w:rsidTr="00AD4E52">
        <w:trPr>
          <w:jc w:val="center"/>
        </w:trPr>
        <w:tc>
          <w:tcPr>
            <w:tcW w:w="2476" w:type="dxa"/>
            <w:shd w:val="clear" w:color="auto" w:fill="B5C0D8"/>
          </w:tcPr>
          <w:p w:rsidR="00505632" w:rsidRDefault="00505632" w:rsidP="00AD4E52">
            <w:pPr>
              <w:jc w:val="center"/>
            </w:pPr>
            <w:r>
              <w:t>Pokazatelj učinka</w:t>
            </w:r>
          </w:p>
        </w:tc>
        <w:tc>
          <w:tcPr>
            <w:tcW w:w="2480" w:type="dxa"/>
            <w:shd w:val="clear" w:color="auto" w:fill="B5C0D8"/>
          </w:tcPr>
          <w:p w:rsidR="00505632" w:rsidRDefault="00505632" w:rsidP="00AD4E52">
            <w:pPr>
              <w:pStyle w:val="CellHeader"/>
              <w:jc w:val="center"/>
            </w:pPr>
            <w:r>
              <w:rPr>
                <w:rFonts w:cs="Times New Roman"/>
              </w:rPr>
              <w:t>Definicija</w:t>
            </w:r>
          </w:p>
        </w:tc>
        <w:tc>
          <w:tcPr>
            <w:tcW w:w="1005" w:type="dxa"/>
            <w:shd w:val="clear" w:color="auto" w:fill="B5C0D8"/>
          </w:tcPr>
          <w:p w:rsidR="00505632" w:rsidRDefault="00505632" w:rsidP="00AD4E52">
            <w:pPr>
              <w:pStyle w:val="CellHeader"/>
              <w:jc w:val="center"/>
            </w:pPr>
            <w:r>
              <w:rPr>
                <w:rFonts w:cs="Times New Roman"/>
              </w:rPr>
              <w:t>Jedinica</w:t>
            </w:r>
          </w:p>
        </w:tc>
        <w:tc>
          <w:tcPr>
            <w:tcW w:w="1014" w:type="dxa"/>
            <w:shd w:val="clear" w:color="auto" w:fill="B5C0D8"/>
          </w:tcPr>
          <w:p w:rsidR="00505632" w:rsidRDefault="00505632" w:rsidP="00AD4E52">
            <w:pPr>
              <w:pStyle w:val="CellHeader"/>
              <w:jc w:val="center"/>
            </w:pPr>
            <w:r>
              <w:rPr>
                <w:rFonts w:cs="Times New Roman"/>
              </w:rPr>
              <w:t>Polazna vrijednost</w:t>
            </w:r>
          </w:p>
        </w:tc>
        <w:tc>
          <w:tcPr>
            <w:tcW w:w="1203" w:type="dxa"/>
            <w:shd w:val="clear" w:color="auto" w:fill="B5C0D8"/>
          </w:tcPr>
          <w:p w:rsidR="00505632" w:rsidRDefault="00505632" w:rsidP="00AD4E52">
            <w:pPr>
              <w:pStyle w:val="CellHeader"/>
              <w:jc w:val="center"/>
            </w:pPr>
            <w:r>
              <w:rPr>
                <w:rFonts w:cs="Times New Roman"/>
              </w:rPr>
              <w:t>Izvor podataka</w:t>
            </w:r>
          </w:p>
        </w:tc>
        <w:tc>
          <w:tcPr>
            <w:tcW w:w="1014" w:type="dxa"/>
            <w:shd w:val="clear" w:color="auto" w:fill="B5C0D8"/>
          </w:tcPr>
          <w:p w:rsidR="00505632" w:rsidRDefault="00505632" w:rsidP="00AD4E52">
            <w:pPr>
              <w:pStyle w:val="CellHeader"/>
              <w:jc w:val="center"/>
            </w:pPr>
            <w:r>
              <w:rPr>
                <w:rFonts w:cs="Times New Roman"/>
              </w:rPr>
              <w:t>Ciljana vrijednost (2016.)</w:t>
            </w:r>
          </w:p>
        </w:tc>
        <w:tc>
          <w:tcPr>
            <w:tcW w:w="1014"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476" w:type="dxa"/>
          </w:tcPr>
          <w:p w:rsidR="00505632" w:rsidRDefault="00505632" w:rsidP="00AD4E52">
            <w:pPr>
              <w:pStyle w:val="CellColumn"/>
              <w:jc w:val="left"/>
            </w:pPr>
            <w:r>
              <w:rPr>
                <w:rFonts w:cs="Times New Roman"/>
              </w:rPr>
              <w:t>Mogućnost priključenja na sustav javnog navodnjavanja</w:t>
            </w:r>
          </w:p>
        </w:tc>
        <w:tc>
          <w:tcPr>
            <w:tcW w:w="2480" w:type="dxa"/>
          </w:tcPr>
          <w:p w:rsidR="00505632" w:rsidRDefault="00505632" w:rsidP="00AD4E52">
            <w:pPr>
              <w:pStyle w:val="CellColumn"/>
              <w:jc w:val="left"/>
            </w:pPr>
            <w:r>
              <w:rPr>
                <w:rFonts w:cs="Times New Roman"/>
              </w:rPr>
              <w:t>Povećanje poljoprivrednih površina u obuhvatu infrastrukture za navodnjavanje</w:t>
            </w:r>
          </w:p>
        </w:tc>
        <w:tc>
          <w:tcPr>
            <w:tcW w:w="1005" w:type="dxa"/>
          </w:tcPr>
          <w:p w:rsidR="00505632" w:rsidRDefault="00505632" w:rsidP="00AD4E52">
            <w:pPr>
              <w:pStyle w:val="CellColumn"/>
              <w:jc w:val="right"/>
            </w:pPr>
            <w:r>
              <w:rPr>
                <w:rFonts w:cs="Times New Roman"/>
              </w:rPr>
              <w:t>ha</w:t>
            </w:r>
          </w:p>
        </w:tc>
        <w:tc>
          <w:tcPr>
            <w:tcW w:w="1014" w:type="dxa"/>
          </w:tcPr>
          <w:p w:rsidR="00505632" w:rsidRDefault="00505632" w:rsidP="00AD4E52">
            <w:pPr>
              <w:pStyle w:val="CellColumn"/>
              <w:jc w:val="right"/>
            </w:pPr>
            <w:r>
              <w:rPr>
                <w:rFonts w:cs="Times New Roman"/>
              </w:rPr>
              <w:t>16.269</w:t>
            </w:r>
          </w:p>
        </w:tc>
        <w:tc>
          <w:tcPr>
            <w:tcW w:w="1203" w:type="dxa"/>
          </w:tcPr>
          <w:p w:rsidR="00505632" w:rsidRDefault="00505632" w:rsidP="00AD4E52">
            <w:pPr>
              <w:pStyle w:val="CellColumn"/>
              <w:jc w:val="right"/>
            </w:pPr>
            <w:r>
              <w:rPr>
                <w:rFonts w:cs="Times New Roman"/>
              </w:rPr>
              <w:t>Izvještaj o provedbi NAPNAV-a (25.07.2016); Strateški plan</w:t>
            </w:r>
          </w:p>
        </w:tc>
        <w:tc>
          <w:tcPr>
            <w:tcW w:w="1014" w:type="dxa"/>
          </w:tcPr>
          <w:p w:rsidR="00505632" w:rsidRDefault="00505632" w:rsidP="00AD4E52">
            <w:pPr>
              <w:pStyle w:val="CellColumn"/>
              <w:jc w:val="right"/>
            </w:pPr>
            <w:r>
              <w:rPr>
                <w:rFonts w:cs="Times New Roman"/>
              </w:rPr>
              <w:t>22.529</w:t>
            </w:r>
          </w:p>
        </w:tc>
        <w:tc>
          <w:tcPr>
            <w:tcW w:w="1014" w:type="dxa"/>
          </w:tcPr>
          <w:p w:rsidR="00505632" w:rsidRDefault="00505632" w:rsidP="00AD4E52">
            <w:pPr>
              <w:pStyle w:val="CellColumn"/>
              <w:jc w:val="right"/>
            </w:pPr>
            <w:r>
              <w:rPr>
                <w:rFonts w:cs="Times New Roman"/>
              </w:rPr>
              <w:t>22.529</w:t>
            </w:r>
          </w:p>
        </w:tc>
      </w:tr>
    </w:tbl>
    <w:p w:rsidR="00505632" w:rsidRDefault="00505632" w:rsidP="00505632">
      <w:pPr>
        <w:jc w:val="left"/>
      </w:pPr>
    </w:p>
    <w:p w:rsidR="00505632" w:rsidRDefault="00505632" w:rsidP="00505632">
      <w:pPr>
        <w:pStyle w:val="Heading4"/>
      </w:pPr>
      <w:r>
        <w:t>K779045 PILOT PROJEKT NAVODNJAVANJA DONJA NERETVA</w:t>
      </w:r>
    </w:p>
    <w:tbl>
      <w:tblPr>
        <w:tblStyle w:val="StilTablice"/>
        <w:tblW w:w="10206" w:type="dxa"/>
        <w:jc w:val="center"/>
        <w:tblLook w:val="04A0" w:firstRow="1" w:lastRow="0" w:firstColumn="1" w:lastColumn="0" w:noHBand="0" w:noVBand="1"/>
      </w:tblPr>
      <w:tblGrid>
        <w:gridCol w:w="1859"/>
        <w:gridCol w:w="1977"/>
        <w:gridCol w:w="1967"/>
        <w:gridCol w:w="1977"/>
        <w:gridCol w:w="1210"/>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K779045-PILOT PROJEKT NAVODNJAVANJA DONJA NERETVA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97.977</w:t>
            </w:r>
          </w:p>
        </w:tc>
        <w:tc>
          <w:tcPr>
            <w:tcW w:w="2041" w:type="dxa"/>
          </w:tcPr>
          <w:p w:rsidR="00505632" w:rsidRDefault="00505632" w:rsidP="00AD4E52">
            <w:pPr>
              <w:pStyle w:val="CellColumn"/>
              <w:jc w:val="right"/>
            </w:pPr>
            <w:r>
              <w:rPr>
                <w:rFonts w:cs="Times New Roman"/>
              </w:rPr>
              <w:t>96.060</w:t>
            </w:r>
          </w:p>
        </w:tc>
        <w:tc>
          <w:tcPr>
            <w:tcW w:w="1224" w:type="dxa"/>
          </w:tcPr>
          <w:p w:rsidR="00505632" w:rsidRDefault="00505632" w:rsidP="00AD4E52">
            <w:pPr>
              <w:pStyle w:val="CellColumn"/>
              <w:jc w:val="right"/>
            </w:pPr>
            <w:r>
              <w:rPr>
                <w:rFonts w:cs="Times New Roman"/>
              </w:rPr>
              <w:t>98,0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vodama („Narodne novine“, broj 153/09.63/11, 130/11, 56/13, i 14/14); Zakon o financiranju vodnoga gospodarstva („Narodne novine“, broj 153/09, 90/11, 56/19, 154/14 i 119/15); Strategija upravljanja vodama („Narodne novine“, broj 91/08); Nacionalni projekt navodnjavanja i gospodarenja poljoprivrednim zemljištem i vodama u Republici Hrvatskoj – NAPNAV (Agronomski i Građevinski fakultet Sveučilišta u Zagrebu, srpanj 2005.); Pravilnik o upravljanju i uređenju sustava za navodnjavanje („Narodne novine“, broj 83/10 i 78/14)., Pravilnik o provedbi mjere M04. „Ulaganja u fizičku imovinu“. Podmjera 4.3. „Potpora o za ulaganja u infrastrukturu vezano uz razvoj, modernizaciju i prilagodbu poljoprivrede i šumarstva“, tip operacije 4.3.1. „Investicije u osnovnu infrastrukturu javnog navodnjavanja“ iz Program ruralnog razvoja Republike Hrvatske za razdoblje 2014.-2020. („Narodne novine“, broj 62/16)</w:t>
      </w:r>
    </w:p>
    <w:p w:rsidR="00505632" w:rsidRDefault="00505632" w:rsidP="00505632">
      <w:pPr>
        <w:pStyle w:val="Heading8"/>
        <w:jc w:val="left"/>
      </w:pPr>
      <w:r>
        <w:t>Opis aktivnosti</w:t>
      </w:r>
    </w:p>
    <w:p w:rsidR="00505632" w:rsidRDefault="00505632" w:rsidP="00505632">
      <w:r>
        <w:t>Aktivnost obuhvaća izradu detaljne projektne dokumentacije za nacionalni pilot projekt navodnjavanja Donja Neretva.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79"/>
        <w:gridCol w:w="2480"/>
        <w:gridCol w:w="1006"/>
        <w:gridCol w:w="1014"/>
        <w:gridCol w:w="1198"/>
        <w:gridCol w:w="1014"/>
        <w:gridCol w:w="1015"/>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izgrađenih vodnih građevina za navodnjavanje osim kanalske mreže</w:t>
            </w:r>
          </w:p>
        </w:tc>
        <w:tc>
          <w:tcPr>
            <w:tcW w:w="2551" w:type="dxa"/>
          </w:tcPr>
          <w:p w:rsidR="00505632" w:rsidRDefault="00505632" w:rsidP="00AD4E52">
            <w:pPr>
              <w:pStyle w:val="CellColumn"/>
              <w:jc w:val="left"/>
            </w:pPr>
            <w:r>
              <w:rPr>
                <w:rFonts w:cs="Times New Roman"/>
              </w:rPr>
              <w:t>Broj izgrađenih vodnih građevina za navodnjavanje osim kanalske mreže</w:t>
            </w:r>
          </w:p>
        </w:tc>
        <w:tc>
          <w:tcPr>
            <w:tcW w:w="1020" w:type="dxa"/>
          </w:tcPr>
          <w:p w:rsidR="00505632" w:rsidRDefault="00505632" w:rsidP="00AD4E52">
            <w:pPr>
              <w:pStyle w:val="CellColumn"/>
              <w:jc w:val="right"/>
            </w:pPr>
            <w:r>
              <w:rPr>
                <w:rFonts w:cs="Times New Roman"/>
              </w:rPr>
              <w:t>komad</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Izvještaj o Provedbi NAPNAV-a (25.07.2016.) ; Strateški plan</w:t>
            </w:r>
          </w:p>
        </w:tc>
        <w:tc>
          <w:tcPr>
            <w:tcW w:w="1020" w:type="dxa"/>
          </w:tcPr>
          <w:p w:rsidR="00505632" w:rsidRDefault="00505632" w:rsidP="00AD4E52">
            <w:pPr>
              <w:pStyle w:val="CellColumn"/>
              <w:jc w:val="right"/>
            </w:pPr>
            <w:r>
              <w:rPr>
                <w:rFonts w:cs="Times New Roman"/>
              </w:rPr>
              <w:t>17</w:t>
            </w:r>
          </w:p>
        </w:tc>
        <w:tc>
          <w:tcPr>
            <w:tcW w:w="1020" w:type="dxa"/>
          </w:tcPr>
          <w:p w:rsidR="00505632" w:rsidRDefault="00505632" w:rsidP="00AD4E52">
            <w:pPr>
              <w:pStyle w:val="CellColumn"/>
              <w:jc w:val="right"/>
            </w:pPr>
            <w:r>
              <w:rPr>
                <w:rFonts w:cs="Times New Roman"/>
              </w:rPr>
              <w:t>17</w:t>
            </w:r>
          </w:p>
        </w:tc>
      </w:tr>
    </w:tbl>
    <w:p w:rsidR="00505632" w:rsidRDefault="00505632" w:rsidP="00505632">
      <w:pPr>
        <w:jc w:val="left"/>
      </w:pPr>
    </w:p>
    <w:p w:rsidR="00505632" w:rsidRDefault="00505632" w:rsidP="00505632">
      <w:pPr>
        <w:pStyle w:val="Heading4"/>
      </w:pPr>
      <w:r>
        <w:t>K784033 SUSTAV NAVODNJAVANJA KAPINCI – VAŠKA</w:t>
      </w:r>
    </w:p>
    <w:tbl>
      <w:tblPr>
        <w:tblStyle w:val="StilTablice"/>
        <w:tblW w:w="10206" w:type="dxa"/>
        <w:jc w:val="center"/>
        <w:tblLook w:val="04A0" w:firstRow="1" w:lastRow="0" w:firstColumn="1" w:lastColumn="0" w:noHBand="0" w:noVBand="1"/>
      </w:tblPr>
      <w:tblGrid>
        <w:gridCol w:w="1859"/>
        <w:gridCol w:w="1971"/>
        <w:gridCol w:w="1976"/>
        <w:gridCol w:w="1976"/>
        <w:gridCol w:w="1209"/>
        <w:gridCol w:w="1215"/>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K784033-SUSTAV NAVODNJAVANJA KAPINCI – VAŠKA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8.479.326</w:t>
            </w:r>
          </w:p>
        </w:tc>
        <w:tc>
          <w:tcPr>
            <w:tcW w:w="2041" w:type="dxa"/>
          </w:tcPr>
          <w:p w:rsidR="00505632" w:rsidRDefault="00505632" w:rsidP="00AD4E52">
            <w:pPr>
              <w:pStyle w:val="CellColumn"/>
              <w:jc w:val="right"/>
            </w:pPr>
            <w:r>
              <w:rPr>
                <w:rFonts w:cs="Times New Roman"/>
              </w:rPr>
              <w:t>7.666.042</w:t>
            </w:r>
          </w:p>
        </w:tc>
        <w:tc>
          <w:tcPr>
            <w:tcW w:w="1224" w:type="dxa"/>
          </w:tcPr>
          <w:p w:rsidR="00505632" w:rsidRDefault="00505632" w:rsidP="00AD4E52">
            <w:pPr>
              <w:pStyle w:val="CellColumn"/>
              <w:jc w:val="right"/>
            </w:pPr>
            <w:r>
              <w:rPr>
                <w:rFonts w:cs="Times New Roman"/>
              </w:rPr>
              <w:t>90,4</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vodama („Narodne novine“, broj 153/09.63/11, 130/11, 56/13, i 14/14); Zakon o financiranju vodnoga gospodarstva („Narodne novine“, broj 153/09, 90/11, 56/19, 154/14 i 119/15); Strategija upravljanja vodama („Narodne novine“, broj 91/08); Nacionalni projekt navodnjavanja i gospodarenja poljoprivrednim zemljištem i vodama u Republici Hrvatskoj – NAPNAV (Agronomski i Građevinski fakultet Sveučilišta u Zagrebu, srpanj 2005.); Pravilnik o upravljanju i uređenju sustava za navodnjavanje („Narodne novine“, broj 83/10 i 78/14)., Pravilnik o provedbi mjere M04. „Ulaganja u fizičku imovinu“. Podmjera 4.3. „Potpora o za ulaganja u infrastrukturu vezano uz razvoj, modernizaciju i prilagodbu poljoprivrede i šumarstva“, tip operacije 4.3.1. „Investicije u osnovnu infrastrukturu javnog navodnjavanja“ iz Program ruralnog razvoja Republike Hrvatske za razdoblje 2014.-2020. („Narodne novine“, broj 62/16)</w:t>
      </w:r>
    </w:p>
    <w:p w:rsidR="00505632" w:rsidRDefault="00505632" w:rsidP="00505632">
      <w:pPr>
        <w:pStyle w:val="Heading8"/>
        <w:jc w:val="left"/>
      </w:pPr>
      <w:r>
        <w:t>Opis aktivnosti</w:t>
      </w:r>
    </w:p>
    <w:p w:rsidR="00505632" w:rsidRDefault="00505632" w:rsidP="00505632">
      <w:r>
        <w:t>Aktivnost obuhvaća izgradnju sustava navodnjavanja Kapinci – Vaška u Virovitičko podravskoj županiji okupnog obuhvata 1260 ha.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79"/>
        <w:gridCol w:w="2480"/>
        <w:gridCol w:w="1006"/>
        <w:gridCol w:w="1014"/>
        <w:gridCol w:w="1198"/>
        <w:gridCol w:w="1014"/>
        <w:gridCol w:w="1015"/>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izgrađenih vodnih građevina za navodnjavanje osim kanalske mreže</w:t>
            </w:r>
          </w:p>
        </w:tc>
        <w:tc>
          <w:tcPr>
            <w:tcW w:w="2551" w:type="dxa"/>
          </w:tcPr>
          <w:p w:rsidR="00505632" w:rsidRDefault="00505632" w:rsidP="00AD4E52">
            <w:pPr>
              <w:pStyle w:val="CellColumn"/>
              <w:jc w:val="left"/>
            </w:pPr>
            <w:r>
              <w:rPr>
                <w:rFonts w:cs="Times New Roman"/>
              </w:rPr>
              <w:t>Broj izgrađenih vodnih građevina za navodnjavanje osim kanalske mreže</w:t>
            </w:r>
          </w:p>
        </w:tc>
        <w:tc>
          <w:tcPr>
            <w:tcW w:w="1020" w:type="dxa"/>
          </w:tcPr>
          <w:p w:rsidR="00505632" w:rsidRDefault="00505632" w:rsidP="00AD4E52">
            <w:pPr>
              <w:pStyle w:val="CellColumn"/>
              <w:jc w:val="right"/>
            </w:pPr>
            <w:r>
              <w:rPr>
                <w:rFonts w:cs="Times New Roman"/>
              </w:rPr>
              <w:t>komad</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Izvještaj o Provedbi NAPNAV-a (25.07.2016.) ; Strateški plan</w:t>
            </w:r>
          </w:p>
        </w:tc>
        <w:tc>
          <w:tcPr>
            <w:tcW w:w="1020" w:type="dxa"/>
          </w:tcPr>
          <w:p w:rsidR="00505632" w:rsidRDefault="00505632" w:rsidP="00AD4E52">
            <w:pPr>
              <w:pStyle w:val="CellColumn"/>
              <w:jc w:val="right"/>
            </w:pPr>
            <w:r>
              <w:rPr>
                <w:rFonts w:cs="Times New Roman"/>
              </w:rPr>
              <w:t>17</w:t>
            </w:r>
          </w:p>
        </w:tc>
        <w:tc>
          <w:tcPr>
            <w:tcW w:w="1020" w:type="dxa"/>
          </w:tcPr>
          <w:p w:rsidR="00505632" w:rsidRDefault="00505632" w:rsidP="00AD4E52">
            <w:pPr>
              <w:pStyle w:val="CellColumn"/>
              <w:jc w:val="right"/>
            </w:pPr>
            <w:r>
              <w:rPr>
                <w:rFonts w:cs="Times New Roman"/>
              </w:rPr>
              <w:t>17</w:t>
            </w:r>
          </w:p>
        </w:tc>
      </w:tr>
    </w:tbl>
    <w:p w:rsidR="00505632" w:rsidRDefault="00505632" w:rsidP="00505632">
      <w:pPr>
        <w:jc w:val="left"/>
      </w:pPr>
    </w:p>
    <w:p w:rsidR="00505632" w:rsidRDefault="00505632" w:rsidP="00505632">
      <w:pPr>
        <w:pStyle w:val="Heading4"/>
      </w:pPr>
      <w:r>
        <w:t>T779042 SUSTAV ZA NAVODNJAVANJE</w:t>
      </w:r>
    </w:p>
    <w:tbl>
      <w:tblPr>
        <w:tblStyle w:val="StilTablice"/>
        <w:tblW w:w="10206" w:type="dxa"/>
        <w:jc w:val="center"/>
        <w:tblLook w:val="04A0" w:firstRow="1" w:lastRow="0" w:firstColumn="1" w:lastColumn="0" w:noHBand="0" w:noVBand="1"/>
      </w:tblPr>
      <w:tblGrid>
        <w:gridCol w:w="1837"/>
        <w:gridCol w:w="1979"/>
        <w:gridCol w:w="1982"/>
        <w:gridCol w:w="1982"/>
        <w:gridCol w:w="1210"/>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T779042-SUSTAV ZA NAVODNJAVANJE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5.083.582</w:t>
            </w:r>
          </w:p>
        </w:tc>
        <w:tc>
          <w:tcPr>
            <w:tcW w:w="2041" w:type="dxa"/>
          </w:tcPr>
          <w:p w:rsidR="00505632" w:rsidRDefault="00505632" w:rsidP="00AD4E52">
            <w:pPr>
              <w:pStyle w:val="CellColumn"/>
              <w:jc w:val="right"/>
            </w:pPr>
            <w:r>
              <w:rPr>
                <w:rFonts w:cs="Times New Roman"/>
              </w:rPr>
              <w:t>4.952.154</w:t>
            </w:r>
          </w:p>
        </w:tc>
        <w:tc>
          <w:tcPr>
            <w:tcW w:w="1224" w:type="dxa"/>
          </w:tcPr>
          <w:p w:rsidR="00505632" w:rsidRDefault="00505632" w:rsidP="00AD4E52">
            <w:pPr>
              <w:pStyle w:val="CellColumn"/>
              <w:jc w:val="right"/>
            </w:pPr>
            <w:r>
              <w:rPr>
                <w:rFonts w:cs="Times New Roman"/>
              </w:rPr>
              <w:t>97,4</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vodama („Narodne novine“, broj 153/09.63/11, 130/11, 56/13, i 14/14); Zakon o financiranju vodnoga gospodarstva („Narodne novine“, broj 153/09, 90/11, 56/19, 154/14 i 119/15); Strategija upravljanja vodama („Narodne novine“, broj 91/08); Nacionalni projekt navodnjavanja i gospodarenja poljoprivrednim zemljištem i vodama u Republici Hrvatskoj – NAPNAV (Agronomski i Građevinski fakultet Sveučilišta u Zagrebu, srpanj 2005.); Pravilnik o upravljanju i uređenju sustava za navodnjavanje („Narodne novine“, broj 83/10 i 78/14)., Pravilnik o provedbi mjere M04. „Ulaganja u fizičku imovinu“. Podmjera 4.3. „Potpora o za ulaganja u infrastrukturu vezano uz razvoj, modernizaciju i prilagodbu poljoprivrede i šumarstva“, tip operacije 4.3.1. „Investicije u osnovnu infrastrukturu javnog navodnjavanja“ iz Program ruralnog razvoja Republike Hrvatske za razdoblje 2014.-2020. („Narodne novine“, broj 62/16)</w:t>
      </w:r>
    </w:p>
    <w:p w:rsidR="00505632" w:rsidRDefault="00505632" w:rsidP="00505632">
      <w:pPr>
        <w:pStyle w:val="Heading8"/>
        <w:jc w:val="left"/>
      </w:pPr>
      <w:r>
        <w:t>Opis aktivnosti</w:t>
      </w:r>
    </w:p>
    <w:p w:rsidR="00505632" w:rsidRDefault="00505632" w:rsidP="00505632">
      <w:r>
        <w:t>Aktivnost obuhvaća financiranje izrade studijske i projektne dokumentacije za sustave javnog navodnjavanja kao pripremu za ishođenje potrebnih dozvola za gradnju i prijavu projekata javnog navodnjavanja za financiranje sredstvima Europskog poljoprivrednog fonda za ruralni razvoj, putem Programa ruralnog razvoja Republike Hrvatske za razdoblje 2014-2020., kroz natječaje Agencije za plaćanje u poljoprivredi, ribarstvu i ruralnom razvoju, za provedbu podmjere 4.3. “Potpora za ulaganja u infrastrukturu vezano uz razvoj, modernizaciju i prilagodbu poljoprivrede i šumarstva”, tip operacije 4.3.1. “Investicije u osnovnu infrastrukturu javnog navodnjavanja”.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79"/>
        <w:gridCol w:w="2480"/>
        <w:gridCol w:w="1006"/>
        <w:gridCol w:w="1014"/>
        <w:gridCol w:w="1198"/>
        <w:gridCol w:w="1014"/>
        <w:gridCol w:w="1015"/>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izgrađenih vodnih građevina za navodnjavanje osim kanalske mreže</w:t>
            </w:r>
          </w:p>
        </w:tc>
        <w:tc>
          <w:tcPr>
            <w:tcW w:w="2551" w:type="dxa"/>
          </w:tcPr>
          <w:p w:rsidR="00505632" w:rsidRDefault="00505632" w:rsidP="00AD4E52">
            <w:pPr>
              <w:pStyle w:val="CellColumn"/>
              <w:jc w:val="left"/>
            </w:pPr>
            <w:r>
              <w:rPr>
                <w:rFonts w:cs="Times New Roman"/>
              </w:rPr>
              <w:t>Broj izgrađenih vodnih građevina za navodnjavanje osim kanalske mreže</w:t>
            </w:r>
          </w:p>
        </w:tc>
        <w:tc>
          <w:tcPr>
            <w:tcW w:w="1020" w:type="dxa"/>
          </w:tcPr>
          <w:p w:rsidR="00505632" w:rsidRDefault="00505632" w:rsidP="00AD4E52">
            <w:pPr>
              <w:pStyle w:val="CellColumn"/>
              <w:jc w:val="right"/>
            </w:pPr>
            <w:r>
              <w:rPr>
                <w:rFonts w:cs="Times New Roman"/>
              </w:rPr>
              <w:t>komad</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Izvještaj o Provedbi NAPNAV-a (25.07.2016.) ; Strateški plan</w:t>
            </w:r>
          </w:p>
        </w:tc>
        <w:tc>
          <w:tcPr>
            <w:tcW w:w="1020" w:type="dxa"/>
          </w:tcPr>
          <w:p w:rsidR="00505632" w:rsidRDefault="00505632" w:rsidP="00AD4E52">
            <w:pPr>
              <w:pStyle w:val="CellColumn"/>
              <w:jc w:val="right"/>
            </w:pPr>
            <w:r>
              <w:rPr>
                <w:rFonts w:cs="Times New Roman"/>
              </w:rPr>
              <w:t>17</w:t>
            </w:r>
          </w:p>
        </w:tc>
        <w:tc>
          <w:tcPr>
            <w:tcW w:w="1020" w:type="dxa"/>
          </w:tcPr>
          <w:p w:rsidR="00505632" w:rsidRDefault="00505632" w:rsidP="00AD4E52">
            <w:pPr>
              <w:pStyle w:val="CellColumn"/>
              <w:jc w:val="right"/>
            </w:pPr>
            <w:r>
              <w:rPr>
                <w:rFonts w:cs="Times New Roman"/>
              </w:rPr>
              <w:t>17</w:t>
            </w:r>
          </w:p>
        </w:tc>
      </w:tr>
    </w:tbl>
    <w:p w:rsidR="00505632" w:rsidRDefault="00505632" w:rsidP="00505632">
      <w:pPr>
        <w:jc w:val="left"/>
      </w:pPr>
    </w:p>
    <w:p w:rsidR="00505632" w:rsidRDefault="00505632" w:rsidP="00505632">
      <w:pPr>
        <w:pStyle w:val="Heading3"/>
      </w:pPr>
      <w:r>
        <w:rPr>
          <w:rFonts w:cs="Times New Roman"/>
        </w:rPr>
        <w:t>3225 RAZVOJ ENERGETSKOG SUSTAVA I GOSPODARENJA MINERALNIM SIROVINAMA</w:t>
      </w:r>
    </w:p>
    <w:tbl>
      <w:tblPr>
        <w:tblStyle w:val="StilTablice"/>
        <w:tblW w:w="10206" w:type="dxa"/>
        <w:jc w:val="center"/>
        <w:tblLook w:val="04A0" w:firstRow="1" w:lastRow="0" w:firstColumn="1" w:lastColumn="0" w:noHBand="0" w:noVBand="1"/>
      </w:tblPr>
      <w:tblGrid>
        <w:gridCol w:w="1682"/>
        <w:gridCol w:w="2026"/>
        <w:gridCol w:w="2028"/>
        <w:gridCol w:w="2027"/>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3225-RAZVOJ ENERGETSKOG SUSTAVA I GOSPODARENJA MINERALNIM SIROVINAMA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35.584.842</w:t>
            </w:r>
          </w:p>
        </w:tc>
        <w:tc>
          <w:tcPr>
            <w:tcW w:w="2041" w:type="dxa"/>
          </w:tcPr>
          <w:p w:rsidR="00505632" w:rsidRDefault="00505632" w:rsidP="00AD4E52">
            <w:pPr>
              <w:pStyle w:val="CellColumn"/>
              <w:jc w:val="right"/>
            </w:pPr>
            <w:r>
              <w:rPr>
                <w:rFonts w:cs="Times New Roman"/>
              </w:rPr>
              <w:t>9.744.512</w:t>
            </w:r>
          </w:p>
        </w:tc>
        <w:tc>
          <w:tcPr>
            <w:tcW w:w="1224" w:type="dxa"/>
          </w:tcPr>
          <w:p w:rsidR="00505632" w:rsidRDefault="00505632" w:rsidP="00AD4E52">
            <w:pPr>
              <w:pStyle w:val="CellColumn"/>
              <w:jc w:val="right"/>
            </w:pPr>
            <w:r>
              <w:rPr>
                <w:rFonts w:cs="Times New Roman"/>
              </w:rPr>
              <w:t>27,4</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r>
        <w:t>Održivost energetskog sustava izazov je suvremenog razvoja. Energetske djelatnosti sudjeluju značajno u ukupnim antropogenim emisijama stakleničkih plinova Republike Hrvatske. Nužno je promovirati korištenje „čistih“ tehnologija u proizvodnji toplinske, električne i energije za motorne pogone. Kako bi ostvarili Kyotskim protokolom preuzeti cilj, ali i obveze međunarodnog sporazuma o emisijama stakleničkih plinova potrebno je poticati ulaganja u energetsku učinkovitost, obnovljive izvore energije i tehnologije s malom emisijom CO2 i ostalih stakleničkih plinova. S ciljem efikasnijeg gospodarenja energetskim sirovinama potrebno je sustavno razraditi potencijal kojeg Republika Hrvatska ima kako u potencijalnim nalazištima ugljikovodika na kopnu i moru, ali i geotermalnim izvorima koji sve više dobivaju na značenju. Također, važan segment postaje i hvatanje i skladištenje CO2 za što postoji potencijal i u Republici Hrvatskoj, iako tehnologiju vezanu uz ovu temu još uvijek treba dodatno razviti i usavršiti.</w:t>
      </w:r>
    </w:p>
    <w:p w:rsidR="00505632" w:rsidRDefault="00505632" w:rsidP="00505632">
      <w:pPr>
        <w:pStyle w:val="Heading8"/>
        <w:jc w:val="left"/>
      </w:pPr>
      <w:r>
        <w:t>Cilj 1. Povećanje udjela obnovljivih izvora energije i energetske učinkovitosti te daljnje usklađivanje sa pravnom stečevinom Europske unije</w:t>
      </w:r>
    </w:p>
    <w:p w:rsidR="00505632" w:rsidRDefault="00505632" w:rsidP="00505632">
      <w:pPr>
        <w:pStyle w:val="Heading8"/>
        <w:jc w:val="left"/>
      </w:pPr>
      <w:r>
        <w:t>Opis provedbe cilja programa</w:t>
      </w:r>
    </w:p>
    <w:p w:rsidR="00505632" w:rsidRDefault="00505632" w:rsidP="00505632">
      <w:r>
        <w:t>Nizom dokumenata radit će se na povećanju udjela obnovljivih izvora energije u konačnoj bruto neposrednoj potrošnji te energetske učinkovitosti. Provest će se daljnje usklađivanje energetskog sektora sukladno kako Trećem paketu energetskih zakona Europske unije tako i primjenom obvezujućih uredbi Europske komisije koje su u postupku donošenja.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Udio energije iz obnovljivih izvora energije u bruto neposrednoj potrošnji energije</w:t>
            </w:r>
          </w:p>
        </w:tc>
        <w:tc>
          <w:tcPr>
            <w:tcW w:w="2551" w:type="dxa"/>
          </w:tcPr>
          <w:p w:rsidR="00505632" w:rsidRDefault="00505632" w:rsidP="00AD4E52">
            <w:pPr>
              <w:pStyle w:val="CellColumn"/>
              <w:jc w:val="left"/>
            </w:pPr>
            <w:r>
              <w:rPr>
                <w:rFonts w:cs="Times New Roman"/>
              </w:rPr>
              <w:t>Udio energije iz obnovljivih izvora energije u bruto neposrednoj potrošnji energije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13,3</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28</w:t>
            </w:r>
          </w:p>
        </w:tc>
        <w:tc>
          <w:tcPr>
            <w:tcW w:w="1020" w:type="dxa"/>
          </w:tcPr>
          <w:p w:rsidR="00505632" w:rsidRDefault="00505632" w:rsidP="00AD4E52">
            <w:pPr>
              <w:pStyle w:val="CellColumn"/>
              <w:jc w:val="right"/>
            </w:pPr>
            <w:r>
              <w:rPr>
                <w:rFonts w:cs="Times New Roman"/>
              </w:rPr>
              <w:t>28,5</w:t>
            </w:r>
          </w:p>
        </w:tc>
      </w:tr>
    </w:tbl>
    <w:p w:rsidR="00505632" w:rsidRDefault="00505632" w:rsidP="00505632">
      <w:pPr>
        <w:pStyle w:val="Heading4"/>
      </w:pPr>
    </w:p>
    <w:p w:rsidR="00505632" w:rsidRDefault="00505632" w:rsidP="00505632">
      <w:pPr>
        <w:pStyle w:val="Heading4"/>
      </w:pPr>
      <w:r>
        <w:t>A784028 NER300 EUROPSKA NAGRADA ZA INOVATIVNE TEHNOLOGIJE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A784028-NER300 EUROPSKA NAGRADA ZA INOVATIVNE TEHNOLOGIJE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25.000.000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Sredstva iz Programa NER300 na temelju uvjeta iz Odluke Europske komisije (»Decision C(2014) 4493 final-the »award Decision«)</w:t>
      </w:r>
    </w:p>
    <w:p w:rsidR="00505632" w:rsidRDefault="00505632" w:rsidP="00505632">
      <w:pPr>
        <w:pStyle w:val="Heading8"/>
        <w:jc w:val="left"/>
      </w:pPr>
      <w:r>
        <w:t>Opis aktivnosti</w:t>
      </w:r>
    </w:p>
    <w:p w:rsidR="00505632" w:rsidRDefault="00505632" w:rsidP="00505632">
      <w:r>
        <w:t>Projekt »HR GEOc Geothermae«, izgradnja geotermalnog proizvodnog postrojenja za proizvodnju električne i toplinske enrgije</w:t>
      </w:r>
    </w:p>
    <w:p w:rsidR="00505632" w:rsidRDefault="00505632" w:rsidP="00505632">
      <w:pPr>
        <w:pStyle w:val="Heading8"/>
        <w:jc w:val="left"/>
      </w:pPr>
      <w:r>
        <w:t>Pokazatelji rezultata</w:t>
      </w:r>
    </w:p>
    <w:tbl>
      <w:tblPr>
        <w:tblStyle w:val="StilTablice"/>
        <w:tblW w:w="9219" w:type="dxa"/>
        <w:jc w:val="center"/>
        <w:tblLook w:val="04A0" w:firstRow="1" w:lastRow="0" w:firstColumn="1" w:lastColumn="0" w:noHBand="0" w:noVBand="1"/>
      </w:tblPr>
      <w:tblGrid>
        <w:gridCol w:w="2259"/>
        <w:gridCol w:w="2287"/>
        <w:gridCol w:w="975"/>
        <w:gridCol w:w="1431"/>
        <w:gridCol w:w="1264"/>
        <w:gridCol w:w="1003"/>
      </w:tblGrid>
      <w:tr w:rsidR="00505632" w:rsidTr="00AD4E52">
        <w:trPr>
          <w:jc w:val="center"/>
        </w:trPr>
        <w:tc>
          <w:tcPr>
            <w:tcW w:w="2259" w:type="dxa"/>
            <w:shd w:val="clear" w:color="auto" w:fill="B5C0D8"/>
          </w:tcPr>
          <w:p w:rsidR="00505632" w:rsidRDefault="00505632" w:rsidP="00AD4E52">
            <w:pPr>
              <w:jc w:val="center"/>
            </w:pPr>
            <w:r>
              <w:t>Pokazatelj rezultata</w:t>
            </w:r>
          </w:p>
        </w:tc>
        <w:tc>
          <w:tcPr>
            <w:tcW w:w="2287" w:type="dxa"/>
            <w:shd w:val="clear" w:color="auto" w:fill="B5C0D8"/>
          </w:tcPr>
          <w:p w:rsidR="00505632" w:rsidRDefault="00505632" w:rsidP="00AD4E52">
            <w:pPr>
              <w:pStyle w:val="CellHeader"/>
              <w:jc w:val="center"/>
            </w:pPr>
            <w:r>
              <w:rPr>
                <w:rFonts w:cs="Times New Roman"/>
              </w:rPr>
              <w:t>Definicija</w:t>
            </w:r>
          </w:p>
        </w:tc>
        <w:tc>
          <w:tcPr>
            <w:tcW w:w="975" w:type="dxa"/>
            <w:shd w:val="clear" w:color="auto" w:fill="B5C0D8"/>
          </w:tcPr>
          <w:p w:rsidR="00505632" w:rsidRDefault="00505632" w:rsidP="00AD4E52">
            <w:pPr>
              <w:pStyle w:val="CellHeader"/>
              <w:jc w:val="center"/>
            </w:pPr>
            <w:r>
              <w:rPr>
                <w:rFonts w:cs="Times New Roman"/>
              </w:rPr>
              <w:t>Jedinica</w:t>
            </w:r>
          </w:p>
        </w:tc>
        <w:tc>
          <w:tcPr>
            <w:tcW w:w="1431" w:type="dxa"/>
            <w:shd w:val="clear" w:color="auto" w:fill="B5C0D8"/>
          </w:tcPr>
          <w:p w:rsidR="00505632" w:rsidRDefault="00505632" w:rsidP="00AD4E52">
            <w:pPr>
              <w:pStyle w:val="CellHeader"/>
              <w:jc w:val="center"/>
            </w:pPr>
            <w:r>
              <w:rPr>
                <w:rFonts w:cs="Times New Roman"/>
              </w:rPr>
              <w:t>Polazna vrijednost</w:t>
            </w:r>
          </w:p>
        </w:tc>
        <w:tc>
          <w:tcPr>
            <w:tcW w:w="1264" w:type="dxa"/>
            <w:shd w:val="clear" w:color="auto" w:fill="B5C0D8"/>
          </w:tcPr>
          <w:p w:rsidR="00505632" w:rsidRDefault="00505632" w:rsidP="00AD4E52">
            <w:pPr>
              <w:pStyle w:val="CellHeader"/>
              <w:jc w:val="center"/>
            </w:pPr>
            <w:r>
              <w:rPr>
                <w:rFonts w:cs="Times New Roman"/>
              </w:rPr>
              <w:t>Ciljana vrijednost (2016.)</w:t>
            </w:r>
          </w:p>
        </w:tc>
        <w:tc>
          <w:tcPr>
            <w:tcW w:w="1003"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259" w:type="dxa"/>
          </w:tcPr>
          <w:p w:rsidR="00505632" w:rsidRDefault="00505632" w:rsidP="00AD4E52">
            <w:pPr>
              <w:pStyle w:val="CellColumn"/>
              <w:jc w:val="left"/>
            </w:pPr>
            <w:r>
              <w:rPr>
                <w:rFonts w:cs="Times New Roman"/>
              </w:rPr>
              <w:t>Izvršenje</w:t>
            </w:r>
          </w:p>
        </w:tc>
        <w:tc>
          <w:tcPr>
            <w:tcW w:w="2287" w:type="dxa"/>
          </w:tcPr>
          <w:p w:rsidR="00505632" w:rsidRDefault="00505632" w:rsidP="00AD4E52">
            <w:pPr>
              <w:pStyle w:val="CellColumn"/>
              <w:jc w:val="left"/>
            </w:pPr>
            <w:r>
              <w:rPr>
                <w:rFonts w:cs="Times New Roman"/>
              </w:rPr>
              <w:t>Povlačenje sredstava iz EU programa za pilot (inovativno) postrojenje</w:t>
            </w:r>
          </w:p>
        </w:tc>
        <w:tc>
          <w:tcPr>
            <w:tcW w:w="975" w:type="dxa"/>
          </w:tcPr>
          <w:p w:rsidR="00505632" w:rsidRDefault="00505632" w:rsidP="00AD4E52">
            <w:pPr>
              <w:pStyle w:val="CellColumn"/>
              <w:jc w:val="right"/>
            </w:pPr>
            <w:r>
              <w:rPr>
                <w:rFonts w:cs="Times New Roman"/>
              </w:rPr>
              <w:t>kn</w:t>
            </w:r>
          </w:p>
        </w:tc>
        <w:tc>
          <w:tcPr>
            <w:tcW w:w="1431" w:type="dxa"/>
          </w:tcPr>
          <w:p w:rsidR="00505632" w:rsidRDefault="00505632" w:rsidP="00AD4E52">
            <w:pPr>
              <w:pStyle w:val="CellColumn"/>
              <w:jc w:val="right"/>
            </w:pPr>
            <w:r>
              <w:rPr>
                <w:rFonts w:cs="Times New Roman"/>
              </w:rPr>
              <w:t xml:space="preserve">14.740.181,00 EUR </w:t>
            </w:r>
          </w:p>
          <w:p w:rsidR="00505632" w:rsidRDefault="00505632" w:rsidP="00AD4E52">
            <w:pPr>
              <w:pStyle w:val="CellColumn"/>
              <w:jc w:val="right"/>
            </w:pPr>
            <w:r>
              <w:rPr>
                <w:rFonts w:cs="Times New Roman"/>
              </w:rPr>
              <w:t>(110.250.000,00 kn)</w:t>
            </w:r>
          </w:p>
        </w:tc>
        <w:tc>
          <w:tcPr>
            <w:tcW w:w="1264" w:type="dxa"/>
          </w:tcPr>
          <w:p w:rsidR="00505632" w:rsidRDefault="00505632" w:rsidP="00AD4E52">
            <w:pPr>
              <w:pStyle w:val="CellColumn"/>
              <w:jc w:val="right"/>
            </w:pPr>
            <w:r>
              <w:rPr>
                <w:rFonts w:cs="Times New Roman"/>
              </w:rPr>
              <w:t>25.000.000,00 kn</w:t>
            </w:r>
          </w:p>
        </w:tc>
        <w:tc>
          <w:tcPr>
            <w:tcW w:w="1003" w:type="dxa"/>
          </w:tcPr>
          <w:p w:rsidR="00505632" w:rsidRDefault="00505632" w:rsidP="00AD4E52">
            <w:pPr>
              <w:pStyle w:val="CellColumn"/>
              <w:jc w:val="right"/>
            </w:pPr>
            <w:r>
              <w:rPr>
                <w:rFonts w:cs="Times New Roman"/>
              </w:rPr>
              <w:t>0,00</w:t>
            </w:r>
          </w:p>
        </w:tc>
      </w:tr>
    </w:tbl>
    <w:p w:rsidR="00505632" w:rsidRDefault="00505632" w:rsidP="00505632">
      <w:pPr>
        <w:jc w:val="left"/>
      </w:pPr>
    </w:p>
    <w:p w:rsidR="00505632" w:rsidRDefault="00505632" w:rsidP="00505632">
      <w:pPr>
        <w:pStyle w:val="Heading4"/>
      </w:pPr>
      <w:r>
        <w:t>A784029 CA EED - USMJERENA AKCIJA ZA DIREKTIVU O ENERGETSKOJ UČINKOVITOSTI</w:t>
      </w:r>
    </w:p>
    <w:tbl>
      <w:tblPr>
        <w:tblStyle w:val="StilTablice"/>
        <w:tblW w:w="10206" w:type="dxa"/>
        <w:jc w:val="center"/>
        <w:tblLook w:val="04A0" w:firstRow="1" w:lastRow="0" w:firstColumn="1" w:lastColumn="0" w:noHBand="0" w:noVBand="1"/>
      </w:tblPr>
      <w:tblGrid>
        <w:gridCol w:w="1670"/>
        <w:gridCol w:w="2031"/>
        <w:gridCol w:w="2029"/>
        <w:gridCol w:w="2031"/>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A784029-CA EED - USMJERENA AKCIJA ZA DIREKTIVU O ENERGETSKOJ UČINKOVITOSTI</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93.086</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Projekt CA EDD za implementaciju Direktive 2012/27/EU  o energetskoj učinkovitosti</w:t>
      </w:r>
    </w:p>
    <w:p w:rsidR="00505632" w:rsidRDefault="00505632" w:rsidP="00505632">
      <w:pPr>
        <w:pStyle w:val="Heading8"/>
        <w:jc w:val="left"/>
      </w:pPr>
      <w:r>
        <w:t>Opis aktivnosti</w:t>
      </w:r>
    </w:p>
    <w:p w:rsidR="00505632" w:rsidRDefault="00505632" w:rsidP="00505632">
      <w:r>
        <w:t>trogodišnji projekt; obveza održavanja šest radionica u svrhu pomoći pri prenošenju EU zakonodavstva na nacionalnu razinu</w:t>
      </w:r>
    </w:p>
    <w:p w:rsidR="00505632" w:rsidRDefault="00505632" w:rsidP="00505632">
      <w:pPr>
        <w:pStyle w:val="Heading8"/>
        <w:jc w:val="left"/>
      </w:pPr>
      <w:r>
        <w:t>Pokazatelji rezultata</w:t>
      </w:r>
    </w:p>
    <w:tbl>
      <w:tblPr>
        <w:tblStyle w:val="StilTablice"/>
        <w:tblW w:w="9186" w:type="dxa"/>
        <w:jc w:val="center"/>
        <w:tblLook w:val="04A0" w:firstRow="1" w:lastRow="0" w:firstColumn="1" w:lastColumn="0" w:noHBand="0" w:noVBand="1"/>
      </w:tblPr>
      <w:tblGrid>
        <w:gridCol w:w="2553"/>
        <w:gridCol w:w="2553"/>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2553"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Broj održanih  radionica (6)  i konačno izvješće u EK (1)</w:t>
            </w:r>
          </w:p>
        </w:tc>
        <w:tc>
          <w:tcPr>
            <w:tcW w:w="2553" w:type="dxa"/>
          </w:tcPr>
          <w:p w:rsidR="00505632" w:rsidRDefault="00505632" w:rsidP="00AD4E52">
            <w:pPr>
              <w:pStyle w:val="CellColumn"/>
              <w:jc w:val="left"/>
            </w:pPr>
            <w:r>
              <w:rPr>
                <w:rFonts w:cs="Times New Roman"/>
              </w:rPr>
              <w:t>izvršenje trogodišnjeg projekta</w:t>
            </w:r>
          </w:p>
        </w:tc>
        <w:tc>
          <w:tcPr>
            <w:tcW w:w="1020" w:type="dxa"/>
          </w:tcPr>
          <w:p w:rsidR="00505632" w:rsidRDefault="00505632" w:rsidP="00AD4E52">
            <w:pPr>
              <w:pStyle w:val="CellColumn"/>
              <w:jc w:val="right"/>
            </w:pPr>
            <w:r>
              <w:rPr>
                <w:rFonts w:cs="Times New Roman"/>
              </w:rPr>
              <w:t>kn</w:t>
            </w:r>
          </w:p>
        </w:tc>
        <w:tc>
          <w:tcPr>
            <w:tcW w:w="1020" w:type="dxa"/>
          </w:tcPr>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100.000,00</w:t>
            </w:r>
          </w:p>
        </w:tc>
        <w:tc>
          <w:tcPr>
            <w:tcW w:w="1020" w:type="dxa"/>
          </w:tcPr>
          <w:p w:rsidR="00505632" w:rsidRDefault="00505632" w:rsidP="00AD4E52">
            <w:pPr>
              <w:pStyle w:val="CellColumn"/>
              <w:jc w:val="right"/>
            </w:pPr>
            <w:r>
              <w:rPr>
                <w:rFonts w:cs="Times New Roman"/>
              </w:rPr>
              <w:t>1.811,00</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A784030 CA RES II – USMJERENA AKCIJA ZA DIREKTIVU O OBNOVLJIVIM IZVORIMA ENERGIJE II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A784030-CA RES II – USMJERENA AKCIJA ZA DIREKTIVU O OBNOVLJIVIM IZVORIMA ENERGIJE II</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106.440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Projekt CA RES II se provodi u svrhu implementacije Direktive 2009/28/EZ o poticanju korištenja obnovljivih izvora energije</w:t>
      </w:r>
    </w:p>
    <w:p w:rsidR="00505632" w:rsidRDefault="00505632" w:rsidP="00505632">
      <w:pPr>
        <w:pStyle w:val="Heading8"/>
        <w:jc w:val="left"/>
      </w:pPr>
      <w:r>
        <w:t>Opis aktivnosti</w:t>
      </w:r>
    </w:p>
    <w:p w:rsidR="00505632" w:rsidRDefault="00505632" w:rsidP="00505632">
      <w:r>
        <w:t>trogodišnji projekt; obveza održavanja šest radionica u svrhu pomoći pri prenošenju EU zakonodavstva na nacionalnu razinu</w:t>
      </w:r>
    </w:p>
    <w:p w:rsidR="00505632" w:rsidRDefault="00505632" w:rsidP="00505632">
      <w:pPr>
        <w:pStyle w:val="Heading8"/>
        <w:jc w:val="left"/>
      </w:pPr>
      <w:r>
        <w:t>Pokazatelji rezultata</w:t>
      </w:r>
    </w:p>
    <w:tbl>
      <w:tblPr>
        <w:tblStyle w:val="StilTablice"/>
        <w:tblW w:w="9186" w:type="dxa"/>
        <w:jc w:val="center"/>
        <w:tblLook w:val="04A0" w:firstRow="1" w:lastRow="0" w:firstColumn="1" w:lastColumn="0" w:noHBand="0" w:noVBand="1"/>
      </w:tblPr>
      <w:tblGrid>
        <w:gridCol w:w="2553"/>
        <w:gridCol w:w="2553"/>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2553"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Broj održanih  radionica (6)  i konačno izvješće u EK (1)</w:t>
            </w:r>
          </w:p>
        </w:tc>
        <w:tc>
          <w:tcPr>
            <w:tcW w:w="2553" w:type="dxa"/>
          </w:tcPr>
          <w:p w:rsidR="00505632" w:rsidRDefault="00505632" w:rsidP="00AD4E52">
            <w:pPr>
              <w:pStyle w:val="CellColumn"/>
              <w:jc w:val="left"/>
            </w:pPr>
            <w:r>
              <w:rPr>
                <w:rFonts w:cs="Times New Roman"/>
              </w:rPr>
              <w:t>izvršenje trogodišnjeg projekta</w:t>
            </w:r>
          </w:p>
        </w:tc>
        <w:tc>
          <w:tcPr>
            <w:tcW w:w="1020" w:type="dxa"/>
          </w:tcPr>
          <w:p w:rsidR="00505632" w:rsidRDefault="00505632" w:rsidP="00AD4E52">
            <w:pPr>
              <w:pStyle w:val="CellColumn"/>
              <w:jc w:val="right"/>
            </w:pPr>
            <w:r>
              <w:rPr>
                <w:rFonts w:cs="Times New Roman"/>
              </w:rPr>
              <w:t>kn</w:t>
            </w:r>
          </w:p>
        </w:tc>
        <w:tc>
          <w:tcPr>
            <w:tcW w:w="1020" w:type="dxa"/>
          </w:tcPr>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106.440,00</w:t>
            </w:r>
          </w:p>
        </w:tc>
        <w:tc>
          <w:tcPr>
            <w:tcW w:w="1020" w:type="dxa"/>
          </w:tcPr>
          <w:p w:rsidR="00505632" w:rsidRDefault="00505632" w:rsidP="00AD4E52">
            <w:pPr>
              <w:pStyle w:val="CellColumn"/>
              <w:jc w:val="right"/>
            </w:pPr>
            <w:r>
              <w:rPr>
                <w:rFonts w:cs="Times New Roman"/>
              </w:rPr>
              <w:t>131.750,78</w:t>
            </w:r>
          </w:p>
        </w:tc>
      </w:tr>
    </w:tbl>
    <w:p w:rsidR="00505632" w:rsidRDefault="00505632" w:rsidP="00505632">
      <w:pPr>
        <w:jc w:val="left"/>
      </w:pPr>
    </w:p>
    <w:p w:rsidR="00505632" w:rsidRDefault="00505632" w:rsidP="00505632">
      <w:pPr>
        <w:pStyle w:val="Heading4"/>
      </w:pPr>
      <w:r>
        <w:t>A784031 KONKURENTNOST I ODRŽIVOST ENERGETSKOG SUSTAVA</w:t>
      </w:r>
    </w:p>
    <w:tbl>
      <w:tblPr>
        <w:tblStyle w:val="StilTablice"/>
        <w:tblW w:w="10206" w:type="dxa"/>
        <w:jc w:val="center"/>
        <w:tblLook w:val="04A0" w:firstRow="1" w:lastRow="0" w:firstColumn="1" w:lastColumn="0" w:noHBand="0" w:noVBand="1"/>
      </w:tblPr>
      <w:tblGrid>
        <w:gridCol w:w="1882"/>
        <w:gridCol w:w="1965"/>
        <w:gridCol w:w="1969"/>
        <w:gridCol w:w="1969"/>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A784031-KONKURENTNOST I ODRŽIVOST ENERGETSKOG SUSTAVA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3.851.918</w:t>
            </w:r>
          </w:p>
        </w:tc>
        <w:tc>
          <w:tcPr>
            <w:tcW w:w="2041" w:type="dxa"/>
          </w:tcPr>
          <w:p w:rsidR="00505632" w:rsidRDefault="00505632" w:rsidP="00AD4E52">
            <w:pPr>
              <w:pStyle w:val="CellColumn"/>
              <w:jc w:val="right"/>
            </w:pPr>
            <w:r>
              <w:rPr>
                <w:rFonts w:cs="Times New Roman"/>
              </w:rPr>
              <w:t>3.216.259</w:t>
            </w:r>
          </w:p>
        </w:tc>
        <w:tc>
          <w:tcPr>
            <w:tcW w:w="1224" w:type="dxa"/>
          </w:tcPr>
          <w:p w:rsidR="00505632" w:rsidRDefault="00505632" w:rsidP="00AD4E52">
            <w:pPr>
              <w:pStyle w:val="CellColumn"/>
              <w:jc w:val="right"/>
            </w:pPr>
            <w:r>
              <w:rPr>
                <w:rFonts w:cs="Times New Roman"/>
              </w:rPr>
              <w:t>83,5</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izrada Energetske strategije, izrada zakonskih i podzakonskih akata</w:t>
      </w:r>
    </w:p>
    <w:p w:rsidR="00505632" w:rsidRDefault="00505632" w:rsidP="00505632">
      <w:pPr>
        <w:pStyle w:val="Heading8"/>
        <w:jc w:val="left"/>
      </w:pPr>
      <w:r>
        <w:t>Opis aktivnosti</w:t>
      </w:r>
    </w:p>
    <w:p w:rsidR="00505632" w:rsidRDefault="00505632" w:rsidP="00505632">
      <w:r>
        <w:t>izrada stručnih podloga</w:t>
      </w:r>
    </w:p>
    <w:p w:rsidR="00505632" w:rsidRDefault="00505632" w:rsidP="00505632">
      <w:pPr>
        <w:pStyle w:val="Heading4"/>
      </w:pPr>
      <w:r>
        <w:t>A784032 USLUGA ZASTUPANJA U SPORU IZMEĐU REPUBLIKE HRVATSKE I DRUŠTVA MOL PLC MAĐARSKA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A784032-USLUGA ZASTUPANJA U SPORU IZMEĐU REPUBLIKE HRVATSKE I DRUŠTVA MOL PLC MAĐARSKA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6.533.398</w:t>
            </w:r>
          </w:p>
        </w:tc>
        <w:tc>
          <w:tcPr>
            <w:tcW w:w="2041" w:type="dxa"/>
          </w:tcPr>
          <w:p w:rsidR="00505632" w:rsidRDefault="00505632" w:rsidP="00AD4E52">
            <w:pPr>
              <w:pStyle w:val="CellColumn"/>
              <w:jc w:val="right"/>
            </w:pPr>
            <w:r>
              <w:rPr>
                <w:rFonts w:cs="Times New Roman"/>
              </w:rPr>
              <w:t>6.528.253</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Ugovor o zastupanju između Ministarstva gospodarstva i odvjetničkog društva, Dodatak Ugovora o zastupanju između Ministarstva zaštite okoliša i energetike i odvjetničkog društva, čl. 89 st.3. Zakona o državnom odvjetništvu (Narodne novine“, broj 76/09, 153/09, 116/10, 145/10, 57/11, 130/11, 72/13, 148/13, 33/15 i 82/15)</w:t>
      </w:r>
    </w:p>
    <w:p w:rsidR="00505632" w:rsidRDefault="00505632" w:rsidP="00505632">
      <w:pPr>
        <w:pStyle w:val="Heading8"/>
        <w:jc w:val="left"/>
      </w:pPr>
      <w:r>
        <w:t>Opis aktivnosti</w:t>
      </w:r>
    </w:p>
    <w:p w:rsidR="00505632" w:rsidRDefault="00505632" w:rsidP="00505632">
      <w:r>
        <w:t>usluga pravnog zastupanja i savjetovanja, kao i sve ostale aktivnosti vezane uz arbitražne postupke</w:t>
      </w:r>
    </w:p>
    <w:p w:rsidR="00505632" w:rsidRDefault="00505632" w:rsidP="00505632">
      <w:pPr>
        <w:pStyle w:val="Heading3"/>
      </w:pPr>
      <w:r>
        <w:rPr>
          <w:rFonts w:cs="Times New Roman"/>
        </w:rPr>
        <w:t>3401 ZAŠTITA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3401-ZAŠTITA PRIRODE</w:t>
            </w:r>
          </w:p>
        </w:tc>
        <w:tc>
          <w:tcPr>
            <w:tcW w:w="2041" w:type="dxa"/>
          </w:tcPr>
          <w:p w:rsidR="00505632" w:rsidRDefault="00505632" w:rsidP="00AD4E52">
            <w:pPr>
              <w:pStyle w:val="CellColumn"/>
              <w:jc w:val="right"/>
            </w:pPr>
            <w:r>
              <w:rPr>
                <w:rFonts w:cs="Times New Roman"/>
              </w:rPr>
              <w:t>7.615.560</w:t>
            </w:r>
          </w:p>
        </w:tc>
        <w:tc>
          <w:tcPr>
            <w:tcW w:w="2041" w:type="dxa"/>
          </w:tcPr>
          <w:p w:rsidR="00505632" w:rsidRDefault="00505632" w:rsidP="00AD4E52">
            <w:pPr>
              <w:pStyle w:val="CellColumn"/>
              <w:jc w:val="right"/>
            </w:pPr>
            <w:r>
              <w:rPr>
                <w:rFonts w:cs="Times New Roman"/>
              </w:rPr>
              <w:t>5.240.500</w:t>
            </w:r>
          </w:p>
        </w:tc>
        <w:tc>
          <w:tcPr>
            <w:tcW w:w="2041" w:type="dxa"/>
          </w:tcPr>
          <w:p w:rsidR="00505632" w:rsidRDefault="00505632" w:rsidP="00AD4E52">
            <w:pPr>
              <w:pStyle w:val="CellColumn"/>
              <w:jc w:val="right"/>
            </w:pPr>
            <w:r>
              <w:rPr>
                <w:rFonts w:cs="Times New Roman"/>
              </w:rPr>
              <w:t>5.000.571</w:t>
            </w:r>
          </w:p>
        </w:tc>
        <w:tc>
          <w:tcPr>
            <w:tcW w:w="1224" w:type="dxa"/>
          </w:tcPr>
          <w:p w:rsidR="00505632" w:rsidRDefault="00505632" w:rsidP="00AD4E52">
            <w:pPr>
              <w:pStyle w:val="CellColumn"/>
              <w:jc w:val="right"/>
            </w:pPr>
            <w:r>
              <w:rPr>
                <w:rFonts w:cs="Times New Roman"/>
              </w:rPr>
              <w:t>95,4</w:t>
            </w:r>
          </w:p>
        </w:tc>
        <w:tc>
          <w:tcPr>
            <w:tcW w:w="1224" w:type="dxa"/>
          </w:tcPr>
          <w:p w:rsidR="00505632" w:rsidRDefault="00505632" w:rsidP="00AD4E52">
            <w:pPr>
              <w:pStyle w:val="CellColumn"/>
              <w:jc w:val="right"/>
            </w:pPr>
            <w:r>
              <w:rPr>
                <w:rFonts w:cs="Times New Roman"/>
              </w:rPr>
              <w:t>65,7</w:t>
            </w:r>
          </w:p>
        </w:tc>
      </w:tr>
    </w:tbl>
    <w:p w:rsidR="00505632" w:rsidRDefault="00505632" w:rsidP="00505632">
      <w:pPr>
        <w:jc w:val="left"/>
      </w:pPr>
    </w:p>
    <w:p w:rsidR="00505632" w:rsidRDefault="00505632" w:rsidP="00505632">
      <w:r>
        <w:t>Zaštićena i očuvana priroda osigurati će postojanost temeljnih vrijednosti i potencijala za daljnji razvitak Republike Hrvatske, kao i njenu afirmaciju u europskom okruženju kao zemlje s razvijenom svijesti o značaju očuvanja prirodnog bogatstva koje pametnim, promišljenim i održivim korištenjem osigurava višestruke razvojne pravce. Cilj je očuvati postojeću bioraznolikost i geološku raznolikost, vratiti dio izgubljenih vrsta i staništa gdje je to moguće i opravdano te razviti prikladan sustav za njihovo vrednovanje i očuvanje. Zaštitom i očuvanjem bioraznolikosti i geološke raznolikosti na regionalnoj i lokalnoj razini, obrazovanjem i edukacijom, međusektorskom suradnjom te uključivanjem javnosti podiže se svijest o potrebi njenog očuvanja u svim oblicima političkog, gospodarskog i društvenog djelovanja.</w:t>
      </w:r>
    </w:p>
    <w:p w:rsidR="00505632" w:rsidRDefault="00505632" w:rsidP="00505632">
      <w:pPr>
        <w:pStyle w:val="Heading8"/>
        <w:jc w:val="left"/>
      </w:pPr>
      <w:r>
        <w:t>Cilj 1. Osigurano povoljno stanje očuvanosti vrsta i staništa</w:t>
      </w:r>
    </w:p>
    <w:p w:rsidR="00505632" w:rsidRDefault="00505632" w:rsidP="00505632">
      <w:pPr>
        <w:pStyle w:val="Heading8"/>
        <w:jc w:val="left"/>
      </w:pPr>
      <w:r>
        <w:t>Opis provedbe cilja programa</w:t>
      </w:r>
    </w:p>
    <w:p w:rsidR="00505632" w:rsidRDefault="00505632" w:rsidP="00505632">
      <w:r>
        <w:t>Hrvatska je po biološkoj raznolikosti jedna od najbogatijih zemalja Europe zahvaljujući svojem specifičnom geografskom položaju te karakterističnim ekološkim, klimatskim i geomorfološkim uvjetima. Usprkos visokoj vrijednosti prirode, mnoge njene sastavnice izrazito su ugrožene zbog prekomjernog korištenja prirodnih dobara u komercijalne svrhe. Pritisak ljudskih aktivnosti i korištenje prirodnih dobara u posljednjih nekoliko desetljeća značajno su porasli. Pojedine divlje vrste ugrožene su gubitkom staništa, prekomjernim iskorištavanjem, unosom stranih vrsta i sl. Dodatnu ugroženost bioraznolikosti u Hrvatskoj uzrokuju i strane invazivne vrste. Kako bi očuvali i dugoročno osigurali opstanak divljih vrsta i staništa u povoljnom stanju, a time ispunili i obveze Republike Hrvatske tijekom 2016. radilo se na donošenju provedbenih propisa temeljem Zakona o zaštiti prirode i na izradi novi propisa uključujući i u svrhu usklađivanja sa pravnom stečevinom EU, kao i na unaprjeđenju primjene postojećih propisa, strategija i provedbenih dokumenata. Također, nastavljeno je s provođenjem upravnih postupaka te utvrđivanjem i provođenjem mjera u cilju očuvanja ekološke mreže i divljih vrsta te održivog korištenja prirodnih dobara. Nastavlja se rad na unaprjeđenju znanja o stanju divljih vrsta i stanišnih tipova u svrhu uspostave mehanizama održivog upravljanja divljim vrstama, ekološkom mrežom i zaštićenim područjima. Ostvarenju ovoga cilja doprinijelo je i daljnje jačanje suradnje s relevantnim tijelima i institucijama Europske unije, institucija na međunarodnoj razini (UNESCO, IUCN, itd.), provedba međunarodnih ugovora, sporazuma, protokola te osobito priprema i provedba projekata.</w:t>
      </w:r>
    </w:p>
    <w:p w:rsidR="00505632" w:rsidRDefault="00505632" w:rsidP="00505632">
      <w:pPr>
        <w:pStyle w:val="Heading8"/>
        <w:jc w:val="left"/>
      </w:pPr>
      <w:r>
        <w:t>Cilj 2. Ojačan sustav upravljanja u zaštiti prirode</w:t>
      </w:r>
    </w:p>
    <w:p w:rsidR="00505632" w:rsidRDefault="00505632" w:rsidP="00505632">
      <w:pPr>
        <w:pStyle w:val="Heading8"/>
        <w:jc w:val="left"/>
      </w:pPr>
      <w:r>
        <w:t>Opis provedbe cilja programa</w:t>
      </w:r>
    </w:p>
    <w:p w:rsidR="00505632" w:rsidRDefault="00505632" w:rsidP="00505632">
      <w:r>
        <w:t>Radi učinkovite primjene propisa iz područja zaštite prirode u 2016. godini nastavljeno je s edukacijom i jačanjem kapacitete za provođenje zakonodavnog okvira te sustava upravljanja zaštite prirode, osobito povezano s upravljanjem zaštićenim područjima i ekološkom mrežom. Nastavljena je provedba tematskih seminara i radionica za edukaciju i stručno usavršavanje upravnih i stručnih tijela u vezi provedbe CITES Uredbi EU i unaprjeđenje sustava naknade štete koju počine životinje strogo zaštićenih vrsta. Radilo se na standardizaciji prikupljanja, pohrane i ažuriranja podataka o bioraznolikosti te je njihova dostupnost krajnjem korisniku osigurana razvojem jedinstvenog informacijskog sustava zaštite prirode (http://www.bioportal.hr/gis/) koji se u 2016. godini kontinuirano razvijao i jačao. Nastavljen je rad na unaprjeđenju modela upravljanja zaštićenim područjima i područjima ekološke mreže, te su nastavljena infrastrukturna ulaganja (ulaganja u pripremu projektne dokumentacije, izgradnja poučnih staza, izgradnja posjetiteljskog centra u Krasnom, uređenje info-punktova i dr.).</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Postotak baza podataka povezanih u jedinstveni informacijski sustav zaštite prirode</w:t>
            </w:r>
          </w:p>
        </w:tc>
        <w:tc>
          <w:tcPr>
            <w:tcW w:w="2551" w:type="dxa"/>
          </w:tcPr>
          <w:p w:rsidR="00505632" w:rsidRDefault="00505632" w:rsidP="00AD4E52">
            <w:pPr>
              <w:pStyle w:val="CellColumn"/>
              <w:jc w:val="left"/>
            </w:pPr>
            <w:r>
              <w:rPr>
                <w:rFonts w:cs="Times New Roman"/>
              </w:rPr>
              <w:t>Uspostava jedinstvenog informacijskog sustava zaštite prirode doprinijet će jednostavnijoj i bržoj pohrani i prijenosu podataka do krajnjih korisnika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Postotak ugroženih vrsta ptica i vrsta herpetofaune (CR, EN, VU) u ukupnom broju procijenjenih vrsta</w:t>
            </w:r>
          </w:p>
        </w:tc>
        <w:tc>
          <w:tcPr>
            <w:tcW w:w="2551" w:type="dxa"/>
          </w:tcPr>
          <w:p w:rsidR="00505632" w:rsidRDefault="00505632" w:rsidP="00AD4E52">
            <w:pPr>
              <w:pStyle w:val="CellColumn"/>
              <w:jc w:val="left"/>
            </w:pPr>
            <w:r>
              <w:rPr>
                <w:rFonts w:cs="Times New Roman"/>
              </w:rPr>
              <w:t>Smanjenje postotka ugroženih vrsta kroz vrijeme, na primjeru modela (vrste ptica gnjezdarica i herpetofaune), održava uspješnu provedbu mjera očuvanja vrsta i staništa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22,1</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22,1</w:t>
            </w:r>
          </w:p>
        </w:tc>
        <w:tc>
          <w:tcPr>
            <w:tcW w:w="1020" w:type="dxa"/>
          </w:tcPr>
          <w:p w:rsidR="00505632" w:rsidRDefault="00505632" w:rsidP="00AD4E52">
            <w:pPr>
              <w:pStyle w:val="CellColumn"/>
              <w:jc w:val="right"/>
            </w:pPr>
            <w:r>
              <w:rPr>
                <w:rFonts w:cs="Times New Roman"/>
              </w:rPr>
              <w:t>22,1</w:t>
            </w:r>
          </w:p>
        </w:tc>
      </w:tr>
    </w:tbl>
    <w:p w:rsidR="00505632" w:rsidRDefault="00505632" w:rsidP="00505632">
      <w:pPr>
        <w:jc w:val="left"/>
      </w:pPr>
    </w:p>
    <w:p w:rsidR="00505632" w:rsidRDefault="00505632" w:rsidP="00505632">
      <w:pPr>
        <w:pStyle w:val="Heading4"/>
      </w:pPr>
      <w:r>
        <w:t>A779006 ZAŠTITA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A779006-ZAŠTITA PRIRODE</w:t>
            </w:r>
          </w:p>
        </w:tc>
        <w:tc>
          <w:tcPr>
            <w:tcW w:w="2041" w:type="dxa"/>
          </w:tcPr>
          <w:p w:rsidR="00505632" w:rsidRDefault="00505632" w:rsidP="00AD4E52">
            <w:pPr>
              <w:pStyle w:val="CellColumn"/>
              <w:jc w:val="right"/>
            </w:pPr>
            <w:r>
              <w:rPr>
                <w:rFonts w:cs="Times New Roman"/>
              </w:rPr>
              <w:t>6.371.939</w:t>
            </w:r>
          </w:p>
        </w:tc>
        <w:tc>
          <w:tcPr>
            <w:tcW w:w="2041" w:type="dxa"/>
          </w:tcPr>
          <w:p w:rsidR="00505632" w:rsidRDefault="00505632" w:rsidP="00AD4E52">
            <w:pPr>
              <w:pStyle w:val="CellColumn"/>
              <w:jc w:val="right"/>
            </w:pPr>
            <w:r>
              <w:rPr>
                <w:rFonts w:cs="Times New Roman"/>
              </w:rPr>
              <w:t>5.240.500</w:t>
            </w:r>
          </w:p>
        </w:tc>
        <w:tc>
          <w:tcPr>
            <w:tcW w:w="2041" w:type="dxa"/>
          </w:tcPr>
          <w:p w:rsidR="00505632" w:rsidRDefault="00505632" w:rsidP="00AD4E52">
            <w:pPr>
              <w:pStyle w:val="CellColumn"/>
              <w:jc w:val="right"/>
            </w:pPr>
            <w:r>
              <w:rPr>
                <w:rFonts w:cs="Times New Roman"/>
              </w:rPr>
              <w:t>5.000.571</w:t>
            </w:r>
          </w:p>
        </w:tc>
        <w:tc>
          <w:tcPr>
            <w:tcW w:w="1224" w:type="dxa"/>
          </w:tcPr>
          <w:p w:rsidR="00505632" w:rsidRDefault="00505632" w:rsidP="00AD4E52">
            <w:pPr>
              <w:pStyle w:val="CellColumn"/>
              <w:jc w:val="right"/>
            </w:pPr>
            <w:r>
              <w:rPr>
                <w:rFonts w:cs="Times New Roman"/>
              </w:rPr>
              <w:t>95,4</w:t>
            </w:r>
          </w:p>
        </w:tc>
        <w:tc>
          <w:tcPr>
            <w:tcW w:w="1224" w:type="dxa"/>
          </w:tcPr>
          <w:p w:rsidR="00505632" w:rsidRDefault="00505632" w:rsidP="00AD4E52">
            <w:pPr>
              <w:pStyle w:val="CellColumn"/>
              <w:jc w:val="right"/>
            </w:pPr>
            <w:r>
              <w:rPr>
                <w:rFonts w:cs="Times New Roman"/>
              </w:rPr>
              <w:t>78,5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Strategija i akcijski plan zaštite biološke i krajobrazne raznolikosti Republike Hrvatske (Narodne novine, broj 143/08) </w:t>
      </w:r>
    </w:p>
    <w:p w:rsidR="00505632" w:rsidRDefault="00505632" w:rsidP="00505632">
      <w:r>
        <w:t>Zakon o zaštiti prirode (Narodne novine, broj 80/13), Uredba o ekološkoj mreži (Narodne novine, br. 124/13 i 105/15), Pravilnik o strogo zaštićenim vrstama (Narodne novine, br. 144/13 i 73/16) i Zakon o prekograničnom prometu i trgovini divljim vrstama (Narodne novine, broj 94/13).</w:t>
      </w:r>
    </w:p>
    <w:p w:rsidR="00505632" w:rsidRDefault="00505632" w:rsidP="00505632">
      <w:pPr>
        <w:pStyle w:val="Heading8"/>
        <w:jc w:val="left"/>
      </w:pPr>
      <w:r>
        <w:t>Opis aktivnosti</w:t>
      </w:r>
    </w:p>
    <w:p w:rsidR="00505632" w:rsidRDefault="00505632" w:rsidP="00505632">
      <w:r>
        <w:t xml:space="preserve">Kroz ovu aktivnost osiguravaju se mehanizmi upravljanja i očuvanja populacija divljih vrsta i njihovih staništa s naglasnom na strogo zaštićene divlje vrste čime će doprinosi očuvanju ciljnih vrsta i stanišnih tipova u tzv. "povoljnom statusu zaštite". Također, osiguravaju se i preduvjeti za provedbu direktiva i uredbi EU u području zaštite prirode kao i provedba međunarodnih ugovora, sporazuma, protokola, između ostalog i sudjelovanjima na odgovarajućim sastancima na međunarodnoj i EU razini.  </w:t>
      </w:r>
    </w:p>
    <w:p w:rsidR="00505632" w:rsidRDefault="00505632" w:rsidP="00505632">
      <w:r>
        <w:t>Na proračunskoj aktivnost A779006 Zaštita prirode u 2016. godini planirana su sredstva u iznosu od 5.240.500,00 kn, dok je realizacija iznosila 5.004.787,16 kn ili 95,50% planiranih sredstava. Plaćanja su izvršena za sljedeće potrebe: inozemna i tuzemna putovanja službenika Uprave za zaštitu prirode, koja su uključivala sudjelovanje na sastancima stranka međunarodnih konvencija iz područja zaštite prirode, sastancima odbora (komitologija) i radnih grupa  Europske komisije uspostavljenih za provedbu direktiva i uredbi iz djelokruga zaštite prirode, sastancima radne skupine Vijeća EU za međunarodna okolišna pitanja, itd.; za financiranje hitnih veterinarskih intervencija i zbrinjavanje lešina strogo zaštićenih životinja i životinja na popisu priloga Uredbe Vijeće (EZ) br. 338/97 o zaštiti vrsta divlje faune i flore uređenjem trgovine njima, u slučajevima oduzimanja i zapljena; za naknadu rada vještaka za procjenu štete od strogo zaštićenih životinja, izradu ekspertnih podloga za provedbene propise i unaprjeđenje postojećih mehanizama zaštite strogo zaštićenih vrsta; za naknadu troškova osobama izvan radnog odnosa u svrhu pokrivanja troškova intervencija članova interventnog tima za vuka i risa i troškova putovanja vanjskih osoba na trening radionice povezane s očuvanjem strogo zaštićenih vrsta; za podmirivanje godišnjih članarina temeljem sudjelovanja Republike Hrvatske kao punopravne stranke u međunarodnim sporazumima iz područja zaštite prirode, sukladno zaprimljenim računima za 2016. godinu; za financiranje programa rada nevladinih udruga koje su obavljale poslove oporavilišta za divlje životinje, a u kojima se zbrinjavaju ozlijeđene i bolesne strogo zaštićene životinje, kao i životinje zaplijenjene sukladno propisima iz područja zaštite prirode; navedene udruge odabrane su temeljem „Javnog poziva za podnošenje Programa rada za obavljanje poslova oporavilišta za divlje životinje u 2016. godini u svrhu njegovog financiranja“; za isplatu naknade štete od strogo zaštićenih životinja prema potpisanim Sporazumima o nagodbi o visini naknade štete koje je Ministarstvo sklopilo s oštećenicima.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Kontinuirano usklađivanje s pravnom stečevinom EU i međunarodnim ugovorima te njihova provedba</w:t>
            </w:r>
          </w:p>
        </w:tc>
        <w:tc>
          <w:tcPr>
            <w:tcW w:w="2551" w:type="dxa"/>
          </w:tcPr>
          <w:p w:rsidR="00505632" w:rsidRDefault="00505632" w:rsidP="00AD4E52">
            <w:pPr>
              <w:pStyle w:val="CellColumn"/>
              <w:jc w:val="left"/>
            </w:pPr>
            <w:r>
              <w:rPr>
                <w:rFonts w:cs="Times New Roman"/>
              </w:rPr>
              <w:t>Ministarstvo kontinuirano prati i usklađuje propise s pravnom stečevinom EU i međunarodnim ugovorima te izvješćuje o njihovoj provedbi</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Donošenje novih i usklađivanje postojećih provedbenih propisa temeljem Zakona o zaštiti prirode</w:t>
            </w:r>
          </w:p>
        </w:tc>
        <w:tc>
          <w:tcPr>
            <w:tcW w:w="2551" w:type="dxa"/>
          </w:tcPr>
          <w:p w:rsidR="00505632" w:rsidRDefault="00505632" w:rsidP="00AD4E52">
            <w:pPr>
              <w:pStyle w:val="CellColumn"/>
              <w:jc w:val="left"/>
            </w:pPr>
            <w:r>
              <w:rPr>
                <w:rFonts w:cs="Times New Roman"/>
              </w:rPr>
              <w:t>Ministarstvo će nastaviti izrađivati nove i revidirati postojeće provedbene propise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50</w:t>
            </w:r>
          </w:p>
        </w:tc>
      </w:tr>
      <w:tr w:rsidR="00505632" w:rsidTr="00AD4E52">
        <w:trPr>
          <w:jc w:val="center"/>
        </w:trPr>
        <w:tc>
          <w:tcPr>
            <w:tcW w:w="2551" w:type="dxa"/>
          </w:tcPr>
          <w:p w:rsidR="00505632" w:rsidRDefault="00505632" w:rsidP="00AD4E52">
            <w:pPr>
              <w:pStyle w:val="CellColumn"/>
              <w:jc w:val="left"/>
            </w:pPr>
            <w:r>
              <w:rPr>
                <w:rFonts w:cs="Times New Roman"/>
              </w:rPr>
              <w:t>Održavanje kontinuiteta provedbenih postupaka i mjera temeljem zaprimljenih zahtjeva</w:t>
            </w:r>
          </w:p>
        </w:tc>
        <w:tc>
          <w:tcPr>
            <w:tcW w:w="2551" w:type="dxa"/>
          </w:tcPr>
          <w:p w:rsidR="00505632" w:rsidRDefault="00505632" w:rsidP="00AD4E52">
            <w:pPr>
              <w:pStyle w:val="CellColumn"/>
              <w:jc w:val="left"/>
            </w:pPr>
            <w:r>
              <w:rPr>
                <w:rFonts w:cs="Times New Roman"/>
              </w:rPr>
              <w:t>Ministarstvo provodi postupke ocjene prihvatljivosti za ekološku  mrežu, ugradnje zahtjeva i uvjeta zaštite prirode u planske dokumente, kao i postupke vezane uz strogo zaštićene vrste, strane vrste, prekogranični promet i korištenje divljih vrsta.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90</w:t>
            </w:r>
          </w:p>
        </w:tc>
      </w:tr>
    </w:tbl>
    <w:p w:rsidR="00505632" w:rsidRDefault="00505632" w:rsidP="00505632">
      <w:pPr>
        <w:jc w:val="left"/>
      </w:pPr>
    </w:p>
    <w:p w:rsidR="00505632" w:rsidRDefault="00505632" w:rsidP="00505632">
      <w:pPr>
        <w:pStyle w:val="Heading3"/>
      </w:pPr>
      <w:r>
        <w:rPr>
          <w:rFonts w:cs="Times New Roman"/>
        </w:rPr>
        <w:t>3402 ZAŠTITA OKOLIŠA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3402-ZAŠTITA OKOLIŠA</w:t>
            </w:r>
          </w:p>
        </w:tc>
        <w:tc>
          <w:tcPr>
            <w:tcW w:w="2041" w:type="dxa"/>
          </w:tcPr>
          <w:p w:rsidR="00505632" w:rsidRDefault="00505632" w:rsidP="00AD4E52">
            <w:pPr>
              <w:pStyle w:val="CellColumn"/>
              <w:jc w:val="right"/>
            </w:pPr>
            <w:r>
              <w:rPr>
                <w:rFonts w:cs="Times New Roman"/>
              </w:rPr>
              <w:t>74.506.344</w:t>
            </w:r>
          </w:p>
        </w:tc>
        <w:tc>
          <w:tcPr>
            <w:tcW w:w="2041" w:type="dxa"/>
          </w:tcPr>
          <w:p w:rsidR="00505632" w:rsidRDefault="00505632" w:rsidP="00AD4E52">
            <w:pPr>
              <w:pStyle w:val="CellColumn"/>
              <w:jc w:val="right"/>
            </w:pPr>
            <w:r>
              <w:rPr>
                <w:rFonts w:cs="Times New Roman"/>
              </w:rPr>
              <w:t>95.455.903</w:t>
            </w:r>
          </w:p>
        </w:tc>
        <w:tc>
          <w:tcPr>
            <w:tcW w:w="2041" w:type="dxa"/>
          </w:tcPr>
          <w:p w:rsidR="00505632" w:rsidRDefault="00505632" w:rsidP="00AD4E52">
            <w:pPr>
              <w:pStyle w:val="CellColumn"/>
              <w:jc w:val="right"/>
            </w:pPr>
            <w:r>
              <w:rPr>
                <w:rFonts w:cs="Times New Roman"/>
              </w:rPr>
              <w:t>84.365.218</w:t>
            </w:r>
          </w:p>
        </w:tc>
        <w:tc>
          <w:tcPr>
            <w:tcW w:w="1224" w:type="dxa"/>
          </w:tcPr>
          <w:p w:rsidR="00505632" w:rsidRDefault="00505632" w:rsidP="00AD4E52">
            <w:pPr>
              <w:pStyle w:val="CellColumn"/>
              <w:jc w:val="right"/>
            </w:pPr>
            <w:r>
              <w:rPr>
                <w:rFonts w:cs="Times New Roman"/>
              </w:rPr>
              <w:t>88,4</w:t>
            </w:r>
          </w:p>
        </w:tc>
        <w:tc>
          <w:tcPr>
            <w:tcW w:w="1224" w:type="dxa"/>
          </w:tcPr>
          <w:p w:rsidR="00505632" w:rsidRDefault="00505632" w:rsidP="00AD4E52">
            <w:pPr>
              <w:pStyle w:val="CellColumn"/>
              <w:jc w:val="right"/>
            </w:pPr>
            <w:r>
              <w:rPr>
                <w:rFonts w:cs="Times New Roman"/>
              </w:rPr>
              <w:t>113,2</w:t>
            </w:r>
          </w:p>
        </w:tc>
      </w:tr>
    </w:tbl>
    <w:p w:rsidR="00505632" w:rsidRDefault="00505632" w:rsidP="00505632">
      <w:pPr>
        <w:jc w:val="left"/>
      </w:pPr>
    </w:p>
    <w:p w:rsidR="00505632" w:rsidRDefault="00505632" w:rsidP="00505632">
      <w:r>
        <w:t>Zaštita okoliša nesumnjivo je jedna od najzahtjevnijih i najsloženijih aktivnosti koja zadire u sve dijelove organizacije ljudskoga društva. Prirodni okoliš u kojem živim (zrak, voda, zemljište, biljke, životinje, itd.) osigurava nam ostvarenje naših životnih potreba. Međutim, naše potrebe, životne navike i interesi, koje priroda neposredno ne može zadovoljiti, neprestano rastu. Stoga, oslanjajući se na prirodu, stvaramo nove elemente i oblikujemo svoj okoliš, različit od prirodnog. Održivi razvoj je onaj koji zadovoljava potrebe sadašnjih generacija, a da istodobno ne onemogućuje buduće generacije da zadovolje svoje potrebe. Strategijom održivog razvoja Republike Hrvatske se dugoročno usmjerava gospodarski i socijalni razvoj te zaštita okoliša prema održivom razvoju države. Strategijom se utvrđuju smjernice dugoročnog djelovanja definiranjem ciljeva i utvrđivanjem mjera za njihovo ostvarenje, uvažavajući postojeće stanje i preuzete međunarodne obveze.</w:t>
      </w:r>
    </w:p>
    <w:p w:rsidR="00505632" w:rsidRDefault="00505632" w:rsidP="00505632">
      <w:pPr>
        <w:pStyle w:val="Heading8"/>
        <w:jc w:val="left"/>
      </w:pPr>
      <w:r>
        <w:t>Cilj 1. Poboljšati preduvjete za sprečavanje svih vrsta onečišćenja okoliša, praćenje stanja sastavnica okoliša, uključivanje segmenta zaštite okoliša u ostale sektorske politike, nadzor i postupanje u zaštiti okoliša</w:t>
      </w:r>
    </w:p>
    <w:p w:rsidR="00505632" w:rsidRDefault="00505632" w:rsidP="00505632">
      <w:pPr>
        <w:pStyle w:val="Heading8"/>
        <w:jc w:val="left"/>
      </w:pPr>
      <w:r>
        <w:t>Opis provedbe cilja programa</w:t>
      </w:r>
    </w:p>
    <w:p w:rsidR="00505632" w:rsidRDefault="00505632" w:rsidP="00505632">
      <w:r>
        <w:t>Svi dionici u društvu moraju dati svoj doprinos kako bi se smanjilo opterećenje okoliša odnosno okolišni otisak kojeg proizvodimo više ili manje ovisno o načinu kako proizvodimo, kako trošimo i kakav živorni stil vidimo. Traži se od sviju usvajanje obrazaca održive proizvodnje i potrošnje kako bi se smanjila potrošnja resursa i kemikalija, smanjila emisija stakleničkih plinova i onečišćujućih tvari, smanjio nastanak otpada.Ministarstvo provodi razne promidžbene aktivnosti za zaštitu okoliša te za jačanje svijesti o zaštiti okoliša, smanjenje okolišnog otiska proizvoda i usluga kroz životni ciklus i postizanje specifičnih ciljeva zaštite okoliša. Također dodjeljuje nacionalne nagrade i priznanja za dostignuća u zaštiti okoliša i promicanje održivog razvoja. Vodi se i sustav dodjele nacionalnog znaka zaštite okoliša za proizvode Prijatelj okoliša i znaka Europske unije EU Ecolabel. Organizacije za uspješno upravljanje svojim okolišnim otiskom mogu dobiti eko-oznaku EMAS. Ministarstvo promiče uključivanje mjerila zelene javne nabave u postupke javne nabave kako bi se što više kupovali zeleni proizvodi i usluge i na taj način smanjio okolišni otisak od potrošnje obveznika javne nabave.</w:t>
      </w:r>
    </w:p>
    <w:p w:rsidR="00505632" w:rsidRDefault="00505632" w:rsidP="00505632">
      <w:pPr>
        <w:pStyle w:val="Heading8"/>
        <w:jc w:val="left"/>
      </w:pPr>
      <w:r>
        <w:t>Cilj 2. Osiguranje preduvjeta za ublaženje i prilagodbu klimatskim promjenama i zaštitu ozonskog sloja</w:t>
      </w:r>
    </w:p>
    <w:p w:rsidR="00505632" w:rsidRDefault="00505632" w:rsidP="00505632">
      <w:pPr>
        <w:pStyle w:val="Heading8"/>
        <w:jc w:val="left"/>
      </w:pPr>
      <w:r>
        <w:t>Opis provedbe cilja programa</w:t>
      </w:r>
    </w:p>
    <w:p w:rsidR="00505632" w:rsidRDefault="00505632" w:rsidP="00505632">
      <w:r>
        <w:t>Jedna od bitnih pretpostavki za ublaženje i prilagodbu klimatskim promjenama i zaštitu ozonskog sloja je smanjenje emisija stakleničkih plinova, prilagodba svih sektora koji su izloženi utjecaju klimatskih promjena te ukidanje potrošnje tvari koje oštećuju ozonski sloj (TOOS). Ministarstvo ulaže napore u provedbu projekata u cilju ublaženja i prilagodbe klimatskim promjenama i zaštite ozonskog sloja (korištenje sredstava državnog proračuna, EU fondova, drugih međunarodnih novčarskih organizacija i Fonda za zaštitu okoliša i energetsku učinkovitost). Ministarstvo u okviru svojih zakonskih obaveza u 2016. godini nastavilo sa izdavanjem dozvola za emisije stakleničkih plinova, dozvola za obavljanje djelatnosti prikupljanja, ugradnje i održavanja ili servisiranja rashladnih i klimatizacijskih uređaja i opreme, dizalica topline, nepokretnih protupožarnih sustava i aparata za gašenje požara koji sadrže kontrolirane tvari ili fluorirane stakleničke plinove, suglasnosti za uvoz i/ili izvoz kontroliranih tvari koje oštećuju ozonski sloj. Ministarstvo za ove potrebe vodi Registar pravnih i fizičkih osoba – obrtnika koje se bave djelatnošću uvoza/izvoza i stavljanja na tržište kontroliranih tvari i/ili fluoriranih stakleničkih plinova, servisiranja, obnavljanja i oporabe tih tvari. Kroz projekt financiran sredstvima Multilateralnog fonda za provedbu Montrealskog protokola Ministarstvo je u 2016. godini provelo niz aktivnosti na osvješćivanju javnosti i gospodarskih subjekata vezano za ukidanje potrošnje tvari koje oštećuju ozonski sloj i fluoriranih stakleničkih plinova. Ministarstvo vodi i nacionalni sustav praćenja emisija stakleničkih plinova, te je, pored Inventara emisija koji se svake godine izrađuje, tijekom 2016. godine izrađena i Analiza upotrebljivosti podataka iz inventure šuma UNFCCC. Ministarstvo je aktivno sudjelovalo u međunarodnim pregovorima o novom globalnom klimatskom sporazumu za razdoblje nakon 2020. godine, koji je usvojen kao Pariški sporazum uz Okvirnu konvenciju UN-a o promjeni klime na Konferenciji stranaka u prosincu 2015. u Parizu. U 2016. godini u proceduri je bilo donošenje Zakona o potvrđivanju Pariškog sporazuma, koji se planira objaviti u Narodnim novinama u prvom kvartalu 2017. godine.</w:t>
      </w:r>
    </w:p>
    <w:p w:rsidR="00505632" w:rsidRDefault="00505632" w:rsidP="00505632">
      <w:pPr>
        <w:pStyle w:val="Heading8"/>
        <w:jc w:val="left"/>
      </w:pPr>
      <w:r>
        <w:t>Cilj 3. Unaprijeđeno stanje okoliša učinkovitom provedbom inspekcijskih nadzora</w:t>
      </w:r>
    </w:p>
    <w:p w:rsidR="00505632" w:rsidRDefault="00505632" w:rsidP="00505632">
      <w:pPr>
        <w:pStyle w:val="Heading8"/>
        <w:jc w:val="left"/>
      </w:pPr>
      <w:r>
        <w:t>Opis provedbe cilja programa</w:t>
      </w:r>
    </w:p>
    <w:p w:rsidR="00505632" w:rsidRDefault="00505632" w:rsidP="00505632">
      <w:r>
        <w:t>Planiranjem i provedbom sustavnih i koordiniranih inspekcijskih nadzora i jačanjem administrativnih kapaciteta inspekcije utjecati na odgovornost nadziranih osoba u primjeni propisa iz područja zaštite okoliša odnosno povećati postotak nadziranih osoba usklađenih s propisima i time doprinijeti očuvanju svih sastavnica okoliša.</w:t>
      </w:r>
    </w:p>
    <w:p w:rsidR="00505632" w:rsidRDefault="00505632" w:rsidP="00505632">
      <w:pPr>
        <w:pStyle w:val="Heading8"/>
        <w:jc w:val="left"/>
      </w:pPr>
      <w:r>
        <w:t>Pokazatelji učinka</w:t>
      </w:r>
    </w:p>
    <w:tbl>
      <w:tblPr>
        <w:tblStyle w:val="StilTablice"/>
        <w:tblW w:w="7700" w:type="dxa"/>
        <w:jc w:val="center"/>
        <w:tblLook w:val="04A0" w:firstRow="1" w:lastRow="0" w:firstColumn="1" w:lastColumn="0" w:noHBand="0" w:noVBand="1"/>
      </w:tblPr>
      <w:tblGrid>
        <w:gridCol w:w="2522"/>
        <w:gridCol w:w="1013"/>
        <w:gridCol w:w="1017"/>
        <w:gridCol w:w="1114"/>
        <w:gridCol w:w="1017"/>
        <w:gridCol w:w="1017"/>
      </w:tblGrid>
      <w:tr w:rsidR="00505632" w:rsidTr="00AD4E52">
        <w:trPr>
          <w:jc w:val="center"/>
        </w:trPr>
        <w:tc>
          <w:tcPr>
            <w:tcW w:w="2522" w:type="dxa"/>
            <w:shd w:val="clear" w:color="auto" w:fill="B5C0D8"/>
          </w:tcPr>
          <w:p w:rsidR="00505632" w:rsidRDefault="00505632" w:rsidP="00AD4E52">
            <w:pPr>
              <w:jc w:val="center"/>
            </w:pPr>
            <w:r>
              <w:t>Pokazatelj učinka</w:t>
            </w:r>
          </w:p>
        </w:tc>
        <w:tc>
          <w:tcPr>
            <w:tcW w:w="1013" w:type="dxa"/>
            <w:shd w:val="clear" w:color="auto" w:fill="B5C0D8"/>
          </w:tcPr>
          <w:p w:rsidR="00505632" w:rsidRDefault="00505632" w:rsidP="00AD4E52">
            <w:pPr>
              <w:pStyle w:val="CellHeader"/>
              <w:jc w:val="center"/>
            </w:pPr>
            <w:r>
              <w:rPr>
                <w:rFonts w:cs="Times New Roman"/>
              </w:rPr>
              <w:t>Jedinica</w:t>
            </w:r>
          </w:p>
        </w:tc>
        <w:tc>
          <w:tcPr>
            <w:tcW w:w="1017" w:type="dxa"/>
            <w:shd w:val="clear" w:color="auto" w:fill="B5C0D8"/>
          </w:tcPr>
          <w:p w:rsidR="00505632" w:rsidRDefault="00505632" w:rsidP="00AD4E52">
            <w:pPr>
              <w:pStyle w:val="CellHeader"/>
              <w:jc w:val="center"/>
            </w:pPr>
            <w:r>
              <w:rPr>
                <w:rFonts w:cs="Times New Roman"/>
              </w:rPr>
              <w:t>Polazna vrijednost</w:t>
            </w:r>
          </w:p>
        </w:tc>
        <w:tc>
          <w:tcPr>
            <w:tcW w:w="1114" w:type="dxa"/>
            <w:shd w:val="clear" w:color="auto" w:fill="B5C0D8"/>
          </w:tcPr>
          <w:p w:rsidR="00505632" w:rsidRDefault="00505632" w:rsidP="00AD4E52">
            <w:pPr>
              <w:pStyle w:val="CellHeader"/>
              <w:jc w:val="center"/>
            </w:pPr>
            <w:r>
              <w:rPr>
                <w:rFonts w:cs="Times New Roman"/>
              </w:rPr>
              <w:t>Izvor podataka</w:t>
            </w:r>
          </w:p>
        </w:tc>
        <w:tc>
          <w:tcPr>
            <w:tcW w:w="1017" w:type="dxa"/>
            <w:shd w:val="clear" w:color="auto" w:fill="B5C0D8"/>
          </w:tcPr>
          <w:p w:rsidR="00505632" w:rsidRDefault="00505632" w:rsidP="00AD4E52">
            <w:pPr>
              <w:pStyle w:val="CellHeader"/>
              <w:jc w:val="center"/>
            </w:pPr>
            <w:r>
              <w:rPr>
                <w:rFonts w:cs="Times New Roman"/>
              </w:rPr>
              <w:t>Ciljana vrijednost (2016.)</w:t>
            </w:r>
          </w:p>
        </w:tc>
        <w:tc>
          <w:tcPr>
            <w:tcW w:w="1017"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22" w:type="dxa"/>
          </w:tcPr>
          <w:p w:rsidR="00505632" w:rsidRDefault="00505632" w:rsidP="00AD4E52">
            <w:pPr>
              <w:pStyle w:val="CellColumn"/>
              <w:jc w:val="left"/>
            </w:pPr>
            <w:r>
              <w:rPr>
                <w:rFonts w:cs="Times New Roman"/>
              </w:rPr>
              <w:t>Usklađivanje sustava zaštite zraka, tla i mora, s EU standardima i međunarodnim sporazumima, povećanje  postotaka uspješnosti izdani dozvola, upisa u registre, mišljenja te uspješno provođenje planova, programa i projekata potrebnih za očuvanje i smanjenje onečišćenja svih sastavnica okoliša</w:t>
            </w:r>
          </w:p>
        </w:tc>
        <w:tc>
          <w:tcPr>
            <w:tcW w:w="1013" w:type="dxa"/>
          </w:tcPr>
          <w:p w:rsidR="00505632" w:rsidRDefault="00505632" w:rsidP="00AD4E52">
            <w:pPr>
              <w:pStyle w:val="CellColumn"/>
              <w:jc w:val="right"/>
            </w:pPr>
            <w:r>
              <w:rPr>
                <w:rFonts w:cs="Times New Roman"/>
              </w:rPr>
              <w:t>%</w:t>
            </w:r>
          </w:p>
        </w:tc>
        <w:tc>
          <w:tcPr>
            <w:tcW w:w="1017" w:type="dxa"/>
          </w:tcPr>
          <w:p w:rsidR="00505632" w:rsidRDefault="00505632" w:rsidP="00AD4E52">
            <w:pPr>
              <w:pStyle w:val="CellColumn"/>
              <w:jc w:val="right"/>
            </w:pPr>
            <w:r>
              <w:rPr>
                <w:rFonts w:cs="Times New Roman"/>
              </w:rPr>
              <w:t>85</w:t>
            </w:r>
          </w:p>
        </w:tc>
        <w:tc>
          <w:tcPr>
            <w:tcW w:w="1114" w:type="dxa"/>
          </w:tcPr>
          <w:p w:rsidR="00505632" w:rsidRDefault="00505632" w:rsidP="00AD4E52">
            <w:pPr>
              <w:pStyle w:val="CellColumn"/>
              <w:jc w:val="right"/>
            </w:pPr>
            <w:r>
              <w:rPr>
                <w:rFonts w:cs="Times New Roman"/>
              </w:rPr>
              <w:t>Strateški plan Ministarstva zaštite okoliša i prirode za 2016.-2018.</w:t>
            </w:r>
          </w:p>
        </w:tc>
        <w:tc>
          <w:tcPr>
            <w:tcW w:w="1017" w:type="dxa"/>
          </w:tcPr>
          <w:p w:rsidR="00505632" w:rsidRDefault="00505632" w:rsidP="00AD4E52">
            <w:pPr>
              <w:pStyle w:val="CellColumn"/>
              <w:jc w:val="right"/>
            </w:pPr>
            <w:r>
              <w:rPr>
                <w:rFonts w:cs="Times New Roman"/>
              </w:rPr>
              <w:t>90</w:t>
            </w:r>
          </w:p>
        </w:tc>
        <w:tc>
          <w:tcPr>
            <w:tcW w:w="1017" w:type="dxa"/>
          </w:tcPr>
          <w:p w:rsidR="00505632" w:rsidRDefault="00505632" w:rsidP="00AD4E52">
            <w:pPr>
              <w:pStyle w:val="CellColumn"/>
              <w:jc w:val="right"/>
            </w:pPr>
            <w:r>
              <w:rPr>
                <w:rFonts w:cs="Times New Roman"/>
              </w:rPr>
              <w:t>90</w:t>
            </w:r>
          </w:p>
        </w:tc>
      </w:tr>
      <w:tr w:rsidR="00505632" w:rsidTr="00AD4E52">
        <w:trPr>
          <w:jc w:val="center"/>
        </w:trPr>
        <w:tc>
          <w:tcPr>
            <w:tcW w:w="2522" w:type="dxa"/>
          </w:tcPr>
          <w:p w:rsidR="00505632" w:rsidRDefault="00505632" w:rsidP="00AD4E52">
            <w:pPr>
              <w:pStyle w:val="CellColumn"/>
              <w:jc w:val="left"/>
            </w:pPr>
            <w:r>
              <w:rPr>
                <w:rFonts w:cs="Times New Roman"/>
              </w:rPr>
              <w:t>Promicanje zaštite okoliša te jačanje svijesti o zaštiti okoliša, smanjenje okolišnog otiska proizvoda i usluga kroz životni ciklus i postizanje specifičnih ciljeva zaštite okoliša, dodijeljene nacionalne nagrade i priznanja za dostignuća u zaštiti okoliša i promicanje održivog razvoja, mjerila zelene javne nabave su uključena u sustav javne nabave, podignuta razina osviještenosti o okolišu i održivom razvitku</w:t>
            </w:r>
          </w:p>
        </w:tc>
        <w:tc>
          <w:tcPr>
            <w:tcW w:w="1013" w:type="dxa"/>
          </w:tcPr>
          <w:p w:rsidR="00505632" w:rsidRDefault="00505632" w:rsidP="00AD4E52">
            <w:pPr>
              <w:pStyle w:val="CellColumn"/>
              <w:jc w:val="right"/>
            </w:pPr>
            <w:r>
              <w:rPr>
                <w:rFonts w:cs="Times New Roman"/>
              </w:rPr>
              <w:t>%</w:t>
            </w:r>
          </w:p>
        </w:tc>
        <w:tc>
          <w:tcPr>
            <w:tcW w:w="1017" w:type="dxa"/>
          </w:tcPr>
          <w:p w:rsidR="00505632" w:rsidRDefault="00505632" w:rsidP="00AD4E52">
            <w:pPr>
              <w:pStyle w:val="CellColumn"/>
              <w:jc w:val="right"/>
            </w:pPr>
            <w:r>
              <w:rPr>
                <w:rFonts w:cs="Times New Roman"/>
              </w:rPr>
              <w:t>0</w:t>
            </w:r>
          </w:p>
        </w:tc>
        <w:tc>
          <w:tcPr>
            <w:tcW w:w="1114" w:type="dxa"/>
          </w:tcPr>
          <w:p w:rsidR="00505632" w:rsidRDefault="00505632" w:rsidP="00AD4E52">
            <w:pPr>
              <w:pStyle w:val="CellColumn"/>
              <w:jc w:val="right"/>
            </w:pPr>
            <w:r>
              <w:rPr>
                <w:rFonts w:cs="Times New Roman"/>
              </w:rPr>
              <w:t>Strateški plan Ministarstva zaštite okoliša i prirode za 2016.-2018.</w:t>
            </w:r>
          </w:p>
        </w:tc>
        <w:tc>
          <w:tcPr>
            <w:tcW w:w="1017" w:type="dxa"/>
          </w:tcPr>
          <w:p w:rsidR="00505632" w:rsidRDefault="00505632" w:rsidP="00AD4E52">
            <w:pPr>
              <w:pStyle w:val="CellColumn"/>
              <w:jc w:val="right"/>
            </w:pPr>
            <w:r>
              <w:rPr>
                <w:rFonts w:cs="Times New Roman"/>
              </w:rPr>
              <w:t>100</w:t>
            </w:r>
          </w:p>
        </w:tc>
        <w:tc>
          <w:tcPr>
            <w:tcW w:w="1017" w:type="dxa"/>
          </w:tcPr>
          <w:p w:rsidR="00505632" w:rsidRDefault="00505632" w:rsidP="00AD4E52">
            <w:pPr>
              <w:pStyle w:val="CellColumn"/>
              <w:jc w:val="right"/>
            </w:pPr>
            <w:r>
              <w:rPr>
                <w:rFonts w:cs="Times New Roman"/>
              </w:rPr>
              <w:t>100</w:t>
            </w:r>
          </w:p>
        </w:tc>
      </w:tr>
      <w:tr w:rsidR="00505632" w:rsidTr="00AD4E52">
        <w:trPr>
          <w:jc w:val="center"/>
        </w:trPr>
        <w:tc>
          <w:tcPr>
            <w:tcW w:w="2522" w:type="dxa"/>
          </w:tcPr>
          <w:p w:rsidR="00505632" w:rsidRDefault="00505632" w:rsidP="00AD4E52">
            <w:pPr>
              <w:pStyle w:val="CellColumn"/>
              <w:jc w:val="left"/>
            </w:pPr>
            <w:r>
              <w:rPr>
                <w:rFonts w:cs="Times New Roman"/>
              </w:rPr>
              <w:t>Postotak nadziranih osoba usklađenih s propisima iz područja zaštite okoliša</w:t>
            </w:r>
          </w:p>
        </w:tc>
        <w:tc>
          <w:tcPr>
            <w:tcW w:w="1013" w:type="dxa"/>
          </w:tcPr>
          <w:p w:rsidR="00505632" w:rsidRDefault="00505632" w:rsidP="00AD4E52">
            <w:pPr>
              <w:pStyle w:val="CellColumn"/>
              <w:jc w:val="right"/>
            </w:pPr>
            <w:r>
              <w:rPr>
                <w:rFonts w:cs="Times New Roman"/>
              </w:rPr>
              <w:t>%</w:t>
            </w:r>
          </w:p>
        </w:tc>
        <w:tc>
          <w:tcPr>
            <w:tcW w:w="1017" w:type="dxa"/>
          </w:tcPr>
          <w:p w:rsidR="00505632" w:rsidRDefault="00505632" w:rsidP="00AD4E52">
            <w:pPr>
              <w:pStyle w:val="CellColumn"/>
              <w:jc w:val="right"/>
            </w:pPr>
            <w:r>
              <w:rPr>
                <w:rFonts w:cs="Times New Roman"/>
              </w:rPr>
              <w:t>60</w:t>
            </w:r>
          </w:p>
        </w:tc>
        <w:tc>
          <w:tcPr>
            <w:tcW w:w="1114" w:type="dxa"/>
          </w:tcPr>
          <w:p w:rsidR="00505632" w:rsidRDefault="00505632" w:rsidP="00AD4E52">
            <w:pPr>
              <w:pStyle w:val="CellColumn"/>
              <w:jc w:val="right"/>
            </w:pPr>
            <w:r>
              <w:rPr>
                <w:rFonts w:cs="Times New Roman"/>
              </w:rPr>
              <w:t>Strateški plan Ministarstva zaštite okoliša i prirode za 2016.-2018.</w:t>
            </w:r>
          </w:p>
        </w:tc>
        <w:tc>
          <w:tcPr>
            <w:tcW w:w="1017" w:type="dxa"/>
          </w:tcPr>
          <w:p w:rsidR="00505632" w:rsidRDefault="00505632" w:rsidP="00AD4E52">
            <w:pPr>
              <w:pStyle w:val="CellColumn"/>
              <w:jc w:val="right"/>
            </w:pPr>
            <w:r>
              <w:rPr>
                <w:rFonts w:cs="Times New Roman"/>
              </w:rPr>
              <w:t>62</w:t>
            </w:r>
          </w:p>
        </w:tc>
        <w:tc>
          <w:tcPr>
            <w:tcW w:w="1017" w:type="dxa"/>
          </w:tcPr>
          <w:p w:rsidR="00505632" w:rsidRDefault="00505632" w:rsidP="00AD4E52">
            <w:pPr>
              <w:pStyle w:val="CellColumn"/>
              <w:jc w:val="right"/>
            </w:pPr>
            <w:r>
              <w:rPr>
                <w:rFonts w:cs="Times New Roman"/>
              </w:rPr>
              <w:t>62</w:t>
            </w:r>
          </w:p>
        </w:tc>
      </w:tr>
      <w:tr w:rsidR="00505632" w:rsidTr="00AD4E52">
        <w:trPr>
          <w:jc w:val="center"/>
        </w:trPr>
        <w:tc>
          <w:tcPr>
            <w:tcW w:w="2522" w:type="dxa"/>
          </w:tcPr>
          <w:p w:rsidR="00505632" w:rsidRDefault="00505632" w:rsidP="00AD4E52">
            <w:pPr>
              <w:pStyle w:val="CellColumn"/>
              <w:jc w:val="left"/>
            </w:pPr>
            <w:r>
              <w:rPr>
                <w:rFonts w:cs="Times New Roman"/>
              </w:rPr>
              <w:t>Usklađivanje sustava zaštite klime i ozonskog sloja s EU standardima i međunarodnim sporazumima,  unapređenje pravnog i institucionalnog okvira za subjekte uključene u sustav trgovanja emisijskim jedinicama stakleničkih plinova  (izdane dozvole, mišljenja), povećanje transparentnosti, pouzdanosti, dosljednosti, usporedivosti i točnosti inventara stakleničkih plinova kroz izvješća stručnog revizijskog tima, uspješno provođenje projekata ublaženja i prilagodbe klimatskim promjenama i zaštite ozonskog sloja, te povećanje postotka izdanih dozvola, mišljenja i rješenja te jačanje svijesti javnosti o zaštiti klime i ozonskog sloja</w:t>
            </w:r>
          </w:p>
        </w:tc>
        <w:tc>
          <w:tcPr>
            <w:tcW w:w="1013" w:type="dxa"/>
          </w:tcPr>
          <w:p w:rsidR="00505632" w:rsidRDefault="00505632" w:rsidP="00AD4E52">
            <w:pPr>
              <w:pStyle w:val="CellColumn"/>
              <w:jc w:val="right"/>
            </w:pPr>
            <w:r>
              <w:rPr>
                <w:rFonts w:cs="Times New Roman"/>
              </w:rPr>
              <w:t>%</w:t>
            </w:r>
          </w:p>
        </w:tc>
        <w:tc>
          <w:tcPr>
            <w:tcW w:w="1017" w:type="dxa"/>
          </w:tcPr>
          <w:p w:rsidR="00505632" w:rsidRDefault="00505632" w:rsidP="00AD4E52">
            <w:pPr>
              <w:pStyle w:val="CellColumn"/>
              <w:jc w:val="right"/>
            </w:pPr>
            <w:r>
              <w:rPr>
                <w:rFonts w:cs="Times New Roman"/>
              </w:rPr>
              <w:t>65</w:t>
            </w:r>
          </w:p>
        </w:tc>
        <w:tc>
          <w:tcPr>
            <w:tcW w:w="1114" w:type="dxa"/>
          </w:tcPr>
          <w:p w:rsidR="00505632" w:rsidRDefault="00505632" w:rsidP="00AD4E52">
            <w:pPr>
              <w:pStyle w:val="CellColumn"/>
              <w:jc w:val="right"/>
            </w:pPr>
            <w:r>
              <w:rPr>
                <w:rFonts w:cs="Times New Roman"/>
              </w:rPr>
              <w:t>Strateški plan Ministarstva zaštite okoliša i energetike 2016.-2018.</w:t>
            </w:r>
          </w:p>
        </w:tc>
        <w:tc>
          <w:tcPr>
            <w:tcW w:w="1017" w:type="dxa"/>
          </w:tcPr>
          <w:p w:rsidR="00505632" w:rsidRDefault="00505632" w:rsidP="00AD4E52">
            <w:pPr>
              <w:pStyle w:val="CellColumn"/>
              <w:jc w:val="right"/>
            </w:pPr>
            <w:r>
              <w:rPr>
                <w:rFonts w:cs="Times New Roman"/>
              </w:rPr>
              <w:t>66</w:t>
            </w:r>
          </w:p>
        </w:tc>
        <w:tc>
          <w:tcPr>
            <w:tcW w:w="1017" w:type="dxa"/>
          </w:tcPr>
          <w:p w:rsidR="00505632" w:rsidRDefault="00505632" w:rsidP="00AD4E52">
            <w:pPr>
              <w:pStyle w:val="CellColumn"/>
              <w:jc w:val="right"/>
            </w:pPr>
            <w:r>
              <w:rPr>
                <w:rFonts w:cs="Times New Roman"/>
              </w:rPr>
              <w:t>66</w:t>
            </w:r>
          </w:p>
        </w:tc>
      </w:tr>
    </w:tbl>
    <w:p w:rsidR="00505632" w:rsidRDefault="00505632" w:rsidP="00505632">
      <w:pPr>
        <w:jc w:val="left"/>
      </w:pPr>
    </w:p>
    <w:p w:rsidR="00505632" w:rsidRDefault="00505632" w:rsidP="00505632">
      <w:pPr>
        <w:pStyle w:val="Heading4"/>
      </w:pPr>
      <w:r>
        <w:t>A576169 PROVOĐENJE POSTUPKA PROCJENE UTJECAJA NA OKOLIŠ</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A576169-PROVOĐENJE POSTUPKA PROCJENE UTJECAJA NA OKOLIŠ</w:t>
            </w:r>
          </w:p>
        </w:tc>
        <w:tc>
          <w:tcPr>
            <w:tcW w:w="2041" w:type="dxa"/>
          </w:tcPr>
          <w:p w:rsidR="00505632" w:rsidRDefault="00505632" w:rsidP="00AD4E52">
            <w:pPr>
              <w:pStyle w:val="CellColumn"/>
              <w:jc w:val="right"/>
            </w:pPr>
            <w:r>
              <w:rPr>
                <w:rFonts w:cs="Times New Roman"/>
              </w:rPr>
              <w:t>1.102.274</w:t>
            </w:r>
          </w:p>
        </w:tc>
        <w:tc>
          <w:tcPr>
            <w:tcW w:w="2041" w:type="dxa"/>
          </w:tcPr>
          <w:p w:rsidR="00505632" w:rsidRDefault="00505632" w:rsidP="00AD4E52">
            <w:pPr>
              <w:pStyle w:val="CellColumn"/>
              <w:jc w:val="right"/>
            </w:pPr>
            <w:r>
              <w:rPr>
                <w:rFonts w:cs="Times New Roman"/>
              </w:rPr>
              <w:t>887.500</w:t>
            </w:r>
          </w:p>
        </w:tc>
        <w:tc>
          <w:tcPr>
            <w:tcW w:w="2041" w:type="dxa"/>
          </w:tcPr>
          <w:p w:rsidR="00505632" w:rsidRDefault="00505632" w:rsidP="00AD4E52">
            <w:pPr>
              <w:pStyle w:val="CellColumn"/>
              <w:jc w:val="right"/>
            </w:pPr>
            <w:r>
              <w:rPr>
                <w:rFonts w:cs="Times New Roman"/>
              </w:rPr>
              <w:t>663.883</w:t>
            </w:r>
          </w:p>
        </w:tc>
        <w:tc>
          <w:tcPr>
            <w:tcW w:w="1224" w:type="dxa"/>
          </w:tcPr>
          <w:p w:rsidR="00505632" w:rsidRDefault="00505632" w:rsidP="00AD4E52">
            <w:pPr>
              <w:pStyle w:val="CellColumn"/>
              <w:jc w:val="right"/>
            </w:pPr>
            <w:r>
              <w:rPr>
                <w:rFonts w:cs="Times New Roman"/>
              </w:rPr>
              <w:t>74,8</w:t>
            </w:r>
          </w:p>
        </w:tc>
        <w:tc>
          <w:tcPr>
            <w:tcW w:w="1224" w:type="dxa"/>
          </w:tcPr>
          <w:p w:rsidR="00505632" w:rsidRDefault="00505632" w:rsidP="00AD4E52">
            <w:pPr>
              <w:pStyle w:val="CellColumn"/>
              <w:jc w:val="right"/>
            </w:pPr>
            <w:r>
              <w:rPr>
                <w:rFonts w:cs="Times New Roman"/>
              </w:rPr>
              <w:t>60,2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Postupci strateške procjena i ocjene o potrebi strateške procjene provodili su se prema: člancima od  62. do 75. Zakona o zaštiti okoliša („Narodne novine“, broj 80/13, 153/13 i 78/15), te prema Uredbi o strateškoj procjeni utjecaja plana i programa na okoliš („Narodne novine“, broj 64/08) i Pravilniku o povjerenstvu za stratešku procjenu („Narodne novine“, broj 70/08). Postupci procjena utjecaja i ocjena o potrebi procjene provodili su se prema: člancima od  76. do 94. Zakona o zaštiti okoliša („Narodne novine“, broj 80/13, 153/13 i 78/15).</w:t>
      </w:r>
    </w:p>
    <w:p w:rsidR="00505632" w:rsidRDefault="00505632" w:rsidP="00505632">
      <w:pPr>
        <w:pStyle w:val="Heading8"/>
        <w:jc w:val="left"/>
      </w:pPr>
      <w:r>
        <w:t>Opis aktivnosti</w:t>
      </w:r>
    </w:p>
    <w:p w:rsidR="00505632" w:rsidRDefault="00505632" w:rsidP="00505632">
      <w:r>
        <w:t>U postupku strateške procjene: Prema članku 72. stavku 1 Zakona o zaštiti okoliša prije nego što je utvrđen nacrt prijedloga strategije, plana ili programa koji se daje na javnu raspravu uključujući javni uvid i javno izlaganje, nacrt strategije, plana i programa razmatra, a rezultate strateške studije ocjenjuje savjetodavno stručno povjerenstvo (u daljnjem tekstu: povjerenstvo za stratešku procjenu) i o tome daje svoje mišljenje. Prema članku 72. stavku 6. Zakona o zaštiti okoliša povjerenstvo ima pravo na naknadu za svoj rad, ali se naknada nije ostvarivala. Aktivnosti su se odnosile na provedbu postupaka strateške procjene i ocjene o potrebi strateške procjene na državnoj razini, nadzor provedbe strateške procjene i ocjene o potrebi strateške procjene na županijskoj i lokalnoj razini. Uključujući i izdavanje mišljenja, obrazloženja i tumačenja temeljem Zakona te drugih propisa. U postupku procjene utjecaja zahvata na okoliš: Prema članku 87. stavku 1 Zakona o zaštiti okoliša u postupku procjene utjecaja zahvata na okoliš svojim mišljenjem sudjeluje savjetodavno stručno povjerenstvo (dalje u tekstu: povjerenstvo), koje za svaki pojedini zahvat imenuje ministar, odnosno čelnik nadležnog upravnog tijela u županiji te u Gradu Zagrebu. Prema članku 87. stavku 7. Zakona o zaštiti okoliša povjerenstvo ima pravo na naknadu za svoj rad. Visina naknade članovima povjerenstva utvrđena je Odlukom ministra. Troškove rada stručnog povjerenstva snosi nositelj zahvata. Aktivnosti su se odnosile na provedbu postupaka procjene utjecaja zahvata na okoliš temeljem studija o utjecaju na okoliš, čiju cjelovitost i stručnu utemeljenost je ocjenjivalo stručno povjerenstvo na svojim sjednicama u okviru postupaka procjene.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15"/>
        <w:gridCol w:w="2511"/>
        <w:gridCol w:w="1014"/>
        <w:gridCol w:w="1017"/>
        <w:gridCol w:w="1114"/>
        <w:gridCol w:w="1017"/>
        <w:gridCol w:w="1018"/>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Održavanje kontinuiteta provedenih postupaka strateške procjene utjecaja na okoliš i procjene utjecaja zahvata na okoliš u odnosu na zaprimljene zahtjeve</w:t>
            </w:r>
          </w:p>
        </w:tc>
        <w:tc>
          <w:tcPr>
            <w:tcW w:w="2551" w:type="dxa"/>
          </w:tcPr>
          <w:p w:rsidR="00505632" w:rsidRDefault="00505632" w:rsidP="00AD4E52">
            <w:pPr>
              <w:pStyle w:val="CellColumn"/>
              <w:jc w:val="left"/>
            </w:pPr>
            <w:r>
              <w:rPr>
                <w:rFonts w:cs="Times New Roman"/>
              </w:rPr>
              <w:t>Provedeni postupci strateške procjene utjecaja na okoliš i procjene utjecaja zahvata na okoliš</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55</w:t>
            </w:r>
          </w:p>
        </w:tc>
        <w:tc>
          <w:tcPr>
            <w:tcW w:w="1020" w:type="dxa"/>
          </w:tcPr>
          <w:p w:rsidR="00505632" w:rsidRDefault="00505632" w:rsidP="00AD4E52">
            <w:pPr>
              <w:pStyle w:val="CellColumn"/>
              <w:jc w:val="right"/>
            </w:pPr>
            <w:r>
              <w:rPr>
                <w:rFonts w:cs="Times New Roman"/>
              </w:rPr>
              <w:t>Strateški plan Ministarstva zaštite okoliša i prirode za razdoblje 2016. do 2018.</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84</w:t>
            </w:r>
          </w:p>
        </w:tc>
      </w:tr>
    </w:tbl>
    <w:p w:rsidR="00505632" w:rsidRDefault="00505632" w:rsidP="00505632">
      <w:pPr>
        <w:jc w:val="left"/>
      </w:pPr>
    </w:p>
    <w:p w:rsidR="00505632" w:rsidRDefault="00505632" w:rsidP="00505632">
      <w:pPr>
        <w:pStyle w:val="Heading4"/>
      </w:pPr>
      <w:r>
        <w:t>A576173 SURADNJA NA LOKALNOJ, REGIONALNOJ I MEĐUNARODNOJ RAZINI</w:t>
      </w:r>
    </w:p>
    <w:tbl>
      <w:tblPr>
        <w:tblStyle w:val="StilTablice"/>
        <w:tblW w:w="10206" w:type="dxa"/>
        <w:jc w:val="center"/>
        <w:tblLook w:val="04A0" w:firstRow="1" w:lastRow="0" w:firstColumn="1" w:lastColumn="0" w:noHBand="0" w:noVBand="1"/>
      </w:tblPr>
      <w:tblGrid>
        <w:gridCol w:w="1781"/>
        <w:gridCol w:w="1997"/>
        <w:gridCol w:w="1998"/>
        <w:gridCol w:w="1998"/>
        <w:gridCol w:w="1214"/>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A576173-SURADNJA NA LOKALNOJ, REGIONALNOJ I MEĐUNARODNOJ RAZINI</w:t>
            </w:r>
          </w:p>
        </w:tc>
        <w:tc>
          <w:tcPr>
            <w:tcW w:w="2041" w:type="dxa"/>
          </w:tcPr>
          <w:p w:rsidR="00505632" w:rsidRDefault="00505632" w:rsidP="00AD4E52">
            <w:pPr>
              <w:pStyle w:val="CellColumn"/>
              <w:jc w:val="right"/>
            </w:pPr>
            <w:r>
              <w:rPr>
                <w:rFonts w:cs="Times New Roman"/>
              </w:rPr>
              <w:t>4.231.817</w:t>
            </w:r>
          </w:p>
        </w:tc>
        <w:tc>
          <w:tcPr>
            <w:tcW w:w="2041" w:type="dxa"/>
          </w:tcPr>
          <w:p w:rsidR="00505632" w:rsidRDefault="00505632" w:rsidP="00AD4E52">
            <w:pPr>
              <w:pStyle w:val="CellColumn"/>
              <w:jc w:val="right"/>
            </w:pPr>
            <w:r>
              <w:rPr>
                <w:rFonts w:cs="Times New Roman"/>
              </w:rPr>
              <w:t>3.945.018</w:t>
            </w:r>
          </w:p>
        </w:tc>
        <w:tc>
          <w:tcPr>
            <w:tcW w:w="2041" w:type="dxa"/>
          </w:tcPr>
          <w:p w:rsidR="00505632" w:rsidRDefault="00505632" w:rsidP="00AD4E52">
            <w:pPr>
              <w:pStyle w:val="CellColumn"/>
              <w:jc w:val="right"/>
            </w:pPr>
            <w:r>
              <w:rPr>
                <w:rFonts w:cs="Times New Roman"/>
              </w:rPr>
              <w:t>3.755.665</w:t>
            </w:r>
          </w:p>
        </w:tc>
        <w:tc>
          <w:tcPr>
            <w:tcW w:w="1224" w:type="dxa"/>
          </w:tcPr>
          <w:p w:rsidR="00505632" w:rsidRDefault="00505632" w:rsidP="00AD4E52">
            <w:pPr>
              <w:pStyle w:val="CellColumn"/>
              <w:jc w:val="right"/>
            </w:pPr>
            <w:r>
              <w:rPr>
                <w:rFonts w:cs="Times New Roman"/>
              </w:rPr>
              <w:t>95,2</w:t>
            </w:r>
          </w:p>
        </w:tc>
        <w:tc>
          <w:tcPr>
            <w:tcW w:w="1224" w:type="dxa"/>
          </w:tcPr>
          <w:p w:rsidR="00505632" w:rsidRDefault="00505632" w:rsidP="00AD4E52">
            <w:pPr>
              <w:pStyle w:val="CellColumn"/>
              <w:jc w:val="right"/>
            </w:pPr>
            <w:r>
              <w:rPr>
                <w:rFonts w:cs="Times New Roman"/>
              </w:rPr>
              <w:t>88,7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sustavu državne uprave, Uredba o unutarnjem ustrojstvu Ministarstva zaštite okoliša i prirode, Propisi iz nadležnosti Ministarstva, Međunarodne konvencije iz nadležnosti Ministarstva.</w:t>
      </w:r>
    </w:p>
    <w:p w:rsidR="00505632" w:rsidRDefault="00505632" w:rsidP="00505632">
      <w:pPr>
        <w:pStyle w:val="Heading8"/>
        <w:jc w:val="left"/>
      </w:pPr>
      <w:r>
        <w:t>Opis aktivnosti</w:t>
      </w:r>
    </w:p>
    <w:p w:rsidR="00505632" w:rsidRDefault="00505632" w:rsidP="00505632">
      <w:r>
        <w:t>Sredstva aktivnosti A576173 Suradnja na lokalnoj, regionalnoj i međunarodnoj razini u 2016. godini korištena su za: - sudjelovanje predstavnika Ministarstva u aktivnostima zaštite okoliša i održivog razvoja na multilateralnoj, regionalnoj, bilateralnoj te na EU razini. S obzirom da je RH stranka međunarodnih konvencija u području zaštite okoliša i prirode te njihovih pratećih protokola za čiju provedbu je izravno zaduženo ovo Ministarstvo, podrazumijeva se obveza sudjelovanja u radu konferencija stranaka i sastanaka radnih tijela konvencija. Također, Republika Hrvatska je članica značajnog broja međunarodnih organizacija pa je na međunarodnoj razini aktivno uključena u inicijative i procese te doprinos razvoju EU i globalnih politika zaštite okoliša. - aktivnosti provedbe pojedinih međudržavnih sporazuma u zaštiti okoliša i prirode i domaćinstvo međudržavnih (i bilateralnih ministarskih) sastanaka što podrazumijeva i pokrivanje troškova organizacije sastanaka - podmirivanje obveze plaćanja doprinosa za članstvo u međunarodnim sporazumima i organizacijama kojima je RH član: Program UN-a za okoliš – UNEP - 217.883 kn; UNEP/Mediteranski akcijski plan (MAP) i Konvencija o zaštiti morskog okoliša i obalnog područja Sredozemlja - 320.197 kn; Konvencija o prekograničnom onečišćenju zraka na velikim udaljenostima (LRTAP) - 44.673 kn; Protokol uz LRTAP Konvenciju iz 1979. o dugoročnom financiranju Programa suradnje za praćenje i procjenu prekograničnog prijenosa onečišćujućih tvari u zraku na velike udaljenosti u Europi (EMEP Protokol) - 47.813 kn; Konvencija Ujedinjenih Naroda o suzbijanju dezertifikacije u zemljama pogođenim jakim sušama i/ili dezertifikacijom, osobito u Africi - 70.602 kn; Okvirna konvencija Ujedinjenih naroda o promjeni klime - 185.710 kn; Kyotski protokol uz Okvirnu konvenciju Ujedinjenih naroda o promjeni klime - 100.166 kn; ITL – Međunarodni dnevnik transakcija (Kyoto Protokol) - 16.232 kn; Konvencija o pristupu informacijama, sudjelovanju javnosti u odlučivanju i pristupu pravosuđu u pitanjima okoliša, Protokol o registrima ispuštanja i prijenosa onečišćavanja - 42.056 kn; ESPOO Konvencija o procjeni utjecaja na okoliš preko državnih granica - 21 000 kn; Konvencija o nadzoru prekograničnog prometa opasnog otpada i njegovu odlaganju - 52.898 kn; UNECE Zaklada za obrazovanje za održivi razvoj - 15.320 kn; Stockholmska konvencija o postojanim organskim onečišćujućim tvarima - 58.373 kn; Montrealski protokol (Trust fund for the multilateral fund for the implementation of the Montreal protocol -  1.418.396 kn; Montrealski protokol (Trust fund for the Montreal protocol) - 37.741 kn; Bečka konvencija o zaštiti ozonskog sloja - 5.319 kn; Konvencija o prekograničnim učincima industrijskih nesreća - 19.879 kn; EUROCONTROL - 814,25 €; - Financiranje hladnog pogona Centra za regionalne aktivnosti Mediteranskog Akcijskog Plana Programa UN-a za okoliš u Splitu kojemu je Republika Hrvatska domaćin prema Ugovoru iz 1996. s UNEP-om u iznosu od 200.000 kn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Kontinuirano usklađivanje sustava zaštite klime i ozonskog sloja s EU standardima i međunarodnim sporazumima</w:t>
            </w:r>
          </w:p>
        </w:tc>
        <w:tc>
          <w:tcPr>
            <w:tcW w:w="2551" w:type="dxa"/>
          </w:tcPr>
          <w:p w:rsidR="00505632" w:rsidRDefault="00505632" w:rsidP="00AD4E52">
            <w:pPr>
              <w:pStyle w:val="CellColumn"/>
              <w:jc w:val="left"/>
            </w:pPr>
            <w:r>
              <w:rPr>
                <w:rFonts w:cs="Times New Roman"/>
              </w:rPr>
              <w:t>Ministarstvo konstantno prati i usklađuje dokumente sa regulativom EU i međunarodnim sporazumima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99</w:t>
            </w:r>
          </w:p>
        </w:tc>
      </w:tr>
    </w:tbl>
    <w:p w:rsidR="00505632" w:rsidRDefault="00505632" w:rsidP="00505632">
      <w:pPr>
        <w:jc w:val="left"/>
      </w:pPr>
    </w:p>
    <w:p w:rsidR="00505632" w:rsidRDefault="00505632" w:rsidP="00505632">
      <w:pPr>
        <w:pStyle w:val="Heading4"/>
      </w:pPr>
      <w:r>
        <w:t>A576189 NADZOR OKOLIŠA I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A576189-NADZOR OKOLIŠA I PRIRODE</w:t>
            </w:r>
          </w:p>
        </w:tc>
        <w:tc>
          <w:tcPr>
            <w:tcW w:w="2041" w:type="dxa"/>
          </w:tcPr>
          <w:p w:rsidR="00505632" w:rsidRDefault="00505632" w:rsidP="00AD4E52">
            <w:pPr>
              <w:pStyle w:val="CellColumn"/>
              <w:jc w:val="right"/>
            </w:pPr>
            <w:r>
              <w:rPr>
                <w:rFonts w:cs="Times New Roman"/>
              </w:rPr>
              <w:t>633.968</w:t>
            </w:r>
          </w:p>
        </w:tc>
        <w:tc>
          <w:tcPr>
            <w:tcW w:w="2041" w:type="dxa"/>
          </w:tcPr>
          <w:p w:rsidR="00505632" w:rsidRDefault="00505632" w:rsidP="00AD4E52">
            <w:pPr>
              <w:pStyle w:val="CellColumn"/>
              <w:jc w:val="right"/>
            </w:pPr>
            <w:r>
              <w:rPr>
                <w:rFonts w:cs="Times New Roman"/>
              </w:rPr>
              <w:t>933.000</w:t>
            </w:r>
          </w:p>
        </w:tc>
        <w:tc>
          <w:tcPr>
            <w:tcW w:w="2041" w:type="dxa"/>
          </w:tcPr>
          <w:p w:rsidR="00505632" w:rsidRDefault="00505632" w:rsidP="00AD4E52">
            <w:pPr>
              <w:pStyle w:val="CellColumn"/>
              <w:jc w:val="right"/>
            </w:pPr>
            <w:r>
              <w:rPr>
                <w:rFonts w:cs="Times New Roman"/>
              </w:rPr>
              <w:t>585.472</w:t>
            </w:r>
          </w:p>
        </w:tc>
        <w:tc>
          <w:tcPr>
            <w:tcW w:w="1224" w:type="dxa"/>
          </w:tcPr>
          <w:p w:rsidR="00505632" w:rsidRDefault="00505632" w:rsidP="00AD4E52">
            <w:pPr>
              <w:pStyle w:val="CellColumn"/>
              <w:jc w:val="right"/>
            </w:pPr>
            <w:r>
              <w:rPr>
                <w:rFonts w:cs="Times New Roman"/>
              </w:rPr>
              <w:t>62,8</w:t>
            </w:r>
          </w:p>
        </w:tc>
        <w:tc>
          <w:tcPr>
            <w:tcW w:w="1224" w:type="dxa"/>
          </w:tcPr>
          <w:p w:rsidR="00505632" w:rsidRDefault="00505632" w:rsidP="00AD4E52">
            <w:pPr>
              <w:pStyle w:val="CellColumn"/>
              <w:jc w:val="right"/>
            </w:pPr>
            <w:r>
              <w:rPr>
                <w:rFonts w:cs="Times New Roman"/>
              </w:rPr>
              <w:t>92,4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Pravna podloga prijedloga planiranja i korištenja sredstava državnog proračuna su odredbe Zakona o zaštiti okoliša (NN, br. 80/13, 78/15), poglavlje XIII, posebno članak 230. koje se odnose na provedbu inspekcijskog nadzora. Zakonom o zaštiti okoliša propisane su ovlasti inspektora, pa je uz ostalo ovlaštenje inspektora narediti uzorkovanje tla, mora, zraka i otpada putem ovlaštene osobe. Sukladno odredbama Zakona o zaštiti okoliša troškovi izvršenja inspekcijskog rješenja namiruju iz državnog proračuna do naplate od izvršenika. </w:t>
      </w:r>
    </w:p>
    <w:p w:rsidR="00505632" w:rsidRDefault="00505632" w:rsidP="00505632">
      <w:r>
        <w:t xml:space="preserve">Zakonske i druge pravne osnove iz nadležnosti inspekcije zaštite prirode: </w:t>
      </w:r>
    </w:p>
    <w:p w:rsidR="00505632" w:rsidRDefault="00505632" w:rsidP="00505632">
      <w:r>
        <w:t xml:space="preserve">1. Zakon o zaštiti prirode (Narodne novine, broj 80/13);   </w:t>
      </w:r>
    </w:p>
    <w:p w:rsidR="00505632" w:rsidRDefault="00505632" w:rsidP="00505632">
      <w:r>
        <w:t xml:space="preserve">2. Zakon o prekograničnom prometu i trgovini divljim vrstama (Narodne novine, broj 94/03);   </w:t>
      </w:r>
    </w:p>
    <w:p w:rsidR="00505632" w:rsidRDefault="00505632" w:rsidP="00505632">
      <w:r>
        <w:t xml:space="preserve">3. Zakon o genetski modificiranim organizmima (Narodne novine, br. 70/05, 137/09, 28/13 i 47/14);   </w:t>
      </w:r>
    </w:p>
    <w:p w:rsidR="00505632" w:rsidRDefault="00505632" w:rsidP="00505632">
      <w:r>
        <w:t xml:space="preserve">4. Zakon o provedbi Uredbe (EZ) br. 1946/2003 o prekograničnom prijenosu genetski modificiranih organizama </w:t>
      </w:r>
    </w:p>
    <w:p w:rsidR="00505632" w:rsidRDefault="00505632" w:rsidP="00505632">
      <w:r>
        <w:t xml:space="preserve">(Narodne novine 81/13); </w:t>
      </w:r>
    </w:p>
    <w:p w:rsidR="00505632" w:rsidRDefault="00505632" w:rsidP="00505632">
      <w:r>
        <w:t xml:space="preserve">5. Zakon o održivom gospodarenju otpadom (Narodne novine, broj 94/13); </w:t>
      </w:r>
    </w:p>
    <w:p w:rsidR="00505632" w:rsidRDefault="00505632" w:rsidP="00505632">
      <w:r>
        <w:t xml:space="preserve">6. Uredba o ekološkoj mreži (Narodne novine, broj 124/03 i 105/15);   </w:t>
      </w:r>
    </w:p>
    <w:p w:rsidR="00505632" w:rsidRDefault="00505632" w:rsidP="00505632">
      <w:r>
        <w:t>7. Strategija i akcijski plan zaštite biološke i krajobrazne raznolikosti Republike Hrvatske (Narodne novine, broj 143/08.);</w:t>
      </w:r>
    </w:p>
    <w:p w:rsidR="00505632" w:rsidRDefault="00505632" w:rsidP="00505632">
      <w:pPr>
        <w:pStyle w:val="Heading8"/>
        <w:jc w:val="left"/>
      </w:pPr>
      <w:r>
        <w:t>Opis aktivnosti</w:t>
      </w:r>
    </w:p>
    <w:p w:rsidR="00505632" w:rsidRDefault="00505632" w:rsidP="00505632">
      <w:r>
        <w:t>Inspekcijske službe ustrojene u Upravi za inspekcijske poslove u svrhu kontrole provedbe zakona iz djelokruga rada Ministarstva, temeljem propisanih ovlasti obavljaju specifične poslove koji, osim redovnih planiranih aktivnosti, u znatnoj mjeri ovise o trenutnim nepredvidivim zbivanjima u području zaštite okoliša i zaštite prirode (prijave građana, izvanredni događaji, velike nesreće, onečišćenja i sl.). Zbog tih je specifičnosti nužno u proračunu planirati sredstva za realizaciju inspekcijskih nadzora i daljnjih postupaka koji nakon utvrđenja povrede propisa proizlaze, posebice u slučaju onečišćenja okoliša te potrebe sanacije onečišćenog okoliša. Osnovne zadaće inspekcije zaštite okoliša su nadzor primjene regulative radi usklađenosti nadziranih osoba s okolišnom regulativom kao i poticaj njene primjene s ciljem unapređenja kvalitete okoliša i života građana te sprečavanja onečišćenja, štete i ozbiljnih nesreća. Dugoročnim aktivnostima inspekcije zaštite okoliša u suradnji s drugim inspekcijskim službama u području okoliša omogućuje se sprječavanje i rješavanje problema u području zaštite okoliša u cilju povećanja kvalitete života. Prema preliminarnim podacima o obavljenim inspekcijskim nadzorima i mjerama poduzetim od strane inspektora zaštite okoliša za 2016. godinu, inspektori zaštite okoliša su tijekom 2016. godine obavili nešto više od 5.800 inspekcijskih nadzora. Također je donijeto 247 rješenja sa 564 mjera te dano više od 3.000 mjera na zapisnik. Tijekom 2016. godine Sektor inspekcijskog nadzora zaštite prirode je obavio 1.029 inspekcijska nadzora, a time je ostvareno povećanje broja inspekcijskih nadzora od 2,9 % u odnosu na 2015. godinu. Od navedenog broja, 556 nadzora je bilo planirano, a 473 izvan plana odnosno po predstavkama. Ukupno, je pisanih predstavki bilo 215, od koji je 42 proslijeđena na postupanje drugim tijelima. Ovaj Sektor je u 2016. godini izdao 39 rješenja, na koje nije bilo žalbi, podnio je 18 optužnih prijedloga, 11 prekršajnih naloga i 2 kaznene prijave te izdao 6 potvrda o privremenom oduzimanju robe. U 2016. godini Sektor inspekcijskog nadzora zaštite prirode je pripremio i 648 raznih drugih dokumenata (izvješća, obavijesti i sl.).</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Provedeni inspekcijski nadzori zaštite okoliša</w:t>
            </w:r>
          </w:p>
        </w:tc>
        <w:tc>
          <w:tcPr>
            <w:tcW w:w="2551" w:type="dxa"/>
          </w:tcPr>
          <w:p w:rsidR="00505632" w:rsidRDefault="00505632" w:rsidP="00AD4E52">
            <w:pPr>
              <w:pStyle w:val="CellColumn"/>
              <w:jc w:val="left"/>
            </w:pPr>
            <w:r>
              <w:rPr>
                <w:rFonts w:cs="Times New Roman"/>
              </w:rPr>
              <w:t>Broj obavljenih inspekcijskih nadzora iz područja zaštite okoliša</w:t>
            </w:r>
          </w:p>
        </w:tc>
        <w:tc>
          <w:tcPr>
            <w:tcW w:w="1020" w:type="dxa"/>
          </w:tcPr>
          <w:p w:rsidR="00505632" w:rsidRDefault="00505632" w:rsidP="00AD4E52">
            <w:pPr>
              <w:pStyle w:val="CellColumn"/>
              <w:jc w:val="right"/>
            </w:pPr>
            <w:r>
              <w:rPr>
                <w:rFonts w:cs="Times New Roman"/>
              </w:rPr>
              <w:t>Broj nadzora</w:t>
            </w:r>
          </w:p>
        </w:tc>
        <w:tc>
          <w:tcPr>
            <w:tcW w:w="1020" w:type="dxa"/>
          </w:tcPr>
          <w:p w:rsidR="00505632" w:rsidRDefault="00505632" w:rsidP="00AD4E52">
            <w:pPr>
              <w:pStyle w:val="CellColumn"/>
              <w:jc w:val="right"/>
            </w:pPr>
            <w:r>
              <w:rPr>
                <w:rFonts w:cs="Times New Roman"/>
              </w:rPr>
              <w:t>5.118</w:t>
            </w:r>
          </w:p>
        </w:tc>
        <w:tc>
          <w:tcPr>
            <w:tcW w:w="1020" w:type="dxa"/>
          </w:tcPr>
          <w:p w:rsidR="00505632" w:rsidRDefault="00505632" w:rsidP="00AD4E52">
            <w:pPr>
              <w:pStyle w:val="CellColumn"/>
              <w:jc w:val="right"/>
            </w:pPr>
            <w:r>
              <w:rPr>
                <w:rFonts w:cs="Times New Roman"/>
              </w:rPr>
              <w:t>Godišnje izvješće o radu</w:t>
            </w:r>
          </w:p>
        </w:tc>
        <w:tc>
          <w:tcPr>
            <w:tcW w:w="1020" w:type="dxa"/>
          </w:tcPr>
          <w:p w:rsidR="00505632" w:rsidRDefault="00505632" w:rsidP="00AD4E52">
            <w:pPr>
              <w:pStyle w:val="CellColumn"/>
              <w:jc w:val="right"/>
            </w:pPr>
            <w:r>
              <w:rPr>
                <w:rFonts w:cs="Times New Roman"/>
              </w:rPr>
              <w:t>5.600</w:t>
            </w:r>
          </w:p>
        </w:tc>
        <w:tc>
          <w:tcPr>
            <w:tcW w:w="1020" w:type="dxa"/>
          </w:tcPr>
          <w:p w:rsidR="00505632" w:rsidRDefault="00505632" w:rsidP="00AD4E52">
            <w:pPr>
              <w:pStyle w:val="CellColumn"/>
              <w:jc w:val="right"/>
            </w:pPr>
            <w:r>
              <w:rPr>
                <w:rFonts w:cs="Times New Roman"/>
              </w:rPr>
              <w:t>5.800</w:t>
            </w:r>
          </w:p>
        </w:tc>
      </w:tr>
      <w:tr w:rsidR="00505632" w:rsidTr="00AD4E52">
        <w:trPr>
          <w:jc w:val="center"/>
        </w:trPr>
        <w:tc>
          <w:tcPr>
            <w:tcW w:w="2551" w:type="dxa"/>
          </w:tcPr>
          <w:p w:rsidR="00505632" w:rsidRDefault="00505632" w:rsidP="00AD4E52">
            <w:pPr>
              <w:pStyle w:val="CellColumn"/>
              <w:jc w:val="left"/>
            </w:pPr>
            <w:r>
              <w:rPr>
                <w:rFonts w:cs="Times New Roman"/>
              </w:rPr>
              <w:t>Broj nadziranih osoba</w:t>
            </w:r>
          </w:p>
        </w:tc>
        <w:tc>
          <w:tcPr>
            <w:tcW w:w="2551" w:type="dxa"/>
          </w:tcPr>
          <w:p w:rsidR="00505632" w:rsidRDefault="00505632" w:rsidP="00AD4E52">
            <w:pPr>
              <w:pStyle w:val="CellColumn"/>
              <w:jc w:val="left"/>
            </w:pPr>
            <w:r>
              <w:rPr>
                <w:rFonts w:cs="Times New Roman"/>
              </w:rPr>
              <w:t>Broj pravnih i fizičkih osoba obuhvaćenih inspekcijskim nadzorom</w:t>
            </w:r>
          </w:p>
        </w:tc>
        <w:tc>
          <w:tcPr>
            <w:tcW w:w="1020" w:type="dxa"/>
          </w:tcPr>
          <w:p w:rsidR="00505632" w:rsidRDefault="00505632" w:rsidP="00AD4E52">
            <w:pPr>
              <w:pStyle w:val="CellColumn"/>
              <w:jc w:val="right"/>
            </w:pPr>
            <w:r>
              <w:rPr>
                <w:rFonts w:cs="Times New Roman"/>
              </w:rPr>
              <w:t>Broj osoba</w:t>
            </w:r>
          </w:p>
        </w:tc>
        <w:tc>
          <w:tcPr>
            <w:tcW w:w="1020" w:type="dxa"/>
          </w:tcPr>
          <w:p w:rsidR="00505632" w:rsidRDefault="00505632" w:rsidP="00AD4E52">
            <w:pPr>
              <w:pStyle w:val="CellColumn"/>
              <w:jc w:val="right"/>
            </w:pPr>
            <w:r>
              <w:rPr>
                <w:rFonts w:cs="Times New Roman"/>
              </w:rPr>
              <w:t>3.293</w:t>
            </w:r>
          </w:p>
        </w:tc>
        <w:tc>
          <w:tcPr>
            <w:tcW w:w="1020" w:type="dxa"/>
          </w:tcPr>
          <w:p w:rsidR="00505632" w:rsidRDefault="00505632" w:rsidP="00AD4E52">
            <w:pPr>
              <w:pStyle w:val="CellColumn"/>
              <w:jc w:val="right"/>
            </w:pPr>
            <w:r>
              <w:rPr>
                <w:rFonts w:cs="Times New Roman"/>
              </w:rPr>
              <w:t>Godišnje izvješće o radu</w:t>
            </w:r>
          </w:p>
        </w:tc>
        <w:tc>
          <w:tcPr>
            <w:tcW w:w="1020" w:type="dxa"/>
          </w:tcPr>
          <w:p w:rsidR="00505632" w:rsidRDefault="00505632" w:rsidP="00AD4E52">
            <w:pPr>
              <w:pStyle w:val="CellColumn"/>
              <w:jc w:val="right"/>
            </w:pPr>
            <w:r>
              <w:rPr>
                <w:rFonts w:cs="Times New Roman"/>
              </w:rPr>
              <w:t>3.500</w:t>
            </w:r>
          </w:p>
        </w:tc>
        <w:tc>
          <w:tcPr>
            <w:tcW w:w="1020" w:type="dxa"/>
          </w:tcPr>
          <w:p w:rsidR="00505632" w:rsidRDefault="00505632" w:rsidP="00AD4E52">
            <w:pPr>
              <w:pStyle w:val="CellColumn"/>
              <w:jc w:val="right"/>
            </w:pPr>
            <w:r>
              <w:rPr>
                <w:rFonts w:cs="Times New Roman"/>
              </w:rPr>
              <w:t>3.500</w:t>
            </w:r>
          </w:p>
        </w:tc>
      </w:tr>
      <w:tr w:rsidR="00505632" w:rsidTr="00AD4E52">
        <w:trPr>
          <w:jc w:val="center"/>
        </w:trPr>
        <w:tc>
          <w:tcPr>
            <w:tcW w:w="2551" w:type="dxa"/>
          </w:tcPr>
          <w:p w:rsidR="00505632" w:rsidRDefault="00505632" w:rsidP="00AD4E52">
            <w:pPr>
              <w:pStyle w:val="CellColumn"/>
              <w:jc w:val="left"/>
            </w:pPr>
            <w:r>
              <w:rPr>
                <w:rFonts w:cs="Times New Roman"/>
              </w:rPr>
              <w:t>Udio nadziranih osoba usklađenih s propisima iz područja zaštite okoliša</w:t>
            </w:r>
          </w:p>
        </w:tc>
        <w:tc>
          <w:tcPr>
            <w:tcW w:w="2551" w:type="dxa"/>
          </w:tcPr>
          <w:p w:rsidR="00505632" w:rsidRDefault="00505632" w:rsidP="00AD4E52">
            <w:pPr>
              <w:pStyle w:val="CellColumn"/>
              <w:jc w:val="left"/>
            </w:pPr>
            <w:r>
              <w:rPr>
                <w:rFonts w:cs="Times New Roman"/>
              </w:rPr>
              <w:t>Postotak nadziranih osoba usklađenih s propisima iz područja zaštite prirode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Izvješća inspektora</w:t>
            </w:r>
          </w:p>
        </w:tc>
        <w:tc>
          <w:tcPr>
            <w:tcW w:w="1020" w:type="dxa"/>
          </w:tcPr>
          <w:p w:rsidR="00505632" w:rsidRDefault="00505632" w:rsidP="00AD4E52">
            <w:pPr>
              <w:pStyle w:val="CellColumn"/>
              <w:jc w:val="right"/>
            </w:pPr>
            <w:r>
              <w:rPr>
                <w:rFonts w:cs="Times New Roman"/>
              </w:rPr>
              <w:t>62</w:t>
            </w:r>
          </w:p>
        </w:tc>
        <w:tc>
          <w:tcPr>
            <w:tcW w:w="1020" w:type="dxa"/>
          </w:tcPr>
          <w:p w:rsidR="00505632" w:rsidRDefault="00505632" w:rsidP="00AD4E52">
            <w:pPr>
              <w:pStyle w:val="CellColumn"/>
              <w:jc w:val="right"/>
            </w:pPr>
            <w:r>
              <w:rPr>
                <w:rFonts w:cs="Times New Roman"/>
              </w:rPr>
              <w:t>62</w:t>
            </w:r>
          </w:p>
        </w:tc>
      </w:tr>
      <w:tr w:rsidR="00505632" w:rsidTr="00AD4E52">
        <w:trPr>
          <w:jc w:val="center"/>
        </w:trPr>
        <w:tc>
          <w:tcPr>
            <w:tcW w:w="2551" w:type="dxa"/>
          </w:tcPr>
          <w:p w:rsidR="00505632" w:rsidRDefault="00505632" w:rsidP="00AD4E52">
            <w:pPr>
              <w:pStyle w:val="CellColumn"/>
              <w:jc w:val="left"/>
            </w:pPr>
            <w:r>
              <w:rPr>
                <w:rFonts w:cs="Times New Roman"/>
              </w:rPr>
              <w:t>Provedeni planirani inspekcijski nadzori zaštite prirode</w:t>
            </w:r>
          </w:p>
        </w:tc>
        <w:tc>
          <w:tcPr>
            <w:tcW w:w="2551" w:type="dxa"/>
          </w:tcPr>
          <w:p w:rsidR="00505632" w:rsidRDefault="00505632" w:rsidP="00AD4E52">
            <w:pPr>
              <w:pStyle w:val="CellColumn"/>
              <w:jc w:val="left"/>
            </w:pPr>
            <w:r>
              <w:rPr>
                <w:rFonts w:cs="Times New Roman"/>
              </w:rPr>
              <w:t>Broj obavljenih planiranih inspekcijskih nadzora zaštite prirode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499</w:t>
            </w:r>
          </w:p>
        </w:tc>
        <w:tc>
          <w:tcPr>
            <w:tcW w:w="1020" w:type="dxa"/>
          </w:tcPr>
          <w:p w:rsidR="00505632" w:rsidRDefault="00505632" w:rsidP="00AD4E52">
            <w:pPr>
              <w:pStyle w:val="CellColumn"/>
              <w:jc w:val="right"/>
            </w:pPr>
            <w:r>
              <w:rPr>
                <w:rFonts w:cs="Times New Roman"/>
              </w:rPr>
              <w:t>Godišnje izvješće/ Strateški plan</w:t>
            </w:r>
          </w:p>
        </w:tc>
        <w:tc>
          <w:tcPr>
            <w:tcW w:w="1020" w:type="dxa"/>
          </w:tcPr>
          <w:p w:rsidR="00505632" w:rsidRDefault="00505632" w:rsidP="00AD4E52">
            <w:pPr>
              <w:pStyle w:val="CellColumn"/>
              <w:jc w:val="right"/>
            </w:pPr>
            <w:r>
              <w:rPr>
                <w:rFonts w:cs="Times New Roman"/>
              </w:rPr>
              <w:t>510</w:t>
            </w:r>
          </w:p>
        </w:tc>
        <w:tc>
          <w:tcPr>
            <w:tcW w:w="1020" w:type="dxa"/>
          </w:tcPr>
          <w:p w:rsidR="00505632" w:rsidRDefault="00505632" w:rsidP="00AD4E52">
            <w:pPr>
              <w:pStyle w:val="CellColumn"/>
              <w:jc w:val="right"/>
            </w:pPr>
            <w:r>
              <w:rPr>
                <w:rFonts w:cs="Times New Roman"/>
              </w:rPr>
              <w:t>556</w:t>
            </w:r>
          </w:p>
        </w:tc>
      </w:tr>
      <w:tr w:rsidR="00505632" w:rsidTr="00AD4E52">
        <w:trPr>
          <w:jc w:val="center"/>
        </w:trPr>
        <w:tc>
          <w:tcPr>
            <w:tcW w:w="2551" w:type="dxa"/>
          </w:tcPr>
          <w:p w:rsidR="00505632" w:rsidRDefault="00505632" w:rsidP="00AD4E52">
            <w:pPr>
              <w:pStyle w:val="CellColumn"/>
              <w:jc w:val="left"/>
            </w:pPr>
            <w:r>
              <w:rPr>
                <w:rFonts w:cs="Times New Roman"/>
              </w:rPr>
              <w:t>Provedeni ostali inspekcijski nadzori zaštite prirode</w:t>
            </w:r>
          </w:p>
        </w:tc>
        <w:tc>
          <w:tcPr>
            <w:tcW w:w="2551" w:type="dxa"/>
          </w:tcPr>
          <w:p w:rsidR="00505632" w:rsidRDefault="00505632" w:rsidP="00AD4E52">
            <w:pPr>
              <w:pStyle w:val="CellColumn"/>
              <w:jc w:val="left"/>
            </w:pPr>
            <w:r>
              <w:rPr>
                <w:rFonts w:cs="Times New Roman"/>
              </w:rPr>
              <w:t>Broj obavljenih ostalih inspekcijskih nadzora zaštite prirode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501</w:t>
            </w:r>
          </w:p>
        </w:tc>
        <w:tc>
          <w:tcPr>
            <w:tcW w:w="1020" w:type="dxa"/>
          </w:tcPr>
          <w:p w:rsidR="00505632" w:rsidRDefault="00505632" w:rsidP="00AD4E52">
            <w:pPr>
              <w:pStyle w:val="CellColumn"/>
              <w:jc w:val="right"/>
            </w:pPr>
            <w:r>
              <w:rPr>
                <w:rFonts w:cs="Times New Roman"/>
              </w:rPr>
              <w:t>Godišnje izvješće/ Strateški plan</w:t>
            </w:r>
          </w:p>
        </w:tc>
        <w:tc>
          <w:tcPr>
            <w:tcW w:w="1020" w:type="dxa"/>
          </w:tcPr>
          <w:p w:rsidR="00505632" w:rsidRDefault="00505632" w:rsidP="00AD4E52">
            <w:pPr>
              <w:pStyle w:val="CellColumn"/>
              <w:jc w:val="right"/>
            </w:pPr>
            <w:r>
              <w:rPr>
                <w:rFonts w:cs="Times New Roman"/>
              </w:rPr>
              <w:t>502</w:t>
            </w:r>
          </w:p>
        </w:tc>
        <w:tc>
          <w:tcPr>
            <w:tcW w:w="1020" w:type="dxa"/>
          </w:tcPr>
          <w:p w:rsidR="00505632" w:rsidRDefault="00505632" w:rsidP="00AD4E52">
            <w:pPr>
              <w:pStyle w:val="CellColumn"/>
              <w:jc w:val="right"/>
            </w:pPr>
            <w:r>
              <w:rPr>
                <w:rFonts w:cs="Times New Roman"/>
              </w:rPr>
              <w:t>473</w:t>
            </w:r>
          </w:p>
        </w:tc>
      </w:tr>
      <w:tr w:rsidR="00505632" w:rsidTr="00AD4E52">
        <w:trPr>
          <w:jc w:val="center"/>
        </w:trPr>
        <w:tc>
          <w:tcPr>
            <w:tcW w:w="2551" w:type="dxa"/>
          </w:tcPr>
          <w:p w:rsidR="00505632" w:rsidRDefault="00505632" w:rsidP="00AD4E52">
            <w:pPr>
              <w:pStyle w:val="CellColumn"/>
              <w:jc w:val="left"/>
            </w:pPr>
            <w:r>
              <w:rPr>
                <w:rFonts w:cs="Times New Roman"/>
              </w:rPr>
              <w:t>Broj dana provedenih na stručnom osposobljavanju inspektora zaštite okoliša</w:t>
            </w:r>
          </w:p>
        </w:tc>
        <w:tc>
          <w:tcPr>
            <w:tcW w:w="2551" w:type="dxa"/>
          </w:tcPr>
          <w:p w:rsidR="00505632" w:rsidRDefault="00505632" w:rsidP="00AD4E52">
            <w:pPr>
              <w:pStyle w:val="CellColumn"/>
              <w:jc w:val="left"/>
            </w:pPr>
            <w:r>
              <w:rPr>
                <w:rFonts w:cs="Times New Roman"/>
              </w:rPr>
              <w:t>Stručno osposobljavanje inspektora kroz seminare i radionice te provedbu posebnih programa izobrazbe  u okviru provedbe projekata financiranih od strane EU</w:t>
            </w:r>
          </w:p>
        </w:tc>
        <w:tc>
          <w:tcPr>
            <w:tcW w:w="1020" w:type="dxa"/>
          </w:tcPr>
          <w:p w:rsidR="00505632" w:rsidRDefault="00505632" w:rsidP="00AD4E52">
            <w:pPr>
              <w:pStyle w:val="CellColumn"/>
              <w:jc w:val="right"/>
            </w:pPr>
            <w:r>
              <w:rPr>
                <w:rFonts w:cs="Times New Roman"/>
              </w:rPr>
              <w:t>Dan/ insp</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Izvješća inspektora</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5</w:t>
            </w:r>
          </w:p>
        </w:tc>
      </w:tr>
      <w:tr w:rsidR="00505632" w:rsidTr="00AD4E52">
        <w:trPr>
          <w:jc w:val="center"/>
        </w:trPr>
        <w:tc>
          <w:tcPr>
            <w:tcW w:w="2551" w:type="dxa"/>
          </w:tcPr>
          <w:p w:rsidR="00505632" w:rsidRDefault="00505632" w:rsidP="00AD4E52">
            <w:pPr>
              <w:pStyle w:val="CellColumn"/>
              <w:jc w:val="left"/>
            </w:pPr>
            <w:r>
              <w:rPr>
                <w:rFonts w:cs="Times New Roman"/>
              </w:rPr>
              <w:t>Broj dana provedenih na stručnom osposobljavanju inspektora zaštite prirode</w:t>
            </w:r>
          </w:p>
        </w:tc>
        <w:tc>
          <w:tcPr>
            <w:tcW w:w="2551" w:type="dxa"/>
          </w:tcPr>
          <w:p w:rsidR="00505632" w:rsidRDefault="00505632" w:rsidP="00AD4E52">
            <w:pPr>
              <w:pStyle w:val="CellColumn"/>
              <w:jc w:val="left"/>
            </w:pPr>
            <w:r>
              <w:rPr>
                <w:rFonts w:cs="Times New Roman"/>
              </w:rPr>
              <w:t>Stručno osposobljavanje inspektora kroz seminare i radionice</w:t>
            </w:r>
          </w:p>
        </w:tc>
        <w:tc>
          <w:tcPr>
            <w:tcW w:w="1020" w:type="dxa"/>
          </w:tcPr>
          <w:p w:rsidR="00505632" w:rsidRDefault="00505632" w:rsidP="00AD4E52">
            <w:pPr>
              <w:pStyle w:val="CellColumn"/>
              <w:jc w:val="right"/>
            </w:pPr>
            <w:r>
              <w:rPr>
                <w:rFonts w:cs="Times New Roman"/>
              </w:rPr>
              <w:t>Dan/ insp</w:t>
            </w:r>
          </w:p>
        </w:tc>
        <w:tc>
          <w:tcPr>
            <w:tcW w:w="1020" w:type="dxa"/>
          </w:tcPr>
          <w:p w:rsidR="00505632" w:rsidRDefault="00505632" w:rsidP="00AD4E52">
            <w:pPr>
              <w:pStyle w:val="CellColumn"/>
              <w:jc w:val="right"/>
            </w:pPr>
            <w:r>
              <w:rPr>
                <w:rFonts w:cs="Times New Roman"/>
              </w:rPr>
              <w:t>6</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6</w:t>
            </w:r>
          </w:p>
        </w:tc>
        <w:tc>
          <w:tcPr>
            <w:tcW w:w="1020" w:type="dxa"/>
          </w:tcPr>
          <w:p w:rsidR="00505632" w:rsidRDefault="00505632" w:rsidP="00AD4E52">
            <w:pPr>
              <w:pStyle w:val="CellColumn"/>
              <w:jc w:val="right"/>
            </w:pPr>
            <w:r>
              <w:rPr>
                <w:rFonts w:cs="Times New Roman"/>
              </w:rPr>
              <w:t>5</w:t>
            </w:r>
          </w:p>
        </w:tc>
      </w:tr>
      <w:tr w:rsidR="00505632" w:rsidTr="00AD4E52">
        <w:trPr>
          <w:jc w:val="center"/>
        </w:trPr>
        <w:tc>
          <w:tcPr>
            <w:tcW w:w="2551" w:type="dxa"/>
          </w:tcPr>
          <w:p w:rsidR="00505632" w:rsidRDefault="00505632" w:rsidP="00AD4E52">
            <w:pPr>
              <w:pStyle w:val="CellColumn"/>
              <w:jc w:val="left"/>
            </w:pPr>
            <w:r>
              <w:rPr>
                <w:rFonts w:cs="Times New Roman"/>
              </w:rPr>
              <w:t>Broj izrađenih smjernica i standardnih operativnih postupaka za inspektore zaštite okoliša</w:t>
            </w:r>
          </w:p>
        </w:tc>
        <w:tc>
          <w:tcPr>
            <w:tcW w:w="2551" w:type="dxa"/>
          </w:tcPr>
          <w:p w:rsidR="00505632" w:rsidRDefault="00505632" w:rsidP="00AD4E52">
            <w:pPr>
              <w:pStyle w:val="CellColumn"/>
              <w:jc w:val="left"/>
            </w:pPr>
            <w:r>
              <w:rPr>
                <w:rFonts w:cs="Times New Roman"/>
              </w:rPr>
              <w:t>Izrađene smjernice i standardni operativni postupci u cilju učinkovitijeg i ujednačenog postupanja inspektora zaštite okoliša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14</w:t>
            </w:r>
          </w:p>
        </w:tc>
        <w:tc>
          <w:tcPr>
            <w:tcW w:w="1020" w:type="dxa"/>
          </w:tcPr>
          <w:p w:rsidR="00505632" w:rsidRDefault="00505632" w:rsidP="00AD4E52">
            <w:pPr>
              <w:pStyle w:val="CellColumn"/>
              <w:jc w:val="right"/>
            </w:pPr>
            <w:r>
              <w:rPr>
                <w:rFonts w:cs="Times New Roman"/>
              </w:rPr>
              <w:t>16</w:t>
            </w:r>
          </w:p>
        </w:tc>
      </w:tr>
      <w:tr w:rsidR="00505632" w:rsidTr="00AD4E52">
        <w:trPr>
          <w:jc w:val="center"/>
        </w:trPr>
        <w:tc>
          <w:tcPr>
            <w:tcW w:w="2551" w:type="dxa"/>
          </w:tcPr>
          <w:p w:rsidR="00505632" w:rsidRDefault="00505632" w:rsidP="00AD4E52">
            <w:pPr>
              <w:pStyle w:val="CellColumn"/>
              <w:jc w:val="left"/>
            </w:pPr>
            <w:r>
              <w:rPr>
                <w:rFonts w:cs="Times New Roman"/>
              </w:rPr>
              <w:t>Broj izrađenih protokola o postupanju u nadzoru zaštite prirode</w:t>
            </w:r>
          </w:p>
        </w:tc>
        <w:tc>
          <w:tcPr>
            <w:tcW w:w="2551" w:type="dxa"/>
          </w:tcPr>
          <w:p w:rsidR="00505632" w:rsidRDefault="00505632" w:rsidP="00AD4E52">
            <w:pPr>
              <w:pStyle w:val="CellColumn"/>
              <w:jc w:val="left"/>
            </w:pPr>
            <w:r>
              <w:rPr>
                <w:rFonts w:cs="Times New Roman"/>
              </w:rPr>
              <w:t>Izrađeni protokoli u cilju jednostavnijeg i  ujednačenog postupanja inspektora zaštite prirode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Izrađena izvješća o radu</w:t>
            </w:r>
          </w:p>
        </w:tc>
        <w:tc>
          <w:tcPr>
            <w:tcW w:w="2551" w:type="dxa"/>
          </w:tcPr>
          <w:p w:rsidR="00505632" w:rsidRDefault="00505632" w:rsidP="00AD4E52">
            <w:pPr>
              <w:pStyle w:val="CellColumn"/>
              <w:jc w:val="left"/>
            </w:pPr>
            <w:r>
              <w:rPr>
                <w:rFonts w:cs="Times New Roman"/>
              </w:rPr>
              <w:t>Izrađena izvješća o radu inspekcije zaštite okoliša i inspekcije zaštite prirode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A576208 PROMICANJE, INFORMIRANJE I ORGANIZIRANJE DOGAĐANJA U ZAŠTITI OKOLIŠA</w:t>
      </w:r>
    </w:p>
    <w:tbl>
      <w:tblPr>
        <w:tblStyle w:val="StilTablice"/>
        <w:tblW w:w="10206" w:type="dxa"/>
        <w:jc w:val="center"/>
        <w:tblLook w:val="04A0" w:firstRow="1" w:lastRow="0" w:firstColumn="1" w:lastColumn="0" w:noHBand="0" w:noVBand="1"/>
      </w:tblPr>
      <w:tblGrid>
        <w:gridCol w:w="1703"/>
        <w:gridCol w:w="2021"/>
        <w:gridCol w:w="2019"/>
        <w:gridCol w:w="2022"/>
        <w:gridCol w:w="1220"/>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A576208-PROMICANJE, INFORMIRANJE I ORGANIZIRANJE DOGAĐANJA U ZAŠTITI OKOLIŠA</w:t>
            </w:r>
          </w:p>
        </w:tc>
        <w:tc>
          <w:tcPr>
            <w:tcW w:w="2041" w:type="dxa"/>
          </w:tcPr>
          <w:p w:rsidR="00505632" w:rsidRDefault="00505632" w:rsidP="00AD4E52">
            <w:pPr>
              <w:pStyle w:val="CellColumn"/>
              <w:jc w:val="right"/>
            </w:pPr>
            <w:r>
              <w:rPr>
                <w:rFonts w:cs="Times New Roman"/>
              </w:rPr>
              <w:t>44.533</w:t>
            </w:r>
          </w:p>
        </w:tc>
        <w:tc>
          <w:tcPr>
            <w:tcW w:w="2041" w:type="dxa"/>
          </w:tcPr>
          <w:p w:rsidR="00505632" w:rsidRDefault="00505632" w:rsidP="00AD4E52">
            <w:pPr>
              <w:pStyle w:val="CellColumn"/>
              <w:jc w:val="right"/>
            </w:pPr>
            <w:r>
              <w:rPr>
                <w:rFonts w:cs="Times New Roman"/>
              </w:rPr>
              <w:t>85.000</w:t>
            </w:r>
          </w:p>
        </w:tc>
        <w:tc>
          <w:tcPr>
            <w:tcW w:w="2041" w:type="dxa"/>
          </w:tcPr>
          <w:p w:rsidR="00505632" w:rsidRDefault="00505632" w:rsidP="00AD4E52">
            <w:pPr>
              <w:pStyle w:val="CellColumn"/>
              <w:jc w:val="right"/>
            </w:pPr>
            <w:r>
              <w:rPr>
                <w:rFonts w:cs="Times New Roman"/>
              </w:rPr>
              <w:t>20.650</w:t>
            </w:r>
          </w:p>
        </w:tc>
        <w:tc>
          <w:tcPr>
            <w:tcW w:w="1224" w:type="dxa"/>
          </w:tcPr>
          <w:p w:rsidR="00505632" w:rsidRDefault="00505632" w:rsidP="00AD4E52">
            <w:pPr>
              <w:pStyle w:val="CellColumn"/>
              <w:jc w:val="right"/>
            </w:pPr>
            <w:r>
              <w:rPr>
                <w:rFonts w:cs="Times New Roman"/>
              </w:rPr>
              <w:t>24,3</w:t>
            </w:r>
          </w:p>
        </w:tc>
        <w:tc>
          <w:tcPr>
            <w:tcW w:w="1224" w:type="dxa"/>
          </w:tcPr>
          <w:p w:rsidR="00505632" w:rsidRDefault="00505632" w:rsidP="00AD4E52">
            <w:pPr>
              <w:pStyle w:val="CellColumn"/>
              <w:jc w:val="right"/>
            </w:pPr>
            <w:r>
              <w:rPr>
                <w:rFonts w:cs="Times New Roman"/>
              </w:rPr>
              <w:t>46,4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zaštiti okoliša (Narodne novine, br. 80/13, 153/13 i 78/15), Uredba o EMAS-u (EZ, broj 1221/2009), Uredba o dobrovoljnom sudjelovanju organizacija u sustavu za ekološko upravljanje i neovisno ocjenjivanje (EMAS) (NN, broj 77/14), Pravilnik o znaku zaštite okoliša Europske unije EU Ecolabel (NN 110/14), Pravilnik o znaku zaštite okoliša „Prijatelj okoliša“ (NN 91/16), Pravilnik o nagradama i priznanjima za dostignuća na području zaštite okoliša  (NN, broj 31/10), I. Nacionalni akcijski plan o zelenoj javnoj nabavi (Odluka Vlade Republike Hrvatske, 26. kolovoza 2015.).</w:t>
      </w:r>
    </w:p>
    <w:p w:rsidR="00505632" w:rsidRDefault="00505632" w:rsidP="00505632">
      <w:pPr>
        <w:pStyle w:val="Heading8"/>
        <w:jc w:val="left"/>
      </w:pPr>
      <w:r>
        <w:t>Opis aktivnosti</w:t>
      </w:r>
    </w:p>
    <w:p w:rsidR="00505632" w:rsidRDefault="00505632" w:rsidP="00505632">
      <w:r>
        <w:t>Aktivnost vezane za dodjelu nacionalnih nagrada i priznanja za dostignuća u zaštiti okoliša uključuju poslove osnivanja i vođenja povjerenstva, izrada obrazaca, podloga i prezentacija, raspisivanje natječaja, obrada prijava te organizacija svečanosti dodjele (za nacionalne  kategorije i kategorije Europske poslovne nagrade za okoliš, EBAE).U 2016. g. se nastavilo raditi na promidžbi dobrovoljnih instrumenata zaštite okoliša, na znaku zaštite okoliša EU Ecolabel, na nacionalnom znaku Prijatelj okoliša, sustavu EMAS, zelenoj javnoj nabavi  kroz radionice i druge aktivnosti kako bi se potaklo zeleno i kružno gospodarstvo. Nije ostvaren planiran broj promidžbenih materijala i aktivnosti što se prebacuje za . Donesen je novi Pravilnik o znaku zaštite okoliša Prijatelj okoliša što omogućuju sinergiju s europskim znakom EU Ecolabel. Prema planu je izrađen projektni zadatak za mjerila za znak Prijatelj okoliša, ali do kraja godine postupak nije završen pa se ova aktivnost prebacuje za 2017.g. Nije ostvaren plan uvođenja sustava EMAS u Ministarstvo radi drugih prioritetnih aktivnosti pa se prebacuje za 2017.g.</w:t>
      </w:r>
    </w:p>
    <w:p w:rsidR="00505632" w:rsidRDefault="00505632" w:rsidP="00505632">
      <w:pPr>
        <w:pStyle w:val="Heading8"/>
        <w:jc w:val="left"/>
      </w:pPr>
    </w:p>
    <w:p w:rsidR="00505632" w:rsidRDefault="00505632" w:rsidP="00505632">
      <w:pPr>
        <w:pStyle w:val="Heading8"/>
        <w:jc w:val="left"/>
      </w:pP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07"/>
        <w:gridCol w:w="2522"/>
        <w:gridCol w:w="1012"/>
        <w:gridCol w:w="1017"/>
        <w:gridCol w:w="1114"/>
        <w:gridCol w:w="1017"/>
        <w:gridCol w:w="1017"/>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Dodjela priznanja i nagrada za dostignuća na području zaštite okoliša</w:t>
            </w:r>
          </w:p>
        </w:tc>
        <w:tc>
          <w:tcPr>
            <w:tcW w:w="2551" w:type="dxa"/>
          </w:tcPr>
          <w:p w:rsidR="00505632" w:rsidRDefault="00505632" w:rsidP="00AD4E52">
            <w:pPr>
              <w:pStyle w:val="CellColumn"/>
              <w:jc w:val="left"/>
            </w:pPr>
            <w:r>
              <w:rPr>
                <w:rFonts w:cs="Times New Roman"/>
              </w:rPr>
              <w:t>Nagrađivanje onih koji se ističu u doprinosu zaštiti okoliša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Održavanje radionica i seminara</w:t>
            </w:r>
          </w:p>
        </w:tc>
        <w:tc>
          <w:tcPr>
            <w:tcW w:w="2551" w:type="dxa"/>
          </w:tcPr>
          <w:p w:rsidR="00505632" w:rsidRDefault="00505632" w:rsidP="00AD4E52">
            <w:pPr>
              <w:pStyle w:val="CellColumn"/>
              <w:jc w:val="left"/>
            </w:pPr>
            <w:r>
              <w:rPr>
                <w:rFonts w:cs="Times New Roman"/>
              </w:rPr>
              <w:t>Provođenje propisa i aktivnosti na promidžbi  iziskuju organizaciju radionica/seminara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Izrada promidžbenih materijala</w:t>
            </w:r>
          </w:p>
        </w:tc>
        <w:tc>
          <w:tcPr>
            <w:tcW w:w="2551" w:type="dxa"/>
          </w:tcPr>
          <w:p w:rsidR="00505632" w:rsidRDefault="00505632" w:rsidP="00AD4E52">
            <w:pPr>
              <w:pStyle w:val="CellColumn"/>
              <w:jc w:val="left"/>
            </w:pPr>
            <w:r>
              <w:rPr>
                <w:rFonts w:cs="Times New Roman"/>
              </w:rPr>
              <w:t>Provođenje propisa i aktivnosti na promidžbi  iziskuju organizaciju radionica/seminara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NE</w:t>
            </w:r>
          </w:p>
        </w:tc>
      </w:tr>
      <w:tr w:rsidR="00505632" w:rsidTr="00AD4E52">
        <w:trPr>
          <w:jc w:val="center"/>
        </w:trPr>
        <w:tc>
          <w:tcPr>
            <w:tcW w:w="2551" w:type="dxa"/>
          </w:tcPr>
          <w:p w:rsidR="00505632" w:rsidRDefault="00505632" w:rsidP="00AD4E52">
            <w:pPr>
              <w:pStyle w:val="CellColumn"/>
              <w:jc w:val="left"/>
            </w:pPr>
            <w:r>
              <w:rPr>
                <w:rFonts w:cs="Times New Roman"/>
              </w:rPr>
              <w:t>Uspostava i vođenje programa dodjele eko-oznake Prijatelj okoliša</w:t>
            </w:r>
          </w:p>
        </w:tc>
        <w:tc>
          <w:tcPr>
            <w:tcW w:w="2551" w:type="dxa"/>
          </w:tcPr>
          <w:p w:rsidR="00505632" w:rsidRDefault="00505632" w:rsidP="00AD4E52">
            <w:pPr>
              <w:pStyle w:val="CellColumn"/>
              <w:jc w:val="left"/>
            </w:pPr>
            <w:r>
              <w:rPr>
                <w:rFonts w:cs="Times New Roman"/>
              </w:rPr>
              <w:t>Nastavak aktivnosti vezanih uz promicanje eko-oznaka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NE</w:t>
            </w:r>
          </w:p>
        </w:tc>
      </w:tr>
      <w:tr w:rsidR="00505632" w:rsidTr="00AD4E52">
        <w:trPr>
          <w:jc w:val="center"/>
        </w:trPr>
        <w:tc>
          <w:tcPr>
            <w:tcW w:w="2551" w:type="dxa"/>
          </w:tcPr>
          <w:p w:rsidR="00505632" w:rsidRDefault="00505632" w:rsidP="00AD4E52">
            <w:pPr>
              <w:pStyle w:val="CellColumn"/>
              <w:jc w:val="left"/>
            </w:pPr>
            <w:r>
              <w:rPr>
                <w:rFonts w:cs="Times New Roman"/>
              </w:rPr>
              <w:t>Uspostava i vođenje programa dodjele eko-oznake EU Ecolabel</w:t>
            </w:r>
          </w:p>
        </w:tc>
        <w:tc>
          <w:tcPr>
            <w:tcW w:w="2551" w:type="dxa"/>
          </w:tcPr>
          <w:p w:rsidR="00505632" w:rsidRDefault="00505632" w:rsidP="00AD4E52">
            <w:pPr>
              <w:pStyle w:val="CellColumn"/>
              <w:jc w:val="left"/>
            </w:pPr>
            <w:r>
              <w:rPr>
                <w:rFonts w:cs="Times New Roman"/>
              </w:rPr>
              <w:t>Nastavak aktivnosti vezanih uz promicanje eko-oznaka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Uspostava i vođenje programa dodjele eko-oznake EMAS</w:t>
            </w:r>
          </w:p>
        </w:tc>
        <w:tc>
          <w:tcPr>
            <w:tcW w:w="2551" w:type="dxa"/>
          </w:tcPr>
          <w:p w:rsidR="00505632" w:rsidRDefault="00505632" w:rsidP="00AD4E52">
            <w:pPr>
              <w:pStyle w:val="CellColumn"/>
              <w:jc w:val="left"/>
            </w:pPr>
            <w:r>
              <w:rPr>
                <w:rFonts w:cs="Times New Roman"/>
              </w:rPr>
              <w:t>Nastavak aktivnosti vezanih uz promicanje programa EMAS</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NE</w:t>
            </w:r>
          </w:p>
        </w:tc>
      </w:tr>
    </w:tbl>
    <w:p w:rsidR="00505632" w:rsidRDefault="00505632" w:rsidP="00505632">
      <w:pPr>
        <w:jc w:val="left"/>
      </w:pPr>
    </w:p>
    <w:p w:rsidR="00505632" w:rsidRDefault="00505632" w:rsidP="00505632">
      <w:pPr>
        <w:pStyle w:val="Heading4"/>
      </w:pPr>
      <w:r>
        <w:t>A576235 IZRADA I PROVEDBA DOKUMENATA ZA POBOLJŠANJE UPRAVLJANJA OKOLIŠEM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A576235-IZRADA I PROVEDBA DOKUMENATA ZA POBOLJŠANJE UPRAVLJANJA OKOLIŠEM</w:t>
            </w:r>
          </w:p>
        </w:tc>
        <w:tc>
          <w:tcPr>
            <w:tcW w:w="2041" w:type="dxa"/>
          </w:tcPr>
          <w:p w:rsidR="00505632" w:rsidRDefault="00505632" w:rsidP="00AD4E52">
            <w:pPr>
              <w:pStyle w:val="CellColumn"/>
              <w:jc w:val="right"/>
            </w:pPr>
            <w:r>
              <w:rPr>
                <w:rFonts w:cs="Times New Roman"/>
              </w:rPr>
              <w:t>5.280.120</w:t>
            </w:r>
          </w:p>
        </w:tc>
        <w:tc>
          <w:tcPr>
            <w:tcW w:w="2041" w:type="dxa"/>
          </w:tcPr>
          <w:p w:rsidR="00505632" w:rsidRDefault="00505632" w:rsidP="00AD4E52">
            <w:pPr>
              <w:pStyle w:val="CellColumn"/>
              <w:jc w:val="right"/>
            </w:pPr>
            <w:r>
              <w:rPr>
                <w:rFonts w:cs="Times New Roman"/>
              </w:rPr>
              <w:t>3.649.955</w:t>
            </w:r>
          </w:p>
        </w:tc>
        <w:tc>
          <w:tcPr>
            <w:tcW w:w="2041" w:type="dxa"/>
          </w:tcPr>
          <w:p w:rsidR="00505632" w:rsidRDefault="00505632" w:rsidP="00AD4E52">
            <w:pPr>
              <w:pStyle w:val="CellColumn"/>
              <w:jc w:val="right"/>
            </w:pPr>
            <w:r>
              <w:rPr>
                <w:rFonts w:cs="Times New Roman"/>
              </w:rPr>
              <w:t>3.182.468</w:t>
            </w:r>
          </w:p>
        </w:tc>
        <w:tc>
          <w:tcPr>
            <w:tcW w:w="1224" w:type="dxa"/>
          </w:tcPr>
          <w:p w:rsidR="00505632" w:rsidRDefault="00505632" w:rsidP="00AD4E52">
            <w:pPr>
              <w:pStyle w:val="CellColumn"/>
              <w:jc w:val="right"/>
            </w:pPr>
            <w:r>
              <w:rPr>
                <w:rFonts w:cs="Times New Roman"/>
              </w:rPr>
              <w:t>87,2</w:t>
            </w:r>
          </w:p>
        </w:tc>
        <w:tc>
          <w:tcPr>
            <w:tcW w:w="1224" w:type="dxa"/>
          </w:tcPr>
          <w:p w:rsidR="00505632" w:rsidRDefault="00505632" w:rsidP="00AD4E52">
            <w:pPr>
              <w:pStyle w:val="CellColumn"/>
              <w:jc w:val="right"/>
            </w:pPr>
            <w:r>
              <w:rPr>
                <w:rFonts w:cs="Times New Roman"/>
              </w:rPr>
              <w:t>60,3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1. Zakon o zaštiti okoliša (Narodne novine, broj 80/13); </w:t>
      </w:r>
    </w:p>
    <w:p w:rsidR="00505632" w:rsidRDefault="00505632" w:rsidP="00505632">
      <w:r>
        <w:t xml:space="preserve">2. Zakon o zaštiti zraka (Narodne novine, broj 180/11, 47/14);  </w:t>
      </w:r>
    </w:p>
    <w:p w:rsidR="00505632" w:rsidRDefault="00505632" w:rsidP="00505632">
      <w:r>
        <w:t>3. Zakon o zaštiti od svjetlosnog onečišćenja (Narodne novine, broj 114/11).</w:t>
      </w:r>
    </w:p>
    <w:p w:rsidR="00505632" w:rsidRDefault="00505632" w:rsidP="00505632">
      <w:pPr>
        <w:pStyle w:val="Heading8"/>
        <w:jc w:val="left"/>
      </w:pPr>
      <w:r>
        <w:t>Opis aktivnosti</w:t>
      </w:r>
    </w:p>
    <w:p w:rsidR="00505632" w:rsidRDefault="00505632" w:rsidP="00505632">
      <w:r>
        <w:t>Na navedenoj aktivnosti u 2016. godini utrošena su sredstva za provođenje slijedećih mjera i projekata: nadoknada dijela troškova rada referentnih laboratorija; praćenje kvalitete brodskih goriva; pružanje intelektualnih usluga stručnjaka za sudjelovanje u pregledu godišnjih inventara emisija sukladno obvezama LRTAP Konvencije; Izrada studije procjene dominantnih izvora onečišćenja zraka na području Slavonskog Broda; Izrada financijske revizije ugovora provedenih unutar Projekta zaštite od onečišćenja voda u priobalnom području – IBRD 7640/HR: Jačanje sustava za nadzor priobalnih voda Komponenta II; Izrada stručnih podloga za Strategiju upravljanja morskim okolišem i obalnim područjem uključujući Program mjera zaštite i upravljanja morskim okolišem i obalnim područjem; Provedba Strateške procjene utjecaja na okoliš Programa mjera zaštite i upravljanja morskim okolišem i obalnim područjem; Sufinanciranje hladnog pogona brodova čistača mora na temelju financijskih obveza iz Plana intervencija kod iznenadnih onečišćenja mora; Projekt izobrazbe stručnih osoba koje izvode nastavni program izobrazbe iz područja javne nabave o mjerilima zelene javne nabave (ZeJN) prema Nacionalnom planu za ZeJN (mjera 2); Projekt izrade Programa usavršavanja o zelenoj javnoj nabavi (ZeJN) za provoditelje postupka javne nabave prema Nacionalnom planu za ZeJN (mjera 3); Projekt prilagodbe Programa usavršavanja o zelenoj javnoj nabavi (ZeJN) za e-učenje putem webinara prema Nacionalnom planu za ZeJN (mjera 4); Projekt izrade II. Nacionalnog akcijskog plana za zelenu javnu nabavu prema Nacionalnom planu za ZeJN (mjera 17).</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23"/>
        <w:gridCol w:w="2523"/>
        <w:gridCol w:w="1014"/>
        <w:gridCol w:w="1018"/>
        <w:gridCol w:w="1092"/>
        <w:gridCol w:w="1018"/>
        <w:gridCol w:w="1018"/>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 xml:space="preserve">Kontinuirano </w:t>
            </w:r>
          </w:p>
          <w:p w:rsidR="00505632" w:rsidRDefault="00505632" w:rsidP="00AD4E52">
            <w:pPr>
              <w:pStyle w:val="CellColumn"/>
              <w:jc w:val="left"/>
            </w:pPr>
            <w:r>
              <w:rPr>
                <w:rFonts w:cs="Times New Roman"/>
              </w:rPr>
              <w:t xml:space="preserve">usklađivanje sustava zaštite zraka, mora i tla s EU standardima i međunarodnim  </w:t>
            </w:r>
          </w:p>
          <w:p w:rsidR="00505632" w:rsidRDefault="00505632" w:rsidP="00AD4E52">
            <w:pPr>
              <w:pStyle w:val="CellColumn"/>
              <w:jc w:val="left"/>
            </w:pPr>
            <w:r>
              <w:rPr>
                <w:rFonts w:cs="Times New Roman"/>
              </w:rPr>
              <w:t>sporazumima</w:t>
            </w:r>
          </w:p>
        </w:tc>
        <w:tc>
          <w:tcPr>
            <w:tcW w:w="2551" w:type="dxa"/>
          </w:tcPr>
          <w:p w:rsidR="00505632" w:rsidRDefault="00505632" w:rsidP="00AD4E52">
            <w:pPr>
              <w:pStyle w:val="CellColumn"/>
              <w:jc w:val="left"/>
            </w:pPr>
            <w:r>
              <w:rPr>
                <w:rFonts w:cs="Times New Roman"/>
              </w:rPr>
              <w:t>Ministarstvo konstantno prati i usklađuje dokumente sa regulativom EU i međunarodnim sporazumima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98</w:t>
            </w:r>
          </w:p>
        </w:tc>
        <w:tc>
          <w:tcPr>
            <w:tcW w:w="1020" w:type="dxa"/>
          </w:tcPr>
          <w:p w:rsidR="00505632" w:rsidRDefault="00505632" w:rsidP="00AD4E52">
            <w:pPr>
              <w:pStyle w:val="CellColumn"/>
              <w:jc w:val="right"/>
            </w:pPr>
            <w:r>
              <w:rPr>
                <w:rFonts w:cs="Times New Roman"/>
              </w:rPr>
              <w:t>Strateški plan ministarstva 2016.-2018.</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99</w:t>
            </w:r>
          </w:p>
        </w:tc>
      </w:tr>
    </w:tbl>
    <w:p w:rsidR="00505632" w:rsidRDefault="00505632" w:rsidP="00505632">
      <w:pPr>
        <w:jc w:val="left"/>
      </w:pPr>
    </w:p>
    <w:p w:rsidR="00505632" w:rsidRDefault="00505632" w:rsidP="00505632">
      <w:pPr>
        <w:pStyle w:val="Heading4"/>
      </w:pPr>
      <w:r>
        <w:t>A576247 PRIPREMA STRUČNIH ISPITA ZA OBAVLJANJE POSLOVA IZ PODRUČJA ZAŠTITE OKOLIŠA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A576247-PRIPREMA STRUČNIH ISPITA ZA OBAVLJANJE POSLOVA IZ PODRUČJA ZAŠTITE OKOLIŠA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70.000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Postupak izdavanja suglasnosti za obavljanje stručnih poslova zaštite okoliša provodio se prema člancima od 40. do 49. Zakona o zaštiti okoliša</w:t>
      </w:r>
    </w:p>
    <w:p w:rsidR="00505632" w:rsidRDefault="00505632" w:rsidP="00505632">
      <w:pPr>
        <w:pStyle w:val="Heading8"/>
        <w:jc w:val="left"/>
      </w:pPr>
      <w:r>
        <w:t>Opis aktivnosti</w:t>
      </w:r>
    </w:p>
    <w:p w:rsidR="00505632" w:rsidRDefault="00505632" w:rsidP="00505632">
      <w:r>
        <w:t>Prema članku 40. stavku 1. Zakona o zaštiti okoliša stručne poslove zaštite okoliša, pod uvjetima propisanim Zakonom, obavlja pravna osoba ovlaštena za stručne poslove zaštite okoliša (ovlaštenik). Obveza polaganja stručnog ispita za fizičke osobe zaposlene kod ovlaštenika ili ovlaštenike kao fizičke osobe utvrđena je člankom 47. Zakona o zaštiti okoliša. U članku 47. stavku 5 Zakona o zaštiti okoliša utvrđeno je da program, uvjete i način polaganja stručnog ispita, kao i upotpunjavanje i usavršavanje znanja osoba koje su položile ispit propisuje ministar pravilnikom. A, stavkom 6. istoga članka utvrđeno je da povjerenstvo koje provodi stručni ispit ima pravo na naknadu. Iznos i način isplate naknade iz stavka 6. istoga članka propisuje ministar odlukom. Suglasnosti za obavljanje stručne poslove zaštite okoliša su se izdavale. Ali, budući da pravilnik o polaganju stručnih ispita za fizičke osobe koje u svojstvu voditelja kod ovlaštenika, odnosno ovlaštenik fizička osoba obavljaju poslove iz područja zaštite okoliša nije donijet nije bilo isplata naknada članovima povjerenstva.</w:t>
      </w:r>
    </w:p>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7696" w:type="dxa"/>
        <w:jc w:val="center"/>
        <w:tblLook w:val="04A0" w:firstRow="1" w:lastRow="0" w:firstColumn="1" w:lastColumn="0" w:noHBand="0" w:noVBand="1"/>
      </w:tblPr>
      <w:tblGrid>
        <w:gridCol w:w="2516"/>
        <w:gridCol w:w="1014"/>
        <w:gridCol w:w="1017"/>
        <w:gridCol w:w="1114"/>
        <w:gridCol w:w="1017"/>
        <w:gridCol w:w="1018"/>
      </w:tblGrid>
      <w:tr w:rsidR="00505632" w:rsidTr="00AD4E52">
        <w:trPr>
          <w:jc w:val="center"/>
        </w:trPr>
        <w:tc>
          <w:tcPr>
            <w:tcW w:w="2516" w:type="dxa"/>
            <w:shd w:val="clear" w:color="auto" w:fill="B5C0D8"/>
          </w:tcPr>
          <w:p w:rsidR="00505632" w:rsidRDefault="00505632" w:rsidP="00AD4E52">
            <w:pPr>
              <w:jc w:val="center"/>
            </w:pPr>
            <w:r>
              <w:t>Pokazatelj rezultata</w:t>
            </w:r>
          </w:p>
        </w:tc>
        <w:tc>
          <w:tcPr>
            <w:tcW w:w="1014" w:type="dxa"/>
            <w:shd w:val="clear" w:color="auto" w:fill="B5C0D8"/>
          </w:tcPr>
          <w:p w:rsidR="00505632" w:rsidRDefault="00505632" w:rsidP="00AD4E52">
            <w:pPr>
              <w:pStyle w:val="CellHeader"/>
              <w:jc w:val="center"/>
            </w:pPr>
            <w:r>
              <w:rPr>
                <w:rFonts w:cs="Times New Roman"/>
              </w:rPr>
              <w:t>Jedinica</w:t>
            </w:r>
          </w:p>
        </w:tc>
        <w:tc>
          <w:tcPr>
            <w:tcW w:w="1017" w:type="dxa"/>
            <w:shd w:val="clear" w:color="auto" w:fill="B5C0D8"/>
          </w:tcPr>
          <w:p w:rsidR="00505632" w:rsidRDefault="00505632" w:rsidP="00AD4E52">
            <w:pPr>
              <w:pStyle w:val="CellHeader"/>
              <w:jc w:val="center"/>
            </w:pPr>
            <w:r>
              <w:rPr>
                <w:rFonts w:cs="Times New Roman"/>
              </w:rPr>
              <w:t>Polazna vrijednost</w:t>
            </w:r>
          </w:p>
        </w:tc>
        <w:tc>
          <w:tcPr>
            <w:tcW w:w="1114" w:type="dxa"/>
            <w:shd w:val="clear" w:color="auto" w:fill="B5C0D8"/>
          </w:tcPr>
          <w:p w:rsidR="00505632" w:rsidRDefault="00505632" w:rsidP="00AD4E52">
            <w:pPr>
              <w:pStyle w:val="CellHeader"/>
              <w:jc w:val="center"/>
            </w:pPr>
            <w:r>
              <w:rPr>
                <w:rFonts w:cs="Times New Roman"/>
              </w:rPr>
              <w:t>Izvor podataka</w:t>
            </w:r>
          </w:p>
        </w:tc>
        <w:tc>
          <w:tcPr>
            <w:tcW w:w="1017" w:type="dxa"/>
            <w:shd w:val="clear" w:color="auto" w:fill="B5C0D8"/>
          </w:tcPr>
          <w:p w:rsidR="00505632" w:rsidRDefault="00505632" w:rsidP="00AD4E52">
            <w:pPr>
              <w:pStyle w:val="CellHeader"/>
              <w:jc w:val="center"/>
            </w:pPr>
            <w:r>
              <w:rPr>
                <w:rFonts w:cs="Times New Roman"/>
              </w:rPr>
              <w:t>Ciljana vrijednost (2016.)</w:t>
            </w:r>
          </w:p>
        </w:tc>
        <w:tc>
          <w:tcPr>
            <w:tcW w:w="1018"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16" w:type="dxa"/>
          </w:tcPr>
          <w:p w:rsidR="00505632" w:rsidRDefault="00505632" w:rsidP="00AD4E52">
            <w:pPr>
              <w:pStyle w:val="CellColumn"/>
              <w:jc w:val="left"/>
            </w:pPr>
            <w:r>
              <w:rPr>
                <w:rFonts w:cs="Times New Roman"/>
              </w:rPr>
              <w:t>Osiguravanje kontinuiteta rada pravnih osoba ovlaštenih za stručne poslove zaštite okoliša</w:t>
            </w:r>
          </w:p>
        </w:tc>
        <w:tc>
          <w:tcPr>
            <w:tcW w:w="1014" w:type="dxa"/>
          </w:tcPr>
          <w:p w:rsidR="00505632" w:rsidRDefault="00505632" w:rsidP="00AD4E52">
            <w:pPr>
              <w:pStyle w:val="CellColumn"/>
              <w:jc w:val="right"/>
            </w:pPr>
            <w:r>
              <w:rPr>
                <w:rFonts w:cs="Times New Roman"/>
              </w:rPr>
              <w:t>%</w:t>
            </w:r>
          </w:p>
        </w:tc>
        <w:tc>
          <w:tcPr>
            <w:tcW w:w="1017" w:type="dxa"/>
          </w:tcPr>
          <w:p w:rsidR="00505632" w:rsidRDefault="00505632" w:rsidP="00AD4E52">
            <w:pPr>
              <w:pStyle w:val="CellColumn"/>
              <w:jc w:val="right"/>
            </w:pPr>
            <w:r>
              <w:rPr>
                <w:rFonts w:cs="Times New Roman"/>
              </w:rPr>
              <w:t>82</w:t>
            </w:r>
          </w:p>
        </w:tc>
        <w:tc>
          <w:tcPr>
            <w:tcW w:w="1114" w:type="dxa"/>
          </w:tcPr>
          <w:p w:rsidR="00505632" w:rsidRDefault="00505632" w:rsidP="00AD4E52">
            <w:pPr>
              <w:pStyle w:val="CellColumn"/>
              <w:jc w:val="right"/>
            </w:pPr>
            <w:r>
              <w:rPr>
                <w:rFonts w:cs="Times New Roman"/>
              </w:rPr>
              <w:t>Strateški plan Ministarstva zaštite okoliša i prirode za razdoblje 2016. do 2018.</w:t>
            </w:r>
          </w:p>
        </w:tc>
        <w:tc>
          <w:tcPr>
            <w:tcW w:w="1017" w:type="dxa"/>
          </w:tcPr>
          <w:p w:rsidR="00505632" w:rsidRDefault="00505632" w:rsidP="00AD4E52">
            <w:pPr>
              <w:pStyle w:val="CellColumn"/>
              <w:jc w:val="right"/>
            </w:pPr>
            <w:r>
              <w:rPr>
                <w:rFonts w:cs="Times New Roman"/>
              </w:rPr>
              <w:t>90</w:t>
            </w:r>
          </w:p>
        </w:tc>
        <w:tc>
          <w:tcPr>
            <w:tcW w:w="1018" w:type="dxa"/>
          </w:tcPr>
          <w:p w:rsidR="00505632" w:rsidRDefault="00505632" w:rsidP="00AD4E52">
            <w:pPr>
              <w:pStyle w:val="CellColumn"/>
              <w:jc w:val="right"/>
            </w:pPr>
            <w:r>
              <w:rPr>
                <w:rFonts w:cs="Times New Roman"/>
              </w:rPr>
              <w:t>83</w:t>
            </w:r>
          </w:p>
        </w:tc>
      </w:tr>
    </w:tbl>
    <w:p w:rsidR="00505632" w:rsidRDefault="00505632" w:rsidP="00505632">
      <w:pPr>
        <w:jc w:val="left"/>
      </w:pPr>
    </w:p>
    <w:p w:rsidR="00505632" w:rsidRDefault="00505632" w:rsidP="00505632">
      <w:pPr>
        <w:pStyle w:val="Heading4"/>
      </w:pPr>
      <w:r>
        <w:t>A576248 INTEGRIRANO SPRJEČAVANJE I NADZOR ONEČIŠĆENJA - IPPC</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A576248-INTEGRIRANO SPRJEČAVANJE I NADZOR ONEČIŠĆENJA - IPPC</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50.000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Postupak izdavanja okolišne dozvole provodio se prema člancima 95. do 119. Zakona o zaštiti okoliša.</w:t>
      </w:r>
    </w:p>
    <w:p w:rsidR="00505632" w:rsidRDefault="00505632" w:rsidP="00505632">
      <w:pPr>
        <w:pStyle w:val="Heading8"/>
        <w:jc w:val="left"/>
      </w:pPr>
      <w:r>
        <w:t>Opis aktivnosti</w:t>
      </w:r>
    </w:p>
    <w:p w:rsidR="00505632" w:rsidRDefault="00505632" w:rsidP="00505632">
      <w:r>
        <w:t>Prema članku 95. stavku 1 Zakona o zaštiti okoliša, a da bi se ostvario cilj cjelovite zaštite okoliša integriranim sprječavanjem i  kontrolom onečišćenja uzrokovanih industrijskom aktivnošću, Ministarstvo izdaje okolišne dozvole. Prema članku 113. Zakon o zaštiti okoliša Ministarstvo prati razvoj najboljih raspoloživih tehnika, primjenu tehnika u nastajanju, te podatke o tome stavlja na raspolaganje javnosti objavom na internetskim stranicama Ministarstva. Radi obavljanja navedenih poslova ministar može odlukom osnovati i posebno stručno savjetodavno tijelo. Sredstva za naknadu za rad stručnom savjetodavnom tijelu osiguravaju se u državnom proračunu. Okolišne dozvole, suglasnosti na temeljna izvješća, odobravanja izuzeća od primjene graničnih vrijednosti, mišljenja, obrazloženja su izdavana. Ministar nije donio odluku o osnivanju posebnog stručnog savjetodavnog tijela te planirana sredstva nisu trošena.</w:t>
      </w:r>
    </w:p>
    <w:p w:rsidR="00505632" w:rsidRDefault="00505632" w:rsidP="00505632">
      <w:pPr>
        <w:pStyle w:val="Heading8"/>
        <w:jc w:val="left"/>
      </w:pPr>
      <w:r>
        <w:t>Pokazatelji rezultata</w:t>
      </w:r>
    </w:p>
    <w:tbl>
      <w:tblPr>
        <w:tblStyle w:val="StilTablice"/>
        <w:tblW w:w="7695" w:type="dxa"/>
        <w:jc w:val="center"/>
        <w:tblLook w:val="04A0" w:firstRow="1" w:lastRow="0" w:firstColumn="1" w:lastColumn="0" w:noHBand="0" w:noVBand="1"/>
      </w:tblPr>
      <w:tblGrid>
        <w:gridCol w:w="2515"/>
        <w:gridCol w:w="1014"/>
        <w:gridCol w:w="1017"/>
        <w:gridCol w:w="1114"/>
        <w:gridCol w:w="1017"/>
        <w:gridCol w:w="1018"/>
      </w:tblGrid>
      <w:tr w:rsidR="00505632" w:rsidTr="00AD4E52">
        <w:trPr>
          <w:jc w:val="center"/>
        </w:trPr>
        <w:tc>
          <w:tcPr>
            <w:tcW w:w="2515" w:type="dxa"/>
            <w:shd w:val="clear" w:color="auto" w:fill="B5C0D8"/>
          </w:tcPr>
          <w:p w:rsidR="00505632" w:rsidRDefault="00505632" w:rsidP="00AD4E52">
            <w:pPr>
              <w:jc w:val="center"/>
            </w:pPr>
            <w:r>
              <w:t>Pokazatelj rezultata</w:t>
            </w:r>
          </w:p>
        </w:tc>
        <w:tc>
          <w:tcPr>
            <w:tcW w:w="1014" w:type="dxa"/>
            <w:shd w:val="clear" w:color="auto" w:fill="B5C0D8"/>
          </w:tcPr>
          <w:p w:rsidR="00505632" w:rsidRDefault="00505632" w:rsidP="00AD4E52">
            <w:pPr>
              <w:pStyle w:val="CellHeader"/>
              <w:jc w:val="center"/>
            </w:pPr>
            <w:r>
              <w:rPr>
                <w:rFonts w:cs="Times New Roman"/>
              </w:rPr>
              <w:t>Jedinica</w:t>
            </w:r>
          </w:p>
        </w:tc>
        <w:tc>
          <w:tcPr>
            <w:tcW w:w="1017" w:type="dxa"/>
            <w:shd w:val="clear" w:color="auto" w:fill="B5C0D8"/>
          </w:tcPr>
          <w:p w:rsidR="00505632" w:rsidRDefault="00505632" w:rsidP="00AD4E52">
            <w:pPr>
              <w:pStyle w:val="CellHeader"/>
              <w:jc w:val="center"/>
            </w:pPr>
            <w:r>
              <w:rPr>
                <w:rFonts w:cs="Times New Roman"/>
              </w:rPr>
              <w:t>Polazna vrijednost</w:t>
            </w:r>
          </w:p>
        </w:tc>
        <w:tc>
          <w:tcPr>
            <w:tcW w:w="1114" w:type="dxa"/>
            <w:shd w:val="clear" w:color="auto" w:fill="B5C0D8"/>
          </w:tcPr>
          <w:p w:rsidR="00505632" w:rsidRDefault="00505632" w:rsidP="00AD4E52">
            <w:pPr>
              <w:pStyle w:val="CellHeader"/>
              <w:jc w:val="center"/>
            </w:pPr>
            <w:r>
              <w:rPr>
                <w:rFonts w:cs="Times New Roman"/>
              </w:rPr>
              <w:t>Izvor podataka</w:t>
            </w:r>
          </w:p>
        </w:tc>
        <w:tc>
          <w:tcPr>
            <w:tcW w:w="1017" w:type="dxa"/>
            <w:shd w:val="clear" w:color="auto" w:fill="B5C0D8"/>
          </w:tcPr>
          <w:p w:rsidR="00505632" w:rsidRDefault="00505632" w:rsidP="00AD4E52">
            <w:pPr>
              <w:pStyle w:val="CellHeader"/>
              <w:jc w:val="center"/>
            </w:pPr>
            <w:r>
              <w:rPr>
                <w:rFonts w:cs="Times New Roman"/>
              </w:rPr>
              <w:t>Ciljana vrijednost (2016.)</w:t>
            </w:r>
          </w:p>
        </w:tc>
        <w:tc>
          <w:tcPr>
            <w:tcW w:w="1018"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15" w:type="dxa"/>
          </w:tcPr>
          <w:p w:rsidR="00505632" w:rsidRDefault="00505632" w:rsidP="00AD4E52">
            <w:pPr>
              <w:pStyle w:val="CellColumn"/>
              <w:jc w:val="left"/>
            </w:pPr>
            <w:r>
              <w:rPr>
                <w:rFonts w:cs="Times New Roman"/>
              </w:rPr>
              <w:t>Povećanje i održavanje kontinuiteta postupaka integriranog nadzora i sprečavanje onečišćenja</w:t>
            </w:r>
          </w:p>
        </w:tc>
        <w:tc>
          <w:tcPr>
            <w:tcW w:w="1014" w:type="dxa"/>
          </w:tcPr>
          <w:p w:rsidR="00505632" w:rsidRDefault="00505632" w:rsidP="00AD4E52">
            <w:pPr>
              <w:pStyle w:val="CellColumn"/>
              <w:jc w:val="right"/>
            </w:pPr>
            <w:r>
              <w:rPr>
                <w:rFonts w:cs="Times New Roman"/>
              </w:rPr>
              <w:t>%</w:t>
            </w:r>
          </w:p>
        </w:tc>
        <w:tc>
          <w:tcPr>
            <w:tcW w:w="1017" w:type="dxa"/>
          </w:tcPr>
          <w:p w:rsidR="00505632" w:rsidRDefault="00505632" w:rsidP="00AD4E52">
            <w:pPr>
              <w:pStyle w:val="CellColumn"/>
              <w:jc w:val="right"/>
            </w:pPr>
            <w:r>
              <w:rPr>
                <w:rFonts w:cs="Times New Roman"/>
              </w:rPr>
              <w:t>58</w:t>
            </w:r>
          </w:p>
        </w:tc>
        <w:tc>
          <w:tcPr>
            <w:tcW w:w="1114" w:type="dxa"/>
          </w:tcPr>
          <w:p w:rsidR="00505632" w:rsidRDefault="00505632" w:rsidP="00AD4E52">
            <w:pPr>
              <w:pStyle w:val="CellColumn"/>
              <w:jc w:val="right"/>
            </w:pPr>
            <w:r>
              <w:rPr>
                <w:rFonts w:cs="Times New Roman"/>
              </w:rPr>
              <w:t>Strateški plan Ministarstva zaštite okoliša i prirode za razdoblje 2016. do 2018.</w:t>
            </w:r>
          </w:p>
        </w:tc>
        <w:tc>
          <w:tcPr>
            <w:tcW w:w="1017" w:type="dxa"/>
          </w:tcPr>
          <w:p w:rsidR="00505632" w:rsidRDefault="00505632" w:rsidP="00AD4E52">
            <w:pPr>
              <w:pStyle w:val="CellColumn"/>
              <w:jc w:val="right"/>
            </w:pPr>
            <w:r>
              <w:rPr>
                <w:rFonts w:cs="Times New Roman"/>
              </w:rPr>
              <w:t>60</w:t>
            </w:r>
          </w:p>
        </w:tc>
        <w:tc>
          <w:tcPr>
            <w:tcW w:w="1018" w:type="dxa"/>
          </w:tcPr>
          <w:p w:rsidR="00505632" w:rsidRDefault="00505632" w:rsidP="00AD4E52">
            <w:pPr>
              <w:pStyle w:val="CellColumn"/>
              <w:jc w:val="right"/>
            </w:pPr>
            <w:r>
              <w:rPr>
                <w:rFonts w:cs="Times New Roman"/>
              </w:rPr>
              <w:t>72</w:t>
            </w:r>
          </w:p>
        </w:tc>
      </w:tr>
    </w:tbl>
    <w:p w:rsidR="00505632" w:rsidRDefault="00505632" w:rsidP="00505632">
      <w:pPr>
        <w:jc w:val="left"/>
      </w:pPr>
    </w:p>
    <w:p w:rsidR="00505632" w:rsidRDefault="00505632" w:rsidP="00505632">
      <w:pPr>
        <w:pStyle w:val="Heading4"/>
      </w:pPr>
      <w:r>
        <w:t>A576264 ADMINISTRACIJA I UPRAVLJANJE MINISTARSTVOM</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A576264-ADMINISTRACIJA I UPRAVLJANJE MINISTARSTVOM</w:t>
            </w:r>
          </w:p>
        </w:tc>
        <w:tc>
          <w:tcPr>
            <w:tcW w:w="2041" w:type="dxa"/>
          </w:tcPr>
          <w:p w:rsidR="00505632" w:rsidRDefault="00505632" w:rsidP="00AD4E52">
            <w:pPr>
              <w:pStyle w:val="CellColumn"/>
              <w:jc w:val="right"/>
            </w:pPr>
            <w:r>
              <w:rPr>
                <w:rFonts w:cs="Times New Roman"/>
              </w:rPr>
              <w:t>52.342.928</w:t>
            </w:r>
          </w:p>
        </w:tc>
        <w:tc>
          <w:tcPr>
            <w:tcW w:w="2041" w:type="dxa"/>
          </w:tcPr>
          <w:p w:rsidR="00505632" w:rsidRDefault="00505632" w:rsidP="00AD4E52">
            <w:pPr>
              <w:pStyle w:val="CellColumn"/>
              <w:jc w:val="right"/>
            </w:pPr>
            <w:r>
              <w:rPr>
                <w:rFonts w:cs="Times New Roman"/>
              </w:rPr>
              <w:t>55.612.060</w:t>
            </w:r>
          </w:p>
        </w:tc>
        <w:tc>
          <w:tcPr>
            <w:tcW w:w="2041" w:type="dxa"/>
          </w:tcPr>
          <w:p w:rsidR="00505632" w:rsidRDefault="00505632" w:rsidP="00AD4E52">
            <w:pPr>
              <w:pStyle w:val="CellColumn"/>
              <w:jc w:val="right"/>
            </w:pPr>
            <w:r>
              <w:rPr>
                <w:rFonts w:cs="Times New Roman"/>
              </w:rPr>
              <w:t>53.574.431</w:t>
            </w:r>
          </w:p>
        </w:tc>
        <w:tc>
          <w:tcPr>
            <w:tcW w:w="1224" w:type="dxa"/>
          </w:tcPr>
          <w:p w:rsidR="00505632" w:rsidRDefault="00505632" w:rsidP="00AD4E52">
            <w:pPr>
              <w:pStyle w:val="CellColumn"/>
              <w:jc w:val="right"/>
            </w:pPr>
            <w:r>
              <w:rPr>
                <w:rFonts w:cs="Times New Roman"/>
              </w:rPr>
              <w:t>96,3</w:t>
            </w:r>
          </w:p>
        </w:tc>
        <w:tc>
          <w:tcPr>
            <w:tcW w:w="1224" w:type="dxa"/>
          </w:tcPr>
          <w:p w:rsidR="00505632" w:rsidRDefault="00505632" w:rsidP="00AD4E52">
            <w:pPr>
              <w:pStyle w:val="CellColumn"/>
              <w:jc w:val="right"/>
            </w:pPr>
            <w:r>
              <w:rPr>
                <w:rFonts w:cs="Times New Roman"/>
              </w:rPr>
              <w:t>102,4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o unutarnjem ustrojstvu Ministarstva zaštite okoliša i prirode (Narodne novine, br. 10/14) Uredba o izmjenama i dopunama Uredbe o unutarnjem ustrojstvu Ministarstva za štite okoliša i prirode (Narodne novine, br. 17/)</w:t>
      </w:r>
    </w:p>
    <w:p w:rsidR="00505632" w:rsidRDefault="00505632" w:rsidP="00505632">
      <w:pPr>
        <w:pStyle w:val="Heading8"/>
        <w:jc w:val="left"/>
      </w:pPr>
      <w:r>
        <w:t>Opis aktivnosti</w:t>
      </w:r>
    </w:p>
    <w:p w:rsidR="00505632" w:rsidRDefault="00505632" w:rsidP="00505632">
      <w:r>
        <w:t xml:space="preserve">Ministarstvo zaštite okoliša i prirode kroz ovu aktivnost osigurava financiranje redovnog poslovanja i obavljanje svih stručnih poslova iz svog djelokruga. Najveći dio potrošenih sredstava odnosi se na rashode za zaposlene u ukupnom iznosu od 42.118.454 (bruto plaće zaposlenika, plaće za prekovremeni rad, doprinose na plaće, te ostali rashodi za </w:t>
      </w:r>
    </w:p>
    <w:p w:rsidR="00505632" w:rsidRDefault="00505632" w:rsidP="00505632">
      <w:r>
        <w:t>zaposlene). Materijalni rashodi u ukupnom iznosu od 11.049.919 kuna odnose se na troškove zaposlenima (naknade troškova službenih putovanja, naknade za prijevoz, naknade za rad na terenu), te za troškove redovnog poslovanja Ministarstva tzv. hladnog pogona koji se u najvećoj mjeri odnosi na režijske troškove svih poslovnih prostora Ministarstva kako u sjedištu tako i područnim jedinicama temeljem sklopljenih ugovora, troškove za uredski materijal i ostale materijalne rashode, rashodi za materijal i sirovine, za usluge telefona, pošte i prijevoza, komunalne usluge, te ntelektualne usluge. Osim materijalnih rashoda na ovoj aktivnosti planirani su i financijski rashodi u ukupnom iznosu od 32.798 kuna, što se odnosi na bankarske usluge, usluge platnog prometa i poreza na cestovna motorna vozila.</w:t>
      </w:r>
    </w:p>
    <w:p w:rsidR="00505632" w:rsidRDefault="00505632" w:rsidP="00505632">
      <w:pPr>
        <w:pStyle w:val="Heading4"/>
      </w:pPr>
      <w:r>
        <w:t>A576265 ODRŽAVANJE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A576265-ODRŽAVANJE VOZNOG PARKA</w:t>
            </w:r>
          </w:p>
        </w:tc>
        <w:tc>
          <w:tcPr>
            <w:tcW w:w="2041" w:type="dxa"/>
          </w:tcPr>
          <w:p w:rsidR="00505632" w:rsidRDefault="00505632" w:rsidP="00AD4E52">
            <w:pPr>
              <w:pStyle w:val="CellColumn"/>
              <w:jc w:val="right"/>
            </w:pPr>
            <w:r>
              <w:rPr>
                <w:rFonts w:cs="Times New Roman"/>
              </w:rPr>
              <w:t>1.424.156</w:t>
            </w:r>
          </w:p>
        </w:tc>
        <w:tc>
          <w:tcPr>
            <w:tcW w:w="2041" w:type="dxa"/>
          </w:tcPr>
          <w:p w:rsidR="00505632" w:rsidRDefault="00505632" w:rsidP="00AD4E52">
            <w:pPr>
              <w:pStyle w:val="CellColumn"/>
              <w:jc w:val="right"/>
            </w:pPr>
            <w:r>
              <w:rPr>
                <w:rFonts w:cs="Times New Roman"/>
              </w:rPr>
              <w:t>1.445.500</w:t>
            </w:r>
          </w:p>
        </w:tc>
        <w:tc>
          <w:tcPr>
            <w:tcW w:w="2041" w:type="dxa"/>
          </w:tcPr>
          <w:p w:rsidR="00505632" w:rsidRDefault="00505632" w:rsidP="00AD4E52">
            <w:pPr>
              <w:pStyle w:val="CellColumn"/>
              <w:jc w:val="right"/>
            </w:pPr>
            <w:r>
              <w:rPr>
                <w:rFonts w:cs="Times New Roman"/>
              </w:rPr>
              <w:t>1.179.253</w:t>
            </w:r>
          </w:p>
        </w:tc>
        <w:tc>
          <w:tcPr>
            <w:tcW w:w="1224" w:type="dxa"/>
          </w:tcPr>
          <w:p w:rsidR="00505632" w:rsidRDefault="00505632" w:rsidP="00AD4E52">
            <w:pPr>
              <w:pStyle w:val="CellColumn"/>
              <w:jc w:val="right"/>
            </w:pPr>
            <w:r>
              <w:rPr>
                <w:rFonts w:cs="Times New Roman"/>
              </w:rPr>
              <w:t>81,6</w:t>
            </w:r>
          </w:p>
        </w:tc>
        <w:tc>
          <w:tcPr>
            <w:tcW w:w="1224" w:type="dxa"/>
          </w:tcPr>
          <w:p w:rsidR="00505632" w:rsidRDefault="00505632" w:rsidP="00AD4E52">
            <w:pPr>
              <w:pStyle w:val="CellColumn"/>
              <w:jc w:val="right"/>
            </w:pPr>
            <w:r>
              <w:rPr>
                <w:rFonts w:cs="Times New Roman"/>
              </w:rPr>
              <w:t>82,8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o unutarnjem ustrojstvu Ministarstva zaštite okoliša i prirode (»Narodne novine« broj 10/14, 17/15)</w:t>
      </w:r>
    </w:p>
    <w:p w:rsidR="00505632" w:rsidRDefault="00505632" w:rsidP="00505632">
      <w:pPr>
        <w:pStyle w:val="Heading8"/>
        <w:jc w:val="left"/>
      </w:pPr>
      <w:r>
        <w:t>Opis aktivnosti</w:t>
      </w:r>
    </w:p>
    <w:p w:rsidR="00505632" w:rsidRDefault="00505632" w:rsidP="00505632">
      <w:r>
        <w:t>Sredstva na ovoj stavci utrošena su na materijalne rashode u iznosima kako su dani u tablici, a sastoje se od redovnih rashoda za održavanje voznog parka za vozila Ministarstva zaštite okoliša i energetike, te vozila koja je Ministarstvo zaštite okoliša i energetike stupanjem na snagu Zakona o ustroju ministarstava i drugih središnjih tijela državne uprave („Narodne novine“, broj 93/16 i 104/16) preuzelo iz Ministarstva gospodarstva, sektora za energetiku, i Ministarstva poljoprivrede, uprave za vodno gospodarstvu, temeljem zaključenih sporazuma o preuzimanju državnih službenika, poslova, opreme, sredstava za rad, financijskih sredstava, pismohrane i druge dokumentacije. Gore navedeni troškovi obuhvaćaju i troškove goriva, usluge servisa i održavanja vozila, pranja vozila, premija osiguranja i tehničkih pregleda, te rashode za operativni leasing za vozila nabavljenih temeljem Okvirnog sporazuma Državnog ureda za središnju javnu nabavu.</w:t>
      </w:r>
    </w:p>
    <w:p w:rsidR="00505632" w:rsidRDefault="00505632" w:rsidP="00505632">
      <w:pPr>
        <w:pStyle w:val="Heading4"/>
      </w:pPr>
      <w:r>
        <w:t>A784013 TRGOVANJE EMISIJSKIM JEDINICAMA STAKLENIČKIH PLINOVA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A784013-TRGOVANJE EMISIJSKIM JEDINICAMA STAKLENIČKIH PLINOVA</w:t>
            </w:r>
          </w:p>
        </w:tc>
        <w:tc>
          <w:tcPr>
            <w:tcW w:w="2041" w:type="dxa"/>
          </w:tcPr>
          <w:p w:rsidR="00505632" w:rsidRDefault="00505632" w:rsidP="00AD4E52">
            <w:pPr>
              <w:pStyle w:val="CellColumn"/>
              <w:jc w:val="right"/>
            </w:pPr>
            <w:r>
              <w:rPr>
                <w:rFonts w:cs="Times New Roman"/>
              </w:rPr>
              <w:t>776.375</w:t>
            </w:r>
          </w:p>
        </w:tc>
        <w:tc>
          <w:tcPr>
            <w:tcW w:w="2041" w:type="dxa"/>
          </w:tcPr>
          <w:p w:rsidR="00505632" w:rsidRDefault="00505632" w:rsidP="00AD4E52">
            <w:pPr>
              <w:pStyle w:val="CellColumn"/>
              <w:jc w:val="right"/>
            </w:pPr>
            <w:r>
              <w:rPr>
                <w:rFonts w:cs="Times New Roman"/>
              </w:rPr>
              <w:t>17.027.588</w:t>
            </w:r>
          </w:p>
        </w:tc>
        <w:tc>
          <w:tcPr>
            <w:tcW w:w="2041" w:type="dxa"/>
          </w:tcPr>
          <w:p w:rsidR="00505632" w:rsidRDefault="00505632" w:rsidP="00AD4E52">
            <w:pPr>
              <w:pStyle w:val="CellColumn"/>
              <w:jc w:val="right"/>
            </w:pPr>
            <w:r>
              <w:rPr>
                <w:rFonts w:cs="Times New Roman"/>
              </w:rPr>
              <w:t>10.194.219</w:t>
            </w:r>
          </w:p>
        </w:tc>
        <w:tc>
          <w:tcPr>
            <w:tcW w:w="1224" w:type="dxa"/>
          </w:tcPr>
          <w:p w:rsidR="00505632" w:rsidRDefault="00505632" w:rsidP="00AD4E52">
            <w:pPr>
              <w:pStyle w:val="CellColumn"/>
              <w:jc w:val="right"/>
            </w:pPr>
            <w:r>
              <w:rPr>
                <w:rFonts w:cs="Times New Roman"/>
              </w:rPr>
              <w:t>59,9</w:t>
            </w:r>
          </w:p>
        </w:tc>
        <w:tc>
          <w:tcPr>
            <w:tcW w:w="1224" w:type="dxa"/>
          </w:tcPr>
          <w:p w:rsidR="00505632" w:rsidRDefault="00505632" w:rsidP="00AD4E52">
            <w:pPr>
              <w:pStyle w:val="CellColumn"/>
              <w:jc w:val="right"/>
            </w:pPr>
            <w:r>
              <w:rPr>
                <w:rFonts w:cs="Times New Roman"/>
              </w:rPr>
              <w:t>1313,1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 skladu s čl. 100. Zakona o zaštiti zraka (Narodne novine, br. 130/11 i 47/14), 5% od ukupno prikupljenih financijskih sredstava dobivenih prodajom emisijskih jedinica stakleničkih plinova putem dražbi uplaćuju se u Državni proračun i koriste strogo namjenski za pokrivanje troškova administriranja sustava trgovanja emisijskim jedinicama, za upravne poslove, poslove funkcioniranja Registra Unije, dražbovatelja, Nacionalnog sustava za praćenje emisije stakleničkih plinova i drugih poslova vezanih uz klimatske promjene. Navedena financijska sredstva ne podliježu limitu.</w:t>
      </w:r>
    </w:p>
    <w:p w:rsidR="00505632" w:rsidRDefault="00505632" w:rsidP="00505632">
      <w:pPr>
        <w:pStyle w:val="Heading8"/>
        <w:jc w:val="left"/>
      </w:pPr>
      <w:r>
        <w:t>Opis aktivnosti</w:t>
      </w:r>
    </w:p>
    <w:p w:rsidR="00505632" w:rsidRDefault="00505632" w:rsidP="00505632">
      <w:r>
        <w:t>Sredstva na ovoj aktivnosti u 2016. godini utrošena su na projekte klimatskih aktivnosti u području prilagodbe i ublažavanja klimatskim promjenama: Inicijalno izvješće Rh o izračunu jedinica dodijeljene kvote Kyotskog protokola u iznosu od 97.500,00 kn, Izrada Nacionalnog plana zaštite okoliša RH u iznosu od 306.250,00 kn, Analiza upotrebljivosti podataka iz inventure šuma UNFCCC u iznosu od 248.125,00 kn, Pravne usluge za potrebe pregovora s EK u iznosu od 180.000,00 kn, Izrada Prijedloga zakona o izmjenama i dopunama zakona o zaštiti od svjetlosnog onečišćenja u iznosu od 24.937,50 kn, Izrada stručnih podloga za izradu i provedbu zakonodavnog okvira o razvoju infrastrukture za alternativna goriva u iznosu od 175.000,00 kn, Pružanje tehničke pomoći za razvoj i provedbu elemenata klimatsko energetskog okvira 2020. do 2030. godine u iznosu od 243.750,00 kn, Revizija dokumenta Strategija niskougljičnog razvoja RH do 2030. s pogledom na 2050. godinu u iznosu od 611.625,00 kn. sredstva su utrošena i na ugovori o djelu u iznosu od 58.127,99 kn, prijevode tekstova u iznosu od 22.489,69 kn, trošak dražbovatelja u iznosu od 7.710.444,02 kn, službena putovanja u iznosu od 358.931,58 kn, te ostale rashodi za uredski materijal, namještaj, IT opremu i sl.</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20"/>
        <w:gridCol w:w="2512"/>
        <w:gridCol w:w="1011"/>
        <w:gridCol w:w="1016"/>
        <w:gridCol w:w="1114"/>
        <w:gridCol w:w="1016"/>
        <w:gridCol w:w="1017"/>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Kontinuirano usklađivanje sustava zaštite klime i ozonskog sloja s EU standardima i međunarodnim sporazumima</w:t>
            </w:r>
          </w:p>
        </w:tc>
        <w:tc>
          <w:tcPr>
            <w:tcW w:w="2551" w:type="dxa"/>
          </w:tcPr>
          <w:p w:rsidR="00505632" w:rsidRDefault="00505632" w:rsidP="00AD4E52">
            <w:pPr>
              <w:pStyle w:val="CellColumn"/>
              <w:jc w:val="left"/>
            </w:pPr>
            <w:r>
              <w:rPr>
                <w:rFonts w:cs="Times New Roman"/>
              </w:rPr>
              <w:t>Praćenje EU zakonodavstva i preuzimanje pravne stečevine EU – acquisa, izrada stajališta i priprema komentara na prijedloge propisa.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70</w:t>
            </w:r>
          </w:p>
        </w:tc>
      </w:tr>
      <w:tr w:rsidR="00505632" w:rsidTr="00AD4E52">
        <w:trPr>
          <w:jc w:val="center"/>
        </w:trPr>
        <w:tc>
          <w:tcPr>
            <w:tcW w:w="2551" w:type="dxa"/>
          </w:tcPr>
          <w:p w:rsidR="00505632" w:rsidRDefault="00505632" w:rsidP="00AD4E52">
            <w:pPr>
              <w:pStyle w:val="CellColumn"/>
              <w:jc w:val="left"/>
            </w:pPr>
            <w:r>
              <w:rPr>
                <w:rFonts w:cs="Times New Roman"/>
              </w:rPr>
              <w:t>Kontinuirano unaprjeđenje pravnog i institucionalnog okvira za subjekte uključene u sustav trgovanja emisijskim jedinicama stakleničkih plinova</w:t>
            </w:r>
          </w:p>
        </w:tc>
        <w:tc>
          <w:tcPr>
            <w:tcW w:w="2551" w:type="dxa"/>
          </w:tcPr>
          <w:p w:rsidR="00505632" w:rsidRDefault="00505632" w:rsidP="00AD4E52">
            <w:pPr>
              <w:pStyle w:val="CellColumn"/>
              <w:jc w:val="left"/>
            </w:pPr>
            <w:r>
              <w:rPr>
                <w:rFonts w:cs="Times New Roman"/>
              </w:rPr>
              <w:t>Ministarstvo vodi sustav trgovanja emisijskim jedinicama na način koji omogućuje gospodarskim subjektima i operatorima zrakoplova da provedbom troškovno učinkovitih mjera smanje emisije stakleničkih plinova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75</w:t>
            </w:r>
          </w:p>
        </w:tc>
      </w:tr>
      <w:tr w:rsidR="00505632" w:rsidTr="00AD4E52">
        <w:trPr>
          <w:jc w:val="center"/>
        </w:trPr>
        <w:tc>
          <w:tcPr>
            <w:tcW w:w="2551" w:type="dxa"/>
          </w:tcPr>
          <w:p w:rsidR="00505632" w:rsidRDefault="00505632" w:rsidP="00AD4E52">
            <w:pPr>
              <w:pStyle w:val="CellColumn"/>
              <w:jc w:val="left"/>
            </w:pPr>
            <w:r>
              <w:rPr>
                <w:rFonts w:cs="Times New Roman"/>
              </w:rPr>
              <w:t>Administrativno jačanje kapaciteta službe za klimatske aktivnosti – eksperti na ugovor na određeno vrijeme</w:t>
            </w:r>
          </w:p>
        </w:tc>
        <w:tc>
          <w:tcPr>
            <w:tcW w:w="2551" w:type="dxa"/>
          </w:tcPr>
          <w:p w:rsidR="00505632" w:rsidRDefault="00505632" w:rsidP="00AD4E52">
            <w:pPr>
              <w:pStyle w:val="CellColumn"/>
              <w:jc w:val="left"/>
            </w:pPr>
            <w:r>
              <w:rPr>
                <w:rFonts w:cs="Times New Roman"/>
              </w:rPr>
              <w:t>Angažman stručnjaka na određeno vrijeme za raspisivanje i provođenje projekata koji imaju za cilj smanjenje emisija stakleničkih plinova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Povećanje transparentnosti, pouzdanosti, dosljednosti, usporedivosti i točnosti inventara stakleničkih plinova</w:t>
            </w:r>
          </w:p>
        </w:tc>
        <w:tc>
          <w:tcPr>
            <w:tcW w:w="2551" w:type="dxa"/>
          </w:tcPr>
          <w:p w:rsidR="00505632" w:rsidRDefault="00505632" w:rsidP="00AD4E52">
            <w:pPr>
              <w:pStyle w:val="CellColumn"/>
              <w:jc w:val="left"/>
            </w:pPr>
            <w:r>
              <w:rPr>
                <w:rFonts w:cs="Times New Roman"/>
              </w:rPr>
              <w:t>Ministarstvo će u suradnji s nadležnim TDU i AZO omogućiti usklađenost izvještavanja o emisijama stakleničkih plinova sa zahtjevima nacionalne legislative i međunarodnih obveza te dati realnu podlogu za donošenje strateških dokumenata i provedbu politike smanjenja emisija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65</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72</w:t>
            </w:r>
          </w:p>
        </w:tc>
      </w:tr>
      <w:tr w:rsidR="00505632" w:rsidTr="00AD4E52">
        <w:trPr>
          <w:jc w:val="center"/>
        </w:trPr>
        <w:tc>
          <w:tcPr>
            <w:tcW w:w="2551" w:type="dxa"/>
          </w:tcPr>
          <w:p w:rsidR="00505632" w:rsidRDefault="00505632" w:rsidP="00AD4E52">
            <w:pPr>
              <w:pStyle w:val="CellColumn"/>
              <w:jc w:val="left"/>
            </w:pPr>
            <w:r>
              <w:rPr>
                <w:rFonts w:cs="Times New Roman"/>
              </w:rPr>
              <w:t>Povećanje postotka izdanih dozvola, mišljenja i rješenja usklađenih s ciljevima iz propisa</w:t>
            </w:r>
          </w:p>
        </w:tc>
        <w:tc>
          <w:tcPr>
            <w:tcW w:w="2551" w:type="dxa"/>
          </w:tcPr>
          <w:p w:rsidR="00505632" w:rsidRDefault="00505632" w:rsidP="00AD4E52">
            <w:pPr>
              <w:pStyle w:val="CellColumn"/>
              <w:jc w:val="left"/>
            </w:pPr>
            <w:r>
              <w:rPr>
                <w:rFonts w:cs="Times New Roman"/>
              </w:rPr>
              <w:t>Administrativna regulacija propisanih obveza operatera postrojenja unutar sustava trgovanja emisijskim jedinicama  stakleničkih plinova.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85</w:t>
            </w:r>
          </w:p>
        </w:tc>
      </w:tr>
      <w:tr w:rsidR="00505632" w:rsidTr="00AD4E52">
        <w:trPr>
          <w:jc w:val="center"/>
        </w:trPr>
        <w:tc>
          <w:tcPr>
            <w:tcW w:w="2551" w:type="dxa"/>
          </w:tcPr>
          <w:p w:rsidR="00505632" w:rsidRDefault="00505632" w:rsidP="00AD4E52">
            <w:pPr>
              <w:pStyle w:val="CellColumn"/>
              <w:jc w:val="left"/>
            </w:pPr>
            <w:r>
              <w:rPr>
                <w:rFonts w:cs="Times New Roman"/>
              </w:rPr>
              <w:t>Strategija niskougljičnog razvoja RH do 2030. godine s pogledom na 2050. godinu, Akcijski plan provedbe Strategije za petogodišnje razdoblje</w:t>
            </w:r>
          </w:p>
        </w:tc>
        <w:tc>
          <w:tcPr>
            <w:tcW w:w="2551" w:type="dxa"/>
          </w:tcPr>
          <w:p w:rsidR="00505632" w:rsidRDefault="00505632" w:rsidP="00AD4E52">
            <w:pPr>
              <w:pStyle w:val="CellColumn"/>
              <w:jc w:val="left"/>
            </w:pPr>
            <w:r>
              <w:rPr>
                <w:rFonts w:cs="Times New Roman"/>
              </w:rPr>
              <w:t>Izrada strategije niskougljičnog razvoja RH do 2030. godine s pogledom na 2050. godinu i Akcijskog plana provedbe Strategije za petogodišnje razdoblje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Provođenje pojedinih mjera</w:t>
            </w:r>
          </w:p>
        </w:tc>
        <w:tc>
          <w:tcPr>
            <w:tcW w:w="2551" w:type="dxa"/>
          </w:tcPr>
          <w:p w:rsidR="00505632" w:rsidRDefault="00505632" w:rsidP="00AD4E52">
            <w:pPr>
              <w:pStyle w:val="CellColumn"/>
              <w:jc w:val="left"/>
            </w:pPr>
            <w:r>
              <w:rPr>
                <w:rFonts w:cs="Times New Roman"/>
              </w:rPr>
              <w:t>Ministarstvo sudjeluje u organizaciji i provođenju mjera predviđenih programom mjera za smanjenjenje emisija CO2 iz prometa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Povećanje broja održanih radionica/seminara</w:t>
            </w:r>
          </w:p>
        </w:tc>
        <w:tc>
          <w:tcPr>
            <w:tcW w:w="2551" w:type="dxa"/>
          </w:tcPr>
          <w:p w:rsidR="00505632" w:rsidRDefault="00505632" w:rsidP="00AD4E52">
            <w:pPr>
              <w:pStyle w:val="CellColumn"/>
              <w:jc w:val="left"/>
            </w:pPr>
            <w:r>
              <w:rPr>
                <w:rFonts w:cs="Times New Roman"/>
              </w:rPr>
              <w:t>Organizacija radionica i seminara za sudionike sustava trgovanja emisijskim jedinicama stakleničkih plinova.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Povećanje broja promidžbenih materijala</w:t>
            </w:r>
          </w:p>
        </w:tc>
        <w:tc>
          <w:tcPr>
            <w:tcW w:w="2551" w:type="dxa"/>
          </w:tcPr>
          <w:p w:rsidR="00505632" w:rsidRDefault="00505632" w:rsidP="00AD4E52">
            <w:pPr>
              <w:pStyle w:val="CellColumn"/>
              <w:jc w:val="left"/>
            </w:pPr>
            <w:r>
              <w:rPr>
                <w:rFonts w:cs="Times New Roman"/>
              </w:rPr>
              <w:t>Izrada promidžbenih materijala za proslavu dana Ozonskog sloja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Strateški  plan  Ministarstva zaštite  okoliša i energetike 2016. –   2018.</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2</w:t>
            </w:r>
          </w:p>
        </w:tc>
      </w:tr>
    </w:tbl>
    <w:p w:rsidR="00505632" w:rsidRDefault="00505632" w:rsidP="00505632">
      <w:pPr>
        <w:jc w:val="left"/>
      </w:pPr>
    </w:p>
    <w:p w:rsidR="00505632" w:rsidRDefault="00505632" w:rsidP="00505632">
      <w:pPr>
        <w:pStyle w:val="Heading4"/>
      </w:pPr>
      <w:r>
        <w:t>A784017 SIGURAN RAD RIZIČNIH POSTROJENJA I SANACIJSKI PROGRAMI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A784017-SIGURAN RAD RIZIČNIH POSTROJENJA I SANACIJSKI PROGRAMI</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100.000</w:t>
            </w:r>
          </w:p>
        </w:tc>
        <w:tc>
          <w:tcPr>
            <w:tcW w:w="2041" w:type="dxa"/>
          </w:tcPr>
          <w:p w:rsidR="00505632" w:rsidRDefault="00505632" w:rsidP="00AD4E52">
            <w:pPr>
              <w:pStyle w:val="CellColumn"/>
              <w:jc w:val="right"/>
            </w:pPr>
            <w:r>
              <w:rPr>
                <w:rFonts w:cs="Times New Roman"/>
              </w:rPr>
              <w:t>114.135</w:t>
            </w:r>
          </w:p>
        </w:tc>
        <w:tc>
          <w:tcPr>
            <w:tcW w:w="1224" w:type="dxa"/>
          </w:tcPr>
          <w:p w:rsidR="00505632" w:rsidRDefault="00505632" w:rsidP="00AD4E52">
            <w:pPr>
              <w:pStyle w:val="CellColumn"/>
              <w:jc w:val="right"/>
            </w:pPr>
            <w:r>
              <w:rPr>
                <w:rFonts w:cs="Times New Roman"/>
              </w:rPr>
              <w:t>114,1</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Postupci izdavanja suglasnost na Izvješće o sigurnosti i na Politiku sprječavanja velikih nesreća provodili su se prema člancima od 120. do 139. Zakon o zaštiti okoliša. Postupci izdavanja suglasnosti na sanacijske programe provodili su se prema člancima od 173. do 208. Zakona o zaštiti okoliša.</w:t>
      </w:r>
    </w:p>
    <w:p w:rsidR="00505632" w:rsidRDefault="00505632" w:rsidP="00505632">
      <w:pPr>
        <w:pStyle w:val="Heading8"/>
        <w:jc w:val="left"/>
      </w:pPr>
      <w:r>
        <w:t>Opis aktivnosti</w:t>
      </w:r>
    </w:p>
    <w:p w:rsidR="00505632" w:rsidRDefault="00505632" w:rsidP="00505632">
      <w:r>
        <w:t>Prema članku 124. Zakon o zaštiti okoliša Ministarstvo izdaje suglasnost na Izvješće o sigurnosti i na Politiku sprječavanja velikih nesreća. Prema članku 126. u postupku ocjenjivanja Izvješća o sigurnosti i ocjenjivanja provedbe Politike sprječavanja velikih nesreća sudjeluje Stručno vijeće. Stručno vijeće ima pravo na naknadu za svoj rad. Troškove rada stručnog vijeća snosi operater. Prema članku 194. Zakon o zaštiti okoliša Ministarstvo izdaje suglasnost na sanacijski program. Prema članku 197. Zakona o zaštiti okoliša Ministarstvo izdaje potvrdu da je sanacija provedena prema odobrenom sanacijskom programu. Prema članku 195. Zakona o zaštiti okoliša u postupku izdavanja suglasnosti na sanacijski program sudjeluje stručno povjerenstvo. Stručno povjerenstvo u postupku izdavanja suglasnosti na sanacijske programe utvrđuje mjere za otklanjanje šteta u okolišu te Ministarstvu, daje mišljenje o potrebnim mjerama za sanaciju štete u okolišu, mjere zaštite okoliša, te program praćenja stanja okoliša nakon provedene sanacije. Stručno povjerenstvo ima pravo na naknadu za svoj rad. Naknadu za rad stručnog povjerenstva sukladno odluci ministra osigurava nositelj izrade sanacijskog programa.</w:t>
      </w:r>
    </w:p>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Provedeni postupci za izdavanje suglasnosti na izvješća o sigurnosti i sanacijske programe u odnosu na zaprimljene zahtjeve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66</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A784023 PROVEDBA SUSTAVA PRAĆENJA I PROMATRANJA ZA STALNU PROCJENU STANJA JADRANSKOG MORA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A784023-PROVEDBA SUSTAVA PRAĆENJA I PROMATRANJA ZA STALNU PROCJENU STANJA JADRANSKOG MORA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270.000</w:t>
            </w:r>
          </w:p>
        </w:tc>
        <w:tc>
          <w:tcPr>
            <w:tcW w:w="2041" w:type="dxa"/>
          </w:tcPr>
          <w:p w:rsidR="00505632" w:rsidRDefault="00505632" w:rsidP="00AD4E52">
            <w:pPr>
              <w:pStyle w:val="CellColumn"/>
              <w:jc w:val="right"/>
            </w:pPr>
            <w:r>
              <w:rPr>
                <w:rFonts w:cs="Times New Roman"/>
              </w:rPr>
              <w:t>262.500</w:t>
            </w:r>
          </w:p>
        </w:tc>
        <w:tc>
          <w:tcPr>
            <w:tcW w:w="1224" w:type="dxa"/>
          </w:tcPr>
          <w:p w:rsidR="00505632" w:rsidRDefault="00505632" w:rsidP="00AD4E52">
            <w:pPr>
              <w:pStyle w:val="CellColumn"/>
              <w:jc w:val="right"/>
            </w:pPr>
            <w:r>
              <w:rPr>
                <w:rFonts w:cs="Times New Roman"/>
              </w:rPr>
              <w:t>97,2</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zaštiti okoliša (NN br. 80/13, 153/13, 78/15), Uredba o izradi i provedbi dokumenata Strategije upravljanja morskim okolišem i obalnim područjem, NN br. 112/14, Odluka o donošenju akcijskog programa Strategije upravljanja morskim okolišem i obalnim područjem: Sustav praćenja i promatranja za stalnu procjenu stanja Jadranskog mora, NN 153/14, Konvencija o zaštiti Sredozemnog mora od onečišćavanja (Barcelona, 1976.) NN-MU br. 12/93, Izmjena Konvencije o zaštiti Sredozemnog mora od onečišćavanja (Barcelona, 1995.) NN-MU br. 11/04, Protokol o zaštiti Sredozemnog mora od onečišćenja kopnenim izvorima (Atena, 1980.) NN-MU br. 12/93, Protokol o zaštiti Sredozemnog mora od onečišćenja kopnenim izvorima i aktivnostima,(Siracusa, 1996.), Zakon o potvrđivanju Izmjena i dopuna Protokola o zaštiti Sredozemnog mora od onečišćavanja s kopna (Siracusa, 1996.) NN-MU br. 3/06</w:t>
      </w:r>
    </w:p>
    <w:p w:rsidR="00505632" w:rsidRDefault="00505632" w:rsidP="00505632">
      <w:pPr>
        <w:pStyle w:val="Heading8"/>
        <w:jc w:val="left"/>
      </w:pPr>
      <w:r>
        <w:t>Opis aktivnosti</w:t>
      </w:r>
    </w:p>
    <w:p w:rsidR="00505632" w:rsidRDefault="00505632" w:rsidP="00505632">
      <w:r>
        <w:t>Sredstva na aktivnosti A784023 Provedba Sustava praćenja i promatranja za stalnu procjenu stanja Jadranskog mora utrošena su za slijedeća izvješća: u 2016. godini je plaćeno MED POL izvješće 2011-2014 i revizija nacionalnog temeljnog unosa onečišćivala u more NBB National Baseline Budget za 2013. godinu (obveza prenesena iz 2015, plaćeno u ožujku 2016) te MED POL izvješće za 2015 i nadopune NBB (prosinac 2016) u ukupnom iznosu od 210.000, kn (bez PDV).</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298"/>
        <w:gridCol w:w="2291"/>
        <w:gridCol w:w="980"/>
        <w:gridCol w:w="1003"/>
        <w:gridCol w:w="1626"/>
        <w:gridCol w:w="1003"/>
        <w:gridCol w:w="1005"/>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MED POL izvješće za 2015</w:t>
            </w:r>
          </w:p>
        </w:tc>
        <w:tc>
          <w:tcPr>
            <w:tcW w:w="2551" w:type="dxa"/>
          </w:tcPr>
          <w:p w:rsidR="00505632" w:rsidRDefault="00505632" w:rsidP="00AD4E52">
            <w:pPr>
              <w:pStyle w:val="CellColumn"/>
              <w:jc w:val="left"/>
            </w:pPr>
            <w:r>
              <w:rPr>
                <w:rFonts w:cs="Times New Roman"/>
              </w:rPr>
              <w:t>MED POL izvješće za 2015</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MZOE/HAOP/HV</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A784024 JAČANJE KAPACITETA ZA NACIONALNU KONTAKT TOČKU – LIFE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A784024-JAČANJE KAPACITETA ZA NACIONALNU KONTAKT TOČKU – LIFE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1.490.005</w:t>
            </w:r>
          </w:p>
        </w:tc>
        <w:tc>
          <w:tcPr>
            <w:tcW w:w="2041" w:type="dxa"/>
          </w:tcPr>
          <w:p w:rsidR="00505632" w:rsidRDefault="00505632" w:rsidP="00AD4E52">
            <w:pPr>
              <w:pStyle w:val="CellColumn"/>
              <w:jc w:val="right"/>
            </w:pPr>
            <w:r>
              <w:rPr>
                <w:rFonts w:cs="Times New Roman"/>
              </w:rPr>
              <w:t>1.251.000</w:t>
            </w:r>
          </w:p>
        </w:tc>
        <w:tc>
          <w:tcPr>
            <w:tcW w:w="1224" w:type="dxa"/>
          </w:tcPr>
          <w:p w:rsidR="00505632" w:rsidRDefault="00505632" w:rsidP="00AD4E52">
            <w:pPr>
              <w:pStyle w:val="CellColumn"/>
              <w:jc w:val="right"/>
            </w:pPr>
            <w:r>
              <w:rPr>
                <w:rFonts w:cs="Times New Roman"/>
              </w:rPr>
              <w:t>84,0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Ugovor o financiranju (Grant Agreement), LIFE14CAP/HR000014 od 16.12.2015.</w:t>
      </w:r>
    </w:p>
    <w:p w:rsidR="00505632" w:rsidRDefault="00505632" w:rsidP="00505632">
      <w:pPr>
        <w:pStyle w:val="Heading8"/>
        <w:jc w:val="left"/>
      </w:pPr>
      <w:r>
        <w:t>Opis aktivnosti</w:t>
      </w:r>
    </w:p>
    <w:p w:rsidR="00505632" w:rsidRDefault="00505632" w:rsidP="00505632">
      <w:r>
        <w:t>Nacionalna kontakt točka zadužena je za kontinuirano provođenje aktivnosti koje će povećati broj prijava projekata na LIFE program te u konačnici osnažiti državu u efikasnijem korištenju EU fondova. Za provođenje ovih aktivnosti MZOE je korisnik EU projekta LIFE Jačanje kapaciteta za Nacionalnu kontakt točku, za koji je Hrvatska dobila 999.849 eura. Kroz aktivnosti projekta zaposleno je 6 djelatnika i formiran je HELP desk koji je potencijalnim prijaviteljima na raspolaganju za usluge savjetovanja stručnjaka za pripremu i prijavu LIFE projekta. Sredstva u 2016. godini su utrošena na: organiziranje radionica, na jačanje kapaciteta lokalnih stručnjaka za pripremu LIFE projekta, te koordinaciju i pripremu poziva za nacionalno sufinanciranje u suradnji s Fondom za zaštitu okoliša i energetsku učinkovitost. Tijekom projekta NCP kroz suradnju s nadležnim tijelima sudjeluje savjetodavno na pripremi LIFE integriranih projekata kojima se implementiraju okolišne ili klimatske strategije ili akcijski planovi na području više gradova, regionalnoj, nacionalnoj razini ili među zemljama članicama Europske Unije. Kako bi korisnicima omogućili što lakši pristup informacijama na web stranicama projekta redovito se objavljuju pitanja i odgovori, prijevodi LIFE dokumentacije i kroz forum omogućuje razmjena iskustava prijavitelja. Ostale aktivnosti vidljivosti i širenja informacija uključuju izradu LIFE brošure i letka, sastanke s ciljanim skupinama i organizaciju LIFE konferencije na kojoj će se predstavit rezultati LIFE projekata.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LIFE HR projektnih prijava</w:t>
            </w:r>
          </w:p>
        </w:tc>
        <w:tc>
          <w:tcPr>
            <w:tcW w:w="2551" w:type="dxa"/>
          </w:tcPr>
          <w:p w:rsidR="00505632" w:rsidRDefault="00505632" w:rsidP="00AD4E52">
            <w:pPr>
              <w:pStyle w:val="CellColumn"/>
              <w:jc w:val="left"/>
            </w:pPr>
            <w:r>
              <w:rPr>
                <w:rFonts w:cs="Times New Roman"/>
              </w:rPr>
              <w:t>Broj HR projekata uspješno prijavljenih na program LIFE na natječaj u 2016.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24</w:t>
            </w:r>
          </w:p>
        </w:tc>
        <w:tc>
          <w:tcPr>
            <w:tcW w:w="1020" w:type="dxa"/>
          </w:tcPr>
          <w:p w:rsidR="00505632" w:rsidRDefault="00505632" w:rsidP="00AD4E52">
            <w:pPr>
              <w:pStyle w:val="CellColumn"/>
              <w:jc w:val="right"/>
            </w:pPr>
            <w:r>
              <w:rPr>
                <w:rFonts w:cs="Times New Roman"/>
              </w:rPr>
              <w:t>LIFE program – EASME, rezultati m natječaja 2015</w:t>
            </w:r>
          </w:p>
        </w:tc>
        <w:tc>
          <w:tcPr>
            <w:tcW w:w="1020" w:type="dxa"/>
          </w:tcPr>
          <w:p w:rsidR="00505632" w:rsidRDefault="00505632" w:rsidP="00AD4E52">
            <w:pPr>
              <w:pStyle w:val="CellColumn"/>
              <w:jc w:val="right"/>
            </w:pPr>
            <w:r>
              <w:rPr>
                <w:rFonts w:cs="Times New Roman"/>
              </w:rPr>
              <w:t>36</w:t>
            </w:r>
          </w:p>
        </w:tc>
        <w:tc>
          <w:tcPr>
            <w:tcW w:w="1020" w:type="dxa"/>
          </w:tcPr>
          <w:p w:rsidR="00505632" w:rsidRDefault="00505632" w:rsidP="00AD4E52">
            <w:pPr>
              <w:pStyle w:val="CellColumn"/>
              <w:jc w:val="right"/>
            </w:pPr>
            <w:r>
              <w:rPr>
                <w:rFonts w:cs="Times New Roman"/>
              </w:rPr>
              <w:t>27</w:t>
            </w:r>
          </w:p>
        </w:tc>
      </w:tr>
      <w:tr w:rsidR="00505632" w:rsidTr="00AD4E52">
        <w:trPr>
          <w:jc w:val="center"/>
        </w:trPr>
        <w:tc>
          <w:tcPr>
            <w:tcW w:w="2551" w:type="dxa"/>
          </w:tcPr>
          <w:p w:rsidR="00505632" w:rsidRDefault="00505632" w:rsidP="00AD4E52">
            <w:pPr>
              <w:pStyle w:val="CellColumn"/>
              <w:jc w:val="left"/>
            </w:pPr>
            <w:r>
              <w:rPr>
                <w:rFonts w:cs="Times New Roman"/>
              </w:rPr>
              <w:t>Broj LIFE HR projekata koji su dobili EU LIFE sredstva</w:t>
            </w:r>
          </w:p>
        </w:tc>
        <w:tc>
          <w:tcPr>
            <w:tcW w:w="2551" w:type="dxa"/>
          </w:tcPr>
          <w:p w:rsidR="00505632" w:rsidRDefault="00505632" w:rsidP="00AD4E52">
            <w:pPr>
              <w:pStyle w:val="CellColumn"/>
              <w:jc w:val="left"/>
            </w:pPr>
            <w:r>
              <w:rPr>
                <w:rFonts w:cs="Times New Roman"/>
              </w:rPr>
              <w:t>Broj HR projekata koji su se prijavili na LIFE natječaj u 2016. godini te im je odobreno finaciranje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LIFE program – EASME, rezultati  natječaja 2015</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Rezultati natječaja nisu još dostupni</w:t>
            </w:r>
          </w:p>
        </w:tc>
      </w:tr>
      <w:tr w:rsidR="00505632" w:rsidTr="00AD4E52">
        <w:trPr>
          <w:jc w:val="center"/>
        </w:trPr>
        <w:tc>
          <w:tcPr>
            <w:tcW w:w="2551" w:type="dxa"/>
          </w:tcPr>
          <w:p w:rsidR="00505632" w:rsidRDefault="00505632" w:rsidP="00AD4E52">
            <w:pPr>
              <w:pStyle w:val="CellColumn"/>
              <w:jc w:val="left"/>
            </w:pPr>
            <w:r>
              <w:rPr>
                <w:rFonts w:cs="Times New Roman"/>
              </w:rPr>
              <w:t>Izvršene projektne aktivnosti (LIFE14 HR/CAP/00014)</w:t>
            </w:r>
          </w:p>
        </w:tc>
        <w:tc>
          <w:tcPr>
            <w:tcW w:w="2551" w:type="dxa"/>
          </w:tcPr>
          <w:p w:rsidR="00505632" w:rsidRDefault="00505632" w:rsidP="00AD4E52">
            <w:pPr>
              <w:pStyle w:val="CellColumn"/>
              <w:jc w:val="left"/>
            </w:pPr>
            <w:r>
              <w:rPr>
                <w:rFonts w:cs="Times New Roman"/>
              </w:rPr>
              <w:t>Izvršenje projektnih aktivnosti prema projektnoj prijavi i vremenskom planu provedbe za 2016. godinu</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Izvještaj o napretku</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90</w:t>
            </w:r>
          </w:p>
        </w:tc>
      </w:tr>
    </w:tbl>
    <w:p w:rsidR="00505632" w:rsidRDefault="00505632" w:rsidP="00505632">
      <w:pPr>
        <w:jc w:val="left"/>
      </w:pPr>
    </w:p>
    <w:p w:rsidR="00505632" w:rsidRDefault="00505632" w:rsidP="00505632">
      <w:pPr>
        <w:pStyle w:val="Heading4"/>
      </w:pPr>
      <w:r>
        <w:t>K576219 MONITORING JADRANSKOG MORA - IBRD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K576219-MONITORING JADRANSKOG MORA - IBRD</w:t>
            </w:r>
          </w:p>
        </w:tc>
        <w:tc>
          <w:tcPr>
            <w:tcW w:w="2041" w:type="dxa"/>
          </w:tcPr>
          <w:p w:rsidR="00505632" w:rsidRDefault="00505632" w:rsidP="00AD4E52">
            <w:pPr>
              <w:pStyle w:val="CellColumn"/>
              <w:jc w:val="right"/>
            </w:pPr>
            <w:r>
              <w:rPr>
                <w:rFonts w:cs="Times New Roman"/>
              </w:rPr>
              <w:t>3.180.627</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1.379.219</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43,4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potvrđivanju Ugovora o zajmu između Republike Hrvatske i Međunarodne banke za obnovu i razvoj za Projekt zaštite od onečišćenja voda na priobalnom području 2 (NN-MU 004/2009).</w:t>
      </w:r>
    </w:p>
    <w:p w:rsidR="00505632" w:rsidRDefault="00505632" w:rsidP="00505632">
      <w:pPr>
        <w:pStyle w:val="Heading8"/>
        <w:jc w:val="left"/>
      </w:pPr>
      <w:r>
        <w:t>Opis aktivnosti</w:t>
      </w:r>
    </w:p>
    <w:p w:rsidR="00505632" w:rsidRDefault="00505632" w:rsidP="00505632">
      <w:r>
        <w:t>Za potrebe dovršenja financijskih obaveza nastalih tijekom 2015. godine za izvršenje Projekta zaštite voda od onečišćenja u priobalnom području 2 IBRD 7640 – u proračunu prikazan kao K576219 MONITORING JADRANSKOG MORA – IBRD, tijekom 2016. godine Svjetska banka je izvršiteljima provela plaćanja po preostalim obvezama iz 2015.g. u 2016. godini. Zbog tih plaćanja, MZOE je pripremilo revizorsko mišljenje na financijsko izvješće za ta plaćanja i dostavilo ga Svjetskoj banci u II kvartalu 2016. Ugovoreni iznos za uslugu revizije je bio 25.000,00 kuna neto.</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0"/>
        <w:gridCol w:w="2550"/>
        <w:gridCol w:w="1020"/>
        <w:gridCol w:w="1020"/>
        <w:gridCol w:w="1026"/>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Revizorsko mišljenje na financijsko izvješće</w:t>
            </w:r>
          </w:p>
        </w:tc>
        <w:tc>
          <w:tcPr>
            <w:tcW w:w="2551" w:type="dxa"/>
          </w:tcPr>
          <w:p w:rsidR="00505632" w:rsidRDefault="00505632" w:rsidP="00AD4E52">
            <w:pPr>
              <w:pStyle w:val="CellColumn"/>
              <w:jc w:val="left"/>
            </w:pPr>
            <w:r>
              <w:rPr>
                <w:rFonts w:cs="Times New Roman"/>
              </w:rPr>
              <w:t>Revizorsko mišljenje na financijsko izvješće za plaćanja provedena tijekom 2015</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MZOE/HV</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K576223 MONTREALSKI PROTOKOL</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K576223-MONTREALSKI PROTOKOL</w:t>
            </w:r>
          </w:p>
        </w:tc>
        <w:tc>
          <w:tcPr>
            <w:tcW w:w="2041" w:type="dxa"/>
          </w:tcPr>
          <w:p w:rsidR="00505632" w:rsidRDefault="00505632" w:rsidP="00AD4E52">
            <w:pPr>
              <w:pStyle w:val="CellColumn"/>
              <w:jc w:val="right"/>
            </w:pPr>
            <w:r>
              <w:rPr>
                <w:rFonts w:cs="Times New Roman"/>
              </w:rPr>
              <w:t>385.328</w:t>
            </w:r>
          </w:p>
        </w:tc>
        <w:tc>
          <w:tcPr>
            <w:tcW w:w="2041" w:type="dxa"/>
          </w:tcPr>
          <w:p w:rsidR="00505632" w:rsidRDefault="00505632" w:rsidP="00AD4E52">
            <w:pPr>
              <w:pStyle w:val="CellColumn"/>
              <w:jc w:val="right"/>
            </w:pPr>
            <w:r>
              <w:rPr>
                <w:rFonts w:cs="Times New Roman"/>
              </w:rPr>
              <w:t>132.500</w:t>
            </w:r>
          </w:p>
        </w:tc>
        <w:tc>
          <w:tcPr>
            <w:tcW w:w="2041" w:type="dxa"/>
          </w:tcPr>
          <w:p w:rsidR="00505632" w:rsidRDefault="00505632" w:rsidP="00AD4E52">
            <w:pPr>
              <w:pStyle w:val="CellColumn"/>
              <w:jc w:val="right"/>
            </w:pPr>
            <w:r>
              <w:rPr>
                <w:rFonts w:cs="Times New Roman"/>
              </w:rPr>
              <w:t>132.970</w:t>
            </w:r>
          </w:p>
        </w:tc>
        <w:tc>
          <w:tcPr>
            <w:tcW w:w="1224" w:type="dxa"/>
          </w:tcPr>
          <w:p w:rsidR="00505632" w:rsidRDefault="00505632" w:rsidP="00AD4E52">
            <w:pPr>
              <w:pStyle w:val="CellColumn"/>
              <w:jc w:val="right"/>
            </w:pPr>
            <w:r>
              <w:rPr>
                <w:rFonts w:cs="Times New Roman"/>
              </w:rPr>
              <w:t>100,4</w:t>
            </w:r>
          </w:p>
        </w:tc>
        <w:tc>
          <w:tcPr>
            <w:tcW w:w="1224" w:type="dxa"/>
          </w:tcPr>
          <w:p w:rsidR="00505632" w:rsidRDefault="00505632" w:rsidP="00AD4E52">
            <w:pPr>
              <w:pStyle w:val="CellColumn"/>
              <w:jc w:val="right"/>
            </w:pPr>
            <w:r>
              <w:rPr>
                <w:rFonts w:cs="Times New Roman"/>
              </w:rPr>
              <w:t>34,5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zaštiti okoliša (NN br. 80/13, 153/13, 78/15); </w:t>
      </w:r>
    </w:p>
    <w:p w:rsidR="00505632" w:rsidRDefault="00505632" w:rsidP="00505632">
      <w:r>
        <w:t xml:space="preserve">Zakon o zaštiti zraka (Narodne novine, broj 180/11, 47/14);  </w:t>
      </w:r>
    </w:p>
    <w:p w:rsidR="00505632" w:rsidRDefault="00505632" w:rsidP="00505632">
      <w:r>
        <w:t xml:space="preserve">Bečka konvencija o zaštiti ozonskog omotača (Beč, 1985.); na temelju notifikacije o sukcesiji Republika Hrvatska stranka je Konvencije od 8. listopada 1991. NN-MU br. 12/93. </w:t>
      </w:r>
    </w:p>
    <w:p w:rsidR="00505632" w:rsidRDefault="00505632" w:rsidP="00505632">
      <w:r>
        <w:t xml:space="preserve">Montrealski protokol o tvarima koje oštećuju ozonski omotač (Montreal, 1987.); na temelju notifikacije o sukcesiji Republika Hrvatska stranka je Konvencije od 8. listopada 1991. NN-MU br. 12/93. </w:t>
      </w:r>
    </w:p>
    <w:p w:rsidR="00505632" w:rsidRDefault="00505632" w:rsidP="00505632">
      <w:r>
        <w:t>Projekt institucijsko osnaživanje u svrhu provedbe Montrealskog protokola u RH faza VIII (phase VIII: 04/13 - O3/15)</w:t>
      </w:r>
    </w:p>
    <w:p w:rsidR="00505632" w:rsidRDefault="00505632" w:rsidP="00505632">
      <w:pPr>
        <w:pStyle w:val="Heading8"/>
        <w:jc w:val="left"/>
      </w:pPr>
      <w:r>
        <w:t>Opis aktivnosti</w:t>
      </w:r>
    </w:p>
    <w:p w:rsidR="00505632" w:rsidRDefault="00505632" w:rsidP="00505632">
      <w:r>
        <w:t>U 2016. godini na projektu K576223 sredstva su utrošena za: organizaciju proslave Dan ozonskog sloja u 2016. godini u iznosu od 87.450,00 kn, izradu promotivnih materijala - Eko vrećice u iznosu od 5.040,00 kn, nabavu uredskog materijala/toneri u iznosu od 15.000,00 kn, te za putne troškovi za sudjelovanje državne službenice kao predstavnice RH na radnim sastancima vezanim uz Projekt institucionalnog osnaživanja u iznosu od 25.480,00 kn.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 xml:space="preserve">Povećanje broja </w:t>
            </w:r>
          </w:p>
          <w:p w:rsidR="00505632" w:rsidRDefault="00505632" w:rsidP="00AD4E52">
            <w:pPr>
              <w:pStyle w:val="CellColumn"/>
              <w:jc w:val="left"/>
            </w:pPr>
            <w:r>
              <w:rPr>
                <w:rFonts w:cs="Times New Roman"/>
              </w:rPr>
              <w:t>promidžbenih materijala</w:t>
            </w:r>
          </w:p>
        </w:tc>
        <w:tc>
          <w:tcPr>
            <w:tcW w:w="2551" w:type="dxa"/>
          </w:tcPr>
          <w:p w:rsidR="00505632" w:rsidRDefault="00505632" w:rsidP="00AD4E52">
            <w:pPr>
              <w:pStyle w:val="CellColumn"/>
              <w:jc w:val="left"/>
            </w:pPr>
            <w:r>
              <w:rPr>
                <w:rFonts w:cs="Times New Roman"/>
              </w:rPr>
              <w:t>Izrada promidžbenih materijala za proslavu dana Ozonskog sloja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3</w:t>
            </w:r>
          </w:p>
        </w:tc>
      </w:tr>
    </w:tbl>
    <w:p w:rsidR="00505632" w:rsidRDefault="00505632" w:rsidP="00505632">
      <w:pPr>
        <w:jc w:val="left"/>
      </w:pPr>
    </w:p>
    <w:p w:rsidR="00505632" w:rsidRDefault="00505632" w:rsidP="00505632">
      <w:pPr>
        <w:pStyle w:val="Heading4"/>
      </w:pPr>
      <w:r>
        <w:t>K576266 INFORMATIZACIJA UPRAVE</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K576266-INFORMATIZACIJA UPRAVE</w:t>
            </w:r>
          </w:p>
        </w:tc>
        <w:tc>
          <w:tcPr>
            <w:tcW w:w="2041" w:type="dxa"/>
          </w:tcPr>
          <w:p w:rsidR="00505632" w:rsidRDefault="00505632" w:rsidP="00AD4E52">
            <w:pPr>
              <w:pStyle w:val="CellColumn"/>
              <w:jc w:val="right"/>
            </w:pPr>
            <w:r>
              <w:rPr>
                <w:rFonts w:cs="Times New Roman"/>
              </w:rPr>
              <w:t>2.721.794</w:t>
            </w:r>
          </w:p>
        </w:tc>
        <w:tc>
          <w:tcPr>
            <w:tcW w:w="2041" w:type="dxa"/>
          </w:tcPr>
          <w:p w:rsidR="00505632" w:rsidRDefault="00505632" w:rsidP="00AD4E52">
            <w:pPr>
              <w:pStyle w:val="CellColumn"/>
              <w:jc w:val="right"/>
            </w:pPr>
            <w:r>
              <w:rPr>
                <w:rFonts w:cs="Times New Roman"/>
              </w:rPr>
              <w:t>2.073.850</w:t>
            </w:r>
          </w:p>
        </w:tc>
        <w:tc>
          <w:tcPr>
            <w:tcW w:w="2041" w:type="dxa"/>
          </w:tcPr>
          <w:p w:rsidR="00505632" w:rsidRDefault="00505632" w:rsidP="00AD4E52">
            <w:pPr>
              <w:pStyle w:val="CellColumn"/>
              <w:jc w:val="right"/>
            </w:pPr>
            <w:r>
              <w:rPr>
                <w:rFonts w:cs="Times New Roman"/>
              </w:rPr>
              <w:t>1.433.077</w:t>
            </w:r>
          </w:p>
        </w:tc>
        <w:tc>
          <w:tcPr>
            <w:tcW w:w="1224" w:type="dxa"/>
          </w:tcPr>
          <w:p w:rsidR="00505632" w:rsidRDefault="00505632" w:rsidP="00AD4E52">
            <w:pPr>
              <w:pStyle w:val="CellColumn"/>
              <w:jc w:val="right"/>
            </w:pPr>
            <w:r>
              <w:rPr>
                <w:rFonts w:cs="Times New Roman"/>
              </w:rPr>
              <w:t>69,1</w:t>
            </w:r>
          </w:p>
        </w:tc>
        <w:tc>
          <w:tcPr>
            <w:tcW w:w="1224" w:type="dxa"/>
          </w:tcPr>
          <w:p w:rsidR="00505632" w:rsidRDefault="00505632" w:rsidP="00AD4E52">
            <w:pPr>
              <w:pStyle w:val="CellColumn"/>
              <w:jc w:val="right"/>
            </w:pPr>
            <w:r>
              <w:rPr>
                <w:rFonts w:cs="Times New Roman"/>
              </w:rPr>
              <w:t>52,7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o unutarnjem ustrojstvu Ministarstva zaštite okoliša i prirode (Narodne novine, br. 10/14) Uredba o izmjenama i dopunama Uredbe o unutarnjem ustrojstvu Ministarstva za štite okoliša i prirode (Narodne novine, br. 17/)</w:t>
      </w:r>
    </w:p>
    <w:p w:rsidR="00505632" w:rsidRDefault="00505632" w:rsidP="00505632">
      <w:pPr>
        <w:pStyle w:val="Heading8"/>
        <w:jc w:val="left"/>
      </w:pPr>
      <w:r>
        <w:t>Opis aktivnosti</w:t>
      </w:r>
    </w:p>
    <w:p w:rsidR="00505632" w:rsidRDefault="00505632" w:rsidP="00505632">
      <w:r>
        <w:t>Sredstva trošena na ovom projektu u ukupnom iznosu od odnose se na rashode za prava korištenja MS licenci kao i održavanje postojećih poslovnih i aplikativnih sustava (ugovori za održavanje aplikacije za financijsko-materijalno i kadrovsko poslovanje, uredsko poslovanje, aplikacije iz djelokruga rada Uprave za zaštitu prirode i Sektora za održivo gospodarenje otpadom, planove, programe i informacijski sustav) te konsolidirane mrežno komunikacijske i informatičke infrastrukture.</w:t>
      </w:r>
    </w:p>
    <w:p w:rsidR="00505632" w:rsidRDefault="00505632" w:rsidP="00505632">
      <w:pPr>
        <w:pStyle w:val="Heading4"/>
      </w:pPr>
      <w:r>
        <w:t>K576267 OPREMANJE ZGRADA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K576267-OPREMANJE ZGRADA</w:t>
            </w:r>
          </w:p>
        </w:tc>
        <w:tc>
          <w:tcPr>
            <w:tcW w:w="2041" w:type="dxa"/>
          </w:tcPr>
          <w:p w:rsidR="00505632" w:rsidRDefault="00505632" w:rsidP="00AD4E52">
            <w:pPr>
              <w:pStyle w:val="CellColumn"/>
              <w:jc w:val="right"/>
            </w:pPr>
            <w:r>
              <w:rPr>
                <w:rFonts w:cs="Times New Roman"/>
              </w:rPr>
              <w:t>173.259</w:t>
            </w:r>
          </w:p>
        </w:tc>
        <w:tc>
          <w:tcPr>
            <w:tcW w:w="2041" w:type="dxa"/>
          </w:tcPr>
          <w:p w:rsidR="00505632" w:rsidRDefault="00505632" w:rsidP="00AD4E52">
            <w:pPr>
              <w:pStyle w:val="CellColumn"/>
              <w:jc w:val="right"/>
            </w:pPr>
            <w:r>
              <w:rPr>
                <w:rFonts w:cs="Times New Roman"/>
              </w:rPr>
              <w:t>307.875</w:t>
            </w:r>
          </w:p>
        </w:tc>
        <w:tc>
          <w:tcPr>
            <w:tcW w:w="2041" w:type="dxa"/>
          </w:tcPr>
          <w:p w:rsidR="00505632" w:rsidRDefault="00505632" w:rsidP="00AD4E52">
            <w:pPr>
              <w:pStyle w:val="CellColumn"/>
              <w:jc w:val="right"/>
            </w:pPr>
            <w:r>
              <w:rPr>
                <w:rFonts w:cs="Times New Roman"/>
              </w:rPr>
              <w:t>154.866</w:t>
            </w:r>
          </w:p>
        </w:tc>
        <w:tc>
          <w:tcPr>
            <w:tcW w:w="1224" w:type="dxa"/>
          </w:tcPr>
          <w:p w:rsidR="00505632" w:rsidRDefault="00505632" w:rsidP="00AD4E52">
            <w:pPr>
              <w:pStyle w:val="CellColumn"/>
              <w:jc w:val="right"/>
            </w:pPr>
            <w:r>
              <w:rPr>
                <w:rFonts w:cs="Times New Roman"/>
              </w:rPr>
              <w:t>50,3</w:t>
            </w:r>
          </w:p>
        </w:tc>
        <w:tc>
          <w:tcPr>
            <w:tcW w:w="1224" w:type="dxa"/>
          </w:tcPr>
          <w:p w:rsidR="00505632" w:rsidRDefault="00505632" w:rsidP="00AD4E52">
            <w:pPr>
              <w:pStyle w:val="CellColumn"/>
              <w:jc w:val="right"/>
            </w:pPr>
            <w:r>
              <w:rPr>
                <w:rFonts w:cs="Times New Roman"/>
              </w:rPr>
              <w:t>89,4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o unutarnjem ustrojstvu Ministarstva zaštite okoliša i prirode (»Narodne novine« broj 10/14, 17/15)</w:t>
      </w:r>
    </w:p>
    <w:p w:rsidR="00505632" w:rsidRDefault="00505632" w:rsidP="00505632">
      <w:pPr>
        <w:pStyle w:val="Heading8"/>
        <w:jc w:val="left"/>
      </w:pPr>
      <w:r>
        <w:t>Opis aktivnosti</w:t>
      </w:r>
    </w:p>
    <w:p w:rsidR="00505632" w:rsidRDefault="00505632" w:rsidP="00505632">
      <w:r>
        <w:t>Sredstva na ovoj stavci u iznosima kako su dani u tablici utrošena su za usluge tekućeg i investicijskog održavanja, nabavu opreme za održavanje i zaštitu, uređaje, strojeve i opremu za ostale namjene, te za ulaganje u poboljšanje uvjeta i opremanje prostora za smještaj zaposlenika Ministarstva zaštite okoliša i energetike.</w:t>
      </w:r>
    </w:p>
    <w:p w:rsidR="00505632" w:rsidRDefault="00505632" w:rsidP="00505632">
      <w:pPr>
        <w:pStyle w:val="Heading4"/>
      </w:pPr>
      <w:r>
        <w:t>K784018 PROJEKT IZRADA STRATEGIJE PRILAGODBE KLIMATSKIM PROMJENAMA(PI-EU)</w:t>
      </w:r>
    </w:p>
    <w:tbl>
      <w:tblPr>
        <w:tblStyle w:val="StilTablice"/>
        <w:tblW w:w="10206" w:type="dxa"/>
        <w:jc w:val="center"/>
        <w:tblLook w:val="04A0" w:firstRow="1" w:lastRow="0" w:firstColumn="1" w:lastColumn="0" w:noHBand="0" w:noVBand="1"/>
      </w:tblPr>
      <w:tblGrid>
        <w:gridCol w:w="1804"/>
        <w:gridCol w:w="1988"/>
        <w:gridCol w:w="1992"/>
        <w:gridCol w:w="1992"/>
        <w:gridCol w:w="1213"/>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K784018-PROJEKT IZRADA STRATEGIJE PRILAGODBE KLIMATSKIM PROMJENAMA(PI-EU)</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5.141.461</w:t>
            </w:r>
          </w:p>
        </w:tc>
        <w:tc>
          <w:tcPr>
            <w:tcW w:w="2041" w:type="dxa"/>
          </w:tcPr>
          <w:p w:rsidR="00505632" w:rsidRDefault="00505632" w:rsidP="00AD4E52">
            <w:pPr>
              <w:pStyle w:val="CellColumn"/>
              <w:jc w:val="right"/>
            </w:pPr>
            <w:r>
              <w:rPr>
                <w:rFonts w:cs="Times New Roman"/>
              </w:rPr>
              <w:t>5.116.472</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zaštiti zraka (NN 130/11, 47/14) i provedbeni propisi doneseni temeljem ovoga Zakona, međunarodnim ugovorima kojih je Republika Hrvatska stranka, Okvirna konvencija UN o promjeni klime UNFCCC) i članku 15. Uredbe Komisije 525/2014. Temelj za osiguravanje sredstava za projekt su Ugovor o javnoj nabavi robe br. TF/HR/P3-M1-O1-0201 „Nabava opreme (High Performance Computing – HPC) za modeliranje klimatskih promjena“ (potpisan 25.9.2016.) i Ugovor o javnim uslugama br. TF/HR/P3-M1-O1-0101 „Jačanje kapaciteta Ministarstva zaštite okoliša i prirode za prilagodbu klimatskim promjenama te priprema nacrta Strategije prilagodbe klimatskim promjenama“ (potpisan 29.3.2016.).</w:t>
      </w:r>
    </w:p>
    <w:p w:rsidR="00505632" w:rsidRDefault="00505632" w:rsidP="00505632">
      <w:pPr>
        <w:pStyle w:val="Heading8"/>
        <w:jc w:val="left"/>
      </w:pPr>
      <w:r>
        <w:t>Opis aktivnosti</w:t>
      </w:r>
    </w:p>
    <w:p w:rsidR="00505632" w:rsidRDefault="00505632" w:rsidP="00505632">
      <w:r>
        <w:t>Projekt izrade Strategije prilagodbe klimatskim promjenama započeo je u svibnju 2016. godine, trajat će do studenoga 2017. godine. Za potrebe klimatskog modeliranja u okviru zasebne komponente projekta nabavljeno je superračunalo (nazvano VELEbit) i postavljeno u Sveučilišni računski centar u Zagrebu (Srce). U svrhu izrade Strategije s Akcijskim planom, provodi se klimatsko modeliranje na superračunalu, analiza postojećeg stanja i istraživanja u Republici Hrvatskoj, izrada scenarija promjene klime po sektorima te procjena mjera prilagodbe. Osim izrade same strategije, u okviru projekta jačaju se ljudski kapaciteti – provodi se niz radionica na kojima se educira stručnjake koji će sudjelovati u izradi Strategije, odnosno u definiranju mjera prilagodbe, ali i njihovom kasnijem provođenju. Također, kroz drugi set radionica provodi se informiranje i edukacija službenika na lokalnoj i regionalnoj razini i zainteresirane javnosti. U 2016.g. je oprema (HPC sustav) isporučena i postavljena u Srcu te je u potpunosti isplaćena u iznosu od 3.985.690,00 kn u veljači 2016. godine. Od toga 15% iz nacionalnih sredstava u iznosu od 597.854,00 kn (K784018-4221 izvor 12), a iz sredstava EU 85% u iznosu od 3.387.837 (K7 84018-4221 izvor 51). Za komponentu Usluga isplaćen je predujam od 20% (Eptisa Adria d.o.o.), od čega je nacionalno učešće 10% u iznosu od 115.577,00 kn (K784018-3237 izvor 43), a sredstva EU od 90% u iznosu od 1.040.193,00 kn (K784018-3237 izvor 51).</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14"/>
        <w:gridCol w:w="2514"/>
        <w:gridCol w:w="1013"/>
        <w:gridCol w:w="1017"/>
        <w:gridCol w:w="1114"/>
        <w:gridCol w:w="1017"/>
        <w:gridCol w:w="1017"/>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HPC računalni sustav za klimatsko modeliranje</w:t>
            </w:r>
          </w:p>
        </w:tc>
        <w:tc>
          <w:tcPr>
            <w:tcW w:w="2551" w:type="dxa"/>
          </w:tcPr>
          <w:p w:rsidR="00505632" w:rsidRDefault="00505632" w:rsidP="00AD4E52">
            <w:pPr>
              <w:pStyle w:val="CellColumn"/>
              <w:jc w:val="left"/>
            </w:pPr>
            <w:r>
              <w:rPr>
                <w:rFonts w:cs="Times New Roman"/>
              </w:rPr>
              <w:t>Uspostava klimatskog modeliranja na nabavljenom  HPC računalnom sustava za potrebe izrade podloga za nacionalnu strategiju prilagodbe klimatskim promjenama i akcijskog plana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 xml:space="preserve">Strateški  </w:t>
            </w:r>
          </w:p>
          <w:p w:rsidR="00505632" w:rsidRDefault="00505632" w:rsidP="00AD4E52">
            <w:pPr>
              <w:pStyle w:val="CellColumn"/>
              <w:jc w:val="right"/>
            </w:pPr>
            <w:r>
              <w:rPr>
                <w:rFonts w:cs="Times New Roman"/>
              </w:rPr>
              <w:t xml:space="preserve">plan  </w:t>
            </w:r>
          </w:p>
          <w:p w:rsidR="00505632" w:rsidRDefault="00505632" w:rsidP="00AD4E52">
            <w:pPr>
              <w:pStyle w:val="CellColumn"/>
              <w:jc w:val="right"/>
            </w:pPr>
            <w:r>
              <w:rPr>
                <w:rFonts w:cs="Times New Roman"/>
              </w:rPr>
              <w:t xml:space="preserve">Ministarstva zaštite  </w:t>
            </w:r>
          </w:p>
          <w:p w:rsidR="00505632" w:rsidRDefault="00505632" w:rsidP="00AD4E52">
            <w:pPr>
              <w:pStyle w:val="CellColumn"/>
              <w:jc w:val="right"/>
            </w:pPr>
            <w:r>
              <w:rPr>
                <w:rFonts w:cs="Times New Roman"/>
              </w:rPr>
              <w:t xml:space="preserve">okoliša i energetike 2016. –   </w:t>
            </w:r>
          </w:p>
          <w:p w:rsidR="00505632" w:rsidRDefault="00505632" w:rsidP="00AD4E52">
            <w:pPr>
              <w:pStyle w:val="CellColumn"/>
              <w:jc w:val="right"/>
            </w:pPr>
            <w:r>
              <w:rPr>
                <w:rFonts w:cs="Times New Roman"/>
              </w:rPr>
              <w:t>2018.</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Strategija prilagodbe klimatskim promjenama i Akcijski plan</w:t>
            </w:r>
          </w:p>
        </w:tc>
        <w:tc>
          <w:tcPr>
            <w:tcW w:w="2551" w:type="dxa"/>
          </w:tcPr>
          <w:p w:rsidR="00505632" w:rsidRDefault="00505632" w:rsidP="00AD4E52">
            <w:pPr>
              <w:pStyle w:val="CellColumn"/>
              <w:jc w:val="left"/>
            </w:pPr>
            <w:r>
              <w:rPr>
                <w:rFonts w:cs="Times New Roman"/>
              </w:rPr>
              <w:t>Izrada podloga za nacionalnu strategiju prilagodbe klimatskim promjenama i akcijskog plana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 xml:space="preserve">Strateški  </w:t>
            </w:r>
          </w:p>
          <w:p w:rsidR="00505632" w:rsidRDefault="00505632" w:rsidP="00AD4E52">
            <w:pPr>
              <w:pStyle w:val="CellColumn"/>
              <w:jc w:val="right"/>
            </w:pPr>
            <w:r>
              <w:rPr>
                <w:rFonts w:cs="Times New Roman"/>
              </w:rPr>
              <w:t xml:space="preserve">plan  </w:t>
            </w:r>
          </w:p>
          <w:p w:rsidR="00505632" w:rsidRDefault="00505632" w:rsidP="00AD4E52">
            <w:pPr>
              <w:pStyle w:val="CellColumn"/>
              <w:jc w:val="right"/>
            </w:pPr>
            <w:r>
              <w:rPr>
                <w:rFonts w:cs="Times New Roman"/>
              </w:rPr>
              <w:t xml:space="preserve">Ministarstva zaštite  </w:t>
            </w:r>
          </w:p>
          <w:p w:rsidR="00505632" w:rsidRDefault="00505632" w:rsidP="00AD4E52">
            <w:pPr>
              <w:pStyle w:val="CellColumn"/>
              <w:jc w:val="right"/>
            </w:pPr>
            <w:r>
              <w:rPr>
                <w:rFonts w:cs="Times New Roman"/>
              </w:rPr>
              <w:t xml:space="preserve">okoliša i energetike 2016. –   </w:t>
            </w:r>
          </w:p>
          <w:p w:rsidR="00505632" w:rsidRDefault="00505632" w:rsidP="00AD4E52">
            <w:pPr>
              <w:pStyle w:val="CellColumn"/>
              <w:jc w:val="right"/>
            </w:pPr>
            <w:r>
              <w:rPr>
                <w:rFonts w:cs="Times New Roman"/>
              </w:rPr>
              <w:t>2018.</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K784019 GEF PROJEKT REVIZIJA NACIONALNOG IMPLEMENTACIJSKOG PLANA ZA PROVEDBU STOCKHOLMSKE KONVENCIJE O POSTOJANIM ORGANSKIM ONEČIŠĆUJUĆIM TVARIMA</w:t>
      </w:r>
    </w:p>
    <w:tbl>
      <w:tblPr>
        <w:tblStyle w:val="StilTablice"/>
        <w:tblW w:w="10206" w:type="dxa"/>
        <w:jc w:val="center"/>
        <w:tblLook w:val="04A0" w:firstRow="1" w:lastRow="0" w:firstColumn="1" w:lastColumn="0" w:noHBand="0" w:noVBand="1"/>
      </w:tblPr>
      <w:tblGrid>
        <w:gridCol w:w="2248"/>
        <w:gridCol w:w="1861"/>
        <w:gridCol w:w="1849"/>
        <w:gridCol w:w="1862"/>
        <w:gridCol w:w="1185"/>
        <w:gridCol w:w="120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K784019-GEF PROJEKT REVIZIJA NACIONALNOG IMPLEMENTACIJSKOG PLANA ZA PROVEDBU STOCKHOLMSKE KONVENCIJE O POSTOJANIM ORGANSKIM ONEČIŠĆUJUĆIM TVARIMA</w:t>
            </w:r>
          </w:p>
        </w:tc>
        <w:tc>
          <w:tcPr>
            <w:tcW w:w="2041" w:type="dxa"/>
          </w:tcPr>
          <w:p w:rsidR="00505632" w:rsidRDefault="00505632" w:rsidP="00AD4E52">
            <w:pPr>
              <w:pStyle w:val="CellColumn"/>
              <w:jc w:val="right"/>
            </w:pPr>
            <w:r>
              <w:rPr>
                <w:rFonts w:cs="Times New Roman"/>
              </w:rPr>
              <w:t>540.098</w:t>
            </w:r>
          </w:p>
        </w:tc>
        <w:tc>
          <w:tcPr>
            <w:tcW w:w="2041" w:type="dxa"/>
          </w:tcPr>
          <w:p w:rsidR="00505632" w:rsidRDefault="00505632" w:rsidP="00AD4E52">
            <w:pPr>
              <w:pStyle w:val="CellColumn"/>
              <w:jc w:val="right"/>
            </w:pPr>
            <w:r>
              <w:rPr>
                <w:rFonts w:cs="Times New Roman"/>
              </w:rPr>
              <w:t>140.859</w:t>
            </w:r>
          </w:p>
        </w:tc>
        <w:tc>
          <w:tcPr>
            <w:tcW w:w="2041" w:type="dxa"/>
          </w:tcPr>
          <w:p w:rsidR="00505632" w:rsidRDefault="00505632" w:rsidP="00AD4E52">
            <w:pPr>
              <w:pStyle w:val="CellColumn"/>
              <w:jc w:val="right"/>
            </w:pPr>
            <w:r>
              <w:rPr>
                <w:rFonts w:cs="Times New Roman"/>
              </w:rPr>
              <w:t>126.254</w:t>
            </w:r>
          </w:p>
        </w:tc>
        <w:tc>
          <w:tcPr>
            <w:tcW w:w="1224" w:type="dxa"/>
          </w:tcPr>
          <w:p w:rsidR="00505632" w:rsidRDefault="00505632" w:rsidP="00AD4E52">
            <w:pPr>
              <w:pStyle w:val="CellColumn"/>
              <w:jc w:val="right"/>
            </w:pPr>
            <w:r>
              <w:rPr>
                <w:rFonts w:cs="Times New Roman"/>
              </w:rPr>
              <w:t>89,6</w:t>
            </w:r>
          </w:p>
        </w:tc>
        <w:tc>
          <w:tcPr>
            <w:tcW w:w="1224" w:type="dxa"/>
          </w:tcPr>
          <w:p w:rsidR="00505632" w:rsidRDefault="00505632" w:rsidP="00AD4E52">
            <w:pPr>
              <w:pStyle w:val="CellColumn"/>
              <w:jc w:val="right"/>
            </w:pPr>
            <w:r>
              <w:rPr>
                <w:rFonts w:cs="Times New Roman"/>
              </w:rPr>
              <w:t>23,4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Temeljem članka 7. Zakona o potvrđivanju Stockholmske konvencije o postojanim organskim onečišćujućim tvarima (NN-MU br. 11/06) stranke Konvencije, pa tako i Republika Hrvatska ima obvezu redovite revizije nacionalnog plana za provedbu Konvencije u roku dvije godine od stupanja na snagu i uključivanja novih kemikalija u Dodatke A, B ili C ove Konvencije.</w:t>
      </w:r>
    </w:p>
    <w:p w:rsidR="00505632" w:rsidRDefault="00505632" w:rsidP="00505632">
      <w:pPr>
        <w:pStyle w:val="Heading8"/>
        <w:jc w:val="left"/>
      </w:pPr>
      <w:r>
        <w:t>Opis aktivnosti</w:t>
      </w:r>
    </w:p>
    <w:p w:rsidR="00505632" w:rsidRDefault="00505632" w:rsidP="00505632">
      <w:r>
        <w:t>U 2016. godini izrađeni su edukativni materijali s ciljem jačanja svijesti šire javnosti vezano uz postojane organske onečišćujuće tvari („Stockholmska konvencija o postojanim organskim onečišćujućim tvarima“ i „Vodič za sigurno rukovanje opremom i gospodarenje otpadom koji sadrži postojanu organsku onečišćujuću tvar PCB na okolišno prihvatljiv način“), održana je radionica vezana uz predstavljanje Prijedloga revidiranog nacionalnog plana za provedbu Stockhlmske konvencije za čiju organizaciju i ostale aktivnosti bilo je nužno utrošiti sredstva i za potrošni materijal te za promidžbu (plakati, blokovi za bilješke). Kako je radionica organizirana u suradnji s Hrvatskom gospodarskom komorom, odnosno, u njihovim prostorijama nije bilo dodatnih troškova za dvoranu (hotel i sl.) što bi znatno dodatno povećalo troškove. Nadalje, očekivani broj sudionika na radionici je bio veći od ostvarenog za čija sudjelovanja je bio predviđen povrat troškova sudjelovanja. U lipnju 2016. godine od strane Vlade Republike Hrvatske usvojena je Odluka o prihvaćanju drugog nacionalnog plana za provedbu Stockholmske konvencije o postojanim organskim onečišćujućim tvarima (Narodne novine, broj 62/2016) čime je ostvaren glavni cilj projekta. Članovi Povjerenstva za provedbu Projekta, odnosno djelatnici MZOE (glavni koordinator Projekta i tehnički asistent) sudjelovali su na 12. ljetnoj školi o toksičnim tvarima u okolišu koja se održala Brnu, R Češka u organizaciji Regionalnog centra za Stockholmsku konvenciju s ciljem jačanja kapaciteta vezano uz monitoring/biomonitoring POPs-ova. Nakon povratka s Ljetne škole, u srpnju je u MZOE održana radionica na kojoj su prezentirana stečena znanja i informacije svim zainteresiranim znanstveno-stručnim institucijama.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14"/>
        <w:gridCol w:w="2514"/>
        <w:gridCol w:w="1013"/>
        <w:gridCol w:w="1017"/>
        <w:gridCol w:w="1114"/>
        <w:gridCol w:w="1017"/>
        <w:gridCol w:w="1017"/>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Revidirani Nacionalni provedbeni plan za provedbu Stockholmske konvencije</w:t>
            </w:r>
          </w:p>
        </w:tc>
        <w:tc>
          <w:tcPr>
            <w:tcW w:w="2551" w:type="dxa"/>
          </w:tcPr>
          <w:p w:rsidR="00505632" w:rsidRDefault="00505632" w:rsidP="00AD4E52">
            <w:pPr>
              <w:pStyle w:val="CellColumn"/>
              <w:jc w:val="left"/>
            </w:pPr>
            <w:r>
              <w:rPr>
                <w:rFonts w:cs="Times New Roman"/>
              </w:rPr>
              <w:t>Usvojeni Revidirani Nacionalni provedbeni plan za provedbu Stockholmske konvencije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GEF/MZOE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T784021 IPA 2013 FFRAC JAČANJE KAPACITETA INSPEKCIJE ZAŠTITE OKOLIŠA U PODRUČJU KVALITETE ZRAKA I KONTROLE PRAĆENJA EMISIJE STAKLENIČKIH PLINOVA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T784021-IPA 2013 FFRAC JAČANJE KAPACITETA INSPEKCIJE ZAŠTITE OKOLIŠA U PODRUČJU KVALITETE ZRAKA I KONTROLE PRAĆENJA EMISIJE STAKLENIČKIH PLINOVA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1.327.732</w:t>
            </w:r>
          </w:p>
        </w:tc>
        <w:tc>
          <w:tcPr>
            <w:tcW w:w="2041" w:type="dxa"/>
          </w:tcPr>
          <w:p w:rsidR="00505632" w:rsidRDefault="00505632" w:rsidP="00AD4E52">
            <w:pPr>
              <w:pStyle w:val="CellColumn"/>
              <w:jc w:val="right"/>
            </w:pPr>
            <w:r>
              <w:rPr>
                <w:rFonts w:cs="Times New Roman"/>
              </w:rPr>
              <w:t>638.775</w:t>
            </w:r>
          </w:p>
        </w:tc>
        <w:tc>
          <w:tcPr>
            <w:tcW w:w="1224" w:type="dxa"/>
          </w:tcPr>
          <w:p w:rsidR="00505632" w:rsidRDefault="00505632" w:rsidP="00AD4E52">
            <w:pPr>
              <w:pStyle w:val="CellColumn"/>
              <w:jc w:val="right"/>
            </w:pPr>
            <w:r>
              <w:rPr>
                <w:rFonts w:cs="Times New Roman"/>
              </w:rPr>
              <w:t>48,1</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Operativni sporazum kojim se utvrđuje podjela dužnosti i odgovornosti između dužnosnika ovlaštenog za ovjeravanje programa (DOOP) i voditelj/ice programa (VP) u okviru provedbe IPA programa – komponenta I. (Pomoć u tranziciji i jačanju institucija) i/ili Prijelaznog instrumenta</w:t>
      </w:r>
    </w:p>
    <w:p w:rsidR="00505632" w:rsidRDefault="00505632" w:rsidP="00505632">
      <w:pPr>
        <w:pStyle w:val="Heading8"/>
        <w:jc w:val="left"/>
      </w:pPr>
      <w:r>
        <w:t>Opis aktivnosti</w:t>
      </w:r>
    </w:p>
    <w:p w:rsidR="00505632" w:rsidRDefault="00505632" w:rsidP="00505632">
      <w:r>
        <w:t xml:space="preserve">Jačanje kapaciteta inspekcije i suradnih dionika. </w:t>
      </w:r>
    </w:p>
    <w:p w:rsidR="00505632" w:rsidRDefault="00505632" w:rsidP="00505632">
      <w:r>
        <w:t>Projekt ugovoren i izvršeno prvo plaćanje.</w:t>
      </w:r>
    </w:p>
    <w:p w:rsidR="00505632" w:rsidRDefault="00505632" w:rsidP="00505632">
      <w:pPr>
        <w:pStyle w:val="Heading4"/>
      </w:pPr>
      <w:r>
        <w:t>T784025 JAČANJE SUSTAVA INSPEKCIJSKIH NADZORA INDUSTRIJSKIH POSTROJENJA KOJA ZNAČAJNO UTJEČU NA OKOLIŠ (PI-EU)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T784025-JAČANJE SUSTAVA INSPEKCIJSKIH NADZORA INDUSTRIJSKIH POSTROJENJA KOJA ZNAČAJNO UTJEČU NA OKOLIŠ (PI-EU)</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766.000</w:t>
            </w:r>
          </w:p>
        </w:tc>
        <w:tc>
          <w:tcPr>
            <w:tcW w:w="2041" w:type="dxa"/>
          </w:tcPr>
          <w:p w:rsidR="00505632" w:rsidRDefault="00505632" w:rsidP="00AD4E52">
            <w:pPr>
              <w:pStyle w:val="CellColumn"/>
              <w:jc w:val="right"/>
            </w:pPr>
            <w:r>
              <w:rPr>
                <w:rFonts w:cs="Times New Roman"/>
              </w:rPr>
              <w:t>599.911</w:t>
            </w:r>
          </w:p>
        </w:tc>
        <w:tc>
          <w:tcPr>
            <w:tcW w:w="1224" w:type="dxa"/>
          </w:tcPr>
          <w:p w:rsidR="00505632" w:rsidRDefault="00505632" w:rsidP="00AD4E52">
            <w:pPr>
              <w:pStyle w:val="CellColumn"/>
              <w:jc w:val="right"/>
            </w:pPr>
            <w:r>
              <w:rPr>
                <w:rFonts w:cs="Times New Roman"/>
              </w:rPr>
              <w:t>78,3</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Operativni sporazum kojim se utvrđuje podjela dužnosti i odgovornosti između dužnosnika ovlaštenog za ovjeravanje programa (DOOP) i voditelj/ice programa (VP) u okviru provedbe IPA programa – komponenta I. (Pomoć u tranziciji i jačanju institucija) i/ili Prijelaznog instrumenta</w:t>
      </w:r>
    </w:p>
    <w:p w:rsidR="00505632" w:rsidRDefault="00505632" w:rsidP="00505632">
      <w:pPr>
        <w:pStyle w:val="Heading8"/>
        <w:jc w:val="left"/>
      </w:pPr>
      <w:r>
        <w:t>Opis aktivnosti</w:t>
      </w:r>
    </w:p>
    <w:p w:rsidR="00505632" w:rsidRDefault="00505632" w:rsidP="00505632">
      <w:r>
        <w:t>Jačanje kapaciteta inspekcije i suradnih dionika. Projekt ugovoren i izvršeno prvo plaćanje.</w:t>
      </w:r>
    </w:p>
    <w:p w:rsidR="00505632" w:rsidRDefault="00505632" w:rsidP="00505632">
      <w:pPr>
        <w:jc w:val="left"/>
      </w:pPr>
    </w:p>
    <w:p w:rsidR="00505632" w:rsidRDefault="00505632" w:rsidP="00505632">
      <w:pPr>
        <w:pStyle w:val="Heading3"/>
      </w:pPr>
      <w:r>
        <w:rPr>
          <w:rFonts w:cs="Times New Roman"/>
        </w:rPr>
        <w:t>3405 GOSPODARENJE OTPADOM</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3405-GOSPODARENJE OTPADOM</w:t>
            </w:r>
          </w:p>
        </w:tc>
        <w:tc>
          <w:tcPr>
            <w:tcW w:w="2041" w:type="dxa"/>
          </w:tcPr>
          <w:p w:rsidR="00505632" w:rsidRDefault="00505632" w:rsidP="00AD4E52">
            <w:pPr>
              <w:pStyle w:val="CellColumn"/>
              <w:jc w:val="right"/>
            </w:pPr>
            <w:r>
              <w:rPr>
                <w:rFonts w:cs="Times New Roman"/>
              </w:rPr>
              <w:t>112.075.646</w:t>
            </w:r>
          </w:p>
        </w:tc>
        <w:tc>
          <w:tcPr>
            <w:tcW w:w="2041" w:type="dxa"/>
          </w:tcPr>
          <w:p w:rsidR="00505632" w:rsidRDefault="00505632" w:rsidP="00AD4E52">
            <w:pPr>
              <w:pStyle w:val="CellColumn"/>
              <w:jc w:val="right"/>
            </w:pPr>
            <w:r>
              <w:rPr>
                <w:rFonts w:cs="Times New Roman"/>
              </w:rPr>
              <w:t>204.825.091</w:t>
            </w:r>
          </w:p>
        </w:tc>
        <w:tc>
          <w:tcPr>
            <w:tcW w:w="2041" w:type="dxa"/>
          </w:tcPr>
          <w:p w:rsidR="00505632" w:rsidRDefault="00505632" w:rsidP="00AD4E52">
            <w:pPr>
              <w:pStyle w:val="CellColumn"/>
              <w:jc w:val="right"/>
            </w:pPr>
            <w:r>
              <w:rPr>
                <w:rFonts w:cs="Times New Roman"/>
              </w:rPr>
              <w:t>191.359.087</w:t>
            </w:r>
          </w:p>
        </w:tc>
        <w:tc>
          <w:tcPr>
            <w:tcW w:w="1224" w:type="dxa"/>
          </w:tcPr>
          <w:p w:rsidR="00505632" w:rsidRDefault="00505632" w:rsidP="00AD4E52">
            <w:pPr>
              <w:pStyle w:val="CellColumn"/>
              <w:jc w:val="right"/>
            </w:pPr>
            <w:r>
              <w:rPr>
                <w:rFonts w:cs="Times New Roman"/>
              </w:rPr>
              <w:t>93,4</w:t>
            </w:r>
          </w:p>
        </w:tc>
        <w:tc>
          <w:tcPr>
            <w:tcW w:w="1224" w:type="dxa"/>
          </w:tcPr>
          <w:p w:rsidR="00505632" w:rsidRDefault="00505632" w:rsidP="00AD4E52">
            <w:pPr>
              <w:pStyle w:val="CellColumn"/>
              <w:jc w:val="right"/>
            </w:pPr>
            <w:r>
              <w:rPr>
                <w:rFonts w:cs="Times New Roman"/>
              </w:rPr>
              <w:t>170,7</w:t>
            </w:r>
          </w:p>
        </w:tc>
      </w:tr>
    </w:tbl>
    <w:p w:rsidR="00505632" w:rsidRDefault="00505632" w:rsidP="00505632">
      <w:pPr>
        <w:jc w:val="left"/>
      </w:pPr>
    </w:p>
    <w:p w:rsidR="00505632" w:rsidRDefault="00505632" w:rsidP="00505632">
      <w:r>
        <w:t>Održivo gospodarenje otpadom najveći je izazov u području zaštite okoliša u Republici Hrvatskoj koji zahtijeva najveće napore Ministarstva zašite okoliša i prirode za njegovo rješavanje. U Hrvatskoj je zakonodavni dio sustava gospodarenja otpad određen Zakonom o održivom gospodarenju otpadom koji je usklađen s okvirnom Direktivom o otpadu 008798/EZ. Temeljni princip Zakona je uvođenje reda prvenstva gospodarenja otpadom i novi pristup u upravljanju otpadom s naglaskom na odvajanje otpada na mjestu nastanka. Recikliranje ima prednost pred drugim postupcima oporabe npr. energetske oporabe i zbrinjavanjem otpada, a koje ujedno omogućava gospodarenje otpadom prihvatljivo i s aspekta učinkovitog gospodarstva i otvaranja novih radnih mjesta. Odvajanje otpada na mjestu nastanka je temeljni preduvjet za pokretanje zelenog gospodarstva s ciljem da se potakne recikliranje otpadnih materijala i smanji količina otpada koji se do sada zbrinjavao na odlagalištima otpada, a što će smanjiti broj potrebnih odlagališta otpada. Za uspješnu provedbu navedenih mjera potrebno je razviti odgovarajuću infrastrukturu i uložiti u edukaciju i aktivnosti podizanja svijesti svih dionika u društvu i javnosti.</w:t>
      </w:r>
    </w:p>
    <w:p w:rsidR="00505632" w:rsidRDefault="00505632" w:rsidP="00505632">
      <w:pPr>
        <w:pStyle w:val="Heading8"/>
        <w:jc w:val="left"/>
      </w:pPr>
      <w:r>
        <w:t>Cilj 1. Osigurati preduvjete za uspostavu održivog gospodarenja otpadom</w:t>
      </w:r>
    </w:p>
    <w:p w:rsidR="00505632" w:rsidRDefault="00505632" w:rsidP="00505632">
      <w:pPr>
        <w:pStyle w:val="Heading8"/>
        <w:jc w:val="left"/>
      </w:pPr>
      <w:r>
        <w:t>Opis provedbe cilja programa</w:t>
      </w:r>
    </w:p>
    <w:p w:rsidR="00505632" w:rsidRDefault="00505632" w:rsidP="00505632">
      <w:r>
        <w:t xml:space="preserve">Slijedom odredbama Zakona o održivom gospodarenju otpadom (NN 94/2013), a na temelju  Direktive 2008/98/EZ, Republika Hrvatska ima sljedeće obveze: </w:t>
      </w:r>
    </w:p>
    <w:p w:rsidR="00505632" w:rsidRDefault="00505632" w:rsidP="00505632">
      <w:r>
        <w:t xml:space="preserve">- do 1. siječnja 2020. osigurati pripremu za ponovnu uporabu i recikliranje otpadnog papira, metala, plastike i stakla iz kućanstva, a po mogućnosti i iz drugih izvora ako su ti tokovi otpada slični otpadu iz kućanstva, u minimalnom udjelu od 50% mase otpada te osigurati pripremu za ponovnu uporabu, recikliranje i druge načine materijalne oporabe, uključujući postupke zatrpavanja i nasipavanja, u kojima se otpad koristi kao zamjena za druge materijale, neopasnog građevnog otpada, isključujući materijal iz prirode utvrđen ključnim brojem 17 05 04 – zemlja i kamenje koji nisu navedeni pod 17 05 03, u minimalnom udjelu od 70% mase otpada.  </w:t>
      </w:r>
    </w:p>
    <w:p w:rsidR="00505632" w:rsidRDefault="00505632" w:rsidP="00505632">
      <w:r>
        <w:t>- ograničenja odlaganja biorazgradivog komunalnog otpada i odlaganja otpada na neusklađenom odlagalištu. Najveća dopuštena masa biorazgradivog komunalnog otpada koja se godišnje smije odložiti na svim odlagalištima i neusklađenim odlagalištima u Republici Hrvatskoj u odnosu na masu biorazgradivog komunalnog otpada proizvedenog u 1997. godini iznosi: 75 %, odnosno 567.131 tona do 31. prosinca 2013., 50 %, odnosno 378.088 tona do 31. prosinca 2016. i 35 %, odnosno 264.661 tona do 31. prosinca 2020. Najveća dopuštena masa otpada koja se godišnje odlaže na svim neusklađenim odlagalištima u Republici Hrvatskoj iznosi: 1.710.000 tona do 31. prosinca 2013., 1.410.000 tona do 31. prosinca 2014., 1.210.000 tona do 31. prosinca 2015., 1.010.000 tona do 31. prosinca 2016. i 800.000 tona do 31. prosinca 2017. Temeljem navedenih obaveza postizanja cilja za pripremu za ponovnu uporabu i recikliranje pojedinih vrsta otpada, smanjenje odlaganja biorazgradivog komunalnog otpada na odlagališta i smanjenje odlaganja otpada općenito te sanaciju odlagališta, jedinice lokalne samouprave su dužne postaviti odgovarajući broj spremnika za odvojeno sakupljanje otpada i izgraditi reciklažna dvorišta te nastaviti sa sanacijom odlagališta otpada. Planom gospodarenja otpadom u Republici Hrvatskoj za razdoblje 2007. – 2015. godine (NN 85/07, 126/10 i 31/11) za obradu miješanog komunalnog otpada te ostalog otpada kojeg nije moguće prethodno reciklirati bila je predviđena izgradnja 13 centara za gospodarenje otpadom (u daljnjem tekstu: CGO). Javnim sredstvima su izgrađena dva CGO-a i to: CGO Kaštijun, kapaciteta 90.000 t/god (Istarska županija) i CGO Marišćina, kapaciteta 100.000 t/god (Primorsko-goranska županija), a  u tijeku je provedba projekata CGO Bikarac kapaciteta oko 38 tisuća t/god (Šibensko-kninska županija) i CGO Biljane Donje kapaciteta 80 tisuća t/god (Zadarska županija) za koje je donesena Odluka o financiranju sredstvima iz Kohezijskog fonda EU. Ostali planirani CGO-i su u raznim fazama pripreme.</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postotka ostvarenih ciljeva</w:t>
            </w:r>
          </w:p>
        </w:tc>
        <w:tc>
          <w:tcPr>
            <w:tcW w:w="2551" w:type="dxa"/>
          </w:tcPr>
          <w:p w:rsidR="00505632" w:rsidRDefault="00505632" w:rsidP="00AD4E52">
            <w:pPr>
              <w:pStyle w:val="CellColumn"/>
              <w:jc w:val="left"/>
            </w:pPr>
            <w:r>
              <w:rPr>
                <w:rFonts w:cs="Times New Roman"/>
              </w:rPr>
              <w:t>Ciljevi za održivo gospodarenje otpadom ostvaruju se kroz smanjenje nastajanja otpada, ponovne uporabe korisnih sastojaka otpada, smanjenje količine otpada koja se odlaže na odlagališta i uspostava centara za gospodarenje otpadom.</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40</w:t>
            </w:r>
          </w:p>
        </w:tc>
      </w:tr>
    </w:tbl>
    <w:p w:rsidR="00505632" w:rsidRDefault="00505632" w:rsidP="00505632">
      <w:pPr>
        <w:jc w:val="left"/>
      </w:pPr>
    </w:p>
    <w:p w:rsidR="00505632" w:rsidRDefault="00505632" w:rsidP="00505632">
      <w:pPr>
        <w:pStyle w:val="Heading4"/>
      </w:pPr>
      <w:r>
        <w:t>A576183 POSTUPANJE S OTPADOM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A576183-POSTUPANJE S OTPADOM</w:t>
            </w:r>
          </w:p>
        </w:tc>
        <w:tc>
          <w:tcPr>
            <w:tcW w:w="2041" w:type="dxa"/>
          </w:tcPr>
          <w:p w:rsidR="00505632" w:rsidRDefault="00505632" w:rsidP="00AD4E52">
            <w:pPr>
              <w:pStyle w:val="CellColumn"/>
              <w:jc w:val="right"/>
            </w:pPr>
            <w:r>
              <w:rPr>
                <w:rFonts w:cs="Times New Roman"/>
              </w:rPr>
              <w:t>22.855</w:t>
            </w:r>
          </w:p>
        </w:tc>
        <w:tc>
          <w:tcPr>
            <w:tcW w:w="2041" w:type="dxa"/>
          </w:tcPr>
          <w:p w:rsidR="00505632" w:rsidRDefault="00505632" w:rsidP="00AD4E52">
            <w:pPr>
              <w:pStyle w:val="CellColumn"/>
              <w:jc w:val="right"/>
            </w:pPr>
            <w:r>
              <w:rPr>
                <w:rFonts w:cs="Times New Roman"/>
              </w:rPr>
              <w:t>44.000</w:t>
            </w:r>
          </w:p>
        </w:tc>
        <w:tc>
          <w:tcPr>
            <w:tcW w:w="2041" w:type="dxa"/>
          </w:tcPr>
          <w:p w:rsidR="00505632" w:rsidRDefault="00505632" w:rsidP="00AD4E52">
            <w:pPr>
              <w:pStyle w:val="CellColumn"/>
              <w:jc w:val="right"/>
            </w:pPr>
            <w:r>
              <w:rPr>
                <w:rFonts w:cs="Times New Roman"/>
              </w:rPr>
              <w:t>29.161</w:t>
            </w:r>
          </w:p>
        </w:tc>
        <w:tc>
          <w:tcPr>
            <w:tcW w:w="1224" w:type="dxa"/>
          </w:tcPr>
          <w:p w:rsidR="00505632" w:rsidRDefault="00505632" w:rsidP="00AD4E52">
            <w:pPr>
              <w:pStyle w:val="CellColumn"/>
              <w:jc w:val="right"/>
            </w:pPr>
            <w:r>
              <w:rPr>
                <w:rFonts w:cs="Times New Roman"/>
              </w:rPr>
              <w:t>66,3</w:t>
            </w:r>
          </w:p>
        </w:tc>
        <w:tc>
          <w:tcPr>
            <w:tcW w:w="1224" w:type="dxa"/>
          </w:tcPr>
          <w:p w:rsidR="00505632" w:rsidRDefault="00505632" w:rsidP="00AD4E52">
            <w:pPr>
              <w:pStyle w:val="CellColumn"/>
              <w:jc w:val="right"/>
            </w:pPr>
            <w:r>
              <w:rPr>
                <w:rFonts w:cs="Times New Roman"/>
              </w:rPr>
              <w:t>127,6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održivom gospodarenju otpadom - Narodne novine 94/13, Strategija gospodarenja otpadom Republike Hrvatske - Narodne novine 130/05, Pravilnik o mjerilima, postupku i načinu određivanja iznosa naknade vlasnicima nekretnina i jedinicama lokalne samouprave - Narodne novine 59/06, 109/12, Pravilnik o gospodarenju otpadnim uljima-Narodne novine 124/06, 121/08, 31/09, 156/09, 91/11, 45/12, 86/13, Plan gospodarenja otpadom u Republici Hrvatskoj za razdoblje 2007. – 2015. godine - Narodne novine 85/07, 126/10, 31/11, 46/15, Pravilnik o gospodarenju muljem iz uređaja za pročišćavanje otpadnih voda kada se mulj koristi u poljoprivredi - Narodne novine 38/08, Pravilnik o gospodarenju otpadom od istraživanja i eksploatacije mineralnih sirovina - Narodne novine 128/08, Uredba o graničnim prijelazima na području Republike Hrvatske preko kojih je dopušten uvoz otpada u Europsku uniju i izvoz otpada iz Europske unije - Narodne novine 6/14, Pravilnik o gospodarenju otpadom- Narodne novine 23/14, 51/14, 121/15, 132/15, Pravilnik o gospodarenju otpadnom električnom i elektroničkom opremom- Narodne novine 42/14, 48/14, 107/14, 139/14, Pravilnik o gospodarenju polikloriranim bifenilima i polikloriranim terfenilima - Narodne novine 103/14, Pravilnik o gospodarenju otpadom iz proizvodnje titan-dioksida - Narodne novine 117/14, Pravilnik o nusproizvodima i ukidanju statusa otpada - Narodne novine 117/14, Odluka o izmjenama naknada u sustavima gospodarenja otpadnim vozilima i otpadnim gumama - Narodne novine 40/15, Pravilnik o gospodarenju medicinskim otpadom - Narodne novine 50/15, Naputak o glomaznom otpadu - Narodne novine 79/15, Pravilnik o ambalaži i otpadnoj ambalaži - Narodne novine 88/15, 78/16, Odluka o područjima sakupljanja neopasne otpadne ambalaže - Narodne novine 88/15, Pravilnik o katalogu otpada - Narodne novine 90/15, Odluka o izmjeni naknade u sustavu gospodarenja otpadnim uljima - Narodne novine 95/15, Uredba o gospodarenju otpadnom ambalažom - Narodne novine 97/15, Pravilnik o gospodarenju otpadnim tekstilom i otpadnom obućom - Narodne novine 99/15, Uredba o gospodarenju otpadnim baterijama i akumulatorima - Narodne novine 105/15, Pravilnik o baterijama i akumulatorima i otpadnim baterijama i akumulatorima - Narodne novine 111/15, Uredba o gospodarenju otpadnim vozilima - Narodne novine 112/15, Pravilnik o načinima i uvjetima odlaganja otpada, kategorijama i uvjetima rada za odlagališta otpada - Narodne novine 114/15, Odluka Vijeća 2003/33/EZ od 19. prosinca 2002. o utvrđivanju kriterija i postupaka za prihvat otpada na odlagališta sukladno članku 16. i Prilogu II. Direktivi 1999/31/EZ - Službeni list Europske unije L 11, 16. 1. 2003., str. 27–49, Pravilnik o gospodarenju otpadnim vozilima - Narodne novine 125/15, 90/16, Odluka o stavljanju izvan snage Programa izobrazbe o gospodarenju otpadom - Narodne novine 20/16, Pravilnik o građevnom otpadu i otpadu koji sadrži azbest - Narodne novine 69/16, Pravilnik o termičkoj obradi otpada - Narodne novine 75/16, Pravilnik o gospodarenju otpadnim gumama - Narodne novine 113/16.</w:t>
      </w:r>
    </w:p>
    <w:p w:rsidR="00505632" w:rsidRDefault="00505632" w:rsidP="00505632">
      <w:pPr>
        <w:pStyle w:val="Heading8"/>
        <w:jc w:val="left"/>
      </w:pPr>
      <w:r>
        <w:t>Opis aktivnosti</w:t>
      </w:r>
    </w:p>
    <w:p w:rsidR="00505632" w:rsidRDefault="00505632" w:rsidP="00505632">
      <w:r>
        <w:t>Republika Hrvatska kontinuirano prati promjene u EU zakonodavstvu u području gospodarenja otpadom i usklađuje se s njime. Tijekom 2016. sudjelovalo se u izradi prijedloga stajališta za prijedlog Direktive Europskog parlamenta i Vijeća o izmjeni direktiva 2008/98/EZ o otpadu, 94/62/EZ o ambalaži i ambalažnom otpadu, 1999/31/EZ o odlagalištima otpada, 2000/53/EZ o otpadnim vozilima, 2006/66/EZ o baterijama i akumulatorima i o otpadnim baterijama i akumulatorima te 2012/19/EU o otpadnoj električnoj i elektroničkoj opremi. Isto tako se kontinuirano sudjeluje na sastancima stručnih tijela EU iz područja gospodarenja otpadom. Temeljem Zakona o održivom gospodarenju otpadom (NN 94/2013) obavljanje djelatnosti sakupljanja, oporabe i zbrinjavanja otpada u Republici Hrvatskoj je moguće nakon što pravna ili fizička osoba – obrtnik ishodi odgovarajuću dozvolu. Ministarstvo rješava o zahtjevu za izdavanje dozvole za gospodarenje otpadom za djelatnost koja uključuje gospodarenje opasnim otpadom i postupke termičke obrade neopasnog otpada. Nadležno upravno tijelo rješava o zahtjevu za izdavanje dozvole za gospodarenje otpadom za djelatnosti koje nisu u nadležnosti Ministarstva. Obavljanje djelatnosti posredovanja u gospodarenju otpadom, trgovanja otpadom, prijevoza otpada ili sakupljanja otpada postupkom sakupljanja otpada u reciklažnom dvorištu je moguće nakon što se pravna ili fizička osoba-obrtnik upiše u odgovarajući očevidnik i o tome dobije potvrdu. Za obavljanje postupka skladištenja vlastitog proizvodnog otpada ili energetske oporabe određenog neopasnog otpada u sklopu svoje osnovne djelatnosti, pravna ili fizička osoba-obrtnik treba se upisati u odgovarajući očevidnik i o tome ishoditi potvrdu. Ministarstvo rješava o zahtjevima za upis u navedene očevidnike. Vezano za prekogranični promet otpadom, Ministarstvo izdaje odobrenja u notifikacijskom postupku i potvrde za prekogranični promet otpadom za otpad koji ne podliježe notifikacijskom postupku te suglasnosti za povrat otpada, tijekom. Cjeloviti informacijski sustav gospodarenja otpadom razvija se u suradnji Ministarstva zaštite okoliša i prirode, Hrvatske agencije za okoliš i prirodu i Fonda za zaštitu okoliša i energetsku učinkovitost.</w:t>
      </w:r>
    </w:p>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Kontinuirano usklađivanje propisa iz područja gospodarenja otpadom s EU standardima</w:t>
            </w:r>
          </w:p>
        </w:tc>
        <w:tc>
          <w:tcPr>
            <w:tcW w:w="2551" w:type="dxa"/>
          </w:tcPr>
          <w:p w:rsidR="00505632" w:rsidRDefault="00505632" w:rsidP="00AD4E52">
            <w:pPr>
              <w:pStyle w:val="CellColumn"/>
              <w:jc w:val="left"/>
            </w:pPr>
            <w:r>
              <w:rPr>
                <w:rFonts w:cs="Times New Roman"/>
              </w:rPr>
              <w:t>Ministarstvo kontinuirano prati promjene u EU zakonodavstvu i prema potrebi usklađuje propise s regulativom EU</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Povećanje i kontinuirano održavanje kapaciteta za oporabu (materijalnu i energetsku) i zbrinjavanje otpada u odnosu na ukupnu količinu otpada nastalog u RH</w:t>
            </w:r>
          </w:p>
        </w:tc>
        <w:tc>
          <w:tcPr>
            <w:tcW w:w="2551" w:type="dxa"/>
          </w:tcPr>
          <w:p w:rsidR="00505632" w:rsidRDefault="00505632" w:rsidP="00AD4E52">
            <w:pPr>
              <w:pStyle w:val="CellColumn"/>
              <w:jc w:val="left"/>
            </w:pPr>
            <w:r>
              <w:rPr>
                <w:rFonts w:cs="Times New Roman"/>
              </w:rPr>
              <w:t>Prati se pokrivenost kapaciteta i valjanost dozvola radi održavanja održivog gospodarenja otpadom</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95</w:t>
            </w:r>
          </w:p>
        </w:tc>
      </w:tr>
      <w:tr w:rsidR="00505632" w:rsidTr="00AD4E52">
        <w:trPr>
          <w:jc w:val="center"/>
        </w:trPr>
        <w:tc>
          <w:tcPr>
            <w:tcW w:w="2551" w:type="dxa"/>
          </w:tcPr>
          <w:p w:rsidR="00505632" w:rsidRDefault="00505632" w:rsidP="00AD4E52">
            <w:pPr>
              <w:pStyle w:val="CellColumn"/>
              <w:jc w:val="left"/>
            </w:pPr>
            <w:r>
              <w:rPr>
                <w:rFonts w:cs="Times New Roman"/>
              </w:rPr>
              <w:t>Optimalna količina strukturiranih podataka</w:t>
            </w:r>
          </w:p>
        </w:tc>
        <w:tc>
          <w:tcPr>
            <w:tcW w:w="2551" w:type="dxa"/>
          </w:tcPr>
          <w:p w:rsidR="00505632" w:rsidRDefault="00505632" w:rsidP="00AD4E52">
            <w:pPr>
              <w:pStyle w:val="CellColumn"/>
              <w:jc w:val="left"/>
            </w:pPr>
            <w:r>
              <w:rPr>
                <w:rFonts w:cs="Times New Roman"/>
              </w:rPr>
              <w:t>MZOIP, FZOEU i HAOP razvijaju uspostavu cjelovitog informacijskog sustava gospodarenja otpadom</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70</w:t>
            </w:r>
          </w:p>
        </w:tc>
      </w:tr>
    </w:tbl>
    <w:p w:rsidR="00505632" w:rsidRDefault="00505632" w:rsidP="00505632">
      <w:pPr>
        <w:jc w:val="left"/>
      </w:pPr>
    </w:p>
    <w:p w:rsidR="00505632" w:rsidRDefault="00505632" w:rsidP="00505632">
      <w:pPr>
        <w:pStyle w:val="Heading4"/>
      </w:pPr>
      <w:r>
        <w:t>K784020 OPERATIVNI PROGRAM OKOLIŠ, PRIORITET 1 I 3</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K784020-OPERATIVNI PROGRAM OKOLIŠ, PRIORITET 1 I 3</w:t>
            </w:r>
          </w:p>
        </w:tc>
        <w:tc>
          <w:tcPr>
            <w:tcW w:w="2041" w:type="dxa"/>
          </w:tcPr>
          <w:p w:rsidR="00505632" w:rsidRDefault="00505632" w:rsidP="00AD4E52">
            <w:pPr>
              <w:pStyle w:val="CellColumn"/>
              <w:jc w:val="right"/>
            </w:pPr>
            <w:r>
              <w:rPr>
                <w:rFonts w:cs="Times New Roman"/>
              </w:rPr>
              <w:t>111.482.292</w:t>
            </w:r>
          </w:p>
        </w:tc>
        <w:tc>
          <w:tcPr>
            <w:tcW w:w="2041" w:type="dxa"/>
          </w:tcPr>
          <w:p w:rsidR="00505632" w:rsidRDefault="00505632" w:rsidP="00AD4E52">
            <w:pPr>
              <w:pStyle w:val="CellColumn"/>
              <w:jc w:val="right"/>
            </w:pPr>
            <w:r>
              <w:rPr>
                <w:rFonts w:cs="Times New Roman"/>
              </w:rPr>
              <w:t>202.234.874</w:t>
            </w:r>
          </w:p>
        </w:tc>
        <w:tc>
          <w:tcPr>
            <w:tcW w:w="2041" w:type="dxa"/>
          </w:tcPr>
          <w:p w:rsidR="00505632" w:rsidRDefault="00505632" w:rsidP="00AD4E52">
            <w:pPr>
              <w:pStyle w:val="CellColumn"/>
              <w:jc w:val="right"/>
            </w:pPr>
            <w:r>
              <w:rPr>
                <w:rFonts w:cs="Times New Roman"/>
              </w:rPr>
              <w:t>190.008.616</w:t>
            </w:r>
          </w:p>
        </w:tc>
        <w:tc>
          <w:tcPr>
            <w:tcW w:w="1224" w:type="dxa"/>
          </w:tcPr>
          <w:p w:rsidR="00505632" w:rsidRDefault="00505632" w:rsidP="00AD4E52">
            <w:pPr>
              <w:pStyle w:val="CellColumn"/>
              <w:jc w:val="right"/>
            </w:pPr>
            <w:r>
              <w:rPr>
                <w:rFonts w:cs="Times New Roman"/>
              </w:rPr>
              <w:t>94,0</w:t>
            </w:r>
          </w:p>
        </w:tc>
        <w:tc>
          <w:tcPr>
            <w:tcW w:w="1224" w:type="dxa"/>
          </w:tcPr>
          <w:p w:rsidR="00505632" w:rsidRDefault="00505632" w:rsidP="00AD4E52">
            <w:pPr>
              <w:pStyle w:val="CellColumn"/>
              <w:jc w:val="right"/>
            </w:pPr>
            <w:r>
              <w:rPr>
                <w:rFonts w:cs="Times New Roman"/>
              </w:rPr>
              <w:t>170,4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uspostavi institucionalnog okvira za korištenje strukturnih instrumenata Europske unije u Republici Hrvatskoj (NN 78/12, 143/13, 157/13), • Uredba o tijelima u sustavu upravljanja i kontrole korištenja strukturnih instrumenata Europske unije u Republici Hrvatskoj (NN 97/12, 18/16 i 3/17), • Plan gospodarenja otpadom u Republici Hrvatskoj za razdoblje 2007.-2015. (NN 85/07, 126/10, 31/11, 46/15), • Operativni program Zaštita okoliša 2007.-2013.</w:t>
      </w:r>
    </w:p>
    <w:p w:rsidR="00505632" w:rsidRDefault="00505632" w:rsidP="00505632">
      <w:pPr>
        <w:pStyle w:val="Heading8"/>
        <w:jc w:val="left"/>
      </w:pPr>
      <w:r>
        <w:t>Opis aktivnosti</w:t>
      </w:r>
    </w:p>
    <w:p w:rsidR="00505632" w:rsidRDefault="00505632" w:rsidP="00505632">
      <w:r>
        <w:t>Sredstva za ovu aktivnost planirana su iz dva izvora: nacionalnih sredstava (izvor 12) te EU sredstva odnosno sredstva Kohezijskog fonda (izvor 562). Na izvoru 562 planirana su sredstva za projekte: ŽCGO Marišćina i Kaštijun, sanacije odlagališta Filipovica, Trebež, Rešetari, Lemić Brdo, Strm Breg, Teodorovac, Alabarica, Papuk, Donji Picudo-istok, Hrastinka, Šljivici i Meka te tehničku pomoć za  FZOEU i Hrvatske vode. Rebalansom proračuna za 2016. godinu planirano je ukupno 23.823.549 kn, a izvršeno je 20.246.864 kn što je 85% planiranih sredstava. Najveći udio neiskorištenih sredstava odnosi se na projekte tehničke pomoći za FZOEU i Hrvatske vode, koji zbog izmjena ugovora koje su odobrene tek krajem 2016. godine nisu mogli potraživati cjelokupna planirana sredstva. Planirana su sredstva kapitalne pomoći i za infrastrukturne projekte ŽCGO Marišćina i Kaštijun, sanacije odlagališta Filipovica, Trebež, Rešetari, Lemić Brdo, Strm Breg, Teodorovac, Alabarica, Papuk, Donji Picudo-istok, Hrastinka, Šljivici i Meka. Rebalansom proračuna za 2016. godinu planirano je ukupno 152.271.423 kn, a izvršeno je 147.167.665 kn što je 97% planiranih sredstava. Do manjeg odstupanja je došlo kod projekata sanacija za koja su u prosincu 2016. izvršena plaćanja u iznosima manjim od planiranih. Za projekte tehničke pomoći za jačanje kapaciteta županijskih komunalnih tvrtki te za projekt izgradnje ŽCGO Bikarac planirano je ukupno 1.443.594 kn, a izvršeno je 1.138.766 kn što je 79% planiranih sredstava. Do manjeg odstupanja je došlo kod projekata tehničke pomoći za jačanje kapaciteta zbog toga što je Korisnik- Bikarac d.o.o. završno plaćanje prebacio za početak 2017. godine. Za projekt izgradnje ŽCGO Bikarac planirano je ukupno 15.220.435 kn, a izvršeno je 13.707.385 kn što je 90% planiranih sredstava. Do odstupanja od planiranog je došlo zbog kašnjenja u izvođenju radova na pretovarnim stanicama zbog čega su neka planirana plaćanja prebačena u 2017. godinu tj. sufinancirati će se iz EU sredstava kroz Operativni program Konkurentnost i kohezija (OPKK) 2014.-2020.</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Apsorpcija sredstava za projekte gospodarenja otpadom u okviru OPZO 2007.-2013.</w:t>
            </w:r>
          </w:p>
        </w:tc>
        <w:tc>
          <w:tcPr>
            <w:tcW w:w="2551" w:type="dxa"/>
          </w:tcPr>
          <w:p w:rsidR="00505632" w:rsidRDefault="00505632" w:rsidP="00AD4E52">
            <w:pPr>
              <w:pStyle w:val="CellColumn"/>
              <w:jc w:val="left"/>
            </w:pPr>
            <w:r>
              <w:rPr>
                <w:rFonts w:cs="Times New Roman"/>
              </w:rPr>
              <w:t>Postotak utrošenih sredstava iz KF (kumulativno) u odnosu na ukupno dostupna sredstva za gospodarenje otpadom i Tehničku pomoću razdoblju 2007.-2013.</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65</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89</w:t>
            </w:r>
          </w:p>
        </w:tc>
      </w:tr>
    </w:tbl>
    <w:p w:rsidR="00505632" w:rsidRDefault="00505632" w:rsidP="00505632">
      <w:pPr>
        <w:jc w:val="left"/>
      </w:pPr>
    </w:p>
    <w:p w:rsidR="00505632" w:rsidRDefault="00505632" w:rsidP="00505632">
      <w:pPr>
        <w:pStyle w:val="Heading4"/>
      </w:pPr>
      <w:r>
        <w:t>K784022 OPERATIVNI PROGRAM KONKURENTNOST I KOHEZIJA 2014. -2020 . GODINE</w:t>
      </w:r>
    </w:p>
    <w:tbl>
      <w:tblPr>
        <w:tblStyle w:val="StilTablice"/>
        <w:tblW w:w="10206" w:type="dxa"/>
        <w:jc w:val="center"/>
        <w:tblLook w:val="04A0" w:firstRow="1" w:lastRow="0" w:firstColumn="1" w:lastColumn="0" w:noHBand="0" w:noVBand="1"/>
      </w:tblPr>
      <w:tblGrid>
        <w:gridCol w:w="1882"/>
        <w:gridCol w:w="1965"/>
        <w:gridCol w:w="1969"/>
        <w:gridCol w:w="1969"/>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K784022-OPERATIVNI PROGRAM KONKURENTNOST I KOHEZIJA 2014. -2020 . GODINE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2.546.217</w:t>
            </w:r>
          </w:p>
        </w:tc>
        <w:tc>
          <w:tcPr>
            <w:tcW w:w="2041" w:type="dxa"/>
          </w:tcPr>
          <w:p w:rsidR="00505632" w:rsidRDefault="00505632" w:rsidP="00AD4E52">
            <w:pPr>
              <w:pStyle w:val="CellColumn"/>
              <w:jc w:val="right"/>
            </w:pPr>
            <w:r>
              <w:rPr>
                <w:rFonts w:cs="Times New Roman"/>
              </w:rPr>
              <w:t>1.321.309</w:t>
            </w:r>
          </w:p>
        </w:tc>
        <w:tc>
          <w:tcPr>
            <w:tcW w:w="1224" w:type="dxa"/>
          </w:tcPr>
          <w:p w:rsidR="00505632" w:rsidRDefault="00505632" w:rsidP="00AD4E52">
            <w:pPr>
              <w:pStyle w:val="CellColumn"/>
              <w:jc w:val="right"/>
            </w:pPr>
            <w:r>
              <w:rPr>
                <w:rFonts w:cs="Times New Roman"/>
              </w:rPr>
              <w:t>51,9</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uspostavi institucionalnog okvira za provedbu europskih strukturnih i investicijskih fondova u Republici Hrvatskoj u financijskom razdoblju 2014.-2020. (NN 92/14), • Uredba o tijelima u sustavima upravljanja i kontrole korištenja Europskog socijalnog fonda, Europskog fonda za regionalni razvoj i Kohezijskog fonda, u vezi s ciljem Ulaganje za rast i radna mjesta (NN 107/14, 23/15, 15/17 i 18/17), • Plan gospodarenja otpadom u Republici Hrvatskoj za razdoblje 2007.-2015. (NN 85/07, 126/10, 31/11, 46/15), • Operativni program Konkurentnost i kohezija 2014.-2020.</w:t>
      </w:r>
    </w:p>
    <w:p w:rsidR="00505632" w:rsidRDefault="00505632" w:rsidP="00505632">
      <w:pPr>
        <w:pStyle w:val="Heading8"/>
        <w:jc w:val="left"/>
      </w:pPr>
      <w:r>
        <w:t>Opis aktivnosti</w:t>
      </w:r>
    </w:p>
    <w:p w:rsidR="00505632" w:rsidRDefault="00505632" w:rsidP="00505632">
      <w:r>
        <w:t>Sredstva za ovu aktivnost planirana su na: izvoru 12 (nacionalna sredstva), te izvorima 562 i 563 (EU sredstva).  Na izvoru 562 planirana su sredstva za ugovore o uslugama za projekt izgradnje ŽCGO Biljane Donje. Rebalansom proračuna za 2016. godinu planirano je ukupno 600.000 kn, a izvršeno je 496.689,66 kn (83%). Do odstupanja je došlo jer je iznos plaćanja iz prosinca 2016. bio niži od planiranog. Planirana su sredstva za ugovore o radovima i opremu za projekt izgradnje ŽCGO Biljane Donje. Rebalansom proračuna za 2016. godinu planirano je ukupno 100.000 kn, no s obzirom da je javna nabava za radove još uvijek bila u tijeku (rok za dostavu ponuda je u više navrata produljen) u 2016. godini nisu izvršena planirana plaćanja. Za projekt Tehnička pomoć OPKK 2014.-2020. za sufinanciranje troškova plaća djelatnika, troškove službenih putovanja, stručno usavršavanje djelatnika, nabavu uredskog namještaja, računalne opreme, troškove najma prostora i režijske troškove, provođenje aktivnosti informiranja i vidljivosti, stručnu podršku PT1 u postupcima dodjele bespovratnih sredstava i dr., planirana su sredstva u iznosu od 1.574.217 kn, a izvršena u iznosu od 824.619 kn što je 52% planiranih sredstava. Sredstva na kontu 3237 planirana su za usluge vanjskih stručnjaka za izradu programa informativno-obrazovnih aktivnosti, kao i za neke druge usluge/aktivnosti koje nisu do kraja 2016. realizirane te stoga nisu utrošena planirana sredstva.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Apsorpcija sredstava za projekte gospodarenja otpadom u okviru OPKK 2014.-2020.</w:t>
            </w:r>
          </w:p>
        </w:tc>
        <w:tc>
          <w:tcPr>
            <w:tcW w:w="2551" w:type="dxa"/>
          </w:tcPr>
          <w:p w:rsidR="00505632" w:rsidRDefault="00505632" w:rsidP="00AD4E52">
            <w:pPr>
              <w:pStyle w:val="CellColumn"/>
              <w:jc w:val="left"/>
            </w:pPr>
            <w:r>
              <w:rPr>
                <w:rFonts w:cs="Times New Roman"/>
              </w:rPr>
              <w:t>Postotak utrošenih sredstava iz EU fonda (kumulativno) u u odnosu na ukupno dostupna sredstva za gospodarenje otpadom</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MZOE</w:t>
            </w:r>
          </w:p>
        </w:tc>
        <w:tc>
          <w:tcPr>
            <w:tcW w:w="1020" w:type="dxa"/>
          </w:tcPr>
          <w:p w:rsidR="00505632" w:rsidRDefault="00505632" w:rsidP="00AD4E52">
            <w:pPr>
              <w:pStyle w:val="CellColumn"/>
              <w:jc w:val="right"/>
            </w:pPr>
            <w:r>
              <w:rPr>
                <w:rFonts w:cs="Times New Roman"/>
              </w:rPr>
              <w:t>6</w:t>
            </w:r>
          </w:p>
        </w:tc>
        <w:tc>
          <w:tcPr>
            <w:tcW w:w="1020" w:type="dxa"/>
          </w:tcPr>
          <w:p w:rsidR="00505632" w:rsidRDefault="00505632" w:rsidP="00AD4E52">
            <w:pPr>
              <w:pStyle w:val="CellColumn"/>
              <w:jc w:val="right"/>
            </w:pPr>
            <w:r>
              <w:rPr>
                <w:rFonts w:cs="Times New Roman"/>
              </w:rPr>
              <w:t>0,01</w:t>
            </w:r>
          </w:p>
        </w:tc>
      </w:tr>
    </w:tbl>
    <w:p w:rsidR="00505632" w:rsidRDefault="00505632" w:rsidP="00505632">
      <w:pPr>
        <w:jc w:val="left"/>
      </w:pPr>
    </w:p>
    <w:p w:rsidR="00505632" w:rsidRDefault="00505632" w:rsidP="00505632">
      <w:pPr>
        <w:pStyle w:val="Heading3"/>
      </w:pPr>
      <w:r>
        <w:rPr>
          <w:rFonts w:cs="Times New Roman"/>
        </w:rPr>
        <w:t>3408 RAZVOJ SUSTAVA JAVNE ODVODNJE I ZAŠTITE VODA I MORA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3408-RAZVOJ SUSTAVA JAVNE ODVODNJE I ZAŠTITE VODA I MORA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377.777.111</w:t>
            </w:r>
          </w:p>
        </w:tc>
        <w:tc>
          <w:tcPr>
            <w:tcW w:w="2041" w:type="dxa"/>
          </w:tcPr>
          <w:p w:rsidR="00505632" w:rsidRDefault="00505632" w:rsidP="00AD4E52">
            <w:pPr>
              <w:pStyle w:val="CellColumn"/>
              <w:jc w:val="right"/>
            </w:pPr>
            <w:r>
              <w:rPr>
                <w:rFonts w:cs="Times New Roman"/>
              </w:rPr>
              <w:t>560.028.125</w:t>
            </w:r>
          </w:p>
        </w:tc>
        <w:tc>
          <w:tcPr>
            <w:tcW w:w="1224" w:type="dxa"/>
          </w:tcPr>
          <w:p w:rsidR="00505632" w:rsidRDefault="00505632" w:rsidP="00AD4E52">
            <w:pPr>
              <w:pStyle w:val="CellColumn"/>
              <w:jc w:val="right"/>
            </w:pPr>
            <w:r>
              <w:rPr>
                <w:rFonts w:cs="Times New Roman"/>
              </w:rPr>
              <w:t>148,2</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4"/>
      </w:pPr>
      <w:r>
        <w:t>A784044 ISPITIVANJE VODA NA TERRITORIJU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A784044-ISPITIVANJE VODA NA TERRITORIJU RH</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38.483</w:t>
            </w:r>
          </w:p>
        </w:tc>
        <w:tc>
          <w:tcPr>
            <w:tcW w:w="2041" w:type="dxa"/>
          </w:tcPr>
          <w:p w:rsidR="00505632" w:rsidRDefault="00505632" w:rsidP="00AD4E52">
            <w:pPr>
              <w:pStyle w:val="CellColumn"/>
              <w:jc w:val="right"/>
            </w:pPr>
            <w:r>
              <w:rPr>
                <w:rFonts w:cs="Times New Roman"/>
              </w:rPr>
              <w:t>918</w:t>
            </w:r>
          </w:p>
        </w:tc>
        <w:tc>
          <w:tcPr>
            <w:tcW w:w="1224" w:type="dxa"/>
          </w:tcPr>
          <w:p w:rsidR="00505632" w:rsidRDefault="00505632" w:rsidP="00AD4E52">
            <w:pPr>
              <w:pStyle w:val="CellColumn"/>
              <w:jc w:val="right"/>
            </w:pPr>
            <w:r>
              <w:rPr>
                <w:rFonts w:cs="Times New Roman"/>
              </w:rPr>
              <w:t>2,4</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članci 220. i 221. Zakona o vodama (Narodne novine, br. 153/09, 63/11, 130/11, 56/13 i 14/14) i članak 13. Pravilnika o posebnim uvjetima za obavljanje djelatnosti uzimanja uzoraka i ispitivanja voda (Narodne novine, br. 74/13 i 140/15).</w:t>
      </w:r>
    </w:p>
    <w:p w:rsidR="00505632" w:rsidRDefault="00505632" w:rsidP="00505632">
      <w:pPr>
        <w:pStyle w:val="Heading8"/>
        <w:jc w:val="left"/>
      </w:pPr>
      <w:r>
        <w:t>Opis aktivnosti</w:t>
      </w:r>
    </w:p>
    <w:p w:rsidR="00505632" w:rsidRDefault="00505632" w:rsidP="00505632">
      <w:r>
        <w:t>Ovom aktivnošću se osiguravaju financijska sredstva za financiranje stručnih osoba izvan Ministarstva koje sudjeluju u radu povjerenstva, a koje imaju potreba znanja za ocjenu ispunjavanja posebnih uvjeta u postupku ovlašćivanja laboratorija za obavljanje posebne djelatnosti za potrebe upravljanja vodama - uzimanje uzoraka i ispitivanja voda. Isto tako predviđena je isplata naknade za rad u povjerenstvima za donošenje zakonskih i podzakonskih propisa iz područja vodnoga gospodarstva.</w:t>
      </w:r>
    </w:p>
    <w:p w:rsidR="00505632" w:rsidRDefault="00505632" w:rsidP="00505632">
      <w:pPr>
        <w:jc w:val="left"/>
      </w:pPr>
    </w:p>
    <w:p w:rsidR="00505632" w:rsidRDefault="00505632" w:rsidP="00505632">
      <w:pPr>
        <w:pStyle w:val="Heading4"/>
      </w:pPr>
      <w:r>
        <w:t>K784037 PROJEKT IZGRADNJE VODOKOMUNALNE INFRASTRUKTURE</w:t>
      </w:r>
    </w:p>
    <w:tbl>
      <w:tblPr>
        <w:tblStyle w:val="StilTablice"/>
        <w:tblW w:w="10206" w:type="dxa"/>
        <w:jc w:val="center"/>
        <w:tblLook w:val="04A0" w:firstRow="1" w:lastRow="0" w:firstColumn="1" w:lastColumn="0" w:noHBand="0" w:noVBand="1"/>
      </w:tblPr>
      <w:tblGrid>
        <w:gridCol w:w="1982"/>
        <w:gridCol w:w="1928"/>
        <w:gridCol w:w="1944"/>
        <w:gridCol w:w="1944"/>
        <w:gridCol w:w="1199"/>
        <w:gridCol w:w="120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K784037-PROJEKT IZGRADNJE VODOKOMUNALNE INFRASTRUKTURE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41.795.587</w:t>
            </w:r>
          </w:p>
        </w:tc>
        <w:tc>
          <w:tcPr>
            <w:tcW w:w="2041" w:type="dxa"/>
          </w:tcPr>
          <w:p w:rsidR="00505632" w:rsidRDefault="00505632" w:rsidP="00AD4E52">
            <w:pPr>
              <w:pStyle w:val="CellColumn"/>
              <w:jc w:val="right"/>
            </w:pPr>
            <w:r>
              <w:rPr>
                <w:rFonts w:cs="Times New Roman"/>
              </w:rPr>
              <w:t>41.795.587</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 provedbu projekta osigurana su sredstva zajmova Europske investicijske banke (EIB) i Razvojne banke Vijeća Europe (CEB) u iznosima od po 75 milijuna EUR, odnosno u ukupnom iznosu od 150 milijuna EUR. Datum potpisivanja zajma EIB-a je 18. listopad 2011. – potvrđen Zakonom o potvrđivanju Ugovora o financiranju između Republike Hrvatske i Europske investicijske banke za projekt „Financiranje vodno-komunalne infrastrukture“ („Narodne novine – Međunarodni ugovori“ broj 15/11) a datum potpisivanja zajma CEB-a je 27. i 29. lipnja 2012. – potvrđen Zakonom o potvrđivanju Okvirnog ugovora o zajmu između Republike Hrvatske i Razvojne banke Vijeća Europe za projekt „Financiranje vodno-komunalne infrastrukture“ („Narodne novine – Međunarodni ugovori“ broj 7/12). Banke sudjeluju u financiranju svakog pojedinog potprojekta u jednakim iznosima do maksimalno 90% od njegove ukupne vrijednosti, uz obvezno učešće jedinica lokalne samouprave do pune vrijednosti (10% procijenjene vrijednosti investicije potprojekta bez PDV-a) dok lokalna komunalna poduzeća osiguravaju i sredstva za financiranje PDV-a. Razdoblje provedbe obuhvaća period od 2013. Do kraja 2017. godine. U lipnju 2016. godine povučena je posljednja (četvrta) tranša zajmova EIB-a i CEB-a i tim sredstvima se zajedno sa neutrošenim sredstvima iz 2015. godine financirala provedba Projekta tijekom 2016. godine.</w:t>
      </w:r>
    </w:p>
    <w:p w:rsidR="00505632" w:rsidRDefault="00505632" w:rsidP="00505632">
      <w:pPr>
        <w:pStyle w:val="Heading8"/>
        <w:jc w:val="left"/>
      </w:pPr>
      <w:r>
        <w:t>Opis aktivnosti</w:t>
      </w:r>
    </w:p>
    <w:p w:rsidR="00505632" w:rsidRDefault="00505632" w:rsidP="00505632">
      <w:r>
        <w:t>Projekt obuhvaća ulaganja u vodoopskrbne sustave, prikupljanje i pročišćavanje otpadnih voda te odvodnju oborinskih voda u općinama smještenima u svim hrvatskim županijama s izuzetkom Grada Zagreba. U okviru Projekta moguća su slijedeća ulaganja u vodno-komunalnu infrastrukturu po pojedinom potprojektu: 1) proširenja/rekonstrukcije sustava odvodnje otpadnih i oborinskih voda i izgradnje uređaja za pročišćavanje otpadnih voda te 2) proširenje/rekonstrukcija vvodoopskrbnih sustava. Na kraju 2016. godine za provedbu je identificirano ukupno 130 potprojekata (od čega ih je dovršeno 73, dok su u tijeku radovi na 55 projekta a za 2 projekta je javna nabava u tijeku). Dovršetak cjelokupnog Projekta, koji uključuje i nove potprojekte očekuje se do kraja 2017. godine.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Dužina izgrađene magistralne i sekundarne vodoopskrbne mreže</w:t>
            </w:r>
          </w:p>
        </w:tc>
        <w:tc>
          <w:tcPr>
            <w:tcW w:w="2551" w:type="dxa"/>
          </w:tcPr>
          <w:p w:rsidR="00505632" w:rsidRDefault="00505632" w:rsidP="00AD4E52">
            <w:pPr>
              <w:pStyle w:val="CellColumn"/>
              <w:jc w:val="left"/>
            </w:pPr>
            <w:r>
              <w:rPr>
                <w:rFonts w:cs="Times New Roman"/>
              </w:rPr>
              <w:t>Dužina izgrađene magistralne i sekundarne vodoopskrbne mreže</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485</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587</w:t>
            </w:r>
          </w:p>
        </w:tc>
        <w:tc>
          <w:tcPr>
            <w:tcW w:w="1020" w:type="dxa"/>
          </w:tcPr>
          <w:p w:rsidR="00505632" w:rsidRDefault="00505632" w:rsidP="00AD4E52">
            <w:pPr>
              <w:pStyle w:val="CellColumn"/>
              <w:jc w:val="right"/>
            </w:pPr>
            <w:r>
              <w:rPr>
                <w:rFonts w:cs="Times New Roman"/>
              </w:rPr>
              <w:t>561</w:t>
            </w:r>
          </w:p>
        </w:tc>
      </w:tr>
      <w:tr w:rsidR="00505632" w:rsidTr="00AD4E52">
        <w:trPr>
          <w:jc w:val="center"/>
        </w:trPr>
        <w:tc>
          <w:tcPr>
            <w:tcW w:w="2551" w:type="dxa"/>
          </w:tcPr>
          <w:p w:rsidR="00505632" w:rsidRDefault="00505632" w:rsidP="00AD4E52">
            <w:pPr>
              <w:pStyle w:val="CellColumn"/>
              <w:jc w:val="left"/>
            </w:pPr>
            <w:r>
              <w:rPr>
                <w:rFonts w:cs="Times New Roman"/>
              </w:rPr>
              <w:t>Broj izgrađenih vodnih građevina uključujući i uređaje za pročišćavanje i za kondicioniranje vode</w:t>
            </w:r>
          </w:p>
        </w:tc>
        <w:tc>
          <w:tcPr>
            <w:tcW w:w="2551" w:type="dxa"/>
          </w:tcPr>
          <w:p w:rsidR="00505632" w:rsidRDefault="00505632" w:rsidP="00AD4E52">
            <w:pPr>
              <w:pStyle w:val="CellColumn"/>
              <w:jc w:val="left"/>
            </w:pPr>
            <w:r>
              <w:rPr>
                <w:rFonts w:cs="Times New Roman"/>
              </w:rPr>
              <w:t>Broj izgrađenih vodnih građevina uključujući i uređaje za pročišćavanje i za kondicioniranje vode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24</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28</w:t>
            </w:r>
          </w:p>
        </w:tc>
        <w:tc>
          <w:tcPr>
            <w:tcW w:w="1020" w:type="dxa"/>
          </w:tcPr>
          <w:p w:rsidR="00505632" w:rsidRDefault="00505632" w:rsidP="00AD4E52">
            <w:pPr>
              <w:pStyle w:val="CellColumn"/>
              <w:jc w:val="right"/>
            </w:pPr>
            <w:r>
              <w:rPr>
                <w:rFonts w:cs="Times New Roman"/>
              </w:rPr>
              <w:t>27</w:t>
            </w:r>
          </w:p>
        </w:tc>
      </w:tr>
      <w:tr w:rsidR="00505632" w:rsidTr="00AD4E52">
        <w:trPr>
          <w:jc w:val="center"/>
        </w:trPr>
        <w:tc>
          <w:tcPr>
            <w:tcW w:w="2551" w:type="dxa"/>
          </w:tcPr>
          <w:p w:rsidR="00505632" w:rsidRDefault="00505632" w:rsidP="00AD4E52">
            <w:pPr>
              <w:pStyle w:val="CellColumn"/>
              <w:jc w:val="left"/>
            </w:pPr>
            <w:r>
              <w:rPr>
                <w:rFonts w:cs="Times New Roman"/>
              </w:rPr>
              <w:t>Dužina izgrađene magistralne i sekundarne  mreže odvodnje otpadnih voda</w:t>
            </w:r>
          </w:p>
        </w:tc>
        <w:tc>
          <w:tcPr>
            <w:tcW w:w="2551" w:type="dxa"/>
          </w:tcPr>
          <w:p w:rsidR="00505632" w:rsidRDefault="00505632" w:rsidP="00AD4E52">
            <w:pPr>
              <w:pStyle w:val="CellColumn"/>
              <w:jc w:val="left"/>
            </w:pPr>
            <w:r>
              <w:rPr>
                <w:rFonts w:cs="Times New Roman"/>
              </w:rPr>
              <w:t>Dužina izgrađene magistralne i sekundarne  mreže odvodnje otpadnih voda</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265</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310</w:t>
            </w:r>
          </w:p>
        </w:tc>
        <w:tc>
          <w:tcPr>
            <w:tcW w:w="1020" w:type="dxa"/>
          </w:tcPr>
          <w:p w:rsidR="00505632" w:rsidRDefault="00505632" w:rsidP="00AD4E52">
            <w:pPr>
              <w:pStyle w:val="CellColumn"/>
              <w:jc w:val="right"/>
            </w:pPr>
            <w:r>
              <w:rPr>
                <w:rFonts w:cs="Times New Roman"/>
              </w:rPr>
              <w:t>301</w:t>
            </w:r>
          </w:p>
        </w:tc>
      </w:tr>
      <w:tr w:rsidR="00505632" w:rsidTr="00AD4E52">
        <w:trPr>
          <w:jc w:val="center"/>
        </w:trPr>
        <w:tc>
          <w:tcPr>
            <w:tcW w:w="2551" w:type="dxa"/>
          </w:tcPr>
          <w:p w:rsidR="00505632" w:rsidRDefault="00505632" w:rsidP="00AD4E52">
            <w:pPr>
              <w:pStyle w:val="CellColumn"/>
              <w:jc w:val="left"/>
            </w:pPr>
            <w:r>
              <w:rPr>
                <w:rFonts w:cs="Times New Roman"/>
              </w:rPr>
              <w:t>Broj izgrađenih vodnih građevina uključujući i uređaje za pročišćavanje i za kondicioniranje vode</w:t>
            </w:r>
          </w:p>
        </w:tc>
        <w:tc>
          <w:tcPr>
            <w:tcW w:w="2551" w:type="dxa"/>
          </w:tcPr>
          <w:p w:rsidR="00505632" w:rsidRDefault="00505632" w:rsidP="00AD4E52">
            <w:pPr>
              <w:pStyle w:val="CellColumn"/>
              <w:jc w:val="left"/>
            </w:pPr>
            <w:r>
              <w:rPr>
                <w:rFonts w:cs="Times New Roman"/>
              </w:rPr>
              <w:t>Broj izgrađenih vodnih građevina uključujući i uređaje za pročišćavanje i za kondicioniranje vode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22</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26</w:t>
            </w:r>
          </w:p>
        </w:tc>
        <w:tc>
          <w:tcPr>
            <w:tcW w:w="1020" w:type="dxa"/>
          </w:tcPr>
          <w:p w:rsidR="00505632" w:rsidRDefault="00505632" w:rsidP="00AD4E52">
            <w:pPr>
              <w:pStyle w:val="CellColumn"/>
              <w:jc w:val="right"/>
            </w:pPr>
            <w:r>
              <w:rPr>
                <w:rFonts w:cs="Times New Roman"/>
              </w:rPr>
              <w:t>25</w:t>
            </w:r>
          </w:p>
        </w:tc>
      </w:tr>
    </w:tbl>
    <w:p w:rsidR="00505632" w:rsidRDefault="00505632" w:rsidP="00505632">
      <w:pPr>
        <w:jc w:val="left"/>
      </w:pPr>
    </w:p>
    <w:p w:rsidR="00505632" w:rsidRDefault="00505632" w:rsidP="00505632">
      <w:pPr>
        <w:pStyle w:val="Heading4"/>
      </w:pPr>
      <w:r>
        <w:t>K784038 OP KONKURENTNOST I KOHEZIJA 2014- 2020 PRIORITET 5 I 6</w:t>
      </w:r>
    </w:p>
    <w:tbl>
      <w:tblPr>
        <w:tblStyle w:val="StilTablice"/>
        <w:tblW w:w="10206" w:type="dxa"/>
        <w:jc w:val="center"/>
        <w:tblLook w:val="04A0" w:firstRow="1" w:lastRow="0" w:firstColumn="1" w:lastColumn="0" w:noHBand="0" w:noVBand="1"/>
      </w:tblPr>
      <w:tblGrid>
        <w:gridCol w:w="1882"/>
        <w:gridCol w:w="1965"/>
        <w:gridCol w:w="1969"/>
        <w:gridCol w:w="1969"/>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K784038-OP KONKURENTNOST I KOHEZIJA 2014- 2020 PRIORITET 5 I 6</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5.284.671</w:t>
            </w:r>
          </w:p>
        </w:tc>
        <w:tc>
          <w:tcPr>
            <w:tcW w:w="2041" w:type="dxa"/>
          </w:tcPr>
          <w:p w:rsidR="00505632" w:rsidRDefault="00505632" w:rsidP="00AD4E52">
            <w:pPr>
              <w:pStyle w:val="CellColumn"/>
              <w:jc w:val="right"/>
            </w:pPr>
            <w:r>
              <w:rPr>
                <w:rFonts w:cs="Times New Roman"/>
              </w:rPr>
              <w:t>4.034.885</w:t>
            </w:r>
          </w:p>
        </w:tc>
        <w:tc>
          <w:tcPr>
            <w:tcW w:w="1224" w:type="dxa"/>
          </w:tcPr>
          <w:p w:rsidR="00505632" w:rsidRDefault="00505632" w:rsidP="00AD4E52">
            <w:pPr>
              <w:pStyle w:val="CellColumn"/>
              <w:jc w:val="right"/>
            </w:pPr>
            <w:r>
              <w:rPr>
                <w:rFonts w:cs="Times New Roman"/>
              </w:rPr>
              <w:t>76,4</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Operativni program Konkurentnost i kohezija 2014.-2020. odobren je od Europske komisije 12. prosinca 2014. godine” i provodi se unutar programskog razdoblja 2014-2020, u skladu sa Zakonom o vodama („Narodne novine“, broj 153/09, 63/11, 130/11, 56/13 i 14/14) (Zakonom o izmjenama i dopunama Zakona o poljoprivrednom zemljištu („Narodne novineˮ, broj 63/11) djelomično ukinute pojedine odredbe Zakona o vodama)); Strategijom upravljanja vodama („Narodne novine“, broj 91/08); Zakonom o financiranju vodnoga gospodarstva („Narodne novine“, broj 153/09, 90/11, 56/13,  119/15 i 120/16), Višegodišnjim programa gradnje komunalnih vodnih građevina za razdoblje 2014.-2023. („Narodne novine“ broj 117/15) i Višegodišnjim programom gradnje regulacijskih i zaštitnih građevina i građevina za melioracije za razdoblje 2013.-2017. („Narodni novine“ broj 117/15).</w:t>
      </w:r>
    </w:p>
    <w:p w:rsidR="00505632" w:rsidRDefault="00505632" w:rsidP="00505632">
      <w:pPr>
        <w:pStyle w:val="Heading8"/>
        <w:jc w:val="left"/>
      </w:pPr>
      <w:r>
        <w:t>Opis aktivnosti</w:t>
      </w:r>
    </w:p>
    <w:p w:rsidR="00505632" w:rsidRDefault="00505632" w:rsidP="00505632">
      <w:r>
        <w:t xml:space="preserve">Specifični cilj 5b1 Jačanje sustava upravljanja katastrofama. Provodi se kroz Projekte zaštite od štetnog djelovanja voda, a radi se na promicanje ulaganja koja se odnose na posebne rizike, osiguranje otpornosti na katastrofe i razvoj sustava za upravljanje katastrofama, kao i izgradnja i modernizacija nasipa u svrhu zaštite od štetnog djelovanja voda. Planirani projekti koji će prvi ići u provedbu su:  </w:t>
      </w:r>
    </w:p>
    <w:p w:rsidR="00505632" w:rsidRDefault="00505632" w:rsidP="00505632">
      <w:r>
        <w:t>Projekti zaštite od štetnog djelovanja voda:</w:t>
      </w:r>
    </w:p>
    <w:p w:rsidR="00505632" w:rsidRDefault="00505632" w:rsidP="00505632">
      <w:r>
        <w:t xml:space="preserve">•Modernizacija lijevoobalnih Savskih nasipa od Račinovaca do Nove Gradiške </w:t>
      </w:r>
    </w:p>
    <w:p w:rsidR="00505632" w:rsidRDefault="00505632" w:rsidP="00505632">
      <w:r>
        <w:t xml:space="preserve">•Priprema projektno studijske dokumentacije  </w:t>
      </w:r>
    </w:p>
    <w:p w:rsidR="00505632" w:rsidRDefault="00505632" w:rsidP="00505632">
      <w:r>
        <w:t>Specifični cilj 6ii1 Unaprjeđenje javnog vodoopskrbnog sustava u svrhu osiguranja kvalitete i sigurnosti usluga opskrbe pitkom vodom i Specifični cilj 6ii2 Razvoj sustava prikupljanja i obrade otpadnih voda s ciljem doprinosa poboljšanju stanja voda. Kroz ovu aktivnost radi se na ulaganju u vodni sektor kako bi se ispunili zahtjevi pravne stečevine Unije u području okoliša a osobito Okvirnoj direktivi o vodama, Direktivi o vodi namijenjenoj za ljudsku potrošnju i Direktivi o pročišćavanju komunalnih otpadnih voda i zadovoljile potrebe koje su utvrdile države članice za ulaganjem koje nadilazi te zahtjeve: unaprjeđenje javnog vodoopskrbnog sustava u svrhu osiguranja kvalitete i sigurnosti usluga opskrbe pitkom vodom i razvoj sustava prikupljanja i obrade otpadnih voda s ciljem doprinosa poboljšanju stanja voda. Planiranje financijskih sredstava radi se na temelju analize spremnosti projekata u pripremi i dinamike provedbe projekata u provedbi. U provedbi je Projekt Petrinja, a krajem 2016. (točnije 9. prosinca 2016.) potpisan je Ugovor  o dodjeli bespovratnih sredstava za Projekt Rovinj. 8 projekata koji su odobreni u okviru Operativnog programa Zaštite okoliša 2007. – 2013. (OPZO 2007. -2013.g.) provoditi će se u fazama i završiti u programskom razdoblju 2014. – 2020. u okviru Operativnog programa Konkurentnost i kohezija. To su sljedeći projekti: Sustav prikupljanja i pročišćavanja otpadnih voda - Osijek (faza II),• Sustav prikupljanja i pročišćavanja otpadnih voda - Poreč (faza II), sustav prikupljanja i pročišćavanja otpadnih voda - Vukovar (faza II), Sustav prikupljanja i pročišćavanja otpadnih voda - Vodice (faza II), Regionalni vodoopskrbni sustav Osijek (faza II), Sustav prikupljanja i pročišćavanja otpadnih voda - Virovitica (faza II), Sustav prikupljanja i pročišćavanja otpadnih voda - Nova Gradiška (faza II), Sustav prikupljanja i pročišćavanja otpadnih voda - Županja (faza II). Krajem 2016 započelo je ocjenjivanja projekta Krk – „Sustav prikupljanja i pročišćavanja otpadnih voda Otok Krk“.  Odobrenje projekta se planira do lipnja 2017. U različitim fazama pripreme je veliki broj projekata za koje očekujemo da će biti spremni za financiranje u 2017.godini. Sektor međunarodnih projekata je korisnik Tehničke pomoći Prioritetne osi 10 OPKK. Unutar navedene aktivnosti financira se tehnička pomoć za službenike unutar Sustava  za upravljanje i kontrolu Operativnog programa konkurentnost i kohezija. Obavijest o dodjeli bespovratnih sredstava potpisana je 25.09.2015. i projekt traje do 08.2021. godine, temeljem čega je planirano sufinanciranje sredstava za isplatu plaća, službenih putovanja, stručnog usavršavanja zaposlenika, potrošnog uredskog materijala, promidžbe, režijskih troškova, leasinga vozila, konzultantskih usluga, uredske opreme, izrade računalnog programa i pripadajućih licenci. 85% troškova financira iz EU fonda, a 15% iz Državnog proračuna RH. U 2016.g. tek se započelo sa provedbom navedene aktivnosti, pa su sukladno navedenom i ciljane vrijednosti pokazaelja rezultata jednake nuli.</w:t>
      </w:r>
    </w:p>
    <w:p w:rsidR="00505632" w:rsidRDefault="00505632" w:rsidP="00505632">
      <w:pPr>
        <w:pStyle w:val="Heading4"/>
      </w:pPr>
      <w:r>
        <w:t>K784039 OPERATIVNI PROGRAM OKOLIŠ PRIORITET II I III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K784039-OPERATIVNI PROGRAM OKOLIŠ PRIORITET II I III</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283.017.611</w:t>
            </w:r>
          </w:p>
        </w:tc>
        <w:tc>
          <w:tcPr>
            <w:tcW w:w="2041" w:type="dxa"/>
          </w:tcPr>
          <w:p w:rsidR="00505632" w:rsidRDefault="00505632" w:rsidP="00AD4E52">
            <w:pPr>
              <w:pStyle w:val="CellColumn"/>
              <w:jc w:val="right"/>
            </w:pPr>
            <w:r>
              <w:rPr>
                <w:rFonts w:cs="Times New Roman"/>
              </w:rPr>
              <w:t>466.910.558</w:t>
            </w:r>
          </w:p>
        </w:tc>
        <w:tc>
          <w:tcPr>
            <w:tcW w:w="1224" w:type="dxa"/>
          </w:tcPr>
          <w:p w:rsidR="00505632" w:rsidRDefault="00505632" w:rsidP="00AD4E52">
            <w:pPr>
              <w:pStyle w:val="CellColumn"/>
              <w:jc w:val="right"/>
            </w:pPr>
            <w:r>
              <w:rPr>
                <w:rFonts w:cs="Times New Roman"/>
              </w:rPr>
              <w:t>165,0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Operativni Program Okoliš provodi se unutar programskog razdoblja 2007-2013. u skladu su zakonom o vodama („Narodne novine“, broj 153/09, 63/11, 130/11, 56/13 i 14/14) (Zakonom o izmjenama i dopunama Zakona o poljoprivrednom zemljištu („Narodne novineˮ, broj 63/11) djelomično ukinute pojedine odredbe Zakona o vodama); Strategije upravljanja vodama („Narodne novine“, broj 91/08); Zakonom o financiranju vodnoga gospodarstva („Narodne novine“, broj 153/09, 90/11, 56/13, 119/15 i 120/16), Višegodišnjim programom gradnje komunalnih vodnih građevina za razdoblje 2014.-2023. („Narodne novine“ broj 117/15) i Višegodišnjim programom gradnje regulacijskih i zaštitnih građevina i građevina za melioracije za razdoblje 2013.-2017. („Narodni novine“ broj 117/15).</w:t>
      </w:r>
    </w:p>
    <w:p w:rsidR="00505632" w:rsidRDefault="00505632" w:rsidP="00505632">
      <w:pPr>
        <w:pStyle w:val="Heading8"/>
        <w:jc w:val="left"/>
      </w:pPr>
      <w:r>
        <w:t>Opis aktivnosti</w:t>
      </w:r>
    </w:p>
    <w:p w:rsidR="00505632" w:rsidRDefault="00505632" w:rsidP="00505632">
      <w:r>
        <w:t>Aktivnost se provodi kroz slijedeće projekte: - Sustav vodoopskrbe i odvodnje s uređajem za pročišćavanje otpadnih voda grada Knina ,- Sustav vodoopskrbe i odvodnje s uređajem za pročišćavanje otpadnih voda Grada Drniša,- Sustav vodoopskrbe i odvodnje s uređajem za pročišćavanje otpadnih voda grada Siska, - Projekt poboljšanja vodne infrastrukture u Osijeku,,- Sustav odvodnje s uređajima za pročišćavanje otpadnih voda Poreča, - Poboljšanja vodnokomunalne strukture grada Vukovara, - Poboljšanja vodnokomunalne infrastrukture aglomeracije Županja, Sustava odvodnje sa uređajem za pročišćavanje otpadnih voda u aglomeraciji Čakovec, - EU projekt  Nova Gradiška – Razvoj vodnokomunalne infrastrukture Nova Gradiška, - Projekt poboljšanja komunalne infrastrukture aglomeracije Virovitice, - Regionalni vodoopskrbni sustav Osijek, - Sustav odvodnje i pročišćavanje otpadnih voda Vodice – Tribunj Srima, - Male intervencije 1 –„ Financiranje provedbe investicijskih projekata koji se odnose na manje dijelove sustava javne vodoopskrbe/odvodnje“, - Male intervencije 2 – „Financiranje provedbe investicijskih projekata koji se odnose na manje dijelove sustava javne vodoopskrbe/odvodnje 2“, - Priprema studijsko-projektne dokumentacije za EU fondove 2014-2020. Projekti Knin, Drniš i Sisak biti će završeni u 2017.g. (nakon završetka razdoblja prihvatljivosti troškova OPZO) te se na temelju ugovora o sufinanciranju resorno ministarstvo obvezuje osigurati potrebna sredstva u Državnom proračunu. Obzirom da je bilo evidentno da projekti Osijek, Poreč, Vukovar, Županja, Nova Gradiška, Vodice, Virovitica i RVS Osijek neće moći biti završeni do kraja 2016.g., iskorištena je mogućnost faziranja projekata, čime je omogućeno da ugovori unutar projekata, za koje je procijenjeno da je to korisno, budu podijeljeni u 2 faze. Prva faza će se završiti u okviru OPZO, a II faza biti će prebačena u  OPKK, čime će se omogućiti završetak financiranja ugovora iz OPKK nakon kraja 2016.g., a što znači biti će dostupno sufinanciranje od strane EU. Kroz ovu aktivnost radi se na unaprjeđenju vodoopskrbnog i kanalizacijskog sustava kao i izgradnji uređaje za pročišćavanje otpadnih voda, čime će se pridonijeti provedbi pravne stečevine EU-a, a osobito Okvirnoj direktivi o vodama, Direktivi o vodi namijenjenoj za ljudsku potrošnju i Direktivi o pročišćavanju komunalnih otpadnih voda. Planiranje financijskih sredstava radi se na temelju procjene vremena potrebnog za završetak odobrenih projekata.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Dužina izgrađene magistralne i sekundarne vodoopskrbne mreže</w:t>
            </w:r>
          </w:p>
        </w:tc>
        <w:tc>
          <w:tcPr>
            <w:tcW w:w="2551" w:type="dxa"/>
          </w:tcPr>
          <w:p w:rsidR="00505632" w:rsidRDefault="00505632" w:rsidP="00AD4E52">
            <w:pPr>
              <w:pStyle w:val="CellColumn"/>
              <w:jc w:val="left"/>
            </w:pPr>
            <w:r>
              <w:rPr>
                <w:rFonts w:cs="Times New Roman"/>
              </w:rPr>
              <w:t>Dužina izgrađene magistralne i sekundarne vodoopskrbne mreže</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13,6</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142,8</w:t>
            </w:r>
          </w:p>
        </w:tc>
        <w:tc>
          <w:tcPr>
            <w:tcW w:w="1020" w:type="dxa"/>
          </w:tcPr>
          <w:p w:rsidR="00505632" w:rsidRDefault="00505632" w:rsidP="00AD4E52">
            <w:pPr>
              <w:pStyle w:val="CellColumn"/>
              <w:jc w:val="right"/>
            </w:pPr>
            <w:r>
              <w:rPr>
                <w:rFonts w:cs="Times New Roman"/>
              </w:rPr>
              <w:t>29,6</w:t>
            </w:r>
          </w:p>
        </w:tc>
      </w:tr>
      <w:tr w:rsidR="00505632" w:rsidTr="00AD4E52">
        <w:trPr>
          <w:jc w:val="center"/>
        </w:trPr>
        <w:tc>
          <w:tcPr>
            <w:tcW w:w="2551" w:type="dxa"/>
          </w:tcPr>
          <w:p w:rsidR="00505632" w:rsidRDefault="00505632" w:rsidP="00AD4E52">
            <w:pPr>
              <w:pStyle w:val="CellColumn"/>
              <w:jc w:val="left"/>
            </w:pPr>
            <w:r>
              <w:rPr>
                <w:rFonts w:cs="Times New Roman"/>
              </w:rPr>
              <w:t>Broj izgrađenih vodnih građevina uključujući i uređaje za pročišćavanje i za kondicioniranje vode</w:t>
            </w:r>
          </w:p>
        </w:tc>
        <w:tc>
          <w:tcPr>
            <w:tcW w:w="2551" w:type="dxa"/>
          </w:tcPr>
          <w:p w:rsidR="00505632" w:rsidRDefault="00505632" w:rsidP="00AD4E52">
            <w:pPr>
              <w:pStyle w:val="CellColumn"/>
              <w:jc w:val="left"/>
            </w:pPr>
            <w:r>
              <w:rPr>
                <w:rFonts w:cs="Times New Roman"/>
              </w:rPr>
              <w:t>Broj izgrađenih vodnih građevina uključujući i uređaje za pročišćavanje i za kondicioniranje vode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Dužina izgrađene magistralne i sekundarne  mreže odvodnje otpadnih voda</w:t>
            </w:r>
          </w:p>
        </w:tc>
        <w:tc>
          <w:tcPr>
            <w:tcW w:w="2551" w:type="dxa"/>
          </w:tcPr>
          <w:p w:rsidR="00505632" w:rsidRDefault="00505632" w:rsidP="00AD4E52">
            <w:pPr>
              <w:pStyle w:val="CellColumn"/>
              <w:jc w:val="left"/>
            </w:pPr>
            <w:r>
              <w:rPr>
                <w:rFonts w:cs="Times New Roman"/>
              </w:rPr>
              <w:t>Dužina izgrađene magistralne i sekundarne  mreže odvodnje otpadnih voda</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44,7</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432,44</w:t>
            </w:r>
          </w:p>
        </w:tc>
        <w:tc>
          <w:tcPr>
            <w:tcW w:w="1020" w:type="dxa"/>
          </w:tcPr>
          <w:p w:rsidR="00505632" w:rsidRDefault="00505632" w:rsidP="00AD4E52">
            <w:pPr>
              <w:pStyle w:val="CellColumn"/>
              <w:jc w:val="right"/>
            </w:pPr>
            <w:r>
              <w:rPr>
                <w:rFonts w:cs="Times New Roman"/>
              </w:rPr>
              <w:t>188,9</w:t>
            </w:r>
          </w:p>
        </w:tc>
      </w:tr>
      <w:tr w:rsidR="00505632" w:rsidTr="00AD4E52">
        <w:trPr>
          <w:jc w:val="center"/>
        </w:trPr>
        <w:tc>
          <w:tcPr>
            <w:tcW w:w="2551" w:type="dxa"/>
          </w:tcPr>
          <w:p w:rsidR="00505632" w:rsidRDefault="00505632" w:rsidP="00AD4E52">
            <w:pPr>
              <w:pStyle w:val="CellColumn"/>
              <w:jc w:val="left"/>
            </w:pPr>
            <w:r>
              <w:rPr>
                <w:rFonts w:cs="Times New Roman"/>
              </w:rPr>
              <w:t>Broj izgrađenih vodnih građevina uključujući i uređaje za pročišćavanje i za kondicioniranje vode</w:t>
            </w:r>
          </w:p>
        </w:tc>
        <w:tc>
          <w:tcPr>
            <w:tcW w:w="2551" w:type="dxa"/>
          </w:tcPr>
          <w:p w:rsidR="00505632" w:rsidRDefault="00505632" w:rsidP="00AD4E52">
            <w:pPr>
              <w:pStyle w:val="CellColumn"/>
              <w:jc w:val="left"/>
            </w:pPr>
            <w:r>
              <w:rPr>
                <w:rFonts w:cs="Times New Roman"/>
              </w:rPr>
              <w:t>Broj izgrađenih vodnih građevina uključujući i uređaje za pročišćavanje i za kondicioniranje vode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4"/>
      </w:pPr>
      <w:r>
        <w:t>K784040 CEB OBRANA OD POPLAVA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K784040-CEB OBRANA OD POPLAVA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45.000.000</w:t>
            </w:r>
          </w:p>
        </w:tc>
        <w:tc>
          <w:tcPr>
            <w:tcW w:w="2041" w:type="dxa"/>
          </w:tcPr>
          <w:p w:rsidR="00505632" w:rsidRDefault="00505632" w:rsidP="00AD4E52">
            <w:pPr>
              <w:pStyle w:val="CellColumn"/>
              <w:jc w:val="right"/>
            </w:pPr>
            <w:r>
              <w:rPr>
                <w:rFonts w:cs="Times New Roman"/>
              </w:rPr>
              <w:t>45.000.000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Projekt zaštite od poplava“ (promotor projekta: Ministarstvo zaštite okoliša i energetike; tijelo za provedbu projekta: Hrvatske vode); zajam Razvojne banke Vijeća Europe (CEB) br. LD 1845-2014; Datum potpisivanja Okvirnog ugovora o zajmu između Republike Hrvatske i Razvojne banke Vijeća Europe za Projekt zaštite od poplava je 2. i 15. lipnja 2015. - potvrđen Zakonom o potvrđivanju Okvirnog ugovora o zajmu između Republike Hrvatske i Razvojne banke Vijeća Europe za Projekt zaštite od poplava („Narodne novine – Međunarodni ugovori“, broj 3/16) i stupio je na snagu 7. srpnja 2016. („Narodne novine – Međunarodni ugovori“ br. 4/16). Datum potpisivanja Ugovora o izmjenama i dopunama br. 1 Okvirnog ugovora o zajmu između Republike Hrvatske i Razvojne banke Vijeća Europe za Projekt zaštite od poplava je 5. i 7. prosinca 2016. godine. Datum potpisivanja Ugovora o Projektu za „Projekt zaštite od poplava“ između Republike Hrvatske, koju predstavlja Ministarstvo financija (Zajmoprimac), Ministarstva zaštite okoliša i energetike (Promotor Projekta) i Hrvatskih voda (Tijelo za provedbu Projekta) je 8. i 13. prosinca 2016. godine. </w:t>
      </w:r>
    </w:p>
    <w:p w:rsidR="00505632" w:rsidRDefault="00505632" w:rsidP="00505632">
      <w:r>
        <w:t xml:space="preserve">Procijenjena vrijednost Projekta je 80 milijuna eura, uključujući PDV, od čega bi se 50% financiralo predmetnim zajmom, a 50% iz izvornih prihoda Hrvatskih voda. Predviđena je provedba Projekta u razdoblju od 2015.-2018.  </w:t>
      </w:r>
    </w:p>
    <w:p w:rsidR="00505632" w:rsidRDefault="00505632" w:rsidP="00505632">
      <w:r>
        <w:t>Prva tranša zajma povučena je u prosincu 2016. u iznosu od 45.000.000,00 HRK. Ugovorom o zajmu predviđena je mogućnost da se sredstvima zajma retroaktivno financiraju prihvatljivi troškovi po ugovorima sklopljenim za provedbu potprojekata počevši od siječnja 2013. godine., a koji su do kraja 2016. godine dosegnuli iznos od 25 milijuna EUR (s PDV-om). Slijedom navedenoga, cjelokupni iznos prve tranše (5,97 milijuna EUR) iskorišten je za navedeno retroaktivno financiranje.</w:t>
      </w:r>
    </w:p>
    <w:p w:rsidR="00505632" w:rsidRDefault="00505632" w:rsidP="00505632">
      <w:pPr>
        <w:pStyle w:val="Heading8"/>
        <w:jc w:val="left"/>
      </w:pPr>
      <w:r>
        <w:t>Opis aktivnosti</w:t>
      </w:r>
    </w:p>
    <w:p w:rsidR="00505632" w:rsidRDefault="00505632" w:rsidP="00505632">
      <w:r>
        <w:t xml:space="preserve">Projekt obuhvaća ulaganja kojima će se unaprijediti, obnoviti, dovršiti i razviti postojeći sustav zaštite od poplava kako bi se postigla visoka razina zaštite ciljnog stanovništva na prioritetnim riječnim slivovima u Hrvatskoj, čime će se smanjiti pojavljivanje poplava i njihovi negativni društveno-ekonomski utjecaji. Projekt je dio većeg Višegodišnjeg programa gradnje regulacijskih i zaštitnih vodnih građevina i građevina za melioracije, koji je Vlada RH usvojila 2015. godine (u nastavku „Program“), kao i Plana upravljanja vodnim područjima RH koji sadrži Plan upravljanja rizicima od poplava za razdoblje 2016.-2021., koji je Vlada RH usvojila u srpnju 2016.  </w:t>
      </w:r>
    </w:p>
    <w:p w:rsidR="00505632" w:rsidRDefault="00505632" w:rsidP="00505632">
      <w:r>
        <w:t xml:space="preserve">Projekt se sastoji od dvije komponente: </w:t>
      </w:r>
    </w:p>
    <w:p w:rsidR="00505632" w:rsidRDefault="00505632" w:rsidP="00505632">
      <w:r>
        <w:t xml:space="preserve">• Komponenta 1: izgradnja odabranih projekata iz Programa (potprojekata) s indikativne liste od 25 potprojekata navedenih u Dodatku 1 Priloga 1 OUZ-a, ukupne investicijske vrijednosti 74.347.888 eur, uključujući projektiranje i nadzor. </w:t>
      </w:r>
    </w:p>
    <w:p w:rsidR="00505632" w:rsidRDefault="00505632" w:rsidP="00505632">
      <w:r>
        <w:t>•Komponenta 2: tehnička pomoć (5.652.112 eur, oko 7% ukupne vrijednosti projekta). Ova komponenta bi se koristila za financiranje izrade studija riječne slivove za prioritetne sustave, razvoj sustava za prognoziranje poplava i podrška Jedinici za vođenje Projekta. Od projekata sa indikativnog popisa iz Dodatka 1 Priloga 1 OUZ-a, započeta je izgradnja na oko 50% potprojekata, oko 25% potprojekata su u fazi provedbe postupaka nabave, dok je oko 25% potprojekata u visokoj fazi pripreme tehničke dokumentacije, ishođenja dozvola i pripreme postupaka nabave. Provedba Projekta će se nastaviti sukladno godišnjim Planovima upravljanja vodama za 2017. i 2018. godinu i Planovima nabave za Projekt, koji podliježu odobrenju CEB-a. S obzirom na proteklo vrijeme od formiranja indikativnog popisa potprojekata, koji je nastao u fazi procedure prihvaćanja prijedloga Projekta od strane CEB-a u 2013. godini, kao i novih informacija o vrijednostima do sada provedenih nabava u odnosu na prvobitno procijenjene vrijednosti, očekuje se da će se popis potprojektata mijenjati i dopunjavati sukladno uvjetima OUZ-a. Naime, prema OUZ-u, tijekom provedbe projekta, možda će biti potrebno izvršiti prilagodbe indikativnog popisa identificiranih potprojekata kako bi se dodatno optimizirao društveno-ekonomski učinak Projekta. Stoga Zajmoprimac može, temeljem zahtjeva Tijela za provedbu projekta koje je pod nadzorom Promotora Projekta, zamijeniti neke potprojekte navedene na popisu u Dodatku 1, drugim potprojektima i/ili dodati druge potprojekte navedene u Višegodišnjem programu građenja regulacijskih i zaštitnih vodnih građevina i/ili Planu upravljanja rizicima od poplava Republike Hrvatske, pod uvjetom da takva zamjena ne utječe na prirodu niti  na specifične ciljeve Projekta.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Dužina izgrađenih ili rekonstruiranih nasipa za obranu od poplava</w:t>
            </w:r>
          </w:p>
        </w:tc>
        <w:tc>
          <w:tcPr>
            <w:tcW w:w="2551" w:type="dxa"/>
          </w:tcPr>
          <w:p w:rsidR="00505632" w:rsidRDefault="00505632" w:rsidP="00AD4E52">
            <w:pPr>
              <w:pStyle w:val="CellColumn"/>
              <w:jc w:val="left"/>
            </w:pPr>
            <w:r>
              <w:rPr>
                <w:rFonts w:cs="Times New Roman"/>
              </w:rPr>
              <w:t>Dužina izgrađenih ili rekonstruiranih nasipa za obranu od poplava</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26,1</w:t>
            </w:r>
          </w:p>
        </w:tc>
        <w:tc>
          <w:tcPr>
            <w:tcW w:w="1020" w:type="dxa"/>
          </w:tcPr>
          <w:p w:rsidR="00505632" w:rsidRDefault="00505632" w:rsidP="00AD4E52">
            <w:pPr>
              <w:pStyle w:val="CellColumn"/>
              <w:jc w:val="right"/>
            </w:pPr>
            <w:r>
              <w:rPr>
                <w:rFonts w:cs="Times New Roman"/>
              </w:rPr>
              <w:t>26,1</w:t>
            </w:r>
          </w:p>
        </w:tc>
      </w:tr>
      <w:tr w:rsidR="00505632" w:rsidTr="00AD4E52">
        <w:trPr>
          <w:jc w:val="center"/>
        </w:trPr>
        <w:tc>
          <w:tcPr>
            <w:tcW w:w="2551" w:type="dxa"/>
          </w:tcPr>
          <w:p w:rsidR="00505632" w:rsidRDefault="00505632" w:rsidP="00AD4E52">
            <w:pPr>
              <w:pStyle w:val="CellColumn"/>
              <w:jc w:val="left"/>
            </w:pPr>
            <w:r>
              <w:rPr>
                <w:rFonts w:cs="Times New Roman"/>
              </w:rPr>
              <w:t>Dužina izgrađenih ili saniranih obaloutvrda</w:t>
            </w:r>
          </w:p>
        </w:tc>
        <w:tc>
          <w:tcPr>
            <w:tcW w:w="2551" w:type="dxa"/>
          </w:tcPr>
          <w:p w:rsidR="00505632" w:rsidRDefault="00505632" w:rsidP="00AD4E52">
            <w:pPr>
              <w:pStyle w:val="CellColumn"/>
              <w:jc w:val="left"/>
            </w:pPr>
            <w:r>
              <w:rPr>
                <w:rFonts w:cs="Times New Roman"/>
              </w:rPr>
              <w:t>Dužina izgrađenih ili saniranih obaloutvrda</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1,6</w:t>
            </w:r>
          </w:p>
        </w:tc>
        <w:tc>
          <w:tcPr>
            <w:tcW w:w="1020" w:type="dxa"/>
          </w:tcPr>
          <w:p w:rsidR="00505632" w:rsidRDefault="00505632" w:rsidP="00AD4E52">
            <w:pPr>
              <w:pStyle w:val="CellColumn"/>
              <w:jc w:val="right"/>
            </w:pPr>
            <w:r>
              <w:rPr>
                <w:rFonts w:cs="Times New Roman"/>
              </w:rPr>
              <w:t>1,6</w:t>
            </w:r>
          </w:p>
        </w:tc>
      </w:tr>
    </w:tbl>
    <w:p w:rsidR="00505632" w:rsidRDefault="00505632" w:rsidP="00505632">
      <w:pPr>
        <w:jc w:val="left"/>
      </w:pPr>
    </w:p>
    <w:p w:rsidR="00505632" w:rsidRDefault="00505632" w:rsidP="00505632">
      <w:pPr>
        <w:pStyle w:val="Heading4"/>
      </w:pPr>
      <w:r>
        <w:t>K784041 ISPA GRAD KARLOVAC</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K784041-ISPA GRAD KARLOVAC</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1.930.221</w:t>
            </w:r>
          </w:p>
        </w:tc>
        <w:tc>
          <w:tcPr>
            <w:tcW w:w="2041" w:type="dxa"/>
          </w:tcPr>
          <w:p w:rsidR="00505632" w:rsidRDefault="00505632" w:rsidP="00AD4E52">
            <w:pPr>
              <w:pStyle w:val="CellColumn"/>
              <w:jc w:val="right"/>
            </w:pPr>
            <w:r>
              <w:rPr>
                <w:rFonts w:cs="Times New Roman"/>
              </w:rPr>
              <w:t>1.913.579</w:t>
            </w:r>
          </w:p>
        </w:tc>
        <w:tc>
          <w:tcPr>
            <w:tcW w:w="1224" w:type="dxa"/>
          </w:tcPr>
          <w:p w:rsidR="00505632" w:rsidRDefault="00505632" w:rsidP="00AD4E52">
            <w:pPr>
              <w:pStyle w:val="CellColumn"/>
              <w:jc w:val="right"/>
            </w:pPr>
            <w:r>
              <w:rPr>
                <w:rFonts w:cs="Times New Roman"/>
              </w:rPr>
              <w:t>99,1</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 2016. godini se sa navedene stavke sufinancirala otplata kredita sukladno obvezi po Sporazumu donesenom od strane Vlade RH – pomoć Karlovcu u vraćanju kredita EBRD-a. Od 3.370.000,00 HRK ukupno planiranih sredstava na razdjelu Ministarstva poljoprivrede plaćeno je 2.272.023,81 HRK dok je sa razdjela Ministarstva zaštite okoliša i energetike od ukupno planiranih 1.930.221,00 HRK plaćeno 1.913.579,00 HRK čime je kredit zatvoren u 2016. godini te sukladno tome sredstva nisu planirana u 2017. godini.</w:t>
      </w:r>
    </w:p>
    <w:p w:rsidR="00505632" w:rsidRDefault="00505632" w:rsidP="00505632">
      <w:pPr>
        <w:pStyle w:val="Heading8"/>
        <w:jc w:val="left"/>
      </w:pPr>
      <w:r>
        <w:t>Opis aktivnosti</w:t>
      </w:r>
    </w:p>
    <w:p w:rsidR="00505632" w:rsidRDefault="00505632" w:rsidP="00505632">
      <w:r>
        <w:t>Projekt je završio u 2013. i završno plaćanje je izvršeno u 2014.g. U 2016.g. je izvršeno plaćanje otplata kredita sukladno obvezi po Sporazumu donesenom od strane Vlade RH – pomoć Karlovcu u vraćanju kredita EBRD-a.</w:t>
      </w:r>
    </w:p>
    <w:p w:rsidR="00505632" w:rsidRDefault="00505632" w:rsidP="00505632">
      <w:pPr>
        <w:pStyle w:val="Heading4"/>
      </w:pPr>
      <w:r>
        <w:t>T784035 PROJEKT ZAŠTITE JADRANA OD ONEČIŠĆENJA IBRD I DOMAĆA KOMPONE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T784035-PROJEKT ZAŠTITE JADRANA OD ONEČIŠĆENJA IBRD I DOMAĆA KOMPONE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710.538</w:t>
            </w:r>
          </w:p>
        </w:tc>
        <w:tc>
          <w:tcPr>
            <w:tcW w:w="2041" w:type="dxa"/>
          </w:tcPr>
          <w:p w:rsidR="00505632" w:rsidRDefault="00505632" w:rsidP="00AD4E52">
            <w:pPr>
              <w:pStyle w:val="CellColumn"/>
              <w:jc w:val="right"/>
            </w:pPr>
            <w:r>
              <w:rPr>
                <w:rFonts w:cs="Times New Roman"/>
              </w:rPr>
              <w:t>372.598</w:t>
            </w:r>
          </w:p>
        </w:tc>
        <w:tc>
          <w:tcPr>
            <w:tcW w:w="1224" w:type="dxa"/>
          </w:tcPr>
          <w:p w:rsidR="00505632" w:rsidRDefault="00505632" w:rsidP="00AD4E52">
            <w:pPr>
              <w:pStyle w:val="CellColumn"/>
              <w:jc w:val="right"/>
            </w:pPr>
            <w:r>
              <w:rPr>
                <w:rFonts w:cs="Times New Roman"/>
              </w:rPr>
              <w:t>52,4</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„Projekt zaštite od onečišćenja voda na priobalnom području 2ˮ; zajam broj 7640 HR; Darovnica GEF-a broj TF 092704; Datum potpisivanja Ugovora o zajmu između Republike Hrvatske i Međunarodne banke za obnovu i razvoj je 6. veljače 2009. – potvrđen Zakonom o potvrđivanju („Narodne novine – Međunarodni ugovoriˮ broj 4/09). Ukupna vrijednost druge faze projekta Jadran je 120 mil. EUR, od čega je sredstvima Zajma Svjetske banke financirano 58.518.343,42. EUR, te su projekti financirani navedenim sredstvima dovršeni. Zajam prati i Darovnica GEF-a u iznosu 5.694.591,80 USD. Svjetska banka je na zahtjev za produženjem korištenja sredstava GEF-a pozitivno odgovorila te je datum zatvaranja Darovnice produžen do 31.05.2016. uz još četiri mjeseca za plaćanje aktivnosti završenih do datuma zatvaranja darovnice</w:t>
      </w:r>
    </w:p>
    <w:p w:rsidR="00505632" w:rsidRDefault="00505632" w:rsidP="00505632">
      <w:pPr>
        <w:pStyle w:val="Heading8"/>
        <w:jc w:val="left"/>
      </w:pPr>
      <w:r>
        <w:t>Opis aktivnosti</w:t>
      </w:r>
    </w:p>
    <w:p w:rsidR="00505632" w:rsidRDefault="00505632" w:rsidP="00505632">
      <w:r>
        <w:t>Glavni ciljevi projekta su ulaganje u priobalnu infrastrukturu za zaštitu okoliša, institucionalno jačanje  kroz financiranje nabave opreme, tehničke pomoći, izobrazbe i studija kao i jačanje sustava za nadzor kakvoće priobalnih voda, što se provodilo kroz dvije faze. Prva faza završena je 2009. godine nakon čega je uslijedila provedba druge faze.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Dužina izgrađene magistralne i sekundarne  mreže odvodnje otpadnih voda</w:t>
            </w:r>
          </w:p>
        </w:tc>
        <w:tc>
          <w:tcPr>
            <w:tcW w:w="2551" w:type="dxa"/>
          </w:tcPr>
          <w:p w:rsidR="00505632" w:rsidRDefault="00505632" w:rsidP="00AD4E52">
            <w:pPr>
              <w:pStyle w:val="CellColumn"/>
              <w:jc w:val="left"/>
            </w:pPr>
            <w:r>
              <w:rPr>
                <w:rFonts w:cs="Times New Roman"/>
              </w:rPr>
              <w:t>Dužina izgrađene magistralne i sekundarne  mreže odvodnje otpadnih voda</w:t>
            </w:r>
          </w:p>
        </w:tc>
        <w:tc>
          <w:tcPr>
            <w:tcW w:w="1020" w:type="dxa"/>
          </w:tcPr>
          <w:p w:rsidR="00505632" w:rsidRDefault="00505632" w:rsidP="00AD4E52">
            <w:pPr>
              <w:pStyle w:val="CellColumn"/>
              <w:jc w:val="right"/>
            </w:pPr>
            <w:r>
              <w:rPr>
                <w:rFonts w:cs="Times New Roman"/>
              </w:rPr>
              <w:t>km</w:t>
            </w:r>
          </w:p>
        </w:tc>
        <w:tc>
          <w:tcPr>
            <w:tcW w:w="1020" w:type="dxa"/>
          </w:tcPr>
          <w:p w:rsidR="00505632" w:rsidRDefault="00505632" w:rsidP="00AD4E52">
            <w:pPr>
              <w:pStyle w:val="CellColumn"/>
              <w:jc w:val="right"/>
            </w:pPr>
            <w:r>
              <w:rPr>
                <w:rFonts w:cs="Times New Roman"/>
              </w:rPr>
              <w:t>169</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169</w:t>
            </w:r>
          </w:p>
        </w:tc>
        <w:tc>
          <w:tcPr>
            <w:tcW w:w="1020" w:type="dxa"/>
          </w:tcPr>
          <w:p w:rsidR="00505632" w:rsidRDefault="00505632" w:rsidP="00AD4E52">
            <w:pPr>
              <w:pStyle w:val="CellColumn"/>
              <w:jc w:val="right"/>
            </w:pPr>
            <w:r>
              <w:rPr>
                <w:rFonts w:cs="Times New Roman"/>
              </w:rPr>
              <w:t>169</w:t>
            </w:r>
          </w:p>
        </w:tc>
      </w:tr>
      <w:tr w:rsidR="00505632" w:rsidTr="00AD4E52">
        <w:trPr>
          <w:jc w:val="center"/>
        </w:trPr>
        <w:tc>
          <w:tcPr>
            <w:tcW w:w="2551" w:type="dxa"/>
          </w:tcPr>
          <w:p w:rsidR="00505632" w:rsidRDefault="00505632" w:rsidP="00AD4E52">
            <w:pPr>
              <w:pStyle w:val="CellColumn"/>
              <w:jc w:val="left"/>
            </w:pPr>
            <w:r>
              <w:rPr>
                <w:rFonts w:cs="Times New Roman"/>
              </w:rPr>
              <w:t>Broj izgrađenih vodnih građevina uključujući i uređaje za pročišćavanje i za kondicioniranje vode</w:t>
            </w:r>
          </w:p>
        </w:tc>
        <w:tc>
          <w:tcPr>
            <w:tcW w:w="2551" w:type="dxa"/>
          </w:tcPr>
          <w:p w:rsidR="00505632" w:rsidRDefault="00505632" w:rsidP="00AD4E52">
            <w:pPr>
              <w:pStyle w:val="CellColumn"/>
              <w:jc w:val="left"/>
            </w:pPr>
            <w:r>
              <w:rPr>
                <w:rFonts w:cs="Times New Roman"/>
              </w:rPr>
              <w:t>Broj izgrađenih vodnih građevina uključujući i uređaje za pročišćavanje i za kondicioniranje vode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Hrvatske vode</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20</w:t>
            </w:r>
          </w:p>
        </w:tc>
      </w:tr>
    </w:tbl>
    <w:p w:rsidR="00505632" w:rsidRDefault="00505632" w:rsidP="00505632">
      <w:pPr>
        <w:jc w:val="left"/>
      </w:pPr>
    </w:p>
    <w:p w:rsidR="00505632" w:rsidRDefault="00505632" w:rsidP="00505632">
      <w:pPr>
        <w:jc w:val="left"/>
      </w:pPr>
    </w:p>
    <w:p w:rsidR="00505632" w:rsidRDefault="00505632" w:rsidP="00505632">
      <w:pPr>
        <w:pStyle w:val="Heading4"/>
      </w:pPr>
      <w:r>
        <w:t>A784034 VIJEĆE ZA VODNE USLUGE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A784034-VIJEĆE ZA VODNE USLUGE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257.939</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vodama (Narodne novine, br. 153/09, 60/11, 130/11,56/13 i 14/14)</w:t>
      </w:r>
    </w:p>
    <w:p w:rsidR="00505632" w:rsidRDefault="00505632" w:rsidP="00505632">
      <w:pPr>
        <w:pStyle w:val="Heading8"/>
        <w:jc w:val="left"/>
      </w:pPr>
      <w:r>
        <w:t>Opis aktivnosti</w:t>
      </w:r>
    </w:p>
    <w:p w:rsidR="00505632" w:rsidRDefault="00505632" w:rsidP="00505632">
      <w:r>
        <w:t>Sredstva na predmetnoj aktivnosti, sukladno odredbama Zakona o vodama (Narodne novine, br. 153/09, 60/11, 130/11,56/13 i 14/14) osigurana su za rad Vijeća za vodne usluge (naknada za rad i putni troškovi). Zakonom o vodama (Narodne novine, br. 153/2009, 63/2011, 130/2011, 56/2013 i 14/2014) člankom 217. stavak 1., osnovano je Vijeće za vodne usluge kao neovisno državno tijelo, radi osiguranja zakonitosti u području određivanja cijene vodnih usluga te naknade za razvoj, a Vijeće u drugom sazivu imenovano je 6. veljače 2015. Odlukom Hrvatskog sabora Klasa:021-13/14-07/41.</w:t>
      </w:r>
    </w:p>
    <w:p w:rsidR="00505632" w:rsidRDefault="00505632" w:rsidP="00505632">
      <w:pPr>
        <w:pStyle w:val="Heading2"/>
      </w:pPr>
      <w:r>
        <w:t>07715 Nacionalni parkovi i parkovi prirode</w:t>
      </w:r>
    </w:p>
    <w:p w:rsidR="00505632" w:rsidRDefault="00505632" w:rsidP="00505632">
      <w:r>
        <w:t xml:space="preserve">U okviru ove Glave osiguravaju se sredstva potrebna za rad 8 nacionalnih parkova (Brijuni, Kornati, Krka, Mljet, Paklenica, Plitvička jezera, Risnjak, Sjeverni Velebit) i 11 parkova prirode (Biokovo, Kopački rit, Lastovsko otočje, Lonjsko polje, Medvednica, Papuk,Telašćica, Učka, Vransko jezero, Velebit, Žumberak-Samoborsko gorje). Vlada Republike Hrvatske osnovala je javne ustanove nacionalnih parkova i parkova prirode s ciljem obavljanja djelatnosti zaštite, održavanja i promicanja zaštićenog područja, kao i očuvanja izvornosti prirode, neometanog odvijanja prirodnih procesa i održivog korištenja prirodnih dobara. Nadalje, od 2015. godine u okviru ove Glave , a sukladno čl. 37 . i 38. Zakona o izvršavanju </w:t>
      </w:r>
    </w:p>
    <w:p w:rsidR="00505632" w:rsidRDefault="00505632" w:rsidP="00505632">
      <w:r>
        <w:t>državnog proračuna Republike Hrvatske za 2015. godinu vlastiti i namjenski prihodi i primici javnih ustanova nacionalnih parkova i parkova prirode planiraju se u državnom proračunu, bez obveze uplate u državni proračun. Ostvarenje i trošenje vlastitih i namjenskih prihoda i primitaka nacionalnih parkova i parkova prirode iskazuje se mjesečno u sustavu državne riznice.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07715-Nacionalni parkovi i parkovi prirode</w:t>
            </w:r>
          </w:p>
        </w:tc>
        <w:tc>
          <w:tcPr>
            <w:tcW w:w="2041" w:type="dxa"/>
            <w:vAlign w:val="top"/>
          </w:tcPr>
          <w:p w:rsidR="00505632" w:rsidRDefault="00505632" w:rsidP="00AD4E52">
            <w:pPr>
              <w:pStyle w:val="CellColumn"/>
              <w:jc w:val="right"/>
            </w:pPr>
            <w:r>
              <w:rPr>
                <w:rFonts w:cs="Times New Roman"/>
              </w:rPr>
              <w:t>407.338.586</w:t>
            </w:r>
          </w:p>
        </w:tc>
        <w:tc>
          <w:tcPr>
            <w:tcW w:w="2041" w:type="dxa"/>
            <w:vAlign w:val="top"/>
          </w:tcPr>
          <w:p w:rsidR="00505632" w:rsidRDefault="00505632" w:rsidP="00AD4E52">
            <w:pPr>
              <w:pStyle w:val="CellColumn"/>
              <w:jc w:val="right"/>
            </w:pPr>
            <w:r>
              <w:rPr>
                <w:rFonts w:cs="Times New Roman"/>
              </w:rPr>
              <w:t>593.725.941</w:t>
            </w:r>
          </w:p>
        </w:tc>
        <w:tc>
          <w:tcPr>
            <w:tcW w:w="2041" w:type="dxa"/>
            <w:vAlign w:val="top"/>
          </w:tcPr>
          <w:p w:rsidR="00505632" w:rsidRDefault="00505632" w:rsidP="00AD4E52">
            <w:pPr>
              <w:pStyle w:val="CellColumn"/>
              <w:jc w:val="right"/>
            </w:pPr>
            <w:r>
              <w:rPr>
                <w:rFonts w:cs="Times New Roman"/>
              </w:rPr>
              <w:t>463.839.392</w:t>
            </w:r>
          </w:p>
        </w:tc>
        <w:tc>
          <w:tcPr>
            <w:tcW w:w="1224" w:type="dxa"/>
            <w:vAlign w:val="top"/>
          </w:tcPr>
          <w:p w:rsidR="00505632" w:rsidRDefault="00505632" w:rsidP="00AD4E52">
            <w:pPr>
              <w:pStyle w:val="CellColumn"/>
              <w:jc w:val="right"/>
            </w:pPr>
            <w:r>
              <w:rPr>
                <w:rFonts w:cs="Times New Roman"/>
              </w:rPr>
              <w:t>78,1</w:t>
            </w:r>
          </w:p>
        </w:tc>
        <w:tc>
          <w:tcPr>
            <w:tcW w:w="1224" w:type="dxa"/>
            <w:vAlign w:val="top"/>
          </w:tcPr>
          <w:p w:rsidR="00505632" w:rsidRDefault="00505632" w:rsidP="00AD4E52">
            <w:pPr>
              <w:pStyle w:val="CellColumn"/>
              <w:jc w:val="right"/>
            </w:pPr>
            <w:r>
              <w:rPr>
                <w:rFonts w:cs="Times New Roman"/>
              </w:rPr>
              <w:t>113,9</w:t>
            </w:r>
          </w:p>
        </w:tc>
      </w:tr>
      <w:tr w:rsidR="00505632" w:rsidTr="00AD4E52">
        <w:trPr>
          <w:jc w:val="center"/>
        </w:trPr>
        <w:tc>
          <w:tcPr>
            <w:tcW w:w="1632" w:type="dxa"/>
          </w:tcPr>
          <w:p w:rsidR="00505632" w:rsidRDefault="00505632" w:rsidP="00AD4E52">
            <w:pPr>
              <w:jc w:val="left"/>
            </w:pPr>
            <w:r>
              <w:t>3401-ZAŠTITA PRIRODE</w:t>
            </w:r>
          </w:p>
        </w:tc>
        <w:tc>
          <w:tcPr>
            <w:tcW w:w="2041" w:type="dxa"/>
          </w:tcPr>
          <w:p w:rsidR="00505632" w:rsidRDefault="00505632" w:rsidP="00AD4E52">
            <w:pPr>
              <w:jc w:val="right"/>
            </w:pPr>
            <w:r>
              <w:t>407.338.586</w:t>
            </w:r>
          </w:p>
        </w:tc>
        <w:tc>
          <w:tcPr>
            <w:tcW w:w="2041" w:type="dxa"/>
          </w:tcPr>
          <w:p w:rsidR="00505632" w:rsidRDefault="00505632" w:rsidP="00AD4E52">
            <w:pPr>
              <w:jc w:val="right"/>
            </w:pPr>
            <w:r>
              <w:t>593.725.941</w:t>
            </w:r>
          </w:p>
        </w:tc>
        <w:tc>
          <w:tcPr>
            <w:tcW w:w="2041" w:type="dxa"/>
          </w:tcPr>
          <w:p w:rsidR="00505632" w:rsidRDefault="00505632" w:rsidP="00AD4E52">
            <w:pPr>
              <w:jc w:val="right"/>
            </w:pPr>
            <w:r>
              <w:t>463.839.392</w:t>
            </w:r>
          </w:p>
        </w:tc>
        <w:tc>
          <w:tcPr>
            <w:tcW w:w="1224" w:type="dxa"/>
          </w:tcPr>
          <w:p w:rsidR="00505632" w:rsidRDefault="00505632" w:rsidP="00AD4E52">
            <w:pPr>
              <w:jc w:val="right"/>
            </w:pPr>
            <w:r>
              <w:t>78,1</w:t>
            </w:r>
          </w:p>
        </w:tc>
        <w:tc>
          <w:tcPr>
            <w:tcW w:w="1224" w:type="dxa"/>
          </w:tcPr>
          <w:p w:rsidR="00505632" w:rsidRDefault="00505632" w:rsidP="00AD4E52">
            <w:pPr>
              <w:jc w:val="right"/>
            </w:pPr>
            <w:r>
              <w:t>113,9</w:t>
            </w:r>
          </w:p>
        </w:tc>
      </w:tr>
    </w:tbl>
    <w:p w:rsidR="00505632" w:rsidRDefault="00505632" w:rsidP="00505632">
      <w:pPr>
        <w:jc w:val="left"/>
      </w:pPr>
    </w:p>
    <w:p w:rsidR="00505632" w:rsidRDefault="00505632" w:rsidP="00505632">
      <w:pPr>
        <w:pStyle w:val="Heading3"/>
      </w:pPr>
      <w:r>
        <w:rPr>
          <w:rFonts w:cs="Times New Roman"/>
        </w:rPr>
        <w:t>3401 ZAŠTITA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3401-ZAŠTITA PRIRODE</w:t>
            </w:r>
          </w:p>
        </w:tc>
        <w:tc>
          <w:tcPr>
            <w:tcW w:w="2041" w:type="dxa"/>
          </w:tcPr>
          <w:p w:rsidR="00505632" w:rsidRDefault="00505632" w:rsidP="00AD4E52">
            <w:pPr>
              <w:pStyle w:val="CellColumn"/>
              <w:jc w:val="right"/>
            </w:pPr>
            <w:r>
              <w:rPr>
                <w:rFonts w:cs="Times New Roman"/>
              </w:rPr>
              <w:t>407.338.586</w:t>
            </w:r>
          </w:p>
        </w:tc>
        <w:tc>
          <w:tcPr>
            <w:tcW w:w="2041" w:type="dxa"/>
          </w:tcPr>
          <w:p w:rsidR="00505632" w:rsidRDefault="00505632" w:rsidP="00AD4E52">
            <w:pPr>
              <w:pStyle w:val="CellColumn"/>
              <w:jc w:val="right"/>
            </w:pPr>
            <w:r>
              <w:rPr>
                <w:rFonts w:cs="Times New Roman"/>
              </w:rPr>
              <w:t>593.725.941</w:t>
            </w:r>
          </w:p>
        </w:tc>
        <w:tc>
          <w:tcPr>
            <w:tcW w:w="2041" w:type="dxa"/>
          </w:tcPr>
          <w:p w:rsidR="00505632" w:rsidRDefault="00505632" w:rsidP="00AD4E52">
            <w:pPr>
              <w:pStyle w:val="CellColumn"/>
              <w:jc w:val="right"/>
            </w:pPr>
            <w:r>
              <w:rPr>
                <w:rFonts w:cs="Times New Roman"/>
              </w:rPr>
              <w:t>463.839.392</w:t>
            </w:r>
          </w:p>
        </w:tc>
        <w:tc>
          <w:tcPr>
            <w:tcW w:w="1224" w:type="dxa"/>
          </w:tcPr>
          <w:p w:rsidR="00505632" w:rsidRDefault="00505632" w:rsidP="00AD4E52">
            <w:pPr>
              <w:pStyle w:val="CellColumn"/>
              <w:jc w:val="right"/>
            </w:pPr>
            <w:r>
              <w:rPr>
                <w:rFonts w:cs="Times New Roman"/>
              </w:rPr>
              <w:t>78,1</w:t>
            </w:r>
          </w:p>
        </w:tc>
        <w:tc>
          <w:tcPr>
            <w:tcW w:w="1224" w:type="dxa"/>
          </w:tcPr>
          <w:p w:rsidR="00505632" w:rsidRDefault="00505632" w:rsidP="00AD4E52">
            <w:pPr>
              <w:pStyle w:val="CellColumn"/>
              <w:jc w:val="right"/>
            </w:pPr>
            <w:r>
              <w:rPr>
                <w:rFonts w:cs="Times New Roman"/>
              </w:rPr>
              <w:t>113,9</w:t>
            </w:r>
          </w:p>
        </w:tc>
      </w:tr>
    </w:tbl>
    <w:p w:rsidR="00505632" w:rsidRDefault="00505632" w:rsidP="00505632">
      <w:pPr>
        <w:jc w:val="left"/>
      </w:pPr>
    </w:p>
    <w:p w:rsidR="00505632" w:rsidRDefault="00505632" w:rsidP="00505632">
      <w:r>
        <w:t>Zaštićena i očuvana priroda osigurati će postojanost temeljnih vrijednosti i potencijala za daljnji razvitak Republike Hrvatske, kao i njenu afirmaciju u europskom okruženju kao zemlje s razvijenom svijesti o značaju očuvanja prirodnog bogatstva koje pametnim, promišljenim i održivim korištenjem osigurava višestruke razvojne pravce. Dio Programa Zaštita prirode provode javne ustanove nacionalni parkovi i parkovi prirode. Provedbom planiranih aktivnosti iz planova pravljanja zaštićenim područjima (nacionalnim parkovima i parkovima prirode) te godišnjih programa zaštite, očuvanja, promicanja i korištenja osigurati će se očuvanje zaštićenih područja. Ojačanom sustavu upravljanja zaštićenih područja i područjima ekološke mreže pridonijet će se i izgradnjom te uređenjem infrastrukture za posjetitelje. U ovaj Program uključene su i aktivnosti iz Projekta integracije u EU NATURA 2000 (NIP).</w:t>
      </w:r>
    </w:p>
    <w:p w:rsidR="00505632" w:rsidRDefault="00505632" w:rsidP="00505632">
      <w:pPr>
        <w:pStyle w:val="Heading8"/>
        <w:jc w:val="left"/>
      </w:pPr>
      <w:r>
        <w:t>Cilj 1. Osigurano povoljno stanje očuvanosti vrsta i staništa</w:t>
      </w:r>
    </w:p>
    <w:p w:rsidR="00505632" w:rsidRDefault="00505632" w:rsidP="00505632">
      <w:pPr>
        <w:pStyle w:val="Heading8"/>
        <w:jc w:val="left"/>
      </w:pPr>
      <w:r>
        <w:t>Opis provedbe cilja programa</w:t>
      </w:r>
    </w:p>
    <w:p w:rsidR="00505632" w:rsidRDefault="00505632" w:rsidP="00505632">
      <w:r>
        <w:t xml:space="preserve">Hrvatska je po biološkoj raznolikosti jedna od najbogatijih zemalja Europe zahvaljujući svojem specifičnom geografskom položaju te karakterističnim ekološkim, klimatskim i geomorfološkim uvjetima. Usprkos visokoj vrijednosti prirode, mnoge njene sastavnice izrazito su ugrožene zbog prekomjernog korištenja prirodnih dobara u komercijalne svrhe. Pritisak ljudskih aktivnosti i korištenje prirodnih dobara u posljednjih nekoliko desetljeća </w:t>
      </w:r>
    </w:p>
    <w:p w:rsidR="00505632" w:rsidRDefault="00505632" w:rsidP="00505632">
      <w:r>
        <w:t>značajno su porasli. Pojedine divlje vrste ugrožene su gubitkom staništa, prekomjernim iskorištavanjem, unosom stranih vrsta i sl. Dodatnu ugroženost bioraznolikosti u Hrvatskoj uzrokuju i strane invazivne vrste. Tijekom 2016. radilo se na unaprjeđenju upravljanja područjima ekološke mreže, zaštićenim područjima i divljih vrstama. Inventarizacija vrsta, provedba aktivnosti vezanih uz izradu detaljne karte kopnenih staništa te uspostava (mehanizama) održivog upravljanja područjima ekološke mreže pridonijelo je očuvanju rijetkih i ugroženih vrsta i staništa na razini Republike Hrvatske, ali i europskoj razini. U planove gospodarenja ugrađivane su mjera zaštite s ciljem očuvanja vrsta i staništa, ali i daljnjeg razvoja gospodarstva. Ostvarenju ovog cilja doprinijelo je i daljnje jačanje suradnje s relevantnim tijelima i institucijama na međunarodnoj razini (UNESCO, IUCN, itd.), provedba međunarodnih ugovora, sporazuma, protokola i mnogobrojnih projekata.</w:t>
      </w:r>
    </w:p>
    <w:p w:rsidR="00505632" w:rsidRDefault="00505632" w:rsidP="00505632">
      <w:pPr>
        <w:pStyle w:val="Heading8"/>
        <w:jc w:val="left"/>
      </w:pPr>
      <w:r>
        <w:t>Cilj 2. Ojačan sustav upravljanja u zaštiti prirode</w:t>
      </w:r>
    </w:p>
    <w:p w:rsidR="00505632" w:rsidRDefault="00505632" w:rsidP="00505632">
      <w:pPr>
        <w:pStyle w:val="Heading8"/>
        <w:jc w:val="left"/>
      </w:pPr>
      <w:r>
        <w:t>Opis provedbe cilja programa</w:t>
      </w:r>
    </w:p>
    <w:p w:rsidR="00505632" w:rsidRDefault="00505632" w:rsidP="00505632">
      <w:r>
        <w:t>Upravljanje zaštićenim područjima ojačalo se dodatnim poboljšanjem dosadašnjeg modela upravljanja (npr. upis pravnog režima zaštićenog područja Parka prirode Papuk u katastar) i infrastrukturnim ulaganjima (ulaganja u prirpremu projektne dokumentacije, izgradnja poućnih staza, izgradnja posjetiteljskog centra u Krasnom, uređenje info-punktova i dr.)</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Postotak ugroženih vrsta ptica i vrsta herpetofaune (CR; EN; VU)) u ukupnom broju procijenjenih vrsta ptica</w:t>
            </w:r>
          </w:p>
        </w:tc>
        <w:tc>
          <w:tcPr>
            <w:tcW w:w="2551" w:type="dxa"/>
          </w:tcPr>
          <w:p w:rsidR="00505632" w:rsidRDefault="00505632" w:rsidP="00AD4E52">
            <w:pPr>
              <w:pStyle w:val="CellColumn"/>
              <w:jc w:val="left"/>
            </w:pPr>
            <w:r>
              <w:rPr>
                <w:rFonts w:cs="Times New Roman"/>
              </w:rPr>
              <w:t>Smanjenje postotka ugroženih vrsta kroz vrijeme, na primjeru modela (vrsta ptica gnjezdarica i herpetofaune), odražava uspješnu provedbu mjera očuvanja vrsta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22,1</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22,1</w:t>
            </w:r>
          </w:p>
        </w:tc>
        <w:tc>
          <w:tcPr>
            <w:tcW w:w="1020" w:type="dxa"/>
          </w:tcPr>
          <w:p w:rsidR="00505632" w:rsidRDefault="00505632" w:rsidP="00AD4E52">
            <w:pPr>
              <w:pStyle w:val="CellColumn"/>
              <w:jc w:val="right"/>
            </w:pPr>
            <w:r>
              <w:rPr>
                <w:rFonts w:cs="Times New Roman"/>
              </w:rPr>
              <w:t>22,1</w:t>
            </w:r>
          </w:p>
        </w:tc>
      </w:tr>
      <w:tr w:rsidR="00505632" w:rsidTr="00AD4E52">
        <w:trPr>
          <w:jc w:val="center"/>
        </w:trPr>
        <w:tc>
          <w:tcPr>
            <w:tcW w:w="2551" w:type="dxa"/>
          </w:tcPr>
          <w:p w:rsidR="00505632" w:rsidRDefault="00505632" w:rsidP="00AD4E52">
            <w:pPr>
              <w:pStyle w:val="CellColumn"/>
              <w:jc w:val="left"/>
            </w:pPr>
            <w:r>
              <w:rPr>
                <w:rFonts w:cs="Times New Roman"/>
              </w:rPr>
              <w:t>Postotak baza podataka povezanih u jedinstveni informacijski sustav zaštite prirode</w:t>
            </w:r>
          </w:p>
        </w:tc>
        <w:tc>
          <w:tcPr>
            <w:tcW w:w="2551" w:type="dxa"/>
          </w:tcPr>
          <w:p w:rsidR="00505632" w:rsidRDefault="00505632" w:rsidP="00AD4E52">
            <w:pPr>
              <w:pStyle w:val="CellColumn"/>
              <w:jc w:val="left"/>
            </w:pPr>
            <w:r>
              <w:rPr>
                <w:rFonts w:cs="Times New Roman"/>
              </w:rPr>
              <w:t>Uspostava jedinstvenog informacijskog sustava zaštite prirode doprinijet će jednostavnijoj i bržoj pohrani i prijenosu podataka do krajnjih korisnika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70</w:t>
            </w:r>
          </w:p>
        </w:tc>
      </w:tr>
    </w:tbl>
    <w:p w:rsidR="00505632" w:rsidRDefault="00505632" w:rsidP="00505632">
      <w:pPr>
        <w:jc w:val="left"/>
      </w:pPr>
    </w:p>
    <w:p w:rsidR="00505632" w:rsidRDefault="00505632" w:rsidP="00505632">
      <w:pPr>
        <w:pStyle w:val="Heading4"/>
      </w:pPr>
      <w:r>
        <w:t>A779000 UPRAVLJANJE I ADMINISTRACIJA NACIONALNIH PARKOVA I PARKOVA PRIRODE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A779000-UPRAVLJANJE I ADMINISTRACIJA NACIONALNIH PARKOVA I PARKOVA PRIRODE</w:t>
            </w:r>
          </w:p>
        </w:tc>
        <w:tc>
          <w:tcPr>
            <w:tcW w:w="2041" w:type="dxa"/>
          </w:tcPr>
          <w:p w:rsidR="00505632" w:rsidRDefault="00505632" w:rsidP="00AD4E52">
            <w:pPr>
              <w:pStyle w:val="CellColumn"/>
              <w:jc w:val="right"/>
            </w:pPr>
            <w:r>
              <w:rPr>
                <w:rFonts w:cs="Times New Roman"/>
              </w:rPr>
              <w:t>371.319.707</w:t>
            </w:r>
          </w:p>
        </w:tc>
        <w:tc>
          <w:tcPr>
            <w:tcW w:w="2041" w:type="dxa"/>
          </w:tcPr>
          <w:p w:rsidR="00505632" w:rsidRDefault="00505632" w:rsidP="00AD4E52">
            <w:pPr>
              <w:pStyle w:val="CellColumn"/>
              <w:jc w:val="right"/>
            </w:pPr>
            <w:r>
              <w:rPr>
                <w:rFonts w:cs="Times New Roman"/>
              </w:rPr>
              <w:t>542.762.267</w:t>
            </w:r>
          </w:p>
        </w:tc>
        <w:tc>
          <w:tcPr>
            <w:tcW w:w="2041" w:type="dxa"/>
          </w:tcPr>
          <w:p w:rsidR="00505632" w:rsidRDefault="00505632" w:rsidP="00AD4E52">
            <w:pPr>
              <w:pStyle w:val="CellColumn"/>
              <w:jc w:val="right"/>
            </w:pPr>
            <w:r>
              <w:rPr>
                <w:rFonts w:cs="Times New Roman"/>
              </w:rPr>
              <w:t>424.164.307</w:t>
            </w:r>
          </w:p>
        </w:tc>
        <w:tc>
          <w:tcPr>
            <w:tcW w:w="1224" w:type="dxa"/>
          </w:tcPr>
          <w:p w:rsidR="00505632" w:rsidRDefault="00505632" w:rsidP="00AD4E52">
            <w:pPr>
              <w:pStyle w:val="CellColumn"/>
              <w:jc w:val="right"/>
            </w:pPr>
            <w:r>
              <w:rPr>
                <w:rFonts w:cs="Times New Roman"/>
              </w:rPr>
              <w:t>78,1</w:t>
            </w:r>
          </w:p>
        </w:tc>
        <w:tc>
          <w:tcPr>
            <w:tcW w:w="1224" w:type="dxa"/>
          </w:tcPr>
          <w:p w:rsidR="00505632" w:rsidRDefault="00505632" w:rsidP="00AD4E52">
            <w:pPr>
              <w:pStyle w:val="CellColumn"/>
              <w:jc w:val="right"/>
            </w:pPr>
            <w:r>
              <w:rPr>
                <w:rFonts w:cs="Times New Roman"/>
              </w:rPr>
              <w:t>114,2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Članak 132. Zakona o zaštiti prirode (Narodne novine, broj 80/13)</w:t>
      </w:r>
    </w:p>
    <w:p w:rsidR="00505632" w:rsidRDefault="00505632" w:rsidP="00505632">
      <w:pPr>
        <w:pStyle w:val="Heading8"/>
        <w:jc w:val="left"/>
      </w:pPr>
      <w:r>
        <w:t>Opis aktivnosti</w:t>
      </w:r>
    </w:p>
    <w:p w:rsidR="00505632" w:rsidRDefault="00505632" w:rsidP="00505632">
      <w:r>
        <w:t>Upravljanje nacionalnim parkom i parkom prirode provodi se kroz godišnji program zaštite, održavanja, očuvanja, promicanja i korištenja zaštićenog područja sukladno desetogodišnjeg plana upravljanja. Izvršena sredstva na ovoj aktivnosti  odnose  se na financiranje  rashoda za zaposlene , naknade troškova za prijevoz na posao i sa posla, zatim za ostale rashode za zaposlene kao i rashode hladnog pogona i nabavke imovine, a koji su potrebni za redovno poslovanje nacionalnih parkova i parkova prirode. Najveći dio izvršenja na  navedenoj aktivnosti  odnosi se na vlastite i namjenske prihode i primitke nacionalnih parkova i parkova prirode koji se mjesečno evidentiraju u sustavu državne riznice sukladno Uputi Ministarstva financija o načinu praćenja, ostvarivanja i trošenja vlastitih i namjenskih prihoda i primitaka javnih ustanova nacionalnih parkova i parkova prirode.</w:t>
      </w:r>
    </w:p>
    <w:p w:rsidR="00505632" w:rsidRDefault="00505632" w:rsidP="00505632">
      <w:pPr>
        <w:pStyle w:val="Heading4"/>
      </w:pPr>
      <w:r>
        <w:t>A779021 ZAŠTITA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A779021-ZAŠTITA PRIRODE</w:t>
            </w:r>
          </w:p>
        </w:tc>
        <w:tc>
          <w:tcPr>
            <w:tcW w:w="2041" w:type="dxa"/>
          </w:tcPr>
          <w:p w:rsidR="00505632" w:rsidRDefault="00505632" w:rsidP="00AD4E52">
            <w:pPr>
              <w:pStyle w:val="CellColumn"/>
              <w:jc w:val="right"/>
            </w:pPr>
            <w:r>
              <w:rPr>
                <w:rFonts w:cs="Times New Roman"/>
              </w:rPr>
              <w:t>1.452.448</w:t>
            </w:r>
          </w:p>
        </w:tc>
        <w:tc>
          <w:tcPr>
            <w:tcW w:w="2041" w:type="dxa"/>
          </w:tcPr>
          <w:p w:rsidR="00505632" w:rsidRDefault="00505632" w:rsidP="00AD4E52">
            <w:pPr>
              <w:pStyle w:val="CellColumn"/>
              <w:jc w:val="right"/>
            </w:pPr>
            <w:r>
              <w:rPr>
                <w:rFonts w:cs="Times New Roman"/>
              </w:rPr>
              <w:t>1.133.500</w:t>
            </w:r>
          </w:p>
        </w:tc>
        <w:tc>
          <w:tcPr>
            <w:tcW w:w="2041" w:type="dxa"/>
          </w:tcPr>
          <w:p w:rsidR="00505632" w:rsidRDefault="00505632" w:rsidP="00AD4E52">
            <w:pPr>
              <w:pStyle w:val="CellColumn"/>
              <w:jc w:val="right"/>
            </w:pPr>
            <w:r>
              <w:rPr>
                <w:rFonts w:cs="Times New Roman"/>
              </w:rPr>
              <w:t>1.133.500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78,0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Članak 132. Zakona o zaštiti prirode (Narodne novine, broj 80/13)</w:t>
      </w:r>
    </w:p>
    <w:p w:rsidR="00505632" w:rsidRDefault="00505632" w:rsidP="00505632">
      <w:pPr>
        <w:pStyle w:val="Heading8"/>
        <w:jc w:val="left"/>
      </w:pPr>
      <w:r>
        <w:t>Opis aktivnosti</w:t>
      </w:r>
    </w:p>
    <w:p w:rsidR="00505632" w:rsidRDefault="00505632" w:rsidP="00505632">
      <w:r>
        <w:t>Kroz ovu aktivnosti u 2016. godini provodile su se aktivnosti sufinanciranja programa nacionalnih parkova i parkova prirode planirani  kroz godišnje programe zaštite, očuvanja, promicanja i korištenja te planova upravljanja nacionalnih parkova i parkova prirode. Sufinancirane su  aktivnosti u svrhu zaštite i očuvanja zaštićenih područja održavanje/izgradnja posjetiteljske infrastrukture, provedba monitoringa biljnih i životinjskih vrsta te staništa, protupožarna zaštita i sl.).</w:t>
      </w:r>
    </w:p>
    <w:p w:rsidR="00505632" w:rsidRDefault="00505632" w:rsidP="00505632"/>
    <w:p w:rsidR="00505632" w:rsidRDefault="00505632" w:rsidP="00505632"/>
    <w:p w:rsidR="00505632" w:rsidRDefault="00505632" w:rsidP="00505632">
      <w:pPr>
        <w:pStyle w:val="Heading4"/>
      </w:pPr>
      <w:r>
        <w:t>A779038 IPA PROJEKTI NACIONALNIH PARKOVA I PARKOVA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A779038-IPA PROJEKTI NACIONALNIH PARKOVA I PARKOVA PRIRODE</w:t>
            </w:r>
          </w:p>
        </w:tc>
        <w:tc>
          <w:tcPr>
            <w:tcW w:w="2041" w:type="dxa"/>
          </w:tcPr>
          <w:p w:rsidR="00505632" w:rsidRDefault="00505632" w:rsidP="00AD4E52">
            <w:pPr>
              <w:pStyle w:val="CellColumn"/>
              <w:jc w:val="right"/>
            </w:pPr>
            <w:r>
              <w:rPr>
                <w:rFonts w:cs="Times New Roman"/>
              </w:rPr>
              <w:t>1.185.645</w:t>
            </w:r>
          </w:p>
        </w:tc>
        <w:tc>
          <w:tcPr>
            <w:tcW w:w="2041" w:type="dxa"/>
          </w:tcPr>
          <w:p w:rsidR="00505632" w:rsidRDefault="00505632" w:rsidP="00AD4E52">
            <w:pPr>
              <w:pStyle w:val="CellColumn"/>
              <w:jc w:val="right"/>
            </w:pPr>
            <w:r>
              <w:rPr>
                <w:rFonts w:cs="Times New Roman"/>
              </w:rPr>
              <w:t>468.107</w:t>
            </w:r>
          </w:p>
        </w:tc>
        <w:tc>
          <w:tcPr>
            <w:tcW w:w="2041" w:type="dxa"/>
          </w:tcPr>
          <w:p w:rsidR="00505632" w:rsidRDefault="00505632" w:rsidP="00AD4E52">
            <w:pPr>
              <w:pStyle w:val="CellColumn"/>
              <w:jc w:val="right"/>
            </w:pPr>
            <w:r>
              <w:rPr>
                <w:rFonts w:cs="Times New Roman"/>
              </w:rPr>
              <w:t>80.000</w:t>
            </w:r>
          </w:p>
        </w:tc>
        <w:tc>
          <w:tcPr>
            <w:tcW w:w="1224" w:type="dxa"/>
          </w:tcPr>
          <w:p w:rsidR="00505632" w:rsidRDefault="00505632" w:rsidP="00AD4E52">
            <w:pPr>
              <w:pStyle w:val="CellColumn"/>
              <w:jc w:val="right"/>
            </w:pPr>
            <w:r>
              <w:rPr>
                <w:rFonts w:cs="Times New Roman"/>
              </w:rPr>
              <w:t>17,1</w:t>
            </w:r>
          </w:p>
        </w:tc>
        <w:tc>
          <w:tcPr>
            <w:tcW w:w="1224" w:type="dxa"/>
          </w:tcPr>
          <w:p w:rsidR="00505632" w:rsidRDefault="00505632" w:rsidP="00AD4E52">
            <w:pPr>
              <w:pStyle w:val="CellColumn"/>
              <w:jc w:val="right"/>
            </w:pPr>
            <w:r>
              <w:rPr>
                <w:rFonts w:cs="Times New Roman"/>
              </w:rPr>
              <w:t>6,7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izvršavanju Državnog proračuna Republike Hrvatske za 2015. godinu </w:t>
      </w:r>
    </w:p>
    <w:p w:rsidR="00505632" w:rsidRDefault="00505632" w:rsidP="00505632">
      <w:r>
        <w:t>Uputa Ministarstva financija o načinu praćenja ostvarivanja i trošenja vlastitih i namjenskih prihoda i primitaka javnih ustanova nacionalnih parkova i parkova prirode planiranih u Državnom proračunu RH za 2015. godinu".</w:t>
      </w:r>
    </w:p>
    <w:p w:rsidR="00505632" w:rsidRDefault="00505632" w:rsidP="00505632">
      <w:pPr>
        <w:pStyle w:val="Heading8"/>
        <w:jc w:val="left"/>
      </w:pPr>
      <w:r>
        <w:t>Opis aktivnosti</w:t>
      </w:r>
    </w:p>
    <w:p w:rsidR="00505632" w:rsidRDefault="00505632" w:rsidP="00505632">
      <w:r>
        <w:t>Na ovoj aktivnosti u 2016. godini evidentirana su sredstva za financiranje  projekata nacionalnih parkova i parkova prirode, a koji se sukladno Uputi Ministarstva financija o načinu praćenja, ostvarivanja i trošenja vlastitih i namjenskih prihoda i primitaka javnih ustanova nacionalnih parkova i parkova prirode mjesečno evidentiraju u sustavu državne riznice.</w:t>
      </w:r>
    </w:p>
    <w:p w:rsidR="00505632" w:rsidRDefault="00505632" w:rsidP="00505632">
      <w:pPr>
        <w:pStyle w:val="Heading4"/>
      </w:pPr>
      <w:r>
        <w:t>K779022 PROJEKT INTEGRACIJE U EU NATURA 2000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K779022-PROJEKT INTEGRACIJE U EU NATURA 2000</w:t>
            </w:r>
          </w:p>
        </w:tc>
        <w:tc>
          <w:tcPr>
            <w:tcW w:w="2041" w:type="dxa"/>
          </w:tcPr>
          <w:p w:rsidR="00505632" w:rsidRDefault="00505632" w:rsidP="00AD4E52">
            <w:pPr>
              <w:pStyle w:val="CellColumn"/>
              <w:jc w:val="right"/>
            </w:pPr>
            <w:r>
              <w:rPr>
                <w:rFonts w:cs="Times New Roman"/>
              </w:rPr>
              <w:t>32.918.849</w:t>
            </w:r>
          </w:p>
        </w:tc>
        <w:tc>
          <w:tcPr>
            <w:tcW w:w="2041" w:type="dxa"/>
          </w:tcPr>
          <w:p w:rsidR="00505632" w:rsidRDefault="00505632" w:rsidP="00AD4E52">
            <w:pPr>
              <w:pStyle w:val="CellColumn"/>
              <w:jc w:val="right"/>
            </w:pPr>
            <w:r>
              <w:rPr>
                <w:rFonts w:cs="Times New Roman"/>
              </w:rPr>
              <w:t>20.000.000</w:t>
            </w:r>
          </w:p>
        </w:tc>
        <w:tc>
          <w:tcPr>
            <w:tcW w:w="2041" w:type="dxa"/>
          </w:tcPr>
          <w:p w:rsidR="00505632" w:rsidRDefault="00505632" w:rsidP="00AD4E52">
            <w:pPr>
              <w:pStyle w:val="CellColumn"/>
              <w:jc w:val="right"/>
            </w:pPr>
            <w:r>
              <w:rPr>
                <w:rFonts w:cs="Times New Roman"/>
              </w:rPr>
              <w:t>29.069.569</w:t>
            </w:r>
          </w:p>
        </w:tc>
        <w:tc>
          <w:tcPr>
            <w:tcW w:w="1224" w:type="dxa"/>
          </w:tcPr>
          <w:p w:rsidR="00505632" w:rsidRDefault="00505632" w:rsidP="00AD4E52">
            <w:pPr>
              <w:pStyle w:val="CellColumn"/>
              <w:jc w:val="right"/>
            </w:pPr>
            <w:r>
              <w:rPr>
                <w:rFonts w:cs="Times New Roman"/>
              </w:rPr>
              <w:t>145,3</w:t>
            </w:r>
          </w:p>
        </w:tc>
        <w:tc>
          <w:tcPr>
            <w:tcW w:w="1224" w:type="dxa"/>
          </w:tcPr>
          <w:p w:rsidR="00505632" w:rsidRDefault="00505632" w:rsidP="00AD4E52">
            <w:pPr>
              <w:pStyle w:val="CellColumn"/>
              <w:jc w:val="right"/>
            </w:pPr>
            <w:r>
              <w:rPr>
                <w:rFonts w:cs="Times New Roman"/>
              </w:rPr>
              <w:t>88,3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Međunarodna banka za obnovu i razvoj i Republika Hrvatska potpisale su 22. veljače 2011. godine Ugovor o zajmu br. 8021-HR u iznosu od 20,8 mil. EUR za Projekt integracije u EU Natura 2000 (skraćeno NIP od eng. EU Natura 2000 Integration Project). U srpnju 2015. Svjetska banka je odobrila određeno restrukturiranje projektnih ciljeva i jednogodišnje produljenje čime je projekt formalno produljen do 30. travnja 2017. godine. Uzrok restrukturiranju bile su katastrofalne poplave tijekom proljeća i ljeta 2014. diljem RH što je utjecalo na biološko-ekološke prilike te onemogućilo učinkovitu provedbu aktivnosti u sklopu Komponente 2, a posebno vezano uz Ugovor za Usluge terenskog istraživanja i laboratorijske obrade radi prikupljanja novih inventarizacijskih podataka. Za provedbu Projekta nadležno je Ministarstvo zaštite okoliša i prirode (MZOIP), Uprava za zaštitu prirode, u sklopu koje je osnovana Jedinica za provedbu projekta (JPP) kojom upravlja voditelj zajma, pomoćnik ministra zadužen za Upravu za zaštitu prirode. Projekt je u šestoj godini provedbe te je do današnjeg dana sklopljeno 90 ugovora ukupnog iznosa 19.572.101,20 EUR što predstavlja 96,01% ukupnog iznosa zajma, odnosno 97,47% iznosa zajma kad se dodaju isplaćeni operativni troškovi projekta.</w:t>
      </w:r>
    </w:p>
    <w:p w:rsidR="00505632" w:rsidRDefault="00505632" w:rsidP="00505632">
      <w:pPr>
        <w:pStyle w:val="Heading8"/>
        <w:jc w:val="left"/>
      </w:pPr>
      <w:r>
        <w:t>Opis aktivnosti</w:t>
      </w:r>
    </w:p>
    <w:p w:rsidR="00505632" w:rsidRDefault="00505632" w:rsidP="00505632">
      <w:r>
        <w:t xml:space="preserve">Do kraja 2016. godine u sklopu komponente ulaganja u ekološku mrežu završena su 34 infrastrukturna projekta: u nacionalnim parkovima Krka, Brijuni, Risnjak, Paklenica, Sjeverni Velebit, Kornati, Mljet; u parkovima prirode Medvednica (2 projekta), Učka, Lonjsko polje, Telašćica (2 projekta), Žumberak i Samoborsko gorje, Papuk, Kopački rit, Velebit, Vransko jezero; te radovi za javne ustanove za upravljanje zaštićenim prirodnim vrijednostima Primorsko-goranske županije, Virovitičko-podravske županije, Krapinsko-zagorske županije, Međimurske županije, Osječko-baranjske županije, Brodsko-posavske županije, Varaždinske županije, Zadarske županije, Šibensko-kninske županije, Splitsko-dalmatinske županije, Bjelovarsko-bilogorske županije, Karlovačke županije, Ličko-senjske županije, Dubrovačko-neretvanske županije, Sisačko-moslavačke i Vukovarsko-srijemske županije od trideset i sedam projekata koliko ih se ukupno planira završiti do kraja travnja 2017. godine. U srpnju  2016. godine isporučena su laka navalna vozila s prijenosnom vatrogasnom opremom za osam obalnih nacionalnih parkova i parkova prirode. Preostaje završiti zajednički projekt za Park prirode Vransko jezero i Nacionalni park Kornati, projekt uspostave multimedijalnog centra za Park prirode Biokovo, projekt izgradnje posjetiteljske infrastrukture za Park prirode Lastovsko otočje, te projekt postavljanja turističke signalizacije nacionalnih parkova i parkova prirode na integralnim čvorovima autocesta.   </w:t>
      </w:r>
    </w:p>
    <w:p w:rsidR="00505632" w:rsidRDefault="00505632" w:rsidP="00505632">
      <w:r>
        <w:t>U sklopu komponente informacijskih sustava ekološke mreže u prosincu 2016. godine dovršeni su: Ugovor za usluge terenskog istraživanja i laboratorijske obrade radi prikupljanja novih inventarizacijskih podataka za odabrane taksonomske skupine u sklopu kojeg su obavljene sve terenske aktivnosti i dovršena obrada devet taksonomskih skupina te Ugovor za izradu karte staništa, u mjerilu 1:25000, u sklopu kojeg je dostavljena finalna iteracija karte staništa kao i završno izvješće. U sklopu Projekta ranije je također implementiran web portal informacijskog sustava zaštite prirode www. bioportal.hr, na kojem su po prvi puta na jednom mjestu dostupni sveobuhvatni podaci o bioraznolikosti i zaštiti prirode u Hrvatskoj. U sklopu komponente jačanja kapaciteta za upravljanje ekološkom mrežom, u prosincu 2016. je završen Ugovor za konzultantske usluge za razvoj prijedloga poljoprivredno-okolišnih mjera koje su uvrštene u Program ruralnog razvoja za razdoblje 2014.-2020, te se za provedbu mjera i korištenje potpora prijavilo 175 korisnika. U nacionalnim su parkovima i parkovima prirode završene edukacije za upravljanje volonterima te je izrađeno više od 30 volonterskih programa koji su predstavljeni na posebnoj web stranici. Svi nacionalni parkovi i parkovi prirode, njih 19, koriste i alat za praćenje učinkovitosti upravljanja u parkovima (METT- Management Effectiveness Tracking Tool), što je također jedna od uspješno provedenih projektnih aktivnosti. U 2016. godini dovršen je i Ugovor za provođenje kampanje informiranja javnosti i odobrena je Komunikacijska strategija Natura 2000. U sklopu Projekta provedene su i edukacije za pripremu i provedbu EU projekata. Nastavno na to, Jedinica za provedbu Projekta, unutar Uprave za zaštitu prirode MZOE, pružila je podršku Upravi u pripremi i provođenju projekta „Tehničke pomoći za pripremu projekata za programsko razdoblje 2014.-2020.“, vrijedan 1,8 milijuna kuna koji je sufinanciran sredstvima EU u iznosu od 85%, a čiji je opći cilj povećati kapacitete Uprave za zaštitu prirode u korištenju sredstava EU u sektoru zaštite prirode.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33"/>
        <w:gridCol w:w="2544"/>
        <w:gridCol w:w="1016"/>
        <w:gridCol w:w="1018"/>
        <w:gridCol w:w="1059"/>
        <w:gridCol w:w="1018"/>
        <w:gridCol w:w="1018"/>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postotka kopnenog teritorija Hrvatske za koji je izrađena detaljna karta staništa</w:t>
            </w:r>
          </w:p>
        </w:tc>
        <w:tc>
          <w:tcPr>
            <w:tcW w:w="2551" w:type="dxa"/>
          </w:tcPr>
          <w:p w:rsidR="00505632" w:rsidRDefault="00505632" w:rsidP="00AD4E52">
            <w:pPr>
              <w:pStyle w:val="CellColumn"/>
              <w:jc w:val="left"/>
            </w:pPr>
            <w:r>
              <w:rPr>
                <w:rFonts w:cs="Times New Roman"/>
              </w:rPr>
              <w:t>Detaljna karta kopnenih staništa Hrvatske (1:25 000) znatno će olakšati izradu, kao i uspješnu provedbu mehanizma za upravljanje područjima ekološke mreže i zaštićenim područjima.(kumulativno</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2,4</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36</w:t>
            </w:r>
          </w:p>
        </w:tc>
        <w:tc>
          <w:tcPr>
            <w:tcW w:w="1020" w:type="dxa"/>
          </w:tcPr>
          <w:p w:rsidR="00505632" w:rsidRDefault="00505632" w:rsidP="00AD4E52">
            <w:pPr>
              <w:pStyle w:val="CellColumn"/>
              <w:jc w:val="right"/>
            </w:pPr>
            <w:r>
              <w:rPr>
                <w:rFonts w:cs="Times New Roman"/>
              </w:rPr>
              <w:t>60</w:t>
            </w:r>
          </w:p>
        </w:tc>
      </w:tr>
      <w:tr w:rsidR="00505632" w:rsidTr="00AD4E52">
        <w:trPr>
          <w:jc w:val="center"/>
        </w:trPr>
        <w:tc>
          <w:tcPr>
            <w:tcW w:w="2551" w:type="dxa"/>
          </w:tcPr>
          <w:p w:rsidR="00505632" w:rsidRDefault="00505632" w:rsidP="00AD4E52">
            <w:pPr>
              <w:pStyle w:val="CellColumn"/>
              <w:jc w:val="left"/>
            </w:pPr>
            <w:r>
              <w:rPr>
                <w:rFonts w:cs="Times New Roman"/>
              </w:rPr>
              <w:t>Provođenje edukacije te  održavanje stručnih skupova, tematskih seminara i radionica</w:t>
            </w:r>
          </w:p>
        </w:tc>
        <w:tc>
          <w:tcPr>
            <w:tcW w:w="2551" w:type="dxa"/>
          </w:tcPr>
          <w:p w:rsidR="00505632" w:rsidRDefault="00505632" w:rsidP="00AD4E52">
            <w:pPr>
              <w:pStyle w:val="CellColumn"/>
              <w:jc w:val="left"/>
            </w:pPr>
            <w:r>
              <w:rPr>
                <w:rFonts w:cs="Times New Roman"/>
              </w:rPr>
              <w:t>Stručni skupovi, tematski seminari i radionice financirani iz NIP alokacije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14</w:t>
            </w:r>
          </w:p>
        </w:tc>
        <w:tc>
          <w:tcPr>
            <w:tcW w:w="1020" w:type="dxa"/>
          </w:tcPr>
          <w:p w:rsidR="00505632" w:rsidRDefault="00505632" w:rsidP="00AD4E52">
            <w:pPr>
              <w:pStyle w:val="CellColumn"/>
              <w:jc w:val="right"/>
            </w:pPr>
            <w:r>
              <w:rPr>
                <w:rFonts w:cs="Times New Roman"/>
              </w:rPr>
              <w:t>MZOE/NIP</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8</w:t>
            </w:r>
          </w:p>
        </w:tc>
      </w:tr>
      <w:tr w:rsidR="00505632" w:rsidTr="00AD4E52">
        <w:trPr>
          <w:jc w:val="center"/>
        </w:trPr>
        <w:tc>
          <w:tcPr>
            <w:tcW w:w="2551" w:type="dxa"/>
          </w:tcPr>
          <w:p w:rsidR="00505632" w:rsidRDefault="00505632" w:rsidP="00AD4E52">
            <w:pPr>
              <w:pStyle w:val="CellColumn"/>
              <w:jc w:val="left"/>
            </w:pPr>
            <w:r>
              <w:rPr>
                <w:rFonts w:cs="Times New Roman"/>
              </w:rPr>
              <w:t>Povećanje broja novoizgrađenih manjih infrastrukturnih objekata u zaštićenim područjima, N2000 područjima i područjima EM (info punktovi, poučne staze) (kumulativno)</w:t>
            </w:r>
          </w:p>
        </w:tc>
        <w:tc>
          <w:tcPr>
            <w:tcW w:w="2551" w:type="dxa"/>
          </w:tcPr>
          <w:p w:rsidR="00505632" w:rsidRDefault="00505632" w:rsidP="00AD4E52">
            <w:pPr>
              <w:pStyle w:val="CellColumn"/>
              <w:jc w:val="left"/>
            </w:pPr>
            <w:r>
              <w:rPr>
                <w:rFonts w:cs="Times New Roman"/>
              </w:rPr>
              <w:t>Broj novoizgrađenih manjih infrastrukturnih objekata u zaštićenim područjima, N2000 područjima i područjima EM (info punktovi, poučne staze) (kumulativno) čija je izgradnmja financirana iz NIP-a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MZOE/NIP</w:t>
            </w:r>
          </w:p>
        </w:tc>
        <w:tc>
          <w:tcPr>
            <w:tcW w:w="1020" w:type="dxa"/>
          </w:tcPr>
          <w:p w:rsidR="00505632" w:rsidRDefault="00505632" w:rsidP="00AD4E52">
            <w:pPr>
              <w:pStyle w:val="CellColumn"/>
              <w:jc w:val="right"/>
            </w:pPr>
            <w:r>
              <w:rPr>
                <w:rFonts w:cs="Times New Roman"/>
              </w:rPr>
              <w:t>28</w:t>
            </w:r>
          </w:p>
        </w:tc>
        <w:tc>
          <w:tcPr>
            <w:tcW w:w="1020" w:type="dxa"/>
          </w:tcPr>
          <w:p w:rsidR="00505632" w:rsidRDefault="00505632" w:rsidP="00AD4E52">
            <w:pPr>
              <w:pStyle w:val="CellColumn"/>
              <w:jc w:val="right"/>
            </w:pPr>
            <w:r>
              <w:rPr>
                <w:rFonts w:cs="Times New Roman"/>
              </w:rPr>
              <w:t>34</w:t>
            </w:r>
          </w:p>
        </w:tc>
      </w:tr>
    </w:tbl>
    <w:p w:rsidR="00505632" w:rsidRDefault="00505632" w:rsidP="00505632">
      <w:pPr>
        <w:jc w:val="left"/>
      </w:pPr>
    </w:p>
    <w:p w:rsidR="00505632" w:rsidRDefault="00505632" w:rsidP="00505632">
      <w:pPr>
        <w:pStyle w:val="Heading4"/>
      </w:pPr>
      <w:r>
        <w:t>K779037 OPERATIVNI PROGRAM REGIONALNA KONKURENTNOST PRIORITET 1- CENTAR ZA POSJETITELJE KRASNO</w:t>
      </w:r>
    </w:p>
    <w:tbl>
      <w:tblPr>
        <w:tblStyle w:val="StilTablice"/>
        <w:tblW w:w="10206" w:type="dxa"/>
        <w:jc w:val="center"/>
        <w:tblLook w:val="04A0" w:firstRow="1" w:lastRow="0" w:firstColumn="1" w:lastColumn="0" w:noHBand="0" w:noVBand="1"/>
      </w:tblPr>
      <w:tblGrid>
        <w:gridCol w:w="1881"/>
        <w:gridCol w:w="1963"/>
        <w:gridCol w:w="1974"/>
        <w:gridCol w:w="1967"/>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K779037-OPERATIVNI PROGRAM REGIONALNA KONKURENTNOST PRIORITET 1- CENTAR ZA POSJETITELJE KRASNO</w:t>
            </w:r>
          </w:p>
        </w:tc>
        <w:tc>
          <w:tcPr>
            <w:tcW w:w="2041" w:type="dxa"/>
          </w:tcPr>
          <w:p w:rsidR="00505632" w:rsidRDefault="00505632" w:rsidP="00AD4E52">
            <w:pPr>
              <w:pStyle w:val="CellColumn"/>
              <w:jc w:val="right"/>
            </w:pPr>
            <w:r>
              <w:rPr>
                <w:rFonts w:cs="Times New Roman"/>
              </w:rPr>
              <w:t>461.935</w:t>
            </w:r>
          </w:p>
        </w:tc>
        <w:tc>
          <w:tcPr>
            <w:tcW w:w="2041" w:type="dxa"/>
          </w:tcPr>
          <w:p w:rsidR="00505632" w:rsidRDefault="00505632" w:rsidP="00AD4E52">
            <w:pPr>
              <w:pStyle w:val="CellColumn"/>
              <w:jc w:val="right"/>
            </w:pPr>
            <w:r>
              <w:rPr>
                <w:rFonts w:cs="Times New Roman"/>
              </w:rPr>
              <w:t>29.362.067</w:t>
            </w:r>
          </w:p>
        </w:tc>
        <w:tc>
          <w:tcPr>
            <w:tcW w:w="2041" w:type="dxa"/>
          </w:tcPr>
          <w:p w:rsidR="00505632" w:rsidRDefault="00505632" w:rsidP="00AD4E52">
            <w:pPr>
              <w:pStyle w:val="CellColumn"/>
              <w:jc w:val="right"/>
            </w:pPr>
            <w:r>
              <w:rPr>
                <w:rFonts w:cs="Times New Roman"/>
              </w:rPr>
              <w:t>9.392.016</w:t>
            </w:r>
          </w:p>
        </w:tc>
        <w:tc>
          <w:tcPr>
            <w:tcW w:w="1224" w:type="dxa"/>
          </w:tcPr>
          <w:p w:rsidR="00505632" w:rsidRDefault="00505632" w:rsidP="00AD4E52">
            <w:pPr>
              <w:pStyle w:val="CellColumn"/>
              <w:jc w:val="right"/>
            </w:pPr>
            <w:r>
              <w:rPr>
                <w:rFonts w:cs="Times New Roman"/>
              </w:rPr>
              <w:t>32,0</w:t>
            </w:r>
          </w:p>
        </w:tc>
        <w:tc>
          <w:tcPr>
            <w:tcW w:w="1224" w:type="dxa"/>
          </w:tcPr>
          <w:p w:rsidR="00505632" w:rsidRDefault="00505632" w:rsidP="00AD4E52">
            <w:pPr>
              <w:pStyle w:val="CellColumn"/>
              <w:jc w:val="right"/>
            </w:pPr>
            <w:r>
              <w:rPr>
                <w:rFonts w:cs="Times New Roman"/>
              </w:rPr>
              <w:t>2033,2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Vlada Republike Hrvatske je donijela Odluku o davanje suglasnosti na Odluku Upravnog vijeća Javne ustanove „Nacionalni park Sjeverni Velebit“ o sklapanju Ugovora o dodjeli bespovratnih sredstava za projekte koji su financirani iz strukturnih fondova i kohezijskog fonda EU u sklopu programa 2007.-2013. godine.</w:t>
      </w:r>
    </w:p>
    <w:p w:rsidR="00505632" w:rsidRDefault="00505632" w:rsidP="00505632">
      <w:pPr>
        <w:pStyle w:val="Heading8"/>
        <w:jc w:val="left"/>
      </w:pPr>
      <w:r>
        <w:t>Opis aktivnosti</w:t>
      </w:r>
    </w:p>
    <w:p w:rsidR="00505632" w:rsidRDefault="00505632" w:rsidP="00505632">
      <w:r>
        <w:t>Javna ustanova „Nacionalni park Sjeverni Velebit“ provodi projekt Centar za posjetitelje Krasno, kojim će se izgraditi i opremiti posjetiteljski centar u kojem će se interpretirati prirodne i kulturne vrijednosti Nacionalnog parka Sjeverni Velebit. Projekt je zamišljen kao razvojni projekt kojim će se proširiti ponuda za posjetitelje Nacionalnog parka Sjeverni Velebit i njegova okruženja, te time na višu razinu podići upravljanje Parkom. Projekt je započeo u listopadu 2014. godine, s predviđenim razdobljem provedbe od 24 mjeseca. Zbog kašnjenja s aktivnostima oko same izgradnje, uzrokovanog nizom faktora, došlo je i do vremenskog pomaka u provedbi projektnih aktivnosti i projekta u cjelini, te je rok provedbe projekta dodacima osnovnom ugovoru produžen do 22. srpnja 2017. godine, čime su stvorene pretpostavke da se Centar stavi u potpunu funkciju i ispune svi indikatori projekta predviđeni Operativnim programom i projektom, čime će se stvoriti uvjeti i za ispunjenje širih mrežnih učinaka projekta.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nacionalnih parkova i parkova prirode koji su započeli izgradnju posjetiteljskih centara</w:t>
            </w:r>
          </w:p>
        </w:tc>
        <w:tc>
          <w:tcPr>
            <w:tcW w:w="2551" w:type="dxa"/>
          </w:tcPr>
          <w:p w:rsidR="00505632" w:rsidRDefault="00505632" w:rsidP="00AD4E52">
            <w:pPr>
              <w:pStyle w:val="CellColumn"/>
              <w:jc w:val="left"/>
            </w:pPr>
            <w:r>
              <w:rPr>
                <w:rFonts w:cs="Times New Roman"/>
              </w:rPr>
              <w:t>2015. godine se započelo s izgradnjom Centra za posjetitelje Krasno. U 2016. godini je zgrada izgrađena i rok je da se 22.07.2017. godine opremi i stavi u funkciju posjećivanja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5</w:t>
            </w:r>
          </w:p>
        </w:tc>
      </w:tr>
    </w:tbl>
    <w:p w:rsidR="00505632" w:rsidRDefault="00505632" w:rsidP="00505632">
      <w:pPr>
        <w:jc w:val="left"/>
      </w:pPr>
    </w:p>
    <w:p w:rsidR="00505632" w:rsidRDefault="00505632" w:rsidP="00505632">
      <w:pPr>
        <w:pStyle w:val="Heading2"/>
      </w:pPr>
      <w:r>
        <w:t>07720 Državni hidrometeorološki zavod</w:t>
      </w:r>
    </w:p>
    <w:p w:rsidR="00505632" w:rsidRDefault="00505632" w:rsidP="00505632">
      <w:r>
        <w:t xml:space="preserve">Državni hidrometeorološki zavod (DHMZ) prema Zakonu o sustavu državne uprave (NN 150/2011) djeluje kao Državna upravna organizacija kojom upravlja ravnateljica imenovana od strane Vlade RH. Kao nacionalna meteorološka i hidrološka služba DHMZ je dio svjetske mreže nacionalnih meteoroloških i hidroloških službi pod okriljem Svjetske meteorološke organizacije.      </w:t>
      </w:r>
    </w:p>
    <w:p w:rsidR="00505632" w:rsidRDefault="00505632" w:rsidP="00505632">
      <w:r>
        <w:t>DHMZ je Državna upravna organizacija koja obavlja i znanstveno istraživačku djelatnost u znanstvenom području prirodnih znanosti.</w:t>
      </w:r>
    </w:p>
    <w:tbl>
      <w:tblPr>
        <w:tblStyle w:val="StilTablice"/>
        <w:tblW w:w="10206" w:type="dxa"/>
        <w:jc w:val="center"/>
        <w:tblLook w:val="04A0" w:firstRow="1" w:lastRow="0" w:firstColumn="1" w:lastColumn="0" w:noHBand="0" w:noVBand="1"/>
      </w:tblPr>
      <w:tblGrid>
        <w:gridCol w:w="1831"/>
        <w:gridCol w:w="1984"/>
        <w:gridCol w:w="1984"/>
        <w:gridCol w:w="1984"/>
        <w:gridCol w:w="1208"/>
        <w:gridCol w:w="1215"/>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07720-Državni hidrometeorološki zavod</w:t>
            </w:r>
          </w:p>
        </w:tc>
        <w:tc>
          <w:tcPr>
            <w:tcW w:w="2041" w:type="dxa"/>
            <w:vAlign w:val="top"/>
          </w:tcPr>
          <w:p w:rsidR="00505632" w:rsidRDefault="00505632" w:rsidP="00AD4E52">
            <w:pPr>
              <w:pStyle w:val="CellColumn"/>
              <w:jc w:val="right"/>
            </w:pPr>
            <w:r>
              <w:rPr>
                <w:rFonts w:cs="Times New Roman"/>
              </w:rPr>
              <w:t>113.348.259</w:t>
            </w:r>
          </w:p>
        </w:tc>
        <w:tc>
          <w:tcPr>
            <w:tcW w:w="2041" w:type="dxa"/>
            <w:vAlign w:val="top"/>
          </w:tcPr>
          <w:p w:rsidR="00505632" w:rsidRDefault="00505632" w:rsidP="00AD4E52">
            <w:pPr>
              <w:pStyle w:val="CellColumn"/>
              <w:jc w:val="right"/>
            </w:pPr>
            <w:r>
              <w:rPr>
                <w:rFonts w:cs="Times New Roman"/>
              </w:rPr>
              <w:t>108.731.192</w:t>
            </w:r>
          </w:p>
        </w:tc>
        <w:tc>
          <w:tcPr>
            <w:tcW w:w="2041" w:type="dxa"/>
            <w:vAlign w:val="top"/>
          </w:tcPr>
          <w:p w:rsidR="00505632" w:rsidRDefault="00505632" w:rsidP="00AD4E52">
            <w:pPr>
              <w:pStyle w:val="CellColumn"/>
              <w:jc w:val="right"/>
            </w:pPr>
            <w:r>
              <w:rPr>
                <w:rFonts w:cs="Times New Roman"/>
              </w:rPr>
              <w:t>108.689.876</w:t>
            </w:r>
          </w:p>
        </w:tc>
        <w:tc>
          <w:tcPr>
            <w:tcW w:w="1224" w:type="dxa"/>
            <w:vAlign w:val="top"/>
          </w:tcPr>
          <w:p w:rsidR="00505632" w:rsidRDefault="00505632" w:rsidP="00AD4E52">
            <w:pPr>
              <w:pStyle w:val="CellColumn"/>
              <w:jc w:val="right"/>
            </w:pPr>
            <w:r>
              <w:rPr>
                <w:rFonts w:cs="Times New Roman"/>
              </w:rPr>
              <w:t>100,0</w:t>
            </w:r>
          </w:p>
        </w:tc>
        <w:tc>
          <w:tcPr>
            <w:tcW w:w="1224" w:type="dxa"/>
            <w:vAlign w:val="top"/>
          </w:tcPr>
          <w:p w:rsidR="00505632" w:rsidRDefault="00505632" w:rsidP="00AD4E52">
            <w:pPr>
              <w:pStyle w:val="CellColumn"/>
              <w:jc w:val="right"/>
            </w:pPr>
            <w:r>
              <w:rPr>
                <w:rFonts w:cs="Times New Roman"/>
              </w:rPr>
              <w:t>95,9</w:t>
            </w:r>
          </w:p>
        </w:tc>
      </w:tr>
      <w:tr w:rsidR="00505632" w:rsidTr="00AD4E52">
        <w:trPr>
          <w:jc w:val="center"/>
        </w:trPr>
        <w:tc>
          <w:tcPr>
            <w:tcW w:w="1632" w:type="dxa"/>
          </w:tcPr>
          <w:p w:rsidR="00505632" w:rsidRDefault="00505632" w:rsidP="00AD4E52">
            <w:pPr>
              <w:jc w:val="left"/>
            </w:pPr>
            <w:r>
              <w:t>3407-METEOROLOGIJA, HIDROLOGIJA I KAKVOĆA ZRAKA</w:t>
            </w:r>
          </w:p>
        </w:tc>
        <w:tc>
          <w:tcPr>
            <w:tcW w:w="2041" w:type="dxa"/>
          </w:tcPr>
          <w:p w:rsidR="00505632" w:rsidRDefault="00505632" w:rsidP="00AD4E52">
            <w:pPr>
              <w:jc w:val="right"/>
            </w:pPr>
            <w:r>
              <w:t>113.348.259</w:t>
            </w:r>
          </w:p>
        </w:tc>
        <w:tc>
          <w:tcPr>
            <w:tcW w:w="2041" w:type="dxa"/>
          </w:tcPr>
          <w:p w:rsidR="00505632" w:rsidRDefault="00505632" w:rsidP="00AD4E52">
            <w:pPr>
              <w:jc w:val="right"/>
            </w:pPr>
            <w:r>
              <w:t>108.731.192</w:t>
            </w:r>
          </w:p>
        </w:tc>
        <w:tc>
          <w:tcPr>
            <w:tcW w:w="2041" w:type="dxa"/>
          </w:tcPr>
          <w:p w:rsidR="00505632" w:rsidRDefault="00505632" w:rsidP="00AD4E52">
            <w:pPr>
              <w:jc w:val="right"/>
            </w:pPr>
            <w:r>
              <w:t>108.689.876</w:t>
            </w:r>
          </w:p>
        </w:tc>
        <w:tc>
          <w:tcPr>
            <w:tcW w:w="1224" w:type="dxa"/>
          </w:tcPr>
          <w:p w:rsidR="00505632" w:rsidRDefault="00505632" w:rsidP="00AD4E52">
            <w:pPr>
              <w:jc w:val="right"/>
            </w:pPr>
            <w:r>
              <w:t>100,0</w:t>
            </w:r>
          </w:p>
        </w:tc>
        <w:tc>
          <w:tcPr>
            <w:tcW w:w="1224" w:type="dxa"/>
          </w:tcPr>
          <w:p w:rsidR="00505632" w:rsidRDefault="00505632" w:rsidP="00AD4E52">
            <w:pPr>
              <w:jc w:val="right"/>
            </w:pPr>
            <w:r>
              <w:t>95,9</w:t>
            </w:r>
          </w:p>
        </w:tc>
      </w:tr>
    </w:tbl>
    <w:p w:rsidR="00505632" w:rsidRDefault="00505632" w:rsidP="00505632">
      <w:pPr>
        <w:jc w:val="left"/>
      </w:pPr>
    </w:p>
    <w:p w:rsidR="00505632" w:rsidRDefault="00505632" w:rsidP="00505632">
      <w:pPr>
        <w:pStyle w:val="Heading3"/>
      </w:pPr>
      <w:r>
        <w:rPr>
          <w:rFonts w:cs="Times New Roman"/>
        </w:rPr>
        <w:t>3407 METEOROLOGIJA, HIDROLOGIJA I KAKVOĆA ZRAKA</w:t>
      </w:r>
    </w:p>
    <w:tbl>
      <w:tblPr>
        <w:tblStyle w:val="StilTablice"/>
        <w:tblW w:w="10206" w:type="dxa"/>
        <w:jc w:val="center"/>
        <w:tblLook w:val="04A0" w:firstRow="1" w:lastRow="0" w:firstColumn="1" w:lastColumn="0" w:noHBand="0" w:noVBand="1"/>
      </w:tblPr>
      <w:tblGrid>
        <w:gridCol w:w="1831"/>
        <w:gridCol w:w="1984"/>
        <w:gridCol w:w="1984"/>
        <w:gridCol w:w="1984"/>
        <w:gridCol w:w="1208"/>
        <w:gridCol w:w="1215"/>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3407-METEOROLOGIJA, HIDROLOGIJA I KAKVOĆA ZRAKA</w:t>
            </w:r>
          </w:p>
        </w:tc>
        <w:tc>
          <w:tcPr>
            <w:tcW w:w="2041" w:type="dxa"/>
          </w:tcPr>
          <w:p w:rsidR="00505632" w:rsidRDefault="00505632" w:rsidP="00AD4E52">
            <w:pPr>
              <w:pStyle w:val="CellColumn"/>
              <w:jc w:val="right"/>
            </w:pPr>
            <w:r>
              <w:rPr>
                <w:rFonts w:cs="Times New Roman"/>
              </w:rPr>
              <w:t>113.348.259</w:t>
            </w:r>
          </w:p>
        </w:tc>
        <w:tc>
          <w:tcPr>
            <w:tcW w:w="2041" w:type="dxa"/>
          </w:tcPr>
          <w:p w:rsidR="00505632" w:rsidRDefault="00505632" w:rsidP="00AD4E52">
            <w:pPr>
              <w:pStyle w:val="CellColumn"/>
              <w:jc w:val="right"/>
            </w:pPr>
            <w:r>
              <w:rPr>
                <w:rFonts w:cs="Times New Roman"/>
              </w:rPr>
              <w:t>108.731.192</w:t>
            </w:r>
          </w:p>
        </w:tc>
        <w:tc>
          <w:tcPr>
            <w:tcW w:w="2041" w:type="dxa"/>
          </w:tcPr>
          <w:p w:rsidR="00505632" w:rsidRDefault="00505632" w:rsidP="00AD4E52">
            <w:pPr>
              <w:pStyle w:val="CellColumn"/>
              <w:jc w:val="right"/>
            </w:pPr>
            <w:r>
              <w:rPr>
                <w:rFonts w:cs="Times New Roman"/>
              </w:rPr>
              <w:t>108.689.876</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95,9</w:t>
            </w:r>
          </w:p>
        </w:tc>
      </w:tr>
    </w:tbl>
    <w:p w:rsidR="00505632" w:rsidRDefault="00505632" w:rsidP="00505632">
      <w:pPr>
        <w:jc w:val="left"/>
      </w:pPr>
    </w:p>
    <w:p w:rsidR="00505632" w:rsidRDefault="00505632" w:rsidP="00505632">
      <w:r>
        <w:t xml:space="preserve">Program  proizlazi iz Strateškog plana DHMZ-a, Programa Vlade RH te Strategije Svjetske  meteorološke organizacije 2012.-2015. kao i strategija organizacija europske meteorološke infrastrukture: EUMETSAT-a, ECMWF-a, EUMETNET-a, ECOMET-a. </w:t>
      </w:r>
    </w:p>
    <w:p w:rsidR="00505632" w:rsidRDefault="00505632" w:rsidP="00505632">
      <w:r>
        <w:t xml:space="preserve"> </w:t>
      </w:r>
    </w:p>
    <w:p w:rsidR="00505632" w:rsidRDefault="00505632" w:rsidP="00505632">
      <w:r>
        <w:t xml:space="preserve">Obuhvaća stručne poslove – izrade analiza, upozorenja, prognoza i ekspertiza te raznih studija i elaborata vezanih za vrijeme, klimu, vodu i zrak; primijenjenih znanstvenih istraživanja; održavanja i razvoja nacionalne infrastrukture (meteorološke, hidrološke i infrastrukture za praćenje kvalitete zraka); motrenja te održavanja i razvoja nacionalne arhive i baza meteoroloških, hidroloških i podataka o kvaliteti zraka.   </w:t>
      </w:r>
    </w:p>
    <w:p w:rsidR="00505632" w:rsidRDefault="00505632" w:rsidP="00505632">
      <w:r>
        <w:t xml:space="preserve">Zakonske i druge pravne osnove </w:t>
      </w:r>
    </w:p>
    <w:p w:rsidR="00505632" w:rsidRDefault="00505632" w:rsidP="00505632">
      <w:pPr>
        <w:pStyle w:val="ListParagraph"/>
        <w:numPr>
          <w:ilvl w:val="0"/>
          <w:numId w:val="8"/>
        </w:numPr>
      </w:pPr>
      <w:r>
        <w:t xml:space="preserve">Zakon o obavljanju poslova hidrometeorološke službe RH (NN 14/78) </w:t>
      </w:r>
    </w:p>
    <w:p w:rsidR="00505632" w:rsidRDefault="00505632" w:rsidP="00505632">
      <w:pPr>
        <w:pStyle w:val="ListParagraph"/>
        <w:numPr>
          <w:ilvl w:val="0"/>
          <w:numId w:val="8"/>
        </w:numPr>
      </w:pPr>
      <w:r>
        <w:t xml:space="preserve">Zakon o vodama (NN 153/2009); Državni plan obrane od poplava (NN 84/2010) </w:t>
      </w:r>
    </w:p>
    <w:p w:rsidR="00505632" w:rsidRDefault="00505632" w:rsidP="00505632">
      <w:pPr>
        <w:pStyle w:val="ListParagraph"/>
        <w:numPr>
          <w:ilvl w:val="0"/>
          <w:numId w:val="8"/>
        </w:numPr>
      </w:pPr>
      <w:r>
        <w:t xml:space="preserve">Zakon o zaštiti zraka (NN 130/11, 47/14)   </w:t>
      </w:r>
    </w:p>
    <w:p w:rsidR="00505632" w:rsidRDefault="00505632" w:rsidP="00505632">
      <w:pPr>
        <w:pStyle w:val="ListParagraph"/>
        <w:numPr>
          <w:ilvl w:val="0"/>
          <w:numId w:val="8"/>
        </w:numPr>
      </w:pPr>
      <w:r>
        <w:t xml:space="preserve">Zakon o sustavu obrane od tuče (NN 53/01) </w:t>
      </w:r>
    </w:p>
    <w:p w:rsidR="00505632" w:rsidRDefault="00505632" w:rsidP="00505632">
      <w:pPr>
        <w:pStyle w:val="ListParagraph"/>
        <w:numPr>
          <w:ilvl w:val="0"/>
          <w:numId w:val="8"/>
        </w:numPr>
      </w:pPr>
      <w:r>
        <w:t xml:space="preserve">Zakon o arhivskom gradivu i arhivima (NN 105/97, 64/00, 65/09) </w:t>
      </w:r>
    </w:p>
    <w:p w:rsidR="00505632" w:rsidRDefault="00505632" w:rsidP="00505632">
      <w:pPr>
        <w:pStyle w:val="ListParagraph"/>
        <w:numPr>
          <w:ilvl w:val="0"/>
          <w:numId w:val="8"/>
        </w:numPr>
      </w:pPr>
      <w:r>
        <w:t xml:space="preserve">Zakon o potvrđivanju Ugovora između Vlade RH i EUMETSAT-a (26.10.2006.) </w:t>
      </w:r>
    </w:p>
    <w:p w:rsidR="00505632" w:rsidRDefault="00505632" w:rsidP="00505632">
      <w:pPr>
        <w:pStyle w:val="ListParagraph"/>
        <w:numPr>
          <w:ilvl w:val="0"/>
          <w:numId w:val="8"/>
        </w:numPr>
      </w:pPr>
      <w:r>
        <w:t xml:space="preserve">Sporazum o pristupanju RH Konvenciji ECMWF-a (8.11.2011.) </w:t>
      </w:r>
    </w:p>
    <w:p w:rsidR="00505632" w:rsidRDefault="00505632" w:rsidP="00505632">
      <w:pPr>
        <w:pStyle w:val="ListParagraph"/>
        <w:numPr>
          <w:ilvl w:val="0"/>
          <w:numId w:val="8"/>
        </w:numPr>
      </w:pPr>
      <w:r>
        <w:t xml:space="preserve">Konvencija o Svjetskoj meteorološkoj organizaciji (8.11.1992.)   </w:t>
      </w:r>
    </w:p>
    <w:p w:rsidR="00505632" w:rsidRDefault="00505632" w:rsidP="00505632">
      <w:pPr>
        <w:pStyle w:val="ListParagraph"/>
        <w:numPr>
          <w:ilvl w:val="0"/>
          <w:numId w:val="8"/>
        </w:numPr>
      </w:pPr>
      <w:r>
        <w:t xml:space="preserve">Konvencija o suradnji na sigurnosti zračne plovidbe (NN-MU 14/96)   </w:t>
      </w:r>
    </w:p>
    <w:p w:rsidR="00505632" w:rsidRDefault="00505632" w:rsidP="00505632">
      <w:pPr>
        <w:pStyle w:val="ListParagraph"/>
        <w:numPr>
          <w:ilvl w:val="0"/>
          <w:numId w:val="8"/>
        </w:numPr>
      </w:pPr>
      <w:r>
        <w:t xml:space="preserve">Konvencija o režimu plovidbe na Dunavu (NN-MU 18/98)   </w:t>
      </w:r>
    </w:p>
    <w:p w:rsidR="00505632" w:rsidRDefault="00505632" w:rsidP="00505632">
      <w:pPr>
        <w:pStyle w:val="ListParagraph"/>
        <w:numPr>
          <w:ilvl w:val="0"/>
          <w:numId w:val="8"/>
        </w:numPr>
      </w:pPr>
      <w:r>
        <w:t xml:space="preserve">Konvencija o zaštiti ljudskih života na moru (NN-MU 13/99)   </w:t>
      </w:r>
    </w:p>
    <w:p w:rsidR="00505632" w:rsidRDefault="00505632" w:rsidP="00505632">
      <w:pPr>
        <w:pStyle w:val="ListParagraph"/>
        <w:numPr>
          <w:ilvl w:val="0"/>
          <w:numId w:val="8"/>
        </w:numPr>
      </w:pPr>
      <w:r>
        <w:t xml:space="preserve">Konvencija o zaštiti Sredozemnog mora od onečišćenja (NN-MU 17/98)   </w:t>
      </w:r>
    </w:p>
    <w:p w:rsidR="00505632" w:rsidRDefault="00505632" w:rsidP="00505632">
      <w:pPr>
        <w:pStyle w:val="ListParagraph"/>
        <w:numPr>
          <w:ilvl w:val="0"/>
          <w:numId w:val="8"/>
        </w:numPr>
      </w:pPr>
      <w:r>
        <w:t xml:space="preserve">Konvencija o promjeni klime (NN-MU 2/96)   </w:t>
      </w:r>
    </w:p>
    <w:p w:rsidR="00505632" w:rsidRDefault="00505632" w:rsidP="00505632">
      <w:pPr>
        <w:pStyle w:val="ListParagraph"/>
        <w:numPr>
          <w:ilvl w:val="0"/>
          <w:numId w:val="8"/>
        </w:numPr>
      </w:pPr>
      <w:r>
        <w:t xml:space="preserve">Konvencija o traganju i spašavanju na moru (NN-MU 14/96)   </w:t>
      </w:r>
    </w:p>
    <w:p w:rsidR="00505632" w:rsidRDefault="00505632" w:rsidP="00505632">
      <w:pPr>
        <w:pStyle w:val="ListParagraph"/>
        <w:numPr>
          <w:ilvl w:val="0"/>
          <w:numId w:val="8"/>
        </w:numPr>
      </w:pPr>
      <w:r>
        <w:t xml:space="preserve">Konvencija o nuklearnoj sigurnosti (NN-MU 13/95) </w:t>
      </w:r>
    </w:p>
    <w:p w:rsidR="00505632" w:rsidRDefault="00505632" w:rsidP="00505632">
      <w:pPr>
        <w:pStyle w:val="ListParagraph"/>
        <w:numPr>
          <w:ilvl w:val="0"/>
          <w:numId w:val="8"/>
        </w:numPr>
      </w:pPr>
      <w:r>
        <w:t xml:space="preserve">Konvencija o praćenju prekograničnog onečišćenja zraka (NN-MU 17/98)   </w:t>
      </w:r>
    </w:p>
    <w:p w:rsidR="00505632" w:rsidRDefault="00505632" w:rsidP="00505632">
      <w:pPr>
        <w:pStyle w:val="ListParagraph"/>
        <w:numPr>
          <w:ilvl w:val="0"/>
          <w:numId w:val="8"/>
        </w:numPr>
      </w:pPr>
      <w:r>
        <w:t xml:space="preserve">Konvencija o dalekosežnom prekograničnom onečišćenju zraka LRTAP i   </w:t>
      </w:r>
    </w:p>
    <w:p w:rsidR="00505632" w:rsidRDefault="00505632" w:rsidP="00505632">
      <w:pPr>
        <w:pStyle w:val="ListParagraph"/>
        <w:numPr>
          <w:ilvl w:val="0"/>
          <w:numId w:val="8"/>
        </w:numPr>
      </w:pPr>
      <w:r>
        <w:t>Gothenburški  protokol o smanjenju zakiseljavanja, eutrofikacije i onečišćavanja prizemnim ozonom</w:t>
      </w:r>
    </w:p>
    <w:p w:rsidR="00505632" w:rsidRDefault="00505632" w:rsidP="00505632">
      <w:pPr>
        <w:pStyle w:val="Heading8"/>
        <w:jc w:val="left"/>
      </w:pPr>
      <w:r>
        <w:t>Cilj 1. Osigurana podrška održivom razvoju, sigurnosti, prilagodbi klimatskim promjenama i upravljanju rizicima od prirodnih nepogoda i katastrofa kao i ekoloških nesreća i katastrofa</w:t>
      </w:r>
    </w:p>
    <w:p w:rsidR="00505632" w:rsidRDefault="00505632" w:rsidP="00505632">
      <w:pPr>
        <w:pStyle w:val="Heading8"/>
        <w:jc w:val="left"/>
      </w:pPr>
      <w:r>
        <w:t>Opis provedbe cilja programa</w:t>
      </w:r>
    </w:p>
    <w:p w:rsidR="00505632" w:rsidRDefault="00505632" w:rsidP="00505632">
      <w:r>
        <w:t xml:space="preserve">Globalna promjena klime rezultira pojavom sve češćih i jačih vremenskih i hidroloških ekstrema, a DHMZ svojim intelektualnim i tehničkim resursima osigurava pravodobne, pouzdane i učinkovite informacije koje omogućavaju prilagodbu na spomenute promjene. </w:t>
      </w:r>
    </w:p>
    <w:p w:rsidR="00505632" w:rsidRDefault="00505632" w:rsidP="00505632">
      <w:r>
        <w:t xml:space="preserve">Kontinuirano se radi na razvoju i uspostavi integriranog informacijskog sustava za praćenje i prognozu stanja atmosfere i stanja voda, od vrlo kratkoročne prognoze vremena i voda do dugoročnih klimatskih scenarija (od sezonskih do stoljetnih), a da bi navedeni sustav bio učinkovit potrebni su kvalitetni i opsežni meteorološki i hidrološki podaci. Slijedom navedenog, pravodobnim upozorenjem na vremenske, klimatske i hidrološke ekstreme (olujno nevrijeme, olujni i orkanski vjetar, hladni i toplinski valovi, poplave, suše i dr.) značajno su smanjene negativne posljedice prirodnih nepogoda i katastrofa kao što su šumski požari, narušavanje zdravlja ljudi, nedostatna proizvodnja hrane, prekid prometa, ugrožavanje turizma i sl. </w:t>
      </w:r>
    </w:p>
    <w:p w:rsidR="00505632" w:rsidRDefault="00505632" w:rsidP="00505632">
      <w:r>
        <w:t>Također, DHMZ osigurava praćenje kvalitete zraka i proslijeđivanje odgovarajućih podataka o kvaliteti zraka, sukladno postojećim direktivama Europske unije, a važnu ulogu ima i u praćenju širenja opasnih tvari kroz atmosferu u slučaju ekoloških katastrofa.</w:t>
      </w:r>
    </w:p>
    <w:p w:rsidR="00505632" w:rsidRDefault="00505632" w:rsidP="00505632">
      <w:pPr>
        <w:pStyle w:val="Heading8"/>
        <w:jc w:val="left"/>
      </w:pPr>
      <w:r>
        <w:t xml:space="preserve">Cilj 2. Osigurana odgovarajuća kvaliteta i količina podataka o vremenu, klimi, stanju voda i kvaliteti zraka  </w:t>
      </w:r>
    </w:p>
    <w:p w:rsidR="00505632" w:rsidRDefault="00505632" w:rsidP="00505632">
      <w:pPr>
        <w:pStyle w:val="Heading8"/>
        <w:jc w:val="left"/>
      </w:pPr>
      <w:r>
        <w:t>Opis provedbe cilja programa</w:t>
      </w:r>
    </w:p>
    <w:p w:rsidR="00505632" w:rsidRDefault="00505632" w:rsidP="00505632">
      <w:r>
        <w:t xml:space="preserve">Podaci o vremenu, klimi, stanju voda i kvaliteti zraka, koje DHMZ kontinuirano osigurava, koriste se kao podloga za izradu važnih informacija koje služe zaštiti života i dobara te održivom razvoju raznih gospodarskih grana Republike Hrvatske.  </w:t>
      </w:r>
    </w:p>
    <w:p w:rsidR="00505632" w:rsidRDefault="00505632" w:rsidP="00505632">
      <w:r>
        <w:t xml:space="preserve">Provodi se postupna modernizacija meteorološkog motriteljskog sustava povećanjem mreže automatskih meteoroloških postaja s elektroničkim osjetnicima i digitalnim zapisom. Ipak, kako bi se osigurao kontinuitet nizova meteoroloških podataka, osobito za potrebe praćenja i prognoze klime, potrebno je na određenom broju referentnih meteoroloških postaja zadržati konvencionalan način motrenja uključujući i mjerenja konvencionalnim instrumentima.  </w:t>
      </w:r>
    </w:p>
    <w:p w:rsidR="00505632" w:rsidRDefault="00505632" w:rsidP="00505632">
      <w:r>
        <w:t xml:space="preserve">Tijekom godine, DHMZ je radio na obnovi postojećih mjernih sustava te nabavi novih uređaja koji su bili neophodni za postupnu modernizaciju hidrološkog motriteljskog sustava, a cilj je uspostava i umreženje ukupno 300 automatskih postaja za praćenje stanja površinskih voda, uspostava 15 automatskih postaja za praćenje stanja podzemnih voda te nabava 5 stacionarnih uređaja.  </w:t>
      </w:r>
    </w:p>
    <w:p w:rsidR="00505632" w:rsidRDefault="00505632" w:rsidP="00505632">
      <w:r>
        <w:t>Također, započela je i provedba modernizacije motriteljskog sustava za praćenje kvalitete zraka uvođenjem novih automatskih postaja, zamjenom pojedinih mjernih uređaja i nabavom novih analitičkih uređaja za kemijski laboratorij u svrhu ispunjenja obveza koje proizlaze iz EU propisa i međunarodnih konvencija iz područja kvalitete zraka kojih je RH potpisnica.</w:t>
      </w:r>
    </w:p>
    <w:p w:rsidR="00505632" w:rsidRDefault="00505632" w:rsidP="00505632">
      <w:pPr>
        <w:pStyle w:val="Heading8"/>
        <w:jc w:val="left"/>
      </w:pPr>
      <w:r>
        <w:t xml:space="preserve">Cilj 3. Osigurana pouzdana i pravovremena upozorenja na prirodne nepogode i katastrofe te podrška ublažavanju posljedica ekoloških nesreća i katastrofa  </w:t>
      </w:r>
    </w:p>
    <w:p w:rsidR="00505632" w:rsidRDefault="00505632" w:rsidP="00505632">
      <w:pPr>
        <w:pStyle w:val="Heading8"/>
        <w:jc w:val="left"/>
      </w:pPr>
      <w:r>
        <w:t>Opis provedbe cilja programa</w:t>
      </w:r>
    </w:p>
    <w:p w:rsidR="00505632" w:rsidRDefault="00505632" w:rsidP="00505632">
      <w:r>
        <w:t xml:space="preserve">DHMZ kontinuirano upozorava i obavještava državne institucije (Vladu, ministarstva, krizni stožer),  a od 2006. godine i Državnu upravu za zaštitu i spašavanje, na moguće opasnosti od vremenskih nepogoda koje mogu ugroziti ljude i imovinu, odnosno negativno utjecati na rad javnih i državnih službi. Ujedno, upozorenja na opasne vremenske pojave koja izdaje DHMZ, jedine su službeno važeće informacije u izvanrednim okolnostima. </w:t>
      </w:r>
    </w:p>
    <w:p w:rsidR="00505632" w:rsidRDefault="00505632" w:rsidP="00505632">
      <w:r>
        <w:t xml:space="preserve">Povećana preciznost, pouzdanost i pravodobnost upozorenja na opasne vremenske i hidrološke pojave te ekološke nesreće kao što su oluje, suše, hladni i topli valovi, orkanski vjetar, poplave, požari te onečišćenja zraka i dr., koja izdaje DHMZ, podloga su za planiranje preventivnih aktivnosti te akcija spašavanja života i materijalnih dobara. </w:t>
      </w:r>
    </w:p>
    <w:p w:rsidR="00505632" w:rsidRDefault="00505632" w:rsidP="00505632">
      <w:r>
        <w:t xml:space="preserve">Također, kvalitetna, pravovremena i pouzdana meteorološka informacija, temeljena na najnovijim znanstvenim i stručnim dostignućima i tehnologijama od velikog je značaja pri donošenju strateških odluka u društvu i u raznim granama gospodarstva, proizvodnji hrane, te zaštiti života i okoliša koji je sve češće izložen povećanom riziku od katastrofa u sklopu nastalih klimatskih promjena.  </w:t>
      </w:r>
    </w:p>
    <w:p w:rsidR="00505632" w:rsidRDefault="00505632" w:rsidP="00505632">
      <w:r>
        <w:t xml:space="preserve">U svrhu ostvarenja postavljenog cilja, redovni operativni rad prognostičara odvija se u dnevnim smjenama s početkom u ranim jutarnjim satima i završetkom navečer, ali se u posebnim slučajevima i izvanrednim vremenskim stanjima može prema potrebi proširiti i na noćne sate. </w:t>
      </w:r>
    </w:p>
    <w:p w:rsidR="00505632" w:rsidRDefault="00505632" w:rsidP="00505632">
      <w:r>
        <w:t xml:space="preserve">Uspostava operativnog sustava ranog upozoravanja (early warning system) o izvanrednim vremenskim pojavama i elementarnim nepogodama rezultirala bi općom društvenom koristi i uštedama pa stoga DHMZ stvara preduvjete za uspostavu 24 satne službe operativnog nadziranja vremena i sustava upozoravanja na opasne vremenske pojave. Navedeno je moguće ostvariti jedino uz zapošljavanje novih VSS kadrova i popunjavanjem preostalih praznih radnih mjesta u razdoblju 2015. - 2020.  </w:t>
      </w:r>
    </w:p>
    <w:p w:rsidR="00505632" w:rsidRDefault="00505632" w:rsidP="00505632">
      <w:r>
        <w:t>Praćenje klime i klimatskih promjena na području Hrvatske provodi se u odnosu na europske i svjetske prilike. Vremensko-prostorne varijabilnosti intenziteta, učestalosti i trajanja klimatskih parametara i kombiniranih veličina prikazuju se u obliku atlasa, klimatografija, te studija i prikaza za korisnike.</w:t>
      </w:r>
    </w:p>
    <w:p w:rsidR="00505632" w:rsidRDefault="00505632" w:rsidP="00505632">
      <w:pPr>
        <w:pStyle w:val="Heading8"/>
        <w:jc w:val="left"/>
      </w:pPr>
      <w:r>
        <w:t xml:space="preserve">Cilj 4. Učinkovito održavna i integrirana baza i arhiv podataka o vremenu, klimi, te  stanju voda i kvaliteti zraka, uključujući i odgovarajuću sigurnost i dostupnost </w:t>
      </w:r>
    </w:p>
    <w:p w:rsidR="00505632" w:rsidRDefault="00505632" w:rsidP="00505632">
      <w:pPr>
        <w:pStyle w:val="Heading8"/>
        <w:jc w:val="left"/>
      </w:pPr>
      <w:r>
        <w:t>Opis provedbe cilja programa</w:t>
      </w:r>
    </w:p>
    <w:p w:rsidR="00505632" w:rsidRDefault="00505632" w:rsidP="00505632">
      <w:r>
        <w:t>Motritelji DHMZ-a svakodnevno (24 sata/365 dana) prikupljaju meteorološke, hidrološke i podatke o kvaliteti zraka te ih obrađuju, distribuiraju za daljnje potrebe i arhiviraju, a na taj način ujedno i održavaju te razvijaju bazu podataka koja predstavlja nacionalno blago RH.</w:t>
      </w:r>
    </w:p>
    <w:p w:rsidR="00505632" w:rsidRDefault="00505632" w:rsidP="00505632">
      <w:pPr>
        <w:pStyle w:val="Heading8"/>
        <w:jc w:val="left"/>
      </w:pPr>
      <w:r>
        <w:t xml:space="preserve">Cilj 5. Osigurana međunarodna suradnja s međunarodnim strukturama WMO,  ECMWF, EUMETSAT, ECOMET, EUMETNET, ALADIN/LACE, EMEP u razmjeni  podataka te podršci operativne uloge DHMZ-a i međunarodnog položaja Republike  Hrvatske </w:t>
      </w:r>
    </w:p>
    <w:p w:rsidR="00505632" w:rsidRDefault="00505632" w:rsidP="00505632">
      <w:pPr>
        <w:pStyle w:val="Heading8"/>
        <w:jc w:val="left"/>
      </w:pPr>
      <w:r>
        <w:t>Opis provedbe cilja programa</w:t>
      </w:r>
    </w:p>
    <w:p w:rsidR="00505632" w:rsidRDefault="00505632" w:rsidP="00505632">
      <w:r>
        <w:t xml:space="preserve">Kao stručno i operativno tijelo, ali i znanstveno-istraživačko i upravno nacionalno tijelo s međunarodnim obavezama, DHMZ u radu i upravljanju primjenjuje standarde Svjetske meteorološke organizacije (Ženeva), Europske unije i standarde koje postavlja Vlada RH. </w:t>
      </w:r>
    </w:p>
    <w:p w:rsidR="00505632" w:rsidRDefault="00505632" w:rsidP="00505632">
      <w:r>
        <w:t xml:space="preserve">DHMZ kao nacionalno  središte izvrsnosti i znanja u području meteorologije i klimatologije kontinuirano brine o znanstvenom i stručnom usavršavanju svojih djelatnika, koje se provodi  sudjelovanjem na različitim radionicama i školama,  studijskim boravcima na znanstvenim i stručnim ustanovama u inozemstvu te pohađanjem doktorskih studija.  </w:t>
      </w:r>
    </w:p>
    <w:p w:rsidR="00505632" w:rsidRDefault="00505632" w:rsidP="00505632">
      <w:r>
        <w:t>U sklopu znanstvenih i razvojnih istraživanja naši djelatnici ravnopravno surađuju s inozemnim znanstvenicima na nizu projekata i programa. Težište je stavljeno na istraživanja specifičnosti lokalnih i regionalnih atmosferskih procesa u svrhu unapređenja metoda njihovog modeliranja i točnije prognoze. Rezultati istraživanja i praćenja klime, dijagnosticiranja klimatskih promjena i varijabilnosti, kao i procjena stanja buduće klime nalaze široku primjenu u planiranju raznih gospodarskih i društvenih grana. Značajan broj istraživačkih projekata naših znanstvenika dio je međunarodnih istraživačkih i razvojnih projekata (npr. ALADIN, RC LACE), kao i programa u okviru EUMETNET-a (The Network of European National Meteorological Services), EUMETSAT-a (The European Organisation for the Exploitation of Meteorological Satellites) i COST-a (European Cooperation in the field of Scientific and Technical Research).</w:t>
      </w:r>
    </w:p>
    <w:p w:rsidR="00505632" w:rsidRDefault="00505632" w:rsidP="00505632">
      <w:pPr>
        <w:pStyle w:val="Heading8"/>
        <w:jc w:val="left"/>
      </w:pPr>
      <w:r>
        <w:t>Cilj 6. Osigurano učinkovito upravljanje cjelokupnim sustavom DHMZ-a, osvješćivanje i informiranje donositelja odluka, partnera, korisnika i šire javnosti</w:t>
      </w:r>
    </w:p>
    <w:p w:rsidR="00505632" w:rsidRDefault="00505632" w:rsidP="00505632">
      <w:pPr>
        <w:pStyle w:val="Heading8"/>
        <w:jc w:val="left"/>
      </w:pPr>
      <w:r>
        <w:t>Opis provedbe cilja programa</w:t>
      </w:r>
    </w:p>
    <w:p w:rsidR="00505632" w:rsidRDefault="00505632" w:rsidP="00505632">
      <w:r>
        <w:t>Na sve veće zahtjeve iz domene upravljanja odgovara se ulaganjem u znanje, vještine i dopunu timova, tj. intelektualni kapital. Budući je upravljanje (rad s drugima i pomoću drugih, ostvarivanje ciljeva, učinkovitost i djelotvornost, racionalno korištenje ograničenih resursa, uvođenje promjena) presudno za ostvarivanje svih drugih ciljeva DHMZ-a, u 2016. godini intenzivno se radilo na poboljšanju upravljanja javnom nabavom, financijskom planiranju, upravljanju dokumentacijom i arhivom te pripremi projekata za fondove Europske Unije. Također, znatno je unaprijeđeno informiranje, broj i dostupnost informacija, a s time i razumijevanje donositelja odluka i građana o povezanosti života i zdravlja okoliša te razvoja gospodarstva s vremenom, vodom, klimom i kvalitetom zraka.</w:t>
      </w:r>
    </w:p>
    <w:p w:rsidR="00505632" w:rsidRDefault="00505632" w:rsidP="00505632">
      <w:pPr>
        <w:pStyle w:val="Heading8"/>
        <w:jc w:val="left"/>
      </w:pPr>
      <w:r>
        <w:t>Cilj 7. Podržan održivi gospodarski rast i razvoj</w:t>
      </w:r>
    </w:p>
    <w:p w:rsidR="00505632" w:rsidRDefault="00505632" w:rsidP="00505632">
      <w:pPr>
        <w:pStyle w:val="Heading8"/>
        <w:jc w:val="left"/>
      </w:pPr>
      <w:r>
        <w:t>Opis provedbe cilja programa</w:t>
      </w:r>
    </w:p>
    <w:p w:rsidR="00505632" w:rsidRDefault="00505632" w:rsidP="00505632">
      <w:r>
        <w:t>DHMZ kontinuirano nastoji povećati količinu, kvalitetu i pouzdanosti meteoroloških informacija u cilju podržavanja održivog gospodarskog rasta i razvoja Republike Hrvatske. Također, pripremaju se i izdaju posebna izvješća o vremenu, na temelju stalnih i povremenih ugovornih obveza te posebnih zahtjeva korisnika iz gospodarstva i drugih djelatnosti društvenog i javnog života Republike Hrvatske čime je izražena sposobnost DHMZ da osigura i produkte prilagođene posebnim potrebama korisnika.</w:t>
      </w:r>
    </w:p>
    <w:p w:rsidR="00505632" w:rsidRDefault="00505632" w:rsidP="00505632">
      <w:pPr>
        <w:pStyle w:val="Heading8"/>
        <w:jc w:val="left"/>
      </w:pPr>
      <w:r>
        <w:t xml:space="preserve">Cilj 8. Osigurana odgovarajuća kvaliteta i količina specifičnih analiza i prognoza informacija o kvaliteti zraka za donositelje odluka </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1988"/>
        <w:gridCol w:w="2129"/>
        <w:gridCol w:w="1325"/>
        <w:gridCol w:w="1270"/>
        <w:gridCol w:w="954"/>
        <w:gridCol w:w="1270"/>
        <w:gridCol w:w="127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moderniziranih prizemnih (kopnenih i maritimnih) meteoroloških postaja, visinskih meteoroloških postaja (radiosondaže, windprofileri i lidari) te broj meteoroloških radara</w:t>
            </w:r>
          </w:p>
        </w:tc>
        <w:tc>
          <w:tcPr>
            <w:tcW w:w="2551" w:type="dxa"/>
          </w:tcPr>
          <w:p w:rsidR="00505632" w:rsidRDefault="00505632" w:rsidP="00AD4E52">
            <w:pPr>
              <w:pStyle w:val="CellColumn"/>
              <w:jc w:val="left"/>
            </w:pPr>
            <w:r>
              <w:rPr>
                <w:rFonts w:cs="Times New Roman"/>
              </w:rPr>
              <w:t>Modernizacija meteorološkog motriteljskog sustava uključuje obnovu postojećih mjernih sustava ili zamjenu novim</w:t>
            </w:r>
          </w:p>
        </w:tc>
        <w:tc>
          <w:tcPr>
            <w:tcW w:w="1020" w:type="dxa"/>
          </w:tcPr>
          <w:p w:rsidR="00505632" w:rsidRDefault="00505632" w:rsidP="00AD4E52">
            <w:pPr>
              <w:pStyle w:val="CellColumn"/>
              <w:jc w:val="right"/>
            </w:pPr>
            <w:r>
              <w:rPr>
                <w:rFonts w:cs="Times New Roman"/>
              </w:rPr>
              <w:t>Broj meteoroloških postaja</w:t>
            </w:r>
          </w:p>
        </w:tc>
        <w:tc>
          <w:tcPr>
            <w:tcW w:w="1020" w:type="dxa"/>
          </w:tcPr>
          <w:p w:rsidR="00505632" w:rsidRDefault="00505632" w:rsidP="00AD4E52">
            <w:pPr>
              <w:pStyle w:val="CellColumn"/>
              <w:jc w:val="right"/>
            </w:pPr>
            <w:r>
              <w:rPr>
                <w:rFonts w:cs="Times New Roman"/>
              </w:rPr>
              <w:t xml:space="preserve">Prizemne meteorološke postaje: </w:t>
            </w:r>
          </w:p>
          <w:p w:rsidR="00505632" w:rsidRDefault="00505632" w:rsidP="00AD4E52">
            <w:pPr>
              <w:pStyle w:val="CellColumn"/>
              <w:jc w:val="right"/>
            </w:pPr>
            <w:r>
              <w:rPr>
                <w:rFonts w:cs="Times New Roman"/>
              </w:rPr>
              <w:t xml:space="preserve">25 glavnih,  </w:t>
            </w:r>
          </w:p>
          <w:p w:rsidR="00505632" w:rsidRDefault="00505632" w:rsidP="00AD4E52">
            <w:pPr>
              <w:pStyle w:val="CellColumn"/>
              <w:jc w:val="right"/>
            </w:pPr>
            <w:r>
              <w:rPr>
                <w:rFonts w:cs="Times New Roman"/>
              </w:rPr>
              <w:t xml:space="preserve">2 obične,  </w:t>
            </w:r>
          </w:p>
          <w:p w:rsidR="00505632" w:rsidRDefault="00505632" w:rsidP="00AD4E52">
            <w:pPr>
              <w:pStyle w:val="CellColumn"/>
              <w:jc w:val="right"/>
            </w:pPr>
            <w:r>
              <w:rPr>
                <w:rFonts w:cs="Times New Roman"/>
              </w:rPr>
              <w:t xml:space="preserve">3 kišomjernih,  </w:t>
            </w:r>
          </w:p>
          <w:p w:rsidR="00505632" w:rsidRDefault="00505632" w:rsidP="00AD4E52">
            <w:pPr>
              <w:pStyle w:val="CellColumn"/>
              <w:jc w:val="right"/>
            </w:pPr>
            <w:r>
              <w:rPr>
                <w:rFonts w:cs="Times New Roman"/>
              </w:rPr>
              <w:t xml:space="preserve"> 2 radiosondažne postaje, </w:t>
            </w:r>
          </w:p>
          <w:p w:rsidR="00505632" w:rsidRDefault="00505632" w:rsidP="00AD4E52">
            <w:pPr>
              <w:pStyle w:val="CellColumn"/>
              <w:jc w:val="right"/>
            </w:pPr>
            <w:r>
              <w:rPr>
                <w:rFonts w:cs="Times New Roman"/>
              </w:rPr>
              <w:t xml:space="preserve"> 2 meteorološka radara</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 xml:space="preserve">Prizemne meteorološke postaje: </w:t>
            </w:r>
          </w:p>
          <w:p w:rsidR="00505632" w:rsidRDefault="00505632" w:rsidP="00AD4E52">
            <w:pPr>
              <w:pStyle w:val="CellColumn"/>
              <w:jc w:val="right"/>
            </w:pPr>
            <w:r>
              <w:rPr>
                <w:rFonts w:cs="Times New Roman"/>
              </w:rPr>
              <w:t xml:space="preserve">25 glavnih,  </w:t>
            </w:r>
          </w:p>
          <w:p w:rsidR="00505632" w:rsidRDefault="00505632" w:rsidP="00AD4E52">
            <w:pPr>
              <w:pStyle w:val="CellColumn"/>
              <w:jc w:val="right"/>
            </w:pPr>
            <w:r>
              <w:rPr>
                <w:rFonts w:cs="Times New Roman"/>
              </w:rPr>
              <w:t xml:space="preserve">2 obične,  </w:t>
            </w:r>
          </w:p>
          <w:p w:rsidR="00505632" w:rsidRDefault="00505632" w:rsidP="00AD4E52">
            <w:pPr>
              <w:pStyle w:val="CellColumn"/>
              <w:jc w:val="right"/>
            </w:pPr>
            <w:r>
              <w:rPr>
                <w:rFonts w:cs="Times New Roman"/>
              </w:rPr>
              <w:t xml:space="preserve">3 kišomjernih,  </w:t>
            </w:r>
          </w:p>
          <w:p w:rsidR="00505632" w:rsidRDefault="00505632" w:rsidP="00AD4E52">
            <w:pPr>
              <w:pStyle w:val="CellColumn"/>
              <w:jc w:val="right"/>
            </w:pPr>
            <w:r>
              <w:rPr>
                <w:rFonts w:cs="Times New Roman"/>
              </w:rPr>
              <w:t xml:space="preserve"> 2 radiosondažne postaje, </w:t>
            </w:r>
          </w:p>
          <w:p w:rsidR="00505632" w:rsidRDefault="00505632" w:rsidP="00AD4E52">
            <w:pPr>
              <w:pStyle w:val="CellColumn"/>
              <w:jc w:val="right"/>
            </w:pPr>
            <w:r>
              <w:rPr>
                <w:rFonts w:cs="Times New Roman"/>
              </w:rPr>
              <w:t xml:space="preserve"> 2 meteorološka radara</w:t>
            </w:r>
          </w:p>
        </w:tc>
        <w:tc>
          <w:tcPr>
            <w:tcW w:w="1020" w:type="dxa"/>
          </w:tcPr>
          <w:p w:rsidR="00505632" w:rsidRDefault="00505632" w:rsidP="00AD4E52">
            <w:pPr>
              <w:pStyle w:val="CellColumn"/>
              <w:jc w:val="right"/>
            </w:pPr>
            <w:r>
              <w:rPr>
                <w:rFonts w:cs="Times New Roman"/>
              </w:rPr>
              <w:t xml:space="preserve">Prizemne meteorološke postaje: </w:t>
            </w:r>
          </w:p>
          <w:p w:rsidR="00505632" w:rsidRDefault="00505632" w:rsidP="00AD4E52">
            <w:pPr>
              <w:pStyle w:val="CellColumn"/>
              <w:jc w:val="right"/>
            </w:pPr>
            <w:r>
              <w:rPr>
                <w:rFonts w:cs="Times New Roman"/>
              </w:rPr>
              <w:t xml:space="preserve">30 glavnih,  </w:t>
            </w:r>
          </w:p>
          <w:p w:rsidR="00505632" w:rsidRDefault="00505632" w:rsidP="00AD4E52">
            <w:pPr>
              <w:pStyle w:val="CellColumn"/>
              <w:jc w:val="right"/>
            </w:pPr>
            <w:r>
              <w:rPr>
                <w:rFonts w:cs="Times New Roman"/>
              </w:rPr>
              <w:t xml:space="preserve">6 običnih,  </w:t>
            </w:r>
          </w:p>
          <w:p w:rsidR="00505632" w:rsidRDefault="00505632" w:rsidP="00AD4E52">
            <w:pPr>
              <w:pStyle w:val="CellColumn"/>
              <w:jc w:val="right"/>
            </w:pPr>
            <w:r>
              <w:rPr>
                <w:rFonts w:cs="Times New Roman"/>
              </w:rPr>
              <w:t xml:space="preserve">10 kišomjernih,  </w:t>
            </w:r>
          </w:p>
          <w:p w:rsidR="00505632" w:rsidRDefault="00505632" w:rsidP="00AD4E52">
            <w:pPr>
              <w:pStyle w:val="CellColumn"/>
              <w:jc w:val="right"/>
            </w:pPr>
            <w:r>
              <w:rPr>
                <w:rFonts w:cs="Times New Roman"/>
              </w:rPr>
              <w:t xml:space="preserve"> 2 radiosondažne postaje, </w:t>
            </w:r>
          </w:p>
          <w:p w:rsidR="00505632" w:rsidRDefault="00505632" w:rsidP="00AD4E52">
            <w:pPr>
              <w:pStyle w:val="CellColumn"/>
              <w:jc w:val="right"/>
            </w:pPr>
            <w:r>
              <w:rPr>
                <w:rFonts w:cs="Times New Roman"/>
              </w:rPr>
              <w:t xml:space="preserve"> 2 meteorološka radara</w:t>
            </w:r>
          </w:p>
        </w:tc>
      </w:tr>
      <w:tr w:rsidR="00505632" w:rsidTr="00AD4E52">
        <w:trPr>
          <w:jc w:val="center"/>
        </w:trPr>
        <w:tc>
          <w:tcPr>
            <w:tcW w:w="2551" w:type="dxa"/>
          </w:tcPr>
          <w:p w:rsidR="00505632" w:rsidRDefault="00505632" w:rsidP="00AD4E52">
            <w:pPr>
              <w:pStyle w:val="CellColumn"/>
              <w:jc w:val="left"/>
            </w:pPr>
            <w:r>
              <w:rPr>
                <w:rFonts w:cs="Times New Roman"/>
              </w:rPr>
              <w:t>Broj moderniziranih hidroloških postaja za površinske i podzemne vode te broj  uređaja za mjerenje protoka u realnom vremenu na profilima rijeka</w:t>
            </w:r>
          </w:p>
        </w:tc>
        <w:tc>
          <w:tcPr>
            <w:tcW w:w="2551" w:type="dxa"/>
          </w:tcPr>
          <w:p w:rsidR="00505632" w:rsidRDefault="00505632" w:rsidP="00AD4E52">
            <w:pPr>
              <w:pStyle w:val="CellColumn"/>
              <w:jc w:val="left"/>
            </w:pPr>
            <w:r>
              <w:rPr>
                <w:rFonts w:cs="Times New Roman"/>
              </w:rPr>
              <w:t>Modernizacija hidrološkog motriteljskog sustava uključuje obnovu postojećih mjernih sustava i/ili zamjenu novim</w:t>
            </w:r>
          </w:p>
        </w:tc>
        <w:tc>
          <w:tcPr>
            <w:tcW w:w="1020" w:type="dxa"/>
          </w:tcPr>
          <w:p w:rsidR="00505632" w:rsidRDefault="00505632" w:rsidP="00AD4E52">
            <w:pPr>
              <w:pStyle w:val="CellColumn"/>
              <w:jc w:val="right"/>
            </w:pPr>
            <w:r>
              <w:rPr>
                <w:rFonts w:cs="Times New Roman"/>
              </w:rPr>
              <w:t>Broj  hidroloških postaja odnosno  uređaja za mjerenje protoka u realnom vremenu</w:t>
            </w:r>
          </w:p>
        </w:tc>
        <w:tc>
          <w:tcPr>
            <w:tcW w:w="1020" w:type="dxa"/>
          </w:tcPr>
          <w:p w:rsidR="00505632" w:rsidRDefault="00505632" w:rsidP="00AD4E52">
            <w:pPr>
              <w:pStyle w:val="CellColumn"/>
              <w:jc w:val="right"/>
            </w:pPr>
            <w:r>
              <w:rPr>
                <w:rFonts w:cs="Times New Roman"/>
              </w:rPr>
              <w:t xml:space="preserve">Hidrološke postaje:  </w:t>
            </w:r>
          </w:p>
          <w:p w:rsidR="00505632" w:rsidRDefault="00505632" w:rsidP="00AD4E52">
            <w:pPr>
              <w:pStyle w:val="CellColumn"/>
              <w:jc w:val="right"/>
            </w:pPr>
            <w:r>
              <w:rPr>
                <w:rFonts w:cs="Times New Roman"/>
              </w:rPr>
              <w:t xml:space="preserve">95  za površinske vode, </w:t>
            </w:r>
          </w:p>
          <w:p w:rsidR="00505632" w:rsidRDefault="00505632" w:rsidP="00AD4E52">
            <w:pPr>
              <w:pStyle w:val="CellColumn"/>
              <w:jc w:val="right"/>
            </w:pPr>
            <w:r>
              <w:rPr>
                <w:rFonts w:cs="Times New Roman"/>
              </w:rPr>
              <w:t xml:space="preserve"> 5 za podzemne vode</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 xml:space="preserve">Hidrološke postaje:  </w:t>
            </w:r>
          </w:p>
          <w:p w:rsidR="00505632" w:rsidRDefault="00505632" w:rsidP="00AD4E52">
            <w:pPr>
              <w:pStyle w:val="CellColumn"/>
              <w:jc w:val="right"/>
            </w:pPr>
            <w:r>
              <w:rPr>
                <w:rFonts w:cs="Times New Roman"/>
              </w:rPr>
              <w:t xml:space="preserve">95 za površinske vode, </w:t>
            </w:r>
          </w:p>
          <w:p w:rsidR="00505632" w:rsidRDefault="00505632" w:rsidP="00AD4E52">
            <w:pPr>
              <w:pStyle w:val="CellColumn"/>
              <w:jc w:val="right"/>
            </w:pPr>
            <w:r>
              <w:rPr>
                <w:rFonts w:cs="Times New Roman"/>
              </w:rPr>
              <w:t xml:space="preserve"> 5 za podzemne vode,  </w:t>
            </w:r>
          </w:p>
          <w:p w:rsidR="00505632" w:rsidRDefault="00505632" w:rsidP="00AD4E52">
            <w:pPr>
              <w:pStyle w:val="CellColumn"/>
              <w:jc w:val="right"/>
            </w:pPr>
            <w:r>
              <w:rPr>
                <w:rFonts w:cs="Times New Roman"/>
              </w:rPr>
              <w:t>1 uređaj za mjerenje protoka u realnom vremenu</w:t>
            </w:r>
          </w:p>
        </w:tc>
        <w:tc>
          <w:tcPr>
            <w:tcW w:w="1020" w:type="dxa"/>
          </w:tcPr>
          <w:p w:rsidR="00505632" w:rsidRDefault="00505632" w:rsidP="00AD4E52">
            <w:pPr>
              <w:pStyle w:val="CellColumn"/>
              <w:jc w:val="right"/>
            </w:pPr>
            <w:r>
              <w:rPr>
                <w:rFonts w:cs="Times New Roman"/>
              </w:rPr>
              <w:t xml:space="preserve">Ostvarena vrijednost (2016.) </w:t>
            </w:r>
          </w:p>
          <w:p w:rsidR="00505632" w:rsidRDefault="00505632" w:rsidP="00AD4E52">
            <w:pPr>
              <w:pStyle w:val="CellColumn"/>
              <w:jc w:val="right"/>
            </w:pPr>
            <w:r>
              <w:rPr>
                <w:rFonts w:cs="Times New Roman"/>
              </w:rPr>
              <w:t xml:space="preserve">Prizemne meteorološke postaje: </w:t>
            </w:r>
          </w:p>
          <w:p w:rsidR="00505632" w:rsidRDefault="00505632" w:rsidP="00AD4E52">
            <w:pPr>
              <w:pStyle w:val="CellColumn"/>
              <w:jc w:val="right"/>
            </w:pPr>
            <w:r>
              <w:rPr>
                <w:rFonts w:cs="Times New Roman"/>
              </w:rPr>
              <w:t xml:space="preserve">30 glavnih,  </w:t>
            </w:r>
          </w:p>
          <w:p w:rsidR="00505632" w:rsidRDefault="00505632" w:rsidP="00AD4E52">
            <w:pPr>
              <w:pStyle w:val="CellColumn"/>
              <w:jc w:val="right"/>
            </w:pPr>
            <w:r>
              <w:rPr>
                <w:rFonts w:cs="Times New Roman"/>
              </w:rPr>
              <w:t xml:space="preserve">6 običnih,  </w:t>
            </w:r>
          </w:p>
          <w:p w:rsidR="00505632" w:rsidRDefault="00505632" w:rsidP="00AD4E52">
            <w:pPr>
              <w:pStyle w:val="CellColumn"/>
              <w:jc w:val="right"/>
            </w:pPr>
            <w:r>
              <w:rPr>
                <w:rFonts w:cs="Times New Roman"/>
              </w:rPr>
              <w:t xml:space="preserve">10 kišomjernih,  </w:t>
            </w:r>
          </w:p>
          <w:p w:rsidR="00505632" w:rsidRDefault="00505632" w:rsidP="00AD4E52">
            <w:pPr>
              <w:pStyle w:val="CellColumn"/>
              <w:jc w:val="right"/>
            </w:pPr>
            <w:r>
              <w:rPr>
                <w:rFonts w:cs="Times New Roman"/>
              </w:rPr>
              <w:t xml:space="preserve"> 2 radiosondažne postaje, </w:t>
            </w:r>
          </w:p>
          <w:p w:rsidR="00505632" w:rsidRDefault="00505632" w:rsidP="00AD4E52">
            <w:pPr>
              <w:pStyle w:val="CellColumn"/>
              <w:jc w:val="right"/>
            </w:pPr>
            <w:r>
              <w:rPr>
                <w:rFonts w:cs="Times New Roman"/>
              </w:rPr>
              <w:t xml:space="preserve"> 2 meteorološka radara </w:t>
            </w:r>
          </w:p>
          <w:p w:rsidR="00505632" w:rsidRDefault="00505632" w:rsidP="00AD4E52">
            <w:pPr>
              <w:pStyle w:val="CellColumn"/>
              <w:jc w:val="right"/>
            </w:pPr>
            <w:r>
              <w:rPr>
                <w:rFonts w:cs="Times New Roman"/>
              </w:rPr>
              <w:t xml:space="preserve">Hidrološke postaje:  </w:t>
            </w:r>
          </w:p>
          <w:p w:rsidR="00505632" w:rsidRDefault="00505632" w:rsidP="00AD4E52">
            <w:pPr>
              <w:pStyle w:val="CellColumn"/>
              <w:jc w:val="right"/>
            </w:pPr>
            <w:r>
              <w:rPr>
                <w:rFonts w:cs="Times New Roman"/>
              </w:rPr>
              <w:t xml:space="preserve">95 za površinske vode, </w:t>
            </w:r>
          </w:p>
          <w:p w:rsidR="00505632" w:rsidRDefault="00505632" w:rsidP="00AD4E52">
            <w:pPr>
              <w:pStyle w:val="CellColumn"/>
              <w:jc w:val="right"/>
            </w:pPr>
            <w:r>
              <w:rPr>
                <w:rFonts w:cs="Times New Roman"/>
              </w:rPr>
              <w:t xml:space="preserve"> 5 za podzemne vode,  </w:t>
            </w:r>
          </w:p>
          <w:p w:rsidR="00505632" w:rsidRDefault="00505632" w:rsidP="00AD4E52">
            <w:pPr>
              <w:pStyle w:val="CellColumn"/>
              <w:jc w:val="right"/>
            </w:pPr>
            <w:r>
              <w:rPr>
                <w:rFonts w:cs="Times New Roman"/>
              </w:rPr>
              <w:t>1 uređaj za mjerenje protoka u realnom vremenu</w:t>
            </w:r>
          </w:p>
        </w:tc>
      </w:tr>
      <w:tr w:rsidR="00505632" w:rsidTr="00AD4E52">
        <w:trPr>
          <w:jc w:val="center"/>
        </w:trPr>
        <w:tc>
          <w:tcPr>
            <w:tcW w:w="2551" w:type="dxa"/>
          </w:tcPr>
          <w:p w:rsidR="00505632" w:rsidRDefault="00505632" w:rsidP="00AD4E52">
            <w:pPr>
              <w:pStyle w:val="CellColumn"/>
              <w:jc w:val="left"/>
            </w:pPr>
            <w:r>
              <w:rPr>
                <w:rFonts w:cs="Times New Roman"/>
              </w:rPr>
              <w:t>Projektna dokumentacija za aplikaciju za izvore financiranja iz fondova EU</w:t>
            </w:r>
          </w:p>
        </w:tc>
        <w:tc>
          <w:tcPr>
            <w:tcW w:w="2551" w:type="dxa"/>
          </w:tcPr>
          <w:p w:rsidR="00505632" w:rsidRDefault="00505632" w:rsidP="00AD4E52">
            <w:pPr>
              <w:pStyle w:val="CellColumn"/>
              <w:jc w:val="left"/>
            </w:pPr>
            <w:r>
              <w:rPr>
                <w:rFonts w:cs="Times New Roman"/>
              </w:rPr>
              <w:t xml:space="preserve">Dokumentacija: </w:t>
            </w:r>
          </w:p>
          <w:p w:rsidR="00505632" w:rsidRDefault="00505632" w:rsidP="00AD4E52">
            <w:pPr>
              <w:pStyle w:val="CellColumn"/>
              <w:jc w:val="left"/>
            </w:pPr>
            <w:r>
              <w:rPr>
                <w:rFonts w:cs="Times New Roman"/>
              </w:rPr>
              <w:t>Od projektnog zadatka do dokumentacije za nadmetanje.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90%</w:t>
            </w:r>
          </w:p>
        </w:tc>
      </w:tr>
      <w:tr w:rsidR="00505632" w:rsidTr="00AD4E52">
        <w:trPr>
          <w:jc w:val="center"/>
        </w:trPr>
        <w:tc>
          <w:tcPr>
            <w:tcW w:w="2551" w:type="dxa"/>
          </w:tcPr>
          <w:p w:rsidR="00505632" w:rsidRDefault="00505632" w:rsidP="00AD4E52">
            <w:pPr>
              <w:pStyle w:val="CellColumn"/>
              <w:jc w:val="left"/>
            </w:pPr>
            <w:r>
              <w:rPr>
                <w:rFonts w:cs="Times New Roman"/>
              </w:rPr>
              <w:t>Izvršena modernizacija</w:t>
            </w:r>
          </w:p>
        </w:tc>
        <w:tc>
          <w:tcPr>
            <w:tcW w:w="2551" w:type="dxa"/>
          </w:tcPr>
          <w:p w:rsidR="00505632" w:rsidRDefault="00505632" w:rsidP="00AD4E52">
            <w:pPr>
              <w:pStyle w:val="CellColumn"/>
              <w:jc w:val="left"/>
            </w:pPr>
            <w:r>
              <w:rPr>
                <w:rFonts w:cs="Times New Roman"/>
              </w:rPr>
              <w:t>Modernizacija uključuje postavljanje novih postaja i instalaciju opreme.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30%</w:t>
            </w:r>
          </w:p>
        </w:tc>
      </w:tr>
      <w:tr w:rsidR="00505632" w:rsidTr="00AD4E52">
        <w:trPr>
          <w:jc w:val="center"/>
        </w:trPr>
        <w:tc>
          <w:tcPr>
            <w:tcW w:w="2551" w:type="dxa"/>
          </w:tcPr>
          <w:p w:rsidR="00505632" w:rsidRDefault="00505632" w:rsidP="00AD4E52">
            <w:pPr>
              <w:pStyle w:val="CellColumn"/>
              <w:jc w:val="left"/>
            </w:pPr>
            <w:r>
              <w:rPr>
                <w:rFonts w:cs="Times New Roman"/>
              </w:rPr>
              <w:t>Produkti i usluge  po predviđenom dnevnom  rasporedu rada za 365 dana u godini</w:t>
            </w:r>
          </w:p>
        </w:tc>
        <w:tc>
          <w:tcPr>
            <w:tcW w:w="2551" w:type="dxa"/>
          </w:tcPr>
          <w:p w:rsidR="00505632" w:rsidRDefault="00505632" w:rsidP="00AD4E52">
            <w:pPr>
              <w:pStyle w:val="CellColumn"/>
              <w:jc w:val="left"/>
            </w:pPr>
            <w:r>
              <w:rPr>
                <w:rFonts w:cs="Times New Roman"/>
              </w:rPr>
              <w:t>Dnevni raspored rada sadržava satni popis svih produkata i usluga koje je SVAP dužan izvršavati u skladu sa svojom misijom. Produkt je proizvod s dodanom vrijednošću nastao na temelju  integriranja meteoroloških, hidroloških i ostalih podataka i stručnog znanja i iskustva meteorologa-sinoptičara.</w:t>
            </w:r>
          </w:p>
        </w:tc>
        <w:tc>
          <w:tcPr>
            <w:tcW w:w="1020" w:type="dxa"/>
          </w:tcPr>
          <w:p w:rsidR="00505632" w:rsidRDefault="00505632" w:rsidP="00AD4E52">
            <w:pPr>
              <w:pStyle w:val="CellColumn"/>
              <w:jc w:val="right"/>
            </w:pPr>
            <w:r>
              <w:rPr>
                <w:rFonts w:cs="Times New Roman"/>
              </w:rPr>
              <w:t>Dnevni raspored rada</w:t>
            </w:r>
          </w:p>
        </w:tc>
        <w:tc>
          <w:tcPr>
            <w:tcW w:w="1020" w:type="dxa"/>
          </w:tcPr>
          <w:p w:rsidR="00505632" w:rsidRDefault="00505632" w:rsidP="00AD4E52">
            <w:pPr>
              <w:pStyle w:val="CellColumn"/>
              <w:jc w:val="right"/>
            </w:pPr>
            <w:r>
              <w:rPr>
                <w:rFonts w:cs="Times New Roman"/>
              </w:rPr>
              <w:t>100% izvršenje</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100% izvršenje</w:t>
            </w:r>
          </w:p>
        </w:tc>
        <w:tc>
          <w:tcPr>
            <w:tcW w:w="1020" w:type="dxa"/>
          </w:tcPr>
          <w:p w:rsidR="00505632" w:rsidRDefault="00505632" w:rsidP="00AD4E52">
            <w:pPr>
              <w:pStyle w:val="CellColumn"/>
              <w:jc w:val="right"/>
            </w:pPr>
            <w:r>
              <w:rPr>
                <w:rFonts w:cs="Times New Roman"/>
              </w:rPr>
              <w:t>100% izvršenje</w:t>
            </w:r>
          </w:p>
        </w:tc>
      </w:tr>
      <w:tr w:rsidR="00505632" w:rsidTr="00AD4E52">
        <w:trPr>
          <w:jc w:val="center"/>
        </w:trPr>
        <w:tc>
          <w:tcPr>
            <w:tcW w:w="2551" w:type="dxa"/>
          </w:tcPr>
          <w:p w:rsidR="00505632" w:rsidRDefault="00505632" w:rsidP="00AD4E52">
            <w:pPr>
              <w:pStyle w:val="CellColumn"/>
              <w:jc w:val="left"/>
            </w:pPr>
            <w:r>
              <w:rPr>
                <w:rFonts w:cs="Times New Roman"/>
              </w:rPr>
              <w:t>Izdana upozorenja na  opasne vremenske pojave</w:t>
            </w:r>
          </w:p>
        </w:tc>
        <w:tc>
          <w:tcPr>
            <w:tcW w:w="2551" w:type="dxa"/>
          </w:tcPr>
          <w:p w:rsidR="00505632" w:rsidRDefault="00505632" w:rsidP="00AD4E52">
            <w:pPr>
              <w:pStyle w:val="CellColumn"/>
              <w:jc w:val="left"/>
            </w:pPr>
            <w:r>
              <w:rPr>
                <w:rFonts w:cs="Times New Roman"/>
              </w:rPr>
              <w:t>Upozorenja na opasne vremenske pojave izdaju se u skladu sa zadanim kriterijima.</w:t>
            </w:r>
          </w:p>
        </w:tc>
        <w:tc>
          <w:tcPr>
            <w:tcW w:w="1020" w:type="dxa"/>
          </w:tcPr>
          <w:p w:rsidR="00505632" w:rsidRDefault="00505632" w:rsidP="00AD4E52">
            <w:pPr>
              <w:pStyle w:val="CellColumn"/>
              <w:jc w:val="right"/>
            </w:pPr>
            <w:r>
              <w:rPr>
                <w:rFonts w:cs="Times New Roman"/>
              </w:rPr>
              <w:t>Broj izdanih upozorenja  u odnosu na broj očekivanih opasnih događaja</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Primjena novih računalnih programa u operativnom radu</w:t>
            </w:r>
          </w:p>
        </w:tc>
        <w:tc>
          <w:tcPr>
            <w:tcW w:w="2551" w:type="dxa"/>
          </w:tcPr>
          <w:p w:rsidR="00505632" w:rsidRDefault="00505632" w:rsidP="00AD4E52">
            <w:pPr>
              <w:pStyle w:val="CellColumn"/>
              <w:jc w:val="left"/>
            </w:pPr>
            <w:r>
              <w:rPr>
                <w:rFonts w:cs="Times New Roman"/>
              </w:rPr>
              <w:t>Za izradu informacija i produkata vremenske analize i prognoze nužno je slijediti najnoviji tehnološki razvoj u skladu sa standardima struke.</w:t>
            </w:r>
          </w:p>
        </w:tc>
        <w:tc>
          <w:tcPr>
            <w:tcW w:w="1020" w:type="dxa"/>
          </w:tcPr>
          <w:p w:rsidR="00505632" w:rsidRDefault="00505632" w:rsidP="00AD4E52">
            <w:pPr>
              <w:pStyle w:val="CellColumn"/>
              <w:jc w:val="right"/>
            </w:pPr>
            <w:r>
              <w:rPr>
                <w:rFonts w:cs="Times New Roman"/>
              </w:rPr>
              <w:t>Unapređenje računalnog operativnog sustava prema prijedlogu razvoja usluživanja korisnika.</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70%</w:t>
            </w:r>
          </w:p>
        </w:tc>
      </w:tr>
      <w:tr w:rsidR="00505632" w:rsidTr="00AD4E52">
        <w:trPr>
          <w:jc w:val="center"/>
        </w:trPr>
        <w:tc>
          <w:tcPr>
            <w:tcW w:w="2551" w:type="dxa"/>
          </w:tcPr>
          <w:p w:rsidR="00505632" w:rsidRDefault="00505632" w:rsidP="00AD4E52">
            <w:pPr>
              <w:pStyle w:val="CellColumn"/>
              <w:jc w:val="left"/>
            </w:pPr>
            <w:r>
              <w:rPr>
                <w:rFonts w:cs="Times New Roman"/>
              </w:rPr>
              <w:t>Izrađeni i primijenjeni novi indeksi opasnosti od šumskih požara (Heinesov indeks)</w:t>
            </w:r>
          </w:p>
        </w:tc>
        <w:tc>
          <w:tcPr>
            <w:tcW w:w="2551" w:type="dxa"/>
          </w:tcPr>
          <w:p w:rsidR="00505632" w:rsidRDefault="00505632" w:rsidP="00AD4E52">
            <w:pPr>
              <w:pStyle w:val="CellColumn"/>
              <w:jc w:val="left"/>
            </w:pPr>
            <w:r>
              <w:rPr>
                <w:rFonts w:cs="Times New Roman"/>
              </w:rPr>
              <w:t>Od 15. travnja 2011. redovito se eksperimentalno izračunava stvarni i prognostički indeks po novoj metodi (tzv. Hainesov indeks.</w:t>
            </w:r>
          </w:p>
        </w:tc>
        <w:tc>
          <w:tcPr>
            <w:tcW w:w="1020" w:type="dxa"/>
          </w:tcPr>
          <w:p w:rsidR="00505632" w:rsidRDefault="00505632" w:rsidP="00AD4E52">
            <w:pPr>
              <w:pStyle w:val="CellColumn"/>
              <w:jc w:val="right"/>
            </w:pPr>
            <w:r>
              <w:rPr>
                <w:rFonts w:cs="Times New Roman"/>
              </w:rPr>
              <w:t>Operativna primjena u svakodnevnom radu tijekom požarne sezone</w:t>
            </w:r>
          </w:p>
        </w:tc>
        <w:tc>
          <w:tcPr>
            <w:tcW w:w="1020" w:type="dxa"/>
          </w:tcPr>
          <w:p w:rsidR="00505632" w:rsidRDefault="00505632" w:rsidP="00AD4E52">
            <w:pPr>
              <w:pStyle w:val="CellColumn"/>
              <w:jc w:val="right"/>
            </w:pPr>
            <w:r>
              <w:rPr>
                <w:rFonts w:cs="Times New Roman"/>
              </w:rPr>
              <w:t>Postignuto / nije postignuto</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Postignuto</w:t>
            </w:r>
          </w:p>
        </w:tc>
        <w:tc>
          <w:tcPr>
            <w:tcW w:w="1020" w:type="dxa"/>
          </w:tcPr>
          <w:p w:rsidR="00505632" w:rsidRDefault="00505632" w:rsidP="00AD4E52">
            <w:pPr>
              <w:pStyle w:val="CellColumn"/>
              <w:jc w:val="right"/>
            </w:pPr>
            <w:r>
              <w:rPr>
                <w:rFonts w:cs="Times New Roman"/>
              </w:rPr>
              <w:t>Postignuto</w:t>
            </w:r>
          </w:p>
        </w:tc>
      </w:tr>
      <w:tr w:rsidR="00505632" w:rsidTr="00AD4E52">
        <w:trPr>
          <w:jc w:val="center"/>
        </w:trPr>
        <w:tc>
          <w:tcPr>
            <w:tcW w:w="2551" w:type="dxa"/>
          </w:tcPr>
          <w:p w:rsidR="00505632" w:rsidRDefault="00505632" w:rsidP="00AD4E52">
            <w:pPr>
              <w:pStyle w:val="CellColumn"/>
              <w:jc w:val="left"/>
            </w:pPr>
            <w:r>
              <w:rPr>
                <w:rFonts w:cs="Times New Roman"/>
              </w:rPr>
              <w:t>Izrada detaljnijih kriterija za upozorenja na opasne vremenske pojave</w:t>
            </w:r>
          </w:p>
        </w:tc>
        <w:tc>
          <w:tcPr>
            <w:tcW w:w="2551" w:type="dxa"/>
          </w:tcPr>
          <w:p w:rsidR="00505632" w:rsidRDefault="00505632" w:rsidP="00AD4E52">
            <w:pPr>
              <w:pStyle w:val="CellColumn"/>
              <w:jc w:val="left"/>
            </w:pPr>
            <w:r>
              <w:rPr>
                <w:rFonts w:cs="Times New Roman"/>
              </w:rPr>
              <w:t>Upozorenja na opasne vremenske pojave izdaju se u skladu sa zadanim kriterijima na pojedinačne i kombinirane elemente vremena (npr. temperatura, vjetar, oborine, vidljivost)</w:t>
            </w:r>
          </w:p>
        </w:tc>
        <w:tc>
          <w:tcPr>
            <w:tcW w:w="1020" w:type="dxa"/>
          </w:tcPr>
          <w:p w:rsidR="00505632" w:rsidRDefault="00505632" w:rsidP="00AD4E52">
            <w:pPr>
              <w:pStyle w:val="CellColumn"/>
              <w:jc w:val="right"/>
            </w:pPr>
            <w:r>
              <w:rPr>
                <w:rFonts w:cs="Times New Roman"/>
              </w:rPr>
              <w:t>Operativna primjena u svakodnevnom radu</w:t>
            </w:r>
          </w:p>
        </w:tc>
        <w:tc>
          <w:tcPr>
            <w:tcW w:w="1020" w:type="dxa"/>
          </w:tcPr>
          <w:p w:rsidR="00505632" w:rsidRDefault="00505632" w:rsidP="00AD4E52">
            <w:pPr>
              <w:pStyle w:val="CellColumn"/>
              <w:jc w:val="right"/>
            </w:pPr>
            <w:r>
              <w:rPr>
                <w:rFonts w:cs="Times New Roman"/>
              </w:rPr>
              <w:t>Postignuto / nije postignuto</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Postignuto</w:t>
            </w:r>
          </w:p>
        </w:tc>
        <w:tc>
          <w:tcPr>
            <w:tcW w:w="1020" w:type="dxa"/>
          </w:tcPr>
          <w:p w:rsidR="00505632" w:rsidRDefault="00505632" w:rsidP="00AD4E52">
            <w:pPr>
              <w:pStyle w:val="CellColumn"/>
              <w:jc w:val="right"/>
            </w:pPr>
            <w:r>
              <w:rPr>
                <w:rFonts w:cs="Times New Roman"/>
              </w:rPr>
              <w:t>Postignuto</w:t>
            </w:r>
          </w:p>
        </w:tc>
      </w:tr>
      <w:tr w:rsidR="00505632" w:rsidTr="00AD4E52">
        <w:trPr>
          <w:jc w:val="center"/>
        </w:trPr>
        <w:tc>
          <w:tcPr>
            <w:tcW w:w="2551" w:type="dxa"/>
          </w:tcPr>
          <w:p w:rsidR="00505632" w:rsidRDefault="00505632" w:rsidP="00AD4E52">
            <w:pPr>
              <w:pStyle w:val="CellColumn"/>
              <w:jc w:val="left"/>
            </w:pPr>
            <w:r>
              <w:rPr>
                <w:rFonts w:cs="Times New Roman"/>
              </w:rPr>
              <w:t>Edukacija prognostičara  na redovnim ECMWF ili  WMO stručnim radionicama</w:t>
            </w:r>
          </w:p>
        </w:tc>
        <w:tc>
          <w:tcPr>
            <w:tcW w:w="2551" w:type="dxa"/>
          </w:tcPr>
          <w:p w:rsidR="00505632" w:rsidRDefault="00505632" w:rsidP="00AD4E52">
            <w:pPr>
              <w:pStyle w:val="CellColumn"/>
              <w:jc w:val="left"/>
            </w:pPr>
            <w:r>
              <w:rPr>
                <w:rFonts w:cs="Times New Roman"/>
              </w:rPr>
              <w:t>Stručno usavršavanje</w:t>
            </w:r>
          </w:p>
        </w:tc>
        <w:tc>
          <w:tcPr>
            <w:tcW w:w="1020" w:type="dxa"/>
          </w:tcPr>
          <w:p w:rsidR="00505632" w:rsidRDefault="00505632" w:rsidP="00AD4E52">
            <w:pPr>
              <w:pStyle w:val="CellColumn"/>
              <w:jc w:val="right"/>
            </w:pPr>
            <w:r>
              <w:rPr>
                <w:rFonts w:cs="Times New Roman"/>
              </w:rPr>
              <w:t>Minimalni broj prognostičara SVAP poslanih na stručno usavršavanje</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Interna edukacija obavezna za sve sinoptičare – piovećanje kompetentnosti</w:t>
            </w:r>
          </w:p>
        </w:tc>
        <w:tc>
          <w:tcPr>
            <w:tcW w:w="2551" w:type="dxa"/>
          </w:tcPr>
          <w:p w:rsidR="00505632" w:rsidRDefault="00505632" w:rsidP="00AD4E52">
            <w:pPr>
              <w:pStyle w:val="CellColumn"/>
              <w:jc w:val="left"/>
            </w:pPr>
            <w:r>
              <w:rPr>
                <w:rFonts w:cs="Times New Roman"/>
              </w:rPr>
              <w:t>Stručna predavanja koja će sve sinoptičare upoznati s najnovijim metodama u vremenskoj prognozi</w:t>
            </w:r>
          </w:p>
        </w:tc>
        <w:tc>
          <w:tcPr>
            <w:tcW w:w="1020" w:type="dxa"/>
          </w:tcPr>
          <w:p w:rsidR="00505632" w:rsidRDefault="00505632" w:rsidP="00AD4E52">
            <w:pPr>
              <w:pStyle w:val="CellColumn"/>
              <w:jc w:val="right"/>
            </w:pPr>
            <w:r>
              <w:rPr>
                <w:rFonts w:cs="Times New Roman"/>
              </w:rPr>
              <w:t>Broj internih predavanja</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Prognostička polja meteoroloških elemenata za potrebe operativne prognoze vremena u DHMZ-u i drugih korisnika u obliku grafičkih prikaza i grib datoteka s podacima</w:t>
            </w:r>
          </w:p>
        </w:tc>
        <w:tc>
          <w:tcPr>
            <w:tcW w:w="2551" w:type="dxa"/>
          </w:tcPr>
          <w:p w:rsidR="00505632" w:rsidRDefault="00505632" w:rsidP="00AD4E52">
            <w:pPr>
              <w:pStyle w:val="CellColumn"/>
              <w:jc w:val="left"/>
            </w:pPr>
            <w:r>
              <w:rPr>
                <w:rFonts w:cs="Times New Roman"/>
              </w:rPr>
              <w:t>Grafički i numerički prikazi prognostičkih meteoroloških polja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80</w:t>
            </w:r>
          </w:p>
        </w:tc>
      </w:tr>
      <w:tr w:rsidR="00505632" w:rsidTr="00AD4E52">
        <w:trPr>
          <w:jc w:val="center"/>
        </w:trPr>
        <w:tc>
          <w:tcPr>
            <w:tcW w:w="2551" w:type="dxa"/>
          </w:tcPr>
          <w:p w:rsidR="00505632" w:rsidRDefault="00505632" w:rsidP="00AD4E52">
            <w:pPr>
              <w:pStyle w:val="CellColumn"/>
              <w:jc w:val="left"/>
            </w:pPr>
            <w:r>
              <w:rPr>
                <w:rFonts w:cs="Times New Roman"/>
              </w:rPr>
              <w:t>Sudjelovanje na ALADIN-HIRLAM radionicama i radnim danima</w:t>
            </w:r>
          </w:p>
        </w:tc>
        <w:tc>
          <w:tcPr>
            <w:tcW w:w="2551" w:type="dxa"/>
          </w:tcPr>
          <w:p w:rsidR="00505632" w:rsidRDefault="00505632" w:rsidP="00AD4E52">
            <w:pPr>
              <w:pStyle w:val="CellColumn"/>
              <w:jc w:val="left"/>
            </w:pPr>
            <w:r>
              <w:rPr>
                <w:rFonts w:cs="Times New Roman"/>
              </w:rPr>
              <w:t>Razmjena specijalističkih znanja i metoda u svrhu njihovog uvođenja u operativni rad modela</w:t>
            </w:r>
          </w:p>
        </w:tc>
        <w:tc>
          <w:tcPr>
            <w:tcW w:w="1020" w:type="dxa"/>
          </w:tcPr>
          <w:p w:rsidR="00505632" w:rsidRDefault="00505632" w:rsidP="00AD4E52">
            <w:pPr>
              <w:pStyle w:val="CellColumn"/>
              <w:jc w:val="right"/>
            </w:pPr>
            <w:r>
              <w:rPr>
                <w:rFonts w:cs="Times New Roman"/>
              </w:rPr>
              <w:t>Broj sudjelovanja</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8</w:t>
            </w:r>
          </w:p>
        </w:tc>
      </w:tr>
      <w:tr w:rsidR="00505632" w:rsidTr="00AD4E52">
        <w:trPr>
          <w:jc w:val="center"/>
        </w:trPr>
        <w:tc>
          <w:tcPr>
            <w:tcW w:w="2551" w:type="dxa"/>
          </w:tcPr>
          <w:p w:rsidR="00505632" w:rsidRDefault="00505632" w:rsidP="00AD4E52">
            <w:pPr>
              <w:pStyle w:val="CellColumn"/>
              <w:jc w:val="left"/>
            </w:pPr>
            <w:r>
              <w:rPr>
                <w:rFonts w:cs="Times New Roman"/>
              </w:rPr>
              <w:t>Sudjelovanje u usaglašavanju operativne  verzije modela ALADIN</w:t>
            </w:r>
          </w:p>
        </w:tc>
        <w:tc>
          <w:tcPr>
            <w:tcW w:w="2551" w:type="dxa"/>
          </w:tcPr>
          <w:p w:rsidR="00505632" w:rsidRDefault="00505632" w:rsidP="00AD4E52">
            <w:pPr>
              <w:pStyle w:val="CellColumn"/>
              <w:jc w:val="left"/>
            </w:pPr>
            <w:r>
              <w:rPr>
                <w:rFonts w:cs="Times New Roman"/>
              </w:rPr>
              <w:t>Usklađivanje programskog koda numeričkog prog. modela</w:t>
            </w:r>
          </w:p>
        </w:tc>
        <w:tc>
          <w:tcPr>
            <w:tcW w:w="1020" w:type="dxa"/>
          </w:tcPr>
          <w:p w:rsidR="00505632" w:rsidRDefault="00505632" w:rsidP="00AD4E52">
            <w:pPr>
              <w:pStyle w:val="CellColumn"/>
              <w:jc w:val="right"/>
            </w:pPr>
            <w:r>
              <w:rPr>
                <w:rFonts w:cs="Times New Roman"/>
              </w:rPr>
              <w:t>Broj sudjelovanja</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Izrada podloga i upozorenja na ekstremne vremenske prilike za potrebe strateških i akcijskih planova u društvu i gospodarstvu u cilju donošenja  srednjoročnih i dugoročnih mjera prilagodbe na klimatske uvjete</w:t>
            </w:r>
          </w:p>
        </w:tc>
        <w:tc>
          <w:tcPr>
            <w:tcW w:w="2551" w:type="dxa"/>
          </w:tcPr>
          <w:p w:rsidR="00505632" w:rsidRDefault="00505632" w:rsidP="00AD4E52">
            <w:pPr>
              <w:pStyle w:val="CellColumn"/>
              <w:jc w:val="left"/>
            </w:pPr>
            <w:r>
              <w:rPr>
                <w:rFonts w:cs="Times New Roman"/>
              </w:rPr>
              <w:t>Praćenje klime i klimatskih promjena na području Hrvatske s težištem na ekstremnim meteorološkim prilikama (suše, toplinski valovi, oborina)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3</w:t>
            </w:r>
          </w:p>
        </w:tc>
      </w:tr>
      <w:tr w:rsidR="00505632" w:rsidTr="00AD4E52">
        <w:trPr>
          <w:jc w:val="center"/>
        </w:trPr>
        <w:tc>
          <w:tcPr>
            <w:tcW w:w="2551" w:type="dxa"/>
          </w:tcPr>
          <w:p w:rsidR="00505632" w:rsidRDefault="00505632" w:rsidP="00AD4E52">
            <w:pPr>
              <w:pStyle w:val="CellColumn"/>
              <w:jc w:val="left"/>
            </w:pPr>
            <w:r>
              <w:rPr>
                <w:rFonts w:cs="Times New Roman"/>
              </w:rPr>
              <w:t>Prikaz prostornih osobitosti klime pomoću digitalnih klimatskih karata</w:t>
            </w:r>
          </w:p>
        </w:tc>
        <w:tc>
          <w:tcPr>
            <w:tcW w:w="2551" w:type="dxa"/>
          </w:tcPr>
          <w:p w:rsidR="00505632" w:rsidRDefault="00505632" w:rsidP="00AD4E52">
            <w:pPr>
              <w:pStyle w:val="CellColumn"/>
              <w:jc w:val="left"/>
            </w:pPr>
            <w:r>
              <w:rPr>
                <w:rFonts w:cs="Times New Roman"/>
              </w:rPr>
              <w:t>Digitalne  klimatske karte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60</w:t>
            </w:r>
          </w:p>
        </w:tc>
      </w:tr>
      <w:tr w:rsidR="00505632" w:rsidTr="00AD4E52">
        <w:trPr>
          <w:jc w:val="center"/>
        </w:trPr>
        <w:tc>
          <w:tcPr>
            <w:tcW w:w="2551" w:type="dxa"/>
          </w:tcPr>
          <w:p w:rsidR="00505632" w:rsidRDefault="00505632" w:rsidP="00AD4E52">
            <w:pPr>
              <w:pStyle w:val="CellColumn"/>
              <w:jc w:val="left"/>
            </w:pPr>
            <w:r>
              <w:rPr>
                <w:rFonts w:cs="Times New Roman"/>
              </w:rPr>
              <w:t>Izrada nacionalnog klimatskog atlasa za razdoblje 1981-2010.</w:t>
            </w:r>
          </w:p>
        </w:tc>
        <w:tc>
          <w:tcPr>
            <w:tcW w:w="2551" w:type="dxa"/>
          </w:tcPr>
          <w:p w:rsidR="00505632" w:rsidRDefault="00505632" w:rsidP="00AD4E52">
            <w:pPr>
              <w:pStyle w:val="CellColumn"/>
              <w:jc w:val="left"/>
            </w:pPr>
            <w:r>
              <w:rPr>
                <w:rFonts w:cs="Times New Roman"/>
              </w:rPr>
              <w:t>Klimatski atlas Hrvatske</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Izrađen DA/NE</w:t>
            </w:r>
          </w:p>
        </w:tc>
        <w:tc>
          <w:tcPr>
            <w:tcW w:w="1020" w:type="dxa"/>
          </w:tcPr>
          <w:p w:rsidR="00505632" w:rsidRDefault="00505632" w:rsidP="00AD4E52">
            <w:pPr>
              <w:pStyle w:val="CellColumn"/>
              <w:jc w:val="right"/>
            </w:pPr>
            <w:r>
              <w:rPr>
                <w:rFonts w:cs="Times New Roman"/>
              </w:rPr>
              <w:t xml:space="preserve">1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NE</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 xml:space="preserve">1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NE</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Primjena regionalnog klimatskog modela (RegCM4) i usporedba s dostupnim simulacijama drugih klimatskih modela (npr. baze ENSEMBLES, CORDEX)</w:t>
            </w:r>
          </w:p>
        </w:tc>
        <w:tc>
          <w:tcPr>
            <w:tcW w:w="2551" w:type="dxa"/>
          </w:tcPr>
          <w:p w:rsidR="00505632" w:rsidRDefault="00505632" w:rsidP="00AD4E52">
            <w:pPr>
              <w:pStyle w:val="CellColumn"/>
              <w:jc w:val="left"/>
            </w:pPr>
            <w:r>
              <w:rPr>
                <w:rFonts w:cs="Times New Roman"/>
              </w:rPr>
              <w:t>Izrada scenarija buduće klime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4</w:t>
            </w:r>
          </w:p>
        </w:tc>
      </w:tr>
      <w:tr w:rsidR="00505632" w:rsidTr="00AD4E52">
        <w:trPr>
          <w:jc w:val="center"/>
        </w:trPr>
        <w:tc>
          <w:tcPr>
            <w:tcW w:w="2551" w:type="dxa"/>
          </w:tcPr>
          <w:p w:rsidR="00505632" w:rsidRDefault="00505632" w:rsidP="00AD4E52">
            <w:pPr>
              <w:pStyle w:val="CellColumn"/>
              <w:jc w:val="left"/>
            </w:pPr>
            <w:r>
              <w:rPr>
                <w:rFonts w:cs="Times New Roman"/>
              </w:rPr>
              <w:t>Uspostavljen modelski sustav</w:t>
            </w:r>
          </w:p>
        </w:tc>
        <w:tc>
          <w:tcPr>
            <w:tcW w:w="2551" w:type="dxa"/>
          </w:tcPr>
          <w:p w:rsidR="00505632" w:rsidRDefault="00505632" w:rsidP="00AD4E52">
            <w:pPr>
              <w:pStyle w:val="CellColumn"/>
              <w:jc w:val="left"/>
            </w:pPr>
            <w:r>
              <w:rPr>
                <w:rFonts w:cs="Times New Roman"/>
              </w:rPr>
              <w:t>Disperzijski model je osnovni alat</w:t>
            </w:r>
          </w:p>
        </w:tc>
        <w:tc>
          <w:tcPr>
            <w:tcW w:w="1020" w:type="dxa"/>
          </w:tcPr>
          <w:p w:rsidR="00505632" w:rsidRDefault="00505632" w:rsidP="00AD4E52">
            <w:pPr>
              <w:pStyle w:val="CellColumn"/>
              <w:jc w:val="right"/>
            </w:pPr>
            <w:r>
              <w:rPr>
                <w:rFonts w:cs="Times New Roman"/>
              </w:rPr>
              <w:t>Vrjeme reakcije (min)</w:t>
            </w:r>
          </w:p>
        </w:tc>
        <w:tc>
          <w:tcPr>
            <w:tcW w:w="1020" w:type="dxa"/>
          </w:tcPr>
          <w:p w:rsidR="00505632" w:rsidRDefault="00505632" w:rsidP="00AD4E52">
            <w:pPr>
              <w:pStyle w:val="CellColumn"/>
              <w:jc w:val="right"/>
            </w:pPr>
            <w:r>
              <w:rPr>
                <w:rFonts w:cs="Times New Roman"/>
              </w:rPr>
              <w:t>120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120</w:t>
            </w:r>
          </w:p>
        </w:tc>
        <w:tc>
          <w:tcPr>
            <w:tcW w:w="1020" w:type="dxa"/>
          </w:tcPr>
          <w:p w:rsidR="00505632" w:rsidRDefault="00505632" w:rsidP="00AD4E52">
            <w:pPr>
              <w:pStyle w:val="CellColumn"/>
              <w:jc w:val="right"/>
            </w:pPr>
            <w:r>
              <w:rPr>
                <w:rFonts w:cs="Times New Roman"/>
              </w:rPr>
              <w:t>120</w:t>
            </w:r>
          </w:p>
        </w:tc>
      </w:tr>
      <w:tr w:rsidR="00505632" w:rsidTr="00AD4E52">
        <w:trPr>
          <w:jc w:val="center"/>
        </w:trPr>
        <w:tc>
          <w:tcPr>
            <w:tcW w:w="2551" w:type="dxa"/>
          </w:tcPr>
          <w:p w:rsidR="00505632" w:rsidRDefault="00505632" w:rsidP="00AD4E52">
            <w:pPr>
              <w:pStyle w:val="CellColumn"/>
              <w:jc w:val="left"/>
            </w:pPr>
            <w:r>
              <w:rPr>
                <w:rFonts w:cs="Times New Roman"/>
              </w:rPr>
              <w:t>Broj obučenih stručnjaka</w:t>
            </w:r>
          </w:p>
        </w:tc>
        <w:tc>
          <w:tcPr>
            <w:tcW w:w="2551" w:type="dxa"/>
          </w:tcPr>
          <w:p w:rsidR="00505632" w:rsidRDefault="00505632" w:rsidP="00AD4E52">
            <w:pPr>
              <w:pStyle w:val="CellColumn"/>
              <w:jc w:val="left"/>
            </w:pPr>
            <w:r>
              <w:rPr>
                <w:rFonts w:cs="Times New Roman"/>
              </w:rPr>
              <w:t>Zapošljavanje i stručno usavršavanje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Izrada Data Huba za prijem i automatsku kontrolu ulaznih podataka</w:t>
            </w:r>
          </w:p>
        </w:tc>
        <w:tc>
          <w:tcPr>
            <w:tcW w:w="2551" w:type="dxa"/>
          </w:tcPr>
          <w:p w:rsidR="00505632" w:rsidRDefault="00505632" w:rsidP="00AD4E52">
            <w:pPr>
              <w:pStyle w:val="CellColumn"/>
              <w:jc w:val="left"/>
            </w:pPr>
            <w:r>
              <w:rPr>
                <w:rFonts w:cs="Times New Roman"/>
              </w:rPr>
              <w:t>Data Hub (hardware&amp; software) služi za prijem i automatsku kontrolu kvalitete svih ulaznih podataka</w:t>
            </w:r>
          </w:p>
        </w:tc>
        <w:tc>
          <w:tcPr>
            <w:tcW w:w="1020" w:type="dxa"/>
          </w:tcPr>
          <w:p w:rsidR="00505632" w:rsidRDefault="00505632" w:rsidP="00AD4E52">
            <w:pPr>
              <w:pStyle w:val="CellColumn"/>
              <w:jc w:val="right"/>
            </w:pPr>
            <w:r>
              <w:rPr>
                <w:rFonts w:cs="Times New Roman"/>
              </w:rPr>
              <w:t>Broj podataka uz  real time kontrolu kvalitete</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10%</w:t>
            </w:r>
          </w:p>
        </w:tc>
      </w:tr>
      <w:tr w:rsidR="00505632" w:rsidTr="00AD4E52">
        <w:trPr>
          <w:jc w:val="center"/>
        </w:trPr>
        <w:tc>
          <w:tcPr>
            <w:tcW w:w="2551" w:type="dxa"/>
          </w:tcPr>
          <w:p w:rsidR="00505632" w:rsidRDefault="00505632" w:rsidP="00AD4E52">
            <w:pPr>
              <w:pStyle w:val="CellColumn"/>
              <w:jc w:val="left"/>
            </w:pPr>
            <w:r>
              <w:rPr>
                <w:rFonts w:cs="Times New Roman"/>
              </w:rPr>
              <w:t>Povezanost postojećih baza podataka</w:t>
            </w:r>
          </w:p>
        </w:tc>
        <w:tc>
          <w:tcPr>
            <w:tcW w:w="2551" w:type="dxa"/>
          </w:tcPr>
          <w:p w:rsidR="00505632" w:rsidRDefault="00505632" w:rsidP="00AD4E52">
            <w:pPr>
              <w:pStyle w:val="CellColumn"/>
              <w:jc w:val="left"/>
            </w:pPr>
            <w:r>
              <w:rPr>
                <w:rFonts w:cs="Times New Roman"/>
              </w:rPr>
              <w:t>Objedinjena baza podataka povezuje met., hidr. i podatke o kvaliteti zraka</w:t>
            </w:r>
          </w:p>
        </w:tc>
        <w:tc>
          <w:tcPr>
            <w:tcW w:w="1020" w:type="dxa"/>
          </w:tcPr>
          <w:p w:rsidR="00505632" w:rsidRDefault="00505632" w:rsidP="00AD4E52">
            <w:pPr>
              <w:pStyle w:val="CellColumn"/>
              <w:jc w:val="right"/>
            </w:pPr>
            <w:r>
              <w:rPr>
                <w:rFonts w:cs="Times New Roman"/>
              </w:rPr>
              <w:t>Broj postojećih baza  pod. povezanih u integrirani sustav</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10%</w:t>
            </w:r>
          </w:p>
        </w:tc>
      </w:tr>
      <w:tr w:rsidR="00505632" w:rsidTr="00AD4E52">
        <w:trPr>
          <w:jc w:val="center"/>
        </w:trPr>
        <w:tc>
          <w:tcPr>
            <w:tcW w:w="2551" w:type="dxa"/>
          </w:tcPr>
          <w:p w:rsidR="00505632" w:rsidRDefault="00505632" w:rsidP="00AD4E52">
            <w:pPr>
              <w:pStyle w:val="CellColumn"/>
              <w:jc w:val="left"/>
            </w:pPr>
            <w:r>
              <w:rPr>
                <w:rFonts w:cs="Times New Roman"/>
              </w:rPr>
              <w:t>Postotak definiranih standardnih metoda prikaza podataka iz baze podataka</w:t>
            </w:r>
          </w:p>
        </w:tc>
        <w:tc>
          <w:tcPr>
            <w:tcW w:w="2551" w:type="dxa"/>
          </w:tcPr>
          <w:p w:rsidR="00505632" w:rsidRDefault="00505632" w:rsidP="00AD4E52">
            <w:pPr>
              <w:pStyle w:val="CellColumn"/>
              <w:jc w:val="left"/>
            </w:pPr>
            <w:r>
              <w:rPr>
                <w:rFonts w:cs="Times New Roman"/>
              </w:rPr>
              <w:t>Standardizirani prikaz podataka  daje kvalitetniju osnovu za analize, prognoze  i  ostale namjene</w:t>
            </w:r>
          </w:p>
        </w:tc>
        <w:tc>
          <w:tcPr>
            <w:tcW w:w="1020" w:type="dxa"/>
          </w:tcPr>
          <w:p w:rsidR="00505632" w:rsidRDefault="00505632" w:rsidP="00AD4E52">
            <w:pPr>
              <w:pStyle w:val="CellColumn"/>
              <w:jc w:val="right"/>
            </w:pPr>
            <w:r>
              <w:rPr>
                <w:rFonts w:cs="Times New Roman"/>
              </w:rPr>
              <w:t>% podataka koji se mogu prikazati uz jedinstveni standard</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20%</w:t>
            </w:r>
          </w:p>
        </w:tc>
      </w:tr>
      <w:tr w:rsidR="00505632" w:rsidTr="00AD4E52">
        <w:trPr>
          <w:jc w:val="center"/>
        </w:trPr>
        <w:tc>
          <w:tcPr>
            <w:tcW w:w="2551" w:type="dxa"/>
          </w:tcPr>
          <w:p w:rsidR="00505632" w:rsidRDefault="00505632" w:rsidP="00AD4E52">
            <w:pPr>
              <w:pStyle w:val="CellColumn"/>
              <w:jc w:val="left"/>
            </w:pPr>
            <w:r>
              <w:rPr>
                <w:rFonts w:cs="Times New Roman"/>
              </w:rPr>
              <w:t>Obuhvat povijesnih podataka i prebacivanje iz analognog u digitalni oblik</w:t>
            </w:r>
          </w:p>
        </w:tc>
        <w:tc>
          <w:tcPr>
            <w:tcW w:w="2551" w:type="dxa"/>
          </w:tcPr>
          <w:p w:rsidR="00505632" w:rsidRDefault="00505632" w:rsidP="00AD4E52">
            <w:pPr>
              <w:pStyle w:val="CellColumn"/>
              <w:jc w:val="left"/>
            </w:pPr>
            <w:r>
              <w:rPr>
                <w:rFonts w:cs="Times New Roman"/>
              </w:rPr>
              <w:t>Digitalni oblik je primjenjiviji za  informatičku obradu</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60%</w:t>
            </w:r>
          </w:p>
        </w:tc>
      </w:tr>
      <w:tr w:rsidR="00505632" w:rsidTr="00AD4E52">
        <w:trPr>
          <w:jc w:val="center"/>
        </w:trPr>
        <w:tc>
          <w:tcPr>
            <w:tcW w:w="2551" w:type="dxa"/>
          </w:tcPr>
          <w:p w:rsidR="00505632" w:rsidRDefault="00505632" w:rsidP="00AD4E52">
            <w:pPr>
              <w:pStyle w:val="CellColumn"/>
              <w:jc w:val="left"/>
            </w:pPr>
            <w:r>
              <w:rPr>
                <w:rFonts w:cs="Times New Roman"/>
              </w:rPr>
              <w:t>Sudjelovanje na različitim stručnim i znanstvenim radionicama i školama</w:t>
            </w:r>
          </w:p>
        </w:tc>
        <w:tc>
          <w:tcPr>
            <w:tcW w:w="2551" w:type="dxa"/>
          </w:tcPr>
          <w:p w:rsidR="00505632" w:rsidRDefault="00505632" w:rsidP="00AD4E52">
            <w:pPr>
              <w:pStyle w:val="CellColumn"/>
              <w:jc w:val="left"/>
            </w:pPr>
            <w:r>
              <w:rPr>
                <w:rFonts w:cs="Times New Roman"/>
              </w:rPr>
              <w:t>Razmjena specijalističkih znanja, osobito u području numeričkog, klimatološkog, biometeorološkog i agrometeorološkog modeliranja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9</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9</w:t>
            </w:r>
          </w:p>
        </w:tc>
        <w:tc>
          <w:tcPr>
            <w:tcW w:w="1020" w:type="dxa"/>
          </w:tcPr>
          <w:p w:rsidR="00505632" w:rsidRDefault="00505632" w:rsidP="00AD4E52">
            <w:pPr>
              <w:pStyle w:val="CellColumn"/>
              <w:jc w:val="right"/>
            </w:pPr>
            <w:r>
              <w:rPr>
                <w:rFonts w:cs="Times New Roman"/>
              </w:rPr>
              <w:t>9</w:t>
            </w:r>
          </w:p>
        </w:tc>
      </w:tr>
      <w:tr w:rsidR="00505632" w:rsidTr="00AD4E52">
        <w:trPr>
          <w:jc w:val="center"/>
        </w:trPr>
        <w:tc>
          <w:tcPr>
            <w:tcW w:w="2551" w:type="dxa"/>
          </w:tcPr>
          <w:p w:rsidR="00505632" w:rsidRDefault="00505632" w:rsidP="00AD4E52">
            <w:pPr>
              <w:pStyle w:val="CellColumn"/>
              <w:jc w:val="left"/>
            </w:pPr>
            <w:r>
              <w:rPr>
                <w:rFonts w:cs="Times New Roman"/>
              </w:rPr>
              <w:t>Studijski boravci na znanstvenim i stručnim ustanovama u inozemstvu</w:t>
            </w:r>
          </w:p>
        </w:tc>
        <w:tc>
          <w:tcPr>
            <w:tcW w:w="2551" w:type="dxa"/>
          </w:tcPr>
          <w:p w:rsidR="00505632" w:rsidRDefault="00505632" w:rsidP="00AD4E52">
            <w:pPr>
              <w:pStyle w:val="CellColumn"/>
              <w:jc w:val="left"/>
            </w:pPr>
            <w:r>
              <w:rPr>
                <w:rFonts w:cs="Times New Roman"/>
              </w:rPr>
              <w:t>Stjecanje posebnih znanja i vještina koje još nisu dovoljno razvijene kod nas</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5</w:t>
            </w:r>
          </w:p>
        </w:tc>
      </w:tr>
      <w:tr w:rsidR="00505632" w:rsidTr="00AD4E52">
        <w:trPr>
          <w:jc w:val="center"/>
        </w:trPr>
        <w:tc>
          <w:tcPr>
            <w:tcW w:w="2551" w:type="dxa"/>
          </w:tcPr>
          <w:p w:rsidR="00505632" w:rsidRDefault="00505632" w:rsidP="00AD4E52">
            <w:pPr>
              <w:pStyle w:val="CellColumn"/>
              <w:jc w:val="left"/>
            </w:pPr>
            <w:r>
              <w:rPr>
                <w:rFonts w:cs="Times New Roman"/>
              </w:rPr>
              <w:t>Pohađanje doktorskog studija</w:t>
            </w:r>
          </w:p>
        </w:tc>
        <w:tc>
          <w:tcPr>
            <w:tcW w:w="2551" w:type="dxa"/>
          </w:tcPr>
          <w:p w:rsidR="00505632" w:rsidRDefault="00505632" w:rsidP="00AD4E52">
            <w:pPr>
              <w:pStyle w:val="CellColumn"/>
              <w:jc w:val="left"/>
            </w:pPr>
            <w:r>
              <w:rPr>
                <w:rFonts w:cs="Times New Roman"/>
              </w:rPr>
              <w:t>Stjecanje stupnja doktora znanosti</w:t>
            </w:r>
          </w:p>
        </w:tc>
        <w:tc>
          <w:tcPr>
            <w:tcW w:w="1020" w:type="dxa"/>
          </w:tcPr>
          <w:p w:rsidR="00505632" w:rsidRDefault="00505632" w:rsidP="00AD4E52">
            <w:pPr>
              <w:pStyle w:val="CellColumn"/>
              <w:jc w:val="right"/>
            </w:pPr>
            <w:r>
              <w:rPr>
                <w:rFonts w:cs="Times New Roman"/>
              </w:rPr>
              <w:t>Broj djelatnika</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7</w:t>
            </w:r>
          </w:p>
        </w:tc>
      </w:tr>
      <w:tr w:rsidR="00505632" w:rsidTr="00AD4E52">
        <w:trPr>
          <w:jc w:val="center"/>
        </w:trPr>
        <w:tc>
          <w:tcPr>
            <w:tcW w:w="2551" w:type="dxa"/>
          </w:tcPr>
          <w:p w:rsidR="00505632" w:rsidRDefault="00505632" w:rsidP="00AD4E52">
            <w:pPr>
              <w:pStyle w:val="CellColumn"/>
              <w:jc w:val="left"/>
            </w:pPr>
            <w:r>
              <w:rPr>
                <w:rFonts w:cs="Times New Roman"/>
              </w:rPr>
              <w:t>Broj znanstvenih projekata</w:t>
            </w:r>
          </w:p>
        </w:tc>
        <w:tc>
          <w:tcPr>
            <w:tcW w:w="2551" w:type="dxa"/>
          </w:tcPr>
          <w:p w:rsidR="00505632" w:rsidRDefault="00505632" w:rsidP="00AD4E52">
            <w:pPr>
              <w:pStyle w:val="CellColumn"/>
              <w:jc w:val="left"/>
            </w:pPr>
            <w:r>
              <w:rPr>
                <w:rFonts w:cs="Times New Roman"/>
              </w:rPr>
              <w:t>Istraživanja i unapređenja metoda i alata u svrhu povećanja znanja i kvalitete proizvoda i usluga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14</w:t>
            </w:r>
          </w:p>
        </w:tc>
        <w:tc>
          <w:tcPr>
            <w:tcW w:w="1020" w:type="dxa"/>
          </w:tcPr>
          <w:p w:rsidR="00505632" w:rsidRDefault="00505632" w:rsidP="00AD4E52">
            <w:pPr>
              <w:pStyle w:val="CellColumn"/>
              <w:jc w:val="right"/>
            </w:pPr>
            <w:r>
              <w:rPr>
                <w:rFonts w:cs="Times New Roman"/>
              </w:rPr>
              <w:t xml:space="preserve">DHMZ, EU fondovi,  </w:t>
            </w:r>
          </w:p>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MZOS, agencije</w:t>
            </w:r>
          </w:p>
        </w:tc>
        <w:tc>
          <w:tcPr>
            <w:tcW w:w="1020" w:type="dxa"/>
          </w:tcPr>
          <w:p w:rsidR="00505632" w:rsidRDefault="00505632" w:rsidP="00AD4E52">
            <w:pPr>
              <w:pStyle w:val="CellColumn"/>
              <w:jc w:val="right"/>
            </w:pPr>
            <w:r>
              <w:rPr>
                <w:rFonts w:cs="Times New Roman"/>
              </w:rPr>
              <w:t>14</w:t>
            </w:r>
          </w:p>
        </w:tc>
        <w:tc>
          <w:tcPr>
            <w:tcW w:w="1020" w:type="dxa"/>
          </w:tcPr>
          <w:p w:rsidR="00505632" w:rsidRDefault="00505632" w:rsidP="00AD4E52">
            <w:pPr>
              <w:pStyle w:val="CellColumn"/>
              <w:jc w:val="right"/>
            </w:pPr>
            <w:r>
              <w:rPr>
                <w:rFonts w:cs="Times New Roman"/>
              </w:rPr>
              <w:t>14</w:t>
            </w:r>
          </w:p>
        </w:tc>
      </w:tr>
      <w:tr w:rsidR="00505632" w:rsidTr="00AD4E52">
        <w:trPr>
          <w:jc w:val="center"/>
        </w:trPr>
        <w:tc>
          <w:tcPr>
            <w:tcW w:w="2551" w:type="dxa"/>
          </w:tcPr>
          <w:p w:rsidR="00505632" w:rsidRDefault="00505632" w:rsidP="00AD4E52">
            <w:pPr>
              <w:pStyle w:val="CellColumn"/>
              <w:jc w:val="left"/>
            </w:pPr>
            <w:r>
              <w:rPr>
                <w:rFonts w:cs="Times New Roman"/>
              </w:rPr>
              <w:t>Publicirani znanstveni radovi</w:t>
            </w:r>
          </w:p>
        </w:tc>
        <w:tc>
          <w:tcPr>
            <w:tcW w:w="2551" w:type="dxa"/>
          </w:tcPr>
          <w:p w:rsidR="00505632" w:rsidRDefault="00505632" w:rsidP="00AD4E52">
            <w:pPr>
              <w:pStyle w:val="CellColumn"/>
              <w:jc w:val="left"/>
            </w:pPr>
            <w:r>
              <w:rPr>
                <w:rFonts w:cs="Times New Roman"/>
              </w:rPr>
              <w:t>Znanstveni radovi objavljeni u domaćim i međunarodnim časopisima</w:t>
            </w:r>
          </w:p>
        </w:tc>
        <w:tc>
          <w:tcPr>
            <w:tcW w:w="1020" w:type="dxa"/>
          </w:tcPr>
          <w:p w:rsidR="00505632" w:rsidRDefault="00505632" w:rsidP="00AD4E52">
            <w:pPr>
              <w:pStyle w:val="CellColumn"/>
              <w:jc w:val="right"/>
            </w:pPr>
            <w:r>
              <w:rPr>
                <w:rFonts w:cs="Times New Roman"/>
              </w:rPr>
              <w:t>Broj znanstvenih radova</w:t>
            </w:r>
          </w:p>
        </w:tc>
        <w:tc>
          <w:tcPr>
            <w:tcW w:w="1020" w:type="dxa"/>
          </w:tcPr>
          <w:p w:rsidR="00505632" w:rsidRDefault="00505632" w:rsidP="00AD4E52">
            <w:pPr>
              <w:pStyle w:val="CellColumn"/>
              <w:jc w:val="right"/>
            </w:pPr>
            <w:r>
              <w:rPr>
                <w:rFonts w:cs="Times New Roman"/>
              </w:rPr>
              <w:t>16</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16</w:t>
            </w:r>
          </w:p>
        </w:tc>
        <w:tc>
          <w:tcPr>
            <w:tcW w:w="1020" w:type="dxa"/>
          </w:tcPr>
          <w:p w:rsidR="00505632" w:rsidRDefault="00505632" w:rsidP="00AD4E52">
            <w:pPr>
              <w:pStyle w:val="CellColumn"/>
              <w:jc w:val="right"/>
            </w:pPr>
            <w:r>
              <w:rPr>
                <w:rFonts w:cs="Times New Roman"/>
              </w:rPr>
              <w:t>16</w:t>
            </w:r>
          </w:p>
        </w:tc>
      </w:tr>
      <w:tr w:rsidR="00505632" w:rsidTr="00AD4E52">
        <w:trPr>
          <w:jc w:val="center"/>
        </w:trPr>
        <w:tc>
          <w:tcPr>
            <w:tcW w:w="2551" w:type="dxa"/>
          </w:tcPr>
          <w:p w:rsidR="00505632" w:rsidRDefault="00505632" w:rsidP="00AD4E52">
            <w:pPr>
              <w:pStyle w:val="CellColumn"/>
              <w:jc w:val="left"/>
            </w:pPr>
            <w:r>
              <w:rPr>
                <w:rFonts w:cs="Times New Roman"/>
              </w:rPr>
              <w:t>Usmene prezentacije na domaćim i međunarodnim konferencijama</w:t>
            </w:r>
          </w:p>
        </w:tc>
        <w:tc>
          <w:tcPr>
            <w:tcW w:w="2551" w:type="dxa"/>
          </w:tcPr>
          <w:p w:rsidR="00505632" w:rsidRDefault="00505632" w:rsidP="00AD4E52">
            <w:pPr>
              <w:pStyle w:val="CellColumn"/>
              <w:jc w:val="left"/>
            </w:pPr>
            <w:r>
              <w:rPr>
                <w:rFonts w:cs="Times New Roman"/>
              </w:rPr>
              <w:t>Usmene prezentacije na domaćim i međunarodnim konferencijama, seminarima i simpozijima</w:t>
            </w:r>
          </w:p>
        </w:tc>
        <w:tc>
          <w:tcPr>
            <w:tcW w:w="1020" w:type="dxa"/>
          </w:tcPr>
          <w:p w:rsidR="00505632" w:rsidRDefault="00505632" w:rsidP="00AD4E52">
            <w:pPr>
              <w:pStyle w:val="CellColumn"/>
              <w:jc w:val="right"/>
            </w:pPr>
            <w:r>
              <w:rPr>
                <w:rFonts w:cs="Times New Roman"/>
              </w:rPr>
              <w:t>Broj prezentacija</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20</w:t>
            </w:r>
          </w:p>
        </w:tc>
      </w:tr>
      <w:tr w:rsidR="00505632" w:rsidTr="00AD4E52">
        <w:trPr>
          <w:jc w:val="center"/>
        </w:trPr>
        <w:tc>
          <w:tcPr>
            <w:tcW w:w="2551" w:type="dxa"/>
          </w:tcPr>
          <w:p w:rsidR="00505632" w:rsidRDefault="00505632" w:rsidP="00AD4E52">
            <w:pPr>
              <w:pStyle w:val="CellColumn"/>
              <w:jc w:val="left"/>
            </w:pPr>
            <w:r>
              <w:rPr>
                <w:rFonts w:cs="Times New Roman"/>
              </w:rPr>
              <w:t>Poster prezentacije na domaćim i međunarodnim konferencijama</w:t>
            </w:r>
          </w:p>
        </w:tc>
        <w:tc>
          <w:tcPr>
            <w:tcW w:w="2551" w:type="dxa"/>
          </w:tcPr>
          <w:p w:rsidR="00505632" w:rsidRDefault="00505632" w:rsidP="00AD4E52">
            <w:pPr>
              <w:pStyle w:val="CellColumn"/>
              <w:jc w:val="left"/>
            </w:pPr>
            <w:r>
              <w:rPr>
                <w:rFonts w:cs="Times New Roman"/>
              </w:rPr>
              <w:t>Poster prezentacije na domaćim i međunarodnim konferencijama, seminarima i simpozijima</w:t>
            </w:r>
          </w:p>
        </w:tc>
        <w:tc>
          <w:tcPr>
            <w:tcW w:w="1020" w:type="dxa"/>
          </w:tcPr>
          <w:p w:rsidR="00505632" w:rsidRDefault="00505632" w:rsidP="00AD4E52">
            <w:pPr>
              <w:pStyle w:val="CellColumn"/>
              <w:jc w:val="right"/>
            </w:pPr>
            <w:r>
              <w:rPr>
                <w:rFonts w:cs="Times New Roman"/>
              </w:rPr>
              <w:t>Broj prezentacija</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20</w:t>
            </w:r>
          </w:p>
        </w:tc>
      </w:tr>
      <w:tr w:rsidR="00505632" w:rsidTr="00AD4E52">
        <w:trPr>
          <w:jc w:val="center"/>
        </w:trPr>
        <w:tc>
          <w:tcPr>
            <w:tcW w:w="2551" w:type="dxa"/>
          </w:tcPr>
          <w:p w:rsidR="00505632" w:rsidRDefault="00505632" w:rsidP="00AD4E52">
            <w:pPr>
              <w:pStyle w:val="CellColumn"/>
              <w:jc w:val="left"/>
            </w:pPr>
            <w:r>
              <w:rPr>
                <w:rFonts w:cs="Times New Roman"/>
              </w:rPr>
              <w:t>Stručno usavršeni zaposlenici za potrebe službe</w:t>
            </w:r>
          </w:p>
        </w:tc>
        <w:tc>
          <w:tcPr>
            <w:tcW w:w="2551" w:type="dxa"/>
          </w:tcPr>
          <w:p w:rsidR="00505632" w:rsidRDefault="00505632" w:rsidP="00AD4E52">
            <w:pPr>
              <w:pStyle w:val="CellColumn"/>
              <w:jc w:val="left"/>
            </w:pPr>
            <w:r>
              <w:rPr>
                <w:rFonts w:cs="Times New Roman"/>
              </w:rPr>
              <w:t>Obrazovanje i stjecanje vještina jedna je od osnovnih vrijednosti DHMZ-a</w:t>
            </w:r>
          </w:p>
        </w:tc>
        <w:tc>
          <w:tcPr>
            <w:tcW w:w="1020" w:type="dxa"/>
          </w:tcPr>
          <w:p w:rsidR="00505632" w:rsidRDefault="00505632" w:rsidP="00AD4E52">
            <w:pPr>
              <w:pStyle w:val="CellColumn"/>
              <w:jc w:val="right"/>
            </w:pPr>
            <w:r>
              <w:rPr>
                <w:rFonts w:cs="Times New Roman"/>
              </w:rPr>
              <w:t>Broj završenih seminara i radionica po zaposleniku</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Strategija DHMZ-a</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Novi dizajn web stranice DHMZ-a i veći broj podataka</w:t>
            </w:r>
          </w:p>
        </w:tc>
        <w:tc>
          <w:tcPr>
            <w:tcW w:w="2551" w:type="dxa"/>
          </w:tcPr>
          <w:p w:rsidR="00505632" w:rsidRDefault="00505632" w:rsidP="00AD4E52">
            <w:pPr>
              <w:pStyle w:val="CellColumn"/>
              <w:jc w:val="left"/>
            </w:pPr>
            <w:r>
              <w:rPr>
                <w:rFonts w:cs="Times New Roman"/>
              </w:rPr>
              <w:t>Dizajn web stranice  -  izgled, funkcionalnost, dostupnost sadržaja i snalaženje na stranicama</w:t>
            </w:r>
          </w:p>
        </w:tc>
        <w:tc>
          <w:tcPr>
            <w:tcW w:w="1020" w:type="dxa"/>
          </w:tcPr>
          <w:p w:rsidR="00505632" w:rsidRDefault="00505632" w:rsidP="00AD4E52">
            <w:pPr>
              <w:pStyle w:val="CellColumn"/>
              <w:jc w:val="right"/>
            </w:pPr>
            <w:r>
              <w:rPr>
                <w:rFonts w:cs="Times New Roman"/>
              </w:rPr>
              <w:t>DA/NE</w:t>
            </w:r>
          </w:p>
        </w:tc>
        <w:tc>
          <w:tcPr>
            <w:tcW w:w="1020" w:type="dxa"/>
          </w:tcPr>
          <w:p w:rsidR="00505632" w:rsidRDefault="00505632" w:rsidP="00AD4E52">
            <w:pPr>
              <w:pStyle w:val="CellColumn"/>
              <w:jc w:val="right"/>
            </w:pPr>
            <w:r>
              <w:rPr>
                <w:rFonts w:cs="Times New Roman"/>
              </w:rPr>
              <w:t>NE</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DA</w:t>
            </w:r>
          </w:p>
        </w:tc>
        <w:tc>
          <w:tcPr>
            <w:tcW w:w="1020" w:type="dxa"/>
          </w:tcPr>
          <w:p w:rsidR="00505632" w:rsidRDefault="00505632" w:rsidP="00AD4E52">
            <w:pPr>
              <w:pStyle w:val="CellColumn"/>
              <w:jc w:val="right"/>
            </w:pPr>
            <w:r>
              <w:rPr>
                <w:rFonts w:cs="Times New Roman"/>
              </w:rPr>
              <w:t>NE</w:t>
            </w:r>
          </w:p>
        </w:tc>
      </w:tr>
      <w:tr w:rsidR="00505632" w:rsidTr="00AD4E52">
        <w:trPr>
          <w:jc w:val="center"/>
        </w:trPr>
        <w:tc>
          <w:tcPr>
            <w:tcW w:w="2551" w:type="dxa"/>
          </w:tcPr>
          <w:p w:rsidR="00505632" w:rsidRDefault="00505632" w:rsidP="00AD4E52">
            <w:pPr>
              <w:pStyle w:val="CellColumn"/>
              <w:jc w:val="left"/>
            </w:pPr>
            <w:r>
              <w:rPr>
                <w:rFonts w:cs="Times New Roman"/>
              </w:rPr>
              <w:t>Izračun koristi od usluga i produkata DHMZ-a</w:t>
            </w:r>
          </w:p>
        </w:tc>
        <w:tc>
          <w:tcPr>
            <w:tcW w:w="2551" w:type="dxa"/>
          </w:tcPr>
          <w:p w:rsidR="00505632" w:rsidRDefault="00505632" w:rsidP="00AD4E52">
            <w:pPr>
              <w:pStyle w:val="CellColumn"/>
              <w:jc w:val="left"/>
            </w:pPr>
            <w:r>
              <w:rPr>
                <w:rFonts w:cs="Times New Roman"/>
              </w:rPr>
              <w:t>Cost-benefit izračun pokazuje učinak izražen u novcu (od rada službe za društvo)</w:t>
            </w:r>
          </w:p>
        </w:tc>
        <w:tc>
          <w:tcPr>
            <w:tcW w:w="1020" w:type="dxa"/>
          </w:tcPr>
          <w:p w:rsidR="00505632" w:rsidRDefault="00505632" w:rsidP="00AD4E52">
            <w:pPr>
              <w:pStyle w:val="CellColumn"/>
              <w:jc w:val="right"/>
            </w:pPr>
            <w:r>
              <w:rPr>
                <w:rFonts w:cs="Times New Roman"/>
              </w:rPr>
              <w:t>DA / NE</w:t>
            </w:r>
          </w:p>
        </w:tc>
        <w:tc>
          <w:tcPr>
            <w:tcW w:w="1020" w:type="dxa"/>
          </w:tcPr>
          <w:p w:rsidR="00505632" w:rsidRDefault="00505632" w:rsidP="00AD4E52">
            <w:pPr>
              <w:pStyle w:val="CellColumn"/>
              <w:jc w:val="right"/>
            </w:pPr>
            <w:r>
              <w:rPr>
                <w:rFonts w:cs="Times New Roman"/>
              </w:rPr>
              <w:t>NE</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NE</w:t>
            </w:r>
          </w:p>
        </w:tc>
        <w:tc>
          <w:tcPr>
            <w:tcW w:w="1020" w:type="dxa"/>
          </w:tcPr>
          <w:p w:rsidR="00505632" w:rsidRDefault="00505632" w:rsidP="00AD4E52">
            <w:pPr>
              <w:pStyle w:val="CellColumn"/>
              <w:jc w:val="right"/>
            </w:pPr>
            <w:r>
              <w:rPr>
                <w:rFonts w:cs="Times New Roman"/>
              </w:rPr>
              <w:t>NE</w:t>
            </w:r>
          </w:p>
        </w:tc>
      </w:tr>
    </w:tbl>
    <w:p w:rsidR="00505632" w:rsidRDefault="00505632" w:rsidP="00505632">
      <w:pPr>
        <w:jc w:val="left"/>
      </w:pPr>
    </w:p>
    <w:p w:rsidR="00505632" w:rsidRDefault="00505632" w:rsidP="00505632">
      <w:pPr>
        <w:pStyle w:val="Heading4"/>
      </w:pPr>
      <w:r>
        <w:t>A654015 DRŽAVNA INFRASTRUKTURA ZA MOTRENJA ATMOSFERE,VODA I KVALITETE ZRAKA</w:t>
      </w:r>
    </w:p>
    <w:tbl>
      <w:tblPr>
        <w:tblStyle w:val="StilTablice"/>
        <w:tblW w:w="10206" w:type="dxa"/>
        <w:jc w:val="center"/>
        <w:tblLook w:val="04A0" w:firstRow="1" w:lastRow="0" w:firstColumn="1" w:lastColumn="0" w:noHBand="0" w:noVBand="1"/>
      </w:tblPr>
      <w:tblGrid>
        <w:gridCol w:w="1931"/>
        <w:gridCol w:w="1954"/>
        <w:gridCol w:w="1954"/>
        <w:gridCol w:w="1954"/>
        <w:gridCol w:w="1202"/>
        <w:gridCol w:w="121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A654015-DRŽAVNA INFRASTRUKTURA ZA MOTRENJA ATMOSFERE,VODA I KVALITETE ZRAKA</w:t>
            </w:r>
          </w:p>
        </w:tc>
        <w:tc>
          <w:tcPr>
            <w:tcW w:w="2041" w:type="dxa"/>
          </w:tcPr>
          <w:p w:rsidR="00505632" w:rsidRDefault="00505632" w:rsidP="00AD4E52">
            <w:pPr>
              <w:pStyle w:val="CellColumn"/>
              <w:jc w:val="right"/>
            </w:pPr>
            <w:r>
              <w:rPr>
                <w:rFonts w:cs="Times New Roman"/>
              </w:rPr>
              <w:t>18.736.582</w:t>
            </w:r>
          </w:p>
        </w:tc>
        <w:tc>
          <w:tcPr>
            <w:tcW w:w="2041" w:type="dxa"/>
          </w:tcPr>
          <w:p w:rsidR="00505632" w:rsidRDefault="00505632" w:rsidP="00AD4E52">
            <w:pPr>
              <w:pStyle w:val="CellColumn"/>
              <w:jc w:val="right"/>
            </w:pPr>
            <w:r>
              <w:rPr>
                <w:rFonts w:cs="Times New Roman"/>
              </w:rPr>
              <w:t>16.502.500</w:t>
            </w:r>
          </w:p>
        </w:tc>
        <w:tc>
          <w:tcPr>
            <w:tcW w:w="2041" w:type="dxa"/>
          </w:tcPr>
          <w:p w:rsidR="00505632" w:rsidRDefault="00505632" w:rsidP="00AD4E52">
            <w:pPr>
              <w:pStyle w:val="CellColumn"/>
              <w:jc w:val="right"/>
            </w:pPr>
            <w:r>
              <w:rPr>
                <w:rFonts w:cs="Times New Roman"/>
              </w:rPr>
              <w:t>18.725.930</w:t>
            </w:r>
          </w:p>
        </w:tc>
        <w:tc>
          <w:tcPr>
            <w:tcW w:w="1224" w:type="dxa"/>
          </w:tcPr>
          <w:p w:rsidR="00505632" w:rsidRDefault="00505632" w:rsidP="00AD4E52">
            <w:pPr>
              <w:pStyle w:val="CellColumn"/>
              <w:jc w:val="right"/>
            </w:pPr>
            <w:r>
              <w:rPr>
                <w:rFonts w:cs="Times New Roman"/>
              </w:rPr>
              <w:t>113,5</w:t>
            </w:r>
          </w:p>
        </w:tc>
        <w:tc>
          <w:tcPr>
            <w:tcW w:w="1224" w:type="dxa"/>
          </w:tcPr>
          <w:p w:rsidR="00505632" w:rsidRDefault="00505632" w:rsidP="00AD4E52">
            <w:pPr>
              <w:pStyle w:val="CellColumn"/>
              <w:jc w:val="right"/>
            </w:pPr>
            <w:r>
              <w:rPr>
                <w:rFonts w:cs="Times New Roman"/>
              </w:rPr>
              <w:t>99,9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obavljanju poslova hidrometeorološke službe RH NN14/78 ,</w:t>
      </w:r>
    </w:p>
    <w:p w:rsidR="00505632" w:rsidRDefault="00505632" w:rsidP="00505632">
      <w:r>
        <w:t>Zakon o zaštiti zraka NN130/11, 47/14 "</w:t>
      </w:r>
    </w:p>
    <w:p w:rsidR="00505632" w:rsidRDefault="00505632" w:rsidP="00505632">
      <w:pPr>
        <w:pStyle w:val="Heading8"/>
        <w:jc w:val="left"/>
      </w:pPr>
      <w:r>
        <w:t>Opis aktivnosti</w:t>
      </w:r>
    </w:p>
    <w:p w:rsidR="00505632" w:rsidRDefault="00505632" w:rsidP="00505632">
      <w:r>
        <w:t xml:space="preserve">Planirana sredstva utrošena su za nabavu materijala i sirovina za obavljanje redovne djelatnosti na meteorološkim, hidrološkim i postajama za mjerenje kvalitete zraka te umjernog laboratorija. Slijedom navedenog, nabavljene su radiosonde, baloni, plinovi (vodik, dušik, helij) te kemikalije i laboratorijsko suđe.  </w:t>
      </w:r>
    </w:p>
    <w:p w:rsidR="00505632" w:rsidRDefault="00505632" w:rsidP="00505632">
      <w:r>
        <w:t xml:space="preserve">Velik dio sredstava utrošen je za isplate naknada honorarnim motriteljima na meteorološkim i hidrološkim postajama koji svakodnevno (24 sata / 365 dana) vrše mjerenja i prikupljaju podatke. </w:t>
      </w:r>
    </w:p>
    <w:p w:rsidR="00505632" w:rsidRDefault="00505632" w:rsidP="00505632">
      <w:r>
        <w:t xml:space="preserve">Ostatak sredstava utrošen je za nabavu instrumenata i opreme, održavanje zgrada, postaja, opreme kao i najam vozila potrebnih za obilazak postaja te umjeravanje instrumenata. </w:t>
      </w:r>
    </w:p>
    <w:p w:rsidR="00505632" w:rsidRDefault="00505632" w:rsidP="00505632">
      <w:r>
        <w:t xml:space="preserve">Svrha ove aktivnosti je kontinuirano dobivanje podataka o vremenu, klimi, vodama, kvaliteti zraka i tlu, u skladu s propisanim standardima Svjetske meteorološke organizacije za brojne potrebe RH te međunarodne potrebe. </w:t>
      </w:r>
    </w:p>
    <w:p w:rsidR="00505632" w:rsidRDefault="00505632" w:rsidP="00505632">
      <w:r>
        <w:t>Iz navedenog vidljivo je da sredstva koja su planirana na ovoj aktivnosti nisu bila dostatna za podmirenje troškova tako da je bilo potrebno osigurati dodatna sredstva iz ostalih izvora te su ista osigurana iz vlastitih prihoda.</w:t>
      </w:r>
    </w:p>
    <w:p w:rsidR="00505632" w:rsidRDefault="00505632" w:rsidP="00505632">
      <w:pPr>
        <w:pStyle w:val="Heading4"/>
      </w:pPr>
      <w:r>
        <w:t>A654017 NACIONALNA ARHIVA I BAZA METEOROLOŠKIH,HIDROLOŠKIH I PODATAKA O KVALITETI ZRAKA</w:t>
      </w:r>
    </w:p>
    <w:tbl>
      <w:tblPr>
        <w:tblStyle w:val="StilTablice"/>
        <w:tblW w:w="10206" w:type="dxa"/>
        <w:jc w:val="center"/>
        <w:tblLook w:val="04A0" w:firstRow="1" w:lastRow="0" w:firstColumn="1" w:lastColumn="0" w:noHBand="0" w:noVBand="1"/>
      </w:tblPr>
      <w:tblGrid>
        <w:gridCol w:w="3231"/>
        <w:gridCol w:w="1567"/>
        <w:gridCol w:w="1567"/>
        <w:gridCol w:w="1567"/>
        <w:gridCol w:w="1115"/>
        <w:gridCol w:w="115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A654017-NACIONALNA ARHIVA I BAZA METEOROLOŠKIH,HIDROLOŠKIH I PODATAKA O KVALITETI ZRAKA</w:t>
            </w:r>
          </w:p>
        </w:tc>
        <w:tc>
          <w:tcPr>
            <w:tcW w:w="2041" w:type="dxa"/>
          </w:tcPr>
          <w:p w:rsidR="00505632" w:rsidRDefault="00505632" w:rsidP="00AD4E52">
            <w:pPr>
              <w:pStyle w:val="CellColumn"/>
              <w:jc w:val="right"/>
            </w:pPr>
            <w:r>
              <w:rPr>
                <w:rFonts w:cs="Times New Roman"/>
              </w:rPr>
              <w:t>2.352.558</w:t>
            </w:r>
          </w:p>
        </w:tc>
        <w:tc>
          <w:tcPr>
            <w:tcW w:w="2041" w:type="dxa"/>
          </w:tcPr>
          <w:p w:rsidR="00505632" w:rsidRDefault="00505632" w:rsidP="00AD4E52">
            <w:pPr>
              <w:pStyle w:val="CellColumn"/>
              <w:jc w:val="right"/>
            </w:pPr>
            <w:r>
              <w:rPr>
                <w:rFonts w:cs="Times New Roman"/>
              </w:rPr>
              <w:t>1.983.000</w:t>
            </w:r>
          </w:p>
        </w:tc>
        <w:tc>
          <w:tcPr>
            <w:tcW w:w="2041" w:type="dxa"/>
          </w:tcPr>
          <w:p w:rsidR="00505632" w:rsidRDefault="00505632" w:rsidP="00AD4E52">
            <w:pPr>
              <w:pStyle w:val="CellColumn"/>
              <w:jc w:val="right"/>
            </w:pPr>
            <w:r>
              <w:rPr>
                <w:rFonts w:cs="Times New Roman"/>
              </w:rPr>
              <w:t>2.156.077</w:t>
            </w:r>
          </w:p>
        </w:tc>
        <w:tc>
          <w:tcPr>
            <w:tcW w:w="1224" w:type="dxa"/>
          </w:tcPr>
          <w:p w:rsidR="00505632" w:rsidRDefault="00505632" w:rsidP="00AD4E52">
            <w:pPr>
              <w:pStyle w:val="CellColumn"/>
              <w:jc w:val="right"/>
            </w:pPr>
            <w:r>
              <w:rPr>
                <w:rFonts w:cs="Times New Roman"/>
              </w:rPr>
              <w:t>108,7</w:t>
            </w:r>
          </w:p>
        </w:tc>
        <w:tc>
          <w:tcPr>
            <w:tcW w:w="1224" w:type="dxa"/>
          </w:tcPr>
          <w:p w:rsidR="00505632" w:rsidRDefault="00505632" w:rsidP="00AD4E52">
            <w:pPr>
              <w:pStyle w:val="CellColumn"/>
              <w:jc w:val="right"/>
            </w:pPr>
            <w:r>
              <w:rPr>
                <w:rFonts w:cs="Times New Roman"/>
              </w:rPr>
              <w:t>91,6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obavljanju poslova hidrometeorološke službe RH NN14/78 </w:t>
      </w:r>
    </w:p>
    <w:p w:rsidR="00505632" w:rsidRDefault="00505632" w:rsidP="00505632">
      <w:r>
        <w:t xml:space="preserve">Zakon o zaštiti zraka  NN 130/11, 47/14 </w:t>
      </w:r>
    </w:p>
    <w:p w:rsidR="00505632" w:rsidRDefault="00505632" w:rsidP="00505632">
      <w:r>
        <w:t>Zakon o arhivskom gradivu i arhivima NN 105/97, 64/00, 65/09, 125/11"</w:t>
      </w:r>
    </w:p>
    <w:p w:rsidR="00505632" w:rsidRDefault="00505632" w:rsidP="00505632">
      <w:pPr>
        <w:pStyle w:val="Heading8"/>
        <w:jc w:val="left"/>
      </w:pPr>
      <w:r>
        <w:t>Opis aktivnosti</w:t>
      </w:r>
    </w:p>
    <w:p w:rsidR="00505632" w:rsidRDefault="00505632" w:rsidP="00505632">
      <w:r>
        <w:t xml:space="preserve">Sredstva planirana za ovu aktivnost u najvećem dijelu utrošena su za održavanje informatičke opreme i dodatna ulaganja na istoj. Nadalje, sredstva su utrošena na poslove kontrole, obrade, arhiviranja i distribucije podataka, odnosno njihovog izdavanja za daljnje operativne i druge potrebe. </w:t>
      </w:r>
    </w:p>
    <w:p w:rsidR="00505632" w:rsidRDefault="00505632" w:rsidP="00505632">
      <w:r>
        <w:t>Kroz ovu aktivnost osiguravaju se podaci koji se koriste za dobivanje meteoroloških, hidroloških i njima srodnih informacija. Omogućeno je očuvanje povijesnih podataka, postizanje visoke vrsnoće podataka te objedinjenost i dostupnost za potrebe državnih tijela, znanstvenih institucija i gospodarskih subjekata.</w:t>
      </w:r>
    </w:p>
    <w:p w:rsidR="00505632" w:rsidRDefault="00505632" w:rsidP="00505632">
      <w:pPr>
        <w:pStyle w:val="Heading4"/>
      </w:pPr>
      <w:r>
        <w:t>A654021 OBRANA OD TUČE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A654021-OBRANA OD TUČE</w:t>
            </w:r>
          </w:p>
        </w:tc>
        <w:tc>
          <w:tcPr>
            <w:tcW w:w="2041" w:type="dxa"/>
          </w:tcPr>
          <w:p w:rsidR="00505632" w:rsidRDefault="00505632" w:rsidP="00AD4E52">
            <w:pPr>
              <w:pStyle w:val="CellColumn"/>
              <w:jc w:val="right"/>
            </w:pPr>
            <w:r>
              <w:rPr>
                <w:rFonts w:cs="Times New Roman"/>
              </w:rPr>
              <w:t>17.358.521</w:t>
            </w:r>
          </w:p>
        </w:tc>
        <w:tc>
          <w:tcPr>
            <w:tcW w:w="2041" w:type="dxa"/>
          </w:tcPr>
          <w:p w:rsidR="00505632" w:rsidRDefault="00505632" w:rsidP="00AD4E52">
            <w:pPr>
              <w:pStyle w:val="CellColumn"/>
              <w:jc w:val="right"/>
            </w:pPr>
            <w:r>
              <w:rPr>
                <w:rFonts w:cs="Times New Roman"/>
              </w:rPr>
              <w:t>12.543.000</w:t>
            </w:r>
          </w:p>
        </w:tc>
        <w:tc>
          <w:tcPr>
            <w:tcW w:w="2041" w:type="dxa"/>
          </w:tcPr>
          <w:p w:rsidR="00505632" w:rsidRDefault="00505632" w:rsidP="00AD4E52">
            <w:pPr>
              <w:pStyle w:val="CellColumn"/>
              <w:jc w:val="right"/>
            </w:pPr>
            <w:r>
              <w:rPr>
                <w:rFonts w:cs="Times New Roman"/>
              </w:rPr>
              <w:t>13.870.050</w:t>
            </w:r>
          </w:p>
        </w:tc>
        <w:tc>
          <w:tcPr>
            <w:tcW w:w="1224" w:type="dxa"/>
          </w:tcPr>
          <w:p w:rsidR="00505632" w:rsidRDefault="00505632" w:rsidP="00AD4E52">
            <w:pPr>
              <w:pStyle w:val="CellColumn"/>
              <w:jc w:val="right"/>
            </w:pPr>
            <w:r>
              <w:rPr>
                <w:rFonts w:cs="Times New Roman"/>
              </w:rPr>
              <w:t>110,6</w:t>
            </w:r>
          </w:p>
        </w:tc>
        <w:tc>
          <w:tcPr>
            <w:tcW w:w="1224" w:type="dxa"/>
          </w:tcPr>
          <w:p w:rsidR="00505632" w:rsidRDefault="00505632" w:rsidP="00AD4E52">
            <w:pPr>
              <w:pStyle w:val="CellColumn"/>
              <w:jc w:val="right"/>
            </w:pPr>
            <w:r>
              <w:rPr>
                <w:rFonts w:cs="Times New Roman"/>
              </w:rPr>
              <w:t>79,9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sustavu obrane od tuče NN 53/01</w:t>
      </w:r>
    </w:p>
    <w:p w:rsidR="00505632" w:rsidRDefault="00505632" w:rsidP="00505632">
      <w:pPr>
        <w:pStyle w:val="Heading8"/>
        <w:jc w:val="left"/>
      </w:pPr>
      <w:r>
        <w:t>Opis aktivnosti</w:t>
      </w:r>
    </w:p>
    <w:p w:rsidR="00505632" w:rsidRDefault="00505632" w:rsidP="00505632">
      <w:r>
        <w:t xml:space="preserve">Planirana sredstva za ovu aktivnost utrošena su na provedbu operativnih poslova obrane od tuče, sukladno Zakonu o obrani od tuče, NN 53/01 koji se obavljaju na temelju podataka radarskog nadziranja vremena, a uključuju djelovanje na tučoopasne oblake. Najveći dio utrošenih sredstava odnosi se na nabavu raketa i otopina meteoroloških reagensa za generatore,  kao i mjesečne isplate naknada poslužiteljima lansirnih, generatorskih i tučomjernih postaja. Ostala sredstva utrošena su za nabavu rezervnih djelova za generatore, održavanje opreme kao i prijevoznih sredstava potrebnih za rad na terenu.  </w:t>
      </w:r>
    </w:p>
    <w:p w:rsidR="00505632" w:rsidRDefault="00505632" w:rsidP="00505632">
      <w:r>
        <w:t>Glavna svrha ove aktivnosti je smanjenje posljedica štete od tuče na branjenom području RH (propisano pravilnikom).</w:t>
      </w:r>
    </w:p>
    <w:p w:rsidR="00505632" w:rsidRDefault="00505632" w:rsidP="00505632">
      <w:pPr>
        <w:pStyle w:val="Heading4"/>
      </w:pPr>
      <w:r>
        <w:t>A654071 MEĐUNARODNE OBAVEZE</w:t>
      </w:r>
    </w:p>
    <w:tbl>
      <w:tblPr>
        <w:tblStyle w:val="StilTablice"/>
        <w:tblW w:w="10206" w:type="dxa"/>
        <w:jc w:val="center"/>
        <w:tblLook w:val="04A0" w:firstRow="1" w:lastRow="0" w:firstColumn="1" w:lastColumn="0" w:noHBand="0" w:noVBand="1"/>
      </w:tblPr>
      <w:tblGrid>
        <w:gridCol w:w="1681"/>
        <w:gridCol w:w="2026"/>
        <w:gridCol w:w="2028"/>
        <w:gridCol w:w="2028"/>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A654071-MEĐUNARODNE OBAVEZE</w:t>
            </w:r>
          </w:p>
        </w:tc>
        <w:tc>
          <w:tcPr>
            <w:tcW w:w="2041" w:type="dxa"/>
          </w:tcPr>
          <w:p w:rsidR="00505632" w:rsidRDefault="00505632" w:rsidP="00AD4E52">
            <w:pPr>
              <w:pStyle w:val="CellColumn"/>
              <w:jc w:val="right"/>
            </w:pPr>
            <w:r>
              <w:rPr>
                <w:rFonts w:cs="Times New Roman"/>
              </w:rPr>
              <w:t>9.738.705</w:t>
            </w:r>
          </w:p>
        </w:tc>
        <w:tc>
          <w:tcPr>
            <w:tcW w:w="2041" w:type="dxa"/>
          </w:tcPr>
          <w:p w:rsidR="00505632" w:rsidRDefault="00505632" w:rsidP="00AD4E52">
            <w:pPr>
              <w:pStyle w:val="CellColumn"/>
              <w:jc w:val="right"/>
            </w:pPr>
            <w:r>
              <w:rPr>
                <w:rFonts w:cs="Times New Roman"/>
              </w:rPr>
              <w:t>11.995.000</w:t>
            </w:r>
          </w:p>
        </w:tc>
        <w:tc>
          <w:tcPr>
            <w:tcW w:w="2041" w:type="dxa"/>
          </w:tcPr>
          <w:p w:rsidR="00505632" w:rsidRDefault="00505632" w:rsidP="00AD4E52">
            <w:pPr>
              <w:pStyle w:val="CellColumn"/>
              <w:jc w:val="right"/>
            </w:pPr>
            <w:r>
              <w:rPr>
                <w:rFonts w:cs="Times New Roman"/>
              </w:rPr>
              <w:t>11.586.044</w:t>
            </w:r>
          </w:p>
        </w:tc>
        <w:tc>
          <w:tcPr>
            <w:tcW w:w="1224" w:type="dxa"/>
          </w:tcPr>
          <w:p w:rsidR="00505632" w:rsidRDefault="00505632" w:rsidP="00AD4E52">
            <w:pPr>
              <w:pStyle w:val="CellColumn"/>
              <w:jc w:val="right"/>
            </w:pPr>
            <w:r>
              <w:rPr>
                <w:rFonts w:cs="Times New Roman"/>
              </w:rPr>
              <w:t>96,6</w:t>
            </w:r>
          </w:p>
        </w:tc>
        <w:tc>
          <w:tcPr>
            <w:tcW w:w="1224" w:type="dxa"/>
          </w:tcPr>
          <w:p w:rsidR="00505632" w:rsidRDefault="00505632" w:rsidP="00AD4E52">
            <w:pPr>
              <w:pStyle w:val="CellColumn"/>
              <w:jc w:val="right"/>
            </w:pPr>
            <w:r>
              <w:rPr>
                <w:rFonts w:cs="Times New Roman"/>
              </w:rPr>
              <w:t>119,0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obavljanju poslova hidrometeorološke službe RH NN 14/78 </w:t>
      </w:r>
    </w:p>
    <w:p w:rsidR="00505632" w:rsidRDefault="00505632" w:rsidP="00505632">
      <w:r>
        <w:t>Konvencija o Svjetskoj meteorološkoj organizaciji - WMO, ECMWF, EUMETSAT, ECOMET"</w:t>
      </w:r>
    </w:p>
    <w:p w:rsidR="00505632" w:rsidRDefault="00505632" w:rsidP="00505632">
      <w:pPr>
        <w:pStyle w:val="Heading8"/>
        <w:jc w:val="left"/>
      </w:pPr>
      <w:r>
        <w:t>Opis aktivnosti</w:t>
      </w:r>
    </w:p>
    <w:p w:rsidR="00505632" w:rsidRDefault="00505632" w:rsidP="00505632">
      <w:r>
        <w:t xml:space="preserve">Planirana i realizirana sredstva za ovu aktivnost odnose se na obaveze Republike Hrvatske prema međunarodnim ugovorima s međunarodnim i međuvladinim organizacijama i asocijacijama te poslovima u upravljačkim tijelima organizacija i programa. </w:t>
      </w:r>
    </w:p>
    <w:p w:rsidR="00505632" w:rsidRDefault="00505632" w:rsidP="00505632">
      <w:r>
        <w:t xml:space="preserve"> </w:t>
      </w:r>
    </w:p>
    <w:p w:rsidR="00505632" w:rsidRDefault="00505632" w:rsidP="00505632">
      <w:r>
        <w:t xml:space="preserve">U toj aktivnosti najveći su rashodi za međunarodne članarine RH u iznosu od gotovo 11 milijuna kuna za 2016. godinu. Riječ je o članarinama koje je RH dužna plaćati međuvladinim organizacijama temeljem Zakona i Konvencija i Ugovora koji su prihvaceni ratifikacijom u Saboru RH: </w:t>
      </w:r>
    </w:p>
    <w:p w:rsidR="00505632" w:rsidRDefault="00505632" w:rsidP="00505632">
      <w:r>
        <w:t>•</w:t>
      </w:r>
      <w:r>
        <w:tab/>
        <w:t xml:space="preserve">WMO - Republika Hrvatska potpisala Konvenciju o Svjetskoj meteorološkoj organizaciji 8.11.1992 - punopravno članstvo RH </w:t>
      </w:r>
    </w:p>
    <w:p w:rsidR="00505632" w:rsidRDefault="00505632" w:rsidP="00505632">
      <w:r>
        <w:t>•</w:t>
      </w:r>
      <w:r>
        <w:tab/>
        <w:t xml:space="preserve">EUMETSAT (Europska organizacija za eksploataciju meteoroloških satelita)  -  </w:t>
      </w:r>
    </w:p>
    <w:p w:rsidR="00505632" w:rsidRDefault="00505632" w:rsidP="00505632">
      <w:r>
        <w:t xml:space="preserve">Zakon o potvrđivanju Ugovora između Vlade RH i EUMETSAT-a, nakon sto je prihvaćen u Hrvatskom saboru,  proglasen je  26.10.2006. – punopravno članstvo RH </w:t>
      </w:r>
    </w:p>
    <w:p w:rsidR="00505632" w:rsidRDefault="00505632" w:rsidP="00505632">
      <w:r>
        <w:t>•</w:t>
      </w:r>
      <w:r>
        <w:tab/>
        <w:t xml:space="preserve">ECMWF (Europski centar za srednjoročne prognoze vremena) - Sporazum o pristupanju Republike Hrvatske Konvenciji ECMWF-a  potpisan 8.11.2011. Republika Hrvatska punopravan je član od 1.1.2016. </w:t>
      </w:r>
    </w:p>
    <w:p w:rsidR="00505632" w:rsidRDefault="00505632" w:rsidP="00505632">
      <w:r>
        <w:t xml:space="preserve">Također, u ovoj aktivnosti plaćaju se članarine međunarodnim stručnim tijelima kojima je DHMZ član kao nacionalna hidrometeorološka služba.  </w:t>
      </w:r>
    </w:p>
    <w:p w:rsidR="00505632" w:rsidRDefault="00505632" w:rsidP="00505632">
      <w:r>
        <w:t>Cilj ove aktivnosti je na međunarodnoj razini osigurati stručne i tehničke uvjete, uključujući i primjenu utvrđenih svjetskih standarda u meteorologiji, hidrologiji i njima srodnim područjima, koji su nužni za provođenje misije i održiv razvoj hrvatske nacionalne meteorološke i hidrološke službe (DHMZ), kroz to i pružati podršku partnerima DHMZ-a, te zastupati interese i poziciju Republike Hrvatske na međunarodnoj sceni</w:t>
      </w:r>
    </w:p>
    <w:p w:rsidR="00505632" w:rsidRDefault="00505632" w:rsidP="00505632">
      <w:pPr>
        <w:pStyle w:val="Heading4"/>
      </w:pPr>
      <w:r>
        <w:t>K654052 INFORMATIZACIJA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K654052-INFORMATIZACIJA</w:t>
            </w:r>
          </w:p>
        </w:tc>
        <w:tc>
          <w:tcPr>
            <w:tcW w:w="2041" w:type="dxa"/>
          </w:tcPr>
          <w:p w:rsidR="00505632" w:rsidRDefault="00505632" w:rsidP="00AD4E52">
            <w:pPr>
              <w:pStyle w:val="CellColumn"/>
              <w:jc w:val="right"/>
            </w:pPr>
            <w:r>
              <w:rPr>
                <w:rFonts w:cs="Times New Roman"/>
              </w:rPr>
              <w:t>2.200.486</w:t>
            </w:r>
          </w:p>
        </w:tc>
        <w:tc>
          <w:tcPr>
            <w:tcW w:w="2041" w:type="dxa"/>
          </w:tcPr>
          <w:p w:rsidR="00505632" w:rsidRDefault="00505632" w:rsidP="00AD4E52">
            <w:pPr>
              <w:pStyle w:val="CellColumn"/>
              <w:jc w:val="right"/>
            </w:pPr>
            <w:r>
              <w:rPr>
                <w:rFonts w:cs="Times New Roman"/>
              </w:rPr>
              <w:t>1.574.500</w:t>
            </w:r>
          </w:p>
        </w:tc>
        <w:tc>
          <w:tcPr>
            <w:tcW w:w="2041" w:type="dxa"/>
          </w:tcPr>
          <w:p w:rsidR="00505632" w:rsidRDefault="00505632" w:rsidP="00AD4E52">
            <w:pPr>
              <w:pStyle w:val="CellColumn"/>
              <w:jc w:val="right"/>
            </w:pPr>
            <w:r>
              <w:rPr>
                <w:rFonts w:cs="Times New Roman"/>
              </w:rPr>
              <w:t>1.802.652</w:t>
            </w:r>
          </w:p>
        </w:tc>
        <w:tc>
          <w:tcPr>
            <w:tcW w:w="1224" w:type="dxa"/>
          </w:tcPr>
          <w:p w:rsidR="00505632" w:rsidRDefault="00505632" w:rsidP="00AD4E52">
            <w:pPr>
              <w:pStyle w:val="CellColumn"/>
              <w:jc w:val="right"/>
            </w:pPr>
            <w:r>
              <w:rPr>
                <w:rFonts w:cs="Times New Roman"/>
              </w:rPr>
              <w:t>114,5</w:t>
            </w:r>
          </w:p>
        </w:tc>
        <w:tc>
          <w:tcPr>
            <w:tcW w:w="1224" w:type="dxa"/>
          </w:tcPr>
          <w:p w:rsidR="00505632" w:rsidRDefault="00505632" w:rsidP="00AD4E52">
            <w:pPr>
              <w:pStyle w:val="CellColumn"/>
              <w:jc w:val="right"/>
            </w:pPr>
            <w:r>
              <w:rPr>
                <w:rFonts w:cs="Times New Roman"/>
              </w:rPr>
              <w:t>81,9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Ugovor o isporuci programskog sustava za obradu i vizualizaciju meteoroloških podataka, izradu produkata za korisnike, centralni upis izvješća i distribuciju produkata i izvješća korisnicima, sklopljen 2. prosinca 2015. godine između Državnog hidrometeorološkog zavoda i IBL SOFTWARE ENGINEERING SPOL s.r.o.</w:t>
      </w:r>
    </w:p>
    <w:p w:rsidR="00505632" w:rsidRDefault="00505632" w:rsidP="00505632">
      <w:pPr>
        <w:pStyle w:val="Heading8"/>
        <w:jc w:val="left"/>
      </w:pPr>
      <w:r>
        <w:t>Opis aktivnosti</w:t>
      </w:r>
    </w:p>
    <w:p w:rsidR="00505632" w:rsidRDefault="00505632" w:rsidP="00505632">
      <w:r>
        <w:t>Sredstva su trošena  za razvoj modela za praćenje vremenskih stanja i klimatskih promjena te modernizaciju centralnog računala, a sve kako bi se  povećala  spremnost prognoziranja budućih stanja atmosfere, voda i tla.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255"/>
        <w:gridCol w:w="2267"/>
        <w:gridCol w:w="967"/>
        <w:gridCol w:w="1214"/>
        <w:gridCol w:w="975"/>
        <w:gridCol w:w="1264"/>
        <w:gridCol w:w="1264"/>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održavanih zgrada</w:t>
            </w:r>
          </w:p>
        </w:tc>
        <w:tc>
          <w:tcPr>
            <w:tcW w:w="2551" w:type="dxa"/>
          </w:tcPr>
          <w:p w:rsidR="00505632" w:rsidRDefault="00505632" w:rsidP="00AD4E52">
            <w:pPr>
              <w:pStyle w:val="CellColumn"/>
              <w:jc w:val="left"/>
            </w:pPr>
            <w:r>
              <w:rPr>
                <w:rFonts w:cs="Times New Roman"/>
              </w:rPr>
              <w:t>DHMZ održava upravne zgrade i zgrade glavnih met.postaja te radarskih centara</w:t>
            </w:r>
          </w:p>
        </w:tc>
        <w:tc>
          <w:tcPr>
            <w:tcW w:w="1020" w:type="dxa"/>
          </w:tcPr>
          <w:p w:rsidR="00505632" w:rsidRDefault="00505632" w:rsidP="00AD4E52">
            <w:pPr>
              <w:pStyle w:val="CellColumn"/>
              <w:jc w:val="right"/>
            </w:pPr>
            <w:r>
              <w:rPr>
                <w:rFonts w:cs="Times New Roman"/>
              </w:rPr>
              <w:t>zgrada</w:t>
            </w:r>
          </w:p>
        </w:tc>
        <w:tc>
          <w:tcPr>
            <w:tcW w:w="1020" w:type="dxa"/>
          </w:tcPr>
          <w:p w:rsidR="00505632" w:rsidRDefault="00505632" w:rsidP="00AD4E52">
            <w:pPr>
              <w:pStyle w:val="CellColumn"/>
              <w:jc w:val="right"/>
            </w:pPr>
            <w:r>
              <w:rPr>
                <w:rFonts w:cs="Times New Roman"/>
              </w:rPr>
              <w:t>37</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37</w:t>
            </w:r>
          </w:p>
        </w:tc>
        <w:tc>
          <w:tcPr>
            <w:tcW w:w="1020" w:type="dxa"/>
          </w:tcPr>
          <w:p w:rsidR="00505632" w:rsidRDefault="00505632" w:rsidP="00AD4E52">
            <w:pPr>
              <w:pStyle w:val="CellColumn"/>
              <w:jc w:val="right"/>
            </w:pPr>
            <w:r>
              <w:rPr>
                <w:rFonts w:cs="Times New Roman"/>
              </w:rPr>
              <w:t>37</w:t>
            </w:r>
          </w:p>
        </w:tc>
      </w:tr>
      <w:tr w:rsidR="00505632" w:rsidTr="00AD4E52">
        <w:trPr>
          <w:jc w:val="center"/>
        </w:trPr>
        <w:tc>
          <w:tcPr>
            <w:tcW w:w="2551" w:type="dxa"/>
          </w:tcPr>
          <w:p w:rsidR="00505632" w:rsidRDefault="00505632" w:rsidP="00AD4E52">
            <w:pPr>
              <w:pStyle w:val="CellColumn"/>
              <w:jc w:val="left"/>
            </w:pPr>
            <w:r>
              <w:rPr>
                <w:rFonts w:cs="Times New Roman"/>
              </w:rPr>
              <w:t>Broj održavanih meteoroloških postaja</w:t>
            </w:r>
          </w:p>
        </w:tc>
        <w:tc>
          <w:tcPr>
            <w:tcW w:w="2551" w:type="dxa"/>
          </w:tcPr>
          <w:p w:rsidR="00505632" w:rsidRDefault="00505632" w:rsidP="00AD4E52">
            <w:pPr>
              <w:pStyle w:val="CellColumn"/>
              <w:jc w:val="left"/>
            </w:pPr>
            <w:r>
              <w:rPr>
                <w:rFonts w:cs="Times New Roman"/>
              </w:rPr>
              <w:t>Meteorološke, klimatološke, kišomjerne, radiosondažne i fenološke postaje daju podatke za analizu stanja različite vrste,  upozorenja i prognoze te klimatoloških i drugih studija</w:t>
            </w:r>
          </w:p>
        </w:tc>
        <w:tc>
          <w:tcPr>
            <w:tcW w:w="1020" w:type="dxa"/>
          </w:tcPr>
          <w:p w:rsidR="00505632" w:rsidRDefault="00505632" w:rsidP="00AD4E52">
            <w:pPr>
              <w:pStyle w:val="CellColumn"/>
              <w:jc w:val="right"/>
            </w:pPr>
            <w:r>
              <w:rPr>
                <w:rFonts w:cs="Times New Roman"/>
              </w:rPr>
              <w:t>postaja</w:t>
            </w:r>
          </w:p>
        </w:tc>
        <w:tc>
          <w:tcPr>
            <w:tcW w:w="1020" w:type="dxa"/>
          </w:tcPr>
          <w:p w:rsidR="00505632" w:rsidRDefault="00505632" w:rsidP="00AD4E52">
            <w:pPr>
              <w:pStyle w:val="CellColumn"/>
              <w:jc w:val="right"/>
            </w:pPr>
            <w:r>
              <w:rPr>
                <w:rFonts w:cs="Times New Roman"/>
              </w:rPr>
              <w:t xml:space="preserve">40 glavnih met. postaja </w:t>
            </w:r>
          </w:p>
          <w:p w:rsidR="00505632" w:rsidRDefault="00505632" w:rsidP="00AD4E52">
            <w:pPr>
              <w:pStyle w:val="CellColumn"/>
              <w:jc w:val="right"/>
            </w:pPr>
            <w:r>
              <w:rPr>
                <w:rFonts w:cs="Times New Roman"/>
              </w:rPr>
              <w:t xml:space="preserve">109 klimatoloških </w:t>
            </w:r>
          </w:p>
          <w:p w:rsidR="00505632" w:rsidRDefault="00505632" w:rsidP="00AD4E52">
            <w:pPr>
              <w:pStyle w:val="CellColumn"/>
              <w:jc w:val="right"/>
            </w:pPr>
            <w:r>
              <w:rPr>
                <w:rFonts w:cs="Times New Roman"/>
              </w:rPr>
              <w:t xml:space="preserve">348 kišomjernih </w:t>
            </w:r>
          </w:p>
          <w:p w:rsidR="00505632" w:rsidRDefault="00505632" w:rsidP="00AD4E52">
            <w:pPr>
              <w:pStyle w:val="CellColumn"/>
              <w:jc w:val="right"/>
            </w:pPr>
            <w:r>
              <w:rPr>
                <w:rFonts w:cs="Times New Roman"/>
              </w:rPr>
              <w:t xml:space="preserve">2 radio-sondažne postaje </w:t>
            </w:r>
          </w:p>
          <w:p w:rsidR="00505632" w:rsidRDefault="00505632" w:rsidP="00AD4E52">
            <w:pPr>
              <w:pStyle w:val="CellColumn"/>
              <w:jc w:val="right"/>
            </w:pPr>
            <w:r>
              <w:rPr>
                <w:rFonts w:cs="Times New Roman"/>
              </w:rPr>
              <w:t>58 fenoloških</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 xml:space="preserve">40 glavnih met. postaja </w:t>
            </w:r>
          </w:p>
          <w:p w:rsidR="00505632" w:rsidRDefault="00505632" w:rsidP="00AD4E52">
            <w:pPr>
              <w:pStyle w:val="CellColumn"/>
              <w:jc w:val="right"/>
            </w:pPr>
            <w:r>
              <w:rPr>
                <w:rFonts w:cs="Times New Roman"/>
              </w:rPr>
              <w:t xml:space="preserve">109 klimatoloških </w:t>
            </w:r>
          </w:p>
          <w:p w:rsidR="00505632" w:rsidRDefault="00505632" w:rsidP="00AD4E52">
            <w:pPr>
              <w:pStyle w:val="CellColumn"/>
              <w:jc w:val="right"/>
            </w:pPr>
            <w:r>
              <w:rPr>
                <w:rFonts w:cs="Times New Roman"/>
              </w:rPr>
              <w:t xml:space="preserve">348 kišomjernih </w:t>
            </w:r>
          </w:p>
          <w:p w:rsidR="00505632" w:rsidRDefault="00505632" w:rsidP="00AD4E52">
            <w:pPr>
              <w:pStyle w:val="CellColumn"/>
              <w:jc w:val="right"/>
            </w:pPr>
            <w:r>
              <w:rPr>
                <w:rFonts w:cs="Times New Roman"/>
              </w:rPr>
              <w:t xml:space="preserve">2 radio-sondažne postaje </w:t>
            </w:r>
          </w:p>
          <w:p w:rsidR="00505632" w:rsidRDefault="00505632" w:rsidP="00AD4E52">
            <w:pPr>
              <w:pStyle w:val="CellColumn"/>
              <w:jc w:val="right"/>
            </w:pPr>
            <w:r>
              <w:rPr>
                <w:rFonts w:cs="Times New Roman"/>
              </w:rPr>
              <w:t>58 fenoloških</w:t>
            </w:r>
          </w:p>
        </w:tc>
        <w:tc>
          <w:tcPr>
            <w:tcW w:w="1020" w:type="dxa"/>
          </w:tcPr>
          <w:p w:rsidR="00505632" w:rsidRDefault="00505632" w:rsidP="00AD4E52">
            <w:pPr>
              <w:pStyle w:val="CellColumn"/>
              <w:jc w:val="right"/>
            </w:pPr>
            <w:r>
              <w:rPr>
                <w:rFonts w:cs="Times New Roman"/>
              </w:rPr>
              <w:t xml:space="preserve">40 glavnih met. postaja </w:t>
            </w:r>
          </w:p>
          <w:p w:rsidR="00505632" w:rsidRDefault="00505632" w:rsidP="00AD4E52">
            <w:pPr>
              <w:pStyle w:val="CellColumn"/>
              <w:jc w:val="right"/>
            </w:pPr>
            <w:r>
              <w:rPr>
                <w:rFonts w:cs="Times New Roman"/>
              </w:rPr>
              <w:t xml:space="preserve">109 klimatoloških </w:t>
            </w:r>
          </w:p>
          <w:p w:rsidR="00505632" w:rsidRDefault="00505632" w:rsidP="00AD4E52">
            <w:pPr>
              <w:pStyle w:val="CellColumn"/>
              <w:jc w:val="right"/>
            </w:pPr>
            <w:r>
              <w:rPr>
                <w:rFonts w:cs="Times New Roman"/>
              </w:rPr>
              <w:t xml:space="preserve">348 kišomjernih </w:t>
            </w:r>
          </w:p>
          <w:p w:rsidR="00505632" w:rsidRDefault="00505632" w:rsidP="00AD4E52">
            <w:pPr>
              <w:pStyle w:val="CellColumn"/>
              <w:jc w:val="right"/>
            </w:pPr>
            <w:r>
              <w:rPr>
                <w:rFonts w:cs="Times New Roman"/>
              </w:rPr>
              <w:t xml:space="preserve">2 radio-sondažne postaje </w:t>
            </w:r>
          </w:p>
          <w:p w:rsidR="00505632" w:rsidRDefault="00505632" w:rsidP="00AD4E52">
            <w:pPr>
              <w:pStyle w:val="CellColumn"/>
              <w:jc w:val="right"/>
            </w:pPr>
            <w:r>
              <w:rPr>
                <w:rFonts w:cs="Times New Roman"/>
              </w:rPr>
              <w:t>58 fenološki</w:t>
            </w:r>
          </w:p>
        </w:tc>
      </w:tr>
      <w:tr w:rsidR="00505632" w:rsidTr="00AD4E52">
        <w:trPr>
          <w:jc w:val="center"/>
        </w:trPr>
        <w:tc>
          <w:tcPr>
            <w:tcW w:w="2551" w:type="dxa"/>
          </w:tcPr>
          <w:p w:rsidR="00505632" w:rsidRDefault="00505632" w:rsidP="00AD4E52">
            <w:pPr>
              <w:pStyle w:val="CellColumn"/>
              <w:jc w:val="left"/>
            </w:pPr>
            <w:r>
              <w:rPr>
                <w:rFonts w:cs="Times New Roman"/>
              </w:rPr>
              <w:t>Broj održavanih hidroloških postaja</w:t>
            </w:r>
          </w:p>
        </w:tc>
        <w:tc>
          <w:tcPr>
            <w:tcW w:w="2551" w:type="dxa"/>
          </w:tcPr>
          <w:p w:rsidR="00505632" w:rsidRDefault="00505632" w:rsidP="00AD4E52">
            <w:pPr>
              <w:pStyle w:val="CellColumn"/>
              <w:jc w:val="left"/>
            </w:pPr>
            <w:r>
              <w:rPr>
                <w:rFonts w:cs="Times New Roman"/>
              </w:rPr>
              <w:t>Hidrološke postaje služe za prikupljanje hidroloških podataka o razinama površinskih i podzemnih voda neophodnih za analizu stanja voda za hidrološke prognoze</w:t>
            </w:r>
          </w:p>
        </w:tc>
        <w:tc>
          <w:tcPr>
            <w:tcW w:w="1020" w:type="dxa"/>
          </w:tcPr>
          <w:p w:rsidR="00505632" w:rsidRDefault="00505632" w:rsidP="00AD4E52">
            <w:pPr>
              <w:pStyle w:val="CellColumn"/>
              <w:jc w:val="right"/>
            </w:pPr>
            <w:r>
              <w:rPr>
                <w:rFonts w:cs="Times New Roman"/>
              </w:rPr>
              <w:t>postaja</w:t>
            </w:r>
          </w:p>
        </w:tc>
        <w:tc>
          <w:tcPr>
            <w:tcW w:w="1020" w:type="dxa"/>
          </w:tcPr>
          <w:p w:rsidR="00505632" w:rsidRDefault="00505632" w:rsidP="00AD4E52">
            <w:pPr>
              <w:pStyle w:val="CellColumn"/>
              <w:jc w:val="right"/>
            </w:pPr>
            <w:r>
              <w:rPr>
                <w:rFonts w:cs="Times New Roman"/>
              </w:rPr>
              <w:t xml:space="preserve">698  pieziometara- postaja za mjerenje razine podzemnih voda </w:t>
            </w:r>
          </w:p>
          <w:p w:rsidR="00505632" w:rsidRDefault="00505632" w:rsidP="00AD4E52">
            <w:pPr>
              <w:pStyle w:val="CellColumn"/>
              <w:jc w:val="right"/>
            </w:pPr>
            <w:r>
              <w:rPr>
                <w:rFonts w:cs="Times New Roman"/>
              </w:rPr>
              <w:t>446 postaja za mjerenje površinskih voda</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 xml:space="preserve">698  pieziometara- postaja za mjerenje razine podzemnih voda </w:t>
            </w:r>
          </w:p>
          <w:p w:rsidR="00505632" w:rsidRDefault="00505632" w:rsidP="00AD4E52">
            <w:pPr>
              <w:pStyle w:val="CellColumn"/>
              <w:jc w:val="right"/>
            </w:pPr>
            <w:r>
              <w:rPr>
                <w:rFonts w:cs="Times New Roman"/>
              </w:rPr>
              <w:t>446 postaja za mjerenje površinskih voda</w:t>
            </w:r>
          </w:p>
        </w:tc>
        <w:tc>
          <w:tcPr>
            <w:tcW w:w="1020" w:type="dxa"/>
          </w:tcPr>
          <w:p w:rsidR="00505632" w:rsidRDefault="00505632" w:rsidP="00AD4E52">
            <w:pPr>
              <w:pStyle w:val="CellColumn"/>
              <w:jc w:val="right"/>
            </w:pPr>
            <w:r>
              <w:rPr>
                <w:rFonts w:cs="Times New Roman"/>
              </w:rPr>
              <w:t xml:space="preserve">698  pieziometara- postaja za mjerenje razine podzemnih voda </w:t>
            </w:r>
          </w:p>
          <w:p w:rsidR="00505632" w:rsidRDefault="00505632" w:rsidP="00AD4E52">
            <w:pPr>
              <w:pStyle w:val="CellColumn"/>
              <w:jc w:val="right"/>
            </w:pPr>
            <w:r>
              <w:rPr>
                <w:rFonts w:cs="Times New Roman"/>
              </w:rPr>
              <w:t>446 postaja za mjerenje površinskih voda</w:t>
            </w:r>
          </w:p>
        </w:tc>
      </w:tr>
      <w:tr w:rsidR="00505632" w:rsidTr="00AD4E52">
        <w:trPr>
          <w:jc w:val="center"/>
        </w:trPr>
        <w:tc>
          <w:tcPr>
            <w:tcW w:w="2551" w:type="dxa"/>
          </w:tcPr>
          <w:p w:rsidR="00505632" w:rsidRDefault="00505632" w:rsidP="00AD4E52">
            <w:pPr>
              <w:pStyle w:val="CellColumn"/>
              <w:jc w:val="left"/>
            </w:pPr>
            <w:r>
              <w:rPr>
                <w:rFonts w:cs="Times New Roman"/>
              </w:rPr>
              <w:t>Broj postaja za mjerenje kvalitete zraka</w:t>
            </w:r>
          </w:p>
        </w:tc>
        <w:tc>
          <w:tcPr>
            <w:tcW w:w="2551" w:type="dxa"/>
          </w:tcPr>
          <w:p w:rsidR="00505632" w:rsidRDefault="00505632" w:rsidP="00AD4E52">
            <w:pPr>
              <w:pStyle w:val="CellColumn"/>
              <w:jc w:val="left"/>
            </w:pPr>
            <w:r>
              <w:rPr>
                <w:rFonts w:cs="Times New Roman"/>
              </w:rPr>
              <w:t>Mjerne postaje državne mreže za trajno praćenje kvalitete zraka</w:t>
            </w:r>
          </w:p>
        </w:tc>
        <w:tc>
          <w:tcPr>
            <w:tcW w:w="1020" w:type="dxa"/>
          </w:tcPr>
          <w:p w:rsidR="00505632" w:rsidRDefault="00505632" w:rsidP="00AD4E52">
            <w:pPr>
              <w:pStyle w:val="CellColumn"/>
              <w:jc w:val="right"/>
            </w:pPr>
            <w:r>
              <w:rPr>
                <w:rFonts w:cs="Times New Roman"/>
              </w:rPr>
              <w:t>postaja</w:t>
            </w:r>
          </w:p>
        </w:tc>
        <w:tc>
          <w:tcPr>
            <w:tcW w:w="1020" w:type="dxa"/>
          </w:tcPr>
          <w:p w:rsidR="00505632" w:rsidRDefault="00505632" w:rsidP="00AD4E52">
            <w:pPr>
              <w:pStyle w:val="CellColumn"/>
              <w:jc w:val="right"/>
            </w:pPr>
            <w:r>
              <w:rPr>
                <w:rFonts w:cs="Times New Roman"/>
              </w:rPr>
              <w:t xml:space="preserve">12 pozadinskih postaja </w:t>
            </w:r>
          </w:p>
          <w:p w:rsidR="00505632" w:rsidRDefault="00505632" w:rsidP="00AD4E52">
            <w:pPr>
              <w:pStyle w:val="CellColumn"/>
              <w:jc w:val="right"/>
            </w:pPr>
            <w:r>
              <w:rPr>
                <w:rFonts w:cs="Times New Roman"/>
              </w:rPr>
              <w:t>9 urbanih postaja</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 xml:space="preserve">12 pozadinskih postaja </w:t>
            </w:r>
          </w:p>
          <w:p w:rsidR="00505632" w:rsidRDefault="00505632" w:rsidP="00AD4E52">
            <w:pPr>
              <w:pStyle w:val="CellColumn"/>
              <w:jc w:val="right"/>
            </w:pPr>
            <w:r>
              <w:rPr>
                <w:rFonts w:cs="Times New Roman"/>
              </w:rPr>
              <w:t>9 urbanih postaja</w:t>
            </w:r>
          </w:p>
        </w:tc>
        <w:tc>
          <w:tcPr>
            <w:tcW w:w="1020" w:type="dxa"/>
          </w:tcPr>
          <w:p w:rsidR="00505632" w:rsidRDefault="00505632" w:rsidP="00AD4E52">
            <w:pPr>
              <w:pStyle w:val="CellColumn"/>
              <w:jc w:val="right"/>
            </w:pPr>
            <w:r>
              <w:rPr>
                <w:rFonts w:cs="Times New Roman"/>
              </w:rPr>
              <w:t xml:space="preserve">12 pozadinskih postaja </w:t>
            </w:r>
          </w:p>
          <w:p w:rsidR="00505632" w:rsidRDefault="00505632" w:rsidP="00AD4E52">
            <w:pPr>
              <w:pStyle w:val="CellColumn"/>
              <w:jc w:val="right"/>
            </w:pPr>
            <w:r>
              <w:rPr>
                <w:rFonts w:cs="Times New Roman"/>
              </w:rPr>
              <w:t>9 urbanih postaja</w:t>
            </w:r>
          </w:p>
        </w:tc>
      </w:tr>
      <w:tr w:rsidR="00505632" w:rsidTr="00AD4E52">
        <w:trPr>
          <w:jc w:val="center"/>
        </w:trPr>
        <w:tc>
          <w:tcPr>
            <w:tcW w:w="2551" w:type="dxa"/>
          </w:tcPr>
          <w:p w:rsidR="00505632" w:rsidRDefault="00505632" w:rsidP="00AD4E52">
            <w:pPr>
              <w:pStyle w:val="CellColumn"/>
              <w:jc w:val="left"/>
            </w:pPr>
            <w:r>
              <w:rPr>
                <w:rFonts w:cs="Times New Roman"/>
              </w:rPr>
              <w:t>Broj održavanih meteoroloških radara</w:t>
            </w:r>
          </w:p>
        </w:tc>
        <w:tc>
          <w:tcPr>
            <w:tcW w:w="2551" w:type="dxa"/>
          </w:tcPr>
          <w:p w:rsidR="00505632" w:rsidRDefault="00505632" w:rsidP="00AD4E52">
            <w:pPr>
              <w:pStyle w:val="CellColumn"/>
              <w:jc w:val="left"/>
            </w:pPr>
            <w:r>
              <w:rPr>
                <w:rFonts w:cs="Times New Roman"/>
              </w:rPr>
              <w:t>Mreža meteoroloških radara daje radarske produkte s područja RH koji se koriste u svrhu procjene količine oborina, ranu najavu olujnih nevremena te poslova operativne obrane od tuče</w:t>
            </w:r>
          </w:p>
        </w:tc>
        <w:tc>
          <w:tcPr>
            <w:tcW w:w="1020" w:type="dxa"/>
          </w:tcPr>
          <w:p w:rsidR="00505632" w:rsidRDefault="00505632" w:rsidP="00AD4E52">
            <w:pPr>
              <w:pStyle w:val="CellColumn"/>
              <w:jc w:val="right"/>
            </w:pPr>
            <w:r>
              <w:rPr>
                <w:rFonts w:cs="Times New Roman"/>
              </w:rPr>
              <w:t>radar</w:t>
            </w:r>
          </w:p>
        </w:tc>
        <w:tc>
          <w:tcPr>
            <w:tcW w:w="1020" w:type="dxa"/>
          </w:tcPr>
          <w:p w:rsidR="00505632" w:rsidRDefault="00505632" w:rsidP="00AD4E52">
            <w:pPr>
              <w:pStyle w:val="CellColumn"/>
              <w:jc w:val="right"/>
            </w:pPr>
            <w:r>
              <w:rPr>
                <w:rFonts w:cs="Times New Roman"/>
              </w:rPr>
              <w:t xml:space="preserve">2 radara velikog dometa </w:t>
            </w:r>
          </w:p>
          <w:p w:rsidR="00505632" w:rsidRDefault="00505632" w:rsidP="00AD4E52">
            <w:pPr>
              <w:pStyle w:val="CellColumn"/>
              <w:jc w:val="right"/>
            </w:pPr>
            <w:r>
              <w:rPr>
                <w:rFonts w:cs="Times New Roman"/>
              </w:rPr>
              <w:t>6 radara malog dometa</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 xml:space="preserve">2 radara velikog dometa </w:t>
            </w:r>
          </w:p>
          <w:p w:rsidR="00505632" w:rsidRDefault="00505632" w:rsidP="00AD4E52">
            <w:pPr>
              <w:pStyle w:val="CellColumn"/>
              <w:jc w:val="right"/>
            </w:pPr>
            <w:r>
              <w:rPr>
                <w:rFonts w:cs="Times New Roman"/>
              </w:rPr>
              <w:t>6 radara malogdometa</w:t>
            </w:r>
          </w:p>
        </w:tc>
        <w:tc>
          <w:tcPr>
            <w:tcW w:w="1020" w:type="dxa"/>
          </w:tcPr>
          <w:p w:rsidR="00505632" w:rsidRDefault="00505632" w:rsidP="00AD4E52">
            <w:pPr>
              <w:pStyle w:val="CellColumn"/>
              <w:jc w:val="right"/>
            </w:pPr>
            <w:r>
              <w:rPr>
                <w:rFonts w:cs="Times New Roman"/>
              </w:rPr>
              <w:t xml:space="preserve">2 radara velikog dometa </w:t>
            </w:r>
          </w:p>
          <w:p w:rsidR="00505632" w:rsidRDefault="00505632" w:rsidP="00AD4E52">
            <w:pPr>
              <w:pStyle w:val="CellColumn"/>
              <w:jc w:val="right"/>
            </w:pPr>
            <w:r>
              <w:rPr>
                <w:rFonts w:cs="Times New Roman"/>
              </w:rPr>
              <w:t>6 radara malogdometa</w:t>
            </w:r>
          </w:p>
        </w:tc>
      </w:tr>
      <w:tr w:rsidR="00505632" w:rsidTr="00AD4E52">
        <w:trPr>
          <w:jc w:val="center"/>
        </w:trPr>
        <w:tc>
          <w:tcPr>
            <w:tcW w:w="2551" w:type="dxa"/>
          </w:tcPr>
          <w:p w:rsidR="00505632" w:rsidRDefault="00505632" w:rsidP="00AD4E52">
            <w:pPr>
              <w:pStyle w:val="CellColumn"/>
              <w:jc w:val="left"/>
            </w:pPr>
            <w:r>
              <w:rPr>
                <w:rFonts w:cs="Times New Roman"/>
              </w:rPr>
              <w:t>Broj plutača</w:t>
            </w:r>
          </w:p>
        </w:tc>
        <w:tc>
          <w:tcPr>
            <w:tcW w:w="2551" w:type="dxa"/>
          </w:tcPr>
          <w:p w:rsidR="00505632" w:rsidRDefault="00505632" w:rsidP="00AD4E52">
            <w:pPr>
              <w:jc w:val="left"/>
            </w:pPr>
          </w:p>
        </w:tc>
        <w:tc>
          <w:tcPr>
            <w:tcW w:w="1020" w:type="dxa"/>
          </w:tcPr>
          <w:p w:rsidR="00505632" w:rsidRDefault="00505632" w:rsidP="00AD4E52">
            <w:pPr>
              <w:jc w:val="left"/>
            </w:pP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jc w:val="left"/>
            </w:pPr>
          </w:p>
        </w:tc>
        <w:tc>
          <w:tcPr>
            <w:tcW w:w="1020" w:type="dxa"/>
          </w:tcPr>
          <w:p w:rsidR="00505632" w:rsidRDefault="00505632" w:rsidP="00AD4E52">
            <w:pPr>
              <w:jc w:val="left"/>
            </w:pPr>
          </w:p>
        </w:tc>
      </w:tr>
      <w:tr w:rsidR="00505632" w:rsidTr="00AD4E52">
        <w:trPr>
          <w:jc w:val="center"/>
        </w:trPr>
        <w:tc>
          <w:tcPr>
            <w:tcW w:w="2551" w:type="dxa"/>
          </w:tcPr>
          <w:p w:rsidR="00505632" w:rsidRDefault="00505632" w:rsidP="00AD4E52">
            <w:pPr>
              <w:pStyle w:val="CellColumn"/>
              <w:jc w:val="left"/>
            </w:pPr>
            <w:r>
              <w:rPr>
                <w:rFonts w:cs="Times New Roman"/>
              </w:rPr>
              <w:t>Sudjelovanje RH u međunarodnim i međuvladinim organizacijama</w:t>
            </w:r>
          </w:p>
        </w:tc>
        <w:tc>
          <w:tcPr>
            <w:tcW w:w="2551" w:type="dxa"/>
          </w:tcPr>
          <w:p w:rsidR="00505632" w:rsidRDefault="00505632" w:rsidP="00AD4E52">
            <w:pPr>
              <w:pStyle w:val="CellColumn"/>
              <w:jc w:val="left"/>
            </w:pPr>
            <w:r>
              <w:rPr>
                <w:rFonts w:cs="Times New Roman"/>
              </w:rPr>
              <w:t>RH dužna je isplaćivati članarine međuvladinim organizacijama, temeljem Zakona i Konvencija i Ugovora koji su prihvaceni ratifikacijom u Saboru RH</w:t>
            </w:r>
          </w:p>
        </w:tc>
        <w:tc>
          <w:tcPr>
            <w:tcW w:w="1020" w:type="dxa"/>
          </w:tcPr>
          <w:p w:rsidR="00505632" w:rsidRDefault="00505632" w:rsidP="00AD4E52">
            <w:pPr>
              <w:pStyle w:val="CellColumn"/>
              <w:jc w:val="right"/>
            </w:pPr>
            <w:r>
              <w:rPr>
                <w:rFonts w:cs="Times New Roman"/>
              </w:rPr>
              <w:t>Iznos/kn</w:t>
            </w:r>
          </w:p>
        </w:tc>
        <w:tc>
          <w:tcPr>
            <w:tcW w:w="1020" w:type="dxa"/>
          </w:tcPr>
          <w:p w:rsidR="00505632" w:rsidRDefault="00505632" w:rsidP="00AD4E52">
            <w:pPr>
              <w:pStyle w:val="CellColumn"/>
              <w:jc w:val="right"/>
            </w:pPr>
            <w:r>
              <w:rPr>
                <w:rFonts w:cs="Times New Roman"/>
              </w:rPr>
              <w:t>9.000.000,00</w:t>
            </w:r>
          </w:p>
        </w:tc>
        <w:tc>
          <w:tcPr>
            <w:tcW w:w="1020" w:type="dxa"/>
          </w:tcPr>
          <w:p w:rsidR="00505632" w:rsidRDefault="00505632" w:rsidP="00AD4E52">
            <w:pPr>
              <w:pStyle w:val="CellColumn"/>
              <w:jc w:val="right"/>
            </w:pPr>
            <w:r>
              <w:rPr>
                <w:rFonts w:cs="Times New Roman"/>
              </w:rPr>
              <w:t>DHMZ</w:t>
            </w:r>
          </w:p>
        </w:tc>
        <w:tc>
          <w:tcPr>
            <w:tcW w:w="1020" w:type="dxa"/>
          </w:tcPr>
          <w:p w:rsidR="00505632" w:rsidRDefault="00505632" w:rsidP="00AD4E52">
            <w:pPr>
              <w:pStyle w:val="CellColumn"/>
              <w:jc w:val="right"/>
            </w:pPr>
            <w:r>
              <w:rPr>
                <w:rFonts w:cs="Times New Roman"/>
              </w:rPr>
              <w:t>11.000.000,00</w:t>
            </w:r>
          </w:p>
        </w:tc>
        <w:tc>
          <w:tcPr>
            <w:tcW w:w="1020" w:type="dxa"/>
          </w:tcPr>
          <w:p w:rsidR="00505632" w:rsidRDefault="00505632" w:rsidP="00AD4E52">
            <w:pPr>
              <w:pStyle w:val="CellColumn"/>
              <w:jc w:val="right"/>
            </w:pPr>
            <w:r>
              <w:rPr>
                <w:rFonts w:cs="Times New Roman"/>
              </w:rPr>
              <w:t>11.000.000,00</w:t>
            </w:r>
          </w:p>
        </w:tc>
      </w:tr>
    </w:tbl>
    <w:p w:rsidR="00505632" w:rsidRDefault="00505632" w:rsidP="00505632">
      <w:pPr>
        <w:jc w:val="left"/>
      </w:pPr>
    </w:p>
    <w:p w:rsidR="00505632" w:rsidRDefault="00505632" w:rsidP="00505632">
      <w:pPr>
        <w:pStyle w:val="Heading2"/>
      </w:pPr>
      <w:r>
        <w:t>07730 Hrvatska agencija za okoliš i prirodu</w:t>
      </w:r>
    </w:p>
    <w:p w:rsidR="00505632" w:rsidRDefault="00505632" w:rsidP="00505632">
      <w:r>
        <w:t xml:space="preserve">Danom upisa HAOP-a u sudski registar prestali su s radom Agencija za zaštitu okoliša i Državni zavod za zaštitu prirode, a njihove poslove, u okviru djelokruga utvrđenog Uredbom o osnivanju HAOP-a i posebnim propisima, kao pravni slijednik preuzima Hrvatska agencija za okoliš i prirodu, koja preuzima poslove, opremu, pismohranu i drugu dokumentaciju, imovinu, sredstva za rad, financijska sredstva te prava i obveze Agencije za zaštitu okoliša i Državnog zavoda za zaštitu prirode.  </w:t>
      </w:r>
    </w:p>
    <w:p w:rsidR="00505632" w:rsidRDefault="00505632" w:rsidP="00505632">
      <w:r>
        <w:t>Djelatnost Hrvatske agencije za okoliš i prirodu (u daljnjem tekstu Agencije) je prikupljanje i objedinjavanje podataka i informacija o okolišu i prirodi, radi osiguravanja i praćenja provedbe politike zaštite okoliša i prirode, održivog razvitka te obavljanje stručnih poslova u vezi sa zaštitom okoliša i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07730-Hrvatska agencija za okoliš i prirodu</w:t>
            </w:r>
          </w:p>
        </w:tc>
        <w:tc>
          <w:tcPr>
            <w:tcW w:w="2041" w:type="dxa"/>
            <w:vAlign w:val="top"/>
          </w:tcPr>
          <w:p w:rsidR="00505632" w:rsidRDefault="00505632" w:rsidP="00AD4E52">
            <w:pPr>
              <w:pStyle w:val="CellColumn"/>
              <w:jc w:val="right"/>
            </w:pPr>
            <w:r>
              <w:rPr>
                <w:rFonts w:cs="Times New Roman"/>
              </w:rPr>
              <w:t>00</w:t>
            </w:r>
          </w:p>
        </w:tc>
        <w:tc>
          <w:tcPr>
            <w:tcW w:w="2041" w:type="dxa"/>
            <w:vAlign w:val="top"/>
          </w:tcPr>
          <w:p w:rsidR="00505632" w:rsidRDefault="00505632" w:rsidP="00AD4E52">
            <w:pPr>
              <w:pStyle w:val="CellColumn"/>
              <w:jc w:val="right"/>
            </w:pPr>
            <w:r>
              <w:rPr>
                <w:rFonts w:cs="Times New Roman"/>
              </w:rPr>
              <w:t>44.236.615</w:t>
            </w:r>
          </w:p>
        </w:tc>
        <w:tc>
          <w:tcPr>
            <w:tcW w:w="2041" w:type="dxa"/>
            <w:vAlign w:val="top"/>
          </w:tcPr>
          <w:p w:rsidR="00505632" w:rsidRDefault="00505632" w:rsidP="00AD4E52">
            <w:pPr>
              <w:pStyle w:val="CellColumn"/>
              <w:jc w:val="right"/>
            </w:pPr>
            <w:r>
              <w:rPr>
                <w:rFonts w:cs="Times New Roman"/>
              </w:rPr>
              <w:t>33.067.449</w:t>
            </w:r>
          </w:p>
        </w:tc>
        <w:tc>
          <w:tcPr>
            <w:tcW w:w="1224" w:type="dxa"/>
            <w:vAlign w:val="top"/>
          </w:tcPr>
          <w:p w:rsidR="00505632" w:rsidRDefault="00505632" w:rsidP="00AD4E52">
            <w:pPr>
              <w:pStyle w:val="CellColumn"/>
              <w:jc w:val="right"/>
            </w:pPr>
            <w:r>
              <w:rPr>
                <w:rFonts w:cs="Times New Roman"/>
              </w:rPr>
              <w:t>74,8</w:t>
            </w:r>
          </w:p>
        </w:tc>
        <w:tc>
          <w:tcPr>
            <w:tcW w:w="1224" w:type="dxa"/>
            <w:vAlign w:val="top"/>
          </w:tcPr>
          <w:p w:rsidR="00505632" w:rsidRDefault="00505632" w:rsidP="00AD4E52">
            <w:pPr>
              <w:pStyle w:val="CellColumn"/>
              <w:jc w:val="right"/>
            </w:pPr>
            <w:r>
              <w:rPr>
                <w:rFonts w:cs="Times New Roman"/>
              </w:rPr>
              <w:t>0,0</w:t>
            </w:r>
          </w:p>
        </w:tc>
      </w:tr>
      <w:tr w:rsidR="00505632" w:rsidTr="00AD4E52">
        <w:trPr>
          <w:jc w:val="center"/>
        </w:trPr>
        <w:tc>
          <w:tcPr>
            <w:tcW w:w="1632" w:type="dxa"/>
          </w:tcPr>
          <w:p w:rsidR="00505632" w:rsidRDefault="00505632" w:rsidP="00AD4E52">
            <w:pPr>
              <w:jc w:val="left"/>
            </w:pPr>
            <w:r>
              <w:t>3401-ZAŠTITA PRIRODE</w:t>
            </w:r>
          </w:p>
        </w:tc>
        <w:tc>
          <w:tcPr>
            <w:tcW w:w="2041" w:type="dxa"/>
          </w:tcPr>
          <w:p w:rsidR="00505632" w:rsidRDefault="00505632" w:rsidP="00AD4E52">
            <w:pPr>
              <w:jc w:val="right"/>
            </w:pPr>
            <w:r>
              <w:t>00</w:t>
            </w:r>
          </w:p>
        </w:tc>
        <w:tc>
          <w:tcPr>
            <w:tcW w:w="2041" w:type="dxa"/>
          </w:tcPr>
          <w:p w:rsidR="00505632" w:rsidRDefault="00505632" w:rsidP="00AD4E52">
            <w:pPr>
              <w:jc w:val="right"/>
            </w:pPr>
            <w:r>
              <w:t>6.880.693</w:t>
            </w:r>
          </w:p>
        </w:tc>
        <w:tc>
          <w:tcPr>
            <w:tcW w:w="2041" w:type="dxa"/>
          </w:tcPr>
          <w:p w:rsidR="00505632" w:rsidRDefault="00505632" w:rsidP="00AD4E52">
            <w:pPr>
              <w:jc w:val="right"/>
            </w:pPr>
            <w:r>
              <w:t>3.992.547</w:t>
            </w:r>
          </w:p>
        </w:tc>
        <w:tc>
          <w:tcPr>
            <w:tcW w:w="1224" w:type="dxa"/>
          </w:tcPr>
          <w:p w:rsidR="00505632" w:rsidRDefault="00505632" w:rsidP="00AD4E52">
            <w:pPr>
              <w:jc w:val="right"/>
            </w:pPr>
            <w:r>
              <w:t>58,0</w:t>
            </w:r>
          </w:p>
        </w:tc>
        <w:tc>
          <w:tcPr>
            <w:tcW w:w="1224" w:type="dxa"/>
          </w:tcPr>
          <w:p w:rsidR="00505632" w:rsidRDefault="00505632" w:rsidP="00AD4E52">
            <w:pPr>
              <w:jc w:val="right"/>
            </w:pPr>
            <w:r>
              <w:t>0,0</w:t>
            </w:r>
          </w:p>
        </w:tc>
      </w:tr>
      <w:tr w:rsidR="00505632" w:rsidTr="00AD4E52">
        <w:trPr>
          <w:jc w:val="center"/>
        </w:trPr>
        <w:tc>
          <w:tcPr>
            <w:tcW w:w="1632" w:type="dxa"/>
          </w:tcPr>
          <w:p w:rsidR="00505632" w:rsidRDefault="00505632" w:rsidP="00AD4E52">
            <w:pPr>
              <w:jc w:val="left"/>
            </w:pPr>
            <w:r>
              <w:t>3402-ZAŠTITA OKOLIŠA</w:t>
            </w:r>
          </w:p>
        </w:tc>
        <w:tc>
          <w:tcPr>
            <w:tcW w:w="2041" w:type="dxa"/>
          </w:tcPr>
          <w:p w:rsidR="00505632" w:rsidRDefault="00505632" w:rsidP="00AD4E52">
            <w:pPr>
              <w:jc w:val="right"/>
            </w:pPr>
            <w:r>
              <w:t>00</w:t>
            </w:r>
          </w:p>
        </w:tc>
        <w:tc>
          <w:tcPr>
            <w:tcW w:w="2041" w:type="dxa"/>
          </w:tcPr>
          <w:p w:rsidR="00505632" w:rsidRDefault="00505632" w:rsidP="00AD4E52">
            <w:pPr>
              <w:jc w:val="right"/>
            </w:pPr>
            <w:r>
              <w:t>37.355.922</w:t>
            </w:r>
          </w:p>
        </w:tc>
        <w:tc>
          <w:tcPr>
            <w:tcW w:w="2041" w:type="dxa"/>
          </w:tcPr>
          <w:p w:rsidR="00505632" w:rsidRDefault="00505632" w:rsidP="00AD4E52">
            <w:pPr>
              <w:jc w:val="right"/>
            </w:pPr>
            <w:r>
              <w:t>29.074.902</w:t>
            </w:r>
          </w:p>
        </w:tc>
        <w:tc>
          <w:tcPr>
            <w:tcW w:w="1224" w:type="dxa"/>
          </w:tcPr>
          <w:p w:rsidR="00505632" w:rsidRDefault="00505632" w:rsidP="00AD4E52">
            <w:pPr>
              <w:jc w:val="right"/>
            </w:pPr>
            <w:r>
              <w:t>77,8</w:t>
            </w:r>
          </w:p>
        </w:tc>
        <w:tc>
          <w:tcPr>
            <w:tcW w:w="1224" w:type="dxa"/>
          </w:tcPr>
          <w:p w:rsidR="00505632" w:rsidRDefault="00505632" w:rsidP="00AD4E52">
            <w:pPr>
              <w:jc w:val="right"/>
            </w:pPr>
            <w:r>
              <w:t>0,0</w:t>
            </w:r>
          </w:p>
        </w:tc>
      </w:tr>
    </w:tbl>
    <w:p w:rsidR="00505632" w:rsidRDefault="00505632" w:rsidP="00505632">
      <w:pPr>
        <w:jc w:val="left"/>
      </w:pPr>
    </w:p>
    <w:p w:rsidR="00505632" w:rsidRDefault="00505632" w:rsidP="00505632">
      <w:pPr>
        <w:pStyle w:val="Heading3"/>
      </w:pPr>
      <w:r>
        <w:rPr>
          <w:rFonts w:cs="Times New Roman"/>
        </w:rPr>
        <w:t>3401 ZAŠTITA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3401-ZAŠTITA PRIRODE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6.880.693</w:t>
            </w:r>
          </w:p>
        </w:tc>
        <w:tc>
          <w:tcPr>
            <w:tcW w:w="2041" w:type="dxa"/>
          </w:tcPr>
          <w:p w:rsidR="00505632" w:rsidRDefault="00505632" w:rsidP="00AD4E52">
            <w:pPr>
              <w:pStyle w:val="CellColumn"/>
              <w:jc w:val="right"/>
            </w:pPr>
            <w:r>
              <w:rPr>
                <w:rFonts w:cs="Times New Roman"/>
              </w:rPr>
              <w:t>3.992.547</w:t>
            </w:r>
          </w:p>
        </w:tc>
        <w:tc>
          <w:tcPr>
            <w:tcW w:w="1224" w:type="dxa"/>
          </w:tcPr>
          <w:p w:rsidR="00505632" w:rsidRDefault="00505632" w:rsidP="00AD4E52">
            <w:pPr>
              <w:pStyle w:val="CellColumn"/>
              <w:jc w:val="right"/>
            </w:pPr>
            <w:r>
              <w:rPr>
                <w:rFonts w:cs="Times New Roman"/>
              </w:rPr>
              <w:t>58,0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r>
        <w:t>Zaštićena i očuvana priroda osigurat će postojanost temeljnih vrijednosti i potencijala za daljnji razvitak Republike Hrvatske, kao i njenu afirmaciju u europskom okruženju kao zemlje s razvijenom svijesti o značaju očuvanja prirodnog bogatstva koje pametnim, promišljenim i održivim korištenjem osigurava višestruke razvojne pravce. Cilj je očuvati postojeću bioraznolikost i geološku raznolikost, vratiti dio izgubljenih vrsta i staništa gdje je to moguće i opravdano, te razviti prikladan sustav za njihovo vrednovanje i očuvanje. Zaštitom i očuvanjem bioraznolikosti i geološke raznolikosti na regionalnoj i lokalnoj razini, obrazovanjem i edukacijom, međusektorskom suradnjom te uključivanjem javnosti podiže se svijest o potrebi njenog očuvanja u svim oblicima političkog, gospodarskog i društvenog djelovanja. Navedeni opći cilj proizlazi iz Strategije i akcijskog plana zaštite biološke i krajobrazne raznolikosti Republike Hrvatske, (NN143/08) i u skladu je s prioritetima zašite prirode definiranim u nacrtima programskih dokumenata za razdoblje 2014. -2020.</w:t>
      </w:r>
    </w:p>
    <w:p w:rsidR="00505632" w:rsidRDefault="00505632" w:rsidP="00505632">
      <w:pPr>
        <w:pStyle w:val="Heading8"/>
        <w:jc w:val="left"/>
      </w:pPr>
      <w:r>
        <w:t>Cilj 1. Osigurano povoljno stanje očuvanosti vrsta i staništa</w:t>
      </w:r>
    </w:p>
    <w:p w:rsidR="00505632" w:rsidRDefault="00505632" w:rsidP="00505632">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učinka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Postotak ugroženih vrsta ptica i vrsta herpetofaune (CR, EN, VU) u ukupnom broju procijenjenih vrsta ptica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22,1</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22,1</w:t>
            </w:r>
          </w:p>
        </w:tc>
        <w:tc>
          <w:tcPr>
            <w:tcW w:w="1020" w:type="dxa"/>
          </w:tcPr>
          <w:p w:rsidR="00505632" w:rsidRDefault="00505632" w:rsidP="00AD4E52">
            <w:pPr>
              <w:pStyle w:val="CellColumn"/>
              <w:jc w:val="right"/>
            </w:pPr>
            <w:r>
              <w:rPr>
                <w:rFonts w:cs="Times New Roman"/>
              </w:rPr>
              <w:t>22,1</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A905003 PROGRAM ZAŠTITE PRIRODE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A905003-PROGRAM ZAŠTITE PRIRODE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2.379.297</w:t>
            </w:r>
          </w:p>
        </w:tc>
        <w:tc>
          <w:tcPr>
            <w:tcW w:w="2041" w:type="dxa"/>
          </w:tcPr>
          <w:p w:rsidR="00505632" w:rsidRDefault="00505632" w:rsidP="00AD4E52">
            <w:pPr>
              <w:pStyle w:val="CellColumn"/>
              <w:jc w:val="right"/>
            </w:pPr>
            <w:r>
              <w:rPr>
                <w:rFonts w:cs="Times New Roman"/>
              </w:rPr>
              <w:t>1.966.009</w:t>
            </w:r>
          </w:p>
        </w:tc>
        <w:tc>
          <w:tcPr>
            <w:tcW w:w="1224" w:type="dxa"/>
          </w:tcPr>
          <w:p w:rsidR="00505632" w:rsidRDefault="00505632" w:rsidP="00AD4E52">
            <w:pPr>
              <w:pStyle w:val="CellColumn"/>
              <w:jc w:val="right"/>
            </w:pPr>
            <w:r>
              <w:rPr>
                <w:rFonts w:cs="Times New Roman"/>
              </w:rPr>
              <w:t>82,6</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Obzirom da je u srpnju 2013. godine Republika Hrvatska postala članicom Europske unije,  prioriteti i u 2015. godini su ispunjavanje obveza sukladno direktivama Europske unije: Direktiva o staništima (92/43/EEZ) i Direktiva o pticama (2009/147/EZ). Aktivnosti su također planirane sukladno spomenutom NSAP-u te Strateškom planu MZOIP-a za razdoblje od 2016. – 2018. – Opći cilj 2 – Zaštićena i očuvana priroda. Poseban naglasak je na razvoju i testiranju monitoringa za vrste i stanišne tipove s dodataka EU Direktive o staništima i EU Direktive o pticama (506 vrsta i 74 stanišna tipa), o čijem stanju će RH trebati izvijestiti Europsku komisiju 2019. godine, odnosno provedbi programa Natura 2000. Vezano za izvješćivanje prema EU Direktivi o staništima, također će se nastaviti s provedbom Sustava dojavljivanja o ozlijeđenim i ugroženim životinjama, zahvaljujući kojem se trenutno prati slučajna smrtnost strogo zaštićenih morskih vrsta. Nastavit će se izrada crvenih popisa i započeti priprema tematskog portala. Radit će se i na planovima upravljanja strogo zaštićenim vrstama te na procjeni rizika invazivnosti i provedbi mjera suzbijanja širenja jedne invazivne vrste. Nastavit će se i sa stručnom podrškom javnim ustanovama za upravljanje zaštićenim područjima kroz organizaciju 10. Skupa stručnih službi te edukaciju koja se provodi uz potporu iz projekta NIP. Značajna je i međunarodna aktivnost u 2016. te će biti nastavljeno sudjelovanje u radu 24 stručnih tijela i skupina u okviru konvencija i sporazuma čija je Republika Hrvatska stranka te ostalih međunarodnih organizacija. Ulaskom RH u Europsku uniju povećao se i broj stručnih radnih tijela Europske komisije u čijem radu se traži aktivno sudjelovanje RH.  </w:t>
      </w:r>
    </w:p>
    <w:p w:rsidR="00505632" w:rsidRDefault="00505632" w:rsidP="00505632">
      <w:r>
        <w:t>Ovim aktivnostima pridonijet će se provedbi Strateškog plana MZOIP 2016. - 2018. - ispunjavanju posebnog strateškog cilja 2.1. Osigurano povoljno stanje očuvanosti vrsta i staništa.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12"/>
        <w:gridCol w:w="2503"/>
        <w:gridCol w:w="1125"/>
        <w:gridCol w:w="1017"/>
        <w:gridCol w:w="1015"/>
        <w:gridCol w:w="1017"/>
        <w:gridCol w:w="1017"/>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postotka kopnenog teritorija Hrvatske za koji je izrađena detaljna karta staništa</w:t>
            </w:r>
          </w:p>
        </w:tc>
        <w:tc>
          <w:tcPr>
            <w:tcW w:w="2551"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2,4</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36</w:t>
            </w:r>
          </w:p>
        </w:tc>
        <w:tc>
          <w:tcPr>
            <w:tcW w:w="1020" w:type="dxa"/>
          </w:tcPr>
          <w:p w:rsidR="00505632" w:rsidRDefault="00505632" w:rsidP="00AD4E52">
            <w:pPr>
              <w:pStyle w:val="CellColumn"/>
              <w:jc w:val="right"/>
            </w:pPr>
            <w:r>
              <w:rPr>
                <w:rFonts w:cs="Times New Roman"/>
              </w:rPr>
              <w:t>60</w:t>
            </w:r>
          </w:p>
        </w:tc>
      </w:tr>
      <w:tr w:rsidR="00505632" w:rsidTr="00AD4E52">
        <w:trPr>
          <w:jc w:val="center"/>
        </w:trPr>
        <w:tc>
          <w:tcPr>
            <w:tcW w:w="2551" w:type="dxa"/>
          </w:tcPr>
          <w:p w:rsidR="00505632" w:rsidRDefault="00505632" w:rsidP="00AD4E52">
            <w:pPr>
              <w:pStyle w:val="CellColumn"/>
              <w:jc w:val="left"/>
            </w:pPr>
            <w:r>
              <w:rPr>
                <w:rFonts w:cs="Times New Roman"/>
              </w:rPr>
              <w:t>Povećanje broja vrsta i staništa s izrađenim protokolom za praćenje stanja (monitoring)</w:t>
            </w:r>
          </w:p>
        </w:tc>
        <w:tc>
          <w:tcPr>
            <w:tcW w:w="2551"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78</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80</w:t>
            </w:r>
          </w:p>
        </w:tc>
      </w:tr>
      <w:tr w:rsidR="00505632" w:rsidTr="00AD4E52">
        <w:trPr>
          <w:jc w:val="center"/>
        </w:trPr>
        <w:tc>
          <w:tcPr>
            <w:tcW w:w="2551" w:type="dxa"/>
          </w:tcPr>
          <w:p w:rsidR="00505632" w:rsidRDefault="00505632" w:rsidP="00AD4E52">
            <w:pPr>
              <w:pStyle w:val="CellColumn"/>
              <w:jc w:val="left"/>
            </w:pPr>
            <w:r>
              <w:rPr>
                <w:rFonts w:cs="Times New Roman"/>
              </w:rPr>
              <w:t>Povećanje provedenih procjena ugroženosti vrsta</w:t>
            </w:r>
          </w:p>
        </w:tc>
        <w:tc>
          <w:tcPr>
            <w:tcW w:w="2551"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3190</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3250</w:t>
            </w:r>
          </w:p>
        </w:tc>
        <w:tc>
          <w:tcPr>
            <w:tcW w:w="1020" w:type="dxa"/>
          </w:tcPr>
          <w:p w:rsidR="00505632" w:rsidRDefault="00505632" w:rsidP="00AD4E52">
            <w:pPr>
              <w:pStyle w:val="CellColumn"/>
              <w:jc w:val="right"/>
            </w:pPr>
            <w:r>
              <w:rPr>
                <w:rFonts w:cs="Times New Roman"/>
              </w:rPr>
              <w:t>3287</w:t>
            </w:r>
          </w:p>
        </w:tc>
      </w:tr>
      <w:tr w:rsidR="00505632" w:rsidTr="00AD4E52">
        <w:trPr>
          <w:jc w:val="center"/>
        </w:trPr>
        <w:tc>
          <w:tcPr>
            <w:tcW w:w="2551" w:type="dxa"/>
          </w:tcPr>
          <w:p w:rsidR="00505632" w:rsidRDefault="00505632" w:rsidP="00AD4E52">
            <w:pPr>
              <w:pStyle w:val="CellColumn"/>
              <w:jc w:val="left"/>
            </w:pPr>
            <w:r>
              <w:rPr>
                <w:rFonts w:cs="Times New Roman"/>
              </w:rPr>
              <w:t>Povećanje površine zaštićenih područja s planovima upravljanja koji na odgovarajući način adresiraju potrebe dugoročnog očuvanja Natura 2000 ciljnih vrsta i staništa</w:t>
            </w:r>
          </w:p>
        </w:tc>
        <w:tc>
          <w:tcPr>
            <w:tcW w:w="2551"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površina(ha)</w:t>
            </w:r>
          </w:p>
        </w:tc>
        <w:tc>
          <w:tcPr>
            <w:tcW w:w="1020" w:type="dxa"/>
          </w:tcPr>
          <w:p w:rsidR="00505632" w:rsidRDefault="00505632" w:rsidP="00AD4E52">
            <w:pPr>
              <w:pStyle w:val="CellColumn"/>
              <w:jc w:val="right"/>
            </w:pPr>
            <w:r>
              <w:rPr>
                <w:rFonts w:cs="Times New Roman"/>
              </w:rPr>
              <w:t>21567</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26.859</w:t>
            </w:r>
          </w:p>
        </w:tc>
        <w:tc>
          <w:tcPr>
            <w:tcW w:w="1020" w:type="dxa"/>
          </w:tcPr>
          <w:p w:rsidR="00505632" w:rsidRDefault="00505632" w:rsidP="00AD4E52">
            <w:pPr>
              <w:pStyle w:val="CellColumn"/>
              <w:jc w:val="right"/>
            </w:pPr>
            <w:r>
              <w:rPr>
                <w:rFonts w:cs="Times New Roman"/>
              </w:rPr>
              <w:t>21.567</w:t>
            </w:r>
          </w:p>
        </w:tc>
      </w:tr>
      <w:tr w:rsidR="00505632" w:rsidTr="00AD4E52">
        <w:trPr>
          <w:jc w:val="center"/>
        </w:trPr>
        <w:tc>
          <w:tcPr>
            <w:tcW w:w="2551" w:type="dxa"/>
          </w:tcPr>
          <w:p w:rsidR="00505632" w:rsidRDefault="00505632" w:rsidP="00AD4E52">
            <w:pPr>
              <w:pStyle w:val="CellColumn"/>
              <w:jc w:val="left"/>
            </w:pPr>
            <w:r>
              <w:rPr>
                <w:rFonts w:cs="Times New Roman"/>
              </w:rPr>
              <w:t>Povećanje broja stranih vrsta za koje je izrađena procjena invazivnosti ("risk assessment")</w:t>
            </w:r>
          </w:p>
        </w:tc>
        <w:tc>
          <w:tcPr>
            <w:tcW w:w="2551" w:type="dxa"/>
          </w:tcPr>
          <w:p w:rsidR="00505632" w:rsidRDefault="00505632" w:rsidP="00AD4E52">
            <w:pPr>
              <w:pStyle w:val="CellColumn"/>
              <w:jc w:val="left"/>
            </w:pPr>
            <w:r>
              <w:rPr>
                <w:rFonts w:cs="Times New Roman"/>
              </w:rPr>
              <w:t>2,4</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150</w:t>
            </w:r>
          </w:p>
        </w:tc>
        <w:tc>
          <w:tcPr>
            <w:tcW w:w="1020" w:type="dxa"/>
          </w:tcPr>
          <w:p w:rsidR="00505632" w:rsidRDefault="00505632" w:rsidP="00AD4E52">
            <w:pPr>
              <w:pStyle w:val="CellColumn"/>
              <w:jc w:val="right"/>
            </w:pPr>
            <w:r>
              <w:rPr>
                <w:rFonts w:cs="Times New Roman"/>
              </w:rPr>
              <w:t>113</w:t>
            </w:r>
          </w:p>
        </w:tc>
      </w:tr>
      <w:tr w:rsidR="00505632" w:rsidTr="00AD4E52">
        <w:trPr>
          <w:jc w:val="center"/>
        </w:trPr>
        <w:tc>
          <w:tcPr>
            <w:tcW w:w="2551" w:type="dxa"/>
          </w:tcPr>
          <w:p w:rsidR="00505632" w:rsidRDefault="00505632" w:rsidP="00AD4E52">
            <w:pPr>
              <w:pStyle w:val="CellColumn"/>
              <w:jc w:val="left"/>
            </w:pPr>
            <w:r>
              <w:rPr>
                <w:rFonts w:cs="Times New Roman"/>
              </w:rPr>
              <w:t>Unaprijediti znanje o invazivnim stranim vrstama i uspostaviti kontrolu radi minimiziranja njihovog utjecaja na vrste i staništa (planovi za sustav upravljanja invazivnim stranim vrstama)</w:t>
            </w:r>
          </w:p>
        </w:tc>
        <w:tc>
          <w:tcPr>
            <w:tcW w:w="2551"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Provođenje edukacije te održavanje stručnih skupova, tematskih seminara i radionica</w:t>
            </w:r>
          </w:p>
        </w:tc>
        <w:tc>
          <w:tcPr>
            <w:tcW w:w="2551"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14</w:t>
            </w:r>
          </w:p>
        </w:tc>
        <w:tc>
          <w:tcPr>
            <w:tcW w:w="1020"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6</w:t>
            </w:r>
          </w:p>
        </w:tc>
      </w:tr>
    </w:tbl>
    <w:p w:rsidR="00505632" w:rsidRDefault="00505632" w:rsidP="00505632">
      <w:pPr>
        <w:jc w:val="left"/>
      </w:pPr>
    </w:p>
    <w:p w:rsidR="00505632" w:rsidRDefault="00505632" w:rsidP="00505632">
      <w:pPr>
        <w:pStyle w:val="Heading4"/>
      </w:pPr>
      <w:r>
        <w:t>K779041 OPERATIVNI PROGRAM KONKURENTNOST I KOHEZIJA, PRIORITET 6- POBOLJŠANO ZNANJE O STANJU BIORAZNOLIKOSTI I USPOSTAVA OKVIRA ZA ODRŽIVO UPRAVLJANJE BIORAZNOLIKOŠĆU</w:t>
      </w:r>
    </w:p>
    <w:tbl>
      <w:tblPr>
        <w:tblStyle w:val="StilTablice"/>
        <w:tblW w:w="10206" w:type="dxa"/>
        <w:jc w:val="center"/>
        <w:tblLook w:val="04A0" w:firstRow="1" w:lastRow="0" w:firstColumn="1" w:lastColumn="0" w:noHBand="0" w:noVBand="1"/>
      </w:tblPr>
      <w:tblGrid>
        <w:gridCol w:w="2014"/>
        <w:gridCol w:w="1926"/>
        <w:gridCol w:w="1932"/>
        <w:gridCol w:w="1926"/>
        <w:gridCol w:w="1199"/>
        <w:gridCol w:w="120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K779041-OPERATIVNI PROGRAM KONKURENTNOST I KOHEZIJA, PRIORITET 6- POBOLJŠANO ZNANJE O STANJU BIORAZNOLIKOSTI I USPOSTAVA OKVIRA ZA ODRŽIVO UPRAVLJANJE BIORAZNOLIKOŠĆU</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2.647.120</w:t>
            </w:r>
          </w:p>
        </w:tc>
        <w:tc>
          <w:tcPr>
            <w:tcW w:w="2041" w:type="dxa"/>
          </w:tcPr>
          <w:p w:rsidR="00505632" w:rsidRDefault="00505632" w:rsidP="00AD4E52">
            <w:pPr>
              <w:pStyle w:val="CellColumn"/>
              <w:jc w:val="right"/>
            </w:pPr>
            <w:r>
              <w:rPr>
                <w:rFonts w:cs="Times New Roman"/>
              </w:rPr>
              <w:t>316.528</w:t>
            </w:r>
          </w:p>
        </w:tc>
        <w:tc>
          <w:tcPr>
            <w:tcW w:w="1224" w:type="dxa"/>
          </w:tcPr>
          <w:p w:rsidR="00505632" w:rsidRDefault="00505632" w:rsidP="00AD4E52">
            <w:pPr>
              <w:pStyle w:val="CellColumn"/>
              <w:jc w:val="right"/>
            </w:pPr>
            <w:r>
              <w:rPr>
                <w:rFonts w:cs="Times New Roman"/>
              </w:rPr>
              <w:t>12,0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OP KK projekti se provode sukladno Operativnom programu Konkurentnost i kohezija 2014. – 2020., plansko-programskom dokumentu koji detaljnije opisuje i razrađuje mjere i aktivnosti za učinkovitu provedbu i korištenje Europskih strukturnih i investicijskih fondova (ESI). Ovaj dokument je odobrila Europska komisija, nakon prihvaćanja Sporazuma o partnerstvu s RH. U 2016. radit će se na uspostavi nacionalnog programa monitoringa invazivnih vrsta te pripadajućeg informacijskog sustava te pripremi planova upravljanja strogo zaštićenim vrstama. </w:t>
      </w:r>
    </w:p>
    <w:p w:rsidR="00505632" w:rsidRDefault="00505632" w:rsidP="00505632">
      <w:r>
        <w:t xml:space="preserve">Ovim aktivnostima pridonijet će se provedbi Strateškog plana MZOIP 2016. - 2018. - ispunjavanju posebnog strateškog cilja 2.1. Ojačan sustav upravljanja u zaštiti prirode. </w:t>
      </w:r>
    </w:p>
    <w:p w:rsidR="00505632" w:rsidRDefault="00505632" w:rsidP="00505632">
      <w:r>
        <w:t xml:space="preserve">Proračun je planiran sukladno planu objave poziva na dostavu projektnih prijedloga Posredničkog tijela razine 1 (Ministarstvo nadležno za zaštitu okoliša i prirode), za dva projekta financirana iz Operativnog programa Konkurentnost i kohezija 2014.-2020. u 2016. godini. Pozivi na dostavu projektnih prijedloga planirani su za drugi kvartal 2016.  te je ugovaranje, a time i provedba projekata trebala započeti u trećem kvartalu 2016. godine.  </w:t>
      </w:r>
    </w:p>
    <w:p w:rsidR="00505632" w:rsidRDefault="00505632" w:rsidP="00505632">
      <w:r>
        <w:t>Prvi projekt prijavljen je u kolovozu 2016., odobren u prosincu 2016., a ugovoren u siječnju 2017.dok je drugi projekt prijavljen u prosincu 2016., odobren u veljači 2017., a ugovaranje je u tijeku.</w:t>
      </w:r>
    </w:p>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.Povećanje broja strogo zaštićenih vrsta za koje su izrađeni i usvojeni planovi upravljanja s akcijskim planovima, uključujući reviziju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3" w:type="dxa"/>
          </w:tcPr>
          <w:p w:rsidR="00505632" w:rsidRDefault="00505632" w:rsidP="00AD4E52">
            <w:pPr>
              <w:pStyle w:val="CellColumn"/>
              <w:jc w:val="left"/>
            </w:pPr>
            <w:r>
              <w:rPr>
                <w:rFonts w:cs="Times New Roman"/>
              </w:rPr>
              <w:t>Unaprijediti znanje o invazivnim stranim vrstama i uspostaviti kontrolu radi minimiziranja njihovog utjecaja na vrste i staništa (planovi za sustav upravljanja invazivnim stranim vrstama)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T905007 MREŽA ZA ZAŠTITU KITOVA I MORSKIH KORNJAČA U JADRANU - IPA ADRIATIC NETCET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T905007-MREŽA ZA ZAŠTITU KITOVA I MORSKIH KORNJAČA U JADRANU - IPA ADRIATIC NETCET</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76.685</w:t>
            </w:r>
          </w:p>
        </w:tc>
        <w:tc>
          <w:tcPr>
            <w:tcW w:w="2041" w:type="dxa"/>
          </w:tcPr>
          <w:p w:rsidR="00505632" w:rsidRDefault="00505632" w:rsidP="00AD4E52">
            <w:pPr>
              <w:pStyle w:val="CellColumn"/>
              <w:jc w:val="right"/>
            </w:pPr>
            <w:r>
              <w:rPr>
                <w:rFonts w:cs="Times New Roman"/>
              </w:rPr>
              <w:t>31.458</w:t>
            </w:r>
          </w:p>
        </w:tc>
        <w:tc>
          <w:tcPr>
            <w:tcW w:w="1224" w:type="dxa"/>
          </w:tcPr>
          <w:p w:rsidR="00505632" w:rsidRDefault="00505632" w:rsidP="00AD4E52">
            <w:pPr>
              <w:pStyle w:val="CellColumn"/>
              <w:jc w:val="right"/>
            </w:pPr>
            <w:r>
              <w:rPr>
                <w:rFonts w:cs="Times New Roman"/>
              </w:rPr>
              <w:t>41,0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Glavni cilj projekta bio je izraditi zajedničke, jadranske strategije očuvanja kitova i morskih kornjača u Jadranu kroz regionalnu suradnju. Sve su ove vrste strogo zaštićene te se nalaze i na dodacima EU Direktive o staništima te je njihovo očuvanje obveza RH. S obzirom da su vrlo migratorne i žive u čitavom Jadranu, jedini način planiranja učinkovite, dugoročne strategije njihove zaštite, jest putem prekogranične suradnje i podijele odgovornosti među zemljama na Jadranu. Na projektu sudjeluje 5 jadranskih zemalja, a glavne aktivnosti uključuju izradu zajedničkih strategija i pripremu nacionalnih akcijskih planova za kitove i dupine i morske kornjače.   </w:t>
      </w:r>
    </w:p>
    <w:p w:rsidR="00505632" w:rsidRDefault="00505632" w:rsidP="00505632">
      <w:r>
        <w:t xml:space="preserve">Unatoč tome što je projekt završen u prvom kvartalu 2016., isplata sredstava odvija se usporenom dinamikom zbog dugotrajne procedure pregleda i odobravanja prihvatljivosti troškova u Agenciji za regionalni razvoj.  </w:t>
      </w:r>
    </w:p>
    <w:p w:rsidR="00505632" w:rsidRDefault="00505632" w:rsidP="00505632">
      <w:r>
        <w:t>Obzirom na navedeno, nismo tijekom 2016. uspjeli u roku dobiti sve deklaracije o validaciji troškova projekta, tako da će ostatak sredstava biti isplaćen u 2017.</w:t>
      </w:r>
    </w:p>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Povećanje broja strogo zaštićenih vrsta za koje su izrađeni i usvojeni planovi upravljanja s akcijskim planovima, uključujući reviziju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2</w:t>
            </w:r>
          </w:p>
        </w:tc>
      </w:tr>
    </w:tbl>
    <w:p w:rsidR="00505632" w:rsidRDefault="00505632" w:rsidP="00505632">
      <w:pPr>
        <w:jc w:val="left"/>
      </w:pPr>
    </w:p>
    <w:p w:rsidR="00505632" w:rsidRDefault="00505632" w:rsidP="00505632">
      <w:pPr>
        <w:pStyle w:val="Heading3"/>
      </w:pPr>
      <w:r>
        <w:rPr>
          <w:rFonts w:cs="Times New Roman"/>
        </w:rPr>
        <w:t>3402 ZAŠTITA OKOLIŠA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3402-ZAŠTITA OKOLIŠA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37.355.922</w:t>
            </w:r>
          </w:p>
        </w:tc>
        <w:tc>
          <w:tcPr>
            <w:tcW w:w="2041" w:type="dxa"/>
          </w:tcPr>
          <w:p w:rsidR="00505632" w:rsidRDefault="00505632" w:rsidP="00AD4E52">
            <w:pPr>
              <w:pStyle w:val="CellColumn"/>
              <w:jc w:val="right"/>
            </w:pPr>
            <w:r>
              <w:rPr>
                <w:rFonts w:cs="Times New Roman"/>
              </w:rPr>
              <w:t>29.074.902</w:t>
            </w:r>
          </w:p>
        </w:tc>
        <w:tc>
          <w:tcPr>
            <w:tcW w:w="1224" w:type="dxa"/>
          </w:tcPr>
          <w:p w:rsidR="00505632" w:rsidRDefault="00505632" w:rsidP="00AD4E52">
            <w:pPr>
              <w:pStyle w:val="CellColumn"/>
              <w:jc w:val="right"/>
            </w:pPr>
            <w:r>
              <w:rPr>
                <w:rFonts w:cs="Times New Roman"/>
              </w:rPr>
              <w:t>77,8</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r>
        <w:t>Kroz Program zaštite okoliša, Agencija osigurava praćenje i procjenu stanja okoliša, vodi (ustrojava, razvija i održava) baze podataka i informacijski sustav zaštite okoliša, osigurava dostupnost podataka o okolišu mjerodavnim institucijama, stručnim organizacijama i javnosti. Potiče razvoj i korištenje informacijskih tehnologija te time osigurava preduvjete za uspostavu učinkovitog sustava praćenja i usmjeravanja politike zaštite okoliša uvažavajući smjernice Europske unije. Sama Agencija ovime se oblikuje u učinkovitu, stručnu i otvorenu instituciju, jednu od ključnih u području zaštite okoliša na nacionalnoj razini, ali i središnje tijelo za razmjenu podataka o okolišu sa EU. Za provođenje Programa zaštite okoliša, u  Agenciji su organizirane aktivnosti čiji opis, zakonodavni okvir, ciljeve i pokazatelje uspješnosti niže navodimo.</w:t>
      </w:r>
    </w:p>
    <w:p w:rsidR="00505632" w:rsidRDefault="00505632" w:rsidP="00505632">
      <w:pPr>
        <w:pStyle w:val="Heading8"/>
        <w:jc w:val="left"/>
      </w:pPr>
      <w:r>
        <w:t>Cilj 1. Ojačati nacionalno praćenje stanja okoliša</w:t>
      </w:r>
    </w:p>
    <w:p w:rsidR="00505632" w:rsidRDefault="00505632" w:rsidP="00505632">
      <w:pPr>
        <w:pStyle w:val="Heading8"/>
        <w:jc w:val="left"/>
      </w:pPr>
      <w:r>
        <w:t>Cilj 2. Povezati postojeće okolišne podatke i učiniti ih mrežno dostupnima</w:t>
      </w:r>
    </w:p>
    <w:p w:rsidR="00505632" w:rsidRDefault="00505632" w:rsidP="00505632">
      <w:pPr>
        <w:pStyle w:val="Heading8"/>
        <w:jc w:val="left"/>
      </w:pPr>
      <w:r>
        <w:t>Cilj 3.  Prikupiti i pružati podatke obrađene i analizirane sukladno međunarodnoj i europskoj  metodologiji</w:t>
      </w:r>
    </w:p>
    <w:p w:rsidR="00505632" w:rsidRDefault="00505632" w:rsidP="00505632">
      <w:pPr>
        <w:pStyle w:val="Heading8"/>
        <w:jc w:val="left"/>
      </w:pPr>
      <w:r>
        <w:t>Cilj 4. Poboljšati i ojačati nacionalni Informacijski sustav zaštite okoliša</w:t>
      </w:r>
    </w:p>
    <w:p w:rsidR="00505632" w:rsidRDefault="00505632" w:rsidP="00505632">
      <w:pPr>
        <w:pStyle w:val="Heading8"/>
        <w:jc w:val="left"/>
      </w:pPr>
      <w:r>
        <w:t xml:space="preserve">Cilj 5. Odabrati referentne centre HAOP-a i razvijati suradnju s njima </w:t>
      </w:r>
    </w:p>
    <w:p w:rsidR="00505632" w:rsidRDefault="00505632" w:rsidP="00505632">
      <w:pPr>
        <w:pStyle w:val="Heading8"/>
        <w:jc w:val="left"/>
      </w:pPr>
      <w:r>
        <w:t xml:space="preserve">Cilj 6. Unaprijediti kvalitetu i cjelovitost podataka i informacija </w:t>
      </w:r>
    </w:p>
    <w:p w:rsidR="00505632" w:rsidRDefault="00505632" w:rsidP="00505632">
      <w:pPr>
        <w:pStyle w:val="Heading8"/>
        <w:jc w:val="left"/>
      </w:pPr>
      <w:r>
        <w:t>Cilj 7. Jačati sustav izvješćivanja o okolišu prema javnosti</w:t>
      </w:r>
    </w:p>
    <w:p w:rsidR="00505632" w:rsidRDefault="00505632" w:rsidP="00505632">
      <w:pPr>
        <w:pStyle w:val="Heading8"/>
        <w:jc w:val="left"/>
      </w:pPr>
      <w:r>
        <w:t>Cilj 8. Ispuniti obveze iz međunarodnih ugovora i sporazuma te iz Europske pravne stečevine</w:t>
      </w:r>
    </w:p>
    <w:p w:rsidR="00505632" w:rsidRDefault="00505632" w:rsidP="00505632">
      <w:pPr>
        <w:pStyle w:val="Heading8"/>
        <w:jc w:val="left"/>
      </w:pPr>
      <w:r>
        <w:t>Cilj 9. Surađivati s Europskom agencijom za okoliš i srodnim međunarodnim institucijama</w:t>
      </w:r>
    </w:p>
    <w:p w:rsidR="00505632" w:rsidRDefault="00505632" w:rsidP="00505632">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učinka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Osigurati podatke i informacije nužne za praćenje stanja okoliša i usmjeravanje politike zaštite okoliša i održivog razvoja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96</w:t>
            </w:r>
          </w:p>
        </w:tc>
        <w:tc>
          <w:tcPr>
            <w:tcW w:w="1020" w:type="dxa"/>
          </w:tcPr>
          <w:p w:rsidR="00505632" w:rsidRDefault="00505632" w:rsidP="00AD4E52">
            <w:pPr>
              <w:pStyle w:val="CellColumn"/>
              <w:jc w:val="right"/>
            </w:pPr>
            <w:r>
              <w:rPr>
                <w:rFonts w:cs="Times New Roman"/>
              </w:rPr>
              <w:t>95</w:t>
            </w:r>
          </w:p>
        </w:tc>
      </w:tr>
    </w:tbl>
    <w:p w:rsidR="00505632" w:rsidRDefault="00505632" w:rsidP="00505632">
      <w:pPr>
        <w:jc w:val="left"/>
      </w:pPr>
    </w:p>
    <w:p w:rsidR="00505632" w:rsidRDefault="00505632" w:rsidP="00505632">
      <w:pPr>
        <w:pStyle w:val="Heading4"/>
      </w:pPr>
      <w:r>
        <w:t>A905001 ADMINISTRACIJA I UPRAVLJANJE</w:t>
      </w:r>
    </w:p>
    <w:tbl>
      <w:tblPr>
        <w:tblStyle w:val="StilTablice"/>
        <w:tblW w:w="10206" w:type="dxa"/>
        <w:jc w:val="center"/>
        <w:tblLook w:val="04A0" w:firstRow="1" w:lastRow="0" w:firstColumn="1" w:lastColumn="0" w:noHBand="0" w:noVBand="1"/>
      </w:tblPr>
      <w:tblGrid>
        <w:gridCol w:w="1792"/>
        <w:gridCol w:w="1990"/>
        <w:gridCol w:w="1997"/>
        <w:gridCol w:w="1997"/>
        <w:gridCol w:w="1213"/>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A905001-ADMINISTRACIJA I UPRAVLJANJE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13.801.906</w:t>
            </w:r>
          </w:p>
        </w:tc>
        <w:tc>
          <w:tcPr>
            <w:tcW w:w="2041" w:type="dxa"/>
          </w:tcPr>
          <w:p w:rsidR="00505632" w:rsidRDefault="00505632" w:rsidP="00AD4E52">
            <w:pPr>
              <w:pStyle w:val="CellColumn"/>
              <w:jc w:val="right"/>
            </w:pPr>
            <w:r>
              <w:rPr>
                <w:rFonts w:cs="Times New Roman"/>
              </w:rPr>
              <w:t>13.047.956</w:t>
            </w:r>
          </w:p>
        </w:tc>
        <w:tc>
          <w:tcPr>
            <w:tcW w:w="1224" w:type="dxa"/>
          </w:tcPr>
          <w:p w:rsidR="00505632" w:rsidRDefault="00505632" w:rsidP="00AD4E52">
            <w:pPr>
              <w:pStyle w:val="CellColumn"/>
              <w:jc w:val="right"/>
            </w:pPr>
            <w:r>
              <w:rPr>
                <w:rFonts w:cs="Times New Roman"/>
              </w:rPr>
              <w:t>94,5</w:t>
            </w:r>
          </w:p>
        </w:tc>
        <w:tc>
          <w:tcPr>
            <w:tcW w:w="1224" w:type="dxa"/>
          </w:tcPr>
          <w:p w:rsidR="00505632" w:rsidRDefault="00505632" w:rsidP="00AD4E52">
            <w:pPr>
              <w:pStyle w:val="CellColumn"/>
              <w:jc w:val="right"/>
            </w:pPr>
            <w:r>
              <w:rPr>
                <w:rFonts w:cs="Times New Roman"/>
              </w:rPr>
              <w:t>0,0</w:t>
            </w:r>
          </w:p>
        </w:tc>
      </w:tr>
    </w:tbl>
    <w:p w:rsidR="00505632" w:rsidRDefault="00505632" w:rsidP="00505632">
      <w:pPr>
        <w:pStyle w:val="Heading8"/>
        <w:jc w:val="left"/>
        <w:rPr>
          <w:b w:val="0"/>
        </w:rPr>
      </w:pPr>
    </w:p>
    <w:p w:rsidR="00505632" w:rsidRDefault="00505632" w:rsidP="00505632">
      <w:pPr>
        <w:pStyle w:val="Heading8"/>
        <w:jc w:val="left"/>
      </w:pPr>
      <w:r>
        <w:t>Opis aktivnosti</w:t>
      </w:r>
    </w:p>
    <w:p w:rsidR="00505632" w:rsidRDefault="00505632" w:rsidP="00505632">
      <w:r>
        <w:t xml:space="preserve">Kroz ovu aktivnost Agencija na zakonski utemeljen način provodi realizaciju Plana rada Agencije radi ostvarenja svih svojih obaveza prema uposlenim djelatnicima uključujući isplate osobnih dohodaka i doprinosa zajedno sa svim materijalnim troškovima koji prate nesmetan rad djelatnika radi ostvarenja svih ciljeva i zadataka Agencije.  </w:t>
      </w:r>
    </w:p>
    <w:p w:rsidR="00505632" w:rsidRDefault="00505632" w:rsidP="00505632">
      <w:r>
        <w:t>Realizacija proračunskih sredstava kroz ovu aktivnost iznosi 95%. Sredstva su planirana analitički te  su rebalansom dovedena u realne okvire potrošnje.</w:t>
      </w:r>
    </w:p>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Realizacija plana rashoda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98</w:t>
            </w:r>
          </w:p>
        </w:tc>
        <w:tc>
          <w:tcPr>
            <w:tcW w:w="1020" w:type="dxa"/>
          </w:tcPr>
          <w:p w:rsidR="00505632" w:rsidRDefault="00505632" w:rsidP="00AD4E52">
            <w:pPr>
              <w:pStyle w:val="CellColumn"/>
              <w:jc w:val="right"/>
            </w:pPr>
            <w:r>
              <w:rPr>
                <w:rFonts w:cs="Times New Roman"/>
              </w:rPr>
              <w:t>98</w:t>
            </w:r>
          </w:p>
        </w:tc>
      </w:tr>
    </w:tbl>
    <w:p w:rsidR="00505632" w:rsidRDefault="00505632" w:rsidP="00505632">
      <w:pPr>
        <w:jc w:val="left"/>
      </w:pPr>
    </w:p>
    <w:p w:rsidR="00505632" w:rsidRDefault="00505632" w:rsidP="00505632">
      <w:pPr>
        <w:pStyle w:val="Heading4"/>
      </w:pPr>
      <w:r>
        <w:t>K905004 OPREMANJE AGENCIJE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K905004-OPREMANJE AGENCIJE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53.000</w:t>
            </w:r>
          </w:p>
        </w:tc>
        <w:tc>
          <w:tcPr>
            <w:tcW w:w="2041" w:type="dxa"/>
          </w:tcPr>
          <w:p w:rsidR="00505632" w:rsidRDefault="00505632" w:rsidP="00AD4E52">
            <w:pPr>
              <w:pStyle w:val="CellColumn"/>
              <w:jc w:val="right"/>
            </w:pPr>
            <w:r>
              <w:rPr>
                <w:rFonts w:cs="Times New Roman"/>
              </w:rPr>
              <w:t>43.836</w:t>
            </w:r>
          </w:p>
        </w:tc>
        <w:tc>
          <w:tcPr>
            <w:tcW w:w="1224" w:type="dxa"/>
          </w:tcPr>
          <w:p w:rsidR="00505632" w:rsidRDefault="00505632" w:rsidP="00AD4E52">
            <w:pPr>
              <w:pStyle w:val="CellColumn"/>
              <w:jc w:val="right"/>
            </w:pPr>
            <w:r>
              <w:rPr>
                <w:rFonts w:cs="Times New Roman"/>
              </w:rPr>
              <w:t>82,7</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Ova aktivnost isključivo je namijenjena opremanju uredskim materijalom i komunikacijskom opremom.</w:t>
      </w:r>
    </w:p>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Realizacija plana rashoda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98</w:t>
            </w:r>
          </w:p>
        </w:tc>
        <w:tc>
          <w:tcPr>
            <w:tcW w:w="1020" w:type="dxa"/>
          </w:tcPr>
          <w:p w:rsidR="00505632" w:rsidRDefault="00505632" w:rsidP="00AD4E52">
            <w:pPr>
              <w:pStyle w:val="CellColumn"/>
              <w:jc w:val="right"/>
            </w:pPr>
            <w:r>
              <w:rPr>
                <w:rFonts w:cs="Times New Roman"/>
              </w:rPr>
              <w:t>98</w:t>
            </w:r>
          </w:p>
        </w:tc>
      </w:tr>
    </w:tbl>
    <w:p w:rsidR="00505632" w:rsidRDefault="00505632" w:rsidP="00505632">
      <w:pPr>
        <w:jc w:val="left"/>
      </w:pPr>
    </w:p>
    <w:p w:rsidR="00505632" w:rsidRDefault="00505632" w:rsidP="00505632">
      <w:pPr>
        <w:jc w:val="left"/>
      </w:pPr>
    </w:p>
    <w:p w:rsidR="00505632" w:rsidRDefault="00505632" w:rsidP="00505632">
      <w:pPr>
        <w:pStyle w:val="Heading4"/>
      </w:pPr>
      <w:r>
        <w:t>K905005 INFORMACIJSKI SUSTAV ZAŠTITE OKOLIŠA I PRIRODE</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K905005-INFORMACIJSKI SUSTAV ZAŠTITE OKOLIŠA I PRIRODE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2.519.120</w:t>
            </w:r>
          </w:p>
        </w:tc>
        <w:tc>
          <w:tcPr>
            <w:tcW w:w="2041" w:type="dxa"/>
          </w:tcPr>
          <w:p w:rsidR="00505632" w:rsidRDefault="00505632" w:rsidP="00AD4E52">
            <w:pPr>
              <w:pStyle w:val="CellColumn"/>
              <w:jc w:val="right"/>
            </w:pPr>
            <w:r>
              <w:rPr>
                <w:rFonts w:cs="Times New Roman"/>
              </w:rPr>
              <w:t>2.389.364</w:t>
            </w:r>
          </w:p>
        </w:tc>
        <w:tc>
          <w:tcPr>
            <w:tcW w:w="1224" w:type="dxa"/>
          </w:tcPr>
          <w:p w:rsidR="00505632" w:rsidRDefault="00505632" w:rsidP="00AD4E52">
            <w:pPr>
              <w:pStyle w:val="CellColumn"/>
              <w:jc w:val="right"/>
            </w:pPr>
            <w:r>
              <w:rPr>
                <w:rFonts w:cs="Times New Roman"/>
              </w:rPr>
              <w:t>94,8</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Informacijski sustav zaštite okoliša i prirode se provodi sukladno Zakonu o zaštiti okoliša, NN 80/13, 78/15 (čl. 38, čl. 148) te Uredbi o informacijskom sustavu zaštite okoliša, NN 68/08.  </w:t>
      </w:r>
    </w:p>
    <w:p w:rsidR="00505632" w:rsidRDefault="00505632" w:rsidP="00505632">
      <w:r>
        <w:t xml:space="preserve">Ova aktivnost obuhvaća uspostavu, razvoj, vođenje, koordinaciju i održavanje jedinstvenog informacijskog sustava zaštite okoliša u Državi. Svrha ove Aktivnosti je što učinkovitije prikupljanje, vođenje, razmjena i korištenje podataka koji se odnose na stanje okoliša u Republici Hrvatskoj, ali i razmjenu podataka i informacija na međunarodnoj razini kao i kroz suradnju s Europskom agencijom za okoliš (EEA). </w:t>
      </w:r>
    </w:p>
    <w:p w:rsidR="00505632" w:rsidRDefault="00505632" w:rsidP="00505632">
      <w:r>
        <w:t xml:space="preserve">Uspostava Informacijskog sustava zaštite okoliša je preduvjet za praćenje relevantnih podataka, informacija i dokumenata zaštite okoliša sukladno Zakonu o zaštiti okoliša čime se osigurava i prati provedba politike zaštite okoliša i održivog razvoja Republike Hrvatske. U  2014. godini donesen je četverogodišnji program vođenja Informacijskog sustav zaštite okoliša u kojem se sukladno planiranim ciljevima razvija, unapređuje, te provode zakonske izmjene sa svrhom kontinuiranog razvoja. </w:t>
      </w:r>
    </w:p>
    <w:p w:rsidR="00505632" w:rsidRDefault="00505632" w:rsidP="00505632">
      <w:r>
        <w:t xml:space="preserve">Porastom broja informatičkih sustava tijekom 2016., tj. pod komponenti ISZO-a, potrebno je povećati resurse potrebne za preventivno, korektivno i adaptivno održavanje baza podataka kao i programskih rješenja. </w:t>
      </w:r>
    </w:p>
    <w:p w:rsidR="00505632" w:rsidRDefault="00505632" w:rsidP="00505632">
      <w:r>
        <w:t xml:space="preserve">Hrvatska agencija za okoliš i prirodu (pravni sljednik Državnog zavoda za zaštitu prirode) temeljem članka 196. Zakona o zaštiti prirode uspostavlja i vodi Informacijski sustav zaštite prirode Republike Hrvatske (ISZP), uvažavajući međunarodno prihvaćene standarde i obveze. Nakon što je u 2015. godini pušten u rad web portal ISZP-a, povećao se opseg poslova u ovom segmentu. Ovakav je sustav naime potrebno kontinuirano održavati i nadograđivati jer on, između ostalog,  predstavlja ključni alat za izvješćivanje Europske komisije sukladno propisima Europske unije iz područja zaštite prirode.  </w:t>
      </w:r>
    </w:p>
    <w:p w:rsidR="00505632" w:rsidRDefault="00505632" w:rsidP="00505632">
      <w:r>
        <w:t xml:space="preserve">U 2016. godini planiran je nastavak aktivnosti unaprjeđenja i razvoja ISZP-a kroz tehničku podršku i administraciju relacijskih baza podataka ISZP-a, web aplikacija ISZP-a, pripremu i implementaciju potrebnih web servisa te proširenje funkcionalnosti postojećih web aplikativnih rješenja.  </w:t>
      </w:r>
    </w:p>
    <w:p w:rsidR="00505632" w:rsidRDefault="00505632" w:rsidP="00505632">
      <w:r>
        <w:t xml:space="preserve">Ovim aktivnostima pridonijet će se provedbi Strateškog plana MZOIP 2016. - 2018. - ispunjavanju posebnog strateškog cilja 2.2. Ojačan sustav upravljanja u zaštiti prirode. </w:t>
      </w:r>
    </w:p>
    <w:p w:rsidR="00505632" w:rsidRDefault="00505632" w:rsidP="00505632">
      <w:r>
        <w:t xml:space="preserve">Završetkom Programa o neposrednom sudjelovanju Fonda u financiranju programa „Dogradnja i izvješćivanja o stanju okoliša u Republici Hrvatskoj, kroz koji se ISZO sustav kontinuirano unaprjeđivao, te su se uspostavljali novi zakonski uvjetovani sustavi, npr. E-ONTO (informacijski sustav Očevidnika o nastanku i tijeku otpada), IIPETS (Integrirana informatička platforma za sustav trgovanja emisijama stakleničkih plinova), Razvoj i nadogradnja Informacijskog sustava zaštite zraka s modulima za e-Reporting, nadogradnja CORINE programa, povećava se financijska potraživanja na navedenoj aktivnosti u svrhu kontinuiranog održavanja uspostavljenih, kao i unaprjeđenje i uspostava novih sustava ISZO-a. </w:t>
      </w:r>
    </w:p>
    <w:p w:rsidR="00505632" w:rsidRDefault="00505632" w:rsidP="00505632">
      <w:r>
        <w:t>Realizacija proračunskih sredstava kroz ovu aktivnost iznosi 94%. Sredstva su planirana analitički te su rebalansom dovedena u realne okvire potrošnje.</w:t>
      </w:r>
    </w:p>
    <w:p w:rsidR="00505632" w:rsidRDefault="00505632" w:rsidP="00505632"/>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Postotak realizacije Programa vođenja Informacijskog sustava zaštite okoliša i prirode Republike Hrvatske za razdoblje 2014-2017.</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96</w:t>
            </w:r>
          </w:p>
        </w:tc>
        <w:tc>
          <w:tcPr>
            <w:tcW w:w="1020" w:type="dxa"/>
          </w:tcPr>
          <w:p w:rsidR="00505632" w:rsidRDefault="00505632" w:rsidP="00AD4E52">
            <w:pPr>
              <w:pStyle w:val="CellColumn"/>
              <w:jc w:val="right"/>
            </w:pPr>
            <w:r>
              <w:rPr>
                <w:rFonts w:cs="Times New Roman"/>
              </w:rPr>
              <w:t>96</w:t>
            </w:r>
          </w:p>
        </w:tc>
      </w:tr>
    </w:tbl>
    <w:p w:rsidR="00505632" w:rsidRDefault="00505632" w:rsidP="00505632">
      <w:pPr>
        <w:jc w:val="left"/>
      </w:pPr>
    </w:p>
    <w:p w:rsidR="00505632" w:rsidRDefault="00505632" w:rsidP="00505632">
      <w:pPr>
        <w:pStyle w:val="Heading4"/>
      </w:pPr>
      <w:r>
        <w:t>T905010 IZRADA PROGRAMA TRAJNOG MOTRENJA TALA HRVATSKE S PILOT PROJEKTOM (LIFE 05)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T905010-IZRADA PROGRAMA TRAJNOG MOTRENJA TALA HRVATSKE S PILOT PROJEKTOM (LIFE 05)</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19.000</w:t>
            </w:r>
          </w:p>
        </w:tc>
        <w:tc>
          <w:tcPr>
            <w:tcW w:w="2041" w:type="dxa"/>
          </w:tcPr>
          <w:p w:rsidR="00505632" w:rsidRDefault="00505632" w:rsidP="00AD4E52">
            <w:pPr>
              <w:pStyle w:val="CellColumn"/>
              <w:jc w:val="right"/>
            </w:pPr>
            <w:r>
              <w:rPr>
                <w:rFonts w:cs="Times New Roman"/>
              </w:rPr>
              <w:t>19.893</w:t>
            </w:r>
          </w:p>
        </w:tc>
        <w:tc>
          <w:tcPr>
            <w:tcW w:w="1224" w:type="dxa"/>
          </w:tcPr>
          <w:p w:rsidR="00505632" w:rsidRDefault="00505632" w:rsidP="00AD4E52">
            <w:pPr>
              <w:pStyle w:val="CellColumn"/>
              <w:jc w:val="right"/>
            </w:pPr>
            <w:r>
              <w:rPr>
                <w:rFonts w:cs="Times New Roman"/>
              </w:rPr>
              <w:t>104,7</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Na aktivnosti se nalaze sredstva iz programa LIFE Europske komisije, preostala nakon uspješne provedbe projekta.</w:t>
      </w:r>
    </w:p>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2.2.4.1. Kontinuirano održavanje i unaprjeđenje baza ISZP-a kroz strukturiranje podataka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T905012 STATISTIKA O GOSPODARENJU OTPADOM OD HRANE</w:t>
      </w:r>
    </w:p>
    <w:tbl>
      <w:tblPr>
        <w:tblStyle w:val="StilTablice"/>
        <w:tblW w:w="10206" w:type="dxa"/>
        <w:jc w:val="center"/>
        <w:tblLook w:val="04A0" w:firstRow="1" w:lastRow="0" w:firstColumn="1" w:lastColumn="0" w:noHBand="0" w:noVBand="1"/>
      </w:tblPr>
      <w:tblGrid>
        <w:gridCol w:w="1681"/>
        <w:gridCol w:w="2028"/>
        <w:gridCol w:w="2026"/>
        <w:gridCol w:w="2028"/>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T905012-STATISTIKA O GOSPODARENJU OTPADOM OD HRANE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37.268</w:t>
            </w:r>
          </w:p>
        </w:tc>
        <w:tc>
          <w:tcPr>
            <w:tcW w:w="2041" w:type="dxa"/>
          </w:tcPr>
          <w:p w:rsidR="00505632" w:rsidRDefault="00505632" w:rsidP="00AD4E52">
            <w:pPr>
              <w:pStyle w:val="CellColumn"/>
              <w:jc w:val="right"/>
            </w:pPr>
            <w:r>
              <w:rPr>
                <w:rFonts w:cs="Times New Roman"/>
              </w:rPr>
              <w:t>13.937</w:t>
            </w:r>
          </w:p>
        </w:tc>
        <w:tc>
          <w:tcPr>
            <w:tcW w:w="1224" w:type="dxa"/>
          </w:tcPr>
          <w:p w:rsidR="00505632" w:rsidRDefault="00505632" w:rsidP="00AD4E52">
            <w:pPr>
              <w:pStyle w:val="CellColumn"/>
              <w:jc w:val="right"/>
            </w:pPr>
            <w:r>
              <w:rPr>
                <w:rFonts w:cs="Times New Roman"/>
              </w:rPr>
              <w:t>37,4</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Cilj projekta bio je uspostavljanje detaljnije i pouzdanije statistike o otpadu od hrane kao jednog od alata za kreiranje politike usmjerene na smanjenje otpada od hrane. Europska komisija sufinancirala je provedbu projekta „Data collection on food waste statistics“, u koji su bile uključene gotovo sve zemlje članice EU uključujući i Hrvatsku.  </w:t>
      </w:r>
    </w:p>
    <w:p w:rsidR="00505632" w:rsidRDefault="00505632" w:rsidP="00505632">
      <w:r>
        <w:t>Agencija sredstva koristi u cilju razvoja metodologije praćenja podataka, unaprjeđivanje podataka, suradnju s dionicima uključenima u sustavu gospodarenja otpadom od hrane te sudjelovanje u radnim skupinama, na sastancima, radionicama i seminarima te drugim aktivnostima vezanima za razvoj sustava gospodarenja otpadom od hrane kao i jačanje kapaciteta Agencije u provedbi vlastitih nadležnosti.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jc w:val="left"/>
            </w:pPr>
          </w:p>
        </w:tc>
        <w:tc>
          <w:tcPr>
            <w:tcW w:w="2551" w:type="dxa"/>
          </w:tcPr>
          <w:p w:rsidR="00505632" w:rsidRDefault="00505632" w:rsidP="00AD4E52">
            <w:pPr>
              <w:jc w:val="left"/>
            </w:pP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15</w:t>
            </w:r>
          </w:p>
        </w:tc>
      </w:tr>
    </w:tbl>
    <w:p w:rsidR="00505632" w:rsidRDefault="00505632" w:rsidP="00505632">
      <w:pPr>
        <w:jc w:val="left"/>
      </w:pPr>
    </w:p>
    <w:p w:rsidR="00505632" w:rsidRDefault="00505632" w:rsidP="00505632">
      <w:pPr>
        <w:pStyle w:val="Heading4"/>
      </w:pPr>
      <w:r>
        <w:t>T905013 PROGRAM DOGRADNJE I RAZVOJA INFORMACIJSKOG SUSTAVA PRAĆENJA I IZVJEŠĆIVANJA O STANJU OKOLIŠA RH</w:t>
      </w:r>
    </w:p>
    <w:tbl>
      <w:tblPr>
        <w:tblStyle w:val="StilTablice"/>
        <w:tblW w:w="10206" w:type="dxa"/>
        <w:jc w:val="center"/>
        <w:tblLook w:val="04A0" w:firstRow="1" w:lastRow="0" w:firstColumn="1" w:lastColumn="0" w:noHBand="0" w:noVBand="1"/>
      </w:tblPr>
      <w:tblGrid>
        <w:gridCol w:w="1859"/>
        <w:gridCol w:w="1969"/>
        <w:gridCol w:w="1980"/>
        <w:gridCol w:w="1974"/>
        <w:gridCol w:w="1209"/>
        <w:gridCol w:w="1215"/>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T905013-PROGRAM DOGRADNJE I RAZVOJA INFORMACIJSKOG SUSTAVA PRAĆENJA I IZVJEŠĆIVANJA O STANJU OKOLIŠA RH</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12.659.600</w:t>
            </w:r>
          </w:p>
        </w:tc>
        <w:tc>
          <w:tcPr>
            <w:tcW w:w="2041" w:type="dxa"/>
          </w:tcPr>
          <w:p w:rsidR="00505632" w:rsidRDefault="00505632" w:rsidP="00AD4E52">
            <w:pPr>
              <w:pStyle w:val="CellColumn"/>
              <w:jc w:val="right"/>
            </w:pPr>
            <w:r>
              <w:rPr>
                <w:rFonts w:cs="Times New Roman"/>
              </w:rPr>
              <w:t>8.073.692</w:t>
            </w:r>
          </w:p>
        </w:tc>
        <w:tc>
          <w:tcPr>
            <w:tcW w:w="1224" w:type="dxa"/>
          </w:tcPr>
          <w:p w:rsidR="00505632" w:rsidRDefault="00505632" w:rsidP="00AD4E52">
            <w:pPr>
              <w:pStyle w:val="CellColumn"/>
              <w:jc w:val="right"/>
            </w:pPr>
            <w:r>
              <w:rPr>
                <w:rFonts w:cs="Times New Roman"/>
              </w:rPr>
              <w:t>63,8</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Kroz ovu Aktivnost Agencija izvršava obveze preuzete prema Ugovoru o neposrednom sudjelovanju Fonda u financiranju programa „Dogradnja i izvješćivanja o stanju okoliša u Republici Hrvatskoj. Navedeni ugovor je realiziran prema Zaključku Vlade Republike Hrvatske (klasa:022-01/13-07/173, Ur. Broj: 50301-05/25-13-3) od 18.srpnja 2013. godine, a sukladno odredbi članka 7., st 19. st 1 podst. 12. Zakona o Fondu za zaštitu okoliša i energetsku učinkovitost (NN, 107/03, 144/12) i čl. 21. i 50. Statuta Fonda (NN, br. 193/03, 73/04, 16/08, 101/09, 118/11, 67/13) te odredbi čl. 24. st. 1. podst. 3. Pravilnika o uvjetima i načinu dodjeljivanja sredstava Fonda za zaštitu okoliša i energetsku učinkovitost, te kriterijima i mjerilima za ocjenjivanje zahtjeva za dodjeljivanje sredstava Fonda“. </w:t>
      </w:r>
    </w:p>
    <w:p w:rsidR="00505632" w:rsidRDefault="00505632" w:rsidP="00505632">
      <w:r>
        <w:t>Realizacija proračunskih sredstava kroz ovu aktivnost iznosi 63%. Sredstva su planirana sukladno godišnjem planu izvršenja, no zbog dinamike plaćanja FZOEU-a dio realiziranih aktivnosti uz prosinca 2016. godine isplaćeno su tek u prvom kvartalu 2017. godine.</w:t>
      </w:r>
    </w:p>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Redoviti rad s malim brojem kritičnih incidenata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99</w:t>
            </w:r>
          </w:p>
        </w:tc>
      </w:tr>
    </w:tbl>
    <w:p w:rsidR="00505632" w:rsidRDefault="00505632" w:rsidP="00505632">
      <w:pPr>
        <w:jc w:val="left"/>
      </w:pPr>
    </w:p>
    <w:p w:rsidR="00505632" w:rsidRDefault="00505632" w:rsidP="00505632">
      <w:pPr>
        <w:pStyle w:val="Heading4"/>
      </w:pPr>
      <w:r>
        <w:t>T905014 SURADNJA U PODRUČJU USPOSTAVE INFORMACIJSKOG SUSTAVA ZAŠTITE OD BUKE</w:t>
      </w:r>
    </w:p>
    <w:tbl>
      <w:tblPr>
        <w:tblStyle w:val="StilTablice"/>
        <w:tblW w:w="10206" w:type="dxa"/>
        <w:jc w:val="center"/>
        <w:tblLook w:val="04A0" w:firstRow="1" w:lastRow="0" w:firstColumn="1" w:lastColumn="0" w:noHBand="0" w:noVBand="1"/>
      </w:tblPr>
      <w:tblGrid>
        <w:gridCol w:w="1859"/>
        <w:gridCol w:w="1975"/>
        <w:gridCol w:w="1971"/>
        <w:gridCol w:w="1975"/>
        <w:gridCol w:w="1210"/>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T905014-SURADNJA U PODRUČJU USPOSTAVE INFORMACIJSKOG SUSTAVA ZAŠTITE OD BUKE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403.750</w:t>
            </w:r>
          </w:p>
        </w:tc>
        <w:tc>
          <w:tcPr>
            <w:tcW w:w="2041" w:type="dxa"/>
          </w:tcPr>
          <w:p w:rsidR="00505632" w:rsidRDefault="00505632" w:rsidP="00AD4E52">
            <w:pPr>
              <w:pStyle w:val="CellColumn"/>
              <w:jc w:val="right"/>
            </w:pPr>
            <w:r>
              <w:rPr>
                <w:rFonts w:cs="Times New Roman"/>
              </w:rPr>
              <w:t>398.816</w:t>
            </w:r>
          </w:p>
        </w:tc>
        <w:tc>
          <w:tcPr>
            <w:tcW w:w="1224" w:type="dxa"/>
          </w:tcPr>
          <w:p w:rsidR="00505632" w:rsidRDefault="00505632" w:rsidP="00AD4E52">
            <w:pPr>
              <w:pStyle w:val="CellColumn"/>
              <w:jc w:val="right"/>
            </w:pPr>
            <w:r>
              <w:rPr>
                <w:rFonts w:cs="Times New Roman"/>
              </w:rPr>
              <w:t>98,8</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Sukladno Zakonu o zaštiti okoliša (NN 80/13) i Uredbi o informacijskom sustavu zaštite okoliša (NN 68/08) jedan od osnovnih zadataka i ciljeva Agencije je uspostava vođenje, razvijanje, koordiniranje i održavanje Informacijskog sustava zaštite okoliša.  </w:t>
      </w:r>
    </w:p>
    <w:p w:rsidR="00505632" w:rsidRDefault="00505632" w:rsidP="00505632">
      <w:r>
        <w:t xml:space="preserve">Strateške karte buke (SKB) i akcijski planovi iz stavka 1. točke 1. čl.7 Zakona o zaštiti od buke sastavni su dio Informacijskog sustava zaštite okoliša Republike Hrvatske. </w:t>
      </w:r>
    </w:p>
    <w:p w:rsidR="00505632" w:rsidRDefault="00505632" w:rsidP="00505632">
      <w:r>
        <w:t xml:space="preserve">SKB  čine stručnu podlogu za izradu prostornih planova no vrlo bitnu ulogu čine i u postupku strateške procjene utjecaja plana i programa na okoliš. Strateške karte buke usklađuju se trajno s izmjenama u prostoru, a obvezno se obnavljaju svakih pet godina od dana izrade, odnosno od dana odobravanja. </w:t>
      </w:r>
    </w:p>
    <w:p w:rsidR="00505632" w:rsidRDefault="00505632" w:rsidP="00505632">
      <w:r>
        <w:t xml:space="preserve">Kao komponenta ISZO, Sustav SKB  osigurava potpunu kompatibilnost, cjelovitost i  objedinjenost svih baza podataka strateških karata buke kao i pripadajućih prostornih podloga  potrebnih za uspostavu sustava za uvid, analizu i izvješća. </w:t>
      </w:r>
    </w:p>
    <w:p w:rsidR="00505632" w:rsidRDefault="00505632" w:rsidP="00505632">
      <w:r>
        <w:t>Godišnja osigurana sredstva financijske pomoći prema navedenom ugovoru uključena su tablicu T905014. Realizacija proračunskih sredstava kroz ovu aktivnost iznosi 98%. Sredstva su planirana analitički te su rebalansom dovedena u realne okvire potrošnje.</w:t>
      </w:r>
    </w:p>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Redoviti rad s malim brojem kritičnih incidenata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99</w:t>
            </w:r>
          </w:p>
        </w:tc>
      </w:tr>
    </w:tbl>
    <w:p w:rsidR="00505632" w:rsidRDefault="00505632" w:rsidP="00505632">
      <w:pPr>
        <w:jc w:val="left"/>
      </w:pPr>
    </w:p>
    <w:p w:rsidR="00505632" w:rsidRDefault="00505632" w:rsidP="00505632">
      <w:pPr>
        <w:pStyle w:val="Heading4"/>
      </w:pPr>
      <w:r>
        <w:t>T905016 TRGOVANJE EMISIJSKIM JEDINICAMA STAKLENIČKIH PLINOVA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T905016-TRGOVANJE EMISIJSKIM JEDINICAMA STAKLENIČKIH PLINOVA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4.787.852</w:t>
            </w:r>
          </w:p>
        </w:tc>
        <w:tc>
          <w:tcPr>
            <w:tcW w:w="2041" w:type="dxa"/>
          </w:tcPr>
          <w:p w:rsidR="00505632" w:rsidRDefault="00505632" w:rsidP="00AD4E52">
            <w:pPr>
              <w:pStyle w:val="CellColumn"/>
              <w:jc w:val="right"/>
            </w:pPr>
            <w:r>
              <w:rPr>
                <w:rFonts w:cs="Times New Roman"/>
              </w:rPr>
              <w:t>2.121.118</w:t>
            </w:r>
          </w:p>
        </w:tc>
        <w:tc>
          <w:tcPr>
            <w:tcW w:w="1224" w:type="dxa"/>
          </w:tcPr>
          <w:p w:rsidR="00505632" w:rsidRDefault="00505632" w:rsidP="00AD4E52">
            <w:pPr>
              <w:pStyle w:val="CellColumn"/>
              <w:jc w:val="right"/>
            </w:pPr>
            <w:r>
              <w:rPr>
                <w:rFonts w:cs="Times New Roman"/>
              </w:rPr>
              <w:t>44,3</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Sukladno čl.100. Zakona o zaštiti zraka (NN 130/11, 47/14) financijska sredstava dobivena prodajom uplaćuju se na poseban račun dražbovatelja (FZOEU). Sredstava se koriste strogo namjenski, a dio se uplaćuje u državni proračun za pokrivanje troškova administriranja sustava trgovanja emisijskim jedinicama, za upravne poslove, poslove funkcioniranja Registra Unije, dražbovatelja, Nacionalnog sustava za praćenje emisije stakleničkih plinova i drugih poslova vezanih uz klimatske promjene i to u visini od 5% prikupljenih sredstava, s izuzetkom 2014. i 2015. godine za koje se odvaja 15% sredstava. Agencija će sredstva koristiti strogo namjenski za propisane poslove sukladno Planu korištenja sredstava iz sustava trgovanja emisijskim jedinicama za razdoblje 2017. - 2019. za poslove administriranja sustava trgovanja emisijskim jedinicama, za upravne poslove, poslove funkcioniranja Registra Unije, Nacionalnog sustava za praćenje emisije stakleničkih plinova i drugih poslova vezanih uz klimatske promjene.  </w:t>
      </w:r>
    </w:p>
    <w:p w:rsidR="00505632" w:rsidRDefault="00505632" w:rsidP="00505632">
      <w:r>
        <w:t>Relativno niski indeks izvršenja prisutan je iz razloga što se dio sredstava koristio za plaćanje projekata sa drugih aktivnosti. Ista sredstva su se rebalansom i preknjiženjima vratila na ovu aktivnost krajem godine te se iz tog razloga nisu mogli koristiti. Dio planiranih sredstava nije iskorišten iz razloga nerealiziranja projekata.</w:t>
      </w:r>
    </w:p>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Osiguranje sustava trgovanja stakleničkim plinovima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20</w:t>
            </w:r>
          </w:p>
        </w:tc>
      </w:tr>
      <w:tr w:rsidR="00505632" w:rsidTr="00AD4E52">
        <w:trPr>
          <w:jc w:val="center"/>
        </w:trPr>
        <w:tc>
          <w:tcPr>
            <w:tcW w:w="2553" w:type="dxa"/>
          </w:tcPr>
          <w:p w:rsidR="00505632" w:rsidRDefault="00505632" w:rsidP="00AD4E52">
            <w:pPr>
              <w:pStyle w:val="CellColumn"/>
              <w:jc w:val="left"/>
            </w:pPr>
            <w:r>
              <w:rPr>
                <w:rFonts w:cs="Times New Roman"/>
              </w:rPr>
              <w:t>Osiguranje funkcioniranja GHG Registra Unije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57</w:t>
            </w:r>
          </w:p>
        </w:tc>
      </w:tr>
      <w:tr w:rsidR="00505632" w:rsidTr="00AD4E52">
        <w:trPr>
          <w:jc w:val="center"/>
        </w:trPr>
        <w:tc>
          <w:tcPr>
            <w:tcW w:w="2553" w:type="dxa"/>
          </w:tcPr>
          <w:p w:rsidR="00505632" w:rsidRDefault="00505632" w:rsidP="00AD4E52">
            <w:pPr>
              <w:pStyle w:val="CellColumn"/>
              <w:jc w:val="left"/>
            </w:pPr>
            <w:r>
              <w:rPr>
                <w:rFonts w:cs="Times New Roman"/>
              </w:rPr>
              <w:t>Osiguranje poslova Nacionalnog sustava za praćenje emisije stakleničkih plinova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40</w:t>
            </w:r>
          </w:p>
        </w:tc>
      </w:tr>
      <w:tr w:rsidR="00505632" w:rsidTr="00AD4E52">
        <w:trPr>
          <w:jc w:val="center"/>
        </w:trPr>
        <w:tc>
          <w:tcPr>
            <w:tcW w:w="2553" w:type="dxa"/>
          </w:tcPr>
          <w:p w:rsidR="00505632" w:rsidRDefault="00505632" w:rsidP="00AD4E52">
            <w:pPr>
              <w:pStyle w:val="CellColumn"/>
              <w:jc w:val="left"/>
            </w:pPr>
            <w:r>
              <w:rPr>
                <w:rFonts w:cs="Times New Roman"/>
              </w:rPr>
              <w:t>Osiguranje poslova vezanih za klimatske promjene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HAOP</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51</w:t>
            </w:r>
          </w:p>
        </w:tc>
      </w:tr>
    </w:tbl>
    <w:p w:rsidR="00505632" w:rsidRDefault="00505632" w:rsidP="00505632">
      <w:pPr>
        <w:jc w:val="left"/>
      </w:pPr>
    </w:p>
    <w:p w:rsidR="00505632" w:rsidRDefault="00505632" w:rsidP="00505632">
      <w:pPr>
        <w:pStyle w:val="Heading2"/>
      </w:pPr>
      <w:r>
        <w:t>07735 Hrvatska agencija za obvezne zalihe nafte i naftnih derivata</w:t>
      </w:r>
    </w:p>
    <w:p w:rsidR="00505632" w:rsidRDefault="00505632" w:rsidP="00505632">
      <w:r>
        <w:t xml:space="preserve">U postupku usklađivanja zakonodavnog okvira Republike Hrvatske s pravnom stečevinom EU-a i Ugovora o zajednici za energiju, Hrvatski sabor je, u svibnju 2006. godine, donio Zakon o tržištu nafte i naftnih derivata (Narodne novine, broj 19/14),. Predmetnim Zakonom uređuju se pravila i mjere za sigurnu i pouzdanu proizvodnju naftnih derivata, transport nafte i naftnih derivata, trgovina na veliko i malo naftnim derivatima, skladištenje nafte i naftnih derivata, trgovinu na veliko i malo ukapljenim naftnim plinom, pravo pristupa treće strane, otvoren pristup tržištu, plan intervencije u slučaju izvanrednog poremećaja opskrbe tržišta nafte i naftnih derivata te operativne i obvezne zalihe nafte, odnosno naftnih derivata. Ujedno se tim Zakonom uređuje poslovanje Hrvatska agencija za obvezne zalihe nafte i naftnih derivata. </w:t>
      </w:r>
    </w:p>
    <w:p w:rsidR="00505632" w:rsidRDefault="00505632" w:rsidP="00505632">
      <w:r>
        <w:t xml:space="preserve">HANDA je od osnutka do 31.12.2012. godine poslovala kao pravna osoba od strateškog i posebnog interesa za Republiku Hrvatsku prema načelima poslovanja neprofitnih organizacija. U razdoblju od 01. siječnja 2013. godine do 15. listopada 2016. godine HANDA obavlja poslovanje kao proračunski korisnik i upisana je u Registru korisnika proračuna kao RKP 47797, Glava 04965 – Agencije u gospodarstvu unutar Razdjela 049 Ministarstva gospodarstva. </w:t>
      </w:r>
    </w:p>
    <w:p w:rsidR="00505632" w:rsidRDefault="00505632" w:rsidP="00505632">
      <w:r>
        <w:t xml:space="preserve">Dana 15. listopada 2016. godine, stupanjem na snagu Zakona o ustrojstvu i djelokrugu ministarstava i drugih središnjih tijela državne uprave („Narodne novine“ 93/2016), HANDA je raspoređena u djelokrug Ministarstva zaštite okoliša i energetike. </w:t>
      </w:r>
    </w:p>
    <w:p w:rsidR="00505632" w:rsidRDefault="00505632" w:rsidP="00505632">
      <w:r>
        <w:t>Osnovna zadaća HANDA-e je osiguranje, odnosno formiranje obveznih zaliha nafte i naftnih derivata Republike Hrvatske kako bi se osigurala sigurna i pouzdana opskrba Republike Hrvatske naftom i naftnim derivatima u slučaju prijetnje energetskoj sigurnosti države, uslijed izvanrednih poremećaja opskrbe. Uz formiranje obveznih zaliha nafte i naftnih derivata, djelatnosti i predmet poslovanja HANDA-e su i trgovina i skladištenje nafte i naftnih derivata, nadzor i upravljanje obveznim zalihama, kupovina i/ili gradnja terminala i/ili spremnika, pripadajućih lučkih i kopnenih postrojenja i instalacija te upravljanje istima, kontrola količine i kvalitete nafte i naftnih derivata, sudjelovanje u definiranju energetske politike, provedba međudržavnih ugovora i sporazuma, sklapanje opcijskih ugovora za kupnju naftnih derivata, upravljanje carinskim skladištima sirove nafte i trošarinskim skladištima naftnih derivata, upravljanje rizicima vezanim za fluktuacije cijene nafte i naftnih derivata te upravljanje valutnim rizicima, suradnja s domaćim i inozemnim energetskim tijelima i/ili subjektima te tijelima državne i javne uprave.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07735-Hrvatska agencija za obvezne zalihe nafte i naftnih derivata</w:t>
            </w:r>
          </w:p>
        </w:tc>
        <w:tc>
          <w:tcPr>
            <w:tcW w:w="2041" w:type="dxa"/>
            <w:vAlign w:val="top"/>
          </w:tcPr>
          <w:p w:rsidR="00505632" w:rsidRDefault="00505632" w:rsidP="00AD4E52">
            <w:pPr>
              <w:pStyle w:val="CellColumn"/>
              <w:jc w:val="right"/>
            </w:pPr>
            <w:r>
              <w:rPr>
                <w:rFonts w:cs="Times New Roman"/>
              </w:rPr>
              <w:t>00</w:t>
            </w:r>
          </w:p>
        </w:tc>
        <w:tc>
          <w:tcPr>
            <w:tcW w:w="2041" w:type="dxa"/>
            <w:vAlign w:val="top"/>
          </w:tcPr>
          <w:p w:rsidR="00505632" w:rsidRDefault="00505632" w:rsidP="00AD4E52">
            <w:pPr>
              <w:pStyle w:val="CellColumn"/>
              <w:jc w:val="right"/>
            </w:pPr>
            <w:r>
              <w:rPr>
                <w:rFonts w:cs="Times New Roman"/>
              </w:rPr>
              <w:t>45.661.091</w:t>
            </w:r>
          </w:p>
        </w:tc>
        <w:tc>
          <w:tcPr>
            <w:tcW w:w="2041" w:type="dxa"/>
            <w:vAlign w:val="top"/>
          </w:tcPr>
          <w:p w:rsidR="00505632" w:rsidRDefault="00505632" w:rsidP="00AD4E52">
            <w:pPr>
              <w:pStyle w:val="CellColumn"/>
              <w:jc w:val="right"/>
            </w:pPr>
            <w:r>
              <w:rPr>
                <w:rFonts w:cs="Times New Roman"/>
              </w:rPr>
              <w:t>44.252.799</w:t>
            </w:r>
          </w:p>
        </w:tc>
        <w:tc>
          <w:tcPr>
            <w:tcW w:w="1224" w:type="dxa"/>
            <w:vAlign w:val="top"/>
          </w:tcPr>
          <w:p w:rsidR="00505632" w:rsidRDefault="00505632" w:rsidP="00AD4E52">
            <w:pPr>
              <w:pStyle w:val="CellColumn"/>
              <w:jc w:val="right"/>
            </w:pPr>
            <w:r>
              <w:rPr>
                <w:rFonts w:cs="Times New Roman"/>
              </w:rPr>
              <w:t>96,9</w:t>
            </w:r>
          </w:p>
        </w:tc>
        <w:tc>
          <w:tcPr>
            <w:tcW w:w="1224" w:type="dxa"/>
            <w:vAlign w:val="top"/>
          </w:tcPr>
          <w:p w:rsidR="00505632" w:rsidRDefault="00505632" w:rsidP="00AD4E52">
            <w:pPr>
              <w:pStyle w:val="CellColumn"/>
              <w:jc w:val="right"/>
            </w:pPr>
            <w:r>
              <w:rPr>
                <w:rFonts w:cs="Times New Roman"/>
              </w:rPr>
              <w:t>0,0</w:t>
            </w:r>
          </w:p>
        </w:tc>
      </w:tr>
      <w:tr w:rsidR="00505632" w:rsidTr="00AD4E52">
        <w:trPr>
          <w:jc w:val="center"/>
        </w:trPr>
        <w:tc>
          <w:tcPr>
            <w:tcW w:w="1632" w:type="dxa"/>
          </w:tcPr>
          <w:p w:rsidR="00505632" w:rsidRDefault="00505632" w:rsidP="00AD4E52">
            <w:pPr>
              <w:jc w:val="left"/>
            </w:pPr>
            <w:r>
              <w:t>3226-OSIGURANJE OBVEZNIH ZALIHA NAFTE I NAFTNIH DERIVATA REPUBLIKE HRVATSKE</w:t>
            </w:r>
          </w:p>
        </w:tc>
        <w:tc>
          <w:tcPr>
            <w:tcW w:w="2041" w:type="dxa"/>
          </w:tcPr>
          <w:p w:rsidR="00505632" w:rsidRDefault="00505632" w:rsidP="00AD4E52">
            <w:pPr>
              <w:jc w:val="right"/>
            </w:pPr>
            <w:r>
              <w:t>00</w:t>
            </w:r>
          </w:p>
        </w:tc>
        <w:tc>
          <w:tcPr>
            <w:tcW w:w="2041" w:type="dxa"/>
          </w:tcPr>
          <w:p w:rsidR="00505632" w:rsidRDefault="00505632" w:rsidP="00AD4E52">
            <w:pPr>
              <w:jc w:val="right"/>
            </w:pPr>
            <w:r>
              <w:t>45.661.091</w:t>
            </w:r>
          </w:p>
        </w:tc>
        <w:tc>
          <w:tcPr>
            <w:tcW w:w="2041" w:type="dxa"/>
          </w:tcPr>
          <w:p w:rsidR="00505632" w:rsidRDefault="00505632" w:rsidP="00AD4E52">
            <w:pPr>
              <w:jc w:val="right"/>
            </w:pPr>
            <w:r>
              <w:t>44.252.799</w:t>
            </w:r>
          </w:p>
        </w:tc>
        <w:tc>
          <w:tcPr>
            <w:tcW w:w="1224" w:type="dxa"/>
          </w:tcPr>
          <w:p w:rsidR="00505632" w:rsidRDefault="00505632" w:rsidP="00AD4E52">
            <w:pPr>
              <w:jc w:val="right"/>
            </w:pPr>
            <w:r>
              <w:t>96,9</w:t>
            </w:r>
          </w:p>
        </w:tc>
        <w:tc>
          <w:tcPr>
            <w:tcW w:w="1224" w:type="dxa"/>
          </w:tcPr>
          <w:p w:rsidR="00505632" w:rsidRDefault="00505632" w:rsidP="00AD4E52">
            <w:pPr>
              <w:jc w:val="right"/>
            </w:pPr>
            <w:r>
              <w:t>0,0</w:t>
            </w:r>
          </w:p>
        </w:tc>
      </w:tr>
    </w:tbl>
    <w:p w:rsidR="00505632" w:rsidRDefault="00505632" w:rsidP="00505632">
      <w:pPr>
        <w:jc w:val="left"/>
      </w:pPr>
    </w:p>
    <w:p w:rsidR="00505632" w:rsidRDefault="00505632" w:rsidP="00505632">
      <w:pPr>
        <w:pStyle w:val="Heading3"/>
      </w:pPr>
      <w:r>
        <w:rPr>
          <w:rFonts w:cs="Times New Roman"/>
        </w:rPr>
        <w:t>3226 OSIGURANJE OBVEZNIH ZALIHA NAFTE I NAFTNIH DERIVATA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3226-OSIGURANJE OBVEZNIH ZALIHA NAFTE I NAFTNIH DERIVATA REPUBLIKE HRVATSKE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45.661.091</w:t>
            </w:r>
          </w:p>
        </w:tc>
        <w:tc>
          <w:tcPr>
            <w:tcW w:w="2041" w:type="dxa"/>
          </w:tcPr>
          <w:p w:rsidR="00505632" w:rsidRDefault="00505632" w:rsidP="00AD4E52">
            <w:pPr>
              <w:pStyle w:val="CellColumn"/>
              <w:jc w:val="right"/>
            </w:pPr>
            <w:r>
              <w:rPr>
                <w:rFonts w:cs="Times New Roman"/>
              </w:rPr>
              <w:t>44.252.799</w:t>
            </w:r>
          </w:p>
        </w:tc>
        <w:tc>
          <w:tcPr>
            <w:tcW w:w="1224" w:type="dxa"/>
          </w:tcPr>
          <w:p w:rsidR="00505632" w:rsidRDefault="00505632" w:rsidP="00AD4E52">
            <w:pPr>
              <w:pStyle w:val="CellColumn"/>
              <w:jc w:val="right"/>
            </w:pPr>
            <w:r>
              <w:rPr>
                <w:rFonts w:cs="Times New Roman"/>
              </w:rPr>
              <w:t>96,9</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r>
        <w:t xml:space="preserve">Nastavno na energetsku politiku Europske unije i prihvaćene energetske direktive, Hrvatski sabor je 2006. godine donio Zakon o tržištu nafte i naftnih derivata te je istim Zakonom osnovana Hrvatska agencija za obvezne zalihe nafte i naftnih derivata (dalje u tekstu: HANDA) sa zadaćom i misijom osiguranja, odnosno formiranja obveznih zaliha nafte i naftnih derivata Republike Hrvatske kako bi se osigurala sigurna i pouzdana opskrba Republike Hrvatske naftom i naftnim derivatima u slučaju prijetnje energetskoj sigurnosti države, uslijed izvanrednih poremećaja opskrbe. Program se provodi radi provedbe energetske politike Europske unije koja je prihvaćenim energetskim Direktivama 2006/67/EZ i 2009/119/EZ, za svoje članice propisala obvezu držanja 90-dnevnih obveznih zaliha naftnih derivata za slučaj poremećaja opskrbe tržišta Europske unije, a proističe iz jednog od općih ciljeva utvrđenih Programom Vlade RH u mandatu 2016.-2020.: </w:t>
      </w:r>
    </w:p>
    <w:p w:rsidR="00505632" w:rsidRDefault="00505632" w:rsidP="00505632">
      <w:r>
        <w:t xml:space="preserve">Opći cilj: </w:t>
      </w:r>
    </w:p>
    <w:p w:rsidR="00505632" w:rsidRDefault="00505632" w:rsidP="00505632">
      <w:r>
        <w:t xml:space="preserve">Ostvarivanje stabilnog i trajnog gospodarskog rasta </w:t>
      </w:r>
    </w:p>
    <w:p w:rsidR="00505632" w:rsidRDefault="00505632" w:rsidP="00505632">
      <w:r>
        <w:t xml:space="preserve">Posebni cilj: </w:t>
      </w:r>
    </w:p>
    <w:p w:rsidR="00505632" w:rsidRDefault="00505632" w:rsidP="00505632">
      <w:r>
        <w:t xml:space="preserve"> Unaprjeđenje sigurnosti opskrbe naftom u Hrvatskoj i EU </w:t>
      </w:r>
    </w:p>
    <w:p w:rsidR="00505632" w:rsidRDefault="00505632" w:rsidP="00505632">
      <w:r>
        <w:t xml:space="preserve">Načini ostvarenja: </w:t>
      </w:r>
    </w:p>
    <w:p w:rsidR="00505632" w:rsidRDefault="00505632" w:rsidP="00505632">
      <w:r>
        <w:t xml:space="preserve">- osiguranje obveznih zaliha nafte i naftnih derivata </w:t>
      </w:r>
    </w:p>
    <w:p w:rsidR="00505632" w:rsidRDefault="00505632" w:rsidP="00505632">
      <w:r>
        <w:t xml:space="preserve">Zakonske i druge pravne osnove: </w:t>
      </w:r>
    </w:p>
    <w:p w:rsidR="00505632" w:rsidRDefault="00505632" w:rsidP="00505632">
      <w:r>
        <w:t xml:space="preserve">- Direktiva 2006/67/EZ  </w:t>
      </w:r>
    </w:p>
    <w:p w:rsidR="00505632" w:rsidRDefault="00505632" w:rsidP="00505632">
      <w:r>
        <w:t xml:space="preserve">- Direktiva 2009/119/EZ  </w:t>
      </w:r>
    </w:p>
    <w:p w:rsidR="00505632" w:rsidRDefault="00505632" w:rsidP="00505632">
      <w:r>
        <w:t xml:space="preserve">- Zakon o tržištu nafte i naftnih derivata (Narodne novine, broj 19/14) </w:t>
      </w:r>
    </w:p>
    <w:p w:rsidR="00505632" w:rsidRDefault="00505632" w:rsidP="00505632">
      <w:r>
        <w:t xml:space="preserve">- Podzakonski propisi vezani uz provedbu Zakona o tržištu nafte i naftnih derivata </w:t>
      </w:r>
    </w:p>
    <w:p w:rsidR="00505632" w:rsidRDefault="00505632" w:rsidP="00505632">
      <w:r>
        <w:t xml:space="preserve">Sukladno odredbama Zakona o tržištu nafte i naftnih derivata, HANDA obvezne zalihe nafte i naftnih derivata mora formirati u propisanoj količini i strukturi te iste skladištiti i njima upravljati. </w:t>
      </w:r>
    </w:p>
    <w:p w:rsidR="00505632" w:rsidRDefault="00505632" w:rsidP="00505632">
      <w:r>
        <w:t xml:space="preserve">Stupanjem na snagu Zakona o ustrojstvu i djelokrugu ministarstava i drugih središnjih tijela državne uprave („Narodne novine“ 93/2016), HANDA je raspoređena u djelokrug Ministarstva zaštite okoliša i energetike gdje nastavlja poslovanje kao proračunski korisnik. </w:t>
      </w:r>
    </w:p>
    <w:p w:rsidR="00505632" w:rsidRDefault="00505632" w:rsidP="00505632">
      <w:r>
        <w:t xml:space="preserve">Program se provodi kroz tri aktivnosti: </w:t>
      </w:r>
    </w:p>
    <w:p w:rsidR="00505632" w:rsidRDefault="00505632" w:rsidP="00505632">
      <w:r>
        <w:t xml:space="preserve">-A869001 Administracija i upravljanje  </w:t>
      </w:r>
    </w:p>
    <w:p w:rsidR="00505632" w:rsidRDefault="00505632" w:rsidP="00505632">
      <w:r>
        <w:t xml:space="preserve">-K869002 Opremanje i informatizacija </w:t>
      </w:r>
    </w:p>
    <w:p w:rsidR="00505632" w:rsidRDefault="00505632" w:rsidP="00505632">
      <w:r>
        <w:t>-K869003 Formiranje, skladištenje i upravljanje obveznim zalihama nafte i naftnih derivata</w:t>
      </w:r>
    </w:p>
    <w:p w:rsidR="00505632" w:rsidRDefault="00505632" w:rsidP="00505632">
      <w:pPr>
        <w:pStyle w:val="Heading8"/>
        <w:jc w:val="left"/>
      </w:pPr>
      <w:r>
        <w:t>Cilj 1.  Osiguranje obveznih zaliha nafte i naftnih derivata Republike Hrvatske koje se koriste u slučaju poremećaja opskrbe na tržištu Republike Hrvatske ali i radi ispunjenja međunarodnih obveza Republike Hrvatske na temelju odluka Međunarodne agencije za energiju i Europske komisije, o puštanju obveznih zaliha nafte i naftnih derivata na tržište.</w:t>
      </w:r>
    </w:p>
    <w:p w:rsidR="00505632" w:rsidRDefault="00505632" w:rsidP="00505632">
      <w:pPr>
        <w:pStyle w:val="Heading8"/>
        <w:jc w:val="left"/>
      </w:pPr>
      <w:r>
        <w:t>Opis provedbe cilja programa</w:t>
      </w:r>
    </w:p>
    <w:p w:rsidR="00505632" w:rsidRDefault="00505632" w:rsidP="00505632">
      <w:r>
        <w:t xml:space="preserve">Provedba cilja 1. Programa u 2016. je ostvarena formiranjem zaliha nafte i naftnih derivata u količini, strukturi te </w:t>
      </w:r>
    </w:p>
    <w:p w:rsidR="00505632" w:rsidRDefault="00505632" w:rsidP="00505632">
      <w:r>
        <w:t xml:space="preserve">rokovima utvrđenim važećim pravnim propisima o držanju najmanje 90-dnevnih obveznih zaliha naftnih derivata, </w:t>
      </w:r>
    </w:p>
    <w:p w:rsidR="00505632" w:rsidRDefault="00505632" w:rsidP="00505632">
      <w:r>
        <w:t>za slučaj poremećaja opskrbe tržišta na području Republike Hrvatske kao i Europske unije.</w:t>
      </w:r>
    </w:p>
    <w:p w:rsidR="00505632" w:rsidRDefault="00505632" w:rsidP="00505632">
      <w:pPr>
        <w:pStyle w:val="Heading8"/>
        <w:jc w:val="left"/>
      </w:pPr>
      <w:r>
        <w:t xml:space="preserve">Cilj 2. Osiguranje dugoročno potrebnih skladišnih kapaciteta za formiranje i skladištenje obveznih zaliha nafte i naftnih derivata </w:t>
      </w:r>
    </w:p>
    <w:p w:rsidR="00505632" w:rsidRDefault="00505632" w:rsidP="00505632">
      <w:pPr>
        <w:pStyle w:val="Heading8"/>
        <w:jc w:val="left"/>
      </w:pPr>
      <w:r>
        <w:t>Opis provedbe cilja programa</w:t>
      </w:r>
    </w:p>
    <w:p w:rsidR="00505632" w:rsidRDefault="00505632" w:rsidP="00505632">
      <w:r>
        <w:t xml:space="preserve">Provedba cilja 2. je ostvarena osiguravanjem dugoročne raspoloživosti skladišnih kapaciteta za potrebe čuvanja </w:t>
      </w:r>
    </w:p>
    <w:p w:rsidR="00505632" w:rsidRDefault="00505632" w:rsidP="00505632">
      <w:r>
        <w:t xml:space="preserve">obveznih zaliha nafte i naftnih derivata ugovaranjem i osiguravanjem najma skladišnog prostora odgovarajućeg </w:t>
      </w:r>
    </w:p>
    <w:p w:rsidR="00505632" w:rsidRDefault="00505632" w:rsidP="00505632">
      <w:r>
        <w:t>kapaciteta.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Formirane obvezne zalihe nafte i naftnih derivata u količini i strukturi određenoj važećim pravnim propisima (broj dana)</w:t>
            </w:r>
          </w:p>
        </w:tc>
        <w:tc>
          <w:tcPr>
            <w:tcW w:w="2551" w:type="dxa"/>
          </w:tcPr>
          <w:p w:rsidR="00505632" w:rsidRDefault="00505632" w:rsidP="00AD4E52">
            <w:pPr>
              <w:pStyle w:val="CellColumn"/>
              <w:jc w:val="left"/>
            </w:pPr>
            <w:r>
              <w:rPr>
                <w:rFonts w:cs="Times New Roman"/>
              </w:rPr>
              <w:t xml:space="preserve">Količina nabavljene nafte i naftnih derivata izračunate na </w:t>
            </w:r>
            <w:r>
              <w:t>t</w:t>
            </w:r>
            <w:r>
              <w:rPr>
                <w:rFonts w:cs="Times New Roman"/>
              </w:rPr>
              <w:t>emelju neto dnevnog uvoza</w:t>
            </w:r>
          </w:p>
        </w:tc>
        <w:tc>
          <w:tcPr>
            <w:tcW w:w="1020" w:type="dxa"/>
          </w:tcPr>
          <w:p w:rsidR="00505632" w:rsidRDefault="00505632" w:rsidP="00AD4E52">
            <w:pPr>
              <w:pStyle w:val="CellColumn"/>
              <w:jc w:val="right"/>
            </w:pPr>
            <w:r>
              <w:rPr>
                <w:rFonts w:cs="Times New Roman"/>
              </w:rPr>
              <w:t>Broj dana</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HANDA</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90</w:t>
            </w:r>
          </w:p>
        </w:tc>
      </w:tr>
      <w:tr w:rsidR="00505632" w:rsidTr="00AD4E52">
        <w:trPr>
          <w:jc w:val="center"/>
        </w:trPr>
        <w:tc>
          <w:tcPr>
            <w:tcW w:w="2551" w:type="dxa"/>
          </w:tcPr>
          <w:p w:rsidR="00505632" w:rsidRDefault="00505632" w:rsidP="00AD4E52">
            <w:pPr>
              <w:pStyle w:val="CellColumn"/>
              <w:jc w:val="left"/>
            </w:pPr>
            <w:r>
              <w:rPr>
                <w:rFonts w:cs="Times New Roman"/>
              </w:rPr>
              <w:t>Formirane obvezne zalihe nafte i naftnih derivata</w:t>
            </w:r>
          </w:p>
        </w:tc>
        <w:tc>
          <w:tcPr>
            <w:tcW w:w="2551" w:type="dxa"/>
          </w:tcPr>
          <w:p w:rsidR="00505632" w:rsidRDefault="00505632" w:rsidP="00AD4E52">
            <w:pPr>
              <w:pStyle w:val="CellColumn"/>
              <w:jc w:val="left"/>
            </w:pPr>
            <w:r>
              <w:rPr>
                <w:rFonts w:cs="Times New Roman"/>
              </w:rPr>
              <w:t>Ukupna količina formiranih zaliha nafte i naftnih derivata</w:t>
            </w:r>
          </w:p>
        </w:tc>
        <w:tc>
          <w:tcPr>
            <w:tcW w:w="1020" w:type="dxa"/>
          </w:tcPr>
          <w:p w:rsidR="00505632" w:rsidRDefault="00505632" w:rsidP="00AD4E52">
            <w:pPr>
              <w:pStyle w:val="CellColumn"/>
              <w:jc w:val="right"/>
            </w:pPr>
            <w:r>
              <w:rPr>
                <w:rFonts w:cs="Times New Roman"/>
              </w:rPr>
              <w:t>tona</w:t>
            </w:r>
          </w:p>
        </w:tc>
        <w:tc>
          <w:tcPr>
            <w:tcW w:w="1020" w:type="dxa"/>
          </w:tcPr>
          <w:p w:rsidR="00505632" w:rsidRDefault="00505632" w:rsidP="00AD4E52">
            <w:pPr>
              <w:pStyle w:val="CellColumn"/>
              <w:jc w:val="right"/>
            </w:pPr>
            <w:r>
              <w:rPr>
                <w:rFonts w:cs="Times New Roman"/>
              </w:rPr>
              <w:t>634.000</w:t>
            </w:r>
          </w:p>
        </w:tc>
        <w:tc>
          <w:tcPr>
            <w:tcW w:w="1020" w:type="dxa"/>
          </w:tcPr>
          <w:p w:rsidR="00505632" w:rsidRDefault="00505632" w:rsidP="00AD4E52">
            <w:pPr>
              <w:pStyle w:val="CellColumn"/>
              <w:jc w:val="right"/>
            </w:pPr>
            <w:r>
              <w:rPr>
                <w:rFonts w:cs="Times New Roman"/>
              </w:rPr>
              <w:t>HANDA</w:t>
            </w:r>
          </w:p>
        </w:tc>
        <w:tc>
          <w:tcPr>
            <w:tcW w:w="1020" w:type="dxa"/>
          </w:tcPr>
          <w:p w:rsidR="00505632" w:rsidRDefault="00505632" w:rsidP="00AD4E52">
            <w:pPr>
              <w:pStyle w:val="CellColumn"/>
              <w:jc w:val="right"/>
            </w:pPr>
            <w:r>
              <w:rPr>
                <w:rFonts w:cs="Times New Roman"/>
              </w:rPr>
              <w:t>650.000</w:t>
            </w:r>
          </w:p>
        </w:tc>
        <w:tc>
          <w:tcPr>
            <w:tcW w:w="1020" w:type="dxa"/>
          </w:tcPr>
          <w:p w:rsidR="00505632" w:rsidRDefault="00505632" w:rsidP="00AD4E52">
            <w:pPr>
              <w:pStyle w:val="CellColumn"/>
              <w:jc w:val="right"/>
            </w:pPr>
            <w:r>
              <w:rPr>
                <w:rFonts w:cs="Times New Roman"/>
              </w:rPr>
              <w:t>646.813</w:t>
            </w:r>
          </w:p>
        </w:tc>
      </w:tr>
      <w:tr w:rsidR="00505632" w:rsidTr="00AD4E52">
        <w:trPr>
          <w:jc w:val="center"/>
        </w:trPr>
        <w:tc>
          <w:tcPr>
            <w:tcW w:w="2551" w:type="dxa"/>
          </w:tcPr>
          <w:p w:rsidR="00505632" w:rsidRDefault="00505632" w:rsidP="00AD4E52">
            <w:pPr>
              <w:pStyle w:val="CellColumn"/>
              <w:jc w:val="left"/>
            </w:pPr>
            <w:r>
              <w:rPr>
                <w:rFonts w:cs="Times New Roman"/>
              </w:rPr>
              <w:t>Osiguran skladišni prostor za nftu  ugovorom o najmu</w:t>
            </w:r>
          </w:p>
        </w:tc>
        <w:tc>
          <w:tcPr>
            <w:tcW w:w="2551" w:type="dxa"/>
          </w:tcPr>
          <w:p w:rsidR="00505632" w:rsidRDefault="00505632" w:rsidP="00AD4E52">
            <w:pPr>
              <w:pStyle w:val="CellColumn"/>
              <w:jc w:val="left"/>
            </w:pPr>
            <w:r>
              <w:rPr>
                <w:rFonts w:cs="Times New Roman"/>
              </w:rPr>
              <w:t>Sklopljeni dugoročni ugovori o najmu skladišnog prostora za naftu</w:t>
            </w:r>
          </w:p>
        </w:tc>
        <w:tc>
          <w:tcPr>
            <w:tcW w:w="1020" w:type="dxa"/>
          </w:tcPr>
          <w:p w:rsidR="00505632" w:rsidRDefault="00505632" w:rsidP="00AD4E52">
            <w:pPr>
              <w:pStyle w:val="CellColumn"/>
              <w:jc w:val="right"/>
            </w:pPr>
            <w:r>
              <w:rPr>
                <w:rFonts w:cs="Times New Roman"/>
              </w:rPr>
              <w:t>(m3)</w:t>
            </w:r>
          </w:p>
        </w:tc>
        <w:tc>
          <w:tcPr>
            <w:tcW w:w="1020" w:type="dxa"/>
          </w:tcPr>
          <w:p w:rsidR="00505632" w:rsidRDefault="00505632" w:rsidP="00AD4E52">
            <w:pPr>
              <w:pStyle w:val="CellColumn"/>
              <w:jc w:val="right"/>
            </w:pPr>
            <w:r>
              <w:rPr>
                <w:rFonts w:cs="Times New Roman"/>
              </w:rPr>
              <w:t>480.000</w:t>
            </w:r>
          </w:p>
        </w:tc>
        <w:tc>
          <w:tcPr>
            <w:tcW w:w="1020" w:type="dxa"/>
          </w:tcPr>
          <w:p w:rsidR="00505632" w:rsidRDefault="00505632" w:rsidP="00AD4E52">
            <w:pPr>
              <w:pStyle w:val="CellColumn"/>
              <w:jc w:val="right"/>
            </w:pPr>
            <w:r>
              <w:rPr>
                <w:rFonts w:cs="Times New Roman"/>
              </w:rPr>
              <w:t>HANDA</w:t>
            </w:r>
          </w:p>
        </w:tc>
        <w:tc>
          <w:tcPr>
            <w:tcW w:w="1020" w:type="dxa"/>
          </w:tcPr>
          <w:p w:rsidR="00505632" w:rsidRDefault="00505632" w:rsidP="00AD4E52">
            <w:pPr>
              <w:pStyle w:val="CellColumn"/>
              <w:jc w:val="right"/>
            </w:pPr>
            <w:r>
              <w:rPr>
                <w:rFonts w:cs="Times New Roman"/>
              </w:rPr>
              <w:t>480.000</w:t>
            </w:r>
          </w:p>
        </w:tc>
        <w:tc>
          <w:tcPr>
            <w:tcW w:w="1020" w:type="dxa"/>
          </w:tcPr>
          <w:p w:rsidR="00505632" w:rsidRDefault="00505632" w:rsidP="00AD4E52">
            <w:pPr>
              <w:pStyle w:val="CellColumn"/>
              <w:jc w:val="right"/>
            </w:pPr>
            <w:r>
              <w:rPr>
                <w:rFonts w:cs="Times New Roman"/>
              </w:rPr>
              <w:t>480.000</w:t>
            </w:r>
          </w:p>
        </w:tc>
      </w:tr>
      <w:tr w:rsidR="00505632" w:rsidTr="00AD4E52">
        <w:trPr>
          <w:jc w:val="center"/>
        </w:trPr>
        <w:tc>
          <w:tcPr>
            <w:tcW w:w="2551" w:type="dxa"/>
          </w:tcPr>
          <w:p w:rsidR="00505632" w:rsidRDefault="00505632" w:rsidP="00AD4E52">
            <w:pPr>
              <w:pStyle w:val="CellColumn"/>
              <w:jc w:val="left"/>
            </w:pPr>
            <w:r>
              <w:rPr>
                <w:rFonts w:cs="Times New Roman"/>
              </w:rPr>
              <w:t>Osiguran skladišni prostor za nftne derivate ugovorom o najmu</w:t>
            </w:r>
          </w:p>
        </w:tc>
        <w:tc>
          <w:tcPr>
            <w:tcW w:w="2551" w:type="dxa"/>
          </w:tcPr>
          <w:p w:rsidR="00505632" w:rsidRDefault="00505632" w:rsidP="00AD4E52">
            <w:pPr>
              <w:pStyle w:val="CellColumn"/>
              <w:jc w:val="left"/>
            </w:pPr>
            <w:r>
              <w:rPr>
                <w:rFonts w:cs="Times New Roman"/>
              </w:rPr>
              <w:t>Sklopljeni dugoročni ugovori o najmu skladišnog prostora za naftne derivate</w:t>
            </w:r>
          </w:p>
        </w:tc>
        <w:tc>
          <w:tcPr>
            <w:tcW w:w="1020" w:type="dxa"/>
          </w:tcPr>
          <w:p w:rsidR="00505632" w:rsidRDefault="00505632" w:rsidP="00AD4E52">
            <w:pPr>
              <w:pStyle w:val="CellColumn"/>
              <w:jc w:val="right"/>
            </w:pPr>
            <w:r>
              <w:rPr>
                <w:rFonts w:cs="Times New Roman"/>
              </w:rPr>
              <w:t>(m3)</w:t>
            </w:r>
          </w:p>
        </w:tc>
        <w:tc>
          <w:tcPr>
            <w:tcW w:w="1020" w:type="dxa"/>
          </w:tcPr>
          <w:p w:rsidR="00505632" w:rsidRDefault="00505632" w:rsidP="00AD4E52">
            <w:pPr>
              <w:pStyle w:val="CellColumn"/>
              <w:jc w:val="right"/>
            </w:pPr>
            <w:r>
              <w:rPr>
                <w:rFonts w:cs="Times New Roman"/>
              </w:rPr>
              <w:t>160.000</w:t>
            </w:r>
          </w:p>
        </w:tc>
        <w:tc>
          <w:tcPr>
            <w:tcW w:w="1020" w:type="dxa"/>
          </w:tcPr>
          <w:p w:rsidR="00505632" w:rsidRDefault="00505632" w:rsidP="00AD4E52">
            <w:pPr>
              <w:pStyle w:val="CellColumn"/>
              <w:jc w:val="right"/>
            </w:pPr>
            <w:r>
              <w:rPr>
                <w:rFonts w:cs="Times New Roman"/>
              </w:rPr>
              <w:t>HANDA</w:t>
            </w:r>
          </w:p>
        </w:tc>
        <w:tc>
          <w:tcPr>
            <w:tcW w:w="1020" w:type="dxa"/>
          </w:tcPr>
          <w:p w:rsidR="00505632" w:rsidRDefault="00505632" w:rsidP="00AD4E52">
            <w:pPr>
              <w:pStyle w:val="CellColumn"/>
              <w:jc w:val="right"/>
            </w:pPr>
            <w:r>
              <w:rPr>
                <w:rFonts w:cs="Times New Roman"/>
              </w:rPr>
              <w:t>160.000</w:t>
            </w:r>
          </w:p>
        </w:tc>
        <w:tc>
          <w:tcPr>
            <w:tcW w:w="1020" w:type="dxa"/>
          </w:tcPr>
          <w:p w:rsidR="00505632" w:rsidRDefault="00505632" w:rsidP="00AD4E52">
            <w:pPr>
              <w:pStyle w:val="CellColumn"/>
              <w:jc w:val="right"/>
            </w:pPr>
            <w:r>
              <w:rPr>
                <w:rFonts w:cs="Times New Roman"/>
              </w:rPr>
              <w:t>160.000</w:t>
            </w:r>
          </w:p>
        </w:tc>
      </w:tr>
    </w:tbl>
    <w:p w:rsidR="00505632" w:rsidRDefault="00505632" w:rsidP="00505632">
      <w:pPr>
        <w:jc w:val="left"/>
      </w:pPr>
    </w:p>
    <w:p w:rsidR="00505632" w:rsidRDefault="00505632" w:rsidP="00505632">
      <w:pPr>
        <w:pStyle w:val="Heading2"/>
      </w:pPr>
      <w:r>
        <w:t>07740 Centar za praćenje poslovanja energetskog sektora i investicija</w:t>
      </w:r>
    </w:p>
    <w:tbl>
      <w:tblPr>
        <w:tblStyle w:val="StilTablice"/>
        <w:tblW w:w="10206" w:type="dxa"/>
        <w:jc w:val="center"/>
        <w:tblLook w:val="04A0" w:firstRow="1" w:lastRow="0" w:firstColumn="1" w:lastColumn="0" w:noHBand="0" w:noVBand="1"/>
      </w:tblPr>
      <w:tblGrid>
        <w:gridCol w:w="1948"/>
        <w:gridCol w:w="1946"/>
        <w:gridCol w:w="1951"/>
        <w:gridCol w:w="1946"/>
        <w:gridCol w:w="1203"/>
        <w:gridCol w:w="121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07740-Centar za praćenje poslovanja energetskog sektora i investicija</w:t>
            </w:r>
          </w:p>
        </w:tc>
        <w:tc>
          <w:tcPr>
            <w:tcW w:w="2041" w:type="dxa"/>
            <w:vAlign w:val="top"/>
          </w:tcPr>
          <w:p w:rsidR="00505632" w:rsidRDefault="00505632" w:rsidP="00AD4E52">
            <w:pPr>
              <w:pStyle w:val="CellColumn"/>
              <w:jc w:val="right"/>
            </w:pPr>
            <w:r>
              <w:rPr>
                <w:rFonts w:cs="Times New Roman"/>
              </w:rPr>
              <w:t>00</w:t>
            </w:r>
          </w:p>
        </w:tc>
        <w:tc>
          <w:tcPr>
            <w:tcW w:w="2041" w:type="dxa"/>
            <w:vAlign w:val="top"/>
          </w:tcPr>
          <w:p w:rsidR="00505632" w:rsidRDefault="00505632" w:rsidP="00AD4E52">
            <w:pPr>
              <w:pStyle w:val="CellColumn"/>
              <w:jc w:val="right"/>
            </w:pPr>
            <w:r>
              <w:rPr>
                <w:rFonts w:cs="Times New Roman"/>
              </w:rPr>
              <w:t>1.023.624</w:t>
            </w:r>
          </w:p>
        </w:tc>
        <w:tc>
          <w:tcPr>
            <w:tcW w:w="2041" w:type="dxa"/>
            <w:vAlign w:val="top"/>
          </w:tcPr>
          <w:p w:rsidR="00505632" w:rsidRDefault="00505632" w:rsidP="00AD4E52">
            <w:pPr>
              <w:pStyle w:val="CellColumn"/>
              <w:jc w:val="right"/>
            </w:pPr>
            <w:r>
              <w:rPr>
                <w:rFonts w:cs="Times New Roman"/>
              </w:rPr>
              <w:t>834.804</w:t>
            </w:r>
          </w:p>
        </w:tc>
        <w:tc>
          <w:tcPr>
            <w:tcW w:w="1224" w:type="dxa"/>
            <w:vAlign w:val="top"/>
          </w:tcPr>
          <w:p w:rsidR="00505632" w:rsidRDefault="00505632" w:rsidP="00AD4E52">
            <w:pPr>
              <w:pStyle w:val="CellColumn"/>
              <w:jc w:val="right"/>
            </w:pPr>
            <w:r>
              <w:rPr>
                <w:rFonts w:cs="Times New Roman"/>
              </w:rPr>
              <w:t>81,6</w:t>
            </w:r>
          </w:p>
        </w:tc>
        <w:tc>
          <w:tcPr>
            <w:tcW w:w="1224" w:type="dxa"/>
            <w:vAlign w:val="top"/>
          </w:tcPr>
          <w:p w:rsidR="00505632" w:rsidRDefault="00505632" w:rsidP="00AD4E52">
            <w:pPr>
              <w:pStyle w:val="CellColumn"/>
              <w:jc w:val="right"/>
            </w:pPr>
            <w:r>
              <w:rPr>
                <w:rFonts w:cs="Times New Roman"/>
              </w:rPr>
              <w:t>0,0</w:t>
            </w:r>
          </w:p>
        </w:tc>
      </w:tr>
      <w:tr w:rsidR="00505632" w:rsidTr="00AD4E52">
        <w:trPr>
          <w:jc w:val="center"/>
        </w:trPr>
        <w:tc>
          <w:tcPr>
            <w:tcW w:w="1632" w:type="dxa"/>
          </w:tcPr>
          <w:p w:rsidR="00505632" w:rsidRDefault="00505632" w:rsidP="00AD4E52">
            <w:pPr>
              <w:jc w:val="left"/>
            </w:pPr>
            <w:r>
              <w:t>3227-PRIVLAČENJE INVESTICIJA I POVEĆANJE KONKURENTNOSTI</w:t>
            </w:r>
          </w:p>
        </w:tc>
        <w:tc>
          <w:tcPr>
            <w:tcW w:w="2041" w:type="dxa"/>
          </w:tcPr>
          <w:p w:rsidR="00505632" w:rsidRDefault="00505632" w:rsidP="00AD4E52">
            <w:pPr>
              <w:jc w:val="right"/>
            </w:pPr>
            <w:r>
              <w:t>00</w:t>
            </w:r>
          </w:p>
        </w:tc>
        <w:tc>
          <w:tcPr>
            <w:tcW w:w="2041" w:type="dxa"/>
          </w:tcPr>
          <w:p w:rsidR="00505632" w:rsidRDefault="00505632" w:rsidP="00AD4E52">
            <w:pPr>
              <w:jc w:val="right"/>
            </w:pPr>
            <w:r>
              <w:t>1.023.624</w:t>
            </w:r>
          </w:p>
        </w:tc>
        <w:tc>
          <w:tcPr>
            <w:tcW w:w="2041" w:type="dxa"/>
          </w:tcPr>
          <w:p w:rsidR="00505632" w:rsidRDefault="00505632" w:rsidP="00AD4E52">
            <w:pPr>
              <w:jc w:val="right"/>
            </w:pPr>
            <w:r>
              <w:t>834.804</w:t>
            </w:r>
          </w:p>
        </w:tc>
        <w:tc>
          <w:tcPr>
            <w:tcW w:w="1224" w:type="dxa"/>
          </w:tcPr>
          <w:p w:rsidR="00505632" w:rsidRDefault="00505632" w:rsidP="00AD4E52">
            <w:pPr>
              <w:jc w:val="right"/>
            </w:pPr>
            <w:r>
              <w:t>81,6</w:t>
            </w:r>
          </w:p>
        </w:tc>
        <w:tc>
          <w:tcPr>
            <w:tcW w:w="1224" w:type="dxa"/>
          </w:tcPr>
          <w:p w:rsidR="00505632" w:rsidRDefault="00505632" w:rsidP="00AD4E52">
            <w:pPr>
              <w:jc w:val="right"/>
            </w:pPr>
            <w:r>
              <w:t>0,0</w:t>
            </w:r>
          </w:p>
        </w:tc>
      </w:tr>
    </w:tbl>
    <w:p w:rsidR="00505632" w:rsidRDefault="00505632" w:rsidP="00505632">
      <w:pPr>
        <w:jc w:val="left"/>
      </w:pPr>
    </w:p>
    <w:p w:rsidR="00505632" w:rsidRDefault="00505632" w:rsidP="00505632">
      <w:pPr>
        <w:pStyle w:val="Heading3"/>
      </w:pPr>
      <w:r>
        <w:rPr>
          <w:rFonts w:cs="Times New Roman"/>
        </w:rPr>
        <w:t>3227 PRIVLAČENJE INVESTICIJA I POVEĆANJE KONKURENTNOSTI</w:t>
      </w:r>
    </w:p>
    <w:tbl>
      <w:tblPr>
        <w:tblStyle w:val="StilTablice"/>
        <w:tblW w:w="10206" w:type="dxa"/>
        <w:jc w:val="center"/>
        <w:tblLook w:val="04A0" w:firstRow="1" w:lastRow="0" w:firstColumn="1" w:lastColumn="0" w:noHBand="0" w:noVBand="1"/>
      </w:tblPr>
      <w:tblGrid>
        <w:gridCol w:w="1948"/>
        <w:gridCol w:w="1946"/>
        <w:gridCol w:w="1951"/>
        <w:gridCol w:w="1946"/>
        <w:gridCol w:w="1203"/>
        <w:gridCol w:w="121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3227-PRIVLAČENJE INVESTICIJA I POVEĆANJE KONKURENTNOSTI</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1.023.624</w:t>
            </w:r>
          </w:p>
        </w:tc>
        <w:tc>
          <w:tcPr>
            <w:tcW w:w="2041" w:type="dxa"/>
          </w:tcPr>
          <w:p w:rsidR="00505632" w:rsidRDefault="00505632" w:rsidP="00AD4E52">
            <w:pPr>
              <w:pStyle w:val="CellColumn"/>
              <w:jc w:val="right"/>
            </w:pPr>
            <w:r>
              <w:rPr>
                <w:rFonts w:cs="Times New Roman"/>
              </w:rPr>
              <w:t>834.804</w:t>
            </w:r>
          </w:p>
        </w:tc>
        <w:tc>
          <w:tcPr>
            <w:tcW w:w="1224" w:type="dxa"/>
          </w:tcPr>
          <w:p w:rsidR="00505632" w:rsidRDefault="00505632" w:rsidP="00AD4E52">
            <w:pPr>
              <w:pStyle w:val="CellColumn"/>
              <w:jc w:val="right"/>
            </w:pPr>
            <w:r>
              <w:rPr>
                <w:rFonts w:cs="Times New Roman"/>
              </w:rPr>
              <w:t>81,6</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4"/>
      </w:pPr>
      <w:r>
        <w:t>A911001 'ADMINISTRACIJA I UPRAVLJANJE</w:t>
      </w:r>
    </w:p>
    <w:tbl>
      <w:tblPr>
        <w:tblStyle w:val="StilTablice"/>
        <w:tblW w:w="10206" w:type="dxa"/>
        <w:jc w:val="center"/>
        <w:tblLook w:val="04A0" w:firstRow="1" w:lastRow="0" w:firstColumn="1" w:lastColumn="0" w:noHBand="0" w:noVBand="1"/>
      </w:tblPr>
      <w:tblGrid>
        <w:gridCol w:w="1829"/>
        <w:gridCol w:w="1982"/>
        <w:gridCol w:w="1986"/>
        <w:gridCol w:w="1982"/>
        <w:gridCol w:w="1211"/>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A911001-'ADMINISTRACIJA I UPRAVLJANJE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1.023.624</w:t>
            </w:r>
          </w:p>
        </w:tc>
        <w:tc>
          <w:tcPr>
            <w:tcW w:w="2041" w:type="dxa"/>
          </w:tcPr>
          <w:p w:rsidR="00505632" w:rsidRDefault="00505632" w:rsidP="00AD4E52">
            <w:pPr>
              <w:pStyle w:val="CellColumn"/>
              <w:jc w:val="right"/>
            </w:pPr>
            <w:r>
              <w:rPr>
                <w:rFonts w:cs="Times New Roman"/>
              </w:rPr>
              <w:t>834.804</w:t>
            </w:r>
          </w:p>
        </w:tc>
        <w:tc>
          <w:tcPr>
            <w:tcW w:w="1224" w:type="dxa"/>
          </w:tcPr>
          <w:p w:rsidR="00505632" w:rsidRDefault="00505632" w:rsidP="00AD4E52">
            <w:pPr>
              <w:pStyle w:val="CellColumn"/>
              <w:jc w:val="right"/>
            </w:pPr>
            <w:r>
              <w:rPr>
                <w:rFonts w:cs="Times New Roman"/>
              </w:rPr>
              <w:t>81,6</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osnivanju Centra za praćenje poslovanja energetskog sektora i investicija (Narodne novine, broj 25/2012,120/2012), zakonske podloge HBOR-a za praćenje i izvještavanje EIB o investicijskim projektima u RH, zakonske podloge FZOEU i Ministarstva mora, prometa i infrastrukture u domeni povećavanja postojeće energetske učinkovitosti, zakonske podloge za pripremu i provedbu projekata prema modelu javno-privatnog partnerstva  (Narodne novine, broj 88/12 i 15/15), Okvirni program izgradnje, dogradnje i rekonstrukcije javnih građevina prema ugovornom obliku javno-privatnog partnerstva (21. sjednica VRH od 19. travnja 2012. g.), Zakon o uspostavi infrastrukture za alternativna goriva (NN 120/16)</w:t>
      </w:r>
    </w:p>
    <w:p w:rsidR="00505632" w:rsidRDefault="00505632" w:rsidP="00505632">
      <w:pPr>
        <w:pStyle w:val="Heading8"/>
        <w:jc w:val="left"/>
      </w:pPr>
      <w:r>
        <w:t>Opis aktivnosti</w:t>
      </w:r>
    </w:p>
    <w:p w:rsidR="00505632" w:rsidRDefault="00505632" w:rsidP="00505632">
      <w:r>
        <w:t xml:space="preserve">Centar za praćenje poslovanja energetskog sektora i investicija (u daljnjem tekstu: CEI) osnovan je temeljem Zakona o Centru za praćenje poslovanja energetskog sektora i investicija 28. ožujka 2012. godine (NN 25/12, NN 120/12) s ciljem omogućavanja transparentnog upravljanja, praćenja i provođenja energetske strategije Republike Hrvatske, te praćenja i podrške u vođenju investicija države i državnih tvrtki. </w:t>
      </w:r>
    </w:p>
    <w:p w:rsidR="00505632" w:rsidRDefault="00505632" w:rsidP="00505632">
      <w:r>
        <w:t xml:space="preserve">Rad CEI-a formiran je kroz tri sektora: Sektora investicija, Sektora za energetiku i Sektora za javno-privatno partnerstvo. </w:t>
      </w:r>
    </w:p>
    <w:p w:rsidR="00505632" w:rsidRDefault="00505632" w:rsidP="00505632">
      <w:r>
        <w:t xml:space="preserve">Centar za praćenje poslovanja energetskog sektora i investicija, odnosno Nacionalno koordinacijsko tijelo za energetsku učinkovitost u 2016. godini pripremilo je podloge za Četvrti nacionalni akcijski plan energetske učinkovitosti za razdoblje 2017.-2019.  </w:t>
      </w:r>
    </w:p>
    <w:p w:rsidR="00505632" w:rsidRDefault="00505632" w:rsidP="00505632">
      <w:r>
        <w:t xml:space="preserve">Zakonom o uspostavi infrastrukture za alternativna goriva (NN 120/16), CEI je određen za nacionalno koordinacijsko tijelo koje pruža potporu provedbi politike alternativnih goriva utvrđenu odredbama Zakona, izrađuje i provodi sustav praćenja mjera za unaprjeđenje infrastrukture alternativnih goriva,  za ministarstvo nadležno za promet priprema i prilagođava provedbu okvira mjera za razvoj tržišta alternativnih goriva u prometu, te njihovu provedbu prati u sklopu Nacionalnog akcijskog plana za energetsku učinkovitost, te osigurava sustavno planiranje za provedbu politike infrastrukture alternativnih goriva u Republici Hrvatskoj, priprema Izvješće o provedbi NOP-a koje sadržava opis mjera poduzetih kao potpora izgradnji infrastrukture za alternativna goriva te na svojim mrežnim stranicama objavljuje i redovito ažurira sve informacije tražene Zakonom. </w:t>
      </w:r>
    </w:p>
    <w:p w:rsidR="00505632" w:rsidRDefault="00505632" w:rsidP="00505632">
      <w:r>
        <w:t xml:space="preserve">U 2016. godini pokrenut je Nacionalni web portal energetske učinkovitosti kao mjera informiranja i pružanja osnovnih edukacijskih materijala o energetskoj učinkovitosti vezanu uz 3. Nacionalni akcijski plan energetske učinkovitosti kroz mjeru H.6 Informativne kampanje. Portal predstavlja središnje mjesto informiranja o svim aktivnostima, savjetima, događanjima, projektima, natječajima, zakonima i novostima u području energetske učinkovitosti u Hrvatskoj. Sve informacije su grupirane u tri sektora: građani, komercijalni sektor i javni sektor, zbog prirode zakona, poticaja i mogućnosti ušteda te kako bi krajnji korisnici jasnije mogli doći do traženog sadržaja. </w:t>
      </w:r>
    </w:p>
    <w:p w:rsidR="00505632" w:rsidRDefault="00505632" w:rsidP="00505632">
      <w:r>
        <w:t xml:space="preserve">Osim spomenutih aktivnosti CEI je sudjelovao u međunarodnim skupinama na EU razini pri transpoziciji Direktive o energetskoj učinkovitosti, a održao je i  10-ak radionica/prezentacija za ciljane skupine(gospodarstvo, energetska poduzeća, javni sektor, građanstvo) iz područja energetske učinkovitosti. </w:t>
      </w:r>
    </w:p>
    <w:p w:rsidR="00505632" w:rsidRDefault="00505632" w:rsidP="00505632">
      <w:r>
        <w:t xml:space="preserve">Kao partner, za Republiku Hrvatsku, CEI provodi EU Horizont 2020 PUBLENEF projekt i CAEED EU projekat, a dogovoren je,  pripremljen i kao partner za RH na natječaju osvojen međunarodni projekt INTERREG Europe SUPPORT. Uz spomenute, CEI je sudjelovao i na 6 EU projekta kao korisnik za Republiku Hrvatsku, a to su B4B-Bioenergy4Business, MultEE – Multi-level governance for energy efficiency, BUILD UPON, ENSPOL, EnPC-INTRANS i REENOVA+ EBRD. </w:t>
      </w:r>
    </w:p>
    <w:p w:rsidR="00505632" w:rsidRDefault="00505632" w:rsidP="00505632">
      <w:r>
        <w:t xml:space="preserve"> </w:t>
      </w:r>
    </w:p>
    <w:p w:rsidR="00505632" w:rsidRDefault="00505632" w:rsidP="00505632">
      <w:r>
        <w:t xml:space="preserve">Nadalje, stupanjem na snagu Zakona o izmjenama i dopunama Zakona o strateškim investicijskim projektima Republike Hrvatske (NN 152/14) sve javne ili privatne investicijske projekte iz područja energetike, sukladno s posebnim propisima kojima se uređuje energija i energetika, zainteresirani investitor prijavljuje Centru za praćenje poslovanja energetskog sektora i investicija. </w:t>
      </w:r>
    </w:p>
    <w:p w:rsidR="00505632" w:rsidRDefault="00505632" w:rsidP="00505632">
      <w:r>
        <w:t xml:space="preserve">Po stupanju na snagu navedenih izmjena i dopuna Zakona, CEI je preuzeo ukupno 8 prijavljenih projekata za koje je zatražen status strateškog investicijskog projekta RH i isti su proslijeđeni  u Ministarstvo gospodarstva prije stupanja na snagu novih zakonskih odredbi. </w:t>
      </w:r>
    </w:p>
    <w:p w:rsidR="00505632" w:rsidRDefault="00505632" w:rsidP="00505632">
      <w:r>
        <w:t xml:space="preserve">Od preuzetih prijavljenih projekata, dva su projekta uvrštena na Listu strateških investicijskih projekata, te su za njih osnovane operativne skupine čiji je voditelj mr.sc. Boris Draženović, predsjednik Upravnog odbora. Za preostalih 6 projekata završena je administrativna provjera te projekti čekaju odluku Povjerenstva o uvrštavanju na Listu ili o odbacivanju prijave. </w:t>
      </w:r>
    </w:p>
    <w:p w:rsidR="00505632" w:rsidRDefault="00505632" w:rsidP="00505632">
      <w:r>
        <w:t xml:space="preserve">Direktno u CEI zaprimljene su 2 prijave projekata za stjecanje statusa strateškog projekta RH, obje su obrađene i također čekaju odluku Povjerenstva o uvrštavanju na Listu ili o odbacivanju prijave. </w:t>
      </w:r>
    </w:p>
    <w:p w:rsidR="00505632" w:rsidRDefault="00505632" w:rsidP="00505632">
      <w:r>
        <w:t xml:space="preserve">Sukladno Odluci Ministarstva regionalnog razvoja i fondova europske unije, CEI je imenovao svoje predstavnike u međuresorno Povjerenstvo za koordinaciju investicija iz EU instrumenata u području energetika, prometa i mrežne infrastrukture.  </w:t>
      </w:r>
    </w:p>
    <w:p w:rsidR="00505632" w:rsidRDefault="00505632" w:rsidP="00505632">
      <w:r>
        <w:t xml:space="preserve">Datumom osnivanja CEI je definiran kao tijelo Vlade RH za pripremu i provedbu projekata javno-privatnog partnerstva (JPP). Isto se odnosi na projekte financijske vrijednosti od cca 12 mio EUR na više. </w:t>
      </w:r>
    </w:p>
    <w:p w:rsidR="00505632" w:rsidRDefault="00505632" w:rsidP="00505632">
      <w:r>
        <w:t xml:space="preserve">Trenutno, vezano za projekte javno-privatnog partnerstva, šest je projekata spremno za raspis javnog nadmetanja, a u 2016. godini radilo se na pripremi šest novih projekata. Od projekata u fazi pripreme, dva su projekta u visokoj fazi pripreme, a za jedan projekt izrađen je i komparator troškova javnog sektora te je trenutačno je u fazi prihvata od strane predstavničkih tijela JLS-ova., dok su preostali projekti su u inicijalnoj fazi pripreme.  </w:t>
      </w:r>
    </w:p>
    <w:p w:rsidR="00505632" w:rsidRDefault="00505632" w:rsidP="00505632">
      <w:r>
        <w:t xml:space="preserve">U Međuvremenu CEI je definirao postupke i dokumentaciju za provedbu javno-privatnih projekata 'male vrijednosti' (do cca 5 mio EUR). Time se je htjelo potrebe javnog sektora za zadovoljenjem svojih potreba dodatno približiti mogućnostima realizacije putem projekata manjeg financijskog opsega a ipak temeljenih na principima JPP-a. </w:t>
      </w:r>
    </w:p>
    <w:p w:rsidR="00505632" w:rsidRDefault="00505632" w:rsidP="00505632">
      <w:r>
        <w:t xml:space="preserve">Tijekom 2016. godine definirane su nadopune JPP modela u RH na način da se u istima može koristiti kombinirano sufinanciranje iz EU fondova (blending) odnosno dodatnih izvora financijskih sredstava osiguranih u RH (Fond za energetsku učinkovitost i sl.). </w:t>
      </w:r>
    </w:p>
    <w:p w:rsidR="00505632" w:rsidRDefault="00505632" w:rsidP="00505632">
      <w:r>
        <w:t xml:space="preserve">Ukupna realizacija plana u Ministarstvu zaštite okoliša i energetike uvjetovana je Zakonom o strojstvu i djelokrugu ministarstava i drugih središnjih tijela državne uprave (NN 93/16, 104/16), odnosno CEI je iz nadležnosti Ministarstva gospodarstva prešao u nadležnost Ministarstva zaštite okoliša i prirode. </w:t>
      </w:r>
    </w:p>
    <w:p w:rsidR="00505632" w:rsidRDefault="00505632" w:rsidP="00505632">
      <w:r>
        <w:t>Plan za 2016. godinu bio je 1.023.624,00 kuna i realiziran je u iznosu 834.803,86 kuna, odnosno 81,55 posto. Rashodi za zaposlene (31) realizirani su 74,19 posto, ponajviše zbog realizacije plaća (3111-74,62%) odnosno doprinosa za obvezno zdravstveno osiguranje (3132-61,62%), a sve zbog odsutne djelatnice koja je koristila porodiljni dopust, što se u trenutnku planiranja proračuna nije moglo predvidjeti. Smanjen postotak realizacije je i na kontu materijalnih rashoda, odnosno rashoda za materijal i energiju (322 - 33,77%), te financijskih rashoda (343 - 16,45%), što zbog prirode troškova nije moglo biti egzaktnije planirano. Na razini konta 4. probijene su stavke tekućeg i investicijskog održavanja 3232 - 271%, prije svega zbog izvanrednog održavanja servera, zatim zakupnine i najamnine 3235 - 103,78%, razlika je nastala uslijed blagog povećanja prostora pod najmom, za potrebe arhivskog spremišta, zatim pristojbe i naknade 3295 - 166,74% te zatezne kamate 3433 - 290,33% (apsolutni iznosi - 597,00 kuna planirano, a 1733,28 realizirano); nijedna stavka na razini konta 3 unatoč probijanju na razini 4. nije probijena, odnosno prekomjerno iskorištena.</w:t>
      </w:r>
    </w:p>
    <w:p w:rsidR="00505632" w:rsidRDefault="00505632" w:rsidP="00505632">
      <w:pPr>
        <w:overflowPunct/>
        <w:autoSpaceDE/>
        <w:autoSpaceDN/>
        <w:adjustRightInd/>
        <w:spacing w:after="200" w:line="276" w:lineRule="auto"/>
        <w:jc w:val="left"/>
        <w:textAlignment w:val="auto"/>
      </w:pPr>
      <w:r>
        <w:br w:type="page"/>
      </w:r>
    </w:p>
    <w:p w:rsidR="00505632" w:rsidRDefault="00505632" w:rsidP="00505632">
      <w:pPr>
        <w:pStyle w:val="Heading1"/>
      </w:pPr>
      <w:r>
        <w:t>080 MINISTARSTVO ZNANOSTI I OBRAZOVANJA</w:t>
      </w:r>
    </w:p>
    <w:p w:rsidR="00505632" w:rsidRDefault="00505632" w:rsidP="00505632">
      <w:r>
        <w:t xml:space="preserve">Ministarstvo znanosti i obrazovanja je nadležno državno tijelo za sustav odgoja, obrazovanja, znanosti te je mjerodavno strateško i provedbeno tijelo koje svojom ulogom, ustrojem, aktivnostima i kapacitetima osigurava temeljne pretpostavke za održiv razvoj ljudskih potencijala u navedenim sustavima u Republici Hrvatskoj. Obavljanjem redovite djelatnosti Ministarstvo pruža svu potrebnu potporu dionicima i korisnicima sustava u stručnome, materijalnome i financijskome smislu. Ministarstvo svoje ciljeve postiže usklađenim i odgovornim promišljanjem i djelovanjem svih ljudskih potencijala odgojno-obrazovne i znanstvene djelatnosti te svih partnerskih dionika na strateškom i operativnom planu. </w:t>
      </w:r>
    </w:p>
    <w:p w:rsidR="00505632" w:rsidRDefault="00505632" w:rsidP="00505632">
      <w:r>
        <w:t xml:space="preserve">Primarni zadatak Ministarstva je osiguranje dostupnosti obrazovanja svima pod jednakim uvjetima. Razvoj dostupnijega, prilagodljivijega, kvalitetnijega i učinkovitijega sustava odgoja i obrazovanja omogućit će razvoj ljudskoga potencijala kao ključnog bogatstva hrvatskoga društva, kao i razvoj poticajnoga okruženja za održive inovacijske i znanstveno-tehnološke aktivnosti. </w:t>
      </w:r>
    </w:p>
    <w:p w:rsidR="00505632" w:rsidRDefault="00505632" w:rsidP="00505632">
      <w:r>
        <w:t>Temeljem Zakona o ustrojstvu i djelokrugu ministarstava i drugih središnjih tijela državne uprave (NN, 93/16 i 104/16) iz dotadašnjeg Ministarstva znanosti, obrazovanja i sporta izdvojeni su poslovi vezani uz šport koji se od 16. listopada 2016. godine obavljaju u nadležnosti Središnjeg državnog ureda za šport.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2" w:type="dxa"/>
            <w:shd w:val="clear" w:color="auto" w:fill="B5C0D8"/>
          </w:tcPr>
          <w:p w:rsidR="00505632" w:rsidRDefault="00505632" w:rsidP="00AD4E52">
            <w:pPr>
              <w:pStyle w:val="CellHeader"/>
              <w:jc w:val="center"/>
            </w:pPr>
            <w:r>
              <w:rPr>
                <w:rFonts w:cs="Times New Roman"/>
              </w:rPr>
              <w:t>Izvršenje 2015. (kn)</w:t>
            </w:r>
          </w:p>
        </w:tc>
        <w:tc>
          <w:tcPr>
            <w:tcW w:w="2042" w:type="dxa"/>
            <w:shd w:val="clear" w:color="auto" w:fill="B5C0D8"/>
          </w:tcPr>
          <w:p w:rsidR="00505632" w:rsidRDefault="00505632" w:rsidP="00AD4E52">
            <w:pPr>
              <w:pStyle w:val="CellHeader"/>
              <w:jc w:val="center"/>
            </w:pPr>
            <w:r>
              <w:rPr>
                <w:rFonts w:cs="Times New Roman"/>
              </w:rPr>
              <w:t>Plan 2016. (kn)</w:t>
            </w:r>
          </w:p>
        </w:tc>
        <w:tc>
          <w:tcPr>
            <w:tcW w:w="2042"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08005-Ministarstvo znanosti i obrazovanja</w:t>
            </w:r>
          </w:p>
        </w:tc>
        <w:tc>
          <w:tcPr>
            <w:tcW w:w="2042" w:type="dxa"/>
            <w:vAlign w:val="top"/>
          </w:tcPr>
          <w:p w:rsidR="00505632" w:rsidRDefault="00505632" w:rsidP="00AD4E52">
            <w:pPr>
              <w:pStyle w:val="CellColumn"/>
              <w:jc w:val="right"/>
            </w:pPr>
            <w:r>
              <w:rPr>
                <w:rFonts w:cs="Times New Roman"/>
              </w:rPr>
              <w:t>9.061.996.620</w:t>
            </w:r>
          </w:p>
        </w:tc>
        <w:tc>
          <w:tcPr>
            <w:tcW w:w="2042" w:type="dxa"/>
            <w:vAlign w:val="top"/>
          </w:tcPr>
          <w:p w:rsidR="00505632" w:rsidRDefault="00505632" w:rsidP="00AD4E52">
            <w:pPr>
              <w:pStyle w:val="CellColumn"/>
              <w:jc w:val="right"/>
            </w:pPr>
            <w:r>
              <w:rPr>
                <w:rFonts w:cs="Times New Roman"/>
              </w:rPr>
              <w:t>8.530.970.794</w:t>
            </w:r>
          </w:p>
        </w:tc>
        <w:tc>
          <w:tcPr>
            <w:tcW w:w="2042" w:type="dxa"/>
            <w:vAlign w:val="top"/>
          </w:tcPr>
          <w:p w:rsidR="00505632" w:rsidRDefault="00505632" w:rsidP="00AD4E52">
            <w:pPr>
              <w:pStyle w:val="CellColumn"/>
              <w:jc w:val="right"/>
            </w:pPr>
            <w:r>
              <w:rPr>
                <w:rFonts w:cs="Times New Roman"/>
              </w:rPr>
              <w:t>8.516.930.306</w:t>
            </w:r>
          </w:p>
        </w:tc>
        <w:tc>
          <w:tcPr>
            <w:tcW w:w="1224" w:type="dxa"/>
            <w:vAlign w:val="top"/>
          </w:tcPr>
          <w:p w:rsidR="00505632" w:rsidRDefault="00505632" w:rsidP="00AD4E52">
            <w:pPr>
              <w:pStyle w:val="CellColumn"/>
              <w:jc w:val="right"/>
            </w:pPr>
            <w:r>
              <w:rPr>
                <w:rFonts w:cs="Times New Roman"/>
              </w:rPr>
              <w:t>99,8</w:t>
            </w:r>
          </w:p>
        </w:tc>
        <w:tc>
          <w:tcPr>
            <w:tcW w:w="1224" w:type="dxa"/>
            <w:vAlign w:val="top"/>
          </w:tcPr>
          <w:p w:rsidR="00505632" w:rsidRDefault="00505632" w:rsidP="00AD4E52">
            <w:pPr>
              <w:pStyle w:val="CellColumn"/>
              <w:jc w:val="right"/>
            </w:pPr>
            <w:r>
              <w:rPr>
                <w:rFonts w:cs="Times New Roman"/>
              </w:rPr>
              <w:t>94,0</w:t>
            </w:r>
          </w:p>
        </w:tc>
      </w:tr>
      <w:tr w:rsidR="00505632" w:rsidTr="00AD4E52">
        <w:trPr>
          <w:jc w:val="center"/>
        </w:trPr>
        <w:tc>
          <w:tcPr>
            <w:tcW w:w="1632" w:type="dxa"/>
            <w:vAlign w:val="top"/>
          </w:tcPr>
          <w:p w:rsidR="00505632" w:rsidRDefault="00505632" w:rsidP="00AD4E52">
            <w:pPr>
              <w:pStyle w:val="CellColumn"/>
              <w:jc w:val="left"/>
            </w:pPr>
            <w:r>
              <w:rPr>
                <w:rFonts w:cs="Times New Roman"/>
              </w:rPr>
              <w:t>08006-Sveučilišta i veleučilišta u Republici Hrvatskoj</w:t>
            </w:r>
          </w:p>
        </w:tc>
        <w:tc>
          <w:tcPr>
            <w:tcW w:w="2042" w:type="dxa"/>
            <w:vAlign w:val="top"/>
          </w:tcPr>
          <w:p w:rsidR="00505632" w:rsidRDefault="00505632" w:rsidP="00AD4E52">
            <w:pPr>
              <w:pStyle w:val="CellColumn"/>
              <w:jc w:val="right"/>
            </w:pPr>
            <w:r>
              <w:rPr>
                <w:rFonts w:cs="Times New Roman"/>
              </w:rPr>
              <w:t>4.018.987.890</w:t>
            </w:r>
          </w:p>
        </w:tc>
        <w:tc>
          <w:tcPr>
            <w:tcW w:w="2042" w:type="dxa"/>
            <w:vAlign w:val="top"/>
          </w:tcPr>
          <w:p w:rsidR="00505632" w:rsidRDefault="00505632" w:rsidP="00AD4E52">
            <w:pPr>
              <w:pStyle w:val="CellColumn"/>
              <w:jc w:val="right"/>
            </w:pPr>
            <w:r>
              <w:rPr>
                <w:rFonts w:cs="Times New Roman"/>
              </w:rPr>
              <w:t>4.439.031.860</w:t>
            </w:r>
          </w:p>
        </w:tc>
        <w:tc>
          <w:tcPr>
            <w:tcW w:w="2042" w:type="dxa"/>
            <w:vAlign w:val="top"/>
          </w:tcPr>
          <w:p w:rsidR="00505632" w:rsidRDefault="00505632" w:rsidP="00AD4E52">
            <w:pPr>
              <w:pStyle w:val="CellColumn"/>
              <w:jc w:val="right"/>
            </w:pPr>
            <w:r>
              <w:rPr>
                <w:rFonts w:cs="Times New Roman"/>
              </w:rPr>
              <w:t>4.342.218.218</w:t>
            </w:r>
          </w:p>
        </w:tc>
        <w:tc>
          <w:tcPr>
            <w:tcW w:w="1224" w:type="dxa"/>
            <w:vAlign w:val="top"/>
          </w:tcPr>
          <w:p w:rsidR="00505632" w:rsidRDefault="00505632" w:rsidP="00AD4E52">
            <w:pPr>
              <w:pStyle w:val="CellColumn"/>
              <w:jc w:val="right"/>
            </w:pPr>
            <w:r>
              <w:rPr>
                <w:rFonts w:cs="Times New Roman"/>
              </w:rPr>
              <w:t>97,8</w:t>
            </w:r>
          </w:p>
        </w:tc>
        <w:tc>
          <w:tcPr>
            <w:tcW w:w="1224" w:type="dxa"/>
            <w:vAlign w:val="top"/>
          </w:tcPr>
          <w:p w:rsidR="00505632" w:rsidRDefault="00505632" w:rsidP="00AD4E52">
            <w:pPr>
              <w:pStyle w:val="CellColumn"/>
              <w:jc w:val="right"/>
            </w:pPr>
            <w:r>
              <w:rPr>
                <w:rFonts w:cs="Times New Roman"/>
              </w:rPr>
              <w:t>108,0</w:t>
            </w:r>
          </w:p>
        </w:tc>
      </w:tr>
      <w:tr w:rsidR="00505632" w:rsidTr="00AD4E52">
        <w:trPr>
          <w:jc w:val="center"/>
        </w:trPr>
        <w:tc>
          <w:tcPr>
            <w:tcW w:w="1632" w:type="dxa"/>
            <w:vAlign w:val="top"/>
          </w:tcPr>
          <w:p w:rsidR="00505632" w:rsidRDefault="00505632" w:rsidP="00AD4E52">
            <w:pPr>
              <w:pStyle w:val="CellColumn"/>
              <w:jc w:val="left"/>
            </w:pPr>
            <w:r>
              <w:rPr>
                <w:rFonts w:cs="Times New Roman"/>
              </w:rPr>
              <w:t>08008-Javni instituti u Republici Hrvatskoj</w:t>
            </w:r>
          </w:p>
        </w:tc>
        <w:tc>
          <w:tcPr>
            <w:tcW w:w="2042" w:type="dxa"/>
            <w:vAlign w:val="top"/>
          </w:tcPr>
          <w:p w:rsidR="00505632" w:rsidRDefault="00505632" w:rsidP="00AD4E52">
            <w:pPr>
              <w:pStyle w:val="CellColumn"/>
              <w:jc w:val="right"/>
            </w:pPr>
            <w:r>
              <w:rPr>
                <w:rFonts w:cs="Times New Roman"/>
              </w:rPr>
              <w:t>496.276.700</w:t>
            </w:r>
          </w:p>
        </w:tc>
        <w:tc>
          <w:tcPr>
            <w:tcW w:w="2042" w:type="dxa"/>
            <w:vAlign w:val="top"/>
          </w:tcPr>
          <w:p w:rsidR="00505632" w:rsidRDefault="00505632" w:rsidP="00AD4E52">
            <w:pPr>
              <w:pStyle w:val="CellColumn"/>
              <w:jc w:val="right"/>
            </w:pPr>
            <w:r>
              <w:rPr>
                <w:rFonts w:cs="Times New Roman"/>
              </w:rPr>
              <w:t>550.458.652</w:t>
            </w:r>
          </w:p>
        </w:tc>
        <w:tc>
          <w:tcPr>
            <w:tcW w:w="2042" w:type="dxa"/>
            <w:vAlign w:val="top"/>
          </w:tcPr>
          <w:p w:rsidR="00505632" w:rsidRDefault="00505632" w:rsidP="00AD4E52">
            <w:pPr>
              <w:pStyle w:val="CellColumn"/>
              <w:jc w:val="right"/>
            </w:pPr>
            <w:r>
              <w:rPr>
                <w:rFonts w:cs="Times New Roman"/>
              </w:rPr>
              <w:t>489.416.979</w:t>
            </w:r>
          </w:p>
        </w:tc>
        <w:tc>
          <w:tcPr>
            <w:tcW w:w="1224" w:type="dxa"/>
            <w:vAlign w:val="top"/>
          </w:tcPr>
          <w:p w:rsidR="00505632" w:rsidRDefault="00505632" w:rsidP="00AD4E52">
            <w:pPr>
              <w:pStyle w:val="CellColumn"/>
              <w:jc w:val="right"/>
            </w:pPr>
            <w:r>
              <w:rPr>
                <w:rFonts w:cs="Times New Roman"/>
              </w:rPr>
              <w:t>88,9</w:t>
            </w:r>
          </w:p>
        </w:tc>
        <w:tc>
          <w:tcPr>
            <w:tcW w:w="1224" w:type="dxa"/>
            <w:vAlign w:val="top"/>
          </w:tcPr>
          <w:p w:rsidR="00505632" w:rsidRDefault="00505632" w:rsidP="00AD4E52">
            <w:pPr>
              <w:pStyle w:val="CellColumn"/>
              <w:jc w:val="right"/>
            </w:pPr>
            <w:r>
              <w:rPr>
                <w:rFonts w:cs="Times New Roman"/>
              </w:rPr>
              <w:t>98,6</w:t>
            </w:r>
          </w:p>
        </w:tc>
      </w:tr>
      <w:tr w:rsidR="00505632" w:rsidTr="00AD4E52">
        <w:trPr>
          <w:jc w:val="center"/>
        </w:trPr>
        <w:tc>
          <w:tcPr>
            <w:tcW w:w="1632" w:type="dxa"/>
            <w:vAlign w:val="top"/>
          </w:tcPr>
          <w:p w:rsidR="00505632" w:rsidRDefault="00505632" w:rsidP="00AD4E52">
            <w:pPr>
              <w:pStyle w:val="CellColumn"/>
              <w:jc w:val="left"/>
            </w:pPr>
            <w:r>
              <w:rPr>
                <w:rFonts w:cs="Times New Roman"/>
              </w:rPr>
              <w:t>08012-Državni zavod za intelektualno vlasništvo</w:t>
            </w:r>
          </w:p>
        </w:tc>
        <w:tc>
          <w:tcPr>
            <w:tcW w:w="2042" w:type="dxa"/>
            <w:vAlign w:val="top"/>
          </w:tcPr>
          <w:p w:rsidR="00505632" w:rsidRDefault="00505632" w:rsidP="00AD4E52">
            <w:pPr>
              <w:pStyle w:val="CellColumn"/>
              <w:jc w:val="right"/>
            </w:pPr>
            <w:r>
              <w:rPr>
                <w:rFonts w:cs="Times New Roman"/>
              </w:rPr>
              <w:t>15.264.598</w:t>
            </w:r>
          </w:p>
        </w:tc>
        <w:tc>
          <w:tcPr>
            <w:tcW w:w="2042" w:type="dxa"/>
            <w:vAlign w:val="top"/>
          </w:tcPr>
          <w:p w:rsidR="00505632" w:rsidRDefault="00505632" w:rsidP="00AD4E52">
            <w:pPr>
              <w:pStyle w:val="CellColumn"/>
              <w:jc w:val="right"/>
            </w:pPr>
            <w:r>
              <w:rPr>
                <w:rFonts w:cs="Times New Roman"/>
              </w:rPr>
              <w:t>16.403.359</w:t>
            </w:r>
          </w:p>
        </w:tc>
        <w:tc>
          <w:tcPr>
            <w:tcW w:w="2042" w:type="dxa"/>
            <w:vAlign w:val="top"/>
          </w:tcPr>
          <w:p w:rsidR="00505632" w:rsidRDefault="00505632" w:rsidP="00AD4E52">
            <w:pPr>
              <w:pStyle w:val="CellColumn"/>
              <w:jc w:val="right"/>
            </w:pPr>
            <w:r>
              <w:rPr>
                <w:rFonts w:cs="Times New Roman"/>
              </w:rPr>
              <w:t>16.294.108</w:t>
            </w:r>
          </w:p>
        </w:tc>
        <w:tc>
          <w:tcPr>
            <w:tcW w:w="1224" w:type="dxa"/>
            <w:vAlign w:val="top"/>
          </w:tcPr>
          <w:p w:rsidR="00505632" w:rsidRDefault="00505632" w:rsidP="00AD4E52">
            <w:pPr>
              <w:pStyle w:val="CellColumn"/>
              <w:jc w:val="right"/>
            </w:pPr>
            <w:r>
              <w:rPr>
                <w:rFonts w:cs="Times New Roman"/>
              </w:rPr>
              <w:t>99,3</w:t>
            </w:r>
          </w:p>
        </w:tc>
        <w:tc>
          <w:tcPr>
            <w:tcW w:w="1224" w:type="dxa"/>
            <w:vAlign w:val="top"/>
          </w:tcPr>
          <w:p w:rsidR="00505632" w:rsidRDefault="00505632" w:rsidP="00AD4E52">
            <w:pPr>
              <w:pStyle w:val="CellColumn"/>
              <w:jc w:val="right"/>
            </w:pPr>
            <w:r>
              <w:rPr>
                <w:rFonts w:cs="Times New Roman"/>
              </w:rPr>
              <w:t>106,7</w:t>
            </w:r>
          </w:p>
        </w:tc>
      </w:tr>
      <w:tr w:rsidR="00505632" w:rsidTr="00AD4E52">
        <w:trPr>
          <w:jc w:val="center"/>
        </w:trPr>
        <w:tc>
          <w:tcPr>
            <w:tcW w:w="1632" w:type="dxa"/>
            <w:vAlign w:val="top"/>
          </w:tcPr>
          <w:p w:rsidR="00505632" w:rsidRDefault="00505632" w:rsidP="00AD4E52">
            <w:pPr>
              <w:pStyle w:val="CellColumn"/>
              <w:jc w:val="left"/>
            </w:pPr>
            <w:r>
              <w:rPr>
                <w:rFonts w:cs="Times New Roman"/>
              </w:rPr>
              <w:t>08091-Agencije i ostale javne ustanove u znanosti, obrazovanju i sportu</w:t>
            </w:r>
          </w:p>
        </w:tc>
        <w:tc>
          <w:tcPr>
            <w:tcW w:w="2042" w:type="dxa"/>
            <w:vAlign w:val="top"/>
          </w:tcPr>
          <w:p w:rsidR="00505632" w:rsidRDefault="00505632" w:rsidP="00AD4E52">
            <w:pPr>
              <w:pStyle w:val="CellColumn"/>
              <w:jc w:val="right"/>
            </w:pPr>
            <w:r>
              <w:rPr>
                <w:rFonts w:cs="Times New Roman"/>
              </w:rPr>
              <w:t>416.657.666</w:t>
            </w:r>
          </w:p>
        </w:tc>
        <w:tc>
          <w:tcPr>
            <w:tcW w:w="2042" w:type="dxa"/>
            <w:vAlign w:val="top"/>
          </w:tcPr>
          <w:p w:rsidR="00505632" w:rsidRDefault="00505632" w:rsidP="00AD4E52">
            <w:pPr>
              <w:pStyle w:val="CellColumn"/>
              <w:jc w:val="right"/>
            </w:pPr>
            <w:r>
              <w:rPr>
                <w:rFonts w:cs="Times New Roman"/>
              </w:rPr>
              <w:t>579.119.392</w:t>
            </w:r>
          </w:p>
        </w:tc>
        <w:tc>
          <w:tcPr>
            <w:tcW w:w="2042" w:type="dxa"/>
            <w:vAlign w:val="top"/>
          </w:tcPr>
          <w:p w:rsidR="00505632" w:rsidRDefault="00505632" w:rsidP="00AD4E52">
            <w:pPr>
              <w:pStyle w:val="CellColumn"/>
              <w:jc w:val="right"/>
            </w:pPr>
            <w:r>
              <w:rPr>
                <w:rFonts w:cs="Times New Roman"/>
              </w:rPr>
              <w:t>526.147.383</w:t>
            </w:r>
          </w:p>
        </w:tc>
        <w:tc>
          <w:tcPr>
            <w:tcW w:w="1224" w:type="dxa"/>
            <w:vAlign w:val="top"/>
          </w:tcPr>
          <w:p w:rsidR="00505632" w:rsidRDefault="00505632" w:rsidP="00AD4E52">
            <w:pPr>
              <w:pStyle w:val="CellColumn"/>
              <w:jc w:val="right"/>
            </w:pPr>
            <w:r>
              <w:rPr>
                <w:rFonts w:cs="Times New Roman"/>
              </w:rPr>
              <w:t>90,9</w:t>
            </w:r>
          </w:p>
        </w:tc>
        <w:tc>
          <w:tcPr>
            <w:tcW w:w="1224" w:type="dxa"/>
            <w:vAlign w:val="top"/>
          </w:tcPr>
          <w:p w:rsidR="00505632" w:rsidRDefault="00505632" w:rsidP="00AD4E52">
            <w:pPr>
              <w:pStyle w:val="CellColumn"/>
              <w:jc w:val="right"/>
            </w:pPr>
            <w:r>
              <w:rPr>
                <w:rFonts w:cs="Times New Roman"/>
              </w:rPr>
              <w:t>126,3</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080-MINISTARSTVO ZNANOSTI I OBRAZOVANJA</w:t>
            </w:r>
          </w:p>
        </w:tc>
        <w:tc>
          <w:tcPr>
            <w:tcW w:w="2042" w:type="dxa"/>
            <w:shd w:val="clear" w:color="auto" w:fill="B5C0D8"/>
          </w:tcPr>
          <w:p w:rsidR="00505632" w:rsidRDefault="00505632" w:rsidP="00AD4E52">
            <w:pPr>
              <w:pStyle w:val="CellColumn"/>
              <w:jc w:val="right"/>
            </w:pPr>
            <w:r>
              <w:rPr>
                <w:rFonts w:cs="Times New Roman"/>
              </w:rPr>
              <w:t>14.009.183.475</w:t>
            </w:r>
          </w:p>
        </w:tc>
        <w:tc>
          <w:tcPr>
            <w:tcW w:w="2042" w:type="dxa"/>
            <w:shd w:val="clear" w:color="auto" w:fill="B5C0D8"/>
          </w:tcPr>
          <w:p w:rsidR="00505632" w:rsidRDefault="00505632" w:rsidP="00AD4E52">
            <w:pPr>
              <w:pStyle w:val="CellColumn"/>
              <w:jc w:val="right"/>
            </w:pPr>
            <w:r>
              <w:rPr>
                <w:rFonts w:cs="Times New Roman"/>
              </w:rPr>
              <w:t>14.115.984.057</w:t>
            </w:r>
          </w:p>
        </w:tc>
        <w:tc>
          <w:tcPr>
            <w:tcW w:w="2042" w:type="dxa"/>
            <w:shd w:val="clear" w:color="auto" w:fill="B5C0D8"/>
          </w:tcPr>
          <w:p w:rsidR="00505632" w:rsidRDefault="00505632" w:rsidP="00AD4E52">
            <w:pPr>
              <w:pStyle w:val="CellColumn"/>
              <w:jc w:val="right"/>
            </w:pPr>
            <w:r>
              <w:rPr>
                <w:rFonts w:cs="Times New Roman"/>
              </w:rPr>
              <w:t>13.891.006.993</w:t>
            </w:r>
          </w:p>
        </w:tc>
        <w:tc>
          <w:tcPr>
            <w:tcW w:w="1224" w:type="dxa"/>
            <w:shd w:val="clear" w:color="auto" w:fill="B5C0D8"/>
          </w:tcPr>
          <w:p w:rsidR="00505632" w:rsidRDefault="00505632" w:rsidP="00AD4E52">
            <w:pPr>
              <w:pStyle w:val="CellColumn"/>
              <w:jc w:val="right"/>
            </w:pPr>
            <w:r>
              <w:rPr>
                <w:rFonts w:cs="Times New Roman"/>
              </w:rPr>
              <w:t>98,4</w:t>
            </w:r>
          </w:p>
        </w:tc>
        <w:tc>
          <w:tcPr>
            <w:tcW w:w="1224" w:type="dxa"/>
            <w:shd w:val="clear" w:color="auto" w:fill="B5C0D8"/>
          </w:tcPr>
          <w:p w:rsidR="00505632" w:rsidRDefault="00505632" w:rsidP="00AD4E52">
            <w:pPr>
              <w:pStyle w:val="CellColumn"/>
              <w:jc w:val="right"/>
            </w:pPr>
            <w:r>
              <w:rPr>
                <w:rFonts w:cs="Times New Roman"/>
              </w:rPr>
              <w:t>99,2</w:t>
            </w:r>
          </w:p>
        </w:tc>
      </w:tr>
    </w:tbl>
    <w:p w:rsidR="00505632" w:rsidRDefault="00505632" w:rsidP="00505632">
      <w:pPr>
        <w:jc w:val="left"/>
      </w:pPr>
    </w:p>
    <w:p w:rsidR="00505632" w:rsidRDefault="00505632" w:rsidP="00505632">
      <w:pPr>
        <w:pStyle w:val="Heading2"/>
      </w:pPr>
      <w:r>
        <w:t>08005 Ministarstvo znanosti i obrazovanja</w:t>
      </w:r>
    </w:p>
    <w:p w:rsidR="00505632" w:rsidRDefault="00505632" w:rsidP="00505632">
      <w:r>
        <w:t xml:space="preserve">Sustav odgoja i obrazovanja u Republici Hrvatskoj obuhvaća razine predškolskoga, osnovnoškolskoga, srednjoškolskoga i visokoga obrazovanja te obrazovanja odraslih radi omogućavanja optimalnoga razvijanja potencijala svakog korisnika u svrhu njegova osobnoga razvoja i uključivanja na tržište rada te spremnosti na cjeloživotno učenje. Za osiguranje povjerenja stanovništva prema sustavu, motiviranost korisnika za uključivanje te stjecanje kompetencija za cjelokupan osobni i društveni razvoj u skladu s njihovim sposobnostima i mogućnostima, osiguranje održive kvalitete sustava ima presudnu ulogu. </w:t>
      </w:r>
    </w:p>
    <w:p w:rsidR="00505632" w:rsidRDefault="00505632" w:rsidP="00505632">
      <w:r>
        <w:t>Brz napredak znanosti i tehnologije u uvjetima globalizacije čine stjecanje znanja i njegovu produktivnu primjenu temeljnim izazovom konkurentnoga gospodarstva i društva. Razvoj znanstvenog i tehnologijskog sustava omogućit će izgradnju Hrvatske kao države okrenute znanju i inovacijama, s konačnim ciljem povećanja konkurentnosti i produktivnosti te ostvarenja stabilnoga gospodarskoga rasta. U cilju poticanja kontinuiranog razvoja sustavno se financira znanstvena infrastruktura koja čini preduvjet razvoja hrvatskog istraživačkog prostora unutar okvira Europske Unije i šire. U području odgoja, obrazovanja, znanosti i tehnologije sustavno se provode aktivnosti poticanja i provođenja međunarodne suradnje Republike Hrvatske, temeljeno na bilateralnim i multilateralnih međunarodnim ugovorima i provedbenim programima suradnje. Ostvarenjem suradnje s Međunarodnom bankom za obnovu i razvoj radi se na poticanju razvojno istraživačkih institucija za povezivanje s hrvatskim gospodarstvom u svrhu što većeg i efikasnijeg uključivanja znanosti i inovacija u razvoj proizvodnje i usluga i jačanje hrvatske gospodarske konkurentnosti. Kroz dostupne EU fondove podupire se izgradnja transfera tehnologije i kapaciteta za komercijalizaciju pri ustanovama visokog obrazovanja i javnim znanstvenim organizacijama kako bi se doprinijelo održivom regionalnom razvoju i industrijskoj konkurentnosti sektora s visokom dodanom vrijednošću u gospodarstvu koja se temelje na znanju kroz Operativni program za regionalnu konkurentnost. Također se kroz EU fondove kroz Operativni program Razvoj ljudskih potencijala financiraju područja obrazovanja.</w:t>
      </w:r>
    </w:p>
    <w:tbl>
      <w:tblPr>
        <w:tblStyle w:val="StilTablice"/>
        <w:tblW w:w="10206" w:type="dxa"/>
        <w:jc w:val="center"/>
        <w:tblLook w:val="04A0" w:firstRow="1" w:lastRow="0" w:firstColumn="1" w:lastColumn="0" w:noHBand="0" w:noVBand="1"/>
      </w:tblPr>
      <w:tblGrid>
        <w:gridCol w:w="2016"/>
        <w:gridCol w:w="1933"/>
        <w:gridCol w:w="1933"/>
        <w:gridCol w:w="1933"/>
        <w:gridCol w:w="1188"/>
        <w:gridCol w:w="1203"/>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08005-Ministarstvo znanosti i obrazovanja</w:t>
            </w:r>
          </w:p>
        </w:tc>
        <w:tc>
          <w:tcPr>
            <w:tcW w:w="2041" w:type="dxa"/>
            <w:vAlign w:val="top"/>
          </w:tcPr>
          <w:p w:rsidR="00505632" w:rsidRDefault="00505632" w:rsidP="00AD4E52">
            <w:pPr>
              <w:pStyle w:val="CellColumn"/>
              <w:jc w:val="right"/>
            </w:pPr>
            <w:r>
              <w:rPr>
                <w:rFonts w:cs="Times New Roman"/>
              </w:rPr>
              <w:t>9.061.996.620</w:t>
            </w:r>
          </w:p>
        </w:tc>
        <w:tc>
          <w:tcPr>
            <w:tcW w:w="2041" w:type="dxa"/>
            <w:vAlign w:val="top"/>
          </w:tcPr>
          <w:p w:rsidR="00505632" w:rsidRDefault="00505632" w:rsidP="00AD4E52">
            <w:pPr>
              <w:pStyle w:val="CellColumn"/>
              <w:jc w:val="right"/>
            </w:pPr>
            <w:r>
              <w:rPr>
                <w:rFonts w:cs="Times New Roman"/>
              </w:rPr>
              <w:t>8.530.970.794</w:t>
            </w:r>
          </w:p>
        </w:tc>
        <w:tc>
          <w:tcPr>
            <w:tcW w:w="2041" w:type="dxa"/>
            <w:vAlign w:val="top"/>
          </w:tcPr>
          <w:p w:rsidR="00505632" w:rsidRDefault="00505632" w:rsidP="00AD4E52">
            <w:pPr>
              <w:pStyle w:val="CellColumn"/>
              <w:jc w:val="right"/>
            </w:pPr>
            <w:r>
              <w:rPr>
                <w:rFonts w:cs="Times New Roman"/>
              </w:rPr>
              <w:t>8.516.930.306</w:t>
            </w:r>
          </w:p>
        </w:tc>
        <w:tc>
          <w:tcPr>
            <w:tcW w:w="1224" w:type="dxa"/>
            <w:vAlign w:val="top"/>
          </w:tcPr>
          <w:p w:rsidR="00505632" w:rsidRDefault="00505632" w:rsidP="00AD4E52">
            <w:pPr>
              <w:pStyle w:val="CellColumn"/>
              <w:jc w:val="right"/>
            </w:pPr>
            <w:r>
              <w:rPr>
                <w:rFonts w:cs="Times New Roman"/>
              </w:rPr>
              <w:t>99,8</w:t>
            </w:r>
          </w:p>
        </w:tc>
        <w:tc>
          <w:tcPr>
            <w:tcW w:w="1224" w:type="dxa"/>
            <w:vAlign w:val="top"/>
          </w:tcPr>
          <w:p w:rsidR="00505632" w:rsidRDefault="00505632" w:rsidP="00AD4E52">
            <w:pPr>
              <w:pStyle w:val="CellColumn"/>
              <w:jc w:val="right"/>
            </w:pPr>
            <w:r>
              <w:rPr>
                <w:rFonts w:cs="Times New Roman"/>
              </w:rPr>
              <w:t>94,0</w:t>
            </w:r>
          </w:p>
        </w:tc>
      </w:tr>
      <w:tr w:rsidR="00505632" w:rsidTr="00AD4E52">
        <w:trPr>
          <w:jc w:val="center"/>
        </w:trPr>
        <w:tc>
          <w:tcPr>
            <w:tcW w:w="1632" w:type="dxa"/>
          </w:tcPr>
          <w:p w:rsidR="00505632" w:rsidRDefault="00505632" w:rsidP="00AD4E52">
            <w:pPr>
              <w:jc w:val="left"/>
            </w:pPr>
            <w:r>
              <w:t>3701-RAZVOJ ODGOJNO OBRAZOVNOG SUSTAVA</w:t>
            </w:r>
          </w:p>
        </w:tc>
        <w:tc>
          <w:tcPr>
            <w:tcW w:w="2041" w:type="dxa"/>
          </w:tcPr>
          <w:p w:rsidR="00505632" w:rsidRDefault="00505632" w:rsidP="00AD4E52">
            <w:pPr>
              <w:jc w:val="right"/>
            </w:pPr>
            <w:r>
              <w:t>327.912.293</w:t>
            </w:r>
          </w:p>
        </w:tc>
        <w:tc>
          <w:tcPr>
            <w:tcW w:w="2041" w:type="dxa"/>
          </w:tcPr>
          <w:p w:rsidR="00505632" w:rsidRDefault="00505632" w:rsidP="00AD4E52">
            <w:pPr>
              <w:jc w:val="right"/>
            </w:pPr>
            <w:r>
              <w:t>320.817.620</w:t>
            </w:r>
          </w:p>
        </w:tc>
        <w:tc>
          <w:tcPr>
            <w:tcW w:w="2041" w:type="dxa"/>
          </w:tcPr>
          <w:p w:rsidR="00505632" w:rsidRDefault="00505632" w:rsidP="00AD4E52">
            <w:pPr>
              <w:jc w:val="right"/>
            </w:pPr>
            <w:r>
              <w:t>299.758.406</w:t>
            </w:r>
          </w:p>
        </w:tc>
        <w:tc>
          <w:tcPr>
            <w:tcW w:w="1224" w:type="dxa"/>
          </w:tcPr>
          <w:p w:rsidR="00505632" w:rsidRDefault="00505632" w:rsidP="00AD4E52">
            <w:pPr>
              <w:jc w:val="right"/>
            </w:pPr>
            <w:r>
              <w:t>93,4</w:t>
            </w:r>
          </w:p>
        </w:tc>
        <w:tc>
          <w:tcPr>
            <w:tcW w:w="1224" w:type="dxa"/>
          </w:tcPr>
          <w:p w:rsidR="00505632" w:rsidRDefault="00505632" w:rsidP="00AD4E52">
            <w:pPr>
              <w:jc w:val="right"/>
            </w:pPr>
            <w:r>
              <w:t>91,4</w:t>
            </w:r>
          </w:p>
        </w:tc>
      </w:tr>
      <w:tr w:rsidR="00505632" w:rsidTr="00AD4E52">
        <w:trPr>
          <w:jc w:val="center"/>
        </w:trPr>
        <w:tc>
          <w:tcPr>
            <w:tcW w:w="1632" w:type="dxa"/>
          </w:tcPr>
          <w:p w:rsidR="00505632" w:rsidRDefault="00505632" w:rsidP="00AD4E52">
            <w:pPr>
              <w:jc w:val="left"/>
            </w:pPr>
            <w:r>
              <w:t>3702-PREDŠKOLSKI ODGOJ</w:t>
            </w:r>
          </w:p>
        </w:tc>
        <w:tc>
          <w:tcPr>
            <w:tcW w:w="2041" w:type="dxa"/>
          </w:tcPr>
          <w:p w:rsidR="00505632" w:rsidRDefault="00505632" w:rsidP="00AD4E52">
            <w:pPr>
              <w:jc w:val="right"/>
            </w:pPr>
            <w:r>
              <w:t>18.047.150</w:t>
            </w:r>
          </w:p>
        </w:tc>
        <w:tc>
          <w:tcPr>
            <w:tcW w:w="2041" w:type="dxa"/>
          </w:tcPr>
          <w:p w:rsidR="00505632" w:rsidRDefault="00505632" w:rsidP="00AD4E52">
            <w:pPr>
              <w:jc w:val="right"/>
            </w:pPr>
            <w:r>
              <w:t>17.805.839</w:t>
            </w:r>
          </w:p>
        </w:tc>
        <w:tc>
          <w:tcPr>
            <w:tcW w:w="2041" w:type="dxa"/>
          </w:tcPr>
          <w:p w:rsidR="00505632" w:rsidRDefault="00505632" w:rsidP="00AD4E52">
            <w:pPr>
              <w:jc w:val="right"/>
            </w:pPr>
            <w:r>
              <w:t>17.252.990</w:t>
            </w:r>
          </w:p>
        </w:tc>
        <w:tc>
          <w:tcPr>
            <w:tcW w:w="1224" w:type="dxa"/>
          </w:tcPr>
          <w:p w:rsidR="00505632" w:rsidRDefault="00505632" w:rsidP="00AD4E52">
            <w:pPr>
              <w:jc w:val="right"/>
            </w:pPr>
            <w:r>
              <w:t>96,9</w:t>
            </w:r>
          </w:p>
        </w:tc>
        <w:tc>
          <w:tcPr>
            <w:tcW w:w="1224" w:type="dxa"/>
          </w:tcPr>
          <w:p w:rsidR="00505632" w:rsidRDefault="00505632" w:rsidP="00AD4E52">
            <w:pPr>
              <w:jc w:val="right"/>
            </w:pPr>
            <w:r>
              <w:t>95,6</w:t>
            </w:r>
          </w:p>
        </w:tc>
      </w:tr>
      <w:tr w:rsidR="00505632" w:rsidTr="00AD4E52">
        <w:trPr>
          <w:jc w:val="center"/>
        </w:trPr>
        <w:tc>
          <w:tcPr>
            <w:tcW w:w="1632" w:type="dxa"/>
          </w:tcPr>
          <w:p w:rsidR="00505632" w:rsidRDefault="00505632" w:rsidP="00AD4E52">
            <w:pPr>
              <w:jc w:val="left"/>
            </w:pPr>
            <w:r>
              <w:t>3703-OSNOVNOŠKOLSKO OBRAZOVANJE</w:t>
            </w:r>
          </w:p>
        </w:tc>
        <w:tc>
          <w:tcPr>
            <w:tcW w:w="2041" w:type="dxa"/>
          </w:tcPr>
          <w:p w:rsidR="00505632" w:rsidRDefault="00505632" w:rsidP="00AD4E52">
            <w:pPr>
              <w:jc w:val="right"/>
            </w:pPr>
            <w:r>
              <w:t>4.687.345.106</w:t>
            </w:r>
          </w:p>
        </w:tc>
        <w:tc>
          <w:tcPr>
            <w:tcW w:w="2041" w:type="dxa"/>
          </w:tcPr>
          <w:p w:rsidR="00505632" w:rsidRDefault="00505632" w:rsidP="00AD4E52">
            <w:pPr>
              <w:jc w:val="right"/>
            </w:pPr>
            <w:r>
              <w:t>4.770.062.266</w:t>
            </w:r>
          </w:p>
        </w:tc>
        <w:tc>
          <w:tcPr>
            <w:tcW w:w="2041" w:type="dxa"/>
          </w:tcPr>
          <w:p w:rsidR="00505632" w:rsidRDefault="00505632" w:rsidP="00AD4E52">
            <w:pPr>
              <w:jc w:val="right"/>
            </w:pPr>
            <w:r>
              <w:t>4.766.293.135</w:t>
            </w:r>
          </w:p>
        </w:tc>
        <w:tc>
          <w:tcPr>
            <w:tcW w:w="1224" w:type="dxa"/>
          </w:tcPr>
          <w:p w:rsidR="00505632" w:rsidRDefault="00505632" w:rsidP="00AD4E52">
            <w:pPr>
              <w:jc w:val="right"/>
            </w:pPr>
            <w:r>
              <w:t>99,9</w:t>
            </w:r>
          </w:p>
        </w:tc>
        <w:tc>
          <w:tcPr>
            <w:tcW w:w="1224" w:type="dxa"/>
          </w:tcPr>
          <w:p w:rsidR="00505632" w:rsidRDefault="00505632" w:rsidP="00AD4E52">
            <w:pPr>
              <w:jc w:val="right"/>
            </w:pPr>
            <w:r>
              <w:t>101,7</w:t>
            </w:r>
          </w:p>
        </w:tc>
      </w:tr>
      <w:tr w:rsidR="00505632" w:rsidTr="00AD4E52">
        <w:trPr>
          <w:jc w:val="center"/>
        </w:trPr>
        <w:tc>
          <w:tcPr>
            <w:tcW w:w="1632" w:type="dxa"/>
          </w:tcPr>
          <w:p w:rsidR="00505632" w:rsidRDefault="00505632" w:rsidP="00AD4E52">
            <w:pPr>
              <w:jc w:val="left"/>
            </w:pPr>
            <w:r>
              <w:t>3704-SREDNJOŠKOLSKO OBRAZOVANJE</w:t>
            </w:r>
          </w:p>
        </w:tc>
        <w:tc>
          <w:tcPr>
            <w:tcW w:w="2041" w:type="dxa"/>
          </w:tcPr>
          <w:p w:rsidR="00505632" w:rsidRDefault="00505632" w:rsidP="00AD4E52">
            <w:pPr>
              <w:jc w:val="right"/>
            </w:pPr>
            <w:r>
              <w:t>2.876.781.731</w:t>
            </w:r>
          </w:p>
        </w:tc>
        <w:tc>
          <w:tcPr>
            <w:tcW w:w="2041" w:type="dxa"/>
          </w:tcPr>
          <w:p w:rsidR="00505632" w:rsidRDefault="00505632" w:rsidP="00AD4E52">
            <w:pPr>
              <w:jc w:val="right"/>
            </w:pPr>
            <w:r>
              <w:t>2.887.606.086</w:t>
            </w:r>
          </w:p>
        </w:tc>
        <w:tc>
          <w:tcPr>
            <w:tcW w:w="2041" w:type="dxa"/>
          </w:tcPr>
          <w:p w:rsidR="00505632" w:rsidRDefault="00505632" w:rsidP="00AD4E52">
            <w:pPr>
              <w:jc w:val="right"/>
            </w:pPr>
            <w:r>
              <w:t>2.886.478.572</w:t>
            </w:r>
          </w:p>
        </w:tc>
        <w:tc>
          <w:tcPr>
            <w:tcW w:w="1224" w:type="dxa"/>
          </w:tcPr>
          <w:p w:rsidR="00505632" w:rsidRDefault="00505632" w:rsidP="00AD4E52">
            <w:pPr>
              <w:jc w:val="right"/>
            </w:pPr>
            <w:r>
              <w:t>100,0</w:t>
            </w:r>
          </w:p>
        </w:tc>
        <w:tc>
          <w:tcPr>
            <w:tcW w:w="1224" w:type="dxa"/>
          </w:tcPr>
          <w:p w:rsidR="00505632" w:rsidRDefault="00505632" w:rsidP="00AD4E52">
            <w:pPr>
              <w:jc w:val="right"/>
            </w:pPr>
            <w:r>
              <w:t>100,3</w:t>
            </w:r>
          </w:p>
        </w:tc>
      </w:tr>
      <w:tr w:rsidR="00505632" w:rsidTr="00AD4E52">
        <w:trPr>
          <w:jc w:val="center"/>
        </w:trPr>
        <w:tc>
          <w:tcPr>
            <w:tcW w:w="1632" w:type="dxa"/>
          </w:tcPr>
          <w:p w:rsidR="00505632" w:rsidRDefault="00505632" w:rsidP="00AD4E52">
            <w:pPr>
              <w:jc w:val="left"/>
            </w:pPr>
            <w:r>
              <w:t>3705-VISOKO OBRAZOVANJE</w:t>
            </w:r>
          </w:p>
        </w:tc>
        <w:tc>
          <w:tcPr>
            <w:tcW w:w="2041" w:type="dxa"/>
          </w:tcPr>
          <w:p w:rsidR="00505632" w:rsidRDefault="00505632" w:rsidP="00AD4E52">
            <w:pPr>
              <w:jc w:val="right"/>
            </w:pPr>
            <w:r>
              <w:t>26.912.177</w:t>
            </w:r>
          </w:p>
        </w:tc>
        <w:tc>
          <w:tcPr>
            <w:tcW w:w="2041" w:type="dxa"/>
          </w:tcPr>
          <w:p w:rsidR="00505632" w:rsidRDefault="00505632" w:rsidP="00AD4E52">
            <w:pPr>
              <w:jc w:val="right"/>
            </w:pPr>
            <w:r>
              <w:t>22.823.613</w:t>
            </w:r>
          </w:p>
        </w:tc>
        <w:tc>
          <w:tcPr>
            <w:tcW w:w="2041" w:type="dxa"/>
          </w:tcPr>
          <w:p w:rsidR="00505632" w:rsidRDefault="00505632" w:rsidP="00AD4E52">
            <w:pPr>
              <w:jc w:val="right"/>
            </w:pPr>
            <w:r>
              <w:t>22.646.975</w:t>
            </w:r>
          </w:p>
        </w:tc>
        <w:tc>
          <w:tcPr>
            <w:tcW w:w="1224" w:type="dxa"/>
          </w:tcPr>
          <w:p w:rsidR="00505632" w:rsidRDefault="00505632" w:rsidP="00AD4E52">
            <w:pPr>
              <w:jc w:val="right"/>
            </w:pPr>
            <w:r>
              <w:t>99,2</w:t>
            </w:r>
          </w:p>
        </w:tc>
        <w:tc>
          <w:tcPr>
            <w:tcW w:w="1224" w:type="dxa"/>
          </w:tcPr>
          <w:p w:rsidR="00505632" w:rsidRDefault="00505632" w:rsidP="00AD4E52">
            <w:pPr>
              <w:jc w:val="right"/>
            </w:pPr>
            <w:r>
              <w:t>84,2</w:t>
            </w:r>
          </w:p>
        </w:tc>
      </w:tr>
      <w:tr w:rsidR="00505632" w:rsidTr="00AD4E52">
        <w:trPr>
          <w:jc w:val="center"/>
        </w:trPr>
        <w:tc>
          <w:tcPr>
            <w:tcW w:w="1632" w:type="dxa"/>
          </w:tcPr>
          <w:p w:rsidR="00505632" w:rsidRDefault="00505632" w:rsidP="00AD4E52">
            <w:pPr>
              <w:jc w:val="left"/>
            </w:pPr>
            <w:r>
              <w:t>3801-ULAGANJE U ZNANSTVENO ISTRAŽIVAČKU DJELATNOST</w:t>
            </w:r>
          </w:p>
        </w:tc>
        <w:tc>
          <w:tcPr>
            <w:tcW w:w="2041" w:type="dxa"/>
          </w:tcPr>
          <w:p w:rsidR="00505632" w:rsidRDefault="00505632" w:rsidP="00AD4E52">
            <w:pPr>
              <w:jc w:val="right"/>
            </w:pPr>
            <w:r>
              <w:t>890.949.924</w:t>
            </w:r>
          </w:p>
        </w:tc>
        <w:tc>
          <w:tcPr>
            <w:tcW w:w="2041" w:type="dxa"/>
          </w:tcPr>
          <w:p w:rsidR="00505632" w:rsidRDefault="00505632" w:rsidP="00AD4E52">
            <w:pPr>
              <w:jc w:val="right"/>
            </w:pPr>
            <w:r>
              <w:t>297.022.535</w:t>
            </w:r>
          </w:p>
        </w:tc>
        <w:tc>
          <w:tcPr>
            <w:tcW w:w="2041" w:type="dxa"/>
          </w:tcPr>
          <w:p w:rsidR="00505632" w:rsidRDefault="00505632" w:rsidP="00AD4E52">
            <w:pPr>
              <w:jc w:val="right"/>
            </w:pPr>
            <w:r>
              <w:t>287.048.026</w:t>
            </w:r>
          </w:p>
        </w:tc>
        <w:tc>
          <w:tcPr>
            <w:tcW w:w="1224" w:type="dxa"/>
          </w:tcPr>
          <w:p w:rsidR="00505632" w:rsidRDefault="00505632" w:rsidP="00AD4E52">
            <w:pPr>
              <w:jc w:val="right"/>
            </w:pPr>
            <w:r>
              <w:t>96,6</w:t>
            </w:r>
          </w:p>
        </w:tc>
        <w:tc>
          <w:tcPr>
            <w:tcW w:w="1224" w:type="dxa"/>
          </w:tcPr>
          <w:p w:rsidR="00505632" w:rsidRDefault="00505632" w:rsidP="00AD4E52">
            <w:pPr>
              <w:jc w:val="right"/>
            </w:pPr>
            <w:r>
              <w:t>32,2</w:t>
            </w:r>
          </w:p>
        </w:tc>
      </w:tr>
      <w:tr w:rsidR="00505632" w:rsidTr="00AD4E52">
        <w:trPr>
          <w:jc w:val="center"/>
        </w:trPr>
        <w:tc>
          <w:tcPr>
            <w:tcW w:w="1632" w:type="dxa"/>
          </w:tcPr>
          <w:p w:rsidR="00505632" w:rsidRDefault="00505632" w:rsidP="00AD4E52">
            <w:pPr>
              <w:jc w:val="left"/>
            </w:pPr>
            <w:r>
              <w:t>3802-TEHNOLOGIJSKI RAZVITAK</w:t>
            </w:r>
          </w:p>
        </w:tc>
        <w:tc>
          <w:tcPr>
            <w:tcW w:w="2041" w:type="dxa"/>
          </w:tcPr>
          <w:p w:rsidR="00505632" w:rsidRDefault="00505632" w:rsidP="00AD4E52">
            <w:pPr>
              <w:jc w:val="right"/>
            </w:pPr>
            <w:r>
              <w:t>14.973.262</w:t>
            </w:r>
          </w:p>
        </w:tc>
        <w:tc>
          <w:tcPr>
            <w:tcW w:w="2041" w:type="dxa"/>
          </w:tcPr>
          <w:p w:rsidR="00505632" w:rsidRDefault="00505632" w:rsidP="00AD4E52">
            <w:pPr>
              <w:jc w:val="right"/>
            </w:pPr>
            <w:r>
              <w:t>14.394.433</w:t>
            </w:r>
          </w:p>
        </w:tc>
        <w:tc>
          <w:tcPr>
            <w:tcW w:w="2041" w:type="dxa"/>
          </w:tcPr>
          <w:p w:rsidR="00505632" w:rsidRDefault="00505632" w:rsidP="00AD4E52">
            <w:pPr>
              <w:jc w:val="right"/>
            </w:pPr>
            <w:r>
              <w:t>45.592.849</w:t>
            </w:r>
          </w:p>
        </w:tc>
        <w:tc>
          <w:tcPr>
            <w:tcW w:w="1224" w:type="dxa"/>
          </w:tcPr>
          <w:p w:rsidR="00505632" w:rsidRDefault="00505632" w:rsidP="00AD4E52">
            <w:pPr>
              <w:jc w:val="right"/>
            </w:pPr>
            <w:r>
              <w:t>316,7</w:t>
            </w:r>
          </w:p>
        </w:tc>
        <w:tc>
          <w:tcPr>
            <w:tcW w:w="1224" w:type="dxa"/>
          </w:tcPr>
          <w:p w:rsidR="00505632" w:rsidRDefault="00505632" w:rsidP="00AD4E52">
            <w:pPr>
              <w:jc w:val="right"/>
            </w:pPr>
            <w:r>
              <w:t>304,5</w:t>
            </w:r>
          </w:p>
        </w:tc>
      </w:tr>
      <w:tr w:rsidR="00505632" w:rsidTr="00AD4E52">
        <w:trPr>
          <w:jc w:val="center"/>
        </w:trPr>
        <w:tc>
          <w:tcPr>
            <w:tcW w:w="1632" w:type="dxa"/>
          </w:tcPr>
          <w:p w:rsidR="00505632" w:rsidRDefault="00505632" w:rsidP="00AD4E52">
            <w:pPr>
              <w:jc w:val="left"/>
            </w:pPr>
            <w:r>
              <w:t>3803-RAZVOJ INFORMACIJSKOG DRUŠTVA</w:t>
            </w:r>
          </w:p>
        </w:tc>
        <w:tc>
          <w:tcPr>
            <w:tcW w:w="2041" w:type="dxa"/>
          </w:tcPr>
          <w:p w:rsidR="00505632" w:rsidRDefault="00505632" w:rsidP="00AD4E52">
            <w:pPr>
              <w:jc w:val="right"/>
            </w:pPr>
            <w:r>
              <w:t>12.189.580</w:t>
            </w:r>
          </w:p>
        </w:tc>
        <w:tc>
          <w:tcPr>
            <w:tcW w:w="2041" w:type="dxa"/>
          </w:tcPr>
          <w:p w:rsidR="00505632" w:rsidRDefault="00505632" w:rsidP="00AD4E52">
            <w:pPr>
              <w:jc w:val="right"/>
            </w:pPr>
            <w:r>
              <w:t>12.129.610</w:t>
            </w:r>
          </w:p>
        </w:tc>
        <w:tc>
          <w:tcPr>
            <w:tcW w:w="2041" w:type="dxa"/>
          </w:tcPr>
          <w:p w:rsidR="00505632" w:rsidRDefault="00505632" w:rsidP="00AD4E52">
            <w:pPr>
              <w:jc w:val="right"/>
            </w:pPr>
            <w:r>
              <w:t>11.654.992</w:t>
            </w:r>
          </w:p>
        </w:tc>
        <w:tc>
          <w:tcPr>
            <w:tcW w:w="1224" w:type="dxa"/>
          </w:tcPr>
          <w:p w:rsidR="00505632" w:rsidRDefault="00505632" w:rsidP="00AD4E52">
            <w:pPr>
              <w:jc w:val="right"/>
            </w:pPr>
            <w:r>
              <w:t>96,1</w:t>
            </w:r>
          </w:p>
        </w:tc>
        <w:tc>
          <w:tcPr>
            <w:tcW w:w="1224" w:type="dxa"/>
          </w:tcPr>
          <w:p w:rsidR="00505632" w:rsidRDefault="00505632" w:rsidP="00AD4E52">
            <w:pPr>
              <w:jc w:val="right"/>
            </w:pPr>
            <w:r>
              <w:t>95,6</w:t>
            </w:r>
          </w:p>
        </w:tc>
      </w:tr>
      <w:tr w:rsidR="00505632" w:rsidTr="00AD4E52">
        <w:trPr>
          <w:jc w:val="center"/>
        </w:trPr>
        <w:tc>
          <w:tcPr>
            <w:tcW w:w="1632" w:type="dxa"/>
          </w:tcPr>
          <w:p w:rsidR="00505632" w:rsidRDefault="00505632" w:rsidP="00AD4E52">
            <w:pPr>
              <w:jc w:val="left"/>
            </w:pPr>
            <w:r>
              <w:t>3915-RAZVOJ SPORTA</w:t>
            </w:r>
          </w:p>
        </w:tc>
        <w:tc>
          <w:tcPr>
            <w:tcW w:w="2041" w:type="dxa"/>
          </w:tcPr>
          <w:p w:rsidR="00505632" w:rsidRDefault="00505632" w:rsidP="00AD4E52">
            <w:pPr>
              <w:jc w:val="right"/>
            </w:pPr>
            <w:r>
              <w:t>206.885.397</w:t>
            </w:r>
          </w:p>
        </w:tc>
        <w:tc>
          <w:tcPr>
            <w:tcW w:w="2041" w:type="dxa"/>
          </w:tcPr>
          <w:p w:rsidR="00505632" w:rsidRDefault="00505632" w:rsidP="00AD4E52">
            <w:pPr>
              <w:jc w:val="right"/>
            </w:pPr>
            <w:r>
              <w:t>188.308.792</w:t>
            </w:r>
          </w:p>
        </w:tc>
        <w:tc>
          <w:tcPr>
            <w:tcW w:w="2041" w:type="dxa"/>
          </w:tcPr>
          <w:p w:rsidR="00505632" w:rsidRDefault="00505632" w:rsidP="00AD4E52">
            <w:pPr>
              <w:jc w:val="right"/>
            </w:pPr>
            <w:r>
              <w:t>180.204.360</w:t>
            </w:r>
          </w:p>
        </w:tc>
        <w:tc>
          <w:tcPr>
            <w:tcW w:w="1224" w:type="dxa"/>
          </w:tcPr>
          <w:p w:rsidR="00505632" w:rsidRDefault="00505632" w:rsidP="00AD4E52">
            <w:pPr>
              <w:jc w:val="right"/>
            </w:pPr>
            <w:r>
              <w:t>95,7</w:t>
            </w:r>
          </w:p>
        </w:tc>
        <w:tc>
          <w:tcPr>
            <w:tcW w:w="1224" w:type="dxa"/>
          </w:tcPr>
          <w:p w:rsidR="00505632" w:rsidRDefault="00505632" w:rsidP="00AD4E52">
            <w:pPr>
              <w:jc w:val="right"/>
            </w:pPr>
            <w:r>
              <w:t>87,1</w:t>
            </w:r>
          </w:p>
        </w:tc>
      </w:tr>
    </w:tbl>
    <w:p w:rsidR="00505632" w:rsidRDefault="00505632" w:rsidP="00505632">
      <w:pPr>
        <w:jc w:val="left"/>
      </w:pPr>
    </w:p>
    <w:p w:rsidR="00505632" w:rsidRDefault="00505632" w:rsidP="00505632">
      <w:pPr>
        <w:pStyle w:val="Heading3"/>
      </w:pPr>
      <w:r>
        <w:rPr>
          <w:rFonts w:cs="Times New Roman"/>
        </w:rPr>
        <w:t>3701 RAZVOJ ODGOJNO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3701-RAZVOJ ODGOJNO OBRAZOVNOG SUSTAVA</w:t>
            </w:r>
          </w:p>
        </w:tc>
        <w:tc>
          <w:tcPr>
            <w:tcW w:w="2041" w:type="dxa"/>
          </w:tcPr>
          <w:p w:rsidR="00505632" w:rsidRDefault="00505632" w:rsidP="00AD4E52">
            <w:pPr>
              <w:pStyle w:val="CellColumn"/>
              <w:jc w:val="right"/>
            </w:pPr>
            <w:r>
              <w:rPr>
                <w:rFonts w:cs="Times New Roman"/>
              </w:rPr>
              <w:t>327.912.293</w:t>
            </w:r>
          </w:p>
        </w:tc>
        <w:tc>
          <w:tcPr>
            <w:tcW w:w="2041" w:type="dxa"/>
          </w:tcPr>
          <w:p w:rsidR="00505632" w:rsidRDefault="00505632" w:rsidP="00AD4E52">
            <w:pPr>
              <w:pStyle w:val="CellColumn"/>
              <w:jc w:val="right"/>
            </w:pPr>
            <w:r>
              <w:rPr>
                <w:rFonts w:cs="Times New Roman"/>
              </w:rPr>
              <w:t>320.817.620</w:t>
            </w:r>
          </w:p>
        </w:tc>
        <w:tc>
          <w:tcPr>
            <w:tcW w:w="2041" w:type="dxa"/>
          </w:tcPr>
          <w:p w:rsidR="00505632" w:rsidRDefault="00505632" w:rsidP="00AD4E52">
            <w:pPr>
              <w:pStyle w:val="CellColumn"/>
              <w:jc w:val="right"/>
            </w:pPr>
            <w:r>
              <w:rPr>
                <w:rFonts w:cs="Times New Roman"/>
              </w:rPr>
              <w:t>299.758.406</w:t>
            </w:r>
          </w:p>
        </w:tc>
        <w:tc>
          <w:tcPr>
            <w:tcW w:w="1224" w:type="dxa"/>
          </w:tcPr>
          <w:p w:rsidR="00505632" w:rsidRDefault="00505632" w:rsidP="00AD4E52">
            <w:pPr>
              <w:pStyle w:val="CellColumn"/>
              <w:jc w:val="right"/>
            </w:pPr>
            <w:r>
              <w:rPr>
                <w:rFonts w:cs="Times New Roman"/>
              </w:rPr>
              <w:t>93,4</w:t>
            </w:r>
          </w:p>
        </w:tc>
        <w:tc>
          <w:tcPr>
            <w:tcW w:w="1224" w:type="dxa"/>
          </w:tcPr>
          <w:p w:rsidR="00505632" w:rsidRDefault="00505632" w:rsidP="00AD4E52">
            <w:pPr>
              <w:pStyle w:val="CellColumn"/>
              <w:jc w:val="right"/>
            </w:pPr>
            <w:r>
              <w:rPr>
                <w:rFonts w:cs="Times New Roman"/>
              </w:rPr>
              <w:t>91,4</w:t>
            </w:r>
          </w:p>
        </w:tc>
      </w:tr>
    </w:tbl>
    <w:p w:rsidR="00505632" w:rsidRDefault="00505632" w:rsidP="00505632">
      <w:pPr>
        <w:jc w:val="left"/>
      </w:pPr>
    </w:p>
    <w:p w:rsidR="00505632" w:rsidRDefault="00505632" w:rsidP="00505632">
      <w:r>
        <w:t xml:space="preserve">Hrvatski obrazovni sustav obuhvaća razine predškolskog, osnovnoškolskog, srednjoškolskog i visokog obrazovanja te obrazovanja odraslih radi omogućavanja optimalnog razvijanja potencijala svakog korisnika u svrhu njegova osobnoga razvoja i uključivanja na tržište rada te spremnosti na cjeloživotno učenje. Za osiguranje povjerenja stanovništva prema sustavu, motiviranost korisnika za uključivanje te stjecanje kompetencija za cjelokupan osobni i društveni razvoj, osiguranje održive kvalitete sustava ima presudnu ulogu. </w:t>
      </w:r>
    </w:p>
    <w:p w:rsidR="00505632" w:rsidRDefault="00505632" w:rsidP="00505632">
      <w:r>
        <w:t>Sukladno Nacionalnom programu reformi, u području odgoja i obrazovanja glavni ciljevi su održavanje ranoga napuštanja školovanja na razini do najviše 4% i daljnje smanjenje te povećanje udjela populacije u dobi 30-34 sa završenim tercijarnim obrazovanjem na 35% do 2020. S tim u svezi, provode se mjere unaprjeđenja kvalitete i učinkovitosti sustava odgoja i obrazovanja, povećanja dostupnosti obrazovanja kroz olakšan pristup obrazovanju na svim razinama te poboljšanje usklađenosti sustava odgoja i obrazovanja s potrebama tržišta rada. Aktivnosti vezane uz ostvarivanje tih ciljeva, a posebice unaprjeđenja kvalitete i učinkovitosti odgojno-obrazovnoga sustava, usmjerene su na uspostavu sveobuhvatnoga i učinkovitoga sustava osiguravanja kvalitete na svim razinama, uključujući vanjsko vrjednovanje i samovrjednovanje odgojno-obrazovnih ustanova, potom na poticanje prilagodljivosti odgojno-obrazovnih programa/kurikula potrebama tržišta rada, na uspostavu učinkovite mreže odgojno-obrazovnih ustanova i programa usklađenih s potrebama tržišta rada i razvoja ljudskih potencijala, unaprjeđivanje sustava strukovnoga obrazovanja kroz razvoj novih strukovnih kurikula usklađenih sa suvremenim potrebama društva, naročito u pogledu razvoja ključnih kompetencija za cjeloživotno učenje (komunikacija na materinskom jeziku, komunikacija na stranim jezicima, matematička kompetencija i osnovne kompetencije u prirodoslovlju i tehnologiji, digitalna kompetencija, kompetencija učiti kako učiti, socijalna i građanska kompetencija, inicijativnost i poduzetnost te kulturna svijest i izražavanje) te na usvajanje i provedbu novih programa i kurikula temeljenih na ishodima učenja.</w:t>
      </w:r>
    </w:p>
    <w:p w:rsidR="00505632" w:rsidRDefault="00505632" w:rsidP="00505632">
      <w:pPr>
        <w:pStyle w:val="Heading8"/>
        <w:jc w:val="left"/>
      </w:pPr>
      <w:r>
        <w:t>Cilj 1. Osiguranje i unapređenje kvalitete te povećanje dostupnosti, učinkovitosti i relevantnosti sustava odgoja i obrazovanja na svim razinama</w:t>
      </w:r>
    </w:p>
    <w:p w:rsidR="00505632" w:rsidRDefault="00505632" w:rsidP="00505632">
      <w:pPr>
        <w:pStyle w:val="Heading8"/>
        <w:jc w:val="left"/>
      </w:pPr>
      <w:r>
        <w:t>Opis provedbe cilja programa</w:t>
      </w:r>
    </w:p>
    <w:p w:rsidR="00505632" w:rsidRDefault="00505632" w:rsidP="00505632">
      <w:r>
        <w:t xml:space="preserve">Strategija obrazovanja, znanosti i tehnologije usvojena je u Hrvatskome saboru 17. listopada 2014. godine (NN, br. 124/2014.). Strategija je usmjerena na osam razvojnih ciljeva. Strategija je usmjerena na ishode učenja u odnosu na sadržaj te predviđa omogućivanje fleksibilnosti i prilagodljivosti sustava obrazovanja, ali i njegovu podložnost stalnom preispitivanju i periodičnim revizijama. </w:t>
      </w:r>
    </w:p>
    <w:p w:rsidR="00505632" w:rsidRDefault="00505632" w:rsidP="00505632">
      <w:r>
        <w:t>Sukladno Nacionalnom programu reformi, u području obrazovanja glavni su ciljevi održavanje ranog napuštanja školovanja na razini do 4% te povećanje udjela populacije u dobi 30-34 sa završenim tercijarnim obrazovanjem na 35% do 2020 godine. U narednom će se razdoblju provoditi mjere unapređenja kvalitete i učinkovitosti obrazovnog sustava, povećanja dostupnosti obrazovanja kroz olakšan pristup obrazovanju te poboljšanje usklađenosti sustava obrazovanja s potrebama tržišta rada. Aktivnosti vezane uz ostvarivanje tih ciljeva usmjerene su na prilagodljivost obrazovnih programa potrebama tržišta rada, na uspostavu učinkovite mreže odgojno-obrazovnih ustanova i kvalifikacija/programa/kurikuluma usklađenih s potrebama tržišta rada i razvoja ljudskih potencijala, unaprjeđivanje sustava strukovnog obrazovanja kroz razvoj novih strukovnih kurikuluma usklađenih sa suvremenim potrebama društva, naročito u pogledu razvoja ključnih kompetencija za cjeloživotno učenje (funkcionalna pismenost, numerička pismenost, digitalne kompetencije, strani jezici, poduzetništvo, matematika i prirodne znanosti, međuljudske i socijalne kompetencije, učiti kako učiti, opća kultura), te na usvajanje i provedbu novih programa i kurikuluma temeljenih na ishodima učenja.</w:t>
      </w:r>
    </w:p>
    <w:p w:rsidR="00505632" w:rsidRDefault="00505632" w:rsidP="00505632">
      <w:pPr>
        <w:pStyle w:val="Heading8"/>
        <w:jc w:val="left"/>
      </w:pPr>
      <w:r>
        <w:t>Cilj 2. Razvijanje učinkovite mreže odgojno-obrazovnih ustanova i kvalifikacija/programa/kurikuluma usmjerenih k razvoju ljudskih potencijala te usklađenih s potrebama društva i tržišta rada</w:t>
      </w:r>
    </w:p>
    <w:p w:rsidR="00505632" w:rsidRDefault="00505632" w:rsidP="00505632">
      <w:pPr>
        <w:pStyle w:val="Heading8"/>
        <w:jc w:val="left"/>
      </w:pPr>
      <w:r>
        <w:t>Opis provedbe cilja programa</w:t>
      </w:r>
    </w:p>
    <w:p w:rsidR="00505632" w:rsidRDefault="00505632" w:rsidP="00505632">
      <w:r>
        <w:t>Reformsku ulogu u sustavu obrazovanja ima Hrvatski kvalifikacijski okvir (HKO) s čijom se uspostavom nastavilo u 2016. godini. Uz pomoć HKO-a postiže se utemeljenost obrazovnih programa na ishodima učenja i usklađenost s potrebama tržišta rada, društva i pojedinca. Također, njime se uređuje sustav kvalifikacija u Republici Hrvatskoj, transparentno se prikazuju ishodi učenja, unapređuje se sustav osiguravanja kvalitete koji se temelji na jasnim ishodima učenja čime se omogućava bolja prohodnost u sklopu kvalifikacijskog sustava. HKO se povezuje s Europskim kvalifikacijskim okvirom (EQF-om) i Europskim prostorom visokog obrazovanja (QF-EHEA), što omogućuje povezivanje i usporedbu s drugim obrazovnim sustavima u Europi, lakše prepoznavanje hrvatskih kvalifikacija i mobilnost hrvatskih građana na europskom obrazovnom prostoru i na europskome tržištu rada.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udjela visokoobrazovanih osoba u populaciji od 25. do 64. godine</w:t>
            </w:r>
          </w:p>
        </w:tc>
        <w:tc>
          <w:tcPr>
            <w:tcW w:w="2551" w:type="dxa"/>
          </w:tcPr>
          <w:p w:rsidR="00505632" w:rsidRDefault="00505632" w:rsidP="00AD4E52">
            <w:pPr>
              <w:pStyle w:val="CellColumn"/>
              <w:jc w:val="left"/>
            </w:pPr>
            <w:r>
              <w:rPr>
                <w:rFonts w:cs="Times New Roman"/>
              </w:rPr>
              <w:t>Udio visokoobrazovanih osoba u odnosu na radno aktivno stanovništvo u RH sukladno metodologiji u EU</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32,2</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33</w:t>
            </w:r>
          </w:p>
        </w:tc>
        <w:tc>
          <w:tcPr>
            <w:tcW w:w="1020" w:type="dxa"/>
          </w:tcPr>
          <w:p w:rsidR="00505632" w:rsidRDefault="00505632" w:rsidP="00AD4E52">
            <w:pPr>
              <w:pStyle w:val="CellColumn"/>
              <w:jc w:val="right"/>
            </w:pPr>
            <w:r>
              <w:rPr>
                <w:rFonts w:cs="Times New Roman"/>
              </w:rPr>
              <w:t>32,2</w:t>
            </w:r>
          </w:p>
        </w:tc>
      </w:tr>
    </w:tbl>
    <w:p w:rsidR="00505632" w:rsidRDefault="00505632" w:rsidP="00505632">
      <w:pPr>
        <w:jc w:val="left"/>
      </w:pPr>
    </w:p>
    <w:p w:rsidR="00505632" w:rsidRDefault="00505632" w:rsidP="00505632">
      <w:pPr>
        <w:pStyle w:val="Heading4"/>
      </w:pPr>
      <w:r>
        <w:t>A557043 NACIONALNO VIJEĆE ZA ODGOJ I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A557043-NACIONALNO VIJEĆE ZA ODGOJ I OBRAZOVANJE</w:t>
            </w:r>
          </w:p>
        </w:tc>
        <w:tc>
          <w:tcPr>
            <w:tcW w:w="2041" w:type="dxa"/>
          </w:tcPr>
          <w:p w:rsidR="00505632" w:rsidRDefault="00505632" w:rsidP="00AD4E52">
            <w:pPr>
              <w:pStyle w:val="CellColumn"/>
              <w:jc w:val="right"/>
            </w:pPr>
            <w:r>
              <w:rPr>
                <w:rFonts w:cs="Times New Roman"/>
              </w:rPr>
              <w:t>283.157</w:t>
            </w:r>
          </w:p>
        </w:tc>
        <w:tc>
          <w:tcPr>
            <w:tcW w:w="2041" w:type="dxa"/>
          </w:tcPr>
          <w:p w:rsidR="00505632" w:rsidRDefault="00505632" w:rsidP="00AD4E52">
            <w:pPr>
              <w:pStyle w:val="CellColumn"/>
              <w:jc w:val="right"/>
            </w:pPr>
            <w:r>
              <w:rPr>
                <w:rFonts w:cs="Times New Roman"/>
              </w:rPr>
              <w:t>385.700</w:t>
            </w:r>
          </w:p>
        </w:tc>
        <w:tc>
          <w:tcPr>
            <w:tcW w:w="2041" w:type="dxa"/>
          </w:tcPr>
          <w:p w:rsidR="00505632" w:rsidRDefault="00505632" w:rsidP="00AD4E52">
            <w:pPr>
              <w:pStyle w:val="CellColumn"/>
              <w:jc w:val="right"/>
            </w:pPr>
            <w:r>
              <w:rPr>
                <w:rFonts w:cs="Times New Roman"/>
              </w:rPr>
              <w:t>331.565</w:t>
            </w:r>
          </w:p>
        </w:tc>
        <w:tc>
          <w:tcPr>
            <w:tcW w:w="1224" w:type="dxa"/>
          </w:tcPr>
          <w:p w:rsidR="00505632" w:rsidRDefault="00505632" w:rsidP="00AD4E52">
            <w:pPr>
              <w:pStyle w:val="CellColumn"/>
              <w:jc w:val="right"/>
            </w:pPr>
            <w:r>
              <w:rPr>
                <w:rFonts w:cs="Times New Roman"/>
              </w:rPr>
              <w:t>86,0</w:t>
            </w:r>
          </w:p>
        </w:tc>
        <w:tc>
          <w:tcPr>
            <w:tcW w:w="1224" w:type="dxa"/>
          </w:tcPr>
          <w:p w:rsidR="00505632" w:rsidRDefault="00505632" w:rsidP="00AD4E52">
            <w:pPr>
              <w:pStyle w:val="CellColumn"/>
              <w:jc w:val="right"/>
            </w:pPr>
            <w:r>
              <w:rPr>
                <w:rFonts w:cs="Times New Roman"/>
              </w:rPr>
              <w:t>117,1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odgoju i obrazovanju u osnovnoj i srednjoj školi</w:t>
      </w:r>
    </w:p>
    <w:p w:rsidR="00505632" w:rsidRDefault="00505632" w:rsidP="00505632">
      <w:pPr>
        <w:pStyle w:val="Heading8"/>
        <w:jc w:val="left"/>
      </w:pPr>
      <w:r>
        <w:t>Opis aktivnosti</w:t>
      </w:r>
    </w:p>
    <w:p w:rsidR="00505632" w:rsidRDefault="00505632" w:rsidP="00505632">
      <w:r>
        <w:t xml:space="preserve">U okviru aktivnosti Nacionalno vijeće za odgoj i obrazovanje financirane su aktivnosti vezane za rad  Nacionalnog vijeća za odgoj i obrazovanje. U 2016. godini Nacionalno vijeće održalo je 8 sjednica, a radna tijela imenovana od Nacionalnog vijeća održala su 7 sastanaka. Ministarstvo je pripremalo organizaciju sjednica i sastanka, vodilo zapisnike, pripremalo materijale za objavu na mrežnoj stranici www.nvoo.hr /zapisnici sjednica, zaključci-doneseni akti, aktualnosti i dr./, izradilo godišnje izvješće o radu Nacionalnog vijeća, komuniciralo i distribuiralo materijale Nacionalnog vijeće nadležnim institucijama, radnim tijelima, medijima i pojedincima putem obične pošte i e-pošte (nvoo@mzo.hr), isplaćivalo naknadu za rad i putne troškove članovima Nacionalnog vijeća. Tijekom 2016. godine Nacionalno vijeće je u okviru zakonskih zadaća i nadležnosti, sukladno Strategiji obrazovanja, znanosti i tehnologije, donijelo 10 akata (preporuka, mišljenja i dr.). Podatci o aktivnostima i samom Nacionalnom vijeću transparentni su i dostupni stručnoj i zainteresiranoj javnosti na mrežnoj stranici </w:t>
      </w:r>
      <w:hyperlink r:id="rId9" w:history="1">
        <w:r w:rsidRPr="00E83AF5">
          <w:rPr>
            <w:rStyle w:val="Hyperlink"/>
          </w:rPr>
          <w:t>www.nvoo.hr</w:t>
        </w:r>
      </w:hyperlink>
      <w:r>
        <w:t>.</w:t>
      </w:r>
    </w:p>
    <w:p w:rsidR="00505632" w:rsidRDefault="00505632" w:rsidP="00505632"/>
    <w:p w:rsidR="00505632" w:rsidRDefault="00505632" w:rsidP="00505632">
      <w:pPr>
        <w:pStyle w:val="Heading4"/>
      </w:pPr>
      <w:r>
        <w:t>A577009 PREVENCIJA OVISNOSTI U ŠKOLAMA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A577009-PREVENCIJA OVISNOSTI U ŠKOLAMA</w:t>
            </w:r>
          </w:p>
        </w:tc>
        <w:tc>
          <w:tcPr>
            <w:tcW w:w="2041" w:type="dxa"/>
          </w:tcPr>
          <w:p w:rsidR="00505632" w:rsidRDefault="00505632" w:rsidP="00AD4E52">
            <w:pPr>
              <w:pStyle w:val="CellColumn"/>
              <w:jc w:val="right"/>
            </w:pPr>
            <w:r>
              <w:rPr>
                <w:rFonts w:cs="Times New Roman"/>
              </w:rPr>
              <w:t>419.515</w:t>
            </w:r>
          </w:p>
        </w:tc>
        <w:tc>
          <w:tcPr>
            <w:tcW w:w="2041" w:type="dxa"/>
          </w:tcPr>
          <w:p w:rsidR="00505632" w:rsidRDefault="00505632" w:rsidP="00AD4E52">
            <w:pPr>
              <w:pStyle w:val="CellColumn"/>
              <w:jc w:val="right"/>
            </w:pPr>
            <w:r>
              <w:rPr>
                <w:rFonts w:cs="Times New Roman"/>
              </w:rPr>
              <w:t>475.005</w:t>
            </w:r>
          </w:p>
        </w:tc>
        <w:tc>
          <w:tcPr>
            <w:tcW w:w="2041" w:type="dxa"/>
          </w:tcPr>
          <w:p w:rsidR="00505632" w:rsidRDefault="00505632" w:rsidP="00AD4E52">
            <w:pPr>
              <w:pStyle w:val="CellColumn"/>
              <w:jc w:val="right"/>
            </w:pPr>
            <w:r>
              <w:rPr>
                <w:rFonts w:cs="Times New Roman"/>
              </w:rPr>
              <w:t>474.943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113,2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w:t>
      </w:r>
    </w:p>
    <w:p w:rsidR="00505632" w:rsidRDefault="00505632" w:rsidP="00505632">
      <w:r>
        <w:t xml:space="preserve">Nacionalna strategija suzbijanja zlouporabe droga i Akcijski plan suzbijanja zlouporabe droga za 2016. godinu </w:t>
      </w:r>
    </w:p>
    <w:p w:rsidR="00505632" w:rsidRDefault="00505632" w:rsidP="00505632">
      <w:r>
        <w:t xml:space="preserve">Projekt resocijalizacije ovisnika o drogama koji su završili neki od programa odvikavanja od ovisnosti i rehabilitacije u terapijskoj zajednici ili zatvorskom sustavu, te ovisnika koji su u izvanbolničkom tretmanu i duže vrijeme stabilno održavaju apstinenciju i pridržavaju se propisanog načina liječenja, 2007. </w:t>
      </w:r>
    </w:p>
    <w:p w:rsidR="00505632" w:rsidRDefault="00505632" w:rsidP="00505632">
      <w:r>
        <w:t xml:space="preserve">Protokol suradnje i postupanja mjerodavnih državnih tijela, ustanova i organizacija civilnog društva u provedbe projekta resocijalizacije ovisnika o drogama (2007.) </w:t>
      </w:r>
    </w:p>
    <w:p w:rsidR="00505632" w:rsidRDefault="00505632" w:rsidP="00505632">
      <w:r>
        <w:t>Nacionalni program prevencije ovisnosti za djecu i mlade u odgojno-obrazovnom sustavu te djecu i mlade u sustavu socijalne skrbi (2015. - 2017.)</w:t>
      </w:r>
    </w:p>
    <w:p w:rsidR="00505632" w:rsidRDefault="00505632" w:rsidP="00505632">
      <w:pPr>
        <w:pStyle w:val="Heading8"/>
        <w:jc w:val="left"/>
      </w:pPr>
      <w:r>
        <w:t>Opis aktivnosti</w:t>
      </w:r>
    </w:p>
    <w:p w:rsidR="00505632" w:rsidRDefault="00505632" w:rsidP="00505632">
      <w:r>
        <w:t>Raspodjela financijskih sredstava za troškove školovanja korisnika Projekta resocijalizacije ovisnika.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21"/>
        <w:gridCol w:w="2437"/>
        <w:gridCol w:w="1314"/>
        <w:gridCol w:w="1010"/>
        <w:gridCol w:w="1003"/>
        <w:gridCol w:w="1010"/>
        <w:gridCol w:w="1011"/>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korisnika preventivnih programa ovisnosti</w:t>
            </w:r>
          </w:p>
        </w:tc>
        <w:tc>
          <w:tcPr>
            <w:tcW w:w="2551" w:type="dxa"/>
          </w:tcPr>
          <w:p w:rsidR="00505632" w:rsidRDefault="00505632" w:rsidP="00AD4E52">
            <w:pPr>
              <w:pStyle w:val="CellColumn"/>
              <w:jc w:val="left"/>
            </w:pPr>
            <w:r>
              <w:rPr>
                <w:rFonts w:cs="Times New Roman"/>
              </w:rPr>
              <w:t>Osigurati provođenje Programa resocijalizacije djece i mladih</w:t>
            </w:r>
          </w:p>
        </w:tc>
        <w:tc>
          <w:tcPr>
            <w:tcW w:w="1020" w:type="dxa"/>
          </w:tcPr>
          <w:p w:rsidR="00505632" w:rsidRDefault="00505632" w:rsidP="00AD4E52">
            <w:pPr>
              <w:pStyle w:val="CellColumn"/>
              <w:jc w:val="right"/>
            </w:pPr>
            <w:r>
              <w:rPr>
                <w:rFonts w:cs="Times New Roman"/>
              </w:rPr>
              <w:t>Broj ovisnika uključenih u Projekt resocijalizacije</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106</w:t>
            </w:r>
          </w:p>
        </w:tc>
      </w:tr>
    </w:tbl>
    <w:p w:rsidR="00505632" w:rsidRDefault="00505632" w:rsidP="00505632">
      <w:pPr>
        <w:jc w:val="left"/>
      </w:pPr>
    </w:p>
    <w:p w:rsidR="00505632" w:rsidRDefault="00505632" w:rsidP="00505632">
      <w:pPr>
        <w:pStyle w:val="Heading4"/>
      </w:pPr>
      <w:r>
        <w:t>A577015 DRŽAVNE NAGRADE ZA IZUZETNE REZULTATE U OBRAZOVANJU I TEHNIČKOJ KULTURI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A577015-DRŽAVNE NAGRADE ZA IZUZETNE REZULTATE U OBRAZOVANJU I TEHNIČKOJ KULTURI</w:t>
            </w:r>
          </w:p>
        </w:tc>
        <w:tc>
          <w:tcPr>
            <w:tcW w:w="2041" w:type="dxa"/>
          </w:tcPr>
          <w:p w:rsidR="00505632" w:rsidRDefault="00505632" w:rsidP="00AD4E52">
            <w:pPr>
              <w:pStyle w:val="CellColumn"/>
              <w:jc w:val="right"/>
            </w:pPr>
            <w:r>
              <w:rPr>
                <w:rFonts w:cs="Times New Roman"/>
              </w:rPr>
              <w:t>929.861</w:t>
            </w:r>
          </w:p>
        </w:tc>
        <w:tc>
          <w:tcPr>
            <w:tcW w:w="2041" w:type="dxa"/>
          </w:tcPr>
          <w:p w:rsidR="00505632" w:rsidRDefault="00505632" w:rsidP="00AD4E52">
            <w:pPr>
              <w:pStyle w:val="CellColumn"/>
              <w:jc w:val="right"/>
            </w:pPr>
            <w:r>
              <w:rPr>
                <w:rFonts w:cs="Times New Roman"/>
              </w:rPr>
              <w:t>479.861</w:t>
            </w:r>
          </w:p>
        </w:tc>
        <w:tc>
          <w:tcPr>
            <w:tcW w:w="2041" w:type="dxa"/>
          </w:tcPr>
          <w:p w:rsidR="00505632" w:rsidRDefault="00505632" w:rsidP="00AD4E52">
            <w:pPr>
              <w:pStyle w:val="CellColumn"/>
              <w:jc w:val="right"/>
            </w:pPr>
            <w:r>
              <w:rPr>
                <w:rFonts w:cs="Times New Roman"/>
              </w:rPr>
              <w:t>433.945</w:t>
            </w:r>
          </w:p>
        </w:tc>
        <w:tc>
          <w:tcPr>
            <w:tcW w:w="1224" w:type="dxa"/>
          </w:tcPr>
          <w:p w:rsidR="00505632" w:rsidRDefault="00505632" w:rsidP="00AD4E52">
            <w:pPr>
              <w:pStyle w:val="CellColumn"/>
              <w:jc w:val="right"/>
            </w:pPr>
            <w:r>
              <w:rPr>
                <w:rFonts w:cs="Times New Roman"/>
              </w:rPr>
              <w:t>90,4</w:t>
            </w:r>
          </w:p>
        </w:tc>
        <w:tc>
          <w:tcPr>
            <w:tcW w:w="1224" w:type="dxa"/>
          </w:tcPr>
          <w:p w:rsidR="00505632" w:rsidRDefault="00505632" w:rsidP="00AD4E52">
            <w:pPr>
              <w:pStyle w:val="CellColumn"/>
              <w:jc w:val="right"/>
            </w:pPr>
            <w:r>
              <w:rPr>
                <w:rFonts w:cs="Times New Roman"/>
              </w:rPr>
              <w:t>46,7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„Nagradi Ivan Filipović“</w:t>
      </w:r>
    </w:p>
    <w:p w:rsidR="00505632" w:rsidRDefault="00505632" w:rsidP="00505632">
      <w:pPr>
        <w:pStyle w:val="Heading8"/>
        <w:jc w:val="left"/>
      </w:pPr>
      <w:r>
        <w:t>Opis aktivnosti</w:t>
      </w:r>
    </w:p>
    <w:p w:rsidR="00505632" w:rsidRDefault="00505632" w:rsidP="00505632">
      <w:r>
        <w:t>U 2016. dodijeljene su „Nagrade Ivan Filipović“ za značajna ostvarenja u odgojno-obrazovnoj djelatnosti za 2015. godinu - dodijeljene su dvije (2) nagrade za životno djelo i trinaest (13) godišnjih nagrada za 2015. godinu.</w:t>
      </w:r>
    </w:p>
    <w:p w:rsidR="00505632" w:rsidRDefault="00505632" w:rsidP="00505632">
      <w:pPr>
        <w:pStyle w:val="Heading4"/>
      </w:pPr>
      <w:r>
        <w:t>A577016 PREVENCIJA NASILJA U ŠKOLAMA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A577016-PREVENCIJA NASILJA U ŠKOLAMA</w:t>
            </w:r>
          </w:p>
        </w:tc>
        <w:tc>
          <w:tcPr>
            <w:tcW w:w="2041" w:type="dxa"/>
          </w:tcPr>
          <w:p w:rsidR="00505632" w:rsidRDefault="00505632" w:rsidP="00AD4E52">
            <w:pPr>
              <w:pStyle w:val="CellColumn"/>
              <w:jc w:val="right"/>
            </w:pPr>
            <w:r>
              <w:rPr>
                <w:rFonts w:cs="Times New Roman"/>
              </w:rPr>
              <w:t>440.643</w:t>
            </w:r>
          </w:p>
        </w:tc>
        <w:tc>
          <w:tcPr>
            <w:tcW w:w="2041" w:type="dxa"/>
          </w:tcPr>
          <w:p w:rsidR="00505632" w:rsidRDefault="00505632" w:rsidP="00AD4E52">
            <w:pPr>
              <w:pStyle w:val="CellColumn"/>
              <w:jc w:val="right"/>
            </w:pPr>
            <w:r>
              <w:rPr>
                <w:rFonts w:cs="Times New Roman"/>
              </w:rPr>
              <w:t>418.691</w:t>
            </w:r>
          </w:p>
        </w:tc>
        <w:tc>
          <w:tcPr>
            <w:tcW w:w="2041" w:type="dxa"/>
          </w:tcPr>
          <w:p w:rsidR="00505632" w:rsidRDefault="00505632" w:rsidP="00AD4E52">
            <w:pPr>
              <w:pStyle w:val="CellColumn"/>
              <w:jc w:val="right"/>
            </w:pPr>
            <w:r>
              <w:rPr>
                <w:rFonts w:cs="Times New Roman"/>
              </w:rPr>
              <w:t>369.727</w:t>
            </w:r>
          </w:p>
        </w:tc>
        <w:tc>
          <w:tcPr>
            <w:tcW w:w="1224" w:type="dxa"/>
          </w:tcPr>
          <w:p w:rsidR="00505632" w:rsidRDefault="00505632" w:rsidP="00AD4E52">
            <w:pPr>
              <w:pStyle w:val="CellColumn"/>
              <w:jc w:val="right"/>
            </w:pPr>
            <w:r>
              <w:rPr>
                <w:rFonts w:cs="Times New Roman"/>
              </w:rPr>
              <w:t>88,3</w:t>
            </w:r>
          </w:p>
        </w:tc>
        <w:tc>
          <w:tcPr>
            <w:tcW w:w="1224" w:type="dxa"/>
          </w:tcPr>
          <w:p w:rsidR="00505632" w:rsidRDefault="00505632" w:rsidP="00AD4E52">
            <w:pPr>
              <w:pStyle w:val="CellColumn"/>
              <w:jc w:val="right"/>
            </w:pPr>
            <w:r>
              <w:rPr>
                <w:rFonts w:cs="Times New Roman"/>
              </w:rPr>
              <w:t>83,9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osnovnim i srednjim školama </w:t>
      </w:r>
    </w:p>
    <w:p w:rsidR="00505632" w:rsidRDefault="00505632" w:rsidP="00505632">
      <w:r>
        <w:t xml:space="preserve">Nacionalni program prevencije ovisnosti u odgojno-obrazovnom sustavu, te djecu i mlade u sustavu socijalne skrbi za razdoblje od 2010. do 2014. </w:t>
      </w:r>
    </w:p>
    <w:p w:rsidR="00505632" w:rsidRDefault="00505632" w:rsidP="00505632">
      <w:r>
        <w:t xml:space="preserve">Pravilnik o načinu postupanja odgojno-obrazovnih radnika školskih ustanova u poduzimanju mjera zaštite prava učenika te prijave svakog kršenja tih prava nadležnim tijelima (2013.) </w:t>
      </w:r>
    </w:p>
    <w:p w:rsidR="00505632" w:rsidRDefault="00505632" w:rsidP="00505632">
      <w:r>
        <w:t xml:space="preserve">Protokol o postupanju u slučaju nasilja među djecom i mladima (2004.) </w:t>
      </w:r>
    </w:p>
    <w:p w:rsidR="00505632" w:rsidRDefault="00505632" w:rsidP="00505632">
      <w:r>
        <w:t xml:space="preserve">Protokol o postupanju u slučaju obiteljskog nasilja (2008.) </w:t>
      </w:r>
    </w:p>
    <w:p w:rsidR="00505632" w:rsidRDefault="00505632" w:rsidP="00505632">
      <w:r>
        <w:t xml:space="preserve">Protokol o pokretanju psihološko kriznih intervencija u sustavu odgoja i obrazovanja (2014.) </w:t>
      </w:r>
    </w:p>
    <w:p w:rsidR="00505632" w:rsidRDefault="00505632" w:rsidP="00505632">
      <w:r>
        <w:t>Odluka i imenovanju regionalnih voditelja i članova Tima za psihološke krizne intervencije u sustavu odgoja i obrazovanja (2008. i 2014.)</w:t>
      </w:r>
    </w:p>
    <w:p w:rsidR="00505632" w:rsidRDefault="00505632" w:rsidP="00505632">
      <w:pPr>
        <w:pStyle w:val="Heading8"/>
        <w:jc w:val="left"/>
      </w:pPr>
      <w:r>
        <w:t>Opis aktivnosti</w:t>
      </w:r>
    </w:p>
    <w:p w:rsidR="00505632" w:rsidRDefault="00505632" w:rsidP="00505632">
      <w:r>
        <w:t>Sufinanciranje programa prevencije nasilja i refundiranje troškova rada timova za krizne intervencije.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09"/>
        <w:gridCol w:w="2509"/>
        <w:gridCol w:w="1125"/>
        <w:gridCol w:w="1016"/>
        <w:gridCol w:w="1014"/>
        <w:gridCol w:w="1016"/>
        <w:gridCol w:w="1017"/>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 broj sufinanciranih preventivnih programa</w:t>
            </w:r>
          </w:p>
        </w:tc>
        <w:tc>
          <w:tcPr>
            <w:tcW w:w="2551" w:type="dxa"/>
          </w:tcPr>
          <w:p w:rsidR="00505632" w:rsidRDefault="00505632" w:rsidP="00AD4E52">
            <w:pPr>
              <w:pStyle w:val="CellColumn"/>
              <w:jc w:val="left"/>
            </w:pPr>
            <w:r>
              <w:rPr>
                <w:rFonts w:cs="Times New Roman"/>
              </w:rPr>
              <w:t>Sufinanciranje preventivnih programa u OŠ i SŠ</w:t>
            </w:r>
          </w:p>
        </w:tc>
        <w:tc>
          <w:tcPr>
            <w:tcW w:w="1020" w:type="dxa"/>
          </w:tcPr>
          <w:p w:rsidR="00505632" w:rsidRDefault="00505632" w:rsidP="00AD4E52">
            <w:pPr>
              <w:pStyle w:val="CellColumn"/>
              <w:jc w:val="right"/>
            </w:pPr>
            <w:r>
              <w:rPr>
                <w:rFonts w:cs="Times New Roman"/>
              </w:rPr>
              <w:t>Broj preventivnih programa</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8</w:t>
            </w:r>
          </w:p>
        </w:tc>
      </w:tr>
      <w:tr w:rsidR="00505632" w:rsidTr="00AD4E52">
        <w:trPr>
          <w:jc w:val="center"/>
        </w:trPr>
        <w:tc>
          <w:tcPr>
            <w:tcW w:w="2551" w:type="dxa"/>
          </w:tcPr>
          <w:p w:rsidR="00505632" w:rsidRDefault="00505632" w:rsidP="00AD4E52">
            <w:pPr>
              <w:pStyle w:val="CellColumn"/>
              <w:jc w:val="left"/>
            </w:pPr>
            <w:r>
              <w:rPr>
                <w:rFonts w:cs="Times New Roman"/>
              </w:rPr>
              <w:t>Rad Timova za krizne intervencije</w:t>
            </w:r>
          </w:p>
        </w:tc>
        <w:tc>
          <w:tcPr>
            <w:tcW w:w="2551" w:type="dxa"/>
          </w:tcPr>
          <w:p w:rsidR="00505632" w:rsidRDefault="00505632" w:rsidP="00AD4E52">
            <w:pPr>
              <w:pStyle w:val="CellColumn"/>
              <w:jc w:val="left"/>
            </w:pPr>
            <w:r>
              <w:rPr>
                <w:rFonts w:cs="Times New Roman"/>
              </w:rPr>
              <w:t>Sufinanciranje rada Timova za krizne intervencije</w:t>
            </w:r>
          </w:p>
        </w:tc>
        <w:tc>
          <w:tcPr>
            <w:tcW w:w="1020" w:type="dxa"/>
          </w:tcPr>
          <w:p w:rsidR="00505632" w:rsidRDefault="00505632" w:rsidP="00AD4E52">
            <w:pPr>
              <w:pStyle w:val="CellColumn"/>
              <w:jc w:val="right"/>
            </w:pPr>
            <w:r>
              <w:rPr>
                <w:rFonts w:cs="Times New Roman"/>
              </w:rPr>
              <w:t>Broj kriznih intervencija</w:t>
            </w:r>
          </w:p>
        </w:tc>
        <w:tc>
          <w:tcPr>
            <w:tcW w:w="1020" w:type="dxa"/>
          </w:tcPr>
          <w:p w:rsidR="00505632" w:rsidRDefault="00505632" w:rsidP="00AD4E52">
            <w:pPr>
              <w:pStyle w:val="CellColumn"/>
              <w:jc w:val="right"/>
            </w:pPr>
            <w:r>
              <w:rPr>
                <w:rFonts w:cs="Times New Roman"/>
              </w:rPr>
              <w:t>13</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23</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A577028 POTICAJI HRVATSKOJ ZAJEDNICI TEHNIČKE KULTURE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A577028-POTICAJI HRVATSKOJ ZAJEDNICI TEHNIČKE KULTURE</w:t>
            </w:r>
          </w:p>
        </w:tc>
        <w:tc>
          <w:tcPr>
            <w:tcW w:w="2041" w:type="dxa"/>
          </w:tcPr>
          <w:p w:rsidR="00505632" w:rsidRDefault="00505632" w:rsidP="00AD4E52">
            <w:pPr>
              <w:pStyle w:val="CellColumn"/>
              <w:jc w:val="right"/>
            </w:pPr>
            <w:r>
              <w:rPr>
                <w:rFonts w:cs="Times New Roman"/>
              </w:rPr>
              <w:t>16.000.000</w:t>
            </w:r>
          </w:p>
        </w:tc>
        <w:tc>
          <w:tcPr>
            <w:tcW w:w="2041" w:type="dxa"/>
          </w:tcPr>
          <w:p w:rsidR="00505632" w:rsidRDefault="00505632" w:rsidP="00AD4E52">
            <w:pPr>
              <w:pStyle w:val="CellColumn"/>
              <w:jc w:val="right"/>
            </w:pPr>
            <w:r>
              <w:rPr>
                <w:rFonts w:cs="Times New Roman"/>
              </w:rPr>
              <w:t>15.822.922</w:t>
            </w:r>
          </w:p>
        </w:tc>
        <w:tc>
          <w:tcPr>
            <w:tcW w:w="2041" w:type="dxa"/>
          </w:tcPr>
          <w:p w:rsidR="00505632" w:rsidRDefault="00505632" w:rsidP="00AD4E52">
            <w:pPr>
              <w:pStyle w:val="CellColumn"/>
              <w:jc w:val="right"/>
            </w:pPr>
            <w:r>
              <w:rPr>
                <w:rFonts w:cs="Times New Roman"/>
              </w:rPr>
              <w:t>16.099.675</w:t>
            </w:r>
          </w:p>
        </w:tc>
        <w:tc>
          <w:tcPr>
            <w:tcW w:w="1224" w:type="dxa"/>
          </w:tcPr>
          <w:p w:rsidR="00505632" w:rsidRDefault="00505632" w:rsidP="00AD4E52">
            <w:pPr>
              <w:pStyle w:val="CellColumn"/>
              <w:jc w:val="right"/>
            </w:pPr>
            <w:r>
              <w:rPr>
                <w:rFonts w:cs="Times New Roman"/>
              </w:rPr>
              <w:t>101,7</w:t>
            </w:r>
          </w:p>
        </w:tc>
        <w:tc>
          <w:tcPr>
            <w:tcW w:w="1224" w:type="dxa"/>
          </w:tcPr>
          <w:p w:rsidR="00505632" w:rsidRDefault="00505632" w:rsidP="00AD4E52">
            <w:pPr>
              <w:pStyle w:val="CellColumn"/>
              <w:jc w:val="right"/>
            </w:pPr>
            <w:r>
              <w:rPr>
                <w:rFonts w:cs="Times New Roman"/>
              </w:rPr>
              <w:t>100,6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tehničkoj kulturi </w:t>
      </w:r>
    </w:p>
    <w:p w:rsidR="00505632" w:rsidRDefault="00505632" w:rsidP="00505632">
      <w:r>
        <w:t xml:space="preserve">Zakon o udrugama </w:t>
      </w:r>
    </w:p>
    <w:p w:rsidR="00505632" w:rsidRDefault="00505632" w:rsidP="00505632">
      <w:r>
        <w:t xml:space="preserve">Pravilnik o uvjetima za obavljanje djelatnosti tehničke kulture </w:t>
      </w:r>
    </w:p>
    <w:p w:rsidR="00505632" w:rsidRDefault="00505632" w:rsidP="00505632">
      <w:r>
        <w:t xml:space="preserve">Pravilnik o kriterijima i rokovima za utvrđivanje programa i osiguranje sredstava za financiranje javnih potreba u Republici Hrvatskoj u tehničkoj kulturi </w:t>
      </w:r>
    </w:p>
    <w:p w:rsidR="00505632" w:rsidRDefault="00505632" w:rsidP="00505632">
      <w:r>
        <w:t>Uredba o kriterijima za odabir korisnika i načinu raspodjele sredstava iz dijela prihoda od igara na sreću</w:t>
      </w:r>
    </w:p>
    <w:p w:rsidR="00505632" w:rsidRDefault="00505632" w:rsidP="00505632">
      <w:pPr>
        <w:pStyle w:val="Heading8"/>
        <w:jc w:val="left"/>
      </w:pPr>
      <w:r>
        <w:t>Opis aktivnosti</w:t>
      </w:r>
    </w:p>
    <w:p w:rsidR="00505632" w:rsidRDefault="00505632" w:rsidP="00505632">
      <w:r>
        <w:t xml:space="preserve">Financijskim potporama Hrvatskoj zajednici tehničke kulture pomaže se djelovanje te krovne organizacije koja okuplja 16 nacionalnih saveza tehničke kulture. Osim osnovnih djelatnosti, financiraju se programi vezani za izvannastavnu/izvanškolsku edukaciju djece i mladih u raznim područjima, od modelarstva, robotike, informatike, do radio amaterstva, tehničke kulture, učeničkog zadrugarstva. Cilj provedbe ovog programa je financiranje djelatnosti Hrvatske zajednice tehničke kulture i njenih 16 saveza. Osim toga, djeci i mladima se omogućava da u izvannastavnim i izvanškolskim aktivnostima steknu dodatna znanja i vještine u području tehnike, tehnologije i informatike. Provedbom programa i projekata omogućava im se da se pripreme za svijet informacijskih i tehnologijskih znanja, da ostvare svoje interese i potrebe te pokažu inovativnost i darovitost.  </w:t>
      </w:r>
    </w:p>
    <w:p w:rsidR="00505632" w:rsidRDefault="00505632" w:rsidP="00505632">
      <w:r>
        <w:t>Ministarstvo putem ugovora o izravnoj dodjeli financijskih sredstava za financiranje javnih potreba Republike Hrvatske u tehničkoj kulturi transferira sredstva  Hrvatskoj zajednica tehničke kulture u iznosu koji je određen postotkom iz Uredbe o kriterijima za odabir korisnika i načinu raspodjele sredstava iz dijela prihoda od igara na sreću. Od programa javnih potreba Republike Hrvatske u tehničkoj kulturi koje provode Hrvatska zajednica tehničke kulture i nacionalni savezi tehničke kulture očekuje se da pokrivaju širok spektar djelatnosti tehničke kulture (elektrotehnika i elektronika, robotika i automatika, graditeljstvo, modelarstvo i maketarstvo, informatika, strojarstvo, komunikacijska tehnika (CB i radioamaterizam), inovatorstvo, neprofesionalna fotografija, podvodna fotografija i orijentacija, neprofesionalni film i video te astronautika, učeničko zadrugarstvo i dr.) te da predstavljaju tehnička postignuća i stvaralaštvo Hrvatske na međunarodnoj razini.</w:t>
      </w:r>
    </w:p>
    <w:p w:rsidR="00505632" w:rsidRDefault="00505632" w:rsidP="00505632">
      <w:pPr>
        <w:pStyle w:val="Heading4"/>
      </w:pPr>
      <w:r>
        <w:t>A577124 HRVATSKA NASTAVA U INOZEMSTVU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A577124-HRVATSKA NASTAVA U INOZEMSTVU</w:t>
            </w:r>
          </w:p>
        </w:tc>
        <w:tc>
          <w:tcPr>
            <w:tcW w:w="2041" w:type="dxa"/>
          </w:tcPr>
          <w:p w:rsidR="00505632" w:rsidRDefault="00505632" w:rsidP="00AD4E52">
            <w:pPr>
              <w:pStyle w:val="CellColumn"/>
              <w:jc w:val="right"/>
            </w:pPr>
            <w:r>
              <w:rPr>
                <w:rFonts w:cs="Times New Roman"/>
              </w:rPr>
              <w:t>278.840</w:t>
            </w:r>
          </w:p>
        </w:tc>
        <w:tc>
          <w:tcPr>
            <w:tcW w:w="2041" w:type="dxa"/>
          </w:tcPr>
          <w:p w:rsidR="00505632" w:rsidRDefault="00505632" w:rsidP="00AD4E52">
            <w:pPr>
              <w:pStyle w:val="CellColumn"/>
              <w:jc w:val="right"/>
            </w:pPr>
            <w:r>
              <w:rPr>
                <w:rFonts w:cs="Times New Roman"/>
              </w:rPr>
              <w:t>278.840</w:t>
            </w:r>
          </w:p>
        </w:tc>
        <w:tc>
          <w:tcPr>
            <w:tcW w:w="2041" w:type="dxa"/>
          </w:tcPr>
          <w:p w:rsidR="00505632" w:rsidRDefault="00505632" w:rsidP="00AD4E52">
            <w:pPr>
              <w:pStyle w:val="CellColumn"/>
              <w:jc w:val="right"/>
            </w:pPr>
            <w:r>
              <w:rPr>
                <w:rFonts w:cs="Times New Roman"/>
              </w:rPr>
              <w:t>178.053</w:t>
            </w:r>
          </w:p>
        </w:tc>
        <w:tc>
          <w:tcPr>
            <w:tcW w:w="1224" w:type="dxa"/>
          </w:tcPr>
          <w:p w:rsidR="00505632" w:rsidRDefault="00505632" w:rsidP="00AD4E52">
            <w:pPr>
              <w:pStyle w:val="CellColumn"/>
              <w:jc w:val="right"/>
            </w:pPr>
            <w:r>
              <w:rPr>
                <w:rFonts w:cs="Times New Roman"/>
              </w:rPr>
              <w:t>63,9</w:t>
            </w:r>
          </w:p>
        </w:tc>
        <w:tc>
          <w:tcPr>
            <w:tcW w:w="1224" w:type="dxa"/>
          </w:tcPr>
          <w:p w:rsidR="00505632" w:rsidRDefault="00505632" w:rsidP="00AD4E52">
            <w:pPr>
              <w:pStyle w:val="CellColumn"/>
              <w:jc w:val="right"/>
            </w:pPr>
            <w:r>
              <w:rPr>
                <w:rFonts w:cs="Times New Roman"/>
              </w:rPr>
              <w:t>63,9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osnovnim i srednjim školama </w:t>
      </w:r>
    </w:p>
    <w:p w:rsidR="00505632" w:rsidRDefault="00505632" w:rsidP="00505632">
      <w:r>
        <w:t xml:space="preserve">Kurikulum hrvatske nastave u inozemstvu </w:t>
      </w:r>
    </w:p>
    <w:p w:rsidR="00505632" w:rsidRDefault="00505632" w:rsidP="00505632">
      <w:r>
        <w:t>Pravilnik o uvjetima i postupku izbora učitelja za rad u hrvatskoj nastavi u inozemstvu</w:t>
      </w:r>
    </w:p>
    <w:p w:rsidR="00505632" w:rsidRDefault="00505632" w:rsidP="00505632">
      <w:pPr>
        <w:pStyle w:val="Heading8"/>
        <w:jc w:val="left"/>
      </w:pPr>
      <w:r>
        <w:t>Opis aktivnosti</w:t>
      </w:r>
    </w:p>
    <w:p w:rsidR="00505632" w:rsidRDefault="00505632" w:rsidP="00505632">
      <w:r>
        <w:t>Organiziranje i provođenje hrvatske nastave u inozemstvu – nastave hrvatskoga jezika i kulture za pripadnike hrvatske manjine i hrvatskoga iseljeništva u 20 država svijeta (djelomično ili potpuno). Posebni su ciljevi osiguravanje infrastrukture za uspješan i aktivan rad nastavnika hrvatske nastave, organiziranje pripremnih seminara za novoizabrane učitelje, stručnih seminara za učitelje u sustavu te suradnja s domaćim i nadležnim inozemnim institucijama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44"/>
        <w:gridCol w:w="2546"/>
        <w:gridCol w:w="1019"/>
        <w:gridCol w:w="1020"/>
        <w:gridCol w:w="1037"/>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Održati broj učenika koji pohađaju hrvatsku nastavu u inozemstvu.</w:t>
            </w:r>
          </w:p>
        </w:tc>
        <w:tc>
          <w:tcPr>
            <w:tcW w:w="2551" w:type="dxa"/>
          </w:tcPr>
          <w:p w:rsidR="00505632" w:rsidRDefault="00505632" w:rsidP="00AD4E52">
            <w:pPr>
              <w:pStyle w:val="CellColumn"/>
              <w:jc w:val="left"/>
            </w:pPr>
            <w:r>
              <w:rPr>
                <w:rFonts w:cs="Times New Roman"/>
              </w:rPr>
              <w:t>Osiguravanje sustava hrvatske nastave u inozemstvu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5.398</w:t>
            </w:r>
          </w:p>
        </w:tc>
        <w:tc>
          <w:tcPr>
            <w:tcW w:w="1020" w:type="dxa"/>
          </w:tcPr>
          <w:p w:rsidR="00505632" w:rsidRDefault="00505632" w:rsidP="00AD4E52">
            <w:pPr>
              <w:pStyle w:val="CellColumn"/>
              <w:jc w:val="right"/>
            </w:pPr>
            <w:r>
              <w:rPr>
                <w:rFonts w:cs="Times New Roman"/>
              </w:rPr>
              <w:t>Matica hrvatske nastave u inozemstvu</w:t>
            </w:r>
          </w:p>
        </w:tc>
        <w:tc>
          <w:tcPr>
            <w:tcW w:w="1020" w:type="dxa"/>
          </w:tcPr>
          <w:p w:rsidR="00505632" w:rsidRDefault="00505632" w:rsidP="00AD4E52">
            <w:pPr>
              <w:pStyle w:val="CellColumn"/>
              <w:jc w:val="right"/>
            </w:pPr>
            <w:r>
              <w:rPr>
                <w:rFonts w:cs="Times New Roman"/>
              </w:rPr>
              <w:t>5.500</w:t>
            </w:r>
          </w:p>
        </w:tc>
        <w:tc>
          <w:tcPr>
            <w:tcW w:w="1020" w:type="dxa"/>
          </w:tcPr>
          <w:p w:rsidR="00505632" w:rsidRDefault="00505632" w:rsidP="00AD4E52">
            <w:pPr>
              <w:pStyle w:val="CellColumn"/>
              <w:jc w:val="right"/>
            </w:pPr>
            <w:r>
              <w:rPr>
                <w:rFonts w:cs="Times New Roman"/>
              </w:rPr>
              <w:t>5.525</w:t>
            </w:r>
          </w:p>
        </w:tc>
      </w:tr>
    </w:tbl>
    <w:p w:rsidR="00505632" w:rsidRDefault="00505632" w:rsidP="00505632">
      <w:pPr>
        <w:jc w:val="left"/>
      </w:pPr>
    </w:p>
    <w:p w:rsidR="00505632" w:rsidRDefault="00505632" w:rsidP="00505632">
      <w:pPr>
        <w:pStyle w:val="Heading4"/>
      </w:pPr>
      <w:r>
        <w:t>A577130 POTICAJI UDRUGAMA ZA IZVANINSTITUCIONALNI ODGOJ I OBRAZOVANJE DJECE I MLADIH</w:t>
      </w:r>
    </w:p>
    <w:tbl>
      <w:tblPr>
        <w:tblStyle w:val="StilTablice"/>
        <w:tblW w:w="10206" w:type="dxa"/>
        <w:jc w:val="center"/>
        <w:tblLook w:val="04A0" w:firstRow="1" w:lastRow="0" w:firstColumn="1" w:lastColumn="0" w:noHBand="0" w:noVBand="1"/>
      </w:tblPr>
      <w:tblGrid>
        <w:gridCol w:w="2481"/>
        <w:gridCol w:w="1806"/>
        <w:gridCol w:w="1783"/>
        <w:gridCol w:w="1783"/>
        <w:gridCol w:w="1164"/>
        <w:gridCol w:w="118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A577130-POTICAJI UDRUGAMA ZA IZVANINSTITUCIONALNI ODGOJ I OBRAZOVANJE DJECE I MLADIH</w:t>
            </w:r>
          </w:p>
        </w:tc>
        <w:tc>
          <w:tcPr>
            <w:tcW w:w="2041" w:type="dxa"/>
          </w:tcPr>
          <w:p w:rsidR="00505632" w:rsidRDefault="00505632" w:rsidP="00AD4E52">
            <w:pPr>
              <w:pStyle w:val="CellColumn"/>
              <w:jc w:val="right"/>
            </w:pPr>
            <w:r>
              <w:rPr>
                <w:rFonts w:cs="Times New Roman"/>
              </w:rPr>
              <w:t>18.346.073</w:t>
            </w:r>
          </w:p>
        </w:tc>
        <w:tc>
          <w:tcPr>
            <w:tcW w:w="2041" w:type="dxa"/>
          </w:tcPr>
          <w:p w:rsidR="00505632" w:rsidRDefault="00505632" w:rsidP="00AD4E52">
            <w:pPr>
              <w:pStyle w:val="CellColumn"/>
              <w:jc w:val="right"/>
            </w:pPr>
            <w:r>
              <w:rPr>
                <w:rFonts w:cs="Times New Roman"/>
              </w:rPr>
              <w:t>8.325.777</w:t>
            </w:r>
          </w:p>
        </w:tc>
        <w:tc>
          <w:tcPr>
            <w:tcW w:w="2041" w:type="dxa"/>
          </w:tcPr>
          <w:p w:rsidR="00505632" w:rsidRDefault="00505632" w:rsidP="00AD4E52">
            <w:pPr>
              <w:pStyle w:val="CellColumn"/>
              <w:jc w:val="right"/>
            </w:pPr>
            <w:r>
              <w:rPr>
                <w:rFonts w:cs="Times New Roman"/>
              </w:rPr>
              <w:t>5.734.417</w:t>
            </w:r>
          </w:p>
        </w:tc>
        <w:tc>
          <w:tcPr>
            <w:tcW w:w="1224" w:type="dxa"/>
          </w:tcPr>
          <w:p w:rsidR="00505632" w:rsidRDefault="00505632" w:rsidP="00AD4E52">
            <w:pPr>
              <w:pStyle w:val="CellColumn"/>
              <w:jc w:val="right"/>
            </w:pPr>
            <w:r>
              <w:rPr>
                <w:rFonts w:cs="Times New Roman"/>
              </w:rPr>
              <w:t>68,9</w:t>
            </w:r>
          </w:p>
        </w:tc>
        <w:tc>
          <w:tcPr>
            <w:tcW w:w="1224" w:type="dxa"/>
          </w:tcPr>
          <w:p w:rsidR="00505632" w:rsidRDefault="00505632" w:rsidP="00AD4E52">
            <w:pPr>
              <w:pStyle w:val="CellColumn"/>
              <w:jc w:val="right"/>
            </w:pPr>
            <w:r>
              <w:rPr>
                <w:rFonts w:cs="Times New Roman"/>
              </w:rPr>
              <w:t>31,3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udrugama </w:t>
      </w:r>
    </w:p>
    <w:p w:rsidR="00505632" w:rsidRDefault="00505632" w:rsidP="00505632">
      <w:r>
        <w:t xml:space="preserve">Zakon o igrama na sreću </w:t>
      </w:r>
    </w:p>
    <w:p w:rsidR="00505632" w:rsidRDefault="00505632" w:rsidP="00505632">
      <w:r>
        <w:t xml:space="preserve">Uredba o kriterijima za utvrđivanje korisnika i načinu raspodjele dijela prihoda od igara na sreću </w:t>
      </w:r>
    </w:p>
    <w:p w:rsidR="00505632" w:rsidRDefault="00505632" w:rsidP="00505632">
      <w:r>
        <w:t xml:space="preserve">Uredba o kriterijima, mjerilima i postupcima financiranja i ugovaranja programa i projekata od interesa za opće dobro koje provode udruge </w:t>
      </w:r>
    </w:p>
    <w:p w:rsidR="00505632" w:rsidRDefault="00505632" w:rsidP="00505632">
      <w:r>
        <w:t>Odluka o financijskome planu raspodjele sredstava namijenjenih financiranju projekata udruga koje djeluju u području izvaninstitucionalnoga odgoja i obrazovanja djece i mladih</w:t>
      </w:r>
    </w:p>
    <w:p w:rsidR="00505632" w:rsidRDefault="00505632" w:rsidP="00505632">
      <w:pPr>
        <w:pStyle w:val="Heading8"/>
        <w:jc w:val="left"/>
      </w:pPr>
      <w:r>
        <w:t>Opis aktivnosti</w:t>
      </w:r>
    </w:p>
    <w:p w:rsidR="00505632" w:rsidRDefault="00505632" w:rsidP="00505632">
      <w:r>
        <w:t>Provedbom projekata namijenjenih djeci i mladima, u suradnji s udrugama koje djeluju u području izvaninstitucionalnoga odgoja i obrazovanja djece i mladih putem Natječaja za dodjelu bespovratnih sredstava projektima udruga u području izvaninstitucionalnog odgoja i obrazovanja djece i mladih, Ministarstvo potiče provedbu niza mjera nacionalnih strategija, programa i planova koje su u nadležnosti Ministarstva, kao i udruživanje udruga, suradnju s jedinicama lokalne i područne (regionalne) samouprave, suradnju s odgojno-obrazovnim ustanovama i stručnim institucijama s ciljem osiguravanja kvalitetnog, dostupnog, vrijednosno usmjerenog, održivog i primjenjivog obrazovanja djece i mladih, kako u sklopu redovitoga obrazovnog sustava, tako i u sklopu izvanškolskih i izvannastavnih aktivnosti.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projekata udruga u okviru izvaninstitucionalnoga odgoja i obrazovanja kojima su obuhvaćena djeca i učenici s posebnim odgojno-obrazovnim potrebama, a kojima su putem natječaja MZO-a dodijeljena bespovratna sredstva za provedbu</w:t>
            </w:r>
          </w:p>
        </w:tc>
        <w:tc>
          <w:tcPr>
            <w:tcW w:w="2551" w:type="dxa"/>
          </w:tcPr>
          <w:p w:rsidR="00505632" w:rsidRDefault="00505632" w:rsidP="00AD4E52">
            <w:pPr>
              <w:pStyle w:val="CellColumn"/>
              <w:jc w:val="left"/>
            </w:pPr>
            <w:r>
              <w:rPr>
                <w:rFonts w:cs="Times New Roman"/>
              </w:rPr>
              <w:t>Osiguravanje provedbe projekata organizacija civilnog društva u području izvaninstitucionalnoga odgoja i obrazovanja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125</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130</w:t>
            </w:r>
          </w:p>
        </w:tc>
        <w:tc>
          <w:tcPr>
            <w:tcW w:w="1020" w:type="dxa"/>
          </w:tcPr>
          <w:p w:rsidR="00505632" w:rsidRDefault="00505632" w:rsidP="00AD4E52">
            <w:pPr>
              <w:pStyle w:val="CellColumn"/>
              <w:jc w:val="right"/>
            </w:pPr>
            <w:r>
              <w:rPr>
                <w:rFonts w:cs="Times New Roman"/>
              </w:rPr>
              <w:t>144</w:t>
            </w:r>
          </w:p>
        </w:tc>
      </w:tr>
    </w:tbl>
    <w:p w:rsidR="00505632" w:rsidRDefault="00505632" w:rsidP="00505632">
      <w:pPr>
        <w:jc w:val="left"/>
      </w:pPr>
    </w:p>
    <w:p w:rsidR="00505632" w:rsidRDefault="00505632" w:rsidP="00505632">
      <w:pPr>
        <w:pStyle w:val="Heading4"/>
      </w:pPr>
      <w:r>
        <w:t>A577131 POTICAJI OBRAZOVANJA NACIONALNIH MANJINA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A577131-POTICAJI OBRAZOVANJA NACIONALNIH MANJINA</w:t>
            </w:r>
          </w:p>
        </w:tc>
        <w:tc>
          <w:tcPr>
            <w:tcW w:w="2041" w:type="dxa"/>
          </w:tcPr>
          <w:p w:rsidR="00505632" w:rsidRDefault="00505632" w:rsidP="00AD4E52">
            <w:pPr>
              <w:pStyle w:val="CellColumn"/>
              <w:jc w:val="right"/>
            </w:pPr>
            <w:r>
              <w:rPr>
                <w:rFonts w:cs="Times New Roman"/>
              </w:rPr>
              <w:t>1.191.713</w:t>
            </w:r>
          </w:p>
        </w:tc>
        <w:tc>
          <w:tcPr>
            <w:tcW w:w="2041" w:type="dxa"/>
          </w:tcPr>
          <w:p w:rsidR="00505632" w:rsidRDefault="00505632" w:rsidP="00AD4E52">
            <w:pPr>
              <w:pStyle w:val="CellColumn"/>
              <w:jc w:val="right"/>
            </w:pPr>
            <w:r>
              <w:rPr>
                <w:rFonts w:cs="Times New Roman"/>
              </w:rPr>
              <w:t>1.301.147</w:t>
            </w:r>
          </w:p>
        </w:tc>
        <w:tc>
          <w:tcPr>
            <w:tcW w:w="2041" w:type="dxa"/>
          </w:tcPr>
          <w:p w:rsidR="00505632" w:rsidRDefault="00505632" w:rsidP="00AD4E52">
            <w:pPr>
              <w:pStyle w:val="CellColumn"/>
              <w:jc w:val="right"/>
            </w:pPr>
            <w:r>
              <w:rPr>
                <w:rFonts w:cs="Times New Roman"/>
              </w:rPr>
              <w:t>1.274.478</w:t>
            </w:r>
          </w:p>
        </w:tc>
        <w:tc>
          <w:tcPr>
            <w:tcW w:w="1224" w:type="dxa"/>
          </w:tcPr>
          <w:p w:rsidR="00505632" w:rsidRDefault="00505632" w:rsidP="00AD4E52">
            <w:pPr>
              <w:pStyle w:val="CellColumn"/>
              <w:jc w:val="right"/>
            </w:pPr>
            <w:r>
              <w:rPr>
                <w:rFonts w:cs="Times New Roman"/>
              </w:rPr>
              <w:t>98,0</w:t>
            </w:r>
          </w:p>
        </w:tc>
        <w:tc>
          <w:tcPr>
            <w:tcW w:w="1224" w:type="dxa"/>
          </w:tcPr>
          <w:p w:rsidR="00505632" w:rsidRDefault="00505632" w:rsidP="00AD4E52">
            <w:pPr>
              <w:pStyle w:val="CellColumn"/>
              <w:jc w:val="right"/>
            </w:pPr>
            <w:r>
              <w:rPr>
                <w:rFonts w:cs="Times New Roman"/>
              </w:rPr>
              <w:t>106,9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na jeziku i pismu nacionalnih manjina </w:t>
      </w:r>
    </w:p>
    <w:p w:rsidR="00505632" w:rsidRDefault="00505632" w:rsidP="00505632">
      <w:r>
        <w:t>Zakon o udžbenicima</w:t>
      </w:r>
    </w:p>
    <w:p w:rsidR="00505632" w:rsidRDefault="00505632" w:rsidP="00505632">
      <w:pPr>
        <w:pStyle w:val="Heading8"/>
        <w:jc w:val="left"/>
      </w:pPr>
      <w:r>
        <w:t>Opis aktivnosti</w:t>
      </w:r>
    </w:p>
    <w:p w:rsidR="00505632" w:rsidRDefault="00505632" w:rsidP="00505632">
      <w:r>
        <w:t>U 2016. godini za troškove sufinanciranja udžbenika učenicima osnovnih i srednjih škola, koji se školuju na jeziku i pismu nacionalnih manjina ukupno je isplaćeno: 1.274.478,06 kn (za učenike koji se školuju na srpskom jeziku i ćiriličnom pismu osigurano je 665.532,06 kn; za učenike koji se školuju na talijanskom jeziku osigurano je 608.946,00 kn).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financijskih potpora osiguran za odgoj i obrazovanje učenika koji se školuju na jeziku i pismu nacionalnih manjina</w:t>
            </w:r>
          </w:p>
        </w:tc>
        <w:tc>
          <w:tcPr>
            <w:tcW w:w="2551" w:type="dxa"/>
          </w:tcPr>
          <w:p w:rsidR="00505632" w:rsidRDefault="00505632" w:rsidP="00AD4E52">
            <w:pPr>
              <w:pStyle w:val="CellColumn"/>
              <w:jc w:val="left"/>
            </w:pPr>
            <w:r>
              <w:rPr>
                <w:rFonts w:cs="Times New Roman"/>
              </w:rPr>
              <w:t>Osigurati  financijsku potporu odgoju i obrazovanju učenika koji se školuju na jeziku i pismu nacionalnih manjina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3</w:t>
            </w:r>
          </w:p>
        </w:tc>
      </w:tr>
    </w:tbl>
    <w:p w:rsidR="00505632" w:rsidRDefault="00505632" w:rsidP="00505632">
      <w:pPr>
        <w:jc w:val="left"/>
      </w:pPr>
    </w:p>
    <w:p w:rsidR="00505632" w:rsidRDefault="00505632" w:rsidP="00505632">
      <w:pPr>
        <w:pStyle w:val="Heading4"/>
      </w:pPr>
      <w:r>
        <w:t>A577132 POTICANJE MEĐUNARODNE OBRAZOVNE SURADNJE ŠKOLA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A577132-POTICANJE MEĐUNARODNE OBRAZOVNE SURADNJE ŠKOLA</w:t>
            </w:r>
          </w:p>
        </w:tc>
        <w:tc>
          <w:tcPr>
            <w:tcW w:w="2041" w:type="dxa"/>
          </w:tcPr>
          <w:p w:rsidR="00505632" w:rsidRDefault="00505632" w:rsidP="00AD4E52">
            <w:pPr>
              <w:pStyle w:val="CellColumn"/>
              <w:jc w:val="right"/>
            </w:pPr>
            <w:r>
              <w:rPr>
                <w:rFonts w:cs="Times New Roman"/>
              </w:rPr>
              <w:t>1.472.602</w:t>
            </w:r>
          </w:p>
        </w:tc>
        <w:tc>
          <w:tcPr>
            <w:tcW w:w="2041" w:type="dxa"/>
          </w:tcPr>
          <w:p w:rsidR="00505632" w:rsidRDefault="00505632" w:rsidP="00AD4E52">
            <w:pPr>
              <w:pStyle w:val="CellColumn"/>
              <w:jc w:val="right"/>
            </w:pPr>
            <w:r>
              <w:rPr>
                <w:rFonts w:cs="Times New Roman"/>
              </w:rPr>
              <w:t>1.472.602</w:t>
            </w:r>
          </w:p>
        </w:tc>
        <w:tc>
          <w:tcPr>
            <w:tcW w:w="2041" w:type="dxa"/>
          </w:tcPr>
          <w:p w:rsidR="00505632" w:rsidRDefault="00505632" w:rsidP="00AD4E52">
            <w:pPr>
              <w:pStyle w:val="CellColumn"/>
              <w:jc w:val="right"/>
            </w:pPr>
            <w:r>
              <w:rPr>
                <w:rFonts w:cs="Times New Roman"/>
              </w:rPr>
              <w:t>1.389.948</w:t>
            </w:r>
          </w:p>
        </w:tc>
        <w:tc>
          <w:tcPr>
            <w:tcW w:w="1224" w:type="dxa"/>
          </w:tcPr>
          <w:p w:rsidR="00505632" w:rsidRDefault="00505632" w:rsidP="00AD4E52">
            <w:pPr>
              <w:pStyle w:val="CellColumn"/>
              <w:jc w:val="right"/>
            </w:pPr>
            <w:r>
              <w:rPr>
                <w:rFonts w:cs="Times New Roman"/>
              </w:rPr>
              <w:t>94,4</w:t>
            </w:r>
          </w:p>
        </w:tc>
        <w:tc>
          <w:tcPr>
            <w:tcW w:w="1224" w:type="dxa"/>
          </w:tcPr>
          <w:p w:rsidR="00505632" w:rsidRDefault="00505632" w:rsidP="00AD4E52">
            <w:pPr>
              <w:pStyle w:val="CellColumn"/>
              <w:jc w:val="right"/>
            </w:pPr>
            <w:r>
              <w:rPr>
                <w:rFonts w:cs="Times New Roman"/>
              </w:rPr>
              <w:t>94,4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w:t>
      </w:r>
    </w:p>
    <w:p w:rsidR="00505632" w:rsidRDefault="00505632" w:rsidP="00505632">
      <w:r>
        <w:t xml:space="preserve">Odluka o dodjeljivanju novčane potpore školama i drugim institucijama za međunarodnu prosvjetnu suradnju škola (Klasa: 910-08/04-01/00001, Urbroj: 533-06-04-0001) </w:t>
      </w:r>
    </w:p>
    <w:p w:rsidR="00505632" w:rsidRDefault="00505632" w:rsidP="00505632">
      <w:r>
        <w:t xml:space="preserve">Ugovor o kulturnoj suradnji između Vlade Republike Hrvatske i Vlade Savezne Republike Njemačke (Narodne novine – Međunarodni ugovori broj 22/97) </w:t>
      </w:r>
    </w:p>
    <w:p w:rsidR="00505632" w:rsidRDefault="00505632" w:rsidP="00505632">
      <w:r>
        <w:t xml:space="preserve">Ugovor između Vlade Republike Hrvatske i Savezne vlade Republike Austrije o suradnji u području kulture i obrazovanja </w:t>
      </w:r>
    </w:p>
    <w:p w:rsidR="00505632" w:rsidRDefault="00505632" w:rsidP="00505632">
      <w:r>
        <w:t xml:space="preserve">Program suradnje u području kulture i obrazovanja za 2013.-2015. godinu sukladno članku 13. stavku 1. Ugovora između Vlade Republike Hrvatske i Savezne vlade Republike Austrije o suradnji u području kulture i obrazovanja </w:t>
      </w:r>
    </w:p>
    <w:p w:rsidR="00505632" w:rsidRDefault="00505632" w:rsidP="00505632">
      <w:r>
        <w:t xml:space="preserve">Hrvatsko-francusko strateško partnerstvo Akcijski plan 2014. – 2017.  </w:t>
      </w:r>
    </w:p>
    <w:p w:rsidR="00505632" w:rsidRDefault="00505632" w:rsidP="00505632">
      <w:r>
        <w:t xml:space="preserve">Memorandum o suglasnosti između Ministarstva znanosti, obrazovanja i sporta Republike Hrvatske, Agencije za odgoj i obrazovanje Republike Hrvatske i Yad Vashema - memorijalnog centra mučenika holokausta i junaka o suradnji u području poučavanja o holokaustu </w:t>
      </w:r>
    </w:p>
    <w:p w:rsidR="00505632" w:rsidRDefault="00505632" w:rsidP="00505632">
      <w:r>
        <w:t>Odluka Vlade Republike Hrvatske od 20. svibnja 2005. godine (Republika Hrvatska postala je punopravnom članicom Međunarodnog saveza za sjećanje na holokaust - IHRA-e)</w:t>
      </w:r>
    </w:p>
    <w:p w:rsidR="00505632" w:rsidRDefault="00505632" w:rsidP="00505632">
      <w:pPr>
        <w:pStyle w:val="Heading8"/>
        <w:jc w:val="left"/>
      </w:pPr>
      <w:r>
        <w:t>Opis aktivnosti</w:t>
      </w:r>
    </w:p>
    <w:p w:rsidR="00505632" w:rsidRDefault="00505632" w:rsidP="00505632">
      <w:r>
        <w:t xml:space="preserve">Osigurati kvalitetan sustav predškolskog, osnovnoškolskog i srednjoškolskog odgoja i obrazovanja, Unaprijediti stručne kompetencije odgojno-obrazovnih radnika. Cilj je omogućiti obrazovnim ustanovama i pojedincima ravnopravno sudjelovanje u međunarodnim programima i projektima te daljnje izvršavanje već preuzetih međunarodnih obaveza. U okviru programa se prati i međunarodna obrazovna suradnja koju je Ministarstvo obvezno provoditi u skladu s preuzetim međunarodnim obvezama Republike Hrvatske u području odgoja i obrazovanje i na temelju Strateškog plana Ministarstva. </w:t>
      </w:r>
    </w:p>
    <w:p w:rsidR="00505632" w:rsidRDefault="00505632" w:rsidP="00505632">
      <w:r>
        <w:t>Poticanje međunarodne suradnje škola dodjeljivanjem proračunskih sredstava za provedbu prema natječajnom postupku, koordinacija UNESCO ASPNet mreže udruženih škola, potpora sudjelovanja škola u ACES mreži, potpora sudjelovanja učenika te predstavnika osnovnih i srednjih škola u raznim međunarodnim programima i natjecanjima, provedba bilateralnih programa odnosno isplata sredstava namijenjenih nastavnicima iz Njemačke, Austrije i Francuske koji kao izvorni govornici u suradnji s hrvatskim nastavnicima stranih jezika održavaju nastavu u hrvatskim srednjim i osnovnim školama, provedba natječaja i priprema za seminar o poučavanju o holokaustu u Memorijalnom centru Yad Vashem, Izrael i follow-up prezentacija primjene znanja u radu u nastavi i razmjena iskustava te potpora predstavnika Ministarstva i izabranih predstavnika hrvatskog odgojno-obrazovnog sustava u radu međunarodnih organizacija kojih je RH članica.</w:t>
      </w:r>
    </w:p>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škola i učenika uključenih u projekte međunarodne obrazovne suradnje</w:t>
            </w:r>
          </w:p>
        </w:tc>
        <w:tc>
          <w:tcPr>
            <w:tcW w:w="2551" w:type="dxa"/>
          </w:tcPr>
          <w:p w:rsidR="00505632" w:rsidRDefault="00505632" w:rsidP="00AD4E52">
            <w:pPr>
              <w:pStyle w:val="CellColumn"/>
              <w:jc w:val="left"/>
            </w:pPr>
            <w:r>
              <w:rPr>
                <w:rFonts w:cs="Times New Roman"/>
              </w:rPr>
              <w:t>Međunarodna suradnja škola sa školama iz inozemstva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21</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26</w:t>
            </w:r>
          </w:p>
        </w:tc>
      </w:tr>
      <w:tr w:rsidR="00505632" w:rsidTr="00AD4E52">
        <w:trPr>
          <w:jc w:val="center"/>
        </w:trPr>
        <w:tc>
          <w:tcPr>
            <w:tcW w:w="2551" w:type="dxa"/>
          </w:tcPr>
          <w:p w:rsidR="00505632" w:rsidRDefault="00505632" w:rsidP="00AD4E52">
            <w:pPr>
              <w:pStyle w:val="CellColumn"/>
              <w:jc w:val="left"/>
            </w:pPr>
            <w:r>
              <w:rPr>
                <w:rFonts w:cs="Times New Roman"/>
              </w:rPr>
              <w:t>Povećan broj škola uključenih u UNESCO ASPNet mrežu</w:t>
            </w:r>
          </w:p>
        </w:tc>
        <w:tc>
          <w:tcPr>
            <w:tcW w:w="2551" w:type="dxa"/>
          </w:tcPr>
          <w:p w:rsidR="00505632" w:rsidRDefault="00505632" w:rsidP="00AD4E52">
            <w:pPr>
              <w:pStyle w:val="CellColumn"/>
              <w:jc w:val="left"/>
            </w:pPr>
            <w:r>
              <w:rPr>
                <w:rFonts w:cs="Times New Roman"/>
              </w:rPr>
              <w:t>UNESCO ASPNet mreža udruženih škola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16</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18</w:t>
            </w:r>
          </w:p>
        </w:tc>
        <w:tc>
          <w:tcPr>
            <w:tcW w:w="1020" w:type="dxa"/>
          </w:tcPr>
          <w:p w:rsidR="00505632" w:rsidRDefault="00505632" w:rsidP="00AD4E52">
            <w:pPr>
              <w:pStyle w:val="CellColumn"/>
              <w:jc w:val="right"/>
            </w:pPr>
            <w:r>
              <w:rPr>
                <w:rFonts w:cs="Times New Roman"/>
              </w:rPr>
              <w:t>19</w:t>
            </w:r>
          </w:p>
        </w:tc>
      </w:tr>
      <w:tr w:rsidR="00505632" w:rsidTr="00AD4E52">
        <w:trPr>
          <w:jc w:val="center"/>
        </w:trPr>
        <w:tc>
          <w:tcPr>
            <w:tcW w:w="2551" w:type="dxa"/>
          </w:tcPr>
          <w:p w:rsidR="00505632" w:rsidRDefault="00505632" w:rsidP="00AD4E52">
            <w:pPr>
              <w:pStyle w:val="CellColumn"/>
              <w:jc w:val="left"/>
            </w:pPr>
            <w:r>
              <w:rPr>
                <w:rFonts w:cs="Times New Roman"/>
              </w:rPr>
              <w:t>Povećanje broja obrazovnih djelatnika, učenika i obrazovnih  ustanova uključenih u međunarodne obrazovne programe</w:t>
            </w:r>
          </w:p>
        </w:tc>
        <w:tc>
          <w:tcPr>
            <w:tcW w:w="2551" w:type="dxa"/>
          </w:tcPr>
          <w:p w:rsidR="00505632" w:rsidRDefault="00505632" w:rsidP="00AD4E52">
            <w:pPr>
              <w:pStyle w:val="CellColumn"/>
              <w:jc w:val="left"/>
            </w:pPr>
            <w:r>
              <w:rPr>
                <w:rFonts w:cs="Times New Roman"/>
              </w:rPr>
              <w:t>Asistenti u nastavi i nastavnici -izvorni govornici stranih jezika u školama u RH</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15</w:t>
            </w:r>
          </w:p>
        </w:tc>
      </w:tr>
      <w:tr w:rsidR="00505632" w:rsidTr="00AD4E52">
        <w:trPr>
          <w:jc w:val="center"/>
        </w:trPr>
        <w:tc>
          <w:tcPr>
            <w:tcW w:w="2551" w:type="dxa"/>
          </w:tcPr>
          <w:p w:rsidR="00505632" w:rsidRDefault="00505632" w:rsidP="00AD4E52">
            <w:pPr>
              <w:pStyle w:val="CellColumn"/>
              <w:jc w:val="left"/>
            </w:pPr>
            <w:r>
              <w:rPr>
                <w:rFonts w:cs="Times New Roman"/>
              </w:rPr>
              <w:t>Unaprjeđenje stručnih kompetencija odgojno-obrazovnih radnika</w:t>
            </w:r>
          </w:p>
        </w:tc>
        <w:tc>
          <w:tcPr>
            <w:tcW w:w="2551" w:type="dxa"/>
          </w:tcPr>
          <w:p w:rsidR="00505632" w:rsidRDefault="00505632" w:rsidP="00AD4E52">
            <w:pPr>
              <w:pStyle w:val="CellColumn"/>
              <w:jc w:val="left"/>
            </w:pPr>
            <w:r>
              <w:rPr>
                <w:rFonts w:cs="Times New Roman"/>
              </w:rPr>
              <w:t>Sedmodnevna edukacija u Izraelu za 16 polaznika iz HR obrazovnih ustanova i održana prezentacija / 25 sudionika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16</w:t>
            </w:r>
          </w:p>
        </w:tc>
      </w:tr>
      <w:tr w:rsidR="00505632" w:rsidTr="00AD4E52">
        <w:trPr>
          <w:jc w:val="center"/>
        </w:trPr>
        <w:tc>
          <w:tcPr>
            <w:tcW w:w="2551" w:type="dxa"/>
          </w:tcPr>
          <w:p w:rsidR="00505632" w:rsidRDefault="00505632" w:rsidP="00AD4E52">
            <w:pPr>
              <w:pStyle w:val="CellColumn"/>
              <w:jc w:val="left"/>
            </w:pPr>
            <w:r>
              <w:rPr>
                <w:rFonts w:cs="Times New Roman"/>
              </w:rPr>
              <w:t>Povećanje broja škola i učenika uključenih u projekte međunarodne obrazovne suradnje</w:t>
            </w:r>
          </w:p>
        </w:tc>
        <w:tc>
          <w:tcPr>
            <w:tcW w:w="2551" w:type="dxa"/>
          </w:tcPr>
          <w:p w:rsidR="00505632" w:rsidRDefault="00505632" w:rsidP="00AD4E52">
            <w:pPr>
              <w:pStyle w:val="CellColumn"/>
              <w:jc w:val="left"/>
            </w:pPr>
            <w:r>
              <w:rPr>
                <w:rFonts w:cs="Times New Roman"/>
              </w:rPr>
              <w:t>Sudjelovanje učenika te predstavnika osnovnih i srednjih škola u raznim međunarodnim programima i natjecanjima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10</w:t>
            </w:r>
          </w:p>
        </w:tc>
      </w:tr>
    </w:tbl>
    <w:p w:rsidR="00505632" w:rsidRDefault="00505632" w:rsidP="00505632">
      <w:pPr>
        <w:jc w:val="left"/>
      </w:pPr>
    </w:p>
    <w:p w:rsidR="00505632" w:rsidRDefault="00505632" w:rsidP="00505632">
      <w:pPr>
        <w:pStyle w:val="Heading4"/>
      </w:pPr>
      <w:r>
        <w:t>A577133 POTICANJE PROGRAMA RADA S DAROVITIM UČENICIMA I STUDENTIMA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A577133-POTICANJE PROGRAMA RADA S DAROVITIM UČENICIMA I STUDENTIMA</w:t>
            </w:r>
          </w:p>
        </w:tc>
        <w:tc>
          <w:tcPr>
            <w:tcW w:w="2041" w:type="dxa"/>
          </w:tcPr>
          <w:p w:rsidR="00505632" w:rsidRDefault="00505632" w:rsidP="00AD4E52">
            <w:pPr>
              <w:pStyle w:val="CellColumn"/>
              <w:jc w:val="right"/>
            </w:pPr>
            <w:r>
              <w:rPr>
                <w:rFonts w:cs="Times New Roman"/>
              </w:rPr>
              <w:t>400.950</w:t>
            </w:r>
          </w:p>
        </w:tc>
        <w:tc>
          <w:tcPr>
            <w:tcW w:w="2041" w:type="dxa"/>
          </w:tcPr>
          <w:p w:rsidR="00505632" w:rsidRDefault="00505632" w:rsidP="00AD4E52">
            <w:pPr>
              <w:pStyle w:val="CellColumn"/>
              <w:jc w:val="right"/>
            </w:pPr>
            <w:r>
              <w:rPr>
                <w:rFonts w:cs="Times New Roman"/>
              </w:rPr>
              <w:t>400.950</w:t>
            </w:r>
          </w:p>
        </w:tc>
        <w:tc>
          <w:tcPr>
            <w:tcW w:w="2041" w:type="dxa"/>
          </w:tcPr>
          <w:p w:rsidR="00505632" w:rsidRDefault="00505632" w:rsidP="00AD4E52">
            <w:pPr>
              <w:pStyle w:val="CellColumn"/>
              <w:jc w:val="right"/>
            </w:pPr>
            <w:r>
              <w:rPr>
                <w:rFonts w:cs="Times New Roman"/>
              </w:rPr>
              <w:t>306.649</w:t>
            </w:r>
          </w:p>
        </w:tc>
        <w:tc>
          <w:tcPr>
            <w:tcW w:w="1224" w:type="dxa"/>
          </w:tcPr>
          <w:p w:rsidR="00505632" w:rsidRDefault="00505632" w:rsidP="00AD4E52">
            <w:pPr>
              <w:pStyle w:val="CellColumn"/>
              <w:jc w:val="right"/>
            </w:pPr>
            <w:r>
              <w:rPr>
                <w:rFonts w:cs="Times New Roman"/>
              </w:rPr>
              <w:t>76,5</w:t>
            </w:r>
          </w:p>
        </w:tc>
        <w:tc>
          <w:tcPr>
            <w:tcW w:w="1224" w:type="dxa"/>
          </w:tcPr>
          <w:p w:rsidR="00505632" w:rsidRDefault="00505632" w:rsidP="00AD4E52">
            <w:pPr>
              <w:pStyle w:val="CellColumn"/>
              <w:jc w:val="right"/>
            </w:pPr>
            <w:r>
              <w:rPr>
                <w:rFonts w:cs="Times New Roman"/>
              </w:rPr>
              <w:t>76,5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odgoju i obrazovanju u osnovnoj i srednjoj školi</w:t>
      </w:r>
    </w:p>
    <w:p w:rsidR="00505632" w:rsidRDefault="00505632" w:rsidP="00505632">
      <w:pPr>
        <w:pStyle w:val="Heading8"/>
        <w:jc w:val="left"/>
      </w:pPr>
      <w:r>
        <w:t>Opis aktivnosti</w:t>
      </w:r>
    </w:p>
    <w:p w:rsidR="00505632" w:rsidRDefault="00505632" w:rsidP="00505632">
      <w:r>
        <w:t xml:space="preserve">Osiguranje i unapređenje kvalitete te povećanje dostupnosti, učinkovitosti i relevantnosti sustava odgoja i obrazovanja na svim razinama. </w:t>
      </w:r>
    </w:p>
    <w:p w:rsidR="00505632" w:rsidRDefault="00505632" w:rsidP="00505632">
      <w:r>
        <w:t>Raspodjela financijski sredstava za provođenje programa rada s darovitim učenicima i studentima. Cilj je razviti učinkovite mreže odgojno-obrazovnih ustanova i kvalifikacija/programa/kurikuluma usmjerenih k razvoju ljudskih potencijala te usklađenih s potrebama društva i tržišta rada te pružati potporu učenicima osnovnih i srednjih škola u razvoju kompetencija u skladu s njihovim sposobnostima.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 broj odgojno-obrazovnih ustanova koje se bave poticanjem rada s darovitim učenicima</w:t>
            </w:r>
          </w:p>
        </w:tc>
        <w:tc>
          <w:tcPr>
            <w:tcW w:w="2551" w:type="dxa"/>
          </w:tcPr>
          <w:p w:rsidR="00505632" w:rsidRDefault="00505632" w:rsidP="00AD4E52">
            <w:pPr>
              <w:pStyle w:val="CellColumn"/>
              <w:jc w:val="left"/>
            </w:pPr>
            <w:r>
              <w:rPr>
                <w:rFonts w:cs="Times New Roman"/>
              </w:rPr>
              <w:t>Sufinanciranje projekata u okviru izvannastavnih aktivnosti u području rada s darovitim učenicima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15</w:t>
            </w:r>
          </w:p>
        </w:tc>
      </w:tr>
    </w:tbl>
    <w:p w:rsidR="00505632" w:rsidRDefault="00505632" w:rsidP="00505632">
      <w:pPr>
        <w:jc w:val="left"/>
      </w:pPr>
    </w:p>
    <w:p w:rsidR="00505632" w:rsidRDefault="00505632" w:rsidP="00505632">
      <w:pPr>
        <w:pStyle w:val="Heading4"/>
      </w:pPr>
      <w:r>
        <w:t>A577137 POSEBNI PROGRAMI OBRAZOVANJA ZA PROVOĐENJE PROGRAMA NACIONALNIH MANJINA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A577137-POSEBNI PROGRAMI OBRAZOVANJA ZA PROVOĐENJE PROGRAMA NACIONALNIH MANJINA</w:t>
            </w:r>
          </w:p>
        </w:tc>
        <w:tc>
          <w:tcPr>
            <w:tcW w:w="2041" w:type="dxa"/>
          </w:tcPr>
          <w:p w:rsidR="00505632" w:rsidRDefault="00505632" w:rsidP="00AD4E52">
            <w:pPr>
              <w:pStyle w:val="CellColumn"/>
              <w:jc w:val="right"/>
            </w:pPr>
            <w:r>
              <w:rPr>
                <w:rFonts w:cs="Times New Roman"/>
              </w:rPr>
              <w:t>966.601</w:t>
            </w:r>
          </w:p>
        </w:tc>
        <w:tc>
          <w:tcPr>
            <w:tcW w:w="2041" w:type="dxa"/>
          </w:tcPr>
          <w:p w:rsidR="00505632" w:rsidRDefault="00505632" w:rsidP="00AD4E52">
            <w:pPr>
              <w:pStyle w:val="CellColumn"/>
              <w:jc w:val="right"/>
            </w:pPr>
            <w:r>
              <w:rPr>
                <w:rFonts w:cs="Times New Roman"/>
              </w:rPr>
              <w:t>723.601</w:t>
            </w:r>
          </w:p>
        </w:tc>
        <w:tc>
          <w:tcPr>
            <w:tcW w:w="2041" w:type="dxa"/>
          </w:tcPr>
          <w:p w:rsidR="00505632" w:rsidRDefault="00505632" w:rsidP="00AD4E52">
            <w:pPr>
              <w:pStyle w:val="CellColumn"/>
              <w:jc w:val="right"/>
            </w:pPr>
            <w:r>
              <w:rPr>
                <w:rFonts w:cs="Times New Roman"/>
              </w:rPr>
              <w:t>721.880</w:t>
            </w:r>
          </w:p>
        </w:tc>
        <w:tc>
          <w:tcPr>
            <w:tcW w:w="1224" w:type="dxa"/>
          </w:tcPr>
          <w:p w:rsidR="00505632" w:rsidRDefault="00505632" w:rsidP="00AD4E52">
            <w:pPr>
              <w:pStyle w:val="CellColumn"/>
              <w:jc w:val="right"/>
            </w:pPr>
            <w:r>
              <w:rPr>
                <w:rFonts w:cs="Times New Roman"/>
              </w:rPr>
              <w:t>99,8</w:t>
            </w:r>
          </w:p>
        </w:tc>
        <w:tc>
          <w:tcPr>
            <w:tcW w:w="1224" w:type="dxa"/>
          </w:tcPr>
          <w:p w:rsidR="00505632" w:rsidRDefault="00505632" w:rsidP="00AD4E52">
            <w:pPr>
              <w:pStyle w:val="CellColumn"/>
              <w:jc w:val="right"/>
            </w:pPr>
            <w:r>
              <w:rPr>
                <w:rFonts w:cs="Times New Roman"/>
              </w:rPr>
              <w:t>74,7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w:t>
      </w:r>
    </w:p>
    <w:p w:rsidR="00505632" w:rsidRDefault="00505632" w:rsidP="00505632">
      <w:r>
        <w:t xml:space="preserve">Ustavni zakon o pravima nacionalnih manjina/NN 155/02/ te Ustavni zakon o izmjenama i dopunama Ustavnog zakona (NN155/02) </w:t>
      </w:r>
    </w:p>
    <w:p w:rsidR="00505632" w:rsidRDefault="00505632" w:rsidP="00505632">
      <w:r>
        <w:t xml:space="preserve">Zakon o uporabi jezika i pisma nacionalnih manjina u RH </w:t>
      </w:r>
    </w:p>
    <w:p w:rsidR="00505632" w:rsidRDefault="00505632" w:rsidP="00505632">
      <w:r>
        <w:t>Zakon o odgoju i obrazovanju na jeziku i pismu nacionalnih manjina</w:t>
      </w:r>
    </w:p>
    <w:p w:rsidR="00505632" w:rsidRDefault="00505632" w:rsidP="00505632">
      <w:pPr>
        <w:pStyle w:val="Heading8"/>
        <w:jc w:val="left"/>
      </w:pPr>
      <w:r>
        <w:t>Opis aktivnosti</w:t>
      </w:r>
    </w:p>
    <w:p w:rsidR="00505632" w:rsidRDefault="00505632" w:rsidP="00505632">
      <w:r>
        <w:t>Hrvatski zakonodavni okvir osigurava iznimno visoke standarde za obrazovanje na jeziku i pismu nacionalnih manjina. Pravo na odgoj i obrazovanje na svom jeziku i pismu pripadnici nacionalnih manjina ostvaruju u skladu s Ustavom Republike Hrvatske, Ustavnim zakonom o pravima nacionalnih manjina te Zakonom o odgoju i obrazovanju na jeziku i pismu nacionalnih manjina. Pripadnici nacionalnih manjina imaju mogućnost obrazovati se na materinskom jeziku na svim stupnjevima obrazovanja od predškolskog do visokoškolskog. Odgoj i obrazovanje na jeziku i pismu nacionalnih manjina sastavni je dio cjelokupnog sustava odgoja i obrazovanja te se temeljni dokumenti obrazovne politike odnose i na ovaj segment obrazovnog sustava. Uspješno se provodi obrazovanje učenika u nastavi koja se u cjelini izvodi na jeziku i pismu nacionalnih manjina (model A), dok se sve više učenika u osnovnim školama uključuje i u učenje jezika i kulture nacionalnih manjina (model C). Osim toga sufinanciraju se i stručna usavršavanja odgojitelja, učitelja i nastavnika na državnoj razini u RH i matičnim zemljama; ljetnih škola u RH i matičnim zemljama učenika pripadnika nacionalnih manjina; tečaja materinskog jezika i natjecanja za učenike u nastavi na jeziku i pismu nacionalnih manjina; učenja materinskog jezika na daljinu (e-learning).</w:t>
      </w:r>
    </w:p>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potpora kojima se osigurava izvaninstitucionalno učenje jezika i kulture nacionalnih manjina (ljetne škole)</w:t>
            </w:r>
          </w:p>
        </w:tc>
        <w:tc>
          <w:tcPr>
            <w:tcW w:w="2551" w:type="dxa"/>
          </w:tcPr>
          <w:p w:rsidR="00505632" w:rsidRDefault="00505632" w:rsidP="00AD4E52">
            <w:pPr>
              <w:pStyle w:val="CellColumn"/>
              <w:jc w:val="left"/>
            </w:pPr>
            <w:r>
              <w:rPr>
                <w:rFonts w:cs="Times New Roman"/>
              </w:rPr>
              <w:t>Provođenje programa izvaninstitucionalnog učenja jezika i kulture nacionalne manjine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7</w:t>
            </w:r>
          </w:p>
        </w:tc>
      </w:tr>
    </w:tbl>
    <w:p w:rsidR="00505632" w:rsidRDefault="00505632" w:rsidP="00505632">
      <w:pPr>
        <w:jc w:val="left"/>
      </w:pPr>
    </w:p>
    <w:p w:rsidR="00505632" w:rsidRDefault="00505632" w:rsidP="00505632">
      <w:pPr>
        <w:pStyle w:val="Heading4"/>
      </w:pPr>
      <w:r>
        <w:t>A578041 POMOĆNICI U NASTAVI ZA DJECU S TEŠKOĆAMA U RAZVOJU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A578041-POMOĆNICI U NASTAVI ZA DJECU S TEŠKOĆAMA U RAZVOJU</w:t>
            </w:r>
          </w:p>
        </w:tc>
        <w:tc>
          <w:tcPr>
            <w:tcW w:w="2041" w:type="dxa"/>
          </w:tcPr>
          <w:p w:rsidR="00505632" w:rsidRDefault="00505632" w:rsidP="00AD4E52">
            <w:pPr>
              <w:pStyle w:val="CellColumn"/>
              <w:jc w:val="right"/>
            </w:pPr>
            <w:r>
              <w:rPr>
                <w:rFonts w:cs="Times New Roman"/>
              </w:rPr>
              <w:t>12.833.135</w:t>
            </w:r>
          </w:p>
        </w:tc>
        <w:tc>
          <w:tcPr>
            <w:tcW w:w="2041" w:type="dxa"/>
          </w:tcPr>
          <w:p w:rsidR="00505632" w:rsidRDefault="00505632" w:rsidP="00AD4E52">
            <w:pPr>
              <w:pStyle w:val="CellColumn"/>
              <w:jc w:val="right"/>
            </w:pPr>
            <w:r>
              <w:rPr>
                <w:rFonts w:cs="Times New Roman"/>
              </w:rPr>
              <w:t>11.276.811</w:t>
            </w:r>
          </w:p>
        </w:tc>
        <w:tc>
          <w:tcPr>
            <w:tcW w:w="2041" w:type="dxa"/>
          </w:tcPr>
          <w:p w:rsidR="00505632" w:rsidRDefault="00505632" w:rsidP="00AD4E52">
            <w:pPr>
              <w:pStyle w:val="CellColumn"/>
              <w:jc w:val="right"/>
            </w:pPr>
            <w:r>
              <w:rPr>
                <w:rFonts w:cs="Times New Roman"/>
              </w:rPr>
              <w:t>8.481.237</w:t>
            </w:r>
          </w:p>
        </w:tc>
        <w:tc>
          <w:tcPr>
            <w:tcW w:w="1224" w:type="dxa"/>
          </w:tcPr>
          <w:p w:rsidR="00505632" w:rsidRDefault="00505632" w:rsidP="00AD4E52">
            <w:pPr>
              <w:pStyle w:val="CellColumn"/>
              <w:jc w:val="right"/>
            </w:pPr>
            <w:r>
              <w:rPr>
                <w:rFonts w:cs="Times New Roman"/>
              </w:rPr>
              <w:t>75,2</w:t>
            </w:r>
          </w:p>
        </w:tc>
        <w:tc>
          <w:tcPr>
            <w:tcW w:w="1224" w:type="dxa"/>
          </w:tcPr>
          <w:p w:rsidR="00505632" w:rsidRDefault="00505632" w:rsidP="00AD4E52">
            <w:pPr>
              <w:pStyle w:val="CellColumn"/>
              <w:jc w:val="right"/>
            </w:pPr>
            <w:r>
              <w:rPr>
                <w:rFonts w:cs="Times New Roman"/>
              </w:rPr>
              <w:t>66,1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w:t>
      </w:r>
    </w:p>
    <w:p w:rsidR="00505632" w:rsidRDefault="00505632" w:rsidP="00505632">
      <w:r>
        <w:t>Pravilnik o osnovnoškolskom odgoju i srednjoškolskom obrazovanju učenika s teškoćama u razvoju</w:t>
      </w:r>
    </w:p>
    <w:p w:rsidR="00505632" w:rsidRDefault="00505632" w:rsidP="00505632">
      <w:pPr>
        <w:pStyle w:val="Heading8"/>
        <w:jc w:val="left"/>
      </w:pPr>
      <w:r>
        <w:t>Opis aktivnosti</w:t>
      </w:r>
    </w:p>
    <w:p w:rsidR="00505632" w:rsidRDefault="00505632" w:rsidP="00505632">
      <w:r>
        <w:t>Uključivanjem pomoćnika u neposredan rad s učenicima s teškoćama omogućava se potpuno uključivanje učenika s teškoćama u odgojno-obrazovni sustav. Učenici s teškoćama na temelju utvrđenog psihofizičkog stanja i rješenja o primjerenom programu školovanja ureda državne uprave nadležnog za obrazovanje ostvaruju pravo na primjerene programe i primjerene oblike potpore njihovom školovanju. Primjereni programi i oblici školovanja, kao i primjereni oblici potpore ostvaruju se kroz programsku i profesionalnu potporu te prostornu i pedagoško-didaktičku prilagodbu. Profesionalnu potporu učenicima s teškoćama u sustavu odgoja i obrazovanja, pored stručnih djelatnika predškolskih, osnovnoškolskih i srednjoškolskih redovitih i posebnih ustanova, pružaju i stručnjaci različitih specijalnosti, savjetnici agencija i pomoćnici u nastavi.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učenika s teškoćama u razvoju kojima je pružena sustavna potpora i podrška putem osiguravanja pomoćnika u nastavi kroz projekte udruga</w:t>
            </w:r>
          </w:p>
        </w:tc>
        <w:tc>
          <w:tcPr>
            <w:tcW w:w="2551" w:type="dxa"/>
          </w:tcPr>
          <w:p w:rsidR="00505632" w:rsidRDefault="00505632" w:rsidP="00AD4E52">
            <w:pPr>
              <w:pStyle w:val="CellColumn"/>
              <w:jc w:val="left"/>
            </w:pPr>
            <w:r>
              <w:rPr>
                <w:rFonts w:cs="Times New Roman"/>
              </w:rPr>
              <w:t>Osiguravanje pomoćnika u nastavi za učenike s teškoćama u razvoju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250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250</w:t>
            </w:r>
          </w:p>
        </w:tc>
        <w:tc>
          <w:tcPr>
            <w:tcW w:w="1020" w:type="dxa"/>
          </w:tcPr>
          <w:p w:rsidR="00505632" w:rsidRDefault="00505632" w:rsidP="00AD4E52">
            <w:pPr>
              <w:pStyle w:val="CellColumn"/>
              <w:jc w:val="right"/>
            </w:pPr>
            <w:r>
              <w:rPr>
                <w:rFonts w:cs="Times New Roman"/>
              </w:rPr>
              <w:t>247</w:t>
            </w:r>
          </w:p>
        </w:tc>
      </w:tr>
    </w:tbl>
    <w:p w:rsidR="00505632" w:rsidRDefault="00505632" w:rsidP="00505632">
      <w:pPr>
        <w:jc w:val="left"/>
      </w:pPr>
    </w:p>
    <w:p w:rsidR="00505632" w:rsidRDefault="00505632" w:rsidP="00505632">
      <w:pPr>
        <w:pStyle w:val="Heading4"/>
      </w:pPr>
      <w:r>
        <w:t>A578045 SUFINANCIRANJE UDŽBENIKA ZA UČENIKE OSNOVNIH I SREDNJIH ŠKOLA</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A578045-SUFINANCIRANJE UDŽBENIKA ZA UČENIKE OSNOVNIH I SREDNJIH ŠKOLA</w:t>
            </w:r>
          </w:p>
        </w:tc>
        <w:tc>
          <w:tcPr>
            <w:tcW w:w="2041" w:type="dxa"/>
          </w:tcPr>
          <w:p w:rsidR="00505632" w:rsidRDefault="00505632" w:rsidP="00AD4E52">
            <w:pPr>
              <w:pStyle w:val="CellColumn"/>
              <w:jc w:val="right"/>
            </w:pPr>
            <w:r>
              <w:rPr>
                <w:rFonts w:cs="Times New Roman"/>
              </w:rPr>
              <w:t>15.749.979</w:t>
            </w:r>
          </w:p>
        </w:tc>
        <w:tc>
          <w:tcPr>
            <w:tcW w:w="2041" w:type="dxa"/>
          </w:tcPr>
          <w:p w:rsidR="00505632" w:rsidRDefault="00505632" w:rsidP="00AD4E52">
            <w:pPr>
              <w:pStyle w:val="CellColumn"/>
              <w:jc w:val="right"/>
            </w:pPr>
            <w:r>
              <w:rPr>
                <w:rFonts w:cs="Times New Roman"/>
              </w:rPr>
              <w:t>14.947.481</w:t>
            </w:r>
          </w:p>
        </w:tc>
        <w:tc>
          <w:tcPr>
            <w:tcW w:w="2041" w:type="dxa"/>
          </w:tcPr>
          <w:p w:rsidR="00505632" w:rsidRDefault="00505632" w:rsidP="00AD4E52">
            <w:pPr>
              <w:pStyle w:val="CellColumn"/>
              <w:jc w:val="right"/>
            </w:pPr>
            <w:r>
              <w:rPr>
                <w:rFonts w:cs="Times New Roman"/>
              </w:rPr>
              <w:t>14.194.598</w:t>
            </w:r>
          </w:p>
        </w:tc>
        <w:tc>
          <w:tcPr>
            <w:tcW w:w="1224" w:type="dxa"/>
          </w:tcPr>
          <w:p w:rsidR="00505632" w:rsidRDefault="00505632" w:rsidP="00AD4E52">
            <w:pPr>
              <w:pStyle w:val="CellColumn"/>
              <w:jc w:val="right"/>
            </w:pPr>
            <w:r>
              <w:rPr>
                <w:rFonts w:cs="Times New Roman"/>
              </w:rPr>
              <w:t>95,0</w:t>
            </w:r>
          </w:p>
        </w:tc>
        <w:tc>
          <w:tcPr>
            <w:tcW w:w="1224" w:type="dxa"/>
          </w:tcPr>
          <w:p w:rsidR="00505632" w:rsidRDefault="00505632" w:rsidP="00AD4E52">
            <w:pPr>
              <w:pStyle w:val="CellColumn"/>
              <w:jc w:val="right"/>
            </w:pPr>
            <w:r>
              <w:rPr>
                <w:rFonts w:cs="Times New Roman"/>
              </w:rPr>
              <w:t>90,1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udžbenicima </w:t>
      </w:r>
    </w:p>
    <w:p w:rsidR="00505632" w:rsidRDefault="00505632" w:rsidP="00505632">
      <w:r>
        <w:t xml:space="preserve">Zakona o pravima hrvatskih branitelja iz Domovinskog rata i članova njihovih obitelji </w:t>
      </w:r>
    </w:p>
    <w:p w:rsidR="00505632" w:rsidRDefault="00505632" w:rsidP="00505632">
      <w:r>
        <w:t xml:space="preserve">Zakona o zaštiti vojnih i civilnih invalida rata </w:t>
      </w:r>
    </w:p>
    <w:p w:rsidR="00505632" w:rsidRDefault="00505632" w:rsidP="00505632">
      <w:r>
        <w:t xml:space="preserve">Zakon o protuminskom djelovanju </w:t>
      </w:r>
    </w:p>
    <w:p w:rsidR="00505632" w:rsidRDefault="00505632" w:rsidP="00505632">
      <w:r>
        <w:t>Zakon o socijalnoj skrbi</w:t>
      </w:r>
    </w:p>
    <w:p w:rsidR="00505632" w:rsidRDefault="00505632" w:rsidP="00505632">
      <w:pPr>
        <w:pStyle w:val="Heading8"/>
        <w:jc w:val="left"/>
      </w:pPr>
      <w:r>
        <w:t>Opis aktivnosti</w:t>
      </w:r>
    </w:p>
    <w:p w:rsidR="00505632" w:rsidRDefault="00505632" w:rsidP="00505632">
      <w:r>
        <w:t xml:space="preserve">U 2016. godini osigurani su udžbenici za 18789 korisnika (učenika osnovnih i srednjih škola i studenata) koji ostvaruju pravo na temelju: </w:t>
      </w:r>
    </w:p>
    <w:p w:rsidR="00505632" w:rsidRDefault="00505632" w:rsidP="00505632">
      <w:r>
        <w:t xml:space="preserve">- Pravilnika o uvjetima, postupku i načinu ostvarivanja prava na besplatne udžbenike hrvatskih branitelja iz Domovinskog rata i članova njihovih obitelji (učenici osnovnih i srednjih škola i studenti) </w:t>
      </w:r>
    </w:p>
    <w:p w:rsidR="00505632" w:rsidRDefault="00505632" w:rsidP="00505632">
      <w:r>
        <w:t xml:space="preserve">- Pravilnika o uvjetima, postupku i načinu ostvarivanja prava na besplatne udžbenike vojnih i civilnih invalida rata (učenici osnovnih i srednjih škola i studenti) </w:t>
      </w:r>
    </w:p>
    <w:p w:rsidR="00505632" w:rsidRDefault="00505632" w:rsidP="00505632">
      <w:r>
        <w:t xml:space="preserve">- Odluke o sufinanciranju nabave udžbenika i pripadajućih dopunskih nastavnih sredstava za potrebe učenika osnovnih i srednjih škola u Republici Hrvatskoj za školsku godinu 2015./2016. (učenici osnovnih i srednjih škola) </w:t>
      </w:r>
    </w:p>
    <w:p w:rsidR="00505632" w:rsidRDefault="00505632" w:rsidP="00505632">
      <w:r>
        <w:t xml:space="preserve">- Odluke o sufinanciranju obveznih udžbenika za djecu smrtno stradalih osoba eksplozivnih zaostataka rata (učenici osnovnih i srednjih škola). </w:t>
      </w:r>
    </w:p>
    <w:p w:rsidR="00505632" w:rsidRDefault="00505632" w:rsidP="00505632">
      <w:r>
        <w:t>Provedbu mjere Osiguranje potpore učenicima osnovnih i srednjih škola koji žive u nepovoljnim socioekonomskim prilikama Ministarstvo znanosti i obrazovanja provodilo je u okviru intersektorske suradnje s Ministarstvom hrvatskih branitelja, Ministarstvom za demografiju, obitelj, mlade i socijalnu politiku, Hrvatskim centrom za razminiranje, Centrima za socijalnu skrb i uredima državne uprave nadležnima za ostvarivanje prava hrvatskih branitelja Domovinskog rata.</w:t>
      </w:r>
    </w:p>
    <w:p w:rsidR="00505632" w:rsidRDefault="00505632" w:rsidP="00505632">
      <w:pPr>
        <w:pStyle w:val="Heading4"/>
      </w:pPr>
      <w:r>
        <w:t>A579004 POTICANJE IZVANNASTAVNIH AKTIVNOSTI U OŠ</w:t>
      </w:r>
    </w:p>
    <w:tbl>
      <w:tblPr>
        <w:tblStyle w:val="StilTablice"/>
        <w:tblW w:w="10206" w:type="dxa"/>
        <w:jc w:val="center"/>
        <w:tblLook w:val="04A0" w:firstRow="1" w:lastRow="0" w:firstColumn="1" w:lastColumn="0" w:noHBand="0" w:noVBand="1"/>
      </w:tblPr>
      <w:tblGrid>
        <w:gridCol w:w="1903"/>
        <w:gridCol w:w="1962"/>
        <w:gridCol w:w="1957"/>
        <w:gridCol w:w="1963"/>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A579004-POTICANJE IZVANNASTAVNIH AKTIVNOSTI U OŠ</w:t>
            </w:r>
          </w:p>
        </w:tc>
        <w:tc>
          <w:tcPr>
            <w:tcW w:w="2041" w:type="dxa"/>
          </w:tcPr>
          <w:p w:rsidR="00505632" w:rsidRDefault="00505632" w:rsidP="00AD4E52">
            <w:pPr>
              <w:pStyle w:val="CellColumn"/>
              <w:jc w:val="right"/>
            </w:pPr>
            <w:r>
              <w:rPr>
                <w:rFonts w:cs="Times New Roman"/>
              </w:rPr>
              <w:t>991.913</w:t>
            </w:r>
          </w:p>
        </w:tc>
        <w:tc>
          <w:tcPr>
            <w:tcW w:w="2041" w:type="dxa"/>
          </w:tcPr>
          <w:p w:rsidR="00505632" w:rsidRDefault="00505632" w:rsidP="00AD4E52">
            <w:pPr>
              <w:pStyle w:val="CellColumn"/>
              <w:jc w:val="right"/>
            </w:pPr>
            <w:r>
              <w:rPr>
                <w:rFonts w:cs="Times New Roman"/>
              </w:rPr>
              <w:t>991.913</w:t>
            </w:r>
          </w:p>
        </w:tc>
        <w:tc>
          <w:tcPr>
            <w:tcW w:w="2041" w:type="dxa"/>
          </w:tcPr>
          <w:p w:rsidR="00505632" w:rsidRDefault="00505632" w:rsidP="00AD4E52">
            <w:pPr>
              <w:pStyle w:val="CellColumn"/>
              <w:jc w:val="right"/>
            </w:pPr>
            <w:r>
              <w:rPr>
                <w:rFonts w:cs="Times New Roman"/>
              </w:rPr>
              <w:t>988.500</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99,7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odgoju i obrazovanju u osnovnoj i srednjoj školi</w:t>
      </w:r>
    </w:p>
    <w:p w:rsidR="00505632" w:rsidRDefault="00505632" w:rsidP="00505632">
      <w:pPr>
        <w:pStyle w:val="Heading8"/>
        <w:jc w:val="left"/>
      </w:pPr>
      <w:r>
        <w:t>Opis aktivnosti</w:t>
      </w:r>
    </w:p>
    <w:p w:rsidR="00505632" w:rsidRDefault="00505632" w:rsidP="00505632">
      <w:r>
        <w:t xml:space="preserve">Cilj programa je unaprijediti rad odgojno obrazovnih ustanova, poticati izvannastavne aktivnosti u osnovnim i srednjim školama te unaprijediti rad s darovitim učenicima. Provođenjem izvannastavnih aktivnosti u osnovnim i srednjim školama dodatno se potiče aktivno uključivanje djece i mladih, a  s ciljem motiviranja učenika za odabir zdravih stilova života, pravilnog organiziranja  slobodnog vremena, razvijanja samopoštovanja  i socijalnih vještina. </w:t>
      </w:r>
    </w:p>
    <w:p w:rsidR="00505632" w:rsidRDefault="00505632" w:rsidP="00505632">
      <w:r>
        <w:t xml:space="preserve">Raspodjela financijskih sredstava za sufinanciranje obljetnica osnovnih škola, časopisa od značenja za osnovnoškolsko obrazovanje i održavanje manifestacija u okviru izvannastavnih aktivnosti osnovnih škola. </w:t>
      </w:r>
    </w:p>
    <w:p w:rsidR="00505632" w:rsidRDefault="00505632" w:rsidP="00505632">
      <w:r>
        <w:t>Osiguranje i unapređenje kvalitete te povećanje dostupnosti, učinkovitosti i relevantnosti sustava odgoja i obrazovanja na svim razinama, razvijanje sustava osiguranja kvalitete na svim razinama sustava odgoja i obrazovanja, osiguranje kvalitetnog sustava predškolskog, osnovnoškolskog i srednjoškolskog odgoja i obrazovanja.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Poticanje izvannastavnih aktivnosti</w:t>
            </w:r>
          </w:p>
        </w:tc>
        <w:tc>
          <w:tcPr>
            <w:tcW w:w="2551" w:type="dxa"/>
          </w:tcPr>
          <w:p w:rsidR="00505632" w:rsidRDefault="00505632" w:rsidP="00AD4E52">
            <w:pPr>
              <w:pStyle w:val="CellColumn"/>
              <w:jc w:val="left"/>
            </w:pPr>
            <w:r>
              <w:rPr>
                <w:rFonts w:cs="Times New Roman"/>
              </w:rPr>
              <w:t>Sufinanciranje održavanja manifestacija u okviru izvannastavnih aktivnosti OŠ</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22</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22</w:t>
            </w:r>
          </w:p>
        </w:tc>
        <w:tc>
          <w:tcPr>
            <w:tcW w:w="1020" w:type="dxa"/>
          </w:tcPr>
          <w:p w:rsidR="00505632" w:rsidRDefault="00505632" w:rsidP="00AD4E52">
            <w:pPr>
              <w:pStyle w:val="CellColumn"/>
              <w:jc w:val="right"/>
            </w:pPr>
            <w:r>
              <w:rPr>
                <w:rFonts w:cs="Times New Roman"/>
              </w:rPr>
              <w:t>22</w:t>
            </w:r>
          </w:p>
        </w:tc>
      </w:tr>
      <w:tr w:rsidR="00505632" w:rsidTr="00AD4E52">
        <w:trPr>
          <w:jc w:val="center"/>
        </w:trPr>
        <w:tc>
          <w:tcPr>
            <w:tcW w:w="2551" w:type="dxa"/>
          </w:tcPr>
          <w:p w:rsidR="00505632" w:rsidRDefault="00505632" w:rsidP="00AD4E52">
            <w:pPr>
              <w:pStyle w:val="CellColumn"/>
              <w:jc w:val="left"/>
            </w:pPr>
            <w:r>
              <w:rPr>
                <w:rFonts w:cs="Times New Roman"/>
              </w:rPr>
              <w:t>Obljetnice OŠ</w:t>
            </w:r>
          </w:p>
        </w:tc>
        <w:tc>
          <w:tcPr>
            <w:tcW w:w="2551" w:type="dxa"/>
          </w:tcPr>
          <w:p w:rsidR="00505632" w:rsidRDefault="00505632" w:rsidP="00AD4E52">
            <w:pPr>
              <w:pStyle w:val="CellColumn"/>
              <w:jc w:val="left"/>
            </w:pPr>
            <w:r>
              <w:rPr>
                <w:rFonts w:cs="Times New Roman"/>
              </w:rPr>
              <w:t>Sufinanciranje obljetnica osnivanja OŠ</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69</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69</w:t>
            </w:r>
          </w:p>
        </w:tc>
      </w:tr>
    </w:tbl>
    <w:p w:rsidR="00505632" w:rsidRDefault="00505632" w:rsidP="00505632">
      <w:pPr>
        <w:jc w:val="left"/>
      </w:pPr>
    </w:p>
    <w:p w:rsidR="00505632" w:rsidRDefault="00505632" w:rsidP="00505632">
      <w:pPr>
        <w:pStyle w:val="Heading4"/>
      </w:pPr>
      <w:r>
        <w:t>A580003 POTICANJE IZVANNASTAVNIH AKTIVNOSTI U SREDNJIM ŠKOLAMA I VISOKOŠKOLSKOM OBRAZOVANJU</w:t>
      </w:r>
    </w:p>
    <w:tbl>
      <w:tblPr>
        <w:tblStyle w:val="StilTablice"/>
        <w:tblW w:w="10206" w:type="dxa"/>
        <w:jc w:val="center"/>
        <w:tblLook w:val="04A0" w:firstRow="1" w:lastRow="0" w:firstColumn="1" w:lastColumn="0" w:noHBand="0" w:noVBand="1"/>
      </w:tblPr>
      <w:tblGrid>
        <w:gridCol w:w="1971"/>
        <w:gridCol w:w="1943"/>
        <w:gridCol w:w="1943"/>
        <w:gridCol w:w="1937"/>
        <w:gridCol w:w="1201"/>
        <w:gridCol w:w="121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A580003-POTICANJE IZVANNASTAVNIH AKTIVNOSTI U SREDNJIM ŠKOLAMA I VISOKOŠKOLSKOM OBRAZOVANJU</w:t>
            </w:r>
          </w:p>
        </w:tc>
        <w:tc>
          <w:tcPr>
            <w:tcW w:w="2041" w:type="dxa"/>
          </w:tcPr>
          <w:p w:rsidR="00505632" w:rsidRDefault="00505632" w:rsidP="00AD4E52">
            <w:pPr>
              <w:pStyle w:val="CellColumn"/>
              <w:jc w:val="right"/>
            </w:pPr>
            <w:r>
              <w:rPr>
                <w:rFonts w:cs="Times New Roman"/>
              </w:rPr>
              <w:t>1.269.431</w:t>
            </w:r>
          </w:p>
        </w:tc>
        <w:tc>
          <w:tcPr>
            <w:tcW w:w="2041" w:type="dxa"/>
          </w:tcPr>
          <w:p w:rsidR="00505632" w:rsidRDefault="00505632" w:rsidP="00AD4E52">
            <w:pPr>
              <w:pStyle w:val="CellColumn"/>
              <w:jc w:val="right"/>
            </w:pPr>
            <w:r>
              <w:rPr>
                <w:rFonts w:cs="Times New Roman"/>
              </w:rPr>
              <w:t>1.105.431</w:t>
            </w:r>
          </w:p>
        </w:tc>
        <w:tc>
          <w:tcPr>
            <w:tcW w:w="2041" w:type="dxa"/>
          </w:tcPr>
          <w:p w:rsidR="00505632" w:rsidRDefault="00505632" w:rsidP="00AD4E52">
            <w:pPr>
              <w:pStyle w:val="CellColumn"/>
              <w:jc w:val="right"/>
            </w:pPr>
            <w:r>
              <w:rPr>
                <w:rFonts w:cs="Times New Roman"/>
              </w:rPr>
              <w:t>991.597</w:t>
            </w:r>
          </w:p>
        </w:tc>
        <w:tc>
          <w:tcPr>
            <w:tcW w:w="1224" w:type="dxa"/>
          </w:tcPr>
          <w:p w:rsidR="00505632" w:rsidRDefault="00505632" w:rsidP="00AD4E52">
            <w:pPr>
              <w:pStyle w:val="CellColumn"/>
              <w:jc w:val="right"/>
            </w:pPr>
            <w:r>
              <w:rPr>
                <w:rFonts w:cs="Times New Roman"/>
              </w:rPr>
              <w:t>89,7</w:t>
            </w:r>
          </w:p>
        </w:tc>
        <w:tc>
          <w:tcPr>
            <w:tcW w:w="1224" w:type="dxa"/>
          </w:tcPr>
          <w:p w:rsidR="00505632" w:rsidRDefault="00505632" w:rsidP="00AD4E52">
            <w:pPr>
              <w:pStyle w:val="CellColumn"/>
              <w:jc w:val="right"/>
            </w:pPr>
            <w:r>
              <w:rPr>
                <w:rFonts w:cs="Times New Roman"/>
              </w:rPr>
              <w:t>78,1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odgoju i obrazovanju u osnovnoj i srednjoj školi</w:t>
      </w:r>
    </w:p>
    <w:p w:rsidR="00505632" w:rsidRDefault="00505632" w:rsidP="00505632">
      <w:pPr>
        <w:pStyle w:val="Heading8"/>
        <w:jc w:val="left"/>
      </w:pPr>
      <w:r>
        <w:t>Opis aktivnosti</w:t>
      </w:r>
    </w:p>
    <w:p w:rsidR="00505632" w:rsidRDefault="00505632" w:rsidP="00505632">
      <w:r>
        <w:t xml:space="preserve">Osiguranje i unapređenje kvalitete te povećanje dostupnosti, učinkovitosti i relevantnosti sustava odgoja i obrazovanja na svim razinama. </w:t>
      </w:r>
    </w:p>
    <w:p w:rsidR="00505632" w:rsidRDefault="00505632" w:rsidP="00505632">
      <w:r>
        <w:t>Raspodjela financijskih sredstava za sufinanciranje obljetnica srednjih škola, časopisa od značenja za srednjoškolsko obrazovanje i održavanje manifestacija u okviru izvannastavnih aktivnosti srednjih škola. Cilj je razvijati sustav osiguranja kvalitete na svim razinama sustava odgoja i obrazovanja i osigurati kvalitetan sustav predškolskog, osnovnoškolskog i srednjoškolskog odgoja i obrazovanja.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Poticanje izvannastavnih aktivnosti</w:t>
            </w:r>
          </w:p>
        </w:tc>
        <w:tc>
          <w:tcPr>
            <w:tcW w:w="2551" w:type="dxa"/>
          </w:tcPr>
          <w:p w:rsidR="00505632" w:rsidRDefault="00505632" w:rsidP="00AD4E52">
            <w:pPr>
              <w:pStyle w:val="CellColumn"/>
              <w:jc w:val="left"/>
            </w:pPr>
            <w:r>
              <w:rPr>
                <w:rFonts w:cs="Times New Roman"/>
              </w:rPr>
              <w:t>Sufinanciranje održavanja manifestacija u okviru izvannastavnih aktivnosti SŠ</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7</w:t>
            </w:r>
          </w:p>
        </w:tc>
      </w:tr>
      <w:tr w:rsidR="00505632" w:rsidTr="00AD4E52">
        <w:trPr>
          <w:jc w:val="center"/>
        </w:trPr>
        <w:tc>
          <w:tcPr>
            <w:tcW w:w="2551" w:type="dxa"/>
          </w:tcPr>
          <w:p w:rsidR="00505632" w:rsidRDefault="00505632" w:rsidP="00AD4E52">
            <w:pPr>
              <w:pStyle w:val="CellColumn"/>
              <w:jc w:val="left"/>
            </w:pPr>
            <w:r>
              <w:rPr>
                <w:rFonts w:cs="Times New Roman"/>
              </w:rPr>
              <w:t>Obljetnice SŠ</w:t>
            </w:r>
          </w:p>
        </w:tc>
        <w:tc>
          <w:tcPr>
            <w:tcW w:w="2551" w:type="dxa"/>
          </w:tcPr>
          <w:p w:rsidR="00505632" w:rsidRDefault="00505632" w:rsidP="00AD4E52">
            <w:pPr>
              <w:pStyle w:val="CellColumn"/>
              <w:jc w:val="left"/>
            </w:pPr>
            <w:r>
              <w:rPr>
                <w:rFonts w:cs="Times New Roman"/>
              </w:rPr>
              <w:t>Sufinanciranje obljetnica osnivanja SŠ</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36</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33</w:t>
            </w:r>
          </w:p>
        </w:tc>
        <w:tc>
          <w:tcPr>
            <w:tcW w:w="1020" w:type="dxa"/>
          </w:tcPr>
          <w:p w:rsidR="00505632" w:rsidRDefault="00505632" w:rsidP="00AD4E52">
            <w:pPr>
              <w:pStyle w:val="CellColumn"/>
              <w:jc w:val="right"/>
            </w:pPr>
            <w:r>
              <w:rPr>
                <w:rFonts w:cs="Times New Roman"/>
              </w:rPr>
              <w:t>36</w:t>
            </w:r>
          </w:p>
        </w:tc>
      </w:tr>
    </w:tbl>
    <w:p w:rsidR="00505632" w:rsidRDefault="00505632" w:rsidP="00505632">
      <w:pPr>
        <w:jc w:val="left"/>
      </w:pPr>
    </w:p>
    <w:p w:rsidR="00505632" w:rsidRDefault="00505632" w:rsidP="00505632">
      <w:pPr>
        <w:pStyle w:val="Heading4"/>
      </w:pPr>
      <w:r>
        <w:t>A580006 STRUČNO USAVRŠAVANJE I IZOBRAZBA UČITELJA I NASTAVNIKA U SREDNJIM ŠKOLAMA I USAVRŠAVANJE ZA PROVEDBU NACIONALNIH PROGRAMA</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A580006-STRUČNO USAVRŠAVANJE I IZOBRAZBA UČITELJA I NASTAVNIKA U SREDNJIM ŠKOLAMA I USAVRŠAVANJE ZA PROVEDBU NACIONALNIH PROGRAMA</w:t>
            </w:r>
          </w:p>
        </w:tc>
        <w:tc>
          <w:tcPr>
            <w:tcW w:w="2041" w:type="dxa"/>
          </w:tcPr>
          <w:p w:rsidR="00505632" w:rsidRDefault="00505632" w:rsidP="00AD4E52">
            <w:pPr>
              <w:pStyle w:val="CellColumn"/>
              <w:jc w:val="right"/>
            </w:pPr>
            <w:r>
              <w:rPr>
                <w:rFonts w:cs="Times New Roman"/>
              </w:rPr>
              <w:t>770.544</w:t>
            </w:r>
          </w:p>
        </w:tc>
        <w:tc>
          <w:tcPr>
            <w:tcW w:w="2041" w:type="dxa"/>
          </w:tcPr>
          <w:p w:rsidR="00505632" w:rsidRDefault="00505632" w:rsidP="00AD4E52">
            <w:pPr>
              <w:pStyle w:val="CellColumn"/>
              <w:jc w:val="right"/>
            </w:pPr>
            <w:r>
              <w:rPr>
                <w:rFonts w:cs="Times New Roman"/>
              </w:rPr>
              <w:t>560.544</w:t>
            </w:r>
          </w:p>
        </w:tc>
        <w:tc>
          <w:tcPr>
            <w:tcW w:w="2041" w:type="dxa"/>
          </w:tcPr>
          <w:p w:rsidR="00505632" w:rsidRDefault="00505632" w:rsidP="00AD4E52">
            <w:pPr>
              <w:pStyle w:val="CellColumn"/>
              <w:jc w:val="right"/>
            </w:pPr>
            <w:r>
              <w:rPr>
                <w:rFonts w:cs="Times New Roman"/>
              </w:rPr>
              <w:t>556.000</w:t>
            </w:r>
          </w:p>
        </w:tc>
        <w:tc>
          <w:tcPr>
            <w:tcW w:w="1224" w:type="dxa"/>
          </w:tcPr>
          <w:p w:rsidR="00505632" w:rsidRDefault="00505632" w:rsidP="00AD4E52">
            <w:pPr>
              <w:pStyle w:val="CellColumn"/>
              <w:jc w:val="right"/>
            </w:pPr>
            <w:r>
              <w:rPr>
                <w:rFonts w:cs="Times New Roman"/>
              </w:rPr>
              <w:t>99,2</w:t>
            </w:r>
          </w:p>
        </w:tc>
        <w:tc>
          <w:tcPr>
            <w:tcW w:w="1224" w:type="dxa"/>
          </w:tcPr>
          <w:p w:rsidR="00505632" w:rsidRDefault="00505632" w:rsidP="00AD4E52">
            <w:pPr>
              <w:pStyle w:val="CellColumn"/>
              <w:jc w:val="right"/>
            </w:pPr>
            <w:r>
              <w:rPr>
                <w:rFonts w:cs="Times New Roman"/>
              </w:rPr>
              <w:t>72,2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w:t>
      </w:r>
    </w:p>
    <w:p w:rsidR="00505632" w:rsidRDefault="00505632" w:rsidP="00505632">
      <w:r>
        <w:t xml:space="preserve">Pravilnik o polaganju stručnog ispita učitelja i stručnih suradnika u osnovnom školstvu i nastavnika u srednjem školstvu </w:t>
      </w:r>
    </w:p>
    <w:p w:rsidR="00505632" w:rsidRDefault="00505632" w:rsidP="00505632">
      <w:r>
        <w:t>Pravilnik o uvjetima i načinu stjecanja stručnih zvanja u knjižničarskoj struci</w:t>
      </w:r>
    </w:p>
    <w:p w:rsidR="00505632" w:rsidRDefault="00505632" w:rsidP="00505632">
      <w:pPr>
        <w:pStyle w:val="Heading8"/>
        <w:jc w:val="left"/>
      </w:pPr>
      <w:r>
        <w:t>Opis aktivnosti</w:t>
      </w:r>
    </w:p>
    <w:p w:rsidR="00505632" w:rsidRDefault="00505632" w:rsidP="00505632">
      <w:r>
        <w:t>Osiguranje i unapređenje kvalitete te povećanje dostupnosti, učinkovitosti i relevantnosti sustava odgoja i obrazovanja na svim razinama. Raspodjela financijskih sredstava za program stručnog usavršavanja učitelja i nastavnika u srednjim školama. Cilj je razvijati sustav osiguranja kvalitete na svim razinama sustava odgoja i obrazovanja te unaprijediti stručne kompetencije odgojno-obrazovnih radnika.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voditelja županijskih stručnih vijeća</w:t>
            </w:r>
          </w:p>
        </w:tc>
        <w:tc>
          <w:tcPr>
            <w:tcW w:w="2551" w:type="dxa"/>
          </w:tcPr>
          <w:p w:rsidR="00505632" w:rsidRDefault="00505632" w:rsidP="00AD4E52">
            <w:pPr>
              <w:pStyle w:val="CellColumn"/>
              <w:jc w:val="left"/>
            </w:pPr>
            <w:r>
              <w:rPr>
                <w:rFonts w:cs="Times New Roman"/>
              </w:rPr>
              <w:t>Usavršavanje nastavnika u srednjim školama</w:t>
            </w:r>
          </w:p>
        </w:tc>
        <w:tc>
          <w:tcPr>
            <w:tcW w:w="1020" w:type="dxa"/>
          </w:tcPr>
          <w:p w:rsidR="00505632" w:rsidRDefault="00505632" w:rsidP="00AD4E52">
            <w:pPr>
              <w:pStyle w:val="CellColumn"/>
              <w:jc w:val="right"/>
            </w:pPr>
            <w:r>
              <w:rPr>
                <w:rFonts w:cs="Times New Roman"/>
              </w:rPr>
              <w:t>Broj stručnih vijeća</w:t>
            </w:r>
          </w:p>
        </w:tc>
        <w:tc>
          <w:tcPr>
            <w:tcW w:w="1020" w:type="dxa"/>
          </w:tcPr>
          <w:p w:rsidR="00505632" w:rsidRDefault="00505632" w:rsidP="00AD4E52">
            <w:pPr>
              <w:pStyle w:val="CellColumn"/>
              <w:jc w:val="right"/>
            </w:pPr>
            <w:r>
              <w:rPr>
                <w:rFonts w:cs="Times New Roman"/>
              </w:rPr>
              <w:t>561</w:t>
            </w:r>
          </w:p>
        </w:tc>
        <w:tc>
          <w:tcPr>
            <w:tcW w:w="1020" w:type="dxa"/>
          </w:tcPr>
          <w:p w:rsidR="00505632" w:rsidRDefault="00505632" w:rsidP="00AD4E52">
            <w:pPr>
              <w:pStyle w:val="CellColumn"/>
              <w:jc w:val="right"/>
            </w:pPr>
            <w:r>
              <w:rPr>
                <w:rFonts w:cs="Times New Roman"/>
              </w:rPr>
              <w:t>AZOO, ASOO</w:t>
            </w:r>
          </w:p>
        </w:tc>
        <w:tc>
          <w:tcPr>
            <w:tcW w:w="1020" w:type="dxa"/>
          </w:tcPr>
          <w:p w:rsidR="00505632" w:rsidRDefault="00505632" w:rsidP="00AD4E52">
            <w:pPr>
              <w:pStyle w:val="CellColumn"/>
              <w:jc w:val="right"/>
            </w:pPr>
            <w:r>
              <w:rPr>
                <w:rFonts w:cs="Times New Roman"/>
              </w:rPr>
              <w:t>565</w:t>
            </w:r>
          </w:p>
        </w:tc>
        <w:tc>
          <w:tcPr>
            <w:tcW w:w="1020" w:type="dxa"/>
          </w:tcPr>
          <w:p w:rsidR="00505632" w:rsidRDefault="00505632" w:rsidP="00AD4E52">
            <w:pPr>
              <w:pStyle w:val="CellColumn"/>
              <w:jc w:val="right"/>
            </w:pPr>
            <w:r>
              <w:rPr>
                <w:rFonts w:cs="Times New Roman"/>
              </w:rPr>
              <w:t>570</w:t>
            </w:r>
          </w:p>
        </w:tc>
      </w:tr>
    </w:tbl>
    <w:p w:rsidR="00505632" w:rsidRDefault="00505632" w:rsidP="00505632">
      <w:pPr>
        <w:jc w:val="left"/>
      </w:pPr>
    </w:p>
    <w:p w:rsidR="00505632" w:rsidRDefault="00505632" w:rsidP="00505632">
      <w:pPr>
        <w:pStyle w:val="Heading4"/>
      </w:pPr>
      <w:r>
        <w:t>A679005 ČLANSTVO U MEĐUNARODNIM UDRUGAMA</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A679005-ČLANSTVO U MEĐUNARODNIM UDRUGAMA</w:t>
            </w:r>
          </w:p>
        </w:tc>
        <w:tc>
          <w:tcPr>
            <w:tcW w:w="2041" w:type="dxa"/>
          </w:tcPr>
          <w:p w:rsidR="00505632" w:rsidRDefault="00505632" w:rsidP="00AD4E52">
            <w:pPr>
              <w:pStyle w:val="CellColumn"/>
              <w:jc w:val="right"/>
            </w:pPr>
            <w:r>
              <w:rPr>
                <w:rFonts w:cs="Times New Roman"/>
              </w:rPr>
              <w:t>5.824.963</w:t>
            </w:r>
          </w:p>
        </w:tc>
        <w:tc>
          <w:tcPr>
            <w:tcW w:w="2041" w:type="dxa"/>
          </w:tcPr>
          <w:p w:rsidR="00505632" w:rsidRDefault="00505632" w:rsidP="00AD4E52">
            <w:pPr>
              <w:pStyle w:val="CellColumn"/>
              <w:jc w:val="right"/>
            </w:pPr>
            <w:r>
              <w:rPr>
                <w:rFonts w:cs="Times New Roman"/>
              </w:rPr>
              <w:t>5.314.583</w:t>
            </w:r>
          </w:p>
        </w:tc>
        <w:tc>
          <w:tcPr>
            <w:tcW w:w="2041" w:type="dxa"/>
          </w:tcPr>
          <w:p w:rsidR="00505632" w:rsidRDefault="00505632" w:rsidP="00AD4E52">
            <w:pPr>
              <w:pStyle w:val="CellColumn"/>
              <w:jc w:val="right"/>
            </w:pPr>
            <w:r>
              <w:rPr>
                <w:rFonts w:cs="Times New Roman"/>
              </w:rPr>
              <w:t>5.314.575</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91,2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Zaključak Vlade RH o pokretanju postupka za pristupanje Hrvatske u pridruženo članstvo Europske organizacije za nuklearna istraživanja (CERN) - donesen na 140. sjednici održanoj dana 6. veljače 2014. godine (Klasa: 022-03/14-07/31, Urbroj: 50310-04/04-14-3), </w:t>
      </w:r>
    </w:p>
    <w:p w:rsidR="00505632" w:rsidRDefault="00505632" w:rsidP="00505632">
      <w:r>
        <w:t xml:space="preserve">Zakon o potvrđivanju Ugovora o osnivanju Europskog laboratorija za molekularnu biologiju (NN, MU, br. 6/06), </w:t>
      </w:r>
    </w:p>
    <w:p w:rsidR="00505632" w:rsidRDefault="00505632" w:rsidP="00505632">
      <w:r>
        <w:t xml:space="preserve">Zakon o potvrđivanju sporazuma o osnivanju Europske konferencije za molekularnu biologiju (NN, MU, br. 14/97), </w:t>
      </w:r>
    </w:p>
    <w:p w:rsidR="00505632" w:rsidRDefault="00505632" w:rsidP="00505632">
      <w:r>
        <w:t xml:space="preserve">Sporazum o provedbi EUREKA programa od 1.1.2013., </w:t>
      </w:r>
    </w:p>
    <w:p w:rsidR="00505632" w:rsidRDefault="00505632" w:rsidP="00505632">
      <w:r>
        <w:t>razmjena pisama ministra prof. dr. Zvonimira Šeparovića i predsjednika RAINIER III, Princa od Monaca, predsjednika CIESM-a</w:t>
      </w:r>
    </w:p>
    <w:p w:rsidR="00505632" w:rsidRDefault="00505632" w:rsidP="00505632">
      <w:pPr>
        <w:pStyle w:val="Heading8"/>
        <w:jc w:val="left"/>
      </w:pPr>
      <w:r>
        <w:t>Opis aktivnosti</w:t>
      </w:r>
    </w:p>
    <w:p w:rsidR="00505632" w:rsidRDefault="00505632" w:rsidP="00505632">
      <w:r>
        <w:t>Sredstvima s ove aktivnosti plaćale su se članarine za pristup i sudjelovanje Republike Hrvatske u raznim međunarodnim organizacijama za čiju je provedbu nadležno Ministarstvo, kao i za članstva visokoobrazovnih znanstvenih ustanova i javnih znanstvenih instituta u međunarodnim znanstvenim udrugama, većina kojih su kontinuirane obveze preuzete ranijih godina, a koje se temelje na odlukama Vlade Republike Hrvatske.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2"/>
        <w:gridCol w:w="2452"/>
        <w:gridCol w:w="1259"/>
        <w:gridCol w:w="1012"/>
        <w:gridCol w:w="1006"/>
        <w:gridCol w:w="1012"/>
        <w:gridCol w:w="1013"/>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bilateralnih znanstvenih projekata</w:t>
            </w:r>
          </w:p>
        </w:tc>
        <w:tc>
          <w:tcPr>
            <w:tcW w:w="2551" w:type="dxa"/>
          </w:tcPr>
          <w:p w:rsidR="00505632" w:rsidRDefault="00505632" w:rsidP="00AD4E52">
            <w:pPr>
              <w:pStyle w:val="CellColumn"/>
              <w:jc w:val="left"/>
            </w:pPr>
            <w:r>
              <w:rPr>
                <w:rFonts w:cs="Times New Roman"/>
              </w:rPr>
              <w:t>Broj bilateralnih znanstvenih projekata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155 </w:t>
            </w:r>
          </w:p>
          <w:p w:rsidR="00505632" w:rsidRDefault="00505632" w:rsidP="00AD4E52">
            <w:pPr>
              <w:pStyle w:val="CellColumn"/>
              <w:jc w:val="right"/>
            </w:pPr>
            <w:r>
              <w:rPr>
                <w:rFonts w:cs="Times New Roman"/>
              </w:rPr>
              <w:t xml:space="preserve"> (2014.)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200</w:t>
            </w:r>
          </w:p>
        </w:tc>
        <w:tc>
          <w:tcPr>
            <w:tcW w:w="1020" w:type="dxa"/>
          </w:tcPr>
          <w:p w:rsidR="00505632" w:rsidRDefault="00505632" w:rsidP="00AD4E52">
            <w:pPr>
              <w:pStyle w:val="CellColumn"/>
              <w:jc w:val="right"/>
            </w:pPr>
            <w:r>
              <w:rPr>
                <w:rFonts w:cs="Times New Roman"/>
              </w:rPr>
              <w:t>209</w:t>
            </w:r>
          </w:p>
        </w:tc>
      </w:tr>
      <w:tr w:rsidR="00505632" w:rsidTr="00AD4E52">
        <w:trPr>
          <w:jc w:val="center"/>
        </w:trPr>
        <w:tc>
          <w:tcPr>
            <w:tcW w:w="2551" w:type="dxa"/>
          </w:tcPr>
          <w:p w:rsidR="00505632" w:rsidRDefault="00505632" w:rsidP="00AD4E52">
            <w:pPr>
              <w:pStyle w:val="CellColumn"/>
              <w:jc w:val="left"/>
            </w:pPr>
            <w:r>
              <w:rPr>
                <w:rFonts w:cs="Times New Roman"/>
              </w:rPr>
              <w:t>Broj prijava međunarodnih znanstveno - istraživačkih projekata u kojima sudjeluju znanstvene organizacije iz RH (Obzor 2020.)</w:t>
            </w:r>
          </w:p>
        </w:tc>
        <w:tc>
          <w:tcPr>
            <w:tcW w:w="2551" w:type="dxa"/>
          </w:tcPr>
          <w:p w:rsidR="00505632" w:rsidRDefault="00505632" w:rsidP="00AD4E52">
            <w:pPr>
              <w:pStyle w:val="CellColumn"/>
              <w:jc w:val="left"/>
            </w:pPr>
            <w:r>
              <w:rPr>
                <w:rFonts w:cs="Times New Roman"/>
              </w:rPr>
              <w:t>Broj prijava međunarodnih znanstveno - istraživačkih projekata u kojima sudjeluju znanstvene organizacije iz RH</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210 </w:t>
            </w:r>
          </w:p>
          <w:p w:rsidR="00505632" w:rsidRDefault="00505632" w:rsidP="00AD4E52">
            <w:pPr>
              <w:pStyle w:val="CellColumn"/>
              <w:jc w:val="right"/>
            </w:pPr>
            <w:r>
              <w:rPr>
                <w:rFonts w:cs="Times New Roman"/>
              </w:rPr>
              <w:t>(2012.)</w:t>
            </w:r>
          </w:p>
        </w:tc>
        <w:tc>
          <w:tcPr>
            <w:tcW w:w="1020" w:type="dxa"/>
          </w:tcPr>
          <w:p w:rsidR="00505632" w:rsidRDefault="00505632" w:rsidP="00AD4E52">
            <w:pPr>
              <w:pStyle w:val="CellColumn"/>
              <w:jc w:val="right"/>
            </w:pPr>
            <w:r>
              <w:rPr>
                <w:rFonts w:cs="Times New Roman"/>
              </w:rPr>
              <w:t>e-corda</w:t>
            </w:r>
          </w:p>
        </w:tc>
        <w:tc>
          <w:tcPr>
            <w:tcW w:w="1020" w:type="dxa"/>
          </w:tcPr>
          <w:p w:rsidR="00505632" w:rsidRDefault="00505632" w:rsidP="00AD4E52">
            <w:pPr>
              <w:pStyle w:val="CellColumn"/>
              <w:jc w:val="right"/>
            </w:pPr>
            <w:r>
              <w:rPr>
                <w:rFonts w:cs="Times New Roman"/>
              </w:rPr>
              <w:t>250</w:t>
            </w:r>
          </w:p>
        </w:tc>
        <w:tc>
          <w:tcPr>
            <w:tcW w:w="1020" w:type="dxa"/>
          </w:tcPr>
          <w:p w:rsidR="00505632" w:rsidRDefault="00505632" w:rsidP="00AD4E52">
            <w:pPr>
              <w:pStyle w:val="CellColumn"/>
              <w:jc w:val="right"/>
            </w:pPr>
            <w:r>
              <w:rPr>
                <w:rFonts w:cs="Times New Roman"/>
              </w:rPr>
              <w:t xml:space="preserve">210 </w:t>
            </w:r>
          </w:p>
          <w:p w:rsidR="00505632" w:rsidRDefault="00505632" w:rsidP="00AD4E52">
            <w:pPr>
              <w:pStyle w:val="CellColumn"/>
              <w:jc w:val="right"/>
            </w:pPr>
            <w:r>
              <w:rPr>
                <w:rFonts w:cs="Times New Roman"/>
              </w:rPr>
              <w:t>(2012.)</w:t>
            </w:r>
          </w:p>
        </w:tc>
      </w:tr>
    </w:tbl>
    <w:p w:rsidR="00505632" w:rsidRDefault="00505632" w:rsidP="00505632">
      <w:pPr>
        <w:jc w:val="left"/>
      </w:pPr>
    </w:p>
    <w:p w:rsidR="00505632" w:rsidRDefault="00505632" w:rsidP="00505632">
      <w:pPr>
        <w:pStyle w:val="Heading4"/>
      </w:pPr>
      <w:r>
        <w:t>A679008 PROGRAM RAZVOJNE SURADNJE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A679008-PROGRAM RAZVOJNE SURADNJE</w:t>
            </w:r>
          </w:p>
        </w:tc>
        <w:tc>
          <w:tcPr>
            <w:tcW w:w="2041" w:type="dxa"/>
          </w:tcPr>
          <w:p w:rsidR="00505632" w:rsidRDefault="00505632" w:rsidP="00AD4E52">
            <w:pPr>
              <w:pStyle w:val="CellColumn"/>
              <w:jc w:val="right"/>
            </w:pPr>
            <w:r>
              <w:rPr>
                <w:rFonts w:cs="Times New Roman"/>
              </w:rPr>
              <w:t>423.622</w:t>
            </w:r>
          </w:p>
        </w:tc>
        <w:tc>
          <w:tcPr>
            <w:tcW w:w="2041" w:type="dxa"/>
          </w:tcPr>
          <w:p w:rsidR="00505632" w:rsidRDefault="00505632" w:rsidP="00AD4E52">
            <w:pPr>
              <w:pStyle w:val="CellColumn"/>
              <w:jc w:val="right"/>
            </w:pPr>
            <w:r>
              <w:rPr>
                <w:rFonts w:cs="Times New Roman"/>
              </w:rPr>
              <w:t>598.500</w:t>
            </w:r>
          </w:p>
        </w:tc>
        <w:tc>
          <w:tcPr>
            <w:tcW w:w="2041" w:type="dxa"/>
          </w:tcPr>
          <w:p w:rsidR="00505632" w:rsidRDefault="00505632" w:rsidP="00AD4E52">
            <w:pPr>
              <w:pStyle w:val="CellColumn"/>
              <w:jc w:val="right"/>
            </w:pPr>
            <w:r>
              <w:rPr>
                <w:rFonts w:cs="Times New Roman"/>
              </w:rPr>
              <w:t>512.529</w:t>
            </w:r>
          </w:p>
        </w:tc>
        <w:tc>
          <w:tcPr>
            <w:tcW w:w="1224" w:type="dxa"/>
          </w:tcPr>
          <w:p w:rsidR="00505632" w:rsidRDefault="00505632" w:rsidP="00AD4E52">
            <w:pPr>
              <w:pStyle w:val="CellColumn"/>
              <w:jc w:val="right"/>
            </w:pPr>
            <w:r>
              <w:rPr>
                <w:rFonts w:cs="Times New Roman"/>
              </w:rPr>
              <w:t>85,6</w:t>
            </w:r>
          </w:p>
        </w:tc>
        <w:tc>
          <w:tcPr>
            <w:tcW w:w="1224" w:type="dxa"/>
          </w:tcPr>
          <w:p w:rsidR="00505632" w:rsidRDefault="00505632" w:rsidP="00AD4E52">
            <w:pPr>
              <w:pStyle w:val="CellColumn"/>
              <w:jc w:val="right"/>
            </w:pPr>
            <w:r>
              <w:rPr>
                <w:rFonts w:cs="Times New Roman"/>
              </w:rPr>
              <w:t>121,0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 xml:space="preserve">Zakon o razvojnoj suradnji i humanitarnoj pomoći inozemstvu </w:t>
      </w:r>
    </w:p>
    <w:p w:rsidR="00505632" w:rsidRDefault="00505632" w:rsidP="00505632">
      <w:r>
        <w:t>Nacionalna strategije razvojne suradnje Republike Hrvatske za razdoblje od 2009. do 2014.</w:t>
      </w:r>
    </w:p>
    <w:p w:rsidR="00505632" w:rsidRDefault="00505632" w:rsidP="00505632">
      <w:pPr>
        <w:pStyle w:val="Heading8"/>
        <w:jc w:val="left"/>
      </w:pPr>
      <w:r>
        <w:t>Opis aktivnosti</w:t>
      </w:r>
    </w:p>
    <w:p w:rsidR="00505632" w:rsidRDefault="00505632" w:rsidP="00505632">
      <w:r>
        <w:t>Republika Hrvatska je temeljem Zakona o razvojnoj suradnji i humanitarnoj pomoći inozemstvu i Nacionalne strategije razvojne suradnje Republike Hrvatske za razdoblje od 2009. do 2014. godine aktivna članica programa razvojne pomoći što je jedan od instrumenta za nova područja suradnje na gospodarskom, socijalnom, kulturnom i humanitarnom području te daje važnu ulogu u vanjskoj politici i jačanju međunarodne suradnje. Ministarstvo je odgovorno za provedbu hrvatskih programa službene razvojne pomoći u okviru svoje nadležnosti te je u 2016. godini dodijelilo 13 stipendija za preddiplomski/ diplomski studij državljanima zemalja primateljicama razvojne pomoći (Namibije, Kenije, Mauricijusa, Kosova i Gambije, Etiopije, Turkmenistana i Afganistana).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Usvojen Akcijski plan za mobilnost istraživača 2016.-2018.</w:t>
            </w:r>
          </w:p>
        </w:tc>
        <w:tc>
          <w:tcPr>
            <w:tcW w:w="2551" w:type="dxa"/>
          </w:tcPr>
          <w:p w:rsidR="00505632" w:rsidRDefault="00505632" w:rsidP="00AD4E52">
            <w:pPr>
              <w:pStyle w:val="CellColumn"/>
              <w:jc w:val="left"/>
            </w:pPr>
            <w:r>
              <w:rPr>
                <w:rFonts w:cs="Times New Roman"/>
              </w:rPr>
              <w:t>Broj bilateralnih znanstvenih projekata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A679009 REDOVNA DJELATNOST LEKTORATA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A679009-REDOVNA DJELATNOST LEKTORATA</w:t>
            </w:r>
          </w:p>
        </w:tc>
        <w:tc>
          <w:tcPr>
            <w:tcW w:w="2041" w:type="dxa"/>
          </w:tcPr>
          <w:p w:rsidR="00505632" w:rsidRDefault="00505632" w:rsidP="00AD4E52">
            <w:pPr>
              <w:pStyle w:val="CellColumn"/>
              <w:jc w:val="right"/>
            </w:pPr>
            <w:r>
              <w:rPr>
                <w:rFonts w:cs="Times New Roman"/>
              </w:rPr>
              <w:t>4.307.470</w:t>
            </w:r>
          </w:p>
        </w:tc>
        <w:tc>
          <w:tcPr>
            <w:tcW w:w="2041" w:type="dxa"/>
          </w:tcPr>
          <w:p w:rsidR="00505632" w:rsidRDefault="00505632" w:rsidP="00AD4E52">
            <w:pPr>
              <w:pStyle w:val="CellColumn"/>
              <w:jc w:val="right"/>
            </w:pPr>
            <w:r>
              <w:rPr>
                <w:rFonts w:cs="Times New Roman"/>
              </w:rPr>
              <w:t>4.665.466</w:t>
            </w:r>
          </w:p>
        </w:tc>
        <w:tc>
          <w:tcPr>
            <w:tcW w:w="2041" w:type="dxa"/>
          </w:tcPr>
          <w:p w:rsidR="00505632" w:rsidRDefault="00505632" w:rsidP="00AD4E52">
            <w:pPr>
              <w:pStyle w:val="CellColumn"/>
              <w:jc w:val="right"/>
            </w:pPr>
            <w:r>
              <w:rPr>
                <w:rFonts w:cs="Times New Roman"/>
              </w:rPr>
              <w:t>4.644.684</w:t>
            </w:r>
          </w:p>
        </w:tc>
        <w:tc>
          <w:tcPr>
            <w:tcW w:w="1224" w:type="dxa"/>
          </w:tcPr>
          <w:p w:rsidR="00505632" w:rsidRDefault="00505632" w:rsidP="00AD4E52">
            <w:pPr>
              <w:pStyle w:val="CellColumn"/>
              <w:jc w:val="right"/>
            </w:pPr>
            <w:r>
              <w:rPr>
                <w:rFonts w:cs="Times New Roman"/>
              </w:rPr>
              <w:t>99,6</w:t>
            </w:r>
          </w:p>
        </w:tc>
        <w:tc>
          <w:tcPr>
            <w:tcW w:w="1224" w:type="dxa"/>
          </w:tcPr>
          <w:p w:rsidR="00505632" w:rsidRDefault="00505632" w:rsidP="00AD4E52">
            <w:pPr>
              <w:pStyle w:val="CellColumn"/>
              <w:jc w:val="right"/>
            </w:pPr>
            <w:r>
              <w:rPr>
                <w:rFonts w:cs="Times New Roman"/>
              </w:rPr>
              <w:t>107,8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Pravilnik o uvjetima za izbor i zasnivanje radnog odnosa lektora hrvatskog jezika i književnosti na stranim visokoškolskim insittucijama</w:t>
      </w:r>
    </w:p>
    <w:p w:rsidR="00505632" w:rsidRDefault="00505632" w:rsidP="00505632">
      <w:pPr>
        <w:pStyle w:val="Heading8"/>
        <w:jc w:val="left"/>
      </w:pPr>
      <w:r>
        <w:t>Opis aktivnosti</w:t>
      </w:r>
    </w:p>
    <w:p w:rsidR="00505632" w:rsidRDefault="00505632" w:rsidP="00505632">
      <w:r>
        <w:t>Ministarstvo sukladno službenoj politici po kojoj je pravilno pozicioniranje, afirmacija i promocija hrvatskoga jezika, književnosti i kulture jedan od nedvojbenih prioriteta, strateški planira i nadzire rad lektorata hrvatskog jezika i književnosti i centara za hrvatske studije na stranim visokim učilištima te prati i podupire djelatnost stranih razmjenskih lektora na hrvatskim sveučilištima.</w:t>
      </w:r>
    </w:p>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stranih visokih učilišta na kojima djeluju lektorati hrvatskoga jezika</w:t>
            </w:r>
          </w:p>
        </w:tc>
        <w:tc>
          <w:tcPr>
            <w:tcW w:w="2551" w:type="dxa"/>
          </w:tcPr>
          <w:p w:rsidR="00505632" w:rsidRDefault="00505632" w:rsidP="00AD4E52">
            <w:pPr>
              <w:pStyle w:val="CellColumn"/>
              <w:jc w:val="left"/>
            </w:pPr>
            <w:r>
              <w:rPr>
                <w:rFonts w:cs="Times New Roman"/>
              </w:rPr>
              <w:t>Broj stranih visokih učilišta na kojima djeluju lektorati hrvatskoga jezika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33</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34</w:t>
            </w:r>
          </w:p>
        </w:tc>
        <w:tc>
          <w:tcPr>
            <w:tcW w:w="1020" w:type="dxa"/>
          </w:tcPr>
          <w:p w:rsidR="00505632" w:rsidRDefault="00505632" w:rsidP="00AD4E52">
            <w:pPr>
              <w:pStyle w:val="CellColumn"/>
              <w:jc w:val="right"/>
            </w:pPr>
            <w:r>
              <w:rPr>
                <w:rFonts w:cs="Times New Roman"/>
              </w:rPr>
              <w:t>34</w:t>
            </w:r>
          </w:p>
        </w:tc>
      </w:tr>
    </w:tbl>
    <w:p w:rsidR="00505632" w:rsidRDefault="00505632" w:rsidP="00505632">
      <w:pPr>
        <w:jc w:val="left"/>
      </w:pPr>
    </w:p>
    <w:p w:rsidR="00505632" w:rsidRDefault="00505632" w:rsidP="00505632">
      <w:pPr>
        <w:pStyle w:val="Heading4"/>
      </w:pPr>
      <w:r>
        <w:t>A679047 MEĐUNARODNA SURADNJA I EUROPSKI POSLOVI</w:t>
      </w:r>
    </w:p>
    <w:tbl>
      <w:tblPr>
        <w:tblStyle w:val="StilTablice"/>
        <w:tblW w:w="10206" w:type="dxa"/>
        <w:jc w:val="center"/>
        <w:tblLook w:val="04A0" w:firstRow="1" w:lastRow="0" w:firstColumn="1" w:lastColumn="0" w:noHBand="0" w:noVBand="1"/>
      </w:tblPr>
      <w:tblGrid>
        <w:gridCol w:w="1703"/>
        <w:gridCol w:w="2021"/>
        <w:gridCol w:w="2020"/>
        <w:gridCol w:w="2021"/>
        <w:gridCol w:w="1220"/>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A679047-MEĐUNARODNA SURADNJA I EUROPSKI POSLOVI</w:t>
            </w:r>
          </w:p>
        </w:tc>
        <w:tc>
          <w:tcPr>
            <w:tcW w:w="2041" w:type="dxa"/>
          </w:tcPr>
          <w:p w:rsidR="00505632" w:rsidRDefault="00505632" w:rsidP="00AD4E52">
            <w:pPr>
              <w:pStyle w:val="CellColumn"/>
              <w:jc w:val="right"/>
            </w:pPr>
            <w:r>
              <w:rPr>
                <w:rFonts w:cs="Times New Roman"/>
              </w:rPr>
              <w:t>544.037</w:t>
            </w:r>
          </w:p>
        </w:tc>
        <w:tc>
          <w:tcPr>
            <w:tcW w:w="2041" w:type="dxa"/>
          </w:tcPr>
          <w:p w:rsidR="00505632" w:rsidRDefault="00505632" w:rsidP="00AD4E52">
            <w:pPr>
              <w:pStyle w:val="CellColumn"/>
              <w:jc w:val="right"/>
            </w:pPr>
            <w:r>
              <w:rPr>
                <w:rFonts w:cs="Times New Roman"/>
              </w:rPr>
              <w:t>538.277</w:t>
            </w:r>
          </w:p>
        </w:tc>
        <w:tc>
          <w:tcPr>
            <w:tcW w:w="2041" w:type="dxa"/>
          </w:tcPr>
          <w:p w:rsidR="00505632" w:rsidRDefault="00505632" w:rsidP="00AD4E52">
            <w:pPr>
              <w:pStyle w:val="CellColumn"/>
              <w:jc w:val="right"/>
            </w:pPr>
            <w:r>
              <w:rPr>
                <w:rFonts w:cs="Times New Roman"/>
              </w:rPr>
              <w:t>400.119</w:t>
            </w:r>
          </w:p>
        </w:tc>
        <w:tc>
          <w:tcPr>
            <w:tcW w:w="1224" w:type="dxa"/>
          </w:tcPr>
          <w:p w:rsidR="00505632" w:rsidRDefault="00505632" w:rsidP="00AD4E52">
            <w:pPr>
              <w:pStyle w:val="CellColumn"/>
              <w:jc w:val="right"/>
            </w:pPr>
            <w:r>
              <w:rPr>
                <w:rFonts w:cs="Times New Roman"/>
              </w:rPr>
              <w:t>74,3</w:t>
            </w:r>
          </w:p>
        </w:tc>
        <w:tc>
          <w:tcPr>
            <w:tcW w:w="1224" w:type="dxa"/>
          </w:tcPr>
          <w:p w:rsidR="00505632" w:rsidRDefault="00505632" w:rsidP="00AD4E52">
            <w:pPr>
              <w:pStyle w:val="CellColumn"/>
              <w:jc w:val="right"/>
            </w:pPr>
            <w:r>
              <w:rPr>
                <w:rFonts w:cs="Times New Roman"/>
              </w:rPr>
              <w:t>73,5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Zakon o Agenciji za mobilnost i programe EU-a</w:t>
      </w:r>
    </w:p>
    <w:p w:rsidR="00505632" w:rsidRDefault="00505632" w:rsidP="00505632">
      <w:pPr>
        <w:pStyle w:val="Heading8"/>
        <w:jc w:val="left"/>
      </w:pPr>
      <w:r>
        <w:t>Opis aktivnosti</w:t>
      </w:r>
    </w:p>
    <w:p w:rsidR="00505632" w:rsidRDefault="00505632" w:rsidP="00505632">
      <w:r>
        <w:t xml:space="preserve">Hrvatska kao članica EU-a sustavno radi na internacionalizaciji obrazovanja što prvenstveno podrazumijeva veću uključenost odgojno-obrazovnih ustanova u provedbu ciljeva europske obrazovne politike. Glavni finanicjski instrument za internacionalizaciju obrazovanja je Program za obrazovanje, osposobljavanje, mlade i sport EU-a Erasmus+ (2014.-2020.) za čiju je provedbu nadležna Agencija za mobilnost i programe EU-a. Programom Erasmus+ ostvareno je povećanje broja hrvatskih odgojno-obrazovnih ustanova koje sudjeluju u međunarodnim projektima čiji je cilj povećanje kvalitetne mobilnosti što ima učinak na povećanje kvalitete obrazovnog sustava. </w:t>
      </w:r>
    </w:p>
    <w:p w:rsidR="00505632" w:rsidRDefault="00505632" w:rsidP="00505632">
      <w:r>
        <w:t xml:space="preserve">Pored toga, predstavnici Republike Hrvatske sudjeluju u radnim tijelima i mrežama institucija EU (pri Europskoj komisiji i Vijeću EU) kao i u radnim grupama i tijelima međunarodnih organizacija (ERI SEE/Education Reform Initiative of South Eastern Europe, UNESCO, Vijeće Europe/Council of Europe itd.). </w:t>
      </w:r>
    </w:p>
    <w:p w:rsidR="00505632" w:rsidRDefault="00505632" w:rsidP="00505632">
      <w:r>
        <w:t>Za sudjelovanje u ERI SEE zemlje potpisnice međudržavnog sporazuma plaćaju članarinu iz koje se financiraju regionalne aktivnosti na provedbi ciljeva obrazovne politike Europske unije.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odgojno-obrazovnih djelatnika iz predškolskog (ISCED 0) i osnovnoškolskog (ISCED 1 - 2) obrazovanja koji su sudjelovali u aktivnostima profesionalnog razvoja u inozemstvu uz potporu programa Erasmus+</w:t>
            </w:r>
          </w:p>
        </w:tc>
        <w:tc>
          <w:tcPr>
            <w:tcW w:w="2551" w:type="dxa"/>
          </w:tcPr>
          <w:p w:rsidR="00505632" w:rsidRDefault="00505632" w:rsidP="00AD4E52">
            <w:pPr>
              <w:pStyle w:val="CellColumn"/>
              <w:jc w:val="left"/>
            </w:pPr>
            <w:r>
              <w:rPr>
                <w:rFonts w:cs="Times New Roman"/>
              </w:rPr>
              <w:t>Broj odgojno-obrazovnih djelatnika iz predškolskog (ISCED 0) i osnovnoškolskog (ISCED 1 - 2) obrazovanja koji su sudjelovali u aktivnostima profesionalnog razvoja u inozemstvu uz potporu programa Erasmus+</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65</w:t>
            </w:r>
          </w:p>
        </w:tc>
        <w:tc>
          <w:tcPr>
            <w:tcW w:w="1020" w:type="dxa"/>
          </w:tcPr>
          <w:p w:rsidR="00505632" w:rsidRDefault="00505632" w:rsidP="00AD4E52">
            <w:pPr>
              <w:pStyle w:val="CellColumn"/>
              <w:jc w:val="right"/>
            </w:pPr>
            <w:r>
              <w:rPr>
                <w:rFonts w:cs="Times New Roman"/>
              </w:rPr>
              <w:t>AMPEU</w:t>
            </w:r>
          </w:p>
        </w:tc>
        <w:tc>
          <w:tcPr>
            <w:tcW w:w="1020" w:type="dxa"/>
          </w:tcPr>
          <w:p w:rsidR="00505632" w:rsidRDefault="00505632" w:rsidP="00AD4E52">
            <w:pPr>
              <w:pStyle w:val="CellColumn"/>
              <w:jc w:val="right"/>
            </w:pPr>
            <w:r>
              <w:rPr>
                <w:rFonts w:cs="Times New Roman"/>
              </w:rPr>
              <w:t>165</w:t>
            </w:r>
          </w:p>
        </w:tc>
        <w:tc>
          <w:tcPr>
            <w:tcW w:w="1020" w:type="dxa"/>
          </w:tcPr>
          <w:p w:rsidR="00505632" w:rsidRDefault="00505632" w:rsidP="00AD4E52">
            <w:pPr>
              <w:pStyle w:val="CellColumn"/>
              <w:jc w:val="right"/>
            </w:pPr>
            <w:r>
              <w:rPr>
                <w:rFonts w:cs="Times New Roman"/>
              </w:rPr>
              <w:t>182</w:t>
            </w:r>
          </w:p>
        </w:tc>
      </w:tr>
      <w:tr w:rsidR="00505632" w:rsidTr="00AD4E52">
        <w:trPr>
          <w:jc w:val="center"/>
        </w:trPr>
        <w:tc>
          <w:tcPr>
            <w:tcW w:w="2551" w:type="dxa"/>
          </w:tcPr>
          <w:p w:rsidR="00505632" w:rsidRDefault="00505632" w:rsidP="00AD4E52">
            <w:pPr>
              <w:pStyle w:val="CellColumn"/>
              <w:jc w:val="left"/>
            </w:pPr>
            <w:r>
              <w:rPr>
                <w:rFonts w:cs="Times New Roman"/>
              </w:rPr>
              <w:t>Broj odgojno-obrazovnih djelatnika iz gimnazija (ISCED 3) koji su sudjelovali u aktivnostima profesionalnog razvoja u inozemstvu uz potporu programa Erasmus+</w:t>
            </w:r>
          </w:p>
        </w:tc>
        <w:tc>
          <w:tcPr>
            <w:tcW w:w="2551" w:type="dxa"/>
          </w:tcPr>
          <w:p w:rsidR="00505632" w:rsidRDefault="00505632" w:rsidP="00AD4E52">
            <w:pPr>
              <w:pStyle w:val="CellColumn"/>
              <w:jc w:val="left"/>
            </w:pPr>
            <w:r>
              <w:rPr>
                <w:rFonts w:cs="Times New Roman"/>
              </w:rPr>
              <w:t>Broj odgojno-obrazovnih djelatnika iz gimnazija (ISCED 3) koji su sudjelovali u aktivnostima profesionalnog razvoja u inozemstvu uz potporu programa Erasmus+</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AMPEU</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34</w:t>
            </w:r>
          </w:p>
        </w:tc>
      </w:tr>
    </w:tbl>
    <w:p w:rsidR="00505632" w:rsidRDefault="00505632" w:rsidP="00505632">
      <w:pPr>
        <w:jc w:val="left"/>
      </w:pPr>
    </w:p>
    <w:p w:rsidR="00505632" w:rsidRDefault="00505632" w:rsidP="00505632">
      <w:pPr>
        <w:pStyle w:val="Heading4"/>
      </w:pPr>
      <w:r>
        <w:t>A733049 EUROPSKA AGENCIJA ZA POSEBNE POTREBE I INKLUZIVNO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A733049-EUROPSKA AGENCIJA ZA POSEBNE POTREBE I INKLUZIVNO OBRAZOVANJE</w:t>
            </w:r>
          </w:p>
        </w:tc>
        <w:tc>
          <w:tcPr>
            <w:tcW w:w="2041" w:type="dxa"/>
          </w:tcPr>
          <w:p w:rsidR="00505632" w:rsidRDefault="00505632" w:rsidP="00AD4E52">
            <w:pPr>
              <w:pStyle w:val="CellColumn"/>
              <w:jc w:val="right"/>
            </w:pPr>
            <w:r>
              <w:rPr>
                <w:rFonts w:cs="Times New Roman"/>
              </w:rPr>
              <w:t>240.000</w:t>
            </w:r>
          </w:p>
        </w:tc>
        <w:tc>
          <w:tcPr>
            <w:tcW w:w="2041" w:type="dxa"/>
          </w:tcPr>
          <w:p w:rsidR="00505632" w:rsidRDefault="00505632" w:rsidP="00AD4E52">
            <w:pPr>
              <w:pStyle w:val="CellColumn"/>
              <w:jc w:val="right"/>
            </w:pPr>
            <w:r>
              <w:rPr>
                <w:rFonts w:cs="Times New Roman"/>
              </w:rPr>
              <w:t>292.723</w:t>
            </w:r>
          </w:p>
        </w:tc>
        <w:tc>
          <w:tcPr>
            <w:tcW w:w="2041" w:type="dxa"/>
          </w:tcPr>
          <w:p w:rsidR="00505632" w:rsidRDefault="00505632" w:rsidP="00AD4E52">
            <w:pPr>
              <w:pStyle w:val="CellColumn"/>
              <w:jc w:val="right"/>
            </w:pPr>
            <w:r>
              <w:rPr>
                <w:rFonts w:cs="Times New Roman"/>
              </w:rPr>
              <w:t>288.207</w:t>
            </w:r>
          </w:p>
        </w:tc>
        <w:tc>
          <w:tcPr>
            <w:tcW w:w="1224" w:type="dxa"/>
          </w:tcPr>
          <w:p w:rsidR="00505632" w:rsidRDefault="00505632" w:rsidP="00AD4E52">
            <w:pPr>
              <w:pStyle w:val="CellColumn"/>
              <w:jc w:val="right"/>
            </w:pPr>
            <w:r>
              <w:rPr>
                <w:rFonts w:cs="Times New Roman"/>
              </w:rPr>
              <w:t>98,5</w:t>
            </w:r>
          </w:p>
        </w:tc>
        <w:tc>
          <w:tcPr>
            <w:tcW w:w="1224" w:type="dxa"/>
          </w:tcPr>
          <w:p w:rsidR="00505632" w:rsidRDefault="00505632" w:rsidP="00AD4E52">
            <w:pPr>
              <w:pStyle w:val="CellColumn"/>
              <w:jc w:val="right"/>
            </w:pPr>
            <w:r>
              <w:rPr>
                <w:rFonts w:cs="Times New Roman"/>
              </w:rPr>
              <w:t>120,1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UN Konvencija o pravima djeteta, UN Konvencija o pravima osoba s invaliditetom, Nacionalna strategija izjednačavanja mogućnosti za osobe s invaliditetom, Nacionalna strategija za prava djece 2014.- 2020</w:t>
      </w:r>
    </w:p>
    <w:p w:rsidR="00505632" w:rsidRDefault="00505632" w:rsidP="00505632">
      <w:pPr>
        <w:pStyle w:val="Heading8"/>
        <w:jc w:val="left"/>
      </w:pPr>
      <w:r>
        <w:t>Opis aktivnosti</w:t>
      </w:r>
    </w:p>
    <w:p w:rsidR="00505632" w:rsidRDefault="00505632" w:rsidP="00505632">
      <w:r>
        <w:t>Ulaskom u EU Hrvatska je postala punopravnom članicom Europske agencije za posebne potrebe i inkluzivno obrazovanje što zahtjeva aktivno sudjelovanje imenovanih predstavnika Ministarstva znanosti i obrazovanja kao i suradnika na službenim obveznim radnim sastancima s ciljem poboljšanja obrazovne politike i prakse za učenike s invaliditetom i posebnim obrazovnim potrebama.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održanih sastanaka  s predstavnicima Agencije i zemalja članica</w:t>
            </w:r>
          </w:p>
        </w:tc>
        <w:tc>
          <w:tcPr>
            <w:tcW w:w="2551" w:type="dxa"/>
          </w:tcPr>
          <w:p w:rsidR="00505632" w:rsidRDefault="00505632" w:rsidP="00AD4E52">
            <w:pPr>
              <w:pStyle w:val="CellColumn"/>
              <w:jc w:val="left"/>
            </w:pPr>
            <w:r>
              <w:rPr>
                <w:rFonts w:cs="Times New Roman"/>
              </w:rPr>
              <w:t>Održavanje sastanaka s predstavnicima Agencije i zemalja članica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3</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A733051 PROGRAMI IZRADE UDŽBENIKA ZA SLIJEPE I SLABOVIDNE UČENIKE I STUDENTE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A733051-PROGRAMI IZRADE UDŽBENIKA ZA SLIJEPE I SLABOVIDNE UČENIKE I STUDENTE</w:t>
            </w:r>
          </w:p>
        </w:tc>
        <w:tc>
          <w:tcPr>
            <w:tcW w:w="2041" w:type="dxa"/>
          </w:tcPr>
          <w:p w:rsidR="00505632" w:rsidRDefault="00505632" w:rsidP="00AD4E52">
            <w:pPr>
              <w:pStyle w:val="CellColumn"/>
              <w:jc w:val="right"/>
            </w:pPr>
            <w:r>
              <w:rPr>
                <w:rFonts w:cs="Times New Roman"/>
              </w:rPr>
              <w:t>724.650</w:t>
            </w:r>
          </w:p>
        </w:tc>
        <w:tc>
          <w:tcPr>
            <w:tcW w:w="2041" w:type="dxa"/>
          </w:tcPr>
          <w:p w:rsidR="00505632" w:rsidRDefault="00505632" w:rsidP="00AD4E52">
            <w:pPr>
              <w:pStyle w:val="CellColumn"/>
              <w:jc w:val="right"/>
            </w:pPr>
            <w:r>
              <w:rPr>
                <w:rFonts w:cs="Times New Roman"/>
              </w:rPr>
              <w:t>1.691.522</w:t>
            </w:r>
          </w:p>
        </w:tc>
        <w:tc>
          <w:tcPr>
            <w:tcW w:w="2041" w:type="dxa"/>
          </w:tcPr>
          <w:p w:rsidR="00505632" w:rsidRDefault="00505632" w:rsidP="00AD4E52">
            <w:pPr>
              <w:pStyle w:val="CellColumn"/>
              <w:jc w:val="right"/>
            </w:pPr>
            <w:r>
              <w:rPr>
                <w:rFonts w:cs="Times New Roman"/>
              </w:rPr>
              <w:t>1.076.055</w:t>
            </w:r>
          </w:p>
        </w:tc>
        <w:tc>
          <w:tcPr>
            <w:tcW w:w="1224" w:type="dxa"/>
          </w:tcPr>
          <w:p w:rsidR="00505632" w:rsidRDefault="00505632" w:rsidP="00AD4E52">
            <w:pPr>
              <w:pStyle w:val="CellColumn"/>
              <w:jc w:val="right"/>
            </w:pPr>
            <w:r>
              <w:rPr>
                <w:rFonts w:cs="Times New Roman"/>
              </w:rPr>
              <w:t>63,6</w:t>
            </w:r>
          </w:p>
        </w:tc>
        <w:tc>
          <w:tcPr>
            <w:tcW w:w="1224" w:type="dxa"/>
          </w:tcPr>
          <w:p w:rsidR="00505632" w:rsidRDefault="00505632" w:rsidP="00AD4E52">
            <w:pPr>
              <w:pStyle w:val="CellColumn"/>
              <w:jc w:val="right"/>
            </w:pPr>
            <w:r>
              <w:rPr>
                <w:rFonts w:cs="Times New Roman"/>
              </w:rPr>
              <w:t>148,5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udžbenicima</w:t>
      </w:r>
    </w:p>
    <w:p w:rsidR="00505632" w:rsidRDefault="00505632" w:rsidP="00505632">
      <w:pPr>
        <w:pStyle w:val="Heading8"/>
        <w:jc w:val="left"/>
      </w:pPr>
      <w:r>
        <w:t>Opis aktivnosti</w:t>
      </w:r>
    </w:p>
    <w:p w:rsidR="00505632" w:rsidRDefault="00505632" w:rsidP="00505632">
      <w:r>
        <w:t>Na temelju Odluke o raspodjeli i dodjeli financijskih sredstava udrugama u iznosu od 753.522 kn za financiranje projekata za prilagodbu i izradu udžbenika/literature za slijepe i slabovidne učenike i studente za školsku/akademsku godinu 2016./2017. – osigurano je financiranje 10 projekata koji će omogućiti prilagodbu udžbenika i pripadajućih dopunskih nastavnih sredstava slabovidnim i slijepim učenicima i studentima u cilju unaprjeđivanja kvalitete osnovnoškolskog, srednjoškolskog i visokoškolskog obrazovanja sukladno njihovim mogućnostima i potrebama.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odobrenih projekata za izdavanje udžbenika za slijepe i slabovidne učenike osnovnih i srednjih škola i studente na Brailleovom pismu (u tiskanom i elektroničkom obliku)</w:t>
            </w:r>
          </w:p>
        </w:tc>
        <w:tc>
          <w:tcPr>
            <w:tcW w:w="2551" w:type="dxa"/>
          </w:tcPr>
          <w:p w:rsidR="00505632" w:rsidRDefault="00505632" w:rsidP="00AD4E52">
            <w:pPr>
              <w:pStyle w:val="CellColumn"/>
              <w:jc w:val="left"/>
            </w:pPr>
            <w:r>
              <w:rPr>
                <w:rFonts w:cs="Times New Roman"/>
              </w:rPr>
              <w:t>Osigurati udžbenike za slijepe i slabovidne učenike osnovnih i srednjih škola i studente na Brailleovom pismu (u tiskanom i elektroničkom obliku)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10</w:t>
            </w:r>
          </w:p>
        </w:tc>
      </w:tr>
    </w:tbl>
    <w:p w:rsidR="00505632" w:rsidRDefault="00505632" w:rsidP="00505632">
      <w:pPr>
        <w:jc w:val="left"/>
      </w:pPr>
    </w:p>
    <w:p w:rsidR="00505632" w:rsidRDefault="00505632" w:rsidP="00505632">
      <w:pPr>
        <w:pStyle w:val="Heading4"/>
      </w:pPr>
      <w:r>
        <w:t>A767002 IZRADA DEFICITARNIH UDŽBENIKA U ŠKOLSTVU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A767002-IZRADA DEFICITARNIH UDŽBENIKA U ŠKOLSTVU</w:t>
            </w:r>
          </w:p>
        </w:tc>
        <w:tc>
          <w:tcPr>
            <w:tcW w:w="2041" w:type="dxa"/>
          </w:tcPr>
          <w:p w:rsidR="00505632" w:rsidRDefault="00505632" w:rsidP="00AD4E52">
            <w:pPr>
              <w:pStyle w:val="CellColumn"/>
              <w:jc w:val="right"/>
            </w:pPr>
            <w:r>
              <w:rPr>
                <w:rFonts w:cs="Times New Roman"/>
              </w:rPr>
              <w:t>316.228</w:t>
            </w:r>
          </w:p>
        </w:tc>
        <w:tc>
          <w:tcPr>
            <w:tcW w:w="2041" w:type="dxa"/>
          </w:tcPr>
          <w:p w:rsidR="00505632" w:rsidRDefault="00505632" w:rsidP="00AD4E52">
            <w:pPr>
              <w:pStyle w:val="CellColumn"/>
              <w:jc w:val="right"/>
            </w:pPr>
            <w:r>
              <w:rPr>
                <w:rFonts w:cs="Times New Roman"/>
              </w:rPr>
              <w:t>366.228</w:t>
            </w:r>
          </w:p>
        </w:tc>
        <w:tc>
          <w:tcPr>
            <w:tcW w:w="2041" w:type="dxa"/>
          </w:tcPr>
          <w:p w:rsidR="00505632" w:rsidRDefault="00505632" w:rsidP="00AD4E52">
            <w:pPr>
              <w:pStyle w:val="CellColumn"/>
              <w:jc w:val="right"/>
            </w:pPr>
            <w:r>
              <w:rPr>
                <w:rFonts w:cs="Times New Roman"/>
              </w:rPr>
              <w:t>366.000</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115,7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udžbenicima </w:t>
      </w:r>
    </w:p>
    <w:p w:rsidR="00505632" w:rsidRDefault="00505632" w:rsidP="00505632">
      <w:r>
        <w:t>Strategija obrazovanja, znanosti i tehnologije</w:t>
      </w:r>
    </w:p>
    <w:p w:rsidR="00505632" w:rsidRDefault="00505632" w:rsidP="00505632">
      <w:pPr>
        <w:pStyle w:val="Heading8"/>
        <w:jc w:val="left"/>
      </w:pPr>
      <w:r>
        <w:t>Opis aktivnosti</w:t>
      </w:r>
    </w:p>
    <w:p w:rsidR="00505632" w:rsidRDefault="00505632" w:rsidP="00505632">
      <w:r>
        <w:t>U okviru aktivnosti Sufinanciranje deficitarnih udžbenika ukupno je u 2016. godini sufinancirano 6 projekata u ukupnom iznosu od 366.000,00 kn (sufinancirani su projekti izrade deficitarnih udžbenika za učenike s teškoćama u razvoju i za udžbenike male naklade za strukovne programe).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odobrenih projekata za sufinanciranje deficitarnih udžbenike za učenike s teškoćam au razvoju i strukovne programe</w:t>
            </w:r>
          </w:p>
        </w:tc>
        <w:tc>
          <w:tcPr>
            <w:tcW w:w="2551" w:type="dxa"/>
          </w:tcPr>
          <w:p w:rsidR="00505632" w:rsidRDefault="00505632" w:rsidP="00AD4E52">
            <w:pPr>
              <w:pStyle w:val="CellColumn"/>
              <w:jc w:val="left"/>
            </w:pPr>
            <w:r>
              <w:rPr>
                <w:rFonts w:cs="Times New Roman"/>
              </w:rPr>
              <w:t>Osigurati sufinanciranje deficitarnih udžbenike za učenike s teškoćam u razvoju i strukovne programe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6</w:t>
            </w:r>
          </w:p>
        </w:tc>
        <w:tc>
          <w:tcPr>
            <w:tcW w:w="1020" w:type="dxa"/>
          </w:tcPr>
          <w:p w:rsidR="00505632" w:rsidRDefault="00505632" w:rsidP="00AD4E52">
            <w:pPr>
              <w:pStyle w:val="CellColumn"/>
              <w:jc w:val="right"/>
            </w:pPr>
            <w:r>
              <w:rPr>
                <w:rFonts w:cs="Times New Roman"/>
              </w:rPr>
              <w:t>6</w:t>
            </w:r>
          </w:p>
        </w:tc>
      </w:tr>
    </w:tbl>
    <w:p w:rsidR="00505632" w:rsidRDefault="00505632" w:rsidP="00505632">
      <w:pPr>
        <w:jc w:val="left"/>
      </w:pPr>
    </w:p>
    <w:p w:rsidR="00505632" w:rsidRDefault="00505632" w:rsidP="00505632">
      <w:pPr>
        <w:pStyle w:val="Heading4"/>
      </w:pPr>
      <w:r>
        <w:t>A767003 PROVEDBA NACIONALNOG PROGRAMA ZA ROME-REF</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A767003-PROVEDBA NACIONALNOG PROGRAMA ZA ROME-REF</w:t>
            </w:r>
          </w:p>
        </w:tc>
        <w:tc>
          <w:tcPr>
            <w:tcW w:w="2041" w:type="dxa"/>
          </w:tcPr>
          <w:p w:rsidR="00505632" w:rsidRDefault="00505632" w:rsidP="00AD4E52">
            <w:pPr>
              <w:pStyle w:val="CellColumn"/>
              <w:jc w:val="right"/>
            </w:pPr>
            <w:r>
              <w:rPr>
                <w:rFonts w:cs="Times New Roman"/>
              </w:rPr>
              <w:t>4.532.880</w:t>
            </w:r>
          </w:p>
        </w:tc>
        <w:tc>
          <w:tcPr>
            <w:tcW w:w="2041" w:type="dxa"/>
          </w:tcPr>
          <w:p w:rsidR="00505632" w:rsidRDefault="00505632" w:rsidP="00AD4E52">
            <w:pPr>
              <w:pStyle w:val="CellColumn"/>
              <w:jc w:val="right"/>
            </w:pPr>
            <w:r>
              <w:rPr>
                <w:rFonts w:cs="Times New Roman"/>
              </w:rPr>
              <w:t>4.782.880</w:t>
            </w:r>
          </w:p>
        </w:tc>
        <w:tc>
          <w:tcPr>
            <w:tcW w:w="2041" w:type="dxa"/>
          </w:tcPr>
          <w:p w:rsidR="00505632" w:rsidRDefault="00505632" w:rsidP="00AD4E52">
            <w:pPr>
              <w:pStyle w:val="CellColumn"/>
              <w:jc w:val="right"/>
            </w:pPr>
            <w:r>
              <w:rPr>
                <w:rFonts w:cs="Times New Roman"/>
              </w:rPr>
              <w:t>4.054.628</w:t>
            </w:r>
          </w:p>
        </w:tc>
        <w:tc>
          <w:tcPr>
            <w:tcW w:w="1224" w:type="dxa"/>
          </w:tcPr>
          <w:p w:rsidR="00505632" w:rsidRDefault="00505632" w:rsidP="00AD4E52">
            <w:pPr>
              <w:pStyle w:val="CellColumn"/>
              <w:jc w:val="right"/>
            </w:pPr>
            <w:r>
              <w:rPr>
                <w:rFonts w:cs="Times New Roman"/>
              </w:rPr>
              <w:t>84,8</w:t>
            </w:r>
          </w:p>
        </w:tc>
        <w:tc>
          <w:tcPr>
            <w:tcW w:w="1224" w:type="dxa"/>
          </w:tcPr>
          <w:p w:rsidR="00505632" w:rsidRDefault="00505632" w:rsidP="00AD4E52">
            <w:pPr>
              <w:pStyle w:val="CellColumn"/>
              <w:jc w:val="right"/>
            </w:pPr>
            <w:r>
              <w:rPr>
                <w:rFonts w:cs="Times New Roman"/>
              </w:rPr>
              <w:t>89,4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w:t>
      </w:r>
    </w:p>
    <w:p w:rsidR="00505632" w:rsidRDefault="00505632" w:rsidP="00505632">
      <w:r>
        <w:t>Nacionalna strategija za uključivanje Roma za razdoblje od 2013. do 2020. godine</w:t>
      </w:r>
    </w:p>
    <w:p w:rsidR="00505632" w:rsidRDefault="00505632" w:rsidP="00505632">
      <w:pPr>
        <w:pStyle w:val="Heading8"/>
        <w:jc w:val="left"/>
      </w:pPr>
      <w:r>
        <w:t>Opis aktivnosti</w:t>
      </w:r>
    </w:p>
    <w:p w:rsidR="00505632" w:rsidRDefault="00505632" w:rsidP="00505632">
      <w:r>
        <w:t>Ministarstvo temeljem Nacionalne strategije za uključivanje Roma 2013.-2020. godine osigurava sredstva za provedbu aktivnosti koje su definirane navedenom strategijom. Ministarstvo osigurava produženi boravak za djecu pripadnike romske nacionalne manjine kao i maturalna putovanja, školu u prirodi te smještaj i prehranu u učeničkim domovima. Također, Ministarstvo osigurava i stipendije za učenike srednjih škola, pripadnike romske nacionalne manjine. Iz godišnjih izvješća vidljivo je značajno povećanje uključivanja djece pripadnika romske nacionalne manjine u odgojno-obrazovni sustav, kao i povećanje broja korisnika srednjoškolskih stipendija.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učenika pripadnika romske nacionalne manjine uključenih u programe produženog boravka</w:t>
            </w:r>
          </w:p>
        </w:tc>
        <w:tc>
          <w:tcPr>
            <w:tcW w:w="2551" w:type="dxa"/>
          </w:tcPr>
          <w:p w:rsidR="00505632" w:rsidRDefault="00505632" w:rsidP="00AD4E52">
            <w:pPr>
              <w:pStyle w:val="CellColumn"/>
              <w:jc w:val="left"/>
            </w:pPr>
            <w:r>
              <w:rPr>
                <w:rFonts w:cs="Times New Roman"/>
              </w:rPr>
              <w:t>Osiguravanje produženog boravka za učenike pripadnike romske nacionalne manjine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300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300</w:t>
            </w:r>
          </w:p>
        </w:tc>
        <w:tc>
          <w:tcPr>
            <w:tcW w:w="1020" w:type="dxa"/>
          </w:tcPr>
          <w:p w:rsidR="00505632" w:rsidRDefault="00505632" w:rsidP="00AD4E52">
            <w:pPr>
              <w:pStyle w:val="CellColumn"/>
              <w:jc w:val="right"/>
            </w:pPr>
            <w:r>
              <w:rPr>
                <w:rFonts w:cs="Times New Roman"/>
              </w:rPr>
              <w:t>258</w:t>
            </w:r>
          </w:p>
        </w:tc>
      </w:tr>
      <w:tr w:rsidR="00505632" w:rsidTr="00AD4E52">
        <w:trPr>
          <w:jc w:val="center"/>
        </w:trPr>
        <w:tc>
          <w:tcPr>
            <w:tcW w:w="2551" w:type="dxa"/>
          </w:tcPr>
          <w:p w:rsidR="00505632" w:rsidRDefault="00505632" w:rsidP="00AD4E52">
            <w:pPr>
              <w:pStyle w:val="CellColumn"/>
              <w:jc w:val="left"/>
            </w:pPr>
            <w:r>
              <w:rPr>
                <w:rFonts w:cs="Times New Roman"/>
              </w:rPr>
              <w:t>Broj učenika pripadnika romske nacionalne manjine srednjih škola kojima su osigurane stipendije</w:t>
            </w:r>
          </w:p>
        </w:tc>
        <w:tc>
          <w:tcPr>
            <w:tcW w:w="2551" w:type="dxa"/>
          </w:tcPr>
          <w:p w:rsidR="00505632" w:rsidRDefault="00505632" w:rsidP="00AD4E52">
            <w:pPr>
              <w:pStyle w:val="CellColumn"/>
              <w:jc w:val="left"/>
            </w:pPr>
            <w:r>
              <w:rPr>
                <w:rFonts w:cs="Times New Roman"/>
              </w:rPr>
              <w:t>Osiguravanje stipendija učenicima srednjih škola, pripadnicima romske nacionalne manjine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650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700</w:t>
            </w:r>
          </w:p>
        </w:tc>
        <w:tc>
          <w:tcPr>
            <w:tcW w:w="1020" w:type="dxa"/>
          </w:tcPr>
          <w:p w:rsidR="00505632" w:rsidRDefault="00505632" w:rsidP="00AD4E52">
            <w:pPr>
              <w:pStyle w:val="CellColumn"/>
              <w:jc w:val="right"/>
            </w:pPr>
            <w:r>
              <w:rPr>
                <w:rFonts w:cs="Times New Roman"/>
              </w:rPr>
              <w:t>675</w:t>
            </w:r>
          </w:p>
        </w:tc>
      </w:tr>
    </w:tbl>
    <w:p w:rsidR="00505632" w:rsidRDefault="00505632" w:rsidP="00505632">
      <w:pPr>
        <w:jc w:val="left"/>
      </w:pPr>
    </w:p>
    <w:p w:rsidR="00505632" w:rsidRDefault="00505632" w:rsidP="00505632">
      <w:pPr>
        <w:pStyle w:val="Heading4"/>
      </w:pPr>
      <w:r>
        <w:t>A767004 NAOBRAZBA DJECE U ALTERNATIVNIM ŠKOLAMA</w:t>
      </w:r>
    </w:p>
    <w:tbl>
      <w:tblPr>
        <w:tblStyle w:val="StilTablice"/>
        <w:tblW w:w="10206" w:type="dxa"/>
        <w:jc w:val="center"/>
        <w:tblLook w:val="04A0" w:firstRow="1" w:lastRow="0" w:firstColumn="1" w:lastColumn="0" w:noHBand="0" w:noVBand="1"/>
      </w:tblPr>
      <w:tblGrid>
        <w:gridCol w:w="1771"/>
        <w:gridCol w:w="2001"/>
        <w:gridCol w:w="1999"/>
        <w:gridCol w:w="2001"/>
        <w:gridCol w:w="1215"/>
        <w:gridCol w:w="121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A767004-NAOBRAZBA DJECE U ALTERNATIVNIM ŠKOLAMA</w:t>
            </w:r>
          </w:p>
        </w:tc>
        <w:tc>
          <w:tcPr>
            <w:tcW w:w="2041" w:type="dxa"/>
          </w:tcPr>
          <w:p w:rsidR="00505632" w:rsidRDefault="00505632" w:rsidP="00AD4E52">
            <w:pPr>
              <w:pStyle w:val="CellColumn"/>
              <w:jc w:val="right"/>
            </w:pPr>
            <w:r>
              <w:rPr>
                <w:rFonts w:cs="Times New Roman"/>
              </w:rPr>
              <w:t>712.800</w:t>
            </w:r>
          </w:p>
        </w:tc>
        <w:tc>
          <w:tcPr>
            <w:tcW w:w="2041" w:type="dxa"/>
          </w:tcPr>
          <w:p w:rsidR="00505632" w:rsidRDefault="00505632" w:rsidP="00AD4E52">
            <w:pPr>
              <w:pStyle w:val="CellColumn"/>
              <w:jc w:val="right"/>
            </w:pPr>
            <w:r>
              <w:rPr>
                <w:rFonts w:cs="Times New Roman"/>
              </w:rPr>
              <w:t>642.800</w:t>
            </w:r>
          </w:p>
        </w:tc>
        <w:tc>
          <w:tcPr>
            <w:tcW w:w="2041" w:type="dxa"/>
          </w:tcPr>
          <w:p w:rsidR="00505632" w:rsidRDefault="00505632" w:rsidP="00AD4E52">
            <w:pPr>
              <w:pStyle w:val="CellColumn"/>
              <w:jc w:val="right"/>
            </w:pPr>
            <w:r>
              <w:rPr>
                <w:rFonts w:cs="Times New Roman"/>
              </w:rPr>
              <w:t>642.799</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90,2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odgoju i obrazovanju u osnovnoj i srednjoj školi</w:t>
      </w:r>
    </w:p>
    <w:p w:rsidR="00505632" w:rsidRDefault="00505632" w:rsidP="00505632">
      <w:pPr>
        <w:pStyle w:val="Heading8"/>
        <w:jc w:val="left"/>
      </w:pPr>
      <w:r>
        <w:t>Opis aktivnosti</w:t>
      </w:r>
    </w:p>
    <w:p w:rsidR="00505632" w:rsidRDefault="00505632" w:rsidP="00505632">
      <w:r>
        <w:t>Osigurati i unaprijediti kvalitetu te povećanje dostupnosti, učinkovitosti i relevantnosti sustava odgoja i obrazovanja na svim razinama. Raspodjela financijskih sredstava za sufinanciranje rada privatnih alternativnih škola s pravom javnosti koje su dobile odobrenje za rad i dostavile podatke o upisu učenika u školskoj godini. Cilj je razvijanje učinkovite mreže odgojno-obrazovnih ustanova i kvalifikacija/programa/kurikuluma usmjerenih k razvoju ljudskih potencijala te usklađenih s potrebama društva i tržišta rada i pružati potporu učenicima osnovnih i srednjih škola u razvoju kompetencija u skladu s njihovim sposobnostima.</w:t>
      </w:r>
    </w:p>
    <w:p w:rsidR="00505632" w:rsidRDefault="00505632" w:rsidP="00505632">
      <w:pPr>
        <w:pStyle w:val="Heading4"/>
      </w:pPr>
      <w:r>
        <w:t>A767015 POTICAJ PREDŠKOLSKOG ODGOJA I PREDŠKOLE ZA ROME</w:t>
      </w:r>
    </w:p>
    <w:tbl>
      <w:tblPr>
        <w:tblStyle w:val="StilTablice"/>
        <w:tblW w:w="10206" w:type="dxa"/>
        <w:jc w:val="center"/>
        <w:tblLook w:val="04A0" w:firstRow="1" w:lastRow="0" w:firstColumn="1" w:lastColumn="0" w:noHBand="0" w:noVBand="1"/>
      </w:tblPr>
      <w:tblGrid>
        <w:gridCol w:w="1693"/>
        <w:gridCol w:w="2023"/>
        <w:gridCol w:w="2024"/>
        <w:gridCol w:w="2024"/>
        <w:gridCol w:w="1220"/>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A767015-POTICAJ PREDŠKOLSKOG ODGOJA I PREDŠKOLE ZA ROME</w:t>
            </w:r>
          </w:p>
        </w:tc>
        <w:tc>
          <w:tcPr>
            <w:tcW w:w="2041" w:type="dxa"/>
          </w:tcPr>
          <w:p w:rsidR="00505632" w:rsidRDefault="00505632" w:rsidP="00AD4E52">
            <w:pPr>
              <w:pStyle w:val="CellColumn"/>
              <w:jc w:val="right"/>
            </w:pPr>
            <w:r>
              <w:rPr>
                <w:rFonts w:cs="Times New Roman"/>
              </w:rPr>
              <w:t>2.477.499</w:t>
            </w:r>
          </w:p>
        </w:tc>
        <w:tc>
          <w:tcPr>
            <w:tcW w:w="2041" w:type="dxa"/>
          </w:tcPr>
          <w:p w:rsidR="00505632" w:rsidRDefault="00505632" w:rsidP="00AD4E52">
            <w:pPr>
              <w:pStyle w:val="CellColumn"/>
              <w:jc w:val="right"/>
            </w:pPr>
            <w:r>
              <w:rPr>
                <w:rFonts w:cs="Times New Roman"/>
              </w:rPr>
              <w:t>4.377.499</w:t>
            </w:r>
          </w:p>
        </w:tc>
        <w:tc>
          <w:tcPr>
            <w:tcW w:w="2041" w:type="dxa"/>
          </w:tcPr>
          <w:p w:rsidR="00505632" w:rsidRDefault="00505632" w:rsidP="00AD4E52">
            <w:pPr>
              <w:pStyle w:val="CellColumn"/>
              <w:jc w:val="right"/>
            </w:pPr>
            <w:r>
              <w:rPr>
                <w:rFonts w:cs="Times New Roman"/>
              </w:rPr>
              <w:t>4.371.736</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176,5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w:t>
      </w:r>
    </w:p>
    <w:p w:rsidR="00505632" w:rsidRDefault="00505632" w:rsidP="00505632">
      <w:r>
        <w:t xml:space="preserve">Nacionalna strategija za uključivanje Roma za razdoblje od 2013. do 2020. godine </w:t>
      </w:r>
    </w:p>
    <w:p w:rsidR="00505632" w:rsidRDefault="00505632" w:rsidP="00505632">
      <w:r>
        <w:t xml:space="preserve">Zakon o predškolskom odgoju i obrazovanju </w:t>
      </w:r>
    </w:p>
    <w:p w:rsidR="00505632" w:rsidRDefault="00505632" w:rsidP="00505632">
      <w:r>
        <w:t>Pravilnik o sadržaju i trajanju programa predškole</w:t>
      </w:r>
    </w:p>
    <w:p w:rsidR="00505632" w:rsidRDefault="00505632" w:rsidP="00505632">
      <w:pPr>
        <w:pStyle w:val="Heading8"/>
        <w:jc w:val="left"/>
      </w:pPr>
      <w:r>
        <w:t>Opis aktivnosti</w:t>
      </w:r>
    </w:p>
    <w:p w:rsidR="00505632" w:rsidRDefault="00505632" w:rsidP="00505632">
      <w:r>
        <w:t>Nacionalnom strategijom za uključivanje Roma za razdoblje od 2013. do 2020. godine prioritetna politika Strategije za uključivanje Roma je i obrazovanje Roma, napose, predškolski odgoj i obrazovanje. Na taj način odgoj i obrazovanje romske nacionalne manjine su svrstani u strateške okvire Republike Hrvatske u području obrazovanja. Ministarstvo temeljito i konstruktivno prati provedbu Akcijskog plana provedbe Nacionalne strategije za uključivanje Roma. Ministarstvo financira roditeljski udio za djecu u integriranim programima predškolskog odgoja te program predškole pripadnika romske nacionalne manjine što je iznimno važno zbog ranog uključivanja djece u sustav odgoja i obrazovanja. Iz godišnjih izvješća vidljivo je značajno povećanje uključivanja djece pripadnika romske nacionalne manjine u odgojno-obrazovni sustav, a posebno na području predškolskog odgoja/predškole te srednjoškolskog obrazovanja.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djece pripadnika romske nacionalne manjine  koja su uključena u programe predškolskog odgoja i predškole</w:t>
            </w:r>
          </w:p>
        </w:tc>
        <w:tc>
          <w:tcPr>
            <w:tcW w:w="2551" w:type="dxa"/>
          </w:tcPr>
          <w:p w:rsidR="00505632" w:rsidRDefault="00505632" w:rsidP="00AD4E52">
            <w:pPr>
              <w:pStyle w:val="CellColumn"/>
              <w:jc w:val="left"/>
            </w:pPr>
            <w:r>
              <w:rPr>
                <w:rFonts w:cs="Times New Roman"/>
              </w:rPr>
              <w:t>Osiguravanje predškolskog odgoja i predškole za djecu pripadnike romske nacionalne manjine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850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1100</w:t>
            </w:r>
          </w:p>
        </w:tc>
        <w:tc>
          <w:tcPr>
            <w:tcW w:w="1020" w:type="dxa"/>
          </w:tcPr>
          <w:p w:rsidR="00505632" w:rsidRDefault="00505632" w:rsidP="00AD4E52">
            <w:pPr>
              <w:pStyle w:val="CellColumn"/>
              <w:jc w:val="right"/>
            </w:pPr>
            <w:r>
              <w:rPr>
                <w:rFonts w:cs="Times New Roman"/>
              </w:rPr>
              <w:t>1143</w:t>
            </w:r>
          </w:p>
        </w:tc>
      </w:tr>
    </w:tbl>
    <w:p w:rsidR="00505632" w:rsidRDefault="00505632" w:rsidP="00505632">
      <w:pPr>
        <w:jc w:val="left"/>
      </w:pPr>
    </w:p>
    <w:p w:rsidR="00505632" w:rsidRDefault="00505632" w:rsidP="00505632">
      <w:pPr>
        <w:pStyle w:val="Heading4"/>
      </w:pPr>
      <w:r>
        <w:t>A767028 HRVATSKI KVALIFIKACIJSKI OKVIR</w:t>
      </w:r>
    </w:p>
    <w:tbl>
      <w:tblPr>
        <w:tblStyle w:val="StilTablice"/>
        <w:tblW w:w="10206" w:type="dxa"/>
        <w:jc w:val="center"/>
        <w:tblLook w:val="04A0" w:firstRow="1" w:lastRow="0" w:firstColumn="1" w:lastColumn="0" w:noHBand="0" w:noVBand="1"/>
      </w:tblPr>
      <w:tblGrid>
        <w:gridCol w:w="1803"/>
        <w:gridCol w:w="1992"/>
        <w:gridCol w:w="1988"/>
        <w:gridCol w:w="1992"/>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A767028-HRVATSKI KVALIFIKACIJSKI OKVIR</w:t>
            </w:r>
          </w:p>
        </w:tc>
        <w:tc>
          <w:tcPr>
            <w:tcW w:w="2041" w:type="dxa"/>
          </w:tcPr>
          <w:p w:rsidR="00505632" w:rsidRDefault="00505632" w:rsidP="00AD4E52">
            <w:pPr>
              <w:pStyle w:val="CellColumn"/>
              <w:jc w:val="right"/>
            </w:pPr>
            <w:r>
              <w:rPr>
                <w:rFonts w:cs="Times New Roman"/>
              </w:rPr>
              <w:t>249.654</w:t>
            </w:r>
          </w:p>
        </w:tc>
        <w:tc>
          <w:tcPr>
            <w:tcW w:w="2041" w:type="dxa"/>
          </w:tcPr>
          <w:p w:rsidR="00505632" w:rsidRDefault="00505632" w:rsidP="00AD4E52">
            <w:pPr>
              <w:pStyle w:val="CellColumn"/>
              <w:jc w:val="right"/>
            </w:pPr>
            <w:r>
              <w:rPr>
                <w:rFonts w:cs="Times New Roman"/>
              </w:rPr>
              <w:t>249.654</w:t>
            </w:r>
          </w:p>
        </w:tc>
        <w:tc>
          <w:tcPr>
            <w:tcW w:w="2041" w:type="dxa"/>
          </w:tcPr>
          <w:p w:rsidR="00505632" w:rsidRDefault="00505632" w:rsidP="00AD4E52">
            <w:pPr>
              <w:pStyle w:val="CellColumn"/>
              <w:jc w:val="right"/>
            </w:pPr>
            <w:r>
              <w:rPr>
                <w:rFonts w:cs="Times New Roman"/>
              </w:rPr>
              <w:t>143.528</w:t>
            </w:r>
          </w:p>
        </w:tc>
        <w:tc>
          <w:tcPr>
            <w:tcW w:w="1224" w:type="dxa"/>
          </w:tcPr>
          <w:p w:rsidR="00505632" w:rsidRDefault="00505632" w:rsidP="00AD4E52">
            <w:pPr>
              <w:pStyle w:val="CellColumn"/>
              <w:jc w:val="right"/>
            </w:pPr>
            <w:r>
              <w:rPr>
                <w:rFonts w:cs="Times New Roman"/>
              </w:rPr>
              <w:t>57,5</w:t>
            </w:r>
          </w:p>
        </w:tc>
        <w:tc>
          <w:tcPr>
            <w:tcW w:w="1224" w:type="dxa"/>
          </w:tcPr>
          <w:p w:rsidR="00505632" w:rsidRDefault="00505632" w:rsidP="00AD4E52">
            <w:pPr>
              <w:pStyle w:val="CellColumn"/>
              <w:jc w:val="right"/>
            </w:pPr>
            <w:r>
              <w:rPr>
                <w:rFonts w:cs="Times New Roman"/>
              </w:rPr>
              <w:t>57,5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pPr>
        <w:pStyle w:val="Heading8"/>
        <w:jc w:val="left"/>
      </w:pPr>
      <w:r>
        <w:t>Opis aktivnosti</w:t>
      </w:r>
    </w:p>
    <w:p w:rsidR="00505632" w:rsidRDefault="00505632" w:rsidP="00505632">
      <w:r>
        <w:t>Hrvatski kvalifikacijski okvir započeo je sa svojom punom primjenom. Imenovano je ukupno osam sektorskih vijeća i predloženo za imenovanje sljedećih 13 sektorskih vijeća.  Nacionalno vijeće za razvoj ljudskih potencijala, uz podršku Ministarstva, održalo je devet sjednica te organiziralo dvodnevnu konferenciju „HKO kvalifikacije - za tržište, društvo ili pojedinca?“ na kojoj je sudjelovalo oko 150 sudionika. Uspješno je privedena kraju provedba trideset projekata u sklopu visokog obrazovanja i 25 projekata u sklopu obrazovanja odraslih u ukupnom iznosu od 97 milijuna kuna financiranih iz Europskog socijalnog fonda u okviru javnog poziva za dodjelu bespovratnih sredstava „Unapređivanje kvalitete u visokom obrazovanju kroz primjenu HKO-a“ i javnog poziva „Jačanje kapaciteta ustanova za obrazovanje odraslih – faza II“ kojima je glavni cilj bio razvoj standarda zanimanja i standarda kvalifikacija koji će se predlagati za upis u Registar HKO-a. Izrađeni su i objavljeni on-line edukativni moduli o izradi standarda kvalifikacija. Za nositelje projekata i članove sektorskih vijeća održane su konzultativne radionice kojima je cilj davanje konstruktivnih prijedloga za unapređenje izrađenih standarda kvalifikcija prije upisa u Registar HKO. Uspostavljen je Informacijski sustava Registra HKO-a čiji se razvoj financira iz darovnice Europske komisije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46"/>
        <w:gridCol w:w="2460"/>
        <w:gridCol w:w="1259"/>
        <w:gridCol w:w="1012"/>
        <w:gridCol w:w="1005"/>
        <w:gridCol w:w="1012"/>
        <w:gridCol w:w="1012"/>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Uspostavljena i funkcionalna Sektorska vijeća</w:t>
            </w:r>
          </w:p>
        </w:tc>
        <w:tc>
          <w:tcPr>
            <w:tcW w:w="2551" w:type="dxa"/>
          </w:tcPr>
          <w:p w:rsidR="00505632" w:rsidRDefault="00505632" w:rsidP="00AD4E52">
            <w:pPr>
              <w:pStyle w:val="CellColumn"/>
              <w:jc w:val="left"/>
            </w:pPr>
            <w:r>
              <w:rPr>
                <w:rFonts w:cs="Times New Roman"/>
              </w:rPr>
              <w:t>Sektorska vijeća, sastavljena od sektorskih stručnjaka i predstavnika obrazovnog i poslovnog sektora, uspostavljena su i provode vrednovanje standarda kvalifikacija i standarda zanimanja kvalifikacijskog okvira</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(kumulativno)</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21</w:t>
            </w:r>
          </w:p>
        </w:tc>
        <w:tc>
          <w:tcPr>
            <w:tcW w:w="1020" w:type="dxa"/>
          </w:tcPr>
          <w:p w:rsidR="00505632" w:rsidRDefault="00505632" w:rsidP="00AD4E52">
            <w:pPr>
              <w:pStyle w:val="CellColumn"/>
              <w:jc w:val="right"/>
            </w:pPr>
            <w:r>
              <w:rPr>
                <w:rFonts w:cs="Times New Roman"/>
              </w:rPr>
              <w:t>8</w:t>
            </w:r>
          </w:p>
        </w:tc>
      </w:tr>
      <w:tr w:rsidR="00505632" w:rsidTr="00AD4E52">
        <w:trPr>
          <w:jc w:val="center"/>
        </w:trPr>
        <w:tc>
          <w:tcPr>
            <w:tcW w:w="2551" w:type="dxa"/>
          </w:tcPr>
          <w:p w:rsidR="00505632" w:rsidRDefault="00505632" w:rsidP="00AD4E52">
            <w:pPr>
              <w:pStyle w:val="CellColumn"/>
              <w:jc w:val="left"/>
            </w:pPr>
            <w:r>
              <w:rPr>
                <w:rFonts w:cs="Times New Roman"/>
              </w:rPr>
              <w:t>Uspostavljen HKO Registar</w:t>
            </w:r>
          </w:p>
        </w:tc>
        <w:tc>
          <w:tcPr>
            <w:tcW w:w="2551" w:type="dxa"/>
          </w:tcPr>
          <w:p w:rsidR="00505632" w:rsidRDefault="00505632" w:rsidP="00AD4E52">
            <w:pPr>
              <w:pStyle w:val="CellColumn"/>
              <w:jc w:val="left"/>
            </w:pPr>
            <w:r>
              <w:rPr>
                <w:rFonts w:cs="Times New Roman"/>
              </w:rPr>
              <w:t>Registar kvalifikacija usklađenih s kriterijima definiranim Hrvatskim kvalifikacijskim okvirom</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Povećanje broja usvojenih standarda kvalifikacija usklađenih sa standardima zanimanja</w:t>
            </w:r>
          </w:p>
        </w:tc>
        <w:tc>
          <w:tcPr>
            <w:tcW w:w="2551" w:type="dxa"/>
          </w:tcPr>
          <w:p w:rsidR="00505632" w:rsidRDefault="00505632" w:rsidP="00AD4E52">
            <w:pPr>
              <w:pStyle w:val="CellColumn"/>
              <w:jc w:val="left"/>
            </w:pPr>
            <w:r>
              <w:rPr>
                <w:rFonts w:cs="Times New Roman"/>
              </w:rPr>
              <w:t>Broj standarda kvalifikacija koji su usklađeni sa standardima zanimanja u skladu s Pravilnikom o Registru Hrvatskoga kvalifikacijskog okvira</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(kumulativno)</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Izrađeni stručni, edukativni i informativni tekstovi i materijali</w:t>
            </w:r>
          </w:p>
        </w:tc>
        <w:tc>
          <w:tcPr>
            <w:tcW w:w="2551" w:type="dxa"/>
          </w:tcPr>
          <w:p w:rsidR="00505632" w:rsidRDefault="00505632" w:rsidP="00AD4E52">
            <w:pPr>
              <w:pStyle w:val="CellColumn"/>
              <w:jc w:val="left"/>
            </w:pPr>
            <w:r>
              <w:rPr>
                <w:rFonts w:cs="Times New Roman"/>
              </w:rPr>
              <w:t>Broj izrađenih stručnih tekstova, informativnih materijala, on-line edukativnih modula i uputa za ulazak u Registar HKO-a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8</w:t>
            </w:r>
          </w:p>
        </w:tc>
      </w:tr>
      <w:tr w:rsidR="00505632" w:rsidTr="00AD4E52">
        <w:trPr>
          <w:jc w:val="center"/>
        </w:trPr>
        <w:tc>
          <w:tcPr>
            <w:tcW w:w="2551" w:type="dxa"/>
          </w:tcPr>
          <w:p w:rsidR="00505632" w:rsidRDefault="00505632" w:rsidP="00AD4E52">
            <w:pPr>
              <w:pStyle w:val="CellColumn"/>
              <w:jc w:val="left"/>
            </w:pPr>
            <w:r>
              <w:rPr>
                <w:rFonts w:cs="Times New Roman"/>
              </w:rPr>
              <w:t>Edukacija sektorskih vijeća</w:t>
            </w:r>
          </w:p>
        </w:tc>
        <w:tc>
          <w:tcPr>
            <w:tcW w:w="2551" w:type="dxa"/>
          </w:tcPr>
          <w:p w:rsidR="00505632" w:rsidRDefault="00505632" w:rsidP="00AD4E52">
            <w:pPr>
              <w:pStyle w:val="CellColumn"/>
              <w:jc w:val="left"/>
            </w:pPr>
            <w:r>
              <w:rPr>
                <w:rFonts w:cs="Times New Roman"/>
              </w:rPr>
              <w:t>Broj održanih radionica za članove Sektorskih vijeća o vrednovanju skupova ishoda učenja i standarda kvalifikacija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14</w:t>
            </w:r>
          </w:p>
        </w:tc>
      </w:tr>
    </w:tbl>
    <w:p w:rsidR="00505632" w:rsidRDefault="00505632" w:rsidP="00505632">
      <w:pPr>
        <w:jc w:val="left"/>
      </w:pPr>
    </w:p>
    <w:p w:rsidR="00505632" w:rsidRDefault="00505632" w:rsidP="00505632">
      <w:pPr>
        <w:pStyle w:val="Heading4"/>
      </w:pPr>
      <w:r>
        <w:t>A767042 OBRAZOVANJE OSOBA BEZ HRVATSKOG DRŽAVLJANSTVA</w:t>
      </w:r>
    </w:p>
    <w:tbl>
      <w:tblPr>
        <w:tblStyle w:val="StilTablice"/>
        <w:tblW w:w="10206" w:type="dxa"/>
        <w:jc w:val="center"/>
        <w:tblLook w:val="04A0" w:firstRow="1" w:lastRow="0" w:firstColumn="1" w:lastColumn="0" w:noHBand="0" w:noVBand="1"/>
      </w:tblPr>
      <w:tblGrid>
        <w:gridCol w:w="1814"/>
        <w:gridCol w:w="1988"/>
        <w:gridCol w:w="1985"/>
        <w:gridCol w:w="1989"/>
        <w:gridCol w:w="1213"/>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A767042-OBRAZOVANJE OSOBA BEZ HRVATSKOG DRŽAVLJANSTVA</w:t>
            </w:r>
          </w:p>
        </w:tc>
        <w:tc>
          <w:tcPr>
            <w:tcW w:w="2041" w:type="dxa"/>
          </w:tcPr>
          <w:p w:rsidR="00505632" w:rsidRDefault="00505632" w:rsidP="00AD4E52">
            <w:pPr>
              <w:pStyle w:val="CellColumn"/>
              <w:jc w:val="right"/>
            </w:pPr>
            <w:r>
              <w:rPr>
                <w:rFonts w:cs="Times New Roman"/>
              </w:rPr>
              <w:t>136.929</w:t>
            </w:r>
          </w:p>
        </w:tc>
        <w:tc>
          <w:tcPr>
            <w:tcW w:w="2041" w:type="dxa"/>
          </w:tcPr>
          <w:p w:rsidR="00505632" w:rsidRDefault="00505632" w:rsidP="00AD4E52">
            <w:pPr>
              <w:pStyle w:val="CellColumn"/>
              <w:jc w:val="right"/>
            </w:pPr>
            <w:r>
              <w:rPr>
                <w:rFonts w:cs="Times New Roman"/>
              </w:rPr>
              <w:t>129.068</w:t>
            </w:r>
          </w:p>
        </w:tc>
        <w:tc>
          <w:tcPr>
            <w:tcW w:w="2041" w:type="dxa"/>
          </w:tcPr>
          <w:p w:rsidR="00505632" w:rsidRDefault="00505632" w:rsidP="00AD4E52">
            <w:pPr>
              <w:pStyle w:val="CellColumn"/>
              <w:jc w:val="right"/>
            </w:pPr>
            <w:r>
              <w:rPr>
                <w:rFonts w:cs="Times New Roman"/>
              </w:rPr>
              <w:t>95.385</w:t>
            </w:r>
          </w:p>
        </w:tc>
        <w:tc>
          <w:tcPr>
            <w:tcW w:w="1224" w:type="dxa"/>
          </w:tcPr>
          <w:p w:rsidR="00505632" w:rsidRDefault="00505632" w:rsidP="00AD4E52">
            <w:pPr>
              <w:pStyle w:val="CellColumn"/>
              <w:jc w:val="right"/>
            </w:pPr>
            <w:r>
              <w:rPr>
                <w:rFonts w:cs="Times New Roman"/>
              </w:rPr>
              <w:t>73,9</w:t>
            </w:r>
          </w:p>
        </w:tc>
        <w:tc>
          <w:tcPr>
            <w:tcW w:w="1224" w:type="dxa"/>
          </w:tcPr>
          <w:p w:rsidR="00505632" w:rsidRDefault="00505632" w:rsidP="00AD4E52">
            <w:pPr>
              <w:pStyle w:val="CellColumn"/>
              <w:jc w:val="right"/>
            </w:pPr>
            <w:r>
              <w:rPr>
                <w:rFonts w:cs="Times New Roman"/>
              </w:rPr>
              <w:t>69,7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w:t>
      </w:r>
    </w:p>
    <w:p w:rsidR="00505632" w:rsidRDefault="00505632" w:rsidP="00505632">
      <w:r>
        <w:t xml:space="preserve">Zakon o međunarodnoj i privremenoj zaštiti </w:t>
      </w:r>
    </w:p>
    <w:p w:rsidR="00505632" w:rsidRDefault="00505632" w:rsidP="00505632">
      <w:r>
        <w:t>Program učenja hrvatskoga jezika, povijesti i kulture za azilante i strance pod supsidijarnom zaštitom radi uključivanja u hrvatsko društvo</w:t>
      </w:r>
    </w:p>
    <w:p w:rsidR="00505632" w:rsidRDefault="00505632" w:rsidP="00505632">
      <w:pPr>
        <w:pStyle w:val="Heading8"/>
        <w:jc w:val="left"/>
      </w:pPr>
      <w:r>
        <w:t>Opis aktivnosti</w:t>
      </w:r>
    </w:p>
    <w:p w:rsidR="00505632" w:rsidRDefault="00505632" w:rsidP="00505632">
      <w:r>
        <w:t>Učenje hrvatskoga kao inoga jezika sa svrhom osposobljenosti azilanata i stranaca pod supsidijarnom zaštitom za usmeno i pisano sporazumijevanje na hrvatskome jeziku radi života i rada u Republici Hrvatskoj. Provođenjem Programa učenja hrvatskoga jezika, povijesti i kulture za azilante i strance pod supsidijarnom zaštitom, radi uključivanja u hrvatsko društvo, omogućuje se učenje hrvatskoga jezika, povijesti i kulture onim azilantima i strancima pod supsidijarnom zaštitom koji se ne uključuju u obrazovni sustav.</w:t>
      </w:r>
    </w:p>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Proveden Program učenja hrvatskoga jezika, povijesti i kulture</w:t>
            </w:r>
          </w:p>
        </w:tc>
        <w:tc>
          <w:tcPr>
            <w:tcW w:w="2551" w:type="dxa"/>
          </w:tcPr>
          <w:p w:rsidR="00505632" w:rsidRDefault="00505632" w:rsidP="00AD4E52">
            <w:pPr>
              <w:pStyle w:val="CellColumn"/>
              <w:jc w:val="left"/>
            </w:pPr>
            <w:r>
              <w:rPr>
                <w:rFonts w:cs="Times New Roman"/>
              </w:rPr>
              <w:t>Programom se omogućuje učenje hrvatskoga jezika, povijesti i kulture onim azilantima i strancima pod supsidijarnom zaštitom koji se ne uključuju u obrazovni sustav</w:t>
            </w:r>
          </w:p>
        </w:tc>
        <w:tc>
          <w:tcPr>
            <w:tcW w:w="1020" w:type="dxa"/>
          </w:tcPr>
          <w:p w:rsidR="00505632" w:rsidRDefault="00505632" w:rsidP="00AD4E52">
            <w:pPr>
              <w:pStyle w:val="CellColumn"/>
              <w:jc w:val="right"/>
            </w:pPr>
            <w:r>
              <w:rPr>
                <w:rFonts w:cs="Times New Roman"/>
              </w:rPr>
              <w:t>Broj polaznika Programa</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A768053 EUROPSKE ŠKOLE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A768053-EUROPSKE ŠKOLE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123.000</w:t>
            </w:r>
          </w:p>
        </w:tc>
        <w:tc>
          <w:tcPr>
            <w:tcW w:w="2041" w:type="dxa"/>
          </w:tcPr>
          <w:p w:rsidR="00505632" w:rsidRDefault="00505632" w:rsidP="00AD4E52">
            <w:pPr>
              <w:pStyle w:val="CellColumn"/>
              <w:jc w:val="right"/>
            </w:pPr>
            <w:r>
              <w:rPr>
                <w:rFonts w:cs="Times New Roman"/>
              </w:rPr>
              <w:t>22.340</w:t>
            </w:r>
          </w:p>
        </w:tc>
        <w:tc>
          <w:tcPr>
            <w:tcW w:w="1224" w:type="dxa"/>
          </w:tcPr>
          <w:p w:rsidR="00505632" w:rsidRDefault="00505632" w:rsidP="00AD4E52">
            <w:pPr>
              <w:pStyle w:val="CellColumn"/>
              <w:jc w:val="right"/>
            </w:pPr>
            <w:r>
              <w:rPr>
                <w:rFonts w:cs="Times New Roman"/>
              </w:rPr>
              <w:t>18,2</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Konvencija o Statutu Europskih škola (Službeni list Europskih zajednica, L 212/3) </w:t>
      </w:r>
    </w:p>
    <w:p w:rsidR="00505632" w:rsidRDefault="00505632" w:rsidP="00505632">
      <w:r>
        <w:t>Pravilnik o uvjetima i postupku izbora učitelja za rad u hrvatskoj nastavi u inozemstvu</w:t>
      </w:r>
    </w:p>
    <w:p w:rsidR="00505632" w:rsidRDefault="00505632" w:rsidP="00505632">
      <w:pPr>
        <w:pStyle w:val="Heading8"/>
        <w:jc w:val="left"/>
      </w:pPr>
      <w:r>
        <w:t>Opis aktivnosti</w:t>
      </w:r>
    </w:p>
    <w:p w:rsidR="00505632" w:rsidRDefault="00505632" w:rsidP="00505632">
      <w:r>
        <w:t>Sudjelovanje u zajedničkom obrazovanju djece osoblja Europskih zajednica i provođenje hrvatske nastave u Europskim školama. Nadgledanje provođenja nastave hrvatskoga jezika lokalno zaposlenih učitelja i sekundiranje učitelja iz Republike Hrvatske kada se ukaže potreba.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učenika koji pohađaju hrvatsku nastavu u Europskim školama</w:t>
            </w:r>
          </w:p>
        </w:tc>
        <w:tc>
          <w:tcPr>
            <w:tcW w:w="2551" w:type="dxa"/>
          </w:tcPr>
          <w:p w:rsidR="00505632" w:rsidRDefault="00505632" w:rsidP="00AD4E52">
            <w:pPr>
              <w:pStyle w:val="CellColumn"/>
              <w:jc w:val="left"/>
            </w:pPr>
            <w:r>
              <w:rPr>
                <w:rFonts w:cs="Times New Roman"/>
              </w:rPr>
              <w:t>Broj učenika koji pohađaju hrvatsku nastavu u Europskim školama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49</w:t>
            </w:r>
          </w:p>
        </w:tc>
        <w:tc>
          <w:tcPr>
            <w:tcW w:w="1020" w:type="dxa"/>
          </w:tcPr>
          <w:p w:rsidR="00505632" w:rsidRDefault="00505632" w:rsidP="00AD4E52">
            <w:pPr>
              <w:pStyle w:val="CellColumn"/>
              <w:jc w:val="right"/>
            </w:pPr>
            <w:r>
              <w:rPr>
                <w:rFonts w:cs="Times New Roman"/>
              </w:rPr>
              <w:t>Izvješća Upravnog vijeća Europskih škola</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A818021 PRIMJENA UDŽBENIČKOG STANDARDA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A818021-PRIMJENA UDŽBENIČKOG STANDARDA</w:t>
            </w:r>
          </w:p>
        </w:tc>
        <w:tc>
          <w:tcPr>
            <w:tcW w:w="2041" w:type="dxa"/>
          </w:tcPr>
          <w:p w:rsidR="00505632" w:rsidRDefault="00505632" w:rsidP="00AD4E52">
            <w:pPr>
              <w:pStyle w:val="CellColumn"/>
              <w:jc w:val="right"/>
            </w:pPr>
            <w:r>
              <w:rPr>
                <w:rFonts w:cs="Times New Roman"/>
              </w:rPr>
              <w:t>117.717</w:t>
            </w:r>
          </w:p>
        </w:tc>
        <w:tc>
          <w:tcPr>
            <w:tcW w:w="2041" w:type="dxa"/>
          </w:tcPr>
          <w:p w:rsidR="00505632" w:rsidRDefault="00505632" w:rsidP="00AD4E52">
            <w:pPr>
              <w:pStyle w:val="CellColumn"/>
              <w:jc w:val="right"/>
            </w:pPr>
            <w:r>
              <w:rPr>
                <w:rFonts w:cs="Times New Roman"/>
              </w:rPr>
              <w:t>101.156</w:t>
            </w:r>
          </w:p>
        </w:tc>
        <w:tc>
          <w:tcPr>
            <w:tcW w:w="2041" w:type="dxa"/>
          </w:tcPr>
          <w:p w:rsidR="00505632" w:rsidRDefault="00505632" w:rsidP="00AD4E52">
            <w:pPr>
              <w:pStyle w:val="CellColumn"/>
              <w:jc w:val="right"/>
            </w:pPr>
            <w:r>
              <w:rPr>
                <w:rFonts w:cs="Times New Roman"/>
              </w:rPr>
              <w:t>45.131</w:t>
            </w:r>
          </w:p>
        </w:tc>
        <w:tc>
          <w:tcPr>
            <w:tcW w:w="1224" w:type="dxa"/>
          </w:tcPr>
          <w:p w:rsidR="00505632" w:rsidRDefault="00505632" w:rsidP="00AD4E52">
            <w:pPr>
              <w:pStyle w:val="CellColumn"/>
              <w:jc w:val="right"/>
            </w:pPr>
            <w:r>
              <w:rPr>
                <w:rFonts w:cs="Times New Roman"/>
              </w:rPr>
              <w:t>44,6</w:t>
            </w:r>
          </w:p>
        </w:tc>
        <w:tc>
          <w:tcPr>
            <w:tcW w:w="1224" w:type="dxa"/>
          </w:tcPr>
          <w:p w:rsidR="00505632" w:rsidRDefault="00505632" w:rsidP="00AD4E52">
            <w:pPr>
              <w:pStyle w:val="CellColumn"/>
              <w:jc w:val="right"/>
            </w:pPr>
            <w:r>
              <w:rPr>
                <w:rFonts w:cs="Times New Roman"/>
              </w:rPr>
              <w:t>38,3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udžbenicima</w:t>
      </w:r>
    </w:p>
    <w:p w:rsidR="00505632" w:rsidRDefault="00505632" w:rsidP="00505632">
      <w:pPr>
        <w:pStyle w:val="Heading8"/>
        <w:jc w:val="left"/>
      </w:pPr>
      <w:r>
        <w:t>Opis aktivnosti</w:t>
      </w:r>
    </w:p>
    <w:p w:rsidR="00505632" w:rsidRDefault="00505632" w:rsidP="00505632">
      <w:r>
        <w:t>U okviru aktivnosti Primjena udžbeničkog standarda financirane su aktivnosti vezane za stručnu prosudbu udžbenika.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nakladnika uključenih u  postupak odobravanja udžbenika, dodataka udžbeniku i pripadajućih dopunskih nastavnih sredstava za nastavu na jeziku i pismu nacionalnih manjina</w:t>
            </w:r>
          </w:p>
        </w:tc>
        <w:tc>
          <w:tcPr>
            <w:tcW w:w="2551" w:type="dxa"/>
          </w:tcPr>
          <w:p w:rsidR="00505632" w:rsidRDefault="00505632" w:rsidP="00AD4E52">
            <w:pPr>
              <w:pStyle w:val="CellColumn"/>
              <w:jc w:val="left"/>
            </w:pPr>
            <w:r>
              <w:rPr>
                <w:rFonts w:cs="Times New Roman"/>
              </w:rPr>
              <w:t>Odobravanje udžbenika, dodataka udžbeniku i pripadajućih dopunskih nastavnih sredstava za nastavu na jeziku i pismu nacionalnih manjina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bl>
    <w:p w:rsidR="00505632" w:rsidRDefault="00505632" w:rsidP="00505632">
      <w:pPr>
        <w:jc w:val="left"/>
      </w:pPr>
    </w:p>
    <w:p w:rsidR="00505632" w:rsidRDefault="00505632" w:rsidP="00505632">
      <w:pPr>
        <w:pStyle w:val="Heading4"/>
      </w:pPr>
      <w:r>
        <w:t>A818035 MENTORI I STRUČNI ISPITI U OSNOVNIM I SREDNJIM ŠKOLAMA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A818035-MENTORI I STRUČNI ISPITI U OSNOVNIM I SREDNJIM ŠKOLAMA</w:t>
            </w:r>
          </w:p>
        </w:tc>
        <w:tc>
          <w:tcPr>
            <w:tcW w:w="2041" w:type="dxa"/>
          </w:tcPr>
          <w:p w:rsidR="00505632" w:rsidRDefault="00505632" w:rsidP="00AD4E52">
            <w:pPr>
              <w:pStyle w:val="CellColumn"/>
              <w:jc w:val="right"/>
            </w:pPr>
            <w:r>
              <w:rPr>
                <w:rFonts w:cs="Times New Roman"/>
              </w:rPr>
              <w:t>2.416.812</w:t>
            </w:r>
          </w:p>
        </w:tc>
        <w:tc>
          <w:tcPr>
            <w:tcW w:w="2041" w:type="dxa"/>
          </w:tcPr>
          <w:p w:rsidR="00505632" w:rsidRDefault="00505632" w:rsidP="00AD4E52">
            <w:pPr>
              <w:pStyle w:val="CellColumn"/>
              <w:jc w:val="right"/>
            </w:pPr>
            <w:r>
              <w:rPr>
                <w:rFonts w:cs="Times New Roman"/>
              </w:rPr>
              <w:t>2.826.812</w:t>
            </w:r>
          </w:p>
        </w:tc>
        <w:tc>
          <w:tcPr>
            <w:tcW w:w="2041" w:type="dxa"/>
          </w:tcPr>
          <w:p w:rsidR="00505632" w:rsidRDefault="00505632" w:rsidP="00AD4E52">
            <w:pPr>
              <w:pStyle w:val="CellColumn"/>
              <w:jc w:val="right"/>
            </w:pPr>
            <w:r>
              <w:rPr>
                <w:rFonts w:cs="Times New Roman"/>
              </w:rPr>
              <w:t>2.819.368</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116,7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w:t>
      </w:r>
    </w:p>
    <w:p w:rsidR="00505632" w:rsidRDefault="00505632" w:rsidP="00505632">
      <w:r>
        <w:t xml:space="preserve">Pravilnik o polaganju stručnog ispita učitelja i stručnih suradnika u osnovnom školstvu i nastavnika u srednjem školstvu </w:t>
      </w:r>
    </w:p>
    <w:p w:rsidR="00505632" w:rsidRDefault="00505632" w:rsidP="00505632">
      <w:r>
        <w:t>Pravilnik o uvjetima i načinu stjecanja stručnih zvanja u knjižničarskoj struci</w:t>
      </w:r>
    </w:p>
    <w:p w:rsidR="00505632" w:rsidRDefault="00505632" w:rsidP="00505632">
      <w:pPr>
        <w:pStyle w:val="Heading8"/>
        <w:jc w:val="left"/>
      </w:pPr>
      <w:r>
        <w:t>Opis aktivnosti</w:t>
      </w:r>
    </w:p>
    <w:p w:rsidR="00505632" w:rsidRDefault="00505632" w:rsidP="00505632">
      <w:r>
        <w:t xml:space="preserve">Osiguranje i unapređenje kvalitete te povećanje dostupnosti, učinkovitosti i relevantnosti sustava odgoja i obrazovanja na svim razinama. </w:t>
      </w:r>
    </w:p>
    <w:p w:rsidR="00505632" w:rsidRDefault="00505632" w:rsidP="00505632">
      <w:r>
        <w:t xml:space="preserve">Raspodjela financijskih sredstava za rad mentora, povjerenstva za stručne ispite u školama i stručne ispite za knjižničare. </w:t>
      </w:r>
    </w:p>
    <w:p w:rsidR="00505632" w:rsidRDefault="00505632" w:rsidP="00505632">
      <w:r>
        <w:t>Cilj je razvijati sustav osiguranja kvalitete na svim razinama sustava odgoja i obrazovanja i unaprijediti stručne kompetencije odgojno-obrazovnih radnika. Stručno usavršavanje odgojno obrazovnih djelatnika omogućava kvalitetno praćenje promjena u sustavu obrazovanja.</w:t>
      </w:r>
    </w:p>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Ostvareni programi rada mentora s pripravnikom</w:t>
            </w:r>
          </w:p>
        </w:tc>
        <w:tc>
          <w:tcPr>
            <w:tcW w:w="2551" w:type="dxa"/>
          </w:tcPr>
          <w:p w:rsidR="00505632" w:rsidRDefault="00505632" w:rsidP="00AD4E52">
            <w:pPr>
              <w:pStyle w:val="CellColumn"/>
              <w:jc w:val="left"/>
            </w:pPr>
            <w:r>
              <w:rPr>
                <w:rFonts w:cs="Times New Roman"/>
              </w:rPr>
              <w:t>Sufinanciranje rada mentora</w:t>
            </w:r>
          </w:p>
        </w:tc>
        <w:tc>
          <w:tcPr>
            <w:tcW w:w="1020" w:type="dxa"/>
          </w:tcPr>
          <w:p w:rsidR="00505632" w:rsidRDefault="00505632" w:rsidP="00AD4E52">
            <w:pPr>
              <w:pStyle w:val="CellColumn"/>
              <w:jc w:val="right"/>
            </w:pPr>
            <w:r>
              <w:rPr>
                <w:rFonts w:cs="Times New Roman"/>
              </w:rPr>
              <w:t>Broj mentora</w:t>
            </w:r>
          </w:p>
        </w:tc>
        <w:tc>
          <w:tcPr>
            <w:tcW w:w="1020" w:type="dxa"/>
          </w:tcPr>
          <w:p w:rsidR="00505632" w:rsidRDefault="00505632" w:rsidP="00AD4E52">
            <w:pPr>
              <w:pStyle w:val="CellColumn"/>
              <w:jc w:val="right"/>
            </w:pPr>
            <w:r>
              <w:rPr>
                <w:rFonts w:cs="Times New Roman"/>
              </w:rPr>
              <w:t>1295</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2050</w:t>
            </w:r>
          </w:p>
        </w:tc>
        <w:tc>
          <w:tcPr>
            <w:tcW w:w="1020" w:type="dxa"/>
          </w:tcPr>
          <w:p w:rsidR="00505632" w:rsidRDefault="00505632" w:rsidP="00AD4E52">
            <w:pPr>
              <w:pStyle w:val="CellColumn"/>
              <w:jc w:val="right"/>
            </w:pPr>
            <w:r>
              <w:rPr>
                <w:rFonts w:cs="Times New Roman"/>
              </w:rPr>
              <w:t>1296</w:t>
            </w:r>
          </w:p>
        </w:tc>
      </w:tr>
      <w:tr w:rsidR="00505632" w:rsidTr="00AD4E52">
        <w:trPr>
          <w:jc w:val="center"/>
        </w:trPr>
        <w:tc>
          <w:tcPr>
            <w:tcW w:w="2551" w:type="dxa"/>
          </w:tcPr>
          <w:p w:rsidR="00505632" w:rsidRDefault="00505632" w:rsidP="00AD4E52">
            <w:pPr>
              <w:pStyle w:val="CellColumn"/>
              <w:jc w:val="left"/>
            </w:pPr>
            <w:r>
              <w:rPr>
                <w:rFonts w:cs="Times New Roman"/>
              </w:rPr>
              <w:t>Održavanje stručnih ispita za pripravnike</w:t>
            </w:r>
          </w:p>
        </w:tc>
        <w:tc>
          <w:tcPr>
            <w:tcW w:w="2551" w:type="dxa"/>
          </w:tcPr>
          <w:p w:rsidR="00505632" w:rsidRDefault="00505632" w:rsidP="00AD4E52">
            <w:pPr>
              <w:pStyle w:val="CellColumn"/>
              <w:jc w:val="left"/>
            </w:pPr>
            <w:r>
              <w:rPr>
                <w:rFonts w:cs="Times New Roman"/>
              </w:rPr>
              <w:t>Sufinanciranje rada ispitnih povjerenstava</w:t>
            </w:r>
          </w:p>
        </w:tc>
        <w:tc>
          <w:tcPr>
            <w:tcW w:w="1020" w:type="dxa"/>
          </w:tcPr>
          <w:p w:rsidR="00505632" w:rsidRDefault="00505632" w:rsidP="00AD4E52">
            <w:pPr>
              <w:pStyle w:val="CellColumn"/>
              <w:jc w:val="right"/>
            </w:pPr>
            <w:r>
              <w:rPr>
                <w:rFonts w:cs="Times New Roman"/>
              </w:rPr>
              <w:t>Broj stručnih ispita</w:t>
            </w:r>
          </w:p>
        </w:tc>
        <w:tc>
          <w:tcPr>
            <w:tcW w:w="1020" w:type="dxa"/>
          </w:tcPr>
          <w:p w:rsidR="00505632" w:rsidRDefault="00505632" w:rsidP="00AD4E52">
            <w:pPr>
              <w:pStyle w:val="CellColumn"/>
              <w:jc w:val="right"/>
            </w:pPr>
            <w:r>
              <w:rPr>
                <w:rFonts w:cs="Times New Roman"/>
              </w:rPr>
              <w:t>1980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1650</w:t>
            </w:r>
          </w:p>
        </w:tc>
        <w:tc>
          <w:tcPr>
            <w:tcW w:w="1020" w:type="dxa"/>
          </w:tcPr>
          <w:p w:rsidR="00505632" w:rsidRDefault="00505632" w:rsidP="00AD4E52">
            <w:pPr>
              <w:pStyle w:val="CellColumn"/>
              <w:jc w:val="right"/>
            </w:pPr>
            <w:r>
              <w:rPr>
                <w:rFonts w:cs="Times New Roman"/>
              </w:rPr>
              <w:t>1296</w:t>
            </w:r>
          </w:p>
        </w:tc>
      </w:tr>
      <w:tr w:rsidR="00505632" w:rsidTr="00AD4E52">
        <w:trPr>
          <w:jc w:val="center"/>
        </w:trPr>
        <w:tc>
          <w:tcPr>
            <w:tcW w:w="2551" w:type="dxa"/>
          </w:tcPr>
          <w:p w:rsidR="00505632" w:rsidRDefault="00505632" w:rsidP="00AD4E52">
            <w:pPr>
              <w:pStyle w:val="CellColumn"/>
              <w:jc w:val="left"/>
            </w:pPr>
            <w:r>
              <w:rPr>
                <w:rFonts w:cs="Times New Roman"/>
              </w:rPr>
              <w:t>Održavanje stručnih ispita za knjižničare</w:t>
            </w:r>
          </w:p>
        </w:tc>
        <w:tc>
          <w:tcPr>
            <w:tcW w:w="2551" w:type="dxa"/>
          </w:tcPr>
          <w:p w:rsidR="00505632" w:rsidRDefault="00505632" w:rsidP="00AD4E52">
            <w:pPr>
              <w:pStyle w:val="CellColumn"/>
              <w:jc w:val="left"/>
            </w:pPr>
            <w:r>
              <w:rPr>
                <w:rFonts w:cs="Times New Roman"/>
              </w:rPr>
              <w:t>Sufinanciranje stručnih ispita za knjižničare</w:t>
            </w:r>
          </w:p>
        </w:tc>
        <w:tc>
          <w:tcPr>
            <w:tcW w:w="1020" w:type="dxa"/>
          </w:tcPr>
          <w:p w:rsidR="00505632" w:rsidRDefault="00505632" w:rsidP="00AD4E52">
            <w:pPr>
              <w:pStyle w:val="CellColumn"/>
              <w:jc w:val="right"/>
            </w:pPr>
            <w:r>
              <w:rPr>
                <w:rFonts w:cs="Times New Roman"/>
              </w:rPr>
              <w:t>Broj stručnih ispita</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10</w:t>
            </w:r>
          </w:p>
        </w:tc>
      </w:tr>
    </w:tbl>
    <w:p w:rsidR="00505632" w:rsidRDefault="00505632" w:rsidP="00505632">
      <w:pPr>
        <w:jc w:val="left"/>
      </w:pPr>
    </w:p>
    <w:p w:rsidR="00505632" w:rsidRDefault="00505632" w:rsidP="00505632">
      <w:pPr>
        <w:pStyle w:val="Heading4"/>
      </w:pPr>
      <w:r>
        <w:t>K578044 OP RAZVOJ LJUDSKIH POTENCIJALA, PRIORITET 2,3 i 4</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K578044-OP RAZVOJ LJUDSKIH POTENCIJALA, PRIORITET 2,3 i 4</w:t>
            </w:r>
          </w:p>
        </w:tc>
        <w:tc>
          <w:tcPr>
            <w:tcW w:w="2041" w:type="dxa"/>
          </w:tcPr>
          <w:p w:rsidR="00505632" w:rsidRDefault="00505632" w:rsidP="00AD4E52">
            <w:pPr>
              <w:pStyle w:val="CellColumn"/>
              <w:jc w:val="right"/>
            </w:pPr>
            <w:r>
              <w:rPr>
                <w:rFonts w:cs="Times New Roman"/>
              </w:rPr>
              <w:t>100.887.623</w:t>
            </w:r>
          </w:p>
        </w:tc>
        <w:tc>
          <w:tcPr>
            <w:tcW w:w="2041" w:type="dxa"/>
          </w:tcPr>
          <w:p w:rsidR="00505632" w:rsidRDefault="00505632" w:rsidP="00AD4E52">
            <w:pPr>
              <w:pStyle w:val="CellColumn"/>
              <w:jc w:val="right"/>
            </w:pPr>
            <w:r>
              <w:rPr>
                <w:rFonts w:cs="Times New Roman"/>
              </w:rPr>
              <w:t>67.017.724</w:t>
            </w:r>
          </w:p>
        </w:tc>
        <w:tc>
          <w:tcPr>
            <w:tcW w:w="2041" w:type="dxa"/>
          </w:tcPr>
          <w:p w:rsidR="00505632" w:rsidRDefault="00505632" w:rsidP="00AD4E52">
            <w:pPr>
              <w:pStyle w:val="CellColumn"/>
              <w:jc w:val="right"/>
            </w:pPr>
            <w:r>
              <w:rPr>
                <w:rFonts w:cs="Times New Roman"/>
              </w:rPr>
              <w:t>68.562.084</w:t>
            </w:r>
          </w:p>
        </w:tc>
        <w:tc>
          <w:tcPr>
            <w:tcW w:w="1224" w:type="dxa"/>
          </w:tcPr>
          <w:p w:rsidR="00505632" w:rsidRDefault="00505632" w:rsidP="00AD4E52">
            <w:pPr>
              <w:pStyle w:val="CellColumn"/>
              <w:jc w:val="right"/>
            </w:pPr>
            <w:r>
              <w:rPr>
                <w:rFonts w:cs="Times New Roman"/>
              </w:rPr>
              <w:t>102,3</w:t>
            </w:r>
          </w:p>
        </w:tc>
        <w:tc>
          <w:tcPr>
            <w:tcW w:w="1224" w:type="dxa"/>
          </w:tcPr>
          <w:p w:rsidR="00505632" w:rsidRDefault="00505632" w:rsidP="00AD4E52">
            <w:pPr>
              <w:pStyle w:val="CellColumn"/>
              <w:jc w:val="right"/>
            </w:pPr>
            <w:r>
              <w:rPr>
                <w:rFonts w:cs="Times New Roman"/>
              </w:rPr>
              <w:t>68,0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pPr>
        <w:pStyle w:val="Heading8"/>
        <w:jc w:val="left"/>
      </w:pPr>
      <w:r>
        <w:t>Opis aktivnosti</w:t>
      </w:r>
    </w:p>
    <w:p w:rsidR="00505632" w:rsidRDefault="00505632" w:rsidP="00505632">
      <w:r>
        <w:t xml:space="preserve">S navedene aktivnosti u proračunu izvršena su sredstva za ugovorne obveze prema projektima koji se provode iz Operativnog programa Razvoj ljudskih potencijala 2007. – 2013. u sklopu otvorenih poziva i izravnih dodjela te projekte tehničke pomoći Službe za programe i projekte EU: </w:t>
      </w:r>
    </w:p>
    <w:p w:rsidR="00505632" w:rsidRDefault="00505632" w:rsidP="00505632">
      <w:r>
        <w:t xml:space="preserve">Integracija skupina u nepovoljnom položaju u redoviti sustav obrazovanja GS </w:t>
      </w:r>
    </w:p>
    <w:p w:rsidR="00505632" w:rsidRDefault="00505632" w:rsidP="00505632">
      <w:r>
        <w:t xml:space="preserve">Osiguravanje pomoćnika učenicima s teškoćama u osnovnoškolskim i srednjoškolskim odgojno-obrazovnim ustanovama GS </w:t>
      </w:r>
    </w:p>
    <w:p w:rsidR="00505632" w:rsidRDefault="00505632" w:rsidP="00505632">
      <w:r>
        <w:t xml:space="preserve">Daljnji razvoj i provedba Hrvatskog kvalifikacijskog okvira GS </w:t>
      </w:r>
    </w:p>
    <w:p w:rsidR="00505632" w:rsidRDefault="00505632" w:rsidP="00505632">
      <w:r>
        <w:t xml:space="preserve">Jačanje kapaciteta ustanova za obrazovanje odraslih GS </w:t>
      </w:r>
    </w:p>
    <w:p w:rsidR="00505632" w:rsidRDefault="00505632" w:rsidP="00505632">
      <w:r>
        <w:t xml:space="preserve">Modernizacija školskih kurikuluma u strukovnim školama u skladu s Hrvatskim kvalifikacijskim okvirom i potrebama tržišta rada - faza II GS </w:t>
      </w:r>
    </w:p>
    <w:p w:rsidR="00505632" w:rsidRDefault="00505632" w:rsidP="00505632">
      <w:r>
        <w:t xml:space="preserve">Unapređivanje kvalitete u visokom obrazovanju uz primjenu Hrvatskog kvalifikacijskog okvira  GS </w:t>
      </w:r>
    </w:p>
    <w:p w:rsidR="00505632" w:rsidRDefault="00505632" w:rsidP="00505632">
      <w:r>
        <w:t xml:space="preserve">Izgradnja kapaciteta za programsko financiranje visokih učilišta, (izravna dodjela) </w:t>
      </w:r>
    </w:p>
    <w:p w:rsidR="00505632" w:rsidRDefault="00505632" w:rsidP="00505632">
      <w:r>
        <w:t xml:space="preserve">Potpora radu HKO Sektorskih vijeća  i ostalih dionika u provedbi HKO-a, (izravna dodjela) </w:t>
      </w:r>
    </w:p>
    <w:p w:rsidR="00505632" w:rsidRDefault="00505632" w:rsidP="00505632">
      <w:r>
        <w:t xml:space="preserve">Jačanje kapaciteta ustanova za obrazovanje odraslih - faza II, GS </w:t>
      </w:r>
    </w:p>
    <w:p w:rsidR="00505632" w:rsidRDefault="00505632" w:rsidP="00505632">
      <w:r>
        <w:t xml:space="preserve">Promocija kvalitete i unaprjeđenje sustava odgoja i obrazovanja na osnovnoškolskoj i srednjoškolskoj razini, GS </w:t>
      </w:r>
    </w:p>
    <w:p w:rsidR="00505632" w:rsidRDefault="00505632" w:rsidP="00505632">
      <w:r>
        <w:t xml:space="preserve">Istraživačke stipendije za profesionalni razvoj mladih istraživača i poslijedoktoranata, GS </w:t>
      </w:r>
    </w:p>
    <w:p w:rsidR="00505632" w:rsidRDefault="00505632" w:rsidP="00505632">
      <w:r>
        <w:t>Potpora Ministarstvu u provedbi Operativnog programa Razvoj ljudskih potencijala.</w:t>
      </w:r>
    </w:p>
    <w:p w:rsidR="00505632" w:rsidRDefault="00505632" w:rsidP="00505632">
      <w:pPr>
        <w:pStyle w:val="Heading4"/>
      </w:pPr>
      <w:r>
        <w:t>K621173 INFORMACIJSKA INFRASTRUKTURA SUSTAVA VISOKOG OBRAZOVANJA</w:t>
      </w:r>
    </w:p>
    <w:tbl>
      <w:tblPr>
        <w:tblStyle w:val="StilTablice"/>
        <w:tblW w:w="10206" w:type="dxa"/>
        <w:jc w:val="center"/>
        <w:tblLook w:val="04A0" w:firstRow="1" w:lastRow="0" w:firstColumn="1" w:lastColumn="0" w:noHBand="0" w:noVBand="1"/>
      </w:tblPr>
      <w:tblGrid>
        <w:gridCol w:w="1915"/>
        <w:gridCol w:w="1957"/>
        <w:gridCol w:w="1958"/>
        <w:gridCol w:w="1958"/>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K621173-INFORMACIJSKA INFRASTRUKTURA SUSTAVA VISOKOG OBRAZOVANJA</w:t>
            </w:r>
          </w:p>
        </w:tc>
        <w:tc>
          <w:tcPr>
            <w:tcW w:w="2041" w:type="dxa"/>
          </w:tcPr>
          <w:p w:rsidR="00505632" w:rsidRDefault="00505632" w:rsidP="00AD4E52">
            <w:pPr>
              <w:pStyle w:val="CellColumn"/>
              <w:jc w:val="right"/>
            </w:pPr>
            <w:r>
              <w:rPr>
                <w:rFonts w:cs="Times New Roman"/>
              </w:rPr>
              <w:t>8.937.820</w:t>
            </w:r>
          </w:p>
        </w:tc>
        <w:tc>
          <w:tcPr>
            <w:tcW w:w="2041" w:type="dxa"/>
          </w:tcPr>
          <w:p w:rsidR="00505632" w:rsidRDefault="00505632" w:rsidP="00AD4E52">
            <w:pPr>
              <w:pStyle w:val="CellColumn"/>
              <w:jc w:val="right"/>
            </w:pPr>
            <w:r>
              <w:rPr>
                <w:rFonts w:cs="Times New Roman"/>
              </w:rPr>
              <w:t>8.929.008</w:t>
            </w:r>
          </w:p>
        </w:tc>
        <w:tc>
          <w:tcPr>
            <w:tcW w:w="2041" w:type="dxa"/>
          </w:tcPr>
          <w:p w:rsidR="00505632" w:rsidRDefault="00505632" w:rsidP="00AD4E52">
            <w:pPr>
              <w:pStyle w:val="CellColumn"/>
              <w:jc w:val="right"/>
            </w:pPr>
            <w:r>
              <w:rPr>
                <w:rFonts w:cs="Times New Roman"/>
              </w:rPr>
              <w:t>8.929.008</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99,9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znanstvenoj djelatnosti i visokom obrazovanju</w:t>
      </w:r>
    </w:p>
    <w:p w:rsidR="00505632" w:rsidRDefault="00505632" w:rsidP="00505632">
      <w:pPr>
        <w:pStyle w:val="Heading8"/>
        <w:jc w:val="left"/>
      </w:pPr>
      <w:r>
        <w:t>Opis aktivnosti</w:t>
      </w:r>
    </w:p>
    <w:p w:rsidR="00505632" w:rsidRDefault="00505632" w:rsidP="00505632">
      <w:r>
        <w:t>U okviru ove aktivnosti financirane su licence za javna visoka učilišta, tehnička i aplikativna podrška Integriranom financijsko-informacijskom sustavu sveučilišta te razvoja sustava ISVU.</w:t>
      </w:r>
    </w:p>
    <w:p w:rsidR="00505632" w:rsidRDefault="00505632" w:rsidP="00505632">
      <w:pPr>
        <w:pStyle w:val="Heading4"/>
      </w:pPr>
      <w:r>
        <w:t>K818050 OP UČINKOVITI LJUDSKI POTENCIJALI 2014.-2020. - PRIORITET 10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K818050-OP UČINKOVITI LJUDSKI POTENCIJALI 2014.-2020. - PRIORITET 10</w:t>
            </w:r>
          </w:p>
        </w:tc>
        <w:tc>
          <w:tcPr>
            <w:tcW w:w="2041" w:type="dxa"/>
          </w:tcPr>
          <w:p w:rsidR="00505632" w:rsidRDefault="00505632" w:rsidP="00AD4E52">
            <w:pPr>
              <w:pStyle w:val="CellColumn"/>
              <w:jc w:val="right"/>
            </w:pPr>
            <w:r>
              <w:rPr>
                <w:rFonts w:cs="Times New Roman"/>
              </w:rPr>
              <w:t>14.439.741</w:t>
            </w:r>
          </w:p>
        </w:tc>
        <w:tc>
          <w:tcPr>
            <w:tcW w:w="2041" w:type="dxa"/>
          </w:tcPr>
          <w:p w:rsidR="00505632" w:rsidRDefault="00505632" w:rsidP="00AD4E52">
            <w:pPr>
              <w:pStyle w:val="CellColumn"/>
              <w:jc w:val="right"/>
            </w:pPr>
            <w:r>
              <w:rPr>
                <w:rFonts w:cs="Times New Roman"/>
              </w:rPr>
              <w:t>69.632.350</w:t>
            </w:r>
          </w:p>
        </w:tc>
        <w:tc>
          <w:tcPr>
            <w:tcW w:w="2041" w:type="dxa"/>
          </w:tcPr>
          <w:p w:rsidR="00505632" w:rsidRDefault="00505632" w:rsidP="00AD4E52">
            <w:pPr>
              <w:pStyle w:val="CellColumn"/>
              <w:jc w:val="right"/>
            </w:pPr>
            <w:r>
              <w:rPr>
                <w:rFonts w:cs="Times New Roman"/>
              </w:rPr>
              <w:t>59.691.129</w:t>
            </w:r>
          </w:p>
        </w:tc>
        <w:tc>
          <w:tcPr>
            <w:tcW w:w="1224" w:type="dxa"/>
          </w:tcPr>
          <w:p w:rsidR="00505632" w:rsidRDefault="00505632" w:rsidP="00AD4E52">
            <w:pPr>
              <w:pStyle w:val="CellColumn"/>
              <w:jc w:val="right"/>
            </w:pPr>
            <w:r>
              <w:rPr>
                <w:rFonts w:cs="Times New Roman"/>
              </w:rPr>
              <w:t>85,7</w:t>
            </w:r>
          </w:p>
        </w:tc>
        <w:tc>
          <w:tcPr>
            <w:tcW w:w="1224" w:type="dxa"/>
          </w:tcPr>
          <w:p w:rsidR="00505632" w:rsidRDefault="00505632" w:rsidP="00AD4E52">
            <w:pPr>
              <w:pStyle w:val="CellColumn"/>
              <w:jc w:val="right"/>
            </w:pPr>
            <w:r>
              <w:rPr>
                <w:rFonts w:cs="Times New Roman"/>
              </w:rPr>
              <w:t>413,4</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Sa navedene aktivnosti u proračunu izvršena su sredstva za ugovorne obveze prema projektima iz Poziva na dostavu projektnih prijedloga Osiguravanje pomoćnika u nastavi i stručnih komunikacijskih posrednika učenicima s teškoćama u razvoju u osnovnoškolskim i srednjoškolskim odgojno-obrazovnim ustanovama u sklopu Operativnog programa Učinkoviti ljudski potencijali 2014. – 2020.</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projekata financiranih iz IPA programa / Europskoga socijalnog fonda usmjerenih na usklađivanje obrazovne ponude s potrebama tržišta rada</w:t>
            </w:r>
          </w:p>
        </w:tc>
        <w:tc>
          <w:tcPr>
            <w:tcW w:w="2551" w:type="dxa"/>
          </w:tcPr>
          <w:p w:rsidR="00505632" w:rsidRDefault="00505632" w:rsidP="00AD4E52">
            <w:pPr>
              <w:pStyle w:val="CellColumn"/>
              <w:jc w:val="left"/>
            </w:pPr>
            <w:r>
              <w:rPr>
                <w:rFonts w:cs="Times New Roman"/>
              </w:rPr>
              <w:t>Projekti dodjele bespovratnih sredstava financirani sredstvima IPA-e i Europskoga socijalnog fonda i usmjereni na razvoj kapaciteta ustanova srednjeg obrazovanja/obrazovanja odraslih, a s ciljem usklađivanja obrazovne ponude sukladno tehnološkim, gospodarskim i društvenim potrebama (pokazatelj obuhvaća projekte na sljedećim razinama obrazovanja: visoko, srednje i obrazovanje odraslih)</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38</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120</w:t>
            </w:r>
          </w:p>
        </w:tc>
        <w:tc>
          <w:tcPr>
            <w:tcW w:w="1020" w:type="dxa"/>
          </w:tcPr>
          <w:p w:rsidR="00505632" w:rsidRDefault="00505632" w:rsidP="00AD4E52">
            <w:pPr>
              <w:pStyle w:val="CellColumn"/>
              <w:jc w:val="right"/>
            </w:pPr>
            <w:r>
              <w:rPr>
                <w:rFonts w:cs="Times New Roman"/>
              </w:rPr>
              <w:t>150</w:t>
            </w:r>
          </w:p>
        </w:tc>
      </w:tr>
      <w:tr w:rsidR="00505632" w:rsidTr="00AD4E52">
        <w:trPr>
          <w:jc w:val="center"/>
        </w:trPr>
        <w:tc>
          <w:tcPr>
            <w:tcW w:w="2551" w:type="dxa"/>
          </w:tcPr>
          <w:p w:rsidR="00505632" w:rsidRDefault="00505632" w:rsidP="00AD4E52">
            <w:pPr>
              <w:pStyle w:val="CellColumn"/>
              <w:jc w:val="left"/>
            </w:pPr>
            <w:r>
              <w:rPr>
                <w:rFonts w:cs="Times New Roman"/>
              </w:rPr>
              <w:t>Povećanje broja visokih učilišta na kojima su financirani projekti reforme studijskih programa, obrazovanja osoblja, pružanja visokog obrazovanja odraslim osobama i razvoju službi za potporu studenata i osoblja</w:t>
            </w:r>
          </w:p>
        </w:tc>
        <w:tc>
          <w:tcPr>
            <w:tcW w:w="2551" w:type="dxa"/>
          </w:tcPr>
          <w:p w:rsidR="00505632" w:rsidRDefault="00505632" w:rsidP="00AD4E52">
            <w:pPr>
              <w:pStyle w:val="CellColumn"/>
              <w:jc w:val="left"/>
            </w:pPr>
            <w:r>
              <w:rPr>
                <w:rFonts w:cs="Times New Roman"/>
              </w:rPr>
              <w:t>Povećanje broja visokih učilišta na kojima su financirani projekti reforme studijskih programa, obrazovanja osoblja, pružanja visokog obrazovanja odraslim osobama i razvoju službi za potporu studenata i osoblja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45</w:t>
            </w:r>
          </w:p>
        </w:tc>
        <w:tc>
          <w:tcPr>
            <w:tcW w:w="1020" w:type="dxa"/>
          </w:tcPr>
          <w:p w:rsidR="00505632" w:rsidRDefault="00505632" w:rsidP="00AD4E52">
            <w:pPr>
              <w:pStyle w:val="CellColumn"/>
              <w:jc w:val="right"/>
            </w:pPr>
            <w:r>
              <w:rPr>
                <w:rFonts w:cs="Times New Roman"/>
              </w:rPr>
              <w:t>55</w:t>
            </w:r>
          </w:p>
        </w:tc>
      </w:tr>
      <w:tr w:rsidR="00505632" w:rsidTr="00AD4E52">
        <w:trPr>
          <w:jc w:val="center"/>
        </w:trPr>
        <w:tc>
          <w:tcPr>
            <w:tcW w:w="2551" w:type="dxa"/>
          </w:tcPr>
          <w:p w:rsidR="00505632" w:rsidRDefault="00505632" w:rsidP="00AD4E52">
            <w:pPr>
              <w:pStyle w:val="CellColumn"/>
              <w:jc w:val="left"/>
            </w:pPr>
            <w:r>
              <w:rPr>
                <w:rFonts w:cs="Times New Roman"/>
              </w:rPr>
              <w:t>Povećanje broja projekata usmjerenih na potporu inkluziji djece/učenika/studenata s teškoćama</w:t>
            </w:r>
          </w:p>
        </w:tc>
        <w:tc>
          <w:tcPr>
            <w:tcW w:w="2551" w:type="dxa"/>
          </w:tcPr>
          <w:p w:rsidR="00505632" w:rsidRDefault="00505632" w:rsidP="00AD4E52">
            <w:pPr>
              <w:pStyle w:val="CellColumn"/>
              <w:jc w:val="left"/>
            </w:pPr>
            <w:r>
              <w:rPr>
                <w:rFonts w:cs="Times New Roman"/>
              </w:rPr>
              <w:t>Povećanje broja projekata usmjerenih na potporu inkluziji djece/učenika/studenata s teškoćama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90</w:t>
            </w:r>
          </w:p>
        </w:tc>
      </w:tr>
      <w:tr w:rsidR="00505632" w:rsidTr="00AD4E52">
        <w:trPr>
          <w:jc w:val="center"/>
        </w:trPr>
        <w:tc>
          <w:tcPr>
            <w:tcW w:w="2551" w:type="dxa"/>
          </w:tcPr>
          <w:p w:rsidR="00505632" w:rsidRDefault="00505632" w:rsidP="00AD4E52">
            <w:pPr>
              <w:pStyle w:val="CellColumn"/>
              <w:jc w:val="left"/>
            </w:pPr>
            <w:r>
              <w:rPr>
                <w:rFonts w:cs="Times New Roman"/>
              </w:rPr>
              <w:t>Broj pomoćnika u nastavi za učenike s teškoćama u osnovnoškolskim i srednjoškolskim odgojno-obrazovnim ustanovama</w:t>
            </w:r>
          </w:p>
        </w:tc>
        <w:tc>
          <w:tcPr>
            <w:tcW w:w="2551" w:type="dxa"/>
          </w:tcPr>
          <w:p w:rsidR="00505632" w:rsidRDefault="00505632" w:rsidP="00AD4E52">
            <w:pPr>
              <w:pStyle w:val="CellColumn"/>
              <w:jc w:val="left"/>
            </w:pPr>
            <w:r>
              <w:rPr>
                <w:rFonts w:cs="Times New Roman"/>
              </w:rPr>
              <w:t>Broj pomoćnika u nastavi za učenike s teškoćama u osnovnoškolskim i srednjoškolskim odgojno-obrazovnim ustanovama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290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310</w:t>
            </w:r>
          </w:p>
        </w:tc>
        <w:tc>
          <w:tcPr>
            <w:tcW w:w="1020" w:type="dxa"/>
          </w:tcPr>
          <w:p w:rsidR="00505632" w:rsidRDefault="00505632" w:rsidP="00AD4E52">
            <w:pPr>
              <w:pStyle w:val="CellColumn"/>
              <w:jc w:val="right"/>
            </w:pPr>
            <w:r>
              <w:rPr>
                <w:rFonts w:cs="Times New Roman"/>
              </w:rPr>
              <w:t>320</w:t>
            </w:r>
          </w:p>
        </w:tc>
      </w:tr>
    </w:tbl>
    <w:p w:rsidR="00505632" w:rsidRDefault="00505632" w:rsidP="00505632">
      <w:pPr>
        <w:jc w:val="left"/>
      </w:pPr>
    </w:p>
    <w:p w:rsidR="00505632" w:rsidRDefault="00505632" w:rsidP="00505632">
      <w:pPr>
        <w:pStyle w:val="Heading3"/>
      </w:pPr>
      <w:r>
        <w:rPr>
          <w:rFonts w:cs="Times New Roman"/>
        </w:rPr>
        <w:t>3702 PREDŠKOLSKI ODGOJ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3702-PREDŠKOLSKI ODGOJ</w:t>
            </w:r>
          </w:p>
        </w:tc>
        <w:tc>
          <w:tcPr>
            <w:tcW w:w="2041" w:type="dxa"/>
          </w:tcPr>
          <w:p w:rsidR="00505632" w:rsidRDefault="00505632" w:rsidP="00AD4E52">
            <w:pPr>
              <w:pStyle w:val="CellColumn"/>
              <w:jc w:val="right"/>
            </w:pPr>
            <w:r>
              <w:rPr>
                <w:rFonts w:cs="Times New Roman"/>
              </w:rPr>
              <w:t>18.047.150</w:t>
            </w:r>
          </w:p>
        </w:tc>
        <w:tc>
          <w:tcPr>
            <w:tcW w:w="2041" w:type="dxa"/>
          </w:tcPr>
          <w:p w:rsidR="00505632" w:rsidRDefault="00505632" w:rsidP="00AD4E52">
            <w:pPr>
              <w:pStyle w:val="CellColumn"/>
              <w:jc w:val="right"/>
            </w:pPr>
            <w:r>
              <w:rPr>
                <w:rFonts w:cs="Times New Roman"/>
              </w:rPr>
              <w:t>17.805.839</w:t>
            </w:r>
          </w:p>
        </w:tc>
        <w:tc>
          <w:tcPr>
            <w:tcW w:w="2041" w:type="dxa"/>
          </w:tcPr>
          <w:p w:rsidR="00505632" w:rsidRDefault="00505632" w:rsidP="00AD4E52">
            <w:pPr>
              <w:pStyle w:val="CellColumn"/>
              <w:jc w:val="right"/>
            </w:pPr>
            <w:r>
              <w:rPr>
                <w:rFonts w:cs="Times New Roman"/>
              </w:rPr>
              <w:t>17.252.990</w:t>
            </w:r>
          </w:p>
        </w:tc>
        <w:tc>
          <w:tcPr>
            <w:tcW w:w="1224" w:type="dxa"/>
          </w:tcPr>
          <w:p w:rsidR="00505632" w:rsidRDefault="00505632" w:rsidP="00AD4E52">
            <w:pPr>
              <w:pStyle w:val="CellColumn"/>
              <w:jc w:val="right"/>
            </w:pPr>
            <w:r>
              <w:rPr>
                <w:rFonts w:cs="Times New Roman"/>
              </w:rPr>
              <w:t>96,9</w:t>
            </w:r>
          </w:p>
        </w:tc>
        <w:tc>
          <w:tcPr>
            <w:tcW w:w="1224" w:type="dxa"/>
          </w:tcPr>
          <w:p w:rsidR="00505632" w:rsidRDefault="00505632" w:rsidP="00AD4E52">
            <w:pPr>
              <w:pStyle w:val="CellColumn"/>
              <w:jc w:val="right"/>
            </w:pPr>
            <w:r>
              <w:rPr>
                <w:rFonts w:cs="Times New Roman"/>
              </w:rPr>
              <w:t>95,6</w:t>
            </w:r>
          </w:p>
        </w:tc>
      </w:tr>
    </w:tbl>
    <w:p w:rsidR="00505632" w:rsidRDefault="00505632" w:rsidP="00505632">
      <w:pPr>
        <w:jc w:val="left"/>
      </w:pPr>
    </w:p>
    <w:p w:rsidR="00505632" w:rsidRDefault="00505632" w:rsidP="00505632">
      <w:r>
        <w:t>Programom se osigurava skrb o djeci rane i predškolske dobi s posebnim naglaskom na pružanje potpore djeci u programima od posebnog državnog interesa, odnosno o djeci pripadnicima nacionalnih manjina koja se uključuju u programe na jeziku i pismu određene nacionalne manjine, djeci s posebnim potrebama (s teškoćama i darovitoj djeci), kao i djeci u programu predškole koji je od kolovoza 2014. godine obvezan za svu djecu u godini dana prije polaska u osnovnu školu. Sredstva za sve programe strogo su namjenska i potrebno ih je uložiti u nabavu didaktičkih sredstava, stručno usavršavanje odgojitelja i stručnih suradnika koji provode taj program odnosno za nabavu suvremene literature radi povećanja kvalitete provedbe tih programa</w:t>
      </w:r>
    </w:p>
    <w:p w:rsidR="00505632" w:rsidRDefault="00505632" w:rsidP="00505632">
      <w:pPr>
        <w:pStyle w:val="Heading8"/>
        <w:jc w:val="left"/>
      </w:pPr>
      <w:r>
        <w:t>Cilj 1. Uspostavljen cjelovit sustav potpore djeci/učenicima u odgojno-obrazovnim ustanovama na razini predtercijarnog i tercijarnog obrazovanja</w:t>
      </w:r>
    </w:p>
    <w:p w:rsidR="00505632" w:rsidRDefault="00505632" w:rsidP="00505632">
      <w:pPr>
        <w:pStyle w:val="Heading4"/>
      </w:pPr>
      <w:r>
        <w:t>A578003 ODGOJ I NAOBRAZBA DJECE PRIPADNIKA NACIONALNIH MANJINA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A578003-ODGOJ I NAOBRAZBA DJECE PRIPADNIKA NACIONALNIH MANJINA</w:t>
            </w:r>
          </w:p>
        </w:tc>
        <w:tc>
          <w:tcPr>
            <w:tcW w:w="2041" w:type="dxa"/>
          </w:tcPr>
          <w:p w:rsidR="00505632" w:rsidRDefault="00505632" w:rsidP="00AD4E52">
            <w:pPr>
              <w:pStyle w:val="CellColumn"/>
              <w:jc w:val="right"/>
            </w:pPr>
            <w:r>
              <w:rPr>
                <w:rFonts w:cs="Times New Roman"/>
              </w:rPr>
              <w:t>1.707.250</w:t>
            </w:r>
          </w:p>
        </w:tc>
        <w:tc>
          <w:tcPr>
            <w:tcW w:w="2041" w:type="dxa"/>
          </w:tcPr>
          <w:p w:rsidR="00505632" w:rsidRDefault="00505632" w:rsidP="00AD4E52">
            <w:pPr>
              <w:pStyle w:val="CellColumn"/>
              <w:jc w:val="right"/>
            </w:pPr>
            <w:r>
              <w:rPr>
                <w:rFonts w:cs="Times New Roman"/>
              </w:rPr>
              <w:t>1.742.750</w:t>
            </w:r>
          </w:p>
        </w:tc>
        <w:tc>
          <w:tcPr>
            <w:tcW w:w="2041" w:type="dxa"/>
          </w:tcPr>
          <w:p w:rsidR="00505632" w:rsidRDefault="00505632" w:rsidP="00AD4E52">
            <w:pPr>
              <w:pStyle w:val="CellColumn"/>
              <w:jc w:val="right"/>
            </w:pPr>
            <w:r>
              <w:rPr>
                <w:rFonts w:cs="Times New Roman"/>
              </w:rPr>
              <w:t>1.742.750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102,1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predškolskom odgoju i obrazovanju, čl. 50.</w:t>
      </w:r>
    </w:p>
    <w:p w:rsidR="00505632" w:rsidRDefault="00505632" w:rsidP="00505632">
      <w:pPr>
        <w:pStyle w:val="Heading8"/>
        <w:jc w:val="left"/>
      </w:pPr>
      <w:r>
        <w:t>Opis aktivnosti</w:t>
      </w:r>
    </w:p>
    <w:p w:rsidR="00505632" w:rsidRDefault="00505632" w:rsidP="00505632">
      <w:r>
        <w:t>Sredstva su osigurana za sufinanciranje djece pripadnika nacionalnih manjina u dječjim vrtićima i drugim pravnim osobama u 2016. godini. Sredstva su isplaćivana redovito u 10 rata od planiranih 10 tijekom kalendarske godine, a do 31. siječnja 2017. godine svi dječji vrtići koji su ostvarili pravo na sufinanciranje u 2016. godini morali su dostaviti financijska izvješća o utrošenim sredstvima.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djece / učenika nacionalnih manjina na razini predškolskoga i osnovnoga obrazovanja s ciljem ubrzanja procesa njihove integracije u sustav redovnog obrazovanja</w:t>
            </w:r>
          </w:p>
        </w:tc>
        <w:tc>
          <w:tcPr>
            <w:tcW w:w="2551" w:type="dxa"/>
          </w:tcPr>
          <w:p w:rsidR="00505632" w:rsidRDefault="00505632" w:rsidP="00AD4E52">
            <w:pPr>
              <w:pStyle w:val="CellColumn"/>
              <w:jc w:val="left"/>
            </w:pPr>
            <w:r>
              <w:rPr>
                <w:rFonts w:cs="Times New Roman"/>
              </w:rPr>
              <w:t>Broj djece / učenika nacionalnih manjina na razini predškolskoga i osnovnoga obrazovanja s ciljem ubrzanja procesa njihove integracije u sustav redovnog obrazovanja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2.549</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2.550</w:t>
            </w:r>
          </w:p>
        </w:tc>
        <w:tc>
          <w:tcPr>
            <w:tcW w:w="1020" w:type="dxa"/>
          </w:tcPr>
          <w:p w:rsidR="00505632" w:rsidRDefault="00505632" w:rsidP="00AD4E52">
            <w:pPr>
              <w:pStyle w:val="CellColumn"/>
              <w:jc w:val="right"/>
            </w:pPr>
            <w:r>
              <w:rPr>
                <w:rFonts w:cs="Times New Roman"/>
              </w:rPr>
              <w:t>2.560</w:t>
            </w:r>
          </w:p>
        </w:tc>
      </w:tr>
    </w:tbl>
    <w:p w:rsidR="00505632" w:rsidRDefault="00505632" w:rsidP="00505632">
      <w:pPr>
        <w:jc w:val="left"/>
      </w:pPr>
    </w:p>
    <w:p w:rsidR="00505632" w:rsidRDefault="00505632" w:rsidP="00505632">
      <w:pPr>
        <w:pStyle w:val="Heading4"/>
      </w:pPr>
      <w:r>
        <w:t>A578004 ODGOJ I NAOBRAZBA DJECE S TEŠKOĆAMA U RAZVOJU (SUFINANCIRANJE)</w:t>
      </w:r>
    </w:p>
    <w:tbl>
      <w:tblPr>
        <w:tblStyle w:val="StilTablice"/>
        <w:tblW w:w="10206" w:type="dxa"/>
        <w:jc w:val="center"/>
        <w:tblLook w:val="04A0" w:firstRow="1" w:lastRow="0" w:firstColumn="1" w:lastColumn="0" w:noHBand="0" w:noVBand="1"/>
      </w:tblPr>
      <w:tblGrid>
        <w:gridCol w:w="1938"/>
        <w:gridCol w:w="1951"/>
        <w:gridCol w:w="1951"/>
        <w:gridCol w:w="1951"/>
        <w:gridCol w:w="1203"/>
        <w:gridCol w:w="121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A578004-ODGOJ I NAOBRAZBA DJECE S TEŠKOĆAMA U RAZVOJU (SUFINANCIRANJE)</w:t>
            </w:r>
          </w:p>
        </w:tc>
        <w:tc>
          <w:tcPr>
            <w:tcW w:w="2041" w:type="dxa"/>
          </w:tcPr>
          <w:p w:rsidR="00505632" w:rsidRDefault="00505632" w:rsidP="00AD4E52">
            <w:pPr>
              <w:pStyle w:val="CellColumn"/>
              <w:jc w:val="right"/>
            </w:pPr>
            <w:r>
              <w:rPr>
                <w:rFonts w:cs="Times New Roman"/>
              </w:rPr>
              <w:t>9.061.000</w:t>
            </w:r>
          </w:p>
        </w:tc>
        <w:tc>
          <w:tcPr>
            <w:tcW w:w="2041" w:type="dxa"/>
          </w:tcPr>
          <w:p w:rsidR="00505632" w:rsidRDefault="00505632" w:rsidP="00AD4E52">
            <w:pPr>
              <w:pStyle w:val="CellColumn"/>
              <w:jc w:val="right"/>
            </w:pPr>
            <w:r>
              <w:rPr>
                <w:rFonts w:cs="Times New Roman"/>
              </w:rPr>
              <w:t>9.061.000</w:t>
            </w:r>
          </w:p>
        </w:tc>
        <w:tc>
          <w:tcPr>
            <w:tcW w:w="2041" w:type="dxa"/>
          </w:tcPr>
          <w:p w:rsidR="00505632" w:rsidRDefault="00505632" w:rsidP="00AD4E52">
            <w:pPr>
              <w:pStyle w:val="CellColumn"/>
              <w:jc w:val="right"/>
            </w:pPr>
            <w:r>
              <w:rPr>
                <w:rFonts w:cs="Times New Roman"/>
              </w:rPr>
              <w:t>8.559.560</w:t>
            </w:r>
          </w:p>
        </w:tc>
        <w:tc>
          <w:tcPr>
            <w:tcW w:w="1224" w:type="dxa"/>
          </w:tcPr>
          <w:p w:rsidR="00505632" w:rsidRDefault="00505632" w:rsidP="00AD4E52">
            <w:pPr>
              <w:pStyle w:val="CellColumn"/>
              <w:jc w:val="right"/>
            </w:pPr>
            <w:r>
              <w:rPr>
                <w:rFonts w:cs="Times New Roman"/>
              </w:rPr>
              <w:t>94,5</w:t>
            </w:r>
          </w:p>
        </w:tc>
        <w:tc>
          <w:tcPr>
            <w:tcW w:w="1224" w:type="dxa"/>
          </w:tcPr>
          <w:p w:rsidR="00505632" w:rsidRDefault="00505632" w:rsidP="00AD4E52">
            <w:pPr>
              <w:pStyle w:val="CellColumn"/>
              <w:jc w:val="right"/>
            </w:pPr>
            <w:r>
              <w:rPr>
                <w:rFonts w:cs="Times New Roman"/>
              </w:rPr>
              <w:t>94,5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predškolskom odgoju i obrazovanju</w:t>
      </w:r>
    </w:p>
    <w:p w:rsidR="00505632" w:rsidRDefault="00505632" w:rsidP="00505632">
      <w:pPr>
        <w:pStyle w:val="Heading8"/>
        <w:jc w:val="left"/>
      </w:pPr>
      <w:r>
        <w:t>Opis aktivnosti</w:t>
      </w:r>
    </w:p>
    <w:p w:rsidR="00505632" w:rsidRDefault="00505632" w:rsidP="00505632">
      <w:r>
        <w:t>Na ovoj su aktivnosti osigurana sredstva za sufinanciranje djece s teškoćama u integraciji i posebnim skupinama u dječjim vrtićima u 2016. godini. Sredstva su isplaćivana redovito u 7 odnosno 8 rata tijekom kalendarske godine.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djece i učenika s teškoćama kojima je pružena sustavna podrška (pomoćnici u nastavi, prijevoz, nastavna sredstva i pomagala, prehrana)</w:t>
            </w:r>
          </w:p>
        </w:tc>
        <w:tc>
          <w:tcPr>
            <w:tcW w:w="2551" w:type="dxa"/>
          </w:tcPr>
          <w:p w:rsidR="00505632" w:rsidRDefault="00505632" w:rsidP="00AD4E52">
            <w:pPr>
              <w:pStyle w:val="CellColumn"/>
              <w:jc w:val="left"/>
            </w:pPr>
            <w:r>
              <w:rPr>
                <w:rFonts w:cs="Times New Roman"/>
              </w:rPr>
              <w:t>Broj djece i učenika s teškoćama kojima je pružena sustavna podrška (pomoćnici u nastavi, prijevoz, nastavna sredstva i pomagala, prehrana)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5.700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6.000</w:t>
            </w:r>
          </w:p>
        </w:tc>
        <w:tc>
          <w:tcPr>
            <w:tcW w:w="1020" w:type="dxa"/>
          </w:tcPr>
          <w:p w:rsidR="00505632" w:rsidRDefault="00505632" w:rsidP="00AD4E52">
            <w:pPr>
              <w:pStyle w:val="CellColumn"/>
              <w:jc w:val="right"/>
            </w:pPr>
            <w:r>
              <w:rPr>
                <w:rFonts w:cs="Times New Roman"/>
              </w:rPr>
              <w:t>6.000</w:t>
            </w:r>
          </w:p>
        </w:tc>
      </w:tr>
    </w:tbl>
    <w:p w:rsidR="00505632" w:rsidRDefault="00505632" w:rsidP="00505632">
      <w:pPr>
        <w:jc w:val="left"/>
      </w:pPr>
    </w:p>
    <w:p w:rsidR="00505632" w:rsidRDefault="00505632" w:rsidP="00505632">
      <w:pPr>
        <w:pStyle w:val="Heading4"/>
      </w:pPr>
      <w:r>
        <w:t>A578008 ODGOJ I NAOBRAZBA DJECE U PROGRAMIMA PREDŠKOLE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A578008-ODGOJ I NAOBRAZBA DJECE U PROGRAMIMA PREDŠKOLE</w:t>
            </w:r>
          </w:p>
        </w:tc>
        <w:tc>
          <w:tcPr>
            <w:tcW w:w="2041" w:type="dxa"/>
          </w:tcPr>
          <w:p w:rsidR="00505632" w:rsidRDefault="00505632" w:rsidP="00AD4E52">
            <w:pPr>
              <w:pStyle w:val="CellColumn"/>
              <w:jc w:val="right"/>
            </w:pPr>
            <w:r>
              <w:rPr>
                <w:rFonts w:cs="Times New Roman"/>
              </w:rPr>
              <w:t>6.399.300</w:t>
            </w:r>
          </w:p>
        </w:tc>
        <w:tc>
          <w:tcPr>
            <w:tcW w:w="2041" w:type="dxa"/>
          </w:tcPr>
          <w:p w:rsidR="00505632" w:rsidRDefault="00505632" w:rsidP="00AD4E52">
            <w:pPr>
              <w:pStyle w:val="CellColumn"/>
              <w:jc w:val="right"/>
            </w:pPr>
            <w:r>
              <w:rPr>
                <w:rFonts w:cs="Times New Roman"/>
              </w:rPr>
              <w:t>6.133.199</w:t>
            </w:r>
          </w:p>
        </w:tc>
        <w:tc>
          <w:tcPr>
            <w:tcW w:w="2041" w:type="dxa"/>
          </w:tcPr>
          <w:p w:rsidR="00505632" w:rsidRDefault="00505632" w:rsidP="00AD4E52">
            <w:pPr>
              <w:pStyle w:val="CellColumn"/>
              <w:jc w:val="right"/>
            </w:pPr>
            <w:r>
              <w:rPr>
                <w:rFonts w:cs="Times New Roman"/>
              </w:rPr>
              <w:t>6.110.080</w:t>
            </w:r>
          </w:p>
        </w:tc>
        <w:tc>
          <w:tcPr>
            <w:tcW w:w="1224" w:type="dxa"/>
          </w:tcPr>
          <w:p w:rsidR="00505632" w:rsidRDefault="00505632" w:rsidP="00AD4E52">
            <w:pPr>
              <w:pStyle w:val="CellColumn"/>
              <w:jc w:val="right"/>
            </w:pPr>
            <w:r>
              <w:rPr>
                <w:rFonts w:cs="Times New Roman"/>
              </w:rPr>
              <w:t>99,6</w:t>
            </w:r>
          </w:p>
        </w:tc>
        <w:tc>
          <w:tcPr>
            <w:tcW w:w="1224" w:type="dxa"/>
          </w:tcPr>
          <w:p w:rsidR="00505632" w:rsidRDefault="00505632" w:rsidP="00AD4E52">
            <w:pPr>
              <w:pStyle w:val="CellColumn"/>
              <w:jc w:val="right"/>
            </w:pPr>
            <w:r>
              <w:rPr>
                <w:rFonts w:cs="Times New Roman"/>
              </w:rPr>
              <w:t>95,5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predškolskom odgoju i obrazovanju</w:t>
      </w:r>
    </w:p>
    <w:p w:rsidR="00505632" w:rsidRDefault="00505632" w:rsidP="00505632">
      <w:pPr>
        <w:pStyle w:val="Heading8"/>
        <w:jc w:val="left"/>
      </w:pPr>
      <w:r>
        <w:t>Opis aktivnosti</w:t>
      </w:r>
    </w:p>
    <w:p w:rsidR="00505632" w:rsidRDefault="00505632" w:rsidP="00505632">
      <w:r>
        <w:t>Na ovoj su aktivnosti osigurana sredstva za sufinanciranje djece u programu predškole u dječjim vrtićima i ustrojbenim jedinicama programa predškole pri osnovnim školama u 2016. godini. Sredstva su isplaćivana redovito u 7 od planiranih 8 rata odnosno 5 rata za privatne dječje vrtiće.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obuhvata uključenosti djece predškolske dobi u sustav ranoga i predškolskoga odgoja i obrazovanja</w:t>
            </w:r>
          </w:p>
        </w:tc>
        <w:tc>
          <w:tcPr>
            <w:tcW w:w="2551" w:type="dxa"/>
          </w:tcPr>
          <w:p w:rsidR="00505632" w:rsidRDefault="00505632" w:rsidP="00AD4E52">
            <w:pPr>
              <w:pStyle w:val="CellColumn"/>
              <w:jc w:val="left"/>
            </w:pPr>
            <w:r>
              <w:rPr>
                <w:rFonts w:cs="Times New Roman"/>
              </w:rPr>
              <w:t>Povećanje obuhvata uključenosti djece predškolske dobi u sustav ranoga i predškolskoga odgoja i obrazovanja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66</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67</w:t>
            </w:r>
          </w:p>
        </w:tc>
        <w:tc>
          <w:tcPr>
            <w:tcW w:w="1020" w:type="dxa"/>
          </w:tcPr>
          <w:p w:rsidR="00505632" w:rsidRDefault="00505632" w:rsidP="00AD4E52">
            <w:pPr>
              <w:pStyle w:val="CellColumn"/>
              <w:jc w:val="right"/>
            </w:pPr>
            <w:r>
              <w:rPr>
                <w:rFonts w:cs="Times New Roman"/>
              </w:rPr>
              <w:t>67</w:t>
            </w:r>
          </w:p>
        </w:tc>
      </w:tr>
    </w:tbl>
    <w:p w:rsidR="00505632" w:rsidRDefault="00505632" w:rsidP="00505632">
      <w:pPr>
        <w:jc w:val="left"/>
      </w:pPr>
    </w:p>
    <w:p w:rsidR="00505632" w:rsidRDefault="00505632" w:rsidP="00505632">
      <w:pPr>
        <w:pStyle w:val="Heading4"/>
      </w:pPr>
      <w:r>
        <w:t>A578009 ODGOJ I OBRAZOVANJE DAROVITE DJECE PREDŠKOLSKE DOBI U DJEČJIM VRTIĆIMA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A578009-ODGOJ I OBRAZOVANJE DAROVITE DJECE PREDŠKOLSKE DOBI U DJEČJIM VRTIĆIMA</w:t>
            </w:r>
          </w:p>
        </w:tc>
        <w:tc>
          <w:tcPr>
            <w:tcW w:w="2041" w:type="dxa"/>
          </w:tcPr>
          <w:p w:rsidR="00505632" w:rsidRDefault="00505632" w:rsidP="00AD4E52">
            <w:pPr>
              <w:pStyle w:val="CellColumn"/>
              <w:jc w:val="right"/>
            </w:pPr>
            <w:r>
              <w:rPr>
                <w:rFonts w:cs="Times New Roman"/>
              </w:rPr>
              <w:t>879.600</w:t>
            </w:r>
          </w:p>
        </w:tc>
        <w:tc>
          <w:tcPr>
            <w:tcW w:w="2041" w:type="dxa"/>
          </w:tcPr>
          <w:p w:rsidR="00505632" w:rsidRDefault="00505632" w:rsidP="00AD4E52">
            <w:pPr>
              <w:pStyle w:val="CellColumn"/>
              <w:jc w:val="right"/>
            </w:pPr>
            <w:r>
              <w:rPr>
                <w:rFonts w:cs="Times New Roman"/>
              </w:rPr>
              <w:t>868.890</w:t>
            </w:r>
          </w:p>
        </w:tc>
        <w:tc>
          <w:tcPr>
            <w:tcW w:w="2041" w:type="dxa"/>
          </w:tcPr>
          <w:p w:rsidR="00505632" w:rsidRDefault="00505632" w:rsidP="00AD4E52">
            <w:pPr>
              <w:pStyle w:val="CellColumn"/>
              <w:jc w:val="right"/>
            </w:pPr>
            <w:r>
              <w:rPr>
                <w:rFonts w:cs="Times New Roman"/>
              </w:rPr>
              <w:t>840.600</w:t>
            </w:r>
          </w:p>
        </w:tc>
        <w:tc>
          <w:tcPr>
            <w:tcW w:w="1224" w:type="dxa"/>
          </w:tcPr>
          <w:p w:rsidR="00505632" w:rsidRDefault="00505632" w:rsidP="00AD4E52">
            <w:pPr>
              <w:pStyle w:val="CellColumn"/>
              <w:jc w:val="right"/>
            </w:pPr>
            <w:r>
              <w:rPr>
                <w:rFonts w:cs="Times New Roman"/>
              </w:rPr>
              <w:t>96,7</w:t>
            </w:r>
          </w:p>
        </w:tc>
        <w:tc>
          <w:tcPr>
            <w:tcW w:w="1224" w:type="dxa"/>
          </w:tcPr>
          <w:p w:rsidR="00505632" w:rsidRDefault="00505632" w:rsidP="00AD4E52">
            <w:pPr>
              <w:pStyle w:val="CellColumn"/>
              <w:jc w:val="right"/>
            </w:pPr>
            <w:r>
              <w:rPr>
                <w:rFonts w:cs="Times New Roman"/>
              </w:rPr>
              <w:t>95,6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predškolskom odgoju i obrazovanju</w:t>
      </w:r>
    </w:p>
    <w:p w:rsidR="00505632" w:rsidRDefault="00505632" w:rsidP="00505632">
      <w:pPr>
        <w:pStyle w:val="Heading8"/>
        <w:jc w:val="left"/>
      </w:pPr>
      <w:r>
        <w:t>Opis aktivnosti</w:t>
      </w:r>
    </w:p>
    <w:p w:rsidR="00505632" w:rsidRDefault="00505632" w:rsidP="00505632">
      <w:r>
        <w:t>Na ovoj su aktivnosti osigurana sredstva za sufinanciranje djece s teškoćama u integraciji i posebnim skupinama u dječjim vrtićima u 2016. godini. Sredstva su isplaćena u dvije (2) rate od planiranih dviju (2) rata tijekom kalendarske godine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2"/>
        <w:gridCol w:w="2452"/>
        <w:gridCol w:w="1259"/>
        <w:gridCol w:w="1012"/>
        <w:gridCol w:w="1006"/>
        <w:gridCol w:w="1012"/>
        <w:gridCol w:w="1013"/>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darovite djece i učenika kojima su pruženi dodatni specifični oblici podrške u skladu s njihovim potrebama, sklonostima i sposobnostima</w:t>
            </w:r>
          </w:p>
        </w:tc>
        <w:tc>
          <w:tcPr>
            <w:tcW w:w="2551" w:type="dxa"/>
          </w:tcPr>
          <w:p w:rsidR="00505632" w:rsidRDefault="00505632" w:rsidP="00AD4E52">
            <w:pPr>
              <w:pStyle w:val="CellColumn"/>
              <w:jc w:val="left"/>
            </w:pPr>
            <w:r>
              <w:rPr>
                <w:rFonts w:cs="Times New Roman"/>
              </w:rPr>
              <w:t>Povećanje broja darovite djece i učenika kojima su pruženi dodatni specifični oblici podrške u skladu s njihovim potrebama, sklonostima i sposobnostima</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(kumulativno)</w:t>
            </w:r>
          </w:p>
        </w:tc>
        <w:tc>
          <w:tcPr>
            <w:tcW w:w="1020" w:type="dxa"/>
          </w:tcPr>
          <w:p w:rsidR="00505632" w:rsidRDefault="00505632" w:rsidP="00AD4E52">
            <w:pPr>
              <w:pStyle w:val="CellColumn"/>
              <w:jc w:val="right"/>
            </w:pPr>
            <w:r>
              <w:rPr>
                <w:rFonts w:cs="Times New Roman"/>
              </w:rPr>
              <w:t>3.000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3.200</w:t>
            </w:r>
          </w:p>
        </w:tc>
        <w:tc>
          <w:tcPr>
            <w:tcW w:w="1020" w:type="dxa"/>
          </w:tcPr>
          <w:p w:rsidR="00505632" w:rsidRDefault="00505632" w:rsidP="00AD4E52">
            <w:pPr>
              <w:pStyle w:val="CellColumn"/>
              <w:jc w:val="right"/>
            </w:pPr>
            <w:r>
              <w:rPr>
                <w:rFonts w:cs="Times New Roman"/>
              </w:rPr>
              <w:t>3.000</w:t>
            </w:r>
          </w:p>
        </w:tc>
      </w:tr>
    </w:tbl>
    <w:p w:rsidR="00505632" w:rsidRDefault="00505632" w:rsidP="00505632">
      <w:pPr>
        <w:jc w:val="left"/>
      </w:pPr>
    </w:p>
    <w:p w:rsidR="00505632" w:rsidRDefault="00505632" w:rsidP="00505632">
      <w:pPr>
        <w:pStyle w:val="Heading3"/>
      </w:pPr>
      <w:r>
        <w:rPr>
          <w:rFonts w:cs="Times New Roman"/>
        </w:rPr>
        <w:t>3703 OSNOVNOŠKOLSKO OBRAZOVANJE</w:t>
      </w:r>
    </w:p>
    <w:tbl>
      <w:tblPr>
        <w:tblStyle w:val="StilTablice"/>
        <w:tblW w:w="10206" w:type="dxa"/>
        <w:jc w:val="center"/>
        <w:tblLook w:val="04A0" w:firstRow="1" w:lastRow="0" w:firstColumn="1" w:lastColumn="0" w:noHBand="0" w:noVBand="1"/>
      </w:tblPr>
      <w:tblGrid>
        <w:gridCol w:w="2016"/>
        <w:gridCol w:w="1933"/>
        <w:gridCol w:w="1933"/>
        <w:gridCol w:w="1933"/>
        <w:gridCol w:w="1188"/>
        <w:gridCol w:w="1203"/>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3703-OSNOVNOŠKOLSKO OBRAZOVANJE</w:t>
            </w:r>
          </w:p>
        </w:tc>
        <w:tc>
          <w:tcPr>
            <w:tcW w:w="2041" w:type="dxa"/>
          </w:tcPr>
          <w:p w:rsidR="00505632" w:rsidRDefault="00505632" w:rsidP="00AD4E52">
            <w:pPr>
              <w:pStyle w:val="CellColumn"/>
              <w:jc w:val="right"/>
            </w:pPr>
            <w:r>
              <w:rPr>
                <w:rFonts w:cs="Times New Roman"/>
              </w:rPr>
              <w:t>4.687.345.106</w:t>
            </w:r>
          </w:p>
        </w:tc>
        <w:tc>
          <w:tcPr>
            <w:tcW w:w="2041" w:type="dxa"/>
          </w:tcPr>
          <w:p w:rsidR="00505632" w:rsidRDefault="00505632" w:rsidP="00AD4E52">
            <w:pPr>
              <w:pStyle w:val="CellColumn"/>
              <w:jc w:val="right"/>
            </w:pPr>
            <w:r>
              <w:rPr>
                <w:rFonts w:cs="Times New Roman"/>
              </w:rPr>
              <w:t>4.770.062.266</w:t>
            </w:r>
          </w:p>
        </w:tc>
        <w:tc>
          <w:tcPr>
            <w:tcW w:w="2041" w:type="dxa"/>
          </w:tcPr>
          <w:p w:rsidR="00505632" w:rsidRDefault="00505632" w:rsidP="00AD4E52">
            <w:pPr>
              <w:pStyle w:val="CellColumn"/>
              <w:jc w:val="right"/>
            </w:pPr>
            <w:r>
              <w:rPr>
                <w:rFonts w:cs="Times New Roman"/>
              </w:rPr>
              <w:t>4.766.293.135</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101,7</w:t>
            </w:r>
          </w:p>
        </w:tc>
      </w:tr>
    </w:tbl>
    <w:p w:rsidR="00505632" w:rsidRDefault="00505632" w:rsidP="00505632">
      <w:pPr>
        <w:jc w:val="left"/>
      </w:pPr>
    </w:p>
    <w:p w:rsidR="00505632" w:rsidRDefault="00505632" w:rsidP="00505632">
      <w:r>
        <w:t xml:space="preserve">Program osnovnoškolskog obrazovanja obvezan je za svu djecu u Republici Hrvatskoj. Razvoj dostupnijeg, prilagodljivijeg i učinkovitijeg sustava obrazovanja omogućit će stvaranje intelektualnog i radnog potencijala kao ključnog bogatstva hrvatske države. Za to je potrebno osiguravati uvjete za ostvarenje koeficijenata izvodljivosti Državnoga pedagoškog standarda osnovnoškolskog sustava odgoja i obrazovanja, odnosno opremati  školske ustanove didaktičkom i informatičkom opremom, prilagoditi škole potrebama učenika s motoričkim i drugim teškoćama te zahtjevima suvremenog pristupa poučavanju koji zahtijeva izgradnju, nadogradnju i/ili rekonstrukciju postojećih školskih objekata. Isto tako potrebno je omogućiti osnovnoškolski odgoj i obrazovanje sa strateškim ciljevima Vlade Republike Hrvatske, uzimajući u obzir i promjene koje predviđa Strategija obrazovanje, znanosti i tehnologije. </w:t>
      </w:r>
    </w:p>
    <w:p w:rsidR="00505632" w:rsidRDefault="00505632" w:rsidP="00505632">
      <w:r>
        <w:t>Sukladno općem cilju 1. Strateškog plana Ministarstvo djeluje na osiguranju i unapređenju kvalitete te povećanju dostupnosti, učinkovitosti i relevantnosti sustava odgoja i obrazovanja na svim razinama. To podrazumijeva poticanje i osiguravanje uvjeta za odgojno-obrazovno i socijalno uključivanje.</w:t>
      </w:r>
    </w:p>
    <w:p w:rsidR="00505632" w:rsidRDefault="00505632" w:rsidP="00505632">
      <w:pPr>
        <w:pStyle w:val="Heading8"/>
        <w:jc w:val="left"/>
      </w:pPr>
      <w:r>
        <w:t>Cilj 1. Razvijanje učinkovite mreže odgojno-obrazovnih ustanova i kvalifikacija/programa/kurikuluma usmjerenih razvoju ljudskih potencijala te usklađenih s potrebama društva i tržišta rada</w:t>
      </w:r>
    </w:p>
    <w:p w:rsidR="00505632" w:rsidRDefault="00505632" w:rsidP="00505632">
      <w:pPr>
        <w:pStyle w:val="Heading8"/>
        <w:jc w:val="left"/>
      </w:pPr>
      <w:r>
        <w:t>Opis provedbe cilja programa</w:t>
      </w:r>
    </w:p>
    <w:p w:rsidR="00505632" w:rsidRDefault="00505632" w:rsidP="00505632">
      <w:r>
        <w:t>1.1.1. Uspostaviti učinkovitu mrežu predškolskih ustanova, škola i programa</w:t>
      </w:r>
    </w:p>
    <w:p w:rsidR="00505632" w:rsidRDefault="00505632" w:rsidP="00505632">
      <w:pPr>
        <w:pStyle w:val="Heading8"/>
        <w:jc w:val="left"/>
      </w:pPr>
      <w:r>
        <w:t>Cilj 2. Razvijati sustav osiguranja kvalitete na svim razinama sustava odgoja i obrazovanja</w:t>
      </w:r>
    </w:p>
    <w:p w:rsidR="00505632" w:rsidRDefault="00505632" w:rsidP="00505632">
      <w:pPr>
        <w:pStyle w:val="Heading8"/>
        <w:jc w:val="left"/>
      </w:pPr>
      <w:r>
        <w:t>Opis provedbe cilja programa</w:t>
      </w:r>
    </w:p>
    <w:p w:rsidR="00505632" w:rsidRDefault="00505632" w:rsidP="00505632">
      <w:r>
        <w:t>1.2.1. Osigurati kvalitetan sustav predškolskog, osnovnoškolskog i srednjoškolskog odgoja i obrazovanja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447"/>
        <w:gridCol w:w="2452"/>
        <w:gridCol w:w="1259"/>
        <w:gridCol w:w="1013"/>
        <w:gridCol w:w="1008"/>
        <w:gridCol w:w="1013"/>
        <w:gridCol w:w="1014"/>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osnovnih škola optimalne veličine</w:t>
            </w:r>
          </w:p>
        </w:tc>
        <w:tc>
          <w:tcPr>
            <w:tcW w:w="2551" w:type="dxa"/>
          </w:tcPr>
          <w:p w:rsidR="00505632" w:rsidRDefault="00505632" w:rsidP="00AD4E52">
            <w:pPr>
              <w:pStyle w:val="CellColumn"/>
              <w:jc w:val="left"/>
            </w:pPr>
            <w:r>
              <w:rPr>
                <w:rFonts w:cs="Times New Roman"/>
              </w:rPr>
              <w:t>Udio osnovnih škola s optimalnim brojem učenika (300 do 600 učenika)</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(kumulativno)</w:t>
            </w:r>
          </w:p>
        </w:tc>
        <w:tc>
          <w:tcPr>
            <w:tcW w:w="1020" w:type="dxa"/>
          </w:tcPr>
          <w:p w:rsidR="00505632" w:rsidRDefault="00505632" w:rsidP="00AD4E52">
            <w:pPr>
              <w:pStyle w:val="CellColumn"/>
              <w:jc w:val="right"/>
            </w:pPr>
            <w:r>
              <w:rPr>
                <w:rFonts w:cs="Times New Roman"/>
              </w:rPr>
              <w:t>311</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320</w:t>
            </w:r>
          </w:p>
        </w:tc>
        <w:tc>
          <w:tcPr>
            <w:tcW w:w="1020" w:type="dxa"/>
          </w:tcPr>
          <w:p w:rsidR="00505632" w:rsidRDefault="00505632" w:rsidP="00AD4E52">
            <w:pPr>
              <w:pStyle w:val="CellColumn"/>
              <w:jc w:val="right"/>
            </w:pPr>
            <w:r>
              <w:rPr>
                <w:rFonts w:cs="Times New Roman"/>
              </w:rPr>
              <w:t>322</w:t>
            </w:r>
          </w:p>
        </w:tc>
      </w:tr>
    </w:tbl>
    <w:p w:rsidR="00505632" w:rsidRDefault="00505632" w:rsidP="00505632">
      <w:pPr>
        <w:jc w:val="left"/>
      </w:pPr>
    </w:p>
    <w:p w:rsidR="00505632" w:rsidRDefault="00505632" w:rsidP="00505632">
      <w:pPr>
        <w:pStyle w:val="Heading4"/>
      </w:pPr>
      <w:r>
        <w:t>A577004 IZRADA NASTAVNOG UPUTNIKA (KURIKULUMA)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A577004-IZRADA NASTAVNOG UPUTNIKA (KURIKULUMA)</w:t>
            </w:r>
          </w:p>
        </w:tc>
        <w:tc>
          <w:tcPr>
            <w:tcW w:w="2041" w:type="dxa"/>
          </w:tcPr>
          <w:p w:rsidR="00505632" w:rsidRDefault="00505632" w:rsidP="00AD4E52">
            <w:pPr>
              <w:pStyle w:val="CellColumn"/>
              <w:jc w:val="right"/>
            </w:pPr>
            <w:r>
              <w:rPr>
                <w:rFonts w:cs="Times New Roman"/>
              </w:rPr>
              <w:t>3.068.687</w:t>
            </w:r>
          </w:p>
        </w:tc>
        <w:tc>
          <w:tcPr>
            <w:tcW w:w="2041" w:type="dxa"/>
          </w:tcPr>
          <w:p w:rsidR="00505632" w:rsidRDefault="00505632" w:rsidP="00AD4E52">
            <w:pPr>
              <w:pStyle w:val="CellColumn"/>
              <w:jc w:val="right"/>
            </w:pPr>
            <w:r>
              <w:rPr>
                <w:rFonts w:cs="Times New Roman"/>
              </w:rPr>
              <w:t>4.202.999</w:t>
            </w:r>
          </w:p>
        </w:tc>
        <w:tc>
          <w:tcPr>
            <w:tcW w:w="2041" w:type="dxa"/>
          </w:tcPr>
          <w:p w:rsidR="00505632" w:rsidRDefault="00505632" w:rsidP="00AD4E52">
            <w:pPr>
              <w:pStyle w:val="CellColumn"/>
              <w:jc w:val="right"/>
            </w:pPr>
            <w:r>
              <w:rPr>
                <w:rFonts w:cs="Times New Roman"/>
              </w:rPr>
              <w:t>2.796.953</w:t>
            </w:r>
          </w:p>
        </w:tc>
        <w:tc>
          <w:tcPr>
            <w:tcW w:w="1224" w:type="dxa"/>
          </w:tcPr>
          <w:p w:rsidR="00505632" w:rsidRDefault="00505632" w:rsidP="00AD4E52">
            <w:pPr>
              <w:pStyle w:val="CellColumn"/>
              <w:jc w:val="right"/>
            </w:pPr>
            <w:r>
              <w:rPr>
                <w:rFonts w:cs="Times New Roman"/>
              </w:rPr>
              <w:t>66,5</w:t>
            </w:r>
          </w:p>
        </w:tc>
        <w:tc>
          <w:tcPr>
            <w:tcW w:w="1224" w:type="dxa"/>
          </w:tcPr>
          <w:p w:rsidR="00505632" w:rsidRDefault="00505632" w:rsidP="00AD4E52">
            <w:pPr>
              <w:pStyle w:val="CellColumn"/>
              <w:jc w:val="right"/>
            </w:pPr>
            <w:r>
              <w:rPr>
                <w:rFonts w:cs="Times New Roman"/>
              </w:rPr>
              <w:t>91,1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Strategija obrazovanja, znanosti i tehnologije</w:t>
      </w:r>
    </w:p>
    <w:p w:rsidR="00505632" w:rsidRDefault="00505632" w:rsidP="00505632">
      <w:pPr>
        <w:pStyle w:val="Heading8"/>
        <w:jc w:val="left"/>
      </w:pPr>
      <w:r>
        <w:t>Opis aktivnosti</w:t>
      </w:r>
    </w:p>
    <w:p w:rsidR="00505632" w:rsidRDefault="00505632" w:rsidP="00505632">
      <w:r>
        <w:t>U okviru aktivnosti financirane su aktivnosti vezane za Cjelovitu kurikularnu reformu za rani i predškolski, osnovnoškolski i srednjoškolski odgoj i obrazovanje – priprema i izrada kurikularnih dokumenata.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82"/>
        <w:gridCol w:w="2476"/>
        <w:gridCol w:w="1007"/>
        <w:gridCol w:w="1014"/>
        <w:gridCol w:w="1010"/>
        <w:gridCol w:w="1014"/>
        <w:gridCol w:w="1203"/>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pripremljenih kurikularnih dokumenata</w:t>
            </w:r>
          </w:p>
        </w:tc>
        <w:tc>
          <w:tcPr>
            <w:tcW w:w="2551" w:type="dxa"/>
          </w:tcPr>
          <w:p w:rsidR="00505632" w:rsidRDefault="00505632" w:rsidP="00AD4E52">
            <w:pPr>
              <w:pStyle w:val="CellColumn"/>
              <w:jc w:val="left"/>
            </w:pPr>
            <w:r>
              <w:rPr>
                <w:rFonts w:cs="Times New Roman"/>
              </w:rPr>
              <w:t>Priprema i objava kurikularnih dokumenata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56</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56</w:t>
            </w:r>
          </w:p>
        </w:tc>
        <w:tc>
          <w:tcPr>
            <w:tcW w:w="1020" w:type="dxa"/>
          </w:tcPr>
          <w:p w:rsidR="00505632" w:rsidRDefault="00505632" w:rsidP="00AD4E52">
            <w:pPr>
              <w:pStyle w:val="CellColumn"/>
              <w:jc w:val="right"/>
            </w:pPr>
            <w:r>
              <w:rPr>
                <w:rFonts w:cs="Times New Roman"/>
              </w:rPr>
              <w:t xml:space="preserve">56 – pripremljenih  </w:t>
            </w:r>
          </w:p>
          <w:p w:rsidR="00505632" w:rsidRDefault="00505632" w:rsidP="00AD4E52">
            <w:pPr>
              <w:pStyle w:val="CellColumn"/>
              <w:jc w:val="right"/>
            </w:pPr>
            <w:r>
              <w:rPr>
                <w:rFonts w:cs="Times New Roman"/>
              </w:rPr>
              <w:t>0 - usvojenih/ donesenih</w:t>
            </w:r>
          </w:p>
        </w:tc>
      </w:tr>
    </w:tbl>
    <w:p w:rsidR="00505632" w:rsidRDefault="00505632" w:rsidP="00505632">
      <w:pPr>
        <w:jc w:val="left"/>
      </w:pPr>
    </w:p>
    <w:p w:rsidR="00505632" w:rsidRDefault="00505632" w:rsidP="00505632">
      <w:pPr>
        <w:pStyle w:val="Heading4"/>
      </w:pPr>
      <w:r>
        <w:t>A579000 OSNOVNOŠKOLSKO OBRAZOVANJE</w:t>
      </w:r>
    </w:p>
    <w:tbl>
      <w:tblPr>
        <w:tblStyle w:val="StilTablice"/>
        <w:tblW w:w="10206" w:type="dxa"/>
        <w:jc w:val="center"/>
        <w:tblLook w:val="04A0" w:firstRow="1" w:lastRow="0" w:firstColumn="1" w:lastColumn="0" w:noHBand="0" w:noVBand="1"/>
      </w:tblPr>
      <w:tblGrid>
        <w:gridCol w:w="2016"/>
        <w:gridCol w:w="1933"/>
        <w:gridCol w:w="1933"/>
        <w:gridCol w:w="1933"/>
        <w:gridCol w:w="1188"/>
        <w:gridCol w:w="120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A579000-OSNOVNOŠKOLSKO OBRAZOVANJE</w:t>
            </w:r>
          </w:p>
        </w:tc>
        <w:tc>
          <w:tcPr>
            <w:tcW w:w="2041" w:type="dxa"/>
          </w:tcPr>
          <w:p w:rsidR="00505632" w:rsidRDefault="00505632" w:rsidP="00AD4E52">
            <w:pPr>
              <w:pStyle w:val="CellColumn"/>
              <w:jc w:val="right"/>
            </w:pPr>
            <w:r>
              <w:rPr>
                <w:rFonts w:cs="Times New Roman"/>
              </w:rPr>
              <w:t>4.545.473.644</w:t>
            </w:r>
          </w:p>
        </w:tc>
        <w:tc>
          <w:tcPr>
            <w:tcW w:w="2041" w:type="dxa"/>
          </w:tcPr>
          <w:p w:rsidR="00505632" w:rsidRDefault="00505632" w:rsidP="00AD4E52">
            <w:pPr>
              <w:pStyle w:val="CellColumn"/>
              <w:jc w:val="right"/>
            </w:pPr>
            <w:r>
              <w:rPr>
                <w:rFonts w:cs="Times New Roman"/>
              </w:rPr>
              <w:t>4.685.063.935</w:t>
            </w:r>
          </w:p>
        </w:tc>
        <w:tc>
          <w:tcPr>
            <w:tcW w:w="2041" w:type="dxa"/>
          </w:tcPr>
          <w:p w:rsidR="00505632" w:rsidRDefault="00505632" w:rsidP="00AD4E52">
            <w:pPr>
              <w:pStyle w:val="CellColumn"/>
              <w:jc w:val="right"/>
            </w:pPr>
            <w:r>
              <w:rPr>
                <w:rFonts w:cs="Times New Roman"/>
              </w:rPr>
              <w:t>4.684.688.076</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103,1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Kolektivni ugovor za zaposlenike u osnovnoškolskim ustanovama </w:t>
      </w:r>
    </w:p>
    <w:p w:rsidR="00505632" w:rsidRDefault="00505632" w:rsidP="00505632">
      <w:r>
        <w:t xml:space="preserve">Temeljni kolektivni ugovor za službenike i namještenike u javnim službama </w:t>
      </w:r>
    </w:p>
    <w:p w:rsidR="00505632" w:rsidRDefault="00505632" w:rsidP="00505632">
      <w:r>
        <w:t xml:space="preserve">Zakon o plaćama </w:t>
      </w:r>
    </w:p>
    <w:p w:rsidR="00505632" w:rsidRDefault="00505632" w:rsidP="00505632">
      <w:r>
        <w:t xml:space="preserve">Uredba o nazivima radnih mjesta i koeficijentima složenosti poslova u javnim službama </w:t>
      </w:r>
    </w:p>
    <w:p w:rsidR="00505632" w:rsidRDefault="00505632" w:rsidP="00505632">
      <w:r>
        <w:t>Sporazum o dodacima na plaću u obrazovanju i znanosti od 25. studenoga 2006. godine</w:t>
      </w:r>
    </w:p>
    <w:p w:rsidR="00505632" w:rsidRDefault="00505632" w:rsidP="00505632">
      <w:pPr>
        <w:pStyle w:val="Heading8"/>
        <w:jc w:val="left"/>
      </w:pPr>
      <w:r>
        <w:t>Opis aktivnosti</w:t>
      </w:r>
    </w:p>
    <w:p w:rsidR="00505632" w:rsidRDefault="00505632" w:rsidP="00505632">
      <w:r>
        <w:t>Na ovoj su aktivnosti osigurana sredstva za plaće i naknade zaposlenih u osnovnoškolskim ustanovama (bruto plaće s pripadajućim doprinosima poslodavca, naknade troškova prijevoza na posao i s posla, otpremnine, pomoći i druga materijalna prava zaposlenika osnovnih škola). Sredstva su u 2016. godini isplaćena na temelju važećih zakonskih propisa i kolektivnih ugovora: Temeljnog kolektivnog ugovora za službenike i namještenike u javnim službama (NN 141/12) te Kolektivnog ugovora za zaposlenike u osnovnoškolskim ustanovama (NN 63/14).</w:t>
      </w:r>
    </w:p>
    <w:p w:rsidR="00505632" w:rsidRDefault="00505632" w:rsidP="00505632">
      <w:pPr>
        <w:pStyle w:val="Heading4"/>
      </w:pPr>
      <w:r>
        <w:t>A579003 ODGOJ I NAOBRAZBA UČENIKA S TEŠKOĆAMA U RAZVOJU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A579003-ODGOJ I NAOBRAZBA UČENIKA S TEŠKOĆAMA U RAZVOJU</w:t>
            </w:r>
          </w:p>
        </w:tc>
        <w:tc>
          <w:tcPr>
            <w:tcW w:w="2041" w:type="dxa"/>
          </w:tcPr>
          <w:p w:rsidR="00505632" w:rsidRDefault="00505632" w:rsidP="00AD4E52">
            <w:pPr>
              <w:pStyle w:val="CellColumn"/>
              <w:jc w:val="right"/>
            </w:pPr>
            <w:r>
              <w:rPr>
                <w:rFonts w:cs="Times New Roman"/>
              </w:rPr>
              <w:t>23.858.156</w:t>
            </w:r>
          </w:p>
        </w:tc>
        <w:tc>
          <w:tcPr>
            <w:tcW w:w="2041" w:type="dxa"/>
          </w:tcPr>
          <w:p w:rsidR="00505632" w:rsidRDefault="00505632" w:rsidP="00AD4E52">
            <w:pPr>
              <w:pStyle w:val="CellColumn"/>
              <w:jc w:val="right"/>
            </w:pPr>
            <w:r>
              <w:rPr>
                <w:rFonts w:cs="Times New Roman"/>
              </w:rPr>
              <w:t>26.378.157</w:t>
            </w:r>
          </w:p>
        </w:tc>
        <w:tc>
          <w:tcPr>
            <w:tcW w:w="2041" w:type="dxa"/>
          </w:tcPr>
          <w:p w:rsidR="00505632" w:rsidRDefault="00505632" w:rsidP="00AD4E52">
            <w:pPr>
              <w:pStyle w:val="CellColumn"/>
              <w:jc w:val="right"/>
            </w:pPr>
            <w:r>
              <w:rPr>
                <w:rFonts w:cs="Times New Roman"/>
              </w:rPr>
              <w:t>26.364.373</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110,5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w:t>
      </w:r>
    </w:p>
    <w:p w:rsidR="00505632" w:rsidRDefault="00505632" w:rsidP="00505632">
      <w:r>
        <w:t xml:space="preserve">Pravilnik o osnovnoškolskom i srednjoškolskom odgoju i obrazovanju učenika s teškoćama u razvoju </w:t>
      </w:r>
    </w:p>
    <w:p w:rsidR="00505632" w:rsidRDefault="00505632" w:rsidP="00505632">
      <w:r>
        <w:t>Odluka o kriterijima za financiranje povećanih troškova prijevoza i posebnih nastavnih sredstava i pomagala te sufinanciranje prehrane učenika s teškoćama u razvoju u osnovnoškolskim programima učenicima s teškoćama (godišnja)</w:t>
      </w:r>
    </w:p>
    <w:p w:rsidR="00505632" w:rsidRDefault="00505632" w:rsidP="00505632">
      <w:pPr>
        <w:pStyle w:val="Heading8"/>
        <w:jc w:val="left"/>
      </w:pPr>
      <w:r>
        <w:t>Opis aktivnosti</w:t>
      </w:r>
    </w:p>
    <w:p w:rsidR="00505632" w:rsidRDefault="00505632" w:rsidP="00505632">
      <w:r>
        <w:t>Ministarstvo osigurava povećane troškove prijevoza svim učenicima s teškoćama u razvoju kojima je prilagođeni prijevoz nužan, kao i povećane troškove prijevoza za pratitelje te sufinanciranje nastavnih sredstava i pomagala i prehrane učenika s teškoćama u razvoju za osnovne škole.  Cilj je aktivnosti učiniti obrazovanje dostupnim svakom učeniku, učiniti ga prohodnim, ostvariti socijalnu uključenost te povećati broj učenika s teškoćama u razvoju uključenih u redoviti sustav odgoja i obrazovanja. Ministarstvo osigurava potrebnu programsku i profesionalnu pomoć te prostornu i pedagoško-didaktičku prilagodbu učenicima s teškoćama radi njihova primjerenog obrazovanja, unapređenja i podizanja kvalitete njihova života (socijalizacije i osposobljavanja za samostalan život i rad) te integracije u život zajednice nakon završetka njima primjerenog i prilagođenog školovanja.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učenika s teškoćama u razvoju kojima se osigurava prilagođeni prijevoz, nastavna sredstva i pomagala te prehrana u OŠ</w:t>
            </w:r>
          </w:p>
        </w:tc>
        <w:tc>
          <w:tcPr>
            <w:tcW w:w="2551" w:type="dxa"/>
          </w:tcPr>
          <w:p w:rsidR="00505632" w:rsidRDefault="00505632" w:rsidP="00AD4E52">
            <w:pPr>
              <w:pStyle w:val="CellColumn"/>
              <w:jc w:val="left"/>
            </w:pPr>
            <w:r>
              <w:rPr>
                <w:rFonts w:cs="Times New Roman"/>
              </w:rPr>
              <w:t>Osiguravanje prijevoza, prehrane i didaktike te nastavnih sredstava i pomagala za učenike s teškoćama u razvoju u OŠ</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4.900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4.900</w:t>
            </w:r>
          </w:p>
        </w:tc>
        <w:tc>
          <w:tcPr>
            <w:tcW w:w="1020" w:type="dxa"/>
          </w:tcPr>
          <w:p w:rsidR="00505632" w:rsidRDefault="00505632" w:rsidP="00AD4E52">
            <w:pPr>
              <w:pStyle w:val="CellColumn"/>
              <w:jc w:val="right"/>
            </w:pPr>
            <w:r>
              <w:rPr>
                <w:rFonts w:cs="Times New Roman"/>
              </w:rPr>
              <w:t>5.738</w:t>
            </w:r>
          </w:p>
        </w:tc>
      </w:tr>
    </w:tbl>
    <w:p w:rsidR="00505632" w:rsidRDefault="00505632" w:rsidP="00505632">
      <w:pPr>
        <w:jc w:val="left"/>
      </w:pPr>
    </w:p>
    <w:p w:rsidR="00505632" w:rsidRDefault="00505632" w:rsidP="00505632">
      <w:pPr>
        <w:pStyle w:val="Heading4"/>
      </w:pPr>
      <w:r>
        <w:t>A579007 IZVRŠAVANJE PRAVOMOĆNIH SUDSKIH PRESUDA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A579007-IZVRŠAVANJE PRAVOMOĆNIH SUDSKIH PRESUDA</w:t>
            </w:r>
          </w:p>
        </w:tc>
        <w:tc>
          <w:tcPr>
            <w:tcW w:w="2041" w:type="dxa"/>
          </w:tcPr>
          <w:p w:rsidR="00505632" w:rsidRDefault="00505632" w:rsidP="00AD4E52">
            <w:pPr>
              <w:pStyle w:val="CellColumn"/>
              <w:jc w:val="right"/>
            </w:pPr>
            <w:r>
              <w:rPr>
                <w:rFonts w:cs="Times New Roman"/>
              </w:rPr>
              <w:t>2.490.263</w:t>
            </w:r>
          </w:p>
        </w:tc>
        <w:tc>
          <w:tcPr>
            <w:tcW w:w="2041" w:type="dxa"/>
          </w:tcPr>
          <w:p w:rsidR="00505632" w:rsidRDefault="00505632" w:rsidP="00AD4E52">
            <w:pPr>
              <w:pStyle w:val="CellColumn"/>
              <w:jc w:val="right"/>
            </w:pPr>
            <w:r>
              <w:rPr>
                <w:rFonts w:cs="Times New Roman"/>
              </w:rPr>
              <w:t>2.360.264</w:t>
            </w:r>
          </w:p>
        </w:tc>
        <w:tc>
          <w:tcPr>
            <w:tcW w:w="2041" w:type="dxa"/>
          </w:tcPr>
          <w:p w:rsidR="00505632" w:rsidRDefault="00505632" w:rsidP="00AD4E52">
            <w:pPr>
              <w:pStyle w:val="CellColumn"/>
              <w:jc w:val="right"/>
            </w:pPr>
            <w:r>
              <w:rPr>
                <w:rFonts w:cs="Times New Roman"/>
              </w:rPr>
              <w:t>2.360.063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94,8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odgoju i obrazovanju u osnovnoj i srednjoj školi - članak 142.</w:t>
      </w:r>
    </w:p>
    <w:p w:rsidR="00505632" w:rsidRDefault="00505632" w:rsidP="00505632">
      <w:pPr>
        <w:pStyle w:val="Heading8"/>
        <w:jc w:val="left"/>
      </w:pPr>
      <w:r>
        <w:t>Opis aktivnosti</w:t>
      </w:r>
    </w:p>
    <w:p w:rsidR="00505632" w:rsidRDefault="00505632" w:rsidP="00505632">
      <w:r>
        <w:t>Na aktivnosti su osigurana sredstva za plaćanje po pravomoćnim sudskim presudama za sporove koje su osnovnoškolske ustanove izgubile, a za koje sukladno čl. 142. Zakona o odgoju i obrazovanju u osnovnoj i srednjoj školi ostvaruju pravo na refundiranje sredstava iz državnog proračuna. Radi se o izgubljenim radnim sporovima bez krivnje škole i sporovima zbog isplate jubilarnih nagrada po osnovici od 500,00 kn zaposlenicima koji su pravo na istu stekli u 2013. godini.</w:t>
      </w:r>
    </w:p>
    <w:p w:rsidR="00505632" w:rsidRDefault="00505632" w:rsidP="00505632">
      <w:pPr>
        <w:pStyle w:val="Heading4"/>
      </w:pPr>
      <w:r>
        <w:t>A579015 JUBILARNE NAGRADE ZA OSNOVNE ŠKOLE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A579015-JUBILARNE NAGRADE ZA OSNOVNE ŠKOLE</w:t>
            </w:r>
          </w:p>
        </w:tc>
        <w:tc>
          <w:tcPr>
            <w:tcW w:w="2041" w:type="dxa"/>
          </w:tcPr>
          <w:p w:rsidR="00505632" w:rsidRDefault="00505632" w:rsidP="00AD4E52">
            <w:pPr>
              <w:pStyle w:val="CellColumn"/>
              <w:jc w:val="right"/>
            </w:pPr>
            <w:r>
              <w:rPr>
                <w:rFonts w:cs="Times New Roman"/>
              </w:rPr>
              <w:t>45.747.620</w:t>
            </w:r>
          </w:p>
        </w:tc>
        <w:tc>
          <w:tcPr>
            <w:tcW w:w="2041" w:type="dxa"/>
          </w:tcPr>
          <w:p w:rsidR="00505632" w:rsidRDefault="00505632" w:rsidP="00AD4E52">
            <w:pPr>
              <w:pStyle w:val="CellColumn"/>
              <w:jc w:val="right"/>
            </w:pPr>
            <w:r>
              <w:rPr>
                <w:rFonts w:cs="Times New Roman"/>
              </w:rPr>
              <w:t>29.970.239</w:t>
            </w:r>
          </w:p>
        </w:tc>
        <w:tc>
          <w:tcPr>
            <w:tcW w:w="2041" w:type="dxa"/>
          </w:tcPr>
          <w:p w:rsidR="00505632" w:rsidRDefault="00505632" w:rsidP="00AD4E52">
            <w:pPr>
              <w:pStyle w:val="CellColumn"/>
              <w:jc w:val="right"/>
            </w:pPr>
            <w:r>
              <w:rPr>
                <w:rFonts w:cs="Times New Roman"/>
              </w:rPr>
              <w:t>29.267.729</w:t>
            </w:r>
          </w:p>
        </w:tc>
        <w:tc>
          <w:tcPr>
            <w:tcW w:w="1224" w:type="dxa"/>
          </w:tcPr>
          <w:p w:rsidR="00505632" w:rsidRDefault="00505632" w:rsidP="00AD4E52">
            <w:pPr>
              <w:pStyle w:val="CellColumn"/>
              <w:jc w:val="right"/>
            </w:pPr>
            <w:r>
              <w:rPr>
                <w:rFonts w:cs="Times New Roman"/>
              </w:rPr>
              <w:t>97,7</w:t>
            </w:r>
          </w:p>
        </w:tc>
        <w:tc>
          <w:tcPr>
            <w:tcW w:w="1224" w:type="dxa"/>
          </w:tcPr>
          <w:p w:rsidR="00505632" w:rsidRDefault="00505632" w:rsidP="00AD4E52">
            <w:pPr>
              <w:pStyle w:val="CellColumn"/>
              <w:jc w:val="right"/>
            </w:pPr>
            <w:r>
              <w:rPr>
                <w:rFonts w:cs="Times New Roman"/>
              </w:rPr>
              <w:t>64,0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Temeljni kolektivni ugovor za službenike i namještenike u javnim službama</w:t>
      </w:r>
    </w:p>
    <w:p w:rsidR="00505632" w:rsidRDefault="00505632" w:rsidP="00505632">
      <w:pPr>
        <w:pStyle w:val="Heading8"/>
        <w:jc w:val="left"/>
      </w:pPr>
      <w:r>
        <w:t>Opis aktivnosti</w:t>
      </w:r>
    </w:p>
    <w:p w:rsidR="00505632" w:rsidRDefault="00505632" w:rsidP="00505632">
      <w:r>
        <w:t>Na aktivnosti su osigurana sredstva za isplatu jubilarnih nagrada zaposlenicima osnovnoškolskih ustanova sukladno Temeljnom kolektivnom ugovoru za službenike i namještenike u javnim službama (NN 141/12).</w:t>
      </w:r>
    </w:p>
    <w:p w:rsidR="00505632" w:rsidRDefault="00505632" w:rsidP="00505632">
      <w:pPr>
        <w:pStyle w:val="Heading4"/>
      </w:pPr>
      <w:r>
        <w:t>K767031 OŠ MIJATA STOJANOVIĆA U BABINOJ GREDI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K767031-OŠ MIJATA STOJANOVIĆA U BABINOJ GREDI</w:t>
            </w:r>
          </w:p>
        </w:tc>
        <w:tc>
          <w:tcPr>
            <w:tcW w:w="2041" w:type="dxa"/>
          </w:tcPr>
          <w:p w:rsidR="00505632" w:rsidRDefault="00505632" w:rsidP="00AD4E52">
            <w:pPr>
              <w:pStyle w:val="CellColumn"/>
              <w:jc w:val="right"/>
            </w:pPr>
            <w:r>
              <w:rPr>
                <w:rFonts w:cs="Times New Roman"/>
              </w:rPr>
              <w:t>1.879.665</w:t>
            </w:r>
          </w:p>
        </w:tc>
        <w:tc>
          <w:tcPr>
            <w:tcW w:w="2041" w:type="dxa"/>
          </w:tcPr>
          <w:p w:rsidR="00505632" w:rsidRDefault="00505632" w:rsidP="00AD4E52">
            <w:pPr>
              <w:pStyle w:val="CellColumn"/>
              <w:jc w:val="right"/>
            </w:pPr>
            <w:r>
              <w:rPr>
                <w:rFonts w:cs="Times New Roman"/>
              </w:rPr>
              <w:t>1.553.898</w:t>
            </w:r>
          </w:p>
        </w:tc>
        <w:tc>
          <w:tcPr>
            <w:tcW w:w="2041" w:type="dxa"/>
          </w:tcPr>
          <w:p w:rsidR="00505632" w:rsidRDefault="00505632" w:rsidP="00AD4E52">
            <w:pPr>
              <w:pStyle w:val="CellColumn"/>
              <w:jc w:val="right"/>
            </w:pPr>
            <w:r>
              <w:rPr>
                <w:rFonts w:cs="Times New Roman"/>
              </w:rPr>
              <w:t>560.386</w:t>
            </w:r>
          </w:p>
        </w:tc>
        <w:tc>
          <w:tcPr>
            <w:tcW w:w="1224" w:type="dxa"/>
          </w:tcPr>
          <w:p w:rsidR="00505632" w:rsidRDefault="00505632" w:rsidP="00AD4E52">
            <w:pPr>
              <w:pStyle w:val="CellColumn"/>
              <w:jc w:val="right"/>
            </w:pPr>
            <w:r>
              <w:rPr>
                <w:rFonts w:cs="Times New Roman"/>
              </w:rPr>
              <w:t>36,1</w:t>
            </w:r>
          </w:p>
        </w:tc>
        <w:tc>
          <w:tcPr>
            <w:tcW w:w="1224" w:type="dxa"/>
          </w:tcPr>
          <w:p w:rsidR="00505632" w:rsidRDefault="00505632" w:rsidP="00AD4E52">
            <w:pPr>
              <w:pStyle w:val="CellColumn"/>
              <w:jc w:val="right"/>
            </w:pPr>
            <w:r>
              <w:rPr>
                <w:rFonts w:cs="Times New Roman"/>
              </w:rPr>
              <w:t>29,8</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Sredstvima DP nastavljena je izgradnja sportske dvorane uz OŠ Mijata Stojanovića.</w:t>
      </w:r>
    </w:p>
    <w:p w:rsidR="00505632" w:rsidRDefault="00505632" w:rsidP="00505632">
      <w:pPr>
        <w:pStyle w:val="Heading4"/>
      </w:pPr>
      <w:r>
        <w:t>K767044 DOGRADNJA OŠ MILANA BROZOVIĆA, KASTAV</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K767044-DOGRADNJA OŠ MILANA BROZOVIĆA, KASTAV</w:t>
            </w:r>
          </w:p>
        </w:tc>
        <w:tc>
          <w:tcPr>
            <w:tcW w:w="2041" w:type="dxa"/>
          </w:tcPr>
          <w:p w:rsidR="00505632" w:rsidRDefault="00505632" w:rsidP="00AD4E52">
            <w:pPr>
              <w:pStyle w:val="CellColumn"/>
              <w:jc w:val="right"/>
            </w:pPr>
            <w:r>
              <w:rPr>
                <w:rFonts w:cs="Times New Roman"/>
              </w:rPr>
              <w:t>3.186.816</w:t>
            </w:r>
          </w:p>
        </w:tc>
        <w:tc>
          <w:tcPr>
            <w:tcW w:w="2041" w:type="dxa"/>
          </w:tcPr>
          <w:p w:rsidR="00505632" w:rsidRDefault="00505632" w:rsidP="00AD4E52">
            <w:pPr>
              <w:pStyle w:val="CellColumn"/>
              <w:jc w:val="right"/>
            </w:pPr>
            <w:r>
              <w:rPr>
                <w:rFonts w:cs="Times New Roman"/>
              </w:rPr>
              <w:t>1.330.001</w:t>
            </w:r>
          </w:p>
        </w:tc>
        <w:tc>
          <w:tcPr>
            <w:tcW w:w="2041" w:type="dxa"/>
          </w:tcPr>
          <w:p w:rsidR="00505632" w:rsidRDefault="00505632" w:rsidP="00AD4E52">
            <w:pPr>
              <w:pStyle w:val="CellColumn"/>
              <w:jc w:val="right"/>
            </w:pPr>
            <w:r>
              <w:rPr>
                <w:rFonts w:cs="Times New Roman"/>
              </w:rPr>
              <w:t>1.330.001</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41,7</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Sredstvima DP dovršena je dogradnja građevine OŠ Milana Brozovića.</w:t>
      </w:r>
    </w:p>
    <w:p w:rsidR="00505632" w:rsidRDefault="00505632" w:rsidP="00505632">
      <w:pPr>
        <w:pStyle w:val="Heading3"/>
      </w:pPr>
      <w:r>
        <w:rPr>
          <w:rFonts w:cs="Times New Roman"/>
        </w:rPr>
        <w:t>3704 SREDNJOŠKOLSKO OBRAZOVANJE</w:t>
      </w:r>
    </w:p>
    <w:tbl>
      <w:tblPr>
        <w:tblStyle w:val="StilTablice"/>
        <w:tblW w:w="10206" w:type="dxa"/>
        <w:jc w:val="center"/>
        <w:tblLook w:val="04A0" w:firstRow="1" w:lastRow="0" w:firstColumn="1" w:lastColumn="0" w:noHBand="0" w:noVBand="1"/>
      </w:tblPr>
      <w:tblGrid>
        <w:gridCol w:w="1915"/>
        <w:gridCol w:w="1962"/>
        <w:gridCol w:w="1962"/>
        <w:gridCol w:w="1962"/>
        <w:gridCol w:w="1197"/>
        <w:gridCol w:w="1208"/>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3704-SREDNJOŠKOLSKO OBRAZOVANJE</w:t>
            </w:r>
          </w:p>
        </w:tc>
        <w:tc>
          <w:tcPr>
            <w:tcW w:w="2041" w:type="dxa"/>
          </w:tcPr>
          <w:p w:rsidR="00505632" w:rsidRDefault="00505632" w:rsidP="00AD4E52">
            <w:pPr>
              <w:pStyle w:val="CellColumn"/>
              <w:jc w:val="right"/>
            </w:pPr>
            <w:r>
              <w:rPr>
                <w:rFonts w:cs="Times New Roman"/>
              </w:rPr>
              <w:t>2.876.781.731</w:t>
            </w:r>
          </w:p>
        </w:tc>
        <w:tc>
          <w:tcPr>
            <w:tcW w:w="2041" w:type="dxa"/>
          </w:tcPr>
          <w:p w:rsidR="00505632" w:rsidRDefault="00505632" w:rsidP="00AD4E52">
            <w:pPr>
              <w:pStyle w:val="CellColumn"/>
              <w:jc w:val="right"/>
            </w:pPr>
            <w:r>
              <w:rPr>
                <w:rFonts w:cs="Times New Roman"/>
              </w:rPr>
              <w:t>2.887.606.086</w:t>
            </w:r>
          </w:p>
        </w:tc>
        <w:tc>
          <w:tcPr>
            <w:tcW w:w="2041" w:type="dxa"/>
          </w:tcPr>
          <w:p w:rsidR="00505632" w:rsidRDefault="00505632" w:rsidP="00AD4E52">
            <w:pPr>
              <w:pStyle w:val="CellColumn"/>
              <w:jc w:val="right"/>
            </w:pPr>
            <w:r>
              <w:rPr>
                <w:rFonts w:cs="Times New Roman"/>
              </w:rPr>
              <w:t>2.886.478.572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100,3</w:t>
            </w:r>
          </w:p>
        </w:tc>
      </w:tr>
    </w:tbl>
    <w:p w:rsidR="00505632" w:rsidRDefault="00505632" w:rsidP="00505632">
      <w:pPr>
        <w:jc w:val="left"/>
      </w:pPr>
    </w:p>
    <w:p w:rsidR="00505632" w:rsidRDefault="00505632" w:rsidP="00505632">
      <w:r>
        <w:t xml:space="preserve">Program razvija sustav na razini srednjoškolskog obrazovanja, umjetničkog obrazovanja i obrazovanja odraslih te mehanizme potpore sustavu cjeloživotnog učenja. </w:t>
      </w:r>
    </w:p>
    <w:p w:rsidR="00505632" w:rsidRDefault="00505632" w:rsidP="00505632">
      <w:r>
        <w:t xml:space="preserve">Ciljana podrška razvoju pruža se kroz uspostavu mreže škola i kurikuluma, sukladno Državnom pedagoškom standardu, Nacionalnom okvirnom kurikulumu, Strategiji obrazovanja, znanosti i tehnologije i drugim strateškim dokumentima sustava obrazovanja, suradnjom sa stručnim institucijama potpore te drugim relevantnim dionicima, opremanjem i adaptacijom ustanova srednjega obrazovanja, nadzorom nad provođenjem djelatnosti stručnih institucija sustava, pripremom propisa, praćenjem provedbe vanjskoga vrednovanja, potporom razvoju sustava osiguranja kvalitete provedbom mjera u području obrazovanja odraslih, kao i provedbom Hrvatskoga kvalifikacijskog okvira. </w:t>
      </w:r>
    </w:p>
    <w:p w:rsidR="00505632" w:rsidRDefault="00505632" w:rsidP="00505632">
      <w:r>
        <w:t>Komplementarna podrška programu je provedba projekata u okviru EU fondova usmjerenih jačanju strateških elemenata razvoja sustava u području strukovnog obrazovanja i obrazovanja odraslih, sustava stručnoga usavršavanja odgojno-obrazovanih djelatnika, mehanizama socijalnoga uključivanja ranjivih skupina, te provedbe Hrvatskoga kvalifikacijskog okvira.</w:t>
      </w:r>
    </w:p>
    <w:p w:rsidR="00505632" w:rsidRDefault="00505632" w:rsidP="00505632">
      <w:pPr>
        <w:pStyle w:val="Heading8"/>
        <w:jc w:val="left"/>
      </w:pPr>
      <w:r>
        <w:t xml:space="preserve">Cilj 1. 1.1.1. Uspostaviti učinkovitu mrežu odgojno-obrazovnih ustanova na razini pred-tercijarnog obrazovanja </w:t>
      </w:r>
    </w:p>
    <w:p w:rsidR="00505632" w:rsidRDefault="00505632" w:rsidP="00505632">
      <w:pPr>
        <w:pStyle w:val="Heading8"/>
        <w:jc w:val="left"/>
      </w:pPr>
      <w:r>
        <w:t>Cilj 2. 1.2. Unaprijeđen sustav osiguravanja kvalitete na svim razinama sustava odgoja i obrazovanja</w:t>
      </w:r>
    </w:p>
    <w:p w:rsidR="00505632" w:rsidRDefault="00505632" w:rsidP="00505632">
      <w:pPr>
        <w:pStyle w:val="Heading8"/>
        <w:jc w:val="left"/>
      </w:pPr>
      <w:r>
        <w:t>Cilj 3. 1.3. Unaprijeđeno strukovno obrazovanje i obrazovanje odraslih</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udjela visokoobrazovanih osoba u populaciji od 25. do 64. godine</w:t>
            </w:r>
          </w:p>
        </w:tc>
        <w:tc>
          <w:tcPr>
            <w:tcW w:w="2551" w:type="dxa"/>
          </w:tcPr>
          <w:p w:rsidR="00505632" w:rsidRDefault="00505632" w:rsidP="00AD4E52">
            <w:pPr>
              <w:pStyle w:val="CellColumn"/>
              <w:jc w:val="left"/>
            </w:pPr>
            <w:r>
              <w:rPr>
                <w:rFonts w:cs="Times New Roman"/>
              </w:rPr>
              <w:t>Povećanje udjela visokoobrazovanih osoba u populaciji od 25. do 64. godine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32,2</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33</w:t>
            </w:r>
          </w:p>
        </w:tc>
        <w:tc>
          <w:tcPr>
            <w:tcW w:w="1020" w:type="dxa"/>
          </w:tcPr>
          <w:p w:rsidR="00505632" w:rsidRDefault="00505632" w:rsidP="00AD4E52">
            <w:pPr>
              <w:pStyle w:val="CellColumn"/>
              <w:jc w:val="right"/>
            </w:pPr>
            <w:r>
              <w:rPr>
                <w:rFonts w:cs="Times New Roman"/>
              </w:rPr>
              <w:t>32,2</w:t>
            </w:r>
          </w:p>
        </w:tc>
      </w:tr>
    </w:tbl>
    <w:p w:rsidR="00505632" w:rsidRDefault="00505632" w:rsidP="00505632">
      <w:pPr>
        <w:jc w:val="left"/>
      </w:pPr>
    </w:p>
    <w:p w:rsidR="00505632" w:rsidRDefault="00505632" w:rsidP="00505632">
      <w:pPr>
        <w:pStyle w:val="Heading4"/>
      </w:pPr>
      <w:r>
        <w:t>A580000 SREDNJOŠKOLSKO OBRAZOVANJE</w:t>
      </w:r>
    </w:p>
    <w:tbl>
      <w:tblPr>
        <w:tblStyle w:val="StilTablice"/>
        <w:tblW w:w="10206" w:type="dxa"/>
        <w:jc w:val="center"/>
        <w:tblLook w:val="04A0" w:firstRow="1" w:lastRow="0" w:firstColumn="1" w:lastColumn="0" w:noHBand="0" w:noVBand="1"/>
      </w:tblPr>
      <w:tblGrid>
        <w:gridCol w:w="1915"/>
        <w:gridCol w:w="1962"/>
        <w:gridCol w:w="1962"/>
        <w:gridCol w:w="1962"/>
        <w:gridCol w:w="1197"/>
        <w:gridCol w:w="120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A580000-SREDNJOŠKOLSKO OBRAZOVANJE</w:t>
            </w:r>
          </w:p>
        </w:tc>
        <w:tc>
          <w:tcPr>
            <w:tcW w:w="2041" w:type="dxa"/>
          </w:tcPr>
          <w:p w:rsidR="00505632" w:rsidRDefault="00505632" w:rsidP="00AD4E52">
            <w:pPr>
              <w:pStyle w:val="CellColumn"/>
              <w:jc w:val="right"/>
            </w:pPr>
            <w:r>
              <w:rPr>
                <w:rFonts w:cs="Times New Roman"/>
              </w:rPr>
              <w:t>2.501.161.255</w:t>
            </w:r>
          </w:p>
        </w:tc>
        <w:tc>
          <w:tcPr>
            <w:tcW w:w="2041" w:type="dxa"/>
          </w:tcPr>
          <w:p w:rsidR="00505632" w:rsidRDefault="00505632" w:rsidP="00AD4E52">
            <w:pPr>
              <w:pStyle w:val="CellColumn"/>
              <w:jc w:val="right"/>
            </w:pPr>
            <w:r>
              <w:rPr>
                <w:rFonts w:cs="Times New Roman"/>
              </w:rPr>
              <w:t>2.571.143.081</w:t>
            </w:r>
          </w:p>
        </w:tc>
        <w:tc>
          <w:tcPr>
            <w:tcW w:w="2041" w:type="dxa"/>
          </w:tcPr>
          <w:p w:rsidR="00505632" w:rsidRDefault="00505632" w:rsidP="00AD4E52">
            <w:pPr>
              <w:pStyle w:val="CellColumn"/>
              <w:jc w:val="right"/>
            </w:pPr>
            <w:r>
              <w:rPr>
                <w:rFonts w:cs="Times New Roman"/>
              </w:rPr>
              <w:t>2.571.028.014</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102,8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Kolektivni ugovor za zaposlenike u srednjoškolskim ustanovama </w:t>
      </w:r>
    </w:p>
    <w:p w:rsidR="00505632" w:rsidRDefault="00505632" w:rsidP="00505632">
      <w:r>
        <w:t xml:space="preserve">Temeljni kolektivni ugovor za službenike i namještenike u javnim službama </w:t>
      </w:r>
    </w:p>
    <w:p w:rsidR="00505632" w:rsidRDefault="00505632" w:rsidP="00505632">
      <w:r>
        <w:t xml:space="preserve">Zakon o plaćama </w:t>
      </w:r>
    </w:p>
    <w:p w:rsidR="00505632" w:rsidRDefault="00505632" w:rsidP="00505632">
      <w:r>
        <w:t xml:space="preserve">Uredba o nazivima radnih mjesta i koeficijentima složenosti poslova u javnim službama </w:t>
      </w:r>
    </w:p>
    <w:p w:rsidR="00505632" w:rsidRDefault="00505632" w:rsidP="00505632">
      <w:r>
        <w:t>Sporazum o dodacima na plaću u obrazovanju i znanosti od 25. studenoga 2006. godine</w:t>
      </w:r>
    </w:p>
    <w:p w:rsidR="00505632" w:rsidRDefault="00505632" w:rsidP="00505632">
      <w:pPr>
        <w:pStyle w:val="Heading8"/>
        <w:jc w:val="left"/>
      </w:pPr>
      <w:r>
        <w:t>Opis aktivnosti</w:t>
      </w:r>
    </w:p>
    <w:p w:rsidR="00505632" w:rsidRDefault="00505632" w:rsidP="00505632">
      <w:r>
        <w:t>Na ovoj su aktivnosti osigurana sredstva za plaće i naknade zaposlenih u srednjoškolskim ustanovama (bruto plaće s pripadajućim doprinosima poslodavca, otpremnine, pomoći i druga materijalna prava zaposlenika srednjih škola). Sredstva su u 2016. godini isplaćena na temelju važećih zakonskih propisa i kolektivnih ugovora: Temeljnog kolektivnog ugovora za službenike i namještenike u javnim službama (NN 141/12) te Kolektivnog ugovora za zaposlenike u srednjoškolskim ustanovama (NN 72/14).</w:t>
      </w:r>
    </w:p>
    <w:p w:rsidR="00505632" w:rsidRDefault="00505632" w:rsidP="00505632">
      <w:pPr>
        <w:pStyle w:val="Heading4"/>
      </w:pPr>
      <w:r>
        <w:t>A580004 STANDARD UČENIKA S POSEBNIM POTREBAMA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A580004-STANDARD UČENIKA S POSEBNIM POTREBAMA</w:t>
            </w:r>
          </w:p>
        </w:tc>
        <w:tc>
          <w:tcPr>
            <w:tcW w:w="2041" w:type="dxa"/>
          </w:tcPr>
          <w:p w:rsidR="00505632" w:rsidRDefault="00505632" w:rsidP="00AD4E52">
            <w:pPr>
              <w:pStyle w:val="CellColumn"/>
              <w:jc w:val="right"/>
            </w:pPr>
            <w:r>
              <w:rPr>
                <w:rFonts w:cs="Times New Roman"/>
              </w:rPr>
              <w:t>1.430.957</w:t>
            </w:r>
          </w:p>
        </w:tc>
        <w:tc>
          <w:tcPr>
            <w:tcW w:w="2041" w:type="dxa"/>
          </w:tcPr>
          <w:p w:rsidR="00505632" w:rsidRDefault="00505632" w:rsidP="00AD4E52">
            <w:pPr>
              <w:pStyle w:val="CellColumn"/>
              <w:jc w:val="right"/>
            </w:pPr>
            <w:r>
              <w:rPr>
                <w:rFonts w:cs="Times New Roman"/>
              </w:rPr>
              <w:t>1.991.257</w:t>
            </w:r>
          </w:p>
        </w:tc>
        <w:tc>
          <w:tcPr>
            <w:tcW w:w="2041" w:type="dxa"/>
          </w:tcPr>
          <w:p w:rsidR="00505632" w:rsidRDefault="00505632" w:rsidP="00AD4E52">
            <w:pPr>
              <w:pStyle w:val="CellColumn"/>
              <w:jc w:val="right"/>
            </w:pPr>
            <w:r>
              <w:rPr>
                <w:rFonts w:cs="Times New Roman"/>
              </w:rPr>
              <w:t>1.980.431</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138,4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(Narodne novine, broj 87/2008., 86/2009., 92/2010., 105/2010., 90/2011., 5/2012., 16/2012., 86/2012., 94/2013. ,152/2014. i 7/2017.) </w:t>
      </w:r>
    </w:p>
    <w:p w:rsidR="00505632" w:rsidRDefault="00505632" w:rsidP="00505632">
      <w:r>
        <w:t xml:space="preserve">Pravilnik o osnovnoškolskom i srednjoškolskom obrazovanju učenika s teškoćama u razvoju (24/15) </w:t>
      </w:r>
    </w:p>
    <w:p w:rsidR="00505632" w:rsidRDefault="00505632" w:rsidP="00505632">
      <w:r>
        <w:t>Odluka o financiranju troškova prijevoza i posebnih nastavnih sredstava za školovanje učenika s teškoćama u razvoju u srednjoškolskim programima (godišnja)</w:t>
      </w:r>
    </w:p>
    <w:p w:rsidR="00505632" w:rsidRDefault="00505632" w:rsidP="00505632">
      <w:pPr>
        <w:pStyle w:val="Heading8"/>
        <w:jc w:val="left"/>
      </w:pPr>
      <w:r>
        <w:t>Opis aktivnosti</w:t>
      </w:r>
    </w:p>
    <w:p w:rsidR="00505632" w:rsidRDefault="00505632" w:rsidP="00505632">
      <w:r>
        <w:t>Ministarstvo znanosti i obrazovanja, sukladno godišnjoj Odluci o financiranju troškova prijevoza i posebnih nastavnih sredstava za školovanje učenika s teškoćama u razvoju u srednjoškolskim programima te Zakona o odgoju i obrazovanju u osnovnoj i srednjoj školi osiguravaju troškove prijevoza učenicima s teškoćama u razvoju u srednjoškolskim programima, kao i troškovi prijevoza za pratitelje, kada je zbog vrste i stupnja teškoća pratitelj potreban, a koji se školuju na temelju rješenja o primjerenom programu i obliku školovanja ureda državne uprave u županiji nadležnog za obrazovanje te svladavaju jedan od primjerenih programa prema Pravilniku o srednjoškolskom obrazovanju učenika s teškoćama i većim teškoćama u razvoju.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učenika s teškoćama u razvoju kojima se osigurava prilagođeni prijevoz te nastavna sredstva i pomagala u srednjim školama</w:t>
            </w:r>
          </w:p>
        </w:tc>
        <w:tc>
          <w:tcPr>
            <w:tcW w:w="2551" w:type="dxa"/>
          </w:tcPr>
          <w:p w:rsidR="00505632" w:rsidRDefault="00505632" w:rsidP="00AD4E52">
            <w:pPr>
              <w:pStyle w:val="CellColumn"/>
              <w:jc w:val="left"/>
            </w:pPr>
            <w:r>
              <w:rPr>
                <w:rFonts w:cs="Times New Roman"/>
              </w:rPr>
              <w:t>Osiguravanje prilagođenog prijevoza za učenike s teškoćama u razvoju u srednjoškolskim programima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760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760</w:t>
            </w:r>
          </w:p>
        </w:tc>
        <w:tc>
          <w:tcPr>
            <w:tcW w:w="1020" w:type="dxa"/>
          </w:tcPr>
          <w:p w:rsidR="00505632" w:rsidRDefault="00505632" w:rsidP="00AD4E52">
            <w:pPr>
              <w:pStyle w:val="CellColumn"/>
              <w:jc w:val="right"/>
            </w:pPr>
            <w:r>
              <w:rPr>
                <w:rFonts w:cs="Times New Roman"/>
              </w:rPr>
              <w:t>857</w:t>
            </w:r>
          </w:p>
        </w:tc>
      </w:tr>
    </w:tbl>
    <w:p w:rsidR="00505632" w:rsidRDefault="00505632" w:rsidP="00505632">
      <w:pPr>
        <w:jc w:val="left"/>
      </w:pPr>
    </w:p>
    <w:p w:rsidR="00505632" w:rsidRDefault="00505632" w:rsidP="00505632">
      <w:pPr>
        <w:pStyle w:val="Heading4"/>
      </w:pPr>
      <w:r>
        <w:t>A580007 IZVRŠAVANJE PRAVOMOĆNIH SUDSKIH PRESUDA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A580007-IZVRŠAVANJE PRAVOMOĆNIH SUDSKIH PRESUDA</w:t>
            </w:r>
          </w:p>
        </w:tc>
        <w:tc>
          <w:tcPr>
            <w:tcW w:w="2041" w:type="dxa"/>
          </w:tcPr>
          <w:p w:rsidR="00505632" w:rsidRDefault="00505632" w:rsidP="00AD4E52">
            <w:pPr>
              <w:pStyle w:val="CellColumn"/>
              <w:jc w:val="right"/>
            </w:pPr>
            <w:r>
              <w:rPr>
                <w:rFonts w:cs="Times New Roman"/>
              </w:rPr>
              <w:t>1.482.798</w:t>
            </w:r>
          </w:p>
        </w:tc>
        <w:tc>
          <w:tcPr>
            <w:tcW w:w="2041" w:type="dxa"/>
          </w:tcPr>
          <w:p w:rsidR="00505632" w:rsidRDefault="00505632" w:rsidP="00AD4E52">
            <w:pPr>
              <w:pStyle w:val="CellColumn"/>
              <w:jc w:val="right"/>
            </w:pPr>
            <w:r>
              <w:rPr>
                <w:rFonts w:cs="Times New Roman"/>
              </w:rPr>
              <w:t>1.494.910</w:t>
            </w:r>
          </w:p>
        </w:tc>
        <w:tc>
          <w:tcPr>
            <w:tcW w:w="2041" w:type="dxa"/>
          </w:tcPr>
          <w:p w:rsidR="00505632" w:rsidRDefault="00505632" w:rsidP="00AD4E52">
            <w:pPr>
              <w:pStyle w:val="CellColumn"/>
              <w:jc w:val="right"/>
            </w:pPr>
            <w:r>
              <w:rPr>
                <w:rFonts w:cs="Times New Roman"/>
              </w:rPr>
              <w:t>1.494.910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odgoju i obrazovanju u osnovnoj i srednjoj školi – članak 142.</w:t>
      </w:r>
    </w:p>
    <w:p w:rsidR="00505632" w:rsidRDefault="00505632" w:rsidP="00505632">
      <w:pPr>
        <w:pStyle w:val="Heading8"/>
        <w:jc w:val="left"/>
      </w:pPr>
      <w:r>
        <w:t>Opis aktivnosti</w:t>
      </w:r>
    </w:p>
    <w:p w:rsidR="00505632" w:rsidRDefault="00505632" w:rsidP="00505632">
      <w:r>
        <w:t>Na aktivnosti su osigurana sredstva za plaćanje po pravomoćnim sudskim presudama za sporove koje su srednjoškolske ustanove izgubile, a za koje sukladno čl. 142. Zakona o odgoju i obrazovanju u osnovnoj i srednjoj školi ostvaruju pravo na refundiranje sredstava iz državnog proračuna. Radi se o izgubljenim radnim sporovima bez krivnje škole i sporovima zbog isplate jubilarnih nagrada po osnovici od 500,00 kn zaposlenicima koji su pravo na istu stekli u 2013. godini.</w:t>
      </w:r>
    </w:p>
    <w:p w:rsidR="00505632" w:rsidRDefault="00505632" w:rsidP="00505632">
      <w:pPr>
        <w:pStyle w:val="Heading4"/>
      </w:pPr>
      <w:r>
        <w:t>A580011 JUBILARNE NAGRADE ZA SREDNJE ŠKOLE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A580011-JUBILARNE NAGRADE ZA SREDNJE ŠKOLE</w:t>
            </w:r>
          </w:p>
        </w:tc>
        <w:tc>
          <w:tcPr>
            <w:tcW w:w="2041" w:type="dxa"/>
          </w:tcPr>
          <w:p w:rsidR="00505632" w:rsidRDefault="00505632" w:rsidP="00AD4E52">
            <w:pPr>
              <w:pStyle w:val="CellColumn"/>
              <w:jc w:val="right"/>
            </w:pPr>
            <w:r>
              <w:rPr>
                <w:rFonts w:cs="Times New Roman"/>
              </w:rPr>
              <w:t>23.722.217</w:t>
            </w:r>
          </w:p>
        </w:tc>
        <w:tc>
          <w:tcPr>
            <w:tcW w:w="2041" w:type="dxa"/>
          </w:tcPr>
          <w:p w:rsidR="00505632" w:rsidRDefault="00505632" w:rsidP="00AD4E52">
            <w:pPr>
              <w:pStyle w:val="CellColumn"/>
              <w:jc w:val="right"/>
            </w:pPr>
            <w:r>
              <w:rPr>
                <w:rFonts w:cs="Times New Roman"/>
              </w:rPr>
              <w:t>15.261.663</w:t>
            </w:r>
          </w:p>
        </w:tc>
        <w:tc>
          <w:tcPr>
            <w:tcW w:w="2041" w:type="dxa"/>
          </w:tcPr>
          <w:p w:rsidR="00505632" w:rsidRDefault="00505632" w:rsidP="00AD4E52">
            <w:pPr>
              <w:pStyle w:val="CellColumn"/>
              <w:jc w:val="right"/>
            </w:pPr>
            <w:r>
              <w:rPr>
                <w:rFonts w:cs="Times New Roman"/>
              </w:rPr>
              <w:t>15.261.663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64,3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Temeljni kolektivni ugovor za službenike i namještenike u javnim službama</w:t>
      </w:r>
    </w:p>
    <w:p w:rsidR="00505632" w:rsidRDefault="00505632" w:rsidP="00505632">
      <w:pPr>
        <w:pStyle w:val="Heading8"/>
        <w:jc w:val="left"/>
      </w:pPr>
      <w:r>
        <w:t>Opis aktivnosti</w:t>
      </w:r>
    </w:p>
    <w:p w:rsidR="00505632" w:rsidRDefault="00505632" w:rsidP="00505632">
      <w:r>
        <w:t>Na aktivnosti su osigurana sredstva za isplatu jubilarnih nagrada zaposlenicima srednjoškolskih ustanova sukladno Temeljnom kolektivnom ugovoru za službenike i namještenike u javnim službama (NN 141/12).</w:t>
      </w:r>
    </w:p>
    <w:p w:rsidR="00505632" w:rsidRDefault="00505632" w:rsidP="00505632">
      <w:pPr>
        <w:pStyle w:val="Heading4"/>
      </w:pPr>
      <w:r>
        <w:t>A580014 RAZVOJ SUSTAVA OBRAZOVANJA ODRASLIH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A580014-RAZVOJ SUSTAVA OBRAZOVANJA ODRASLIH</w:t>
            </w:r>
          </w:p>
        </w:tc>
        <w:tc>
          <w:tcPr>
            <w:tcW w:w="2041" w:type="dxa"/>
          </w:tcPr>
          <w:p w:rsidR="00505632" w:rsidRDefault="00505632" w:rsidP="00AD4E52">
            <w:pPr>
              <w:pStyle w:val="CellColumn"/>
              <w:jc w:val="right"/>
            </w:pPr>
            <w:r>
              <w:rPr>
                <w:rFonts w:cs="Times New Roman"/>
              </w:rPr>
              <w:t>3.900.975</w:t>
            </w:r>
          </w:p>
        </w:tc>
        <w:tc>
          <w:tcPr>
            <w:tcW w:w="2041" w:type="dxa"/>
          </w:tcPr>
          <w:p w:rsidR="00505632" w:rsidRDefault="00505632" w:rsidP="00AD4E52">
            <w:pPr>
              <w:pStyle w:val="CellColumn"/>
              <w:jc w:val="right"/>
            </w:pPr>
            <w:r>
              <w:rPr>
                <w:rFonts w:cs="Times New Roman"/>
              </w:rPr>
              <w:t>4.349.949</w:t>
            </w:r>
          </w:p>
        </w:tc>
        <w:tc>
          <w:tcPr>
            <w:tcW w:w="2041" w:type="dxa"/>
          </w:tcPr>
          <w:p w:rsidR="00505632" w:rsidRDefault="00505632" w:rsidP="00AD4E52">
            <w:pPr>
              <w:pStyle w:val="CellColumn"/>
              <w:jc w:val="right"/>
            </w:pPr>
            <w:r>
              <w:rPr>
                <w:rFonts w:cs="Times New Roman"/>
              </w:rPr>
              <w:t>3.792.990</w:t>
            </w:r>
          </w:p>
        </w:tc>
        <w:tc>
          <w:tcPr>
            <w:tcW w:w="1224" w:type="dxa"/>
          </w:tcPr>
          <w:p w:rsidR="00505632" w:rsidRDefault="00505632" w:rsidP="00AD4E52">
            <w:pPr>
              <w:pStyle w:val="CellColumn"/>
              <w:jc w:val="right"/>
            </w:pPr>
            <w:r>
              <w:rPr>
                <w:rFonts w:cs="Times New Roman"/>
              </w:rPr>
              <w:t>87,2</w:t>
            </w:r>
          </w:p>
        </w:tc>
        <w:tc>
          <w:tcPr>
            <w:tcW w:w="1224" w:type="dxa"/>
          </w:tcPr>
          <w:p w:rsidR="00505632" w:rsidRDefault="00505632" w:rsidP="00AD4E52">
            <w:pPr>
              <w:pStyle w:val="CellColumn"/>
              <w:jc w:val="right"/>
            </w:pPr>
            <w:r>
              <w:rPr>
                <w:rFonts w:cs="Times New Roman"/>
              </w:rPr>
              <w:t>97,2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i provedbeni propisi u području odgoja i obrazovanja </w:t>
      </w:r>
    </w:p>
    <w:p w:rsidR="00505632" w:rsidRDefault="00505632" w:rsidP="00505632">
      <w:r>
        <w:t>Zakon o obrazovanju odraslih i provedbeni propisi u području obrazovanja odraslih</w:t>
      </w:r>
    </w:p>
    <w:p w:rsidR="00505632" w:rsidRDefault="00505632" w:rsidP="00505632">
      <w:pPr>
        <w:pStyle w:val="Heading8"/>
        <w:jc w:val="left"/>
      </w:pPr>
      <w:r>
        <w:t>Opis aktivnosti</w:t>
      </w:r>
    </w:p>
    <w:p w:rsidR="00505632" w:rsidRDefault="00505632" w:rsidP="00505632">
      <w:r>
        <w:t>S ove aktivnosti financirano je osnovno obrazovanje odraslih i osposobljavanje za jednostavnije poslove u zanimanjima. Financira se redovna djelatnost utvrđivanja uvjeta u ustanovama za obrazovanje odraslih za uvođenje novih programa te sudjelovanje na radnim skupinama, tematskim skupinama u Bruxellesu te radnim sastancima i okruglim stolovima s ciljem unapređenja sustava obrazovanja odraslih.</w:t>
      </w:r>
    </w:p>
    <w:p w:rsidR="00505632" w:rsidRDefault="00505632" w:rsidP="00505632">
      <w:pPr>
        <w:pStyle w:val="Heading4"/>
      </w:pPr>
      <w:r>
        <w:t>A580037 JAVNI MEĐUMJESNI PRIJEVOZ ZA UČENIKE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A580037-JAVNI MEĐUMJESNI PRIJEVOZ ZA UČENIKE</w:t>
            </w:r>
          </w:p>
        </w:tc>
        <w:tc>
          <w:tcPr>
            <w:tcW w:w="2041" w:type="dxa"/>
          </w:tcPr>
          <w:p w:rsidR="00505632" w:rsidRDefault="00505632" w:rsidP="00AD4E52">
            <w:pPr>
              <w:pStyle w:val="CellColumn"/>
              <w:jc w:val="right"/>
            </w:pPr>
            <w:r>
              <w:rPr>
                <w:rFonts w:cs="Times New Roman"/>
              </w:rPr>
              <w:t>325.039.738</w:t>
            </w:r>
          </w:p>
        </w:tc>
        <w:tc>
          <w:tcPr>
            <w:tcW w:w="2041" w:type="dxa"/>
          </w:tcPr>
          <w:p w:rsidR="00505632" w:rsidRDefault="00505632" w:rsidP="00AD4E52">
            <w:pPr>
              <w:pStyle w:val="CellColumn"/>
              <w:jc w:val="right"/>
            </w:pPr>
            <w:r>
              <w:rPr>
                <w:rFonts w:cs="Times New Roman"/>
              </w:rPr>
              <w:t>279.150.812</w:t>
            </w:r>
          </w:p>
        </w:tc>
        <w:tc>
          <w:tcPr>
            <w:tcW w:w="2041" w:type="dxa"/>
          </w:tcPr>
          <w:p w:rsidR="00505632" w:rsidRDefault="00505632" w:rsidP="00AD4E52">
            <w:pPr>
              <w:pStyle w:val="CellColumn"/>
              <w:jc w:val="right"/>
            </w:pPr>
            <w:r>
              <w:rPr>
                <w:rFonts w:cs="Times New Roman"/>
              </w:rPr>
              <w:t>279.150.646</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85,9</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Tijekom 2016. godine Ministarstvo je provodilo program sufinanciranja/financiranja troškova prijevoza redovitih učenika srednjih škola. Pravo na sufinanciranje 75% troškova međumjesnog javnog prijevoza, sukladno zadanim limitima, kao i u prethodnom razdoblju, ostvarivali su učenici koji su upisali i redovito pohađali srednju školu, koji su kupovali mjesečnu učeničku kartu za autobus ili vlak, a kojima udaljenost od adrese prebivališta odnosno boravišta do adrese škole iznosi više od 5 kilometara.   </w:t>
      </w:r>
    </w:p>
    <w:p w:rsidR="00505632" w:rsidRDefault="00505632" w:rsidP="00505632">
      <w:r>
        <w:t>Učenicima koji su članovi kućanstva koje je korisnik zajamčene minimalne naknade ili pomoći za uzdržavanje, sukladno propisu kojim se uređuje područje socijalne skrbi financiralo se 100% cijene mjesečne učeničke karte.</w:t>
      </w:r>
    </w:p>
    <w:p w:rsidR="00505632" w:rsidRDefault="00505632" w:rsidP="00505632">
      <w:pPr>
        <w:pStyle w:val="Heading4"/>
      </w:pPr>
      <w:r>
        <w:t>A580044 RAZVOJ SREDNJOŠKOLSKOG OBRAZOVANJA</w:t>
      </w:r>
    </w:p>
    <w:tbl>
      <w:tblPr>
        <w:tblStyle w:val="StilTablice"/>
        <w:tblW w:w="10206" w:type="dxa"/>
        <w:jc w:val="center"/>
        <w:tblLook w:val="04A0" w:firstRow="1" w:lastRow="0" w:firstColumn="1" w:lastColumn="0" w:noHBand="0" w:noVBand="1"/>
      </w:tblPr>
      <w:tblGrid>
        <w:gridCol w:w="2059"/>
        <w:gridCol w:w="1917"/>
        <w:gridCol w:w="1908"/>
        <w:gridCol w:w="1917"/>
        <w:gridCol w:w="1197"/>
        <w:gridCol w:w="120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A580044-RAZVOJ SREDNJOŠKOLSKOG OBRAZOVANJA</w:t>
            </w:r>
          </w:p>
        </w:tc>
        <w:tc>
          <w:tcPr>
            <w:tcW w:w="2041" w:type="dxa"/>
          </w:tcPr>
          <w:p w:rsidR="00505632" w:rsidRDefault="00505632" w:rsidP="00AD4E52">
            <w:pPr>
              <w:pStyle w:val="CellColumn"/>
              <w:jc w:val="right"/>
            </w:pPr>
            <w:r>
              <w:rPr>
                <w:rFonts w:cs="Times New Roman"/>
              </w:rPr>
              <w:t>354.043</w:t>
            </w:r>
          </w:p>
        </w:tc>
        <w:tc>
          <w:tcPr>
            <w:tcW w:w="2041" w:type="dxa"/>
          </w:tcPr>
          <w:p w:rsidR="00505632" w:rsidRDefault="00505632" w:rsidP="00AD4E52">
            <w:pPr>
              <w:pStyle w:val="CellColumn"/>
              <w:jc w:val="right"/>
            </w:pPr>
            <w:r>
              <w:rPr>
                <w:rFonts w:cs="Times New Roman"/>
              </w:rPr>
              <w:t>325.661</w:t>
            </w:r>
          </w:p>
        </w:tc>
        <w:tc>
          <w:tcPr>
            <w:tcW w:w="2041" w:type="dxa"/>
          </w:tcPr>
          <w:p w:rsidR="00505632" w:rsidRDefault="00505632" w:rsidP="00AD4E52">
            <w:pPr>
              <w:pStyle w:val="CellColumn"/>
              <w:jc w:val="right"/>
            </w:pPr>
            <w:r>
              <w:rPr>
                <w:rFonts w:cs="Times New Roman"/>
              </w:rPr>
              <w:t>199.247</w:t>
            </w:r>
          </w:p>
        </w:tc>
        <w:tc>
          <w:tcPr>
            <w:tcW w:w="1224" w:type="dxa"/>
          </w:tcPr>
          <w:p w:rsidR="00505632" w:rsidRDefault="00505632" w:rsidP="00AD4E52">
            <w:pPr>
              <w:pStyle w:val="CellColumn"/>
              <w:jc w:val="right"/>
            </w:pPr>
            <w:r>
              <w:rPr>
                <w:rFonts w:cs="Times New Roman"/>
              </w:rPr>
              <w:t>61,2</w:t>
            </w:r>
          </w:p>
        </w:tc>
        <w:tc>
          <w:tcPr>
            <w:tcW w:w="1224" w:type="dxa"/>
          </w:tcPr>
          <w:p w:rsidR="00505632" w:rsidRDefault="00505632" w:rsidP="00AD4E52">
            <w:pPr>
              <w:pStyle w:val="CellColumn"/>
              <w:jc w:val="right"/>
            </w:pPr>
            <w:r>
              <w:rPr>
                <w:rFonts w:cs="Times New Roman"/>
              </w:rPr>
              <w:t>56,3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i provedbeni propisi u području odgoja i obrazovanja </w:t>
      </w:r>
    </w:p>
    <w:p w:rsidR="00505632" w:rsidRDefault="00505632" w:rsidP="00505632">
      <w:r>
        <w:t>Zakon o strukovnom obrazovanju i provedbeni propisi u području strukovnog obrazovanja</w:t>
      </w:r>
    </w:p>
    <w:p w:rsidR="00505632" w:rsidRDefault="00505632" w:rsidP="00505632">
      <w:pPr>
        <w:pStyle w:val="Heading8"/>
        <w:jc w:val="left"/>
      </w:pPr>
      <w:r>
        <w:t>Opis aktivnosti</w:t>
      </w:r>
    </w:p>
    <w:p w:rsidR="00505632" w:rsidRDefault="00505632" w:rsidP="00505632">
      <w:r>
        <w:t>S ove aktivnosti su isplaćeni troškovi povjerenstava za utvrđivanje uvjeta u srednjim školama, učeničkim domovima i umjetničkim školama, ali i sredstva za naknade povjerenstvima za izradu prijedloga Zakona i provedbenih propisa kao i recenzija strateških dokumenata. Nadalje, sredstva su korištena za unapređenje sustava srednjoškolskog obrazovanja te sudjelovanje na radnim skupinama, tematskim skupinama u Bruxellesu te radnim sastancima i okruglim stolovima s ciljem unapređenja sustava srednjoškolskog obrazovanja</w:t>
      </w:r>
    </w:p>
    <w:p w:rsidR="00505632" w:rsidRDefault="00505632" w:rsidP="00505632">
      <w:pPr>
        <w:pStyle w:val="Heading4"/>
      </w:pPr>
      <w:r>
        <w:t>A580050 RAZVOJ MODELA KURIKULUMA ZA OPĆE, STRUKOVNO I UMJETNIČKO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A580050-RAZVOJ MODELA KURIKULUMA ZA OPĆE, STRUKOVNO I UMJETNIČKO OBRAZOVANJE</w:t>
            </w:r>
          </w:p>
        </w:tc>
        <w:tc>
          <w:tcPr>
            <w:tcW w:w="2041" w:type="dxa"/>
          </w:tcPr>
          <w:p w:rsidR="00505632" w:rsidRDefault="00505632" w:rsidP="00AD4E52">
            <w:pPr>
              <w:pStyle w:val="CellColumn"/>
              <w:jc w:val="right"/>
            </w:pPr>
            <w:r>
              <w:rPr>
                <w:rFonts w:cs="Times New Roman"/>
              </w:rPr>
              <w:t>111.842</w:t>
            </w:r>
          </w:p>
        </w:tc>
        <w:tc>
          <w:tcPr>
            <w:tcW w:w="2041" w:type="dxa"/>
          </w:tcPr>
          <w:p w:rsidR="00505632" w:rsidRDefault="00505632" w:rsidP="00AD4E52">
            <w:pPr>
              <w:pStyle w:val="CellColumn"/>
              <w:jc w:val="right"/>
            </w:pPr>
            <w:r>
              <w:rPr>
                <w:rFonts w:cs="Times New Roman"/>
              </w:rPr>
              <w:t>104.549</w:t>
            </w:r>
          </w:p>
        </w:tc>
        <w:tc>
          <w:tcPr>
            <w:tcW w:w="2041" w:type="dxa"/>
          </w:tcPr>
          <w:p w:rsidR="00505632" w:rsidRDefault="00505632" w:rsidP="00AD4E52">
            <w:pPr>
              <w:pStyle w:val="CellColumn"/>
              <w:jc w:val="right"/>
            </w:pPr>
            <w:r>
              <w:rPr>
                <w:rFonts w:cs="Times New Roman"/>
              </w:rPr>
              <w:t>57.493</w:t>
            </w:r>
          </w:p>
        </w:tc>
        <w:tc>
          <w:tcPr>
            <w:tcW w:w="1224" w:type="dxa"/>
          </w:tcPr>
          <w:p w:rsidR="00505632" w:rsidRDefault="00505632" w:rsidP="00AD4E52">
            <w:pPr>
              <w:pStyle w:val="CellColumn"/>
              <w:jc w:val="right"/>
            </w:pPr>
            <w:r>
              <w:rPr>
                <w:rFonts w:cs="Times New Roman"/>
              </w:rPr>
              <w:t>55,0</w:t>
            </w:r>
          </w:p>
        </w:tc>
        <w:tc>
          <w:tcPr>
            <w:tcW w:w="1224" w:type="dxa"/>
          </w:tcPr>
          <w:p w:rsidR="00505632" w:rsidRDefault="00505632" w:rsidP="00AD4E52">
            <w:pPr>
              <w:pStyle w:val="CellColumn"/>
              <w:jc w:val="right"/>
            </w:pPr>
            <w:r>
              <w:rPr>
                <w:rFonts w:cs="Times New Roman"/>
              </w:rPr>
              <w:t>51,4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i provedbeni propisi u području odgoja i obrazovanja </w:t>
      </w:r>
    </w:p>
    <w:p w:rsidR="00505632" w:rsidRDefault="00505632" w:rsidP="00505632">
      <w:r>
        <w:t>Zakon o strukovnom obrazovanju i provedbeni propisi u području strukovnog obrazovanja</w:t>
      </w:r>
    </w:p>
    <w:p w:rsidR="00505632" w:rsidRDefault="00505632" w:rsidP="00505632">
      <w:pPr>
        <w:pStyle w:val="Heading8"/>
        <w:jc w:val="left"/>
      </w:pPr>
      <w:r>
        <w:t>Opis aktivnosti</w:t>
      </w:r>
    </w:p>
    <w:p w:rsidR="00505632" w:rsidRDefault="00505632" w:rsidP="00505632">
      <w:r>
        <w:t>Sredstava su utrošena na aktivnosti povezane s eksperimentalnim programima koji se nalaze u provedbi u strukovnim školama kao i pripremom za njihovo donošenje. Navedene kurikulume izradila je Agencija za strukovno obrazovanje i obrazovanje odraslih 2011. godine te su uvedeni u školskoj godini 2012./2013. eksperimentalno u 55 škola zbog potrebe vrednovanja istih. Vrednovanje je u tijeku te se radi na pripremi za donošenje istih od strane ministra i uvođenju u sustav u sve škole.</w:t>
      </w:r>
    </w:p>
    <w:p w:rsidR="00505632" w:rsidRDefault="00505632" w:rsidP="00505632">
      <w:pPr>
        <w:pStyle w:val="Heading4"/>
      </w:pPr>
      <w:r>
        <w:t>K110291 OPREMANJE SREDNJOŠKOLSKIH KNJIŽNICA LEKTIROM I STRUČNOM LITERATUROM</w:t>
      </w:r>
    </w:p>
    <w:tbl>
      <w:tblPr>
        <w:tblStyle w:val="StilTablice"/>
        <w:tblW w:w="10206" w:type="dxa"/>
        <w:jc w:val="center"/>
        <w:tblLook w:val="04A0" w:firstRow="1" w:lastRow="0" w:firstColumn="1" w:lastColumn="0" w:noHBand="0" w:noVBand="1"/>
      </w:tblPr>
      <w:tblGrid>
        <w:gridCol w:w="1981"/>
        <w:gridCol w:w="1939"/>
        <w:gridCol w:w="1933"/>
        <w:gridCol w:w="1940"/>
        <w:gridCol w:w="1202"/>
        <w:gridCol w:w="121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K110291-OPREMANJE SREDNJOŠKOLSKIH KNJIŽNICA LEKTIROM I STRUČNOM LITERATUROM</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200.000</w:t>
            </w:r>
          </w:p>
        </w:tc>
        <w:tc>
          <w:tcPr>
            <w:tcW w:w="2041" w:type="dxa"/>
          </w:tcPr>
          <w:p w:rsidR="00505632" w:rsidRDefault="00505632" w:rsidP="00AD4E52">
            <w:pPr>
              <w:pStyle w:val="CellColumn"/>
              <w:jc w:val="right"/>
            </w:pPr>
            <w:r>
              <w:rPr>
                <w:rFonts w:cs="Times New Roman"/>
              </w:rPr>
              <w:t>200.000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odgoju i obrazovanju u osnovnoj i srednjoj školi i provedbeni propisi u području odgoja i obrazovanja</w:t>
      </w:r>
    </w:p>
    <w:p w:rsidR="00505632" w:rsidRDefault="00505632" w:rsidP="00505632">
      <w:pPr>
        <w:pStyle w:val="Heading8"/>
        <w:jc w:val="left"/>
      </w:pPr>
      <w:r>
        <w:t>Opis aktivnosti</w:t>
      </w:r>
    </w:p>
    <w:p w:rsidR="00505632" w:rsidRDefault="00505632" w:rsidP="00505632">
      <w:r>
        <w:t>S ove aktivnosti planirana su sredstva za opremanje školskih knjižnica srednjih škola lektirom i stručnom literaturom.  Opremljeno je 50 srednjih škola.</w:t>
      </w:r>
    </w:p>
    <w:p w:rsidR="00505632" w:rsidRDefault="00505632" w:rsidP="00505632">
      <w:pPr>
        <w:pStyle w:val="Heading4"/>
      </w:pPr>
      <w:r>
        <w:t>K767026 UČENIČKI DOM BJELOVAR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K767026-UČENIČKI DOM BJELOVAR</w:t>
            </w:r>
          </w:p>
        </w:tc>
        <w:tc>
          <w:tcPr>
            <w:tcW w:w="2041" w:type="dxa"/>
          </w:tcPr>
          <w:p w:rsidR="00505632" w:rsidRDefault="00505632" w:rsidP="00AD4E52">
            <w:pPr>
              <w:pStyle w:val="CellColumn"/>
              <w:jc w:val="right"/>
            </w:pPr>
            <w:r>
              <w:rPr>
                <w:rFonts w:cs="Times New Roman"/>
              </w:rPr>
              <w:t>11.000.000</w:t>
            </w:r>
          </w:p>
        </w:tc>
        <w:tc>
          <w:tcPr>
            <w:tcW w:w="2041" w:type="dxa"/>
          </w:tcPr>
          <w:p w:rsidR="00505632" w:rsidRDefault="00505632" w:rsidP="00AD4E52">
            <w:pPr>
              <w:pStyle w:val="CellColumn"/>
              <w:jc w:val="right"/>
            </w:pPr>
            <w:r>
              <w:rPr>
                <w:rFonts w:cs="Times New Roman"/>
              </w:rPr>
              <w:t>6.183.000</w:t>
            </w:r>
          </w:p>
        </w:tc>
        <w:tc>
          <w:tcPr>
            <w:tcW w:w="2041" w:type="dxa"/>
          </w:tcPr>
          <w:p w:rsidR="00505632" w:rsidRDefault="00505632" w:rsidP="00AD4E52">
            <w:pPr>
              <w:pStyle w:val="CellColumn"/>
              <w:jc w:val="right"/>
            </w:pPr>
            <w:r>
              <w:rPr>
                <w:rFonts w:cs="Times New Roman"/>
              </w:rPr>
              <w:t>6.174.480</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56,1</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Sredstvima DP, Grada Bjelovara i BBŽ nastavljena je izgradnja nove zgrade Učeničkog doma u Bjelovaru.</w:t>
      </w:r>
    </w:p>
    <w:p w:rsidR="00505632" w:rsidRDefault="00505632" w:rsidP="00505632">
      <w:pPr>
        <w:pStyle w:val="Heading4"/>
      </w:pPr>
      <w:r>
        <w:t>K767032 OBRTNIČKA ŠKOLA SISAK</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K767032-OBRTNIČKA ŠKOLA SISAK</w:t>
            </w:r>
          </w:p>
        </w:tc>
        <w:tc>
          <w:tcPr>
            <w:tcW w:w="2041" w:type="dxa"/>
          </w:tcPr>
          <w:p w:rsidR="00505632" w:rsidRDefault="00505632" w:rsidP="00AD4E52">
            <w:pPr>
              <w:pStyle w:val="CellColumn"/>
              <w:jc w:val="right"/>
            </w:pPr>
            <w:r>
              <w:rPr>
                <w:rFonts w:cs="Times New Roman"/>
              </w:rPr>
              <w:t>5.576.447</w:t>
            </w:r>
          </w:p>
        </w:tc>
        <w:tc>
          <w:tcPr>
            <w:tcW w:w="2041" w:type="dxa"/>
          </w:tcPr>
          <w:p w:rsidR="00505632" w:rsidRDefault="00505632" w:rsidP="00AD4E52">
            <w:pPr>
              <w:pStyle w:val="CellColumn"/>
              <w:jc w:val="right"/>
            </w:pPr>
            <w:r>
              <w:rPr>
                <w:rFonts w:cs="Times New Roman"/>
              </w:rPr>
              <w:t>7.124.973</w:t>
            </w:r>
          </w:p>
        </w:tc>
        <w:tc>
          <w:tcPr>
            <w:tcW w:w="2041" w:type="dxa"/>
          </w:tcPr>
          <w:p w:rsidR="00505632" w:rsidRDefault="00505632" w:rsidP="00AD4E52">
            <w:pPr>
              <w:pStyle w:val="CellColumn"/>
              <w:jc w:val="right"/>
            </w:pPr>
            <w:r>
              <w:rPr>
                <w:rFonts w:cs="Times New Roman"/>
              </w:rPr>
              <w:t>6.935.973</w:t>
            </w:r>
          </w:p>
        </w:tc>
        <w:tc>
          <w:tcPr>
            <w:tcW w:w="1224" w:type="dxa"/>
          </w:tcPr>
          <w:p w:rsidR="00505632" w:rsidRDefault="00505632" w:rsidP="00AD4E52">
            <w:pPr>
              <w:pStyle w:val="CellColumn"/>
              <w:jc w:val="right"/>
            </w:pPr>
            <w:r>
              <w:rPr>
                <w:rFonts w:cs="Times New Roman"/>
              </w:rPr>
              <w:t>97,3</w:t>
            </w:r>
          </w:p>
        </w:tc>
        <w:tc>
          <w:tcPr>
            <w:tcW w:w="1224" w:type="dxa"/>
          </w:tcPr>
          <w:p w:rsidR="00505632" w:rsidRDefault="00505632" w:rsidP="00AD4E52">
            <w:pPr>
              <w:pStyle w:val="CellColumn"/>
              <w:jc w:val="right"/>
            </w:pPr>
            <w:r>
              <w:rPr>
                <w:rFonts w:cs="Times New Roman"/>
              </w:rPr>
              <w:t>124,4</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Sredstvima DP nastavljena je izgradnja nove zgrade Obrtne škole u Sisku.</w:t>
      </w:r>
    </w:p>
    <w:p w:rsidR="00505632" w:rsidRDefault="00505632" w:rsidP="00505632">
      <w:pPr>
        <w:pStyle w:val="Heading4"/>
      </w:pPr>
      <w:r>
        <w:t>A621049 KAMATE ZA STANOVE ZNANSTVENIH NOVAKA I ASISTENATA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A621049-KAMATE ZA STANOVE ZNANSTVENIH NOVAKA I ASISTENATA</w:t>
            </w:r>
          </w:p>
        </w:tc>
        <w:tc>
          <w:tcPr>
            <w:tcW w:w="2041" w:type="dxa"/>
          </w:tcPr>
          <w:p w:rsidR="00505632" w:rsidRDefault="00505632" w:rsidP="00AD4E52">
            <w:pPr>
              <w:pStyle w:val="CellColumn"/>
              <w:jc w:val="right"/>
            </w:pPr>
            <w:r>
              <w:rPr>
                <w:rFonts w:cs="Times New Roman"/>
              </w:rPr>
              <w:t>15.895.634</w:t>
            </w:r>
          </w:p>
        </w:tc>
        <w:tc>
          <w:tcPr>
            <w:tcW w:w="2041" w:type="dxa"/>
          </w:tcPr>
          <w:p w:rsidR="00505632" w:rsidRDefault="00505632" w:rsidP="00AD4E52">
            <w:pPr>
              <w:pStyle w:val="CellColumn"/>
              <w:jc w:val="right"/>
            </w:pPr>
            <w:r>
              <w:rPr>
                <w:rFonts w:cs="Times New Roman"/>
              </w:rPr>
              <w:t>13.239.853</w:t>
            </w:r>
          </w:p>
        </w:tc>
        <w:tc>
          <w:tcPr>
            <w:tcW w:w="2041" w:type="dxa"/>
          </w:tcPr>
          <w:p w:rsidR="00505632" w:rsidRDefault="00505632" w:rsidP="00AD4E52">
            <w:pPr>
              <w:pStyle w:val="CellColumn"/>
              <w:jc w:val="right"/>
            </w:pPr>
            <w:r>
              <w:rPr>
                <w:rFonts w:cs="Times New Roman"/>
              </w:rPr>
              <w:t>13.226.761</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83,2</w:t>
            </w:r>
          </w:p>
        </w:tc>
      </w:tr>
    </w:tbl>
    <w:p w:rsidR="00505632" w:rsidRDefault="00505632" w:rsidP="00505632">
      <w:pPr>
        <w:pStyle w:val="Heading8"/>
        <w:jc w:val="left"/>
      </w:pPr>
    </w:p>
    <w:p w:rsidR="00505632" w:rsidRDefault="00505632" w:rsidP="00505632">
      <w:pPr>
        <w:pStyle w:val="Heading8"/>
        <w:jc w:val="left"/>
      </w:pPr>
      <w:r>
        <w:t>Opis aktivnosti</w:t>
      </w:r>
    </w:p>
    <w:p w:rsidR="00505632" w:rsidRDefault="00505632" w:rsidP="00505632">
      <w:r>
        <w:t>U sklopu poticaja razvoja sustava znanosti i visokog obrazovanja provodi se Program stambenog kreditiranja zaposlenih u sustavu znanosti i visokog obrazovanja subvencioniranjem kamate po stambenim kreditima za znanstvenike i znanstvene novake koji su zaposleni na Sveučilištima u Osijeku, Rijeci, Splitu, Zadru i Zagrebu. Prvi dio programa započeo je 2001. i trajao do 2005. godine, a drugi dio programa započeo je u svibnju 2007. godine kada je suradnja, uz već navedena sveučilišta proširena na sveučilišta u Dubrovniku i Puli te Agenciju za znanost i visoko obrazovanje. Program stambenog kreditiranja zaposlenih u sustavu znanosti i visokog obrazovanja završen je dana 30. lipnja 2008.godine istekom propisanih aneksa Ugovora sa sveučilištima i Agencijom, a do daljnjeg produžavanja navedenog programa nije došlo zbog nastupanja otežane ekonomske situacije i ograničenih sredstava u državnom proračunu.</w:t>
      </w:r>
    </w:p>
    <w:p w:rsidR="00505632" w:rsidRDefault="00505632" w:rsidP="00505632">
      <w:pPr>
        <w:pStyle w:val="Heading4"/>
      </w:pPr>
      <w:r>
        <w:t>A767043 RAZVOJ VISOKOG OBRAZOVANJA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A767043-RAZVOJ VISOKOG OBRAZOVANJA</w:t>
            </w:r>
          </w:p>
        </w:tc>
        <w:tc>
          <w:tcPr>
            <w:tcW w:w="2041" w:type="dxa"/>
          </w:tcPr>
          <w:p w:rsidR="00505632" w:rsidRDefault="00505632" w:rsidP="00AD4E52">
            <w:pPr>
              <w:pStyle w:val="CellColumn"/>
              <w:jc w:val="right"/>
            </w:pPr>
            <w:r>
              <w:rPr>
                <w:rFonts w:cs="Times New Roman"/>
              </w:rPr>
              <w:t>1.516.543</w:t>
            </w:r>
          </w:p>
        </w:tc>
        <w:tc>
          <w:tcPr>
            <w:tcW w:w="2041" w:type="dxa"/>
          </w:tcPr>
          <w:p w:rsidR="00505632" w:rsidRDefault="00505632" w:rsidP="00AD4E52">
            <w:pPr>
              <w:pStyle w:val="CellColumn"/>
              <w:jc w:val="right"/>
            </w:pPr>
            <w:r>
              <w:rPr>
                <w:rFonts w:cs="Times New Roman"/>
              </w:rPr>
              <w:t>483.761</w:t>
            </w:r>
          </w:p>
        </w:tc>
        <w:tc>
          <w:tcPr>
            <w:tcW w:w="2041" w:type="dxa"/>
          </w:tcPr>
          <w:p w:rsidR="00505632" w:rsidRDefault="00505632" w:rsidP="00AD4E52">
            <w:pPr>
              <w:pStyle w:val="CellColumn"/>
              <w:jc w:val="right"/>
            </w:pPr>
            <w:r>
              <w:rPr>
                <w:rFonts w:cs="Times New Roman"/>
              </w:rPr>
              <w:t>320.952</w:t>
            </w:r>
          </w:p>
        </w:tc>
        <w:tc>
          <w:tcPr>
            <w:tcW w:w="1224" w:type="dxa"/>
          </w:tcPr>
          <w:p w:rsidR="00505632" w:rsidRDefault="00505632" w:rsidP="00AD4E52">
            <w:pPr>
              <w:pStyle w:val="CellColumn"/>
              <w:jc w:val="right"/>
            </w:pPr>
            <w:r>
              <w:rPr>
                <w:rFonts w:cs="Times New Roman"/>
              </w:rPr>
              <w:t>66,3</w:t>
            </w:r>
          </w:p>
        </w:tc>
        <w:tc>
          <w:tcPr>
            <w:tcW w:w="1224" w:type="dxa"/>
          </w:tcPr>
          <w:p w:rsidR="00505632" w:rsidRDefault="00505632" w:rsidP="00AD4E52">
            <w:pPr>
              <w:pStyle w:val="CellColumn"/>
              <w:jc w:val="right"/>
            </w:pPr>
            <w:r>
              <w:rPr>
                <w:rFonts w:cs="Times New Roman"/>
              </w:rPr>
              <w:t>21,2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w:t>
      </w:r>
    </w:p>
    <w:p w:rsidR="00505632" w:rsidRDefault="00505632" w:rsidP="00505632">
      <w:pPr>
        <w:pStyle w:val="Heading8"/>
        <w:jc w:val="left"/>
      </w:pPr>
      <w:r>
        <w:t>Opis aktivnosti</w:t>
      </w:r>
    </w:p>
    <w:p w:rsidR="00505632" w:rsidRDefault="00505632" w:rsidP="00505632">
      <w:r>
        <w:t>Ministarstvo znanosti i obrazovanja sustavno radi na razvoju sustava za stalno praćenje zapošljivosti diplomiranih te usklađivanja studijskih programa s potrebama tržišta rada, odnosno na povezivanju obrazovnog sustava i svijeta rada.Unutar ove aktivnosti financiraju analiza zastupljenosti stručne prakse unutar studijskih programa koji se izvode na visokim, učilištima u RH i aktivnosti na praćenju zapošljivosti diplimiranih. Također se financiraju  i druge aktivnosti usmjerenje unapređenju sustava visokog obrazovanja, kao što su: praćenje europskih politika visokog obrazovanja, sudjelovanje u radnim skupinama i tijelima za provedbu Bolonjskog procesa (i drugi oblici međunarodne suradnje) te rad povremenih i ad-hock radnih skupina koje mogu doprinijeti unapređenju pojedinih vidova rada u visokom obrazovanju.</w:t>
      </w:r>
    </w:p>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Provedba analize zastupljenosti stručne prakse unutar studijskih programa koji se izvode na visokim učilištima u RH.</w:t>
            </w:r>
          </w:p>
        </w:tc>
        <w:tc>
          <w:tcPr>
            <w:tcW w:w="2551" w:type="dxa"/>
          </w:tcPr>
          <w:p w:rsidR="00505632" w:rsidRDefault="00505632" w:rsidP="00AD4E52">
            <w:pPr>
              <w:pStyle w:val="CellColumn"/>
              <w:jc w:val="left"/>
            </w:pPr>
            <w:r>
              <w:rPr>
                <w:rFonts w:cs="Times New Roman"/>
              </w:rPr>
              <w:t>Definiran, peikupljen i analiziran set podataka o zastupljenosti stručne prakse unutar studijskih programa koji se izvode na visokim učilištima u RH.</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Studija o provedenom pilot istraživanju zapošljivosti diplomiranih na veleučilištima i visokim školama sa pojedinačnim izvješćima za svako visoko učilište.</w:t>
            </w:r>
          </w:p>
        </w:tc>
        <w:tc>
          <w:tcPr>
            <w:tcW w:w="2551" w:type="dxa"/>
          </w:tcPr>
          <w:p w:rsidR="00505632" w:rsidRDefault="00505632" w:rsidP="00AD4E52">
            <w:pPr>
              <w:pStyle w:val="CellColumn"/>
              <w:jc w:val="left"/>
            </w:pPr>
            <w:r>
              <w:rPr>
                <w:rFonts w:cs="Times New Roman"/>
              </w:rPr>
              <w:t>Do kraja 2015. bit će izrađena studija o provedenom pilot istraživanju zapošljivosti diplomiranih na veleučilištima i visokim školama a tijekom 2016. godine će se izraditi pojedinačna izvješća za svako visoko učilište.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3801-ULAGANJE U ZNANSTVENO ISTRAŽIVAČKU DJELATNOST</w:t>
            </w:r>
          </w:p>
        </w:tc>
        <w:tc>
          <w:tcPr>
            <w:tcW w:w="2041" w:type="dxa"/>
          </w:tcPr>
          <w:p w:rsidR="00505632" w:rsidRDefault="00505632" w:rsidP="00AD4E52">
            <w:pPr>
              <w:pStyle w:val="CellColumn"/>
              <w:jc w:val="right"/>
            </w:pPr>
            <w:r>
              <w:rPr>
                <w:rFonts w:cs="Times New Roman"/>
              </w:rPr>
              <w:t>890.949.924</w:t>
            </w:r>
          </w:p>
        </w:tc>
        <w:tc>
          <w:tcPr>
            <w:tcW w:w="2041" w:type="dxa"/>
          </w:tcPr>
          <w:p w:rsidR="00505632" w:rsidRDefault="00505632" w:rsidP="00AD4E52">
            <w:pPr>
              <w:pStyle w:val="CellColumn"/>
              <w:jc w:val="right"/>
            </w:pPr>
            <w:r>
              <w:rPr>
                <w:rFonts w:cs="Times New Roman"/>
              </w:rPr>
              <w:t>297.022.535</w:t>
            </w:r>
          </w:p>
        </w:tc>
        <w:tc>
          <w:tcPr>
            <w:tcW w:w="2041" w:type="dxa"/>
          </w:tcPr>
          <w:p w:rsidR="00505632" w:rsidRDefault="00505632" w:rsidP="00AD4E52">
            <w:pPr>
              <w:pStyle w:val="CellColumn"/>
              <w:jc w:val="right"/>
            </w:pPr>
            <w:r>
              <w:rPr>
                <w:rFonts w:cs="Times New Roman"/>
              </w:rPr>
              <w:t>287.048.026</w:t>
            </w:r>
          </w:p>
        </w:tc>
        <w:tc>
          <w:tcPr>
            <w:tcW w:w="1224" w:type="dxa"/>
          </w:tcPr>
          <w:p w:rsidR="00505632" w:rsidRDefault="00505632" w:rsidP="00AD4E52">
            <w:pPr>
              <w:pStyle w:val="CellColumn"/>
              <w:jc w:val="right"/>
            </w:pPr>
            <w:r>
              <w:rPr>
                <w:rFonts w:cs="Times New Roman"/>
              </w:rPr>
              <w:t>96,6</w:t>
            </w:r>
          </w:p>
        </w:tc>
        <w:tc>
          <w:tcPr>
            <w:tcW w:w="1224" w:type="dxa"/>
          </w:tcPr>
          <w:p w:rsidR="00505632" w:rsidRDefault="00505632" w:rsidP="00AD4E52">
            <w:pPr>
              <w:pStyle w:val="CellColumn"/>
              <w:jc w:val="right"/>
            </w:pPr>
            <w:r>
              <w:rPr>
                <w:rFonts w:cs="Times New Roman"/>
              </w:rPr>
              <w:t>32,2</w:t>
            </w:r>
          </w:p>
        </w:tc>
      </w:tr>
    </w:tbl>
    <w:p w:rsidR="00505632" w:rsidRDefault="00505632" w:rsidP="00505632">
      <w:pPr>
        <w:jc w:val="left"/>
      </w:pPr>
    </w:p>
    <w:p w:rsidR="00505632" w:rsidRDefault="00505632" w:rsidP="00505632">
      <w:r>
        <w:t xml:space="preserve">Stabilna ulaganja u razvoj znanstvenog, tehnologijskog i inovacijskog sustava preduvjet su za izgradnju Republike Hrvatske kao zemlje okrenute znanju i inovacijama, s konačnim ciljem povećanja konkurentnosti, produktivnosti i zapošljavanja te, sukladno tome, ostvarenja stabilnog i održivoga gospodarskog rasta. </w:t>
      </w:r>
    </w:p>
    <w:p w:rsidR="00505632" w:rsidRDefault="00505632" w:rsidP="00505632">
      <w:r>
        <w:t xml:space="preserve">Razvojne mjere znanstvene i tehnologijske politike stoga trebaju dovoditi do prenošenja rezultata znanstvenoga rada u nova dobra, usluge i procese, ali i imati ključnu ulogu u definiranju odgovora na izazove društvenog razvoja, kulture i brige za okoliš. Te mjere moraju omogućiti strukturiran i usmjeren razvoj znanstvenoga sustava i neprekidno usklađivanje s međunarodnim okvirom znanosti i tehnologije - odnosno osigurati potrebne preduvjete za uspostavu hrvatskoga istraživačkoga prostora, poticati znanstvenu izvrsnost i međunarodnu prepoznatljivost javnih znanstvenih instituta i visokih učilišta te donošenje i provedbu javnih politika temeljenih na rezultatima znanstvenih istraživanja. </w:t>
      </w:r>
    </w:p>
    <w:p w:rsidR="00505632" w:rsidRDefault="00505632" w:rsidP="00505632">
      <w:r>
        <w:t xml:space="preserve">Tijekom 2014. godine donesena je Strategija obrazovanja, znanosti i tehnologije (SOZT) koja slijedi viziju dugoročnog  razvoja sustava te nastoji osigurati mehanizme i sredstva za postizanje kvalitetnije znanosti, formiranje znanstvenih centara izvrsnosti i intenziviranje suradnje gospodarstva i znanosti. Stoga se znanost i tehnologija strateškim razrađuju težeći postavljanju obrazovanja, istraživanja i inovacija u središte nacionalne strategije razvoja, vodeći računa o europskom programskom okviru za istraživanje i inovacije Obzor 2020. </w:t>
      </w:r>
    </w:p>
    <w:p w:rsidR="00505632" w:rsidRDefault="00505632" w:rsidP="00505632">
      <w:r>
        <w:t xml:space="preserve">Upravo je stoga jedan od osnovnih ciljeva SOZT-a u programe svih ministarstava uvesti odgovornost za istraživanje i razvoj te kompetitivno financiranje projekata, uz djelotvornu međuresornu koordinaciju kojom će se postići učinkovito korištenje svih državnih izvora financiranja istraživanja i razvoja. </w:t>
      </w:r>
    </w:p>
    <w:p w:rsidR="00505632" w:rsidRDefault="00505632" w:rsidP="00505632">
      <w:r>
        <w:t>Provedba ovog Programa vezana je uz ostvarivanje općeg cilja pod brojem 2. Unaprijeđena znanost kao pokretač dugoročnoga gospodarskog i društvenog razvoja u Strateškom planu za razdoblje 2016.-2018. Ministarstva znanosti i obrazovanja.</w:t>
      </w:r>
    </w:p>
    <w:p w:rsidR="00505632" w:rsidRDefault="00505632" w:rsidP="00505632">
      <w:pPr>
        <w:pStyle w:val="Heading8"/>
        <w:jc w:val="left"/>
      </w:pPr>
      <w:r>
        <w:t>Cilj 1. Unaprijeđena povezanost znanstvenih organizacija s gospodarstvom i društvom u cjelini</w:t>
      </w:r>
    </w:p>
    <w:p w:rsidR="00505632" w:rsidRDefault="00505632" w:rsidP="00505632">
      <w:pPr>
        <w:pStyle w:val="Heading8"/>
        <w:jc w:val="left"/>
      </w:pPr>
      <w:r>
        <w:t>Opis provedbe cilja programa</w:t>
      </w:r>
    </w:p>
    <w:p w:rsidR="00505632" w:rsidRDefault="00505632" w:rsidP="00505632">
      <w:r>
        <w:t xml:space="preserve">(Posebni cilj 2.1. - Strateški plan MZO-a 2016.-2018.) </w:t>
      </w:r>
    </w:p>
    <w:p w:rsidR="00505632" w:rsidRDefault="00505632" w:rsidP="00505632">
      <w:r>
        <w:t xml:space="preserve">Sustav znanosti u Republici Hrvatskoj ima znanstveni potencijal koji čini čvrstu osnovu za daljnji razvoj znanstvenih istraživanja, posebice u temama važnima za održiv gospodarski i društveni razvoj zemlje i povećanje kvalitete života. U Republici Hrvatskoj djeluje dvadeset pet javnih znanstvenih instituta, devet javnih sveučilišta te tri ustanove od posebne važnosti za Republiku Hrvatsku, koji nose glavnu odgovornost za implementaciju navedenoga cilja. </w:t>
      </w:r>
    </w:p>
    <w:p w:rsidR="00505632" w:rsidRDefault="00505632" w:rsidP="00505632">
      <w:r>
        <w:t xml:space="preserve">Ipak, unatoč velikom potencijalu, iskorištenost znanosti za potrebe gospodarskog razvoja i usklađenost znanstvene djelatnosti na javnim institutima i sveučilištima sa stvarnim potrebama gospodarstva i društva u kome djeluju još je uvijek nedovoljna te se bolje povezivanje znanstvenih istraživanja s potrebama gospodarstva i društva u cjelini nameće kao logičan cilj, u perspektivi općeg povećanja konkurentnosti Republike Hrvatske. Pri tome se podržavaju istraživačke aktivnosti znanstvenih organizacija usklađenih s potrebama gospodarstva i aktivnosti vezane uz transfer tehnologije, čemu mogu doprinijeti znanstveno-tehnologijski parkovi, znanstveni i tehnologijski inkubatori povezani sa sveučilištima i fakultetima, sveučilišne ili institutske start-up ili spin-off jedinice i tvrtke. </w:t>
      </w:r>
    </w:p>
    <w:p w:rsidR="00505632" w:rsidRDefault="00505632" w:rsidP="00505632">
      <w:r>
        <w:t xml:space="preserve">Poseban naglasak stavljen je na jačanje suradnje javnog i privatnog sektora u dijelu poticanja projekata i programa popularizacije znanosti, tehnologije i inovacija, s ciljem uključivanja zainteresirane javnosti u takve aktivnosti.  </w:t>
      </w:r>
    </w:p>
    <w:p w:rsidR="00505632" w:rsidRDefault="00505632" w:rsidP="00505632">
      <w:r>
        <w:t>Također, provodi se opsežna revizija sustava državnih potpora za istraživanje, razvoj i inovacije nastavno na Komunikaciju o Strategiji Europa 2020, kojom je istaknuto da politika državnih potpora može dati aktivan i pozitivan doprinos povećanju ulaganja u istraživanje i razvoj, temeljem poticanja i podržavanja inicijativa za inovativne, učinkovite i zelene tehnologije, a u planu je i provedba Programa državne potpore za istraživanje, razvoj i inovacije.</w:t>
      </w:r>
    </w:p>
    <w:p w:rsidR="00505632" w:rsidRDefault="00505632" w:rsidP="00505632">
      <w:pPr>
        <w:pStyle w:val="Heading8"/>
        <w:jc w:val="left"/>
      </w:pPr>
      <w:r>
        <w:t>Cilj 2. Unaprijeđena znanstvena izvrsnost</w:t>
      </w:r>
    </w:p>
    <w:p w:rsidR="00505632" w:rsidRDefault="00505632" w:rsidP="00505632">
      <w:pPr>
        <w:pStyle w:val="Heading8"/>
        <w:jc w:val="left"/>
      </w:pPr>
      <w:r>
        <w:t>Opis provedbe cilja programa</w:t>
      </w:r>
    </w:p>
    <w:p w:rsidR="00505632" w:rsidRDefault="00505632" w:rsidP="00505632">
      <w:r>
        <w:t xml:space="preserve">(Posebni cilj 2.2. - Strateški plan MZO-a 2016.-2018.) </w:t>
      </w:r>
    </w:p>
    <w:p w:rsidR="00505632" w:rsidRDefault="00505632" w:rsidP="00505632">
      <w:r>
        <w:t xml:space="preserve">Stvaranjem i uključivanjem Hrvatskoga prostora znanstvenih istraživanja i visokog obrazovanja u Europski istraživački i inovacijski prostor (ERIA) hrvatska znanstvena i akademska zajednica morat će se prilagoditi razvijenim međunarodnim kriterijima znanstvene izvrsnosti.  </w:t>
      </w:r>
    </w:p>
    <w:p w:rsidR="00505632" w:rsidRDefault="00505632" w:rsidP="00505632">
      <w:r>
        <w:t xml:space="preserve">Definiranjem i poticanjem jačanja prioritetnih znanstveno-istraživačkih područja stvorit će se temelj za jačanje učinkovitosti postojećih infrastrukturnih potencijala te će se kontinuirano usmjeravati prema većoj izvrsnosti, međunarodnom značaju i racionalnijem korištenju, a čime će se posredno utjecati na razvoj znanosti, inovacija i tehnologija.  </w:t>
      </w:r>
    </w:p>
    <w:p w:rsidR="00505632" w:rsidRDefault="00505632" w:rsidP="00505632">
      <w:r>
        <w:t xml:space="preserve">Na tako definiranim prioritetnim znanstveno-istraživačkim područjima temelji se okrupnjavanje međunarodno priznatih dionika hrvatske znanstvene djelatnosti u međunarodno priznate nacionalne znanstvene centre izvrsnosti koji će po svojem ugledu i izvrsnosti moći uspješno kotirati na europskoj i svjetskoj znanstvenoj sceni. Sukladno Zakonu o znanstvenoj djelatnosti i visokom obrazovanju, u 2014. i 2015. godini proglašeno je ukupno 13 znanstvenih centara izvrsnosti koji će i u narednom razdoblju raditi na povećanju međunarodne vidljivosti potrebne za uspješno definiranje programa istraživanja u okviru Europskog znanstvenog prostora te unapređenje znanstvene, industrijske i društvene povezanosti. </w:t>
      </w:r>
    </w:p>
    <w:p w:rsidR="00505632" w:rsidRDefault="00505632" w:rsidP="00505632">
      <w:r>
        <w:t>U planskom razdoblju nastavlja se s dosadašnjim uspješnim povlačenjem financijskih sredstava Europske unije - dostupnih u strukturnim fondovima - za aktivnosti poticanja povezivanja javnog sektora i gospodarstva u provedbi znanstvenih istraživanja te transfera tehnologije, mehanizmima razvijenim sukladno identificiranim potrebama. Pritom se kontinuirano jačaju ljudski i materijalni kapaciteti znanstvenih organizacija za takve aktivnosti, posebno kroz projekt Drugoga tehnologijskog razvoja (STPII) u sklopu kojega se pruža potpora prilagodbi operativnih postupaka mjerodavnih institucija te poboljšavaju njihove sposobnosti za provedbu istraživanja i inovacijskih politika i programa u skladu s postojećom najboljom praksom.</w:t>
      </w:r>
    </w:p>
    <w:p w:rsidR="00505632" w:rsidRDefault="00505632" w:rsidP="00505632">
      <w:pPr>
        <w:pStyle w:val="Heading8"/>
        <w:jc w:val="left"/>
      </w:pPr>
      <w:r>
        <w:t>Cilj 3. Osnaženi ljudski potencijali u znanosti, posebno u prirodnim, tehničkim i biotehničkim znanostima i inovacijama te veća međunarodna suradnja</w:t>
      </w:r>
    </w:p>
    <w:p w:rsidR="00505632" w:rsidRDefault="00505632" w:rsidP="00505632">
      <w:pPr>
        <w:pStyle w:val="Heading8"/>
        <w:jc w:val="left"/>
      </w:pPr>
      <w:r>
        <w:t>Opis provedbe cilja programa</w:t>
      </w:r>
    </w:p>
    <w:p w:rsidR="00505632" w:rsidRDefault="00505632" w:rsidP="00505632">
      <w:r>
        <w:t xml:space="preserve">(Posebni cilj 2.3. - Strateški plan MZO-a 2016.-2018.) </w:t>
      </w:r>
    </w:p>
    <w:p w:rsidR="00505632" w:rsidRDefault="00505632" w:rsidP="00505632">
      <w:r>
        <w:t xml:space="preserve">Kvalitetan sustav znanosti te gospodarstvo koje je sposobno razvijati i plasirati inovativne tehnologije i procese počivaju na kompetentnim i kompetitivnim ljudskim potencijalima koji ujedinjuju intelektualnu znatiželju, kreativnost, znanje i motivaciju. U globaliziranome svijetu, u kojem brzi transfer tehnologija i prijenos znanja prekoračuju nacionalne granice, važno je jačanjem ljudskih potencijala u znanosti te poticanjem mobilnosti istraživača i međunarodne suradnje osigurati dovoljan broj visokokvalificiranih stručnjaka i kontinuirano ulagati u njihovo obrazovanje i usavršavanje te istodobno jačati sustav za apsorpciju takvih stručnjaka. </w:t>
      </w:r>
    </w:p>
    <w:p w:rsidR="00505632" w:rsidRDefault="00505632" w:rsidP="00505632">
      <w:r>
        <w:t xml:space="preserve">Potiče se zapošljavanje stručnjaka iz područja prirodnih, tehničkih i biotehničkih znanosti koji će radom na znanstvenim projektima u gospodarstvu kontinuirano povećavati svijest o važnosti istraživanja i poticati inovacijsku kulturu u privatnomu sektoru.  </w:t>
      </w:r>
    </w:p>
    <w:p w:rsidR="00505632" w:rsidRDefault="00505632" w:rsidP="00505632">
      <w:r>
        <w:t xml:space="preserve">Ministarstvo je kroz projekt stipendiranja pod nazivom Novi međunarodni program stipendiranja i mobilnosti za iskusne istraživače (NEWFELPRO) nastavilo s pridonošenjem ostvarenju većeg broja kvalificiranih znanstvenika i istraživača koji sudjelovanjem u projektu stječu relevantno međunarodno iskustvo, čime se potiče daljnji razvoj međunarodne mreže znanstvenika. </w:t>
      </w:r>
    </w:p>
    <w:p w:rsidR="00505632" w:rsidRDefault="00505632" w:rsidP="00505632">
      <w:r>
        <w:t xml:space="preserve">Uz potporu Agencije za mobilnost i programe Europske Unije i EURAXESS centra Ministarstvo je i u 2016. godini kontinuirano djelovalo na provođenju aktivnosti ugošćavanja inozemnih znanstvenika i istraživača za rad na znanstvenim ustanovama i znanstvenim projektima i programima u Republici Hrvatskoj. </w:t>
      </w:r>
    </w:p>
    <w:p w:rsidR="00505632" w:rsidRDefault="00505632" w:rsidP="00505632">
      <w:r>
        <w:t>Planiranjem mjera Akcijskog plana za mobilnost istraživača radi se na poticanju međunarodne i međusektorske mobilnosti na svim razinama obrazovanja i znanstvene suradnje kroz uklanjanje prepreka u mobilnosti te poboljšanje radnih uvjeta, kako za hrvatske tako i za strane istraživače.</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ulaganja iz privatnoga sektora u znanost i istraživanje kao udio u BDP-u</w:t>
            </w:r>
          </w:p>
        </w:tc>
        <w:tc>
          <w:tcPr>
            <w:tcW w:w="2551" w:type="dxa"/>
          </w:tcPr>
          <w:p w:rsidR="00505632" w:rsidRDefault="00505632" w:rsidP="00AD4E52">
            <w:pPr>
              <w:pStyle w:val="CellColumn"/>
              <w:jc w:val="left"/>
            </w:pPr>
            <w:r>
              <w:rPr>
                <w:rFonts w:cs="Times New Roman"/>
              </w:rPr>
              <w:t>Udio ulaganja iz privatnoga sektora u znanost i istraživanje koji će dovesti do povećanja BDP-a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 xml:space="preserve">0,33 </w:t>
            </w:r>
          </w:p>
          <w:p w:rsidR="00505632" w:rsidRDefault="00505632" w:rsidP="00AD4E52">
            <w:pPr>
              <w:pStyle w:val="CellColumn"/>
              <w:jc w:val="right"/>
            </w:pPr>
            <w:r>
              <w:rPr>
                <w:rFonts w:cs="Times New Roman"/>
              </w:rPr>
              <w:t>(2011.)</w:t>
            </w:r>
          </w:p>
        </w:tc>
        <w:tc>
          <w:tcPr>
            <w:tcW w:w="1020" w:type="dxa"/>
          </w:tcPr>
          <w:p w:rsidR="00505632" w:rsidRDefault="00505632" w:rsidP="00AD4E52">
            <w:pPr>
              <w:pStyle w:val="CellColumn"/>
              <w:jc w:val="right"/>
            </w:pPr>
            <w:r>
              <w:rPr>
                <w:rFonts w:cs="Times New Roman"/>
              </w:rPr>
              <w:t>Eurostat</w:t>
            </w:r>
          </w:p>
        </w:tc>
        <w:tc>
          <w:tcPr>
            <w:tcW w:w="1020" w:type="dxa"/>
          </w:tcPr>
          <w:p w:rsidR="00505632" w:rsidRDefault="00505632" w:rsidP="00AD4E52">
            <w:pPr>
              <w:pStyle w:val="CellColumn"/>
              <w:jc w:val="right"/>
            </w:pPr>
            <w:r>
              <w:rPr>
                <w:rFonts w:cs="Times New Roman"/>
              </w:rPr>
              <w:t>0,35</w:t>
            </w:r>
          </w:p>
        </w:tc>
        <w:tc>
          <w:tcPr>
            <w:tcW w:w="1020" w:type="dxa"/>
          </w:tcPr>
          <w:p w:rsidR="00505632" w:rsidRDefault="00505632" w:rsidP="00AD4E52">
            <w:pPr>
              <w:pStyle w:val="CellColumn"/>
              <w:jc w:val="right"/>
            </w:pPr>
            <w:r>
              <w:rPr>
                <w:rFonts w:cs="Times New Roman"/>
              </w:rPr>
              <w:t xml:space="preserve">0,44 </w:t>
            </w:r>
          </w:p>
          <w:p w:rsidR="00505632" w:rsidRDefault="00505632" w:rsidP="00AD4E52">
            <w:pPr>
              <w:pStyle w:val="CellColumn"/>
              <w:jc w:val="right"/>
            </w:pPr>
            <w:r>
              <w:rPr>
                <w:rFonts w:cs="Times New Roman"/>
              </w:rPr>
              <w:t>(2015.)</w:t>
            </w:r>
          </w:p>
        </w:tc>
      </w:tr>
      <w:tr w:rsidR="00505632" w:rsidTr="00AD4E52">
        <w:trPr>
          <w:jc w:val="center"/>
        </w:trPr>
        <w:tc>
          <w:tcPr>
            <w:tcW w:w="2551" w:type="dxa"/>
          </w:tcPr>
          <w:p w:rsidR="00505632" w:rsidRDefault="00505632" w:rsidP="00AD4E52">
            <w:pPr>
              <w:pStyle w:val="CellColumn"/>
              <w:jc w:val="left"/>
            </w:pPr>
            <w:r>
              <w:rPr>
                <w:rFonts w:cs="Times New Roman"/>
              </w:rPr>
              <w:t>Povećanje ukupnog izdvajanja za znanost i istraživanje kao udio u BDP-u</w:t>
            </w:r>
          </w:p>
        </w:tc>
        <w:tc>
          <w:tcPr>
            <w:tcW w:w="2551" w:type="dxa"/>
          </w:tcPr>
          <w:p w:rsidR="00505632" w:rsidRDefault="00505632" w:rsidP="00AD4E52">
            <w:pPr>
              <w:pStyle w:val="CellColumn"/>
              <w:jc w:val="left"/>
            </w:pPr>
            <w:r>
              <w:rPr>
                <w:rFonts w:cs="Times New Roman"/>
              </w:rPr>
              <w:t>Ukupno izdvajanje za znanost i istraživanje kao udio u BDP-u</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 xml:space="preserve">0,81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Eurostat</w:t>
            </w:r>
          </w:p>
        </w:tc>
        <w:tc>
          <w:tcPr>
            <w:tcW w:w="1020" w:type="dxa"/>
          </w:tcPr>
          <w:p w:rsidR="00505632" w:rsidRDefault="00505632" w:rsidP="00AD4E52">
            <w:pPr>
              <w:pStyle w:val="CellColumn"/>
              <w:jc w:val="right"/>
            </w:pPr>
            <w:r>
              <w:rPr>
                <w:rFonts w:cs="Times New Roman"/>
              </w:rPr>
              <w:t>0,90</w:t>
            </w:r>
          </w:p>
        </w:tc>
        <w:tc>
          <w:tcPr>
            <w:tcW w:w="1020" w:type="dxa"/>
          </w:tcPr>
          <w:p w:rsidR="00505632" w:rsidRDefault="00505632" w:rsidP="00AD4E52">
            <w:pPr>
              <w:pStyle w:val="CellColumn"/>
              <w:jc w:val="right"/>
            </w:pPr>
            <w:r>
              <w:rPr>
                <w:rFonts w:cs="Times New Roman"/>
              </w:rPr>
              <w:t xml:space="preserve">0,85 </w:t>
            </w:r>
          </w:p>
          <w:p w:rsidR="00505632" w:rsidRDefault="00505632" w:rsidP="00AD4E52">
            <w:pPr>
              <w:pStyle w:val="CellColumn"/>
              <w:jc w:val="right"/>
            </w:pPr>
            <w:r>
              <w:rPr>
                <w:rFonts w:cs="Times New Roman"/>
              </w:rPr>
              <w:t>(2015.)</w:t>
            </w:r>
          </w:p>
        </w:tc>
      </w:tr>
      <w:tr w:rsidR="00505632" w:rsidTr="00AD4E52">
        <w:trPr>
          <w:jc w:val="center"/>
        </w:trPr>
        <w:tc>
          <w:tcPr>
            <w:tcW w:w="2551" w:type="dxa"/>
          </w:tcPr>
          <w:p w:rsidR="00505632" w:rsidRDefault="00505632" w:rsidP="00AD4E52">
            <w:pPr>
              <w:pStyle w:val="CellColumn"/>
              <w:jc w:val="left"/>
            </w:pPr>
            <w:r>
              <w:rPr>
                <w:rFonts w:cs="Times New Roman"/>
              </w:rPr>
              <w:t>Povećanje broja međunarodnih znanstvenih koautorstava na milijun stanovnika</w:t>
            </w:r>
          </w:p>
        </w:tc>
        <w:tc>
          <w:tcPr>
            <w:tcW w:w="2551" w:type="dxa"/>
          </w:tcPr>
          <w:p w:rsidR="00505632" w:rsidRDefault="00505632" w:rsidP="00AD4E52">
            <w:pPr>
              <w:pStyle w:val="CellColumn"/>
              <w:jc w:val="left"/>
            </w:pPr>
            <w:r>
              <w:rPr>
                <w:rFonts w:cs="Times New Roman"/>
              </w:rPr>
              <w:t>Broj međunarodnih znanstvenih koautorstava na milijun stanovnika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388 </w:t>
            </w:r>
          </w:p>
          <w:p w:rsidR="00505632" w:rsidRDefault="00505632" w:rsidP="00AD4E52">
            <w:pPr>
              <w:pStyle w:val="CellColumn"/>
              <w:jc w:val="right"/>
            </w:pPr>
            <w:r>
              <w:rPr>
                <w:rFonts w:cs="Times New Roman"/>
              </w:rPr>
              <w:t>(2011.)</w:t>
            </w:r>
          </w:p>
        </w:tc>
        <w:tc>
          <w:tcPr>
            <w:tcW w:w="1020" w:type="dxa"/>
          </w:tcPr>
          <w:p w:rsidR="00505632" w:rsidRDefault="00505632" w:rsidP="00AD4E52">
            <w:pPr>
              <w:pStyle w:val="CellColumn"/>
              <w:jc w:val="right"/>
            </w:pPr>
            <w:r>
              <w:rPr>
                <w:rFonts w:cs="Times New Roman"/>
              </w:rPr>
              <w:t>Eurostat</w:t>
            </w:r>
          </w:p>
        </w:tc>
        <w:tc>
          <w:tcPr>
            <w:tcW w:w="1020" w:type="dxa"/>
          </w:tcPr>
          <w:p w:rsidR="00505632" w:rsidRDefault="00505632" w:rsidP="00AD4E52">
            <w:pPr>
              <w:pStyle w:val="CellColumn"/>
              <w:jc w:val="right"/>
            </w:pPr>
            <w:r>
              <w:rPr>
                <w:rFonts w:cs="Times New Roman"/>
              </w:rPr>
              <w:t>400</w:t>
            </w:r>
          </w:p>
        </w:tc>
        <w:tc>
          <w:tcPr>
            <w:tcW w:w="1020" w:type="dxa"/>
          </w:tcPr>
          <w:p w:rsidR="00505632" w:rsidRDefault="00505632" w:rsidP="00AD4E52">
            <w:pPr>
              <w:pStyle w:val="CellColumn"/>
              <w:jc w:val="right"/>
            </w:pPr>
            <w:r>
              <w:rPr>
                <w:rFonts w:cs="Times New Roman"/>
              </w:rPr>
              <w:t xml:space="preserve">388 </w:t>
            </w:r>
          </w:p>
          <w:p w:rsidR="00505632" w:rsidRDefault="00505632" w:rsidP="00AD4E52">
            <w:pPr>
              <w:pStyle w:val="CellColumn"/>
              <w:jc w:val="right"/>
            </w:pPr>
            <w:r>
              <w:rPr>
                <w:rFonts w:cs="Times New Roman"/>
              </w:rPr>
              <w:t>(2011.)</w:t>
            </w:r>
          </w:p>
        </w:tc>
      </w:tr>
    </w:tbl>
    <w:p w:rsidR="00505632" w:rsidRDefault="00505632" w:rsidP="00505632">
      <w:pPr>
        <w:jc w:val="left"/>
      </w:pPr>
    </w:p>
    <w:p w:rsidR="00505632" w:rsidRDefault="00505632" w:rsidP="00505632">
      <w:pPr>
        <w:pStyle w:val="Heading4"/>
      </w:pPr>
      <w:r>
        <w:t>A557042 PROGRAM DOKTORANADA I POSLIJEDOKTORANADA HRVATSKE ZAKLADE ZA ZNANOST</w:t>
      </w:r>
    </w:p>
    <w:tbl>
      <w:tblPr>
        <w:tblStyle w:val="StilTablice"/>
        <w:tblW w:w="10206" w:type="dxa"/>
        <w:jc w:val="center"/>
        <w:tblLook w:val="04A0" w:firstRow="1" w:lastRow="0" w:firstColumn="1" w:lastColumn="0" w:noHBand="0" w:noVBand="1"/>
      </w:tblPr>
      <w:tblGrid>
        <w:gridCol w:w="2426"/>
        <w:gridCol w:w="1808"/>
        <w:gridCol w:w="1809"/>
        <w:gridCol w:w="1809"/>
        <w:gridCol w:w="1165"/>
        <w:gridCol w:w="118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A557042-PROGRAM DOKTORANADA I POSLIJEDOKTORANADA HRVATSKE ZAKLADE ZA ZNANOST</w:t>
            </w:r>
          </w:p>
        </w:tc>
        <w:tc>
          <w:tcPr>
            <w:tcW w:w="2041" w:type="dxa"/>
          </w:tcPr>
          <w:p w:rsidR="00505632" w:rsidRDefault="00505632" w:rsidP="00AD4E52">
            <w:pPr>
              <w:pStyle w:val="CellColumn"/>
              <w:jc w:val="right"/>
            </w:pPr>
            <w:r>
              <w:rPr>
                <w:rFonts w:cs="Times New Roman"/>
              </w:rPr>
              <w:t>18.633.332</w:t>
            </w:r>
          </w:p>
        </w:tc>
        <w:tc>
          <w:tcPr>
            <w:tcW w:w="2041" w:type="dxa"/>
          </w:tcPr>
          <w:p w:rsidR="00505632" w:rsidRDefault="00505632" w:rsidP="00AD4E52">
            <w:pPr>
              <w:pStyle w:val="CellColumn"/>
              <w:jc w:val="right"/>
            </w:pPr>
            <w:r>
              <w:rPr>
                <w:rFonts w:cs="Times New Roman"/>
              </w:rPr>
              <w:t>22.837.532</w:t>
            </w:r>
          </w:p>
        </w:tc>
        <w:tc>
          <w:tcPr>
            <w:tcW w:w="2041" w:type="dxa"/>
          </w:tcPr>
          <w:p w:rsidR="00505632" w:rsidRDefault="00505632" w:rsidP="00AD4E52">
            <w:pPr>
              <w:pStyle w:val="CellColumn"/>
              <w:jc w:val="right"/>
            </w:pPr>
            <w:r>
              <w:rPr>
                <w:rFonts w:cs="Times New Roman"/>
              </w:rPr>
              <w:t>22.837.532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122,6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 xml:space="preserve">Zakon o Hrvatskoj zakladi za znanost </w:t>
      </w:r>
    </w:p>
    <w:p w:rsidR="00505632" w:rsidRDefault="00505632" w:rsidP="00505632">
      <w:r>
        <w:t xml:space="preserve">Strateški plan Hrvatske zaklade za znanost 2014.-2018. </w:t>
      </w:r>
    </w:p>
    <w:p w:rsidR="00505632" w:rsidRDefault="00505632" w:rsidP="00505632">
      <w:r>
        <w:t>Strategija obrazovanja, znanosti i tehnologije 2014. - 2020.</w:t>
      </w:r>
    </w:p>
    <w:p w:rsidR="00505632" w:rsidRDefault="00505632" w:rsidP="00505632">
      <w:pPr>
        <w:pStyle w:val="Heading8"/>
        <w:jc w:val="left"/>
      </w:pPr>
      <w:r>
        <w:t>Opis aktivnosti</w:t>
      </w:r>
    </w:p>
    <w:p w:rsidR="00505632" w:rsidRDefault="00505632" w:rsidP="00505632">
      <w:r>
        <w:t>Hrvatska zaklada za znanost provodi program financiranja 332 mlada istraživača (doktoranada) na ustanovama u sustavu znanosti i visokog obrazovanja putem natječaja "Projekt razvoja karijera mladih istraživača - izobrazba novih doktora znanosti", kao jedan od ključnih reformskih koraka u uspostavljanju učinkovitijeg i kvalitetnijeg sustava znanosti u Republici Hrvatskoj. Ova je reforma u potpunosti usklađena sa SOZT-om u kojoj se ističe da su obrazovanje i znanost od posebnog javnog interesa te kojom država preuzima odgovornost za razvoj obrazovnog i znanstvenog sustava, a čime će se poticati zapošljavanje novih mladih istraživača i u narednom razdoblju.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novih doktora znanosti iz područja prirodnih, tehničkih i biotehničkih znanosti</w:t>
            </w:r>
          </w:p>
        </w:tc>
        <w:tc>
          <w:tcPr>
            <w:tcW w:w="2551" w:type="dxa"/>
          </w:tcPr>
          <w:p w:rsidR="00505632" w:rsidRDefault="00505632" w:rsidP="00AD4E52">
            <w:pPr>
              <w:pStyle w:val="CellColumn"/>
              <w:jc w:val="left"/>
            </w:pPr>
            <w:r>
              <w:rPr>
                <w:rFonts w:cs="Times New Roman"/>
              </w:rPr>
              <w:t>Broj osoba koje su u referentnoj godini stekle doktorat znanosti iz područja prirodnih, tehničkih i biotehničkih znanosti</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308 </w:t>
            </w:r>
          </w:p>
          <w:p w:rsidR="00505632" w:rsidRDefault="00505632" w:rsidP="00AD4E52">
            <w:pPr>
              <w:pStyle w:val="CellColumn"/>
              <w:jc w:val="right"/>
            </w:pPr>
            <w:r>
              <w:rPr>
                <w:rFonts w:cs="Times New Roman"/>
              </w:rPr>
              <w:t>(2013.)</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360</w:t>
            </w:r>
          </w:p>
        </w:tc>
        <w:tc>
          <w:tcPr>
            <w:tcW w:w="1020" w:type="dxa"/>
          </w:tcPr>
          <w:p w:rsidR="00505632" w:rsidRDefault="00505632" w:rsidP="00AD4E52">
            <w:pPr>
              <w:pStyle w:val="CellColumn"/>
              <w:jc w:val="right"/>
            </w:pPr>
            <w:r>
              <w:rPr>
                <w:rFonts w:cs="Times New Roman"/>
              </w:rPr>
              <w:t xml:space="preserve">359 </w:t>
            </w:r>
          </w:p>
          <w:p w:rsidR="00505632" w:rsidRDefault="00505632" w:rsidP="00AD4E52">
            <w:pPr>
              <w:pStyle w:val="CellColumn"/>
              <w:jc w:val="right"/>
            </w:pPr>
            <w:r>
              <w:rPr>
                <w:rFonts w:cs="Times New Roman"/>
              </w:rPr>
              <w:t>(2015.)</w:t>
            </w:r>
          </w:p>
        </w:tc>
      </w:tr>
      <w:tr w:rsidR="00505632" w:rsidTr="00AD4E52">
        <w:trPr>
          <w:jc w:val="center"/>
        </w:trPr>
        <w:tc>
          <w:tcPr>
            <w:tcW w:w="2551" w:type="dxa"/>
          </w:tcPr>
          <w:p w:rsidR="00505632" w:rsidRDefault="00505632" w:rsidP="00AD4E52">
            <w:pPr>
              <w:pStyle w:val="CellColumn"/>
              <w:jc w:val="left"/>
            </w:pPr>
            <w:r>
              <w:rPr>
                <w:rFonts w:cs="Times New Roman"/>
              </w:rPr>
              <w:t>Udio novih djelatnika iz područja prirodnih, tehničkih i biotehničkih znanosti u sustavu znanosti u ukupnom broju novih djelatnika u sustavu</w:t>
            </w:r>
          </w:p>
        </w:tc>
        <w:tc>
          <w:tcPr>
            <w:tcW w:w="2551" w:type="dxa"/>
          </w:tcPr>
          <w:p w:rsidR="00505632" w:rsidRDefault="00505632" w:rsidP="00AD4E52">
            <w:pPr>
              <w:pStyle w:val="CellColumn"/>
              <w:jc w:val="left"/>
            </w:pPr>
            <w:r>
              <w:rPr>
                <w:rFonts w:cs="Times New Roman"/>
              </w:rPr>
              <w:t>Udio novih djelatnika iz područja prirodnih, tehničkih i biotehničkih u sustavu znanosti u ukupnom broju novih djelatnika zaposlenih u sustavu znanosti</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 xml:space="preserve">72 </w:t>
            </w:r>
          </w:p>
          <w:p w:rsidR="00505632" w:rsidRDefault="00505632" w:rsidP="00AD4E52">
            <w:pPr>
              <w:pStyle w:val="CellColumn"/>
              <w:jc w:val="right"/>
            </w:pPr>
            <w:r>
              <w:rPr>
                <w:rFonts w:cs="Times New Roman"/>
              </w:rPr>
              <w:t>(2015.)</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77</w:t>
            </w:r>
          </w:p>
        </w:tc>
        <w:tc>
          <w:tcPr>
            <w:tcW w:w="1020" w:type="dxa"/>
          </w:tcPr>
          <w:p w:rsidR="00505632" w:rsidRDefault="00505632" w:rsidP="00AD4E52">
            <w:pPr>
              <w:pStyle w:val="CellColumn"/>
              <w:jc w:val="right"/>
            </w:pPr>
            <w:r>
              <w:rPr>
                <w:rFonts w:cs="Times New Roman"/>
              </w:rPr>
              <w:t xml:space="preserve">70 </w:t>
            </w:r>
          </w:p>
          <w:p w:rsidR="00505632" w:rsidRDefault="00505632" w:rsidP="00AD4E52">
            <w:pPr>
              <w:pStyle w:val="CellColumn"/>
              <w:jc w:val="right"/>
            </w:pPr>
            <w:r>
              <w:rPr>
                <w:rFonts w:cs="Times New Roman"/>
              </w:rPr>
              <w:t>(2016.)</w:t>
            </w:r>
          </w:p>
        </w:tc>
      </w:tr>
    </w:tbl>
    <w:p w:rsidR="00505632" w:rsidRDefault="00505632" w:rsidP="00505632">
      <w:pPr>
        <w:jc w:val="left"/>
      </w:pPr>
    </w:p>
    <w:p w:rsidR="00505632" w:rsidRDefault="00505632" w:rsidP="00505632">
      <w:pPr>
        <w:pStyle w:val="Heading4"/>
      </w:pPr>
      <w:r>
        <w:t>A578050 POTPORA INOVACIJSKIM PROCESIMA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A578050-POTPORA INOVACIJSKIM PROCESIMA</w:t>
            </w:r>
          </w:p>
        </w:tc>
        <w:tc>
          <w:tcPr>
            <w:tcW w:w="2041" w:type="dxa"/>
          </w:tcPr>
          <w:p w:rsidR="00505632" w:rsidRDefault="00505632" w:rsidP="00AD4E52">
            <w:pPr>
              <w:pStyle w:val="CellColumn"/>
              <w:jc w:val="right"/>
            </w:pPr>
            <w:r>
              <w:rPr>
                <w:rFonts w:cs="Times New Roman"/>
              </w:rPr>
              <w:t>1.008.451</w:t>
            </w:r>
          </w:p>
        </w:tc>
        <w:tc>
          <w:tcPr>
            <w:tcW w:w="2041" w:type="dxa"/>
          </w:tcPr>
          <w:p w:rsidR="00505632" w:rsidRDefault="00505632" w:rsidP="00AD4E52">
            <w:pPr>
              <w:pStyle w:val="CellColumn"/>
              <w:jc w:val="right"/>
            </w:pPr>
            <w:r>
              <w:rPr>
                <w:rFonts w:cs="Times New Roman"/>
              </w:rPr>
              <w:t>116.430</w:t>
            </w:r>
          </w:p>
        </w:tc>
        <w:tc>
          <w:tcPr>
            <w:tcW w:w="2041" w:type="dxa"/>
          </w:tcPr>
          <w:p w:rsidR="00505632" w:rsidRDefault="00505632" w:rsidP="00AD4E52">
            <w:pPr>
              <w:pStyle w:val="CellColumn"/>
              <w:jc w:val="right"/>
            </w:pPr>
            <w:r>
              <w:rPr>
                <w:rFonts w:cs="Times New Roman"/>
              </w:rPr>
              <w:t>69.609</w:t>
            </w:r>
          </w:p>
        </w:tc>
        <w:tc>
          <w:tcPr>
            <w:tcW w:w="1224" w:type="dxa"/>
          </w:tcPr>
          <w:p w:rsidR="00505632" w:rsidRDefault="00505632" w:rsidP="00AD4E52">
            <w:pPr>
              <w:pStyle w:val="CellColumn"/>
              <w:jc w:val="right"/>
            </w:pPr>
            <w:r>
              <w:rPr>
                <w:rFonts w:cs="Times New Roman"/>
              </w:rPr>
              <w:t>59,8</w:t>
            </w:r>
          </w:p>
        </w:tc>
        <w:tc>
          <w:tcPr>
            <w:tcW w:w="1224" w:type="dxa"/>
          </w:tcPr>
          <w:p w:rsidR="00505632" w:rsidRDefault="00505632" w:rsidP="00AD4E52">
            <w:pPr>
              <w:pStyle w:val="CellColumn"/>
              <w:jc w:val="right"/>
            </w:pPr>
            <w:r>
              <w:rPr>
                <w:rFonts w:cs="Times New Roman"/>
              </w:rPr>
              <w:t>6,9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Pravilnik o državnoj potpori za istraživačko-razvojne projekte</w:t>
      </w:r>
    </w:p>
    <w:p w:rsidR="00505632" w:rsidRDefault="00505632" w:rsidP="00505632">
      <w:pPr>
        <w:pStyle w:val="Heading8"/>
        <w:jc w:val="left"/>
      </w:pPr>
      <w:r>
        <w:t>Opis aktivnosti</w:t>
      </w:r>
    </w:p>
    <w:p w:rsidR="00505632" w:rsidRDefault="00505632" w:rsidP="00505632">
      <w:r>
        <w:t>Potpora inovacijskim procesima se odnosi na nekoliko aktivnosti koje doprinose razvoju sustava istraživanja, razvoja i inovacija, prvenstveno usmjerenih suradnju znanosti i gospodarstva.  Ministarstvo provodi mjeru dodjeljivanja državne potpore za istraživačko-razvojne projekte putem dodatnog umanjenja porezne osnovice za opravdane troškove temeljnih, primijenjenih i razvojnih istraživanja tvrtki, odnosno obveznika poreza na dobit. Sukladno izvješću Porezne uprave za 2014. godinu, više od stotinu tvrtki je ostvarilo državnu potporu za istraživačko-razvojne projekte u iznosu većem od 600.000.000 kuna. Ministarstvo je izradilo nacrt novog Programa državne potpore za istraživačko-razvojne projekte za razdoblje 2015.-2020., temeljem Zakona o znanstvenoj djelatnosti i uz usklađivanje s Uredbom o općem skupnom izuzeću (GBER). U tom smislu, financirale su se evaluacije zahtjeva za državnu potporu te rad stručnog povjerenstva te strateškog odbora za istraživačku infrastrukturu.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korisnika državne potpore za istraživačko-razvojne projekte</w:t>
            </w:r>
          </w:p>
        </w:tc>
        <w:tc>
          <w:tcPr>
            <w:tcW w:w="2551" w:type="dxa"/>
          </w:tcPr>
          <w:p w:rsidR="00505632" w:rsidRDefault="00505632" w:rsidP="00AD4E52">
            <w:pPr>
              <w:pStyle w:val="CellColumn"/>
              <w:jc w:val="left"/>
            </w:pPr>
            <w:r>
              <w:rPr>
                <w:rFonts w:cs="Times New Roman"/>
              </w:rPr>
              <w:t>Broj tvrtki koje su korisnice poreznih potpora za istraživanje i razvoj</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83 </w:t>
            </w:r>
          </w:p>
          <w:p w:rsidR="00505632" w:rsidRDefault="00505632" w:rsidP="00AD4E52">
            <w:pPr>
              <w:pStyle w:val="CellColumn"/>
              <w:jc w:val="right"/>
            </w:pPr>
            <w:r>
              <w:rPr>
                <w:rFonts w:cs="Times New Roman"/>
              </w:rPr>
              <w:t>(2013.)</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Broj patentnih prijava znanstvenih organizacija</w:t>
            </w:r>
          </w:p>
        </w:tc>
        <w:tc>
          <w:tcPr>
            <w:tcW w:w="2551" w:type="dxa"/>
          </w:tcPr>
          <w:p w:rsidR="00505632" w:rsidRDefault="00505632" w:rsidP="00AD4E52">
            <w:pPr>
              <w:pStyle w:val="CellColumn"/>
              <w:jc w:val="left"/>
            </w:pPr>
            <w:r>
              <w:rPr>
                <w:rFonts w:cs="Times New Roman"/>
              </w:rPr>
              <w:t>Broj patentnih prijava znanstvenih organizacija za patente koji će proizaći kao rezultat projekata vezanih uz transfer tehnologije</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10 </w:t>
            </w:r>
          </w:p>
          <w:p w:rsidR="00505632" w:rsidRDefault="00505632" w:rsidP="00AD4E52">
            <w:pPr>
              <w:pStyle w:val="CellColumn"/>
              <w:jc w:val="right"/>
            </w:pPr>
            <w:r>
              <w:rPr>
                <w:rFonts w:cs="Times New Roman"/>
              </w:rPr>
              <w:t>(2013.)</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12</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A621047 DRŽAVNE, AKADEMSKE NAGRADE I POTPORE U ZNANOSTI I VISOKOM ŠKOLSTVU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A621047-DRŽAVNE, AKADEMSKE NAGRADE I POTPORE U ZNANOSTI I VISOKOM ŠKOLSTVU</w:t>
            </w:r>
          </w:p>
        </w:tc>
        <w:tc>
          <w:tcPr>
            <w:tcW w:w="2041" w:type="dxa"/>
          </w:tcPr>
          <w:p w:rsidR="00505632" w:rsidRDefault="00505632" w:rsidP="00AD4E52">
            <w:pPr>
              <w:pStyle w:val="CellColumn"/>
              <w:jc w:val="right"/>
            </w:pPr>
            <w:r>
              <w:rPr>
                <w:rFonts w:cs="Times New Roman"/>
              </w:rPr>
              <w:t>1.458.537</w:t>
            </w:r>
          </w:p>
        </w:tc>
        <w:tc>
          <w:tcPr>
            <w:tcW w:w="2041" w:type="dxa"/>
          </w:tcPr>
          <w:p w:rsidR="00505632" w:rsidRDefault="00505632" w:rsidP="00AD4E52">
            <w:pPr>
              <w:pStyle w:val="CellColumn"/>
              <w:jc w:val="right"/>
            </w:pPr>
            <w:r>
              <w:rPr>
                <w:rFonts w:cs="Times New Roman"/>
              </w:rPr>
              <w:t>1.599.537</w:t>
            </w:r>
          </w:p>
        </w:tc>
        <w:tc>
          <w:tcPr>
            <w:tcW w:w="2041" w:type="dxa"/>
          </w:tcPr>
          <w:p w:rsidR="00505632" w:rsidRDefault="00505632" w:rsidP="00AD4E52">
            <w:pPr>
              <w:pStyle w:val="CellColumn"/>
              <w:jc w:val="right"/>
            </w:pPr>
            <w:r>
              <w:rPr>
                <w:rFonts w:cs="Times New Roman"/>
              </w:rPr>
              <w:t>1.223.665</w:t>
            </w:r>
          </w:p>
        </w:tc>
        <w:tc>
          <w:tcPr>
            <w:tcW w:w="1224" w:type="dxa"/>
          </w:tcPr>
          <w:p w:rsidR="00505632" w:rsidRDefault="00505632" w:rsidP="00AD4E52">
            <w:pPr>
              <w:pStyle w:val="CellColumn"/>
              <w:jc w:val="right"/>
            </w:pPr>
            <w:r>
              <w:rPr>
                <w:rFonts w:cs="Times New Roman"/>
              </w:rPr>
              <w:t>76,5</w:t>
            </w:r>
          </w:p>
        </w:tc>
        <w:tc>
          <w:tcPr>
            <w:tcW w:w="1224" w:type="dxa"/>
          </w:tcPr>
          <w:p w:rsidR="00505632" w:rsidRDefault="00505632" w:rsidP="00AD4E52">
            <w:pPr>
              <w:pStyle w:val="CellColumn"/>
              <w:jc w:val="right"/>
            </w:pPr>
            <w:r>
              <w:rPr>
                <w:rFonts w:cs="Times New Roman"/>
              </w:rPr>
              <w:t>83,9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hrvatskim državnim nagradama za znanost </w:t>
      </w:r>
    </w:p>
    <w:p w:rsidR="00505632" w:rsidRDefault="00505632" w:rsidP="00505632">
      <w:r>
        <w:t xml:space="preserve">Pravilnik o postupku podjele državnih nagrada za znanost </w:t>
      </w:r>
    </w:p>
    <w:p w:rsidR="00505632" w:rsidRDefault="00505632" w:rsidP="00505632">
      <w:r>
        <w:t>Poslovnik o radu Odbora za podjelu državnih nagrada za znanost</w:t>
      </w:r>
    </w:p>
    <w:p w:rsidR="00505632" w:rsidRDefault="00505632" w:rsidP="00505632">
      <w:pPr>
        <w:pStyle w:val="Heading8"/>
        <w:jc w:val="left"/>
      </w:pPr>
      <w:r>
        <w:t>Opis aktivnosti</w:t>
      </w:r>
    </w:p>
    <w:p w:rsidR="00505632" w:rsidRDefault="00505632" w:rsidP="00505632">
      <w:r>
        <w:t>Sredstvima s ove aktivnosti podupire se dodjela nagrada Republike Hrvatske za iznimno važna dostignuća u znanstvenoistraživačkoj djelatnosti, za proširenje znanstvenih spoznaja i za znanstvena ostvarenja u primjeni rezultata znanstvenoistraživačkog rada. Dodjeljuju se državne nagrade za životno djelo, godišnje nagrade za znanost, godišnje nagrada za popularizaciju i promidžbu znanosti i godišnje nagrade za znanstvene novake. U 2016. godini dodijeljeno je ukupno 29 nagrada. Sredstva s aktivnosti koriste se i za pokrivanje administrativnih troškova procedure vrednovanja i dodjele nagrada.</w:t>
      </w:r>
    </w:p>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popularizacijskih aktivnosti</w:t>
            </w:r>
          </w:p>
        </w:tc>
        <w:tc>
          <w:tcPr>
            <w:tcW w:w="2551" w:type="dxa"/>
          </w:tcPr>
          <w:p w:rsidR="00505632" w:rsidRDefault="00505632" w:rsidP="00AD4E52">
            <w:pPr>
              <w:pStyle w:val="CellColumn"/>
              <w:jc w:val="left"/>
            </w:pPr>
            <w:r>
              <w:rPr>
                <w:rFonts w:cs="Times New Roman"/>
              </w:rPr>
              <w:t>Broj aktivnosti koje provode znanstvene organizacije s ciljem popularizacije znanosti, tehnologije i inovacija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2.866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2.420</w:t>
            </w:r>
          </w:p>
        </w:tc>
        <w:tc>
          <w:tcPr>
            <w:tcW w:w="1020" w:type="dxa"/>
          </w:tcPr>
          <w:p w:rsidR="00505632" w:rsidRDefault="00505632" w:rsidP="00AD4E52">
            <w:pPr>
              <w:pStyle w:val="CellColumn"/>
              <w:jc w:val="right"/>
            </w:pPr>
            <w:r>
              <w:rPr>
                <w:rFonts w:cs="Times New Roman"/>
              </w:rPr>
              <w:t>6.738</w:t>
            </w:r>
          </w:p>
        </w:tc>
      </w:tr>
    </w:tbl>
    <w:p w:rsidR="00505632" w:rsidRDefault="00505632" w:rsidP="00505632">
      <w:pPr>
        <w:jc w:val="left"/>
      </w:pPr>
    </w:p>
    <w:p w:rsidR="00505632" w:rsidRDefault="00505632" w:rsidP="00505632">
      <w:pPr>
        <w:pStyle w:val="Heading4"/>
      </w:pPr>
      <w:r>
        <w:t>A621048 RAZVOJ HRVATSKE ZAKLADE ZA ZNANOST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A621048-RAZVOJ HRVATSKE ZAKLADE ZA ZNANOST</w:t>
            </w:r>
          </w:p>
        </w:tc>
        <w:tc>
          <w:tcPr>
            <w:tcW w:w="2041" w:type="dxa"/>
          </w:tcPr>
          <w:p w:rsidR="00505632" w:rsidRDefault="00505632" w:rsidP="00AD4E52">
            <w:pPr>
              <w:pStyle w:val="CellColumn"/>
              <w:jc w:val="right"/>
            </w:pPr>
            <w:r>
              <w:rPr>
                <w:rFonts w:cs="Times New Roman"/>
              </w:rPr>
              <w:t>79.000.000</w:t>
            </w:r>
          </w:p>
        </w:tc>
        <w:tc>
          <w:tcPr>
            <w:tcW w:w="2041" w:type="dxa"/>
          </w:tcPr>
          <w:p w:rsidR="00505632" w:rsidRDefault="00505632" w:rsidP="00AD4E52">
            <w:pPr>
              <w:pStyle w:val="CellColumn"/>
              <w:jc w:val="right"/>
            </w:pPr>
            <w:r>
              <w:rPr>
                <w:rFonts w:cs="Times New Roman"/>
              </w:rPr>
              <w:t>86.850.000</w:t>
            </w:r>
          </w:p>
        </w:tc>
        <w:tc>
          <w:tcPr>
            <w:tcW w:w="2041" w:type="dxa"/>
          </w:tcPr>
          <w:p w:rsidR="00505632" w:rsidRDefault="00505632" w:rsidP="00AD4E52">
            <w:pPr>
              <w:pStyle w:val="CellColumn"/>
              <w:jc w:val="right"/>
            </w:pPr>
            <w:r>
              <w:rPr>
                <w:rFonts w:cs="Times New Roman"/>
              </w:rPr>
              <w:t>86.850.000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109,9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 xml:space="preserve">Zakon o Hrvatskoj zakladi za znanost </w:t>
      </w:r>
    </w:p>
    <w:p w:rsidR="00505632" w:rsidRDefault="00505632" w:rsidP="00505632">
      <w:r>
        <w:t xml:space="preserve">Strateški plan Hrvatske zaklade za znanost 2014.-2018. </w:t>
      </w:r>
    </w:p>
    <w:p w:rsidR="00505632" w:rsidRDefault="00505632" w:rsidP="00505632">
      <w:r>
        <w:t>Strategija obrazovanja, znanosti i tehnologije 2014. - 2020.</w:t>
      </w:r>
    </w:p>
    <w:p w:rsidR="00505632" w:rsidRDefault="00505632" w:rsidP="00505632">
      <w:pPr>
        <w:pStyle w:val="Heading8"/>
        <w:jc w:val="left"/>
      </w:pPr>
      <w:r>
        <w:t>Opis aktivnosti</w:t>
      </w:r>
    </w:p>
    <w:p w:rsidR="00505632" w:rsidRDefault="00505632" w:rsidP="00505632">
      <w:r>
        <w:t xml:space="preserve">Hrvatska zaklada za znanost zauzela je središnje mjesto u financiranju znanstvenog sustava u Republici Hrvatskoj te u vrednovanju kompetitivnih znanstvenih projekata s međunarodnom kvalitetom, sukladno modelu suradničkih programa (collaborative programmes) Europske unije, pridonoseći tako podizanju kompetitivnosti i međunarodne vidljivosti hrvatske znanstvene zajednice.  </w:t>
      </w:r>
    </w:p>
    <w:p w:rsidR="00505632" w:rsidRDefault="00505632" w:rsidP="00505632">
      <w:r>
        <w:t>Putem natječaja "Istraživački projekti" i "Uspostavni istraživački projekti" financiralo se ukupno oko 431 projekt, od čega  237 projekata započetih s realizacijom 2014. godine te 194 projekata započetih s  realizacijom 2015. godine. Opravdani troškovi financiranja bili su dijelom i osnovni troškovi poslovanja Zaklade (rashodi za zaposlene, materijalni i financijski troškovi poslovanja).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2"/>
        <w:gridCol w:w="2451"/>
        <w:gridCol w:w="1259"/>
        <w:gridCol w:w="1012"/>
        <w:gridCol w:w="1007"/>
        <w:gridCol w:w="1012"/>
        <w:gridCol w:w="1013"/>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projekata ostvarenih u suradnji s hrvatskom znanstvenom dijasporom</w:t>
            </w:r>
          </w:p>
        </w:tc>
        <w:tc>
          <w:tcPr>
            <w:tcW w:w="2551" w:type="dxa"/>
          </w:tcPr>
          <w:p w:rsidR="00505632" w:rsidRDefault="00505632" w:rsidP="00AD4E52">
            <w:pPr>
              <w:pStyle w:val="CellColumn"/>
              <w:jc w:val="left"/>
            </w:pPr>
            <w:r>
              <w:rPr>
                <w:rFonts w:cs="Times New Roman"/>
              </w:rPr>
              <w:t>Broj projekata ostvarenih u suradnji s hrvatskom znanstvenom dijasporom</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17 </w:t>
            </w:r>
          </w:p>
          <w:p w:rsidR="00505632" w:rsidRDefault="00505632" w:rsidP="00AD4E52">
            <w:pPr>
              <w:pStyle w:val="CellColumn"/>
              <w:jc w:val="right"/>
            </w:pPr>
            <w:r>
              <w:rPr>
                <w:rFonts w:cs="Times New Roman"/>
              </w:rPr>
              <w:t xml:space="preserve"> (2013.)</w:t>
            </w:r>
          </w:p>
        </w:tc>
        <w:tc>
          <w:tcPr>
            <w:tcW w:w="1020" w:type="dxa"/>
          </w:tcPr>
          <w:p w:rsidR="00505632" w:rsidRDefault="00505632" w:rsidP="00AD4E52">
            <w:pPr>
              <w:pStyle w:val="CellColumn"/>
              <w:jc w:val="right"/>
            </w:pPr>
            <w:r>
              <w:rPr>
                <w:rFonts w:cs="Times New Roman"/>
              </w:rPr>
              <w:t>UKF / HRZZ</w:t>
            </w:r>
          </w:p>
        </w:tc>
        <w:tc>
          <w:tcPr>
            <w:tcW w:w="1020" w:type="dxa"/>
          </w:tcPr>
          <w:p w:rsidR="00505632" w:rsidRDefault="00505632" w:rsidP="00AD4E52">
            <w:pPr>
              <w:pStyle w:val="CellColumn"/>
              <w:jc w:val="right"/>
            </w:pPr>
            <w:r>
              <w:rPr>
                <w:rFonts w:cs="Times New Roman"/>
              </w:rPr>
              <w:t>17</w:t>
            </w:r>
          </w:p>
        </w:tc>
        <w:tc>
          <w:tcPr>
            <w:tcW w:w="1020" w:type="dxa"/>
          </w:tcPr>
          <w:p w:rsidR="00505632" w:rsidRDefault="00505632" w:rsidP="00AD4E52">
            <w:pPr>
              <w:pStyle w:val="CellColumn"/>
              <w:jc w:val="right"/>
            </w:pPr>
            <w:r>
              <w:rPr>
                <w:rFonts w:cs="Times New Roman"/>
              </w:rPr>
              <w:t>9</w:t>
            </w:r>
          </w:p>
        </w:tc>
      </w:tr>
      <w:tr w:rsidR="00505632" w:rsidTr="00AD4E52">
        <w:trPr>
          <w:jc w:val="center"/>
        </w:trPr>
        <w:tc>
          <w:tcPr>
            <w:tcW w:w="2551" w:type="dxa"/>
          </w:tcPr>
          <w:p w:rsidR="00505632" w:rsidRDefault="00505632" w:rsidP="00AD4E52">
            <w:pPr>
              <w:pStyle w:val="CellColumn"/>
              <w:jc w:val="left"/>
            </w:pPr>
            <w:r>
              <w:rPr>
                <w:rFonts w:cs="Times New Roman"/>
              </w:rPr>
              <w:t>Broj znanstvenih projekata koje financira Hrvatska zaklada za znanost</w:t>
            </w:r>
          </w:p>
        </w:tc>
        <w:tc>
          <w:tcPr>
            <w:tcW w:w="2551" w:type="dxa"/>
          </w:tcPr>
          <w:p w:rsidR="00505632" w:rsidRDefault="00505632" w:rsidP="00AD4E52">
            <w:pPr>
              <w:pStyle w:val="CellColumn"/>
              <w:jc w:val="left"/>
            </w:pPr>
            <w:r>
              <w:rPr>
                <w:rFonts w:cs="Times New Roman"/>
              </w:rPr>
              <w:t>Broj znanstvenih projekata koje financira Hrvatska zaklada za znanost</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 xml:space="preserve">237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HRZZ</w:t>
            </w:r>
          </w:p>
        </w:tc>
        <w:tc>
          <w:tcPr>
            <w:tcW w:w="1020" w:type="dxa"/>
          </w:tcPr>
          <w:p w:rsidR="00505632" w:rsidRDefault="00505632" w:rsidP="00AD4E52">
            <w:pPr>
              <w:pStyle w:val="CellColumn"/>
              <w:jc w:val="right"/>
            </w:pPr>
            <w:r>
              <w:rPr>
                <w:rFonts w:cs="Times New Roman"/>
              </w:rPr>
              <w:t>500</w:t>
            </w:r>
          </w:p>
        </w:tc>
        <w:tc>
          <w:tcPr>
            <w:tcW w:w="1020" w:type="dxa"/>
          </w:tcPr>
          <w:p w:rsidR="00505632" w:rsidRDefault="00505632" w:rsidP="00AD4E52">
            <w:pPr>
              <w:pStyle w:val="CellColumn"/>
              <w:jc w:val="right"/>
            </w:pPr>
            <w:r>
              <w:rPr>
                <w:rFonts w:cs="Times New Roman"/>
              </w:rPr>
              <w:t>431</w:t>
            </w:r>
          </w:p>
        </w:tc>
      </w:tr>
    </w:tbl>
    <w:p w:rsidR="00505632" w:rsidRDefault="00505632" w:rsidP="00505632">
      <w:pPr>
        <w:jc w:val="left"/>
      </w:pPr>
    </w:p>
    <w:p w:rsidR="00505632" w:rsidRDefault="00505632" w:rsidP="00505632">
      <w:pPr>
        <w:pStyle w:val="Heading4"/>
      </w:pPr>
      <w:r>
        <w:t>A622002 PROGRAM USAVRŠAVANJA ZNANSTVENIH NOVAKA</w:t>
      </w:r>
    </w:p>
    <w:tbl>
      <w:tblPr>
        <w:tblStyle w:val="StilTablice"/>
        <w:tblW w:w="10206" w:type="dxa"/>
        <w:jc w:val="center"/>
        <w:tblLook w:val="04A0" w:firstRow="1" w:lastRow="0" w:firstColumn="1" w:lastColumn="0" w:noHBand="0" w:noVBand="1"/>
      </w:tblPr>
      <w:tblGrid>
        <w:gridCol w:w="1704"/>
        <w:gridCol w:w="2022"/>
        <w:gridCol w:w="2020"/>
        <w:gridCol w:w="2020"/>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A622002-PROGRAM USAVRŠAVANJA ZNANSTVENIH NOVAKA</w:t>
            </w:r>
          </w:p>
        </w:tc>
        <w:tc>
          <w:tcPr>
            <w:tcW w:w="2041" w:type="dxa"/>
          </w:tcPr>
          <w:p w:rsidR="00505632" w:rsidRDefault="00505632" w:rsidP="00AD4E52">
            <w:pPr>
              <w:pStyle w:val="CellColumn"/>
              <w:jc w:val="right"/>
            </w:pPr>
            <w:r>
              <w:rPr>
                <w:rFonts w:cs="Times New Roman"/>
              </w:rPr>
              <w:t>212.409.928</w:t>
            </w:r>
          </w:p>
        </w:tc>
        <w:tc>
          <w:tcPr>
            <w:tcW w:w="2041" w:type="dxa"/>
          </w:tcPr>
          <w:p w:rsidR="00505632" w:rsidRDefault="00505632" w:rsidP="00AD4E52">
            <w:pPr>
              <w:pStyle w:val="CellColumn"/>
              <w:jc w:val="right"/>
            </w:pPr>
            <w:r>
              <w:rPr>
                <w:rFonts w:cs="Times New Roman"/>
              </w:rPr>
              <w:t>41.270.551</w:t>
            </w:r>
          </w:p>
        </w:tc>
        <w:tc>
          <w:tcPr>
            <w:tcW w:w="2041" w:type="dxa"/>
          </w:tcPr>
          <w:p w:rsidR="00505632" w:rsidRDefault="00505632" w:rsidP="00AD4E52">
            <w:pPr>
              <w:pStyle w:val="CellColumn"/>
              <w:jc w:val="right"/>
            </w:pPr>
            <w:r>
              <w:rPr>
                <w:rFonts w:cs="Times New Roman"/>
              </w:rPr>
              <w:t>41.233.331</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19,4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znanstvenoj djelatnosti i visokom obrazovanju</w:t>
      </w:r>
    </w:p>
    <w:p w:rsidR="00505632" w:rsidRDefault="00505632" w:rsidP="00505632">
      <w:pPr>
        <w:pStyle w:val="Heading8"/>
        <w:jc w:val="left"/>
      </w:pPr>
      <w:r>
        <w:t>Opis aktivnosti</w:t>
      </w:r>
    </w:p>
    <w:p w:rsidR="00505632" w:rsidRDefault="00505632" w:rsidP="00505632">
      <w:r>
        <w:t>Kroz ovaj program ostvaruje se financiranje znanstvenih novaka asistenata i poslijedoktoranada  njihovim radom na javnim znanstvenim institutima i drugim znanstvenoistraživačkim pravnim osobama u svrhu rada na projektima i stjecanja doktorata znanosti. Ovim programom financirane su plaće i ostali rashodi za zaposlenike znanstvene novake kojih je na 31.12.2016. godine u sustavu u sklopu navedenih ustanova bilo 285. U 2016. godini iz sustava potpore su izašla 82 znanstvena novaka, a što će se nastaviti i u narednom razdoblju. I tijekom 2016. godine Ministarstvo je  provodilo mjeru zapošljavanja mladih znanstvenika kroz razvojne koeficijente na javnim znanstvenim institutima, čime su preusmjeravanjem oslobođenih koeficijenata zbog odlaska znanstvenih novaka iz sustava u nova razvojna radna mjesta javni znanstveni instituti preuzeli veću odgovornost za kontinuiranu kadrovsku obnovu, uravnoteženi kadrovski razvoj i poštovanje piramidalnoga sustava napredovanja.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novih doktora znanosti iz područja prirodnih, tehničkih i biotehničkih znanosti</w:t>
            </w:r>
          </w:p>
        </w:tc>
        <w:tc>
          <w:tcPr>
            <w:tcW w:w="2551" w:type="dxa"/>
          </w:tcPr>
          <w:p w:rsidR="00505632" w:rsidRDefault="00505632" w:rsidP="00AD4E52">
            <w:pPr>
              <w:pStyle w:val="CellColumn"/>
              <w:jc w:val="left"/>
            </w:pPr>
            <w:r>
              <w:rPr>
                <w:rFonts w:cs="Times New Roman"/>
              </w:rPr>
              <w:t>Broj osoba koje su u referentnoj godini stekle doktorat znanosti iz područja prirodnih, tehničkih i biotehničkih znanosti</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308 </w:t>
            </w:r>
          </w:p>
          <w:p w:rsidR="00505632" w:rsidRDefault="00505632" w:rsidP="00AD4E52">
            <w:pPr>
              <w:pStyle w:val="CellColumn"/>
              <w:jc w:val="right"/>
            </w:pPr>
            <w:r>
              <w:rPr>
                <w:rFonts w:cs="Times New Roman"/>
              </w:rPr>
              <w:t>(2013.)</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360</w:t>
            </w:r>
          </w:p>
        </w:tc>
        <w:tc>
          <w:tcPr>
            <w:tcW w:w="1020" w:type="dxa"/>
          </w:tcPr>
          <w:p w:rsidR="00505632" w:rsidRDefault="00505632" w:rsidP="00AD4E52">
            <w:pPr>
              <w:pStyle w:val="CellColumn"/>
              <w:jc w:val="right"/>
            </w:pPr>
            <w:r>
              <w:rPr>
                <w:rFonts w:cs="Times New Roman"/>
              </w:rPr>
              <w:t xml:space="preserve">359 </w:t>
            </w:r>
          </w:p>
          <w:p w:rsidR="00505632" w:rsidRDefault="00505632" w:rsidP="00AD4E52">
            <w:pPr>
              <w:pStyle w:val="CellColumn"/>
              <w:jc w:val="right"/>
            </w:pPr>
            <w:r>
              <w:rPr>
                <w:rFonts w:cs="Times New Roman"/>
              </w:rPr>
              <w:t>(2015.)</w:t>
            </w:r>
          </w:p>
        </w:tc>
      </w:tr>
      <w:tr w:rsidR="00505632" w:rsidTr="00AD4E52">
        <w:trPr>
          <w:jc w:val="center"/>
        </w:trPr>
        <w:tc>
          <w:tcPr>
            <w:tcW w:w="2551" w:type="dxa"/>
          </w:tcPr>
          <w:p w:rsidR="00505632" w:rsidRDefault="00505632" w:rsidP="00AD4E52">
            <w:pPr>
              <w:pStyle w:val="CellColumn"/>
              <w:jc w:val="left"/>
            </w:pPr>
            <w:r>
              <w:rPr>
                <w:rFonts w:cs="Times New Roman"/>
              </w:rPr>
              <w:t>Udio novih djelatnika iz područja prirodnih, tehničkih i biotehničkih znanosti u sustavu znanosti u ukupnom broju novih djelatnika u sustavu</w:t>
            </w:r>
          </w:p>
        </w:tc>
        <w:tc>
          <w:tcPr>
            <w:tcW w:w="2551" w:type="dxa"/>
          </w:tcPr>
          <w:p w:rsidR="00505632" w:rsidRDefault="00505632" w:rsidP="00AD4E52">
            <w:pPr>
              <w:pStyle w:val="CellColumn"/>
              <w:jc w:val="left"/>
            </w:pPr>
            <w:r>
              <w:rPr>
                <w:rFonts w:cs="Times New Roman"/>
              </w:rPr>
              <w:t>Udio novih djelatnika iz područja prirodnih, tehničkih i biotehničkih u sustavu znanosti u ukupnom broju novih djelatnika zaposlenih u sustavu znanosti</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 xml:space="preserve">72 </w:t>
            </w:r>
          </w:p>
          <w:p w:rsidR="00505632" w:rsidRDefault="00505632" w:rsidP="00AD4E52">
            <w:pPr>
              <w:pStyle w:val="CellColumn"/>
              <w:jc w:val="right"/>
            </w:pPr>
            <w:r>
              <w:rPr>
                <w:rFonts w:cs="Times New Roman"/>
              </w:rPr>
              <w:t>(2015.)</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77</w:t>
            </w:r>
          </w:p>
        </w:tc>
        <w:tc>
          <w:tcPr>
            <w:tcW w:w="1020" w:type="dxa"/>
          </w:tcPr>
          <w:p w:rsidR="00505632" w:rsidRDefault="00505632" w:rsidP="00AD4E52">
            <w:pPr>
              <w:pStyle w:val="CellColumn"/>
              <w:jc w:val="right"/>
            </w:pPr>
            <w:r>
              <w:rPr>
                <w:rFonts w:cs="Times New Roman"/>
              </w:rPr>
              <w:t>70</w:t>
            </w:r>
          </w:p>
        </w:tc>
      </w:tr>
    </w:tbl>
    <w:p w:rsidR="00505632" w:rsidRDefault="00505632" w:rsidP="00505632">
      <w:pPr>
        <w:jc w:val="left"/>
      </w:pPr>
    </w:p>
    <w:p w:rsidR="00505632" w:rsidRDefault="00505632" w:rsidP="00505632">
      <w:pPr>
        <w:pStyle w:val="Heading4"/>
      </w:pPr>
      <w:r>
        <w:t>A622003 UGOVORNO FINANCIRANJE ZNANSTVENE DJELATNOSTI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A622003-UGOVORNO FINANCIRANJE ZNANSTVENE DJELATNOSTI</w:t>
            </w:r>
          </w:p>
        </w:tc>
        <w:tc>
          <w:tcPr>
            <w:tcW w:w="2041" w:type="dxa"/>
          </w:tcPr>
          <w:p w:rsidR="00505632" w:rsidRDefault="00505632" w:rsidP="00AD4E52">
            <w:pPr>
              <w:pStyle w:val="CellColumn"/>
              <w:jc w:val="right"/>
            </w:pPr>
            <w:r>
              <w:rPr>
                <w:rFonts w:cs="Times New Roman"/>
              </w:rPr>
              <w:t>50.000.000</w:t>
            </w:r>
          </w:p>
        </w:tc>
        <w:tc>
          <w:tcPr>
            <w:tcW w:w="2041" w:type="dxa"/>
          </w:tcPr>
          <w:p w:rsidR="00505632" w:rsidRDefault="00505632" w:rsidP="00AD4E52">
            <w:pPr>
              <w:pStyle w:val="CellColumn"/>
              <w:jc w:val="right"/>
            </w:pPr>
            <w:r>
              <w:rPr>
                <w:rFonts w:cs="Times New Roman"/>
              </w:rPr>
              <w:t>50.000.000</w:t>
            </w:r>
          </w:p>
        </w:tc>
        <w:tc>
          <w:tcPr>
            <w:tcW w:w="2041" w:type="dxa"/>
          </w:tcPr>
          <w:p w:rsidR="00505632" w:rsidRDefault="00505632" w:rsidP="00AD4E52">
            <w:pPr>
              <w:pStyle w:val="CellColumn"/>
              <w:jc w:val="right"/>
            </w:pPr>
            <w:r>
              <w:rPr>
                <w:rFonts w:cs="Times New Roman"/>
              </w:rPr>
              <w:t>50.000.000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Strategija obrazovanja, znanosti i tehnologije 2014. - 2020.</w:t>
      </w:r>
    </w:p>
    <w:p w:rsidR="00505632" w:rsidRDefault="00505632" w:rsidP="00505632">
      <w:pPr>
        <w:pStyle w:val="Heading8"/>
        <w:jc w:val="left"/>
      </w:pPr>
      <w:r>
        <w:t>Opis aktivnosti</w:t>
      </w:r>
    </w:p>
    <w:p w:rsidR="00505632" w:rsidRDefault="00505632" w:rsidP="00505632">
      <w:r>
        <w:t>Razvojem i implementacijom modela namjenskog institucijskog financiranja znanstvene djelatnosti javnih znanstvenih instituta i javnih sveučilišta stavljen je dodatan naglasak na odgovornost ustanova za njihovo financijsko poslovanje i raspolaganje sredstvima Državnog proračuna, potiče se uspostava kontinuiranog procesa kratkoročnog, srednjoročnog i dugoročnog strateškog planiranja, kroz izradu strategije razvoja znanstvene ustanove, te se omogućava orijentacija znanstvenih istraživanja prema društvenim i gospodarskim prioritetima. Također, razvija se temelj za uvođenje cjelovitih programskih ugovora. Predloženim modelom financiranja znanstvene djelatnosti omogućuje se sustavno praćenje znanstvene djelatnosti u skladu s dogovorenim pokazateljima te dodjela financijskih sredstava u skladu s ostvarenim rezultatima provedbe dogovorenih pokazatelja znanstvene djelatnosti na 25 javnih znanstvenih instituta i 8 javnih sveučilišta. Doznačenim financijskim sredstvima namjenski su se mogle financirati potrebe vezane uz razvoj znanstvene djelatnosti, poput nabavke sitne i srednje znanstvene opreme, diseminacije istraživačkih rezultata, aktivnosti popularizacije znanosti te mobilnosti istraživača.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znanstvenih radova objavljenih u bazi Web of Science</w:t>
            </w:r>
          </w:p>
        </w:tc>
        <w:tc>
          <w:tcPr>
            <w:tcW w:w="2551" w:type="dxa"/>
          </w:tcPr>
          <w:p w:rsidR="00505632" w:rsidRDefault="00505632" w:rsidP="00AD4E52">
            <w:pPr>
              <w:pStyle w:val="CellColumn"/>
              <w:jc w:val="left"/>
            </w:pPr>
            <w:r>
              <w:rPr>
                <w:rFonts w:cs="Times New Roman"/>
              </w:rPr>
              <w:t>Broj znanstvenih radova objavljenih u časopisima u bazi Web of Science</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3.720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3.800</w:t>
            </w:r>
          </w:p>
        </w:tc>
        <w:tc>
          <w:tcPr>
            <w:tcW w:w="1020" w:type="dxa"/>
          </w:tcPr>
          <w:p w:rsidR="00505632" w:rsidRDefault="00505632" w:rsidP="00AD4E52">
            <w:pPr>
              <w:pStyle w:val="CellColumn"/>
              <w:jc w:val="right"/>
            </w:pPr>
            <w:r>
              <w:rPr>
                <w:rFonts w:cs="Times New Roman"/>
              </w:rPr>
              <w:t>4.559</w:t>
            </w:r>
          </w:p>
        </w:tc>
      </w:tr>
      <w:tr w:rsidR="00505632" w:rsidTr="00AD4E52">
        <w:trPr>
          <w:jc w:val="center"/>
        </w:trPr>
        <w:tc>
          <w:tcPr>
            <w:tcW w:w="2551" w:type="dxa"/>
          </w:tcPr>
          <w:p w:rsidR="00505632" w:rsidRDefault="00505632" w:rsidP="00AD4E52">
            <w:pPr>
              <w:pStyle w:val="CellColumn"/>
              <w:jc w:val="left"/>
            </w:pPr>
            <w:r>
              <w:rPr>
                <w:rFonts w:cs="Times New Roman"/>
              </w:rPr>
              <w:t>Citiranost znanstvenih radova objavljenih u bazi Web od Science</w:t>
            </w:r>
          </w:p>
        </w:tc>
        <w:tc>
          <w:tcPr>
            <w:tcW w:w="2551" w:type="dxa"/>
          </w:tcPr>
          <w:p w:rsidR="00505632" w:rsidRDefault="00505632" w:rsidP="00AD4E52">
            <w:pPr>
              <w:pStyle w:val="CellColumn"/>
              <w:jc w:val="left"/>
            </w:pPr>
            <w:r>
              <w:rPr>
                <w:rFonts w:cs="Times New Roman"/>
              </w:rPr>
              <w:t>Broj citiranosti znanstvenih radova objavljenih u bazi Web od Science</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69.521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75.000</w:t>
            </w:r>
          </w:p>
        </w:tc>
        <w:tc>
          <w:tcPr>
            <w:tcW w:w="1020" w:type="dxa"/>
          </w:tcPr>
          <w:p w:rsidR="00505632" w:rsidRDefault="00505632" w:rsidP="00AD4E52">
            <w:pPr>
              <w:pStyle w:val="CellColumn"/>
              <w:jc w:val="right"/>
            </w:pPr>
            <w:r>
              <w:rPr>
                <w:rFonts w:cs="Times New Roman"/>
              </w:rPr>
              <w:t>81.204</w:t>
            </w:r>
          </w:p>
        </w:tc>
      </w:tr>
    </w:tbl>
    <w:p w:rsidR="00505632" w:rsidRDefault="00505632" w:rsidP="00505632">
      <w:pPr>
        <w:jc w:val="left"/>
      </w:pPr>
    </w:p>
    <w:p w:rsidR="00505632" w:rsidRDefault="00505632" w:rsidP="00505632">
      <w:pPr>
        <w:pStyle w:val="Heading4"/>
      </w:pPr>
      <w:r>
        <w:t>A622004 IZDAVANJE DOMAĆIH ZNANSTVENIH ČASOPISA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A622004-IZDAVANJE DOMAĆIH ZNANSTVENIH ČASOPISA</w:t>
            </w:r>
          </w:p>
        </w:tc>
        <w:tc>
          <w:tcPr>
            <w:tcW w:w="2041" w:type="dxa"/>
          </w:tcPr>
          <w:p w:rsidR="00505632" w:rsidRDefault="00505632" w:rsidP="00AD4E52">
            <w:pPr>
              <w:pStyle w:val="CellColumn"/>
              <w:jc w:val="right"/>
            </w:pPr>
            <w:r>
              <w:rPr>
                <w:rFonts w:cs="Times New Roman"/>
              </w:rPr>
              <w:t>13.280.127</w:t>
            </w:r>
          </w:p>
        </w:tc>
        <w:tc>
          <w:tcPr>
            <w:tcW w:w="2041" w:type="dxa"/>
          </w:tcPr>
          <w:p w:rsidR="00505632" w:rsidRDefault="00505632" w:rsidP="00AD4E52">
            <w:pPr>
              <w:pStyle w:val="CellColumn"/>
              <w:jc w:val="right"/>
            </w:pPr>
            <w:r>
              <w:rPr>
                <w:rFonts w:cs="Times New Roman"/>
              </w:rPr>
              <w:t>10.276.843</w:t>
            </w:r>
          </w:p>
        </w:tc>
        <w:tc>
          <w:tcPr>
            <w:tcW w:w="2041" w:type="dxa"/>
          </w:tcPr>
          <w:p w:rsidR="00505632" w:rsidRDefault="00505632" w:rsidP="00AD4E52">
            <w:pPr>
              <w:pStyle w:val="CellColumn"/>
              <w:jc w:val="right"/>
            </w:pPr>
            <w:r>
              <w:rPr>
                <w:rFonts w:cs="Times New Roman"/>
              </w:rPr>
              <w:t>10.089.013</w:t>
            </w:r>
          </w:p>
        </w:tc>
        <w:tc>
          <w:tcPr>
            <w:tcW w:w="1224" w:type="dxa"/>
          </w:tcPr>
          <w:p w:rsidR="00505632" w:rsidRDefault="00505632" w:rsidP="00AD4E52">
            <w:pPr>
              <w:pStyle w:val="CellColumn"/>
              <w:jc w:val="right"/>
            </w:pPr>
            <w:r>
              <w:rPr>
                <w:rFonts w:cs="Times New Roman"/>
              </w:rPr>
              <w:t>98,2</w:t>
            </w:r>
          </w:p>
        </w:tc>
        <w:tc>
          <w:tcPr>
            <w:tcW w:w="1224" w:type="dxa"/>
          </w:tcPr>
          <w:p w:rsidR="00505632" w:rsidRDefault="00505632" w:rsidP="00AD4E52">
            <w:pPr>
              <w:pStyle w:val="CellColumn"/>
              <w:jc w:val="right"/>
            </w:pPr>
            <w:r>
              <w:rPr>
                <w:rFonts w:cs="Times New Roman"/>
              </w:rPr>
              <w:t>76,0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Pravilnik o uvjetima za izbor u znanstvena zvanja</w:t>
      </w:r>
    </w:p>
    <w:p w:rsidR="00505632" w:rsidRDefault="00505632" w:rsidP="00505632">
      <w:pPr>
        <w:pStyle w:val="Heading8"/>
        <w:jc w:val="left"/>
      </w:pPr>
      <w:r>
        <w:t>Opis aktivnosti</w:t>
      </w:r>
    </w:p>
    <w:p w:rsidR="00505632" w:rsidRDefault="00505632" w:rsidP="00505632">
      <w:r>
        <w:t>Korisnici financijske potpore koja se realizira putem javnog poziva i kojom se sufinancira izdavanje znanstvenih časopisa i časopisa za popularizaciju znanosti  su ustanove u sustavu znanosti i visokog obrazovanja, udruge te trgovačka društva registrirana za izdavačku (nakladničku) djelatnost. Objavljivanje znanstvenih i stručnih radova  u znanstvenim časopisima od iznimne je važnosti za akademsku i znanstvenu zajednicu te je isto znanstvenicima obveza za napredovanja u znanstvenim zvanjima. U 2016. godini sufinancirano je 175 časopisa, a sredstva su utrošena i na financiranje rada stručnog povjerenstva koje je radilo na vrednovanju ukupno 219 zahtjeva za časopise te 512 zahtjeva za knjige.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popularizacijskih aktivnosti</w:t>
            </w:r>
          </w:p>
        </w:tc>
        <w:tc>
          <w:tcPr>
            <w:tcW w:w="2551" w:type="dxa"/>
          </w:tcPr>
          <w:p w:rsidR="00505632" w:rsidRDefault="00505632" w:rsidP="00AD4E52">
            <w:pPr>
              <w:pStyle w:val="CellColumn"/>
              <w:jc w:val="left"/>
            </w:pPr>
            <w:r>
              <w:rPr>
                <w:rFonts w:cs="Times New Roman"/>
              </w:rPr>
              <w:t>Broj aktivnosti koje provode znanstvene organizacije s ciljem popularizacije znanosti, tehnologije i inovacija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2.866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2.420</w:t>
            </w:r>
          </w:p>
        </w:tc>
        <w:tc>
          <w:tcPr>
            <w:tcW w:w="1020" w:type="dxa"/>
          </w:tcPr>
          <w:p w:rsidR="00505632" w:rsidRDefault="00505632" w:rsidP="00AD4E52">
            <w:pPr>
              <w:pStyle w:val="CellColumn"/>
              <w:jc w:val="right"/>
            </w:pPr>
            <w:r>
              <w:rPr>
                <w:rFonts w:cs="Times New Roman"/>
              </w:rPr>
              <w:t>6.738</w:t>
            </w:r>
          </w:p>
        </w:tc>
      </w:tr>
    </w:tbl>
    <w:p w:rsidR="00505632" w:rsidRDefault="00505632" w:rsidP="00505632">
      <w:pPr>
        <w:jc w:val="left"/>
      </w:pPr>
    </w:p>
    <w:p w:rsidR="00505632" w:rsidRDefault="00505632" w:rsidP="00505632">
      <w:pPr>
        <w:pStyle w:val="Heading4"/>
      </w:pPr>
      <w:r>
        <w:t>A622005 ORGANIZIRANJE I ODRŽAVANJE ZNANSTVENIH SKUPOVA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A622005-ORGANIZIRANJE I ODRŽAVANJE ZNANSTVENIH SKUPOVA</w:t>
            </w:r>
          </w:p>
        </w:tc>
        <w:tc>
          <w:tcPr>
            <w:tcW w:w="2041" w:type="dxa"/>
          </w:tcPr>
          <w:p w:rsidR="00505632" w:rsidRDefault="00505632" w:rsidP="00AD4E52">
            <w:pPr>
              <w:pStyle w:val="CellColumn"/>
              <w:jc w:val="right"/>
            </w:pPr>
            <w:r>
              <w:rPr>
                <w:rFonts w:cs="Times New Roman"/>
              </w:rPr>
              <w:t>1.826.699</w:t>
            </w:r>
          </w:p>
        </w:tc>
        <w:tc>
          <w:tcPr>
            <w:tcW w:w="2041" w:type="dxa"/>
          </w:tcPr>
          <w:p w:rsidR="00505632" w:rsidRDefault="00505632" w:rsidP="00AD4E52">
            <w:pPr>
              <w:pStyle w:val="CellColumn"/>
              <w:jc w:val="right"/>
            </w:pPr>
            <w:r>
              <w:rPr>
                <w:rFonts w:cs="Times New Roman"/>
              </w:rPr>
              <w:t>1.837.689</w:t>
            </w:r>
          </w:p>
        </w:tc>
        <w:tc>
          <w:tcPr>
            <w:tcW w:w="2041" w:type="dxa"/>
          </w:tcPr>
          <w:p w:rsidR="00505632" w:rsidRDefault="00505632" w:rsidP="00AD4E52">
            <w:pPr>
              <w:pStyle w:val="CellColumn"/>
              <w:jc w:val="right"/>
            </w:pPr>
            <w:r>
              <w:rPr>
                <w:rFonts w:cs="Times New Roman"/>
              </w:rPr>
              <w:t>1.798.117</w:t>
            </w:r>
          </w:p>
        </w:tc>
        <w:tc>
          <w:tcPr>
            <w:tcW w:w="1224" w:type="dxa"/>
          </w:tcPr>
          <w:p w:rsidR="00505632" w:rsidRDefault="00505632" w:rsidP="00AD4E52">
            <w:pPr>
              <w:pStyle w:val="CellColumn"/>
              <w:jc w:val="right"/>
            </w:pPr>
            <w:r>
              <w:rPr>
                <w:rFonts w:cs="Times New Roman"/>
              </w:rPr>
              <w:t>97,8</w:t>
            </w:r>
          </w:p>
        </w:tc>
        <w:tc>
          <w:tcPr>
            <w:tcW w:w="1224" w:type="dxa"/>
          </w:tcPr>
          <w:p w:rsidR="00505632" w:rsidRDefault="00505632" w:rsidP="00AD4E52">
            <w:pPr>
              <w:pStyle w:val="CellColumn"/>
              <w:jc w:val="right"/>
            </w:pPr>
            <w:r>
              <w:rPr>
                <w:rFonts w:cs="Times New Roman"/>
              </w:rPr>
              <w:t>98,4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znanstvenoj djelatnosti i visokom obrazovanju</w:t>
      </w:r>
    </w:p>
    <w:p w:rsidR="00505632" w:rsidRDefault="00505632" w:rsidP="00505632">
      <w:pPr>
        <w:pStyle w:val="Heading8"/>
        <w:jc w:val="left"/>
      </w:pPr>
      <w:r>
        <w:t>Opis aktivnosti</w:t>
      </w:r>
    </w:p>
    <w:p w:rsidR="00505632" w:rsidRDefault="00505632" w:rsidP="00505632">
      <w:r>
        <w:t>Financijskom potporom za organiziranje i održavanje znanstvenih skupova i škola, na temelju javnog poziva, podupiru se troškovi organizacije i održavanja (tiskanje poziva, obavijesti i programa, najam dvorane i opreme, troškovi pozvanih izlaganja, tiskanje zbornika radova) znanstvenih i znanstvenostručnih konferencija, seminara i skupova, te znanstvenih škola, a koje provode ustanove u sustavu znanosti i obrazovanja te znanstvene i znanstvenostručne udruge. Financijska potpora dodjeljuje se na temelju objavljenog javnog poziva. U 2016. godini sufinancirana je organizacija 149 skupova i škola, a sredstva su utrošena i na financiranje rada stručnog povjerenstva koje je radilo na vrednovanju ukupno 207 pristiglih zahtjeva za skupove i škole, 77 zahtjeva za udruge te 58 zahtjeva za financiranje programa popularizacije znanosti.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popularizacijskih aktivnosti</w:t>
            </w:r>
          </w:p>
        </w:tc>
        <w:tc>
          <w:tcPr>
            <w:tcW w:w="2551" w:type="dxa"/>
          </w:tcPr>
          <w:p w:rsidR="00505632" w:rsidRDefault="00505632" w:rsidP="00AD4E52">
            <w:pPr>
              <w:pStyle w:val="CellColumn"/>
              <w:jc w:val="left"/>
            </w:pPr>
            <w:r>
              <w:rPr>
                <w:rFonts w:cs="Times New Roman"/>
              </w:rPr>
              <w:t>Broj aktivnosti koje provode znanstvene organizacije s ciljem popularizacije znanosti, tehnologije i inovacija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2.866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2.420</w:t>
            </w:r>
          </w:p>
        </w:tc>
        <w:tc>
          <w:tcPr>
            <w:tcW w:w="1020" w:type="dxa"/>
          </w:tcPr>
          <w:p w:rsidR="00505632" w:rsidRDefault="00505632" w:rsidP="00AD4E52">
            <w:pPr>
              <w:pStyle w:val="CellColumn"/>
              <w:jc w:val="right"/>
            </w:pPr>
            <w:r>
              <w:rPr>
                <w:rFonts w:cs="Times New Roman"/>
              </w:rPr>
              <w:t>6.738</w:t>
            </w:r>
          </w:p>
        </w:tc>
      </w:tr>
    </w:tbl>
    <w:p w:rsidR="00505632" w:rsidRDefault="00505632" w:rsidP="00505632">
      <w:pPr>
        <w:jc w:val="left"/>
      </w:pPr>
    </w:p>
    <w:p w:rsidR="00505632" w:rsidRDefault="00505632" w:rsidP="00505632">
      <w:pPr>
        <w:pStyle w:val="Heading4"/>
      </w:pPr>
      <w:r>
        <w:t>A622006 IZDAVANJE  ZNANSTVENIH KNJIGA I UDŽBENIKA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A622006-IZDAVANJE  ZNANSTVENIH KNJIGA I UDŽBENIKA</w:t>
            </w:r>
          </w:p>
        </w:tc>
        <w:tc>
          <w:tcPr>
            <w:tcW w:w="2041" w:type="dxa"/>
          </w:tcPr>
          <w:p w:rsidR="00505632" w:rsidRDefault="00505632" w:rsidP="00AD4E52">
            <w:pPr>
              <w:pStyle w:val="CellColumn"/>
              <w:jc w:val="right"/>
            </w:pPr>
            <w:r>
              <w:rPr>
                <w:rFonts w:cs="Times New Roman"/>
              </w:rPr>
              <w:t>12.317.020</w:t>
            </w:r>
          </w:p>
        </w:tc>
        <w:tc>
          <w:tcPr>
            <w:tcW w:w="2041" w:type="dxa"/>
          </w:tcPr>
          <w:p w:rsidR="00505632" w:rsidRDefault="00505632" w:rsidP="00AD4E52">
            <w:pPr>
              <w:pStyle w:val="CellColumn"/>
              <w:jc w:val="right"/>
            </w:pPr>
            <w:r>
              <w:rPr>
                <w:rFonts w:cs="Times New Roman"/>
              </w:rPr>
              <w:t>10.391.222</w:t>
            </w:r>
          </w:p>
        </w:tc>
        <w:tc>
          <w:tcPr>
            <w:tcW w:w="2041" w:type="dxa"/>
          </w:tcPr>
          <w:p w:rsidR="00505632" w:rsidRDefault="00505632" w:rsidP="00AD4E52">
            <w:pPr>
              <w:pStyle w:val="CellColumn"/>
              <w:jc w:val="right"/>
            </w:pPr>
            <w:r>
              <w:rPr>
                <w:rFonts w:cs="Times New Roman"/>
              </w:rPr>
              <w:t>10.391.222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84,4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znanstvenoj djelatnosti i visokom obrazovanju</w:t>
      </w:r>
    </w:p>
    <w:p w:rsidR="00505632" w:rsidRDefault="00505632" w:rsidP="00505632">
      <w:pPr>
        <w:pStyle w:val="Heading8"/>
        <w:jc w:val="left"/>
      </w:pPr>
      <w:r>
        <w:t>Opis aktivnosti</w:t>
      </w:r>
    </w:p>
    <w:p w:rsidR="00505632" w:rsidRDefault="00505632" w:rsidP="00505632">
      <w:r>
        <w:t>Korisnici ove financijske potpore, temeljem javnog poziva, su ustanove u sustavu znanosti i visokog obrazovanja, znanstvene i znanstvenostručne udruge, kao i trgovačka društva registrirana za izdavačku (nakladničku) djelatnost, a kojima se temeljem vrednovanja sufinancira izdavanje znanstvenih knjiga i visokoškolskih udžbenika. Objavljivanje znanstvenih knjiga i visokoškolskih udžbenika od velike je važnosti kao osnovni alat znanstvenoj i akademskoj zajednici u obavljanju znanstvene i znanstveno - nastavne djelatnosti. U 2016. godini za sufinanciranje je odabrano 484 naslova.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popularizacijskih aktivnosti</w:t>
            </w:r>
          </w:p>
        </w:tc>
        <w:tc>
          <w:tcPr>
            <w:tcW w:w="2551" w:type="dxa"/>
          </w:tcPr>
          <w:p w:rsidR="00505632" w:rsidRDefault="00505632" w:rsidP="00AD4E52">
            <w:pPr>
              <w:pStyle w:val="CellColumn"/>
              <w:jc w:val="left"/>
            </w:pPr>
            <w:r>
              <w:rPr>
                <w:rFonts w:cs="Times New Roman"/>
              </w:rPr>
              <w:t>Broj aktivnosti koje provode znanstvene organizacije s ciljem popularizacije znanosti, tehnologije i inovacija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2.866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2.420</w:t>
            </w:r>
          </w:p>
        </w:tc>
        <w:tc>
          <w:tcPr>
            <w:tcW w:w="1020" w:type="dxa"/>
          </w:tcPr>
          <w:p w:rsidR="00505632" w:rsidRDefault="00505632" w:rsidP="00AD4E52">
            <w:pPr>
              <w:pStyle w:val="CellColumn"/>
              <w:jc w:val="right"/>
            </w:pPr>
            <w:r>
              <w:rPr>
                <w:rFonts w:cs="Times New Roman"/>
              </w:rPr>
              <w:t>6.738</w:t>
            </w:r>
          </w:p>
        </w:tc>
      </w:tr>
    </w:tbl>
    <w:p w:rsidR="00505632" w:rsidRDefault="00505632" w:rsidP="00505632">
      <w:pPr>
        <w:jc w:val="left"/>
      </w:pPr>
    </w:p>
    <w:p w:rsidR="00505632" w:rsidRDefault="00505632" w:rsidP="00505632">
      <w:pPr>
        <w:pStyle w:val="Heading4"/>
      </w:pPr>
      <w:r>
        <w:t>A622007 FINANCIJSKA POTPORA ZNANSTVENIM UDRUGAMA I PROGRAMIMA POPULARIZACIJE ZNANOSTI</w:t>
      </w:r>
    </w:p>
    <w:tbl>
      <w:tblPr>
        <w:tblStyle w:val="StilTablice"/>
        <w:tblW w:w="10206" w:type="dxa"/>
        <w:jc w:val="center"/>
        <w:tblLook w:val="04A0" w:firstRow="1" w:lastRow="0" w:firstColumn="1" w:lastColumn="0" w:noHBand="0" w:noVBand="1"/>
      </w:tblPr>
      <w:tblGrid>
        <w:gridCol w:w="1759"/>
        <w:gridCol w:w="2002"/>
        <w:gridCol w:w="2005"/>
        <w:gridCol w:w="2005"/>
        <w:gridCol w:w="1216"/>
        <w:gridCol w:w="121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A622007-FINANCIJSKA POTPORA ZNANSTVENIM UDRUGAMA I PROGRAMIMA POPULARIZACIJE ZNANOSTI</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1.299.384</w:t>
            </w:r>
          </w:p>
        </w:tc>
        <w:tc>
          <w:tcPr>
            <w:tcW w:w="2041" w:type="dxa"/>
          </w:tcPr>
          <w:p w:rsidR="00505632" w:rsidRDefault="00505632" w:rsidP="00AD4E52">
            <w:pPr>
              <w:pStyle w:val="CellColumn"/>
              <w:jc w:val="right"/>
            </w:pPr>
            <w:r>
              <w:rPr>
                <w:rFonts w:cs="Times New Roman"/>
              </w:rPr>
              <w:t>1.299.384</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znanstvenoj djelatnosti i visokom obrazovanju</w:t>
      </w:r>
    </w:p>
    <w:p w:rsidR="00505632" w:rsidRDefault="00505632" w:rsidP="00505632">
      <w:pPr>
        <w:pStyle w:val="Heading8"/>
        <w:jc w:val="left"/>
      </w:pPr>
      <w:r>
        <w:t>Opis aktivnosti</w:t>
      </w:r>
    </w:p>
    <w:p w:rsidR="00505632" w:rsidRDefault="00505632" w:rsidP="00505632">
      <w:r>
        <w:t>Financijskom potporom koja se realizira putem javnih poziva sufinancira se redovna djelatnost znanstvenih i znanstvenostručnih udruga (obavljanje osnovne djelatnosti, nabava opreme te izobrazba članova), kao i odvijanje programa popularizacije znanosti (troškovi opreme i tehničke podrške, medijskog praćenja, honorara voditelja programa i ostalo), a koje provode ustanovama u sustavu znanosti i visokog obrazovanja te znanstvene i znanstvenostručne udruge. U 2016. godini financijsku potporu ostvarila je 61 udruga te 32 programa popularizacije znanosti.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popularizacijskih aktivnosti</w:t>
            </w:r>
          </w:p>
        </w:tc>
        <w:tc>
          <w:tcPr>
            <w:tcW w:w="2551" w:type="dxa"/>
          </w:tcPr>
          <w:p w:rsidR="00505632" w:rsidRDefault="00505632" w:rsidP="00AD4E52">
            <w:pPr>
              <w:pStyle w:val="CellColumn"/>
              <w:jc w:val="left"/>
            </w:pPr>
            <w:r>
              <w:rPr>
                <w:rFonts w:cs="Times New Roman"/>
              </w:rPr>
              <w:t>Broj aktivnosti koje provode znanstvene organizacije s ciljem popularizacije znanosti, tehnologije i inovacija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2.866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2.420</w:t>
            </w:r>
          </w:p>
        </w:tc>
        <w:tc>
          <w:tcPr>
            <w:tcW w:w="1020" w:type="dxa"/>
          </w:tcPr>
          <w:p w:rsidR="00505632" w:rsidRDefault="00505632" w:rsidP="00AD4E52">
            <w:pPr>
              <w:pStyle w:val="CellColumn"/>
              <w:jc w:val="right"/>
            </w:pPr>
            <w:r>
              <w:rPr>
                <w:rFonts w:cs="Times New Roman"/>
              </w:rPr>
              <w:t>6.738</w:t>
            </w:r>
          </w:p>
        </w:tc>
      </w:tr>
    </w:tbl>
    <w:p w:rsidR="00505632" w:rsidRDefault="00505632" w:rsidP="00505632">
      <w:pPr>
        <w:jc w:val="left"/>
      </w:pPr>
    </w:p>
    <w:p w:rsidR="00505632" w:rsidRDefault="00505632" w:rsidP="00505632">
      <w:pPr>
        <w:pStyle w:val="Heading4"/>
      </w:pPr>
      <w:r>
        <w:t>A622010 ODRŽAVANJE ZNANSTVENE INFRASTRUKTURE</w:t>
      </w:r>
    </w:p>
    <w:tbl>
      <w:tblPr>
        <w:tblStyle w:val="StilTablice"/>
        <w:tblW w:w="10206" w:type="dxa"/>
        <w:jc w:val="center"/>
        <w:tblLook w:val="04A0" w:firstRow="1" w:lastRow="0" w:firstColumn="1" w:lastColumn="0" w:noHBand="0" w:noVBand="1"/>
      </w:tblPr>
      <w:tblGrid>
        <w:gridCol w:w="1892"/>
        <w:gridCol w:w="1965"/>
        <w:gridCol w:w="1961"/>
        <w:gridCol w:w="1966"/>
        <w:gridCol w:w="1208"/>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A622010-ODRŽAVANJE ZNANSTVENE INFRASTRUKTURE</w:t>
            </w:r>
          </w:p>
        </w:tc>
        <w:tc>
          <w:tcPr>
            <w:tcW w:w="2041" w:type="dxa"/>
          </w:tcPr>
          <w:p w:rsidR="00505632" w:rsidRDefault="00505632" w:rsidP="00AD4E52">
            <w:pPr>
              <w:pStyle w:val="CellColumn"/>
              <w:jc w:val="right"/>
            </w:pPr>
            <w:r>
              <w:rPr>
                <w:rFonts w:cs="Times New Roman"/>
              </w:rPr>
              <w:t>959.500</w:t>
            </w:r>
          </w:p>
        </w:tc>
        <w:tc>
          <w:tcPr>
            <w:tcW w:w="2041" w:type="dxa"/>
          </w:tcPr>
          <w:p w:rsidR="00505632" w:rsidRDefault="00505632" w:rsidP="00AD4E52">
            <w:pPr>
              <w:pStyle w:val="CellColumn"/>
              <w:jc w:val="right"/>
            </w:pPr>
            <w:r>
              <w:rPr>
                <w:rFonts w:cs="Times New Roman"/>
              </w:rPr>
              <w:t>839.500</w:t>
            </w:r>
          </w:p>
        </w:tc>
        <w:tc>
          <w:tcPr>
            <w:tcW w:w="2041" w:type="dxa"/>
          </w:tcPr>
          <w:p w:rsidR="00505632" w:rsidRDefault="00505632" w:rsidP="00AD4E52">
            <w:pPr>
              <w:pStyle w:val="CellColumn"/>
              <w:jc w:val="right"/>
            </w:pPr>
            <w:r>
              <w:rPr>
                <w:rFonts w:cs="Times New Roman"/>
              </w:rPr>
              <w:t>839.500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87,5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znanstvenoj djelatnosti i visokom obrazovanju</w:t>
      </w:r>
    </w:p>
    <w:p w:rsidR="00505632" w:rsidRDefault="00505632" w:rsidP="00505632">
      <w:pPr>
        <w:pStyle w:val="Heading8"/>
        <w:jc w:val="left"/>
      </w:pPr>
      <w:r>
        <w:t>Opis aktivnosti</w:t>
      </w:r>
    </w:p>
    <w:p w:rsidR="00505632" w:rsidRDefault="00505632" w:rsidP="00505632">
      <w:r>
        <w:t>Financiranje znanstvene djelatnosti kroz ovu aktivnost odnosi se na ulaganje u znanstvenu infrastrukturu, a sve u cilju poticanja razvoja znanosti kroz održavanje znanstvene opreme kao osnovnog sredstva za znanstvenoistraživački rad. Navedenim sredstvima provodi se financiranje investicijskog održavanja, servisiranja i izvanrednih popravaka već nabavljene kapitalne opreme te materijalnih troškova održavanja i rada laboratorija sa pokusnim životinjama i troškova nabavke tekućih plinova za potrebe rada znanstvenih jedinica.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4"/>
        <w:gridCol w:w="2454"/>
        <w:gridCol w:w="1259"/>
        <w:gridCol w:w="1011"/>
        <w:gridCol w:w="1005"/>
        <w:gridCol w:w="1011"/>
        <w:gridCol w:w="1012"/>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infrastrukturnih projekata istraživanja, razvoja i inovacija</w:t>
            </w:r>
          </w:p>
        </w:tc>
        <w:tc>
          <w:tcPr>
            <w:tcW w:w="2551" w:type="dxa"/>
          </w:tcPr>
          <w:p w:rsidR="00505632" w:rsidRDefault="00505632" w:rsidP="00AD4E52">
            <w:pPr>
              <w:pStyle w:val="CellColumn"/>
              <w:jc w:val="left"/>
            </w:pPr>
            <w:r>
              <w:rPr>
                <w:rFonts w:cs="Times New Roman"/>
              </w:rPr>
              <w:t>Broj infrastrukturnih projekata istraživanja, razvoja i inovacija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Broj I&amp;R i infrastrukturnih projekata koji imaju pripremljenu dokumentaciju za izgradnju</w:t>
            </w:r>
          </w:p>
        </w:tc>
        <w:tc>
          <w:tcPr>
            <w:tcW w:w="2551" w:type="dxa"/>
          </w:tcPr>
          <w:p w:rsidR="00505632" w:rsidRDefault="00505632" w:rsidP="00AD4E52">
            <w:pPr>
              <w:pStyle w:val="CellColumn"/>
              <w:jc w:val="left"/>
            </w:pPr>
            <w:r>
              <w:rPr>
                <w:rFonts w:cs="Times New Roman"/>
              </w:rPr>
              <w:t>Broj I&amp;R i infrastrukturnih projekata koji imaju pripremljenu dokumentaciju za izgradnju</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6</w:t>
            </w:r>
          </w:p>
        </w:tc>
      </w:tr>
    </w:tbl>
    <w:p w:rsidR="00505632" w:rsidRDefault="00505632" w:rsidP="00505632">
      <w:pPr>
        <w:jc w:val="left"/>
      </w:pPr>
    </w:p>
    <w:p w:rsidR="00505632" w:rsidRDefault="00505632" w:rsidP="00505632">
      <w:pPr>
        <w:pStyle w:val="Heading4"/>
      </w:pPr>
      <w:r>
        <w:t>A733050 PRAĆENJE I IMPLEMENTACIJA POLITIKA EUROPSKOG ISTRAŽIVAČKOG PROSTORA (ERA)</w:t>
      </w:r>
    </w:p>
    <w:tbl>
      <w:tblPr>
        <w:tblStyle w:val="StilTablice"/>
        <w:tblW w:w="10206" w:type="dxa"/>
        <w:jc w:val="center"/>
        <w:tblLook w:val="04A0" w:firstRow="1" w:lastRow="0" w:firstColumn="1" w:lastColumn="0" w:noHBand="0" w:noVBand="1"/>
      </w:tblPr>
      <w:tblGrid>
        <w:gridCol w:w="1848"/>
        <w:gridCol w:w="1980"/>
        <w:gridCol w:w="1971"/>
        <w:gridCol w:w="1980"/>
        <w:gridCol w:w="1211"/>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A733050-PRAĆENJE I IMPLEMENTACIJA POLITIKA EUROPSKOG ISTRAŽIVAČKOG PROSTORA (ERA)</w:t>
            </w:r>
          </w:p>
        </w:tc>
        <w:tc>
          <w:tcPr>
            <w:tcW w:w="2041" w:type="dxa"/>
          </w:tcPr>
          <w:p w:rsidR="00505632" w:rsidRDefault="00505632" w:rsidP="00AD4E52">
            <w:pPr>
              <w:pStyle w:val="CellColumn"/>
              <w:jc w:val="right"/>
            </w:pPr>
            <w:r>
              <w:rPr>
                <w:rFonts w:cs="Times New Roman"/>
              </w:rPr>
              <w:t>63.653</w:t>
            </w:r>
          </w:p>
        </w:tc>
        <w:tc>
          <w:tcPr>
            <w:tcW w:w="2041" w:type="dxa"/>
          </w:tcPr>
          <w:p w:rsidR="00505632" w:rsidRDefault="00505632" w:rsidP="00AD4E52">
            <w:pPr>
              <w:pStyle w:val="CellColumn"/>
              <w:jc w:val="right"/>
            </w:pPr>
            <w:r>
              <w:rPr>
                <w:rFonts w:cs="Times New Roman"/>
              </w:rPr>
              <w:t>59.550</w:t>
            </w:r>
          </w:p>
        </w:tc>
        <w:tc>
          <w:tcPr>
            <w:tcW w:w="2041" w:type="dxa"/>
          </w:tcPr>
          <w:p w:rsidR="00505632" w:rsidRDefault="00505632" w:rsidP="00AD4E52">
            <w:pPr>
              <w:pStyle w:val="CellColumn"/>
              <w:jc w:val="right"/>
            </w:pPr>
            <w:r>
              <w:rPr>
                <w:rFonts w:cs="Times New Roman"/>
              </w:rPr>
              <w:t>55.037</w:t>
            </w:r>
          </w:p>
        </w:tc>
        <w:tc>
          <w:tcPr>
            <w:tcW w:w="1224" w:type="dxa"/>
          </w:tcPr>
          <w:p w:rsidR="00505632" w:rsidRDefault="00505632" w:rsidP="00AD4E52">
            <w:pPr>
              <w:pStyle w:val="CellColumn"/>
              <w:jc w:val="right"/>
            </w:pPr>
            <w:r>
              <w:rPr>
                <w:rFonts w:cs="Times New Roman"/>
              </w:rPr>
              <w:t>92,4</w:t>
            </w:r>
          </w:p>
        </w:tc>
        <w:tc>
          <w:tcPr>
            <w:tcW w:w="1224" w:type="dxa"/>
          </w:tcPr>
          <w:p w:rsidR="00505632" w:rsidRDefault="00505632" w:rsidP="00AD4E52">
            <w:pPr>
              <w:pStyle w:val="CellColumn"/>
              <w:jc w:val="right"/>
            </w:pPr>
            <w:r>
              <w:rPr>
                <w:rFonts w:cs="Times New Roman"/>
              </w:rPr>
              <w:t>86,5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Nacionalni program reformi Vlade RH u okviru Europskog semestra </w:t>
      </w:r>
    </w:p>
    <w:p w:rsidR="00505632" w:rsidRDefault="00505632" w:rsidP="00505632">
      <w:r>
        <w:t xml:space="preserve">Plan razvoja istraživačke i inovacijske infrastrukture Republike Hrvatske (MZO) </w:t>
      </w:r>
    </w:p>
    <w:p w:rsidR="00505632" w:rsidRDefault="00505632" w:rsidP="00505632">
      <w:r>
        <w:t xml:space="preserve">Plan za Europski istraživački prostor Plan Implementacije Republike Hrvatske za razdoblje 2016.-2020. </w:t>
      </w:r>
    </w:p>
    <w:p w:rsidR="00505632" w:rsidRDefault="00505632" w:rsidP="00505632">
      <w:r>
        <w:t>Strategija obrazovanja, znanosti i tehnologije</w:t>
      </w:r>
    </w:p>
    <w:p w:rsidR="00505632" w:rsidRDefault="00505632" w:rsidP="00505632">
      <w:pPr>
        <w:pStyle w:val="Heading8"/>
        <w:jc w:val="left"/>
      </w:pPr>
      <w:r>
        <w:t>Opis aktivnosti</w:t>
      </w:r>
    </w:p>
    <w:p w:rsidR="00505632" w:rsidRDefault="00505632" w:rsidP="00505632">
      <w:r>
        <w:t>Kroz aktivnost su se osigurala financijska sredstva potrebna za sudjelovanje na radionicama Europske komisije, sastancima ESFRI-ja te sastancima i radionicama ERAC-a, a temeljem obveze praćenja i implementacije politika Europske Unije vezanih za Europski istraživački prostor i razvoj nacionalnih programa reformi u okviru Europskog semestra. Tijekom 2016. godine ostvareno je ukupno 13 sudjelovanja na sastancima i seminarima u organizaciji ERA-a ili Europske komisije.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popularizacijskih aktivnosti</w:t>
            </w:r>
          </w:p>
        </w:tc>
        <w:tc>
          <w:tcPr>
            <w:tcW w:w="2551" w:type="dxa"/>
          </w:tcPr>
          <w:p w:rsidR="00505632" w:rsidRDefault="00505632" w:rsidP="00AD4E52">
            <w:pPr>
              <w:pStyle w:val="CellColumn"/>
              <w:jc w:val="left"/>
            </w:pPr>
            <w:r>
              <w:rPr>
                <w:rFonts w:cs="Times New Roman"/>
              </w:rPr>
              <w:t>Broj aktivnosti koje provode znanstvene organizacije s ciljem popularizacije znanosti, tehnologije i inovacija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2.866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2.420</w:t>
            </w:r>
          </w:p>
        </w:tc>
        <w:tc>
          <w:tcPr>
            <w:tcW w:w="1020" w:type="dxa"/>
          </w:tcPr>
          <w:p w:rsidR="00505632" w:rsidRDefault="00505632" w:rsidP="00AD4E52">
            <w:pPr>
              <w:pStyle w:val="CellColumn"/>
              <w:jc w:val="right"/>
            </w:pPr>
            <w:r>
              <w:rPr>
                <w:rFonts w:cs="Times New Roman"/>
              </w:rPr>
              <w:t>6.738</w:t>
            </w:r>
          </w:p>
        </w:tc>
      </w:tr>
      <w:tr w:rsidR="00505632" w:rsidTr="00AD4E52">
        <w:trPr>
          <w:jc w:val="center"/>
        </w:trPr>
        <w:tc>
          <w:tcPr>
            <w:tcW w:w="2551" w:type="dxa"/>
          </w:tcPr>
          <w:p w:rsidR="00505632" w:rsidRDefault="00505632" w:rsidP="00AD4E52">
            <w:pPr>
              <w:pStyle w:val="CellColumn"/>
              <w:jc w:val="left"/>
            </w:pPr>
            <w:r>
              <w:rPr>
                <w:rFonts w:cs="Times New Roman"/>
              </w:rPr>
              <w:t>Mapiranje istraživačkih kapaciteta znanstvenih organizacija</w:t>
            </w:r>
          </w:p>
        </w:tc>
        <w:tc>
          <w:tcPr>
            <w:tcW w:w="2551" w:type="dxa"/>
          </w:tcPr>
          <w:p w:rsidR="00505632" w:rsidRDefault="00505632" w:rsidP="00AD4E52">
            <w:pPr>
              <w:pStyle w:val="CellColumn"/>
              <w:jc w:val="left"/>
            </w:pPr>
            <w:r>
              <w:rPr>
                <w:rFonts w:cs="Times New Roman"/>
              </w:rPr>
              <w:t>Provedba aktivnosti mapiranja istraživačkih kapaciteta znanstvenih organizacija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Broj pokrenutih projekata za uspostavu nacionalnog informacijskog sustava u znanosti</w:t>
            </w:r>
          </w:p>
        </w:tc>
        <w:tc>
          <w:tcPr>
            <w:tcW w:w="2551" w:type="dxa"/>
          </w:tcPr>
          <w:p w:rsidR="00505632" w:rsidRDefault="00505632" w:rsidP="00AD4E52">
            <w:pPr>
              <w:pStyle w:val="CellColumn"/>
              <w:jc w:val="left"/>
            </w:pPr>
            <w:r>
              <w:rPr>
                <w:rFonts w:cs="Times New Roman"/>
              </w:rPr>
              <w:t>Broj pokrenutih projekata za uspostavu nacionalnog informacijskog sustava u znanosti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A767009 CENTRI IZVRSNOSTI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A767009-CENTRI IZVRSNOSTI</w:t>
            </w:r>
          </w:p>
        </w:tc>
        <w:tc>
          <w:tcPr>
            <w:tcW w:w="2041" w:type="dxa"/>
          </w:tcPr>
          <w:p w:rsidR="00505632" w:rsidRDefault="00505632" w:rsidP="00AD4E52">
            <w:pPr>
              <w:pStyle w:val="CellColumn"/>
              <w:jc w:val="right"/>
            </w:pPr>
            <w:r>
              <w:rPr>
                <w:rFonts w:cs="Times New Roman"/>
              </w:rPr>
              <w:t>2.495.640</w:t>
            </w:r>
          </w:p>
        </w:tc>
        <w:tc>
          <w:tcPr>
            <w:tcW w:w="2041" w:type="dxa"/>
          </w:tcPr>
          <w:p w:rsidR="00505632" w:rsidRDefault="00505632" w:rsidP="00AD4E52">
            <w:pPr>
              <w:pStyle w:val="CellColumn"/>
              <w:jc w:val="right"/>
            </w:pPr>
            <w:r>
              <w:rPr>
                <w:rFonts w:cs="Times New Roman"/>
              </w:rPr>
              <w:t>5.000.000</w:t>
            </w:r>
          </w:p>
        </w:tc>
        <w:tc>
          <w:tcPr>
            <w:tcW w:w="2041" w:type="dxa"/>
          </w:tcPr>
          <w:p w:rsidR="00505632" w:rsidRDefault="00505632" w:rsidP="00AD4E52">
            <w:pPr>
              <w:pStyle w:val="CellColumn"/>
              <w:jc w:val="right"/>
            </w:pPr>
            <w:r>
              <w:rPr>
                <w:rFonts w:cs="Times New Roman"/>
              </w:rPr>
              <w:t>5.000.000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200,3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znanstvenoj djelatnosti i visokom obrazovanju</w:t>
      </w:r>
    </w:p>
    <w:p w:rsidR="00505632" w:rsidRDefault="00505632" w:rsidP="00505632">
      <w:pPr>
        <w:pStyle w:val="Heading8"/>
        <w:jc w:val="left"/>
      </w:pPr>
      <w:r>
        <w:t>Opis aktivnosti</w:t>
      </w:r>
    </w:p>
    <w:p w:rsidR="00505632" w:rsidRDefault="00505632" w:rsidP="00505632">
      <w:r>
        <w:t>Sukladno Zakonu o znanstvenoj djelatnosti i visokom obrazovanju u 2014. godini proglašeno je sedam znanstvenih centara izvrsnosti u četiri područja znanosti, dok je u 2016. godini proglašeno njih dodatnih sedam. Centri izvrsnosti djeluju s misijom da ponude dodanu ukupnu znanstvenu kvalitetu koja je iznad pojedinačnih individualnih znanstvenih rezultata, sustavno provode istraživanja na temama od izuzetne važnosti za hrvatsku znanost i društvo, svojim radom unaprijede sustav hrvatske znanosti i jačati njezino djelovanje u Europskom istraživačkom prostoru te potiču sudjelovanje u istraživačkim programima Europske unije i drugim međunarodnim programima, kao i povećavaju međunarodnu vidljivost i prepoznatljivost hrvatske znanstvene zajednice. U 2016. godini isplaćena je financijska potpora za sve osnovane centre izvrsnosti.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Udio znanstvenih publikacija koje su objavljene u 10 posto najcitiranijih znanstvenih publikacija u svijetu</w:t>
            </w:r>
          </w:p>
        </w:tc>
        <w:tc>
          <w:tcPr>
            <w:tcW w:w="2551" w:type="dxa"/>
          </w:tcPr>
          <w:p w:rsidR="00505632" w:rsidRDefault="00505632" w:rsidP="00AD4E52">
            <w:pPr>
              <w:pStyle w:val="CellColumn"/>
              <w:jc w:val="left"/>
            </w:pPr>
            <w:r>
              <w:rPr>
                <w:rFonts w:cs="Times New Roman"/>
              </w:rPr>
              <w:t>Udio znanstvenih publikacija koji je objavljen u 10 posto najcitiranijih znanstvenih publikacija u svijetu</w:t>
            </w:r>
          </w:p>
        </w:tc>
        <w:tc>
          <w:tcPr>
            <w:tcW w:w="1020" w:type="dxa"/>
          </w:tcPr>
          <w:p w:rsidR="00505632" w:rsidRDefault="00505632" w:rsidP="00AD4E52">
            <w:pPr>
              <w:pStyle w:val="CellColumn"/>
              <w:jc w:val="right"/>
            </w:pPr>
            <w:r>
              <w:rPr>
                <w:rFonts w:cs="Times New Roman"/>
              </w:rPr>
              <w:t xml:space="preserve">Postotak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3,07  </w:t>
            </w:r>
          </w:p>
          <w:p w:rsidR="00505632" w:rsidRDefault="00505632" w:rsidP="00AD4E52">
            <w:pPr>
              <w:pStyle w:val="CellColumn"/>
              <w:jc w:val="right"/>
            </w:pPr>
            <w:r>
              <w:rPr>
                <w:rFonts w:cs="Times New Roman"/>
              </w:rPr>
              <w:t>(2010.)</w:t>
            </w:r>
          </w:p>
        </w:tc>
        <w:tc>
          <w:tcPr>
            <w:tcW w:w="1020" w:type="dxa"/>
          </w:tcPr>
          <w:p w:rsidR="00505632" w:rsidRDefault="00505632" w:rsidP="00AD4E52">
            <w:pPr>
              <w:pStyle w:val="CellColumn"/>
              <w:jc w:val="right"/>
            </w:pPr>
            <w:r>
              <w:rPr>
                <w:rFonts w:cs="Times New Roman"/>
              </w:rPr>
              <w:t xml:space="preserve">IUS  </w:t>
            </w:r>
          </w:p>
          <w:p w:rsidR="00505632" w:rsidRDefault="00505632" w:rsidP="00AD4E52">
            <w:pPr>
              <w:pStyle w:val="CellColumn"/>
              <w:jc w:val="right"/>
            </w:pPr>
            <w:r>
              <w:rPr>
                <w:rFonts w:cs="Times New Roman"/>
              </w:rPr>
              <w:t>(2013.)</w:t>
            </w:r>
          </w:p>
        </w:tc>
        <w:tc>
          <w:tcPr>
            <w:tcW w:w="1020" w:type="dxa"/>
          </w:tcPr>
          <w:p w:rsidR="00505632" w:rsidRDefault="00505632" w:rsidP="00AD4E52">
            <w:pPr>
              <w:pStyle w:val="CellColumn"/>
              <w:jc w:val="right"/>
            </w:pPr>
            <w:r>
              <w:rPr>
                <w:rFonts w:cs="Times New Roman"/>
              </w:rPr>
              <w:t>3,5</w:t>
            </w:r>
          </w:p>
        </w:tc>
        <w:tc>
          <w:tcPr>
            <w:tcW w:w="1020" w:type="dxa"/>
          </w:tcPr>
          <w:p w:rsidR="00505632" w:rsidRDefault="00505632" w:rsidP="00AD4E52">
            <w:pPr>
              <w:pStyle w:val="CellColumn"/>
              <w:jc w:val="right"/>
            </w:pPr>
            <w:r>
              <w:rPr>
                <w:rFonts w:cs="Times New Roman"/>
              </w:rPr>
              <w:t xml:space="preserve">3,07  </w:t>
            </w:r>
          </w:p>
          <w:p w:rsidR="00505632" w:rsidRDefault="00505632" w:rsidP="00AD4E52">
            <w:pPr>
              <w:pStyle w:val="CellColumn"/>
              <w:jc w:val="right"/>
            </w:pPr>
            <w:r>
              <w:rPr>
                <w:rFonts w:cs="Times New Roman"/>
              </w:rPr>
              <w:t>(2010.)</w:t>
            </w:r>
          </w:p>
        </w:tc>
      </w:tr>
      <w:tr w:rsidR="00505632" w:rsidTr="00AD4E52">
        <w:trPr>
          <w:jc w:val="center"/>
        </w:trPr>
        <w:tc>
          <w:tcPr>
            <w:tcW w:w="2551" w:type="dxa"/>
          </w:tcPr>
          <w:p w:rsidR="00505632" w:rsidRDefault="00505632" w:rsidP="00AD4E52">
            <w:pPr>
              <w:pStyle w:val="CellColumn"/>
              <w:jc w:val="left"/>
            </w:pPr>
            <w:r>
              <w:rPr>
                <w:rFonts w:cs="Times New Roman"/>
              </w:rPr>
              <w:t>Broj objavljenih radova u bazi Web of Science u sklopu aktivnosti znanstvenih centara izvrsnosti</w:t>
            </w:r>
          </w:p>
        </w:tc>
        <w:tc>
          <w:tcPr>
            <w:tcW w:w="2551" w:type="dxa"/>
          </w:tcPr>
          <w:p w:rsidR="00505632" w:rsidRDefault="00505632" w:rsidP="00AD4E52">
            <w:pPr>
              <w:pStyle w:val="CellColumn"/>
              <w:jc w:val="left"/>
            </w:pPr>
            <w:r>
              <w:rPr>
                <w:rFonts w:cs="Times New Roman"/>
              </w:rPr>
              <w:t>Broj objavljenih radova u bazi Web of Science u sklopu aktivnosti znanstvenih centara izvrsnosti</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A767035 EUROPSKI ZNANSTVENI PROJEKTI I MEĐUNARODNA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A767035-EUROPSKI ZNANSTVENI PROJEKTI I MEĐUNARODNA SURADNJA</w:t>
            </w:r>
          </w:p>
        </w:tc>
        <w:tc>
          <w:tcPr>
            <w:tcW w:w="2041" w:type="dxa"/>
          </w:tcPr>
          <w:p w:rsidR="00505632" w:rsidRDefault="00505632" w:rsidP="00AD4E52">
            <w:pPr>
              <w:pStyle w:val="CellColumn"/>
              <w:jc w:val="right"/>
            </w:pPr>
            <w:r>
              <w:rPr>
                <w:rFonts w:cs="Times New Roman"/>
              </w:rPr>
              <w:t>6.282.980</w:t>
            </w:r>
          </w:p>
        </w:tc>
        <w:tc>
          <w:tcPr>
            <w:tcW w:w="2041" w:type="dxa"/>
          </w:tcPr>
          <w:p w:rsidR="00505632" w:rsidRDefault="00505632" w:rsidP="00AD4E52">
            <w:pPr>
              <w:pStyle w:val="CellColumn"/>
              <w:jc w:val="right"/>
            </w:pPr>
            <w:r>
              <w:rPr>
                <w:rFonts w:cs="Times New Roman"/>
              </w:rPr>
              <w:t>5.958.504</w:t>
            </w:r>
          </w:p>
        </w:tc>
        <w:tc>
          <w:tcPr>
            <w:tcW w:w="2041" w:type="dxa"/>
          </w:tcPr>
          <w:p w:rsidR="00505632" w:rsidRDefault="00505632" w:rsidP="00AD4E52">
            <w:pPr>
              <w:pStyle w:val="CellColumn"/>
              <w:jc w:val="right"/>
            </w:pPr>
            <w:r>
              <w:rPr>
                <w:rFonts w:cs="Times New Roman"/>
              </w:rPr>
              <w:t>5.910.003</w:t>
            </w:r>
          </w:p>
        </w:tc>
        <w:tc>
          <w:tcPr>
            <w:tcW w:w="1224" w:type="dxa"/>
          </w:tcPr>
          <w:p w:rsidR="00505632" w:rsidRDefault="00505632" w:rsidP="00AD4E52">
            <w:pPr>
              <w:pStyle w:val="CellColumn"/>
              <w:jc w:val="right"/>
            </w:pPr>
            <w:r>
              <w:rPr>
                <w:rFonts w:cs="Times New Roman"/>
              </w:rPr>
              <w:t>99,2</w:t>
            </w:r>
          </w:p>
        </w:tc>
        <w:tc>
          <w:tcPr>
            <w:tcW w:w="1224" w:type="dxa"/>
          </w:tcPr>
          <w:p w:rsidR="00505632" w:rsidRDefault="00505632" w:rsidP="00AD4E52">
            <w:pPr>
              <w:pStyle w:val="CellColumn"/>
              <w:jc w:val="right"/>
            </w:pPr>
            <w:r>
              <w:rPr>
                <w:rFonts w:cs="Times New Roman"/>
              </w:rPr>
              <w:t>94,1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znanstvenoj djelatnosti i visokom obrazovanju</w:t>
      </w:r>
    </w:p>
    <w:p w:rsidR="00505632" w:rsidRDefault="00505632" w:rsidP="00505632">
      <w:pPr>
        <w:pStyle w:val="Heading8"/>
        <w:jc w:val="left"/>
      </w:pPr>
      <w:r>
        <w:t>Opis aktivnosti</w:t>
      </w:r>
    </w:p>
    <w:p w:rsidR="00505632" w:rsidRDefault="00505632" w:rsidP="00505632">
      <w:r>
        <w:t xml:space="preserve">U okviru ove aktivnosti utrošena su financijska sredstva za podmirenje troškova puta, smještaja, boravka i usavršavanja znanstvenika u okviru provedbe multilateralne suradnje s međunarodnim organizacijama (UN, UNESCO, OESS, OECD, IAEA, UNICEF, Vijeće Europe, NATO, ITF, CERN, HERA, EMBL/EMBO, Unija za Mediteran i NATO (Odbor za Znanost za mir i sigurnost) i regionalnim inicijativama (SEI, EUSDR (EU strategija za Dunavsku regiju), JJI (Jadransko-jonska inicijativa), Vijeće za regionalnu suradnju, itd). Temeljem bilateralnih programa, a u skladu sa zajedničkim interesima i prioritetnim područjima, Ministarstvo podupire dvogodišnje međunarodne znanstvenoistraživačke projekte sa sljedećim zemljama: Austrija, Crna Gora, Francuska, Kina, Njemačka, SAD, Slovenija i Srbija. U skladu sa zajedničkim interesima i prioritetnim područjima, Ministarstvo je u 2016. godino financiralo 189 dvogodišnjih bilateralnih znanstvenoistraživačkih projekata sa 8 zemalja iz svih znanstvenih područja. Utrošena financijska sredstva usmjerena su za pokriće troškova puta, smještaja i boravka znanstvenika u okviru tih projekata. Temeljem potpisanih međunarodnih ugovora u 2016. godini predviđeno je pokretanje suradnje (novi zajednički znanstveno istraživački projekti) sa Mađarskom, Turskom, Argentinom, Bugarskom i Portugalom. Ministarstvo pruža stručnu i administrativnu potporu sudjelovanju RH u programu Obzor 2020. - okvirnom programu EU za istraživanja i inovacije koji će se provoditi u razdoblju od 2014. do 2020. s ciljem potpune integracije hrvatskog sustava istraživanja i inovacija u Europski istraživački i inovacijski prostor (European Research and Innovation Area).  </w:t>
      </w:r>
    </w:p>
    <w:p w:rsidR="00505632" w:rsidRDefault="00505632" w:rsidP="00505632">
      <w:r>
        <w:t>Ministarstvo je ujedno zaduženo za praćenje i sudjelovanje u radu radnih skupina, odbora i savjetodavnih tijela Vijeća Europske unije koji djeluju u području znanosti i istraživanja (Working Party on Research, Joint Working Party on Research/Atomic Questions, ERAC, SFIC, GPC, Working Party on Space).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0"/>
        <w:gridCol w:w="2450"/>
        <w:gridCol w:w="1259"/>
        <w:gridCol w:w="1013"/>
        <w:gridCol w:w="1007"/>
        <w:gridCol w:w="1013"/>
        <w:gridCol w:w="1014"/>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bilateralnih znanstvenih projekata</w:t>
            </w:r>
          </w:p>
        </w:tc>
        <w:tc>
          <w:tcPr>
            <w:tcW w:w="2551" w:type="dxa"/>
          </w:tcPr>
          <w:p w:rsidR="00505632" w:rsidRDefault="00505632" w:rsidP="00AD4E52">
            <w:pPr>
              <w:pStyle w:val="CellColumn"/>
              <w:jc w:val="left"/>
            </w:pPr>
            <w:r>
              <w:rPr>
                <w:rFonts w:cs="Times New Roman"/>
              </w:rPr>
              <w:t>Broj bilateralnih znanstvenih projekata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155 </w:t>
            </w:r>
          </w:p>
          <w:p w:rsidR="00505632" w:rsidRDefault="00505632" w:rsidP="00AD4E52">
            <w:pPr>
              <w:pStyle w:val="CellColumn"/>
              <w:jc w:val="right"/>
            </w:pPr>
            <w:r>
              <w:rPr>
                <w:rFonts w:cs="Times New Roman"/>
              </w:rPr>
              <w:t xml:space="preserve"> (2014.)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200</w:t>
            </w:r>
          </w:p>
        </w:tc>
        <w:tc>
          <w:tcPr>
            <w:tcW w:w="1020" w:type="dxa"/>
          </w:tcPr>
          <w:p w:rsidR="00505632" w:rsidRDefault="00505632" w:rsidP="00AD4E52">
            <w:pPr>
              <w:pStyle w:val="CellColumn"/>
              <w:jc w:val="right"/>
            </w:pPr>
            <w:r>
              <w:rPr>
                <w:rFonts w:cs="Times New Roman"/>
              </w:rPr>
              <w:t>200</w:t>
            </w:r>
          </w:p>
        </w:tc>
      </w:tr>
      <w:tr w:rsidR="00505632" w:rsidTr="00AD4E52">
        <w:trPr>
          <w:jc w:val="center"/>
        </w:trPr>
        <w:tc>
          <w:tcPr>
            <w:tcW w:w="2551" w:type="dxa"/>
          </w:tcPr>
          <w:p w:rsidR="00505632" w:rsidRDefault="00505632" w:rsidP="00AD4E52">
            <w:pPr>
              <w:pStyle w:val="CellColumn"/>
              <w:jc w:val="left"/>
            </w:pPr>
            <w:r>
              <w:rPr>
                <w:rFonts w:cs="Times New Roman"/>
              </w:rPr>
              <w:t>Usvojen Akcijski plan za mobilnost istraživača 2016.-2018.</w:t>
            </w:r>
          </w:p>
        </w:tc>
        <w:tc>
          <w:tcPr>
            <w:tcW w:w="2551" w:type="dxa"/>
          </w:tcPr>
          <w:p w:rsidR="00505632" w:rsidRDefault="00505632" w:rsidP="00AD4E52">
            <w:pPr>
              <w:pStyle w:val="CellColumn"/>
              <w:jc w:val="left"/>
            </w:pPr>
            <w:r>
              <w:rPr>
                <w:rFonts w:cs="Times New Roman"/>
              </w:rPr>
              <w:t>Broj bilateralnih znanstvenih projekata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A767038 PROGRAM MEĐUNARODNE MOBILNOSTI ZA ISTRAŽIVAČE - NEWFELPRO</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A767038-PROGRAM MEĐUNARODNE MOBILNOSTI ZA ISTRAŽIVAČE - NEWFELPRO</w:t>
            </w:r>
          </w:p>
        </w:tc>
        <w:tc>
          <w:tcPr>
            <w:tcW w:w="2041" w:type="dxa"/>
          </w:tcPr>
          <w:p w:rsidR="00505632" w:rsidRDefault="00505632" w:rsidP="00AD4E52">
            <w:pPr>
              <w:pStyle w:val="CellColumn"/>
              <w:jc w:val="right"/>
            </w:pPr>
            <w:r>
              <w:rPr>
                <w:rFonts w:cs="Times New Roman"/>
              </w:rPr>
              <w:t>18.367.008</w:t>
            </w:r>
          </w:p>
        </w:tc>
        <w:tc>
          <w:tcPr>
            <w:tcW w:w="2041" w:type="dxa"/>
          </w:tcPr>
          <w:p w:rsidR="00505632" w:rsidRDefault="00505632" w:rsidP="00AD4E52">
            <w:pPr>
              <w:pStyle w:val="CellColumn"/>
              <w:jc w:val="right"/>
            </w:pPr>
            <w:r>
              <w:rPr>
                <w:rFonts w:cs="Times New Roman"/>
              </w:rPr>
              <w:t>11.145.001</w:t>
            </w:r>
          </w:p>
        </w:tc>
        <w:tc>
          <w:tcPr>
            <w:tcW w:w="2041" w:type="dxa"/>
          </w:tcPr>
          <w:p w:rsidR="00505632" w:rsidRDefault="00505632" w:rsidP="00AD4E52">
            <w:pPr>
              <w:pStyle w:val="CellColumn"/>
              <w:jc w:val="right"/>
            </w:pPr>
            <w:r>
              <w:rPr>
                <w:rFonts w:cs="Times New Roman"/>
              </w:rPr>
              <w:t>10.240.687</w:t>
            </w:r>
          </w:p>
        </w:tc>
        <w:tc>
          <w:tcPr>
            <w:tcW w:w="1224" w:type="dxa"/>
          </w:tcPr>
          <w:p w:rsidR="00505632" w:rsidRDefault="00505632" w:rsidP="00AD4E52">
            <w:pPr>
              <w:pStyle w:val="CellColumn"/>
              <w:jc w:val="right"/>
            </w:pPr>
            <w:r>
              <w:rPr>
                <w:rFonts w:cs="Times New Roman"/>
              </w:rPr>
              <w:t>91,9</w:t>
            </w:r>
          </w:p>
        </w:tc>
        <w:tc>
          <w:tcPr>
            <w:tcW w:w="1224" w:type="dxa"/>
          </w:tcPr>
          <w:p w:rsidR="00505632" w:rsidRDefault="00505632" w:rsidP="00AD4E52">
            <w:pPr>
              <w:pStyle w:val="CellColumn"/>
              <w:jc w:val="right"/>
            </w:pPr>
            <w:r>
              <w:rPr>
                <w:rFonts w:cs="Times New Roman"/>
              </w:rPr>
              <w:t>55,8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Program Marie Curie FP7-PEOPLE-2011-COFUND - Ugovor o potpori broj: 291823 - New International Fellowshio Mobility Programe for Experienced Researches in Croatia</w:t>
      </w:r>
    </w:p>
    <w:p w:rsidR="00505632" w:rsidRDefault="00505632" w:rsidP="00505632">
      <w:pPr>
        <w:pStyle w:val="Heading8"/>
        <w:jc w:val="left"/>
      </w:pPr>
      <w:r>
        <w:t>Opis aktivnosti</w:t>
      </w:r>
    </w:p>
    <w:p w:rsidR="00505632" w:rsidRDefault="00505632" w:rsidP="00505632">
      <w:r>
        <w:t xml:space="preserve">Projekt NEWFELPRO - New International Fellowship Mobility Programme for Experienced Researchers in Croatia je projekt poticanja mobilnosti u sklopu FP7 Programa Europske unije, programa People, u sklopu Marie Curie Actions programa namijenjenih poticanju razvoja karijere istraživača (COFUND). Ukupna vrijednost projekta je 7.018.455,71 EUR, od čega je planirano da 40% bude sufinancirano sredstvima EU, a preostalih 60% ide na teret sredstava državnog proračuna.  </w:t>
      </w:r>
    </w:p>
    <w:p w:rsidR="00505632" w:rsidRDefault="00505632" w:rsidP="00505632">
      <w:r>
        <w:t>Predviđeno vrijeme trajanje projekta je do kraja 2017. godine. Okosnica projekta je poticanje dolazne i izlazne mobilnosti znanstvenika, te povratka vrhunskih hrvatskih znanstvenika u domovinu kroz omogućavanje re-integracije u sustav znanosti. U provedbi su trenutno 22 projekta i to 13 projekata u odlaznoj shemi, 5 projekata u dolaznoj shemi i 4projekta unutar reintegracijske sheme. Uspješno je implementirano 46 projekata.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0"/>
        <w:gridCol w:w="2451"/>
        <w:gridCol w:w="1259"/>
        <w:gridCol w:w="1013"/>
        <w:gridCol w:w="1007"/>
        <w:gridCol w:w="1013"/>
        <w:gridCol w:w="1013"/>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dodijeljenih stipendija za istraživače u dolaznoj i odlaznoj shemi te u procesu reintegracije</w:t>
            </w:r>
          </w:p>
        </w:tc>
        <w:tc>
          <w:tcPr>
            <w:tcW w:w="2551" w:type="dxa"/>
          </w:tcPr>
          <w:p w:rsidR="00505632" w:rsidRDefault="00505632" w:rsidP="00AD4E52">
            <w:pPr>
              <w:pStyle w:val="CellColumn"/>
              <w:jc w:val="left"/>
            </w:pPr>
            <w:r>
              <w:rPr>
                <w:rFonts w:cs="Times New Roman"/>
              </w:rPr>
              <w:t>Broj dodijeljenih stipendija za istraživače u dolaznoj i odlaznoj shemi te u procesu reintegracije</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60 </w:t>
            </w:r>
          </w:p>
          <w:p w:rsidR="00505632" w:rsidRDefault="00505632" w:rsidP="00AD4E52">
            <w:pPr>
              <w:pStyle w:val="CellColumn"/>
              <w:jc w:val="right"/>
            </w:pPr>
            <w:r>
              <w:rPr>
                <w:rFonts w:cs="Times New Roman"/>
              </w:rPr>
              <w:t>(2015.)</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83</w:t>
            </w:r>
          </w:p>
        </w:tc>
        <w:tc>
          <w:tcPr>
            <w:tcW w:w="1020" w:type="dxa"/>
          </w:tcPr>
          <w:p w:rsidR="00505632" w:rsidRDefault="00505632" w:rsidP="00AD4E52">
            <w:pPr>
              <w:pStyle w:val="CellColumn"/>
              <w:jc w:val="right"/>
            </w:pPr>
            <w:r>
              <w:rPr>
                <w:rFonts w:cs="Times New Roman"/>
              </w:rPr>
              <w:t>78</w:t>
            </w:r>
          </w:p>
        </w:tc>
      </w:tr>
    </w:tbl>
    <w:p w:rsidR="00505632" w:rsidRDefault="00505632" w:rsidP="00505632">
      <w:pPr>
        <w:jc w:val="left"/>
      </w:pPr>
    </w:p>
    <w:p w:rsidR="00505632" w:rsidRDefault="00505632" w:rsidP="00505632">
      <w:pPr>
        <w:pStyle w:val="Heading4"/>
      </w:pPr>
      <w:r>
        <w:t>K557045 OP REGIONALNA KONKURENTNOST, PRIORITET 2 i 3</w:t>
      </w:r>
    </w:p>
    <w:tbl>
      <w:tblPr>
        <w:tblStyle w:val="StilTablice"/>
        <w:tblW w:w="10206" w:type="dxa"/>
        <w:jc w:val="center"/>
        <w:tblLook w:val="04A0" w:firstRow="1" w:lastRow="0" w:firstColumn="1" w:lastColumn="0" w:noHBand="0" w:noVBand="1"/>
      </w:tblPr>
      <w:tblGrid>
        <w:gridCol w:w="1932"/>
        <w:gridCol w:w="1960"/>
        <w:gridCol w:w="1951"/>
        <w:gridCol w:w="1951"/>
        <w:gridCol w:w="1201"/>
        <w:gridCol w:w="121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K557045-OP REGIONALNA KONKURENTNOST, PRIORITET 2 i 3</w:t>
            </w:r>
          </w:p>
        </w:tc>
        <w:tc>
          <w:tcPr>
            <w:tcW w:w="2041" w:type="dxa"/>
          </w:tcPr>
          <w:p w:rsidR="00505632" w:rsidRDefault="00505632" w:rsidP="00AD4E52">
            <w:pPr>
              <w:pStyle w:val="CellColumn"/>
              <w:jc w:val="right"/>
            </w:pPr>
            <w:r>
              <w:rPr>
                <w:rFonts w:cs="Times New Roman"/>
              </w:rPr>
              <w:t>203.612.861</w:t>
            </w:r>
          </w:p>
        </w:tc>
        <w:tc>
          <w:tcPr>
            <w:tcW w:w="2041" w:type="dxa"/>
          </w:tcPr>
          <w:p w:rsidR="00505632" w:rsidRDefault="00505632" w:rsidP="00AD4E52">
            <w:pPr>
              <w:pStyle w:val="CellColumn"/>
              <w:jc w:val="right"/>
            </w:pPr>
            <w:r>
              <w:rPr>
                <w:rFonts w:cs="Times New Roman"/>
              </w:rPr>
              <w:t>25.746.002</w:t>
            </w:r>
          </w:p>
        </w:tc>
        <w:tc>
          <w:tcPr>
            <w:tcW w:w="2041" w:type="dxa"/>
          </w:tcPr>
          <w:p w:rsidR="00505632" w:rsidRDefault="00505632" w:rsidP="00AD4E52">
            <w:pPr>
              <w:pStyle w:val="CellColumn"/>
              <w:jc w:val="right"/>
            </w:pPr>
            <w:r>
              <w:rPr>
                <w:rFonts w:cs="Times New Roman"/>
              </w:rPr>
              <w:t>23.617.855</w:t>
            </w:r>
          </w:p>
        </w:tc>
        <w:tc>
          <w:tcPr>
            <w:tcW w:w="1224" w:type="dxa"/>
          </w:tcPr>
          <w:p w:rsidR="00505632" w:rsidRDefault="00505632" w:rsidP="00AD4E52">
            <w:pPr>
              <w:pStyle w:val="CellColumn"/>
              <w:jc w:val="right"/>
            </w:pPr>
            <w:r>
              <w:rPr>
                <w:rFonts w:cs="Times New Roman"/>
              </w:rPr>
              <w:t>91,7</w:t>
            </w:r>
          </w:p>
        </w:tc>
        <w:tc>
          <w:tcPr>
            <w:tcW w:w="1224" w:type="dxa"/>
          </w:tcPr>
          <w:p w:rsidR="00505632" w:rsidRDefault="00505632" w:rsidP="00AD4E52">
            <w:pPr>
              <w:pStyle w:val="CellColumn"/>
              <w:jc w:val="right"/>
            </w:pPr>
            <w:r>
              <w:rPr>
                <w:rFonts w:cs="Times New Roman"/>
              </w:rPr>
              <w:t>11,6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Uredba o tijelima u sustavu upravljanja i kontrole korištenja strukturnih instrumenata Europske unije u Republici Hrvatskoj </w:t>
      </w:r>
    </w:p>
    <w:p w:rsidR="00505632" w:rsidRDefault="00505632" w:rsidP="00505632">
      <w:r>
        <w:t xml:space="preserve">Zakon o uspostavi institucionalnog okvira za korištenje strukturnih instrumenata Europske unije u Republici Hrvatskoj </w:t>
      </w:r>
    </w:p>
    <w:p w:rsidR="00505632" w:rsidRDefault="00505632" w:rsidP="00505632">
      <w:r>
        <w:t>Operativni program regionalna konkurentnost 2007. - 2013.</w:t>
      </w:r>
    </w:p>
    <w:p w:rsidR="00505632" w:rsidRDefault="00505632" w:rsidP="00505632">
      <w:pPr>
        <w:pStyle w:val="Heading8"/>
        <w:jc w:val="left"/>
      </w:pPr>
      <w:r>
        <w:t>Opis aktivnosti</w:t>
      </w:r>
    </w:p>
    <w:p w:rsidR="00505632" w:rsidRDefault="00505632" w:rsidP="00505632">
      <w:r>
        <w:t>Kroz ovu aktivnost provodili su se projekti koji se ugovoreni u sklopu Operativnog programa Regionalna konkurentnost 2007. - 2013. U 2016. godini s ove aktivnosti vršena su plaćanja i uspješno je završena provedba za Pozive: „Priprema zalihe infrastrukturnih projekata za EFRR 2014. - 2020“, „Priprema zalihe infrastrukturnih projekata za EFRR 2014. - 2020., 2. poziv“ i „Inkubacijski centar za bioznanosti i komercijalizaciju tehnologija (BioCentar)“. Osim navedenoga, izvršena su plaćanja vezana za provedbe projekata iz Poziva „Priprema zalihe infrastrukturnih projekata za EFRR 2014. - 2020., 3. poziv. Unutar Prioritetne osi 3 kroz ovu aktivnost provodi se i ugovor o tehničkoj pomoći: "Jačanje kapaciteta Ministarstva znanosti, obrazovanja i sporta kao Posredničkog tijela razine 1 pri upravljanju Operativnim programom Regionalna konkurentnost 2007. – 2013.“</w:t>
      </w:r>
    </w:p>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4"/>
        <w:gridCol w:w="2454"/>
        <w:gridCol w:w="1259"/>
        <w:gridCol w:w="1011"/>
        <w:gridCol w:w="1005"/>
        <w:gridCol w:w="1011"/>
        <w:gridCol w:w="1012"/>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infrastrukturnih projekata istraživanja, razvoja i inovacija</w:t>
            </w:r>
          </w:p>
        </w:tc>
        <w:tc>
          <w:tcPr>
            <w:tcW w:w="2551" w:type="dxa"/>
          </w:tcPr>
          <w:p w:rsidR="00505632" w:rsidRDefault="00505632" w:rsidP="00AD4E52">
            <w:pPr>
              <w:pStyle w:val="CellColumn"/>
              <w:jc w:val="left"/>
            </w:pPr>
            <w:r>
              <w:rPr>
                <w:rFonts w:cs="Times New Roman"/>
              </w:rPr>
              <w:t>Broj infrastrukturnih projekata istraživanja, razvoja i inovacija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Broj I&amp;R i infrastrukturnih projekata koji imaju pripremljenu dokumentaciju za izgradnju</w:t>
            </w:r>
          </w:p>
        </w:tc>
        <w:tc>
          <w:tcPr>
            <w:tcW w:w="2551" w:type="dxa"/>
          </w:tcPr>
          <w:p w:rsidR="00505632" w:rsidRDefault="00505632" w:rsidP="00AD4E52">
            <w:pPr>
              <w:pStyle w:val="CellColumn"/>
              <w:jc w:val="left"/>
            </w:pPr>
            <w:r>
              <w:rPr>
                <w:rFonts w:cs="Times New Roman"/>
              </w:rPr>
              <w:t>Broj I&amp;R i infrastrukturnih projekata koji imaju pripremljenu dokumentaciju za izgradnju</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6</w:t>
            </w:r>
          </w:p>
        </w:tc>
      </w:tr>
    </w:tbl>
    <w:p w:rsidR="00505632" w:rsidRDefault="00505632" w:rsidP="00505632">
      <w:pPr>
        <w:jc w:val="left"/>
      </w:pPr>
    </w:p>
    <w:p w:rsidR="00505632" w:rsidRDefault="00505632" w:rsidP="00505632">
      <w:pPr>
        <w:pStyle w:val="Heading4"/>
      </w:pPr>
      <w:r>
        <w:t>K578051 OP KONKURENTNOST I KOHEZIJA 2014.-2020. - PRIORITET 1 i 10</w:t>
      </w:r>
    </w:p>
    <w:tbl>
      <w:tblPr>
        <w:tblStyle w:val="StilTablice"/>
        <w:tblW w:w="10206" w:type="dxa"/>
        <w:jc w:val="center"/>
        <w:tblLook w:val="04A0" w:firstRow="1" w:lastRow="0" w:firstColumn="1" w:lastColumn="0" w:noHBand="0" w:noVBand="1"/>
      </w:tblPr>
      <w:tblGrid>
        <w:gridCol w:w="1881"/>
        <w:gridCol w:w="1973"/>
        <w:gridCol w:w="1967"/>
        <w:gridCol w:w="1967"/>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K578051-OP KONKURENTNOST I KOHEZIJA 2014.-2020. - PRIORITET 1 i 10</w:t>
            </w:r>
          </w:p>
        </w:tc>
        <w:tc>
          <w:tcPr>
            <w:tcW w:w="2041" w:type="dxa"/>
          </w:tcPr>
          <w:p w:rsidR="00505632" w:rsidRDefault="00505632" w:rsidP="00AD4E52">
            <w:pPr>
              <w:pStyle w:val="CellColumn"/>
              <w:jc w:val="right"/>
            </w:pPr>
            <w:r>
              <w:rPr>
                <w:rFonts w:cs="Times New Roman"/>
              </w:rPr>
              <w:t>251.704.648</w:t>
            </w:r>
          </w:p>
        </w:tc>
        <w:tc>
          <w:tcPr>
            <w:tcW w:w="2041" w:type="dxa"/>
          </w:tcPr>
          <w:p w:rsidR="00505632" w:rsidRDefault="00505632" w:rsidP="00AD4E52">
            <w:pPr>
              <w:pStyle w:val="CellColumn"/>
              <w:jc w:val="right"/>
            </w:pPr>
            <w:r>
              <w:rPr>
                <w:rFonts w:cs="Times New Roman"/>
              </w:rPr>
              <w:t>21.794.790</w:t>
            </w:r>
          </w:p>
        </w:tc>
        <w:tc>
          <w:tcPr>
            <w:tcW w:w="2041" w:type="dxa"/>
          </w:tcPr>
          <w:p w:rsidR="00505632" w:rsidRDefault="00505632" w:rsidP="00AD4E52">
            <w:pPr>
              <w:pStyle w:val="CellColumn"/>
              <w:jc w:val="right"/>
            </w:pPr>
            <w:r>
              <w:rPr>
                <w:rFonts w:cs="Times New Roman"/>
              </w:rPr>
              <w:t>15.593.071</w:t>
            </w:r>
          </w:p>
        </w:tc>
        <w:tc>
          <w:tcPr>
            <w:tcW w:w="1224" w:type="dxa"/>
          </w:tcPr>
          <w:p w:rsidR="00505632" w:rsidRDefault="00505632" w:rsidP="00AD4E52">
            <w:pPr>
              <w:pStyle w:val="CellColumn"/>
              <w:jc w:val="right"/>
            </w:pPr>
            <w:r>
              <w:rPr>
                <w:rFonts w:cs="Times New Roman"/>
              </w:rPr>
              <w:t>71,5</w:t>
            </w:r>
          </w:p>
        </w:tc>
        <w:tc>
          <w:tcPr>
            <w:tcW w:w="1224" w:type="dxa"/>
          </w:tcPr>
          <w:p w:rsidR="00505632" w:rsidRDefault="00505632" w:rsidP="00AD4E52">
            <w:pPr>
              <w:pStyle w:val="CellColumn"/>
              <w:jc w:val="right"/>
            </w:pPr>
            <w:r>
              <w:rPr>
                <w:rFonts w:cs="Times New Roman"/>
              </w:rPr>
              <w:t>6,2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uspostavi institucionalnog okvira za provedbu europskih strukturnih i investicijskih fondova u RH u razdoblju 2014.-2020. </w:t>
      </w:r>
    </w:p>
    <w:p w:rsidR="00505632" w:rsidRDefault="00505632" w:rsidP="00505632">
      <w:r>
        <w:t xml:space="preserve">Uredba o tijelima u sustavima upravljanja i kontrole korištenja Europskog socijalnog fonda, Eruopskog fonda za regionalni razvoj i kohezijskog fonda, u vezi s ciljem "Ulaganje za rast i radna mjesta" </w:t>
      </w:r>
    </w:p>
    <w:p w:rsidR="00505632" w:rsidRDefault="00505632" w:rsidP="00505632">
      <w:r>
        <w:t>Operativni program konkurentnost i kohezija 2014. - 2020.</w:t>
      </w:r>
    </w:p>
    <w:p w:rsidR="00505632" w:rsidRDefault="00505632" w:rsidP="00505632">
      <w:pPr>
        <w:pStyle w:val="Heading8"/>
        <w:jc w:val="left"/>
      </w:pPr>
      <w:r>
        <w:t>Opis aktivnosti</w:t>
      </w:r>
    </w:p>
    <w:p w:rsidR="00505632" w:rsidRDefault="00505632" w:rsidP="00505632">
      <w:r>
        <w:t>Kroz ovu aktivnost financiraju se projekti koji se nalaze u sklopu Operativnog programa Konkurentnost i kohezija 2014. – 2020. S obzirom da u 2016. godini nije bilo raspisanih Poziva za dodjelu bespovratnih sredstava unutar prioriteta 1 nije bilo troškova. Također iz ove aktivnosti unutar prioriteta 10 financira se Poziv „Modernizacija, unaprjeđenje i proširenje infrastrukture studentskog smještaja za studente u nepovoljnom položaju“ a koji čini najveći udio u potrošnji na ovoj aktivnosti. Kroz ovu aktivnost također se provodi i ugovor o tehničkoj pomoći: „Tehnička pomoć za Ministarstvo znanosti i obrazovanja za razdoblje od 2014. – 2020.</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4"/>
        <w:gridCol w:w="2454"/>
        <w:gridCol w:w="1259"/>
        <w:gridCol w:w="1011"/>
        <w:gridCol w:w="1005"/>
        <w:gridCol w:w="1011"/>
        <w:gridCol w:w="1012"/>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patentnih prijava znanstvenih organizacija</w:t>
            </w:r>
          </w:p>
        </w:tc>
        <w:tc>
          <w:tcPr>
            <w:tcW w:w="2551" w:type="dxa"/>
          </w:tcPr>
          <w:p w:rsidR="00505632" w:rsidRDefault="00505632" w:rsidP="00AD4E52">
            <w:pPr>
              <w:pStyle w:val="CellColumn"/>
              <w:jc w:val="left"/>
            </w:pPr>
            <w:r>
              <w:rPr>
                <w:rFonts w:cs="Times New Roman"/>
              </w:rPr>
              <w:t>Broj patentnih prijava znanstvenih organizacija za patente koji će proizaći kao rezultat projekata vezanih uz transfer tehnologije</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10 </w:t>
            </w:r>
          </w:p>
          <w:p w:rsidR="00505632" w:rsidRDefault="00505632" w:rsidP="00AD4E52">
            <w:pPr>
              <w:pStyle w:val="CellColumn"/>
              <w:jc w:val="right"/>
            </w:pPr>
            <w:r>
              <w:rPr>
                <w:rFonts w:cs="Times New Roman"/>
              </w:rPr>
              <w:t>(2013.)</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12</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Broj ugovora o licenciranju</w:t>
            </w:r>
          </w:p>
        </w:tc>
        <w:tc>
          <w:tcPr>
            <w:tcW w:w="2551" w:type="dxa"/>
          </w:tcPr>
          <w:p w:rsidR="00505632" w:rsidRDefault="00505632" w:rsidP="00AD4E52">
            <w:pPr>
              <w:pStyle w:val="CellColumn"/>
              <w:jc w:val="left"/>
            </w:pPr>
            <w:r>
              <w:rPr>
                <w:rFonts w:cs="Times New Roman"/>
              </w:rPr>
              <w:t>Broj ugovora o licenciranju</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1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 xml:space="preserve">1 </w:t>
            </w:r>
          </w:p>
          <w:p w:rsidR="00505632" w:rsidRDefault="00505632" w:rsidP="00AD4E52">
            <w:pPr>
              <w:pStyle w:val="CellColumn"/>
              <w:jc w:val="right"/>
            </w:pPr>
            <w:r>
              <w:rPr>
                <w:rFonts w:cs="Times New Roman"/>
              </w:rPr>
              <w:t>(2014.)</w:t>
            </w:r>
          </w:p>
        </w:tc>
      </w:tr>
      <w:tr w:rsidR="00505632" w:rsidTr="00AD4E52">
        <w:trPr>
          <w:jc w:val="center"/>
        </w:trPr>
        <w:tc>
          <w:tcPr>
            <w:tcW w:w="2551" w:type="dxa"/>
          </w:tcPr>
          <w:p w:rsidR="00505632" w:rsidRDefault="00505632" w:rsidP="00AD4E52">
            <w:pPr>
              <w:pStyle w:val="CellColumn"/>
              <w:jc w:val="left"/>
            </w:pPr>
            <w:r>
              <w:rPr>
                <w:rFonts w:cs="Times New Roman"/>
              </w:rPr>
              <w:t>Broj infrastrukturnih projekata istraživanja, razvoja i inovacija</w:t>
            </w:r>
          </w:p>
        </w:tc>
        <w:tc>
          <w:tcPr>
            <w:tcW w:w="2551" w:type="dxa"/>
          </w:tcPr>
          <w:p w:rsidR="00505632" w:rsidRDefault="00505632" w:rsidP="00AD4E52">
            <w:pPr>
              <w:pStyle w:val="CellColumn"/>
              <w:jc w:val="left"/>
            </w:pPr>
            <w:r>
              <w:rPr>
                <w:rFonts w:cs="Times New Roman"/>
              </w:rPr>
              <w:t>Broj infrastrukturnih projekata istraživanja, razvoja i inovacija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Broj financiranih I&amp;R projekata iz ESI fondova</w:t>
            </w:r>
          </w:p>
        </w:tc>
        <w:tc>
          <w:tcPr>
            <w:tcW w:w="2551" w:type="dxa"/>
          </w:tcPr>
          <w:p w:rsidR="00505632" w:rsidRDefault="00505632" w:rsidP="00AD4E52">
            <w:pPr>
              <w:pStyle w:val="CellColumn"/>
              <w:jc w:val="left"/>
            </w:pPr>
            <w:r>
              <w:rPr>
                <w:rFonts w:cs="Times New Roman"/>
              </w:rPr>
              <w:t>Broj financiranih I&amp;R projekata iz ESI fondova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19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Mapiranje istraživačkih kapaciteta znanstvenih organizacija</w:t>
            </w:r>
          </w:p>
        </w:tc>
        <w:tc>
          <w:tcPr>
            <w:tcW w:w="2551" w:type="dxa"/>
          </w:tcPr>
          <w:p w:rsidR="00505632" w:rsidRDefault="00505632" w:rsidP="00AD4E52">
            <w:pPr>
              <w:pStyle w:val="CellColumn"/>
              <w:jc w:val="left"/>
            </w:pPr>
            <w:r>
              <w:rPr>
                <w:rFonts w:cs="Times New Roman"/>
              </w:rPr>
              <w:t>Provedba aktivnosti mapiranja istraživačkih kapaciteta znanstvenih organizacija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3"/>
      </w:pPr>
      <w:r>
        <w:rPr>
          <w:rFonts w:cs="Times New Roman"/>
        </w:rPr>
        <w:t>3802 TEHNOLOGIJSKI RAZVITAK</w:t>
      </w:r>
    </w:p>
    <w:tbl>
      <w:tblPr>
        <w:tblStyle w:val="StilTablice"/>
        <w:tblW w:w="10206" w:type="dxa"/>
        <w:jc w:val="center"/>
        <w:tblLook w:val="04A0" w:firstRow="1" w:lastRow="0" w:firstColumn="1" w:lastColumn="0" w:noHBand="0" w:noVBand="1"/>
      </w:tblPr>
      <w:tblGrid>
        <w:gridCol w:w="1670"/>
        <w:gridCol w:w="2031"/>
        <w:gridCol w:w="2031"/>
        <w:gridCol w:w="2031"/>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3802-TEHNOLOGIJSKI RAZVITAK</w:t>
            </w:r>
          </w:p>
        </w:tc>
        <w:tc>
          <w:tcPr>
            <w:tcW w:w="2041" w:type="dxa"/>
          </w:tcPr>
          <w:p w:rsidR="00505632" w:rsidRDefault="00505632" w:rsidP="00AD4E52">
            <w:pPr>
              <w:pStyle w:val="CellColumn"/>
              <w:jc w:val="right"/>
            </w:pPr>
            <w:r>
              <w:rPr>
                <w:rFonts w:cs="Times New Roman"/>
              </w:rPr>
              <w:t>14.973.262</w:t>
            </w:r>
          </w:p>
        </w:tc>
        <w:tc>
          <w:tcPr>
            <w:tcW w:w="2041" w:type="dxa"/>
          </w:tcPr>
          <w:p w:rsidR="00505632" w:rsidRDefault="00505632" w:rsidP="00AD4E52">
            <w:pPr>
              <w:pStyle w:val="CellColumn"/>
              <w:jc w:val="right"/>
            </w:pPr>
            <w:r>
              <w:rPr>
                <w:rFonts w:cs="Times New Roman"/>
              </w:rPr>
              <w:t>14.394.433</w:t>
            </w:r>
          </w:p>
        </w:tc>
        <w:tc>
          <w:tcPr>
            <w:tcW w:w="2041" w:type="dxa"/>
          </w:tcPr>
          <w:p w:rsidR="00505632" w:rsidRDefault="00505632" w:rsidP="00AD4E52">
            <w:pPr>
              <w:pStyle w:val="CellColumn"/>
              <w:jc w:val="right"/>
            </w:pPr>
            <w:r>
              <w:rPr>
                <w:rFonts w:cs="Times New Roman"/>
              </w:rPr>
              <w:t>45.592.849</w:t>
            </w:r>
          </w:p>
        </w:tc>
        <w:tc>
          <w:tcPr>
            <w:tcW w:w="1224" w:type="dxa"/>
          </w:tcPr>
          <w:p w:rsidR="00505632" w:rsidRDefault="00505632" w:rsidP="00AD4E52">
            <w:pPr>
              <w:pStyle w:val="CellColumn"/>
              <w:jc w:val="right"/>
            </w:pPr>
            <w:r>
              <w:rPr>
                <w:rFonts w:cs="Times New Roman"/>
              </w:rPr>
              <w:t>316,7</w:t>
            </w:r>
          </w:p>
        </w:tc>
        <w:tc>
          <w:tcPr>
            <w:tcW w:w="1224" w:type="dxa"/>
          </w:tcPr>
          <w:p w:rsidR="00505632" w:rsidRDefault="00505632" w:rsidP="00AD4E52">
            <w:pPr>
              <w:pStyle w:val="CellColumn"/>
              <w:jc w:val="right"/>
            </w:pPr>
            <w:r>
              <w:rPr>
                <w:rFonts w:cs="Times New Roman"/>
              </w:rPr>
              <w:t>304,5</w:t>
            </w:r>
          </w:p>
        </w:tc>
      </w:tr>
    </w:tbl>
    <w:p w:rsidR="00505632" w:rsidRDefault="00505632" w:rsidP="00505632">
      <w:pPr>
        <w:jc w:val="left"/>
      </w:pPr>
    </w:p>
    <w:p w:rsidR="00505632" w:rsidRDefault="00505632" w:rsidP="00505632">
      <w:r>
        <w:t xml:space="preserve">Razvojne mjere tehnologijske i inovacijske politike trebaju dovoditi do prenošenja rezultata znanstveno - istraživačkog rada u nove proizvode, procese i usluge s ciljem povećanja konkurentnosti na tržištu. Takve mjere moraju poticati ulaganja poslovnih subjekata u istraživanje, razvoj i inovacije kako bi se povećala ukupna produktivnost istraživačkih i inovacijskih aktivnosti u Hrvatskoj te njihova primjena u gospodarstvu. Programom tehnologijskog razvitka se ostvaruje suradnja između znanosti i gospodarstva, povećava produktivnost i konkurentnost hrvatskog gospodarstva i omogućava pritjecanje inovacijskih i tehnologijskih rješenja u sve sektore gospodarstva. Posebno se razvijaju financijski instrumenti za poticanje tehnologijskih istraživanja koja izgledno mogu rezultirati stvaranjem novih proizvoda ili usluga s naglaskom na visoke tehnologije za koja nisu potrebna velika kapitalna ulaganja. </w:t>
      </w:r>
    </w:p>
    <w:p w:rsidR="00505632" w:rsidRDefault="00505632" w:rsidP="00505632">
      <w:r>
        <w:t>Provedba ovog Programa vezana je uz ostvarivanje općeg cilja pod brojem 2. Unaprijeđena znanost kao pokretač dugoročnoga gospodarskog i društvenog razvoja u Strateškom planu za razdoblje 2016.-2018. Ministarstva znanosti i obrazovanja.</w:t>
      </w:r>
    </w:p>
    <w:p w:rsidR="00505632" w:rsidRDefault="00505632" w:rsidP="00505632">
      <w:pPr>
        <w:pStyle w:val="Heading8"/>
        <w:jc w:val="left"/>
      </w:pPr>
      <w:r>
        <w:t xml:space="preserve">Cilj 1. Unaprijeđena znanstvena izvrsnost </w:t>
      </w:r>
    </w:p>
    <w:p w:rsidR="00505632" w:rsidRDefault="00505632" w:rsidP="00505632">
      <w:pPr>
        <w:pStyle w:val="Heading8"/>
        <w:jc w:val="left"/>
      </w:pPr>
      <w:r>
        <w:t>Opis provedbe cilja programa</w:t>
      </w:r>
    </w:p>
    <w:p w:rsidR="00505632" w:rsidRDefault="00505632" w:rsidP="00505632">
      <w:r>
        <w:t xml:space="preserve">Posebni cilj 2.2. - Strateški plan MZO-a 2016.-2018. </w:t>
      </w:r>
    </w:p>
    <w:p w:rsidR="00505632" w:rsidRDefault="00505632" w:rsidP="00505632">
      <w:r>
        <w:t xml:space="preserve">Stvaranjem i uključivanjem Hrvatskoga prostora znanstvenih istraživanja i visokog obrazovanja u Europski istraživački i inovacijski prostor (ERIA) hrvatska znanstvena i akademska zajednica morat će se prilagoditi razvijenim međunarodnim kriterijima znanstvene izvrsnosti.  </w:t>
      </w:r>
    </w:p>
    <w:p w:rsidR="00505632" w:rsidRDefault="00505632" w:rsidP="00505632">
      <w:r>
        <w:t xml:space="preserve">Definiranjem i poticanjem jačanja prioritetnih znanstveno-istraživačkih područja stvorit će se temelj za jačanje učinkovitosti postojećih infrastrukturnih potencijala te će se kontinuirano usmjeravati prema većoj izvrsnosti, međunarodnom značaju i racionalnijem korištenju, a čime će se posredno utjecati na razvoj znanosti, inovacija i tehnologija.  </w:t>
      </w:r>
    </w:p>
    <w:p w:rsidR="00505632" w:rsidRDefault="00505632" w:rsidP="00505632">
      <w:r>
        <w:t xml:space="preserve">Na tako definiranim prioritetnim znanstveno-istraživačkim područjima temelji se okrupnjavanje međunarodno priznatih dionika hrvatske znanstvene djelatnosti u međunarodno priznate nacionalne znanstvene centre izvrsnosti koji će po svojem ugledu i izvrsnosti moći uspješno kotirati na europskoj i svjetskoj znanstvenoj sceni. Sukladno Zakonu o znanstvenoj djelatnosti i visokom obrazovanju, u 2014. i 2015. godini proglašeno je ukupno 13 znanstvenih centara izvrsnosti koji će i u narednom razdoblju raditi na povećanju međunarodne vidljivosti potrebne za uspješno definiranje programa istraživanja u okviru Europskog znanstvenog prostora te unapređenje znanstvene, industrijske i društvene povezanosti. </w:t>
      </w:r>
    </w:p>
    <w:p w:rsidR="00505632" w:rsidRDefault="00505632" w:rsidP="00505632">
      <w:r>
        <w:t>U planskom razdoblju nastavlja se s dosadašnjim uspješnim povlačenjem financijskih sredstava Europske unije - dostupnih u strukturnim fondovima - za aktivnosti poticanja povezivanja javnog sektora i gospodarstva u provedbi znanstvenih istraživanja te transfera tehnologije, mehanizmima razvijenim sukladno identificiranim potrebama. Pritom se kontinuirano jačaju ljudski i materijalni kapaciteti znanstvenih organizacija za takve aktivnosti, posebno kroz projekt Drugoga tehnologijskog razvoja (STPII) u sklopu kojega se pruža potpora prilagodbi operativnih postupaka mjerodavnih institucija te poboljšavaju njihove sposobnosti za provedbu istraživanja i inovacijskih politika i programa u skladu s postojećom najboljom praksom.</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ukupnog izdvajanja za znanost i istraživanje kao udio u BDP-u</w:t>
            </w:r>
          </w:p>
        </w:tc>
        <w:tc>
          <w:tcPr>
            <w:tcW w:w="2551" w:type="dxa"/>
          </w:tcPr>
          <w:p w:rsidR="00505632" w:rsidRDefault="00505632" w:rsidP="00AD4E52">
            <w:pPr>
              <w:pStyle w:val="CellColumn"/>
              <w:jc w:val="left"/>
            </w:pPr>
            <w:r>
              <w:rPr>
                <w:rFonts w:cs="Times New Roman"/>
              </w:rPr>
              <w:t>Ukupno izdvajanje za znanost i istraživanje kao udio u BDP-u</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 xml:space="preserve">0,81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Eurostat</w:t>
            </w:r>
          </w:p>
        </w:tc>
        <w:tc>
          <w:tcPr>
            <w:tcW w:w="1020" w:type="dxa"/>
          </w:tcPr>
          <w:p w:rsidR="00505632" w:rsidRDefault="00505632" w:rsidP="00AD4E52">
            <w:pPr>
              <w:pStyle w:val="CellColumn"/>
              <w:jc w:val="right"/>
            </w:pPr>
            <w:r>
              <w:rPr>
                <w:rFonts w:cs="Times New Roman"/>
              </w:rPr>
              <w:t>0,90</w:t>
            </w:r>
          </w:p>
        </w:tc>
        <w:tc>
          <w:tcPr>
            <w:tcW w:w="1020" w:type="dxa"/>
          </w:tcPr>
          <w:p w:rsidR="00505632" w:rsidRDefault="00505632" w:rsidP="00AD4E52">
            <w:pPr>
              <w:pStyle w:val="CellColumn"/>
              <w:jc w:val="right"/>
            </w:pPr>
            <w:r>
              <w:rPr>
                <w:rFonts w:cs="Times New Roman"/>
              </w:rPr>
              <w:t xml:space="preserve">0,85 </w:t>
            </w:r>
          </w:p>
          <w:p w:rsidR="00505632" w:rsidRDefault="00505632" w:rsidP="00AD4E52">
            <w:pPr>
              <w:pStyle w:val="CellColumn"/>
              <w:jc w:val="right"/>
            </w:pPr>
            <w:r>
              <w:rPr>
                <w:rFonts w:cs="Times New Roman"/>
              </w:rPr>
              <w:t>(2015.)</w:t>
            </w:r>
          </w:p>
        </w:tc>
      </w:tr>
    </w:tbl>
    <w:p w:rsidR="00505632" w:rsidRDefault="00505632" w:rsidP="00505632">
      <w:pPr>
        <w:jc w:val="left"/>
      </w:pPr>
    </w:p>
    <w:p w:rsidR="00505632" w:rsidRDefault="00505632" w:rsidP="00505632">
      <w:pPr>
        <w:pStyle w:val="Heading4"/>
      </w:pPr>
      <w:r>
        <w:t>A767029 DRUGI PROJEKT TEHNOLOGIJSKOG RAZVOJA</w:t>
      </w:r>
    </w:p>
    <w:tbl>
      <w:tblPr>
        <w:tblStyle w:val="StilTablice"/>
        <w:tblW w:w="10206" w:type="dxa"/>
        <w:jc w:val="center"/>
        <w:tblLook w:val="04A0" w:firstRow="1" w:lastRow="0" w:firstColumn="1" w:lastColumn="0" w:noHBand="0" w:noVBand="1"/>
      </w:tblPr>
      <w:tblGrid>
        <w:gridCol w:w="1893"/>
        <w:gridCol w:w="1965"/>
        <w:gridCol w:w="1965"/>
        <w:gridCol w:w="1965"/>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A767029-DRUGI PROJEKT TEHNOLOGIJSKOG RAZVOJA</w:t>
            </w:r>
          </w:p>
        </w:tc>
        <w:tc>
          <w:tcPr>
            <w:tcW w:w="2041" w:type="dxa"/>
          </w:tcPr>
          <w:p w:rsidR="00505632" w:rsidRDefault="00505632" w:rsidP="00AD4E52">
            <w:pPr>
              <w:pStyle w:val="CellColumn"/>
              <w:jc w:val="right"/>
            </w:pPr>
            <w:r>
              <w:rPr>
                <w:rFonts w:cs="Times New Roman"/>
              </w:rPr>
              <w:t>14.973.262</w:t>
            </w:r>
          </w:p>
        </w:tc>
        <w:tc>
          <w:tcPr>
            <w:tcW w:w="2041" w:type="dxa"/>
          </w:tcPr>
          <w:p w:rsidR="00505632" w:rsidRDefault="00505632" w:rsidP="00AD4E52">
            <w:pPr>
              <w:pStyle w:val="CellColumn"/>
              <w:jc w:val="right"/>
            </w:pPr>
            <w:r>
              <w:rPr>
                <w:rFonts w:cs="Times New Roman"/>
              </w:rPr>
              <w:t>14.394.433</w:t>
            </w:r>
          </w:p>
        </w:tc>
        <w:tc>
          <w:tcPr>
            <w:tcW w:w="2041" w:type="dxa"/>
          </w:tcPr>
          <w:p w:rsidR="00505632" w:rsidRDefault="00505632" w:rsidP="00AD4E52">
            <w:pPr>
              <w:pStyle w:val="CellColumn"/>
              <w:jc w:val="right"/>
            </w:pPr>
            <w:r>
              <w:rPr>
                <w:rFonts w:cs="Times New Roman"/>
              </w:rPr>
              <w:t>45.592.849</w:t>
            </w:r>
          </w:p>
        </w:tc>
        <w:tc>
          <w:tcPr>
            <w:tcW w:w="1224" w:type="dxa"/>
          </w:tcPr>
          <w:p w:rsidR="00505632" w:rsidRDefault="00505632" w:rsidP="00AD4E52">
            <w:pPr>
              <w:pStyle w:val="CellColumn"/>
              <w:jc w:val="right"/>
            </w:pPr>
            <w:r>
              <w:rPr>
                <w:rFonts w:cs="Times New Roman"/>
              </w:rPr>
              <w:t>316,7</w:t>
            </w:r>
          </w:p>
        </w:tc>
        <w:tc>
          <w:tcPr>
            <w:tcW w:w="1224" w:type="dxa"/>
          </w:tcPr>
          <w:p w:rsidR="00505632" w:rsidRDefault="00505632" w:rsidP="00AD4E52">
            <w:pPr>
              <w:pStyle w:val="CellColumn"/>
              <w:jc w:val="right"/>
            </w:pPr>
            <w:r>
              <w:rPr>
                <w:rFonts w:cs="Times New Roman"/>
              </w:rPr>
              <w:t>304,5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potvrđivanju  Ugovora o zajmu između Republike Hrvatske i Međunarodne banke za obnovu i razvoj za Drugi projekt tehnologijskog razvoja (NN - MU 7/13)</w:t>
      </w:r>
    </w:p>
    <w:p w:rsidR="00505632" w:rsidRDefault="00505632" w:rsidP="00505632">
      <w:pPr>
        <w:pStyle w:val="Heading8"/>
        <w:jc w:val="left"/>
      </w:pPr>
      <w:r>
        <w:t>Opis aktivnosti</w:t>
      </w:r>
    </w:p>
    <w:p w:rsidR="00505632" w:rsidRDefault="00505632" w:rsidP="00505632">
      <w:r>
        <w:t>Drugi projekt tehnologijskog razvoja (STP II), aktivnost koja je financirana zajmom Svjetske banke, nastavak je Projekta tehnologijskog razvoja završenog u svibnju 2011. godine. Svrha STP II je pripremiti hrvatske institucije za kvalitetnu apsorpciju sredstava iz EU strukturnih fondova namijenjenih istraživanju i razvoju. Projekt je sastavljen od dvije komponente: (A) tehnička pomoć institucijama u pripremi prijava za financiranje iz sredstava EU fondova i (B) financiranje razvojno-inovativnih programa agencije HAMAG-BICRO i Fonda „Jedinstvo uz pomoć znanja“ (UKF-a) u sklopu Hrvatske zaklade za znanost. STP II je postao efektivan 19. srpnja 2013. godine, a planirani završetak projekta je 30. lipnja 2017. godine. Zbog dvaju restrukturiranja, koja su provedena 2015. i 2016. godine, došlo je do odstupanja od planiranih proračunskih sredstava te je zatraženo produženje završetka projekta do 31. ožujka 2019. godine.  Ukupno se planira utrošiti 20.000.000,00 eura zajma IBRD uz učešće Republike Hrvatske od oko 3.800.000,00 eura.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1"/>
        <w:gridCol w:w="2450"/>
        <w:gridCol w:w="1259"/>
        <w:gridCol w:w="1013"/>
        <w:gridCol w:w="1007"/>
        <w:gridCol w:w="1013"/>
        <w:gridCol w:w="1013"/>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financiranih I&amp;R projekata iz ESI fondova</w:t>
            </w:r>
          </w:p>
        </w:tc>
        <w:tc>
          <w:tcPr>
            <w:tcW w:w="2551" w:type="dxa"/>
          </w:tcPr>
          <w:p w:rsidR="00505632" w:rsidRDefault="00505632" w:rsidP="00AD4E52">
            <w:pPr>
              <w:pStyle w:val="CellColumn"/>
              <w:jc w:val="left"/>
            </w:pPr>
            <w:r>
              <w:rPr>
                <w:rFonts w:cs="Times New Roman"/>
              </w:rPr>
              <w:t>Broj financiranih I&amp;R projekata iz ESI fondova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19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K252755 RAČUNALNO KOMUNIKACIJSKA INFRASTRUKTURA U OSNOVNIM I SREDNJIM ŠKOLAMA</w:t>
      </w:r>
    </w:p>
    <w:tbl>
      <w:tblPr>
        <w:tblStyle w:val="StilTablice"/>
        <w:tblW w:w="10206" w:type="dxa"/>
        <w:jc w:val="center"/>
        <w:tblLook w:val="04A0" w:firstRow="1" w:lastRow="0" w:firstColumn="1" w:lastColumn="0" w:noHBand="0" w:noVBand="1"/>
      </w:tblPr>
      <w:tblGrid>
        <w:gridCol w:w="1915"/>
        <w:gridCol w:w="1957"/>
        <w:gridCol w:w="1958"/>
        <w:gridCol w:w="1958"/>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K252755-RAČUNALNO KOMUNIKACIJSKA INFRASTRUKTURA U OSNOVNIM I SREDNJIM ŠKOLAMA</w:t>
            </w:r>
          </w:p>
        </w:tc>
        <w:tc>
          <w:tcPr>
            <w:tcW w:w="2041" w:type="dxa"/>
          </w:tcPr>
          <w:p w:rsidR="00505632" w:rsidRDefault="00505632" w:rsidP="00AD4E52">
            <w:pPr>
              <w:pStyle w:val="CellColumn"/>
              <w:jc w:val="right"/>
            </w:pPr>
            <w:r>
              <w:rPr>
                <w:rFonts w:cs="Times New Roman"/>
              </w:rPr>
              <w:t>4.464.304</w:t>
            </w:r>
          </w:p>
        </w:tc>
        <w:tc>
          <w:tcPr>
            <w:tcW w:w="2041" w:type="dxa"/>
          </w:tcPr>
          <w:p w:rsidR="00505632" w:rsidRDefault="00505632" w:rsidP="00AD4E52">
            <w:pPr>
              <w:pStyle w:val="CellColumn"/>
              <w:jc w:val="right"/>
            </w:pPr>
            <w:r>
              <w:rPr>
                <w:rFonts w:cs="Times New Roman"/>
              </w:rPr>
              <w:t>4.464.304</w:t>
            </w:r>
          </w:p>
        </w:tc>
        <w:tc>
          <w:tcPr>
            <w:tcW w:w="2041" w:type="dxa"/>
          </w:tcPr>
          <w:p w:rsidR="00505632" w:rsidRDefault="00505632" w:rsidP="00AD4E52">
            <w:pPr>
              <w:pStyle w:val="CellColumn"/>
              <w:jc w:val="right"/>
            </w:pPr>
            <w:r>
              <w:rPr>
                <w:rFonts w:cs="Times New Roman"/>
              </w:rPr>
              <w:t>4.464.304</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odgoju i obrazovanju u osnovnoj i srednjoj školi i provedbeni propisi u području odgoja i obrazovanja</w:t>
      </w:r>
    </w:p>
    <w:p w:rsidR="00505632" w:rsidRDefault="00505632" w:rsidP="00505632">
      <w:pPr>
        <w:pStyle w:val="Heading8"/>
        <w:jc w:val="left"/>
      </w:pPr>
      <w:r>
        <w:t>Opis aktivnosti</w:t>
      </w:r>
    </w:p>
    <w:p w:rsidR="00505632" w:rsidRDefault="00505632" w:rsidP="00505632">
      <w:r>
        <w:t>Sa ove aktivnosti plaćen je iznos za licence za Microsoft za osnovne i srednje škole ugovoren Okvirnim Sporazumom za javnu nabavu: najam korištenja Microsoft programskih proizvoda za osnovne i srednje škole u trogodišnjem trajanju.</w:t>
      </w:r>
    </w:p>
    <w:p w:rsidR="00505632" w:rsidRDefault="00505632" w:rsidP="00505632">
      <w:pPr>
        <w:pStyle w:val="Heading3"/>
      </w:pPr>
      <w:r>
        <w:rPr>
          <w:rFonts w:cs="Times New Roman"/>
        </w:rPr>
        <w:t>3915 RAZVOJ SPORTA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3915-RAZVOJ SPORTA</w:t>
            </w:r>
          </w:p>
        </w:tc>
        <w:tc>
          <w:tcPr>
            <w:tcW w:w="2041" w:type="dxa"/>
          </w:tcPr>
          <w:p w:rsidR="00505632" w:rsidRDefault="00505632" w:rsidP="00AD4E52">
            <w:pPr>
              <w:pStyle w:val="CellColumn"/>
              <w:jc w:val="right"/>
            </w:pPr>
            <w:r>
              <w:rPr>
                <w:rFonts w:cs="Times New Roman"/>
              </w:rPr>
              <w:t>206.885.397</w:t>
            </w:r>
          </w:p>
        </w:tc>
        <w:tc>
          <w:tcPr>
            <w:tcW w:w="2041" w:type="dxa"/>
          </w:tcPr>
          <w:p w:rsidR="00505632" w:rsidRDefault="00505632" w:rsidP="00AD4E52">
            <w:pPr>
              <w:pStyle w:val="CellColumn"/>
              <w:jc w:val="right"/>
            </w:pPr>
            <w:r>
              <w:rPr>
                <w:rFonts w:cs="Times New Roman"/>
              </w:rPr>
              <w:t>188.308.792</w:t>
            </w:r>
          </w:p>
        </w:tc>
        <w:tc>
          <w:tcPr>
            <w:tcW w:w="2041" w:type="dxa"/>
          </w:tcPr>
          <w:p w:rsidR="00505632" w:rsidRDefault="00505632" w:rsidP="00AD4E52">
            <w:pPr>
              <w:pStyle w:val="CellColumn"/>
              <w:jc w:val="right"/>
            </w:pPr>
            <w:r>
              <w:rPr>
                <w:rFonts w:cs="Times New Roman"/>
              </w:rPr>
              <w:t>180.204.360</w:t>
            </w:r>
          </w:p>
        </w:tc>
        <w:tc>
          <w:tcPr>
            <w:tcW w:w="1224" w:type="dxa"/>
          </w:tcPr>
          <w:p w:rsidR="00505632" w:rsidRDefault="00505632" w:rsidP="00AD4E52">
            <w:pPr>
              <w:pStyle w:val="CellColumn"/>
              <w:jc w:val="right"/>
            </w:pPr>
            <w:r>
              <w:rPr>
                <w:rFonts w:cs="Times New Roman"/>
              </w:rPr>
              <w:t>95,7</w:t>
            </w:r>
          </w:p>
        </w:tc>
        <w:tc>
          <w:tcPr>
            <w:tcW w:w="1224" w:type="dxa"/>
          </w:tcPr>
          <w:p w:rsidR="00505632" w:rsidRDefault="00505632" w:rsidP="00AD4E52">
            <w:pPr>
              <w:pStyle w:val="CellColumn"/>
              <w:jc w:val="right"/>
            </w:pPr>
            <w:r>
              <w:rPr>
                <w:rFonts w:cs="Times New Roman"/>
              </w:rPr>
              <w:t>87,1</w:t>
            </w:r>
          </w:p>
        </w:tc>
      </w:tr>
    </w:tbl>
    <w:p w:rsidR="00505632" w:rsidRDefault="00505632" w:rsidP="00505632">
      <w:pPr>
        <w:jc w:val="left"/>
      </w:pPr>
    </w:p>
    <w:p w:rsidR="00505632" w:rsidRDefault="00505632" w:rsidP="00505632">
      <w:r>
        <w:t xml:space="preserve">Razvoj i održiva kvaliteta sustava sporta i sportskih djelatnosti usmjereni su prije svega na promicanje bavljenja sportom i to od najranije dobi, stvaranje uvjeta ravnomjerne zastupljenosti bavljenja sportom na čitavom području Republike Hrvatske, izrađivanje planova izgradnje, obnove i održavanja sportskih građevina te razvijanje i koordiniranje suradnje s institucijama.  </w:t>
      </w:r>
    </w:p>
    <w:p w:rsidR="00505632" w:rsidRDefault="00505632" w:rsidP="00505632">
      <w:r>
        <w:t xml:space="preserve">Kao potpora programima javnih potreba u sportu na državnoj razini (Zakon o sportu, NN, 71/06, 124/10, 124/11, 86/12, 94/13, 85/15 i 19/16) iz sredstava Državnoga proračuna i iz dijela prihoda od igara na sreću (Uredba o kriterijima za utvrđivanje korisnika i načinu raspodjele dijela prihoda od igara na sreću) osiguravaju se financijska sredstva za provođenje programa Hrvatskoga olimpijskog odbora (HOO), Hrvatskoga paraolimpijskog odbora (HPO), Hrvatskoga sportskog saveza gluhih (HSSG), Hrvatskoga školskog sportskog saveza (HŠSS) i Hrvatskoga akademskog sportskog savez (HASS).  </w:t>
      </w:r>
    </w:p>
    <w:p w:rsidR="00505632" w:rsidRDefault="00505632" w:rsidP="00505632">
      <w:r>
        <w:t xml:space="preserve">Iz sredstava Državnoga proračuna sufinanciraju se programi izvaninstitucionalnoga odgoja i obrazovanja uz pomoć sporta za programe: Poticanje bavljenja amaterskim sportom i sportskom rekreacijom, Poticanje programa međunarodne sportske suradnje i Poticanje programa obuke neplivača. Također se financiraju i programi prevencije nasilja sportom u školama. </w:t>
      </w:r>
    </w:p>
    <w:p w:rsidR="00505632" w:rsidRDefault="00505632" w:rsidP="00505632">
      <w:r>
        <w:t xml:space="preserve">Za Državne nagrade za vrhunska sportska postignuća sukladno odredbama Zakona o sportu (NN, 71/06, 124/10, 124/11, 86/12, 94/13, 85/15 i 19/16) i Uredbe o kriterijima za dodjeljivanje državnih nagrada za vrhunska sportska postignuća (NN 111/12 i 134/12) osigurana su sredstva za osvojene zlatne, srebrne i brončane medalje na olimpijskim igrama, paraolimpijskim igrama i olimpijskim igrama gluhih te za  osvojene zlatne, srebrne i brončane medalje na svjetskim i europskim seniorskim prvenstvima u olimpijskim i paraolimpijskim sportovima i disciplinama te u olimpijskim sportovima i disciplinama za gluhe.  </w:t>
      </w:r>
    </w:p>
    <w:p w:rsidR="00505632" w:rsidRDefault="00505632" w:rsidP="00505632">
      <w:r>
        <w:t xml:space="preserve">Odredbama Zakona o sportu i na temelju Uredbe o dodjeljivanju trajnih novčanih mjesečnih naknada (NN, 113/13) osigurana su sredstva za trajne novčane naknade, kao državno priznanje sportašima koji su osvojili medalje i na taj način zadužili Republiku Hrvatsku. </w:t>
      </w:r>
    </w:p>
    <w:p w:rsidR="00505632" w:rsidRDefault="00505632" w:rsidP="00505632">
      <w:r>
        <w:t>Temeljem Zakona o ustrojstvu i djelokrugu ministarstava i drugih središnjih tijela državne uprave (NN, 93/16 i 104/16) iz Ministarstva znanosti, obrazovanja i sporta izdvojeni su poslovi vezani uz šport koji se od 16. listopada 2016. godine obavljaju u nadležnosti Središnjeg državnog ureda za šport.</w:t>
      </w:r>
    </w:p>
    <w:p w:rsidR="00505632" w:rsidRDefault="00505632" w:rsidP="00505632">
      <w:pPr>
        <w:pStyle w:val="Heading8"/>
        <w:jc w:val="left"/>
      </w:pPr>
      <w:r>
        <w:t>Cilj 1. Osigurana kvaliteta sustava sporta i unaprijeđeni uvjeti za bavljenje sportom ostvarivanjem javnih potreba u sportu, potporom školskom i studentskom sportu te poticanjem izvaninstitucionalnoga odgoja i obrazovanja uz pomoć sporta</w:t>
      </w:r>
    </w:p>
    <w:p w:rsidR="00505632" w:rsidRDefault="00505632" w:rsidP="00505632">
      <w:pPr>
        <w:pStyle w:val="Heading8"/>
        <w:jc w:val="left"/>
      </w:pPr>
      <w:r>
        <w:t>Opis provedbe cilja programa</w:t>
      </w:r>
    </w:p>
    <w:p w:rsidR="00505632" w:rsidRDefault="00505632" w:rsidP="00505632">
      <w:r>
        <w:t xml:space="preserve">Tjelesno vježbanje i sport sastavni su dio odgojno-obrazovnog sustava. Za zdravi rast pojedinca i njegov razvoj potrebno je od najranije dobi promicati bavljenje sportom djece i mladih te studenata tijekom studiranja. Jednako tako, od najranije dobi potrebno je provoditi programe stvaranja uvjeta za ravnomjerno zastupljeno bavljenje sportom u odgojno-obrazovnom sustavu radi osobnog razvoja i zaštite zdravlja te programe stvaranja uvjeta za postizanje vrhunskih rezultata na međunarodnim natjecanjima. Financiranjem programa javnih potreba u sportu koje provode Hrvatski olimpijski odbor (HOO), Hrvatski paraolimpijski odbor (HPO) i Hrvatski sportski savez gluhih (HSSG) stvaraju se uvjeti za razvoj svih sportova kroz financiranje programa nacionalnih saveza te postizanje vrhunskih sportskih rezultata međunarodne razine. HOO, HPO i HSSG potiču i skrbe o razvoju sporta i promicanju sporta na državnoj, lokalnoj i regionalnoj razini. Obuhvaćaju provedbu pripreme sportaša i organizacijske pripreme za sudjelovanje na olimpijskim, paraolimpijskim i olimpijskim igrama gluhih kao i njihovo sudjelovanje na ostalim međunarodnim natjecanjima te realizaciju redovnih programa nacionalnih sportskih saveza, realizaciju razvojnih programa, unapređivanje zdravstvene zaštite sportaša i suradnju s međunarodnim institucijama.   </w:t>
      </w:r>
    </w:p>
    <w:p w:rsidR="00505632" w:rsidRDefault="00505632" w:rsidP="00505632">
      <w:r>
        <w:t>Financiranjem programa javnih potreba na državnoj razini za djelovanje Hrvatskoga školskog sportskog saveza i Hrvatskoga akademskog sportskog saveza želi se povećati postotak učenika i studenata uključenih u rad školskih sportskih društava odnosno akademskih sportskih udruga. Isto tako cilj je  uspostaviti što raznovrsniji sustav natjecanja te povećati broj i vrstu sportskih sadržaja. Sufinanciranjem  programa izvaninstitucionalnoga odgoja i obrazovanja uz pomoć sporta stvaraju se uvjeti za održanjem, ali i povećanjem broja korisnika uključenih u sportske programe.</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Održanje broja osvojenih medalja sportaša na velikim međunarodnim natjecanjima</w:t>
            </w:r>
          </w:p>
        </w:tc>
        <w:tc>
          <w:tcPr>
            <w:tcW w:w="2551" w:type="dxa"/>
          </w:tcPr>
          <w:p w:rsidR="00505632" w:rsidRDefault="00505632" w:rsidP="00AD4E52">
            <w:pPr>
              <w:pStyle w:val="CellColumn"/>
              <w:jc w:val="left"/>
            </w:pPr>
            <w:r>
              <w:rPr>
                <w:rFonts w:cs="Times New Roman"/>
              </w:rPr>
              <w:t>Ukupan broj osvojenih medalja na velikim međunarodnim natjecanjima koja su realizirana programima Hrvatskoga olimpijskog odbora, Hrvatskoga paraolimpijskog odbora i Hrvatskoga sportskog saveza gluhih</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590</w:t>
            </w:r>
          </w:p>
        </w:tc>
        <w:tc>
          <w:tcPr>
            <w:tcW w:w="1020" w:type="dxa"/>
          </w:tcPr>
          <w:p w:rsidR="00505632" w:rsidRDefault="00505632" w:rsidP="00AD4E52">
            <w:pPr>
              <w:pStyle w:val="CellColumn"/>
              <w:jc w:val="right"/>
            </w:pPr>
            <w:r>
              <w:rPr>
                <w:rFonts w:cs="Times New Roman"/>
              </w:rPr>
              <w:t>HOO, HPO i HŠSG</w:t>
            </w:r>
          </w:p>
        </w:tc>
        <w:tc>
          <w:tcPr>
            <w:tcW w:w="1020" w:type="dxa"/>
          </w:tcPr>
          <w:p w:rsidR="00505632" w:rsidRDefault="00505632" w:rsidP="00AD4E52">
            <w:pPr>
              <w:pStyle w:val="CellColumn"/>
              <w:jc w:val="right"/>
            </w:pPr>
            <w:r>
              <w:rPr>
                <w:rFonts w:cs="Times New Roman"/>
              </w:rPr>
              <w:t>590</w:t>
            </w:r>
          </w:p>
        </w:tc>
        <w:tc>
          <w:tcPr>
            <w:tcW w:w="1020" w:type="dxa"/>
          </w:tcPr>
          <w:p w:rsidR="00505632" w:rsidRDefault="00505632" w:rsidP="00AD4E52">
            <w:pPr>
              <w:pStyle w:val="CellColumn"/>
              <w:jc w:val="right"/>
            </w:pPr>
            <w:r>
              <w:rPr>
                <w:rFonts w:cs="Times New Roman"/>
              </w:rPr>
              <w:t>448</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A544018 REALIZACIJA SPORAZUMA O FINANCIRANJU ZAKUPNINE ZA GRADSKE SPORTSKE DVORANE U ZAGREBU, SPLITU I VARAŽDINU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A544018-REALIZACIJA SPORAZUMA O FINANCIRANJU ZAKUPNINE ZA GRADSKE SPORTSKE DVORANE U ZAGREBU, SPLITU I VARAŽDINU</w:t>
            </w:r>
          </w:p>
        </w:tc>
        <w:tc>
          <w:tcPr>
            <w:tcW w:w="2041" w:type="dxa"/>
          </w:tcPr>
          <w:p w:rsidR="00505632" w:rsidRDefault="00505632" w:rsidP="00AD4E52">
            <w:pPr>
              <w:pStyle w:val="CellColumn"/>
              <w:jc w:val="right"/>
            </w:pPr>
            <w:r>
              <w:rPr>
                <w:rFonts w:cs="Times New Roman"/>
              </w:rPr>
              <w:t>45.900.000</w:t>
            </w:r>
          </w:p>
        </w:tc>
        <w:tc>
          <w:tcPr>
            <w:tcW w:w="2041" w:type="dxa"/>
          </w:tcPr>
          <w:p w:rsidR="00505632" w:rsidRDefault="00505632" w:rsidP="00AD4E52">
            <w:pPr>
              <w:pStyle w:val="CellColumn"/>
              <w:jc w:val="right"/>
            </w:pPr>
            <w:r>
              <w:rPr>
                <w:rFonts w:cs="Times New Roman"/>
              </w:rPr>
              <w:t>42.321.484</w:t>
            </w:r>
          </w:p>
        </w:tc>
        <w:tc>
          <w:tcPr>
            <w:tcW w:w="2041" w:type="dxa"/>
          </w:tcPr>
          <w:p w:rsidR="00505632" w:rsidRDefault="00505632" w:rsidP="00AD4E52">
            <w:pPr>
              <w:pStyle w:val="CellColumn"/>
              <w:jc w:val="right"/>
            </w:pPr>
            <w:r>
              <w:rPr>
                <w:rFonts w:cs="Times New Roman"/>
              </w:rPr>
              <w:t>42.321.483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92,2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Sporazum o zajedničkom financiranju zakupnine za gradsku sportsku dvoranu u Splitu, Klasa: 361-01/07-02/01, Urbroj: 5030105-07-7 od 2. kolovoza 2007. te Ugovor između grada Splita i Sportskog grada TPN d.o.o.  </w:t>
      </w:r>
    </w:p>
    <w:p w:rsidR="00505632" w:rsidRDefault="00505632" w:rsidP="00505632">
      <w:r>
        <w:t xml:space="preserve">Sporazum o zajedničkom financiranju zakupnine za gradsku sportsku dvoranu u Varaždinu, Klasa: 620-08/07-01/1, Urbroj: 2186/01-01-08-39. iz 2007. te Ugovor između grada Varaždina i T.P.N DRAVA d.o.o.   </w:t>
      </w:r>
    </w:p>
    <w:p w:rsidR="00505632" w:rsidRDefault="00505632" w:rsidP="00505632">
      <w:r>
        <w:t xml:space="preserve">Sporazum o zajedničkom financiranju zakupnine za Arenu Zagreb od 14. lipnja 2007. te Ugovor između Laništa d.o.o. i Zagrebačkog holdinga </w:t>
      </w:r>
    </w:p>
    <w:p w:rsidR="00505632" w:rsidRDefault="00505632" w:rsidP="00505632">
      <w:r>
        <w:t>Članak 23. Zakona o ustrojstvu i djelokrugu ministarstava i drugih središnjih tijela državne uprave</w:t>
      </w:r>
    </w:p>
    <w:p w:rsidR="00505632" w:rsidRDefault="00505632" w:rsidP="00505632">
      <w:pPr>
        <w:pStyle w:val="Heading8"/>
        <w:jc w:val="left"/>
      </w:pPr>
      <w:r>
        <w:t>Opis aktivnosti</w:t>
      </w:r>
    </w:p>
    <w:p w:rsidR="00505632" w:rsidRDefault="00505632" w:rsidP="00505632">
      <w:r>
        <w:t>Za potrebe Svjetskog rukometnog prvenstva koje je održano 2008. godine, građene su športske dvorane po modelu javno-privatnog partnerstva. Sukladno zaključenim sporazumima najamninu/zakupninu sufinanciraju pripadni gradovi i Vlada Republike Hrvatske u omjeru 50%:50% što je i izvršeno za  2016. godinu.</w:t>
      </w:r>
    </w:p>
    <w:p w:rsidR="00505632" w:rsidRDefault="00505632" w:rsidP="00505632">
      <w:pPr>
        <w:pStyle w:val="Heading4"/>
      </w:pPr>
      <w:r>
        <w:t>A557047 PROGRAMI JAVNIH POTREBA U SPORTU NA DRŽAVNOJ RAZINI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A557047-PROGRAMI JAVNIH POTREBA U SPORTU NA DRŽAVNOJ RAZINI</w:t>
            </w:r>
          </w:p>
        </w:tc>
        <w:tc>
          <w:tcPr>
            <w:tcW w:w="2041" w:type="dxa"/>
          </w:tcPr>
          <w:p w:rsidR="00505632" w:rsidRDefault="00505632" w:rsidP="00AD4E52">
            <w:pPr>
              <w:pStyle w:val="CellColumn"/>
              <w:jc w:val="right"/>
            </w:pPr>
            <w:r>
              <w:rPr>
                <w:rFonts w:cs="Times New Roman"/>
              </w:rPr>
              <w:t>128.555.629</w:t>
            </w:r>
          </w:p>
        </w:tc>
        <w:tc>
          <w:tcPr>
            <w:tcW w:w="2041" w:type="dxa"/>
          </w:tcPr>
          <w:p w:rsidR="00505632" w:rsidRDefault="00505632" w:rsidP="00AD4E52">
            <w:pPr>
              <w:pStyle w:val="CellColumn"/>
              <w:jc w:val="right"/>
            </w:pPr>
            <w:r>
              <w:rPr>
                <w:rFonts w:cs="Times New Roman"/>
              </w:rPr>
              <w:t>119.724.020</w:t>
            </w:r>
          </w:p>
        </w:tc>
        <w:tc>
          <w:tcPr>
            <w:tcW w:w="2041" w:type="dxa"/>
          </w:tcPr>
          <w:p w:rsidR="00505632" w:rsidRDefault="00505632" w:rsidP="00AD4E52">
            <w:pPr>
              <w:pStyle w:val="CellColumn"/>
              <w:jc w:val="right"/>
            </w:pPr>
            <w:r>
              <w:rPr>
                <w:rFonts w:cs="Times New Roman"/>
              </w:rPr>
              <w:t>111.862.597</w:t>
            </w:r>
          </w:p>
        </w:tc>
        <w:tc>
          <w:tcPr>
            <w:tcW w:w="1224" w:type="dxa"/>
          </w:tcPr>
          <w:p w:rsidR="00505632" w:rsidRDefault="00505632" w:rsidP="00AD4E52">
            <w:pPr>
              <w:pStyle w:val="CellColumn"/>
              <w:jc w:val="right"/>
            </w:pPr>
            <w:r>
              <w:rPr>
                <w:rFonts w:cs="Times New Roman"/>
              </w:rPr>
              <w:t>93,4</w:t>
            </w:r>
          </w:p>
        </w:tc>
        <w:tc>
          <w:tcPr>
            <w:tcW w:w="1224" w:type="dxa"/>
          </w:tcPr>
          <w:p w:rsidR="00505632" w:rsidRDefault="00505632" w:rsidP="00AD4E52">
            <w:pPr>
              <w:pStyle w:val="CellColumn"/>
              <w:jc w:val="right"/>
            </w:pPr>
            <w:r>
              <w:rPr>
                <w:rFonts w:cs="Times New Roman"/>
              </w:rPr>
              <w:t>87,0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Članak 75. Zakona o sportu</w:t>
      </w:r>
    </w:p>
    <w:p w:rsidR="00505632" w:rsidRDefault="00505632" w:rsidP="00505632">
      <w:pPr>
        <w:pStyle w:val="Heading8"/>
        <w:jc w:val="left"/>
      </w:pPr>
      <w:r>
        <w:t>Opis aktivnosti</w:t>
      </w:r>
    </w:p>
    <w:p w:rsidR="00505632" w:rsidRDefault="00505632" w:rsidP="00505632">
      <w:r>
        <w:t xml:space="preserve">U 2016. godini za sufinanciranje dijela programa javnih potreba u sportu koja provode Hrvatski olimpijski odbor (HOO), Hrvatski paraolimpijski odbor (HPO), Hrvatski sportski savez gluhih (HSSG), Hrvatski akademski sportski savez (HASS) i Hrvatski školski sportski savez (HŠSS) osigurana su  sredstva iz općih prihoda i primitaka i iz prihoda od igara na sreću Državnoga proračuna Republike Hrvatske za 2016. i projekcije za 2017. i 2018. godinu.  </w:t>
      </w:r>
    </w:p>
    <w:p w:rsidR="00505632" w:rsidRDefault="00505632" w:rsidP="00505632">
      <w:r>
        <w:t xml:space="preserve">Krovne sportske organizacije (HOO, HPO, HSSG, HASS i HŠSS) poticale su i skrbile o aktivnostima sportskih saveza, sportašima, sportašima s invaliditetom i gluhim sportašima te o razvoju i promicanju sporta na državnoj razini uz poticanje, organizaciju i usklađivanju sporta na razini županija, gradova i općina.   </w:t>
      </w:r>
    </w:p>
    <w:p w:rsidR="00505632" w:rsidRDefault="00505632" w:rsidP="00505632">
      <w:r>
        <w:t xml:space="preserve">Članovi HOO-a su nacionalni sportski savezi među kojima su 39 olimpijskih sportova, 45 neolimpijskih sportova, 20 županijskih sportskih zajednica i Grad Zagreb te 10 udruga i ustanova od interesa za hrvatski sport. U 2016. godini HOO je provodio programe po programskim skupinama: Redovni programi nacionalnih sportskih saveza, Posebni programski projekti, Programi poticanja i razvoja sporta, Zajedničke programske zadaće, Hrvatska olimpijska akademija, Olimpijska solidarnost, Zaklada hrvatskih sportaša, EU fondovi.  </w:t>
      </w:r>
    </w:p>
    <w:p w:rsidR="00505632" w:rsidRDefault="00505632" w:rsidP="00505632">
      <w:r>
        <w:t xml:space="preserve">HPO provodio je programe po programskim skupinama: Zajedničke programske aktivnosti, Djelovanje nacionalnih sportskih saveza osoba s invaliditetom, Sportski programi – redovni, Sportski programi – posebni projekti i Potpore organizaciji značajnih međunarodnih natjecanja u RH.  </w:t>
      </w:r>
    </w:p>
    <w:p w:rsidR="00505632" w:rsidRDefault="00505632" w:rsidP="00505632">
      <w:r>
        <w:t xml:space="preserve">HSSG provodio je programe po programskim skupinama: Zajedničke programske aktivnosti Saveza (organizacija i funkcioniranje), Sportski programi (redovni programi i razvojni programi) i Sportski programi – posebni projekti (Ljetne Olimpijske igre gluhih). Ciljevi programa su uključivanje što većeg broja mladih gluhih sportaša u sport na području RH, omogućavanje kvalitetnog razvoja i napretka perspektivnih sportaša mlađih od 21 godine i razvoj novih sportova gluhih.   </w:t>
      </w:r>
    </w:p>
    <w:p w:rsidR="00505632" w:rsidRDefault="00505632" w:rsidP="00505632">
      <w:r>
        <w:t xml:space="preserve">U sustav školskog sporta, u programe koje je u 2016. godini provodio Hrvatski školski sportski savez, bilo je uključeno više od 110.000 učenika osnovnih i srednjih škola. Primarna zadaća HŠSS je organizacija završnice Državnog prvenstva ŠSD-a osnovnih i srednjih škola. U sklopu završnice Državnog prvenstva HŠSS organizirao je i Državno prvenstvo za djecu s intelektualnim teškoćama u razvoju. Također, HŠSS provodio je programe Univerzalne sportske škole za učenike od 1. do 4. razreda OŠ i programe Vježbaonice za učenike od 5. do 8. razreda OŠ.  </w:t>
      </w:r>
    </w:p>
    <w:p w:rsidR="00505632" w:rsidRDefault="00505632" w:rsidP="00505632">
      <w:r>
        <w:t xml:space="preserve">Hrvatski akademski sportski savez u 2016. godini provodio je programe: UniSport Finals (organizacija završnice Državnog prvenstva koja predstavlja finalno natjecanje studenata u ekipnim sportovima kojem prethode kvalifikacijska natjecanja) i UniSport lige, studentska natjecanje u 13 sportova.   </w:t>
      </w:r>
    </w:p>
    <w:p w:rsidR="00505632" w:rsidRDefault="00505632" w:rsidP="00505632">
      <w:r>
        <w:t xml:space="preserve">U 2016. godini u sportske programe na sveučilištima i veleučilištima koje je provodio HASS bilo je uključeno više od 20.000 studenata. </w:t>
      </w:r>
    </w:p>
    <w:p w:rsidR="00505632" w:rsidRDefault="00505632" w:rsidP="00505632">
      <w:r>
        <w:t>Udruga „Europske sveučilišne igre Zagreb-Rijeka 2016.“, koju je osnovao Hrvatski akademski sportski savez, u 2016. godini bila je domaćin i  organizator 3. europskih sveučilišnih igara Zagreb-Rijeka. Natjecanje se odvijalo u 24 sporta, a natjecalo se više od 4800 studenata-sportaša. Kada se tom broju pribroje i ostali članovi, treneri, službene osobe brojka se penju na više od 5700 osoba. U organizaciju Igara bilo je uključeno više od 2000 volontera.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0"/>
        <w:gridCol w:w="2450"/>
        <w:gridCol w:w="1002"/>
        <w:gridCol w:w="1011"/>
        <w:gridCol w:w="1270"/>
        <w:gridCol w:w="1011"/>
        <w:gridCol w:w="1012"/>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kategoriziranih sportaša olimpijaca</w:t>
            </w:r>
          </w:p>
        </w:tc>
        <w:tc>
          <w:tcPr>
            <w:tcW w:w="2551" w:type="dxa"/>
          </w:tcPr>
          <w:p w:rsidR="00505632" w:rsidRDefault="00505632" w:rsidP="00AD4E52">
            <w:pPr>
              <w:pStyle w:val="CellColumn"/>
              <w:jc w:val="left"/>
            </w:pPr>
            <w:r>
              <w:rPr>
                <w:rFonts w:cs="Times New Roman"/>
              </w:rPr>
              <w:t>Financiranjem javnih potreba u sportu povećat će se broj kategoriziranih sportaša olimpijaca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4.275</w:t>
            </w:r>
          </w:p>
        </w:tc>
        <w:tc>
          <w:tcPr>
            <w:tcW w:w="1020" w:type="dxa"/>
          </w:tcPr>
          <w:p w:rsidR="00505632" w:rsidRDefault="00505632" w:rsidP="00AD4E52">
            <w:pPr>
              <w:pStyle w:val="CellColumn"/>
              <w:jc w:val="right"/>
            </w:pPr>
            <w:r>
              <w:rPr>
                <w:rFonts w:cs="Times New Roman"/>
              </w:rPr>
              <w:t>Hrvatski olimpijski odbor</w:t>
            </w:r>
          </w:p>
        </w:tc>
        <w:tc>
          <w:tcPr>
            <w:tcW w:w="1020" w:type="dxa"/>
          </w:tcPr>
          <w:p w:rsidR="00505632" w:rsidRDefault="00505632" w:rsidP="00AD4E52">
            <w:pPr>
              <w:pStyle w:val="CellColumn"/>
              <w:jc w:val="right"/>
            </w:pPr>
            <w:r>
              <w:rPr>
                <w:rFonts w:cs="Times New Roman"/>
              </w:rPr>
              <w:t>4300</w:t>
            </w:r>
          </w:p>
        </w:tc>
        <w:tc>
          <w:tcPr>
            <w:tcW w:w="1020" w:type="dxa"/>
          </w:tcPr>
          <w:p w:rsidR="00505632" w:rsidRDefault="00505632" w:rsidP="00AD4E52">
            <w:pPr>
              <w:pStyle w:val="CellColumn"/>
              <w:jc w:val="right"/>
            </w:pPr>
            <w:r>
              <w:rPr>
                <w:rFonts w:cs="Times New Roman"/>
              </w:rPr>
              <w:t>3.106</w:t>
            </w:r>
          </w:p>
        </w:tc>
      </w:tr>
      <w:tr w:rsidR="00505632" w:rsidTr="00AD4E52">
        <w:trPr>
          <w:jc w:val="center"/>
        </w:trPr>
        <w:tc>
          <w:tcPr>
            <w:tcW w:w="2551" w:type="dxa"/>
          </w:tcPr>
          <w:p w:rsidR="00505632" w:rsidRDefault="00505632" w:rsidP="00AD4E52">
            <w:pPr>
              <w:pStyle w:val="CellColumn"/>
              <w:jc w:val="left"/>
            </w:pPr>
            <w:r>
              <w:rPr>
                <w:rFonts w:cs="Times New Roman"/>
              </w:rPr>
              <w:t>Broj kategoriziranih sportaša paraolimpijaca</w:t>
            </w:r>
          </w:p>
        </w:tc>
        <w:tc>
          <w:tcPr>
            <w:tcW w:w="2551" w:type="dxa"/>
          </w:tcPr>
          <w:p w:rsidR="00505632" w:rsidRDefault="00505632" w:rsidP="00AD4E52">
            <w:pPr>
              <w:pStyle w:val="CellColumn"/>
              <w:jc w:val="left"/>
            </w:pPr>
            <w:r>
              <w:rPr>
                <w:rFonts w:cs="Times New Roman"/>
              </w:rPr>
              <w:t>Financiranjem javnih potreba u sportu povećat će se broj kategoriziranih sportaša paraolimpijaca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69</w:t>
            </w:r>
          </w:p>
        </w:tc>
        <w:tc>
          <w:tcPr>
            <w:tcW w:w="1020" w:type="dxa"/>
          </w:tcPr>
          <w:p w:rsidR="00505632" w:rsidRDefault="00505632" w:rsidP="00AD4E52">
            <w:pPr>
              <w:pStyle w:val="CellColumn"/>
              <w:jc w:val="right"/>
            </w:pPr>
            <w:r>
              <w:rPr>
                <w:rFonts w:cs="Times New Roman"/>
              </w:rPr>
              <w:t>Hrvatski paraolimpijski odbor</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80</w:t>
            </w:r>
          </w:p>
        </w:tc>
      </w:tr>
      <w:tr w:rsidR="00505632" w:rsidTr="00AD4E52">
        <w:trPr>
          <w:jc w:val="center"/>
        </w:trPr>
        <w:tc>
          <w:tcPr>
            <w:tcW w:w="2551" w:type="dxa"/>
          </w:tcPr>
          <w:p w:rsidR="00505632" w:rsidRDefault="00505632" w:rsidP="00AD4E52">
            <w:pPr>
              <w:pStyle w:val="CellColumn"/>
              <w:jc w:val="left"/>
            </w:pPr>
            <w:r>
              <w:rPr>
                <w:rFonts w:cs="Times New Roman"/>
              </w:rPr>
              <w:t>Broj kategoriziranih gluhih sportaša</w:t>
            </w:r>
          </w:p>
        </w:tc>
        <w:tc>
          <w:tcPr>
            <w:tcW w:w="2551" w:type="dxa"/>
          </w:tcPr>
          <w:p w:rsidR="00505632" w:rsidRDefault="00505632" w:rsidP="00AD4E52">
            <w:pPr>
              <w:pStyle w:val="CellColumn"/>
              <w:jc w:val="left"/>
            </w:pPr>
            <w:r>
              <w:rPr>
                <w:rFonts w:cs="Times New Roman"/>
              </w:rPr>
              <w:t>Financiranjem javnih potreba u sportu povećat će se broj kategoriziranih gluhih sportaša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76</w:t>
            </w:r>
          </w:p>
        </w:tc>
        <w:tc>
          <w:tcPr>
            <w:tcW w:w="1020" w:type="dxa"/>
          </w:tcPr>
          <w:p w:rsidR="00505632" w:rsidRDefault="00505632" w:rsidP="00AD4E52">
            <w:pPr>
              <w:pStyle w:val="CellColumn"/>
              <w:jc w:val="right"/>
            </w:pPr>
            <w:r>
              <w:rPr>
                <w:rFonts w:cs="Times New Roman"/>
              </w:rPr>
              <w:t>Hrvatski sportski savez gluhih</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Povećanje postotka uključenih učenika u školski sport</w:t>
            </w:r>
          </w:p>
        </w:tc>
        <w:tc>
          <w:tcPr>
            <w:tcW w:w="2551" w:type="dxa"/>
          </w:tcPr>
          <w:p w:rsidR="00505632" w:rsidRDefault="00505632" w:rsidP="00AD4E52">
            <w:pPr>
              <w:pStyle w:val="CellColumn"/>
              <w:jc w:val="left"/>
            </w:pPr>
            <w:r>
              <w:rPr>
                <w:rFonts w:cs="Times New Roman"/>
              </w:rPr>
              <w:t>Financiranjem javnih potreba u sportu povećat će se postotak učenika uključenih u sustav školskog sporta</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20,5</w:t>
            </w:r>
          </w:p>
        </w:tc>
        <w:tc>
          <w:tcPr>
            <w:tcW w:w="1020" w:type="dxa"/>
          </w:tcPr>
          <w:p w:rsidR="00505632" w:rsidRDefault="00505632" w:rsidP="00AD4E52">
            <w:pPr>
              <w:pStyle w:val="CellColumn"/>
              <w:jc w:val="right"/>
            </w:pPr>
            <w:r>
              <w:rPr>
                <w:rFonts w:cs="Times New Roman"/>
              </w:rPr>
              <w:t>Hrvatski školski sportski savez</w:t>
            </w:r>
          </w:p>
        </w:tc>
        <w:tc>
          <w:tcPr>
            <w:tcW w:w="1020" w:type="dxa"/>
          </w:tcPr>
          <w:p w:rsidR="00505632" w:rsidRDefault="00505632" w:rsidP="00AD4E52">
            <w:pPr>
              <w:pStyle w:val="CellColumn"/>
              <w:jc w:val="right"/>
            </w:pPr>
            <w:r>
              <w:rPr>
                <w:rFonts w:cs="Times New Roman"/>
              </w:rPr>
              <w:t>20,6</w:t>
            </w:r>
          </w:p>
        </w:tc>
        <w:tc>
          <w:tcPr>
            <w:tcW w:w="1020" w:type="dxa"/>
          </w:tcPr>
          <w:p w:rsidR="00505632" w:rsidRDefault="00505632" w:rsidP="00AD4E52">
            <w:pPr>
              <w:pStyle w:val="CellColumn"/>
              <w:jc w:val="right"/>
            </w:pPr>
            <w:r>
              <w:rPr>
                <w:rFonts w:cs="Times New Roman"/>
              </w:rPr>
              <w:t>20,6</w:t>
            </w:r>
          </w:p>
        </w:tc>
      </w:tr>
      <w:tr w:rsidR="00505632" w:rsidTr="00AD4E52">
        <w:trPr>
          <w:jc w:val="center"/>
        </w:trPr>
        <w:tc>
          <w:tcPr>
            <w:tcW w:w="2551" w:type="dxa"/>
          </w:tcPr>
          <w:p w:rsidR="00505632" w:rsidRDefault="00505632" w:rsidP="00AD4E52">
            <w:pPr>
              <w:pStyle w:val="CellColumn"/>
              <w:jc w:val="left"/>
            </w:pPr>
            <w:r>
              <w:rPr>
                <w:rFonts w:cs="Times New Roman"/>
              </w:rPr>
              <w:t>Povećanje postotka uključenih studenata u studentski sport</w:t>
            </w:r>
          </w:p>
        </w:tc>
        <w:tc>
          <w:tcPr>
            <w:tcW w:w="2551" w:type="dxa"/>
          </w:tcPr>
          <w:p w:rsidR="00505632" w:rsidRDefault="00505632" w:rsidP="00AD4E52">
            <w:pPr>
              <w:pStyle w:val="CellColumn"/>
              <w:jc w:val="left"/>
            </w:pPr>
            <w:r>
              <w:rPr>
                <w:rFonts w:cs="Times New Roman"/>
              </w:rPr>
              <w:t>Financiranjem javnih potreba u sportu povećat će se postotak studenata uključenih u sustav akademskog sporta</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12</w:t>
            </w:r>
          </w:p>
        </w:tc>
        <w:tc>
          <w:tcPr>
            <w:tcW w:w="1020" w:type="dxa"/>
          </w:tcPr>
          <w:p w:rsidR="00505632" w:rsidRDefault="00505632" w:rsidP="00AD4E52">
            <w:pPr>
              <w:pStyle w:val="CellColumn"/>
              <w:jc w:val="right"/>
            </w:pPr>
            <w:r>
              <w:rPr>
                <w:rFonts w:cs="Times New Roman"/>
              </w:rPr>
              <w:t>Hrvatski akademski sportski savez</w:t>
            </w:r>
          </w:p>
        </w:tc>
        <w:tc>
          <w:tcPr>
            <w:tcW w:w="1020" w:type="dxa"/>
          </w:tcPr>
          <w:p w:rsidR="00505632" w:rsidRDefault="00505632" w:rsidP="00AD4E52">
            <w:pPr>
              <w:pStyle w:val="CellColumn"/>
              <w:jc w:val="right"/>
            </w:pPr>
            <w:r>
              <w:rPr>
                <w:rFonts w:cs="Times New Roman"/>
              </w:rPr>
              <w:t>12,05</w:t>
            </w:r>
          </w:p>
        </w:tc>
        <w:tc>
          <w:tcPr>
            <w:tcW w:w="1020" w:type="dxa"/>
          </w:tcPr>
          <w:p w:rsidR="00505632" w:rsidRDefault="00505632" w:rsidP="00AD4E52">
            <w:pPr>
              <w:pStyle w:val="CellColumn"/>
              <w:jc w:val="right"/>
            </w:pPr>
            <w:r>
              <w:rPr>
                <w:rFonts w:cs="Times New Roman"/>
              </w:rPr>
              <w:t>12,05</w:t>
            </w:r>
          </w:p>
        </w:tc>
      </w:tr>
    </w:tbl>
    <w:p w:rsidR="00505632" w:rsidRDefault="00505632" w:rsidP="00505632">
      <w:pPr>
        <w:jc w:val="left"/>
      </w:pPr>
    </w:p>
    <w:p w:rsidR="00505632" w:rsidRDefault="00505632" w:rsidP="00505632">
      <w:pPr>
        <w:pStyle w:val="Heading4"/>
      </w:pPr>
      <w:r>
        <w:t>A577127 DRŽAVNE NAGRADE ZA VRHUNSKA SPORTSKA POSTIGNUĆA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A577127-DRŽAVNE NAGRADE ZA VRHUNSKA SPORTSKA POSTIGNUĆA</w:t>
            </w:r>
          </w:p>
        </w:tc>
        <w:tc>
          <w:tcPr>
            <w:tcW w:w="2041" w:type="dxa"/>
          </w:tcPr>
          <w:p w:rsidR="00505632" w:rsidRDefault="00505632" w:rsidP="00AD4E52">
            <w:pPr>
              <w:pStyle w:val="CellColumn"/>
              <w:jc w:val="right"/>
            </w:pPr>
            <w:r>
              <w:rPr>
                <w:rFonts w:cs="Times New Roman"/>
              </w:rPr>
              <w:t>3.715.620</w:t>
            </w:r>
          </w:p>
        </w:tc>
        <w:tc>
          <w:tcPr>
            <w:tcW w:w="2041" w:type="dxa"/>
          </w:tcPr>
          <w:p w:rsidR="00505632" w:rsidRDefault="00505632" w:rsidP="00AD4E52">
            <w:pPr>
              <w:pStyle w:val="CellColumn"/>
              <w:jc w:val="right"/>
            </w:pPr>
            <w:r>
              <w:rPr>
                <w:rFonts w:cs="Times New Roman"/>
              </w:rPr>
              <w:t>7.245.700</w:t>
            </w:r>
          </w:p>
        </w:tc>
        <w:tc>
          <w:tcPr>
            <w:tcW w:w="2041" w:type="dxa"/>
          </w:tcPr>
          <w:p w:rsidR="00505632" w:rsidRDefault="00505632" w:rsidP="00AD4E52">
            <w:pPr>
              <w:pStyle w:val="CellColumn"/>
              <w:jc w:val="right"/>
            </w:pPr>
            <w:r>
              <w:rPr>
                <w:rFonts w:cs="Times New Roman"/>
              </w:rPr>
              <w:t>7.245.700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195,0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Članak 82. Zakona o sportu </w:t>
      </w:r>
    </w:p>
    <w:p w:rsidR="00505632" w:rsidRDefault="00505632" w:rsidP="00505632">
      <w:r>
        <w:t>Uredba o kriterijima za dodjeljivanje državnih nagrada za vrhunska sportska postignuća</w:t>
      </w:r>
    </w:p>
    <w:p w:rsidR="00505632" w:rsidRDefault="00505632" w:rsidP="00505632">
      <w:pPr>
        <w:pStyle w:val="Heading8"/>
        <w:jc w:val="left"/>
      </w:pPr>
      <w:r>
        <w:t>Opis aktivnosti</w:t>
      </w:r>
    </w:p>
    <w:p w:rsidR="00505632" w:rsidRDefault="00505632" w:rsidP="00505632">
      <w:r>
        <w:t>Državne nagrade dodjeljuju se sportašima, sportskim ekipama, trenerima i djelatnim stručnim sportskim osobama za osvojene zlatne, srebrne i brončane medalje na olimpijskim igrama, paraolimpijskim igrama i olimpijskim igrama gluhih, na svjetskim i europskim seniorskim prvenstvima u olimpijskim i paraolimpijskim sportovima i disciplinama te u olimpijskim sportovima i disciplinama za gluhe. U 2016. godini dodijeljene su nagrade za 7 zlatnih, 5 srebrnih i 3 brončane medalje osvojene na olimpijskim i paraolimpijskim igrama, 8 zlatnih i 6 srebrnih medalja osvojenih na svjetskim prvenstvima, 22 zlatne, 8 srebrnih i 9 brončanih medalja osvojenih na europskim prvenstvima te za 4 rekorda oborena na seniorskim natjecanjima.</w:t>
      </w:r>
    </w:p>
    <w:p w:rsidR="00505632" w:rsidRDefault="00505632" w:rsidP="00505632">
      <w:pPr>
        <w:pStyle w:val="Heading4"/>
      </w:pPr>
      <w:r>
        <w:t>A577129 POTICAJI MEĐUNARODNE SPORTSKE SURADNJE</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A577129-POTICAJI MEĐUNARODNE SPORTSKE SURADNJE</w:t>
            </w:r>
          </w:p>
        </w:tc>
        <w:tc>
          <w:tcPr>
            <w:tcW w:w="2041" w:type="dxa"/>
          </w:tcPr>
          <w:p w:rsidR="00505632" w:rsidRDefault="00505632" w:rsidP="00AD4E52">
            <w:pPr>
              <w:pStyle w:val="CellColumn"/>
              <w:jc w:val="right"/>
            </w:pPr>
            <w:r>
              <w:rPr>
                <w:rFonts w:cs="Times New Roman"/>
              </w:rPr>
              <w:t>560.974</w:t>
            </w:r>
          </w:p>
        </w:tc>
        <w:tc>
          <w:tcPr>
            <w:tcW w:w="2041" w:type="dxa"/>
          </w:tcPr>
          <w:p w:rsidR="00505632" w:rsidRDefault="00505632" w:rsidP="00AD4E52">
            <w:pPr>
              <w:pStyle w:val="CellColumn"/>
              <w:jc w:val="right"/>
            </w:pPr>
            <w:r>
              <w:rPr>
                <w:rFonts w:cs="Times New Roman"/>
              </w:rPr>
              <w:t>764.494</w:t>
            </w:r>
          </w:p>
        </w:tc>
        <w:tc>
          <w:tcPr>
            <w:tcW w:w="2041" w:type="dxa"/>
          </w:tcPr>
          <w:p w:rsidR="00505632" w:rsidRDefault="00505632" w:rsidP="00AD4E52">
            <w:pPr>
              <w:pStyle w:val="CellColumn"/>
              <w:jc w:val="right"/>
            </w:pPr>
            <w:r>
              <w:rPr>
                <w:rFonts w:cs="Times New Roman"/>
              </w:rPr>
              <w:t>760.639</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135,6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Članak 75. Zakona o sportu </w:t>
      </w:r>
    </w:p>
    <w:p w:rsidR="00505632" w:rsidRDefault="00505632" w:rsidP="00505632">
      <w:r>
        <w:t>Drugi Plan rada Europske unije u području sporta (2014. - 2017.)</w:t>
      </w:r>
    </w:p>
    <w:p w:rsidR="00505632" w:rsidRDefault="00505632" w:rsidP="00505632">
      <w:pPr>
        <w:pStyle w:val="Heading8"/>
        <w:jc w:val="left"/>
      </w:pPr>
      <w:r>
        <w:t>Opis aktivnosti</w:t>
      </w:r>
    </w:p>
    <w:p w:rsidR="00505632" w:rsidRDefault="00505632" w:rsidP="00505632">
      <w:r>
        <w:t xml:space="preserve">Program se odnosi na financijsku potporu za poticaje međunarodne sportske suradnje te sudjelovanje u Programima Europske unije u području sporta (Erasmus+:Sport) kao i programima i projektima Vijeća Europe i EPAS-a.  </w:t>
      </w:r>
    </w:p>
    <w:p w:rsidR="00505632" w:rsidRDefault="00505632" w:rsidP="00505632">
      <w:r>
        <w:t xml:space="preserve">Također, prilikom održavanja Europskog prvenstva u nogometu u Francuskoj lipanj/srpanj 2016, u Parizu je organiziran projekt Obala Europe na kojem su sve države sudionice organizirale razne aktivnosti koje su predstavljale državu.  </w:t>
      </w:r>
    </w:p>
    <w:p w:rsidR="00505632" w:rsidRDefault="00505632" w:rsidP="00505632">
      <w:r>
        <w:t>Hrvatska se također uključila u projekt (MZO, MINK, MT i HTZ) te je dogovoreno da Ministarstvo preuzme plaćanje - 5.000 eura - prostor s kontejnerom u trajanju od mjesec dana, HTZ je preuzeo organizaciju sadržaja i aktivnosti u kontejneru/kućici (prezentacija turističkih sadržaja) a MINK je bio zadužen za prijedlog i organizaciju kulturnih sadržaja uz podršku MVEP-a i Hrvatske kuće.</w:t>
      </w:r>
    </w:p>
    <w:p w:rsidR="00505632" w:rsidRDefault="00505632" w:rsidP="00505632">
      <w:pPr>
        <w:pStyle w:val="Heading4"/>
      </w:pPr>
      <w:r>
        <w:t>A733053 EUROPSKI TJEDAN SPORTA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A733053-EUROPSKI TJEDAN SPORTA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609.901</w:t>
            </w:r>
          </w:p>
        </w:tc>
        <w:tc>
          <w:tcPr>
            <w:tcW w:w="2041" w:type="dxa"/>
          </w:tcPr>
          <w:p w:rsidR="00505632" w:rsidRDefault="00505632" w:rsidP="00AD4E52">
            <w:pPr>
              <w:pStyle w:val="CellColumn"/>
              <w:jc w:val="right"/>
            </w:pPr>
            <w:r>
              <w:rPr>
                <w:rFonts w:cs="Times New Roman"/>
              </w:rPr>
              <w:t>488.277</w:t>
            </w:r>
          </w:p>
        </w:tc>
        <w:tc>
          <w:tcPr>
            <w:tcW w:w="1224" w:type="dxa"/>
          </w:tcPr>
          <w:p w:rsidR="00505632" w:rsidRDefault="00505632" w:rsidP="00AD4E52">
            <w:pPr>
              <w:pStyle w:val="CellColumn"/>
              <w:jc w:val="right"/>
            </w:pPr>
            <w:r>
              <w:rPr>
                <w:rFonts w:cs="Times New Roman"/>
              </w:rPr>
              <w:t>80,1</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Europskog parlamenta i Vijeća o osnivanju Erasmus+: programa Unije za obrazovanje, trening, mlade i sport (Uredba (EU) br. 1288/2013 Europskog parlamenta i Vijeća od 11. prosinca 2013.)</w:t>
      </w:r>
    </w:p>
    <w:p w:rsidR="00505632" w:rsidRDefault="00505632" w:rsidP="00505632">
      <w:pPr>
        <w:pStyle w:val="Heading8"/>
        <w:jc w:val="left"/>
      </w:pPr>
      <w:r>
        <w:t>Opis aktivnosti</w:t>
      </w:r>
    </w:p>
    <w:p w:rsidR="00505632" w:rsidRDefault="00505632" w:rsidP="00505632">
      <w:r>
        <w:t xml:space="preserve">Europski tjedan sporta 2016. projekt prijavljen Europskoj komisiji u siječnju. Ministarstvo je bilo Nacionalni koordinator za organizaciju EWoS-a u rujnu 2016. godine. Nova inicijativa Europske komisije iz 2015. godine o obilježavanju Europskog tjedan sporta u drugom tjednu u mjesecu rujnu, u svim državama članicama, omogućila je i Republici Hrvatskoj priliku prijave za dobivanje granta u maksimalnom iznosu od 60.000 EUR za organizaciju istog. Trajanje EWoS-a predviđeno je svake godine u narednih 5 godina te je za tu potrebu otvoren Tekući projekt na kojemu su sredstva od 20% koja se sufinanciraju iz DP-a (izvor 11) te sredstva od 80% od EU komisije (izvor 53).  </w:t>
      </w:r>
    </w:p>
    <w:p w:rsidR="00505632" w:rsidRDefault="00505632" w:rsidP="00505632">
      <w:r>
        <w:t>U sklopu programa Erasmus+ Sport, 2016. godine Ministarstvo kao nacionalno koordinacijsko tijelo imalo je ulogu u razvoju Europskog tjedna sporta. U skladu sa svojim radnim programom Erasmus+ 2016., Europska komisija dodijelila je bespovratna sredstva nacionalnim koordinacijskim tijelima kako bi učinkovito podržala provedbu nacionalnog tjedna. Sukladno tome, Ministarstvo znanosti, obrazovanja i sporta organiziralo je nacionalni event Be CROActive s ciljevima podizanja svijesti o važnosti fizičke aktivnosti u svakodnevnom životu. U razdoblju od 10. do 17. rujna 2016. godine održano je niz aktivnosti u sklopu Europskog tjedan sporta sukladno Akcijskom planu i prijavljenom budžetu.</w:t>
      </w:r>
    </w:p>
    <w:p w:rsidR="00505632" w:rsidRDefault="00505632" w:rsidP="00505632">
      <w:pPr>
        <w:pStyle w:val="Heading4"/>
      </w:pPr>
      <w:r>
        <w:t>A767030 DRŽAVNO PRIZNANJE-TRAJNE NOVČANE NAKNADE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A767030-DRŽAVNO PRIZNANJE-TRAJNE NOVČANE NAKNADE</w:t>
            </w:r>
          </w:p>
        </w:tc>
        <w:tc>
          <w:tcPr>
            <w:tcW w:w="2041" w:type="dxa"/>
          </w:tcPr>
          <w:p w:rsidR="00505632" w:rsidRDefault="00505632" w:rsidP="00AD4E52">
            <w:pPr>
              <w:pStyle w:val="CellColumn"/>
              <w:jc w:val="right"/>
            </w:pPr>
            <w:r>
              <w:rPr>
                <w:rFonts w:cs="Times New Roman"/>
              </w:rPr>
              <w:t>15.823.792</w:t>
            </w:r>
          </w:p>
        </w:tc>
        <w:tc>
          <w:tcPr>
            <w:tcW w:w="2041" w:type="dxa"/>
          </w:tcPr>
          <w:p w:rsidR="00505632" w:rsidRDefault="00505632" w:rsidP="00AD4E52">
            <w:pPr>
              <w:pStyle w:val="CellColumn"/>
              <w:jc w:val="right"/>
            </w:pPr>
            <w:r>
              <w:rPr>
                <w:rFonts w:cs="Times New Roman"/>
              </w:rPr>
              <w:t>15.823.792</w:t>
            </w:r>
          </w:p>
        </w:tc>
        <w:tc>
          <w:tcPr>
            <w:tcW w:w="2041" w:type="dxa"/>
          </w:tcPr>
          <w:p w:rsidR="00505632" w:rsidRDefault="00505632" w:rsidP="00AD4E52">
            <w:pPr>
              <w:pStyle w:val="CellColumn"/>
              <w:jc w:val="right"/>
            </w:pPr>
            <w:r>
              <w:rPr>
                <w:rFonts w:cs="Times New Roman"/>
              </w:rPr>
              <w:t>15.786.402</w:t>
            </w:r>
          </w:p>
        </w:tc>
        <w:tc>
          <w:tcPr>
            <w:tcW w:w="1224" w:type="dxa"/>
          </w:tcPr>
          <w:p w:rsidR="00505632" w:rsidRDefault="00505632" w:rsidP="00AD4E52">
            <w:pPr>
              <w:pStyle w:val="CellColumn"/>
              <w:jc w:val="right"/>
            </w:pPr>
            <w:r>
              <w:rPr>
                <w:rFonts w:cs="Times New Roman"/>
              </w:rPr>
              <w:t>99,8</w:t>
            </w:r>
          </w:p>
        </w:tc>
        <w:tc>
          <w:tcPr>
            <w:tcW w:w="1224" w:type="dxa"/>
          </w:tcPr>
          <w:p w:rsidR="00505632" w:rsidRDefault="00505632" w:rsidP="00AD4E52">
            <w:pPr>
              <w:pStyle w:val="CellColumn"/>
              <w:jc w:val="right"/>
            </w:pPr>
            <w:r>
              <w:rPr>
                <w:rFonts w:cs="Times New Roman"/>
              </w:rPr>
              <w:t>99,8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Članak 82. Zakona o sportu </w:t>
      </w:r>
    </w:p>
    <w:p w:rsidR="00505632" w:rsidRDefault="00505632" w:rsidP="00505632">
      <w:r>
        <w:t>Uredba o dodjeljivanju trajnih novčanih mjesečnih naknada</w:t>
      </w:r>
    </w:p>
    <w:p w:rsidR="00505632" w:rsidRDefault="00505632" w:rsidP="00505632">
      <w:pPr>
        <w:pStyle w:val="Heading8"/>
        <w:jc w:val="left"/>
      </w:pPr>
      <w:r>
        <w:t>Opis aktivnosti</w:t>
      </w:r>
    </w:p>
    <w:p w:rsidR="00505632" w:rsidRDefault="00505632" w:rsidP="00505632">
      <w:r>
        <w:t>Ministarstvo je sukladno odredbama Zakona o sportu, osiguralo sredstva za trajne novčane mjesečne naknade. Trajne novčane mjesečne naknade dodjeljuju se sportašima kao državno priznanje za poseban doprinos ugledu Republike Hrvatske. U 2016. godini pravo na trajne novčane mjesečne naknade ostvarilo je 192 sportaša i sportašica, od toga 160 koji su osvojili medalje na olimpijskim igrama, paraolimpijskim igrama i olimpijskim igrama gluhih te 32 koji su ostvarili medalje na svjetskim seniorskim prvenstvima u olimpijskim sportovima i disciplinama.</w:t>
      </w:r>
    </w:p>
    <w:p w:rsidR="00505632" w:rsidRDefault="00505632" w:rsidP="00505632">
      <w:pPr>
        <w:pStyle w:val="Heading4"/>
      </w:pPr>
      <w:r>
        <w:t>A767050 POTICANJE SPORTSKO-REKREATIVNIH AKTIVNOSTI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A767050-POTICANJE SPORTSKO-REKREATIVNIH AKTIVNOSTI</w:t>
            </w:r>
          </w:p>
        </w:tc>
        <w:tc>
          <w:tcPr>
            <w:tcW w:w="2041" w:type="dxa"/>
          </w:tcPr>
          <w:p w:rsidR="00505632" w:rsidRDefault="00505632" w:rsidP="00AD4E52">
            <w:pPr>
              <w:pStyle w:val="CellColumn"/>
              <w:jc w:val="right"/>
            </w:pPr>
            <w:r>
              <w:rPr>
                <w:rFonts w:cs="Times New Roman"/>
              </w:rPr>
              <w:t>1.400.000</w:t>
            </w:r>
          </w:p>
        </w:tc>
        <w:tc>
          <w:tcPr>
            <w:tcW w:w="2041" w:type="dxa"/>
          </w:tcPr>
          <w:p w:rsidR="00505632" w:rsidRDefault="00505632" w:rsidP="00AD4E52">
            <w:pPr>
              <w:pStyle w:val="CellColumn"/>
              <w:jc w:val="right"/>
            </w:pPr>
            <w:r>
              <w:rPr>
                <w:rFonts w:cs="Times New Roman"/>
              </w:rPr>
              <w:t>1.399.737</w:t>
            </w:r>
          </w:p>
        </w:tc>
        <w:tc>
          <w:tcPr>
            <w:tcW w:w="2041" w:type="dxa"/>
          </w:tcPr>
          <w:p w:rsidR="00505632" w:rsidRDefault="00505632" w:rsidP="00AD4E52">
            <w:pPr>
              <w:pStyle w:val="CellColumn"/>
              <w:jc w:val="right"/>
            </w:pPr>
            <w:r>
              <w:rPr>
                <w:rFonts w:cs="Times New Roman"/>
              </w:rPr>
              <w:t>1.399.736</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Članak 75. stavak 1. Zakona o sportu</w:t>
      </w:r>
    </w:p>
    <w:p w:rsidR="00505632" w:rsidRDefault="00505632" w:rsidP="00505632">
      <w:pPr>
        <w:pStyle w:val="Heading8"/>
        <w:jc w:val="left"/>
      </w:pPr>
      <w:r>
        <w:t>Opis aktivnosti</w:t>
      </w:r>
    </w:p>
    <w:p w:rsidR="00505632" w:rsidRDefault="00505632" w:rsidP="00505632">
      <w:r>
        <w:t>Rekreacija odnosno amatersko bavljenje sportom obuhvaća sve vrste aktivnosti u slobodnom vremenu koje pridonose razvoju stvaralačkih potencijala, zdravlja, životnog optimizma, zadovoljstva i kvalitete života ljudi. U 2016. godini za aktivnost Poticanje sportsko-rekreativnih aktivnosti raspisali smo Natječaj koji je obuhvatio tri programska područja: Poticanje bavljenja amaterskim sportom i sportskom rekreacijom, Poticanje programa međunarodne sportske suradnje i Poticanje programa obuke neplivača. Posebni ciljevi Natječaja su bili: povećanje broja korisnika uključenih u programe sportske rekreacije i amaterskog bavljenja sportom, povećanje postotka broja djece koja su uspješno prošla programe obuke neplivača i naučila plivati, u svrhu poboljšanja zdravlja sportskim programima unaprijediti kvalitetu života svih uključenih dionika i povećanje broja uključenih korisnika u programe međunarodne sportske suradnje. Putem Natječaja Ministarstvo je sufinanciralo 25 sportskih udruga za programe koji su se provodili tijekom 2016. godine.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Održanje broja programa međunarodne sportske suradnje</w:t>
            </w:r>
          </w:p>
        </w:tc>
        <w:tc>
          <w:tcPr>
            <w:tcW w:w="2551" w:type="dxa"/>
          </w:tcPr>
          <w:p w:rsidR="00505632" w:rsidRDefault="00505632" w:rsidP="00AD4E52">
            <w:pPr>
              <w:pStyle w:val="CellColumn"/>
              <w:jc w:val="left"/>
            </w:pPr>
            <w:r>
              <w:rPr>
                <w:rFonts w:cs="Times New Roman"/>
              </w:rPr>
              <w:t>Poticanje programa sportsko-rekreativnih aktivnosti putem natječaja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7</w:t>
            </w:r>
          </w:p>
        </w:tc>
      </w:tr>
      <w:tr w:rsidR="00505632" w:rsidTr="00AD4E52">
        <w:trPr>
          <w:jc w:val="center"/>
        </w:trPr>
        <w:tc>
          <w:tcPr>
            <w:tcW w:w="2551" w:type="dxa"/>
          </w:tcPr>
          <w:p w:rsidR="00505632" w:rsidRDefault="00505632" w:rsidP="00AD4E52">
            <w:pPr>
              <w:pStyle w:val="CellColumn"/>
              <w:jc w:val="left"/>
            </w:pPr>
            <w:r>
              <w:rPr>
                <w:rFonts w:cs="Times New Roman"/>
              </w:rPr>
              <w:t>Povećanje postotka djece koja su uspješno savladala program obuke neplivača</w:t>
            </w:r>
          </w:p>
        </w:tc>
        <w:tc>
          <w:tcPr>
            <w:tcW w:w="2551" w:type="dxa"/>
          </w:tcPr>
          <w:p w:rsidR="00505632" w:rsidRDefault="00505632" w:rsidP="00AD4E52">
            <w:pPr>
              <w:pStyle w:val="CellColumn"/>
              <w:jc w:val="left"/>
            </w:pPr>
            <w:r>
              <w:rPr>
                <w:rFonts w:cs="Times New Roman"/>
              </w:rPr>
              <w:t>Poticanje programa sportsko-rekreativnih aktivnosti putem natječaja</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55</w:t>
            </w:r>
          </w:p>
        </w:tc>
        <w:tc>
          <w:tcPr>
            <w:tcW w:w="1020" w:type="dxa"/>
          </w:tcPr>
          <w:p w:rsidR="00505632" w:rsidRDefault="00505632" w:rsidP="00AD4E52">
            <w:pPr>
              <w:pStyle w:val="CellColumn"/>
              <w:jc w:val="right"/>
            </w:pPr>
            <w:r>
              <w:rPr>
                <w:rFonts w:cs="Times New Roman"/>
              </w:rPr>
              <w:t>55</w:t>
            </w:r>
          </w:p>
        </w:tc>
      </w:tr>
      <w:tr w:rsidR="00505632" w:rsidTr="00AD4E52">
        <w:trPr>
          <w:jc w:val="center"/>
        </w:trPr>
        <w:tc>
          <w:tcPr>
            <w:tcW w:w="2551" w:type="dxa"/>
          </w:tcPr>
          <w:p w:rsidR="00505632" w:rsidRDefault="00505632" w:rsidP="00AD4E52">
            <w:pPr>
              <w:pStyle w:val="CellColumn"/>
              <w:jc w:val="left"/>
            </w:pPr>
            <w:r>
              <w:rPr>
                <w:rFonts w:cs="Times New Roman"/>
              </w:rPr>
              <w:t>Održanje broja korisnika uključenih u programe sportske rekreacije i amaterskog bavljenja sportom</w:t>
            </w:r>
          </w:p>
        </w:tc>
        <w:tc>
          <w:tcPr>
            <w:tcW w:w="2551" w:type="dxa"/>
          </w:tcPr>
          <w:p w:rsidR="00505632" w:rsidRDefault="00505632" w:rsidP="00AD4E52">
            <w:pPr>
              <w:pStyle w:val="CellColumn"/>
              <w:jc w:val="left"/>
            </w:pPr>
            <w:r>
              <w:rPr>
                <w:rFonts w:cs="Times New Roman"/>
              </w:rPr>
              <w:t>Poticanje programa sportsko-rekreativnih aktivnosti putem natječaja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900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900</w:t>
            </w:r>
          </w:p>
        </w:tc>
        <w:tc>
          <w:tcPr>
            <w:tcW w:w="1020"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4"/>
      </w:pPr>
      <w:r>
        <w:t>A768006 DRŽAVNA NAGRADA ZA SPORT "FRANJO BUČAR"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A768006-DRŽAVNA NAGRADA ZA SPORT "FRANJO BUČAR"</w:t>
            </w:r>
          </w:p>
        </w:tc>
        <w:tc>
          <w:tcPr>
            <w:tcW w:w="2041" w:type="dxa"/>
          </w:tcPr>
          <w:p w:rsidR="00505632" w:rsidRDefault="00505632" w:rsidP="00AD4E52">
            <w:pPr>
              <w:pStyle w:val="CellColumn"/>
              <w:jc w:val="right"/>
            </w:pPr>
            <w:r>
              <w:rPr>
                <w:rFonts w:cs="Times New Roman"/>
              </w:rPr>
              <w:t>446.217</w:t>
            </w:r>
          </w:p>
        </w:tc>
        <w:tc>
          <w:tcPr>
            <w:tcW w:w="2041" w:type="dxa"/>
          </w:tcPr>
          <w:p w:rsidR="00505632" w:rsidRDefault="00505632" w:rsidP="00AD4E52">
            <w:pPr>
              <w:pStyle w:val="CellColumn"/>
              <w:jc w:val="right"/>
            </w:pPr>
            <w:r>
              <w:rPr>
                <w:rFonts w:cs="Times New Roman"/>
              </w:rPr>
              <w:t>39.177</w:t>
            </w:r>
          </w:p>
        </w:tc>
        <w:tc>
          <w:tcPr>
            <w:tcW w:w="2041" w:type="dxa"/>
          </w:tcPr>
          <w:p w:rsidR="00505632" w:rsidRDefault="00505632" w:rsidP="00AD4E52">
            <w:pPr>
              <w:pStyle w:val="CellColumn"/>
              <w:jc w:val="right"/>
            </w:pPr>
            <w:r>
              <w:rPr>
                <w:rFonts w:cs="Times New Roman"/>
              </w:rPr>
              <w:t>13.012</w:t>
            </w:r>
          </w:p>
        </w:tc>
        <w:tc>
          <w:tcPr>
            <w:tcW w:w="1224" w:type="dxa"/>
          </w:tcPr>
          <w:p w:rsidR="00505632" w:rsidRDefault="00505632" w:rsidP="00AD4E52">
            <w:pPr>
              <w:pStyle w:val="CellColumn"/>
              <w:jc w:val="right"/>
            </w:pPr>
            <w:r>
              <w:rPr>
                <w:rFonts w:cs="Times New Roman"/>
              </w:rPr>
              <w:t>33,2</w:t>
            </w:r>
          </w:p>
        </w:tc>
        <w:tc>
          <w:tcPr>
            <w:tcW w:w="1224" w:type="dxa"/>
          </w:tcPr>
          <w:p w:rsidR="00505632" w:rsidRDefault="00505632" w:rsidP="00AD4E52">
            <w:pPr>
              <w:pStyle w:val="CellColumn"/>
              <w:jc w:val="right"/>
            </w:pPr>
            <w:r>
              <w:rPr>
                <w:rFonts w:cs="Times New Roman"/>
              </w:rPr>
              <w:t>2,9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Članak 79., 80. i 81. Zakona o sportu </w:t>
      </w:r>
    </w:p>
    <w:p w:rsidR="00505632" w:rsidRDefault="00505632" w:rsidP="00505632">
      <w:r>
        <w:t>Pravilnik o Državnoj nagradi za sport "Franjo Bučar"</w:t>
      </w:r>
    </w:p>
    <w:p w:rsidR="00505632" w:rsidRDefault="00505632" w:rsidP="00505632">
      <w:pPr>
        <w:pStyle w:val="Heading8"/>
        <w:jc w:val="left"/>
      </w:pPr>
      <w:r>
        <w:t>Opis aktivnosti</w:t>
      </w:r>
    </w:p>
    <w:p w:rsidR="00505632" w:rsidRDefault="00505632" w:rsidP="00505632">
      <w:r>
        <w:t xml:space="preserve">Državna nagrada za sport „Franjo Bučar“ najviše je priznanje koje Republika Hrvatska dodjeljuje za iznimna postignuća i doprinos od osobitog značenja za razvoj sporta u Republici Hrvatskoj. Državna nagrada dodjeljuje se stručnim i javnim djelatnicima u području sporta, sportašima, pravnim i fizičkim osobama koje obavljaju sportsku djelatnost te drugim pravnim i fizičkim osobama zaslužnim za razvoj sporta u Republici Hrvatskoj.  </w:t>
      </w:r>
    </w:p>
    <w:p w:rsidR="00505632" w:rsidRDefault="00505632" w:rsidP="00505632">
      <w:r>
        <w:t>Državna nagrada dodjeljuje se kao nagrada za životno djelo pojedincima za njihov trajan doprinos u promicanju sporta i kao godišnja nagrada pojedincima, skupinama i pravnim osobama za sportska ostvarenja ili drugi značajan doprinos u promicanju sporta u obliku medalje s likom Franje Bučara, posebne diplome i novčane nagrade. Odluku o dodjeli nagrade donosi Odbor Državne nagrade kojega imenuje Hrvatski sabor. Godišnje se može dodijeliti najviše petnaest nagrada, od toga tri za životno djelo, što je u 2016. godini i dodijeljeno.</w:t>
      </w:r>
    </w:p>
    <w:p w:rsidR="00505632" w:rsidRDefault="00505632" w:rsidP="00505632">
      <w:pPr>
        <w:pStyle w:val="Heading4"/>
      </w:pPr>
      <w:r>
        <w:t>A768020 PREVENCIJA NASILJA SPORTOM U ŠKOLAMA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A768020-PREVENCIJA NASILJA SPORTOM U ŠKOLAMA</w:t>
            </w:r>
          </w:p>
        </w:tc>
        <w:tc>
          <w:tcPr>
            <w:tcW w:w="2041" w:type="dxa"/>
          </w:tcPr>
          <w:p w:rsidR="00505632" w:rsidRDefault="00505632" w:rsidP="00AD4E52">
            <w:pPr>
              <w:pStyle w:val="CellColumn"/>
              <w:jc w:val="right"/>
            </w:pPr>
            <w:r>
              <w:rPr>
                <w:rFonts w:cs="Times New Roman"/>
              </w:rPr>
              <w:t>194.644</w:t>
            </w:r>
          </w:p>
        </w:tc>
        <w:tc>
          <w:tcPr>
            <w:tcW w:w="2041" w:type="dxa"/>
          </w:tcPr>
          <w:p w:rsidR="00505632" w:rsidRDefault="00505632" w:rsidP="00AD4E52">
            <w:pPr>
              <w:pStyle w:val="CellColumn"/>
              <w:jc w:val="right"/>
            </w:pPr>
            <w:r>
              <w:rPr>
                <w:rFonts w:cs="Times New Roman"/>
              </w:rPr>
              <w:t>93.234</w:t>
            </w:r>
          </w:p>
        </w:tc>
        <w:tc>
          <w:tcPr>
            <w:tcW w:w="2041" w:type="dxa"/>
          </w:tcPr>
          <w:p w:rsidR="00505632" w:rsidRDefault="00505632" w:rsidP="00AD4E52">
            <w:pPr>
              <w:pStyle w:val="CellColumn"/>
              <w:jc w:val="right"/>
            </w:pPr>
            <w:r>
              <w:rPr>
                <w:rFonts w:cs="Times New Roman"/>
              </w:rPr>
              <w:t>92.184</w:t>
            </w:r>
          </w:p>
        </w:tc>
        <w:tc>
          <w:tcPr>
            <w:tcW w:w="1224" w:type="dxa"/>
          </w:tcPr>
          <w:p w:rsidR="00505632" w:rsidRDefault="00505632" w:rsidP="00AD4E52">
            <w:pPr>
              <w:pStyle w:val="CellColumn"/>
              <w:jc w:val="right"/>
            </w:pPr>
            <w:r>
              <w:rPr>
                <w:rFonts w:cs="Times New Roman"/>
              </w:rPr>
              <w:t>98,9</w:t>
            </w:r>
          </w:p>
        </w:tc>
        <w:tc>
          <w:tcPr>
            <w:tcW w:w="1224" w:type="dxa"/>
          </w:tcPr>
          <w:p w:rsidR="00505632" w:rsidRDefault="00505632" w:rsidP="00AD4E52">
            <w:pPr>
              <w:pStyle w:val="CellColumn"/>
              <w:jc w:val="right"/>
            </w:pPr>
            <w:r>
              <w:rPr>
                <w:rFonts w:cs="Times New Roman"/>
              </w:rPr>
              <w:t>47,4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sprečavanju nereda na športskim natjecanjima </w:t>
      </w:r>
    </w:p>
    <w:p w:rsidR="00505632" w:rsidRDefault="00505632" w:rsidP="00505632">
      <w:r>
        <w:t>Akcijski plan Stalne komisije Europske konvencije o nasilju gledatelja i nedoličnom ponašanju na sportskim priredbama, posebice nogometnim utakmicama</w:t>
      </w:r>
    </w:p>
    <w:p w:rsidR="00505632" w:rsidRDefault="00505632" w:rsidP="00505632">
      <w:pPr>
        <w:pStyle w:val="Heading8"/>
        <w:jc w:val="left"/>
      </w:pPr>
      <w:r>
        <w:t>Opis aktivnosti</w:t>
      </w:r>
    </w:p>
    <w:p w:rsidR="00505632" w:rsidRDefault="00505632" w:rsidP="00505632">
      <w:r>
        <w:t xml:space="preserve">Programi Prevencije nasilja sportom u školama provodili su se u suradnji s Agencijom za odgoj i obrazovanje Republike Hrvatske kroz niz mjera edukacije u borbi protiv nasilja u sportu, koji su prilagođeni različitoj dobi učenika. Provedba Akcijskog plana zamišljena je kao interaktivni odnos u kojem su djeca i mladi nositelji i/ili aktivni sudionici većine mjera, kroz stručna savjetovanja, prevođenje literature, distribucije po svim obrazovnim institucijama, preventivne programe, provođenje radionica i istraživanja koja upućuju na što treba djelovati kod djece: na stavove ili navike ponašanja.  </w:t>
      </w:r>
    </w:p>
    <w:p w:rsidR="00505632" w:rsidRDefault="00505632" w:rsidP="00505632">
      <w:r>
        <w:t xml:space="preserve">Provedene aktivnosti u 2016. godini:  </w:t>
      </w:r>
    </w:p>
    <w:p w:rsidR="00505632" w:rsidRDefault="00505632" w:rsidP="00505632">
      <w:r>
        <w:t xml:space="preserve">•Održani stručni skupovi voditelja županijskih stručnih vijeća preventivnih programa i tjelesne i zdravstvene kulture – Prevencija nasilnih oblika ponašanja kod mladih  </w:t>
      </w:r>
    </w:p>
    <w:p w:rsidR="00505632" w:rsidRDefault="00505632" w:rsidP="00505632">
      <w:r>
        <w:t>•Završeno istraživanje „Zastupljenost nasilja i nesportskog ponašanja mladih u nogometu na području Grada Zagreba“ u suradnji s Edukacijsko-rehabilitacijskim fakultetom.</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Održanje broja održanih stručnih skupova vezanih uz pripremu i provedbu školskih preventivnih programa</w:t>
            </w:r>
          </w:p>
        </w:tc>
        <w:tc>
          <w:tcPr>
            <w:tcW w:w="2551" w:type="dxa"/>
          </w:tcPr>
          <w:p w:rsidR="00505632" w:rsidRDefault="00505632" w:rsidP="00AD4E52">
            <w:pPr>
              <w:pStyle w:val="CellColumn"/>
              <w:jc w:val="left"/>
            </w:pPr>
            <w:r>
              <w:rPr>
                <w:rFonts w:cs="Times New Roman"/>
              </w:rPr>
              <w:t>Provođenje niza mjera edukacije u borbi protiv nasilja u športu koje su prilagođene različitoj dobi učenika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35</w:t>
            </w:r>
          </w:p>
        </w:tc>
        <w:tc>
          <w:tcPr>
            <w:tcW w:w="1020" w:type="dxa"/>
          </w:tcPr>
          <w:p w:rsidR="00505632" w:rsidRDefault="00505632" w:rsidP="00AD4E52">
            <w:pPr>
              <w:pStyle w:val="CellColumn"/>
              <w:jc w:val="right"/>
            </w:pPr>
            <w:r>
              <w:rPr>
                <w:rFonts w:cs="Times New Roman"/>
              </w:rPr>
              <w:t>MZO, AZOO</w:t>
            </w:r>
          </w:p>
        </w:tc>
        <w:tc>
          <w:tcPr>
            <w:tcW w:w="1020" w:type="dxa"/>
          </w:tcPr>
          <w:p w:rsidR="00505632" w:rsidRDefault="00505632" w:rsidP="00AD4E52">
            <w:pPr>
              <w:pStyle w:val="CellColumn"/>
              <w:jc w:val="right"/>
            </w:pPr>
            <w:r>
              <w:rPr>
                <w:rFonts w:cs="Times New Roman"/>
              </w:rPr>
              <w:t>35</w:t>
            </w:r>
          </w:p>
        </w:tc>
        <w:tc>
          <w:tcPr>
            <w:tcW w:w="1020" w:type="dxa"/>
          </w:tcPr>
          <w:p w:rsidR="00505632" w:rsidRDefault="00505632" w:rsidP="00AD4E52">
            <w:pPr>
              <w:pStyle w:val="CellColumn"/>
              <w:jc w:val="right"/>
            </w:pPr>
            <w:r>
              <w:rPr>
                <w:rFonts w:cs="Times New Roman"/>
              </w:rPr>
              <w:t>35</w:t>
            </w:r>
          </w:p>
        </w:tc>
      </w:tr>
    </w:tbl>
    <w:p w:rsidR="00505632" w:rsidRDefault="00505632" w:rsidP="00505632">
      <w:pPr>
        <w:jc w:val="left"/>
      </w:pPr>
    </w:p>
    <w:p w:rsidR="00505632" w:rsidRDefault="00505632" w:rsidP="00505632">
      <w:pPr>
        <w:pStyle w:val="Heading4"/>
      </w:pPr>
      <w:r>
        <w:t>A768041 NACIONALNO VIJEĆE ZA SPORT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A768041-NACIONALNO VIJEĆE ZA SPORT</w:t>
            </w:r>
          </w:p>
        </w:tc>
        <w:tc>
          <w:tcPr>
            <w:tcW w:w="2041" w:type="dxa"/>
          </w:tcPr>
          <w:p w:rsidR="00505632" w:rsidRDefault="00505632" w:rsidP="00AD4E52">
            <w:pPr>
              <w:pStyle w:val="CellColumn"/>
              <w:jc w:val="right"/>
            </w:pPr>
            <w:r>
              <w:rPr>
                <w:rFonts w:cs="Times New Roman"/>
              </w:rPr>
              <w:t>285.065</w:t>
            </w:r>
          </w:p>
        </w:tc>
        <w:tc>
          <w:tcPr>
            <w:tcW w:w="2041" w:type="dxa"/>
          </w:tcPr>
          <w:p w:rsidR="00505632" w:rsidRDefault="00505632" w:rsidP="00AD4E52">
            <w:pPr>
              <w:pStyle w:val="CellColumn"/>
              <w:jc w:val="right"/>
            </w:pPr>
            <w:r>
              <w:rPr>
                <w:rFonts w:cs="Times New Roman"/>
              </w:rPr>
              <w:t>182.000</w:t>
            </w:r>
          </w:p>
        </w:tc>
        <w:tc>
          <w:tcPr>
            <w:tcW w:w="2041" w:type="dxa"/>
          </w:tcPr>
          <w:p w:rsidR="00505632" w:rsidRDefault="00505632" w:rsidP="00AD4E52">
            <w:pPr>
              <w:pStyle w:val="CellColumn"/>
              <w:jc w:val="right"/>
            </w:pPr>
            <w:r>
              <w:rPr>
                <w:rFonts w:cs="Times New Roman"/>
              </w:rPr>
              <w:t>129.943</w:t>
            </w:r>
          </w:p>
        </w:tc>
        <w:tc>
          <w:tcPr>
            <w:tcW w:w="1224" w:type="dxa"/>
          </w:tcPr>
          <w:p w:rsidR="00505632" w:rsidRDefault="00505632" w:rsidP="00AD4E52">
            <w:pPr>
              <w:pStyle w:val="CellColumn"/>
              <w:jc w:val="right"/>
            </w:pPr>
            <w:r>
              <w:rPr>
                <w:rFonts w:cs="Times New Roman"/>
              </w:rPr>
              <w:t>71,4</w:t>
            </w:r>
          </w:p>
        </w:tc>
        <w:tc>
          <w:tcPr>
            <w:tcW w:w="1224" w:type="dxa"/>
          </w:tcPr>
          <w:p w:rsidR="00505632" w:rsidRDefault="00505632" w:rsidP="00AD4E52">
            <w:pPr>
              <w:pStyle w:val="CellColumn"/>
              <w:jc w:val="right"/>
            </w:pPr>
            <w:r>
              <w:rPr>
                <w:rFonts w:cs="Times New Roman"/>
              </w:rPr>
              <w:t>45,6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Članak 3. i 4. Zakona o sportu</w:t>
      </w:r>
    </w:p>
    <w:p w:rsidR="00505632" w:rsidRDefault="00505632" w:rsidP="00505632">
      <w:pPr>
        <w:pStyle w:val="Heading8"/>
        <w:jc w:val="left"/>
      </w:pPr>
      <w:r>
        <w:t>Opis aktivnosti</w:t>
      </w:r>
    </w:p>
    <w:p w:rsidR="00505632" w:rsidRDefault="00505632" w:rsidP="00505632">
      <w:r>
        <w:t>Nacionalno vijeće za sport najviše je stručno i savjetodavno tijelo koje se brine za razvoj i kvalitetu sporta u Republici Hrvatskoj.  U 2016. godini Nacionalno vijeće za sport raspravljalo je o pitanjima od značaja za sport te predlagalo i poticalo mjere za unapređenje sporta, davalo mišljenje o programima osposobljavanja za stručni rad u sportu, davalo mišljenje i preporuke na nacrte prijedloga propisa koji se odnose na sport, davalo prethodno mišljenje o postojanju interesa za prijem u hrvatsko državljanstvo stranim državljanima - fizičkim osobama u sustavu sporta.</w:t>
      </w:r>
    </w:p>
    <w:p w:rsidR="00505632" w:rsidRDefault="00505632" w:rsidP="00505632">
      <w:pPr>
        <w:pStyle w:val="Heading4"/>
      </w:pPr>
      <w:r>
        <w:t>T768043 PREOBLIKOVANJE SPORTSKIH KLUBOVA-UDRUGA</w:t>
      </w:r>
    </w:p>
    <w:tbl>
      <w:tblPr>
        <w:tblStyle w:val="StilTablice"/>
        <w:tblW w:w="10206" w:type="dxa"/>
        <w:jc w:val="center"/>
        <w:tblLook w:val="04A0" w:firstRow="1" w:lastRow="0" w:firstColumn="1" w:lastColumn="0" w:noHBand="0" w:noVBand="1"/>
      </w:tblPr>
      <w:tblGrid>
        <w:gridCol w:w="1871"/>
        <w:gridCol w:w="1972"/>
        <w:gridCol w:w="1967"/>
        <w:gridCol w:w="1972"/>
        <w:gridCol w:w="1209"/>
        <w:gridCol w:w="1215"/>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T768043-PREOBLIKOVANJE SPORTSKIH KLUBOVA-UDRUGA</w:t>
            </w:r>
          </w:p>
        </w:tc>
        <w:tc>
          <w:tcPr>
            <w:tcW w:w="2041" w:type="dxa"/>
          </w:tcPr>
          <w:p w:rsidR="00505632" w:rsidRDefault="00505632" w:rsidP="00AD4E52">
            <w:pPr>
              <w:pStyle w:val="CellColumn"/>
              <w:jc w:val="right"/>
            </w:pPr>
            <w:r>
              <w:rPr>
                <w:rFonts w:cs="Times New Roman"/>
              </w:rPr>
              <w:t>147.357</w:t>
            </w:r>
          </w:p>
        </w:tc>
        <w:tc>
          <w:tcPr>
            <w:tcW w:w="2041" w:type="dxa"/>
          </w:tcPr>
          <w:p w:rsidR="00505632" w:rsidRDefault="00505632" w:rsidP="00AD4E52">
            <w:pPr>
              <w:pStyle w:val="CellColumn"/>
              <w:jc w:val="right"/>
            </w:pPr>
            <w:r>
              <w:rPr>
                <w:rFonts w:cs="Times New Roman"/>
              </w:rPr>
              <w:t>105.253</w:t>
            </w:r>
          </w:p>
        </w:tc>
        <w:tc>
          <w:tcPr>
            <w:tcW w:w="2041" w:type="dxa"/>
          </w:tcPr>
          <w:p w:rsidR="00505632" w:rsidRDefault="00505632" w:rsidP="00AD4E52">
            <w:pPr>
              <w:pStyle w:val="CellColumn"/>
              <w:jc w:val="right"/>
            </w:pPr>
            <w:r>
              <w:rPr>
                <w:rFonts w:cs="Times New Roman"/>
              </w:rPr>
              <w:t>104.387</w:t>
            </w:r>
          </w:p>
        </w:tc>
        <w:tc>
          <w:tcPr>
            <w:tcW w:w="1224" w:type="dxa"/>
          </w:tcPr>
          <w:p w:rsidR="00505632" w:rsidRDefault="00505632" w:rsidP="00AD4E52">
            <w:pPr>
              <w:pStyle w:val="CellColumn"/>
              <w:jc w:val="right"/>
            </w:pPr>
            <w:r>
              <w:rPr>
                <w:rFonts w:cs="Times New Roman"/>
              </w:rPr>
              <w:t>99,2</w:t>
            </w:r>
          </w:p>
        </w:tc>
        <w:tc>
          <w:tcPr>
            <w:tcW w:w="1224" w:type="dxa"/>
          </w:tcPr>
          <w:p w:rsidR="00505632" w:rsidRDefault="00505632" w:rsidP="00AD4E52">
            <w:pPr>
              <w:pStyle w:val="CellColumn"/>
              <w:jc w:val="right"/>
            </w:pPr>
            <w:r>
              <w:rPr>
                <w:rFonts w:cs="Times New Roman"/>
              </w:rPr>
              <w:t>70,8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Članak 24., 26., 28. do 45. Zakona o sportu  </w:t>
      </w:r>
    </w:p>
    <w:p w:rsidR="00505632" w:rsidRDefault="00505632" w:rsidP="00505632">
      <w:r>
        <w:t xml:space="preserve">Pravilnik o djelokrugu i načinu rada Povjerenstva za profesionalne sportske klubove </w:t>
      </w:r>
    </w:p>
    <w:p w:rsidR="00505632" w:rsidRDefault="00505632" w:rsidP="00505632">
      <w:r>
        <w:t>Pravilnik o načinu i rokovima podnošenja akata Povjerenstvu za profesionalne sportske klubove Pravilnik o Registru profesionalnih sportskih klubova</w:t>
      </w:r>
    </w:p>
    <w:p w:rsidR="00505632" w:rsidRDefault="00505632" w:rsidP="00505632">
      <w:pPr>
        <w:pStyle w:val="Heading8"/>
        <w:jc w:val="left"/>
      </w:pPr>
      <w:r>
        <w:t>Opis aktivnosti</w:t>
      </w:r>
    </w:p>
    <w:p w:rsidR="00505632" w:rsidRDefault="00505632" w:rsidP="00505632">
      <w:r>
        <w:t>Zakonom o sportu predviđeno je preoblikovanje sportskih klubova – udruga za natjecanje u sportska dionička društva (s.d.d.). Profesionalni sportski klub obvezno se upisuje u Registar profesionalnih sportskih klubova koji je vodilo Ministarstvo. Obavljanje djelatnosti profesionalnih sportskih klubova u 2016. godini kao stručno tijelo pratilo je Povjerenstvo za profesionalne sportske klubove.</w:t>
      </w:r>
    </w:p>
    <w:p w:rsidR="00505632" w:rsidRDefault="00505632" w:rsidP="00505632">
      <w:pPr>
        <w:pStyle w:val="Heading2"/>
      </w:pPr>
      <w:r>
        <w:t>08006 Sveučilišta i veleučilišta u Republici Hrvatskoj</w:t>
      </w:r>
    </w:p>
    <w:p w:rsidR="00505632" w:rsidRDefault="00505632" w:rsidP="00505632">
      <w:r>
        <w:t>Primarni zadatak Vlade Republike Hrvatske je osigurati dostupnost obrazovanja svima pod jednakim uvjetima. Razvoj dostupnijeg, prilagodljivijeg i učinkovitijeg sustava odgoja i obrazovanja, na nacionalnoj i međunarodnoj razini, omogućit će stvaranje intelektualnog i radnoga ljudskog potencijala kao ključnog bogatstva hrvatske države te poticajnog okruženja za održive inovacijske i znanstveno-tehnološke aktivnosti.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08006-Sveučilišta i veleučilišta u Republici Hrvatskoj</w:t>
            </w:r>
          </w:p>
        </w:tc>
        <w:tc>
          <w:tcPr>
            <w:tcW w:w="2041" w:type="dxa"/>
            <w:vAlign w:val="top"/>
          </w:tcPr>
          <w:p w:rsidR="00505632" w:rsidRDefault="00505632" w:rsidP="00AD4E52">
            <w:pPr>
              <w:pStyle w:val="CellColumn"/>
              <w:jc w:val="right"/>
            </w:pPr>
            <w:r>
              <w:rPr>
                <w:rFonts w:cs="Times New Roman"/>
              </w:rPr>
              <w:t>4.018.987.890</w:t>
            </w:r>
          </w:p>
        </w:tc>
        <w:tc>
          <w:tcPr>
            <w:tcW w:w="2041" w:type="dxa"/>
            <w:vAlign w:val="top"/>
          </w:tcPr>
          <w:p w:rsidR="00505632" w:rsidRDefault="00505632" w:rsidP="00AD4E52">
            <w:pPr>
              <w:pStyle w:val="CellColumn"/>
              <w:jc w:val="right"/>
            </w:pPr>
            <w:r>
              <w:rPr>
                <w:rFonts w:cs="Times New Roman"/>
              </w:rPr>
              <w:t>4.439.031.860</w:t>
            </w:r>
          </w:p>
        </w:tc>
        <w:tc>
          <w:tcPr>
            <w:tcW w:w="2041" w:type="dxa"/>
            <w:vAlign w:val="top"/>
          </w:tcPr>
          <w:p w:rsidR="00505632" w:rsidRDefault="00505632" w:rsidP="00AD4E52">
            <w:pPr>
              <w:pStyle w:val="CellColumn"/>
              <w:jc w:val="right"/>
            </w:pPr>
            <w:r>
              <w:rPr>
                <w:rFonts w:cs="Times New Roman"/>
              </w:rPr>
              <w:t>4.342.218.218</w:t>
            </w:r>
          </w:p>
        </w:tc>
        <w:tc>
          <w:tcPr>
            <w:tcW w:w="1224" w:type="dxa"/>
            <w:vAlign w:val="top"/>
          </w:tcPr>
          <w:p w:rsidR="00505632" w:rsidRDefault="00505632" w:rsidP="00AD4E52">
            <w:pPr>
              <w:pStyle w:val="CellColumn"/>
              <w:jc w:val="right"/>
            </w:pPr>
            <w:r>
              <w:rPr>
                <w:rFonts w:cs="Times New Roman"/>
              </w:rPr>
              <w:t>97,8</w:t>
            </w:r>
          </w:p>
        </w:tc>
        <w:tc>
          <w:tcPr>
            <w:tcW w:w="1224" w:type="dxa"/>
            <w:vAlign w:val="top"/>
          </w:tcPr>
          <w:p w:rsidR="00505632" w:rsidRDefault="00505632" w:rsidP="00AD4E52">
            <w:pPr>
              <w:pStyle w:val="CellColumn"/>
              <w:jc w:val="right"/>
            </w:pPr>
            <w:r>
              <w:rPr>
                <w:rFonts w:cs="Times New Roman"/>
              </w:rPr>
              <w:t>108,0</w:t>
            </w:r>
          </w:p>
        </w:tc>
      </w:tr>
      <w:tr w:rsidR="00505632" w:rsidTr="00AD4E52">
        <w:trPr>
          <w:jc w:val="center"/>
        </w:trPr>
        <w:tc>
          <w:tcPr>
            <w:tcW w:w="1632" w:type="dxa"/>
          </w:tcPr>
          <w:p w:rsidR="00505632" w:rsidRDefault="00505632" w:rsidP="00AD4E52">
            <w:pPr>
              <w:jc w:val="left"/>
            </w:pPr>
            <w:r>
              <w:t>3705-VISOKO OBRAZOVANJE</w:t>
            </w:r>
          </w:p>
        </w:tc>
        <w:tc>
          <w:tcPr>
            <w:tcW w:w="2041" w:type="dxa"/>
          </w:tcPr>
          <w:p w:rsidR="00505632" w:rsidRDefault="00505632" w:rsidP="00AD4E52">
            <w:pPr>
              <w:jc w:val="right"/>
            </w:pPr>
            <w:r>
              <w:t>4.018.631.490</w:t>
            </w:r>
          </w:p>
        </w:tc>
        <w:tc>
          <w:tcPr>
            <w:tcW w:w="2041" w:type="dxa"/>
          </w:tcPr>
          <w:p w:rsidR="00505632" w:rsidRDefault="00505632" w:rsidP="00AD4E52">
            <w:pPr>
              <w:jc w:val="right"/>
            </w:pPr>
            <w:r>
              <w:t>4.438.675.460</w:t>
            </w:r>
          </w:p>
        </w:tc>
        <w:tc>
          <w:tcPr>
            <w:tcW w:w="2041" w:type="dxa"/>
          </w:tcPr>
          <w:p w:rsidR="00505632" w:rsidRDefault="00505632" w:rsidP="00AD4E52">
            <w:pPr>
              <w:jc w:val="right"/>
            </w:pPr>
            <w:r>
              <w:t>4.341.861.818</w:t>
            </w:r>
          </w:p>
        </w:tc>
        <w:tc>
          <w:tcPr>
            <w:tcW w:w="1224" w:type="dxa"/>
          </w:tcPr>
          <w:p w:rsidR="00505632" w:rsidRDefault="00505632" w:rsidP="00AD4E52">
            <w:pPr>
              <w:jc w:val="right"/>
            </w:pPr>
            <w:r>
              <w:t>97,8</w:t>
            </w:r>
          </w:p>
        </w:tc>
        <w:tc>
          <w:tcPr>
            <w:tcW w:w="1224" w:type="dxa"/>
          </w:tcPr>
          <w:p w:rsidR="00505632" w:rsidRDefault="00505632" w:rsidP="00AD4E52">
            <w:pPr>
              <w:jc w:val="right"/>
            </w:pPr>
            <w:r>
              <w:t>108,0</w:t>
            </w:r>
          </w:p>
        </w:tc>
      </w:tr>
      <w:tr w:rsidR="00505632" w:rsidTr="00AD4E52">
        <w:trPr>
          <w:jc w:val="center"/>
        </w:trPr>
        <w:tc>
          <w:tcPr>
            <w:tcW w:w="1632" w:type="dxa"/>
          </w:tcPr>
          <w:p w:rsidR="00505632" w:rsidRDefault="00505632" w:rsidP="00AD4E52">
            <w:pPr>
              <w:jc w:val="left"/>
            </w:pPr>
            <w:r>
              <w:t>3801-ULAGANJE U ZNANSTVENO ISTRAŽIVAČKU DJELATNOST</w:t>
            </w:r>
          </w:p>
        </w:tc>
        <w:tc>
          <w:tcPr>
            <w:tcW w:w="2041" w:type="dxa"/>
          </w:tcPr>
          <w:p w:rsidR="00505632" w:rsidRDefault="00505632" w:rsidP="00AD4E52">
            <w:pPr>
              <w:jc w:val="right"/>
            </w:pPr>
            <w:r>
              <w:t>356.400</w:t>
            </w:r>
          </w:p>
        </w:tc>
        <w:tc>
          <w:tcPr>
            <w:tcW w:w="2041" w:type="dxa"/>
          </w:tcPr>
          <w:p w:rsidR="00505632" w:rsidRDefault="00505632" w:rsidP="00AD4E52">
            <w:pPr>
              <w:jc w:val="right"/>
            </w:pPr>
            <w:r>
              <w:t>356.400</w:t>
            </w:r>
          </w:p>
        </w:tc>
        <w:tc>
          <w:tcPr>
            <w:tcW w:w="2041" w:type="dxa"/>
          </w:tcPr>
          <w:p w:rsidR="00505632" w:rsidRDefault="00505632" w:rsidP="00AD4E52">
            <w:pPr>
              <w:jc w:val="right"/>
            </w:pPr>
            <w:r>
              <w:t>356.400</w:t>
            </w:r>
          </w:p>
        </w:tc>
        <w:tc>
          <w:tcPr>
            <w:tcW w:w="1224" w:type="dxa"/>
          </w:tcPr>
          <w:p w:rsidR="00505632" w:rsidRDefault="00505632" w:rsidP="00AD4E52">
            <w:pPr>
              <w:jc w:val="right"/>
            </w:pPr>
            <w:r>
              <w:t>100,0</w:t>
            </w:r>
          </w:p>
        </w:tc>
        <w:tc>
          <w:tcPr>
            <w:tcW w:w="1224" w:type="dxa"/>
          </w:tcPr>
          <w:p w:rsidR="00505632" w:rsidRDefault="00505632" w:rsidP="00AD4E52">
            <w:pPr>
              <w:jc w:val="right"/>
            </w:pPr>
            <w:r>
              <w:t>100,0</w:t>
            </w:r>
          </w:p>
        </w:tc>
      </w:tr>
    </w:tbl>
    <w:p w:rsidR="00505632" w:rsidRDefault="00505632" w:rsidP="00505632">
      <w:pPr>
        <w:jc w:val="left"/>
      </w:pPr>
    </w:p>
    <w:p w:rsidR="00505632" w:rsidRDefault="00505632" w:rsidP="00505632">
      <w:pPr>
        <w:pStyle w:val="Heading3"/>
      </w:pPr>
      <w:r>
        <w:rPr>
          <w:rFonts w:cs="Times New Roman"/>
        </w:rPr>
        <w:t>3705 VISOKO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3705-VISOKO OBRAZOVANJE</w:t>
            </w:r>
          </w:p>
        </w:tc>
        <w:tc>
          <w:tcPr>
            <w:tcW w:w="2041" w:type="dxa"/>
          </w:tcPr>
          <w:p w:rsidR="00505632" w:rsidRDefault="00505632" w:rsidP="00AD4E52">
            <w:pPr>
              <w:pStyle w:val="CellColumn"/>
              <w:jc w:val="right"/>
            </w:pPr>
            <w:r>
              <w:rPr>
                <w:rFonts w:cs="Times New Roman"/>
              </w:rPr>
              <w:t>4.018.631.490</w:t>
            </w:r>
          </w:p>
        </w:tc>
        <w:tc>
          <w:tcPr>
            <w:tcW w:w="2041" w:type="dxa"/>
          </w:tcPr>
          <w:p w:rsidR="00505632" w:rsidRDefault="00505632" w:rsidP="00AD4E52">
            <w:pPr>
              <w:pStyle w:val="CellColumn"/>
              <w:jc w:val="right"/>
            </w:pPr>
            <w:r>
              <w:rPr>
                <w:rFonts w:cs="Times New Roman"/>
              </w:rPr>
              <w:t>4.438.675.460</w:t>
            </w:r>
          </w:p>
        </w:tc>
        <w:tc>
          <w:tcPr>
            <w:tcW w:w="2041" w:type="dxa"/>
          </w:tcPr>
          <w:p w:rsidR="00505632" w:rsidRDefault="00505632" w:rsidP="00AD4E52">
            <w:pPr>
              <w:pStyle w:val="CellColumn"/>
              <w:jc w:val="right"/>
            </w:pPr>
            <w:r>
              <w:rPr>
                <w:rFonts w:cs="Times New Roman"/>
              </w:rPr>
              <w:t>4.341.861.818</w:t>
            </w:r>
          </w:p>
        </w:tc>
        <w:tc>
          <w:tcPr>
            <w:tcW w:w="1224" w:type="dxa"/>
          </w:tcPr>
          <w:p w:rsidR="00505632" w:rsidRDefault="00505632" w:rsidP="00AD4E52">
            <w:pPr>
              <w:pStyle w:val="CellColumn"/>
              <w:jc w:val="right"/>
            </w:pPr>
            <w:r>
              <w:rPr>
                <w:rFonts w:cs="Times New Roman"/>
              </w:rPr>
              <w:t>97,8</w:t>
            </w:r>
          </w:p>
        </w:tc>
        <w:tc>
          <w:tcPr>
            <w:tcW w:w="1224" w:type="dxa"/>
          </w:tcPr>
          <w:p w:rsidR="00505632" w:rsidRDefault="00505632" w:rsidP="00AD4E52">
            <w:pPr>
              <w:pStyle w:val="CellColumn"/>
              <w:jc w:val="right"/>
            </w:pPr>
            <w:r>
              <w:rPr>
                <w:rFonts w:cs="Times New Roman"/>
              </w:rPr>
              <w:t>108,0</w:t>
            </w:r>
          </w:p>
        </w:tc>
      </w:tr>
    </w:tbl>
    <w:p w:rsidR="00505632" w:rsidRDefault="00505632" w:rsidP="00505632">
      <w:pPr>
        <w:jc w:val="left"/>
      </w:pPr>
    </w:p>
    <w:p w:rsidR="00505632" w:rsidRDefault="00505632" w:rsidP="00505632">
      <w:r>
        <w:t xml:space="preserve">Provedba programskih ugovora evaluirala se kroz povjerenstva koja čine predstavnici visokih učilišta i Ministarstva, te kroz analizu prikupljenih podataka o realizaciji ciljeva na razini sustava. Evaluacija je pokazala da postoje značajne razlike u učinkovitosti provedbe i upravljanju sredstvima i realizaciji ciljeva na različitim institucijama, između ostaloga i zbog različitih veličina i kompleksnosti unutarnjeg ustroja pojedinih visokih učilišta (Sveučilište u Zagrebu ima više od 30 sastavnica koje su pravne osobe i više od 70.000 studenata, a Sveučilište Jurja Dobrile u Puli oko 2.500 studenata i nijednu samostalnu sastavnicu). Navedeno zahtijeva razvoj različitih modela unutarnjeg upravljanja, uključujući različite pravilnike sveučilišta o financiranju i o radnim mjestima. Stoga je u sljedećem razdoblju potrebno definirati zajedničke kriterije Ministarstva i visokih učilišta kroz koje institucija dokazuje da ima strateške, upravljačke i administrativne kapacitete za financiranje putem cjelovitih iznosa, uključujući i kroz programske ugovore. Na temelju ovih kriterija analizirat će se postojeće stanje te na temelju analize ustrojiti mehanizmi unutarnjeg upravljanja za provedbu financiranja kroz cjeloviti iznos.  </w:t>
      </w:r>
    </w:p>
    <w:p w:rsidR="00505632" w:rsidRDefault="00505632" w:rsidP="00505632">
      <w:r>
        <w:t>Jedna od glavnih pretpostavki učinkovitog sustava upravljanja i financiranja su vjerodostojni i jednoznačni podaci. Stoga će uspostava središnjih evidencija u visokom obrazovanju unaprijedit kvalitetu poslovnih procesa u visokom obrazovanju vezanih uz donošenje odluka o financiranju sustava, izradu obrazovnih politika utemeljenih na dokazima, te omogućiti razmjenu podataka o visokom obrazovanju s drugim tijelima javne vlasti.</w:t>
      </w:r>
    </w:p>
    <w:p w:rsidR="00505632" w:rsidRDefault="00505632" w:rsidP="00505632">
      <w:pPr>
        <w:pStyle w:val="Heading8"/>
        <w:jc w:val="left"/>
      </w:pPr>
      <w:r>
        <w:t>Cilj 1. Osiguranje i unapređenje kvalitete te povećanje dostupnosti, učinkovitosti i relevantnosti sustava odgoja i obrazovanja na svim razinama.</w:t>
      </w:r>
    </w:p>
    <w:p w:rsidR="00505632" w:rsidRDefault="00505632" w:rsidP="00505632">
      <w:pPr>
        <w:pStyle w:val="Heading8"/>
        <w:jc w:val="left"/>
      </w:pPr>
      <w:r>
        <w:t>Opis provedbe cilja programa</w:t>
      </w:r>
    </w:p>
    <w:p w:rsidR="00505632" w:rsidRDefault="00505632" w:rsidP="00505632">
      <w:r>
        <w:t>Reformsku ulogu u sustavu obrazovanja ima Hrvatski kvalifikacijski okvir (HKO) s čijom se uspostavom nastavilo u 2016. godini. Uz pomoć HKO-a postiže se utemeljenost obrazovnih programa na ishodima učenja i usklađenost s potrebama tržišta rada, društva i pojedinca. Također, njime se uređuje sustav kvalifikacija u Republici Hrvatskoj, transparentno se prikazuju ishodi učenja, unapređuje se sustav osiguravanja kvalitete koji se temelji na jasnim ishodima učenja čime se omogućava bolja prohodnost u sklopu kvalifikacijskog sustava. HKO se povezuje s Europskim kvalifikacijskim okvirom (EQF-om) i Europskim prostorom visokog obrazovanja (QF-EHEA), što omogućuje povezivanje i usporedbu s drugim obrazovnim sustavima u Europi, lakše prepoznavanje hrvatskih kvalifikacija i mobilnost hrvatskih građana na europskom obrazovnom prostoru i na europskome tržištu rada.</w:t>
      </w:r>
    </w:p>
    <w:p w:rsidR="00505632" w:rsidRDefault="00505632" w:rsidP="00505632">
      <w:pPr>
        <w:pStyle w:val="Heading8"/>
        <w:jc w:val="left"/>
      </w:pPr>
      <w:r>
        <w:t>Cilj 2. Unaprijeđen sustav upravljanja i financiranja visokog obrazovanja.</w:t>
      </w:r>
    </w:p>
    <w:p w:rsidR="00505632" w:rsidRDefault="00505632" w:rsidP="00505632">
      <w:pPr>
        <w:pStyle w:val="Heading8"/>
        <w:jc w:val="left"/>
      </w:pPr>
      <w:r>
        <w:t>Opis provedbe cilja programa</w:t>
      </w:r>
    </w:p>
    <w:p w:rsidR="00505632" w:rsidRDefault="00505632" w:rsidP="00505632">
      <w:r>
        <w:t xml:space="preserve">Uvođenje višegodišnjeg programskog financiranja omogućilo bi strateško planiranje resursa unutar institucije, praćenje učinkovitosti i ostvarenje zadanih ciljeva. Također, doprinosi težnji da se dodatno poveća odgovornost visokih učilišta te da se umjesto državnog upravljanja nad sektorom znanosti i visokog obrazovanja promiče državni nadzor.   </w:t>
      </w:r>
    </w:p>
    <w:p w:rsidR="00505632" w:rsidRDefault="00505632" w:rsidP="00505632">
      <w:r>
        <w:t>Suvremena informacijsko-komunikacijska infrastruktura preduvjet je funkcioniranja visokog učilišta na svim razinama, od tehničko-administrativne, upravljačke do nastavne. Efikasno upravljanje institucijom ili sustavom ovisi o vjerodostojnim podacima, te je temelj povećanja učinkovitosti javnog financiranja izgradnja pretpostavki za prikupljanje i analizu podataka o sustavu.</w:t>
      </w:r>
    </w:p>
    <w:p w:rsidR="00505632" w:rsidRDefault="00505632" w:rsidP="00505632">
      <w:pPr>
        <w:pStyle w:val="Heading8"/>
        <w:jc w:val="left"/>
      </w:pPr>
      <w:r>
        <w:t>Cilj 3. Unaprijeđena dostupnost i razina uključenosti različitih kategorija polaznika u studijske programe i programe cjeloživotnog učenja od strateškoga/gospodarskog interesa RH.</w:t>
      </w:r>
    </w:p>
    <w:p w:rsidR="00505632" w:rsidRDefault="00505632" w:rsidP="00505632">
      <w:pPr>
        <w:pStyle w:val="Heading8"/>
        <w:jc w:val="left"/>
      </w:pPr>
      <w:r>
        <w:t>Opis provedbe cilja programa</w:t>
      </w:r>
    </w:p>
    <w:p w:rsidR="00505632" w:rsidRDefault="00505632" w:rsidP="00505632">
      <w:r>
        <w:t>Briga o studentskom standardu osigurava jednak pristup visokom obrazovanju i to u vidu izravnih i neizravnih potpora. Izravne potpore su potpore poput stipendija koje se dodjeljuju studentima na temelju njihovog socio-ekonomskog statusa bez obzira na studijski program. Takve potpore osiguravaju najugroženijim skupinama studenata pristup visokom obrazovanju. Jedna od ključnih neizravnih potpora studentskom standardu je osiguravanje studentske prehrane. Unaprjeđivanje kvalitete te vrste neizravnih potpora je jedna od mjera u sljedećem strateškom razdoblju.</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 xml:space="preserve">Povećanje broja subvencija koje se dodjeljuju na </w:t>
            </w:r>
          </w:p>
          <w:p w:rsidR="00505632" w:rsidRDefault="00505632" w:rsidP="00AD4E52">
            <w:pPr>
              <w:pStyle w:val="CellColumn"/>
              <w:jc w:val="left"/>
            </w:pPr>
            <w:r>
              <w:rPr>
                <w:rFonts w:cs="Times New Roman"/>
              </w:rPr>
              <w:t>temelju socio-ekonomskog statusa</w:t>
            </w:r>
          </w:p>
        </w:tc>
        <w:tc>
          <w:tcPr>
            <w:tcW w:w="2551" w:type="dxa"/>
          </w:tcPr>
          <w:p w:rsidR="00505632" w:rsidRDefault="00505632" w:rsidP="00AD4E52">
            <w:pPr>
              <w:pStyle w:val="CellColumn"/>
              <w:jc w:val="left"/>
            </w:pPr>
            <w:r>
              <w:rPr>
                <w:rFonts w:cs="Times New Roman"/>
              </w:rPr>
              <w:t>Udio studenata kod kojih nijedan roditelj nije završio neki oblik visokog obrazovanja. Obrazovanje roditelja uobičajeni je međunarodni indikator za procjenu socio-ekonomskog statusa obitelji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Povećanje broja evidencija o visokom obrazovanju na nacionalnoj razini</w:t>
            </w:r>
          </w:p>
        </w:tc>
        <w:tc>
          <w:tcPr>
            <w:tcW w:w="2551" w:type="dxa"/>
          </w:tcPr>
          <w:p w:rsidR="00505632" w:rsidRDefault="00505632" w:rsidP="00AD4E52">
            <w:pPr>
              <w:pStyle w:val="CellColumn"/>
              <w:jc w:val="left"/>
            </w:pPr>
            <w:r>
              <w:rPr>
                <w:rFonts w:cs="Times New Roman"/>
              </w:rPr>
              <w:t>Povećanje broja evidencija o visokom obrazovanju na nacionalnoj razini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bl>
    <w:p w:rsidR="00505632" w:rsidRDefault="00505632" w:rsidP="00505632">
      <w:pPr>
        <w:jc w:val="left"/>
      </w:pPr>
    </w:p>
    <w:p w:rsidR="00505632" w:rsidRDefault="00505632" w:rsidP="00505632">
      <w:pPr>
        <w:pStyle w:val="Heading4"/>
      </w:pPr>
      <w:r>
        <w:t>A621001 REDOVNA DJELATNOST SVEUČILIŠTA U ZAGREBU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A621001-REDOVNA DJELATNOST SVEUČILIŠTA U ZAGREBU</w:t>
            </w:r>
          </w:p>
        </w:tc>
        <w:tc>
          <w:tcPr>
            <w:tcW w:w="2041" w:type="dxa"/>
          </w:tcPr>
          <w:p w:rsidR="00505632" w:rsidRDefault="00505632" w:rsidP="00AD4E52">
            <w:pPr>
              <w:pStyle w:val="CellColumn"/>
              <w:jc w:val="right"/>
            </w:pPr>
            <w:r>
              <w:rPr>
                <w:rFonts w:cs="Times New Roman"/>
              </w:rPr>
              <w:t>1.613.193.733</w:t>
            </w:r>
          </w:p>
        </w:tc>
        <w:tc>
          <w:tcPr>
            <w:tcW w:w="2041" w:type="dxa"/>
          </w:tcPr>
          <w:p w:rsidR="00505632" w:rsidRDefault="00505632" w:rsidP="00AD4E52">
            <w:pPr>
              <w:pStyle w:val="CellColumn"/>
              <w:jc w:val="right"/>
            </w:pPr>
            <w:r>
              <w:rPr>
                <w:rFonts w:cs="Times New Roman"/>
              </w:rPr>
              <w:t>1.728.555.089</w:t>
            </w:r>
          </w:p>
        </w:tc>
        <w:tc>
          <w:tcPr>
            <w:tcW w:w="2041" w:type="dxa"/>
          </w:tcPr>
          <w:p w:rsidR="00505632" w:rsidRDefault="00505632" w:rsidP="00AD4E52">
            <w:pPr>
              <w:pStyle w:val="CellColumn"/>
              <w:jc w:val="right"/>
            </w:pPr>
            <w:r>
              <w:rPr>
                <w:rFonts w:cs="Times New Roman"/>
              </w:rPr>
              <w:t>1.742.466.429</w:t>
            </w:r>
          </w:p>
        </w:tc>
        <w:tc>
          <w:tcPr>
            <w:tcW w:w="1224" w:type="dxa"/>
          </w:tcPr>
          <w:p w:rsidR="00505632" w:rsidRDefault="00505632" w:rsidP="00AD4E52">
            <w:pPr>
              <w:pStyle w:val="CellColumn"/>
              <w:jc w:val="right"/>
            </w:pPr>
            <w:r>
              <w:rPr>
                <w:rFonts w:cs="Times New Roman"/>
              </w:rPr>
              <w:t>100,8</w:t>
            </w:r>
          </w:p>
        </w:tc>
        <w:tc>
          <w:tcPr>
            <w:tcW w:w="1224" w:type="dxa"/>
          </w:tcPr>
          <w:p w:rsidR="00505632" w:rsidRDefault="00505632" w:rsidP="00AD4E52">
            <w:pPr>
              <w:pStyle w:val="CellColumn"/>
              <w:jc w:val="right"/>
            </w:pPr>
            <w:r>
              <w:rPr>
                <w:rFonts w:cs="Times New Roman"/>
              </w:rPr>
              <w:t>108,0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Zakon o osiguravanju kvalitete u znanosti i visokom obrazovanju (NN 45/09.); Temeljni kolektivni ugovor za službenike i namještenike u javnim službama (NN broj 141/12 i 150/13);</w:t>
      </w:r>
    </w:p>
    <w:p w:rsidR="00505632" w:rsidRDefault="00505632" w:rsidP="00505632">
      <w:pPr>
        <w:pStyle w:val="Heading8"/>
        <w:jc w:val="left"/>
      </w:pPr>
      <w:r>
        <w:t>Opis aktivnosti</w:t>
      </w:r>
    </w:p>
    <w:p w:rsidR="00505632" w:rsidRDefault="00505632" w:rsidP="00505632">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505632" w:rsidRDefault="00505632" w:rsidP="00505632">
      <w:pPr>
        <w:pStyle w:val="Heading4"/>
      </w:pPr>
      <w:r>
        <w:t>A621002 REDOVNA DJELATNOST SVEUČILIŠTA U RIJECI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A621002-REDOVNA DJELATNOST SVEUČILIŠTA U RIJECI</w:t>
            </w:r>
          </w:p>
        </w:tc>
        <w:tc>
          <w:tcPr>
            <w:tcW w:w="2041" w:type="dxa"/>
          </w:tcPr>
          <w:p w:rsidR="00505632" w:rsidRDefault="00505632" w:rsidP="00AD4E52">
            <w:pPr>
              <w:pStyle w:val="CellColumn"/>
              <w:jc w:val="right"/>
            </w:pPr>
            <w:r>
              <w:rPr>
                <w:rFonts w:cs="Times New Roman"/>
              </w:rPr>
              <w:t>356.311.034</w:t>
            </w:r>
          </w:p>
        </w:tc>
        <w:tc>
          <w:tcPr>
            <w:tcW w:w="2041" w:type="dxa"/>
          </w:tcPr>
          <w:p w:rsidR="00505632" w:rsidRDefault="00505632" w:rsidP="00AD4E52">
            <w:pPr>
              <w:pStyle w:val="CellColumn"/>
              <w:jc w:val="right"/>
            </w:pPr>
            <w:r>
              <w:rPr>
                <w:rFonts w:cs="Times New Roman"/>
              </w:rPr>
              <w:t>369.934.376</w:t>
            </w:r>
          </w:p>
        </w:tc>
        <w:tc>
          <w:tcPr>
            <w:tcW w:w="2041" w:type="dxa"/>
          </w:tcPr>
          <w:p w:rsidR="00505632" w:rsidRDefault="00505632" w:rsidP="00AD4E52">
            <w:pPr>
              <w:pStyle w:val="CellColumn"/>
              <w:jc w:val="right"/>
            </w:pPr>
            <w:r>
              <w:rPr>
                <w:rFonts w:cs="Times New Roman"/>
              </w:rPr>
              <w:t>363.050.020</w:t>
            </w:r>
          </w:p>
        </w:tc>
        <w:tc>
          <w:tcPr>
            <w:tcW w:w="1224" w:type="dxa"/>
          </w:tcPr>
          <w:p w:rsidR="00505632" w:rsidRDefault="00505632" w:rsidP="00AD4E52">
            <w:pPr>
              <w:pStyle w:val="CellColumn"/>
              <w:jc w:val="right"/>
            </w:pPr>
            <w:r>
              <w:rPr>
                <w:rFonts w:cs="Times New Roman"/>
              </w:rPr>
              <w:t>98,1</w:t>
            </w:r>
          </w:p>
        </w:tc>
        <w:tc>
          <w:tcPr>
            <w:tcW w:w="1224" w:type="dxa"/>
          </w:tcPr>
          <w:p w:rsidR="00505632" w:rsidRDefault="00505632" w:rsidP="00AD4E52">
            <w:pPr>
              <w:pStyle w:val="CellColumn"/>
              <w:jc w:val="right"/>
            </w:pPr>
            <w:r>
              <w:rPr>
                <w:rFonts w:cs="Times New Roman"/>
              </w:rPr>
              <w:t>101,9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Zakon o osiguravanju kvalitete u znanosti i visokom obrazovanju (NN 45/09.); Temeljni kolektivni ugovor za službenike i namještenike u javnim službama (NN broj 141/12 i 150/13);</w:t>
      </w:r>
    </w:p>
    <w:p w:rsidR="00505632" w:rsidRDefault="00505632" w:rsidP="00505632">
      <w:pPr>
        <w:pStyle w:val="Heading8"/>
        <w:jc w:val="left"/>
      </w:pPr>
      <w:r>
        <w:t>Opis aktivnosti</w:t>
      </w:r>
    </w:p>
    <w:p w:rsidR="00505632" w:rsidRDefault="00505632" w:rsidP="00505632">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505632" w:rsidRDefault="00505632" w:rsidP="00505632"/>
    <w:p w:rsidR="00505632" w:rsidRDefault="00505632" w:rsidP="00505632"/>
    <w:p w:rsidR="00505632" w:rsidRDefault="00505632" w:rsidP="00505632"/>
    <w:p w:rsidR="00505632" w:rsidRDefault="00505632" w:rsidP="00505632">
      <w:pPr>
        <w:pStyle w:val="Heading4"/>
      </w:pPr>
      <w:r>
        <w:t>A621003 REDOVNA DJELATNOST SVEUČILIŠTA U OSIJEKU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A621003-REDOVNA DJELATNOST SVEUČILIŠTA U OSIJEKU</w:t>
            </w:r>
          </w:p>
        </w:tc>
        <w:tc>
          <w:tcPr>
            <w:tcW w:w="2041" w:type="dxa"/>
          </w:tcPr>
          <w:p w:rsidR="00505632" w:rsidRDefault="00505632" w:rsidP="00AD4E52">
            <w:pPr>
              <w:pStyle w:val="CellColumn"/>
              <w:jc w:val="right"/>
            </w:pPr>
            <w:r>
              <w:rPr>
                <w:rFonts w:cs="Times New Roman"/>
              </w:rPr>
              <w:t>346.779.016</w:t>
            </w:r>
          </w:p>
        </w:tc>
        <w:tc>
          <w:tcPr>
            <w:tcW w:w="2041" w:type="dxa"/>
          </w:tcPr>
          <w:p w:rsidR="00505632" w:rsidRDefault="00505632" w:rsidP="00AD4E52">
            <w:pPr>
              <w:pStyle w:val="CellColumn"/>
              <w:jc w:val="right"/>
            </w:pPr>
            <w:r>
              <w:rPr>
                <w:rFonts w:cs="Times New Roman"/>
              </w:rPr>
              <w:t>356.951.012</w:t>
            </w:r>
          </w:p>
        </w:tc>
        <w:tc>
          <w:tcPr>
            <w:tcW w:w="2041" w:type="dxa"/>
          </w:tcPr>
          <w:p w:rsidR="00505632" w:rsidRDefault="00505632" w:rsidP="00AD4E52">
            <w:pPr>
              <w:pStyle w:val="CellColumn"/>
              <w:jc w:val="right"/>
            </w:pPr>
            <w:r>
              <w:rPr>
                <w:rFonts w:cs="Times New Roman"/>
              </w:rPr>
              <w:t>356.336.800</w:t>
            </w:r>
          </w:p>
        </w:tc>
        <w:tc>
          <w:tcPr>
            <w:tcW w:w="1224" w:type="dxa"/>
          </w:tcPr>
          <w:p w:rsidR="00505632" w:rsidRDefault="00505632" w:rsidP="00AD4E52">
            <w:pPr>
              <w:pStyle w:val="CellColumn"/>
              <w:jc w:val="right"/>
            </w:pPr>
            <w:r>
              <w:rPr>
                <w:rFonts w:cs="Times New Roman"/>
              </w:rPr>
              <w:t>99,8</w:t>
            </w:r>
          </w:p>
        </w:tc>
        <w:tc>
          <w:tcPr>
            <w:tcW w:w="1224" w:type="dxa"/>
          </w:tcPr>
          <w:p w:rsidR="00505632" w:rsidRDefault="00505632" w:rsidP="00AD4E52">
            <w:pPr>
              <w:pStyle w:val="CellColumn"/>
              <w:jc w:val="right"/>
            </w:pPr>
            <w:r>
              <w:rPr>
                <w:rFonts w:cs="Times New Roman"/>
              </w:rPr>
              <w:t>102,8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Zakon o osiguravanju kvalitete u znanosti i visokom obrazovanju (NN 45/09.); Temeljni kolektivni ugovor za službenike i namještenike u javnim službama (NN broj 141/12 i 150/13);</w:t>
      </w:r>
    </w:p>
    <w:p w:rsidR="00505632" w:rsidRDefault="00505632" w:rsidP="00505632">
      <w:pPr>
        <w:pStyle w:val="Heading8"/>
        <w:jc w:val="left"/>
      </w:pPr>
      <w:r>
        <w:t>Opis aktivnosti</w:t>
      </w:r>
    </w:p>
    <w:p w:rsidR="00505632" w:rsidRDefault="00505632" w:rsidP="00505632">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505632" w:rsidRDefault="00505632" w:rsidP="00505632">
      <w:pPr>
        <w:jc w:val="left"/>
      </w:pPr>
    </w:p>
    <w:p w:rsidR="00505632" w:rsidRDefault="00505632" w:rsidP="00505632">
      <w:pPr>
        <w:pStyle w:val="Heading4"/>
      </w:pPr>
      <w:r>
        <w:t>A621004 REDOVNA DJELATNOST SVEUČILIŠTA U SPLITU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A621004-REDOVNA DJELATNOST SVEUČILIŠTA U SPLITU</w:t>
            </w:r>
          </w:p>
        </w:tc>
        <w:tc>
          <w:tcPr>
            <w:tcW w:w="2041" w:type="dxa"/>
          </w:tcPr>
          <w:p w:rsidR="00505632" w:rsidRDefault="00505632" w:rsidP="00AD4E52">
            <w:pPr>
              <w:pStyle w:val="CellColumn"/>
              <w:jc w:val="right"/>
            </w:pPr>
            <w:r>
              <w:rPr>
                <w:rFonts w:cs="Times New Roman"/>
              </w:rPr>
              <w:t>352.388.263</w:t>
            </w:r>
          </w:p>
        </w:tc>
        <w:tc>
          <w:tcPr>
            <w:tcW w:w="2041" w:type="dxa"/>
          </w:tcPr>
          <w:p w:rsidR="00505632" w:rsidRDefault="00505632" w:rsidP="00AD4E52">
            <w:pPr>
              <w:pStyle w:val="CellColumn"/>
              <w:jc w:val="right"/>
            </w:pPr>
            <w:r>
              <w:rPr>
                <w:rFonts w:cs="Times New Roman"/>
              </w:rPr>
              <w:t>387.073.759</w:t>
            </w:r>
          </w:p>
        </w:tc>
        <w:tc>
          <w:tcPr>
            <w:tcW w:w="2041" w:type="dxa"/>
          </w:tcPr>
          <w:p w:rsidR="00505632" w:rsidRDefault="00505632" w:rsidP="00AD4E52">
            <w:pPr>
              <w:pStyle w:val="CellColumn"/>
              <w:jc w:val="right"/>
            </w:pPr>
            <w:r>
              <w:rPr>
                <w:rFonts w:cs="Times New Roman"/>
              </w:rPr>
              <w:t>392.492.626</w:t>
            </w:r>
          </w:p>
        </w:tc>
        <w:tc>
          <w:tcPr>
            <w:tcW w:w="1224" w:type="dxa"/>
          </w:tcPr>
          <w:p w:rsidR="00505632" w:rsidRDefault="00505632" w:rsidP="00AD4E52">
            <w:pPr>
              <w:pStyle w:val="CellColumn"/>
              <w:jc w:val="right"/>
            </w:pPr>
            <w:r>
              <w:rPr>
                <w:rFonts w:cs="Times New Roman"/>
              </w:rPr>
              <w:t>101,4</w:t>
            </w:r>
          </w:p>
        </w:tc>
        <w:tc>
          <w:tcPr>
            <w:tcW w:w="1224" w:type="dxa"/>
          </w:tcPr>
          <w:p w:rsidR="00505632" w:rsidRDefault="00505632" w:rsidP="00AD4E52">
            <w:pPr>
              <w:pStyle w:val="CellColumn"/>
              <w:jc w:val="right"/>
            </w:pPr>
            <w:r>
              <w:rPr>
                <w:rFonts w:cs="Times New Roman"/>
              </w:rPr>
              <w:t>111,4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Zakon o osiguravanju kvalitete u znanosti i visokom obrazovanju (NN 45/09.); Temeljni kolektivni ugovor za službenike i namještenike u javnim službama (NN broj 141/12 i 150/13);</w:t>
      </w:r>
    </w:p>
    <w:p w:rsidR="00505632" w:rsidRDefault="00505632" w:rsidP="00505632">
      <w:pPr>
        <w:pStyle w:val="Heading8"/>
        <w:jc w:val="left"/>
      </w:pPr>
      <w:r>
        <w:t>Opis aktivnosti</w:t>
      </w:r>
    </w:p>
    <w:p w:rsidR="00505632" w:rsidRDefault="00505632" w:rsidP="00505632">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505632" w:rsidRDefault="00505632" w:rsidP="00505632"/>
    <w:p w:rsidR="00505632" w:rsidRDefault="00505632" w:rsidP="00505632"/>
    <w:p w:rsidR="00505632" w:rsidRDefault="00505632" w:rsidP="00505632">
      <w:pPr>
        <w:pStyle w:val="Heading4"/>
      </w:pPr>
      <w:r>
        <w:t>A621021 SMJEŠTAJ I PREHRANA STUDENATA STUDENTSKOG CENTRA ZAGREB - SUFINANCIRANJE</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A621021-SMJEŠTAJ I PREHRANA STUDENATA STUDENTSKOG CENTRA ZAGREB - SUFINANCIRANJE</w:t>
            </w:r>
          </w:p>
        </w:tc>
        <w:tc>
          <w:tcPr>
            <w:tcW w:w="2041" w:type="dxa"/>
          </w:tcPr>
          <w:p w:rsidR="00505632" w:rsidRDefault="00505632" w:rsidP="00AD4E52">
            <w:pPr>
              <w:pStyle w:val="CellColumn"/>
              <w:jc w:val="right"/>
            </w:pPr>
            <w:r>
              <w:rPr>
                <w:rFonts w:cs="Times New Roman"/>
              </w:rPr>
              <w:t>67.000.000</w:t>
            </w:r>
          </w:p>
        </w:tc>
        <w:tc>
          <w:tcPr>
            <w:tcW w:w="2041" w:type="dxa"/>
          </w:tcPr>
          <w:p w:rsidR="00505632" w:rsidRDefault="00505632" w:rsidP="00AD4E52">
            <w:pPr>
              <w:pStyle w:val="CellColumn"/>
              <w:jc w:val="right"/>
            </w:pPr>
            <w:r>
              <w:rPr>
                <w:rFonts w:cs="Times New Roman"/>
              </w:rPr>
              <w:t>75.600.000</w:t>
            </w:r>
          </w:p>
        </w:tc>
        <w:tc>
          <w:tcPr>
            <w:tcW w:w="2041" w:type="dxa"/>
          </w:tcPr>
          <w:p w:rsidR="00505632" w:rsidRDefault="00505632" w:rsidP="00AD4E52">
            <w:pPr>
              <w:pStyle w:val="CellColumn"/>
              <w:jc w:val="right"/>
            </w:pPr>
            <w:r>
              <w:rPr>
                <w:rFonts w:cs="Times New Roman"/>
              </w:rPr>
              <w:t>75.600.000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112,8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socijalno-ekonomskog statusa.</w:t>
      </w:r>
    </w:p>
    <w:p w:rsidR="00505632" w:rsidRDefault="00505632" w:rsidP="00505632">
      <w:pPr>
        <w:pStyle w:val="Heading4"/>
      </w:pPr>
      <w:r>
        <w:t>A621022 SMJEŠTAJ I PREHRANA STUDENATA STUDENTSKOG CENTRA OSIJEK - SUFINANCIRANJE</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A621022-SMJEŠTAJ I PREHRANA STUDENATA STUDENTSKOG CENTRA OSIJEK - SUFINANCIRANJE</w:t>
            </w:r>
          </w:p>
        </w:tc>
        <w:tc>
          <w:tcPr>
            <w:tcW w:w="2041" w:type="dxa"/>
          </w:tcPr>
          <w:p w:rsidR="00505632" w:rsidRDefault="00505632" w:rsidP="00AD4E52">
            <w:pPr>
              <w:pStyle w:val="CellColumn"/>
              <w:jc w:val="right"/>
            </w:pPr>
            <w:r>
              <w:rPr>
                <w:rFonts w:cs="Times New Roman"/>
              </w:rPr>
              <w:t>18.419.220</w:t>
            </w:r>
          </w:p>
        </w:tc>
        <w:tc>
          <w:tcPr>
            <w:tcW w:w="2041" w:type="dxa"/>
          </w:tcPr>
          <w:p w:rsidR="00505632" w:rsidRDefault="00505632" w:rsidP="00AD4E52">
            <w:pPr>
              <w:pStyle w:val="CellColumn"/>
              <w:jc w:val="right"/>
            </w:pPr>
            <w:r>
              <w:rPr>
                <w:rFonts w:cs="Times New Roman"/>
              </w:rPr>
              <w:t>17.519.220</w:t>
            </w:r>
          </w:p>
        </w:tc>
        <w:tc>
          <w:tcPr>
            <w:tcW w:w="2041" w:type="dxa"/>
          </w:tcPr>
          <w:p w:rsidR="00505632" w:rsidRDefault="00505632" w:rsidP="00AD4E52">
            <w:pPr>
              <w:pStyle w:val="CellColumn"/>
              <w:jc w:val="right"/>
            </w:pPr>
            <w:r>
              <w:rPr>
                <w:rFonts w:cs="Times New Roman"/>
              </w:rPr>
              <w:t>17.519.220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95,1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 ekonomskog statusa.</w:t>
      </w:r>
    </w:p>
    <w:p w:rsidR="00505632" w:rsidRDefault="00505632" w:rsidP="00505632">
      <w:pPr>
        <w:pStyle w:val="Heading4"/>
      </w:pPr>
      <w:r>
        <w:t>A621023 SMJEŠTAJ I PREHRANA STUDENATA STUDENTSKOG CENTRA RIJEKA - SUFINANCIRANJE</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A621023-SMJEŠTAJ I PREHRANA STUDENATA STUDENTSKOG CENTRA RIJEKA - SUFINANCIRANJE</w:t>
            </w:r>
          </w:p>
        </w:tc>
        <w:tc>
          <w:tcPr>
            <w:tcW w:w="2041" w:type="dxa"/>
          </w:tcPr>
          <w:p w:rsidR="00505632" w:rsidRDefault="00505632" w:rsidP="00AD4E52">
            <w:pPr>
              <w:pStyle w:val="CellColumn"/>
              <w:jc w:val="right"/>
            </w:pPr>
            <w:r>
              <w:rPr>
                <w:rFonts w:cs="Times New Roman"/>
              </w:rPr>
              <w:t>19.661.884</w:t>
            </w:r>
          </w:p>
        </w:tc>
        <w:tc>
          <w:tcPr>
            <w:tcW w:w="2041" w:type="dxa"/>
          </w:tcPr>
          <w:p w:rsidR="00505632" w:rsidRDefault="00505632" w:rsidP="00AD4E52">
            <w:pPr>
              <w:pStyle w:val="CellColumn"/>
              <w:jc w:val="right"/>
            </w:pPr>
            <w:r>
              <w:rPr>
                <w:rFonts w:cs="Times New Roman"/>
              </w:rPr>
              <w:t>21.661.884</w:t>
            </w:r>
          </w:p>
        </w:tc>
        <w:tc>
          <w:tcPr>
            <w:tcW w:w="2041" w:type="dxa"/>
          </w:tcPr>
          <w:p w:rsidR="00505632" w:rsidRDefault="00505632" w:rsidP="00AD4E52">
            <w:pPr>
              <w:pStyle w:val="CellColumn"/>
              <w:jc w:val="right"/>
            </w:pPr>
            <w:r>
              <w:rPr>
                <w:rFonts w:cs="Times New Roman"/>
              </w:rPr>
              <w:t>21.524.233</w:t>
            </w:r>
          </w:p>
        </w:tc>
        <w:tc>
          <w:tcPr>
            <w:tcW w:w="1224" w:type="dxa"/>
          </w:tcPr>
          <w:p w:rsidR="00505632" w:rsidRDefault="00505632" w:rsidP="00AD4E52">
            <w:pPr>
              <w:pStyle w:val="CellColumn"/>
              <w:jc w:val="right"/>
            </w:pPr>
            <w:r>
              <w:rPr>
                <w:rFonts w:cs="Times New Roman"/>
              </w:rPr>
              <w:t>99,4</w:t>
            </w:r>
          </w:p>
        </w:tc>
        <w:tc>
          <w:tcPr>
            <w:tcW w:w="1224" w:type="dxa"/>
          </w:tcPr>
          <w:p w:rsidR="00505632" w:rsidRDefault="00505632" w:rsidP="00AD4E52">
            <w:pPr>
              <w:pStyle w:val="CellColumn"/>
              <w:jc w:val="right"/>
            </w:pPr>
            <w:r>
              <w:rPr>
                <w:rFonts w:cs="Times New Roman"/>
              </w:rPr>
              <w:t>109,5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 ekonomskog statusa.</w:t>
      </w:r>
    </w:p>
    <w:p w:rsidR="00505632" w:rsidRDefault="00505632" w:rsidP="00505632">
      <w:pPr>
        <w:pStyle w:val="Heading4"/>
      </w:pPr>
      <w:r>
        <w:t>A621024 SMJEŠTAJ I PREHRANA STUDENATA STUDENTSKOG CENTRA SPLIT - SUFINANCIRANJE</w:t>
      </w:r>
    </w:p>
    <w:tbl>
      <w:tblPr>
        <w:tblStyle w:val="StilTablice"/>
        <w:tblW w:w="10206" w:type="dxa"/>
        <w:jc w:val="center"/>
        <w:tblLook w:val="04A0" w:firstRow="1" w:lastRow="0" w:firstColumn="1" w:lastColumn="0" w:noHBand="0" w:noVBand="1"/>
      </w:tblPr>
      <w:tblGrid>
        <w:gridCol w:w="1805"/>
        <w:gridCol w:w="1991"/>
        <w:gridCol w:w="1991"/>
        <w:gridCol w:w="1991"/>
        <w:gridCol w:w="1211"/>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A621024-SMJEŠTAJ I PREHRANA STUDENATA STUDENTSKOG CENTRA SPLIT - SUFINANCIRANJE</w:t>
            </w:r>
          </w:p>
        </w:tc>
        <w:tc>
          <w:tcPr>
            <w:tcW w:w="2041" w:type="dxa"/>
          </w:tcPr>
          <w:p w:rsidR="00505632" w:rsidRDefault="00505632" w:rsidP="00AD4E52">
            <w:pPr>
              <w:pStyle w:val="CellColumn"/>
              <w:jc w:val="right"/>
            </w:pPr>
            <w:r>
              <w:rPr>
                <w:rFonts w:cs="Times New Roman"/>
              </w:rPr>
              <w:t>21.685.815</w:t>
            </w:r>
          </w:p>
        </w:tc>
        <w:tc>
          <w:tcPr>
            <w:tcW w:w="2041" w:type="dxa"/>
          </w:tcPr>
          <w:p w:rsidR="00505632" w:rsidRDefault="00505632" w:rsidP="00AD4E52">
            <w:pPr>
              <w:pStyle w:val="CellColumn"/>
              <w:jc w:val="right"/>
            </w:pPr>
            <w:r>
              <w:rPr>
                <w:rFonts w:cs="Times New Roman"/>
              </w:rPr>
              <w:t>24.685.815</w:t>
            </w:r>
          </w:p>
        </w:tc>
        <w:tc>
          <w:tcPr>
            <w:tcW w:w="2041" w:type="dxa"/>
          </w:tcPr>
          <w:p w:rsidR="00505632" w:rsidRDefault="00505632" w:rsidP="00AD4E52">
            <w:pPr>
              <w:pStyle w:val="CellColumn"/>
              <w:jc w:val="right"/>
            </w:pPr>
            <w:r>
              <w:rPr>
                <w:rFonts w:cs="Times New Roman"/>
              </w:rPr>
              <w:t>24.505.204</w:t>
            </w:r>
          </w:p>
        </w:tc>
        <w:tc>
          <w:tcPr>
            <w:tcW w:w="1224" w:type="dxa"/>
          </w:tcPr>
          <w:p w:rsidR="00505632" w:rsidRDefault="00505632" w:rsidP="00AD4E52">
            <w:pPr>
              <w:pStyle w:val="CellColumn"/>
              <w:jc w:val="right"/>
            </w:pPr>
            <w:r>
              <w:rPr>
                <w:rFonts w:cs="Times New Roman"/>
              </w:rPr>
              <w:t>99,3</w:t>
            </w:r>
          </w:p>
        </w:tc>
        <w:tc>
          <w:tcPr>
            <w:tcW w:w="1224" w:type="dxa"/>
          </w:tcPr>
          <w:p w:rsidR="00505632" w:rsidRDefault="00505632" w:rsidP="00AD4E52">
            <w:pPr>
              <w:pStyle w:val="CellColumn"/>
              <w:jc w:val="right"/>
            </w:pPr>
            <w:r>
              <w:rPr>
                <w:rFonts w:cs="Times New Roman"/>
              </w:rPr>
              <w:t>113,0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 ekonomskog statusa.</w:t>
      </w:r>
    </w:p>
    <w:p w:rsidR="00505632" w:rsidRDefault="00505632" w:rsidP="00505632">
      <w:pPr>
        <w:pStyle w:val="Heading4"/>
      </w:pPr>
      <w:r>
        <w:t>A621026 SMJEŠTAJ I PREHRANA STUDENATA STUDENTSKOG CENTRA ŠIBENIK - SUFINANCIRANJE</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A621026-SMJEŠTAJ I PREHRANA STUDENATA STUDENTSKOG CENTRA ŠIBENIK - SUFINANCIRANJE</w:t>
            </w:r>
          </w:p>
        </w:tc>
        <w:tc>
          <w:tcPr>
            <w:tcW w:w="2041" w:type="dxa"/>
          </w:tcPr>
          <w:p w:rsidR="00505632" w:rsidRDefault="00505632" w:rsidP="00AD4E52">
            <w:pPr>
              <w:pStyle w:val="CellColumn"/>
              <w:jc w:val="right"/>
            </w:pPr>
            <w:r>
              <w:rPr>
                <w:rFonts w:cs="Times New Roman"/>
              </w:rPr>
              <w:t>1.050.604</w:t>
            </w:r>
          </w:p>
        </w:tc>
        <w:tc>
          <w:tcPr>
            <w:tcW w:w="2041" w:type="dxa"/>
          </w:tcPr>
          <w:p w:rsidR="00505632" w:rsidRDefault="00505632" w:rsidP="00AD4E52">
            <w:pPr>
              <w:pStyle w:val="CellColumn"/>
              <w:jc w:val="right"/>
            </w:pPr>
            <w:r>
              <w:rPr>
                <w:rFonts w:cs="Times New Roman"/>
              </w:rPr>
              <w:t>1.300.604</w:t>
            </w:r>
          </w:p>
        </w:tc>
        <w:tc>
          <w:tcPr>
            <w:tcW w:w="2041" w:type="dxa"/>
          </w:tcPr>
          <w:p w:rsidR="00505632" w:rsidRDefault="00505632" w:rsidP="00AD4E52">
            <w:pPr>
              <w:pStyle w:val="CellColumn"/>
              <w:jc w:val="right"/>
            </w:pPr>
            <w:r>
              <w:rPr>
                <w:rFonts w:cs="Times New Roman"/>
              </w:rPr>
              <w:t>1.300.604</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123,8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socijalno-ekonomskog statusa.</w:t>
      </w:r>
    </w:p>
    <w:p w:rsidR="00505632" w:rsidRDefault="00505632" w:rsidP="00505632">
      <w:pPr>
        <w:pStyle w:val="Heading4"/>
      </w:pPr>
      <w:r>
        <w:t>A621028 SMJEŠTAJ I PREHRANA STUDENATA STUDENTSKOG CENTRA VARAŽDIN - SUFINANCIRANJE</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A621028-SMJEŠTAJ I PREHRANA STUDENATA STUDENTSKOG CENTRA VARAŽDIN - SUFINANCIRANJE</w:t>
            </w:r>
          </w:p>
        </w:tc>
        <w:tc>
          <w:tcPr>
            <w:tcW w:w="2041" w:type="dxa"/>
          </w:tcPr>
          <w:p w:rsidR="00505632" w:rsidRDefault="00505632" w:rsidP="00AD4E52">
            <w:pPr>
              <w:pStyle w:val="CellColumn"/>
              <w:jc w:val="right"/>
            </w:pPr>
            <w:r>
              <w:rPr>
                <w:rFonts w:cs="Times New Roman"/>
              </w:rPr>
              <w:t>4.559.078</w:t>
            </w:r>
          </w:p>
        </w:tc>
        <w:tc>
          <w:tcPr>
            <w:tcW w:w="2041" w:type="dxa"/>
          </w:tcPr>
          <w:p w:rsidR="00505632" w:rsidRDefault="00505632" w:rsidP="00AD4E52">
            <w:pPr>
              <w:pStyle w:val="CellColumn"/>
              <w:jc w:val="right"/>
            </w:pPr>
            <w:r>
              <w:rPr>
                <w:rFonts w:cs="Times New Roman"/>
              </w:rPr>
              <w:t>5.109.078</w:t>
            </w:r>
          </w:p>
        </w:tc>
        <w:tc>
          <w:tcPr>
            <w:tcW w:w="2041" w:type="dxa"/>
          </w:tcPr>
          <w:p w:rsidR="00505632" w:rsidRDefault="00505632" w:rsidP="00AD4E52">
            <w:pPr>
              <w:pStyle w:val="CellColumn"/>
              <w:jc w:val="right"/>
            </w:pPr>
            <w:r>
              <w:rPr>
                <w:rFonts w:cs="Times New Roman"/>
              </w:rPr>
              <w:t>5.109.078</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112,1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socijalno-ekonomskog statusa.</w:t>
      </w:r>
    </w:p>
    <w:p w:rsidR="00505632" w:rsidRDefault="00505632" w:rsidP="00505632">
      <w:pPr>
        <w:pStyle w:val="Heading4"/>
      </w:pPr>
      <w:r>
        <w:t>A621029 SMJEŠTAJ I PREHRANA STUDENATA STUDENTSKOG CENTRA SLAVONSKI BROD - SUFINANCIRANJE</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A621029-SMJEŠTAJ I PREHRANA STUDENATA STUDENTSKOG CENTRA SLAVONSKI BROD - SUFINANCIRANJE</w:t>
            </w:r>
          </w:p>
        </w:tc>
        <w:tc>
          <w:tcPr>
            <w:tcW w:w="2041" w:type="dxa"/>
          </w:tcPr>
          <w:p w:rsidR="00505632" w:rsidRDefault="00505632" w:rsidP="00AD4E52">
            <w:pPr>
              <w:pStyle w:val="CellColumn"/>
              <w:jc w:val="right"/>
            </w:pPr>
            <w:r>
              <w:rPr>
                <w:rFonts w:cs="Times New Roman"/>
              </w:rPr>
              <w:t>1.539.256</w:t>
            </w:r>
          </w:p>
        </w:tc>
        <w:tc>
          <w:tcPr>
            <w:tcW w:w="2041" w:type="dxa"/>
          </w:tcPr>
          <w:p w:rsidR="00505632" w:rsidRDefault="00505632" w:rsidP="00AD4E52">
            <w:pPr>
              <w:pStyle w:val="CellColumn"/>
              <w:jc w:val="right"/>
            </w:pPr>
            <w:r>
              <w:rPr>
                <w:rFonts w:cs="Times New Roman"/>
              </w:rPr>
              <w:t>1.612.294</w:t>
            </w:r>
          </w:p>
        </w:tc>
        <w:tc>
          <w:tcPr>
            <w:tcW w:w="2041" w:type="dxa"/>
          </w:tcPr>
          <w:p w:rsidR="00505632" w:rsidRDefault="00505632" w:rsidP="00AD4E52">
            <w:pPr>
              <w:pStyle w:val="CellColumn"/>
              <w:jc w:val="right"/>
            </w:pPr>
            <w:r>
              <w:rPr>
                <w:rFonts w:cs="Times New Roman"/>
              </w:rPr>
              <w:t>1.612.294</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104,7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socijalno-ekonomskog statusa.</w:t>
      </w:r>
    </w:p>
    <w:p w:rsidR="00505632" w:rsidRDefault="00505632" w:rsidP="00505632">
      <w:pPr>
        <w:pStyle w:val="Heading4"/>
      </w:pPr>
      <w:r>
        <w:t>A621030 SMJEŠTAJ I PREHRANA STUDENATA STUDENTSKOG CENTRA POŽEGA - SUFINANCIRANJE</w:t>
      </w:r>
    </w:p>
    <w:tbl>
      <w:tblPr>
        <w:tblStyle w:val="StilTablice"/>
        <w:tblW w:w="10206" w:type="dxa"/>
        <w:jc w:val="center"/>
        <w:tblLook w:val="04A0" w:firstRow="1" w:lastRow="0" w:firstColumn="1" w:lastColumn="0" w:noHBand="0" w:noVBand="1"/>
      </w:tblPr>
      <w:tblGrid>
        <w:gridCol w:w="1804"/>
        <w:gridCol w:w="1991"/>
        <w:gridCol w:w="1988"/>
        <w:gridCol w:w="1992"/>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A621030-SMJEŠTAJ I PREHRANA STUDENATA STUDENTSKOG CENTRA POŽEGA - SUFINANCIRANJE</w:t>
            </w:r>
          </w:p>
        </w:tc>
        <w:tc>
          <w:tcPr>
            <w:tcW w:w="2041" w:type="dxa"/>
          </w:tcPr>
          <w:p w:rsidR="00505632" w:rsidRDefault="00505632" w:rsidP="00AD4E52">
            <w:pPr>
              <w:pStyle w:val="CellColumn"/>
              <w:jc w:val="right"/>
            </w:pPr>
            <w:r>
              <w:rPr>
                <w:rFonts w:cs="Times New Roman"/>
              </w:rPr>
              <w:t>814.087</w:t>
            </w:r>
          </w:p>
        </w:tc>
        <w:tc>
          <w:tcPr>
            <w:tcW w:w="2041" w:type="dxa"/>
          </w:tcPr>
          <w:p w:rsidR="00505632" w:rsidRDefault="00505632" w:rsidP="00AD4E52">
            <w:pPr>
              <w:pStyle w:val="CellColumn"/>
              <w:jc w:val="right"/>
            </w:pPr>
            <w:r>
              <w:rPr>
                <w:rFonts w:cs="Times New Roman"/>
              </w:rPr>
              <w:t>718.383</w:t>
            </w:r>
          </w:p>
        </w:tc>
        <w:tc>
          <w:tcPr>
            <w:tcW w:w="2041" w:type="dxa"/>
          </w:tcPr>
          <w:p w:rsidR="00505632" w:rsidRDefault="00505632" w:rsidP="00AD4E52">
            <w:pPr>
              <w:pStyle w:val="CellColumn"/>
              <w:jc w:val="right"/>
            </w:pPr>
            <w:r>
              <w:rPr>
                <w:rFonts w:cs="Times New Roman"/>
              </w:rPr>
              <w:t>718.383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88,2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socijalno-ekonomskog statusa</w:t>
      </w:r>
    </w:p>
    <w:p w:rsidR="00505632" w:rsidRDefault="00505632" w:rsidP="00505632">
      <w:pPr>
        <w:pStyle w:val="Heading4"/>
      </w:pPr>
      <w:r>
        <w:t>A621031 SMJEŠTAJ I PREHRANA STUDENATA STUDENTSKOG CENTRA KARLOVAC - SUFINANCIRANJE</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A621031-SMJEŠTAJ I PREHRANA STUDENATA STUDENTSKOG CENTRA KARLOVAC - SUFINANCIRANJE</w:t>
            </w:r>
          </w:p>
        </w:tc>
        <w:tc>
          <w:tcPr>
            <w:tcW w:w="2041" w:type="dxa"/>
          </w:tcPr>
          <w:p w:rsidR="00505632" w:rsidRDefault="00505632" w:rsidP="00AD4E52">
            <w:pPr>
              <w:pStyle w:val="CellColumn"/>
              <w:jc w:val="right"/>
            </w:pPr>
            <w:r>
              <w:rPr>
                <w:rFonts w:cs="Times New Roman"/>
              </w:rPr>
              <w:t>1.500.000</w:t>
            </w:r>
          </w:p>
        </w:tc>
        <w:tc>
          <w:tcPr>
            <w:tcW w:w="2041" w:type="dxa"/>
          </w:tcPr>
          <w:p w:rsidR="00505632" w:rsidRDefault="00505632" w:rsidP="00AD4E52">
            <w:pPr>
              <w:pStyle w:val="CellColumn"/>
              <w:jc w:val="right"/>
            </w:pPr>
            <w:r>
              <w:rPr>
                <w:rFonts w:cs="Times New Roman"/>
              </w:rPr>
              <w:t>1.700.000</w:t>
            </w:r>
          </w:p>
        </w:tc>
        <w:tc>
          <w:tcPr>
            <w:tcW w:w="2041" w:type="dxa"/>
          </w:tcPr>
          <w:p w:rsidR="00505632" w:rsidRDefault="00505632" w:rsidP="00AD4E52">
            <w:pPr>
              <w:pStyle w:val="CellColumn"/>
              <w:jc w:val="right"/>
            </w:pPr>
            <w:r>
              <w:rPr>
                <w:rFonts w:cs="Times New Roman"/>
              </w:rPr>
              <w:t>1.700.000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113,3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socijalno-ekonomskog statusa.</w:t>
      </w:r>
    </w:p>
    <w:p w:rsidR="00505632" w:rsidRDefault="00505632" w:rsidP="00505632">
      <w:pPr>
        <w:pStyle w:val="Heading4"/>
      </w:pPr>
      <w:r>
        <w:t>A621038 PROGRAMI VJEŽBAONICA VISOKIH UČILIŠTA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A621038-PROGRAMI VJEŽBAONICA VISOKIH UČILIŠTA</w:t>
            </w:r>
          </w:p>
        </w:tc>
        <w:tc>
          <w:tcPr>
            <w:tcW w:w="2041" w:type="dxa"/>
          </w:tcPr>
          <w:p w:rsidR="00505632" w:rsidRDefault="00505632" w:rsidP="00AD4E52">
            <w:pPr>
              <w:pStyle w:val="CellColumn"/>
              <w:jc w:val="right"/>
            </w:pPr>
            <w:r>
              <w:rPr>
                <w:rFonts w:cs="Times New Roman"/>
              </w:rPr>
              <w:t>3.133.293</w:t>
            </w:r>
          </w:p>
        </w:tc>
        <w:tc>
          <w:tcPr>
            <w:tcW w:w="2041" w:type="dxa"/>
          </w:tcPr>
          <w:p w:rsidR="00505632" w:rsidRDefault="00505632" w:rsidP="00AD4E52">
            <w:pPr>
              <w:pStyle w:val="CellColumn"/>
              <w:jc w:val="right"/>
            </w:pPr>
            <w:r>
              <w:rPr>
                <w:rFonts w:cs="Times New Roman"/>
              </w:rPr>
              <w:t>3.176.629</w:t>
            </w:r>
          </w:p>
        </w:tc>
        <w:tc>
          <w:tcPr>
            <w:tcW w:w="2041" w:type="dxa"/>
          </w:tcPr>
          <w:p w:rsidR="00505632" w:rsidRDefault="00505632" w:rsidP="00AD4E52">
            <w:pPr>
              <w:pStyle w:val="CellColumn"/>
              <w:jc w:val="right"/>
            </w:pPr>
            <w:r>
              <w:rPr>
                <w:rFonts w:cs="Times New Roman"/>
              </w:rPr>
              <w:t>3.168.577</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101,1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Zakon o osiguravanju kvalitete u znanosti i visokom obrazovanju (NN 45/09.);</w:t>
      </w:r>
    </w:p>
    <w:p w:rsidR="00505632" w:rsidRDefault="00505632" w:rsidP="00505632">
      <w:pPr>
        <w:pStyle w:val="Heading8"/>
        <w:jc w:val="left"/>
      </w:pPr>
      <w:r>
        <w:t>Opis aktivnosti</w:t>
      </w:r>
    </w:p>
    <w:p w:rsidR="00505632" w:rsidRDefault="00505632" w:rsidP="00505632">
      <w:r>
        <w:t>U okviru sredstava na aktivnosti Vježbaonica osiguravala su se sredstva za troškove praktične nastave na studeijskim programima Učiteljskih fakulteta.</w:t>
      </w:r>
    </w:p>
    <w:p w:rsidR="00505632" w:rsidRDefault="00505632" w:rsidP="00505632"/>
    <w:p w:rsidR="00505632" w:rsidRDefault="00505632" w:rsidP="00505632"/>
    <w:p w:rsidR="00505632" w:rsidRDefault="00505632" w:rsidP="00505632">
      <w:pPr>
        <w:pStyle w:val="Heading4"/>
      </w:pPr>
      <w:r>
        <w:t>A621058 PROGRAMI POBOLJŠANJA STUDENTSKOG STANDARDA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A621058-PROGRAMI POBOLJŠANJA STUDENTSKOG STANDARDA</w:t>
            </w:r>
          </w:p>
        </w:tc>
        <w:tc>
          <w:tcPr>
            <w:tcW w:w="2041" w:type="dxa"/>
          </w:tcPr>
          <w:p w:rsidR="00505632" w:rsidRDefault="00505632" w:rsidP="00AD4E52">
            <w:pPr>
              <w:pStyle w:val="CellColumn"/>
              <w:jc w:val="right"/>
            </w:pPr>
            <w:r>
              <w:rPr>
                <w:rFonts w:cs="Times New Roman"/>
              </w:rPr>
              <w:t>50.346.056</w:t>
            </w:r>
          </w:p>
        </w:tc>
        <w:tc>
          <w:tcPr>
            <w:tcW w:w="2041" w:type="dxa"/>
          </w:tcPr>
          <w:p w:rsidR="00505632" w:rsidRDefault="00505632" w:rsidP="00AD4E52">
            <w:pPr>
              <w:pStyle w:val="CellColumn"/>
              <w:jc w:val="right"/>
            </w:pPr>
            <w:r>
              <w:rPr>
                <w:rFonts w:cs="Times New Roman"/>
              </w:rPr>
              <w:t>35.328.754</w:t>
            </w:r>
          </w:p>
        </w:tc>
        <w:tc>
          <w:tcPr>
            <w:tcW w:w="2041" w:type="dxa"/>
          </w:tcPr>
          <w:p w:rsidR="00505632" w:rsidRDefault="00505632" w:rsidP="00AD4E52">
            <w:pPr>
              <w:pStyle w:val="CellColumn"/>
              <w:jc w:val="right"/>
            </w:pPr>
            <w:r>
              <w:rPr>
                <w:rFonts w:cs="Times New Roman"/>
              </w:rPr>
              <w:t>34.992.181</w:t>
            </w:r>
          </w:p>
        </w:tc>
        <w:tc>
          <w:tcPr>
            <w:tcW w:w="1224" w:type="dxa"/>
          </w:tcPr>
          <w:p w:rsidR="00505632" w:rsidRDefault="00505632" w:rsidP="00AD4E52">
            <w:pPr>
              <w:pStyle w:val="CellColumn"/>
              <w:jc w:val="right"/>
            </w:pPr>
            <w:r>
              <w:rPr>
                <w:rFonts w:cs="Times New Roman"/>
              </w:rPr>
              <w:t>99,0</w:t>
            </w:r>
          </w:p>
        </w:tc>
        <w:tc>
          <w:tcPr>
            <w:tcW w:w="1224" w:type="dxa"/>
          </w:tcPr>
          <w:p w:rsidR="00505632" w:rsidRDefault="00505632" w:rsidP="00AD4E52">
            <w:pPr>
              <w:pStyle w:val="CellColumn"/>
              <w:jc w:val="right"/>
            </w:pPr>
            <w:r>
              <w:rPr>
                <w:rFonts w:cs="Times New Roman"/>
              </w:rPr>
              <w:t>69,5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socijalno-ekonomskog statusa.</w:t>
      </w:r>
    </w:p>
    <w:p w:rsidR="00505632" w:rsidRDefault="00505632" w:rsidP="00505632">
      <w:pPr>
        <w:pStyle w:val="Heading4"/>
      </w:pPr>
      <w:r>
        <w:t>A621074 REDOVNA DJELATNOST SVEUČILIŠTA U ZADRU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A621074-REDOVNA DJELATNOST SVEUČILIŠTA U ZADRU</w:t>
            </w:r>
          </w:p>
        </w:tc>
        <w:tc>
          <w:tcPr>
            <w:tcW w:w="2041" w:type="dxa"/>
          </w:tcPr>
          <w:p w:rsidR="00505632" w:rsidRDefault="00505632" w:rsidP="00AD4E52">
            <w:pPr>
              <w:pStyle w:val="CellColumn"/>
              <w:jc w:val="right"/>
            </w:pPr>
            <w:r>
              <w:rPr>
                <w:rFonts w:cs="Times New Roman"/>
              </w:rPr>
              <w:t>122.438.036</w:t>
            </w:r>
          </w:p>
        </w:tc>
        <w:tc>
          <w:tcPr>
            <w:tcW w:w="2041" w:type="dxa"/>
          </w:tcPr>
          <w:p w:rsidR="00505632" w:rsidRDefault="00505632" w:rsidP="00AD4E52">
            <w:pPr>
              <w:pStyle w:val="CellColumn"/>
              <w:jc w:val="right"/>
            </w:pPr>
            <w:r>
              <w:rPr>
                <w:rFonts w:cs="Times New Roman"/>
              </w:rPr>
              <w:t>126.401.793</w:t>
            </w:r>
          </w:p>
        </w:tc>
        <w:tc>
          <w:tcPr>
            <w:tcW w:w="2041" w:type="dxa"/>
          </w:tcPr>
          <w:p w:rsidR="00505632" w:rsidRDefault="00505632" w:rsidP="00AD4E52">
            <w:pPr>
              <w:pStyle w:val="CellColumn"/>
              <w:jc w:val="right"/>
            </w:pPr>
            <w:r>
              <w:rPr>
                <w:rFonts w:cs="Times New Roman"/>
              </w:rPr>
              <w:t>120.860.474</w:t>
            </w:r>
          </w:p>
        </w:tc>
        <w:tc>
          <w:tcPr>
            <w:tcW w:w="1224" w:type="dxa"/>
          </w:tcPr>
          <w:p w:rsidR="00505632" w:rsidRDefault="00505632" w:rsidP="00AD4E52">
            <w:pPr>
              <w:pStyle w:val="CellColumn"/>
              <w:jc w:val="right"/>
            </w:pPr>
            <w:r>
              <w:rPr>
                <w:rFonts w:cs="Times New Roman"/>
              </w:rPr>
              <w:t>95,6</w:t>
            </w:r>
          </w:p>
        </w:tc>
        <w:tc>
          <w:tcPr>
            <w:tcW w:w="1224" w:type="dxa"/>
          </w:tcPr>
          <w:p w:rsidR="00505632" w:rsidRDefault="00505632" w:rsidP="00AD4E52">
            <w:pPr>
              <w:pStyle w:val="CellColumn"/>
              <w:jc w:val="right"/>
            </w:pPr>
            <w:r>
              <w:rPr>
                <w:rFonts w:cs="Times New Roman"/>
              </w:rPr>
              <w:t>98,7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Zakon o osiguravanju kvalitete u znanosti i visokom obrazovanju (NN 45/09.); Temeljni kolektivni ugovor za službenike i namještenike u javnim službama (NN broj 141/12 i 150/13);</w:t>
      </w:r>
    </w:p>
    <w:p w:rsidR="00505632" w:rsidRDefault="00505632" w:rsidP="00505632">
      <w:pPr>
        <w:pStyle w:val="Heading8"/>
        <w:jc w:val="left"/>
      </w:pPr>
      <w:r>
        <w:t>Opis aktivnosti</w:t>
      </w:r>
    </w:p>
    <w:p w:rsidR="00505632" w:rsidRDefault="00505632" w:rsidP="00505632">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505632" w:rsidRDefault="00505632" w:rsidP="00505632"/>
    <w:p w:rsidR="00505632" w:rsidRDefault="00505632" w:rsidP="00505632"/>
    <w:p w:rsidR="00505632" w:rsidRDefault="00505632" w:rsidP="00505632"/>
    <w:p w:rsidR="00505632" w:rsidRDefault="00505632" w:rsidP="00505632">
      <w:pPr>
        <w:pStyle w:val="Heading4"/>
      </w:pPr>
      <w:r>
        <w:t>A621138 REDOVNA DJELATNOST SVEUČILIŠTA U DUBROVNIKU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A621138-REDOVNA DJELATNOST SVEUČILIŠTA U DUBROVNIKU</w:t>
            </w:r>
          </w:p>
        </w:tc>
        <w:tc>
          <w:tcPr>
            <w:tcW w:w="2041" w:type="dxa"/>
          </w:tcPr>
          <w:p w:rsidR="00505632" w:rsidRDefault="00505632" w:rsidP="00AD4E52">
            <w:pPr>
              <w:pStyle w:val="CellColumn"/>
              <w:jc w:val="right"/>
            </w:pPr>
            <w:r>
              <w:rPr>
                <w:rFonts w:cs="Times New Roman"/>
              </w:rPr>
              <w:t>52.890.326</w:t>
            </w:r>
          </w:p>
        </w:tc>
        <w:tc>
          <w:tcPr>
            <w:tcW w:w="2041" w:type="dxa"/>
          </w:tcPr>
          <w:p w:rsidR="00505632" w:rsidRDefault="00505632" w:rsidP="00AD4E52">
            <w:pPr>
              <w:pStyle w:val="CellColumn"/>
              <w:jc w:val="right"/>
            </w:pPr>
            <w:r>
              <w:rPr>
                <w:rFonts w:cs="Times New Roman"/>
              </w:rPr>
              <w:t>58.413.243</w:t>
            </w:r>
          </w:p>
        </w:tc>
        <w:tc>
          <w:tcPr>
            <w:tcW w:w="2041" w:type="dxa"/>
          </w:tcPr>
          <w:p w:rsidR="00505632" w:rsidRDefault="00505632" w:rsidP="00AD4E52">
            <w:pPr>
              <w:pStyle w:val="CellColumn"/>
              <w:jc w:val="right"/>
            </w:pPr>
            <w:r>
              <w:rPr>
                <w:rFonts w:cs="Times New Roman"/>
              </w:rPr>
              <w:t>56.337.834</w:t>
            </w:r>
          </w:p>
        </w:tc>
        <w:tc>
          <w:tcPr>
            <w:tcW w:w="1224" w:type="dxa"/>
          </w:tcPr>
          <w:p w:rsidR="00505632" w:rsidRDefault="00505632" w:rsidP="00AD4E52">
            <w:pPr>
              <w:pStyle w:val="CellColumn"/>
              <w:jc w:val="right"/>
            </w:pPr>
            <w:r>
              <w:rPr>
                <w:rFonts w:cs="Times New Roman"/>
              </w:rPr>
              <w:t>96,4</w:t>
            </w:r>
          </w:p>
        </w:tc>
        <w:tc>
          <w:tcPr>
            <w:tcW w:w="1224" w:type="dxa"/>
          </w:tcPr>
          <w:p w:rsidR="00505632" w:rsidRDefault="00505632" w:rsidP="00AD4E52">
            <w:pPr>
              <w:pStyle w:val="CellColumn"/>
              <w:jc w:val="right"/>
            </w:pPr>
            <w:r>
              <w:rPr>
                <w:rFonts w:cs="Times New Roman"/>
              </w:rPr>
              <w:t>106,5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Zakon o osiguravanju kvalitete u znanosti i visokom obrazovanju (NN 45/09.); Temeljni kolektivni ugovor za službenike i namještenike u javnim službama (NN broj 141/12 i 150/13);</w:t>
      </w:r>
    </w:p>
    <w:p w:rsidR="00505632" w:rsidRDefault="00505632" w:rsidP="00505632">
      <w:pPr>
        <w:pStyle w:val="Heading8"/>
        <w:jc w:val="left"/>
      </w:pPr>
      <w:r>
        <w:t>Opis aktivnosti</w:t>
      </w:r>
    </w:p>
    <w:p w:rsidR="00505632" w:rsidRDefault="00505632" w:rsidP="00505632">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505632" w:rsidRDefault="00505632" w:rsidP="00505632">
      <w:pPr>
        <w:pStyle w:val="Heading4"/>
      </w:pPr>
      <w:r>
        <w:t>A621148 REDOVNA DJELATNOST VELEUČILIŠTA I VISOKIH ŠKOLA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A621148-REDOVNA DJELATNOST VELEUČILIŠTA I VISOKIH ŠKOLA</w:t>
            </w:r>
          </w:p>
        </w:tc>
        <w:tc>
          <w:tcPr>
            <w:tcW w:w="2041" w:type="dxa"/>
          </w:tcPr>
          <w:p w:rsidR="00505632" w:rsidRDefault="00505632" w:rsidP="00AD4E52">
            <w:pPr>
              <w:pStyle w:val="CellColumn"/>
              <w:jc w:val="right"/>
            </w:pPr>
            <w:r>
              <w:rPr>
                <w:rFonts w:cs="Times New Roman"/>
              </w:rPr>
              <w:t>200.385.584</w:t>
            </w:r>
          </w:p>
        </w:tc>
        <w:tc>
          <w:tcPr>
            <w:tcW w:w="2041" w:type="dxa"/>
          </w:tcPr>
          <w:p w:rsidR="00505632" w:rsidRDefault="00505632" w:rsidP="00AD4E52">
            <w:pPr>
              <w:pStyle w:val="CellColumn"/>
              <w:jc w:val="right"/>
            </w:pPr>
            <w:r>
              <w:rPr>
                <w:rFonts w:cs="Times New Roman"/>
              </w:rPr>
              <w:t>198.798.593</w:t>
            </w:r>
          </w:p>
        </w:tc>
        <w:tc>
          <w:tcPr>
            <w:tcW w:w="2041" w:type="dxa"/>
          </w:tcPr>
          <w:p w:rsidR="00505632" w:rsidRDefault="00505632" w:rsidP="00AD4E52">
            <w:pPr>
              <w:pStyle w:val="CellColumn"/>
              <w:jc w:val="right"/>
            </w:pPr>
            <w:r>
              <w:rPr>
                <w:rFonts w:cs="Times New Roman"/>
              </w:rPr>
              <w:t>200.004.914</w:t>
            </w:r>
          </w:p>
        </w:tc>
        <w:tc>
          <w:tcPr>
            <w:tcW w:w="1224" w:type="dxa"/>
          </w:tcPr>
          <w:p w:rsidR="00505632" w:rsidRDefault="00505632" w:rsidP="00AD4E52">
            <w:pPr>
              <w:pStyle w:val="CellColumn"/>
              <w:jc w:val="right"/>
            </w:pPr>
            <w:r>
              <w:rPr>
                <w:rFonts w:cs="Times New Roman"/>
              </w:rPr>
              <w:t>100,6</w:t>
            </w:r>
          </w:p>
        </w:tc>
        <w:tc>
          <w:tcPr>
            <w:tcW w:w="1224" w:type="dxa"/>
          </w:tcPr>
          <w:p w:rsidR="00505632" w:rsidRDefault="00505632" w:rsidP="00AD4E52">
            <w:pPr>
              <w:pStyle w:val="CellColumn"/>
              <w:jc w:val="right"/>
            </w:pPr>
            <w:r>
              <w:rPr>
                <w:rFonts w:cs="Times New Roman"/>
              </w:rPr>
              <w:t>99,8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Zakon o osiguravanju kvalitete u znanosti i visokom obrazovanju (NN 45/09.);Temeljni kolektivni ugovor za službenike i namještenike u javnim službama (NN broj 141/12 i 150/13);</w:t>
      </w:r>
    </w:p>
    <w:p w:rsidR="00505632" w:rsidRDefault="00505632" w:rsidP="00505632">
      <w:pPr>
        <w:pStyle w:val="Heading8"/>
        <w:jc w:val="left"/>
      </w:pPr>
      <w:r>
        <w:t>Opis aktivnosti</w:t>
      </w:r>
    </w:p>
    <w:p w:rsidR="00505632" w:rsidRDefault="00505632" w:rsidP="00505632">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505632" w:rsidRDefault="00505632" w:rsidP="00505632"/>
    <w:p w:rsidR="00505632" w:rsidRDefault="00505632" w:rsidP="00505632"/>
    <w:p w:rsidR="00505632" w:rsidRDefault="00505632" w:rsidP="00505632">
      <w:pPr>
        <w:pStyle w:val="Heading4"/>
      </w:pPr>
      <w:r>
        <w:t>A621168 REDOVNA DJELATNOST SVEUČILIŠTA U PULI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A621168-REDOVNA DJELATNOST SVEUČILIŠTA U PULI</w:t>
            </w:r>
          </w:p>
        </w:tc>
        <w:tc>
          <w:tcPr>
            <w:tcW w:w="2041" w:type="dxa"/>
          </w:tcPr>
          <w:p w:rsidR="00505632" w:rsidRDefault="00505632" w:rsidP="00AD4E52">
            <w:pPr>
              <w:pStyle w:val="CellColumn"/>
              <w:jc w:val="right"/>
            </w:pPr>
            <w:r>
              <w:rPr>
                <w:rFonts w:cs="Times New Roman"/>
              </w:rPr>
              <w:t>47.117.228</w:t>
            </w:r>
          </w:p>
        </w:tc>
        <w:tc>
          <w:tcPr>
            <w:tcW w:w="2041" w:type="dxa"/>
          </w:tcPr>
          <w:p w:rsidR="00505632" w:rsidRDefault="00505632" w:rsidP="00AD4E52">
            <w:pPr>
              <w:pStyle w:val="CellColumn"/>
              <w:jc w:val="right"/>
            </w:pPr>
            <w:r>
              <w:rPr>
                <w:rFonts w:cs="Times New Roman"/>
              </w:rPr>
              <w:t>51.529.515</w:t>
            </w:r>
          </w:p>
        </w:tc>
        <w:tc>
          <w:tcPr>
            <w:tcW w:w="2041" w:type="dxa"/>
          </w:tcPr>
          <w:p w:rsidR="00505632" w:rsidRDefault="00505632" w:rsidP="00AD4E52">
            <w:pPr>
              <w:pStyle w:val="CellColumn"/>
              <w:jc w:val="right"/>
            </w:pPr>
            <w:r>
              <w:rPr>
                <w:rFonts w:cs="Times New Roman"/>
              </w:rPr>
              <w:t>51.438.553</w:t>
            </w:r>
          </w:p>
        </w:tc>
        <w:tc>
          <w:tcPr>
            <w:tcW w:w="1224" w:type="dxa"/>
          </w:tcPr>
          <w:p w:rsidR="00505632" w:rsidRDefault="00505632" w:rsidP="00AD4E52">
            <w:pPr>
              <w:pStyle w:val="CellColumn"/>
              <w:jc w:val="right"/>
            </w:pPr>
            <w:r>
              <w:rPr>
                <w:rFonts w:cs="Times New Roman"/>
              </w:rPr>
              <w:t>99,8</w:t>
            </w:r>
          </w:p>
        </w:tc>
        <w:tc>
          <w:tcPr>
            <w:tcW w:w="1224" w:type="dxa"/>
          </w:tcPr>
          <w:p w:rsidR="00505632" w:rsidRDefault="00505632" w:rsidP="00AD4E52">
            <w:pPr>
              <w:pStyle w:val="CellColumn"/>
              <w:jc w:val="right"/>
            </w:pPr>
            <w:r>
              <w:rPr>
                <w:rFonts w:cs="Times New Roman"/>
              </w:rPr>
              <w:t>109,2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Zakon o osiguravanju kvalitete u znanosti i visokom obrazovanju (NN 45/09.); Temeljni kolektivni ugovor za službenike i namještenike u javnim službama (NN broj 141/12 i 150/13);</w:t>
      </w:r>
    </w:p>
    <w:p w:rsidR="00505632" w:rsidRDefault="00505632" w:rsidP="00505632">
      <w:pPr>
        <w:pStyle w:val="Heading8"/>
        <w:jc w:val="left"/>
      </w:pPr>
      <w:r>
        <w:t>Opis aktivnosti</w:t>
      </w:r>
    </w:p>
    <w:p w:rsidR="00505632" w:rsidRDefault="00505632" w:rsidP="00505632">
      <w:r>
        <w:t>U okviru navedenih aktivnosti osiguravala su se sredstva za: rashode za zaposlene (bruto plaće s doprinosima poslodavca); ostale rashode za zaposlene (jubilarne nagrade, otpremnine, pomoći, i dar djeci povodom sv. Nikole); materijalne rashode (naknade troškova zaposlenima; tekuće donacije (studentske programe studenata).</w:t>
      </w:r>
    </w:p>
    <w:p w:rsidR="00505632" w:rsidRDefault="00505632" w:rsidP="00505632">
      <w:pPr>
        <w:pStyle w:val="Heading4"/>
      </w:pPr>
      <w:r>
        <w:t>A622122 PROGRAMSKO FINANCIRANJE JAVNIH VISOKIH UČILIŠTA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A622122-PROGRAMSKO FINANCIRANJE JAVNIH VISOKIH UČILIŠTA</w:t>
            </w:r>
          </w:p>
        </w:tc>
        <w:tc>
          <w:tcPr>
            <w:tcW w:w="2041" w:type="dxa"/>
          </w:tcPr>
          <w:p w:rsidR="00505632" w:rsidRDefault="00505632" w:rsidP="00AD4E52">
            <w:pPr>
              <w:pStyle w:val="CellColumn"/>
              <w:jc w:val="right"/>
            </w:pPr>
            <w:r>
              <w:rPr>
                <w:rFonts w:cs="Times New Roman"/>
              </w:rPr>
              <w:t>225.814.162</w:t>
            </w:r>
          </w:p>
        </w:tc>
        <w:tc>
          <w:tcPr>
            <w:tcW w:w="2041" w:type="dxa"/>
          </w:tcPr>
          <w:p w:rsidR="00505632" w:rsidRDefault="00505632" w:rsidP="00AD4E52">
            <w:pPr>
              <w:pStyle w:val="CellColumn"/>
              <w:jc w:val="right"/>
            </w:pPr>
            <w:r>
              <w:rPr>
                <w:rFonts w:cs="Times New Roman"/>
              </w:rPr>
              <w:t>304.394.982</w:t>
            </w:r>
          </w:p>
        </w:tc>
        <w:tc>
          <w:tcPr>
            <w:tcW w:w="2041" w:type="dxa"/>
          </w:tcPr>
          <w:p w:rsidR="00505632" w:rsidRDefault="00505632" w:rsidP="00AD4E52">
            <w:pPr>
              <w:pStyle w:val="CellColumn"/>
              <w:jc w:val="right"/>
            </w:pPr>
            <w:r>
              <w:rPr>
                <w:rFonts w:cs="Times New Roman"/>
              </w:rPr>
              <w:t>304.311.982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134,8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Odluka o punoj subvenciji participacije redovitih studenata u troškovima studija i sufinanciranju materijalnih troškova javnim visokim učilištima u Republici Hrvatskoj u akademskim godinama 2015./2016., 2016./2017. i 2017./2018. (NN broj 83/15)</w:t>
      </w:r>
    </w:p>
    <w:p w:rsidR="00505632" w:rsidRDefault="00505632" w:rsidP="00505632">
      <w:pPr>
        <w:pStyle w:val="Heading8"/>
        <w:jc w:val="left"/>
      </w:pPr>
      <w:r>
        <w:t>Opis aktivnosti</w:t>
      </w:r>
    </w:p>
    <w:p w:rsidR="00505632" w:rsidRDefault="00505632" w:rsidP="00505632">
      <w:r>
        <w:t>U okviru navedene aktivnosti osigurava se pristup visokom obrazovanju, kao i povećanje završnosti, na način da su svi studenti upisani prvi put u prvu godinu i studenti koji ostvare 55 i više ECTS bodova oslobođeni plaćanja participacije u troškovima studija.</w:t>
      </w:r>
    </w:p>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4"/>
        <w:gridCol w:w="2455"/>
        <w:gridCol w:w="1259"/>
        <w:gridCol w:w="1011"/>
        <w:gridCol w:w="1004"/>
        <w:gridCol w:w="1011"/>
        <w:gridCol w:w="1012"/>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studenata koji na temelju uspjeha na studiju ostvaruju pravo na subvencioniranje troškova studija</w:t>
            </w:r>
          </w:p>
        </w:tc>
        <w:tc>
          <w:tcPr>
            <w:tcW w:w="2551" w:type="dxa"/>
          </w:tcPr>
          <w:p w:rsidR="00505632" w:rsidRDefault="00505632" w:rsidP="00AD4E52">
            <w:pPr>
              <w:pStyle w:val="CellColumn"/>
              <w:jc w:val="left"/>
            </w:pPr>
            <w:r>
              <w:rPr>
                <w:rFonts w:cs="Times New Roman"/>
              </w:rPr>
              <w:t>Povećanje broja studenata koji na temelju uspjeha na studiju ostvaruju pravo na subvencioniranje troškova studija</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(kumulativno)</w:t>
            </w:r>
          </w:p>
        </w:tc>
        <w:tc>
          <w:tcPr>
            <w:tcW w:w="1020" w:type="dxa"/>
          </w:tcPr>
          <w:p w:rsidR="00505632" w:rsidRDefault="00505632" w:rsidP="00AD4E52">
            <w:pPr>
              <w:pStyle w:val="CellColumn"/>
              <w:jc w:val="right"/>
            </w:pPr>
            <w:r>
              <w:rPr>
                <w:rFonts w:cs="Times New Roman"/>
              </w:rPr>
              <w:t>63.300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63.300</w:t>
            </w:r>
          </w:p>
        </w:tc>
        <w:tc>
          <w:tcPr>
            <w:tcW w:w="1020" w:type="dxa"/>
          </w:tcPr>
          <w:p w:rsidR="00505632" w:rsidRDefault="00505632" w:rsidP="00AD4E52">
            <w:pPr>
              <w:pStyle w:val="CellColumn"/>
              <w:jc w:val="right"/>
            </w:pPr>
            <w:r>
              <w:rPr>
                <w:rFonts w:cs="Times New Roman"/>
              </w:rPr>
              <w:t>63.300</w:t>
            </w:r>
          </w:p>
        </w:tc>
      </w:tr>
    </w:tbl>
    <w:p w:rsidR="00505632" w:rsidRDefault="00505632" w:rsidP="00505632">
      <w:pPr>
        <w:jc w:val="left"/>
      </w:pPr>
    </w:p>
    <w:p w:rsidR="00505632" w:rsidRDefault="00505632" w:rsidP="00505632">
      <w:pPr>
        <w:pStyle w:val="Heading4"/>
      </w:pPr>
      <w:r>
        <w:t>A679065 SMJEŠTAJ I PREHRANA STUDENATA STUDENTSKOG CENTRA PULA - SUFINANCIRANJE</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A679065-SMJEŠTAJ I PREHRANA STUDENATA STUDENTSKOG CENTRA PULA - SUFINANCIRANJE</w:t>
            </w:r>
          </w:p>
        </w:tc>
        <w:tc>
          <w:tcPr>
            <w:tcW w:w="2041" w:type="dxa"/>
          </w:tcPr>
          <w:p w:rsidR="00505632" w:rsidRDefault="00505632" w:rsidP="00AD4E52">
            <w:pPr>
              <w:pStyle w:val="CellColumn"/>
              <w:jc w:val="right"/>
            </w:pPr>
            <w:r>
              <w:rPr>
                <w:rFonts w:cs="Times New Roman"/>
              </w:rPr>
              <w:t>3.133.391</w:t>
            </w:r>
          </w:p>
        </w:tc>
        <w:tc>
          <w:tcPr>
            <w:tcW w:w="2041" w:type="dxa"/>
          </w:tcPr>
          <w:p w:rsidR="00505632" w:rsidRDefault="00505632" w:rsidP="00AD4E52">
            <w:pPr>
              <w:pStyle w:val="CellColumn"/>
              <w:jc w:val="right"/>
            </w:pPr>
            <w:r>
              <w:rPr>
                <w:rFonts w:cs="Times New Roman"/>
              </w:rPr>
              <w:t>4.133.391</w:t>
            </w:r>
          </w:p>
        </w:tc>
        <w:tc>
          <w:tcPr>
            <w:tcW w:w="2041" w:type="dxa"/>
          </w:tcPr>
          <w:p w:rsidR="00505632" w:rsidRDefault="00505632" w:rsidP="00AD4E52">
            <w:pPr>
              <w:pStyle w:val="CellColumn"/>
              <w:jc w:val="right"/>
            </w:pPr>
            <w:r>
              <w:rPr>
                <w:rFonts w:cs="Times New Roman"/>
              </w:rPr>
              <w:t>4.041.443</w:t>
            </w:r>
          </w:p>
        </w:tc>
        <w:tc>
          <w:tcPr>
            <w:tcW w:w="1224" w:type="dxa"/>
          </w:tcPr>
          <w:p w:rsidR="00505632" w:rsidRDefault="00505632" w:rsidP="00AD4E52">
            <w:pPr>
              <w:pStyle w:val="CellColumn"/>
              <w:jc w:val="right"/>
            </w:pPr>
            <w:r>
              <w:rPr>
                <w:rFonts w:cs="Times New Roman"/>
              </w:rPr>
              <w:t>97,8</w:t>
            </w:r>
          </w:p>
        </w:tc>
        <w:tc>
          <w:tcPr>
            <w:tcW w:w="1224" w:type="dxa"/>
          </w:tcPr>
          <w:p w:rsidR="00505632" w:rsidRDefault="00505632" w:rsidP="00AD4E52">
            <w:pPr>
              <w:pStyle w:val="CellColumn"/>
              <w:jc w:val="right"/>
            </w:pPr>
            <w:r>
              <w:rPr>
                <w:rFonts w:cs="Times New Roman"/>
              </w:rPr>
              <w:t>129,0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redovitih studenata na subvencionirano stanovanje (Narodne novine, br. 58/16).; Pravilnik o uvjetima i načinu ostvarivanja prava na pokriće troškova prehrane studenata (NN 120/13 i 8/14).</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socijalno-ekonomakosg statusa.</w:t>
      </w:r>
    </w:p>
    <w:p w:rsidR="00505632" w:rsidRDefault="00505632" w:rsidP="00505632">
      <w:pPr>
        <w:pStyle w:val="Heading4"/>
      </w:pPr>
      <w:r>
        <w:t>A679067 STIPENDIJE ZA STUDENTE SLABIJEGA SOCIO-EKONOMSKOG STATUSA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A679067-STIPENDIJE ZA STUDENTE SLABIJEGA SOCIO-EKONOMSKOG STATUSA</w:t>
            </w:r>
          </w:p>
        </w:tc>
        <w:tc>
          <w:tcPr>
            <w:tcW w:w="2041" w:type="dxa"/>
          </w:tcPr>
          <w:p w:rsidR="00505632" w:rsidRDefault="00505632" w:rsidP="00AD4E52">
            <w:pPr>
              <w:pStyle w:val="CellColumn"/>
              <w:jc w:val="right"/>
            </w:pPr>
            <w:r>
              <w:rPr>
                <w:rFonts w:cs="Times New Roman"/>
              </w:rPr>
              <w:t>59.201.200</w:t>
            </w:r>
          </w:p>
        </w:tc>
        <w:tc>
          <w:tcPr>
            <w:tcW w:w="2041" w:type="dxa"/>
          </w:tcPr>
          <w:p w:rsidR="00505632" w:rsidRDefault="00505632" w:rsidP="00AD4E52">
            <w:pPr>
              <w:pStyle w:val="CellColumn"/>
              <w:jc w:val="right"/>
            </w:pPr>
            <w:r>
              <w:rPr>
                <w:rFonts w:cs="Times New Roman"/>
              </w:rPr>
              <w:t>57.084.500</w:t>
            </w:r>
          </w:p>
        </w:tc>
        <w:tc>
          <w:tcPr>
            <w:tcW w:w="2041" w:type="dxa"/>
          </w:tcPr>
          <w:p w:rsidR="00505632" w:rsidRDefault="00505632" w:rsidP="00AD4E52">
            <w:pPr>
              <w:pStyle w:val="CellColumn"/>
              <w:jc w:val="right"/>
            </w:pPr>
            <w:r>
              <w:rPr>
                <w:rFonts w:cs="Times New Roman"/>
              </w:rPr>
              <w:t>56.968.200</w:t>
            </w:r>
          </w:p>
        </w:tc>
        <w:tc>
          <w:tcPr>
            <w:tcW w:w="1224" w:type="dxa"/>
          </w:tcPr>
          <w:p w:rsidR="00505632" w:rsidRDefault="00505632" w:rsidP="00AD4E52">
            <w:pPr>
              <w:pStyle w:val="CellColumn"/>
              <w:jc w:val="right"/>
            </w:pPr>
            <w:r>
              <w:rPr>
                <w:rFonts w:cs="Times New Roman"/>
              </w:rPr>
              <w:t>99,8</w:t>
            </w:r>
          </w:p>
        </w:tc>
        <w:tc>
          <w:tcPr>
            <w:tcW w:w="1224" w:type="dxa"/>
          </w:tcPr>
          <w:p w:rsidR="00505632" w:rsidRDefault="00505632" w:rsidP="00AD4E52">
            <w:pPr>
              <w:pStyle w:val="CellColumn"/>
              <w:jc w:val="right"/>
            </w:pPr>
            <w:r>
              <w:rPr>
                <w:rFonts w:cs="Times New Roman"/>
              </w:rPr>
              <w:t>96,2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znanstvenoj djelatnosti i visokom obrazovanju (NN 123/03., 105/04., 174/04., 2/07. – Odluka Ustavnog suda Republike Hrvatske, 46/07., 45/09. , 63/11, 139/13 i 101/14 - O i RUSRH) Pravilnik o uvjetima i načinu ostvarivanja prava na državnu stipendiju (NN 159/13).</w:t>
      </w:r>
    </w:p>
    <w:p w:rsidR="00505632" w:rsidRDefault="00505632" w:rsidP="00505632">
      <w:pPr>
        <w:pStyle w:val="Heading8"/>
        <w:jc w:val="left"/>
      </w:pPr>
      <w:r>
        <w:t>Opis aktivnosti</w:t>
      </w:r>
    </w:p>
    <w:p w:rsidR="00505632" w:rsidRDefault="00505632" w:rsidP="00505632">
      <w:r>
        <w:t>U okviru sredstava na aktivnostima studentskog standard osiguravala su se sredstva za subvencioniranu prehranu, smještaj, prijevoz studenata sa invaliditetom i dodjelu stipendija studentima slabijeg socijalno-ekonomakosg statusa.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2"/>
        <w:gridCol w:w="2449"/>
        <w:gridCol w:w="1259"/>
        <w:gridCol w:w="1013"/>
        <w:gridCol w:w="1007"/>
        <w:gridCol w:w="1013"/>
        <w:gridCol w:w="1013"/>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dodijeljenih stipendija u RH u različitim kategorijama</w:t>
            </w:r>
          </w:p>
        </w:tc>
        <w:tc>
          <w:tcPr>
            <w:tcW w:w="2551" w:type="dxa"/>
          </w:tcPr>
          <w:p w:rsidR="00505632" w:rsidRDefault="00505632" w:rsidP="00AD4E52">
            <w:pPr>
              <w:pStyle w:val="CellColumn"/>
              <w:jc w:val="left"/>
            </w:pPr>
            <w:r>
              <w:rPr>
                <w:rFonts w:cs="Times New Roman"/>
              </w:rPr>
              <w:t>Ukupan broj dodijeljenih stipendija u visokom obrazovanju u Hrvatskoj</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5.420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5500</w:t>
            </w:r>
          </w:p>
        </w:tc>
        <w:tc>
          <w:tcPr>
            <w:tcW w:w="1020" w:type="dxa"/>
          </w:tcPr>
          <w:p w:rsidR="00505632" w:rsidRDefault="00505632" w:rsidP="00AD4E52">
            <w:pPr>
              <w:pStyle w:val="CellColumn"/>
              <w:jc w:val="right"/>
            </w:pPr>
            <w:r>
              <w:rPr>
                <w:rFonts w:cs="Times New Roman"/>
              </w:rPr>
              <w:t>5500</w:t>
            </w:r>
          </w:p>
        </w:tc>
      </w:tr>
    </w:tbl>
    <w:p w:rsidR="00505632" w:rsidRDefault="00505632" w:rsidP="00505632">
      <w:pPr>
        <w:jc w:val="left"/>
      </w:pPr>
    </w:p>
    <w:p w:rsidR="00505632" w:rsidRDefault="00505632" w:rsidP="00505632">
      <w:pPr>
        <w:pStyle w:val="Heading4"/>
      </w:pPr>
      <w:r>
        <w:t>K679083 OP REGIONALNA KONKURENTNOST, PRIORITET 2 i 3</w:t>
      </w:r>
    </w:p>
    <w:tbl>
      <w:tblPr>
        <w:tblStyle w:val="StilTablice"/>
        <w:tblW w:w="10206" w:type="dxa"/>
        <w:jc w:val="center"/>
        <w:tblLook w:val="04A0" w:firstRow="1" w:lastRow="0" w:firstColumn="1" w:lastColumn="0" w:noHBand="0" w:noVBand="1"/>
      </w:tblPr>
      <w:tblGrid>
        <w:gridCol w:w="1931"/>
        <w:gridCol w:w="1944"/>
        <w:gridCol w:w="1958"/>
        <w:gridCol w:w="1958"/>
        <w:gridCol w:w="1203"/>
        <w:gridCol w:w="121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K679083-OP REGIONALNA KONKURENTNOST, PRIORITET 2 i 3</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21.144.979</w:t>
            </w:r>
          </w:p>
        </w:tc>
        <w:tc>
          <w:tcPr>
            <w:tcW w:w="2041" w:type="dxa"/>
          </w:tcPr>
          <w:p w:rsidR="00505632" w:rsidRDefault="00505632" w:rsidP="00AD4E52">
            <w:pPr>
              <w:pStyle w:val="CellColumn"/>
              <w:jc w:val="right"/>
            </w:pPr>
            <w:r>
              <w:rPr>
                <w:rFonts w:cs="Times New Roman"/>
              </w:rPr>
              <w:t>11.001.383</w:t>
            </w:r>
          </w:p>
        </w:tc>
        <w:tc>
          <w:tcPr>
            <w:tcW w:w="1224" w:type="dxa"/>
          </w:tcPr>
          <w:p w:rsidR="00505632" w:rsidRDefault="00505632" w:rsidP="00AD4E52">
            <w:pPr>
              <w:pStyle w:val="CellColumn"/>
              <w:jc w:val="right"/>
            </w:pPr>
            <w:r>
              <w:rPr>
                <w:rFonts w:cs="Times New Roman"/>
              </w:rPr>
              <w:t>52,0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Uredba o tijelima u sustavu upravljanja i kontrole korištenja strukturnih instrumenata Europske unije u Republici Hrvatskoj </w:t>
      </w:r>
    </w:p>
    <w:p w:rsidR="00505632" w:rsidRDefault="00505632" w:rsidP="00505632">
      <w:r>
        <w:t xml:space="preserve">Zakon o uspostavi institucionalnog okvira za korištenje strukturnih instrumenata Europske unije u Republici Hrvatskoj </w:t>
      </w:r>
    </w:p>
    <w:p w:rsidR="00505632" w:rsidRDefault="00505632" w:rsidP="00505632">
      <w:r>
        <w:t>Operativni program regionalna konkurentnost 2007. - 2013.</w:t>
      </w:r>
    </w:p>
    <w:p w:rsidR="00505632" w:rsidRDefault="00505632" w:rsidP="00505632">
      <w:pPr>
        <w:pStyle w:val="Heading8"/>
        <w:jc w:val="left"/>
      </w:pPr>
      <w:r>
        <w:t>Opis aktivnosti</w:t>
      </w:r>
    </w:p>
    <w:p w:rsidR="00505632" w:rsidRDefault="00505632" w:rsidP="00505632">
      <w:r>
        <w:t>Kroz ovu aktivnost provodili su se projekti koji se ugovoreni u sklopu Operativnog programa Regionalna konkurentnost 2007. - 2013. U 2016. godini s ove aktivnosti vršena su plaćanja za Pozive: „Priprema zalihe infrastrukturnih projekata za EFRR 2014.-2020“, „Priprema zalihe infrastrukturnih projekata za EFRR 2014.-2020., 2. poziv“, „Priprema zalihe infrastrukturnih projekata za EFRR 2014.-2020., 3. poziv“, „Jačanje kapaciteta za istraživanje, razvoj i inovacije“i „Fond za znanost i inovacije, 2. poziv“.</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4"/>
        <w:gridCol w:w="2454"/>
        <w:gridCol w:w="1259"/>
        <w:gridCol w:w="1011"/>
        <w:gridCol w:w="1005"/>
        <w:gridCol w:w="1011"/>
        <w:gridCol w:w="1012"/>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infrastrukturnih projekata istraživanja, razvoja i inovacija</w:t>
            </w:r>
          </w:p>
        </w:tc>
        <w:tc>
          <w:tcPr>
            <w:tcW w:w="2551" w:type="dxa"/>
          </w:tcPr>
          <w:p w:rsidR="00505632" w:rsidRDefault="00505632" w:rsidP="00AD4E52">
            <w:pPr>
              <w:pStyle w:val="CellColumn"/>
              <w:jc w:val="left"/>
            </w:pPr>
            <w:r>
              <w:rPr>
                <w:rFonts w:cs="Times New Roman"/>
              </w:rPr>
              <w:t>Broj infrastrukturnih projekata istraživanja, razvoja i inovacija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Broj I&amp;R i infrastrukturnih projekata koji imaju pripremljenu dokumentaciju za izgradnju</w:t>
            </w:r>
          </w:p>
        </w:tc>
        <w:tc>
          <w:tcPr>
            <w:tcW w:w="2551" w:type="dxa"/>
          </w:tcPr>
          <w:p w:rsidR="00505632" w:rsidRDefault="00505632" w:rsidP="00AD4E52">
            <w:pPr>
              <w:pStyle w:val="CellColumn"/>
              <w:jc w:val="left"/>
            </w:pPr>
            <w:r>
              <w:rPr>
                <w:rFonts w:cs="Times New Roman"/>
              </w:rPr>
              <w:t>Broj I&amp;R i infrastrukturnih projekata koji imaju pripremljenu dokumentaciju za izgradnju</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6</w:t>
            </w:r>
          </w:p>
        </w:tc>
      </w:tr>
    </w:tbl>
    <w:p w:rsidR="00505632" w:rsidRDefault="00505632" w:rsidP="00505632">
      <w:pPr>
        <w:jc w:val="left"/>
      </w:pPr>
    </w:p>
    <w:p w:rsidR="00505632" w:rsidRDefault="00505632" w:rsidP="00505632">
      <w:pPr>
        <w:pStyle w:val="Heading4"/>
      </w:pPr>
      <w:r>
        <w:t>K679084 OP KONKURENTNOST I KOHEZIJA 2014.-2020. - PRIORITET 1 i 10</w:t>
      </w:r>
    </w:p>
    <w:tbl>
      <w:tblPr>
        <w:tblStyle w:val="StilTablice"/>
        <w:tblW w:w="10206" w:type="dxa"/>
        <w:jc w:val="center"/>
        <w:tblLook w:val="04A0" w:firstRow="1" w:lastRow="0" w:firstColumn="1" w:lastColumn="0" w:noHBand="0" w:noVBand="1"/>
      </w:tblPr>
      <w:tblGrid>
        <w:gridCol w:w="1881"/>
        <w:gridCol w:w="1956"/>
        <w:gridCol w:w="1975"/>
        <w:gridCol w:w="1975"/>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K679084-OP KONKURENTNOST I KOHEZIJA 2014.-2020. - PRIORITET 1 i 10</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284.022.936</w:t>
            </w:r>
          </w:p>
        </w:tc>
        <w:tc>
          <w:tcPr>
            <w:tcW w:w="2041" w:type="dxa"/>
          </w:tcPr>
          <w:p w:rsidR="00505632" w:rsidRDefault="00505632" w:rsidP="00AD4E52">
            <w:pPr>
              <w:pStyle w:val="CellColumn"/>
              <w:jc w:val="right"/>
            </w:pPr>
            <w:r>
              <w:rPr>
                <w:rFonts w:cs="Times New Roman"/>
              </w:rPr>
              <w:t>259.226.157</w:t>
            </w:r>
          </w:p>
        </w:tc>
        <w:tc>
          <w:tcPr>
            <w:tcW w:w="1224" w:type="dxa"/>
          </w:tcPr>
          <w:p w:rsidR="00505632" w:rsidRDefault="00505632" w:rsidP="00AD4E52">
            <w:pPr>
              <w:pStyle w:val="CellColumn"/>
              <w:jc w:val="right"/>
            </w:pPr>
            <w:r>
              <w:rPr>
                <w:rFonts w:cs="Times New Roman"/>
              </w:rPr>
              <w:t>91,3</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uspostavi institucionalnog okvira za provedbu europskih strukturnih i investicijskih fondova u RH u razdoblju 2014.-2020. </w:t>
      </w:r>
    </w:p>
    <w:p w:rsidR="00505632" w:rsidRDefault="00505632" w:rsidP="00505632">
      <w:r>
        <w:t xml:space="preserve">Uredba o tijelima u sustavima upravljanja i kontrole korištenja Europskog socijalnog fonda, Eruopskog fonda za regionalni razvoj i kohezijskog fonda, u vezi s ciljem "Ulaganje za rast i radna mjesta" </w:t>
      </w:r>
    </w:p>
    <w:p w:rsidR="00505632" w:rsidRDefault="00505632" w:rsidP="00505632">
      <w:r>
        <w:t>Operativni program konkurentnost i kohezija 2014. - 2020.</w:t>
      </w:r>
    </w:p>
    <w:p w:rsidR="00505632" w:rsidRDefault="00505632" w:rsidP="00505632">
      <w:pPr>
        <w:pStyle w:val="Heading8"/>
        <w:jc w:val="left"/>
      </w:pPr>
      <w:r>
        <w:t>Opis aktivnosti</w:t>
      </w:r>
    </w:p>
    <w:p w:rsidR="00505632" w:rsidRDefault="00505632" w:rsidP="00505632">
      <w:r>
        <w:t>Kroz ovu aktivnost financiraju se projekti koji se nalaze u sklopu Operativnog programa Konkurentnost i kohezija 2014. – 2020. S obzirom da u 2016. godini nije bilo raspisanih Poziva za dodjelu bespovratnih sredstava unutar prioriteta 1 nije bilo troškova. Također iz ove aktivnosti unutar prioriteta 10 financira se Poziv „Modernizacija, unaprjeđenje i proširenje infrastrukture studentskog smještaja za studente u nepovoljnom položaju“. Sva potrošena sredstva u 2016. godini se odnose na navedeni Poziv.</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2"/>
        <w:gridCol w:w="2451"/>
        <w:gridCol w:w="1259"/>
        <w:gridCol w:w="1012"/>
        <w:gridCol w:w="1007"/>
        <w:gridCol w:w="1012"/>
        <w:gridCol w:w="1013"/>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ugovora o licenciranju</w:t>
            </w:r>
          </w:p>
        </w:tc>
        <w:tc>
          <w:tcPr>
            <w:tcW w:w="2551" w:type="dxa"/>
          </w:tcPr>
          <w:p w:rsidR="00505632" w:rsidRDefault="00505632" w:rsidP="00AD4E52">
            <w:pPr>
              <w:pStyle w:val="CellColumn"/>
              <w:jc w:val="left"/>
            </w:pPr>
            <w:r>
              <w:rPr>
                <w:rFonts w:cs="Times New Roman"/>
              </w:rPr>
              <w:t>Broj ugovora o licenciranju</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1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 xml:space="preserve">1 </w:t>
            </w:r>
          </w:p>
          <w:p w:rsidR="00505632" w:rsidRDefault="00505632" w:rsidP="00AD4E52">
            <w:pPr>
              <w:pStyle w:val="CellColumn"/>
              <w:jc w:val="right"/>
            </w:pPr>
            <w:r>
              <w:rPr>
                <w:rFonts w:cs="Times New Roman"/>
              </w:rPr>
              <w:t>(2014.)</w:t>
            </w:r>
          </w:p>
        </w:tc>
      </w:tr>
      <w:tr w:rsidR="00505632" w:rsidTr="00AD4E52">
        <w:trPr>
          <w:jc w:val="center"/>
        </w:trPr>
        <w:tc>
          <w:tcPr>
            <w:tcW w:w="2551" w:type="dxa"/>
          </w:tcPr>
          <w:p w:rsidR="00505632" w:rsidRDefault="00505632" w:rsidP="00AD4E52">
            <w:pPr>
              <w:pStyle w:val="CellColumn"/>
              <w:jc w:val="left"/>
            </w:pPr>
            <w:r>
              <w:rPr>
                <w:rFonts w:cs="Times New Roman"/>
              </w:rPr>
              <w:t>Udio znanstvenih publikacija koje su objavljene u 10 posto najcitiranijih znanstvenih publikacija u svijetu</w:t>
            </w:r>
          </w:p>
        </w:tc>
        <w:tc>
          <w:tcPr>
            <w:tcW w:w="2551" w:type="dxa"/>
          </w:tcPr>
          <w:p w:rsidR="00505632" w:rsidRDefault="00505632" w:rsidP="00AD4E52">
            <w:pPr>
              <w:pStyle w:val="CellColumn"/>
              <w:jc w:val="left"/>
            </w:pPr>
            <w:r>
              <w:rPr>
                <w:rFonts w:cs="Times New Roman"/>
              </w:rPr>
              <w:t>Udio znanstvenih publikacija koje su objavljene u 10 posto najcitiranijih znanstvenih publikacija u svijetu</w:t>
            </w:r>
          </w:p>
        </w:tc>
        <w:tc>
          <w:tcPr>
            <w:tcW w:w="1020" w:type="dxa"/>
          </w:tcPr>
          <w:p w:rsidR="00505632" w:rsidRDefault="00505632" w:rsidP="00AD4E52">
            <w:pPr>
              <w:pStyle w:val="CellColumn"/>
              <w:jc w:val="right"/>
            </w:pPr>
            <w:r>
              <w:rPr>
                <w:rFonts w:cs="Times New Roman"/>
              </w:rPr>
              <w:t xml:space="preserve">Postotak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3,07  </w:t>
            </w:r>
          </w:p>
          <w:p w:rsidR="00505632" w:rsidRDefault="00505632" w:rsidP="00AD4E52">
            <w:pPr>
              <w:pStyle w:val="CellColumn"/>
              <w:jc w:val="right"/>
            </w:pPr>
            <w:r>
              <w:rPr>
                <w:rFonts w:cs="Times New Roman"/>
              </w:rPr>
              <w:t>(2010.)</w:t>
            </w:r>
          </w:p>
        </w:tc>
        <w:tc>
          <w:tcPr>
            <w:tcW w:w="1020" w:type="dxa"/>
          </w:tcPr>
          <w:p w:rsidR="00505632" w:rsidRDefault="00505632" w:rsidP="00AD4E52">
            <w:pPr>
              <w:pStyle w:val="CellColumn"/>
              <w:jc w:val="right"/>
            </w:pPr>
            <w:r>
              <w:rPr>
                <w:rFonts w:cs="Times New Roman"/>
              </w:rPr>
              <w:t xml:space="preserve">IUS  </w:t>
            </w:r>
          </w:p>
          <w:p w:rsidR="00505632" w:rsidRDefault="00505632" w:rsidP="00AD4E52">
            <w:pPr>
              <w:pStyle w:val="CellColumn"/>
              <w:jc w:val="right"/>
            </w:pPr>
            <w:r>
              <w:rPr>
                <w:rFonts w:cs="Times New Roman"/>
              </w:rPr>
              <w:t>(2013.)</w:t>
            </w:r>
          </w:p>
        </w:tc>
        <w:tc>
          <w:tcPr>
            <w:tcW w:w="1020" w:type="dxa"/>
          </w:tcPr>
          <w:p w:rsidR="00505632" w:rsidRDefault="00505632" w:rsidP="00AD4E52">
            <w:pPr>
              <w:pStyle w:val="CellColumn"/>
              <w:jc w:val="right"/>
            </w:pPr>
            <w:r>
              <w:rPr>
                <w:rFonts w:cs="Times New Roman"/>
              </w:rPr>
              <w:t>3,5</w:t>
            </w:r>
          </w:p>
        </w:tc>
        <w:tc>
          <w:tcPr>
            <w:tcW w:w="1020" w:type="dxa"/>
          </w:tcPr>
          <w:p w:rsidR="00505632" w:rsidRDefault="00505632" w:rsidP="00AD4E52">
            <w:pPr>
              <w:pStyle w:val="CellColumn"/>
              <w:jc w:val="right"/>
            </w:pPr>
            <w:r>
              <w:rPr>
                <w:rFonts w:cs="Times New Roman"/>
              </w:rPr>
              <w:t xml:space="preserve">3,07  </w:t>
            </w:r>
          </w:p>
          <w:p w:rsidR="00505632" w:rsidRDefault="00505632" w:rsidP="00AD4E52">
            <w:pPr>
              <w:pStyle w:val="CellColumn"/>
              <w:jc w:val="right"/>
            </w:pPr>
            <w:r>
              <w:rPr>
                <w:rFonts w:cs="Times New Roman"/>
              </w:rPr>
              <w:t>(2010.)</w:t>
            </w:r>
          </w:p>
        </w:tc>
      </w:tr>
      <w:tr w:rsidR="00505632" w:rsidTr="00AD4E52">
        <w:trPr>
          <w:jc w:val="center"/>
        </w:trPr>
        <w:tc>
          <w:tcPr>
            <w:tcW w:w="2551" w:type="dxa"/>
          </w:tcPr>
          <w:p w:rsidR="00505632" w:rsidRDefault="00505632" w:rsidP="00AD4E52">
            <w:pPr>
              <w:pStyle w:val="CellColumn"/>
              <w:jc w:val="left"/>
            </w:pPr>
            <w:r>
              <w:rPr>
                <w:rFonts w:cs="Times New Roman"/>
              </w:rPr>
              <w:t>Broj patentnih prijava znanstvenih organizacija</w:t>
            </w:r>
          </w:p>
        </w:tc>
        <w:tc>
          <w:tcPr>
            <w:tcW w:w="2551" w:type="dxa"/>
          </w:tcPr>
          <w:p w:rsidR="00505632" w:rsidRDefault="00505632" w:rsidP="00AD4E52">
            <w:pPr>
              <w:pStyle w:val="CellColumn"/>
              <w:jc w:val="left"/>
            </w:pPr>
            <w:r>
              <w:rPr>
                <w:rFonts w:cs="Times New Roman"/>
              </w:rPr>
              <w:t>Broj patentnih prijava znanstvenih organizacija za patente koji će proizaći kao rezultat projekata vezanih uz transfer tehnologije</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10 </w:t>
            </w:r>
          </w:p>
          <w:p w:rsidR="00505632" w:rsidRDefault="00505632" w:rsidP="00AD4E52">
            <w:pPr>
              <w:pStyle w:val="CellColumn"/>
              <w:jc w:val="right"/>
            </w:pPr>
            <w:r>
              <w:rPr>
                <w:rFonts w:cs="Times New Roman"/>
              </w:rPr>
              <w:t>(2013.)</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12</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Broj financiranih I&amp;R projekata iz ESI fondova</w:t>
            </w:r>
          </w:p>
        </w:tc>
        <w:tc>
          <w:tcPr>
            <w:tcW w:w="2551" w:type="dxa"/>
          </w:tcPr>
          <w:p w:rsidR="00505632" w:rsidRDefault="00505632" w:rsidP="00AD4E52">
            <w:pPr>
              <w:pStyle w:val="CellColumn"/>
              <w:jc w:val="left"/>
            </w:pPr>
            <w:r>
              <w:rPr>
                <w:rFonts w:cs="Times New Roman"/>
              </w:rPr>
              <w:t>Broj financiranih I&amp;R projekata iz ESI fondova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19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Mapiranje istraživačkih kapaciteta znanstvenih organizacija</w:t>
            </w:r>
          </w:p>
        </w:tc>
        <w:tc>
          <w:tcPr>
            <w:tcW w:w="2551" w:type="dxa"/>
          </w:tcPr>
          <w:p w:rsidR="00505632" w:rsidRDefault="00505632" w:rsidP="00AD4E52">
            <w:pPr>
              <w:pStyle w:val="CellColumn"/>
              <w:jc w:val="left"/>
            </w:pPr>
            <w:r>
              <w:rPr>
                <w:rFonts w:cs="Times New Roman"/>
              </w:rPr>
              <w:t>Provedba aktivnosti mapiranja istraživačkih kapaciteta znanstvenih organizacija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A622012 REDOVNA DJELATNOST SEIZMOLOŠKE SLUŽBE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A622012-REDOVNA DJELATNOST SEIZMOLOŠKE SLUŽBE</w:t>
            </w:r>
          </w:p>
        </w:tc>
        <w:tc>
          <w:tcPr>
            <w:tcW w:w="2041" w:type="dxa"/>
          </w:tcPr>
          <w:p w:rsidR="00505632" w:rsidRDefault="00505632" w:rsidP="00AD4E52">
            <w:pPr>
              <w:pStyle w:val="CellColumn"/>
              <w:jc w:val="right"/>
            </w:pPr>
            <w:r>
              <w:rPr>
                <w:rFonts w:cs="Times New Roman"/>
              </w:rPr>
              <w:t>356.400</w:t>
            </w:r>
          </w:p>
        </w:tc>
        <w:tc>
          <w:tcPr>
            <w:tcW w:w="2041" w:type="dxa"/>
          </w:tcPr>
          <w:p w:rsidR="00505632" w:rsidRDefault="00505632" w:rsidP="00AD4E52">
            <w:pPr>
              <w:pStyle w:val="CellColumn"/>
              <w:jc w:val="right"/>
            </w:pPr>
            <w:r>
              <w:rPr>
                <w:rFonts w:cs="Times New Roman"/>
              </w:rPr>
              <w:t>356.400</w:t>
            </w:r>
          </w:p>
        </w:tc>
        <w:tc>
          <w:tcPr>
            <w:tcW w:w="2041" w:type="dxa"/>
          </w:tcPr>
          <w:p w:rsidR="00505632" w:rsidRDefault="00505632" w:rsidP="00AD4E52">
            <w:pPr>
              <w:pStyle w:val="CellColumn"/>
              <w:jc w:val="right"/>
            </w:pPr>
            <w:r>
              <w:rPr>
                <w:rFonts w:cs="Times New Roman"/>
              </w:rPr>
              <w:t>356.400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Zakon o seizmološkim poslovima</w:t>
      </w:r>
    </w:p>
    <w:p w:rsidR="00505632" w:rsidRDefault="00505632" w:rsidP="00505632">
      <w:pPr>
        <w:pStyle w:val="Heading8"/>
        <w:jc w:val="left"/>
      </w:pPr>
      <w:r>
        <w:t>Opis aktivnosti</w:t>
      </w:r>
    </w:p>
    <w:p w:rsidR="00505632" w:rsidRDefault="00505632" w:rsidP="00505632">
      <w:r>
        <w:t>Kroz ovu aktivnost provodi se već dugi niz godina financiranje redovne djelatnosti Seizmološke službe pri Prirodoslovno-matematičkom fakultetu u Zagrebu, što podrazumijeva financiranje materijalnih troškova redovitog poslovanja (troškovi energije, nabavka i popravci opreme, službena putovanja vezano uz održavanje izdvojenih pogona i ostalo) pogona 12 stalnih seizmografskih i 14 akcelerografskih postaja pomoću kojih se prikupljaju, obrađuju i analiziraju makroseizmički podaci.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ugovorenih projekata s gospodarskim subjektima, tijelima državne uprave i jedinicama lokalne uprave i samouprave, civilnim sektorom i nevladinim udrugama</w:t>
            </w:r>
          </w:p>
        </w:tc>
        <w:tc>
          <w:tcPr>
            <w:tcW w:w="2551" w:type="dxa"/>
          </w:tcPr>
          <w:p w:rsidR="00505632" w:rsidRDefault="00505632" w:rsidP="00AD4E52">
            <w:pPr>
              <w:pStyle w:val="CellColumn"/>
              <w:jc w:val="left"/>
            </w:pPr>
            <w:r>
              <w:rPr>
                <w:rFonts w:cs="Times New Roman"/>
              </w:rPr>
              <w:t>Broj ugovorenih projekata javnih znanstvenih instituta i javnih sveučilišta s gospodarskim subjektima, tijelima državne uprave i jedinicama lokalne uprave i samouprave, civilnim sektorom i nevladinim udrugama</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1.512 </w:t>
            </w:r>
          </w:p>
          <w:p w:rsidR="00505632" w:rsidRDefault="00505632" w:rsidP="00AD4E52">
            <w:pPr>
              <w:pStyle w:val="CellColumn"/>
              <w:jc w:val="right"/>
            </w:pPr>
            <w:r>
              <w:rPr>
                <w:rFonts w:cs="Times New Roman"/>
              </w:rPr>
              <w:t>(2014.) MZO</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1.600</w:t>
            </w:r>
          </w:p>
        </w:tc>
        <w:tc>
          <w:tcPr>
            <w:tcW w:w="1020" w:type="dxa"/>
          </w:tcPr>
          <w:p w:rsidR="00505632" w:rsidRDefault="00505632" w:rsidP="00AD4E52">
            <w:pPr>
              <w:pStyle w:val="CellColumn"/>
              <w:jc w:val="right"/>
            </w:pPr>
            <w:r>
              <w:rPr>
                <w:rFonts w:cs="Times New Roman"/>
              </w:rPr>
              <w:t>1.454</w:t>
            </w:r>
          </w:p>
        </w:tc>
      </w:tr>
      <w:tr w:rsidR="00505632" w:rsidTr="00AD4E52">
        <w:trPr>
          <w:jc w:val="center"/>
        </w:trPr>
        <w:tc>
          <w:tcPr>
            <w:tcW w:w="2551" w:type="dxa"/>
          </w:tcPr>
          <w:p w:rsidR="00505632" w:rsidRDefault="00505632" w:rsidP="00AD4E52">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2551" w:type="dxa"/>
          </w:tcPr>
          <w:p w:rsidR="00505632" w:rsidRDefault="00505632" w:rsidP="00AD4E52">
            <w:pPr>
              <w:pStyle w:val="CellColumn"/>
              <w:jc w:val="left"/>
            </w:pPr>
            <w:r>
              <w:rPr>
                <w:rFonts w:cs="Times New Roman"/>
              </w:rPr>
              <w:t>Udio prihoda javnih znanstvenih instituta i javnih sveučilišta od ugovorenih projekata s gospodarskim subjektima, tijelima državne uprave i jedinicama lokalne uprave i samouprave, civilnim sektorom i nevladinim udrugama u ukupnim prihodima</w:t>
            </w:r>
          </w:p>
        </w:tc>
        <w:tc>
          <w:tcPr>
            <w:tcW w:w="1020" w:type="dxa"/>
          </w:tcPr>
          <w:p w:rsidR="00505632" w:rsidRDefault="00505632" w:rsidP="00AD4E52">
            <w:pPr>
              <w:pStyle w:val="CellColumn"/>
              <w:jc w:val="right"/>
            </w:pPr>
            <w:r>
              <w:rPr>
                <w:rFonts w:cs="Times New Roman"/>
              </w:rPr>
              <w:t>Postotak u ukupnim prihodima (godišnje)</w:t>
            </w:r>
          </w:p>
        </w:tc>
        <w:tc>
          <w:tcPr>
            <w:tcW w:w="1020" w:type="dxa"/>
          </w:tcPr>
          <w:p w:rsidR="00505632" w:rsidRDefault="00505632" w:rsidP="00AD4E52">
            <w:pPr>
              <w:pStyle w:val="CellColumn"/>
              <w:jc w:val="right"/>
            </w:pPr>
            <w:r>
              <w:rPr>
                <w:rFonts w:cs="Times New Roman"/>
              </w:rPr>
              <w:t xml:space="preserve">4,01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13,22</w:t>
            </w:r>
          </w:p>
        </w:tc>
      </w:tr>
    </w:tbl>
    <w:p w:rsidR="00505632" w:rsidRDefault="00505632" w:rsidP="00505632">
      <w:pPr>
        <w:jc w:val="left"/>
      </w:pPr>
    </w:p>
    <w:p w:rsidR="00505632" w:rsidRDefault="00505632" w:rsidP="00505632">
      <w:pPr>
        <w:pStyle w:val="Heading2"/>
      </w:pPr>
      <w:r>
        <w:t>08008 Javni instituti u Republici Hrvatskoj</w:t>
      </w:r>
    </w:p>
    <w:p w:rsidR="00505632" w:rsidRDefault="00505632" w:rsidP="00505632">
      <w:r>
        <w:t>Mreža javnih znanstvenih instituta, osnovanih s ciljem planiranja i provođenja znanstvenih istraživanja, čini okosnicu znanstvenog sustava u Republici Hrvatskoj. Primarna zadaća javnih znanstvenih instituta, sukladno Zakonu o znanstvenoj djelatnosti i visokom obrazovanju, usmjerena su i razvojna istraživanja, što će se ostvarivati postupno i stvarnim sagledavanjem stanja, a vodeći se rezultatima temeljnih istraživanja. Znanstveno-tehnološki istraživački rad i djelotvorno prenošenje njegovih rezultata (inovacija) u dobra, usluge i procese predstavlja ključnu sponu u stvaranju konkurentnog gospodarstva i društva znanja. Javni znanstveni instituti dužni su pratiti razvoj znanosti u svojem znanstvenom području, sagledavati potrebe društva i primjenjivati znanstvene rezultate i dostignuća u neposrednoj praksi, te sudjelovati u uspostavljanju i razvoju znanstvene infrastrukture od interesa za cjelokupni sustav, kako znanstvene djelatnosti, tako i sustava visokog obrazovanja. U tu svrhu javni znanstveni instituti surađuju i s visokim učilištima u znanstvenom radu i izvođenju studijskih programa u skladu s znanstvenim programom instituta te znanstvenim i studijskim programima visokih učilišta.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08008-Javni instituti u Republici Hrvatskoj</w:t>
            </w:r>
          </w:p>
        </w:tc>
        <w:tc>
          <w:tcPr>
            <w:tcW w:w="2041" w:type="dxa"/>
            <w:vAlign w:val="top"/>
          </w:tcPr>
          <w:p w:rsidR="00505632" w:rsidRDefault="00505632" w:rsidP="00AD4E52">
            <w:pPr>
              <w:pStyle w:val="CellColumn"/>
              <w:jc w:val="right"/>
            </w:pPr>
            <w:r>
              <w:rPr>
                <w:rFonts w:cs="Times New Roman"/>
              </w:rPr>
              <w:t>496.276.700</w:t>
            </w:r>
          </w:p>
        </w:tc>
        <w:tc>
          <w:tcPr>
            <w:tcW w:w="2041" w:type="dxa"/>
            <w:vAlign w:val="top"/>
          </w:tcPr>
          <w:p w:rsidR="00505632" w:rsidRDefault="00505632" w:rsidP="00AD4E52">
            <w:pPr>
              <w:pStyle w:val="CellColumn"/>
              <w:jc w:val="right"/>
            </w:pPr>
            <w:r>
              <w:rPr>
                <w:rFonts w:cs="Times New Roman"/>
              </w:rPr>
              <w:t>550.458.652</w:t>
            </w:r>
          </w:p>
        </w:tc>
        <w:tc>
          <w:tcPr>
            <w:tcW w:w="2041" w:type="dxa"/>
            <w:vAlign w:val="top"/>
          </w:tcPr>
          <w:p w:rsidR="00505632" w:rsidRDefault="00505632" w:rsidP="00AD4E52">
            <w:pPr>
              <w:pStyle w:val="CellColumn"/>
              <w:jc w:val="right"/>
            </w:pPr>
            <w:r>
              <w:rPr>
                <w:rFonts w:cs="Times New Roman"/>
              </w:rPr>
              <w:t>489.416.979</w:t>
            </w:r>
          </w:p>
        </w:tc>
        <w:tc>
          <w:tcPr>
            <w:tcW w:w="1224" w:type="dxa"/>
            <w:vAlign w:val="top"/>
          </w:tcPr>
          <w:p w:rsidR="00505632" w:rsidRDefault="00505632" w:rsidP="00AD4E52">
            <w:pPr>
              <w:pStyle w:val="CellColumn"/>
              <w:jc w:val="right"/>
            </w:pPr>
            <w:r>
              <w:rPr>
                <w:rFonts w:cs="Times New Roman"/>
              </w:rPr>
              <w:t>88,9</w:t>
            </w:r>
          </w:p>
        </w:tc>
        <w:tc>
          <w:tcPr>
            <w:tcW w:w="1224" w:type="dxa"/>
            <w:vAlign w:val="top"/>
          </w:tcPr>
          <w:p w:rsidR="00505632" w:rsidRDefault="00505632" w:rsidP="00AD4E52">
            <w:pPr>
              <w:pStyle w:val="CellColumn"/>
              <w:jc w:val="right"/>
            </w:pPr>
            <w:r>
              <w:rPr>
                <w:rFonts w:cs="Times New Roman"/>
              </w:rPr>
              <w:t>98,6</w:t>
            </w:r>
          </w:p>
        </w:tc>
      </w:tr>
      <w:tr w:rsidR="00505632" w:rsidTr="00AD4E52">
        <w:trPr>
          <w:jc w:val="center"/>
        </w:trPr>
        <w:tc>
          <w:tcPr>
            <w:tcW w:w="1632" w:type="dxa"/>
          </w:tcPr>
          <w:p w:rsidR="00505632" w:rsidRDefault="00505632" w:rsidP="00AD4E52">
            <w:pPr>
              <w:jc w:val="left"/>
            </w:pPr>
            <w:r>
              <w:t>3801-ULAGANJE U ZNANSTVENO ISTRAŽIVAČKU DJELATNOST</w:t>
            </w:r>
          </w:p>
        </w:tc>
        <w:tc>
          <w:tcPr>
            <w:tcW w:w="2041" w:type="dxa"/>
          </w:tcPr>
          <w:p w:rsidR="00505632" w:rsidRDefault="00505632" w:rsidP="00AD4E52">
            <w:pPr>
              <w:jc w:val="right"/>
            </w:pPr>
            <w:r>
              <w:t>496.276.700</w:t>
            </w:r>
          </w:p>
        </w:tc>
        <w:tc>
          <w:tcPr>
            <w:tcW w:w="2041" w:type="dxa"/>
          </w:tcPr>
          <w:p w:rsidR="00505632" w:rsidRDefault="00505632" w:rsidP="00AD4E52">
            <w:pPr>
              <w:jc w:val="right"/>
            </w:pPr>
            <w:r>
              <w:t>550.458.652</w:t>
            </w:r>
          </w:p>
        </w:tc>
        <w:tc>
          <w:tcPr>
            <w:tcW w:w="2041" w:type="dxa"/>
          </w:tcPr>
          <w:p w:rsidR="00505632" w:rsidRDefault="00505632" w:rsidP="00AD4E52">
            <w:pPr>
              <w:jc w:val="right"/>
            </w:pPr>
            <w:r>
              <w:t>489.416.979</w:t>
            </w:r>
          </w:p>
        </w:tc>
        <w:tc>
          <w:tcPr>
            <w:tcW w:w="1224" w:type="dxa"/>
          </w:tcPr>
          <w:p w:rsidR="00505632" w:rsidRDefault="00505632" w:rsidP="00AD4E52">
            <w:pPr>
              <w:jc w:val="right"/>
            </w:pPr>
            <w:r>
              <w:t>88,9</w:t>
            </w:r>
          </w:p>
        </w:tc>
        <w:tc>
          <w:tcPr>
            <w:tcW w:w="1224" w:type="dxa"/>
          </w:tcPr>
          <w:p w:rsidR="00505632" w:rsidRDefault="00505632" w:rsidP="00AD4E52">
            <w:pPr>
              <w:jc w:val="right"/>
            </w:pPr>
            <w:r>
              <w:t>98,6</w:t>
            </w:r>
          </w:p>
        </w:tc>
      </w:tr>
    </w:tbl>
    <w:p w:rsidR="00505632" w:rsidRDefault="00505632" w:rsidP="00505632">
      <w:pPr>
        <w:jc w:val="left"/>
      </w:pPr>
    </w:p>
    <w:p w:rsidR="00505632" w:rsidRDefault="00505632" w:rsidP="00505632">
      <w:pPr>
        <w:pStyle w:val="Heading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3801-ULAGANJE U ZNANSTVENO ISTRAŽIVAČKU DJELATNOST</w:t>
            </w:r>
          </w:p>
        </w:tc>
        <w:tc>
          <w:tcPr>
            <w:tcW w:w="2041" w:type="dxa"/>
          </w:tcPr>
          <w:p w:rsidR="00505632" w:rsidRDefault="00505632" w:rsidP="00AD4E52">
            <w:pPr>
              <w:pStyle w:val="CellColumn"/>
              <w:jc w:val="right"/>
            </w:pPr>
            <w:r>
              <w:rPr>
                <w:rFonts w:cs="Times New Roman"/>
              </w:rPr>
              <w:t>496.276.700</w:t>
            </w:r>
          </w:p>
        </w:tc>
        <w:tc>
          <w:tcPr>
            <w:tcW w:w="2041" w:type="dxa"/>
          </w:tcPr>
          <w:p w:rsidR="00505632" w:rsidRDefault="00505632" w:rsidP="00AD4E52">
            <w:pPr>
              <w:pStyle w:val="CellColumn"/>
              <w:jc w:val="right"/>
            </w:pPr>
            <w:r>
              <w:rPr>
                <w:rFonts w:cs="Times New Roman"/>
              </w:rPr>
              <w:t>550.458.652</w:t>
            </w:r>
          </w:p>
        </w:tc>
        <w:tc>
          <w:tcPr>
            <w:tcW w:w="2041" w:type="dxa"/>
          </w:tcPr>
          <w:p w:rsidR="00505632" w:rsidRDefault="00505632" w:rsidP="00AD4E52">
            <w:pPr>
              <w:pStyle w:val="CellColumn"/>
              <w:jc w:val="right"/>
            </w:pPr>
            <w:r>
              <w:rPr>
                <w:rFonts w:cs="Times New Roman"/>
              </w:rPr>
              <w:t>489.416.979</w:t>
            </w:r>
          </w:p>
        </w:tc>
        <w:tc>
          <w:tcPr>
            <w:tcW w:w="1224" w:type="dxa"/>
          </w:tcPr>
          <w:p w:rsidR="00505632" w:rsidRDefault="00505632" w:rsidP="00AD4E52">
            <w:pPr>
              <w:pStyle w:val="CellColumn"/>
              <w:jc w:val="right"/>
            </w:pPr>
            <w:r>
              <w:rPr>
                <w:rFonts w:cs="Times New Roman"/>
              </w:rPr>
              <w:t>88,9</w:t>
            </w:r>
          </w:p>
        </w:tc>
        <w:tc>
          <w:tcPr>
            <w:tcW w:w="1224" w:type="dxa"/>
          </w:tcPr>
          <w:p w:rsidR="00505632" w:rsidRDefault="00505632" w:rsidP="00AD4E52">
            <w:pPr>
              <w:pStyle w:val="CellColumn"/>
              <w:jc w:val="right"/>
            </w:pPr>
            <w:r>
              <w:rPr>
                <w:rFonts w:cs="Times New Roman"/>
              </w:rPr>
              <w:t>98,6</w:t>
            </w:r>
          </w:p>
        </w:tc>
      </w:tr>
    </w:tbl>
    <w:p w:rsidR="00505632" w:rsidRDefault="00505632" w:rsidP="00505632">
      <w:pPr>
        <w:jc w:val="left"/>
      </w:pPr>
    </w:p>
    <w:p w:rsidR="00505632" w:rsidRDefault="00505632" w:rsidP="00505632">
      <w:r>
        <w:t xml:space="preserve">Stabilna ulaganja u razvoj znanstvenog, tehnologijskog i inovacijskog sustava preduvjet su za izgradnju Republike Hrvatske kao zemlje okrenute znanju i inovacijama, s konačnim ciljem povećanja konkurentnosti, produktivnosti i zapošljavanja te, sukladno tome, ostvarenja stabilnog i održivoga gospodarskog rasta. </w:t>
      </w:r>
    </w:p>
    <w:p w:rsidR="00505632" w:rsidRDefault="00505632" w:rsidP="00505632">
      <w:r>
        <w:t xml:space="preserve">Razvojne mjere znanstvene i tehnologijske politike stoga trebaju dovoditi do prenošenja rezultata znanstvenoga rada u nova dobra, usluge i procese, ali i imati ključnu ulogu u definiranju odgovora na izazove društvenog razvoja, kulture i brige za okoliš. Te mjere moraju omogućiti strukturiran i usmjeren razvoj znanstvenoga sustava i neprekidno usklađivanje s međunarodnim okvirom znanosti i tehnologije - odnosno osigurati potrebne preduvjete za uspostavu hrvatskoga istraživačkoga prostora, poticati znanstvenu izvrsnost i međunarodnu prepoznatljivost javnih znanstvenih instituta i visokih učilišta te donošenje i provedbu javnih politika temeljenih na rezultatima znanstvenih istraživanja. </w:t>
      </w:r>
    </w:p>
    <w:p w:rsidR="00505632" w:rsidRDefault="00505632" w:rsidP="00505632">
      <w:r>
        <w:t xml:space="preserve">Tijekom 2014. godine donesena je Strategija obrazovanja, znanosti i tehnologije (SOZT) koja slijedi viziju dugoročnog  razvoja sustava te nastoji osigurati mehanizme i sredstva za postizanje kvalitetnije znanosti, formiranje znanstvenih centara izvrsnosti i intenziviranje suradnje gospodarstva i znanosti. Stoga se znanost i tehnologija strateškim razrađuju težeći postavljanju obrazovanja, istraživanja i inovacija u središte nacionalne strategije razvoja, vodeći računa o europskom programskom okviru za istraživanje i inovacije Obzor 2020. </w:t>
      </w:r>
    </w:p>
    <w:p w:rsidR="00505632" w:rsidRDefault="00505632" w:rsidP="00505632">
      <w:r>
        <w:t>Upravo je stoga jedan od osnovnih ciljeva SOZT-a u programe svih ministarstava uvesti odgovornost za istraživanje i razvoj te kompetitivno financiranje projekata, uz djelotvornu međuresornu koordinaciju kojom će se postići učinkovito korištenje svih državnih izvora financiranja istraživanja i razvoja</w:t>
      </w:r>
    </w:p>
    <w:p w:rsidR="00505632" w:rsidRDefault="00505632" w:rsidP="00505632">
      <w:pPr>
        <w:pStyle w:val="Heading8"/>
        <w:jc w:val="left"/>
      </w:pPr>
      <w:r>
        <w:t xml:space="preserve">Cilj 1. Unaprijeđen sustav kvalitete, upravljanja i financiranja znanstvenih organizacija </w:t>
      </w:r>
    </w:p>
    <w:p w:rsidR="00505632" w:rsidRDefault="00505632" w:rsidP="00505632">
      <w:pPr>
        <w:pStyle w:val="Heading8"/>
        <w:jc w:val="left"/>
      </w:pPr>
      <w:r>
        <w:t>Opis provedbe cilja programa</w:t>
      </w:r>
    </w:p>
    <w:p w:rsidR="00505632" w:rsidRDefault="00505632" w:rsidP="00505632">
      <w:r>
        <w:t xml:space="preserve">(Posebni cilj 2.4. - Strateški plan MZO-a 2016.-2018.) </w:t>
      </w:r>
    </w:p>
    <w:p w:rsidR="00505632" w:rsidRDefault="00505632" w:rsidP="00505632">
      <w:r>
        <w:t xml:space="preserve">Prilagodba znanstvenoga sustava europskim i svjetskim standardima te njegova svojevrsna dinamizacija s ciljem povećanja gospodarskog i društvenog rasta i razvoja pretpostavlja visoki stupanj suradnje svih dionika u sustavu znanosti. Nužno je uspostaviti sustav kvalitete u sklopu znanstvene zajednice s uključenim vanjskim dionicima iz gospodarstva, poduzetništva, civilnog sektora i ostalih zainteresiranih.  </w:t>
      </w:r>
    </w:p>
    <w:p w:rsidR="00505632" w:rsidRDefault="00505632" w:rsidP="00505632">
      <w:r>
        <w:t xml:space="preserve">Krajem 2014. godine započeo je proces restrukturiranja 25 javnih znanstvenih instituta koje ima za cilj smanjenje fragmentacije sustava, jačanje znanstvene izvrsnosti i osiguranje njihove održivosti, daljnji razvoj kvalitete te transparentan model financiranja.  </w:t>
      </w:r>
    </w:p>
    <w:p w:rsidR="00505632" w:rsidRDefault="00505632" w:rsidP="00505632">
      <w:r>
        <w:t xml:space="preserve">Promijenjen je model financiranja znanstvene djelatnosti na način da je veći dio financijskih sredstava usmjeren u kompetitivne projekte (Hrvatska zaklada za znanost), dok je drugi dio usmjeren na stabilno temeljno institucijsko financiranje znanstvene djelatnosti. Sredstva za namjensko institucijsko financiranje znanstvene djelatnosti dodjeljuju se za temeljnu znanstvenu djelatnost, a znanstvenici, kao i do sada, imaju mogućnost prijavljivati projekte na natječaje Hrvatske zaklade za znanost te na natječaje za međunarodne projekte od kojih će isto tako moći financirati svoju znanstveno-istraživačku djelatnost. Razrađeni model institucijskog financiranja treba promatrati i kao pripremu za implementaciju cjelovitih programskih ugovora u narednom razdoblju kojima bi se nastavilo jasno i transparentno financiranje znanstvene djelatnosti u cilju maksimizacije društvene odgovornosti i potrošnje javnih sredstava. </w:t>
      </w:r>
    </w:p>
    <w:p w:rsidR="00505632" w:rsidRDefault="00505632" w:rsidP="00505632">
      <w:r>
        <w:t xml:space="preserve">Sukladno mjerama iz SOZT-a, suvremena informacijsko-komunikacijska infrastruktura preduvjet je funkcioniranja sustava znanosti i visokog obrazovanja. Stoga se poseban naglasak stavlja na istraživačku infrastrukturu, uključujući digitalne repozitorije za omogućavanje učinkovitog prikupljanja i obrade te osiguranja trajno i pouzdanog pristupa rezultatima istraživanja, a također i na osiguravanju otvorenog pristupa znanstvenim i stručnim informacijama nastalima sredstvima javnog financiranja. </w:t>
      </w:r>
    </w:p>
    <w:p w:rsidR="00505632" w:rsidRDefault="00505632" w:rsidP="00505632">
      <w:r>
        <w:t>Temeljem provedenoga postupka tematskog vrednovanja sveučilišnih poslijediplomskih (doktorskih) studija u 2014. godini za zaključiti je kako je potrebno provesti temeljitu reformu svih doktorskih studija koja će se temeljiti na novim definiranim minimalnim uvjetima za osnivanje i vrednovanje te indikatorima za ocjenu kvalitete.</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ulaganja iz privatnoga sektora u znanost i istraživanje kao udio u BDP-u</w:t>
            </w:r>
          </w:p>
        </w:tc>
        <w:tc>
          <w:tcPr>
            <w:tcW w:w="2551" w:type="dxa"/>
          </w:tcPr>
          <w:p w:rsidR="00505632" w:rsidRDefault="00505632" w:rsidP="00AD4E52">
            <w:pPr>
              <w:pStyle w:val="CellColumn"/>
              <w:jc w:val="left"/>
            </w:pPr>
            <w:r>
              <w:rPr>
                <w:rFonts w:cs="Times New Roman"/>
              </w:rPr>
              <w:t>Udio ulaganja iz privatnoga sektora u znanost i istraživanje koji će dovesti do povećanja BDP-a</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 xml:space="preserve">0,33 </w:t>
            </w:r>
          </w:p>
          <w:p w:rsidR="00505632" w:rsidRDefault="00505632" w:rsidP="00AD4E52">
            <w:pPr>
              <w:pStyle w:val="CellColumn"/>
              <w:jc w:val="right"/>
            </w:pPr>
            <w:r>
              <w:rPr>
                <w:rFonts w:cs="Times New Roman"/>
              </w:rPr>
              <w:t>(2011.)</w:t>
            </w:r>
          </w:p>
        </w:tc>
        <w:tc>
          <w:tcPr>
            <w:tcW w:w="1020" w:type="dxa"/>
          </w:tcPr>
          <w:p w:rsidR="00505632" w:rsidRDefault="00505632" w:rsidP="00AD4E52">
            <w:pPr>
              <w:pStyle w:val="CellColumn"/>
              <w:jc w:val="right"/>
            </w:pPr>
            <w:r>
              <w:rPr>
                <w:rFonts w:cs="Times New Roman"/>
              </w:rPr>
              <w:t>Eurostat</w:t>
            </w:r>
          </w:p>
        </w:tc>
        <w:tc>
          <w:tcPr>
            <w:tcW w:w="1020" w:type="dxa"/>
          </w:tcPr>
          <w:p w:rsidR="00505632" w:rsidRDefault="00505632" w:rsidP="00AD4E52">
            <w:pPr>
              <w:pStyle w:val="CellColumn"/>
              <w:jc w:val="right"/>
            </w:pPr>
            <w:r>
              <w:rPr>
                <w:rFonts w:cs="Times New Roman"/>
              </w:rPr>
              <w:t>0,35</w:t>
            </w:r>
          </w:p>
        </w:tc>
        <w:tc>
          <w:tcPr>
            <w:tcW w:w="1020" w:type="dxa"/>
          </w:tcPr>
          <w:p w:rsidR="00505632" w:rsidRDefault="00505632" w:rsidP="00AD4E52">
            <w:pPr>
              <w:pStyle w:val="CellColumn"/>
              <w:jc w:val="right"/>
            </w:pPr>
            <w:r>
              <w:rPr>
                <w:rFonts w:cs="Times New Roman"/>
              </w:rPr>
              <w:t xml:space="preserve">0,44 </w:t>
            </w:r>
          </w:p>
          <w:p w:rsidR="00505632" w:rsidRDefault="00505632" w:rsidP="00AD4E52">
            <w:pPr>
              <w:pStyle w:val="CellColumn"/>
              <w:jc w:val="right"/>
            </w:pPr>
            <w:r>
              <w:rPr>
                <w:rFonts w:cs="Times New Roman"/>
              </w:rPr>
              <w:t>(2015.)</w:t>
            </w:r>
          </w:p>
        </w:tc>
      </w:tr>
      <w:tr w:rsidR="00505632" w:rsidTr="00AD4E52">
        <w:trPr>
          <w:jc w:val="center"/>
        </w:trPr>
        <w:tc>
          <w:tcPr>
            <w:tcW w:w="2551" w:type="dxa"/>
          </w:tcPr>
          <w:p w:rsidR="00505632" w:rsidRDefault="00505632" w:rsidP="00AD4E52">
            <w:pPr>
              <w:pStyle w:val="CellColumn"/>
              <w:jc w:val="left"/>
            </w:pPr>
            <w:r>
              <w:rPr>
                <w:rFonts w:cs="Times New Roman"/>
              </w:rPr>
              <w:t>Povećanje kompozitnoga indikatora znanstvene izvrsnosti</w:t>
            </w:r>
          </w:p>
        </w:tc>
        <w:tc>
          <w:tcPr>
            <w:tcW w:w="2551" w:type="dxa"/>
          </w:tcPr>
          <w:p w:rsidR="00505632" w:rsidRDefault="00505632" w:rsidP="00AD4E52">
            <w:pPr>
              <w:pStyle w:val="CellColumn"/>
              <w:jc w:val="left"/>
            </w:pPr>
            <w:r>
              <w:rPr>
                <w:rFonts w:cs="Times New Roman"/>
              </w:rPr>
              <w:t>Kompozitni indikator znanstvene izvrsnosti je složeni indeks koji se sastoji od više pokazatelja kojim se mjeri znanstvena izvrsnost</w:t>
            </w:r>
          </w:p>
        </w:tc>
        <w:tc>
          <w:tcPr>
            <w:tcW w:w="1020" w:type="dxa"/>
          </w:tcPr>
          <w:p w:rsidR="00505632" w:rsidRDefault="00505632" w:rsidP="00AD4E52">
            <w:pPr>
              <w:pStyle w:val="CellColumn"/>
              <w:jc w:val="right"/>
            </w:pPr>
            <w:r>
              <w:rPr>
                <w:rFonts w:cs="Times New Roman"/>
              </w:rPr>
              <w:t>Broj bodova zemlje</w:t>
            </w:r>
          </w:p>
        </w:tc>
        <w:tc>
          <w:tcPr>
            <w:tcW w:w="1020" w:type="dxa"/>
          </w:tcPr>
          <w:p w:rsidR="00505632" w:rsidRDefault="00505632" w:rsidP="00AD4E52">
            <w:pPr>
              <w:pStyle w:val="CellColumn"/>
              <w:jc w:val="right"/>
            </w:pPr>
            <w:r>
              <w:rPr>
                <w:rFonts w:cs="Times New Roman"/>
              </w:rPr>
              <w:t>12,2 (2010.)</w:t>
            </w:r>
          </w:p>
        </w:tc>
        <w:tc>
          <w:tcPr>
            <w:tcW w:w="1020" w:type="dxa"/>
          </w:tcPr>
          <w:p w:rsidR="00505632" w:rsidRDefault="00505632" w:rsidP="00AD4E52">
            <w:pPr>
              <w:pStyle w:val="CellColumn"/>
              <w:jc w:val="right"/>
            </w:pPr>
            <w:r>
              <w:rPr>
                <w:rFonts w:cs="Times New Roman"/>
              </w:rPr>
              <w:t>EC, Group of Research and Innovation Union Impact (GRIU), DG RTD - JRC (Ispra)</w:t>
            </w:r>
          </w:p>
        </w:tc>
        <w:tc>
          <w:tcPr>
            <w:tcW w:w="1020" w:type="dxa"/>
          </w:tcPr>
          <w:p w:rsidR="00505632" w:rsidRDefault="00505632" w:rsidP="00AD4E52">
            <w:pPr>
              <w:pStyle w:val="CellColumn"/>
              <w:jc w:val="right"/>
            </w:pPr>
            <w:r>
              <w:rPr>
                <w:rFonts w:cs="Times New Roman"/>
              </w:rPr>
              <w:t>13</w:t>
            </w:r>
          </w:p>
        </w:tc>
        <w:tc>
          <w:tcPr>
            <w:tcW w:w="1020" w:type="dxa"/>
          </w:tcPr>
          <w:p w:rsidR="00505632" w:rsidRDefault="00505632" w:rsidP="00AD4E52">
            <w:pPr>
              <w:pStyle w:val="CellColumn"/>
              <w:jc w:val="right"/>
            </w:pPr>
            <w:r>
              <w:rPr>
                <w:rFonts w:cs="Times New Roman"/>
              </w:rPr>
              <w:t>12,2 (2010.)</w:t>
            </w:r>
          </w:p>
        </w:tc>
      </w:tr>
    </w:tbl>
    <w:p w:rsidR="00505632" w:rsidRDefault="00505632" w:rsidP="00505632">
      <w:pPr>
        <w:jc w:val="left"/>
      </w:pPr>
    </w:p>
    <w:p w:rsidR="00505632" w:rsidRDefault="00505632" w:rsidP="00505632">
      <w:pPr>
        <w:pStyle w:val="Heading4"/>
      </w:pPr>
      <w:r>
        <w:t>A622000 REDOVNA DJELATNOST JAVNIH INSTITUTA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A622000-REDOVNA DJELATNOST JAVNIH INSTITUTA</w:t>
            </w:r>
          </w:p>
        </w:tc>
        <w:tc>
          <w:tcPr>
            <w:tcW w:w="2041" w:type="dxa"/>
          </w:tcPr>
          <w:p w:rsidR="00505632" w:rsidRDefault="00505632" w:rsidP="00AD4E52">
            <w:pPr>
              <w:pStyle w:val="CellColumn"/>
              <w:jc w:val="right"/>
            </w:pPr>
            <w:r>
              <w:rPr>
                <w:rFonts w:cs="Times New Roman"/>
              </w:rPr>
              <w:t>471.729.858</w:t>
            </w:r>
          </w:p>
        </w:tc>
        <w:tc>
          <w:tcPr>
            <w:tcW w:w="2041" w:type="dxa"/>
          </w:tcPr>
          <w:p w:rsidR="00505632" w:rsidRDefault="00505632" w:rsidP="00AD4E52">
            <w:pPr>
              <w:pStyle w:val="CellColumn"/>
              <w:jc w:val="right"/>
            </w:pPr>
            <w:r>
              <w:rPr>
                <w:rFonts w:cs="Times New Roman"/>
              </w:rPr>
              <w:t>480.464.734</w:t>
            </w:r>
          </w:p>
        </w:tc>
        <w:tc>
          <w:tcPr>
            <w:tcW w:w="2041" w:type="dxa"/>
          </w:tcPr>
          <w:p w:rsidR="00505632" w:rsidRDefault="00505632" w:rsidP="00AD4E52">
            <w:pPr>
              <w:pStyle w:val="CellColumn"/>
              <w:jc w:val="right"/>
            </w:pPr>
            <w:r>
              <w:rPr>
                <w:rFonts w:cs="Times New Roman"/>
              </w:rPr>
              <w:t>458.638.245</w:t>
            </w:r>
          </w:p>
        </w:tc>
        <w:tc>
          <w:tcPr>
            <w:tcW w:w="1224" w:type="dxa"/>
          </w:tcPr>
          <w:p w:rsidR="00505632" w:rsidRDefault="00505632" w:rsidP="00AD4E52">
            <w:pPr>
              <w:pStyle w:val="CellColumn"/>
              <w:jc w:val="right"/>
            </w:pPr>
            <w:r>
              <w:rPr>
                <w:rFonts w:cs="Times New Roman"/>
              </w:rPr>
              <w:t>95,5</w:t>
            </w:r>
          </w:p>
        </w:tc>
        <w:tc>
          <w:tcPr>
            <w:tcW w:w="1224" w:type="dxa"/>
          </w:tcPr>
          <w:p w:rsidR="00505632" w:rsidRDefault="00505632" w:rsidP="00AD4E52">
            <w:pPr>
              <w:pStyle w:val="CellColumn"/>
              <w:jc w:val="right"/>
            </w:pPr>
            <w:r>
              <w:rPr>
                <w:rFonts w:cs="Times New Roman"/>
              </w:rPr>
              <w:t>97,2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znanstvenoj djelatnosti i visokom obrazovanju</w:t>
      </w:r>
    </w:p>
    <w:p w:rsidR="00505632" w:rsidRDefault="00505632" w:rsidP="00505632">
      <w:pPr>
        <w:pStyle w:val="Heading8"/>
        <w:jc w:val="left"/>
      </w:pPr>
      <w:r>
        <w:t>Opis aktivnosti</w:t>
      </w:r>
    </w:p>
    <w:p w:rsidR="00505632" w:rsidRDefault="00505632" w:rsidP="00505632">
      <w:r>
        <w:t>Ministarstvo financira 25 javnih znanstvenih instituta s ukupno 1650 zaposlenika na teret Ministarstva, osnovanih i financiranih u svrhu provođenja i realizacije znanstvene djelatnosti u Republici Hrvatskoj. U sklopu aktivnosti financirane su plaće i ostali rashodi za zaposlenike (materijalna prava te prijevoz na posao i s posla) javnih instituta, te osnovni materijalni troškovi (hladni pogon) odvijanja redovitog poslovanja instituta. S ciljem smanjenja fragmentacije sustava, jačanja znanstvene izvrsnosti i održivosti, daljnjeg razvoja kvalitete te transparentnog modela financiranja u 2015. godini započelo se s procesom restrukturiranja javnih znanstvenih instituta kako bi se racionalizirali troškovi njihova poslovanja.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znanstvenih radova objavljenih u časopisima u bazi Web of Science</w:t>
            </w:r>
          </w:p>
        </w:tc>
        <w:tc>
          <w:tcPr>
            <w:tcW w:w="2551" w:type="dxa"/>
          </w:tcPr>
          <w:p w:rsidR="00505632" w:rsidRDefault="00505632" w:rsidP="00AD4E52">
            <w:pPr>
              <w:pStyle w:val="CellColumn"/>
              <w:jc w:val="left"/>
            </w:pPr>
            <w:r>
              <w:rPr>
                <w:rFonts w:cs="Times New Roman"/>
              </w:rPr>
              <w:t>Broj znanstvenih radova objavljenih u časopisima u bazi Web of Science</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3.720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3.300</w:t>
            </w:r>
          </w:p>
        </w:tc>
        <w:tc>
          <w:tcPr>
            <w:tcW w:w="1020" w:type="dxa"/>
          </w:tcPr>
          <w:p w:rsidR="00505632" w:rsidRDefault="00505632" w:rsidP="00AD4E52">
            <w:pPr>
              <w:pStyle w:val="CellColumn"/>
              <w:jc w:val="right"/>
            </w:pPr>
            <w:r>
              <w:rPr>
                <w:rFonts w:cs="Times New Roman"/>
              </w:rPr>
              <w:t>4.559</w:t>
            </w:r>
          </w:p>
        </w:tc>
      </w:tr>
      <w:tr w:rsidR="00505632" w:rsidTr="00AD4E52">
        <w:trPr>
          <w:jc w:val="center"/>
        </w:trPr>
        <w:tc>
          <w:tcPr>
            <w:tcW w:w="2551" w:type="dxa"/>
          </w:tcPr>
          <w:p w:rsidR="00505632" w:rsidRDefault="00505632" w:rsidP="00AD4E52">
            <w:pPr>
              <w:pStyle w:val="CellColumn"/>
              <w:jc w:val="left"/>
            </w:pPr>
            <w:r>
              <w:rPr>
                <w:rFonts w:cs="Times New Roman"/>
              </w:rPr>
              <w:t>Citiranost znanstvenih radova objavljenih u bazi Web od Science</w:t>
            </w:r>
          </w:p>
        </w:tc>
        <w:tc>
          <w:tcPr>
            <w:tcW w:w="2551" w:type="dxa"/>
          </w:tcPr>
          <w:p w:rsidR="00505632" w:rsidRDefault="00505632" w:rsidP="00AD4E52">
            <w:pPr>
              <w:pStyle w:val="CellColumn"/>
              <w:jc w:val="left"/>
            </w:pPr>
            <w:r>
              <w:rPr>
                <w:rFonts w:cs="Times New Roman"/>
              </w:rPr>
              <w:t>Broj citiranosti znanstvenih radova objavljenih u bazi Web od Science</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69.521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75.000</w:t>
            </w:r>
          </w:p>
        </w:tc>
        <w:tc>
          <w:tcPr>
            <w:tcW w:w="1020" w:type="dxa"/>
          </w:tcPr>
          <w:p w:rsidR="00505632" w:rsidRDefault="00505632" w:rsidP="00AD4E52">
            <w:pPr>
              <w:pStyle w:val="CellColumn"/>
              <w:jc w:val="right"/>
            </w:pPr>
            <w:r>
              <w:rPr>
                <w:rFonts w:cs="Times New Roman"/>
              </w:rPr>
              <w:t>81.204</w:t>
            </w:r>
          </w:p>
        </w:tc>
      </w:tr>
    </w:tbl>
    <w:p w:rsidR="00505632" w:rsidRDefault="00505632" w:rsidP="00505632">
      <w:pPr>
        <w:jc w:val="left"/>
      </w:pPr>
    </w:p>
    <w:p w:rsidR="00505632" w:rsidRDefault="00505632" w:rsidP="00505632">
      <w:pPr>
        <w:pStyle w:val="Heading4"/>
      </w:pPr>
      <w:r>
        <w:t>A622011 REDOVNA DJELATNOST GEOLOŠKE SLUŽBE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A622011-REDOVNA DJELATNOST GEOLOŠKE SLUŽBE</w:t>
            </w:r>
          </w:p>
        </w:tc>
        <w:tc>
          <w:tcPr>
            <w:tcW w:w="2041" w:type="dxa"/>
          </w:tcPr>
          <w:p w:rsidR="00505632" w:rsidRDefault="00505632" w:rsidP="00AD4E52">
            <w:pPr>
              <w:pStyle w:val="CellColumn"/>
              <w:jc w:val="right"/>
            </w:pPr>
            <w:r>
              <w:rPr>
                <w:rFonts w:cs="Times New Roman"/>
              </w:rPr>
              <w:t>263.718</w:t>
            </w:r>
          </w:p>
        </w:tc>
        <w:tc>
          <w:tcPr>
            <w:tcW w:w="2041" w:type="dxa"/>
          </w:tcPr>
          <w:p w:rsidR="00505632" w:rsidRDefault="00505632" w:rsidP="00AD4E52">
            <w:pPr>
              <w:pStyle w:val="CellColumn"/>
              <w:jc w:val="right"/>
            </w:pPr>
            <w:r>
              <w:rPr>
                <w:rFonts w:cs="Times New Roman"/>
              </w:rPr>
              <w:t>264.985</w:t>
            </w:r>
          </w:p>
        </w:tc>
        <w:tc>
          <w:tcPr>
            <w:tcW w:w="2041" w:type="dxa"/>
          </w:tcPr>
          <w:p w:rsidR="00505632" w:rsidRDefault="00505632" w:rsidP="00AD4E52">
            <w:pPr>
              <w:pStyle w:val="CellColumn"/>
              <w:jc w:val="right"/>
            </w:pPr>
            <w:r>
              <w:rPr>
                <w:rFonts w:cs="Times New Roman"/>
              </w:rPr>
              <w:t>253.481</w:t>
            </w:r>
          </w:p>
        </w:tc>
        <w:tc>
          <w:tcPr>
            <w:tcW w:w="1224" w:type="dxa"/>
          </w:tcPr>
          <w:p w:rsidR="00505632" w:rsidRDefault="00505632" w:rsidP="00AD4E52">
            <w:pPr>
              <w:pStyle w:val="CellColumn"/>
              <w:jc w:val="right"/>
            </w:pPr>
            <w:r>
              <w:rPr>
                <w:rFonts w:cs="Times New Roman"/>
              </w:rPr>
              <w:t>95,7</w:t>
            </w:r>
          </w:p>
        </w:tc>
        <w:tc>
          <w:tcPr>
            <w:tcW w:w="1224" w:type="dxa"/>
          </w:tcPr>
          <w:p w:rsidR="00505632" w:rsidRDefault="00505632" w:rsidP="00AD4E52">
            <w:pPr>
              <w:pStyle w:val="CellColumn"/>
              <w:jc w:val="right"/>
            </w:pPr>
            <w:r>
              <w:rPr>
                <w:rFonts w:cs="Times New Roman"/>
              </w:rPr>
              <w:t>96,1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Zakon o geološkim istraživanjima</w:t>
      </w:r>
    </w:p>
    <w:p w:rsidR="00505632" w:rsidRDefault="00505632" w:rsidP="00505632">
      <w:pPr>
        <w:pStyle w:val="Heading8"/>
        <w:jc w:val="left"/>
      </w:pPr>
      <w:r>
        <w:t>Opis aktivnosti</w:t>
      </w:r>
    </w:p>
    <w:p w:rsidR="00505632" w:rsidRDefault="00505632" w:rsidP="00505632">
      <w:r>
        <w:t>Kroz ovu aktivnost provodi se financiranje redovne djelatnosti Geološke službe, što podrazumijeva financiranje dijela projekata temeljenih na geološkim istraživanjima te s tim vezanom izradom geoloških karata. Aktivnost se provodi temeljem posebne Odluke Vlade Republike Hrvatske, predstavljajući tako višegodišnju razvojnu aktivnost koja se u potpunosti uklapa u strategiju razvoja znanosti u Republici Hrvatskoj, s posebnim naglaskom na razvoj znanstvenih istraživanja u području geologije.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ugovorenih projekata s gospodarskim subjektima, tijelima državne uprave i jedinicama lokalne uprave i samouprave, civilnim sektorom i nevladinim udrugama</w:t>
            </w:r>
          </w:p>
        </w:tc>
        <w:tc>
          <w:tcPr>
            <w:tcW w:w="2551" w:type="dxa"/>
          </w:tcPr>
          <w:p w:rsidR="00505632" w:rsidRDefault="00505632" w:rsidP="00AD4E52">
            <w:pPr>
              <w:pStyle w:val="CellColumn"/>
              <w:jc w:val="left"/>
            </w:pPr>
            <w:r>
              <w:rPr>
                <w:rFonts w:cs="Times New Roman"/>
              </w:rPr>
              <w:t>Broj ugovorenih projekata javnih znanstvenih instituta i javnih sveučilišta s gospodarskim subjektima, tijelima državne uprave i jedinicama lokalne uprave i samouprave, civilnim sektorom i nevladinim udrugama</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1.512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1.600</w:t>
            </w:r>
          </w:p>
        </w:tc>
        <w:tc>
          <w:tcPr>
            <w:tcW w:w="1020" w:type="dxa"/>
          </w:tcPr>
          <w:p w:rsidR="00505632" w:rsidRDefault="00505632" w:rsidP="00AD4E52">
            <w:pPr>
              <w:pStyle w:val="CellColumn"/>
              <w:jc w:val="right"/>
            </w:pPr>
            <w:r>
              <w:rPr>
                <w:rFonts w:cs="Times New Roman"/>
              </w:rPr>
              <w:t>1.454</w:t>
            </w:r>
          </w:p>
        </w:tc>
      </w:tr>
      <w:tr w:rsidR="00505632" w:rsidTr="00AD4E52">
        <w:trPr>
          <w:jc w:val="center"/>
        </w:trPr>
        <w:tc>
          <w:tcPr>
            <w:tcW w:w="2551" w:type="dxa"/>
          </w:tcPr>
          <w:p w:rsidR="00505632" w:rsidRDefault="00505632" w:rsidP="00AD4E52">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2551" w:type="dxa"/>
          </w:tcPr>
          <w:p w:rsidR="00505632" w:rsidRDefault="00505632" w:rsidP="00AD4E52">
            <w:pPr>
              <w:pStyle w:val="CellColumn"/>
              <w:jc w:val="left"/>
            </w:pPr>
            <w:r>
              <w:rPr>
                <w:rFonts w:cs="Times New Roman"/>
              </w:rPr>
              <w:t>Udio prihoda javnih znanstvenih instituta i javnih sveučilišta od ugovorenih projekata s gospodarskim subjektima, tijelima državne uprave i jedinicama lokalne uprave i samouprave, civilnim sektorom i nevladinim udrugama u ukupnim prihodima</w:t>
            </w:r>
          </w:p>
        </w:tc>
        <w:tc>
          <w:tcPr>
            <w:tcW w:w="1020" w:type="dxa"/>
          </w:tcPr>
          <w:p w:rsidR="00505632" w:rsidRDefault="00505632" w:rsidP="00AD4E52">
            <w:pPr>
              <w:pStyle w:val="CellColumn"/>
              <w:jc w:val="right"/>
            </w:pPr>
            <w:r>
              <w:rPr>
                <w:rFonts w:cs="Times New Roman"/>
              </w:rPr>
              <w:t>Postotak u ukupnim prihodima (godišnje)</w:t>
            </w:r>
          </w:p>
        </w:tc>
        <w:tc>
          <w:tcPr>
            <w:tcW w:w="1020" w:type="dxa"/>
          </w:tcPr>
          <w:p w:rsidR="00505632" w:rsidRDefault="00505632" w:rsidP="00AD4E52">
            <w:pPr>
              <w:pStyle w:val="CellColumn"/>
              <w:jc w:val="right"/>
            </w:pPr>
            <w:r>
              <w:rPr>
                <w:rFonts w:cs="Times New Roman"/>
              </w:rPr>
              <w:t xml:space="preserve">4,01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13,22</w:t>
            </w:r>
          </w:p>
        </w:tc>
      </w:tr>
    </w:tbl>
    <w:p w:rsidR="00505632" w:rsidRDefault="00505632" w:rsidP="00505632">
      <w:pPr>
        <w:jc w:val="left"/>
      </w:pPr>
    </w:p>
    <w:p w:rsidR="00505632" w:rsidRDefault="00505632" w:rsidP="00505632">
      <w:pPr>
        <w:pStyle w:val="Heading4"/>
      </w:pPr>
      <w:r>
        <w:t>A622120 PRAVOMOĆNE SUDSKE PRESUDE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A622120-PRAVOMOĆNE SUDSKE PRESUDE</w:t>
            </w:r>
          </w:p>
        </w:tc>
        <w:tc>
          <w:tcPr>
            <w:tcW w:w="2041" w:type="dxa"/>
          </w:tcPr>
          <w:p w:rsidR="00505632" w:rsidRDefault="00505632" w:rsidP="00AD4E52">
            <w:pPr>
              <w:pStyle w:val="CellColumn"/>
              <w:jc w:val="right"/>
            </w:pPr>
            <w:r>
              <w:rPr>
                <w:rFonts w:cs="Times New Roman"/>
              </w:rPr>
              <w:t>7.564.406</w:t>
            </w:r>
          </w:p>
        </w:tc>
        <w:tc>
          <w:tcPr>
            <w:tcW w:w="2041" w:type="dxa"/>
          </w:tcPr>
          <w:p w:rsidR="00505632" w:rsidRDefault="00505632" w:rsidP="00AD4E52">
            <w:pPr>
              <w:pStyle w:val="CellColumn"/>
              <w:jc w:val="right"/>
            </w:pPr>
            <w:r>
              <w:rPr>
                <w:rFonts w:cs="Times New Roman"/>
              </w:rPr>
              <w:t>6.182.886</w:t>
            </w:r>
          </w:p>
        </w:tc>
        <w:tc>
          <w:tcPr>
            <w:tcW w:w="2041" w:type="dxa"/>
          </w:tcPr>
          <w:p w:rsidR="00505632" w:rsidRDefault="00505632" w:rsidP="00AD4E52">
            <w:pPr>
              <w:pStyle w:val="CellColumn"/>
              <w:jc w:val="right"/>
            </w:pPr>
            <w:r>
              <w:rPr>
                <w:rFonts w:cs="Times New Roman"/>
              </w:rPr>
              <w:t>6.182.873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81,7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Kolektivni ugovor za znanost i visoko obrazovanje dok je bio na snazi (do 27. ožujka 2014.)</w:t>
      </w:r>
    </w:p>
    <w:p w:rsidR="00505632" w:rsidRDefault="00505632" w:rsidP="00505632">
      <w:pPr>
        <w:pStyle w:val="Heading8"/>
        <w:jc w:val="left"/>
      </w:pPr>
      <w:r>
        <w:t>Opis aktivnosti</w:t>
      </w:r>
    </w:p>
    <w:p w:rsidR="00505632" w:rsidRDefault="00505632" w:rsidP="00505632">
      <w:r>
        <w:t>Temeljem Kolektivnog ugovora za znanost i visoko obrazovanje dok je bio na snazi (do 27. ožujka 2014.) zaposlenici javnih znanstvenih instituta imali su pravo na  dodatak na plaću u visini 7%-15% za rad na poslovima s posebnim uvjetima rada i na poslovima s izvorima opasnosti. Uslijed neisplata ovoga dodatka zaposlenici javnih instituta podignuli su pojedinačne i/ili kolektivne tužbe protiv instituta koji im, sukladno zaključenim sudskim nagodbama ili mirnim rješenjem sporova, isplaćuju potraživanja po ovome pravu. U 2016. godini sredstva s ove aktivnosti isplaćivana su temeljem refundacija za već ovršena sredstva Institutu Ruđer Bošković, a temeljem zaključenih sudskih nagodbi i/ili pravomoćnih sudskih presuda</w:t>
      </w:r>
    </w:p>
    <w:p w:rsidR="00505632" w:rsidRDefault="00505632" w:rsidP="00505632">
      <w:pPr>
        <w:pStyle w:val="Heading4"/>
      </w:pPr>
      <w:r>
        <w:t>A622125 EU PROJEKTI JAVNIH INSTITUTA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A622125-EU PROJEKTI JAVNIH INSTITUTA</w:t>
            </w:r>
          </w:p>
        </w:tc>
        <w:tc>
          <w:tcPr>
            <w:tcW w:w="2041" w:type="dxa"/>
          </w:tcPr>
          <w:p w:rsidR="00505632" w:rsidRDefault="00505632" w:rsidP="00AD4E52">
            <w:pPr>
              <w:pStyle w:val="CellColumn"/>
              <w:jc w:val="right"/>
            </w:pPr>
            <w:r>
              <w:rPr>
                <w:rFonts w:cs="Times New Roman"/>
              </w:rPr>
              <w:t>14.348.440</w:t>
            </w:r>
          </w:p>
        </w:tc>
        <w:tc>
          <w:tcPr>
            <w:tcW w:w="2041" w:type="dxa"/>
          </w:tcPr>
          <w:p w:rsidR="00505632" w:rsidRDefault="00505632" w:rsidP="00AD4E52">
            <w:pPr>
              <w:pStyle w:val="CellColumn"/>
              <w:jc w:val="right"/>
            </w:pPr>
            <w:r>
              <w:rPr>
                <w:rFonts w:cs="Times New Roman"/>
              </w:rPr>
              <w:t>31.189.162</w:t>
            </w:r>
          </w:p>
        </w:tc>
        <w:tc>
          <w:tcPr>
            <w:tcW w:w="2041" w:type="dxa"/>
          </w:tcPr>
          <w:p w:rsidR="00505632" w:rsidRDefault="00505632" w:rsidP="00AD4E52">
            <w:pPr>
              <w:pStyle w:val="CellColumn"/>
              <w:jc w:val="right"/>
            </w:pPr>
            <w:r>
              <w:rPr>
                <w:rFonts w:cs="Times New Roman"/>
              </w:rPr>
              <w:t>9.935.415</w:t>
            </w:r>
          </w:p>
        </w:tc>
        <w:tc>
          <w:tcPr>
            <w:tcW w:w="1224" w:type="dxa"/>
          </w:tcPr>
          <w:p w:rsidR="00505632" w:rsidRDefault="00505632" w:rsidP="00AD4E52">
            <w:pPr>
              <w:pStyle w:val="CellColumn"/>
              <w:jc w:val="right"/>
            </w:pPr>
            <w:r>
              <w:rPr>
                <w:rFonts w:cs="Times New Roman"/>
              </w:rPr>
              <w:t>31,9</w:t>
            </w:r>
          </w:p>
        </w:tc>
        <w:tc>
          <w:tcPr>
            <w:tcW w:w="1224" w:type="dxa"/>
          </w:tcPr>
          <w:p w:rsidR="00505632" w:rsidRDefault="00505632" w:rsidP="00AD4E52">
            <w:pPr>
              <w:pStyle w:val="CellColumn"/>
              <w:jc w:val="right"/>
            </w:pPr>
            <w:r>
              <w:rPr>
                <w:rFonts w:cs="Times New Roman"/>
              </w:rPr>
              <w:t>69,2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znanstvenoj djelatnosti i visokom obrazovanju</w:t>
      </w:r>
    </w:p>
    <w:p w:rsidR="00505632" w:rsidRDefault="00505632" w:rsidP="00505632">
      <w:pPr>
        <w:pStyle w:val="Heading8"/>
        <w:jc w:val="left"/>
      </w:pPr>
      <w:r>
        <w:t>Opis aktivnosti</w:t>
      </w:r>
    </w:p>
    <w:p w:rsidR="00505632" w:rsidRDefault="00505632" w:rsidP="00505632">
      <w:r>
        <w:t>Sukladno uputama Ministarstva financija, osigurana su financijska sredstva za predfinanciranje projekata javnih znanstvenih instituta koji se u cijelosti u 100%-tnom iznosu financiraju sredstvima EU, a s obzirom da takva sredstva ne ulaze u zadane limite ista ne opterećuju proračune nadležnih državnih tijela (izvor 559). Ministarstvo je u 2016. godini financiralo projekt ''Upgrading the research performance in molecular medicine at the Faculty of Veterinary Medicine University of Zagreb''.</w:t>
      </w:r>
    </w:p>
    <w:p w:rsidR="00505632" w:rsidRDefault="00505632" w:rsidP="00505632">
      <w:pPr>
        <w:pStyle w:val="Heading4"/>
      </w:pPr>
      <w:r>
        <w:t>K622127 OP REGIONALNA KONKURENTNOST, PRIORITET 2 i 3</w:t>
      </w:r>
    </w:p>
    <w:tbl>
      <w:tblPr>
        <w:tblStyle w:val="StilTablice"/>
        <w:tblW w:w="10206" w:type="dxa"/>
        <w:jc w:val="center"/>
        <w:tblLook w:val="04A0" w:firstRow="1" w:lastRow="0" w:firstColumn="1" w:lastColumn="0" w:noHBand="0" w:noVBand="1"/>
      </w:tblPr>
      <w:tblGrid>
        <w:gridCol w:w="1931"/>
        <w:gridCol w:w="1947"/>
        <w:gridCol w:w="1960"/>
        <w:gridCol w:w="1952"/>
        <w:gridCol w:w="1204"/>
        <w:gridCol w:w="121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K622127-OP REGIONALNA KONKURENTNOST, PRIORITET 2 i 3</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14.699.066</w:t>
            </w:r>
          </w:p>
        </w:tc>
        <w:tc>
          <w:tcPr>
            <w:tcW w:w="2041" w:type="dxa"/>
          </w:tcPr>
          <w:p w:rsidR="00505632" w:rsidRDefault="00505632" w:rsidP="00AD4E52">
            <w:pPr>
              <w:pStyle w:val="CellColumn"/>
              <w:jc w:val="right"/>
            </w:pPr>
            <w:r>
              <w:rPr>
                <w:rFonts w:cs="Times New Roman"/>
              </w:rPr>
              <w:t>7.312.687</w:t>
            </w:r>
          </w:p>
        </w:tc>
        <w:tc>
          <w:tcPr>
            <w:tcW w:w="1224" w:type="dxa"/>
          </w:tcPr>
          <w:p w:rsidR="00505632" w:rsidRDefault="00505632" w:rsidP="00AD4E52">
            <w:pPr>
              <w:pStyle w:val="CellColumn"/>
              <w:jc w:val="right"/>
            </w:pPr>
            <w:r>
              <w:rPr>
                <w:rFonts w:cs="Times New Roman"/>
              </w:rPr>
              <w:t>49,7</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Uredba o tijelima u sustavu upravljanja i kontrole korištenja strukturnih instrumenata Europske unije u Republici Hrvatskoj </w:t>
      </w:r>
    </w:p>
    <w:p w:rsidR="00505632" w:rsidRDefault="00505632" w:rsidP="00505632">
      <w:r>
        <w:t xml:space="preserve">Zakon o uspostavi institucionalnog okvira za korištenje strukturnih instrumenata Europske unije u Republici Hrvatskoj </w:t>
      </w:r>
    </w:p>
    <w:p w:rsidR="00505632" w:rsidRDefault="00505632" w:rsidP="00505632">
      <w:r>
        <w:t>Operativni program regionalna konkurentnost 2007. - 2013.</w:t>
      </w:r>
    </w:p>
    <w:p w:rsidR="00505632" w:rsidRDefault="00505632" w:rsidP="00505632">
      <w:pPr>
        <w:pStyle w:val="Heading8"/>
        <w:jc w:val="left"/>
      </w:pPr>
      <w:r>
        <w:t>Opis aktivnosti</w:t>
      </w:r>
    </w:p>
    <w:p w:rsidR="00505632" w:rsidRDefault="00505632" w:rsidP="00505632">
      <w:r>
        <w:t>Kroz ovu aktivnost provodili su se projekti koji se ugovoreni u sklopu Operativnog programa Regionalna konkurentnost 2007. - 2013. U 2016. godini s ove aktivnosti vršena su plaćanja za Pozive: „Priprema zalihe infrastrukturnih projekata za EFRR 2014.-2020., 3. poziv“, „Jačanje kapaciteta za istraživanje, razvoj i inovacije“ i „Fond za znanost i inovacije, 2. poziv“.</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4"/>
        <w:gridCol w:w="2454"/>
        <w:gridCol w:w="1259"/>
        <w:gridCol w:w="1011"/>
        <w:gridCol w:w="1005"/>
        <w:gridCol w:w="1011"/>
        <w:gridCol w:w="1012"/>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infrastrukturnih projekata istraživanja, razvoja i inovacija</w:t>
            </w:r>
          </w:p>
        </w:tc>
        <w:tc>
          <w:tcPr>
            <w:tcW w:w="2551" w:type="dxa"/>
          </w:tcPr>
          <w:p w:rsidR="00505632" w:rsidRDefault="00505632" w:rsidP="00AD4E52">
            <w:pPr>
              <w:pStyle w:val="CellColumn"/>
              <w:jc w:val="left"/>
            </w:pPr>
            <w:r>
              <w:rPr>
                <w:rFonts w:cs="Times New Roman"/>
              </w:rPr>
              <w:t>Broj infrastrukturnih projekata istraživanja, razvoja i inovacija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Broj I&amp;R i infrastrukturnih projekata koji imaju pripremljenu dokumentaciju za izgradnju</w:t>
            </w:r>
          </w:p>
        </w:tc>
        <w:tc>
          <w:tcPr>
            <w:tcW w:w="2551" w:type="dxa"/>
          </w:tcPr>
          <w:p w:rsidR="00505632" w:rsidRDefault="00505632" w:rsidP="00AD4E52">
            <w:pPr>
              <w:pStyle w:val="CellColumn"/>
              <w:jc w:val="left"/>
            </w:pPr>
            <w:r>
              <w:rPr>
                <w:rFonts w:cs="Times New Roman"/>
              </w:rPr>
              <w:t>Broj I&amp;R i infrastrukturnih projekata koji imaju pripremljenu dokumentaciju za izgradnju</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 xml:space="preserve">0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6</w:t>
            </w:r>
          </w:p>
        </w:tc>
      </w:tr>
    </w:tbl>
    <w:p w:rsidR="00505632" w:rsidRDefault="00505632" w:rsidP="00505632">
      <w:pPr>
        <w:jc w:val="left"/>
      </w:pPr>
    </w:p>
    <w:p w:rsidR="00505632" w:rsidRDefault="00505632" w:rsidP="00505632">
      <w:pPr>
        <w:pStyle w:val="Heading2"/>
      </w:pPr>
      <w:r>
        <w:t>08012 Državni zavod za intelektualno vlasništvo</w:t>
      </w:r>
    </w:p>
    <w:p w:rsidR="00505632" w:rsidRDefault="00505632" w:rsidP="00505632">
      <w:r>
        <w:t>Sukladno propisanim nadležnostima Državnog zavoda za intelektualno vlasništvo (DZIV-a) najznačajnije aktivnosti i projekti DZIV-a u 2016. godini bili su usmjereni na sljedeće: osiguravanje kvalitetnih, učinkovitih i financijski prihvatljivih postupaka priznanja prava industrijskog vlasništva na teritoriju Republike Hrvatske, koje DZIV provodi samostalno ili putem odgovarajućih međunarodnih i europskih sustava u kojima RH sudjeluje te razvoj odgovarajućeg zakonodavnog okvira; osiguravanje učinkovitog sustava zaštite autorskih i srodnih prava kroz razvoj odgovarajućeg zakonodavnog okvira, te provedbu i razvoj prateće stručne i inspekcijske djelatnosti; sudjelovanje u razvoju zajedničkog zakonodavnog i institucionalnog okvira Europske unije u području intelektualnog vlasništva; osiguravanje provedbe obveza iz međunarodnih konvencija i ugovora iz područja intelektualnog vlasništva u nadležnosti DZIV-a; daljnji razvoj članstva u međunarodnim konvencijama i ugovorima u skladu s ciljevima razvoja nacionalnog sustava intelektualnog vlasništva, te jačanje utjecaja RH u međunarodnim (europskim i svjetskim) organizacijama iz područja intelektualnog vlasništva; doprinos razvoju učinkovitog nacionalnog sustava provedbe prava intelektualnog vlasništva u suradnji i uz koordinaciju s tijelima za provedbu prava, te relevantnim nacionalnim organizacijama i interesnim skupinama; doprinos razvoju primjene prava intelektualnog vlasništva u relevantnim gospodarskim i društvenim sektorima te razvoj pratećih javnih stručnih usluga DZIV-a u suradnji s drugim sudionicima nacionalnog inovacijskog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08012-Državni zavod za intelektualno vlasništvo</w:t>
            </w:r>
          </w:p>
        </w:tc>
        <w:tc>
          <w:tcPr>
            <w:tcW w:w="2041" w:type="dxa"/>
            <w:vAlign w:val="top"/>
          </w:tcPr>
          <w:p w:rsidR="00505632" w:rsidRDefault="00505632" w:rsidP="00AD4E52">
            <w:pPr>
              <w:pStyle w:val="CellColumn"/>
              <w:jc w:val="right"/>
            </w:pPr>
            <w:r>
              <w:rPr>
                <w:rFonts w:cs="Times New Roman"/>
              </w:rPr>
              <w:t>15.264.598</w:t>
            </w:r>
          </w:p>
        </w:tc>
        <w:tc>
          <w:tcPr>
            <w:tcW w:w="2041" w:type="dxa"/>
            <w:vAlign w:val="top"/>
          </w:tcPr>
          <w:p w:rsidR="00505632" w:rsidRDefault="00505632" w:rsidP="00AD4E52">
            <w:pPr>
              <w:pStyle w:val="CellColumn"/>
              <w:jc w:val="right"/>
            </w:pPr>
            <w:r>
              <w:rPr>
                <w:rFonts w:cs="Times New Roman"/>
              </w:rPr>
              <w:t>16.403.359</w:t>
            </w:r>
          </w:p>
        </w:tc>
        <w:tc>
          <w:tcPr>
            <w:tcW w:w="2041" w:type="dxa"/>
            <w:vAlign w:val="top"/>
          </w:tcPr>
          <w:p w:rsidR="00505632" w:rsidRDefault="00505632" w:rsidP="00AD4E52">
            <w:pPr>
              <w:pStyle w:val="CellColumn"/>
              <w:jc w:val="right"/>
            </w:pPr>
            <w:r>
              <w:rPr>
                <w:rFonts w:cs="Times New Roman"/>
              </w:rPr>
              <w:t>16.294.108</w:t>
            </w:r>
          </w:p>
        </w:tc>
        <w:tc>
          <w:tcPr>
            <w:tcW w:w="1224" w:type="dxa"/>
            <w:vAlign w:val="top"/>
          </w:tcPr>
          <w:p w:rsidR="00505632" w:rsidRDefault="00505632" w:rsidP="00AD4E52">
            <w:pPr>
              <w:pStyle w:val="CellColumn"/>
              <w:jc w:val="right"/>
            </w:pPr>
            <w:r>
              <w:rPr>
                <w:rFonts w:cs="Times New Roman"/>
              </w:rPr>
              <w:t>99,3</w:t>
            </w:r>
          </w:p>
        </w:tc>
        <w:tc>
          <w:tcPr>
            <w:tcW w:w="1224" w:type="dxa"/>
            <w:vAlign w:val="top"/>
          </w:tcPr>
          <w:p w:rsidR="00505632" w:rsidRDefault="00505632" w:rsidP="00AD4E52">
            <w:pPr>
              <w:pStyle w:val="CellColumn"/>
              <w:jc w:val="right"/>
            </w:pPr>
            <w:r>
              <w:rPr>
                <w:rFonts w:cs="Times New Roman"/>
              </w:rPr>
              <w:t>106,7</w:t>
            </w:r>
          </w:p>
        </w:tc>
      </w:tr>
      <w:tr w:rsidR="00505632" w:rsidTr="00AD4E52">
        <w:trPr>
          <w:jc w:val="center"/>
        </w:trPr>
        <w:tc>
          <w:tcPr>
            <w:tcW w:w="1632" w:type="dxa"/>
          </w:tcPr>
          <w:p w:rsidR="00505632" w:rsidRDefault="00505632" w:rsidP="00AD4E52">
            <w:pPr>
              <w:jc w:val="left"/>
            </w:pPr>
            <w:r>
              <w:t>3801-ULAGANJE U ZNANSTVENO ISTRAŽIVAČKU DJELATNOST</w:t>
            </w:r>
          </w:p>
        </w:tc>
        <w:tc>
          <w:tcPr>
            <w:tcW w:w="2041" w:type="dxa"/>
          </w:tcPr>
          <w:p w:rsidR="00505632" w:rsidRDefault="00505632" w:rsidP="00AD4E52">
            <w:pPr>
              <w:jc w:val="right"/>
            </w:pPr>
            <w:r>
              <w:t>15.264.598</w:t>
            </w:r>
          </w:p>
        </w:tc>
        <w:tc>
          <w:tcPr>
            <w:tcW w:w="2041" w:type="dxa"/>
          </w:tcPr>
          <w:p w:rsidR="00505632" w:rsidRDefault="00505632" w:rsidP="00AD4E52">
            <w:pPr>
              <w:jc w:val="right"/>
            </w:pPr>
            <w:r>
              <w:t>16.403.359</w:t>
            </w:r>
          </w:p>
        </w:tc>
        <w:tc>
          <w:tcPr>
            <w:tcW w:w="2041" w:type="dxa"/>
          </w:tcPr>
          <w:p w:rsidR="00505632" w:rsidRDefault="00505632" w:rsidP="00AD4E52">
            <w:pPr>
              <w:jc w:val="right"/>
            </w:pPr>
            <w:r>
              <w:t>16.294.108</w:t>
            </w:r>
          </w:p>
        </w:tc>
        <w:tc>
          <w:tcPr>
            <w:tcW w:w="1224" w:type="dxa"/>
          </w:tcPr>
          <w:p w:rsidR="00505632" w:rsidRDefault="00505632" w:rsidP="00AD4E52">
            <w:pPr>
              <w:jc w:val="right"/>
            </w:pPr>
            <w:r>
              <w:t>99,3</w:t>
            </w:r>
          </w:p>
        </w:tc>
        <w:tc>
          <w:tcPr>
            <w:tcW w:w="1224" w:type="dxa"/>
          </w:tcPr>
          <w:p w:rsidR="00505632" w:rsidRDefault="00505632" w:rsidP="00AD4E52">
            <w:pPr>
              <w:jc w:val="right"/>
            </w:pPr>
            <w:r>
              <w:t>106,7</w:t>
            </w:r>
          </w:p>
        </w:tc>
      </w:tr>
    </w:tbl>
    <w:p w:rsidR="00505632" w:rsidRDefault="00505632" w:rsidP="00505632">
      <w:pPr>
        <w:jc w:val="left"/>
      </w:pPr>
    </w:p>
    <w:p w:rsidR="00505632" w:rsidRDefault="00505632" w:rsidP="00505632">
      <w:pPr>
        <w:pStyle w:val="Heading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3801-ULAGANJE U ZNANSTVENO ISTRAŽIVAČKU DJELATNOST</w:t>
            </w:r>
          </w:p>
        </w:tc>
        <w:tc>
          <w:tcPr>
            <w:tcW w:w="2041" w:type="dxa"/>
          </w:tcPr>
          <w:p w:rsidR="00505632" w:rsidRDefault="00505632" w:rsidP="00AD4E52">
            <w:pPr>
              <w:pStyle w:val="CellColumn"/>
              <w:jc w:val="right"/>
            </w:pPr>
            <w:r>
              <w:rPr>
                <w:rFonts w:cs="Times New Roman"/>
              </w:rPr>
              <w:t>15.264.598</w:t>
            </w:r>
          </w:p>
        </w:tc>
        <w:tc>
          <w:tcPr>
            <w:tcW w:w="2041" w:type="dxa"/>
          </w:tcPr>
          <w:p w:rsidR="00505632" w:rsidRDefault="00505632" w:rsidP="00AD4E52">
            <w:pPr>
              <w:pStyle w:val="CellColumn"/>
              <w:jc w:val="right"/>
            </w:pPr>
            <w:r>
              <w:rPr>
                <w:rFonts w:cs="Times New Roman"/>
              </w:rPr>
              <w:t>16.403.359</w:t>
            </w:r>
          </w:p>
        </w:tc>
        <w:tc>
          <w:tcPr>
            <w:tcW w:w="2041" w:type="dxa"/>
          </w:tcPr>
          <w:p w:rsidR="00505632" w:rsidRDefault="00505632" w:rsidP="00AD4E52">
            <w:pPr>
              <w:pStyle w:val="CellColumn"/>
              <w:jc w:val="right"/>
            </w:pPr>
            <w:r>
              <w:rPr>
                <w:rFonts w:cs="Times New Roman"/>
              </w:rPr>
              <w:t>16.294.108</w:t>
            </w:r>
          </w:p>
        </w:tc>
        <w:tc>
          <w:tcPr>
            <w:tcW w:w="1224" w:type="dxa"/>
          </w:tcPr>
          <w:p w:rsidR="00505632" w:rsidRDefault="00505632" w:rsidP="00AD4E52">
            <w:pPr>
              <w:pStyle w:val="CellColumn"/>
              <w:jc w:val="right"/>
            </w:pPr>
            <w:r>
              <w:rPr>
                <w:rFonts w:cs="Times New Roman"/>
              </w:rPr>
              <w:t>99,3</w:t>
            </w:r>
          </w:p>
        </w:tc>
        <w:tc>
          <w:tcPr>
            <w:tcW w:w="1224" w:type="dxa"/>
          </w:tcPr>
          <w:p w:rsidR="00505632" w:rsidRDefault="00505632" w:rsidP="00AD4E52">
            <w:pPr>
              <w:pStyle w:val="CellColumn"/>
              <w:jc w:val="right"/>
            </w:pPr>
            <w:r>
              <w:rPr>
                <w:rFonts w:cs="Times New Roman"/>
              </w:rPr>
              <w:t>106,7</w:t>
            </w:r>
          </w:p>
        </w:tc>
      </w:tr>
    </w:tbl>
    <w:p w:rsidR="00505632" w:rsidRDefault="00505632" w:rsidP="00505632">
      <w:pPr>
        <w:jc w:val="left"/>
      </w:pPr>
    </w:p>
    <w:p w:rsidR="00505632" w:rsidRDefault="00505632" w:rsidP="00505632">
      <w:r>
        <w:t xml:space="preserve">Program je planiran u okviru općeg cilja koji se odnosi na unaprijeđenu znanost kao pokretača dugoročnoga gospodarskoga i društvenoga razvoja. U odnosu na DZIV program se odnosi na osiguravanje kvalitetnog, učinkovitog i financijski prihvatljivog nacionalnog sustava zaštite, provedbe i primjene intelektualnog vlasništva, optimalno usklađenog s relevantnim europskim i međunarodnim sustavima intelektualnog vlasništva, te usklađenog s ostalim elementima nacionalnog inovacijskog sustava kao i strategijama razvitka relevantnih sektora. </w:t>
      </w:r>
    </w:p>
    <w:p w:rsidR="00505632" w:rsidRDefault="00505632" w:rsidP="00505632">
      <w:r>
        <w:t>Nacionalni sustav intelektualnog vlasništva (NSIV), koji obuhvaća aspekte zaštite, provedbe i primjene prava intelektualnog vlasništva, treba osigurati poticajno okruženje za kreativni i inovativni razvoj svih gospodarskih i društvenih aktivnosti, osiguravajući pri tome pravednu tržišnu utakmicu te optimalan odnos između privatnih interesa stvaratelja odnosno nositelja prava s jedne strane, te općih društvenih interesa s druge strane.</w:t>
      </w:r>
    </w:p>
    <w:p w:rsidR="00505632" w:rsidRDefault="00505632" w:rsidP="00505632">
      <w:pPr>
        <w:pStyle w:val="Heading8"/>
        <w:jc w:val="left"/>
      </w:pPr>
      <w:r>
        <w:t>Cilj 1. Osiguravanje kvalitetnog, učinkovitog i financijski prihvatljivog postupka priznavanja prava industrijskog vlasništva</w:t>
      </w:r>
    </w:p>
    <w:p w:rsidR="00505632" w:rsidRDefault="00505632" w:rsidP="00505632">
      <w:pPr>
        <w:pStyle w:val="Heading8"/>
        <w:jc w:val="left"/>
      </w:pPr>
      <w:r>
        <w:t>Opis provedbe cilja programa</w:t>
      </w:r>
    </w:p>
    <w:p w:rsidR="00505632" w:rsidRDefault="00505632" w:rsidP="00505632">
      <w:r>
        <w:t xml:space="preserve">Provedba programa u odnosu na ovaj cilj u 2016. godini bila je usmjerena prvenstveno na održavanje dostignute razine kvalitete i učinkovitosti postupaka priznavanja industrijskog vlasništva, budući da je njezino daljnje značajnije povećavanje bilo ograničeno raspoloživim proračunskim sredstvima i ljudskim resursima. Provedba programa odnosila se i na aktivnosti vezane uz ispunjavanje obveza Republike Hrvatske odnosno DZIV-a u okviru zajedničkih europskih i međunarodnih sustava zaštite industrijskog vlasništva, kao i na aktivnosti vezane na zastupanje interesa Republike Hrvatske u okviru tekućih reformi sustava zaštite industrijskog vlasništva na razini Europske unije.  </w:t>
      </w:r>
    </w:p>
    <w:p w:rsidR="00505632" w:rsidRDefault="00505632" w:rsidP="00505632">
      <w:r>
        <w:t xml:space="preserve">Učinkovitost i kvaliteta postupaka za zaštitu industrijskog vlasništva unaprjeđivani su u 2016. godini prvenstveno daljnjim unaprjeđenjem informatizacije pojedinih dijelova postupaka i registara, daljnjim razvojem sustava normiranja poslova u postupcima  te periodičkom revizijom procedura i pratećih postupovnika (priručnika) za ispitivanje prijava u postupcima za priznanje patenata odnosno registraciju žigova i industrijskog dizajna. Kvaliteta postupaka također je unaprjeđivana kontinuiranim stručnim usavršavanjem postojećih ljudskih resursa u okviru regionalnih i međunarodnih programa stručnog usavršavanja koje provode organizacije za intelektualno vlasništvo, te praćenjem i primjenom sudske prakse Europske unije. </w:t>
      </w:r>
    </w:p>
    <w:p w:rsidR="00505632" w:rsidRDefault="00505632" w:rsidP="00505632">
      <w:r>
        <w:t xml:space="preserve">S obzirom na i dalje ograničene ljudske u pojedinim stručnim područjima te ograničene proračunske resurse, povećanje učinkovitosti provedbe postupaka priznavanja prava industrijskog vlasništva ostvareno je u planiranoj ograničenoj mjeri.  Povećanje učinkovitosti provedbe postupaka slijedom značajnijeg korištenja sustava za podnošenje prijava za priznanje industrijskog vlasništva elektroničkim putem (e-Prijava) nije ostvareno budući da je stupanj korištenja ove usluge od strane korisnika i u 2016. godini bio nizak (30% tj. neznatno viši od 28% u 2015. godini) u usporedbi s drugim članicama EU-a.  </w:t>
      </w:r>
    </w:p>
    <w:p w:rsidR="00505632" w:rsidRDefault="00505632" w:rsidP="00505632">
      <w:r>
        <w:t>Provedena je prva faza analize postojećeg sustava pristojbi i naknada troškova postupaka priznanja industrijskog vlasništva radi njegove planirane daljnje revizije. Ni u 2016. godini nisu ostvareni uvjeti za povećanje financijske učinkovitosti postupaka priznanja prava pri DZIV-u statusnim preustrojem DZIV-a. Naime, pristupanje Republike Hrvatske u članstvo Europske unije očekivano je proizvelo negativne učinke na prihode iz nacionalnih i međunarodnih postupaka za registraciju žigova i industrijskog dizajna, što uz izostanak očekivanih pozitivnih financijskih učinaka reforme sustava žiga Zajednice i još uvijek ne u potpunosti poznate financijske učinke implementacije jedinstvenog europskog sustava patentne zaštite ne omogućava pouzdano predviđanje budućih kretanja prihoda od naknada za provođenje postupaka zaštite industrijskog vlasništva.</w:t>
      </w:r>
    </w:p>
    <w:p w:rsidR="00505632" w:rsidRDefault="00505632" w:rsidP="00505632">
      <w:pPr>
        <w:pStyle w:val="Heading8"/>
        <w:jc w:val="left"/>
      </w:pPr>
      <w:r>
        <w:t>Cilj 2. Osiguravanje učinkovitog sustava zaštite autorskih i srodnih prava</w:t>
      </w:r>
    </w:p>
    <w:p w:rsidR="00505632" w:rsidRDefault="00505632" w:rsidP="00505632">
      <w:pPr>
        <w:pStyle w:val="Heading8"/>
        <w:jc w:val="left"/>
      </w:pPr>
      <w:r>
        <w:t>Opis provedbe cilja programa</w:t>
      </w:r>
    </w:p>
    <w:p w:rsidR="00505632" w:rsidRDefault="00505632" w:rsidP="00505632">
      <w:r>
        <w:t xml:space="preserve">Postojeći zakonodavni i organizacijski okvir sustava zaštite autorskih i srodnih prva sukladan je najvišim međunarodnim standardima i europskom pravnom stečevinom. Međutim, dinamičan razvoj digitalne tehnologije te tekuće i planirane intenzivne zakonodavne i nezakonodavne inicijative na razini Europske unije zahtijevaju jačanje aktivnosti usmjerenih na osiguravanje učinkovite primjene zaštite autorskih i srodnih prava u suvremenom okruženju, osobito s obzirom na utvrđeni potencijal kreativnih industrija na razini Europske unije za rast i stvaranje radnih mjesta. </w:t>
      </w:r>
    </w:p>
    <w:p w:rsidR="00505632" w:rsidRDefault="00505632" w:rsidP="00505632">
      <w:r>
        <w:t xml:space="preserve">U 2016. godini je, prvenstveno slijedom aktivnosti na razini EU-a,  provođena intenzivna zakonodavna aktivnost. Pripremljen je Konačni prijedlog Zakona o izmjenama i dopunama Zakona o autorskom pravu i srodnim pravima kojim se u nacionalno zakonodavstvo prenosi Direktiva 2014/26/EU o kolektivnom ostvarivanju autorskog prava i srodnih prava te izdavanju odobrenja za više državnih područja za prava na internetsko korištenje glazbenih djela na unutarnjem tržištu  te upućen Vladi RH na usvajanje u hitnoj proceduri u travnju 2016., no zbog izvanrednih parlamentarnih izbora zakonodavni postupak nije dovršen, te je krajem godine ponovljen postupak prikupljanja mišljenja na prijedlog tog Zakona radi ponovnog upućivanja u zakonodavnu proceduru. </w:t>
      </w:r>
    </w:p>
    <w:p w:rsidR="00505632" w:rsidRDefault="00505632" w:rsidP="00505632">
      <w:r>
        <w:t xml:space="preserve">U pogledu sudjelovanja u pripremi europskog zakonodavstva provođene su aktivnosti vezane uz pripremu nacionalnog stajališta povodom daljnjih zakonodavnih prijedloga EU-a objavljenih u 2016. godini (Uredba o utvrđivanju pravila o ostvarivanju autorskog i srodnih prava koja se primjenjuju na određene internetske prijenose organizacija za radiodifuziju i reemitiranja televizijskih i radijskih programa, Direktiva o autorskim pravima na jedinstvenom digitalnom tržištu, Direktiva o određenim dozvoljenim upotrebama djelâ i drugih sadržaja koji su zaštićeni autorskim i srodnim pravima u korist slijepih i slabovidnih osoba ili osoba koje imaju druge smetnje pri čitanju otisnutog teksta i o izmjeni Direktive 2001/29/EZ o usklađivanju određenih aspekata autorskog i srodnih prava u informacijskom društvu,  Uredba o prekograničnoj razmjeni između Unije i trećih zemalja primjeraka u dostupnom formatu određenih djela i drugih predmeta zaštite autorskim i srodnim pravima u korist slijepih, slabovidnih osoba ili osoba koje imaju druge smetnje pri čitanju otisnutog teksta.)   </w:t>
      </w:r>
    </w:p>
    <w:p w:rsidR="00505632" w:rsidRDefault="00505632" w:rsidP="00505632">
      <w:r>
        <w:t>Nastavljeno je jačanje suradnje i koordinacije s ostalim dionicima ovog sustava, kao i organizacija zajedničkih aktivnosti. Sukladno raspoloživosti potrebnih resursa provođene su aktivnosti na informiranju i educiranju građana te korisnika zaštite o sustavu zaštite autorskih i srodnih prava, te doprinosu kreativnih industrija gospodarskom rastu i zapošljavanju.</w:t>
      </w:r>
    </w:p>
    <w:p w:rsidR="00505632" w:rsidRDefault="00505632" w:rsidP="00505632">
      <w:pPr>
        <w:pStyle w:val="Heading8"/>
        <w:jc w:val="left"/>
      </w:pPr>
      <w:r>
        <w:t>Cilj 3. Povećanje stupnja korištenja zaštite i primjene intelektualnog vlasništva u relevantnim domaćim sektorima</w:t>
      </w:r>
    </w:p>
    <w:p w:rsidR="00505632" w:rsidRDefault="00505632" w:rsidP="00505632">
      <w:pPr>
        <w:pStyle w:val="Heading8"/>
        <w:jc w:val="left"/>
      </w:pPr>
      <w:r>
        <w:t>Opis provedbe cilja programa</w:t>
      </w:r>
    </w:p>
    <w:p w:rsidR="00505632" w:rsidRDefault="00505632" w:rsidP="00505632">
      <w:r>
        <w:t xml:space="preserve">Europski i svjetski pokazatelji koji se odnose na zaštitu intelektualnog vlasništva ukazuju na apsolutno i relativno (u odnosu na usporedive zemlje) nisku razinu korištenja sustava zaštite intelektualnog vlasništva od strane relevantnih domaćih sektora (industrija, istraživanje i razvoj, poduzetništvo). Obzirom na relativno nizak stupanj korištenja sustava zaštite intelektualnog vlasništva u relevantnim domaćim sektorima cilj je povećati ga odgovarajućim aktivnostima. Povećanje stupnja korištenja zaštite i primjene intelektualnog vlasništva u relevantnim domaćim sektorima osim o aktivnostima DZIV-a značajno ovisi i o okruženju, prije svega domaćim i međunarodnim gospodarskim kretanjima, te je cilj ostvaren u manjoj mjeri od planirane. </w:t>
      </w:r>
    </w:p>
    <w:p w:rsidR="00505632" w:rsidRDefault="00505632" w:rsidP="00505632">
      <w:r>
        <w:t xml:space="preserve">Radi ostvarenja navedenog cilja, sukladno raspoloživim proračunskim sredstava te sredstvima osiguranim putem suradničkih projekata s međunarodnim i europskim organizacijama za intelektualno vlasništvo, u 2016. godini provedene su  informacijsko-promotivne, edukacijske i stručne aktivnosti usmjerene na relevantne domaće sektore, što uključuje sudjelovanje s informacijskim pultovima na javnim manifestacijama,  seminare i radionice prvenstveno za istraživačko-akademsku zajednicu te malo i srednje poduzetništvo, kao i provedbu projekta pred-dijagnostičkog ispitivanja potencijala intelektualnog vlasništva u inovativnim malim i srednjim poduzećima, u suradnji s Europskim patentnim uredom (EPO). </w:t>
      </w:r>
    </w:p>
    <w:p w:rsidR="00505632" w:rsidRDefault="00505632" w:rsidP="00505632">
      <w:r>
        <w:t>Pored toga, putem Informacijskog centra za intelektualno vlasništvo DZIV-a pružene su informacije na ukupno 6816 upita korisnika, te je pruženo 673 stručnih usluga pretraživanja i analize podataka o registriranom intelektualnom vlasništvu (izvan postupaka za priznanje prava).</w:t>
      </w:r>
    </w:p>
    <w:p w:rsidR="00505632" w:rsidRDefault="00505632" w:rsidP="00505632">
      <w:pPr>
        <w:pStyle w:val="Heading8"/>
        <w:jc w:val="left"/>
      </w:pPr>
      <w:r>
        <w:t>Cilj 4. Doprinos razvoju učinkovitog sustava provedbe prava intelektualnog  vlasništva</w:t>
      </w:r>
    </w:p>
    <w:p w:rsidR="00505632" w:rsidRDefault="00505632" w:rsidP="00505632">
      <w:pPr>
        <w:pStyle w:val="Heading8"/>
        <w:jc w:val="left"/>
      </w:pPr>
      <w:r>
        <w:t>Opis provedbe cilja programa</w:t>
      </w:r>
    </w:p>
    <w:p w:rsidR="00505632" w:rsidRDefault="00505632" w:rsidP="00505632">
      <w:r>
        <w:t xml:space="preserve">Učinkovitost sustava provedbe prava intelektualnog vlasništva ključna je za ostvarivanje ukupne društvene uloge zaštite intelektualnog vlasništva. Obzirom na tendenciju izrazitog porasta prometa krivotvorenim i piratskim proizvodima na teritoriju EU-a posljednjih godina, potrebno je daljnje jačanje učinkovitosti nacionalnog sustava provedbe prava intelektualnog vlasništva. </w:t>
      </w:r>
    </w:p>
    <w:p w:rsidR="00505632" w:rsidRDefault="00505632" w:rsidP="00505632">
      <w:r>
        <w:t xml:space="preserve">Slijedom ukupne koordinacijske uloge DZIV-a na unaprjeđenju sustava intelektualnog vlasništva, sukladno raspoloživim proračunskim sredstvima i sredstvima osiguranim putem suradničkih projekata s međunarodnim i europskim organizacijama za intelektualno vlasništvo, u 2016. nastavljena je provedba i stručna potpora aktivnostima na razvoju učinkovitog sustava provedbe prava intelektualnog vlasništva od strane nadležnih tijela (policija, carina, državni inspektorat, državno odvjetništvo, sudovi). Nacionalne aktivnosti odgovarajuće su se povezivale s aktivnostima i projektima Europske promatračnice za povrede prava intelektualnog vlasništva pri Uredu Europske unije za intelektualno vlasništvo (EUIPO). </w:t>
      </w:r>
    </w:p>
    <w:p w:rsidR="00505632" w:rsidRDefault="00505632" w:rsidP="00505632">
      <w:r>
        <w:t xml:space="preserve">Najistaknutija aktivnost u 2016. godini bila je provedba nacionalne kampanje o rizicima kupnje krivotvorenih proizvoda prilikom kupnje putem interneta („Ne kupujte mačka u vreći“) usmjerene na široki krug građana/potrošača i sufinancirana sredstvima projekta suradnje s EUIPO-om. Tijekom kampanje građanima je diljem zemlje distribuirano više od 170 000 prigodnih letaka i postera. Uz to, postavljeno je po 50 tzv. bilboard plakata na javnim površinama u 17 većih gradova, a animirani/video spot kampanje distribuiran je u elektroničkim medijima. Kampanja je promovirana u 11 emisija na 8 radio postaja, u 13 specijaliziranih emisija ili priloga koji su se prikazivali u programima 8 TV kuća (nacionalne i komercijalnih), uz popratno emitiranje video i audio spota nacionalne kampanje. Informacija o nacionalnoj kampanji objavljena je u 54 članaka u tisku i na vodećim nacionalnim internetskim portalima. </w:t>
      </w:r>
    </w:p>
    <w:p w:rsidR="00505632" w:rsidRDefault="00505632" w:rsidP="00505632">
      <w:r>
        <w:t xml:space="preserve">Nastavljeno je praćenje pokazatelja o provedbi prava te je i u 2016. godini na temelju podataka nadležnih tijela pripremljeno i objavljeno godišnje statističko izvješće o povredama prava intelektualnog vlasništva  u Republici Hrvatskoj za 2015. godinu. </w:t>
      </w:r>
    </w:p>
    <w:p w:rsidR="00505632" w:rsidRDefault="00505632" w:rsidP="00505632">
      <w:r>
        <w:t>Nastavljene su i aktivnosti na sustavnom specijalističkom usavršavanju sudaca i državnih odvjetnika u području prava intelektualnog vlasništva te je  67  pravosudnih djelatnika sudjelovalo u programima specijalističkog usavršavanju iz područja intelektualnog vlasništva u organizaciji nacionalne Pravosudne akademije te programima europskih organizacija za intelektualno vlasništvo (EUIPO i EPO).</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Stupanj kvalitete, učinkovitosti i financijske prihvatljivosti postupaka priznanja prava industrijskog vlasništva usklađen s europskim standardima (kumulativ)</w:t>
            </w:r>
          </w:p>
        </w:tc>
        <w:tc>
          <w:tcPr>
            <w:tcW w:w="2551" w:type="dxa"/>
          </w:tcPr>
          <w:p w:rsidR="00505632" w:rsidRDefault="00505632" w:rsidP="00AD4E52">
            <w:pPr>
              <w:pStyle w:val="CellColumn"/>
              <w:jc w:val="left"/>
            </w:pPr>
            <w:r>
              <w:rPr>
                <w:rFonts w:cs="Times New Roman"/>
              </w:rPr>
              <w:t>Usklađivanje razine kvalitete provedbe postupaka, učinkovitosti obavljanja poslova i sustava financiranja postupaka za zaštitu prava industrijskog vlasništva s onima u zemljama EU-a dovodi do ostvarenja cilja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DZIV</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80</w:t>
            </w:r>
          </w:p>
        </w:tc>
      </w:tr>
      <w:tr w:rsidR="00505632" w:rsidTr="00AD4E52">
        <w:trPr>
          <w:jc w:val="center"/>
        </w:trPr>
        <w:tc>
          <w:tcPr>
            <w:tcW w:w="2551" w:type="dxa"/>
          </w:tcPr>
          <w:p w:rsidR="00505632" w:rsidRDefault="00505632" w:rsidP="00AD4E52">
            <w:pPr>
              <w:pStyle w:val="CellColumn"/>
              <w:jc w:val="left"/>
            </w:pPr>
            <w:r>
              <w:rPr>
                <w:rFonts w:cs="Times New Roman"/>
              </w:rPr>
              <w:t>Stupanj  učinkovite primjene zaštite autorskih i srodnih prava usklađen s europskim standardima (kumulativ)</w:t>
            </w:r>
          </w:p>
        </w:tc>
        <w:tc>
          <w:tcPr>
            <w:tcW w:w="2551" w:type="dxa"/>
          </w:tcPr>
          <w:p w:rsidR="00505632" w:rsidRDefault="00505632" w:rsidP="00AD4E52">
            <w:pPr>
              <w:pStyle w:val="CellColumn"/>
              <w:jc w:val="left"/>
            </w:pPr>
            <w:r>
              <w:rPr>
                <w:rFonts w:cs="Times New Roman"/>
              </w:rPr>
              <w:t>Usklađivanjem s novom pravnom stečevinom EU-a i razvojem primjene zaštite autorskih i srodnih prava prilagođenih suvremenom okruženju sukladno standardima EU-a dovodi do ostvarenja cilja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DZIV</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85</w:t>
            </w:r>
          </w:p>
        </w:tc>
      </w:tr>
      <w:tr w:rsidR="00505632" w:rsidTr="00AD4E52">
        <w:trPr>
          <w:jc w:val="center"/>
        </w:trPr>
        <w:tc>
          <w:tcPr>
            <w:tcW w:w="2551" w:type="dxa"/>
          </w:tcPr>
          <w:p w:rsidR="00505632" w:rsidRDefault="00505632" w:rsidP="00AD4E52">
            <w:pPr>
              <w:pStyle w:val="CellColumn"/>
              <w:jc w:val="left"/>
            </w:pPr>
            <w:r>
              <w:rPr>
                <w:rFonts w:cs="Times New Roman"/>
              </w:rPr>
              <w:t>Povećan broj prijava za zaštitu prava  industrijskog vlasništva od strane  domaćih nositelja u  nacionalnim i europskim postupcima (DZIV, EPO, OHIM)</w:t>
            </w:r>
          </w:p>
        </w:tc>
        <w:tc>
          <w:tcPr>
            <w:tcW w:w="2551" w:type="dxa"/>
          </w:tcPr>
          <w:p w:rsidR="00505632" w:rsidRDefault="00505632" w:rsidP="00AD4E52">
            <w:pPr>
              <w:pStyle w:val="CellColumn"/>
              <w:jc w:val="left"/>
            </w:pPr>
            <w:r>
              <w:rPr>
                <w:rFonts w:cs="Times New Roman"/>
              </w:rPr>
              <w:t>Povećanja broja prava domaćih nositelja pridonijet će učinkovitijoj primjeni rezultata domaćih inovacijskih aktivnosti te posljedično povećanju konkurentnosti</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2127 (2015)</w:t>
            </w:r>
          </w:p>
        </w:tc>
        <w:tc>
          <w:tcPr>
            <w:tcW w:w="1020" w:type="dxa"/>
          </w:tcPr>
          <w:p w:rsidR="00505632" w:rsidRDefault="00505632" w:rsidP="00AD4E52">
            <w:pPr>
              <w:pStyle w:val="CellColumn"/>
              <w:jc w:val="right"/>
            </w:pPr>
            <w:r>
              <w:rPr>
                <w:rFonts w:cs="Times New Roman"/>
              </w:rPr>
              <w:t>DZIV, EPO, OHIM (EUIPO)</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Povećana učinkovitosti sustava provedbe prava intelektualnog vlasništva (kumulativ)</w:t>
            </w:r>
          </w:p>
        </w:tc>
        <w:tc>
          <w:tcPr>
            <w:tcW w:w="2551" w:type="dxa"/>
          </w:tcPr>
          <w:p w:rsidR="00505632" w:rsidRDefault="00505632" w:rsidP="00AD4E52">
            <w:pPr>
              <w:pStyle w:val="CellColumn"/>
              <w:jc w:val="left"/>
            </w:pPr>
            <w:r>
              <w:rPr>
                <w:rFonts w:cs="Times New Roman"/>
              </w:rPr>
              <w:t>Povećanjem učinkovitosti sustava provedbe prava intelektualnog vlasništva doseći će se europska razina učinkovitosti</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DZIV</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90</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A763000 ADMINISTRACIJA I UPRAVLJANJE DRŽAVNOG ZAVODA ZA INTELEKTUALNO VLASNIŠTVO</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A763000-ADMINISTRACIJA I UPRAVLJANJE DRŽAVNOG ZAVODA ZA INTELEKTUALNO VLASNIŠTVO</w:t>
            </w:r>
          </w:p>
        </w:tc>
        <w:tc>
          <w:tcPr>
            <w:tcW w:w="2041" w:type="dxa"/>
          </w:tcPr>
          <w:p w:rsidR="00505632" w:rsidRDefault="00505632" w:rsidP="00AD4E52">
            <w:pPr>
              <w:pStyle w:val="CellColumn"/>
              <w:jc w:val="right"/>
            </w:pPr>
            <w:r>
              <w:rPr>
                <w:rFonts w:cs="Times New Roman"/>
              </w:rPr>
              <w:t>13.828.652</w:t>
            </w:r>
          </w:p>
        </w:tc>
        <w:tc>
          <w:tcPr>
            <w:tcW w:w="2041" w:type="dxa"/>
          </w:tcPr>
          <w:p w:rsidR="00505632" w:rsidRDefault="00505632" w:rsidP="00AD4E52">
            <w:pPr>
              <w:pStyle w:val="CellColumn"/>
              <w:jc w:val="right"/>
            </w:pPr>
            <w:r>
              <w:rPr>
                <w:rFonts w:cs="Times New Roman"/>
              </w:rPr>
              <w:t>14.954.359</w:t>
            </w:r>
          </w:p>
        </w:tc>
        <w:tc>
          <w:tcPr>
            <w:tcW w:w="2041" w:type="dxa"/>
          </w:tcPr>
          <w:p w:rsidR="00505632" w:rsidRDefault="00505632" w:rsidP="00AD4E52">
            <w:pPr>
              <w:pStyle w:val="CellColumn"/>
              <w:jc w:val="right"/>
            </w:pPr>
            <w:r>
              <w:rPr>
                <w:rFonts w:cs="Times New Roman"/>
              </w:rPr>
              <w:t>14.901.902</w:t>
            </w:r>
          </w:p>
        </w:tc>
        <w:tc>
          <w:tcPr>
            <w:tcW w:w="1224" w:type="dxa"/>
          </w:tcPr>
          <w:p w:rsidR="00505632" w:rsidRDefault="00505632" w:rsidP="00AD4E52">
            <w:pPr>
              <w:pStyle w:val="CellColumn"/>
              <w:jc w:val="right"/>
            </w:pPr>
            <w:r>
              <w:rPr>
                <w:rFonts w:cs="Times New Roman"/>
              </w:rPr>
              <w:t>99,6</w:t>
            </w:r>
          </w:p>
        </w:tc>
        <w:tc>
          <w:tcPr>
            <w:tcW w:w="1224" w:type="dxa"/>
          </w:tcPr>
          <w:p w:rsidR="00505632" w:rsidRDefault="00505632" w:rsidP="00AD4E52">
            <w:pPr>
              <w:pStyle w:val="CellColumn"/>
              <w:jc w:val="right"/>
            </w:pPr>
            <w:r>
              <w:rPr>
                <w:rFonts w:cs="Times New Roman"/>
              </w:rPr>
              <w:t>107,8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ustrojstvu i djelokrugu ministarstava i drugih središnjih tijela državne uprave </w:t>
      </w:r>
    </w:p>
    <w:p w:rsidR="00505632" w:rsidRDefault="00505632" w:rsidP="00505632">
      <w:r>
        <w:t xml:space="preserve">Zakon o patentu </w:t>
      </w:r>
    </w:p>
    <w:p w:rsidR="00505632" w:rsidRDefault="00505632" w:rsidP="00505632">
      <w:r>
        <w:t xml:space="preserve">Zakon o žigu </w:t>
      </w:r>
    </w:p>
    <w:p w:rsidR="00505632" w:rsidRDefault="00505632" w:rsidP="00505632">
      <w:r>
        <w:t xml:space="preserve">Zakon o oznakama zemljopisnog podrijetla i oznakama izvornosti proizvoda i usluga </w:t>
      </w:r>
    </w:p>
    <w:p w:rsidR="00505632" w:rsidRDefault="00505632" w:rsidP="00505632">
      <w:r>
        <w:t xml:space="preserve">Zakon o zaštiti topografija poluvodičkih proizvoda </w:t>
      </w:r>
    </w:p>
    <w:p w:rsidR="00505632" w:rsidRDefault="00505632" w:rsidP="00505632">
      <w:r>
        <w:t xml:space="preserve">Zakon o industrijskom dizajnu </w:t>
      </w:r>
    </w:p>
    <w:p w:rsidR="00505632" w:rsidRDefault="00505632" w:rsidP="00505632">
      <w:r>
        <w:t>Zakon o autorskom pravu i srodnim pravima</w:t>
      </w:r>
    </w:p>
    <w:p w:rsidR="00505632" w:rsidRDefault="00505632" w:rsidP="00505632">
      <w:pPr>
        <w:pStyle w:val="Heading8"/>
        <w:jc w:val="left"/>
      </w:pPr>
      <w:r>
        <w:t>Opis aktivnosti</w:t>
      </w:r>
    </w:p>
    <w:p w:rsidR="00505632" w:rsidRDefault="00505632" w:rsidP="00505632">
      <w:r>
        <w:t>Aktivnost Administracija i upravljanje je temeljna aktivnost DZIV-a koja obuhvaća sve redovne stručne poslove i aktivnosti DZIV-a na ostvarenju osnovnog cilja – osiguravanja kvalitetnog, učinkovitog i financijski prihvatljivog sustava zaštite, provedbe i primjene intelektualnog vlasništva. Provedbom ove aktivnosti u 2016. godini osiguravano je: obavljanje propisanih upravnih i stručnih poslova koji se odnose na zaštitu industrijskog vlasništva te autorskih i srodnih prava, kao i odgovarajućih zakonodavnih poslova; razvoj i pružanje pratećih javnih stručnih usluga iz područja intelektualnog vlasništva; sudjelovanje u razvoju zakonodavnog i institucionalnog okvira Europske unije u području intelektualnog vlasništva; obavljanje poslova službene međunarodne suradnje s odgovarajućim državnim institucijama drugih zemalja, kao i odgovarajućim europskim i međunarodnim organizacijama, te poslova pripreme, zaključivanja i izvršavanje međunarodnih ugovora iz područja intelektualnog vlasništva; poslove predstavljanja Republike Hrvatske u europskim i međunarodnim organizacijama i stručnim tijelima iz područja intelektualnog vlasništva, te na poslove razvoja i unaprjeđenja ukupnog nacionalnog sustava intelektualnog vlasništva.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383"/>
        <w:gridCol w:w="2376"/>
        <w:gridCol w:w="1007"/>
        <w:gridCol w:w="1005"/>
        <w:gridCol w:w="994"/>
        <w:gridCol w:w="1005"/>
        <w:gridCol w:w="1436"/>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Postotak riješenih prijava za priznanje prava industrijskog vlasništva u planiranom roku (kumulativ)</w:t>
            </w:r>
          </w:p>
        </w:tc>
        <w:tc>
          <w:tcPr>
            <w:tcW w:w="2551" w:type="dxa"/>
          </w:tcPr>
          <w:p w:rsidR="00505632" w:rsidRDefault="00505632" w:rsidP="00AD4E52">
            <w:pPr>
              <w:pStyle w:val="CellColumn"/>
              <w:jc w:val="left"/>
            </w:pPr>
            <w:r>
              <w:rPr>
                <w:rFonts w:cs="Times New Roman"/>
              </w:rPr>
              <w:t>Praćenjem učinkovitosti provedbe postupaka utvrdit će se i poduzeti raspoložive  mjere radi povećanja učinkovitosti</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DZIV</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91</w:t>
            </w:r>
          </w:p>
        </w:tc>
      </w:tr>
      <w:tr w:rsidR="00505632" w:rsidTr="00AD4E52">
        <w:trPr>
          <w:jc w:val="center"/>
        </w:trPr>
        <w:tc>
          <w:tcPr>
            <w:tcW w:w="2551" w:type="dxa"/>
          </w:tcPr>
          <w:p w:rsidR="00505632" w:rsidRDefault="00505632" w:rsidP="00AD4E52">
            <w:pPr>
              <w:pStyle w:val="CellColumn"/>
              <w:jc w:val="left"/>
            </w:pPr>
            <w:r>
              <w:rPr>
                <w:rFonts w:cs="Times New Roman"/>
              </w:rPr>
              <w:t>Postotak implementacije standarda upravljanja kvalitetom u pružanju usluga javne uprave (kumulativ)</w:t>
            </w:r>
          </w:p>
        </w:tc>
        <w:tc>
          <w:tcPr>
            <w:tcW w:w="2551" w:type="dxa"/>
          </w:tcPr>
          <w:p w:rsidR="00505632" w:rsidRDefault="00505632" w:rsidP="00AD4E52">
            <w:pPr>
              <w:pStyle w:val="CellColumn"/>
              <w:jc w:val="left"/>
            </w:pPr>
            <w:r>
              <w:rPr>
                <w:rFonts w:cs="Times New Roman"/>
              </w:rPr>
              <w:t>Stupanj provedenih aktivnosti u odnosu na planirane godišnje obveze iz Strategije razvoja javne uprave za razdoblje od 2015. do 2020. godine (Mjera 5.1. Implementirati standarde upravljanja kvalitetom u pružanju usluga javne uprave)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DZIV</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Nije primjenjivo (Strategija nije implementirana)</w:t>
            </w:r>
          </w:p>
        </w:tc>
      </w:tr>
      <w:tr w:rsidR="00505632" w:rsidTr="00AD4E52">
        <w:trPr>
          <w:jc w:val="center"/>
        </w:trPr>
        <w:tc>
          <w:tcPr>
            <w:tcW w:w="2551" w:type="dxa"/>
          </w:tcPr>
          <w:p w:rsidR="00505632" w:rsidRDefault="00505632" w:rsidP="00AD4E52">
            <w:pPr>
              <w:pStyle w:val="CellColumn"/>
              <w:jc w:val="left"/>
            </w:pPr>
            <w:r>
              <w:rPr>
                <w:rFonts w:cs="Times New Roman"/>
              </w:rPr>
              <w:t>Postotak zakonodavnih aktivnosti u području autorskih i srodnih prava provedenih u planiranom roku (godišnje)</w:t>
            </w:r>
          </w:p>
        </w:tc>
        <w:tc>
          <w:tcPr>
            <w:tcW w:w="2551" w:type="dxa"/>
          </w:tcPr>
          <w:p w:rsidR="00505632" w:rsidRDefault="00505632" w:rsidP="00AD4E52">
            <w:pPr>
              <w:pStyle w:val="CellColumn"/>
              <w:jc w:val="left"/>
            </w:pPr>
            <w:r>
              <w:rPr>
                <w:rFonts w:cs="Times New Roman"/>
              </w:rPr>
              <w:t>Zakonodavne i stručne aktivnosti na provedbi obveza koje proizlaze iz članstva u Europskoj uniji provedeno sukladno planiranoj dinamici</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DZIV</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90</w:t>
            </w:r>
          </w:p>
        </w:tc>
      </w:tr>
      <w:tr w:rsidR="00505632" w:rsidTr="00AD4E52">
        <w:trPr>
          <w:jc w:val="center"/>
        </w:trPr>
        <w:tc>
          <w:tcPr>
            <w:tcW w:w="2551" w:type="dxa"/>
          </w:tcPr>
          <w:p w:rsidR="00505632" w:rsidRDefault="00505632" w:rsidP="00AD4E52">
            <w:pPr>
              <w:pStyle w:val="CellColumn"/>
              <w:jc w:val="left"/>
            </w:pPr>
            <w:r>
              <w:rPr>
                <w:rFonts w:cs="Times New Roman"/>
              </w:rPr>
              <w:t>Provedene nove aktivnosti usmjerene na povećanje stupnja korištenja zaštite i primjene intelektualnog vlasništva u sektoru malog i srednjeg poduzetništva (godišnje)</w:t>
            </w:r>
          </w:p>
        </w:tc>
        <w:tc>
          <w:tcPr>
            <w:tcW w:w="2551" w:type="dxa"/>
          </w:tcPr>
          <w:p w:rsidR="00505632" w:rsidRDefault="00505632" w:rsidP="00AD4E52">
            <w:pPr>
              <w:pStyle w:val="CellColumn"/>
              <w:jc w:val="left"/>
            </w:pPr>
            <w:r>
              <w:rPr>
                <w:rFonts w:cs="Times New Roman"/>
              </w:rPr>
              <w:t>Provedene aktivnosti u odnosu na planirane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DZIV</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82</w:t>
            </w:r>
          </w:p>
        </w:tc>
      </w:tr>
      <w:tr w:rsidR="00505632" w:rsidTr="00AD4E52">
        <w:trPr>
          <w:jc w:val="center"/>
        </w:trPr>
        <w:tc>
          <w:tcPr>
            <w:tcW w:w="2551" w:type="dxa"/>
          </w:tcPr>
          <w:p w:rsidR="00505632" w:rsidRDefault="00505632" w:rsidP="00AD4E52">
            <w:pPr>
              <w:pStyle w:val="CellColumn"/>
              <w:jc w:val="left"/>
            </w:pPr>
            <w:r>
              <w:rPr>
                <w:rFonts w:cs="Times New Roman"/>
              </w:rPr>
              <w:t>Broj provedenih novih  suradničkih aktivnosti na podizanju razine javne svijesti o poštivanju prava intelektualnog vlasništva</w:t>
            </w:r>
          </w:p>
        </w:tc>
        <w:tc>
          <w:tcPr>
            <w:tcW w:w="2551" w:type="dxa"/>
          </w:tcPr>
          <w:p w:rsidR="00505632" w:rsidRDefault="00505632" w:rsidP="00AD4E52">
            <w:pPr>
              <w:pStyle w:val="CellColumn"/>
              <w:jc w:val="left"/>
            </w:pPr>
            <w:r>
              <w:rPr>
                <w:rFonts w:cs="Times New Roman"/>
              </w:rPr>
              <w:t>Nove suradničke aktivnosti između DZIV-a i tijela za provedbu prava intelektualnog vlasništva na podizanju razine javne svijesti o poštivanju prava intelektualnog vlasništva pridonijeti će smanjenju broja povreda prava.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DZIV</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4</w:t>
            </w:r>
          </w:p>
        </w:tc>
      </w:tr>
    </w:tbl>
    <w:p w:rsidR="00505632" w:rsidRDefault="00505632" w:rsidP="00505632">
      <w:pPr>
        <w:jc w:val="left"/>
      </w:pPr>
    </w:p>
    <w:p w:rsidR="00505632" w:rsidRDefault="00505632" w:rsidP="00505632">
      <w:pPr>
        <w:pStyle w:val="Heading4"/>
      </w:pPr>
      <w:r>
        <w:t>K763001 INFORMATIZACIJA ZAVODA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K763001-INFORMATIZACIJA ZAVODA</w:t>
            </w:r>
          </w:p>
        </w:tc>
        <w:tc>
          <w:tcPr>
            <w:tcW w:w="2041" w:type="dxa"/>
          </w:tcPr>
          <w:p w:rsidR="00505632" w:rsidRDefault="00505632" w:rsidP="00AD4E52">
            <w:pPr>
              <w:pStyle w:val="CellColumn"/>
              <w:jc w:val="right"/>
            </w:pPr>
            <w:r>
              <w:rPr>
                <w:rFonts w:cs="Times New Roman"/>
              </w:rPr>
              <w:t>832.193</w:t>
            </w:r>
          </w:p>
        </w:tc>
        <w:tc>
          <w:tcPr>
            <w:tcW w:w="2041" w:type="dxa"/>
          </w:tcPr>
          <w:p w:rsidR="00505632" w:rsidRDefault="00505632" w:rsidP="00AD4E52">
            <w:pPr>
              <w:pStyle w:val="CellColumn"/>
              <w:jc w:val="right"/>
            </w:pPr>
            <w:r>
              <w:rPr>
                <w:rFonts w:cs="Times New Roman"/>
              </w:rPr>
              <w:t>389.000</w:t>
            </w:r>
          </w:p>
        </w:tc>
        <w:tc>
          <w:tcPr>
            <w:tcW w:w="2041" w:type="dxa"/>
          </w:tcPr>
          <w:p w:rsidR="00505632" w:rsidRDefault="00505632" w:rsidP="00AD4E52">
            <w:pPr>
              <w:pStyle w:val="CellColumn"/>
              <w:jc w:val="right"/>
            </w:pPr>
            <w:r>
              <w:rPr>
                <w:rFonts w:cs="Times New Roman"/>
              </w:rPr>
              <w:t>386.931</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46,5</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Projekt Informatizacija Zavoda usmjeren je na održavanje i razvoj prateće informacijske i mrežne infrastrukture kao jednog od osnovnih preduvjeta za provedbu postupaka zaštite industrijskog vlasništva, razvoja pratećih e-usluga te odgovarajuću razmjenu podataka s međunarodnim i europskim sustavima zaštite intelektualnog vlasništva i uključivanja u zajedničke informacijske sustave i servise. U 2016. godini program se u najznačajnijoj mjeri odnosio na dovršetak migracije preostalog dijela informacijskog sustava na novu programsku platformu temeljenu na tzv. open source programskoj osnovi, te kontinuirano obnavljanje softverske i hardverske infrastrukture.</w:t>
      </w:r>
    </w:p>
    <w:p w:rsidR="00505632" w:rsidRDefault="00505632" w:rsidP="00505632">
      <w:pPr>
        <w:pStyle w:val="Heading4"/>
      </w:pPr>
      <w:r>
        <w:t>T763005 SURADNJA DZIV-a S EUROPSKIM UREDOM ZA ŽIGOVE I DIZAJN</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T763005-SURADNJA DZIV-a S EUROPSKIM UREDOM ZA ŽIGOVE I DIZAJN</w:t>
            </w:r>
          </w:p>
        </w:tc>
        <w:tc>
          <w:tcPr>
            <w:tcW w:w="2041" w:type="dxa"/>
          </w:tcPr>
          <w:p w:rsidR="00505632" w:rsidRDefault="00505632" w:rsidP="00AD4E52">
            <w:pPr>
              <w:pStyle w:val="CellColumn"/>
              <w:jc w:val="right"/>
            </w:pPr>
            <w:r>
              <w:rPr>
                <w:rFonts w:cs="Times New Roman"/>
              </w:rPr>
              <w:t>603.753</w:t>
            </w:r>
          </w:p>
        </w:tc>
        <w:tc>
          <w:tcPr>
            <w:tcW w:w="2041" w:type="dxa"/>
          </w:tcPr>
          <w:p w:rsidR="00505632" w:rsidRDefault="00505632" w:rsidP="00AD4E52">
            <w:pPr>
              <w:pStyle w:val="CellColumn"/>
              <w:jc w:val="right"/>
            </w:pPr>
            <w:r>
              <w:rPr>
                <w:rFonts w:cs="Times New Roman"/>
              </w:rPr>
              <w:t>1.060.000</w:t>
            </w:r>
          </w:p>
        </w:tc>
        <w:tc>
          <w:tcPr>
            <w:tcW w:w="2041" w:type="dxa"/>
          </w:tcPr>
          <w:p w:rsidR="00505632" w:rsidRDefault="00505632" w:rsidP="00AD4E52">
            <w:pPr>
              <w:pStyle w:val="CellColumn"/>
              <w:jc w:val="right"/>
            </w:pPr>
            <w:r>
              <w:rPr>
                <w:rFonts w:cs="Times New Roman"/>
              </w:rPr>
              <w:t>1.005.276</w:t>
            </w:r>
          </w:p>
        </w:tc>
        <w:tc>
          <w:tcPr>
            <w:tcW w:w="1224" w:type="dxa"/>
          </w:tcPr>
          <w:p w:rsidR="00505632" w:rsidRDefault="00505632" w:rsidP="00AD4E52">
            <w:pPr>
              <w:pStyle w:val="CellColumn"/>
              <w:jc w:val="right"/>
            </w:pPr>
            <w:r>
              <w:rPr>
                <w:rFonts w:cs="Times New Roman"/>
              </w:rPr>
              <w:t>94,8</w:t>
            </w:r>
          </w:p>
        </w:tc>
        <w:tc>
          <w:tcPr>
            <w:tcW w:w="1224" w:type="dxa"/>
          </w:tcPr>
          <w:p w:rsidR="00505632" w:rsidRDefault="00505632" w:rsidP="00AD4E52">
            <w:pPr>
              <w:pStyle w:val="CellColumn"/>
              <w:jc w:val="right"/>
            </w:pPr>
            <w:r>
              <w:rPr>
                <w:rFonts w:cs="Times New Roman"/>
              </w:rPr>
              <w:t>166,5</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Temeljem posebnih ugovora o suradnji Europskog ureda za žigove i dizajn (novi naziv: Ured Europske unije za intelektualno vlasništvo - EUIPO) i Državnog zavoda za intelektualno vlasništvo provođeni su raznovrsni projekti i aktivnosti s ciljem harmonizacije informacijskog sustava, postupaka registracije žigova i industrijskog dizajna, te stručnih usluga i aktivnosti DZIV-a s europskim sustavom zaštite žigova i dizajna, uključujući projekte na unaprjeđenju sustava provedbe prava intelektualnog vlasništva.</w:t>
      </w:r>
    </w:p>
    <w:p w:rsidR="00505632" w:rsidRDefault="00505632" w:rsidP="00505632">
      <w:pPr>
        <w:pStyle w:val="Heading3"/>
      </w:pPr>
      <w:r>
        <w:rPr>
          <w:rFonts w:cs="Times New Roman"/>
        </w:rPr>
        <w:t>21836 Nacionalna i sveučilišna knjižnica</w:t>
      </w:r>
    </w:p>
    <w:p w:rsidR="00505632" w:rsidRDefault="00505632" w:rsidP="00505632">
      <w:r>
        <w:t>Nacionalna i sveučilišna knjižnica u Zagrebu javna je ustanova od nacionalnog značenja koja obavlja knjižničnu i informacijsku djelatnost nacionalne knjižnice Republike Hrvatske i središnje knjižnice Sveučilišta u Zagrebu. Kao nacionalna knjižnica vodeća je ustanova takvog tipa u zemlji te svojom djelatnošću razvija odnose kako sa ostalim knjižnicama u Republici Hrvatskoj tako i s ostalim knjižnicama diljem svijeta. Knjižnica obavlja i znanstveno-istraživačku i razvojnu djelatnost radi unapređivanja hrvatskog knjižničarstva te izgradnje i razvoja hrvatskog knjižničnog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21836-Nacionalna i sveučilišna knjižnica</w:t>
            </w:r>
          </w:p>
        </w:tc>
        <w:tc>
          <w:tcPr>
            <w:tcW w:w="2041" w:type="dxa"/>
          </w:tcPr>
          <w:p w:rsidR="00505632" w:rsidRDefault="00505632" w:rsidP="00AD4E52">
            <w:pPr>
              <w:pStyle w:val="CellColumn"/>
              <w:jc w:val="right"/>
            </w:pPr>
            <w:r>
              <w:rPr>
                <w:rFonts w:cs="Times New Roman"/>
              </w:rPr>
              <w:t>48.349.213</w:t>
            </w:r>
          </w:p>
        </w:tc>
        <w:tc>
          <w:tcPr>
            <w:tcW w:w="2041" w:type="dxa"/>
          </w:tcPr>
          <w:p w:rsidR="00505632" w:rsidRDefault="00505632" w:rsidP="00AD4E52">
            <w:pPr>
              <w:pStyle w:val="CellColumn"/>
              <w:jc w:val="right"/>
            </w:pPr>
            <w:r>
              <w:rPr>
                <w:rFonts w:cs="Times New Roman"/>
              </w:rPr>
              <w:t>79.245.761</w:t>
            </w:r>
          </w:p>
        </w:tc>
        <w:tc>
          <w:tcPr>
            <w:tcW w:w="2041" w:type="dxa"/>
          </w:tcPr>
          <w:p w:rsidR="00505632" w:rsidRDefault="00505632" w:rsidP="00AD4E52">
            <w:pPr>
              <w:pStyle w:val="CellColumn"/>
              <w:jc w:val="right"/>
            </w:pPr>
            <w:r>
              <w:rPr>
                <w:rFonts w:cs="Times New Roman"/>
              </w:rPr>
              <w:t>77.647.494</w:t>
            </w:r>
          </w:p>
        </w:tc>
        <w:tc>
          <w:tcPr>
            <w:tcW w:w="1224" w:type="dxa"/>
          </w:tcPr>
          <w:p w:rsidR="00505632" w:rsidRDefault="00505632" w:rsidP="00AD4E52">
            <w:pPr>
              <w:pStyle w:val="CellColumn"/>
              <w:jc w:val="right"/>
            </w:pPr>
            <w:r>
              <w:rPr>
                <w:rFonts w:cs="Times New Roman"/>
              </w:rPr>
              <w:t>98,0</w:t>
            </w:r>
          </w:p>
        </w:tc>
        <w:tc>
          <w:tcPr>
            <w:tcW w:w="1224" w:type="dxa"/>
          </w:tcPr>
          <w:p w:rsidR="00505632" w:rsidRDefault="00505632" w:rsidP="00AD4E52">
            <w:pPr>
              <w:pStyle w:val="CellColumn"/>
              <w:jc w:val="right"/>
            </w:pPr>
            <w:r>
              <w:rPr>
                <w:rFonts w:cs="Times New Roman"/>
              </w:rPr>
              <w:t>160,6</w:t>
            </w:r>
          </w:p>
        </w:tc>
      </w:tr>
      <w:tr w:rsidR="00505632" w:rsidTr="00AD4E52">
        <w:trPr>
          <w:jc w:val="center"/>
        </w:trPr>
        <w:tc>
          <w:tcPr>
            <w:tcW w:w="1632" w:type="dxa"/>
          </w:tcPr>
          <w:p w:rsidR="00505632" w:rsidRDefault="00505632" w:rsidP="00AD4E52">
            <w:pPr>
              <w:jc w:val="left"/>
            </w:pPr>
            <w:r>
              <w:t>3801-ULAGANJE U ZNANSTVENO ISTRAŽIVAČKU DJELATNOST</w:t>
            </w:r>
          </w:p>
        </w:tc>
        <w:tc>
          <w:tcPr>
            <w:tcW w:w="2041" w:type="dxa"/>
          </w:tcPr>
          <w:p w:rsidR="00505632" w:rsidRDefault="00505632" w:rsidP="00AD4E52">
            <w:pPr>
              <w:jc w:val="right"/>
            </w:pPr>
            <w:r>
              <w:t>48.349.213</w:t>
            </w:r>
          </w:p>
        </w:tc>
        <w:tc>
          <w:tcPr>
            <w:tcW w:w="2041" w:type="dxa"/>
          </w:tcPr>
          <w:p w:rsidR="00505632" w:rsidRDefault="00505632" w:rsidP="00AD4E52">
            <w:pPr>
              <w:jc w:val="right"/>
            </w:pPr>
            <w:r>
              <w:t>79.245.761</w:t>
            </w:r>
          </w:p>
        </w:tc>
        <w:tc>
          <w:tcPr>
            <w:tcW w:w="2041" w:type="dxa"/>
          </w:tcPr>
          <w:p w:rsidR="00505632" w:rsidRDefault="00505632" w:rsidP="00AD4E52">
            <w:pPr>
              <w:jc w:val="right"/>
            </w:pPr>
            <w:r>
              <w:t>77.647.494</w:t>
            </w:r>
          </w:p>
        </w:tc>
        <w:tc>
          <w:tcPr>
            <w:tcW w:w="1224" w:type="dxa"/>
          </w:tcPr>
          <w:p w:rsidR="00505632" w:rsidRDefault="00505632" w:rsidP="00AD4E52">
            <w:pPr>
              <w:jc w:val="right"/>
            </w:pPr>
            <w:r>
              <w:t>98,0</w:t>
            </w:r>
          </w:p>
        </w:tc>
        <w:tc>
          <w:tcPr>
            <w:tcW w:w="1224" w:type="dxa"/>
          </w:tcPr>
          <w:p w:rsidR="00505632" w:rsidRDefault="00505632" w:rsidP="00AD4E52">
            <w:pPr>
              <w:jc w:val="right"/>
            </w:pPr>
            <w:r>
              <w:t>160,6</w:t>
            </w:r>
          </w:p>
        </w:tc>
      </w:tr>
    </w:tbl>
    <w:p w:rsidR="00505632" w:rsidRDefault="00505632" w:rsidP="00505632">
      <w:pPr>
        <w:jc w:val="left"/>
      </w:pPr>
    </w:p>
    <w:p w:rsidR="00505632" w:rsidRDefault="00505632" w:rsidP="00505632">
      <w:pPr>
        <w:pStyle w:val="Heading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3801-ULAGANJE U ZNANSTVENO ISTRAŽIVAČKU DJELATNOST</w:t>
            </w:r>
          </w:p>
        </w:tc>
        <w:tc>
          <w:tcPr>
            <w:tcW w:w="2041" w:type="dxa"/>
          </w:tcPr>
          <w:p w:rsidR="00505632" w:rsidRDefault="00505632" w:rsidP="00AD4E52">
            <w:pPr>
              <w:pStyle w:val="CellColumn"/>
              <w:jc w:val="right"/>
            </w:pPr>
            <w:r>
              <w:rPr>
                <w:rFonts w:cs="Times New Roman"/>
              </w:rPr>
              <w:t>48.349.213</w:t>
            </w:r>
          </w:p>
        </w:tc>
        <w:tc>
          <w:tcPr>
            <w:tcW w:w="2041" w:type="dxa"/>
          </w:tcPr>
          <w:p w:rsidR="00505632" w:rsidRDefault="00505632" w:rsidP="00AD4E52">
            <w:pPr>
              <w:pStyle w:val="CellColumn"/>
              <w:jc w:val="right"/>
            </w:pPr>
            <w:r>
              <w:rPr>
                <w:rFonts w:cs="Times New Roman"/>
              </w:rPr>
              <w:t>79.245.761</w:t>
            </w:r>
          </w:p>
        </w:tc>
        <w:tc>
          <w:tcPr>
            <w:tcW w:w="2041" w:type="dxa"/>
          </w:tcPr>
          <w:p w:rsidR="00505632" w:rsidRDefault="00505632" w:rsidP="00AD4E52">
            <w:pPr>
              <w:pStyle w:val="CellColumn"/>
              <w:jc w:val="right"/>
            </w:pPr>
            <w:r>
              <w:rPr>
                <w:rFonts w:cs="Times New Roman"/>
              </w:rPr>
              <w:t>77.647.494</w:t>
            </w:r>
          </w:p>
        </w:tc>
        <w:tc>
          <w:tcPr>
            <w:tcW w:w="1224" w:type="dxa"/>
          </w:tcPr>
          <w:p w:rsidR="00505632" w:rsidRDefault="00505632" w:rsidP="00AD4E52">
            <w:pPr>
              <w:pStyle w:val="CellColumn"/>
              <w:jc w:val="right"/>
            </w:pPr>
            <w:r>
              <w:rPr>
                <w:rFonts w:cs="Times New Roman"/>
              </w:rPr>
              <w:t>98,0</w:t>
            </w:r>
          </w:p>
        </w:tc>
        <w:tc>
          <w:tcPr>
            <w:tcW w:w="1224" w:type="dxa"/>
          </w:tcPr>
          <w:p w:rsidR="00505632" w:rsidRDefault="00505632" w:rsidP="00AD4E52">
            <w:pPr>
              <w:pStyle w:val="CellColumn"/>
              <w:jc w:val="right"/>
            </w:pPr>
            <w:r>
              <w:rPr>
                <w:rFonts w:cs="Times New Roman"/>
              </w:rPr>
              <w:t>160,6</w:t>
            </w:r>
          </w:p>
        </w:tc>
      </w:tr>
    </w:tbl>
    <w:p w:rsidR="00505632" w:rsidRDefault="00505632" w:rsidP="00505632">
      <w:pPr>
        <w:jc w:val="left"/>
      </w:pPr>
    </w:p>
    <w:p w:rsidR="00505632" w:rsidRDefault="00505632" w:rsidP="00505632">
      <w:pPr>
        <w:pStyle w:val="Heading8"/>
        <w:jc w:val="left"/>
      </w:pPr>
      <w:r>
        <w:t xml:space="preserve">Cilj 1. Unaprijeđena povezanost znanstvenih organizacija s gospodarstvom i društvom u cjelini </w:t>
      </w:r>
    </w:p>
    <w:p w:rsidR="00505632" w:rsidRDefault="00505632" w:rsidP="00505632">
      <w:pPr>
        <w:pStyle w:val="Heading8"/>
        <w:jc w:val="left"/>
      </w:pPr>
      <w:r>
        <w:t>Opis provedbe cilja programa</w:t>
      </w:r>
    </w:p>
    <w:p w:rsidR="00505632" w:rsidRDefault="00505632" w:rsidP="00505632">
      <w:r>
        <w:t>Posebni cilj 2.1. - Strateški plan MZO-a 2016.-2018.</w:t>
      </w:r>
    </w:p>
    <w:p w:rsidR="00505632" w:rsidRDefault="00505632" w:rsidP="00505632">
      <w:pPr>
        <w:pStyle w:val="Heading8"/>
        <w:jc w:val="left"/>
      </w:pPr>
      <w:r>
        <w:t xml:space="preserve">Cilj 2. Unaprijeđen sustav kvalitete, upravljanja i financiranja znanstvenih organizacija </w:t>
      </w:r>
    </w:p>
    <w:p w:rsidR="00505632" w:rsidRDefault="00505632" w:rsidP="00505632">
      <w:pPr>
        <w:pStyle w:val="Heading8"/>
        <w:jc w:val="left"/>
      </w:pPr>
      <w:r>
        <w:t>Opis provedbe cilja programa</w:t>
      </w:r>
    </w:p>
    <w:p w:rsidR="00505632" w:rsidRDefault="00505632" w:rsidP="00505632">
      <w:r>
        <w:t>(Posebni cilj 2.4. - Strateški plan MZO-a 2016.-2018.)</w:t>
      </w:r>
    </w:p>
    <w:p w:rsidR="00505632" w:rsidRDefault="00505632" w:rsidP="00505632">
      <w:pPr>
        <w:pStyle w:val="Heading4"/>
      </w:pPr>
      <w:r>
        <w:t>A622017 ADMINISTRACIJA I UPRAVLJANJE NACIONALNE SVEUČILIŠNE KNJIŽNICE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A622017-ADMINISTRACIJA I UPRAVLJANJE NACIONALNE SVEUČILIŠNE KNJIŽNICE</w:t>
            </w:r>
          </w:p>
        </w:tc>
        <w:tc>
          <w:tcPr>
            <w:tcW w:w="2041" w:type="dxa"/>
          </w:tcPr>
          <w:p w:rsidR="00505632" w:rsidRDefault="00505632" w:rsidP="00AD4E52">
            <w:pPr>
              <w:pStyle w:val="CellColumn"/>
              <w:jc w:val="right"/>
            </w:pPr>
            <w:r>
              <w:rPr>
                <w:rFonts w:cs="Times New Roman"/>
              </w:rPr>
              <w:t>47.779.917</w:t>
            </w:r>
          </w:p>
        </w:tc>
        <w:tc>
          <w:tcPr>
            <w:tcW w:w="2041" w:type="dxa"/>
          </w:tcPr>
          <w:p w:rsidR="00505632" w:rsidRDefault="00505632" w:rsidP="00AD4E52">
            <w:pPr>
              <w:pStyle w:val="CellColumn"/>
              <w:jc w:val="right"/>
            </w:pPr>
            <w:r>
              <w:rPr>
                <w:rFonts w:cs="Times New Roman"/>
              </w:rPr>
              <w:t>50.699.253</w:t>
            </w:r>
          </w:p>
        </w:tc>
        <w:tc>
          <w:tcPr>
            <w:tcW w:w="2041" w:type="dxa"/>
          </w:tcPr>
          <w:p w:rsidR="00505632" w:rsidRDefault="00505632" w:rsidP="00AD4E52">
            <w:pPr>
              <w:pStyle w:val="CellColumn"/>
              <w:jc w:val="right"/>
            </w:pPr>
            <w:r>
              <w:rPr>
                <w:rFonts w:cs="Times New Roman"/>
              </w:rPr>
              <w:t>50.012.164</w:t>
            </w:r>
          </w:p>
        </w:tc>
        <w:tc>
          <w:tcPr>
            <w:tcW w:w="1224" w:type="dxa"/>
          </w:tcPr>
          <w:p w:rsidR="00505632" w:rsidRDefault="00505632" w:rsidP="00AD4E52">
            <w:pPr>
              <w:pStyle w:val="CellColumn"/>
              <w:jc w:val="right"/>
            </w:pPr>
            <w:r>
              <w:rPr>
                <w:rFonts w:cs="Times New Roman"/>
              </w:rPr>
              <w:t>98,6</w:t>
            </w:r>
          </w:p>
        </w:tc>
        <w:tc>
          <w:tcPr>
            <w:tcW w:w="1224" w:type="dxa"/>
          </w:tcPr>
          <w:p w:rsidR="00505632" w:rsidRDefault="00505632" w:rsidP="00AD4E52">
            <w:pPr>
              <w:pStyle w:val="CellColumn"/>
              <w:jc w:val="right"/>
            </w:pPr>
            <w:r>
              <w:rPr>
                <w:rFonts w:cs="Times New Roman"/>
              </w:rPr>
              <w:t>104,7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Zakon o knjižnicama</w:t>
      </w:r>
    </w:p>
    <w:p w:rsidR="00505632" w:rsidRDefault="00505632" w:rsidP="00505632">
      <w:pPr>
        <w:pStyle w:val="Heading8"/>
        <w:jc w:val="left"/>
      </w:pPr>
      <w:r>
        <w:t>Opis aktivnosti</w:t>
      </w:r>
    </w:p>
    <w:p w:rsidR="00505632" w:rsidRDefault="00505632" w:rsidP="00505632">
      <w:r>
        <w:t>Sredstvima ove aktivnosti financirani su osnovni materijalni troškovi ("hladni pogon") redovitog poslovanja Knjižnice i to u vrlo velikom, mada nedostatnom iznosu iz razloga što Knjižnica raspolaže s veoma malim dijelom vlastitih sredstava (prihoda) koje ostvaruje obavljanjem svoje osnovne djelatnosti, kao i plaće i ostali rashodi (materijalna prava te prijevoz na posao i s posla) za 308 zaposlenika. Navedeno financiranje omogućuje obavljanje njezine osnovne knjižnične i informacijske djelatnosti nacionalne knjižnice Republike Hrvatske i središnje knjižnice Sveučilišta u Zagrebu.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popularizacijskih aktivnosti</w:t>
            </w:r>
          </w:p>
        </w:tc>
        <w:tc>
          <w:tcPr>
            <w:tcW w:w="2551" w:type="dxa"/>
          </w:tcPr>
          <w:p w:rsidR="00505632" w:rsidRDefault="00505632" w:rsidP="00AD4E52">
            <w:pPr>
              <w:pStyle w:val="CellColumn"/>
              <w:jc w:val="left"/>
            </w:pPr>
            <w:r>
              <w:rPr>
                <w:rFonts w:cs="Times New Roman"/>
              </w:rPr>
              <w:t>Broj aktivnosti koje provode znanstvene organizacije s ciljem popularizacije znanosti, tehnologije i inovacija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2.866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2.420</w:t>
            </w:r>
          </w:p>
        </w:tc>
        <w:tc>
          <w:tcPr>
            <w:tcW w:w="1020" w:type="dxa"/>
          </w:tcPr>
          <w:p w:rsidR="00505632" w:rsidRDefault="00505632" w:rsidP="00AD4E52">
            <w:pPr>
              <w:pStyle w:val="CellColumn"/>
              <w:jc w:val="right"/>
            </w:pPr>
            <w:r>
              <w:rPr>
                <w:rFonts w:cs="Times New Roman"/>
              </w:rPr>
              <w:t>6.738</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A622131 NABAVA INOZEMNIH ZNANSTVENIH ČASOPISA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A622131-NABAVA INOZEMNIH ZNANSTVENIH ČASOPISA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27.971.904</w:t>
            </w:r>
          </w:p>
        </w:tc>
        <w:tc>
          <w:tcPr>
            <w:tcW w:w="2041" w:type="dxa"/>
          </w:tcPr>
          <w:p w:rsidR="00505632" w:rsidRDefault="00505632" w:rsidP="00AD4E52">
            <w:pPr>
              <w:pStyle w:val="CellColumn"/>
              <w:jc w:val="right"/>
            </w:pPr>
            <w:r>
              <w:rPr>
                <w:rFonts w:cs="Times New Roman"/>
              </w:rPr>
              <w:t>27.297.154</w:t>
            </w:r>
          </w:p>
        </w:tc>
        <w:tc>
          <w:tcPr>
            <w:tcW w:w="1224" w:type="dxa"/>
          </w:tcPr>
          <w:p w:rsidR="00505632" w:rsidRDefault="00505632" w:rsidP="00AD4E52">
            <w:pPr>
              <w:pStyle w:val="CellColumn"/>
              <w:jc w:val="right"/>
            </w:pPr>
            <w:r>
              <w:rPr>
                <w:rFonts w:cs="Times New Roman"/>
              </w:rPr>
              <w:t>97,6</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knjižnicama </w:t>
      </w:r>
    </w:p>
    <w:p w:rsidR="00505632" w:rsidRDefault="00505632" w:rsidP="00505632">
      <w:r>
        <w:t xml:space="preserve">Operativni program Učinkoviti ljudski potencijali 2014.-2020. </w:t>
      </w:r>
    </w:p>
    <w:p w:rsidR="00505632" w:rsidRDefault="00505632" w:rsidP="00505632">
      <w:r>
        <w:t>Strategija obrazovanja, znanosti i tehnologije 2014. - 2020.</w:t>
      </w:r>
    </w:p>
    <w:p w:rsidR="00505632" w:rsidRDefault="00505632" w:rsidP="00505632">
      <w:pPr>
        <w:pStyle w:val="Heading8"/>
        <w:jc w:val="left"/>
      </w:pPr>
      <w:r>
        <w:t>Opis aktivnosti</w:t>
      </w:r>
    </w:p>
    <w:p w:rsidR="00505632" w:rsidRDefault="00505632" w:rsidP="00505632">
      <w:r>
        <w:t>Sredstvima s ove aktivnosti financira se pristup ključnim inozemnim znanstvenim bazama podataka i časopisima u elektroničkom obliku za sveučilišne knjižnice i knjižnice znanstvenih i visokoškolskih ustanova u Republici Hrvatskoj, s ciljem osiguranja znanstvenoj i akademskoj zajednici neometanog i kvalitetnog pristupa bazama i časopisima u svrhu povećanja međunarodne vidljivosti znanstvenika i njihovih znanstvenih rezultata. Sredstva su preko projekta „Povećanje pristupa elektroničkim izvorima znanstvenih i stručnih informacija - e-Izvori“  ukupne vrijednosti 133.760.000 kuna na ograničenom pozivu u 2016. godini dodijeljena Nacionalnoj i sveučilišnoj knjižnici u Zagrebu. Kroz planiranih pet godina trajanja projekta (2016.-2020.) 85% sredstava povući će se iz ESF fonda, dok 15% sredstava predstavlja nacionalno sufinanciranje. U 2016. godini nabavile su se znanstvene baze podataka i znanstveni časopisi u elektroničkom obliku od sedam inozemnih dobavljača.</w:t>
      </w:r>
    </w:p>
    <w:p w:rsidR="00505632" w:rsidRDefault="00505632" w:rsidP="00505632">
      <w:pPr>
        <w:pStyle w:val="Heading4"/>
      </w:pPr>
      <w:r>
        <w:t>K622116 KNJIGE, UMJETNIČKA DJELA I OSTALE IZLOŽBENE VRIJEDNOSTI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K622116-KNJIGE, UMJETNIČKA DJELA I OSTALE IZLOŽBENE VRIJEDNOSTI</w:t>
            </w:r>
          </w:p>
        </w:tc>
        <w:tc>
          <w:tcPr>
            <w:tcW w:w="2041" w:type="dxa"/>
          </w:tcPr>
          <w:p w:rsidR="00505632" w:rsidRDefault="00505632" w:rsidP="00AD4E52">
            <w:pPr>
              <w:pStyle w:val="CellColumn"/>
              <w:jc w:val="right"/>
            </w:pPr>
            <w:r>
              <w:rPr>
                <w:rFonts w:cs="Times New Roman"/>
              </w:rPr>
              <w:t>569.296</w:t>
            </w:r>
          </w:p>
        </w:tc>
        <w:tc>
          <w:tcPr>
            <w:tcW w:w="2041" w:type="dxa"/>
          </w:tcPr>
          <w:p w:rsidR="00505632" w:rsidRDefault="00505632" w:rsidP="00AD4E52">
            <w:pPr>
              <w:pStyle w:val="CellColumn"/>
              <w:jc w:val="right"/>
            </w:pPr>
            <w:r>
              <w:rPr>
                <w:rFonts w:cs="Times New Roman"/>
              </w:rPr>
              <w:t>574.604</w:t>
            </w:r>
          </w:p>
        </w:tc>
        <w:tc>
          <w:tcPr>
            <w:tcW w:w="2041" w:type="dxa"/>
          </w:tcPr>
          <w:p w:rsidR="00505632" w:rsidRDefault="00505632" w:rsidP="00AD4E52">
            <w:pPr>
              <w:pStyle w:val="CellColumn"/>
              <w:jc w:val="right"/>
            </w:pPr>
            <w:r>
              <w:rPr>
                <w:rFonts w:cs="Times New Roman"/>
              </w:rPr>
              <w:t>338.176</w:t>
            </w:r>
          </w:p>
        </w:tc>
        <w:tc>
          <w:tcPr>
            <w:tcW w:w="1224" w:type="dxa"/>
          </w:tcPr>
          <w:p w:rsidR="00505632" w:rsidRDefault="00505632" w:rsidP="00AD4E52">
            <w:pPr>
              <w:pStyle w:val="CellColumn"/>
              <w:jc w:val="right"/>
            </w:pPr>
            <w:r>
              <w:rPr>
                <w:rFonts w:cs="Times New Roman"/>
              </w:rPr>
              <w:t>58,9</w:t>
            </w:r>
          </w:p>
        </w:tc>
        <w:tc>
          <w:tcPr>
            <w:tcW w:w="1224" w:type="dxa"/>
          </w:tcPr>
          <w:p w:rsidR="00505632" w:rsidRDefault="00505632" w:rsidP="00AD4E52">
            <w:pPr>
              <w:pStyle w:val="CellColumn"/>
              <w:jc w:val="right"/>
            </w:pPr>
            <w:r>
              <w:rPr>
                <w:rFonts w:cs="Times New Roman"/>
              </w:rPr>
              <w:t>59,4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znanstvenoj djelatnosti i visokom obrazovanju </w:t>
      </w:r>
    </w:p>
    <w:p w:rsidR="00505632" w:rsidRDefault="00505632" w:rsidP="00505632">
      <w:r>
        <w:t>Zakon o knjižnicama</w:t>
      </w:r>
    </w:p>
    <w:p w:rsidR="00505632" w:rsidRDefault="00505632" w:rsidP="00505632">
      <w:pPr>
        <w:pStyle w:val="Heading8"/>
        <w:jc w:val="left"/>
      </w:pPr>
      <w:r>
        <w:t>Opis aktivnosti</w:t>
      </w:r>
    </w:p>
    <w:p w:rsidR="00505632" w:rsidRDefault="00505632" w:rsidP="00505632">
      <w:r>
        <w:t>Nacionalna i sveučilišna knjižnica u Zagrebu sistematski prikuplja, obrađuje, pohranjuje i zaštićuje knjižničnu građu te se financijska sredstva s ove aktivnosti temelje na potrebama nadoknade zaostataka u obnovi knjižničnog fonda. Obnovom knjižne građe Knjižnica ispunjava i svoju zadaću definiranu Zakonom o knjižnicama,a  to je da predstavlja središnju nacionalnu knjižnicu i knjižnicu Sveučilišta u Zagrebu.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popularizacijskih aktivnosti</w:t>
            </w:r>
          </w:p>
        </w:tc>
        <w:tc>
          <w:tcPr>
            <w:tcW w:w="2551" w:type="dxa"/>
          </w:tcPr>
          <w:p w:rsidR="00505632" w:rsidRDefault="00505632" w:rsidP="00AD4E52">
            <w:pPr>
              <w:pStyle w:val="CellColumn"/>
              <w:jc w:val="left"/>
            </w:pPr>
            <w:r>
              <w:rPr>
                <w:rFonts w:cs="Times New Roman"/>
              </w:rPr>
              <w:t>Broj aktivnosti koje provode znanstvene organizacije s ciljem popularizacije znanosti, tehnologije i inovacija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2.866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2.420</w:t>
            </w:r>
          </w:p>
        </w:tc>
        <w:tc>
          <w:tcPr>
            <w:tcW w:w="1020" w:type="dxa"/>
          </w:tcPr>
          <w:p w:rsidR="00505632" w:rsidRDefault="00505632" w:rsidP="00AD4E52">
            <w:pPr>
              <w:pStyle w:val="CellColumn"/>
              <w:jc w:val="right"/>
            </w:pPr>
            <w:r>
              <w:rPr>
                <w:rFonts w:cs="Times New Roman"/>
              </w:rPr>
              <w:t>6.738</w:t>
            </w:r>
          </w:p>
        </w:tc>
      </w:tr>
    </w:tbl>
    <w:p w:rsidR="00505632" w:rsidRDefault="00505632" w:rsidP="00505632">
      <w:pPr>
        <w:jc w:val="left"/>
      </w:pPr>
    </w:p>
    <w:p w:rsidR="00505632" w:rsidRDefault="00505632" w:rsidP="00505632">
      <w:pPr>
        <w:pStyle w:val="Heading3"/>
      </w:pPr>
      <w:r>
        <w:rPr>
          <w:rFonts w:cs="Times New Roman"/>
        </w:rPr>
        <w:t>21852 Hrvatska akademska i istraživačka mreža Carnet</w:t>
      </w:r>
    </w:p>
    <w:p w:rsidR="00505632" w:rsidRDefault="00505632" w:rsidP="00505632">
      <w:r>
        <w:t>Uredbom o Hrvatskoj akademskoj i istraživačkoj mreži CARNet (NN 23/15) definirana je osnovna djelatnost CARNeta  i to je: razvoj, izgradnja i održavanje računalno-komunikacijske infrastrukture koja će povezivati obrazovne, znanstveno-istraživačke te ostale ustanove po odluci osnivača, međusobno u jedinstveni informacijski sustav, povezivanje CARNet mreže s međunarodnim mrežama, razvoj i izgradnja informacijskih čvorišta i mreža, provedba informatizacije sustava osnovnog i srednjeg obrazovanja, kroz planiranje, razvoj, organizaciju, provedbu i praćenje ključnih aspekata informatizacije, u suradnji s Ministarstvom nadležnim za obrazovanje i znanost, poslovi iz nadležnosti nacionalnog tijela za prevenciju i zaštitu od računalnih ugroza sigurnosti javnih informacijskih sustava u Republici Hrvatskoj, promocija informacijskih tehnologija, ostali poslovi iz područja informacijskih znanosti, izdavanje časopisa i periodičnih publikacija, ostala izdavačka djelatnost, pružanje savjeta o računalnoj opremi (hardware), ostale djelatnosti povezane s računalima, izrada i pribavljanje programske opreme (software), izrada i upravljanje bazama podataka, edukacija (obavljanje i organizacija edukativnih djelatnosti), projektiranje i izgradnja u području informacijskih tehnologija, projektiranje telekomunikacijskih sustava.</w:t>
      </w:r>
    </w:p>
    <w:tbl>
      <w:tblPr>
        <w:tblStyle w:val="StilTablice"/>
        <w:tblW w:w="10206" w:type="dxa"/>
        <w:jc w:val="center"/>
        <w:tblLook w:val="04A0" w:firstRow="1" w:lastRow="0" w:firstColumn="1" w:lastColumn="0" w:noHBand="0" w:noVBand="1"/>
      </w:tblPr>
      <w:tblGrid>
        <w:gridCol w:w="1859"/>
        <w:gridCol w:w="1971"/>
        <w:gridCol w:w="1978"/>
        <w:gridCol w:w="1978"/>
        <w:gridCol w:w="1206"/>
        <w:gridCol w:w="121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21852-Hrvatska akademska i istraživačka mreža Carnet</w:t>
            </w:r>
          </w:p>
        </w:tc>
        <w:tc>
          <w:tcPr>
            <w:tcW w:w="2041" w:type="dxa"/>
          </w:tcPr>
          <w:p w:rsidR="00505632" w:rsidRDefault="00505632" w:rsidP="00AD4E52">
            <w:pPr>
              <w:pStyle w:val="CellColumn"/>
              <w:jc w:val="right"/>
            </w:pPr>
            <w:r>
              <w:rPr>
                <w:rFonts w:cs="Times New Roman"/>
              </w:rPr>
              <w:t>82.307.681</w:t>
            </w:r>
          </w:p>
        </w:tc>
        <w:tc>
          <w:tcPr>
            <w:tcW w:w="2041" w:type="dxa"/>
          </w:tcPr>
          <w:p w:rsidR="00505632" w:rsidRDefault="00505632" w:rsidP="00AD4E52">
            <w:pPr>
              <w:pStyle w:val="CellColumn"/>
              <w:jc w:val="right"/>
            </w:pPr>
            <w:r>
              <w:rPr>
                <w:rFonts w:cs="Times New Roman"/>
              </w:rPr>
              <w:t>164.273.622</w:t>
            </w:r>
          </w:p>
        </w:tc>
        <w:tc>
          <w:tcPr>
            <w:tcW w:w="2041" w:type="dxa"/>
          </w:tcPr>
          <w:p w:rsidR="00505632" w:rsidRDefault="00505632" w:rsidP="00AD4E52">
            <w:pPr>
              <w:pStyle w:val="CellColumn"/>
              <w:jc w:val="right"/>
            </w:pPr>
            <w:r>
              <w:rPr>
                <w:rFonts w:cs="Times New Roman"/>
              </w:rPr>
              <w:t>149.446.893</w:t>
            </w:r>
          </w:p>
        </w:tc>
        <w:tc>
          <w:tcPr>
            <w:tcW w:w="1224" w:type="dxa"/>
          </w:tcPr>
          <w:p w:rsidR="00505632" w:rsidRDefault="00505632" w:rsidP="00AD4E52">
            <w:pPr>
              <w:pStyle w:val="CellColumn"/>
              <w:jc w:val="right"/>
            </w:pPr>
            <w:r>
              <w:rPr>
                <w:rFonts w:cs="Times New Roman"/>
              </w:rPr>
              <w:t>91,0</w:t>
            </w:r>
          </w:p>
        </w:tc>
        <w:tc>
          <w:tcPr>
            <w:tcW w:w="1224" w:type="dxa"/>
          </w:tcPr>
          <w:p w:rsidR="00505632" w:rsidRDefault="00505632" w:rsidP="00AD4E52">
            <w:pPr>
              <w:pStyle w:val="CellColumn"/>
              <w:jc w:val="right"/>
            </w:pPr>
            <w:r>
              <w:rPr>
                <w:rFonts w:cs="Times New Roman"/>
              </w:rPr>
              <w:t>181,6</w:t>
            </w:r>
          </w:p>
        </w:tc>
      </w:tr>
      <w:tr w:rsidR="00505632" w:rsidTr="00AD4E52">
        <w:trPr>
          <w:jc w:val="center"/>
        </w:trPr>
        <w:tc>
          <w:tcPr>
            <w:tcW w:w="1632" w:type="dxa"/>
          </w:tcPr>
          <w:p w:rsidR="00505632" w:rsidRDefault="00505632" w:rsidP="00AD4E52">
            <w:pPr>
              <w:jc w:val="left"/>
            </w:pPr>
            <w:r>
              <w:t>3803-RAZVOJ INFORMACIJSKOG DRUŠTVA</w:t>
            </w:r>
          </w:p>
        </w:tc>
        <w:tc>
          <w:tcPr>
            <w:tcW w:w="2041" w:type="dxa"/>
          </w:tcPr>
          <w:p w:rsidR="00505632" w:rsidRDefault="00505632" w:rsidP="00AD4E52">
            <w:pPr>
              <w:jc w:val="right"/>
            </w:pPr>
            <w:r>
              <w:t>82.307.681</w:t>
            </w:r>
          </w:p>
        </w:tc>
        <w:tc>
          <w:tcPr>
            <w:tcW w:w="2041" w:type="dxa"/>
          </w:tcPr>
          <w:p w:rsidR="00505632" w:rsidRDefault="00505632" w:rsidP="00AD4E52">
            <w:pPr>
              <w:jc w:val="right"/>
            </w:pPr>
            <w:r>
              <w:t>164.273.622</w:t>
            </w:r>
          </w:p>
        </w:tc>
        <w:tc>
          <w:tcPr>
            <w:tcW w:w="2041" w:type="dxa"/>
          </w:tcPr>
          <w:p w:rsidR="00505632" w:rsidRDefault="00505632" w:rsidP="00AD4E52">
            <w:pPr>
              <w:jc w:val="right"/>
            </w:pPr>
            <w:r>
              <w:t>149.446.893</w:t>
            </w:r>
          </w:p>
        </w:tc>
        <w:tc>
          <w:tcPr>
            <w:tcW w:w="1224" w:type="dxa"/>
          </w:tcPr>
          <w:p w:rsidR="00505632" w:rsidRDefault="00505632" w:rsidP="00AD4E52">
            <w:pPr>
              <w:jc w:val="right"/>
            </w:pPr>
            <w:r>
              <w:t>91,0</w:t>
            </w:r>
          </w:p>
        </w:tc>
        <w:tc>
          <w:tcPr>
            <w:tcW w:w="1224" w:type="dxa"/>
          </w:tcPr>
          <w:p w:rsidR="00505632" w:rsidRDefault="00505632" w:rsidP="00AD4E52">
            <w:pPr>
              <w:jc w:val="right"/>
            </w:pPr>
            <w:r>
              <w:t>181,6</w:t>
            </w:r>
          </w:p>
        </w:tc>
      </w:tr>
    </w:tbl>
    <w:p w:rsidR="00505632" w:rsidRDefault="00505632" w:rsidP="00505632">
      <w:pPr>
        <w:jc w:val="left"/>
      </w:pPr>
    </w:p>
    <w:p w:rsidR="00505632" w:rsidRDefault="00505632" w:rsidP="00505632">
      <w:pPr>
        <w:pStyle w:val="Heading3"/>
      </w:pPr>
      <w:r>
        <w:rPr>
          <w:rFonts w:cs="Times New Roman"/>
        </w:rPr>
        <w:t>3803 RAZVOJ INFORMACIJSKOG DRUŠTVA</w:t>
      </w:r>
    </w:p>
    <w:tbl>
      <w:tblPr>
        <w:tblStyle w:val="StilTablice"/>
        <w:tblW w:w="10206" w:type="dxa"/>
        <w:jc w:val="center"/>
        <w:tblLook w:val="04A0" w:firstRow="1" w:lastRow="0" w:firstColumn="1" w:lastColumn="0" w:noHBand="0" w:noVBand="1"/>
      </w:tblPr>
      <w:tblGrid>
        <w:gridCol w:w="1859"/>
        <w:gridCol w:w="1971"/>
        <w:gridCol w:w="1978"/>
        <w:gridCol w:w="1978"/>
        <w:gridCol w:w="1206"/>
        <w:gridCol w:w="121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3803-RAZVOJ INFORMACIJSKOG DRUŠTVA</w:t>
            </w:r>
          </w:p>
        </w:tc>
        <w:tc>
          <w:tcPr>
            <w:tcW w:w="2041" w:type="dxa"/>
          </w:tcPr>
          <w:p w:rsidR="00505632" w:rsidRDefault="00505632" w:rsidP="00AD4E52">
            <w:pPr>
              <w:pStyle w:val="CellColumn"/>
              <w:jc w:val="right"/>
            </w:pPr>
            <w:r>
              <w:rPr>
                <w:rFonts w:cs="Times New Roman"/>
              </w:rPr>
              <w:t>82.307.681</w:t>
            </w:r>
          </w:p>
        </w:tc>
        <w:tc>
          <w:tcPr>
            <w:tcW w:w="2041" w:type="dxa"/>
          </w:tcPr>
          <w:p w:rsidR="00505632" w:rsidRDefault="00505632" w:rsidP="00AD4E52">
            <w:pPr>
              <w:pStyle w:val="CellColumn"/>
              <w:jc w:val="right"/>
            </w:pPr>
            <w:r>
              <w:rPr>
                <w:rFonts w:cs="Times New Roman"/>
              </w:rPr>
              <w:t>164.273.622</w:t>
            </w:r>
          </w:p>
        </w:tc>
        <w:tc>
          <w:tcPr>
            <w:tcW w:w="2041" w:type="dxa"/>
          </w:tcPr>
          <w:p w:rsidR="00505632" w:rsidRDefault="00505632" w:rsidP="00AD4E52">
            <w:pPr>
              <w:pStyle w:val="CellColumn"/>
              <w:jc w:val="right"/>
            </w:pPr>
            <w:r>
              <w:rPr>
                <w:rFonts w:cs="Times New Roman"/>
              </w:rPr>
              <w:t>149.446.893</w:t>
            </w:r>
          </w:p>
        </w:tc>
        <w:tc>
          <w:tcPr>
            <w:tcW w:w="1224" w:type="dxa"/>
          </w:tcPr>
          <w:p w:rsidR="00505632" w:rsidRDefault="00505632" w:rsidP="00AD4E52">
            <w:pPr>
              <w:pStyle w:val="CellColumn"/>
              <w:jc w:val="right"/>
            </w:pPr>
            <w:r>
              <w:rPr>
                <w:rFonts w:cs="Times New Roman"/>
              </w:rPr>
              <w:t>91,0</w:t>
            </w:r>
          </w:p>
        </w:tc>
        <w:tc>
          <w:tcPr>
            <w:tcW w:w="1224" w:type="dxa"/>
          </w:tcPr>
          <w:p w:rsidR="00505632" w:rsidRDefault="00505632" w:rsidP="00AD4E52">
            <w:pPr>
              <w:pStyle w:val="CellColumn"/>
              <w:jc w:val="right"/>
            </w:pPr>
            <w:r>
              <w:rPr>
                <w:rFonts w:cs="Times New Roman"/>
              </w:rPr>
              <w:t>181,6</w:t>
            </w:r>
          </w:p>
        </w:tc>
      </w:tr>
    </w:tbl>
    <w:p w:rsidR="00505632" w:rsidRDefault="00505632" w:rsidP="00505632">
      <w:pPr>
        <w:jc w:val="left"/>
      </w:pPr>
    </w:p>
    <w:p w:rsidR="00505632" w:rsidRDefault="00505632" w:rsidP="00505632">
      <w:r>
        <w:t xml:space="preserve">Osiguranje i razvoj napredne informacijsko-komunikacijske infrastrukture za akademsku, istraživačku i obrazovnu zajednicu uključujući  brzu i sigurnu mrežu, raznovrsne sadržaje i usluge. Povezivanje svih hrvatskih akademskih i znanstvenih ustanova te svih osnovnih i srednjih škola u zajedničku komunikacijsku mrežu i na Internet. Izgradnja i održavanje većeg broja servisa koji koriste ovako uspostavljenu mrežnu povezanost. </w:t>
      </w:r>
    </w:p>
    <w:p w:rsidR="00505632" w:rsidRDefault="00505632" w:rsidP="00505632">
      <w:r>
        <w:t xml:space="preserve">Pod razvojem informacijsko-komunikacijske  infrastrukture podrazumijeva se razvoj sljedećih komponenti infrastrukture: nacionalna obrazovna i istraživačka računalno-komunikacijska mreža, povezivanje na Internet, računalno-komunikacijski resursi, informacijski sustavi u obrazovanju i znanosti, sigurno korištenje Interneta. </w:t>
      </w:r>
    </w:p>
    <w:p w:rsidR="00505632" w:rsidRDefault="00505632" w:rsidP="00505632">
      <w:r>
        <w:t>Potencijali informacijsko-komunikacijske tehnologije (IKT) koriste se za unapređenje poslovnih i nastavnih procesa u osnovnim i srednjim školama, s konačnim ciljem stvaranja digitalno zrelih škola, sa unaprijeđenim poslovnim i nastavnim procesima, spremnih za bržu prilagodbu obrazovanja tržištu rada, kroz razvoj kompetentnih učenika spremnih za nastavak školovanja ili za kvalitetni ulazak na tržište rada. Razvoj e-škola potaknut će se spajanjem na ultra brzi širokopojasni Internet, opremanjem informacijsko-komunikacijskim tehnologijama (IKT), informatizacijom procesa poslovanja, učenja i poučavanja, te stručnim usavršavanjem i podrškom ravnateljima, nastavnicima i stručnom osoblju u primjeni IKT-a u nastavi i poslovanju škole. Digitalno kompetentni nastavnici i učenici će u svom svakodnevnom radu koristiti računalnu i mobilnu opremu te obrazovne aplikacije i digitalne nastavne materijale.</w:t>
      </w:r>
    </w:p>
    <w:p w:rsidR="00505632" w:rsidRDefault="00505632" w:rsidP="00505632">
      <w:pPr>
        <w:pStyle w:val="Heading8"/>
        <w:jc w:val="left"/>
      </w:pPr>
      <w:r>
        <w:t>Cilj 1. OSIGURANJE I UNAPREĐENJE KVALITETE TE POVEĆANJE DOSTUPNOSTI, UČINKOVITOSTI I RELEVANTNOSTI SUSTAVA ODGOJA I OBRAZOVANJA NA SVIM RAZINAMA</w:t>
      </w:r>
    </w:p>
    <w:p w:rsidR="00505632" w:rsidRDefault="00505632" w:rsidP="00505632">
      <w:pPr>
        <w:pStyle w:val="Heading8"/>
        <w:jc w:val="left"/>
      </w:pPr>
      <w:r>
        <w:t>Opis provedbe cilja programa</w:t>
      </w:r>
    </w:p>
    <w:p w:rsidR="00505632" w:rsidRDefault="00505632" w:rsidP="00505632">
      <w:r>
        <w:t xml:space="preserve">Posebni cilj 1.2. Unaprijeđen sustav osiguravanja kvalitete na svim razinama sustava odgoja i obrazovanja </w:t>
      </w:r>
    </w:p>
    <w:p w:rsidR="00505632" w:rsidRDefault="00505632" w:rsidP="00505632">
      <w:r>
        <w:t xml:space="preserve">Jedan od načina ostvarivanja posebnog cilja 1.2. jest i projekt e-Škole, koji se u strategiji navodi kao sljedeći način ostvarivanja: </w:t>
      </w:r>
    </w:p>
    <w:p w:rsidR="00505632" w:rsidRDefault="00505632" w:rsidP="00505632">
      <w:r>
        <w:t>1.2.2. Pokrenuti cjelovitu informatizaciju odgojno-obrazovnog procesa i procesa poslovanja škola - e-Škole</w:t>
      </w:r>
    </w:p>
    <w:p w:rsidR="00505632" w:rsidRDefault="00505632" w:rsidP="00505632">
      <w:pPr>
        <w:pStyle w:val="Heading4"/>
      </w:pPr>
      <w:r>
        <w:t>A628009 ADMINISTRACIJA I UPRAVLJANJE HRVATSKE AKADEMSKE I ISTRAŽIVAČKE MREŽE CARNET</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A628009-ADMINISTRACIJA I UPRAVLJANJE HRVATSKE AKADEMSKE I ISTRAŽIVAČKE MREŽE CARNET</w:t>
            </w:r>
          </w:p>
        </w:tc>
        <w:tc>
          <w:tcPr>
            <w:tcW w:w="2041" w:type="dxa"/>
          </w:tcPr>
          <w:p w:rsidR="00505632" w:rsidRDefault="00505632" w:rsidP="00AD4E52">
            <w:pPr>
              <w:pStyle w:val="CellColumn"/>
              <w:jc w:val="right"/>
            </w:pPr>
            <w:r>
              <w:rPr>
                <w:rFonts w:cs="Times New Roman"/>
              </w:rPr>
              <w:t>30.237.238</w:t>
            </w:r>
          </w:p>
        </w:tc>
        <w:tc>
          <w:tcPr>
            <w:tcW w:w="2041" w:type="dxa"/>
          </w:tcPr>
          <w:p w:rsidR="00505632" w:rsidRDefault="00505632" w:rsidP="00AD4E52">
            <w:pPr>
              <w:pStyle w:val="CellColumn"/>
              <w:jc w:val="right"/>
            </w:pPr>
            <w:r>
              <w:rPr>
                <w:rFonts w:cs="Times New Roman"/>
              </w:rPr>
              <w:t>30.979.179</w:t>
            </w:r>
          </w:p>
        </w:tc>
        <w:tc>
          <w:tcPr>
            <w:tcW w:w="2041" w:type="dxa"/>
          </w:tcPr>
          <w:p w:rsidR="00505632" w:rsidRDefault="00505632" w:rsidP="00AD4E52">
            <w:pPr>
              <w:pStyle w:val="CellColumn"/>
              <w:jc w:val="right"/>
            </w:pPr>
            <w:r>
              <w:rPr>
                <w:rFonts w:cs="Times New Roman"/>
              </w:rPr>
              <w:t>30.992.702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102,5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Uredba o Hrvatskoj akademskoj i istraživačkoj mreži CARNet  </w:t>
      </w:r>
    </w:p>
    <w:p w:rsidR="00505632" w:rsidRDefault="00505632" w:rsidP="00505632">
      <w:r>
        <w:t xml:space="preserve">Zakon o informacijskoj sigurnosti  </w:t>
      </w:r>
    </w:p>
    <w:p w:rsidR="00505632" w:rsidRDefault="00505632" w:rsidP="00505632">
      <w:r>
        <w:t xml:space="preserve">Zakon o elektroničkim komunikacijama </w:t>
      </w:r>
    </w:p>
    <w:p w:rsidR="00505632" w:rsidRDefault="00505632" w:rsidP="00505632">
      <w:r>
        <w:t>Statut Hrvatske akademske i istraživačke mreže CARNet</w:t>
      </w:r>
    </w:p>
    <w:p w:rsidR="00505632" w:rsidRDefault="00505632" w:rsidP="00505632">
      <w:pPr>
        <w:pStyle w:val="Heading8"/>
        <w:jc w:val="left"/>
      </w:pPr>
      <w:r>
        <w:t>Opis aktivnosti</w:t>
      </w:r>
    </w:p>
    <w:p w:rsidR="00505632" w:rsidRDefault="00505632" w:rsidP="00505632">
      <w:r>
        <w:t xml:space="preserve">Kroz  aktivnosti se financiraju  plaće i ostali rashodi za zaposlenike (materijalna prava te prijevoz na posao i s posla)  CARNet-a, te materijalni troškovi odvijanja redovitog poslovanja. U okviru aktivnosti planiraju su sredstva za tekuće održavanje i nadogradnje svih servisa CARNet-a kako bi se osigurala ista razina i kvaliteta usluge koje CARNet danas pruža svojim korisnicima, a to je dostupnost mreže i servisa minimum 99% vremena, te za tekuće održavanje CARNet mreže i mrežne opreme. U sklopu održavanja mreže potrebna su sredstva za službena putovanja zaposlenika, te kontinuirano školovanje zaposlenika na području mrežnih tehnologija. Financiraju se i članarine u međunarodnim organizacijama. </w:t>
      </w:r>
    </w:p>
    <w:p w:rsidR="00505632" w:rsidRDefault="00505632" w:rsidP="00505632">
      <w:r>
        <w:t xml:space="preserve">U kontekstu provođenja mjera koje su vezane uz sigurnost CARNet-ovih usluga, CARNet mreže i članica CARNet mreže, radi se utvrđivanje ranjivosti. Za potrebe utvrđivanja ranjivosti nabavljena je nova serverska oprema. Nacionalni CERT je krajem godine aplicirao za dodjelu sredstava EU fondova u sklopu CEF Telecom-a natječaja te je u te svrhe koristio konzultantske usluge za pripremu projektne prijave.  </w:t>
      </w:r>
    </w:p>
    <w:p w:rsidR="00505632" w:rsidRDefault="00505632" w:rsidP="00505632">
      <w:r>
        <w:t xml:space="preserve">Vezano uz obrade incidenata gdje su počinitelji bili  korisnici CARNet-a, abuse služba je obradila sve pristigle prijavljene incidente, a nacionalni CERT je obradio sve prijavljene incidente vezane uz korisnike interneta u RH i javne informacijske sustave u RH.  </w:t>
      </w:r>
    </w:p>
    <w:p w:rsidR="00505632" w:rsidRDefault="00505632" w:rsidP="00505632">
      <w:r>
        <w:t xml:space="preserve">Nacionalni CERT svojim članicama na zahtjev izdaje elektroničke certifikate sa znatno nižom cijenom od tržišne vrijednosti.  Za ovu uslugu plaća se godišnji paušal Tereni u sklopu kojega se postiže niža pojedinačna cijena elektroničkog certifikata. Tijekom 2016. Nacionalni CERT izdao  je 495 elektronička certifikata. Nacionalni CERT sudjelovao je na NATO vježbama upravljanja krizama i na NATO vježbama “Cyber Coalition” u sklopu kojih je putovao na mjesta sastanaka i konferencija koje su bile obvezne za sudjelovanje u vježbama. Nacionalni CERT obavezan je sudjelovati na spomenutim vježbama prema odlukama vlade RH. </w:t>
      </w:r>
    </w:p>
    <w:p w:rsidR="00505632" w:rsidRDefault="00505632" w:rsidP="00505632">
      <w:r>
        <w:t xml:space="preserve">ICT Knowledge Exchange je projekt financiran u sklopu Bilateralnog fonda Norveških financijskih mehanizama i EGP-a, a provodi ga CARNet. Opći cilj projekta je razmjena znanja i iskustava između korisnika i partnerske ustanove (Norveškog sveučilišta za znanost i tehnologiju) s ciljem što kvalitetnije primjene informacijsko-komunikacijskih tehnologija (IKT) u obrazovanju, kao i e-usluga. Dugoročni cilj je uspostava stalne suradnje između korisnika i partnerske ustanove na projektima od zajedničke važnosti, a vezano za primjenu IKT-a u obrazovanju. </w:t>
      </w:r>
    </w:p>
    <w:p w:rsidR="00505632" w:rsidRDefault="00505632" w:rsidP="00505632">
      <w:r>
        <w:t>Jedan od najvažnijih nacionalnih informacijskih servisa kojim CARNet upravlja od 1993. godine je registar nacionalne internetske domene Republike Hrvatske (.hr). U okviru Registra nacionalne internetske domene Republike Hrvatske (.hr) registrirano je 16720 domena, omogućena je registracija domena s jednim i dva alfanumerička znaka te domena s dijakritičkim znakovima, omogućena je promjena korisnika naplatnih domena te je organiziran međunarodni sastanak ICANN Studienkreis u Dubrovniku.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korisnika CERT usluge provjere ranjivosti</w:t>
            </w:r>
          </w:p>
        </w:tc>
        <w:tc>
          <w:tcPr>
            <w:tcW w:w="2551" w:type="dxa"/>
          </w:tcPr>
          <w:p w:rsidR="00505632" w:rsidRDefault="00505632" w:rsidP="00AD4E52">
            <w:pPr>
              <w:pStyle w:val="CellColumn"/>
              <w:jc w:val="left"/>
            </w:pPr>
            <w:r>
              <w:rPr>
                <w:rFonts w:cs="Times New Roman"/>
              </w:rPr>
              <w:t>Broj ustanova korisnica usluge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1000</w:t>
            </w:r>
          </w:p>
        </w:tc>
        <w:tc>
          <w:tcPr>
            <w:tcW w:w="1020" w:type="dxa"/>
          </w:tcPr>
          <w:p w:rsidR="00505632" w:rsidRDefault="00505632" w:rsidP="00AD4E52">
            <w:pPr>
              <w:pStyle w:val="CellColumn"/>
              <w:jc w:val="right"/>
            </w:pPr>
            <w:r>
              <w:rPr>
                <w:rFonts w:cs="Times New Roman"/>
              </w:rPr>
              <w:t>CARNet</w:t>
            </w:r>
          </w:p>
        </w:tc>
        <w:tc>
          <w:tcPr>
            <w:tcW w:w="1020" w:type="dxa"/>
          </w:tcPr>
          <w:p w:rsidR="00505632" w:rsidRDefault="00505632" w:rsidP="00AD4E52">
            <w:pPr>
              <w:pStyle w:val="CellColumn"/>
              <w:jc w:val="right"/>
            </w:pPr>
            <w:r>
              <w:rPr>
                <w:rFonts w:cs="Times New Roman"/>
              </w:rPr>
              <w:t>1020</w:t>
            </w:r>
          </w:p>
        </w:tc>
        <w:tc>
          <w:tcPr>
            <w:tcW w:w="1020" w:type="dxa"/>
          </w:tcPr>
          <w:p w:rsidR="00505632" w:rsidRDefault="00505632" w:rsidP="00AD4E52">
            <w:pPr>
              <w:pStyle w:val="CellColumn"/>
              <w:jc w:val="right"/>
            </w:pPr>
            <w:r>
              <w:rPr>
                <w:rFonts w:cs="Times New Roman"/>
              </w:rPr>
              <w:t>1021</w:t>
            </w:r>
          </w:p>
        </w:tc>
      </w:tr>
      <w:tr w:rsidR="00505632" w:rsidTr="00AD4E52">
        <w:trPr>
          <w:jc w:val="center"/>
        </w:trPr>
        <w:tc>
          <w:tcPr>
            <w:tcW w:w="2551" w:type="dxa"/>
          </w:tcPr>
          <w:p w:rsidR="00505632" w:rsidRDefault="00505632" w:rsidP="00AD4E52">
            <w:pPr>
              <w:pStyle w:val="CellColumn"/>
              <w:jc w:val="left"/>
            </w:pPr>
            <w:r>
              <w:rPr>
                <w:rFonts w:cs="Times New Roman"/>
              </w:rPr>
              <w:t>Broj pretplata na CERT sigurnosne preporuke</w:t>
            </w:r>
          </w:p>
        </w:tc>
        <w:tc>
          <w:tcPr>
            <w:tcW w:w="2551" w:type="dxa"/>
          </w:tcPr>
          <w:p w:rsidR="00505632" w:rsidRDefault="00505632" w:rsidP="00AD4E52">
            <w:pPr>
              <w:pStyle w:val="CellColumn"/>
              <w:jc w:val="left"/>
            </w:pPr>
            <w:r>
              <w:rPr>
                <w:rFonts w:cs="Times New Roman"/>
              </w:rPr>
              <w:t>Broj pretplatnika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1591</w:t>
            </w:r>
          </w:p>
        </w:tc>
        <w:tc>
          <w:tcPr>
            <w:tcW w:w="1020" w:type="dxa"/>
          </w:tcPr>
          <w:p w:rsidR="00505632" w:rsidRDefault="00505632" w:rsidP="00AD4E52">
            <w:pPr>
              <w:pStyle w:val="CellColumn"/>
              <w:jc w:val="right"/>
            </w:pPr>
            <w:r>
              <w:rPr>
                <w:rFonts w:cs="Times New Roman"/>
              </w:rPr>
              <w:t>CARNet, NCERT</w:t>
            </w:r>
          </w:p>
        </w:tc>
        <w:tc>
          <w:tcPr>
            <w:tcW w:w="1020" w:type="dxa"/>
          </w:tcPr>
          <w:p w:rsidR="00505632" w:rsidRDefault="00505632" w:rsidP="00AD4E52">
            <w:pPr>
              <w:pStyle w:val="CellColumn"/>
              <w:jc w:val="right"/>
            </w:pPr>
            <w:r>
              <w:rPr>
                <w:rFonts w:cs="Times New Roman"/>
              </w:rPr>
              <w:t>1500</w:t>
            </w:r>
          </w:p>
        </w:tc>
        <w:tc>
          <w:tcPr>
            <w:tcW w:w="1020" w:type="dxa"/>
          </w:tcPr>
          <w:p w:rsidR="00505632" w:rsidRDefault="00505632" w:rsidP="00AD4E52">
            <w:pPr>
              <w:pStyle w:val="CellColumn"/>
              <w:jc w:val="right"/>
            </w:pPr>
            <w:r>
              <w:rPr>
                <w:rFonts w:cs="Times New Roman"/>
              </w:rPr>
              <w:t>1500</w:t>
            </w:r>
          </w:p>
        </w:tc>
      </w:tr>
      <w:tr w:rsidR="00505632" w:rsidTr="00AD4E52">
        <w:trPr>
          <w:jc w:val="center"/>
        </w:trPr>
        <w:tc>
          <w:tcPr>
            <w:tcW w:w="2551" w:type="dxa"/>
          </w:tcPr>
          <w:p w:rsidR="00505632" w:rsidRDefault="00505632" w:rsidP="00AD4E52">
            <w:pPr>
              <w:pStyle w:val="CellColumn"/>
              <w:jc w:val="left"/>
            </w:pPr>
            <w:r>
              <w:rPr>
                <w:rFonts w:cs="Times New Roman"/>
              </w:rPr>
              <w:t>Broj registriranih ".hr" domena</w:t>
            </w:r>
          </w:p>
        </w:tc>
        <w:tc>
          <w:tcPr>
            <w:tcW w:w="2551" w:type="dxa"/>
          </w:tcPr>
          <w:p w:rsidR="00505632" w:rsidRDefault="00505632" w:rsidP="00AD4E52">
            <w:pPr>
              <w:pStyle w:val="CellColumn"/>
              <w:jc w:val="left"/>
            </w:pPr>
            <w:r>
              <w:rPr>
                <w:rFonts w:cs="Times New Roman"/>
              </w:rPr>
              <w:t>Broj domena registriranih pod vršnom .hr domenom</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91 000</w:t>
            </w:r>
          </w:p>
        </w:tc>
        <w:tc>
          <w:tcPr>
            <w:tcW w:w="1020" w:type="dxa"/>
          </w:tcPr>
          <w:p w:rsidR="00505632" w:rsidRDefault="00505632" w:rsidP="00AD4E52">
            <w:pPr>
              <w:pStyle w:val="CellColumn"/>
              <w:jc w:val="right"/>
            </w:pPr>
            <w:r>
              <w:rPr>
                <w:rFonts w:cs="Times New Roman"/>
              </w:rPr>
              <w:t>CARNet</w:t>
            </w:r>
          </w:p>
        </w:tc>
        <w:tc>
          <w:tcPr>
            <w:tcW w:w="1020" w:type="dxa"/>
          </w:tcPr>
          <w:p w:rsidR="00505632" w:rsidRDefault="00505632" w:rsidP="00AD4E52">
            <w:pPr>
              <w:pStyle w:val="CellColumn"/>
              <w:jc w:val="right"/>
            </w:pPr>
            <w:r>
              <w:rPr>
                <w:rFonts w:cs="Times New Roman"/>
              </w:rPr>
              <w:t>96 000</w:t>
            </w:r>
          </w:p>
        </w:tc>
        <w:tc>
          <w:tcPr>
            <w:tcW w:w="1020" w:type="dxa"/>
          </w:tcPr>
          <w:p w:rsidR="00505632" w:rsidRDefault="00505632" w:rsidP="00AD4E52">
            <w:pPr>
              <w:pStyle w:val="CellColumn"/>
              <w:jc w:val="right"/>
            </w:pPr>
            <w:r>
              <w:rPr>
                <w:rFonts w:cs="Times New Roman"/>
              </w:rPr>
              <w:t>97 170</w:t>
            </w:r>
          </w:p>
        </w:tc>
      </w:tr>
      <w:tr w:rsidR="00505632" w:rsidTr="00AD4E52">
        <w:trPr>
          <w:jc w:val="center"/>
        </w:trPr>
        <w:tc>
          <w:tcPr>
            <w:tcW w:w="2551" w:type="dxa"/>
          </w:tcPr>
          <w:p w:rsidR="00505632" w:rsidRDefault="00505632" w:rsidP="00AD4E52">
            <w:pPr>
              <w:pStyle w:val="CellColumn"/>
              <w:jc w:val="left"/>
            </w:pPr>
            <w:r>
              <w:rPr>
                <w:rFonts w:cs="Times New Roman"/>
              </w:rPr>
              <w:t>Broj elektrončkih certifikata za uspostavu sigurne komunikacije</w:t>
            </w:r>
          </w:p>
        </w:tc>
        <w:tc>
          <w:tcPr>
            <w:tcW w:w="2551" w:type="dxa"/>
          </w:tcPr>
          <w:p w:rsidR="00505632" w:rsidRDefault="00505632" w:rsidP="00AD4E52">
            <w:pPr>
              <w:pStyle w:val="CellColumn"/>
              <w:jc w:val="left"/>
            </w:pPr>
            <w:r>
              <w:rPr>
                <w:rFonts w:cs="Times New Roman"/>
              </w:rPr>
              <w:t>Broj aktivnih TCS certifikata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1151</w:t>
            </w:r>
          </w:p>
        </w:tc>
        <w:tc>
          <w:tcPr>
            <w:tcW w:w="1020" w:type="dxa"/>
          </w:tcPr>
          <w:p w:rsidR="00505632" w:rsidRDefault="00505632" w:rsidP="00AD4E52">
            <w:pPr>
              <w:pStyle w:val="CellColumn"/>
              <w:jc w:val="right"/>
            </w:pPr>
            <w:r>
              <w:rPr>
                <w:rFonts w:cs="Times New Roman"/>
              </w:rPr>
              <w:t>CARNet</w:t>
            </w:r>
          </w:p>
        </w:tc>
        <w:tc>
          <w:tcPr>
            <w:tcW w:w="1020" w:type="dxa"/>
          </w:tcPr>
          <w:p w:rsidR="00505632" w:rsidRDefault="00505632" w:rsidP="00AD4E52">
            <w:pPr>
              <w:pStyle w:val="CellColumn"/>
              <w:jc w:val="right"/>
            </w:pPr>
            <w:r>
              <w:rPr>
                <w:rFonts w:cs="Times New Roman"/>
              </w:rPr>
              <w:t>1300</w:t>
            </w:r>
          </w:p>
        </w:tc>
        <w:tc>
          <w:tcPr>
            <w:tcW w:w="1020" w:type="dxa"/>
          </w:tcPr>
          <w:p w:rsidR="00505632" w:rsidRDefault="00505632" w:rsidP="00AD4E52">
            <w:pPr>
              <w:pStyle w:val="CellColumn"/>
              <w:jc w:val="right"/>
            </w:pPr>
            <w:r>
              <w:rPr>
                <w:rFonts w:cs="Times New Roman"/>
              </w:rPr>
              <w:t>1400</w:t>
            </w:r>
          </w:p>
        </w:tc>
      </w:tr>
    </w:tbl>
    <w:p w:rsidR="00505632" w:rsidRDefault="00505632" w:rsidP="00505632">
      <w:pPr>
        <w:jc w:val="left"/>
      </w:pPr>
    </w:p>
    <w:p w:rsidR="00505632" w:rsidRDefault="00505632" w:rsidP="00505632">
      <w:pPr>
        <w:pStyle w:val="Heading4"/>
      </w:pPr>
      <w:r>
        <w:t>A628011 PROGRAM TELEKOMUNIKACIJSKIH KAPACITETA ZA MREŽU CARNET</w:t>
      </w:r>
    </w:p>
    <w:tbl>
      <w:tblPr>
        <w:tblStyle w:val="StilTablice"/>
        <w:tblW w:w="10206" w:type="dxa"/>
        <w:jc w:val="center"/>
        <w:tblLook w:val="04A0" w:firstRow="1" w:lastRow="0" w:firstColumn="1" w:lastColumn="0" w:noHBand="0" w:noVBand="1"/>
      </w:tblPr>
      <w:tblGrid>
        <w:gridCol w:w="2459"/>
        <w:gridCol w:w="1798"/>
        <w:gridCol w:w="1799"/>
        <w:gridCol w:w="1799"/>
        <w:gridCol w:w="1163"/>
        <w:gridCol w:w="118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A628011-PROGRAM TELEKOMUNIKACIJSKIH KAPACITETA ZA MREŽU CARNET</w:t>
            </w:r>
          </w:p>
        </w:tc>
        <w:tc>
          <w:tcPr>
            <w:tcW w:w="2041" w:type="dxa"/>
          </w:tcPr>
          <w:p w:rsidR="00505632" w:rsidRDefault="00505632" w:rsidP="00AD4E52">
            <w:pPr>
              <w:pStyle w:val="CellColumn"/>
              <w:jc w:val="right"/>
            </w:pPr>
            <w:r>
              <w:rPr>
                <w:rFonts w:cs="Times New Roman"/>
              </w:rPr>
              <w:t>21.045.077</w:t>
            </w:r>
          </w:p>
        </w:tc>
        <w:tc>
          <w:tcPr>
            <w:tcW w:w="2041" w:type="dxa"/>
          </w:tcPr>
          <w:p w:rsidR="00505632" w:rsidRDefault="00505632" w:rsidP="00AD4E52">
            <w:pPr>
              <w:pStyle w:val="CellColumn"/>
              <w:jc w:val="right"/>
            </w:pPr>
            <w:r>
              <w:rPr>
                <w:rFonts w:cs="Times New Roman"/>
              </w:rPr>
              <w:t>21.184.277</w:t>
            </w:r>
          </w:p>
        </w:tc>
        <w:tc>
          <w:tcPr>
            <w:tcW w:w="2041" w:type="dxa"/>
          </w:tcPr>
          <w:p w:rsidR="00505632" w:rsidRDefault="00505632" w:rsidP="00AD4E52">
            <w:pPr>
              <w:pStyle w:val="CellColumn"/>
              <w:jc w:val="right"/>
            </w:pPr>
            <w:r>
              <w:rPr>
                <w:rFonts w:cs="Times New Roman"/>
              </w:rPr>
              <w:t>21.169.824</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100,6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Uredba o Hrvatskoj akademskoj i istraživačkoj mreži CARNet </w:t>
      </w:r>
    </w:p>
    <w:p w:rsidR="00505632" w:rsidRDefault="00505632" w:rsidP="00505632">
      <w:r>
        <w:t xml:space="preserve">Statut Hrvatske akademske i istraživačke mreže CARNet </w:t>
      </w:r>
    </w:p>
    <w:p w:rsidR="00505632" w:rsidRDefault="00505632" w:rsidP="00505632">
      <w:r>
        <w:t>Odluka MZOS-a o stjecanju statuta i pravima korisnika CARNeta, koja proizlaze iz djelatnosti CARNeta propisanih člankom 4. Uredbe o osnivanju Hrvatske akademske i istraživačke mreže CARNet</w:t>
      </w:r>
    </w:p>
    <w:p w:rsidR="00505632" w:rsidRDefault="00505632" w:rsidP="00505632">
      <w:pPr>
        <w:pStyle w:val="Heading8"/>
        <w:jc w:val="left"/>
      </w:pPr>
      <w:r>
        <w:t>Opis aktivnosti</w:t>
      </w:r>
    </w:p>
    <w:p w:rsidR="00505632" w:rsidRDefault="00505632" w:rsidP="00505632">
      <w:r>
        <w:t>Temeljem ove aktivnosti provodilo se povezivanje lokacija ustanova članica CARNeta na CARNet mrežu, omogućavajući na taj način korištenje CARNetovih usluga. Povezivanje ustanova obavlja se vlastitim optičkim kabelom, iznajmljenim optičkim kabelom ili iznajmljenim vodom određenog kapaciteta. CARNet je iznajmljene optičke veze realizirao kroz suradnju s telekom-operaterima dostupnim na određenim lokacijama. Danas je preko 90 % lokacija punopravnih članica iz akademske i znanstvene zajednice spojeno u CARNet mrežu te 75% lokacija iz osnovnog i srednjeg školstva. CARNet za svoje članice plaća troškove spajanja na CARNet mrežu. Daljnjim porastom broja članica, odnosno povećanjem brzina pristupa dolazi do povećanja telekomunikacijskih troškova.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Broj/postotak umreženih obrazovnih i istraživačkih ustanova</w:t>
            </w:r>
          </w:p>
        </w:tc>
        <w:tc>
          <w:tcPr>
            <w:tcW w:w="2551" w:type="dxa"/>
          </w:tcPr>
          <w:p w:rsidR="00505632" w:rsidRDefault="00505632" w:rsidP="00AD4E52">
            <w:pPr>
              <w:pStyle w:val="CellColumn"/>
              <w:jc w:val="left"/>
            </w:pPr>
            <w:r>
              <w:rPr>
                <w:rFonts w:cs="Times New Roman"/>
              </w:rPr>
              <w:t>Broj/postotak ustanova sustava znanosti i obrazovanja spojenih na mrežu CARNet</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CARNet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92</w:t>
            </w:r>
          </w:p>
        </w:tc>
      </w:tr>
      <w:tr w:rsidR="00505632" w:rsidTr="00AD4E52">
        <w:trPr>
          <w:jc w:val="center"/>
        </w:trPr>
        <w:tc>
          <w:tcPr>
            <w:tcW w:w="2551" w:type="dxa"/>
          </w:tcPr>
          <w:p w:rsidR="00505632" w:rsidRDefault="00505632" w:rsidP="00AD4E52">
            <w:pPr>
              <w:pStyle w:val="CellColumn"/>
              <w:jc w:val="left"/>
            </w:pPr>
            <w:r>
              <w:rPr>
                <w:rFonts w:cs="Times New Roman"/>
              </w:rPr>
              <w:t>Broj/postotak škola sa vezom na Internet</w:t>
            </w:r>
          </w:p>
        </w:tc>
        <w:tc>
          <w:tcPr>
            <w:tcW w:w="2551" w:type="dxa"/>
          </w:tcPr>
          <w:p w:rsidR="00505632" w:rsidRDefault="00505632" w:rsidP="00AD4E52">
            <w:pPr>
              <w:pStyle w:val="CellColumn"/>
              <w:jc w:val="left"/>
            </w:pPr>
            <w:r>
              <w:rPr>
                <w:rFonts w:cs="Times New Roman"/>
              </w:rPr>
              <w:t>Broj/postotak osnovnih i srednjih škola sa vezom na Internet</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81</w:t>
            </w:r>
          </w:p>
        </w:tc>
        <w:tc>
          <w:tcPr>
            <w:tcW w:w="1020" w:type="dxa"/>
          </w:tcPr>
          <w:p w:rsidR="00505632" w:rsidRDefault="00505632" w:rsidP="00AD4E52">
            <w:pPr>
              <w:pStyle w:val="CellColumn"/>
              <w:jc w:val="right"/>
            </w:pPr>
            <w:r>
              <w:rPr>
                <w:rFonts w:cs="Times New Roman"/>
              </w:rPr>
              <w:t>CARNet</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75</w:t>
            </w:r>
          </w:p>
        </w:tc>
      </w:tr>
    </w:tbl>
    <w:p w:rsidR="00505632" w:rsidRDefault="00505632" w:rsidP="00505632">
      <w:pPr>
        <w:jc w:val="left"/>
      </w:pPr>
    </w:p>
    <w:p w:rsidR="00505632" w:rsidRDefault="00505632" w:rsidP="00505632">
      <w:pPr>
        <w:pStyle w:val="Heading4"/>
      </w:pPr>
      <w:r>
        <w:t>A628015 UKLJUČIVANJE MREŽE CARNET U PAN-EUROPSKE AKADEMSKE I ISTRAŽIVAČKE MREŽE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A628015-UKLJUČIVANJE MREŽE CARNET U PAN-EUROPSKE AKADEMSKE I ISTRAŽIVAČKE MREŽE</w:t>
            </w:r>
          </w:p>
        </w:tc>
        <w:tc>
          <w:tcPr>
            <w:tcW w:w="2041" w:type="dxa"/>
          </w:tcPr>
          <w:p w:rsidR="00505632" w:rsidRDefault="00505632" w:rsidP="00AD4E52">
            <w:pPr>
              <w:pStyle w:val="CellColumn"/>
              <w:jc w:val="right"/>
            </w:pPr>
            <w:r>
              <w:rPr>
                <w:rFonts w:cs="Times New Roman"/>
              </w:rPr>
              <w:t>7.208.733</w:t>
            </w:r>
          </w:p>
        </w:tc>
        <w:tc>
          <w:tcPr>
            <w:tcW w:w="2041" w:type="dxa"/>
          </w:tcPr>
          <w:p w:rsidR="00505632" w:rsidRDefault="00505632" w:rsidP="00AD4E52">
            <w:pPr>
              <w:pStyle w:val="CellColumn"/>
              <w:jc w:val="right"/>
            </w:pPr>
            <w:r>
              <w:rPr>
                <w:rFonts w:cs="Times New Roman"/>
              </w:rPr>
              <w:t>7.208.733</w:t>
            </w:r>
          </w:p>
        </w:tc>
        <w:tc>
          <w:tcPr>
            <w:tcW w:w="2041" w:type="dxa"/>
          </w:tcPr>
          <w:p w:rsidR="00505632" w:rsidRDefault="00505632" w:rsidP="00AD4E52">
            <w:pPr>
              <w:pStyle w:val="CellColumn"/>
              <w:jc w:val="right"/>
            </w:pPr>
            <w:r>
              <w:rPr>
                <w:rFonts w:cs="Times New Roman"/>
              </w:rPr>
              <w:t>7.204.480</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99,9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Uredba o Hrvatskoj akademskoj i istraživačkoj mreži CARNet </w:t>
      </w:r>
    </w:p>
    <w:p w:rsidR="00505632" w:rsidRDefault="00505632" w:rsidP="00505632">
      <w:r>
        <w:t>Statut Hrvatske akademske i istraživačke mreže CARNet</w:t>
      </w:r>
    </w:p>
    <w:p w:rsidR="00505632" w:rsidRDefault="00505632" w:rsidP="00505632">
      <w:pPr>
        <w:pStyle w:val="Heading8"/>
        <w:jc w:val="left"/>
      </w:pPr>
      <w:r>
        <w:t>Opis aktivnosti</w:t>
      </w:r>
    </w:p>
    <w:p w:rsidR="00505632" w:rsidRDefault="00505632" w:rsidP="00505632">
      <w:r>
        <w:t>Mreža CARNet trenutno je povezana je na pan-europsku mrežu GÉANT koja povezuje nacionalne akademske i istraživačke mreže 42 europske zemlje, a čiji je cilj uspostava sljedeće generacije mrežne infrastrukture koja će moći adekvatno pratiti potrebe europske, a time i hrvatske istraživačke, akademske i obrazovne zajednice.  Financiran je najam veza okosnice CARNet mreže i povezivanje CARNet mreže s europskom akademskom mrežom GẾANT i Internetom.</w:t>
      </w:r>
    </w:p>
    <w:p w:rsidR="00505632" w:rsidRDefault="00505632" w:rsidP="00505632">
      <w:pPr>
        <w:pStyle w:val="Heading4"/>
      </w:pPr>
      <w:r>
        <w:t>A628068 SUDJELOVANJE NA IZGRADNJI, TESTIRANJU I RAZVOJU OKOSNICE PAN-EUROPSKE RAČUNALNO KOMUNIKACIJSKE MREŽE</w:t>
      </w:r>
    </w:p>
    <w:tbl>
      <w:tblPr>
        <w:tblStyle w:val="StilTablice"/>
        <w:tblW w:w="10206" w:type="dxa"/>
        <w:jc w:val="center"/>
        <w:tblLook w:val="04A0" w:firstRow="1" w:lastRow="0" w:firstColumn="1" w:lastColumn="0" w:noHBand="0" w:noVBand="1"/>
      </w:tblPr>
      <w:tblGrid>
        <w:gridCol w:w="1881"/>
        <w:gridCol w:w="1968"/>
        <w:gridCol w:w="1968"/>
        <w:gridCol w:w="1968"/>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A628068-SUDJELOVANJE NA IZGRADNJI, TESTIRANJU I RAZVOJU OKOSNICE PAN-EUROPSKE RAČUNALNO KOMUNIKACIJSKE MREŽE</w:t>
            </w:r>
          </w:p>
        </w:tc>
        <w:tc>
          <w:tcPr>
            <w:tcW w:w="2041" w:type="dxa"/>
          </w:tcPr>
          <w:p w:rsidR="00505632" w:rsidRDefault="00505632" w:rsidP="00AD4E52">
            <w:pPr>
              <w:pStyle w:val="CellColumn"/>
              <w:jc w:val="right"/>
            </w:pPr>
            <w:r>
              <w:rPr>
                <w:rFonts w:cs="Times New Roman"/>
              </w:rPr>
              <w:t>3.823.909</w:t>
            </w:r>
          </w:p>
        </w:tc>
        <w:tc>
          <w:tcPr>
            <w:tcW w:w="2041" w:type="dxa"/>
          </w:tcPr>
          <w:p w:rsidR="00505632" w:rsidRDefault="00505632" w:rsidP="00AD4E52">
            <w:pPr>
              <w:pStyle w:val="CellColumn"/>
              <w:jc w:val="right"/>
            </w:pPr>
            <w:r>
              <w:rPr>
                <w:rFonts w:cs="Times New Roman"/>
              </w:rPr>
              <w:t>5.278.400</w:t>
            </w:r>
          </w:p>
        </w:tc>
        <w:tc>
          <w:tcPr>
            <w:tcW w:w="2041" w:type="dxa"/>
          </w:tcPr>
          <w:p w:rsidR="00505632" w:rsidRDefault="00505632" w:rsidP="00AD4E52">
            <w:pPr>
              <w:pStyle w:val="CellColumn"/>
              <w:jc w:val="right"/>
            </w:pPr>
            <w:r>
              <w:rPr>
                <w:rFonts w:cs="Times New Roman"/>
              </w:rPr>
              <w:t>5.512.514</w:t>
            </w:r>
          </w:p>
        </w:tc>
        <w:tc>
          <w:tcPr>
            <w:tcW w:w="1224" w:type="dxa"/>
          </w:tcPr>
          <w:p w:rsidR="00505632" w:rsidRDefault="00505632" w:rsidP="00AD4E52">
            <w:pPr>
              <w:pStyle w:val="CellColumn"/>
              <w:jc w:val="right"/>
            </w:pPr>
            <w:r>
              <w:rPr>
                <w:rFonts w:cs="Times New Roman"/>
              </w:rPr>
              <w:t>104,4</w:t>
            </w:r>
          </w:p>
        </w:tc>
        <w:tc>
          <w:tcPr>
            <w:tcW w:w="1224" w:type="dxa"/>
          </w:tcPr>
          <w:p w:rsidR="00505632" w:rsidRDefault="00505632" w:rsidP="00AD4E52">
            <w:pPr>
              <w:pStyle w:val="CellColumn"/>
              <w:jc w:val="right"/>
            </w:pPr>
            <w:r>
              <w:rPr>
                <w:rFonts w:cs="Times New Roman"/>
              </w:rPr>
              <w:t>144,2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Odobrenje Ministarstva obrazovanja i sporta za pristupanje međunarodnom projektu GÉANT2020 (Klasa:650-01/15-01/00020;Ur.br:533-01-15-0002)</w:t>
      </w:r>
    </w:p>
    <w:p w:rsidR="00505632" w:rsidRDefault="00505632" w:rsidP="00505632">
      <w:pPr>
        <w:pStyle w:val="Heading8"/>
        <w:jc w:val="left"/>
      </w:pPr>
      <w:r>
        <w:t>Opis aktivnosti</w:t>
      </w:r>
    </w:p>
    <w:p w:rsidR="00505632" w:rsidRDefault="00505632" w:rsidP="00505632">
      <w:r>
        <w:t>U projektu GẾANT, uz 37 europskih akademskih i istraživačkih mreža (National Research and Education Network, NREN) te NORDUNet (predstavnik 5 nordijskih NREN-ova), TERENU i DANTE kao koordinatora, u svojstvu partnera sudjeluje i Hrvatska akademska i istraživačka mreža – CARNet. Kroz ovu aktivnost financiralo se sudjelovanje u GẾANT projektu djelatnika CARNeta i Sveučilišnog računskog centra u Zagrebu (SRCE).</w:t>
      </w:r>
    </w:p>
    <w:p w:rsidR="00505632" w:rsidRDefault="00505632" w:rsidP="00505632">
      <w:pPr>
        <w:pStyle w:val="Heading4"/>
      </w:pPr>
      <w:r>
        <w:t>A628070 PROGRAM OBJEDINJAVANJA I ODRŽAVANJA NACIONALNIH INFORMACIJSKIH SERVISA I E-ŠKOLA</w:t>
      </w:r>
    </w:p>
    <w:tbl>
      <w:tblPr>
        <w:tblStyle w:val="StilTablice"/>
        <w:tblW w:w="10206" w:type="dxa"/>
        <w:jc w:val="center"/>
        <w:tblLook w:val="04A0" w:firstRow="1" w:lastRow="0" w:firstColumn="1" w:lastColumn="0" w:noHBand="0" w:noVBand="1"/>
      </w:tblPr>
      <w:tblGrid>
        <w:gridCol w:w="1827"/>
        <w:gridCol w:w="1984"/>
        <w:gridCol w:w="1984"/>
        <w:gridCol w:w="1984"/>
        <w:gridCol w:w="1211"/>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A628070-PROGRAM OBJEDINJAVANJA I ODRŽAVANJA NACIONALNIH INFORMACIJSKIH SERVISA I E-ŠKOLA</w:t>
            </w:r>
          </w:p>
        </w:tc>
        <w:tc>
          <w:tcPr>
            <w:tcW w:w="2041" w:type="dxa"/>
          </w:tcPr>
          <w:p w:rsidR="00505632" w:rsidRDefault="00505632" w:rsidP="00AD4E52">
            <w:pPr>
              <w:pStyle w:val="CellColumn"/>
              <w:jc w:val="right"/>
            </w:pPr>
            <w:r>
              <w:rPr>
                <w:rFonts w:cs="Times New Roman"/>
              </w:rPr>
              <w:t>6.940.519</w:t>
            </w:r>
          </w:p>
        </w:tc>
        <w:tc>
          <w:tcPr>
            <w:tcW w:w="2041" w:type="dxa"/>
          </w:tcPr>
          <w:p w:rsidR="00505632" w:rsidRDefault="00505632" w:rsidP="00AD4E52">
            <w:pPr>
              <w:pStyle w:val="CellColumn"/>
              <w:jc w:val="right"/>
            </w:pPr>
            <w:r>
              <w:rPr>
                <w:rFonts w:cs="Times New Roman"/>
              </w:rPr>
              <w:t>3.449.636</w:t>
            </w:r>
          </w:p>
        </w:tc>
        <w:tc>
          <w:tcPr>
            <w:tcW w:w="2041" w:type="dxa"/>
          </w:tcPr>
          <w:p w:rsidR="00505632" w:rsidRDefault="00505632" w:rsidP="00AD4E52">
            <w:pPr>
              <w:pStyle w:val="CellColumn"/>
              <w:jc w:val="right"/>
            </w:pPr>
            <w:r>
              <w:rPr>
                <w:rFonts w:cs="Times New Roman"/>
              </w:rPr>
              <w:t>3.449.590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49,7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Odluka Ministarstva, znanosti, obrazovanja i sporta o uspostavi Centra podrške za Nacionalni informacijski sustav prijava i upisa u srednje škole NISpuSŠ (Klasa:602-01/11-01100325; Ur.br:533-09-1-0008 </w:t>
      </w:r>
    </w:p>
    <w:p w:rsidR="00505632" w:rsidRDefault="00505632" w:rsidP="00505632">
      <w:r>
        <w:t>Odluka MZOS o uspostavi i radu Centara potpore Integriranom informacijskom sustavu za upravljanje standardiziranim skupovima podataka u obrazovanju eMatica u CARNetu (klasa: 650-01/12-01/00022,Ur.br: 533-05-12-0002)</w:t>
      </w:r>
    </w:p>
    <w:p w:rsidR="00505632" w:rsidRDefault="00505632" w:rsidP="00505632">
      <w:pPr>
        <w:pStyle w:val="Heading8"/>
        <w:jc w:val="left"/>
      </w:pPr>
      <w:r>
        <w:t>Opis aktivnosti</w:t>
      </w:r>
    </w:p>
    <w:p w:rsidR="00505632" w:rsidRDefault="00505632" w:rsidP="00505632">
      <w:r>
        <w:t xml:space="preserve">Ovom aktivnosti obuhvaćeno je održavanje sljedećih sustava: Hosting usluge za srednje i osnovne škole (HUSO),  Nacionalnog portala za udaljeno učenje "Nikola Tesla", e-Dnevnika, e-Matice i Nacionalnog informacijskog sustava prijava i upisa u srednje škole (NISPUSŠ). </w:t>
      </w:r>
    </w:p>
    <w:p w:rsidR="00505632" w:rsidRDefault="00505632" w:rsidP="00505632">
      <w:r>
        <w:t xml:space="preserve">U okviru Hosting usluge za srednje i osnovne škole (HUSO), škole su kreirale adrese elektroničke pošte i AAI@EduHr identitete za korištenje svih CARNetovih usluga za oko 600.000 učenika, nastavnika i ostalih zaposlenika, a svaka škola dobiva mogućnost korištenja CMS-a za izradu svojeg web sjedišta što je u 2016. godini koristilo 1212 škola. </w:t>
      </w:r>
    </w:p>
    <w:p w:rsidR="00505632" w:rsidRDefault="00505632" w:rsidP="00505632">
      <w:r>
        <w:t xml:space="preserve">Nacionalni portal za udaljeno učenje "Nikola Tesla" je uspostavljen kao repozitorij za pohranu obrazovnih sadržaja kao što su digitalni obrazovni sadržaje za gradivo predmeta srednjih i osnovnih škola, e-Tečajevi za primjenu u nastavi, ECDL tečajevi te CARNetovi tečajevi za samostalno učenje. e-Dnevnik (web aplikacija za vođenje razredne evidencije u digitalnom  obliku) u školskoj godini 2016./2017. uključene su 256 nove škole te sustav trenutno koristi 810 škola što čini preko 60% škola u RH. Ovom aplikacijom se osiguravaju sve funkcionalnosti postojeće razredne knjige uz niz dodatnih funkcionalnosti koje omogućava uporaba informacijsko-komunikacijskih tehnologija. U okviru ove aktivnosti financiralo se i održavanje sustava e-Matice i Nacionalnog informacijskog sustava prijava i upisa u srednje škole, kao i pružanje podrške korisnicima za korištenje tih sustava. </w:t>
      </w:r>
    </w:p>
    <w:p w:rsidR="00505632" w:rsidRDefault="00505632" w:rsidP="00505632">
      <w:r>
        <w:t>Iz ove aktivnosti se financira i održavanje hardverske i softverske podrške za objedinjeni kontaktni centar što uključuje održavanje hardverske platforme na bazi VoIP telefonije kao i samo softversko rješenje za upravljanje komunikacijom s korisnicima (CRM).</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Provedba elektroničkih prijava i upisa u srednje škole</w:t>
            </w:r>
          </w:p>
        </w:tc>
        <w:tc>
          <w:tcPr>
            <w:tcW w:w="2551" w:type="dxa"/>
          </w:tcPr>
          <w:p w:rsidR="00505632" w:rsidRDefault="00505632" w:rsidP="00AD4E52">
            <w:pPr>
              <w:pStyle w:val="CellColumn"/>
              <w:jc w:val="left"/>
            </w:pPr>
            <w:r>
              <w:rPr>
                <w:rFonts w:cs="Times New Roman"/>
              </w:rPr>
              <w:t>Provedba elektroničkih prijava i upisa u srednje škole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CARNet</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Broj škola u e-dnevnik sustavu</w:t>
            </w:r>
          </w:p>
        </w:tc>
        <w:tc>
          <w:tcPr>
            <w:tcW w:w="2551" w:type="dxa"/>
          </w:tcPr>
          <w:p w:rsidR="00505632" w:rsidRDefault="00505632" w:rsidP="00AD4E52">
            <w:pPr>
              <w:pStyle w:val="CellColumn"/>
              <w:jc w:val="left"/>
            </w:pPr>
            <w:r>
              <w:rPr>
                <w:rFonts w:cs="Times New Roman"/>
              </w:rPr>
              <w:t>Broj škola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554</w:t>
            </w:r>
          </w:p>
        </w:tc>
        <w:tc>
          <w:tcPr>
            <w:tcW w:w="1020" w:type="dxa"/>
          </w:tcPr>
          <w:p w:rsidR="00505632" w:rsidRDefault="00505632" w:rsidP="00AD4E52">
            <w:pPr>
              <w:pStyle w:val="CellColumn"/>
              <w:jc w:val="right"/>
            </w:pPr>
            <w:r>
              <w:rPr>
                <w:rFonts w:cs="Times New Roman"/>
              </w:rPr>
              <w:t>CARNet</w:t>
            </w:r>
          </w:p>
        </w:tc>
        <w:tc>
          <w:tcPr>
            <w:tcW w:w="1020" w:type="dxa"/>
          </w:tcPr>
          <w:p w:rsidR="00505632" w:rsidRDefault="00505632" w:rsidP="00AD4E52">
            <w:pPr>
              <w:pStyle w:val="CellColumn"/>
              <w:jc w:val="right"/>
            </w:pPr>
            <w:r>
              <w:rPr>
                <w:rFonts w:cs="Times New Roman"/>
              </w:rPr>
              <w:t>750</w:t>
            </w:r>
          </w:p>
        </w:tc>
        <w:tc>
          <w:tcPr>
            <w:tcW w:w="1020" w:type="dxa"/>
          </w:tcPr>
          <w:p w:rsidR="00505632" w:rsidRDefault="00505632" w:rsidP="00AD4E52">
            <w:pPr>
              <w:pStyle w:val="CellColumn"/>
              <w:jc w:val="right"/>
            </w:pPr>
            <w:r>
              <w:rPr>
                <w:rFonts w:cs="Times New Roman"/>
              </w:rPr>
              <w:t>810</w:t>
            </w:r>
          </w:p>
        </w:tc>
      </w:tr>
    </w:tbl>
    <w:p w:rsidR="00505632" w:rsidRDefault="00505632" w:rsidP="00505632">
      <w:pPr>
        <w:jc w:val="left"/>
      </w:pPr>
    </w:p>
    <w:p w:rsidR="00505632" w:rsidRDefault="00505632" w:rsidP="00505632">
      <w:pPr>
        <w:pStyle w:val="Heading4"/>
      </w:pPr>
      <w:r>
        <w:t>A628073 PRIMJENA INFORMACIJSKE I KOMUNIKACIJSKE TEHNOLOGIJE U SUSTAVU SOCIJALNE SKRBI</w:t>
      </w:r>
    </w:p>
    <w:tbl>
      <w:tblPr>
        <w:tblStyle w:val="StilTablice"/>
        <w:tblW w:w="10206" w:type="dxa"/>
        <w:jc w:val="center"/>
        <w:tblLook w:val="04A0" w:firstRow="1" w:lastRow="0" w:firstColumn="1" w:lastColumn="0" w:noHBand="0" w:noVBand="1"/>
      </w:tblPr>
      <w:tblGrid>
        <w:gridCol w:w="1881"/>
        <w:gridCol w:w="1968"/>
        <w:gridCol w:w="1968"/>
        <w:gridCol w:w="1968"/>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A628073-PRIMJENA INFORMACIJSKE I KOMUNIKACIJSKE TEHNOLOGIJE U SUSTAVU SOCIJALNE SKRBI</w:t>
            </w:r>
          </w:p>
        </w:tc>
        <w:tc>
          <w:tcPr>
            <w:tcW w:w="2041" w:type="dxa"/>
          </w:tcPr>
          <w:p w:rsidR="00505632" w:rsidRDefault="00505632" w:rsidP="00AD4E52">
            <w:pPr>
              <w:pStyle w:val="CellColumn"/>
              <w:jc w:val="right"/>
            </w:pPr>
            <w:r>
              <w:rPr>
                <w:rFonts w:cs="Times New Roman"/>
              </w:rPr>
              <w:t>2.100.058</w:t>
            </w:r>
          </w:p>
        </w:tc>
        <w:tc>
          <w:tcPr>
            <w:tcW w:w="2041" w:type="dxa"/>
          </w:tcPr>
          <w:p w:rsidR="00505632" w:rsidRDefault="00505632" w:rsidP="00AD4E52">
            <w:pPr>
              <w:pStyle w:val="CellColumn"/>
              <w:jc w:val="right"/>
            </w:pPr>
            <w:r>
              <w:rPr>
                <w:rFonts w:cs="Times New Roman"/>
              </w:rPr>
              <w:t>1.851.510</w:t>
            </w:r>
          </w:p>
        </w:tc>
        <w:tc>
          <w:tcPr>
            <w:tcW w:w="2041" w:type="dxa"/>
          </w:tcPr>
          <w:p w:rsidR="00505632" w:rsidRDefault="00505632" w:rsidP="00AD4E52">
            <w:pPr>
              <w:pStyle w:val="CellColumn"/>
              <w:jc w:val="right"/>
            </w:pPr>
            <w:r>
              <w:rPr>
                <w:rFonts w:cs="Times New Roman"/>
              </w:rPr>
              <w:t>1.829.406</w:t>
            </w:r>
          </w:p>
        </w:tc>
        <w:tc>
          <w:tcPr>
            <w:tcW w:w="1224" w:type="dxa"/>
          </w:tcPr>
          <w:p w:rsidR="00505632" w:rsidRDefault="00505632" w:rsidP="00AD4E52">
            <w:pPr>
              <w:pStyle w:val="CellColumn"/>
              <w:jc w:val="right"/>
            </w:pPr>
            <w:r>
              <w:rPr>
                <w:rFonts w:cs="Times New Roman"/>
              </w:rPr>
              <w:t>98,8</w:t>
            </w:r>
          </w:p>
        </w:tc>
        <w:tc>
          <w:tcPr>
            <w:tcW w:w="1224" w:type="dxa"/>
          </w:tcPr>
          <w:p w:rsidR="00505632" w:rsidRDefault="00505632" w:rsidP="00AD4E52">
            <w:pPr>
              <w:pStyle w:val="CellColumn"/>
              <w:jc w:val="right"/>
            </w:pPr>
            <w:r>
              <w:rPr>
                <w:rFonts w:cs="Times New Roman"/>
              </w:rPr>
              <w:t>87,1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Odluka o suradnji na poticanju primjene informacijske i komunikacijske tehnologije za potrebe Ministarstva socijalne politike i mladih od 30. kolovoza 2012.(Klasa:650-05/12-04/01; Ur.br:5030112-12-1)</w:t>
      </w:r>
    </w:p>
    <w:p w:rsidR="00505632" w:rsidRDefault="00505632" w:rsidP="00505632">
      <w:pPr>
        <w:pStyle w:val="Heading8"/>
        <w:jc w:val="left"/>
      </w:pPr>
      <w:r>
        <w:t>Opis aktivnosti</w:t>
      </w:r>
    </w:p>
    <w:p w:rsidR="00505632" w:rsidRDefault="00505632" w:rsidP="00505632">
      <w:r>
        <w:t>Odlukom Vlade Republike Hrvatske omogućena je suradnja između  CARNeta i Ministarstva socijalne politike i mladih (MSPM) na području razvoja, izgradnje i održavanja infrastrukture, te mrežnih i aplikativnih servisa informacijskog sustava socijalne skrbi sve s ciljem što skorijeg ostvarivanja ciljanih učinaka informatičkog povezivanje unutar sustava socijalne skrbi. Financiran je najam veza i prijenosnih kapaciteta za povezivanje lokacija Ministarstva socijalne politike i mladih na CARNet mrežu, kao i ljudski rad djelatnika CARNeta za uspostavu novih, te održavanje i nadzor uspostavljenih veza.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Broj/postotak umreženih ustanova iz 1sustava MSPM-a</w:t>
            </w:r>
          </w:p>
        </w:tc>
        <w:tc>
          <w:tcPr>
            <w:tcW w:w="2551" w:type="dxa"/>
          </w:tcPr>
          <w:p w:rsidR="00505632" w:rsidRDefault="00505632" w:rsidP="00AD4E52">
            <w:pPr>
              <w:pStyle w:val="CellColumn"/>
              <w:jc w:val="left"/>
            </w:pPr>
            <w:r>
              <w:rPr>
                <w:rFonts w:cs="Times New Roman"/>
              </w:rPr>
              <w:t>Broj/postotak ustanova iz sustava MSPM-a spojenih na mrežu CARNet</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96</w:t>
            </w:r>
          </w:p>
        </w:tc>
        <w:tc>
          <w:tcPr>
            <w:tcW w:w="1020" w:type="dxa"/>
          </w:tcPr>
          <w:p w:rsidR="00505632" w:rsidRDefault="00505632" w:rsidP="00AD4E52">
            <w:pPr>
              <w:pStyle w:val="CellColumn"/>
              <w:jc w:val="right"/>
            </w:pPr>
            <w:r>
              <w:rPr>
                <w:rFonts w:cs="Times New Roman"/>
              </w:rPr>
              <w:t>CARNet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99</w:t>
            </w:r>
          </w:p>
        </w:tc>
      </w:tr>
    </w:tbl>
    <w:p w:rsidR="00505632" w:rsidRDefault="00505632" w:rsidP="00505632">
      <w:pPr>
        <w:jc w:val="left"/>
      </w:pPr>
    </w:p>
    <w:p w:rsidR="00505632" w:rsidRDefault="00505632" w:rsidP="00505632">
      <w:pPr>
        <w:pStyle w:val="Heading4"/>
      </w:pPr>
      <w:r>
        <w:t>A628074 PROGRAMI ZAJEDNICE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A628074-PROGRAMI ZAJEDNICE</w:t>
            </w:r>
          </w:p>
        </w:tc>
        <w:tc>
          <w:tcPr>
            <w:tcW w:w="2041" w:type="dxa"/>
          </w:tcPr>
          <w:p w:rsidR="00505632" w:rsidRDefault="00505632" w:rsidP="00AD4E52">
            <w:pPr>
              <w:pStyle w:val="CellColumn"/>
              <w:jc w:val="right"/>
            </w:pPr>
            <w:r>
              <w:rPr>
                <w:rFonts w:cs="Times New Roman"/>
              </w:rPr>
              <w:t>1.244.827</w:t>
            </w:r>
          </w:p>
        </w:tc>
        <w:tc>
          <w:tcPr>
            <w:tcW w:w="2041" w:type="dxa"/>
          </w:tcPr>
          <w:p w:rsidR="00505632" w:rsidRDefault="00505632" w:rsidP="00AD4E52">
            <w:pPr>
              <w:pStyle w:val="CellColumn"/>
              <w:jc w:val="right"/>
            </w:pPr>
            <w:r>
              <w:rPr>
                <w:rFonts w:cs="Times New Roman"/>
              </w:rPr>
              <w:t>1.094.860</w:t>
            </w:r>
          </w:p>
        </w:tc>
        <w:tc>
          <w:tcPr>
            <w:tcW w:w="2041" w:type="dxa"/>
          </w:tcPr>
          <w:p w:rsidR="00505632" w:rsidRDefault="00505632" w:rsidP="00AD4E52">
            <w:pPr>
              <w:pStyle w:val="CellColumn"/>
              <w:jc w:val="right"/>
            </w:pPr>
            <w:r>
              <w:rPr>
                <w:rFonts w:cs="Times New Roman"/>
              </w:rPr>
              <w:t>1.055.707</w:t>
            </w:r>
          </w:p>
        </w:tc>
        <w:tc>
          <w:tcPr>
            <w:tcW w:w="1224" w:type="dxa"/>
          </w:tcPr>
          <w:p w:rsidR="00505632" w:rsidRDefault="00505632" w:rsidP="00AD4E52">
            <w:pPr>
              <w:pStyle w:val="CellColumn"/>
              <w:jc w:val="right"/>
            </w:pPr>
            <w:r>
              <w:rPr>
                <w:rFonts w:cs="Times New Roman"/>
              </w:rPr>
              <w:t>96,4</w:t>
            </w:r>
          </w:p>
        </w:tc>
        <w:tc>
          <w:tcPr>
            <w:tcW w:w="1224" w:type="dxa"/>
          </w:tcPr>
          <w:p w:rsidR="00505632" w:rsidRDefault="00505632" w:rsidP="00AD4E52">
            <w:pPr>
              <w:pStyle w:val="CellColumn"/>
              <w:jc w:val="right"/>
            </w:pPr>
            <w:r>
              <w:rPr>
                <w:rFonts w:cs="Times New Roman"/>
              </w:rPr>
              <w:t>84,8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•Republika Hrvatska sklopila je dana 17. listopada 2007. godine Memorandum o razumijevanju između Europske Zajednice i Republike Hrvatske o sudjelovanju Republike Hrvatske u Programu podrške politikama za primjenu informacijskih i komunikacijskih tehnologija Okvirnog programa za konkurentnost i inovacije, koji je Hrvatski Sabor ratificirao 14. ožujka 2008. godine (NN-MU 3/08). Sklopljeni sporazum stupio je na snagu 26. svibnja 2008. godine. Potpisivanjem i stupanjem na snagu ovog Memoranduma, Hrvatska je postala punopravna članica ovog programa.</w:t>
      </w:r>
    </w:p>
    <w:p w:rsidR="00505632" w:rsidRDefault="00505632" w:rsidP="00505632">
      <w:pPr>
        <w:pStyle w:val="Heading8"/>
        <w:jc w:val="left"/>
      </w:pPr>
      <w:r>
        <w:t>Opis aktivnosti</w:t>
      </w:r>
    </w:p>
    <w:p w:rsidR="00505632" w:rsidRDefault="00505632" w:rsidP="00505632">
      <w:r>
        <w:t xml:space="preserve">Kroz ovu aktivnosti CARNet je  sudjelovao u nekoliko projekata koji se sufinanciraju od strane Europske komisije kroz financijske sheme čije je zbirno ime Programi Unije. Fokus  CARNeta je sudjelovanje u projektima u području obrazovanja te informacijskih i komunikacijskih tehnologija (IKT) kako bi na taj način mogli razmijeniti znanja i iskustava s vrhunskim ustanovama u Europi s područja obrazovanja, znanosti i IKT-a te razviti niz usluga i proizvoda s područja obrazovanja i IKT-a. </w:t>
      </w:r>
    </w:p>
    <w:p w:rsidR="00505632" w:rsidRDefault="00505632" w:rsidP="00505632">
      <w:r>
        <w:t xml:space="preserve">Inspiring Science Education (ISE) je europski projekt čiji je cilj popularizacija znanosti i prirodoslovnih predmeta korištenjem postojećih resursa za e-učenje. U sklopu projekta je tijekom 2016. financirana organizacija obrazovnih aktivnosti (online i uživo) za škole i nastavnike uključene u projekt te troškovi ljudskog rada osoba zaposlenih na projektu, administrativni troškovi i troškovi sudjelovanja na obaveznim projektnim sastancima. </w:t>
      </w:r>
    </w:p>
    <w:p w:rsidR="00505632" w:rsidRDefault="00505632" w:rsidP="00505632">
      <w:r>
        <w:t xml:space="preserve">Fokus projekta Assessment of Transversal Skills 2020 (ATS2020) je razvoj generičkih kompetencija poput kritičkog mišljenja, digitalne pismenosti, rješavanja problema i timskog rada, a kroz projekt je u 2016. godini financirana eksperimentalna primjena cjelovitog modela poučavanja i vrednovanja stečenih generičkih kompetencija, istraživanje kojim će se utvrditi učinak projekta te međunarodni projektni sastanci i edukacijske aktivnosti. </w:t>
      </w:r>
    </w:p>
    <w:p w:rsidR="00505632" w:rsidRDefault="00505632" w:rsidP="00505632">
      <w:r>
        <w:t>SCIENTIX 2 (The community for science education in Europe) je projekt koji je pokrenut radi promicanja i popularizacije STEM obrazovanja u europskim školama. Scientix 2 projekt završio je u ožujku 2016. godine a u tom tromjesečju financirane su obrazovne aktivnosti za škole i nastavnike (radionice) te trošak sudjelovanja na projektnom sastanku svih partnera.</w:t>
      </w:r>
    </w:p>
    <w:p w:rsidR="00505632" w:rsidRDefault="00505632" w:rsidP="00505632">
      <w:pPr>
        <w:pStyle w:val="Heading4"/>
      </w:pPr>
      <w:r>
        <w:t>A628078 POTICANJE PRIMJENE INFORMACIJSKE I KOMUNIKACIJSKE TEHNOLOGIJE ZA POTREBE MINISTARSTVA ZAŠTITE OKOLIŠA I PRIRODE</w:t>
      </w:r>
    </w:p>
    <w:tbl>
      <w:tblPr>
        <w:tblStyle w:val="StilTablice"/>
        <w:tblW w:w="10206" w:type="dxa"/>
        <w:jc w:val="center"/>
        <w:tblLook w:val="04A0" w:firstRow="1" w:lastRow="0" w:firstColumn="1" w:lastColumn="0" w:noHBand="0" w:noVBand="1"/>
      </w:tblPr>
      <w:tblGrid>
        <w:gridCol w:w="1882"/>
        <w:gridCol w:w="1965"/>
        <w:gridCol w:w="1969"/>
        <w:gridCol w:w="1969"/>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A628078-POTICANJE PRIMJENE INFORMACIJSKE I KOMUNIKACIJSKE TEHNOLOGIJE ZA POTREBE MINISTARSTVA ZAŠTITE OKOLIŠA I PRIRODE</w:t>
            </w:r>
          </w:p>
        </w:tc>
        <w:tc>
          <w:tcPr>
            <w:tcW w:w="2041" w:type="dxa"/>
          </w:tcPr>
          <w:p w:rsidR="00505632" w:rsidRDefault="00505632" w:rsidP="00AD4E52">
            <w:pPr>
              <w:pStyle w:val="CellColumn"/>
              <w:jc w:val="right"/>
            </w:pPr>
            <w:r>
              <w:rPr>
                <w:rFonts w:cs="Times New Roman"/>
              </w:rPr>
              <w:t>595.670</w:t>
            </w:r>
          </w:p>
        </w:tc>
        <w:tc>
          <w:tcPr>
            <w:tcW w:w="2041" w:type="dxa"/>
          </w:tcPr>
          <w:p w:rsidR="00505632" w:rsidRDefault="00505632" w:rsidP="00AD4E52">
            <w:pPr>
              <w:pStyle w:val="CellColumn"/>
              <w:jc w:val="right"/>
            </w:pPr>
            <w:r>
              <w:rPr>
                <w:rFonts w:cs="Times New Roman"/>
              </w:rPr>
              <w:t>1.861.090</w:t>
            </w:r>
          </w:p>
        </w:tc>
        <w:tc>
          <w:tcPr>
            <w:tcW w:w="2041" w:type="dxa"/>
          </w:tcPr>
          <w:p w:rsidR="00505632" w:rsidRDefault="00505632" w:rsidP="00AD4E52">
            <w:pPr>
              <w:pStyle w:val="CellColumn"/>
              <w:jc w:val="right"/>
            </w:pPr>
            <w:r>
              <w:rPr>
                <w:rFonts w:cs="Times New Roman"/>
              </w:rPr>
              <w:t>1.637.488</w:t>
            </w:r>
          </w:p>
        </w:tc>
        <w:tc>
          <w:tcPr>
            <w:tcW w:w="1224" w:type="dxa"/>
          </w:tcPr>
          <w:p w:rsidR="00505632" w:rsidRDefault="00505632" w:rsidP="00AD4E52">
            <w:pPr>
              <w:pStyle w:val="CellColumn"/>
              <w:jc w:val="right"/>
            </w:pPr>
            <w:r>
              <w:rPr>
                <w:rFonts w:cs="Times New Roman"/>
              </w:rPr>
              <w:t>88,0</w:t>
            </w:r>
          </w:p>
        </w:tc>
        <w:tc>
          <w:tcPr>
            <w:tcW w:w="1224" w:type="dxa"/>
          </w:tcPr>
          <w:p w:rsidR="00505632" w:rsidRDefault="00505632" w:rsidP="00AD4E52">
            <w:pPr>
              <w:pStyle w:val="CellColumn"/>
              <w:jc w:val="right"/>
            </w:pPr>
            <w:r>
              <w:rPr>
                <w:rFonts w:cs="Times New Roman"/>
              </w:rPr>
              <w:t>274,9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Odluka Vlade o suradnji na poticanju primjene informacijske i komunikacijske tehnologije za potrebe Ministarstva zaštite okoliša i prirode od 08. srpnja 2015. (Klasa: 022-03/15-04/275, Urbroj: 50301-5/25-15-3)</w:t>
      </w:r>
    </w:p>
    <w:p w:rsidR="00505632" w:rsidRDefault="00505632" w:rsidP="00505632">
      <w:pPr>
        <w:pStyle w:val="Heading8"/>
        <w:jc w:val="left"/>
      </w:pPr>
      <w:r>
        <w:t>Opis aktivnosti</w:t>
      </w:r>
    </w:p>
    <w:p w:rsidR="00505632" w:rsidRDefault="00505632" w:rsidP="00505632">
      <w:r>
        <w:t>Kroz ovu aktivnost, a temeljem Odluke Vlade Republike Hrvatske o suradnji na poticanju primjene informacijske i komunikacijske tehnologije za potrebe Ministarstva zaštite okoliša i prirode, a u cilju postizanja pune funkcionalnosti CARNet provodi aktivnosti vezano za povezivanje lokacija MZOIPa u računalno-komunikacijsku mrežu, nadzor i održavanje uspostavljenih veza, odgovarajuću fizičku i tehničku zaštitu, besprekidno napajanje i klimatizaciju za smještanje sadašnje računalne infrastrukture u vlasništvu MZ0IP-a; migraciju postojeće infrastrukture; te je osigurao virtualne resurse za preseljenje dijela postojećih kao i budućih informacijskih servisa.</w:t>
      </w:r>
    </w:p>
    <w:p w:rsidR="00505632" w:rsidRDefault="00505632" w:rsidP="00505632">
      <w:pPr>
        <w:pStyle w:val="Heading4"/>
      </w:pPr>
      <w:r>
        <w:t>A628079 POTICANJE PRIMJENE INFORMACIJSKE I KOMUNIKACIJSKE TEHNOLOGIJE ZA POTREBE HZMO</w:t>
      </w:r>
    </w:p>
    <w:tbl>
      <w:tblPr>
        <w:tblStyle w:val="StilTablice"/>
        <w:tblW w:w="10206" w:type="dxa"/>
        <w:jc w:val="center"/>
        <w:tblLook w:val="04A0" w:firstRow="1" w:lastRow="0" w:firstColumn="1" w:lastColumn="0" w:noHBand="0" w:noVBand="1"/>
      </w:tblPr>
      <w:tblGrid>
        <w:gridCol w:w="1882"/>
        <w:gridCol w:w="1965"/>
        <w:gridCol w:w="1969"/>
        <w:gridCol w:w="1969"/>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A628079-POTICANJE PRIMJENE INFORMACIJSKE I KOMUNIKACIJSKE TEHNOLOGIJE ZA POTREBE HZMO</w:t>
            </w:r>
          </w:p>
        </w:tc>
        <w:tc>
          <w:tcPr>
            <w:tcW w:w="2041" w:type="dxa"/>
          </w:tcPr>
          <w:p w:rsidR="00505632" w:rsidRDefault="00505632" w:rsidP="00AD4E52">
            <w:pPr>
              <w:pStyle w:val="CellColumn"/>
              <w:jc w:val="right"/>
            </w:pPr>
            <w:r>
              <w:rPr>
                <w:rFonts w:cs="Times New Roman"/>
              </w:rPr>
              <w:t>29.425</w:t>
            </w:r>
          </w:p>
        </w:tc>
        <w:tc>
          <w:tcPr>
            <w:tcW w:w="2041" w:type="dxa"/>
          </w:tcPr>
          <w:p w:rsidR="00505632" w:rsidRDefault="00505632" w:rsidP="00AD4E52">
            <w:pPr>
              <w:pStyle w:val="CellColumn"/>
              <w:jc w:val="right"/>
            </w:pPr>
            <w:r>
              <w:rPr>
                <w:rFonts w:cs="Times New Roman"/>
              </w:rPr>
              <w:t>1.015.943</w:t>
            </w:r>
          </w:p>
        </w:tc>
        <w:tc>
          <w:tcPr>
            <w:tcW w:w="2041" w:type="dxa"/>
          </w:tcPr>
          <w:p w:rsidR="00505632" w:rsidRDefault="00505632" w:rsidP="00AD4E52">
            <w:pPr>
              <w:pStyle w:val="CellColumn"/>
              <w:jc w:val="right"/>
            </w:pPr>
            <w:r>
              <w:rPr>
                <w:rFonts w:cs="Times New Roman"/>
              </w:rPr>
              <w:t>1.002.066</w:t>
            </w:r>
          </w:p>
        </w:tc>
        <w:tc>
          <w:tcPr>
            <w:tcW w:w="1224" w:type="dxa"/>
          </w:tcPr>
          <w:p w:rsidR="00505632" w:rsidRDefault="00505632" w:rsidP="00AD4E52">
            <w:pPr>
              <w:pStyle w:val="CellColumn"/>
              <w:jc w:val="right"/>
            </w:pPr>
            <w:r>
              <w:rPr>
                <w:rFonts w:cs="Times New Roman"/>
              </w:rPr>
              <w:t>98,6</w:t>
            </w:r>
          </w:p>
        </w:tc>
        <w:tc>
          <w:tcPr>
            <w:tcW w:w="1224" w:type="dxa"/>
          </w:tcPr>
          <w:p w:rsidR="00505632" w:rsidRDefault="00505632" w:rsidP="00AD4E52">
            <w:pPr>
              <w:pStyle w:val="CellColumn"/>
              <w:jc w:val="right"/>
            </w:pPr>
            <w:r>
              <w:rPr>
                <w:rFonts w:cs="Times New Roman"/>
              </w:rPr>
              <w:t>3405,5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Odluka Vlade Republike Hrvatske o suradnji na poticanju primjene informacijske i komunikacijske tehnologije za potrebe Hrvatskog zavoda za mirovinsko osiguranje od 21.05.2015. (Klasa:022-03/15-04/200, Ur.broj: 50301-04/04-15-2)</w:t>
      </w:r>
    </w:p>
    <w:p w:rsidR="00505632" w:rsidRDefault="00505632" w:rsidP="00505632">
      <w:pPr>
        <w:pStyle w:val="Heading8"/>
        <w:jc w:val="left"/>
      </w:pPr>
      <w:r>
        <w:t>Opis aktivnosti</w:t>
      </w:r>
    </w:p>
    <w:p w:rsidR="00505632" w:rsidRDefault="00505632" w:rsidP="00505632">
      <w:r>
        <w:t>Temeljem Odluke Vlade Republike Hrvatske kroz ovu aktivnost CARNet je pružao potrebnu pomoć Hrvatskom zavodu za mirovinsko osiguranje vezano uz razvoj, izgradnju i održavanje mrežne infrastrukture te mrežnih servisa informacijskog sustava mirovinskog osiguranja, financiran je najam veza i prijenosnih kapaciteta za povezivanje lokacija HZMO-a u računalno-komunikacijsku mrežu, te ljudski rad djelatnika CARNeta koji nadziru i održavaju uspostavljene veze i pružaju savjetodavne usluge vezane uz izgradnju, razvoj i održavanje sustava.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Umrežene ustanove iz sustava HZMO</w:t>
            </w:r>
          </w:p>
        </w:tc>
        <w:tc>
          <w:tcPr>
            <w:tcW w:w="2551" w:type="dxa"/>
          </w:tcPr>
          <w:p w:rsidR="00505632" w:rsidRDefault="00505632" w:rsidP="00AD4E52">
            <w:pPr>
              <w:pStyle w:val="CellColumn"/>
              <w:jc w:val="left"/>
            </w:pPr>
            <w:r>
              <w:rPr>
                <w:rFonts w:cs="Times New Roman"/>
              </w:rPr>
              <w:t>Postotak ustanova iz sustava HZMO spojenih na mrežu CARNet</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CARNet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99</w:t>
            </w:r>
          </w:p>
        </w:tc>
      </w:tr>
    </w:tbl>
    <w:p w:rsidR="00505632" w:rsidRDefault="00505632" w:rsidP="00505632">
      <w:pPr>
        <w:jc w:val="left"/>
      </w:pPr>
    </w:p>
    <w:p w:rsidR="00505632" w:rsidRDefault="00505632" w:rsidP="00505632">
      <w:pPr>
        <w:pStyle w:val="Heading4"/>
      </w:pPr>
      <w:r>
        <w:t>K406669 CARNET - ZAJEDNIČKA RK INFRASTRUKTURA</w:t>
      </w:r>
    </w:p>
    <w:tbl>
      <w:tblPr>
        <w:tblStyle w:val="StilTablice"/>
        <w:tblW w:w="10206" w:type="dxa"/>
        <w:jc w:val="center"/>
        <w:tblLook w:val="04A0" w:firstRow="1" w:lastRow="0" w:firstColumn="1" w:lastColumn="0" w:noHBand="0" w:noVBand="1"/>
      </w:tblPr>
      <w:tblGrid>
        <w:gridCol w:w="1915"/>
        <w:gridCol w:w="1957"/>
        <w:gridCol w:w="1958"/>
        <w:gridCol w:w="1958"/>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K406669-CARNET - ZAJEDNIČKA RK INFRASTRUKTURA</w:t>
            </w:r>
          </w:p>
        </w:tc>
        <w:tc>
          <w:tcPr>
            <w:tcW w:w="2041" w:type="dxa"/>
          </w:tcPr>
          <w:p w:rsidR="00505632" w:rsidRDefault="00505632" w:rsidP="00AD4E52">
            <w:pPr>
              <w:pStyle w:val="CellColumn"/>
              <w:jc w:val="right"/>
            </w:pPr>
            <w:r>
              <w:rPr>
                <w:rFonts w:cs="Times New Roman"/>
              </w:rPr>
              <w:t>3.594.129</w:t>
            </w:r>
          </w:p>
        </w:tc>
        <w:tc>
          <w:tcPr>
            <w:tcW w:w="2041" w:type="dxa"/>
          </w:tcPr>
          <w:p w:rsidR="00505632" w:rsidRDefault="00505632" w:rsidP="00AD4E52">
            <w:pPr>
              <w:pStyle w:val="CellColumn"/>
              <w:jc w:val="right"/>
            </w:pPr>
            <w:r>
              <w:rPr>
                <w:rFonts w:cs="Times New Roman"/>
              </w:rPr>
              <w:t>3.507.986</w:t>
            </w:r>
          </w:p>
        </w:tc>
        <w:tc>
          <w:tcPr>
            <w:tcW w:w="2041" w:type="dxa"/>
          </w:tcPr>
          <w:p w:rsidR="00505632" w:rsidRDefault="00505632" w:rsidP="00AD4E52">
            <w:pPr>
              <w:pStyle w:val="CellColumn"/>
              <w:jc w:val="right"/>
            </w:pPr>
            <w:r>
              <w:rPr>
                <w:rFonts w:cs="Times New Roman"/>
              </w:rPr>
              <w:t>3.492.397</w:t>
            </w:r>
          </w:p>
        </w:tc>
        <w:tc>
          <w:tcPr>
            <w:tcW w:w="1224" w:type="dxa"/>
          </w:tcPr>
          <w:p w:rsidR="00505632" w:rsidRDefault="00505632" w:rsidP="00AD4E52">
            <w:pPr>
              <w:pStyle w:val="CellColumn"/>
              <w:jc w:val="right"/>
            </w:pPr>
            <w:r>
              <w:rPr>
                <w:rFonts w:cs="Times New Roman"/>
              </w:rPr>
              <w:t>99,6</w:t>
            </w:r>
          </w:p>
        </w:tc>
        <w:tc>
          <w:tcPr>
            <w:tcW w:w="1224" w:type="dxa"/>
          </w:tcPr>
          <w:p w:rsidR="00505632" w:rsidRDefault="00505632" w:rsidP="00AD4E52">
            <w:pPr>
              <w:pStyle w:val="CellColumn"/>
              <w:jc w:val="right"/>
            </w:pPr>
            <w:r>
              <w:rPr>
                <w:rFonts w:cs="Times New Roman"/>
              </w:rPr>
              <w:t>97,2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•Uredba o Hrvatskoj akademskoj i istraživačkoj mreži CARNet (NN 23/15) </w:t>
      </w:r>
    </w:p>
    <w:p w:rsidR="00505632" w:rsidRDefault="00505632" w:rsidP="00505632">
      <w:r>
        <w:t>•Statut Hrvatske akademske i istraživačke mreže CARNet</w:t>
      </w:r>
    </w:p>
    <w:p w:rsidR="00505632" w:rsidRDefault="00505632" w:rsidP="00505632">
      <w:pPr>
        <w:pStyle w:val="Heading8"/>
        <w:jc w:val="left"/>
      </w:pPr>
      <w:r>
        <w:t>Opis aktivnosti</w:t>
      </w:r>
    </w:p>
    <w:p w:rsidR="00505632" w:rsidRDefault="00505632" w:rsidP="00505632">
      <w:r>
        <w:t>U okviru ove aktivnosti financirala se izgradnja svjetlovodne infrastrukture za povezivanje lokacija ustanova članica CARNeta na CARNet mrežu u suradnji s gradom Rijekom i gradom Pulom, kao i nabavka mrežnih dodataka za prihvat veza na mrežnoj opremi. Kroz ovu aktivnost financirala se i odgovarajuća računalna i komunikacijska oprema, koja je uz telekomunikacijske kapacitete nužna za spajanje ustanova članica u CARNet mrežu (usmjerivači i preklopnici), kao i oprema nužna za izgradnju jezgre CARNet mreže te sustav za zaštitu i filtriranje web prometa za korisnike Interneta u osnovnim i srednjim školama. Također, kroz ovu aktivnost financirana je zamjena računalne opreme za korištenje u samom CARNetu.</w:t>
      </w:r>
    </w:p>
    <w:p w:rsidR="00505632" w:rsidRDefault="00505632" w:rsidP="00505632">
      <w:pPr>
        <w:pStyle w:val="Heading4"/>
      </w:pPr>
      <w:r>
        <w:t>K628069 ULAGANJE U OPREMU ZA ODRŽAVANJE NACIONALNIH I INFORMACIJSKIH SERVISA</w:t>
      </w:r>
    </w:p>
    <w:tbl>
      <w:tblPr>
        <w:tblStyle w:val="StilTablice"/>
        <w:tblW w:w="10206" w:type="dxa"/>
        <w:jc w:val="center"/>
        <w:tblLook w:val="04A0" w:firstRow="1" w:lastRow="0" w:firstColumn="1" w:lastColumn="0" w:noHBand="0" w:noVBand="1"/>
      </w:tblPr>
      <w:tblGrid>
        <w:gridCol w:w="1781"/>
        <w:gridCol w:w="1997"/>
        <w:gridCol w:w="1998"/>
        <w:gridCol w:w="1998"/>
        <w:gridCol w:w="1214"/>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K628069-ULAGANJE U OPREMU ZA ODRŽAVANJE NACIONALNIH I INFORMACIJSKIH SERVISA</w:t>
            </w:r>
          </w:p>
        </w:tc>
        <w:tc>
          <w:tcPr>
            <w:tcW w:w="2041" w:type="dxa"/>
          </w:tcPr>
          <w:p w:rsidR="00505632" w:rsidRDefault="00505632" w:rsidP="00AD4E52">
            <w:pPr>
              <w:pStyle w:val="CellColumn"/>
              <w:jc w:val="right"/>
            </w:pPr>
            <w:r>
              <w:rPr>
                <w:rFonts w:cs="Times New Roman"/>
              </w:rPr>
              <w:t>4.054.929</w:t>
            </w:r>
          </w:p>
        </w:tc>
        <w:tc>
          <w:tcPr>
            <w:tcW w:w="2041" w:type="dxa"/>
          </w:tcPr>
          <w:p w:rsidR="00505632" w:rsidRDefault="00505632" w:rsidP="00AD4E52">
            <w:pPr>
              <w:pStyle w:val="CellColumn"/>
              <w:jc w:val="right"/>
            </w:pPr>
            <w:r>
              <w:rPr>
                <w:rFonts w:cs="Times New Roman"/>
              </w:rPr>
              <w:t>3.395.994</w:t>
            </w:r>
          </w:p>
        </w:tc>
        <w:tc>
          <w:tcPr>
            <w:tcW w:w="2041" w:type="dxa"/>
          </w:tcPr>
          <w:p w:rsidR="00505632" w:rsidRDefault="00505632" w:rsidP="00AD4E52">
            <w:pPr>
              <w:pStyle w:val="CellColumn"/>
              <w:jc w:val="right"/>
            </w:pPr>
            <w:r>
              <w:rPr>
                <w:rFonts w:cs="Times New Roman"/>
              </w:rPr>
              <w:t>3.329.271</w:t>
            </w:r>
          </w:p>
        </w:tc>
        <w:tc>
          <w:tcPr>
            <w:tcW w:w="1224" w:type="dxa"/>
          </w:tcPr>
          <w:p w:rsidR="00505632" w:rsidRDefault="00505632" w:rsidP="00AD4E52">
            <w:pPr>
              <w:pStyle w:val="CellColumn"/>
              <w:jc w:val="right"/>
            </w:pPr>
            <w:r>
              <w:rPr>
                <w:rFonts w:cs="Times New Roman"/>
              </w:rPr>
              <w:t>98,0</w:t>
            </w:r>
          </w:p>
        </w:tc>
        <w:tc>
          <w:tcPr>
            <w:tcW w:w="1224" w:type="dxa"/>
          </w:tcPr>
          <w:p w:rsidR="00505632" w:rsidRDefault="00505632" w:rsidP="00AD4E52">
            <w:pPr>
              <w:pStyle w:val="CellColumn"/>
              <w:jc w:val="right"/>
            </w:pPr>
            <w:r>
              <w:rPr>
                <w:rFonts w:cs="Times New Roman"/>
              </w:rPr>
              <w:t>82,1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Odluka Ministarstva, znanosti, obrazovanja i sporta o uspostavi Centra podrške za Nacionalni informacijski sustav prijava i upisa u srednje škole NISpuSŠ (Klasa:602-01/11-01100325; Ur.br:533-09-1-0008;  </w:t>
      </w:r>
    </w:p>
    <w:p w:rsidR="00505632" w:rsidRDefault="00505632" w:rsidP="00505632">
      <w:r>
        <w:t>Odluka MZOS o uspostavi i radu Centara potpore Integriranom informacijskom sustavu za upravljanje standardiziranim skupovima podataka u obrazovanju eMatica u CARNetu (klasa: 650-01/12-01/00022,Ur.br: 533-05-12-0002)</w:t>
      </w:r>
    </w:p>
    <w:p w:rsidR="00505632" w:rsidRDefault="00505632" w:rsidP="00505632">
      <w:pPr>
        <w:pStyle w:val="Heading8"/>
        <w:jc w:val="left"/>
      </w:pPr>
      <w:r>
        <w:t>Opis aktivnosti</w:t>
      </w:r>
    </w:p>
    <w:p w:rsidR="00505632" w:rsidRDefault="00505632" w:rsidP="00505632">
      <w:r>
        <w:t>U okviru ove aktivnosti financirale su se nadogradnje sustava e-Matice i Nacionalnog informacijskog sustava prijava i upisa u srednje škole, u skladu s potrebama i zahtjevima Ministarstva znanosti i obrazovanja i korisnika. Nabavljen je sustav za pohranu podataka i dijeljenje podataka, UPS uređaji za besprekidno napajanje, te Splunk Enterprise softverski program.</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Provedba elektroničkih prijava i upisa u srednje škole</w:t>
            </w:r>
          </w:p>
        </w:tc>
        <w:tc>
          <w:tcPr>
            <w:tcW w:w="2551" w:type="dxa"/>
          </w:tcPr>
          <w:p w:rsidR="00505632" w:rsidRDefault="00505632" w:rsidP="00AD4E52">
            <w:pPr>
              <w:pStyle w:val="CellColumn"/>
              <w:jc w:val="left"/>
            </w:pPr>
            <w:r>
              <w:rPr>
                <w:rFonts w:cs="Times New Roman"/>
              </w:rPr>
              <w:t>Provedba elektroničkih prijava i upisa u srednje škole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CARNet</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Broj škola u e-dnevnik sustavu</w:t>
            </w:r>
          </w:p>
        </w:tc>
        <w:tc>
          <w:tcPr>
            <w:tcW w:w="2551" w:type="dxa"/>
          </w:tcPr>
          <w:p w:rsidR="00505632" w:rsidRDefault="00505632" w:rsidP="00AD4E52">
            <w:pPr>
              <w:pStyle w:val="CellColumn"/>
              <w:jc w:val="left"/>
            </w:pPr>
            <w:r>
              <w:rPr>
                <w:rFonts w:cs="Times New Roman"/>
              </w:rPr>
              <w:t>Broj škola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554</w:t>
            </w:r>
          </w:p>
        </w:tc>
        <w:tc>
          <w:tcPr>
            <w:tcW w:w="1020" w:type="dxa"/>
          </w:tcPr>
          <w:p w:rsidR="00505632" w:rsidRDefault="00505632" w:rsidP="00AD4E52">
            <w:pPr>
              <w:pStyle w:val="CellColumn"/>
              <w:jc w:val="right"/>
            </w:pPr>
            <w:r>
              <w:rPr>
                <w:rFonts w:cs="Times New Roman"/>
              </w:rPr>
              <w:t>CARNet</w:t>
            </w:r>
          </w:p>
        </w:tc>
        <w:tc>
          <w:tcPr>
            <w:tcW w:w="1020" w:type="dxa"/>
          </w:tcPr>
          <w:p w:rsidR="00505632" w:rsidRDefault="00505632" w:rsidP="00AD4E52">
            <w:pPr>
              <w:pStyle w:val="CellColumn"/>
              <w:jc w:val="right"/>
            </w:pPr>
            <w:r>
              <w:rPr>
                <w:rFonts w:cs="Times New Roman"/>
              </w:rPr>
              <w:t>750</w:t>
            </w:r>
          </w:p>
        </w:tc>
        <w:tc>
          <w:tcPr>
            <w:tcW w:w="1020" w:type="dxa"/>
          </w:tcPr>
          <w:p w:rsidR="00505632" w:rsidRDefault="00505632" w:rsidP="00AD4E52">
            <w:pPr>
              <w:pStyle w:val="CellColumn"/>
              <w:jc w:val="right"/>
            </w:pPr>
            <w:r>
              <w:rPr>
                <w:rFonts w:cs="Times New Roman"/>
              </w:rPr>
              <w:t>810</w:t>
            </w:r>
          </w:p>
        </w:tc>
      </w:tr>
    </w:tbl>
    <w:p w:rsidR="00505632" w:rsidRDefault="00505632" w:rsidP="00505632">
      <w:pPr>
        <w:jc w:val="left"/>
      </w:pPr>
    </w:p>
    <w:p w:rsidR="00505632" w:rsidRDefault="00505632" w:rsidP="00505632">
      <w:pPr>
        <w:pStyle w:val="Heading4"/>
      </w:pPr>
      <w:r>
        <w:t>K628081 OP UČINKOVITI LJUDSKI POTENCIJALI 2014.-2020, PRIORITET 3</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K628081-OP UČINKOVITI LJUDSKI POTENCIJALI 2014.-2020, PRIORITET 3</w:t>
            </w:r>
          </w:p>
        </w:tc>
        <w:tc>
          <w:tcPr>
            <w:tcW w:w="2041" w:type="dxa"/>
          </w:tcPr>
          <w:p w:rsidR="00505632" w:rsidRDefault="00505632" w:rsidP="00AD4E52">
            <w:pPr>
              <w:pStyle w:val="CellColumn"/>
              <w:jc w:val="right"/>
            </w:pPr>
            <w:r>
              <w:rPr>
                <w:rFonts w:cs="Times New Roman"/>
              </w:rPr>
              <w:t>124.600</w:t>
            </w:r>
          </w:p>
        </w:tc>
        <w:tc>
          <w:tcPr>
            <w:tcW w:w="2041" w:type="dxa"/>
          </w:tcPr>
          <w:p w:rsidR="00505632" w:rsidRDefault="00505632" w:rsidP="00AD4E52">
            <w:pPr>
              <w:pStyle w:val="CellColumn"/>
              <w:jc w:val="right"/>
            </w:pPr>
            <w:r>
              <w:rPr>
                <w:rFonts w:cs="Times New Roman"/>
              </w:rPr>
              <w:t>22.071.534</w:t>
            </w:r>
          </w:p>
        </w:tc>
        <w:tc>
          <w:tcPr>
            <w:tcW w:w="2041" w:type="dxa"/>
          </w:tcPr>
          <w:p w:rsidR="00505632" w:rsidRDefault="00505632" w:rsidP="00AD4E52">
            <w:pPr>
              <w:pStyle w:val="CellColumn"/>
              <w:jc w:val="right"/>
            </w:pPr>
            <w:r>
              <w:rPr>
                <w:rFonts w:cs="Times New Roman"/>
              </w:rPr>
              <w:t>13.615.697</w:t>
            </w:r>
          </w:p>
        </w:tc>
        <w:tc>
          <w:tcPr>
            <w:tcW w:w="1224" w:type="dxa"/>
          </w:tcPr>
          <w:p w:rsidR="00505632" w:rsidRDefault="00505632" w:rsidP="00AD4E52">
            <w:pPr>
              <w:pStyle w:val="CellColumn"/>
              <w:jc w:val="right"/>
            </w:pPr>
            <w:r>
              <w:rPr>
                <w:rFonts w:cs="Times New Roman"/>
              </w:rPr>
              <w:t>61,7</w:t>
            </w:r>
          </w:p>
        </w:tc>
        <w:tc>
          <w:tcPr>
            <w:tcW w:w="1224" w:type="dxa"/>
          </w:tcPr>
          <w:p w:rsidR="00505632" w:rsidRDefault="00505632" w:rsidP="00AD4E52">
            <w:pPr>
              <w:pStyle w:val="CellColumn"/>
              <w:jc w:val="right"/>
            </w:pPr>
            <w:r>
              <w:rPr>
                <w:rFonts w:cs="Times New Roman"/>
              </w:rPr>
              <w:t>10927,5</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Projekt e-Škole: Uspostava sustava digitalno zrelih škola (pilot projekt) dio je šireg programa e-Škole. Sâm pilot projekt odgovara na uočenu potrebu za sustavnim pristupom uvođenja IKT-a u obrazovni sustav uspostavom sustava razvoja digitalno zrelih škola tako što će pilotirati organizacijske tehnološke i obrazovne koncepte uvođenja IKT-a u obrazovne i poslovne procese u odabranim školama i, na temelju iskustva pilotiranja, razviti strategiju za implementaciju sustava digitalno zrelih škola. </w:t>
      </w:r>
    </w:p>
    <w:p w:rsidR="00505632" w:rsidRDefault="00505632" w:rsidP="00505632">
      <w:r>
        <w:t xml:space="preserve">Projekt se financira iz strukturnih fondova EU, a zbog specifičnosti troškovnih aktivnosti, od kojih neke prirodno potpadaju pod ESF, a druge pod ERDF fondove, kao i zbog upravljačke strukture unutar RH, projekt je, u dogovoru s nadležnim ministarstvima (MZO, MRMS, MRRFEU) podijeljen na dva dijela koja se logično nadopunjuju - projekt A i projekt B.  </w:t>
      </w:r>
    </w:p>
    <w:p w:rsidR="00505632" w:rsidRDefault="00505632" w:rsidP="00505632">
      <w:r>
        <w:t xml:space="preserve">Projekt A i projekt B se vodi kao zaokružena cjelina i na taj način se osiguravaju sinergijski učinci. Projekt time doprinosi ciljevima oba operativna programa (OP KK i OP ULJP) pomoću dva seta specifičnih ciljeva, ali i zadanim pokazateljima u okviru oba operativna programa. </w:t>
      </w:r>
    </w:p>
    <w:p w:rsidR="00505632" w:rsidRDefault="00505632" w:rsidP="00505632">
      <w:r>
        <w:t>U razradi projekta naglasak je stavljen na obrazovanje i podršku nastavnom i nenastavnom osoblju te razvoj digitalnih sadržaja i usluga, s pomoću kojih  se unaprjeđuju obrazovni, administrativni i poslovni procesi u školama. Kako bi ti procesi mogli biti optimalno iskorišteni, potrebno je i škole opremiti adekvatnom IKT infrastrukturom i opremom.</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škola obuhvaćenih projektom e-Škola kod kojih je podignuta razina digitalne zrelosti</w:t>
            </w:r>
          </w:p>
        </w:tc>
        <w:tc>
          <w:tcPr>
            <w:tcW w:w="2551" w:type="dxa"/>
          </w:tcPr>
          <w:p w:rsidR="00505632" w:rsidRDefault="00505632" w:rsidP="00AD4E52">
            <w:pPr>
              <w:pStyle w:val="CellColumn"/>
              <w:jc w:val="left"/>
            </w:pPr>
            <w:r>
              <w:rPr>
                <w:rFonts w:cs="Times New Roman"/>
              </w:rPr>
              <w:t>Broj škola obuhvaćenih projektom e-Škola kod kojih je podignuta razina digitalne zrelosti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Okvir za digitalnu zrelost škola</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20</w:t>
            </w:r>
          </w:p>
        </w:tc>
      </w:tr>
    </w:tbl>
    <w:p w:rsidR="00505632" w:rsidRDefault="00505632" w:rsidP="00505632">
      <w:pPr>
        <w:jc w:val="left"/>
      </w:pPr>
    </w:p>
    <w:p w:rsidR="00505632" w:rsidRDefault="00505632" w:rsidP="00505632">
      <w:pPr>
        <w:pStyle w:val="Heading3"/>
      </w:pPr>
      <w:r>
        <w:rPr>
          <w:rFonts w:cs="Times New Roman"/>
        </w:rPr>
        <w:t>21869 Leksikografski zavod Miroslav Krleža</w:t>
      </w:r>
    </w:p>
    <w:p w:rsidR="00505632" w:rsidRDefault="00505632" w:rsidP="00505632">
      <w:r>
        <w:t>Leksikografski zavod "Miroslav Krleža" utemeljen je 05. listopada 1950. godine na poticaj književnika i erudita Miroslava Krleže. Hrvatski sabor donio je 29. svibnja 2003. Zakon o Leksikografskom zavodu, kojim je regulirao njegov pravni status, djelatnost i ustrojstvo. Zavod je tada definiran kao javna ustanova osnovana od strane Republike Hrvatske i od njenog osobitog interesa. Leksikografski zavod je središnja hrvatska leksikografska ustanova čija izdanja predstavljaju važan doprinos održavanju i podizanju hrvatskog intelektualnog standarda. Osnovna je djelatnost Zavoda leksikografska i enciklopedička, odnosno  prikupljanje, obrada i provjera podataka, koji se uz dodatna temeljna istraživanja (radi razvijanja znanstveno-strukovne osnove) koriste kao baza podataka, za izradbu različitih edicija.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21869-Leksikografski zavod Miroslav Krleža</w:t>
            </w:r>
          </w:p>
        </w:tc>
        <w:tc>
          <w:tcPr>
            <w:tcW w:w="2041" w:type="dxa"/>
          </w:tcPr>
          <w:p w:rsidR="00505632" w:rsidRDefault="00505632" w:rsidP="00AD4E52">
            <w:pPr>
              <w:pStyle w:val="CellColumn"/>
              <w:jc w:val="right"/>
            </w:pPr>
            <w:r>
              <w:rPr>
                <w:rFonts w:cs="Times New Roman"/>
              </w:rPr>
              <w:t>25.047.273</w:t>
            </w:r>
          </w:p>
        </w:tc>
        <w:tc>
          <w:tcPr>
            <w:tcW w:w="2041" w:type="dxa"/>
          </w:tcPr>
          <w:p w:rsidR="00505632" w:rsidRDefault="00505632" w:rsidP="00AD4E52">
            <w:pPr>
              <w:pStyle w:val="CellColumn"/>
              <w:jc w:val="right"/>
            </w:pPr>
            <w:r>
              <w:rPr>
                <w:rFonts w:cs="Times New Roman"/>
              </w:rPr>
              <w:t>24.705.997</w:t>
            </w:r>
          </w:p>
        </w:tc>
        <w:tc>
          <w:tcPr>
            <w:tcW w:w="2041" w:type="dxa"/>
          </w:tcPr>
          <w:p w:rsidR="00505632" w:rsidRDefault="00505632" w:rsidP="00AD4E52">
            <w:pPr>
              <w:pStyle w:val="CellColumn"/>
              <w:jc w:val="right"/>
            </w:pPr>
            <w:r>
              <w:rPr>
                <w:rFonts w:cs="Times New Roman"/>
              </w:rPr>
              <w:t>24.452.374</w:t>
            </w:r>
          </w:p>
        </w:tc>
        <w:tc>
          <w:tcPr>
            <w:tcW w:w="1224" w:type="dxa"/>
          </w:tcPr>
          <w:p w:rsidR="00505632" w:rsidRDefault="00505632" w:rsidP="00AD4E52">
            <w:pPr>
              <w:pStyle w:val="CellColumn"/>
              <w:jc w:val="right"/>
            </w:pPr>
            <w:r>
              <w:rPr>
                <w:rFonts w:cs="Times New Roman"/>
              </w:rPr>
              <w:t>99,0</w:t>
            </w:r>
          </w:p>
        </w:tc>
        <w:tc>
          <w:tcPr>
            <w:tcW w:w="1224" w:type="dxa"/>
          </w:tcPr>
          <w:p w:rsidR="00505632" w:rsidRDefault="00505632" w:rsidP="00AD4E52">
            <w:pPr>
              <w:pStyle w:val="CellColumn"/>
              <w:jc w:val="right"/>
            </w:pPr>
            <w:r>
              <w:rPr>
                <w:rFonts w:cs="Times New Roman"/>
              </w:rPr>
              <w:t>97,6</w:t>
            </w:r>
          </w:p>
        </w:tc>
      </w:tr>
      <w:tr w:rsidR="00505632" w:rsidTr="00AD4E52">
        <w:trPr>
          <w:jc w:val="center"/>
        </w:trPr>
        <w:tc>
          <w:tcPr>
            <w:tcW w:w="1632" w:type="dxa"/>
          </w:tcPr>
          <w:p w:rsidR="00505632" w:rsidRDefault="00505632" w:rsidP="00AD4E52">
            <w:pPr>
              <w:jc w:val="left"/>
            </w:pPr>
            <w:r>
              <w:t>3801-ULAGANJE U ZNANSTVENO ISTRAŽIVAČKU DJELATNOST</w:t>
            </w:r>
          </w:p>
        </w:tc>
        <w:tc>
          <w:tcPr>
            <w:tcW w:w="2041" w:type="dxa"/>
          </w:tcPr>
          <w:p w:rsidR="00505632" w:rsidRDefault="00505632" w:rsidP="00AD4E52">
            <w:pPr>
              <w:jc w:val="right"/>
            </w:pPr>
            <w:r>
              <w:t>25.047.273</w:t>
            </w:r>
          </w:p>
        </w:tc>
        <w:tc>
          <w:tcPr>
            <w:tcW w:w="2041" w:type="dxa"/>
          </w:tcPr>
          <w:p w:rsidR="00505632" w:rsidRDefault="00505632" w:rsidP="00AD4E52">
            <w:pPr>
              <w:jc w:val="right"/>
            </w:pPr>
            <w:r>
              <w:t>24.705.997</w:t>
            </w:r>
          </w:p>
        </w:tc>
        <w:tc>
          <w:tcPr>
            <w:tcW w:w="2041" w:type="dxa"/>
          </w:tcPr>
          <w:p w:rsidR="00505632" w:rsidRDefault="00505632" w:rsidP="00AD4E52">
            <w:pPr>
              <w:jc w:val="right"/>
            </w:pPr>
            <w:r>
              <w:t>24.452.374</w:t>
            </w:r>
          </w:p>
        </w:tc>
        <w:tc>
          <w:tcPr>
            <w:tcW w:w="1224" w:type="dxa"/>
          </w:tcPr>
          <w:p w:rsidR="00505632" w:rsidRDefault="00505632" w:rsidP="00AD4E52">
            <w:pPr>
              <w:jc w:val="right"/>
            </w:pPr>
            <w:r>
              <w:t>99,0</w:t>
            </w:r>
          </w:p>
        </w:tc>
        <w:tc>
          <w:tcPr>
            <w:tcW w:w="1224" w:type="dxa"/>
          </w:tcPr>
          <w:p w:rsidR="00505632" w:rsidRDefault="00505632" w:rsidP="00AD4E52">
            <w:pPr>
              <w:jc w:val="right"/>
            </w:pPr>
            <w:r>
              <w:t>97,6</w:t>
            </w:r>
          </w:p>
        </w:tc>
      </w:tr>
    </w:tbl>
    <w:p w:rsidR="00505632" w:rsidRDefault="00505632" w:rsidP="00505632">
      <w:pPr>
        <w:jc w:val="left"/>
      </w:pPr>
    </w:p>
    <w:p w:rsidR="00505632" w:rsidRDefault="00505632" w:rsidP="00505632">
      <w:pPr>
        <w:pStyle w:val="Heading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3801-ULAGANJE U ZNANSTVENO ISTRAŽIVAČKU DJELATNOST</w:t>
            </w:r>
          </w:p>
        </w:tc>
        <w:tc>
          <w:tcPr>
            <w:tcW w:w="2041" w:type="dxa"/>
          </w:tcPr>
          <w:p w:rsidR="00505632" w:rsidRDefault="00505632" w:rsidP="00AD4E52">
            <w:pPr>
              <w:pStyle w:val="CellColumn"/>
              <w:jc w:val="right"/>
            </w:pPr>
            <w:r>
              <w:rPr>
                <w:rFonts w:cs="Times New Roman"/>
              </w:rPr>
              <w:t>25.047.273</w:t>
            </w:r>
          </w:p>
        </w:tc>
        <w:tc>
          <w:tcPr>
            <w:tcW w:w="2041" w:type="dxa"/>
          </w:tcPr>
          <w:p w:rsidR="00505632" w:rsidRDefault="00505632" w:rsidP="00AD4E52">
            <w:pPr>
              <w:pStyle w:val="CellColumn"/>
              <w:jc w:val="right"/>
            </w:pPr>
            <w:r>
              <w:rPr>
                <w:rFonts w:cs="Times New Roman"/>
              </w:rPr>
              <w:t>24.705.997</w:t>
            </w:r>
          </w:p>
        </w:tc>
        <w:tc>
          <w:tcPr>
            <w:tcW w:w="2041" w:type="dxa"/>
          </w:tcPr>
          <w:p w:rsidR="00505632" w:rsidRDefault="00505632" w:rsidP="00AD4E52">
            <w:pPr>
              <w:pStyle w:val="CellColumn"/>
              <w:jc w:val="right"/>
            </w:pPr>
            <w:r>
              <w:rPr>
                <w:rFonts w:cs="Times New Roman"/>
              </w:rPr>
              <w:t>24.452.374</w:t>
            </w:r>
          </w:p>
        </w:tc>
        <w:tc>
          <w:tcPr>
            <w:tcW w:w="1224" w:type="dxa"/>
          </w:tcPr>
          <w:p w:rsidR="00505632" w:rsidRDefault="00505632" w:rsidP="00AD4E52">
            <w:pPr>
              <w:pStyle w:val="CellColumn"/>
              <w:jc w:val="right"/>
            </w:pPr>
            <w:r>
              <w:rPr>
                <w:rFonts w:cs="Times New Roman"/>
              </w:rPr>
              <w:t>99,0</w:t>
            </w:r>
          </w:p>
        </w:tc>
        <w:tc>
          <w:tcPr>
            <w:tcW w:w="1224" w:type="dxa"/>
          </w:tcPr>
          <w:p w:rsidR="00505632" w:rsidRDefault="00505632" w:rsidP="00AD4E52">
            <w:pPr>
              <w:pStyle w:val="CellColumn"/>
              <w:jc w:val="right"/>
            </w:pPr>
            <w:r>
              <w:rPr>
                <w:rFonts w:cs="Times New Roman"/>
              </w:rPr>
              <w:t>97,6</w:t>
            </w:r>
          </w:p>
        </w:tc>
      </w:tr>
    </w:tbl>
    <w:p w:rsidR="00505632" w:rsidRDefault="00505632" w:rsidP="00505632">
      <w:pPr>
        <w:jc w:val="left"/>
      </w:pPr>
    </w:p>
    <w:p w:rsidR="00505632" w:rsidRDefault="00505632" w:rsidP="00505632">
      <w:pPr>
        <w:pStyle w:val="Heading8"/>
        <w:jc w:val="left"/>
      </w:pPr>
      <w:r>
        <w:t xml:space="preserve">Cilj 1. Unaprijeđena povezanost znanstvenih organizacija s gospodarstvom i društvom u cjelini </w:t>
      </w:r>
    </w:p>
    <w:p w:rsidR="00505632" w:rsidRDefault="00505632" w:rsidP="00505632">
      <w:pPr>
        <w:pStyle w:val="Heading8"/>
        <w:jc w:val="left"/>
      </w:pPr>
      <w:r>
        <w:t>Opis provedbe cilja programa</w:t>
      </w:r>
    </w:p>
    <w:p w:rsidR="00505632" w:rsidRDefault="00505632" w:rsidP="00505632">
      <w:r>
        <w:t>Posebni cilj 2.1. - Strateški plan MZO-a 2016.-2018.</w:t>
      </w:r>
    </w:p>
    <w:p w:rsidR="00505632" w:rsidRDefault="00505632" w:rsidP="00505632">
      <w:pPr>
        <w:pStyle w:val="Heading4"/>
      </w:pPr>
      <w:r>
        <w:t>A622107 ADMINISTRACIJA I UPRAVLJANJE LEKSIKOGRAFSKOG ZAVODA MIROSLAV KRLEŽA</w:t>
      </w:r>
    </w:p>
    <w:tbl>
      <w:tblPr>
        <w:tblStyle w:val="StilTablice"/>
        <w:tblW w:w="10206" w:type="dxa"/>
        <w:jc w:val="center"/>
        <w:tblLook w:val="04A0" w:firstRow="1" w:lastRow="0" w:firstColumn="1" w:lastColumn="0" w:noHBand="0" w:noVBand="1"/>
      </w:tblPr>
      <w:tblGrid>
        <w:gridCol w:w="2048"/>
        <w:gridCol w:w="1919"/>
        <w:gridCol w:w="1920"/>
        <w:gridCol w:w="1920"/>
        <w:gridCol w:w="1193"/>
        <w:gridCol w:w="120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A622107-ADMINISTRACIJA I UPRAVLJANJE LEKSIKOGRAFSKOG ZAVODA MIROSLAV KRLEŽA</w:t>
            </w:r>
          </w:p>
        </w:tc>
        <w:tc>
          <w:tcPr>
            <w:tcW w:w="2041" w:type="dxa"/>
          </w:tcPr>
          <w:p w:rsidR="00505632" w:rsidRDefault="00505632" w:rsidP="00AD4E52">
            <w:pPr>
              <w:pStyle w:val="CellColumn"/>
              <w:jc w:val="right"/>
            </w:pPr>
            <w:r>
              <w:rPr>
                <w:rFonts w:cs="Times New Roman"/>
              </w:rPr>
              <w:t>25.047.273</w:t>
            </w:r>
          </w:p>
        </w:tc>
        <w:tc>
          <w:tcPr>
            <w:tcW w:w="2041" w:type="dxa"/>
          </w:tcPr>
          <w:p w:rsidR="00505632" w:rsidRDefault="00505632" w:rsidP="00AD4E52">
            <w:pPr>
              <w:pStyle w:val="CellColumn"/>
              <w:jc w:val="right"/>
            </w:pPr>
            <w:r>
              <w:rPr>
                <w:rFonts w:cs="Times New Roman"/>
              </w:rPr>
              <w:t>24.705.997</w:t>
            </w:r>
          </w:p>
        </w:tc>
        <w:tc>
          <w:tcPr>
            <w:tcW w:w="2041" w:type="dxa"/>
          </w:tcPr>
          <w:p w:rsidR="00505632" w:rsidRDefault="00505632" w:rsidP="00AD4E52">
            <w:pPr>
              <w:pStyle w:val="CellColumn"/>
              <w:jc w:val="right"/>
            </w:pPr>
            <w:r>
              <w:rPr>
                <w:rFonts w:cs="Times New Roman"/>
              </w:rPr>
              <w:t>24.452.374</w:t>
            </w:r>
          </w:p>
        </w:tc>
        <w:tc>
          <w:tcPr>
            <w:tcW w:w="1224" w:type="dxa"/>
          </w:tcPr>
          <w:p w:rsidR="00505632" w:rsidRDefault="00505632" w:rsidP="00AD4E52">
            <w:pPr>
              <w:pStyle w:val="CellColumn"/>
              <w:jc w:val="right"/>
            </w:pPr>
            <w:r>
              <w:rPr>
                <w:rFonts w:cs="Times New Roman"/>
              </w:rPr>
              <w:t>99,0</w:t>
            </w:r>
          </w:p>
        </w:tc>
        <w:tc>
          <w:tcPr>
            <w:tcW w:w="1224" w:type="dxa"/>
          </w:tcPr>
          <w:p w:rsidR="00505632" w:rsidRDefault="00505632" w:rsidP="00AD4E52">
            <w:pPr>
              <w:pStyle w:val="CellColumn"/>
              <w:jc w:val="right"/>
            </w:pPr>
            <w:r>
              <w:rPr>
                <w:rFonts w:cs="Times New Roman"/>
              </w:rPr>
              <w:t>97,6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Leksikografskom zavodu Miroslav Krleža</w:t>
      </w:r>
    </w:p>
    <w:p w:rsidR="00505632" w:rsidRDefault="00505632" w:rsidP="00505632">
      <w:pPr>
        <w:pStyle w:val="Heading8"/>
        <w:jc w:val="left"/>
      </w:pPr>
      <w:r>
        <w:t>Opis aktivnosti</w:t>
      </w:r>
    </w:p>
    <w:p w:rsidR="00505632" w:rsidRDefault="00505632" w:rsidP="00505632">
      <w:r>
        <w:t>Financiranjem rada i djelovanja Leksikografskog zavoda osiguravala su se sredstva za plaće i ostale rashode za 176 zaposlenika (materijalna prava te prijevoz na posao i s posla, a čime se poticalo i potiče se osnovna leksikografska i enciklopedijska djelatnost Zavoda.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popularizacijskih aktivnosti</w:t>
            </w:r>
          </w:p>
        </w:tc>
        <w:tc>
          <w:tcPr>
            <w:tcW w:w="2551" w:type="dxa"/>
          </w:tcPr>
          <w:p w:rsidR="00505632" w:rsidRDefault="00505632" w:rsidP="00AD4E52">
            <w:pPr>
              <w:pStyle w:val="CellColumn"/>
              <w:jc w:val="left"/>
            </w:pPr>
            <w:r>
              <w:rPr>
                <w:rFonts w:cs="Times New Roman"/>
              </w:rPr>
              <w:t>Broj aktivnosti koje provode znanstvene organizacije s ciljem popularizacije znanosti, tehnologije i inovacija</w:t>
            </w:r>
          </w:p>
        </w:tc>
        <w:tc>
          <w:tcPr>
            <w:tcW w:w="1020" w:type="dxa"/>
          </w:tcPr>
          <w:p w:rsidR="00505632" w:rsidRDefault="00505632" w:rsidP="00AD4E52">
            <w:pPr>
              <w:pStyle w:val="CellColumn"/>
              <w:jc w:val="right"/>
            </w:pPr>
            <w:r>
              <w:rPr>
                <w:rFonts w:cs="Times New Roman"/>
              </w:rPr>
              <w:t>Broj (godišnje)</w:t>
            </w:r>
          </w:p>
        </w:tc>
        <w:tc>
          <w:tcPr>
            <w:tcW w:w="1020" w:type="dxa"/>
          </w:tcPr>
          <w:p w:rsidR="00505632" w:rsidRDefault="00505632" w:rsidP="00AD4E52">
            <w:pPr>
              <w:pStyle w:val="CellColumn"/>
              <w:jc w:val="right"/>
            </w:pPr>
            <w:r>
              <w:rPr>
                <w:rFonts w:cs="Times New Roman"/>
              </w:rPr>
              <w:t xml:space="preserve">2.866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2.420</w:t>
            </w:r>
          </w:p>
        </w:tc>
        <w:tc>
          <w:tcPr>
            <w:tcW w:w="1020" w:type="dxa"/>
          </w:tcPr>
          <w:p w:rsidR="00505632" w:rsidRDefault="00505632" w:rsidP="00AD4E52">
            <w:pPr>
              <w:pStyle w:val="CellColumn"/>
              <w:jc w:val="right"/>
            </w:pPr>
            <w:r>
              <w:rPr>
                <w:rFonts w:cs="Times New Roman"/>
              </w:rPr>
              <w:t>6.738</w:t>
            </w:r>
          </w:p>
        </w:tc>
      </w:tr>
    </w:tbl>
    <w:p w:rsidR="00505632" w:rsidRDefault="00505632" w:rsidP="00505632">
      <w:pPr>
        <w:jc w:val="left"/>
      </w:pPr>
    </w:p>
    <w:p w:rsidR="00505632" w:rsidRDefault="00505632" w:rsidP="00505632">
      <w:pPr>
        <w:pStyle w:val="Heading3"/>
      </w:pPr>
      <w:r>
        <w:rPr>
          <w:rFonts w:cs="Times New Roman"/>
        </w:rPr>
        <w:t>23665 Sveučilišni računski centar SRCE</w:t>
      </w:r>
    </w:p>
    <w:p w:rsidR="00505632" w:rsidRDefault="00505632" w:rsidP="00505632">
      <w:r>
        <w:t>Srce je infrastrukturna javna ustanova osnovana s ciljem planiranja, projektiranja, izgradnje, održavanja i potpore uporabi infrastruktura i sustava utemeljenih na informacijskim i komunikacijskim tehnologijama, kako na nacionalnoj (državnoj) razini, tako i na razini Sveučilišta u Zagrebu.</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23665-Sveučilišni računski centar SRCE</w:t>
            </w:r>
          </w:p>
        </w:tc>
        <w:tc>
          <w:tcPr>
            <w:tcW w:w="2041" w:type="dxa"/>
          </w:tcPr>
          <w:p w:rsidR="00505632" w:rsidRDefault="00505632" w:rsidP="00AD4E52">
            <w:pPr>
              <w:pStyle w:val="CellColumn"/>
              <w:jc w:val="right"/>
            </w:pPr>
            <w:r>
              <w:rPr>
                <w:rFonts w:cs="Times New Roman"/>
              </w:rPr>
              <w:t>38.316.674</w:t>
            </w:r>
          </w:p>
        </w:tc>
        <w:tc>
          <w:tcPr>
            <w:tcW w:w="2041" w:type="dxa"/>
          </w:tcPr>
          <w:p w:rsidR="00505632" w:rsidRDefault="00505632" w:rsidP="00AD4E52">
            <w:pPr>
              <w:pStyle w:val="CellColumn"/>
              <w:jc w:val="right"/>
            </w:pPr>
            <w:r>
              <w:rPr>
                <w:rFonts w:cs="Times New Roman"/>
              </w:rPr>
              <w:t>40.484.342</w:t>
            </w:r>
          </w:p>
        </w:tc>
        <w:tc>
          <w:tcPr>
            <w:tcW w:w="2041" w:type="dxa"/>
          </w:tcPr>
          <w:p w:rsidR="00505632" w:rsidRDefault="00505632" w:rsidP="00AD4E52">
            <w:pPr>
              <w:pStyle w:val="CellColumn"/>
              <w:jc w:val="right"/>
            </w:pPr>
            <w:r>
              <w:rPr>
                <w:rFonts w:cs="Times New Roman"/>
              </w:rPr>
              <w:t>34.285.702</w:t>
            </w:r>
          </w:p>
        </w:tc>
        <w:tc>
          <w:tcPr>
            <w:tcW w:w="1224" w:type="dxa"/>
          </w:tcPr>
          <w:p w:rsidR="00505632" w:rsidRDefault="00505632" w:rsidP="00AD4E52">
            <w:pPr>
              <w:pStyle w:val="CellColumn"/>
              <w:jc w:val="right"/>
            </w:pPr>
            <w:r>
              <w:rPr>
                <w:rFonts w:cs="Times New Roman"/>
              </w:rPr>
              <w:t>84,7</w:t>
            </w:r>
          </w:p>
        </w:tc>
        <w:tc>
          <w:tcPr>
            <w:tcW w:w="1224" w:type="dxa"/>
          </w:tcPr>
          <w:p w:rsidR="00505632" w:rsidRDefault="00505632" w:rsidP="00AD4E52">
            <w:pPr>
              <w:pStyle w:val="CellColumn"/>
              <w:jc w:val="right"/>
            </w:pPr>
            <w:r>
              <w:rPr>
                <w:rFonts w:cs="Times New Roman"/>
              </w:rPr>
              <w:t>89,5</w:t>
            </w:r>
          </w:p>
        </w:tc>
      </w:tr>
      <w:tr w:rsidR="00505632" w:rsidTr="00AD4E52">
        <w:trPr>
          <w:jc w:val="center"/>
        </w:trPr>
        <w:tc>
          <w:tcPr>
            <w:tcW w:w="1632" w:type="dxa"/>
          </w:tcPr>
          <w:p w:rsidR="00505632" w:rsidRDefault="00505632" w:rsidP="00AD4E52">
            <w:pPr>
              <w:jc w:val="left"/>
            </w:pPr>
            <w:r>
              <w:t>3803-RAZVOJ INFORMACIJSKOG DRUŠTVA</w:t>
            </w:r>
          </w:p>
        </w:tc>
        <w:tc>
          <w:tcPr>
            <w:tcW w:w="2041" w:type="dxa"/>
          </w:tcPr>
          <w:p w:rsidR="00505632" w:rsidRDefault="00505632" w:rsidP="00AD4E52">
            <w:pPr>
              <w:jc w:val="right"/>
            </w:pPr>
            <w:r>
              <w:t>38.316.674</w:t>
            </w:r>
          </w:p>
        </w:tc>
        <w:tc>
          <w:tcPr>
            <w:tcW w:w="2041" w:type="dxa"/>
          </w:tcPr>
          <w:p w:rsidR="00505632" w:rsidRDefault="00505632" w:rsidP="00AD4E52">
            <w:pPr>
              <w:jc w:val="right"/>
            </w:pPr>
            <w:r>
              <w:t>40.484.342</w:t>
            </w:r>
          </w:p>
        </w:tc>
        <w:tc>
          <w:tcPr>
            <w:tcW w:w="2041" w:type="dxa"/>
          </w:tcPr>
          <w:p w:rsidR="00505632" w:rsidRDefault="00505632" w:rsidP="00AD4E52">
            <w:pPr>
              <w:jc w:val="right"/>
            </w:pPr>
            <w:r>
              <w:t>34.285.702</w:t>
            </w:r>
          </w:p>
        </w:tc>
        <w:tc>
          <w:tcPr>
            <w:tcW w:w="1224" w:type="dxa"/>
          </w:tcPr>
          <w:p w:rsidR="00505632" w:rsidRDefault="00505632" w:rsidP="00AD4E52">
            <w:pPr>
              <w:jc w:val="right"/>
            </w:pPr>
            <w:r>
              <w:t>84,7</w:t>
            </w:r>
          </w:p>
        </w:tc>
        <w:tc>
          <w:tcPr>
            <w:tcW w:w="1224" w:type="dxa"/>
          </w:tcPr>
          <w:p w:rsidR="00505632" w:rsidRDefault="00505632" w:rsidP="00AD4E52">
            <w:pPr>
              <w:jc w:val="right"/>
            </w:pPr>
            <w:r>
              <w:t>89,5</w:t>
            </w:r>
          </w:p>
        </w:tc>
      </w:tr>
    </w:tbl>
    <w:p w:rsidR="00505632" w:rsidRDefault="00505632" w:rsidP="00505632">
      <w:pPr>
        <w:jc w:val="left"/>
      </w:pPr>
    </w:p>
    <w:p w:rsidR="00505632" w:rsidRDefault="00505632" w:rsidP="00505632">
      <w:pPr>
        <w:pStyle w:val="Heading3"/>
      </w:pPr>
      <w:r>
        <w:rPr>
          <w:rFonts w:cs="Times New Roman"/>
        </w:rPr>
        <w:t>3803 RAZVOJ INFORMACIJSKOG DRUŠTVA</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3803-RAZVOJ INFORMACIJSKOG DRUŠTVA</w:t>
            </w:r>
          </w:p>
        </w:tc>
        <w:tc>
          <w:tcPr>
            <w:tcW w:w="2041" w:type="dxa"/>
          </w:tcPr>
          <w:p w:rsidR="00505632" w:rsidRDefault="00505632" w:rsidP="00AD4E52">
            <w:pPr>
              <w:pStyle w:val="CellColumn"/>
              <w:jc w:val="right"/>
            </w:pPr>
            <w:r>
              <w:rPr>
                <w:rFonts w:cs="Times New Roman"/>
              </w:rPr>
              <w:t>38.316.674</w:t>
            </w:r>
          </w:p>
        </w:tc>
        <w:tc>
          <w:tcPr>
            <w:tcW w:w="2041" w:type="dxa"/>
          </w:tcPr>
          <w:p w:rsidR="00505632" w:rsidRDefault="00505632" w:rsidP="00AD4E52">
            <w:pPr>
              <w:pStyle w:val="CellColumn"/>
              <w:jc w:val="right"/>
            </w:pPr>
            <w:r>
              <w:rPr>
                <w:rFonts w:cs="Times New Roman"/>
              </w:rPr>
              <w:t>40.484.342</w:t>
            </w:r>
          </w:p>
        </w:tc>
        <w:tc>
          <w:tcPr>
            <w:tcW w:w="2041" w:type="dxa"/>
          </w:tcPr>
          <w:p w:rsidR="00505632" w:rsidRDefault="00505632" w:rsidP="00AD4E52">
            <w:pPr>
              <w:pStyle w:val="CellColumn"/>
              <w:jc w:val="right"/>
            </w:pPr>
            <w:r>
              <w:rPr>
                <w:rFonts w:cs="Times New Roman"/>
              </w:rPr>
              <w:t>34.285.702</w:t>
            </w:r>
          </w:p>
        </w:tc>
        <w:tc>
          <w:tcPr>
            <w:tcW w:w="1224" w:type="dxa"/>
          </w:tcPr>
          <w:p w:rsidR="00505632" w:rsidRDefault="00505632" w:rsidP="00AD4E52">
            <w:pPr>
              <w:pStyle w:val="CellColumn"/>
              <w:jc w:val="right"/>
            </w:pPr>
            <w:r>
              <w:rPr>
                <w:rFonts w:cs="Times New Roman"/>
              </w:rPr>
              <w:t>84,7</w:t>
            </w:r>
          </w:p>
        </w:tc>
        <w:tc>
          <w:tcPr>
            <w:tcW w:w="1224" w:type="dxa"/>
          </w:tcPr>
          <w:p w:rsidR="00505632" w:rsidRDefault="00505632" w:rsidP="00AD4E52">
            <w:pPr>
              <w:pStyle w:val="CellColumn"/>
              <w:jc w:val="right"/>
            </w:pPr>
            <w:r>
              <w:rPr>
                <w:rFonts w:cs="Times New Roman"/>
              </w:rPr>
              <w:t>89,5</w:t>
            </w:r>
          </w:p>
        </w:tc>
      </w:tr>
    </w:tbl>
    <w:p w:rsidR="00505632" w:rsidRDefault="00505632" w:rsidP="00505632">
      <w:pPr>
        <w:jc w:val="left"/>
      </w:pPr>
    </w:p>
    <w:p w:rsidR="00505632" w:rsidRDefault="00505632" w:rsidP="00505632">
      <w:pPr>
        <w:pStyle w:val="Heading8"/>
        <w:jc w:val="left"/>
      </w:pPr>
      <w:r>
        <w:t xml:space="preserve">Cilj 1. Unaprijediti i osigurati pouzdan i stabilan rad temeljnih sastavnica e-infrastrukture sustava znanosti i obrazovanja RH, te ih povezati s europskim e-infrastrukturama, osigurati akademskoj zajednici pristup najnovijoj tehnologiji i uslugama. </w:t>
      </w:r>
    </w:p>
    <w:p w:rsidR="00505632" w:rsidRDefault="00505632" w:rsidP="00505632">
      <w:pPr>
        <w:pStyle w:val="Heading8"/>
        <w:jc w:val="left"/>
      </w:pPr>
      <w:r>
        <w:t>Opis provedbe cilja programa</w:t>
      </w:r>
    </w:p>
    <w:p w:rsidR="00505632" w:rsidRDefault="00505632" w:rsidP="00505632">
      <w:r>
        <w:t xml:space="preserve">Za uspješno svakodnevno funkcioniranje sustava obrazovanja i znanosti, za odvijanje obrazovnog procesa, kao i za izvođenje istraživačkih programa i projekata, te za povezivanje hrvatskoga s europskim obrazovnim i istraživačkim prostorom, nužno je pouzdano, stabilno i kvalitetno funkcioniranje temeljnih sastavnica e-infrastrukture, kao što su računalno-komunikacijska mreža, računalna sredstva opće namjene kao i računalna sredstva visoke učinkovitosti i/ili računalna sredstva za zahtjevna računanja, podatkovna infrastruktura za prihvat, pristup i čuvanje kolekcija podataka itd. Srce je svojim aktivnostima tijekom 2016. godine osiguravalo kontinuitet pouzdanog i stabilnog funkcioniranja, ali i razvoj i tehnološki i korisnički opravdanu nadogradnju nekih od navedenih sastavnica, među kojima su konkretno:  </w:t>
      </w:r>
    </w:p>
    <w:p w:rsidR="00505632" w:rsidRDefault="00505632" w:rsidP="00505632">
      <w:r>
        <w:t xml:space="preserve">• StuDOM - mrežna infrastruktura studentskih domova u RH, važna za sve studente smještene u svim studentskim domovima u RH </w:t>
      </w:r>
    </w:p>
    <w:p w:rsidR="00505632" w:rsidRDefault="00505632" w:rsidP="00505632">
      <w:r>
        <w:t xml:space="preserve">• hrvatsko sjedište (čvor) pan-europske mreže GÉANT, važno za povezanost hrvatske akademske i istraživačke mreže s europskom i globalnom mrežom </w:t>
      </w:r>
    </w:p>
    <w:p w:rsidR="00505632" w:rsidRDefault="00505632" w:rsidP="00505632">
      <w:r>
        <w:t xml:space="preserve">• Croatian Internet Exchange (CIX), hrvatsko nacionalno sjedište za razmjenu internetskog prometa, važno za funkcioniranje Interneta u RH </w:t>
      </w:r>
    </w:p>
    <w:p w:rsidR="00505632" w:rsidRDefault="00505632" w:rsidP="00505632">
      <w:r>
        <w:t xml:space="preserve">• CRO NGI - Hrvatska nacionalna grid infrastruktura CRO NGI, distribuirana računalna i podatkovna okolina za obrazovne i istraživačke svrhe, dostupna svim sudionicima obrazovanja i istraživanja u RH </w:t>
      </w:r>
    </w:p>
    <w:p w:rsidR="00505632" w:rsidRDefault="00505632" w:rsidP="00505632">
      <w:r>
        <w:t xml:space="preserve">• hrvatski segment paneuropske grid infrastrukture EGI </w:t>
      </w:r>
    </w:p>
    <w:p w:rsidR="00505632" w:rsidRDefault="00505632" w:rsidP="00505632">
      <w:r>
        <w:t xml:space="preserve">• računalni klaster Isabella, zajednički računalni resurs za sva numerički zahtjevna računanja za potrebe istraživačkih projekata u RH </w:t>
      </w:r>
    </w:p>
    <w:p w:rsidR="00505632" w:rsidRDefault="00505632" w:rsidP="00505632">
      <w:r>
        <w:t xml:space="preserve">• cloud infrastruktura Srca za pružanje cloud usluga ustanovama iz sustava znanosti i visokog obrazovanja (VPS - virtualni poslužitelji i VCL - virtualne učionice) </w:t>
      </w:r>
    </w:p>
    <w:p w:rsidR="00505632" w:rsidRDefault="00505632" w:rsidP="00505632">
      <w:r>
        <w:t xml:space="preserve">• podatkovna infrastruktura za dugoročno ili kratkoročno pohranjivanje velikih kolekcija podataka, vezanih uz obrazovni i istraživački sustav u RH </w:t>
      </w:r>
    </w:p>
    <w:p w:rsidR="00505632" w:rsidRDefault="00505632" w:rsidP="00505632">
      <w:r>
        <w:t>• primarna i sekundarna lokacija (podatkovni centar) Srca, kao preduvjet za pouzdanost rada, sigurnost podataka i kontinuitet poslovanja sustava u nadležnosti Srca.</w:t>
      </w:r>
    </w:p>
    <w:p w:rsidR="00505632" w:rsidRDefault="00505632" w:rsidP="00505632">
      <w:pPr>
        <w:pStyle w:val="Heading8"/>
        <w:jc w:val="left"/>
      </w:pPr>
      <w:r>
        <w:t xml:space="preserve">Cilj 2. Osigurati pouzdan i stabilan rad sastavnica posredničkog sloja e-infrastrukture sustava znanosti i obrazovanja RH, te ih povezati s odgovarajućim europskim sustavima. </w:t>
      </w:r>
    </w:p>
    <w:p w:rsidR="00505632" w:rsidRDefault="00505632" w:rsidP="00505632">
      <w:pPr>
        <w:pStyle w:val="Heading8"/>
        <w:jc w:val="left"/>
      </w:pPr>
      <w:r>
        <w:t>Opis provedbe cilja programa</w:t>
      </w:r>
    </w:p>
    <w:p w:rsidR="00505632" w:rsidRDefault="00505632" w:rsidP="00505632">
      <w:r>
        <w:t xml:space="preserve">Za uspješno funkcioniranje i uporabu modernih sustava i usluga utemeljenih na informacijskim i komunikacijskim tehnologijama od posebne su važnosti sustavi posredničkog sloja, koji s jedne strane korisnicima olakšavaju pristup i uporabu usluga, a s druge strane osiguravaju sigurnost, nadzor i praćenje razine uporabe tih usluga. Cjelovita autentikacijska i autorizacijska infrastruktura sustava znanosti i obrazovanja u RH - AAI@EduHr, koju je Srce izgradilo i uspješno održava, osigurava da više od 880.000 korisnika u sustavu znanosti i obrazovanja, vezanih uz 230 matičnih ustanova (ne računajući pojedinačne osnovne i srednje škole) ima i uspješno koristi svoje elektroničke identitete za pristup više od 598 različitih usluga i servisa, kao što su informacijski sustavi MZO-a (Matica, Državna matura, NISPVU), mrežne usluge CARNeta, različiti sustavi za e-učenje, bibliografski ili knjižnični sustavi (npr. Hrvatska nacionalna bibliografija). Sustav AAI@EduHr povezan je sa sustavom NIAS što svim vlasnicima elektroničkog identiteta u sustavu AAI@EduHr omogućuje pristup uslugama dostupnim u okviru projekta e-Građani vlade Republike Hrvatske.  </w:t>
      </w:r>
    </w:p>
    <w:p w:rsidR="00505632" w:rsidRDefault="00505632" w:rsidP="00505632">
      <w:r>
        <w:t>Potrebno je održavati i unapređivati uspostavljene veze hrvatskog sustava AAI s odgovarajućim europskim sustavima (eduGAIN), te nastaviti aktivnosti vezane uz uporabu i širenje paneuropskog roaming sustava bežičnog pristupa Internetu eduroam, kojim se omogućava pristup Internetu i mrežnim uslugama svim članovima obrazovne i istraživačke zajednice bez obzira na njihovu konkretnu lokaciju na bilo kojoj od lokacija ustanova iz sustava obrazovanja i znanosti u RH, ali i izvan RH.</w:t>
      </w:r>
    </w:p>
    <w:p w:rsidR="00505632" w:rsidRDefault="00505632" w:rsidP="00505632">
      <w:pPr>
        <w:pStyle w:val="Heading8"/>
        <w:jc w:val="left"/>
      </w:pPr>
      <w:r>
        <w:t xml:space="preserve">Cilj 3. Osigurati pouzdan rad i unapređenje informacijskih sustava i internetskih aplikacija vezanih uz funkcioniranje sustava visokog obrazovanja u RH. </w:t>
      </w:r>
    </w:p>
    <w:p w:rsidR="00505632" w:rsidRDefault="00505632" w:rsidP="00505632">
      <w:pPr>
        <w:pStyle w:val="Heading8"/>
        <w:jc w:val="left"/>
      </w:pPr>
      <w:r>
        <w:t>Opis provedbe cilja programa</w:t>
      </w:r>
    </w:p>
    <w:p w:rsidR="00505632" w:rsidRDefault="00505632" w:rsidP="00505632">
      <w:r>
        <w:t xml:space="preserve">Učinkovit i kvalitetan obrazovni proces danas nije moguć bez adekvatne potpore informacijskih sustava i internetskih aplikacija, koje omogućavaju i/ili olakšavaju izvođenje tih procesa u administrativnom/poslovnom smislu, ali i u smislu neposredne primjene unutar samog obrazovnog procesa, te trebaju osigurati podatke za donošenje odluka na svim razinama sustava.  </w:t>
      </w:r>
    </w:p>
    <w:p w:rsidR="00505632" w:rsidRDefault="00505632" w:rsidP="00505632">
      <w:r>
        <w:t xml:space="preserve">Srce je svojim aktivnostima tijekom 2016. godine osiguravalo kontinuitet pouzdanog i stabilnog funkcioniranja, ali i razvoj te tehnološki i korisnički opravdanu nadogradnju nekih od temeljnih informacijskih sustava u sustavu visokog obrazovanja u RH, konkretno:  </w:t>
      </w:r>
    </w:p>
    <w:p w:rsidR="00505632" w:rsidRDefault="00505632" w:rsidP="00505632">
      <w:r>
        <w:t xml:space="preserve">• Informacijskog sustava visokih učilišta (ISVU), kojeg koristi više od 111 visokih učilišta i koristi se vođenje podataka i poslovanje s više od 150.000 studenata </w:t>
      </w:r>
    </w:p>
    <w:p w:rsidR="00505632" w:rsidRDefault="00505632" w:rsidP="00505632">
      <w:r>
        <w:t xml:space="preserve">• Informacijskog sustava akademskih iskaznica (ISAK) i Informacijskog sustava studentskih prava (ISSP), koji se koriste za upravljanje sustavom akademskih iskaznica za upravljanje pravima studenata (prvenstveno prava na subvencioniranu prehranu), a koriste se na svim visokim učilištima u RH (više od 135.000 aktivnih kartica) </w:t>
      </w:r>
    </w:p>
    <w:p w:rsidR="00505632" w:rsidRDefault="00505632" w:rsidP="00505632">
      <w:r>
        <w:t xml:space="preserve">• sustava za udaljeno učenje (e-učenje) Merlin (za visoko obrazovanje) i pratećih sustava za druge skupine korisnika (škole, projekti od interesa za zajednicu), kao i prateće usluge (sustav e-portfolia, sustav webinara i sl.); trenutno se koristi za više od 6.700 sveučilišnih kolegija godišnje s ukupno više od 96.000 registriranih korisnika </w:t>
      </w:r>
    </w:p>
    <w:p w:rsidR="00505632" w:rsidRDefault="00505632" w:rsidP="00505632">
      <w:r>
        <w:t>• sustava Digitalni akademski repozitoriji i arhivi (Dabar) koji je uspostavljen 2015. godine i koji predstavlja novu otvorenu nacionalnu infrastrukturu za prikupljanje i pohranu digitalnih sadržaja i otvoreni pristup, a omogućava udomljavanje institucijskih repozitorija ustanova iz sustava znanosti i visokog obrazovanja te izradu područnih i specijaliziranih repozitorija; sustav trenutačno udomljava dva nacionalan repozitorija (Nacionalni repozitorij završnih i diplomskih radova) te 108 institucijskih repozitorija.</w:t>
      </w:r>
    </w:p>
    <w:p w:rsidR="00505632" w:rsidRDefault="00505632" w:rsidP="00505632">
      <w:pPr>
        <w:pStyle w:val="Heading8"/>
        <w:jc w:val="left"/>
      </w:pPr>
      <w:r>
        <w:t xml:space="preserve">Cilj 4. Unaprijediti i olakšati uporabu informacijske i komunikacijske tehnologije u obrazovanju i znanosti, te proširiti krug korisnika e-infrastrukture sustava znanosti i visokog obrazovanja. </w:t>
      </w:r>
    </w:p>
    <w:p w:rsidR="00505632" w:rsidRDefault="00505632" w:rsidP="00505632">
      <w:pPr>
        <w:pStyle w:val="Heading8"/>
        <w:jc w:val="left"/>
      </w:pPr>
      <w:r>
        <w:t>Opis provedbe cilja programa</w:t>
      </w:r>
    </w:p>
    <w:p w:rsidR="00505632" w:rsidRDefault="00505632" w:rsidP="00505632">
      <w:r>
        <w:t xml:space="preserve">E-infrastruktura, njezina tehnička sredstva, alati i usluge nemaju smisla ako se ne osigura podrška korisnicima i njihovo osposobljavanje za njezinu uporabu, kako bi mogli navedena sredstva, alate i usluge koristiti u obrazovanju i istraživanjima učinkovito i jednostavno.  </w:t>
      </w:r>
    </w:p>
    <w:p w:rsidR="00505632" w:rsidRDefault="00505632" w:rsidP="00505632">
      <w:r>
        <w:t>Srce kroz svoje obrazovne programe i tečajeve (osnovni i napredni tečajevi, tečajevi za IT profesionalce, programi za certificiranje i drugi tečajevi koje godišnje pohađa oko 3.000 polaznika), rad općeg i specijaliziranih helpdeskova, rad referalnih i ekspertnih centara, davanje savjetodavnih usluga vezanih uz izgradnju e-infrastrukture i uporabu novih tehnologija te sudjelovanje u razvojnim projektima osigurava potrebnu podršku i osposobljavanje korisnika za uporabu e-infrastrukture i usluga utemeljenih na informacijskoj i komunikacijskoj tehnologiji.</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428"/>
        <w:gridCol w:w="2429"/>
        <w:gridCol w:w="1260"/>
        <w:gridCol w:w="1010"/>
        <w:gridCol w:w="1058"/>
        <w:gridCol w:w="1010"/>
        <w:gridCol w:w="1011"/>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Ostvarivanje 100% prisutnosti mrežne infrastrukture u svim studentskim domovima u RH</w:t>
            </w:r>
          </w:p>
        </w:tc>
        <w:tc>
          <w:tcPr>
            <w:tcW w:w="2551" w:type="dxa"/>
          </w:tcPr>
          <w:p w:rsidR="00505632" w:rsidRDefault="00505632" w:rsidP="00AD4E52">
            <w:pPr>
              <w:pStyle w:val="CellColumn"/>
              <w:jc w:val="left"/>
            </w:pPr>
            <w:r>
              <w:rPr>
                <w:rFonts w:cs="Times New Roman"/>
              </w:rPr>
              <w:t>Pružanjem savjetodavnih usluga studentskim centrima potaknuti i omogućiti izgradnju lokalne infrastrukture</w:t>
            </w:r>
          </w:p>
        </w:tc>
        <w:tc>
          <w:tcPr>
            <w:tcW w:w="1020" w:type="dxa"/>
          </w:tcPr>
          <w:p w:rsidR="00505632" w:rsidRDefault="00505632" w:rsidP="00AD4E52">
            <w:pPr>
              <w:pStyle w:val="CellColumn"/>
              <w:jc w:val="right"/>
            </w:pPr>
            <w:r>
              <w:rPr>
                <w:rFonts w:cs="Times New Roman"/>
              </w:rPr>
              <w:t>% (smještajnih jedinica u stud. domovima povezan na Internet)</w:t>
            </w:r>
          </w:p>
        </w:tc>
        <w:tc>
          <w:tcPr>
            <w:tcW w:w="1020" w:type="dxa"/>
          </w:tcPr>
          <w:p w:rsidR="00505632" w:rsidRDefault="00505632" w:rsidP="00AD4E52">
            <w:pPr>
              <w:pStyle w:val="CellColumn"/>
              <w:jc w:val="right"/>
            </w:pPr>
            <w:r>
              <w:rPr>
                <w:rFonts w:cs="Times New Roman"/>
              </w:rPr>
              <w:t>100</w:t>
            </w:r>
          </w:p>
        </w:tc>
        <w:tc>
          <w:tcPr>
            <w:tcW w:w="918" w:type="dxa"/>
          </w:tcPr>
          <w:p w:rsidR="00505632" w:rsidRDefault="00505632" w:rsidP="00AD4E52">
            <w:pPr>
              <w:pStyle w:val="CellColumn"/>
              <w:jc w:val="right"/>
            </w:pPr>
            <w:r>
              <w:rPr>
                <w:rFonts w:cs="Times New Roman"/>
              </w:rPr>
              <w:t>SRCE / StuDOM</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Povećanje broja korisnika grid infrastrukture i klastera Isabella</w:t>
            </w:r>
          </w:p>
        </w:tc>
        <w:tc>
          <w:tcPr>
            <w:tcW w:w="2551" w:type="dxa"/>
          </w:tcPr>
          <w:p w:rsidR="00505632" w:rsidRDefault="00505632" w:rsidP="00AD4E52">
            <w:pPr>
              <w:pStyle w:val="CellColumn"/>
              <w:jc w:val="left"/>
            </w:pPr>
            <w:r>
              <w:rPr>
                <w:rFonts w:cs="Times New Roman"/>
              </w:rPr>
              <w:t>Kvalitetnom potporom, promocijom, održavanjem i izgradnjom sustava povećati broj korisnika CRO NGI i Isabelle</w:t>
            </w:r>
          </w:p>
        </w:tc>
        <w:tc>
          <w:tcPr>
            <w:tcW w:w="1020" w:type="dxa"/>
          </w:tcPr>
          <w:p w:rsidR="00505632" w:rsidRDefault="00505632" w:rsidP="00AD4E52">
            <w:pPr>
              <w:pStyle w:val="CellColumn"/>
              <w:jc w:val="right"/>
            </w:pPr>
            <w:r>
              <w:rPr>
                <w:rFonts w:cs="Times New Roman"/>
              </w:rPr>
              <w:t>broj institucija korisnika CRO NGI+Isabella/ broj korisnika pojedinaca CRO NGI + Isabella</w:t>
            </w:r>
          </w:p>
        </w:tc>
        <w:tc>
          <w:tcPr>
            <w:tcW w:w="1020" w:type="dxa"/>
          </w:tcPr>
          <w:p w:rsidR="00505632" w:rsidRDefault="00505632" w:rsidP="00AD4E52">
            <w:pPr>
              <w:pStyle w:val="CellColumn"/>
              <w:jc w:val="right"/>
            </w:pPr>
            <w:r>
              <w:rPr>
                <w:rFonts w:cs="Times New Roman"/>
              </w:rPr>
              <w:t>110 / 340</w:t>
            </w:r>
          </w:p>
        </w:tc>
        <w:tc>
          <w:tcPr>
            <w:tcW w:w="918" w:type="dxa"/>
          </w:tcPr>
          <w:p w:rsidR="00505632" w:rsidRDefault="00505632" w:rsidP="00AD4E52">
            <w:pPr>
              <w:pStyle w:val="CellColumn"/>
              <w:jc w:val="right"/>
            </w:pPr>
            <w:r>
              <w:rPr>
                <w:rFonts w:cs="Times New Roman"/>
              </w:rPr>
              <w:t>SRCE / Centar za napredno računarstvo</w:t>
            </w:r>
          </w:p>
        </w:tc>
        <w:tc>
          <w:tcPr>
            <w:tcW w:w="1020" w:type="dxa"/>
          </w:tcPr>
          <w:p w:rsidR="00505632" w:rsidRDefault="00505632" w:rsidP="00AD4E52">
            <w:pPr>
              <w:pStyle w:val="CellColumn"/>
              <w:jc w:val="right"/>
            </w:pPr>
            <w:r>
              <w:rPr>
                <w:rFonts w:cs="Times New Roman"/>
              </w:rPr>
              <w:t>112 / 350</w:t>
            </w:r>
          </w:p>
        </w:tc>
        <w:tc>
          <w:tcPr>
            <w:tcW w:w="1020" w:type="dxa"/>
          </w:tcPr>
          <w:p w:rsidR="00505632" w:rsidRDefault="00505632" w:rsidP="00AD4E52">
            <w:pPr>
              <w:pStyle w:val="CellColumn"/>
              <w:jc w:val="right"/>
            </w:pPr>
            <w:r>
              <w:rPr>
                <w:rFonts w:cs="Times New Roman"/>
              </w:rPr>
              <w:t>120 / 460</w:t>
            </w:r>
          </w:p>
        </w:tc>
      </w:tr>
      <w:tr w:rsidR="00505632" w:rsidTr="00AD4E52">
        <w:trPr>
          <w:jc w:val="center"/>
        </w:trPr>
        <w:tc>
          <w:tcPr>
            <w:tcW w:w="2551" w:type="dxa"/>
          </w:tcPr>
          <w:p w:rsidR="00505632" w:rsidRDefault="00505632" w:rsidP="00AD4E52">
            <w:pPr>
              <w:pStyle w:val="CellColumn"/>
              <w:jc w:val="left"/>
            </w:pPr>
            <w:r>
              <w:rPr>
                <w:rFonts w:cs="Times New Roman"/>
              </w:rPr>
              <w:t>Povećanje broja davatelja Internet usluga koji razmjenjuju promet putem CIX-a</w:t>
            </w:r>
          </w:p>
        </w:tc>
        <w:tc>
          <w:tcPr>
            <w:tcW w:w="2551" w:type="dxa"/>
          </w:tcPr>
          <w:p w:rsidR="00505632" w:rsidRDefault="00505632" w:rsidP="00AD4E52">
            <w:pPr>
              <w:pStyle w:val="CellColumn"/>
              <w:jc w:val="left"/>
            </w:pPr>
            <w:r>
              <w:rPr>
                <w:rFonts w:cs="Times New Roman"/>
              </w:rPr>
              <w:t>Kvalitetnom CIX uslugom i promotivnim aktivnostima za pristupanje povećati kvalitetu Interneta u RH</w:t>
            </w:r>
          </w:p>
        </w:tc>
        <w:tc>
          <w:tcPr>
            <w:tcW w:w="1020" w:type="dxa"/>
          </w:tcPr>
          <w:p w:rsidR="00505632" w:rsidRDefault="00505632" w:rsidP="00AD4E52">
            <w:pPr>
              <w:pStyle w:val="CellColumn"/>
              <w:jc w:val="right"/>
            </w:pPr>
            <w:r>
              <w:rPr>
                <w:rFonts w:cs="Times New Roman"/>
              </w:rPr>
              <w:t>broj članica CIX-a</w:t>
            </w:r>
          </w:p>
        </w:tc>
        <w:tc>
          <w:tcPr>
            <w:tcW w:w="1020" w:type="dxa"/>
          </w:tcPr>
          <w:p w:rsidR="00505632" w:rsidRDefault="00505632" w:rsidP="00AD4E52">
            <w:pPr>
              <w:pStyle w:val="CellColumn"/>
              <w:jc w:val="right"/>
            </w:pPr>
            <w:r>
              <w:rPr>
                <w:rFonts w:cs="Times New Roman"/>
              </w:rPr>
              <w:t>29</w:t>
            </w:r>
          </w:p>
        </w:tc>
        <w:tc>
          <w:tcPr>
            <w:tcW w:w="918" w:type="dxa"/>
          </w:tcPr>
          <w:p w:rsidR="00505632" w:rsidRDefault="00505632" w:rsidP="00AD4E52">
            <w:pPr>
              <w:pStyle w:val="CellColumn"/>
              <w:jc w:val="right"/>
            </w:pPr>
            <w:r>
              <w:rPr>
                <w:rFonts w:cs="Times New Roman"/>
              </w:rPr>
              <w:t>SRCE / CIX</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30</w:t>
            </w:r>
          </w:p>
        </w:tc>
      </w:tr>
      <w:tr w:rsidR="00505632" w:rsidTr="00AD4E52">
        <w:trPr>
          <w:jc w:val="center"/>
        </w:trPr>
        <w:tc>
          <w:tcPr>
            <w:tcW w:w="2551" w:type="dxa"/>
          </w:tcPr>
          <w:p w:rsidR="00505632" w:rsidRDefault="00505632" w:rsidP="00AD4E52">
            <w:pPr>
              <w:pStyle w:val="CellColumn"/>
              <w:jc w:val="left"/>
            </w:pPr>
            <w:r>
              <w:rPr>
                <w:rFonts w:cs="Times New Roman"/>
              </w:rPr>
              <w:t>Povećanje obuhvata studenata u sustavu ISVU</w:t>
            </w:r>
          </w:p>
        </w:tc>
        <w:tc>
          <w:tcPr>
            <w:tcW w:w="2551" w:type="dxa"/>
          </w:tcPr>
          <w:p w:rsidR="00505632" w:rsidRDefault="00505632" w:rsidP="00AD4E52">
            <w:pPr>
              <w:pStyle w:val="CellColumn"/>
              <w:jc w:val="left"/>
            </w:pPr>
            <w:r>
              <w:rPr>
                <w:rFonts w:cs="Times New Roman"/>
              </w:rPr>
              <w:t>Kvalitetnom podrškom i promocijom osigurati ulazak novih visokih učilišta u ISVU</w:t>
            </w:r>
          </w:p>
        </w:tc>
        <w:tc>
          <w:tcPr>
            <w:tcW w:w="1020" w:type="dxa"/>
          </w:tcPr>
          <w:p w:rsidR="00505632" w:rsidRDefault="00505632" w:rsidP="00AD4E52">
            <w:pPr>
              <w:pStyle w:val="CellColumn"/>
              <w:jc w:val="right"/>
            </w:pPr>
            <w:r>
              <w:rPr>
                <w:rFonts w:cs="Times New Roman"/>
              </w:rPr>
              <w:t>% studenata u RH obuhvaćenih s ISVU</w:t>
            </w:r>
          </w:p>
        </w:tc>
        <w:tc>
          <w:tcPr>
            <w:tcW w:w="1020" w:type="dxa"/>
          </w:tcPr>
          <w:p w:rsidR="00505632" w:rsidRDefault="00505632" w:rsidP="00AD4E52">
            <w:pPr>
              <w:pStyle w:val="CellColumn"/>
              <w:jc w:val="right"/>
            </w:pPr>
            <w:r>
              <w:rPr>
                <w:rFonts w:cs="Times New Roman"/>
              </w:rPr>
              <w:t>85</w:t>
            </w:r>
          </w:p>
        </w:tc>
        <w:tc>
          <w:tcPr>
            <w:tcW w:w="918" w:type="dxa"/>
          </w:tcPr>
          <w:p w:rsidR="00505632" w:rsidRDefault="00505632" w:rsidP="00AD4E52">
            <w:pPr>
              <w:pStyle w:val="CellColumn"/>
              <w:jc w:val="right"/>
            </w:pPr>
            <w:r>
              <w:rPr>
                <w:rFonts w:cs="Times New Roman"/>
              </w:rPr>
              <w:t>SRCE, Centar potpore ISVU / MZO</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90</w:t>
            </w:r>
          </w:p>
        </w:tc>
      </w:tr>
      <w:tr w:rsidR="00505632" w:rsidTr="00AD4E52">
        <w:trPr>
          <w:jc w:val="center"/>
        </w:trPr>
        <w:tc>
          <w:tcPr>
            <w:tcW w:w="2551" w:type="dxa"/>
          </w:tcPr>
          <w:p w:rsidR="00505632" w:rsidRDefault="00505632" w:rsidP="00AD4E52">
            <w:pPr>
              <w:pStyle w:val="CellColumn"/>
              <w:jc w:val="left"/>
            </w:pPr>
            <w:r>
              <w:rPr>
                <w:rFonts w:cs="Times New Roman"/>
              </w:rPr>
              <w:t>Povećanje obuhvata studenata kojima je omogućeno izdavanje akademske iskaznice</w:t>
            </w:r>
          </w:p>
        </w:tc>
        <w:tc>
          <w:tcPr>
            <w:tcW w:w="2551" w:type="dxa"/>
          </w:tcPr>
          <w:p w:rsidR="00505632" w:rsidRDefault="00505632" w:rsidP="00AD4E52">
            <w:pPr>
              <w:pStyle w:val="CellColumn"/>
              <w:jc w:val="left"/>
            </w:pPr>
            <w:r>
              <w:rPr>
                <w:rFonts w:cs="Times New Roman"/>
              </w:rPr>
              <w:t>Kvalitetnom podrškom i promocijom osigurati ulazak novih visokih učilišta u ISAK</w:t>
            </w:r>
          </w:p>
        </w:tc>
        <w:tc>
          <w:tcPr>
            <w:tcW w:w="1020" w:type="dxa"/>
          </w:tcPr>
          <w:p w:rsidR="00505632" w:rsidRDefault="00505632" w:rsidP="00AD4E52">
            <w:pPr>
              <w:pStyle w:val="CellColumn"/>
              <w:jc w:val="right"/>
            </w:pPr>
            <w:r>
              <w:rPr>
                <w:rFonts w:cs="Times New Roman"/>
              </w:rPr>
              <w:t>% studenata u RH obuhvaćenih s ISSP</w:t>
            </w:r>
          </w:p>
        </w:tc>
        <w:tc>
          <w:tcPr>
            <w:tcW w:w="1020" w:type="dxa"/>
          </w:tcPr>
          <w:p w:rsidR="00505632" w:rsidRDefault="00505632" w:rsidP="00AD4E52">
            <w:pPr>
              <w:pStyle w:val="CellColumn"/>
              <w:jc w:val="right"/>
            </w:pPr>
            <w:r>
              <w:rPr>
                <w:rFonts w:cs="Times New Roman"/>
              </w:rPr>
              <w:t>99</w:t>
            </w:r>
          </w:p>
        </w:tc>
        <w:tc>
          <w:tcPr>
            <w:tcW w:w="918" w:type="dxa"/>
          </w:tcPr>
          <w:p w:rsidR="00505632" w:rsidRDefault="00505632" w:rsidP="00AD4E52">
            <w:pPr>
              <w:pStyle w:val="CellColumn"/>
              <w:jc w:val="right"/>
            </w:pPr>
            <w:r>
              <w:rPr>
                <w:rFonts w:cs="Times New Roman"/>
              </w:rPr>
              <w:t>SRCE, Centar za autorizaciju prava / MZO</w:t>
            </w:r>
          </w:p>
        </w:tc>
        <w:tc>
          <w:tcPr>
            <w:tcW w:w="1020" w:type="dxa"/>
          </w:tcPr>
          <w:p w:rsidR="00505632" w:rsidRDefault="00505632" w:rsidP="00AD4E52">
            <w:pPr>
              <w:pStyle w:val="CellColumn"/>
              <w:jc w:val="right"/>
            </w:pPr>
            <w:r>
              <w:rPr>
                <w:rFonts w:cs="Times New Roman"/>
              </w:rPr>
              <w:t>99</w:t>
            </w:r>
          </w:p>
        </w:tc>
        <w:tc>
          <w:tcPr>
            <w:tcW w:w="1020" w:type="dxa"/>
          </w:tcPr>
          <w:p w:rsidR="00505632" w:rsidRDefault="00505632" w:rsidP="00AD4E52">
            <w:pPr>
              <w:pStyle w:val="CellColumn"/>
              <w:jc w:val="right"/>
            </w:pPr>
            <w:r>
              <w:rPr>
                <w:rFonts w:cs="Times New Roman"/>
              </w:rPr>
              <w:t>99</w:t>
            </w:r>
          </w:p>
        </w:tc>
      </w:tr>
      <w:tr w:rsidR="00505632" w:rsidTr="00AD4E52">
        <w:trPr>
          <w:jc w:val="center"/>
        </w:trPr>
        <w:tc>
          <w:tcPr>
            <w:tcW w:w="2551" w:type="dxa"/>
          </w:tcPr>
          <w:p w:rsidR="00505632" w:rsidRDefault="00505632" w:rsidP="00AD4E52">
            <w:pPr>
              <w:pStyle w:val="CellColumn"/>
              <w:jc w:val="left"/>
            </w:pPr>
            <w:r>
              <w:rPr>
                <w:rFonts w:cs="Times New Roman"/>
              </w:rPr>
              <w:t>Povećanje broja korisnika sustava za e-učenje Merlin</w:t>
            </w:r>
          </w:p>
        </w:tc>
        <w:tc>
          <w:tcPr>
            <w:tcW w:w="2551" w:type="dxa"/>
          </w:tcPr>
          <w:p w:rsidR="00505632" w:rsidRDefault="00505632" w:rsidP="00AD4E52">
            <w:pPr>
              <w:pStyle w:val="CellColumn"/>
              <w:jc w:val="left"/>
            </w:pPr>
            <w:r>
              <w:rPr>
                <w:rFonts w:cs="Times New Roman"/>
              </w:rPr>
              <w:t>Kvalitetnom podrškom i promocijom osigurati povećanje broja kolegija i korisnika sustava Merlin</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74.000</w:t>
            </w:r>
          </w:p>
        </w:tc>
        <w:tc>
          <w:tcPr>
            <w:tcW w:w="918" w:type="dxa"/>
          </w:tcPr>
          <w:p w:rsidR="00505632" w:rsidRDefault="00505632" w:rsidP="00AD4E52">
            <w:pPr>
              <w:pStyle w:val="CellColumn"/>
              <w:jc w:val="right"/>
            </w:pPr>
            <w:r>
              <w:rPr>
                <w:rFonts w:cs="Times New Roman"/>
              </w:rPr>
              <w:t>SRCE / Centar za e-učenje</w:t>
            </w:r>
          </w:p>
        </w:tc>
        <w:tc>
          <w:tcPr>
            <w:tcW w:w="1020" w:type="dxa"/>
          </w:tcPr>
          <w:p w:rsidR="00505632" w:rsidRDefault="00505632" w:rsidP="00AD4E52">
            <w:pPr>
              <w:pStyle w:val="CellColumn"/>
              <w:jc w:val="right"/>
            </w:pPr>
            <w:r>
              <w:rPr>
                <w:rFonts w:cs="Times New Roman"/>
              </w:rPr>
              <w:t>76.000</w:t>
            </w:r>
          </w:p>
        </w:tc>
        <w:tc>
          <w:tcPr>
            <w:tcW w:w="1020" w:type="dxa"/>
          </w:tcPr>
          <w:p w:rsidR="00505632" w:rsidRDefault="00505632" w:rsidP="00AD4E52">
            <w:pPr>
              <w:pStyle w:val="CellColumn"/>
              <w:jc w:val="right"/>
            </w:pPr>
            <w:r>
              <w:rPr>
                <w:rFonts w:cs="Times New Roman"/>
              </w:rPr>
              <w:t>96.705</w:t>
            </w:r>
          </w:p>
        </w:tc>
      </w:tr>
    </w:tbl>
    <w:p w:rsidR="00505632" w:rsidRDefault="00505632" w:rsidP="00505632">
      <w:pPr>
        <w:jc w:val="left"/>
      </w:pPr>
    </w:p>
    <w:p w:rsidR="00505632" w:rsidRDefault="00505632" w:rsidP="00505632">
      <w:pPr>
        <w:pStyle w:val="Heading4"/>
      </w:pPr>
      <w:r>
        <w:t>A628018 ADMINISTRACIJA I UPRAVLJANJE SVEUČILIŠNOG RAČUNSKOG CENTRA SRCE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A628018-ADMINISTRACIJA I UPRAVLJANJE SVEUČILIŠNOG RAČUNSKOG CENTRA SRCE</w:t>
            </w:r>
          </w:p>
        </w:tc>
        <w:tc>
          <w:tcPr>
            <w:tcW w:w="2041" w:type="dxa"/>
          </w:tcPr>
          <w:p w:rsidR="00505632" w:rsidRDefault="00505632" w:rsidP="00AD4E52">
            <w:pPr>
              <w:pStyle w:val="CellColumn"/>
              <w:jc w:val="right"/>
            </w:pPr>
            <w:r>
              <w:rPr>
                <w:rFonts w:cs="Times New Roman"/>
              </w:rPr>
              <w:t>31.298.714</w:t>
            </w:r>
          </w:p>
        </w:tc>
        <w:tc>
          <w:tcPr>
            <w:tcW w:w="2041" w:type="dxa"/>
          </w:tcPr>
          <w:p w:rsidR="00505632" w:rsidRDefault="00505632" w:rsidP="00AD4E52">
            <w:pPr>
              <w:pStyle w:val="CellColumn"/>
              <w:jc w:val="right"/>
            </w:pPr>
            <w:r>
              <w:rPr>
                <w:rFonts w:cs="Times New Roman"/>
              </w:rPr>
              <w:t>33.253.323</w:t>
            </w:r>
          </w:p>
        </w:tc>
        <w:tc>
          <w:tcPr>
            <w:tcW w:w="2041" w:type="dxa"/>
          </w:tcPr>
          <w:p w:rsidR="00505632" w:rsidRDefault="00505632" w:rsidP="00AD4E52">
            <w:pPr>
              <w:pStyle w:val="CellColumn"/>
              <w:jc w:val="right"/>
            </w:pPr>
            <w:r>
              <w:rPr>
                <w:rFonts w:cs="Times New Roman"/>
              </w:rPr>
              <w:t>30.346.083</w:t>
            </w:r>
          </w:p>
        </w:tc>
        <w:tc>
          <w:tcPr>
            <w:tcW w:w="1224" w:type="dxa"/>
          </w:tcPr>
          <w:p w:rsidR="00505632" w:rsidRDefault="00505632" w:rsidP="00AD4E52">
            <w:pPr>
              <w:pStyle w:val="CellColumn"/>
              <w:jc w:val="right"/>
            </w:pPr>
            <w:r>
              <w:rPr>
                <w:rFonts w:cs="Times New Roman"/>
              </w:rPr>
              <w:t>91,3</w:t>
            </w:r>
          </w:p>
        </w:tc>
        <w:tc>
          <w:tcPr>
            <w:tcW w:w="1224" w:type="dxa"/>
          </w:tcPr>
          <w:p w:rsidR="00505632" w:rsidRDefault="00505632" w:rsidP="00AD4E52">
            <w:pPr>
              <w:pStyle w:val="CellColumn"/>
              <w:jc w:val="right"/>
            </w:pPr>
            <w:r>
              <w:rPr>
                <w:rFonts w:cs="Times New Roman"/>
              </w:rPr>
              <w:t>97,0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Održavanje (osiguravanje kontinuiranog, pouzdanog i stabilnog rada) i razvoj temeljnih komponenti e-infrastrukture sustava obrazovanja i znanosti u Republici Hrvatskoj, konkretno:  </w:t>
      </w:r>
    </w:p>
    <w:p w:rsidR="00505632" w:rsidRDefault="00505632" w:rsidP="00505632">
      <w:r>
        <w:t xml:space="preserve">• održavanje i nadzor rada primarne i sekundarne lokacije (podatkovnih centara) Srca, kao preduvjeta za pouzdanost rada, sigurnost podataka i kontinuitet poslovanja sustava u nadležnosti Srca </w:t>
      </w:r>
    </w:p>
    <w:p w:rsidR="00505632" w:rsidRDefault="00505632" w:rsidP="00505632">
      <w:r>
        <w:t xml:space="preserve">• održavanje i razvoj mrežnih čvorišta i mrežne infrastrukture, npr. Croatian Internet Exchange (CIX), GEANT PoP, akademski roaming sustav bežičnog pristupa Internetu eduroam, računalno-komunikacijske infrastrukture studentskih domova u RH, računalno-komunikacijske infrastrukture Znanstveno-učilišnog kampusa Borongaj </w:t>
      </w:r>
    </w:p>
    <w:p w:rsidR="00505632" w:rsidRDefault="00505632" w:rsidP="00505632">
      <w:r>
        <w:t xml:space="preserve">• održavanje i razvoj grid-infrastruktura (npr. CRO NGI - Hrvatska nacionalna  </w:t>
      </w:r>
    </w:p>
    <w:p w:rsidR="00505632" w:rsidRDefault="00505632" w:rsidP="00505632">
      <w:r>
        <w:t xml:space="preserve">grid-infrastruktura ili EGI - hrvatski segment paneuropske grid infrastrukture) i računalnih sustava visoke učinkovitosti, posebno računalnog klastera Isabella </w:t>
      </w:r>
    </w:p>
    <w:p w:rsidR="00505632" w:rsidRDefault="00505632" w:rsidP="00505632">
      <w:r>
        <w:t xml:space="preserve">• održavanje i razvoj cloud infrastrukture Srca za pružanje cloud usluga ustanovama iz sustava znanosti i visokog obrazovanja (VPS - virtualni poslužitelji i VCL - virtualne učionice) </w:t>
      </w:r>
    </w:p>
    <w:p w:rsidR="00505632" w:rsidRDefault="00505632" w:rsidP="00505632">
      <w:r>
        <w:t xml:space="preserve">• održavanje i razvoj podatkovne infrastrukture za prikupljanje, čuvanje, opisivanje i omogućavanje trajnog pristupa kolekcijama podataka, na primjer primarnih znanstvenih podataka i podataka vezanih uz sustav obrazovanja, posebno kroz izgradnju i razvoj sustava Digitalni akademski repozitoriji i arhivi (Dabar), kao otvorene nacionalne infrastrukture za prikupljanje i pohranu digitalnih sadržaja i otvoreni pristup </w:t>
      </w:r>
    </w:p>
    <w:p w:rsidR="00505632" w:rsidRDefault="00505632" w:rsidP="00505632">
      <w:r>
        <w:t xml:space="preserve">• održavanje i razvoj autentikacijskih i autorizacijskih (AA) sustava i sustava imenika za potrebe sustava znanosti i obrazovanja RH, posebno Autentikacijske i autorizacijske infrastrukture sustava znanosti i visokog obrazovanja AAI@EduHr </w:t>
      </w:r>
    </w:p>
    <w:p w:rsidR="00505632" w:rsidRDefault="00505632" w:rsidP="00505632">
      <w:r>
        <w:t xml:space="preserve">• održavanje i razvoj informacijskih sustava za potrebe visokog obrazovanja i znanosti, posebno održavanje Informacijskog sustava visokih učilišta (ISVU), održavanje i razvoj Informacijskog sustava studentske prehrane (ISSP), razvoj i održavanje specifičnih informacijskih sustava za potrebe Sveučilišta u Zagrebu </w:t>
      </w:r>
    </w:p>
    <w:p w:rsidR="00505632" w:rsidRDefault="00505632" w:rsidP="00505632">
      <w:r>
        <w:t xml:space="preserve">• održavanje i razvoj internetskih aplikacija i sustava za e-učenje u visokom obrazovanju, npr. sustava za udomljavanje osnovnih internetskih usluga i sustava za udaljeno učenje Merlin. </w:t>
      </w:r>
    </w:p>
    <w:p w:rsidR="00505632" w:rsidRDefault="00505632" w:rsidP="00505632">
      <w:r>
        <w:t xml:space="preserve">(2) Potpora korisnicima i osposobljavanje korisnika za uporabu informacijskih tehnologija i alata u obrazovanju i znanstvenom radu kroz pripremu i izvođenje obrazovnih programa za korisnike i IT profesionalce, certificiranje IT profesionalaca, rad općih i specijaliziranih službi potpore (helpdeska), rad referalnih centara i pružanje savjetodavnih usluga.  </w:t>
      </w:r>
    </w:p>
    <w:p w:rsidR="00505632" w:rsidRDefault="00505632" w:rsidP="00505632">
      <w:r>
        <w:t xml:space="preserve">Gore opisane aktivnosti Srca nedvojbeno su važne za svakodnevno funkcioniranje modernog sustava obrazovanja i znanosti, kakvom se teži u Republici Hrvatskoj.  </w:t>
      </w:r>
    </w:p>
    <w:p w:rsidR="00505632" w:rsidRDefault="00505632" w:rsidP="00505632">
      <w:r>
        <w:t xml:space="preserve">E-infrastruktura nije samo elementarni temelj bez kojeg danas više nije zamislivo funkcioniranje, poslovanje i djelovanje sustava, ustanova i pojedinaca, nego je i važan preduvjet za izvođenje kvalitetnog obrazovnog procesa i učinkovitih i međunarodno relevantnih istraživanja.  </w:t>
      </w:r>
    </w:p>
    <w:p w:rsidR="00505632" w:rsidRDefault="00505632" w:rsidP="00505632">
      <w:r>
        <w:t xml:space="preserve">Važnost navedenih usluga prije svega proizlazi iz važnosti tih usluga za mnogobrojne korisnike Srca, bez obzira radilo se o državnim tijelima (prije svega Ministarstvu znanosti i obrazovanja), institucionalnim korisnicima, a to su de facto sva visoka učilišta u Republici Hrvatskoj (uključujući Sveučilište u Zagrebu i njegove sastavnice) i svi istraživački instituti, ili korisnicima-pojedincima, a neposredno ili posredno to je više od 880.000 sveučilišnih nastavnika, znanstvenika, istraživača, studenata, školskih nastavnika i učenika te ostalih zaposlenika u ustanovama iz sustava obrazovanja i znanosti. Neke od usluga Srca su dostupne ili su važne za sve građane i subjekte u Republici Hrvatskoj.  </w:t>
      </w:r>
    </w:p>
    <w:p w:rsidR="00505632" w:rsidRDefault="00505632" w:rsidP="00505632">
      <w:r>
        <w:t xml:space="preserve">Usluge koje pruža Srce kompatibilne su s uslugama koje se pružaju unutar sustava obrazovanja i znanosti u drugim europskim i razvijenim zemljama, a to znači da se njima osigurava usporedivost i ravnopravnost hrvatske akademske i istraživačke zajednice sa drugim sličnim zajednicama unutar europskog i globalnog obrazovnog i istraživačkog prostora.  </w:t>
      </w:r>
    </w:p>
    <w:p w:rsidR="00505632" w:rsidRDefault="00505632" w:rsidP="00505632">
      <w:r>
        <w:t xml:space="preserve">Pokazatelje koji ukazuju na važnost i obuhvat aktivnosti i usluga Srca:  </w:t>
      </w:r>
    </w:p>
    <w:p w:rsidR="00505632" w:rsidRDefault="00505632" w:rsidP="00505632">
      <w:r>
        <w:t xml:space="preserve">• u sustavu AAI@EduHr izdano je i svakodnevno se koristi više od 880.000 elektroničkih identiteta koje izdaje 230 matičnih ustanova iz sustava znanosti i obrazovanja (ne računajući osnovne i srednje škole) </w:t>
      </w:r>
    </w:p>
    <w:p w:rsidR="00505632" w:rsidRDefault="00505632" w:rsidP="00505632">
      <w:r>
        <w:t xml:space="preserve">• u informacijskom sustavu visokih učilišta (ISVU) godišnje se vode podaci o više od 140.000 studenata sa 111 visokih učilišta u Republici Hrvatskoj koja svoje poslovanje sa studentima obavljaju putem ISVU-a </w:t>
      </w:r>
    </w:p>
    <w:p w:rsidR="00505632" w:rsidRDefault="00505632" w:rsidP="00505632">
      <w:r>
        <w:t xml:space="preserve">• u informacijskom sustavu akademskih iskaznica (ISAK) i informacijskom sustavu studentskih prava (ISSP) vode se podaci o studentskim iskaznicama i pravima za više od 135.000 studenata </w:t>
      </w:r>
    </w:p>
    <w:p w:rsidR="00505632" w:rsidRDefault="00505632" w:rsidP="00505632">
      <w:r>
        <w:t xml:space="preserve">• u okviru cloud usluga virtualnih poslužitelja za sustav znanosti i visokog obrazovanja RH uspostavljene su usluge Virtual Private Server (VPS) i Virtual Computing Lab (VCL) te je u 2016. godini ukupno odobreno 67 novih zahtjeva za uslugu VPS, dok su u usluzi VCL korisnici napravili ukupno 1.027 rezervacija na temelju kojih su pokretani virtualni poslužitelji; usluga VPS na kraju 2016. godine imala je više od 250 poslužitelja koje je koristilo 87 ustanova </w:t>
      </w:r>
    </w:p>
    <w:p w:rsidR="00505632" w:rsidRDefault="00505632" w:rsidP="00505632">
      <w:r>
        <w:t xml:space="preserve">• resurse Hrvatske nacionalne grid infrastrukture (CRO NGI) i računalnog klastera Isabella, kao najsnažnijeg zajedničkog i svima dostupnog istraživačkog računalnog resursa u Hrvatskoj u 2016. godini, koristi više od 120 ustanova i/ili istraživačkih projekata, odnosno više od 460 istraživača, a postojeći resursi koriste se praktički neprekidno (24 sata dnevno 365 dana u godini) i u potpunosti </w:t>
      </w:r>
    </w:p>
    <w:p w:rsidR="00505632" w:rsidRDefault="00505632" w:rsidP="00505632">
      <w:r>
        <w:t xml:space="preserve">• u hrvatskom sjedištu za razmjenu internetskog prometa (CIX) svi važniji davatelji Internet usluga u Republici Hrvatskoj razmjenjuju svoj internetski promet; U 2016. godini 34 članice CIX-a je razmijenile su 72,15 PB prometa. </w:t>
      </w:r>
    </w:p>
    <w:p w:rsidR="00505632" w:rsidRDefault="00505632" w:rsidP="00505632">
      <w:r>
        <w:t xml:space="preserve">• pruža se potpora za izgradnju i održavanje mrežne infrastrukture u svim studentskim domovima u Republici Hrvatskoj, koju koristi više od 10.000 studenata u 11 studentskih domova u sedam hrvatskih gradova </w:t>
      </w:r>
    </w:p>
    <w:p w:rsidR="00505632" w:rsidRDefault="00505632" w:rsidP="00505632">
      <w:r>
        <w:t xml:space="preserve">• na sustavu za e-učenje Merlin odvija se najmanje 6.700 sveučilišnih kolegija godišnje, uz više od 96.000 registriranih korisnika </w:t>
      </w:r>
    </w:p>
    <w:p w:rsidR="00505632" w:rsidRDefault="00505632" w:rsidP="00505632">
      <w:r>
        <w:t xml:space="preserve">• u Srcu je dostupno više različitih obrazovnih programa, godišnje se održi više od 1.000 sati nastave, a obrazovne programe i tečajeve pohađa oko 3.000 polaznika godišnje </w:t>
      </w:r>
    </w:p>
    <w:p w:rsidR="00505632" w:rsidRDefault="00505632" w:rsidP="00505632">
      <w:r>
        <w:t xml:space="preserve">• Srce sudjeluje u razvoju i/ili održava mnogobrojne informacijske sustave i aplikacije, koji osiguravaju funkcioniranje pojedinih institucija ili procesa unutar sustava znanosti i obrazovanja (npr. podatkovne usluge ili sustavi za vrednovanje studijskih programa) ili doprinose kvaliteti informacijskog prostora (npr. Hrčak - portal hrvatskih znanstvenih časopisa s otvorenim pristupom) </w:t>
      </w:r>
    </w:p>
    <w:p w:rsidR="00505632" w:rsidRDefault="00505632" w:rsidP="00505632">
      <w:r>
        <w:t xml:space="preserve">• u sustavu Dabar više od 100 ustanova je tijekom prve godine funkcioniranja sustava uspostavilo svoje digitalne repozitorije, a Nacionalna i sveučilišna knjižnica je oslanjajući se na sustav Dabar usustavila i nacionalni i sveučilišni repozitorij završnih radova i doktorskih disertacija </w:t>
      </w:r>
    </w:p>
    <w:p w:rsidR="00505632" w:rsidRDefault="00505632" w:rsidP="00505632">
      <w:r>
        <w:t xml:space="preserve">• putem opće i specijaliziranih službi potpore (helpdesk) i referalnih centara Srce daje potporu krajnjim korisnicima, ali i IT službama na ustanovama iz sustava znanosti i visokog obrazovanja </w:t>
      </w:r>
    </w:p>
    <w:p w:rsidR="00505632" w:rsidRDefault="00505632" w:rsidP="00505632">
      <w:r>
        <w:t>• u podatkovnim centrima Srca udomljeno je više od 200 različitih poslužiteljskih sustava, za koje su osigurani posebni uvjeti neprekidnog rada, održavanje i sigurnosno pohranjivanje i arhiviranje podataka.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80"/>
        <w:gridCol w:w="2480"/>
        <w:gridCol w:w="1187"/>
        <w:gridCol w:w="1014"/>
        <w:gridCol w:w="1016"/>
        <w:gridCol w:w="1014"/>
        <w:gridCol w:w="1015"/>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Povećati dostupnost temeljnih sastavnica e-infrastrukture, informacijskih sustava i aplikacija u nadležnosti Srca</w:t>
            </w:r>
          </w:p>
        </w:tc>
        <w:tc>
          <w:tcPr>
            <w:tcW w:w="2551" w:type="dxa"/>
          </w:tcPr>
          <w:p w:rsidR="00505632" w:rsidRDefault="00505632" w:rsidP="00AD4E52">
            <w:pPr>
              <w:pStyle w:val="CellColumn"/>
              <w:jc w:val="left"/>
            </w:pPr>
            <w:r>
              <w:rPr>
                <w:rFonts w:cs="Times New Roman"/>
              </w:rPr>
              <w:t>Povećanjem dostupnosti usluga e-infrastrukture povećava se učinkovitost i uporabe sredstava i količina i kvaliteta rezultata nastalih uporabom e-infrastrukture</w:t>
            </w:r>
          </w:p>
        </w:tc>
        <w:tc>
          <w:tcPr>
            <w:tcW w:w="1020" w:type="dxa"/>
          </w:tcPr>
          <w:p w:rsidR="00505632" w:rsidRDefault="00505632" w:rsidP="00AD4E52">
            <w:pPr>
              <w:pStyle w:val="CellColumn"/>
              <w:jc w:val="right"/>
            </w:pPr>
            <w:r>
              <w:rPr>
                <w:rFonts w:cs="Times New Roman"/>
              </w:rPr>
              <w:t>min % vremena dostupnosti (od 24 sata tijekom 365 dana u godini)</w:t>
            </w:r>
          </w:p>
        </w:tc>
        <w:tc>
          <w:tcPr>
            <w:tcW w:w="1020" w:type="dxa"/>
          </w:tcPr>
          <w:p w:rsidR="00505632" w:rsidRDefault="00505632" w:rsidP="00AD4E52">
            <w:pPr>
              <w:pStyle w:val="CellColumn"/>
              <w:jc w:val="right"/>
            </w:pPr>
            <w:r>
              <w:rPr>
                <w:rFonts w:cs="Times New Roman"/>
              </w:rPr>
              <w:t>99,2</w:t>
            </w:r>
          </w:p>
        </w:tc>
        <w:tc>
          <w:tcPr>
            <w:tcW w:w="1020" w:type="dxa"/>
          </w:tcPr>
          <w:p w:rsidR="00505632" w:rsidRDefault="00505632" w:rsidP="00AD4E52">
            <w:pPr>
              <w:pStyle w:val="CellColumn"/>
              <w:jc w:val="right"/>
            </w:pPr>
            <w:r>
              <w:rPr>
                <w:rFonts w:cs="Times New Roman"/>
              </w:rPr>
              <w:t>SRCE</w:t>
            </w:r>
          </w:p>
        </w:tc>
        <w:tc>
          <w:tcPr>
            <w:tcW w:w="1020" w:type="dxa"/>
          </w:tcPr>
          <w:p w:rsidR="00505632" w:rsidRDefault="00505632" w:rsidP="00AD4E52">
            <w:pPr>
              <w:pStyle w:val="CellColumn"/>
              <w:jc w:val="right"/>
            </w:pPr>
            <w:r>
              <w:rPr>
                <w:rFonts w:cs="Times New Roman"/>
              </w:rPr>
              <w:t>99,4</w:t>
            </w:r>
          </w:p>
        </w:tc>
        <w:tc>
          <w:tcPr>
            <w:tcW w:w="1020" w:type="dxa"/>
          </w:tcPr>
          <w:p w:rsidR="00505632" w:rsidRDefault="00505632" w:rsidP="00AD4E52">
            <w:pPr>
              <w:pStyle w:val="CellColumn"/>
              <w:jc w:val="right"/>
            </w:pPr>
            <w:r>
              <w:rPr>
                <w:rFonts w:cs="Times New Roman"/>
              </w:rPr>
              <w:t>99,4</w:t>
            </w:r>
          </w:p>
        </w:tc>
      </w:tr>
      <w:tr w:rsidR="00505632" w:rsidTr="00AD4E52">
        <w:trPr>
          <w:jc w:val="center"/>
        </w:trPr>
        <w:tc>
          <w:tcPr>
            <w:tcW w:w="2551" w:type="dxa"/>
          </w:tcPr>
          <w:p w:rsidR="00505632" w:rsidRDefault="00505632" w:rsidP="00AD4E52">
            <w:pPr>
              <w:pStyle w:val="CellColumn"/>
              <w:jc w:val="left"/>
            </w:pPr>
            <w:r>
              <w:rPr>
                <w:rFonts w:cs="Times New Roman"/>
              </w:rPr>
              <w:t>Povećati obuhvat institucija iz sustava znanosti i obrazovanja ICT sustavima na državnoj razini</w:t>
            </w:r>
          </w:p>
        </w:tc>
        <w:tc>
          <w:tcPr>
            <w:tcW w:w="2551" w:type="dxa"/>
          </w:tcPr>
          <w:p w:rsidR="00505632" w:rsidRDefault="00505632" w:rsidP="00AD4E52">
            <w:pPr>
              <w:pStyle w:val="CellColumn"/>
              <w:jc w:val="left"/>
            </w:pPr>
            <w:r>
              <w:rPr>
                <w:rFonts w:cs="Times New Roman"/>
              </w:rPr>
              <w:t>Težiti potpunom obuhvati svih podataka o ustanovama i pojedincima unutar informacijskih sustava i aplikacija na državnoj razini</w:t>
            </w:r>
          </w:p>
        </w:tc>
        <w:tc>
          <w:tcPr>
            <w:tcW w:w="1020" w:type="dxa"/>
          </w:tcPr>
          <w:p w:rsidR="00505632" w:rsidRDefault="00505632" w:rsidP="00AD4E52">
            <w:pPr>
              <w:pStyle w:val="CellColumn"/>
              <w:jc w:val="right"/>
            </w:pPr>
            <w:r>
              <w:rPr>
                <w:rFonts w:cs="Times New Roman"/>
              </w:rPr>
              <w:t>% ustanova iz sustava obrazovanja i znanosti uključenih u sustav AAI@EduHr</w:t>
            </w:r>
          </w:p>
        </w:tc>
        <w:tc>
          <w:tcPr>
            <w:tcW w:w="1020" w:type="dxa"/>
          </w:tcPr>
          <w:p w:rsidR="00505632" w:rsidRDefault="00505632" w:rsidP="00AD4E52">
            <w:pPr>
              <w:pStyle w:val="CellColumn"/>
              <w:jc w:val="right"/>
            </w:pPr>
            <w:r>
              <w:rPr>
                <w:rFonts w:cs="Times New Roman"/>
              </w:rPr>
              <w:t>97</w:t>
            </w:r>
          </w:p>
        </w:tc>
        <w:tc>
          <w:tcPr>
            <w:tcW w:w="1020" w:type="dxa"/>
          </w:tcPr>
          <w:p w:rsidR="00505632" w:rsidRDefault="00505632" w:rsidP="00AD4E52">
            <w:pPr>
              <w:pStyle w:val="CellColumn"/>
              <w:jc w:val="right"/>
            </w:pPr>
            <w:r>
              <w:rPr>
                <w:rFonts w:cs="Times New Roman"/>
              </w:rPr>
              <w:t>SRCE / MZO</w:t>
            </w:r>
          </w:p>
        </w:tc>
        <w:tc>
          <w:tcPr>
            <w:tcW w:w="1020" w:type="dxa"/>
          </w:tcPr>
          <w:p w:rsidR="00505632" w:rsidRDefault="00505632" w:rsidP="00AD4E52">
            <w:pPr>
              <w:pStyle w:val="CellColumn"/>
              <w:jc w:val="right"/>
            </w:pPr>
            <w:r>
              <w:rPr>
                <w:rFonts w:cs="Times New Roman"/>
              </w:rPr>
              <w:t>98</w:t>
            </w:r>
          </w:p>
        </w:tc>
        <w:tc>
          <w:tcPr>
            <w:tcW w:w="1020" w:type="dxa"/>
          </w:tcPr>
          <w:p w:rsidR="00505632" w:rsidRDefault="00505632" w:rsidP="00AD4E52">
            <w:pPr>
              <w:pStyle w:val="CellColumn"/>
              <w:jc w:val="right"/>
            </w:pPr>
            <w:r>
              <w:rPr>
                <w:rFonts w:cs="Times New Roman"/>
              </w:rPr>
              <w:t>99</w:t>
            </w:r>
          </w:p>
        </w:tc>
      </w:tr>
      <w:tr w:rsidR="00505632" w:rsidTr="00AD4E52">
        <w:trPr>
          <w:jc w:val="center"/>
        </w:trPr>
        <w:tc>
          <w:tcPr>
            <w:tcW w:w="2551" w:type="dxa"/>
          </w:tcPr>
          <w:p w:rsidR="00505632" w:rsidRDefault="00505632" w:rsidP="00AD4E52">
            <w:pPr>
              <w:pStyle w:val="CellColumn"/>
              <w:jc w:val="left"/>
            </w:pPr>
            <w:r>
              <w:rPr>
                <w:rFonts w:cs="Times New Roman"/>
              </w:rPr>
              <w:t>Povećati broj polaznika obrazovnih programa Srca</w:t>
            </w:r>
          </w:p>
        </w:tc>
        <w:tc>
          <w:tcPr>
            <w:tcW w:w="2551" w:type="dxa"/>
          </w:tcPr>
          <w:p w:rsidR="00505632" w:rsidRDefault="00505632" w:rsidP="00AD4E52">
            <w:pPr>
              <w:pStyle w:val="CellColumn"/>
              <w:jc w:val="left"/>
            </w:pPr>
            <w:r>
              <w:rPr>
                <w:rFonts w:cs="Times New Roman"/>
              </w:rPr>
              <w:t>Povećati broj pojedinaca sposobnih za učinkovitu uporabu ICT</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2.390</w:t>
            </w:r>
          </w:p>
        </w:tc>
        <w:tc>
          <w:tcPr>
            <w:tcW w:w="1020" w:type="dxa"/>
          </w:tcPr>
          <w:p w:rsidR="00505632" w:rsidRDefault="00505632" w:rsidP="00AD4E52">
            <w:pPr>
              <w:pStyle w:val="CellColumn"/>
              <w:jc w:val="right"/>
            </w:pPr>
            <w:r>
              <w:rPr>
                <w:rFonts w:cs="Times New Roman"/>
              </w:rPr>
              <w:t>SRCE / Sektor za obrazovne usluge</w:t>
            </w:r>
          </w:p>
        </w:tc>
        <w:tc>
          <w:tcPr>
            <w:tcW w:w="1020" w:type="dxa"/>
          </w:tcPr>
          <w:p w:rsidR="00505632" w:rsidRDefault="00505632" w:rsidP="00AD4E52">
            <w:pPr>
              <w:pStyle w:val="CellColumn"/>
              <w:jc w:val="right"/>
            </w:pPr>
            <w:r>
              <w:rPr>
                <w:rFonts w:cs="Times New Roman"/>
              </w:rPr>
              <w:t>2.500</w:t>
            </w:r>
          </w:p>
        </w:tc>
        <w:tc>
          <w:tcPr>
            <w:tcW w:w="1020" w:type="dxa"/>
          </w:tcPr>
          <w:p w:rsidR="00505632" w:rsidRDefault="00505632" w:rsidP="00AD4E52">
            <w:pPr>
              <w:pStyle w:val="CellColumn"/>
              <w:jc w:val="right"/>
            </w:pPr>
            <w:r>
              <w:rPr>
                <w:rFonts w:cs="Times New Roman"/>
              </w:rPr>
              <w:t>2.943</w:t>
            </w:r>
          </w:p>
        </w:tc>
      </w:tr>
    </w:tbl>
    <w:p w:rsidR="00505632" w:rsidRDefault="00505632" w:rsidP="00505632">
      <w:pPr>
        <w:jc w:val="left"/>
      </w:pPr>
    </w:p>
    <w:p w:rsidR="00505632" w:rsidRDefault="00505632" w:rsidP="00505632">
      <w:pPr>
        <w:pStyle w:val="Heading3"/>
      </w:pPr>
      <w:r>
        <w:rPr>
          <w:rFonts w:cs="Times New Roman"/>
        </w:rPr>
        <w:t>23962 Agencija za odgoj i obrazovanje</w:t>
      </w:r>
    </w:p>
    <w:p w:rsidR="00505632" w:rsidRDefault="00505632" w:rsidP="00505632">
      <w:r>
        <w:t xml:space="preserve">Agencija za odgoj i obrazovanje osnovana je Zakonom o Agenciji za odgoj i obrazovanje (Narodne novine, 85/06) kao pravni slijednik Zavoda za školstvo Republike Hrvatske. Osnivač Agencije je Republika Hrvatska, a prava i dužnosti osnivača obavlja ministarstvo nadležno za poslove obrazovanja. </w:t>
      </w:r>
    </w:p>
    <w:p w:rsidR="00505632" w:rsidRDefault="00505632" w:rsidP="00505632">
      <w:r>
        <w:t xml:space="preserve">Prosvjetno-pedagoška služba pod različitim nazivima koji se danas prepoznaju u nazivu Agencije za odgoj i obrazovanje kontinuirano djeluje u Hrvatskoj od 1874. godine, kada je zakonom uspostavljen građanski školski nadzor u sklopu državne uprave.  </w:t>
      </w:r>
    </w:p>
    <w:p w:rsidR="00505632" w:rsidRDefault="00505632" w:rsidP="00505632">
      <w:r>
        <w:t xml:space="preserve">Od tada Prosvjetno-pedagoška služba pod različitim nazivima djeluje bilo kao samostalna služba ili u sklopu ministarstva nadležnog za obrazovanje.  </w:t>
      </w:r>
    </w:p>
    <w:p w:rsidR="00505632" w:rsidRDefault="00505632" w:rsidP="00505632">
      <w:r>
        <w:t xml:space="preserve">Zakonom o Zavodu za školstvo Republike Hrvatske osnovan je Zavod za školstvo Republike Hrvatske koji je započeo s radom 1. prosinca 2003. kao samostalna javna ustanova s temeljnom zadaćom stručne potpore odgojno-obrazovnom sustavu.  </w:t>
      </w:r>
    </w:p>
    <w:p w:rsidR="00505632" w:rsidRDefault="00505632" w:rsidP="00505632">
      <w:r>
        <w:t>Današnja Agencija za odgoj i obrazovanje osnovana je 2006. godine kao pravni slijednik Zavoda za školstvo Republike Hrvatske. Ostale javne ustanove u sustavu odgoja i obrazovanja potekle su iz nekadašnjeg Zavoda za školstvo RH (NCVVO, ASOO).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23962-Agencija za odgoj i obrazovanje</w:t>
            </w:r>
          </w:p>
        </w:tc>
        <w:tc>
          <w:tcPr>
            <w:tcW w:w="2041" w:type="dxa"/>
          </w:tcPr>
          <w:p w:rsidR="00505632" w:rsidRDefault="00505632" w:rsidP="00AD4E52">
            <w:pPr>
              <w:pStyle w:val="CellColumn"/>
              <w:jc w:val="right"/>
            </w:pPr>
            <w:r>
              <w:rPr>
                <w:rFonts w:cs="Times New Roman"/>
              </w:rPr>
              <w:t>29.724.968</w:t>
            </w:r>
          </w:p>
        </w:tc>
        <w:tc>
          <w:tcPr>
            <w:tcW w:w="2041" w:type="dxa"/>
          </w:tcPr>
          <w:p w:rsidR="00505632" w:rsidRDefault="00505632" w:rsidP="00AD4E52">
            <w:pPr>
              <w:pStyle w:val="CellColumn"/>
              <w:jc w:val="right"/>
            </w:pPr>
            <w:r>
              <w:rPr>
                <w:rFonts w:cs="Times New Roman"/>
              </w:rPr>
              <w:t>30.082.512</w:t>
            </w:r>
          </w:p>
        </w:tc>
        <w:tc>
          <w:tcPr>
            <w:tcW w:w="2041" w:type="dxa"/>
          </w:tcPr>
          <w:p w:rsidR="00505632" w:rsidRDefault="00505632" w:rsidP="00AD4E52">
            <w:pPr>
              <w:pStyle w:val="CellColumn"/>
              <w:jc w:val="right"/>
            </w:pPr>
            <w:r>
              <w:rPr>
                <w:rFonts w:cs="Times New Roman"/>
              </w:rPr>
              <w:t>29.300.965</w:t>
            </w:r>
          </w:p>
        </w:tc>
        <w:tc>
          <w:tcPr>
            <w:tcW w:w="1224" w:type="dxa"/>
          </w:tcPr>
          <w:p w:rsidR="00505632" w:rsidRDefault="00505632" w:rsidP="00AD4E52">
            <w:pPr>
              <w:pStyle w:val="CellColumn"/>
              <w:jc w:val="right"/>
            </w:pPr>
            <w:r>
              <w:rPr>
                <w:rFonts w:cs="Times New Roman"/>
              </w:rPr>
              <w:t>97,4</w:t>
            </w:r>
          </w:p>
        </w:tc>
        <w:tc>
          <w:tcPr>
            <w:tcW w:w="1224" w:type="dxa"/>
          </w:tcPr>
          <w:p w:rsidR="00505632" w:rsidRDefault="00505632" w:rsidP="00AD4E52">
            <w:pPr>
              <w:pStyle w:val="CellColumn"/>
              <w:jc w:val="right"/>
            </w:pPr>
            <w:r>
              <w:rPr>
                <w:rFonts w:cs="Times New Roman"/>
              </w:rPr>
              <w:t>98,6</w:t>
            </w:r>
          </w:p>
        </w:tc>
      </w:tr>
      <w:tr w:rsidR="00505632" w:rsidTr="00AD4E52">
        <w:trPr>
          <w:jc w:val="center"/>
        </w:trPr>
        <w:tc>
          <w:tcPr>
            <w:tcW w:w="1632" w:type="dxa"/>
          </w:tcPr>
          <w:p w:rsidR="00505632" w:rsidRDefault="00505632" w:rsidP="00AD4E52">
            <w:pPr>
              <w:jc w:val="left"/>
            </w:pPr>
            <w:r>
              <w:t>3701-RAZVOJ ODGOJNO OBRAZOVNOG SUSTAVA</w:t>
            </w:r>
          </w:p>
        </w:tc>
        <w:tc>
          <w:tcPr>
            <w:tcW w:w="2041" w:type="dxa"/>
          </w:tcPr>
          <w:p w:rsidR="00505632" w:rsidRDefault="00505632" w:rsidP="00AD4E52">
            <w:pPr>
              <w:jc w:val="right"/>
            </w:pPr>
            <w:r>
              <w:t>29.724.968</w:t>
            </w:r>
          </w:p>
        </w:tc>
        <w:tc>
          <w:tcPr>
            <w:tcW w:w="2041" w:type="dxa"/>
          </w:tcPr>
          <w:p w:rsidR="00505632" w:rsidRDefault="00505632" w:rsidP="00AD4E52">
            <w:pPr>
              <w:jc w:val="right"/>
            </w:pPr>
            <w:r>
              <w:t>30.082.512</w:t>
            </w:r>
          </w:p>
        </w:tc>
        <w:tc>
          <w:tcPr>
            <w:tcW w:w="2041" w:type="dxa"/>
          </w:tcPr>
          <w:p w:rsidR="00505632" w:rsidRDefault="00505632" w:rsidP="00AD4E52">
            <w:pPr>
              <w:jc w:val="right"/>
            </w:pPr>
            <w:r>
              <w:t>29.300.965</w:t>
            </w:r>
          </w:p>
        </w:tc>
        <w:tc>
          <w:tcPr>
            <w:tcW w:w="1224" w:type="dxa"/>
          </w:tcPr>
          <w:p w:rsidR="00505632" w:rsidRDefault="00505632" w:rsidP="00AD4E52">
            <w:pPr>
              <w:jc w:val="right"/>
            </w:pPr>
            <w:r>
              <w:t>97,4</w:t>
            </w:r>
          </w:p>
        </w:tc>
        <w:tc>
          <w:tcPr>
            <w:tcW w:w="1224" w:type="dxa"/>
          </w:tcPr>
          <w:p w:rsidR="00505632" w:rsidRDefault="00505632" w:rsidP="00AD4E52">
            <w:pPr>
              <w:jc w:val="right"/>
            </w:pPr>
            <w:r>
              <w:t>98,6</w:t>
            </w:r>
          </w:p>
        </w:tc>
      </w:tr>
    </w:tbl>
    <w:p w:rsidR="00505632" w:rsidRDefault="00505632" w:rsidP="00505632">
      <w:pPr>
        <w:jc w:val="left"/>
      </w:pPr>
    </w:p>
    <w:p w:rsidR="00505632" w:rsidRDefault="00505632" w:rsidP="00505632">
      <w:pPr>
        <w:pStyle w:val="Heading3"/>
      </w:pPr>
      <w:r>
        <w:rPr>
          <w:rFonts w:cs="Times New Roman"/>
        </w:rPr>
        <w:t>3701 RAZVOJ ODGOJNO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3701-RAZVOJ ODGOJNO OBRAZOVNOG SUSTAVA</w:t>
            </w:r>
          </w:p>
        </w:tc>
        <w:tc>
          <w:tcPr>
            <w:tcW w:w="2041" w:type="dxa"/>
          </w:tcPr>
          <w:p w:rsidR="00505632" w:rsidRDefault="00505632" w:rsidP="00AD4E52">
            <w:pPr>
              <w:pStyle w:val="CellColumn"/>
              <w:jc w:val="right"/>
            </w:pPr>
            <w:r>
              <w:rPr>
                <w:rFonts w:cs="Times New Roman"/>
              </w:rPr>
              <w:t>29.724.968</w:t>
            </w:r>
          </w:p>
        </w:tc>
        <w:tc>
          <w:tcPr>
            <w:tcW w:w="2041" w:type="dxa"/>
          </w:tcPr>
          <w:p w:rsidR="00505632" w:rsidRDefault="00505632" w:rsidP="00AD4E52">
            <w:pPr>
              <w:pStyle w:val="CellColumn"/>
              <w:jc w:val="right"/>
            </w:pPr>
            <w:r>
              <w:rPr>
                <w:rFonts w:cs="Times New Roman"/>
              </w:rPr>
              <w:t>30.082.512</w:t>
            </w:r>
          </w:p>
        </w:tc>
        <w:tc>
          <w:tcPr>
            <w:tcW w:w="2041" w:type="dxa"/>
          </w:tcPr>
          <w:p w:rsidR="00505632" w:rsidRDefault="00505632" w:rsidP="00AD4E52">
            <w:pPr>
              <w:pStyle w:val="CellColumn"/>
              <w:jc w:val="right"/>
            </w:pPr>
            <w:r>
              <w:rPr>
                <w:rFonts w:cs="Times New Roman"/>
              </w:rPr>
              <w:t>29.300.965</w:t>
            </w:r>
          </w:p>
        </w:tc>
        <w:tc>
          <w:tcPr>
            <w:tcW w:w="1224" w:type="dxa"/>
          </w:tcPr>
          <w:p w:rsidR="00505632" w:rsidRDefault="00505632" w:rsidP="00AD4E52">
            <w:pPr>
              <w:pStyle w:val="CellColumn"/>
              <w:jc w:val="right"/>
            </w:pPr>
            <w:r>
              <w:rPr>
                <w:rFonts w:cs="Times New Roman"/>
              </w:rPr>
              <w:t>97,4</w:t>
            </w:r>
          </w:p>
        </w:tc>
        <w:tc>
          <w:tcPr>
            <w:tcW w:w="1224" w:type="dxa"/>
          </w:tcPr>
          <w:p w:rsidR="00505632" w:rsidRDefault="00505632" w:rsidP="00AD4E52">
            <w:pPr>
              <w:pStyle w:val="CellColumn"/>
              <w:jc w:val="right"/>
            </w:pPr>
            <w:r>
              <w:rPr>
                <w:rFonts w:cs="Times New Roman"/>
              </w:rPr>
              <w:t>98,6</w:t>
            </w:r>
          </w:p>
        </w:tc>
      </w:tr>
    </w:tbl>
    <w:p w:rsidR="00505632" w:rsidRDefault="00505632" w:rsidP="00505632">
      <w:pPr>
        <w:jc w:val="left"/>
      </w:pPr>
    </w:p>
    <w:p w:rsidR="00505632" w:rsidRDefault="00505632" w:rsidP="00505632">
      <w:r>
        <w:t>Agencija za odgoj i obrazovanje odgovorna je za stručno usavršavanje odgojno‐obrazovnih radnika na svim razinama općeg obrazovanja. Dugoročni razvoj ove djelatnosti zacrtan je Strategijom stručnog usavršavanja za profesionalni razvoj odgojno‐obrazovnih radnika 2014–2020. kojom su određene smjernice razvoja te utvrđen okvir aktivnosti usmjerenih na poboljšanje kvalitete sustava stručnoga usavršavanja u svrhu razvoja kompetencija odgojno‐obrazovnih radnika i poboljšanja ishoda učenja. U 2016. godini održano je 880 stručnih skupova na kojima je sudjelovalo 63 768 sudionika te oko 3 294 skupova u organizaciji voditelja ŽSV-a (1215 imenovanih voditelja ŽSV-a).</w:t>
      </w:r>
    </w:p>
    <w:p w:rsidR="00505632" w:rsidRDefault="00505632" w:rsidP="00505632">
      <w:pPr>
        <w:pStyle w:val="Heading8"/>
        <w:jc w:val="left"/>
      </w:pPr>
      <w:r>
        <w:t xml:space="preserve">Cilj 1. Stručno usavršavanje  odgojno-obrazovnih radnika </w:t>
      </w:r>
    </w:p>
    <w:p w:rsidR="00505632" w:rsidRDefault="00505632" w:rsidP="00505632">
      <w:pPr>
        <w:pStyle w:val="Heading8"/>
        <w:jc w:val="left"/>
      </w:pPr>
      <w:r>
        <w:t>Cilj 2. Sudjelovanje u izradi, razvoju i provedbi cjelovite kurikularne reforme</w:t>
      </w:r>
    </w:p>
    <w:p w:rsidR="00505632" w:rsidRDefault="00505632" w:rsidP="00505632">
      <w:r>
        <w:t xml:space="preserve">Agencija je svoje aktivnosti usmjerila na ostvarivanje programskih ciljeva, aktivnosti i mjera definiranih u Strategiji obrazovanja, znanosti i tehnologije, a osobito na izradi, razvoju i implementaciji Cjelovite kurikularne reforme (mjera 1.2.Strategije). U aktivnostima provođenja Cjelovite kurikularne reforme ustrojena je Jedinica za stručnu i administrativnu podršku izradi kurikularnih dokumenata (JSAP), čiji su članovi bili savjetnici Agencije, a koji su radili na poslovima organizacije i koordinacije rada stručnih radnih skupina, na osposobljavanju odgojno-obrazovnih djelatnika, informacijskim i komunikacijskim zadacima te administrativnoj podršci cjelokupnom procesu. </w:t>
      </w:r>
    </w:p>
    <w:p w:rsidR="00505632" w:rsidRDefault="00505632" w:rsidP="00505632">
      <w:r>
        <w:t xml:space="preserve">Velik broj djelatnika Agencije bio je uključen i u rad stručnih radnih skupina za kurikularnu reformu (područja i predmeta).  </w:t>
      </w:r>
    </w:p>
    <w:p w:rsidR="00505632" w:rsidRDefault="00505632" w:rsidP="00505632">
      <w:r>
        <w:t xml:space="preserve">Agencija je od ustrojavanja JSAP-a i u 2016. godini nastavila provoditi stručno usavršavanje sa ciljem informiranja odgojno-obrazovnih radnika s osnovnim smjernicama kurikularne reforme.  </w:t>
      </w:r>
    </w:p>
    <w:p w:rsidR="00505632" w:rsidRDefault="00505632" w:rsidP="00505632">
      <w:r>
        <w:t>U siječnju 2016. godine održano je stručno usavršavanje svih odgojno-obrazovnih radnika u osnovnim, srednjim školama i učeničkim domovima putem webinara i to u tri termina.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Porast broja odgojno-obrazovnih radnika uključenih u stručno usavršavanje u organizaciji savjetnika AZOO</w:t>
            </w:r>
          </w:p>
        </w:tc>
        <w:tc>
          <w:tcPr>
            <w:tcW w:w="2551" w:type="dxa"/>
          </w:tcPr>
          <w:p w:rsidR="00505632" w:rsidRDefault="00505632" w:rsidP="00AD4E52">
            <w:pPr>
              <w:pStyle w:val="CellColumn"/>
              <w:jc w:val="left"/>
            </w:pPr>
            <w:r>
              <w:rPr>
                <w:rFonts w:cs="Times New Roman"/>
              </w:rPr>
              <w:t>Poticanje sudjelovanja u stručnom usavršavanju u organizaciji Agencije za odgoj i obrazovanje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19545</w:t>
            </w:r>
          </w:p>
        </w:tc>
        <w:tc>
          <w:tcPr>
            <w:tcW w:w="918" w:type="dxa"/>
          </w:tcPr>
          <w:p w:rsidR="00505632" w:rsidRDefault="00505632" w:rsidP="00AD4E52">
            <w:pPr>
              <w:pStyle w:val="CellColumn"/>
              <w:jc w:val="right"/>
            </w:pPr>
            <w:r>
              <w:rPr>
                <w:rFonts w:cs="Times New Roman"/>
              </w:rPr>
              <w:t xml:space="preserve">AZOO ettaedu. </w:t>
            </w:r>
          </w:p>
          <w:p w:rsidR="00505632" w:rsidRDefault="00505632" w:rsidP="00AD4E52">
            <w:pPr>
              <w:pStyle w:val="CellColumn"/>
              <w:jc w:val="right"/>
            </w:pPr>
            <w:r>
              <w:rPr>
                <w:rFonts w:cs="Times New Roman"/>
              </w:rPr>
              <w:t xml:space="preserve">azoo. </w:t>
            </w:r>
          </w:p>
          <w:p w:rsidR="00505632" w:rsidRDefault="00505632" w:rsidP="00AD4E52">
            <w:pPr>
              <w:pStyle w:val="CellColumn"/>
              <w:jc w:val="right"/>
            </w:pPr>
            <w:r>
              <w:rPr>
                <w:rFonts w:cs="Times New Roman"/>
              </w:rPr>
              <w:t>hr</w:t>
            </w:r>
          </w:p>
        </w:tc>
        <w:tc>
          <w:tcPr>
            <w:tcW w:w="1020" w:type="dxa"/>
          </w:tcPr>
          <w:p w:rsidR="00505632" w:rsidRDefault="00505632" w:rsidP="00AD4E52">
            <w:pPr>
              <w:pStyle w:val="CellColumn"/>
              <w:jc w:val="right"/>
            </w:pPr>
            <w:r>
              <w:rPr>
                <w:rFonts w:cs="Times New Roman"/>
              </w:rPr>
              <w:t>20000</w:t>
            </w:r>
          </w:p>
        </w:tc>
        <w:tc>
          <w:tcPr>
            <w:tcW w:w="1020" w:type="dxa"/>
          </w:tcPr>
          <w:p w:rsidR="00505632" w:rsidRDefault="00505632" w:rsidP="00AD4E52">
            <w:pPr>
              <w:pStyle w:val="CellColumn"/>
              <w:jc w:val="right"/>
            </w:pPr>
            <w:r>
              <w:rPr>
                <w:rFonts w:cs="Times New Roman"/>
              </w:rPr>
              <w:t>20180</w:t>
            </w:r>
          </w:p>
        </w:tc>
      </w:tr>
      <w:tr w:rsidR="00505632" w:rsidTr="00AD4E52">
        <w:trPr>
          <w:jc w:val="center"/>
        </w:trPr>
        <w:tc>
          <w:tcPr>
            <w:tcW w:w="2551" w:type="dxa"/>
          </w:tcPr>
          <w:p w:rsidR="00505632" w:rsidRDefault="00505632" w:rsidP="00AD4E52">
            <w:pPr>
              <w:pStyle w:val="CellColumn"/>
              <w:jc w:val="left"/>
            </w:pPr>
            <w:r>
              <w:rPr>
                <w:rFonts w:cs="Times New Roman"/>
              </w:rPr>
              <w:t>Porast broja odgojno-obrazovnih radnika uključenih u stručno usavršavanje u organizaciji županijskih stručnih vijeća</w:t>
            </w:r>
          </w:p>
        </w:tc>
        <w:tc>
          <w:tcPr>
            <w:tcW w:w="2551" w:type="dxa"/>
          </w:tcPr>
          <w:p w:rsidR="00505632" w:rsidRDefault="00505632" w:rsidP="00AD4E52">
            <w:pPr>
              <w:pStyle w:val="CellColumn"/>
              <w:jc w:val="left"/>
            </w:pPr>
            <w:r>
              <w:rPr>
                <w:rFonts w:cs="Times New Roman"/>
              </w:rPr>
              <w:t>Poticanje sudjelovanja u stručnom usavršavanju u organizaciji županijskih stručnih vijeća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32631</w:t>
            </w:r>
          </w:p>
        </w:tc>
        <w:tc>
          <w:tcPr>
            <w:tcW w:w="918" w:type="dxa"/>
          </w:tcPr>
          <w:p w:rsidR="00505632" w:rsidRDefault="00505632" w:rsidP="00AD4E52">
            <w:pPr>
              <w:pStyle w:val="CellColumn"/>
              <w:jc w:val="right"/>
            </w:pPr>
            <w:r>
              <w:rPr>
                <w:rFonts w:cs="Times New Roman"/>
              </w:rPr>
              <w:t xml:space="preserve">AZOO ettaedu. </w:t>
            </w:r>
          </w:p>
          <w:p w:rsidR="00505632" w:rsidRDefault="00505632" w:rsidP="00AD4E52">
            <w:pPr>
              <w:pStyle w:val="CellColumn"/>
              <w:jc w:val="right"/>
            </w:pPr>
            <w:r>
              <w:rPr>
                <w:rFonts w:cs="Times New Roman"/>
              </w:rPr>
              <w:t xml:space="preserve">azoo. </w:t>
            </w:r>
          </w:p>
          <w:p w:rsidR="00505632" w:rsidRDefault="00505632" w:rsidP="00AD4E52">
            <w:pPr>
              <w:pStyle w:val="CellColumn"/>
              <w:jc w:val="right"/>
            </w:pPr>
            <w:r>
              <w:rPr>
                <w:rFonts w:cs="Times New Roman"/>
              </w:rPr>
              <w:t>hr</w:t>
            </w:r>
          </w:p>
        </w:tc>
        <w:tc>
          <w:tcPr>
            <w:tcW w:w="1020" w:type="dxa"/>
          </w:tcPr>
          <w:p w:rsidR="00505632" w:rsidRDefault="00505632" w:rsidP="00AD4E52">
            <w:pPr>
              <w:pStyle w:val="CellColumn"/>
              <w:jc w:val="right"/>
            </w:pPr>
            <w:r>
              <w:rPr>
                <w:rFonts w:cs="Times New Roman"/>
              </w:rPr>
              <w:t>33500</w:t>
            </w:r>
          </w:p>
        </w:tc>
        <w:tc>
          <w:tcPr>
            <w:tcW w:w="1020" w:type="dxa"/>
          </w:tcPr>
          <w:p w:rsidR="00505632" w:rsidRDefault="00505632" w:rsidP="00AD4E52">
            <w:pPr>
              <w:pStyle w:val="CellColumn"/>
              <w:jc w:val="right"/>
            </w:pPr>
            <w:r>
              <w:rPr>
                <w:rFonts w:cs="Times New Roman"/>
              </w:rPr>
              <w:t>33511</w:t>
            </w:r>
          </w:p>
        </w:tc>
      </w:tr>
      <w:tr w:rsidR="00505632" w:rsidTr="00AD4E52">
        <w:trPr>
          <w:jc w:val="center"/>
        </w:trPr>
        <w:tc>
          <w:tcPr>
            <w:tcW w:w="2551" w:type="dxa"/>
          </w:tcPr>
          <w:p w:rsidR="00505632" w:rsidRDefault="00505632" w:rsidP="00AD4E52">
            <w:pPr>
              <w:pStyle w:val="CellColumn"/>
              <w:jc w:val="left"/>
            </w:pPr>
            <w:r>
              <w:rPr>
                <w:rFonts w:cs="Times New Roman"/>
              </w:rPr>
              <w:t>Porast broja odgojno-obrazovnih radnika s položenim stručnim ispitom</w:t>
            </w:r>
          </w:p>
        </w:tc>
        <w:tc>
          <w:tcPr>
            <w:tcW w:w="2551" w:type="dxa"/>
          </w:tcPr>
          <w:p w:rsidR="00505632" w:rsidRDefault="00505632" w:rsidP="00AD4E52">
            <w:pPr>
              <w:pStyle w:val="CellColumn"/>
              <w:jc w:val="left"/>
            </w:pPr>
            <w:r>
              <w:rPr>
                <w:rFonts w:cs="Times New Roman"/>
              </w:rPr>
              <w:t>Poticati osposobljenost pripravnika za samostalni odgojno-obrazovni rad</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3100</w:t>
            </w:r>
          </w:p>
        </w:tc>
        <w:tc>
          <w:tcPr>
            <w:tcW w:w="918" w:type="dxa"/>
          </w:tcPr>
          <w:p w:rsidR="00505632" w:rsidRDefault="00505632" w:rsidP="00AD4E52">
            <w:pPr>
              <w:pStyle w:val="CellColumn"/>
              <w:jc w:val="right"/>
            </w:pPr>
            <w:r>
              <w:rPr>
                <w:rFonts w:cs="Times New Roman"/>
              </w:rPr>
              <w:t xml:space="preserve">AZOO ettaedu. </w:t>
            </w:r>
          </w:p>
          <w:p w:rsidR="00505632" w:rsidRDefault="00505632" w:rsidP="00AD4E52">
            <w:pPr>
              <w:pStyle w:val="CellColumn"/>
              <w:jc w:val="right"/>
            </w:pPr>
            <w:r>
              <w:rPr>
                <w:rFonts w:cs="Times New Roman"/>
              </w:rPr>
              <w:t xml:space="preserve">azoo. </w:t>
            </w:r>
          </w:p>
          <w:p w:rsidR="00505632" w:rsidRDefault="00505632" w:rsidP="00AD4E52">
            <w:pPr>
              <w:pStyle w:val="CellColumn"/>
              <w:jc w:val="right"/>
            </w:pPr>
            <w:r>
              <w:rPr>
                <w:rFonts w:cs="Times New Roman"/>
              </w:rPr>
              <w:t>hr  i baza stažiranja i stručnih ispita</w:t>
            </w:r>
          </w:p>
        </w:tc>
        <w:tc>
          <w:tcPr>
            <w:tcW w:w="1020" w:type="dxa"/>
          </w:tcPr>
          <w:p w:rsidR="00505632" w:rsidRDefault="00505632" w:rsidP="00AD4E52">
            <w:pPr>
              <w:pStyle w:val="CellColumn"/>
              <w:jc w:val="right"/>
            </w:pPr>
            <w:r>
              <w:rPr>
                <w:rFonts w:cs="Times New Roman"/>
              </w:rPr>
              <w:t>3450</w:t>
            </w:r>
          </w:p>
        </w:tc>
        <w:tc>
          <w:tcPr>
            <w:tcW w:w="1020" w:type="dxa"/>
          </w:tcPr>
          <w:p w:rsidR="00505632" w:rsidRDefault="00505632" w:rsidP="00AD4E52">
            <w:pPr>
              <w:pStyle w:val="CellColumn"/>
              <w:jc w:val="right"/>
            </w:pPr>
            <w:r>
              <w:rPr>
                <w:rFonts w:cs="Times New Roman"/>
              </w:rPr>
              <w:t>3999</w:t>
            </w:r>
          </w:p>
        </w:tc>
      </w:tr>
      <w:tr w:rsidR="00505632" w:rsidTr="00AD4E52">
        <w:trPr>
          <w:jc w:val="center"/>
        </w:trPr>
        <w:tc>
          <w:tcPr>
            <w:tcW w:w="2551" w:type="dxa"/>
          </w:tcPr>
          <w:p w:rsidR="00505632" w:rsidRDefault="00505632" w:rsidP="00AD4E52">
            <w:pPr>
              <w:pStyle w:val="CellColumn"/>
              <w:jc w:val="left"/>
            </w:pPr>
            <w:r>
              <w:rPr>
                <w:rFonts w:cs="Times New Roman"/>
              </w:rPr>
              <w:t>Porast broja odgojno-obrazovne radnika uključenih u  sustav napredovanja u zvanje mentora/savjetnika</w:t>
            </w:r>
          </w:p>
        </w:tc>
        <w:tc>
          <w:tcPr>
            <w:tcW w:w="2551" w:type="dxa"/>
          </w:tcPr>
          <w:p w:rsidR="00505632" w:rsidRDefault="00505632" w:rsidP="00AD4E52">
            <w:pPr>
              <w:pStyle w:val="CellColumn"/>
              <w:jc w:val="left"/>
            </w:pPr>
            <w:r>
              <w:rPr>
                <w:rFonts w:cs="Times New Roman"/>
              </w:rPr>
              <w:t>Poticati odgojno-obrazovne radnike na uključivanje u sustav napredovanja u zvanje mentora/savjetnika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1315</w:t>
            </w:r>
          </w:p>
        </w:tc>
        <w:tc>
          <w:tcPr>
            <w:tcW w:w="918" w:type="dxa"/>
          </w:tcPr>
          <w:p w:rsidR="00505632" w:rsidRDefault="00505632" w:rsidP="00AD4E52">
            <w:pPr>
              <w:pStyle w:val="CellColumn"/>
              <w:jc w:val="right"/>
            </w:pPr>
            <w:r>
              <w:rPr>
                <w:rFonts w:cs="Times New Roman"/>
              </w:rPr>
              <w:t xml:space="preserve">AZOO ettaedu. </w:t>
            </w:r>
          </w:p>
          <w:p w:rsidR="00505632" w:rsidRDefault="00505632" w:rsidP="00AD4E52">
            <w:pPr>
              <w:pStyle w:val="CellColumn"/>
              <w:jc w:val="right"/>
            </w:pPr>
            <w:r>
              <w:rPr>
                <w:rFonts w:cs="Times New Roman"/>
              </w:rPr>
              <w:t xml:space="preserve">azoo. </w:t>
            </w:r>
          </w:p>
          <w:p w:rsidR="00505632" w:rsidRDefault="00505632" w:rsidP="00AD4E52">
            <w:pPr>
              <w:pStyle w:val="CellColumn"/>
              <w:jc w:val="right"/>
            </w:pPr>
            <w:r>
              <w:rPr>
                <w:rFonts w:cs="Times New Roman"/>
              </w:rPr>
              <w:t>hr</w:t>
            </w:r>
          </w:p>
        </w:tc>
        <w:tc>
          <w:tcPr>
            <w:tcW w:w="1020" w:type="dxa"/>
          </w:tcPr>
          <w:p w:rsidR="00505632" w:rsidRDefault="00505632" w:rsidP="00AD4E52">
            <w:pPr>
              <w:pStyle w:val="CellColumn"/>
              <w:jc w:val="right"/>
            </w:pPr>
            <w:r>
              <w:rPr>
                <w:rFonts w:cs="Times New Roman"/>
              </w:rPr>
              <w:t>1450</w:t>
            </w:r>
          </w:p>
        </w:tc>
        <w:tc>
          <w:tcPr>
            <w:tcW w:w="1020" w:type="dxa"/>
          </w:tcPr>
          <w:p w:rsidR="00505632" w:rsidRDefault="00505632" w:rsidP="00AD4E52">
            <w:pPr>
              <w:pStyle w:val="CellColumn"/>
              <w:jc w:val="right"/>
            </w:pPr>
            <w:r>
              <w:rPr>
                <w:rFonts w:cs="Times New Roman"/>
              </w:rPr>
              <w:t>1666</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A733003 NACIONALNI PROGRAMI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A733003-NACIONALNI PROGRAMI</w:t>
            </w:r>
          </w:p>
        </w:tc>
        <w:tc>
          <w:tcPr>
            <w:tcW w:w="2041" w:type="dxa"/>
          </w:tcPr>
          <w:p w:rsidR="00505632" w:rsidRDefault="00505632" w:rsidP="00AD4E52">
            <w:pPr>
              <w:pStyle w:val="CellColumn"/>
              <w:jc w:val="right"/>
            </w:pPr>
            <w:r>
              <w:rPr>
                <w:rFonts w:cs="Times New Roman"/>
              </w:rPr>
              <w:t>66.295</w:t>
            </w:r>
          </w:p>
        </w:tc>
        <w:tc>
          <w:tcPr>
            <w:tcW w:w="2041" w:type="dxa"/>
          </w:tcPr>
          <w:p w:rsidR="00505632" w:rsidRDefault="00505632" w:rsidP="00AD4E52">
            <w:pPr>
              <w:pStyle w:val="CellColumn"/>
              <w:jc w:val="right"/>
            </w:pPr>
            <w:r>
              <w:rPr>
                <w:rFonts w:cs="Times New Roman"/>
              </w:rPr>
              <w:t>176.898</w:t>
            </w:r>
          </w:p>
        </w:tc>
        <w:tc>
          <w:tcPr>
            <w:tcW w:w="2041" w:type="dxa"/>
          </w:tcPr>
          <w:p w:rsidR="00505632" w:rsidRDefault="00505632" w:rsidP="00AD4E52">
            <w:pPr>
              <w:pStyle w:val="CellColumn"/>
              <w:jc w:val="right"/>
            </w:pPr>
            <w:r>
              <w:rPr>
                <w:rFonts w:cs="Times New Roman"/>
              </w:rPr>
              <w:t>132.147</w:t>
            </w:r>
          </w:p>
        </w:tc>
        <w:tc>
          <w:tcPr>
            <w:tcW w:w="1224" w:type="dxa"/>
          </w:tcPr>
          <w:p w:rsidR="00505632" w:rsidRDefault="00505632" w:rsidP="00AD4E52">
            <w:pPr>
              <w:pStyle w:val="CellColumn"/>
              <w:jc w:val="right"/>
            </w:pPr>
            <w:r>
              <w:rPr>
                <w:rFonts w:cs="Times New Roman"/>
              </w:rPr>
              <w:t>74,7</w:t>
            </w:r>
          </w:p>
        </w:tc>
        <w:tc>
          <w:tcPr>
            <w:tcW w:w="1224" w:type="dxa"/>
          </w:tcPr>
          <w:p w:rsidR="00505632" w:rsidRDefault="00505632" w:rsidP="00AD4E52">
            <w:pPr>
              <w:pStyle w:val="CellColumn"/>
              <w:jc w:val="right"/>
            </w:pPr>
            <w:r>
              <w:rPr>
                <w:rFonts w:cs="Times New Roman"/>
              </w:rPr>
              <w:t>199,3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Tijekom 2016. godine nastavljena je  suradnja u području obveznoga međupredmetnog uvođenja građanskog odgoja i obrazovanja u osnovne i srednje škole kao i u području provedbe brojnih drugih nacionalnih programa s ostalim ministarstvima ili uredima Vlade Republike Hrvatske (sprečavanje nasilja nad djecom i među djecom, prevencija zlouporabe droga, promicanje prava djece, sigurnost u školama, suzbijanje obiteljskoga nasilja, suzbijanje diskriminacije, prevencija HIV-infekcija (AIDS), prevencija poremećaja u ponašanju, prevencija trgovanja djecom, osposobljavanje za volontiranje, osposobljavanje za zaštitu potrošača i financijsku pismenost, uključivanje Roma, suzbijanje koruptivnoga ponašanja, promicanje ravnopravnosti spolova, promicanje uključenosti i ravnopravnosti nacionalnih manjina, promicanje interkulturnoga dijaloga…).</w:t>
      </w:r>
    </w:p>
    <w:p w:rsidR="00505632" w:rsidRDefault="00505632" w:rsidP="00505632">
      <w:pPr>
        <w:pStyle w:val="Heading4"/>
      </w:pPr>
      <w:r>
        <w:t>A733027 STRUČNO USAVRŠAVANJE VODITELJA ŽUPANIJSKIH STRUČNIH VIJEĆA OSNOVNIH ŠKOLA</w:t>
      </w:r>
    </w:p>
    <w:tbl>
      <w:tblPr>
        <w:tblStyle w:val="StilTablice"/>
        <w:tblW w:w="10206" w:type="dxa"/>
        <w:jc w:val="center"/>
        <w:tblLook w:val="04A0" w:firstRow="1" w:lastRow="0" w:firstColumn="1" w:lastColumn="0" w:noHBand="0" w:noVBand="1"/>
      </w:tblPr>
      <w:tblGrid>
        <w:gridCol w:w="1681"/>
        <w:gridCol w:w="2027"/>
        <w:gridCol w:w="2027"/>
        <w:gridCol w:w="2028"/>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A733027-STRUČNO USAVRŠAVANJE VODITELJA ŽUPANIJSKIH STRUČNIH VIJEĆA OSNOVNIH ŠKOLA</w:t>
            </w:r>
          </w:p>
        </w:tc>
        <w:tc>
          <w:tcPr>
            <w:tcW w:w="2041" w:type="dxa"/>
          </w:tcPr>
          <w:p w:rsidR="00505632" w:rsidRDefault="00505632" w:rsidP="00AD4E52">
            <w:pPr>
              <w:pStyle w:val="CellColumn"/>
              <w:jc w:val="right"/>
            </w:pPr>
            <w:r>
              <w:rPr>
                <w:rFonts w:cs="Times New Roman"/>
              </w:rPr>
              <w:t>815.960</w:t>
            </w:r>
          </w:p>
        </w:tc>
        <w:tc>
          <w:tcPr>
            <w:tcW w:w="2041" w:type="dxa"/>
          </w:tcPr>
          <w:p w:rsidR="00505632" w:rsidRDefault="00505632" w:rsidP="00AD4E52">
            <w:pPr>
              <w:pStyle w:val="CellColumn"/>
              <w:jc w:val="right"/>
            </w:pPr>
            <w:r>
              <w:rPr>
                <w:rFonts w:cs="Times New Roman"/>
              </w:rPr>
              <w:t>822.960</w:t>
            </w:r>
          </w:p>
        </w:tc>
        <w:tc>
          <w:tcPr>
            <w:tcW w:w="2041" w:type="dxa"/>
          </w:tcPr>
          <w:p w:rsidR="00505632" w:rsidRDefault="00505632" w:rsidP="00AD4E52">
            <w:pPr>
              <w:pStyle w:val="CellColumn"/>
              <w:jc w:val="right"/>
            </w:pPr>
            <w:r>
              <w:rPr>
                <w:rFonts w:cs="Times New Roman"/>
              </w:rPr>
              <w:t>821.647</w:t>
            </w:r>
          </w:p>
        </w:tc>
        <w:tc>
          <w:tcPr>
            <w:tcW w:w="1224" w:type="dxa"/>
          </w:tcPr>
          <w:p w:rsidR="00505632" w:rsidRDefault="00505632" w:rsidP="00AD4E52">
            <w:pPr>
              <w:pStyle w:val="CellColumn"/>
              <w:jc w:val="right"/>
            </w:pPr>
            <w:r>
              <w:rPr>
                <w:rFonts w:cs="Times New Roman"/>
              </w:rPr>
              <w:t>99,8</w:t>
            </w:r>
          </w:p>
        </w:tc>
        <w:tc>
          <w:tcPr>
            <w:tcW w:w="1224" w:type="dxa"/>
          </w:tcPr>
          <w:p w:rsidR="00505632" w:rsidRDefault="00505632" w:rsidP="00AD4E52">
            <w:pPr>
              <w:pStyle w:val="CellColumn"/>
              <w:jc w:val="right"/>
            </w:pPr>
            <w:r>
              <w:rPr>
                <w:rFonts w:cs="Times New Roman"/>
              </w:rPr>
              <w:t>100,7</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Važnu ulogu i zadaću u stručnom usavršavanju na razini županija imaju istaknuti odgojno-obrazovni radnici, voditelji županijskih stručnih vijeća (VŽSV-a). Njihovo iskustvo i stručnost koristi se u edukaciji ostalih odgojno-obrazovnih radnika u sustavu odgoja i obrazovanja na način da svaki VŽSV-a godišnje organizira najmanje tri stručna skupa za pedesetak sudionika. Uz stručnu i organizacijsku potporu i vodstvo savjetnika Agencije, oni prosljeđuju važne informacije i spoznaje ostalim odgojno-obrazovnim radnicima (kaskadni model stručnoga usavršavanja). Agencija je imenovala 1215 voditelja ŽSV-a u osnovnim i srednjim školama, a sredstva za financiranje njihova rada osiguravaju se u državnom proračunu (za voditelje ŽSV-a u osnovnim školama na poziciji proračuna AZOO-a, a za voditelje ŽSV-a u srednjim školama na pozicija proračuna MZO-a).</w:t>
      </w:r>
    </w:p>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04"/>
        <w:gridCol w:w="2379"/>
        <w:gridCol w:w="1259"/>
        <w:gridCol w:w="1009"/>
        <w:gridCol w:w="1136"/>
        <w:gridCol w:w="1009"/>
        <w:gridCol w:w="101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Stručno usavršavanje odgojno-obrazovnih radnika u organizaciji voditelja županijskih stručnih vijeća</w:t>
            </w:r>
          </w:p>
        </w:tc>
        <w:tc>
          <w:tcPr>
            <w:tcW w:w="2551" w:type="dxa"/>
          </w:tcPr>
          <w:p w:rsidR="00505632" w:rsidRDefault="00505632" w:rsidP="00AD4E52">
            <w:pPr>
              <w:pStyle w:val="CellColumn"/>
              <w:jc w:val="left"/>
            </w:pPr>
            <w:r>
              <w:rPr>
                <w:rFonts w:cs="Times New Roman"/>
              </w:rPr>
              <w:t>broj stručnih skupova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3000</w:t>
            </w:r>
          </w:p>
        </w:tc>
        <w:tc>
          <w:tcPr>
            <w:tcW w:w="1020" w:type="dxa"/>
          </w:tcPr>
          <w:p w:rsidR="00505632" w:rsidRDefault="00505632" w:rsidP="00AD4E52">
            <w:pPr>
              <w:pStyle w:val="CellColumn"/>
              <w:jc w:val="right"/>
            </w:pPr>
            <w:r>
              <w:rPr>
                <w:rFonts w:cs="Times New Roman"/>
              </w:rPr>
              <w:t xml:space="preserve">AZOO </w:t>
            </w:r>
          </w:p>
          <w:p w:rsidR="00505632" w:rsidRDefault="00505632" w:rsidP="00AD4E52">
            <w:pPr>
              <w:pStyle w:val="CellColumn"/>
              <w:jc w:val="right"/>
            </w:pPr>
            <w:r>
              <w:rPr>
                <w:rFonts w:cs="Times New Roman"/>
              </w:rPr>
              <w:t xml:space="preserve">Elektronička aplikacija </w:t>
            </w:r>
          </w:p>
          <w:p w:rsidR="00505632" w:rsidRDefault="00505632" w:rsidP="00AD4E52">
            <w:pPr>
              <w:pStyle w:val="CellColumn"/>
              <w:jc w:val="right"/>
            </w:pPr>
            <w:r>
              <w:rPr>
                <w:rFonts w:cs="Times New Roman"/>
              </w:rPr>
              <w:t xml:space="preserve"> ettaedu.hr</w:t>
            </w:r>
          </w:p>
        </w:tc>
        <w:tc>
          <w:tcPr>
            <w:tcW w:w="1020" w:type="dxa"/>
          </w:tcPr>
          <w:p w:rsidR="00505632" w:rsidRDefault="00505632" w:rsidP="00AD4E52">
            <w:pPr>
              <w:pStyle w:val="CellColumn"/>
              <w:jc w:val="right"/>
            </w:pPr>
            <w:r>
              <w:rPr>
                <w:rFonts w:cs="Times New Roman"/>
              </w:rPr>
              <w:t>3050</w:t>
            </w:r>
          </w:p>
        </w:tc>
        <w:tc>
          <w:tcPr>
            <w:tcW w:w="1020" w:type="dxa"/>
          </w:tcPr>
          <w:p w:rsidR="00505632" w:rsidRDefault="00505632" w:rsidP="00AD4E52">
            <w:pPr>
              <w:pStyle w:val="CellColumn"/>
              <w:jc w:val="right"/>
            </w:pPr>
            <w:r>
              <w:rPr>
                <w:rFonts w:cs="Times New Roman"/>
              </w:rPr>
              <w:t>3294</w:t>
            </w:r>
          </w:p>
        </w:tc>
      </w:tr>
    </w:tbl>
    <w:p w:rsidR="00505632" w:rsidRDefault="00505632" w:rsidP="00505632">
      <w:pPr>
        <w:jc w:val="left"/>
      </w:pPr>
    </w:p>
    <w:p w:rsidR="00505632" w:rsidRDefault="00505632" w:rsidP="00505632">
      <w:pPr>
        <w:pStyle w:val="Heading4"/>
      </w:pPr>
      <w:r>
        <w:t>A733028 CENTAR ZA MEĐUNARODNU SURADNJU</w:t>
      </w:r>
    </w:p>
    <w:tbl>
      <w:tblPr>
        <w:tblStyle w:val="StilTablice"/>
        <w:tblW w:w="10206" w:type="dxa"/>
        <w:jc w:val="center"/>
        <w:tblLook w:val="04A0" w:firstRow="1" w:lastRow="0" w:firstColumn="1" w:lastColumn="0" w:noHBand="0" w:noVBand="1"/>
      </w:tblPr>
      <w:tblGrid>
        <w:gridCol w:w="1703"/>
        <w:gridCol w:w="2021"/>
        <w:gridCol w:w="2020"/>
        <w:gridCol w:w="2021"/>
        <w:gridCol w:w="1220"/>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A733028-CENTAR ZA MEĐUNARODNU SURADNJU</w:t>
            </w:r>
          </w:p>
        </w:tc>
        <w:tc>
          <w:tcPr>
            <w:tcW w:w="2041" w:type="dxa"/>
          </w:tcPr>
          <w:p w:rsidR="00505632" w:rsidRDefault="00505632" w:rsidP="00AD4E52">
            <w:pPr>
              <w:pStyle w:val="CellColumn"/>
              <w:jc w:val="right"/>
            </w:pPr>
            <w:r>
              <w:rPr>
                <w:rFonts w:cs="Times New Roman"/>
              </w:rPr>
              <w:t>138.880</w:t>
            </w:r>
          </w:p>
        </w:tc>
        <w:tc>
          <w:tcPr>
            <w:tcW w:w="2041" w:type="dxa"/>
          </w:tcPr>
          <w:p w:rsidR="00505632" w:rsidRDefault="00505632" w:rsidP="00AD4E52">
            <w:pPr>
              <w:pStyle w:val="CellColumn"/>
              <w:jc w:val="right"/>
            </w:pPr>
            <w:r>
              <w:rPr>
                <w:rFonts w:cs="Times New Roman"/>
              </w:rPr>
              <w:t>130.881</w:t>
            </w:r>
          </w:p>
        </w:tc>
        <w:tc>
          <w:tcPr>
            <w:tcW w:w="2041" w:type="dxa"/>
          </w:tcPr>
          <w:p w:rsidR="00505632" w:rsidRDefault="00505632" w:rsidP="00AD4E52">
            <w:pPr>
              <w:pStyle w:val="CellColumn"/>
              <w:jc w:val="right"/>
            </w:pPr>
            <w:r>
              <w:rPr>
                <w:rFonts w:cs="Times New Roman"/>
              </w:rPr>
              <w:t>123.612</w:t>
            </w:r>
          </w:p>
        </w:tc>
        <w:tc>
          <w:tcPr>
            <w:tcW w:w="1224" w:type="dxa"/>
          </w:tcPr>
          <w:p w:rsidR="00505632" w:rsidRDefault="00505632" w:rsidP="00AD4E52">
            <w:pPr>
              <w:pStyle w:val="CellColumn"/>
              <w:jc w:val="right"/>
            </w:pPr>
            <w:r>
              <w:rPr>
                <w:rFonts w:cs="Times New Roman"/>
              </w:rPr>
              <w:t>94,4</w:t>
            </w:r>
          </w:p>
        </w:tc>
        <w:tc>
          <w:tcPr>
            <w:tcW w:w="1224" w:type="dxa"/>
          </w:tcPr>
          <w:p w:rsidR="00505632" w:rsidRDefault="00505632" w:rsidP="00AD4E52">
            <w:pPr>
              <w:pStyle w:val="CellColumn"/>
              <w:jc w:val="right"/>
            </w:pPr>
            <w:r>
              <w:rPr>
                <w:rFonts w:cs="Times New Roman"/>
              </w:rPr>
              <w:t>89,0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Ustav Republike Hrvatske </w:t>
      </w:r>
    </w:p>
    <w:p w:rsidR="00505632" w:rsidRDefault="00505632" w:rsidP="00505632">
      <w:r>
        <w:t xml:space="preserve">Zakon o odgoju i obrazovanju u osnovnoj i srednjoj školi  </w:t>
      </w:r>
    </w:p>
    <w:p w:rsidR="00505632" w:rsidRDefault="00505632" w:rsidP="00505632">
      <w:r>
        <w:t xml:space="preserve">Zakon o Agenciji za odgoj i obrazovanje </w:t>
      </w:r>
    </w:p>
    <w:p w:rsidR="00505632" w:rsidRDefault="00505632" w:rsidP="00505632">
      <w:r>
        <w:t xml:space="preserve">Zakon o odnosima Republike Hrvatske s Hrvatima izvan Republike Hrvatske </w:t>
      </w:r>
    </w:p>
    <w:p w:rsidR="00505632" w:rsidRDefault="00505632" w:rsidP="00505632">
      <w:r>
        <w:t xml:space="preserve">Stockholmska Deklaracija Međunarodnog foruma o Holokaustu (2000.) </w:t>
      </w:r>
    </w:p>
    <w:p w:rsidR="00505632" w:rsidRDefault="00505632" w:rsidP="00505632">
      <w:r>
        <w:t xml:space="preserve">Memorandum o suglasnosti o suradnji u području poučavanja o Holokaustu sklopljen između MZOS-a, AZOO-a i Yad Vashem-a (2013.) </w:t>
      </w:r>
    </w:p>
    <w:p w:rsidR="00505632" w:rsidRDefault="00505632" w:rsidP="00505632">
      <w:r>
        <w:t>Program kulturne i obrazovne suradnje između Vlade RH i Vlade Države Izraela 2016.-2019. (2016.)</w:t>
      </w:r>
    </w:p>
    <w:p w:rsidR="00505632" w:rsidRDefault="00505632" w:rsidP="00505632">
      <w:pPr>
        <w:pStyle w:val="Heading8"/>
        <w:jc w:val="left"/>
      </w:pPr>
      <w:r>
        <w:t>Opis aktivnosti</w:t>
      </w:r>
    </w:p>
    <w:p w:rsidR="00505632" w:rsidRDefault="00505632" w:rsidP="00505632">
      <w:r>
        <w:t>U okviru svoje djelatnosti Agencija sudjeluje u praćenju, unapređivanju i razvoja odgoja i obrazovanja na području predškolskog, osnovnoškolskog i srednjoškolskog odgoja i obrazovanja te školovanja djece hrvatskih građana u inozemstvu i djece stranih državljana. U skladu s Ustavom RH te zakonskim i provedbenim propisima u ostvarenju navedenog cilja  Agencija svake godine organizira Međunarodni stručni skup za odgojno-obrazovne radnike (odgajatelje, učitelje i nastavnike) pripadnike hrvatske nacionalne manjine i iseljenika u inozemstvu čiji je cilj stručno osposobljavanje i usavršavanje odgojno-obrazovnih radnika koji se bave školovanjem djece hrvatskih građana u inozemstvu. Ujedno se, u skladu s postojećim zakonskim odredbama i sklopljenim međunarodnim ugovorima, svake godine organizira Međunarodni stručni skup učenje i poučavanje o Holokaustu i sprečavanju zločina protiv čovječnosti, čiji je cilj stručno osposobljavanje i usavršavanje odgojno-obrazovnih radnika za učenje i poučavanje o Holokaustu.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302"/>
        <w:gridCol w:w="2304"/>
        <w:gridCol w:w="1259"/>
        <w:gridCol w:w="1001"/>
        <w:gridCol w:w="1336"/>
        <w:gridCol w:w="1001"/>
        <w:gridCol w:w="1003"/>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sudionika uključenih u stručno usavršavanje na temu Holokausta</w:t>
            </w:r>
          </w:p>
        </w:tc>
        <w:tc>
          <w:tcPr>
            <w:tcW w:w="2551" w:type="dxa"/>
          </w:tcPr>
          <w:p w:rsidR="00505632" w:rsidRDefault="00505632" w:rsidP="00AD4E52">
            <w:pPr>
              <w:pStyle w:val="CellColumn"/>
              <w:jc w:val="left"/>
            </w:pPr>
            <w:r>
              <w:rPr>
                <w:rFonts w:cs="Times New Roman"/>
              </w:rPr>
              <w:t>Sudjelovanje u stručnom usavršavanju na temu Holokausta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140</w:t>
            </w:r>
          </w:p>
        </w:tc>
        <w:tc>
          <w:tcPr>
            <w:tcW w:w="1020" w:type="dxa"/>
          </w:tcPr>
          <w:p w:rsidR="00505632" w:rsidRDefault="00505632" w:rsidP="00AD4E52">
            <w:pPr>
              <w:pStyle w:val="CellColumn"/>
              <w:jc w:val="right"/>
            </w:pPr>
            <w:r>
              <w:rPr>
                <w:rFonts w:cs="Times New Roman"/>
              </w:rPr>
              <w:t>elektronička aplikacija ettaedu.azoo.hr</w:t>
            </w:r>
          </w:p>
        </w:tc>
        <w:tc>
          <w:tcPr>
            <w:tcW w:w="1020" w:type="dxa"/>
          </w:tcPr>
          <w:p w:rsidR="00505632" w:rsidRDefault="00505632" w:rsidP="00AD4E52">
            <w:pPr>
              <w:pStyle w:val="CellColumn"/>
              <w:jc w:val="right"/>
            </w:pPr>
            <w:r>
              <w:rPr>
                <w:rFonts w:cs="Times New Roman"/>
              </w:rPr>
              <w:t>150</w:t>
            </w:r>
          </w:p>
        </w:tc>
        <w:tc>
          <w:tcPr>
            <w:tcW w:w="1020" w:type="dxa"/>
          </w:tcPr>
          <w:p w:rsidR="00505632" w:rsidRDefault="00505632" w:rsidP="00AD4E52">
            <w:pPr>
              <w:pStyle w:val="CellColumn"/>
              <w:jc w:val="right"/>
            </w:pPr>
            <w:r>
              <w:rPr>
                <w:rFonts w:cs="Times New Roman"/>
              </w:rPr>
              <w:t>160</w:t>
            </w:r>
          </w:p>
        </w:tc>
      </w:tr>
      <w:tr w:rsidR="00505632" w:rsidTr="00AD4E52">
        <w:trPr>
          <w:jc w:val="center"/>
        </w:trPr>
        <w:tc>
          <w:tcPr>
            <w:tcW w:w="2551" w:type="dxa"/>
          </w:tcPr>
          <w:p w:rsidR="00505632" w:rsidRDefault="00505632" w:rsidP="00AD4E52">
            <w:pPr>
              <w:pStyle w:val="CellColumn"/>
              <w:jc w:val="left"/>
            </w:pPr>
            <w:r>
              <w:rPr>
                <w:rFonts w:cs="Times New Roman"/>
              </w:rPr>
              <w:t>Broj sudionika uključenih u stručno usavršavanje na temu školovanja djece hrvatskih građana u inozemstvu</w:t>
            </w:r>
          </w:p>
        </w:tc>
        <w:tc>
          <w:tcPr>
            <w:tcW w:w="2551" w:type="dxa"/>
          </w:tcPr>
          <w:p w:rsidR="00505632" w:rsidRDefault="00505632" w:rsidP="00AD4E52">
            <w:pPr>
              <w:pStyle w:val="CellColumn"/>
              <w:jc w:val="left"/>
            </w:pPr>
            <w:r>
              <w:rPr>
                <w:rFonts w:cs="Times New Roman"/>
              </w:rPr>
              <w:t>Sudjelovanje u stručnom usavršavanju na temu školovanja djece hrvatskih građana u inozemstvu te poučavanja hrvatskog jezika i kulture djece Hrvata izvan RH</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elektronička aplikacija ettaedu.azoo.hr</w:t>
            </w:r>
          </w:p>
        </w:tc>
        <w:tc>
          <w:tcPr>
            <w:tcW w:w="1020" w:type="dxa"/>
          </w:tcPr>
          <w:p w:rsidR="00505632" w:rsidRDefault="00505632" w:rsidP="00AD4E52">
            <w:pPr>
              <w:pStyle w:val="CellColumn"/>
              <w:jc w:val="right"/>
            </w:pPr>
            <w:r>
              <w:rPr>
                <w:rFonts w:cs="Times New Roman"/>
              </w:rPr>
              <w:t>120</w:t>
            </w:r>
          </w:p>
        </w:tc>
        <w:tc>
          <w:tcPr>
            <w:tcW w:w="1020" w:type="dxa"/>
          </w:tcPr>
          <w:p w:rsidR="00505632" w:rsidRDefault="00505632" w:rsidP="00AD4E52">
            <w:pPr>
              <w:pStyle w:val="CellColumn"/>
              <w:jc w:val="right"/>
            </w:pPr>
            <w:r>
              <w:rPr>
                <w:rFonts w:cs="Times New Roman"/>
              </w:rPr>
              <w:t>130</w:t>
            </w:r>
          </w:p>
        </w:tc>
      </w:tr>
    </w:tbl>
    <w:p w:rsidR="00505632" w:rsidRDefault="00505632" w:rsidP="00505632">
      <w:pPr>
        <w:jc w:val="left"/>
      </w:pPr>
    </w:p>
    <w:p w:rsidR="00505632" w:rsidRDefault="00505632" w:rsidP="00505632">
      <w:pPr>
        <w:pStyle w:val="Heading4"/>
      </w:pPr>
      <w:r>
        <w:t>A733032 IZVANNASTAVNE AKTIVNOSTI U OSNOVNIM I SREDNJIM ŠKOLAMA-NATJECANJE</w:t>
      </w:r>
    </w:p>
    <w:tbl>
      <w:tblPr>
        <w:tblStyle w:val="StilTablice"/>
        <w:tblW w:w="10206" w:type="dxa"/>
        <w:jc w:val="center"/>
        <w:tblLook w:val="04A0" w:firstRow="1" w:lastRow="0" w:firstColumn="1" w:lastColumn="0" w:noHBand="0" w:noVBand="1"/>
      </w:tblPr>
      <w:tblGrid>
        <w:gridCol w:w="1814"/>
        <w:gridCol w:w="1987"/>
        <w:gridCol w:w="1988"/>
        <w:gridCol w:w="1988"/>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A733032-IZVANNASTAVNE AKTIVNOSTI U OSNOVNIM I SREDNJIM ŠKOLAMA-NATJECANJE</w:t>
            </w:r>
          </w:p>
        </w:tc>
        <w:tc>
          <w:tcPr>
            <w:tcW w:w="2041" w:type="dxa"/>
          </w:tcPr>
          <w:p w:rsidR="00505632" w:rsidRDefault="00505632" w:rsidP="00AD4E52">
            <w:pPr>
              <w:pStyle w:val="CellColumn"/>
              <w:jc w:val="right"/>
            </w:pPr>
            <w:r>
              <w:rPr>
                <w:rFonts w:cs="Times New Roman"/>
              </w:rPr>
              <w:t>7.351.380</w:t>
            </w:r>
          </w:p>
        </w:tc>
        <w:tc>
          <w:tcPr>
            <w:tcW w:w="2041" w:type="dxa"/>
          </w:tcPr>
          <w:p w:rsidR="00505632" w:rsidRDefault="00505632" w:rsidP="00AD4E52">
            <w:pPr>
              <w:pStyle w:val="CellColumn"/>
              <w:jc w:val="right"/>
            </w:pPr>
            <w:r>
              <w:rPr>
                <w:rFonts w:cs="Times New Roman"/>
              </w:rPr>
              <w:t>6.616.154</w:t>
            </w:r>
          </w:p>
        </w:tc>
        <w:tc>
          <w:tcPr>
            <w:tcW w:w="2041" w:type="dxa"/>
          </w:tcPr>
          <w:p w:rsidR="00505632" w:rsidRDefault="00505632" w:rsidP="00AD4E52">
            <w:pPr>
              <w:pStyle w:val="CellColumn"/>
              <w:jc w:val="right"/>
            </w:pPr>
            <w:r>
              <w:rPr>
                <w:rFonts w:cs="Times New Roman"/>
              </w:rPr>
              <w:t>6.527.533</w:t>
            </w:r>
          </w:p>
        </w:tc>
        <w:tc>
          <w:tcPr>
            <w:tcW w:w="1224" w:type="dxa"/>
          </w:tcPr>
          <w:p w:rsidR="00505632" w:rsidRDefault="00505632" w:rsidP="00AD4E52">
            <w:pPr>
              <w:pStyle w:val="CellColumn"/>
              <w:jc w:val="right"/>
            </w:pPr>
            <w:r>
              <w:rPr>
                <w:rFonts w:cs="Times New Roman"/>
              </w:rPr>
              <w:t>98,7</w:t>
            </w:r>
          </w:p>
        </w:tc>
        <w:tc>
          <w:tcPr>
            <w:tcW w:w="1224" w:type="dxa"/>
          </w:tcPr>
          <w:p w:rsidR="00505632" w:rsidRDefault="00505632" w:rsidP="00AD4E52">
            <w:pPr>
              <w:pStyle w:val="CellColumn"/>
              <w:jc w:val="right"/>
            </w:pPr>
            <w:r>
              <w:rPr>
                <w:rFonts w:cs="Times New Roman"/>
              </w:rPr>
              <w:t>88,8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odgoju i obrazovanju u osnovnoj i srednjoj školi </w:t>
      </w:r>
    </w:p>
    <w:p w:rsidR="00505632" w:rsidRDefault="00505632" w:rsidP="00505632">
      <w:r>
        <w:t>Zakon o Agenciji za odgoj i obrazovanje</w:t>
      </w:r>
    </w:p>
    <w:p w:rsidR="00505632" w:rsidRDefault="00505632" w:rsidP="00505632">
      <w:pPr>
        <w:pStyle w:val="Heading8"/>
        <w:jc w:val="left"/>
      </w:pPr>
      <w:r>
        <w:t>Opis aktivnosti</w:t>
      </w:r>
    </w:p>
    <w:p w:rsidR="00505632" w:rsidRDefault="00505632" w:rsidP="00505632">
      <w:r>
        <w:t xml:space="preserve">Agencija za odgoj i obrazovanje je u 2016. godini organizirala, koordinirala i financijski pratila 33 natjecanja i smotre.  </w:t>
      </w:r>
    </w:p>
    <w:p w:rsidR="00505632" w:rsidRDefault="00505632" w:rsidP="00505632">
      <w:r>
        <w:t xml:space="preserve">Natjecanja i smotre u 2015./2016. godini provodila su se u 27 kategorija koje obuhvaćaju jezično-umjetničko, prirodoslovno-matematičko, humanističko, tehničko, umjetničko, zdravstveno, ekološko i druge programe  na školskoj, županijskoj i državnoj razini, a cilj je bio predstaviti rezultate rada, znanja, vještina, sposobnosti i kompetencija učenika i njihovih mentora na određenom području, poticati i motivirati na sudjelovanje te međusobno natjecanje učenika. Natjecanjima su bili obuhvaćeni učenici osnovnih škola, gimnazija, umjetničkih škola i učenici strukovnih škola iz općeobrazovnih predmeta.  </w:t>
      </w:r>
    </w:p>
    <w:p w:rsidR="00505632" w:rsidRDefault="00505632" w:rsidP="00505632">
      <w:r>
        <w:t xml:space="preserve">Na školskoj razini natjecanja i smotri sudjelovalo je 122 600 učenika, na županijskoj razini oko 42 510 učenika, a 6 648 učenika sudjelovalo je na državnoj razini.  </w:t>
      </w:r>
    </w:p>
    <w:p w:rsidR="00505632" w:rsidRDefault="00505632" w:rsidP="00505632">
      <w:r>
        <w:t>U lipnju 2016. godine održane su tradicionalne svečanosti uručivanja Oskara znanja učenicima osnovnih i srednjih škola, pobjednicima državnih natjecanja i učenicima koji su osvojili jedno od prva tri mjesta na međunarodnim natjecanjima. 303 priznanja uručena su učiteljima i nastavnicima mentorima za rad s učenicima, a 504 učenika proglašeno je državnim prvacima. Dodjela Oskara znanja 2016. organizirana je u suradnji s MZO-om i Hrvatskom zajednicom županija.</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367"/>
        <w:gridCol w:w="2363"/>
        <w:gridCol w:w="1259"/>
        <w:gridCol w:w="1008"/>
        <w:gridCol w:w="1192"/>
        <w:gridCol w:w="1008"/>
        <w:gridCol w:w="1009"/>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učenika uključenih u sustav natjecanja  i smotri na državnoj razini</w:t>
            </w:r>
          </w:p>
        </w:tc>
        <w:tc>
          <w:tcPr>
            <w:tcW w:w="2551" w:type="dxa"/>
          </w:tcPr>
          <w:p w:rsidR="00505632" w:rsidRDefault="00505632" w:rsidP="00AD4E52">
            <w:pPr>
              <w:pStyle w:val="CellColumn"/>
              <w:jc w:val="left"/>
            </w:pPr>
            <w:r>
              <w:rPr>
                <w:rFonts w:cs="Times New Roman"/>
              </w:rPr>
              <w:t>Broj učenika na državnoj razini natjecanja i smotri</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6000</w:t>
            </w:r>
          </w:p>
        </w:tc>
        <w:tc>
          <w:tcPr>
            <w:tcW w:w="1020" w:type="dxa"/>
          </w:tcPr>
          <w:p w:rsidR="00505632" w:rsidRDefault="00505632" w:rsidP="00AD4E52">
            <w:pPr>
              <w:pStyle w:val="CellColumn"/>
              <w:jc w:val="right"/>
            </w:pPr>
            <w:r>
              <w:rPr>
                <w:rFonts w:cs="Times New Roman"/>
              </w:rPr>
              <w:t xml:space="preserve">Katalog natjecanja i smotri AZOO </w:t>
            </w:r>
          </w:p>
          <w:p w:rsidR="00505632" w:rsidRDefault="00505632" w:rsidP="00AD4E52">
            <w:pPr>
              <w:pStyle w:val="CellColumn"/>
              <w:jc w:val="right"/>
            </w:pPr>
            <w:r>
              <w:rPr>
                <w:rFonts w:cs="Times New Roman"/>
              </w:rPr>
              <w:t>www.azoo.hr</w:t>
            </w:r>
          </w:p>
        </w:tc>
        <w:tc>
          <w:tcPr>
            <w:tcW w:w="1020" w:type="dxa"/>
          </w:tcPr>
          <w:p w:rsidR="00505632" w:rsidRDefault="00505632" w:rsidP="00AD4E52">
            <w:pPr>
              <w:pStyle w:val="CellColumn"/>
              <w:jc w:val="right"/>
            </w:pPr>
            <w:r>
              <w:rPr>
                <w:rFonts w:cs="Times New Roman"/>
              </w:rPr>
              <w:t>7680</w:t>
            </w:r>
          </w:p>
        </w:tc>
        <w:tc>
          <w:tcPr>
            <w:tcW w:w="1020" w:type="dxa"/>
          </w:tcPr>
          <w:p w:rsidR="00505632" w:rsidRDefault="00505632" w:rsidP="00AD4E52">
            <w:pPr>
              <w:pStyle w:val="CellColumn"/>
              <w:jc w:val="right"/>
            </w:pPr>
            <w:r>
              <w:rPr>
                <w:rFonts w:cs="Times New Roman"/>
              </w:rPr>
              <w:t>6648</w:t>
            </w:r>
          </w:p>
        </w:tc>
      </w:tr>
    </w:tbl>
    <w:p w:rsidR="00505632" w:rsidRDefault="00505632" w:rsidP="00505632">
      <w:pPr>
        <w:jc w:val="left"/>
      </w:pPr>
    </w:p>
    <w:p w:rsidR="00505632" w:rsidRDefault="00505632" w:rsidP="00505632">
      <w:pPr>
        <w:pStyle w:val="Heading4"/>
      </w:pPr>
      <w:r>
        <w:t>A767022 STRUČNO USAVRŠAVANJE ODGOJNO-OBRAZOVNIH DJELATNIKA U SUSTAVU OSNOVNOG I SREDNJEG ŠKOLSTVA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A767022-STRUČNO USAVRŠAVANJE ODGOJNO-OBRAZOVNIH DJELATNIKA U SUSTAVU OSNOVNOG I SREDNJEG ŠKOLSTVA</w:t>
            </w:r>
          </w:p>
        </w:tc>
        <w:tc>
          <w:tcPr>
            <w:tcW w:w="2041" w:type="dxa"/>
          </w:tcPr>
          <w:p w:rsidR="00505632" w:rsidRDefault="00505632" w:rsidP="00AD4E52">
            <w:pPr>
              <w:pStyle w:val="CellColumn"/>
              <w:jc w:val="right"/>
            </w:pPr>
            <w:r>
              <w:rPr>
                <w:rFonts w:cs="Times New Roman"/>
              </w:rPr>
              <w:t>2.301.683</w:t>
            </w:r>
          </w:p>
        </w:tc>
        <w:tc>
          <w:tcPr>
            <w:tcW w:w="2041" w:type="dxa"/>
          </w:tcPr>
          <w:p w:rsidR="00505632" w:rsidRDefault="00505632" w:rsidP="00AD4E52">
            <w:pPr>
              <w:pStyle w:val="CellColumn"/>
              <w:jc w:val="right"/>
            </w:pPr>
            <w:r>
              <w:rPr>
                <w:rFonts w:cs="Times New Roman"/>
              </w:rPr>
              <w:t>2.292.250</w:t>
            </w:r>
          </w:p>
        </w:tc>
        <w:tc>
          <w:tcPr>
            <w:tcW w:w="2041" w:type="dxa"/>
          </w:tcPr>
          <w:p w:rsidR="00505632" w:rsidRDefault="00505632" w:rsidP="00AD4E52">
            <w:pPr>
              <w:pStyle w:val="CellColumn"/>
              <w:jc w:val="right"/>
            </w:pPr>
            <w:r>
              <w:rPr>
                <w:rFonts w:cs="Times New Roman"/>
              </w:rPr>
              <w:t>2.070.518</w:t>
            </w:r>
          </w:p>
        </w:tc>
        <w:tc>
          <w:tcPr>
            <w:tcW w:w="1224" w:type="dxa"/>
          </w:tcPr>
          <w:p w:rsidR="00505632" w:rsidRDefault="00505632" w:rsidP="00AD4E52">
            <w:pPr>
              <w:pStyle w:val="CellColumn"/>
              <w:jc w:val="right"/>
            </w:pPr>
            <w:r>
              <w:rPr>
                <w:rFonts w:cs="Times New Roman"/>
              </w:rPr>
              <w:t>90,3</w:t>
            </w:r>
          </w:p>
        </w:tc>
        <w:tc>
          <w:tcPr>
            <w:tcW w:w="1224" w:type="dxa"/>
          </w:tcPr>
          <w:p w:rsidR="00505632" w:rsidRDefault="00505632" w:rsidP="00AD4E52">
            <w:pPr>
              <w:pStyle w:val="CellColumn"/>
              <w:jc w:val="right"/>
            </w:pPr>
            <w:r>
              <w:rPr>
                <w:rFonts w:cs="Times New Roman"/>
              </w:rPr>
              <w:t>90,0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Strategija obrazovanja, znanosti i tehnologije </w:t>
      </w:r>
    </w:p>
    <w:p w:rsidR="00505632" w:rsidRDefault="00505632" w:rsidP="00505632">
      <w:r>
        <w:t xml:space="preserve">Nacionalni okvirni kurikulum za predškolski odgoj te opće obvezno i srednjoškolsko obrazovanje (Ministarstvo znanosti, obrazovanja i sporta, srpanj, 2010.) </w:t>
      </w:r>
    </w:p>
    <w:p w:rsidR="00505632" w:rsidRDefault="00505632" w:rsidP="00505632">
      <w:r>
        <w:t xml:space="preserve">Zakon o predškolskom odgoju i obrazovanju </w:t>
      </w:r>
    </w:p>
    <w:p w:rsidR="00505632" w:rsidRDefault="00505632" w:rsidP="00505632">
      <w:r>
        <w:t xml:space="preserve">Zakon o odgoju i obrazovanju u osnovnoj i srednjoj školi </w:t>
      </w:r>
    </w:p>
    <w:p w:rsidR="00505632" w:rsidRDefault="00505632" w:rsidP="00505632">
      <w:r>
        <w:t>Zakon o Agenciji za odgoj i obrazovanje</w:t>
      </w:r>
    </w:p>
    <w:p w:rsidR="00505632" w:rsidRDefault="00505632" w:rsidP="00505632">
      <w:pPr>
        <w:pStyle w:val="Heading8"/>
        <w:jc w:val="left"/>
      </w:pPr>
      <w:r>
        <w:t>Opis aktivnosti</w:t>
      </w:r>
    </w:p>
    <w:p w:rsidR="00505632" w:rsidRDefault="00505632" w:rsidP="00505632">
      <w:r>
        <w:t xml:space="preserve">Stručne skupove Agencija organizira na državnoj, međužupanijskoj i županijskoj razini. Na skupovima državne razine učinkovito se educiraju i povezuju svi odgojno-obrazovni radnici nekoga predmeta/područja. Ostale razine stručnih skupova savjetnici planiraju prema teritorijalnom načelu (županijski /međužupanijski skupovi). U 2016. godini održano je 880 stručnih skupova na kojima je sudjelovalo 63 768 sudionika te oko 3 294 skupova u organizaciji voditelja ŽSV-a (1215 imenovanih voditelja ŽSV-a).  </w:t>
      </w:r>
    </w:p>
    <w:p w:rsidR="00505632" w:rsidRDefault="00505632" w:rsidP="00505632">
      <w:r>
        <w:t xml:space="preserve">STRUČNI ISPITI  ZA ODGOJNO-OBRAZOVNE RADNIKE </w:t>
      </w:r>
    </w:p>
    <w:p w:rsidR="00505632" w:rsidRDefault="00505632" w:rsidP="00505632">
      <w:r>
        <w:t xml:space="preserve">Praćenje ostvarivanja programa pripravničkoga staža kao procesa uvođenja odgojno-obrazovnih radnika pripravnika u rad i pripremanje za polaganje stručnoga ispita jedna je od važnijih aktivnosti Agencije. Stručni ispiti za pripravnike u predškolskim ustanovama organiziraju se u pet rokova godišnje, za pripravnike u osnovnoškolskim ustanovama u tri roka godišnje, a za pripravnike u srednjoškolskim ustanovama i učeničkim domovima u dva roka na godišnjoj razini. </w:t>
      </w:r>
    </w:p>
    <w:p w:rsidR="00505632" w:rsidRDefault="00505632" w:rsidP="00505632"/>
    <w:p w:rsidR="00505632" w:rsidRDefault="00505632" w:rsidP="00505632"/>
    <w:p w:rsidR="00505632" w:rsidRDefault="00505632" w:rsidP="00505632">
      <w:r>
        <w:t xml:space="preserve">Tijekom 2016. godine:  </w:t>
      </w:r>
    </w:p>
    <w:p w:rsidR="00505632" w:rsidRDefault="00505632" w:rsidP="00505632">
      <w:r>
        <w:t xml:space="preserve">- prijavljeno je 2 594 pripravnika za stažiranje u odgojno-obrazovnim ustanovama (DV 520, OŠ 1560, SŠ 460, umjetničke škole 54) </w:t>
      </w:r>
    </w:p>
    <w:p w:rsidR="00505632" w:rsidRDefault="00505632" w:rsidP="00505632">
      <w:r>
        <w:t xml:space="preserve">- stručne ispite u  2016. u sustavu odgoja i obrazovanja položilo je ukupno 3 999 pristupnika (DV 1123, OŠ 2069, SŠ 727, umjetničke škole 80) </w:t>
      </w:r>
    </w:p>
    <w:p w:rsidR="00505632" w:rsidRDefault="00505632" w:rsidP="00505632">
      <w:r>
        <w:t xml:space="preserve">POSTUPAK NAPREDOVANJA ODGOJNO-OBRAZOVNIH RADNIKA </w:t>
      </w:r>
    </w:p>
    <w:p w:rsidR="00505632" w:rsidRDefault="00505632" w:rsidP="00505632">
      <w:r>
        <w:t xml:space="preserve">Postupak napredovanja u zvanju odgojno-obrazovnih radnika provodi se prema Pravilniku o napredovanju učitelja i nastavnika u osnovnom i srednjem školstvu i Pravilniku o načinu i uvjetima napredovanja u struci i promicanju u položajna zvanja odgojitelja i stručnih suradnika u dječjim vrtićima.  </w:t>
      </w:r>
    </w:p>
    <w:p w:rsidR="00505632" w:rsidRDefault="00505632" w:rsidP="00505632">
      <w:r>
        <w:t xml:space="preserve">Tijekom 2016. zaprimljeno je 1391 prijedlog za napredovanje. </w:t>
      </w:r>
    </w:p>
    <w:p w:rsidR="00505632" w:rsidRDefault="00505632" w:rsidP="00505632">
      <w:r>
        <w:t xml:space="preserve">U 2016. promovirano je 1 666 odgojno obrazovnih radnika u zvanje mentora odnosno savjetnika. Promocije su održane 11. i 12. veljače, 13. i 14. listopada te 25. studenoga 2016. </w:t>
      </w:r>
    </w:p>
    <w:p w:rsidR="00505632" w:rsidRDefault="00505632" w:rsidP="00505632">
      <w:r>
        <w:t xml:space="preserve">PRUŽANJE STRUČNO-PEDAGOŠKE POMOĆI I STRUČNO-PEDAGOŠKI NADZOR </w:t>
      </w:r>
    </w:p>
    <w:p w:rsidR="00505632" w:rsidRDefault="00505632" w:rsidP="00505632">
      <w:r>
        <w:t xml:space="preserve">Agencija je putem stručno-savjetodavnih posjeta, stručno-pedagoških uvida i stručno-pedagoških nadzora pratila provođenje kvalitete odgojno-obrazovnog rada u predškolskim ustanovama, osnovnim i srednjim školama i učeničkim domovima.  </w:t>
      </w:r>
    </w:p>
    <w:p w:rsidR="00505632" w:rsidRDefault="00505632" w:rsidP="00505632">
      <w:r>
        <w:t xml:space="preserve">Stručno-pedagoški nadzor planiran je i proveden prvenstveno u suradnji sa Samostalnim sektorom za inspekcijski nadzor MZO-a, ali isto tako i na zahtjev Uprave za odgoj i obrazovanje MZO-a, pravobraniteljice za djecu, pravobraniteljice za osobe s invaliditetom, ravnatelja škola, roditelja ili učenika. Tijekom 2016. godine provedeno je 459 stručno-pedagoških nadzora: </w:t>
      </w:r>
    </w:p>
    <w:p w:rsidR="00505632" w:rsidRDefault="00505632" w:rsidP="00505632">
      <w:r>
        <w:t xml:space="preserve">Predškolske ustanove -33 </w:t>
      </w:r>
    </w:p>
    <w:p w:rsidR="00505632" w:rsidRDefault="00505632" w:rsidP="00505632">
      <w:r>
        <w:t xml:space="preserve">Osnovnoškolske ustanove-263 </w:t>
      </w:r>
    </w:p>
    <w:p w:rsidR="00505632" w:rsidRDefault="00505632" w:rsidP="00505632">
      <w:r>
        <w:t xml:space="preserve">Srednjoškolske ustanove-163 </w:t>
      </w:r>
    </w:p>
    <w:p w:rsidR="00505632" w:rsidRDefault="00505632" w:rsidP="00505632">
      <w:r>
        <w:t xml:space="preserve">Provedeno je 57 stručno-pedagoških nadzora koji su se odnosili na djecu s teškoćama u osnovnoj (48) i srednjoj školi (9) uključujući i nadzore provedene u centrima za odgoj i obrazovanje. </w:t>
      </w:r>
    </w:p>
    <w:p w:rsidR="00505632" w:rsidRDefault="00505632" w:rsidP="00505632">
      <w:r>
        <w:t xml:space="preserve">S ciljem što kvalitetnije integracije učenika s teškoćama u razvoju u  redoviti odgojno-obrazovni sustav te osiguranja stručno-savjetodavne pomoći i potpore školama Agencija je oformila mobilne stručne timove. Tijekom 2016. godine Agencija za odgoj i obrazovanje organizirala je 106 stručnih skupova koji su se odnosili na integraciju učenika s teškoćama u redoviti odgojno-obrazovni sustav. Na tim ciljano organiziranim stručnim skupovima prisustvovalo je 6 211 odgojno-obrazovnih radnika iz svih županija Republike Hrvatske. </w:t>
      </w:r>
    </w:p>
    <w:p w:rsidR="00505632" w:rsidRDefault="00505632" w:rsidP="00505632">
      <w:r>
        <w:t xml:space="preserve">STRUČNA MIŠLJENJA </w:t>
      </w:r>
    </w:p>
    <w:p w:rsidR="00505632" w:rsidRDefault="00505632" w:rsidP="00505632">
      <w:r>
        <w:t xml:space="preserve">Agencija za odgoj i obrazovanje, sukladno svom djelokrugu rada, daje mišljenja o programima u predškolskom odgoju, nastavnim programima u osnovnom školstvu i gimnazijama i općeobrazovnim programima srednjeg strukovnog školstva te daje mišljenje o nastavnim programima općeobrazovnih predmeta u postupku verifikacije odgojno-obrazovnih ustanova.  </w:t>
      </w:r>
    </w:p>
    <w:p w:rsidR="00505632" w:rsidRDefault="00505632" w:rsidP="00505632">
      <w:r>
        <w:t xml:space="preserve">U 2016. Agencija je na zahtjev MZO-a izdala 980 stručnih mišljenja na različite zaprimljene programe. </w:t>
      </w:r>
    </w:p>
    <w:p w:rsidR="00505632" w:rsidRDefault="00505632" w:rsidP="00505632">
      <w:r>
        <w:t xml:space="preserve">POMOĆNA NASTAVNA SREDSTVA </w:t>
      </w:r>
    </w:p>
    <w:p w:rsidR="00505632" w:rsidRDefault="00505632" w:rsidP="00505632">
      <w:r>
        <w:t xml:space="preserve">Sukladno  Zakonu o udžbenicima za osnovnu i srednju školu (Narodne novine, 27/10, 55/11, 101/13 i 121/13) u nadležnost Agencije stavljena je provedba postupka odobravanja pomoćnih nastavnih sredstava za nastavne predmete u osnovnim školama, gimnazijama i općeobrazovne predmete u strukovnim i umjetničkim školama kao i vođenje popisa odobrenih pomoćnih nastavnih sredstava. Agencija je u 2016. godini na temelju objavljenog javnog poziva za podnošenje zahtjeva za odobrenje pomoćnih nastavnih ciljano organiziranim stručnim skupovima prisustvovalo je 6 211 odgojno-obrazovnih radnika iz svih županija Republike Hrvatske. </w:t>
      </w:r>
    </w:p>
    <w:p w:rsidR="00505632" w:rsidRDefault="00505632" w:rsidP="00505632">
      <w:r>
        <w:t xml:space="preserve">STRUČNA MIŠLJENJA </w:t>
      </w:r>
    </w:p>
    <w:p w:rsidR="00505632" w:rsidRDefault="00505632" w:rsidP="00505632">
      <w:r>
        <w:t xml:space="preserve">Agencija za odgoj i obrazovanje, sukladno svom djelokrugu rada, daje mišljenja o programima u predškolskom odgoju, nastavnim programima u osnovnom školstvu i gimnazijama i općeobrazovnim programima srednjeg strukovnog školstva te daje mišljenje o nastavnim programima općeobrazovnih predmeta u postupku verifikacije odgojno-obrazovnih ustanova.  </w:t>
      </w:r>
    </w:p>
    <w:p w:rsidR="00505632" w:rsidRDefault="00505632" w:rsidP="00505632">
      <w:r>
        <w:t xml:space="preserve">U 2016. Agencija je na zahtjev MZO-a izdala 980 stručnih mišljenja na različite zaprimljene programe. </w:t>
      </w:r>
    </w:p>
    <w:p w:rsidR="00505632" w:rsidRDefault="00505632" w:rsidP="00505632">
      <w:r>
        <w:t xml:space="preserve">POMOĆNA NASTAVNA SREDSTVA </w:t>
      </w:r>
    </w:p>
    <w:p w:rsidR="00505632" w:rsidRDefault="00505632" w:rsidP="00505632">
      <w:r>
        <w:t xml:space="preserve">Sukladno  Zakonu o udžbenicima za osnovnu i srednju školu (Narodne novine, 27/10, 55/11, 101/13 i 121/13) u nadležnost Agencije stavljena je provedba postupka odobravanja pomoćnih nastavnih sredstava za nastavne predmete u osnovnim školama, gimnazijama i općeobrazovne predmete u strukovnim i umjetničkim školama kao i vođenje popisa odobrenih pomoćnih nastavnih sredstava. Agencija je u 2016. godini na temelju objavljenog javnog poziva za podnošenje zahtjeva za odobrenje pomoćnih nastavnih sredstava obradila ukupno 185 zahtjeva za odobrenje pomoćnih nastavnih sredstava.  </w:t>
      </w:r>
    </w:p>
    <w:p w:rsidR="00505632" w:rsidRDefault="00505632" w:rsidP="00505632">
      <w:r>
        <w:t xml:space="preserve">U 2016. godini Agencija je temeljem objavljenog javnog poziva za podnošenje zahtjeva za odobrenje pomoćnih nastavnih sredstava zaprimila novih 58 zahtjeva za odobrenje pomoćnih nastavnih sredstava. </w:t>
      </w:r>
    </w:p>
    <w:p w:rsidR="00505632" w:rsidRDefault="00505632" w:rsidP="00505632">
      <w:r>
        <w:t xml:space="preserve">PRIZNAVANJE INOZEMNIH OBRAZOVNIH KVALIFIKACIJA </w:t>
      </w:r>
    </w:p>
    <w:p w:rsidR="00505632" w:rsidRDefault="00505632" w:rsidP="00505632">
      <w:r>
        <w:t>Zakonom o izmjenama i dopunama Zakona o priznavanju inozemnih obrazovnih kvalifikacija (Narodne novine, 45/11) Agencija je od 1. rujna 2011. godine preuzela vođenje postupka priznavanja inozemnih obrazovnih kvalifikacija o završenom osnovnoškolskom obrazovanju radi zapošljavanja te o završenom srednjoškolskom obrazovanju u općim, gimnazijskim i umjetničkim programima radi zapošljavanja ili nastavka obrazovanja. U 2016. zaprimljeno je i obrađeno ukupno 883 zahtjeva za priznavanje inozemnih obrazovnih kvalifikacija.</w:t>
      </w:r>
    </w:p>
    <w:p w:rsidR="00505632" w:rsidRDefault="00505632" w:rsidP="00505632">
      <w:pPr>
        <w:pStyle w:val="Heading3"/>
      </w:pPr>
      <w:r>
        <w:rPr>
          <w:rFonts w:cs="Times New Roman"/>
        </w:rPr>
        <w:t>38487 Agencija za znanost i visoko obrazovanje</w:t>
      </w:r>
    </w:p>
    <w:p w:rsidR="00505632" w:rsidRDefault="00505632" w:rsidP="00505632">
      <w:r>
        <w:t>Najznačajnije aktivnosti i zadaci Agencije za znanost i visoko obrazovanje su sljedeći: sudjelovanje u postupku inicijalne akreditacije,sudjelovanje u postupku reakreditacije, provođenje postupka tematskog vrednovanja,provođenje postupka vanjske neovisne periodične prosudbe unutarnjih sustava osiguravanja i unaprjeđivanja kvalitete (audit),prikupljanje i obrađivanje podataka o sustavu znanosti i visokog obrazovanja u svrhu pružanja relevantnih informacija, statističkih pokazatelja i analiza koje su potrebne kao polazišta za utvrđivanje standarda, kriterija i donošenje ocjena u svim postupcima vrednovanja koje provodi Agencija, te relevantnih informacija o stanju i učinkovitosti cjelokupnog sustava znanosti i visokog obrazovanja,pružanje informacija o uvjetima upisa na visoka učilišta u Republici Hrvatskoj i objedinjavanje podataka o ispunjavanju uvjeta za upis pristupnika na visoka učilišta temeljem kojih visoka učilišta vrše upis na studijske programe.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38487-Agencija za znanost i visoko obrazovanje</w:t>
            </w:r>
          </w:p>
        </w:tc>
        <w:tc>
          <w:tcPr>
            <w:tcW w:w="2041" w:type="dxa"/>
          </w:tcPr>
          <w:p w:rsidR="00505632" w:rsidRDefault="00505632" w:rsidP="00AD4E52">
            <w:pPr>
              <w:pStyle w:val="CellColumn"/>
              <w:jc w:val="right"/>
            </w:pPr>
            <w:r>
              <w:rPr>
                <w:rFonts w:cs="Times New Roman"/>
              </w:rPr>
              <w:t>21.040.759</w:t>
            </w:r>
          </w:p>
        </w:tc>
        <w:tc>
          <w:tcPr>
            <w:tcW w:w="2041" w:type="dxa"/>
          </w:tcPr>
          <w:p w:rsidR="00505632" w:rsidRDefault="00505632" w:rsidP="00AD4E52">
            <w:pPr>
              <w:pStyle w:val="CellColumn"/>
              <w:jc w:val="right"/>
            </w:pPr>
            <w:r>
              <w:rPr>
                <w:rFonts w:cs="Times New Roman"/>
              </w:rPr>
              <w:t>22.958.255</w:t>
            </w:r>
          </w:p>
        </w:tc>
        <w:tc>
          <w:tcPr>
            <w:tcW w:w="2041" w:type="dxa"/>
          </w:tcPr>
          <w:p w:rsidR="00505632" w:rsidRDefault="00505632" w:rsidP="00AD4E52">
            <w:pPr>
              <w:pStyle w:val="CellColumn"/>
              <w:jc w:val="right"/>
            </w:pPr>
            <w:r>
              <w:rPr>
                <w:rFonts w:cs="Times New Roman"/>
              </w:rPr>
              <w:t>19.318.690</w:t>
            </w:r>
          </w:p>
        </w:tc>
        <w:tc>
          <w:tcPr>
            <w:tcW w:w="1224" w:type="dxa"/>
          </w:tcPr>
          <w:p w:rsidR="00505632" w:rsidRDefault="00505632" w:rsidP="00AD4E52">
            <w:pPr>
              <w:pStyle w:val="CellColumn"/>
              <w:jc w:val="right"/>
            </w:pPr>
            <w:r>
              <w:rPr>
                <w:rFonts w:cs="Times New Roman"/>
              </w:rPr>
              <w:t>84,1</w:t>
            </w:r>
          </w:p>
        </w:tc>
        <w:tc>
          <w:tcPr>
            <w:tcW w:w="1224" w:type="dxa"/>
          </w:tcPr>
          <w:p w:rsidR="00505632" w:rsidRDefault="00505632" w:rsidP="00AD4E52">
            <w:pPr>
              <w:pStyle w:val="CellColumn"/>
              <w:jc w:val="right"/>
            </w:pPr>
            <w:r>
              <w:rPr>
                <w:rFonts w:cs="Times New Roman"/>
              </w:rPr>
              <w:t>91,8</w:t>
            </w:r>
          </w:p>
        </w:tc>
      </w:tr>
      <w:tr w:rsidR="00505632" w:rsidTr="00AD4E52">
        <w:trPr>
          <w:jc w:val="center"/>
        </w:trPr>
        <w:tc>
          <w:tcPr>
            <w:tcW w:w="1632" w:type="dxa"/>
          </w:tcPr>
          <w:p w:rsidR="00505632" w:rsidRDefault="00505632" w:rsidP="00AD4E52">
            <w:pPr>
              <w:jc w:val="left"/>
            </w:pPr>
            <w:r>
              <w:t>3705-VISOKO OBRAZOVANJE</w:t>
            </w:r>
          </w:p>
        </w:tc>
        <w:tc>
          <w:tcPr>
            <w:tcW w:w="2041" w:type="dxa"/>
          </w:tcPr>
          <w:p w:rsidR="00505632" w:rsidRDefault="00505632" w:rsidP="00AD4E52">
            <w:pPr>
              <w:jc w:val="right"/>
            </w:pPr>
            <w:r>
              <w:t>21.040.759</w:t>
            </w:r>
          </w:p>
        </w:tc>
        <w:tc>
          <w:tcPr>
            <w:tcW w:w="2041" w:type="dxa"/>
          </w:tcPr>
          <w:p w:rsidR="00505632" w:rsidRDefault="00505632" w:rsidP="00AD4E52">
            <w:pPr>
              <w:jc w:val="right"/>
            </w:pPr>
            <w:r>
              <w:t>22.958.255</w:t>
            </w:r>
          </w:p>
        </w:tc>
        <w:tc>
          <w:tcPr>
            <w:tcW w:w="2041" w:type="dxa"/>
          </w:tcPr>
          <w:p w:rsidR="00505632" w:rsidRDefault="00505632" w:rsidP="00AD4E52">
            <w:pPr>
              <w:jc w:val="right"/>
            </w:pPr>
            <w:r>
              <w:t>19.318.690</w:t>
            </w:r>
          </w:p>
        </w:tc>
        <w:tc>
          <w:tcPr>
            <w:tcW w:w="1224" w:type="dxa"/>
          </w:tcPr>
          <w:p w:rsidR="00505632" w:rsidRDefault="00505632" w:rsidP="00AD4E52">
            <w:pPr>
              <w:jc w:val="right"/>
            </w:pPr>
            <w:r>
              <w:t>84,1</w:t>
            </w:r>
          </w:p>
        </w:tc>
        <w:tc>
          <w:tcPr>
            <w:tcW w:w="1224" w:type="dxa"/>
          </w:tcPr>
          <w:p w:rsidR="00505632" w:rsidRDefault="00505632" w:rsidP="00AD4E52">
            <w:pPr>
              <w:jc w:val="right"/>
            </w:pPr>
            <w:r>
              <w:t>91,8</w:t>
            </w:r>
          </w:p>
        </w:tc>
      </w:tr>
    </w:tbl>
    <w:p w:rsidR="00505632" w:rsidRDefault="00505632" w:rsidP="00505632">
      <w:pPr>
        <w:jc w:val="left"/>
      </w:pPr>
    </w:p>
    <w:p w:rsidR="00505632" w:rsidRDefault="00505632" w:rsidP="00505632">
      <w:pPr>
        <w:pStyle w:val="Heading3"/>
      </w:pPr>
      <w:r>
        <w:rPr>
          <w:rFonts w:cs="Times New Roman"/>
        </w:rPr>
        <w:t>3705 VISOKO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3705-VISOKO OBRAZOVANJE</w:t>
            </w:r>
          </w:p>
        </w:tc>
        <w:tc>
          <w:tcPr>
            <w:tcW w:w="2041" w:type="dxa"/>
          </w:tcPr>
          <w:p w:rsidR="00505632" w:rsidRDefault="00505632" w:rsidP="00AD4E52">
            <w:pPr>
              <w:pStyle w:val="CellColumn"/>
              <w:jc w:val="right"/>
            </w:pPr>
            <w:r>
              <w:rPr>
                <w:rFonts w:cs="Times New Roman"/>
              </w:rPr>
              <w:t>21.040.759</w:t>
            </w:r>
          </w:p>
        </w:tc>
        <w:tc>
          <w:tcPr>
            <w:tcW w:w="2041" w:type="dxa"/>
          </w:tcPr>
          <w:p w:rsidR="00505632" w:rsidRDefault="00505632" w:rsidP="00AD4E52">
            <w:pPr>
              <w:pStyle w:val="CellColumn"/>
              <w:jc w:val="right"/>
            </w:pPr>
            <w:r>
              <w:rPr>
                <w:rFonts w:cs="Times New Roman"/>
              </w:rPr>
              <w:t>22.958.255</w:t>
            </w:r>
          </w:p>
        </w:tc>
        <w:tc>
          <w:tcPr>
            <w:tcW w:w="2041" w:type="dxa"/>
          </w:tcPr>
          <w:p w:rsidR="00505632" w:rsidRDefault="00505632" w:rsidP="00AD4E52">
            <w:pPr>
              <w:pStyle w:val="CellColumn"/>
              <w:jc w:val="right"/>
            </w:pPr>
            <w:r>
              <w:rPr>
                <w:rFonts w:cs="Times New Roman"/>
              </w:rPr>
              <w:t>19.318.690</w:t>
            </w:r>
          </w:p>
        </w:tc>
        <w:tc>
          <w:tcPr>
            <w:tcW w:w="1224" w:type="dxa"/>
          </w:tcPr>
          <w:p w:rsidR="00505632" w:rsidRDefault="00505632" w:rsidP="00AD4E52">
            <w:pPr>
              <w:pStyle w:val="CellColumn"/>
              <w:jc w:val="right"/>
            </w:pPr>
            <w:r>
              <w:rPr>
                <w:rFonts w:cs="Times New Roman"/>
              </w:rPr>
              <w:t>84,1</w:t>
            </w:r>
          </w:p>
        </w:tc>
        <w:tc>
          <w:tcPr>
            <w:tcW w:w="1224" w:type="dxa"/>
          </w:tcPr>
          <w:p w:rsidR="00505632" w:rsidRDefault="00505632" w:rsidP="00AD4E52">
            <w:pPr>
              <w:pStyle w:val="CellColumn"/>
              <w:jc w:val="right"/>
            </w:pPr>
            <w:r>
              <w:rPr>
                <w:rFonts w:cs="Times New Roman"/>
              </w:rPr>
              <w:t>91,8</w:t>
            </w:r>
          </w:p>
        </w:tc>
      </w:tr>
    </w:tbl>
    <w:p w:rsidR="00505632" w:rsidRDefault="00505632" w:rsidP="00505632">
      <w:pPr>
        <w:jc w:val="left"/>
      </w:pPr>
    </w:p>
    <w:p w:rsidR="00505632" w:rsidRDefault="00505632" w:rsidP="00505632">
      <w:r>
        <w:t xml:space="preserve">Zakonom o osiguravanju kvalitete u znanosti i visokom obrazovanju te pratećim propisima definirani su jasni i objektivni postupci na temelju kojih će se vrednovati i ocjenjivati kvaliteta subjekata vrednovanja (tzv. vanjsko osiguravanje i unaprjeđivanje kvalitete) te obveza i odgovornost istih subjekata za učinkovitost i ostvarivanje kvalitetnih ishoda obrazovnih i znanstvenih aktivnosti (tzv. unutarnje unaprjeđivanje kvalitete). </w:t>
      </w:r>
    </w:p>
    <w:p w:rsidR="00505632" w:rsidRDefault="00505632" w:rsidP="00505632">
      <w:r>
        <w:t>Ovim programom će se omogućiti planirano unaprjeđenje procesa razvoja studijskih programa, osnivanja visokih učilišta i znanstvenih organizacija, poboljšanje kvalitete nastavnog osoblja i njihovih kompetencija, procesa nastave, znanstvene djelatnosti i stručnih usluga te praćenje tržišta rada radi poboljšanja mogućnosti zapošljavanja završenih studenata i poticanja međunarodne suradnje koja utječe na gospodarski razvoj, kao neophodan način ostvarenja općeg cilja Vlade RH u poticanju znanja, izvrsnosti i kulture kao i posebnog cilja u održivosti kvalitete obrazovnog sustava u RH.</w:t>
      </w:r>
    </w:p>
    <w:p w:rsidR="00505632" w:rsidRDefault="00505632" w:rsidP="00505632">
      <w:pPr>
        <w:pStyle w:val="Heading8"/>
        <w:jc w:val="left"/>
      </w:pPr>
      <w:r>
        <w:t>Cilj 1. Povećanje kvalitete visokih učilišta u RH</w:t>
      </w:r>
    </w:p>
    <w:p w:rsidR="00505632" w:rsidRDefault="00505632" w:rsidP="00505632">
      <w:pPr>
        <w:pStyle w:val="Heading8"/>
        <w:jc w:val="left"/>
      </w:pPr>
      <w:r>
        <w:t>Opis provedbe cilja programa</w:t>
      </w:r>
    </w:p>
    <w:p w:rsidR="00505632" w:rsidRDefault="00505632" w:rsidP="00505632">
      <w:r>
        <w:t xml:space="preserve">U okviru cilja 1. bilo je predviđeno provođenje postupaka inicijalne akreditacije i reakreditacije visokih učilišta. </w:t>
      </w:r>
    </w:p>
    <w:p w:rsidR="00505632" w:rsidRDefault="00505632" w:rsidP="00505632">
      <w:r>
        <w:t xml:space="preserve">Prema Planu reakreditacije visokih učilišta i sukladno zakonodavnom okviru sva su visoka učilišta u RH trebala biti reakreditirana u prvom petogodišnjem ciklusu reakreditacije koji je započeo 2010. g. Taj je cilj ispunjen, ali je 5 visokih učilišta zbog objektivnih razloga zatražilo odgodu reakreditacije tako da je za njih reakreditacija dovršena u 2016. g. Radi se o Muzičkoj akademiji Sveučilišta u Zagrebu, Muzičkoj akademiji Sveučilišta J. Dobrile u Puli, Sveučilišnom odjelu zdravstvenih studija Sveučilišta u Splitu, Sveučilišnom odjelu za forenzične znanosti Sveučilišta u Splitu i  Visokoj školi PAR u Rijeci. </w:t>
      </w:r>
    </w:p>
    <w:p w:rsidR="00505632" w:rsidRDefault="00505632" w:rsidP="00505632">
      <w:r>
        <w:t xml:space="preserve">Istovremeno, sa završetkom prvog ciklusa reakreditacije analiziran je cijeli proces te je provedeno i prikupljanje povratnih informacija o kvaliteti i utjecaju postupaka vrednovanja. Temeljem prikupljenih informacija te sukladno revidiranoj verziji ESG-a iz 2015. g. izrađen je novi model reakreditacije za novi petogodišnji ciklus. Također, izrađena je sveobuhvatna analiza sustava visokog obrazovanja s preporukama za njegovo unaprjeđenje koja će biti predstavljena na posebnoj konferenciji planiranoj u 2017. </w:t>
      </w:r>
    </w:p>
    <w:p w:rsidR="00505632" w:rsidRDefault="00505632" w:rsidP="00505632">
      <w:r>
        <w:t xml:space="preserve">Kao priprema za novi ciklus vanjskog vrednovanja započelo se s organizacijom sastanaka, seminara i radionica na kojima su predstavljene novosti, a posebno vezano za novu verziju ESG-ja, primjenu HKO-a i vrednovanja utemeljenog na ishodima učenja i općenito učenja i poučavanja usmjerenog na studenta itd. </w:t>
      </w:r>
    </w:p>
    <w:p w:rsidR="00505632" w:rsidRDefault="00505632" w:rsidP="00505632">
      <w:r>
        <w:t xml:space="preserve">Također, u AZVO je zaprimljeno 16 zahtjeva za obavljanjem inicijalne akreditacije novih studijskih programa od čega je do kraja 2016. riješeno 14 zahtjeva, a ostali su u tijeku. Na temelju provedenih postupaka ministru je preporučeno izdavanje dopusnice za 4 preddiplomska stručna studija, 5 specijalističkih diplomskih stručnih studija i jedan kratki stručni studij te uskrata dopusnice za 4 studija.  </w:t>
      </w:r>
    </w:p>
    <w:p w:rsidR="00505632" w:rsidRDefault="00505632" w:rsidP="00505632">
      <w:r>
        <w:t xml:space="preserve">U okviru cilja 1 također je bilo predviđeno da Agencija za znanost i visoko obrazovanje pruža podršku radu strateškim i stručnim tijelima u sustavu visokog obrazovanja na način da saziva i priprema sjednice tih tijela, izrađuje zaključke usvojene na sjednicama i prati njihovu provedbu te izrađuje analize i izvješća. </w:t>
      </w:r>
    </w:p>
    <w:p w:rsidR="00505632" w:rsidRDefault="00505632" w:rsidP="00505632">
      <w:r>
        <w:t>U skladu s time Agencija je organizirala i pripremila 5 sjednica Nacionalnog vijeća za znanost, visoko obrazovanje i tehnološki razvoj, 6 sjednica Vijeća veleučilišta i visokih škola te 28 sjednica matičnih povjerenstava Vijeća veleučilišta i visokih škola. Osim samih sjednica održan je i veći broj radnih sastanaka užih stručnih skupina navedenih tijela, a što je također organizirala Agencija za znanost i visoko obrazovanje.</w:t>
      </w:r>
    </w:p>
    <w:p w:rsidR="00505632" w:rsidRDefault="00505632" w:rsidP="00505632">
      <w:pPr>
        <w:pStyle w:val="Heading8"/>
        <w:jc w:val="left"/>
      </w:pPr>
      <w:r>
        <w:t>Cilj 2. Povećanje kvalitete znanstvenih organizacija u RH</w:t>
      </w:r>
    </w:p>
    <w:p w:rsidR="00505632" w:rsidRDefault="00505632" w:rsidP="00505632">
      <w:pPr>
        <w:pStyle w:val="Heading8"/>
        <w:jc w:val="left"/>
      </w:pPr>
      <w:r>
        <w:t>Opis provedbe cilja programa</w:t>
      </w:r>
    </w:p>
    <w:p w:rsidR="00505632" w:rsidRDefault="00505632" w:rsidP="00505632">
      <w:r>
        <w:t xml:space="preserve">Tijekom 2015. Agencija je prema planu reakreditacije znanstvenih organizacija 2014./2015. g. (izvan sustava visokog obrazovanja i javnih znanstvenih instituta) započela vrednovanje svih 70 znanstvenih organizacija i dovršila 35 postupaka. Tijekom 2016. g. dovršila je 29 postupaka. 6 postupaka je obustavljeno temeljem obrazloženih zahtjeva. </w:t>
      </w:r>
    </w:p>
    <w:p w:rsidR="00505632" w:rsidRDefault="00505632" w:rsidP="00505632">
      <w:r>
        <w:t xml:space="preserve">Također tijekom 2016. g. Agencija je u sjedinjenom postupku uz visokoobrazovnu djelatnost reakreditirala i znanstvenu djelatnost kod svih visokih učilišta upisanih u Upisnik znanstvenih organizacija (4 visoka učilišta ili sastavnice). </w:t>
      </w:r>
    </w:p>
    <w:p w:rsidR="00505632" w:rsidRDefault="00505632" w:rsidP="00505632">
      <w:r>
        <w:t xml:space="preserve">Prema Planu reakreditacije poslijediplomskih sveučilišnih studijskih programa za 2016. godinu,  AZVO je proveo posjet za 33 poslijediplomska sveučilišna programa. U vrednovanju su sudjelovali u najvećoj mjeri strani članovi stručnih povjerenstava. </w:t>
      </w:r>
    </w:p>
    <w:p w:rsidR="00505632" w:rsidRDefault="00505632" w:rsidP="00505632">
      <w:r>
        <w:t xml:space="preserve">Provedene su i 2 inicijalne akreditacije za obavljanje znanstvene djelatnosti. </w:t>
      </w:r>
    </w:p>
    <w:p w:rsidR="00505632" w:rsidRDefault="00505632" w:rsidP="00505632">
      <w:r>
        <w:t xml:space="preserve">U okviru cilja 2 koji se odnosi na povećanje kvalitete znanstvenih organizacija u RH, bilo je, među ostalim, predviđeno da Agencija za znanost i visoko obrazovanje pruža podršku radu strateškim i stručnim tijelima u sustavu znanosti na način da saziva i priprema sjednice tih tijela, izrađuje zaključke usvojene na sjednicama i prati njihovu provedbu te izrađuje analize i izvješća. </w:t>
      </w:r>
    </w:p>
    <w:p w:rsidR="00505632" w:rsidRDefault="00505632" w:rsidP="00505632">
      <w:r>
        <w:t xml:space="preserve">Vodeći brigu o uspješnom funkcioniranju tih tijela, Agencija i posredno doprinosi unaprjeđenju kvalitete sustava znanosti što ujedno predstavlja i sastavni dio njezine misije. </w:t>
      </w:r>
    </w:p>
    <w:p w:rsidR="00505632" w:rsidRDefault="00505632" w:rsidP="00505632">
      <w:r>
        <w:t xml:space="preserve">U 2016. g. održano je 5 sjednica Nacionalnog vijeća za znanost, visoko obrazovanje i tehnološki razvoj te 7 sjednica područnih znanstvenih vijeća. </w:t>
      </w:r>
    </w:p>
    <w:p w:rsidR="00505632" w:rsidRDefault="00505632" w:rsidP="00505632">
      <w:r>
        <w:t>Matični odbori u 2016. godini održali su ukupno devedeset četiri (94) sjednice.</w:t>
      </w:r>
    </w:p>
    <w:p w:rsidR="00505632" w:rsidRDefault="00505632" w:rsidP="00505632">
      <w:pPr>
        <w:pStyle w:val="Heading8"/>
        <w:jc w:val="left"/>
      </w:pPr>
      <w:r>
        <w:t>Cilj 3. Unapređenje kvalitete visokog obrazovanja  sustavnim praćenjem  stupnja razvijenosti i učinkovitosti sustava osiguravanja kvalitete  visokih učilišta u RH – putem vanjske prosudbe</w:t>
      </w:r>
    </w:p>
    <w:p w:rsidR="00505632" w:rsidRDefault="00505632" w:rsidP="00505632">
      <w:pPr>
        <w:pStyle w:val="Heading8"/>
        <w:jc w:val="left"/>
      </w:pPr>
      <w:r>
        <w:t>Opis provedbe cilja programa</w:t>
      </w:r>
    </w:p>
    <w:p w:rsidR="00505632" w:rsidRDefault="00505632" w:rsidP="00505632">
      <w:r>
        <w:t xml:space="preserve">Zakonom o osiguravanju kvalitete u znanosti i visokom obrazovanju,  čl. 4., definirano je da Agencija samostalno i neovisno u okviru svog djelokruga rada provodi i postupak vanjske neovisne periodične prosudbe unutarnjih sustava osiguravanja i unapređivanja kvalitete (audit). Audit se provodi u petogodišnjem ciklusu koji je započeo 2010. godine. Postupak vanjske prosudbe provodi se u četiri faze i traje oko 18 mjeseci. Iz toga razloga postupci započeti u jednoj godini obično se završavaju u idućoj godini.  </w:t>
      </w:r>
    </w:p>
    <w:p w:rsidR="00505632" w:rsidRDefault="00505632" w:rsidP="00505632">
      <w:r>
        <w:t xml:space="preserve">Tijekom 2016. godine provedene su sljedeće aktivnosti: </w:t>
      </w:r>
    </w:p>
    <w:p w:rsidR="00505632" w:rsidRDefault="00505632" w:rsidP="00505632">
      <w:r>
        <w:t>a)</w:t>
      </w:r>
      <w:r>
        <w:tab/>
        <w:t xml:space="preserve">Završen je postupak vanjske prosudbe za pet od šest visokih učilišta obuhvaćenih Godišnjim planom vanjske prosudbe za 2015. godinu. Za jedno visoko učilište, Međimursko veleučilište u Čakovcu, postupak je završen u siječnju 2017. godine. Povjerenstva za vanjsku prosudbu posjetila su svih šest visokih učilišta tijekom 2015. godine, a postupci su završeni do kraja siječnja 2017. godine. Na provedene postupke nije bilo žalbi. </w:t>
      </w:r>
    </w:p>
    <w:p w:rsidR="00505632" w:rsidRDefault="00505632" w:rsidP="00505632">
      <w:r>
        <w:t xml:space="preserve">Certifikati za razvijen sustav osiguravanja kvalitete dodijeljeni su Veleučilištu Velika Gorica, Veleučilištu u Slavonskom Brodu te Filozofskom fakultetu Sveučilišta J. J. Strossmayera u Osijeku. Za Međimursko veleučilište u Čakovcu i Veleučilište u Karlovcu usvojena je preporuka za ponavljanje vanjske prosudbe, dok je za Akademiju primijenjenih umjetnosti Sveučilišta u Rijeci (kojoj je ovo bila ponovljena vanjska prosudba) usvojena preporuka za pokretanjem postupka reakreditacije. </w:t>
      </w:r>
    </w:p>
    <w:p w:rsidR="00505632" w:rsidRDefault="00505632" w:rsidP="00505632">
      <w:r>
        <w:t>b)</w:t>
      </w:r>
      <w:r>
        <w:tab/>
        <w:t xml:space="preserve">U ožujku 2016. završen je i postupak vanjske prosudbe Mednarodnog fakulteta za družbene in poslovne študije (International School for Social and Business Studies - ISSBS) iz Celja (Slovenija), pokrenut na zahtjev visokog učilišta 2014. AZVO je time dobio vrijednu povratnu informaciju o mogućnosti provođenja postupka vanjskog vrednovanja u stranoj državi, prema međunarodnim standardima, imajući u vidu specifično okruženje i nacionalni kontekst sustava visokog obrazovanja i znanosti. </w:t>
      </w:r>
    </w:p>
    <w:p w:rsidR="00505632" w:rsidRDefault="00505632" w:rsidP="00505632">
      <w:r>
        <w:t xml:space="preserve">Tijekom 2016. izrađena je radna verzija Metaevaluacije vanjskih prosudbi provedenih u razdoblju 2010.-2015., koja objedinjuje podatke svih provedenih postupaka u prvome ciklusu te dosad izrađenih godišnjih metaevaluacija. Završetkom posljednjeg postupka u siječnju 2017. dokument je ažuriran i objavljen na mrežnim stranicama AZVO-a. </w:t>
      </w:r>
    </w:p>
    <w:p w:rsidR="00505632" w:rsidRDefault="00505632" w:rsidP="00505632">
      <w:r>
        <w:t>AZVO je nastavio pružati kontinuiranu podršku razvoju internih sustava osiguravanja kvalitete na visokim učilištima osnutkom nacionalne mreže jedinica za osiguravanje kvalitete visokih učilišta CROQANET krajem prosinca 2016. godine.</w:t>
      </w:r>
    </w:p>
    <w:p w:rsidR="00505632" w:rsidRDefault="00505632" w:rsidP="00505632">
      <w:pPr>
        <w:pStyle w:val="Heading8"/>
        <w:jc w:val="left"/>
      </w:pPr>
      <w:r>
        <w:t>Cilj 4. Nadogradnja sustava Mozvag za kvalitetno praćenje postupka vanjskog vrednovanja u novom ciklusu</w:t>
      </w:r>
    </w:p>
    <w:p w:rsidR="00505632" w:rsidRDefault="00505632" w:rsidP="00505632">
      <w:pPr>
        <w:pStyle w:val="Heading8"/>
        <w:jc w:val="left"/>
      </w:pPr>
      <w:r>
        <w:t>Opis provedbe cilja programa</w:t>
      </w:r>
    </w:p>
    <w:p w:rsidR="00505632" w:rsidRDefault="00505632" w:rsidP="00505632">
      <w:r>
        <w:t xml:space="preserve">U 2016.g. Agencija je započela s pripremnim radnjama za rekonstrukciju sustava. Definiran je obuhvat poslova u narednom razdoblju i točni rokovi za njihov završetak. U studenom 2016. godine održano je 6 konzultacija sa zaposlenicima visokih učilišta koji su imenovani koordinatorima za Mozvag na svojim visokim učilištima. Cilj konzultacija bila je razmjena iskustava u radu s Mozvagom, kao i prikupljanje prijedloga za njegovo unaprjeđenje, jer se rekonstrukcijom želi unaprijediti korištenje sustava kako za potrebe rada AZVO-a, tako i za korisnike na visokim učilištima.  </w:t>
      </w:r>
    </w:p>
    <w:p w:rsidR="00505632" w:rsidRDefault="00505632" w:rsidP="00505632">
      <w:r>
        <w:t>U prosincu 2016.g. SRCE je izradilo Idejno rješenje i prijedlog izvedbenog rješenja za  Informacijski sustav za podršku postupcima vrednovanja visokih učilišta i studijskih programa koje provodi AZVO koje uključujuće prijedloge prikupljene na konzultacijama.</w:t>
      </w:r>
    </w:p>
    <w:p w:rsidR="00505632" w:rsidRDefault="00505632" w:rsidP="00505632">
      <w:pPr>
        <w:pStyle w:val="Heading8"/>
        <w:jc w:val="left"/>
      </w:pPr>
      <w:r>
        <w:t>Cilj 5. Uspješna prijava kandidata za upis na studijske programe kroz NISpVU sustav</w:t>
      </w:r>
    </w:p>
    <w:p w:rsidR="00505632" w:rsidRDefault="00505632" w:rsidP="00505632">
      <w:pPr>
        <w:pStyle w:val="Heading8"/>
        <w:jc w:val="left"/>
      </w:pPr>
      <w:r>
        <w:t>Opis provedbe cilja programa</w:t>
      </w:r>
    </w:p>
    <w:p w:rsidR="00505632" w:rsidRDefault="00505632" w:rsidP="00505632">
      <w:r>
        <w:t xml:space="preserve">U 2016. godini Središnji prijavni ured (SPU) je uspješno obavio aktivnosti vezane uz prijave za upis na studijske programe visokih učilišta u Republici Hrvatskoj. Kroz Nacionalni informacijski sustav prijava na visoka učilišta (NISpVU) provodila se prijava na 802 studijska programa za koje je SPU prethodno unio uvjete upisa. Putem navedenog sustava u ljetnom roku ukupno se prijavilo 40418 kandidata, dok se u jesenskom roku prijavilo ukupno 7435 kandidata. </w:t>
      </w:r>
    </w:p>
    <w:p w:rsidR="00505632" w:rsidRDefault="00505632" w:rsidP="00505632">
      <w:r>
        <w:t>SPU je uspješno odgovorio na 13.031 telefonskih upita, 1253 upita putem elektroničke pošte te 2564 upita putem web obrasca kandidata vezano uz postupak prijave na studijske programe. Ujedno je provjerio osobne podatke i srednjoškolske ocjene za sve prijavljene kandidate (njih 859) koji su svoje srednje obrazovanje završili prije 2010. godine ili izvan Republike Hrvatske, a koji su tijekom 2016. godine željeli prijaviti studij u RH, te provjerio zaprimljene dokaze o pravu prednosti i omogućio da 101 kandidata ostvari pravo prednosti za upis na visoka učilišta.</w:t>
      </w:r>
    </w:p>
    <w:p w:rsidR="00505632" w:rsidRDefault="00505632" w:rsidP="00505632">
      <w:pPr>
        <w:pStyle w:val="Heading8"/>
        <w:jc w:val="left"/>
      </w:pPr>
      <w:r>
        <w:t>Cilj 6. Unaprijediti postojeći sustav za prijavu na preddiplomske studijske programe,  uvesti sustav za prijavu na diplomske studijske programe.</w:t>
      </w:r>
    </w:p>
    <w:p w:rsidR="00505632" w:rsidRDefault="00505632" w:rsidP="00505632">
      <w:pPr>
        <w:pStyle w:val="Heading8"/>
        <w:jc w:val="left"/>
      </w:pPr>
      <w:r>
        <w:t>Opis provedbe cilja programa</w:t>
      </w:r>
    </w:p>
    <w:p w:rsidR="00505632" w:rsidRDefault="00505632" w:rsidP="00505632">
      <w:r>
        <w:t xml:space="preserve">SPU samostalno razvija novi Nacionalni informacijski sustav prijava na visoka učilišta (NISpVU2), koji će unaprijediti proces prijava preddiplomskih i integriranih studijskih programa. Sustav će biti u potpunosti preveden i na engleski jezik, web sučelje sustava će biti prilagodljivo za sve veličine ekrana, prijava će biti moguća putem sustava eGrađani.  </w:t>
      </w:r>
    </w:p>
    <w:p w:rsidR="00505632" w:rsidRDefault="00505632" w:rsidP="00505632">
      <w:r>
        <w:t>Putem NISpDS sustava provedena je prijava na 2 sveučilišta, 5 veleučilišta i 3 visoke škole. Ukupno je 563 kandidata prijavilo studije, a 451 kandidat je ostvario pravo upisa.</w:t>
      </w:r>
    </w:p>
    <w:p w:rsidR="00505632" w:rsidRDefault="00505632" w:rsidP="00505632">
      <w:pPr>
        <w:pStyle w:val="Heading8"/>
        <w:jc w:val="left"/>
      </w:pPr>
      <w:r>
        <w:t>Cilj 7. Poticati izvođenje studijskih programa u skladu s potrebama tržišta rada</w:t>
      </w:r>
    </w:p>
    <w:p w:rsidR="00505632" w:rsidRDefault="00505632" w:rsidP="00505632">
      <w:pPr>
        <w:pStyle w:val="Heading8"/>
        <w:jc w:val="left"/>
      </w:pPr>
      <w:r>
        <w:t>Opis provedbe cilja programa</w:t>
      </w:r>
    </w:p>
    <w:p w:rsidR="00505632" w:rsidRDefault="00505632" w:rsidP="00505632">
      <w:r>
        <w:t>AZVO je poslao dopise svim visokim učilištima u RH s zamolbom da se svim studentima koji završavaju studij podijele obrasci u kojima studenti koji žele sudjelovati u istraživanju zapošljivosti mogu upisati svoje kontakt podatke. SPU je zaprimljene obrasce unio u bazu podataka koja će se u 2017.g. koristiti za anketiranje diplomiranih studenata.</w:t>
      </w:r>
    </w:p>
    <w:p w:rsidR="00505632" w:rsidRDefault="00505632" w:rsidP="00505632">
      <w:pPr>
        <w:pStyle w:val="Heading4"/>
      </w:pPr>
      <w:r>
        <w:t>A621179 TROŠKOVI NACIONALNOG VIJEĆA ZA ZNANOST I VISOKO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A621179-TROŠKOVI NACIONALNOG VIJEĆA ZA ZNANOST I VISOKO OBRAZOVANJE</w:t>
            </w:r>
          </w:p>
        </w:tc>
        <w:tc>
          <w:tcPr>
            <w:tcW w:w="2041" w:type="dxa"/>
          </w:tcPr>
          <w:p w:rsidR="00505632" w:rsidRDefault="00505632" w:rsidP="00AD4E52">
            <w:pPr>
              <w:pStyle w:val="CellColumn"/>
              <w:jc w:val="right"/>
            </w:pPr>
            <w:r>
              <w:rPr>
                <w:rFonts w:cs="Times New Roman"/>
              </w:rPr>
              <w:t>1.467.382</w:t>
            </w:r>
          </w:p>
        </w:tc>
        <w:tc>
          <w:tcPr>
            <w:tcW w:w="2041" w:type="dxa"/>
          </w:tcPr>
          <w:p w:rsidR="00505632" w:rsidRDefault="00505632" w:rsidP="00AD4E52">
            <w:pPr>
              <w:pStyle w:val="CellColumn"/>
              <w:jc w:val="right"/>
            </w:pPr>
            <w:r>
              <w:rPr>
                <w:rFonts w:cs="Times New Roman"/>
              </w:rPr>
              <w:t>1.366.009</w:t>
            </w:r>
          </w:p>
        </w:tc>
        <w:tc>
          <w:tcPr>
            <w:tcW w:w="2041" w:type="dxa"/>
          </w:tcPr>
          <w:p w:rsidR="00505632" w:rsidRDefault="00505632" w:rsidP="00AD4E52">
            <w:pPr>
              <w:pStyle w:val="CellColumn"/>
              <w:jc w:val="right"/>
            </w:pPr>
            <w:r>
              <w:rPr>
                <w:rFonts w:cs="Times New Roman"/>
              </w:rPr>
              <w:t>1.281.829</w:t>
            </w:r>
          </w:p>
        </w:tc>
        <w:tc>
          <w:tcPr>
            <w:tcW w:w="1224" w:type="dxa"/>
          </w:tcPr>
          <w:p w:rsidR="00505632" w:rsidRDefault="00505632" w:rsidP="00AD4E52">
            <w:pPr>
              <w:pStyle w:val="CellColumn"/>
              <w:jc w:val="right"/>
            </w:pPr>
            <w:r>
              <w:rPr>
                <w:rFonts w:cs="Times New Roman"/>
              </w:rPr>
              <w:t>93,8</w:t>
            </w:r>
          </w:p>
        </w:tc>
        <w:tc>
          <w:tcPr>
            <w:tcW w:w="1224" w:type="dxa"/>
          </w:tcPr>
          <w:p w:rsidR="00505632" w:rsidRDefault="00505632" w:rsidP="00AD4E52">
            <w:pPr>
              <w:pStyle w:val="CellColumn"/>
              <w:jc w:val="right"/>
            </w:pPr>
            <w:r>
              <w:rPr>
                <w:rFonts w:cs="Times New Roman"/>
              </w:rPr>
              <w:t>87,4</w:t>
            </w:r>
          </w:p>
        </w:tc>
      </w:tr>
    </w:tbl>
    <w:p w:rsidR="00505632" w:rsidRDefault="00505632" w:rsidP="00505632">
      <w:pPr>
        <w:jc w:val="left"/>
      </w:pPr>
    </w:p>
    <w:p w:rsidR="00505632" w:rsidRDefault="00505632" w:rsidP="00505632">
      <w:pPr>
        <w:pStyle w:val="Heading8"/>
        <w:jc w:val="left"/>
      </w:pPr>
    </w:p>
    <w:p w:rsidR="00505632" w:rsidRDefault="00505632" w:rsidP="00505632"/>
    <w:p w:rsidR="00505632" w:rsidRPr="00D6475E"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10"/>
        <w:gridCol w:w="2510"/>
        <w:gridCol w:w="1014"/>
        <w:gridCol w:w="1017"/>
        <w:gridCol w:w="1015"/>
        <w:gridCol w:w="1070"/>
        <w:gridCol w:w="107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održanih sjednica NVZVT, područnih vijeća i matičnih odbora NVZVT</w:t>
            </w:r>
          </w:p>
        </w:tc>
        <w:tc>
          <w:tcPr>
            <w:tcW w:w="2551" w:type="dxa"/>
          </w:tcPr>
          <w:p w:rsidR="00505632" w:rsidRDefault="00505632" w:rsidP="00AD4E52">
            <w:pPr>
              <w:pStyle w:val="CellColumn"/>
              <w:jc w:val="left"/>
            </w:pPr>
            <w:r>
              <w:rPr>
                <w:rFonts w:cs="Times New Roman"/>
              </w:rPr>
              <w:t>Broj održanih sjednica NVZVT, područnih vijeća i matičnih odbora NVZVT</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AZVO</w:t>
            </w:r>
          </w:p>
        </w:tc>
        <w:tc>
          <w:tcPr>
            <w:tcW w:w="1020" w:type="dxa"/>
          </w:tcPr>
          <w:p w:rsidR="00505632" w:rsidRDefault="00505632" w:rsidP="00AD4E52">
            <w:pPr>
              <w:pStyle w:val="CellColumn"/>
              <w:jc w:val="right"/>
            </w:pPr>
            <w:r>
              <w:rPr>
                <w:rFonts w:cs="Times New Roman"/>
              </w:rPr>
              <w:t xml:space="preserve">5 sjednica NVZVOTR </w:t>
            </w:r>
          </w:p>
          <w:p w:rsidR="00505632" w:rsidRDefault="00505632" w:rsidP="00AD4E52">
            <w:pPr>
              <w:pStyle w:val="CellColumn"/>
              <w:jc w:val="right"/>
            </w:pPr>
            <w:r>
              <w:rPr>
                <w:rFonts w:cs="Times New Roman"/>
              </w:rPr>
              <w:t xml:space="preserve">5 sjednica područnih znanstvenih vijeća </w:t>
            </w:r>
          </w:p>
          <w:p w:rsidR="00505632" w:rsidRDefault="00505632" w:rsidP="00AD4E52">
            <w:pPr>
              <w:pStyle w:val="CellColumn"/>
              <w:jc w:val="right"/>
            </w:pPr>
            <w:r>
              <w:rPr>
                <w:rFonts w:cs="Times New Roman"/>
              </w:rPr>
              <w:t xml:space="preserve">80 sjednica </w:t>
            </w:r>
          </w:p>
          <w:p w:rsidR="00505632" w:rsidRDefault="00505632" w:rsidP="00AD4E52">
            <w:pPr>
              <w:pStyle w:val="CellColumn"/>
              <w:jc w:val="right"/>
            </w:pPr>
            <w:r>
              <w:rPr>
                <w:rFonts w:cs="Times New Roman"/>
              </w:rPr>
              <w:t>matičnih odbora NVZVOTR</w:t>
            </w:r>
          </w:p>
        </w:tc>
        <w:tc>
          <w:tcPr>
            <w:tcW w:w="1020" w:type="dxa"/>
          </w:tcPr>
          <w:p w:rsidR="00505632" w:rsidRDefault="00505632" w:rsidP="00AD4E52">
            <w:pPr>
              <w:pStyle w:val="CellColumn"/>
              <w:jc w:val="right"/>
            </w:pPr>
            <w:r>
              <w:rPr>
                <w:rFonts w:cs="Times New Roman"/>
              </w:rPr>
              <w:t xml:space="preserve">5 sjednica NVZVOTR </w:t>
            </w:r>
          </w:p>
          <w:p w:rsidR="00505632" w:rsidRDefault="00505632" w:rsidP="00AD4E52">
            <w:pPr>
              <w:pStyle w:val="CellColumn"/>
              <w:jc w:val="right"/>
            </w:pPr>
            <w:r>
              <w:rPr>
                <w:rFonts w:cs="Times New Roman"/>
              </w:rPr>
              <w:t xml:space="preserve">7 sjednica područnih znanstvenih vijeća </w:t>
            </w:r>
          </w:p>
          <w:p w:rsidR="00505632" w:rsidRDefault="00505632" w:rsidP="00AD4E52">
            <w:pPr>
              <w:pStyle w:val="CellColumn"/>
              <w:jc w:val="right"/>
            </w:pPr>
            <w:r>
              <w:rPr>
                <w:rFonts w:cs="Times New Roman"/>
              </w:rPr>
              <w:t>94 sjednica matičnih odbora NVZVOTR</w:t>
            </w:r>
          </w:p>
        </w:tc>
      </w:tr>
    </w:tbl>
    <w:p w:rsidR="00505632" w:rsidRDefault="00505632" w:rsidP="00505632">
      <w:pPr>
        <w:jc w:val="left"/>
      </w:pPr>
    </w:p>
    <w:p w:rsidR="00505632" w:rsidRDefault="00505632" w:rsidP="00505632">
      <w:pPr>
        <w:pStyle w:val="Heading4"/>
      </w:pPr>
      <w:r>
        <w:t>A621182 VIJEĆE VELEUČILIŠTA I VISOKIH ŠKOLA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A621182-VIJEĆE VELEUČILIŠTA I VISOKIH ŠKOLA</w:t>
            </w:r>
          </w:p>
        </w:tc>
        <w:tc>
          <w:tcPr>
            <w:tcW w:w="2041" w:type="dxa"/>
          </w:tcPr>
          <w:p w:rsidR="00505632" w:rsidRDefault="00505632" w:rsidP="00AD4E52">
            <w:pPr>
              <w:pStyle w:val="CellColumn"/>
              <w:jc w:val="right"/>
            </w:pPr>
            <w:r>
              <w:rPr>
                <w:rFonts w:cs="Times New Roman"/>
              </w:rPr>
              <w:t>156.073</w:t>
            </w:r>
          </w:p>
        </w:tc>
        <w:tc>
          <w:tcPr>
            <w:tcW w:w="2041" w:type="dxa"/>
          </w:tcPr>
          <w:p w:rsidR="00505632" w:rsidRDefault="00505632" w:rsidP="00AD4E52">
            <w:pPr>
              <w:pStyle w:val="CellColumn"/>
              <w:jc w:val="right"/>
            </w:pPr>
            <w:r>
              <w:rPr>
                <w:rFonts w:cs="Times New Roman"/>
              </w:rPr>
              <w:t>166.074</w:t>
            </w:r>
          </w:p>
        </w:tc>
        <w:tc>
          <w:tcPr>
            <w:tcW w:w="2041" w:type="dxa"/>
          </w:tcPr>
          <w:p w:rsidR="00505632" w:rsidRDefault="00505632" w:rsidP="00AD4E52">
            <w:pPr>
              <w:pStyle w:val="CellColumn"/>
              <w:jc w:val="right"/>
            </w:pPr>
            <w:r>
              <w:rPr>
                <w:rFonts w:cs="Times New Roman"/>
              </w:rPr>
              <w:t>142.764</w:t>
            </w:r>
          </w:p>
        </w:tc>
        <w:tc>
          <w:tcPr>
            <w:tcW w:w="1224" w:type="dxa"/>
          </w:tcPr>
          <w:p w:rsidR="00505632" w:rsidRDefault="00505632" w:rsidP="00AD4E52">
            <w:pPr>
              <w:pStyle w:val="CellColumn"/>
              <w:jc w:val="right"/>
            </w:pPr>
            <w:r>
              <w:rPr>
                <w:rFonts w:cs="Times New Roman"/>
              </w:rPr>
              <w:t>86,0</w:t>
            </w:r>
          </w:p>
        </w:tc>
        <w:tc>
          <w:tcPr>
            <w:tcW w:w="1224" w:type="dxa"/>
          </w:tcPr>
          <w:p w:rsidR="00505632" w:rsidRDefault="00505632" w:rsidP="00AD4E52">
            <w:pPr>
              <w:pStyle w:val="CellColumn"/>
              <w:jc w:val="right"/>
            </w:pPr>
            <w:r>
              <w:rPr>
                <w:rFonts w:cs="Times New Roman"/>
              </w:rPr>
              <w:t>91,5</w:t>
            </w:r>
          </w:p>
        </w:tc>
      </w:tr>
    </w:tbl>
    <w:p w:rsidR="00505632" w:rsidRDefault="00505632" w:rsidP="00505632">
      <w:pPr>
        <w:jc w:val="left"/>
      </w:pP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20"/>
        <w:gridCol w:w="2419"/>
        <w:gridCol w:w="995"/>
        <w:gridCol w:w="1009"/>
        <w:gridCol w:w="1002"/>
        <w:gridCol w:w="1136"/>
        <w:gridCol w:w="1225"/>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održanih sjednica VVVIŠ, matičnih povjerenstava VVVIŠ</w:t>
            </w:r>
          </w:p>
        </w:tc>
        <w:tc>
          <w:tcPr>
            <w:tcW w:w="2551" w:type="dxa"/>
          </w:tcPr>
          <w:p w:rsidR="00505632" w:rsidRDefault="00505632" w:rsidP="00AD4E52">
            <w:pPr>
              <w:pStyle w:val="CellColumn"/>
              <w:jc w:val="left"/>
            </w:pPr>
            <w:r>
              <w:rPr>
                <w:rFonts w:cs="Times New Roman"/>
              </w:rPr>
              <w:t>Broj održanih sjednica VVVIŠ, matičnih povjerenstava VVVIŠ</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Godišnje izviješće AZVO</w:t>
            </w:r>
          </w:p>
        </w:tc>
        <w:tc>
          <w:tcPr>
            <w:tcW w:w="1020" w:type="dxa"/>
          </w:tcPr>
          <w:p w:rsidR="00505632" w:rsidRDefault="00505632" w:rsidP="00AD4E52">
            <w:pPr>
              <w:pStyle w:val="CellColumn"/>
              <w:jc w:val="right"/>
            </w:pPr>
            <w:r>
              <w:rPr>
                <w:rFonts w:cs="Times New Roman"/>
              </w:rPr>
              <w:t>30 sjednica VVVIŠ uključujući i matična povjerenstva VVIVŠ</w:t>
            </w:r>
          </w:p>
        </w:tc>
        <w:tc>
          <w:tcPr>
            <w:tcW w:w="1020" w:type="dxa"/>
          </w:tcPr>
          <w:p w:rsidR="00505632" w:rsidRDefault="00505632" w:rsidP="00AD4E52">
            <w:pPr>
              <w:pStyle w:val="CellColumn"/>
              <w:jc w:val="right"/>
            </w:pPr>
            <w:r>
              <w:rPr>
                <w:rFonts w:cs="Times New Roman"/>
              </w:rPr>
              <w:t>6 sjednica VVVIŠ i 28 sjednica matičnih povjerenstava VVVIŠ</w:t>
            </w:r>
          </w:p>
        </w:tc>
      </w:tr>
    </w:tbl>
    <w:p w:rsidR="00505632" w:rsidRDefault="00505632" w:rsidP="00505632">
      <w:pPr>
        <w:jc w:val="left"/>
      </w:pPr>
    </w:p>
    <w:p w:rsidR="00505632" w:rsidRDefault="00505632" w:rsidP="00505632">
      <w:pPr>
        <w:pStyle w:val="Heading4"/>
      </w:pPr>
      <w:r>
        <w:t>A621186 VREDNOVANJE ZNANSTVENIH ORGANIZACIJA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A621186-VREDNOVANJE ZNANSTVENIH ORGANIZACIJA</w:t>
            </w:r>
          </w:p>
        </w:tc>
        <w:tc>
          <w:tcPr>
            <w:tcW w:w="2041" w:type="dxa"/>
          </w:tcPr>
          <w:p w:rsidR="00505632" w:rsidRDefault="00505632" w:rsidP="00AD4E52">
            <w:pPr>
              <w:pStyle w:val="CellColumn"/>
              <w:jc w:val="right"/>
            </w:pPr>
            <w:r>
              <w:rPr>
                <w:rFonts w:cs="Times New Roman"/>
              </w:rPr>
              <w:t>1.164.487</w:t>
            </w:r>
          </w:p>
        </w:tc>
        <w:tc>
          <w:tcPr>
            <w:tcW w:w="2041" w:type="dxa"/>
          </w:tcPr>
          <w:p w:rsidR="00505632" w:rsidRDefault="00505632" w:rsidP="00AD4E52">
            <w:pPr>
              <w:pStyle w:val="CellColumn"/>
              <w:jc w:val="right"/>
            </w:pPr>
            <w:r>
              <w:rPr>
                <w:rFonts w:cs="Times New Roman"/>
              </w:rPr>
              <w:t>1.088.891</w:t>
            </w:r>
          </w:p>
        </w:tc>
        <w:tc>
          <w:tcPr>
            <w:tcW w:w="2041" w:type="dxa"/>
          </w:tcPr>
          <w:p w:rsidR="00505632" w:rsidRDefault="00505632" w:rsidP="00AD4E52">
            <w:pPr>
              <w:pStyle w:val="CellColumn"/>
              <w:jc w:val="right"/>
            </w:pPr>
            <w:r>
              <w:rPr>
                <w:rFonts w:cs="Times New Roman"/>
              </w:rPr>
              <w:t>883.667</w:t>
            </w:r>
          </w:p>
        </w:tc>
        <w:tc>
          <w:tcPr>
            <w:tcW w:w="1224" w:type="dxa"/>
          </w:tcPr>
          <w:p w:rsidR="00505632" w:rsidRDefault="00505632" w:rsidP="00AD4E52">
            <w:pPr>
              <w:pStyle w:val="CellColumn"/>
              <w:jc w:val="right"/>
            </w:pPr>
            <w:r>
              <w:rPr>
                <w:rFonts w:cs="Times New Roman"/>
              </w:rPr>
              <w:t>81,2</w:t>
            </w:r>
          </w:p>
        </w:tc>
        <w:tc>
          <w:tcPr>
            <w:tcW w:w="1224" w:type="dxa"/>
          </w:tcPr>
          <w:p w:rsidR="00505632" w:rsidRDefault="00505632" w:rsidP="00AD4E52">
            <w:pPr>
              <w:pStyle w:val="CellColumn"/>
              <w:jc w:val="right"/>
            </w:pPr>
            <w:r>
              <w:rPr>
                <w:rFonts w:cs="Times New Roman"/>
              </w:rPr>
              <w:t>75,9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osiguravanju kvalitete u znanosti i visokom obrazovanju </w:t>
      </w:r>
    </w:p>
    <w:p w:rsidR="00505632" w:rsidRDefault="00505632" w:rsidP="00505632">
      <w:r>
        <w:t xml:space="preserve">Zakon o znanstvenoj djelatnosti i visokom obrazovanju </w:t>
      </w:r>
    </w:p>
    <w:p w:rsidR="00505632" w:rsidRDefault="00505632" w:rsidP="00505632">
      <w:r>
        <w:t>Pravilnik o uvjetima za izdavanje dopusnice za obavljanje znanstvene djelatnosti, uvjetima za reakreditaciju znanstvenih organizacija i sadržaju dopusnice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provedenih postupaka vrednovanja u znanosti (reakreditacija drugih pravnih osoba)</w:t>
            </w:r>
          </w:p>
        </w:tc>
        <w:tc>
          <w:tcPr>
            <w:tcW w:w="2551" w:type="dxa"/>
          </w:tcPr>
          <w:p w:rsidR="00505632" w:rsidRDefault="00505632" w:rsidP="00AD4E52">
            <w:pPr>
              <w:pStyle w:val="CellColumn"/>
              <w:jc w:val="left"/>
            </w:pPr>
            <w:r>
              <w:rPr>
                <w:rFonts w:cs="Times New Roman"/>
              </w:rPr>
              <w:t>Povećanje broja provedenih postupaka vrednovanja u znanosti (reakreditacija drugih pravnih osoba)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Godišnje izviješće AZVO</w:t>
            </w:r>
          </w:p>
        </w:tc>
        <w:tc>
          <w:tcPr>
            <w:tcW w:w="1020" w:type="dxa"/>
          </w:tcPr>
          <w:p w:rsidR="00505632" w:rsidRDefault="00505632" w:rsidP="00AD4E52">
            <w:pPr>
              <w:pStyle w:val="CellColumn"/>
              <w:jc w:val="right"/>
            </w:pPr>
            <w:r>
              <w:rPr>
                <w:rFonts w:cs="Times New Roman"/>
              </w:rPr>
              <w:t>35</w:t>
            </w:r>
          </w:p>
        </w:tc>
        <w:tc>
          <w:tcPr>
            <w:tcW w:w="1020" w:type="dxa"/>
          </w:tcPr>
          <w:p w:rsidR="00505632" w:rsidRDefault="00505632" w:rsidP="00AD4E52">
            <w:pPr>
              <w:pStyle w:val="CellColumn"/>
              <w:jc w:val="right"/>
            </w:pPr>
            <w:r>
              <w:rPr>
                <w:rFonts w:cs="Times New Roman"/>
              </w:rPr>
              <w:t>29</w:t>
            </w:r>
          </w:p>
        </w:tc>
      </w:tr>
      <w:tr w:rsidR="00505632" w:rsidTr="00AD4E52">
        <w:trPr>
          <w:jc w:val="center"/>
        </w:trPr>
        <w:tc>
          <w:tcPr>
            <w:tcW w:w="2551" w:type="dxa"/>
          </w:tcPr>
          <w:p w:rsidR="00505632" w:rsidRDefault="00505632" w:rsidP="00AD4E52">
            <w:pPr>
              <w:pStyle w:val="CellColumn"/>
              <w:jc w:val="left"/>
            </w:pPr>
            <w:r>
              <w:rPr>
                <w:rFonts w:cs="Times New Roman"/>
              </w:rPr>
              <w:t>Inicijalna akreditacija</w:t>
            </w:r>
          </w:p>
        </w:tc>
        <w:tc>
          <w:tcPr>
            <w:tcW w:w="2551" w:type="dxa"/>
          </w:tcPr>
          <w:p w:rsidR="00505632" w:rsidRDefault="00505632" w:rsidP="00AD4E52">
            <w:pPr>
              <w:pStyle w:val="CellColumn"/>
              <w:jc w:val="left"/>
            </w:pPr>
            <w:r>
              <w:rPr>
                <w:rFonts w:cs="Times New Roman"/>
              </w:rPr>
              <w:t>Inicijalna akreditacija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Godišnje izviješće AZVO</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Reakreditacija doktorskih studija</w:t>
            </w:r>
          </w:p>
        </w:tc>
        <w:tc>
          <w:tcPr>
            <w:tcW w:w="2551" w:type="dxa"/>
          </w:tcPr>
          <w:p w:rsidR="00505632" w:rsidRDefault="00505632" w:rsidP="00AD4E52">
            <w:pPr>
              <w:pStyle w:val="CellColumn"/>
              <w:jc w:val="left"/>
            </w:pPr>
            <w:r>
              <w:rPr>
                <w:rFonts w:cs="Times New Roman"/>
              </w:rPr>
              <w:t>Reakreditacija doktorskih studija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Godišnje izviješće AZVO</w:t>
            </w:r>
          </w:p>
        </w:tc>
        <w:tc>
          <w:tcPr>
            <w:tcW w:w="1020" w:type="dxa"/>
          </w:tcPr>
          <w:p w:rsidR="00505632" w:rsidRDefault="00505632" w:rsidP="00AD4E52">
            <w:pPr>
              <w:pStyle w:val="CellColumn"/>
              <w:jc w:val="right"/>
            </w:pPr>
            <w:r>
              <w:rPr>
                <w:rFonts w:cs="Times New Roman"/>
              </w:rPr>
              <w:t>33</w:t>
            </w:r>
          </w:p>
        </w:tc>
        <w:tc>
          <w:tcPr>
            <w:tcW w:w="1020" w:type="dxa"/>
          </w:tcPr>
          <w:p w:rsidR="00505632" w:rsidRDefault="00505632" w:rsidP="00AD4E52">
            <w:pPr>
              <w:pStyle w:val="CellColumn"/>
              <w:jc w:val="right"/>
            </w:pPr>
            <w:r>
              <w:rPr>
                <w:rFonts w:cs="Times New Roman"/>
              </w:rPr>
              <w:t>33</w:t>
            </w:r>
          </w:p>
        </w:tc>
      </w:tr>
    </w:tbl>
    <w:p w:rsidR="00505632" w:rsidRDefault="00505632" w:rsidP="00505632">
      <w:pPr>
        <w:jc w:val="left"/>
      </w:pPr>
    </w:p>
    <w:p w:rsidR="00505632" w:rsidRDefault="00505632" w:rsidP="00505632">
      <w:pPr>
        <w:pStyle w:val="Heading4"/>
      </w:pPr>
      <w:r>
        <w:t>A621187 VREDNOVANJE VISOKIH UČILIŠTA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A621187-VREDNOVANJE VISOKIH UČILIŠTA</w:t>
            </w:r>
          </w:p>
        </w:tc>
        <w:tc>
          <w:tcPr>
            <w:tcW w:w="2041" w:type="dxa"/>
          </w:tcPr>
          <w:p w:rsidR="00505632" w:rsidRDefault="00505632" w:rsidP="00AD4E52">
            <w:pPr>
              <w:pStyle w:val="CellColumn"/>
              <w:jc w:val="right"/>
            </w:pPr>
            <w:r>
              <w:rPr>
                <w:rFonts w:cs="Times New Roman"/>
              </w:rPr>
              <w:t>2.000.049</w:t>
            </w:r>
          </w:p>
        </w:tc>
        <w:tc>
          <w:tcPr>
            <w:tcW w:w="2041" w:type="dxa"/>
          </w:tcPr>
          <w:p w:rsidR="00505632" w:rsidRDefault="00505632" w:rsidP="00AD4E52">
            <w:pPr>
              <w:pStyle w:val="CellColumn"/>
              <w:jc w:val="right"/>
            </w:pPr>
            <w:r>
              <w:rPr>
                <w:rFonts w:cs="Times New Roman"/>
              </w:rPr>
              <w:t>1.319.000</w:t>
            </w:r>
          </w:p>
        </w:tc>
        <w:tc>
          <w:tcPr>
            <w:tcW w:w="2041" w:type="dxa"/>
          </w:tcPr>
          <w:p w:rsidR="00505632" w:rsidRDefault="00505632" w:rsidP="00AD4E52">
            <w:pPr>
              <w:pStyle w:val="CellColumn"/>
              <w:jc w:val="right"/>
            </w:pPr>
            <w:r>
              <w:rPr>
                <w:rFonts w:cs="Times New Roman"/>
              </w:rPr>
              <w:t>1.131.348</w:t>
            </w:r>
          </w:p>
        </w:tc>
        <w:tc>
          <w:tcPr>
            <w:tcW w:w="1224" w:type="dxa"/>
          </w:tcPr>
          <w:p w:rsidR="00505632" w:rsidRDefault="00505632" w:rsidP="00AD4E52">
            <w:pPr>
              <w:pStyle w:val="CellColumn"/>
              <w:jc w:val="right"/>
            </w:pPr>
            <w:r>
              <w:rPr>
                <w:rFonts w:cs="Times New Roman"/>
              </w:rPr>
              <w:t>85,8</w:t>
            </w:r>
          </w:p>
        </w:tc>
        <w:tc>
          <w:tcPr>
            <w:tcW w:w="1224" w:type="dxa"/>
          </w:tcPr>
          <w:p w:rsidR="00505632" w:rsidRDefault="00505632" w:rsidP="00AD4E52">
            <w:pPr>
              <w:pStyle w:val="CellColumn"/>
              <w:jc w:val="right"/>
            </w:pPr>
            <w:r>
              <w:rPr>
                <w:rFonts w:cs="Times New Roman"/>
              </w:rPr>
              <w:t>56,6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osiguravanju kvalitete u znanosti i visokom obrazovanju </w:t>
      </w:r>
    </w:p>
    <w:p w:rsidR="00505632" w:rsidRDefault="00505632" w:rsidP="00505632">
      <w:r>
        <w:t xml:space="preserve">Zakon o znanstvenoj djelatnosti i visokom obrazovanju </w:t>
      </w:r>
    </w:p>
    <w:p w:rsidR="00505632" w:rsidRDefault="00505632" w:rsidP="00505632">
      <w:r>
        <w:t>Pravilnik o sadržaju dopusnice te uvjetima za izdavanje dopusnice za obavljanje djelatnosti visokog obrazovanja, izvođenje studijskog programa i reakreditaciju visokih učilišta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375"/>
        <w:gridCol w:w="2376"/>
        <w:gridCol w:w="1259"/>
        <w:gridCol w:w="1005"/>
        <w:gridCol w:w="1180"/>
        <w:gridCol w:w="1005"/>
        <w:gridCol w:w="1006"/>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provedenih postupaka vrednovanja u visokom obrazovanju (reakreditacija)</w:t>
            </w:r>
          </w:p>
        </w:tc>
        <w:tc>
          <w:tcPr>
            <w:tcW w:w="2551" w:type="dxa"/>
          </w:tcPr>
          <w:p w:rsidR="00505632" w:rsidRDefault="00505632" w:rsidP="00AD4E52">
            <w:pPr>
              <w:pStyle w:val="CellColumn"/>
              <w:jc w:val="left"/>
            </w:pPr>
            <w:r>
              <w:rPr>
                <w:rFonts w:cs="Times New Roman"/>
              </w:rPr>
              <w:t>Povećanje broja provedenih postupaka vrednovanja u visokom obrazovanju (reakreditacija)</w:t>
            </w:r>
          </w:p>
        </w:tc>
        <w:tc>
          <w:tcPr>
            <w:tcW w:w="1020" w:type="dxa"/>
          </w:tcPr>
          <w:p w:rsidR="00505632" w:rsidRDefault="00505632" w:rsidP="00AD4E52">
            <w:pPr>
              <w:pStyle w:val="CellColumn"/>
              <w:jc w:val="right"/>
            </w:pPr>
            <w:r>
              <w:rPr>
                <w:rFonts w:cs="Times New Roman"/>
              </w:rPr>
              <w:t>Broj (kumulativno)</w:t>
            </w:r>
          </w:p>
        </w:tc>
        <w:tc>
          <w:tcPr>
            <w:tcW w:w="1020" w:type="dxa"/>
          </w:tcPr>
          <w:p w:rsidR="00505632" w:rsidRDefault="00505632" w:rsidP="00AD4E52">
            <w:pPr>
              <w:pStyle w:val="CellColumn"/>
              <w:jc w:val="right"/>
            </w:pPr>
            <w:r>
              <w:rPr>
                <w:rFonts w:cs="Times New Roman"/>
              </w:rPr>
              <w:t>140</w:t>
            </w:r>
          </w:p>
        </w:tc>
        <w:tc>
          <w:tcPr>
            <w:tcW w:w="1020" w:type="dxa"/>
          </w:tcPr>
          <w:p w:rsidR="00505632" w:rsidRDefault="00505632" w:rsidP="00AD4E52">
            <w:pPr>
              <w:pStyle w:val="CellColumn"/>
              <w:jc w:val="right"/>
            </w:pPr>
            <w:r>
              <w:rPr>
                <w:rFonts w:cs="Times New Roman"/>
              </w:rPr>
              <w:t>Usvojena reakreditacij-ska izviješća AZVO</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5</w:t>
            </w:r>
          </w:p>
        </w:tc>
      </w:tr>
      <w:tr w:rsidR="00505632" w:rsidTr="00AD4E52">
        <w:trPr>
          <w:jc w:val="center"/>
        </w:trPr>
        <w:tc>
          <w:tcPr>
            <w:tcW w:w="2551" w:type="dxa"/>
          </w:tcPr>
          <w:p w:rsidR="00505632" w:rsidRDefault="00505632" w:rsidP="00AD4E52">
            <w:pPr>
              <w:pStyle w:val="CellColumn"/>
              <w:jc w:val="left"/>
            </w:pPr>
            <w:r>
              <w:rPr>
                <w:rFonts w:cs="Times New Roman"/>
              </w:rPr>
              <w:t>Inicijalna akreditacija</w:t>
            </w:r>
          </w:p>
        </w:tc>
        <w:tc>
          <w:tcPr>
            <w:tcW w:w="2551" w:type="dxa"/>
          </w:tcPr>
          <w:p w:rsidR="00505632" w:rsidRDefault="00505632" w:rsidP="00AD4E52">
            <w:pPr>
              <w:pStyle w:val="CellColumn"/>
              <w:jc w:val="left"/>
            </w:pPr>
            <w:r>
              <w:rPr>
                <w:rFonts w:cs="Times New Roman"/>
              </w:rPr>
              <w:t>Inicijalna akreditacija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Usvojena izvješća AZVO</w:t>
            </w:r>
          </w:p>
        </w:tc>
        <w:tc>
          <w:tcPr>
            <w:tcW w:w="1020" w:type="dxa"/>
          </w:tcPr>
          <w:p w:rsidR="00505632" w:rsidRDefault="00505632" w:rsidP="00AD4E52">
            <w:pPr>
              <w:pStyle w:val="CellColumn"/>
              <w:jc w:val="right"/>
            </w:pPr>
            <w:r>
              <w:rPr>
                <w:rFonts w:cs="Times New Roman"/>
              </w:rPr>
              <w:t>16</w:t>
            </w:r>
          </w:p>
        </w:tc>
        <w:tc>
          <w:tcPr>
            <w:tcW w:w="1020" w:type="dxa"/>
          </w:tcPr>
          <w:p w:rsidR="00505632" w:rsidRDefault="00505632" w:rsidP="00AD4E52">
            <w:pPr>
              <w:pStyle w:val="CellColumn"/>
              <w:jc w:val="right"/>
            </w:pPr>
            <w:r>
              <w:rPr>
                <w:rFonts w:cs="Times New Roman"/>
              </w:rPr>
              <w:t>16</w:t>
            </w:r>
          </w:p>
        </w:tc>
      </w:tr>
    </w:tbl>
    <w:p w:rsidR="00505632" w:rsidRDefault="00505632" w:rsidP="00505632">
      <w:pPr>
        <w:jc w:val="left"/>
      </w:pPr>
    </w:p>
    <w:p w:rsidR="00505632" w:rsidRDefault="00505632" w:rsidP="00505632">
      <w:pPr>
        <w:pStyle w:val="Heading4"/>
      </w:pPr>
      <w:r>
        <w:t>A621190 VANJSKA PROSUDBA SUSTAVA OSIGURANJA KVALITETE VISOKIH UČILIŠTA I ZNANSTVENIH ORGANIZACIJA (VP)</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A621190-VANJSKA PROSUDBA SUSTAVA OSIGURANJA KVALITETE VISOKIH UČILIŠTA I ZNANSTVENIH ORGANIZACIJA (VP)</w:t>
            </w:r>
          </w:p>
        </w:tc>
        <w:tc>
          <w:tcPr>
            <w:tcW w:w="2041" w:type="dxa"/>
          </w:tcPr>
          <w:p w:rsidR="00505632" w:rsidRDefault="00505632" w:rsidP="00AD4E52">
            <w:pPr>
              <w:pStyle w:val="CellColumn"/>
              <w:jc w:val="right"/>
            </w:pPr>
            <w:r>
              <w:rPr>
                <w:rFonts w:cs="Times New Roman"/>
              </w:rPr>
              <w:t>488.151</w:t>
            </w:r>
          </w:p>
        </w:tc>
        <w:tc>
          <w:tcPr>
            <w:tcW w:w="2041" w:type="dxa"/>
          </w:tcPr>
          <w:p w:rsidR="00505632" w:rsidRDefault="00505632" w:rsidP="00AD4E52">
            <w:pPr>
              <w:pStyle w:val="CellColumn"/>
              <w:jc w:val="right"/>
            </w:pPr>
            <w:r>
              <w:rPr>
                <w:rFonts w:cs="Times New Roman"/>
              </w:rPr>
              <w:t>419.060</w:t>
            </w:r>
          </w:p>
        </w:tc>
        <w:tc>
          <w:tcPr>
            <w:tcW w:w="2041" w:type="dxa"/>
          </w:tcPr>
          <w:p w:rsidR="00505632" w:rsidRDefault="00505632" w:rsidP="00AD4E52">
            <w:pPr>
              <w:pStyle w:val="CellColumn"/>
              <w:jc w:val="right"/>
            </w:pPr>
            <w:r>
              <w:rPr>
                <w:rFonts w:cs="Times New Roman"/>
              </w:rPr>
              <w:t>257.887</w:t>
            </w:r>
          </w:p>
        </w:tc>
        <w:tc>
          <w:tcPr>
            <w:tcW w:w="1224" w:type="dxa"/>
          </w:tcPr>
          <w:p w:rsidR="00505632" w:rsidRDefault="00505632" w:rsidP="00AD4E52">
            <w:pPr>
              <w:pStyle w:val="CellColumn"/>
              <w:jc w:val="right"/>
            </w:pPr>
            <w:r>
              <w:rPr>
                <w:rFonts w:cs="Times New Roman"/>
              </w:rPr>
              <w:t>61,5</w:t>
            </w:r>
          </w:p>
        </w:tc>
        <w:tc>
          <w:tcPr>
            <w:tcW w:w="1224" w:type="dxa"/>
          </w:tcPr>
          <w:p w:rsidR="00505632" w:rsidRDefault="00505632" w:rsidP="00AD4E52">
            <w:pPr>
              <w:pStyle w:val="CellColumn"/>
              <w:jc w:val="right"/>
            </w:pPr>
            <w:r>
              <w:rPr>
                <w:rFonts w:cs="Times New Roman"/>
              </w:rPr>
              <w:t>52,8</w:t>
            </w:r>
          </w:p>
        </w:tc>
      </w:tr>
    </w:tbl>
    <w:p w:rsidR="00505632" w:rsidRDefault="00505632" w:rsidP="00505632">
      <w:pPr>
        <w:jc w:val="left"/>
      </w:pP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visokih učilišta na kojima su ustrojene funkcionalne jedinice za unutarnje osiguravanje kvalitete i koje su prošle postupak vanjske prosudbe</w:t>
            </w:r>
          </w:p>
        </w:tc>
        <w:tc>
          <w:tcPr>
            <w:tcW w:w="2551" w:type="dxa"/>
          </w:tcPr>
          <w:p w:rsidR="00505632" w:rsidRDefault="00505632" w:rsidP="00AD4E52">
            <w:pPr>
              <w:pStyle w:val="CellColumn"/>
              <w:jc w:val="left"/>
            </w:pPr>
            <w:r>
              <w:rPr>
                <w:rFonts w:cs="Times New Roman"/>
              </w:rPr>
              <w:t>Povećanje broja visokih učilišta na kojima su ustrojene funkcionalne jedinice za unutarnje osiguravanje kvalitete i koje su prošle postupak vanjske prosudbe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Usvojena izviješća vanjske prosudbe AZVO</w:t>
            </w:r>
          </w:p>
        </w:tc>
        <w:tc>
          <w:tcPr>
            <w:tcW w:w="1020" w:type="dxa"/>
          </w:tcPr>
          <w:p w:rsidR="00505632" w:rsidRDefault="00505632" w:rsidP="00AD4E52">
            <w:pPr>
              <w:pStyle w:val="CellColumn"/>
              <w:jc w:val="right"/>
            </w:pPr>
            <w:r>
              <w:rPr>
                <w:rFonts w:cs="Times New Roman"/>
              </w:rPr>
              <w:t>6</w:t>
            </w:r>
          </w:p>
        </w:tc>
        <w:tc>
          <w:tcPr>
            <w:tcW w:w="1020" w:type="dxa"/>
          </w:tcPr>
          <w:p w:rsidR="00505632" w:rsidRDefault="00505632" w:rsidP="00AD4E52">
            <w:pPr>
              <w:pStyle w:val="CellColumn"/>
              <w:jc w:val="right"/>
            </w:pPr>
            <w:r>
              <w:rPr>
                <w:rFonts w:cs="Times New Roman"/>
              </w:rPr>
              <w:t>5</w:t>
            </w:r>
          </w:p>
        </w:tc>
      </w:tr>
    </w:tbl>
    <w:p w:rsidR="00505632" w:rsidRDefault="00505632" w:rsidP="00505632">
      <w:pPr>
        <w:jc w:val="left"/>
      </w:pPr>
    </w:p>
    <w:p w:rsidR="00505632" w:rsidRDefault="00505632" w:rsidP="00505632">
      <w:pPr>
        <w:pStyle w:val="Heading3"/>
      </w:pPr>
      <w:r>
        <w:rPr>
          <w:rFonts w:cs="Times New Roman"/>
        </w:rPr>
        <w:t>40883 Nacionalni centar za vanjsko vrednovanje obrazovanja</w:t>
      </w:r>
    </w:p>
    <w:p w:rsidR="00505632" w:rsidRDefault="00505632" w:rsidP="00505632">
      <w:r>
        <w:t xml:space="preserve">Nacionalni centar za vanjsko vrednovanje obrazovanja (u daljnjem tekstu: Centar) jest javna ustanova ključna za osiguranje kvalitete cjelokupnog predtercijalnog obrazovanja u Republici Hrvatskoj.   </w:t>
      </w:r>
    </w:p>
    <w:p w:rsidR="00505632" w:rsidRDefault="00505632" w:rsidP="00505632">
      <w:r>
        <w:t xml:space="preserve">Centar, u okviru svoje djelatnosti, planira strategije i metodologiju provedbe ispita i vanjskog vrednovanja u obrazovanju, bavi se znanstveno-istraživačkim radom, provodi edukacijska mjerenja i provjerava znanja vještine i ostale kompetencije učenika, izrađuje banke zadataka, ispite i ostale ispitne materijale, izrađuje i publicira ispitne kataloge i utvrđuje standarde vrednovanja znanja, vještina i ostalih kompetencija učenika, izrađuje i publicira radne materijale i priručnike za pripremu ispita, provodi sve vrste ispita temeljenih na nacionalnim standardima uključujući i ispite državne mature, izdaje potvrde i svjedodžbe o položenim ispitima, surađuje i usklađuje rad s međunarodnim certifikacijskim centrima i organizacijama, organizira provedbu međunarodnih ispita i provodi međunarodne komparativne analize u obrazovanju, provodi vanjsko vrednovnje u osnovnim i srednjim školama te drugim ustanovama koje se bave obrazovanjem i usavršavanjem, analizira, statistički obrađuje i objavljuje rezultate ipita i vanjskog vrednovanje u obrazovanju, na temelju evaluacijskih analiza daje prijedloge Ministarstvu znanosti i obrazovanja za trajno unapređenje kvalitete obrazovanja, savjetuje škole i pomaže u samovrednovanju i razvoju temeljenom na rezultatima standardiziranih ispitivanja, organizira seminare za nastavnike vezane uz edukacijske procjene, ocjenjivanje i vrednovanje napredovanja učenika, organizira seminare za vanjske suradnike (predmetna povjerenstva, vanjske ocjenjivače, autore ispitnih zadataka itd.) vezane uz pripremu i provedbu ispita, razvija i održava informacijski sustav te tiska i objavljuje dokumente i publikacije vezane uz vanjsko vrednovanje, obavlja ostale poslove vezane uz provedbu nacionalnih ispita i vanjskog vrednovanja u obrazovanju.  </w:t>
      </w:r>
    </w:p>
    <w:p w:rsidR="00505632" w:rsidRDefault="00505632" w:rsidP="00505632">
      <w:r>
        <w:t>Ukratko, Centar provodi poslove vanjskog vrednovanja u predtercijalnom odgojno-obrazovnom sustavu, provodi završne ispite u srednjim školama (državna matura) te ostale nacionalne ispite u osnovim i srednjim školama u funkciji vanjsko vrednovanja obrazovnog sustava, s ciljem unapređenja kvalitete obrazovanja. Također, Centar organizira provedbu međunarodnih ispita i provodi međunarodne komparativne analize u obrazovanja. Unapređivanje kvalitete obrazovanja postiže se kroz projekte razvoja i poticanja samovrednovanja u predškolskim ustanovama, osnovnim i srednjim školama, edukacijom timova za pružanje pomoći pri izradi razvojnih planova škole i samovrednovanju rada škole temeljnog na rezultatima ispita koje provodi Centar te vanjskim vrednovanjem  samog procesa samovrednovanja. Krajnji cilj svih do sada provedenih i planiranih aktivnosti je poboljšanje obrazovne politike i donošenje odluka o budućem obrazovanju.</w:t>
      </w:r>
    </w:p>
    <w:tbl>
      <w:tblPr>
        <w:tblStyle w:val="StilTablice"/>
        <w:tblW w:w="10206" w:type="dxa"/>
        <w:jc w:val="center"/>
        <w:tblLook w:val="04A0" w:firstRow="1" w:lastRow="0" w:firstColumn="1" w:lastColumn="0" w:noHBand="0" w:noVBand="1"/>
      </w:tblPr>
      <w:tblGrid>
        <w:gridCol w:w="1860"/>
        <w:gridCol w:w="1975"/>
        <w:gridCol w:w="1975"/>
        <w:gridCol w:w="1975"/>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40883-Nacionalni centar za vanjsko vrednovanje obrazovanja</w:t>
            </w:r>
          </w:p>
        </w:tc>
        <w:tc>
          <w:tcPr>
            <w:tcW w:w="2041" w:type="dxa"/>
          </w:tcPr>
          <w:p w:rsidR="00505632" w:rsidRDefault="00505632" w:rsidP="00AD4E52">
            <w:pPr>
              <w:pStyle w:val="CellColumn"/>
              <w:jc w:val="right"/>
            </w:pPr>
            <w:r>
              <w:rPr>
                <w:rFonts w:cs="Times New Roman"/>
              </w:rPr>
              <w:t>35.491.607</w:t>
            </w:r>
          </w:p>
        </w:tc>
        <w:tc>
          <w:tcPr>
            <w:tcW w:w="2041" w:type="dxa"/>
          </w:tcPr>
          <w:p w:rsidR="00505632" w:rsidRDefault="00505632" w:rsidP="00AD4E52">
            <w:pPr>
              <w:pStyle w:val="CellColumn"/>
              <w:jc w:val="right"/>
            </w:pPr>
            <w:r>
              <w:rPr>
                <w:rFonts w:cs="Times New Roman"/>
              </w:rPr>
              <w:t>42.218.285</w:t>
            </w:r>
          </w:p>
        </w:tc>
        <w:tc>
          <w:tcPr>
            <w:tcW w:w="2041" w:type="dxa"/>
          </w:tcPr>
          <w:p w:rsidR="00505632" w:rsidRDefault="00505632" w:rsidP="00AD4E52">
            <w:pPr>
              <w:pStyle w:val="CellColumn"/>
              <w:jc w:val="right"/>
            </w:pPr>
            <w:r>
              <w:rPr>
                <w:rFonts w:cs="Times New Roman"/>
              </w:rPr>
              <w:t>36.580.439</w:t>
            </w:r>
          </w:p>
        </w:tc>
        <w:tc>
          <w:tcPr>
            <w:tcW w:w="1224" w:type="dxa"/>
          </w:tcPr>
          <w:p w:rsidR="00505632" w:rsidRDefault="00505632" w:rsidP="00AD4E52">
            <w:pPr>
              <w:pStyle w:val="CellColumn"/>
              <w:jc w:val="right"/>
            </w:pPr>
            <w:r>
              <w:rPr>
                <w:rFonts w:cs="Times New Roman"/>
              </w:rPr>
              <w:t>86,6</w:t>
            </w:r>
          </w:p>
        </w:tc>
        <w:tc>
          <w:tcPr>
            <w:tcW w:w="1224" w:type="dxa"/>
          </w:tcPr>
          <w:p w:rsidR="00505632" w:rsidRDefault="00505632" w:rsidP="00AD4E52">
            <w:pPr>
              <w:pStyle w:val="CellColumn"/>
              <w:jc w:val="right"/>
            </w:pPr>
            <w:r>
              <w:rPr>
                <w:rFonts w:cs="Times New Roman"/>
              </w:rPr>
              <w:t>103,1</w:t>
            </w:r>
          </w:p>
        </w:tc>
      </w:tr>
      <w:tr w:rsidR="00505632" w:rsidTr="00AD4E52">
        <w:trPr>
          <w:jc w:val="center"/>
        </w:trPr>
        <w:tc>
          <w:tcPr>
            <w:tcW w:w="1632" w:type="dxa"/>
          </w:tcPr>
          <w:p w:rsidR="00505632" w:rsidRDefault="00505632" w:rsidP="00AD4E52">
            <w:pPr>
              <w:jc w:val="left"/>
            </w:pPr>
            <w:r>
              <w:t>3701-RAZVOJ ODGOJNO OBRAZOVNOG SUSTAVA</w:t>
            </w:r>
          </w:p>
        </w:tc>
        <w:tc>
          <w:tcPr>
            <w:tcW w:w="2041" w:type="dxa"/>
          </w:tcPr>
          <w:p w:rsidR="00505632" w:rsidRDefault="00505632" w:rsidP="00AD4E52">
            <w:pPr>
              <w:jc w:val="right"/>
            </w:pPr>
            <w:r>
              <w:t>34.940.427</w:t>
            </w:r>
          </w:p>
        </w:tc>
        <w:tc>
          <w:tcPr>
            <w:tcW w:w="2041" w:type="dxa"/>
          </w:tcPr>
          <w:p w:rsidR="00505632" w:rsidRDefault="00505632" w:rsidP="00AD4E52">
            <w:pPr>
              <w:jc w:val="right"/>
            </w:pPr>
            <w:r>
              <w:t>42.099.664</w:t>
            </w:r>
          </w:p>
        </w:tc>
        <w:tc>
          <w:tcPr>
            <w:tcW w:w="2041" w:type="dxa"/>
          </w:tcPr>
          <w:p w:rsidR="00505632" w:rsidRDefault="00505632" w:rsidP="00AD4E52">
            <w:pPr>
              <w:jc w:val="right"/>
            </w:pPr>
            <w:r>
              <w:t>36.462.017</w:t>
            </w:r>
          </w:p>
        </w:tc>
        <w:tc>
          <w:tcPr>
            <w:tcW w:w="1224" w:type="dxa"/>
          </w:tcPr>
          <w:p w:rsidR="00505632" w:rsidRDefault="00505632" w:rsidP="00AD4E52">
            <w:pPr>
              <w:jc w:val="right"/>
            </w:pPr>
            <w:r>
              <w:t>86,6</w:t>
            </w:r>
          </w:p>
        </w:tc>
        <w:tc>
          <w:tcPr>
            <w:tcW w:w="1224" w:type="dxa"/>
          </w:tcPr>
          <w:p w:rsidR="00505632" w:rsidRDefault="00505632" w:rsidP="00AD4E52">
            <w:pPr>
              <w:jc w:val="right"/>
            </w:pPr>
            <w:r>
              <w:t>104,4</w:t>
            </w:r>
          </w:p>
        </w:tc>
      </w:tr>
      <w:tr w:rsidR="00505632" w:rsidTr="00AD4E52">
        <w:trPr>
          <w:jc w:val="center"/>
        </w:trPr>
        <w:tc>
          <w:tcPr>
            <w:tcW w:w="1632" w:type="dxa"/>
          </w:tcPr>
          <w:p w:rsidR="00505632" w:rsidRDefault="00505632" w:rsidP="00AD4E52">
            <w:pPr>
              <w:jc w:val="left"/>
            </w:pPr>
            <w:r>
              <w:t>3803-RAZVOJ INFORMACIJSKOG DRUŠTVA</w:t>
            </w:r>
          </w:p>
        </w:tc>
        <w:tc>
          <w:tcPr>
            <w:tcW w:w="2041" w:type="dxa"/>
          </w:tcPr>
          <w:p w:rsidR="00505632" w:rsidRDefault="00505632" w:rsidP="00AD4E52">
            <w:pPr>
              <w:jc w:val="right"/>
            </w:pPr>
            <w:r>
              <w:t>551.180</w:t>
            </w:r>
          </w:p>
        </w:tc>
        <w:tc>
          <w:tcPr>
            <w:tcW w:w="2041" w:type="dxa"/>
          </w:tcPr>
          <w:p w:rsidR="00505632" w:rsidRDefault="00505632" w:rsidP="00AD4E52">
            <w:pPr>
              <w:jc w:val="right"/>
            </w:pPr>
            <w:r>
              <w:t>118.621</w:t>
            </w:r>
          </w:p>
        </w:tc>
        <w:tc>
          <w:tcPr>
            <w:tcW w:w="2041" w:type="dxa"/>
          </w:tcPr>
          <w:p w:rsidR="00505632" w:rsidRDefault="00505632" w:rsidP="00AD4E52">
            <w:pPr>
              <w:jc w:val="right"/>
            </w:pPr>
            <w:r>
              <w:t>118.422</w:t>
            </w:r>
          </w:p>
        </w:tc>
        <w:tc>
          <w:tcPr>
            <w:tcW w:w="1224" w:type="dxa"/>
          </w:tcPr>
          <w:p w:rsidR="00505632" w:rsidRDefault="00505632" w:rsidP="00AD4E52">
            <w:pPr>
              <w:jc w:val="right"/>
            </w:pPr>
            <w:r>
              <w:t>99,8</w:t>
            </w:r>
          </w:p>
        </w:tc>
        <w:tc>
          <w:tcPr>
            <w:tcW w:w="1224" w:type="dxa"/>
          </w:tcPr>
          <w:p w:rsidR="00505632" w:rsidRDefault="00505632" w:rsidP="00AD4E52">
            <w:pPr>
              <w:jc w:val="right"/>
            </w:pPr>
            <w:r>
              <w:t>21,5</w:t>
            </w:r>
          </w:p>
        </w:tc>
      </w:tr>
    </w:tbl>
    <w:p w:rsidR="00505632" w:rsidRDefault="00505632" w:rsidP="00505632">
      <w:pPr>
        <w:jc w:val="left"/>
      </w:pPr>
    </w:p>
    <w:p w:rsidR="00505632" w:rsidRDefault="00505632" w:rsidP="00505632">
      <w:pPr>
        <w:pStyle w:val="Heading3"/>
      </w:pPr>
      <w:r>
        <w:rPr>
          <w:rFonts w:cs="Times New Roman"/>
        </w:rPr>
        <w:t>3701 RAZVOJ ODGOJNO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3701-RAZVOJ ODGOJNO OBRAZOVNOG SUSTAVA</w:t>
            </w:r>
          </w:p>
        </w:tc>
        <w:tc>
          <w:tcPr>
            <w:tcW w:w="2041" w:type="dxa"/>
          </w:tcPr>
          <w:p w:rsidR="00505632" w:rsidRDefault="00505632" w:rsidP="00AD4E52">
            <w:pPr>
              <w:pStyle w:val="CellColumn"/>
              <w:jc w:val="right"/>
            </w:pPr>
            <w:r>
              <w:rPr>
                <w:rFonts w:cs="Times New Roman"/>
              </w:rPr>
              <w:t>34.940.427</w:t>
            </w:r>
          </w:p>
        </w:tc>
        <w:tc>
          <w:tcPr>
            <w:tcW w:w="2041" w:type="dxa"/>
          </w:tcPr>
          <w:p w:rsidR="00505632" w:rsidRDefault="00505632" w:rsidP="00AD4E52">
            <w:pPr>
              <w:pStyle w:val="CellColumn"/>
              <w:jc w:val="right"/>
            </w:pPr>
            <w:r>
              <w:rPr>
                <w:rFonts w:cs="Times New Roman"/>
              </w:rPr>
              <w:t>42.099.664</w:t>
            </w:r>
          </w:p>
        </w:tc>
        <w:tc>
          <w:tcPr>
            <w:tcW w:w="2041" w:type="dxa"/>
          </w:tcPr>
          <w:p w:rsidR="00505632" w:rsidRDefault="00505632" w:rsidP="00AD4E52">
            <w:pPr>
              <w:pStyle w:val="CellColumn"/>
              <w:jc w:val="right"/>
            </w:pPr>
            <w:r>
              <w:rPr>
                <w:rFonts w:cs="Times New Roman"/>
              </w:rPr>
              <w:t>36.462.017</w:t>
            </w:r>
          </w:p>
        </w:tc>
        <w:tc>
          <w:tcPr>
            <w:tcW w:w="1224" w:type="dxa"/>
          </w:tcPr>
          <w:p w:rsidR="00505632" w:rsidRDefault="00505632" w:rsidP="00AD4E52">
            <w:pPr>
              <w:pStyle w:val="CellColumn"/>
              <w:jc w:val="right"/>
            </w:pPr>
            <w:r>
              <w:rPr>
                <w:rFonts w:cs="Times New Roman"/>
              </w:rPr>
              <w:t>86,6</w:t>
            </w:r>
          </w:p>
        </w:tc>
        <w:tc>
          <w:tcPr>
            <w:tcW w:w="1224" w:type="dxa"/>
          </w:tcPr>
          <w:p w:rsidR="00505632" w:rsidRDefault="00505632" w:rsidP="00AD4E52">
            <w:pPr>
              <w:pStyle w:val="CellColumn"/>
              <w:jc w:val="right"/>
            </w:pPr>
            <w:r>
              <w:rPr>
                <w:rFonts w:cs="Times New Roman"/>
              </w:rPr>
              <w:t>104,4</w:t>
            </w:r>
          </w:p>
        </w:tc>
      </w:tr>
    </w:tbl>
    <w:p w:rsidR="00505632" w:rsidRDefault="00505632" w:rsidP="00505632">
      <w:pPr>
        <w:jc w:val="left"/>
      </w:pPr>
    </w:p>
    <w:p w:rsidR="00505632" w:rsidRDefault="00505632" w:rsidP="00505632">
      <w:pPr>
        <w:pStyle w:val="Heading8"/>
        <w:jc w:val="left"/>
      </w:pPr>
      <w:r>
        <w:t xml:space="preserve">Cilj 1. Omogućiti svim učenicima završnih razreda srednjih škola pristupanje ispitima državne mature i povećanje ukupnog broja učenika koji pristupaju ispitima državne mature.  </w:t>
      </w:r>
    </w:p>
    <w:p w:rsidR="00505632" w:rsidRDefault="00505632" w:rsidP="00505632">
      <w:pPr>
        <w:pStyle w:val="Heading8"/>
        <w:jc w:val="left"/>
      </w:pPr>
      <w:r>
        <w:t>Opis provedbe cilja programa</w:t>
      </w:r>
    </w:p>
    <w:p w:rsidR="00505632" w:rsidRDefault="00505632" w:rsidP="00505632">
      <w:r>
        <w:t xml:space="preserve">Učenici gimnazijskih programa polaganjem ispita državne mature uspješno završavaju srednjoškolsko  </w:t>
      </w:r>
    </w:p>
    <w:p w:rsidR="00505632" w:rsidRDefault="00505632" w:rsidP="00505632">
      <w:r>
        <w:t xml:space="preserve">obrazovanje, a svim pristupnicima ispita državne mature omogućeno je da se  </w:t>
      </w:r>
    </w:p>
    <w:p w:rsidR="00505632" w:rsidRDefault="00505632" w:rsidP="00505632">
      <w:r>
        <w:t xml:space="preserve">temeljem rezultata ispita rangiraju i upišu na visoka učilišta. Osigurava se  </w:t>
      </w:r>
    </w:p>
    <w:p w:rsidR="00505632" w:rsidRDefault="00505632" w:rsidP="00505632">
      <w:r>
        <w:t xml:space="preserve">transparentnost postupka i jednaki uvjeti pristupa tercijarnom obrazovanju za sve  </w:t>
      </w:r>
    </w:p>
    <w:p w:rsidR="00505632" w:rsidRDefault="00505632" w:rsidP="00505632">
      <w:r>
        <w:t>učenike i time i usporedivost rezultata.</w:t>
      </w:r>
    </w:p>
    <w:p w:rsidR="00505632" w:rsidRDefault="00505632" w:rsidP="00505632">
      <w:pPr>
        <w:pStyle w:val="Heading8"/>
        <w:jc w:val="left"/>
      </w:pPr>
      <w:r>
        <w:t>Cilj 2.  Uspostaviti sustav za unapređenje kvalitete obrazovnog sustava, a kojim se istovremeno vrednuje sustav, školske ustanove i kurikulum.</w:t>
      </w:r>
    </w:p>
    <w:p w:rsidR="00505632" w:rsidRDefault="00505632" w:rsidP="00505632">
      <w:pPr>
        <w:pStyle w:val="Heading8"/>
        <w:jc w:val="left"/>
      </w:pPr>
      <w:r>
        <w:t>Opis provedbe cilja programa</w:t>
      </w:r>
    </w:p>
    <w:p w:rsidR="00505632" w:rsidRDefault="00505632" w:rsidP="00505632">
      <w:r>
        <w:t xml:space="preserve">Sustav nacionalnih ispita je model koji omogućava evaluaciju rada škola i  </w:t>
      </w:r>
    </w:p>
    <w:p w:rsidR="00505632" w:rsidRDefault="00505632" w:rsidP="00505632">
      <w:r>
        <w:t xml:space="preserve">obrazovnog sustava kroz vrednovanje programa i kurikuluma te daje usporedive  </w:t>
      </w:r>
    </w:p>
    <w:p w:rsidR="00505632" w:rsidRDefault="00505632" w:rsidP="00505632">
      <w:r>
        <w:t>rezultate na reprezentativnom uzorku škola i učenika u Republici Hrvatskoj.</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1.2.1. Provoditi vanjsko vrednovanje i samovrednovanje na razini predtercijalnog obrazovanja</w:t>
            </w:r>
          </w:p>
        </w:tc>
        <w:tc>
          <w:tcPr>
            <w:tcW w:w="2551" w:type="dxa"/>
          </w:tcPr>
          <w:p w:rsidR="00505632" w:rsidRDefault="00505632" w:rsidP="00AD4E52">
            <w:pPr>
              <w:pStyle w:val="CellColumn"/>
              <w:jc w:val="left"/>
            </w:pPr>
            <w:r>
              <w:rPr>
                <w:rFonts w:cs="Times New Roman"/>
              </w:rPr>
              <w:t>Učnicima završnih razreda srednje škole omogućeno polaganje ispita državne mature</w:t>
            </w:r>
          </w:p>
        </w:tc>
        <w:tc>
          <w:tcPr>
            <w:tcW w:w="1020" w:type="dxa"/>
          </w:tcPr>
          <w:p w:rsidR="00505632" w:rsidRDefault="00505632" w:rsidP="00AD4E52">
            <w:pPr>
              <w:pStyle w:val="CellColumn"/>
              <w:jc w:val="right"/>
            </w:pPr>
            <w:r>
              <w:rPr>
                <w:rFonts w:cs="Times New Roman"/>
              </w:rPr>
              <w:t>Postotak učenika</w:t>
            </w:r>
          </w:p>
        </w:tc>
        <w:tc>
          <w:tcPr>
            <w:tcW w:w="1020" w:type="dxa"/>
          </w:tcPr>
          <w:p w:rsidR="00505632" w:rsidRDefault="00505632" w:rsidP="00AD4E52">
            <w:pPr>
              <w:pStyle w:val="CellColumn"/>
              <w:jc w:val="right"/>
            </w:pPr>
            <w:r>
              <w:rPr>
                <w:rFonts w:cs="Times New Roman"/>
              </w:rPr>
              <w:t>98</w:t>
            </w:r>
          </w:p>
        </w:tc>
        <w:tc>
          <w:tcPr>
            <w:tcW w:w="918"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98</w:t>
            </w:r>
          </w:p>
        </w:tc>
        <w:tc>
          <w:tcPr>
            <w:tcW w:w="1020" w:type="dxa"/>
          </w:tcPr>
          <w:p w:rsidR="00505632" w:rsidRDefault="00505632" w:rsidP="00AD4E52">
            <w:pPr>
              <w:pStyle w:val="CellColumn"/>
              <w:jc w:val="right"/>
            </w:pPr>
            <w:r>
              <w:rPr>
                <w:rFonts w:cs="Times New Roman"/>
              </w:rPr>
              <w:t>98</w:t>
            </w:r>
          </w:p>
        </w:tc>
      </w:tr>
      <w:tr w:rsidR="00505632" w:rsidTr="00AD4E52">
        <w:trPr>
          <w:jc w:val="center"/>
        </w:trPr>
        <w:tc>
          <w:tcPr>
            <w:tcW w:w="2551" w:type="dxa"/>
          </w:tcPr>
          <w:p w:rsidR="00505632" w:rsidRDefault="00505632" w:rsidP="00AD4E52">
            <w:pPr>
              <w:pStyle w:val="CellColumn"/>
              <w:jc w:val="left"/>
            </w:pPr>
            <w:r>
              <w:rPr>
                <w:rFonts w:cs="Times New Roman"/>
              </w:rPr>
              <w:t>1.2.1. Provoditi vanjsko vrednovanje i samovrednovanje na razini predtercijalnog obrazovanja</w:t>
            </w:r>
          </w:p>
        </w:tc>
        <w:tc>
          <w:tcPr>
            <w:tcW w:w="2551" w:type="dxa"/>
          </w:tcPr>
          <w:p w:rsidR="00505632" w:rsidRDefault="00505632" w:rsidP="00AD4E52">
            <w:pPr>
              <w:pStyle w:val="CellColumn"/>
              <w:jc w:val="left"/>
            </w:pPr>
            <w:r>
              <w:rPr>
                <w:rFonts w:cs="Times New Roman"/>
              </w:rPr>
              <w:t>Provedba ispita koji omogućavaju evaluaciju rada škole sustava, programa i kurikuluma</w:t>
            </w:r>
          </w:p>
        </w:tc>
        <w:tc>
          <w:tcPr>
            <w:tcW w:w="1020" w:type="dxa"/>
          </w:tcPr>
          <w:p w:rsidR="00505632" w:rsidRDefault="00505632" w:rsidP="00AD4E52">
            <w:pPr>
              <w:pStyle w:val="CellColumn"/>
              <w:jc w:val="right"/>
            </w:pPr>
            <w:r>
              <w:rPr>
                <w:rFonts w:cs="Times New Roman"/>
              </w:rPr>
              <w:t>Postotak škola</w:t>
            </w:r>
          </w:p>
        </w:tc>
        <w:tc>
          <w:tcPr>
            <w:tcW w:w="1020" w:type="dxa"/>
          </w:tcPr>
          <w:p w:rsidR="00505632" w:rsidRDefault="00505632" w:rsidP="00AD4E52">
            <w:pPr>
              <w:pStyle w:val="CellColumn"/>
              <w:jc w:val="right"/>
            </w:pPr>
            <w:r>
              <w:rPr>
                <w:rFonts w:cs="Times New Roman"/>
              </w:rPr>
              <w:t>20</w:t>
            </w:r>
          </w:p>
        </w:tc>
        <w:tc>
          <w:tcPr>
            <w:tcW w:w="918"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20</w:t>
            </w:r>
          </w:p>
        </w:tc>
      </w:tr>
      <w:tr w:rsidR="00505632" w:rsidTr="00AD4E52">
        <w:trPr>
          <w:jc w:val="center"/>
        </w:trPr>
        <w:tc>
          <w:tcPr>
            <w:tcW w:w="2551" w:type="dxa"/>
          </w:tcPr>
          <w:p w:rsidR="00505632" w:rsidRDefault="00505632" w:rsidP="00AD4E52">
            <w:pPr>
              <w:pStyle w:val="CellColumn"/>
              <w:jc w:val="left"/>
            </w:pPr>
            <w:r>
              <w:rPr>
                <w:rFonts w:cs="Times New Roman"/>
              </w:rPr>
              <w:t>1.2.1. Provoditi vanjsko vrednovanje i samovrednovanje na razini predtercijalnog obrazovanja</w:t>
            </w:r>
          </w:p>
        </w:tc>
        <w:tc>
          <w:tcPr>
            <w:tcW w:w="2551" w:type="dxa"/>
          </w:tcPr>
          <w:p w:rsidR="00505632" w:rsidRDefault="00505632" w:rsidP="00AD4E52">
            <w:pPr>
              <w:pStyle w:val="CellColumn"/>
              <w:jc w:val="left"/>
            </w:pPr>
            <w:r>
              <w:rPr>
                <w:rFonts w:cs="Times New Roman"/>
              </w:rPr>
              <w:t>Broj ustanova na razini predtercijalnog obrazovanja koje provode samovrednovanje</w:t>
            </w:r>
          </w:p>
        </w:tc>
        <w:tc>
          <w:tcPr>
            <w:tcW w:w="1020" w:type="dxa"/>
          </w:tcPr>
          <w:p w:rsidR="00505632" w:rsidRDefault="00505632" w:rsidP="00AD4E52">
            <w:pPr>
              <w:pStyle w:val="CellColumn"/>
              <w:jc w:val="right"/>
            </w:pPr>
            <w:r>
              <w:rPr>
                <w:rFonts w:cs="Times New Roman"/>
              </w:rPr>
              <w:t>Broj ustanova</w:t>
            </w:r>
          </w:p>
        </w:tc>
        <w:tc>
          <w:tcPr>
            <w:tcW w:w="1020" w:type="dxa"/>
          </w:tcPr>
          <w:p w:rsidR="00505632" w:rsidRDefault="00505632" w:rsidP="00AD4E52">
            <w:pPr>
              <w:pStyle w:val="CellColumn"/>
              <w:jc w:val="right"/>
            </w:pPr>
            <w:r>
              <w:rPr>
                <w:rFonts w:cs="Times New Roman"/>
              </w:rPr>
              <w:t>750</w:t>
            </w:r>
          </w:p>
        </w:tc>
        <w:tc>
          <w:tcPr>
            <w:tcW w:w="918"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 xml:space="preserve">SŠ: sve </w:t>
            </w:r>
          </w:p>
          <w:p w:rsidR="00505632" w:rsidRDefault="00505632" w:rsidP="00AD4E52">
            <w:pPr>
              <w:pStyle w:val="CellColumn"/>
              <w:jc w:val="right"/>
            </w:pPr>
            <w:r>
              <w:rPr>
                <w:rFonts w:cs="Times New Roman"/>
              </w:rPr>
              <w:t xml:space="preserve">OŠ: sve </w:t>
            </w:r>
          </w:p>
          <w:p w:rsidR="00505632" w:rsidRDefault="00505632" w:rsidP="00AD4E52">
            <w:pPr>
              <w:pStyle w:val="CellColumn"/>
              <w:jc w:val="right"/>
            </w:pPr>
            <w:r>
              <w:rPr>
                <w:rFonts w:cs="Times New Roman"/>
              </w:rPr>
              <w:t>DV: -</w:t>
            </w:r>
          </w:p>
        </w:tc>
        <w:tc>
          <w:tcPr>
            <w:tcW w:w="1020" w:type="dxa"/>
          </w:tcPr>
          <w:p w:rsidR="00505632" w:rsidRDefault="00505632" w:rsidP="00AD4E52">
            <w:pPr>
              <w:pStyle w:val="CellColumn"/>
              <w:jc w:val="right"/>
            </w:pPr>
            <w:r>
              <w:rPr>
                <w:rFonts w:cs="Times New Roman"/>
              </w:rPr>
              <w:t xml:space="preserve">SŠ: sve </w:t>
            </w:r>
          </w:p>
          <w:p w:rsidR="00505632" w:rsidRDefault="00505632" w:rsidP="00AD4E52">
            <w:pPr>
              <w:pStyle w:val="CellColumn"/>
              <w:jc w:val="right"/>
            </w:pPr>
            <w:r>
              <w:rPr>
                <w:rFonts w:cs="Times New Roman"/>
              </w:rPr>
              <w:t xml:space="preserve">OŠ: sve </w:t>
            </w:r>
          </w:p>
          <w:p w:rsidR="00505632" w:rsidRDefault="00505632" w:rsidP="00AD4E52">
            <w:pPr>
              <w:pStyle w:val="CellColumn"/>
              <w:jc w:val="right"/>
            </w:pPr>
            <w:r>
              <w:rPr>
                <w:rFonts w:cs="Times New Roman"/>
              </w:rPr>
              <w:t>DV: -</w:t>
            </w:r>
          </w:p>
        </w:tc>
      </w:tr>
      <w:tr w:rsidR="00505632" w:rsidTr="00AD4E52">
        <w:trPr>
          <w:jc w:val="center"/>
        </w:trPr>
        <w:tc>
          <w:tcPr>
            <w:tcW w:w="2551" w:type="dxa"/>
          </w:tcPr>
          <w:p w:rsidR="00505632" w:rsidRDefault="00505632" w:rsidP="00AD4E52">
            <w:pPr>
              <w:pStyle w:val="CellColumn"/>
              <w:jc w:val="left"/>
            </w:pPr>
            <w:r>
              <w:rPr>
                <w:rFonts w:cs="Times New Roman"/>
              </w:rPr>
              <w:t>1.2.2. Pokrenuti cjelovitu informatizaciju odgojno obrzovnog proseca i procesa poslovanja škola e-Škole</w:t>
            </w:r>
          </w:p>
        </w:tc>
        <w:tc>
          <w:tcPr>
            <w:tcW w:w="2551" w:type="dxa"/>
          </w:tcPr>
          <w:p w:rsidR="00505632" w:rsidRDefault="00505632" w:rsidP="00AD4E52">
            <w:pPr>
              <w:pStyle w:val="CellColumn"/>
              <w:jc w:val="left"/>
            </w:pPr>
            <w:r>
              <w:rPr>
                <w:rFonts w:cs="Times New Roman"/>
              </w:rPr>
              <w:t>Razvijena banka zadataka za ispite državne mature</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5</w:t>
            </w:r>
          </w:p>
        </w:tc>
        <w:tc>
          <w:tcPr>
            <w:tcW w:w="918"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20</w:t>
            </w:r>
          </w:p>
        </w:tc>
      </w:tr>
      <w:tr w:rsidR="00505632" w:rsidTr="00AD4E52">
        <w:trPr>
          <w:jc w:val="center"/>
        </w:trPr>
        <w:tc>
          <w:tcPr>
            <w:tcW w:w="2551" w:type="dxa"/>
          </w:tcPr>
          <w:p w:rsidR="00505632" w:rsidRDefault="00505632" w:rsidP="00AD4E52">
            <w:pPr>
              <w:pStyle w:val="CellColumn"/>
              <w:jc w:val="left"/>
            </w:pPr>
            <w:r>
              <w:rPr>
                <w:rFonts w:cs="Times New Roman"/>
              </w:rPr>
              <w:t>1.2.7. Unaprijediti sustav vanjskog vrjednovanja i samovrednovanja na razini predtercijalnog obrazovanja</w:t>
            </w:r>
          </w:p>
        </w:tc>
        <w:tc>
          <w:tcPr>
            <w:tcW w:w="2551" w:type="dxa"/>
          </w:tcPr>
          <w:p w:rsidR="00505632" w:rsidRDefault="00505632" w:rsidP="00AD4E52">
            <w:pPr>
              <w:pStyle w:val="CellColumn"/>
              <w:jc w:val="left"/>
            </w:pPr>
            <w:r>
              <w:rPr>
                <w:rFonts w:cs="Times New Roman"/>
              </w:rPr>
              <w:t>Preporuke i smjernice za planiranje unaprjeđenja i razvoja kvalitete na svim razinama sustava odgoja i obrazovanja na temelju rezultata hrvatskih učenika i ostalih pokazatelja međunarodnih istraživanja (PISA, TALIS, ICILS, TIMMS, PIRLS)</w:t>
            </w:r>
          </w:p>
        </w:tc>
        <w:tc>
          <w:tcPr>
            <w:tcW w:w="1020" w:type="dxa"/>
          </w:tcPr>
          <w:p w:rsidR="00505632" w:rsidRDefault="00505632" w:rsidP="00AD4E52">
            <w:pPr>
              <w:pStyle w:val="CellColumn"/>
              <w:jc w:val="right"/>
            </w:pPr>
            <w:r>
              <w:rPr>
                <w:rFonts w:cs="Times New Roman"/>
              </w:rPr>
              <w:t>Broj područja</w:t>
            </w:r>
          </w:p>
        </w:tc>
        <w:tc>
          <w:tcPr>
            <w:tcW w:w="1020" w:type="dxa"/>
          </w:tcPr>
          <w:p w:rsidR="00505632" w:rsidRDefault="00505632" w:rsidP="00AD4E52">
            <w:pPr>
              <w:pStyle w:val="CellColumn"/>
              <w:jc w:val="right"/>
            </w:pPr>
            <w:r>
              <w:rPr>
                <w:rFonts w:cs="Times New Roman"/>
              </w:rPr>
              <w:t>0</w:t>
            </w:r>
          </w:p>
        </w:tc>
        <w:tc>
          <w:tcPr>
            <w:tcW w:w="918"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3</w:t>
            </w:r>
          </w:p>
        </w:tc>
      </w:tr>
      <w:tr w:rsidR="00505632" w:rsidTr="00AD4E52">
        <w:trPr>
          <w:jc w:val="center"/>
        </w:trPr>
        <w:tc>
          <w:tcPr>
            <w:tcW w:w="2551" w:type="dxa"/>
          </w:tcPr>
          <w:p w:rsidR="00505632" w:rsidRDefault="00505632" w:rsidP="00AD4E52">
            <w:pPr>
              <w:pStyle w:val="CellColumn"/>
              <w:jc w:val="left"/>
            </w:pPr>
            <w:r>
              <w:rPr>
                <w:rFonts w:cs="Times New Roman"/>
              </w:rPr>
              <w:t>1.2.7. Unaprijediti sustav vanjskog vrjednovanja i samovrednovanja na razini predtercijalnog obrazovanja</w:t>
            </w:r>
          </w:p>
        </w:tc>
        <w:tc>
          <w:tcPr>
            <w:tcW w:w="2551" w:type="dxa"/>
          </w:tcPr>
          <w:p w:rsidR="00505632" w:rsidRDefault="00505632" w:rsidP="00AD4E52">
            <w:pPr>
              <w:pStyle w:val="CellColumn"/>
              <w:jc w:val="left"/>
            </w:pPr>
            <w:r>
              <w:rPr>
                <w:rFonts w:cs="Times New Roman"/>
              </w:rPr>
              <w:t>Promijena modela državne mature na temelju rekonceptualizacije</w:t>
            </w:r>
          </w:p>
        </w:tc>
        <w:tc>
          <w:tcPr>
            <w:tcW w:w="1020" w:type="dxa"/>
          </w:tcPr>
          <w:p w:rsidR="00505632" w:rsidRDefault="00505632" w:rsidP="00AD4E52">
            <w:pPr>
              <w:pStyle w:val="CellColumn"/>
              <w:jc w:val="right"/>
            </w:pPr>
            <w:r>
              <w:rPr>
                <w:rFonts w:cs="Times New Roman"/>
              </w:rPr>
              <w:t>Broj predmeta</w:t>
            </w:r>
          </w:p>
        </w:tc>
        <w:tc>
          <w:tcPr>
            <w:tcW w:w="1020" w:type="dxa"/>
          </w:tcPr>
          <w:p w:rsidR="00505632" w:rsidRDefault="00505632" w:rsidP="00AD4E52">
            <w:pPr>
              <w:pStyle w:val="CellColumn"/>
              <w:jc w:val="right"/>
            </w:pPr>
            <w:r>
              <w:rPr>
                <w:rFonts w:cs="Times New Roman"/>
              </w:rPr>
              <w:t>2</w:t>
            </w:r>
          </w:p>
        </w:tc>
        <w:tc>
          <w:tcPr>
            <w:tcW w:w="918"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10</w:t>
            </w:r>
          </w:p>
        </w:tc>
      </w:tr>
    </w:tbl>
    <w:p w:rsidR="00505632" w:rsidRDefault="00505632" w:rsidP="00505632">
      <w:pPr>
        <w:jc w:val="left"/>
      </w:pPr>
    </w:p>
    <w:p w:rsidR="00505632" w:rsidRDefault="00505632" w:rsidP="00505632">
      <w:pPr>
        <w:pStyle w:val="Heading4"/>
      </w:pPr>
      <w:r>
        <w:t>A580046 ADMINISTRACIJA I UPRAVLJANJE NACIONALNOG CENTRA ZA VANJSKO VREDNOVANJE OBRAZOVANJA</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A580046-ADMINISTRACIJA I UPRAVLJANJE NACIONALNOG CENTRA ZA VANJSKO VREDNOVANJE OBRAZOVANJA</w:t>
            </w:r>
          </w:p>
        </w:tc>
        <w:tc>
          <w:tcPr>
            <w:tcW w:w="2041" w:type="dxa"/>
          </w:tcPr>
          <w:p w:rsidR="00505632" w:rsidRDefault="00505632" w:rsidP="00AD4E52">
            <w:pPr>
              <w:pStyle w:val="CellColumn"/>
              <w:jc w:val="right"/>
            </w:pPr>
            <w:r>
              <w:rPr>
                <w:rFonts w:cs="Times New Roman"/>
              </w:rPr>
              <w:t>11.437.394</w:t>
            </w:r>
          </w:p>
        </w:tc>
        <w:tc>
          <w:tcPr>
            <w:tcW w:w="2041" w:type="dxa"/>
          </w:tcPr>
          <w:p w:rsidR="00505632" w:rsidRDefault="00505632" w:rsidP="00AD4E52">
            <w:pPr>
              <w:pStyle w:val="CellColumn"/>
              <w:jc w:val="right"/>
            </w:pPr>
            <w:r>
              <w:rPr>
                <w:rFonts w:cs="Times New Roman"/>
              </w:rPr>
              <w:t>12.905.270</w:t>
            </w:r>
          </w:p>
        </w:tc>
        <w:tc>
          <w:tcPr>
            <w:tcW w:w="2041" w:type="dxa"/>
          </w:tcPr>
          <w:p w:rsidR="00505632" w:rsidRDefault="00505632" w:rsidP="00AD4E52">
            <w:pPr>
              <w:pStyle w:val="CellColumn"/>
              <w:jc w:val="right"/>
            </w:pPr>
            <w:r>
              <w:rPr>
                <w:rFonts w:cs="Times New Roman"/>
              </w:rPr>
              <w:t>12.454.866</w:t>
            </w:r>
          </w:p>
        </w:tc>
        <w:tc>
          <w:tcPr>
            <w:tcW w:w="1224" w:type="dxa"/>
          </w:tcPr>
          <w:p w:rsidR="00505632" w:rsidRDefault="00505632" w:rsidP="00AD4E52">
            <w:pPr>
              <w:pStyle w:val="CellColumn"/>
              <w:jc w:val="right"/>
            </w:pPr>
            <w:r>
              <w:rPr>
                <w:rFonts w:cs="Times New Roman"/>
              </w:rPr>
              <w:t>96,5</w:t>
            </w:r>
          </w:p>
        </w:tc>
        <w:tc>
          <w:tcPr>
            <w:tcW w:w="1224" w:type="dxa"/>
          </w:tcPr>
          <w:p w:rsidR="00505632" w:rsidRDefault="00505632" w:rsidP="00AD4E52">
            <w:pPr>
              <w:pStyle w:val="CellColumn"/>
              <w:jc w:val="right"/>
            </w:pPr>
            <w:r>
              <w:rPr>
                <w:rFonts w:cs="Times New Roman"/>
              </w:rPr>
              <w:t>108,9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Nacionalnom centru za vanjsko vrednovanje obrazovanja, Narodne novine 151/04</w:t>
      </w:r>
    </w:p>
    <w:p w:rsidR="00505632" w:rsidRDefault="00505632" w:rsidP="00505632">
      <w:pPr>
        <w:pStyle w:val="Heading8"/>
        <w:jc w:val="left"/>
      </w:pPr>
      <w:r>
        <w:t>Opis aktivnosti</w:t>
      </w:r>
    </w:p>
    <w:p w:rsidR="00505632" w:rsidRDefault="00505632" w:rsidP="00505632">
      <w:r>
        <w:t xml:space="preserve">U okviru aktivnosti osiguravaju se sredstva za: rashode za zaposlene (bruto plaće s  </w:t>
      </w:r>
    </w:p>
    <w:p w:rsidR="00505632" w:rsidRDefault="00505632" w:rsidP="00505632">
      <w:r>
        <w:t xml:space="preserve">doprinosima poslodavca); ostale rashode za zaposlene (jubilarne nagrade,  </w:t>
      </w:r>
    </w:p>
    <w:p w:rsidR="00505632" w:rsidRDefault="00505632" w:rsidP="00505632">
      <w:r>
        <w:t xml:space="preserve">otpremnine, pomoći i slično); materijalne rashode (naknade troškova zaposlenima,  </w:t>
      </w:r>
    </w:p>
    <w:p w:rsidR="00505632" w:rsidRDefault="00505632" w:rsidP="00505632">
      <w:r>
        <w:t xml:space="preserve">rashode za materijal i energiju, rashode za usluge i ostale rashode poslovanja) te  </w:t>
      </w:r>
    </w:p>
    <w:p w:rsidR="00505632" w:rsidRDefault="00505632" w:rsidP="00505632">
      <w:r>
        <w:t>financijske rashode.</w:t>
      </w:r>
    </w:p>
    <w:p w:rsidR="00505632" w:rsidRDefault="00505632" w:rsidP="00505632">
      <w:pPr>
        <w:pStyle w:val="Heading4"/>
      </w:pPr>
      <w:r>
        <w:t>A814000 MEĐUNARODNI PROJEKTI VREDNOVANJA ZNANJA I VJEŠTINA (IEA:PIRLS,TIMSS,ICILS-OECD:PISA,TALIS-EU:SURVEYLANG)</w:t>
      </w:r>
    </w:p>
    <w:tbl>
      <w:tblPr>
        <w:tblStyle w:val="StilTablice"/>
        <w:tblW w:w="10206" w:type="dxa"/>
        <w:jc w:val="center"/>
        <w:tblLook w:val="04A0" w:firstRow="1" w:lastRow="0" w:firstColumn="1" w:lastColumn="0" w:noHBand="0" w:noVBand="1"/>
      </w:tblPr>
      <w:tblGrid>
        <w:gridCol w:w="2370"/>
        <w:gridCol w:w="1822"/>
        <w:gridCol w:w="1823"/>
        <w:gridCol w:w="1823"/>
        <w:gridCol w:w="1174"/>
        <w:gridCol w:w="119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A814000-MEĐUNARODNI PROJEKTI VREDNOVANJA ZNANJA I VJEŠTINA (IEA:PIRLS,TIMSS,ICILS-OECD:PISA,TALIS-EU:SURVEYLANG)</w:t>
            </w:r>
          </w:p>
        </w:tc>
        <w:tc>
          <w:tcPr>
            <w:tcW w:w="2041" w:type="dxa"/>
          </w:tcPr>
          <w:p w:rsidR="00505632" w:rsidRDefault="00505632" w:rsidP="00AD4E52">
            <w:pPr>
              <w:pStyle w:val="CellColumn"/>
              <w:jc w:val="right"/>
            </w:pPr>
            <w:r>
              <w:rPr>
                <w:rFonts w:cs="Times New Roman"/>
              </w:rPr>
              <w:t>1.849.176</w:t>
            </w:r>
          </w:p>
        </w:tc>
        <w:tc>
          <w:tcPr>
            <w:tcW w:w="2041" w:type="dxa"/>
          </w:tcPr>
          <w:p w:rsidR="00505632" w:rsidRDefault="00505632" w:rsidP="00AD4E52">
            <w:pPr>
              <w:pStyle w:val="CellColumn"/>
              <w:jc w:val="right"/>
            </w:pPr>
            <w:r>
              <w:rPr>
                <w:rFonts w:cs="Times New Roman"/>
              </w:rPr>
              <w:t>2.273.311</w:t>
            </w:r>
          </w:p>
        </w:tc>
        <w:tc>
          <w:tcPr>
            <w:tcW w:w="2041" w:type="dxa"/>
          </w:tcPr>
          <w:p w:rsidR="00505632" w:rsidRDefault="00505632" w:rsidP="00AD4E52">
            <w:pPr>
              <w:pStyle w:val="CellColumn"/>
              <w:jc w:val="right"/>
            </w:pPr>
            <w:r>
              <w:rPr>
                <w:rFonts w:cs="Times New Roman"/>
              </w:rPr>
              <w:t>2.190.452</w:t>
            </w:r>
          </w:p>
        </w:tc>
        <w:tc>
          <w:tcPr>
            <w:tcW w:w="1224" w:type="dxa"/>
          </w:tcPr>
          <w:p w:rsidR="00505632" w:rsidRDefault="00505632" w:rsidP="00AD4E52">
            <w:pPr>
              <w:pStyle w:val="CellColumn"/>
              <w:jc w:val="right"/>
            </w:pPr>
            <w:r>
              <w:rPr>
                <w:rFonts w:cs="Times New Roman"/>
              </w:rPr>
              <w:t>96,4</w:t>
            </w:r>
          </w:p>
        </w:tc>
        <w:tc>
          <w:tcPr>
            <w:tcW w:w="1224" w:type="dxa"/>
          </w:tcPr>
          <w:p w:rsidR="00505632" w:rsidRDefault="00505632" w:rsidP="00AD4E52">
            <w:pPr>
              <w:pStyle w:val="CellColumn"/>
              <w:jc w:val="right"/>
            </w:pPr>
            <w:r>
              <w:rPr>
                <w:rFonts w:cs="Times New Roman"/>
              </w:rPr>
              <w:t>118,5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Nacionalnom centru za vanjsko vrednovanje obrazovanja, Narodne novine 151/04, članak 4</w:t>
      </w:r>
    </w:p>
    <w:p w:rsidR="00505632" w:rsidRDefault="00505632" w:rsidP="00505632">
      <w:pPr>
        <w:pStyle w:val="Heading8"/>
        <w:jc w:val="left"/>
      </w:pPr>
      <w:r>
        <w:t>Opis aktivnosti</w:t>
      </w:r>
    </w:p>
    <w:p w:rsidR="00505632" w:rsidRDefault="00505632" w:rsidP="00505632">
      <w:r>
        <w:t>OECD/PISA 2015 - Programme for International Student Assessment - Međunarodna procjena znanja i vještina učenika</w:t>
      </w:r>
      <w:r>
        <w:tab/>
        <w:t xml:space="preserve"> </w:t>
      </w:r>
    </w:p>
    <w:p w:rsidR="00505632" w:rsidRDefault="00505632" w:rsidP="00505632">
      <w:r>
        <w:t xml:space="preserve"> Tijekom 2016. Godine završen je ciklus OECD/PISA 2015 istraživanje kojemu je cilj bio dobivanje međunarodno komparabilnih podataka o stupnju razvijenosti učeničkih kompetencija  u ispitnim domenama  prirodoslovne, čitalačke i matematičke pismenosti te sposobnosti suradničkog rješavanja problema mjerenih računalnim testiranjem učenika, dobivanje  podataka o kontekstualnim čimbenicima koji utječu na obrazovne ishode temeljem anketiranja učenika, roditelja i ravnatelja te praćenje trendova koji pokazuju promjene u razinama i distribucijama učeničkih postignuća tijekom vremena.  </w:t>
      </w:r>
    </w:p>
    <w:p w:rsidR="00505632" w:rsidRDefault="00505632" w:rsidP="00505632">
      <w:r>
        <w:t xml:space="preserve">OECD/PISA 2018 - Programme for International Student Assessment - Međunarodna procjena znanja i vještina učenika  </w:t>
      </w:r>
    </w:p>
    <w:p w:rsidR="00505632" w:rsidRDefault="00505632" w:rsidP="00505632">
      <w:r>
        <w:t xml:space="preserve">U 2016. godini nastavljena je priprema za provedbu probnog istraživanja ciklusa OECD/PISA 2018 koje se održava 2017. godine, a koja je uključivala prijevod i verifikaciju svih ispitnih instrumenata te uzrokovanje ispitanika. </w:t>
      </w:r>
    </w:p>
    <w:p w:rsidR="00505632" w:rsidRDefault="00505632" w:rsidP="00505632">
      <w:r>
        <w:t xml:space="preserve">OECD/TALIS2018 – Teaching and Learning International Survey –  Međunarodno istraživanje učenja i poučavanja </w:t>
      </w:r>
    </w:p>
    <w:p w:rsidR="00505632" w:rsidRDefault="00505632" w:rsidP="00505632">
      <w:r>
        <w:t xml:space="preserve">Tijekom 2016. godine realizirana je priprema za provedbu probnog istraživanja u 2017. godini, odnosno nacionalna adaptacija, prijevod i verifikacija svih instrumenta i izrađen uzorak ispitanika za probno istraživanje, kao i uzorak škola odabranih za sudjelovanje u glavnom istraživanju 2018. Godine.  </w:t>
      </w:r>
    </w:p>
    <w:p w:rsidR="00505632" w:rsidRDefault="00505632" w:rsidP="00505632">
      <w:r>
        <w:t xml:space="preserve">ICCS2016 – International Civic and Citizenship Education Study – U 2016. godini provedeno je glavno istraživanje ICCS2016 u 178 osnovnih škola s područja cijele Hrvatske u razdoblju od 18. do 29. travnja 2016. godine. Sve škole uključene u glavno ispitivanje su javne škole, a odabrani uzorak činili su učenici osmih razreda iz ukupno 229 razrednih odjela. Pripremljeno je 8 inačica ispitnih knjižica za učenike, upitnik za učenike, dodatni europski upitnik za učenike, te on-line upitnici za učitelje i ravnatelje (o školi). Ukupno je ispitano gotovo 4000 učenika osmih razreda, 3000 učitelja koji izvode nastavu u osmim razredima i 175 ravnatelja </w:t>
      </w:r>
    </w:p>
    <w:p w:rsidR="00505632" w:rsidRDefault="00505632" w:rsidP="00505632">
      <w:r>
        <w:t>TIMSS 2017- Trends in International Mathematics and Science Study – U 2016. godini obrađeni su rezultati nacionalnih postignuća učenika 4. razreda osnovnih škola. Rezultati su objavljeni na tiskovnoj konferenciji 29.11.2016. i na mrežnim stranicama NCVVO: https://www.ncvvo.hr/medunarodna-istrazivanja/timss/</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358"/>
        <w:gridCol w:w="2372"/>
        <w:gridCol w:w="1314"/>
        <w:gridCol w:w="1004"/>
        <w:gridCol w:w="1148"/>
        <w:gridCol w:w="1004"/>
        <w:gridCol w:w="1006"/>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OECD/PISA 2015</w:t>
            </w:r>
          </w:p>
        </w:tc>
        <w:tc>
          <w:tcPr>
            <w:tcW w:w="2551" w:type="dxa"/>
          </w:tcPr>
          <w:p w:rsidR="00505632" w:rsidRDefault="00505632" w:rsidP="00AD4E52">
            <w:pPr>
              <w:pStyle w:val="CellColumn"/>
              <w:jc w:val="left"/>
            </w:pPr>
            <w:r>
              <w:rPr>
                <w:rFonts w:cs="Times New Roman"/>
              </w:rPr>
              <w:t>Analiza rezultata provedenog istraživanja u 2015.</w:t>
            </w:r>
          </w:p>
        </w:tc>
        <w:tc>
          <w:tcPr>
            <w:tcW w:w="1020" w:type="dxa"/>
          </w:tcPr>
          <w:p w:rsidR="00505632" w:rsidRDefault="00505632" w:rsidP="00AD4E52">
            <w:pPr>
              <w:pStyle w:val="CellColumn"/>
              <w:jc w:val="right"/>
            </w:pPr>
            <w:r>
              <w:rPr>
                <w:rFonts w:cs="Times New Roman"/>
              </w:rPr>
              <w:t xml:space="preserve">OECD-evoih izvještaja </w:t>
            </w:r>
          </w:p>
          <w:p w:rsidR="00505632" w:rsidRDefault="00505632" w:rsidP="00AD4E52">
            <w:pPr>
              <w:pStyle w:val="CellColumn"/>
              <w:jc w:val="right"/>
            </w:pPr>
            <w:r>
              <w:rPr>
                <w:rFonts w:cs="Times New Roman"/>
              </w:rPr>
              <w:t xml:space="preserve">Vol 1 </w:t>
            </w:r>
          </w:p>
          <w:p w:rsidR="00505632" w:rsidRDefault="00505632" w:rsidP="00AD4E52">
            <w:pPr>
              <w:pStyle w:val="CellColumn"/>
              <w:jc w:val="right"/>
            </w:pPr>
            <w:r>
              <w:rPr>
                <w:rFonts w:cs="Times New Roman"/>
              </w:rPr>
              <w:t>Vol 2</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NCVVO, Nacionalni OECD/PISA koordinator</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OECD/PISA 2018</w:t>
            </w:r>
          </w:p>
        </w:tc>
        <w:tc>
          <w:tcPr>
            <w:tcW w:w="2551" w:type="dxa"/>
          </w:tcPr>
          <w:p w:rsidR="00505632" w:rsidRDefault="00505632" w:rsidP="00AD4E52">
            <w:pPr>
              <w:pStyle w:val="CellColumn"/>
              <w:jc w:val="left"/>
            </w:pPr>
            <w:r>
              <w:rPr>
                <w:rFonts w:cs="Times New Roman"/>
              </w:rPr>
              <w:t>Aktivnosti provedbe sukladno međunarodnom istraživanju</w:t>
            </w:r>
          </w:p>
        </w:tc>
        <w:tc>
          <w:tcPr>
            <w:tcW w:w="1020" w:type="dxa"/>
          </w:tcPr>
          <w:p w:rsidR="00505632" w:rsidRDefault="00505632" w:rsidP="00AD4E52">
            <w:pPr>
              <w:pStyle w:val="CellColumn"/>
              <w:jc w:val="right"/>
            </w:pPr>
            <w:r>
              <w:rPr>
                <w:rFonts w:cs="Times New Roman"/>
              </w:rPr>
              <w:t>Postotak realiziranih aktivnosti</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NCVVO, Nacionalni OECD/PISA koordinator</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OECD/TALIS 2018</w:t>
            </w:r>
          </w:p>
        </w:tc>
        <w:tc>
          <w:tcPr>
            <w:tcW w:w="2551" w:type="dxa"/>
          </w:tcPr>
          <w:p w:rsidR="00505632" w:rsidRDefault="00505632" w:rsidP="00AD4E52">
            <w:pPr>
              <w:pStyle w:val="CellColumn"/>
              <w:jc w:val="left"/>
            </w:pPr>
            <w:r>
              <w:rPr>
                <w:rFonts w:cs="Times New Roman"/>
              </w:rPr>
              <w:t>Aktivnosti provedbe sukladno međunarodnom istraživanju</w:t>
            </w:r>
          </w:p>
        </w:tc>
        <w:tc>
          <w:tcPr>
            <w:tcW w:w="1020" w:type="dxa"/>
          </w:tcPr>
          <w:p w:rsidR="00505632" w:rsidRDefault="00505632" w:rsidP="00AD4E52">
            <w:pPr>
              <w:pStyle w:val="CellColumn"/>
              <w:jc w:val="right"/>
            </w:pPr>
            <w:r>
              <w:rPr>
                <w:rFonts w:cs="Times New Roman"/>
              </w:rPr>
              <w:t>Postotak realiziranih aktivnosti</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NCVVO, Nacionalni TALIS koordinator</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ICCS2016</w:t>
            </w:r>
          </w:p>
        </w:tc>
        <w:tc>
          <w:tcPr>
            <w:tcW w:w="2551" w:type="dxa"/>
          </w:tcPr>
          <w:p w:rsidR="00505632" w:rsidRDefault="00505632" w:rsidP="00AD4E52">
            <w:pPr>
              <w:pStyle w:val="CellColumn"/>
              <w:jc w:val="left"/>
            </w:pPr>
            <w:r>
              <w:rPr>
                <w:rFonts w:cs="Times New Roman"/>
              </w:rPr>
              <w:t>Međunarodno istraživanje građanskog odgoja i obrazovanja</w:t>
            </w:r>
          </w:p>
        </w:tc>
        <w:tc>
          <w:tcPr>
            <w:tcW w:w="1020" w:type="dxa"/>
          </w:tcPr>
          <w:p w:rsidR="00505632" w:rsidRDefault="00505632" w:rsidP="00AD4E52">
            <w:pPr>
              <w:pStyle w:val="CellColumn"/>
              <w:jc w:val="right"/>
            </w:pPr>
            <w:r>
              <w:rPr>
                <w:rFonts w:cs="Times New Roman"/>
              </w:rPr>
              <w:t>Broj škola u glavnom istraživanju</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NCVVO, Nacionalni ICCS koordinator</w:t>
            </w:r>
          </w:p>
        </w:tc>
        <w:tc>
          <w:tcPr>
            <w:tcW w:w="1020" w:type="dxa"/>
          </w:tcPr>
          <w:p w:rsidR="00505632" w:rsidRDefault="00505632" w:rsidP="00AD4E52">
            <w:pPr>
              <w:pStyle w:val="CellColumn"/>
              <w:jc w:val="right"/>
            </w:pPr>
            <w:r>
              <w:rPr>
                <w:rFonts w:cs="Times New Roman"/>
              </w:rPr>
              <w:t>178</w:t>
            </w:r>
          </w:p>
        </w:tc>
        <w:tc>
          <w:tcPr>
            <w:tcW w:w="1020" w:type="dxa"/>
          </w:tcPr>
          <w:p w:rsidR="00505632" w:rsidRDefault="00505632" w:rsidP="00AD4E52">
            <w:pPr>
              <w:pStyle w:val="CellColumn"/>
              <w:jc w:val="right"/>
            </w:pPr>
            <w:r>
              <w:rPr>
                <w:rFonts w:cs="Times New Roman"/>
              </w:rPr>
              <w:t>178</w:t>
            </w:r>
          </w:p>
        </w:tc>
      </w:tr>
      <w:tr w:rsidR="00505632" w:rsidTr="00AD4E52">
        <w:trPr>
          <w:jc w:val="center"/>
        </w:trPr>
        <w:tc>
          <w:tcPr>
            <w:tcW w:w="2551" w:type="dxa"/>
          </w:tcPr>
          <w:p w:rsidR="00505632" w:rsidRDefault="00505632" w:rsidP="00AD4E52">
            <w:pPr>
              <w:pStyle w:val="CellColumn"/>
              <w:jc w:val="left"/>
            </w:pPr>
            <w:r>
              <w:rPr>
                <w:rFonts w:cs="Times New Roman"/>
              </w:rPr>
              <w:t>TIMSS2017</w:t>
            </w:r>
          </w:p>
        </w:tc>
        <w:tc>
          <w:tcPr>
            <w:tcW w:w="2551" w:type="dxa"/>
          </w:tcPr>
          <w:p w:rsidR="00505632" w:rsidRDefault="00505632" w:rsidP="00AD4E52">
            <w:pPr>
              <w:pStyle w:val="CellColumn"/>
              <w:jc w:val="left"/>
            </w:pPr>
            <w:r>
              <w:rPr>
                <w:rFonts w:cs="Times New Roman"/>
              </w:rPr>
              <w:t>Međunarodno istraživanje trendova u matematici i prirodoslovlju</w:t>
            </w:r>
          </w:p>
        </w:tc>
        <w:tc>
          <w:tcPr>
            <w:tcW w:w="1020" w:type="dxa"/>
          </w:tcPr>
          <w:p w:rsidR="00505632" w:rsidRDefault="00505632" w:rsidP="00AD4E52">
            <w:pPr>
              <w:pStyle w:val="CellColumn"/>
              <w:jc w:val="right"/>
            </w:pPr>
            <w:r>
              <w:rPr>
                <w:rFonts w:cs="Times New Roman"/>
              </w:rPr>
              <w:t>Nacionalni reprezentativni uzorak 4000 učenika 4. razreda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 xml:space="preserve">NCVVO, Nacionalni TIMSS </w:t>
            </w:r>
          </w:p>
          <w:p w:rsidR="00505632" w:rsidRDefault="00505632" w:rsidP="00AD4E52">
            <w:pPr>
              <w:pStyle w:val="CellColumn"/>
              <w:jc w:val="right"/>
            </w:pPr>
            <w:r>
              <w:rPr>
                <w:rFonts w:cs="Times New Roman"/>
              </w:rPr>
              <w:t>koordinator</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4"/>
      </w:pPr>
      <w:r>
        <w:t>A814001 DRŽAVNA MATURA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A814001-DRŽAVNA MATURA</w:t>
            </w:r>
          </w:p>
        </w:tc>
        <w:tc>
          <w:tcPr>
            <w:tcW w:w="2041" w:type="dxa"/>
          </w:tcPr>
          <w:p w:rsidR="00505632" w:rsidRDefault="00505632" w:rsidP="00AD4E52">
            <w:pPr>
              <w:pStyle w:val="CellColumn"/>
              <w:jc w:val="right"/>
            </w:pPr>
            <w:r>
              <w:rPr>
                <w:rFonts w:cs="Times New Roman"/>
              </w:rPr>
              <w:t>18.565.368</w:t>
            </w:r>
          </w:p>
        </w:tc>
        <w:tc>
          <w:tcPr>
            <w:tcW w:w="2041" w:type="dxa"/>
          </w:tcPr>
          <w:p w:rsidR="00505632" w:rsidRDefault="00505632" w:rsidP="00AD4E52">
            <w:pPr>
              <w:pStyle w:val="CellColumn"/>
              <w:jc w:val="right"/>
            </w:pPr>
            <w:r>
              <w:rPr>
                <w:rFonts w:cs="Times New Roman"/>
              </w:rPr>
              <w:t>24.542.152</w:t>
            </w:r>
          </w:p>
        </w:tc>
        <w:tc>
          <w:tcPr>
            <w:tcW w:w="2041" w:type="dxa"/>
          </w:tcPr>
          <w:p w:rsidR="00505632" w:rsidRDefault="00505632" w:rsidP="00AD4E52">
            <w:pPr>
              <w:pStyle w:val="CellColumn"/>
              <w:jc w:val="right"/>
            </w:pPr>
            <w:r>
              <w:rPr>
                <w:rFonts w:cs="Times New Roman"/>
              </w:rPr>
              <w:t>20.237.263</w:t>
            </w:r>
          </w:p>
        </w:tc>
        <w:tc>
          <w:tcPr>
            <w:tcW w:w="1224" w:type="dxa"/>
          </w:tcPr>
          <w:p w:rsidR="00505632" w:rsidRDefault="00505632" w:rsidP="00AD4E52">
            <w:pPr>
              <w:pStyle w:val="CellColumn"/>
              <w:jc w:val="right"/>
            </w:pPr>
            <w:r>
              <w:rPr>
                <w:rFonts w:cs="Times New Roman"/>
              </w:rPr>
              <w:t>82,5</w:t>
            </w:r>
          </w:p>
        </w:tc>
        <w:tc>
          <w:tcPr>
            <w:tcW w:w="1224" w:type="dxa"/>
          </w:tcPr>
          <w:p w:rsidR="00505632" w:rsidRDefault="00505632" w:rsidP="00AD4E52">
            <w:pPr>
              <w:pStyle w:val="CellColumn"/>
              <w:jc w:val="right"/>
            </w:pPr>
            <w:r>
              <w:rPr>
                <w:rFonts w:cs="Times New Roman"/>
              </w:rPr>
              <w:t>109,0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Nacionalnom centru za vanjsko vrednovanje obrazovanja, Narodne novine 151/04 </w:t>
      </w:r>
    </w:p>
    <w:p w:rsidR="00505632" w:rsidRDefault="00505632" w:rsidP="00505632">
      <w:r>
        <w:t xml:space="preserve">Zakon o odgoju i obrazovanju u osnovnim i srednjim školama, Narodne novine 87/08,92/10, 105/10, 90/11, 16/112,86/12, VIII. Vanjsko vrednovanje i samovrednovanje školskih ustanova, članak 88., X. Radnici školskih ustanova, Članak 117. </w:t>
      </w:r>
    </w:p>
    <w:p w:rsidR="00505632" w:rsidRDefault="00505632" w:rsidP="00505632">
      <w:r>
        <w:t xml:space="preserve">Pravilnik o polaganju DM </w:t>
      </w:r>
    </w:p>
    <w:p w:rsidR="00505632" w:rsidRDefault="00505632" w:rsidP="00505632">
      <w:r>
        <w:t>Pravilnik o Središnjem registru DM</w:t>
      </w:r>
    </w:p>
    <w:p w:rsidR="00505632" w:rsidRDefault="00505632" w:rsidP="00505632">
      <w:pPr>
        <w:pStyle w:val="Heading8"/>
        <w:jc w:val="left"/>
      </w:pPr>
      <w:r>
        <w:t>Opis aktivnosti</w:t>
      </w:r>
    </w:p>
    <w:p w:rsidR="00505632" w:rsidRDefault="00505632" w:rsidP="00505632">
      <w:r>
        <w:t>Učenici polaganjem ispita državne mature uspješno završavaju srednjoškolsko obrazovanje. Svim pristupnicima ispita državne mature omogućeno je da se temeljem rezultata ispita rangiraju i upišu na visoka učilišta, a čime se smanjuju osobni troškovi pristupnika, kao i troškovi visokih učilišta za provođenje tog postupka. Osigurava se transparentnost postupka i jednaki uvjeti postupka za sve učenike, a time i usporedivost rezultata svih pristupnika.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 xml:space="preserve">1.2.1. Provoditi vanjsko vrjednovanje i samovrednovanje na razini predtercijarnog obrazovanja  </w:t>
            </w:r>
          </w:p>
          <w:p w:rsidR="00505632" w:rsidRDefault="00505632" w:rsidP="00AD4E52">
            <w:pPr>
              <w:pStyle w:val="CellColumn"/>
              <w:jc w:val="left"/>
            </w:pPr>
            <w:r>
              <w:rPr>
                <w:rFonts w:cs="Times New Roman"/>
              </w:rPr>
              <w:t>Državna matura</w:t>
            </w:r>
          </w:p>
        </w:tc>
        <w:tc>
          <w:tcPr>
            <w:tcW w:w="2551" w:type="dxa"/>
          </w:tcPr>
          <w:p w:rsidR="00505632" w:rsidRDefault="00505632" w:rsidP="00AD4E52">
            <w:pPr>
              <w:pStyle w:val="CellColumn"/>
              <w:jc w:val="left"/>
            </w:pPr>
            <w:r>
              <w:rPr>
                <w:rFonts w:cs="Times New Roman"/>
              </w:rPr>
              <w:t>Omogućeno svim učenicima gimnazijskih programa završnost srednjoškolskog obrazovanja poalganjem državne mature u ljetnom i jesenskom roku, a svim učenicima sa završenim najmanje četverogodišnjim programom omogućeno je pristupanje ispitima državne mature radi rangiranja za upise na visoka učilišta</w:t>
            </w:r>
          </w:p>
        </w:tc>
        <w:tc>
          <w:tcPr>
            <w:tcW w:w="1020" w:type="dxa"/>
          </w:tcPr>
          <w:p w:rsidR="00505632" w:rsidRDefault="00505632" w:rsidP="00AD4E52">
            <w:pPr>
              <w:pStyle w:val="CellColumn"/>
              <w:jc w:val="right"/>
            </w:pPr>
            <w:r>
              <w:rPr>
                <w:rFonts w:cs="Times New Roman"/>
              </w:rPr>
              <w:t>Svi su pristupnici ispitima dobili svoje rezultate</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NISpVU sustav</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4"/>
      </w:pPr>
      <w:r>
        <w:t>A814002 SAMOVREDNOVANJE OSNOVNIH I SREDNJIH ŠKOLA</w:t>
      </w:r>
    </w:p>
    <w:tbl>
      <w:tblPr>
        <w:tblStyle w:val="StilTablice"/>
        <w:tblW w:w="10206" w:type="dxa"/>
        <w:jc w:val="center"/>
        <w:tblLook w:val="04A0" w:firstRow="1" w:lastRow="0" w:firstColumn="1" w:lastColumn="0" w:noHBand="0" w:noVBand="1"/>
      </w:tblPr>
      <w:tblGrid>
        <w:gridCol w:w="2159"/>
        <w:gridCol w:w="1887"/>
        <w:gridCol w:w="1877"/>
        <w:gridCol w:w="1888"/>
        <w:gridCol w:w="1191"/>
        <w:gridCol w:w="120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A814002-SAMOVREDNOVANJE OSNOVNIH I SREDNJIH ŠKOLA</w:t>
            </w:r>
          </w:p>
        </w:tc>
        <w:tc>
          <w:tcPr>
            <w:tcW w:w="2041" w:type="dxa"/>
          </w:tcPr>
          <w:p w:rsidR="00505632" w:rsidRDefault="00505632" w:rsidP="00AD4E52">
            <w:pPr>
              <w:pStyle w:val="CellColumn"/>
              <w:jc w:val="right"/>
            </w:pPr>
            <w:r>
              <w:rPr>
                <w:rFonts w:cs="Times New Roman"/>
              </w:rPr>
              <w:t>353.089</w:t>
            </w:r>
          </w:p>
        </w:tc>
        <w:tc>
          <w:tcPr>
            <w:tcW w:w="2041" w:type="dxa"/>
          </w:tcPr>
          <w:p w:rsidR="00505632" w:rsidRDefault="00505632" w:rsidP="00AD4E52">
            <w:pPr>
              <w:pStyle w:val="CellColumn"/>
              <w:jc w:val="right"/>
            </w:pPr>
            <w:r>
              <w:rPr>
                <w:rFonts w:cs="Times New Roman"/>
              </w:rPr>
              <w:t>394.349</w:t>
            </w:r>
          </w:p>
        </w:tc>
        <w:tc>
          <w:tcPr>
            <w:tcW w:w="2041" w:type="dxa"/>
          </w:tcPr>
          <w:p w:rsidR="00505632" w:rsidRDefault="00505632" w:rsidP="00AD4E52">
            <w:pPr>
              <w:pStyle w:val="CellColumn"/>
              <w:jc w:val="right"/>
            </w:pPr>
            <w:r>
              <w:rPr>
                <w:rFonts w:cs="Times New Roman"/>
              </w:rPr>
              <w:t>317.864</w:t>
            </w:r>
          </w:p>
        </w:tc>
        <w:tc>
          <w:tcPr>
            <w:tcW w:w="1224" w:type="dxa"/>
          </w:tcPr>
          <w:p w:rsidR="00505632" w:rsidRDefault="00505632" w:rsidP="00AD4E52">
            <w:pPr>
              <w:pStyle w:val="CellColumn"/>
              <w:jc w:val="right"/>
            </w:pPr>
            <w:r>
              <w:rPr>
                <w:rFonts w:cs="Times New Roman"/>
              </w:rPr>
              <w:t>80,6</w:t>
            </w:r>
          </w:p>
        </w:tc>
        <w:tc>
          <w:tcPr>
            <w:tcW w:w="1224" w:type="dxa"/>
          </w:tcPr>
          <w:p w:rsidR="00505632" w:rsidRDefault="00505632" w:rsidP="00AD4E52">
            <w:pPr>
              <w:pStyle w:val="CellColumn"/>
              <w:jc w:val="right"/>
            </w:pPr>
            <w:r>
              <w:rPr>
                <w:rFonts w:cs="Times New Roman"/>
              </w:rPr>
              <w:t>90,0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Nacionalnom centru za vanjsko vrednovanje obrazovanja, Narodne novine 151/04 </w:t>
      </w:r>
    </w:p>
    <w:p w:rsidR="00505632" w:rsidRDefault="00505632" w:rsidP="00505632">
      <w:r>
        <w:t xml:space="preserve">Zakon o odgoju i obrazovanju u osnovnim i srednjim školama, Narodne novine 87/08, VIII. Vanjsko vrednovanje i samovrednovanje školskih ustanova, članak 88., X. Radnici školskih ustanova, Članak 117. </w:t>
      </w:r>
    </w:p>
    <w:p w:rsidR="00505632" w:rsidRDefault="00505632" w:rsidP="00505632">
      <w:r>
        <w:t>Zakon o strukovnom obrazovanju, Narodne novine 30/09, III. Sustav osiguravanja kvalitete strukovnog obrazovanja, Članak 11.</w:t>
      </w:r>
    </w:p>
    <w:p w:rsidR="00505632" w:rsidRDefault="00505632" w:rsidP="00505632">
      <w:pPr>
        <w:pStyle w:val="Heading8"/>
        <w:jc w:val="left"/>
      </w:pPr>
      <w:r>
        <w:t>Opis aktivnosti</w:t>
      </w:r>
    </w:p>
    <w:p w:rsidR="00505632" w:rsidRDefault="00505632" w:rsidP="00505632">
      <w:r>
        <w:t xml:space="preserve">Razvoj sustava vanjskog vrednovanja odgojno-obrazovnih ustanova </w:t>
      </w:r>
    </w:p>
    <w:p w:rsidR="00505632" w:rsidRDefault="00505632" w:rsidP="00505632">
      <w:r>
        <w:t xml:space="preserve">U 2016. godini nastavljen je rad na razvoju sustava vanjskog vrednovanja odgojno-obrazovnih ustanova, na izradi modela vanjskog vrednovanja škola. Realizirane aktivnosti su: analiza upitnika provedenoga među ravnateljima osnovnih i srednjih škola o obilježjima kvalitetne škole, komparativne analize modela vrednovanja u probranim susta-vima obrazovanja koji imaju uspješnu tradiciju provedbe samovrednovanja i vanjskoga vrednovanja škola, analize pristupa koji se u Hrvatskoj već upotrebljavaju ili su se upotrebljavali za vrednovanje kvalitete odgojno-obrazovnih ustanova i usklađivanje predloženoga modela vanjskoga vrednovanja odgojno-obrazovnih usta-nova s EFQM modelom. Predloženi model sadrži ključna područja kvalitete i specifične kriterije vrednovanja u svakom području. Model je pozitivno procijenjen od strane iskusnih stručnjaka i raspravljen u nekoliko fokus grupa. </w:t>
      </w:r>
    </w:p>
    <w:p w:rsidR="00505632" w:rsidRDefault="00505632" w:rsidP="00505632">
      <w:r>
        <w:t xml:space="preserve">Samovrednovanje ustanova ranog i predškolskog odgoja i obrazovanja - u 2016. godini nastavljena je analiza podataka prikupljenih tijekom provedbe projekta samovrednovanja ustanova ranog i predškolskog odgoja i obrazovanja. </w:t>
      </w:r>
    </w:p>
    <w:p w:rsidR="00505632" w:rsidRDefault="00505632" w:rsidP="00505632">
      <w:r>
        <w:t xml:space="preserve">Vanjsko vrednovanje provedbe programa građanskoga odgoja i obrazovanja u školskoj godini 2016./2017. -  U 2016. godini nastavljen je rad na projektu vanjskog vrednovanja provedbe programa građanskog odgoja i obrazovanja, komplementaran s provedbom ICCS 2016 međunarodnoga projekta.  </w:t>
      </w:r>
    </w:p>
    <w:p w:rsidR="00505632" w:rsidRDefault="00505632" w:rsidP="00505632">
      <w:r>
        <w:t>Licenciranje ravnatelja odgojno-obrazovnih ustanova u Republici Hrvatskoj – u 2016. nastavljen je rad na izradi prijedloga Standarda zanimanja i Standarda kvalifikacije za upis u Registar Hrvatskoga kvalifikacijskoga okvira te je nastavljen rad na prijedlogu Modela licenciranja.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Razvoj sustava vanjskog vrednovanja odgojno-obrazovnih ustanova</w:t>
            </w:r>
          </w:p>
        </w:tc>
        <w:tc>
          <w:tcPr>
            <w:tcW w:w="2551" w:type="dxa"/>
          </w:tcPr>
          <w:p w:rsidR="00505632" w:rsidRDefault="00505632" w:rsidP="00AD4E52">
            <w:pPr>
              <w:pStyle w:val="CellColumn"/>
              <w:jc w:val="left"/>
            </w:pPr>
            <w:r>
              <w:rPr>
                <w:rFonts w:cs="Times New Roman"/>
              </w:rPr>
              <w:t>Projektna aktivnost</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Samovrednovanje ustanova ranog i predškolskog odgoja i obrazovanja</w:t>
            </w:r>
          </w:p>
        </w:tc>
        <w:tc>
          <w:tcPr>
            <w:tcW w:w="2551" w:type="dxa"/>
          </w:tcPr>
          <w:p w:rsidR="00505632" w:rsidRDefault="00505632" w:rsidP="00AD4E52">
            <w:pPr>
              <w:pStyle w:val="CellColumn"/>
              <w:jc w:val="left"/>
            </w:pPr>
            <w:r>
              <w:rPr>
                <w:rFonts w:cs="Times New Roman"/>
              </w:rPr>
              <w:t>Analiza podataka</w:t>
            </w:r>
          </w:p>
        </w:tc>
        <w:tc>
          <w:tcPr>
            <w:tcW w:w="1020" w:type="dxa"/>
          </w:tcPr>
          <w:p w:rsidR="00505632" w:rsidRDefault="00505632" w:rsidP="00AD4E52">
            <w:pPr>
              <w:pStyle w:val="CellColumn"/>
              <w:jc w:val="right"/>
            </w:pPr>
            <w:r>
              <w:rPr>
                <w:rFonts w:cs="Times New Roman"/>
              </w:rPr>
              <w:t>Broj analiza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Vanjsko vrednovanje provedbe eksperimentalnoga programa građanskog odgoja i obrazovanja</w:t>
            </w:r>
          </w:p>
        </w:tc>
        <w:tc>
          <w:tcPr>
            <w:tcW w:w="2551" w:type="dxa"/>
          </w:tcPr>
          <w:p w:rsidR="00505632" w:rsidRDefault="00505632" w:rsidP="00AD4E52">
            <w:pPr>
              <w:pStyle w:val="CellColumn"/>
              <w:jc w:val="left"/>
            </w:pPr>
            <w:r>
              <w:rPr>
                <w:rFonts w:cs="Times New Roman"/>
              </w:rPr>
              <w:t>Anketiranje škola</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23</w:t>
            </w:r>
          </w:p>
        </w:tc>
        <w:tc>
          <w:tcPr>
            <w:tcW w:w="1020"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23</w:t>
            </w:r>
          </w:p>
        </w:tc>
        <w:tc>
          <w:tcPr>
            <w:tcW w:w="1020" w:type="dxa"/>
          </w:tcPr>
          <w:p w:rsidR="00505632" w:rsidRDefault="00505632" w:rsidP="00AD4E52">
            <w:pPr>
              <w:pStyle w:val="CellColumn"/>
              <w:jc w:val="right"/>
            </w:pPr>
            <w:r>
              <w:rPr>
                <w:rFonts w:cs="Times New Roman"/>
              </w:rPr>
              <w:t>23</w:t>
            </w:r>
          </w:p>
        </w:tc>
      </w:tr>
      <w:tr w:rsidR="00505632" w:rsidTr="00AD4E52">
        <w:trPr>
          <w:jc w:val="center"/>
        </w:trPr>
        <w:tc>
          <w:tcPr>
            <w:tcW w:w="2551" w:type="dxa"/>
          </w:tcPr>
          <w:p w:rsidR="00505632" w:rsidRDefault="00505632" w:rsidP="00AD4E52">
            <w:pPr>
              <w:pStyle w:val="CellColumn"/>
              <w:jc w:val="left"/>
            </w:pPr>
            <w:r>
              <w:rPr>
                <w:rFonts w:cs="Times New Roman"/>
              </w:rPr>
              <w:t>Licenciranje ravnatelja odgojno-obrazovnih ustanova u Republici Hrvatskoj</w:t>
            </w:r>
          </w:p>
        </w:tc>
        <w:tc>
          <w:tcPr>
            <w:tcW w:w="2551" w:type="dxa"/>
          </w:tcPr>
          <w:p w:rsidR="00505632" w:rsidRDefault="00505632" w:rsidP="00AD4E52">
            <w:pPr>
              <w:pStyle w:val="CellColumn"/>
              <w:jc w:val="left"/>
            </w:pPr>
            <w:r>
              <w:rPr>
                <w:rFonts w:cs="Times New Roman"/>
              </w:rPr>
              <w:t>Projektna aktivnost</w:t>
            </w:r>
          </w:p>
        </w:tc>
        <w:tc>
          <w:tcPr>
            <w:tcW w:w="1020" w:type="dxa"/>
          </w:tcPr>
          <w:p w:rsidR="00505632" w:rsidRDefault="00505632" w:rsidP="00AD4E52">
            <w:pPr>
              <w:pStyle w:val="CellColumn"/>
              <w:jc w:val="right"/>
            </w:pPr>
            <w:r>
              <w:rPr>
                <w:rFonts w:cs="Times New Roman"/>
              </w:rPr>
              <w:t>Broj projektnih aktivnosti</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 xml:space="preserve">NCVVO </w:t>
            </w:r>
          </w:p>
          <w:p w:rsidR="00505632" w:rsidRDefault="00505632" w:rsidP="00AD4E52">
            <w:pPr>
              <w:pStyle w:val="CellColumn"/>
              <w:jc w:val="right"/>
            </w:pPr>
            <w:r>
              <w:rPr>
                <w:rFonts w:cs="Times New Roman"/>
              </w:rPr>
              <w:t>ERS-a5</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3</w:t>
            </w:r>
          </w:p>
        </w:tc>
      </w:tr>
    </w:tbl>
    <w:p w:rsidR="00505632" w:rsidRDefault="00505632" w:rsidP="00505632">
      <w:pPr>
        <w:jc w:val="left"/>
      </w:pPr>
    </w:p>
    <w:p w:rsidR="00505632" w:rsidRDefault="00505632" w:rsidP="00505632">
      <w:pPr>
        <w:pStyle w:val="Heading4"/>
      </w:pPr>
      <w:r>
        <w:t>A814003 NACIONALNI ISPITI U OSNOVNIM I SREDNJIM ŠKOLAMA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A814003-NACIONALNI ISPITI U OSNOVNIM I SREDNJIM ŠKOLAMA</w:t>
            </w:r>
          </w:p>
        </w:tc>
        <w:tc>
          <w:tcPr>
            <w:tcW w:w="2041" w:type="dxa"/>
          </w:tcPr>
          <w:p w:rsidR="00505632" w:rsidRDefault="00505632" w:rsidP="00AD4E52">
            <w:pPr>
              <w:pStyle w:val="CellColumn"/>
              <w:jc w:val="right"/>
            </w:pPr>
            <w:r>
              <w:rPr>
                <w:rFonts w:cs="Times New Roman"/>
              </w:rPr>
              <w:t>635.218</w:t>
            </w:r>
          </w:p>
        </w:tc>
        <w:tc>
          <w:tcPr>
            <w:tcW w:w="2041" w:type="dxa"/>
          </w:tcPr>
          <w:p w:rsidR="00505632" w:rsidRDefault="00505632" w:rsidP="00AD4E52">
            <w:pPr>
              <w:pStyle w:val="CellColumn"/>
              <w:jc w:val="right"/>
            </w:pPr>
            <w:r>
              <w:rPr>
                <w:rFonts w:cs="Times New Roman"/>
              </w:rPr>
              <w:t>433.797</w:t>
            </w:r>
          </w:p>
        </w:tc>
        <w:tc>
          <w:tcPr>
            <w:tcW w:w="2041" w:type="dxa"/>
          </w:tcPr>
          <w:p w:rsidR="00505632" w:rsidRDefault="00505632" w:rsidP="00AD4E52">
            <w:pPr>
              <w:pStyle w:val="CellColumn"/>
              <w:jc w:val="right"/>
            </w:pPr>
            <w:r>
              <w:rPr>
                <w:rFonts w:cs="Times New Roman"/>
              </w:rPr>
              <w:t>242.134</w:t>
            </w:r>
          </w:p>
        </w:tc>
        <w:tc>
          <w:tcPr>
            <w:tcW w:w="1224" w:type="dxa"/>
          </w:tcPr>
          <w:p w:rsidR="00505632" w:rsidRDefault="00505632" w:rsidP="00AD4E52">
            <w:pPr>
              <w:pStyle w:val="CellColumn"/>
              <w:jc w:val="right"/>
            </w:pPr>
            <w:r>
              <w:rPr>
                <w:rFonts w:cs="Times New Roman"/>
              </w:rPr>
              <w:t>55,8</w:t>
            </w:r>
          </w:p>
        </w:tc>
        <w:tc>
          <w:tcPr>
            <w:tcW w:w="1224" w:type="dxa"/>
          </w:tcPr>
          <w:p w:rsidR="00505632" w:rsidRDefault="00505632" w:rsidP="00AD4E52">
            <w:pPr>
              <w:pStyle w:val="CellColumn"/>
              <w:jc w:val="right"/>
            </w:pPr>
            <w:r>
              <w:rPr>
                <w:rFonts w:cs="Times New Roman"/>
              </w:rPr>
              <w:t>38,1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Nacionalnom centru za vanjsko vrednovanje obrazovanja, Narodne novine 151/04 </w:t>
      </w:r>
    </w:p>
    <w:p w:rsidR="00505632" w:rsidRDefault="00505632" w:rsidP="00505632">
      <w:r>
        <w:t xml:space="preserve">Zakon o odgoju i obrazovanju u osnovnim i srednjim školama, Narodne novine 87/08, VIII. Vanjsko vrednovanje i samovrednovanje školskih ustanova, članak 88., X. Radnici školskih ustanova, Članak 117. </w:t>
      </w:r>
    </w:p>
    <w:p w:rsidR="00505632" w:rsidRDefault="00505632" w:rsidP="00505632">
      <w:r>
        <w:t>Zakon o strukovnom obrazovanju, Narodne novine 30/09, III. Sustav osiguravanja kvalitete strukovnog obrazovanja, Članak 11.</w:t>
      </w:r>
    </w:p>
    <w:p w:rsidR="00505632" w:rsidRDefault="00505632" w:rsidP="00505632">
      <w:pPr>
        <w:pStyle w:val="Heading8"/>
        <w:jc w:val="left"/>
      </w:pPr>
      <w:r>
        <w:t>Opis aktivnosti</w:t>
      </w:r>
    </w:p>
    <w:p w:rsidR="00505632" w:rsidRDefault="00505632" w:rsidP="00505632">
      <w:r>
        <w:t xml:space="preserve">Hrvatski kao ini u osnovnim školama – u 2016. godini nastavljen Hrvatski kao ini u osnovnim školama – u 2016. godini nastavljena je primjena ispita za učenike koji ne znaju ili nedovoljno znaju hrvatski jezik pri upisu u 1. razred prema zahtjevima pojedine škole. U zadnjem kvartalu 2016. godine započeto je s izradom nove ispitne specifikacije za hrvatski kao ini jezik za učenike čitače i za učenike nečitae.   </w:t>
      </w:r>
    </w:p>
    <w:p w:rsidR="00505632" w:rsidRDefault="00505632" w:rsidP="00505632">
      <w:r>
        <w:t>Psihometrijske analize i prikaz rezultata nacionalnih ispita iz Matematike provedenih u sklopu projekta Nacionalni ispiti u osnovnim školama – Matematika – u 2016. godini napravljene su detaljne psihometrijske analize ispita iz Matematike provedenih između 2011. i 2014. godine te analize popratnih upitnika za učenike i roditelje primijenjenih u sklopu navedenih ispitivanja. Također je napisano izvješće o rezultatima provedenih analiza te povezanosti postignuća učenika s različitim pozadinskim čimbenicima (socioekonomskim, školskim itd.). Projekt će završiti 2017. godine objavom i predstavljanjem izvješća.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Hrvatski kao ini u osnovnim školama</w:t>
            </w:r>
          </w:p>
        </w:tc>
        <w:tc>
          <w:tcPr>
            <w:tcW w:w="2551" w:type="dxa"/>
          </w:tcPr>
          <w:p w:rsidR="00505632" w:rsidRDefault="00505632" w:rsidP="00AD4E52">
            <w:pPr>
              <w:pStyle w:val="CellColumn"/>
              <w:jc w:val="left"/>
            </w:pPr>
            <w:r>
              <w:rPr>
                <w:rFonts w:cs="Times New Roman"/>
              </w:rPr>
              <w:t>Projektna aktivnost</w:t>
            </w:r>
          </w:p>
        </w:tc>
        <w:tc>
          <w:tcPr>
            <w:tcW w:w="1020" w:type="dxa"/>
          </w:tcPr>
          <w:p w:rsidR="00505632" w:rsidRDefault="00505632" w:rsidP="00AD4E52">
            <w:pPr>
              <w:pStyle w:val="CellColumn"/>
              <w:jc w:val="right"/>
            </w:pPr>
            <w:r>
              <w:rPr>
                <w:rFonts w:cs="Times New Roman"/>
              </w:rPr>
              <w:t>Broj provedenih ispitivanja u prvim razredima</w:t>
            </w:r>
          </w:p>
        </w:tc>
        <w:tc>
          <w:tcPr>
            <w:tcW w:w="1020" w:type="dxa"/>
          </w:tcPr>
          <w:p w:rsidR="00505632" w:rsidRDefault="00505632" w:rsidP="00AD4E52">
            <w:pPr>
              <w:pStyle w:val="CellColumn"/>
              <w:jc w:val="right"/>
            </w:pPr>
            <w:r>
              <w:rPr>
                <w:rFonts w:cs="Times New Roman"/>
              </w:rPr>
              <w:t>220</w:t>
            </w:r>
          </w:p>
        </w:tc>
        <w:tc>
          <w:tcPr>
            <w:tcW w:w="1020"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220</w:t>
            </w:r>
          </w:p>
        </w:tc>
      </w:tr>
      <w:tr w:rsidR="00505632" w:rsidTr="00AD4E52">
        <w:trPr>
          <w:jc w:val="center"/>
        </w:trPr>
        <w:tc>
          <w:tcPr>
            <w:tcW w:w="2551" w:type="dxa"/>
          </w:tcPr>
          <w:p w:rsidR="00505632" w:rsidRDefault="00505632" w:rsidP="00AD4E52">
            <w:pPr>
              <w:pStyle w:val="CellColumn"/>
              <w:jc w:val="left"/>
            </w:pPr>
            <w:r>
              <w:rPr>
                <w:rFonts w:cs="Times New Roman"/>
              </w:rPr>
              <w:t>Psihometrijske analize i Psihometrijske analize i prikaz rezultata nacionalnih ispita iz Matematike provedenih u sklopu projekta Nacionalni ispiti u osnovnim školama – Matematika</w:t>
            </w:r>
          </w:p>
        </w:tc>
        <w:tc>
          <w:tcPr>
            <w:tcW w:w="2551" w:type="dxa"/>
          </w:tcPr>
          <w:p w:rsidR="00505632" w:rsidRDefault="00505632" w:rsidP="00AD4E52">
            <w:pPr>
              <w:pStyle w:val="CellColumn"/>
              <w:jc w:val="left"/>
            </w:pPr>
            <w:r>
              <w:rPr>
                <w:rFonts w:cs="Times New Roman"/>
              </w:rPr>
              <w:t xml:space="preserve">Analiza ispita ipopratnih upitnika </w:t>
            </w:r>
          </w:p>
          <w:p w:rsidR="00505632" w:rsidRDefault="00505632" w:rsidP="00AD4E52">
            <w:pPr>
              <w:pStyle w:val="CellColumn"/>
              <w:jc w:val="left"/>
            </w:pPr>
            <w:r>
              <w:rPr>
                <w:rFonts w:cs="Times New Roman"/>
              </w:rPr>
              <w:t xml:space="preserve"> Izvješće o rezultatima provedenih izvješća</w:t>
            </w:r>
          </w:p>
        </w:tc>
        <w:tc>
          <w:tcPr>
            <w:tcW w:w="1020" w:type="dxa"/>
          </w:tcPr>
          <w:p w:rsidR="00505632" w:rsidRDefault="00505632" w:rsidP="00AD4E52">
            <w:pPr>
              <w:pStyle w:val="CellColumn"/>
              <w:jc w:val="right"/>
            </w:pPr>
            <w:r>
              <w:rPr>
                <w:rFonts w:cs="Times New Roman"/>
              </w:rPr>
              <w:t>Broj analiza Broj izvješća</w:t>
            </w:r>
          </w:p>
        </w:tc>
        <w:tc>
          <w:tcPr>
            <w:tcW w:w="1020" w:type="dxa"/>
          </w:tcPr>
          <w:p w:rsidR="00505632" w:rsidRDefault="00505632" w:rsidP="00AD4E52">
            <w:pPr>
              <w:pStyle w:val="CellColumn"/>
              <w:jc w:val="right"/>
            </w:pPr>
            <w:r>
              <w:rPr>
                <w:rFonts w:cs="Times New Roman"/>
              </w:rPr>
              <w:t xml:space="preserve">0 </w:t>
            </w:r>
          </w:p>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 xml:space="preserve">4 </w:t>
            </w:r>
          </w:p>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 xml:space="preserve">4  </w:t>
            </w:r>
          </w:p>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4"/>
      </w:pPr>
      <w:r>
        <w:t>A814007 UNAPREĐENJE KVALITETE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A814007-UNAPREĐENJE KVALITETE OBRAZOVNOG SUSTAVA</w:t>
            </w:r>
          </w:p>
        </w:tc>
        <w:tc>
          <w:tcPr>
            <w:tcW w:w="2041" w:type="dxa"/>
          </w:tcPr>
          <w:p w:rsidR="00505632" w:rsidRDefault="00505632" w:rsidP="00AD4E52">
            <w:pPr>
              <w:pStyle w:val="CellColumn"/>
              <w:jc w:val="right"/>
            </w:pPr>
            <w:r>
              <w:rPr>
                <w:rFonts w:cs="Times New Roman"/>
              </w:rPr>
              <w:t>914.116</w:t>
            </w:r>
          </w:p>
        </w:tc>
        <w:tc>
          <w:tcPr>
            <w:tcW w:w="2041" w:type="dxa"/>
          </w:tcPr>
          <w:p w:rsidR="00505632" w:rsidRDefault="00505632" w:rsidP="00AD4E52">
            <w:pPr>
              <w:pStyle w:val="CellColumn"/>
              <w:jc w:val="right"/>
            </w:pPr>
            <w:r>
              <w:rPr>
                <w:rFonts w:cs="Times New Roman"/>
              </w:rPr>
              <w:t>640.724</w:t>
            </w:r>
          </w:p>
        </w:tc>
        <w:tc>
          <w:tcPr>
            <w:tcW w:w="2041" w:type="dxa"/>
          </w:tcPr>
          <w:p w:rsidR="00505632" w:rsidRDefault="00505632" w:rsidP="00AD4E52">
            <w:pPr>
              <w:pStyle w:val="CellColumn"/>
              <w:jc w:val="right"/>
            </w:pPr>
            <w:r>
              <w:rPr>
                <w:rFonts w:cs="Times New Roman"/>
              </w:rPr>
              <w:t>407.239</w:t>
            </w:r>
          </w:p>
        </w:tc>
        <w:tc>
          <w:tcPr>
            <w:tcW w:w="1224" w:type="dxa"/>
          </w:tcPr>
          <w:p w:rsidR="00505632" w:rsidRDefault="00505632" w:rsidP="00AD4E52">
            <w:pPr>
              <w:pStyle w:val="CellColumn"/>
              <w:jc w:val="right"/>
            </w:pPr>
            <w:r>
              <w:rPr>
                <w:rFonts w:cs="Times New Roman"/>
              </w:rPr>
              <w:t>63,6</w:t>
            </w:r>
          </w:p>
        </w:tc>
        <w:tc>
          <w:tcPr>
            <w:tcW w:w="1224" w:type="dxa"/>
          </w:tcPr>
          <w:p w:rsidR="00505632" w:rsidRDefault="00505632" w:rsidP="00AD4E52">
            <w:pPr>
              <w:pStyle w:val="CellColumn"/>
              <w:jc w:val="right"/>
            </w:pPr>
            <w:r>
              <w:rPr>
                <w:rFonts w:cs="Times New Roman"/>
              </w:rPr>
              <w:t>44,6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Nacionalnom centru za vanjsko vrednovanje obrazovanja, Narodne novine 151/04 </w:t>
      </w:r>
    </w:p>
    <w:p w:rsidR="00505632" w:rsidRDefault="00505632" w:rsidP="00505632">
      <w:r>
        <w:t xml:space="preserve">Zakon o odgoju i obrazovanju u osnovnim i srednjim školama, Narodne novine 87/08, VIII. Vanjsko vrednovanje i samovrednovanje školskih ustanova, članak 88., X. Radnici školskih ustanova, Članak 117. </w:t>
      </w:r>
    </w:p>
    <w:p w:rsidR="00505632" w:rsidRDefault="00505632" w:rsidP="00505632">
      <w:r>
        <w:t>Zakon o strukovnom obrazovanju, Narodne novine 30/09, III. Sustav osiguravanja kvalitete strukovnog obrazovanja, Članak 11.</w:t>
      </w:r>
    </w:p>
    <w:p w:rsidR="00505632" w:rsidRDefault="00505632" w:rsidP="00505632">
      <w:pPr>
        <w:pStyle w:val="Heading8"/>
        <w:jc w:val="left"/>
      </w:pPr>
      <w:r>
        <w:t>Opis aktivnosti</w:t>
      </w:r>
    </w:p>
    <w:p w:rsidR="00505632" w:rsidRDefault="00505632" w:rsidP="00505632">
      <w:r>
        <w:t xml:space="preserve">Ispit iz obvezatnih strukovnih modela za zanimanje »medicinska sestra opće njege/ medicinski tehničar opće njege – u 2016. godini nastavljen je rad na ispitu iz obvezatnih strukovih modela. Prema planiranim aktivnostima i očekivanim ishodima Centar je sa školama dogovorio termin provedbe ispita, odabrani su zadaci najboljih psihometrijskih karakteristika i sastavljena inačica prema ispitnome katalogu, ispit je proveden u svim školama Republike Hrvatske s programom „medicinska sestra opće njege/medicinski tehničar opće njege” te su izrađena izvješća o rezultatima i upućene školama.  </w:t>
      </w:r>
    </w:p>
    <w:p w:rsidR="00505632" w:rsidRDefault="00505632" w:rsidP="00505632">
      <w:r>
        <w:t xml:space="preserve">Ispit iz obveznih strukovnih modula za zanimanje „medicinska sestra opće njege/medicinski tehničar opće njege” proveden je 6. listopada 2016. godine. Ispitu je pristupilo 1216 učenika odnosno više od 95 % od ukupnoga broja učenika. </w:t>
      </w:r>
    </w:p>
    <w:p w:rsidR="00505632" w:rsidRDefault="00505632" w:rsidP="00505632">
      <w:r>
        <w:t>Banka zadataka 2015.- 2017. – u 2016. godini sastavljen je sažetak operacija za projekt razvoj nacionalnog sustava ispitivanja koji je prijavljen za financiranje preko ESF-a. U sklopu tog projekta razrađene su aktivnosti za izradu i implementaciju računalnog sustava za izradu ispita i provedbu ispitivbanja. Taj računalni sustav trebao bi služiti za sve vrste ispitivanja koje Centar provodi.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Ispit iz obvezatnih strukovnih modela</w:t>
            </w:r>
          </w:p>
        </w:tc>
        <w:tc>
          <w:tcPr>
            <w:tcW w:w="2551" w:type="dxa"/>
          </w:tcPr>
          <w:p w:rsidR="00505632" w:rsidRDefault="00505632" w:rsidP="00AD4E52">
            <w:pPr>
              <w:pStyle w:val="CellColumn"/>
              <w:jc w:val="left"/>
            </w:pPr>
            <w:r>
              <w:rPr>
                <w:rFonts w:cs="Times New Roman"/>
              </w:rPr>
              <w:t>Odabir škola i učenika- srednje škole RH koje provode program medicinska</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e- Matica, NCVVO, MZO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Banka zadataka</w:t>
            </w:r>
          </w:p>
        </w:tc>
        <w:tc>
          <w:tcPr>
            <w:tcW w:w="2551" w:type="dxa"/>
          </w:tcPr>
          <w:p w:rsidR="00505632" w:rsidRDefault="00505632" w:rsidP="00AD4E52">
            <w:pPr>
              <w:pStyle w:val="CellColumn"/>
              <w:jc w:val="left"/>
            </w:pPr>
            <w:r>
              <w:rPr>
                <w:rFonts w:cs="Times New Roman"/>
              </w:rPr>
              <w:t>Projektna aktivnost</w:t>
            </w:r>
          </w:p>
        </w:tc>
        <w:tc>
          <w:tcPr>
            <w:tcW w:w="1020" w:type="dxa"/>
          </w:tcPr>
          <w:p w:rsidR="00505632" w:rsidRDefault="00505632" w:rsidP="00AD4E52">
            <w:pPr>
              <w:pStyle w:val="CellColumn"/>
              <w:jc w:val="right"/>
            </w:pPr>
            <w:r>
              <w:rPr>
                <w:rFonts w:cs="Times New Roman"/>
              </w:rPr>
              <w:t>Broj projektnih aktivnosti</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10%</w:t>
            </w:r>
          </w:p>
        </w:tc>
      </w:tr>
    </w:tbl>
    <w:p w:rsidR="00505632" w:rsidRDefault="00505632" w:rsidP="00505632">
      <w:pPr>
        <w:jc w:val="left"/>
      </w:pPr>
    </w:p>
    <w:p w:rsidR="00505632" w:rsidRDefault="00505632" w:rsidP="00505632">
      <w:pPr>
        <w:pStyle w:val="Heading4"/>
      </w:pPr>
      <w:r>
        <w:t>A814008 ZAVRŠNI ISPIT NA KRAJU OBRAZOVNOG CIKLUSA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A814008-ZAVRŠNI ISPIT NA KRAJU OBRAZOVNOG CIKLUSA</w:t>
            </w:r>
          </w:p>
        </w:tc>
        <w:tc>
          <w:tcPr>
            <w:tcW w:w="2041" w:type="dxa"/>
          </w:tcPr>
          <w:p w:rsidR="00505632" w:rsidRDefault="00505632" w:rsidP="00AD4E52">
            <w:pPr>
              <w:pStyle w:val="CellColumn"/>
              <w:jc w:val="right"/>
            </w:pPr>
            <w:r>
              <w:rPr>
                <w:rFonts w:cs="Times New Roman"/>
              </w:rPr>
              <w:t>232.222</w:t>
            </w:r>
          </w:p>
        </w:tc>
        <w:tc>
          <w:tcPr>
            <w:tcW w:w="2041" w:type="dxa"/>
          </w:tcPr>
          <w:p w:rsidR="00505632" w:rsidRDefault="00505632" w:rsidP="00AD4E52">
            <w:pPr>
              <w:pStyle w:val="CellColumn"/>
              <w:jc w:val="right"/>
            </w:pPr>
            <w:r>
              <w:rPr>
                <w:rFonts w:cs="Times New Roman"/>
              </w:rPr>
              <w:t>249.381</w:t>
            </w:r>
          </w:p>
        </w:tc>
        <w:tc>
          <w:tcPr>
            <w:tcW w:w="2041" w:type="dxa"/>
          </w:tcPr>
          <w:p w:rsidR="00505632" w:rsidRDefault="00505632" w:rsidP="00AD4E52">
            <w:pPr>
              <w:pStyle w:val="CellColumn"/>
              <w:jc w:val="right"/>
            </w:pPr>
            <w:r>
              <w:rPr>
                <w:rFonts w:cs="Times New Roman"/>
              </w:rPr>
              <w:t>59.359</w:t>
            </w:r>
          </w:p>
        </w:tc>
        <w:tc>
          <w:tcPr>
            <w:tcW w:w="1224" w:type="dxa"/>
          </w:tcPr>
          <w:p w:rsidR="00505632" w:rsidRDefault="00505632" w:rsidP="00AD4E52">
            <w:pPr>
              <w:pStyle w:val="CellColumn"/>
              <w:jc w:val="right"/>
            </w:pPr>
            <w:r>
              <w:rPr>
                <w:rFonts w:cs="Times New Roman"/>
              </w:rPr>
              <w:t>23,8</w:t>
            </w:r>
          </w:p>
        </w:tc>
        <w:tc>
          <w:tcPr>
            <w:tcW w:w="1224" w:type="dxa"/>
          </w:tcPr>
          <w:p w:rsidR="00505632" w:rsidRDefault="00505632" w:rsidP="00AD4E52">
            <w:pPr>
              <w:pStyle w:val="CellColumn"/>
              <w:jc w:val="right"/>
            </w:pPr>
            <w:r>
              <w:rPr>
                <w:rFonts w:cs="Times New Roman"/>
              </w:rPr>
              <w:t>25,6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Nacionalnom centru za vanjsko vrednovanje obrazovanja, Narodne novine 151/04 Zakon o odgoju i obrazovanju u osnovnim i srednjim školama, Narodne novine 87/08, VIII. Vanjsko vrednovanje i samovrednovanje školskih ustanova, članak 88., X. Radnici školskih ustanova, Članak 117. </w:t>
      </w:r>
    </w:p>
    <w:p w:rsidR="00505632" w:rsidRDefault="00505632" w:rsidP="00505632">
      <w:r>
        <w:t>Zakon o strukovnom obrazovanju, Narodne novine 30/09, III. Sustav osiguravanja kvalitete strukovnog obrazovanja, Članak 11.</w:t>
      </w:r>
    </w:p>
    <w:p w:rsidR="00505632" w:rsidRDefault="00505632" w:rsidP="00505632">
      <w:pPr>
        <w:pStyle w:val="Heading8"/>
        <w:jc w:val="left"/>
      </w:pPr>
      <w:r>
        <w:t>Opis aktivnosti</w:t>
      </w:r>
    </w:p>
    <w:p w:rsidR="00505632" w:rsidRDefault="00505632" w:rsidP="00505632">
      <w:r>
        <w:t xml:space="preserve">Ovi ispiti predstavljaju razvoj novog modela ispitivanja na kraju obrazovnog ciklusa uz korištenje metode teorije odgovora na zadatak (Item Response Theory ili IRT). Krajnji cilj aktivnosti je razviti model završnih ispita na kraju obrazovnih ciklusa.  </w:t>
      </w:r>
    </w:p>
    <w:p w:rsidR="00505632" w:rsidRDefault="00505632" w:rsidP="00505632">
      <w:r>
        <w:t xml:space="preserve">Analiza rezultata ispita državne mature iz obvezatnih predmeta – U 2016. godini završen je upitnik kojim se ispituju stavovi i iskustva nastavnika, stručnih suradnika i ravnatelja o DM. Primjena upitnika planirana je za drugi kvartal 2017. godine.  </w:t>
      </w:r>
    </w:p>
    <w:p w:rsidR="00505632" w:rsidRDefault="00505632" w:rsidP="00505632">
      <w:r>
        <w:t xml:space="preserve">Sekundarna analiza odgovora učenika nakon provedbe međunarodnoga istraživanja TIMSS 2015. - U 2016. godini vanjski suradnici Centra okupljeni u dvije stručne radne skupine, jedna za matematiku i druga za prirodoslovlje, analzirali su kvantitativnim metodma odgovore hrvatskih učenika. Rezultati su opisani u priručniku koji sadržava upute učiteljima za unaprjeđenje nastave matematike i prirodoslovne grupe predmeta </w:t>
      </w:r>
    </w:p>
    <w:p w:rsidR="00505632" w:rsidRDefault="00505632" w:rsidP="00505632">
      <w:r>
        <w:t xml:space="preserve">Usporedna analiza rezultata ispita državne mature iz biologije i kemije - U 2016. godini stručne radne skupine koje sačinjavaju nastavnici Biologije i Kemije analizirale su strukturu točnih i netočnih odgovora, strukturu kognitivnih razina, strukturu koncepata i procjenu kvalitete pitanja (procjenu prirodoslovne pismenosti i procjenu utjecaja pitanja na odgovor). U tijeku je statistička obrada podataka. Diseminacija rezultata obavit će se tijekom 2017. godine. Rezultati će biti korišteni u svrhu izrade novoga modela državne mature. </w:t>
      </w:r>
    </w:p>
    <w:p w:rsidR="00505632" w:rsidRDefault="00505632" w:rsidP="00505632">
      <w:r>
        <w:t xml:space="preserve">Sadržajna i metodološka analiza provedenih ispita iz Povijesti na DM   </w:t>
      </w:r>
    </w:p>
    <w:p w:rsidR="00505632" w:rsidRDefault="00505632" w:rsidP="00505632">
      <w:r>
        <w:t xml:space="preserve">U 2016. godini nastavljen je rad na sadržajnoj analizi ispita državne mature iz Povijesti u školskim godinama 2012./2013., 2013./2014. i 2014./2015. Ključne aktivnosti projekta u 2016. godini bile su izrada Priručnika za izradu zadataka višestrukoga izbora iz nastavnoga predmeta Povijest te rad na sadržajnoj analizi ispita državne mature iz Povijesti u školskim godinama 2012./2013., 2013./2014. i 2014./2015. Započet je rad i na određivanju kategorija odgovora u zadatcima otvorenoga tipa u ispitima državne mature iz Povijesti (ljetni rok) u školskim godinama 2012./2013., 2013./2014. i 2014./2015.  </w:t>
      </w:r>
    </w:p>
    <w:p w:rsidR="00505632" w:rsidRDefault="00505632" w:rsidP="00505632">
      <w:r>
        <w:t xml:space="preserve">Sadržajna i metodološka analiza iz geografije – 2016. godini  </w:t>
      </w:r>
    </w:p>
    <w:p w:rsidR="00505632" w:rsidRDefault="00505632" w:rsidP="00505632">
      <w:r>
        <w:t>Cilj je sadržajne i metodološke analize ispita državne mature iz Geografije za školske godine 2012./2013., 2013./2014., 2014./2015. i 2015./2016. ispitati u kojoj mjeri ispiti državne mature iz Geografije doista mjere odrednice prirodoslovne pismenosti i sadržaje društvene i regionalne geografije te nacionalne geografije i izraditi preporuke za poboljšanje kvalitete ispita i unapređenje nastave Geografije. Tijekom 2016. godine upisani su svi odgovori učenika na zadatke otvorenoga tipa u bazu podataka koja će biti korištena za daljnju kvalitativnu analizu ispita državne mature iz Geografije.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Analiza rezultata ispita DM iz obvezatnih predmeta</w:t>
            </w:r>
          </w:p>
        </w:tc>
        <w:tc>
          <w:tcPr>
            <w:tcW w:w="2551" w:type="dxa"/>
          </w:tcPr>
          <w:p w:rsidR="00505632" w:rsidRDefault="00505632" w:rsidP="00AD4E52">
            <w:pPr>
              <w:pStyle w:val="CellColumn"/>
              <w:jc w:val="left"/>
            </w:pPr>
            <w:r>
              <w:rPr>
                <w:rFonts w:cs="Times New Roman"/>
              </w:rPr>
              <w:t>Projektna aktivnost</w:t>
            </w:r>
          </w:p>
        </w:tc>
        <w:tc>
          <w:tcPr>
            <w:tcW w:w="1020" w:type="dxa"/>
          </w:tcPr>
          <w:p w:rsidR="00505632" w:rsidRDefault="00505632" w:rsidP="00AD4E52">
            <w:pPr>
              <w:pStyle w:val="CellColumn"/>
              <w:jc w:val="right"/>
            </w:pPr>
            <w:r>
              <w:rPr>
                <w:rFonts w:cs="Times New Roman"/>
              </w:rPr>
              <w:t>Broj projektnih aktivnosti</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Sekundarna analiza TIMSS</w:t>
            </w:r>
          </w:p>
        </w:tc>
        <w:tc>
          <w:tcPr>
            <w:tcW w:w="2551" w:type="dxa"/>
          </w:tcPr>
          <w:p w:rsidR="00505632" w:rsidRDefault="00505632" w:rsidP="00AD4E52">
            <w:pPr>
              <w:pStyle w:val="CellColumn"/>
              <w:jc w:val="left"/>
            </w:pPr>
            <w:r>
              <w:rPr>
                <w:rFonts w:cs="Times New Roman"/>
              </w:rPr>
              <w:t>Projektna aktivnost</w:t>
            </w:r>
          </w:p>
        </w:tc>
        <w:tc>
          <w:tcPr>
            <w:tcW w:w="1020" w:type="dxa"/>
          </w:tcPr>
          <w:p w:rsidR="00505632" w:rsidRDefault="00505632" w:rsidP="00AD4E52">
            <w:pPr>
              <w:pStyle w:val="CellColumn"/>
              <w:jc w:val="right"/>
            </w:pPr>
            <w:r>
              <w:rPr>
                <w:rFonts w:cs="Times New Roman"/>
              </w:rPr>
              <w:t>Broj projektnih aktivnosti</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Usporedna analiza rezultata ispita državne mature iz biologije i kemije</w:t>
            </w:r>
          </w:p>
        </w:tc>
        <w:tc>
          <w:tcPr>
            <w:tcW w:w="2551" w:type="dxa"/>
          </w:tcPr>
          <w:p w:rsidR="00505632" w:rsidRDefault="00505632" w:rsidP="00AD4E52">
            <w:pPr>
              <w:pStyle w:val="CellColumn"/>
              <w:jc w:val="left"/>
            </w:pPr>
            <w:r>
              <w:rPr>
                <w:rFonts w:cs="Times New Roman"/>
              </w:rPr>
              <w:t>Projektna aktivnost</w:t>
            </w:r>
          </w:p>
        </w:tc>
        <w:tc>
          <w:tcPr>
            <w:tcW w:w="1020" w:type="dxa"/>
          </w:tcPr>
          <w:p w:rsidR="00505632" w:rsidRDefault="00505632" w:rsidP="00AD4E52">
            <w:pPr>
              <w:pStyle w:val="CellColumn"/>
              <w:jc w:val="right"/>
            </w:pPr>
            <w:r>
              <w:rPr>
                <w:rFonts w:cs="Times New Roman"/>
              </w:rPr>
              <w:t>Broj projektnih aktivnosti</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Sadržajna i metodološka analiza provedenih ispita iz Povijesti na DM</w:t>
            </w:r>
          </w:p>
        </w:tc>
        <w:tc>
          <w:tcPr>
            <w:tcW w:w="2551" w:type="dxa"/>
          </w:tcPr>
          <w:p w:rsidR="00505632" w:rsidRDefault="00505632" w:rsidP="00AD4E52">
            <w:pPr>
              <w:pStyle w:val="CellColumn"/>
              <w:jc w:val="left"/>
            </w:pPr>
            <w:r>
              <w:rPr>
                <w:rFonts w:cs="Times New Roman"/>
              </w:rPr>
              <w:t>Projektna aktivnost</w:t>
            </w:r>
          </w:p>
        </w:tc>
        <w:tc>
          <w:tcPr>
            <w:tcW w:w="1020" w:type="dxa"/>
          </w:tcPr>
          <w:p w:rsidR="00505632" w:rsidRDefault="00505632" w:rsidP="00AD4E52">
            <w:pPr>
              <w:pStyle w:val="CellColumn"/>
              <w:jc w:val="right"/>
            </w:pPr>
            <w:r>
              <w:rPr>
                <w:rFonts w:cs="Times New Roman"/>
              </w:rPr>
              <w:t>Broj projektnih aktivnosti</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Sadržajna i metodološka analiza iz geografije</w:t>
            </w:r>
          </w:p>
        </w:tc>
        <w:tc>
          <w:tcPr>
            <w:tcW w:w="2551" w:type="dxa"/>
          </w:tcPr>
          <w:p w:rsidR="00505632" w:rsidRDefault="00505632" w:rsidP="00AD4E52">
            <w:pPr>
              <w:pStyle w:val="CellColumn"/>
              <w:jc w:val="left"/>
            </w:pPr>
            <w:r>
              <w:rPr>
                <w:rFonts w:cs="Times New Roman"/>
              </w:rPr>
              <w:t>Projektna aktivnost</w:t>
            </w:r>
          </w:p>
        </w:tc>
        <w:tc>
          <w:tcPr>
            <w:tcW w:w="1020" w:type="dxa"/>
          </w:tcPr>
          <w:p w:rsidR="00505632" w:rsidRDefault="00505632" w:rsidP="00AD4E52">
            <w:pPr>
              <w:pStyle w:val="CellColumn"/>
              <w:jc w:val="right"/>
            </w:pPr>
            <w:r>
              <w:rPr>
                <w:rFonts w:cs="Times New Roman"/>
              </w:rPr>
              <w:t>Broj projektnih aktivnosti</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NCVVO</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3"/>
      </w:pPr>
      <w:r>
        <w:rPr>
          <w:rFonts w:cs="Times New Roman"/>
        </w:rPr>
        <w:t>43335 Agencija za mobilnost i programe Europske unije</w:t>
      </w:r>
    </w:p>
    <w:p w:rsidR="00505632" w:rsidRDefault="00505632" w:rsidP="00505632">
      <w:r>
        <w:t xml:space="preserve">Agencija za mobilnost i programe Europske unije javna je ustanova koju je Vlada RH osnovala krajem 2007. godine (NN 107/07) u svrhu stvaranja institucionalnog okvira za provedbu dva najveća programa Europske unije u području obrazovanja i usavršavanja te mladih.  </w:t>
      </w:r>
    </w:p>
    <w:p w:rsidR="00505632" w:rsidRDefault="00505632" w:rsidP="00505632">
      <w:r>
        <w:t xml:space="preserve">Međutim, trajna je misija Agencije osmišljena znatno šire – podupirati internacionalizaciju u svrhu unapređenja kvalitete sustava znanosti, obrazovanja i osposobljavanja te područja mladih u Republici Hrvatskoj, a sukladno potrebama građana, društva i gospodarstva.   </w:t>
      </w:r>
    </w:p>
    <w:p w:rsidR="00505632" w:rsidRDefault="00505632" w:rsidP="00505632">
      <w:r>
        <w:t>Vizija je Agencije osiguravanjem mogućnosti za mobilnost i međunarodnu suradnju u području znanosti, obrazovanja, osposobljavanja i mladih, pridonijeti jačanju ljudskog i demokratskog potencijala, socijalnoj koheziji te konkurentnosti hrvatskog društva.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43335-Agencija za mobilnost i programe Europske unije</w:t>
            </w:r>
          </w:p>
        </w:tc>
        <w:tc>
          <w:tcPr>
            <w:tcW w:w="2041" w:type="dxa"/>
          </w:tcPr>
          <w:p w:rsidR="00505632" w:rsidRDefault="00505632" w:rsidP="00AD4E52">
            <w:pPr>
              <w:pStyle w:val="CellColumn"/>
              <w:jc w:val="right"/>
            </w:pPr>
            <w:r>
              <w:rPr>
                <w:rFonts w:cs="Times New Roman"/>
              </w:rPr>
              <w:t>117.551.231</w:t>
            </w:r>
          </w:p>
        </w:tc>
        <w:tc>
          <w:tcPr>
            <w:tcW w:w="2041" w:type="dxa"/>
          </w:tcPr>
          <w:p w:rsidR="00505632" w:rsidRDefault="00505632" w:rsidP="00AD4E52">
            <w:pPr>
              <w:pStyle w:val="CellColumn"/>
              <w:jc w:val="right"/>
            </w:pPr>
            <w:r>
              <w:rPr>
                <w:rFonts w:cs="Times New Roman"/>
              </w:rPr>
              <w:t>141.194.038</w:t>
            </w:r>
          </w:p>
        </w:tc>
        <w:tc>
          <w:tcPr>
            <w:tcW w:w="2041" w:type="dxa"/>
          </w:tcPr>
          <w:p w:rsidR="00505632" w:rsidRDefault="00505632" w:rsidP="00AD4E52">
            <w:pPr>
              <w:pStyle w:val="CellColumn"/>
              <w:jc w:val="right"/>
            </w:pPr>
            <w:r>
              <w:rPr>
                <w:rFonts w:cs="Times New Roman"/>
              </w:rPr>
              <w:t>130.622.473</w:t>
            </w:r>
          </w:p>
        </w:tc>
        <w:tc>
          <w:tcPr>
            <w:tcW w:w="1224" w:type="dxa"/>
          </w:tcPr>
          <w:p w:rsidR="00505632" w:rsidRDefault="00505632" w:rsidP="00AD4E52">
            <w:pPr>
              <w:pStyle w:val="CellColumn"/>
              <w:jc w:val="right"/>
            </w:pPr>
            <w:r>
              <w:rPr>
                <w:rFonts w:cs="Times New Roman"/>
              </w:rPr>
              <w:t>92,5</w:t>
            </w:r>
          </w:p>
        </w:tc>
        <w:tc>
          <w:tcPr>
            <w:tcW w:w="1224" w:type="dxa"/>
          </w:tcPr>
          <w:p w:rsidR="00505632" w:rsidRDefault="00505632" w:rsidP="00AD4E52">
            <w:pPr>
              <w:pStyle w:val="CellColumn"/>
              <w:jc w:val="right"/>
            </w:pPr>
            <w:r>
              <w:rPr>
                <w:rFonts w:cs="Times New Roman"/>
              </w:rPr>
              <w:t>111,1</w:t>
            </w:r>
          </w:p>
        </w:tc>
      </w:tr>
      <w:tr w:rsidR="00505632" w:rsidTr="00AD4E52">
        <w:trPr>
          <w:jc w:val="center"/>
        </w:trPr>
        <w:tc>
          <w:tcPr>
            <w:tcW w:w="1632" w:type="dxa"/>
          </w:tcPr>
          <w:p w:rsidR="00505632" w:rsidRDefault="00505632" w:rsidP="00AD4E52">
            <w:pPr>
              <w:jc w:val="left"/>
            </w:pPr>
            <w:r>
              <w:t>3701-RAZVOJ ODGOJNO OBRAZOVNOG SUSTAVA</w:t>
            </w:r>
          </w:p>
        </w:tc>
        <w:tc>
          <w:tcPr>
            <w:tcW w:w="2041" w:type="dxa"/>
          </w:tcPr>
          <w:p w:rsidR="00505632" w:rsidRDefault="00505632" w:rsidP="00AD4E52">
            <w:pPr>
              <w:jc w:val="right"/>
            </w:pPr>
            <w:r>
              <w:t>117.551.231</w:t>
            </w:r>
          </w:p>
        </w:tc>
        <w:tc>
          <w:tcPr>
            <w:tcW w:w="2041" w:type="dxa"/>
          </w:tcPr>
          <w:p w:rsidR="00505632" w:rsidRDefault="00505632" w:rsidP="00AD4E52">
            <w:pPr>
              <w:jc w:val="right"/>
            </w:pPr>
            <w:r>
              <w:t>141.194.038</w:t>
            </w:r>
          </w:p>
        </w:tc>
        <w:tc>
          <w:tcPr>
            <w:tcW w:w="2041" w:type="dxa"/>
          </w:tcPr>
          <w:p w:rsidR="00505632" w:rsidRDefault="00505632" w:rsidP="00AD4E52">
            <w:pPr>
              <w:jc w:val="right"/>
            </w:pPr>
            <w:r>
              <w:t>130.622.473</w:t>
            </w:r>
          </w:p>
        </w:tc>
        <w:tc>
          <w:tcPr>
            <w:tcW w:w="1224" w:type="dxa"/>
          </w:tcPr>
          <w:p w:rsidR="00505632" w:rsidRDefault="00505632" w:rsidP="00AD4E52">
            <w:pPr>
              <w:jc w:val="right"/>
            </w:pPr>
            <w:r>
              <w:t>92,5</w:t>
            </w:r>
          </w:p>
        </w:tc>
        <w:tc>
          <w:tcPr>
            <w:tcW w:w="1224" w:type="dxa"/>
          </w:tcPr>
          <w:p w:rsidR="00505632" w:rsidRDefault="00505632" w:rsidP="00AD4E52">
            <w:pPr>
              <w:jc w:val="right"/>
            </w:pPr>
            <w:r>
              <w:t>111,1</w:t>
            </w:r>
          </w:p>
        </w:tc>
      </w:tr>
    </w:tbl>
    <w:p w:rsidR="00505632" w:rsidRDefault="00505632" w:rsidP="00505632">
      <w:pPr>
        <w:jc w:val="left"/>
      </w:pPr>
    </w:p>
    <w:p w:rsidR="00505632" w:rsidRDefault="00505632" w:rsidP="00505632">
      <w:pPr>
        <w:pStyle w:val="Heading3"/>
      </w:pPr>
      <w:r>
        <w:rPr>
          <w:rFonts w:cs="Times New Roman"/>
        </w:rPr>
        <w:t>3701 RAZVOJ ODGOJNO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3701-RAZVOJ ODGOJNO OBRAZOVNOG SUSTAVA</w:t>
            </w:r>
          </w:p>
        </w:tc>
        <w:tc>
          <w:tcPr>
            <w:tcW w:w="2041" w:type="dxa"/>
          </w:tcPr>
          <w:p w:rsidR="00505632" w:rsidRDefault="00505632" w:rsidP="00AD4E52">
            <w:pPr>
              <w:pStyle w:val="CellColumn"/>
              <w:jc w:val="right"/>
            </w:pPr>
            <w:r>
              <w:rPr>
                <w:rFonts w:cs="Times New Roman"/>
              </w:rPr>
              <w:t>117.551.231</w:t>
            </w:r>
          </w:p>
        </w:tc>
        <w:tc>
          <w:tcPr>
            <w:tcW w:w="2041" w:type="dxa"/>
          </w:tcPr>
          <w:p w:rsidR="00505632" w:rsidRDefault="00505632" w:rsidP="00AD4E52">
            <w:pPr>
              <w:pStyle w:val="CellColumn"/>
              <w:jc w:val="right"/>
            </w:pPr>
            <w:r>
              <w:rPr>
                <w:rFonts w:cs="Times New Roman"/>
              </w:rPr>
              <w:t>141.194.038</w:t>
            </w:r>
          </w:p>
        </w:tc>
        <w:tc>
          <w:tcPr>
            <w:tcW w:w="2041" w:type="dxa"/>
          </w:tcPr>
          <w:p w:rsidR="00505632" w:rsidRDefault="00505632" w:rsidP="00AD4E52">
            <w:pPr>
              <w:pStyle w:val="CellColumn"/>
              <w:jc w:val="right"/>
            </w:pPr>
            <w:r>
              <w:rPr>
                <w:rFonts w:cs="Times New Roman"/>
              </w:rPr>
              <w:t>130.622.473</w:t>
            </w:r>
          </w:p>
        </w:tc>
        <w:tc>
          <w:tcPr>
            <w:tcW w:w="1224" w:type="dxa"/>
          </w:tcPr>
          <w:p w:rsidR="00505632" w:rsidRDefault="00505632" w:rsidP="00AD4E52">
            <w:pPr>
              <w:pStyle w:val="CellColumn"/>
              <w:jc w:val="right"/>
            </w:pPr>
            <w:r>
              <w:rPr>
                <w:rFonts w:cs="Times New Roman"/>
              </w:rPr>
              <w:t>92,5</w:t>
            </w:r>
          </w:p>
        </w:tc>
        <w:tc>
          <w:tcPr>
            <w:tcW w:w="1224" w:type="dxa"/>
          </w:tcPr>
          <w:p w:rsidR="00505632" w:rsidRDefault="00505632" w:rsidP="00AD4E52">
            <w:pPr>
              <w:pStyle w:val="CellColumn"/>
              <w:jc w:val="right"/>
            </w:pPr>
            <w:r>
              <w:rPr>
                <w:rFonts w:cs="Times New Roman"/>
              </w:rPr>
              <w:t>111,1</w:t>
            </w:r>
          </w:p>
        </w:tc>
      </w:tr>
    </w:tbl>
    <w:p w:rsidR="00505632" w:rsidRDefault="00505632" w:rsidP="00505632">
      <w:pPr>
        <w:jc w:val="left"/>
      </w:pPr>
    </w:p>
    <w:p w:rsidR="00505632" w:rsidRDefault="00505632" w:rsidP="00505632">
      <w:r>
        <w:t xml:space="preserve">Agencija pridonosi ostvarenju cilja razvoja odgojno-obrazovnog sustava kroz provedbu EU, multilateralnih i bilateralnih programa, mreža, inicijativa i projekata, koje omogućuju sudjelovanje u aktivnostima međunarodnih razmjena, suradnje, projekata i mobilnosti odgojno-obrazovnim ustanovama, organizacijama na tržištu rada te organizacijama koje rade s mladima. U ovom dijelu Agencija je akreditirana od strane Europske komisije za provođenje programa Unije pod nazivom Erasmus+ u statusu Nacionalne Agencije. Kao potporne inicijative programu Erasmus+, temeljem ugovora s Komisijom, Agencija provodi i Europass, Euroguidance, Eurodesk, eTwinning, ECVET. </w:t>
      </w:r>
    </w:p>
    <w:p w:rsidR="00505632" w:rsidRDefault="00505632" w:rsidP="00505632">
      <w:r>
        <w:t xml:space="preserve">Agencija također pridonosi razvoju sustava znanosti i inovacija provedbom programa Europske unije i to Euraxess uslužnog centra za mobilnost istraživača i pružanjem usluge najvećeg dijela nacionalne potporne strukture za program Obzor 2020., putem kojem hrvatske znanstveno-istraživačke ustanove imaju mogućnost suradnje na međunarodnim, kolaborativnim, znanstvenim projektima. </w:t>
      </w:r>
    </w:p>
    <w:p w:rsidR="00505632" w:rsidRDefault="00505632" w:rsidP="00505632">
      <w:r>
        <w:t xml:space="preserve">Uz navedene programe EU, Agencija temeljem odluka Ministarstva znanosti i obrazovanja te temeljem bilateralnih i multilateralnih sporazuma provodi međunarodne programe visokoškolske mobilnosti, poput programa CEEPUS te Bilateralnog programa akademske mobilnosti s preko 30 država svijeta. </w:t>
      </w:r>
    </w:p>
    <w:p w:rsidR="00505632" w:rsidRDefault="00505632" w:rsidP="00505632">
      <w:r>
        <w:t>Navedeni opis poslova i zadataka ima za cilj internacionalizaciju sustava obrazovanja i znanosti te područja mladih radi povećanja kvalitete tih sustava na način da se hrvatskim građanima, odgojno-obrazovnim ustanovama, organizacijama koje rade s mladima i znanstveno-istraživačkim ustanovama omogući sudjelovanje u aktivnostima međunarodne mobilnosti i učenja. Osiguravanjem mogućnosti za mobilnost i međunarodnu suradnju, provedba gore navedenih programa, inicijativa i projekata pridonosi jačanju ljudskog i demokratskog potencijala, socijalnoj koheziji te konkurentnosti hrvatskog društva.</w:t>
      </w:r>
    </w:p>
    <w:p w:rsidR="00505632" w:rsidRDefault="00505632" w:rsidP="00505632">
      <w:pPr>
        <w:pStyle w:val="Heading8"/>
        <w:jc w:val="left"/>
      </w:pPr>
      <w:r>
        <w:t>Cilj 1. Internacionalizacija sustava obrazovanja RH i razvoj učinkovite mreže lektorata hrvatskoga jezika i književnosti na stranim visokim učilištima</w:t>
      </w:r>
    </w:p>
    <w:p w:rsidR="00505632" w:rsidRDefault="00505632" w:rsidP="00505632">
      <w:pPr>
        <w:pStyle w:val="Heading8"/>
        <w:jc w:val="left"/>
      </w:pPr>
      <w:r>
        <w:t>Opis provedbe cilja programa</w:t>
      </w:r>
    </w:p>
    <w:p w:rsidR="00505632" w:rsidRDefault="00505632" w:rsidP="00505632">
      <w:r>
        <w:t xml:space="preserve">Važan element reforme obrazovnog sustava je internacionalizacija obrazovanja što podrazumijeva da obrazovne ustanove kroz mobilnost uspoređuju i unaprjeđuju svoje programe i nastavne metode, poboljšavaju rukovođenje obrazovnih ustanova i povećavaju svoju vidljivost u inozemstvu. Internacionalizacija obrazovanja pridonosi unaprjeđivanju kvalitete obrazovanja te priprema učenike i studente za rad u globalnom gospodarstvu.  U cilju daljnje internacionalizacije visokih učilišta i poticanja njihove aktivne uloge u Europskom prostoru visokog obrazovanja i Bolonjskom procesu, povećati će se dolazna i odlazna mobilnost, učenika, studenata te učitelja i nastavnika, stručnih suradnika i ravnatelja, potaknut će se uvođenje nastave na stranim jezicima u pokretanje združenih studija s eminentnim europskim i svjetskim visokim učilištima, te će se povećati broj inozemnog akademskog osoblja na visokim učilištima.  </w:t>
      </w:r>
    </w:p>
    <w:p w:rsidR="00505632" w:rsidRDefault="00505632" w:rsidP="00505632">
      <w:r>
        <w:t xml:space="preserve">Glavni programi koji predviđaju ostvarivanje navedenih ciljeva jesu: program EU za obrazovanje, osposobljavanje, mlade i sport "Erasmus+" 2014. - 2020., Srednjeeuropski program sveučilišne razmjene studenata i profesora (CEEPUS) i stipendije u okviru međudržavnih bilateralnih sporazuma.  </w:t>
      </w:r>
    </w:p>
    <w:p w:rsidR="00505632" w:rsidRDefault="00505632" w:rsidP="00505632">
      <w:r>
        <w:t>Pravilno pozicioniranje, afirmacija i promocija hrvatskog jezika, književnosti i kulture u svijetu jedan je od prioriteta hrvatske politike. S obzirom na to da je hrvatski jezik 24. službeni jezik Europske unije, učinkovita i održiva mreža lektorata hrvatskog jezika i književnosti jedan je od jamaca opstojnosti hrvatske kulture i identiteta u europskom i globalnom kontekstu. Mrežu sačinjava 29 lektorata, većinom u državama članicama EU, te tri centra za hrvatski jezik u Kanadi i Australiji. U idućem trogodišnjem razdoblju planira se povećanje broja lektorata. Postoji potreba i interes za otvaranjem novih lektorata što će ovisiti o financijskim mogućnostima.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Zastupljenost obrazovnih ustanova u programu EU za obrazovanje Erasmus+</w:t>
            </w:r>
          </w:p>
        </w:tc>
        <w:tc>
          <w:tcPr>
            <w:tcW w:w="2551" w:type="dxa"/>
          </w:tcPr>
          <w:p w:rsidR="00505632" w:rsidRDefault="00505632" w:rsidP="00AD4E52">
            <w:pPr>
              <w:pStyle w:val="CellColumn"/>
              <w:jc w:val="left"/>
            </w:pPr>
            <w:r>
              <w:rPr>
                <w:rFonts w:cs="Times New Roman"/>
              </w:rPr>
              <w:t>Zastupljenost obrazovnih ustanova u programu EU za obrazovanje Erasmus+</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200</w:t>
            </w:r>
          </w:p>
        </w:tc>
        <w:tc>
          <w:tcPr>
            <w:tcW w:w="918" w:type="dxa"/>
          </w:tcPr>
          <w:p w:rsidR="00505632" w:rsidRDefault="00505632" w:rsidP="00AD4E52">
            <w:pPr>
              <w:pStyle w:val="CellColumn"/>
              <w:jc w:val="right"/>
            </w:pPr>
            <w:r>
              <w:rPr>
                <w:rFonts w:cs="Times New Roman"/>
              </w:rPr>
              <w:t>AMPU</w:t>
            </w:r>
          </w:p>
        </w:tc>
        <w:tc>
          <w:tcPr>
            <w:tcW w:w="1020" w:type="dxa"/>
          </w:tcPr>
          <w:p w:rsidR="00505632" w:rsidRDefault="00505632" w:rsidP="00AD4E52">
            <w:pPr>
              <w:pStyle w:val="CellColumn"/>
              <w:jc w:val="right"/>
            </w:pPr>
            <w:r>
              <w:rPr>
                <w:rFonts w:cs="Times New Roman"/>
              </w:rPr>
              <w:t>258</w:t>
            </w:r>
          </w:p>
        </w:tc>
        <w:tc>
          <w:tcPr>
            <w:tcW w:w="1020" w:type="dxa"/>
          </w:tcPr>
          <w:p w:rsidR="00505632" w:rsidRDefault="00505632" w:rsidP="00AD4E52">
            <w:pPr>
              <w:pStyle w:val="CellColumn"/>
              <w:jc w:val="right"/>
            </w:pPr>
            <w:r>
              <w:rPr>
                <w:rFonts w:cs="Times New Roman"/>
              </w:rPr>
              <w:t>258</w:t>
            </w:r>
          </w:p>
        </w:tc>
      </w:tr>
    </w:tbl>
    <w:p w:rsidR="00505632" w:rsidRDefault="00505632" w:rsidP="00505632">
      <w:pPr>
        <w:jc w:val="left"/>
      </w:pPr>
    </w:p>
    <w:p w:rsidR="00505632" w:rsidRDefault="00505632" w:rsidP="00505632">
      <w:pPr>
        <w:pStyle w:val="Heading4"/>
      </w:pPr>
      <w:r>
        <w:t>A818033 ZNANSTVENA I VISOKOŠKOLSKA MOBILNOST</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A818033-ZNANSTVENA I VISOKOŠKOLSKA MOBILNOST</w:t>
            </w:r>
          </w:p>
        </w:tc>
        <w:tc>
          <w:tcPr>
            <w:tcW w:w="2041" w:type="dxa"/>
          </w:tcPr>
          <w:p w:rsidR="00505632" w:rsidRDefault="00505632" w:rsidP="00AD4E52">
            <w:pPr>
              <w:pStyle w:val="CellColumn"/>
              <w:jc w:val="right"/>
            </w:pPr>
            <w:r>
              <w:rPr>
                <w:rFonts w:cs="Times New Roman"/>
              </w:rPr>
              <w:t>2.313.078</w:t>
            </w:r>
          </w:p>
        </w:tc>
        <w:tc>
          <w:tcPr>
            <w:tcW w:w="2041" w:type="dxa"/>
          </w:tcPr>
          <w:p w:rsidR="00505632" w:rsidRDefault="00505632" w:rsidP="00AD4E52">
            <w:pPr>
              <w:pStyle w:val="CellColumn"/>
              <w:jc w:val="right"/>
            </w:pPr>
            <w:r>
              <w:rPr>
                <w:rFonts w:cs="Times New Roman"/>
              </w:rPr>
              <w:t>2.313.078</w:t>
            </w:r>
          </w:p>
        </w:tc>
        <w:tc>
          <w:tcPr>
            <w:tcW w:w="2041" w:type="dxa"/>
          </w:tcPr>
          <w:p w:rsidR="00505632" w:rsidRDefault="00505632" w:rsidP="00AD4E52">
            <w:pPr>
              <w:pStyle w:val="CellColumn"/>
              <w:jc w:val="right"/>
            </w:pPr>
            <w:r>
              <w:rPr>
                <w:rFonts w:cs="Times New Roman"/>
              </w:rPr>
              <w:t>2.138.755</w:t>
            </w:r>
          </w:p>
        </w:tc>
        <w:tc>
          <w:tcPr>
            <w:tcW w:w="1224" w:type="dxa"/>
          </w:tcPr>
          <w:p w:rsidR="00505632" w:rsidRDefault="00505632" w:rsidP="00AD4E52">
            <w:pPr>
              <w:pStyle w:val="CellColumn"/>
              <w:jc w:val="right"/>
            </w:pPr>
            <w:r>
              <w:rPr>
                <w:rFonts w:cs="Times New Roman"/>
              </w:rPr>
              <w:t>92,5</w:t>
            </w:r>
          </w:p>
        </w:tc>
        <w:tc>
          <w:tcPr>
            <w:tcW w:w="1224" w:type="dxa"/>
          </w:tcPr>
          <w:p w:rsidR="00505632" w:rsidRDefault="00505632" w:rsidP="00AD4E52">
            <w:pPr>
              <w:pStyle w:val="CellColumn"/>
              <w:jc w:val="right"/>
            </w:pPr>
            <w:r>
              <w:rPr>
                <w:rFonts w:cs="Times New Roman"/>
              </w:rPr>
              <w:t>92,5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Agenciji za mobilnost i programe EU </w:t>
      </w:r>
    </w:p>
    <w:p w:rsidR="00505632" w:rsidRDefault="00505632" w:rsidP="00505632">
      <w:r>
        <w:t xml:space="preserve">Odluke MZOa o imenovanju AMPEU nacionalnim CEEPUS uredom za Hrvatsku, nacionalnom kontakt točkom za Nacionalnu skupinu Bolonjskih stručnjaka te TEMPUS program </w:t>
      </w:r>
    </w:p>
    <w:p w:rsidR="00505632" w:rsidRDefault="00505632" w:rsidP="00505632">
      <w:r>
        <w:t>Odluka MZOa o zaduživanju AMPEU za provedbu bilateralnih stipendija</w:t>
      </w:r>
    </w:p>
    <w:p w:rsidR="00505632" w:rsidRDefault="00505632" w:rsidP="00505632">
      <w:pPr>
        <w:pStyle w:val="Heading8"/>
        <w:jc w:val="left"/>
      </w:pPr>
      <w:r>
        <w:t>Opis aktivnosti</w:t>
      </w:r>
    </w:p>
    <w:p w:rsidR="00505632" w:rsidRDefault="00505632" w:rsidP="00505632">
      <w:r>
        <w:t>Sredstva na aktivnosti osigurana su za stipendije hrvatskim i stranim studentima te nastavnom osoblju kroz programe Ceepus i Bilateralni program akademske mobilnosti (bilateralne stipendije) MZO-a.</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studenata (ISCED 5 i 6) koji su tijekom studija ostvarili mobilnosti u svrhu učenja ili stručne prakse (credit mobility) uz potporu programa Erasmus+, CEEPUS, Bilateralne stipendije</w:t>
            </w:r>
          </w:p>
        </w:tc>
        <w:tc>
          <w:tcPr>
            <w:tcW w:w="2551" w:type="dxa"/>
          </w:tcPr>
          <w:p w:rsidR="00505632" w:rsidRDefault="00505632" w:rsidP="00AD4E52">
            <w:pPr>
              <w:pStyle w:val="CellColumn"/>
              <w:jc w:val="left"/>
            </w:pPr>
            <w:r>
              <w:rPr>
                <w:rFonts w:cs="Times New Roman"/>
              </w:rPr>
              <w:t>Broj studenata (ISCED 5 i 6) koji su tijekom studija ostvarili mobilnosti u svrhu učenja ili stručne prakse (credit mobility) uz potporu programa Erasmus+, CEEPUS, Bilateralne stipendije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1.260</w:t>
            </w:r>
          </w:p>
        </w:tc>
        <w:tc>
          <w:tcPr>
            <w:tcW w:w="1020" w:type="dxa"/>
          </w:tcPr>
          <w:p w:rsidR="00505632" w:rsidRDefault="00505632" w:rsidP="00AD4E52">
            <w:pPr>
              <w:pStyle w:val="CellColumn"/>
              <w:jc w:val="right"/>
            </w:pPr>
            <w:r>
              <w:rPr>
                <w:rFonts w:cs="Times New Roman"/>
              </w:rPr>
              <w:t>AMPU</w:t>
            </w:r>
          </w:p>
        </w:tc>
        <w:tc>
          <w:tcPr>
            <w:tcW w:w="1020" w:type="dxa"/>
          </w:tcPr>
          <w:p w:rsidR="00505632" w:rsidRDefault="00505632" w:rsidP="00AD4E52">
            <w:pPr>
              <w:pStyle w:val="CellColumn"/>
              <w:jc w:val="right"/>
            </w:pPr>
            <w:r>
              <w:rPr>
                <w:rFonts w:cs="Times New Roman"/>
              </w:rPr>
              <w:t>1.800</w:t>
            </w:r>
          </w:p>
        </w:tc>
        <w:tc>
          <w:tcPr>
            <w:tcW w:w="1020" w:type="dxa"/>
          </w:tcPr>
          <w:p w:rsidR="00505632" w:rsidRDefault="00505632" w:rsidP="00AD4E52">
            <w:pPr>
              <w:pStyle w:val="CellColumn"/>
              <w:jc w:val="right"/>
            </w:pPr>
            <w:r>
              <w:rPr>
                <w:rFonts w:cs="Times New Roman"/>
              </w:rPr>
              <w:t>4.416</w:t>
            </w:r>
          </w:p>
        </w:tc>
      </w:tr>
      <w:tr w:rsidR="00505632" w:rsidTr="00AD4E52">
        <w:trPr>
          <w:jc w:val="center"/>
        </w:trPr>
        <w:tc>
          <w:tcPr>
            <w:tcW w:w="2551" w:type="dxa"/>
          </w:tcPr>
          <w:p w:rsidR="00505632" w:rsidRDefault="00505632" w:rsidP="00AD4E52">
            <w:pPr>
              <w:pStyle w:val="CellColumn"/>
              <w:jc w:val="left"/>
            </w:pPr>
            <w:r>
              <w:rPr>
                <w:rFonts w:cs="Times New Roman"/>
              </w:rPr>
              <w:t>Broj studenata (ISCED 5 i 6) koji su ostvarili mobilnost u svrhu stjecanja cjelovite kvalifikacije (degree mobility) u okviru Bilateralnih stipendija</w:t>
            </w:r>
          </w:p>
        </w:tc>
        <w:tc>
          <w:tcPr>
            <w:tcW w:w="2551" w:type="dxa"/>
          </w:tcPr>
          <w:p w:rsidR="00505632" w:rsidRDefault="00505632" w:rsidP="00AD4E52">
            <w:pPr>
              <w:pStyle w:val="CellColumn"/>
              <w:jc w:val="left"/>
            </w:pPr>
            <w:r>
              <w:rPr>
                <w:rFonts w:cs="Times New Roman"/>
              </w:rPr>
              <w:t>Broj studenata (ISCED 5 i 6) koji su ostvarili mobilnost u svrhu stjecanja cjelovite kvalifikacije (degree mobility) u okviru Bilateralnih stipendija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26</w:t>
            </w:r>
          </w:p>
        </w:tc>
        <w:tc>
          <w:tcPr>
            <w:tcW w:w="1020" w:type="dxa"/>
          </w:tcPr>
          <w:p w:rsidR="00505632" w:rsidRDefault="00505632" w:rsidP="00AD4E52">
            <w:pPr>
              <w:pStyle w:val="CellColumn"/>
              <w:jc w:val="right"/>
            </w:pPr>
            <w:r>
              <w:rPr>
                <w:rFonts w:cs="Times New Roman"/>
              </w:rPr>
              <w:t>AMPU</w:t>
            </w:r>
          </w:p>
        </w:tc>
        <w:tc>
          <w:tcPr>
            <w:tcW w:w="1020" w:type="dxa"/>
          </w:tcPr>
          <w:p w:rsidR="00505632" w:rsidRDefault="00505632" w:rsidP="00AD4E52">
            <w:pPr>
              <w:pStyle w:val="CellColumn"/>
              <w:jc w:val="right"/>
            </w:pPr>
            <w:r>
              <w:rPr>
                <w:rFonts w:cs="Times New Roman"/>
              </w:rPr>
              <w:t>26</w:t>
            </w:r>
          </w:p>
        </w:tc>
        <w:tc>
          <w:tcPr>
            <w:tcW w:w="1020" w:type="dxa"/>
          </w:tcPr>
          <w:p w:rsidR="00505632" w:rsidRDefault="00505632" w:rsidP="00AD4E52">
            <w:pPr>
              <w:pStyle w:val="CellColumn"/>
              <w:jc w:val="right"/>
            </w:pPr>
            <w:r>
              <w:rPr>
                <w:rFonts w:cs="Times New Roman"/>
              </w:rPr>
              <w:t>14</w:t>
            </w:r>
          </w:p>
        </w:tc>
      </w:tr>
    </w:tbl>
    <w:p w:rsidR="00505632" w:rsidRDefault="00505632" w:rsidP="00505632">
      <w:pPr>
        <w:jc w:val="left"/>
      </w:pPr>
    </w:p>
    <w:p w:rsidR="00505632" w:rsidRDefault="00505632" w:rsidP="00505632">
      <w:pPr>
        <w:pStyle w:val="Heading4"/>
      </w:pPr>
      <w:r>
        <w:t>A818042 OBZOR 2020. I MOBILNOST ISTRAŽIVAČA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A818042-OBZOR 2020. I MOBILNOST ISTRAŽIVAČA</w:t>
            </w:r>
          </w:p>
        </w:tc>
        <w:tc>
          <w:tcPr>
            <w:tcW w:w="2041" w:type="dxa"/>
          </w:tcPr>
          <w:p w:rsidR="00505632" w:rsidRDefault="00505632" w:rsidP="00AD4E52">
            <w:pPr>
              <w:pStyle w:val="CellColumn"/>
              <w:jc w:val="right"/>
            </w:pPr>
            <w:r>
              <w:rPr>
                <w:rFonts w:cs="Times New Roman"/>
              </w:rPr>
              <w:t>330.742</w:t>
            </w:r>
          </w:p>
        </w:tc>
        <w:tc>
          <w:tcPr>
            <w:tcW w:w="2041" w:type="dxa"/>
          </w:tcPr>
          <w:p w:rsidR="00505632" w:rsidRDefault="00505632" w:rsidP="00AD4E52">
            <w:pPr>
              <w:pStyle w:val="CellColumn"/>
              <w:jc w:val="right"/>
            </w:pPr>
            <w:r>
              <w:rPr>
                <w:rFonts w:cs="Times New Roman"/>
              </w:rPr>
              <w:t>446.447</w:t>
            </w:r>
          </w:p>
        </w:tc>
        <w:tc>
          <w:tcPr>
            <w:tcW w:w="2041" w:type="dxa"/>
          </w:tcPr>
          <w:p w:rsidR="00505632" w:rsidRDefault="00505632" w:rsidP="00AD4E52">
            <w:pPr>
              <w:pStyle w:val="CellColumn"/>
              <w:jc w:val="right"/>
            </w:pPr>
            <w:r>
              <w:rPr>
                <w:rFonts w:cs="Times New Roman"/>
              </w:rPr>
              <w:t>396.702</w:t>
            </w:r>
          </w:p>
        </w:tc>
        <w:tc>
          <w:tcPr>
            <w:tcW w:w="1224" w:type="dxa"/>
          </w:tcPr>
          <w:p w:rsidR="00505632" w:rsidRDefault="00505632" w:rsidP="00AD4E52">
            <w:pPr>
              <w:pStyle w:val="CellColumn"/>
              <w:jc w:val="right"/>
            </w:pPr>
            <w:r>
              <w:rPr>
                <w:rFonts w:cs="Times New Roman"/>
              </w:rPr>
              <w:t>88,9</w:t>
            </w:r>
          </w:p>
        </w:tc>
        <w:tc>
          <w:tcPr>
            <w:tcW w:w="1224" w:type="dxa"/>
          </w:tcPr>
          <w:p w:rsidR="00505632" w:rsidRDefault="00505632" w:rsidP="00AD4E52">
            <w:pPr>
              <w:pStyle w:val="CellColumn"/>
              <w:jc w:val="right"/>
            </w:pPr>
            <w:r>
              <w:rPr>
                <w:rFonts w:cs="Times New Roman"/>
              </w:rPr>
              <w:t>119,9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Agenciji za mobilnost i programe EU  </w:t>
      </w:r>
    </w:p>
    <w:p w:rsidR="00505632" w:rsidRDefault="00505632" w:rsidP="00505632">
      <w:r>
        <w:t xml:space="preserve">Uredba (EU) br. 1291/2013 Europskog parlamenta i Vijeća od 11. prosinca 2013. o osnivanju Okvirnog programa za istraživanja i inovacije Obzor 2020. (2014. – 2020.) i o stavljanju izvan snage Odluke br. 1982/2006/EZ </w:t>
      </w:r>
    </w:p>
    <w:p w:rsidR="00505632" w:rsidRDefault="00505632" w:rsidP="00505632">
      <w:r>
        <w:t>Odluka MZOSa o imenovanju nacionalnih osoba za kontakt za program Europske unije Obzor 202</w:t>
      </w:r>
    </w:p>
    <w:p w:rsidR="00505632" w:rsidRDefault="00505632" w:rsidP="00505632">
      <w:pPr>
        <w:pStyle w:val="Heading8"/>
        <w:jc w:val="left"/>
      </w:pPr>
      <w:r>
        <w:t>Opis aktivnosti</w:t>
      </w:r>
    </w:p>
    <w:p w:rsidR="00505632" w:rsidRDefault="00505632" w:rsidP="00505632">
      <w:r>
        <w:t>Provođenje aktivnosti koji podrazumijevaju uključivanje hrvatske znanstvene zajednice u Europski istraživački prostor odnosno sudjelovanje u EU projektima i programima. Aktivnosti Agencije tijekom 2016. godine uključivale su održavanje informativnih događanja i radionica za pisanje projekata za potencijalne prijavitelje na program Obzor 2020., savjetovanje korisnika u pripremi i provedbi projekata i traženju stranih partnera, održavanje nacionalnog web portala za program Obzor 2020., sudjelovanje na tematskim sastancima s Komisijom te rad na mrežnim projektima.</w:t>
      </w:r>
    </w:p>
    <w:p w:rsidR="00505632" w:rsidRDefault="00505632" w:rsidP="00505632"/>
    <w:p w:rsidR="00505632" w:rsidRDefault="00505632" w:rsidP="00505632"/>
    <w:p w:rsidR="00505632" w:rsidRDefault="00505632" w:rsidP="00505632"/>
    <w:p w:rsidR="00505632" w:rsidRDefault="00505632" w:rsidP="00505632">
      <w:pPr>
        <w:pStyle w:val="Heading4"/>
      </w:pPr>
      <w:r>
        <w:t>A818043 PROVEDBA PROGRAMA ERASMUS PLUS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A818043-PROVEDBA PROGRAMA ERASMUS PLUS</w:t>
            </w:r>
          </w:p>
        </w:tc>
        <w:tc>
          <w:tcPr>
            <w:tcW w:w="2041" w:type="dxa"/>
          </w:tcPr>
          <w:p w:rsidR="00505632" w:rsidRDefault="00505632" w:rsidP="00AD4E52">
            <w:pPr>
              <w:pStyle w:val="CellColumn"/>
              <w:jc w:val="right"/>
            </w:pPr>
            <w:r>
              <w:rPr>
                <w:rFonts w:cs="Times New Roman"/>
              </w:rPr>
              <w:t>9.566.812</w:t>
            </w:r>
          </w:p>
        </w:tc>
        <w:tc>
          <w:tcPr>
            <w:tcW w:w="2041" w:type="dxa"/>
          </w:tcPr>
          <w:p w:rsidR="00505632" w:rsidRDefault="00505632" w:rsidP="00AD4E52">
            <w:pPr>
              <w:pStyle w:val="CellColumn"/>
              <w:jc w:val="right"/>
            </w:pPr>
            <w:r>
              <w:rPr>
                <w:rFonts w:cs="Times New Roman"/>
              </w:rPr>
              <w:t>11.445.912</w:t>
            </w:r>
          </w:p>
        </w:tc>
        <w:tc>
          <w:tcPr>
            <w:tcW w:w="2041" w:type="dxa"/>
          </w:tcPr>
          <w:p w:rsidR="00505632" w:rsidRDefault="00505632" w:rsidP="00AD4E52">
            <w:pPr>
              <w:pStyle w:val="CellColumn"/>
              <w:jc w:val="right"/>
            </w:pPr>
            <w:r>
              <w:rPr>
                <w:rFonts w:cs="Times New Roman"/>
              </w:rPr>
              <w:t>9.221.691</w:t>
            </w:r>
          </w:p>
        </w:tc>
        <w:tc>
          <w:tcPr>
            <w:tcW w:w="1224" w:type="dxa"/>
          </w:tcPr>
          <w:p w:rsidR="00505632" w:rsidRDefault="00505632" w:rsidP="00AD4E52">
            <w:pPr>
              <w:pStyle w:val="CellColumn"/>
              <w:jc w:val="right"/>
            </w:pPr>
            <w:r>
              <w:rPr>
                <w:rFonts w:cs="Times New Roman"/>
              </w:rPr>
              <w:t>80,6</w:t>
            </w:r>
          </w:p>
        </w:tc>
        <w:tc>
          <w:tcPr>
            <w:tcW w:w="1224" w:type="dxa"/>
          </w:tcPr>
          <w:p w:rsidR="00505632" w:rsidRDefault="00505632" w:rsidP="00AD4E52">
            <w:pPr>
              <w:pStyle w:val="CellColumn"/>
              <w:jc w:val="right"/>
            </w:pPr>
            <w:r>
              <w:rPr>
                <w:rFonts w:cs="Times New Roman"/>
              </w:rPr>
              <w:t>96,4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Agenciji za mobilnost i programe EU </w:t>
      </w:r>
    </w:p>
    <w:p w:rsidR="00505632" w:rsidRDefault="00505632" w:rsidP="00505632">
      <w:r>
        <w:t xml:space="preserve">Ugovori s Europskom komisijom o provedbi programa i projekata </w:t>
      </w:r>
    </w:p>
    <w:p w:rsidR="00505632" w:rsidRDefault="00505632" w:rsidP="00505632">
      <w:r>
        <w:t>Odluka Europskog parlamenta br. 1288/2013 o uspostavljanju Erasmus+ programa za obrazovanje, osposobljavanje, mlade i sport</w:t>
      </w:r>
    </w:p>
    <w:p w:rsidR="00505632" w:rsidRDefault="00505632" w:rsidP="00505632">
      <w:pPr>
        <w:pStyle w:val="Heading8"/>
        <w:jc w:val="left"/>
      </w:pPr>
      <w:r>
        <w:t>Opis aktivnosti</w:t>
      </w:r>
    </w:p>
    <w:p w:rsidR="00505632" w:rsidRDefault="00505632" w:rsidP="00505632">
      <w:r>
        <w:t>Operativni troškovi provedbe Erasmus plus programa, troškovi evaluacije prijava, promotivnih i  informativnih kampanja i materijala,  sufinanciranje troškova hladnog pogona AMPEU i dr., a sve u svrhu postizanja visoke kvalitete projektnih prijava kao i projekata, te visoke stope realiziranosti projekata.</w:t>
      </w:r>
    </w:p>
    <w:p w:rsidR="00505632" w:rsidRDefault="00505632" w:rsidP="00505632">
      <w:pPr>
        <w:pStyle w:val="Heading4"/>
      </w:pPr>
      <w:r>
        <w:t>A818044 PROJEKTI ZA KORISNIKE - ERASMUS+ OBRAZOVANJE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A818044-PROJEKTI ZA KORISNIKE - ERASMUS+ OBRAZOVANJE</w:t>
            </w:r>
          </w:p>
        </w:tc>
        <w:tc>
          <w:tcPr>
            <w:tcW w:w="2041" w:type="dxa"/>
          </w:tcPr>
          <w:p w:rsidR="00505632" w:rsidRDefault="00505632" w:rsidP="00AD4E52">
            <w:pPr>
              <w:pStyle w:val="CellColumn"/>
              <w:jc w:val="right"/>
            </w:pPr>
            <w:r>
              <w:rPr>
                <w:rFonts w:cs="Times New Roman"/>
              </w:rPr>
              <w:t>78.027.522</w:t>
            </w:r>
          </w:p>
        </w:tc>
        <w:tc>
          <w:tcPr>
            <w:tcW w:w="2041" w:type="dxa"/>
          </w:tcPr>
          <w:p w:rsidR="00505632" w:rsidRDefault="00505632" w:rsidP="00AD4E52">
            <w:pPr>
              <w:pStyle w:val="CellColumn"/>
              <w:jc w:val="right"/>
            </w:pPr>
            <w:r>
              <w:rPr>
                <w:rFonts w:cs="Times New Roman"/>
              </w:rPr>
              <w:t>94.322.802</w:t>
            </w:r>
          </w:p>
        </w:tc>
        <w:tc>
          <w:tcPr>
            <w:tcW w:w="2041" w:type="dxa"/>
          </w:tcPr>
          <w:p w:rsidR="00505632" w:rsidRDefault="00505632" w:rsidP="00AD4E52">
            <w:pPr>
              <w:pStyle w:val="CellColumn"/>
              <w:jc w:val="right"/>
            </w:pPr>
            <w:r>
              <w:rPr>
                <w:rFonts w:cs="Times New Roman"/>
              </w:rPr>
              <w:t>95.822.117</w:t>
            </w:r>
          </w:p>
        </w:tc>
        <w:tc>
          <w:tcPr>
            <w:tcW w:w="1224" w:type="dxa"/>
          </w:tcPr>
          <w:p w:rsidR="00505632" w:rsidRDefault="00505632" w:rsidP="00AD4E52">
            <w:pPr>
              <w:pStyle w:val="CellColumn"/>
              <w:jc w:val="right"/>
            </w:pPr>
            <w:r>
              <w:rPr>
                <w:rFonts w:cs="Times New Roman"/>
              </w:rPr>
              <w:t>101,6</w:t>
            </w:r>
          </w:p>
        </w:tc>
        <w:tc>
          <w:tcPr>
            <w:tcW w:w="1224" w:type="dxa"/>
          </w:tcPr>
          <w:p w:rsidR="00505632" w:rsidRDefault="00505632" w:rsidP="00AD4E52">
            <w:pPr>
              <w:pStyle w:val="CellColumn"/>
              <w:jc w:val="right"/>
            </w:pPr>
            <w:r>
              <w:rPr>
                <w:rFonts w:cs="Times New Roman"/>
              </w:rPr>
              <w:t>122,8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Agenciji za mobilnost i programe EU </w:t>
      </w:r>
    </w:p>
    <w:p w:rsidR="00505632" w:rsidRDefault="00505632" w:rsidP="00505632">
      <w:r>
        <w:t xml:space="preserve">Ugovori s Europskom komisijom o provedbi programa i projekata </w:t>
      </w:r>
    </w:p>
    <w:p w:rsidR="00505632" w:rsidRDefault="00505632" w:rsidP="00505632">
      <w:r>
        <w:t>Odluka Europskog parlamenta br. 1288/2013 o uspostavljanju Erasmus+ programa za obrazovanje, osposobljavanje, mlade i sport</w:t>
      </w:r>
    </w:p>
    <w:p w:rsidR="00505632" w:rsidRDefault="00505632" w:rsidP="00505632">
      <w:pPr>
        <w:pStyle w:val="Heading8"/>
        <w:jc w:val="left"/>
      </w:pPr>
      <w:r>
        <w:t>Opis aktivnosti</w:t>
      </w:r>
    </w:p>
    <w:p w:rsidR="00505632" w:rsidRDefault="00505632" w:rsidP="00505632">
      <w:r>
        <w:t xml:space="preserve">Prioriteti programa Erasmus+ definirani su Odlukom Europskog parlamenta br. 1288/2013 o uspostavljanju Erasmus+ programa za obrazovanje, osposobljavanje, mlade i sport te u dijelu programa koji se odnosi na područje mladih uključuje jačanje kompetencija i vještina stečenih neformalnim i informalnim oblicima učenja, razmjene mladih, rad s donositeljima odluka na nacionalnoj, regionalnoj i lokalnoj razini u cilju razvoja aktivnog građanstva te jača zapošljivosti mladih.  </w:t>
      </w:r>
    </w:p>
    <w:p w:rsidR="00505632" w:rsidRDefault="00505632" w:rsidP="00505632">
      <w:r>
        <w:t xml:space="preserve">Agencija je tijekom 2016. godine raspisivala natječaje za prijavu projektnih prijedloga te provela njihovu evaluaciju, sklopila ugovore s odabranim korisnicima, provodila nadzor nad provedbom ugovorenih projekata, odobravala završna izvješća, vršila isplate predujmova i završnih isplata korisnicima, organizirala informativna i promotivna događanja diljem Hrvatske te savjetovala sve korisnike tijekom prijave i provedbe projekata. </w:t>
      </w:r>
    </w:p>
    <w:p w:rsidR="00505632" w:rsidRDefault="00505632" w:rsidP="00505632">
      <w:r>
        <w:t>Za ovaj dio provedbe programa Erasmus+, nadležno tijelo prema Europskoj komisiji je ministarstvo nadležno za mlade.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odgojno-obrazovnih djelatnika iz predškolskog (ISCED 0) i osnovnoškolskog (ISCED 1 - 2) obrazovanja koji su sudjelovali u aktivnostima profesionalnog razvoja u inozemstvu uz potporu programa Erasmus+</w:t>
            </w:r>
          </w:p>
        </w:tc>
        <w:tc>
          <w:tcPr>
            <w:tcW w:w="2551" w:type="dxa"/>
          </w:tcPr>
          <w:p w:rsidR="00505632" w:rsidRDefault="00505632" w:rsidP="00AD4E52">
            <w:pPr>
              <w:pStyle w:val="CellColumn"/>
              <w:jc w:val="left"/>
            </w:pPr>
            <w:r>
              <w:rPr>
                <w:rFonts w:cs="Times New Roman"/>
              </w:rPr>
              <w:t>Broj odgojno-obrazovnih djelatnika iz predškolskog (ISCED 0) i osnovnoškolskog (ISCED 1 - 2) obrazovanja koji su sudjelovali u aktivnostima profesionalnog razvoja u inozemstvu uz potporu programa Erasmus+</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65</w:t>
            </w:r>
          </w:p>
        </w:tc>
        <w:tc>
          <w:tcPr>
            <w:tcW w:w="1020" w:type="dxa"/>
          </w:tcPr>
          <w:p w:rsidR="00505632" w:rsidRDefault="00505632" w:rsidP="00AD4E52">
            <w:pPr>
              <w:pStyle w:val="CellColumn"/>
              <w:jc w:val="right"/>
            </w:pPr>
            <w:r>
              <w:rPr>
                <w:rFonts w:cs="Times New Roman"/>
              </w:rPr>
              <w:t>AMPU</w:t>
            </w:r>
          </w:p>
        </w:tc>
        <w:tc>
          <w:tcPr>
            <w:tcW w:w="1020" w:type="dxa"/>
          </w:tcPr>
          <w:p w:rsidR="00505632" w:rsidRDefault="00505632" w:rsidP="00AD4E52">
            <w:pPr>
              <w:pStyle w:val="CellColumn"/>
              <w:jc w:val="right"/>
            </w:pPr>
            <w:r>
              <w:rPr>
                <w:rFonts w:cs="Times New Roman"/>
              </w:rPr>
              <w:t>165</w:t>
            </w:r>
          </w:p>
        </w:tc>
        <w:tc>
          <w:tcPr>
            <w:tcW w:w="1020" w:type="dxa"/>
          </w:tcPr>
          <w:p w:rsidR="00505632" w:rsidRDefault="00505632" w:rsidP="00AD4E52">
            <w:pPr>
              <w:pStyle w:val="CellColumn"/>
              <w:jc w:val="right"/>
            </w:pPr>
            <w:r>
              <w:rPr>
                <w:rFonts w:cs="Times New Roman"/>
              </w:rPr>
              <w:t>182</w:t>
            </w:r>
          </w:p>
        </w:tc>
      </w:tr>
      <w:tr w:rsidR="00505632" w:rsidTr="00AD4E52">
        <w:trPr>
          <w:jc w:val="center"/>
        </w:trPr>
        <w:tc>
          <w:tcPr>
            <w:tcW w:w="2551" w:type="dxa"/>
          </w:tcPr>
          <w:p w:rsidR="00505632" w:rsidRDefault="00505632" w:rsidP="00AD4E52">
            <w:pPr>
              <w:pStyle w:val="CellColumn"/>
              <w:jc w:val="left"/>
            </w:pPr>
            <w:r>
              <w:rPr>
                <w:rFonts w:cs="Times New Roman"/>
              </w:rPr>
              <w:t>Broj odgojno-obrazovnih djelatnika iz gimnazija (ISCED 3) koji su sudjelovali u aktivnostima profesionalnog razvoja u inozemstvu uz potporu programa Erasmus+</w:t>
            </w:r>
          </w:p>
        </w:tc>
        <w:tc>
          <w:tcPr>
            <w:tcW w:w="2551" w:type="dxa"/>
          </w:tcPr>
          <w:p w:rsidR="00505632" w:rsidRDefault="00505632" w:rsidP="00AD4E52">
            <w:pPr>
              <w:pStyle w:val="CellColumn"/>
              <w:jc w:val="left"/>
            </w:pPr>
            <w:r>
              <w:rPr>
                <w:rFonts w:cs="Times New Roman"/>
              </w:rPr>
              <w:t>Broj odgojno-obrazovnih djelatnika iz gimnazija (ISCED 3) koji su sudjelovali u aktivnostima profesionalnog razvoja u inozemstvu uz potporu programa Erasmus+</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AMPU</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34</w:t>
            </w:r>
          </w:p>
        </w:tc>
      </w:tr>
      <w:tr w:rsidR="00505632" w:rsidTr="00AD4E52">
        <w:trPr>
          <w:jc w:val="center"/>
        </w:trPr>
        <w:tc>
          <w:tcPr>
            <w:tcW w:w="2551" w:type="dxa"/>
          </w:tcPr>
          <w:p w:rsidR="00505632" w:rsidRDefault="00505632" w:rsidP="00AD4E52">
            <w:pPr>
              <w:pStyle w:val="CellColumn"/>
              <w:jc w:val="left"/>
            </w:pPr>
            <w:r>
              <w:rPr>
                <w:rFonts w:cs="Times New Roman"/>
              </w:rPr>
              <w:t>Broj odgojno-obrazovnih ustanova (vrtići, škole, strukovne škole, ustanove za obrazovanje odraslih) koje su uključene u mjere međunarodne mobilnosti i suradnje u programu Erasmus+</w:t>
            </w:r>
          </w:p>
        </w:tc>
        <w:tc>
          <w:tcPr>
            <w:tcW w:w="2551" w:type="dxa"/>
          </w:tcPr>
          <w:p w:rsidR="00505632" w:rsidRDefault="00505632" w:rsidP="00AD4E52">
            <w:pPr>
              <w:pStyle w:val="CellColumn"/>
              <w:jc w:val="left"/>
            </w:pPr>
            <w:r>
              <w:rPr>
                <w:rFonts w:cs="Times New Roman"/>
              </w:rPr>
              <w:t>Broj odgojno-obrazovnih ustanova (vrtići, škole, strukovne škole, ustanove za obrazovanje odraslih) koje su uključene u mjere međunarodne mobilnosti i suradnje u programu Erasmus+</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164</w:t>
            </w:r>
          </w:p>
        </w:tc>
        <w:tc>
          <w:tcPr>
            <w:tcW w:w="1020" w:type="dxa"/>
          </w:tcPr>
          <w:p w:rsidR="00505632" w:rsidRDefault="00505632" w:rsidP="00AD4E52">
            <w:pPr>
              <w:pStyle w:val="CellColumn"/>
              <w:jc w:val="right"/>
            </w:pPr>
            <w:r>
              <w:rPr>
                <w:rFonts w:cs="Times New Roman"/>
              </w:rPr>
              <w:t>AMPU</w:t>
            </w:r>
          </w:p>
        </w:tc>
        <w:tc>
          <w:tcPr>
            <w:tcW w:w="1020" w:type="dxa"/>
          </w:tcPr>
          <w:p w:rsidR="00505632" w:rsidRDefault="00505632" w:rsidP="00AD4E52">
            <w:pPr>
              <w:pStyle w:val="CellColumn"/>
              <w:jc w:val="right"/>
            </w:pPr>
            <w:r>
              <w:rPr>
                <w:rFonts w:cs="Times New Roman"/>
              </w:rPr>
              <w:t>213</w:t>
            </w:r>
          </w:p>
        </w:tc>
        <w:tc>
          <w:tcPr>
            <w:tcW w:w="1020" w:type="dxa"/>
          </w:tcPr>
          <w:p w:rsidR="00505632" w:rsidRDefault="00505632" w:rsidP="00AD4E52">
            <w:pPr>
              <w:pStyle w:val="CellColumn"/>
              <w:jc w:val="right"/>
            </w:pPr>
            <w:r>
              <w:rPr>
                <w:rFonts w:cs="Times New Roman"/>
              </w:rPr>
              <w:t>235</w:t>
            </w:r>
          </w:p>
        </w:tc>
      </w:tr>
      <w:tr w:rsidR="00505632" w:rsidTr="00AD4E52">
        <w:trPr>
          <w:jc w:val="center"/>
        </w:trPr>
        <w:tc>
          <w:tcPr>
            <w:tcW w:w="2551" w:type="dxa"/>
          </w:tcPr>
          <w:p w:rsidR="00505632" w:rsidRDefault="00505632" w:rsidP="00AD4E52">
            <w:pPr>
              <w:pStyle w:val="CellColumn"/>
              <w:jc w:val="left"/>
            </w:pPr>
            <w:r>
              <w:rPr>
                <w:rFonts w:cs="Times New Roman"/>
              </w:rPr>
              <w:t>Broj obrazovnih djelatnika iz ustanova za obrazovanje odraslih koji su sudjelovali u aktivnostima profesionalnog razvoja u inozemstvu</w:t>
            </w:r>
          </w:p>
        </w:tc>
        <w:tc>
          <w:tcPr>
            <w:tcW w:w="2551" w:type="dxa"/>
          </w:tcPr>
          <w:p w:rsidR="00505632" w:rsidRDefault="00505632" w:rsidP="00AD4E52">
            <w:pPr>
              <w:pStyle w:val="CellColumn"/>
              <w:jc w:val="left"/>
            </w:pPr>
            <w:r>
              <w:rPr>
                <w:rFonts w:cs="Times New Roman"/>
              </w:rPr>
              <w:t>Broj obrazovnih djelatnika iz ustanova za obrazovanje odraslih koji su sudjelovali u aktivnostima profesionalnog razvoja u inozemstvu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AMPU</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71</w:t>
            </w:r>
          </w:p>
        </w:tc>
      </w:tr>
      <w:tr w:rsidR="00505632" w:rsidTr="00AD4E52">
        <w:trPr>
          <w:jc w:val="center"/>
        </w:trPr>
        <w:tc>
          <w:tcPr>
            <w:tcW w:w="2551" w:type="dxa"/>
          </w:tcPr>
          <w:p w:rsidR="00505632" w:rsidRDefault="00505632" w:rsidP="00AD4E52">
            <w:pPr>
              <w:pStyle w:val="CellColumn"/>
              <w:jc w:val="left"/>
            </w:pPr>
            <w:r>
              <w:rPr>
                <w:rFonts w:cs="Times New Roman"/>
              </w:rPr>
              <w:t>Broj zaposlenika visokih učilišta u znanstveno-nastavnim zvanjima koji su ostvarili međunarodnu mobilnosti u svrhu održavanja nastave ili stručnog usavršavanja uz potporu programa Erasmus+</w:t>
            </w:r>
          </w:p>
        </w:tc>
        <w:tc>
          <w:tcPr>
            <w:tcW w:w="2551" w:type="dxa"/>
          </w:tcPr>
          <w:p w:rsidR="00505632" w:rsidRDefault="00505632" w:rsidP="00AD4E52">
            <w:pPr>
              <w:pStyle w:val="CellColumn"/>
              <w:jc w:val="left"/>
            </w:pPr>
            <w:r>
              <w:rPr>
                <w:rFonts w:cs="Times New Roman"/>
              </w:rPr>
              <w:t>Broj zaposlenika visokih učilišta u znanstveno-nastavnim zvanjima koji su ostvarili međunarodnu mobilnosti u svrhu održavanja nastave ili stručnog usavršavanja uz potporu programa Erasmus+</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245</w:t>
            </w:r>
          </w:p>
        </w:tc>
        <w:tc>
          <w:tcPr>
            <w:tcW w:w="1020" w:type="dxa"/>
          </w:tcPr>
          <w:p w:rsidR="00505632" w:rsidRDefault="00505632" w:rsidP="00AD4E52">
            <w:pPr>
              <w:pStyle w:val="CellColumn"/>
              <w:jc w:val="right"/>
            </w:pPr>
            <w:r>
              <w:rPr>
                <w:rFonts w:cs="Times New Roman"/>
              </w:rPr>
              <w:t>AMPU</w:t>
            </w:r>
          </w:p>
        </w:tc>
        <w:tc>
          <w:tcPr>
            <w:tcW w:w="1020" w:type="dxa"/>
          </w:tcPr>
          <w:p w:rsidR="00505632" w:rsidRDefault="00505632" w:rsidP="00AD4E52">
            <w:pPr>
              <w:pStyle w:val="CellColumn"/>
              <w:jc w:val="right"/>
            </w:pPr>
            <w:r>
              <w:rPr>
                <w:rFonts w:cs="Times New Roman"/>
              </w:rPr>
              <w:t>350</w:t>
            </w:r>
          </w:p>
        </w:tc>
        <w:tc>
          <w:tcPr>
            <w:tcW w:w="1020" w:type="dxa"/>
          </w:tcPr>
          <w:p w:rsidR="00505632" w:rsidRDefault="00505632" w:rsidP="00AD4E52">
            <w:pPr>
              <w:pStyle w:val="CellColumn"/>
              <w:jc w:val="right"/>
            </w:pPr>
            <w:r>
              <w:rPr>
                <w:rFonts w:cs="Times New Roman"/>
              </w:rPr>
              <w:t>641</w:t>
            </w:r>
          </w:p>
        </w:tc>
      </w:tr>
      <w:tr w:rsidR="00505632" w:rsidTr="00AD4E52">
        <w:trPr>
          <w:jc w:val="center"/>
        </w:trPr>
        <w:tc>
          <w:tcPr>
            <w:tcW w:w="2551" w:type="dxa"/>
          </w:tcPr>
          <w:p w:rsidR="00505632" w:rsidRDefault="00505632" w:rsidP="00AD4E52">
            <w:pPr>
              <w:pStyle w:val="CellColumn"/>
              <w:jc w:val="left"/>
            </w:pPr>
            <w:r>
              <w:rPr>
                <w:rFonts w:cs="Times New Roman"/>
              </w:rPr>
              <w:t>Broj studenata (ISCED 5 i 6) koji su tijekom studija ostvarili mobilnosti u svrhu učenja ili stručne prakse (credit mobility) uz potporu programa Erasmus+, CEEPUS, Bilateralne stipendije</w:t>
            </w:r>
          </w:p>
        </w:tc>
        <w:tc>
          <w:tcPr>
            <w:tcW w:w="2551" w:type="dxa"/>
          </w:tcPr>
          <w:p w:rsidR="00505632" w:rsidRDefault="00505632" w:rsidP="00AD4E52">
            <w:pPr>
              <w:pStyle w:val="CellColumn"/>
              <w:jc w:val="left"/>
            </w:pPr>
            <w:r>
              <w:rPr>
                <w:rFonts w:cs="Times New Roman"/>
              </w:rPr>
              <w:t>Broj studenata (ISCED 5 i 6) koji su tijekom studija ostvarili mobilnosti u svrhu učenja ili stručne prakse (credit mobility) uz potporu programa Erasmus+, CEEPUS, Bilateralne stipendije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1.260</w:t>
            </w:r>
          </w:p>
        </w:tc>
        <w:tc>
          <w:tcPr>
            <w:tcW w:w="1020" w:type="dxa"/>
          </w:tcPr>
          <w:p w:rsidR="00505632" w:rsidRDefault="00505632" w:rsidP="00AD4E52">
            <w:pPr>
              <w:pStyle w:val="CellColumn"/>
              <w:jc w:val="right"/>
            </w:pPr>
            <w:r>
              <w:rPr>
                <w:rFonts w:cs="Times New Roman"/>
              </w:rPr>
              <w:t>AMPU</w:t>
            </w:r>
          </w:p>
        </w:tc>
        <w:tc>
          <w:tcPr>
            <w:tcW w:w="1020" w:type="dxa"/>
          </w:tcPr>
          <w:p w:rsidR="00505632" w:rsidRDefault="00505632" w:rsidP="00AD4E52">
            <w:pPr>
              <w:pStyle w:val="CellColumn"/>
              <w:jc w:val="right"/>
            </w:pPr>
            <w:r>
              <w:rPr>
                <w:rFonts w:cs="Times New Roman"/>
              </w:rPr>
              <w:t>1.800</w:t>
            </w:r>
          </w:p>
        </w:tc>
        <w:tc>
          <w:tcPr>
            <w:tcW w:w="1020" w:type="dxa"/>
          </w:tcPr>
          <w:p w:rsidR="00505632" w:rsidRDefault="00505632" w:rsidP="00AD4E52">
            <w:pPr>
              <w:pStyle w:val="CellColumn"/>
              <w:jc w:val="right"/>
            </w:pPr>
            <w:r>
              <w:rPr>
                <w:rFonts w:cs="Times New Roman"/>
              </w:rPr>
              <w:t>4.416</w:t>
            </w:r>
          </w:p>
        </w:tc>
      </w:tr>
    </w:tbl>
    <w:p w:rsidR="00505632" w:rsidRDefault="00505632" w:rsidP="00505632">
      <w:pPr>
        <w:jc w:val="left"/>
      </w:pPr>
    </w:p>
    <w:p w:rsidR="00505632" w:rsidRDefault="00505632" w:rsidP="00505632">
      <w:pPr>
        <w:pStyle w:val="Heading3"/>
      </w:pPr>
      <w:r>
        <w:rPr>
          <w:rFonts w:cs="Times New Roman"/>
        </w:rPr>
        <w:t>45871 Hrvatski mjeriteljski institut</w:t>
      </w:r>
    </w:p>
    <w:p w:rsidR="00505632" w:rsidRDefault="00505632" w:rsidP="00505632">
      <w:r>
        <w:t>Sukladno obavezama koje je Republika hrvatske preuzela prema Europskoj Uniji prilikom zatvaranja pregovaračkog poglavlja 1. Sloboda kretanja roba, Zakonom o izmjenama i dopunama Zakona o mjeriteljstvu (NN 111/07) od 12. listopada 2007. godine propisano je kako Vlada RH za obavljanje stručnih poslova iz područja temeljnog mjeriteljstva može osnovati Hrvatski mjeriteljski institut (HMI). Temeljem navedenog, Vlada RH donijela je, na sjednici od 30. lipnja 2008. godine, Uredbu o osnivanju HMI-a.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45871-Hrvatski mjeriteljski institut</w:t>
            </w:r>
          </w:p>
        </w:tc>
        <w:tc>
          <w:tcPr>
            <w:tcW w:w="2041" w:type="dxa"/>
          </w:tcPr>
          <w:p w:rsidR="00505632" w:rsidRDefault="00505632" w:rsidP="00AD4E52">
            <w:pPr>
              <w:pStyle w:val="CellColumn"/>
              <w:jc w:val="right"/>
            </w:pPr>
            <w:r>
              <w:rPr>
                <w:rFonts w:cs="Times New Roman"/>
              </w:rPr>
              <w:t>1.522.168</w:t>
            </w:r>
          </w:p>
        </w:tc>
        <w:tc>
          <w:tcPr>
            <w:tcW w:w="2041" w:type="dxa"/>
          </w:tcPr>
          <w:p w:rsidR="00505632" w:rsidRDefault="00505632" w:rsidP="00AD4E52">
            <w:pPr>
              <w:pStyle w:val="CellColumn"/>
              <w:jc w:val="right"/>
            </w:pPr>
            <w:r>
              <w:rPr>
                <w:rFonts w:cs="Times New Roman"/>
              </w:rPr>
              <w:t>1.778.550</w:t>
            </w:r>
          </w:p>
        </w:tc>
        <w:tc>
          <w:tcPr>
            <w:tcW w:w="2041" w:type="dxa"/>
          </w:tcPr>
          <w:p w:rsidR="00505632" w:rsidRDefault="00505632" w:rsidP="00AD4E52">
            <w:pPr>
              <w:pStyle w:val="CellColumn"/>
              <w:jc w:val="right"/>
            </w:pPr>
            <w:r>
              <w:rPr>
                <w:rFonts w:cs="Times New Roman"/>
              </w:rPr>
              <w:t>1.770.493</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116,3</w:t>
            </w:r>
          </w:p>
        </w:tc>
      </w:tr>
      <w:tr w:rsidR="00505632" w:rsidTr="00AD4E52">
        <w:trPr>
          <w:jc w:val="center"/>
        </w:trPr>
        <w:tc>
          <w:tcPr>
            <w:tcW w:w="1632" w:type="dxa"/>
          </w:tcPr>
          <w:p w:rsidR="00505632" w:rsidRDefault="00505632" w:rsidP="00AD4E52">
            <w:pPr>
              <w:jc w:val="left"/>
            </w:pPr>
            <w:r>
              <w:t>3801-ULAGANJE U ZNANSTVENO ISTRAŽIVAČKU DJELATNOST</w:t>
            </w:r>
          </w:p>
        </w:tc>
        <w:tc>
          <w:tcPr>
            <w:tcW w:w="2041" w:type="dxa"/>
          </w:tcPr>
          <w:p w:rsidR="00505632" w:rsidRDefault="00505632" w:rsidP="00AD4E52">
            <w:pPr>
              <w:jc w:val="right"/>
            </w:pPr>
            <w:r>
              <w:t>1.522.168</w:t>
            </w:r>
          </w:p>
        </w:tc>
        <w:tc>
          <w:tcPr>
            <w:tcW w:w="2041" w:type="dxa"/>
          </w:tcPr>
          <w:p w:rsidR="00505632" w:rsidRDefault="00505632" w:rsidP="00AD4E52">
            <w:pPr>
              <w:jc w:val="right"/>
            </w:pPr>
            <w:r>
              <w:t>1.778.550</w:t>
            </w:r>
          </w:p>
        </w:tc>
        <w:tc>
          <w:tcPr>
            <w:tcW w:w="2041" w:type="dxa"/>
          </w:tcPr>
          <w:p w:rsidR="00505632" w:rsidRDefault="00505632" w:rsidP="00AD4E52">
            <w:pPr>
              <w:jc w:val="right"/>
            </w:pPr>
            <w:r>
              <w:t>1.770.493</w:t>
            </w:r>
          </w:p>
        </w:tc>
        <w:tc>
          <w:tcPr>
            <w:tcW w:w="1224" w:type="dxa"/>
          </w:tcPr>
          <w:p w:rsidR="00505632" w:rsidRDefault="00505632" w:rsidP="00AD4E52">
            <w:pPr>
              <w:jc w:val="right"/>
            </w:pPr>
            <w:r>
              <w:t>99,5</w:t>
            </w:r>
          </w:p>
        </w:tc>
        <w:tc>
          <w:tcPr>
            <w:tcW w:w="1224" w:type="dxa"/>
          </w:tcPr>
          <w:p w:rsidR="00505632" w:rsidRDefault="00505632" w:rsidP="00AD4E52">
            <w:pPr>
              <w:jc w:val="right"/>
            </w:pPr>
            <w:r>
              <w:t>116,3</w:t>
            </w:r>
          </w:p>
        </w:tc>
      </w:tr>
    </w:tbl>
    <w:p w:rsidR="00505632" w:rsidRDefault="00505632" w:rsidP="00505632">
      <w:pPr>
        <w:jc w:val="left"/>
      </w:pPr>
    </w:p>
    <w:p w:rsidR="00505632" w:rsidRDefault="00505632" w:rsidP="00505632">
      <w:pPr>
        <w:pStyle w:val="Heading3"/>
      </w:pPr>
      <w:r>
        <w:rPr>
          <w:rFonts w:cs="Times New Roman"/>
        </w:rPr>
        <w:t>3801 ULAGANJE U ZNANSTVENO ISTRAŽIVAČKU DJELATNOST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3801-ULAGANJE U ZNANSTVENO ISTRAŽIVAČKU DJELATNOST</w:t>
            </w:r>
          </w:p>
        </w:tc>
        <w:tc>
          <w:tcPr>
            <w:tcW w:w="2041" w:type="dxa"/>
          </w:tcPr>
          <w:p w:rsidR="00505632" w:rsidRDefault="00505632" w:rsidP="00AD4E52">
            <w:pPr>
              <w:pStyle w:val="CellColumn"/>
              <w:jc w:val="right"/>
            </w:pPr>
            <w:r>
              <w:rPr>
                <w:rFonts w:cs="Times New Roman"/>
              </w:rPr>
              <w:t>1.522.168</w:t>
            </w:r>
          </w:p>
        </w:tc>
        <w:tc>
          <w:tcPr>
            <w:tcW w:w="2041" w:type="dxa"/>
          </w:tcPr>
          <w:p w:rsidR="00505632" w:rsidRDefault="00505632" w:rsidP="00AD4E52">
            <w:pPr>
              <w:pStyle w:val="CellColumn"/>
              <w:jc w:val="right"/>
            </w:pPr>
            <w:r>
              <w:rPr>
                <w:rFonts w:cs="Times New Roman"/>
              </w:rPr>
              <w:t>1.778.550</w:t>
            </w:r>
          </w:p>
        </w:tc>
        <w:tc>
          <w:tcPr>
            <w:tcW w:w="2041" w:type="dxa"/>
          </w:tcPr>
          <w:p w:rsidR="00505632" w:rsidRDefault="00505632" w:rsidP="00AD4E52">
            <w:pPr>
              <w:pStyle w:val="CellColumn"/>
              <w:jc w:val="right"/>
            </w:pPr>
            <w:r>
              <w:rPr>
                <w:rFonts w:cs="Times New Roman"/>
              </w:rPr>
              <w:t>1.770.493</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116,3</w:t>
            </w:r>
          </w:p>
        </w:tc>
      </w:tr>
    </w:tbl>
    <w:p w:rsidR="00505632" w:rsidRDefault="00505632" w:rsidP="00505632">
      <w:pPr>
        <w:jc w:val="left"/>
      </w:pPr>
    </w:p>
    <w:p w:rsidR="00505632" w:rsidRDefault="00505632" w:rsidP="00505632">
      <w:pPr>
        <w:pStyle w:val="Heading8"/>
        <w:jc w:val="left"/>
      </w:pPr>
      <w:r>
        <w:t xml:space="preserve">Cilj 1. Unaprijeđena povezanost znanstvenih organizacija s gospodarstvom i društvom u cjelini </w:t>
      </w:r>
    </w:p>
    <w:p w:rsidR="00505632" w:rsidRDefault="00505632" w:rsidP="00505632">
      <w:pPr>
        <w:pStyle w:val="Heading8"/>
        <w:jc w:val="left"/>
      </w:pPr>
      <w:r>
        <w:t>Opis provedbe cilja programa</w:t>
      </w:r>
    </w:p>
    <w:p w:rsidR="00505632" w:rsidRDefault="00505632" w:rsidP="00505632">
      <w:r>
        <w:t>Posebni cilj 2.1. - Strateški plan MZO-a 2016.-2018.</w:t>
      </w:r>
    </w:p>
    <w:p w:rsidR="00505632" w:rsidRDefault="00505632" w:rsidP="00505632">
      <w:pPr>
        <w:pStyle w:val="Heading4"/>
      </w:pPr>
      <w:r>
        <w:t>A866001 ADMINISTRACIJA I UPRAVLJANJE HRVATSKOG MJERITELJSKOG INSTITUTA</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A866001-ADMINISTRACIJA I UPRAVLJANJE HRVATSKOG MJERITELJSKOG INSTITUTA</w:t>
            </w:r>
          </w:p>
        </w:tc>
        <w:tc>
          <w:tcPr>
            <w:tcW w:w="2041" w:type="dxa"/>
          </w:tcPr>
          <w:p w:rsidR="00505632" w:rsidRDefault="00505632" w:rsidP="00AD4E52">
            <w:pPr>
              <w:pStyle w:val="CellColumn"/>
              <w:jc w:val="right"/>
            </w:pPr>
            <w:r>
              <w:rPr>
                <w:rFonts w:cs="Times New Roman"/>
              </w:rPr>
              <w:t>1.522.168</w:t>
            </w:r>
          </w:p>
        </w:tc>
        <w:tc>
          <w:tcPr>
            <w:tcW w:w="2041" w:type="dxa"/>
          </w:tcPr>
          <w:p w:rsidR="00505632" w:rsidRDefault="00505632" w:rsidP="00AD4E52">
            <w:pPr>
              <w:pStyle w:val="CellColumn"/>
              <w:jc w:val="right"/>
            </w:pPr>
            <w:r>
              <w:rPr>
                <w:rFonts w:cs="Times New Roman"/>
              </w:rPr>
              <w:t>1.778.550</w:t>
            </w:r>
          </w:p>
        </w:tc>
        <w:tc>
          <w:tcPr>
            <w:tcW w:w="2041" w:type="dxa"/>
          </w:tcPr>
          <w:p w:rsidR="00505632" w:rsidRDefault="00505632" w:rsidP="00AD4E52">
            <w:pPr>
              <w:pStyle w:val="CellColumn"/>
              <w:jc w:val="right"/>
            </w:pPr>
            <w:r>
              <w:rPr>
                <w:rFonts w:cs="Times New Roman"/>
              </w:rPr>
              <w:t>1.770.493</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116,3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Uredba Vlade Republike Hrvatske o osnivanju Hrvatskog mjeriteljskog instituta </w:t>
      </w:r>
    </w:p>
    <w:p w:rsidR="00505632" w:rsidRDefault="00505632" w:rsidP="00505632">
      <w:r>
        <w:t>Zakon o mjeriteljstvu</w:t>
      </w:r>
    </w:p>
    <w:p w:rsidR="00505632" w:rsidRDefault="00505632" w:rsidP="00505632">
      <w:pPr>
        <w:pStyle w:val="Heading8"/>
        <w:jc w:val="left"/>
      </w:pPr>
      <w:r>
        <w:t>Opis aktivnosti</w:t>
      </w:r>
    </w:p>
    <w:p w:rsidR="00505632" w:rsidRDefault="00505632" w:rsidP="00505632">
      <w:r>
        <w:t>Sredstvima ove aktivnosti financirani se rashodi za 10 zaposlenika Hrvatskog mjeriteljskog instituta, kao i materijalni troškovi poslovanja, te troškovi koji postoje temeljem preuzetih obveza Instituta za državne etalone aktivnosti na razini Republike Hrvatske, kao i članstva u međunarodnim mjeriteljskim organizacijama i udruženjima.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ugovorenih projekata s gospodarskim subjektima, tijelima državne uprave i jedinicama lokalne uprave i samouprave, civilnim sektorom i nevladinim udrugama</w:t>
            </w:r>
          </w:p>
        </w:tc>
        <w:tc>
          <w:tcPr>
            <w:tcW w:w="2551" w:type="dxa"/>
          </w:tcPr>
          <w:p w:rsidR="00505632" w:rsidRDefault="00505632" w:rsidP="00AD4E52">
            <w:pPr>
              <w:pStyle w:val="CellColumn"/>
              <w:jc w:val="left"/>
            </w:pPr>
            <w:r>
              <w:rPr>
                <w:rFonts w:cs="Times New Roman"/>
              </w:rPr>
              <w:t>Broj ugovorenih projekata javnih znanstvenih instituta i javnih sveučilišta s gospodarskim subjektima, tijelima državne uprave i jedinicama lokalne uprave i samouprave, civilnim sektorom i nevladinim udrugama</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(godišnje)</w:t>
            </w:r>
          </w:p>
        </w:tc>
        <w:tc>
          <w:tcPr>
            <w:tcW w:w="1020" w:type="dxa"/>
          </w:tcPr>
          <w:p w:rsidR="00505632" w:rsidRDefault="00505632" w:rsidP="00AD4E52">
            <w:pPr>
              <w:pStyle w:val="CellColumn"/>
              <w:jc w:val="right"/>
            </w:pPr>
            <w:r>
              <w:rPr>
                <w:rFonts w:cs="Times New Roman"/>
              </w:rPr>
              <w:t xml:space="preserve">1.512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1.600</w:t>
            </w:r>
          </w:p>
        </w:tc>
        <w:tc>
          <w:tcPr>
            <w:tcW w:w="1020" w:type="dxa"/>
          </w:tcPr>
          <w:p w:rsidR="00505632" w:rsidRDefault="00505632" w:rsidP="00AD4E52">
            <w:pPr>
              <w:pStyle w:val="CellColumn"/>
              <w:jc w:val="right"/>
            </w:pPr>
            <w:r>
              <w:rPr>
                <w:rFonts w:cs="Times New Roman"/>
              </w:rPr>
              <w:t>1.454</w:t>
            </w:r>
          </w:p>
        </w:tc>
      </w:tr>
      <w:tr w:rsidR="00505632" w:rsidTr="00AD4E52">
        <w:trPr>
          <w:jc w:val="center"/>
        </w:trPr>
        <w:tc>
          <w:tcPr>
            <w:tcW w:w="2551" w:type="dxa"/>
          </w:tcPr>
          <w:p w:rsidR="00505632" w:rsidRDefault="00505632" w:rsidP="00AD4E52">
            <w:pPr>
              <w:pStyle w:val="CellColumn"/>
              <w:jc w:val="left"/>
            </w:pPr>
            <w:r>
              <w:rPr>
                <w:rFonts w:cs="Times New Roman"/>
              </w:rPr>
              <w:t>Udio prihoda znanstvenih organizacija od ugovorenih projekata s gospodarskim subjektima, tijelima državne uprave i jedinicama lokalne uprave i samouprave, civilnim sektorom i nevladinim udrugama u ukupnim prihodima</w:t>
            </w:r>
          </w:p>
        </w:tc>
        <w:tc>
          <w:tcPr>
            <w:tcW w:w="2551" w:type="dxa"/>
          </w:tcPr>
          <w:p w:rsidR="00505632" w:rsidRDefault="00505632" w:rsidP="00AD4E52">
            <w:pPr>
              <w:pStyle w:val="CellColumn"/>
              <w:jc w:val="left"/>
            </w:pPr>
            <w:r>
              <w:rPr>
                <w:rFonts w:cs="Times New Roman"/>
              </w:rPr>
              <w:t>Udio prihoda javnih znanstvenih instituta i javnih sveučilišta od ugovorenih projekata s gospodarskim subjektima, tijelima državne uprave i jedinicama lokalne uprave i samouprave, civilnim sektorom i nevladinim udrugama u ukupnim prihodima</w:t>
            </w:r>
          </w:p>
        </w:tc>
        <w:tc>
          <w:tcPr>
            <w:tcW w:w="1020" w:type="dxa"/>
          </w:tcPr>
          <w:p w:rsidR="00505632" w:rsidRDefault="00505632" w:rsidP="00AD4E52">
            <w:pPr>
              <w:pStyle w:val="CellColumn"/>
              <w:jc w:val="right"/>
            </w:pPr>
            <w:r>
              <w:rPr>
                <w:rFonts w:cs="Times New Roman"/>
              </w:rPr>
              <w:t>Postotak u ukupnim prihodima (godišnje)</w:t>
            </w:r>
          </w:p>
        </w:tc>
        <w:tc>
          <w:tcPr>
            <w:tcW w:w="1020" w:type="dxa"/>
          </w:tcPr>
          <w:p w:rsidR="00505632" w:rsidRDefault="00505632" w:rsidP="00AD4E52">
            <w:pPr>
              <w:pStyle w:val="CellColumn"/>
              <w:jc w:val="right"/>
            </w:pPr>
            <w:r>
              <w:rPr>
                <w:rFonts w:cs="Times New Roman"/>
              </w:rPr>
              <w:t xml:space="preserve">4,01  </w:t>
            </w:r>
          </w:p>
          <w:p w:rsidR="00505632" w:rsidRDefault="00505632" w:rsidP="00AD4E52">
            <w:pPr>
              <w:pStyle w:val="CellColumn"/>
              <w:jc w:val="right"/>
            </w:pPr>
            <w:r>
              <w:rPr>
                <w:rFonts w:cs="Times New Roman"/>
              </w:rPr>
              <w:t>(2014.)</w:t>
            </w:r>
          </w:p>
        </w:tc>
        <w:tc>
          <w:tcPr>
            <w:tcW w:w="1020" w:type="dxa"/>
          </w:tcPr>
          <w:p w:rsidR="00505632" w:rsidRDefault="00505632" w:rsidP="00AD4E52">
            <w:pPr>
              <w:pStyle w:val="CellColumn"/>
              <w:jc w:val="right"/>
            </w:pPr>
            <w:r>
              <w:rPr>
                <w:rFonts w:cs="Times New Roman"/>
              </w:rPr>
              <w:t>MZO</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13,22</w:t>
            </w:r>
          </w:p>
        </w:tc>
      </w:tr>
    </w:tbl>
    <w:p w:rsidR="00505632" w:rsidRDefault="00505632" w:rsidP="00505632">
      <w:pPr>
        <w:jc w:val="left"/>
      </w:pPr>
    </w:p>
    <w:p w:rsidR="00505632" w:rsidRDefault="00505632" w:rsidP="00505632">
      <w:pPr>
        <w:pStyle w:val="Heading3"/>
      </w:pPr>
      <w:r>
        <w:rPr>
          <w:rFonts w:cs="Times New Roman"/>
        </w:rPr>
        <w:t>46173 Agencija za strukovno obrazovanje i obrazovanje odraslih</w:t>
      </w:r>
    </w:p>
    <w:p w:rsidR="00505632" w:rsidRDefault="00505632" w:rsidP="00505632">
      <w:r>
        <w:t>Agencija za strukovno obrazovanje i obrazovanje odraslih osnovana je Zakonom o Agenciji za strukovno obrazovanje i obrazovanje odraslih 2010. godine. Djelatnost Agencije su poslovi planiranja, razvijanja, organiziranja, provedbe, praćenja i unapređivanja sustava strukovnog obrazovanja i obrazovanja odraslih. U sklopu tih djelatnosti provodi se cijeli niz različitih aktivnosti kao što su: vođenje postupka priznavanja inozemnih školskih kvalifikacija, stručna i andragoška procjena programa obrazovanja odraslih, provedba stručnih ispita i napredovanje nastavnika, stručno-pedagoški nadzor u strukovnim školama, nadzor nad stručnim radom ustanova za obrazovanje odraslih, organizacija i provedba pomoćničkih ispita kao i provedba postupaka vanjskoga vrjednovanja pomoćničkog ispita, obavljanje poslova Posredničkog tijela razine 2 (PT2) za Operativni program "Razvoj ljudskih potencijala" 2007. - 2013.,  za Operativne programe "Učinkoviti ljudski potencijali" 2014. - 2020. i "Konkurentnost i kohezija" 2014. - 2020., provedba postupka odobravanja pomoćnih nastavnih sredstava i vođenje kataloga odobrenih pomoćnih nastavnih sredstava, stručna usavršavanja što ih Agencija organizira za zaposlene u sustavu strukovnog obrazovanja i obrazovanja odraslih, projektiranje, priprema i provedba međunarodnih projekata, promocija cjeloživotnog učenja te podizanje privlačnosti strukovnog obrazovanja.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46173-Agencija za strukovno obrazovanje i obrazovanje odraslih</w:t>
            </w:r>
          </w:p>
        </w:tc>
        <w:tc>
          <w:tcPr>
            <w:tcW w:w="2041" w:type="dxa"/>
          </w:tcPr>
          <w:p w:rsidR="00505632" w:rsidRDefault="00505632" w:rsidP="00AD4E52">
            <w:pPr>
              <w:pStyle w:val="CellColumn"/>
              <w:jc w:val="right"/>
            </w:pPr>
            <w:r>
              <w:rPr>
                <w:rFonts w:cs="Times New Roman"/>
              </w:rPr>
              <w:t>17.306.091</w:t>
            </w:r>
          </w:p>
        </w:tc>
        <w:tc>
          <w:tcPr>
            <w:tcW w:w="2041" w:type="dxa"/>
          </w:tcPr>
          <w:p w:rsidR="00505632" w:rsidRDefault="00505632" w:rsidP="00AD4E52">
            <w:pPr>
              <w:pStyle w:val="CellColumn"/>
              <w:jc w:val="right"/>
            </w:pPr>
            <w:r>
              <w:rPr>
                <w:rFonts w:cs="Times New Roman"/>
              </w:rPr>
              <w:t>32.178.030</w:t>
            </w:r>
          </w:p>
        </w:tc>
        <w:tc>
          <w:tcPr>
            <w:tcW w:w="2041" w:type="dxa"/>
          </w:tcPr>
          <w:p w:rsidR="00505632" w:rsidRDefault="00505632" w:rsidP="00AD4E52">
            <w:pPr>
              <w:pStyle w:val="CellColumn"/>
              <w:jc w:val="right"/>
            </w:pPr>
            <w:r>
              <w:rPr>
                <w:rFonts w:cs="Times New Roman"/>
              </w:rPr>
              <w:t>22.721.857</w:t>
            </w:r>
          </w:p>
        </w:tc>
        <w:tc>
          <w:tcPr>
            <w:tcW w:w="1224" w:type="dxa"/>
          </w:tcPr>
          <w:p w:rsidR="00505632" w:rsidRDefault="00505632" w:rsidP="00AD4E52">
            <w:pPr>
              <w:pStyle w:val="CellColumn"/>
              <w:jc w:val="right"/>
            </w:pPr>
            <w:r>
              <w:rPr>
                <w:rFonts w:cs="Times New Roman"/>
              </w:rPr>
              <w:t>70,6</w:t>
            </w:r>
          </w:p>
        </w:tc>
        <w:tc>
          <w:tcPr>
            <w:tcW w:w="1224" w:type="dxa"/>
          </w:tcPr>
          <w:p w:rsidR="00505632" w:rsidRDefault="00505632" w:rsidP="00AD4E52">
            <w:pPr>
              <w:pStyle w:val="CellColumn"/>
              <w:jc w:val="right"/>
            </w:pPr>
            <w:r>
              <w:rPr>
                <w:rFonts w:cs="Times New Roman"/>
              </w:rPr>
              <w:t>131,3</w:t>
            </w:r>
          </w:p>
        </w:tc>
      </w:tr>
      <w:tr w:rsidR="00505632" w:rsidTr="00AD4E52">
        <w:trPr>
          <w:jc w:val="center"/>
        </w:trPr>
        <w:tc>
          <w:tcPr>
            <w:tcW w:w="1632" w:type="dxa"/>
          </w:tcPr>
          <w:p w:rsidR="00505632" w:rsidRDefault="00505632" w:rsidP="00AD4E52">
            <w:pPr>
              <w:jc w:val="left"/>
            </w:pPr>
            <w:r>
              <w:t>3701-RAZVOJ ODGOJNO OBRAZOVNOG SUSTAVA</w:t>
            </w:r>
          </w:p>
        </w:tc>
        <w:tc>
          <w:tcPr>
            <w:tcW w:w="2041" w:type="dxa"/>
          </w:tcPr>
          <w:p w:rsidR="00505632" w:rsidRDefault="00505632" w:rsidP="00AD4E52">
            <w:pPr>
              <w:jc w:val="right"/>
            </w:pPr>
            <w:r>
              <w:t>17.306.091</w:t>
            </w:r>
          </w:p>
        </w:tc>
        <w:tc>
          <w:tcPr>
            <w:tcW w:w="2041" w:type="dxa"/>
          </w:tcPr>
          <w:p w:rsidR="00505632" w:rsidRDefault="00505632" w:rsidP="00AD4E52">
            <w:pPr>
              <w:jc w:val="right"/>
            </w:pPr>
            <w:r>
              <w:t>32.178.030</w:t>
            </w:r>
          </w:p>
        </w:tc>
        <w:tc>
          <w:tcPr>
            <w:tcW w:w="2041" w:type="dxa"/>
          </w:tcPr>
          <w:p w:rsidR="00505632" w:rsidRDefault="00505632" w:rsidP="00AD4E52">
            <w:pPr>
              <w:jc w:val="right"/>
            </w:pPr>
            <w:r>
              <w:t>22.721.857</w:t>
            </w:r>
          </w:p>
        </w:tc>
        <w:tc>
          <w:tcPr>
            <w:tcW w:w="1224" w:type="dxa"/>
          </w:tcPr>
          <w:p w:rsidR="00505632" w:rsidRDefault="00505632" w:rsidP="00AD4E52">
            <w:pPr>
              <w:jc w:val="right"/>
            </w:pPr>
            <w:r>
              <w:t>70,6</w:t>
            </w:r>
          </w:p>
        </w:tc>
        <w:tc>
          <w:tcPr>
            <w:tcW w:w="1224" w:type="dxa"/>
          </w:tcPr>
          <w:p w:rsidR="00505632" w:rsidRDefault="00505632" w:rsidP="00AD4E52">
            <w:pPr>
              <w:jc w:val="right"/>
            </w:pPr>
            <w:r>
              <w:t>131,3</w:t>
            </w:r>
          </w:p>
        </w:tc>
      </w:tr>
    </w:tbl>
    <w:p w:rsidR="00505632" w:rsidRDefault="00505632" w:rsidP="00505632">
      <w:pPr>
        <w:jc w:val="left"/>
      </w:pPr>
    </w:p>
    <w:p w:rsidR="00505632" w:rsidRDefault="00505632" w:rsidP="00505632">
      <w:pPr>
        <w:pStyle w:val="Heading3"/>
      </w:pPr>
      <w:r>
        <w:rPr>
          <w:rFonts w:cs="Times New Roman"/>
        </w:rPr>
        <w:t>3701 RAZVOJ ODGOJNO OBRAZOVNOG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3701-RAZVOJ ODGOJNO OBRAZOVNOG SUSTAVA</w:t>
            </w:r>
          </w:p>
        </w:tc>
        <w:tc>
          <w:tcPr>
            <w:tcW w:w="2041" w:type="dxa"/>
          </w:tcPr>
          <w:p w:rsidR="00505632" w:rsidRDefault="00505632" w:rsidP="00AD4E52">
            <w:pPr>
              <w:pStyle w:val="CellColumn"/>
              <w:jc w:val="right"/>
            </w:pPr>
            <w:r>
              <w:rPr>
                <w:rFonts w:cs="Times New Roman"/>
              </w:rPr>
              <w:t>17.306.091</w:t>
            </w:r>
          </w:p>
        </w:tc>
        <w:tc>
          <w:tcPr>
            <w:tcW w:w="2041" w:type="dxa"/>
          </w:tcPr>
          <w:p w:rsidR="00505632" w:rsidRDefault="00505632" w:rsidP="00AD4E52">
            <w:pPr>
              <w:pStyle w:val="CellColumn"/>
              <w:jc w:val="right"/>
            </w:pPr>
            <w:r>
              <w:rPr>
                <w:rFonts w:cs="Times New Roman"/>
              </w:rPr>
              <w:t>32.178.030</w:t>
            </w:r>
          </w:p>
        </w:tc>
        <w:tc>
          <w:tcPr>
            <w:tcW w:w="2041" w:type="dxa"/>
          </w:tcPr>
          <w:p w:rsidR="00505632" w:rsidRDefault="00505632" w:rsidP="00AD4E52">
            <w:pPr>
              <w:pStyle w:val="CellColumn"/>
              <w:jc w:val="right"/>
            </w:pPr>
            <w:r>
              <w:rPr>
                <w:rFonts w:cs="Times New Roman"/>
              </w:rPr>
              <w:t>22.721.857</w:t>
            </w:r>
          </w:p>
        </w:tc>
        <w:tc>
          <w:tcPr>
            <w:tcW w:w="1224" w:type="dxa"/>
          </w:tcPr>
          <w:p w:rsidR="00505632" w:rsidRDefault="00505632" w:rsidP="00AD4E52">
            <w:pPr>
              <w:pStyle w:val="CellColumn"/>
              <w:jc w:val="right"/>
            </w:pPr>
            <w:r>
              <w:rPr>
                <w:rFonts w:cs="Times New Roman"/>
              </w:rPr>
              <w:t>70,6</w:t>
            </w:r>
          </w:p>
        </w:tc>
        <w:tc>
          <w:tcPr>
            <w:tcW w:w="1224" w:type="dxa"/>
          </w:tcPr>
          <w:p w:rsidR="00505632" w:rsidRDefault="00505632" w:rsidP="00AD4E52">
            <w:pPr>
              <w:pStyle w:val="CellColumn"/>
              <w:jc w:val="right"/>
            </w:pPr>
            <w:r>
              <w:rPr>
                <w:rFonts w:cs="Times New Roman"/>
              </w:rPr>
              <w:t>131,3</w:t>
            </w:r>
          </w:p>
        </w:tc>
      </w:tr>
    </w:tbl>
    <w:p w:rsidR="00505632" w:rsidRDefault="00505632" w:rsidP="00505632">
      <w:pPr>
        <w:jc w:val="left"/>
      </w:pPr>
    </w:p>
    <w:p w:rsidR="00505632" w:rsidRDefault="00505632" w:rsidP="00505632">
      <w:r>
        <w:t xml:space="preserve">Agencija pridonosi ostvarenju cilja razvoja odgojno-obrazovnog sustava kroz provedbu unapređenja strukovnog obrazovanja i obrazovanja odraslih.   </w:t>
      </w:r>
    </w:p>
    <w:p w:rsidR="00505632" w:rsidRDefault="00505632" w:rsidP="00505632">
      <w:r>
        <w:t xml:space="preserve">Promocija učenja i obrazovanja ima za svrhu senzibiliziranje javnosti za cjeloživotno učenje, promicanje kulture učenja te poticanje osobne motivacije za učenjem i obrazovanjem. Na temelju izravnih obraćanja građanima potiče se veće uključivanje u procese obrazovanja i učenja. Namjera je podizanje svijesti o važnosti ulaganja u cjeloživotno učenje, stjecanja kvalifikacija potrebnih tržištu rada (veća zapošljivost) kao i znanja potrebnih za samoostvarenje, povećanje kvalitete življenja i razvoja aktivnog građanstva, što će u konačnici dovesti do poboljšanja obrazovne strukture stanovništva, trajnog osuvremenjivanja sadržaja i metoda obrazovanja na svim razinama obrazovnog sustava. Važno je osvijestiti i spoznaju o stalnoj brizi kod nositelja obrazovnog sustava te svih koji sufinanciraju spomenute aktivnosti.  </w:t>
      </w:r>
    </w:p>
    <w:p w:rsidR="00505632" w:rsidRDefault="00505632" w:rsidP="00505632">
      <w:r>
        <w:t xml:space="preserve">U skladu sa Strategije obrazovanja, znanosti i tehnologije, posebice s Mjerom 1.3.1. Širiti i unapređivati postojeće manifestacije koje doprinose promociji cjeloživotnog učenja i obrazovanja te uvesti nove oblike i načine promocijskih aktivnosti, Agencija je nastavila s provedbom različitih aktivnosti promocije učenja i obrazovanja. U okviru svoje uloge, kao središnje stručne institucije sustava obrazovanja odraslih, Agencija kontinuirano provodi aktivnosti vezane uz promociju učenja i obrazovanja. Značajna aktivnost je organizacija i provedba Tjedna cjeloživotnog učenja koji je UNESCO-ova inicijativa, pokrenuta je 1999. godine, a svake se godine provodi u brojnim zemljama na svim kontinentima. Ove godine proveden je 10. Tjedan cjeloživotnog učenja u RH.  </w:t>
      </w:r>
    </w:p>
    <w:p w:rsidR="00505632" w:rsidRDefault="00505632" w:rsidP="00505632">
      <w:r>
        <w:t>Promocija učenja i obrazovanja ima za svrhu senzibiliziranje javnosti za cjeloživotno učenje, promicanje kulture učenja te poticanje osobne motivacije za učenjem i obrazovanjem. Na temelju izravnih obraćanja građanima potiče se veće uključivanje u procese obrazovanja i učenja. Namjera je podizanje svijesti o važnosti ulaganja u cjeloživotno učenje, stjecanja kvalifikacija potrebnih tržištu rada (veća zapošljivost) kao i znanja potrebnih za samoostvarenje, povećanje kvalitete življenja i razvoja aktivnog građanstva, što u konačnici vodi poboljšanju obrazovne strukture stanovništva, trajnog osuvremenjivanja sadržaja i metoda obrazovanja na svim razinama obrazovnog sustava.</w:t>
      </w:r>
    </w:p>
    <w:p w:rsidR="00505632" w:rsidRDefault="00505632" w:rsidP="00505632">
      <w:pPr>
        <w:pStyle w:val="Heading8"/>
        <w:jc w:val="left"/>
      </w:pPr>
      <w:r>
        <w:t>Cilj 1. Povećati postotak građana uključenih u programe cjeloživotnog učenja</w:t>
      </w:r>
    </w:p>
    <w:p w:rsidR="00505632" w:rsidRDefault="00505632" w:rsidP="00505632">
      <w:pPr>
        <w:pStyle w:val="Heading8"/>
        <w:jc w:val="left"/>
      </w:pPr>
      <w:r>
        <w:t>Opis provedbe cilja programa</w:t>
      </w:r>
    </w:p>
    <w:p w:rsidR="00505632" w:rsidRDefault="00505632" w:rsidP="00505632">
      <w:r>
        <w:t xml:space="preserve">Jedna od ključnih aktivnosti za povećanje sudjelovanja građana u programima za cjeloživotno učenje je sustavno senzibiliziranje javnosti za cjeloživotno učenje promicanjem kulture učenja te poticanje osobne motivacije za učenjem i obrazovanjem. Namjera je podizanje svijesti o važnosti ulaganja u cjeloživotno učenje, stjecanja kvalifikacija potrebnih tržištu rada (veća zapošljivost) kao i znanja potrebnih za samoostvarenje, povećanje kvalitete življenja i razvoja aktivnog građanstva, što u konačnici vodi poboljšanju obrazovne strukture stanovništva,  </w:t>
      </w:r>
    </w:p>
    <w:p w:rsidR="00505632" w:rsidRDefault="00505632" w:rsidP="00505632">
      <w:r>
        <w:t>trajnog osuvremenjivanja sadržaja i metoda obrazovanja na svim razinama obrazovnog sustava. Važno je osvijestiti i spoznaju o stalnoj brizi kod nositelja obrazovnog sustava te svih koji sufinanciraju spomenute aktivnosti.</w:t>
      </w:r>
    </w:p>
    <w:p w:rsidR="00505632" w:rsidRDefault="00505632" w:rsidP="00505632">
      <w:pPr>
        <w:pStyle w:val="Heading8"/>
        <w:jc w:val="left"/>
      </w:pPr>
      <w:r>
        <w:t>Cilj 2. Kontinuirano stručno osposobljavanje i usavršavanje zaposlenih u području obrazovanja odraslih</w:t>
      </w:r>
    </w:p>
    <w:p w:rsidR="00505632" w:rsidRDefault="00505632" w:rsidP="00505632">
      <w:pPr>
        <w:pStyle w:val="Heading8"/>
        <w:jc w:val="left"/>
      </w:pPr>
      <w:r>
        <w:t>Opis provedbe cilja programa</w:t>
      </w:r>
    </w:p>
    <w:p w:rsidR="00505632" w:rsidRDefault="00505632" w:rsidP="00505632">
      <w:r>
        <w:t>Namjera je Agencije, kao i proteklih godina, podizanje kvalitete obrazovnog procesa kroz stručno osposobljavanje i usavršavanje zaposlenih u sustavu obrazovanja odraslih (ravnatelji ustanova, voditelji obrazovanja i nastavnici). Aktivnosti su se provodile kroz radionice, stručne skupove, konferencije i slično. U 2016.-oj promijenjen je koncept te jer je  Agencija za strukovno obrazovanje i obrazovanje odraslih, uz  suglasnost DVV International, u 2016. godine završila II. ciklus provedbu programa Curriculum GlobALE. Odabrano je 25 andragoških djelatnika koji su sudjelovali u radu kroz pet modula određenih programom. Ovo je potpuno drugačiji i sveobuhvatni program te je najveći dio sredstva utrošene na ovaj program. Nastavilo se i s drugim, kraćim oblicima andragoškog usavršavanja.</w:t>
      </w:r>
    </w:p>
    <w:p w:rsidR="00505632" w:rsidRDefault="00505632" w:rsidP="00505632">
      <w:pPr>
        <w:pStyle w:val="Heading8"/>
        <w:jc w:val="left"/>
      </w:pPr>
      <w:r>
        <w:t xml:space="preserve">Cilj 3. Osiguranje kvalitete rada ustanova za obrazovanje odraslih </w:t>
      </w:r>
    </w:p>
    <w:p w:rsidR="00505632" w:rsidRDefault="00505632" w:rsidP="00505632">
      <w:pPr>
        <w:pStyle w:val="Heading8"/>
        <w:jc w:val="left"/>
      </w:pPr>
      <w:r>
        <w:t>Opis provedbe cilja programa</w:t>
      </w:r>
    </w:p>
    <w:p w:rsidR="00505632" w:rsidRDefault="00505632" w:rsidP="00505632">
      <w:r>
        <w:t>Davanjem mišljenja na programe obrazovanja odraslih temeljem stručne i andragoške procjene pridonosi se osiguranju kvalitete i kreiranju programa obrazovanja odraslih namijenjenih potrebama i zahtjevima tržišta rada. Provođenjem stručnih nadzora povećava se kvalitete rada ustanova za obrazovanje odraslih nad stručnim radom ustanova za obrazovanje odraslih te se provjerava vođenje propisane andragoške dokumentacije, vođenje propisanih evidencija, izdavanje javnih isprava, način praćenja uspjeha i organiziranje završne provjere, ostvarivanje prava i obveza polaznika, ispunjenosti materijalnih, prostornih i kadrovskih uvjeta za izvođenje programa.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07"/>
        <w:gridCol w:w="2511"/>
        <w:gridCol w:w="1125"/>
        <w:gridCol w:w="1016"/>
        <w:gridCol w:w="1014"/>
        <w:gridCol w:w="1016"/>
        <w:gridCol w:w="1017"/>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 postotak osoba uključen u neki oblik cjeloživotnog učenja.</w:t>
            </w:r>
          </w:p>
        </w:tc>
        <w:tc>
          <w:tcPr>
            <w:tcW w:w="2551" w:type="dxa"/>
          </w:tcPr>
          <w:p w:rsidR="00505632" w:rsidRDefault="00505632" w:rsidP="00AD4E52">
            <w:pPr>
              <w:pStyle w:val="CellColumn"/>
              <w:jc w:val="left"/>
            </w:pPr>
            <w:r>
              <w:rPr>
                <w:rFonts w:cs="Times New Roman"/>
              </w:rPr>
              <w:t>Kontinuiranom promocijom učenja povećava se mogućnost utjecaja na svijest  svakog pojedinca te time i njegovo sudjelovanje u nekom obliku učenja.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2,4</w:t>
            </w:r>
          </w:p>
        </w:tc>
        <w:tc>
          <w:tcPr>
            <w:tcW w:w="918" w:type="dxa"/>
          </w:tcPr>
          <w:p w:rsidR="00505632" w:rsidRDefault="00505632" w:rsidP="00AD4E52">
            <w:pPr>
              <w:pStyle w:val="CellColumn"/>
              <w:jc w:val="right"/>
            </w:pPr>
            <w:r>
              <w:rPr>
                <w:rFonts w:cs="Times New Roman"/>
              </w:rPr>
              <w:t>Eurostat i Državni zavod za statistiku</w:t>
            </w:r>
          </w:p>
        </w:tc>
        <w:tc>
          <w:tcPr>
            <w:tcW w:w="1020" w:type="dxa"/>
          </w:tcPr>
          <w:p w:rsidR="00505632" w:rsidRDefault="00505632" w:rsidP="00AD4E52">
            <w:pPr>
              <w:pStyle w:val="CellColumn"/>
              <w:jc w:val="right"/>
            </w:pPr>
            <w:r>
              <w:rPr>
                <w:rFonts w:cs="Times New Roman"/>
              </w:rPr>
              <w:t>2,6</w:t>
            </w:r>
          </w:p>
        </w:tc>
        <w:tc>
          <w:tcPr>
            <w:tcW w:w="1020" w:type="dxa"/>
          </w:tcPr>
          <w:p w:rsidR="00505632" w:rsidRDefault="00505632" w:rsidP="00AD4E52">
            <w:pPr>
              <w:pStyle w:val="CellColumn"/>
              <w:jc w:val="right"/>
            </w:pPr>
            <w:r>
              <w:rPr>
                <w:rFonts w:cs="Times New Roman"/>
              </w:rPr>
              <w:t>3,2</w:t>
            </w:r>
          </w:p>
        </w:tc>
      </w:tr>
      <w:tr w:rsidR="00505632" w:rsidTr="00AD4E52">
        <w:trPr>
          <w:jc w:val="center"/>
        </w:trPr>
        <w:tc>
          <w:tcPr>
            <w:tcW w:w="2551" w:type="dxa"/>
          </w:tcPr>
          <w:p w:rsidR="00505632" w:rsidRDefault="00505632" w:rsidP="00AD4E52">
            <w:pPr>
              <w:pStyle w:val="CellColumn"/>
              <w:jc w:val="left"/>
            </w:pPr>
            <w:r>
              <w:rPr>
                <w:rFonts w:cs="Times New Roman"/>
              </w:rPr>
              <w:t>Usklađenost programa sa zakonskim propisima i pravilima struke.</w:t>
            </w:r>
          </w:p>
        </w:tc>
        <w:tc>
          <w:tcPr>
            <w:tcW w:w="2551" w:type="dxa"/>
          </w:tcPr>
          <w:p w:rsidR="00505632" w:rsidRDefault="00505632" w:rsidP="00AD4E52">
            <w:pPr>
              <w:pStyle w:val="CellColumn"/>
              <w:jc w:val="left"/>
            </w:pPr>
            <w:r>
              <w:rPr>
                <w:rFonts w:cs="Times New Roman"/>
              </w:rPr>
              <w:t>Usklađenjem sa zakonskim propisima i pravilima struke omogućava se kvalitetnija ponuda programa obrazovanja odraslih.</w:t>
            </w:r>
          </w:p>
        </w:tc>
        <w:tc>
          <w:tcPr>
            <w:tcW w:w="1020" w:type="dxa"/>
          </w:tcPr>
          <w:p w:rsidR="00505632" w:rsidRDefault="00505632" w:rsidP="00AD4E52">
            <w:pPr>
              <w:pStyle w:val="CellColumn"/>
              <w:jc w:val="right"/>
            </w:pPr>
            <w:r>
              <w:rPr>
                <w:rFonts w:cs="Times New Roman"/>
              </w:rPr>
              <w:t>Broj zaprimljenih programa na stručnu i andragošku procjenu a temeljem zahtjeva ustanova za obrazovanje odraslih</w:t>
            </w:r>
          </w:p>
        </w:tc>
        <w:tc>
          <w:tcPr>
            <w:tcW w:w="1020" w:type="dxa"/>
          </w:tcPr>
          <w:p w:rsidR="00505632" w:rsidRDefault="00505632" w:rsidP="00AD4E52">
            <w:pPr>
              <w:pStyle w:val="CellColumn"/>
              <w:jc w:val="right"/>
            </w:pPr>
            <w:r>
              <w:rPr>
                <w:rFonts w:cs="Times New Roman"/>
              </w:rPr>
              <w:t>1280</w:t>
            </w:r>
          </w:p>
        </w:tc>
        <w:tc>
          <w:tcPr>
            <w:tcW w:w="918" w:type="dxa"/>
          </w:tcPr>
          <w:p w:rsidR="00505632" w:rsidRDefault="00505632" w:rsidP="00AD4E52">
            <w:pPr>
              <w:pStyle w:val="CellColumn"/>
              <w:jc w:val="right"/>
            </w:pPr>
            <w:r>
              <w:rPr>
                <w:rFonts w:cs="Times New Roman"/>
              </w:rPr>
              <w:t>ASOO</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1561</w:t>
            </w:r>
          </w:p>
        </w:tc>
      </w:tr>
    </w:tbl>
    <w:p w:rsidR="00505632" w:rsidRDefault="00505632" w:rsidP="00505632">
      <w:pPr>
        <w:jc w:val="left"/>
      </w:pPr>
    </w:p>
    <w:p w:rsidR="00505632" w:rsidRDefault="00505632" w:rsidP="00505632">
      <w:pPr>
        <w:pStyle w:val="Heading4"/>
      </w:pPr>
      <w:r>
        <w:t>A848009 PROMICANJE KULTURE UČENJA: TJEDAN CJELOŽIVOTNOG UČENJA</w:t>
      </w:r>
    </w:p>
    <w:tbl>
      <w:tblPr>
        <w:tblStyle w:val="StilTablice"/>
        <w:tblW w:w="10206" w:type="dxa"/>
        <w:jc w:val="center"/>
        <w:tblLook w:val="04A0" w:firstRow="1" w:lastRow="0" w:firstColumn="1" w:lastColumn="0" w:noHBand="0" w:noVBand="1"/>
      </w:tblPr>
      <w:tblGrid>
        <w:gridCol w:w="1748"/>
        <w:gridCol w:w="2008"/>
        <w:gridCol w:w="2004"/>
        <w:gridCol w:w="2009"/>
        <w:gridCol w:w="1217"/>
        <w:gridCol w:w="1220"/>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A848009-PROMICANJE KULTURE UČENJA: TJEDAN CJELOŽIVOTNOG UČENJA</w:t>
            </w:r>
          </w:p>
        </w:tc>
        <w:tc>
          <w:tcPr>
            <w:tcW w:w="2041" w:type="dxa"/>
          </w:tcPr>
          <w:p w:rsidR="00505632" w:rsidRDefault="00505632" w:rsidP="00AD4E52">
            <w:pPr>
              <w:pStyle w:val="CellColumn"/>
              <w:jc w:val="right"/>
            </w:pPr>
            <w:r>
              <w:rPr>
                <w:rFonts w:cs="Times New Roman"/>
              </w:rPr>
              <w:t>149.407</w:t>
            </w:r>
          </w:p>
        </w:tc>
        <w:tc>
          <w:tcPr>
            <w:tcW w:w="2041" w:type="dxa"/>
          </w:tcPr>
          <w:p w:rsidR="00505632" w:rsidRDefault="00505632" w:rsidP="00AD4E52">
            <w:pPr>
              <w:pStyle w:val="CellColumn"/>
              <w:jc w:val="right"/>
            </w:pPr>
            <w:r>
              <w:rPr>
                <w:rFonts w:cs="Times New Roman"/>
              </w:rPr>
              <w:t>59.907</w:t>
            </w:r>
          </w:p>
        </w:tc>
        <w:tc>
          <w:tcPr>
            <w:tcW w:w="2041" w:type="dxa"/>
          </w:tcPr>
          <w:p w:rsidR="00505632" w:rsidRDefault="00505632" w:rsidP="00AD4E52">
            <w:pPr>
              <w:pStyle w:val="CellColumn"/>
              <w:jc w:val="right"/>
            </w:pPr>
            <w:r>
              <w:rPr>
                <w:rFonts w:cs="Times New Roman"/>
              </w:rPr>
              <w:t>21.256</w:t>
            </w:r>
          </w:p>
        </w:tc>
        <w:tc>
          <w:tcPr>
            <w:tcW w:w="1224" w:type="dxa"/>
          </w:tcPr>
          <w:p w:rsidR="00505632" w:rsidRDefault="00505632" w:rsidP="00AD4E52">
            <w:pPr>
              <w:pStyle w:val="CellColumn"/>
              <w:jc w:val="right"/>
            </w:pPr>
            <w:r>
              <w:rPr>
                <w:rFonts w:cs="Times New Roman"/>
              </w:rPr>
              <w:t>35,5</w:t>
            </w:r>
          </w:p>
        </w:tc>
        <w:tc>
          <w:tcPr>
            <w:tcW w:w="1224" w:type="dxa"/>
          </w:tcPr>
          <w:p w:rsidR="00505632" w:rsidRDefault="00505632" w:rsidP="00AD4E52">
            <w:pPr>
              <w:pStyle w:val="CellColumn"/>
              <w:jc w:val="right"/>
            </w:pPr>
            <w:r>
              <w:rPr>
                <w:rFonts w:cs="Times New Roman"/>
              </w:rPr>
              <w:t>14,2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ASOO, čl. 4.</w:t>
      </w:r>
    </w:p>
    <w:p w:rsidR="00505632" w:rsidRDefault="00505632" w:rsidP="00505632">
      <w:pPr>
        <w:pStyle w:val="Heading8"/>
        <w:jc w:val="left"/>
      </w:pPr>
      <w:r>
        <w:t>Opis aktivnosti</w:t>
      </w:r>
    </w:p>
    <w:p w:rsidR="00505632" w:rsidRDefault="00505632" w:rsidP="00505632">
      <w:r>
        <w:t>Održano je više od 660 događanja u sklopu Tjedna cjeloživotnog učenja i više od 700 različitih institucija sudjelovalo u aktivnostima Tjedna cjeloživotnog učenja.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ustanova uključenih u Tjedan cjeloživotnog učenja i Međunarodni dan pismenosti</w:t>
            </w:r>
          </w:p>
        </w:tc>
        <w:tc>
          <w:tcPr>
            <w:tcW w:w="2551" w:type="dxa"/>
          </w:tcPr>
          <w:p w:rsidR="00505632" w:rsidRDefault="00505632" w:rsidP="00AD4E52">
            <w:pPr>
              <w:pStyle w:val="CellColumn"/>
              <w:jc w:val="left"/>
            </w:pPr>
            <w:r>
              <w:rPr>
                <w:rFonts w:cs="Times New Roman"/>
              </w:rPr>
              <w:t>Povećanje broja ustanova uključenih u Tjedan cjeloživotnog učenja i Međunarodni dan pismenosti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710</w:t>
            </w:r>
          </w:p>
        </w:tc>
        <w:tc>
          <w:tcPr>
            <w:tcW w:w="1020" w:type="dxa"/>
          </w:tcPr>
          <w:p w:rsidR="00505632" w:rsidRDefault="00505632" w:rsidP="00AD4E52">
            <w:pPr>
              <w:pStyle w:val="CellColumn"/>
              <w:jc w:val="right"/>
            </w:pPr>
            <w:r>
              <w:rPr>
                <w:rFonts w:cs="Times New Roman"/>
              </w:rPr>
              <w:t>ASOO</w:t>
            </w:r>
          </w:p>
        </w:tc>
        <w:tc>
          <w:tcPr>
            <w:tcW w:w="1020" w:type="dxa"/>
          </w:tcPr>
          <w:p w:rsidR="00505632" w:rsidRDefault="00505632" w:rsidP="00AD4E52">
            <w:pPr>
              <w:pStyle w:val="CellColumn"/>
              <w:jc w:val="right"/>
            </w:pPr>
            <w:r>
              <w:rPr>
                <w:rFonts w:cs="Times New Roman"/>
              </w:rPr>
              <w:t>810</w:t>
            </w:r>
          </w:p>
        </w:tc>
        <w:tc>
          <w:tcPr>
            <w:tcW w:w="1020" w:type="dxa"/>
          </w:tcPr>
          <w:p w:rsidR="00505632" w:rsidRDefault="00505632" w:rsidP="00AD4E52">
            <w:pPr>
              <w:pStyle w:val="CellColumn"/>
              <w:jc w:val="right"/>
            </w:pPr>
            <w:r>
              <w:rPr>
                <w:rFonts w:cs="Times New Roman"/>
              </w:rPr>
              <w:t>700</w:t>
            </w:r>
          </w:p>
        </w:tc>
      </w:tr>
    </w:tbl>
    <w:p w:rsidR="00505632" w:rsidRDefault="00505632" w:rsidP="00505632">
      <w:pPr>
        <w:jc w:val="left"/>
      </w:pPr>
    </w:p>
    <w:p w:rsidR="00505632" w:rsidRDefault="00505632" w:rsidP="00505632">
      <w:pPr>
        <w:pStyle w:val="Heading4"/>
      </w:pPr>
      <w:r>
        <w:t>A848010 STRUČNO SAVJETODAVNA DJELATNOST</w:t>
      </w:r>
    </w:p>
    <w:tbl>
      <w:tblPr>
        <w:tblStyle w:val="StilTablice"/>
        <w:tblW w:w="10206" w:type="dxa"/>
        <w:jc w:val="center"/>
        <w:tblLook w:val="04A0" w:firstRow="1" w:lastRow="0" w:firstColumn="1" w:lastColumn="0" w:noHBand="0" w:noVBand="1"/>
      </w:tblPr>
      <w:tblGrid>
        <w:gridCol w:w="1703"/>
        <w:gridCol w:w="2021"/>
        <w:gridCol w:w="2019"/>
        <w:gridCol w:w="2022"/>
        <w:gridCol w:w="1220"/>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A848010-STRUČNO SAVJETODAVNA DJELATNOST</w:t>
            </w:r>
          </w:p>
        </w:tc>
        <w:tc>
          <w:tcPr>
            <w:tcW w:w="2041" w:type="dxa"/>
          </w:tcPr>
          <w:p w:rsidR="00505632" w:rsidRDefault="00505632" w:rsidP="00AD4E52">
            <w:pPr>
              <w:pStyle w:val="CellColumn"/>
              <w:jc w:val="right"/>
            </w:pPr>
            <w:r>
              <w:rPr>
                <w:rFonts w:cs="Times New Roman"/>
              </w:rPr>
              <w:t>99.750</w:t>
            </w:r>
          </w:p>
        </w:tc>
        <w:tc>
          <w:tcPr>
            <w:tcW w:w="2041" w:type="dxa"/>
          </w:tcPr>
          <w:p w:rsidR="00505632" w:rsidRDefault="00505632" w:rsidP="00AD4E52">
            <w:pPr>
              <w:pStyle w:val="CellColumn"/>
              <w:jc w:val="right"/>
            </w:pPr>
            <w:r>
              <w:rPr>
                <w:rFonts w:cs="Times New Roman"/>
              </w:rPr>
              <w:t>99.750</w:t>
            </w:r>
          </w:p>
        </w:tc>
        <w:tc>
          <w:tcPr>
            <w:tcW w:w="2041" w:type="dxa"/>
          </w:tcPr>
          <w:p w:rsidR="00505632" w:rsidRDefault="00505632" w:rsidP="00AD4E52">
            <w:pPr>
              <w:pStyle w:val="CellColumn"/>
              <w:jc w:val="right"/>
            </w:pPr>
            <w:r>
              <w:rPr>
                <w:rFonts w:cs="Times New Roman"/>
              </w:rPr>
              <w:t>95.435</w:t>
            </w:r>
          </w:p>
        </w:tc>
        <w:tc>
          <w:tcPr>
            <w:tcW w:w="1224" w:type="dxa"/>
          </w:tcPr>
          <w:p w:rsidR="00505632" w:rsidRDefault="00505632" w:rsidP="00AD4E52">
            <w:pPr>
              <w:pStyle w:val="CellColumn"/>
              <w:jc w:val="right"/>
            </w:pPr>
            <w:r>
              <w:rPr>
                <w:rFonts w:cs="Times New Roman"/>
              </w:rPr>
              <w:t>95,7</w:t>
            </w:r>
          </w:p>
        </w:tc>
        <w:tc>
          <w:tcPr>
            <w:tcW w:w="1224" w:type="dxa"/>
          </w:tcPr>
          <w:p w:rsidR="00505632" w:rsidRDefault="00505632" w:rsidP="00AD4E52">
            <w:pPr>
              <w:pStyle w:val="CellColumn"/>
              <w:jc w:val="right"/>
            </w:pPr>
            <w:r>
              <w:rPr>
                <w:rFonts w:cs="Times New Roman"/>
              </w:rPr>
              <w:t>95,7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ASOO, čl. 4. </w:t>
      </w:r>
    </w:p>
    <w:p w:rsidR="00505632" w:rsidRDefault="00505632" w:rsidP="00505632">
      <w:r>
        <w:t>Zakon o odgoju i obrazovanju u osnovnoj i srednjoj školi, čl. 115.</w:t>
      </w:r>
    </w:p>
    <w:p w:rsidR="00505632" w:rsidRDefault="00505632" w:rsidP="00505632">
      <w:pPr>
        <w:pStyle w:val="Heading8"/>
        <w:jc w:val="left"/>
      </w:pPr>
      <w:r>
        <w:t>Opis aktivnosti</w:t>
      </w:r>
    </w:p>
    <w:p w:rsidR="00505632" w:rsidRDefault="00505632" w:rsidP="00505632">
      <w:r>
        <w:t>Tijekom 2016. godine Agencija je organizirala i provela ukupno 154 jednodnevna ili dvodnevna stručna usavršavanja na kojima su sudjelovala 2.553 nastavnika strukovnih predmeta iz cijele Republike Hrvatske.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nastavnika strukovnih predmeta u stručnom usavršavanju</w:t>
            </w:r>
          </w:p>
        </w:tc>
        <w:tc>
          <w:tcPr>
            <w:tcW w:w="2551" w:type="dxa"/>
          </w:tcPr>
          <w:p w:rsidR="00505632" w:rsidRDefault="00505632" w:rsidP="00AD4E52">
            <w:pPr>
              <w:pStyle w:val="CellColumn"/>
              <w:jc w:val="left"/>
            </w:pPr>
            <w:r>
              <w:rPr>
                <w:rFonts w:cs="Times New Roman"/>
              </w:rPr>
              <w:t>Povećanje broja nastavnika strukovnih predmeta u stručnom usavršavanju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1.400</w:t>
            </w:r>
          </w:p>
        </w:tc>
        <w:tc>
          <w:tcPr>
            <w:tcW w:w="1020" w:type="dxa"/>
          </w:tcPr>
          <w:p w:rsidR="00505632" w:rsidRDefault="00505632" w:rsidP="00AD4E52">
            <w:pPr>
              <w:pStyle w:val="CellColumn"/>
              <w:jc w:val="right"/>
            </w:pPr>
            <w:r>
              <w:rPr>
                <w:rFonts w:cs="Times New Roman"/>
              </w:rPr>
              <w:t>ASOO</w:t>
            </w:r>
          </w:p>
        </w:tc>
        <w:tc>
          <w:tcPr>
            <w:tcW w:w="1020" w:type="dxa"/>
          </w:tcPr>
          <w:p w:rsidR="00505632" w:rsidRDefault="00505632" w:rsidP="00AD4E52">
            <w:pPr>
              <w:pStyle w:val="CellColumn"/>
              <w:jc w:val="right"/>
            </w:pPr>
            <w:r>
              <w:rPr>
                <w:rFonts w:cs="Times New Roman"/>
              </w:rPr>
              <w:t>1.400</w:t>
            </w:r>
          </w:p>
        </w:tc>
        <w:tc>
          <w:tcPr>
            <w:tcW w:w="1020" w:type="dxa"/>
          </w:tcPr>
          <w:p w:rsidR="00505632" w:rsidRDefault="00505632" w:rsidP="00AD4E52">
            <w:pPr>
              <w:pStyle w:val="CellColumn"/>
              <w:jc w:val="right"/>
            </w:pPr>
            <w:r>
              <w:rPr>
                <w:rFonts w:cs="Times New Roman"/>
              </w:rPr>
              <w:t>2.553</w:t>
            </w:r>
          </w:p>
        </w:tc>
      </w:tr>
    </w:tbl>
    <w:p w:rsidR="00505632" w:rsidRDefault="00505632" w:rsidP="00505632">
      <w:pPr>
        <w:jc w:val="left"/>
      </w:pPr>
    </w:p>
    <w:p w:rsidR="00505632" w:rsidRDefault="00505632" w:rsidP="00505632">
      <w:pPr>
        <w:pStyle w:val="Heading4"/>
      </w:pPr>
      <w:r>
        <w:t>A848014 RAZVOJ SUSTAVA STRUKOVNOG OBRAZOVANJA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A848014-RAZVOJ SUSTAVA STRUKOVNOG OBRAZOVANJA</w:t>
            </w:r>
          </w:p>
        </w:tc>
        <w:tc>
          <w:tcPr>
            <w:tcW w:w="2041" w:type="dxa"/>
          </w:tcPr>
          <w:p w:rsidR="00505632" w:rsidRDefault="00505632" w:rsidP="00AD4E52">
            <w:pPr>
              <w:pStyle w:val="CellColumn"/>
              <w:jc w:val="right"/>
            </w:pPr>
            <w:r>
              <w:rPr>
                <w:rFonts w:cs="Times New Roman"/>
              </w:rPr>
              <w:t>62.289</w:t>
            </w:r>
          </w:p>
        </w:tc>
        <w:tc>
          <w:tcPr>
            <w:tcW w:w="2041" w:type="dxa"/>
          </w:tcPr>
          <w:p w:rsidR="00505632" w:rsidRDefault="00505632" w:rsidP="00AD4E52">
            <w:pPr>
              <w:pStyle w:val="CellColumn"/>
              <w:jc w:val="right"/>
            </w:pPr>
            <w:r>
              <w:rPr>
                <w:rFonts w:cs="Times New Roman"/>
              </w:rPr>
              <w:t>83.289</w:t>
            </w:r>
          </w:p>
        </w:tc>
        <w:tc>
          <w:tcPr>
            <w:tcW w:w="2041" w:type="dxa"/>
          </w:tcPr>
          <w:p w:rsidR="00505632" w:rsidRDefault="00505632" w:rsidP="00AD4E52">
            <w:pPr>
              <w:pStyle w:val="CellColumn"/>
              <w:jc w:val="right"/>
            </w:pPr>
            <w:r>
              <w:rPr>
                <w:rFonts w:cs="Times New Roman"/>
              </w:rPr>
              <w:t>32.773</w:t>
            </w:r>
          </w:p>
        </w:tc>
        <w:tc>
          <w:tcPr>
            <w:tcW w:w="1224" w:type="dxa"/>
          </w:tcPr>
          <w:p w:rsidR="00505632" w:rsidRDefault="00505632" w:rsidP="00AD4E52">
            <w:pPr>
              <w:pStyle w:val="CellColumn"/>
              <w:jc w:val="right"/>
            </w:pPr>
            <w:r>
              <w:rPr>
                <w:rFonts w:cs="Times New Roman"/>
              </w:rPr>
              <w:t>39,3</w:t>
            </w:r>
          </w:p>
        </w:tc>
        <w:tc>
          <w:tcPr>
            <w:tcW w:w="1224" w:type="dxa"/>
          </w:tcPr>
          <w:p w:rsidR="00505632" w:rsidRDefault="00505632" w:rsidP="00AD4E52">
            <w:pPr>
              <w:pStyle w:val="CellColumn"/>
              <w:jc w:val="right"/>
            </w:pPr>
            <w:r>
              <w:rPr>
                <w:rFonts w:cs="Times New Roman"/>
              </w:rPr>
              <w:t>52,6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ASOO, čl. 4.</w:t>
      </w:r>
    </w:p>
    <w:p w:rsidR="00505632" w:rsidRDefault="00505632" w:rsidP="00505632">
      <w:pPr>
        <w:pStyle w:val="Heading8"/>
        <w:jc w:val="left"/>
      </w:pPr>
      <w:r>
        <w:t>Opis aktivnosti</w:t>
      </w:r>
    </w:p>
    <w:p w:rsidR="00505632" w:rsidRDefault="00505632" w:rsidP="00505632">
      <w:r>
        <w:t xml:space="preserve">Zbog zastoja kurikularne reforme nije bilo značajnijih aktivnosti na razvoju kurikuluma. </w:t>
      </w:r>
    </w:p>
    <w:p w:rsidR="00505632" w:rsidRDefault="00505632" w:rsidP="00505632">
      <w:r>
        <w:t>Financiran je rad stručnih povjerenstava za prosudbu pomoćnih nastavnih sredstava.</w:t>
      </w:r>
    </w:p>
    <w:p w:rsidR="00505632" w:rsidRDefault="00505632" w:rsidP="00505632">
      <w:pPr>
        <w:pStyle w:val="Heading4"/>
      </w:pPr>
      <w:r>
        <w:t>A848018 DRŽAVNA NATJECANJA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A848018-DRŽAVNA NATJECANJA</w:t>
            </w:r>
          </w:p>
        </w:tc>
        <w:tc>
          <w:tcPr>
            <w:tcW w:w="2041" w:type="dxa"/>
          </w:tcPr>
          <w:p w:rsidR="00505632" w:rsidRDefault="00505632" w:rsidP="00AD4E52">
            <w:pPr>
              <w:pStyle w:val="CellColumn"/>
              <w:jc w:val="right"/>
            </w:pPr>
            <w:r>
              <w:rPr>
                <w:rFonts w:cs="Times New Roman"/>
              </w:rPr>
              <w:t>1.484.011</w:t>
            </w:r>
          </w:p>
        </w:tc>
        <w:tc>
          <w:tcPr>
            <w:tcW w:w="2041" w:type="dxa"/>
          </w:tcPr>
          <w:p w:rsidR="00505632" w:rsidRDefault="00505632" w:rsidP="00AD4E52">
            <w:pPr>
              <w:pStyle w:val="CellColumn"/>
              <w:jc w:val="right"/>
            </w:pPr>
            <w:r>
              <w:rPr>
                <w:rFonts w:cs="Times New Roman"/>
              </w:rPr>
              <w:t>1.419.610</w:t>
            </w:r>
          </w:p>
        </w:tc>
        <w:tc>
          <w:tcPr>
            <w:tcW w:w="2041" w:type="dxa"/>
          </w:tcPr>
          <w:p w:rsidR="00505632" w:rsidRDefault="00505632" w:rsidP="00AD4E52">
            <w:pPr>
              <w:pStyle w:val="CellColumn"/>
              <w:jc w:val="right"/>
            </w:pPr>
            <w:r>
              <w:rPr>
                <w:rFonts w:cs="Times New Roman"/>
              </w:rPr>
              <w:t>1.335.197</w:t>
            </w:r>
          </w:p>
        </w:tc>
        <w:tc>
          <w:tcPr>
            <w:tcW w:w="1224" w:type="dxa"/>
          </w:tcPr>
          <w:p w:rsidR="00505632" w:rsidRDefault="00505632" w:rsidP="00AD4E52">
            <w:pPr>
              <w:pStyle w:val="CellColumn"/>
              <w:jc w:val="right"/>
            </w:pPr>
            <w:r>
              <w:rPr>
                <w:rFonts w:cs="Times New Roman"/>
              </w:rPr>
              <w:t>94,1</w:t>
            </w:r>
          </w:p>
        </w:tc>
        <w:tc>
          <w:tcPr>
            <w:tcW w:w="1224" w:type="dxa"/>
          </w:tcPr>
          <w:p w:rsidR="00505632" w:rsidRDefault="00505632" w:rsidP="00AD4E52">
            <w:pPr>
              <w:pStyle w:val="CellColumn"/>
              <w:jc w:val="right"/>
            </w:pPr>
            <w:r>
              <w:rPr>
                <w:rFonts w:cs="Times New Roman"/>
              </w:rPr>
              <w:t>90,0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ASOO (Narodne novine, br. 24/2010.), čl. 4.</w:t>
      </w:r>
    </w:p>
    <w:p w:rsidR="00505632" w:rsidRDefault="00505632" w:rsidP="00505632">
      <w:pPr>
        <w:pStyle w:val="Heading8"/>
        <w:jc w:val="left"/>
      </w:pPr>
      <w:r>
        <w:t>Opis aktivnosti</w:t>
      </w:r>
    </w:p>
    <w:p w:rsidR="00505632" w:rsidRDefault="00505632" w:rsidP="00505632">
      <w:r>
        <w:t>U razdoblju između ožujka i svibnja 2016. godine organizirana su i održana državna natjecanja učenika u ukupno 66 strukovnih disciplina (63 pojedinačne i 3 skupne) u 13 obrazovnih sektora te osam (8) smotri učeničkih radova. Natjecanja su organizirana na 21 lokaciji škola domaćina iz čitave RH. Na natjecanjima su sudjelovala 994 učenika uz pratnju 742 mentora. U organizaciji i provedbi natjecanja angažirano je ukupno 214 članova državnih povjerenstava.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učenika na smotrama radova i natjecanjima učenika strukovnih škola</w:t>
            </w:r>
          </w:p>
        </w:tc>
        <w:tc>
          <w:tcPr>
            <w:tcW w:w="2551" w:type="dxa"/>
          </w:tcPr>
          <w:p w:rsidR="00505632" w:rsidRDefault="00505632" w:rsidP="00AD4E52">
            <w:pPr>
              <w:pStyle w:val="CellColumn"/>
              <w:jc w:val="left"/>
            </w:pPr>
            <w:r>
              <w:rPr>
                <w:rFonts w:cs="Times New Roman"/>
              </w:rPr>
              <w:t>Povećanje broja učenika na smotrama radova i natjecanjima učenika strukovnih škola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850</w:t>
            </w:r>
          </w:p>
        </w:tc>
        <w:tc>
          <w:tcPr>
            <w:tcW w:w="1020" w:type="dxa"/>
          </w:tcPr>
          <w:p w:rsidR="00505632" w:rsidRDefault="00505632" w:rsidP="00AD4E52">
            <w:pPr>
              <w:pStyle w:val="CellColumn"/>
              <w:jc w:val="right"/>
            </w:pPr>
            <w:r>
              <w:rPr>
                <w:rFonts w:cs="Times New Roman"/>
              </w:rPr>
              <w:t>ASOO</w:t>
            </w:r>
          </w:p>
        </w:tc>
        <w:tc>
          <w:tcPr>
            <w:tcW w:w="1020" w:type="dxa"/>
          </w:tcPr>
          <w:p w:rsidR="00505632" w:rsidRDefault="00505632" w:rsidP="00AD4E52">
            <w:pPr>
              <w:pStyle w:val="CellColumn"/>
              <w:jc w:val="right"/>
            </w:pPr>
            <w:r>
              <w:rPr>
                <w:rFonts w:cs="Times New Roman"/>
              </w:rPr>
              <w:t>900</w:t>
            </w:r>
          </w:p>
        </w:tc>
        <w:tc>
          <w:tcPr>
            <w:tcW w:w="1020" w:type="dxa"/>
          </w:tcPr>
          <w:p w:rsidR="00505632" w:rsidRDefault="00505632" w:rsidP="00AD4E52">
            <w:pPr>
              <w:pStyle w:val="CellColumn"/>
              <w:jc w:val="right"/>
            </w:pPr>
            <w:r>
              <w:rPr>
                <w:rFonts w:cs="Times New Roman"/>
              </w:rPr>
              <w:t>994</w:t>
            </w:r>
          </w:p>
        </w:tc>
      </w:tr>
    </w:tbl>
    <w:p w:rsidR="00505632" w:rsidRDefault="00505632" w:rsidP="00505632">
      <w:pPr>
        <w:jc w:val="left"/>
      </w:pPr>
    </w:p>
    <w:p w:rsidR="00505632" w:rsidRDefault="00505632" w:rsidP="00505632">
      <w:pPr>
        <w:pStyle w:val="Heading4"/>
      </w:pPr>
      <w:r>
        <w:t>A848020 RAZVOJ SUSTAVA OBRAZOVANJA ODRASLIH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A848020-RAZVOJ SUSTAVA OBRAZOVANJA ODRASLIH</w:t>
            </w:r>
          </w:p>
        </w:tc>
        <w:tc>
          <w:tcPr>
            <w:tcW w:w="2041" w:type="dxa"/>
          </w:tcPr>
          <w:p w:rsidR="00505632" w:rsidRDefault="00505632" w:rsidP="00AD4E52">
            <w:pPr>
              <w:pStyle w:val="CellColumn"/>
              <w:jc w:val="right"/>
            </w:pPr>
            <w:r>
              <w:rPr>
                <w:rFonts w:cs="Times New Roman"/>
              </w:rPr>
              <w:t>74.524</w:t>
            </w:r>
          </w:p>
        </w:tc>
        <w:tc>
          <w:tcPr>
            <w:tcW w:w="2041" w:type="dxa"/>
          </w:tcPr>
          <w:p w:rsidR="00505632" w:rsidRDefault="00505632" w:rsidP="00AD4E52">
            <w:pPr>
              <w:pStyle w:val="CellColumn"/>
              <w:jc w:val="right"/>
            </w:pPr>
            <w:r>
              <w:rPr>
                <w:rFonts w:cs="Times New Roman"/>
              </w:rPr>
              <w:t>74.523</w:t>
            </w:r>
          </w:p>
        </w:tc>
        <w:tc>
          <w:tcPr>
            <w:tcW w:w="2041" w:type="dxa"/>
          </w:tcPr>
          <w:p w:rsidR="00505632" w:rsidRDefault="00505632" w:rsidP="00AD4E52">
            <w:pPr>
              <w:pStyle w:val="CellColumn"/>
              <w:jc w:val="right"/>
            </w:pPr>
            <w:r>
              <w:rPr>
                <w:rFonts w:cs="Times New Roman"/>
              </w:rPr>
              <w:t>53.214</w:t>
            </w:r>
          </w:p>
        </w:tc>
        <w:tc>
          <w:tcPr>
            <w:tcW w:w="1224" w:type="dxa"/>
          </w:tcPr>
          <w:p w:rsidR="00505632" w:rsidRDefault="00505632" w:rsidP="00AD4E52">
            <w:pPr>
              <w:pStyle w:val="CellColumn"/>
              <w:jc w:val="right"/>
            </w:pPr>
            <w:r>
              <w:rPr>
                <w:rFonts w:cs="Times New Roman"/>
              </w:rPr>
              <w:t>71,4</w:t>
            </w:r>
          </w:p>
        </w:tc>
        <w:tc>
          <w:tcPr>
            <w:tcW w:w="1224" w:type="dxa"/>
          </w:tcPr>
          <w:p w:rsidR="00505632" w:rsidRDefault="00505632" w:rsidP="00AD4E52">
            <w:pPr>
              <w:pStyle w:val="CellColumn"/>
              <w:jc w:val="right"/>
            </w:pPr>
            <w:r>
              <w:rPr>
                <w:rFonts w:cs="Times New Roman"/>
              </w:rPr>
              <w:t>71,4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ASOO, čl. 4 </w:t>
      </w:r>
    </w:p>
    <w:p w:rsidR="00505632" w:rsidRDefault="00505632" w:rsidP="00505632">
      <w:r>
        <w:t>Zakon o obrazovanju odraslih, čl. 29</w:t>
      </w:r>
    </w:p>
    <w:p w:rsidR="00505632" w:rsidRDefault="00505632" w:rsidP="00505632">
      <w:pPr>
        <w:pStyle w:val="Heading8"/>
        <w:jc w:val="left"/>
      </w:pPr>
      <w:r>
        <w:t>Opis aktivnosti</w:t>
      </w:r>
    </w:p>
    <w:p w:rsidR="00505632" w:rsidRDefault="00505632" w:rsidP="00505632">
      <w:r>
        <w:t xml:space="preserve">Agencija je u skladu s propisanim ovlastima u 2016. provodila aktivnosti davanja stručnog mišljenja na programe obrazovanja odraslih, provodila stručni nadzor nad radom ustanova, zatim organizirala i provodila usavršavanja na andragoške djelatnike u sustavu obrazovanja odraslih te kontinuirano pratila i obrađivala podatke vezane za ustav obrazovanja odraslih u RH </w:t>
      </w:r>
    </w:p>
    <w:p w:rsidR="00505632" w:rsidRDefault="00505632" w:rsidP="00505632">
      <w:r>
        <w:t>Obrađen 1561 program obrazovanja odraslih – zaprimljen 756 zahtjev za izdavanjem stručno-pedagoškoga mišljenja na ukupno 1 389 programa od 178 ustanove. 580 ustanova unijelo podatke u Andragoški zajednički upisnik podataka (AZUP), obavljeno je 9 nadzora nad stručnim radom ustanova za obrazovanje odraslih te je 496 voditelja obrazovanja/ravnatelja sudjelovalo na andragoškim usavršavanjima.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Standardizacija i povećanje kvalitete programa obrazovanja odraslih</w:t>
            </w:r>
          </w:p>
        </w:tc>
        <w:tc>
          <w:tcPr>
            <w:tcW w:w="2551" w:type="dxa"/>
          </w:tcPr>
          <w:p w:rsidR="00505632" w:rsidRDefault="00505632" w:rsidP="00AD4E52">
            <w:pPr>
              <w:pStyle w:val="CellColumn"/>
              <w:jc w:val="left"/>
            </w:pPr>
            <w:r>
              <w:rPr>
                <w:rFonts w:cs="Times New Roman"/>
              </w:rPr>
              <w:t>Standardizacija i povećanje kvalitete programa obrazovanja odraslih</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1.550</w:t>
            </w:r>
          </w:p>
        </w:tc>
        <w:tc>
          <w:tcPr>
            <w:tcW w:w="1020" w:type="dxa"/>
          </w:tcPr>
          <w:p w:rsidR="00505632" w:rsidRDefault="00505632" w:rsidP="00AD4E52">
            <w:pPr>
              <w:pStyle w:val="CellColumn"/>
              <w:jc w:val="right"/>
            </w:pPr>
            <w:r>
              <w:rPr>
                <w:rFonts w:cs="Times New Roman"/>
              </w:rPr>
              <w:t>ASOO</w:t>
            </w:r>
          </w:p>
        </w:tc>
        <w:tc>
          <w:tcPr>
            <w:tcW w:w="1020" w:type="dxa"/>
          </w:tcPr>
          <w:p w:rsidR="00505632" w:rsidRDefault="00505632" w:rsidP="00AD4E52">
            <w:pPr>
              <w:pStyle w:val="CellColumn"/>
              <w:jc w:val="right"/>
            </w:pPr>
            <w:r>
              <w:rPr>
                <w:rFonts w:cs="Times New Roman"/>
              </w:rPr>
              <w:t>1.300</w:t>
            </w:r>
          </w:p>
        </w:tc>
        <w:tc>
          <w:tcPr>
            <w:tcW w:w="1020" w:type="dxa"/>
          </w:tcPr>
          <w:p w:rsidR="00505632" w:rsidRDefault="00505632" w:rsidP="00AD4E52">
            <w:pPr>
              <w:pStyle w:val="CellColumn"/>
              <w:jc w:val="right"/>
            </w:pPr>
            <w:r>
              <w:rPr>
                <w:rFonts w:cs="Times New Roman"/>
              </w:rPr>
              <w:t>1.395</w:t>
            </w:r>
          </w:p>
        </w:tc>
      </w:tr>
    </w:tbl>
    <w:p w:rsidR="00505632" w:rsidRDefault="00505632" w:rsidP="00505632">
      <w:pPr>
        <w:jc w:val="left"/>
      </w:pPr>
    </w:p>
    <w:p w:rsidR="00505632" w:rsidRDefault="00505632" w:rsidP="00505632">
      <w:pPr>
        <w:pStyle w:val="Heading4"/>
      </w:pPr>
      <w:r>
        <w:t>A848023 REFERNET U REPUBLICI HRVATSKOJ</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A848023-REFERNET U REPUBLICI HRVATSKOJ</w:t>
            </w:r>
          </w:p>
        </w:tc>
        <w:tc>
          <w:tcPr>
            <w:tcW w:w="2041" w:type="dxa"/>
          </w:tcPr>
          <w:p w:rsidR="00505632" w:rsidRDefault="00505632" w:rsidP="00AD4E52">
            <w:pPr>
              <w:pStyle w:val="CellColumn"/>
              <w:jc w:val="right"/>
            </w:pPr>
            <w:r>
              <w:rPr>
                <w:rFonts w:cs="Times New Roman"/>
              </w:rPr>
              <w:t>125.838</w:t>
            </w:r>
          </w:p>
        </w:tc>
        <w:tc>
          <w:tcPr>
            <w:tcW w:w="2041" w:type="dxa"/>
          </w:tcPr>
          <w:p w:rsidR="00505632" w:rsidRDefault="00505632" w:rsidP="00AD4E52">
            <w:pPr>
              <w:pStyle w:val="CellColumn"/>
              <w:jc w:val="right"/>
            </w:pPr>
            <w:r>
              <w:rPr>
                <w:rFonts w:cs="Times New Roman"/>
              </w:rPr>
              <w:t>147.839</w:t>
            </w:r>
          </w:p>
        </w:tc>
        <w:tc>
          <w:tcPr>
            <w:tcW w:w="2041" w:type="dxa"/>
          </w:tcPr>
          <w:p w:rsidR="00505632" w:rsidRDefault="00505632" w:rsidP="00AD4E52">
            <w:pPr>
              <w:pStyle w:val="CellColumn"/>
              <w:jc w:val="right"/>
            </w:pPr>
            <w:r>
              <w:rPr>
                <w:rFonts w:cs="Times New Roman"/>
              </w:rPr>
              <w:t>125.701</w:t>
            </w:r>
          </w:p>
        </w:tc>
        <w:tc>
          <w:tcPr>
            <w:tcW w:w="1224" w:type="dxa"/>
          </w:tcPr>
          <w:p w:rsidR="00505632" w:rsidRDefault="00505632" w:rsidP="00AD4E52">
            <w:pPr>
              <w:pStyle w:val="CellColumn"/>
              <w:jc w:val="right"/>
            </w:pPr>
            <w:r>
              <w:rPr>
                <w:rFonts w:cs="Times New Roman"/>
              </w:rPr>
              <w:t>85,0</w:t>
            </w:r>
          </w:p>
        </w:tc>
        <w:tc>
          <w:tcPr>
            <w:tcW w:w="1224" w:type="dxa"/>
          </w:tcPr>
          <w:p w:rsidR="00505632" w:rsidRDefault="00505632" w:rsidP="00AD4E52">
            <w:pPr>
              <w:pStyle w:val="CellColumn"/>
              <w:jc w:val="right"/>
            </w:pPr>
            <w:r>
              <w:rPr>
                <w:rFonts w:cs="Times New Roman"/>
              </w:rPr>
              <w:t>99,9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ASOO, čl. 4. </w:t>
      </w:r>
    </w:p>
    <w:p w:rsidR="00505632" w:rsidRDefault="00505632" w:rsidP="00505632">
      <w:r>
        <w:t xml:space="preserve">Framework Partnerhsip Agreement No 2015-PA4/GP/DSI/ReferNet_FPA/001/15 </w:t>
      </w:r>
    </w:p>
    <w:p w:rsidR="00505632" w:rsidRDefault="00505632" w:rsidP="00505632">
      <w:r>
        <w:t>Specific Grant Agreement No. 2016-0020/GP/DSI/ReferNet-SGA/003/15</w:t>
      </w:r>
    </w:p>
    <w:p w:rsidR="00505632" w:rsidRDefault="00505632" w:rsidP="00505632">
      <w:pPr>
        <w:pStyle w:val="Heading8"/>
        <w:jc w:val="left"/>
      </w:pPr>
      <w:r>
        <w:t>Opis aktivnosti</w:t>
      </w:r>
    </w:p>
    <w:p w:rsidR="00505632" w:rsidRDefault="00505632" w:rsidP="00505632">
      <w:r>
        <w:t>Agencija je provodila aktivnosti izvješćivanja o politikama, mjerama i aktivnostima u strukovnom obrazovanju i osposobljavanju te napretku u ispunjavanju ciljeva zadanih Zaključcima iz Rige (popunjavanje detaljnoga standardizirana upitnika uz uključenost širokoga kruga dionika), nastavila je održavati internetsku stranicu ReferNet Hrvatska www.refernet.hr, pripremila izvješća o mobilnosti učenika u inicijalnom i kontinuiranomu strukovnom obrazovanju u RH, izradila novu verziju Izvješća o strukovnom obrazovanju i osposobljavanju u Republici Hrvatskoj, itd.</w:t>
      </w:r>
    </w:p>
    <w:p w:rsidR="00505632" w:rsidRDefault="00505632" w:rsidP="00505632"/>
    <w:p w:rsidR="00505632" w:rsidRDefault="00505632" w:rsidP="00505632"/>
    <w:p w:rsidR="00505632" w:rsidRDefault="00505632" w:rsidP="00505632"/>
    <w:p w:rsidR="00505632" w:rsidRDefault="00505632" w:rsidP="00505632">
      <w:pPr>
        <w:pStyle w:val="Heading4"/>
      </w:pPr>
      <w:r>
        <w:t>A848026 VJEŠTINE U METALNOJ I ELEKTRO INDUSTRIJI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A848026-VJEŠTINE U METALNOJ I ELEKTRO INDUSTRIJI</w:t>
            </w:r>
          </w:p>
        </w:tc>
        <w:tc>
          <w:tcPr>
            <w:tcW w:w="2041" w:type="dxa"/>
          </w:tcPr>
          <w:p w:rsidR="00505632" w:rsidRDefault="00505632" w:rsidP="00AD4E52">
            <w:pPr>
              <w:pStyle w:val="CellColumn"/>
              <w:jc w:val="right"/>
            </w:pPr>
            <w:r>
              <w:rPr>
                <w:rFonts w:cs="Times New Roman"/>
              </w:rPr>
              <w:t>22.787</w:t>
            </w:r>
          </w:p>
        </w:tc>
        <w:tc>
          <w:tcPr>
            <w:tcW w:w="2041" w:type="dxa"/>
          </w:tcPr>
          <w:p w:rsidR="00505632" w:rsidRDefault="00505632" w:rsidP="00AD4E52">
            <w:pPr>
              <w:pStyle w:val="CellColumn"/>
              <w:jc w:val="right"/>
            </w:pPr>
            <w:r>
              <w:rPr>
                <w:rFonts w:cs="Times New Roman"/>
              </w:rPr>
              <w:t>83.400</w:t>
            </w:r>
          </w:p>
        </w:tc>
        <w:tc>
          <w:tcPr>
            <w:tcW w:w="2041" w:type="dxa"/>
          </w:tcPr>
          <w:p w:rsidR="00505632" w:rsidRDefault="00505632" w:rsidP="00AD4E52">
            <w:pPr>
              <w:pStyle w:val="CellColumn"/>
              <w:jc w:val="right"/>
            </w:pPr>
            <w:r>
              <w:rPr>
                <w:rFonts w:cs="Times New Roman"/>
              </w:rPr>
              <w:t>37.542</w:t>
            </w:r>
          </w:p>
        </w:tc>
        <w:tc>
          <w:tcPr>
            <w:tcW w:w="1224" w:type="dxa"/>
          </w:tcPr>
          <w:p w:rsidR="00505632" w:rsidRDefault="00505632" w:rsidP="00AD4E52">
            <w:pPr>
              <w:pStyle w:val="CellColumn"/>
              <w:jc w:val="right"/>
            </w:pPr>
            <w:r>
              <w:rPr>
                <w:rFonts w:cs="Times New Roman"/>
              </w:rPr>
              <w:t>45,0</w:t>
            </w:r>
          </w:p>
        </w:tc>
        <w:tc>
          <w:tcPr>
            <w:tcW w:w="1224" w:type="dxa"/>
          </w:tcPr>
          <w:p w:rsidR="00505632" w:rsidRDefault="00505632" w:rsidP="00AD4E52">
            <w:pPr>
              <w:pStyle w:val="CellColumn"/>
              <w:jc w:val="right"/>
            </w:pPr>
            <w:r>
              <w:rPr>
                <w:rFonts w:cs="Times New Roman"/>
              </w:rPr>
              <w:t>164,8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ASOO, čl. 4. </w:t>
      </w:r>
    </w:p>
    <w:p w:rsidR="00505632" w:rsidRDefault="00505632" w:rsidP="00505632">
      <w:r>
        <w:t>EACEA Grant Agreement for an Action with Multiple Beneficiaries, Agreement number 2014-3272/001-001</w:t>
      </w:r>
    </w:p>
    <w:p w:rsidR="00505632" w:rsidRDefault="00505632" w:rsidP="00505632">
      <w:pPr>
        <w:pStyle w:val="Heading8"/>
        <w:jc w:val="left"/>
      </w:pPr>
      <w:r>
        <w:t>Opis aktivnosti</w:t>
      </w:r>
    </w:p>
    <w:p w:rsidR="00505632" w:rsidRDefault="00505632" w:rsidP="00505632">
      <w:r>
        <w:t>Izrađeni su materijali za četiri kurikuluma (CAD-CAM, kompozitni materijali, računalni vid i tehnička dokumentacija) i prevedeni na engleski i sve jezike partnera u projektu (hrvatski, slovenski, slovački, latvijski). Napisan je je Izvještaj o osiguravanju kvalitete projekta koji je uključivao online upitnike i provođenje intervjua. Održan je projektni sastanak u Bratislavi u svibnju, te Dubrovniku u listopadu. Također je izrađen i diseminiran četvrti projektni newsletter.</w:t>
      </w:r>
    </w:p>
    <w:p w:rsidR="00505632" w:rsidRDefault="00505632" w:rsidP="00505632">
      <w:pPr>
        <w:pStyle w:val="Heading4"/>
      </w:pPr>
      <w:r>
        <w:t>A848029 EPALE - NOVA VIŠEJEZIČNA ZAJEDNICA STRUČNJAKA ZA OBRAZOVANJE ODRASLIH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A848029-EPALE - NOVA VIŠEJEZIČNA ZAJEDNICA STRUČNJAKA ZA OBRAZOVANJE ODRASLIH</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503.238</w:t>
            </w:r>
          </w:p>
        </w:tc>
        <w:tc>
          <w:tcPr>
            <w:tcW w:w="2041" w:type="dxa"/>
          </w:tcPr>
          <w:p w:rsidR="00505632" w:rsidRDefault="00505632" w:rsidP="00AD4E52">
            <w:pPr>
              <w:pStyle w:val="CellColumn"/>
              <w:jc w:val="right"/>
            </w:pPr>
            <w:r>
              <w:rPr>
                <w:rFonts w:cs="Times New Roman"/>
              </w:rPr>
              <w:t>454.112</w:t>
            </w:r>
          </w:p>
        </w:tc>
        <w:tc>
          <w:tcPr>
            <w:tcW w:w="1224" w:type="dxa"/>
          </w:tcPr>
          <w:p w:rsidR="00505632" w:rsidRDefault="00505632" w:rsidP="00AD4E52">
            <w:pPr>
              <w:pStyle w:val="CellColumn"/>
              <w:jc w:val="right"/>
            </w:pPr>
            <w:r>
              <w:rPr>
                <w:rFonts w:cs="Times New Roman"/>
              </w:rPr>
              <w:t>90,2</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ASOO, čl. 4. </w:t>
      </w:r>
    </w:p>
    <w:p w:rsidR="00505632" w:rsidRDefault="00505632" w:rsidP="00505632">
      <w:r>
        <w:t>Broj ugovora: 2015-3219-568815-EPP-2015-1-HR-EPPKA2-EPALE-NSS</w:t>
      </w:r>
    </w:p>
    <w:p w:rsidR="00505632" w:rsidRDefault="00505632" w:rsidP="00505632">
      <w:pPr>
        <w:pStyle w:val="Heading8"/>
        <w:jc w:val="left"/>
      </w:pPr>
      <w:r>
        <w:t>Opis aktivnosti</w:t>
      </w:r>
    </w:p>
    <w:p w:rsidR="00505632" w:rsidRDefault="00505632" w:rsidP="00505632">
      <w:r>
        <w:t>U sklopu projekta Agencija je organizirana regionalna konferencija u suradnji sa nacionalnim službama za podršku za Sloveniju i Bosnu i Hercegovinu. Održane su dvije promotivne prezentacije u sklopu Tjedna cjeloživotnog učenja, održana je promotivna prezentacija u sklopu Međunarodnog andragoškog simpozija, održana su tri regionalna EPALE promotivna događanja vezana uz informiranje o novim mogućnostima i aktualnom razvoju platforme EPALE, održane su dvije promotivne prezentacije u sklopu događanja koje je organizirala Agencija za mobilnost i programe EU, objavljena su dva izdanja EPALE newslettera, osmišljeni su i izrađeni EPALE promotivnih materijali, izrađen je promotivni film koji opisuju iskustva korisnika EPALE i promovira platformu, objavljeni su tekstovi koji opisuju aktualna događanja u pogledu EPALE-a u Školskim novinama, održana je fokus skupina koje je analizirala dostupni sadržaj na platformi i dala preporuke za sadržaje koje treba dodatno postaviti, provedeno je on-line istraživanje potreba hrvatskih korisnika EPALE-a, itd.</w:t>
      </w:r>
    </w:p>
    <w:p w:rsidR="00505632" w:rsidRDefault="00505632" w:rsidP="00505632">
      <w:pPr>
        <w:pStyle w:val="Heading4"/>
      </w:pPr>
      <w:r>
        <w:t>A848039 NACIONALNA REFERENTNA TOČKA ZA EUROPSKI SUSTAV OSIGURANJA KVALITETE U STRUKOVNOM OBRAZOVANJU I OSPOSOBLJAVANJU - EQAVET NRP</w:t>
      </w:r>
    </w:p>
    <w:tbl>
      <w:tblPr>
        <w:tblStyle w:val="StilTablice"/>
        <w:tblW w:w="10206" w:type="dxa"/>
        <w:jc w:val="center"/>
        <w:tblLook w:val="04A0" w:firstRow="1" w:lastRow="0" w:firstColumn="1" w:lastColumn="0" w:noHBand="0" w:noVBand="1"/>
      </w:tblPr>
      <w:tblGrid>
        <w:gridCol w:w="2015"/>
        <w:gridCol w:w="1929"/>
        <w:gridCol w:w="1922"/>
        <w:gridCol w:w="1930"/>
        <w:gridCol w:w="1200"/>
        <w:gridCol w:w="1210"/>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A848039-NACIONALNA REFERENTNA TOČKA ZA EUROPSKI SUSTAV OSIGURANJA KVALITETE U STRUKOVNOM OBRAZOVANJU I OSPOSOBLJAVANJU - EQAVET NRP</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173.000</w:t>
            </w:r>
          </w:p>
        </w:tc>
        <w:tc>
          <w:tcPr>
            <w:tcW w:w="2041" w:type="dxa"/>
          </w:tcPr>
          <w:p w:rsidR="00505632" w:rsidRDefault="00505632" w:rsidP="00AD4E52">
            <w:pPr>
              <w:pStyle w:val="CellColumn"/>
              <w:jc w:val="right"/>
            </w:pPr>
            <w:r>
              <w:rPr>
                <w:rFonts w:cs="Times New Roman"/>
              </w:rPr>
              <w:t>125.098</w:t>
            </w:r>
          </w:p>
        </w:tc>
        <w:tc>
          <w:tcPr>
            <w:tcW w:w="1224" w:type="dxa"/>
          </w:tcPr>
          <w:p w:rsidR="00505632" w:rsidRDefault="00505632" w:rsidP="00AD4E52">
            <w:pPr>
              <w:pStyle w:val="CellColumn"/>
              <w:jc w:val="right"/>
            </w:pPr>
            <w:r>
              <w:rPr>
                <w:rFonts w:cs="Times New Roman"/>
              </w:rPr>
              <w:t>72,3</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ASOO, čl. 4. </w:t>
      </w:r>
    </w:p>
    <w:p w:rsidR="00505632" w:rsidRDefault="00505632" w:rsidP="00505632">
      <w:r>
        <w:t xml:space="preserve">Zakon o strukovnom obrazovanju, čl. 9. - 12. </w:t>
      </w:r>
    </w:p>
    <w:p w:rsidR="00505632" w:rsidRDefault="00505632" w:rsidP="00505632">
      <w:r>
        <w:t>Action Grant 2016 – Support to the European Quality Assurance in VET NRP's, Decision number – 2016 -0771/001-001; Project Nr 574311-EPP-1-2016-1-HR-EPPKA3-EQAVET-NRP</w:t>
      </w:r>
    </w:p>
    <w:p w:rsidR="00505632" w:rsidRDefault="00505632" w:rsidP="00505632">
      <w:pPr>
        <w:pStyle w:val="Heading8"/>
        <w:jc w:val="left"/>
      </w:pPr>
      <w:r>
        <w:t>Opis aktivnosti</w:t>
      </w:r>
    </w:p>
    <w:p w:rsidR="00505632" w:rsidRDefault="00505632" w:rsidP="00505632">
      <w:r>
        <w:t>Provođene su aktivnosti umrežavanja s drugim referentni točkama u EU, organizirana je međunarodna radionica u Dubrovniku s više od 30 sudionika iz 9 zemalja, angažirani su domaći i strani stručnjaci za analizu više od 10 izvješća samovrednovanja strukovnih škola, razvijena je nova internetska stranica www.qavet.hr, tiskani materijali i brošure, itd.</w:t>
      </w:r>
    </w:p>
    <w:p w:rsidR="00505632" w:rsidRDefault="00505632" w:rsidP="00505632">
      <w:pPr>
        <w:pStyle w:val="Heading4"/>
      </w:pPr>
      <w:r>
        <w:t>K848037 OP KONKURENTNOST I KOHEZIJA 2014.-2020., PRIORITET 9</w:t>
      </w:r>
    </w:p>
    <w:tbl>
      <w:tblPr>
        <w:tblStyle w:val="StilTablice"/>
        <w:tblW w:w="10206" w:type="dxa"/>
        <w:jc w:val="center"/>
        <w:tblLook w:val="04A0" w:firstRow="1" w:lastRow="0" w:firstColumn="1" w:lastColumn="0" w:noHBand="0" w:noVBand="1"/>
      </w:tblPr>
      <w:tblGrid>
        <w:gridCol w:w="1881"/>
        <w:gridCol w:w="1969"/>
        <w:gridCol w:w="1964"/>
        <w:gridCol w:w="1969"/>
        <w:gridCol w:w="1208"/>
        <w:gridCol w:w="1215"/>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K848037-OP KONKURENTNOST I KOHEZIJA 2014.-2020., PRIORITET 9</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242.001</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ASOO, čl. 4.; </w:t>
      </w:r>
    </w:p>
    <w:p w:rsidR="00505632" w:rsidRDefault="00505632" w:rsidP="00505632">
      <w:r>
        <w:t xml:space="preserve">Ugovor o partnerstvu u provedbi projekta „e-Škole: Uspostava sustava razvoja digitalno zrelih škola (pilot projekt)“ br. 365-100-820/15. </w:t>
      </w:r>
    </w:p>
    <w:p w:rsidR="00505632" w:rsidRDefault="00505632" w:rsidP="00505632">
      <w:r>
        <w:t>Dodatak Ugovora o partnerstvu u provedbi projekta „e-Škole: Uspostava sustava razvoja digitalno zrelih škola (pilot projekt)“ br. 366-100-830/15.</w:t>
      </w:r>
    </w:p>
    <w:p w:rsidR="00505632" w:rsidRDefault="00505632" w:rsidP="00505632">
      <w:pPr>
        <w:pStyle w:val="Heading8"/>
        <w:jc w:val="left"/>
      </w:pPr>
      <w:r>
        <w:t>Opis aktivnosti</w:t>
      </w:r>
    </w:p>
    <w:p w:rsidR="00505632" w:rsidRDefault="00505632" w:rsidP="00505632">
      <w:r>
        <w:t>Agencija je, kao partner, sudjelovala na projektu Hrvatske akademske i istraživačke mreže – CARNet pod nazivom „e – Škole: Uspostava sustava razvoja digitalno zrelih škola“. Agencija je tijekom 2016. godine provodila aktivnosti projekta A u okviru definiranja funkcionalnosti aplikacije za edukaciju, izradbe idejnoga rješenja i tehničke specifikacije LA sustava, pripreme i izradbe plana provedbe edukacije savjetnika, provedbe edukacije 22 savjetnika (iskustveno učenje na radionicama: E-učitelj, Office 365 i Libar u trajanju od 16 sati).</w:t>
      </w:r>
    </w:p>
    <w:p w:rsidR="00505632" w:rsidRDefault="00505632" w:rsidP="00505632">
      <w:pPr>
        <w:pStyle w:val="Heading4"/>
      </w:pPr>
      <w:r>
        <w:t>K848038 OP UČINKOVITI LJUDSKI POTENCIJALI 2014.-2020., PRIORITET 3</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K848038-OP UČINKOVITI LJUDSKI POTENCIJALI 2014.-2020., PRIORITET 3</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3.940.260</w:t>
            </w:r>
          </w:p>
        </w:tc>
        <w:tc>
          <w:tcPr>
            <w:tcW w:w="2041" w:type="dxa"/>
          </w:tcPr>
          <w:p w:rsidR="00505632" w:rsidRDefault="00505632" w:rsidP="00AD4E52">
            <w:pPr>
              <w:pStyle w:val="CellColumn"/>
              <w:jc w:val="right"/>
            </w:pPr>
            <w:r>
              <w:rPr>
                <w:rFonts w:cs="Times New Roman"/>
              </w:rPr>
              <w:t>1.504.343</w:t>
            </w:r>
          </w:p>
        </w:tc>
        <w:tc>
          <w:tcPr>
            <w:tcW w:w="1224" w:type="dxa"/>
          </w:tcPr>
          <w:p w:rsidR="00505632" w:rsidRDefault="00505632" w:rsidP="00AD4E52">
            <w:pPr>
              <w:pStyle w:val="CellColumn"/>
              <w:jc w:val="right"/>
            </w:pPr>
            <w:r>
              <w:rPr>
                <w:rFonts w:cs="Times New Roman"/>
              </w:rPr>
              <w:t>38,2</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ASOO, čl. 4.; </w:t>
      </w:r>
    </w:p>
    <w:p w:rsidR="00505632" w:rsidRDefault="00505632" w:rsidP="00505632">
      <w:r>
        <w:t xml:space="preserve">Ugovor o partnerstvu u provedbi projekta „e-Škole: Uspostava sustava razvoja digitalno zrelih škola (pilot projekt)“ br. 365-100-820/15. </w:t>
      </w:r>
    </w:p>
    <w:p w:rsidR="00505632" w:rsidRDefault="00505632" w:rsidP="00505632">
      <w:r>
        <w:t xml:space="preserve">Dodatak Ugovora o partnerstvu u provedbi projekta „e-Škole: Uspostava sustava razvoja digitalno zrelih škola (pilot projekt)“ br. 366-100-830/15. </w:t>
      </w:r>
    </w:p>
    <w:p w:rsidR="00505632" w:rsidRDefault="00505632" w:rsidP="00505632">
      <w:r>
        <w:t>Ugovor o izravnoj dodjeli bespovratnih sredstava za projekt koji se financira iz ESF u financijskom razdoblju 2014. – 2020. UP.03.2.3.01.0001 Promocija cjeloživotnog učenja</w:t>
      </w:r>
    </w:p>
    <w:p w:rsidR="00505632" w:rsidRDefault="00505632" w:rsidP="00505632">
      <w:pPr>
        <w:pStyle w:val="Heading8"/>
        <w:jc w:val="left"/>
      </w:pPr>
      <w:r>
        <w:t>Opis aktivnosti</w:t>
      </w:r>
    </w:p>
    <w:p w:rsidR="00505632" w:rsidRDefault="00505632" w:rsidP="00505632">
      <w:r>
        <w:t xml:space="preserve">Agencija je, kao partner, sudjelovala na projektu Hrvatske akademske i istraživačke mreže – CARNet pod nazivom „e – Škole: Uspostava sustava razvoja digitalno zrelih škola“ </w:t>
      </w:r>
    </w:p>
    <w:p w:rsidR="00505632" w:rsidRDefault="00505632" w:rsidP="00505632">
      <w:r>
        <w:t xml:space="preserve">Na projektu B se sudjelovalo na webinarima i CARNet-ovoj korisničkoj konferenciji CUC 2016. Nadalje provodile su se evaluacije provedenih edukacija, definiranja kriterija za imenovanje koordinatora za vanjske mobilne timove, evaluacije Okvira za digitalnu kompetenciju te Priručnika za korištenje Okvira za digitalnu kompetenciju, evaluacije prve verzije Kurikuluma za unaprjeđenje digitalne kompetencije tri razine korisnika u školama itd. </w:t>
      </w:r>
    </w:p>
    <w:p w:rsidR="00505632" w:rsidRDefault="00505632" w:rsidP="00505632">
      <w:r>
        <w:t xml:space="preserve">U sklopu ESF projekta „Promocija cjeloživotnog učenja“ u 2016. godini u Makarskoj održan je četvrti Međunarodni andragoški simpozij „Upravljanje ustanovama za obrazovanje odraslih“, održala se zajednička svečanost dodjele nagrada „Faust Vrančić“, održao se deseti po redu Tjedan cjeloživotnog učenja u sklopu kojeg se održalo više od 500 radionica i događanja u svim regijama Hrvatske, u studenom je, povodom Europskog tjedna vještina stečenih u strukovnom obrazovanju i osposobljavanju i s ciljem okupljanja dionika iz sustava strukovnog obrazovanja i osposobljavanja, održana konferencija pod nazivom „Strukovno obrazovanje i osposobljavanje i cjeloživotno učenje“, oformljena je i Stručna radna skupina za izradu dokumenta „Strateški okvir promocije cjeloživotnog učenja“,  </w:t>
      </w:r>
    </w:p>
    <w:p w:rsidR="00505632" w:rsidRDefault="00505632" w:rsidP="00505632">
      <w:r>
        <w:t>uspostavljena je nova web stranica www.cjelozivotno-ucenje.hr te su tiskani brojni promotivni materijali.</w:t>
      </w:r>
    </w:p>
    <w:p w:rsidR="00505632" w:rsidRDefault="00505632" w:rsidP="00505632">
      <w:pPr>
        <w:pStyle w:val="Heading4"/>
      </w:pPr>
      <w:r>
        <w:t>T848027 OP UČINKOVITI LJUDSKI POTENCIJALI 2014. - 2020.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T848027-OP UČINKOVITI LJUDSKI POTENCIJALI 2014. - 2020.</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12.526.706</w:t>
            </w:r>
          </w:p>
        </w:tc>
        <w:tc>
          <w:tcPr>
            <w:tcW w:w="2041" w:type="dxa"/>
          </w:tcPr>
          <w:p w:rsidR="00505632" w:rsidRDefault="00505632" w:rsidP="00AD4E52">
            <w:pPr>
              <w:pStyle w:val="CellColumn"/>
              <w:jc w:val="right"/>
            </w:pPr>
            <w:r>
              <w:rPr>
                <w:rFonts w:cs="Times New Roman"/>
              </w:rPr>
              <w:t>7.983.078</w:t>
            </w:r>
          </w:p>
        </w:tc>
        <w:tc>
          <w:tcPr>
            <w:tcW w:w="1224" w:type="dxa"/>
          </w:tcPr>
          <w:p w:rsidR="00505632" w:rsidRDefault="00505632" w:rsidP="00AD4E52">
            <w:pPr>
              <w:pStyle w:val="CellColumn"/>
              <w:jc w:val="right"/>
            </w:pPr>
            <w:r>
              <w:rPr>
                <w:rFonts w:cs="Times New Roman"/>
              </w:rPr>
              <w:t>63,7</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ASOO se određuje za Posredničko tijelo razine 2 temeljem Zakona o uspostavi institucionalnog okvira za korištenje strukturnih instrumenata Europske unije u RH za razdoblje 2007. – 2013. („Narodne novine“, br. 78/12., 143/13.) i Uredbe o tijelima u sustavu upravljanja i kontrole korištenja strukturnih fondova Europske unije u Republici Hrvatskoj („Narodne novine“, br. 97/12.); te Zakona o uspostavi institucionalnog okvira za provedbu europskih strukturnih i investicijskih fondova u Republici Hrvatskoj u financijskom razdoblju 2014. – 2020. („Narodne novine“, br. 92/2014) i Uredbe o tijelima u sustavima upravljanja i kontrole korištenja Europskog socijalnog fonda, Europskog fonda za regionalni razvoj i Kohezijskog fonda, u vezi s ciljem „Ulaganje u rast i radna mjesta“ („Narodne novine“, br. 107/2014., 23/2015., 129/2015, 15/2017.).</w:t>
      </w:r>
    </w:p>
    <w:p w:rsidR="00505632" w:rsidRDefault="00505632" w:rsidP="00505632">
      <w:pPr>
        <w:pStyle w:val="Heading8"/>
        <w:jc w:val="left"/>
      </w:pPr>
      <w:r>
        <w:t>Opis aktivnosti</w:t>
      </w:r>
    </w:p>
    <w:p w:rsidR="00505632" w:rsidRDefault="00505632" w:rsidP="00505632">
      <w:r>
        <w:t>Obavljanjem funkcija PT 2, ASOO koristi sredstva Tehničke pomoći (85%) za rashode vezane uz rad i funkcioniranje ustrojstvene jedinice u ASOO koja obavlja poslove PT-a 2. Dinamika izvršenja aktivnosti ovisi i o dinamici rada na pojedinom Operativnom programu.</w:t>
      </w:r>
    </w:p>
    <w:p w:rsidR="00505632" w:rsidRDefault="00505632" w:rsidP="006A4980">
      <w:pPr>
        <w:overflowPunct/>
        <w:autoSpaceDE/>
        <w:autoSpaceDN/>
        <w:adjustRightInd/>
        <w:spacing w:after="200" w:line="276" w:lineRule="auto"/>
        <w:jc w:val="left"/>
        <w:textAlignment w:val="auto"/>
      </w:pPr>
      <w:r>
        <w:br w:type="page"/>
      </w:r>
    </w:p>
    <w:p w:rsidR="00505632" w:rsidRDefault="00505632" w:rsidP="00505632">
      <w:pPr>
        <w:pStyle w:val="Heading1"/>
      </w:pPr>
      <w:r>
        <w:t>086 MINISTARSTVO RADA I MIROVINSKOGA SUSTAVA</w:t>
      </w:r>
    </w:p>
    <w:p w:rsidR="00505632" w:rsidRDefault="00505632" w:rsidP="00505632">
      <w:r>
        <w:t xml:space="preserve">Ministarstvo rada i mirovinskoga sustava izrađuje i predlaže mjere, aktivnosti i strategije u područjima radnih odnosa, tržišta rada i aktivne politike zapošljavanja, zaštite zdravlja i sigurnosti radnika, obveznog i dobrovoljnog mirovinskog i socijalnog osiguranja, socijalnog dijaloga, pripremi i provedbi programa i projekata iz programa Europske unije, revizija nalaza i mišljenja o invalidnosti, te obavlja inspekcijske poslove u području rada i zaštite na radu.    </w:t>
      </w:r>
    </w:p>
    <w:p w:rsidR="00505632" w:rsidRDefault="00505632" w:rsidP="00505632">
      <w:r>
        <w:t xml:space="preserve">Važna uloga Ministarstva rada i mirovinskoga sustava vezana je uz podizanje ukupne razine ekonomske aktivnosti stanovništva i potražnje za radom. U suradnji s ostalim institucijama na tržištu rada, posebno s Ministarstvom znanosti i obrazovanja, Ministarstvo rada mirovinskoga sustava, aktivno sudjeluje u rješavanju problema strukturne i prostorne neusklađenosti između ponude i potražnje za radnom snagom te sustavnog smanjivanja regionalnih nejednakosti u području zapošljavanja.      </w:t>
      </w:r>
    </w:p>
    <w:p w:rsidR="00505632" w:rsidRDefault="00505632" w:rsidP="00505632">
      <w:r>
        <w:t xml:space="preserve">Ministarstvo rada i mirovinskoga sustava odgovorno je za sustavno uređenje radnih odnosa i sustava zaštite na radu u Republici Hrvatskoj. Zakonodavnim aktivnostima i tumačenjem važećih zakonskih odredbi i nadzorom primjene propisa kojima se uređuju radni odnosi i zaštita na radu, rješava probleme s kojima se radnici i poslodavci susreću u praksi i na taj način aktivno utječe na dosljedniju primjenu propisa, zaštitu prava i njihovo ostvarivanje, ali i na smanjivanje značajnog broja radnih sporova.      </w:t>
      </w:r>
    </w:p>
    <w:p w:rsidR="00505632" w:rsidRDefault="00505632" w:rsidP="00505632">
      <w:r>
        <w:t xml:space="preserve">Također je nadležno i za politiku mirovinskog osiguranja u sustavu generacijske solidarnosti i u sustavu utemeljenom na individualnoj kapitaliziranoj štednji. Radi osiguranja socijalne sigurnosti umirovljenika, Ministarstvo rada i mirovinskoga sustava promišlja i predlaže mjere koje će osigurati održivost mirovinskog sustava, kojim će se otkloniti problemi u sustavu te osigurati pravednije ostvarivanja prava.     </w:t>
      </w:r>
    </w:p>
    <w:p w:rsidR="00505632" w:rsidRDefault="00505632" w:rsidP="00505632">
      <w:r>
        <w:t xml:space="preserve">Ministarstvo rada i mirovinskoga sustava odgovorno je za upravljanje i provedbu Operativnog programa Razvoj ljudskih potencijala 2007. – 2013. te Operativnog programa Učinkoviti ljudski potencijali 2014. – 2020. u okviru Europskog socijalnog fonda, kao i Operativnog programa za hranu i osnovnu materijalnu pomoć za razdoblje 2014.-2020.  </w:t>
      </w:r>
    </w:p>
    <w:p w:rsidR="00505632" w:rsidRDefault="00505632" w:rsidP="00505632">
      <w:r>
        <w:t xml:space="preserve">Ministarstvo rada i mirovinskoga sustava nadležno je i za socijalno partnerstvo i odnose sa sindikatima i udrugama poslodavaca u području radno-pravnih odnosa, tržišta rada i zapošljavanja.     </w:t>
      </w:r>
    </w:p>
    <w:p w:rsidR="00505632" w:rsidRDefault="00505632" w:rsidP="00505632">
      <w:r>
        <w:t xml:space="preserve">Razdjel 086 obuhvaća:    </w:t>
      </w:r>
    </w:p>
    <w:p w:rsidR="00505632" w:rsidRDefault="00505632" w:rsidP="00505632">
      <w:r>
        <w:t xml:space="preserve">- 08605 Ministarstvo rada i mirovinskoga sustava,      </w:t>
      </w:r>
    </w:p>
    <w:p w:rsidR="00505632" w:rsidRDefault="00505632" w:rsidP="00505632">
      <w:r>
        <w:t xml:space="preserve">- 08620 Hrvatski zavod za mirovinsko osiguranje,      </w:t>
      </w:r>
    </w:p>
    <w:p w:rsidR="00505632" w:rsidRDefault="00505632" w:rsidP="00505632">
      <w:r>
        <w:t xml:space="preserve">- 08625 Hrvatski zavod za zapošljavanje,       </w:t>
      </w:r>
    </w:p>
    <w:p w:rsidR="00505632" w:rsidRDefault="00505632" w:rsidP="00505632">
      <w:r>
        <w:t xml:space="preserve">- 08635 Zavod za vještačenje, profesionalnu rehabilitaciju i zapošljavanje osoba s invaliditetom,     </w:t>
      </w:r>
    </w:p>
    <w:p w:rsidR="00505632" w:rsidRDefault="00505632" w:rsidP="00505632">
      <w:r>
        <w:t xml:space="preserve">- 08640 Zavod za unapređivanje zaštite na radu,    </w:t>
      </w:r>
    </w:p>
    <w:p w:rsidR="00505632" w:rsidRDefault="00505632" w:rsidP="00505632">
      <w:r>
        <w:t xml:space="preserve">- 08645 Središnji registar osiguranika,    </w:t>
      </w:r>
    </w:p>
    <w:p w:rsidR="00505632" w:rsidRDefault="00505632" w:rsidP="00505632">
      <w:r>
        <w:t xml:space="preserve">- 08650 Agencija za osiguranje radničkih potraživanja u slučaju stečaja poslodavca. </w:t>
      </w:r>
    </w:p>
    <w:p w:rsidR="00505632" w:rsidRDefault="00505632" w:rsidP="00505632">
      <w:r>
        <w:t xml:space="preserve"> </w:t>
      </w:r>
    </w:p>
    <w:p w:rsidR="00505632" w:rsidRDefault="00505632" w:rsidP="00505632">
      <w:r>
        <w:t xml:space="preserve">Financijski plan za razdjel 086 Ministarstvo rada i mirovinskoga sustava izvršen je u 2016. godini u iznosu od 41.255.790.287 kuna što je za 0,4% manje u odnosu na planirana srestva koja su iznosila 41.422.028.991 kunu. </w:t>
      </w:r>
    </w:p>
    <w:p w:rsidR="00505632" w:rsidRDefault="00505632" w:rsidP="00505632">
      <w:r>
        <w:t xml:space="preserve">Veća odstupanja u izvršenju financijsko plana u 2016. godini imaju slijedeći proračunski korisnici: </w:t>
      </w:r>
    </w:p>
    <w:p w:rsidR="00505632" w:rsidRDefault="00505632" w:rsidP="00505632">
      <w:r>
        <w:t xml:space="preserve">- Ministarstvo rada i mirovinskoga sustava ima manje izvršenje financijskog plana za 2016. godinu u iznosu od 15.208.330 kuna i to uglavnom iz razloga što se aktivnosti/projekti koji se financiraju iz EU sredstava nisu realizirali u planiranim iznosima (A854017 IPA I Jačanje politike i kapaciteta za smanjivanje neprijavljnog rada; T854020 OP Razvoj ljudskih potencijala, prioriteti 1, 4 i 5; T854021 OP Učinkoviti ljudski potencijali 2014.-2020., prioriteti 1, 2, 4 i 5).   </w:t>
      </w:r>
    </w:p>
    <w:p w:rsidR="00505632" w:rsidRDefault="00505632" w:rsidP="00505632">
      <w:r>
        <w:t xml:space="preserve">- Hrvatski zavod za zapošljavanje ima manje izvršenje financijskog plana za 2016. godinu u iznosu od 127.194.908 kuna i to zbog manjeg izvršenja na aktivnostima A689014 Naknade nezaposlenima, A689023 Aktivna politika zapošljavanja, A689027 Akcijski plan za uključivanje Roma i T689035 OP Učinkoviti ljudski potencijali. Također u 2016. godini nisu realizirana sredstva na aktivnosti K813002 Obnova voznog parka jer zbog žalbenih postupaka proces javne nabave nije okončan u 2016. godini kao i sredstva na aktivnosti T813032 Mehanizmi prekogranične susradnje u okviru EURES mreže jer su prihvaćanje izvješća i plaćanje ostvareni u 2017. godini.  </w:t>
      </w:r>
    </w:p>
    <w:p w:rsidR="00505632" w:rsidRDefault="00505632" w:rsidP="00505632">
      <w:r>
        <w:t xml:space="preserve">- Zavod za vještačenje, profesionalnu rehabilitaciju i zapošljavanje osoba s invaliditetom (dalje u tekstu: Zavod) ima veće zvršenje financijskog plana za 2016. godinu u iznosu od 12.302.174 kune što je za 14,6% više nego što je planirano u financijskom planu. Izvršenje je veće budući da Zavod temeljem članka 10. stavka 1. Zakona o profesionalnoj rehabilitaciji i zapošljavanju osoba s invaliditetom ostvaruje novčana sredstva uplatom poslodavaca koji ne ispunjavaju kvotno zapošljavanje (uplaćena novčana sredstva su namjenski prihod Zavoda, izvor 43, te se ista mogu izvršavati do visine uplaćenih i prenesenih sredstava) a zatim se navedena sredstva koriste za isplatu poticaja i nagrada pri zapošljavanju osoba s invaliditetom i provođenje projekata i programa za zapošljavanje osoba s invaliditetom, prema članku 10. stavku 7. Zakona o profesionalnoj rehabilitaciji. Upravo je isplata sredstava temeljem raspisanog javnog natječaja u 2016. godini za otvaranje novih radnih mjesta i održavanja zaposlenosti u intergrativnim i zaštitnim radionicama rezultirala većim izvršenjem od planiranog. Ujedno, značajne razlike u odnosu na 2015. godinu nastaju zbog većeg broja zaposlenih u 2016. godini u odnosu na 2015. godinu, što rezultira povećanjem ostalih rashoda Zavoda. </w:t>
      </w:r>
    </w:p>
    <w:p w:rsidR="00505632" w:rsidRDefault="00505632" w:rsidP="00505632">
      <w:r>
        <w:t xml:space="preserve">- Središnji registar osiguranika (dalje u tekstu: REGOS) ima manje izvršenje financijskog plana za 2016. godinu u iznosu od 9.051.765 kuna, pri čemu se odstupanje odnosi na aktivnost A772002 Tehnička podrška II stupu i razmjena podataka. Naknada koju REGOS prihoduje od obveznih mirovinskih društava za vođenje jedinstvenog računovodstva osobnih računa njihovih članova planirana je, na navedenoj aktivnosti, u iznosu od 49.005.000 kuna, dok su rashodi izvršeni sukladno ugovorima o obavljanju dijela posla REGOS-a s outsourcing partnerima FINA-om i API IT-om u inosu od 40.921.875 kuna.      </w:t>
      </w:r>
    </w:p>
    <w:p w:rsidR="00505632" w:rsidRDefault="00505632" w:rsidP="00505632">
      <w:r>
        <w:t>- Agencija za osiguranje radničkih potraživanja u slučaju stečaja poslodavca (dalje u tekstu: Agencija) ima manje izvršenje financijskog plana za 2016. godinu u iznosu od 9.666.399 kuna i to zbog manjeg izvršenja planiranih službenih putovanja vezano uz edukaciju poslodavaca i radnika u suradnji s HGK, HUP-om i sindikatima, čija je realizacija odgođena za narednu godinu, a naročito zbog manje isplaćenog iznosa naknada za radnička potraživanja u slučaju stečaja (plan 44.632.000 kuna, izvršenje 36.956.833 kune)  i u slučaju blokade računa poslodavca (plan: 8.550.000 kuna, izvršenje 7.041.070 kuna). Iznos naknada ovisi o  broju otvorenih stečajnih postupaka nad poslodavcima i broju radnika koji ostvaruju prava prema Zakonu o osiguranju potraživanja radnika u slučaju stečaja poslodavca, kao i o broju radnika koji podnose zahtjeve Agenciji i visini njihove plaće i godinama staža ostvarenih kod poslodavca, o iznosima pravomoćno dosuđene naknade štete, te o broju poslodavaca i broju radnika kojima poslodavac nije isplatio plaću i radnici se nisu naplatili putem Financijske agencije zahtjevom za prisilnu naplatu, odnosno o broju poslodavaca koji dostave zahtjeve za neisplaćenu plaću FINA-i Agenciji.</w:t>
      </w:r>
    </w:p>
    <w:tbl>
      <w:tblPr>
        <w:tblStyle w:val="StilTablice"/>
        <w:tblW w:w="10206" w:type="dxa"/>
        <w:jc w:val="center"/>
        <w:tblLook w:val="04A0" w:firstRow="1" w:lastRow="0" w:firstColumn="1" w:lastColumn="0" w:noHBand="0" w:noVBand="1"/>
      </w:tblPr>
      <w:tblGrid>
        <w:gridCol w:w="1682"/>
        <w:gridCol w:w="2028"/>
        <w:gridCol w:w="2028"/>
        <w:gridCol w:w="2028"/>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08605-Ministarstvo rada i mirovinskoga sustava</w:t>
            </w:r>
          </w:p>
        </w:tc>
        <w:tc>
          <w:tcPr>
            <w:tcW w:w="2041" w:type="dxa"/>
            <w:vAlign w:val="top"/>
          </w:tcPr>
          <w:p w:rsidR="00505632" w:rsidRDefault="00505632" w:rsidP="00AD4E52">
            <w:pPr>
              <w:pStyle w:val="CellColumn"/>
              <w:jc w:val="right"/>
            </w:pPr>
            <w:r>
              <w:rPr>
                <w:rFonts w:cs="Times New Roman"/>
              </w:rPr>
              <w:t>116.651.231</w:t>
            </w:r>
          </w:p>
        </w:tc>
        <w:tc>
          <w:tcPr>
            <w:tcW w:w="2041" w:type="dxa"/>
            <w:vAlign w:val="top"/>
          </w:tcPr>
          <w:p w:rsidR="00505632" w:rsidRDefault="00505632" w:rsidP="00AD4E52">
            <w:pPr>
              <w:pStyle w:val="CellColumn"/>
              <w:jc w:val="right"/>
            </w:pPr>
            <w:r>
              <w:rPr>
                <w:rFonts w:cs="Times New Roman"/>
              </w:rPr>
              <w:t>122.293.961</w:t>
            </w:r>
          </w:p>
        </w:tc>
        <w:tc>
          <w:tcPr>
            <w:tcW w:w="2041" w:type="dxa"/>
            <w:vAlign w:val="top"/>
          </w:tcPr>
          <w:p w:rsidR="00505632" w:rsidRDefault="00505632" w:rsidP="00AD4E52">
            <w:pPr>
              <w:pStyle w:val="CellColumn"/>
              <w:jc w:val="right"/>
            </w:pPr>
            <w:r>
              <w:rPr>
                <w:rFonts w:cs="Times New Roman"/>
              </w:rPr>
              <w:t>107.085.631</w:t>
            </w:r>
          </w:p>
        </w:tc>
        <w:tc>
          <w:tcPr>
            <w:tcW w:w="1224" w:type="dxa"/>
            <w:vAlign w:val="top"/>
          </w:tcPr>
          <w:p w:rsidR="00505632" w:rsidRDefault="00505632" w:rsidP="00AD4E52">
            <w:pPr>
              <w:pStyle w:val="CellColumn"/>
              <w:jc w:val="right"/>
            </w:pPr>
            <w:r>
              <w:rPr>
                <w:rFonts w:cs="Times New Roman"/>
              </w:rPr>
              <w:t>87,6</w:t>
            </w:r>
          </w:p>
        </w:tc>
        <w:tc>
          <w:tcPr>
            <w:tcW w:w="1224" w:type="dxa"/>
            <w:vAlign w:val="top"/>
          </w:tcPr>
          <w:p w:rsidR="00505632" w:rsidRDefault="00505632" w:rsidP="00AD4E52">
            <w:pPr>
              <w:pStyle w:val="CellColumn"/>
              <w:jc w:val="right"/>
            </w:pPr>
            <w:r>
              <w:rPr>
                <w:rFonts w:cs="Times New Roman"/>
              </w:rPr>
              <w:t>91,8</w:t>
            </w:r>
          </w:p>
        </w:tc>
      </w:tr>
      <w:tr w:rsidR="00505632" w:rsidTr="00AD4E52">
        <w:trPr>
          <w:jc w:val="center"/>
        </w:trPr>
        <w:tc>
          <w:tcPr>
            <w:tcW w:w="1632" w:type="dxa"/>
            <w:vAlign w:val="top"/>
          </w:tcPr>
          <w:p w:rsidR="00505632" w:rsidRDefault="00505632" w:rsidP="00AD4E52">
            <w:pPr>
              <w:pStyle w:val="CellColumn"/>
              <w:jc w:val="left"/>
            </w:pPr>
            <w:r>
              <w:rPr>
                <w:rFonts w:cs="Times New Roman"/>
              </w:rPr>
              <w:t>08620-Hrvatski zavod za mirovinsko osiguranje</w:t>
            </w:r>
          </w:p>
        </w:tc>
        <w:tc>
          <w:tcPr>
            <w:tcW w:w="2041" w:type="dxa"/>
            <w:vAlign w:val="top"/>
          </w:tcPr>
          <w:p w:rsidR="00505632" w:rsidRDefault="00505632" w:rsidP="00AD4E52">
            <w:pPr>
              <w:pStyle w:val="CellColumn"/>
              <w:jc w:val="right"/>
            </w:pPr>
            <w:r>
              <w:rPr>
                <w:rFonts w:cs="Times New Roman"/>
              </w:rPr>
              <w:t>38.682.038.415</w:t>
            </w:r>
          </w:p>
        </w:tc>
        <w:tc>
          <w:tcPr>
            <w:tcW w:w="2041" w:type="dxa"/>
            <w:vAlign w:val="top"/>
          </w:tcPr>
          <w:p w:rsidR="00505632" w:rsidRDefault="00505632" w:rsidP="00AD4E52">
            <w:pPr>
              <w:pStyle w:val="CellColumn"/>
              <w:jc w:val="right"/>
            </w:pPr>
            <w:r>
              <w:rPr>
                <w:rFonts w:cs="Times New Roman"/>
              </w:rPr>
              <w:t>38.702.211.210</w:t>
            </w:r>
          </w:p>
        </w:tc>
        <w:tc>
          <w:tcPr>
            <w:tcW w:w="2041" w:type="dxa"/>
            <w:vAlign w:val="top"/>
          </w:tcPr>
          <w:p w:rsidR="00505632" w:rsidRDefault="00505632" w:rsidP="00AD4E52">
            <w:pPr>
              <w:pStyle w:val="CellColumn"/>
              <w:jc w:val="right"/>
            </w:pPr>
            <w:r>
              <w:rPr>
                <w:rFonts w:cs="Times New Roman"/>
              </w:rPr>
              <w:t>38.684.989.689</w:t>
            </w:r>
          </w:p>
        </w:tc>
        <w:tc>
          <w:tcPr>
            <w:tcW w:w="1224" w:type="dxa"/>
            <w:vAlign w:val="top"/>
          </w:tcPr>
          <w:p w:rsidR="00505632" w:rsidRDefault="00505632" w:rsidP="00AD4E52">
            <w:pPr>
              <w:pStyle w:val="CellColumn"/>
              <w:jc w:val="right"/>
            </w:pPr>
            <w:r>
              <w:rPr>
                <w:rFonts w:cs="Times New Roman"/>
              </w:rPr>
              <w:t>100,0</w:t>
            </w:r>
          </w:p>
        </w:tc>
        <w:tc>
          <w:tcPr>
            <w:tcW w:w="1224" w:type="dxa"/>
            <w:vAlign w:val="top"/>
          </w:tcPr>
          <w:p w:rsidR="00505632" w:rsidRDefault="00505632" w:rsidP="00AD4E52">
            <w:pPr>
              <w:pStyle w:val="CellColumn"/>
              <w:jc w:val="right"/>
            </w:pPr>
            <w:r>
              <w:rPr>
                <w:rFonts w:cs="Times New Roman"/>
              </w:rPr>
              <w:t>100,0</w:t>
            </w:r>
          </w:p>
        </w:tc>
      </w:tr>
      <w:tr w:rsidR="00505632" w:rsidTr="00AD4E52">
        <w:trPr>
          <w:jc w:val="center"/>
        </w:trPr>
        <w:tc>
          <w:tcPr>
            <w:tcW w:w="1632" w:type="dxa"/>
            <w:vAlign w:val="top"/>
          </w:tcPr>
          <w:p w:rsidR="00505632" w:rsidRDefault="00505632" w:rsidP="00AD4E52">
            <w:pPr>
              <w:pStyle w:val="CellColumn"/>
              <w:jc w:val="left"/>
            </w:pPr>
            <w:r>
              <w:rPr>
                <w:rFonts w:cs="Times New Roman"/>
              </w:rPr>
              <w:t>08625-Hrvatski zavod za zapošljavanje</w:t>
            </w:r>
          </w:p>
        </w:tc>
        <w:tc>
          <w:tcPr>
            <w:tcW w:w="2041" w:type="dxa"/>
            <w:vAlign w:val="top"/>
          </w:tcPr>
          <w:p w:rsidR="00505632" w:rsidRDefault="00505632" w:rsidP="00AD4E52">
            <w:pPr>
              <w:pStyle w:val="CellColumn"/>
              <w:jc w:val="right"/>
            </w:pPr>
            <w:r>
              <w:rPr>
                <w:rFonts w:cs="Times New Roman"/>
              </w:rPr>
              <w:t>2.471.481.679</w:t>
            </w:r>
          </w:p>
        </w:tc>
        <w:tc>
          <w:tcPr>
            <w:tcW w:w="2041" w:type="dxa"/>
            <w:vAlign w:val="top"/>
          </w:tcPr>
          <w:p w:rsidR="00505632" w:rsidRDefault="00505632" w:rsidP="00AD4E52">
            <w:pPr>
              <w:pStyle w:val="CellColumn"/>
              <w:jc w:val="right"/>
            </w:pPr>
            <w:r>
              <w:rPr>
                <w:rFonts w:cs="Times New Roman"/>
              </w:rPr>
              <w:t>2.397.240.195</w:t>
            </w:r>
          </w:p>
        </w:tc>
        <w:tc>
          <w:tcPr>
            <w:tcW w:w="2041" w:type="dxa"/>
            <w:vAlign w:val="top"/>
          </w:tcPr>
          <w:p w:rsidR="00505632" w:rsidRDefault="00505632" w:rsidP="00AD4E52">
            <w:pPr>
              <w:pStyle w:val="CellColumn"/>
              <w:jc w:val="right"/>
            </w:pPr>
            <w:r>
              <w:rPr>
                <w:rFonts w:cs="Times New Roman"/>
              </w:rPr>
              <w:t>2.270.045.287</w:t>
            </w:r>
          </w:p>
        </w:tc>
        <w:tc>
          <w:tcPr>
            <w:tcW w:w="1224" w:type="dxa"/>
            <w:vAlign w:val="top"/>
          </w:tcPr>
          <w:p w:rsidR="00505632" w:rsidRDefault="00505632" w:rsidP="00AD4E52">
            <w:pPr>
              <w:pStyle w:val="CellColumn"/>
              <w:jc w:val="right"/>
            </w:pPr>
            <w:r>
              <w:rPr>
                <w:rFonts w:cs="Times New Roman"/>
              </w:rPr>
              <w:t>94,7</w:t>
            </w:r>
          </w:p>
        </w:tc>
        <w:tc>
          <w:tcPr>
            <w:tcW w:w="1224" w:type="dxa"/>
            <w:vAlign w:val="top"/>
          </w:tcPr>
          <w:p w:rsidR="00505632" w:rsidRDefault="00505632" w:rsidP="00AD4E52">
            <w:pPr>
              <w:pStyle w:val="CellColumn"/>
              <w:jc w:val="right"/>
            </w:pPr>
            <w:r>
              <w:rPr>
                <w:rFonts w:cs="Times New Roman"/>
              </w:rPr>
              <w:t>91,8</w:t>
            </w:r>
          </w:p>
        </w:tc>
      </w:tr>
      <w:tr w:rsidR="00505632" w:rsidTr="00AD4E52">
        <w:trPr>
          <w:jc w:val="center"/>
        </w:trPr>
        <w:tc>
          <w:tcPr>
            <w:tcW w:w="1632" w:type="dxa"/>
            <w:vAlign w:val="top"/>
          </w:tcPr>
          <w:p w:rsidR="00505632" w:rsidRDefault="00505632" w:rsidP="00AD4E52">
            <w:pPr>
              <w:pStyle w:val="CellColumn"/>
              <w:jc w:val="left"/>
            </w:pPr>
            <w:r>
              <w:rPr>
                <w:rFonts w:cs="Times New Roman"/>
              </w:rPr>
              <w:t>08635-Zavod za vještačenje, profesionalnu rehabilitaciju i zapošljavanje osoba s invaliditetom</w:t>
            </w:r>
          </w:p>
        </w:tc>
        <w:tc>
          <w:tcPr>
            <w:tcW w:w="2041" w:type="dxa"/>
            <w:vAlign w:val="top"/>
          </w:tcPr>
          <w:p w:rsidR="00505632" w:rsidRDefault="00505632" w:rsidP="00AD4E52">
            <w:pPr>
              <w:pStyle w:val="CellColumn"/>
              <w:jc w:val="right"/>
            </w:pPr>
            <w:r>
              <w:rPr>
                <w:rFonts w:cs="Times New Roman"/>
              </w:rPr>
              <w:t>72.914.699</w:t>
            </w:r>
          </w:p>
        </w:tc>
        <w:tc>
          <w:tcPr>
            <w:tcW w:w="2041" w:type="dxa"/>
            <w:vAlign w:val="top"/>
          </w:tcPr>
          <w:p w:rsidR="00505632" w:rsidRDefault="00505632" w:rsidP="00AD4E52">
            <w:pPr>
              <w:pStyle w:val="CellColumn"/>
              <w:jc w:val="right"/>
            </w:pPr>
            <w:r>
              <w:rPr>
                <w:rFonts w:cs="Times New Roman"/>
              </w:rPr>
              <w:t>84.103.000</w:t>
            </w:r>
          </w:p>
        </w:tc>
        <w:tc>
          <w:tcPr>
            <w:tcW w:w="2041" w:type="dxa"/>
            <w:vAlign w:val="top"/>
          </w:tcPr>
          <w:p w:rsidR="00505632" w:rsidRDefault="00505632" w:rsidP="00AD4E52">
            <w:pPr>
              <w:pStyle w:val="CellColumn"/>
              <w:jc w:val="right"/>
            </w:pPr>
            <w:r>
              <w:rPr>
                <w:rFonts w:cs="Times New Roman"/>
              </w:rPr>
              <w:t>96.405.174</w:t>
            </w:r>
          </w:p>
        </w:tc>
        <w:tc>
          <w:tcPr>
            <w:tcW w:w="1224" w:type="dxa"/>
            <w:vAlign w:val="top"/>
          </w:tcPr>
          <w:p w:rsidR="00505632" w:rsidRDefault="00505632" w:rsidP="00AD4E52">
            <w:pPr>
              <w:pStyle w:val="CellColumn"/>
              <w:jc w:val="right"/>
            </w:pPr>
            <w:r>
              <w:rPr>
                <w:rFonts w:cs="Times New Roman"/>
              </w:rPr>
              <w:t>114,6</w:t>
            </w:r>
          </w:p>
        </w:tc>
        <w:tc>
          <w:tcPr>
            <w:tcW w:w="1224" w:type="dxa"/>
            <w:vAlign w:val="top"/>
          </w:tcPr>
          <w:p w:rsidR="00505632" w:rsidRDefault="00505632" w:rsidP="00AD4E52">
            <w:pPr>
              <w:pStyle w:val="CellColumn"/>
              <w:jc w:val="right"/>
            </w:pPr>
            <w:r>
              <w:rPr>
                <w:rFonts w:cs="Times New Roman"/>
              </w:rPr>
              <w:t>132,2</w:t>
            </w:r>
          </w:p>
        </w:tc>
      </w:tr>
      <w:tr w:rsidR="00505632" w:rsidTr="00AD4E52">
        <w:trPr>
          <w:jc w:val="center"/>
        </w:trPr>
        <w:tc>
          <w:tcPr>
            <w:tcW w:w="1632" w:type="dxa"/>
            <w:vAlign w:val="top"/>
          </w:tcPr>
          <w:p w:rsidR="00505632" w:rsidRDefault="00505632" w:rsidP="00AD4E52">
            <w:pPr>
              <w:pStyle w:val="CellColumn"/>
              <w:jc w:val="left"/>
            </w:pPr>
            <w:r>
              <w:rPr>
                <w:rFonts w:cs="Times New Roman"/>
              </w:rPr>
              <w:t>08640-Zavod za unapređivanje zaštite na radu</w:t>
            </w:r>
          </w:p>
        </w:tc>
        <w:tc>
          <w:tcPr>
            <w:tcW w:w="2041" w:type="dxa"/>
            <w:vAlign w:val="top"/>
          </w:tcPr>
          <w:p w:rsidR="00505632" w:rsidRDefault="00505632" w:rsidP="00AD4E52">
            <w:pPr>
              <w:pStyle w:val="CellColumn"/>
              <w:jc w:val="right"/>
            </w:pPr>
            <w:r>
              <w:rPr>
                <w:rFonts w:cs="Times New Roman"/>
              </w:rPr>
              <w:t>1.606.202</w:t>
            </w:r>
          </w:p>
        </w:tc>
        <w:tc>
          <w:tcPr>
            <w:tcW w:w="2041" w:type="dxa"/>
            <w:vAlign w:val="top"/>
          </w:tcPr>
          <w:p w:rsidR="00505632" w:rsidRDefault="00505632" w:rsidP="00AD4E52">
            <w:pPr>
              <w:pStyle w:val="CellColumn"/>
              <w:jc w:val="right"/>
            </w:pPr>
            <w:r>
              <w:rPr>
                <w:rFonts w:cs="Times New Roman"/>
              </w:rPr>
              <w:t>2.845.000</w:t>
            </w:r>
          </w:p>
        </w:tc>
        <w:tc>
          <w:tcPr>
            <w:tcW w:w="2041" w:type="dxa"/>
            <w:vAlign w:val="top"/>
          </w:tcPr>
          <w:p w:rsidR="00505632" w:rsidRDefault="00505632" w:rsidP="00AD4E52">
            <w:pPr>
              <w:pStyle w:val="CellColumn"/>
              <w:jc w:val="right"/>
            </w:pPr>
            <w:r>
              <w:rPr>
                <w:rFonts w:cs="Times New Roman"/>
              </w:rPr>
              <w:t>2.647.045</w:t>
            </w:r>
          </w:p>
        </w:tc>
        <w:tc>
          <w:tcPr>
            <w:tcW w:w="1224" w:type="dxa"/>
            <w:vAlign w:val="top"/>
          </w:tcPr>
          <w:p w:rsidR="00505632" w:rsidRDefault="00505632" w:rsidP="00AD4E52">
            <w:pPr>
              <w:pStyle w:val="CellColumn"/>
              <w:jc w:val="right"/>
            </w:pPr>
            <w:r>
              <w:rPr>
                <w:rFonts w:cs="Times New Roman"/>
              </w:rPr>
              <w:t>93,0</w:t>
            </w:r>
          </w:p>
        </w:tc>
        <w:tc>
          <w:tcPr>
            <w:tcW w:w="1224" w:type="dxa"/>
            <w:vAlign w:val="top"/>
          </w:tcPr>
          <w:p w:rsidR="00505632" w:rsidRDefault="00505632" w:rsidP="00AD4E52">
            <w:pPr>
              <w:pStyle w:val="CellColumn"/>
              <w:jc w:val="right"/>
            </w:pPr>
            <w:r>
              <w:rPr>
                <w:rFonts w:cs="Times New Roman"/>
              </w:rPr>
              <w:t>164,8</w:t>
            </w:r>
          </w:p>
        </w:tc>
      </w:tr>
      <w:tr w:rsidR="00505632" w:rsidTr="00AD4E52">
        <w:trPr>
          <w:jc w:val="center"/>
        </w:trPr>
        <w:tc>
          <w:tcPr>
            <w:tcW w:w="1632" w:type="dxa"/>
            <w:vAlign w:val="top"/>
          </w:tcPr>
          <w:p w:rsidR="00505632" w:rsidRDefault="00505632" w:rsidP="00AD4E52">
            <w:pPr>
              <w:pStyle w:val="CellColumn"/>
              <w:jc w:val="left"/>
            </w:pPr>
            <w:r>
              <w:rPr>
                <w:rFonts w:cs="Times New Roman"/>
              </w:rPr>
              <w:t>08645-Središnji registar osiguranika</w:t>
            </w:r>
          </w:p>
        </w:tc>
        <w:tc>
          <w:tcPr>
            <w:tcW w:w="2041" w:type="dxa"/>
            <w:vAlign w:val="top"/>
          </w:tcPr>
          <w:p w:rsidR="00505632" w:rsidRDefault="00505632" w:rsidP="00AD4E52">
            <w:pPr>
              <w:pStyle w:val="CellColumn"/>
              <w:jc w:val="right"/>
            </w:pPr>
            <w:r>
              <w:rPr>
                <w:rFonts w:cs="Times New Roman"/>
              </w:rPr>
              <w:t>47.964.924</w:t>
            </w:r>
          </w:p>
        </w:tc>
        <w:tc>
          <w:tcPr>
            <w:tcW w:w="2041" w:type="dxa"/>
            <w:vAlign w:val="top"/>
          </w:tcPr>
          <w:p w:rsidR="00505632" w:rsidRDefault="00505632" w:rsidP="00AD4E52">
            <w:pPr>
              <w:pStyle w:val="CellColumn"/>
              <w:jc w:val="right"/>
            </w:pPr>
            <w:r>
              <w:rPr>
                <w:rFonts w:cs="Times New Roman"/>
              </w:rPr>
              <w:t>56.726.100</w:t>
            </w:r>
          </w:p>
        </w:tc>
        <w:tc>
          <w:tcPr>
            <w:tcW w:w="2041" w:type="dxa"/>
            <w:vAlign w:val="top"/>
          </w:tcPr>
          <w:p w:rsidR="00505632" w:rsidRDefault="00505632" w:rsidP="00AD4E52">
            <w:pPr>
              <w:pStyle w:val="CellColumn"/>
              <w:jc w:val="right"/>
            </w:pPr>
            <w:r>
              <w:rPr>
                <w:rFonts w:cs="Times New Roman"/>
              </w:rPr>
              <w:t>47.674.335</w:t>
            </w:r>
          </w:p>
        </w:tc>
        <w:tc>
          <w:tcPr>
            <w:tcW w:w="1224" w:type="dxa"/>
            <w:vAlign w:val="top"/>
          </w:tcPr>
          <w:p w:rsidR="00505632" w:rsidRDefault="00505632" w:rsidP="00AD4E52">
            <w:pPr>
              <w:pStyle w:val="CellColumn"/>
              <w:jc w:val="right"/>
            </w:pPr>
            <w:r>
              <w:rPr>
                <w:rFonts w:cs="Times New Roman"/>
              </w:rPr>
              <w:t>84,0</w:t>
            </w:r>
          </w:p>
        </w:tc>
        <w:tc>
          <w:tcPr>
            <w:tcW w:w="1224" w:type="dxa"/>
            <w:vAlign w:val="top"/>
          </w:tcPr>
          <w:p w:rsidR="00505632" w:rsidRDefault="00505632" w:rsidP="00AD4E52">
            <w:pPr>
              <w:pStyle w:val="CellColumn"/>
              <w:jc w:val="right"/>
            </w:pPr>
            <w:r>
              <w:rPr>
                <w:rFonts w:cs="Times New Roman"/>
              </w:rPr>
              <w:t>99,4</w:t>
            </w:r>
          </w:p>
        </w:tc>
      </w:tr>
      <w:tr w:rsidR="00505632" w:rsidTr="00AD4E52">
        <w:trPr>
          <w:jc w:val="center"/>
        </w:trPr>
        <w:tc>
          <w:tcPr>
            <w:tcW w:w="1632" w:type="dxa"/>
            <w:vAlign w:val="top"/>
          </w:tcPr>
          <w:p w:rsidR="00505632" w:rsidRDefault="00505632" w:rsidP="00AD4E52">
            <w:pPr>
              <w:pStyle w:val="CellColumn"/>
              <w:jc w:val="left"/>
            </w:pPr>
            <w:r>
              <w:rPr>
                <w:rFonts w:cs="Times New Roman"/>
              </w:rPr>
              <w:t>08650-Agencija za osiguranje radničkih potraživanja u slučaju stečaja poslodavca</w:t>
            </w:r>
          </w:p>
        </w:tc>
        <w:tc>
          <w:tcPr>
            <w:tcW w:w="2041" w:type="dxa"/>
            <w:vAlign w:val="top"/>
          </w:tcPr>
          <w:p w:rsidR="00505632" w:rsidRDefault="00505632" w:rsidP="00AD4E52">
            <w:pPr>
              <w:pStyle w:val="CellColumn"/>
              <w:jc w:val="right"/>
            </w:pPr>
            <w:r>
              <w:rPr>
                <w:rFonts w:cs="Times New Roman"/>
              </w:rPr>
              <w:t>41.593.747</w:t>
            </w:r>
          </w:p>
        </w:tc>
        <w:tc>
          <w:tcPr>
            <w:tcW w:w="2041" w:type="dxa"/>
            <w:vAlign w:val="top"/>
          </w:tcPr>
          <w:p w:rsidR="00505632" w:rsidRDefault="00505632" w:rsidP="00AD4E52">
            <w:pPr>
              <w:pStyle w:val="CellColumn"/>
              <w:jc w:val="right"/>
            </w:pPr>
            <w:r>
              <w:rPr>
                <w:rFonts w:cs="Times New Roman"/>
              </w:rPr>
              <w:t>56.609.525</w:t>
            </w:r>
          </w:p>
        </w:tc>
        <w:tc>
          <w:tcPr>
            <w:tcW w:w="2041" w:type="dxa"/>
            <w:vAlign w:val="top"/>
          </w:tcPr>
          <w:p w:rsidR="00505632" w:rsidRDefault="00505632" w:rsidP="00AD4E52">
            <w:pPr>
              <w:pStyle w:val="CellColumn"/>
              <w:jc w:val="right"/>
            </w:pPr>
            <w:r>
              <w:rPr>
                <w:rFonts w:cs="Times New Roman"/>
              </w:rPr>
              <w:t>46.943.126</w:t>
            </w:r>
          </w:p>
        </w:tc>
        <w:tc>
          <w:tcPr>
            <w:tcW w:w="1224" w:type="dxa"/>
            <w:vAlign w:val="top"/>
          </w:tcPr>
          <w:p w:rsidR="00505632" w:rsidRDefault="00505632" w:rsidP="00AD4E52">
            <w:pPr>
              <w:pStyle w:val="CellColumn"/>
              <w:jc w:val="right"/>
            </w:pPr>
            <w:r>
              <w:rPr>
                <w:rFonts w:cs="Times New Roman"/>
              </w:rPr>
              <w:t>82,9</w:t>
            </w:r>
          </w:p>
        </w:tc>
        <w:tc>
          <w:tcPr>
            <w:tcW w:w="1224" w:type="dxa"/>
            <w:vAlign w:val="top"/>
          </w:tcPr>
          <w:p w:rsidR="00505632" w:rsidRDefault="00505632" w:rsidP="00AD4E52">
            <w:pPr>
              <w:pStyle w:val="CellColumn"/>
              <w:jc w:val="right"/>
            </w:pPr>
            <w:r>
              <w:rPr>
                <w:rFonts w:cs="Times New Roman"/>
              </w:rPr>
              <w:t>112,9</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086-MINISTARSTVO RADA I MIROVINSKOGA SUSTAVA</w:t>
            </w:r>
          </w:p>
        </w:tc>
        <w:tc>
          <w:tcPr>
            <w:tcW w:w="2041" w:type="dxa"/>
            <w:shd w:val="clear" w:color="auto" w:fill="B5C0D8"/>
          </w:tcPr>
          <w:p w:rsidR="00505632" w:rsidRDefault="00505632" w:rsidP="00AD4E52">
            <w:pPr>
              <w:pStyle w:val="CellColumn"/>
              <w:jc w:val="right"/>
            </w:pPr>
            <w:r>
              <w:rPr>
                <w:rFonts w:cs="Times New Roman"/>
              </w:rPr>
              <w:t>41.434.250.896</w:t>
            </w:r>
          </w:p>
        </w:tc>
        <w:tc>
          <w:tcPr>
            <w:tcW w:w="2041" w:type="dxa"/>
            <w:shd w:val="clear" w:color="auto" w:fill="B5C0D8"/>
          </w:tcPr>
          <w:p w:rsidR="00505632" w:rsidRDefault="00505632" w:rsidP="00AD4E52">
            <w:pPr>
              <w:pStyle w:val="CellColumn"/>
              <w:jc w:val="right"/>
            </w:pPr>
            <w:r>
              <w:rPr>
                <w:rFonts w:cs="Times New Roman"/>
              </w:rPr>
              <w:t>41.422.028.991</w:t>
            </w:r>
          </w:p>
        </w:tc>
        <w:tc>
          <w:tcPr>
            <w:tcW w:w="2041" w:type="dxa"/>
            <w:shd w:val="clear" w:color="auto" w:fill="B5C0D8"/>
          </w:tcPr>
          <w:p w:rsidR="00505632" w:rsidRDefault="00505632" w:rsidP="00AD4E52">
            <w:pPr>
              <w:pStyle w:val="CellColumn"/>
              <w:jc w:val="right"/>
            </w:pPr>
            <w:r>
              <w:rPr>
                <w:rFonts w:cs="Times New Roman"/>
              </w:rPr>
              <w:t>41.255.790.287</w:t>
            </w:r>
          </w:p>
        </w:tc>
        <w:tc>
          <w:tcPr>
            <w:tcW w:w="1224" w:type="dxa"/>
            <w:shd w:val="clear" w:color="auto" w:fill="B5C0D8"/>
          </w:tcPr>
          <w:p w:rsidR="00505632" w:rsidRDefault="00505632" w:rsidP="00AD4E52">
            <w:pPr>
              <w:pStyle w:val="CellColumn"/>
              <w:jc w:val="right"/>
            </w:pPr>
            <w:r>
              <w:rPr>
                <w:rFonts w:cs="Times New Roman"/>
              </w:rPr>
              <w:t>99,6</w:t>
            </w:r>
          </w:p>
        </w:tc>
        <w:tc>
          <w:tcPr>
            <w:tcW w:w="1224" w:type="dxa"/>
            <w:shd w:val="clear" w:color="auto" w:fill="B5C0D8"/>
          </w:tcPr>
          <w:p w:rsidR="00505632" w:rsidRDefault="00505632" w:rsidP="00AD4E52">
            <w:pPr>
              <w:pStyle w:val="CellColumn"/>
              <w:jc w:val="right"/>
            </w:pPr>
            <w:r>
              <w:rPr>
                <w:rFonts w:cs="Times New Roman"/>
              </w:rPr>
              <w:t>99,6</w:t>
            </w:r>
          </w:p>
        </w:tc>
      </w:tr>
    </w:tbl>
    <w:p w:rsidR="00505632" w:rsidRDefault="00505632" w:rsidP="00505632">
      <w:pPr>
        <w:jc w:val="left"/>
      </w:pPr>
    </w:p>
    <w:p w:rsidR="00505632" w:rsidRDefault="00505632" w:rsidP="00505632">
      <w:pPr>
        <w:pStyle w:val="Heading2"/>
      </w:pPr>
      <w:r>
        <w:t>08605 Ministarstvo rada i mirovinskoga sustava</w:t>
      </w:r>
    </w:p>
    <w:p w:rsidR="00505632" w:rsidRDefault="00505632" w:rsidP="00505632">
      <w:r>
        <w:t xml:space="preserve">Ministarstvo rada i mirovinskoga sustava (dalje u tekstu: Ministarstvo) obavlja upravne i druge poslove koji se odnose na radne odnose i zaštitu na radu, politiku zapošljavanja, mirovinski sustav, inspekcijski nadzor nad provedbom propisa iz područja radnih odnosa i zaštite na radu te korištenje EU fondova. Prati stanje i priprema prijedloge strateških dokumenata, zakona i drugih propisa iz područja radnih odnosa, zaštite na radu i mirovinskoga osiguranja.  </w:t>
      </w:r>
    </w:p>
    <w:p w:rsidR="00505632" w:rsidRDefault="00505632" w:rsidP="00505632">
      <w:r>
        <w:t xml:space="preserve">Nadalje, obavlja poslove koji se odnose na tržište rada i zapošljavanje u suradnji s ministarstvima zaduženim  za gospodarstvo, poduzetništvo i obrt, znanost i obrazovanje te regionalni razvoj. Donosi rješenja i vodi evidencije o registraciji udruga, utemeljenih u skladu s odredbama Zakona o radu, sindikata, udruga poslodavaca i udruga sindikata. Obavlja upravne i druge poslove koji se odnose na područja radnopravnih odnosa, tržišta rada i zapošljavanja, na kolektivne ugovore, tripartitnu  suradnju, međunarodnu suradnju na području rada i zapošljavanja te mirovinskog osiguranja.   </w:t>
      </w:r>
    </w:p>
    <w:p w:rsidR="00505632" w:rsidRDefault="00505632" w:rsidP="00505632">
      <w:r>
        <w:t xml:space="preserve">Osim priprema prijedloga zakona iz radnih odnosa i zaštite na radu, Ministarstvo obavlja i inspekcijske poslove u području rada i zaštite na radu u cilju poštivanja propisa koji uređuju prava radnika iz radnog odnosa i zaštite na radu.  </w:t>
      </w:r>
    </w:p>
    <w:p w:rsidR="00505632" w:rsidRDefault="00505632" w:rsidP="00505632">
      <w:r>
        <w:t xml:space="preserve">Ministarstvo obavlja i poslove revizije nalaza i mišljenja o invalidnosti. </w:t>
      </w:r>
    </w:p>
    <w:p w:rsidR="00505632" w:rsidRDefault="00505632" w:rsidP="00505632">
      <w:r>
        <w:t>Ministarstvo obavlja i poslove upravljanja i provedbe Operativnog programa Razvoj ljudskih potencijala 2007. – 2013. i Operativnog programa Učinkoviti ljudski potencijali 2014. – 2020., koji se sufinanciraju sredstvima Europskog socijalnog fonda, kao i upravljanja Operativnim programom za hranu i/ili osnovnu materijalnu pomoć za razdoblje 2014. - 2020. (FEAD), te programima financiranima iz drugih fondova Europske unije u području rada i zapošljavanja, uključujući uspostavu i kontrolu rada sustava. Također obavlja financijsko upravljanje i kontrolu, praćenje, vrednovanje i informiranje, pripremu i provedbu programa i projekata i suradnju s Europskom komisijom vezano uz provedbu operativnih programa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08605-Ministarstvo rada i mirovinskoga sustava</w:t>
            </w:r>
          </w:p>
        </w:tc>
        <w:tc>
          <w:tcPr>
            <w:tcW w:w="2041" w:type="dxa"/>
            <w:vAlign w:val="top"/>
          </w:tcPr>
          <w:p w:rsidR="00505632" w:rsidRDefault="00505632" w:rsidP="00AD4E52">
            <w:pPr>
              <w:pStyle w:val="CellColumn"/>
              <w:jc w:val="right"/>
            </w:pPr>
            <w:r>
              <w:rPr>
                <w:rFonts w:cs="Times New Roman"/>
              </w:rPr>
              <w:t>116.651.231</w:t>
            </w:r>
          </w:p>
        </w:tc>
        <w:tc>
          <w:tcPr>
            <w:tcW w:w="2041" w:type="dxa"/>
            <w:vAlign w:val="top"/>
          </w:tcPr>
          <w:p w:rsidR="00505632" w:rsidRDefault="00505632" w:rsidP="00AD4E52">
            <w:pPr>
              <w:pStyle w:val="CellColumn"/>
              <w:jc w:val="right"/>
            </w:pPr>
            <w:r>
              <w:rPr>
                <w:rFonts w:cs="Times New Roman"/>
              </w:rPr>
              <w:t>122.293.961</w:t>
            </w:r>
          </w:p>
        </w:tc>
        <w:tc>
          <w:tcPr>
            <w:tcW w:w="2041" w:type="dxa"/>
            <w:vAlign w:val="top"/>
          </w:tcPr>
          <w:p w:rsidR="00505632" w:rsidRDefault="00505632" w:rsidP="00AD4E52">
            <w:pPr>
              <w:pStyle w:val="CellColumn"/>
              <w:jc w:val="right"/>
            </w:pPr>
            <w:r>
              <w:rPr>
                <w:rFonts w:cs="Times New Roman"/>
              </w:rPr>
              <w:t>107.085.631</w:t>
            </w:r>
          </w:p>
        </w:tc>
        <w:tc>
          <w:tcPr>
            <w:tcW w:w="1224" w:type="dxa"/>
            <w:vAlign w:val="top"/>
          </w:tcPr>
          <w:p w:rsidR="00505632" w:rsidRDefault="00505632" w:rsidP="00AD4E52">
            <w:pPr>
              <w:pStyle w:val="CellColumn"/>
              <w:jc w:val="right"/>
            </w:pPr>
            <w:r>
              <w:rPr>
                <w:rFonts w:cs="Times New Roman"/>
              </w:rPr>
              <w:t>87,6</w:t>
            </w:r>
          </w:p>
        </w:tc>
        <w:tc>
          <w:tcPr>
            <w:tcW w:w="1224" w:type="dxa"/>
            <w:vAlign w:val="top"/>
          </w:tcPr>
          <w:p w:rsidR="00505632" w:rsidRDefault="00505632" w:rsidP="00AD4E52">
            <w:pPr>
              <w:pStyle w:val="CellColumn"/>
              <w:jc w:val="right"/>
            </w:pPr>
            <w:r>
              <w:rPr>
                <w:rFonts w:cs="Times New Roman"/>
              </w:rPr>
              <w:t>91,8</w:t>
            </w:r>
          </w:p>
        </w:tc>
      </w:tr>
      <w:tr w:rsidR="00505632" w:rsidTr="00AD4E52">
        <w:trPr>
          <w:jc w:val="center"/>
        </w:trPr>
        <w:tc>
          <w:tcPr>
            <w:tcW w:w="1632" w:type="dxa"/>
          </w:tcPr>
          <w:p w:rsidR="00505632" w:rsidRDefault="00505632" w:rsidP="00AD4E52">
            <w:pPr>
              <w:jc w:val="left"/>
            </w:pPr>
            <w:r>
              <w:t>4010-JAČANJE SUSTAVA SOCIJALNE SIGURNOSTI</w:t>
            </w:r>
          </w:p>
        </w:tc>
        <w:tc>
          <w:tcPr>
            <w:tcW w:w="2041" w:type="dxa"/>
          </w:tcPr>
          <w:p w:rsidR="00505632" w:rsidRDefault="00505632" w:rsidP="00AD4E52">
            <w:pPr>
              <w:jc w:val="right"/>
            </w:pPr>
            <w:r>
              <w:t>116.651.231</w:t>
            </w:r>
          </w:p>
        </w:tc>
        <w:tc>
          <w:tcPr>
            <w:tcW w:w="2041" w:type="dxa"/>
          </w:tcPr>
          <w:p w:rsidR="00505632" w:rsidRDefault="00505632" w:rsidP="00AD4E52">
            <w:pPr>
              <w:jc w:val="right"/>
            </w:pPr>
            <w:r>
              <w:t>122.293.961</w:t>
            </w:r>
          </w:p>
        </w:tc>
        <w:tc>
          <w:tcPr>
            <w:tcW w:w="2041" w:type="dxa"/>
          </w:tcPr>
          <w:p w:rsidR="00505632" w:rsidRDefault="00505632" w:rsidP="00AD4E52">
            <w:pPr>
              <w:jc w:val="right"/>
            </w:pPr>
            <w:r>
              <w:t>107.085.631</w:t>
            </w:r>
          </w:p>
        </w:tc>
        <w:tc>
          <w:tcPr>
            <w:tcW w:w="1224" w:type="dxa"/>
          </w:tcPr>
          <w:p w:rsidR="00505632" w:rsidRDefault="00505632" w:rsidP="00AD4E52">
            <w:pPr>
              <w:jc w:val="right"/>
            </w:pPr>
            <w:r>
              <w:t>87,6</w:t>
            </w:r>
          </w:p>
        </w:tc>
        <w:tc>
          <w:tcPr>
            <w:tcW w:w="1224" w:type="dxa"/>
          </w:tcPr>
          <w:p w:rsidR="00505632" w:rsidRDefault="00505632" w:rsidP="00AD4E52">
            <w:pPr>
              <w:jc w:val="right"/>
            </w:pPr>
            <w:r>
              <w:t>91,8</w:t>
            </w:r>
          </w:p>
        </w:tc>
      </w:tr>
    </w:tbl>
    <w:p w:rsidR="00505632" w:rsidRDefault="00505632" w:rsidP="00505632">
      <w:pPr>
        <w:jc w:val="left"/>
      </w:pPr>
    </w:p>
    <w:p w:rsidR="00505632" w:rsidRDefault="00505632" w:rsidP="00505632">
      <w:pPr>
        <w:pStyle w:val="Heading3"/>
      </w:pPr>
      <w:r>
        <w:rPr>
          <w:rFonts w:cs="Times New Roman"/>
        </w:rPr>
        <w:t>4010 JAČANJE SUSTAVA SOCIJALNE SIGURNOSTI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4010-JAČANJE SUSTAVA SOCIJALNE SIGURNOSTI</w:t>
            </w:r>
          </w:p>
        </w:tc>
        <w:tc>
          <w:tcPr>
            <w:tcW w:w="2041" w:type="dxa"/>
          </w:tcPr>
          <w:p w:rsidR="00505632" w:rsidRDefault="00505632" w:rsidP="00AD4E52">
            <w:pPr>
              <w:pStyle w:val="CellColumn"/>
              <w:jc w:val="right"/>
            </w:pPr>
            <w:r>
              <w:rPr>
                <w:rFonts w:cs="Times New Roman"/>
              </w:rPr>
              <w:t>116.651.231</w:t>
            </w:r>
          </w:p>
        </w:tc>
        <w:tc>
          <w:tcPr>
            <w:tcW w:w="2041" w:type="dxa"/>
          </w:tcPr>
          <w:p w:rsidR="00505632" w:rsidRDefault="00505632" w:rsidP="00AD4E52">
            <w:pPr>
              <w:pStyle w:val="CellColumn"/>
              <w:jc w:val="right"/>
            </w:pPr>
            <w:r>
              <w:rPr>
                <w:rFonts w:cs="Times New Roman"/>
              </w:rPr>
              <w:t>122.293.961</w:t>
            </w:r>
          </w:p>
        </w:tc>
        <w:tc>
          <w:tcPr>
            <w:tcW w:w="2041" w:type="dxa"/>
          </w:tcPr>
          <w:p w:rsidR="00505632" w:rsidRDefault="00505632" w:rsidP="00AD4E52">
            <w:pPr>
              <w:pStyle w:val="CellColumn"/>
              <w:jc w:val="right"/>
            </w:pPr>
            <w:r>
              <w:rPr>
                <w:rFonts w:cs="Times New Roman"/>
              </w:rPr>
              <w:t>107.085.631</w:t>
            </w:r>
          </w:p>
        </w:tc>
        <w:tc>
          <w:tcPr>
            <w:tcW w:w="1224" w:type="dxa"/>
          </w:tcPr>
          <w:p w:rsidR="00505632" w:rsidRDefault="00505632" w:rsidP="00AD4E52">
            <w:pPr>
              <w:pStyle w:val="CellColumn"/>
              <w:jc w:val="right"/>
            </w:pPr>
            <w:r>
              <w:rPr>
                <w:rFonts w:cs="Times New Roman"/>
              </w:rPr>
              <w:t>87,6</w:t>
            </w:r>
          </w:p>
        </w:tc>
        <w:tc>
          <w:tcPr>
            <w:tcW w:w="1224" w:type="dxa"/>
          </w:tcPr>
          <w:p w:rsidR="00505632" w:rsidRDefault="00505632" w:rsidP="00AD4E52">
            <w:pPr>
              <w:pStyle w:val="CellColumn"/>
              <w:jc w:val="right"/>
            </w:pPr>
            <w:r>
              <w:rPr>
                <w:rFonts w:cs="Times New Roman"/>
              </w:rPr>
              <w:t>91,8</w:t>
            </w:r>
          </w:p>
        </w:tc>
      </w:tr>
    </w:tbl>
    <w:p w:rsidR="00505632" w:rsidRDefault="00505632" w:rsidP="00505632">
      <w:pPr>
        <w:jc w:val="left"/>
      </w:pPr>
    </w:p>
    <w:p w:rsidR="00505632" w:rsidRDefault="00505632" w:rsidP="00505632">
      <w:r>
        <w:t xml:space="preserve">Ovim programom provodi se izgradnja administrativne sposobnosti, konsolidacija sustava, procesa i sposobnosti za upravljanje fondovima EU-a, razvijanje institucionalnog kapaciteta za upravljanje i apsorbiranje pretpristupnih i strukturnih fondova EU.    </w:t>
      </w:r>
    </w:p>
    <w:p w:rsidR="00505632" w:rsidRDefault="00505632" w:rsidP="00505632">
      <w:r>
        <w:t xml:space="preserve">Ovaj program nastao je iz programa 1819 Međunarodna suradnja na području rada i socijalne sigurnosti iz programske klasifikacije za 2010. godinu.    </w:t>
      </w:r>
    </w:p>
    <w:p w:rsidR="00505632" w:rsidRDefault="00505632" w:rsidP="00505632">
      <w:r>
        <w:t xml:space="preserve">Odlukom Europske komisije C(2013)6842 od 17. listopada 2013. godine odobren je Operativni program »Razvoj ljudskih potencijala« kojim se Republici Hrvatskoj stavljaju na raspolaganje sredstva u ukupnom iznosu od 152.413.106,60 eura iz Europskog socijalnog fonda. U okviru realiziranih sredstava za predmetni operativni program uključene su operacije/projekti, odnosno ugovori potpisani s korisnicima dodjele bespovratnih sredstava čija provedba završava tijekom 2016. godine.  </w:t>
      </w:r>
    </w:p>
    <w:p w:rsidR="00505632" w:rsidRDefault="00505632" w:rsidP="00505632">
      <w:r>
        <w:t>Operativni program »Učinkoviti ljudski potencijali« koji se financira iz Europskog socijalnog fonda u financijskoj perspektivi 2014.-2020. godine odobren je Provedbenom odlukom  Europske komisije C(2014)10150 od 17. prosinca 2014. godine kojom se Republici Hrvatskoj stavljaju na raspolaganje sredstva u ukupnom iznosu od 1.582.210.2017 EURA. Vlada Republike Hrvatske je 26. studenoga 2015. godine usvojila Plan apsorpcije za Operativni program Učinkoviti ljudski potencijali čijim usvajanjem se određuje obveza ugovaranja i plaćanja za sva tijela u sustavu upravljanja ovim Operativnim programom u cilju postizanja potpune apsorpcije sredstava dodijeljenih Republici Hrvatskoj. Ministarstvo rada i mirovinskoga sustava obvezno je ugovoriti i platiti projekte u svojoj nadležnosti, odnosno u području zapošljavanja, socijalnog dijaloga i tehničke pomoći u okviru koje se financiraju plaće i troškovi provedbe OP-a.</w:t>
      </w:r>
    </w:p>
    <w:p w:rsidR="00505632" w:rsidRDefault="00505632" w:rsidP="00505632">
      <w:pPr>
        <w:pStyle w:val="Heading8"/>
        <w:jc w:val="left"/>
      </w:pPr>
      <w:r>
        <w:t>Cilj 1. Povećanje iskorištenosti pretpristupnih i strukturnih fondova EU</w:t>
      </w:r>
    </w:p>
    <w:p w:rsidR="00505632" w:rsidRDefault="00505632" w:rsidP="00505632">
      <w:pPr>
        <w:pStyle w:val="Heading8"/>
        <w:jc w:val="left"/>
      </w:pPr>
      <w:r>
        <w:t>Opis provedbe cilja programa</w:t>
      </w:r>
    </w:p>
    <w:p w:rsidR="00505632" w:rsidRDefault="00505632" w:rsidP="00505632">
      <w:r>
        <w:t xml:space="preserve">Cilj je što više iskoristiti dodijeljena sredstva što se postiglo kvalitetnom pripremom projekta, učinkovitom provedbom projekata i kvalitetnim upravljanjem dodijeljenih financijskih sredstava za projekte:  </w:t>
      </w:r>
    </w:p>
    <w:p w:rsidR="00505632" w:rsidRDefault="00505632" w:rsidP="00505632">
      <w:r>
        <w:t xml:space="preserve">- IPA komponenta I - jačanje politike i kapaciteta za smanjivanje neprijavljenog rada,   </w:t>
      </w:r>
    </w:p>
    <w:p w:rsidR="00505632" w:rsidRDefault="00505632" w:rsidP="00505632">
      <w:r>
        <w:t xml:space="preserve">- PI EU Razvoj IT infrastrukture kao dijela jačanja administrativnih kapaciteta i izgradnje institucija uredbi o koordinaciji sustava socijalne sigurnosti,  </w:t>
      </w:r>
    </w:p>
    <w:p w:rsidR="00505632" w:rsidRDefault="00505632" w:rsidP="00505632">
      <w:r>
        <w:t xml:space="preserve">- OP Razvoj ljudskih potencijala, prioritet 1, 4 i 5,  </w:t>
      </w:r>
    </w:p>
    <w:p w:rsidR="00505632" w:rsidRDefault="00505632" w:rsidP="00505632">
      <w:r>
        <w:t>- OP Učinkoviti ljudski potencijali 2014.-2020., Prioriteti 1, 2, 4 i 5.</w:t>
      </w:r>
    </w:p>
    <w:p w:rsidR="00505632" w:rsidRDefault="00505632" w:rsidP="00505632">
      <w:pPr>
        <w:pStyle w:val="Heading8"/>
        <w:jc w:val="left"/>
      </w:pPr>
    </w:p>
    <w:p w:rsidR="00505632" w:rsidRPr="00CA3677" w:rsidRDefault="00505632" w:rsidP="00505632"/>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347"/>
        <w:gridCol w:w="2317"/>
        <w:gridCol w:w="986"/>
        <w:gridCol w:w="1114"/>
        <w:gridCol w:w="1214"/>
        <w:gridCol w:w="1114"/>
        <w:gridCol w:w="1114"/>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Iznos ugovorenih sredstava na razini OP RLJP</w:t>
            </w:r>
          </w:p>
        </w:tc>
        <w:tc>
          <w:tcPr>
            <w:tcW w:w="2551" w:type="dxa"/>
          </w:tcPr>
          <w:p w:rsidR="00505632" w:rsidRDefault="00505632" w:rsidP="00AD4E52">
            <w:pPr>
              <w:pStyle w:val="CellColumn"/>
              <w:jc w:val="left"/>
            </w:pPr>
            <w:r>
              <w:rPr>
                <w:rFonts w:cs="Times New Roman"/>
              </w:rPr>
              <w:t>Ugovorena sredstva</w:t>
            </w:r>
          </w:p>
        </w:tc>
        <w:tc>
          <w:tcPr>
            <w:tcW w:w="1020" w:type="dxa"/>
          </w:tcPr>
          <w:p w:rsidR="00505632" w:rsidRDefault="00505632" w:rsidP="00AD4E52">
            <w:pPr>
              <w:pStyle w:val="CellColumn"/>
              <w:jc w:val="right"/>
            </w:pPr>
            <w:r>
              <w:rPr>
                <w:rFonts w:cs="Times New Roman"/>
              </w:rPr>
              <w:t>Novčani iznos u kn</w:t>
            </w:r>
          </w:p>
        </w:tc>
        <w:tc>
          <w:tcPr>
            <w:tcW w:w="1020" w:type="dxa"/>
          </w:tcPr>
          <w:p w:rsidR="00505632" w:rsidRDefault="00505632" w:rsidP="00AD4E52">
            <w:pPr>
              <w:pStyle w:val="CellColumn"/>
              <w:jc w:val="right"/>
            </w:pPr>
            <w:r>
              <w:rPr>
                <w:rFonts w:cs="Times New Roman"/>
              </w:rPr>
              <w:t>672.012.566</w:t>
            </w:r>
          </w:p>
        </w:tc>
        <w:tc>
          <w:tcPr>
            <w:tcW w:w="1020" w:type="dxa"/>
          </w:tcPr>
          <w:p w:rsidR="00505632" w:rsidRDefault="00505632" w:rsidP="00AD4E52">
            <w:pPr>
              <w:pStyle w:val="CellColumn"/>
              <w:jc w:val="right"/>
            </w:pPr>
            <w:r>
              <w:rPr>
                <w:rFonts w:cs="Times New Roman"/>
              </w:rPr>
              <w:t>Ministarstvo rada i mirovinskoga sustava</w:t>
            </w:r>
          </w:p>
        </w:tc>
        <w:tc>
          <w:tcPr>
            <w:tcW w:w="1020" w:type="dxa"/>
          </w:tcPr>
          <w:p w:rsidR="00505632" w:rsidRDefault="00505632" w:rsidP="00AD4E52">
            <w:pPr>
              <w:pStyle w:val="CellColumn"/>
              <w:jc w:val="right"/>
            </w:pPr>
            <w:r>
              <w:rPr>
                <w:rFonts w:cs="Times New Roman"/>
              </w:rPr>
              <w:t>111.426.982</w:t>
            </w:r>
          </w:p>
        </w:tc>
        <w:tc>
          <w:tcPr>
            <w:tcW w:w="1020" w:type="dxa"/>
          </w:tcPr>
          <w:p w:rsidR="00505632" w:rsidRDefault="00505632" w:rsidP="00AD4E52">
            <w:pPr>
              <w:pStyle w:val="CellColumn"/>
              <w:jc w:val="right"/>
            </w:pPr>
            <w:r>
              <w:rPr>
                <w:rFonts w:cs="Times New Roman"/>
              </w:rPr>
              <w:t>74.801.283</w:t>
            </w:r>
          </w:p>
        </w:tc>
      </w:tr>
      <w:tr w:rsidR="00505632" w:rsidTr="00AD4E52">
        <w:trPr>
          <w:jc w:val="center"/>
        </w:trPr>
        <w:tc>
          <w:tcPr>
            <w:tcW w:w="2551" w:type="dxa"/>
          </w:tcPr>
          <w:p w:rsidR="00505632" w:rsidRDefault="00505632" w:rsidP="00AD4E52">
            <w:pPr>
              <w:pStyle w:val="CellColumn"/>
              <w:jc w:val="left"/>
            </w:pPr>
            <w:r>
              <w:rPr>
                <w:rFonts w:cs="Times New Roman"/>
              </w:rPr>
              <w:t>Iznos ugovorenih sredstava u okviru prioriteta vezanih za zapošljavanje i tržište rada, socijalni dijalog i tehničku pomoć</w:t>
            </w:r>
          </w:p>
        </w:tc>
        <w:tc>
          <w:tcPr>
            <w:tcW w:w="2551" w:type="dxa"/>
          </w:tcPr>
          <w:p w:rsidR="00505632" w:rsidRDefault="00505632" w:rsidP="00AD4E52">
            <w:pPr>
              <w:pStyle w:val="CellColumn"/>
              <w:jc w:val="left"/>
            </w:pPr>
            <w:r>
              <w:rPr>
                <w:rFonts w:cs="Times New Roman"/>
              </w:rPr>
              <w:t>Ugovorena sredstva</w:t>
            </w:r>
          </w:p>
        </w:tc>
        <w:tc>
          <w:tcPr>
            <w:tcW w:w="1020" w:type="dxa"/>
          </w:tcPr>
          <w:p w:rsidR="00505632" w:rsidRDefault="00505632" w:rsidP="00AD4E52">
            <w:pPr>
              <w:pStyle w:val="CellColumn"/>
              <w:jc w:val="right"/>
            </w:pPr>
            <w:r>
              <w:rPr>
                <w:rFonts w:cs="Times New Roman"/>
              </w:rPr>
              <w:t>Novčani iznos u kn</w:t>
            </w:r>
          </w:p>
        </w:tc>
        <w:tc>
          <w:tcPr>
            <w:tcW w:w="1020" w:type="dxa"/>
          </w:tcPr>
          <w:p w:rsidR="00505632" w:rsidRDefault="00505632" w:rsidP="00AD4E52">
            <w:pPr>
              <w:pStyle w:val="CellColumn"/>
              <w:jc w:val="right"/>
            </w:pPr>
            <w:r>
              <w:rPr>
                <w:rFonts w:cs="Times New Roman"/>
              </w:rPr>
              <w:t>263.981.090</w:t>
            </w:r>
          </w:p>
        </w:tc>
        <w:tc>
          <w:tcPr>
            <w:tcW w:w="1020" w:type="dxa"/>
          </w:tcPr>
          <w:p w:rsidR="00505632" w:rsidRDefault="00505632" w:rsidP="00AD4E52">
            <w:pPr>
              <w:pStyle w:val="CellColumn"/>
              <w:jc w:val="right"/>
            </w:pPr>
            <w:r>
              <w:rPr>
                <w:rFonts w:cs="Times New Roman"/>
              </w:rPr>
              <w:t>Ministarstvo rada i mirovinskoga sustava</w:t>
            </w:r>
          </w:p>
        </w:tc>
        <w:tc>
          <w:tcPr>
            <w:tcW w:w="1020" w:type="dxa"/>
          </w:tcPr>
          <w:p w:rsidR="00505632" w:rsidRDefault="00505632" w:rsidP="00AD4E52">
            <w:pPr>
              <w:pStyle w:val="CellColumn"/>
              <w:jc w:val="right"/>
            </w:pPr>
            <w:r>
              <w:rPr>
                <w:rFonts w:cs="Times New Roman"/>
              </w:rPr>
              <w:t>22.330.586</w:t>
            </w:r>
          </w:p>
        </w:tc>
        <w:tc>
          <w:tcPr>
            <w:tcW w:w="1020" w:type="dxa"/>
          </w:tcPr>
          <w:p w:rsidR="00505632" w:rsidRDefault="00505632" w:rsidP="00AD4E52">
            <w:pPr>
              <w:pStyle w:val="CellColumn"/>
              <w:jc w:val="right"/>
            </w:pPr>
            <w:r>
              <w:rPr>
                <w:rFonts w:cs="Times New Roman"/>
              </w:rPr>
              <w:t>28.110.700</w:t>
            </w:r>
          </w:p>
        </w:tc>
      </w:tr>
      <w:tr w:rsidR="00505632" w:rsidTr="00AD4E52">
        <w:trPr>
          <w:jc w:val="center"/>
        </w:trPr>
        <w:tc>
          <w:tcPr>
            <w:tcW w:w="2551" w:type="dxa"/>
          </w:tcPr>
          <w:p w:rsidR="00505632" w:rsidRDefault="00505632" w:rsidP="00AD4E52">
            <w:pPr>
              <w:pStyle w:val="CellColumn"/>
              <w:jc w:val="left"/>
            </w:pPr>
            <w:r>
              <w:rPr>
                <w:rFonts w:cs="Times New Roman"/>
              </w:rPr>
              <w:t>Iznos ovjerenih sredstava na razini OP RLJP</w:t>
            </w:r>
          </w:p>
        </w:tc>
        <w:tc>
          <w:tcPr>
            <w:tcW w:w="2551" w:type="dxa"/>
          </w:tcPr>
          <w:p w:rsidR="00505632" w:rsidRDefault="00505632" w:rsidP="00AD4E52">
            <w:pPr>
              <w:pStyle w:val="CellColumn"/>
              <w:jc w:val="left"/>
            </w:pPr>
            <w:r>
              <w:rPr>
                <w:rFonts w:cs="Times New Roman"/>
              </w:rPr>
              <w:t>Ovjerena sredstva</w:t>
            </w:r>
          </w:p>
        </w:tc>
        <w:tc>
          <w:tcPr>
            <w:tcW w:w="1020" w:type="dxa"/>
          </w:tcPr>
          <w:p w:rsidR="00505632" w:rsidRDefault="00505632" w:rsidP="00AD4E52">
            <w:pPr>
              <w:pStyle w:val="CellColumn"/>
              <w:jc w:val="right"/>
            </w:pPr>
            <w:r>
              <w:rPr>
                <w:rFonts w:cs="Times New Roman"/>
              </w:rPr>
              <w:t>Novčani iznos u kn</w:t>
            </w:r>
          </w:p>
        </w:tc>
        <w:tc>
          <w:tcPr>
            <w:tcW w:w="1020" w:type="dxa"/>
          </w:tcPr>
          <w:p w:rsidR="00505632" w:rsidRDefault="00505632" w:rsidP="00AD4E52">
            <w:pPr>
              <w:pStyle w:val="CellColumn"/>
              <w:jc w:val="right"/>
            </w:pPr>
            <w:r>
              <w:rPr>
                <w:rFonts w:cs="Times New Roman"/>
              </w:rPr>
              <w:t>356.168.247</w:t>
            </w:r>
          </w:p>
        </w:tc>
        <w:tc>
          <w:tcPr>
            <w:tcW w:w="1020" w:type="dxa"/>
          </w:tcPr>
          <w:p w:rsidR="00505632" w:rsidRDefault="00505632" w:rsidP="00AD4E52">
            <w:pPr>
              <w:pStyle w:val="CellColumn"/>
              <w:jc w:val="right"/>
            </w:pPr>
            <w:r>
              <w:rPr>
                <w:rFonts w:cs="Times New Roman"/>
              </w:rPr>
              <w:t>Ministarstvo rada i mirovinskoga sustava</w:t>
            </w:r>
          </w:p>
        </w:tc>
        <w:tc>
          <w:tcPr>
            <w:tcW w:w="1020" w:type="dxa"/>
          </w:tcPr>
          <w:p w:rsidR="00505632" w:rsidRDefault="00505632" w:rsidP="00AD4E52">
            <w:pPr>
              <w:pStyle w:val="CellColumn"/>
              <w:jc w:val="right"/>
            </w:pPr>
            <w:r>
              <w:rPr>
                <w:rFonts w:cs="Times New Roman"/>
              </w:rPr>
              <w:t>345.275.828</w:t>
            </w:r>
          </w:p>
        </w:tc>
        <w:tc>
          <w:tcPr>
            <w:tcW w:w="1020" w:type="dxa"/>
          </w:tcPr>
          <w:p w:rsidR="00505632" w:rsidRDefault="00505632" w:rsidP="00AD4E52">
            <w:pPr>
              <w:pStyle w:val="CellColumn"/>
              <w:jc w:val="right"/>
            </w:pPr>
            <w:r>
              <w:rPr>
                <w:rFonts w:cs="Times New Roman"/>
              </w:rPr>
              <w:t>233.972.129</w:t>
            </w:r>
          </w:p>
        </w:tc>
      </w:tr>
      <w:tr w:rsidR="00505632" w:rsidTr="00AD4E52">
        <w:trPr>
          <w:jc w:val="center"/>
        </w:trPr>
        <w:tc>
          <w:tcPr>
            <w:tcW w:w="2551" w:type="dxa"/>
          </w:tcPr>
          <w:p w:rsidR="00505632" w:rsidRDefault="00505632" w:rsidP="00AD4E52">
            <w:pPr>
              <w:pStyle w:val="CellColumn"/>
              <w:jc w:val="left"/>
            </w:pPr>
            <w:r>
              <w:rPr>
                <w:rFonts w:cs="Times New Roman"/>
              </w:rPr>
              <w:t>Iznos ovjerenih sredstava u okviru prioriteta vezanih za zapošljavanje i tržište rada, socijalni dijalog i tehničku pomoć</w:t>
            </w:r>
          </w:p>
        </w:tc>
        <w:tc>
          <w:tcPr>
            <w:tcW w:w="2551" w:type="dxa"/>
          </w:tcPr>
          <w:p w:rsidR="00505632" w:rsidRDefault="00505632" w:rsidP="00AD4E52">
            <w:pPr>
              <w:pStyle w:val="CellColumn"/>
              <w:jc w:val="left"/>
            </w:pPr>
            <w:r>
              <w:rPr>
                <w:rFonts w:cs="Times New Roman"/>
              </w:rPr>
              <w:t>Ovjerena sredstva</w:t>
            </w:r>
          </w:p>
        </w:tc>
        <w:tc>
          <w:tcPr>
            <w:tcW w:w="1020" w:type="dxa"/>
          </w:tcPr>
          <w:p w:rsidR="00505632" w:rsidRDefault="00505632" w:rsidP="00AD4E52">
            <w:pPr>
              <w:pStyle w:val="CellColumn"/>
              <w:jc w:val="right"/>
            </w:pPr>
            <w:r>
              <w:rPr>
                <w:rFonts w:cs="Times New Roman"/>
              </w:rPr>
              <w:t>Novčani iznos u kn</w:t>
            </w:r>
          </w:p>
        </w:tc>
        <w:tc>
          <w:tcPr>
            <w:tcW w:w="1020" w:type="dxa"/>
          </w:tcPr>
          <w:p w:rsidR="00505632" w:rsidRDefault="00505632" w:rsidP="00AD4E52">
            <w:pPr>
              <w:pStyle w:val="CellColumn"/>
              <w:jc w:val="right"/>
            </w:pPr>
            <w:r>
              <w:rPr>
                <w:rFonts w:cs="Times New Roman"/>
              </w:rPr>
              <w:t>86.820.948</w:t>
            </w:r>
          </w:p>
        </w:tc>
        <w:tc>
          <w:tcPr>
            <w:tcW w:w="1020" w:type="dxa"/>
          </w:tcPr>
          <w:p w:rsidR="00505632" w:rsidRDefault="00505632" w:rsidP="00AD4E52">
            <w:pPr>
              <w:pStyle w:val="CellColumn"/>
              <w:jc w:val="right"/>
            </w:pPr>
            <w:r>
              <w:rPr>
                <w:rFonts w:cs="Times New Roman"/>
              </w:rPr>
              <w:t>Ministarstvo rada i mirovinskoga sustava</w:t>
            </w:r>
          </w:p>
        </w:tc>
        <w:tc>
          <w:tcPr>
            <w:tcW w:w="1020" w:type="dxa"/>
          </w:tcPr>
          <w:p w:rsidR="00505632" w:rsidRDefault="00505632" w:rsidP="00AD4E52">
            <w:pPr>
              <w:pStyle w:val="CellColumn"/>
              <w:jc w:val="right"/>
            </w:pPr>
            <w:r>
              <w:rPr>
                <w:rFonts w:cs="Times New Roman"/>
              </w:rPr>
              <w:t>133.184.064</w:t>
            </w:r>
          </w:p>
        </w:tc>
        <w:tc>
          <w:tcPr>
            <w:tcW w:w="1020" w:type="dxa"/>
          </w:tcPr>
          <w:p w:rsidR="00505632" w:rsidRDefault="00505632" w:rsidP="00AD4E52">
            <w:pPr>
              <w:pStyle w:val="CellColumn"/>
              <w:jc w:val="right"/>
            </w:pPr>
            <w:r>
              <w:rPr>
                <w:rFonts w:cs="Times New Roman"/>
              </w:rPr>
              <w:t>72.604.276</w:t>
            </w:r>
          </w:p>
        </w:tc>
      </w:tr>
    </w:tbl>
    <w:p w:rsidR="00505632" w:rsidRDefault="00505632" w:rsidP="00505632">
      <w:pPr>
        <w:jc w:val="left"/>
      </w:pPr>
    </w:p>
    <w:p w:rsidR="00505632" w:rsidRDefault="00505632" w:rsidP="00505632">
      <w:pPr>
        <w:pStyle w:val="Heading4"/>
      </w:pPr>
      <w:r>
        <w:t>A854006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A854006-ADMINISTRACIJA I UPRAVLJANJE</w:t>
            </w:r>
          </w:p>
        </w:tc>
        <w:tc>
          <w:tcPr>
            <w:tcW w:w="2041" w:type="dxa"/>
          </w:tcPr>
          <w:p w:rsidR="00505632" w:rsidRDefault="00505632" w:rsidP="00AD4E52">
            <w:pPr>
              <w:pStyle w:val="CellColumn"/>
              <w:jc w:val="right"/>
            </w:pPr>
            <w:r>
              <w:rPr>
                <w:rFonts w:cs="Times New Roman"/>
              </w:rPr>
              <w:t>64.970.127</w:t>
            </w:r>
          </w:p>
        </w:tc>
        <w:tc>
          <w:tcPr>
            <w:tcW w:w="2041" w:type="dxa"/>
          </w:tcPr>
          <w:p w:rsidR="00505632" w:rsidRDefault="00505632" w:rsidP="00AD4E52">
            <w:pPr>
              <w:pStyle w:val="CellColumn"/>
              <w:jc w:val="right"/>
            </w:pPr>
            <w:r>
              <w:rPr>
                <w:rFonts w:cs="Times New Roman"/>
              </w:rPr>
              <w:t>68.908.794</w:t>
            </w:r>
          </w:p>
        </w:tc>
        <w:tc>
          <w:tcPr>
            <w:tcW w:w="2041" w:type="dxa"/>
          </w:tcPr>
          <w:p w:rsidR="00505632" w:rsidRDefault="00505632" w:rsidP="00AD4E52">
            <w:pPr>
              <w:pStyle w:val="CellColumn"/>
              <w:jc w:val="right"/>
            </w:pPr>
            <w:r>
              <w:rPr>
                <w:rFonts w:cs="Times New Roman"/>
              </w:rPr>
              <w:t>66.010.331</w:t>
            </w:r>
          </w:p>
        </w:tc>
        <w:tc>
          <w:tcPr>
            <w:tcW w:w="1224" w:type="dxa"/>
          </w:tcPr>
          <w:p w:rsidR="00505632" w:rsidRDefault="00505632" w:rsidP="00AD4E52">
            <w:pPr>
              <w:pStyle w:val="CellColumn"/>
              <w:jc w:val="right"/>
            </w:pPr>
            <w:r>
              <w:rPr>
                <w:rFonts w:cs="Times New Roman"/>
              </w:rPr>
              <w:t>95,8</w:t>
            </w:r>
          </w:p>
        </w:tc>
        <w:tc>
          <w:tcPr>
            <w:tcW w:w="1224" w:type="dxa"/>
          </w:tcPr>
          <w:p w:rsidR="00505632" w:rsidRDefault="00505632" w:rsidP="00AD4E52">
            <w:pPr>
              <w:pStyle w:val="CellColumn"/>
              <w:jc w:val="right"/>
            </w:pPr>
            <w:r>
              <w:rPr>
                <w:rFonts w:cs="Times New Roman"/>
              </w:rPr>
              <w:t>101,6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ustrojstvu i djelokrugu ministarstava i drugih središnjih tijela državne uprave </w:t>
      </w:r>
    </w:p>
    <w:p w:rsidR="00505632" w:rsidRDefault="00505632" w:rsidP="00505632">
      <w:r>
        <w:t xml:space="preserve">- Uredba o unutarnjem ustrojstvu Ministarstva rada i mirovinskoga sustava </w:t>
      </w:r>
    </w:p>
    <w:p w:rsidR="00505632" w:rsidRDefault="00505632" w:rsidP="00505632">
      <w:r>
        <w:t>- Sistematizacija radnih mjesta u Ministarstvu rada i mirovinskoga sustava</w:t>
      </w:r>
    </w:p>
    <w:p w:rsidR="00505632" w:rsidRDefault="00505632" w:rsidP="00505632">
      <w:pPr>
        <w:pStyle w:val="Heading8"/>
        <w:jc w:val="left"/>
      </w:pPr>
      <w:r>
        <w:t>Opis aktivnosti</w:t>
      </w:r>
    </w:p>
    <w:p w:rsidR="00505632" w:rsidRDefault="00505632" w:rsidP="00505632">
      <w:r>
        <w:t xml:space="preserve">Aktivnost Administracija i upravljanje ima za cilj stvaranje materijalno tehničkih uvjeta državnim službenicima i namještenicima za obavljanje poslova iz djelokruga Ministarstva. Nadalje, aktivnost je namijenjena za unapređenje procesa rada osiguranjem stjecanja novih znanja i vještina (izobrazba) i ulaganjem u nove računalne tehnologije.      </w:t>
      </w:r>
    </w:p>
    <w:p w:rsidR="00505632" w:rsidRDefault="00505632" w:rsidP="00505632">
      <w:r>
        <w:t xml:space="preserve">Sredstava planirana na ovoj aktivnosti utrošena su za nesmetan i funkcionalan rad Ministarstva, uvažavajući pri tome makroekonomske prilike, mjere štednje i racionalizacije troškova redovnog poslovanja. Planirani rashodi obuhvaćaju rashode za zaposlene, materijalne rashode i financijske rashode. Izvršenje na ovoj aktivnosti  u 2016. godini  manje je za 4,2% od plana za tekuću godinu, ali su za 1,6% veći u odnosu na ostvarenje u 2015. godini. </w:t>
      </w:r>
    </w:p>
    <w:p w:rsidR="00505632" w:rsidRDefault="00505632" w:rsidP="00505632">
      <w:r>
        <w:t xml:space="preserve">Ukupno ostvareni rashodi u 2016. godini na aktivnosti A854006 Administracija i upravljanje iznose 66.010.331 kuna a rashodi za zaposlene ostvareni su u iznosu od 50.082.238 kuna čine 75,9% rashoda na ovoj aktivnosti. </w:t>
      </w:r>
    </w:p>
    <w:p w:rsidR="00505632" w:rsidRDefault="00505632" w:rsidP="00505632">
      <w:r>
        <w:t xml:space="preserve">Na visinu materijalnih rashoda na ovoj aktivnosti utječe i činjenica da državni službenici Inspektorata rada koriste poslovne prostore na 21 lokaciji za koje se plaćaju režijski troškovi, a od toga za 13 lokacija plaća se i zakup poslovnog prostora. </w:t>
      </w:r>
    </w:p>
    <w:p w:rsidR="00505632" w:rsidRDefault="00505632" w:rsidP="00505632">
      <w:r>
        <w:t xml:space="preserve">Upravo ta dislociranost i broj lokacija koje koristi Inspektorat rada imaju u 2016. godini značajan utjecaj na: naknade prijevoza na posao i s posla koje iznose 1.400.440 kuna, rashode za energiju (bez motornog benzina i dizel goriva) u iznosu od 754.610 kuna, usluge telefona, pošte i interneta koje iznose 1.367.682 kune,  zakupnine i najamnine za poslovne prostore u iznosu od 2.614.749 kuna te komunalne usluge u iznosu od 334.569 kuna. </w:t>
      </w:r>
    </w:p>
    <w:p w:rsidR="00505632" w:rsidRDefault="00505632" w:rsidP="00505632">
      <w:r>
        <w:t xml:space="preserve">Tijekom 2016. godine Ministarstvo je koristilo 102 službena automobila (od toga 25 u operativnom leasingu) te je imalo izdatke za motorni benzin i dizel gorivo u iznosu od 477.894 kune a za usluge tekućeg i investicijskog održavanja prijevoznih sredstava izdatke u iznosu od 223.450 kuna. Službeni automobili koriste se u najvećoj mjeri za obavljanje inspekcijskog nadzora. </w:t>
      </w:r>
    </w:p>
    <w:p w:rsidR="00505632" w:rsidRDefault="00505632" w:rsidP="00505632">
      <w:r>
        <w:t xml:space="preserve">Na neke rashode poslovanja kao što su rashodi za uredski materijal, službena putovanja, motorni benzin i dizel gorivo a naročito za usluge telefona, pošte i interneta značajan utjecaj imala je aktivnost inspektora rada koji su tijekom 2016. godine obavili ukupno 43.872 inspekcijska posla. Od ukupnog broja inspekcijskih poslova, 15.570 se odnosi na inspekcijske nadzore (od toga 8.444 u području radnih odnosa i 7.126 u području zaštite na radu), a 28.302 na inspekcijske poslove koji se odnose na neposredno rješavanje, tehnički pregled, potvrde i slično. Potrebno je istaknuti da je u 2016. godini bilo 27.279 inspekcijskih poslova u području radnih odnosa tj. donošenja rješenja o privremenom osiguranju naplate utvrđene obveze koja se odnosi na neisplaćene plaće, odnosno naknade plaća radnicima te 1.023 potvrda i tehničkih pregleda u području zaštite na radu.  </w:t>
      </w:r>
    </w:p>
    <w:p w:rsidR="00505632" w:rsidRDefault="00505632" w:rsidP="00505632">
      <w:r>
        <w:t>Od ostalih rashoda navodimo i izdatake za međunrodnu članarinu  u iznosu od 2.599.188 kuna koja je uplaćena  međunarodnoj organizaciji rada (International Labour Office).</w:t>
      </w:r>
    </w:p>
    <w:p w:rsidR="00505632" w:rsidRDefault="00505632" w:rsidP="00505632">
      <w:pPr>
        <w:pStyle w:val="Heading4"/>
      </w:pPr>
      <w:r>
        <w:t>A854015 POVEZIVANJE OBRAZOVANJA I POTREBA NA TRŽIŠTU 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A854015-POVEZIVANJE OBRAZOVANJA I POTREBA NA TRŽIŠTU RADA</w:t>
            </w:r>
          </w:p>
        </w:tc>
        <w:tc>
          <w:tcPr>
            <w:tcW w:w="2041" w:type="dxa"/>
          </w:tcPr>
          <w:p w:rsidR="00505632" w:rsidRDefault="00505632" w:rsidP="00AD4E52">
            <w:pPr>
              <w:pStyle w:val="CellColumn"/>
              <w:jc w:val="right"/>
            </w:pPr>
            <w:r>
              <w:rPr>
                <w:rFonts w:cs="Times New Roman"/>
              </w:rPr>
              <w:t>471.250</w:t>
            </w:r>
          </w:p>
        </w:tc>
        <w:tc>
          <w:tcPr>
            <w:tcW w:w="2041" w:type="dxa"/>
          </w:tcPr>
          <w:p w:rsidR="00505632" w:rsidRDefault="00505632" w:rsidP="00AD4E52">
            <w:pPr>
              <w:pStyle w:val="CellColumn"/>
              <w:jc w:val="right"/>
            </w:pPr>
            <w:r>
              <w:rPr>
                <w:rFonts w:cs="Times New Roman"/>
              </w:rPr>
              <w:t>274.000</w:t>
            </w:r>
          </w:p>
        </w:tc>
        <w:tc>
          <w:tcPr>
            <w:tcW w:w="2041" w:type="dxa"/>
          </w:tcPr>
          <w:p w:rsidR="00505632" w:rsidRDefault="00505632" w:rsidP="00AD4E52">
            <w:pPr>
              <w:pStyle w:val="CellColumn"/>
              <w:jc w:val="right"/>
            </w:pPr>
            <w:r>
              <w:rPr>
                <w:rFonts w:cs="Times New Roman"/>
              </w:rPr>
              <w:t>261.250</w:t>
            </w:r>
          </w:p>
        </w:tc>
        <w:tc>
          <w:tcPr>
            <w:tcW w:w="1224" w:type="dxa"/>
          </w:tcPr>
          <w:p w:rsidR="00505632" w:rsidRDefault="00505632" w:rsidP="00AD4E52">
            <w:pPr>
              <w:pStyle w:val="CellColumn"/>
              <w:jc w:val="right"/>
            </w:pPr>
            <w:r>
              <w:rPr>
                <w:rFonts w:cs="Times New Roman"/>
              </w:rPr>
              <w:t>95,3</w:t>
            </w:r>
          </w:p>
        </w:tc>
        <w:tc>
          <w:tcPr>
            <w:tcW w:w="1224" w:type="dxa"/>
          </w:tcPr>
          <w:p w:rsidR="00505632" w:rsidRDefault="00505632" w:rsidP="00AD4E52">
            <w:pPr>
              <w:pStyle w:val="CellColumn"/>
              <w:jc w:val="right"/>
            </w:pPr>
            <w:r>
              <w:rPr>
                <w:rFonts w:cs="Times New Roman"/>
              </w:rPr>
              <w:t>55,4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Hrvatskom kvalifikacijskom okviru </w:t>
      </w:r>
    </w:p>
    <w:p w:rsidR="00505632" w:rsidRDefault="00505632" w:rsidP="00505632">
      <w:r>
        <w:t xml:space="preserve">- Pravilnik o registru Hrvatskog kvalifikacijskog okvira </w:t>
      </w:r>
    </w:p>
    <w:p w:rsidR="00505632" w:rsidRDefault="00505632" w:rsidP="00505632">
      <w:r>
        <w:t xml:space="preserve">- Smjernice za razvoj i provedbu aktivne politike zapošljavanja u Republici Hrvatskoj za razdoblje 2015.-2017. </w:t>
      </w:r>
    </w:p>
    <w:p w:rsidR="00505632" w:rsidRDefault="00505632" w:rsidP="00505632">
      <w:r>
        <w:t>- Strategija za cjeloživotno profesionalno usmjeravanje i razvoj karijere u Republici Hrvatskoj 2016.-2020.</w:t>
      </w:r>
    </w:p>
    <w:p w:rsidR="00505632" w:rsidRDefault="00505632" w:rsidP="00505632">
      <w:pPr>
        <w:pStyle w:val="Heading8"/>
        <w:jc w:val="left"/>
      </w:pPr>
      <w:r>
        <w:t>Opis aktivnosti</w:t>
      </w:r>
    </w:p>
    <w:p w:rsidR="00505632" w:rsidRDefault="00505632" w:rsidP="00505632">
      <w:r>
        <w:t xml:space="preserve">Ministarstvo je u svojem dijelu odgovornosti, koja proizlazi iz zakona i pravilnika, bilo dužno osigurati analitičke podloge za izradu standarda zanimanja, funkcionalnost Podregistra standarda zanimanja (kao dio Registra HKO-a) te pružiti provedbenu podršku projektima u kojima će se pripremati podatkovne podloge o sadašnjim i budućim potrebama tržišta rada te o ključnim poslovima i kompetencijama potrebnima na tržištu rada. Intenziviranjem aktivnosti razvoja i provedbe Hrvatskoga kvalifikacijskog okvira pratilo se zapošljavanje po kvalifikacijama te izrada prijedloga standarda zanimanja koji će biti upisani u Registar HKO-a. Implementirale su se aktivnosti iz Strategije za cjeloživotno profesionalno usmjeravanje i razvoj karijere i  Smjernica za razvoj i provedbu aktivne politike zapošljavanja u Republici Hrvatskoj te se održavala dosadašnja aplikacija i dodatno unaprjeđivala nova aplikacija, kako bi se odgovorilo svim navedenim potrebama. </w:t>
      </w:r>
    </w:p>
    <w:p w:rsidR="00505632" w:rsidRDefault="00505632" w:rsidP="00505632">
      <w:r>
        <w:t xml:space="preserve">U ostvarenju tih ciljeva provedene su sljedeće aktivnosti:   </w:t>
      </w:r>
    </w:p>
    <w:p w:rsidR="00505632" w:rsidRDefault="00505632" w:rsidP="00505632">
      <w:r>
        <w:t xml:space="preserve">1. održavanje dosadašnje aplikacije koja prikazuje kretanja na tržištu rada i u obrazovanju (HKO portal)  </w:t>
      </w:r>
    </w:p>
    <w:p w:rsidR="00505632" w:rsidRDefault="00505632" w:rsidP="00505632">
      <w:r>
        <w:t xml:space="preserve">2. unaprjeđenje web sučelja za potrebe daljnjeg razvoja alata Hrvatskoga kvalifikacijskog okvira </w:t>
      </w:r>
    </w:p>
    <w:p w:rsidR="00505632" w:rsidRDefault="00505632" w:rsidP="00505632">
      <w:r>
        <w:t xml:space="preserve">3. stručna analiza baza podataka te analiza postojećih sustava prikaza podataka u području povezanosti tržišta rada i obrazovanja u Republici Hrvatskoj </w:t>
      </w:r>
    </w:p>
    <w:p w:rsidR="00505632" w:rsidRDefault="00505632" w:rsidP="00505632">
      <w:r>
        <w:t>4. grafička priprema i tisak Strategije cjeloživotnog profesionalnog usmjeravanja i razvoja karijere u Republici Hrvatskoj 2016-2020.</w:t>
      </w:r>
    </w:p>
    <w:p w:rsidR="00505632" w:rsidRDefault="00505632" w:rsidP="00505632">
      <w:pPr>
        <w:pStyle w:val="Heading4"/>
      </w:pPr>
      <w:r>
        <w:t>A854017 IPA I JAČANJE POLITIKE I KAPACITETA ZA SMANJIVANJE NEPRIJAVLJENOG RADA</w:t>
      </w:r>
    </w:p>
    <w:tbl>
      <w:tblPr>
        <w:tblStyle w:val="StilTablice"/>
        <w:tblW w:w="10206" w:type="dxa"/>
        <w:jc w:val="center"/>
        <w:tblLook w:val="04A0" w:firstRow="1" w:lastRow="0" w:firstColumn="1" w:lastColumn="0" w:noHBand="0" w:noVBand="1"/>
      </w:tblPr>
      <w:tblGrid>
        <w:gridCol w:w="1814"/>
        <w:gridCol w:w="1984"/>
        <w:gridCol w:w="1992"/>
        <w:gridCol w:w="1987"/>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A854017-IPA I JAČANJE POLITIKE I KAPACITETA ZA SMANJIVANJE NEPRIJAVLJENOG RADA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10.325.300</w:t>
            </w:r>
          </w:p>
        </w:tc>
        <w:tc>
          <w:tcPr>
            <w:tcW w:w="2041" w:type="dxa"/>
          </w:tcPr>
          <w:p w:rsidR="00505632" w:rsidRDefault="00505632" w:rsidP="00AD4E52">
            <w:pPr>
              <w:pStyle w:val="CellColumn"/>
              <w:jc w:val="right"/>
            </w:pPr>
            <w:r>
              <w:rPr>
                <w:rFonts w:cs="Times New Roman"/>
              </w:rPr>
              <w:t>8.028.324</w:t>
            </w:r>
          </w:p>
        </w:tc>
        <w:tc>
          <w:tcPr>
            <w:tcW w:w="1224" w:type="dxa"/>
          </w:tcPr>
          <w:p w:rsidR="00505632" w:rsidRDefault="00505632" w:rsidP="00AD4E52">
            <w:pPr>
              <w:pStyle w:val="CellColumn"/>
              <w:jc w:val="right"/>
            </w:pPr>
            <w:r>
              <w:rPr>
                <w:rFonts w:cs="Times New Roman"/>
              </w:rPr>
              <w:t>77,8</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Komisije (EZ) br. 718/2007 od 12. lipnja 2007.godine o provedbi uredbe Vijeća (EZ) br. 1085/2006 kojom se uspostavlja instrument pretpristupne pomoći IPA.</w:t>
      </w:r>
    </w:p>
    <w:p w:rsidR="00505632" w:rsidRDefault="00505632" w:rsidP="00505632">
      <w:pPr>
        <w:pStyle w:val="Heading8"/>
        <w:jc w:val="left"/>
      </w:pPr>
      <w:r>
        <w:t>Opis aktivnosti</w:t>
      </w:r>
    </w:p>
    <w:p w:rsidR="00505632" w:rsidRDefault="00505632" w:rsidP="00505632">
      <w:r>
        <w:t xml:space="preserve">Sredstva su planirana u cilju razvoja sveobuhvatne ciljane strategije koja uključuje politiku utemeljenu na poticajima i inspekcijskom pristupu, te unaprjeđenju postojećeg zakonodavnog okvira koji regulira područje neprijavljenog rada i zapošljavanje. Kroz provedbu projekta trebali bi postići jačanje suradnje institucija odgovornih za suzbijanje neprijavljenog rada u Hrvatskoj kao i jačanje administrativnih sposobnosti, metodologije rada i mehanizama provjere svih korisničkih institucija. Jačanje svijesti hrvatske javnosti o globalnim implikacijama neprijavljenog rada te jačanje „poreznog morala“ u Republici Hrvatskoj. Glavna dobrobit projekta biti će smanjivanje stope neprijavljenog rada te povećanje radnih doprinosa uplaćenih u proračun.  </w:t>
      </w:r>
    </w:p>
    <w:p w:rsidR="00505632" w:rsidRDefault="00505632" w:rsidP="00505632">
      <w:r>
        <w:t xml:space="preserve">Aktivnosti projekta su nabava roba i isporuka usluge u okviru twinning ugovora. </w:t>
      </w:r>
    </w:p>
    <w:p w:rsidR="00505632" w:rsidRDefault="00505632" w:rsidP="00505632">
      <w:r>
        <w:t xml:space="preserve">Ugovori za nabavu roba potpisani su 19. i 27. listopada 2015. godine, izvršene su isporuke za koje je uslijedilo plaćanje u 2016. godini sukladno iznosu planiranih sredstava. Nabavljena je IT oprema i službeni automobili. </w:t>
      </w:r>
    </w:p>
    <w:p w:rsidR="00505632" w:rsidRDefault="00505632" w:rsidP="00505632">
      <w:r>
        <w:t xml:space="preserve">Twinning ugovor za isporuku usluga potpisan je u 2016. godini te je izvršeno plaćanje predujma pri čemu je izvršenje na izvoru 12 sukladno planiranom a na izvoru 51 manje od planiranog. </w:t>
      </w:r>
    </w:p>
    <w:p w:rsidR="00505632" w:rsidRDefault="00505632" w:rsidP="00505632">
      <w:r>
        <w:t xml:space="preserve">Nabavljena IT oprema koristi se u svakodnevnom poslu, te olakšava i ubrzava obavljanje inspekcijskih i administrativnih poslova u svim ustrojstvenim jedinicama Inspektorata rada. Oprema koja se do tada koristila bila je zastarjela (starosti preko 10 godina) te je bila neophodna nabava nove. Ukupno je nabavljeno 77 prijenosnih računala i isto toliko prijenosnih pisača. </w:t>
      </w:r>
    </w:p>
    <w:p w:rsidR="00505632" w:rsidRDefault="00505632" w:rsidP="00505632">
      <w:r>
        <w:t>Nabavljeni službeni automobili kroz ovaj projekt raspodijeljeni su u Središnji ured, područne urede i ispostave Inspektorata rada, ovisno o broju inspektora i veličini teritorija za koji je određena ustrojstvena jedinica Inspektorata rada mjesno nadležna. Nabavljeni službeni automobili doprinose boljoj mobilnosti i efikasnosti pri obavljanju inspekcijskih nadzora. Ukupno su nabavljena 33 službena automobila te je za svako vozilo napravljeno zaduženje.</w:t>
      </w:r>
    </w:p>
    <w:p w:rsidR="00505632" w:rsidRDefault="00505632" w:rsidP="00505632">
      <w:pPr>
        <w:pStyle w:val="Heading4"/>
      </w:pPr>
      <w:r>
        <w:t>A854019 PI EU RAZVOJ IT INFRASTRUKTURE KAO DIJELA JAČANJA ADMINISTRATIVNIH KAPACITETA I IZGRADNJE INSTITUCIJA ZA PROVEDBU UREDBI O KOORDINACIJI SUSTAVA SOCIJALNE SIGURNOSTI</w:t>
      </w:r>
    </w:p>
    <w:tbl>
      <w:tblPr>
        <w:tblStyle w:val="StilTablice"/>
        <w:tblW w:w="10206" w:type="dxa"/>
        <w:jc w:val="center"/>
        <w:tblLook w:val="04A0" w:firstRow="1" w:lastRow="0" w:firstColumn="1" w:lastColumn="0" w:noHBand="0" w:noVBand="1"/>
      </w:tblPr>
      <w:tblGrid>
        <w:gridCol w:w="2059"/>
        <w:gridCol w:w="1917"/>
        <w:gridCol w:w="1908"/>
        <w:gridCol w:w="1917"/>
        <w:gridCol w:w="1197"/>
        <w:gridCol w:w="120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A854019-PI EU RAZVOJ IT INFRASTRUKTURE KAO DIJELA JAČANJA ADMINISTRATIVNIH KAPACITETA I IZGRADNJE INSTITUCIJA ZA PROVEDBU UREDBI O KOORDINACIJI SUSTAVA SOCIJALNE SIGURNOSTI</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728.000</w:t>
            </w:r>
          </w:p>
        </w:tc>
        <w:tc>
          <w:tcPr>
            <w:tcW w:w="2041" w:type="dxa"/>
          </w:tcPr>
          <w:p w:rsidR="00505632" w:rsidRDefault="00505632" w:rsidP="00AD4E52">
            <w:pPr>
              <w:pStyle w:val="CellColumn"/>
              <w:jc w:val="right"/>
            </w:pPr>
            <w:r>
              <w:rPr>
                <w:rFonts w:cs="Times New Roman"/>
              </w:rPr>
              <w:t>724.662</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Uredba Vijeća (EZ) br. 1085/2006 kojom se uspostavlja instrument pretpristupne pomoći IPA</w:t>
      </w:r>
    </w:p>
    <w:p w:rsidR="00505632" w:rsidRDefault="00505632" w:rsidP="00505632">
      <w:pPr>
        <w:pStyle w:val="Heading8"/>
        <w:jc w:val="left"/>
      </w:pPr>
      <w:r>
        <w:t>Opis aktivnosti</w:t>
      </w:r>
    </w:p>
    <w:p w:rsidR="00505632" w:rsidRDefault="00505632" w:rsidP="00505632">
      <w:r>
        <w:t xml:space="preserve">Sredstva su planirana s ciljem razvoja IT struktura koje će omogućiti učinkovitu i kvalitetnu provedbu uredbi koordinacije sustava socijalne sigurnosti EU te pružanje učinkovite usluge orijentirane na korisnika u istom području. Projektom će se provesti odgovarajuća priprema za povezivanje sustava u EESSI sustav na razini EU.  </w:t>
      </w:r>
    </w:p>
    <w:p w:rsidR="00505632" w:rsidRDefault="00505632" w:rsidP="00505632">
      <w:r>
        <w:t>Ugovor o pružanju usluga potpisan je 11. siječnja 2016. godine te je temeljem istog izvršeno plaćanje predujma na planiranoj razini (99,5%).</w:t>
      </w:r>
    </w:p>
    <w:p w:rsidR="00505632" w:rsidRDefault="00505632" w:rsidP="00505632">
      <w:pPr>
        <w:pStyle w:val="Heading8"/>
        <w:jc w:val="left"/>
      </w:pPr>
      <w:r>
        <w:t>Pokazatelji rezultata</w:t>
      </w:r>
    </w:p>
    <w:tbl>
      <w:tblPr>
        <w:tblStyle w:val="StilTablice"/>
        <w:tblW w:w="7740" w:type="dxa"/>
        <w:jc w:val="center"/>
        <w:tblLook w:val="04A0" w:firstRow="1" w:lastRow="0" w:firstColumn="1" w:lastColumn="0" w:noHBand="0" w:noVBand="1"/>
      </w:tblPr>
      <w:tblGrid>
        <w:gridCol w:w="2476"/>
        <w:gridCol w:w="1007"/>
        <w:gridCol w:w="1014"/>
        <w:gridCol w:w="1214"/>
        <w:gridCol w:w="1014"/>
        <w:gridCol w:w="1015"/>
      </w:tblGrid>
      <w:tr w:rsidR="00505632" w:rsidTr="00AD4E52">
        <w:trPr>
          <w:jc w:val="center"/>
        </w:trPr>
        <w:tc>
          <w:tcPr>
            <w:tcW w:w="2476" w:type="dxa"/>
            <w:shd w:val="clear" w:color="auto" w:fill="B5C0D8"/>
          </w:tcPr>
          <w:p w:rsidR="00505632" w:rsidRDefault="00505632" w:rsidP="00AD4E52">
            <w:pPr>
              <w:jc w:val="center"/>
            </w:pPr>
            <w:r>
              <w:t>Pokazatelj rezultata</w:t>
            </w:r>
          </w:p>
        </w:tc>
        <w:tc>
          <w:tcPr>
            <w:tcW w:w="1007" w:type="dxa"/>
            <w:shd w:val="clear" w:color="auto" w:fill="B5C0D8"/>
          </w:tcPr>
          <w:p w:rsidR="00505632" w:rsidRDefault="00505632" w:rsidP="00AD4E52">
            <w:pPr>
              <w:pStyle w:val="CellHeader"/>
              <w:jc w:val="center"/>
            </w:pPr>
            <w:r>
              <w:rPr>
                <w:rFonts w:cs="Times New Roman"/>
              </w:rPr>
              <w:t>Jedinica</w:t>
            </w:r>
          </w:p>
        </w:tc>
        <w:tc>
          <w:tcPr>
            <w:tcW w:w="1014" w:type="dxa"/>
            <w:shd w:val="clear" w:color="auto" w:fill="B5C0D8"/>
          </w:tcPr>
          <w:p w:rsidR="00505632" w:rsidRDefault="00505632" w:rsidP="00AD4E52">
            <w:pPr>
              <w:pStyle w:val="CellHeader"/>
              <w:jc w:val="center"/>
            </w:pPr>
            <w:r>
              <w:rPr>
                <w:rFonts w:cs="Times New Roman"/>
              </w:rPr>
              <w:t>Polazna vrijednost</w:t>
            </w:r>
          </w:p>
        </w:tc>
        <w:tc>
          <w:tcPr>
            <w:tcW w:w="1214" w:type="dxa"/>
            <w:shd w:val="clear" w:color="auto" w:fill="B5C0D8"/>
          </w:tcPr>
          <w:p w:rsidR="00505632" w:rsidRDefault="00505632" w:rsidP="00AD4E52">
            <w:pPr>
              <w:pStyle w:val="CellHeader"/>
              <w:jc w:val="center"/>
            </w:pPr>
            <w:r>
              <w:rPr>
                <w:rFonts w:cs="Times New Roman"/>
              </w:rPr>
              <w:t>Izvor podataka</w:t>
            </w:r>
          </w:p>
        </w:tc>
        <w:tc>
          <w:tcPr>
            <w:tcW w:w="1014" w:type="dxa"/>
            <w:shd w:val="clear" w:color="auto" w:fill="B5C0D8"/>
          </w:tcPr>
          <w:p w:rsidR="00505632" w:rsidRDefault="00505632" w:rsidP="00AD4E52">
            <w:pPr>
              <w:pStyle w:val="CellHeader"/>
              <w:jc w:val="center"/>
            </w:pPr>
            <w:r>
              <w:rPr>
                <w:rFonts w:cs="Times New Roman"/>
              </w:rPr>
              <w:t>Ciljana vrijednost (2016.)</w:t>
            </w:r>
          </w:p>
        </w:tc>
        <w:tc>
          <w:tcPr>
            <w:tcW w:w="1015"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476" w:type="dxa"/>
          </w:tcPr>
          <w:p w:rsidR="00505632" w:rsidRDefault="00505632" w:rsidP="00AD4E52">
            <w:pPr>
              <w:pStyle w:val="CellColumn"/>
              <w:jc w:val="left"/>
            </w:pPr>
            <w:r>
              <w:rPr>
                <w:rFonts w:cs="Times New Roman"/>
              </w:rPr>
              <w:t>Operativni informatički sustav praćenja ESF MIS</w:t>
            </w:r>
          </w:p>
        </w:tc>
        <w:tc>
          <w:tcPr>
            <w:tcW w:w="1007" w:type="dxa"/>
          </w:tcPr>
          <w:p w:rsidR="00505632" w:rsidRDefault="00505632" w:rsidP="00AD4E52">
            <w:pPr>
              <w:pStyle w:val="CellColumn"/>
              <w:jc w:val="right"/>
            </w:pPr>
            <w:r>
              <w:rPr>
                <w:rFonts w:cs="Times New Roman"/>
              </w:rPr>
              <w:t>Broj</w:t>
            </w:r>
          </w:p>
        </w:tc>
        <w:tc>
          <w:tcPr>
            <w:tcW w:w="1014" w:type="dxa"/>
          </w:tcPr>
          <w:p w:rsidR="00505632" w:rsidRDefault="00505632" w:rsidP="00AD4E52">
            <w:pPr>
              <w:pStyle w:val="CellColumn"/>
              <w:jc w:val="right"/>
            </w:pPr>
            <w:r>
              <w:rPr>
                <w:rFonts w:cs="Times New Roman"/>
              </w:rPr>
              <w:t>0</w:t>
            </w:r>
          </w:p>
        </w:tc>
        <w:tc>
          <w:tcPr>
            <w:tcW w:w="1214" w:type="dxa"/>
          </w:tcPr>
          <w:p w:rsidR="00505632" w:rsidRDefault="00505632" w:rsidP="00AD4E52">
            <w:pPr>
              <w:pStyle w:val="CellColumn"/>
              <w:jc w:val="right"/>
            </w:pPr>
            <w:r>
              <w:rPr>
                <w:rFonts w:cs="Times New Roman"/>
              </w:rPr>
              <w:t>Ministarstvo rada i mirovinskoga sustava</w:t>
            </w:r>
          </w:p>
        </w:tc>
        <w:tc>
          <w:tcPr>
            <w:tcW w:w="1014" w:type="dxa"/>
          </w:tcPr>
          <w:p w:rsidR="00505632" w:rsidRDefault="00505632" w:rsidP="00AD4E52">
            <w:pPr>
              <w:pStyle w:val="CellColumn"/>
              <w:jc w:val="right"/>
            </w:pPr>
            <w:r>
              <w:rPr>
                <w:rFonts w:cs="Times New Roman"/>
              </w:rPr>
              <w:t>1</w:t>
            </w:r>
          </w:p>
        </w:tc>
        <w:tc>
          <w:tcPr>
            <w:tcW w:w="1015"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T854020 OP RAZVOJ LJUDSKIH POTENCIJALA, PRIORITET 1, 4 I 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T854020-OP RAZVOJ LJUDSKIH POTENCIJALA, PRIORITET 1, 4 I 5</w:t>
            </w:r>
          </w:p>
        </w:tc>
        <w:tc>
          <w:tcPr>
            <w:tcW w:w="2041" w:type="dxa"/>
          </w:tcPr>
          <w:p w:rsidR="00505632" w:rsidRDefault="00505632" w:rsidP="00AD4E52">
            <w:pPr>
              <w:pStyle w:val="CellColumn"/>
              <w:jc w:val="right"/>
            </w:pPr>
            <w:r>
              <w:rPr>
                <w:rFonts w:cs="Times New Roman"/>
              </w:rPr>
              <w:t>49.158.303</w:t>
            </w:r>
          </w:p>
        </w:tc>
        <w:tc>
          <w:tcPr>
            <w:tcW w:w="2041" w:type="dxa"/>
          </w:tcPr>
          <w:p w:rsidR="00505632" w:rsidRDefault="00505632" w:rsidP="00AD4E52">
            <w:pPr>
              <w:pStyle w:val="CellColumn"/>
              <w:jc w:val="right"/>
            </w:pPr>
            <w:r>
              <w:rPr>
                <w:rFonts w:cs="Times New Roman"/>
              </w:rPr>
              <w:t>33.078.000</w:t>
            </w:r>
          </w:p>
        </w:tc>
        <w:tc>
          <w:tcPr>
            <w:tcW w:w="2041" w:type="dxa"/>
          </w:tcPr>
          <w:p w:rsidR="00505632" w:rsidRDefault="00505632" w:rsidP="00AD4E52">
            <w:pPr>
              <w:pStyle w:val="CellColumn"/>
              <w:jc w:val="right"/>
            </w:pPr>
            <w:r>
              <w:rPr>
                <w:rFonts w:cs="Times New Roman"/>
              </w:rPr>
              <w:t>25.664.505</w:t>
            </w:r>
          </w:p>
        </w:tc>
        <w:tc>
          <w:tcPr>
            <w:tcW w:w="1224" w:type="dxa"/>
          </w:tcPr>
          <w:p w:rsidR="00505632" w:rsidRDefault="00505632" w:rsidP="00AD4E52">
            <w:pPr>
              <w:pStyle w:val="CellColumn"/>
              <w:jc w:val="right"/>
            </w:pPr>
            <w:r>
              <w:rPr>
                <w:rFonts w:cs="Times New Roman"/>
              </w:rPr>
              <w:t>77,6</w:t>
            </w:r>
          </w:p>
        </w:tc>
        <w:tc>
          <w:tcPr>
            <w:tcW w:w="1224" w:type="dxa"/>
          </w:tcPr>
          <w:p w:rsidR="00505632" w:rsidRDefault="00505632" w:rsidP="00AD4E52">
            <w:pPr>
              <w:pStyle w:val="CellColumn"/>
              <w:jc w:val="right"/>
            </w:pPr>
            <w:r>
              <w:rPr>
                <w:rFonts w:cs="Times New Roman"/>
              </w:rPr>
              <w:t>52,2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uspostavi institucionalnog okvira za korištenje strukturnih instrumenata Europske unije u      Republici Hrvatskoj. </w:t>
      </w:r>
    </w:p>
    <w:p w:rsidR="00505632" w:rsidRDefault="00505632" w:rsidP="00505632">
      <w:r>
        <w:t>- Uredba o tijelima u sustavu upravljanja i kontrole korištenja strukturnih instrumenata Europske unije  u Republici Hrvatskoj</w:t>
      </w:r>
    </w:p>
    <w:p w:rsidR="00505632" w:rsidRDefault="00505632" w:rsidP="00505632">
      <w:pPr>
        <w:pStyle w:val="Heading8"/>
        <w:jc w:val="left"/>
      </w:pPr>
      <w:r>
        <w:t>Opis aktivnosti</w:t>
      </w:r>
    </w:p>
    <w:p w:rsidR="00505632" w:rsidRDefault="00505632" w:rsidP="00505632">
      <w:r>
        <w:t xml:space="preserve">Provedba Operativnog programa Razvoj ljudskih potencijala za razdoblje 2016.-2018. određuje  da sredstva za operacije u okviru: </w:t>
      </w:r>
    </w:p>
    <w:p w:rsidR="00505632" w:rsidRDefault="00505632" w:rsidP="00505632">
      <w:pPr>
        <w:ind w:left="709"/>
      </w:pPr>
      <w:r>
        <w:t xml:space="preserve">-Prioriteta 1 – Unapređenje pristupa zapošljavanju i održivo uključivanje u tržište rada,   </w:t>
      </w:r>
    </w:p>
    <w:p w:rsidR="00505632" w:rsidRDefault="00505632" w:rsidP="00505632">
      <w:pPr>
        <w:ind w:left="709"/>
      </w:pPr>
      <w:r>
        <w:t xml:space="preserve">-Prioriteta 4 – Tehnička pomoć i   </w:t>
      </w:r>
    </w:p>
    <w:p w:rsidR="00505632" w:rsidRDefault="00505632" w:rsidP="00505632">
      <w:pPr>
        <w:ind w:left="709"/>
      </w:pPr>
      <w:r>
        <w:t xml:space="preserve">-Prioriteta 5 – Jačanje uloge civilnog društva u svrhu boljeg upravljanja, Mjere 5.1 – Unapređenje socijalnog dijaloga,    </w:t>
      </w:r>
    </w:p>
    <w:p w:rsidR="00505632" w:rsidRDefault="00505632" w:rsidP="00505632">
      <w:r>
        <w:t xml:space="preserve">planira Ministarstvo rada i mirovinskoga sustava u ulozi Upravljačkog tijela, odnosno nadležno ministarstvo u ulozi Posredničkog tijela prve razine.   </w:t>
      </w:r>
    </w:p>
    <w:p w:rsidR="00505632" w:rsidRDefault="00505632" w:rsidP="00505632">
      <w:r>
        <w:t xml:space="preserve">Sredstva za izravne dodjele bespovratnih sredstava u okviru Prioriteta 4 – Tehničke pomoći planira svako tijelo operativne strukture. Sukladno tome, Ministarstvo rada i mirovinskoga sustava prema proračunu operacije i sklopljenom ugovoru broj HR.4.1.03-0002 Potpora Operativnoj strukturi Razvoj ljudskih potencijala planira na svojim stavkama troškove plaća, službenih putovanja, edukacije i ostalih troškova iz Europskog socijalnog fonda.  </w:t>
      </w:r>
    </w:p>
    <w:p w:rsidR="00505632" w:rsidRDefault="00505632" w:rsidP="00505632">
      <w:r>
        <w:t xml:space="preserve">U okviru planiranih sredstava za predmetni operativni program uključene su operacije/projekti, odnosno ugovori potpisani s korisnicima dodjela bespovratnih sredstava čija provedba završava tijekom 2016. godine, a za koje Ministarstvo rada i mirovinskoga sustava osigurava sredstva na svojim proračunskim pozicijama. Završnim plaćanjem istih završava razdoblje provedbe Operativnog programa. </w:t>
      </w:r>
    </w:p>
    <w:p w:rsidR="00505632" w:rsidRDefault="00505632" w:rsidP="00505632">
      <w:r>
        <w:t>Izvršenje ove aktivnosti proračuna je 77,6%, a razlog izvršenja na ovoj razini je u tome da od strane Posredničkog tijela druge razine nisu zaprimljeni svi očekivani Zahtjevi za plaćanje za međuizvješća i završna izvješća za potpisane ugovore u okviru 5 operacija za dodjelu bespovratnih sredstava. Iz tog razloga nisu izvršena među plaćanja i završna plaćanja koncem godine sukladno planiranom zbog čega je izvršenje na pozicijama 3811 Tekuće donacije u novcu i 3841 tekući prijenosi EU sredstava subjektima izvan općeg proračuna manje od planiranog. Rashodi za zaposlene u 2016. godini iznose 1.404.115 kuna.</w:t>
      </w:r>
    </w:p>
    <w:p w:rsidR="00505632" w:rsidRDefault="00505632" w:rsidP="00505632">
      <w:pPr>
        <w:pStyle w:val="Heading8"/>
        <w:jc w:val="left"/>
      </w:pPr>
      <w:r>
        <w:t>Pokazatelji rezultata</w:t>
      </w:r>
    </w:p>
    <w:tbl>
      <w:tblPr>
        <w:tblStyle w:val="StilTablice"/>
        <w:tblW w:w="7752" w:type="dxa"/>
        <w:jc w:val="center"/>
        <w:tblLook w:val="04A0" w:firstRow="1" w:lastRow="0" w:firstColumn="1" w:lastColumn="0" w:noHBand="0" w:noVBand="1"/>
      </w:tblPr>
      <w:tblGrid>
        <w:gridCol w:w="2491"/>
        <w:gridCol w:w="1005"/>
        <w:gridCol w:w="1014"/>
        <w:gridCol w:w="1214"/>
        <w:gridCol w:w="1014"/>
        <w:gridCol w:w="1014"/>
      </w:tblGrid>
      <w:tr w:rsidR="00505632" w:rsidTr="00AD4E52">
        <w:trPr>
          <w:jc w:val="center"/>
        </w:trPr>
        <w:tc>
          <w:tcPr>
            <w:tcW w:w="2491" w:type="dxa"/>
            <w:shd w:val="clear" w:color="auto" w:fill="B5C0D8"/>
          </w:tcPr>
          <w:p w:rsidR="00505632" w:rsidRDefault="00505632" w:rsidP="00AD4E52">
            <w:pPr>
              <w:jc w:val="center"/>
            </w:pPr>
            <w:r>
              <w:t>Pokazatelj rezultata</w:t>
            </w:r>
          </w:p>
        </w:tc>
        <w:tc>
          <w:tcPr>
            <w:tcW w:w="1005" w:type="dxa"/>
            <w:shd w:val="clear" w:color="auto" w:fill="B5C0D8"/>
          </w:tcPr>
          <w:p w:rsidR="00505632" w:rsidRDefault="00505632" w:rsidP="00AD4E52">
            <w:pPr>
              <w:pStyle w:val="CellHeader"/>
              <w:jc w:val="center"/>
            </w:pPr>
            <w:r>
              <w:rPr>
                <w:rFonts w:cs="Times New Roman"/>
              </w:rPr>
              <w:t>Jedinica</w:t>
            </w:r>
          </w:p>
        </w:tc>
        <w:tc>
          <w:tcPr>
            <w:tcW w:w="1014" w:type="dxa"/>
            <w:shd w:val="clear" w:color="auto" w:fill="B5C0D8"/>
          </w:tcPr>
          <w:p w:rsidR="00505632" w:rsidRDefault="00505632" w:rsidP="00AD4E52">
            <w:pPr>
              <w:pStyle w:val="CellHeader"/>
              <w:jc w:val="center"/>
            </w:pPr>
            <w:r>
              <w:rPr>
                <w:rFonts w:cs="Times New Roman"/>
              </w:rPr>
              <w:t>Polazna vrijednost</w:t>
            </w:r>
          </w:p>
        </w:tc>
        <w:tc>
          <w:tcPr>
            <w:tcW w:w="1214" w:type="dxa"/>
            <w:shd w:val="clear" w:color="auto" w:fill="B5C0D8"/>
          </w:tcPr>
          <w:p w:rsidR="00505632" w:rsidRDefault="00505632" w:rsidP="00AD4E52">
            <w:pPr>
              <w:pStyle w:val="CellHeader"/>
              <w:jc w:val="center"/>
            </w:pPr>
            <w:r>
              <w:rPr>
                <w:rFonts w:cs="Times New Roman"/>
              </w:rPr>
              <w:t>Izvor podataka</w:t>
            </w:r>
          </w:p>
        </w:tc>
        <w:tc>
          <w:tcPr>
            <w:tcW w:w="1014" w:type="dxa"/>
            <w:shd w:val="clear" w:color="auto" w:fill="B5C0D8"/>
          </w:tcPr>
          <w:p w:rsidR="00505632" w:rsidRDefault="00505632" w:rsidP="00AD4E52">
            <w:pPr>
              <w:pStyle w:val="CellHeader"/>
              <w:jc w:val="center"/>
            </w:pPr>
            <w:r>
              <w:rPr>
                <w:rFonts w:cs="Times New Roman"/>
              </w:rPr>
              <w:t>Ciljana vrijednost (2016.)</w:t>
            </w:r>
          </w:p>
        </w:tc>
        <w:tc>
          <w:tcPr>
            <w:tcW w:w="1014"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491" w:type="dxa"/>
          </w:tcPr>
          <w:p w:rsidR="00505632" w:rsidRDefault="00505632" w:rsidP="00AD4E52">
            <w:pPr>
              <w:pStyle w:val="CellColumn"/>
              <w:jc w:val="left"/>
            </w:pPr>
            <w:r>
              <w:rPr>
                <w:rFonts w:cs="Times New Roman"/>
              </w:rPr>
              <w:t>Pripremljene i provedene operacije/projekti unutar ESF OP RLJP</w:t>
            </w:r>
          </w:p>
        </w:tc>
        <w:tc>
          <w:tcPr>
            <w:tcW w:w="1005" w:type="dxa"/>
          </w:tcPr>
          <w:p w:rsidR="00505632" w:rsidRDefault="00505632" w:rsidP="00AD4E52">
            <w:pPr>
              <w:pStyle w:val="CellColumn"/>
              <w:jc w:val="right"/>
            </w:pPr>
            <w:r>
              <w:rPr>
                <w:rFonts w:cs="Times New Roman"/>
              </w:rPr>
              <w:t>Broj</w:t>
            </w:r>
          </w:p>
        </w:tc>
        <w:tc>
          <w:tcPr>
            <w:tcW w:w="1014" w:type="dxa"/>
          </w:tcPr>
          <w:p w:rsidR="00505632" w:rsidRDefault="00505632" w:rsidP="00AD4E52">
            <w:pPr>
              <w:pStyle w:val="CellColumn"/>
              <w:jc w:val="right"/>
            </w:pPr>
            <w:r>
              <w:rPr>
                <w:rFonts w:cs="Times New Roman"/>
              </w:rPr>
              <w:t>65</w:t>
            </w:r>
          </w:p>
        </w:tc>
        <w:tc>
          <w:tcPr>
            <w:tcW w:w="1214" w:type="dxa"/>
          </w:tcPr>
          <w:p w:rsidR="00505632" w:rsidRDefault="00505632" w:rsidP="00AD4E52">
            <w:pPr>
              <w:pStyle w:val="CellColumn"/>
              <w:jc w:val="right"/>
            </w:pPr>
            <w:r>
              <w:rPr>
                <w:rFonts w:cs="Times New Roman"/>
              </w:rPr>
              <w:t>Ministarstvo rada i mirovinskoga sustava</w:t>
            </w:r>
          </w:p>
        </w:tc>
        <w:tc>
          <w:tcPr>
            <w:tcW w:w="1014" w:type="dxa"/>
          </w:tcPr>
          <w:p w:rsidR="00505632" w:rsidRDefault="00505632" w:rsidP="00AD4E52">
            <w:pPr>
              <w:pStyle w:val="CellColumn"/>
              <w:jc w:val="right"/>
            </w:pPr>
            <w:r>
              <w:rPr>
                <w:rFonts w:cs="Times New Roman"/>
              </w:rPr>
              <w:t>65</w:t>
            </w:r>
          </w:p>
        </w:tc>
        <w:tc>
          <w:tcPr>
            <w:tcW w:w="1014" w:type="dxa"/>
          </w:tcPr>
          <w:p w:rsidR="00505632" w:rsidRDefault="00505632" w:rsidP="00AD4E52">
            <w:pPr>
              <w:pStyle w:val="CellColumn"/>
              <w:jc w:val="right"/>
            </w:pPr>
            <w:r>
              <w:rPr>
                <w:rFonts w:cs="Times New Roman"/>
              </w:rPr>
              <w:t>65</w:t>
            </w:r>
          </w:p>
        </w:tc>
      </w:tr>
    </w:tbl>
    <w:p w:rsidR="00505632" w:rsidRDefault="00505632" w:rsidP="00505632">
      <w:pPr>
        <w:jc w:val="left"/>
      </w:pPr>
    </w:p>
    <w:p w:rsidR="00505632" w:rsidRDefault="00505632" w:rsidP="00505632">
      <w:pPr>
        <w:pStyle w:val="Heading4"/>
      </w:pPr>
      <w:r>
        <w:t>T854021 OP UČINKOVITI LJUDSKI POTENCIJALI 2014.-2020., PRIORITETI 1, 2, 4 I 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T854021-OP UČINKOVITI LJUDSKI POTENCIJALI 2014.-2020., PRIORITETI 1, 2, 4 I 5</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6.687.900</w:t>
            </w:r>
          </w:p>
        </w:tc>
        <w:tc>
          <w:tcPr>
            <w:tcW w:w="2041" w:type="dxa"/>
          </w:tcPr>
          <w:p w:rsidR="00505632" w:rsidRDefault="00505632" w:rsidP="00AD4E52">
            <w:pPr>
              <w:pStyle w:val="CellColumn"/>
              <w:jc w:val="right"/>
            </w:pPr>
            <w:r>
              <w:rPr>
                <w:rFonts w:cs="Times New Roman"/>
              </w:rPr>
              <w:t>4.520.274</w:t>
            </w:r>
          </w:p>
        </w:tc>
        <w:tc>
          <w:tcPr>
            <w:tcW w:w="1224" w:type="dxa"/>
          </w:tcPr>
          <w:p w:rsidR="00505632" w:rsidRDefault="00505632" w:rsidP="00AD4E52">
            <w:pPr>
              <w:pStyle w:val="CellColumn"/>
              <w:jc w:val="right"/>
            </w:pPr>
            <w:r>
              <w:rPr>
                <w:rFonts w:cs="Times New Roman"/>
              </w:rPr>
              <w:t>67,6</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uspostavi institucionalnog okvira za provedbu europskih strukturnih i investicijskih fondova u Republici Hrvatskoj u razdoblju 2014.-2020. </w:t>
      </w:r>
    </w:p>
    <w:p w:rsidR="00505632" w:rsidRDefault="00505632" w:rsidP="00505632">
      <w:r>
        <w:t>- Uredba o tijelima u sustavu upravljanja i kontrole korištenja Europskog socijalnog fonda, Europskog fonda za regionalni razvoj i Kohezijskog fonda u vezi s ciljem »Ulaganje za rast i radna mjesta«.</w:t>
      </w:r>
    </w:p>
    <w:p w:rsidR="00505632" w:rsidRDefault="00505632" w:rsidP="00505632">
      <w:pPr>
        <w:pStyle w:val="Heading8"/>
        <w:jc w:val="left"/>
      </w:pPr>
      <w:r>
        <w:t>Opis aktivnosti</w:t>
      </w:r>
    </w:p>
    <w:p w:rsidR="00505632" w:rsidRDefault="00505632" w:rsidP="00505632">
      <w:r>
        <w:t xml:space="preserve">U okviru ove aktivnosti Ministarstvo rada i mirovinskoga sustava kao Upravljačko tijelo, a vezano za funkciju Posredničkog tijela prve razine, planira sredstva za operacije/projekte predmetnog operativnog programa, u okviru svoje nadležnosti.  </w:t>
      </w:r>
    </w:p>
    <w:p w:rsidR="00505632" w:rsidRDefault="00505632" w:rsidP="00505632">
      <w:r>
        <w:t xml:space="preserve">Vlada Republike Hrvatske usvojila je Plan apsorpcije za spomenuti operativni program čijim usvajanjem se određuje obveza ugovaranja i plaćanja za sva tijela u sustavu upravljanja operativnim programom, u cilju postizanja potpune apsorpcije sredstava dodijeljenih Republici Hrvatskoj. Ministarstvo rada i mirovinskoga sustava obvezno je ugovoriti i platiti projekte u svojoj nadležnosti, odnosno u području zapošljavanja, socijalnog poduzetništva i tehničke pomoći u okviru koje se financiraju plaće i troškovi provedbe operativnog programa.   </w:t>
      </w:r>
    </w:p>
    <w:p w:rsidR="00505632" w:rsidRDefault="00505632" w:rsidP="00505632">
      <w:r>
        <w:t xml:space="preserve">Sredstva planirana na ovoj poziciji a time i izvršenje odnose se na plaće službenika koji rade na provdbi Operativnog programa Učinkoviti ljudski potencijali 2014. – 2020. i materijalne troškove povezane s provedbom istog. </w:t>
      </w:r>
    </w:p>
    <w:p w:rsidR="00505632" w:rsidRDefault="00505632" w:rsidP="00505632">
      <w:r>
        <w:t>Plaće za zaposlene službenike izvršene su manje nego je planirano jer je izostalo planirano zapošljavanje. Stručno usavršavanje zaposlenika na poziciji 3213 koje smo obvezni provoditi sukladno EU regulativi izvršeno je na razini 20,4%. Usluge promidžbe i informiranja na poziciji 3233 izvršene su na razini 34,9% jer su izostale planirane aktivnosti vezane za promidžbu. Računalne usluge na poziciji 3238 planirane u 2016. godini izvršene su na razini 14,3% jer je nabava usluga pomaknuta na 2017. godinu. Rashodi za zaposlene u 2016. godini iznose 3.163.769 kuna što u odnosu na ukupne rashode od 4.520.274 kune čini 70,0% ukupnih rashoda na ovoj aktivnosti.</w:t>
      </w:r>
    </w:p>
    <w:p w:rsidR="00505632" w:rsidRDefault="00505632" w:rsidP="00505632">
      <w:pPr>
        <w:pStyle w:val="Heading8"/>
        <w:jc w:val="left"/>
      </w:pPr>
      <w:r>
        <w:t>Pokazatelji rezultata</w:t>
      </w:r>
    </w:p>
    <w:tbl>
      <w:tblPr>
        <w:tblStyle w:val="StilTablice"/>
        <w:tblW w:w="7752" w:type="dxa"/>
        <w:jc w:val="center"/>
        <w:tblLook w:val="04A0" w:firstRow="1" w:lastRow="0" w:firstColumn="1" w:lastColumn="0" w:noHBand="0" w:noVBand="1"/>
      </w:tblPr>
      <w:tblGrid>
        <w:gridCol w:w="2491"/>
        <w:gridCol w:w="1005"/>
        <w:gridCol w:w="1014"/>
        <w:gridCol w:w="1214"/>
        <w:gridCol w:w="1014"/>
        <w:gridCol w:w="1014"/>
      </w:tblGrid>
      <w:tr w:rsidR="00505632" w:rsidTr="00AD4E52">
        <w:trPr>
          <w:jc w:val="center"/>
        </w:trPr>
        <w:tc>
          <w:tcPr>
            <w:tcW w:w="2491" w:type="dxa"/>
            <w:shd w:val="clear" w:color="auto" w:fill="B5C0D8"/>
          </w:tcPr>
          <w:p w:rsidR="00505632" w:rsidRDefault="00505632" w:rsidP="00AD4E52">
            <w:pPr>
              <w:jc w:val="center"/>
            </w:pPr>
            <w:r>
              <w:t>Pokazatelj rezultata</w:t>
            </w:r>
          </w:p>
        </w:tc>
        <w:tc>
          <w:tcPr>
            <w:tcW w:w="1005" w:type="dxa"/>
            <w:shd w:val="clear" w:color="auto" w:fill="B5C0D8"/>
          </w:tcPr>
          <w:p w:rsidR="00505632" w:rsidRDefault="00505632" w:rsidP="00AD4E52">
            <w:pPr>
              <w:pStyle w:val="CellHeader"/>
              <w:jc w:val="center"/>
            </w:pPr>
            <w:r>
              <w:rPr>
                <w:rFonts w:cs="Times New Roman"/>
              </w:rPr>
              <w:t>Jedinica</w:t>
            </w:r>
          </w:p>
        </w:tc>
        <w:tc>
          <w:tcPr>
            <w:tcW w:w="1014" w:type="dxa"/>
            <w:shd w:val="clear" w:color="auto" w:fill="B5C0D8"/>
          </w:tcPr>
          <w:p w:rsidR="00505632" w:rsidRDefault="00505632" w:rsidP="00AD4E52">
            <w:pPr>
              <w:pStyle w:val="CellHeader"/>
              <w:jc w:val="center"/>
            </w:pPr>
            <w:r>
              <w:rPr>
                <w:rFonts w:cs="Times New Roman"/>
              </w:rPr>
              <w:t>Polazna vrijednost</w:t>
            </w:r>
          </w:p>
        </w:tc>
        <w:tc>
          <w:tcPr>
            <w:tcW w:w="1214" w:type="dxa"/>
            <w:shd w:val="clear" w:color="auto" w:fill="B5C0D8"/>
          </w:tcPr>
          <w:p w:rsidR="00505632" w:rsidRDefault="00505632" w:rsidP="00AD4E52">
            <w:pPr>
              <w:pStyle w:val="CellHeader"/>
              <w:jc w:val="center"/>
            </w:pPr>
            <w:r>
              <w:rPr>
                <w:rFonts w:cs="Times New Roman"/>
              </w:rPr>
              <w:t>Izvor podataka</w:t>
            </w:r>
          </w:p>
        </w:tc>
        <w:tc>
          <w:tcPr>
            <w:tcW w:w="1014" w:type="dxa"/>
            <w:shd w:val="clear" w:color="auto" w:fill="B5C0D8"/>
          </w:tcPr>
          <w:p w:rsidR="00505632" w:rsidRDefault="00505632" w:rsidP="00AD4E52">
            <w:pPr>
              <w:pStyle w:val="CellHeader"/>
              <w:jc w:val="center"/>
            </w:pPr>
            <w:r>
              <w:rPr>
                <w:rFonts w:cs="Times New Roman"/>
              </w:rPr>
              <w:t>Ciljana vrijednost (2016.)</w:t>
            </w:r>
          </w:p>
        </w:tc>
        <w:tc>
          <w:tcPr>
            <w:tcW w:w="1014"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491" w:type="dxa"/>
          </w:tcPr>
          <w:p w:rsidR="00505632" w:rsidRDefault="00505632" w:rsidP="00AD4E52">
            <w:pPr>
              <w:pStyle w:val="CellColumn"/>
              <w:jc w:val="left"/>
            </w:pPr>
            <w:r>
              <w:rPr>
                <w:rFonts w:cs="Times New Roman"/>
              </w:rPr>
              <w:t>Pripremljene i provedene operacije/projekti unutar OP ULJP 2014.-2020.</w:t>
            </w:r>
          </w:p>
        </w:tc>
        <w:tc>
          <w:tcPr>
            <w:tcW w:w="1005" w:type="dxa"/>
          </w:tcPr>
          <w:p w:rsidR="00505632" w:rsidRDefault="00505632" w:rsidP="00AD4E52">
            <w:pPr>
              <w:pStyle w:val="CellColumn"/>
              <w:jc w:val="right"/>
            </w:pPr>
            <w:r>
              <w:rPr>
                <w:rFonts w:cs="Times New Roman"/>
              </w:rPr>
              <w:t>Broj</w:t>
            </w:r>
          </w:p>
        </w:tc>
        <w:tc>
          <w:tcPr>
            <w:tcW w:w="1014" w:type="dxa"/>
          </w:tcPr>
          <w:p w:rsidR="00505632" w:rsidRDefault="00505632" w:rsidP="00AD4E52">
            <w:pPr>
              <w:pStyle w:val="CellColumn"/>
              <w:jc w:val="right"/>
            </w:pPr>
            <w:r>
              <w:rPr>
                <w:rFonts w:cs="Times New Roman"/>
              </w:rPr>
              <w:t>0</w:t>
            </w:r>
          </w:p>
        </w:tc>
        <w:tc>
          <w:tcPr>
            <w:tcW w:w="1214" w:type="dxa"/>
          </w:tcPr>
          <w:p w:rsidR="00505632" w:rsidRDefault="00505632" w:rsidP="00AD4E52">
            <w:pPr>
              <w:pStyle w:val="CellColumn"/>
              <w:jc w:val="right"/>
            </w:pPr>
            <w:r>
              <w:rPr>
                <w:rFonts w:cs="Times New Roman"/>
              </w:rPr>
              <w:t>Ministarstvo rada i mirovinskoga sustava</w:t>
            </w:r>
          </w:p>
        </w:tc>
        <w:tc>
          <w:tcPr>
            <w:tcW w:w="1014" w:type="dxa"/>
          </w:tcPr>
          <w:p w:rsidR="00505632" w:rsidRDefault="00505632" w:rsidP="00AD4E52">
            <w:pPr>
              <w:pStyle w:val="CellColumn"/>
              <w:jc w:val="right"/>
            </w:pPr>
            <w:r>
              <w:rPr>
                <w:rFonts w:cs="Times New Roman"/>
              </w:rPr>
              <w:t>21</w:t>
            </w:r>
          </w:p>
        </w:tc>
        <w:tc>
          <w:tcPr>
            <w:tcW w:w="1014" w:type="dxa"/>
          </w:tcPr>
          <w:p w:rsidR="00505632" w:rsidRDefault="00505632" w:rsidP="00AD4E52">
            <w:pPr>
              <w:pStyle w:val="CellColumn"/>
              <w:jc w:val="right"/>
            </w:pPr>
            <w:r>
              <w:rPr>
                <w:rFonts w:cs="Times New Roman"/>
              </w:rPr>
              <w:t>21</w:t>
            </w:r>
          </w:p>
        </w:tc>
      </w:tr>
    </w:tbl>
    <w:p w:rsidR="00505632" w:rsidRDefault="00505632" w:rsidP="00505632">
      <w:pPr>
        <w:jc w:val="left"/>
      </w:pPr>
    </w:p>
    <w:p w:rsidR="00505632" w:rsidRDefault="00505632" w:rsidP="00505632">
      <w:pPr>
        <w:pStyle w:val="Heading4"/>
      </w:pPr>
      <w:r>
        <w:t>T854023 PROGRAM ZA ZAPOŠLJAVANJE I SOCIJALNE INOVACIJE (EASI)</w:t>
      </w:r>
    </w:p>
    <w:tbl>
      <w:tblPr>
        <w:tblStyle w:val="StilTablice"/>
        <w:tblW w:w="10206" w:type="dxa"/>
        <w:jc w:val="center"/>
        <w:tblLook w:val="04A0" w:firstRow="1" w:lastRow="0" w:firstColumn="1" w:lastColumn="0" w:noHBand="0" w:noVBand="1"/>
      </w:tblPr>
      <w:tblGrid>
        <w:gridCol w:w="1726"/>
        <w:gridCol w:w="2014"/>
        <w:gridCol w:w="2013"/>
        <w:gridCol w:w="2014"/>
        <w:gridCol w:w="1218"/>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T854023-PROGRAM ZA ZAPOŠLJAVANJE I SOCIJALNE INOVACIJE (EASI)</w:t>
            </w:r>
          </w:p>
        </w:tc>
        <w:tc>
          <w:tcPr>
            <w:tcW w:w="2041" w:type="dxa"/>
          </w:tcPr>
          <w:p w:rsidR="00505632" w:rsidRDefault="00505632" w:rsidP="00AD4E52">
            <w:pPr>
              <w:pStyle w:val="CellColumn"/>
              <w:jc w:val="right"/>
            </w:pPr>
            <w:r>
              <w:rPr>
                <w:rFonts w:cs="Times New Roman"/>
              </w:rPr>
              <w:t>648.892</w:t>
            </w:r>
          </w:p>
        </w:tc>
        <w:tc>
          <w:tcPr>
            <w:tcW w:w="2041" w:type="dxa"/>
          </w:tcPr>
          <w:p w:rsidR="00505632" w:rsidRDefault="00505632" w:rsidP="00AD4E52">
            <w:pPr>
              <w:pStyle w:val="CellColumn"/>
              <w:jc w:val="right"/>
            </w:pPr>
            <w:r>
              <w:rPr>
                <w:rFonts w:cs="Times New Roman"/>
              </w:rPr>
              <w:t>439.667</w:t>
            </w:r>
          </w:p>
        </w:tc>
        <w:tc>
          <w:tcPr>
            <w:tcW w:w="2041" w:type="dxa"/>
          </w:tcPr>
          <w:p w:rsidR="00505632" w:rsidRDefault="00505632" w:rsidP="00AD4E52">
            <w:pPr>
              <w:pStyle w:val="CellColumn"/>
              <w:jc w:val="right"/>
            </w:pPr>
            <w:r>
              <w:rPr>
                <w:rFonts w:cs="Times New Roman"/>
              </w:rPr>
              <w:t>334.376</w:t>
            </w:r>
          </w:p>
        </w:tc>
        <w:tc>
          <w:tcPr>
            <w:tcW w:w="1224" w:type="dxa"/>
          </w:tcPr>
          <w:p w:rsidR="00505632" w:rsidRDefault="00505632" w:rsidP="00AD4E52">
            <w:pPr>
              <w:pStyle w:val="CellColumn"/>
              <w:jc w:val="right"/>
            </w:pPr>
            <w:r>
              <w:rPr>
                <w:rFonts w:cs="Times New Roman"/>
              </w:rPr>
              <w:t>76,1</w:t>
            </w:r>
          </w:p>
        </w:tc>
        <w:tc>
          <w:tcPr>
            <w:tcW w:w="1224" w:type="dxa"/>
          </w:tcPr>
          <w:p w:rsidR="00505632" w:rsidRDefault="00505632" w:rsidP="00AD4E52">
            <w:pPr>
              <w:pStyle w:val="CellColumn"/>
              <w:jc w:val="right"/>
            </w:pPr>
            <w:r>
              <w:rPr>
                <w:rFonts w:cs="Times New Roman"/>
              </w:rPr>
              <w:t>51,5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Zaključak Vlade Republike Hrvatske o sudjelovanju Republike Hrvatske u programima Unije u financijskom razdoblju 2014.-2020. usvojen 2. srpnja 2014. godine.</w:t>
      </w:r>
    </w:p>
    <w:p w:rsidR="00505632" w:rsidRDefault="00505632" w:rsidP="00505632">
      <w:pPr>
        <w:pStyle w:val="Heading8"/>
        <w:jc w:val="left"/>
      </w:pPr>
      <w:r>
        <w:t>Opis aktivnosti</w:t>
      </w:r>
    </w:p>
    <w:p w:rsidR="00505632" w:rsidRDefault="00505632" w:rsidP="00505632">
      <w:r>
        <w:t xml:space="preserve">Program za zapošljavanje i socijalne inovacije ima za opći cilj pružanje potpore za zapošljavanje, socijalnu politiku i pokretljivost radne snage diljem Europske unije.   </w:t>
      </w:r>
    </w:p>
    <w:p w:rsidR="00505632" w:rsidRDefault="00505632" w:rsidP="00505632">
      <w:r>
        <w:t xml:space="preserve">Ministarstvo je planiralo sredstva za projekte usmjerene na razvoj i širenje komparativnog analitičkog znanja Europske unije, podjelu informacija, međusobno učenje i dijalog, transparentnost slobodnih radnih mjesta, razvoj novih usluga za pronalazak i zapošljavanje radnika, te povećanje pristupa mikrofinanciranju, izgradnju institucionalnih kapaciteta davatelja mikrokredita i podršku razvoju socijalnog poduzetništva.  </w:t>
      </w:r>
    </w:p>
    <w:p w:rsidR="00505632" w:rsidRDefault="00505632" w:rsidP="00505632">
      <w:r>
        <w:t>Ugovor je sklopljen na rok provedbe od 12 mjeseci čime je provedba trebala završiti u 2016. godini. Na temelju zahtjeva za  produženje provedbe za dodatnih 12 mjeseci projekt će završiti u 2017. godini. Slijedom navedenog izvršenje u 2016. godini je na razini 76,1%.</w:t>
      </w:r>
    </w:p>
    <w:p w:rsidR="00505632" w:rsidRDefault="00505632" w:rsidP="00505632">
      <w:pPr>
        <w:pStyle w:val="Heading4"/>
      </w:pPr>
      <w:r>
        <w:t>T854025 OP ZA HRANU I OSNOVNU MATERIJALNU POMOĆ 2014.-2020.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T854025-OP ZA HRANU I OSNOVNU MATERIJALNU POMOĆ 2014.-2020.</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786.300</w:t>
            </w:r>
          </w:p>
        </w:tc>
        <w:tc>
          <w:tcPr>
            <w:tcW w:w="2041" w:type="dxa"/>
          </w:tcPr>
          <w:p w:rsidR="00505632" w:rsidRDefault="00505632" w:rsidP="00AD4E52">
            <w:pPr>
              <w:pStyle w:val="CellColumn"/>
              <w:jc w:val="right"/>
            </w:pPr>
            <w:r>
              <w:rPr>
                <w:rFonts w:cs="Times New Roman"/>
              </w:rPr>
              <w:t>542.250</w:t>
            </w:r>
          </w:p>
        </w:tc>
        <w:tc>
          <w:tcPr>
            <w:tcW w:w="1224" w:type="dxa"/>
          </w:tcPr>
          <w:p w:rsidR="00505632" w:rsidRDefault="00505632" w:rsidP="00AD4E52">
            <w:pPr>
              <w:pStyle w:val="CellColumn"/>
              <w:jc w:val="right"/>
            </w:pPr>
            <w:r>
              <w:rPr>
                <w:rFonts w:cs="Times New Roman"/>
              </w:rPr>
              <w:t>69,0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Odluka Vlade Republike Hrvatske o tijelima u sustavu upravljanja, provedbe i kontrole korištenja Fonda europske pomoći za najpotrebitije u okviru Operativnog programa za hranu i/ili osnovnu materijalnu pomoć za razdoblje 2014.-2020.</w:t>
      </w:r>
    </w:p>
    <w:p w:rsidR="00505632" w:rsidRDefault="00505632" w:rsidP="00505632">
      <w:pPr>
        <w:pStyle w:val="Heading8"/>
        <w:jc w:val="left"/>
      </w:pPr>
      <w:r>
        <w:t>Opis aktivnosti</w:t>
      </w:r>
    </w:p>
    <w:p w:rsidR="00505632" w:rsidRDefault="00505632" w:rsidP="00505632">
      <w:r>
        <w:t xml:space="preserve">Provedbenom odlukom Europske komisije C(2014)10134 od 18. prosinca 2014. godine odobren je Operativni program za hranu i/ili osnovnu materijalnu pomoć za potporu iz Fonda europske pomoći za najpotrebitije u Hrvatskoj.  </w:t>
      </w:r>
    </w:p>
    <w:p w:rsidR="00505632" w:rsidRDefault="00505632" w:rsidP="00505632">
      <w:r>
        <w:t xml:space="preserve">Odluka o tijelima u Sustavu upravljanja, provedbe i kontrole korištenja Fonda europske pomoći za najpotrebitije u okviru Operativnog programa za hranu i/ili osnovnu materijalnu pomoć za razdoblje 2014. - 2020. („Narodne novine“, broj 78/2015) temelj je planiranja sredstava za provedbu Operativnog programa u okviru kojeg Ministarstvo planira sredstva za Tehničku pomoć za financiranje izdataka za plaće djelatnika, službenih putovanja, edukacija i projekata (promotivni materijali, vizualni identitet i drugo). </w:t>
      </w:r>
    </w:p>
    <w:p w:rsidR="00505632" w:rsidRDefault="00505632" w:rsidP="00505632">
      <w:r>
        <w:t xml:space="preserve">Izvršenje ove aktivnosti proračuna je 69,0% što je rezultat manjeg izvršenja troškova na svim pozicijama pri čemu značajniji utjecaj na ukupno izvršenje ima pozicija 3233 - usluge promidžbe i informiranja koja je izvršena na razini 57,7%. Razlog tomu je odustajanje od izrade promotivnih materijala u toj godini.  </w:t>
      </w:r>
    </w:p>
    <w:p w:rsidR="00505632" w:rsidRDefault="00505632" w:rsidP="00505632">
      <w:r>
        <w:t>Rashodi za zaposlene u 2016. godini iznose 214.205 kuna što u odnosu na ukupne rashode od 524.250 kuna čini 39,5% ukupnih rashoda na ovoj aktivnosti.</w:t>
      </w:r>
    </w:p>
    <w:p w:rsidR="00505632" w:rsidRDefault="00505632" w:rsidP="00505632">
      <w:pPr>
        <w:pStyle w:val="Heading2"/>
      </w:pPr>
      <w:r>
        <w:t>08620 Hrvatski zavod za mirovinsko osiguranje</w:t>
      </w:r>
    </w:p>
    <w:p w:rsidR="00505632" w:rsidRDefault="00505632" w:rsidP="00505632">
      <w:r>
        <w:t xml:space="preserve">Hrvatski zavod za mirovinsko osiguranje (u daljnjem tekstu: Zavod) javna je ustanova osnovana Zakonom o mirovinskom osiguranju radi provedbe obveznoga mirovinskog osiguranja na temelju generacijske solidarnosti. U Zavodu prava iz mirovinskog osiguranja ostvaruju radnici, poljoprivrednici, obrtnici i druge osigurane osobe utvrđene Zakonom o mirovinskom osiguranju i drugim propisima. U Zavodu se ostvaruju prava na mirovinu, profesionalnu rehabilitaciju, novčanu naknadu zbog tjelesnog oštećenja i naknadu putnih troškova u vezi s provedbom profesionalne rehabilitacije u drugom mjestu. Zavod  provodi i postupke ostvarivanja prava na doplatak za djecu. </w:t>
      </w:r>
    </w:p>
    <w:p w:rsidR="00505632" w:rsidRDefault="00505632" w:rsidP="00505632">
      <w:r>
        <w:t xml:space="preserve">Vizija poslovanja Zavoda  je da kao moderna javna ustanova na najvišoj europskoj razini, poštujući najviše standarde ažurnosti i kvalitete te koristeći suvremenu tehnologiju i informatizaciju, pruža osiguranicima cjelovite i kvalitetne usluge u optimalnim rokovima, uz smanjenje ukupnih troškova poslovanja.  </w:t>
      </w:r>
    </w:p>
    <w:p w:rsidR="00505632" w:rsidRDefault="00505632" w:rsidP="00505632">
      <w:r>
        <w:t>Ukupni rashodi Zavoda za 2016. godinu planirani su u iznosu od 38.702.211.210 kn, a izvršeni u iznosu od 38.684.989.689 kn, što čini 100,0% planiranih rashoda. Izvršenje za 2016. godinu ostalo je na razini izvršenja za 2015. godinu.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08620-Hrvatski zavod za mirovinsko osiguranje</w:t>
            </w:r>
          </w:p>
        </w:tc>
        <w:tc>
          <w:tcPr>
            <w:tcW w:w="2041" w:type="dxa"/>
            <w:vAlign w:val="top"/>
          </w:tcPr>
          <w:p w:rsidR="00505632" w:rsidRDefault="00505632" w:rsidP="00AD4E52">
            <w:pPr>
              <w:pStyle w:val="CellColumn"/>
              <w:jc w:val="right"/>
            </w:pPr>
            <w:r>
              <w:rPr>
                <w:rFonts w:cs="Times New Roman"/>
              </w:rPr>
              <w:t>38.682.038.415</w:t>
            </w:r>
          </w:p>
        </w:tc>
        <w:tc>
          <w:tcPr>
            <w:tcW w:w="2041" w:type="dxa"/>
            <w:vAlign w:val="top"/>
          </w:tcPr>
          <w:p w:rsidR="00505632" w:rsidRDefault="00505632" w:rsidP="00AD4E52">
            <w:pPr>
              <w:pStyle w:val="CellColumn"/>
              <w:jc w:val="right"/>
            </w:pPr>
            <w:r>
              <w:rPr>
                <w:rFonts w:cs="Times New Roman"/>
              </w:rPr>
              <w:t>38.702.211.210</w:t>
            </w:r>
          </w:p>
        </w:tc>
        <w:tc>
          <w:tcPr>
            <w:tcW w:w="2041" w:type="dxa"/>
            <w:vAlign w:val="top"/>
          </w:tcPr>
          <w:p w:rsidR="00505632" w:rsidRDefault="00505632" w:rsidP="00AD4E52">
            <w:pPr>
              <w:pStyle w:val="CellColumn"/>
              <w:jc w:val="right"/>
            </w:pPr>
            <w:r>
              <w:rPr>
                <w:rFonts w:cs="Times New Roman"/>
              </w:rPr>
              <w:t>38.684.989.689</w:t>
            </w:r>
          </w:p>
        </w:tc>
        <w:tc>
          <w:tcPr>
            <w:tcW w:w="1224" w:type="dxa"/>
            <w:vAlign w:val="top"/>
          </w:tcPr>
          <w:p w:rsidR="00505632" w:rsidRDefault="00505632" w:rsidP="00AD4E52">
            <w:pPr>
              <w:pStyle w:val="CellColumn"/>
              <w:jc w:val="right"/>
            </w:pPr>
            <w:r>
              <w:rPr>
                <w:rFonts w:cs="Times New Roman"/>
              </w:rPr>
              <w:t>100,0</w:t>
            </w:r>
          </w:p>
        </w:tc>
        <w:tc>
          <w:tcPr>
            <w:tcW w:w="1224" w:type="dxa"/>
            <w:vAlign w:val="top"/>
          </w:tcPr>
          <w:p w:rsidR="00505632" w:rsidRDefault="00505632" w:rsidP="00AD4E52">
            <w:pPr>
              <w:pStyle w:val="CellColumn"/>
              <w:jc w:val="right"/>
            </w:pPr>
            <w:r>
              <w:rPr>
                <w:rFonts w:cs="Times New Roman"/>
              </w:rPr>
              <w:t>100,0</w:t>
            </w:r>
          </w:p>
        </w:tc>
      </w:tr>
      <w:tr w:rsidR="00505632" w:rsidTr="00AD4E52">
        <w:trPr>
          <w:jc w:val="center"/>
        </w:trPr>
        <w:tc>
          <w:tcPr>
            <w:tcW w:w="1632" w:type="dxa"/>
          </w:tcPr>
          <w:p w:rsidR="00505632" w:rsidRDefault="00505632" w:rsidP="00AD4E52">
            <w:pPr>
              <w:jc w:val="left"/>
            </w:pPr>
            <w:r>
              <w:t>4011-MATERIJALNO PRAVNA ZAŠTITA</w:t>
            </w:r>
          </w:p>
        </w:tc>
        <w:tc>
          <w:tcPr>
            <w:tcW w:w="2041" w:type="dxa"/>
          </w:tcPr>
          <w:p w:rsidR="00505632" w:rsidRDefault="00505632" w:rsidP="00AD4E52">
            <w:pPr>
              <w:jc w:val="right"/>
            </w:pPr>
            <w:r>
              <w:t>1.588.453.506</w:t>
            </w:r>
          </w:p>
        </w:tc>
        <w:tc>
          <w:tcPr>
            <w:tcW w:w="2041" w:type="dxa"/>
          </w:tcPr>
          <w:p w:rsidR="00505632" w:rsidRDefault="00505632" w:rsidP="00AD4E52">
            <w:pPr>
              <w:jc w:val="right"/>
            </w:pPr>
            <w:r>
              <w:t>1.479.910.000</w:t>
            </w:r>
          </w:p>
        </w:tc>
        <w:tc>
          <w:tcPr>
            <w:tcW w:w="2041" w:type="dxa"/>
          </w:tcPr>
          <w:p w:rsidR="00505632" w:rsidRDefault="00505632" w:rsidP="00AD4E52">
            <w:pPr>
              <w:jc w:val="right"/>
            </w:pPr>
            <w:r>
              <w:t>1.479.617.312</w:t>
            </w:r>
          </w:p>
        </w:tc>
        <w:tc>
          <w:tcPr>
            <w:tcW w:w="1224" w:type="dxa"/>
          </w:tcPr>
          <w:p w:rsidR="00505632" w:rsidRDefault="00505632" w:rsidP="00AD4E52">
            <w:pPr>
              <w:jc w:val="right"/>
            </w:pPr>
            <w:r>
              <w:t>100,0</w:t>
            </w:r>
          </w:p>
        </w:tc>
        <w:tc>
          <w:tcPr>
            <w:tcW w:w="1224" w:type="dxa"/>
          </w:tcPr>
          <w:p w:rsidR="00505632" w:rsidRDefault="00505632" w:rsidP="00AD4E52">
            <w:pPr>
              <w:jc w:val="right"/>
            </w:pPr>
            <w:r>
              <w:t>93,1</w:t>
            </w:r>
          </w:p>
        </w:tc>
      </w:tr>
      <w:tr w:rsidR="00505632" w:rsidTr="00AD4E52">
        <w:trPr>
          <w:jc w:val="center"/>
        </w:trPr>
        <w:tc>
          <w:tcPr>
            <w:tcW w:w="1632" w:type="dxa"/>
          </w:tcPr>
          <w:p w:rsidR="00505632" w:rsidRDefault="00505632" w:rsidP="00AD4E52">
            <w:pPr>
              <w:jc w:val="left"/>
            </w:pPr>
            <w:r>
              <w:t>4101-PODRŠKA SUSTAVU MIROVINSKOG OSIGURANJA</w:t>
            </w:r>
          </w:p>
        </w:tc>
        <w:tc>
          <w:tcPr>
            <w:tcW w:w="2041" w:type="dxa"/>
          </w:tcPr>
          <w:p w:rsidR="00505632" w:rsidRDefault="00505632" w:rsidP="00AD4E52">
            <w:pPr>
              <w:jc w:val="right"/>
            </w:pPr>
            <w:r>
              <w:t>364.008.539</w:t>
            </w:r>
          </w:p>
        </w:tc>
        <w:tc>
          <w:tcPr>
            <w:tcW w:w="2041" w:type="dxa"/>
          </w:tcPr>
          <w:p w:rsidR="00505632" w:rsidRDefault="00505632" w:rsidP="00AD4E52">
            <w:pPr>
              <w:jc w:val="right"/>
            </w:pPr>
            <w:r>
              <w:t>366.877.210</w:t>
            </w:r>
          </w:p>
        </w:tc>
        <w:tc>
          <w:tcPr>
            <w:tcW w:w="2041" w:type="dxa"/>
          </w:tcPr>
          <w:p w:rsidR="00505632" w:rsidRDefault="00505632" w:rsidP="00AD4E52">
            <w:pPr>
              <w:jc w:val="right"/>
            </w:pPr>
            <w:r>
              <w:t>354.878.048</w:t>
            </w:r>
          </w:p>
        </w:tc>
        <w:tc>
          <w:tcPr>
            <w:tcW w:w="1224" w:type="dxa"/>
          </w:tcPr>
          <w:p w:rsidR="00505632" w:rsidRDefault="00505632" w:rsidP="00AD4E52">
            <w:pPr>
              <w:jc w:val="right"/>
            </w:pPr>
            <w:r>
              <w:t>96,7</w:t>
            </w:r>
          </w:p>
        </w:tc>
        <w:tc>
          <w:tcPr>
            <w:tcW w:w="1224" w:type="dxa"/>
          </w:tcPr>
          <w:p w:rsidR="00505632" w:rsidRDefault="00505632" w:rsidP="00AD4E52">
            <w:pPr>
              <w:jc w:val="right"/>
            </w:pPr>
            <w:r>
              <w:t>97,5</w:t>
            </w:r>
          </w:p>
        </w:tc>
      </w:tr>
      <w:tr w:rsidR="00505632" w:rsidTr="00AD4E52">
        <w:trPr>
          <w:jc w:val="center"/>
        </w:trPr>
        <w:tc>
          <w:tcPr>
            <w:tcW w:w="1632" w:type="dxa"/>
          </w:tcPr>
          <w:p w:rsidR="00505632" w:rsidRDefault="00505632" w:rsidP="00AD4E52">
            <w:pPr>
              <w:jc w:val="left"/>
            </w:pPr>
            <w:r>
              <w:t>4102-MIROVINE I MIROVINSKA PRIMANJA</w:t>
            </w:r>
          </w:p>
        </w:tc>
        <w:tc>
          <w:tcPr>
            <w:tcW w:w="2041" w:type="dxa"/>
          </w:tcPr>
          <w:p w:rsidR="00505632" w:rsidRDefault="00505632" w:rsidP="00AD4E52">
            <w:pPr>
              <w:jc w:val="right"/>
            </w:pPr>
            <w:r>
              <w:t>36.729.576.370</w:t>
            </w:r>
          </w:p>
        </w:tc>
        <w:tc>
          <w:tcPr>
            <w:tcW w:w="2041" w:type="dxa"/>
          </w:tcPr>
          <w:p w:rsidR="00505632" w:rsidRDefault="00505632" w:rsidP="00AD4E52">
            <w:pPr>
              <w:jc w:val="right"/>
            </w:pPr>
            <w:r>
              <w:t>36.855.424.000</w:t>
            </w:r>
          </w:p>
        </w:tc>
        <w:tc>
          <w:tcPr>
            <w:tcW w:w="2041" w:type="dxa"/>
          </w:tcPr>
          <w:p w:rsidR="00505632" w:rsidRDefault="00505632" w:rsidP="00AD4E52">
            <w:pPr>
              <w:jc w:val="right"/>
            </w:pPr>
            <w:r>
              <w:t>36.850.494.328</w:t>
            </w:r>
          </w:p>
        </w:tc>
        <w:tc>
          <w:tcPr>
            <w:tcW w:w="1224" w:type="dxa"/>
          </w:tcPr>
          <w:p w:rsidR="00505632" w:rsidRDefault="00505632" w:rsidP="00AD4E52">
            <w:pPr>
              <w:jc w:val="right"/>
            </w:pPr>
            <w:r>
              <w:t>100,0</w:t>
            </w:r>
          </w:p>
        </w:tc>
        <w:tc>
          <w:tcPr>
            <w:tcW w:w="1224" w:type="dxa"/>
          </w:tcPr>
          <w:p w:rsidR="00505632" w:rsidRDefault="00505632" w:rsidP="00AD4E52">
            <w:pPr>
              <w:jc w:val="right"/>
            </w:pPr>
            <w:r>
              <w:t>100,3</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3"/>
      </w:pPr>
      <w:r>
        <w:rPr>
          <w:rFonts w:cs="Times New Roman"/>
        </w:rPr>
        <w:t>4011 MATERIJALNO PRAVNA ZAŠTITA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4011-MATERIJALNO PRAVNA ZAŠTITA</w:t>
            </w:r>
          </w:p>
        </w:tc>
        <w:tc>
          <w:tcPr>
            <w:tcW w:w="2041" w:type="dxa"/>
          </w:tcPr>
          <w:p w:rsidR="00505632" w:rsidRDefault="00505632" w:rsidP="00AD4E52">
            <w:pPr>
              <w:pStyle w:val="CellColumn"/>
              <w:jc w:val="right"/>
            </w:pPr>
            <w:r>
              <w:rPr>
                <w:rFonts w:cs="Times New Roman"/>
              </w:rPr>
              <w:t>1.588.453.506</w:t>
            </w:r>
          </w:p>
        </w:tc>
        <w:tc>
          <w:tcPr>
            <w:tcW w:w="2041" w:type="dxa"/>
          </w:tcPr>
          <w:p w:rsidR="00505632" w:rsidRDefault="00505632" w:rsidP="00AD4E52">
            <w:pPr>
              <w:pStyle w:val="CellColumn"/>
              <w:jc w:val="right"/>
            </w:pPr>
            <w:r>
              <w:rPr>
                <w:rFonts w:cs="Times New Roman"/>
              </w:rPr>
              <w:t>1.479.910.000</w:t>
            </w:r>
          </w:p>
        </w:tc>
        <w:tc>
          <w:tcPr>
            <w:tcW w:w="2041" w:type="dxa"/>
          </w:tcPr>
          <w:p w:rsidR="00505632" w:rsidRDefault="00505632" w:rsidP="00AD4E52">
            <w:pPr>
              <w:pStyle w:val="CellColumn"/>
              <w:jc w:val="right"/>
            </w:pPr>
            <w:r>
              <w:rPr>
                <w:rFonts w:cs="Times New Roman"/>
              </w:rPr>
              <w:t>1.479.617.312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93,1</w:t>
            </w:r>
          </w:p>
        </w:tc>
      </w:tr>
    </w:tbl>
    <w:p w:rsidR="00505632" w:rsidRDefault="00505632" w:rsidP="00505632">
      <w:pPr>
        <w:jc w:val="left"/>
      </w:pPr>
    </w:p>
    <w:p w:rsidR="00505632" w:rsidRDefault="00505632" w:rsidP="00505632">
      <w:r>
        <w:t>Program uključuje rashode za doplatak za djecu koji predstavlja dodatak obiteljskim prihodima koji kompenzira dio troškova i smanjuje razliku u životnom standardu između obitelji s djecom i onih bez djece. Doplatak za djecu kao oblik potpore obitelji radi uzdržavanja i odgoja djece ima značajnu ulogu u prevenciji siromaštva, podizanju kvalitete života obitelji s djecom te održavanje, odnosno poticanje nataliteta kroz pronatalitetni dodatak koji se ostvaruje za treće i četvrto dijete korisnika doplatka za djecu.</w:t>
      </w:r>
    </w:p>
    <w:p w:rsidR="00505632" w:rsidRDefault="00505632" w:rsidP="00505632">
      <w:pPr>
        <w:pStyle w:val="Heading4"/>
      </w:pPr>
      <w:r>
        <w:t>A753029 DOPLATAK ZA DJECU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A753029-DOPLATAK ZA DJECU</w:t>
            </w:r>
          </w:p>
        </w:tc>
        <w:tc>
          <w:tcPr>
            <w:tcW w:w="2041" w:type="dxa"/>
          </w:tcPr>
          <w:p w:rsidR="00505632" w:rsidRDefault="00505632" w:rsidP="00AD4E52">
            <w:pPr>
              <w:pStyle w:val="CellColumn"/>
              <w:jc w:val="right"/>
            </w:pPr>
            <w:r>
              <w:rPr>
                <w:rFonts w:cs="Times New Roman"/>
              </w:rPr>
              <w:t>1.588.453.506</w:t>
            </w:r>
          </w:p>
        </w:tc>
        <w:tc>
          <w:tcPr>
            <w:tcW w:w="2041" w:type="dxa"/>
          </w:tcPr>
          <w:p w:rsidR="00505632" w:rsidRDefault="00505632" w:rsidP="00AD4E52">
            <w:pPr>
              <w:pStyle w:val="CellColumn"/>
              <w:jc w:val="right"/>
            </w:pPr>
            <w:r>
              <w:rPr>
                <w:rFonts w:cs="Times New Roman"/>
              </w:rPr>
              <w:t>1.479.910.000</w:t>
            </w:r>
          </w:p>
        </w:tc>
        <w:tc>
          <w:tcPr>
            <w:tcW w:w="2041" w:type="dxa"/>
          </w:tcPr>
          <w:p w:rsidR="00505632" w:rsidRDefault="00505632" w:rsidP="00AD4E52">
            <w:pPr>
              <w:pStyle w:val="CellColumn"/>
              <w:jc w:val="right"/>
            </w:pPr>
            <w:r>
              <w:rPr>
                <w:rFonts w:cs="Times New Roman"/>
              </w:rPr>
              <w:t>1.479.617.312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93,1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doplatku za djecu (Narodne novine, br. 94/2001, 138/2006, 107/2007, 37/2008, 61/2011, 112/2012 i 82/2015).   </w:t>
      </w:r>
    </w:p>
    <w:p w:rsidR="00505632" w:rsidRDefault="00505632" w:rsidP="00505632">
      <w:r>
        <w:t xml:space="preserve">- Zakon o pravima hrvatskih branitelja iz Domovinskog rata i članova njihovih obitelji (Narodne novine, br. 174/2004, 92/2005, 2/2007, 107/2007, 65/2009, 137/2009, 146/2010, 55/2011, 140/2012, 33/2013, 148/2013 i 92/2014).   </w:t>
      </w:r>
    </w:p>
    <w:p w:rsidR="00505632" w:rsidRDefault="00505632" w:rsidP="00505632">
      <w:r>
        <w:t>- Zakon o provedbi uredbi Europske unije o koordinaciji sustava socijalne sigurnosti (Narodne novine, broj 54/2013)</w:t>
      </w:r>
    </w:p>
    <w:p w:rsidR="00505632" w:rsidRDefault="00505632" w:rsidP="00505632">
      <w:pPr>
        <w:pStyle w:val="Heading8"/>
        <w:jc w:val="left"/>
      </w:pPr>
      <w:r>
        <w:t>Opis aktivnosti</w:t>
      </w:r>
    </w:p>
    <w:p w:rsidR="00505632" w:rsidRDefault="00505632" w:rsidP="00505632">
      <w:r>
        <w:t xml:space="preserve">Zakonom o doplatku za djecu propisani su uvjeti za stjecanje prava na doplatak za djecu i visinu doplatka za djecu. </w:t>
      </w:r>
    </w:p>
    <w:p w:rsidR="00505632" w:rsidRDefault="00505632" w:rsidP="00505632">
      <w:r>
        <w:t>Aktivnost A753029 Doplatak za djecu planirana je u iznosu od 1.479.910.000 kn, a izvršena u iznosu od  1.479.617.312 kn što čini 100,0% planiranih rashoda. U odnosu na 2015. manji su za 6,9% zbog smanjenog broja korisnika i broja djece u 2016. godini.</w:t>
      </w:r>
    </w:p>
    <w:p w:rsidR="00505632" w:rsidRDefault="00505632" w:rsidP="00505632">
      <w:pPr>
        <w:pStyle w:val="Heading3"/>
      </w:pPr>
      <w:r>
        <w:rPr>
          <w:rFonts w:cs="Times New Roman"/>
        </w:rPr>
        <w:t>4101 PODRŠKA SUSTAVU MIROVINSKOG OSIGURANJA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4101-PODRŠKA SUSTAVU MIROVINSKOG OSIGURANJA</w:t>
            </w:r>
          </w:p>
        </w:tc>
        <w:tc>
          <w:tcPr>
            <w:tcW w:w="2041" w:type="dxa"/>
          </w:tcPr>
          <w:p w:rsidR="00505632" w:rsidRDefault="00505632" w:rsidP="00AD4E52">
            <w:pPr>
              <w:pStyle w:val="CellColumn"/>
              <w:jc w:val="right"/>
            </w:pPr>
            <w:r>
              <w:rPr>
                <w:rFonts w:cs="Times New Roman"/>
              </w:rPr>
              <w:t>364.008.539</w:t>
            </w:r>
          </w:p>
        </w:tc>
        <w:tc>
          <w:tcPr>
            <w:tcW w:w="2041" w:type="dxa"/>
          </w:tcPr>
          <w:p w:rsidR="00505632" w:rsidRDefault="00505632" w:rsidP="00AD4E52">
            <w:pPr>
              <w:pStyle w:val="CellColumn"/>
              <w:jc w:val="right"/>
            </w:pPr>
            <w:r>
              <w:rPr>
                <w:rFonts w:cs="Times New Roman"/>
              </w:rPr>
              <w:t>366.877.210</w:t>
            </w:r>
          </w:p>
        </w:tc>
        <w:tc>
          <w:tcPr>
            <w:tcW w:w="2041" w:type="dxa"/>
          </w:tcPr>
          <w:p w:rsidR="00505632" w:rsidRDefault="00505632" w:rsidP="00AD4E52">
            <w:pPr>
              <w:pStyle w:val="CellColumn"/>
              <w:jc w:val="right"/>
            </w:pPr>
            <w:r>
              <w:rPr>
                <w:rFonts w:cs="Times New Roman"/>
              </w:rPr>
              <w:t>354.878.048</w:t>
            </w:r>
          </w:p>
        </w:tc>
        <w:tc>
          <w:tcPr>
            <w:tcW w:w="1224" w:type="dxa"/>
          </w:tcPr>
          <w:p w:rsidR="00505632" w:rsidRDefault="00505632" w:rsidP="00AD4E52">
            <w:pPr>
              <w:pStyle w:val="CellColumn"/>
              <w:jc w:val="right"/>
            </w:pPr>
            <w:r>
              <w:rPr>
                <w:rFonts w:cs="Times New Roman"/>
              </w:rPr>
              <w:t>96,7</w:t>
            </w:r>
          </w:p>
        </w:tc>
        <w:tc>
          <w:tcPr>
            <w:tcW w:w="1224" w:type="dxa"/>
          </w:tcPr>
          <w:p w:rsidR="00505632" w:rsidRDefault="00505632" w:rsidP="00AD4E52">
            <w:pPr>
              <w:pStyle w:val="CellColumn"/>
              <w:jc w:val="right"/>
            </w:pPr>
            <w:r>
              <w:rPr>
                <w:rFonts w:cs="Times New Roman"/>
              </w:rPr>
              <w:t>97,5</w:t>
            </w:r>
          </w:p>
        </w:tc>
      </w:tr>
    </w:tbl>
    <w:p w:rsidR="00505632" w:rsidRDefault="00505632" w:rsidP="00505632">
      <w:pPr>
        <w:jc w:val="left"/>
      </w:pPr>
    </w:p>
    <w:p w:rsidR="00505632" w:rsidRDefault="00505632" w:rsidP="00505632">
      <w:r>
        <w:t xml:space="preserve">Obavljanje svih stručnih i administrativnih poslova u cilju nesmetanog, racionalnog i uspješnog obavljanja djelatnosti Zavoda i dostupnosti ostvarivanja prava iz mirovinskog osiguranja svim osiguranim osobama.  </w:t>
      </w:r>
    </w:p>
    <w:p w:rsidR="00505632" w:rsidRDefault="00505632" w:rsidP="00505632">
      <w:r>
        <w:t xml:space="preserve">Najznačajniji poslovi koje Zavod obavlja su: </w:t>
      </w:r>
    </w:p>
    <w:p w:rsidR="00505632" w:rsidRDefault="00505632" w:rsidP="00505632">
      <w:r>
        <w:t xml:space="preserve">- donošenje općih akata za provedbu mirovinskog osiguranja i drugih općih akata (Statut, pravilnici, poslovnici i odluke, kojima se uređuju pojedina pitanja u vezi s djelatnošću Zavoda) </w:t>
      </w:r>
    </w:p>
    <w:p w:rsidR="00505632" w:rsidRDefault="00505632" w:rsidP="00505632">
      <w:r>
        <w:t xml:space="preserve">- osiguranje zakonitosti u ostvarivanju prava i pružanje stručne pomoći osiguranim osobama pri ostvarivanju prava </w:t>
      </w:r>
    </w:p>
    <w:p w:rsidR="00505632" w:rsidRDefault="00505632" w:rsidP="00505632">
      <w:r>
        <w:t xml:space="preserve">- obavljanje poslova u vezi s ostvarivanjem prava radnika, poljoprivrednika, obrtnika i drugih osoba iz mirovinskog osiguranja i osiguranih osoba </w:t>
      </w:r>
    </w:p>
    <w:p w:rsidR="00505632" w:rsidRDefault="00505632" w:rsidP="00505632">
      <w:r>
        <w:t xml:space="preserve">- vođenje upravnog postupka u vezi s ostvarivanjem prava i obveza iz mirovinskog osiguranja  i ostvarivanjem prava na doplatak za djecu </w:t>
      </w:r>
    </w:p>
    <w:p w:rsidR="00505632" w:rsidRDefault="00505632" w:rsidP="00505632">
      <w:r>
        <w:t xml:space="preserve">- provedba međunarodnih ugovora o socijalnom osiguranju i pravnih propisa EU o koordinaciji sustava socijalne sigurnosti </w:t>
      </w:r>
    </w:p>
    <w:p w:rsidR="00505632" w:rsidRDefault="00505632" w:rsidP="00505632">
      <w:r>
        <w:t xml:space="preserve">- upravljanje i poslovanje sredstvima za namjene utvrđene zakonom </w:t>
      </w:r>
    </w:p>
    <w:p w:rsidR="00505632" w:rsidRDefault="00505632" w:rsidP="00505632">
      <w:r>
        <w:t xml:space="preserve">- vođenje evidencija o osiguranim osobama, obveznicima uplate doprinosa i drugih davanja i pravima iz mirovinskog osiguranja </w:t>
      </w:r>
    </w:p>
    <w:p w:rsidR="00505632" w:rsidRDefault="00505632" w:rsidP="00505632">
      <w:r>
        <w:t xml:space="preserve">- obavljanje poslova statističkih istraživanja u skladu sa zakonom </w:t>
      </w:r>
    </w:p>
    <w:p w:rsidR="00505632" w:rsidRDefault="00505632" w:rsidP="00505632">
      <w:r>
        <w:t xml:space="preserve">- provedba politike razvoja i unapređenja mirovinskog osiguranja </w:t>
      </w:r>
    </w:p>
    <w:p w:rsidR="00505632" w:rsidRDefault="00505632" w:rsidP="00505632">
      <w:r>
        <w:t xml:space="preserve">- izdavanje stručno-informativnih publikacija o djelatnosti Zavoda </w:t>
      </w:r>
    </w:p>
    <w:p w:rsidR="00505632" w:rsidRDefault="00505632" w:rsidP="00505632">
      <w:r>
        <w:t xml:space="preserve">- obavljanje drugih poslova u vezi s provedbom mirovinskog osiguranja </w:t>
      </w:r>
    </w:p>
    <w:p w:rsidR="00505632" w:rsidRDefault="00505632" w:rsidP="00505632">
      <w:r>
        <w:t xml:space="preserve">- provedba Ovršnog zakona </w:t>
      </w:r>
    </w:p>
    <w:p w:rsidR="00505632" w:rsidRDefault="00505632" w:rsidP="00505632">
      <w:r>
        <w:t xml:space="preserve">- izdavanje potvrda korisnicima usluga Zavoda </w:t>
      </w:r>
    </w:p>
    <w:p w:rsidR="00505632" w:rsidRDefault="00505632" w:rsidP="00505632">
      <w:r>
        <w:t>Program Podrška sustavu mirovinskog osiguranja obuhvaća rashode poslovanja (rashode za zaposlene i materijalne rashode), financijske rashode, rashode za nabavu nefinancijske imovine i ostale rashode (stipendije i školarine). Rashodi za ovaj program planirani su u iznosu 366.877.210 kn, a izvršeni su u iznosu 354.878.048 kn što čini 96,7% planiranih rashoda. U odnosu na 2015. godinu izvršenje je manje za 9.130.491 kn ili za 2,5%.</w:t>
      </w:r>
    </w:p>
    <w:p w:rsidR="00505632" w:rsidRDefault="00505632" w:rsidP="00505632">
      <w:pPr>
        <w:pStyle w:val="Heading8"/>
        <w:jc w:val="left"/>
      </w:pPr>
      <w:r>
        <w:t xml:space="preserve">Cilj 1. Unaprjeđenje provedbe mirovinskog osiguranja generacijske solidarnosti </w:t>
      </w:r>
    </w:p>
    <w:p w:rsidR="00505632" w:rsidRDefault="00505632" w:rsidP="00505632">
      <w:pPr>
        <w:pStyle w:val="Heading8"/>
        <w:jc w:val="left"/>
      </w:pPr>
      <w:r>
        <w:t>Opis provedbe cilja programa</w:t>
      </w:r>
    </w:p>
    <w:p w:rsidR="00505632" w:rsidRDefault="00505632" w:rsidP="00505632">
      <w:r>
        <w:t>Strategija Zavoda je da daljnjom modernizacijom nastavi podizati kvalitetu usluga korisnicima povećanjem ažurnosti i učinkovitosti poslovanja, otvaranje i približavanje Zavoda osiguranicima, korisnicima i javnosti osiguranjem prava pristupa relevantnim informacijama i podacima, postizanje optimalne ažurnosti, potpunosti i točnosti podataka u evidencijama Zavoda, smanjenje troškova poslovanja, unapređenje poslovanja primjenom suvremenih informatičkih rješenja i redizajniranjem poslovnih procesa, upravljanje i razvoj ljudskih potencijala te osiguranje pravilnog, učinkovitog i ekonomičnog raspolaganja proračunskim i drugim sredstvima.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postotka  rješenja o pravima iz  mirovinskog osiguranja donesenih u roku do dva mjeseca</w:t>
            </w:r>
          </w:p>
        </w:tc>
        <w:tc>
          <w:tcPr>
            <w:tcW w:w="2551" w:type="dxa"/>
          </w:tcPr>
          <w:p w:rsidR="00505632" w:rsidRDefault="00505632" w:rsidP="00AD4E52">
            <w:pPr>
              <w:pStyle w:val="CellColumn"/>
              <w:jc w:val="left"/>
            </w:pPr>
            <w:r>
              <w:rPr>
                <w:rFonts w:cs="Times New Roman"/>
              </w:rPr>
              <w:t>Donošenje rješenja u propisanom roku preduvjet je i pokazatelj učinkovitog pružanja usluga, odnosno sa stajališta osiguranika, ostvarivanje prava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68%</w:t>
            </w:r>
          </w:p>
        </w:tc>
        <w:tc>
          <w:tcPr>
            <w:tcW w:w="1020" w:type="dxa"/>
          </w:tcPr>
          <w:p w:rsidR="00505632" w:rsidRDefault="00505632" w:rsidP="00AD4E52">
            <w:pPr>
              <w:pStyle w:val="CellColumn"/>
              <w:jc w:val="right"/>
            </w:pPr>
            <w:r>
              <w:rPr>
                <w:rFonts w:cs="Times New Roman"/>
              </w:rPr>
              <w:t>HZMO</w:t>
            </w:r>
          </w:p>
        </w:tc>
        <w:tc>
          <w:tcPr>
            <w:tcW w:w="1020" w:type="dxa"/>
          </w:tcPr>
          <w:p w:rsidR="00505632" w:rsidRDefault="00505632" w:rsidP="00AD4E52">
            <w:pPr>
              <w:pStyle w:val="CellColumn"/>
              <w:jc w:val="right"/>
            </w:pPr>
            <w:r>
              <w:rPr>
                <w:rFonts w:cs="Times New Roman"/>
              </w:rPr>
              <w:t>69%</w:t>
            </w:r>
          </w:p>
        </w:tc>
        <w:tc>
          <w:tcPr>
            <w:tcW w:w="1020" w:type="dxa"/>
          </w:tcPr>
          <w:p w:rsidR="00505632" w:rsidRDefault="00505632" w:rsidP="00AD4E52">
            <w:pPr>
              <w:pStyle w:val="CellColumn"/>
              <w:jc w:val="right"/>
            </w:pPr>
            <w:r>
              <w:rPr>
                <w:rFonts w:cs="Times New Roman"/>
              </w:rPr>
              <w:t>68%</w:t>
            </w:r>
          </w:p>
        </w:tc>
      </w:tr>
    </w:tbl>
    <w:p w:rsidR="00505632" w:rsidRDefault="00505632" w:rsidP="00505632">
      <w:pPr>
        <w:jc w:val="left"/>
      </w:pPr>
    </w:p>
    <w:p w:rsidR="00505632" w:rsidRDefault="00505632" w:rsidP="00505632">
      <w:pPr>
        <w:pStyle w:val="Heading4"/>
      </w:pPr>
      <w:r>
        <w:t>A688026 ADMINISTRACIJA I UPRAVLJANJE HRVATSKOG ZAVODA ZA MIROVINSKO OSIGURANJE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A688026-ADMINISTRACIJA I UPRAVLJANJE HRVATSKOG ZAVODA ZA MIROVINSKO OSIGURANJE</w:t>
            </w:r>
          </w:p>
        </w:tc>
        <w:tc>
          <w:tcPr>
            <w:tcW w:w="2041" w:type="dxa"/>
          </w:tcPr>
          <w:p w:rsidR="00505632" w:rsidRDefault="00505632" w:rsidP="00AD4E52">
            <w:pPr>
              <w:pStyle w:val="CellColumn"/>
              <w:jc w:val="right"/>
            </w:pPr>
            <w:r>
              <w:rPr>
                <w:rFonts w:cs="Times New Roman"/>
              </w:rPr>
              <w:t>328.095.110</w:t>
            </w:r>
          </w:p>
        </w:tc>
        <w:tc>
          <w:tcPr>
            <w:tcW w:w="2041" w:type="dxa"/>
          </w:tcPr>
          <w:p w:rsidR="00505632" w:rsidRDefault="00505632" w:rsidP="00AD4E52">
            <w:pPr>
              <w:pStyle w:val="CellColumn"/>
              <w:jc w:val="right"/>
            </w:pPr>
            <w:r>
              <w:rPr>
                <w:rFonts w:cs="Times New Roman"/>
              </w:rPr>
              <w:t>323.935.000</w:t>
            </w:r>
          </w:p>
        </w:tc>
        <w:tc>
          <w:tcPr>
            <w:tcW w:w="2041" w:type="dxa"/>
          </w:tcPr>
          <w:p w:rsidR="00505632" w:rsidRDefault="00505632" w:rsidP="00AD4E52">
            <w:pPr>
              <w:pStyle w:val="CellColumn"/>
              <w:jc w:val="right"/>
            </w:pPr>
            <w:r>
              <w:rPr>
                <w:rFonts w:cs="Times New Roman"/>
              </w:rPr>
              <w:t>316.963.677</w:t>
            </w:r>
          </w:p>
        </w:tc>
        <w:tc>
          <w:tcPr>
            <w:tcW w:w="1224" w:type="dxa"/>
          </w:tcPr>
          <w:p w:rsidR="00505632" w:rsidRDefault="00505632" w:rsidP="00AD4E52">
            <w:pPr>
              <w:pStyle w:val="CellColumn"/>
              <w:jc w:val="right"/>
            </w:pPr>
            <w:r>
              <w:rPr>
                <w:rFonts w:cs="Times New Roman"/>
              </w:rPr>
              <w:t>97,8</w:t>
            </w:r>
          </w:p>
        </w:tc>
        <w:tc>
          <w:tcPr>
            <w:tcW w:w="1224" w:type="dxa"/>
          </w:tcPr>
          <w:p w:rsidR="00505632" w:rsidRDefault="00505632" w:rsidP="00AD4E52">
            <w:pPr>
              <w:pStyle w:val="CellColumn"/>
              <w:jc w:val="right"/>
            </w:pPr>
            <w:r>
              <w:rPr>
                <w:rFonts w:cs="Times New Roman"/>
              </w:rPr>
              <w:t>96,6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Statut Hrvatskog zavoda za mirovinsko osiguranje (Narodne novine, br. 28/2014 i 24/2015) </w:t>
      </w:r>
    </w:p>
    <w:p w:rsidR="00505632" w:rsidRDefault="00505632" w:rsidP="00505632">
      <w:r>
        <w:t xml:space="preserve">- Zakon o proračunu (Narodne novine, br. 87/2008, 136/2012 i 15/2015) </w:t>
      </w:r>
    </w:p>
    <w:p w:rsidR="00505632" w:rsidRDefault="00505632" w:rsidP="00505632">
      <w:r>
        <w:t xml:space="preserve">- Zakon o izvršavanju Državnog proračuna za 2016. godinu (Narodne novine, br. 109/2015, 26/2016 i 111/16) </w:t>
      </w:r>
    </w:p>
    <w:p w:rsidR="00505632" w:rsidRDefault="00505632" w:rsidP="00505632">
      <w:r>
        <w:t>- Pravilnik o sistematizaciji radnih mjesta u Hrvatskom zavodu za mirovinsko osiguranje</w:t>
      </w:r>
    </w:p>
    <w:p w:rsidR="00505632" w:rsidRDefault="00505632" w:rsidP="00505632">
      <w:pPr>
        <w:pStyle w:val="Heading8"/>
        <w:jc w:val="left"/>
      </w:pPr>
      <w:r>
        <w:t>Opis aktivnosti</w:t>
      </w:r>
    </w:p>
    <w:p w:rsidR="00505632" w:rsidRDefault="00505632" w:rsidP="00505632">
      <w:r>
        <w:t xml:space="preserve">U okviru programa 4101 Podrška sustavu mirovinskog osiguranja najznačajnija aktivnost je A688026 Administracija i upravljanje Hrvatskog zavoda za mirovinsko osiguranje koja se najvećim dijelom sastoji od rashoda za zaposlene i materijalnih rashoda. Rashodi za zaposlene odnose se na plaće, ostale rashode za zaposlene i doprinose na plaće. Materijalni rashodi odnose se na naknade troškova zaposlenima, rashode za materijal i energiju, rashode za usluge i ostale nespomenute rashode poslovanja.  </w:t>
      </w:r>
    </w:p>
    <w:p w:rsidR="00505632" w:rsidRDefault="00505632" w:rsidP="00505632">
      <w:r>
        <w:t xml:space="preserve">Za 2016. godinu na ovoj aktivnosti planirani su rashodi u iznosu od 323.935.000 kn, a izvršeni u iznosu od  316.963.677 kn što čini 97,8% planiranih rashoda. U odnosu na 2015. godinu izvršenje je manje za 11.131.433 kn ili 3,4%. </w:t>
      </w:r>
    </w:p>
    <w:p w:rsidR="00505632" w:rsidRDefault="00505632" w:rsidP="00505632">
      <w:r>
        <w:t xml:space="preserve">U 2016. godini Zavod je nastavio rad na poslovima i projektima čija će realizacija omogućiti poboljšanje ažurnosti, daljnju automatizaciju i ubrzanje postupka te skraćivanje trajanja postupaka rješavanja o pravima iz mirovinskog osiguranja.  </w:t>
      </w:r>
    </w:p>
    <w:p w:rsidR="00505632" w:rsidRDefault="00505632" w:rsidP="00505632">
      <w:r>
        <w:t xml:space="preserve">Unaprijeđeni su i ubrzani poslovi kontrole podataka za ostvarivanje prava iz mirovinskog osiguranja te je povećana ažurnost i potpunost podataka u evidencijama Zavoda temeljem preuzetih i uparenih podataka s JOPPD obrasca. </w:t>
      </w:r>
    </w:p>
    <w:p w:rsidR="00505632" w:rsidRDefault="00505632" w:rsidP="00505632">
      <w:r>
        <w:t xml:space="preserve">Nastavljen je rad na modernizaciji i proširenju funkcionalnosti usluga koje Zavod pruža svojim korisnicima elektroničkim putem (e-mirovinsko i e-prijave) u cilju poboljšanja efikasnosti Zavoda i pojednostavljenja rada s korisnicima. Uz postojeće usluge, koje Zavod pruža građanima preko sustava e-Građani, započele su i aktivnosti na razvoju novih e-usluga Zavoda (e-Potvrde) te je Zavod proširio svoje usluge s tri nove vrste e-Potvrda, što će korisnicima omogućiti pribavljanje većeg broja različitih potvrda elektroničkim putem te smanjiti potrebu dolaska na šaltere Zavoda.  </w:t>
      </w:r>
    </w:p>
    <w:p w:rsidR="00505632" w:rsidRDefault="00505632" w:rsidP="00505632">
      <w:r>
        <w:t>Tijekom 2016. nastavljene su aktivnosti na jačanju administrativnih kapaciteta i unapređenja rada Zavoda u provedbi postupaka sukladno uredbama za koordinaciju sustava socijalne sigurnosti EU. Time se omogućuje daljnje uključivanje Zavoda u sustav koordinacije socijalne sigurnosti država članica EU, posebno u kontekstu provedbe projekta za uspostavu elektroničke razmjene podataka i vođenja postupka za priznanje prava na davanja na razini EU (EESSI). Predstavnici Zavoda također su sudjelovali na sastancima tijela za vezu drugih država članica EU, u radu Administrativne komisije za koordinaciju sustava socijalne sigurnosti pri Europskoj komisiji te u stručnim odborima Administrativne komisije. Sudjelujući u “otvorenoj koordinaciji sustava socijalne sigurnosti”, Zavod je pružio potrebne podatke za unapređenje procesa vezanih uz projekt “Europa 2020”.</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35"/>
        <w:gridCol w:w="2537"/>
        <w:gridCol w:w="1059"/>
        <w:gridCol w:w="1019"/>
        <w:gridCol w:w="1018"/>
        <w:gridCol w:w="1019"/>
        <w:gridCol w:w="1019"/>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obuhvata podataka u bazi podataka osiguranika</w:t>
            </w:r>
          </w:p>
        </w:tc>
        <w:tc>
          <w:tcPr>
            <w:tcW w:w="2551" w:type="dxa"/>
          </w:tcPr>
          <w:p w:rsidR="00505632" w:rsidRDefault="00505632" w:rsidP="00AD4E52">
            <w:pPr>
              <w:pStyle w:val="CellColumn"/>
              <w:jc w:val="left"/>
            </w:pPr>
            <w:r>
              <w:rPr>
                <w:rFonts w:cs="Times New Roman"/>
              </w:rPr>
              <w:t>Prikupljanje nedostajućih podataka u matičnoj evidenciji HZMO-a i ažuriranje nedostajućih podataka osiguranika o prijavama na osiguranje i odjavama, stažu osiguranja, plaćama, osnovicama i naknadama u cijelom razdoblju osiguranja osigurat će povećanje obuhvata podataka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97%</w:t>
            </w:r>
          </w:p>
        </w:tc>
        <w:tc>
          <w:tcPr>
            <w:tcW w:w="1020" w:type="dxa"/>
          </w:tcPr>
          <w:p w:rsidR="00505632" w:rsidRDefault="00505632" w:rsidP="00AD4E52">
            <w:pPr>
              <w:pStyle w:val="CellColumn"/>
              <w:jc w:val="right"/>
            </w:pPr>
            <w:r>
              <w:rPr>
                <w:rFonts w:cs="Times New Roman"/>
              </w:rPr>
              <w:t>HZMO</w:t>
            </w:r>
          </w:p>
        </w:tc>
        <w:tc>
          <w:tcPr>
            <w:tcW w:w="1020" w:type="dxa"/>
          </w:tcPr>
          <w:p w:rsidR="00505632" w:rsidRDefault="00505632" w:rsidP="00AD4E52">
            <w:pPr>
              <w:pStyle w:val="CellColumn"/>
              <w:jc w:val="right"/>
            </w:pPr>
            <w:r>
              <w:rPr>
                <w:rFonts w:cs="Times New Roman"/>
              </w:rPr>
              <w:t>97,5%</w:t>
            </w:r>
          </w:p>
        </w:tc>
        <w:tc>
          <w:tcPr>
            <w:tcW w:w="1020" w:type="dxa"/>
          </w:tcPr>
          <w:p w:rsidR="00505632" w:rsidRDefault="00505632" w:rsidP="00AD4E52">
            <w:pPr>
              <w:pStyle w:val="CellColumn"/>
              <w:jc w:val="right"/>
            </w:pPr>
            <w:r>
              <w:rPr>
                <w:rFonts w:cs="Times New Roman"/>
              </w:rPr>
              <w:t>97%</w:t>
            </w:r>
          </w:p>
        </w:tc>
      </w:tr>
      <w:tr w:rsidR="00505632" w:rsidTr="00AD4E52">
        <w:trPr>
          <w:jc w:val="center"/>
        </w:trPr>
        <w:tc>
          <w:tcPr>
            <w:tcW w:w="2551" w:type="dxa"/>
          </w:tcPr>
          <w:p w:rsidR="00505632" w:rsidRDefault="00505632" w:rsidP="00AD4E52">
            <w:pPr>
              <w:pStyle w:val="CellColumn"/>
              <w:jc w:val="left"/>
            </w:pPr>
            <w:r>
              <w:rPr>
                <w:rFonts w:cs="Times New Roman"/>
              </w:rPr>
              <w:t>Unapređenje administrativne strukture za  sudjelovanje u koordinaciji sustava socijalne sigurnosti s državama članicama EU (EESSI)</w:t>
            </w:r>
          </w:p>
        </w:tc>
        <w:tc>
          <w:tcPr>
            <w:tcW w:w="2551" w:type="dxa"/>
          </w:tcPr>
          <w:p w:rsidR="00505632" w:rsidRDefault="00505632" w:rsidP="00AD4E52">
            <w:pPr>
              <w:pStyle w:val="CellColumn"/>
              <w:jc w:val="left"/>
            </w:pPr>
            <w:r>
              <w:rPr>
                <w:rFonts w:cs="Times New Roman"/>
              </w:rPr>
              <w:t>Uspostavljenu i educiranu administrativnu strukturu za provedbu propisa EU potrebno je dalje osposobljavati za vođenje postupka na intranetu EU (EESSI), uz izmjenu poslovnih procesa. Ispunjenje tehnoloških i informatičkih preduvjeta za EESSI planira se ostvariti razvojem projekata za koje je Zavod zatražio financijska sredstva iz fondova EU</w:t>
            </w:r>
          </w:p>
        </w:tc>
        <w:tc>
          <w:tcPr>
            <w:tcW w:w="1020" w:type="dxa"/>
          </w:tcPr>
          <w:p w:rsidR="00505632" w:rsidRDefault="00505632" w:rsidP="00AD4E52">
            <w:pPr>
              <w:pStyle w:val="CellColumn"/>
              <w:jc w:val="right"/>
            </w:pPr>
            <w:r>
              <w:rPr>
                <w:rFonts w:cs="Times New Roman"/>
              </w:rPr>
              <w:t xml:space="preserve">broj zaposlenika koji su prošli obuku </w:t>
            </w:r>
          </w:p>
          <w:p w:rsidR="00505632" w:rsidRDefault="00505632" w:rsidP="00AD4E52">
            <w:pPr>
              <w:pStyle w:val="CellColumn"/>
              <w:jc w:val="right"/>
            </w:pPr>
            <w:r>
              <w:rPr>
                <w:rFonts w:cs="Times New Roman"/>
              </w:rPr>
              <w:t>(kumulativ)</w:t>
            </w:r>
          </w:p>
        </w:tc>
        <w:tc>
          <w:tcPr>
            <w:tcW w:w="1020" w:type="dxa"/>
          </w:tcPr>
          <w:p w:rsidR="00505632" w:rsidRDefault="00505632" w:rsidP="00AD4E52">
            <w:pPr>
              <w:pStyle w:val="CellColumn"/>
              <w:jc w:val="right"/>
            </w:pPr>
            <w:r>
              <w:rPr>
                <w:rFonts w:cs="Times New Roman"/>
              </w:rPr>
              <w:t>220</w:t>
            </w:r>
          </w:p>
        </w:tc>
        <w:tc>
          <w:tcPr>
            <w:tcW w:w="1020" w:type="dxa"/>
          </w:tcPr>
          <w:p w:rsidR="00505632" w:rsidRDefault="00505632" w:rsidP="00AD4E52">
            <w:pPr>
              <w:pStyle w:val="CellColumn"/>
              <w:jc w:val="right"/>
            </w:pPr>
            <w:r>
              <w:rPr>
                <w:rFonts w:cs="Times New Roman"/>
              </w:rPr>
              <w:t>HZMO</w:t>
            </w:r>
          </w:p>
        </w:tc>
        <w:tc>
          <w:tcPr>
            <w:tcW w:w="1020" w:type="dxa"/>
          </w:tcPr>
          <w:p w:rsidR="00505632" w:rsidRDefault="00505632" w:rsidP="00AD4E52">
            <w:pPr>
              <w:pStyle w:val="CellColumn"/>
              <w:jc w:val="right"/>
            </w:pPr>
            <w:r>
              <w:rPr>
                <w:rFonts w:cs="Times New Roman"/>
              </w:rPr>
              <w:t>250</w:t>
            </w:r>
          </w:p>
        </w:tc>
        <w:tc>
          <w:tcPr>
            <w:tcW w:w="1020" w:type="dxa"/>
          </w:tcPr>
          <w:p w:rsidR="00505632" w:rsidRDefault="00505632" w:rsidP="00AD4E52">
            <w:pPr>
              <w:pStyle w:val="CellColumn"/>
              <w:jc w:val="right"/>
            </w:pPr>
            <w:r>
              <w:rPr>
                <w:rFonts w:cs="Times New Roman"/>
              </w:rPr>
              <w:t>250</w:t>
            </w:r>
          </w:p>
        </w:tc>
      </w:tr>
    </w:tbl>
    <w:p w:rsidR="00505632" w:rsidRDefault="00505632" w:rsidP="00505632">
      <w:pPr>
        <w:jc w:val="left"/>
      </w:pPr>
    </w:p>
    <w:p w:rsidR="00505632" w:rsidRDefault="00505632" w:rsidP="00505632">
      <w:pPr>
        <w:pStyle w:val="Heading4"/>
      </w:pPr>
      <w:r>
        <w:t>K688055 DODATNA ULAGANJA NA GRAĐEVINSKIM OBJEKTIMA</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K688055-DODATNA ULAGANJA NA GRAĐEVINSKIM OBJEKTIMA</w:t>
            </w:r>
          </w:p>
        </w:tc>
        <w:tc>
          <w:tcPr>
            <w:tcW w:w="2041" w:type="dxa"/>
          </w:tcPr>
          <w:p w:rsidR="00505632" w:rsidRDefault="00505632" w:rsidP="00AD4E52">
            <w:pPr>
              <w:pStyle w:val="CellColumn"/>
              <w:jc w:val="right"/>
            </w:pPr>
            <w:r>
              <w:rPr>
                <w:rFonts w:cs="Times New Roman"/>
              </w:rPr>
              <w:t>3.442.809</w:t>
            </w:r>
          </w:p>
        </w:tc>
        <w:tc>
          <w:tcPr>
            <w:tcW w:w="2041" w:type="dxa"/>
          </w:tcPr>
          <w:p w:rsidR="00505632" w:rsidRDefault="00505632" w:rsidP="00AD4E52">
            <w:pPr>
              <w:pStyle w:val="CellColumn"/>
              <w:jc w:val="right"/>
            </w:pPr>
            <w:r>
              <w:rPr>
                <w:rFonts w:cs="Times New Roman"/>
              </w:rPr>
              <w:t>3.200.000</w:t>
            </w:r>
          </w:p>
        </w:tc>
        <w:tc>
          <w:tcPr>
            <w:tcW w:w="2041" w:type="dxa"/>
          </w:tcPr>
          <w:p w:rsidR="00505632" w:rsidRDefault="00505632" w:rsidP="00AD4E52">
            <w:pPr>
              <w:pStyle w:val="CellColumn"/>
              <w:jc w:val="right"/>
            </w:pPr>
            <w:r>
              <w:rPr>
                <w:rFonts w:cs="Times New Roman"/>
              </w:rPr>
              <w:t>1.764.075</w:t>
            </w:r>
          </w:p>
        </w:tc>
        <w:tc>
          <w:tcPr>
            <w:tcW w:w="1224" w:type="dxa"/>
          </w:tcPr>
          <w:p w:rsidR="00505632" w:rsidRDefault="00505632" w:rsidP="00AD4E52">
            <w:pPr>
              <w:pStyle w:val="CellColumn"/>
              <w:jc w:val="right"/>
            </w:pPr>
            <w:r>
              <w:rPr>
                <w:rFonts w:cs="Times New Roman"/>
              </w:rPr>
              <w:t>55,1</w:t>
            </w:r>
          </w:p>
        </w:tc>
        <w:tc>
          <w:tcPr>
            <w:tcW w:w="1224" w:type="dxa"/>
          </w:tcPr>
          <w:p w:rsidR="00505632" w:rsidRDefault="00505632" w:rsidP="00AD4E52">
            <w:pPr>
              <w:pStyle w:val="CellColumn"/>
              <w:jc w:val="right"/>
            </w:pPr>
            <w:r>
              <w:rPr>
                <w:rFonts w:cs="Times New Roman"/>
              </w:rPr>
              <w:t>51,2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Statut Hrvatskog zavoda za mirovinsko osiguranje (Narodne novine, br. 28/2014 i 24/2015) </w:t>
      </w:r>
    </w:p>
    <w:p w:rsidR="00505632" w:rsidRDefault="00505632" w:rsidP="00505632">
      <w:r>
        <w:t xml:space="preserve">- Zakon o javnoj nabavi (Narodne novine, br. 120/2016) </w:t>
      </w:r>
    </w:p>
    <w:p w:rsidR="00505632" w:rsidRDefault="00505632" w:rsidP="00505632">
      <w:r>
        <w:t>- Ugovori s dobavljačima</w:t>
      </w:r>
    </w:p>
    <w:p w:rsidR="00505632" w:rsidRDefault="00505632" w:rsidP="00505632">
      <w:pPr>
        <w:pStyle w:val="Heading8"/>
        <w:jc w:val="left"/>
      </w:pPr>
      <w:r>
        <w:t>Opis aktivnosti</w:t>
      </w:r>
    </w:p>
    <w:p w:rsidR="00505632" w:rsidRDefault="00505632" w:rsidP="00505632">
      <w:r>
        <w:t>Dodatnim ulaganjima povećava se vrijednost imovine na kojoj je ulaganje izvršeno. Ulaganjem na već postojećoj nefinancijskoj imovini smatraju se sve radnje kojima se produžuje vijek njezine uporabe, povećava kapacitet, mijenja namjena ili znatno poboljšavaju funkcionalna svojstva nefinancijske imovine. Za 2016. godinu planirana sredstva iznosila su 3.200.000 kn, a izvršena su u iznosu od 1.764.075 kn što čini 55,1% planiranih sredstava. U odnosu na 2015. godinu izvršenje je manje za 1.678.734 kn ili 48,8%. Zbog privremenog financiranja u prvom tromjesečju 2016. godine, Plan nabave Zavoda usvojen je kasnije, što je utjecalo na kasnije pokretanje planiranih postupaka nabave.</w:t>
      </w:r>
    </w:p>
    <w:p w:rsidR="00505632" w:rsidRDefault="00505632" w:rsidP="00505632">
      <w:pPr>
        <w:pStyle w:val="Heading4"/>
      </w:pPr>
      <w:r>
        <w:t>K688056 INFORMATIZACIJA</w:t>
      </w:r>
    </w:p>
    <w:tbl>
      <w:tblPr>
        <w:tblStyle w:val="StilTablice"/>
        <w:tblW w:w="10206" w:type="dxa"/>
        <w:jc w:val="center"/>
        <w:tblLook w:val="04A0" w:firstRow="1" w:lastRow="0" w:firstColumn="1" w:lastColumn="0" w:noHBand="0" w:noVBand="1"/>
      </w:tblPr>
      <w:tblGrid>
        <w:gridCol w:w="1914"/>
        <w:gridCol w:w="1959"/>
        <w:gridCol w:w="1959"/>
        <w:gridCol w:w="1959"/>
        <w:gridCol w:w="1203"/>
        <w:gridCol w:w="121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K688056-INFORMATIZACIJA</w:t>
            </w:r>
          </w:p>
        </w:tc>
        <w:tc>
          <w:tcPr>
            <w:tcW w:w="2041" w:type="dxa"/>
          </w:tcPr>
          <w:p w:rsidR="00505632" w:rsidRDefault="00505632" w:rsidP="00AD4E52">
            <w:pPr>
              <w:pStyle w:val="CellColumn"/>
              <w:jc w:val="right"/>
            </w:pPr>
            <w:r>
              <w:rPr>
                <w:rFonts w:cs="Times New Roman"/>
              </w:rPr>
              <w:t>32.470.620</w:t>
            </w:r>
          </w:p>
        </w:tc>
        <w:tc>
          <w:tcPr>
            <w:tcW w:w="2041" w:type="dxa"/>
          </w:tcPr>
          <w:p w:rsidR="00505632" w:rsidRDefault="00505632" w:rsidP="00AD4E52">
            <w:pPr>
              <w:pStyle w:val="CellColumn"/>
              <w:jc w:val="right"/>
            </w:pPr>
            <w:r>
              <w:rPr>
                <w:rFonts w:cs="Times New Roman"/>
              </w:rPr>
              <w:t>39.500.000</w:t>
            </w:r>
          </w:p>
        </w:tc>
        <w:tc>
          <w:tcPr>
            <w:tcW w:w="2041" w:type="dxa"/>
          </w:tcPr>
          <w:p w:rsidR="00505632" w:rsidRDefault="00505632" w:rsidP="00AD4E52">
            <w:pPr>
              <w:pStyle w:val="CellColumn"/>
              <w:jc w:val="right"/>
            </w:pPr>
            <w:r>
              <w:rPr>
                <w:rFonts w:cs="Times New Roman"/>
              </w:rPr>
              <w:t>36.150.296</w:t>
            </w:r>
          </w:p>
        </w:tc>
        <w:tc>
          <w:tcPr>
            <w:tcW w:w="1224" w:type="dxa"/>
          </w:tcPr>
          <w:p w:rsidR="00505632" w:rsidRDefault="00505632" w:rsidP="00AD4E52">
            <w:pPr>
              <w:pStyle w:val="CellColumn"/>
              <w:jc w:val="right"/>
            </w:pPr>
            <w:r>
              <w:rPr>
                <w:rFonts w:cs="Times New Roman"/>
              </w:rPr>
              <w:t>91,5</w:t>
            </w:r>
          </w:p>
        </w:tc>
        <w:tc>
          <w:tcPr>
            <w:tcW w:w="1224" w:type="dxa"/>
          </w:tcPr>
          <w:p w:rsidR="00505632" w:rsidRDefault="00505632" w:rsidP="00AD4E52">
            <w:pPr>
              <w:pStyle w:val="CellColumn"/>
              <w:jc w:val="right"/>
            </w:pPr>
            <w:r>
              <w:rPr>
                <w:rFonts w:cs="Times New Roman"/>
              </w:rPr>
              <w:t>111,3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Statut Hrvatskog zavoda za mirovinsko osiguranje (Narodne novine, br. 28/2014 i 24/2015) </w:t>
      </w:r>
    </w:p>
    <w:p w:rsidR="00505632" w:rsidRDefault="00505632" w:rsidP="00505632">
      <w:r>
        <w:t xml:space="preserve">- Zakon o javnoj nabavi (Narodne novine, br. 120/2016) </w:t>
      </w:r>
    </w:p>
    <w:p w:rsidR="00505632" w:rsidRDefault="00505632" w:rsidP="00505632">
      <w:r>
        <w:t>- Ugovori s dobavljačima</w:t>
      </w:r>
    </w:p>
    <w:p w:rsidR="00505632" w:rsidRDefault="00505632" w:rsidP="00505632">
      <w:pPr>
        <w:pStyle w:val="Heading8"/>
        <w:jc w:val="left"/>
      </w:pPr>
      <w:r>
        <w:t>Opis aktivnosti</w:t>
      </w:r>
    </w:p>
    <w:p w:rsidR="00505632" w:rsidRDefault="00505632" w:rsidP="00505632">
      <w:r>
        <w:t xml:space="preserve">Kapitalni projekt K688056 Informatizacija obuhvaća rashode za usluge tekućeg i investicijskog održavanja informatičke opreme i software-a, najam software-a, računalne usluge i licence, računala i računalnu opremu, kamate za primljene kredite i zajmove te ulaganja u računalne programe. Za 2016. godinu planirana sredstva iznosila su 39.500.000 kn, a izvršena su u iznosu od 36.150.297 kn što čini 91,5% planiranih sredstava. U odnosu na 2015. godinu izvršenje je veće za 3.679.677 kn ili 11,3% zbog nabave diskovnog sustava za mainframe u iznosu od 5.106.128 kn. </w:t>
      </w:r>
    </w:p>
    <w:p w:rsidR="00505632" w:rsidRDefault="00505632" w:rsidP="00505632">
      <w:r>
        <w:t xml:space="preserve">U vođenju i razmjeni podataka i priznavanju prava iz mirovinskog osiguranja koristi se informatička tehnologija i aplikativna rješenja koja omogućuju vođenje, obradu i korištenje velikog broja podataka, čime se značajno pridonosi donošenju rješenja u zakonom propisanim rokovima. U 2016. Zavod je nastavio poduzimati aktivnosti utvrđene strateškim dokumentima s naglaskom na unapređenju poslovanja primjenom modernih informatičkih rješenja (poslovanje putem interneta, elektronička razmjena podataka, razmjena podataka s tijelima državne uprave, ustanovama i drugim institucijama i dr.).  </w:t>
      </w:r>
    </w:p>
    <w:p w:rsidR="00505632" w:rsidRDefault="00505632" w:rsidP="00505632">
      <w:r>
        <w:t xml:space="preserve">Tijekom 2016. nastavljene su aktivnosti vezane za daljnji razvoj državne informatičke tehnologije radi informatizacije i integracije tijela javne uprave što bi trebalo rezultirati ostvarivanjem koncepta umrežene uprave, a građanima i gospodarstvenicima omogućiti brži, jednostavniji i kvalitetniji pristup uslugama javne uprave. Kontinuirano se radi na izgradnji informacijsko-komunikacijske infrastrukture koja će omogućiti primjenu strategije e-Hrvatska u cilju racionalizacije sustava i povećanja kvalitete javnih usluga. </w:t>
      </w:r>
    </w:p>
    <w:p w:rsidR="00505632" w:rsidRDefault="00505632" w:rsidP="00505632">
      <w:r>
        <w:t xml:space="preserve">S obzirom na to da je Zavod uključen u sustav NIAS (Nacionalni identifikacijski i autentifikacijski sustav) kojim je omogućena jedinstvena autentifikacija svih korisnika elektroničkih usluga javne uprave, nastavio se rad na dogradnji informatičke infrastrukture radi korištenja usluge NIAS-a u postupcima identifikacije korisnika koji koriste usluge Zavoda putem interneta. </w:t>
      </w:r>
    </w:p>
    <w:p w:rsidR="00505632" w:rsidRDefault="00505632" w:rsidP="00505632">
      <w:r>
        <w:t xml:space="preserve">Mogućnost razmjene podataka s nadležnim ustanovama EU uvjet je za primjenu pravnih propisa EU za koordinaciju sustava socijalne sigurnosti te je nastavljen rad na standardiziranju i ažuriranju baze podataka koji će se elektronički razmjenjivati.  </w:t>
      </w:r>
    </w:p>
    <w:p w:rsidR="00505632" w:rsidRDefault="00505632" w:rsidP="00505632">
      <w:r>
        <w:t xml:space="preserve">Radi smanjenja troškova poslovanja i nepripadnih isplata, nastavljene su aktivnosti na uspostavi elektroničke razmjene podataka o činjenici smrti sa stranim nositeljima mirovinskog osiguranja te aktivnosti oko uspostave razmjene podataka o činjenici zaposlenja sa stranim nositeljima mirovinskog osiguranja (Slovenija).  </w:t>
      </w:r>
    </w:p>
    <w:p w:rsidR="00505632" w:rsidRDefault="00505632" w:rsidP="00505632">
      <w:r>
        <w:t>Radi pojednostavljenja i ubrzanja poslovnih procesa Zavoda, nastavljen je rad na slijedećim projektima i poslovima: modernizacija informacijskog sustava u okviru koje će se ostvariti prelazak s hijerarhijskog na relacijski model baza podataka što će omogućiti jednostavniji razvoj i održavanje baza podataka i aplikacija u poslovnom sustavu Zavoda; prilagodba  poslovanja Zavoda uvjetima vještačenja u Zavodu za vještačenje, profesionalnu rehabilitaciju i zapošljavanje osoba s invaliditetom; pripreme za uspostavljanje sustava arhiviranja e-gradiva (elektroničkog arhiva Zavoda u kojem će se pohranjivati e-dokumentacija); dogradnja web servisa koji će omogućiti on-line razmjenu podataka između Zavoda i drugih tijela državne i javne vlasti.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36"/>
        <w:gridCol w:w="2536"/>
        <w:gridCol w:w="1059"/>
        <w:gridCol w:w="1019"/>
        <w:gridCol w:w="1018"/>
        <w:gridCol w:w="1019"/>
        <w:gridCol w:w="1019"/>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udjela  prijava putem usluge e-mirovinsko u ukupnom broju zaprimljenih prijava</w:t>
            </w:r>
          </w:p>
        </w:tc>
        <w:tc>
          <w:tcPr>
            <w:tcW w:w="2551" w:type="dxa"/>
          </w:tcPr>
          <w:p w:rsidR="00505632" w:rsidRDefault="00505632" w:rsidP="00AD4E52">
            <w:pPr>
              <w:pStyle w:val="CellColumn"/>
              <w:jc w:val="left"/>
            </w:pPr>
            <w:r>
              <w:rPr>
                <w:rFonts w:cs="Times New Roman"/>
              </w:rPr>
              <w:t>Razvoj aplikacije i uvođenje zakonske obveze korištenja usluge e-mirovinsko omogućuje poslodavcima jednostavnije poslovanje, uštedu vremena i jednostavniju prijavu i odjavu zaposlenika, što će uzrokovati povećanje broja zaprimljenih prijava putem usluge e-mirovinsko.</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87%</w:t>
            </w:r>
          </w:p>
        </w:tc>
        <w:tc>
          <w:tcPr>
            <w:tcW w:w="1020" w:type="dxa"/>
          </w:tcPr>
          <w:p w:rsidR="00505632" w:rsidRDefault="00505632" w:rsidP="00AD4E52">
            <w:pPr>
              <w:pStyle w:val="CellColumn"/>
              <w:jc w:val="right"/>
            </w:pPr>
            <w:r>
              <w:rPr>
                <w:rFonts w:cs="Times New Roman"/>
              </w:rPr>
              <w:t>HZMO</w:t>
            </w:r>
          </w:p>
        </w:tc>
        <w:tc>
          <w:tcPr>
            <w:tcW w:w="1020" w:type="dxa"/>
          </w:tcPr>
          <w:p w:rsidR="00505632" w:rsidRDefault="00505632" w:rsidP="00AD4E52">
            <w:pPr>
              <w:pStyle w:val="CellColumn"/>
              <w:jc w:val="right"/>
            </w:pPr>
            <w:r>
              <w:rPr>
                <w:rFonts w:cs="Times New Roman"/>
              </w:rPr>
              <w:t>88%</w:t>
            </w:r>
          </w:p>
        </w:tc>
        <w:tc>
          <w:tcPr>
            <w:tcW w:w="1020" w:type="dxa"/>
          </w:tcPr>
          <w:p w:rsidR="00505632" w:rsidRDefault="00505632" w:rsidP="00AD4E52">
            <w:pPr>
              <w:pStyle w:val="CellColumn"/>
              <w:jc w:val="right"/>
            </w:pPr>
            <w:r>
              <w:rPr>
                <w:rFonts w:cs="Times New Roman"/>
              </w:rPr>
              <w:t>83,2%</w:t>
            </w:r>
          </w:p>
        </w:tc>
      </w:tr>
      <w:tr w:rsidR="00505632" w:rsidTr="00AD4E52">
        <w:trPr>
          <w:jc w:val="center"/>
        </w:trPr>
        <w:tc>
          <w:tcPr>
            <w:tcW w:w="2551" w:type="dxa"/>
          </w:tcPr>
          <w:p w:rsidR="00505632" w:rsidRDefault="00505632" w:rsidP="00AD4E52">
            <w:pPr>
              <w:pStyle w:val="CellColumn"/>
              <w:jc w:val="left"/>
            </w:pPr>
            <w:r>
              <w:rPr>
                <w:rFonts w:cs="Times New Roman"/>
              </w:rPr>
              <w:t>Implementacija projekata u skladu s godišnjim i trogodišnjim planom projekata HZMO-a</w:t>
            </w:r>
          </w:p>
        </w:tc>
        <w:tc>
          <w:tcPr>
            <w:tcW w:w="2551" w:type="dxa"/>
          </w:tcPr>
          <w:p w:rsidR="00505632" w:rsidRDefault="00505632" w:rsidP="00AD4E52">
            <w:pPr>
              <w:pStyle w:val="CellColumn"/>
              <w:jc w:val="left"/>
            </w:pPr>
            <w:r>
              <w:rPr>
                <w:rFonts w:cs="Times New Roman"/>
              </w:rPr>
              <w:t>Razvojem i provedbom planiranih projekata Zavod će značajno poboljšati kvalitetu i učinkovitost poslovanja, pojednostavit ga i učiniti dostupnijim osiguranicima i korisnicima.</w:t>
            </w:r>
          </w:p>
        </w:tc>
        <w:tc>
          <w:tcPr>
            <w:tcW w:w="1020" w:type="dxa"/>
          </w:tcPr>
          <w:p w:rsidR="00505632" w:rsidRDefault="00505632" w:rsidP="00AD4E52">
            <w:pPr>
              <w:pStyle w:val="CellColumn"/>
              <w:jc w:val="right"/>
            </w:pPr>
            <w:r>
              <w:rPr>
                <w:rFonts w:cs="Times New Roman"/>
              </w:rPr>
              <w:t xml:space="preserve">broj novih projekata u produkciji </w:t>
            </w:r>
          </w:p>
          <w:p w:rsidR="00505632" w:rsidRDefault="00505632" w:rsidP="00AD4E52">
            <w:pPr>
              <w:pStyle w:val="CellColumn"/>
              <w:jc w:val="right"/>
            </w:pPr>
            <w:r>
              <w:rPr>
                <w:rFonts w:cs="Times New Roman"/>
              </w:rPr>
              <w:t>(kumulativ)</w:t>
            </w:r>
          </w:p>
        </w:tc>
        <w:tc>
          <w:tcPr>
            <w:tcW w:w="1020" w:type="dxa"/>
          </w:tcPr>
          <w:p w:rsidR="00505632" w:rsidRDefault="00505632" w:rsidP="00AD4E52">
            <w:pPr>
              <w:pStyle w:val="CellColumn"/>
              <w:jc w:val="right"/>
            </w:pPr>
            <w:r>
              <w:rPr>
                <w:rFonts w:cs="Times New Roman"/>
              </w:rPr>
              <w:t>43</w:t>
            </w:r>
          </w:p>
        </w:tc>
        <w:tc>
          <w:tcPr>
            <w:tcW w:w="1020" w:type="dxa"/>
          </w:tcPr>
          <w:p w:rsidR="00505632" w:rsidRDefault="00505632" w:rsidP="00AD4E52">
            <w:pPr>
              <w:pStyle w:val="CellColumn"/>
              <w:jc w:val="right"/>
            </w:pPr>
            <w:r>
              <w:rPr>
                <w:rFonts w:cs="Times New Roman"/>
              </w:rPr>
              <w:t>HZMO</w:t>
            </w:r>
          </w:p>
        </w:tc>
        <w:tc>
          <w:tcPr>
            <w:tcW w:w="1020" w:type="dxa"/>
          </w:tcPr>
          <w:p w:rsidR="00505632" w:rsidRDefault="00505632" w:rsidP="00AD4E52">
            <w:pPr>
              <w:pStyle w:val="CellColumn"/>
              <w:jc w:val="right"/>
            </w:pPr>
            <w:r>
              <w:rPr>
                <w:rFonts w:cs="Times New Roman"/>
              </w:rPr>
              <w:t>55</w:t>
            </w:r>
          </w:p>
        </w:tc>
        <w:tc>
          <w:tcPr>
            <w:tcW w:w="1020" w:type="dxa"/>
          </w:tcPr>
          <w:p w:rsidR="00505632" w:rsidRDefault="00505632" w:rsidP="00AD4E52">
            <w:pPr>
              <w:pStyle w:val="CellColumn"/>
              <w:jc w:val="right"/>
            </w:pPr>
            <w:r>
              <w:rPr>
                <w:rFonts w:cs="Times New Roman"/>
              </w:rPr>
              <w:t>47</w:t>
            </w:r>
          </w:p>
        </w:tc>
      </w:tr>
      <w:tr w:rsidR="00505632" w:rsidTr="00AD4E52">
        <w:trPr>
          <w:jc w:val="center"/>
        </w:trPr>
        <w:tc>
          <w:tcPr>
            <w:tcW w:w="2551" w:type="dxa"/>
          </w:tcPr>
          <w:p w:rsidR="00505632" w:rsidRDefault="00505632" w:rsidP="00AD4E52">
            <w:pPr>
              <w:pStyle w:val="CellColumn"/>
              <w:jc w:val="left"/>
            </w:pPr>
            <w:r>
              <w:rPr>
                <w:rFonts w:cs="Times New Roman"/>
              </w:rPr>
              <w:t>Povećanje broja institucija s kojima HZMO razmjenjuje podatke elektroničkim putem</w:t>
            </w:r>
          </w:p>
        </w:tc>
        <w:tc>
          <w:tcPr>
            <w:tcW w:w="2551" w:type="dxa"/>
          </w:tcPr>
          <w:p w:rsidR="00505632" w:rsidRDefault="00505632" w:rsidP="00AD4E52">
            <w:pPr>
              <w:pStyle w:val="CellColumn"/>
              <w:jc w:val="left"/>
            </w:pPr>
            <w:r>
              <w:rPr>
                <w:rFonts w:cs="Times New Roman"/>
              </w:rPr>
              <w:t>Provedba projekata koji će omogućiti elektroničko vođenje i razmjenu podataka osigurava jednostavniju, ažurniju i točniju razmjenu podataka, što će povećati broj institucija s kojima se razmjenjuju podaci elektroničkim putem.</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HZMO</w:t>
            </w:r>
          </w:p>
        </w:tc>
        <w:tc>
          <w:tcPr>
            <w:tcW w:w="1020" w:type="dxa"/>
          </w:tcPr>
          <w:p w:rsidR="00505632" w:rsidRDefault="00505632" w:rsidP="00AD4E52">
            <w:pPr>
              <w:pStyle w:val="CellColumn"/>
              <w:jc w:val="right"/>
            </w:pPr>
            <w:r>
              <w:rPr>
                <w:rFonts w:cs="Times New Roman"/>
              </w:rPr>
              <w:t>27</w:t>
            </w:r>
          </w:p>
        </w:tc>
        <w:tc>
          <w:tcPr>
            <w:tcW w:w="1020" w:type="dxa"/>
          </w:tcPr>
          <w:p w:rsidR="00505632" w:rsidRDefault="00505632" w:rsidP="00AD4E52">
            <w:pPr>
              <w:pStyle w:val="CellColumn"/>
              <w:jc w:val="right"/>
            </w:pPr>
            <w:r>
              <w:rPr>
                <w:rFonts w:cs="Times New Roman"/>
              </w:rPr>
              <w:t>34</w:t>
            </w:r>
          </w:p>
        </w:tc>
      </w:tr>
    </w:tbl>
    <w:p w:rsidR="00505632" w:rsidRDefault="00505632" w:rsidP="00505632">
      <w:pPr>
        <w:jc w:val="left"/>
      </w:pPr>
    </w:p>
    <w:p w:rsidR="00505632" w:rsidRDefault="00505632" w:rsidP="00505632">
      <w:pPr>
        <w:pStyle w:val="Heading3"/>
      </w:pPr>
      <w:r>
        <w:rPr>
          <w:rFonts w:cs="Times New Roman"/>
        </w:rPr>
        <w:t>4102 MIROVINE I MIROVINSKA PRIMANJA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4102-MIROVINE I MIROVINSKA PRIMANJA</w:t>
            </w:r>
          </w:p>
        </w:tc>
        <w:tc>
          <w:tcPr>
            <w:tcW w:w="2041" w:type="dxa"/>
          </w:tcPr>
          <w:p w:rsidR="00505632" w:rsidRDefault="00505632" w:rsidP="00AD4E52">
            <w:pPr>
              <w:pStyle w:val="CellColumn"/>
              <w:jc w:val="right"/>
            </w:pPr>
            <w:r>
              <w:rPr>
                <w:rFonts w:cs="Times New Roman"/>
              </w:rPr>
              <w:t>36.729.576.370</w:t>
            </w:r>
          </w:p>
        </w:tc>
        <w:tc>
          <w:tcPr>
            <w:tcW w:w="2041" w:type="dxa"/>
          </w:tcPr>
          <w:p w:rsidR="00505632" w:rsidRDefault="00505632" w:rsidP="00AD4E52">
            <w:pPr>
              <w:pStyle w:val="CellColumn"/>
              <w:jc w:val="right"/>
            </w:pPr>
            <w:r>
              <w:rPr>
                <w:rFonts w:cs="Times New Roman"/>
              </w:rPr>
              <w:t>36.855.424.000</w:t>
            </w:r>
          </w:p>
        </w:tc>
        <w:tc>
          <w:tcPr>
            <w:tcW w:w="2041" w:type="dxa"/>
          </w:tcPr>
          <w:p w:rsidR="00505632" w:rsidRDefault="00505632" w:rsidP="00AD4E52">
            <w:pPr>
              <w:pStyle w:val="CellColumn"/>
              <w:jc w:val="right"/>
            </w:pPr>
            <w:r>
              <w:rPr>
                <w:rFonts w:cs="Times New Roman"/>
              </w:rPr>
              <w:t>36.850.494.328</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100,3</w:t>
            </w:r>
          </w:p>
        </w:tc>
      </w:tr>
    </w:tbl>
    <w:p w:rsidR="00505632" w:rsidRDefault="00505632" w:rsidP="00505632">
      <w:pPr>
        <w:jc w:val="left"/>
      </w:pPr>
    </w:p>
    <w:p w:rsidR="00505632" w:rsidRDefault="00505632" w:rsidP="00505632">
      <w:r>
        <w:t xml:space="preserve">Program uključuje ukupne rashode za mirovine i mirovinska primanja na osnovi osiguranja, rashode za mirovine stečene pod povoljnijim uvjetima i prema posebnim propisima, isplate po rješenjima o ovrsi, naknade za isplatu mirovina i osiguranje sredstava za doprinose za mirovinsko osiguranje na temelju individualne kapitalizirane štednje za pojedine kategorije osiguranika. </w:t>
      </w:r>
    </w:p>
    <w:p w:rsidR="00505632" w:rsidRDefault="00505632" w:rsidP="00505632">
      <w:r>
        <w:t xml:space="preserve">Rashodi u programu Mirovine i mirovinska primanja planirani su u iznosu 36.855.424.000 kn, a izvršeni su u iznosu od 36.850.494.328 kn, što čini 100,0% planiranih rashoda. U odnosu na 2015. godinu veći su za 0,3%. </w:t>
      </w:r>
    </w:p>
    <w:p w:rsidR="00505632" w:rsidRDefault="00505632" w:rsidP="00505632">
      <w:r>
        <w:t xml:space="preserve">Mirovine i mirovinska primanja ostvarena prema općem propisu redovitim su usklađivanjem povećana za 0,81% i to od 1. siječnja za 0,46% i od 1. srpnja  za 0,35%. </w:t>
      </w:r>
    </w:p>
    <w:p w:rsidR="00505632" w:rsidRDefault="00505632" w:rsidP="00505632">
      <w:r>
        <w:t xml:space="preserve">U 2016. godini naknadno je isplaćeno jednokratno novčano primanje korisnicima mirovinskih primanja u iznosu od 477.970 kn (kojima primanje temeljem Odluke o isplati jednokratnog novčanog primanja iz sredstava koja pripadaju Republici Hrvatskoj kao članu Umirovljeničkog fonda nije isplaćeno u 2015. godini, a pravo na isplatu ostvaruju u skladu s člankom 5. i 7. Pravilnika o načinu obračuna i isplate jednokratnog novčanog primanja) i naknada za isplatu jednokratnog novčanog primanja isplaćenog u 2015. u iznosu od 1.332.449 kn. </w:t>
      </w:r>
    </w:p>
    <w:p w:rsidR="00505632" w:rsidRDefault="00505632" w:rsidP="00505632">
      <w:r>
        <w:t xml:space="preserve">Najveći dio rashoda čine rashodi za mirovine i mirovinska primanja na osnovu osiguranja i rashodi za mirovine stečene pod povoljnijim uvjetima i prema posebnim propisima, a izvršeni su u iznosu od  36.804.917.243 kn. Rashodi za isplate po rješenjima o ovrsi izvršeni su u iznosu od 163.681 kn, naknade za isplatu mirovina u iznosu od 34.854.012 kn i osiguranje sredstava za doprinose na temelju individualne kapitalizirane štednje za pojedine kategorije osiguranika u iznosu od 8.748.973 kn.  </w:t>
      </w:r>
    </w:p>
    <w:p w:rsidR="00505632" w:rsidRDefault="00505632" w:rsidP="00505632">
      <w:r>
        <w:t>Udio ukupnih rashoda za mirovinsko osiguranje za 2016. godinu u bruto domaćem proizvodu iznosio je 11,27%, udio rashoda za mirovine i mirovinska primanja 10,72%, a doplatka za djecu 0,43%.</w:t>
      </w:r>
    </w:p>
    <w:p w:rsidR="00505632" w:rsidRDefault="00505632" w:rsidP="00505632">
      <w:pPr>
        <w:pStyle w:val="Heading4"/>
      </w:pPr>
      <w:r>
        <w:t>A688046 MIROVINE NA TEMELJU OSIGURANJA - STAROSNE MIROVINE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A688046-MIROVINE NA TEMELJU OSIGURANJA - STAROSNE MIROVINE</w:t>
            </w:r>
          </w:p>
        </w:tc>
        <w:tc>
          <w:tcPr>
            <w:tcW w:w="2041" w:type="dxa"/>
          </w:tcPr>
          <w:p w:rsidR="00505632" w:rsidRDefault="00505632" w:rsidP="00AD4E52">
            <w:pPr>
              <w:pStyle w:val="CellColumn"/>
              <w:jc w:val="right"/>
            </w:pPr>
            <w:r>
              <w:rPr>
                <w:rFonts w:cs="Times New Roman"/>
              </w:rPr>
              <w:t>21.826.638.823</w:t>
            </w:r>
          </w:p>
        </w:tc>
        <w:tc>
          <w:tcPr>
            <w:tcW w:w="2041" w:type="dxa"/>
          </w:tcPr>
          <w:p w:rsidR="00505632" w:rsidRDefault="00505632" w:rsidP="00AD4E52">
            <w:pPr>
              <w:pStyle w:val="CellColumn"/>
              <w:jc w:val="right"/>
            </w:pPr>
            <w:r>
              <w:rPr>
                <w:rFonts w:cs="Times New Roman"/>
              </w:rPr>
              <w:t>22.793.000.000</w:t>
            </w:r>
          </w:p>
        </w:tc>
        <w:tc>
          <w:tcPr>
            <w:tcW w:w="2041" w:type="dxa"/>
          </w:tcPr>
          <w:p w:rsidR="00505632" w:rsidRDefault="00505632" w:rsidP="00AD4E52">
            <w:pPr>
              <w:pStyle w:val="CellColumn"/>
              <w:jc w:val="right"/>
            </w:pPr>
            <w:r>
              <w:rPr>
                <w:rFonts w:cs="Times New Roman"/>
              </w:rPr>
              <w:t>22.790.419.037</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104,4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mirovinskom osiguranju (Narodne novine, br. 157/2013, 151/2014, 33/2015, 93/2015 i 120/2016)</w:t>
      </w:r>
    </w:p>
    <w:p w:rsidR="00505632" w:rsidRDefault="00505632" w:rsidP="00505632">
      <w:pPr>
        <w:pStyle w:val="Heading8"/>
        <w:jc w:val="left"/>
      </w:pPr>
      <w:r>
        <w:t>Opis aktivnosti</w:t>
      </w:r>
    </w:p>
    <w:p w:rsidR="00505632" w:rsidRDefault="00505632" w:rsidP="00505632">
      <w:r>
        <w:t xml:space="preserve">U programu 4102 Mirovine i mirovinska primanja najveći udio u ukupnim rashodima za mirovine i mirovinska primanja 61,85% čini aktivnost A688046 Mirovine na temelju osiguranja – starosne mirovine koja je planirana u iznosu od 22.793.000.000 kn, a izvršena u iznosu od 22.790.419.037 kn što čini 100,0% planiranih rashoda. U odnosu na 2015. godinu izvršenje je veće za 4,4% zbog usklađivanja mirovina za 0,46% od siječnja i za 0,35% od srpnja 2016. godine te zbog većeg broja korisnika. </w:t>
      </w:r>
    </w:p>
    <w:p w:rsidR="00505632" w:rsidRDefault="00505632" w:rsidP="00505632">
      <w:r>
        <w:t>Ova aktivnost odnosi se na isplatu mirovina korisnicima starosne i prijevremene starosne mirovine, koji su pravo na mirovinu ostvarili na temelju Zakona o mirovinskom osiguranju i korisnicima koji su pravo na invalidsku mirovinu ostvarili zbog opće nesposobnosti za rad jer se prema čl. 175. st. 7. i čl. 58. Zakona o mirovinskom osiguranju to pravo prevodi na starosnu mirovinu s danom navršene starosne dobi.</w:t>
      </w:r>
    </w:p>
    <w:p w:rsidR="00505632" w:rsidRDefault="00505632" w:rsidP="00505632">
      <w:pPr>
        <w:pStyle w:val="Heading4"/>
      </w:pPr>
      <w:r>
        <w:t>A688047 MIROVINE NA TEMELJU OSIGURANJA - INVALIDSKE MIROVINE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A688047-MIROVINE NA TEMELJU OSIGURANJA - INVALIDSKE MIROVINE</w:t>
            </w:r>
          </w:p>
        </w:tc>
        <w:tc>
          <w:tcPr>
            <w:tcW w:w="2041" w:type="dxa"/>
          </w:tcPr>
          <w:p w:rsidR="00505632" w:rsidRDefault="00505632" w:rsidP="00AD4E52">
            <w:pPr>
              <w:pStyle w:val="CellColumn"/>
              <w:jc w:val="right"/>
            </w:pPr>
            <w:r>
              <w:rPr>
                <w:rFonts w:cs="Times New Roman"/>
              </w:rPr>
              <w:t>3.750.119.454</w:t>
            </w:r>
          </w:p>
        </w:tc>
        <w:tc>
          <w:tcPr>
            <w:tcW w:w="2041" w:type="dxa"/>
          </w:tcPr>
          <w:p w:rsidR="00505632" w:rsidRDefault="00505632" w:rsidP="00AD4E52">
            <w:pPr>
              <w:pStyle w:val="CellColumn"/>
              <w:jc w:val="right"/>
            </w:pPr>
            <w:r>
              <w:rPr>
                <w:rFonts w:cs="Times New Roman"/>
              </w:rPr>
              <w:t>3.703.500.000</w:t>
            </w:r>
          </w:p>
        </w:tc>
        <w:tc>
          <w:tcPr>
            <w:tcW w:w="2041" w:type="dxa"/>
          </w:tcPr>
          <w:p w:rsidR="00505632" w:rsidRDefault="00505632" w:rsidP="00AD4E52">
            <w:pPr>
              <w:pStyle w:val="CellColumn"/>
              <w:jc w:val="right"/>
            </w:pPr>
            <w:r>
              <w:rPr>
                <w:rFonts w:cs="Times New Roman"/>
              </w:rPr>
              <w:t>3.702.385.946</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98,7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mirovinskom osiguranju (Narodne novine, br. 157/2013, 151/2014, 33/2015, 93/2015 i 120/16)</w:t>
      </w:r>
    </w:p>
    <w:p w:rsidR="00505632" w:rsidRDefault="00505632" w:rsidP="00505632">
      <w:pPr>
        <w:pStyle w:val="Heading8"/>
        <w:jc w:val="left"/>
      </w:pPr>
      <w:r>
        <w:t>Opis aktivnosti</w:t>
      </w:r>
    </w:p>
    <w:p w:rsidR="00505632" w:rsidRDefault="00505632" w:rsidP="00505632">
      <w:r>
        <w:t xml:space="preserve">U programu 4102 Mirovine i mirovinska primanja značajan udio u ukupnim rashodima za mirovine i mirovinska primanja 10,05% čini aktivnost A688047 Mirovine na temelju osiguranja – invalidske mirovine koja je planirana u iznosu od 3.703.500.000 kn, a izvršena u iznosu od 3.702.385.946 kn što čini 100,0% planiranih rashoda. U odnosu na 2015. godinu izvršenje je manje za 1,3% zbog prevođenja invalidskih mirovina u starosne. </w:t>
      </w:r>
    </w:p>
    <w:p w:rsidR="00505632" w:rsidRDefault="00505632" w:rsidP="00505632">
      <w:r>
        <w:t>Ova aktivnost odnosi se na isplatu mirovina korisnicima invalidske mirovine na temelju Zakona o mirovinskom osiguranju, a kojima je djelomični ili potpuni gubitak radne sposobnosti odnosno profesionalna ili opća nesposobnost za rad nastala zbog bolesti, ozljede izvan rada, ozljede na radu ili profesionalne bolesti.</w:t>
      </w:r>
    </w:p>
    <w:p w:rsidR="00505632" w:rsidRDefault="00505632" w:rsidP="00505632">
      <w:pPr>
        <w:pStyle w:val="Heading4"/>
      </w:pPr>
      <w:r>
        <w:t>A688048 MIROVINE NA TEMELJU OSIGURANJA - OBITELJSKE MIROVINE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A688048-MIROVINE NA TEMELJU OSIGURANJA - OBITELJSKE MIROVINE</w:t>
            </w:r>
          </w:p>
        </w:tc>
        <w:tc>
          <w:tcPr>
            <w:tcW w:w="2041" w:type="dxa"/>
          </w:tcPr>
          <w:p w:rsidR="00505632" w:rsidRDefault="00505632" w:rsidP="00AD4E52">
            <w:pPr>
              <w:pStyle w:val="CellColumn"/>
              <w:jc w:val="right"/>
            </w:pPr>
            <w:r>
              <w:rPr>
                <w:rFonts w:cs="Times New Roman"/>
              </w:rPr>
              <w:t>4.848.774.524</w:t>
            </w:r>
          </w:p>
        </w:tc>
        <w:tc>
          <w:tcPr>
            <w:tcW w:w="2041" w:type="dxa"/>
          </w:tcPr>
          <w:p w:rsidR="00505632" w:rsidRDefault="00505632" w:rsidP="00AD4E52">
            <w:pPr>
              <w:pStyle w:val="CellColumn"/>
              <w:jc w:val="right"/>
            </w:pPr>
            <w:r>
              <w:rPr>
                <w:rFonts w:cs="Times New Roman"/>
              </w:rPr>
              <w:t>4.904.200.000</w:t>
            </w:r>
          </w:p>
        </w:tc>
        <w:tc>
          <w:tcPr>
            <w:tcW w:w="2041" w:type="dxa"/>
          </w:tcPr>
          <w:p w:rsidR="00505632" w:rsidRDefault="00505632" w:rsidP="00AD4E52">
            <w:pPr>
              <w:pStyle w:val="CellColumn"/>
              <w:jc w:val="right"/>
            </w:pPr>
            <w:r>
              <w:rPr>
                <w:rFonts w:cs="Times New Roman"/>
              </w:rPr>
              <w:t>4.903.772.837</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101,1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Zakon o mirovinskom osiguranju (Narodne novine, br. 157/2013, 151/2014, 33/2015, 93/2015 i 120/2016)</w:t>
      </w:r>
    </w:p>
    <w:p w:rsidR="00505632" w:rsidRDefault="00505632" w:rsidP="00505632">
      <w:pPr>
        <w:pStyle w:val="Heading8"/>
        <w:jc w:val="left"/>
      </w:pPr>
      <w:r>
        <w:t>Opis aktivnosti</w:t>
      </w:r>
    </w:p>
    <w:p w:rsidR="00505632" w:rsidRDefault="00505632" w:rsidP="00505632">
      <w:r>
        <w:t>Aktivnost A688048 Mirovine na temelju osiguranja – obiteljske mirovine planirana je u iznosu od 4.904.200.000 kn, a izvršena u iznosu od 4.903.772.838 kn što čini 100,0% planiranih rashoda i 13,31% ukupnih rashoda za mirovine i mirovinska primanja. U odnosu na 2015. godinu izvršenje je veće za 1,1%.</w:t>
      </w:r>
    </w:p>
    <w:p w:rsidR="00505632" w:rsidRDefault="00505632" w:rsidP="00505632">
      <w:pPr>
        <w:pStyle w:val="Heading4"/>
      </w:pPr>
      <w:r>
        <w:t>A753010 MIROVINE HRVATSKIH BRANITELJA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A753010-MIROVINE HRVATSKIH BRANITELJA</w:t>
            </w:r>
          </w:p>
        </w:tc>
        <w:tc>
          <w:tcPr>
            <w:tcW w:w="2041" w:type="dxa"/>
          </w:tcPr>
          <w:p w:rsidR="00505632" w:rsidRDefault="00505632" w:rsidP="00AD4E52">
            <w:pPr>
              <w:pStyle w:val="CellColumn"/>
              <w:jc w:val="right"/>
            </w:pPr>
            <w:r>
              <w:rPr>
                <w:rFonts w:cs="Times New Roman"/>
              </w:rPr>
              <w:t>4.645.359.190</w:t>
            </w:r>
          </w:p>
        </w:tc>
        <w:tc>
          <w:tcPr>
            <w:tcW w:w="2041" w:type="dxa"/>
          </w:tcPr>
          <w:p w:rsidR="00505632" w:rsidRDefault="00505632" w:rsidP="00AD4E52">
            <w:pPr>
              <w:pStyle w:val="CellColumn"/>
              <w:jc w:val="right"/>
            </w:pPr>
            <w:r>
              <w:rPr>
                <w:rFonts w:cs="Times New Roman"/>
              </w:rPr>
              <w:t>4.067.650.000</w:t>
            </w:r>
          </w:p>
        </w:tc>
        <w:tc>
          <w:tcPr>
            <w:tcW w:w="2041" w:type="dxa"/>
          </w:tcPr>
          <w:p w:rsidR="00505632" w:rsidRDefault="00505632" w:rsidP="00AD4E52">
            <w:pPr>
              <w:pStyle w:val="CellColumn"/>
              <w:jc w:val="right"/>
            </w:pPr>
            <w:r>
              <w:rPr>
                <w:rFonts w:cs="Times New Roman"/>
              </w:rPr>
              <w:t>4.067.650.000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87,6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pravima hrvatskih branitelja iz Domovinskog rata i članova njihovih obitelji (Narodne novine, br. 174/2004, 92/2005, 107/2007, 65/2009, 137/2009, 146/2010, 55/2011, 140/2012, 33/2013, 148/2013 i 92/2014) </w:t>
      </w:r>
    </w:p>
    <w:p w:rsidR="00505632" w:rsidRDefault="00505632" w:rsidP="00505632">
      <w:r>
        <w:t xml:space="preserve">- Ugovor između Republike Hrvatske i Bosne i Hercegovine o suradnji na području prava stradalnika rata u Bosni i Hercegovini (Narodne novine – dodatak Međunarodni ugovor, br. 2/2006) </w:t>
      </w:r>
    </w:p>
    <w:p w:rsidR="00505632" w:rsidRDefault="00505632" w:rsidP="00505632">
      <w:r>
        <w:t xml:space="preserve">- Zakon o mirovinskom osiguranju (Narodne novine, br. 157/2013, 151/2014, 33/2015, 93/2015 i 120/2016) </w:t>
      </w:r>
    </w:p>
    <w:p w:rsidR="00505632" w:rsidRDefault="00505632" w:rsidP="00505632">
      <w:r>
        <w:t>- Zakon o smanjenju mirovina ostvarenih odnosno određenih prema posebnim propisima (Narodne novine, br. 71/2010, 130/2011, 157/2013)</w:t>
      </w:r>
    </w:p>
    <w:p w:rsidR="00505632" w:rsidRDefault="00505632" w:rsidP="00505632">
      <w:pPr>
        <w:pStyle w:val="Heading8"/>
        <w:jc w:val="left"/>
      </w:pPr>
      <w:r>
        <w:t>Opis aktivnosti</w:t>
      </w:r>
    </w:p>
    <w:p w:rsidR="00505632" w:rsidRDefault="00505632" w:rsidP="00505632">
      <w:r>
        <w:t>Aktivnost A753010 Mirovine hrvatskih branitelja planirana je u iznosu od 4.067.650.000 kn, a izvršena u iznosu od 4.067.650.000 kn što čini 100,0% planiranih rashoda i 11,04% ukupnih rashoda za mirovine i mirovinska primanja. U odnosu na 2015. godinu izvršenje je manje za 12,4%. Rashodi za mirovine hrvatskih branitelja smanjeni su radi provedenog razdvajanja mirovina od srpnja 2015. godine, a povećani su rashodi na mirovinama ostvarenim prema općem propisu.</w:t>
      </w:r>
    </w:p>
    <w:p w:rsidR="00505632" w:rsidRDefault="00505632" w:rsidP="00505632">
      <w:pPr>
        <w:pStyle w:val="Heading2"/>
      </w:pPr>
      <w:r>
        <w:t>08625 Hrvatski zavod za zapošljavanje</w:t>
      </w:r>
    </w:p>
    <w:p w:rsidR="00505632" w:rsidRDefault="00505632" w:rsidP="00505632">
      <w:r>
        <w:t xml:space="preserve">Hrvatski zavod za zapošljavanje je javna ustanova osnovana Zakonom o posredovanju pri zapošljavanju i pravima za vrijeme nezaposlenosti. U okviru svoje djelatnosti Zavod obavlja poslove praćenja, analiziranja i istraživanja gospodarskih, socijalnih i drugih kretanja, zaposlenosti, zapošljavanja i nezaposlenosti, te njihove međusobne utjecaje na temelju čega predlaže mjere za unapređenje zapošljavanja; vodi evidencije o nezaposlenim osobama, posreduje pri zapošljavanju između poslodavaca i osoba koje traže zaposlenje, prati potrebe za radnicima, njihovo zapošljavanje te u tom smislu surađuje s poslodavcima; u suradnji s poslodavcima, obrazovnim ustanovama i drugim pravnim osobama organizira i provodi programe profesionalnog usmjeravanja, obrazovanja te druge oblike aktivne politike zapošljavanja; rješava o pravima po osnovi nezaposlenosti i obavlja mnoge druge poslove. </w:t>
      </w:r>
    </w:p>
    <w:p w:rsidR="00505632" w:rsidRDefault="00505632" w:rsidP="00505632">
      <w:r>
        <w:t xml:space="preserve">Temeljem svog analitičko-statističkog i istraživačkog rada, te praćenja kretanja na tržištu rada Zavod daje podloge za donošenje strateških odluka u području rada i zapošljavanja. U skladu s tim temeljna usmjerenja Zavoda su praćenje i povezivanje svih zainteresiranih strana na tržištu rada; orijentiranost na klijente: na prvom mjestu poslodavce i nezaposlene osobe, te ostale tražitelje zaposlenja; orijentiranost na politiku zapošljavanja, a ne samo osiguranje socijalnih – materijalnih i nematerijalnih prava; praćenje svjetskih i europskih trendova modernog tržišta rada uz aktivnu ulogu svakog pojedinaca; otvorenost ka učenju, unaprjeđenju postojećih i usvajanju novih znanja iz područja tržišta rada. </w:t>
      </w:r>
    </w:p>
    <w:p w:rsidR="00505632" w:rsidRDefault="00505632" w:rsidP="00505632">
      <w:r>
        <w:t xml:space="preserve">Tijekom 2016. godine nastavljen je trend smanjenja nezaposlenosti, što se odrazilo i na ukupan broj korisnika novčane naknade. Na kraju 2016. godine na Zavodu je bilo prijavljeno 236.617 nezaposlenih, odnosno 17,1% manje nego u na kraju 2015. Korisnika novčane naknade je u prosincu 2016. bilo 10,0% manje nego u prosincu 2015. godine.  </w:t>
      </w:r>
    </w:p>
    <w:p w:rsidR="00505632" w:rsidRDefault="00505632" w:rsidP="00505632">
      <w:r>
        <w:t>Osiguranim sredstvima isplaćivale su se novčane naknade i druga prava koja ostvaruju nezaposlene osobe; provodile mjere aktivne politike zapošljavanja s ciljem poticanja zapošljavanja, skraćivanja vremena nezaposlenosti, očuvanja radnih mjesta te podizanja konkurentnosti radne snage i  smanjenja nerazmjera ponude i potražnje na tržištu 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08625-Hrvatski zavod za zapošljavanje</w:t>
            </w:r>
          </w:p>
        </w:tc>
        <w:tc>
          <w:tcPr>
            <w:tcW w:w="2041" w:type="dxa"/>
            <w:vAlign w:val="top"/>
          </w:tcPr>
          <w:p w:rsidR="00505632" w:rsidRDefault="00505632" w:rsidP="00AD4E52">
            <w:pPr>
              <w:pStyle w:val="CellColumn"/>
              <w:jc w:val="right"/>
            </w:pPr>
            <w:r>
              <w:rPr>
                <w:rFonts w:cs="Times New Roman"/>
              </w:rPr>
              <w:t>2.471.481.679</w:t>
            </w:r>
          </w:p>
        </w:tc>
        <w:tc>
          <w:tcPr>
            <w:tcW w:w="2041" w:type="dxa"/>
            <w:vAlign w:val="top"/>
          </w:tcPr>
          <w:p w:rsidR="00505632" w:rsidRDefault="00505632" w:rsidP="00AD4E52">
            <w:pPr>
              <w:pStyle w:val="CellColumn"/>
              <w:jc w:val="right"/>
            </w:pPr>
            <w:r>
              <w:rPr>
                <w:rFonts w:cs="Times New Roman"/>
              </w:rPr>
              <w:t>2.397.240.195</w:t>
            </w:r>
          </w:p>
        </w:tc>
        <w:tc>
          <w:tcPr>
            <w:tcW w:w="2041" w:type="dxa"/>
            <w:vAlign w:val="top"/>
          </w:tcPr>
          <w:p w:rsidR="00505632" w:rsidRDefault="00505632" w:rsidP="00AD4E52">
            <w:pPr>
              <w:pStyle w:val="CellColumn"/>
              <w:jc w:val="right"/>
            </w:pPr>
            <w:r>
              <w:rPr>
                <w:rFonts w:cs="Times New Roman"/>
              </w:rPr>
              <w:t>2.270.045.287</w:t>
            </w:r>
          </w:p>
        </w:tc>
        <w:tc>
          <w:tcPr>
            <w:tcW w:w="1224" w:type="dxa"/>
            <w:vAlign w:val="top"/>
          </w:tcPr>
          <w:p w:rsidR="00505632" w:rsidRDefault="00505632" w:rsidP="00AD4E52">
            <w:pPr>
              <w:pStyle w:val="CellColumn"/>
              <w:jc w:val="right"/>
            </w:pPr>
            <w:r>
              <w:rPr>
                <w:rFonts w:cs="Times New Roman"/>
              </w:rPr>
              <w:t>94,7</w:t>
            </w:r>
          </w:p>
        </w:tc>
        <w:tc>
          <w:tcPr>
            <w:tcW w:w="1224" w:type="dxa"/>
            <w:vAlign w:val="top"/>
          </w:tcPr>
          <w:p w:rsidR="00505632" w:rsidRDefault="00505632" w:rsidP="00AD4E52">
            <w:pPr>
              <w:pStyle w:val="CellColumn"/>
              <w:jc w:val="right"/>
            </w:pPr>
            <w:r>
              <w:rPr>
                <w:rFonts w:cs="Times New Roman"/>
              </w:rPr>
              <w:t>91,8</w:t>
            </w:r>
          </w:p>
        </w:tc>
      </w:tr>
      <w:tr w:rsidR="00505632" w:rsidTr="00AD4E52">
        <w:trPr>
          <w:jc w:val="center"/>
        </w:trPr>
        <w:tc>
          <w:tcPr>
            <w:tcW w:w="1632" w:type="dxa"/>
          </w:tcPr>
          <w:p w:rsidR="00505632" w:rsidRDefault="00505632" w:rsidP="00AD4E52">
            <w:pPr>
              <w:jc w:val="left"/>
            </w:pPr>
            <w:r>
              <w:t>3301-AKTIVNA POLITIKA TRŽIŠTA RADA</w:t>
            </w:r>
          </w:p>
        </w:tc>
        <w:tc>
          <w:tcPr>
            <w:tcW w:w="2041" w:type="dxa"/>
          </w:tcPr>
          <w:p w:rsidR="00505632" w:rsidRDefault="00505632" w:rsidP="00AD4E52">
            <w:pPr>
              <w:jc w:val="right"/>
            </w:pPr>
            <w:r>
              <w:t>939.477.480</w:t>
            </w:r>
          </w:p>
        </w:tc>
        <w:tc>
          <w:tcPr>
            <w:tcW w:w="2041" w:type="dxa"/>
          </w:tcPr>
          <w:p w:rsidR="00505632" w:rsidRDefault="00505632" w:rsidP="00AD4E52">
            <w:pPr>
              <w:jc w:val="right"/>
            </w:pPr>
            <w:r>
              <w:t>920.733.095</w:t>
            </w:r>
          </w:p>
        </w:tc>
        <w:tc>
          <w:tcPr>
            <w:tcW w:w="2041" w:type="dxa"/>
          </w:tcPr>
          <w:p w:rsidR="00505632" w:rsidRDefault="00505632" w:rsidP="00AD4E52">
            <w:pPr>
              <w:jc w:val="right"/>
            </w:pPr>
            <w:r>
              <w:t>826.055.498</w:t>
            </w:r>
          </w:p>
        </w:tc>
        <w:tc>
          <w:tcPr>
            <w:tcW w:w="1224" w:type="dxa"/>
          </w:tcPr>
          <w:p w:rsidR="00505632" w:rsidRDefault="00505632" w:rsidP="00AD4E52">
            <w:pPr>
              <w:jc w:val="right"/>
            </w:pPr>
            <w:r>
              <w:t>89,7</w:t>
            </w:r>
          </w:p>
        </w:tc>
        <w:tc>
          <w:tcPr>
            <w:tcW w:w="1224" w:type="dxa"/>
          </w:tcPr>
          <w:p w:rsidR="00505632" w:rsidRDefault="00505632" w:rsidP="00AD4E52">
            <w:pPr>
              <w:jc w:val="right"/>
            </w:pPr>
            <w:r>
              <w:t>87,9</w:t>
            </w:r>
          </w:p>
        </w:tc>
      </w:tr>
      <w:tr w:rsidR="00505632" w:rsidTr="00AD4E52">
        <w:trPr>
          <w:jc w:val="center"/>
        </w:trPr>
        <w:tc>
          <w:tcPr>
            <w:tcW w:w="1632" w:type="dxa"/>
          </w:tcPr>
          <w:p w:rsidR="00505632" w:rsidRDefault="00505632" w:rsidP="00AD4E52">
            <w:pPr>
              <w:jc w:val="left"/>
            </w:pPr>
            <w:r>
              <w:t>4011-MATERIJALNO PRAVNA ZAŠTITA</w:t>
            </w:r>
          </w:p>
        </w:tc>
        <w:tc>
          <w:tcPr>
            <w:tcW w:w="2041" w:type="dxa"/>
          </w:tcPr>
          <w:p w:rsidR="00505632" w:rsidRDefault="00505632" w:rsidP="00AD4E52">
            <w:pPr>
              <w:jc w:val="right"/>
            </w:pPr>
            <w:r>
              <w:t>1.532.004.199</w:t>
            </w:r>
          </w:p>
        </w:tc>
        <w:tc>
          <w:tcPr>
            <w:tcW w:w="2041" w:type="dxa"/>
          </w:tcPr>
          <w:p w:rsidR="00505632" w:rsidRDefault="00505632" w:rsidP="00AD4E52">
            <w:pPr>
              <w:jc w:val="right"/>
            </w:pPr>
            <w:r>
              <w:t>1.476.507.100</w:t>
            </w:r>
          </w:p>
        </w:tc>
        <w:tc>
          <w:tcPr>
            <w:tcW w:w="2041" w:type="dxa"/>
          </w:tcPr>
          <w:p w:rsidR="00505632" w:rsidRDefault="00505632" w:rsidP="00AD4E52">
            <w:pPr>
              <w:jc w:val="right"/>
            </w:pPr>
            <w:r>
              <w:t>1.443.989.789</w:t>
            </w:r>
          </w:p>
        </w:tc>
        <w:tc>
          <w:tcPr>
            <w:tcW w:w="1224" w:type="dxa"/>
          </w:tcPr>
          <w:p w:rsidR="00505632" w:rsidRDefault="00505632" w:rsidP="00AD4E52">
            <w:pPr>
              <w:jc w:val="right"/>
            </w:pPr>
            <w:r>
              <w:t>97,8</w:t>
            </w:r>
          </w:p>
        </w:tc>
        <w:tc>
          <w:tcPr>
            <w:tcW w:w="1224" w:type="dxa"/>
          </w:tcPr>
          <w:p w:rsidR="00505632" w:rsidRDefault="00505632" w:rsidP="00AD4E52">
            <w:pPr>
              <w:jc w:val="right"/>
            </w:pPr>
            <w:r>
              <w:t>94,3</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3"/>
      </w:pPr>
      <w:r>
        <w:rPr>
          <w:rFonts w:cs="Times New Roman"/>
        </w:rPr>
        <w:t>3301 AKTIVNA POLITIKA TRŽIŠTA 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3301-AKTIVNA POLITIKA TRŽIŠTA RADA</w:t>
            </w:r>
          </w:p>
        </w:tc>
        <w:tc>
          <w:tcPr>
            <w:tcW w:w="2041" w:type="dxa"/>
          </w:tcPr>
          <w:p w:rsidR="00505632" w:rsidRDefault="00505632" w:rsidP="00AD4E52">
            <w:pPr>
              <w:pStyle w:val="CellColumn"/>
              <w:jc w:val="right"/>
            </w:pPr>
            <w:r>
              <w:rPr>
                <w:rFonts w:cs="Times New Roman"/>
              </w:rPr>
              <w:t>939.477.480</w:t>
            </w:r>
          </w:p>
        </w:tc>
        <w:tc>
          <w:tcPr>
            <w:tcW w:w="2041" w:type="dxa"/>
          </w:tcPr>
          <w:p w:rsidR="00505632" w:rsidRDefault="00505632" w:rsidP="00AD4E52">
            <w:pPr>
              <w:pStyle w:val="CellColumn"/>
              <w:jc w:val="right"/>
            </w:pPr>
            <w:r>
              <w:rPr>
                <w:rFonts w:cs="Times New Roman"/>
              </w:rPr>
              <w:t>920.733.095</w:t>
            </w:r>
          </w:p>
        </w:tc>
        <w:tc>
          <w:tcPr>
            <w:tcW w:w="2041" w:type="dxa"/>
          </w:tcPr>
          <w:p w:rsidR="00505632" w:rsidRDefault="00505632" w:rsidP="00AD4E52">
            <w:pPr>
              <w:pStyle w:val="CellColumn"/>
              <w:jc w:val="right"/>
            </w:pPr>
            <w:r>
              <w:rPr>
                <w:rFonts w:cs="Times New Roman"/>
              </w:rPr>
              <w:t>826.055.498</w:t>
            </w:r>
          </w:p>
        </w:tc>
        <w:tc>
          <w:tcPr>
            <w:tcW w:w="1224" w:type="dxa"/>
          </w:tcPr>
          <w:p w:rsidR="00505632" w:rsidRDefault="00505632" w:rsidP="00AD4E52">
            <w:pPr>
              <w:pStyle w:val="CellColumn"/>
              <w:jc w:val="right"/>
            </w:pPr>
            <w:r>
              <w:rPr>
                <w:rFonts w:cs="Times New Roman"/>
              </w:rPr>
              <w:t>89,7</w:t>
            </w:r>
          </w:p>
        </w:tc>
        <w:tc>
          <w:tcPr>
            <w:tcW w:w="1224" w:type="dxa"/>
          </w:tcPr>
          <w:p w:rsidR="00505632" w:rsidRDefault="00505632" w:rsidP="00AD4E52">
            <w:pPr>
              <w:pStyle w:val="CellColumn"/>
              <w:jc w:val="right"/>
            </w:pPr>
            <w:r>
              <w:rPr>
                <w:rFonts w:cs="Times New Roman"/>
              </w:rPr>
              <w:t>87,9</w:t>
            </w:r>
          </w:p>
        </w:tc>
      </w:tr>
    </w:tbl>
    <w:p w:rsidR="00505632" w:rsidRDefault="00505632" w:rsidP="00505632">
      <w:pPr>
        <w:jc w:val="left"/>
      </w:pPr>
    </w:p>
    <w:p w:rsidR="00505632" w:rsidRDefault="00505632" w:rsidP="00505632">
      <w:r>
        <w:t xml:space="preserve">Hrvatski zavod za zapošljavanje, uz druge nadležne pravne osobe, provodi politike zapošljavanja kojima snažno utječe na konkurentnost gospodarstva zemlje. Borba protiv nezaposlenosti i nastavak reformi tržišta rada zahtijeva fokusiranje na poticanje zaposlenosti i aktivnosti koje su usmjerene na skraćivanje razdoblja nezaposlenosti te na kontinuirano podizanje konkurentnosti i zapošljivosti radne snage. </w:t>
      </w:r>
    </w:p>
    <w:p w:rsidR="00505632" w:rsidRDefault="00505632" w:rsidP="00505632">
      <w:r>
        <w:t xml:space="preserve">Mjerama aktivne politike zapošljavanja nastoji se pomoći nezaposlenima da se ponovno zaposle, da uđu u svijet obrazovanja radi stjecanja znanja i vještina potrebnih za tržište rada kako bi se podigla razina njihove zapošljivosti, a zaposlenima da zadrže svoj posao.  </w:t>
      </w:r>
    </w:p>
    <w:p w:rsidR="00505632" w:rsidRDefault="00505632" w:rsidP="00505632">
      <w:r>
        <w:t xml:space="preserve">Aktivnostima profesionalnog usmjeravanja pruža se pomoć djeci, mladeži, nezaposlenim, zaposlenim i drugim osobama pri izboru zvanja i zanimanja. Profesionalno usmjeravanje ostvaruje se informiranjem, savjetovanjem i praćenjem profesionalnog razvoja navedenih osoba, a aktivnosti koje Zavod provodi u tu svrhu odnose se na izradu različitog informativnog materijala te upotrebu različitog psihodijagnostičkog instrumentarija. </w:t>
      </w:r>
    </w:p>
    <w:p w:rsidR="00505632" w:rsidRDefault="00505632" w:rsidP="00505632">
      <w:r>
        <w:t>Obzirom na stalnu opredijeljenost unaprjeđenju usluga koje Zavod pruža svojim korisnicima, prvenstveno nezaposlenim osobama i poslodavcima, ali i drugim institucijama u okruženju, Zavod ulaže u tehnološki razvoj te organizaciju i dizajn poslovnih procesa, u kontinuirano obrazovanje svojih zaposlenika u cilju razvoja i unapređenja njihovih kompetencija, stoga su u okviru ovog programa financirani i rashodi za zaposlene, materijalni i financijski rashodi te rashodi za nabavu nefinancijske imovine potrebni za redovno obavljanje djelatnosti.</w:t>
      </w:r>
    </w:p>
    <w:p w:rsidR="00505632" w:rsidRDefault="00505632" w:rsidP="00505632">
      <w:pPr>
        <w:pStyle w:val="Heading8"/>
        <w:jc w:val="left"/>
      </w:pPr>
      <w:r>
        <w:t>Cilj 1. Osigurati pokretljivu i konkurentnu radnu snagu</w:t>
      </w:r>
    </w:p>
    <w:p w:rsidR="00505632" w:rsidRDefault="00505632" w:rsidP="00505632">
      <w:pPr>
        <w:pStyle w:val="Heading8"/>
        <w:jc w:val="left"/>
      </w:pPr>
      <w:r>
        <w:t>Opis provedbe cilja programa</w:t>
      </w:r>
    </w:p>
    <w:p w:rsidR="00505632" w:rsidRDefault="00505632" w:rsidP="00505632">
      <w:r>
        <w:t xml:space="preserve">Proteklih nekoliko godina Republiku Hrvatsku kao i njeno šire okruženje pratio je stalni pad bruto društvenog proizvoda, što se izravno reflektiralo na tržište rada a time i na Hrvatski zavod za zapošljavanje, kao glavnu instituciju za pružanje usluga na tržištu rada. Pojačan ulazak u nezaposlenost što zbog posljedice krize, što zbog posljedice restrukturiranja poduzeća tražio je prilagodbu usluga i aktivnosti koje pruža Zavod.  </w:t>
      </w:r>
    </w:p>
    <w:p w:rsidR="00505632" w:rsidRDefault="00505632" w:rsidP="00505632">
      <w:r>
        <w:t xml:space="preserve">Novi izvori financiranja kroz EU fondove te novi program Europske unije Garancija za mlade, utjecali su na prilagodbu provedbe mjera aktivne politike zapošljavanja u 2016. godini i to kreiranjem novih mjera, povećanim obuhvatom korisnika i promjenama uvjeta financiranja kako bi se uvažile potrebe korisnika i na taj način omogućilo rješavanje pitanja nezaposlenosti. Zapošljavanjem kroz javne radove kao i zapošljavanjem uz potpore za zapošljavanje omogućeno je teže zapošljivim osobama stjecanje radnih vještina kod poslodavca, te ostanak u zaposlenosti i nakon perioda sufinanciranja. Stručnim osposobljavanjem za rad bez zasnivanja radnog odnosa omogućeno je mladim osobama stjecanje potrebnog radnog iskustva za zapošljavanje. Obrazovanjem nezaposlenih osoba povećana su stručna znanja i vještine, kako bi se mogle uključiti na tržište rada. </w:t>
      </w:r>
    </w:p>
    <w:p w:rsidR="00505632" w:rsidRDefault="00505632" w:rsidP="00505632">
      <w:r>
        <w:t xml:space="preserve">Značajna pažnja dana je razvoju novih usluga i aktivnosti namijenjenih korisnicima Zavoda, kako kroz nove kanale pružanja usluga tako i stvaranjem novih organizacijskih oblika, kao što su Centri za mlade i Centri za informiranje i savjetovanje o karijeri.  </w:t>
      </w:r>
    </w:p>
    <w:p w:rsidR="00505632" w:rsidRDefault="00505632" w:rsidP="00505632">
      <w:r>
        <w:t>Također, provedeno je godišnje istraživanje o budućim potrebama na tržištu rada, surađivalo se s ostalim dionicima na tržištu rada na lokalnoj i regionalnoj razini kroz održavanje konferencija, okruglih stolova, seminara i kreiranjem zajedničkih projekata, a sve u svrhu rješavanja pitanja nezaposlenosti osoba koje se nalaze u evidenciji Zavoda.</w:t>
      </w:r>
    </w:p>
    <w:p w:rsidR="00505632" w:rsidRDefault="00505632" w:rsidP="00505632"/>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zapošljavanja osoba uključenih u mjere tržišta rada 12 mjeseci nakon intervencije</w:t>
            </w:r>
          </w:p>
        </w:tc>
        <w:tc>
          <w:tcPr>
            <w:tcW w:w="2551" w:type="dxa"/>
          </w:tcPr>
          <w:p w:rsidR="00505632" w:rsidRDefault="00505632" w:rsidP="00AD4E52">
            <w:pPr>
              <w:pStyle w:val="CellColumn"/>
              <w:jc w:val="left"/>
            </w:pPr>
            <w:r>
              <w:rPr>
                <w:rFonts w:cs="Times New Roman"/>
              </w:rPr>
              <w:t>Zadržati broj osoba koje su ostale u zapošljavanju nakon razdoblja sufinanciranja te povećati broj osoba koje se zapošlajvaju nakon obrazovanja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46</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48</w:t>
            </w:r>
          </w:p>
        </w:tc>
        <w:tc>
          <w:tcPr>
            <w:tcW w:w="1020" w:type="dxa"/>
          </w:tcPr>
          <w:p w:rsidR="00505632" w:rsidRDefault="00505632" w:rsidP="00AD4E52">
            <w:pPr>
              <w:pStyle w:val="CellColumn"/>
              <w:jc w:val="right"/>
            </w:pPr>
            <w:r>
              <w:rPr>
                <w:rFonts w:cs="Times New Roman"/>
              </w:rPr>
              <w:t>54,7</w:t>
            </w:r>
          </w:p>
        </w:tc>
      </w:tr>
    </w:tbl>
    <w:p w:rsidR="00505632" w:rsidRDefault="00505632" w:rsidP="00505632">
      <w:pPr>
        <w:jc w:val="left"/>
      </w:pPr>
    </w:p>
    <w:p w:rsidR="00505632" w:rsidRDefault="00505632" w:rsidP="00505632">
      <w:pPr>
        <w:pStyle w:val="Heading4"/>
      </w:pPr>
      <w:r>
        <w:t>A689023 AKTIVNA POLITIKA ZAPOŠLJAVANJA</w:t>
      </w:r>
    </w:p>
    <w:tbl>
      <w:tblPr>
        <w:tblStyle w:val="StilTablice"/>
        <w:tblW w:w="10206" w:type="dxa"/>
        <w:jc w:val="center"/>
        <w:tblLook w:val="04A0" w:firstRow="1" w:lastRow="0" w:firstColumn="1" w:lastColumn="0" w:noHBand="0" w:noVBand="1"/>
      </w:tblPr>
      <w:tblGrid>
        <w:gridCol w:w="1748"/>
        <w:gridCol w:w="2008"/>
        <w:gridCol w:w="2008"/>
        <w:gridCol w:w="2008"/>
        <w:gridCol w:w="1215"/>
        <w:gridCol w:w="121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A689023-AKTIVNA POLITIKA ZAPOŠLJAVANJA</w:t>
            </w:r>
          </w:p>
        </w:tc>
        <w:tc>
          <w:tcPr>
            <w:tcW w:w="2041" w:type="dxa"/>
          </w:tcPr>
          <w:p w:rsidR="00505632" w:rsidRDefault="00505632" w:rsidP="00AD4E52">
            <w:pPr>
              <w:pStyle w:val="CellColumn"/>
              <w:jc w:val="right"/>
            </w:pPr>
            <w:r>
              <w:rPr>
                <w:rFonts w:cs="Times New Roman"/>
              </w:rPr>
              <w:t>526.306.560</w:t>
            </w:r>
          </w:p>
        </w:tc>
        <w:tc>
          <w:tcPr>
            <w:tcW w:w="2041" w:type="dxa"/>
          </w:tcPr>
          <w:p w:rsidR="00505632" w:rsidRDefault="00505632" w:rsidP="00AD4E52">
            <w:pPr>
              <w:pStyle w:val="CellColumn"/>
              <w:jc w:val="right"/>
            </w:pPr>
            <w:r>
              <w:rPr>
                <w:rFonts w:cs="Times New Roman"/>
              </w:rPr>
              <w:t>264.230.363</w:t>
            </w:r>
          </w:p>
        </w:tc>
        <w:tc>
          <w:tcPr>
            <w:tcW w:w="2041" w:type="dxa"/>
          </w:tcPr>
          <w:p w:rsidR="00505632" w:rsidRDefault="00505632" w:rsidP="00AD4E52">
            <w:pPr>
              <w:pStyle w:val="CellColumn"/>
              <w:jc w:val="right"/>
            </w:pPr>
            <w:r>
              <w:rPr>
                <w:rFonts w:cs="Times New Roman"/>
              </w:rPr>
              <w:t>236.271.412</w:t>
            </w:r>
          </w:p>
        </w:tc>
        <w:tc>
          <w:tcPr>
            <w:tcW w:w="1224" w:type="dxa"/>
          </w:tcPr>
          <w:p w:rsidR="00505632" w:rsidRDefault="00505632" w:rsidP="00AD4E52">
            <w:pPr>
              <w:pStyle w:val="CellColumn"/>
              <w:jc w:val="right"/>
            </w:pPr>
            <w:r>
              <w:rPr>
                <w:rFonts w:cs="Times New Roman"/>
              </w:rPr>
              <w:t>89,4</w:t>
            </w:r>
          </w:p>
        </w:tc>
        <w:tc>
          <w:tcPr>
            <w:tcW w:w="1224" w:type="dxa"/>
          </w:tcPr>
          <w:p w:rsidR="00505632" w:rsidRDefault="00505632" w:rsidP="00AD4E52">
            <w:pPr>
              <w:pStyle w:val="CellColumn"/>
              <w:jc w:val="right"/>
            </w:pPr>
            <w:r>
              <w:rPr>
                <w:rFonts w:cs="Times New Roman"/>
              </w:rPr>
              <w:t>44,9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posredovanju pri zapošljavanju i pravima za vrijeme nezaposlenosti, Zakon o poticanju zapošljavanja, Akcijski plan za provedbu nacionalne strategije za uključivanje Roma 2013. – 2020.</w:t>
      </w:r>
    </w:p>
    <w:p w:rsidR="00505632" w:rsidRDefault="00505632" w:rsidP="00505632">
      <w:pPr>
        <w:pStyle w:val="Heading8"/>
        <w:jc w:val="left"/>
      </w:pPr>
      <w:r>
        <w:t>Opis aktivnosti</w:t>
      </w:r>
    </w:p>
    <w:p w:rsidR="00505632" w:rsidRDefault="00505632" w:rsidP="00505632">
      <w:r>
        <w:t xml:space="preserve">U periodu visoke nezaposlenosti i kada nema dovoljno radnih mjesta na tržištu rada mjere aktivne politike zapošljavanja imaju korektivni faktor koji omogućuje pristup tržištu rada nezaposlenim osobama koje bi bez tih mjera vjerojatno ostale u nezaposlenosti.  </w:t>
      </w:r>
    </w:p>
    <w:p w:rsidR="00505632" w:rsidRDefault="00505632" w:rsidP="00505632">
      <w:r>
        <w:t xml:space="preserve">Provođenje aktivnih mjera na tržištu rada usmjeren je u dva pravca – omogućiti lakši pristup zapošljavanju teže zapošljivim osobama te smanjiti nesrazmjer ponude i potražnje za zanimanjima i vještinama na tržištu rada. Poticanjem zapošljavanja kroz dodjelu potpora djeluje se na skupine nezaposlenih i neaktivnih osoba koje zbog svoje razine obrazovanja, nedostataka radnog iskustva, godina života, obiteljskih i socijalnih uvjeta nisu konkurentni, a niti pokretljivi na tržištu rada, te se sufinanciranjem plaće omogućava lakši pristup zapošljavanju, a poslodavcima olakšava zapošljavanje kroz smanjenje troškova rada. Kroz potpore za samozapošljavanje djeluje se izravno na stvaranje novih radnih mjesta, a svaki samozaposleni poduzetnički pothvat u skoroj budućnosti može rezultirati stvaranjem novih radnih mjesta i novim zapošljavanjem, što u dosadašnjem iskustvu provedbe mjere samozapošljavanja nije bila rijetkost. </w:t>
      </w:r>
    </w:p>
    <w:p w:rsidR="00505632" w:rsidRDefault="00505632" w:rsidP="00505632">
      <w:r>
        <w:t xml:space="preserve">Osim potpora za zapošljavanje Zavod provodi i mjere za obrazovanje nezaposlenih i stručno osposobljavanje za rad bez zasnivanja radnog odnosa. Cilj ovih mjera je djelovanjem na nezaposlene osobe povećati njihovu zapošljivost te omogućiti stjecanje stručnih znanja i vještina deficitranih na tržištu rada čime se izravno djeluje na usklađivanje ponude i potražnje na lokalnom tržištu rada </w:t>
      </w:r>
    </w:p>
    <w:p w:rsidR="00505632" w:rsidRDefault="00505632" w:rsidP="00505632">
      <w:r>
        <w:t xml:space="preserve">Stručnim osposobljavanjem za rad bez zasnivanja radnog odnosa omogućava se mladim osobama stjecanje potrebnog radnog iskustva za zapošljavanje te stjecanje samostalnosti u radu kao i procjena da li je stečeno zvanje pravi izbor ili trebaju nastaviti školovanje. </w:t>
      </w:r>
    </w:p>
    <w:p w:rsidR="00505632" w:rsidRDefault="00505632" w:rsidP="00505632">
      <w:r>
        <w:t xml:space="preserve">Kroz javne radove koji se provode u suradnji sa lokalnom upravom, udrugama civilnog društva i drugih dionika direktno se stvaraju nova radna mjesta koja imaju dvojaku funkciju - utječe se na aktivaciju najteže zapošljivih skupina nezaposlenih osoba i povećanje njihove zapošljivosti, ali i korist za lokalnu zajednicu radi povećanja kvalitete života na lokalnom području.  </w:t>
      </w:r>
    </w:p>
    <w:p w:rsidR="00505632" w:rsidRDefault="00505632" w:rsidP="00505632">
      <w:r>
        <w:t xml:space="preserve">U programima aktivne politike zapošljavanja u 2016. godini ukupno je bilo uključeno 70.728  korisnika, što je 9,2% više nego prethodne godine. Tijekom 2016. godine uključeno je 37.707 novih osoba, a istodobno je iz programa izašlo 43.838 osoba. Tako je na kraju prosinca 2016. bilo 26.890 aktivnih korisnika mjera, od čega 1.767 korisnika iz prethodnih godina te 25.123 korisnika iz tekuće godine. </w:t>
      </w:r>
    </w:p>
    <w:p w:rsidR="00505632" w:rsidRDefault="00505632" w:rsidP="00505632">
      <w:r>
        <w:t>Obuhvat pojedinih skupina novouključenih korisnika mjera u odnosu na prosječni broj nezaposlenih iste skupine najizraženiji je kod osoba visokoškolske razine obrazovanja (38 %), zatim mladih osoba u dobi 25-29 godina (34,9 %) i trajanja nezaposlenosti 6 – 12  mjeseci (17,8 %), a s obzirom na spol, mjerama je obuhvaćen nešto veći broj žena (11,9 %) nego muškaraca (10,1 %). Od ukupnoga broja novouključenih korisnika mjera u 2016. godini 1.094 su osobe s invaliditetom (12,9 % od prosječnoga broja nezaposlenih osoba s invaliditetom), a 1.935 osoba su hrvatski branitelji (6,9 % od prosječnoga broja nezaposlenih branitelja).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osoba zaposlenih ili obrazovanih uz potpore za zapošljavanje i usavršavanje i potpore za samozapošljavanje</w:t>
            </w:r>
          </w:p>
        </w:tc>
        <w:tc>
          <w:tcPr>
            <w:tcW w:w="2551" w:type="dxa"/>
          </w:tcPr>
          <w:p w:rsidR="00505632" w:rsidRDefault="00505632" w:rsidP="00AD4E52">
            <w:pPr>
              <w:pStyle w:val="CellColumn"/>
              <w:jc w:val="left"/>
            </w:pPr>
            <w:r>
              <w:rPr>
                <w:rFonts w:cs="Times New Roman"/>
              </w:rPr>
              <w:t>Povećati broj osoba zaposlenih ili obrazovanih uz potpore za zapošljavanje i usavršavanje i potpore za samozapošljavanje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9.319</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3.895</w:t>
            </w:r>
          </w:p>
        </w:tc>
        <w:tc>
          <w:tcPr>
            <w:tcW w:w="1020" w:type="dxa"/>
          </w:tcPr>
          <w:p w:rsidR="00505632" w:rsidRDefault="00505632" w:rsidP="00AD4E52">
            <w:pPr>
              <w:pStyle w:val="CellColumn"/>
              <w:jc w:val="right"/>
            </w:pPr>
            <w:r>
              <w:rPr>
                <w:rFonts w:cs="Times New Roman"/>
              </w:rPr>
              <w:t>6.466</w:t>
            </w:r>
          </w:p>
        </w:tc>
      </w:tr>
      <w:tr w:rsidR="00505632" w:rsidTr="00AD4E52">
        <w:trPr>
          <w:jc w:val="center"/>
        </w:trPr>
        <w:tc>
          <w:tcPr>
            <w:tcW w:w="2551" w:type="dxa"/>
          </w:tcPr>
          <w:p w:rsidR="00505632" w:rsidRDefault="00505632" w:rsidP="00AD4E52">
            <w:pPr>
              <w:pStyle w:val="CellColumn"/>
              <w:jc w:val="left"/>
            </w:pPr>
            <w:r>
              <w:rPr>
                <w:rFonts w:cs="Times New Roman"/>
              </w:rPr>
              <w:t>Broj osoba uključenih u obrazovanje</w:t>
            </w:r>
          </w:p>
        </w:tc>
        <w:tc>
          <w:tcPr>
            <w:tcW w:w="2551" w:type="dxa"/>
          </w:tcPr>
          <w:p w:rsidR="00505632" w:rsidRDefault="00505632" w:rsidP="00AD4E52">
            <w:pPr>
              <w:pStyle w:val="CellColumn"/>
              <w:jc w:val="left"/>
            </w:pPr>
            <w:r>
              <w:rPr>
                <w:rFonts w:cs="Times New Roman"/>
              </w:rPr>
              <w:t xml:space="preserve">Potrebno je povećati broj osoba uključenih u obrazovanje kako bi bili </w:t>
            </w:r>
          </w:p>
          <w:p w:rsidR="00505632" w:rsidRDefault="00505632" w:rsidP="00AD4E52">
            <w:pPr>
              <w:pStyle w:val="CellColumn"/>
              <w:jc w:val="left"/>
            </w:pPr>
            <w:r>
              <w:rPr>
                <w:rFonts w:cs="Times New Roman"/>
              </w:rPr>
              <w:t>lakše zapošljivi.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1.410</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2.100</w:t>
            </w:r>
          </w:p>
        </w:tc>
        <w:tc>
          <w:tcPr>
            <w:tcW w:w="1020" w:type="dxa"/>
          </w:tcPr>
          <w:p w:rsidR="00505632" w:rsidRDefault="00505632" w:rsidP="00AD4E52">
            <w:pPr>
              <w:pStyle w:val="CellColumn"/>
              <w:jc w:val="right"/>
            </w:pPr>
            <w:r>
              <w:rPr>
                <w:rFonts w:cs="Times New Roman"/>
              </w:rPr>
              <w:t>1.024</w:t>
            </w:r>
          </w:p>
        </w:tc>
      </w:tr>
      <w:tr w:rsidR="00505632" w:rsidTr="00AD4E52">
        <w:trPr>
          <w:jc w:val="center"/>
        </w:trPr>
        <w:tc>
          <w:tcPr>
            <w:tcW w:w="2551" w:type="dxa"/>
          </w:tcPr>
          <w:p w:rsidR="00505632" w:rsidRDefault="00505632" w:rsidP="00AD4E52">
            <w:pPr>
              <w:pStyle w:val="CellColumn"/>
              <w:jc w:val="left"/>
            </w:pPr>
            <w:r>
              <w:rPr>
                <w:rFonts w:cs="Times New Roman"/>
              </w:rPr>
              <w:t>Broj osoba zaposlenih kroz društveno koristan rad</w:t>
            </w:r>
          </w:p>
        </w:tc>
        <w:tc>
          <w:tcPr>
            <w:tcW w:w="2551" w:type="dxa"/>
          </w:tcPr>
          <w:p w:rsidR="00505632" w:rsidRDefault="00505632" w:rsidP="00AD4E52">
            <w:pPr>
              <w:pStyle w:val="CellColumn"/>
              <w:jc w:val="left"/>
            </w:pPr>
            <w:r>
              <w:rPr>
                <w:rFonts w:cs="Times New Roman"/>
              </w:rPr>
              <w:t>Povećati broj osoba zaposlenih kroz društveno koristan rad.</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9.086</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2.400</w:t>
            </w:r>
          </w:p>
        </w:tc>
        <w:tc>
          <w:tcPr>
            <w:tcW w:w="1020" w:type="dxa"/>
          </w:tcPr>
          <w:p w:rsidR="00505632" w:rsidRDefault="00505632" w:rsidP="00AD4E52">
            <w:pPr>
              <w:pStyle w:val="CellColumn"/>
              <w:jc w:val="right"/>
            </w:pPr>
            <w:r>
              <w:rPr>
                <w:rFonts w:cs="Times New Roman"/>
              </w:rPr>
              <w:t>2.967</w:t>
            </w:r>
          </w:p>
        </w:tc>
      </w:tr>
      <w:tr w:rsidR="00505632" w:rsidTr="00AD4E52">
        <w:trPr>
          <w:jc w:val="center"/>
        </w:trPr>
        <w:tc>
          <w:tcPr>
            <w:tcW w:w="2551" w:type="dxa"/>
          </w:tcPr>
          <w:p w:rsidR="00505632" w:rsidRDefault="00505632" w:rsidP="00AD4E52">
            <w:pPr>
              <w:pStyle w:val="CellColumn"/>
              <w:jc w:val="left"/>
            </w:pPr>
            <w:r>
              <w:rPr>
                <w:rFonts w:cs="Times New Roman"/>
              </w:rPr>
              <w:t>Broj osoba uključenih u stručno osposobljavanje za rad bez zasnivanja radnog odnosa</w:t>
            </w:r>
          </w:p>
        </w:tc>
        <w:tc>
          <w:tcPr>
            <w:tcW w:w="2551" w:type="dxa"/>
          </w:tcPr>
          <w:p w:rsidR="00505632" w:rsidRDefault="00505632" w:rsidP="00AD4E52">
            <w:pPr>
              <w:pStyle w:val="CellColumn"/>
              <w:jc w:val="left"/>
            </w:pPr>
            <w:r>
              <w:rPr>
                <w:rFonts w:cs="Times New Roman"/>
              </w:rPr>
              <w:t>Povećati zapošljivost mladih bez radnog iskustva kroz stručno osposobljavanje za rad bez zasnivanja radnog odnosa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17.069</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6.895</w:t>
            </w:r>
          </w:p>
        </w:tc>
        <w:tc>
          <w:tcPr>
            <w:tcW w:w="1020" w:type="dxa"/>
          </w:tcPr>
          <w:p w:rsidR="00505632" w:rsidRDefault="00505632" w:rsidP="00AD4E52">
            <w:pPr>
              <w:pStyle w:val="CellColumn"/>
              <w:jc w:val="right"/>
            </w:pPr>
            <w:r>
              <w:rPr>
                <w:rFonts w:cs="Times New Roman"/>
              </w:rPr>
              <w:t>10.333</w:t>
            </w:r>
          </w:p>
        </w:tc>
      </w:tr>
    </w:tbl>
    <w:p w:rsidR="00505632" w:rsidRDefault="00505632" w:rsidP="00505632">
      <w:pPr>
        <w:jc w:val="left"/>
      </w:pPr>
    </w:p>
    <w:p w:rsidR="00505632" w:rsidRDefault="00505632" w:rsidP="00505632">
      <w:pPr>
        <w:pStyle w:val="Heading4"/>
      </w:pPr>
      <w:r>
        <w:t>T689035 OP UČINKOVITI LJUDSKI POTENCIJALI 2014.- 2020., PRIORITETI 1, 2 I 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T689035-OP UČINKOVITI LJUDSKI POTENCIJALI 2014.- 2020., PRIORITETI 1, 2 I 5</w:t>
            </w:r>
          </w:p>
        </w:tc>
        <w:tc>
          <w:tcPr>
            <w:tcW w:w="2041" w:type="dxa"/>
          </w:tcPr>
          <w:p w:rsidR="00505632" w:rsidRDefault="00505632" w:rsidP="00AD4E52">
            <w:pPr>
              <w:pStyle w:val="CellColumn"/>
              <w:jc w:val="right"/>
            </w:pPr>
            <w:r>
              <w:rPr>
                <w:rFonts w:cs="Times New Roman"/>
              </w:rPr>
              <w:t>179.461.358</w:t>
            </w:r>
          </w:p>
        </w:tc>
        <w:tc>
          <w:tcPr>
            <w:tcW w:w="2041" w:type="dxa"/>
          </w:tcPr>
          <w:p w:rsidR="00505632" w:rsidRDefault="00505632" w:rsidP="00AD4E52">
            <w:pPr>
              <w:pStyle w:val="CellColumn"/>
              <w:jc w:val="right"/>
            </w:pPr>
            <w:r>
              <w:rPr>
                <w:rFonts w:cs="Times New Roman"/>
              </w:rPr>
              <w:t>350.131.312</w:t>
            </w:r>
          </w:p>
        </w:tc>
        <w:tc>
          <w:tcPr>
            <w:tcW w:w="2041" w:type="dxa"/>
          </w:tcPr>
          <w:p w:rsidR="00505632" w:rsidRDefault="00505632" w:rsidP="00AD4E52">
            <w:pPr>
              <w:pStyle w:val="CellColumn"/>
              <w:jc w:val="right"/>
            </w:pPr>
            <w:r>
              <w:rPr>
                <w:rFonts w:cs="Times New Roman"/>
              </w:rPr>
              <w:t>291.311.907</w:t>
            </w:r>
          </w:p>
        </w:tc>
        <w:tc>
          <w:tcPr>
            <w:tcW w:w="1224" w:type="dxa"/>
          </w:tcPr>
          <w:p w:rsidR="00505632" w:rsidRDefault="00505632" w:rsidP="00AD4E52">
            <w:pPr>
              <w:pStyle w:val="CellColumn"/>
              <w:jc w:val="right"/>
            </w:pPr>
            <w:r>
              <w:rPr>
                <w:rFonts w:cs="Times New Roman"/>
              </w:rPr>
              <w:t>83,2</w:t>
            </w:r>
          </w:p>
        </w:tc>
        <w:tc>
          <w:tcPr>
            <w:tcW w:w="1224" w:type="dxa"/>
          </w:tcPr>
          <w:p w:rsidR="00505632" w:rsidRDefault="00505632" w:rsidP="00AD4E52">
            <w:pPr>
              <w:pStyle w:val="CellColumn"/>
              <w:jc w:val="right"/>
            </w:pPr>
            <w:r>
              <w:rPr>
                <w:rFonts w:cs="Times New Roman"/>
              </w:rPr>
              <w:t>162,3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Operativni program Učinkoviti ljudski potencijali 2014. - 2020.</w:t>
      </w:r>
    </w:p>
    <w:p w:rsidR="00505632" w:rsidRDefault="00505632" w:rsidP="00505632">
      <w:pPr>
        <w:pStyle w:val="Heading8"/>
        <w:jc w:val="left"/>
      </w:pPr>
      <w:r>
        <w:t>Opis aktivnosti</w:t>
      </w:r>
    </w:p>
    <w:p w:rsidR="00505632" w:rsidRDefault="00505632" w:rsidP="00505632">
      <w:r>
        <w:t xml:space="preserve">Operativni program „Učinkoviti ljudski potencijali“ predstavlja programski okvir za korištenje sredstava u sektoru zapošljavanja i tržišta rada, obrazovanja, socijalne uključenosti i razvoj civilnog društva u cjelini u financijskoj perspektivi 2014-2020. Analiza stanja izrađena tijekom pripreme Operativnog programa ukazuje na potrebu intenzivnog rada sa skupinama koje su pogođene visokom nezaposlenošću, potrebu za specifičnim fokusom na skupinu mladih nezaposlenih, jačanje kapaciteta i usluga javnog zavoda za zapošljavanje i drugih institucija tržišta rada, kao i na potrebu provedbe posebnih mjera za osobe koje zbog socijalne isključenosti imaju otežan pristup tržištu rada. </w:t>
      </w:r>
    </w:p>
    <w:p w:rsidR="00505632" w:rsidRDefault="00505632" w:rsidP="00505632">
      <w:r>
        <w:t>Hrvatski zavod za zapošljavanje je za financiranje mjera aktivne politike zapošljavanja, odnosno za potpore za zapošljavanje i samozapošljavanje, obrazovanje, stručno osposobljavanje za rad bez zasnivanja radnog odnosa i javne radove planirao koristiti sredstva iz Europskog socijalnog fonda, odnosno iz ovog Operativnog programa. Također, planirana su i sredstva za projekte usmjerena ka razvoju i jačanju kapaciteta Zavoda i unapređenju usluga prema korisnicima, odnosno financiranje dijela rashoda Ureda za financiranje i ugovaranje projekata Europske unije u sastavu Zavoda.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osoba zaposlenih uz potpore za zapošljavanje</w:t>
            </w:r>
          </w:p>
        </w:tc>
        <w:tc>
          <w:tcPr>
            <w:tcW w:w="2551" w:type="dxa"/>
          </w:tcPr>
          <w:p w:rsidR="00505632" w:rsidRDefault="00505632" w:rsidP="00AD4E52">
            <w:pPr>
              <w:pStyle w:val="CellColumn"/>
              <w:jc w:val="left"/>
            </w:pPr>
            <w:r>
              <w:rPr>
                <w:rFonts w:cs="Times New Roman"/>
              </w:rPr>
              <w:t>Povećati broj osoba zaposelenih uz potpore za zapošljavanje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1999</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3400</w:t>
            </w:r>
          </w:p>
        </w:tc>
        <w:tc>
          <w:tcPr>
            <w:tcW w:w="1020" w:type="dxa"/>
          </w:tcPr>
          <w:p w:rsidR="00505632" w:rsidRDefault="00505632" w:rsidP="00AD4E52">
            <w:pPr>
              <w:pStyle w:val="CellColumn"/>
              <w:jc w:val="right"/>
            </w:pPr>
            <w:r>
              <w:rPr>
                <w:rFonts w:cs="Times New Roman"/>
              </w:rPr>
              <w:t>2683</w:t>
            </w:r>
          </w:p>
        </w:tc>
      </w:tr>
      <w:tr w:rsidR="00505632" w:rsidTr="00AD4E52">
        <w:trPr>
          <w:jc w:val="center"/>
        </w:trPr>
        <w:tc>
          <w:tcPr>
            <w:tcW w:w="2551" w:type="dxa"/>
          </w:tcPr>
          <w:p w:rsidR="00505632" w:rsidRDefault="00505632" w:rsidP="00AD4E52">
            <w:pPr>
              <w:pStyle w:val="CellColumn"/>
              <w:jc w:val="left"/>
            </w:pPr>
            <w:r>
              <w:rPr>
                <w:rFonts w:cs="Times New Roman"/>
              </w:rPr>
              <w:t>Broj osoba uključenih u samozapošljavanje</w:t>
            </w:r>
          </w:p>
        </w:tc>
        <w:tc>
          <w:tcPr>
            <w:tcW w:w="2551" w:type="dxa"/>
          </w:tcPr>
          <w:p w:rsidR="00505632" w:rsidRDefault="00505632" w:rsidP="00AD4E52">
            <w:pPr>
              <w:pStyle w:val="CellColumn"/>
              <w:jc w:val="left"/>
            </w:pPr>
            <w:r>
              <w:rPr>
                <w:rFonts w:cs="Times New Roman"/>
              </w:rPr>
              <w:t>Povećati broj osoba uključenih u samozapošljavanje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436</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1000</w:t>
            </w:r>
          </w:p>
        </w:tc>
        <w:tc>
          <w:tcPr>
            <w:tcW w:w="1020" w:type="dxa"/>
          </w:tcPr>
          <w:p w:rsidR="00505632" w:rsidRDefault="00505632" w:rsidP="00AD4E52">
            <w:pPr>
              <w:pStyle w:val="CellColumn"/>
              <w:jc w:val="right"/>
            </w:pPr>
            <w:r>
              <w:rPr>
                <w:rFonts w:cs="Times New Roman"/>
              </w:rPr>
              <w:t>917</w:t>
            </w:r>
          </w:p>
        </w:tc>
      </w:tr>
      <w:tr w:rsidR="00505632" w:rsidTr="00AD4E52">
        <w:trPr>
          <w:jc w:val="center"/>
        </w:trPr>
        <w:tc>
          <w:tcPr>
            <w:tcW w:w="2551" w:type="dxa"/>
          </w:tcPr>
          <w:p w:rsidR="00505632" w:rsidRDefault="00505632" w:rsidP="00AD4E52">
            <w:pPr>
              <w:pStyle w:val="CellColumn"/>
              <w:jc w:val="left"/>
            </w:pPr>
            <w:r>
              <w:rPr>
                <w:rFonts w:cs="Times New Roman"/>
              </w:rPr>
              <w:t>Broj osoba uključenih u stručno osposobljavanje za rad bez zasnivanja radnog odnosa</w:t>
            </w:r>
          </w:p>
        </w:tc>
        <w:tc>
          <w:tcPr>
            <w:tcW w:w="2551" w:type="dxa"/>
          </w:tcPr>
          <w:p w:rsidR="00505632" w:rsidRDefault="00505632" w:rsidP="00AD4E52">
            <w:pPr>
              <w:pStyle w:val="CellColumn"/>
              <w:jc w:val="left"/>
            </w:pPr>
            <w:r>
              <w:rPr>
                <w:rFonts w:cs="Times New Roman"/>
              </w:rPr>
              <w:t>Povećati broj osoba uključenih u stručno osposobljavanje za rad bez zasnivanja radnog odnosa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4751</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8000</w:t>
            </w:r>
          </w:p>
        </w:tc>
        <w:tc>
          <w:tcPr>
            <w:tcW w:w="1020" w:type="dxa"/>
          </w:tcPr>
          <w:p w:rsidR="00505632" w:rsidRDefault="00505632" w:rsidP="00AD4E52">
            <w:pPr>
              <w:pStyle w:val="CellColumn"/>
              <w:jc w:val="right"/>
            </w:pPr>
            <w:r>
              <w:rPr>
                <w:rFonts w:cs="Times New Roman"/>
              </w:rPr>
              <w:t>4726</w:t>
            </w:r>
          </w:p>
        </w:tc>
      </w:tr>
      <w:tr w:rsidR="00505632" w:rsidTr="00AD4E52">
        <w:trPr>
          <w:jc w:val="center"/>
        </w:trPr>
        <w:tc>
          <w:tcPr>
            <w:tcW w:w="2551" w:type="dxa"/>
          </w:tcPr>
          <w:p w:rsidR="00505632" w:rsidRDefault="00505632" w:rsidP="00AD4E52">
            <w:pPr>
              <w:pStyle w:val="CellColumn"/>
              <w:jc w:val="left"/>
            </w:pPr>
            <w:r>
              <w:rPr>
                <w:rFonts w:cs="Times New Roman"/>
              </w:rPr>
              <w:t>Broj osoba uključenih u obrazovanje za zapošljavanje</w:t>
            </w:r>
          </w:p>
        </w:tc>
        <w:tc>
          <w:tcPr>
            <w:tcW w:w="2551" w:type="dxa"/>
          </w:tcPr>
          <w:p w:rsidR="00505632" w:rsidRDefault="00505632" w:rsidP="00AD4E52">
            <w:pPr>
              <w:pStyle w:val="CellColumn"/>
              <w:jc w:val="left"/>
            </w:pPr>
            <w:r>
              <w:rPr>
                <w:rFonts w:cs="Times New Roman"/>
              </w:rPr>
              <w:t>Povećati zapošljivost osoba uključenih u obrazovanje za zapošljavanje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4000</w:t>
            </w:r>
          </w:p>
        </w:tc>
        <w:tc>
          <w:tcPr>
            <w:tcW w:w="1020" w:type="dxa"/>
          </w:tcPr>
          <w:p w:rsidR="00505632" w:rsidRDefault="00505632" w:rsidP="00AD4E52">
            <w:pPr>
              <w:pStyle w:val="CellColumn"/>
              <w:jc w:val="right"/>
            </w:pPr>
            <w:r>
              <w:rPr>
                <w:rFonts w:cs="Times New Roman"/>
              </w:rPr>
              <w:t>2785</w:t>
            </w:r>
          </w:p>
        </w:tc>
      </w:tr>
      <w:tr w:rsidR="00505632" w:rsidTr="00AD4E52">
        <w:trPr>
          <w:jc w:val="center"/>
        </w:trPr>
        <w:tc>
          <w:tcPr>
            <w:tcW w:w="2551" w:type="dxa"/>
          </w:tcPr>
          <w:p w:rsidR="00505632" w:rsidRDefault="00505632" w:rsidP="00AD4E52">
            <w:pPr>
              <w:pStyle w:val="CellColumn"/>
              <w:jc w:val="left"/>
            </w:pPr>
            <w:r>
              <w:rPr>
                <w:rFonts w:cs="Times New Roman"/>
              </w:rPr>
              <w:t>Broj osoba zaposlenih kroz društveno koristan rad</w:t>
            </w:r>
          </w:p>
        </w:tc>
        <w:tc>
          <w:tcPr>
            <w:tcW w:w="2551" w:type="dxa"/>
          </w:tcPr>
          <w:p w:rsidR="00505632" w:rsidRDefault="00505632" w:rsidP="00AD4E52">
            <w:pPr>
              <w:pStyle w:val="CellColumn"/>
              <w:jc w:val="left"/>
            </w:pPr>
            <w:r>
              <w:rPr>
                <w:rFonts w:cs="Times New Roman"/>
              </w:rPr>
              <w:t>Povećati broj osoba zaposlenih kroz društveno koristan rad</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327</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1000</w:t>
            </w:r>
          </w:p>
        </w:tc>
        <w:tc>
          <w:tcPr>
            <w:tcW w:w="1020" w:type="dxa"/>
          </w:tcPr>
          <w:p w:rsidR="00505632" w:rsidRDefault="00505632" w:rsidP="00AD4E52">
            <w:pPr>
              <w:pStyle w:val="CellColumn"/>
              <w:jc w:val="right"/>
            </w:pPr>
            <w:r>
              <w:rPr>
                <w:rFonts w:cs="Times New Roman"/>
              </w:rPr>
              <w:t>3238</w:t>
            </w:r>
          </w:p>
        </w:tc>
      </w:tr>
    </w:tbl>
    <w:p w:rsidR="00505632" w:rsidRDefault="00505632" w:rsidP="00505632">
      <w:pPr>
        <w:jc w:val="left"/>
      </w:pPr>
    </w:p>
    <w:p w:rsidR="00505632" w:rsidRDefault="00505632" w:rsidP="00505632">
      <w:pPr>
        <w:pStyle w:val="Heading4"/>
      </w:pPr>
      <w:r>
        <w:t>T813033 OP RAZVOJ LJUDSKIH POTENCIJALA, PRIORITET 1 I 4</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T813033-OP RAZVOJ LJUDSKIH POTENCIJALA, PRIORITET 1 I 4</w:t>
            </w:r>
          </w:p>
        </w:tc>
        <w:tc>
          <w:tcPr>
            <w:tcW w:w="2041" w:type="dxa"/>
          </w:tcPr>
          <w:p w:rsidR="00505632" w:rsidRDefault="00505632" w:rsidP="00AD4E52">
            <w:pPr>
              <w:pStyle w:val="CellColumn"/>
              <w:jc w:val="right"/>
            </w:pPr>
            <w:r>
              <w:rPr>
                <w:rFonts w:cs="Times New Roman"/>
              </w:rPr>
              <w:t>22.636.119</w:t>
            </w:r>
          </w:p>
        </w:tc>
        <w:tc>
          <w:tcPr>
            <w:tcW w:w="2041" w:type="dxa"/>
          </w:tcPr>
          <w:p w:rsidR="00505632" w:rsidRDefault="00505632" w:rsidP="00AD4E52">
            <w:pPr>
              <w:pStyle w:val="CellColumn"/>
              <w:jc w:val="right"/>
            </w:pPr>
            <w:r>
              <w:rPr>
                <w:rFonts w:cs="Times New Roman"/>
              </w:rPr>
              <w:t>86.863.820</w:t>
            </w:r>
          </w:p>
        </w:tc>
        <w:tc>
          <w:tcPr>
            <w:tcW w:w="2041" w:type="dxa"/>
          </w:tcPr>
          <w:p w:rsidR="00505632" w:rsidRDefault="00505632" w:rsidP="00AD4E52">
            <w:pPr>
              <w:pStyle w:val="CellColumn"/>
              <w:jc w:val="right"/>
            </w:pPr>
            <w:r>
              <w:rPr>
                <w:rFonts w:cs="Times New Roman"/>
              </w:rPr>
              <w:t>86.398.435</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381,7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Operativni program Razvoj ljudskih potencijala 2007. - 2013.</w:t>
      </w:r>
    </w:p>
    <w:p w:rsidR="00505632" w:rsidRDefault="00505632" w:rsidP="00505632">
      <w:pPr>
        <w:pStyle w:val="Heading8"/>
        <w:jc w:val="left"/>
      </w:pPr>
      <w:r>
        <w:t>Opis aktivnosti</w:t>
      </w:r>
    </w:p>
    <w:p w:rsidR="00505632" w:rsidRDefault="00505632" w:rsidP="00505632">
      <w:r>
        <w:t xml:space="preserve">Operativni program „Razvoj ljudskih potencijala 2007. – 2013.“ predstavlja programski okvir za korištenje sredstava u sektoru zapošljavanja i tržišta rada, obrazovanja, socijalne uključenosti i razvoj civilnog društva u cjelini. Analiza stanja izrađena tijekom pripreme Operativnog programa ukazuje na potrebu intenzivnog rada sa skupinama koje su pogođene visokom nezaposlenošću, usklađivanje obrazovnih programa s potrebama na tržištu rada i promicanje načela cjeloživotnog učenja, kao i na potrebu provedbe posebnih mjera za osobe koje zbog socijalne isključenosti imaju otežan pristup tržištu rada.  </w:t>
      </w:r>
    </w:p>
    <w:p w:rsidR="00505632" w:rsidRDefault="00505632" w:rsidP="00505632">
      <w:r>
        <w:t xml:space="preserve">U okviru ovog Operativnog programa, Hrvatski zavod za zapošljavanje je u 2016. godini nastavio s provođenjem projekata „Osposobljavanje za zapošljavanje radnika kojima prijeti nezaposlenost i dugotrajno nezaposlenih osoba“, i „Provedba mjera aktivne politike zapošljavanja“, započetih u 2013. odnosno 2014. godini. Ovim projektima omogućeno je obrazovanje za zapošljavanje nezaposlenih osoba, te mjere stručnog osposobljavanja za rad bez zasnivanja radnog odnosa i potpore za samozapošljavanje i zapošljavanje također nezaposlenih osoba s evidencije Hrvatskog zavoda za zapošljavanje. </w:t>
      </w:r>
    </w:p>
    <w:p w:rsidR="00505632" w:rsidRDefault="00505632" w:rsidP="00505632">
      <w:r>
        <w:t>U okviru ovog programa, iz projekta „Potpore Hrvatskom zavodu za zapošljavanje u provedbi Operativnog programa Razvoj ljudskih potencijala“, djelomično su financirani rashodi Ureda za financiranje i ugovaranje projekata Europske unije u sastavu Zavoda, kao Posredničkog tijela razine 2 u okviru Operativne strukture za provedbu Europskog socijalnog fonda.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osoba zaposlenih kroz društveno koristan rad</w:t>
            </w:r>
          </w:p>
        </w:tc>
        <w:tc>
          <w:tcPr>
            <w:tcW w:w="2551" w:type="dxa"/>
          </w:tcPr>
          <w:p w:rsidR="00505632" w:rsidRDefault="00505632" w:rsidP="00AD4E52">
            <w:pPr>
              <w:pStyle w:val="CellColumn"/>
              <w:jc w:val="left"/>
            </w:pPr>
            <w:r>
              <w:rPr>
                <w:rFonts w:cs="Times New Roman"/>
              </w:rPr>
              <w:t>Povećati broj osoba zaposlenih kroz društveno koristan rad</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2547</w:t>
            </w:r>
          </w:p>
        </w:tc>
        <w:tc>
          <w:tcPr>
            <w:tcW w:w="1020" w:type="dxa"/>
          </w:tcPr>
          <w:p w:rsidR="00505632" w:rsidRDefault="00505632" w:rsidP="00AD4E52">
            <w:pPr>
              <w:pStyle w:val="CellColumn"/>
              <w:jc w:val="right"/>
            </w:pPr>
            <w:r>
              <w:rPr>
                <w:rFonts w:cs="Times New Roman"/>
              </w:rPr>
              <w:t>2568</w:t>
            </w:r>
          </w:p>
        </w:tc>
      </w:tr>
    </w:tbl>
    <w:p w:rsidR="00505632" w:rsidRDefault="00505632" w:rsidP="00505632">
      <w:pPr>
        <w:jc w:val="left"/>
      </w:pPr>
    </w:p>
    <w:p w:rsidR="00505632" w:rsidRDefault="00505632" w:rsidP="00505632">
      <w:pPr>
        <w:pStyle w:val="Heading3"/>
      </w:pPr>
      <w:r>
        <w:rPr>
          <w:rFonts w:cs="Times New Roman"/>
        </w:rPr>
        <w:t>4011 MATERIJALNO PRAVNA ZAŠTITA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4011-MATERIJALNO PRAVNA ZAŠTITA</w:t>
            </w:r>
          </w:p>
        </w:tc>
        <w:tc>
          <w:tcPr>
            <w:tcW w:w="2041" w:type="dxa"/>
          </w:tcPr>
          <w:p w:rsidR="00505632" w:rsidRDefault="00505632" w:rsidP="00AD4E52">
            <w:pPr>
              <w:pStyle w:val="CellColumn"/>
              <w:jc w:val="right"/>
            </w:pPr>
            <w:r>
              <w:rPr>
                <w:rFonts w:cs="Times New Roman"/>
              </w:rPr>
              <w:t>1.532.004.199</w:t>
            </w:r>
          </w:p>
        </w:tc>
        <w:tc>
          <w:tcPr>
            <w:tcW w:w="2041" w:type="dxa"/>
          </w:tcPr>
          <w:p w:rsidR="00505632" w:rsidRDefault="00505632" w:rsidP="00AD4E52">
            <w:pPr>
              <w:pStyle w:val="CellColumn"/>
              <w:jc w:val="right"/>
            </w:pPr>
            <w:r>
              <w:rPr>
                <w:rFonts w:cs="Times New Roman"/>
              </w:rPr>
              <w:t>1.476.507.100</w:t>
            </w:r>
          </w:p>
        </w:tc>
        <w:tc>
          <w:tcPr>
            <w:tcW w:w="2041" w:type="dxa"/>
          </w:tcPr>
          <w:p w:rsidR="00505632" w:rsidRDefault="00505632" w:rsidP="00AD4E52">
            <w:pPr>
              <w:pStyle w:val="CellColumn"/>
              <w:jc w:val="right"/>
            </w:pPr>
            <w:r>
              <w:rPr>
                <w:rFonts w:cs="Times New Roman"/>
              </w:rPr>
              <w:t>1.443.989.789</w:t>
            </w:r>
          </w:p>
        </w:tc>
        <w:tc>
          <w:tcPr>
            <w:tcW w:w="1224" w:type="dxa"/>
          </w:tcPr>
          <w:p w:rsidR="00505632" w:rsidRDefault="00505632" w:rsidP="00AD4E52">
            <w:pPr>
              <w:pStyle w:val="CellColumn"/>
              <w:jc w:val="right"/>
            </w:pPr>
            <w:r>
              <w:rPr>
                <w:rFonts w:cs="Times New Roman"/>
              </w:rPr>
              <w:t>97,8</w:t>
            </w:r>
          </w:p>
        </w:tc>
        <w:tc>
          <w:tcPr>
            <w:tcW w:w="1224" w:type="dxa"/>
          </w:tcPr>
          <w:p w:rsidR="00505632" w:rsidRDefault="00505632" w:rsidP="00AD4E52">
            <w:pPr>
              <w:pStyle w:val="CellColumn"/>
              <w:jc w:val="right"/>
            </w:pPr>
            <w:r>
              <w:rPr>
                <w:rFonts w:cs="Times New Roman"/>
              </w:rPr>
              <w:t>94,3</w:t>
            </w:r>
          </w:p>
        </w:tc>
      </w:tr>
    </w:tbl>
    <w:p w:rsidR="00505632" w:rsidRDefault="00505632" w:rsidP="00505632">
      <w:pPr>
        <w:jc w:val="left"/>
      </w:pPr>
    </w:p>
    <w:p w:rsidR="00505632" w:rsidRDefault="00505632" w:rsidP="00505632">
      <w:r>
        <w:t xml:space="preserve">Nezaposlene osobe ostvaruju prava za vrijeme nezaposlenosti i to: novčanu naknadu, mirovinsko osiguranje, novčanu pomoć i naknadu troškova tijekom obrazovanja te jednokratnu novčanu pomoć i naknadu putnih i selidbenih troškova, obzirom na ispunjenje uvjeta iz Zakona o posredovanju pri zapošljavanju i pravima za vrijeme nezaposlenosti. </w:t>
      </w:r>
    </w:p>
    <w:p w:rsidR="00505632" w:rsidRDefault="00505632" w:rsidP="00505632">
      <w:r>
        <w:t>Osiguranjem ovih prava pridonosi se učinkovitom funkcioniranju tržišta rada i stvaranju neophodnih zakonskih temelja za osiguranje dostojnog rada i socijalne sigurnosti.</w:t>
      </w:r>
    </w:p>
    <w:p w:rsidR="00505632" w:rsidRDefault="00505632" w:rsidP="00505632">
      <w:pPr>
        <w:pStyle w:val="Heading8"/>
        <w:jc w:val="left"/>
      </w:pPr>
      <w:r>
        <w:t>Cilj 1. Jačati sustav socijalne sigurnosti nezaposlenih osoba</w:t>
      </w:r>
    </w:p>
    <w:p w:rsidR="00505632" w:rsidRDefault="00505632" w:rsidP="00505632">
      <w:pPr>
        <w:pStyle w:val="Heading8"/>
        <w:jc w:val="left"/>
      </w:pPr>
      <w:r>
        <w:t>Opis provedbe cilja programa</w:t>
      </w:r>
    </w:p>
    <w:p w:rsidR="00505632" w:rsidRDefault="00505632" w:rsidP="00505632">
      <w:r>
        <w:t xml:space="preserve">Prava nezaposlenih osoba uređena su Zakonom o posredovanju i pravima za vrijeme nezaposlenosti koji se naslanja na tzv. radno zakonodavstvo čija je svrha pridonositi učinkovitom funkcioniranju tržišta rada i stvaranju neophodnih zakonskih temelja za osiguranje odgovarajućeg stupnja socijalne sigurnosti nezaposlenih osoba. </w:t>
      </w:r>
    </w:p>
    <w:p w:rsidR="00505632" w:rsidRDefault="00505632" w:rsidP="00505632">
      <w:r>
        <w:t xml:space="preserve">Kako bi se umanjile posljedice nezaposlenosti, posebno uslijed gubitka posla, nužno je osigurati novčanu naknadu za nezaposlene. Novčana naknada je pravo regulirano Zakonom o posredovanju pri zapošljavanju i pravima za vrijeme nezaposlenosti a temelji se na uplati doprinosa za zapošljavanje osoba koje su u radnom odnosu. Visina novčane naknade je vezana za visinu plaće radnika pa tako i za visinu uplaćenih doprinosa, a trajanje za dulji dio vremena provedenog u radu. Nezaposlene osobe kojima radni odnos nije prestao njihovom krivnjom ili sporazumno, a imale su u posljednja 24 mjeseca najmanje 9 mjeseci radnog staža, utvrđuje se pravo na novčanu naknadu. Visina novčane naknade vezana je uz prethodno ostvarene plaće, a smanjuje se s dužinom razdoblja njenog korištenja. Viša naknada u prva tri mjeseca nezaposlenosti štiti nezaposlenu osobu od siromaštva i omogućuje joj duži period za podizanje stupnja svoje zapošljivosti, dok se njenim smanjivanjem u slijedećem periodu nastoji destimulirati dugotrajna nezaposlenost. </w:t>
      </w:r>
    </w:p>
    <w:p w:rsidR="00505632" w:rsidRDefault="00505632" w:rsidP="00505632">
      <w:r>
        <w:t>Pored navedenog, nezaposlenim osobama koje Zavod upućuje u obrazovanje i stručno osposobljavanje za rad bez zasnivanja radnog odnosa, isplaćuju se novčane pomoći i putni troškovi i na taj način doprinosi njihovoj socijalnoj sigurnosti za vrijeme trajanja ovih aktivnosti.</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Prosječan iznos novčane  naknade</w:t>
            </w:r>
          </w:p>
        </w:tc>
        <w:tc>
          <w:tcPr>
            <w:tcW w:w="2551" w:type="dxa"/>
          </w:tcPr>
          <w:p w:rsidR="00505632" w:rsidRDefault="00505632" w:rsidP="00AD4E52">
            <w:pPr>
              <w:pStyle w:val="CellColumn"/>
              <w:jc w:val="left"/>
            </w:pPr>
            <w:r>
              <w:rPr>
                <w:rFonts w:cs="Times New Roman"/>
              </w:rPr>
              <w:t>Jačati sustav socijalne sigurnosti nezaposlenih osoba povećanjem iznosa novčane naknade</w:t>
            </w:r>
          </w:p>
        </w:tc>
        <w:tc>
          <w:tcPr>
            <w:tcW w:w="1020" w:type="dxa"/>
          </w:tcPr>
          <w:p w:rsidR="00505632" w:rsidRDefault="00505632" w:rsidP="00AD4E52">
            <w:pPr>
              <w:pStyle w:val="CellColumn"/>
              <w:jc w:val="right"/>
            </w:pPr>
            <w:r>
              <w:rPr>
                <w:rFonts w:cs="Times New Roman"/>
              </w:rPr>
              <w:t>kn</w:t>
            </w:r>
          </w:p>
        </w:tc>
        <w:tc>
          <w:tcPr>
            <w:tcW w:w="1020" w:type="dxa"/>
          </w:tcPr>
          <w:p w:rsidR="00505632" w:rsidRDefault="00505632" w:rsidP="00AD4E52">
            <w:pPr>
              <w:pStyle w:val="CellColumn"/>
              <w:jc w:val="right"/>
            </w:pPr>
            <w:r>
              <w:rPr>
                <w:rFonts w:cs="Times New Roman"/>
              </w:rPr>
              <w:t>1.700</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1.750</w:t>
            </w:r>
          </w:p>
        </w:tc>
        <w:tc>
          <w:tcPr>
            <w:tcW w:w="1020" w:type="dxa"/>
          </w:tcPr>
          <w:p w:rsidR="00505632" w:rsidRDefault="00505632" w:rsidP="00AD4E52">
            <w:pPr>
              <w:pStyle w:val="CellColumn"/>
              <w:jc w:val="right"/>
            </w:pPr>
            <w:r>
              <w:rPr>
                <w:rFonts w:cs="Times New Roman"/>
              </w:rPr>
              <w:t>1.946</w:t>
            </w:r>
          </w:p>
        </w:tc>
      </w:tr>
    </w:tbl>
    <w:p w:rsidR="00505632" w:rsidRDefault="00505632" w:rsidP="00505632">
      <w:pPr>
        <w:jc w:val="left"/>
      </w:pPr>
    </w:p>
    <w:p w:rsidR="00505632" w:rsidRDefault="00505632" w:rsidP="00505632">
      <w:pPr>
        <w:pStyle w:val="Heading4"/>
      </w:pPr>
      <w:r>
        <w:t>A689014 NAKNADE NEZAPOSLENIMA</w:t>
      </w:r>
    </w:p>
    <w:tbl>
      <w:tblPr>
        <w:tblStyle w:val="StilTablice"/>
        <w:tblW w:w="10206" w:type="dxa"/>
        <w:jc w:val="center"/>
        <w:tblLook w:val="04A0" w:firstRow="1" w:lastRow="0" w:firstColumn="1" w:lastColumn="0" w:noHBand="0" w:noVBand="1"/>
      </w:tblPr>
      <w:tblGrid>
        <w:gridCol w:w="1792"/>
        <w:gridCol w:w="1996"/>
        <w:gridCol w:w="1997"/>
        <w:gridCol w:w="1997"/>
        <w:gridCol w:w="1209"/>
        <w:gridCol w:w="1215"/>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A689014-NAKNADE NEZAPOSLENIMA</w:t>
            </w:r>
          </w:p>
        </w:tc>
        <w:tc>
          <w:tcPr>
            <w:tcW w:w="2041" w:type="dxa"/>
          </w:tcPr>
          <w:p w:rsidR="00505632" w:rsidRDefault="00505632" w:rsidP="00AD4E52">
            <w:pPr>
              <w:pStyle w:val="CellColumn"/>
              <w:jc w:val="right"/>
            </w:pPr>
            <w:r>
              <w:rPr>
                <w:rFonts w:cs="Times New Roman"/>
              </w:rPr>
              <w:t>1.532.004.199</w:t>
            </w:r>
          </w:p>
        </w:tc>
        <w:tc>
          <w:tcPr>
            <w:tcW w:w="2041" w:type="dxa"/>
          </w:tcPr>
          <w:p w:rsidR="00505632" w:rsidRDefault="00505632" w:rsidP="00AD4E52">
            <w:pPr>
              <w:pStyle w:val="CellColumn"/>
              <w:jc w:val="right"/>
            </w:pPr>
            <w:r>
              <w:rPr>
                <w:rFonts w:cs="Times New Roman"/>
              </w:rPr>
              <w:t>1.476.507.100</w:t>
            </w:r>
          </w:p>
        </w:tc>
        <w:tc>
          <w:tcPr>
            <w:tcW w:w="2041" w:type="dxa"/>
          </w:tcPr>
          <w:p w:rsidR="00505632" w:rsidRDefault="00505632" w:rsidP="00AD4E52">
            <w:pPr>
              <w:pStyle w:val="CellColumn"/>
              <w:jc w:val="right"/>
            </w:pPr>
            <w:r>
              <w:rPr>
                <w:rFonts w:cs="Times New Roman"/>
              </w:rPr>
              <w:t>1.443.989.789</w:t>
            </w:r>
          </w:p>
        </w:tc>
        <w:tc>
          <w:tcPr>
            <w:tcW w:w="1224" w:type="dxa"/>
          </w:tcPr>
          <w:p w:rsidR="00505632" w:rsidRDefault="00505632" w:rsidP="00AD4E52">
            <w:pPr>
              <w:pStyle w:val="CellColumn"/>
              <w:jc w:val="right"/>
            </w:pPr>
            <w:r>
              <w:rPr>
                <w:rFonts w:cs="Times New Roman"/>
              </w:rPr>
              <w:t>97,8</w:t>
            </w:r>
          </w:p>
        </w:tc>
        <w:tc>
          <w:tcPr>
            <w:tcW w:w="1224" w:type="dxa"/>
          </w:tcPr>
          <w:p w:rsidR="00505632" w:rsidRDefault="00505632" w:rsidP="00AD4E52">
            <w:pPr>
              <w:pStyle w:val="CellColumn"/>
              <w:jc w:val="right"/>
            </w:pPr>
            <w:r>
              <w:rPr>
                <w:rFonts w:cs="Times New Roman"/>
              </w:rPr>
              <w:t>94,3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posredovanju pri zapošljavanju i pravima za vrijeme nezaposlenosti, Zakon o poticanju zapošljavanja, Odluka o uvjetima i načinu isplate novčane naknade u jednokratnom iznosu, Odluka o jednokratnoj novčanoj pomoći i naknadi putnih i selidbenih troškova, Zakon o doprinosima i Zakon o mirovinskom osiguranju.</w:t>
      </w:r>
    </w:p>
    <w:p w:rsidR="00505632" w:rsidRDefault="00505632" w:rsidP="00505632">
      <w:pPr>
        <w:pStyle w:val="Heading8"/>
        <w:jc w:val="left"/>
      </w:pPr>
      <w:r>
        <w:t>Opis aktivnosti</w:t>
      </w:r>
    </w:p>
    <w:p w:rsidR="00505632" w:rsidRDefault="00505632" w:rsidP="00505632">
      <w:r>
        <w:t xml:space="preserve">Kako bi se umanjile posljedice nezaposlenosti, prvenstveno uslijed gubitka posla nužno je osigurati novčanu naknadu za nezaposlene. Visina novčane naknade vezana je uz prethodno ostvarene plaće, a smanjuje se s dužinom razdoblja njenog korištenja.  </w:t>
      </w:r>
    </w:p>
    <w:p w:rsidR="00505632" w:rsidRDefault="00505632" w:rsidP="00505632">
      <w:r>
        <w:t xml:space="preserve">Tijekom 2016. godine u Zavodu su evidentirana prosječno mjesečno 39.907 korisnika novčane naknade, što čini 16,5 % od prosječnoga broja nezaposlenih osoba, a prosječno isplaćena novčana naknada iznosila je 1.946,31 kunu. </w:t>
      </w:r>
    </w:p>
    <w:p w:rsidR="00505632" w:rsidRDefault="00505632" w:rsidP="00505632">
      <w:r>
        <w:t xml:space="preserve">Nezaposlene osobe se kroz mjere aktivne politike zapošljavanja upućuju u programe stručnog osposobljavanja za rad bez zasnivanja radnog odnosa i aktivnosti obrazovanja za zapošljavanje. Osim financiranja troškova samih programa, polaznicima stručnog osposobljavanja isplaćuje se novčana pomoć u visini koju utvrđuje Vlada Republike Hrvatske odlukom (u 2016. godini visina novčane pomoći za nezaposlenu osobu koju je Hrvatski zavod za zapošljavanje uključio u stručno osposobljavanje za rad bez zasnivanja radnog odnosa iznosila je 2.400 kuna mjesečno) dok se nezaposlenoj osobi koju je Zavod uputio na obrazovanje osigurava novčana pomoć u visini najnižeg iznosa novčane naknade i pravo na naknadu troškova prijevoza u visini stvarnih troškova prijevoza sredstvima javnog prijevoza. </w:t>
      </w:r>
    </w:p>
    <w:p w:rsidR="00505632" w:rsidRDefault="00505632" w:rsidP="00505632">
      <w:r>
        <w:t>Osiguravanje materijalnih prava za vrijeme nezaposlenosti jedna je od temeljnih funkcija Zavoda, koji svoje aktivnosti usmjerava ka kvalitetnom, brzom, na Zakonu utemeljenom rješavanju zahtjeva korisnika.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Prosječan mjesečni broj osoba koje koriste pravo na novčanu naknadu za vrijeme nezaposlenosti</w:t>
            </w:r>
          </w:p>
        </w:tc>
        <w:tc>
          <w:tcPr>
            <w:tcW w:w="2551" w:type="dxa"/>
          </w:tcPr>
          <w:p w:rsidR="00505632" w:rsidRDefault="00505632" w:rsidP="00AD4E52">
            <w:pPr>
              <w:pStyle w:val="CellColumn"/>
              <w:jc w:val="left"/>
            </w:pPr>
            <w:r>
              <w:rPr>
                <w:rFonts w:cs="Times New Roman"/>
              </w:rPr>
              <w:t>Postupno smanjivanje prosječnog mjesečnog broja osoba koje koriste pravo na novčanu naknadu za vrijeme nezaposlenosti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48.442</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47.845</w:t>
            </w:r>
          </w:p>
        </w:tc>
        <w:tc>
          <w:tcPr>
            <w:tcW w:w="1020" w:type="dxa"/>
          </w:tcPr>
          <w:p w:rsidR="00505632" w:rsidRDefault="00505632" w:rsidP="00AD4E52">
            <w:pPr>
              <w:pStyle w:val="CellColumn"/>
              <w:jc w:val="right"/>
            </w:pPr>
            <w:r>
              <w:rPr>
                <w:rFonts w:cs="Times New Roman"/>
              </w:rPr>
              <w:t>39.907</w:t>
            </w:r>
          </w:p>
        </w:tc>
      </w:tr>
      <w:tr w:rsidR="00505632" w:rsidTr="00AD4E52">
        <w:trPr>
          <w:jc w:val="center"/>
        </w:trPr>
        <w:tc>
          <w:tcPr>
            <w:tcW w:w="2551" w:type="dxa"/>
          </w:tcPr>
          <w:p w:rsidR="00505632" w:rsidRDefault="00505632" w:rsidP="00AD4E52">
            <w:pPr>
              <w:pStyle w:val="CellColumn"/>
              <w:jc w:val="left"/>
            </w:pPr>
            <w:r>
              <w:rPr>
                <w:rFonts w:cs="Times New Roman"/>
              </w:rPr>
              <w:t>Broj korisnika prava na novčanu pomoć za vrijeme obrazovanjana koje ih je uputio HZZ</w:t>
            </w:r>
          </w:p>
        </w:tc>
        <w:tc>
          <w:tcPr>
            <w:tcW w:w="2551" w:type="dxa"/>
          </w:tcPr>
          <w:p w:rsidR="00505632" w:rsidRDefault="00505632" w:rsidP="00AD4E52">
            <w:pPr>
              <w:pStyle w:val="CellColumn"/>
              <w:jc w:val="left"/>
            </w:pPr>
            <w:r>
              <w:rPr>
                <w:rFonts w:cs="Times New Roman"/>
              </w:rPr>
              <w:t>Povećati broj korisnika prava na novčanu pomoć za vrijeme obrazovanja na koje ih je uputio HZZ</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1.000</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4.200</w:t>
            </w:r>
          </w:p>
        </w:tc>
        <w:tc>
          <w:tcPr>
            <w:tcW w:w="1020" w:type="dxa"/>
          </w:tcPr>
          <w:p w:rsidR="00505632" w:rsidRDefault="00505632" w:rsidP="00AD4E52">
            <w:pPr>
              <w:pStyle w:val="CellColumn"/>
              <w:jc w:val="right"/>
            </w:pPr>
            <w:r>
              <w:rPr>
                <w:rFonts w:cs="Times New Roman"/>
              </w:rPr>
              <w:t>3.916</w:t>
            </w:r>
          </w:p>
        </w:tc>
      </w:tr>
      <w:tr w:rsidR="00505632" w:rsidTr="00AD4E52">
        <w:trPr>
          <w:jc w:val="center"/>
        </w:trPr>
        <w:tc>
          <w:tcPr>
            <w:tcW w:w="2551" w:type="dxa"/>
          </w:tcPr>
          <w:p w:rsidR="00505632" w:rsidRDefault="00505632" w:rsidP="00AD4E52">
            <w:pPr>
              <w:pStyle w:val="CellColumn"/>
              <w:jc w:val="left"/>
            </w:pPr>
            <w:r>
              <w:rPr>
                <w:rFonts w:cs="Times New Roman"/>
              </w:rPr>
              <w:t>Broj osoba uključen u stručno osposobljavanje za rad bez zasnivanja radnog odnosa</w:t>
            </w:r>
          </w:p>
        </w:tc>
        <w:tc>
          <w:tcPr>
            <w:tcW w:w="2551" w:type="dxa"/>
          </w:tcPr>
          <w:p w:rsidR="00505632" w:rsidRDefault="00505632" w:rsidP="00AD4E52">
            <w:pPr>
              <w:pStyle w:val="CellColumn"/>
              <w:jc w:val="left"/>
            </w:pPr>
            <w:r>
              <w:rPr>
                <w:rFonts w:cs="Times New Roman"/>
              </w:rPr>
              <w:t>Povećati broj osoba uključen u stručno osposobljavanje za rad bez zasnivanja radnog odnosa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10.784</w:t>
            </w:r>
          </w:p>
        </w:tc>
        <w:tc>
          <w:tcPr>
            <w:tcW w:w="1020" w:type="dxa"/>
          </w:tcPr>
          <w:p w:rsidR="00505632" w:rsidRDefault="00505632" w:rsidP="00AD4E52">
            <w:pPr>
              <w:pStyle w:val="CellColumn"/>
              <w:jc w:val="right"/>
            </w:pPr>
            <w:r>
              <w:rPr>
                <w:rFonts w:cs="Times New Roman"/>
              </w:rPr>
              <w:t>HZZ</w:t>
            </w:r>
          </w:p>
        </w:tc>
        <w:tc>
          <w:tcPr>
            <w:tcW w:w="1020" w:type="dxa"/>
          </w:tcPr>
          <w:p w:rsidR="00505632" w:rsidRDefault="00505632" w:rsidP="00AD4E52">
            <w:pPr>
              <w:pStyle w:val="CellColumn"/>
              <w:jc w:val="right"/>
            </w:pPr>
            <w:r>
              <w:rPr>
                <w:rFonts w:cs="Times New Roman"/>
              </w:rPr>
              <w:t>13.790</w:t>
            </w:r>
          </w:p>
        </w:tc>
        <w:tc>
          <w:tcPr>
            <w:tcW w:w="1020" w:type="dxa"/>
          </w:tcPr>
          <w:p w:rsidR="00505632" w:rsidRDefault="00505632" w:rsidP="00AD4E52">
            <w:pPr>
              <w:pStyle w:val="CellColumn"/>
              <w:jc w:val="right"/>
            </w:pPr>
            <w:r>
              <w:rPr>
                <w:rFonts w:cs="Times New Roman"/>
              </w:rPr>
              <w:t>15.059</w:t>
            </w:r>
          </w:p>
        </w:tc>
      </w:tr>
    </w:tbl>
    <w:p w:rsidR="00505632" w:rsidRDefault="00505632" w:rsidP="00505632">
      <w:pPr>
        <w:jc w:val="left"/>
      </w:pPr>
    </w:p>
    <w:p w:rsidR="00505632" w:rsidRDefault="00505632" w:rsidP="00505632">
      <w:pPr>
        <w:pStyle w:val="Heading2"/>
      </w:pPr>
      <w:r>
        <w:t>08635 Zavod za vještačenje, profesionalnu rehabilitaciju i zapošljavanje osoba s invaliditetom</w:t>
      </w:r>
    </w:p>
    <w:p w:rsidR="00505632" w:rsidRDefault="00505632" w:rsidP="00505632">
      <w:r>
        <w:t xml:space="preserve">Zavod za vještačenje, profesionalnu rehabilitaciju i zapošljavanje osoba s invaliditetom (u daljnjem tekstu: Zavod) je javna ustanova, osnovana Zakonom o profesionalnoj rehabilitaciji i zapošljavanju osoba s invaliditetom (u daljnjem tekstu: Zakon, Narodne novine broj 157/2013). Temeljna zadaća Zavoda je ispunjenje osnovnog cilja Zakona, a to je da se kroz niz aktivnosti potiču poslodavci, prvenstveno na otvorenom tržištu rada, da zapošljavaju osobe s invaliditetom. Osim poticanja zapošljavanja osoba s invaliditetom i provođenja profesionalne rehabilitacije, zadaća Zavoda je i postupak vještačenja koji provodi sektor za vještačenje (jedinstveno tijelo vještačenja), čija je djelatnost definirana Zakonom o jedinstvenom tijelu vještačenja. </w:t>
      </w:r>
    </w:p>
    <w:p w:rsidR="00505632" w:rsidRDefault="00505632" w:rsidP="00505632">
      <w:r>
        <w:t xml:space="preserve">Djelatnosti Zavoda su:  </w:t>
      </w:r>
    </w:p>
    <w:p w:rsidR="00505632" w:rsidRDefault="00505632" w:rsidP="00505632">
      <w:r>
        <w:t xml:space="preserve">-vještačenje u prvom i drugom stupnju u postupcima radi ostvarivanja prava iz područja socijalne skrbi, mirovinskog osiguranja, zdravstva, obrazovanja, profesionalne rehabilitacije i zapošljavanja osoba s invaliditetom, zaštite ratnih i civilnih žrtava rata, te drugim područjima u kojima se ostvaruju određena prava na temelju vještačenja, odnosno na temelju nalaza i mišljenja Jedinstvenog tijela vještačenja </w:t>
      </w:r>
    </w:p>
    <w:p w:rsidR="00505632" w:rsidRDefault="00505632" w:rsidP="00505632">
      <w:r>
        <w:t xml:space="preserve">-davanje prijedloga i stručnih mišljenja vezanih uz provođenje vještačenja </w:t>
      </w:r>
    </w:p>
    <w:p w:rsidR="00505632" w:rsidRDefault="00505632" w:rsidP="00505632">
      <w:r>
        <w:t xml:space="preserve">-praćenje, organiziranje i unapređivanje poslova vještačenja </w:t>
      </w:r>
    </w:p>
    <w:p w:rsidR="00505632" w:rsidRDefault="00505632" w:rsidP="00505632">
      <w:r>
        <w:t xml:space="preserve">-izobrazba s područja vještačenja </w:t>
      </w:r>
    </w:p>
    <w:p w:rsidR="00505632" w:rsidRDefault="00505632" w:rsidP="00505632">
      <w:r>
        <w:t xml:space="preserve">-provođenje politike razvitka i unaprjeđivanja profesionalne rehabilitacije i zapošljavanja osoba s invaliditetom </w:t>
      </w:r>
    </w:p>
    <w:p w:rsidR="00505632" w:rsidRDefault="00505632" w:rsidP="00505632">
      <w:r>
        <w:t xml:space="preserve">-organiziranje izobrazbe i seminara za poslodavce i stručne osobe za radno osposobljavanje, profesionalnu rehabilitaciju i zapošljavanje osoba s invaliditetom </w:t>
      </w:r>
    </w:p>
    <w:p w:rsidR="00505632" w:rsidRDefault="00505632" w:rsidP="00505632">
      <w:r>
        <w:t xml:space="preserve">-kontinuirana suradnja s poslodavcima u svrhu analiziranja i utvrđivanja mogućnosti zapošljavanja osoba s invaliditetom </w:t>
      </w:r>
    </w:p>
    <w:p w:rsidR="00505632" w:rsidRDefault="00505632" w:rsidP="00505632">
      <w:r>
        <w:t xml:space="preserve">-isplata poticaja pri zapošljavanju osoba s invaliditetom iz članka 29. stavka 1. točke 3. i subvencija plaća iz članka 30. stavka 1. Zakona </w:t>
      </w:r>
    </w:p>
    <w:p w:rsidR="00505632" w:rsidRDefault="00505632" w:rsidP="00505632">
      <w:r>
        <w:t xml:space="preserve">-financiranje ili sufinanciranje programa i projekata za poticanje  zapošljavanja i održavanja zaposlenosti osoba s invaliditetom </w:t>
      </w:r>
    </w:p>
    <w:p w:rsidR="00505632" w:rsidRDefault="00505632" w:rsidP="00505632">
      <w:r>
        <w:t xml:space="preserve">-vođenje evidencije o poslodavcima koji su obveznici kvotnog sustava zapošljavanja osoba s invaliditetom </w:t>
      </w:r>
    </w:p>
    <w:p w:rsidR="00505632" w:rsidRDefault="00505632" w:rsidP="00505632">
      <w:r>
        <w:t xml:space="preserve">-stručni nadzor nad radom centra za profesionalnu rehabilitaciju, integrativne radionice i zaštitne radionice </w:t>
      </w:r>
    </w:p>
    <w:p w:rsidR="00505632" w:rsidRDefault="00505632" w:rsidP="00505632">
      <w:r>
        <w:t xml:space="preserve">-druge poslove utvrđene odredbama Zakona, posebnim propisima, Statutom i aktima Zavoda. </w:t>
      </w:r>
    </w:p>
    <w:p w:rsidR="00505632" w:rsidRDefault="00505632" w:rsidP="00505632">
      <w:r>
        <w:t xml:space="preserve"> </w:t>
      </w:r>
    </w:p>
    <w:p w:rsidR="00505632" w:rsidRDefault="00505632" w:rsidP="00505632">
      <w:r>
        <w:t>Zavod je ostvario izvršenje financijskog plana za 2016. godinu u odnosu na planirana novčana sredstva za 14,6% više nego što je planirano u financijskom planu za 2016. godinu. Izvršenje je veće budući da Zavod temeljem čl. 10. stavka 1. Zakona ostvaruje novčana sredstva uplatom poslodavaca koji ne ispunjavaju kvotno zapošljavanje (uplaćena novčana sredstva su namjenski prihod Zavoda, izvor 43 te se ista mogu izvršavati do visine uplaćenih i prenesenih sredstava) te tada navedena  sredstva koristi za isplatu poticaja i nagrada pri zapošljavanju osoba s invaliditetom te za provođenje projekata i programa za zapošljavanje osoba s invaliditetom prema čl. 10 st. 7. Zakona.  Upravo je isplata sredstava temeljem raspisanog javnog natječaja u 2016. godini za otvaranje novih radnih mjesta i održavanja zaposlenosti u integrativnim i zaštitnim radionicama rezultirala većim izvršenjem od planiranog. Ujedno značajne razlike u odnosu na 2015. godinu nastaju zbog znatnog broja zaposlenika u 2016. godini tijekom cijelog razdoblja nego u 2015. godini (zbog kontinuiranog zapošljavanja), a što naravno i rezultira povećanjem ostalih rashoda Zavoda (povećanje naknade troškova zaposlenima, povećanje rashoda za materijal i energiju, povećanje rashoda za usluge i sl.).  Izvršenje na aktivnostima A875001 Administracija i upravljanje, A875002 Financiranje i sufinanciranje programa profesionalne rehabilitacije i zapošljavanje osoba s invaliditetom, A875008 Uspostava jedinstvenog tijela vještačenja, K875005 Opremanje,  K875006 Informatizacija i K875007 Obnova voznog parka u okviru je planiranih sredstava.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08635-Zavod za vještačenje, profesionalnu rehabilitaciju i zapošljavanje osoba s invaliditetom</w:t>
            </w:r>
          </w:p>
        </w:tc>
        <w:tc>
          <w:tcPr>
            <w:tcW w:w="2041" w:type="dxa"/>
            <w:vAlign w:val="top"/>
          </w:tcPr>
          <w:p w:rsidR="00505632" w:rsidRDefault="00505632" w:rsidP="00AD4E52">
            <w:pPr>
              <w:pStyle w:val="CellColumn"/>
              <w:jc w:val="right"/>
            </w:pPr>
            <w:r>
              <w:rPr>
                <w:rFonts w:cs="Times New Roman"/>
              </w:rPr>
              <w:t>72.914.699</w:t>
            </w:r>
          </w:p>
        </w:tc>
        <w:tc>
          <w:tcPr>
            <w:tcW w:w="2041" w:type="dxa"/>
            <w:vAlign w:val="top"/>
          </w:tcPr>
          <w:p w:rsidR="00505632" w:rsidRDefault="00505632" w:rsidP="00AD4E52">
            <w:pPr>
              <w:pStyle w:val="CellColumn"/>
              <w:jc w:val="right"/>
            </w:pPr>
            <w:r>
              <w:rPr>
                <w:rFonts w:cs="Times New Roman"/>
              </w:rPr>
              <w:t>84.103.000</w:t>
            </w:r>
          </w:p>
        </w:tc>
        <w:tc>
          <w:tcPr>
            <w:tcW w:w="2041" w:type="dxa"/>
            <w:vAlign w:val="top"/>
          </w:tcPr>
          <w:p w:rsidR="00505632" w:rsidRDefault="00505632" w:rsidP="00AD4E52">
            <w:pPr>
              <w:pStyle w:val="CellColumn"/>
              <w:jc w:val="right"/>
            </w:pPr>
            <w:r>
              <w:rPr>
                <w:rFonts w:cs="Times New Roman"/>
              </w:rPr>
              <w:t>96.405.174</w:t>
            </w:r>
          </w:p>
        </w:tc>
        <w:tc>
          <w:tcPr>
            <w:tcW w:w="1224" w:type="dxa"/>
            <w:vAlign w:val="top"/>
          </w:tcPr>
          <w:p w:rsidR="00505632" w:rsidRDefault="00505632" w:rsidP="00AD4E52">
            <w:pPr>
              <w:pStyle w:val="CellColumn"/>
              <w:jc w:val="right"/>
            </w:pPr>
            <w:r>
              <w:rPr>
                <w:rFonts w:cs="Times New Roman"/>
              </w:rPr>
              <w:t>114,6</w:t>
            </w:r>
          </w:p>
        </w:tc>
        <w:tc>
          <w:tcPr>
            <w:tcW w:w="1224" w:type="dxa"/>
            <w:vAlign w:val="top"/>
          </w:tcPr>
          <w:p w:rsidR="00505632" w:rsidRDefault="00505632" w:rsidP="00AD4E52">
            <w:pPr>
              <w:pStyle w:val="CellColumn"/>
              <w:jc w:val="right"/>
            </w:pPr>
            <w:r>
              <w:rPr>
                <w:rFonts w:cs="Times New Roman"/>
              </w:rPr>
              <w:t>132,2</w:t>
            </w:r>
          </w:p>
        </w:tc>
      </w:tr>
      <w:tr w:rsidR="00505632" w:rsidTr="00AD4E52">
        <w:trPr>
          <w:jc w:val="center"/>
        </w:trPr>
        <w:tc>
          <w:tcPr>
            <w:tcW w:w="1632" w:type="dxa"/>
          </w:tcPr>
          <w:p w:rsidR="00505632" w:rsidRDefault="00505632" w:rsidP="00AD4E52">
            <w:pPr>
              <w:jc w:val="left"/>
            </w:pPr>
            <w:r>
              <w:t>3301-AKTIVNA POLITIKA TRŽIŠTA RADA</w:t>
            </w:r>
          </w:p>
        </w:tc>
        <w:tc>
          <w:tcPr>
            <w:tcW w:w="2041" w:type="dxa"/>
          </w:tcPr>
          <w:p w:rsidR="00505632" w:rsidRDefault="00505632" w:rsidP="00AD4E52">
            <w:pPr>
              <w:jc w:val="right"/>
            </w:pPr>
            <w:r>
              <w:t>72.914.699</w:t>
            </w:r>
          </w:p>
        </w:tc>
        <w:tc>
          <w:tcPr>
            <w:tcW w:w="2041" w:type="dxa"/>
          </w:tcPr>
          <w:p w:rsidR="00505632" w:rsidRDefault="00505632" w:rsidP="00AD4E52">
            <w:pPr>
              <w:jc w:val="right"/>
            </w:pPr>
            <w:r>
              <w:t>84.103.000</w:t>
            </w:r>
          </w:p>
        </w:tc>
        <w:tc>
          <w:tcPr>
            <w:tcW w:w="2041" w:type="dxa"/>
          </w:tcPr>
          <w:p w:rsidR="00505632" w:rsidRDefault="00505632" w:rsidP="00AD4E52">
            <w:pPr>
              <w:jc w:val="right"/>
            </w:pPr>
            <w:r>
              <w:t>96.405.174</w:t>
            </w:r>
          </w:p>
        </w:tc>
        <w:tc>
          <w:tcPr>
            <w:tcW w:w="1224" w:type="dxa"/>
          </w:tcPr>
          <w:p w:rsidR="00505632" w:rsidRDefault="00505632" w:rsidP="00AD4E52">
            <w:pPr>
              <w:jc w:val="right"/>
            </w:pPr>
            <w:r>
              <w:t>114,6</w:t>
            </w:r>
          </w:p>
        </w:tc>
        <w:tc>
          <w:tcPr>
            <w:tcW w:w="1224" w:type="dxa"/>
          </w:tcPr>
          <w:p w:rsidR="00505632" w:rsidRDefault="00505632" w:rsidP="00AD4E52">
            <w:pPr>
              <w:jc w:val="right"/>
            </w:pPr>
            <w:r>
              <w:t>132,2</w:t>
            </w:r>
          </w:p>
        </w:tc>
      </w:tr>
    </w:tbl>
    <w:p w:rsidR="00505632" w:rsidRDefault="00505632" w:rsidP="00505632">
      <w:pPr>
        <w:jc w:val="left"/>
      </w:pPr>
    </w:p>
    <w:p w:rsidR="00505632" w:rsidRDefault="00505632" w:rsidP="00505632">
      <w:pPr>
        <w:pStyle w:val="Heading3"/>
      </w:pPr>
      <w:r>
        <w:rPr>
          <w:rFonts w:cs="Times New Roman"/>
        </w:rPr>
        <w:t>3301 AKTIVNA POLITIKA TRŽIŠTA 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3301-AKTIVNA POLITIKA TRŽIŠTA RADA</w:t>
            </w:r>
          </w:p>
        </w:tc>
        <w:tc>
          <w:tcPr>
            <w:tcW w:w="2041" w:type="dxa"/>
          </w:tcPr>
          <w:p w:rsidR="00505632" w:rsidRDefault="00505632" w:rsidP="00AD4E52">
            <w:pPr>
              <w:pStyle w:val="CellColumn"/>
              <w:jc w:val="right"/>
            </w:pPr>
            <w:r>
              <w:rPr>
                <w:rFonts w:cs="Times New Roman"/>
              </w:rPr>
              <w:t>72.914.699</w:t>
            </w:r>
          </w:p>
        </w:tc>
        <w:tc>
          <w:tcPr>
            <w:tcW w:w="2041" w:type="dxa"/>
          </w:tcPr>
          <w:p w:rsidR="00505632" w:rsidRDefault="00505632" w:rsidP="00AD4E52">
            <w:pPr>
              <w:pStyle w:val="CellColumn"/>
              <w:jc w:val="right"/>
            </w:pPr>
            <w:r>
              <w:rPr>
                <w:rFonts w:cs="Times New Roman"/>
              </w:rPr>
              <w:t>84.103.000</w:t>
            </w:r>
          </w:p>
        </w:tc>
        <w:tc>
          <w:tcPr>
            <w:tcW w:w="2041" w:type="dxa"/>
          </w:tcPr>
          <w:p w:rsidR="00505632" w:rsidRDefault="00505632" w:rsidP="00AD4E52">
            <w:pPr>
              <w:pStyle w:val="CellColumn"/>
              <w:jc w:val="right"/>
            </w:pPr>
            <w:r>
              <w:rPr>
                <w:rFonts w:cs="Times New Roman"/>
              </w:rPr>
              <w:t>96.405.174</w:t>
            </w:r>
          </w:p>
        </w:tc>
        <w:tc>
          <w:tcPr>
            <w:tcW w:w="1224" w:type="dxa"/>
          </w:tcPr>
          <w:p w:rsidR="00505632" w:rsidRDefault="00505632" w:rsidP="00AD4E52">
            <w:pPr>
              <w:pStyle w:val="CellColumn"/>
              <w:jc w:val="right"/>
            </w:pPr>
            <w:r>
              <w:rPr>
                <w:rFonts w:cs="Times New Roman"/>
              </w:rPr>
              <w:t>114,6</w:t>
            </w:r>
          </w:p>
        </w:tc>
        <w:tc>
          <w:tcPr>
            <w:tcW w:w="1224" w:type="dxa"/>
          </w:tcPr>
          <w:p w:rsidR="00505632" w:rsidRDefault="00505632" w:rsidP="00AD4E52">
            <w:pPr>
              <w:pStyle w:val="CellColumn"/>
              <w:jc w:val="right"/>
            </w:pPr>
            <w:r>
              <w:rPr>
                <w:rFonts w:cs="Times New Roman"/>
              </w:rPr>
              <w:t>132,2</w:t>
            </w:r>
          </w:p>
        </w:tc>
      </w:tr>
    </w:tbl>
    <w:p w:rsidR="00505632" w:rsidRDefault="00505632" w:rsidP="00505632">
      <w:pPr>
        <w:jc w:val="left"/>
      </w:pPr>
    </w:p>
    <w:p w:rsidR="00505632" w:rsidRDefault="00505632" w:rsidP="00505632">
      <w:r>
        <w:t>Ispunjavanje zadaća iz Zakona o profesionalnoj rehabilitaciji i zapošljavanju osoba s invaliditetom, ispunjavanje ciljeva Nacionalne strategije izjednačavanja mogućnosti za osobe s invaliditetom, putem aktivnog sudjelovanja u razvoju učinkovitog sustava profesionalne rehabilitacije i održivog uključivanja osoba s invaliditetom na otvoreno tržište rada, prilagođenom tržištu rada i potrebama osoba s invaliditetom te uspostava jedinstvenog načina utvrđivanja intelektualnog, osjetilnog i mentalnog oštećenja, invaliditeta, funkcionalne sposobnosti, razine potpore i radne sposobnost, a koje Zavod ostvaruje putem poticanja poslodavaca na zapošljavanje osoba s invaliditetom i samozapošljavanje osoba s invaliditetom, putem profesionalne rehabilitacije u suradnji s Centrima za profesionalnu rehabilitaciju te putem postupka vještačenja.</w:t>
      </w:r>
    </w:p>
    <w:p w:rsidR="00505632" w:rsidRDefault="00505632" w:rsidP="00505632">
      <w:pPr>
        <w:pStyle w:val="Heading8"/>
        <w:jc w:val="left"/>
      </w:pPr>
      <w:r>
        <w:t xml:space="preserve">Cilj 1. Opći cilj 1. Utvrđivanje invaliditeta i uključivanje osoba s invaliditetom na tržište rada </w:t>
      </w:r>
    </w:p>
    <w:p w:rsidR="00505632" w:rsidRDefault="00505632" w:rsidP="00505632">
      <w:pPr>
        <w:pStyle w:val="Heading8"/>
        <w:jc w:val="left"/>
      </w:pPr>
      <w:r>
        <w:t>Opis provedbe cilja programa</w:t>
      </w:r>
    </w:p>
    <w:p w:rsidR="00505632" w:rsidRDefault="00505632" w:rsidP="00505632">
      <w:r>
        <w:t xml:space="preserve">Pravo na rad je jedno od osnovnih ljudskih prava zagarantiranih Ustavom i onemogućavanje korištenja tog prava predstavlja njegovo kršenje i diskriminaciju. U uvjetima koji vladaju na hrvatskom tržištu rada, povećane ponude i smanjene potražnje radne snage, osobe s invaliditetom imaju velike teškoće u konkuriranju za slobodna radna mjesta. Proces zapošljavanja je izrazito kompetitivan te je mjere osiguranja konkurentnosti osoba s invaliditetom na otvorenom tržištu rada potrebno poduzimati od trenutka stjecanja invaliditeta. Za uspješno ostvarenje toga cilja potrebno je koordinirano djelovanje svih dijelova društva, različitih sustava (sustava obrazovanja, sustava zdravstvenog i socijalnog osiguranja, sustava zapošljavanja) i institucija te udruga i pojedinaca koji djeluju na tržištu rada. </w:t>
      </w:r>
    </w:p>
    <w:p w:rsidR="00505632" w:rsidRDefault="00505632" w:rsidP="00505632">
      <w:r>
        <w:t xml:space="preserve">Nadalje, ne prepoznaju se još uvijek mogućnosti koje se otvaraju zapošljavanjem osoba s invaliditetom na otvorenom tržištu rada, od kojih je za poslodavce najinteresantnija ekonomska isplativost, kako od rada samih osoba s invaliditetom, tako i od poticaja koje poslodavci za njihovo zapošljavanje ostvaruju putem Zavoda.  </w:t>
      </w:r>
    </w:p>
    <w:p w:rsidR="00505632" w:rsidRDefault="00505632" w:rsidP="00505632">
      <w:r>
        <w:t>Zavod kroz svoje aktivnosti kontinuirano radi na omogućavanju i poboljšavanju uvjeta za aktivno uključivanje osoba s invaliditetom na tržište rada.</w:t>
      </w:r>
    </w:p>
    <w:p w:rsidR="00505632" w:rsidRDefault="00505632" w:rsidP="00505632">
      <w:pPr>
        <w:pStyle w:val="Heading8"/>
        <w:jc w:val="left"/>
      </w:pPr>
      <w:r>
        <w:t>Cilj 2. Posebni cilj 1.1. Provođenje aktivne politike zapošljavanja osoba s invaliditetom na tržištu rada</w:t>
      </w:r>
    </w:p>
    <w:p w:rsidR="00505632" w:rsidRDefault="00505632" w:rsidP="00505632">
      <w:pPr>
        <w:pStyle w:val="Heading8"/>
        <w:jc w:val="left"/>
      </w:pPr>
      <w:r>
        <w:t>Opis provedbe cilja programa</w:t>
      </w:r>
    </w:p>
    <w:p w:rsidR="00505632" w:rsidRDefault="00505632" w:rsidP="00505632">
      <w:r>
        <w:t xml:space="preserve">Osobe s invaliditetom imaju otežan pristup tržištu rada, što je posljedica raznih čimbenika, međutim u ovom trenutku, taj je problem dodatno naglašen u uvjetima gospodarske krize koja je utjecala na povećanje nezaposlenosti svih skupina, a ne samo osoba s invaliditetom. Upravo povećan broj nezaposlenih dodatno otežava pristup tržištu rada osobama s invaliditetom. Zbog toga je važno da Zavod nastavi sa: Aktivnom politikom zapošljavanja osoba s invaliditetom kako bi se tim mjerama omogućilo ravnopravnije sudjelovanje na tržištu rada osobama s invaliditetom. </w:t>
      </w:r>
    </w:p>
    <w:p w:rsidR="00505632" w:rsidRDefault="00505632" w:rsidP="00505632">
      <w:r>
        <w:t>Poticaji koje dodjeljuje Zavod namijenjeni su isključivo poslodavcima koji zapošljavaju osobe s invaliditetom. Glavni uvjet za korištenje poticaja Zavoda za poslodavca je sklapanje ugovora o radu s osobom s invaliditetom čime se direktno ostvaruje opći cilj Strateškog plana Zavoda, a to je uključivanje osoba s invaliditetom na tržištu rada.</w:t>
      </w:r>
    </w:p>
    <w:p w:rsidR="00505632" w:rsidRDefault="00505632" w:rsidP="00505632">
      <w:pPr>
        <w:pStyle w:val="Heading8"/>
        <w:jc w:val="left"/>
      </w:pPr>
      <w:r>
        <w:t>Cilj 3. Posebni cilj 1.2. Unaprjeđivanje mjera profesionalne rehabilitacije</w:t>
      </w:r>
    </w:p>
    <w:p w:rsidR="00505632" w:rsidRDefault="00505632" w:rsidP="00505632">
      <w:pPr>
        <w:pStyle w:val="Heading8"/>
        <w:jc w:val="left"/>
      </w:pPr>
      <w:r>
        <w:t>Opis provedbe cilja programa</w:t>
      </w:r>
    </w:p>
    <w:p w:rsidR="00505632" w:rsidRDefault="00505632" w:rsidP="00505632">
      <w:r>
        <w:t>Unaprjeđivanjem sustava profesionalne rehabilitacije poticaji bi se usmjeravali na najteže zapošljive skupine osoba s invaliditetom koje zaslužuju posebnu pozornost. Kako bi se to postiglo, potrebno je unaprijediti sustav profesionalne rehabilitacije na način da se osigura dobra procjena radnih sposobnosti osoba s invaliditetom, kvalitetno obrazovanje, prekvalifikacija, usavršavanje i stručno osposobljavanje usklađeno sa potrebama tržišta rada, te brža prilagodljivost potrebama tržišta rada. Potrebno je koristiti znanja i iskustva EU kako bi poboljšali status Republike Hrvatske kao članice EU u  području profesionalne rehabilitacije. Osnivanjem centara za profesionalnu rehabilitaciju, a koji bi s radom trebali početi 1.01.2015. godine, stvorit će se uvjeti za ispunjenje ove aktivnosti.</w:t>
      </w:r>
    </w:p>
    <w:p w:rsidR="00505632" w:rsidRDefault="00505632" w:rsidP="00505632">
      <w:pPr>
        <w:pStyle w:val="Heading8"/>
        <w:jc w:val="left"/>
      </w:pPr>
      <w:r>
        <w:t>Cilj 4. Posebni cilj 1.3. Jačanje kapaciteta Zavoda</w:t>
      </w:r>
    </w:p>
    <w:p w:rsidR="00505632" w:rsidRDefault="00505632" w:rsidP="00505632">
      <w:pPr>
        <w:pStyle w:val="Heading8"/>
        <w:jc w:val="left"/>
      </w:pPr>
      <w:r>
        <w:t>Opis provedbe cilja programa</w:t>
      </w:r>
    </w:p>
    <w:p w:rsidR="00505632" w:rsidRDefault="00505632" w:rsidP="00505632">
      <w:r>
        <w:t xml:space="preserve">Zavod je mlada institucija koja je u području zapošljavanja i profesionalne rehabilitacije počela djelovati u ožujku 2007. godine, a u području vještačenja u siječnju 2015. godine. </w:t>
      </w:r>
    </w:p>
    <w:p w:rsidR="00505632" w:rsidRDefault="00505632" w:rsidP="00505632">
      <w:r>
        <w:t>Ukoliko želimo ostvariti sve posebne ciljeve koji prethode ostvarenju općeg cilja, a to je utvrđivanje invaliditeta i uključivanje osoba s invaliditetom na tržište rada, nužno je kontinuirano provoditi jačanje kapaciteta u Zavodu kroz informatizaciju poslovnih procesa i edukaciju zaposlenika, što će rezultirati učinkovitijim poslovnim procesom koji će omogućiti brže i kvalitetnije pružanje usluga krajnjim korisnicima. Također, kroz ovaj cilj se stvaraju uvjeti za kontrolu učinka kvotnog sustava zapošljavanja, te mogućnost zapošljavanja osoba s invaliditetom kod obveznika kvotnog sustava zapošljavanja koji tu obvezu ne izvršavaju.</w:t>
      </w:r>
    </w:p>
    <w:p w:rsidR="00505632" w:rsidRDefault="00505632" w:rsidP="00505632">
      <w:pPr>
        <w:pStyle w:val="Heading8"/>
        <w:jc w:val="left"/>
      </w:pPr>
      <w:r>
        <w:t>Cilj 5. Posebni cilj 1.4. Provođenje postupka vještačenja u prvom i drugom stupnju</w:t>
      </w:r>
    </w:p>
    <w:p w:rsidR="00505632" w:rsidRDefault="00505632" w:rsidP="00505632">
      <w:pPr>
        <w:pStyle w:val="Heading8"/>
        <w:jc w:val="left"/>
      </w:pPr>
      <w:r>
        <w:t>Opis provedbe cilja programa</w:t>
      </w:r>
    </w:p>
    <w:p w:rsidR="00505632" w:rsidRDefault="00505632" w:rsidP="00505632">
      <w:r>
        <w:t xml:space="preserve">Zaštita osoba s invaliditetom u Republici Hrvatskoj osigurava se u različitoj mjeri i na različit način, ovisno o sustavu u kojem se ta zaštita ostvaruje. Pritom se pojedina prava, kojima se omogućava osiguranje neovisnosti osoba s invaliditetom i njihove socijalne i radne integracije, osiguranje prava na jednaki ili povlašteni način postupanja u postizanju vlastitih interesa, kompenziranje nepovoljnog položaja i otklanjanje poteškoća pri sudjelovanju u planiranju, kreiranju i provedbi socijalne politike, te ostvarivanje prava na dignitet, afirmaciju i uključivanje u društvo, ostvaruje temeljem brojnih propisa kojima se reguliraju određena područja društvenog života. Kako bi se postiglo ujednačavanje prava istog naziva, koja osobe s istom vrstom oštećenja zdravlja ostvaruju u različitim sustavima, izmijenjena je dosadašnja praksa u Republici Hrvatskoj da se u različitim sustavima na različite načine utvrđuje oštećenje zdravlja. Tako se sada u Republici Hrvatskoj vještačenje u svrhu ostvarivanja prava u području socijalne skrbi, mirovinskog osiguranja, obrazovanja, profesionalne rehabilitacije i zapošljavanja osoba s invaliditetom, prava po osnovi rodiljnih i roditeljskih potpora i zaštite ratnih i civilnih žrtava rata provodi temeljem jednog propisa – Zakona o jedinstvenom tijelu vještačenja.  </w:t>
      </w:r>
    </w:p>
    <w:p w:rsidR="00505632" w:rsidRDefault="00505632" w:rsidP="00505632">
      <w:r>
        <w:t xml:space="preserve">Osnivanje i rad jedinstvenog tijela vještačenja temelji se prvenstveno na Konvenciji Ujedinjenih naroda o pravima osoba s invaliditetom i Fakultativnom protokolu uz Konvenciju o pravima osoba s invaliditetom, koju je Vlada Republike Hrvatske potpisala 30. ožujka 2007. godine, a temeljem kojih je Hrvatski sabor 2007. godine donio Zakon o potvrđivanju Konvencije o pravima osoba s invaliditetom i Fakultativnog protokola uz Konvenciju o pravima osoba s invaliditetom (Narodne novine - dodatak Međunarodni ugovori, broj 6/2007 i 5/2008), te Nacionalnoj strategiji izjednačavanja mogućnosti za osobe s invaliditetom od 2007. do 2015. godine (Narodne novine broj 63/2007), kojom je utvrđena mjera u kojoj se nadležna tijela obvezuju izraditi stručnu i analitičku podlogu o mogućnostima unapređenja prava s osnove invalidnosti, te predložiti donošenje odgovarajućih propisa. Kao jedna od aktivnosti u okviru navedene mjere predviđeno je i utvrđivanje jedinstvenog tijela vještačenja.  </w:t>
      </w:r>
    </w:p>
    <w:p w:rsidR="00505632" w:rsidRDefault="00505632" w:rsidP="00505632">
      <w:r>
        <w:t xml:space="preserve">Jedinstveno tijelo vještačenja uspostavlja sustav  vještačenja  sa stručnjacima koji su zaposleni u sustavu na puno radno vrijeme, a vještaci, osim svoje bazične edukacije,  imaju jedinstvenu edukaciju o principima i metodologiji vještačenja. Vještačenje se provodi sukladno jedinstvenim metodologijama utvrđenim Uredbom Vlade Republike Hrvatske.  </w:t>
      </w:r>
    </w:p>
    <w:p w:rsidR="00505632" w:rsidRDefault="00505632" w:rsidP="00505632">
      <w:r>
        <w:t>Jedinstveno tijelo vještačenja započelo je s radom 1. siječnja 2015.godine i djeluje u zasebnoj ustrojstvenoj jedinici Zavoda – Sektoru za vještačenje.</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1.1. Provođenje aktivne politike zapošljavanja OSI na tržištu rada</w:t>
            </w:r>
          </w:p>
        </w:tc>
        <w:tc>
          <w:tcPr>
            <w:tcW w:w="2551" w:type="dxa"/>
          </w:tcPr>
          <w:p w:rsidR="00505632" w:rsidRDefault="00505632" w:rsidP="00AD4E52">
            <w:pPr>
              <w:pStyle w:val="CellColumn"/>
              <w:jc w:val="left"/>
            </w:pPr>
            <w:r>
              <w:rPr>
                <w:rFonts w:cs="Times New Roman"/>
              </w:rPr>
              <w:t>Poticanje zapošljavanja OSI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1345</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1400</w:t>
            </w:r>
          </w:p>
        </w:tc>
        <w:tc>
          <w:tcPr>
            <w:tcW w:w="1020" w:type="dxa"/>
          </w:tcPr>
          <w:p w:rsidR="00505632" w:rsidRDefault="00505632" w:rsidP="00AD4E52">
            <w:pPr>
              <w:pStyle w:val="CellColumn"/>
              <w:jc w:val="right"/>
            </w:pPr>
            <w:r>
              <w:rPr>
                <w:rFonts w:cs="Times New Roman"/>
              </w:rPr>
              <w:t>1063</w:t>
            </w:r>
          </w:p>
        </w:tc>
      </w:tr>
      <w:tr w:rsidR="00505632" w:rsidTr="00AD4E52">
        <w:trPr>
          <w:jc w:val="center"/>
        </w:trPr>
        <w:tc>
          <w:tcPr>
            <w:tcW w:w="2551" w:type="dxa"/>
          </w:tcPr>
          <w:p w:rsidR="00505632" w:rsidRDefault="00505632" w:rsidP="00AD4E52">
            <w:pPr>
              <w:pStyle w:val="CellColumn"/>
              <w:jc w:val="left"/>
            </w:pPr>
            <w:r>
              <w:rPr>
                <w:rFonts w:cs="Times New Roman"/>
              </w:rPr>
              <w:t>1.1.1.1. Broj poslodavaca korisnika državnih poticaja</w:t>
            </w:r>
          </w:p>
        </w:tc>
        <w:tc>
          <w:tcPr>
            <w:tcW w:w="2551" w:type="dxa"/>
          </w:tcPr>
          <w:p w:rsidR="00505632" w:rsidRDefault="00505632" w:rsidP="00AD4E52">
            <w:pPr>
              <w:pStyle w:val="CellColumn"/>
              <w:jc w:val="left"/>
            </w:pPr>
            <w:r>
              <w:rPr>
                <w:rFonts w:cs="Times New Roman"/>
              </w:rPr>
              <w:t>Poticanje poslodavaca koji zapošljavaju OSI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446</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460</w:t>
            </w:r>
          </w:p>
        </w:tc>
        <w:tc>
          <w:tcPr>
            <w:tcW w:w="1020" w:type="dxa"/>
          </w:tcPr>
          <w:p w:rsidR="00505632" w:rsidRDefault="00505632" w:rsidP="00AD4E52">
            <w:pPr>
              <w:pStyle w:val="CellColumn"/>
              <w:jc w:val="right"/>
            </w:pPr>
            <w:r>
              <w:rPr>
                <w:rFonts w:cs="Times New Roman"/>
              </w:rPr>
              <w:t>288</w:t>
            </w:r>
          </w:p>
        </w:tc>
      </w:tr>
      <w:tr w:rsidR="00505632" w:rsidTr="00AD4E52">
        <w:trPr>
          <w:jc w:val="center"/>
        </w:trPr>
        <w:tc>
          <w:tcPr>
            <w:tcW w:w="2551" w:type="dxa"/>
          </w:tcPr>
          <w:p w:rsidR="00505632" w:rsidRDefault="00505632" w:rsidP="00AD4E52">
            <w:pPr>
              <w:pStyle w:val="CellColumn"/>
              <w:jc w:val="left"/>
            </w:pPr>
            <w:r>
              <w:rPr>
                <w:rFonts w:cs="Times New Roman"/>
              </w:rPr>
              <w:t>1.1.1.2. Broj zaposlenih osoba s invaliditetom za koje poslodavci koriste poticaje</w:t>
            </w:r>
          </w:p>
        </w:tc>
        <w:tc>
          <w:tcPr>
            <w:tcW w:w="2551" w:type="dxa"/>
          </w:tcPr>
          <w:p w:rsidR="00505632" w:rsidRDefault="00505632" w:rsidP="00AD4E52">
            <w:pPr>
              <w:pStyle w:val="CellColumn"/>
              <w:jc w:val="left"/>
            </w:pPr>
            <w:r>
              <w:rPr>
                <w:rFonts w:cs="Times New Roman"/>
              </w:rPr>
              <w:t>Poticanje zapošljavanja OSI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1345</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1400</w:t>
            </w:r>
          </w:p>
        </w:tc>
        <w:tc>
          <w:tcPr>
            <w:tcW w:w="1020" w:type="dxa"/>
          </w:tcPr>
          <w:p w:rsidR="00505632" w:rsidRDefault="00505632" w:rsidP="00AD4E52">
            <w:pPr>
              <w:pStyle w:val="CellColumn"/>
              <w:jc w:val="right"/>
            </w:pPr>
            <w:r>
              <w:rPr>
                <w:rFonts w:cs="Times New Roman"/>
              </w:rPr>
              <w:t>1063</w:t>
            </w:r>
          </w:p>
        </w:tc>
      </w:tr>
      <w:tr w:rsidR="00505632" w:rsidTr="00AD4E52">
        <w:trPr>
          <w:jc w:val="center"/>
        </w:trPr>
        <w:tc>
          <w:tcPr>
            <w:tcW w:w="2551" w:type="dxa"/>
          </w:tcPr>
          <w:p w:rsidR="00505632" w:rsidRDefault="00505632" w:rsidP="00AD4E52">
            <w:pPr>
              <w:pStyle w:val="CellColumn"/>
              <w:jc w:val="left"/>
            </w:pPr>
            <w:r>
              <w:rPr>
                <w:rFonts w:cs="Times New Roman"/>
              </w:rPr>
              <w:t>1.1.2.1. Broj tiskanih materijala za poslodavce</w:t>
            </w:r>
          </w:p>
        </w:tc>
        <w:tc>
          <w:tcPr>
            <w:tcW w:w="2551" w:type="dxa"/>
          </w:tcPr>
          <w:p w:rsidR="00505632" w:rsidRDefault="00505632" w:rsidP="00AD4E52">
            <w:pPr>
              <w:pStyle w:val="CellColumn"/>
              <w:jc w:val="left"/>
            </w:pPr>
            <w:r>
              <w:rPr>
                <w:rFonts w:cs="Times New Roman"/>
              </w:rPr>
              <w:t>Informiranje poslodavaca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1000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1100</w:t>
            </w:r>
          </w:p>
        </w:tc>
        <w:tc>
          <w:tcPr>
            <w:tcW w:w="1020" w:type="dxa"/>
          </w:tcPr>
          <w:p w:rsidR="00505632" w:rsidRDefault="00505632" w:rsidP="00AD4E52">
            <w:pPr>
              <w:pStyle w:val="CellColumn"/>
              <w:jc w:val="right"/>
            </w:pPr>
            <w:r>
              <w:rPr>
                <w:rFonts w:cs="Times New Roman"/>
              </w:rPr>
              <w:t>1000</w:t>
            </w:r>
          </w:p>
        </w:tc>
      </w:tr>
      <w:tr w:rsidR="00505632" w:rsidTr="00AD4E52">
        <w:trPr>
          <w:jc w:val="center"/>
        </w:trPr>
        <w:tc>
          <w:tcPr>
            <w:tcW w:w="2551" w:type="dxa"/>
          </w:tcPr>
          <w:p w:rsidR="00505632" w:rsidRDefault="00505632" w:rsidP="00AD4E52">
            <w:pPr>
              <w:pStyle w:val="CellColumn"/>
              <w:jc w:val="left"/>
            </w:pPr>
            <w:r>
              <w:rPr>
                <w:rFonts w:cs="Times New Roman"/>
              </w:rPr>
              <w:t>1.1.2.2. Broj TV i radio emisija</w:t>
            </w:r>
          </w:p>
        </w:tc>
        <w:tc>
          <w:tcPr>
            <w:tcW w:w="2551" w:type="dxa"/>
          </w:tcPr>
          <w:p w:rsidR="00505632" w:rsidRDefault="00505632" w:rsidP="00AD4E52">
            <w:pPr>
              <w:pStyle w:val="CellColumn"/>
              <w:jc w:val="left"/>
            </w:pPr>
            <w:r>
              <w:rPr>
                <w:rFonts w:cs="Times New Roman"/>
              </w:rPr>
              <w:t>Informiranje javnosti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12</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1.1.2.3. Broj sudjelovanja na stručnim skupovima</w:t>
            </w:r>
          </w:p>
        </w:tc>
        <w:tc>
          <w:tcPr>
            <w:tcW w:w="2551" w:type="dxa"/>
          </w:tcPr>
          <w:p w:rsidR="00505632" w:rsidRDefault="00505632" w:rsidP="00AD4E52">
            <w:pPr>
              <w:pStyle w:val="CellColumn"/>
              <w:jc w:val="left"/>
            </w:pPr>
            <w:r>
              <w:rPr>
                <w:rFonts w:cs="Times New Roman"/>
              </w:rPr>
              <w:t>Stručno usavršavanje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12</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1.1.3.1. Postotak izvršenih kontrola s obzirom na pristigle zahtjeve</w:t>
            </w:r>
          </w:p>
        </w:tc>
        <w:tc>
          <w:tcPr>
            <w:tcW w:w="2551" w:type="dxa"/>
          </w:tcPr>
          <w:p w:rsidR="00505632" w:rsidRDefault="00505632" w:rsidP="00AD4E52">
            <w:pPr>
              <w:pStyle w:val="CellColumn"/>
              <w:jc w:val="left"/>
            </w:pPr>
            <w:r>
              <w:rPr>
                <w:rFonts w:cs="Times New Roman"/>
              </w:rPr>
              <w:t>Kontrola zahtjeva za poticaje</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1.2.1.1. Uspoređene i analizirane zakonske odredbe o profesionalnoj rehabilitaciji</w:t>
            </w:r>
          </w:p>
        </w:tc>
        <w:tc>
          <w:tcPr>
            <w:tcW w:w="2551" w:type="dxa"/>
          </w:tcPr>
          <w:p w:rsidR="00505632" w:rsidRDefault="00505632" w:rsidP="00AD4E52">
            <w:pPr>
              <w:pStyle w:val="CellColumn"/>
              <w:jc w:val="left"/>
            </w:pPr>
            <w:r>
              <w:rPr>
                <w:rFonts w:cs="Times New Roman"/>
              </w:rPr>
              <w:t>Razvoj profesionalne rehabilitacije</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85</w:t>
            </w:r>
          </w:p>
        </w:tc>
      </w:tr>
      <w:tr w:rsidR="00505632" w:rsidTr="00AD4E52">
        <w:trPr>
          <w:jc w:val="center"/>
        </w:trPr>
        <w:tc>
          <w:tcPr>
            <w:tcW w:w="2551" w:type="dxa"/>
          </w:tcPr>
          <w:p w:rsidR="00505632" w:rsidRDefault="00505632" w:rsidP="00AD4E52">
            <w:pPr>
              <w:pStyle w:val="CellColumn"/>
              <w:jc w:val="left"/>
            </w:pPr>
            <w:r>
              <w:rPr>
                <w:rFonts w:cs="Times New Roman"/>
              </w:rPr>
              <w:t>1.2.2.1. Izrađeni i nadopunjeni standardi i usluge profesionalne rehabilitacije</w:t>
            </w:r>
          </w:p>
        </w:tc>
        <w:tc>
          <w:tcPr>
            <w:tcW w:w="2551" w:type="dxa"/>
          </w:tcPr>
          <w:p w:rsidR="00505632" w:rsidRDefault="00505632" w:rsidP="00AD4E52">
            <w:pPr>
              <w:pStyle w:val="CellColumn"/>
              <w:jc w:val="left"/>
            </w:pPr>
            <w:r>
              <w:rPr>
                <w:rFonts w:cs="Times New Roman"/>
              </w:rPr>
              <w:t>Razvoj profesionalne rehabilitacije</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1.2.3.1. Educirani stručnjaci koji će provoditi model profesionalne rehabilitacije</w:t>
            </w:r>
          </w:p>
        </w:tc>
        <w:tc>
          <w:tcPr>
            <w:tcW w:w="2551" w:type="dxa"/>
          </w:tcPr>
          <w:p w:rsidR="00505632" w:rsidRDefault="00505632" w:rsidP="00AD4E52">
            <w:pPr>
              <w:pStyle w:val="CellColumn"/>
              <w:jc w:val="left"/>
            </w:pPr>
            <w:r>
              <w:rPr>
                <w:rFonts w:cs="Times New Roman"/>
              </w:rPr>
              <w:t>Edukacija u svrhu profesionalne rehabilitacije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20</w:t>
            </w:r>
          </w:p>
        </w:tc>
      </w:tr>
      <w:tr w:rsidR="00505632" w:rsidTr="00AD4E52">
        <w:trPr>
          <w:jc w:val="center"/>
        </w:trPr>
        <w:tc>
          <w:tcPr>
            <w:tcW w:w="2551" w:type="dxa"/>
          </w:tcPr>
          <w:p w:rsidR="00505632" w:rsidRDefault="00505632" w:rsidP="00AD4E52">
            <w:pPr>
              <w:pStyle w:val="CellColumn"/>
              <w:jc w:val="left"/>
            </w:pPr>
            <w:r>
              <w:rPr>
                <w:rFonts w:cs="Times New Roman"/>
              </w:rPr>
              <w:t>1.2.4.1. Broj centara nad kojima je izvršen stručni i financijski nadzor</w:t>
            </w:r>
          </w:p>
        </w:tc>
        <w:tc>
          <w:tcPr>
            <w:tcW w:w="2551" w:type="dxa"/>
          </w:tcPr>
          <w:p w:rsidR="00505632" w:rsidRDefault="00505632" w:rsidP="00AD4E52">
            <w:pPr>
              <w:pStyle w:val="CellColumn"/>
              <w:jc w:val="left"/>
            </w:pPr>
            <w:r>
              <w:rPr>
                <w:rFonts w:cs="Times New Roman"/>
              </w:rPr>
              <w:t>Stručni nadzor nad CPR-ovima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6</w:t>
            </w:r>
          </w:p>
        </w:tc>
      </w:tr>
      <w:tr w:rsidR="00505632" w:rsidTr="00AD4E52">
        <w:trPr>
          <w:jc w:val="center"/>
        </w:trPr>
        <w:tc>
          <w:tcPr>
            <w:tcW w:w="2551" w:type="dxa"/>
          </w:tcPr>
          <w:p w:rsidR="00505632" w:rsidRDefault="00505632" w:rsidP="00AD4E52">
            <w:pPr>
              <w:pStyle w:val="CellColumn"/>
              <w:jc w:val="left"/>
            </w:pPr>
            <w:r>
              <w:rPr>
                <w:rFonts w:cs="Times New Roman"/>
              </w:rPr>
              <w:t>1.3.1.1. Integrirani aplikacijski sustav</w:t>
            </w:r>
          </w:p>
        </w:tc>
        <w:tc>
          <w:tcPr>
            <w:tcW w:w="2551" w:type="dxa"/>
          </w:tcPr>
          <w:p w:rsidR="00505632" w:rsidRDefault="00505632" w:rsidP="00AD4E52">
            <w:pPr>
              <w:pStyle w:val="CellColumn"/>
              <w:jc w:val="left"/>
            </w:pPr>
            <w:r>
              <w:rPr>
                <w:rFonts w:cs="Times New Roman"/>
              </w:rPr>
              <w:t>Integrirani aplikacijski sustav</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1.3.2.1. Broj završenih edukacija</w:t>
            </w:r>
          </w:p>
        </w:tc>
        <w:tc>
          <w:tcPr>
            <w:tcW w:w="2551" w:type="dxa"/>
          </w:tcPr>
          <w:p w:rsidR="00505632" w:rsidRDefault="00505632" w:rsidP="00AD4E52">
            <w:pPr>
              <w:pStyle w:val="CellColumn"/>
              <w:jc w:val="left"/>
            </w:pPr>
            <w:r>
              <w:rPr>
                <w:rFonts w:cs="Times New Roman"/>
              </w:rPr>
              <w:t>Edukacija zaposlenika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40</w:t>
            </w:r>
          </w:p>
        </w:tc>
      </w:tr>
      <w:tr w:rsidR="00505632" w:rsidTr="00AD4E52">
        <w:trPr>
          <w:jc w:val="center"/>
        </w:trPr>
        <w:tc>
          <w:tcPr>
            <w:tcW w:w="2551" w:type="dxa"/>
          </w:tcPr>
          <w:p w:rsidR="00505632" w:rsidRDefault="00505632" w:rsidP="00AD4E52">
            <w:pPr>
              <w:pStyle w:val="CellColumn"/>
              <w:jc w:val="left"/>
            </w:pPr>
            <w:r>
              <w:rPr>
                <w:rFonts w:cs="Times New Roman"/>
              </w:rPr>
              <w:t>1.4.1.1. Izvršeni postupci vještačenja u prvom i drugom stupnju</w:t>
            </w:r>
          </w:p>
        </w:tc>
        <w:tc>
          <w:tcPr>
            <w:tcW w:w="2551" w:type="dxa"/>
          </w:tcPr>
          <w:p w:rsidR="00505632" w:rsidRDefault="00505632" w:rsidP="00AD4E52">
            <w:pPr>
              <w:pStyle w:val="CellColumn"/>
              <w:jc w:val="left"/>
            </w:pPr>
            <w:r>
              <w:rPr>
                <w:rFonts w:cs="Times New Roman"/>
              </w:rPr>
              <w:t>Postupci vještačenja u prvom i drugom stupnju</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63</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63</w:t>
            </w:r>
          </w:p>
        </w:tc>
      </w:tr>
      <w:tr w:rsidR="00505632" w:rsidTr="00AD4E52">
        <w:trPr>
          <w:jc w:val="center"/>
        </w:trPr>
        <w:tc>
          <w:tcPr>
            <w:tcW w:w="2551" w:type="dxa"/>
          </w:tcPr>
          <w:p w:rsidR="00505632" w:rsidRDefault="00505632" w:rsidP="00AD4E52">
            <w:pPr>
              <w:pStyle w:val="CellColumn"/>
              <w:jc w:val="left"/>
            </w:pPr>
            <w:r>
              <w:rPr>
                <w:rFonts w:cs="Times New Roman"/>
              </w:rPr>
              <w:t>1.4.2.1.  Educirani stručnjaci koji će provoditi vještačenje</w:t>
            </w:r>
          </w:p>
        </w:tc>
        <w:tc>
          <w:tcPr>
            <w:tcW w:w="2551" w:type="dxa"/>
          </w:tcPr>
          <w:p w:rsidR="00505632" w:rsidRDefault="00505632" w:rsidP="00AD4E52">
            <w:pPr>
              <w:pStyle w:val="CellColumn"/>
              <w:jc w:val="left"/>
            </w:pPr>
            <w:r>
              <w:rPr>
                <w:rFonts w:cs="Times New Roman"/>
              </w:rPr>
              <w:t>Edukacija stručnjaka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120</w:t>
            </w:r>
          </w:p>
        </w:tc>
        <w:tc>
          <w:tcPr>
            <w:tcW w:w="1020" w:type="dxa"/>
          </w:tcPr>
          <w:p w:rsidR="00505632" w:rsidRDefault="00505632" w:rsidP="00AD4E52">
            <w:pPr>
              <w:pStyle w:val="CellColumn"/>
              <w:jc w:val="right"/>
            </w:pPr>
            <w:r>
              <w:rPr>
                <w:rFonts w:cs="Times New Roman"/>
              </w:rPr>
              <w:t>85</w:t>
            </w:r>
          </w:p>
        </w:tc>
      </w:tr>
    </w:tbl>
    <w:p w:rsidR="00505632" w:rsidRDefault="00505632" w:rsidP="00505632">
      <w:pPr>
        <w:jc w:val="left"/>
      </w:pPr>
    </w:p>
    <w:p w:rsidR="00505632" w:rsidRDefault="00505632" w:rsidP="00505632">
      <w:pPr>
        <w:pStyle w:val="Heading4"/>
      </w:pPr>
      <w:r>
        <w:t>A875001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A875001-ADMINISTRACIJA I UPRAVLJANJE</w:t>
            </w:r>
          </w:p>
        </w:tc>
        <w:tc>
          <w:tcPr>
            <w:tcW w:w="2041" w:type="dxa"/>
          </w:tcPr>
          <w:p w:rsidR="00505632" w:rsidRDefault="00505632" w:rsidP="00AD4E52">
            <w:pPr>
              <w:pStyle w:val="CellColumn"/>
              <w:jc w:val="right"/>
            </w:pPr>
            <w:r>
              <w:rPr>
                <w:rFonts w:cs="Times New Roman"/>
              </w:rPr>
              <w:t>28.882.307</w:t>
            </w:r>
          </w:p>
        </w:tc>
        <w:tc>
          <w:tcPr>
            <w:tcW w:w="2041" w:type="dxa"/>
          </w:tcPr>
          <w:p w:rsidR="00505632" w:rsidRDefault="00505632" w:rsidP="00AD4E52">
            <w:pPr>
              <w:pStyle w:val="CellColumn"/>
              <w:jc w:val="right"/>
            </w:pPr>
            <w:r>
              <w:rPr>
                <w:rFonts w:cs="Times New Roman"/>
              </w:rPr>
              <w:t>49.081.500</w:t>
            </w:r>
          </w:p>
        </w:tc>
        <w:tc>
          <w:tcPr>
            <w:tcW w:w="2041" w:type="dxa"/>
          </w:tcPr>
          <w:p w:rsidR="00505632" w:rsidRDefault="00505632" w:rsidP="00AD4E52">
            <w:pPr>
              <w:pStyle w:val="CellColumn"/>
              <w:jc w:val="right"/>
            </w:pPr>
            <w:r>
              <w:rPr>
                <w:rFonts w:cs="Times New Roman"/>
              </w:rPr>
              <w:t>43.475.698</w:t>
            </w:r>
          </w:p>
        </w:tc>
        <w:tc>
          <w:tcPr>
            <w:tcW w:w="1224" w:type="dxa"/>
          </w:tcPr>
          <w:p w:rsidR="00505632" w:rsidRDefault="00505632" w:rsidP="00AD4E52">
            <w:pPr>
              <w:pStyle w:val="CellColumn"/>
              <w:jc w:val="right"/>
            </w:pPr>
            <w:r>
              <w:rPr>
                <w:rFonts w:cs="Times New Roman"/>
              </w:rPr>
              <w:t>88,6</w:t>
            </w:r>
          </w:p>
        </w:tc>
        <w:tc>
          <w:tcPr>
            <w:tcW w:w="1224" w:type="dxa"/>
          </w:tcPr>
          <w:p w:rsidR="00505632" w:rsidRDefault="00505632" w:rsidP="00AD4E52">
            <w:pPr>
              <w:pStyle w:val="CellColumn"/>
              <w:jc w:val="right"/>
            </w:pPr>
            <w:r>
              <w:rPr>
                <w:rFonts w:cs="Times New Roman"/>
              </w:rPr>
              <w:t>150,5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Pravilnik o unutarnjem ustrojstvu i sistematizaciji radnih mjesta Zavoda za vještačenje, profesionalnu rehabilitaciju i zapošljavanje osoba s invaliditetom usvojenog dana 22. prosinca 2014. godine od strane Upravnog vijeća Zavoda  </w:t>
      </w:r>
    </w:p>
    <w:p w:rsidR="00505632" w:rsidRDefault="00505632" w:rsidP="00505632">
      <w:r>
        <w:t xml:space="preserve">Zakon o profesionalnoj rehabilitaciji i zapošljavanju osoba s invaliditetom (NN 157/13, 152/14)  </w:t>
      </w:r>
    </w:p>
    <w:p w:rsidR="00505632" w:rsidRDefault="00505632" w:rsidP="00505632">
      <w:r>
        <w:t xml:space="preserve">Zakon o jedinstvenom tijelu vještačenja (NN 85/14, 95/15)  </w:t>
      </w:r>
    </w:p>
    <w:p w:rsidR="00505632" w:rsidRDefault="00505632" w:rsidP="00505632">
      <w:r>
        <w:t xml:space="preserve">Pravilnik o ostvarivanju prava na naknadu putnih troškova u vezi s vještačenjem i Pravilnik o izmjenama i dopunama Pravilnika o ostvarivanju prava na naknadu putnih troškova u svezi s vještačenjem (NN 44/15) </w:t>
      </w:r>
    </w:p>
    <w:p w:rsidR="00505632" w:rsidRDefault="00505632" w:rsidP="00505632">
      <w:r>
        <w:t>Odluka o dodjeli poslovnih prostora i opreme na korištenje Zavodu za vještačenje, profesionalnu rehabilitaciju i zapošljavanje osoba s invaliditetom, KLASA:406-01/14-02/183, URBROJ:341-99-07/6-14-5 od 31. prosinca 2014. godine te njezinih Izmjena donošenih dana 17.03.2015., 16.10.2015., 1.7.2016., 18.7.2016. i 19.8.2016. godine temeljem koje Zavod koristi prostore Hrvatskog zavoda za mirovinsko osiguranje (u daljnjem tekstu: HZMO) za obavljanje svoje djelatnosti (u daljnjem tekstu: Odluka)</w:t>
      </w:r>
    </w:p>
    <w:p w:rsidR="00505632" w:rsidRDefault="00505632" w:rsidP="00505632">
      <w:pPr>
        <w:pStyle w:val="Heading8"/>
        <w:jc w:val="left"/>
      </w:pPr>
      <w:r>
        <w:t>Opis aktivnosti</w:t>
      </w:r>
    </w:p>
    <w:p w:rsidR="00505632" w:rsidRDefault="00505632" w:rsidP="00505632">
      <w:r>
        <w:t>Zavod na aktivnosti A875001 Administracija i upravljanje za 2016. godinu ima planirana novčana sredstva u iznosu od 49.081.500,00 kn, a koja su utrošena u iznosu od 43.475.698,00 kn odnosno 88,6% od planiranih na rashode za zaposlene u iznosu od 32.011.937,50 kn koji čine najznačajniji trošak navedene aktivnosti (Zavod je na dan 31.12.2015 godine imao 201 zaposlenu osobu, a na dan 31.12.2016. godine zaposleno 227 osoba). Ostala utrošena sredstva u iznosu od 11.463.760,90 kn odnose se na materijalne rashode od čega je najznačajniji dio utrošen na isplatu ugovora o djelu u iznosu od 2.295.288,34 kn jer zbog specifičnosti pojedinih slučajeva vještačenja i nedovoljno zaposlenih stručnjaka iz područja vještačenja postoji potreba angažiranja vanjskih suradnika. Zavod također isplaćuje naknadu putnih troškova osobama koje dolaze na vještačenje radi ostvarivanja prava iz područja socijalne skrbi, mirovinskog osiguranja, zdravstva, obrazovanja, profesionalne rehabilitacije i zapošljavanja osoba s invaliditetom, zaštite ratnih i civilnih žrtava rata, te drugim područjima u kojima se ostvaruju određena prava na temelju vještačenja, odnosno na temelju nalaza i mišljenja Jedinstvenog tijela vještačenja. Ujedno Zavod plaća naknadu Centrima za profesionalnu rehabilitaciju (Zagreb, Osijek, Rijeka) za uslugu rehabilitacijske procjene razine radnih sposobnosti, vještina, radnih navika i profesionalnih interesa (za potrebe Sektora za vještačenje) i uslugu rehabilitacijske procjene razine radnih sposobnosti, vještina, radnih navika i profesionalnih interesa -invaliditet u odnosu na rad (za potrebe Sektora za profesionalnu rehabilitaciju). Ostala utrošena novčana sredstva odnose se na podmirenje tekućih obveza Zavoda koje proizlaze iz obavljanja djelatnosti te provođenja racionalnog trošenja novčanih sredstava.  Zavod ima jedan središnji ured u Zagrebu, 5 područnih ureda (Zagreb, Osijek, Split, Rijeka i Varaždin) i 12 izdvojenih radnih mjesta te se većina režijskih troškova podmiruje Hrvatskom zavodu za mirovinsko osiguranje čije prostore koristi Zavod temeljem Odluke. Izvršenje financijskog plana za 2016. godinu u odnosu na 2015. godinu je za 50,5% veće, a čiji razlog se nalazi ponajviše u rashodima za zaposlene. Tijekom 2015. godine Zavod je provodio zapošljavanje i preuzeo vještake i druge suradnika od strane HZMO-a te je sa 15 zaposlenika na dan 31.12.2014. porastao na 201 zaposlenika na dan 31.12.2015. godine, a kako je bilo kontinuirano zapošljavanje rashodi za zaposlene izvršene su za 69,86% od planiranog u 2015. godini. Slijedom navedenog rashodi za 2016. su povećani.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zaposlenih osoba</w:t>
            </w:r>
          </w:p>
        </w:tc>
        <w:tc>
          <w:tcPr>
            <w:tcW w:w="2551" w:type="dxa"/>
          </w:tcPr>
          <w:p w:rsidR="00505632" w:rsidRDefault="00505632" w:rsidP="00AD4E52">
            <w:pPr>
              <w:pStyle w:val="CellColumn"/>
              <w:jc w:val="left"/>
            </w:pPr>
            <w:r>
              <w:rPr>
                <w:rFonts w:cs="Times New Roman"/>
              </w:rPr>
              <w:t>Osobe koje su zaposlene u ZOSI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201</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250</w:t>
            </w:r>
          </w:p>
        </w:tc>
        <w:tc>
          <w:tcPr>
            <w:tcW w:w="1020" w:type="dxa"/>
          </w:tcPr>
          <w:p w:rsidR="00505632" w:rsidRDefault="00505632" w:rsidP="00AD4E52">
            <w:pPr>
              <w:pStyle w:val="CellColumn"/>
              <w:jc w:val="right"/>
            </w:pPr>
            <w:r>
              <w:rPr>
                <w:rFonts w:cs="Times New Roman"/>
              </w:rPr>
              <w:t>227</w:t>
            </w:r>
          </w:p>
        </w:tc>
      </w:tr>
    </w:tbl>
    <w:p w:rsidR="00505632" w:rsidRDefault="00505632" w:rsidP="00505632">
      <w:pPr>
        <w:jc w:val="left"/>
      </w:pPr>
    </w:p>
    <w:p w:rsidR="00505632" w:rsidRDefault="00505632" w:rsidP="00505632">
      <w:pPr>
        <w:pStyle w:val="Heading4"/>
      </w:pPr>
      <w:r>
        <w:t>A875002 FINANCIRANJE I SUFINANCIRANJE PROGRAMA PROFESIONALNE REHABILITACIJE I ZAPOŠLJAVANJE OSOBA S INVALIDITETOM</w:t>
      </w:r>
    </w:p>
    <w:tbl>
      <w:tblPr>
        <w:tblStyle w:val="StilTablice"/>
        <w:tblW w:w="10206" w:type="dxa"/>
        <w:jc w:val="center"/>
        <w:tblLook w:val="04A0" w:firstRow="1" w:lastRow="0" w:firstColumn="1" w:lastColumn="0" w:noHBand="0" w:noVBand="1"/>
      </w:tblPr>
      <w:tblGrid>
        <w:gridCol w:w="1804"/>
        <w:gridCol w:w="1991"/>
        <w:gridCol w:w="1992"/>
        <w:gridCol w:w="1989"/>
        <w:gridCol w:w="1213"/>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A875002-FINANCIRANJE I SUFINANCIRANJE PROGRAMA PROFESIONALNE REHABILITACIJE I ZAPOŠLJAVANJE OSOBA S INVALIDITETOM</w:t>
            </w:r>
          </w:p>
        </w:tc>
        <w:tc>
          <w:tcPr>
            <w:tcW w:w="2041" w:type="dxa"/>
          </w:tcPr>
          <w:p w:rsidR="00505632" w:rsidRDefault="00505632" w:rsidP="00AD4E52">
            <w:pPr>
              <w:pStyle w:val="CellColumn"/>
              <w:jc w:val="right"/>
            </w:pPr>
            <w:r>
              <w:rPr>
                <w:rFonts w:cs="Times New Roman"/>
              </w:rPr>
              <w:t>3.173.598</w:t>
            </w:r>
          </w:p>
        </w:tc>
        <w:tc>
          <w:tcPr>
            <w:tcW w:w="2041" w:type="dxa"/>
          </w:tcPr>
          <w:p w:rsidR="00505632" w:rsidRDefault="00505632" w:rsidP="00AD4E52">
            <w:pPr>
              <w:pStyle w:val="CellColumn"/>
              <w:jc w:val="right"/>
            </w:pPr>
            <w:r>
              <w:rPr>
                <w:rFonts w:cs="Times New Roman"/>
              </w:rPr>
              <w:t>1.611.500</w:t>
            </w:r>
          </w:p>
        </w:tc>
        <w:tc>
          <w:tcPr>
            <w:tcW w:w="2041" w:type="dxa"/>
          </w:tcPr>
          <w:p w:rsidR="00505632" w:rsidRDefault="00505632" w:rsidP="00AD4E52">
            <w:pPr>
              <w:pStyle w:val="CellColumn"/>
              <w:jc w:val="right"/>
            </w:pPr>
            <w:r>
              <w:rPr>
                <w:rFonts w:cs="Times New Roman"/>
              </w:rPr>
              <w:t>412.967</w:t>
            </w:r>
          </w:p>
        </w:tc>
        <w:tc>
          <w:tcPr>
            <w:tcW w:w="1224" w:type="dxa"/>
          </w:tcPr>
          <w:p w:rsidR="00505632" w:rsidRDefault="00505632" w:rsidP="00AD4E52">
            <w:pPr>
              <w:pStyle w:val="CellColumn"/>
              <w:jc w:val="right"/>
            </w:pPr>
            <w:r>
              <w:rPr>
                <w:rFonts w:cs="Times New Roman"/>
              </w:rPr>
              <w:t>25,6</w:t>
            </w:r>
          </w:p>
        </w:tc>
        <w:tc>
          <w:tcPr>
            <w:tcW w:w="1224" w:type="dxa"/>
          </w:tcPr>
          <w:p w:rsidR="00505632" w:rsidRDefault="00505632" w:rsidP="00AD4E52">
            <w:pPr>
              <w:pStyle w:val="CellColumn"/>
              <w:jc w:val="right"/>
            </w:pPr>
            <w:r>
              <w:rPr>
                <w:rFonts w:cs="Times New Roman"/>
              </w:rPr>
              <w:t>13,0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profesionalnoj rehabilitaciji i zapošljavanju osoba s invaliditetom (NN 157/13, 152/14)  </w:t>
      </w:r>
    </w:p>
    <w:p w:rsidR="00505632" w:rsidRDefault="00505632" w:rsidP="00505632">
      <w:r>
        <w:t xml:space="preserve">Pravilnik o poticajima pri zapošljavanju osoba s invaliditetom (NN 44/14, 02/15, 13/15)  </w:t>
      </w:r>
    </w:p>
    <w:p w:rsidR="00505632" w:rsidRDefault="00505632" w:rsidP="00505632">
      <w:r>
        <w:t xml:space="preserve">Pravilnik o sadržaju i načinu vođenja očevidnika zaposlenih osoba s invaliditetom (NN 44/14, Izmjena NN 97/14, 02/15)  </w:t>
      </w:r>
    </w:p>
    <w:p w:rsidR="00505632" w:rsidRDefault="00505632" w:rsidP="00505632">
      <w:r>
        <w:t xml:space="preserve">Pravilnik o zaštitnim radionicama i integrativnim radionicama za zapošljavanje osoba s invaliditetom (NN 44/14, 02/15)  </w:t>
      </w:r>
    </w:p>
    <w:p w:rsidR="00505632" w:rsidRDefault="00505632" w:rsidP="00505632">
      <w:r>
        <w:t>Pravilnik o profesionalnoj rehabilitaciji i centrima za profesionalnu rehabilitaciju osoba s invaliditetom (NN 44/14, 02/15)</w:t>
      </w:r>
    </w:p>
    <w:p w:rsidR="00505632" w:rsidRDefault="00505632" w:rsidP="00505632">
      <w:pPr>
        <w:pStyle w:val="Heading8"/>
        <w:jc w:val="left"/>
      </w:pPr>
      <w:r>
        <w:t>Opis aktivnosti</w:t>
      </w:r>
    </w:p>
    <w:p w:rsidR="00505632" w:rsidRDefault="00505632" w:rsidP="00505632">
      <w:r>
        <w:t>Zavod je novčana sredstva utrošio u iznosu od 412.967,00 kn odnosno 25,6% od planiranog  za sufinanciranje centara za profesionalnu rehabilitaciju Rijeka i Osijek, te za ostale projekte vezane uz profesionalnu rehabilitaciju. Centri za profesionalnu rehabilitaciju provode usluge profesionalne rehabilitacije koje se temelje na Standardima usluga profesionalne rehabilitacije. Standarde usluga profesionalne rehabilitacije i Cjenik usluga profesionalne rehabilitacije izrađuje Zavod. Cilj ove aktivnosti je unapređivanje sustava profesionalne rehabilitacije na način da se osigura dobra procjena radnih sposobnosti osoba s invaliditetom, kvalitetno obrazovanje, prekvalifikacija, usavršavanje i stručno osposobljavanje usklađeno s potrebama tržišta rada te brža prilagodljivost potrebama tržišta rada.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1.2.1.1. Uspoređene i analizirane zakonske odredbe o profesionalnoj rehabilitaciji</w:t>
            </w:r>
          </w:p>
        </w:tc>
        <w:tc>
          <w:tcPr>
            <w:tcW w:w="2551" w:type="dxa"/>
          </w:tcPr>
          <w:p w:rsidR="00505632" w:rsidRDefault="00505632" w:rsidP="00AD4E52">
            <w:pPr>
              <w:pStyle w:val="CellColumn"/>
              <w:jc w:val="left"/>
            </w:pPr>
            <w:r>
              <w:rPr>
                <w:rFonts w:cs="Times New Roman"/>
              </w:rPr>
              <w:t>Usporedba i analiza zakonskih odredbi o profesionalnoj rehabilitaciji</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85</w:t>
            </w:r>
          </w:p>
        </w:tc>
      </w:tr>
      <w:tr w:rsidR="00505632" w:rsidTr="00AD4E52">
        <w:trPr>
          <w:jc w:val="center"/>
        </w:trPr>
        <w:tc>
          <w:tcPr>
            <w:tcW w:w="2551" w:type="dxa"/>
          </w:tcPr>
          <w:p w:rsidR="00505632" w:rsidRDefault="00505632" w:rsidP="00AD4E52">
            <w:pPr>
              <w:pStyle w:val="CellColumn"/>
              <w:jc w:val="left"/>
            </w:pPr>
            <w:r>
              <w:rPr>
                <w:rFonts w:cs="Times New Roman"/>
              </w:rPr>
              <w:t xml:space="preserve">1.2.2.1. Izrađeni i nadopunjeni standardi i usluge profesionalne </w:t>
            </w:r>
          </w:p>
          <w:p w:rsidR="00505632" w:rsidRDefault="00505632" w:rsidP="00AD4E52">
            <w:pPr>
              <w:pStyle w:val="CellColumn"/>
              <w:jc w:val="left"/>
            </w:pPr>
            <w:r>
              <w:rPr>
                <w:rFonts w:cs="Times New Roman"/>
              </w:rPr>
              <w:t>rehabilitacije</w:t>
            </w:r>
          </w:p>
        </w:tc>
        <w:tc>
          <w:tcPr>
            <w:tcW w:w="2551" w:type="dxa"/>
          </w:tcPr>
          <w:p w:rsidR="00505632" w:rsidRDefault="00505632" w:rsidP="00AD4E52">
            <w:pPr>
              <w:pStyle w:val="CellColumn"/>
              <w:jc w:val="left"/>
            </w:pPr>
            <w:r>
              <w:rPr>
                <w:rFonts w:cs="Times New Roman"/>
              </w:rPr>
              <w:t>Izrada i dopuna  standarda i usluga profesionalne rehabilitacije</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1.2.3.1. Educirani stručnjaci koji će provoditi model profesionalne rehabilitacije</w:t>
            </w:r>
          </w:p>
        </w:tc>
        <w:tc>
          <w:tcPr>
            <w:tcW w:w="2551" w:type="dxa"/>
          </w:tcPr>
          <w:p w:rsidR="00505632" w:rsidRDefault="00505632" w:rsidP="00AD4E52">
            <w:pPr>
              <w:pStyle w:val="CellColumn"/>
              <w:jc w:val="left"/>
            </w:pPr>
            <w:r>
              <w:rPr>
                <w:rFonts w:cs="Times New Roman"/>
              </w:rPr>
              <w:t>Edukacija stručnjaka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20</w:t>
            </w:r>
          </w:p>
        </w:tc>
      </w:tr>
      <w:tr w:rsidR="00505632" w:rsidTr="00AD4E52">
        <w:trPr>
          <w:jc w:val="center"/>
        </w:trPr>
        <w:tc>
          <w:tcPr>
            <w:tcW w:w="2551" w:type="dxa"/>
          </w:tcPr>
          <w:p w:rsidR="00505632" w:rsidRDefault="00505632" w:rsidP="00AD4E52">
            <w:pPr>
              <w:pStyle w:val="CellColumn"/>
              <w:jc w:val="left"/>
            </w:pPr>
            <w:r>
              <w:rPr>
                <w:rFonts w:cs="Times New Roman"/>
              </w:rPr>
              <w:t>1.2.4.1. Broj centara nad kojima je izvršen stručni nadzor</w:t>
            </w:r>
          </w:p>
        </w:tc>
        <w:tc>
          <w:tcPr>
            <w:tcW w:w="2551" w:type="dxa"/>
          </w:tcPr>
          <w:p w:rsidR="00505632" w:rsidRDefault="00505632" w:rsidP="00AD4E52">
            <w:pPr>
              <w:pStyle w:val="CellColumn"/>
              <w:jc w:val="left"/>
            </w:pPr>
            <w:r>
              <w:rPr>
                <w:rFonts w:cs="Times New Roman"/>
              </w:rPr>
              <w:t>Provedba nadzora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3</w:t>
            </w:r>
          </w:p>
        </w:tc>
      </w:tr>
      <w:tr w:rsidR="00505632" w:rsidTr="00AD4E52">
        <w:trPr>
          <w:jc w:val="center"/>
        </w:trPr>
        <w:tc>
          <w:tcPr>
            <w:tcW w:w="2551" w:type="dxa"/>
          </w:tcPr>
          <w:p w:rsidR="00505632" w:rsidRDefault="00505632" w:rsidP="00AD4E52">
            <w:pPr>
              <w:pStyle w:val="CellColumn"/>
              <w:jc w:val="left"/>
            </w:pPr>
            <w:r>
              <w:rPr>
                <w:rFonts w:cs="Times New Roman"/>
              </w:rPr>
              <w:t>1.2.4.2. Broj centara nad kojima je izvršen financijski nadzor</w:t>
            </w:r>
          </w:p>
        </w:tc>
        <w:tc>
          <w:tcPr>
            <w:tcW w:w="2551" w:type="dxa"/>
          </w:tcPr>
          <w:p w:rsidR="00505632" w:rsidRDefault="00505632" w:rsidP="00AD4E52">
            <w:pPr>
              <w:pStyle w:val="CellColumn"/>
              <w:jc w:val="left"/>
            </w:pPr>
            <w:r>
              <w:rPr>
                <w:rFonts w:cs="Times New Roman"/>
              </w:rPr>
              <w:t>Provedba nadzora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3</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A875003 OLAKŠICE I POTICAJI PRI ZAPOŠLJAVANJU OSOBA S INVALIDITETOM</w:t>
      </w:r>
    </w:p>
    <w:tbl>
      <w:tblPr>
        <w:tblStyle w:val="StilTablice"/>
        <w:tblW w:w="10206" w:type="dxa"/>
        <w:jc w:val="center"/>
        <w:tblLook w:val="04A0" w:firstRow="1" w:lastRow="0" w:firstColumn="1" w:lastColumn="0" w:noHBand="0" w:noVBand="1"/>
      </w:tblPr>
      <w:tblGrid>
        <w:gridCol w:w="1748"/>
        <w:gridCol w:w="2007"/>
        <w:gridCol w:w="2008"/>
        <w:gridCol w:w="2008"/>
        <w:gridCol w:w="1216"/>
        <w:gridCol w:w="121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A875003-OLAKŠICE I POTICAJI PRI ZAPOŠLJAVANJU OSOBA S INVALIDITETOM</w:t>
            </w:r>
          </w:p>
        </w:tc>
        <w:tc>
          <w:tcPr>
            <w:tcW w:w="2041" w:type="dxa"/>
          </w:tcPr>
          <w:p w:rsidR="00505632" w:rsidRDefault="00505632" w:rsidP="00AD4E52">
            <w:pPr>
              <w:pStyle w:val="CellColumn"/>
              <w:jc w:val="right"/>
            </w:pPr>
            <w:r>
              <w:rPr>
                <w:rFonts w:cs="Times New Roman"/>
              </w:rPr>
              <w:t>40.000.819</w:t>
            </w:r>
          </w:p>
        </w:tc>
        <w:tc>
          <w:tcPr>
            <w:tcW w:w="2041" w:type="dxa"/>
          </w:tcPr>
          <w:p w:rsidR="00505632" w:rsidRDefault="00505632" w:rsidP="00AD4E52">
            <w:pPr>
              <w:pStyle w:val="CellColumn"/>
              <w:jc w:val="right"/>
            </w:pPr>
            <w:r>
              <w:rPr>
                <w:rFonts w:cs="Times New Roman"/>
              </w:rPr>
              <w:t>30.000.000</w:t>
            </w:r>
          </w:p>
        </w:tc>
        <w:tc>
          <w:tcPr>
            <w:tcW w:w="2041" w:type="dxa"/>
          </w:tcPr>
          <w:p w:rsidR="00505632" w:rsidRDefault="00505632" w:rsidP="00AD4E52">
            <w:pPr>
              <w:pStyle w:val="CellColumn"/>
              <w:jc w:val="right"/>
            </w:pPr>
            <w:r>
              <w:rPr>
                <w:rFonts w:cs="Times New Roman"/>
              </w:rPr>
              <w:t>52.247.127</w:t>
            </w:r>
          </w:p>
        </w:tc>
        <w:tc>
          <w:tcPr>
            <w:tcW w:w="1224" w:type="dxa"/>
          </w:tcPr>
          <w:p w:rsidR="00505632" w:rsidRDefault="00505632" w:rsidP="00AD4E52">
            <w:pPr>
              <w:pStyle w:val="CellColumn"/>
              <w:jc w:val="right"/>
            </w:pPr>
            <w:r>
              <w:rPr>
                <w:rFonts w:cs="Times New Roman"/>
              </w:rPr>
              <w:t>174,2</w:t>
            </w:r>
          </w:p>
        </w:tc>
        <w:tc>
          <w:tcPr>
            <w:tcW w:w="1224" w:type="dxa"/>
          </w:tcPr>
          <w:p w:rsidR="00505632" w:rsidRDefault="00505632" w:rsidP="00AD4E52">
            <w:pPr>
              <w:pStyle w:val="CellColumn"/>
              <w:jc w:val="right"/>
            </w:pPr>
            <w:r>
              <w:rPr>
                <w:rFonts w:cs="Times New Roman"/>
              </w:rPr>
              <w:t>130,6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profesionalnoj rehabilitaciji i zapošljavanju osoba s invaliditetom (NN 157/13, 152/14)  </w:t>
      </w:r>
    </w:p>
    <w:p w:rsidR="00505632" w:rsidRDefault="00505632" w:rsidP="00505632">
      <w:r>
        <w:t xml:space="preserve">Pravilnik o poticajima pri zapošljavanju osoba s invaliditetom (NN 44/14, 02/15, 13/15)  </w:t>
      </w:r>
    </w:p>
    <w:p w:rsidR="00505632" w:rsidRDefault="00505632" w:rsidP="00505632">
      <w:r>
        <w:t xml:space="preserve">Pravilnik o utvrđivanju kvote za zapošljavanje osoba s invaliditetom (NN 44/14, 02/15)  </w:t>
      </w:r>
    </w:p>
    <w:p w:rsidR="00505632" w:rsidRDefault="00505632" w:rsidP="00505632">
      <w:r>
        <w:t>Pravilnik o sadržaju i načinu vođenja očevidnika zaposlenih osoba s invaliditetom (NN 44/14, Izmjena NN 97/14, 02/15)</w:t>
      </w:r>
    </w:p>
    <w:p w:rsidR="00505632" w:rsidRDefault="00505632" w:rsidP="00505632">
      <w:pPr>
        <w:pStyle w:val="Heading8"/>
        <w:jc w:val="left"/>
      </w:pPr>
      <w:r>
        <w:t>Opis aktivnosti</w:t>
      </w:r>
    </w:p>
    <w:p w:rsidR="00505632" w:rsidRDefault="00505632" w:rsidP="00505632">
      <w:r>
        <w:t xml:space="preserve">Poticaji koje dodjeljuje Zavod namijenjeni su isključivo poslodavcima koji zapošljavaju osobe s invaliditetom. Isplata poticaja vrši se sukladno Pravilniku o poticajima pri zapošljavanju osoba s invaliditetom  i to za:   </w:t>
      </w:r>
    </w:p>
    <w:p w:rsidR="00505632" w:rsidRDefault="00505632" w:rsidP="00505632">
      <w:r>
        <w:t xml:space="preserve">- subvenciju plaće osobe s invaliditetom – ovaj poticaj je trajnog karaktera i ovisi o utvrđenim poteškoćama i preprekama u radu, koje utvrđuje stručni tim CPR-a. Na taj način je osigurano pravilno usmjeravanje poticaja za osobe s invaliditetom koje imaju poteškoća sa dostizanjem potrebne radne učinkovitosti, a da istovremeno poslodavci nemaju gubitak zbog toga; poslodavci koji zapošljavaju OSI na otvorenom tržištu rada, odnosno OSI koja se samozapošljava te integrativna radionica, mogu za svaku zaposlenu OSI ostvariti subvenciju plaće u iznosu od 10% do 70% osnovice (minimalna plaća), dok zaštitne radionice mogu za svaku zaposlenu OSI na zaštitnom radnom mjestu ostvariti subvenciju u iznosu od 75% osnovice;   </w:t>
      </w:r>
    </w:p>
    <w:p w:rsidR="00505632" w:rsidRDefault="00505632" w:rsidP="00505632">
      <w:r>
        <w:t xml:space="preserve">- sufinanciranje troškova obrazovanja -  poslodavci koji zapošljavaju OSI na otvorenom tržištu rada, odnosno OSI koja se samozapošljava te integrativna radionica mogu ostvariti pravo na sufinanciranje troškova obrazovanja osoba s invaliditetom za programe osposobljavanja i usavršavanja kojima se stječu nova znanja, vještine i sposobnosti potrebne za rad ili praćenje i uporabu novih tehnologija i suvremene organizacije rada i to za određenog radnika jednom u 24 mjeseca; Zavod sufinancira od 50% do 70% troškova obrazovanja (upisnina, prijevoz OSI, prijevoz pratitelja);  </w:t>
      </w:r>
    </w:p>
    <w:p w:rsidR="00505632" w:rsidRDefault="00505632" w:rsidP="00505632">
      <w:r>
        <w:t xml:space="preserve">- sufinanciranje troškova za prilagodbu radnog mjesta (arhitektonska prilagodba) – ovaj poticaj se može ostvariti ako je nalazom i mišljenjem CPR-a utvrđena potreba za prilagodbu radnog mjesta; Zavod financira stvarne troškove prilagodbe, ali najviše do 40 osnovica (za 2016. godinu maksimalni iznos od 124.800,00 kn po OSI);  </w:t>
      </w:r>
    </w:p>
    <w:p w:rsidR="00505632" w:rsidRDefault="00505632" w:rsidP="00505632">
      <w:r>
        <w:t xml:space="preserve">- sufinanciranje troškova za prilagodbu uvjeta rada (tehnička prilagodba) – ovaj poticaj se može ostvariti ako je nalazom i mišljenjem CPR-a utvrđena potreba za prilagodbu uvjeta rada; Zavod financira stvarne troškove prilagodbe, ali najviše do 40 osnovica (za 2016. godinu maksimalni iznos od 124.800,00 kn po OSI);  </w:t>
      </w:r>
    </w:p>
    <w:p w:rsidR="00505632" w:rsidRDefault="00505632" w:rsidP="00505632">
      <w:r>
        <w:t xml:space="preserve">- sufinanciranje kamata na kreditna sredstva namijenjena kupnji strojeva, opreme, alata ili pribora potrebnog za zapošljavanje osoba s invaliditetom - poslodavci koji zapošljavaju OSI na otvorenom tržištu rada, odnosno OSI koja se samozapošljava te integrativna radionica mogu ostvariti pravo na sufinanciranje kamate najviše do 70% ugovorene kamatne stope sukladno ugovoru o kreditu s poslovnom bankom;  </w:t>
      </w:r>
    </w:p>
    <w:p w:rsidR="00505632" w:rsidRDefault="00505632" w:rsidP="00505632">
      <w:r>
        <w:t xml:space="preserve">- financiranje troškova stručne podrške - poslodavci koji zapošljavaju OSI na otvorenom tržištu rada, odnosno OSI koja se samozapošljava može ostvariti pravo na ovaj poticaj ako je nalazom i mišljenjem CPR-a utvrđena potreba stručne podrške, a prema planu individualne podrške kojim je utvrđeno trajanje, oblik, vrsta i broj sati stručne podrške; Zavod ova sredstva uplaćuje direktno CPR-u koji pruža uslugu stručne podrške (do sada je podnesen samo jedan ovakav zahtjev i to nepotpun);  </w:t>
      </w:r>
    </w:p>
    <w:p w:rsidR="00505632" w:rsidRDefault="00505632" w:rsidP="00505632">
      <w:r>
        <w:t xml:space="preserve">- posebna sredstva za programe inovativnog zapošljavanja – ovaj poticaj dodjeljuje se po raspisanom javnom natječaju u okviru raspoloživih novčanih sredstava;  </w:t>
      </w:r>
    </w:p>
    <w:p w:rsidR="00505632" w:rsidRDefault="00505632" w:rsidP="00505632">
      <w:r>
        <w:t xml:space="preserve">- posebna sredstva za otvaranje novih radnih mjesta i održavanje zaposlenosti u integrativnim radionicama i zaštitnim radionicama - ovaj poticaj dodjeljuje se po raspisanom javnom natječaju u okviru raspoloživih novčanih sredstava;  </w:t>
      </w:r>
    </w:p>
    <w:p w:rsidR="00505632" w:rsidRDefault="00505632" w:rsidP="00505632">
      <w:r>
        <w:t xml:space="preserve">- isplata novčane nagrade za zapošljavanje izvan kvote vrši sukladno Pravilniku o kvoti  – ovaj poticaj može ostvariti poslodavac koji zapošljava više OSI od propisane kvote; novčana naknada iznosi 15% minimalne plaće odnosno 468,00 kn po osobi u 2016. godini, a poslodavac može ostvariti novčanu nagradu za razdoblje od najduže 6 mjeseci kontinuirano za pojedinu osobu s invaliditetom koju zapošljava.  </w:t>
      </w:r>
    </w:p>
    <w:p w:rsidR="00505632" w:rsidRDefault="00505632" w:rsidP="00505632">
      <w:r>
        <w:t>Glavni uvjet za korištenje poticaja  je sklapanje ugovora o radu između poslodavca i  osobe s invaliditetom čime se direktno ostvaruje jedan od općih ciljeva Strateškog plana Zavoda, a to je uključivanje osoba s invaliditetom na tržištu rada. Zavod je u 2016. godini imao izvršenje u iznosu od 52.247.127,00 kn što je za 74,2% veće od planiranih, a razlog je u tome što je Zavod raspisao i realizirao javni natječaj za otvaranje novih radnih mjesta i održavanje zaposlenosti u integrativnim i zaštitnim radionicama u ukupnom iznosu od 30.000.000,00 kn. Sredstva utrošena s aktivnosti A875003 Olakšice i poticaji pri zapošljavanju osoba s invaliditetom financiraju se iz novčane naknade poslodavaca zbog nezapošljavanja osoba s invaliditetom temeljem čl. 10. stavka 7. Zakona, a izvršavaju se do visine uplaćenih sredstava u Proračun.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zaposlenih osoba s invaliditetom za koje poslodavci ostvaruju poticaje</w:t>
            </w:r>
          </w:p>
        </w:tc>
        <w:tc>
          <w:tcPr>
            <w:tcW w:w="2551" w:type="dxa"/>
          </w:tcPr>
          <w:p w:rsidR="00505632" w:rsidRDefault="00505632" w:rsidP="00AD4E52">
            <w:pPr>
              <w:pStyle w:val="CellColumn"/>
              <w:jc w:val="left"/>
            </w:pPr>
            <w:r>
              <w:rPr>
                <w:rFonts w:cs="Times New Roman"/>
              </w:rPr>
              <w:t>Broj OSI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1345</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1400</w:t>
            </w:r>
          </w:p>
        </w:tc>
        <w:tc>
          <w:tcPr>
            <w:tcW w:w="1020" w:type="dxa"/>
          </w:tcPr>
          <w:p w:rsidR="00505632" w:rsidRDefault="00505632" w:rsidP="00AD4E52">
            <w:pPr>
              <w:pStyle w:val="CellColumn"/>
              <w:jc w:val="right"/>
            </w:pPr>
            <w:r>
              <w:rPr>
                <w:rFonts w:cs="Times New Roman"/>
              </w:rPr>
              <w:t>1063</w:t>
            </w:r>
          </w:p>
        </w:tc>
      </w:tr>
    </w:tbl>
    <w:p w:rsidR="00505632" w:rsidRDefault="00505632" w:rsidP="00505632">
      <w:pPr>
        <w:jc w:val="left"/>
      </w:pPr>
    </w:p>
    <w:p w:rsidR="00505632" w:rsidRDefault="00505632" w:rsidP="00505632">
      <w:pPr>
        <w:pStyle w:val="Heading4"/>
      </w:pPr>
      <w:r>
        <w:t>A875008 USPOSTAVA JEDINSTVENOG TIJELA VJEŠTAČENJA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A875008-USPOSTAVA JEDINSTVENOG TIJELA VJEŠTAČENJA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2.500.000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Ugovor između RH i Međunarodne banke za obnovu i razvoj za Projekt modernizacije sustava socijalne zaštite, zajam br. IBRD 8426-HR (NN – Međunarodni ugovori broj 8/2014 od 19. prosinca 2014. godine)</w:t>
      </w:r>
    </w:p>
    <w:p w:rsidR="00505632" w:rsidRDefault="00505632" w:rsidP="00505632">
      <w:pPr>
        <w:pStyle w:val="Heading8"/>
        <w:jc w:val="left"/>
      </w:pPr>
      <w:r>
        <w:t>Opis aktivnosti</w:t>
      </w:r>
    </w:p>
    <w:p w:rsidR="00505632" w:rsidRDefault="00505632" w:rsidP="00505632">
      <w:r>
        <w:t>U sklopu Projekta modernizacije sustava socijalne zaštite sa Svjetskom bankom je potpisan kredit IBRD8426-HR  čiji je nositelj Ministarstvo za demografiju, obitelj, mlade i socijalnu politiku, a kroz čija sredstva se namjerava urediti poslovni objekt na kojem će biti smješten Središnji ured i Područni ured u Zagrebu kao i Područni ured u Splitu. U 2016. godini planirana sredstava nisu iskorištena s obzirom da poslovni prostor nije dobiven te se u 2017. godini namjerava uz podršku resornog ministarstva iznaći adekvatan prostor i urediti, opremiti uredskom opremom i namještajem do kraja 2018. godine. Na ovaj način  pridonijeli bismo racionalizaciji i optimizaciji  poslovanja jer se trenutno poslovanje Zavoda u Zagrebu odvija na 3 različite lokacije.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Poslovni objekt poslovnog ureda Zavoda stavljen u funkciju</w:t>
            </w:r>
          </w:p>
        </w:tc>
        <w:tc>
          <w:tcPr>
            <w:tcW w:w="2551" w:type="dxa"/>
          </w:tcPr>
          <w:p w:rsidR="00505632" w:rsidRDefault="00505632" w:rsidP="00AD4E52">
            <w:pPr>
              <w:pStyle w:val="CellColumn"/>
              <w:jc w:val="left"/>
            </w:pPr>
            <w:r>
              <w:rPr>
                <w:rFonts w:cs="Times New Roman"/>
              </w:rPr>
              <w:t>Uspostava jedinstvenog objekta ZOSI- Zagreb</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K875005 OPREMANJE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K875005-OPREMANJE</w:t>
            </w:r>
          </w:p>
        </w:tc>
        <w:tc>
          <w:tcPr>
            <w:tcW w:w="2041" w:type="dxa"/>
          </w:tcPr>
          <w:p w:rsidR="00505632" w:rsidRDefault="00505632" w:rsidP="00AD4E52">
            <w:pPr>
              <w:pStyle w:val="CellColumn"/>
              <w:jc w:val="right"/>
            </w:pPr>
            <w:r>
              <w:rPr>
                <w:rFonts w:cs="Times New Roman"/>
              </w:rPr>
              <w:t>486.467</w:t>
            </w:r>
          </w:p>
        </w:tc>
        <w:tc>
          <w:tcPr>
            <w:tcW w:w="2041" w:type="dxa"/>
          </w:tcPr>
          <w:p w:rsidR="00505632" w:rsidRDefault="00505632" w:rsidP="00AD4E52">
            <w:pPr>
              <w:pStyle w:val="CellColumn"/>
              <w:jc w:val="right"/>
            </w:pPr>
            <w:r>
              <w:rPr>
                <w:rFonts w:cs="Times New Roman"/>
              </w:rPr>
              <w:t>595.000</w:t>
            </w:r>
          </w:p>
        </w:tc>
        <w:tc>
          <w:tcPr>
            <w:tcW w:w="2041" w:type="dxa"/>
          </w:tcPr>
          <w:p w:rsidR="00505632" w:rsidRDefault="00505632" w:rsidP="00AD4E52">
            <w:pPr>
              <w:pStyle w:val="CellColumn"/>
              <w:jc w:val="right"/>
            </w:pPr>
            <w:r>
              <w:rPr>
                <w:rFonts w:cs="Times New Roman"/>
              </w:rPr>
              <w:t>196.556</w:t>
            </w:r>
          </w:p>
        </w:tc>
        <w:tc>
          <w:tcPr>
            <w:tcW w:w="1224" w:type="dxa"/>
          </w:tcPr>
          <w:p w:rsidR="00505632" w:rsidRDefault="00505632" w:rsidP="00AD4E52">
            <w:pPr>
              <w:pStyle w:val="CellColumn"/>
              <w:jc w:val="right"/>
            </w:pPr>
            <w:r>
              <w:rPr>
                <w:rFonts w:cs="Times New Roman"/>
              </w:rPr>
              <w:t>33,0</w:t>
            </w:r>
          </w:p>
        </w:tc>
        <w:tc>
          <w:tcPr>
            <w:tcW w:w="1224" w:type="dxa"/>
          </w:tcPr>
          <w:p w:rsidR="00505632" w:rsidRDefault="00505632" w:rsidP="00AD4E52">
            <w:pPr>
              <w:pStyle w:val="CellColumn"/>
              <w:jc w:val="right"/>
            </w:pPr>
            <w:r>
              <w:rPr>
                <w:rFonts w:cs="Times New Roman"/>
              </w:rPr>
              <w:t>40,4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Pravilnik o unutarnjem ustrojstvu i sistematizaciji radnih mjesta Zavoda za vještačenje, profesionalnu rehabilitaciju i zapošljavanje osoba s invaliditetom usvojenog dana 22. prosinca 2014. godine od strane Upravnog vijeća Zavoda</w:t>
      </w:r>
    </w:p>
    <w:p w:rsidR="00505632" w:rsidRDefault="00505632" w:rsidP="00505632">
      <w:pPr>
        <w:pStyle w:val="Heading8"/>
        <w:jc w:val="left"/>
      </w:pPr>
      <w:r>
        <w:t>Opis aktivnosti</w:t>
      </w:r>
    </w:p>
    <w:p w:rsidR="00505632" w:rsidRDefault="00505632" w:rsidP="00505632">
      <w:r>
        <w:t>Kako je Zavod u 2016. godini provodio natječaje za zapošljavanje dodatnog broja zaposlenika, a koji su nužni za obavljanje djelatnosti Zavoda, sredstava u iznosu od 196.556 kn utrošena su u kupovinu računala i računalne opreme te uredskog namještaja. Kupovina se odnosi na novo zapošljavanje (26 zaposlenika).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Opremanje radnog mjesta</w:t>
            </w:r>
          </w:p>
        </w:tc>
        <w:tc>
          <w:tcPr>
            <w:tcW w:w="2551" w:type="dxa"/>
          </w:tcPr>
          <w:p w:rsidR="00505632" w:rsidRDefault="00505632" w:rsidP="00AD4E52">
            <w:pPr>
              <w:pStyle w:val="CellColumn"/>
              <w:jc w:val="left"/>
            </w:pPr>
            <w:r>
              <w:rPr>
                <w:rFonts w:cs="Times New Roman"/>
              </w:rPr>
              <w:t>Opremanje radnog mjesta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201</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250</w:t>
            </w:r>
          </w:p>
        </w:tc>
        <w:tc>
          <w:tcPr>
            <w:tcW w:w="1020" w:type="dxa"/>
          </w:tcPr>
          <w:p w:rsidR="00505632" w:rsidRDefault="00505632" w:rsidP="00AD4E52">
            <w:pPr>
              <w:pStyle w:val="CellColumn"/>
              <w:jc w:val="right"/>
            </w:pPr>
            <w:r>
              <w:rPr>
                <w:rFonts w:cs="Times New Roman"/>
              </w:rPr>
              <w:t>227</w:t>
            </w:r>
          </w:p>
        </w:tc>
      </w:tr>
    </w:tbl>
    <w:p w:rsidR="00505632" w:rsidRDefault="00505632" w:rsidP="00505632">
      <w:pPr>
        <w:jc w:val="left"/>
      </w:pPr>
    </w:p>
    <w:p w:rsidR="00505632" w:rsidRDefault="00505632" w:rsidP="00505632">
      <w:pPr>
        <w:pStyle w:val="Heading4"/>
      </w:pPr>
      <w:r>
        <w:t>K875006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K875006-INFORMATIZACIJA</w:t>
            </w:r>
          </w:p>
        </w:tc>
        <w:tc>
          <w:tcPr>
            <w:tcW w:w="2041" w:type="dxa"/>
          </w:tcPr>
          <w:p w:rsidR="00505632" w:rsidRDefault="00505632" w:rsidP="00AD4E52">
            <w:pPr>
              <w:pStyle w:val="CellColumn"/>
              <w:jc w:val="right"/>
            </w:pPr>
            <w:r>
              <w:rPr>
                <w:rFonts w:cs="Times New Roman"/>
              </w:rPr>
              <w:t>346.725</w:t>
            </w:r>
          </w:p>
        </w:tc>
        <w:tc>
          <w:tcPr>
            <w:tcW w:w="2041" w:type="dxa"/>
          </w:tcPr>
          <w:p w:rsidR="00505632" w:rsidRDefault="00505632" w:rsidP="00AD4E52">
            <w:pPr>
              <w:pStyle w:val="CellColumn"/>
              <w:jc w:val="right"/>
            </w:pPr>
            <w:r>
              <w:rPr>
                <w:rFonts w:cs="Times New Roman"/>
              </w:rPr>
              <w:t>285.000</w:t>
            </w:r>
          </w:p>
        </w:tc>
        <w:tc>
          <w:tcPr>
            <w:tcW w:w="2041" w:type="dxa"/>
          </w:tcPr>
          <w:p w:rsidR="00505632" w:rsidRDefault="00505632" w:rsidP="00AD4E52">
            <w:pPr>
              <w:pStyle w:val="CellColumn"/>
              <w:jc w:val="right"/>
            </w:pPr>
            <w:r>
              <w:rPr>
                <w:rFonts w:cs="Times New Roman"/>
              </w:rPr>
              <w:t>46.875</w:t>
            </w:r>
          </w:p>
        </w:tc>
        <w:tc>
          <w:tcPr>
            <w:tcW w:w="1224" w:type="dxa"/>
          </w:tcPr>
          <w:p w:rsidR="00505632" w:rsidRDefault="00505632" w:rsidP="00AD4E52">
            <w:pPr>
              <w:pStyle w:val="CellColumn"/>
              <w:jc w:val="right"/>
            </w:pPr>
            <w:r>
              <w:rPr>
                <w:rFonts w:cs="Times New Roman"/>
              </w:rPr>
              <w:t>16,4</w:t>
            </w:r>
          </w:p>
        </w:tc>
        <w:tc>
          <w:tcPr>
            <w:tcW w:w="1224" w:type="dxa"/>
          </w:tcPr>
          <w:p w:rsidR="00505632" w:rsidRDefault="00505632" w:rsidP="00AD4E52">
            <w:pPr>
              <w:pStyle w:val="CellColumn"/>
              <w:jc w:val="right"/>
            </w:pPr>
            <w:r>
              <w:rPr>
                <w:rFonts w:cs="Times New Roman"/>
              </w:rPr>
              <w:t>13,5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Pravilnik o unutarnjem ustrojstvu i sistematizaciji radnih mjesta Zavoda za vještačenje, profesionalnu rehabilitaciju i zapošljavanje osoba s invaliditetom usvojenog dana 22. prosinca 2014. godine od strane Upravnog vijeća Zavoda  </w:t>
      </w:r>
    </w:p>
    <w:p w:rsidR="00505632" w:rsidRDefault="00505632" w:rsidP="00505632">
      <w:r>
        <w:t xml:space="preserve">Uredba o uredskom poslovanju (NN 7/09)  </w:t>
      </w:r>
    </w:p>
    <w:p w:rsidR="00505632" w:rsidRDefault="00505632" w:rsidP="00505632">
      <w:r>
        <w:t xml:space="preserve">Pravilnik o uredskom poslovanju (NN 135/15)  </w:t>
      </w:r>
    </w:p>
    <w:p w:rsidR="00505632" w:rsidRDefault="00505632" w:rsidP="00505632">
      <w:r>
        <w:t xml:space="preserve">Zakon o jedinstvenom tijelu vještačenja (NN 85/14, 95/15)  </w:t>
      </w:r>
    </w:p>
    <w:p w:rsidR="00505632" w:rsidRDefault="00505632" w:rsidP="00505632">
      <w:r>
        <w:t xml:space="preserve">Uredba o metodologijama vještačenja (NN 153/14, 108/15)   </w:t>
      </w:r>
    </w:p>
    <w:p w:rsidR="00505632" w:rsidRDefault="00505632" w:rsidP="00505632">
      <w:r>
        <w:t xml:space="preserve">Zakon o profesionalnoj rehabilitaciji i zapošljavanju osoba s invaliditetom (NN 157/13, 152/14)  </w:t>
      </w:r>
    </w:p>
    <w:p w:rsidR="00505632" w:rsidRDefault="00505632" w:rsidP="00505632">
      <w:r>
        <w:t xml:space="preserve">Pravilnik o poticajima pri zapošljavanju osoba s invaliditetom (NN 44/14, 02/15, 13/15)  </w:t>
      </w:r>
    </w:p>
    <w:p w:rsidR="00505632" w:rsidRDefault="00505632" w:rsidP="00505632">
      <w:r>
        <w:t xml:space="preserve">Pravilnik o utvrđivanju kvote za zapošljavanje osoba s invaliditetom (NN 44/14, 02/15)  </w:t>
      </w:r>
    </w:p>
    <w:p w:rsidR="00505632" w:rsidRDefault="00505632" w:rsidP="00505632">
      <w:r>
        <w:t xml:space="preserve">Pravilnik o sadržaju i načinu vođenja očevidnika zaposlenih osoba s invaliditetom (NN 44/14, Izmjena NN 97/14, 02/15)  </w:t>
      </w:r>
    </w:p>
    <w:p w:rsidR="00505632" w:rsidRDefault="00505632" w:rsidP="00505632">
      <w:r>
        <w:t xml:space="preserve">Pravilnik o zaštitnim radionicama i integrativnim radionicama za zapošljavanje osoba s invaliditetom (NN 44/14, 02/15).  </w:t>
      </w:r>
    </w:p>
    <w:p w:rsidR="00505632" w:rsidRDefault="00505632" w:rsidP="00505632">
      <w:r>
        <w:t xml:space="preserve">Pravilnik o profesionalnoj rehabilitaciji i centrima za profesionalnu rehabilitaciju osoba s invaliditetom (NN 44/14, 02/15)  </w:t>
      </w:r>
    </w:p>
    <w:p w:rsidR="00505632" w:rsidRDefault="00505632" w:rsidP="00505632">
      <w:r>
        <w:t xml:space="preserve">Zakon o proračunu (NN 87/08, 136/12, 15/15)  </w:t>
      </w:r>
    </w:p>
    <w:p w:rsidR="00505632" w:rsidRDefault="00505632" w:rsidP="00505632">
      <w:r>
        <w:t xml:space="preserve">Pravilnik o proračunskom računovodstvu i Računskom planu (NN 124/14, 115/15, 87/16)  </w:t>
      </w:r>
    </w:p>
    <w:p w:rsidR="00505632" w:rsidRDefault="00505632" w:rsidP="00505632">
      <w:r>
        <w:t xml:space="preserve">Pravilnik o financijskom izvještavanju u proračunskom računovodstvu (NN 3/15, 33/15, 135/15)  </w:t>
      </w:r>
    </w:p>
    <w:p w:rsidR="00505632" w:rsidRDefault="00505632" w:rsidP="00505632">
      <w:r>
        <w:t xml:space="preserve">Pravilnik o proračunskim klasifikacijama (NN 26/10, 120/13)  </w:t>
      </w:r>
    </w:p>
    <w:p w:rsidR="00505632" w:rsidRDefault="00505632" w:rsidP="00505632">
      <w:r>
        <w:t xml:space="preserve">Zakon o javnoj nabavi (NN 90/11, 83/13, 143/14, 13/14)  </w:t>
      </w:r>
    </w:p>
    <w:p w:rsidR="00505632" w:rsidRDefault="00505632" w:rsidP="00505632">
      <w:r>
        <w:t xml:space="preserve">Uredba o načinu izrade i postupanju s dokumentacijom za nadmetanje i ponudama (NN 10/12)  </w:t>
      </w:r>
    </w:p>
    <w:p w:rsidR="00505632" w:rsidRDefault="00505632" w:rsidP="00505632">
      <w:r>
        <w:t>Zakon o radu (NN 93/14)</w:t>
      </w:r>
    </w:p>
    <w:p w:rsidR="00505632" w:rsidRDefault="00505632" w:rsidP="00505632">
      <w:pPr>
        <w:pStyle w:val="Heading8"/>
        <w:jc w:val="left"/>
      </w:pPr>
      <w:r>
        <w:t>Opis aktivnosti</w:t>
      </w:r>
    </w:p>
    <w:p w:rsidR="00505632" w:rsidRDefault="00505632" w:rsidP="00505632">
      <w:r>
        <w:t>Novčana sredstva utrošena u iznosu od 46.875,00 kn Zavod je u 2016. godini utrošio u nabavu licenci za nabavu novih računala (26 zaposlenika).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Licence</w:t>
            </w:r>
          </w:p>
        </w:tc>
        <w:tc>
          <w:tcPr>
            <w:tcW w:w="2551" w:type="dxa"/>
          </w:tcPr>
          <w:p w:rsidR="00505632" w:rsidRDefault="00505632" w:rsidP="00AD4E52">
            <w:pPr>
              <w:pStyle w:val="CellColumn"/>
              <w:jc w:val="left"/>
            </w:pPr>
            <w:r>
              <w:rPr>
                <w:rFonts w:cs="Times New Roman"/>
              </w:rPr>
              <w:t>Licence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201</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250</w:t>
            </w:r>
          </w:p>
        </w:tc>
        <w:tc>
          <w:tcPr>
            <w:tcW w:w="1020" w:type="dxa"/>
          </w:tcPr>
          <w:p w:rsidR="00505632" w:rsidRDefault="00505632" w:rsidP="00AD4E52">
            <w:pPr>
              <w:pStyle w:val="CellColumn"/>
              <w:jc w:val="right"/>
            </w:pPr>
            <w:r>
              <w:rPr>
                <w:rFonts w:cs="Times New Roman"/>
              </w:rPr>
              <w:t>26</w:t>
            </w:r>
          </w:p>
        </w:tc>
      </w:tr>
    </w:tbl>
    <w:p w:rsidR="00505632" w:rsidRDefault="00505632" w:rsidP="00505632">
      <w:pPr>
        <w:jc w:val="left"/>
      </w:pPr>
    </w:p>
    <w:p w:rsidR="00505632" w:rsidRDefault="00505632" w:rsidP="00505632">
      <w:pPr>
        <w:pStyle w:val="Heading4"/>
      </w:pPr>
      <w:r>
        <w:t>K875007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K875007-OBNOVA VOZNOG PARKA</w:t>
            </w:r>
          </w:p>
        </w:tc>
        <w:tc>
          <w:tcPr>
            <w:tcW w:w="2041" w:type="dxa"/>
          </w:tcPr>
          <w:p w:rsidR="00505632" w:rsidRDefault="00505632" w:rsidP="00AD4E52">
            <w:pPr>
              <w:pStyle w:val="CellColumn"/>
              <w:jc w:val="right"/>
            </w:pPr>
            <w:r>
              <w:rPr>
                <w:rFonts w:cs="Times New Roman"/>
              </w:rPr>
              <w:t>24.782</w:t>
            </w:r>
          </w:p>
        </w:tc>
        <w:tc>
          <w:tcPr>
            <w:tcW w:w="2041" w:type="dxa"/>
          </w:tcPr>
          <w:p w:rsidR="00505632" w:rsidRDefault="00505632" w:rsidP="00AD4E52">
            <w:pPr>
              <w:pStyle w:val="CellColumn"/>
              <w:jc w:val="right"/>
            </w:pPr>
            <w:r>
              <w:rPr>
                <w:rFonts w:cs="Times New Roman"/>
              </w:rPr>
              <w:t>30.000</w:t>
            </w:r>
          </w:p>
        </w:tc>
        <w:tc>
          <w:tcPr>
            <w:tcW w:w="2041" w:type="dxa"/>
          </w:tcPr>
          <w:p w:rsidR="00505632" w:rsidRDefault="00505632" w:rsidP="00AD4E52">
            <w:pPr>
              <w:pStyle w:val="CellColumn"/>
              <w:jc w:val="right"/>
            </w:pPr>
            <w:r>
              <w:rPr>
                <w:rFonts w:cs="Times New Roman"/>
              </w:rPr>
              <w:t>25.951</w:t>
            </w:r>
          </w:p>
        </w:tc>
        <w:tc>
          <w:tcPr>
            <w:tcW w:w="1224" w:type="dxa"/>
          </w:tcPr>
          <w:p w:rsidR="00505632" w:rsidRDefault="00505632" w:rsidP="00AD4E52">
            <w:pPr>
              <w:pStyle w:val="CellColumn"/>
              <w:jc w:val="right"/>
            </w:pPr>
            <w:r>
              <w:rPr>
                <w:rFonts w:cs="Times New Roman"/>
              </w:rPr>
              <w:t>86,5</w:t>
            </w:r>
          </w:p>
        </w:tc>
        <w:tc>
          <w:tcPr>
            <w:tcW w:w="1224" w:type="dxa"/>
          </w:tcPr>
          <w:p w:rsidR="00505632" w:rsidRDefault="00505632" w:rsidP="00AD4E52">
            <w:pPr>
              <w:pStyle w:val="CellColumn"/>
              <w:jc w:val="right"/>
            </w:pPr>
            <w:r>
              <w:rPr>
                <w:rFonts w:cs="Times New Roman"/>
              </w:rPr>
              <w:t>104,7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Okvirni sporazum broj 2/2013-1 od dana 20. svibnja 2014. godine sklopljen između davatelja leasinga i Državnog ureda za središnju javnu nabavu</w:t>
      </w:r>
    </w:p>
    <w:p w:rsidR="00505632" w:rsidRDefault="00505632" w:rsidP="00505632">
      <w:pPr>
        <w:pStyle w:val="Heading8"/>
        <w:jc w:val="left"/>
      </w:pPr>
      <w:r>
        <w:t>Opis aktivnosti</w:t>
      </w:r>
    </w:p>
    <w:p w:rsidR="00505632" w:rsidRDefault="00505632" w:rsidP="00505632">
      <w:r>
        <w:t>Sredstva utrošena na ovoj aktivnosti u iznosu od 25.951 kn, odnosno 86,5% od planiranog odnose se na operativni leasing jednog vozila kojeg zaposlenici Zavoda koriste najvećim dijelom pri obavljanju stručnog nadzora CPR-ova, kontrole rada zaštitnih radionica i poslodavaca, a vezano uz namjensko trošenje odobrenih poticaja i kvotno zapošljavanje osoba s invaliditetom.</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Otplata najma za službeno vozilo</w:t>
            </w:r>
          </w:p>
        </w:tc>
        <w:tc>
          <w:tcPr>
            <w:tcW w:w="2551" w:type="dxa"/>
          </w:tcPr>
          <w:p w:rsidR="00505632" w:rsidRDefault="00505632" w:rsidP="00AD4E52">
            <w:pPr>
              <w:pStyle w:val="CellColumn"/>
              <w:jc w:val="left"/>
            </w:pPr>
            <w:r>
              <w:rPr>
                <w:rFonts w:cs="Times New Roman"/>
              </w:rPr>
              <w:t>Vozni park</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ZOSI</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2"/>
      </w:pPr>
      <w:r>
        <w:t>08640 Zavod za unapređivanje zaštite na radu</w:t>
      </w:r>
    </w:p>
    <w:p w:rsidR="00505632" w:rsidRDefault="00505632" w:rsidP="00505632">
      <w:r>
        <w:t xml:space="preserve">Zavod za unapređivanje zaštite na radu osnovan je temeljem članka 83. Zakona o zaštiti na radu („Narodne novine“, br. 71/14 i 118/14), kao središnja ustanova s javnim ovlastima nadležna za praćenje i unapređivanje područja zaštite na radu. Osnivač Zavoda je Republika Hrvatska.  </w:t>
      </w:r>
    </w:p>
    <w:p w:rsidR="00505632" w:rsidRDefault="00505632" w:rsidP="00505632">
      <w:r>
        <w:t xml:space="preserve">Temeljna zadaća Zavoda je sustavno paćenje stanja zaštite na radu i njeno unapređivanje kroz stručnu i administrativnu podršku uz učinkovit analitički, istraživački, informativni, edukativni, savjetodavni i preventivni rad, kojim se utječe na stvaranje sigurne, zdrave i stimulativne radne okoline. </w:t>
      </w:r>
    </w:p>
    <w:p w:rsidR="00505632" w:rsidRDefault="00505632" w:rsidP="00505632">
      <w:r>
        <w:t>Djelokrug rada Zavoda temeljem Zakona o zaštiti na radu i Statuta, obuhvaća praćenje stanja zaštite na radu, izrađivanje programa, vodiča, metoda i modela za zaštitu na radu, utvrđivanje kriterija i postupaka u vezi s organizacijom rada prilagođenom radnicima, provođenje statističkih istraživanja iz područja zaštite na radu. Zatim u okviru svojih nadležnosti Zavod surađuje s međunarodnim i nacionalnim organizacijama te stručnim i znanstvenim ustanovama, izrađuje stručna mišljenja iz zaštite na radu za različite subjekte, pruža stručnu pomoć udruženjima poslodavaca, sindikatima, osobama ovlaštenima za poslove zaštite na radu te tijelima uprave na temelju podataka iz svog djelokruga, provodi akcije iz pojedinih područja zaštite zdravlja i sigurnosti na radu, priprema promidžbene materijale, postupa i rješava u upravnim stvarima u prvostupanjskom postupku u vezi s davanjem ovlaštenja osobama koje obavljaju poslove zaštite na radu i davanjem odobrenja stručnjacima za zaštitu na radu, te obavlja stručni nadzor i reviziju poslovanja ovlaštenih osoba u odnosu na ovlaštenja dobivena prema Zakonu.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08640-Zavod za unapređivanje zaštite na radu</w:t>
            </w:r>
          </w:p>
        </w:tc>
        <w:tc>
          <w:tcPr>
            <w:tcW w:w="2041" w:type="dxa"/>
            <w:vAlign w:val="top"/>
          </w:tcPr>
          <w:p w:rsidR="00505632" w:rsidRDefault="00505632" w:rsidP="00AD4E52">
            <w:pPr>
              <w:pStyle w:val="CellColumn"/>
              <w:jc w:val="right"/>
            </w:pPr>
            <w:r>
              <w:rPr>
                <w:rFonts w:cs="Times New Roman"/>
              </w:rPr>
              <w:t>1.606.202</w:t>
            </w:r>
          </w:p>
        </w:tc>
        <w:tc>
          <w:tcPr>
            <w:tcW w:w="2041" w:type="dxa"/>
            <w:vAlign w:val="top"/>
          </w:tcPr>
          <w:p w:rsidR="00505632" w:rsidRDefault="00505632" w:rsidP="00AD4E52">
            <w:pPr>
              <w:pStyle w:val="CellColumn"/>
              <w:jc w:val="right"/>
            </w:pPr>
            <w:r>
              <w:rPr>
                <w:rFonts w:cs="Times New Roman"/>
              </w:rPr>
              <w:t>2.845.000</w:t>
            </w:r>
          </w:p>
        </w:tc>
        <w:tc>
          <w:tcPr>
            <w:tcW w:w="2041" w:type="dxa"/>
            <w:vAlign w:val="top"/>
          </w:tcPr>
          <w:p w:rsidR="00505632" w:rsidRDefault="00505632" w:rsidP="00AD4E52">
            <w:pPr>
              <w:pStyle w:val="CellColumn"/>
              <w:jc w:val="right"/>
            </w:pPr>
            <w:r>
              <w:rPr>
                <w:rFonts w:cs="Times New Roman"/>
              </w:rPr>
              <w:t>2.647.045</w:t>
            </w:r>
          </w:p>
        </w:tc>
        <w:tc>
          <w:tcPr>
            <w:tcW w:w="1224" w:type="dxa"/>
            <w:vAlign w:val="top"/>
          </w:tcPr>
          <w:p w:rsidR="00505632" w:rsidRDefault="00505632" w:rsidP="00AD4E52">
            <w:pPr>
              <w:pStyle w:val="CellColumn"/>
              <w:jc w:val="right"/>
            </w:pPr>
            <w:r>
              <w:rPr>
                <w:rFonts w:cs="Times New Roman"/>
              </w:rPr>
              <w:t>93,0</w:t>
            </w:r>
          </w:p>
        </w:tc>
        <w:tc>
          <w:tcPr>
            <w:tcW w:w="1224" w:type="dxa"/>
            <w:vAlign w:val="top"/>
          </w:tcPr>
          <w:p w:rsidR="00505632" w:rsidRDefault="00505632" w:rsidP="00AD4E52">
            <w:pPr>
              <w:pStyle w:val="CellColumn"/>
              <w:jc w:val="right"/>
            </w:pPr>
            <w:r>
              <w:rPr>
                <w:rFonts w:cs="Times New Roman"/>
              </w:rPr>
              <w:t>164,8</w:t>
            </w:r>
          </w:p>
        </w:tc>
      </w:tr>
      <w:tr w:rsidR="00505632" w:rsidTr="00AD4E52">
        <w:trPr>
          <w:jc w:val="center"/>
        </w:trPr>
        <w:tc>
          <w:tcPr>
            <w:tcW w:w="1632" w:type="dxa"/>
          </w:tcPr>
          <w:p w:rsidR="00505632" w:rsidRDefault="00505632" w:rsidP="00AD4E52">
            <w:pPr>
              <w:jc w:val="left"/>
            </w:pPr>
            <w:r>
              <w:t>3301-AKTIVNA POLITIKA TRŽIŠTA RADA</w:t>
            </w:r>
          </w:p>
        </w:tc>
        <w:tc>
          <w:tcPr>
            <w:tcW w:w="2041" w:type="dxa"/>
          </w:tcPr>
          <w:p w:rsidR="00505632" w:rsidRDefault="00505632" w:rsidP="00AD4E52">
            <w:pPr>
              <w:jc w:val="right"/>
            </w:pPr>
            <w:r>
              <w:t>1.606.202</w:t>
            </w:r>
          </w:p>
        </w:tc>
        <w:tc>
          <w:tcPr>
            <w:tcW w:w="2041" w:type="dxa"/>
          </w:tcPr>
          <w:p w:rsidR="00505632" w:rsidRDefault="00505632" w:rsidP="00AD4E52">
            <w:pPr>
              <w:jc w:val="right"/>
            </w:pPr>
            <w:r>
              <w:t>2.845.000</w:t>
            </w:r>
          </w:p>
        </w:tc>
        <w:tc>
          <w:tcPr>
            <w:tcW w:w="2041" w:type="dxa"/>
          </w:tcPr>
          <w:p w:rsidR="00505632" w:rsidRDefault="00505632" w:rsidP="00AD4E52">
            <w:pPr>
              <w:jc w:val="right"/>
            </w:pPr>
            <w:r>
              <w:t>2.647.045</w:t>
            </w:r>
          </w:p>
        </w:tc>
        <w:tc>
          <w:tcPr>
            <w:tcW w:w="1224" w:type="dxa"/>
          </w:tcPr>
          <w:p w:rsidR="00505632" w:rsidRDefault="00505632" w:rsidP="00AD4E52">
            <w:pPr>
              <w:jc w:val="right"/>
            </w:pPr>
            <w:r>
              <w:t>93,0</w:t>
            </w:r>
          </w:p>
        </w:tc>
        <w:tc>
          <w:tcPr>
            <w:tcW w:w="1224" w:type="dxa"/>
          </w:tcPr>
          <w:p w:rsidR="00505632" w:rsidRDefault="00505632" w:rsidP="00AD4E52">
            <w:pPr>
              <w:jc w:val="right"/>
            </w:pPr>
            <w:r>
              <w:t>164,8</w:t>
            </w:r>
          </w:p>
        </w:tc>
      </w:tr>
    </w:tbl>
    <w:p w:rsidR="00505632" w:rsidRDefault="00505632" w:rsidP="00505632">
      <w:pPr>
        <w:jc w:val="left"/>
      </w:pPr>
    </w:p>
    <w:p w:rsidR="00505632" w:rsidRDefault="00505632" w:rsidP="00505632">
      <w:pPr>
        <w:pStyle w:val="Heading4"/>
      </w:pPr>
      <w:r>
        <w:t>A877001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A877001-ADMINISTRACIJA I UPRAVLJANJE</w:t>
            </w:r>
          </w:p>
        </w:tc>
        <w:tc>
          <w:tcPr>
            <w:tcW w:w="2041" w:type="dxa"/>
          </w:tcPr>
          <w:p w:rsidR="00505632" w:rsidRDefault="00505632" w:rsidP="00AD4E52">
            <w:pPr>
              <w:pStyle w:val="CellColumn"/>
              <w:jc w:val="right"/>
            </w:pPr>
            <w:r>
              <w:rPr>
                <w:rFonts w:cs="Times New Roman"/>
              </w:rPr>
              <w:t>1.606.202</w:t>
            </w:r>
          </w:p>
        </w:tc>
        <w:tc>
          <w:tcPr>
            <w:tcW w:w="2041" w:type="dxa"/>
          </w:tcPr>
          <w:p w:rsidR="00505632" w:rsidRDefault="00505632" w:rsidP="00AD4E52">
            <w:pPr>
              <w:pStyle w:val="CellColumn"/>
              <w:jc w:val="right"/>
            </w:pPr>
            <w:r>
              <w:rPr>
                <w:rFonts w:cs="Times New Roman"/>
              </w:rPr>
              <w:t>2.845.000</w:t>
            </w:r>
          </w:p>
        </w:tc>
        <w:tc>
          <w:tcPr>
            <w:tcW w:w="2041" w:type="dxa"/>
          </w:tcPr>
          <w:p w:rsidR="00505632" w:rsidRDefault="00505632" w:rsidP="00AD4E52">
            <w:pPr>
              <w:pStyle w:val="CellColumn"/>
              <w:jc w:val="right"/>
            </w:pPr>
            <w:r>
              <w:rPr>
                <w:rFonts w:cs="Times New Roman"/>
              </w:rPr>
              <w:t>2.647.045</w:t>
            </w:r>
          </w:p>
        </w:tc>
        <w:tc>
          <w:tcPr>
            <w:tcW w:w="1224" w:type="dxa"/>
          </w:tcPr>
          <w:p w:rsidR="00505632" w:rsidRDefault="00505632" w:rsidP="00AD4E52">
            <w:pPr>
              <w:pStyle w:val="CellColumn"/>
              <w:jc w:val="right"/>
            </w:pPr>
            <w:r>
              <w:rPr>
                <w:rFonts w:cs="Times New Roman"/>
              </w:rPr>
              <w:t>93,0</w:t>
            </w:r>
          </w:p>
        </w:tc>
        <w:tc>
          <w:tcPr>
            <w:tcW w:w="1224" w:type="dxa"/>
          </w:tcPr>
          <w:p w:rsidR="00505632" w:rsidRDefault="00505632" w:rsidP="00AD4E52">
            <w:pPr>
              <w:pStyle w:val="CellColumn"/>
              <w:jc w:val="right"/>
            </w:pPr>
            <w:r>
              <w:rPr>
                <w:rFonts w:cs="Times New Roman"/>
              </w:rPr>
              <w:t>164,8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zaštiti na radu („Narodne novine“, br. 71/14, 118/14 i 154/14) i brojni podzakonski akti iz područja zaštite na radu,   </w:t>
      </w:r>
    </w:p>
    <w:p w:rsidR="00505632" w:rsidRDefault="00505632" w:rsidP="00505632">
      <w:r>
        <w:t xml:space="preserve">- Direktive Europske unije: Direktiva Vijeća 89/391 EEZ (SL L 183, od 29.6.1989.), Direktiva Europskog parlamenta i Vijeća 2007/30/EZ (SL L 165, od 27.6.2007.), Direktiva Vijeća 91/383/EEZ (SL L 206, od 29.7.1991.), Direktiva Vijeća 92/85/EEZ (SL L 348, od 28.11.1992.) i Direktiva Vijeća 94/33/EZ (SL L 216, od 20.8.1994.),  </w:t>
      </w:r>
    </w:p>
    <w:p w:rsidR="00505632" w:rsidRDefault="00505632" w:rsidP="00505632">
      <w:r>
        <w:t xml:space="preserve">- Strateški okvir EU o zaštiti zdravlja i sigurnosti na radu za razdoblje 2014.-2020.,  </w:t>
      </w:r>
    </w:p>
    <w:p w:rsidR="00505632" w:rsidRDefault="00505632" w:rsidP="00505632">
      <w:r>
        <w:t xml:space="preserve">- Nacionalni program zaštite na radu za razdoblje 2016.-2020. (nacrt prijedloga),  </w:t>
      </w:r>
    </w:p>
    <w:p w:rsidR="00505632" w:rsidRDefault="00505632" w:rsidP="00505632">
      <w:r>
        <w:t>- Strateški plan Ministarstva rada i mirovinskoga sustava 2016. do 2018.</w:t>
      </w:r>
    </w:p>
    <w:p w:rsidR="00505632" w:rsidRDefault="00505632" w:rsidP="00505632">
      <w:pPr>
        <w:pStyle w:val="Heading8"/>
        <w:jc w:val="left"/>
      </w:pPr>
      <w:r>
        <w:t>Opis aktivnosti</w:t>
      </w:r>
    </w:p>
    <w:p w:rsidR="00505632" w:rsidRDefault="00505632" w:rsidP="00505632">
      <w:r>
        <w:t xml:space="preserve">Sukladno zakonskim obvezama, Zavod je javno tijelo nadležno za razvoj Središnjeg nacionalnog informacijskog sustava zaštite na radu, njegovo uspostavljanje, ažurno vođenje i održavanje. U cilju stvaranja sveobuhvatnog informatičkog i temeljnog mrežnog rješenja za praćenje stanja ZNR, Zavod je u 2016. godini nastavio s realizacijom I. faze uspostavljanja tog sustava, unutar kojeg su obuhvaćeni podaci o ovlaštenjima za poslove ZNR koja se izdaju pravnim i fizičkim osobama  kako bi se uspostavila kontrola nad zakonitošću rada i kvalitetom pružanja usluga ovlaštenih osoba te osigurala redovita dostava  zakonom i drugim aktima propisanih podataka.  </w:t>
      </w:r>
    </w:p>
    <w:p w:rsidR="00505632" w:rsidRDefault="00505632" w:rsidP="00505632">
      <w:r>
        <w:t xml:space="preserve">Zavod je izradio projektni prijedlog „Prikupljanje i obrada podataka zaštite na radu (POP-ZNR)“ i u prosincu 2015. prijavio ga Ministarstvu rada i mirovinskoga sustava (MRMS) kao Upravljačkom tijelu (UT) Operativnog programa Učinkoviti ljudski potencijali 2014.-2020. (OP ULJP 2014.-2020.) radi sufinanciranja iz Europskog socijalnog fonda (ESF). Projekt je vrijedan 3.297.000 kuna, odobren je od strane UT (MRMS) i u završnoj je proceduri evaluacije prije potpisivanja ugovora. Početak provedbe bit će u 2017. godini.  </w:t>
      </w:r>
    </w:p>
    <w:p w:rsidR="00505632" w:rsidRDefault="00505632" w:rsidP="00505632">
      <w:r>
        <w:t xml:space="preserve">Zavodu je u 2016. odobren još jedan projekt koji će se provoditi u sklopu Tehničke pomoći OP ULJP 2014.-2020. i sufinancirati sredstvima iz ESF-a. MRMS, kao UT OPULJP 2014.-2020. odobrilo je Zavodu dodjelu bespovratnih sredstava tehničke pomoći u iznosu od 231.250 kn. Odobrena sredstva utrošit će se do 31. prosinca 2017. za potrebu izrade novog projektnog prijedloga pod radnim nazivom „Unapređivanje zaštite na radu“, čija planirana vrijednost u provedbenom razdoblju 2018.-2020. iznosi ukupno 9.180.000 kn. Kroz ovaj projekt planira se razvoj i uspostava Središnjeg nacionalnog informacijskog sustava zaštite na radu - Data Collectora, kojim će se sukladno važećim zakonskim propisima povezati i razmjenjivati podaci svih institucionalnih dionika zaštite na radu i zaštite zdravlja radnika.  </w:t>
      </w:r>
    </w:p>
    <w:p w:rsidR="00505632" w:rsidRDefault="00505632" w:rsidP="00505632">
      <w:r>
        <w:t xml:space="preserve">Na području međunarodne suradnje odobren je projekt "Joining the Dots: Creating Entrepreneurial Networks“ u sklopu programa Erasmus +, čiji nositelj je ARVET Ltd. iz Londona uz 10 partnerskih organizacija iz 10 europskih država. Zavod je sudjelovao u izradi projektne dokumentacije te je u tijeku provedba projekta koja će se nastaviti u 2017. godini.  </w:t>
      </w:r>
    </w:p>
    <w:p w:rsidR="00505632" w:rsidRDefault="00505632" w:rsidP="00505632">
      <w:r>
        <w:t xml:space="preserve">Predstavnica Zavoda vodila je trodnevni program u ekspertnoj misiji TAIEX (Expert Misssion on Occupational Health and Safety Risks in Grain Handling And Feed Production And Prevention Methods) u Ankari. Turski Institut za zaštitu na radu, pri Ministarstvu rada, ponudio je Zavodu sklapanje Protokola/Sporazuma o suradnji, a suradnja se planira iu 2017. godini.  </w:t>
      </w:r>
    </w:p>
    <w:p w:rsidR="00505632" w:rsidRDefault="00505632" w:rsidP="00505632">
      <w:r>
        <w:t xml:space="preserve">Europska agencija za zaštitu na radu (EU OSHA) u sklopu potpore ARPP, odobrila je Zavodu potporu za održavanje tri seminara-radionice „Napo za učitelje“ i tri seminara-radionice „Europska poduzetnička mreža“ iz Paketa za podizanje svijesti i promociju ZNR. Održani su seminari „Napo“ u Bjelovaru, Čakovcu i Zagrebu, a „Europska poduzetnička mreža“ u Osijeku, Splitu i Zagrebu. Nadalje, EU OSHA, u sklopu potpore ECAP 2th round, odobrila je Zavodu potporu za održavanje promotivnog info-štanda europske kampanje „Zdrava mjesta rada za sve uzraste“ u Zadru, koji je održan u rujnu 2016., te za dva promotivno-edukativna seminara od po 100 sudionika – jedan seminar održan je u Osijeku, a jedan u Zagrebu. Zavod je aktivno uključen u promociju ove kampanje, a o njenim ciljevima informira na svim događanjima i radnim sastancima, drži prezentacije na seminarima te dijeli promotivne materijale. </w:t>
      </w:r>
    </w:p>
    <w:p w:rsidR="00505632" w:rsidRDefault="00505632" w:rsidP="00505632">
      <w:r>
        <w:t xml:space="preserve">U tijeku je sklapanje Memoranduma o razumijevanju između EU OSHA-e i Zavoda o upotrebi i prilagodbi OiRA alata za procjenu rizika, namijenjenog mikro i malim poslodavcima, koji će biti dostupan on-line i besplatan za uporabu. </w:t>
      </w:r>
    </w:p>
    <w:p w:rsidR="00505632" w:rsidRDefault="00505632" w:rsidP="00505632">
      <w:r>
        <w:t xml:space="preserve">Zavod unutar Radne skupine za socijalna pitanja Vijeća EU sudjeluje u oblikovanju  stava RH o Prijedlogu Direktive EP i Vijeća o izmjeni Direktive 2004/37/EZ o zaštiti radnika od rizika zbog izloženosti karcinogenim ili mutagenim tvarima na radu. Zavod sudjeluje u izradi Izvješća koje RH podnosi Međunarodnoj organizaciji rada (MOR). </w:t>
      </w:r>
    </w:p>
    <w:p w:rsidR="00505632" w:rsidRDefault="00505632" w:rsidP="00505632">
      <w:r>
        <w:t xml:space="preserve">Ostvarena je suradnja izravnim sudjelovanjem predstavnika Zavoda na radionicama i završnim konferencijama, u sklopu ESF projekata socijalnih partnera: SOGRADI (HUP) i Možemo zajedno! (HSMP i Sindikat metalaca), u studijskim posjetima u Berlin i Bruxelles.  </w:t>
      </w:r>
    </w:p>
    <w:p w:rsidR="00505632" w:rsidRDefault="00505632" w:rsidP="00505632">
      <w:r>
        <w:t xml:space="preserve">Zavod je započeo suradnju s austrijskim Fondom za socijalno osiguranje - AUVA (Allgemeine Unfallversicherungsanstalt), a u planu su zajedničke edukativne aktivnosti, te prijevodi austrijskih uputa za učenike o sigurnosti u različitim situacijama s njemačkog na hrvatski.  </w:t>
      </w:r>
    </w:p>
    <w:p w:rsidR="00505632" w:rsidRDefault="00505632" w:rsidP="00505632">
      <w:r>
        <w:t xml:space="preserve">U cilju smanjenja stope ozljeda na radu i time uzrokovanih gubitaka, Zavod je osmislio i provodi Nacionalnu kampanju "STOP ozljedama na radu 2016.-2018." te je izradio potrebne vodiče i upute. </w:t>
      </w:r>
    </w:p>
    <w:p w:rsidR="00505632" w:rsidRDefault="00505632" w:rsidP="00505632">
      <w:r>
        <w:t xml:space="preserve">Izdano je ukupno 140 ovlaštenja za obavljanje poslova zaštite na radu, od čega 20 ovlaštenja u 2016. godini (9 ovlaštenja pravnim osobama i 11 ovlaštenja fizičkim osobama). Obveza je Zavoda obavljati reviziju i nadzor nad radom ovlaštenih osoba, provjeravati kadrovske i tehničke kapacitete, način rada i primjenu Poslovnika o postupcima, uvjetima i metodama obavljanja poslova ZNR, a prema rješenjima o izdanim ovlaštenjima. Nakon uspostave potrebnih preduvjeta (lista članova komisije, odluka o naknadi, odluka o troškovima i dr.) tijekom 2016. godine obavljeno je 35 nadzora, od čega 13 nadzora nad radom fizičkih osoba ovlaštenih za obavljanje poslova zaštite na radu i 22 nadzora nad radom ovlaštenih pravnih osoba. </w:t>
      </w:r>
    </w:p>
    <w:p w:rsidR="00505632" w:rsidRDefault="00505632" w:rsidP="00505632">
      <w:r>
        <w:t xml:space="preserve">Zavod je organizirao besplatno Savjetovalište ZNR 3u1, te poslodavcima početnicima, mikro, malim i srednjim poduzetnicima, povjerenicima sindikata i povjerenicima radnika za zaštitu na radu pruža potrebne informacije, savjete i provodi edukaciju o primijeni propisa, optimiziranju troškova, učinkovitom organiziranju i upravljanju zaštitom na radu. Zavod je za poduzetnike-početnike održao radionicu u Plavom uredu Grada Zagreba.  </w:t>
      </w:r>
    </w:p>
    <w:p w:rsidR="00505632" w:rsidRDefault="00505632" w:rsidP="00505632">
      <w:r>
        <w:t xml:space="preserve">Zavod je, nadalje, odgovorio na preko 800 upita kojima su poslodavci, udruženja poslodavaca, sindikati, povjerenici radnika za ZNR, ovlaštene osobe i drugi zainteresirani tražili stručnu pomoć ili mišljenje.  </w:t>
      </w:r>
    </w:p>
    <w:p w:rsidR="00505632" w:rsidRDefault="00505632" w:rsidP="00505632">
      <w:r>
        <w:t xml:space="preserve">U sklopu suradnje s tvrtkama i tijelima ostvarena je 27 radnih posjeta različitim tvrtkama i državnim tijelima, među kojima su Uljanik d.d., Podravka d.d., Franck d.d., Konzum d.d., Petrokemija d.d., Hrvatska pošta d.d., Ministarstvo financija, Zagrebački Holding d.o.o. – ZET, Đuro Đaković d.d., Žito d.o.o, Borovo d.d., VUPIK d.d., Čistoća d.o.o. Zadar, PIK Vrbovec i dr. </w:t>
      </w:r>
    </w:p>
    <w:p w:rsidR="00505632" w:rsidRDefault="00505632" w:rsidP="00505632">
      <w:r>
        <w:t xml:space="preserve">Zavod je bio suorganizator VI. Međunarodnog stručno-znanstvenog skupa „Zaštita na radu i zaštita zdravlja“ održanog u rujnu 2016. u Zadru, na kojem su zaposlenici Zavoda prijavili i predstavili sedam stručnih radova. U sklopu skupa Zavod je organizirao okrugli stol na temu "Mirenja u području zaštite na radu", a sudjelovali su predstavnici Ministarstva pravosuđa, Hrvatske udruge poslodavaca, Općinskog suda u Zadru, Hrvatske udruge za mirenje (HUM) i drugi sudionici. </w:t>
      </w:r>
    </w:p>
    <w:p w:rsidR="00505632" w:rsidRDefault="00505632" w:rsidP="00505632">
      <w:r>
        <w:t xml:space="preserve">Predstavnici Zavoda sudjeluju u radu Komunikacijske radne skupine u sustavu zaštite zdravlja na radu pri Hrvatskom zavodu za zdravstveno osiguranje. </w:t>
      </w:r>
    </w:p>
    <w:p w:rsidR="00505632" w:rsidRDefault="00505632" w:rsidP="00505632">
      <w:r>
        <w:t xml:space="preserve">Zavod je inicirao razvoj mreže za unapređivanje ZNR kroz osnivanje Povjerenstava za unapređivanje ZNR pri Gospodarsko-socijalnim vijećima županija i Grada Zagreba te na razini pojedinih sektora. Do kraja 2016. godine su odgovarajućim odlukama udruga poslodavaca i sindikata osnovana Povjerenstva u poljoprivredno-prehrambenom sektoru, u sektoru turizma i ugostiteljstva te Povjerenstva pri GSV-u u Zagrebačkoj i Bjelovarsko-bilogorskoj županiji.    </w:t>
      </w:r>
    </w:p>
    <w:p w:rsidR="00505632" w:rsidRDefault="00505632" w:rsidP="00505632">
      <w:r>
        <w:t xml:space="preserve">Zavod je izradio više uputa za rad s alatima u slobodno vrijeme, zatim za rad s radnom opremom u industriji, smjernice za pripremu općeg i posebnog dijela stručnog ispita za stručnjaka zaštite na radu, te više vodiča: Vodič za analizu ozljeda na radu, Vodič za izradu procjene rizika, Vodič za izradu programa osposobljavanja za rad siguran način, Vodič za unutarnji nadzor stanja zaštite na radu, Vodič za izbor povjerenika radnika za zaštitu na radu. Također, izrađeni su i predlošci za analizu ozljeda na radu, te Akcijskog plana mjera i aktivnosti za unapređivanje zaštite na radu, provedene su ankete o potrebama i mogućnosti stručnog usavršavanja stručnjaka ZNR, te o primjeni propisa iz područja zaštite na radu.  </w:t>
      </w:r>
    </w:p>
    <w:p w:rsidR="00505632" w:rsidRDefault="00505632" w:rsidP="00505632">
      <w:r>
        <w:t xml:space="preserve">Zavod kontinuirano provodi edukativno-promotivne aktivnosti, u prigodi obilježavanja Svjetskog i Nacionalnog dana zaštite na radu održano je edukativno-informativno događanje „Zdrava radna mjesta za svaku životnu dob“ na tri glavna zagrebačka trga, koje je okupilo pet javnih institucija, dva visoka učilište, više udruga i druge dionike. Također, Zavod je u više osnovnih i srednjih škola održao sat zaštite na radu, inicirao je natjecanje studenata, predavanje za obrtnike, dane otvorenih vrata ovlaštenih kuća i dr. Zavod je sudjelovao i na Sajmu poslova, konferencijama „Uloga socijalnih partnera u osiguravanju zdravih radnih mjesta“  i MAGROS 2016., Ambienti, okruglom stolu u organizaciji Hrvatske udruge za mirenje i dr. </w:t>
      </w:r>
    </w:p>
    <w:p w:rsidR="00505632" w:rsidRDefault="00505632" w:rsidP="00505632">
      <w:r>
        <w:t xml:space="preserve">U cilju edukacije i kontinuiranog unapređivanje ZNR u svakoj životnoj dobi, Zavod je osmislio i pokrenuo pilot-projekt "Ješko Ježić" kako bi podigao razinu svijesti o sigurnosti i zaštiti pri radu djece vrtićke dobi. Izrađene su slikovnice i bojanke, te je održano 17 edukativnih igraonica-radionica u dječjim vrtićima Zagreba, Karlovca i Siska, kao i za prvašiće u osnovnim školama, kojima je obuhvaćeno 500-tinjak djece.  </w:t>
      </w:r>
    </w:p>
    <w:p w:rsidR="00505632" w:rsidRDefault="00505632" w:rsidP="00505632">
      <w:r>
        <w:t xml:space="preserve">Zavod svojim prijedlozima i komentarima sudjeluje u e-savjetovanju vezanom uz pojedine međupredmetne teme i školske predmete vezano uz zaštitu na radu. </w:t>
      </w:r>
    </w:p>
    <w:p w:rsidR="00505632" w:rsidRDefault="00505632" w:rsidP="00505632">
      <w:r>
        <w:t xml:space="preserve">Na mrežnoj stranici Zavoda www.zuznr.hr objavljeno je preko 500 materijala, među kojima i 400 propisa vezanih uz zaštitu na radu, pokrenut je virtualni muzej i newsletter. Mrežna stranica u prosjeku bilježi oko 40.000 posjeta korisnika mjesečno. Zavod pruža informacije i putem društvenih mreža. </w:t>
      </w:r>
    </w:p>
    <w:p w:rsidR="00505632" w:rsidRDefault="00505632" w:rsidP="00505632">
      <w:r>
        <w:t xml:space="preserve">Zavod je sudjelovao u TV emisijama (TV Jadran, Slavonska TV), kao i povodom Europskog tjedna zaštite na radu (TV4R Karlovac, Dobro jutro, Hrvatska – HRT1). Objavljeno je više članaka u stručnim časopisima Sigurnost, Radno pravo, BIZdirekt, Suvremena trgovina, Grafičar, tematski članak u Lideru te članci o Zavodu u Globusu i Večernjem listu.  </w:t>
      </w:r>
    </w:p>
    <w:p w:rsidR="00505632" w:rsidRDefault="00505632" w:rsidP="00505632">
      <w:r>
        <w:t xml:space="preserve">U suradnji s HUP-om pokrenut je projekt dodjele Godišnje nagrade za najbolji novinarski rad u području zaštite na radu za 2016. godinu u četiri kategorije, a nagrade će biti dodijeljene na Nacionalni dan zaštite na radu 2017. </w:t>
      </w:r>
    </w:p>
    <w:p w:rsidR="00505632" w:rsidRDefault="00505632" w:rsidP="00505632">
      <w:r>
        <w:t xml:space="preserve">Zavod kontinuirano pruža stručnu i administrativnu pomoć radu Nacionalnog vijeća za zaštitu na radu te osigurava potrebna financijska sredstva za rad tog savjetodavnog tijela Vlade RH. </w:t>
      </w:r>
    </w:p>
    <w:p w:rsidR="00505632" w:rsidRDefault="00505632" w:rsidP="00505632">
      <w:r>
        <w:t xml:space="preserve">Tekući Financijski plan Zavoda za 2016. godinu iznosi 2.845.000 kuna, planiranih u programu 3301 - Aktivna politika tržišta rada, unutar kojeg je planirana osnovna aktivnost Zavoda A877001 - Administracija i upravljanje. Aktivnost A877001 financirana je u cijelosti iz izvora 11 - opći prihodi i primici. Prihodi iz nadležnog proračuna za financiranje redovne djelatnosti (račun 671) iznose 2.647.045 kn, a sastoje se od prihoda za financiranje rashoda poslovanja (2.587.776 kn) i prihoda za nabavu nefinancijske imovine (59.269 kn). Sukladno ostvarenim prihodima za financiranje rashoda poslovanja, ukupni rashodi sastoje se od rashoda poslovanja (2.587.776 kn) i rashoda za nabavu nefinancijske imovine (59.269 kn), što ukupno iznosi 2.647.045 kn. Izvršenje rashoda u odnosu na tekući plan iznosi 93,04%. </w:t>
      </w:r>
    </w:p>
    <w:p w:rsidR="00505632" w:rsidRDefault="00505632" w:rsidP="00505632">
      <w:r>
        <w:t xml:space="preserve">Unutar aktivnosti A877001 planirani su rashodi za zaposlene koji čine 68,9% planiranih sredstava, materijalni rashodi koji čine 28,7% planiranih sredstava, rashodi za nabavu nefinancijske imovine koji čine 2,4% planiranih sredstava te neznatan postotni udjel čine financijski rashodi.  </w:t>
      </w:r>
    </w:p>
    <w:p w:rsidR="00505632" w:rsidRDefault="00505632" w:rsidP="00505632">
      <w:r>
        <w:t>Izvršenje rashoda za zaposlene je 99% u odnosu na tekući plan. Na dan 31. prosinca 2016. u Zavodu je ukupno 16 zaposlenih (15 zaposlenika ima VSS, a 1 ima SSS), od kojih je 14 viših stručnih savjetnika, administrativna tajnica i ravnatelj, svi zaposleni na neodređeno vrijeme. Rashodi za zaposlene izvršeni su prema Zakonu o plaćama u javnim službama ("Narodne novine" br. 27/01 i 39/09), Zakonu o osnovici plaće u javnim službama ("Narodne novine" br. 39/09 i 124/09) i Uredbi o nazivima radnih mjesta i koeficijentima složenosti poslova u javnim službama („Narodne novine“ br. 25/13., 72/13., 151/13., 9/14., 40/14., 51/14., 77/14., 83/14.-ispravak 87/14., 120/14., 147/14., 151/14., 11/15., 32/15., 38/15. i 60/15., 83/15., 112/15., 122/15 i 10/17.). Izvršenje materijalnih rashoda je 80% u odnosu na ukupno planirana sredstva, rashodi za nabavu neproizvedene dugotrajne imovine nisu realizirani, dok su rashodi za nabavu proizvedene dugotrajne imovine izvršeni s 95% u odnosu na tekući plan. Tijekom 2015. godine izvršeno je cjelovito opremanje uredskih prostorija namještajem i IT opremom, tako da tijekom 2016. godine nije bilo velikih ulaganja u dugotrajnu imovinu. Nefinancijska imovina Zavoda sastoji se od postrojenja i opreme (računala i računalna oprema, uredski namještaj i ostala uredska oprema), nematerijalne proizvedene imovine (ulaganje u računalne programe) te ostale nematerijalne proizvedene imovine u pripremi (na osnovnom računu 05511 evidentirana su ulaganja u iznosu od 44.375,00 kn, a odnose se na ulaganje u projektiranje i razvoj Informacijskog sustava zaštite na radu Zavoda za unapređivanje zaštite na radu, koji je smješten na računalno komunikacijskoj infrastrukturi tvrtke APIS IT d.o.o i trenutno je u testnoj fazi nakon čega će se uz primopredajni zapisnik staviti u produkcijsku fazu, odnosno u uporabu).</w:t>
      </w:r>
    </w:p>
    <w:p w:rsidR="00505632" w:rsidRDefault="00505632" w:rsidP="00505632">
      <w:pPr>
        <w:pStyle w:val="Heading2"/>
      </w:pPr>
      <w:r>
        <w:t>08645 Središnji registar osiguranika</w:t>
      </w:r>
    </w:p>
    <w:p w:rsidR="00505632" w:rsidRDefault="00505632" w:rsidP="00505632">
      <w:r>
        <w:t xml:space="preserve">Središnji registar osiguranika (REGOS) je ustanova osnovana Uredbom Vlade Republike Hrvatske („Narodne novine“, broj 101/99 i 83/12). U prosincu 2013. godine donesen je Zakon o Središnjem registru osiguranika kojim se u jednom pravnom aktu propisuju nadležnosti i ovlasti REGOS-a koje su do sada bile utvrđene kroz različite propise. Uređuju se pitanja vezana uz temeljnu nadležnost REGOS-a u okviru novouređenog jedinstvenog sustava objedinjenog prikupljanja, obrade i korištenja podataka. Ovim Zakonom REGOS postaje ovlašteno javnopravno tijelo za poslove povezivanja obračunanih doprinosa i za I. stup mirovinskog osiguranja s pripadajućim uplatama. </w:t>
      </w:r>
    </w:p>
    <w:p w:rsidR="00505632" w:rsidRDefault="00505632" w:rsidP="00505632">
      <w:r>
        <w:t xml:space="preserve">Temeljem zakonske ovlasti i nadležnosti, REGOS prikupljene i obrađene podatke o obračunanim iznosima doprinosa za mirovinska osiguranja temeljem generacijske solidarnosti (I. stup) te individualne kapitalizirane štednje (II. stup) povezuje s odgovarajućim podacima o uplatama po osiguranicima i drugim osobama. </w:t>
      </w:r>
    </w:p>
    <w:p w:rsidR="00505632" w:rsidRDefault="00505632" w:rsidP="00505632">
      <w:r>
        <w:t xml:space="preserve">Osnovna zadaća REGOS-a je osmišljavanje, izgradnja i unapređivanje, kako poslovnog, tako i pripadnog informacijskog sustava mirovinskog osiguranja temeljem individualne kapitalizirane štednje (II. stup), tj. tehnička podrška II. stupu mirovinskog osiguranja te vođenje i održavanje registra podatka po osiguranicima i drugim osobama vezanim uz  doprinose za obvezna mirovinska osiguranja. </w:t>
      </w:r>
    </w:p>
    <w:p w:rsidR="00505632" w:rsidRDefault="00505632" w:rsidP="00505632">
      <w:r>
        <w:t xml:space="preserve">U dijelu poslova vezanih uz vođenje registra te donošenje provedbenih propisa, REGOS ima javne ovlasti. U obavljanju poslova iz djelokruga rada, REGOS primjenjuje suvremena informacijska rješenja potrebna za odvijanje poslovnih procesa, kao i za objedinjavanje i transfer podataka sa svim subjektima u poslovnom okružju, što se osobito očituje u pružanju usluge e-REGOS - elektronsku razmjenu podataka između institucija u poslovnom okružju te omogućavanje uvida u stanje i promet po osobnom računu osiguranika, članu obveznog mirovinskog fonda putem interneta.  </w:t>
      </w:r>
    </w:p>
    <w:p w:rsidR="00505632" w:rsidRDefault="00505632" w:rsidP="00505632">
      <w:r>
        <w:t>Poslovi iz djelatnosti REGOS-a obavljaju se u suradnji s našim outsourcing partnerima Financijskom agencijom (FINA) i Agencijom za podršku informacijskim sustavima i informacijskim tehnologijama (APIS IT), a temeljem sklopljenih Ugovora o povjeravanju dijela poslova Središnjeg registra osiguranika s navedenim partnerima.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08645-Središnji registar osiguranika</w:t>
            </w:r>
          </w:p>
        </w:tc>
        <w:tc>
          <w:tcPr>
            <w:tcW w:w="2041" w:type="dxa"/>
            <w:vAlign w:val="top"/>
          </w:tcPr>
          <w:p w:rsidR="00505632" w:rsidRDefault="00505632" w:rsidP="00AD4E52">
            <w:pPr>
              <w:pStyle w:val="CellColumn"/>
              <w:jc w:val="right"/>
            </w:pPr>
            <w:r>
              <w:rPr>
                <w:rFonts w:cs="Times New Roman"/>
              </w:rPr>
              <w:t>47.964.924</w:t>
            </w:r>
          </w:p>
        </w:tc>
        <w:tc>
          <w:tcPr>
            <w:tcW w:w="2041" w:type="dxa"/>
            <w:vAlign w:val="top"/>
          </w:tcPr>
          <w:p w:rsidR="00505632" w:rsidRDefault="00505632" w:rsidP="00AD4E52">
            <w:pPr>
              <w:pStyle w:val="CellColumn"/>
              <w:jc w:val="right"/>
            </w:pPr>
            <w:r>
              <w:rPr>
                <w:rFonts w:cs="Times New Roman"/>
              </w:rPr>
              <w:t>56.726.100</w:t>
            </w:r>
          </w:p>
        </w:tc>
        <w:tc>
          <w:tcPr>
            <w:tcW w:w="2041" w:type="dxa"/>
            <w:vAlign w:val="top"/>
          </w:tcPr>
          <w:p w:rsidR="00505632" w:rsidRDefault="00505632" w:rsidP="00AD4E52">
            <w:pPr>
              <w:pStyle w:val="CellColumn"/>
              <w:jc w:val="right"/>
            </w:pPr>
            <w:r>
              <w:rPr>
                <w:rFonts w:cs="Times New Roman"/>
              </w:rPr>
              <w:t>47.674.335</w:t>
            </w:r>
          </w:p>
        </w:tc>
        <w:tc>
          <w:tcPr>
            <w:tcW w:w="1224" w:type="dxa"/>
            <w:vAlign w:val="top"/>
          </w:tcPr>
          <w:p w:rsidR="00505632" w:rsidRDefault="00505632" w:rsidP="00AD4E52">
            <w:pPr>
              <w:pStyle w:val="CellColumn"/>
              <w:jc w:val="right"/>
            </w:pPr>
            <w:r>
              <w:rPr>
                <w:rFonts w:cs="Times New Roman"/>
              </w:rPr>
              <w:t>84,0</w:t>
            </w:r>
          </w:p>
        </w:tc>
        <w:tc>
          <w:tcPr>
            <w:tcW w:w="1224" w:type="dxa"/>
            <w:vAlign w:val="top"/>
          </w:tcPr>
          <w:p w:rsidR="00505632" w:rsidRDefault="00505632" w:rsidP="00AD4E52">
            <w:pPr>
              <w:pStyle w:val="CellColumn"/>
              <w:jc w:val="right"/>
            </w:pPr>
            <w:r>
              <w:rPr>
                <w:rFonts w:cs="Times New Roman"/>
              </w:rPr>
              <w:t>99,4</w:t>
            </w:r>
          </w:p>
        </w:tc>
      </w:tr>
      <w:tr w:rsidR="00505632" w:rsidTr="00AD4E52">
        <w:trPr>
          <w:jc w:val="center"/>
        </w:trPr>
        <w:tc>
          <w:tcPr>
            <w:tcW w:w="1632" w:type="dxa"/>
          </w:tcPr>
          <w:p w:rsidR="00505632" w:rsidRDefault="00505632" w:rsidP="00AD4E52">
            <w:pPr>
              <w:jc w:val="left"/>
            </w:pPr>
            <w:r>
              <w:t>4101-PODRŠKA SUSTAVU MIROVINSKOG OSIGURANJA</w:t>
            </w:r>
          </w:p>
        </w:tc>
        <w:tc>
          <w:tcPr>
            <w:tcW w:w="2041" w:type="dxa"/>
          </w:tcPr>
          <w:p w:rsidR="00505632" w:rsidRDefault="00505632" w:rsidP="00AD4E52">
            <w:pPr>
              <w:jc w:val="right"/>
            </w:pPr>
            <w:r>
              <w:t>47.964.924</w:t>
            </w:r>
          </w:p>
        </w:tc>
        <w:tc>
          <w:tcPr>
            <w:tcW w:w="2041" w:type="dxa"/>
          </w:tcPr>
          <w:p w:rsidR="00505632" w:rsidRDefault="00505632" w:rsidP="00AD4E52">
            <w:pPr>
              <w:jc w:val="right"/>
            </w:pPr>
            <w:r>
              <w:t>56.726.100</w:t>
            </w:r>
          </w:p>
        </w:tc>
        <w:tc>
          <w:tcPr>
            <w:tcW w:w="2041" w:type="dxa"/>
          </w:tcPr>
          <w:p w:rsidR="00505632" w:rsidRDefault="00505632" w:rsidP="00AD4E52">
            <w:pPr>
              <w:jc w:val="right"/>
            </w:pPr>
            <w:r>
              <w:t>47.674.335</w:t>
            </w:r>
          </w:p>
        </w:tc>
        <w:tc>
          <w:tcPr>
            <w:tcW w:w="1224" w:type="dxa"/>
          </w:tcPr>
          <w:p w:rsidR="00505632" w:rsidRDefault="00505632" w:rsidP="00AD4E52">
            <w:pPr>
              <w:jc w:val="right"/>
            </w:pPr>
            <w:r>
              <w:t>84,0</w:t>
            </w:r>
          </w:p>
        </w:tc>
        <w:tc>
          <w:tcPr>
            <w:tcW w:w="1224" w:type="dxa"/>
          </w:tcPr>
          <w:p w:rsidR="00505632" w:rsidRDefault="00505632" w:rsidP="00AD4E52">
            <w:pPr>
              <w:jc w:val="right"/>
            </w:pPr>
            <w:r>
              <w:t>99,4</w:t>
            </w:r>
          </w:p>
        </w:tc>
      </w:tr>
    </w:tbl>
    <w:p w:rsidR="00505632" w:rsidRDefault="00505632" w:rsidP="00505632">
      <w:pPr>
        <w:jc w:val="left"/>
      </w:pPr>
    </w:p>
    <w:p w:rsidR="00505632" w:rsidRDefault="00505632" w:rsidP="00505632">
      <w:pPr>
        <w:pStyle w:val="Heading3"/>
      </w:pPr>
      <w:r>
        <w:rPr>
          <w:rFonts w:cs="Times New Roman"/>
        </w:rPr>
        <w:t>4101 PODRŠKA SUSTAVU MIROVINSKOG OSIGURANJA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4101-PODRŠKA SUSTAVU MIROVINSKOG OSIGURANJA</w:t>
            </w:r>
          </w:p>
        </w:tc>
        <w:tc>
          <w:tcPr>
            <w:tcW w:w="2041" w:type="dxa"/>
          </w:tcPr>
          <w:p w:rsidR="00505632" w:rsidRDefault="00505632" w:rsidP="00AD4E52">
            <w:pPr>
              <w:pStyle w:val="CellColumn"/>
              <w:jc w:val="right"/>
            </w:pPr>
            <w:r>
              <w:rPr>
                <w:rFonts w:cs="Times New Roman"/>
              </w:rPr>
              <w:t>47.964.924</w:t>
            </w:r>
          </w:p>
        </w:tc>
        <w:tc>
          <w:tcPr>
            <w:tcW w:w="2041" w:type="dxa"/>
          </w:tcPr>
          <w:p w:rsidR="00505632" w:rsidRDefault="00505632" w:rsidP="00AD4E52">
            <w:pPr>
              <w:pStyle w:val="CellColumn"/>
              <w:jc w:val="right"/>
            </w:pPr>
            <w:r>
              <w:rPr>
                <w:rFonts w:cs="Times New Roman"/>
              </w:rPr>
              <w:t>56.726.100</w:t>
            </w:r>
          </w:p>
        </w:tc>
        <w:tc>
          <w:tcPr>
            <w:tcW w:w="2041" w:type="dxa"/>
          </w:tcPr>
          <w:p w:rsidR="00505632" w:rsidRDefault="00505632" w:rsidP="00AD4E52">
            <w:pPr>
              <w:pStyle w:val="CellColumn"/>
              <w:jc w:val="right"/>
            </w:pPr>
            <w:r>
              <w:rPr>
                <w:rFonts w:cs="Times New Roman"/>
              </w:rPr>
              <w:t>47.674.335</w:t>
            </w:r>
          </w:p>
        </w:tc>
        <w:tc>
          <w:tcPr>
            <w:tcW w:w="1224" w:type="dxa"/>
          </w:tcPr>
          <w:p w:rsidR="00505632" w:rsidRDefault="00505632" w:rsidP="00AD4E52">
            <w:pPr>
              <w:pStyle w:val="CellColumn"/>
              <w:jc w:val="right"/>
            </w:pPr>
            <w:r>
              <w:rPr>
                <w:rFonts w:cs="Times New Roman"/>
              </w:rPr>
              <w:t>84,0</w:t>
            </w:r>
          </w:p>
        </w:tc>
        <w:tc>
          <w:tcPr>
            <w:tcW w:w="1224" w:type="dxa"/>
          </w:tcPr>
          <w:p w:rsidR="00505632" w:rsidRDefault="00505632" w:rsidP="00AD4E52">
            <w:pPr>
              <w:pStyle w:val="CellColumn"/>
              <w:jc w:val="right"/>
            </w:pPr>
            <w:r>
              <w:rPr>
                <w:rFonts w:cs="Times New Roman"/>
              </w:rPr>
              <w:t>99,4</w:t>
            </w:r>
          </w:p>
        </w:tc>
      </w:tr>
    </w:tbl>
    <w:p w:rsidR="00505632" w:rsidRDefault="00505632" w:rsidP="00505632">
      <w:pPr>
        <w:jc w:val="left"/>
      </w:pPr>
    </w:p>
    <w:p w:rsidR="00505632" w:rsidRDefault="00505632" w:rsidP="00505632">
      <w:r>
        <w:t xml:space="preserve">Sve aktivnosti i projekti koje obavlja REGOS dio su programa Podrška sustavu mirovinske reforme nositelj kojega je Ministarstvo rada i mirovinskoga sustava. </w:t>
      </w:r>
    </w:p>
    <w:p w:rsidR="00505632" w:rsidRDefault="00505632" w:rsidP="00505632">
      <w:r>
        <w:t>U okviru općeg cilja „dostojna starost“, definiranog strateškim planom Ministarstva rada i mirovinskoga sustava, posebni cilj REGOS-a je osiguranje provedbe obveznog kapitaliziranog sustava i unaprjeđenje poslovnih procesa.</w:t>
      </w:r>
    </w:p>
    <w:p w:rsidR="00505632" w:rsidRDefault="00505632" w:rsidP="00505632">
      <w:pPr>
        <w:pStyle w:val="Heading8"/>
        <w:jc w:val="left"/>
      </w:pPr>
      <w:r>
        <w:t>Cilj 1. Osiguranje provedbe obveznog kapitaliziranog sustava i unaprjeđenje poslovnih procesa</w:t>
      </w:r>
    </w:p>
    <w:p w:rsidR="00505632" w:rsidRDefault="00505632" w:rsidP="00505632">
      <w:pPr>
        <w:pStyle w:val="Heading8"/>
        <w:jc w:val="left"/>
      </w:pPr>
      <w:r>
        <w:t>Opis provedbe cilja programa</w:t>
      </w:r>
    </w:p>
    <w:p w:rsidR="00505632" w:rsidRDefault="00505632" w:rsidP="00505632">
      <w:r>
        <w:t xml:space="preserve">Osiguranje provedbe obveznog kapitaliziranog sustava i unapređenje poslovnih procesa obuhvaća poslove vezane uz prijavu/promjenu obveznog mirovinskog fonda i kategorije mirovinskog fonda, povezivanje podataka iz Obrazaca JOPPD sa pripadajućim uplatama doprinosa za mirovinska osiguranja, prosljeđivanje povezanih uplata u obvezne mirovinske fondove i društva, preračun u obračunske jedinice i evidentiranje na osobnim računima osiguranika, zatvaranje osobnih računa i isplata sredstava zakonskim primateljima te istup iz II. stupa. </w:t>
      </w:r>
    </w:p>
    <w:p w:rsidR="00505632" w:rsidRDefault="00505632" w:rsidP="00505632">
      <w:r>
        <w:t xml:space="preserve">Analizom postojećeg stanja utvrđeno je da se tehnička podrška mirovinskom osiguranju na temelju individualne kapitalizirane štednje odvija nesmetano, što je rezultiralo sa više od 61,3 mlrd. kn proslijeđenih u obvezne mirovinske fondove. </w:t>
      </w:r>
    </w:p>
    <w:p w:rsidR="00505632" w:rsidRDefault="00505632" w:rsidP="00505632">
      <w:r>
        <w:t xml:space="preserve">Povećanjem ukupnog iznosa proslijeđenih sredstava doprinosa temeljem individualne kapitalizirane štednje u obvezne mirovinske fondove povećat će se zadovoljstvo svih sudionika mirovinskog sustava, što pridonosi ostvarenju općeg cilja. </w:t>
      </w:r>
    </w:p>
    <w:p w:rsidR="00505632" w:rsidRDefault="00505632" w:rsidP="00505632">
      <w:r>
        <w:t xml:space="preserve">Objedinjenim prikupljanjem podataka o svim oporezivim i neoporezivim primicima i pripadajućim javnim davanjima podaci se prikupljaju putem jedinstvenog obrasca – Obrazac JOPPD. </w:t>
      </w:r>
    </w:p>
    <w:p w:rsidR="00505632" w:rsidRDefault="00505632" w:rsidP="00505632">
      <w:r>
        <w:t xml:space="preserve">Obrazac JOPPD zajednički je obrazac REGOS-a i Porezne uprave koji se podnosi dnevno (pri svakoj isplati) i to u pravilu u elektroničkom obliku putem sustava e-porezna. </w:t>
      </w:r>
    </w:p>
    <w:p w:rsidR="00505632" w:rsidRDefault="00505632" w:rsidP="00505632">
      <w:r>
        <w:t xml:space="preserve">Novi jedinstveni obrazac zamijenio je slijedeće obrasce: ID, ID-1, IDD, IDD-1, IP i R-Sm. </w:t>
      </w:r>
    </w:p>
    <w:p w:rsidR="00505632" w:rsidRDefault="00505632" w:rsidP="00505632">
      <w:r>
        <w:t xml:space="preserve">Objedinjeno prikupljanje podataka o isplati plaće po osiguraniku, uplaćenim javnim davanjima (porezu na dohodak i prirezu porezu na dohodak, doprinosima za obvezna osiguranja) o svim isplatama koje poslodavci isplaćuju radnicima po kolektivnom ugovoru i sl. trebalo bi rezultirati racionalizacijom postojećeg sustava prikupljanja i obrade podataka te uspostavom web portala na kojem bi se osiguranicima omogućila provjera da li poslodavac za njih uplaćuje sva javna davanja, što će omogućiti bolju informiranost osiguranika te transparentnost sustava. U konačnici, objedinjeno prikupljanje podataka treba rezultirati kvalitativnim iskorakom i racionalizacijom troškova za državu i poslodavce, odnosno obveznike podnošenja podataka. </w:t>
      </w:r>
    </w:p>
    <w:p w:rsidR="00505632" w:rsidRDefault="00505632" w:rsidP="00505632">
      <w:r>
        <w:t xml:space="preserve">Elektroničko poslovanje pridonosi bržim i kvalitetnijim obradama podataka, a time i točnim i ažurnim podacima u registru koji su nužni za ostvarivanje definiranog općeg cilja. </w:t>
      </w:r>
    </w:p>
    <w:p w:rsidR="00505632" w:rsidRDefault="00505632" w:rsidP="00505632">
      <w:r>
        <w:t xml:space="preserve">Na ovaj način podaci prikupljeni i obrađeni u jednoj instituciji postaju dostupni drugim institucijama državne ili javne uprave, što dovodi do jačanja javnosti i transparentnosti rada javne administracije, djelotvornosti i zaštite javnog interesa. </w:t>
      </w:r>
    </w:p>
    <w:p w:rsidR="00505632" w:rsidRDefault="00505632" w:rsidP="00505632">
      <w:r>
        <w:t xml:space="preserve">Naredno razdoblje bit će obilježeno prilagodbom postojećeg sustava u RH unificiranim procesima iz sustava socijalnog osiguranja Europske unije. Na sjednici, održanoj 20. siječnja 2011., Vlada Republike Hrvatske donijela je Odluku o određivanju Središnjeg registra osiguranika (REGOS) Pristupnom točkom (EU Access Point) za elektroničku razmjenu podataka u području koordinacije sustava socijalne sigurnosti (EESSI - Electronic Exchange of Social Security Information). </w:t>
      </w:r>
    </w:p>
    <w:p w:rsidR="00505632" w:rsidRDefault="00505632" w:rsidP="00505632">
      <w:r>
        <w:t xml:space="preserve">REGOS će sukladno Odluci obavljati poslove pristupne točke za povezivanje s pristupnim točkama drugih država članica Europske unije za potrebe koordinacije sustava socijalne sigurnosti koja se provodi izravnom primjenom Zakona o provedbi Uredbi Europske unije o koordinaciji sustava socijalne sigurnosti. </w:t>
      </w:r>
    </w:p>
    <w:p w:rsidR="00505632" w:rsidRDefault="00505632" w:rsidP="00505632">
      <w:r>
        <w:t xml:space="preserve">Cilj EESSI projekta je jačanje zaštite prava na socijalnu sigurnost građana koji se sele diljem Europe te ubrzanje i olakšanje procesa donošenja odluka za stvarni obračun i isplatu socijalnih naknada za ovu kategoriju građana, što se može postići samo kroz osuvremenjivanje i ubrzavanje razmjene informacija između institucija socijalne sigurnosti država članica. </w:t>
      </w:r>
    </w:p>
    <w:p w:rsidR="00505632" w:rsidRDefault="00505632" w:rsidP="00505632">
      <w:r>
        <w:t xml:space="preserve">REGOS će obavljati poslove nacionalnog središta za povezivanje s nacionalnim institucijama drugih država članica EU za potrebe koordinacije koja se provodi izravnom primjenom Zakona o provedbi Uredbi EU o koordinaciji sustava socijalne sigurnosti radnika migranata i članova njihovih obitelji. </w:t>
      </w:r>
    </w:p>
    <w:p w:rsidR="00505632" w:rsidRDefault="00505632" w:rsidP="00505632">
      <w:r>
        <w:t xml:space="preserve">Način ostvarivanja postavljenog cilja </w:t>
      </w:r>
    </w:p>
    <w:p w:rsidR="00505632" w:rsidRDefault="00505632" w:rsidP="00505632">
      <w:r>
        <w:t xml:space="preserve">1.1.1.Prosljeđivanje sredstava doprinosa za mirovinsko osiguranje na temelju individualne kapitalizirane  štednje u obvezne mirovinske fondove </w:t>
      </w:r>
    </w:p>
    <w:p w:rsidR="00505632" w:rsidRDefault="00505632" w:rsidP="00505632">
      <w:r>
        <w:t xml:space="preserve">Uplate doprinosa za mirovinsko osiguranje na temelju individualne kapitalizirane štednje povezuju se s podacima o zaduženju iz obrasca JOPPD te se prosljeđuju u obvezne mirovinske fondove i evidentiraju na osobnim računima članova obveznih mirovinskih fondova. O iznosu evidentiranih sredstava na osobnom računu člana obveznog mirovinskog fonda direktno ovisi visina buduće mirovine na temelju individualne kapitalizirane štednje. </w:t>
      </w:r>
    </w:p>
    <w:p w:rsidR="00505632" w:rsidRDefault="00505632" w:rsidP="00505632">
      <w:r>
        <w:t xml:space="preserve">1.1.2.Razvoj i promicanje e-poslovanja </w:t>
      </w:r>
    </w:p>
    <w:p w:rsidR="00505632" w:rsidRDefault="00505632" w:rsidP="00505632">
      <w:r>
        <w:t xml:space="preserve">Unapređenjem sustava elektroničke komunikacije s osiguranicima, osiguranici će na brži i jednostavniji način postavljati zahtjeve za dokumentima i dobivati dokumente koji su im potrebni radi ostvarivanja prava te bolje informiranosti. Elektroničkom razmjenom podataka između institucija u okružju olakšava se ostvarivanje prava osiguranika te pridonosi bržim i kvalitetnijim obradama podataka, a time i točnim i ažurnim podacima u registru. </w:t>
      </w:r>
    </w:p>
    <w:p w:rsidR="00505632" w:rsidRDefault="00505632" w:rsidP="00505632">
      <w:r>
        <w:t>Na ovaj način podaci prikupljeni i obrađeni u jednoj instituciji postaju dostupni drugim institucijama državne ili javne uprave, što dovodi do jačanja javnosti i transparentnosti rada.</w:t>
      </w:r>
    </w:p>
    <w:p w:rsidR="00505632" w:rsidRDefault="00505632" w:rsidP="00505632">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učinka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1.1.1.  Porast iznosa doznačenih sredstava doprinosa za mirovinsko osiguranje temeljem individualne kapitalizirane štednje</w:t>
            </w:r>
          </w:p>
        </w:tc>
        <w:tc>
          <w:tcPr>
            <w:tcW w:w="1020" w:type="dxa"/>
          </w:tcPr>
          <w:p w:rsidR="00505632" w:rsidRDefault="00505632" w:rsidP="00AD4E52">
            <w:pPr>
              <w:pStyle w:val="CellColumn"/>
              <w:jc w:val="right"/>
            </w:pPr>
            <w:r>
              <w:rPr>
                <w:rFonts w:cs="Times New Roman"/>
              </w:rPr>
              <w:t>mlrd</w:t>
            </w:r>
          </w:p>
        </w:tc>
        <w:tc>
          <w:tcPr>
            <w:tcW w:w="1020" w:type="dxa"/>
          </w:tcPr>
          <w:p w:rsidR="00505632" w:rsidRDefault="00505632" w:rsidP="00AD4E52">
            <w:pPr>
              <w:pStyle w:val="CellColumn"/>
              <w:jc w:val="right"/>
            </w:pPr>
            <w:r>
              <w:rPr>
                <w:rFonts w:cs="Times New Roman"/>
              </w:rPr>
              <w:t>49</w:t>
            </w:r>
          </w:p>
        </w:tc>
        <w:tc>
          <w:tcPr>
            <w:tcW w:w="1020" w:type="dxa"/>
          </w:tcPr>
          <w:p w:rsidR="00505632" w:rsidRDefault="00505632" w:rsidP="00AD4E52">
            <w:pPr>
              <w:pStyle w:val="CellColumn"/>
              <w:jc w:val="right"/>
            </w:pPr>
            <w:r>
              <w:rPr>
                <w:rFonts w:cs="Times New Roman"/>
              </w:rPr>
              <w:t>REGOS</w:t>
            </w:r>
          </w:p>
        </w:tc>
        <w:tc>
          <w:tcPr>
            <w:tcW w:w="1020" w:type="dxa"/>
          </w:tcPr>
          <w:p w:rsidR="00505632" w:rsidRDefault="00505632" w:rsidP="00AD4E52">
            <w:pPr>
              <w:pStyle w:val="CellColumn"/>
              <w:jc w:val="right"/>
            </w:pPr>
            <w:r>
              <w:rPr>
                <w:rFonts w:cs="Times New Roman"/>
              </w:rPr>
              <w:t>53,7</w:t>
            </w:r>
          </w:p>
        </w:tc>
        <w:tc>
          <w:tcPr>
            <w:tcW w:w="1020" w:type="dxa"/>
          </w:tcPr>
          <w:p w:rsidR="00505632" w:rsidRDefault="00505632" w:rsidP="00AD4E52">
            <w:pPr>
              <w:pStyle w:val="CellColumn"/>
              <w:jc w:val="right"/>
            </w:pPr>
            <w:r>
              <w:rPr>
                <w:rFonts w:cs="Times New Roman"/>
              </w:rPr>
              <w:t>61,3</w:t>
            </w:r>
          </w:p>
        </w:tc>
      </w:tr>
      <w:tr w:rsidR="00505632" w:rsidTr="00AD4E52">
        <w:trPr>
          <w:jc w:val="center"/>
        </w:trPr>
        <w:tc>
          <w:tcPr>
            <w:tcW w:w="2553" w:type="dxa"/>
          </w:tcPr>
          <w:p w:rsidR="00505632" w:rsidRDefault="00505632" w:rsidP="00AD4E52">
            <w:pPr>
              <w:pStyle w:val="CellColumn"/>
              <w:jc w:val="left"/>
            </w:pPr>
            <w:r>
              <w:rPr>
                <w:rFonts w:cs="Times New Roman"/>
              </w:rPr>
              <w:t xml:space="preserve">1.1.2. </w:t>
            </w:r>
          </w:p>
          <w:p w:rsidR="00505632" w:rsidRDefault="00505632" w:rsidP="00AD4E52">
            <w:pPr>
              <w:pStyle w:val="CellColumn"/>
              <w:jc w:val="left"/>
            </w:pPr>
            <w:r>
              <w:rPr>
                <w:rFonts w:cs="Times New Roman"/>
              </w:rPr>
              <w:t>Broj elektroničkih dokumenata</w:t>
            </w:r>
          </w:p>
        </w:tc>
        <w:tc>
          <w:tcPr>
            <w:tcW w:w="1020" w:type="dxa"/>
          </w:tcPr>
          <w:p w:rsidR="00505632" w:rsidRDefault="00505632" w:rsidP="00AD4E52">
            <w:pPr>
              <w:pStyle w:val="CellColumn"/>
              <w:jc w:val="right"/>
            </w:pPr>
            <w:r>
              <w:rPr>
                <w:rFonts w:cs="Times New Roman"/>
              </w:rPr>
              <w:t>dokument</w:t>
            </w:r>
          </w:p>
        </w:tc>
        <w:tc>
          <w:tcPr>
            <w:tcW w:w="1020" w:type="dxa"/>
          </w:tcPr>
          <w:p w:rsidR="00505632" w:rsidRDefault="00505632" w:rsidP="00AD4E52">
            <w:pPr>
              <w:pStyle w:val="CellColumn"/>
              <w:jc w:val="right"/>
            </w:pPr>
            <w:r>
              <w:rPr>
                <w:rFonts w:cs="Times New Roman"/>
              </w:rPr>
              <w:t>81.000</w:t>
            </w:r>
          </w:p>
        </w:tc>
        <w:tc>
          <w:tcPr>
            <w:tcW w:w="1020" w:type="dxa"/>
          </w:tcPr>
          <w:p w:rsidR="00505632" w:rsidRDefault="00505632" w:rsidP="00AD4E52">
            <w:pPr>
              <w:pStyle w:val="CellColumn"/>
              <w:jc w:val="right"/>
            </w:pPr>
            <w:r>
              <w:rPr>
                <w:rFonts w:cs="Times New Roman"/>
              </w:rPr>
              <w:t>REGOS</w:t>
            </w:r>
          </w:p>
        </w:tc>
        <w:tc>
          <w:tcPr>
            <w:tcW w:w="1020" w:type="dxa"/>
          </w:tcPr>
          <w:p w:rsidR="00505632" w:rsidRDefault="00505632" w:rsidP="00AD4E52">
            <w:pPr>
              <w:pStyle w:val="CellColumn"/>
              <w:jc w:val="right"/>
            </w:pPr>
            <w:r>
              <w:rPr>
                <w:rFonts w:cs="Times New Roman"/>
              </w:rPr>
              <w:t>1.620.000</w:t>
            </w:r>
          </w:p>
        </w:tc>
        <w:tc>
          <w:tcPr>
            <w:tcW w:w="1020" w:type="dxa"/>
          </w:tcPr>
          <w:p w:rsidR="00505632" w:rsidRDefault="00505632" w:rsidP="00AD4E52">
            <w:pPr>
              <w:pStyle w:val="CellColumn"/>
              <w:jc w:val="right"/>
            </w:pPr>
            <w:r>
              <w:rPr>
                <w:rFonts w:cs="Times New Roman"/>
              </w:rPr>
              <w:t>1.835.468</w:t>
            </w:r>
          </w:p>
        </w:tc>
      </w:tr>
    </w:tbl>
    <w:p w:rsidR="00505632" w:rsidRDefault="00505632" w:rsidP="00505632">
      <w:pPr>
        <w:jc w:val="left"/>
      </w:pPr>
    </w:p>
    <w:p w:rsidR="00505632" w:rsidRDefault="00505632" w:rsidP="00505632">
      <w:pPr>
        <w:pStyle w:val="Heading4"/>
      </w:pPr>
      <w:r>
        <w:t>A539048 ADMINISTRACIJA I UPRAVLJANJE  SREDIŠNJEG REGISTRA OSIGURANIKA</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A539048-ADMINISTRACIJA I UPRAVLJANJE  SREDIŠNJEG REGISTRA OSIGURANIKA</w:t>
            </w:r>
          </w:p>
        </w:tc>
        <w:tc>
          <w:tcPr>
            <w:tcW w:w="2041" w:type="dxa"/>
          </w:tcPr>
          <w:p w:rsidR="00505632" w:rsidRDefault="00505632" w:rsidP="00AD4E52">
            <w:pPr>
              <w:pStyle w:val="CellColumn"/>
              <w:jc w:val="right"/>
            </w:pPr>
            <w:r>
              <w:rPr>
                <w:rFonts w:cs="Times New Roman"/>
              </w:rPr>
              <w:t>6.778.784</w:t>
            </w:r>
          </w:p>
        </w:tc>
        <w:tc>
          <w:tcPr>
            <w:tcW w:w="2041" w:type="dxa"/>
          </w:tcPr>
          <w:p w:rsidR="00505632" w:rsidRDefault="00505632" w:rsidP="00AD4E52">
            <w:pPr>
              <w:pStyle w:val="CellColumn"/>
              <w:jc w:val="right"/>
            </w:pPr>
            <w:r>
              <w:rPr>
                <w:rFonts w:cs="Times New Roman"/>
              </w:rPr>
              <w:t>7.336.100</w:t>
            </w:r>
          </w:p>
        </w:tc>
        <w:tc>
          <w:tcPr>
            <w:tcW w:w="2041" w:type="dxa"/>
          </w:tcPr>
          <w:p w:rsidR="00505632" w:rsidRDefault="00505632" w:rsidP="00AD4E52">
            <w:pPr>
              <w:pStyle w:val="CellColumn"/>
              <w:jc w:val="right"/>
            </w:pPr>
            <w:r>
              <w:rPr>
                <w:rFonts w:cs="Times New Roman"/>
              </w:rPr>
              <w:t>6.532.272</w:t>
            </w:r>
          </w:p>
        </w:tc>
        <w:tc>
          <w:tcPr>
            <w:tcW w:w="1224" w:type="dxa"/>
          </w:tcPr>
          <w:p w:rsidR="00505632" w:rsidRDefault="00505632" w:rsidP="00AD4E52">
            <w:pPr>
              <w:pStyle w:val="CellColumn"/>
              <w:jc w:val="right"/>
            </w:pPr>
            <w:r>
              <w:rPr>
                <w:rFonts w:cs="Times New Roman"/>
              </w:rPr>
              <w:t>89,0</w:t>
            </w:r>
          </w:p>
        </w:tc>
        <w:tc>
          <w:tcPr>
            <w:tcW w:w="1224" w:type="dxa"/>
          </w:tcPr>
          <w:p w:rsidR="00505632" w:rsidRDefault="00505632" w:rsidP="00AD4E52">
            <w:pPr>
              <w:pStyle w:val="CellColumn"/>
              <w:jc w:val="right"/>
            </w:pPr>
            <w:r>
              <w:rPr>
                <w:rFonts w:cs="Times New Roman"/>
              </w:rPr>
              <w:t>96,4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-Statut Središnjeg registra osiguranika </w:t>
      </w:r>
    </w:p>
    <w:p w:rsidR="00505632" w:rsidRDefault="00505632" w:rsidP="00505632">
      <w:r>
        <w:t xml:space="preserve">-Pravilnik o unutarnjem ustrojstvu i sistematizaciji radnih mjesta </w:t>
      </w:r>
    </w:p>
    <w:p w:rsidR="00505632" w:rsidRDefault="00505632" w:rsidP="00505632">
      <w:r>
        <w:t>-Ugovori za plaćanje režijskih i komunalnim troškova, održavanje postrojenja i opreme za  poslovni prostor u Zagrebu, Gajeva 5, ugovori za poštanske i telekomunikacijske usluge te ostali ugovori vezani  za održavanje poslovnog sustava REGOS-a.</w:t>
      </w:r>
    </w:p>
    <w:p w:rsidR="00505632" w:rsidRDefault="00505632" w:rsidP="00505632">
      <w:pPr>
        <w:pStyle w:val="Heading8"/>
        <w:jc w:val="left"/>
      </w:pPr>
      <w:r>
        <w:t>Opis aktivnosti</w:t>
      </w:r>
    </w:p>
    <w:p w:rsidR="00505632" w:rsidRDefault="00505632" w:rsidP="00505632">
      <w:r>
        <w:t>Sredstva planirana na ovoj aktivnost utrošena su za redovno poslovanje REGOS-a i obuhvaćaju rashode za zaposlene, materijalne rashode, ostale financijske rashode, rashode za nabavu proizvedene imovine i za rashode za dodatna ulaganja za ostalu nefinancijsku imovinu. Izvršenje na ovoj aktivnosti manje je za 11,0% od plana.</w:t>
      </w:r>
    </w:p>
    <w:p w:rsidR="00505632" w:rsidRDefault="00505632" w:rsidP="00505632">
      <w:pPr>
        <w:pStyle w:val="Heading4"/>
      </w:pPr>
      <w:r>
        <w:t>A772002 TEHNIČKA PODRŠKA II STUPU I RAZMJENA PODATAKA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A772002-TEHNIČKA PODRŠKA II STUPU I RAZMJENA PODATAKA</w:t>
            </w:r>
          </w:p>
        </w:tc>
        <w:tc>
          <w:tcPr>
            <w:tcW w:w="2041" w:type="dxa"/>
          </w:tcPr>
          <w:p w:rsidR="00505632" w:rsidRDefault="00505632" w:rsidP="00AD4E52">
            <w:pPr>
              <w:pStyle w:val="CellColumn"/>
              <w:jc w:val="right"/>
            </w:pPr>
            <w:r>
              <w:rPr>
                <w:rFonts w:cs="Times New Roman"/>
              </w:rPr>
              <w:t>40.937.500</w:t>
            </w:r>
          </w:p>
        </w:tc>
        <w:tc>
          <w:tcPr>
            <w:tcW w:w="2041" w:type="dxa"/>
          </w:tcPr>
          <w:p w:rsidR="00505632" w:rsidRDefault="00505632" w:rsidP="00AD4E52">
            <w:pPr>
              <w:pStyle w:val="CellColumn"/>
              <w:jc w:val="right"/>
            </w:pPr>
            <w:r>
              <w:rPr>
                <w:rFonts w:cs="Times New Roman"/>
              </w:rPr>
              <w:t>49.005.000</w:t>
            </w:r>
          </w:p>
        </w:tc>
        <w:tc>
          <w:tcPr>
            <w:tcW w:w="2041" w:type="dxa"/>
          </w:tcPr>
          <w:p w:rsidR="00505632" w:rsidRDefault="00505632" w:rsidP="00AD4E52">
            <w:pPr>
              <w:pStyle w:val="CellColumn"/>
              <w:jc w:val="right"/>
            </w:pPr>
            <w:r>
              <w:rPr>
                <w:rFonts w:cs="Times New Roman"/>
              </w:rPr>
              <w:t>40.921.875</w:t>
            </w:r>
          </w:p>
        </w:tc>
        <w:tc>
          <w:tcPr>
            <w:tcW w:w="1224" w:type="dxa"/>
          </w:tcPr>
          <w:p w:rsidR="00505632" w:rsidRDefault="00505632" w:rsidP="00AD4E52">
            <w:pPr>
              <w:pStyle w:val="CellColumn"/>
              <w:jc w:val="right"/>
            </w:pPr>
            <w:r>
              <w:rPr>
                <w:rFonts w:cs="Times New Roman"/>
              </w:rPr>
              <w:t>83,5</w:t>
            </w:r>
          </w:p>
        </w:tc>
        <w:tc>
          <w:tcPr>
            <w:tcW w:w="1224"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Ugovor o obavljanju dijela posla REGOS-a i FINA-e uz prethodnu suglasnost Vlade  Republike Hrvatske i Ugovor o povjeravanju dijela posla REGOS-a i APIS IT-a.</w:t>
      </w:r>
    </w:p>
    <w:p w:rsidR="00505632" w:rsidRDefault="00505632" w:rsidP="00505632">
      <w:pPr>
        <w:pStyle w:val="Heading8"/>
        <w:jc w:val="left"/>
      </w:pPr>
      <w:r>
        <w:t>Opis aktivnosti</w:t>
      </w:r>
    </w:p>
    <w:p w:rsidR="00505632" w:rsidRDefault="00505632" w:rsidP="00505632">
      <w:r>
        <w:t>Najznačajnija aktivnost Tehnička podrška II. stupu mirovinskog osiguranja obuhvaća poslove vezane uz prijavu/promjenu obveznog mirovinskog fonda i kategorije mirovinskog fonda, povezivanje podataka iz Obrazaca JOPPD s pripadajućim uplatama doprinosa za mirovinska osiguranja, prosljeđivanje povezanih uplata u obvezne mirovinske fondove i društva, preračun u obračunske jedinice i evidentiranje na osobnim računima osiguranika, zatvaranje osobnih računa i isplata sredstava zakonskim primateljima te istup iz II. stupa. Poslovi iz djelatnosti REGOS-a obavljaju se u suradnji s outsourcing partnerima: FINA-om i APIS IT – om temeljem sklopljenih Ugovora o povjeravanju dijela poslova REGOS-a s navedenim partnerima. Izvršenje na ovoj aktivnosti manje je za 16,5% od plana.</w:t>
      </w:r>
    </w:p>
    <w:p w:rsidR="00505632" w:rsidRDefault="00505632" w:rsidP="00505632">
      <w:pPr>
        <w:pStyle w:val="Heading8"/>
        <w:jc w:val="left"/>
      </w:pPr>
      <w:r>
        <w:t>Pokazatelji rezultata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1.1.1.1. Iznos ukupno proslijeđenih sredstava doprinosa temeljem individualne kapitalizirane štednje u obvezne mirovinske fondove</w:t>
            </w:r>
          </w:p>
        </w:tc>
        <w:tc>
          <w:tcPr>
            <w:tcW w:w="1020" w:type="dxa"/>
          </w:tcPr>
          <w:p w:rsidR="00505632" w:rsidRDefault="00505632" w:rsidP="00AD4E52">
            <w:pPr>
              <w:pStyle w:val="CellColumn"/>
              <w:jc w:val="right"/>
            </w:pPr>
            <w:r>
              <w:rPr>
                <w:rFonts w:cs="Times New Roman"/>
              </w:rPr>
              <w:t>mlrd</w:t>
            </w:r>
          </w:p>
        </w:tc>
        <w:tc>
          <w:tcPr>
            <w:tcW w:w="1020" w:type="dxa"/>
          </w:tcPr>
          <w:p w:rsidR="00505632" w:rsidRDefault="00505632" w:rsidP="00AD4E52">
            <w:pPr>
              <w:pStyle w:val="CellColumn"/>
              <w:jc w:val="right"/>
            </w:pPr>
            <w:r>
              <w:rPr>
                <w:rFonts w:cs="Times New Roman"/>
              </w:rPr>
              <w:t>56</w:t>
            </w:r>
          </w:p>
        </w:tc>
        <w:tc>
          <w:tcPr>
            <w:tcW w:w="1020" w:type="dxa"/>
          </w:tcPr>
          <w:p w:rsidR="00505632" w:rsidRDefault="00505632" w:rsidP="00AD4E52">
            <w:pPr>
              <w:pStyle w:val="CellColumn"/>
              <w:jc w:val="right"/>
            </w:pPr>
            <w:r>
              <w:rPr>
                <w:rFonts w:cs="Times New Roman"/>
              </w:rPr>
              <w:t>REGOS</w:t>
            </w:r>
          </w:p>
        </w:tc>
        <w:tc>
          <w:tcPr>
            <w:tcW w:w="1020" w:type="dxa"/>
          </w:tcPr>
          <w:p w:rsidR="00505632" w:rsidRDefault="00505632" w:rsidP="00AD4E52">
            <w:pPr>
              <w:pStyle w:val="CellColumn"/>
              <w:jc w:val="right"/>
            </w:pPr>
            <w:r>
              <w:rPr>
                <w:rFonts w:cs="Times New Roman"/>
              </w:rPr>
              <w:t>53,7</w:t>
            </w:r>
          </w:p>
        </w:tc>
        <w:tc>
          <w:tcPr>
            <w:tcW w:w="1020" w:type="dxa"/>
          </w:tcPr>
          <w:p w:rsidR="00505632" w:rsidRDefault="00505632" w:rsidP="00AD4E52">
            <w:pPr>
              <w:pStyle w:val="CellColumn"/>
              <w:jc w:val="right"/>
            </w:pPr>
            <w:r>
              <w:rPr>
                <w:rFonts w:cs="Times New Roman"/>
              </w:rPr>
              <w:t>61,3</w:t>
            </w:r>
          </w:p>
        </w:tc>
      </w:tr>
      <w:tr w:rsidR="00505632" w:rsidTr="00AD4E52">
        <w:trPr>
          <w:jc w:val="center"/>
        </w:trPr>
        <w:tc>
          <w:tcPr>
            <w:tcW w:w="2553" w:type="dxa"/>
          </w:tcPr>
          <w:p w:rsidR="00505632" w:rsidRDefault="00505632" w:rsidP="00AD4E52">
            <w:pPr>
              <w:pStyle w:val="CellColumn"/>
              <w:jc w:val="left"/>
            </w:pPr>
            <w:r>
              <w:rPr>
                <w:rFonts w:cs="Times New Roman"/>
              </w:rPr>
              <w:t>1.1.2.1. Porast razmijenjenih paketa podataka</w:t>
            </w:r>
          </w:p>
        </w:tc>
        <w:tc>
          <w:tcPr>
            <w:tcW w:w="1020" w:type="dxa"/>
          </w:tcPr>
          <w:p w:rsidR="00505632" w:rsidRDefault="00505632" w:rsidP="00AD4E52">
            <w:pPr>
              <w:pStyle w:val="CellColumn"/>
              <w:jc w:val="right"/>
            </w:pPr>
            <w:r>
              <w:rPr>
                <w:rFonts w:cs="Times New Roman"/>
              </w:rPr>
              <w:t>Broj paketa</w:t>
            </w:r>
          </w:p>
        </w:tc>
        <w:tc>
          <w:tcPr>
            <w:tcW w:w="1020" w:type="dxa"/>
          </w:tcPr>
          <w:p w:rsidR="00505632" w:rsidRDefault="00505632" w:rsidP="00AD4E52">
            <w:pPr>
              <w:pStyle w:val="CellColumn"/>
              <w:jc w:val="right"/>
            </w:pPr>
            <w:r>
              <w:rPr>
                <w:rFonts w:cs="Times New Roman"/>
              </w:rPr>
              <w:t>204</w:t>
            </w:r>
          </w:p>
        </w:tc>
        <w:tc>
          <w:tcPr>
            <w:tcW w:w="1020" w:type="dxa"/>
          </w:tcPr>
          <w:p w:rsidR="00505632" w:rsidRDefault="00505632" w:rsidP="00AD4E52">
            <w:pPr>
              <w:pStyle w:val="CellColumn"/>
              <w:jc w:val="right"/>
            </w:pPr>
            <w:r>
              <w:rPr>
                <w:rFonts w:cs="Times New Roman"/>
              </w:rPr>
              <w:t>REGOS</w:t>
            </w:r>
          </w:p>
        </w:tc>
        <w:tc>
          <w:tcPr>
            <w:tcW w:w="1020" w:type="dxa"/>
          </w:tcPr>
          <w:p w:rsidR="00505632" w:rsidRDefault="00505632" w:rsidP="00AD4E52">
            <w:pPr>
              <w:pStyle w:val="CellColumn"/>
              <w:jc w:val="right"/>
            </w:pPr>
            <w:r>
              <w:rPr>
                <w:rFonts w:cs="Times New Roman"/>
              </w:rPr>
              <w:t>218</w:t>
            </w:r>
          </w:p>
        </w:tc>
        <w:tc>
          <w:tcPr>
            <w:tcW w:w="1020" w:type="dxa"/>
          </w:tcPr>
          <w:p w:rsidR="00505632" w:rsidRDefault="00505632" w:rsidP="00AD4E52">
            <w:pPr>
              <w:pStyle w:val="CellColumn"/>
              <w:jc w:val="right"/>
            </w:pPr>
            <w:r>
              <w:rPr>
                <w:rFonts w:cs="Times New Roman"/>
              </w:rPr>
              <w:t>220</w:t>
            </w:r>
          </w:p>
        </w:tc>
      </w:tr>
      <w:tr w:rsidR="00505632" w:rsidTr="00AD4E52">
        <w:trPr>
          <w:jc w:val="center"/>
        </w:trPr>
        <w:tc>
          <w:tcPr>
            <w:tcW w:w="2553" w:type="dxa"/>
          </w:tcPr>
          <w:p w:rsidR="00505632" w:rsidRDefault="00505632" w:rsidP="00AD4E52">
            <w:pPr>
              <w:pStyle w:val="CellColumn"/>
              <w:jc w:val="left"/>
            </w:pPr>
            <w:r>
              <w:rPr>
                <w:rFonts w:cs="Times New Roman"/>
              </w:rPr>
              <w:t>1.1.2.2. Broj korisnika usluge</w:t>
            </w:r>
          </w:p>
        </w:tc>
        <w:tc>
          <w:tcPr>
            <w:tcW w:w="1020" w:type="dxa"/>
          </w:tcPr>
          <w:p w:rsidR="00505632" w:rsidRDefault="00505632" w:rsidP="00AD4E52">
            <w:pPr>
              <w:pStyle w:val="CellColumn"/>
              <w:jc w:val="right"/>
            </w:pPr>
            <w:r>
              <w:rPr>
                <w:rFonts w:cs="Times New Roman"/>
              </w:rPr>
              <w:t>Korisnik usluge</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REGOS</w:t>
            </w:r>
          </w:p>
        </w:tc>
        <w:tc>
          <w:tcPr>
            <w:tcW w:w="1020" w:type="dxa"/>
          </w:tcPr>
          <w:p w:rsidR="00505632" w:rsidRDefault="00505632" w:rsidP="00AD4E52">
            <w:pPr>
              <w:pStyle w:val="CellColumn"/>
              <w:jc w:val="right"/>
            </w:pPr>
            <w:r>
              <w:rPr>
                <w:rFonts w:cs="Times New Roman"/>
              </w:rPr>
              <w:t>50.000</w:t>
            </w:r>
          </w:p>
        </w:tc>
        <w:tc>
          <w:tcPr>
            <w:tcW w:w="1020" w:type="dxa"/>
          </w:tcPr>
          <w:p w:rsidR="00505632" w:rsidRDefault="00505632" w:rsidP="00AD4E52">
            <w:pPr>
              <w:pStyle w:val="CellColumn"/>
              <w:jc w:val="right"/>
            </w:pPr>
            <w:r>
              <w:rPr>
                <w:rFonts w:cs="Times New Roman"/>
              </w:rPr>
              <w:t>53.743</w:t>
            </w:r>
          </w:p>
        </w:tc>
      </w:tr>
      <w:tr w:rsidR="00505632" w:rsidTr="00AD4E52">
        <w:trPr>
          <w:jc w:val="center"/>
        </w:trPr>
        <w:tc>
          <w:tcPr>
            <w:tcW w:w="2553" w:type="dxa"/>
          </w:tcPr>
          <w:p w:rsidR="00505632" w:rsidRDefault="00505632" w:rsidP="00AD4E52">
            <w:pPr>
              <w:pStyle w:val="CellColumn"/>
              <w:jc w:val="left"/>
            </w:pPr>
            <w:r>
              <w:rPr>
                <w:rFonts w:cs="Times New Roman"/>
              </w:rPr>
              <w:t>1.1.2.3. Broj zahtjeva</w:t>
            </w:r>
          </w:p>
        </w:tc>
        <w:tc>
          <w:tcPr>
            <w:tcW w:w="1020" w:type="dxa"/>
          </w:tcPr>
          <w:p w:rsidR="00505632" w:rsidRDefault="00505632" w:rsidP="00AD4E52">
            <w:pPr>
              <w:pStyle w:val="CellColumn"/>
              <w:jc w:val="right"/>
            </w:pPr>
            <w:r>
              <w:rPr>
                <w:rFonts w:cs="Times New Roman"/>
              </w:rPr>
              <w:t>Zahtjev</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REGOS</w:t>
            </w:r>
          </w:p>
        </w:tc>
        <w:tc>
          <w:tcPr>
            <w:tcW w:w="1020" w:type="dxa"/>
          </w:tcPr>
          <w:p w:rsidR="00505632" w:rsidRDefault="00505632" w:rsidP="00AD4E52">
            <w:pPr>
              <w:pStyle w:val="CellColumn"/>
              <w:jc w:val="right"/>
            </w:pPr>
            <w:r>
              <w:rPr>
                <w:rFonts w:cs="Times New Roman"/>
              </w:rPr>
              <w:t>300.000</w:t>
            </w:r>
          </w:p>
        </w:tc>
        <w:tc>
          <w:tcPr>
            <w:tcW w:w="1020" w:type="dxa"/>
          </w:tcPr>
          <w:p w:rsidR="00505632" w:rsidRDefault="00505632" w:rsidP="00AD4E52">
            <w:pPr>
              <w:pStyle w:val="CellColumn"/>
              <w:jc w:val="right"/>
            </w:pPr>
            <w:r>
              <w:rPr>
                <w:rFonts w:cs="Times New Roman"/>
              </w:rPr>
              <w:t>642.437</w:t>
            </w:r>
          </w:p>
        </w:tc>
      </w:tr>
    </w:tbl>
    <w:p w:rsidR="00505632" w:rsidRDefault="00505632" w:rsidP="00505632">
      <w:pPr>
        <w:jc w:val="left"/>
      </w:pPr>
    </w:p>
    <w:p w:rsidR="00505632" w:rsidRDefault="00505632" w:rsidP="00505632">
      <w:pPr>
        <w:pStyle w:val="Heading4"/>
      </w:pPr>
      <w:r>
        <w:t>K539301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K539301-INFORMATIZACIJA</w:t>
            </w:r>
          </w:p>
        </w:tc>
        <w:tc>
          <w:tcPr>
            <w:tcW w:w="2041" w:type="dxa"/>
          </w:tcPr>
          <w:p w:rsidR="00505632" w:rsidRDefault="00505632" w:rsidP="00AD4E52">
            <w:pPr>
              <w:pStyle w:val="CellColumn"/>
              <w:jc w:val="right"/>
            </w:pPr>
            <w:r>
              <w:rPr>
                <w:rFonts w:cs="Times New Roman"/>
              </w:rPr>
              <w:t>227.804</w:t>
            </w:r>
          </w:p>
        </w:tc>
        <w:tc>
          <w:tcPr>
            <w:tcW w:w="2041" w:type="dxa"/>
          </w:tcPr>
          <w:p w:rsidR="00505632" w:rsidRDefault="00505632" w:rsidP="00AD4E52">
            <w:pPr>
              <w:pStyle w:val="CellColumn"/>
              <w:jc w:val="right"/>
            </w:pPr>
            <w:r>
              <w:rPr>
                <w:rFonts w:cs="Times New Roman"/>
              </w:rPr>
              <w:t>360.000</w:t>
            </w:r>
          </w:p>
        </w:tc>
        <w:tc>
          <w:tcPr>
            <w:tcW w:w="2041" w:type="dxa"/>
          </w:tcPr>
          <w:p w:rsidR="00505632" w:rsidRDefault="00505632" w:rsidP="00AD4E52">
            <w:pPr>
              <w:pStyle w:val="CellColumn"/>
              <w:jc w:val="right"/>
            </w:pPr>
            <w:r>
              <w:rPr>
                <w:rFonts w:cs="Times New Roman"/>
              </w:rPr>
              <w:t>199.591</w:t>
            </w:r>
          </w:p>
        </w:tc>
        <w:tc>
          <w:tcPr>
            <w:tcW w:w="1224" w:type="dxa"/>
          </w:tcPr>
          <w:p w:rsidR="00505632" w:rsidRDefault="00505632" w:rsidP="00AD4E52">
            <w:pPr>
              <w:pStyle w:val="CellColumn"/>
              <w:jc w:val="right"/>
            </w:pPr>
            <w:r>
              <w:rPr>
                <w:rFonts w:cs="Times New Roman"/>
              </w:rPr>
              <w:t>55,4</w:t>
            </w:r>
          </w:p>
        </w:tc>
        <w:tc>
          <w:tcPr>
            <w:tcW w:w="1224" w:type="dxa"/>
          </w:tcPr>
          <w:p w:rsidR="00505632" w:rsidRDefault="00505632" w:rsidP="00AD4E52">
            <w:pPr>
              <w:pStyle w:val="CellColumn"/>
              <w:jc w:val="right"/>
            </w:pPr>
            <w:r>
              <w:rPr>
                <w:rFonts w:cs="Times New Roman"/>
              </w:rPr>
              <w:t>87,6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Ugovori o pružanju računalnih usluga vezanih uz održavanje sistemskih i aplikativnih računalnih programa te nabavu računalne opreme (virtualni data centra, program za knjigovodstvo, program za uredsko poslovanje, održavanje i ažuriranje WEB stranica, sustava za spajanje na sustava OIB-a).</w:t>
      </w:r>
    </w:p>
    <w:p w:rsidR="00505632" w:rsidRDefault="00505632" w:rsidP="00505632">
      <w:pPr>
        <w:pStyle w:val="Heading8"/>
        <w:jc w:val="left"/>
      </w:pPr>
      <w:r>
        <w:t>Opis aktivnosti</w:t>
      </w:r>
    </w:p>
    <w:p w:rsidR="00505632" w:rsidRDefault="00505632" w:rsidP="00505632">
      <w:r>
        <w:t>Sredstva planirana na ovom projektu utrošena su za nabavu računalnih usluga, računala i računalne opreme. Izvršenje na ovom projektu manje je za 44,6% od plana.</w:t>
      </w:r>
    </w:p>
    <w:p w:rsidR="00505632" w:rsidRDefault="00505632" w:rsidP="00505632">
      <w:pPr>
        <w:pStyle w:val="Heading4"/>
      </w:pPr>
      <w:r>
        <w:t>K772001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K772001-OBNOVA VOZNOG PARKA</w:t>
            </w:r>
          </w:p>
        </w:tc>
        <w:tc>
          <w:tcPr>
            <w:tcW w:w="2041" w:type="dxa"/>
          </w:tcPr>
          <w:p w:rsidR="00505632" w:rsidRDefault="00505632" w:rsidP="00AD4E52">
            <w:pPr>
              <w:pStyle w:val="CellColumn"/>
              <w:jc w:val="right"/>
            </w:pPr>
            <w:r>
              <w:rPr>
                <w:rFonts w:cs="Times New Roman"/>
              </w:rPr>
              <w:t>20.836</w:t>
            </w:r>
          </w:p>
        </w:tc>
        <w:tc>
          <w:tcPr>
            <w:tcW w:w="2041" w:type="dxa"/>
          </w:tcPr>
          <w:p w:rsidR="00505632" w:rsidRDefault="00505632" w:rsidP="00AD4E52">
            <w:pPr>
              <w:pStyle w:val="CellColumn"/>
              <w:jc w:val="right"/>
            </w:pPr>
            <w:r>
              <w:rPr>
                <w:rFonts w:cs="Times New Roman"/>
              </w:rPr>
              <w:t>25.000</w:t>
            </w:r>
          </w:p>
        </w:tc>
        <w:tc>
          <w:tcPr>
            <w:tcW w:w="2041" w:type="dxa"/>
          </w:tcPr>
          <w:p w:rsidR="00505632" w:rsidRDefault="00505632" w:rsidP="00AD4E52">
            <w:pPr>
              <w:pStyle w:val="CellColumn"/>
              <w:jc w:val="right"/>
            </w:pPr>
            <w:r>
              <w:rPr>
                <w:rFonts w:cs="Times New Roman"/>
              </w:rPr>
              <w:t>20.597</w:t>
            </w:r>
          </w:p>
        </w:tc>
        <w:tc>
          <w:tcPr>
            <w:tcW w:w="1224" w:type="dxa"/>
          </w:tcPr>
          <w:p w:rsidR="00505632" w:rsidRDefault="00505632" w:rsidP="00AD4E52">
            <w:pPr>
              <w:pStyle w:val="CellColumn"/>
              <w:jc w:val="right"/>
            </w:pPr>
            <w:r>
              <w:rPr>
                <w:rFonts w:cs="Times New Roman"/>
              </w:rPr>
              <w:t>82,4</w:t>
            </w:r>
          </w:p>
        </w:tc>
        <w:tc>
          <w:tcPr>
            <w:tcW w:w="1224" w:type="dxa"/>
          </w:tcPr>
          <w:p w:rsidR="00505632" w:rsidRDefault="00505632" w:rsidP="00AD4E52">
            <w:pPr>
              <w:pStyle w:val="CellColumn"/>
              <w:jc w:val="right"/>
            </w:pPr>
            <w:r>
              <w:rPr>
                <w:rFonts w:cs="Times New Roman"/>
              </w:rPr>
              <w:t>98,9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Ugovor o operativnom leasingu za službeni automobil, nabavljen putem postupka provedenog od strane Državnog ureda za središnjeg za javnu nabavu i sklopljenog Okvirnog sporazuma br. 2/2013-1.</w:t>
      </w:r>
    </w:p>
    <w:p w:rsidR="00505632" w:rsidRDefault="00505632" w:rsidP="00505632">
      <w:pPr>
        <w:pStyle w:val="Heading8"/>
        <w:jc w:val="left"/>
      </w:pPr>
      <w:r>
        <w:t>Opis aktivnosti</w:t>
      </w:r>
    </w:p>
    <w:p w:rsidR="00505632" w:rsidRDefault="00505632" w:rsidP="00505632">
      <w:r>
        <w:t>Sredstva planirana na ovom projektu utrošena su namjenski za obnovu voznog parka i obuhvaćaju rashode za nabavu službenog automobila. Izvršenje na ovom projektu manje je za 17,6% od plana.</w:t>
      </w:r>
    </w:p>
    <w:p w:rsidR="00505632" w:rsidRDefault="00505632" w:rsidP="00505632">
      <w:pPr>
        <w:pStyle w:val="Heading2"/>
      </w:pPr>
      <w:r>
        <w:t>08650 Agencija za osiguranje radničkih potraživanja u slučaju stečaja poslodavca</w:t>
      </w:r>
    </w:p>
    <w:p w:rsidR="00505632" w:rsidRDefault="00505632" w:rsidP="00505632">
      <w:r>
        <w:t xml:space="preserve">Agencija za osiguranje radničkih potraživanja u slučaju stečaja poslodavca osnovana je Zakonom o osiguranju potraživanja radnika u slučaju stečaja poslodavca (dalje: Zakon) kao javna ustanova. S radom je počela 1. siječnja 2010. godine. Organizacijskom klasifikacijom u Državnom proračunu Agencija je klasificirana kao proračunski korisnik Razdjela 086 - Ministarstvo rada i mirovinskoga sustava, Glava 50. Agencija temeljem Zakona provodi zaštitu materijalnih prava radnika u slučaju stečaja poslodavca i u slučaju blokade računa poslodavca, čime osigurava socijalni minimum radnika neovisno o tijeku stečajnog ili ovršnog postupka. Radi ostvarenja regresnih prava Agencija aktivno sudjeluje u stečajnim i ovršnim postupcima. Zakonom se, u okviru aktivnosti države na području socijalne zaštite, provodi posebna zaštita dijela vjerovničkih potraživanja iz radnog odnosa radnika u slučaju stečaja poslodavca na društveno prihvatljivoj razini i osigurava isplata tog dijela potraživanja na teret državnog proračuna, dok preostali dio potraživanja radnik ostvaruje u stečajnom postupku, na teret stečajne mase. Zaštita egzistencije radnika na društveno prihvatljivoj razini isplatom minimalne plaće u slučaju blokade računa poslodavca zbog nemogućnosti prisilne naplate neisplaćene plaće odnosno naknade plaće provodi se od rujna 2015. godine. </w:t>
      </w:r>
    </w:p>
    <w:p w:rsidR="00505632" w:rsidRDefault="00505632" w:rsidP="00505632">
      <w:r>
        <w:t xml:space="preserve">Financijski plan Agencije za 2016. godinu utvrđen je i osiguran u iznosu 56.609.525 kuna, iz izvora 11 – Opći prihodi i primici u iznosu 56.595.000 kuna na pozicijama i u iznosima kako slijedi: Razdjel: 086 – Ministarstvo rada i mirovinskoga sustava, glava: 08650 – Agencija za osiguranje radničkih potraživanja u slučaju stečaja poslodavca, program: 4011 – Materijalno-pravna zaštita, Aktivnost A837001 – Administracija i upravljanje 3.388.000 kuna, Aktivnost A837002 – Osiguranje potraživanja radnika u slučaju stečaja poslodavca 44.643.200 kuna, Aktivnost A837006 – Osiguranje potraživanja radnika u slučaju blokade računa poslodavca 8.563.800 kuna. Iz izvora 52 – Ostale pomoći osigurano je 14.525 kuna na aktivnosti A837001 – Administracija i upravljanje. Za rad i obavljanje djelatnosti Agencije utrošeno je 46.943.126 kuna, odnosno 82,92% sredstava osiguranih Financijskim planom: Aktivnost: A837001– Administracija i upravljanje 2.924.412 kuna (85,95%), Aktivnost A837002 – Osiguranje potraživanja radnika u slučaju stečaja poslodavca 36.965.484 kuna (82,80%), Aktivnost A837006 – Osiguranje potraživanja radnika u slučaju blokade računa poslodavca 7.053.230 kuna (82,36%). </w:t>
      </w:r>
    </w:p>
    <w:p w:rsidR="00505632" w:rsidRDefault="00505632" w:rsidP="00505632">
      <w:r>
        <w:t xml:space="preserve">Izvršenje na aktivnosti A837001 – Administracija i upravljanje iznosi 85,95% planiranih sredstava. Neutrošena sredstva odnose se na planirana sredstva za ostale rashode za zaposlene (plan 288.500 kuna, izvršenje 82.844 kuna; 28,72% plana) za sudski spor u tijeku za koji presuda nije donesena do kraja godine, te na naknade troškova zaposlenima (plan 104.500 kuna, izvršenje 89.576 kuna; izvršenje 85,72%) radi planiranih službenih putovanja vezano uz edukaciju poslodavaca i radnika u suradnji s HGK, HUP-om i sindikatima, čija je realizacija odgođena za narednu godinu. Rashodi za materija i energiju planirani su iznosu 198.000 kuna od kojih je utrošeno 134.441 kuna (67,9%). Odstupanje od planiranog odnosi se na troškove redovnog poslovanja koji direktno ovise o broju zaprimljenih predmeta, koje je teško unaprijed točno odrediti. </w:t>
      </w:r>
    </w:p>
    <w:p w:rsidR="00505632" w:rsidRDefault="00505632" w:rsidP="00505632">
      <w:r>
        <w:t xml:space="preserve">Izvršenje na aktivnosti A837002 – Osiguranje potraživanja radnika u slučaju stečaja poslodavca iznosi 82,80%, sredstva planirana za isplate radničkih potraživanja - plan 44.632.000 kuna, izvršenje 36.956.833 kuna: potrebna sredstva ovise o broju otvorenih stečajnih postupaka nad poslodavcima i broju radnika koji ostvaruju prava prema Zakonu, kao i o broju radnika koji podnose zahtjeve Agenciji i visini njihove plaće i godinama staža ostvarenih kod poslodavca, te o iznosima pravomoćno dosuđene naknade štete. </w:t>
      </w:r>
    </w:p>
    <w:p w:rsidR="00505632" w:rsidRDefault="00505632" w:rsidP="00505632">
      <w:r>
        <w:t xml:space="preserve">Izvršenje na aktivnosti A837006 – Osiguranje potraživanja radnika u slučaju blokade računa poslodavca iznosi 82,36%, sredstva planirana za isplate radničkih potraživanja - plan 8.550.000 kuna, izvršenje 7.041.070 kuna (82,35%): potrebna sredstva ovise o broju poslodavaca i broju radnika kojima poslodavac nije isplatio plaću i radnici se nisu naplatili putem Financijske agencije zahtjevom za prisilnu naplatu, odnosno o broju poslodavaca koji dostave zahtjeve za neisplaćenu plaću Fini i Agenciji. </w:t>
      </w:r>
    </w:p>
    <w:p w:rsidR="00505632" w:rsidRDefault="00505632" w:rsidP="00505632">
      <w:r>
        <w:t>Iz navedenog razvidno je da procjenu potrebnih sredstava određuje niz promjenjivih čimbenika u makroekonomskom okruženju koje nije moguće točno procijeniti, no implementacijom i evaulacijom sustava sakupljanja i razmjene podataka s tijelima uključenima u procese provođenja zaštite radničkih potraživanja i nadležnim ministarstvom, Agencija je spremna promptno reagirati na veća odstupanja u odnosu na postavljene parametre.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08650-Agencija za osiguranje radničkih potraživanja u slučaju stečaja poslodavca</w:t>
            </w:r>
          </w:p>
        </w:tc>
        <w:tc>
          <w:tcPr>
            <w:tcW w:w="2041" w:type="dxa"/>
            <w:vAlign w:val="top"/>
          </w:tcPr>
          <w:p w:rsidR="00505632" w:rsidRDefault="00505632" w:rsidP="00AD4E52">
            <w:pPr>
              <w:pStyle w:val="CellColumn"/>
              <w:jc w:val="right"/>
            </w:pPr>
            <w:r>
              <w:rPr>
                <w:rFonts w:cs="Times New Roman"/>
              </w:rPr>
              <w:t>41.593.747</w:t>
            </w:r>
          </w:p>
        </w:tc>
        <w:tc>
          <w:tcPr>
            <w:tcW w:w="2041" w:type="dxa"/>
            <w:vAlign w:val="top"/>
          </w:tcPr>
          <w:p w:rsidR="00505632" w:rsidRDefault="00505632" w:rsidP="00AD4E52">
            <w:pPr>
              <w:pStyle w:val="CellColumn"/>
              <w:jc w:val="right"/>
            </w:pPr>
            <w:r>
              <w:rPr>
                <w:rFonts w:cs="Times New Roman"/>
              </w:rPr>
              <w:t>56.609.525</w:t>
            </w:r>
          </w:p>
        </w:tc>
        <w:tc>
          <w:tcPr>
            <w:tcW w:w="2041" w:type="dxa"/>
            <w:vAlign w:val="top"/>
          </w:tcPr>
          <w:p w:rsidR="00505632" w:rsidRDefault="00505632" w:rsidP="00AD4E52">
            <w:pPr>
              <w:pStyle w:val="CellColumn"/>
              <w:jc w:val="right"/>
            </w:pPr>
            <w:r>
              <w:rPr>
                <w:rFonts w:cs="Times New Roman"/>
              </w:rPr>
              <w:t>46.943.126</w:t>
            </w:r>
          </w:p>
        </w:tc>
        <w:tc>
          <w:tcPr>
            <w:tcW w:w="1224" w:type="dxa"/>
            <w:vAlign w:val="top"/>
          </w:tcPr>
          <w:p w:rsidR="00505632" w:rsidRDefault="00505632" w:rsidP="00AD4E52">
            <w:pPr>
              <w:pStyle w:val="CellColumn"/>
              <w:jc w:val="right"/>
            </w:pPr>
            <w:r>
              <w:rPr>
                <w:rFonts w:cs="Times New Roman"/>
              </w:rPr>
              <w:t>82,9</w:t>
            </w:r>
          </w:p>
        </w:tc>
        <w:tc>
          <w:tcPr>
            <w:tcW w:w="1224" w:type="dxa"/>
            <w:vAlign w:val="top"/>
          </w:tcPr>
          <w:p w:rsidR="00505632" w:rsidRDefault="00505632" w:rsidP="00AD4E52">
            <w:pPr>
              <w:pStyle w:val="CellColumn"/>
              <w:jc w:val="right"/>
            </w:pPr>
            <w:r>
              <w:rPr>
                <w:rFonts w:cs="Times New Roman"/>
              </w:rPr>
              <w:t>112,9</w:t>
            </w:r>
          </w:p>
        </w:tc>
      </w:tr>
      <w:tr w:rsidR="00505632" w:rsidTr="00AD4E52">
        <w:trPr>
          <w:jc w:val="center"/>
        </w:trPr>
        <w:tc>
          <w:tcPr>
            <w:tcW w:w="1632" w:type="dxa"/>
          </w:tcPr>
          <w:p w:rsidR="00505632" w:rsidRDefault="00505632" w:rsidP="00AD4E52">
            <w:pPr>
              <w:jc w:val="left"/>
            </w:pPr>
            <w:r>
              <w:t>4011-MATERIJALNO PRAVNA ZAŠTITA</w:t>
            </w:r>
          </w:p>
        </w:tc>
        <w:tc>
          <w:tcPr>
            <w:tcW w:w="2041" w:type="dxa"/>
          </w:tcPr>
          <w:p w:rsidR="00505632" w:rsidRDefault="00505632" w:rsidP="00AD4E52">
            <w:pPr>
              <w:jc w:val="right"/>
            </w:pPr>
            <w:r>
              <w:t>41.593.747</w:t>
            </w:r>
          </w:p>
        </w:tc>
        <w:tc>
          <w:tcPr>
            <w:tcW w:w="2041" w:type="dxa"/>
          </w:tcPr>
          <w:p w:rsidR="00505632" w:rsidRDefault="00505632" w:rsidP="00AD4E52">
            <w:pPr>
              <w:jc w:val="right"/>
            </w:pPr>
            <w:r>
              <w:t>56.609.525</w:t>
            </w:r>
          </w:p>
        </w:tc>
        <w:tc>
          <w:tcPr>
            <w:tcW w:w="2041" w:type="dxa"/>
          </w:tcPr>
          <w:p w:rsidR="00505632" w:rsidRDefault="00505632" w:rsidP="00AD4E52">
            <w:pPr>
              <w:jc w:val="right"/>
            </w:pPr>
            <w:r>
              <w:t>46.943.126</w:t>
            </w:r>
          </w:p>
        </w:tc>
        <w:tc>
          <w:tcPr>
            <w:tcW w:w="1224" w:type="dxa"/>
          </w:tcPr>
          <w:p w:rsidR="00505632" w:rsidRDefault="00505632" w:rsidP="00AD4E52">
            <w:pPr>
              <w:jc w:val="right"/>
            </w:pPr>
            <w:r>
              <w:t>82,9</w:t>
            </w:r>
          </w:p>
        </w:tc>
        <w:tc>
          <w:tcPr>
            <w:tcW w:w="1224" w:type="dxa"/>
          </w:tcPr>
          <w:p w:rsidR="00505632" w:rsidRDefault="00505632" w:rsidP="00AD4E52">
            <w:pPr>
              <w:jc w:val="right"/>
            </w:pPr>
            <w:r>
              <w:t>112,9</w:t>
            </w:r>
          </w:p>
        </w:tc>
      </w:tr>
    </w:tbl>
    <w:p w:rsidR="00505632" w:rsidRDefault="00505632" w:rsidP="00505632">
      <w:pPr>
        <w:jc w:val="left"/>
      </w:pPr>
    </w:p>
    <w:p w:rsidR="00505632" w:rsidRDefault="00505632" w:rsidP="00505632">
      <w:pPr>
        <w:pStyle w:val="Heading3"/>
      </w:pPr>
      <w:r>
        <w:rPr>
          <w:rFonts w:cs="Times New Roman"/>
        </w:rPr>
        <w:t>4011 MATERIJALNO PRAVNA ZAŠTITA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4011-MATERIJALNO PRAVNA ZAŠTITA</w:t>
            </w:r>
          </w:p>
        </w:tc>
        <w:tc>
          <w:tcPr>
            <w:tcW w:w="2041" w:type="dxa"/>
          </w:tcPr>
          <w:p w:rsidR="00505632" w:rsidRDefault="00505632" w:rsidP="00AD4E52">
            <w:pPr>
              <w:pStyle w:val="CellColumn"/>
              <w:jc w:val="right"/>
            </w:pPr>
            <w:r>
              <w:rPr>
                <w:rFonts w:cs="Times New Roman"/>
              </w:rPr>
              <w:t>41.593.747</w:t>
            </w:r>
          </w:p>
        </w:tc>
        <w:tc>
          <w:tcPr>
            <w:tcW w:w="2041" w:type="dxa"/>
          </w:tcPr>
          <w:p w:rsidR="00505632" w:rsidRDefault="00505632" w:rsidP="00AD4E52">
            <w:pPr>
              <w:pStyle w:val="CellColumn"/>
              <w:jc w:val="right"/>
            </w:pPr>
            <w:r>
              <w:rPr>
                <w:rFonts w:cs="Times New Roman"/>
              </w:rPr>
              <w:t>56.609.525</w:t>
            </w:r>
          </w:p>
        </w:tc>
        <w:tc>
          <w:tcPr>
            <w:tcW w:w="2041" w:type="dxa"/>
          </w:tcPr>
          <w:p w:rsidR="00505632" w:rsidRDefault="00505632" w:rsidP="00AD4E52">
            <w:pPr>
              <w:pStyle w:val="CellColumn"/>
              <w:jc w:val="right"/>
            </w:pPr>
            <w:r>
              <w:rPr>
                <w:rFonts w:cs="Times New Roman"/>
              </w:rPr>
              <w:t>46.943.126</w:t>
            </w:r>
          </w:p>
        </w:tc>
        <w:tc>
          <w:tcPr>
            <w:tcW w:w="1224" w:type="dxa"/>
          </w:tcPr>
          <w:p w:rsidR="00505632" w:rsidRDefault="00505632" w:rsidP="00AD4E52">
            <w:pPr>
              <w:pStyle w:val="CellColumn"/>
              <w:jc w:val="right"/>
            </w:pPr>
            <w:r>
              <w:rPr>
                <w:rFonts w:cs="Times New Roman"/>
              </w:rPr>
              <w:t>82,9</w:t>
            </w:r>
          </w:p>
        </w:tc>
        <w:tc>
          <w:tcPr>
            <w:tcW w:w="1224" w:type="dxa"/>
          </w:tcPr>
          <w:p w:rsidR="00505632" w:rsidRDefault="00505632" w:rsidP="00AD4E52">
            <w:pPr>
              <w:pStyle w:val="CellColumn"/>
              <w:jc w:val="right"/>
            </w:pPr>
            <w:r>
              <w:rPr>
                <w:rFonts w:cs="Times New Roman"/>
              </w:rPr>
              <w:t>112,9</w:t>
            </w:r>
          </w:p>
        </w:tc>
      </w:tr>
    </w:tbl>
    <w:p w:rsidR="00505632" w:rsidRDefault="00505632" w:rsidP="00505632">
      <w:pPr>
        <w:jc w:val="left"/>
      </w:pPr>
    </w:p>
    <w:p w:rsidR="00505632" w:rsidRDefault="00505632" w:rsidP="00505632">
      <w:r>
        <w:t>Program Materijalno pravna zaštita u dijelu koji se odnosi na Agenciju odvija se provođenjem: 1. posebne zaštite dijela vjerovničkih potraživanja iz radnog odnosa radnika u slučaju stečaja poslodavca na društveno prihvatljivoj razini i osiguranjem isplata tog dijela potraživanja na teret državnog proračuna, dok preostali dio potraživanja radnik ostvaruje u stečajnom postupku, na teret stečajne mase, i 2. zaštite materijalnih prava radnika proisteklih iz radnog odnosa isplatom minimalne plaće radnicima od strane Agencije u slučaju blokade računa poslodavca zbog nemogućnosti prisilne naplate neisplaćene plaće odnosno naknade plaće.</w:t>
      </w:r>
    </w:p>
    <w:p w:rsidR="00505632" w:rsidRDefault="00505632" w:rsidP="00505632">
      <w:pPr>
        <w:pStyle w:val="Heading8"/>
        <w:jc w:val="left"/>
      </w:pPr>
      <w:r>
        <w:t>Cilj 1. Zaštita i osiguranje potraživanja radnika u slučaju stečaja poslodavca</w:t>
      </w:r>
    </w:p>
    <w:p w:rsidR="00505632" w:rsidRDefault="00505632" w:rsidP="00505632">
      <w:pPr>
        <w:pStyle w:val="Heading8"/>
        <w:jc w:val="left"/>
      </w:pPr>
      <w:r>
        <w:t>Opis provedbe cilja programa</w:t>
      </w:r>
    </w:p>
    <w:p w:rsidR="00505632" w:rsidRDefault="00505632" w:rsidP="00505632">
      <w:r>
        <w:t>Brzo i učinkovito osiguranje socijalnog minimuma radnika na društveno prihvatljivoj razini: Kada zaštićeno potraživanje radnika bude potvrđeno u sudskom postupku, potrebno ga je ispuniti u cijelosti ili u dijelu koji će osigurati socijalni minimum radnika i njegove obitelji. Stoga se na zahtjev radnika u mnogo bržem upravnom postupku, uz dodatno skraćenje rokova i neovisno o daljnjem tijeku stečajnog postupka, osigurava i iz sredstava državnog proračuna izvršava isplata dijela utvrđenih stečajnih potraživanja, u visini koja se smatra društveno prihvatljivom. Aktivno sudjelovanje u stečajnom postupku radi ostvarenja regresnih prava: Osiguranje stečajnih potraživanja utemeljeno je na regresnom načelu prema kojem se osigurana potraživanja isplaćuju iz državnog proračuna, a povrat sredstava iz stečajne mase u državni proračun osigurava se preuzimanjem procesnih prava u stečajnom postupku. Ostvarenjem regresnih prava „zatvara“ se krug osiguranja stečajnih potraživanja radnika.</w:t>
      </w:r>
    </w:p>
    <w:p w:rsidR="00505632" w:rsidRDefault="00505632" w:rsidP="00505632">
      <w:pPr>
        <w:pStyle w:val="Heading8"/>
        <w:jc w:val="left"/>
      </w:pPr>
      <w:r>
        <w:t>Cilj 2. Zaštita i osiguranje potraživanja radnika u slučaju blokade računa poslodavca</w:t>
      </w:r>
    </w:p>
    <w:p w:rsidR="00505632" w:rsidRDefault="00505632" w:rsidP="00505632">
      <w:pPr>
        <w:pStyle w:val="Heading8"/>
        <w:jc w:val="left"/>
      </w:pPr>
      <w:r>
        <w:t>Opis provedbe cilja programa</w:t>
      </w:r>
    </w:p>
    <w:p w:rsidR="00505632" w:rsidRDefault="00505632" w:rsidP="00505632">
      <w:r>
        <w:t>Brzo i učinkovito osiguranje socijalnog minimuma radnika na društveno prihvatljivoj razini: Kada zaštićeno potraživanje radnika postane ovršno, a nije ga moguće izvršiti zbog blokade računa poslodavca, potrebno ga je ispuniti u cijelosti ili u dijelu koji će osigurati socijalni minimum radnika i njegove obitelji. Stoga se na zahtjev poslodavca u upravnom postupku, uz dodatno skraćenje rokova, neovisno o daljnjem tijeku ovršnog postupka, osigurava i iz sredstava  državnog proračuna izvršava isplata dijela ovršnih potraživanja u visini koja se smatra društveno prihvatljivom. Aktivno sudjelovanje u postupku ostvarenja regresnih prava: osiguranje ovršnih potraživanja radnika utemeljeno je na regresnom načelu prema kojem se osigurana potraživanja isplaćuju iz državnog proračuna, a povrat isplaćenog iznosa iz sredstava poslodavca u državni proračun osigurava se preuzimanjem procesnih prava u ovršnom postupku. Ostvarenjem regresnih prava "zatvara" se krug osiguranja potraživanja radnika u slučaju blokade računa poslodavca.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Udio izvršenih rješenja u zakonskom roku, u ukupnom broju izvršenih rješenja</w:t>
            </w:r>
          </w:p>
        </w:tc>
        <w:tc>
          <w:tcPr>
            <w:tcW w:w="2551" w:type="dxa"/>
          </w:tcPr>
          <w:p w:rsidR="00505632" w:rsidRDefault="00505632" w:rsidP="00AD4E52">
            <w:pPr>
              <w:pStyle w:val="CellColumn"/>
              <w:jc w:val="left"/>
            </w:pPr>
            <w:r>
              <w:rPr>
                <w:rFonts w:cs="Times New Roman"/>
              </w:rPr>
              <w:t>Isplate temeljem izvršnih rješenja u zakonskim rokovima dovode do ostvarenja cilja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Udio stečajnih postupaka u kojima je Agencija aktivno sudjelovala, u odnosu na ukupni broj postupaka u kojima je izvršena subrogacija</w:t>
            </w:r>
          </w:p>
        </w:tc>
        <w:tc>
          <w:tcPr>
            <w:tcW w:w="2551" w:type="dxa"/>
          </w:tcPr>
          <w:p w:rsidR="00505632" w:rsidRDefault="00505632" w:rsidP="00AD4E52">
            <w:pPr>
              <w:pStyle w:val="CellColumn"/>
              <w:jc w:val="left"/>
            </w:pPr>
            <w:r>
              <w:rPr>
                <w:rFonts w:cs="Times New Roman"/>
              </w:rPr>
              <w:t>Aktivno sudjelovanje u stečajnom postupku dovodi do ostvarenja regresnog prava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Udio u zakonskom roku izvršenih zahtjeva poslodavca, u odnosu na broj pozitivno riješenih zahtjeva</w:t>
            </w:r>
          </w:p>
        </w:tc>
        <w:tc>
          <w:tcPr>
            <w:tcW w:w="2551" w:type="dxa"/>
          </w:tcPr>
          <w:p w:rsidR="00505632" w:rsidRDefault="00505632" w:rsidP="00AD4E52">
            <w:pPr>
              <w:pStyle w:val="CellColumn"/>
              <w:jc w:val="left"/>
            </w:pPr>
            <w:r>
              <w:rPr>
                <w:rFonts w:cs="Times New Roman"/>
              </w:rPr>
              <w:t>Isplate temeljem izvršnih rješenja u zakonskim rokovima dovode do ostvarenja cilja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Udio ovršnih postupaka u kojima je Agencija aktivno sudjelovala, u odnosu na ukupni broj regresnih prava koje preuzima Agencija</w:t>
            </w:r>
          </w:p>
        </w:tc>
        <w:tc>
          <w:tcPr>
            <w:tcW w:w="2551" w:type="dxa"/>
          </w:tcPr>
          <w:p w:rsidR="00505632" w:rsidRDefault="00505632" w:rsidP="00AD4E52">
            <w:pPr>
              <w:pStyle w:val="CellColumn"/>
              <w:jc w:val="left"/>
            </w:pPr>
            <w:r>
              <w:rPr>
                <w:rFonts w:cs="Times New Roman"/>
              </w:rPr>
              <w:t>Aktivno sudjelovanje u postupku dovodi do ostvarenja regresnog prava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A837001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A837001-ADMINISTRACIJA I UPRAVLJANJE</w:t>
            </w:r>
          </w:p>
        </w:tc>
        <w:tc>
          <w:tcPr>
            <w:tcW w:w="2041" w:type="dxa"/>
          </w:tcPr>
          <w:p w:rsidR="00505632" w:rsidRDefault="00505632" w:rsidP="00AD4E52">
            <w:pPr>
              <w:pStyle w:val="CellColumn"/>
              <w:jc w:val="right"/>
            </w:pPr>
            <w:r>
              <w:rPr>
                <w:rFonts w:cs="Times New Roman"/>
              </w:rPr>
              <w:t>2.568.745</w:t>
            </w:r>
          </w:p>
        </w:tc>
        <w:tc>
          <w:tcPr>
            <w:tcW w:w="2041" w:type="dxa"/>
          </w:tcPr>
          <w:p w:rsidR="00505632" w:rsidRDefault="00505632" w:rsidP="00AD4E52">
            <w:pPr>
              <w:pStyle w:val="CellColumn"/>
              <w:jc w:val="right"/>
            </w:pPr>
            <w:r>
              <w:rPr>
                <w:rFonts w:cs="Times New Roman"/>
              </w:rPr>
              <w:t>3.402.525</w:t>
            </w:r>
          </w:p>
        </w:tc>
        <w:tc>
          <w:tcPr>
            <w:tcW w:w="2041" w:type="dxa"/>
          </w:tcPr>
          <w:p w:rsidR="00505632" w:rsidRDefault="00505632" w:rsidP="00AD4E52">
            <w:pPr>
              <w:pStyle w:val="CellColumn"/>
              <w:jc w:val="right"/>
            </w:pPr>
            <w:r>
              <w:rPr>
                <w:rFonts w:cs="Times New Roman"/>
              </w:rPr>
              <w:t>2.924.412</w:t>
            </w:r>
          </w:p>
        </w:tc>
        <w:tc>
          <w:tcPr>
            <w:tcW w:w="1224" w:type="dxa"/>
          </w:tcPr>
          <w:p w:rsidR="00505632" w:rsidRDefault="00505632" w:rsidP="00AD4E52">
            <w:pPr>
              <w:pStyle w:val="CellColumn"/>
              <w:jc w:val="right"/>
            </w:pPr>
            <w:r>
              <w:rPr>
                <w:rFonts w:cs="Times New Roman"/>
              </w:rPr>
              <w:t>85,9</w:t>
            </w:r>
          </w:p>
        </w:tc>
        <w:tc>
          <w:tcPr>
            <w:tcW w:w="1224" w:type="dxa"/>
          </w:tcPr>
          <w:p w:rsidR="00505632" w:rsidRDefault="00505632" w:rsidP="00AD4E52">
            <w:pPr>
              <w:pStyle w:val="CellColumn"/>
              <w:jc w:val="right"/>
            </w:pPr>
            <w:r>
              <w:rPr>
                <w:rFonts w:cs="Times New Roman"/>
              </w:rPr>
              <w:t>113,8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Statut Agencije i Pravilnik o unutarnjem ustrojstvu i sistematizaciji radnih mjesta u Agenciji</w:t>
      </w:r>
    </w:p>
    <w:p w:rsidR="00505632" w:rsidRDefault="00505632" w:rsidP="00505632">
      <w:pPr>
        <w:pStyle w:val="Heading8"/>
        <w:jc w:val="left"/>
      </w:pPr>
      <w:r>
        <w:t>Opis aktivnosti</w:t>
      </w:r>
    </w:p>
    <w:p w:rsidR="00505632" w:rsidRDefault="00505632" w:rsidP="00505632">
      <w:r>
        <w:t>Agencija je osnovana člankom 5. Zakona o osiguranju potraživanja radnika u slučaju stečaja poslodavca. U 2016. godini prosječan broj zaposlenih bio je 16 službenika. Djelatnici Agencije provode upravni postupak kojim rješavaju o pravima radnika u slučaju stečaja poslodavaca i u slučaju blokade računa poslodavaca zbog nemogućnosti prisilne naplate neisplaćene plaće i obavljaju uplate na temelju donesenih rješenja na račune poslodavaca u stečaju, odnosno račune radnika. Agencija također ostvaruje procesna prava stečajnog vjerovnika u stečajnom postupku za potraživanja radnika koja je isplatila, te prava ovrhovoditelja u ovršnom postupku, u visini isplaćenih sredstava. Na ovoj aktivnosti osiguravaju se sredstva za plaće i ostala važeća materijalna prava radnika Agencije. Materijalni rashodi i rashodi za usluge na ovoj aktivnosti zavise o broju zaprimljenih zahtjeva od strane radnika i poslodavaca, odnosno ispostavljenih rješenja, a uključuju i troškove najma prostora, režijske troškove i troškove elektronskog povezivanja s javnim institucijama uključenim u procese rješavanja i isplata. Financijski plan za 2016. godinu izvršen je 85,95%, odnosno 2.924.412 kuna od 3.402.525 kuna osiguranih financijskim planom za 2016. godinu.</w:t>
      </w:r>
    </w:p>
    <w:p w:rsidR="00505632" w:rsidRDefault="00505632" w:rsidP="00505632">
      <w:pPr>
        <w:pStyle w:val="Heading4"/>
      </w:pPr>
      <w:r>
        <w:t>A837002 OSIGURANJE POTRAŽIVANJA RADNIKA U SLUČAJU STEČAJA POSLODAVCA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A837002-OSIGURANJE POTRAŽIVANJA RADNIKA U SLUČAJU STEČAJA POSLODAVCA</w:t>
            </w:r>
          </w:p>
        </w:tc>
        <w:tc>
          <w:tcPr>
            <w:tcW w:w="2041" w:type="dxa"/>
          </w:tcPr>
          <w:p w:rsidR="00505632" w:rsidRDefault="00505632" w:rsidP="00AD4E52">
            <w:pPr>
              <w:pStyle w:val="CellColumn"/>
              <w:jc w:val="right"/>
            </w:pPr>
            <w:r>
              <w:rPr>
                <w:rFonts w:cs="Times New Roman"/>
              </w:rPr>
              <w:t>36.933.040</w:t>
            </w:r>
          </w:p>
        </w:tc>
        <w:tc>
          <w:tcPr>
            <w:tcW w:w="2041" w:type="dxa"/>
          </w:tcPr>
          <w:p w:rsidR="00505632" w:rsidRDefault="00505632" w:rsidP="00AD4E52">
            <w:pPr>
              <w:pStyle w:val="CellColumn"/>
              <w:jc w:val="right"/>
            </w:pPr>
            <w:r>
              <w:rPr>
                <w:rFonts w:cs="Times New Roman"/>
              </w:rPr>
              <w:t>44.643.200</w:t>
            </w:r>
          </w:p>
        </w:tc>
        <w:tc>
          <w:tcPr>
            <w:tcW w:w="2041" w:type="dxa"/>
          </w:tcPr>
          <w:p w:rsidR="00505632" w:rsidRDefault="00505632" w:rsidP="00AD4E52">
            <w:pPr>
              <w:pStyle w:val="CellColumn"/>
              <w:jc w:val="right"/>
            </w:pPr>
            <w:r>
              <w:rPr>
                <w:rFonts w:cs="Times New Roman"/>
              </w:rPr>
              <w:t>36.965.484</w:t>
            </w:r>
          </w:p>
        </w:tc>
        <w:tc>
          <w:tcPr>
            <w:tcW w:w="1224" w:type="dxa"/>
          </w:tcPr>
          <w:p w:rsidR="00505632" w:rsidRDefault="00505632" w:rsidP="00AD4E52">
            <w:pPr>
              <w:pStyle w:val="CellColumn"/>
              <w:jc w:val="right"/>
            </w:pPr>
            <w:r>
              <w:rPr>
                <w:rFonts w:cs="Times New Roman"/>
              </w:rPr>
              <w:t>82,8</w:t>
            </w:r>
          </w:p>
        </w:tc>
        <w:tc>
          <w:tcPr>
            <w:tcW w:w="1224" w:type="dxa"/>
          </w:tcPr>
          <w:p w:rsidR="00505632" w:rsidRDefault="00505632" w:rsidP="00AD4E52">
            <w:pPr>
              <w:pStyle w:val="CellColumn"/>
              <w:jc w:val="right"/>
            </w:pPr>
            <w:r>
              <w:rPr>
                <w:rFonts w:cs="Times New Roman"/>
              </w:rPr>
              <w:t>100,1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osiguranju potraživanja radnika u slučaju stečaja poslodavca ("Narodne novine", broj 86/08, 80/13 i 82/15)</w:t>
      </w:r>
    </w:p>
    <w:p w:rsidR="00505632" w:rsidRDefault="00505632" w:rsidP="00505632">
      <w:pPr>
        <w:pStyle w:val="Heading8"/>
        <w:jc w:val="left"/>
      </w:pPr>
      <w:r>
        <w:t>Opis aktivnosti</w:t>
      </w:r>
    </w:p>
    <w:p w:rsidR="00505632" w:rsidRDefault="00505632" w:rsidP="00505632">
      <w:r>
        <w:t>U okviru aktivnosti provodi se posebna zaštita dijela vjerovničkih potraživanja iz radnog odnosa radnika u slučaju stečaja poslodavca na društveno prihvatljivoj razini rješavanjem i izvršavanjem zahtjeva radnika u zakonskom  roku, te obavijest o subrogaciji i uvrštenjem Agencije u diobeni popis i sudjelovanjem Agencije u diobi stečajne mase. Isplata tog dijela potraživanja osigurava se na teret državnog proračuna, dok preostali dio potraživanja radnik ostvaruje u stečajnom postupku, na teret stečajne mase. Temeljem odredbe članka 3. Zakona, u slučaju stečaja  poslodavca radnici ostvaruju pravo na: 1) neisplaćene plaće odnosno naknade plaće, u visini do iznosa minimalne plaće za svaki mjesec zaštićenog razdoblja, 2) neisplaćene naknade plaće za bolovanje u zaštićenom razdoblju koju je prema propisima o zdravstvenom osiguranju bio dužan isplatiti poslodavac iz svojih sredstava, u visini do iznosa inimalne plaće za svaki mjesec proveden na bolovanju, 3) neisplaćene naknade za neiskorišteni godišnji odmor na koji je radnik stekao pravo do otvaranja stečajnog postupka pod uvjetima utvrđenim zakonom, u visini do iznosa minimalne plaće, kao ekvivalenta mjesečnoj plaći iz točke 1. ovoga stavka, 4) otpremnine pod uvjetima utvrđenim zakonom, u visini polovice otpremnine utvrđene u stečajnom postupku, a najviše do polovice najvišeg iznosa  zakonom propisane otpremnine, 5) pravomoćno dosuđene naknade štete zbog pretrpljene ozljede na radu ili profesionalne bolesti, u visini do jedne trećine pravomoćno dosuđene naknade štete. Za isplate osiguranih stečajnih  potraživanja u proračunskoj godini utrošeno je 36.956.833 kuna (82,80% osiguranih sredstava). Ukupno je isplaćeno 37.633.492 kune za 2.245 radnika zaposlenih kod 97 poslodavaca nad kojima je pokrenut stečajni  postupak. Temeljem isplata u tekućoj godini ostvaren je povrat od stečajnih dužnika u iznosu 676.658 kuna koje umanjuju rashod u tekućoj godini radi evidencije povrata temeljem isplata u tekućoj godini u sustavu Državne riznice, te ukupni prihodi iznose 36.956.833 kune. Agencija iznimno, u slučaju brisanja pravnih osoba poslodavca sa sjedištem u Republici Hrvatskoj kao posljedice zaključenog stečajnog postupka, vrši izravnu isplatu priznatih potraživanja radnicima tog poslodavca, uz obračun i uplatu pripadajućih poreza i prireza te doprinosa za obvezna osiguranja koji se obračunavaju iz osnovice i na osnovicu (čl. 20. st. 5. Zakona). U 2016. godini Agencija je temeljem ove odredbe Zakona isplatila 1.225.115 kune radničkih potraživanja radnicima, uz obračun i uplatu pripadajućih poreza i prireza te doprinosa za obvezna osiguranja koji se obračunavaju iz osnovice i na osnovicu. Sva potraživanja temeljem osiguranja radničkih potraživanja u slučaju stečaja poslodavca su dospjela sukladno čl. 21. st. 1. i 2. Zakona. Radnička potraživanja u slučaju stečaja poslodavca na kraju 2016. godine iznose 348.714.590 kuna, od čega je u proračunskoj godini evidentirano 37.633.492 kuna novih potraživanja. U 2016. godini naplaćeno je 10.438.587 kuna, od čega 676.658 kuna temeljem potraživanja nastalih u 2016. godini. Najveći iznosi radničkih potraživanja isplaćeni su radnicima slijedećih stečajnih dužnika: TLM Aluminium d.d. u stečaju, Šibenik: 12.856.730 kuna za 471 radnika, Montmontaža-Greben d.o.o. u stečaju, Vela Luka: 2.590.646 kuna za 122 radnika, 3. maj TIBO d.d. u stečaju, Matulji: 2.206.700 kuna za 74 radnika, Kaštelanski staklenici d.d. u stečaju, Kaštel Štafilić: 2.168.549 kuna za 82 radnika, Metaling d.o.o. u stečaju, Sisak: 1.882.816 kuna za 95 radnika. Prema vrsti ostvarenog prava isplaćeno je 12.606.798 kuna za plaće/naknade plaća za bolovanje i neiskorišteni godišnji odmor, 2.167.125 kuna doprinosa na plaću i 22.859.569 kuna otpremnina i naknada štete.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Udio prvostupanjskih rješenja donesenih u zakonskom roku, u odnosu na ukupni broj donesenih rješenja</w:t>
            </w:r>
          </w:p>
        </w:tc>
        <w:tc>
          <w:tcPr>
            <w:tcW w:w="2551" w:type="dxa"/>
          </w:tcPr>
          <w:p w:rsidR="00505632" w:rsidRDefault="00505632" w:rsidP="00AD4E52">
            <w:pPr>
              <w:pStyle w:val="CellColumn"/>
              <w:jc w:val="left"/>
            </w:pPr>
            <w:r>
              <w:rPr>
                <w:rFonts w:cs="Times New Roman"/>
              </w:rPr>
              <w:t>Donošenjem rješenja u zakonskom roku stječu se uvjeti za pravovremenu isplatu dijela stečajnih potraživanja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Udio pobijenih rješenja, u ukupnom broju donesenih prvostupanjskih rješenja</w:t>
            </w:r>
          </w:p>
        </w:tc>
        <w:tc>
          <w:tcPr>
            <w:tcW w:w="2551" w:type="dxa"/>
          </w:tcPr>
          <w:p w:rsidR="00505632" w:rsidRDefault="00505632" w:rsidP="00AD4E52">
            <w:pPr>
              <w:pStyle w:val="CellColumn"/>
              <w:jc w:val="left"/>
            </w:pPr>
            <w:r>
              <w:rPr>
                <w:rFonts w:cs="Times New Roman"/>
              </w:rPr>
              <w:t>Smanjenjem broja pobijanih rješenja skraćuju se rokovi isplate dijela stečajnih potraživanja radnika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Udio rješenja izvršenih nakon zakonskog roka, u ukupnom broju izvršenih rješenja</w:t>
            </w:r>
          </w:p>
        </w:tc>
        <w:tc>
          <w:tcPr>
            <w:tcW w:w="2551" w:type="dxa"/>
          </w:tcPr>
          <w:p w:rsidR="00505632" w:rsidRDefault="00505632" w:rsidP="00AD4E52">
            <w:pPr>
              <w:pStyle w:val="CellColumn"/>
              <w:jc w:val="left"/>
            </w:pPr>
            <w:r>
              <w:rPr>
                <w:rFonts w:cs="Times New Roman"/>
              </w:rPr>
              <w:t>Smanjenjem broja izvršenih rješenja nakon zakonskog roka, u kraćem se roku isplaćuju radnici kojima je ugrožena socijalna sigurnost</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Udio obavijesti stečajnom sudu u odnosu na ukupni broj izvršenih uplata</w:t>
            </w:r>
          </w:p>
        </w:tc>
        <w:tc>
          <w:tcPr>
            <w:tcW w:w="2551" w:type="dxa"/>
          </w:tcPr>
          <w:p w:rsidR="00505632" w:rsidRDefault="00505632" w:rsidP="00AD4E52">
            <w:pPr>
              <w:pStyle w:val="CellColumn"/>
              <w:jc w:val="left"/>
            </w:pPr>
            <w:r>
              <w:rPr>
                <w:rFonts w:cs="Times New Roman"/>
              </w:rPr>
              <w:t>Nakon izvršene isplate radničkog potraživanja, o tome se obavještava stečajni upravitelj radi uvrštenja Agencije u diobni popis</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Udio poziva stečajnom upravitelju za uvrštenje u diobni popis, u odnosu na ukupni broj obavijesti o subrogaciji</w:t>
            </w:r>
          </w:p>
        </w:tc>
        <w:tc>
          <w:tcPr>
            <w:tcW w:w="2551" w:type="dxa"/>
          </w:tcPr>
          <w:p w:rsidR="00505632" w:rsidRDefault="00505632" w:rsidP="00AD4E52">
            <w:pPr>
              <w:pStyle w:val="CellColumn"/>
              <w:jc w:val="left"/>
            </w:pPr>
            <w:r>
              <w:rPr>
                <w:rFonts w:cs="Times New Roman"/>
              </w:rPr>
              <w:t>Nakon izvršene isplate radničkog potraživanja, o tome se obavještava stečajni upravitelj radi uvrštenja Agencije u diobni popis</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Udio dioba u kojima je osigurano sudjelovanje Agencije, u odnosu na ukupni broj dioba u postupcima u kojima je izvršena subrogacija</w:t>
            </w:r>
          </w:p>
        </w:tc>
        <w:tc>
          <w:tcPr>
            <w:tcW w:w="2551" w:type="dxa"/>
          </w:tcPr>
          <w:p w:rsidR="00505632" w:rsidRDefault="00505632" w:rsidP="00AD4E52">
            <w:pPr>
              <w:pStyle w:val="CellColumn"/>
              <w:jc w:val="left"/>
            </w:pPr>
            <w:r>
              <w:rPr>
                <w:rFonts w:cs="Times New Roman"/>
              </w:rPr>
              <w:t>Na temelju službenih objava u stečajnom postupku osigurava se sudjelovanje Agencije u diobi stečajne mase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A837006 OSIGURANJE POTRAŽIVANJA RADNIKA U SLUČAJU BLOKADE RAČUNA POSLODAVCA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A837006-OSIGURANJE POTRAŽIVANJA RADNIKA U SLUČAJU BLOKADE RAČUNA POSLODAVCA</w:t>
            </w:r>
          </w:p>
        </w:tc>
        <w:tc>
          <w:tcPr>
            <w:tcW w:w="2041" w:type="dxa"/>
          </w:tcPr>
          <w:p w:rsidR="00505632" w:rsidRDefault="00505632" w:rsidP="00AD4E52">
            <w:pPr>
              <w:pStyle w:val="CellColumn"/>
              <w:jc w:val="right"/>
            </w:pPr>
            <w:r>
              <w:rPr>
                <w:rFonts w:cs="Times New Roman"/>
              </w:rPr>
              <w:t>2.091.962</w:t>
            </w:r>
          </w:p>
        </w:tc>
        <w:tc>
          <w:tcPr>
            <w:tcW w:w="2041" w:type="dxa"/>
          </w:tcPr>
          <w:p w:rsidR="00505632" w:rsidRDefault="00505632" w:rsidP="00AD4E52">
            <w:pPr>
              <w:pStyle w:val="CellColumn"/>
              <w:jc w:val="right"/>
            </w:pPr>
            <w:r>
              <w:rPr>
                <w:rFonts w:cs="Times New Roman"/>
              </w:rPr>
              <w:t>8.563.800</w:t>
            </w:r>
          </w:p>
        </w:tc>
        <w:tc>
          <w:tcPr>
            <w:tcW w:w="2041" w:type="dxa"/>
          </w:tcPr>
          <w:p w:rsidR="00505632" w:rsidRDefault="00505632" w:rsidP="00AD4E52">
            <w:pPr>
              <w:pStyle w:val="CellColumn"/>
              <w:jc w:val="right"/>
            </w:pPr>
            <w:r>
              <w:rPr>
                <w:rFonts w:cs="Times New Roman"/>
              </w:rPr>
              <w:t>7.053.230</w:t>
            </w:r>
          </w:p>
        </w:tc>
        <w:tc>
          <w:tcPr>
            <w:tcW w:w="1224" w:type="dxa"/>
          </w:tcPr>
          <w:p w:rsidR="00505632" w:rsidRDefault="00505632" w:rsidP="00AD4E52">
            <w:pPr>
              <w:pStyle w:val="CellColumn"/>
              <w:jc w:val="right"/>
            </w:pPr>
            <w:r>
              <w:rPr>
                <w:rFonts w:cs="Times New Roman"/>
              </w:rPr>
              <w:t>82,4</w:t>
            </w:r>
          </w:p>
        </w:tc>
        <w:tc>
          <w:tcPr>
            <w:tcW w:w="1224" w:type="dxa"/>
          </w:tcPr>
          <w:p w:rsidR="00505632" w:rsidRDefault="00505632" w:rsidP="00AD4E52">
            <w:pPr>
              <w:pStyle w:val="CellColumn"/>
              <w:jc w:val="right"/>
            </w:pPr>
            <w:r>
              <w:rPr>
                <w:rFonts w:cs="Times New Roman"/>
              </w:rPr>
              <w:t>337,2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osiguranju potraživanja radnika u slučaju stečaja poslodavca ("Narodne novine", broj 86/08, 80/13 i 82/15)</w:t>
      </w:r>
    </w:p>
    <w:p w:rsidR="00505632" w:rsidRDefault="00505632" w:rsidP="00505632">
      <w:pPr>
        <w:pStyle w:val="Heading8"/>
        <w:jc w:val="left"/>
      </w:pPr>
      <w:r>
        <w:t>Opis aktivnosti</w:t>
      </w:r>
    </w:p>
    <w:p w:rsidR="00505632" w:rsidRDefault="00505632" w:rsidP="00505632">
      <w:r>
        <w:t>U okviru aktivnosti štiti se egzistencija radnika na društveno prihvatljivoj razini isplatom minimalne plaće od strane Agencije u slučaju blokade računa poslodavca zbog nemogućnosti prisilne naplate neisplaćene plaće odnosno naknade plaće rješavanjem i izvršavanjem zahtjeva poslodavca za isplatu radnicima plaće/naknade plaće u visini minimalne plaće u zakonskom roku, te preuzimanjem prava ovrhovoditelja za isplaćen iznos, podnošenjem u zakonskom roku Financijskoj agenciji zahtjeva za izravnu naplatu uz rješenje o isplati plaće/naknade plaće u visini minimalne plaće, kojim se poslodavcu nalaže povrat sredstava uplaćenih radnicima i podnošenjem poslodavcu poziva za obročni povrat sredstava uplaćenih na ime doprinosa za obvezna osiguranja koji se obračunavaju na osnovicu, po stjecanju uvjeta propisanih Zakonom. Temeljem odredbe čl. 4.c Zakona, u slučaju blokade računa poslodavca zbog nemogućnosti prisilne naplate neisplaćene plaće odnosno naknade plaće radnici ostvaruju pravo na: 1) do tri neisplaćene plaće odnosno naknade plaće, u visini do iznosa minimalne plaće za svaki mjesec za koji plaća odnosno naknada plaće nije isplaćena i 2) do tri neisplaćene naknade plaće za bolovanje koju je prema propisima o zdravstvenom osiguranju bio dužan isplatiti poslodavac iz svojih sredstava, u visini do iznosa minimalne plaće za svaki mjesec proveden na bolovanju. U financijskom planu Agencije za 2016. godinu na Aktivnosti A837006 – Osiguranje potraživanja radnika u slučaju blokade računa poslodavca osigurano je 8.550.000 kuna za isplate potraživanja radnika u slučaju blokade računa poslodavca zbog nemogućnosti prisilne naplate neisplaćene plaće odnosno naknade plaće sukladno čl. 4.c st. 1. Zakona. Izmjene i dopune Zakona kojima se u djelatnost Agencije uvodi osiguranje radničkih potraživanja u slučaju blokade računa poslodavca stupile su na snagu 01. rujna 2015. godine, te su prve isplate uslijedile u studenom 2015. godine, dok su prve veće isplate uslijedile u 2016. godini. U 2016. godini isplaćeno je 7.840.208 kuna za 2.334 plaće radnicima za koje je prihod ostvaren iz državnog proračuna. Od navedenog iznosa 239.734 kune isplaćeno je temeljem obveza iz 2015. godine. Temeljem isplata u 2016. godini naplaćeno je 799.138 kuna koje umanjuju rashod u tekućoj godini radi evidencije povrata temeljem isplata u tekućoj godini u sustavu Državne riznice, te ukupni prihodi iz državnog proračuna iznose 7.041.070 kuna. Najveći iznosi isplaćeni su za neisplaćene plaće/naknade plaće radnicima poslodavaca: Montmontaža-Greben d.o.o., Vela Luka 1.342.647 kuna za 381 plaću, TLM-TPP d.o.o., Šibenik 1.189.511 kuna za 327 plaća, 3. maj TIBO d.d., Matulji 760.849 kuna za 213 plaća, Geofoto d.o.o., Zagreb 474.292 kune za 141 plaću, VIS d.o.o., Draganić 367.934 kuna za 107 plaća. Potraživanja temeljem isplaćenih materijalnih prava radnika u slučaju blokade računa poslodavca na kraju 2016. godine iznose 8.905.168 kuna, od čega se 6.813.206 kuna odnosi na potraživanja nastala u 2016. godini. Tokom godine je naplaćeno 1.027.002 kune, od čega 799.138 kuna temeljem potraživanja nastalih u 2016. godini. Nad 15 poslodavaca za koje je Agencija isplatila radnička potraživanja u slučaju blokade računa poslodavca u iznosu 5.697.133 kune Agencija je izvršila je prijavu tražbine u stečajnom postupku, a nad 10 poslodavaca isplaćenih u iznosu 172.157 kuna otvoren je i istovremeno zaključen stečajni postupak.</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Udio prvostupanjskih rješenja donesenih u zakonskom roku, u odnosu na ukupni broj donesenih rješenja</w:t>
            </w:r>
          </w:p>
        </w:tc>
        <w:tc>
          <w:tcPr>
            <w:tcW w:w="2551" w:type="dxa"/>
          </w:tcPr>
          <w:p w:rsidR="00505632" w:rsidRDefault="00505632" w:rsidP="00AD4E52">
            <w:pPr>
              <w:pStyle w:val="CellColumn"/>
              <w:jc w:val="left"/>
            </w:pPr>
            <w:r>
              <w:rPr>
                <w:rFonts w:cs="Times New Roman"/>
              </w:rPr>
              <w:t>Donošenjem rješenja u zakonskom roku osigurava se socijalni minimum radnika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Udio izvršenih zahtjeva u zakonskom roku u odnosu na ukupan broj zahtjeva</w:t>
            </w:r>
          </w:p>
        </w:tc>
        <w:tc>
          <w:tcPr>
            <w:tcW w:w="2551" w:type="dxa"/>
          </w:tcPr>
          <w:p w:rsidR="00505632" w:rsidRDefault="00505632" w:rsidP="00AD4E52">
            <w:pPr>
              <w:pStyle w:val="CellColumn"/>
              <w:jc w:val="left"/>
            </w:pPr>
            <w:r>
              <w:rPr>
                <w:rFonts w:cs="Times New Roman"/>
              </w:rPr>
              <w:t>Izvršavanjem zahtjeva poslodavca za isplatu minimalne plaće u zakonskom roku ispunjava se osiguranje socijalnog minimuma radnika na društveno prihvatljivoj razini</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Udio podnijetih zahtjeva za izravnu naplatu Financijskoj Agenciji u odnosu na ukupni broj izvršenih uplata</w:t>
            </w:r>
          </w:p>
        </w:tc>
        <w:tc>
          <w:tcPr>
            <w:tcW w:w="2551" w:type="dxa"/>
          </w:tcPr>
          <w:p w:rsidR="00505632" w:rsidRDefault="00505632" w:rsidP="00AD4E52">
            <w:pPr>
              <w:pStyle w:val="CellColumn"/>
              <w:jc w:val="left"/>
            </w:pPr>
            <w:r>
              <w:rPr>
                <w:rFonts w:cs="Times New Roman"/>
              </w:rPr>
              <w:t>Ako poslodavac u zakonskom roku ne izvrši povrat isplaćenog iznosa plaće radnika, Agencija pokreće ovršni postupak pred FINA-om zahtjevom za izravnu naplatu</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Udio podnesenih prijava stečajnog potraživanja u odnosu na ukupan broj poslodavaca nad kojima je otvoren stečajni postupak nakon izvršene isplate od strane Agencije</w:t>
            </w:r>
          </w:p>
        </w:tc>
        <w:tc>
          <w:tcPr>
            <w:tcW w:w="2551" w:type="dxa"/>
          </w:tcPr>
          <w:p w:rsidR="00505632" w:rsidRDefault="00505632" w:rsidP="00AD4E52">
            <w:pPr>
              <w:pStyle w:val="CellColumn"/>
              <w:jc w:val="left"/>
            </w:pPr>
            <w:r>
              <w:rPr>
                <w:rFonts w:cs="Times New Roman"/>
              </w:rPr>
              <w:t>Agencija prati otvaranje stečajnog postupka nad poslodavcima umjesto kojih je isplatila plaću radniku, te prijavljuje tražbinu u stečajnom postupku</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podaci Agencije</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overflowPunct/>
        <w:autoSpaceDE/>
        <w:autoSpaceDN/>
        <w:adjustRightInd/>
        <w:spacing w:after="200" w:line="276" w:lineRule="auto"/>
        <w:jc w:val="left"/>
        <w:textAlignment w:val="auto"/>
      </w:pPr>
      <w:r>
        <w:br w:type="page"/>
      </w:r>
    </w:p>
    <w:p w:rsidR="00505632" w:rsidRDefault="00505632" w:rsidP="00505632">
      <w:pPr>
        <w:pStyle w:val="Heading1"/>
      </w:pPr>
      <w:r>
        <w:t>090 MINISTARSTVO TURIZMA</w:t>
      </w:r>
    </w:p>
    <w:p w:rsidR="00505632" w:rsidRDefault="00505632" w:rsidP="00505632">
      <w:r>
        <w:t xml:space="preserve">Ministarstvo turizma obavlja upravne i druge poslove koji se odnose na: turističku politiku Republike Hrvatske, strategiju razvitka hrvatskog turizma; razvoj i investicije u turizmu;razvitak kongresnoga, seoskoga, lovnoga, zdravstvenoga, omladinskoga i drugih selektivnih oblika turizma; unapređivanje i razvoj malog poduzetništva u turizmu i ugostiteljstvu; sanacijske programe u svezi s restrukturiranjem hotelsko-ugostiteljskih tvrtki, praćenje i sudjelovanje u procesu privatizacije; turističku informatiku, promicanje hrvatskog turizma u inozemstvu; sustav turističkih zajednica; turističku i ugostiteljsku statistiku; stanje i pojave na području turističkih i ugostiteljskih usluga; međunarodnu suradnju u svezi s turizmom; djelovanje instrumenata gospodarskog sustava i mjera gospodarske politike na razvoj ponude i pružanje turističkih i ugostiteljskih usluga i poslovanje turističkih i ugostiteljskih gospodarskih subjekata; uvjete obavljanja turističke i ugostiteljske djelatnosti, praćenje i analiziranje kvalitete turističke ponude, turističkih i ugostiteljskih usluga, uvođenje međunarodnih standarda kvalitete ponude smještaja i usluga; kategorizaciju turističkih i ugostiteljskih objekata; unapređivanje turističke i ugostiteljske djelatnosti. </w:t>
      </w:r>
    </w:p>
    <w:p w:rsidR="00505632" w:rsidRDefault="00505632" w:rsidP="00505632">
      <w:r>
        <w:t xml:space="preserve">Ministarstvo obavlja poslove koji se odnose na sudjelovanje Republike Hrvatske u radu tijela Europske unije u područjima iz njegove nadležnosti, te druge poslove koji su mu stavljeni u nadležnost. </w:t>
      </w:r>
    </w:p>
    <w:p w:rsidR="00505632" w:rsidRDefault="00505632" w:rsidP="00505632">
      <w:r>
        <w:t>Ministarstvo turizma je slijedom Zakona o uspostavi institucionalnog okvira za provedbu europskih strukturnih i investicijskih fondova u Republici Hrvatskoj u financijskom razdoblju 2014. – 2020. (NN 92/2014) te Uredbe o tijelima u sustavima upravljanja i kontrole korištenja Europskog socijalnog fonda, Europskog fonda za regionalni razvoj i kohezijskog fonda, u vezi s ciljem „Ulaganje za rast i radna mjesta“ objevljena u NN 107/2014 (a kojom se utvrđuje provedba Uredbe EU br. 1303/2013 Europskog parlamenta i Vijeća od 17. prosinca 2013.) imenovano Posredničkim tijelom razine 1 za Operativni program „Učinkoviti ljudski potencijali“ u prioritetnim osima „Socijalno uključivanje“ i „Obrazovanje i cijelo – životno učenje“.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09005-Ministarstvo turizma</w:t>
            </w:r>
          </w:p>
        </w:tc>
        <w:tc>
          <w:tcPr>
            <w:tcW w:w="2041" w:type="dxa"/>
            <w:vAlign w:val="top"/>
          </w:tcPr>
          <w:p w:rsidR="00505632" w:rsidRDefault="00505632" w:rsidP="00AD4E52">
            <w:pPr>
              <w:pStyle w:val="CellColumn"/>
              <w:jc w:val="right"/>
            </w:pPr>
            <w:r>
              <w:rPr>
                <w:rFonts w:cs="Times New Roman"/>
              </w:rPr>
              <w:t>193.054.403</w:t>
            </w:r>
          </w:p>
        </w:tc>
        <w:tc>
          <w:tcPr>
            <w:tcW w:w="2041" w:type="dxa"/>
            <w:vAlign w:val="top"/>
          </w:tcPr>
          <w:p w:rsidR="00505632" w:rsidRDefault="00505632" w:rsidP="00AD4E52">
            <w:pPr>
              <w:pStyle w:val="CellColumn"/>
              <w:jc w:val="right"/>
            </w:pPr>
            <w:r>
              <w:rPr>
                <w:rFonts w:cs="Times New Roman"/>
              </w:rPr>
              <w:t>172.687.661</w:t>
            </w:r>
          </w:p>
        </w:tc>
        <w:tc>
          <w:tcPr>
            <w:tcW w:w="2041" w:type="dxa"/>
            <w:vAlign w:val="top"/>
          </w:tcPr>
          <w:p w:rsidR="00505632" w:rsidRDefault="00505632" w:rsidP="00AD4E52">
            <w:pPr>
              <w:pStyle w:val="CellColumn"/>
              <w:jc w:val="right"/>
            </w:pPr>
            <w:r>
              <w:rPr>
                <w:rFonts w:cs="Times New Roman"/>
              </w:rPr>
              <w:t>156.862.091</w:t>
            </w:r>
          </w:p>
        </w:tc>
        <w:tc>
          <w:tcPr>
            <w:tcW w:w="1224" w:type="dxa"/>
            <w:vAlign w:val="top"/>
          </w:tcPr>
          <w:p w:rsidR="00505632" w:rsidRDefault="00505632" w:rsidP="00AD4E52">
            <w:pPr>
              <w:pStyle w:val="CellColumn"/>
              <w:jc w:val="right"/>
            </w:pPr>
            <w:r>
              <w:rPr>
                <w:rFonts w:cs="Times New Roman"/>
              </w:rPr>
              <w:t>90,8</w:t>
            </w:r>
          </w:p>
        </w:tc>
        <w:tc>
          <w:tcPr>
            <w:tcW w:w="1224" w:type="dxa"/>
            <w:vAlign w:val="top"/>
          </w:tcPr>
          <w:p w:rsidR="00505632" w:rsidRDefault="00505632" w:rsidP="00AD4E52">
            <w:pPr>
              <w:pStyle w:val="CellColumn"/>
              <w:jc w:val="right"/>
            </w:pPr>
            <w:r>
              <w:rPr>
                <w:rFonts w:cs="Times New Roman"/>
              </w:rPr>
              <w:t>81,3</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090-MINISTARSTVO TURIZMA</w:t>
            </w:r>
          </w:p>
        </w:tc>
        <w:tc>
          <w:tcPr>
            <w:tcW w:w="2041" w:type="dxa"/>
            <w:shd w:val="clear" w:color="auto" w:fill="B5C0D8"/>
          </w:tcPr>
          <w:p w:rsidR="00505632" w:rsidRDefault="00505632" w:rsidP="00AD4E52">
            <w:pPr>
              <w:pStyle w:val="CellColumn"/>
              <w:jc w:val="right"/>
            </w:pPr>
            <w:r>
              <w:rPr>
                <w:rFonts w:cs="Times New Roman"/>
              </w:rPr>
              <w:t>193.054.403</w:t>
            </w:r>
          </w:p>
        </w:tc>
        <w:tc>
          <w:tcPr>
            <w:tcW w:w="2041" w:type="dxa"/>
            <w:shd w:val="clear" w:color="auto" w:fill="B5C0D8"/>
          </w:tcPr>
          <w:p w:rsidR="00505632" w:rsidRDefault="00505632" w:rsidP="00AD4E52">
            <w:pPr>
              <w:pStyle w:val="CellColumn"/>
              <w:jc w:val="right"/>
            </w:pPr>
            <w:r>
              <w:rPr>
                <w:rFonts w:cs="Times New Roman"/>
              </w:rPr>
              <w:t>172.687.661</w:t>
            </w:r>
          </w:p>
        </w:tc>
        <w:tc>
          <w:tcPr>
            <w:tcW w:w="2041" w:type="dxa"/>
            <w:shd w:val="clear" w:color="auto" w:fill="B5C0D8"/>
          </w:tcPr>
          <w:p w:rsidR="00505632" w:rsidRDefault="00505632" w:rsidP="00AD4E52">
            <w:pPr>
              <w:pStyle w:val="CellColumn"/>
              <w:jc w:val="right"/>
            </w:pPr>
            <w:r>
              <w:rPr>
                <w:rFonts w:cs="Times New Roman"/>
              </w:rPr>
              <w:t>156.862.091</w:t>
            </w:r>
          </w:p>
        </w:tc>
        <w:tc>
          <w:tcPr>
            <w:tcW w:w="1224" w:type="dxa"/>
            <w:shd w:val="clear" w:color="auto" w:fill="B5C0D8"/>
          </w:tcPr>
          <w:p w:rsidR="00505632" w:rsidRDefault="00505632" w:rsidP="00AD4E52">
            <w:pPr>
              <w:pStyle w:val="CellColumn"/>
              <w:jc w:val="right"/>
            </w:pPr>
            <w:r>
              <w:rPr>
                <w:rFonts w:cs="Times New Roman"/>
              </w:rPr>
              <w:t>90,8</w:t>
            </w:r>
          </w:p>
        </w:tc>
        <w:tc>
          <w:tcPr>
            <w:tcW w:w="1224" w:type="dxa"/>
            <w:shd w:val="clear" w:color="auto" w:fill="B5C0D8"/>
          </w:tcPr>
          <w:p w:rsidR="00505632" w:rsidRDefault="00505632" w:rsidP="00AD4E52">
            <w:pPr>
              <w:pStyle w:val="CellColumn"/>
              <w:jc w:val="right"/>
            </w:pPr>
            <w:r>
              <w:rPr>
                <w:rFonts w:cs="Times New Roman"/>
              </w:rPr>
              <w:t>81,3</w:t>
            </w:r>
          </w:p>
        </w:tc>
      </w:tr>
    </w:tbl>
    <w:p w:rsidR="00505632" w:rsidRDefault="00505632" w:rsidP="00505632">
      <w:pPr>
        <w:jc w:val="left"/>
      </w:pPr>
    </w:p>
    <w:p w:rsidR="00505632" w:rsidRDefault="00505632" w:rsidP="00505632">
      <w:pPr>
        <w:pStyle w:val="Heading2"/>
      </w:pPr>
      <w:r>
        <w:t>09005 Ministarstvo turizma</w:t>
      </w:r>
    </w:p>
    <w:p w:rsidR="00505632" w:rsidRDefault="00505632" w:rsidP="00505632">
      <w:r>
        <w:t>Ministarstvo turizma  je  središnje tijelo državne uprave u Republici Hrvatskoj koje obavlja upravne i druge poslove koji se odnose na turističku politiku Republike Hrvatske, strategiju razvitka hrvatskog turizma, sustav turističkih zajednica, međunarodnu suradnju u svezi s turizmom, te unapređuje turističku i ugostiteljsku djelatnost. Zakonom o ustrojstvu i djelokrugu ministarstava i drugih središnjih tijela državne uprave (NN 150/11), te Uredbom o unutarnjem ustrojstvu Ministarstva turizma (NN 55/14) i Uredbom o izmjenama i dopuni Uredbe o unutarnjem ustrojstvu Ministarstva turizma (NN 17/15) ustrojeno je Ministarstvo turizma.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09005-Ministarstvo turizma</w:t>
            </w:r>
          </w:p>
        </w:tc>
        <w:tc>
          <w:tcPr>
            <w:tcW w:w="2041" w:type="dxa"/>
            <w:vAlign w:val="top"/>
          </w:tcPr>
          <w:p w:rsidR="00505632" w:rsidRDefault="00505632" w:rsidP="00AD4E52">
            <w:pPr>
              <w:pStyle w:val="CellColumn"/>
              <w:jc w:val="right"/>
            </w:pPr>
            <w:r>
              <w:rPr>
                <w:rFonts w:cs="Times New Roman"/>
              </w:rPr>
              <w:t>193.054.403</w:t>
            </w:r>
          </w:p>
        </w:tc>
        <w:tc>
          <w:tcPr>
            <w:tcW w:w="2041" w:type="dxa"/>
            <w:vAlign w:val="top"/>
          </w:tcPr>
          <w:p w:rsidR="00505632" w:rsidRDefault="00505632" w:rsidP="00AD4E52">
            <w:pPr>
              <w:pStyle w:val="CellColumn"/>
              <w:jc w:val="right"/>
            </w:pPr>
            <w:r>
              <w:rPr>
                <w:rFonts w:cs="Times New Roman"/>
              </w:rPr>
              <w:t>172.687.661</w:t>
            </w:r>
          </w:p>
        </w:tc>
        <w:tc>
          <w:tcPr>
            <w:tcW w:w="2041" w:type="dxa"/>
            <w:vAlign w:val="top"/>
          </w:tcPr>
          <w:p w:rsidR="00505632" w:rsidRDefault="00505632" w:rsidP="00AD4E52">
            <w:pPr>
              <w:pStyle w:val="CellColumn"/>
              <w:jc w:val="right"/>
            </w:pPr>
            <w:r>
              <w:rPr>
                <w:rFonts w:cs="Times New Roman"/>
              </w:rPr>
              <w:t>156.862.091</w:t>
            </w:r>
          </w:p>
        </w:tc>
        <w:tc>
          <w:tcPr>
            <w:tcW w:w="1224" w:type="dxa"/>
            <w:vAlign w:val="top"/>
          </w:tcPr>
          <w:p w:rsidR="00505632" w:rsidRDefault="00505632" w:rsidP="00AD4E52">
            <w:pPr>
              <w:pStyle w:val="CellColumn"/>
              <w:jc w:val="right"/>
            </w:pPr>
            <w:r>
              <w:rPr>
                <w:rFonts w:cs="Times New Roman"/>
              </w:rPr>
              <w:t>90,8</w:t>
            </w:r>
          </w:p>
        </w:tc>
        <w:tc>
          <w:tcPr>
            <w:tcW w:w="1224" w:type="dxa"/>
            <w:vAlign w:val="top"/>
          </w:tcPr>
          <w:p w:rsidR="00505632" w:rsidRDefault="00505632" w:rsidP="00AD4E52">
            <w:pPr>
              <w:pStyle w:val="CellColumn"/>
              <w:jc w:val="right"/>
            </w:pPr>
            <w:r>
              <w:rPr>
                <w:rFonts w:cs="Times New Roman"/>
              </w:rPr>
              <w:t>81,3</w:t>
            </w:r>
          </w:p>
        </w:tc>
      </w:tr>
      <w:tr w:rsidR="00505632" w:rsidTr="00AD4E52">
        <w:trPr>
          <w:jc w:val="center"/>
        </w:trPr>
        <w:tc>
          <w:tcPr>
            <w:tcW w:w="1632" w:type="dxa"/>
          </w:tcPr>
          <w:p w:rsidR="00505632" w:rsidRDefault="00505632" w:rsidP="00AD4E52">
            <w:pPr>
              <w:jc w:val="left"/>
            </w:pPr>
            <w:r>
              <w:t>3208-POTICANJE RAZVOJA TURIZMA</w:t>
            </w:r>
          </w:p>
        </w:tc>
        <w:tc>
          <w:tcPr>
            <w:tcW w:w="2041" w:type="dxa"/>
          </w:tcPr>
          <w:p w:rsidR="00505632" w:rsidRDefault="00505632" w:rsidP="00AD4E52">
            <w:pPr>
              <w:jc w:val="right"/>
            </w:pPr>
            <w:r>
              <w:t>114.933.191</w:t>
            </w:r>
          </w:p>
        </w:tc>
        <w:tc>
          <w:tcPr>
            <w:tcW w:w="2041" w:type="dxa"/>
          </w:tcPr>
          <w:p w:rsidR="00505632" w:rsidRDefault="00505632" w:rsidP="00AD4E52">
            <w:pPr>
              <w:jc w:val="right"/>
            </w:pPr>
            <w:r>
              <w:t>126.087.661</w:t>
            </w:r>
          </w:p>
        </w:tc>
        <w:tc>
          <w:tcPr>
            <w:tcW w:w="2041" w:type="dxa"/>
          </w:tcPr>
          <w:p w:rsidR="00505632" w:rsidRDefault="00505632" w:rsidP="00AD4E52">
            <w:pPr>
              <w:jc w:val="right"/>
            </w:pPr>
            <w:r>
              <w:t>110.236.526</w:t>
            </w:r>
          </w:p>
        </w:tc>
        <w:tc>
          <w:tcPr>
            <w:tcW w:w="1224" w:type="dxa"/>
          </w:tcPr>
          <w:p w:rsidR="00505632" w:rsidRDefault="00505632" w:rsidP="00AD4E52">
            <w:pPr>
              <w:jc w:val="right"/>
            </w:pPr>
            <w:r>
              <w:t>87,4</w:t>
            </w:r>
          </w:p>
        </w:tc>
        <w:tc>
          <w:tcPr>
            <w:tcW w:w="1224" w:type="dxa"/>
          </w:tcPr>
          <w:p w:rsidR="00505632" w:rsidRDefault="00505632" w:rsidP="00AD4E52">
            <w:pPr>
              <w:jc w:val="right"/>
            </w:pPr>
            <w:r>
              <w:t>95,9</w:t>
            </w:r>
          </w:p>
        </w:tc>
      </w:tr>
      <w:tr w:rsidR="00505632" w:rsidTr="00AD4E52">
        <w:trPr>
          <w:jc w:val="center"/>
        </w:trPr>
        <w:tc>
          <w:tcPr>
            <w:tcW w:w="1632" w:type="dxa"/>
          </w:tcPr>
          <w:p w:rsidR="00505632" w:rsidRDefault="00505632" w:rsidP="00AD4E52">
            <w:pPr>
              <w:jc w:val="left"/>
            </w:pPr>
            <w:r>
              <w:t>3209-PROMOCIJA TURIZMA</w:t>
            </w:r>
          </w:p>
        </w:tc>
        <w:tc>
          <w:tcPr>
            <w:tcW w:w="2041" w:type="dxa"/>
          </w:tcPr>
          <w:p w:rsidR="00505632" w:rsidRDefault="00505632" w:rsidP="00AD4E52">
            <w:pPr>
              <w:jc w:val="right"/>
            </w:pPr>
            <w:r>
              <w:t>78.121.211</w:t>
            </w:r>
          </w:p>
        </w:tc>
        <w:tc>
          <w:tcPr>
            <w:tcW w:w="2041" w:type="dxa"/>
          </w:tcPr>
          <w:p w:rsidR="00505632" w:rsidRDefault="00505632" w:rsidP="00AD4E52">
            <w:pPr>
              <w:jc w:val="right"/>
            </w:pPr>
            <w:r>
              <w:t>46.600.000</w:t>
            </w:r>
          </w:p>
        </w:tc>
        <w:tc>
          <w:tcPr>
            <w:tcW w:w="2041" w:type="dxa"/>
          </w:tcPr>
          <w:p w:rsidR="00505632" w:rsidRDefault="00505632" w:rsidP="00AD4E52">
            <w:pPr>
              <w:jc w:val="right"/>
            </w:pPr>
            <w:r>
              <w:t>46.625.565</w:t>
            </w:r>
          </w:p>
        </w:tc>
        <w:tc>
          <w:tcPr>
            <w:tcW w:w="1224" w:type="dxa"/>
          </w:tcPr>
          <w:p w:rsidR="00505632" w:rsidRDefault="00505632" w:rsidP="00AD4E52">
            <w:pPr>
              <w:jc w:val="right"/>
            </w:pPr>
            <w:r>
              <w:t>100,1</w:t>
            </w:r>
          </w:p>
        </w:tc>
        <w:tc>
          <w:tcPr>
            <w:tcW w:w="1224" w:type="dxa"/>
          </w:tcPr>
          <w:p w:rsidR="00505632" w:rsidRDefault="00505632" w:rsidP="00AD4E52">
            <w:pPr>
              <w:jc w:val="right"/>
            </w:pPr>
            <w:r>
              <w:t>59,7</w:t>
            </w:r>
          </w:p>
        </w:tc>
      </w:tr>
    </w:tbl>
    <w:p w:rsidR="00505632" w:rsidRDefault="00505632" w:rsidP="00505632">
      <w:pPr>
        <w:jc w:val="left"/>
      </w:pPr>
    </w:p>
    <w:p w:rsidR="00505632" w:rsidRDefault="00505632" w:rsidP="00505632">
      <w:pPr>
        <w:pStyle w:val="Heading3"/>
      </w:pPr>
      <w:r>
        <w:rPr>
          <w:rFonts w:cs="Times New Roman"/>
        </w:rPr>
        <w:t>3208 POTICANJE RAZVOJA TURIZMA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3208-POTICANJE RAZVOJA TURIZMA</w:t>
            </w:r>
          </w:p>
        </w:tc>
        <w:tc>
          <w:tcPr>
            <w:tcW w:w="2041" w:type="dxa"/>
          </w:tcPr>
          <w:p w:rsidR="00505632" w:rsidRDefault="00505632" w:rsidP="00AD4E52">
            <w:pPr>
              <w:pStyle w:val="CellColumn"/>
              <w:jc w:val="right"/>
            </w:pPr>
            <w:r>
              <w:rPr>
                <w:rFonts w:cs="Times New Roman"/>
              </w:rPr>
              <w:t>114.933.191</w:t>
            </w:r>
          </w:p>
        </w:tc>
        <w:tc>
          <w:tcPr>
            <w:tcW w:w="2041" w:type="dxa"/>
          </w:tcPr>
          <w:p w:rsidR="00505632" w:rsidRDefault="00505632" w:rsidP="00AD4E52">
            <w:pPr>
              <w:pStyle w:val="CellColumn"/>
              <w:jc w:val="right"/>
            </w:pPr>
            <w:r>
              <w:rPr>
                <w:rFonts w:cs="Times New Roman"/>
              </w:rPr>
              <w:t>126.087.661</w:t>
            </w:r>
          </w:p>
        </w:tc>
        <w:tc>
          <w:tcPr>
            <w:tcW w:w="2041" w:type="dxa"/>
          </w:tcPr>
          <w:p w:rsidR="00505632" w:rsidRDefault="00505632" w:rsidP="00AD4E52">
            <w:pPr>
              <w:pStyle w:val="CellColumn"/>
              <w:jc w:val="right"/>
            </w:pPr>
            <w:r>
              <w:rPr>
                <w:rFonts w:cs="Times New Roman"/>
              </w:rPr>
              <w:t>110.236.526</w:t>
            </w:r>
          </w:p>
        </w:tc>
        <w:tc>
          <w:tcPr>
            <w:tcW w:w="1224" w:type="dxa"/>
          </w:tcPr>
          <w:p w:rsidR="00505632" w:rsidRDefault="00505632" w:rsidP="00AD4E52">
            <w:pPr>
              <w:pStyle w:val="CellColumn"/>
              <w:jc w:val="right"/>
            </w:pPr>
            <w:r>
              <w:rPr>
                <w:rFonts w:cs="Times New Roman"/>
              </w:rPr>
              <w:t>87,4</w:t>
            </w:r>
          </w:p>
        </w:tc>
        <w:tc>
          <w:tcPr>
            <w:tcW w:w="1224" w:type="dxa"/>
          </w:tcPr>
          <w:p w:rsidR="00505632" w:rsidRDefault="00505632" w:rsidP="00AD4E52">
            <w:pPr>
              <w:pStyle w:val="CellColumn"/>
              <w:jc w:val="right"/>
            </w:pPr>
            <w:r>
              <w:rPr>
                <w:rFonts w:cs="Times New Roman"/>
              </w:rPr>
              <w:t>95,9</w:t>
            </w:r>
          </w:p>
        </w:tc>
      </w:tr>
    </w:tbl>
    <w:p w:rsidR="00505632" w:rsidRDefault="00505632" w:rsidP="00505632">
      <w:pPr>
        <w:jc w:val="left"/>
      </w:pPr>
    </w:p>
    <w:p w:rsidR="00505632" w:rsidRDefault="00505632" w:rsidP="00505632">
      <w:r>
        <w:t>Program je usmjeren na podizanje razine kvalitete u svim segmentima, što podrazumijeva kvalitetu same usluge, smještaja, kvalitetu kadrova, organiziranog boravka te ostalih popratnih usluga odnosno kvalitetu ukupnog turističkog doživljaja.</w:t>
      </w:r>
    </w:p>
    <w:p w:rsidR="00505632" w:rsidRDefault="00505632" w:rsidP="00505632">
      <w:pPr>
        <w:pStyle w:val="Heading8"/>
        <w:jc w:val="left"/>
      </w:pPr>
      <w:r>
        <w:t>Cilj 1. Unapređenje turističke kvalitete i sadržaja turističkog proizvoda</w:t>
      </w:r>
    </w:p>
    <w:p w:rsidR="00505632" w:rsidRDefault="00505632" w:rsidP="00505632">
      <w:pPr>
        <w:pStyle w:val="Heading8"/>
        <w:jc w:val="left"/>
      </w:pPr>
      <w:r>
        <w:t>Opis provedbe cilja programa</w:t>
      </w:r>
    </w:p>
    <w:p w:rsidR="00505632" w:rsidRDefault="00505632" w:rsidP="00505632">
      <w:r>
        <w:t xml:space="preserve">Unapređenje turističke kvalitete i sadržaja turističkog proizvoda Unapređenje turističke kvalitete i sadržaja turističkog proizvoda podrazumijeva razvoj i oblikovanje novih te poboljšanje postojećih turističkih proizvoda i usluga u cilju jačanja konkurentnosti hrvatskog turističkog tržišta.  </w:t>
      </w:r>
    </w:p>
    <w:p w:rsidR="00505632" w:rsidRDefault="00505632" w:rsidP="00505632">
      <w:r>
        <w:t xml:space="preserve">Ostvarenje postavljenog cilja uvjetuje postizanje visoke razine kvalitete u svim segmentima. To podrazumijeva kvalitetu kadra koji pruža usluge, kvalitetu same usluge, smještaja, organiziranog boravka, popratnih usluga i sadržaja odnosno kvalitetu ukupnog turističkog doživljaja. </w:t>
      </w:r>
    </w:p>
    <w:p w:rsidR="00505632" w:rsidRDefault="00505632" w:rsidP="00505632">
      <w:r>
        <w:t xml:space="preserve">Ministarstvo turizma, u skladu sa strateškim ciljem razvoja hrvatskog turizma, ali i slijedeći smjernice europske strategije razvoja, želeći poboljšati smještajni kapacitet i unaprijediti kvalitetu ponude, potiče jačanje segmenta malog i srednjeg poduzetništva u turizmu. Radi proširenja turističke ponude, povećanja potrošnje, bolje iskorištenosti prirodnih i kulturnih potencijala, povezivanja turističke ponude plave i zelene Hrvatske, Ministarstvo turizma nastavit će poticati razvoj i unapređenje posebnih oblika turizma, posebice u turistički nedovoljno razvijenim područjima. </w:t>
      </w:r>
    </w:p>
    <w:p w:rsidR="00505632" w:rsidRDefault="00505632" w:rsidP="00505632">
      <w:r>
        <w:t>Prostor i očuvani okoliš najvredniji su nacionalni turistički potencijal te su planirane   prioritetne razvojne mjere usmjerene prije svega korištenju već zauzetog prostora i postojećih turističkih kapaciteta, odnosno njihovoj obnovi i modernizaciji i općenito podizanju kvalitete u skladu sa zahtjevima turističkog tržišta.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turističkog prometa- broja ostvarenih noćenja (kumulativ)</w:t>
            </w:r>
          </w:p>
        </w:tc>
        <w:tc>
          <w:tcPr>
            <w:tcW w:w="2551" w:type="dxa"/>
          </w:tcPr>
          <w:p w:rsidR="00505632" w:rsidRDefault="00505632" w:rsidP="00AD4E52">
            <w:pPr>
              <w:pStyle w:val="CellColumn"/>
              <w:jc w:val="left"/>
            </w:pPr>
            <w:r>
              <w:rPr>
                <w:rFonts w:cs="Times New Roman"/>
              </w:rPr>
              <w:t>Povećanje turističkog prometa- broja ostvarenih noćenja (kumulativ)</w:t>
            </w:r>
          </w:p>
        </w:tc>
        <w:tc>
          <w:tcPr>
            <w:tcW w:w="1020" w:type="dxa"/>
          </w:tcPr>
          <w:p w:rsidR="00505632" w:rsidRDefault="00505632" w:rsidP="00AD4E52">
            <w:pPr>
              <w:pStyle w:val="CellColumn"/>
              <w:jc w:val="right"/>
            </w:pPr>
            <w:r>
              <w:rPr>
                <w:rFonts w:cs="Times New Roman"/>
              </w:rPr>
              <w:t>Broj noćenja</w:t>
            </w:r>
          </w:p>
        </w:tc>
        <w:tc>
          <w:tcPr>
            <w:tcW w:w="1020" w:type="dxa"/>
          </w:tcPr>
          <w:p w:rsidR="00505632" w:rsidRDefault="00505632" w:rsidP="00AD4E52">
            <w:pPr>
              <w:pStyle w:val="CellColumn"/>
              <w:jc w:val="right"/>
            </w:pPr>
            <w:r>
              <w:rPr>
                <w:rFonts w:cs="Times New Roman"/>
              </w:rPr>
              <w:t>71.605.315</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67.813.626</w:t>
            </w:r>
          </w:p>
        </w:tc>
        <w:tc>
          <w:tcPr>
            <w:tcW w:w="1020" w:type="dxa"/>
          </w:tcPr>
          <w:p w:rsidR="00505632" w:rsidRDefault="00505632" w:rsidP="00AD4E52">
            <w:pPr>
              <w:pStyle w:val="CellColumn"/>
              <w:jc w:val="right"/>
            </w:pPr>
            <w:r>
              <w:rPr>
                <w:rFonts w:cs="Times New Roman"/>
              </w:rPr>
              <w:t>78.049.852</w:t>
            </w:r>
          </w:p>
        </w:tc>
      </w:tr>
    </w:tbl>
    <w:p w:rsidR="00505632" w:rsidRDefault="00505632" w:rsidP="00505632">
      <w:pPr>
        <w:jc w:val="left"/>
      </w:pPr>
    </w:p>
    <w:p w:rsidR="00505632" w:rsidRDefault="00505632" w:rsidP="00505632">
      <w:pPr>
        <w:pStyle w:val="Heading4"/>
      </w:pPr>
      <w:r>
        <w:t>A587006 MEĐUNARODNA SURADNJA</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A587006-MEĐUNARODNA SURADNJA</w:t>
            </w:r>
          </w:p>
        </w:tc>
        <w:tc>
          <w:tcPr>
            <w:tcW w:w="2041" w:type="dxa"/>
          </w:tcPr>
          <w:p w:rsidR="00505632" w:rsidRDefault="00505632" w:rsidP="00AD4E52">
            <w:pPr>
              <w:pStyle w:val="CellColumn"/>
              <w:jc w:val="right"/>
            </w:pPr>
            <w:r>
              <w:rPr>
                <w:rFonts w:cs="Times New Roman"/>
              </w:rPr>
              <w:t>2.770.817</w:t>
            </w:r>
          </w:p>
        </w:tc>
        <w:tc>
          <w:tcPr>
            <w:tcW w:w="2041" w:type="dxa"/>
          </w:tcPr>
          <w:p w:rsidR="00505632" w:rsidRDefault="00505632" w:rsidP="00AD4E52">
            <w:pPr>
              <w:pStyle w:val="CellColumn"/>
              <w:jc w:val="right"/>
            </w:pPr>
            <w:r>
              <w:rPr>
                <w:rFonts w:cs="Times New Roman"/>
              </w:rPr>
              <w:t>1.786.000</w:t>
            </w:r>
          </w:p>
        </w:tc>
        <w:tc>
          <w:tcPr>
            <w:tcW w:w="2041" w:type="dxa"/>
          </w:tcPr>
          <w:p w:rsidR="00505632" w:rsidRDefault="00505632" w:rsidP="00AD4E52">
            <w:pPr>
              <w:pStyle w:val="CellColumn"/>
              <w:jc w:val="right"/>
            </w:pPr>
            <w:r>
              <w:rPr>
                <w:rFonts w:cs="Times New Roman"/>
              </w:rPr>
              <w:t>1.599.999</w:t>
            </w:r>
          </w:p>
        </w:tc>
        <w:tc>
          <w:tcPr>
            <w:tcW w:w="1224" w:type="dxa"/>
          </w:tcPr>
          <w:p w:rsidR="00505632" w:rsidRDefault="00505632" w:rsidP="00AD4E52">
            <w:pPr>
              <w:pStyle w:val="CellColumn"/>
              <w:jc w:val="right"/>
            </w:pPr>
            <w:r>
              <w:rPr>
                <w:rFonts w:cs="Times New Roman"/>
              </w:rPr>
              <w:t>89,6</w:t>
            </w:r>
          </w:p>
        </w:tc>
        <w:tc>
          <w:tcPr>
            <w:tcW w:w="1224" w:type="dxa"/>
          </w:tcPr>
          <w:p w:rsidR="00505632" w:rsidRDefault="00505632" w:rsidP="00AD4E52">
            <w:pPr>
              <w:pStyle w:val="CellColumn"/>
              <w:jc w:val="right"/>
            </w:pPr>
            <w:r>
              <w:rPr>
                <w:rFonts w:cs="Times New Roman"/>
              </w:rPr>
              <w:t>57,7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o potvrđivanju Statuta Svjetske turističke organizacije (NN10/97), Zakon o sklapanju  i izvršavanju međunarodnih ugovora(NN 28/96),Odluka o davanju suglasnosti za pristupanje Republike Hrvatske EPA(NN 3/16- međunarodni ugovori)</w:t>
      </w:r>
    </w:p>
    <w:p w:rsidR="00505632" w:rsidRDefault="00505632" w:rsidP="00505632">
      <w:pPr>
        <w:pStyle w:val="Heading8"/>
        <w:jc w:val="left"/>
      </w:pPr>
      <w:r>
        <w:t>Opis aktivnosti</w:t>
      </w:r>
    </w:p>
    <w:p w:rsidR="00505632" w:rsidRDefault="00505632" w:rsidP="00505632">
      <w:r>
        <w:t>Ovi rashodi planirani su za 2016. godinu u iznosu od 1.786.000,00 kn, a izvršeni u iznosu od 1.599.999,00 kn, što je izvršenje od 89,60 %. Najveću stavku rashoda čini članarina Svjetskoj turističkoj organizaciji (UNWTO ) za koju je utrošeno 984.481,42 kune. Tijekom 2016. godine uplaćen je i članarina Vijeću Europe (Institut za kulturne rute) od trena prihvaćanja u članstvo u iznosu od 21.764,33 kuna, dobrovoljni prilog za partnerstvo u Odboru za turizam OECD-a u iznosu od 112.553,07 kuna, te članarine za EUROVELO u iznosu od 10.230,10 kuna. Rashodi za Intelektulane usluge su plaćeni u iznosu od 231.562,50 kuna, službena putovanja, prijevoz, reprezentacija u iznosu od 239.407,00 kuna.</w:t>
      </w:r>
    </w:p>
    <w:p w:rsidR="00505632" w:rsidRDefault="00505632" w:rsidP="00505632">
      <w:pPr>
        <w:pStyle w:val="Heading4"/>
      </w:pPr>
      <w:r>
        <w:t>A587014 JAČANJE TURISTIČKOG TRŽIŠTA I LJUDSKIH POTENCIJALA U TURIZMU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A587014-JAČANJE TURISTIČKOG TRŽIŠTA I LJUDSKIH POTENCIJALA U TURIZMU</w:t>
            </w:r>
          </w:p>
        </w:tc>
        <w:tc>
          <w:tcPr>
            <w:tcW w:w="2041" w:type="dxa"/>
          </w:tcPr>
          <w:p w:rsidR="00505632" w:rsidRDefault="00505632" w:rsidP="00AD4E52">
            <w:pPr>
              <w:pStyle w:val="CellColumn"/>
              <w:jc w:val="right"/>
            </w:pPr>
            <w:r>
              <w:rPr>
                <w:rFonts w:cs="Times New Roman"/>
              </w:rPr>
              <w:t>4.975.771</w:t>
            </w:r>
          </w:p>
        </w:tc>
        <w:tc>
          <w:tcPr>
            <w:tcW w:w="2041" w:type="dxa"/>
          </w:tcPr>
          <w:p w:rsidR="00505632" w:rsidRDefault="00505632" w:rsidP="00AD4E52">
            <w:pPr>
              <w:pStyle w:val="CellColumn"/>
              <w:jc w:val="right"/>
            </w:pPr>
            <w:r>
              <w:rPr>
                <w:rFonts w:cs="Times New Roman"/>
              </w:rPr>
              <w:t>6.326.900</w:t>
            </w:r>
          </w:p>
        </w:tc>
        <w:tc>
          <w:tcPr>
            <w:tcW w:w="2041" w:type="dxa"/>
          </w:tcPr>
          <w:p w:rsidR="00505632" w:rsidRDefault="00505632" w:rsidP="00AD4E52">
            <w:pPr>
              <w:pStyle w:val="CellColumn"/>
              <w:jc w:val="right"/>
            </w:pPr>
            <w:r>
              <w:rPr>
                <w:rFonts w:cs="Times New Roman"/>
              </w:rPr>
              <w:t>5.654.354</w:t>
            </w:r>
          </w:p>
        </w:tc>
        <w:tc>
          <w:tcPr>
            <w:tcW w:w="1224" w:type="dxa"/>
          </w:tcPr>
          <w:p w:rsidR="00505632" w:rsidRDefault="00505632" w:rsidP="00AD4E52">
            <w:pPr>
              <w:pStyle w:val="CellColumn"/>
              <w:jc w:val="right"/>
            </w:pPr>
            <w:r>
              <w:rPr>
                <w:rFonts w:cs="Times New Roman"/>
              </w:rPr>
              <w:t>89,4</w:t>
            </w:r>
          </w:p>
        </w:tc>
        <w:tc>
          <w:tcPr>
            <w:tcW w:w="1224" w:type="dxa"/>
          </w:tcPr>
          <w:p w:rsidR="00505632" w:rsidRDefault="00505632" w:rsidP="00AD4E52">
            <w:pPr>
              <w:pStyle w:val="CellColumn"/>
              <w:jc w:val="right"/>
            </w:pPr>
            <w:r>
              <w:rPr>
                <w:rFonts w:cs="Times New Roman"/>
              </w:rPr>
              <w:t>113,6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Strategija razvoja turizma Republike Hrvatske do 2020. godine (NN 55/13), Program jačanja konkurentnosti ljudskih potencijala u turizmu</w:t>
      </w:r>
    </w:p>
    <w:p w:rsidR="00505632" w:rsidRDefault="00505632" w:rsidP="00505632">
      <w:pPr>
        <w:pStyle w:val="Heading8"/>
        <w:jc w:val="left"/>
      </w:pPr>
      <w:r>
        <w:t>Opis aktivnosti</w:t>
      </w:r>
    </w:p>
    <w:p w:rsidR="00505632" w:rsidRDefault="00505632" w:rsidP="00505632">
      <w:r>
        <w:t xml:space="preserve">Strategijom razvoj turizma Republike Hrvatske do 2020. Postavljen je glavni cilj razvoja hrvatskog turizma – povećanje njegove atraktivnosti i konkurentnosti, što će rezultirati ulaskom u vodećih 20 turističkih destinacija u svijetu po kriteriju konkurentnosti. </w:t>
      </w:r>
      <w:r>
        <w:tab/>
        <w:t xml:space="preserve"> </w:t>
      </w:r>
    </w:p>
    <w:p w:rsidR="00505632" w:rsidRDefault="00505632" w:rsidP="00505632">
      <w:r>
        <w:t xml:space="preserve">Da bi se ovaj cilj mogao ostvariti, neophodno je postaviti osnove za jačanje konkurentnosti turističkog proizvoda Hrvatske na svjetskom turističkom tržištu što podrazumijeva: jačanje ljudskih potencijala u turizmu kroz Program poticanja obrazovanja i obuke kadrova u ugostiteljstvu i turizmu kojim se animiraju mladi za zanimanja u turizmu i ugostiteljstvu, utječe na intenziviranje suradnje između obrazovnog i privatnog sektora kroz stipendije, potiče stručno usavršavanje nastavnog kadra i uključivanje učenika u aktivnosti promocije zanimanja; jačanje strukovnih udruga kao predstavnika privatnog sektora u turizmu i partnera javnom sektoru u provedbi Strategije. </w:t>
      </w:r>
    </w:p>
    <w:p w:rsidR="00505632" w:rsidRDefault="00505632" w:rsidP="00505632">
      <w:r>
        <w:t xml:space="preserve"> </w:t>
      </w:r>
    </w:p>
    <w:p w:rsidR="00505632" w:rsidRDefault="00505632" w:rsidP="00505632">
      <w:r>
        <w:t xml:space="preserve">Ministarstvo je financiralo programe  namijenjene stručnom usavršavanju i cjeloživotnom obrazovanju kroz strukovne udruge. Kroz programe je prema izvješćima prošlo 747 polaznika.   </w:t>
      </w:r>
    </w:p>
    <w:p w:rsidR="00505632" w:rsidRDefault="00505632" w:rsidP="00505632">
      <w:r>
        <w:t>Ministarstvo je u školskoj godini  2015./2016. potpisalo tripartitne ugovore o stipendiranju s 51 novim učenikom, u školskoj godini 2016/2017. je Ministarstvo potpisalo tripartitne ugovore o stipendiranju s 229 novih učenika a kroz program „Promocija zanimanja“ financiralo je 22 projekta srednjih strukovnih i umjetničkih škola za potrebe turizma u školskoj godini  2015./2016. a 15 projekata srednjih strukovnih i umjetničkih škola za potrebe turizma u školskoj godini 2016./2017.</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sudionika cjeloživotnog usavršavanja (kumuativ)</w:t>
            </w:r>
          </w:p>
        </w:tc>
        <w:tc>
          <w:tcPr>
            <w:tcW w:w="2551" w:type="dxa"/>
          </w:tcPr>
          <w:p w:rsidR="00505632" w:rsidRDefault="00505632" w:rsidP="00AD4E52">
            <w:pPr>
              <w:pStyle w:val="CellColumn"/>
              <w:jc w:val="left"/>
            </w:pPr>
            <w:r>
              <w:rPr>
                <w:rFonts w:cs="Times New Roman"/>
              </w:rPr>
              <w:t>Povećanje broja sudionika cjeloživotnog usavršavanja (kumuativ)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5.049</w:t>
            </w:r>
          </w:p>
        </w:tc>
        <w:tc>
          <w:tcPr>
            <w:tcW w:w="1020" w:type="dxa"/>
          </w:tcPr>
          <w:p w:rsidR="00505632" w:rsidRDefault="00505632" w:rsidP="00AD4E52">
            <w:pPr>
              <w:pStyle w:val="CellColumn"/>
              <w:jc w:val="right"/>
            </w:pPr>
            <w:r>
              <w:rPr>
                <w:rFonts w:cs="Times New Roman"/>
              </w:rPr>
              <w:t>MINT</w:t>
            </w:r>
          </w:p>
        </w:tc>
        <w:tc>
          <w:tcPr>
            <w:tcW w:w="1020" w:type="dxa"/>
          </w:tcPr>
          <w:p w:rsidR="00505632" w:rsidRDefault="00505632" w:rsidP="00AD4E52">
            <w:pPr>
              <w:pStyle w:val="CellColumn"/>
              <w:jc w:val="right"/>
            </w:pPr>
            <w:r>
              <w:rPr>
                <w:rFonts w:cs="Times New Roman"/>
              </w:rPr>
              <w:t>5.100</w:t>
            </w:r>
          </w:p>
        </w:tc>
        <w:tc>
          <w:tcPr>
            <w:tcW w:w="1020" w:type="dxa"/>
          </w:tcPr>
          <w:p w:rsidR="00505632" w:rsidRDefault="00505632" w:rsidP="00AD4E52">
            <w:pPr>
              <w:pStyle w:val="CellColumn"/>
              <w:jc w:val="right"/>
            </w:pPr>
            <w:r>
              <w:rPr>
                <w:rFonts w:cs="Times New Roman"/>
              </w:rPr>
              <w:t>5.100</w:t>
            </w:r>
          </w:p>
        </w:tc>
      </w:tr>
      <w:tr w:rsidR="00505632" w:rsidTr="00AD4E52">
        <w:trPr>
          <w:jc w:val="center"/>
        </w:trPr>
        <w:tc>
          <w:tcPr>
            <w:tcW w:w="2551" w:type="dxa"/>
          </w:tcPr>
          <w:p w:rsidR="00505632" w:rsidRDefault="00505632" w:rsidP="00AD4E52">
            <w:pPr>
              <w:pStyle w:val="CellColumn"/>
              <w:jc w:val="left"/>
            </w:pPr>
            <w:r>
              <w:rPr>
                <w:rFonts w:cs="Times New Roman"/>
              </w:rPr>
              <w:t>Povećanje udjela učenika upisanih                                                                                                                                          u prve razr. u ugostiteljsko-turistička zanimanja ubroju ukupno upisanih u strukovna zanimanja</w:t>
            </w:r>
          </w:p>
        </w:tc>
        <w:tc>
          <w:tcPr>
            <w:tcW w:w="2551" w:type="dxa"/>
          </w:tcPr>
          <w:p w:rsidR="00505632" w:rsidRDefault="00505632" w:rsidP="00AD4E52">
            <w:pPr>
              <w:pStyle w:val="CellColumn"/>
              <w:jc w:val="left"/>
            </w:pPr>
            <w:r>
              <w:rPr>
                <w:rFonts w:cs="Times New Roman"/>
              </w:rPr>
              <w:t>Povećanje udjela učenika upisanih                                                                                                                                          u prve razr. u ugostiteljsko-turistička zanimanja ubroju ukupno upisanih u strukovna zanimanja</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10,90%</w:t>
            </w:r>
          </w:p>
        </w:tc>
        <w:tc>
          <w:tcPr>
            <w:tcW w:w="1020" w:type="dxa"/>
          </w:tcPr>
          <w:p w:rsidR="00505632" w:rsidRDefault="00505632" w:rsidP="00AD4E52">
            <w:pPr>
              <w:pStyle w:val="CellColumn"/>
              <w:jc w:val="right"/>
            </w:pPr>
            <w:r>
              <w:rPr>
                <w:rFonts w:cs="Times New Roman"/>
              </w:rPr>
              <w:t>MZOS</w:t>
            </w:r>
          </w:p>
        </w:tc>
        <w:tc>
          <w:tcPr>
            <w:tcW w:w="1020" w:type="dxa"/>
          </w:tcPr>
          <w:p w:rsidR="00505632" w:rsidRDefault="00505632" w:rsidP="00AD4E52">
            <w:pPr>
              <w:pStyle w:val="CellColumn"/>
              <w:jc w:val="right"/>
            </w:pPr>
            <w:r>
              <w:rPr>
                <w:rFonts w:cs="Times New Roman"/>
              </w:rPr>
              <w:t>11%</w:t>
            </w:r>
          </w:p>
        </w:tc>
        <w:tc>
          <w:tcPr>
            <w:tcW w:w="1020" w:type="dxa"/>
          </w:tcPr>
          <w:p w:rsidR="00505632" w:rsidRDefault="00505632" w:rsidP="00AD4E52">
            <w:pPr>
              <w:pStyle w:val="CellColumn"/>
              <w:jc w:val="right"/>
            </w:pPr>
            <w:r>
              <w:rPr>
                <w:rFonts w:cs="Times New Roman"/>
              </w:rPr>
              <w:t>11%</w:t>
            </w:r>
          </w:p>
        </w:tc>
      </w:tr>
    </w:tbl>
    <w:p w:rsidR="00505632" w:rsidRDefault="00505632" w:rsidP="00505632">
      <w:pPr>
        <w:jc w:val="left"/>
      </w:pPr>
    </w:p>
    <w:p w:rsidR="00505632" w:rsidRDefault="00505632" w:rsidP="00505632">
      <w:pPr>
        <w:pStyle w:val="Heading4"/>
      </w:pPr>
      <w:r>
        <w:t>A587018 PROGRAMI SUBVENCIONIRANJA KREDITNIH PROGRAMA U TURIZMU</w:t>
      </w:r>
    </w:p>
    <w:tbl>
      <w:tblPr>
        <w:tblStyle w:val="StilTablice"/>
        <w:tblW w:w="10206" w:type="dxa"/>
        <w:jc w:val="center"/>
        <w:tblLook w:val="04A0" w:firstRow="1" w:lastRow="0" w:firstColumn="1" w:lastColumn="0" w:noHBand="0" w:noVBand="1"/>
      </w:tblPr>
      <w:tblGrid>
        <w:gridCol w:w="2115"/>
        <w:gridCol w:w="1900"/>
        <w:gridCol w:w="1900"/>
        <w:gridCol w:w="1900"/>
        <w:gridCol w:w="1188"/>
        <w:gridCol w:w="120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A587018-PROGRAMI SUBVENCIONIRANJA KREDITNIH PROGRAMA U TURIZMU</w:t>
            </w:r>
          </w:p>
        </w:tc>
        <w:tc>
          <w:tcPr>
            <w:tcW w:w="2041" w:type="dxa"/>
          </w:tcPr>
          <w:p w:rsidR="00505632" w:rsidRDefault="00505632" w:rsidP="00AD4E52">
            <w:pPr>
              <w:pStyle w:val="CellColumn"/>
              <w:jc w:val="right"/>
            </w:pPr>
            <w:r>
              <w:rPr>
                <w:rFonts w:cs="Times New Roman"/>
              </w:rPr>
              <w:t>25.808.189</w:t>
            </w:r>
          </w:p>
        </w:tc>
        <w:tc>
          <w:tcPr>
            <w:tcW w:w="2041" w:type="dxa"/>
          </w:tcPr>
          <w:p w:rsidR="00505632" w:rsidRDefault="00505632" w:rsidP="00AD4E52">
            <w:pPr>
              <w:pStyle w:val="CellColumn"/>
              <w:jc w:val="right"/>
            </w:pPr>
            <w:r>
              <w:rPr>
                <w:rFonts w:cs="Times New Roman"/>
              </w:rPr>
              <w:t>20.693.429</w:t>
            </w:r>
          </w:p>
        </w:tc>
        <w:tc>
          <w:tcPr>
            <w:tcW w:w="2041" w:type="dxa"/>
          </w:tcPr>
          <w:p w:rsidR="00505632" w:rsidRDefault="00505632" w:rsidP="00AD4E52">
            <w:pPr>
              <w:pStyle w:val="CellColumn"/>
              <w:jc w:val="right"/>
            </w:pPr>
            <w:r>
              <w:rPr>
                <w:rFonts w:cs="Times New Roman"/>
              </w:rPr>
              <w:t>19.944.793</w:t>
            </w:r>
          </w:p>
        </w:tc>
        <w:tc>
          <w:tcPr>
            <w:tcW w:w="1224" w:type="dxa"/>
          </w:tcPr>
          <w:p w:rsidR="00505632" w:rsidRDefault="00505632" w:rsidP="00AD4E52">
            <w:pPr>
              <w:pStyle w:val="CellColumn"/>
              <w:jc w:val="right"/>
            </w:pPr>
            <w:r>
              <w:rPr>
                <w:rFonts w:cs="Times New Roman"/>
              </w:rPr>
              <w:t>96,4</w:t>
            </w:r>
          </w:p>
        </w:tc>
        <w:tc>
          <w:tcPr>
            <w:tcW w:w="1224" w:type="dxa"/>
          </w:tcPr>
          <w:p w:rsidR="00505632" w:rsidRDefault="00505632" w:rsidP="00AD4E52">
            <w:pPr>
              <w:pStyle w:val="CellColumn"/>
              <w:jc w:val="right"/>
            </w:pPr>
            <w:r>
              <w:rPr>
                <w:rFonts w:cs="Times New Roman"/>
              </w:rPr>
              <w:t>77,3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poticanju razvoja malog gospodarstva (NN 29/02, 63/07); Zaključci Vlade RH o prihvaćanju programa od 14. ožujka 2002., 3. lipnja 2004. i 2.ožujka 2006. godine; Odluka Vlade RH o davanju suglasnosti za provedbu Programa kreditiranja seoskog turizma od 12.veljače 2009.; Zakon o poticanju razvoja malog gospodarstva (NN 29/02, 63/07, 53/12);</w:t>
      </w:r>
    </w:p>
    <w:p w:rsidR="00505632" w:rsidRDefault="00505632" w:rsidP="00505632">
      <w:pPr>
        <w:pStyle w:val="Heading8"/>
        <w:jc w:val="left"/>
      </w:pPr>
      <w:r>
        <w:t>Opis aktivnosti</w:t>
      </w:r>
    </w:p>
    <w:p w:rsidR="00505632" w:rsidRDefault="00505632" w:rsidP="00505632">
      <w:r>
        <w:t>Aktivnost se odnosi na programe s poticajnim mjerama za razvoj malog poduzetništva u turizmu i za razvoj seoskog turizma u ruralnim i turistički nerazvijenim područjima Hrvatske. Potpora je u vidu subvencije dijela kamatne stope u kreditima, odobrenim prema uvjetima iz tri kreditna programa: Program „Poticaj za uspjeh“ (u primjeni od 2002.-2009.), Program „Razvoj turizma u malom gospodarstvu“ (u primjeni od 2000.-2003.) i Program „Razvoj turizma na selu“ (u primjeni od 2009.-2011.). Ministarstvo turizma, poslovne banke i HBOR ugovorili su suradnju u provedbi ovih Programa. Banke su s poduzetnicima zaključile ugovore o kreditu sa subvencijom. Namjena kredita, bila je izgradnja i uređenje smještajnih ugostiteljsko-turističkih objekata s pratećim sadržajima u kojima ugostiteljsku djelatnost obavljaju poduzetnici korisnici kredita i potpore. Iako, ovi Programi više nisu aktivni, Ministarstvo je u obvezi plaćanja subvencije do konačne otplate svakog pojedinog kredita.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stalnih postelja u svim vrstama smještajnih objekata (kumulativ)</w:t>
            </w:r>
          </w:p>
        </w:tc>
        <w:tc>
          <w:tcPr>
            <w:tcW w:w="2551" w:type="dxa"/>
          </w:tcPr>
          <w:p w:rsidR="00505632" w:rsidRDefault="00505632" w:rsidP="00AD4E52">
            <w:pPr>
              <w:pStyle w:val="CellColumn"/>
              <w:jc w:val="left"/>
            </w:pPr>
            <w:r>
              <w:rPr>
                <w:rFonts w:cs="Times New Roman"/>
              </w:rPr>
              <w:t>Povećanje ukupnih smještajnih kapaciteta</w:t>
            </w:r>
          </w:p>
        </w:tc>
        <w:tc>
          <w:tcPr>
            <w:tcW w:w="1020" w:type="dxa"/>
          </w:tcPr>
          <w:p w:rsidR="00505632" w:rsidRDefault="00505632" w:rsidP="00AD4E52">
            <w:pPr>
              <w:pStyle w:val="CellColumn"/>
              <w:jc w:val="right"/>
            </w:pPr>
            <w:r>
              <w:rPr>
                <w:rFonts w:cs="Times New Roman"/>
              </w:rPr>
              <w:t>Broj postelja</w:t>
            </w:r>
          </w:p>
        </w:tc>
        <w:tc>
          <w:tcPr>
            <w:tcW w:w="1020" w:type="dxa"/>
          </w:tcPr>
          <w:p w:rsidR="00505632" w:rsidRDefault="00505632" w:rsidP="00AD4E52">
            <w:pPr>
              <w:pStyle w:val="CellColumn"/>
              <w:jc w:val="right"/>
            </w:pPr>
            <w:r>
              <w:rPr>
                <w:rFonts w:cs="Times New Roman"/>
              </w:rPr>
              <w:t>942.830</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952.258</w:t>
            </w:r>
          </w:p>
        </w:tc>
        <w:tc>
          <w:tcPr>
            <w:tcW w:w="1020" w:type="dxa"/>
          </w:tcPr>
          <w:p w:rsidR="00505632" w:rsidRDefault="00505632" w:rsidP="00AD4E52">
            <w:pPr>
              <w:pStyle w:val="CellColumn"/>
              <w:jc w:val="right"/>
            </w:pPr>
            <w:r>
              <w:rPr>
                <w:rFonts w:cs="Times New Roman"/>
              </w:rPr>
              <w:t>975.356</w:t>
            </w:r>
          </w:p>
        </w:tc>
      </w:tr>
      <w:tr w:rsidR="00505632" w:rsidTr="00AD4E52">
        <w:trPr>
          <w:jc w:val="center"/>
        </w:trPr>
        <w:tc>
          <w:tcPr>
            <w:tcW w:w="2551" w:type="dxa"/>
          </w:tcPr>
          <w:p w:rsidR="00505632" w:rsidRDefault="00505632" w:rsidP="00AD4E52">
            <w:pPr>
              <w:pStyle w:val="CellColumn"/>
              <w:jc w:val="left"/>
            </w:pPr>
            <w:r>
              <w:rPr>
                <w:rFonts w:cs="Times New Roman"/>
              </w:rPr>
              <w:t>Povećanje prosječne godišnje popunjenosti smještajnih kapaciteta (kumulativ)</w:t>
            </w:r>
          </w:p>
        </w:tc>
        <w:tc>
          <w:tcPr>
            <w:tcW w:w="2551" w:type="dxa"/>
          </w:tcPr>
          <w:p w:rsidR="00505632" w:rsidRDefault="00505632" w:rsidP="00AD4E52">
            <w:pPr>
              <w:pStyle w:val="CellColumn"/>
              <w:jc w:val="left"/>
            </w:pPr>
            <w:r>
              <w:rPr>
                <w:rFonts w:cs="Times New Roman"/>
              </w:rPr>
              <w:t>Povećanje prosječne godišnje popunjenosti smještajnih kapaciteta (kumulativ)</w:t>
            </w:r>
          </w:p>
        </w:tc>
        <w:tc>
          <w:tcPr>
            <w:tcW w:w="1020" w:type="dxa"/>
          </w:tcPr>
          <w:p w:rsidR="00505632" w:rsidRDefault="00505632" w:rsidP="00AD4E52">
            <w:pPr>
              <w:pStyle w:val="CellColumn"/>
              <w:jc w:val="right"/>
            </w:pPr>
            <w:r>
              <w:rPr>
                <w:rFonts w:cs="Times New Roman"/>
              </w:rPr>
              <w:t>Broj dana</w:t>
            </w:r>
          </w:p>
        </w:tc>
        <w:tc>
          <w:tcPr>
            <w:tcW w:w="1020" w:type="dxa"/>
          </w:tcPr>
          <w:p w:rsidR="00505632" w:rsidRDefault="00505632" w:rsidP="00AD4E52">
            <w:pPr>
              <w:pStyle w:val="CellColumn"/>
              <w:jc w:val="right"/>
            </w:pPr>
            <w:r>
              <w:rPr>
                <w:rFonts w:cs="Times New Roman"/>
              </w:rPr>
              <w:t>69</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69,69</w:t>
            </w:r>
          </w:p>
        </w:tc>
        <w:tc>
          <w:tcPr>
            <w:tcW w:w="1020" w:type="dxa"/>
          </w:tcPr>
          <w:p w:rsidR="00505632" w:rsidRDefault="00505632" w:rsidP="00AD4E52">
            <w:pPr>
              <w:pStyle w:val="CellColumn"/>
              <w:jc w:val="right"/>
            </w:pPr>
            <w:r>
              <w:rPr>
                <w:rFonts w:cs="Times New Roman"/>
              </w:rPr>
              <w:t>74</w:t>
            </w:r>
          </w:p>
        </w:tc>
      </w:tr>
    </w:tbl>
    <w:p w:rsidR="00505632" w:rsidRDefault="00505632" w:rsidP="00505632">
      <w:pPr>
        <w:jc w:val="left"/>
      </w:pPr>
    </w:p>
    <w:p w:rsidR="00505632" w:rsidRDefault="00505632" w:rsidP="00505632">
      <w:pPr>
        <w:pStyle w:val="Heading4"/>
      </w:pPr>
      <w:r>
        <w:t>A587055 KONKURENTNOST TURISTIČKOG GOSPODARSTVA</w:t>
      </w:r>
    </w:p>
    <w:tbl>
      <w:tblPr>
        <w:tblStyle w:val="StilTablice"/>
        <w:tblW w:w="10206" w:type="dxa"/>
        <w:jc w:val="center"/>
        <w:tblLook w:val="04A0" w:firstRow="1" w:lastRow="0" w:firstColumn="1" w:lastColumn="0" w:noHBand="0" w:noVBand="1"/>
      </w:tblPr>
      <w:tblGrid>
        <w:gridCol w:w="1881"/>
        <w:gridCol w:w="1968"/>
        <w:gridCol w:w="1969"/>
        <w:gridCol w:w="1969"/>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A587055-KONKURENTNOST TURISTIČKOG GOSPODARSTVA</w:t>
            </w:r>
          </w:p>
        </w:tc>
        <w:tc>
          <w:tcPr>
            <w:tcW w:w="2041" w:type="dxa"/>
          </w:tcPr>
          <w:p w:rsidR="00505632" w:rsidRDefault="00505632" w:rsidP="00AD4E52">
            <w:pPr>
              <w:pStyle w:val="CellColumn"/>
              <w:jc w:val="right"/>
            </w:pPr>
            <w:r>
              <w:rPr>
                <w:rFonts w:cs="Times New Roman"/>
              </w:rPr>
              <w:t>23.453.882</w:t>
            </w:r>
          </w:p>
        </w:tc>
        <w:tc>
          <w:tcPr>
            <w:tcW w:w="2041" w:type="dxa"/>
          </w:tcPr>
          <w:p w:rsidR="00505632" w:rsidRDefault="00505632" w:rsidP="00AD4E52">
            <w:pPr>
              <w:pStyle w:val="CellColumn"/>
              <w:jc w:val="right"/>
            </w:pPr>
            <w:r>
              <w:rPr>
                <w:rFonts w:cs="Times New Roman"/>
              </w:rPr>
              <w:t>25.545.000</w:t>
            </w:r>
          </w:p>
        </w:tc>
        <w:tc>
          <w:tcPr>
            <w:tcW w:w="2041" w:type="dxa"/>
          </w:tcPr>
          <w:p w:rsidR="00505632" w:rsidRDefault="00505632" w:rsidP="00AD4E52">
            <w:pPr>
              <w:pStyle w:val="CellColumn"/>
              <w:jc w:val="right"/>
            </w:pPr>
            <w:r>
              <w:rPr>
                <w:rFonts w:cs="Times New Roman"/>
              </w:rPr>
              <w:t>24.443.556</w:t>
            </w:r>
          </w:p>
        </w:tc>
        <w:tc>
          <w:tcPr>
            <w:tcW w:w="1224" w:type="dxa"/>
          </w:tcPr>
          <w:p w:rsidR="00505632" w:rsidRDefault="00505632" w:rsidP="00AD4E52">
            <w:pPr>
              <w:pStyle w:val="CellColumn"/>
              <w:jc w:val="right"/>
            </w:pPr>
            <w:r>
              <w:rPr>
                <w:rFonts w:cs="Times New Roman"/>
              </w:rPr>
              <w:t>95,7</w:t>
            </w:r>
          </w:p>
        </w:tc>
        <w:tc>
          <w:tcPr>
            <w:tcW w:w="1224" w:type="dxa"/>
          </w:tcPr>
          <w:p w:rsidR="00505632" w:rsidRDefault="00505632" w:rsidP="00AD4E52">
            <w:pPr>
              <w:pStyle w:val="CellColumn"/>
              <w:jc w:val="right"/>
            </w:pPr>
            <w:r>
              <w:rPr>
                <w:rFonts w:cs="Times New Roman"/>
              </w:rPr>
              <w:t>104,2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Strategija razvoja turizma Republike Hrvatske do 2020. godine, Zakon o državnim potporama (NN 47/14), Zakon o ugostiteljskoj djelatnosti (NN 85/15; NN 121/16), Zakon o pružanju usluga u turizmu (NN 68/07; NN 88/10; NN 30/14; NN 89/14; NN 152/14), Državni proračun Republike Hrvatske i Zakon o izvršavanju državnog proračuna republike Hrvatske za 2017. godinu (NN 26/16)</w:t>
      </w:r>
    </w:p>
    <w:p w:rsidR="00505632" w:rsidRDefault="00505632" w:rsidP="00505632">
      <w:pPr>
        <w:pStyle w:val="Heading8"/>
        <w:jc w:val="left"/>
      </w:pPr>
      <w:r>
        <w:t>Opis aktivnosti</w:t>
      </w:r>
    </w:p>
    <w:p w:rsidR="00505632" w:rsidRDefault="00505632" w:rsidP="00505632">
      <w:r>
        <w:t xml:space="preserve">U skladu sa Strategijom razvoja turizma Republike Hrvatske do 2020. g., Ministarstvo je tijekom 2016. god. provodilo Program dodjele bespovratnih sredstava za podizanje konkurentnosti turističkog gospodarstva kroz ciljanu potporu ulaganjima u povećanje kvalitete i dodatne ponude smještajnih ugostiteljskih objekata, razvoj novih i inovativnih proizvoda, održivi razvoj, u cilju očuvanja radnih mjesta, novog zapošljavanja, rasta i razvoja turističkog gospodarstva, produljenja sezone, te razvoja turizma na turistički nerazvijenim područjima. Korisnici potpora male vrijednosti temeljem ovog Programa su:  </w:t>
      </w:r>
    </w:p>
    <w:p w:rsidR="00505632" w:rsidRDefault="00505632" w:rsidP="00505632">
      <w:r>
        <w:t xml:space="preserve">- subjekti malog gospodarstva (trgovačka društva izvan javnog sektora, obrti i zadruge) </w:t>
      </w:r>
    </w:p>
    <w:p w:rsidR="00505632" w:rsidRDefault="00505632" w:rsidP="00505632">
      <w:r>
        <w:t xml:space="preserve">- OPG – obiteljska poljoprivredna gospodarstva koja pružaju ugostiteljske i/ili turističke usluge </w:t>
      </w:r>
    </w:p>
    <w:p w:rsidR="00505632" w:rsidRDefault="00505632" w:rsidP="00505632">
      <w:r>
        <w:t xml:space="preserve">- privatni iznajmljivači  </w:t>
      </w:r>
    </w:p>
    <w:p w:rsidR="00505632" w:rsidRDefault="00505632" w:rsidP="00505632">
      <w:r>
        <w:t xml:space="preserve">Namjena dodijeljenih bespovratnih sredstava je u skladu sa prihvatljivim aktivnostima definiranih po Mjerama Programa:  </w:t>
      </w:r>
    </w:p>
    <w:p w:rsidR="00505632" w:rsidRDefault="00505632" w:rsidP="00505632">
      <w:r>
        <w:t xml:space="preserve">• Mjera A - povećanje standarda, kvalitete i dodatne ponude ugostiteljskih objekata vrste: hoteli, kampovi i druge vrste smještaja, seljačka domaćinstva i objekti u domaćinstvu </w:t>
      </w:r>
    </w:p>
    <w:p w:rsidR="00505632" w:rsidRDefault="00505632" w:rsidP="00505632">
      <w:r>
        <w:t xml:space="preserve">• Mjera B - razvoj posebnih oblika turizma </w:t>
      </w:r>
    </w:p>
    <w:p w:rsidR="00505632" w:rsidRDefault="00505632" w:rsidP="00505632">
      <w:r>
        <w:t xml:space="preserve">• Mjera C – sigurnost (javno dostupna defibrilacija) </w:t>
      </w:r>
    </w:p>
    <w:p w:rsidR="00505632" w:rsidRDefault="00505632" w:rsidP="00505632">
      <w:r>
        <w:t xml:space="preserve">• Mjera D – prepoznatljivost (plasman otočnih proizvoda) </w:t>
      </w:r>
    </w:p>
    <w:p w:rsidR="00505632" w:rsidRDefault="00505632" w:rsidP="00505632">
      <w:r>
        <w:t xml:space="preserve"> </w:t>
      </w:r>
    </w:p>
    <w:p w:rsidR="00505632" w:rsidRDefault="00505632" w:rsidP="00505632">
      <w:r>
        <w:t>Od ukopno 885 prijavljenih projekata, potpora je dodijeljena za 508 projekata. Provedba projektnih aktivnosti doprinosi povećanju broja i kvalitete smještajnih jedinica kao i povećanju prosječne godišnje popunjenosti smještajnih kapaciteta na nacionalnoj razini.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stalnih postelja u svim vrstama smještajnih objekata (kumulativ)</w:t>
            </w:r>
          </w:p>
        </w:tc>
        <w:tc>
          <w:tcPr>
            <w:tcW w:w="2551" w:type="dxa"/>
          </w:tcPr>
          <w:p w:rsidR="00505632" w:rsidRDefault="00505632" w:rsidP="00AD4E52">
            <w:pPr>
              <w:pStyle w:val="CellColumn"/>
              <w:jc w:val="left"/>
            </w:pPr>
            <w:r>
              <w:rPr>
                <w:rFonts w:cs="Times New Roman"/>
              </w:rPr>
              <w:t>Povećanje ukupnih smještajnih kapaciteta</w:t>
            </w:r>
          </w:p>
        </w:tc>
        <w:tc>
          <w:tcPr>
            <w:tcW w:w="1020" w:type="dxa"/>
          </w:tcPr>
          <w:p w:rsidR="00505632" w:rsidRDefault="00505632" w:rsidP="00AD4E52">
            <w:pPr>
              <w:pStyle w:val="CellColumn"/>
              <w:jc w:val="right"/>
            </w:pPr>
            <w:r>
              <w:rPr>
                <w:rFonts w:cs="Times New Roman"/>
              </w:rPr>
              <w:t>Broj postelja</w:t>
            </w:r>
          </w:p>
        </w:tc>
        <w:tc>
          <w:tcPr>
            <w:tcW w:w="1020" w:type="dxa"/>
          </w:tcPr>
          <w:p w:rsidR="00505632" w:rsidRDefault="00505632" w:rsidP="00AD4E52">
            <w:pPr>
              <w:pStyle w:val="CellColumn"/>
              <w:jc w:val="right"/>
            </w:pPr>
            <w:r>
              <w:rPr>
                <w:rFonts w:cs="Times New Roman"/>
              </w:rPr>
              <w:t>942.830</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952.258</w:t>
            </w:r>
          </w:p>
        </w:tc>
        <w:tc>
          <w:tcPr>
            <w:tcW w:w="1020" w:type="dxa"/>
          </w:tcPr>
          <w:p w:rsidR="00505632" w:rsidRDefault="00505632" w:rsidP="00AD4E52">
            <w:pPr>
              <w:pStyle w:val="CellColumn"/>
              <w:jc w:val="right"/>
            </w:pPr>
            <w:r>
              <w:rPr>
                <w:rFonts w:cs="Times New Roman"/>
              </w:rPr>
              <w:t>975.356</w:t>
            </w:r>
          </w:p>
        </w:tc>
      </w:tr>
      <w:tr w:rsidR="00505632" w:rsidTr="00AD4E52">
        <w:trPr>
          <w:jc w:val="center"/>
        </w:trPr>
        <w:tc>
          <w:tcPr>
            <w:tcW w:w="2551" w:type="dxa"/>
          </w:tcPr>
          <w:p w:rsidR="00505632" w:rsidRDefault="00505632" w:rsidP="00AD4E52">
            <w:pPr>
              <w:pStyle w:val="CellColumn"/>
              <w:jc w:val="left"/>
            </w:pPr>
            <w:r>
              <w:rPr>
                <w:rFonts w:cs="Times New Roman"/>
              </w:rPr>
              <w:t>Povećanje prosječne godišnje popunjenosti smještajnih kapaciteta (kumulativ)</w:t>
            </w:r>
          </w:p>
        </w:tc>
        <w:tc>
          <w:tcPr>
            <w:tcW w:w="2551" w:type="dxa"/>
          </w:tcPr>
          <w:p w:rsidR="00505632" w:rsidRDefault="00505632" w:rsidP="00AD4E52">
            <w:pPr>
              <w:pStyle w:val="CellColumn"/>
              <w:jc w:val="left"/>
            </w:pPr>
            <w:r>
              <w:rPr>
                <w:rFonts w:cs="Times New Roman"/>
              </w:rPr>
              <w:t>Povećanje prosječne godišnje popunjenosti smještajnih kapaciteta (kumulativ)</w:t>
            </w:r>
          </w:p>
        </w:tc>
        <w:tc>
          <w:tcPr>
            <w:tcW w:w="1020" w:type="dxa"/>
          </w:tcPr>
          <w:p w:rsidR="00505632" w:rsidRDefault="00505632" w:rsidP="00AD4E52">
            <w:pPr>
              <w:pStyle w:val="CellColumn"/>
              <w:jc w:val="right"/>
            </w:pPr>
            <w:r>
              <w:rPr>
                <w:rFonts w:cs="Times New Roman"/>
              </w:rPr>
              <w:t>Broj dana</w:t>
            </w:r>
          </w:p>
        </w:tc>
        <w:tc>
          <w:tcPr>
            <w:tcW w:w="1020" w:type="dxa"/>
          </w:tcPr>
          <w:p w:rsidR="00505632" w:rsidRDefault="00505632" w:rsidP="00AD4E52">
            <w:pPr>
              <w:pStyle w:val="CellColumn"/>
              <w:jc w:val="right"/>
            </w:pPr>
            <w:r>
              <w:rPr>
                <w:rFonts w:cs="Times New Roman"/>
              </w:rPr>
              <w:t>69</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69,69</w:t>
            </w:r>
          </w:p>
        </w:tc>
        <w:tc>
          <w:tcPr>
            <w:tcW w:w="1020" w:type="dxa"/>
          </w:tcPr>
          <w:p w:rsidR="00505632" w:rsidRDefault="00505632" w:rsidP="00AD4E52">
            <w:pPr>
              <w:pStyle w:val="CellColumn"/>
              <w:jc w:val="right"/>
            </w:pPr>
            <w:r>
              <w:rPr>
                <w:rFonts w:cs="Times New Roman"/>
              </w:rPr>
              <w:t>74</w:t>
            </w:r>
          </w:p>
        </w:tc>
      </w:tr>
    </w:tbl>
    <w:p w:rsidR="00505632" w:rsidRDefault="00505632" w:rsidP="00505632">
      <w:pPr>
        <w:jc w:val="left"/>
      </w:pPr>
    </w:p>
    <w:p w:rsidR="00505632" w:rsidRDefault="00505632" w:rsidP="00505632">
      <w:pPr>
        <w:pStyle w:val="Heading4"/>
      </w:pPr>
      <w:r>
        <w:t>A587056 OP UČINKOVITI LJUDSKI POTENCIJALI 2014-2020, PRIORITET 2,3,5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A587056-OP UČINKOVITI LJUDSKI POTENCIJALI 2014-2020, PRIORITET 2,3,5</w:t>
            </w:r>
          </w:p>
        </w:tc>
        <w:tc>
          <w:tcPr>
            <w:tcW w:w="2041" w:type="dxa"/>
          </w:tcPr>
          <w:p w:rsidR="00505632" w:rsidRDefault="00505632" w:rsidP="00AD4E52">
            <w:pPr>
              <w:pStyle w:val="CellColumn"/>
              <w:jc w:val="right"/>
            </w:pPr>
            <w:r>
              <w:rPr>
                <w:rFonts w:cs="Times New Roman"/>
              </w:rPr>
              <w:t>7.701</w:t>
            </w:r>
          </w:p>
        </w:tc>
        <w:tc>
          <w:tcPr>
            <w:tcW w:w="2041" w:type="dxa"/>
          </w:tcPr>
          <w:p w:rsidR="00505632" w:rsidRDefault="00505632" w:rsidP="00AD4E52">
            <w:pPr>
              <w:pStyle w:val="CellColumn"/>
              <w:jc w:val="right"/>
            </w:pPr>
            <w:r>
              <w:rPr>
                <w:rFonts w:cs="Times New Roman"/>
              </w:rPr>
              <w:t>9.392.495</w:t>
            </w:r>
          </w:p>
        </w:tc>
        <w:tc>
          <w:tcPr>
            <w:tcW w:w="2041" w:type="dxa"/>
          </w:tcPr>
          <w:p w:rsidR="00505632" w:rsidRDefault="00505632" w:rsidP="00AD4E52">
            <w:pPr>
              <w:pStyle w:val="CellColumn"/>
              <w:jc w:val="right"/>
            </w:pPr>
            <w:r>
              <w:rPr>
                <w:rFonts w:cs="Times New Roman"/>
              </w:rPr>
              <w:t>1.706.380</w:t>
            </w:r>
          </w:p>
        </w:tc>
        <w:tc>
          <w:tcPr>
            <w:tcW w:w="1224" w:type="dxa"/>
          </w:tcPr>
          <w:p w:rsidR="00505632" w:rsidRDefault="00505632" w:rsidP="00AD4E52">
            <w:pPr>
              <w:pStyle w:val="CellColumn"/>
              <w:jc w:val="right"/>
            </w:pPr>
            <w:r>
              <w:rPr>
                <w:rFonts w:cs="Times New Roman"/>
              </w:rPr>
              <w:t>18,2</w:t>
            </w:r>
          </w:p>
        </w:tc>
        <w:tc>
          <w:tcPr>
            <w:tcW w:w="1224" w:type="dxa"/>
          </w:tcPr>
          <w:p w:rsidR="00505632" w:rsidRDefault="00505632" w:rsidP="00AD4E52">
            <w:pPr>
              <w:pStyle w:val="CellColumn"/>
              <w:jc w:val="right"/>
            </w:pPr>
            <w:r>
              <w:rPr>
                <w:rFonts w:cs="Times New Roman"/>
              </w:rPr>
              <w:t>22158,9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uspostavi institucionalnog okvira za provedbu europskih strukturnih i investicijskih fondova u Republici Hrvatskoj u financijskom razdoblju 2014.-2020. (NN 92/2014.), Uredba o tijelima u sustavima upravljanja i kontrole korištenja Europskog socijalnog fonda, Europskog fonda za regionalni razvoj i kohezijskog fonda, u vezi s ciljem „Ulaganje za rast i radna mjesta“ objavljena u NN 107/2014, Uredba EU br. 1303/2013 europskog parlamenta i Vijeća od 17. prosinca 2013</w:t>
      </w:r>
    </w:p>
    <w:p w:rsidR="00505632" w:rsidRDefault="00505632" w:rsidP="00505632">
      <w:pPr>
        <w:pStyle w:val="Heading8"/>
        <w:jc w:val="left"/>
      </w:pPr>
      <w:r>
        <w:t>Opis aktivnosti</w:t>
      </w:r>
    </w:p>
    <w:p w:rsidR="00505632" w:rsidRDefault="00505632" w:rsidP="00505632">
      <w:r>
        <w:t xml:space="preserve">Slijedom Zakona o uspostavi institucionalnog okvira za provedbu europskih strukturnih i investicijskih fondova u Republici Hrvatskoj u financijskom razdoblju 2014.-2020. (NN 92/2014.) te Uredbe o tijelima u sustavima upravljanja i kontrole korištenja Europskog socijalnog fonda, Europskog fonda za regionalni razvoj i kohezijskog fonda, u vezi s ciljem „Ulaganje za rast i radna mjesta“ objavljena u NN 107/2014 (a kojom se utvrđuje provedba Uredbe EU br. 1303/2013 europskog parlamenta i Vijeća od 17. Prosinca 2013.)  temeljem koje je Ministarstvo turizma imenovano Posredničkim tijelom razine 1 za Operativni program „Učinkoviti ljudski potencijali“  u prioritetnim osima „Socijalno uključivanje“ i „Obrazovanje i cijelo-životno učenje“. </w:t>
      </w:r>
    </w:p>
    <w:p w:rsidR="00505632" w:rsidRDefault="00505632" w:rsidP="00505632">
      <w:r>
        <w:t xml:space="preserve">Sredstva su bila namijenjena za pripremu i raspisivanje natječaja  za odobravanje bespovratnih sredstava u okviru prioritetnih osi kako slijedi: za prioritetnu os 2. Socijalno uključivanje, za operaciju „Poboljšanje pristupa ranjivih skupina tržištu rada u sektoru turizma i ugostiteljstva“ te za prioritetnu os 3. Obrazovanje i cjeloživotno učenje za operacije povezane s regionalnim centrima kompetentnosti za strukovno obrazovanje u turizmu i ugostiteljstvu. </w:t>
      </w:r>
    </w:p>
    <w:p w:rsidR="00505632" w:rsidRDefault="00505632" w:rsidP="00505632">
      <w:r>
        <w:t xml:space="preserve">S obzirom na to da je za izrađenu natječajnu dokumentaciju za svaki natječaj potrebno je odobrenje Posredničkog tijela razine II (HZZ) te Upravljačkog tijela Operativnog programa „Učinkoviti ljudski potencijali“ (MRMS) te da se u 2016. godini odvijao proces odobravanja natječajne dokumentacije za prioritetnu os 2. od strane navedenih tijela, natječaj je objavljen u ožujku 2017. godine, sukladno navedenom  proračunska sredstva nisu potrošena. </w:t>
      </w:r>
    </w:p>
    <w:p w:rsidR="00505632" w:rsidRDefault="00505632" w:rsidP="00505632">
      <w:r>
        <w:t xml:space="preserve"> </w:t>
      </w:r>
    </w:p>
    <w:p w:rsidR="00505632" w:rsidRDefault="00505632" w:rsidP="00505632">
      <w:r>
        <w:t xml:space="preserve">Za provedbu aktivnosti prioritetne osi 3. Obrazovanje i cjeloživotno učenje postoji ex-ante uvjet (postojanje nacionalnog ili regionalnog strateškog okvira politika za poboljšanje kvalitete sustava za strukovno obrazovanje i osposobljavanje (VET)), aktivnosti u okviru navedene prioritetne osi, ne mogu započeti dok Program razvoja strukovnog obrazovanja i osposobljavanja nije usvojen te dok se Europska komisija ne složi da je traženi preduvjet ispunjen. Budući da je Program razvoja strukovnog obrazovanja i osposobljavanja te pripadajući akcijski plan donesen 23. 12. 2016. godine, a da je Upravljačko tijelo 09.02. 2017. godine objavilo kako je Europska komisija obavijestila Ministarstvo rada i mirovinskog sustava u svojstvu upravljačkog tijela Operativnog programa Učinkoviti ljudski potencijali 2014.-2020. (OPULJP) kako su ispunjeni uvjeti za korištenje sredstava iz Europskog socijalnog fonda u području obrazovanja i dobrog upravljanja, preduvjet nije ispunjen u 2016. godini te nije bilo moguće raspisivati natječaje niti trošiti sredstva.   </w:t>
      </w:r>
    </w:p>
    <w:p w:rsidR="00505632" w:rsidRDefault="00505632" w:rsidP="00505632">
      <w:r>
        <w:t>U skladu s navedenim, iako je otvorena aktivnost i planirana su sredstva potrebna za provedbu aktivnosti stečenih imenovanjem za PT1, kako do kraja 2016. godine nisu regulirani svi preduvjeti potrebni za cjelokupno aktiviranje uloge Ministarstva kao PT1 nije bilo moguće ni realizirati sva planirana sredstva.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Porast broja zaposlenih u turizmu na godišnjoj razini (kumulativ)</w:t>
            </w:r>
          </w:p>
        </w:tc>
        <w:tc>
          <w:tcPr>
            <w:tcW w:w="2551" w:type="dxa"/>
          </w:tcPr>
          <w:p w:rsidR="00505632" w:rsidRDefault="00505632" w:rsidP="00AD4E52">
            <w:pPr>
              <w:pStyle w:val="CellColumn"/>
              <w:jc w:val="left"/>
            </w:pPr>
            <w:r>
              <w:rPr>
                <w:rFonts w:cs="Times New Roman"/>
              </w:rPr>
              <w:t>Porast broja zaposlenih u turizmu na godišnjoj razini</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84.951</w:t>
            </w:r>
          </w:p>
        </w:tc>
        <w:tc>
          <w:tcPr>
            <w:tcW w:w="1020" w:type="dxa"/>
          </w:tcPr>
          <w:p w:rsidR="00505632" w:rsidRDefault="00505632" w:rsidP="00AD4E52">
            <w:pPr>
              <w:pStyle w:val="CellColumn"/>
              <w:jc w:val="right"/>
            </w:pPr>
            <w:r>
              <w:rPr>
                <w:rFonts w:cs="Times New Roman"/>
              </w:rPr>
              <w:t>MINT</w:t>
            </w:r>
          </w:p>
        </w:tc>
        <w:tc>
          <w:tcPr>
            <w:tcW w:w="1020" w:type="dxa"/>
          </w:tcPr>
          <w:p w:rsidR="00505632" w:rsidRDefault="00505632" w:rsidP="00AD4E52">
            <w:pPr>
              <w:pStyle w:val="CellColumn"/>
              <w:jc w:val="right"/>
            </w:pPr>
            <w:r>
              <w:rPr>
                <w:rFonts w:cs="Times New Roman"/>
              </w:rPr>
              <w:t>+0,5%</w:t>
            </w:r>
          </w:p>
        </w:tc>
        <w:tc>
          <w:tcPr>
            <w:tcW w:w="1020" w:type="dxa"/>
          </w:tcPr>
          <w:p w:rsidR="00505632" w:rsidRDefault="00505632" w:rsidP="00AD4E52">
            <w:pPr>
              <w:pStyle w:val="CellColumn"/>
              <w:jc w:val="right"/>
            </w:pPr>
            <w:r>
              <w:rPr>
                <w:rFonts w:cs="Times New Roman"/>
              </w:rPr>
              <w:t>+10,9%</w:t>
            </w:r>
          </w:p>
        </w:tc>
      </w:tr>
      <w:tr w:rsidR="00505632" w:rsidTr="00AD4E52">
        <w:trPr>
          <w:jc w:val="center"/>
        </w:trPr>
        <w:tc>
          <w:tcPr>
            <w:tcW w:w="2551" w:type="dxa"/>
          </w:tcPr>
          <w:p w:rsidR="00505632" w:rsidRDefault="00505632" w:rsidP="00AD4E52">
            <w:pPr>
              <w:pStyle w:val="CellColumn"/>
              <w:jc w:val="left"/>
            </w:pPr>
            <w:r>
              <w:rPr>
                <w:rFonts w:cs="Times New Roman"/>
              </w:rPr>
              <w:t>Raspisani natječaji</w:t>
            </w:r>
          </w:p>
        </w:tc>
        <w:tc>
          <w:tcPr>
            <w:tcW w:w="2551" w:type="dxa"/>
          </w:tcPr>
          <w:p w:rsidR="00505632" w:rsidRDefault="00505632" w:rsidP="00AD4E52">
            <w:pPr>
              <w:pStyle w:val="CellColumn"/>
              <w:jc w:val="left"/>
            </w:pPr>
            <w:r>
              <w:rPr>
                <w:rFonts w:cs="Times New Roman"/>
              </w:rPr>
              <w:t>Raspisani natječaji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MINT</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pStyle w:val="Heading4"/>
      </w:pPr>
      <w:r>
        <w:t>A587057 OP KONKURENTNOST I KOHEZIJA PRIORITETI 2,3</w:t>
      </w:r>
    </w:p>
    <w:tbl>
      <w:tblPr>
        <w:tblStyle w:val="StilTablice"/>
        <w:tblW w:w="10206" w:type="dxa"/>
        <w:jc w:val="center"/>
        <w:tblLook w:val="04A0" w:firstRow="1" w:lastRow="0" w:firstColumn="1" w:lastColumn="0" w:noHBand="0" w:noVBand="1"/>
      </w:tblPr>
      <w:tblGrid>
        <w:gridCol w:w="1882"/>
        <w:gridCol w:w="1966"/>
        <w:gridCol w:w="1970"/>
        <w:gridCol w:w="1966"/>
        <w:gridCol w:w="1208"/>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A587057-OP KONKURENTNOST I KOHEZIJA PRIORITETI 2,3</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2.569.323</w:t>
            </w:r>
          </w:p>
        </w:tc>
        <w:tc>
          <w:tcPr>
            <w:tcW w:w="2041" w:type="dxa"/>
          </w:tcPr>
          <w:p w:rsidR="00505632" w:rsidRDefault="00505632" w:rsidP="00AD4E52">
            <w:pPr>
              <w:pStyle w:val="CellColumn"/>
              <w:jc w:val="right"/>
            </w:pPr>
            <w:r>
              <w:rPr>
                <w:rFonts w:cs="Times New Roman"/>
              </w:rPr>
              <w:t>125.000</w:t>
            </w:r>
          </w:p>
        </w:tc>
        <w:tc>
          <w:tcPr>
            <w:tcW w:w="1224" w:type="dxa"/>
          </w:tcPr>
          <w:p w:rsidR="00505632" w:rsidRDefault="00505632" w:rsidP="00AD4E52">
            <w:pPr>
              <w:pStyle w:val="CellColumn"/>
              <w:jc w:val="right"/>
            </w:pPr>
            <w:r>
              <w:rPr>
                <w:rFonts w:cs="Times New Roman"/>
              </w:rPr>
              <w:t>4,9</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uspostavi institucionalnog okvira za provedbu europskih strukturnih i investicijskih fondova u Republici Hrvatskoj u financijskom razdoblju 2014.-2020. (NN 92/2014.), Uredba o tijelima u sustavima upravljanja i kontrole korištenja Europskog socijalnog fonda, Europskog fonda za regionalni razvoj i kohezijskog fonda, u vezi s ciljem „Ulaganje za rast i radna mjesta“ objavljena u NN 107/2014, Uredba EU br. 1303/2013 europskog parlamenta i Vijeća od 17. prosinca 2013</w:t>
      </w:r>
    </w:p>
    <w:p w:rsidR="00505632" w:rsidRDefault="00505632" w:rsidP="00505632">
      <w:pPr>
        <w:pStyle w:val="Heading8"/>
        <w:jc w:val="left"/>
      </w:pPr>
      <w:r>
        <w:t>Opis aktivnosti</w:t>
      </w:r>
    </w:p>
    <w:p w:rsidR="00505632" w:rsidRDefault="00505632" w:rsidP="00505632">
      <w:r>
        <w:t xml:space="preserve">Temeljem Strategije e-Hrvatska 2020. Ministarstvo turizma  ima ulogu korisnika  sredstava kroz  dva povezana strateška cilja iz dva operativna programa za projekt Hrvatski digitalni turizam: </w:t>
      </w:r>
    </w:p>
    <w:p w:rsidR="00505632" w:rsidRDefault="00505632" w:rsidP="00505632">
      <w:r>
        <w:t xml:space="preserve">Operativni program konkurentnost i kohezija (SC: 2.c.1 Povećanje korištenja IKT-a u komunikaciji između građana i javne uprave putem uspostave IKT koordinacijske strukture i softverskih rješenja) </w:t>
      </w:r>
    </w:p>
    <w:p w:rsidR="00505632" w:rsidRDefault="00505632" w:rsidP="00505632">
      <w:r>
        <w:t xml:space="preserve">Operativni program učinkoviti ljudski potencijali  (SC 11.i.1  Poboljšanje institucionalnih kapaciteta, djelotvornosti i provedba reformi za dobro upravljanje u javnoj upravi te implementacija upravljanja sustavom kvalitete) Ministarstvo turizma je korisnik sredstava za Operativni program Konkurentnost i kohezija. </w:t>
      </w:r>
    </w:p>
    <w:p w:rsidR="00505632" w:rsidRDefault="00505632" w:rsidP="00505632">
      <w:r>
        <w:t xml:space="preserve">  </w:t>
      </w:r>
    </w:p>
    <w:p w:rsidR="00505632" w:rsidRDefault="00505632" w:rsidP="00505632">
      <w:r>
        <w:t>Za provedbu aktivnosti postoji ex-ante uvjet (Postojanje strateškog okvira politika za jačanje administrativne učinkovitosti države članice, uključujući javnu upravu), aktivnosti u okviru navedene prioritetne osi, ne mogu započeti dok navedeni strateški okvir nije usvojen te dok se Europska komisija ne složi da je traženi preduvjet ispunjen. Budući da je Upravljačko tijelo 09.02. 2017. godine objavilo kako je Europska komisija obavijestila Ministarstvo rada i mirovinskog sustava u svojstvu upravljačkog tijela Operativnog programa Učinkoviti ljudski potencijali 2014.-2020. (OPULJP) kako su ispunjeni uvjeti za korištenje sredstava iz Europskog socijalnog fonda u području obrazovanja i dobrog upravljanja, preduvjet nije ispunjen u 2016. godini te nije bilo moguće raspisivati natječaje niti trošiti sredstva.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sastanaka održanih u sklopu pripreme i provedbe projekata</w:t>
            </w:r>
          </w:p>
        </w:tc>
        <w:tc>
          <w:tcPr>
            <w:tcW w:w="2551" w:type="dxa"/>
          </w:tcPr>
          <w:p w:rsidR="00505632" w:rsidRDefault="00505632" w:rsidP="00AD4E52">
            <w:pPr>
              <w:pStyle w:val="CellColumn"/>
              <w:jc w:val="left"/>
            </w:pPr>
            <w:r>
              <w:rPr>
                <w:rFonts w:cs="Times New Roman"/>
              </w:rPr>
              <w:t>Sastanci kao priprema za provedbu projekta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MINT</w:t>
            </w:r>
          </w:p>
        </w:tc>
        <w:tc>
          <w:tcPr>
            <w:tcW w:w="1020" w:type="dxa"/>
          </w:tcPr>
          <w:p w:rsidR="00505632" w:rsidRDefault="00505632" w:rsidP="00AD4E52">
            <w:pPr>
              <w:pStyle w:val="CellColumn"/>
              <w:jc w:val="right"/>
            </w:pPr>
            <w:r>
              <w:rPr>
                <w:rFonts w:cs="Times New Roman"/>
              </w:rPr>
              <w:t>6</w:t>
            </w:r>
          </w:p>
        </w:tc>
        <w:tc>
          <w:tcPr>
            <w:tcW w:w="1020" w:type="dxa"/>
          </w:tcPr>
          <w:p w:rsidR="00505632" w:rsidRDefault="00505632" w:rsidP="00AD4E52">
            <w:pPr>
              <w:pStyle w:val="CellColumn"/>
              <w:jc w:val="right"/>
            </w:pPr>
            <w:r>
              <w:rPr>
                <w:rFonts w:cs="Times New Roman"/>
              </w:rPr>
              <w:t>6</w:t>
            </w:r>
          </w:p>
        </w:tc>
      </w:tr>
    </w:tbl>
    <w:p w:rsidR="00505632" w:rsidRDefault="00505632" w:rsidP="00505632">
      <w:pPr>
        <w:jc w:val="left"/>
      </w:pPr>
    </w:p>
    <w:p w:rsidR="00505632" w:rsidRDefault="00505632" w:rsidP="00505632">
      <w:pPr>
        <w:pStyle w:val="Heading4"/>
      </w:pPr>
      <w:r>
        <w:t>A587058 PODRŠKA UPRAVLJANJU STRATEGIJOM EU ZA JADRANSKU I JONSKU REGIJU (EUSAIR)</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A587058-PODRŠKA UPRAVLJANJU STRATEGIJOM EU ZA JADRANSKU I JONSKU REGIJU (EUSAIR)</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283.464</w:t>
            </w:r>
          </w:p>
        </w:tc>
        <w:tc>
          <w:tcPr>
            <w:tcW w:w="2041" w:type="dxa"/>
          </w:tcPr>
          <w:p w:rsidR="00505632" w:rsidRDefault="00505632" w:rsidP="00AD4E52">
            <w:pPr>
              <w:pStyle w:val="CellColumn"/>
              <w:jc w:val="right"/>
            </w:pPr>
            <w:r>
              <w:rPr>
                <w:rFonts w:cs="Times New Roman"/>
              </w:rPr>
              <w:t>22.758</w:t>
            </w:r>
          </w:p>
        </w:tc>
        <w:tc>
          <w:tcPr>
            <w:tcW w:w="1224" w:type="dxa"/>
          </w:tcPr>
          <w:p w:rsidR="00505632" w:rsidRDefault="00505632" w:rsidP="00AD4E52">
            <w:pPr>
              <w:pStyle w:val="CellColumn"/>
              <w:jc w:val="right"/>
            </w:pPr>
            <w:r>
              <w:rPr>
                <w:rFonts w:cs="Times New Roman"/>
              </w:rPr>
              <w:t>8,0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o tijelima u sustavima upravljanja i kontrole korištenja Europskog socijalnog fonda, Europskog fonda za regionalni razvoj i kohezijskog fonda, u vezi s ciljem »Ulaganje za rast i radna mjesta« (NN 92/2014), Komunikacija Komisije Europskom parlamentu, Vijeću, Europskom gospodarskom i socijalnom odboru i Odboru regija ( COM (2014) 357final), možda i Sporazum o partnerstvu 2014.-2020. između RH i EK za korištenje EU strukturnih i investicijskih fondova, OP Konkurentnost i kohezija, Strateški plan Ministarstva turizma (2016.-2018.)</w:t>
      </w:r>
    </w:p>
    <w:p w:rsidR="00505632" w:rsidRDefault="00505632" w:rsidP="00505632">
      <w:pPr>
        <w:pStyle w:val="Heading8"/>
        <w:jc w:val="left"/>
      </w:pPr>
      <w:r>
        <w:t>Opis aktivnosti</w:t>
      </w:r>
    </w:p>
    <w:p w:rsidR="00505632" w:rsidRDefault="00505632" w:rsidP="00505632">
      <w:r>
        <w:t xml:space="preserve">Projekt „Facility Point“ za upravljanje Strategijom za jadransku i jonsku regiju (EUSAIR) trebao je biti odobren tijekom 2016. godine, međutim još uvijek nisu potpisani potrebni ugovori jer nisu sve zemlje dostavile potrebnu dokumentaciju </w:t>
      </w:r>
    </w:p>
    <w:p w:rsidR="00505632" w:rsidRDefault="00505632" w:rsidP="00505632">
      <w:r>
        <w:t xml:space="preserve">Sredstva za provedbu projekta bila su tako, sukladno navedenom i razmjerno trajanju projekta, planirana u proračunu MT-a i za 2016.g. Ukupan doprinos MT-a za vrijeme trajanja projekta tj. od 1.7.2016. do 31.12.2022. je 219.308,00 EUR odnosno 15% od 1.472.960,00 eura koliko je predviđeno za RH.  </w:t>
      </w:r>
    </w:p>
    <w:p w:rsidR="00505632" w:rsidRDefault="00505632" w:rsidP="00505632">
      <w:r>
        <w:t xml:space="preserve">Obzirom na činjenicu da još uvijek ne postoji ugovor s vodećim partnerom, troškovi nastali tijekom 2016. nisu bili knjiženi na stavku namijenjenu za projekt osim nekih troškova za službena putovanja. </w:t>
      </w:r>
    </w:p>
    <w:p w:rsidR="00505632" w:rsidRDefault="00505632" w:rsidP="00505632">
      <w:r>
        <w:t>Neiskorištena sredstva će biti iskorištena i prenamijenjena sukladno pravilima transnacionalnog programa ADRION.</w:t>
      </w:r>
    </w:p>
    <w:p w:rsidR="00505632" w:rsidRDefault="00505632" w:rsidP="00505632">
      <w:pPr>
        <w:pStyle w:val="Heading4"/>
      </w:pPr>
      <w:r>
        <w:t>A761016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A761016-ADMINISTRACIJA I UPRAVLJANJE</w:t>
            </w:r>
          </w:p>
        </w:tc>
        <w:tc>
          <w:tcPr>
            <w:tcW w:w="2041" w:type="dxa"/>
          </w:tcPr>
          <w:p w:rsidR="00505632" w:rsidRDefault="00505632" w:rsidP="00AD4E52">
            <w:pPr>
              <w:pStyle w:val="CellColumn"/>
              <w:jc w:val="right"/>
            </w:pPr>
            <w:r>
              <w:rPr>
                <w:rFonts w:cs="Times New Roman"/>
              </w:rPr>
              <w:t>30.791.392</w:t>
            </w:r>
          </w:p>
        </w:tc>
        <w:tc>
          <w:tcPr>
            <w:tcW w:w="2041" w:type="dxa"/>
          </w:tcPr>
          <w:p w:rsidR="00505632" w:rsidRDefault="00505632" w:rsidP="00AD4E52">
            <w:pPr>
              <w:pStyle w:val="CellColumn"/>
              <w:jc w:val="right"/>
            </w:pPr>
            <w:r>
              <w:rPr>
                <w:rFonts w:cs="Times New Roman"/>
              </w:rPr>
              <w:t>33.560.032</w:t>
            </w:r>
          </w:p>
        </w:tc>
        <w:tc>
          <w:tcPr>
            <w:tcW w:w="2041" w:type="dxa"/>
          </w:tcPr>
          <w:p w:rsidR="00505632" w:rsidRDefault="00505632" w:rsidP="00AD4E52">
            <w:pPr>
              <w:pStyle w:val="CellColumn"/>
              <w:jc w:val="right"/>
            </w:pPr>
            <w:r>
              <w:rPr>
                <w:rFonts w:cs="Times New Roman"/>
              </w:rPr>
              <w:t>30.916.648</w:t>
            </w:r>
          </w:p>
        </w:tc>
        <w:tc>
          <w:tcPr>
            <w:tcW w:w="1224" w:type="dxa"/>
          </w:tcPr>
          <w:p w:rsidR="00505632" w:rsidRDefault="00505632" w:rsidP="00AD4E52">
            <w:pPr>
              <w:pStyle w:val="CellColumn"/>
              <w:jc w:val="right"/>
            </w:pPr>
            <w:r>
              <w:rPr>
                <w:rFonts w:cs="Times New Roman"/>
              </w:rPr>
              <w:t>92,1</w:t>
            </w:r>
          </w:p>
        </w:tc>
        <w:tc>
          <w:tcPr>
            <w:tcW w:w="1224" w:type="dxa"/>
          </w:tcPr>
          <w:p w:rsidR="00505632" w:rsidRDefault="00505632" w:rsidP="00AD4E52">
            <w:pPr>
              <w:pStyle w:val="CellColumn"/>
              <w:jc w:val="right"/>
            </w:pPr>
            <w:r>
              <w:rPr>
                <w:rFonts w:cs="Times New Roman"/>
              </w:rPr>
              <w:t>100,4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proračunu (NN 87/08, 136/12, 15/15),  Hrvatski sabor donio je na sjednici 21. ožujka 2016. godine Državni proračun Republike Hrvatske za 2016. godinu i projekcije za 2017. i 2018. godinu,Zakon o izvršavanju Državnog proračuna Republike Hrvatske za 2016. godinu, Uredba o unutarnjem ustrojstvu Ministarstva turizma (NN 55/14) ; Uredba o izmjenama i dopuni Uredbe o unutarnjem ustrojstvu Ministarstva turizma  (NN 17/15)</w:t>
      </w:r>
    </w:p>
    <w:p w:rsidR="00505632" w:rsidRDefault="00505632" w:rsidP="00505632">
      <w:pPr>
        <w:pStyle w:val="Heading8"/>
        <w:jc w:val="left"/>
      </w:pPr>
      <w:r>
        <w:t>Opis aktivnosti</w:t>
      </w:r>
    </w:p>
    <w:p w:rsidR="00505632" w:rsidRDefault="00505632" w:rsidP="00505632">
      <w:r>
        <w:t xml:space="preserve">31-Rashodi za zaposlene  </w:t>
      </w:r>
    </w:p>
    <w:p w:rsidR="00505632" w:rsidRDefault="00505632" w:rsidP="00505632">
      <w:r>
        <w:t xml:space="preserve">Udio ove grupe rashoda u ukupnim rashodima Ministarstva iznosio je 15 %.   Rashodi za zaposlene izvršeni su u iznosu od 24.726.423,44  kn, što je izvršenje u odnosu na plan od 94 %. S ove stavke izvršavani su troškovi za plaće i ostale naknade za zaposlene u ministarstvu. </w:t>
      </w:r>
    </w:p>
    <w:p w:rsidR="00505632" w:rsidRDefault="00505632" w:rsidP="00505632">
      <w:r>
        <w:t xml:space="preserve">32- Materijalni rashod </w:t>
      </w:r>
    </w:p>
    <w:p w:rsidR="00505632" w:rsidRDefault="00505632" w:rsidP="00505632">
      <w:r>
        <w:t xml:space="preserve">Udio ove grupe rashoda u ukupnim rashodima Ministarstva iznosio je 3 %. Ovi rashodi su  izvršeni u iznosu od 5.927.430,88 kn, što je izvršenje u donosu na plan od 83%. Sa ove stavke podmirivali su se troškovi službenih putovanja zaposlenika ministarstva, naknade za prijevoz, uredski materijal, energija, usluge telefona, usluge tekućeg i investicijskog održavanja, usluge promidžbe i informiranja, intelektualne i ostale usluge, te reprezentacija. </w:t>
      </w:r>
    </w:p>
    <w:p w:rsidR="00505632" w:rsidRDefault="00505632" w:rsidP="00505632">
      <w:r>
        <w:t xml:space="preserve">34-Financijski rashodi </w:t>
      </w:r>
    </w:p>
    <w:p w:rsidR="00505632" w:rsidRDefault="00505632" w:rsidP="00505632">
      <w:r>
        <w:t xml:space="preserve">Financijski rashodi izvršeni u iznosu od 2.317,85 kn, što je izvršenje u odnosu na plan od 11 %.  </w:t>
      </w:r>
    </w:p>
    <w:p w:rsidR="00505632" w:rsidRDefault="00505632" w:rsidP="00505632">
      <w:r>
        <w:t xml:space="preserve">37-Naknade građanima i kućanstvima u novcu </w:t>
      </w:r>
    </w:p>
    <w:p w:rsidR="00505632" w:rsidRDefault="00505632" w:rsidP="00505632">
      <w:r>
        <w:t xml:space="preserve">Naknade građanima i kućanstvima u novcu izvršeni u iznosu od 66.747,42 kn, što je izvršenje u odnosu na plan od 89 %.  </w:t>
      </w:r>
    </w:p>
    <w:p w:rsidR="00505632" w:rsidRDefault="00505632" w:rsidP="00505632">
      <w:r>
        <w:t xml:space="preserve">42-Rashodi za nabavu proizvedene dugotrajne imovine </w:t>
      </w:r>
    </w:p>
    <w:p w:rsidR="00505632" w:rsidRDefault="00505632" w:rsidP="00505632">
      <w:r>
        <w:t xml:space="preserve">Rashodi za nabavu proizvedene dugotrajne imovine izvršeni u iznosu od 193.728,78 kn, što je izvršenje u odnosu na plan od 81 %.  </w:t>
      </w:r>
    </w:p>
    <w:p w:rsidR="00505632" w:rsidRDefault="00505632" w:rsidP="00505632">
      <w:r>
        <w:t xml:space="preserve"> 45-Dodatna ulaganja na građevinskim objektima, </w:t>
      </w:r>
    </w:p>
    <w:p w:rsidR="00505632" w:rsidRDefault="00505632" w:rsidP="00505632">
      <w:r>
        <w:t>Dodatnih ulaganja na građevinskim objektima nije bilo.</w:t>
      </w:r>
    </w:p>
    <w:p w:rsidR="00505632" w:rsidRDefault="00505632" w:rsidP="00505632">
      <w:pPr>
        <w:pStyle w:val="Heading4"/>
      </w:pPr>
      <w:r>
        <w:t>A761038 KATEGORIZACIJA</w:t>
      </w:r>
    </w:p>
    <w:tbl>
      <w:tblPr>
        <w:tblStyle w:val="StilTablice"/>
        <w:tblW w:w="10206" w:type="dxa"/>
        <w:jc w:val="center"/>
        <w:tblLook w:val="04A0" w:firstRow="1" w:lastRow="0" w:firstColumn="1" w:lastColumn="0" w:noHBand="0" w:noVBand="1"/>
      </w:tblPr>
      <w:tblGrid>
        <w:gridCol w:w="1825"/>
        <w:gridCol w:w="1985"/>
        <w:gridCol w:w="1982"/>
        <w:gridCol w:w="198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A761038-KATEGORIZACIJA</w:t>
            </w:r>
          </w:p>
        </w:tc>
        <w:tc>
          <w:tcPr>
            <w:tcW w:w="2041" w:type="dxa"/>
          </w:tcPr>
          <w:p w:rsidR="00505632" w:rsidRDefault="00505632" w:rsidP="00AD4E52">
            <w:pPr>
              <w:pStyle w:val="CellColumn"/>
              <w:jc w:val="right"/>
            </w:pPr>
            <w:r>
              <w:rPr>
                <w:rFonts w:cs="Times New Roman"/>
              </w:rPr>
              <w:t>283.387</w:t>
            </w:r>
          </w:p>
        </w:tc>
        <w:tc>
          <w:tcPr>
            <w:tcW w:w="2041" w:type="dxa"/>
          </w:tcPr>
          <w:p w:rsidR="00505632" w:rsidRDefault="00505632" w:rsidP="00AD4E52">
            <w:pPr>
              <w:pStyle w:val="CellColumn"/>
              <w:jc w:val="right"/>
            </w:pPr>
            <w:r>
              <w:rPr>
                <w:rFonts w:cs="Times New Roman"/>
              </w:rPr>
              <w:t>500.000</w:t>
            </w:r>
          </w:p>
        </w:tc>
        <w:tc>
          <w:tcPr>
            <w:tcW w:w="2041" w:type="dxa"/>
          </w:tcPr>
          <w:p w:rsidR="00505632" w:rsidRDefault="00505632" w:rsidP="00AD4E52">
            <w:pPr>
              <w:pStyle w:val="CellColumn"/>
              <w:jc w:val="right"/>
            </w:pPr>
            <w:r>
              <w:rPr>
                <w:rFonts w:cs="Times New Roman"/>
              </w:rPr>
              <w:t>248.731</w:t>
            </w:r>
          </w:p>
        </w:tc>
        <w:tc>
          <w:tcPr>
            <w:tcW w:w="1224" w:type="dxa"/>
          </w:tcPr>
          <w:p w:rsidR="00505632" w:rsidRDefault="00505632" w:rsidP="00AD4E52">
            <w:pPr>
              <w:pStyle w:val="CellColumn"/>
              <w:jc w:val="right"/>
            </w:pPr>
            <w:r>
              <w:rPr>
                <w:rFonts w:cs="Times New Roman"/>
              </w:rPr>
              <w:t>49,7</w:t>
            </w:r>
          </w:p>
        </w:tc>
        <w:tc>
          <w:tcPr>
            <w:tcW w:w="1224" w:type="dxa"/>
          </w:tcPr>
          <w:p w:rsidR="00505632" w:rsidRDefault="00505632" w:rsidP="00AD4E52">
            <w:pPr>
              <w:pStyle w:val="CellColumn"/>
              <w:jc w:val="right"/>
            </w:pPr>
            <w:r>
              <w:rPr>
                <w:rFonts w:cs="Times New Roman"/>
              </w:rPr>
              <w:t>87,8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ugostiteljskoj djelatnosti  (NN 85/15  i  NN 121/16), Pravilnik o razvrstavanju, kategorizaciji i posebnim standardima ugostiteljskih objekata iz skupine hoteli (NN 56/16), Pravilnik o razvrstavanju i kategorizaciji ugostiteljskih objekata iz skupine Kampovi (NN 54/16), Pravilnik za dodjelu oznake kvalitete ugostiteljskog objekta vrste Hotel (NN 9/16) </w:t>
      </w:r>
    </w:p>
    <w:p w:rsidR="00505632" w:rsidRDefault="00505632" w:rsidP="00505632">
      <w:r>
        <w:t>Zakon o pružanju usluga u turizmu  (NN 68/07, NN 88/10, NN 30/14,  NN 89/14 i NN 152/14), Pravilnik o razvrstavanju i kategorizaciji luka nautičkog turizma (NN 72/08)</w:t>
      </w:r>
    </w:p>
    <w:p w:rsidR="00505632" w:rsidRDefault="00505632" w:rsidP="00505632">
      <w:pPr>
        <w:pStyle w:val="Heading8"/>
        <w:jc w:val="left"/>
      </w:pPr>
      <w:r>
        <w:t>Opis aktivnosti</w:t>
      </w:r>
    </w:p>
    <w:p w:rsidR="00505632" w:rsidRDefault="00505632" w:rsidP="00505632">
      <w:r>
        <w:t>Kategorizacija provodi prvostupanjski upravni postupak vezano uz razvrstavanje, kategorizaciju i rekategorizaciju ugostiteljskih i turističkih objekata iz skupina: »Hoteli«, »Kampovi« i »Luke nautičkog turizma« iz nadležnosti Ministarstva, provodi  postupak za dodjelu posebne oznake i oznake kvalitete objekata, provodi konzultativne očevide na objektima koji su u izgradnji ili adaptaciji.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Porast udjela smještajnih kapaciteta iz skupine Hoteli, kampovi i marine</w:t>
            </w:r>
          </w:p>
        </w:tc>
        <w:tc>
          <w:tcPr>
            <w:tcW w:w="2551" w:type="dxa"/>
          </w:tcPr>
          <w:p w:rsidR="00505632" w:rsidRDefault="00505632" w:rsidP="00AD4E52">
            <w:pPr>
              <w:pStyle w:val="CellColumn"/>
              <w:jc w:val="left"/>
            </w:pPr>
            <w:r>
              <w:rPr>
                <w:rFonts w:cs="Times New Roman"/>
              </w:rPr>
              <w:t>Porast udjela smještajnih kapaciteta iz skupine Hoteli, kampovi i marine</w:t>
            </w:r>
          </w:p>
        </w:tc>
        <w:tc>
          <w:tcPr>
            <w:tcW w:w="1020" w:type="dxa"/>
          </w:tcPr>
          <w:p w:rsidR="00505632" w:rsidRDefault="00505632" w:rsidP="00AD4E52">
            <w:pPr>
              <w:pStyle w:val="CellColumn"/>
              <w:jc w:val="right"/>
            </w:pPr>
            <w:r>
              <w:rPr>
                <w:rFonts w:cs="Times New Roman"/>
              </w:rPr>
              <w:t>Broj objekata</w:t>
            </w:r>
          </w:p>
        </w:tc>
        <w:tc>
          <w:tcPr>
            <w:tcW w:w="1020" w:type="dxa"/>
          </w:tcPr>
          <w:p w:rsidR="00505632" w:rsidRDefault="00505632" w:rsidP="00AD4E52">
            <w:pPr>
              <w:pStyle w:val="CellColumn"/>
              <w:jc w:val="right"/>
            </w:pPr>
            <w:r>
              <w:rPr>
                <w:rFonts w:cs="Times New Roman"/>
              </w:rPr>
              <w:t>932</w:t>
            </w:r>
          </w:p>
        </w:tc>
        <w:tc>
          <w:tcPr>
            <w:tcW w:w="1020" w:type="dxa"/>
          </w:tcPr>
          <w:p w:rsidR="00505632" w:rsidRDefault="00505632" w:rsidP="00AD4E52">
            <w:pPr>
              <w:pStyle w:val="CellColumn"/>
              <w:jc w:val="right"/>
            </w:pPr>
            <w:r>
              <w:rPr>
                <w:rFonts w:cs="Times New Roman"/>
              </w:rPr>
              <w:t>MINT</w:t>
            </w:r>
          </w:p>
        </w:tc>
        <w:tc>
          <w:tcPr>
            <w:tcW w:w="1020" w:type="dxa"/>
          </w:tcPr>
          <w:p w:rsidR="00505632" w:rsidRDefault="00505632" w:rsidP="00AD4E52">
            <w:pPr>
              <w:pStyle w:val="CellColumn"/>
              <w:jc w:val="right"/>
            </w:pPr>
            <w:r>
              <w:rPr>
                <w:rFonts w:cs="Times New Roman"/>
              </w:rPr>
              <w:t>1020</w:t>
            </w:r>
          </w:p>
        </w:tc>
        <w:tc>
          <w:tcPr>
            <w:tcW w:w="1020" w:type="dxa"/>
          </w:tcPr>
          <w:p w:rsidR="00505632" w:rsidRDefault="00505632" w:rsidP="00AD4E52">
            <w:pPr>
              <w:pStyle w:val="CellColumn"/>
              <w:jc w:val="right"/>
            </w:pPr>
            <w:r>
              <w:rPr>
                <w:rFonts w:cs="Times New Roman"/>
              </w:rPr>
              <w:t>1039</w:t>
            </w:r>
          </w:p>
        </w:tc>
      </w:tr>
    </w:tbl>
    <w:p w:rsidR="00505632" w:rsidRDefault="00505632" w:rsidP="00505632">
      <w:pPr>
        <w:jc w:val="left"/>
      </w:pPr>
    </w:p>
    <w:p w:rsidR="00505632" w:rsidRDefault="00505632" w:rsidP="00505632">
      <w:pPr>
        <w:pStyle w:val="Heading4"/>
      </w:pPr>
      <w:r>
        <w:t>A761044 FOND ZA TURIZAM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A761044-FOND ZA TURIZAM</w:t>
            </w:r>
          </w:p>
        </w:tc>
        <w:tc>
          <w:tcPr>
            <w:tcW w:w="2041" w:type="dxa"/>
          </w:tcPr>
          <w:p w:rsidR="00505632" w:rsidRDefault="00505632" w:rsidP="00AD4E52">
            <w:pPr>
              <w:pStyle w:val="CellColumn"/>
              <w:jc w:val="right"/>
            </w:pPr>
            <w:r>
              <w:rPr>
                <w:rFonts w:cs="Times New Roman"/>
              </w:rPr>
              <w:t>23.102.690</w:t>
            </w:r>
          </w:p>
        </w:tc>
        <w:tc>
          <w:tcPr>
            <w:tcW w:w="2041" w:type="dxa"/>
          </w:tcPr>
          <w:p w:rsidR="00505632" w:rsidRDefault="00505632" w:rsidP="00AD4E52">
            <w:pPr>
              <w:pStyle w:val="CellColumn"/>
              <w:jc w:val="right"/>
            </w:pPr>
            <w:r>
              <w:rPr>
                <w:rFonts w:cs="Times New Roman"/>
              </w:rPr>
              <w:t>21.349.018</w:t>
            </w:r>
          </w:p>
        </w:tc>
        <w:tc>
          <w:tcPr>
            <w:tcW w:w="2041" w:type="dxa"/>
          </w:tcPr>
          <w:p w:rsidR="00505632" w:rsidRDefault="00505632" w:rsidP="00AD4E52">
            <w:pPr>
              <w:pStyle w:val="CellColumn"/>
              <w:jc w:val="right"/>
            </w:pPr>
            <w:r>
              <w:rPr>
                <w:rFonts w:cs="Times New Roman"/>
              </w:rPr>
              <w:t>22.018.101</w:t>
            </w:r>
          </w:p>
        </w:tc>
        <w:tc>
          <w:tcPr>
            <w:tcW w:w="1224" w:type="dxa"/>
          </w:tcPr>
          <w:p w:rsidR="00505632" w:rsidRDefault="00505632" w:rsidP="00AD4E52">
            <w:pPr>
              <w:pStyle w:val="CellColumn"/>
              <w:jc w:val="right"/>
            </w:pPr>
            <w:r>
              <w:rPr>
                <w:rFonts w:cs="Times New Roman"/>
              </w:rPr>
              <w:t>103,1</w:t>
            </w:r>
          </w:p>
        </w:tc>
        <w:tc>
          <w:tcPr>
            <w:tcW w:w="1224" w:type="dxa"/>
          </w:tcPr>
          <w:p w:rsidR="00505632" w:rsidRDefault="00505632" w:rsidP="00AD4E52">
            <w:pPr>
              <w:pStyle w:val="CellColumn"/>
              <w:jc w:val="right"/>
            </w:pPr>
            <w:r>
              <w:rPr>
                <w:rFonts w:cs="Times New Roman"/>
              </w:rPr>
              <w:t>95,3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turističkom i drugom građevinskom zemljištu neprocijenjenom u postupku pretvorbe i privatizacije  (NN 92/10); Strategija razvoja turizma Republike Hrvatske do 2020.g. (NN 55/13); Strategija Vladinih programa za razdoblje 2015.-2017.; Odluka o raspolaganju sredstvima Fonda za razvoj turizma (NN 122/13); Strateški plan Ministarstva turizma za razdoblje 2016.-2018.</w:t>
      </w:r>
    </w:p>
    <w:p w:rsidR="00505632" w:rsidRDefault="00505632" w:rsidP="00505632">
      <w:pPr>
        <w:pStyle w:val="Heading8"/>
        <w:jc w:val="left"/>
      </w:pPr>
      <w:r>
        <w:t>Opis aktivnosti</w:t>
      </w:r>
    </w:p>
    <w:p w:rsidR="00505632" w:rsidRDefault="00505632" w:rsidP="00505632">
      <w:r>
        <w:t xml:space="preserve">Aktivnost „Fond za turizam“ temelji se na korištenju sredstava Fonda pribavljenih od naknada za koncesije i prodaje zemljišta, a za namjene i poslove utvrđene Zakonom o turističkom i ostalom građevinskom zemljištu neprocijenjenom u postupku pretvorbe i privatizacije.  </w:t>
      </w:r>
    </w:p>
    <w:p w:rsidR="00505632" w:rsidRDefault="00505632" w:rsidP="00505632">
      <w:r>
        <w:t xml:space="preserve">Sredstva Fonda koriste se isključivo u svrhu razvoja turističke infrastrukture i očuvanja turističke resursne osnove.Turističkom infrastrukturom smatra se javna infrastruktura u turizmu. Turističkom resursnom osnovom smatraju se i turističke atrakcije od kojih neke imaju karakter i turističke infrastrukture kao što su objekti kulturne i povijesne baštine. </w:t>
      </w:r>
    </w:p>
    <w:p w:rsidR="00505632" w:rsidRDefault="00505632" w:rsidP="00505632">
      <w:r>
        <w:t>Ministarstvo turizma je u 2016. godini raspisalo javni poziv temeljem Programa razvoja javne turističke infrastrukture u 2016. godini (predmeti financiranja: plaže, centri za posjetitelje ili interpretacijski centri te javna cikloturistička infrastruktura). Tijekom 2016. godine su se donijele tri Odluke o sufinanciranju projekata javne turističke infrastrukture (u veljači i travnju po Programu razvoja javne turističke infrastrukture u 2015. godini i u prosincu po Programu razvoja javne turističke infrastrukture u 2016. godini – točka 1. i 2.). Navedeni projekti javne turističke infrastrukture doprinose povećanju broja dolazaka u RH, što je vidljivo i iz priloženih statističkih podataka.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Porast broja  dolazaka turista</w:t>
            </w:r>
          </w:p>
        </w:tc>
        <w:tc>
          <w:tcPr>
            <w:tcW w:w="2551" w:type="dxa"/>
          </w:tcPr>
          <w:p w:rsidR="00505632" w:rsidRDefault="00505632" w:rsidP="00AD4E52">
            <w:pPr>
              <w:pStyle w:val="CellColumn"/>
              <w:jc w:val="left"/>
            </w:pPr>
            <w:r>
              <w:rPr>
                <w:rFonts w:cs="Times New Roman"/>
              </w:rPr>
              <w:t>Porast broja  dolazaka turista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14.343.323</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14.500.000</w:t>
            </w:r>
          </w:p>
        </w:tc>
        <w:tc>
          <w:tcPr>
            <w:tcW w:w="1020" w:type="dxa"/>
          </w:tcPr>
          <w:p w:rsidR="00505632" w:rsidRDefault="00505632" w:rsidP="00AD4E52">
            <w:pPr>
              <w:pStyle w:val="CellColumn"/>
              <w:jc w:val="right"/>
            </w:pPr>
            <w:r>
              <w:rPr>
                <w:rFonts w:cs="Times New Roman"/>
              </w:rPr>
              <w:t>15.594.157</w:t>
            </w:r>
          </w:p>
        </w:tc>
      </w:tr>
    </w:tbl>
    <w:p w:rsidR="00505632" w:rsidRDefault="00505632" w:rsidP="00505632">
      <w:pPr>
        <w:jc w:val="left"/>
      </w:pPr>
    </w:p>
    <w:p w:rsidR="00505632" w:rsidRDefault="00505632" w:rsidP="00505632">
      <w:pPr>
        <w:pStyle w:val="Heading4"/>
      </w:pPr>
      <w:r>
        <w:t>A819027 POTICAJ ZA POVEĆANJE SIGURNOSTI TURISTA-HGSS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A819027-POTICAJ ZA POVEĆANJE SIGURNOSTI TURISTA-HGSS</w:t>
            </w:r>
          </w:p>
        </w:tc>
        <w:tc>
          <w:tcPr>
            <w:tcW w:w="2041" w:type="dxa"/>
          </w:tcPr>
          <w:p w:rsidR="00505632" w:rsidRDefault="00505632" w:rsidP="00AD4E52">
            <w:pPr>
              <w:pStyle w:val="CellColumn"/>
              <w:jc w:val="right"/>
            </w:pPr>
            <w:r>
              <w:rPr>
                <w:rFonts w:cs="Times New Roman"/>
              </w:rPr>
              <w:t>1.500.000</w:t>
            </w:r>
          </w:p>
        </w:tc>
        <w:tc>
          <w:tcPr>
            <w:tcW w:w="2041" w:type="dxa"/>
          </w:tcPr>
          <w:p w:rsidR="00505632" w:rsidRDefault="00505632" w:rsidP="00AD4E52">
            <w:pPr>
              <w:pStyle w:val="CellColumn"/>
              <w:jc w:val="right"/>
            </w:pPr>
            <w:r>
              <w:rPr>
                <w:rFonts w:cs="Times New Roman"/>
              </w:rPr>
              <w:t>1.500.000</w:t>
            </w:r>
          </w:p>
        </w:tc>
        <w:tc>
          <w:tcPr>
            <w:tcW w:w="2041" w:type="dxa"/>
          </w:tcPr>
          <w:p w:rsidR="00505632" w:rsidRDefault="00505632" w:rsidP="00AD4E52">
            <w:pPr>
              <w:pStyle w:val="CellColumn"/>
              <w:jc w:val="right"/>
            </w:pPr>
            <w:r>
              <w:rPr>
                <w:rFonts w:cs="Times New Roman"/>
              </w:rPr>
              <w:t>1.500.000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Strategija razvoja turizma Republike Hrvatske do 2020. godine (NN 55/13), Zakon o Hrvatskoj gorskoj službi spašavanja (NN 79/06, 110/15)</w:t>
      </w:r>
    </w:p>
    <w:p w:rsidR="00505632" w:rsidRDefault="00505632" w:rsidP="00505632">
      <w:pPr>
        <w:pStyle w:val="Heading8"/>
        <w:jc w:val="left"/>
      </w:pPr>
      <w:r>
        <w:t>Opis aktivnosti</w:t>
      </w:r>
    </w:p>
    <w:p w:rsidR="00505632" w:rsidRDefault="00505632" w:rsidP="00505632">
      <w:r>
        <w:t xml:space="preserve">Stvaranje osjećaja sigurnosti turista za vrijeme boravka u našoj zemlji, pogotovo u pružanju usluga posebnih oblika turizma, adrenalinskih sadržaja, aktivnog odmora i sl. kroz saznanje o dobroj organizaciji službi spašavanja i pomoći neophodan je element ukupnog turističkog proizvoda.  </w:t>
      </w:r>
    </w:p>
    <w:p w:rsidR="00505632" w:rsidRDefault="00505632" w:rsidP="00505632">
      <w:r>
        <w:t>U tom smislu financiraju se programi stvaranja preduvjeta za sprječavanje nezgoda i za pružanje adekvatne pomoći. U 2016. educirano je za navedene potrebe novih 259 gorskih spasioca.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79"/>
        <w:gridCol w:w="2480"/>
        <w:gridCol w:w="1009"/>
        <w:gridCol w:w="1015"/>
        <w:gridCol w:w="1192"/>
        <w:gridCol w:w="1015"/>
        <w:gridCol w:w="1016"/>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Porast broja educiranih gorskih i drugih vodića za potrebe TZ</w:t>
            </w:r>
          </w:p>
        </w:tc>
        <w:tc>
          <w:tcPr>
            <w:tcW w:w="2551" w:type="dxa"/>
          </w:tcPr>
          <w:p w:rsidR="00505632" w:rsidRDefault="00505632" w:rsidP="00AD4E52">
            <w:pPr>
              <w:pStyle w:val="CellColumn"/>
              <w:jc w:val="left"/>
            </w:pPr>
            <w:r>
              <w:rPr>
                <w:rFonts w:cs="Times New Roman"/>
              </w:rPr>
              <w:t>Porast broja educiranih gorskih i drugih vodića za potrebe TZ</w:t>
            </w:r>
          </w:p>
        </w:tc>
        <w:tc>
          <w:tcPr>
            <w:tcW w:w="1020" w:type="dxa"/>
          </w:tcPr>
          <w:p w:rsidR="00505632" w:rsidRDefault="00505632" w:rsidP="00AD4E52">
            <w:pPr>
              <w:pStyle w:val="CellColumn"/>
              <w:jc w:val="right"/>
            </w:pPr>
            <w:r>
              <w:rPr>
                <w:rFonts w:cs="Times New Roman"/>
              </w:rPr>
              <w:t>Broj vodića</w:t>
            </w:r>
          </w:p>
        </w:tc>
        <w:tc>
          <w:tcPr>
            <w:tcW w:w="1020" w:type="dxa"/>
          </w:tcPr>
          <w:p w:rsidR="00505632" w:rsidRDefault="00505632" w:rsidP="00AD4E52">
            <w:pPr>
              <w:pStyle w:val="CellColumn"/>
              <w:jc w:val="right"/>
            </w:pPr>
            <w:r>
              <w:rPr>
                <w:rFonts w:cs="Times New Roman"/>
              </w:rPr>
              <w:t>170</w:t>
            </w:r>
          </w:p>
        </w:tc>
        <w:tc>
          <w:tcPr>
            <w:tcW w:w="1020" w:type="dxa"/>
          </w:tcPr>
          <w:p w:rsidR="00505632" w:rsidRDefault="00505632" w:rsidP="00AD4E52">
            <w:pPr>
              <w:pStyle w:val="CellColumn"/>
              <w:jc w:val="right"/>
            </w:pPr>
            <w:r>
              <w:rPr>
                <w:rFonts w:cs="Times New Roman"/>
              </w:rPr>
              <w:t>MINT/HGSS</w:t>
            </w:r>
          </w:p>
        </w:tc>
        <w:tc>
          <w:tcPr>
            <w:tcW w:w="1020" w:type="dxa"/>
          </w:tcPr>
          <w:p w:rsidR="00505632" w:rsidRDefault="00505632" w:rsidP="00AD4E52">
            <w:pPr>
              <w:pStyle w:val="CellColumn"/>
              <w:jc w:val="right"/>
            </w:pPr>
            <w:r>
              <w:rPr>
                <w:rFonts w:cs="Times New Roman"/>
              </w:rPr>
              <w:t>220</w:t>
            </w:r>
          </w:p>
        </w:tc>
        <w:tc>
          <w:tcPr>
            <w:tcW w:w="1020" w:type="dxa"/>
          </w:tcPr>
          <w:p w:rsidR="00505632" w:rsidRDefault="00505632" w:rsidP="00AD4E52">
            <w:pPr>
              <w:pStyle w:val="CellColumn"/>
              <w:jc w:val="right"/>
            </w:pPr>
            <w:r>
              <w:rPr>
                <w:rFonts w:cs="Times New Roman"/>
              </w:rPr>
              <w:t>259</w:t>
            </w:r>
          </w:p>
        </w:tc>
      </w:tr>
    </w:tbl>
    <w:p w:rsidR="00505632" w:rsidRDefault="00505632" w:rsidP="00505632">
      <w:pPr>
        <w:jc w:val="left"/>
      </w:pPr>
    </w:p>
    <w:p w:rsidR="00505632" w:rsidRDefault="00505632" w:rsidP="00505632">
      <w:pPr>
        <w:pStyle w:val="Heading4"/>
      </w:pPr>
      <w:r>
        <w:t>K761007 IZRADA STUDIJE HRVATSKOG TURIZMA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K761007-IZRADA STUDIJE HRVATSKOG TURIZMA</w:t>
            </w:r>
          </w:p>
        </w:tc>
        <w:tc>
          <w:tcPr>
            <w:tcW w:w="2041" w:type="dxa"/>
          </w:tcPr>
          <w:p w:rsidR="00505632" w:rsidRDefault="00505632" w:rsidP="00AD4E52">
            <w:pPr>
              <w:pStyle w:val="CellColumn"/>
              <w:jc w:val="right"/>
            </w:pPr>
            <w:r>
              <w:rPr>
                <w:rFonts w:cs="Times New Roman"/>
              </w:rPr>
              <w:t>455.000</w:t>
            </w:r>
          </w:p>
        </w:tc>
        <w:tc>
          <w:tcPr>
            <w:tcW w:w="2041" w:type="dxa"/>
          </w:tcPr>
          <w:p w:rsidR="00505632" w:rsidRDefault="00505632" w:rsidP="00AD4E52">
            <w:pPr>
              <w:pStyle w:val="CellColumn"/>
              <w:jc w:val="right"/>
            </w:pPr>
            <w:r>
              <w:rPr>
                <w:rFonts w:cs="Times New Roman"/>
              </w:rPr>
              <w:t>285.000</w:t>
            </w:r>
          </w:p>
        </w:tc>
        <w:tc>
          <w:tcPr>
            <w:tcW w:w="2041" w:type="dxa"/>
          </w:tcPr>
          <w:p w:rsidR="00505632" w:rsidRDefault="00505632" w:rsidP="00AD4E52">
            <w:pPr>
              <w:pStyle w:val="CellColumn"/>
              <w:jc w:val="right"/>
            </w:pPr>
            <w:r>
              <w:rPr>
                <w:rFonts w:cs="Times New Roman"/>
              </w:rPr>
              <w:t>266.875</w:t>
            </w:r>
          </w:p>
        </w:tc>
        <w:tc>
          <w:tcPr>
            <w:tcW w:w="1224" w:type="dxa"/>
          </w:tcPr>
          <w:p w:rsidR="00505632" w:rsidRDefault="00505632" w:rsidP="00AD4E52">
            <w:pPr>
              <w:pStyle w:val="CellColumn"/>
              <w:jc w:val="right"/>
            </w:pPr>
            <w:r>
              <w:rPr>
                <w:rFonts w:cs="Times New Roman"/>
              </w:rPr>
              <w:t>93,6</w:t>
            </w:r>
          </w:p>
        </w:tc>
        <w:tc>
          <w:tcPr>
            <w:tcW w:w="1224" w:type="dxa"/>
          </w:tcPr>
          <w:p w:rsidR="00505632" w:rsidRDefault="00505632" w:rsidP="00AD4E52">
            <w:pPr>
              <w:pStyle w:val="CellColumn"/>
              <w:jc w:val="right"/>
            </w:pPr>
            <w:r>
              <w:rPr>
                <w:rFonts w:cs="Times New Roman"/>
              </w:rPr>
              <w:t>58,7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Strategija razvoja turizma Republike Hrvatske do 2020. godine (NN 55/13)</w:t>
      </w:r>
    </w:p>
    <w:p w:rsidR="00505632" w:rsidRDefault="00505632" w:rsidP="00505632">
      <w:pPr>
        <w:pStyle w:val="Heading8"/>
        <w:jc w:val="left"/>
      </w:pPr>
      <w:r>
        <w:t>Opis aktivnosti</w:t>
      </w:r>
    </w:p>
    <w:p w:rsidR="00505632" w:rsidRDefault="00505632" w:rsidP="00505632">
      <w:r>
        <w:t>Strategija razvoja turizma Republike Hrvatske do 2020. godine temeljni je dokument koji pruža smjernice daljnjeg razvoja turizma, ali i podloga za pripremu projekata i povlačenje europskih sredstava. Za pripremu i provedbu mjera iz Strategije, potrebno je izraditi akcijske planove/nacionalne programe, dokumente koji će definirati konkretne aktivnosti. U tom smislu pristupilo se izradi akcijskih planova koji su osnova za razvoj turizma, te je u 2016. godini izrađeno 3 akcijska plana.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Izrađeni akcijski planovi/nacionalni programi (kumulativ</w:t>
            </w:r>
          </w:p>
        </w:tc>
        <w:tc>
          <w:tcPr>
            <w:tcW w:w="2551" w:type="dxa"/>
          </w:tcPr>
          <w:p w:rsidR="00505632" w:rsidRDefault="00505632" w:rsidP="00AD4E52">
            <w:pPr>
              <w:pStyle w:val="CellColumn"/>
              <w:jc w:val="left"/>
            </w:pPr>
            <w:r>
              <w:rPr>
                <w:rFonts w:cs="Times New Roman"/>
              </w:rPr>
              <w:t>Izrađeni akcijski planovi/nacionalni programi (kumulativ</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MINT</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3</w:t>
            </w:r>
          </w:p>
        </w:tc>
      </w:tr>
    </w:tbl>
    <w:p w:rsidR="00505632" w:rsidRDefault="00505632" w:rsidP="00505632">
      <w:pPr>
        <w:jc w:val="left"/>
      </w:pPr>
    </w:p>
    <w:p w:rsidR="00505632" w:rsidRDefault="00505632" w:rsidP="00505632">
      <w:pPr>
        <w:pStyle w:val="Heading4"/>
      </w:pPr>
      <w:r>
        <w:t>K761017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K761017-OBNOVA VOZNOG PARKA</w:t>
            </w:r>
          </w:p>
        </w:tc>
        <w:tc>
          <w:tcPr>
            <w:tcW w:w="2041" w:type="dxa"/>
          </w:tcPr>
          <w:p w:rsidR="00505632" w:rsidRDefault="00505632" w:rsidP="00AD4E52">
            <w:pPr>
              <w:pStyle w:val="CellColumn"/>
              <w:jc w:val="right"/>
            </w:pPr>
            <w:r>
              <w:rPr>
                <w:rFonts w:cs="Times New Roman"/>
              </w:rPr>
              <w:t>550.935</w:t>
            </w:r>
          </w:p>
        </w:tc>
        <w:tc>
          <w:tcPr>
            <w:tcW w:w="2041" w:type="dxa"/>
          </w:tcPr>
          <w:p w:rsidR="00505632" w:rsidRDefault="00505632" w:rsidP="00AD4E52">
            <w:pPr>
              <w:pStyle w:val="CellColumn"/>
              <w:jc w:val="right"/>
            </w:pPr>
            <w:r>
              <w:rPr>
                <w:rFonts w:cs="Times New Roman"/>
              </w:rPr>
              <w:t>927.000</w:t>
            </w:r>
          </w:p>
        </w:tc>
        <w:tc>
          <w:tcPr>
            <w:tcW w:w="2041" w:type="dxa"/>
          </w:tcPr>
          <w:p w:rsidR="00505632" w:rsidRDefault="00505632" w:rsidP="00AD4E52">
            <w:pPr>
              <w:pStyle w:val="CellColumn"/>
              <w:jc w:val="right"/>
            </w:pPr>
            <w:r>
              <w:rPr>
                <w:rFonts w:cs="Times New Roman"/>
              </w:rPr>
              <w:t>588.025</w:t>
            </w:r>
          </w:p>
        </w:tc>
        <w:tc>
          <w:tcPr>
            <w:tcW w:w="1224" w:type="dxa"/>
          </w:tcPr>
          <w:p w:rsidR="00505632" w:rsidRDefault="00505632" w:rsidP="00AD4E52">
            <w:pPr>
              <w:pStyle w:val="CellColumn"/>
              <w:jc w:val="right"/>
            </w:pPr>
            <w:r>
              <w:rPr>
                <w:rFonts w:cs="Times New Roman"/>
              </w:rPr>
              <w:t>63,4</w:t>
            </w:r>
          </w:p>
        </w:tc>
        <w:tc>
          <w:tcPr>
            <w:tcW w:w="1224" w:type="dxa"/>
          </w:tcPr>
          <w:p w:rsidR="00505632" w:rsidRDefault="00505632" w:rsidP="00AD4E52">
            <w:pPr>
              <w:pStyle w:val="CellColumn"/>
              <w:jc w:val="right"/>
            </w:pPr>
            <w:r>
              <w:rPr>
                <w:rFonts w:cs="Times New Roman"/>
              </w:rPr>
              <w:t>106,7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proračunu (NN 87/08, 136/12, 15/15),  Hrvatski sabor donio je na sjednici 21. ožujka 2016. godine Državni proračun Republike Hrvatske za 2016. godinu i projekcije za 2017. i 2018. godinu, Zakon o izvršavanju Državnog proračuna Republike Hrvatske za 2016. godinu, Uredba o unutarnjem ustrojstvu Ministarstva turizma (NN 55/14) ; Uredba o izmjenama i dopuni Uredbe o unutarnjem ustrojstvu Ministarstva turizma  (NN 17/15)</w:t>
      </w:r>
    </w:p>
    <w:p w:rsidR="00505632" w:rsidRDefault="00505632" w:rsidP="00505632">
      <w:pPr>
        <w:pStyle w:val="Heading8"/>
        <w:jc w:val="left"/>
      </w:pPr>
      <w:r>
        <w:t>Opis aktivnosti</w:t>
      </w:r>
    </w:p>
    <w:p w:rsidR="00505632" w:rsidRDefault="00505632" w:rsidP="00505632">
      <w:r>
        <w:t>Sa aktivnosti obnova voznog parka plaćani su troškovi vulkanizerskih usluga, registracije vozila, popravak vozila i leasing rate za službena vozila ministarstva. Troškovi su iznosili 588.025,00 kuna što je izvršenje od 63,4%.</w:t>
      </w:r>
    </w:p>
    <w:p w:rsidR="00505632" w:rsidRDefault="00505632" w:rsidP="00505632">
      <w:pPr>
        <w:pStyle w:val="Heading4"/>
      </w:pPr>
      <w:r>
        <w:t>K761018 INFORMATIZACIJA MINISTARSTVA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K761018-INFORMATIZACIJA MINISTARSTVA</w:t>
            </w:r>
          </w:p>
        </w:tc>
        <w:tc>
          <w:tcPr>
            <w:tcW w:w="2041" w:type="dxa"/>
          </w:tcPr>
          <w:p w:rsidR="00505632" w:rsidRDefault="00505632" w:rsidP="00AD4E52">
            <w:pPr>
              <w:pStyle w:val="CellColumn"/>
              <w:jc w:val="right"/>
            </w:pPr>
            <w:r>
              <w:rPr>
                <w:rFonts w:cs="Times New Roman"/>
              </w:rPr>
              <w:t>1.233.427</w:t>
            </w:r>
          </w:p>
        </w:tc>
        <w:tc>
          <w:tcPr>
            <w:tcW w:w="2041" w:type="dxa"/>
          </w:tcPr>
          <w:p w:rsidR="00505632" w:rsidRDefault="00505632" w:rsidP="00AD4E52">
            <w:pPr>
              <w:pStyle w:val="CellColumn"/>
              <w:jc w:val="right"/>
            </w:pPr>
            <w:r>
              <w:rPr>
                <w:rFonts w:cs="Times New Roman"/>
              </w:rPr>
              <w:t>1.370.000</w:t>
            </w:r>
          </w:p>
        </w:tc>
        <w:tc>
          <w:tcPr>
            <w:tcW w:w="2041" w:type="dxa"/>
          </w:tcPr>
          <w:p w:rsidR="00505632" w:rsidRDefault="00505632" w:rsidP="00AD4E52">
            <w:pPr>
              <w:pStyle w:val="CellColumn"/>
              <w:jc w:val="right"/>
            </w:pPr>
            <w:r>
              <w:rPr>
                <w:rFonts w:cs="Times New Roman"/>
              </w:rPr>
              <w:t>1.201.307</w:t>
            </w:r>
          </w:p>
        </w:tc>
        <w:tc>
          <w:tcPr>
            <w:tcW w:w="1224" w:type="dxa"/>
          </w:tcPr>
          <w:p w:rsidR="00505632" w:rsidRDefault="00505632" w:rsidP="00AD4E52">
            <w:pPr>
              <w:pStyle w:val="CellColumn"/>
              <w:jc w:val="right"/>
            </w:pPr>
            <w:r>
              <w:rPr>
                <w:rFonts w:cs="Times New Roman"/>
              </w:rPr>
              <w:t>87,7</w:t>
            </w:r>
          </w:p>
        </w:tc>
        <w:tc>
          <w:tcPr>
            <w:tcW w:w="1224" w:type="dxa"/>
          </w:tcPr>
          <w:p w:rsidR="00505632" w:rsidRDefault="00505632" w:rsidP="00AD4E52">
            <w:pPr>
              <w:pStyle w:val="CellColumn"/>
              <w:jc w:val="right"/>
            </w:pPr>
            <w:r>
              <w:rPr>
                <w:rFonts w:cs="Times New Roman"/>
              </w:rPr>
              <w:t>97,4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proračunu (NN 87/08, 136/12, 15/15),  Hrvatski sabor donio je na sjednici 21. ožujka 2016. godine Državni proračun Republike Hrvatske za 2016. godinu i projekcije za 2017. i 2018. godinu, Zakon o izvršavanju Državnog proračuna Republike Hrvatske za 2016. godinu, Uredba o unutarnjem ustrojstvu Ministarstva turizma (NN 55/14) ; Uredba o izmjenama i dopuni Uredbe o unutarnjem ustrojstvu Ministarstva turizma  (NN 17/15)</w:t>
      </w:r>
    </w:p>
    <w:p w:rsidR="00505632" w:rsidRDefault="00505632" w:rsidP="00505632">
      <w:pPr>
        <w:pStyle w:val="Heading8"/>
        <w:jc w:val="left"/>
      </w:pPr>
      <w:r>
        <w:t>Opis aktivnosti</w:t>
      </w:r>
    </w:p>
    <w:p w:rsidR="00505632" w:rsidRDefault="00505632" w:rsidP="00505632">
      <w:r>
        <w:t>Sa aktivnosti informatizacija su plaćene usluge ažuriranja računalnih baza, razvoj software-a i dr. u iznosu od 1.201.307,00 kn što je izvršenje od 87,7 %.</w:t>
      </w:r>
    </w:p>
    <w:p w:rsidR="00505632" w:rsidRDefault="00505632" w:rsidP="00505632">
      <w:pPr>
        <w:pStyle w:val="Heading3"/>
      </w:pPr>
      <w:r>
        <w:rPr>
          <w:rFonts w:cs="Times New Roman"/>
        </w:rPr>
        <w:t>3209 PROMOCIJA TURIZMA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3209-PROMOCIJA TURIZMA</w:t>
            </w:r>
          </w:p>
        </w:tc>
        <w:tc>
          <w:tcPr>
            <w:tcW w:w="2041" w:type="dxa"/>
          </w:tcPr>
          <w:p w:rsidR="00505632" w:rsidRDefault="00505632" w:rsidP="00AD4E52">
            <w:pPr>
              <w:pStyle w:val="CellColumn"/>
              <w:jc w:val="right"/>
            </w:pPr>
            <w:r>
              <w:rPr>
                <w:rFonts w:cs="Times New Roman"/>
              </w:rPr>
              <w:t>78.121.211</w:t>
            </w:r>
          </w:p>
        </w:tc>
        <w:tc>
          <w:tcPr>
            <w:tcW w:w="2041" w:type="dxa"/>
          </w:tcPr>
          <w:p w:rsidR="00505632" w:rsidRDefault="00505632" w:rsidP="00AD4E52">
            <w:pPr>
              <w:pStyle w:val="CellColumn"/>
              <w:jc w:val="right"/>
            </w:pPr>
            <w:r>
              <w:rPr>
                <w:rFonts w:cs="Times New Roman"/>
              </w:rPr>
              <w:t>46.600.000</w:t>
            </w:r>
          </w:p>
        </w:tc>
        <w:tc>
          <w:tcPr>
            <w:tcW w:w="2041" w:type="dxa"/>
          </w:tcPr>
          <w:p w:rsidR="00505632" w:rsidRDefault="00505632" w:rsidP="00AD4E52">
            <w:pPr>
              <w:pStyle w:val="CellColumn"/>
              <w:jc w:val="right"/>
            </w:pPr>
            <w:r>
              <w:rPr>
                <w:rFonts w:cs="Times New Roman"/>
              </w:rPr>
              <w:t>46.625.565</w:t>
            </w:r>
          </w:p>
        </w:tc>
        <w:tc>
          <w:tcPr>
            <w:tcW w:w="1224" w:type="dxa"/>
          </w:tcPr>
          <w:p w:rsidR="00505632" w:rsidRDefault="00505632" w:rsidP="00AD4E52">
            <w:pPr>
              <w:pStyle w:val="CellColumn"/>
              <w:jc w:val="right"/>
            </w:pPr>
            <w:r>
              <w:rPr>
                <w:rFonts w:cs="Times New Roman"/>
              </w:rPr>
              <w:t>100,1</w:t>
            </w:r>
          </w:p>
        </w:tc>
        <w:tc>
          <w:tcPr>
            <w:tcW w:w="1224" w:type="dxa"/>
          </w:tcPr>
          <w:p w:rsidR="00505632" w:rsidRDefault="00505632" w:rsidP="00AD4E52">
            <w:pPr>
              <w:pStyle w:val="CellColumn"/>
              <w:jc w:val="right"/>
            </w:pPr>
            <w:r>
              <w:rPr>
                <w:rFonts w:cs="Times New Roman"/>
              </w:rPr>
              <w:t>59,7</w:t>
            </w:r>
          </w:p>
        </w:tc>
      </w:tr>
    </w:tbl>
    <w:p w:rsidR="00505632" w:rsidRDefault="00505632" w:rsidP="00505632">
      <w:pPr>
        <w:jc w:val="left"/>
      </w:pPr>
    </w:p>
    <w:p w:rsidR="00505632" w:rsidRDefault="00505632" w:rsidP="00505632">
      <w:r>
        <w:t>Program je usmjeren na učinkovitu promociju Hrvatske kao jedne od vodećih međunarodnih turističkih destinacija.</w:t>
      </w:r>
    </w:p>
    <w:p w:rsidR="00505632" w:rsidRDefault="00505632" w:rsidP="00505632">
      <w:pPr>
        <w:pStyle w:val="Heading8"/>
        <w:jc w:val="left"/>
      </w:pPr>
      <w:r>
        <w:t>Cilj 1. Afirmacija Hrvatske na međunarodnom turističkom tržištu kroz učinkovitu promociju</w:t>
      </w:r>
    </w:p>
    <w:p w:rsidR="00505632" w:rsidRDefault="00505632" w:rsidP="00505632">
      <w:pPr>
        <w:pStyle w:val="Heading8"/>
        <w:jc w:val="left"/>
      </w:pPr>
      <w:r>
        <w:t>Opis provedbe cilja programa</w:t>
      </w:r>
    </w:p>
    <w:p w:rsidR="00505632" w:rsidRDefault="00505632" w:rsidP="00505632">
      <w:r>
        <w:t>Kako bi Republika Hrvatska postala globalno prepoznatljiva turistička destinacija, Ministarstvo turizma je tijekom 2016. godine potpisalo Ugovor i 3. Aneksa Ugovora o sufinanciranju turističke promidžbe RH s Hrvatskom turističkom zajednicom. Ministarstvo je sufinanciralo sljedeće aktivnosti: opće oglašavanje i tržišne aktivnosti, PPS komunikacijsku taktiku, potpore događanjima i TOP događanja putem javnog poziva, mega projekt „Tour of Croatia“, marketinške aktivnosti koje jačaju snagu nacionalnog brenda putem velikih sportskih događanja te marketinške aktivnosti najvećih hrvatskih zračnih luka. Predmetne aktivnosti su dovele do povećanja broja dolazaka stranih turista, što je pokazatelj uspješnosti provedbe predmetne aktivnosti.</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34"/>
        <w:gridCol w:w="2535"/>
        <w:gridCol w:w="1018"/>
        <w:gridCol w:w="1020"/>
        <w:gridCol w:w="1059"/>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 xml:space="preserve">Broj dolazaka </w:t>
            </w:r>
          </w:p>
          <w:p w:rsidR="00505632" w:rsidRDefault="00505632" w:rsidP="00AD4E52">
            <w:pPr>
              <w:pStyle w:val="CellColumn"/>
              <w:jc w:val="left"/>
            </w:pPr>
            <w:r>
              <w:rPr>
                <w:rFonts w:cs="Times New Roman"/>
              </w:rPr>
              <w:t>stranih turista</w:t>
            </w:r>
          </w:p>
        </w:tc>
        <w:tc>
          <w:tcPr>
            <w:tcW w:w="2551" w:type="dxa"/>
          </w:tcPr>
          <w:p w:rsidR="00505632" w:rsidRDefault="00505632" w:rsidP="00AD4E52">
            <w:pPr>
              <w:pStyle w:val="CellColumn"/>
              <w:jc w:val="left"/>
            </w:pPr>
            <w:r>
              <w:rPr>
                <w:rFonts w:cs="Times New Roman"/>
              </w:rPr>
              <w:t xml:space="preserve">Broj dolazaka </w:t>
            </w:r>
          </w:p>
          <w:p w:rsidR="00505632" w:rsidRDefault="00505632" w:rsidP="00AD4E52">
            <w:pPr>
              <w:pStyle w:val="CellColumn"/>
              <w:jc w:val="left"/>
            </w:pPr>
            <w:r>
              <w:rPr>
                <w:rFonts w:cs="Times New Roman"/>
              </w:rPr>
              <w:t>stranih turista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12.683.179</w:t>
            </w:r>
          </w:p>
        </w:tc>
        <w:tc>
          <w:tcPr>
            <w:tcW w:w="1020" w:type="dxa"/>
          </w:tcPr>
          <w:p w:rsidR="00505632" w:rsidRDefault="00505632" w:rsidP="00AD4E52">
            <w:pPr>
              <w:pStyle w:val="CellColumn"/>
              <w:jc w:val="right"/>
            </w:pPr>
            <w:r>
              <w:rPr>
                <w:rFonts w:cs="Times New Roman"/>
              </w:rPr>
              <w:t>MINT/DZS</w:t>
            </w:r>
          </w:p>
        </w:tc>
        <w:tc>
          <w:tcPr>
            <w:tcW w:w="1020" w:type="dxa"/>
          </w:tcPr>
          <w:p w:rsidR="00505632" w:rsidRDefault="00505632" w:rsidP="00AD4E52">
            <w:pPr>
              <w:pStyle w:val="CellColumn"/>
              <w:jc w:val="right"/>
            </w:pPr>
            <w:r>
              <w:rPr>
                <w:rFonts w:cs="Times New Roman"/>
              </w:rPr>
              <w:t>12.800.000</w:t>
            </w:r>
          </w:p>
        </w:tc>
        <w:tc>
          <w:tcPr>
            <w:tcW w:w="1020" w:type="dxa"/>
          </w:tcPr>
          <w:p w:rsidR="00505632" w:rsidRDefault="00505632" w:rsidP="00AD4E52">
            <w:pPr>
              <w:pStyle w:val="CellColumn"/>
              <w:jc w:val="right"/>
            </w:pPr>
            <w:r>
              <w:rPr>
                <w:rFonts w:cs="Times New Roman"/>
              </w:rPr>
              <w:t>13.808.532</w:t>
            </w:r>
          </w:p>
        </w:tc>
      </w:tr>
    </w:tbl>
    <w:p w:rsidR="00505632" w:rsidRDefault="00505632" w:rsidP="00505632">
      <w:pPr>
        <w:jc w:val="left"/>
      </w:pPr>
    </w:p>
    <w:p w:rsidR="00505632" w:rsidRDefault="00505632" w:rsidP="00505632">
      <w:pPr>
        <w:pStyle w:val="Heading4"/>
      </w:pPr>
      <w:r>
        <w:t>A587001 TURISTIČKA PROMIDŽBA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A587001-TURISTIČKA PROMIDŽBA REPUBLIKE HRVATSKE</w:t>
            </w:r>
          </w:p>
        </w:tc>
        <w:tc>
          <w:tcPr>
            <w:tcW w:w="2041" w:type="dxa"/>
          </w:tcPr>
          <w:p w:rsidR="00505632" w:rsidRDefault="00505632" w:rsidP="00AD4E52">
            <w:pPr>
              <w:pStyle w:val="CellColumn"/>
              <w:jc w:val="right"/>
            </w:pPr>
            <w:r>
              <w:rPr>
                <w:rFonts w:cs="Times New Roman"/>
              </w:rPr>
              <w:t>78.000.000</w:t>
            </w:r>
          </w:p>
        </w:tc>
        <w:tc>
          <w:tcPr>
            <w:tcW w:w="2041" w:type="dxa"/>
          </w:tcPr>
          <w:p w:rsidR="00505632" w:rsidRDefault="00505632" w:rsidP="00AD4E52">
            <w:pPr>
              <w:pStyle w:val="CellColumn"/>
              <w:jc w:val="right"/>
            </w:pPr>
            <w:r>
              <w:rPr>
                <w:rFonts w:cs="Times New Roman"/>
              </w:rPr>
              <w:t>46.500.000</w:t>
            </w:r>
          </w:p>
        </w:tc>
        <w:tc>
          <w:tcPr>
            <w:tcW w:w="2041" w:type="dxa"/>
          </w:tcPr>
          <w:p w:rsidR="00505632" w:rsidRDefault="00505632" w:rsidP="00AD4E52">
            <w:pPr>
              <w:pStyle w:val="CellColumn"/>
              <w:jc w:val="right"/>
            </w:pPr>
            <w:r>
              <w:rPr>
                <w:rFonts w:cs="Times New Roman"/>
              </w:rPr>
              <w:t>46.500.000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59,6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državnom proračunu (NN 87/08, 136/12, 15/15); Zakon o turističkim zajednicama i promicanju hrvatskog turizma (NN 152/08); Strategija Vladinih programa za razdoblje 2015.-2017.; Strategija razvoja turizma Republike Hrvatske do 2020.g. (NN 55/13); Strateški plan Ministarstva turizma za razdoblje 2016.-2018.; Strateški marketinški plan hrvatskog turizma za razdoblje 2014.-2020.</w:t>
      </w:r>
    </w:p>
    <w:p w:rsidR="00505632" w:rsidRDefault="00505632" w:rsidP="00505632">
      <w:pPr>
        <w:pStyle w:val="Heading8"/>
        <w:jc w:val="left"/>
      </w:pPr>
      <w:r>
        <w:t>Opis aktivnosti</w:t>
      </w:r>
    </w:p>
    <w:p w:rsidR="00505632" w:rsidRDefault="00505632" w:rsidP="00505632">
      <w:r>
        <w:t xml:space="preserve">Temeljem Strateškog marketinškog plana hrvatskog turizma za razdoblje 2014.-2020. Glavni se ciljevi mogu definirati kao smanjenje sezonalnosti, povećanje potrošnje po turistu i jačanje snage nacionalnog brenda. Sve definirane aktivnosti provode se preko Glavnog ureda Hrvatske turističke zajednice.  </w:t>
      </w:r>
    </w:p>
    <w:p w:rsidR="00505632" w:rsidRDefault="00505632" w:rsidP="00505632">
      <w:r>
        <w:t xml:space="preserve">Ministarstvo je sredstvima iz državnog proračuna poticalo aktivnosti i projekte za opće oglašavanje i PPS (pred i post sezona) komunikacijsku kampanju.  </w:t>
      </w:r>
    </w:p>
    <w:p w:rsidR="00505632" w:rsidRDefault="00505632" w:rsidP="00505632">
      <w:r>
        <w:t xml:space="preserve">Ministarstvo je posebno podupiralo promotivne i marketinške aktivnosti kroz poticanje velikih turističkih inicijativa u pred i posezoni, a posebno najvećih višednevnih sportskih manifestacija koje se realiziraju na području više turističkih regija, koje imaju veliku medijsku pokrivenost i koje su u funkciji podizanja atraktivnosti i prepoznatljivosti ukupne turističke ponude uže i šire destinacije. Također, Ministarstvo je poticalo i marketinške aktivnosti najvećih hrvatskih zračnih luka. </w:t>
      </w:r>
    </w:p>
    <w:p w:rsidR="00505632" w:rsidRDefault="00505632" w:rsidP="00505632">
      <w:r>
        <w:t>Ministarstvo je poticalo organizaciju i održavanje nacionalnih manifestacija putem javnog poziva čime se potiče obogaćivanje turističke ponude destinacije kao i održavanje TOP događanja   kao motiva dolazaka u turističku destinaciju.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Porast broja dolazaka stranih turista</w:t>
            </w:r>
          </w:p>
        </w:tc>
        <w:tc>
          <w:tcPr>
            <w:tcW w:w="2551" w:type="dxa"/>
          </w:tcPr>
          <w:p w:rsidR="00505632" w:rsidRDefault="00505632" w:rsidP="00AD4E52">
            <w:pPr>
              <w:pStyle w:val="CellColumn"/>
              <w:jc w:val="left"/>
            </w:pPr>
            <w:r>
              <w:rPr>
                <w:rFonts w:cs="Times New Roman"/>
              </w:rPr>
              <w:t>Porast broja dolazaka stranih turista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12.683.179</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12.800.000</w:t>
            </w:r>
          </w:p>
        </w:tc>
        <w:tc>
          <w:tcPr>
            <w:tcW w:w="1020" w:type="dxa"/>
          </w:tcPr>
          <w:p w:rsidR="00505632" w:rsidRDefault="00505632" w:rsidP="00AD4E52">
            <w:pPr>
              <w:pStyle w:val="CellColumn"/>
              <w:jc w:val="right"/>
            </w:pPr>
            <w:r>
              <w:rPr>
                <w:rFonts w:cs="Times New Roman"/>
              </w:rPr>
              <w:t>13.808.532</w:t>
            </w:r>
          </w:p>
        </w:tc>
      </w:tr>
    </w:tbl>
    <w:p w:rsidR="00505632" w:rsidRDefault="00505632" w:rsidP="00505632">
      <w:pPr>
        <w:jc w:val="left"/>
      </w:pPr>
    </w:p>
    <w:p w:rsidR="00505632" w:rsidRDefault="00505632" w:rsidP="00505632">
      <w:pPr>
        <w:pStyle w:val="Heading4"/>
      </w:pPr>
      <w:r>
        <w:t>K819038 STRUČNI ISPITI TURISTIČKIH ZAJEDNICA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K819038-STRUČNI ISPITI TURISTIČKIH ZAJEDNICA</w:t>
            </w:r>
          </w:p>
        </w:tc>
        <w:tc>
          <w:tcPr>
            <w:tcW w:w="2041" w:type="dxa"/>
          </w:tcPr>
          <w:p w:rsidR="00505632" w:rsidRDefault="00505632" w:rsidP="00AD4E52">
            <w:pPr>
              <w:pStyle w:val="CellColumn"/>
              <w:jc w:val="right"/>
            </w:pPr>
            <w:r>
              <w:rPr>
                <w:rFonts w:cs="Times New Roman"/>
              </w:rPr>
              <w:t>121.211</w:t>
            </w:r>
          </w:p>
        </w:tc>
        <w:tc>
          <w:tcPr>
            <w:tcW w:w="2041" w:type="dxa"/>
          </w:tcPr>
          <w:p w:rsidR="00505632" w:rsidRDefault="00505632" w:rsidP="00AD4E52">
            <w:pPr>
              <w:pStyle w:val="CellColumn"/>
              <w:jc w:val="right"/>
            </w:pPr>
            <w:r>
              <w:rPr>
                <w:rFonts w:cs="Times New Roman"/>
              </w:rPr>
              <w:t>100.000</w:t>
            </w:r>
          </w:p>
        </w:tc>
        <w:tc>
          <w:tcPr>
            <w:tcW w:w="2041" w:type="dxa"/>
          </w:tcPr>
          <w:p w:rsidR="00505632" w:rsidRDefault="00505632" w:rsidP="00AD4E52">
            <w:pPr>
              <w:pStyle w:val="CellColumn"/>
              <w:jc w:val="right"/>
            </w:pPr>
            <w:r>
              <w:rPr>
                <w:rFonts w:cs="Times New Roman"/>
              </w:rPr>
              <w:t>125.565</w:t>
            </w:r>
          </w:p>
        </w:tc>
        <w:tc>
          <w:tcPr>
            <w:tcW w:w="1224" w:type="dxa"/>
          </w:tcPr>
          <w:p w:rsidR="00505632" w:rsidRDefault="00505632" w:rsidP="00AD4E52">
            <w:pPr>
              <w:pStyle w:val="CellColumn"/>
              <w:jc w:val="right"/>
            </w:pPr>
            <w:r>
              <w:rPr>
                <w:rFonts w:cs="Times New Roman"/>
              </w:rPr>
              <w:t>125,6</w:t>
            </w:r>
          </w:p>
        </w:tc>
        <w:tc>
          <w:tcPr>
            <w:tcW w:w="1224" w:type="dxa"/>
          </w:tcPr>
          <w:p w:rsidR="00505632" w:rsidRDefault="00505632" w:rsidP="00AD4E52">
            <w:pPr>
              <w:pStyle w:val="CellColumn"/>
              <w:jc w:val="right"/>
            </w:pPr>
            <w:r>
              <w:rPr>
                <w:rFonts w:cs="Times New Roman"/>
              </w:rPr>
              <w:t>103,6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turističkim zajednicama i promicanju hrvatskog turizma (NN 152/08); Pravilnik o stručnom ispitu za rad na stručnim poslovima u turističkom uredu turističke zajednice (NN 121/09, 124/10, 15/13, 65/13)</w:t>
      </w:r>
    </w:p>
    <w:p w:rsidR="00505632" w:rsidRDefault="00505632" w:rsidP="00505632">
      <w:pPr>
        <w:pStyle w:val="Heading8"/>
        <w:jc w:val="left"/>
      </w:pPr>
      <w:r>
        <w:t>Opis aktivnosti</w:t>
      </w:r>
    </w:p>
    <w:p w:rsidR="00505632" w:rsidRDefault="00505632" w:rsidP="00505632">
      <w:r>
        <w:t>Stručni ispiti turističkih zajednica se provode s ciljem podizanja kvalitete obrazovanja i stručnosti kao i stjecanja razine stručnih znanja zaposlenika u turističkim zajednicama, s naglaskom za one potrebne za realizaciju zakonom definiranih zadaća turističkih zajednica.</w:t>
      </w:r>
    </w:p>
    <w:p w:rsidR="00505632" w:rsidRDefault="00505632" w:rsidP="006A4980">
      <w:pPr>
        <w:overflowPunct/>
        <w:autoSpaceDE/>
        <w:autoSpaceDN/>
        <w:adjustRightInd/>
        <w:spacing w:after="200" w:line="276" w:lineRule="auto"/>
        <w:jc w:val="left"/>
        <w:textAlignment w:val="auto"/>
      </w:pPr>
      <w:r>
        <w:br w:type="page"/>
      </w:r>
    </w:p>
    <w:p w:rsidR="00505632" w:rsidRDefault="00505632" w:rsidP="00505632">
      <w:pPr>
        <w:pStyle w:val="Heading1"/>
      </w:pPr>
      <w:r>
        <w:t>095 MINISTARSTVO UPRAVE</w:t>
      </w:r>
    </w:p>
    <w:p w:rsidR="00505632" w:rsidRDefault="00505632" w:rsidP="00505632">
      <w:r>
        <w:t xml:space="preserve">Ministarstvo uprave ustrojeno je 2. srpnja 2009. godine, temeljem odredbi Zakona o izmjenama i dopunama Zakona o ustrojstvu i djelokrugu središnjih tijela državne uprave ("Narodne novine", broj 77/2009). Na temelju članka 63. stavka 2. Zakona o sustavu državne uprave ("Narodne novine", broj 150/2011) i članka 40. stavka 1. Zakona o ustrojstvu i djelokrugu ministarstava i drugih središnjih tijela državne uprave ("Narodne novine", broj 150/2011 i 22/2012), Vlada Republike Hrvatske je na sjednici održanoj 23. veljače 2012. godine donijela novu Uredbu o unutarnjem ustrojstvu Ministarstva uprave, te su dodatno ojačani upravljački i administrativni kapaciteti ministarstva. </w:t>
      </w:r>
    </w:p>
    <w:p w:rsidR="00505632" w:rsidRDefault="00505632" w:rsidP="00505632">
      <w:r>
        <w:t xml:space="preserve">Vizija Ministarstva uprave je: Moderna i korisnički usmjerena javna uprava. </w:t>
      </w:r>
    </w:p>
    <w:p w:rsidR="00505632" w:rsidRDefault="00505632" w:rsidP="00505632">
      <w:r>
        <w:t>Misija Ministarstva uprave je trajno unapređenje sustava radi osiguranja i zaštite javnog interesa, zakonitog djelovanja i pružanja usluga u ostvarivanju prava građana i gospodarskih subjekata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09505-Ministarstvo uprave</w:t>
            </w:r>
          </w:p>
        </w:tc>
        <w:tc>
          <w:tcPr>
            <w:tcW w:w="2041" w:type="dxa"/>
            <w:vAlign w:val="top"/>
          </w:tcPr>
          <w:p w:rsidR="00505632" w:rsidRDefault="00505632" w:rsidP="00AD4E52">
            <w:pPr>
              <w:pStyle w:val="CellColumn"/>
              <w:jc w:val="right"/>
            </w:pPr>
            <w:r>
              <w:rPr>
                <w:rFonts w:cs="Times New Roman"/>
              </w:rPr>
              <w:t>34.049.629</w:t>
            </w:r>
          </w:p>
        </w:tc>
        <w:tc>
          <w:tcPr>
            <w:tcW w:w="2041" w:type="dxa"/>
            <w:vAlign w:val="top"/>
          </w:tcPr>
          <w:p w:rsidR="00505632" w:rsidRDefault="00505632" w:rsidP="00AD4E52">
            <w:pPr>
              <w:pStyle w:val="CellColumn"/>
              <w:jc w:val="right"/>
            </w:pPr>
            <w:r>
              <w:rPr>
                <w:rFonts w:cs="Times New Roman"/>
              </w:rPr>
              <w:t>75.480.568</w:t>
            </w:r>
          </w:p>
        </w:tc>
        <w:tc>
          <w:tcPr>
            <w:tcW w:w="2041" w:type="dxa"/>
            <w:vAlign w:val="top"/>
          </w:tcPr>
          <w:p w:rsidR="00505632" w:rsidRDefault="00505632" w:rsidP="00AD4E52">
            <w:pPr>
              <w:pStyle w:val="CellColumn"/>
              <w:jc w:val="right"/>
            </w:pPr>
            <w:r>
              <w:rPr>
                <w:rFonts w:cs="Times New Roman"/>
              </w:rPr>
              <w:t>57.642.521</w:t>
            </w:r>
          </w:p>
        </w:tc>
        <w:tc>
          <w:tcPr>
            <w:tcW w:w="1224" w:type="dxa"/>
            <w:vAlign w:val="top"/>
          </w:tcPr>
          <w:p w:rsidR="00505632" w:rsidRDefault="00505632" w:rsidP="00AD4E52">
            <w:pPr>
              <w:pStyle w:val="CellColumn"/>
              <w:jc w:val="right"/>
            </w:pPr>
            <w:r>
              <w:rPr>
                <w:rFonts w:cs="Times New Roman"/>
              </w:rPr>
              <w:t>76,4</w:t>
            </w:r>
          </w:p>
        </w:tc>
        <w:tc>
          <w:tcPr>
            <w:tcW w:w="1224" w:type="dxa"/>
            <w:vAlign w:val="top"/>
          </w:tcPr>
          <w:p w:rsidR="00505632" w:rsidRDefault="00505632" w:rsidP="00AD4E52">
            <w:pPr>
              <w:pStyle w:val="CellColumn"/>
              <w:jc w:val="right"/>
            </w:pPr>
            <w:r>
              <w:rPr>
                <w:rFonts w:cs="Times New Roman"/>
              </w:rPr>
              <w:t>169,3</w:t>
            </w:r>
          </w:p>
        </w:tc>
      </w:tr>
      <w:tr w:rsidR="00505632" w:rsidTr="00AD4E52">
        <w:trPr>
          <w:jc w:val="center"/>
        </w:trPr>
        <w:tc>
          <w:tcPr>
            <w:tcW w:w="1632" w:type="dxa"/>
            <w:vAlign w:val="top"/>
          </w:tcPr>
          <w:p w:rsidR="00505632" w:rsidRDefault="00505632" w:rsidP="00AD4E52">
            <w:pPr>
              <w:pStyle w:val="CellColumn"/>
              <w:jc w:val="left"/>
            </w:pPr>
            <w:r>
              <w:rPr>
                <w:rFonts w:cs="Times New Roman"/>
              </w:rPr>
              <w:t>09510-Uredi državne uprave u županijama</w:t>
            </w:r>
          </w:p>
        </w:tc>
        <w:tc>
          <w:tcPr>
            <w:tcW w:w="2041" w:type="dxa"/>
            <w:vAlign w:val="top"/>
          </w:tcPr>
          <w:p w:rsidR="00505632" w:rsidRDefault="00505632" w:rsidP="00AD4E52">
            <w:pPr>
              <w:pStyle w:val="CellColumn"/>
              <w:jc w:val="right"/>
            </w:pPr>
            <w:r>
              <w:rPr>
                <w:rFonts w:cs="Times New Roman"/>
              </w:rPr>
              <w:t>279.574.073</w:t>
            </w:r>
          </w:p>
        </w:tc>
        <w:tc>
          <w:tcPr>
            <w:tcW w:w="2041" w:type="dxa"/>
            <w:vAlign w:val="top"/>
          </w:tcPr>
          <w:p w:rsidR="00505632" w:rsidRDefault="00505632" w:rsidP="00AD4E52">
            <w:pPr>
              <w:pStyle w:val="CellColumn"/>
              <w:jc w:val="right"/>
            </w:pPr>
            <w:r>
              <w:rPr>
                <w:rFonts w:cs="Times New Roman"/>
              </w:rPr>
              <w:t>292.994.297</w:t>
            </w:r>
          </w:p>
        </w:tc>
        <w:tc>
          <w:tcPr>
            <w:tcW w:w="2041" w:type="dxa"/>
            <w:vAlign w:val="top"/>
          </w:tcPr>
          <w:p w:rsidR="00505632" w:rsidRDefault="00505632" w:rsidP="00AD4E52">
            <w:pPr>
              <w:pStyle w:val="CellColumn"/>
              <w:jc w:val="right"/>
            </w:pPr>
            <w:r>
              <w:rPr>
                <w:rFonts w:cs="Times New Roman"/>
              </w:rPr>
              <w:t>295.655.444</w:t>
            </w:r>
          </w:p>
        </w:tc>
        <w:tc>
          <w:tcPr>
            <w:tcW w:w="1224" w:type="dxa"/>
            <w:vAlign w:val="top"/>
          </w:tcPr>
          <w:p w:rsidR="00505632" w:rsidRDefault="00505632" w:rsidP="00AD4E52">
            <w:pPr>
              <w:pStyle w:val="CellColumn"/>
              <w:jc w:val="right"/>
            </w:pPr>
            <w:r>
              <w:rPr>
                <w:rFonts w:cs="Times New Roman"/>
              </w:rPr>
              <w:t>100,9</w:t>
            </w:r>
          </w:p>
        </w:tc>
        <w:tc>
          <w:tcPr>
            <w:tcW w:w="1224" w:type="dxa"/>
            <w:vAlign w:val="top"/>
          </w:tcPr>
          <w:p w:rsidR="00505632" w:rsidRDefault="00505632" w:rsidP="00AD4E52">
            <w:pPr>
              <w:pStyle w:val="CellColumn"/>
              <w:jc w:val="right"/>
            </w:pPr>
            <w:r>
              <w:rPr>
                <w:rFonts w:cs="Times New Roman"/>
              </w:rPr>
              <w:t>105,8</w:t>
            </w:r>
          </w:p>
        </w:tc>
      </w:tr>
      <w:tr w:rsidR="00505632" w:rsidTr="00AD4E52">
        <w:trPr>
          <w:jc w:val="center"/>
        </w:trPr>
        <w:tc>
          <w:tcPr>
            <w:tcW w:w="1632" w:type="dxa"/>
            <w:vAlign w:val="top"/>
          </w:tcPr>
          <w:p w:rsidR="00505632" w:rsidRDefault="00505632" w:rsidP="00AD4E52">
            <w:pPr>
              <w:pStyle w:val="CellColumn"/>
              <w:jc w:val="left"/>
            </w:pPr>
            <w:r>
              <w:rPr>
                <w:rFonts w:cs="Times New Roman"/>
              </w:rPr>
              <w:t>09515-Državna škola za javnu upravu</w:t>
            </w:r>
          </w:p>
        </w:tc>
        <w:tc>
          <w:tcPr>
            <w:tcW w:w="2041" w:type="dxa"/>
            <w:vAlign w:val="top"/>
          </w:tcPr>
          <w:p w:rsidR="00505632" w:rsidRDefault="00505632" w:rsidP="00AD4E52">
            <w:pPr>
              <w:pStyle w:val="CellColumn"/>
              <w:jc w:val="right"/>
            </w:pPr>
            <w:r>
              <w:rPr>
                <w:rFonts w:cs="Times New Roman"/>
              </w:rPr>
              <w:t>5.785.918</w:t>
            </w:r>
          </w:p>
        </w:tc>
        <w:tc>
          <w:tcPr>
            <w:tcW w:w="2041" w:type="dxa"/>
            <w:vAlign w:val="top"/>
          </w:tcPr>
          <w:p w:rsidR="00505632" w:rsidRDefault="00505632" w:rsidP="00AD4E52">
            <w:pPr>
              <w:pStyle w:val="CellColumn"/>
              <w:jc w:val="right"/>
            </w:pPr>
            <w:r>
              <w:rPr>
                <w:rFonts w:cs="Times New Roman"/>
              </w:rPr>
              <w:t>4.497.940</w:t>
            </w:r>
          </w:p>
        </w:tc>
        <w:tc>
          <w:tcPr>
            <w:tcW w:w="2041" w:type="dxa"/>
            <w:vAlign w:val="top"/>
          </w:tcPr>
          <w:p w:rsidR="00505632" w:rsidRDefault="00505632" w:rsidP="00AD4E52">
            <w:pPr>
              <w:pStyle w:val="CellColumn"/>
              <w:jc w:val="right"/>
            </w:pPr>
            <w:r>
              <w:rPr>
                <w:rFonts w:cs="Times New Roman"/>
              </w:rPr>
              <w:t>4.700.129</w:t>
            </w:r>
          </w:p>
        </w:tc>
        <w:tc>
          <w:tcPr>
            <w:tcW w:w="1224" w:type="dxa"/>
            <w:vAlign w:val="top"/>
          </w:tcPr>
          <w:p w:rsidR="00505632" w:rsidRDefault="00505632" w:rsidP="00AD4E52">
            <w:pPr>
              <w:pStyle w:val="CellColumn"/>
              <w:jc w:val="right"/>
            </w:pPr>
            <w:r>
              <w:rPr>
                <w:rFonts w:cs="Times New Roman"/>
              </w:rPr>
              <w:t>104,5</w:t>
            </w:r>
          </w:p>
        </w:tc>
        <w:tc>
          <w:tcPr>
            <w:tcW w:w="1224" w:type="dxa"/>
            <w:vAlign w:val="top"/>
          </w:tcPr>
          <w:p w:rsidR="00505632" w:rsidRDefault="00505632" w:rsidP="00AD4E52">
            <w:pPr>
              <w:pStyle w:val="CellColumn"/>
              <w:jc w:val="right"/>
            </w:pPr>
            <w:r>
              <w:rPr>
                <w:rFonts w:cs="Times New Roman"/>
              </w:rPr>
              <w:t>81,2</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095-MINISTARSTVO UPRAVE</w:t>
            </w:r>
          </w:p>
        </w:tc>
        <w:tc>
          <w:tcPr>
            <w:tcW w:w="2041" w:type="dxa"/>
            <w:shd w:val="clear" w:color="auto" w:fill="B5C0D8"/>
          </w:tcPr>
          <w:p w:rsidR="00505632" w:rsidRDefault="00505632" w:rsidP="00AD4E52">
            <w:pPr>
              <w:pStyle w:val="CellColumn"/>
              <w:jc w:val="right"/>
            </w:pPr>
            <w:r>
              <w:rPr>
                <w:rFonts w:cs="Times New Roman"/>
              </w:rPr>
              <w:t>319.409.620</w:t>
            </w:r>
          </w:p>
        </w:tc>
        <w:tc>
          <w:tcPr>
            <w:tcW w:w="2041" w:type="dxa"/>
            <w:shd w:val="clear" w:color="auto" w:fill="B5C0D8"/>
          </w:tcPr>
          <w:p w:rsidR="00505632" w:rsidRDefault="00505632" w:rsidP="00AD4E52">
            <w:pPr>
              <w:pStyle w:val="CellColumn"/>
              <w:jc w:val="right"/>
            </w:pPr>
            <w:r>
              <w:rPr>
                <w:rFonts w:cs="Times New Roman"/>
              </w:rPr>
              <w:t>372.972.805</w:t>
            </w:r>
          </w:p>
        </w:tc>
        <w:tc>
          <w:tcPr>
            <w:tcW w:w="2041" w:type="dxa"/>
            <w:shd w:val="clear" w:color="auto" w:fill="B5C0D8"/>
          </w:tcPr>
          <w:p w:rsidR="00505632" w:rsidRDefault="00505632" w:rsidP="00AD4E52">
            <w:pPr>
              <w:pStyle w:val="CellColumn"/>
              <w:jc w:val="right"/>
            </w:pPr>
            <w:r>
              <w:rPr>
                <w:rFonts w:cs="Times New Roman"/>
              </w:rPr>
              <w:t>357.998.094</w:t>
            </w:r>
          </w:p>
        </w:tc>
        <w:tc>
          <w:tcPr>
            <w:tcW w:w="1224" w:type="dxa"/>
            <w:shd w:val="clear" w:color="auto" w:fill="B5C0D8"/>
          </w:tcPr>
          <w:p w:rsidR="00505632" w:rsidRDefault="00505632" w:rsidP="00AD4E52">
            <w:pPr>
              <w:pStyle w:val="CellColumn"/>
              <w:jc w:val="right"/>
            </w:pPr>
            <w:r>
              <w:rPr>
                <w:rFonts w:cs="Times New Roman"/>
              </w:rPr>
              <w:t>96,0</w:t>
            </w:r>
          </w:p>
        </w:tc>
        <w:tc>
          <w:tcPr>
            <w:tcW w:w="1224" w:type="dxa"/>
            <w:shd w:val="clear" w:color="auto" w:fill="B5C0D8"/>
          </w:tcPr>
          <w:p w:rsidR="00505632" w:rsidRDefault="00505632" w:rsidP="00AD4E52">
            <w:pPr>
              <w:pStyle w:val="CellColumn"/>
              <w:jc w:val="right"/>
            </w:pPr>
            <w:r>
              <w:rPr>
                <w:rFonts w:cs="Times New Roman"/>
              </w:rPr>
              <w:t>112,1</w:t>
            </w:r>
          </w:p>
        </w:tc>
      </w:tr>
    </w:tbl>
    <w:p w:rsidR="00505632" w:rsidRDefault="00505632" w:rsidP="00505632">
      <w:pPr>
        <w:jc w:val="left"/>
      </w:pPr>
    </w:p>
    <w:p w:rsidR="00505632" w:rsidRDefault="00505632" w:rsidP="00505632">
      <w:pPr>
        <w:pStyle w:val="Heading2"/>
      </w:pPr>
      <w:r>
        <w:t>09505 Ministarstvo uprave</w:t>
      </w:r>
    </w:p>
    <w:p w:rsidR="00505632" w:rsidRDefault="00505632" w:rsidP="00505632">
      <w:r>
        <w:t xml:space="preserve">Ministarstvo uprave ustrojeno je Zakonom o ustrojstvu i djelokrugu ministarstava i drugih središnjih tijela državne uprave („Narodne novine“, broj 150/2011, 22/2012, 39/2013, 125/2013, 148/2013, 93/2016, 104/2016).  </w:t>
      </w:r>
    </w:p>
    <w:p w:rsidR="00505632" w:rsidRDefault="00505632" w:rsidP="00505632">
      <w:r>
        <w:t xml:space="preserve">Ministarstvo uprave obavlja upravne i stručne poslove koji se odnose na: sustav i ustrojstvo državne uprave i lokalne i područne (regionalne) samouprave; politički i izborni sustav; osobna stanja građana; registraciju političkih stranaka, zaklada, fundacija i drugih evidencija utvrđenih posebnim zakonima; planiranje i nadzor zapošljavanja u državnoj upravi; stručno osposobljavanje i usavršavanje te radnopravni položaj zaposlenih u državnoj upravi i lokalnoj i područnoj (regionalnoj) samoupravi; poticanje znanstvenog i stručnog razvitka državne uprave; poslove upravnog i inspekcijskog nadzora u svim tijelima državne uprave i lokalne i područne (regionalne) samouprave; upravljanje sredstvima za unapređenje upravne sposobnosti kroz razvoj uslužne kulture u upravi; usmjeravanje reforme i procesa modernizacije u čitavoj upravi; primjenu etičkih načela; praćenje načina korištenja sredstava rada te primjenu suvremenih metoda rada u državnoj upravi, posebno primjenu računalnih i komunikacijskih sustava u radu te uvođenje novih tehnologija u radu ureda državne uprave u županijama; ostvarivanje međunarodne suradnje u pitanjima upravnog prava, državne uprave i lokalne samouprave; obavlja i druge poslove opće uprave. </w:t>
      </w:r>
    </w:p>
    <w:p w:rsidR="00505632" w:rsidRDefault="00505632" w:rsidP="00505632">
      <w:r>
        <w:t xml:space="preserve">Ministarstvo obavlja upravne i stručne poslove koji se odnose na: razvitak informacijskog sustava državne uprave; uspostavu tehnološke i sigurnosne informatičke infrastrukture u tijelima državne uprave; racionalizaciju uporabe informatičkih resursa u tijelima državne uprave; povezivanje informacijskih sustava tijela državne uprave kroz jedinstvenu informacijsko-komunikacijsku mrežu. </w:t>
      </w:r>
    </w:p>
    <w:p w:rsidR="00505632" w:rsidRDefault="00505632" w:rsidP="00505632">
      <w:r>
        <w:t xml:space="preserve">Ministarstvo obavlja i poslove koji se odnose na: praćenje i koordinaciju projekata iz područja informacijsko-komunikacijske tehnologije u tijelima državne uprave; sudjelovanje u donošenju i praćenju provedbe zakona i drugih propisa u području primjene informacijsko-komunikacijske tehnologije u državnoj upravi, razvitak primjene informacijske i komunikacijske tehnologije te sustava elektroničke uprave. </w:t>
      </w:r>
    </w:p>
    <w:p w:rsidR="00505632" w:rsidRDefault="00505632" w:rsidP="00505632">
      <w:r>
        <w:t xml:space="preserve">Ministarstvo sudjeluje s ministarstvom nadležnim za upravljanje državnom imovinom u poslovima upravljanja i raspolaganja dionicama i poslovnim udjelima trgovačkih društava koji čine državnu imovinu u vlasništvu Republike Hrvatske te u pogledu trgovačkih društava koja se pretežno bave djelatnostima iz područja propisane nadležnosti ovoga Ministarstva. </w:t>
      </w:r>
    </w:p>
    <w:p w:rsidR="00505632" w:rsidRDefault="00505632" w:rsidP="00505632">
      <w:r>
        <w:t xml:space="preserve">Ministarstvo obavlja poslove koji se odnose na sudjelovanje Republike Hrvatske u radu tijela Europske unije u područjima iz njegove nadležnosti. </w:t>
      </w:r>
    </w:p>
    <w:p w:rsidR="00505632" w:rsidRDefault="00505632" w:rsidP="00505632">
      <w:r>
        <w:t>Ministarstvo obavlja i druge poslove koji su mu stavljeni u nadležnost posebnim zakonom.</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09505-Ministarstvo uprave</w:t>
            </w:r>
          </w:p>
        </w:tc>
        <w:tc>
          <w:tcPr>
            <w:tcW w:w="2041" w:type="dxa"/>
            <w:vAlign w:val="top"/>
          </w:tcPr>
          <w:p w:rsidR="00505632" w:rsidRDefault="00505632" w:rsidP="00AD4E52">
            <w:pPr>
              <w:pStyle w:val="CellColumn"/>
              <w:jc w:val="right"/>
            </w:pPr>
            <w:r>
              <w:rPr>
                <w:rFonts w:cs="Times New Roman"/>
              </w:rPr>
              <w:t>34.049.629</w:t>
            </w:r>
          </w:p>
        </w:tc>
        <w:tc>
          <w:tcPr>
            <w:tcW w:w="2041" w:type="dxa"/>
            <w:vAlign w:val="top"/>
          </w:tcPr>
          <w:p w:rsidR="00505632" w:rsidRDefault="00505632" w:rsidP="00AD4E52">
            <w:pPr>
              <w:pStyle w:val="CellColumn"/>
              <w:jc w:val="right"/>
            </w:pPr>
            <w:r>
              <w:rPr>
                <w:rFonts w:cs="Times New Roman"/>
              </w:rPr>
              <w:t>75.480.568</w:t>
            </w:r>
          </w:p>
        </w:tc>
        <w:tc>
          <w:tcPr>
            <w:tcW w:w="2041" w:type="dxa"/>
            <w:vAlign w:val="top"/>
          </w:tcPr>
          <w:p w:rsidR="00505632" w:rsidRDefault="00505632" w:rsidP="00AD4E52">
            <w:pPr>
              <w:pStyle w:val="CellColumn"/>
              <w:jc w:val="right"/>
            </w:pPr>
            <w:r>
              <w:rPr>
                <w:rFonts w:cs="Times New Roman"/>
              </w:rPr>
              <w:t>57.642.521</w:t>
            </w:r>
          </w:p>
        </w:tc>
        <w:tc>
          <w:tcPr>
            <w:tcW w:w="1224" w:type="dxa"/>
            <w:vAlign w:val="top"/>
          </w:tcPr>
          <w:p w:rsidR="00505632" w:rsidRDefault="00505632" w:rsidP="00AD4E52">
            <w:pPr>
              <w:pStyle w:val="CellColumn"/>
              <w:jc w:val="right"/>
            </w:pPr>
            <w:r>
              <w:rPr>
                <w:rFonts w:cs="Times New Roman"/>
              </w:rPr>
              <w:t>76,4</w:t>
            </w:r>
          </w:p>
        </w:tc>
        <w:tc>
          <w:tcPr>
            <w:tcW w:w="1224" w:type="dxa"/>
            <w:vAlign w:val="top"/>
          </w:tcPr>
          <w:p w:rsidR="00505632" w:rsidRDefault="00505632" w:rsidP="00AD4E52">
            <w:pPr>
              <w:pStyle w:val="CellColumn"/>
              <w:jc w:val="right"/>
            </w:pPr>
            <w:r>
              <w:rPr>
                <w:rFonts w:cs="Times New Roman"/>
              </w:rPr>
              <w:t>169,3</w:t>
            </w:r>
          </w:p>
        </w:tc>
      </w:tr>
      <w:tr w:rsidR="00505632" w:rsidTr="00AD4E52">
        <w:trPr>
          <w:jc w:val="center"/>
        </w:trPr>
        <w:tc>
          <w:tcPr>
            <w:tcW w:w="1632" w:type="dxa"/>
          </w:tcPr>
          <w:p w:rsidR="00505632" w:rsidRDefault="00505632" w:rsidP="00AD4E52">
            <w:pPr>
              <w:jc w:val="left"/>
            </w:pPr>
            <w:r>
              <w:t>2401-USTROJSTVO JAVNE UPRAVE</w:t>
            </w:r>
          </w:p>
        </w:tc>
        <w:tc>
          <w:tcPr>
            <w:tcW w:w="2041" w:type="dxa"/>
          </w:tcPr>
          <w:p w:rsidR="00505632" w:rsidRDefault="00505632" w:rsidP="00AD4E52">
            <w:pPr>
              <w:jc w:val="right"/>
            </w:pPr>
            <w:r>
              <w:t>27.040.570</w:t>
            </w:r>
          </w:p>
        </w:tc>
        <w:tc>
          <w:tcPr>
            <w:tcW w:w="2041" w:type="dxa"/>
          </w:tcPr>
          <w:p w:rsidR="00505632" w:rsidRDefault="00505632" w:rsidP="00AD4E52">
            <w:pPr>
              <w:jc w:val="right"/>
            </w:pPr>
            <w:r>
              <w:t>40.291.318</w:t>
            </w:r>
          </w:p>
        </w:tc>
        <w:tc>
          <w:tcPr>
            <w:tcW w:w="2041" w:type="dxa"/>
          </w:tcPr>
          <w:p w:rsidR="00505632" w:rsidRDefault="00505632" w:rsidP="00AD4E52">
            <w:pPr>
              <w:jc w:val="right"/>
            </w:pPr>
            <w:r>
              <w:t>31.502.186</w:t>
            </w:r>
          </w:p>
        </w:tc>
        <w:tc>
          <w:tcPr>
            <w:tcW w:w="1224" w:type="dxa"/>
          </w:tcPr>
          <w:p w:rsidR="00505632" w:rsidRDefault="00505632" w:rsidP="00AD4E52">
            <w:pPr>
              <w:jc w:val="right"/>
            </w:pPr>
            <w:r>
              <w:t>78,2</w:t>
            </w:r>
          </w:p>
        </w:tc>
        <w:tc>
          <w:tcPr>
            <w:tcW w:w="1224" w:type="dxa"/>
          </w:tcPr>
          <w:p w:rsidR="00505632" w:rsidRDefault="00505632" w:rsidP="00AD4E52">
            <w:pPr>
              <w:jc w:val="right"/>
            </w:pPr>
            <w:r>
              <w:t>116,5</w:t>
            </w:r>
          </w:p>
        </w:tc>
      </w:tr>
      <w:tr w:rsidR="00505632" w:rsidTr="00AD4E52">
        <w:trPr>
          <w:jc w:val="center"/>
        </w:trPr>
        <w:tc>
          <w:tcPr>
            <w:tcW w:w="1632" w:type="dxa"/>
          </w:tcPr>
          <w:p w:rsidR="00505632" w:rsidRDefault="00505632" w:rsidP="00AD4E52">
            <w:pPr>
              <w:jc w:val="left"/>
            </w:pPr>
            <w:r>
              <w:t>2408-DIGITALIZACIJA UPRAVE</w:t>
            </w:r>
          </w:p>
        </w:tc>
        <w:tc>
          <w:tcPr>
            <w:tcW w:w="2041" w:type="dxa"/>
          </w:tcPr>
          <w:p w:rsidR="00505632" w:rsidRDefault="00505632" w:rsidP="00AD4E52">
            <w:pPr>
              <w:jc w:val="right"/>
            </w:pPr>
            <w:r>
              <w:t>7.009.059</w:t>
            </w:r>
          </w:p>
        </w:tc>
        <w:tc>
          <w:tcPr>
            <w:tcW w:w="2041" w:type="dxa"/>
          </w:tcPr>
          <w:p w:rsidR="00505632" w:rsidRDefault="00505632" w:rsidP="00AD4E52">
            <w:pPr>
              <w:jc w:val="right"/>
            </w:pPr>
            <w:r>
              <w:t>35.189.250</w:t>
            </w:r>
          </w:p>
        </w:tc>
        <w:tc>
          <w:tcPr>
            <w:tcW w:w="2041" w:type="dxa"/>
          </w:tcPr>
          <w:p w:rsidR="00505632" w:rsidRDefault="00505632" w:rsidP="00AD4E52">
            <w:pPr>
              <w:jc w:val="right"/>
            </w:pPr>
            <w:r>
              <w:t>26.140.334</w:t>
            </w:r>
          </w:p>
        </w:tc>
        <w:tc>
          <w:tcPr>
            <w:tcW w:w="1224" w:type="dxa"/>
          </w:tcPr>
          <w:p w:rsidR="00505632" w:rsidRDefault="00505632" w:rsidP="00AD4E52">
            <w:pPr>
              <w:jc w:val="right"/>
            </w:pPr>
            <w:r>
              <w:t>74,3</w:t>
            </w:r>
          </w:p>
        </w:tc>
        <w:tc>
          <w:tcPr>
            <w:tcW w:w="1224" w:type="dxa"/>
          </w:tcPr>
          <w:p w:rsidR="00505632" w:rsidRDefault="00505632" w:rsidP="00AD4E52">
            <w:pPr>
              <w:jc w:val="right"/>
            </w:pPr>
            <w:r>
              <w:t>373,0</w:t>
            </w:r>
          </w:p>
        </w:tc>
      </w:tr>
    </w:tbl>
    <w:p w:rsidR="00505632" w:rsidRDefault="00505632" w:rsidP="00505632">
      <w:pPr>
        <w:jc w:val="left"/>
      </w:pPr>
    </w:p>
    <w:p w:rsidR="00505632" w:rsidRDefault="00505632" w:rsidP="00505632">
      <w:pPr>
        <w:pStyle w:val="Heading3"/>
      </w:pPr>
      <w:r>
        <w:rPr>
          <w:rFonts w:cs="Times New Roman"/>
        </w:rPr>
        <w:t>2401 USTROJSTVO JAVNE UPRAVE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2401-USTROJSTVO JAVNE UPRAVE</w:t>
            </w:r>
          </w:p>
        </w:tc>
        <w:tc>
          <w:tcPr>
            <w:tcW w:w="2041" w:type="dxa"/>
          </w:tcPr>
          <w:p w:rsidR="00505632" w:rsidRDefault="00505632" w:rsidP="00AD4E52">
            <w:pPr>
              <w:pStyle w:val="CellColumn"/>
              <w:jc w:val="right"/>
            </w:pPr>
            <w:r>
              <w:rPr>
                <w:rFonts w:cs="Times New Roman"/>
              </w:rPr>
              <w:t>27.040.570</w:t>
            </w:r>
          </w:p>
        </w:tc>
        <w:tc>
          <w:tcPr>
            <w:tcW w:w="2041" w:type="dxa"/>
          </w:tcPr>
          <w:p w:rsidR="00505632" w:rsidRDefault="00505632" w:rsidP="00AD4E52">
            <w:pPr>
              <w:pStyle w:val="CellColumn"/>
              <w:jc w:val="right"/>
            </w:pPr>
            <w:r>
              <w:rPr>
                <w:rFonts w:cs="Times New Roman"/>
              </w:rPr>
              <w:t>40.291.318</w:t>
            </w:r>
          </w:p>
        </w:tc>
        <w:tc>
          <w:tcPr>
            <w:tcW w:w="2041" w:type="dxa"/>
          </w:tcPr>
          <w:p w:rsidR="00505632" w:rsidRDefault="00505632" w:rsidP="00AD4E52">
            <w:pPr>
              <w:pStyle w:val="CellColumn"/>
              <w:jc w:val="right"/>
            </w:pPr>
            <w:r>
              <w:rPr>
                <w:rFonts w:cs="Times New Roman"/>
              </w:rPr>
              <w:t>31.502.186</w:t>
            </w:r>
          </w:p>
        </w:tc>
        <w:tc>
          <w:tcPr>
            <w:tcW w:w="1224" w:type="dxa"/>
          </w:tcPr>
          <w:p w:rsidR="00505632" w:rsidRDefault="00505632" w:rsidP="00AD4E52">
            <w:pPr>
              <w:pStyle w:val="CellColumn"/>
              <w:jc w:val="right"/>
            </w:pPr>
            <w:r>
              <w:rPr>
                <w:rFonts w:cs="Times New Roman"/>
              </w:rPr>
              <w:t>78,2</w:t>
            </w:r>
          </w:p>
        </w:tc>
        <w:tc>
          <w:tcPr>
            <w:tcW w:w="1224" w:type="dxa"/>
          </w:tcPr>
          <w:p w:rsidR="00505632" w:rsidRDefault="00505632" w:rsidP="00AD4E52">
            <w:pPr>
              <w:pStyle w:val="CellColumn"/>
              <w:jc w:val="right"/>
            </w:pPr>
            <w:r>
              <w:rPr>
                <w:rFonts w:cs="Times New Roman"/>
              </w:rPr>
              <w:t>116,5</w:t>
            </w:r>
          </w:p>
        </w:tc>
      </w:tr>
    </w:tbl>
    <w:p w:rsidR="00505632" w:rsidRDefault="00505632" w:rsidP="00505632">
      <w:pPr>
        <w:jc w:val="left"/>
      </w:pPr>
    </w:p>
    <w:p w:rsidR="00505632" w:rsidRDefault="00505632" w:rsidP="00505632">
      <w:r>
        <w:t>Vezano uz mjere iz Nacionalnog programom reformi 2016. (reformska mjera „Racionalizacija područnih jedinica središnjih tijela državne uprave“ u okviru cilja 4.3. „Veća učinkovitost i transparentnost javnog sektora“), te mjere iz Strategiju razvoja javne uprave za razdoblje od 2015. do 2020. (14.2. „Pripajanje područnih jedinica središnjih tijela državne uprave uredima državne uprave u županijama“ i 14.3. „Prenijeti određene inspekcijske poslove u prvom stupnju i poslove rješavanja u upravnim stvarima u prvom stupnju sa središnjih tijela državne uprave na urede državne uprave u županijama“) izvršene su sljedeće aktivnosti: izrađen je prijedlog racionalizacije područnih jedinica središnjih tijela državne uprave – u I. fazi (kao prilog uz Akcijski plan za učinkovitu javnu upravu); izrađena je analiza broja područnih jedinica središnjih tijela državne uprave, broja stvarno zaposlenih, poslova koje obavljaju i financijskih troškova koje imaju za obavljanje svojih poslova (izrada navedene analize predviđena je kao provedbena aktivnost u izvršenju mjere 14.2. iz Strategije razvoja javne uprave); izrađena je analiza/pregled obavljanja inspekcijskih poslova u I. i II. stupnju (prema dostavljenim podacima od središnjih tijela državne uprave).</w:t>
      </w:r>
    </w:p>
    <w:p w:rsidR="00505632" w:rsidRDefault="00505632" w:rsidP="00505632">
      <w:pPr>
        <w:pStyle w:val="Heading8"/>
        <w:jc w:val="left"/>
      </w:pPr>
      <w:r>
        <w:t>Cilj 1. Unaprijediti sustav javne uprave</w:t>
      </w:r>
    </w:p>
    <w:p w:rsidR="00505632" w:rsidRDefault="00505632" w:rsidP="00505632">
      <w:pPr>
        <w:pStyle w:val="Heading8"/>
        <w:jc w:val="left"/>
      </w:pPr>
      <w:r>
        <w:t>Opis provedbe cilja programa</w:t>
      </w:r>
    </w:p>
    <w:p w:rsidR="00505632" w:rsidRDefault="00505632" w:rsidP="00505632">
      <w:r>
        <w:t>Sustav i ustrojstvo državne uprave u Republici Hrvatskoj reguliran je odredbama Zakona o sustavu državne uprave (ZSDU) i Zakona o ustrojstvu i djelokrugu ministarstava i drugih središnjih tijela državne uprave. ZSDU propisuje da su poslovi državne uprave neposredna provedba zakona, donošenje propisa za njihovu provedbu, obavljanje upravnog nadzora te drugi upravni i stručni poslovi. Poslove državne uprave obavljaju tijela državne uprave: ministarstva, državni uredi, državne upravne organizacije te, kao prvostupanjska tijela državne uprave, uredi državne uprave u županijama.</w:t>
      </w:r>
    </w:p>
    <w:p w:rsidR="00505632" w:rsidRDefault="00505632" w:rsidP="00505632">
      <w:pPr>
        <w:pStyle w:val="Heading8"/>
        <w:jc w:val="left"/>
      </w:pPr>
      <w:r>
        <w:t>Cilj 2. Izgraditi korisnički usmjerenu upravu</w:t>
      </w:r>
    </w:p>
    <w:p w:rsidR="00505632" w:rsidRDefault="00505632" w:rsidP="00505632">
      <w:pPr>
        <w:pStyle w:val="Heading8"/>
        <w:jc w:val="left"/>
      </w:pPr>
      <w:r>
        <w:t>Opis provedbe cilja programa</w:t>
      </w:r>
    </w:p>
    <w:p w:rsidR="00505632" w:rsidRDefault="00505632" w:rsidP="00505632">
      <w:r>
        <w:t xml:space="preserve">Opći cilj 2 usmjeren je ka daljnjem razvijanju pouzdane, otvorene, transparentne i klijentima usmjerene javne uprave kao ključnog čimbenika u postizanju prosperitetnog poslovnog okruženja koje će osigurati bolji standard građana. </w:t>
      </w:r>
    </w:p>
    <w:p w:rsidR="00505632" w:rsidRDefault="00505632" w:rsidP="00505632">
      <w:r>
        <w:t>Dosadašnja praksa u pružanju upravnih usluga pokazuje da može biti dugotrajna i složena. Pružanjem usluga javne uprave mora odražavati zadovoljstvo korisnika - građana, poduzetnika i drugih zainteresiranih subjekata. Učinkovitost javne uprave olakšat će djelovanje gospodarstva u pokretanju poduzetničkih aktivnosti te javnu upravu ostvariti kao pouzdanog partnera koji može poslužiti kao oslonac privatnom sektoru i zajednici građana kao cjelini.</w:t>
      </w:r>
    </w:p>
    <w:p w:rsidR="00505632" w:rsidRDefault="00505632" w:rsidP="00505632">
      <w:pPr>
        <w:pStyle w:val="Heading8"/>
        <w:jc w:val="left"/>
      </w:pPr>
      <w:r>
        <w:t>Cilj 3. Unaprijediti stručnost i kvalitetu u pružanju upravnih usluga</w:t>
      </w:r>
    </w:p>
    <w:p w:rsidR="00505632" w:rsidRDefault="00505632" w:rsidP="00505632">
      <w:pPr>
        <w:pStyle w:val="Heading8"/>
        <w:jc w:val="left"/>
      </w:pPr>
      <w:r>
        <w:t>Opis provedbe cilja programa</w:t>
      </w:r>
    </w:p>
    <w:p w:rsidR="00505632" w:rsidRDefault="00505632" w:rsidP="00505632">
      <w:r>
        <w:t>Ovim ciljem želi se podići stručnost zaposlenih u javnoj upravi, posebice državnoj službi i poticati promjene u njihovom ponašanju i načinu obavljanja poslova. Prema postojećoj strukturi zaposlenih u državnoj službi najviše su zastupljeni službenici srednje stručne spreme, zatim visoke stručne spreme, dok su najmanje zastupljeni službenici više stručne spreme. U državnim tijelima zaposlen je podjednak broj žena i muškarca, pri čemu su žene zastupljenije u broju službenika visoke stručne spreme, a muškarci u broju službenika više i srednje stručne spreme. Za period 2015.-2020. strateško upravljanje i razvoj ljudskih potencijala uključeni su kao jedno od poglavlja u Strategiju razvoja javne uprave 2015.-2020. godine.</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Donesen Zakon o sustavu državne uprave</w:t>
            </w:r>
          </w:p>
        </w:tc>
        <w:tc>
          <w:tcPr>
            <w:tcW w:w="2551" w:type="dxa"/>
          </w:tcPr>
          <w:p w:rsidR="00505632" w:rsidRDefault="00505632" w:rsidP="00AD4E52">
            <w:pPr>
              <w:pStyle w:val="CellColumn"/>
              <w:jc w:val="left"/>
            </w:pPr>
            <w:r>
              <w:rPr>
                <w:rFonts w:cs="Times New Roman"/>
              </w:rPr>
              <w:t>Donošenje novog zakona o sustavu državne uprave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Donesen zakon o izboru vijeća i predstavnika nacionalnih manjina</w:t>
            </w:r>
          </w:p>
        </w:tc>
        <w:tc>
          <w:tcPr>
            <w:tcW w:w="2551" w:type="dxa"/>
          </w:tcPr>
          <w:p w:rsidR="00505632" w:rsidRDefault="00505632" w:rsidP="00AD4E52">
            <w:pPr>
              <w:pStyle w:val="CellColumn"/>
              <w:jc w:val="left"/>
            </w:pPr>
            <w:r>
              <w:rPr>
                <w:rFonts w:cs="Times New Roman"/>
              </w:rPr>
              <w:t>Zakonsko uređenje postupka izbora vijeća i predstavnika nacionalnih manjina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Zaprimljene i riješene pritužbe na neetičko postupanje službenika</w:t>
            </w:r>
          </w:p>
        </w:tc>
        <w:tc>
          <w:tcPr>
            <w:tcW w:w="2551" w:type="dxa"/>
          </w:tcPr>
          <w:p w:rsidR="00505632" w:rsidRDefault="00505632" w:rsidP="00AD4E52">
            <w:pPr>
              <w:pStyle w:val="CellColumn"/>
              <w:jc w:val="left"/>
            </w:pPr>
            <w:r>
              <w:rPr>
                <w:rFonts w:cs="Times New Roman"/>
              </w:rPr>
              <w:t>Praćenje stanja i predlaganje mjera za unaprjeđenje etičkih standarda državnih službenika sukladno međunarodnoj praksi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22</w:t>
            </w:r>
          </w:p>
        </w:tc>
      </w:tr>
      <w:tr w:rsidR="00505632" w:rsidTr="00AD4E52">
        <w:trPr>
          <w:jc w:val="center"/>
        </w:trPr>
        <w:tc>
          <w:tcPr>
            <w:tcW w:w="2551" w:type="dxa"/>
          </w:tcPr>
          <w:p w:rsidR="00505632" w:rsidRDefault="00505632" w:rsidP="00AD4E52">
            <w:pPr>
              <w:pStyle w:val="CellColumn"/>
              <w:jc w:val="left"/>
            </w:pPr>
            <w:r>
              <w:rPr>
                <w:rFonts w:cs="Times New Roman"/>
              </w:rPr>
              <w:t>Broj provedenih programa</w:t>
            </w:r>
          </w:p>
        </w:tc>
        <w:tc>
          <w:tcPr>
            <w:tcW w:w="2551" w:type="dxa"/>
          </w:tcPr>
          <w:p w:rsidR="00505632" w:rsidRDefault="00505632" w:rsidP="00AD4E52">
            <w:pPr>
              <w:pStyle w:val="CellColumn"/>
              <w:jc w:val="left"/>
            </w:pPr>
            <w:r>
              <w:rPr>
                <w:rFonts w:cs="Times New Roman"/>
              </w:rPr>
              <w:t>Provođenje aktivnosti izobrazbe za državne službenike vezane uz borbu protiv korupcije te sukoba interesa u pružanju upravnih usluga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4</w:t>
            </w:r>
          </w:p>
        </w:tc>
      </w:tr>
      <w:tr w:rsidR="00505632" w:rsidTr="00AD4E52">
        <w:trPr>
          <w:jc w:val="center"/>
        </w:trPr>
        <w:tc>
          <w:tcPr>
            <w:tcW w:w="2551" w:type="dxa"/>
          </w:tcPr>
          <w:p w:rsidR="00505632" w:rsidRDefault="00505632" w:rsidP="00AD4E52">
            <w:pPr>
              <w:pStyle w:val="CellColumn"/>
              <w:jc w:val="left"/>
            </w:pPr>
            <w:r>
              <w:rPr>
                <w:rFonts w:cs="Times New Roman"/>
              </w:rPr>
              <w:t>Broj službenika koji su pohađali izobrazbu</w:t>
            </w:r>
          </w:p>
        </w:tc>
        <w:tc>
          <w:tcPr>
            <w:tcW w:w="2551" w:type="dxa"/>
          </w:tcPr>
          <w:p w:rsidR="00505632" w:rsidRDefault="00505632" w:rsidP="00AD4E52">
            <w:pPr>
              <w:pStyle w:val="CellColumn"/>
              <w:jc w:val="left"/>
            </w:pPr>
            <w:r>
              <w:rPr>
                <w:rFonts w:cs="Times New Roman"/>
              </w:rPr>
              <w:t>Provođenje aktivnosti izobrazbe za državne službenike vezane uz borbu protiv korupcije te sukoba interesa u pružanju upravnih usluga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50</w:t>
            </w:r>
          </w:p>
        </w:tc>
      </w:tr>
      <w:tr w:rsidR="00505632" w:rsidTr="00AD4E52">
        <w:trPr>
          <w:jc w:val="center"/>
        </w:trPr>
        <w:tc>
          <w:tcPr>
            <w:tcW w:w="2551" w:type="dxa"/>
          </w:tcPr>
          <w:p w:rsidR="00505632" w:rsidRDefault="00505632" w:rsidP="00AD4E52">
            <w:pPr>
              <w:pStyle w:val="CellColumn"/>
              <w:jc w:val="left"/>
            </w:pPr>
            <w:r>
              <w:rPr>
                <w:rFonts w:cs="Times New Roman"/>
              </w:rPr>
              <w:t>Broj provedenih istraživanja</w:t>
            </w:r>
          </w:p>
        </w:tc>
        <w:tc>
          <w:tcPr>
            <w:tcW w:w="2551" w:type="dxa"/>
          </w:tcPr>
          <w:p w:rsidR="00505632" w:rsidRDefault="00505632" w:rsidP="00AD4E52">
            <w:pPr>
              <w:pStyle w:val="CellColumn"/>
              <w:jc w:val="left"/>
            </w:pPr>
            <w:r>
              <w:rPr>
                <w:rFonts w:cs="Times New Roman"/>
              </w:rPr>
              <w:t>Provođenje neovisnih istraživanja javnog mijenja o povjerenju građana u javnu upravu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4"/>
      </w:pPr>
      <w:r>
        <w:t>A757022 IPA FFRAC 2012 JAČANJE KAPACITETA MINISTARSTVA UPRAVE ZA KORIŠTENJE INSTRUMENATA KOHEZIJSKE POLITIKE</w:t>
      </w:r>
    </w:p>
    <w:tbl>
      <w:tblPr>
        <w:tblStyle w:val="StilTablice"/>
        <w:tblW w:w="10206" w:type="dxa"/>
        <w:jc w:val="center"/>
        <w:tblLook w:val="04A0" w:firstRow="1" w:lastRow="0" w:firstColumn="1" w:lastColumn="0" w:noHBand="0" w:noVBand="1"/>
      </w:tblPr>
      <w:tblGrid>
        <w:gridCol w:w="1693"/>
        <w:gridCol w:w="2023"/>
        <w:gridCol w:w="2024"/>
        <w:gridCol w:w="2024"/>
        <w:gridCol w:w="1220"/>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A757022-IPA FFRAC 2012 JAČANJE KAPACITETA MINISTARSTVA UPRAVE ZA KORIŠTENJE INSTRUMENATA KOHEZIJSKE POLITIKE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1.328.643</w:t>
            </w:r>
          </w:p>
        </w:tc>
        <w:tc>
          <w:tcPr>
            <w:tcW w:w="2041" w:type="dxa"/>
          </w:tcPr>
          <w:p w:rsidR="00505632" w:rsidRDefault="00505632" w:rsidP="00AD4E52">
            <w:pPr>
              <w:pStyle w:val="CellColumn"/>
              <w:jc w:val="right"/>
            </w:pPr>
            <w:r>
              <w:rPr>
                <w:rFonts w:cs="Times New Roman"/>
              </w:rPr>
              <w:t>1.328.643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IPA 2012 TWL projektom ojačani su kapaciteti Ministarstva uprave za korištenje instrumenata kohezijske politike u financijskom razdoblju 2014. - 2020. </w:t>
      </w:r>
    </w:p>
    <w:p w:rsidR="00505632" w:rsidRDefault="00505632" w:rsidP="00505632">
      <w:r>
        <w:t>Učinkovitom provedbom i upravljanjem instrumentima kohezijske politike EU-a u financijskom razdoblju 2014-2020 u Republici Hrvatskoj u skladu sa zahtjevima EU vezano uz poboljšanje učinkovitosti i stručnosti u javnoj upravi, ojačani su kapacitete Ministarstva uprave za uspješno korištenje instrumenata kohezijske politike EU-u financijskoj perspektivi 2014.-2020., uključujući i spremnost za punu provedbu planiranih i pripremljenih prijedloga projekata.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76"/>
        <w:gridCol w:w="2474"/>
        <w:gridCol w:w="1203"/>
        <w:gridCol w:w="1014"/>
        <w:gridCol w:w="1010"/>
        <w:gridCol w:w="1014"/>
        <w:gridCol w:w="1015"/>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pripremljenih dokumenata vezanih uz instrumente EU kohezijske politike</w:t>
            </w:r>
          </w:p>
        </w:tc>
        <w:tc>
          <w:tcPr>
            <w:tcW w:w="2551" w:type="dxa"/>
          </w:tcPr>
          <w:p w:rsidR="00505632" w:rsidRDefault="00505632" w:rsidP="00AD4E52">
            <w:pPr>
              <w:pStyle w:val="CellColumn"/>
              <w:jc w:val="left"/>
            </w:pPr>
            <w:r>
              <w:rPr>
                <w:rFonts w:cs="Times New Roman"/>
              </w:rPr>
              <w:t>Priprema programskih dokumenata i projekata za financiranje putem instrumenata kohezijske politike za financijsku perspektivu 2014. – 2020.</w:t>
            </w:r>
          </w:p>
        </w:tc>
        <w:tc>
          <w:tcPr>
            <w:tcW w:w="1020" w:type="dxa"/>
          </w:tcPr>
          <w:p w:rsidR="00505632" w:rsidRDefault="00505632" w:rsidP="00AD4E52">
            <w:pPr>
              <w:pStyle w:val="CellColumn"/>
              <w:jc w:val="right"/>
            </w:pPr>
            <w:r>
              <w:rPr>
                <w:rFonts w:cs="Times New Roman"/>
              </w:rPr>
              <w:t>Broj prihvaćenih dokumenata od strane EK godišnje</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Broj pripremljenih projektnih prijedloga</w:t>
            </w:r>
          </w:p>
        </w:tc>
        <w:tc>
          <w:tcPr>
            <w:tcW w:w="2551" w:type="dxa"/>
          </w:tcPr>
          <w:p w:rsidR="00505632" w:rsidRDefault="00505632" w:rsidP="00AD4E52">
            <w:pPr>
              <w:pStyle w:val="CellColumn"/>
              <w:jc w:val="left"/>
            </w:pPr>
            <w:r>
              <w:rPr>
                <w:rFonts w:cs="Times New Roman"/>
              </w:rPr>
              <w:t>Priprema programskih dokumenata i projekata za financiranje putem instrumenata kohezijske politike za financijsku perspektivu 2014. – 2020.</w:t>
            </w:r>
          </w:p>
        </w:tc>
        <w:tc>
          <w:tcPr>
            <w:tcW w:w="1020" w:type="dxa"/>
          </w:tcPr>
          <w:p w:rsidR="00505632" w:rsidRDefault="00505632" w:rsidP="00AD4E52">
            <w:pPr>
              <w:pStyle w:val="CellColumn"/>
              <w:jc w:val="right"/>
            </w:pPr>
            <w:r>
              <w:rPr>
                <w:rFonts w:cs="Times New Roman"/>
              </w:rPr>
              <w:t>Broj pripremljenih projektnih prijedloga godišnje</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9</w:t>
            </w:r>
          </w:p>
        </w:tc>
        <w:tc>
          <w:tcPr>
            <w:tcW w:w="1020" w:type="dxa"/>
          </w:tcPr>
          <w:p w:rsidR="00505632" w:rsidRDefault="00505632" w:rsidP="00AD4E52">
            <w:pPr>
              <w:pStyle w:val="CellColumn"/>
              <w:jc w:val="right"/>
            </w:pPr>
            <w:r>
              <w:rPr>
                <w:rFonts w:cs="Times New Roman"/>
              </w:rPr>
              <w:t>9</w:t>
            </w:r>
          </w:p>
        </w:tc>
      </w:tr>
      <w:tr w:rsidR="00505632" w:rsidTr="00AD4E52">
        <w:trPr>
          <w:jc w:val="center"/>
        </w:trPr>
        <w:tc>
          <w:tcPr>
            <w:tcW w:w="2551" w:type="dxa"/>
          </w:tcPr>
          <w:p w:rsidR="00505632" w:rsidRDefault="00505632" w:rsidP="00AD4E52">
            <w:pPr>
              <w:pStyle w:val="CellColumn"/>
              <w:jc w:val="left"/>
            </w:pPr>
            <w:r>
              <w:rPr>
                <w:rFonts w:cs="Times New Roman"/>
              </w:rPr>
              <w:t>Broj objavljnih natječaja za korištenje sredstava iz EU kohezijske politike pripremljenih od strane MU</w:t>
            </w:r>
          </w:p>
        </w:tc>
        <w:tc>
          <w:tcPr>
            <w:tcW w:w="2551" w:type="dxa"/>
          </w:tcPr>
          <w:p w:rsidR="00505632" w:rsidRDefault="00505632" w:rsidP="00AD4E52">
            <w:pPr>
              <w:pStyle w:val="CellColumn"/>
              <w:jc w:val="left"/>
            </w:pPr>
            <w:r>
              <w:rPr>
                <w:rFonts w:cs="Times New Roman"/>
              </w:rPr>
              <w:t>Priprema programskih dokumenata i projekata za financiranje putem instrumenata kohezijske politike za financijsku perspektivu 2014. – 2020.</w:t>
            </w:r>
          </w:p>
        </w:tc>
        <w:tc>
          <w:tcPr>
            <w:tcW w:w="1020" w:type="dxa"/>
          </w:tcPr>
          <w:p w:rsidR="00505632" w:rsidRDefault="00505632" w:rsidP="00AD4E52">
            <w:pPr>
              <w:pStyle w:val="CellColumn"/>
              <w:jc w:val="right"/>
            </w:pPr>
            <w:r>
              <w:rPr>
                <w:rFonts w:cs="Times New Roman"/>
              </w:rPr>
              <w:t>Broj objavljenih natječaja godišnje</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7</w:t>
            </w:r>
          </w:p>
        </w:tc>
      </w:tr>
    </w:tbl>
    <w:p w:rsidR="00505632" w:rsidRDefault="00505632" w:rsidP="00505632">
      <w:pPr>
        <w:jc w:val="left"/>
      </w:pPr>
    </w:p>
    <w:p w:rsidR="00505632" w:rsidRDefault="00505632" w:rsidP="00505632">
      <w:pPr>
        <w:pStyle w:val="Heading4"/>
      </w:pPr>
      <w:r>
        <w:t>A830001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A830001-ADMINISTRACIJA I UPRAVLJANJE</w:t>
            </w:r>
          </w:p>
        </w:tc>
        <w:tc>
          <w:tcPr>
            <w:tcW w:w="2041" w:type="dxa"/>
          </w:tcPr>
          <w:p w:rsidR="00505632" w:rsidRDefault="00505632" w:rsidP="00AD4E52">
            <w:pPr>
              <w:pStyle w:val="CellColumn"/>
              <w:jc w:val="right"/>
            </w:pPr>
            <w:r>
              <w:rPr>
                <w:rFonts w:cs="Times New Roman"/>
              </w:rPr>
              <w:t>22.487.832</w:t>
            </w:r>
          </w:p>
        </w:tc>
        <w:tc>
          <w:tcPr>
            <w:tcW w:w="2041" w:type="dxa"/>
          </w:tcPr>
          <w:p w:rsidR="00505632" w:rsidRDefault="00505632" w:rsidP="00AD4E52">
            <w:pPr>
              <w:pStyle w:val="CellColumn"/>
              <w:jc w:val="right"/>
            </w:pPr>
            <w:r>
              <w:rPr>
                <w:rFonts w:cs="Times New Roman"/>
              </w:rPr>
              <w:t>25.012.001</w:t>
            </w:r>
          </w:p>
        </w:tc>
        <w:tc>
          <w:tcPr>
            <w:tcW w:w="2041" w:type="dxa"/>
          </w:tcPr>
          <w:p w:rsidR="00505632" w:rsidRDefault="00505632" w:rsidP="00AD4E52">
            <w:pPr>
              <w:pStyle w:val="CellColumn"/>
              <w:jc w:val="right"/>
            </w:pPr>
            <w:r>
              <w:rPr>
                <w:rFonts w:cs="Times New Roman"/>
              </w:rPr>
              <w:t>24.576.570</w:t>
            </w:r>
          </w:p>
        </w:tc>
        <w:tc>
          <w:tcPr>
            <w:tcW w:w="1224" w:type="dxa"/>
          </w:tcPr>
          <w:p w:rsidR="00505632" w:rsidRDefault="00505632" w:rsidP="00AD4E52">
            <w:pPr>
              <w:pStyle w:val="CellColumn"/>
              <w:jc w:val="right"/>
            </w:pPr>
            <w:r>
              <w:rPr>
                <w:rFonts w:cs="Times New Roman"/>
              </w:rPr>
              <w:t>98,3</w:t>
            </w:r>
          </w:p>
        </w:tc>
        <w:tc>
          <w:tcPr>
            <w:tcW w:w="1224" w:type="dxa"/>
          </w:tcPr>
          <w:p w:rsidR="00505632" w:rsidRDefault="00505632" w:rsidP="00AD4E52">
            <w:pPr>
              <w:pStyle w:val="CellColumn"/>
              <w:jc w:val="right"/>
            </w:pPr>
            <w:r>
              <w:rPr>
                <w:rFonts w:cs="Times New Roman"/>
              </w:rPr>
              <w:t>109,3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ustrojstvu i djelokrugu ministarstava i drugih središnjih tijela državne uprave ("Narodne novine", broj 150/2011,22/2012,39/2013,125/2013,148/2013, 93/2016, 104,2016). </w:t>
      </w:r>
    </w:p>
    <w:p w:rsidR="00505632" w:rsidRDefault="00505632" w:rsidP="00505632">
      <w:r>
        <w:t xml:space="preserve">Zakon o državnim službenicima ("Narodne novine", broj 92/2005, 140/2005, 142/2006, 77/2007, 107/2007, 27/2008, 34/2011, 49/2011, 150/2011, 34/2012, 38/2013, 37/2013, 1/2015, 138/2015), </w:t>
      </w:r>
    </w:p>
    <w:p w:rsidR="00505632" w:rsidRDefault="00505632" w:rsidP="00505632">
      <w:r>
        <w:t>Zakon o sustavu državne uprave ("Narodne novine", broj 150/2011, 12/2013, 93/2016, 104/2016),</w:t>
      </w:r>
    </w:p>
    <w:p w:rsidR="00505632" w:rsidRDefault="00505632" w:rsidP="00505632">
      <w:pPr>
        <w:pStyle w:val="Heading8"/>
        <w:jc w:val="left"/>
      </w:pPr>
      <w:r>
        <w:t>Opis aktivnosti</w:t>
      </w:r>
    </w:p>
    <w:p w:rsidR="00505632" w:rsidRDefault="00505632" w:rsidP="00505632">
      <w:r>
        <w:t xml:space="preserve">Najveći dio utrošenih sredstava na Aktivnosti A 830001 odnosi se na rashode za zaposlene, koji su ostvareni  u iznosu od 20.748.941,00 kuna, što je 81,70% ukupno utrošenih sredstava. U rashode za zaposlene uračunati su troškovi bruto plaća i doprinosi na bruto plaće, plaće za prekovremeni rad i ostali rashodi za zaposlene (jubilarne nagrade, darovi za djecu, pomoći, otpremnine). Materijalni rashodi izvršeni su u skladu s planiranim te nema značajnih odstupanja. </w:t>
      </w:r>
    </w:p>
    <w:p w:rsidR="00505632" w:rsidRDefault="00505632" w:rsidP="00505632">
      <w:r>
        <w:t xml:space="preserve"> Značajniji izdatak u okviru ove aktivnosti odnosi se na kamate i troškove ovršnog postupka u iznosu od 1.376.786,41 kuna, što je vezano za nepodmirene obveze prema FINI za usluge HITRONET-a. iz 2012. i 2013. godine.</w:t>
      </w:r>
    </w:p>
    <w:p w:rsidR="00505632" w:rsidRDefault="00505632" w:rsidP="00505632"/>
    <w:p w:rsidR="00505632" w:rsidRDefault="00505632" w:rsidP="00505632">
      <w:pPr>
        <w:pStyle w:val="Heading4"/>
      </w:pPr>
      <w:r>
        <w:t>A830002 STRUČNO OSPOSOBLJAVANJE DRŽAVNIH SLUŽBENIKA</w:t>
      </w:r>
    </w:p>
    <w:tbl>
      <w:tblPr>
        <w:tblStyle w:val="StilTablice"/>
        <w:tblW w:w="10206" w:type="dxa"/>
        <w:jc w:val="center"/>
        <w:tblLook w:val="04A0" w:firstRow="1" w:lastRow="0" w:firstColumn="1" w:lastColumn="0" w:noHBand="0" w:noVBand="1"/>
      </w:tblPr>
      <w:tblGrid>
        <w:gridCol w:w="1993"/>
        <w:gridCol w:w="1935"/>
        <w:gridCol w:w="1935"/>
        <w:gridCol w:w="1935"/>
        <w:gridCol w:w="1199"/>
        <w:gridCol w:w="120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A830002-STRUČNO OSPOSOBLJAVANJE DRŽAVNIH SLUŽBENIKA</w:t>
            </w:r>
          </w:p>
        </w:tc>
        <w:tc>
          <w:tcPr>
            <w:tcW w:w="2041" w:type="dxa"/>
          </w:tcPr>
          <w:p w:rsidR="00505632" w:rsidRDefault="00505632" w:rsidP="00AD4E52">
            <w:pPr>
              <w:pStyle w:val="CellColumn"/>
              <w:jc w:val="right"/>
            </w:pPr>
            <w:r>
              <w:rPr>
                <w:rFonts w:cs="Times New Roman"/>
              </w:rPr>
              <w:t>2.118.000</w:t>
            </w:r>
          </w:p>
        </w:tc>
        <w:tc>
          <w:tcPr>
            <w:tcW w:w="2041" w:type="dxa"/>
          </w:tcPr>
          <w:p w:rsidR="00505632" w:rsidRDefault="00505632" w:rsidP="00AD4E52">
            <w:pPr>
              <w:pStyle w:val="CellColumn"/>
              <w:jc w:val="right"/>
            </w:pPr>
            <w:r>
              <w:rPr>
                <w:rFonts w:cs="Times New Roman"/>
              </w:rPr>
              <w:t>2.582.940</w:t>
            </w:r>
          </w:p>
        </w:tc>
        <w:tc>
          <w:tcPr>
            <w:tcW w:w="2041" w:type="dxa"/>
          </w:tcPr>
          <w:p w:rsidR="00505632" w:rsidRDefault="00505632" w:rsidP="00AD4E52">
            <w:pPr>
              <w:pStyle w:val="CellColumn"/>
              <w:jc w:val="right"/>
            </w:pPr>
            <w:r>
              <w:rPr>
                <w:rFonts w:cs="Times New Roman"/>
              </w:rPr>
              <w:t>2.582.940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122,0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državnim službenicima ("Narodne novine", broj 92/2005, 140/2005, 142/2006, 77/2007, 107/2007, 27/2008, 34/2011, 49/2011, 150/2011, 34/2012, 38/2013, 37/2013, 1/2015, 138/2015) </w:t>
      </w:r>
    </w:p>
    <w:p w:rsidR="00505632" w:rsidRDefault="00505632" w:rsidP="00505632">
      <w:r>
        <w:t>Uredba o oblicima, načinima i uvjetima izobrazbe državnih službenika ("Narodne novine", broj  92/2005, 140/2005, 142/2006, 77/2007, 107/2007, 27/2008, 34/2011, 49/2011, 150/2011, 34/2012, 38/2013, 37/2013, 1/2015, 138/2015)</w:t>
      </w:r>
    </w:p>
    <w:p w:rsidR="00505632" w:rsidRDefault="00505632" w:rsidP="00505632">
      <w:pPr>
        <w:pStyle w:val="Heading8"/>
        <w:jc w:val="left"/>
      </w:pPr>
      <w:r>
        <w:t>Opis aktivnosti</w:t>
      </w:r>
    </w:p>
    <w:p w:rsidR="00505632" w:rsidRDefault="00505632" w:rsidP="00505632">
      <w:r>
        <w:t xml:space="preserve">Služba za izobrazbu državnih službenika u okviru svog djelokruga: </w:t>
      </w:r>
    </w:p>
    <w:p w:rsidR="00505632" w:rsidRDefault="00505632" w:rsidP="00505632">
      <w:r>
        <w:t xml:space="preserve">- Služba je organizirala provedbu polaganja državnog stručnog ispita i rješavala upravne i neupravne predmeta u svezi prava, obveza i rokova polaganja državnog stručnog ispita za državne službenike, službenike tijela jedinica lokalne i područne (regionalne) samouprave, osobe zaposlene u drugim javnopravnim tijelima i pravnim osobama, kojima je propisana obveza polaganja državnog stručnog ispita te osoba na stručnom osposobljavanju bez zasnivanja radnog odnosa. Ukupan broj prijava kandidata za polaganje državnog stručnog ispita za razdoblje od siječnja 2016. do rujna 2016. godine iznosio je 3.904;  </w:t>
      </w:r>
    </w:p>
    <w:p w:rsidR="00505632" w:rsidRDefault="00505632" w:rsidP="00505632">
      <w:r>
        <w:t xml:space="preserve">- Zaprimljeno je i odgovoreno na ukupno 996 upita građana zaprimljenih putem e-mail adrese kontakt-uprava,  </w:t>
      </w:r>
    </w:p>
    <w:p w:rsidR="00505632" w:rsidRDefault="00505632" w:rsidP="00505632">
      <w:r>
        <w:t xml:space="preserve">- Davana su stručna mišljenja i objašnjenja o pitanjima provedbe propisa u vezi s polaganjem državnog stručnog ispita te je zaprimljeno i riješeno ukupno 52 pisana upita;  </w:t>
      </w:r>
    </w:p>
    <w:p w:rsidR="00505632" w:rsidRDefault="00505632" w:rsidP="00505632">
      <w:r>
        <w:t xml:space="preserve">- Za bolju pripremu za polaganje općeg dijela ispita, naročito za kandidate koji obavljaju službu odnosno osposobljavaju se za obavljanje službe na regionalnoj razini u dislociranim ustrojstvenim jedinicama, na internetskim stranicama Ministarstva uprave (https://uprava.gov.hr/o-ministarstvu/ustrojstvo/uprava-za-sluzbenicke-odnose/drzavni-strucni-ispit-789/primjeri-pitanja-i-odgovora-za-provjeru-znanja/11865), objavljene su liste s primjerima pitanja i odgovora za provjeru znanja po predmetima utvrđenim programom općeg dijela ispita te ažurirani propisi za polaganje ispita; </w:t>
      </w:r>
    </w:p>
    <w:p w:rsidR="00505632" w:rsidRDefault="00505632" w:rsidP="00505632">
      <w:r>
        <w:t xml:space="preserve">- Na internetskoj stranici Ministarstva uprave, u dijelu „Česta pitanja“, postavljena je i rubrika s najčešćima upitima o polaganju državnog stručnog ispita, kao i pripadajućim odgovorima na ta pitanja (https://uprava.gov.hr/o-ministarstvu/ustrojstvo/uprava-za-sluzbenicke-odnose/drzavni-strucni-ispit-789/789). Na taj način, povećanom transparentnošću i komunikacijom s građanima i korisnicima usluga putem interneta, smanjeno je zaprimanje pisanih upita i rješavanje neupravnih predmeta davanjem mišljenja i odgovora pisanim putem; </w:t>
      </w:r>
    </w:p>
    <w:p w:rsidR="00505632" w:rsidRDefault="00505632" w:rsidP="00505632">
      <w:r>
        <w:t xml:space="preserve">- Odgovoreno je na 6 tužbi po pokrenutim upravnim sporovima; </w:t>
      </w:r>
    </w:p>
    <w:p w:rsidR="00505632" w:rsidRDefault="00505632" w:rsidP="00505632">
      <w:r>
        <w:t xml:space="preserve">- S Državnom školom za javnu upravu suradnja se odvijala u dijelu dostave svih nastavnih materijala te ažuriranih popisa predavača/ispitivača koji su provodili pripreme za polaganje općeg dijela državnog stručnog ispita. </w:t>
      </w:r>
    </w:p>
    <w:p w:rsidR="00505632" w:rsidRDefault="00505632" w:rsidP="00505632">
      <w:r>
        <w:t>Na ovoj aktivnosti planirana su sredstva za izobrazbu u iznosu od 2.582.940,00 kuna, te izvršena u istom iznosu, što je 100% od plana. Sredstva su utrošena za naknade članovima povjerenstva za državne stručne ispite, etičko povjerenstvo, te grb i zastavu.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51"/>
        <w:gridCol w:w="2357"/>
        <w:gridCol w:w="1392"/>
        <w:gridCol w:w="1004"/>
        <w:gridCol w:w="992"/>
        <w:gridCol w:w="1004"/>
        <w:gridCol w:w="1006"/>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Razvoj i provedba programa izobrazbe sukladno ishodima učenja i u skladu s kompetencijskim okvirima za pojedine kategorije službenika sukladno procjeni potreba izobrazbe</w:t>
            </w:r>
          </w:p>
        </w:tc>
        <w:tc>
          <w:tcPr>
            <w:tcW w:w="2551" w:type="dxa"/>
          </w:tcPr>
          <w:p w:rsidR="00505632" w:rsidRDefault="00505632" w:rsidP="00AD4E52">
            <w:pPr>
              <w:pStyle w:val="CellColumn"/>
              <w:jc w:val="left"/>
            </w:pPr>
            <w:r>
              <w:rPr>
                <w:rFonts w:cs="Times New Roman"/>
              </w:rPr>
              <w:t>Razvoj i provedba programa izobrazbe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45</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48</w:t>
            </w:r>
          </w:p>
        </w:tc>
        <w:tc>
          <w:tcPr>
            <w:tcW w:w="1020" w:type="dxa"/>
          </w:tcPr>
          <w:p w:rsidR="00505632" w:rsidRDefault="00505632" w:rsidP="00AD4E52">
            <w:pPr>
              <w:pStyle w:val="CellColumn"/>
              <w:jc w:val="right"/>
            </w:pPr>
            <w:r>
              <w:rPr>
                <w:rFonts w:cs="Times New Roman"/>
              </w:rPr>
              <w:t>48</w:t>
            </w:r>
          </w:p>
        </w:tc>
      </w:tr>
      <w:tr w:rsidR="00505632" w:rsidTr="00AD4E52">
        <w:trPr>
          <w:jc w:val="center"/>
        </w:trPr>
        <w:tc>
          <w:tcPr>
            <w:tcW w:w="2551" w:type="dxa"/>
          </w:tcPr>
          <w:p w:rsidR="00505632" w:rsidRDefault="00505632" w:rsidP="00AD4E52">
            <w:pPr>
              <w:pStyle w:val="CellColumn"/>
              <w:jc w:val="left"/>
            </w:pPr>
            <w:r>
              <w:rPr>
                <w:rFonts w:cs="Times New Roman"/>
              </w:rPr>
              <w:t>Izrađeni ispitni materijali za predmete ispitivanja</w:t>
            </w:r>
          </w:p>
        </w:tc>
        <w:tc>
          <w:tcPr>
            <w:tcW w:w="2551" w:type="dxa"/>
          </w:tcPr>
          <w:p w:rsidR="00505632" w:rsidRDefault="00505632" w:rsidP="00AD4E52">
            <w:pPr>
              <w:pStyle w:val="CellColumn"/>
              <w:jc w:val="left"/>
            </w:pPr>
            <w:r>
              <w:rPr>
                <w:rFonts w:cs="Times New Roman"/>
              </w:rPr>
              <w:t>Modernizacija državnog stručnog ispita</w:t>
            </w:r>
          </w:p>
        </w:tc>
        <w:tc>
          <w:tcPr>
            <w:tcW w:w="1020" w:type="dxa"/>
          </w:tcPr>
          <w:p w:rsidR="00505632" w:rsidRDefault="00505632" w:rsidP="00AD4E52">
            <w:pPr>
              <w:pStyle w:val="CellColumn"/>
              <w:jc w:val="right"/>
            </w:pPr>
            <w:r>
              <w:rPr>
                <w:rFonts w:cs="Times New Roman"/>
              </w:rPr>
              <w:t>Postotak izrađenih ispitnih materijala za predmete ispitivanja</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80%</w:t>
            </w:r>
          </w:p>
        </w:tc>
      </w:tr>
      <w:tr w:rsidR="00505632" w:rsidTr="00AD4E52">
        <w:trPr>
          <w:jc w:val="center"/>
        </w:trPr>
        <w:tc>
          <w:tcPr>
            <w:tcW w:w="2551" w:type="dxa"/>
          </w:tcPr>
          <w:p w:rsidR="00505632" w:rsidRDefault="00505632" w:rsidP="00AD4E52">
            <w:pPr>
              <w:pStyle w:val="CellColumn"/>
              <w:jc w:val="left"/>
            </w:pPr>
            <w:r>
              <w:rPr>
                <w:rFonts w:cs="Times New Roman"/>
              </w:rPr>
              <w:t>Određena upravna područja/zvanja/radna mjesta za koja se provode licencirani ispiti</w:t>
            </w:r>
          </w:p>
        </w:tc>
        <w:tc>
          <w:tcPr>
            <w:tcW w:w="2551" w:type="dxa"/>
          </w:tcPr>
          <w:p w:rsidR="00505632" w:rsidRDefault="00505632" w:rsidP="00AD4E52">
            <w:pPr>
              <w:pStyle w:val="CellColumn"/>
              <w:jc w:val="left"/>
            </w:pPr>
            <w:r>
              <w:rPr>
                <w:rFonts w:cs="Times New Roman"/>
              </w:rPr>
              <w:t>Razvoj stručnih licenciranih ispita za određena upravna područja</w:t>
            </w:r>
          </w:p>
        </w:tc>
        <w:tc>
          <w:tcPr>
            <w:tcW w:w="1020" w:type="dxa"/>
          </w:tcPr>
          <w:p w:rsidR="00505632" w:rsidRDefault="00505632" w:rsidP="00AD4E52">
            <w:pPr>
              <w:pStyle w:val="CellColumn"/>
              <w:jc w:val="right"/>
            </w:pPr>
            <w:r>
              <w:rPr>
                <w:rFonts w:cs="Times New Roman"/>
              </w:rPr>
              <w:t>Broj upravnih područja/zvanja za licenciranje</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Doneseni provedbeni propisi kojima se uređuje postupak, način i uvjeti za polaganje licenciranih ispita</w:t>
            </w:r>
          </w:p>
        </w:tc>
        <w:tc>
          <w:tcPr>
            <w:tcW w:w="2551" w:type="dxa"/>
          </w:tcPr>
          <w:p w:rsidR="00505632" w:rsidRDefault="00505632" w:rsidP="00AD4E52">
            <w:pPr>
              <w:pStyle w:val="CellColumn"/>
              <w:jc w:val="left"/>
            </w:pPr>
            <w:r>
              <w:rPr>
                <w:rFonts w:cs="Times New Roman"/>
              </w:rPr>
              <w:t>Razvoj stručnih licenciranih ispita za određena upravna područja</w:t>
            </w:r>
          </w:p>
        </w:tc>
        <w:tc>
          <w:tcPr>
            <w:tcW w:w="1020" w:type="dxa"/>
          </w:tcPr>
          <w:p w:rsidR="00505632" w:rsidRDefault="00505632" w:rsidP="00AD4E52">
            <w:pPr>
              <w:pStyle w:val="CellColumn"/>
              <w:jc w:val="right"/>
            </w:pPr>
            <w:r>
              <w:rPr>
                <w:rFonts w:cs="Times New Roman"/>
              </w:rPr>
              <w:t>Broj propisa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bl>
    <w:p w:rsidR="00505632" w:rsidRDefault="00505632" w:rsidP="00505632">
      <w:pPr>
        <w:jc w:val="left"/>
      </w:pPr>
    </w:p>
    <w:p w:rsidR="00505632" w:rsidRDefault="00505632" w:rsidP="00505632">
      <w:pPr>
        <w:pStyle w:val="Heading4"/>
      </w:pPr>
      <w:r>
        <w:t>A830004 ODBOR ZA DRŽAVNU SLUŽBU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A830004-ODBOR ZA DRŽAVNU SLUŽBU</w:t>
            </w:r>
          </w:p>
        </w:tc>
        <w:tc>
          <w:tcPr>
            <w:tcW w:w="2041" w:type="dxa"/>
          </w:tcPr>
          <w:p w:rsidR="00505632" w:rsidRDefault="00505632" w:rsidP="00AD4E52">
            <w:pPr>
              <w:pStyle w:val="CellColumn"/>
              <w:jc w:val="right"/>
            </w:pPr>
            <w:r>
              <w:rPr>
                <w:rFonts w:cs="Times New Roman"/>
              </w:rPr>
              <w:t>1.151.826</w:t>
            </w:r>
          </w:p>
        </w:tc>
        <w:tc>
          <w:tcPr>
            <w:tcW w:w="2041" w:type="dxa"/>
          </w:tcPr>
          <w:p w:rsidR="00505632" w:rsidRDefault="00505632" w:rsidP="00AD4E52">
            <w:pPr>
              <w:pStyle w:val="CellColumn"/>
              <w:jc w:val="right"/>
            </w:pPr>
            <w:r>
              <w:rPr>
                <w:rFonts w:cs="Times New Roman"/>
              </w:rPr>
              <w:t>1.093.250</w:t>
            </w:r>
          </w:p>
        </w:tc>
        <w:tc>
          <w:tcPr>
            <w:tcW w:w="2041" w:type="dxa"/>
          </w:tcPr>
          <w:p w:rsidR="00505632" w:rsidRDefault="00505632" w:rsidP="00AD4E52">
            <w:pPr>
              <w:pStyle w:val="CellColumn"/>
              <w:jc w:val="right"/>
            </w:pPr>
            <w:r>
              <w:rPr>
                <w:rFonts w:cs="Times New Roman"/>
              </w:rPr>
              <w:t>988.300</w:t>
            </w:r>
          </w:p>
        </w:tc>
        <w:tc>
          <w:tcPr>
            <w:tcW w:w="1224" w:type="dxa"/>
          </w:tcPr>
          <w:p w:rsidR="00505632" w:rsidRDefault="00505632" w:rsidP="00AD4E52">
            <w:pPr>
              <w:pStyle w:val="CellColumn"/>
              <w:jc w:val="right"/>
            </w:pPr>
            <w:r>
              <w:rPr>
                <w:rFonts w:cs="Times New Roman"/>
              </w:rPr>
              <w:t>90,4</w:t>
            </w:r>
          </w:p>
        </w:tc>
        <w:tc>
          <w:tcPr>
            <w:tcW w:w="1224" w:type="dxa"/>
          </w:tcPr>
          <w:p w:rsidR="00505632" w:rsidRDefault="00505632" w:rsidP="00AD4E52">
            <w:pPr>
              <w:pStyle w:val="CellColumn"/>
              <w:jc w:val="right"/>
            </w:pPr>
            <w:r>
              <w:rPr>
                <w:rFonts w:cs="Times New Roman"/>
              </w:rPr>
              <w:t>85,8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o ustrojstvu i načinu rada Odbora za državnu službu ("Narodne novine", broj 8/2006, 40/2015)</w:t>
      </w:r>
    </w:p>
    <w:p w:rsidR="00505632" w:rsidRDefault="00505632" w:rsidP="00505632">
      <w:pPr>
        <w:pStyle w:val="Heading8"/>
        <w:jc w:val="left"/>
      </w:pPr>
      <w:r>
        <w:t>Opis aktivnosti</w:t>
      </w:r>
    </w:p>
    <w:p w:rsidR="00505632" w:rsidRDefault="00505632" w:rsidP="00505632">
      <w:r>
        <w:t>Na aktivnosti A 830004 planirana su sredstva za obavljanje poslova Odbora za državnu službu. Ministarstvo  uprave obavlja administrativne i financijske poslove za Odbor. Najveći dio planiranih i ostvarenih sredstava na aktivnosti Odbora odnose se na rashode za zaposlene.Tijekom 2016. godine Odbor za državnu službu riješio je 2047 upravnih predmeta, te 140 neupravnih predmeta. Odbor je bio u sastavu 5 članova od kojih je jedan imao ovlasti predsjednika.</w:t>
      </w:r>
    </w:p>
    <w:p w:rsidR="00505632" w:rsidRDefault="00505632" w:rsidP="00505632">
      <w:pPr>
        <w:pStyle w:val="Heading3"/>
      </w:pPr>
      <w:r>
        <w:rPr>
          <w:rFonts w:cs="Times New Roman"/>
        </w:rPr>
        <w:t>2408 DIGITALIZACIJA UPRAVE</w:t>
      </w:r>
    </w:p>
    <w:tbl>
      <w:tblPr>
        <w:tblStyle w:val="StilTablice"/>
        <w:tblW w:w="10206" w:type="dxa"/>
        <w:jc w:val="center"/>
        <w:tblLook w:val="04A0" w:firstRow="1" w:lastRow="0" w:firstColumn="1" w:lastColumn="0" w:noHBand="0" w:noVBand="1"/>
      </w:tblPr>
      <w:tblGrid>
        <w:gridCol w:w="1681"/>
        <w:gridCol w:w="2026"/>
        <w:gridCol w:w="2028"/>
        <w:gridCol w:w="2028"/>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2408-DIGITALIZACIJA UPRAVE</w:t>
            </w:r>
          </w:p>
        </w:tc>
        <w:tc>
          <w:tcPr>
            <w:tcW w:w="2041" w:type="dxa"/>
          </w:tcPr>
          <w:p w:rsidR="00505632" w:rsidRDefault="00505632" w:rsidP="00AD4E52">
            <w:pPr>
              <w:pStyle w:val="CellColumn"/>
              <w:jc w:val="right"/>
            </w:pPr>
            <w:r>
              <w:rPr>
                <w:rFonts w:cs="Times New Roman"/>
              </w:rPr>
              <w:t>7.009.059</w:t>
            </w:r>
          </w:p>
        </w:tc>
        <w:tc>
          <w:tcPr>
            <w:tcW w:w="2041" w:type="dxa"/>
          </w:tcPr>
          <w:p w:rsidR="00505632" w:rsidRDefault="00505632" w:rsidP="00AD4E52">
            <w:pPr>
              <w:pStyle w:val="CellColumn"/>
              <w:jc w:val="right"/>
            </w:pPr>
            <w:r>
              <w:rPr>
                <w:rFonts w:cs="Times New Roman"/>
              </w:rPr>
              <w:t>35.189.250</w:t>
            </w:r>
          </w:p>
        </w:tc>
        <w:tc>
          <w:tcPr>
            <w:tcW w:w="2041" w:type="dxa"/>
          </w:tcPr>
          <w:p w:rsidR="00505632" w:rsidRDefault="00505632" w:rsidP="00AD4E52">
            <w:pPr>
              <w:pStyle w:val="CellColumn"/>
              <w:jc w:val="right"/>
            </w:pPr>
            <w:r>
              <w:rPr>
                <w:rFonts w:cs="Times New Roman"/>
              </w:rPr>
              <w:t>26.140.334</w:t>
            </w:r>
          </w:p>
        </w:tc>
        <w:tc>
          <w:tcPr>
            <w:tcW w:w="1224" w:type="dxa"/>
          </w:tcPr>
          <w:p w:rsidR="00505632" w:rsidRDefault="00505632" w:rsidP="00AD4E52">
            <w:pPr>
              <w:pStyle w:val="CellColumn"/>
              <w:jc w:val="right"/>
            </w:pPr>
            <w:r>
              <w:rPr>
                <w:rFonts w:cs="Times New Roman"/>
              </w:rPr>
              <w:t>74,3</w:t>
            </w:r>
          </w:p>
        </w:tc>
        <w:tc>
          <w:tcPr>
            <w:tcW w:w="1224" w:type="dxa"/>
          </w:tcPr>
          <w:p w:rsidR="00505632" w:rsidRDefault="00505632" w:rsidP="00AD4E52">
            <w:pPr>
              <w:pStyle w:val="CellColumn"/>
              <w:jc w:val="right"/>
            </w:pPr>
            <w:r>
              <w:rPr>
                <w:rFonts w:cs="Times New Roman"/>
              </w:rPr>
              <w:t>373,0</w:t>
            </w:r>
          </w:p>
        </w:tc>
      </w:tr>
    </w:tbl>
    <w:p w:rsidR="00505632" w:rsidRDefault="00505632" w:rsidP="00505632">
      <w:pPr>
        <w:jc w:val="left"/>
      </w:pPr>
    </w:p>
    <w:p w:rsidR="00505632" w:rsidRDefault="00505632" w:rsidP="00505632">
      <w:r>
        <w:t>Glavni su ciljevi unutar ovog programa: uspostavljanje elektroničke uprave kroz jaču koordinaciju tijela državne uprave (Izgradnja umrežene uprave), optimiranje i razvoj računalne i komunikacijske infrastrukture u državnoj upravi-HITRONet.</w:t>
      </w:r>
    </w:p>
    <w:p w:rsidR="00505632" w:rsidRDefault="00505632" w:rsidP="00505632">
      <w:pPr>
        <w:pStyle w:val="Heading8"/>
        <w:jc w:val="left"/>
      </w:pPr>
      <w:r>
        <w:t>Cilj 1. Unapređenje kvalitete javnih usluga kroz djelotvornu primjenu ICT-a u radu javne uprave</w:t>
      </w:r>
    </w:p>
    <w:p w:rsidR="00505632" w:rsidRDefault="00505632" w:rsidP="00505632">
      <w:pPr>
        <w:pStyle w:val="Heading8"/>
        <w:jc w:val="left"/>
      </w:pPr>
      <w:r>
        <w:t>Opis provedbe cilja programa</w:t>
      </w:r>
    </w:p>
    <w:p w:rsidR="00505632" w:rsidRDefault="00505632" w:rsidP="00505632">
      <w:r>
        <w:t xml:space="preserve">Kao odgovor na potrebu promjene načina rada u javnoj upravi i njenog odnosa prema građanima i poduzetnicima te s ciljem osiguranja e-javnih usluga za građane i poduzetnike temeljene na integriranom informacijskom sustavu države, u srpnju 2014. donesen je Zakon o državnoj informacijskoj infrastrukturi ("Narodne novine", broj 92/2014). </w:t>
      </w:r>
    </w:p>
    <w:p w:rsidR="00505632" w:rsidRDefault="00505632" w:rsidP="00505632">
      <w:r>
        <w:t>Ovim je Zakonom Vlada Republike Hrvatske stvorila pretpostavke za oživotvorenje vizije moderne javne uprave temeljene na modernoj informacijsko-komunikacijskoj tehnologiji te osigurala prijelaz na novu generaciju otvorene, prilagodljive i interaktivne uprave okrenute pružanju naprednih usluga usmjerenih korisniku. Cilj donošenja ovog Zakona je ubrzanje ostvarivanja ciljeva vezanih uz razvoj nove javne uprave zadanih Programom Vlade Republike Hrvatske za mandatno razdoblje 2011. - 2015. te stvaranje pouzdane, otvorene, transparentne i korisnicima uslužne uprave, što je naročito važno obzirom na činjenicu da Republika Hrvatska djeluje unutar sustava Europske unije.</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391"/>
        <w:gridCol w:w="2404"/>
        <w:gridCol w:w="1392"/>
        <w:gridCol w:w="1007"/>
        <w:gridCol w:w="997"/>
        <w:gridCol w:w="1007"/>
        <w:gridCol w:w="1008"/>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 broj servisa EU koji koriste tijela javne uprave Republike Hrvatske</w:t>
            </w:r>
          </w:p>
        </w:tc>
        <w:tc>
          <w:tcPr>
            <w:tcW w:w="2551" w:type="dxa"/>
          </w:tcPr>
          <w:p w:rsidR="00505632" w:rsidRDefault="00505632" w:rsidP="00AD4E52">
            <w:pPr>
              <w:pStyle w:val="CellColumn"/>
              <w:jc w:val="left"/>
            </w:pPr>
            <w:r>
              <w:rPr>
                <w:rFonts w:cs="Times New Roman"/>
              </w:rPr>
              <w:t>Omogućavanje korištenja zajedničkih interoperabilnih rješenja na razini EU</w:t>
            </w:r>
          </w:p>
        </w:tc>
        <w:tc>
          <w:tcPr>
            <w:tcW w:w="1020" w:type="dxa"/>
          </w:tcPr>
          <w:p w:rsidR="00505632" w:rsidRDefault="00505632" w:rsidP="00AD4E52">
            <w:pPr>
              <w:pStyle w:val="CellColumn"/>
              <w:jc w:val="right"/>
            </w:pPr>
            <w:r>
              <w:rPr>
                <w:rFonts w:cs="Times New Roman"/>
              </w:rPr>
              <w:t>Broj interoperabilnih servisa koji se koriste u RH</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8</w:t>
            </w:r>
          </w:p>
        </w:tc>
      </w:tr>
      <w:tr w:rsidR="00505632" w:rsidTr="00AD4E52">
        <w:trPr>
          <w:jc w:val="center"/>
        </w:trPr>
        <w:tc>
          <w:tcPr>
            <w:tcW w:w="2551" w:type="dxa"/>
          </w:tcPr>
          <w:p w:rsidR="00505632" w:rsidRDefault="00505632" w:rsidP="00AD4E52">
            <w:pPr>
              <w:pStyle w:val="CellColumn"/>
              <w:jc w:val="left"/>
            </w:pPr>
            <w:r>
              <w:rPr>
                <w:rFonts w:cs="Times New Roman"/>
              </w:rPr>
              <w:t>Napisane Uredbe</w:t>
            </w:r>
          </w:p>
        </w:tc>
        <w:tc>
          <w:tcPr>
            <w:tcW w:w="2551" w:type="dxa"/>
          </w:tcPr>
          <w:p w:rsidR="00505632" w:rsidRDefault="00505632" w:rsidP="00AD4E52">
            <w:pPr>
              <w:pStyle w:val="CellColumn"/>
              <w:jc w:val="left"/>
            </w:pPr>
            <w:r>
              <w:rPr>
                <w:rFonts w:cs="Times New Roman"/>
              </w:rPr>
              <w:t>Pripremiti uredbe iz ZoDII-a</w:t>
            </w:r>
          </w:p>
        </w:tc>
        <w:tc>
          <w:tcPr>
            <w:tcW w:w="1020" w:type="dxa"/>
          </w:tcPr>
          <w:p w:rsidR="00505632" w:rsidRDefault="00505632" w:rsidP="00AD4E52">
            <w:pPr>
              <w:pStyle w:val="CellColumn"/>
              <w:jc w:val="right"/>
            </w:pPr>
            <w:r>
              <w:rPr>
                <w:rFonts w:cs="Times New Roman"/>
              </w:rPr>
              <w:t>Broj standardnih procesa za koje je pripremljen pregled</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1" w:type="dxa"/>
          </w:tcPr>
          <w:p w:rsidR="00505632" w:rsidRDefault="00505632" w:rsidP="00AD4E52">
            <w:pPr>
              <w:pStyle w:val="CellColumn"/>
              <w:jc w:val="left"/>
            </w:pPr>
            <w:r>
              <w:rPr>
                <w:rFonts w:cs="Times New Roman"/>
              </w:rPr>
              <w:t>Uspostavljen i implementiran sustav ProDII</w:t>
            </w:r>
          </w:p>
        </w:tc>
        <w:tc>
          <w:tcPr>
            <w:tcW w:w="2551" w:type="dxa"/>
          </w:tcPr>
          <w:p w:rsidR="00505632" w:rsidRDefault="00505632" w:rsidP="00AD4E52">
            <w:pPr>
              <w:pStyle w:val="CellColumn"/>
              <w:jc w:val="left"/>
            </w:pPr>
            <w:r>
              <w:rPr>
                <w:rFonts w:cs="Times New Roman"/>
              </w:rPr>
              <w:t>Uspostaviti sustav za praćenje projekata u javnom sektoru</w:t>
            </w:r>
          </w:p>
        </w:tc>
        <w:tc>
          <w:tcPr>
            <w:tcW w:w="1020" w:type="dxa"/>
          </w:tcPr>
          <w:p w:rsidR="00505632" w:rsidRDefault="00505632" w:rsidP="00AD4E52">
            <w:pPr>
              <w:pStyle w:val="CellColumn"/>
              <w:jc w:val="right"/>
            </w:pPr>
            <w:r>
              <w:rPr>
                <w:rFonts w:cs="Times New Roman"/>
              </w:rPr>
              <w:t>Postotak institucija koje su unijele projekte</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50%</w:t>
            </w:r>
          </w:p>
        </w:tc>
      </w:tr>
      <w:tr w:rsidR="00505632" w:rsidTr="00AD4E52">
        <w:trPr>
          <w:jc w:val="center"/>
        </w:trPr>
        <w:tc>
          <w:tcPr>
            <w:tcW w:w="2551" w:type="dxa"/>
          </w:tcPr>
          <w:p w:rsidR="00505632" w:rsidRDefault="00505632" w:rsidP="00AD4E52">
            <w:pPr>
              <w:pStyle w:val="CellColumn"/>
              <w:jc w:val="left"/>
            </w:pPr>
            <w:r>
              <w:rPr>
                <w:rFonts w:cs="Times New Roman"/>
              </w:rPr>
              <w:t>Provedba edukacije za korisnike sustava za praćenje projekata u javnom sektoru</w:t>
            </w:r>
          </w:p>
        </w:tc>
        <w:tc>
          <w:tcPr>
            <w:tcW w:w="2551" w:type="dxa"/>
          </w:tcPr>
          <w:p w:rsidR="00505632" w:rsidRDefault="00505632" w:rsidP="00AD4E52">
            <w:pPr>
              <w:pStyle w:val="CellColumn"/>
              <w:jc w:val="left"/>
            </w:pPr>
            <w:r>
              <w:rPr>
                <w:rFonts w:cs="Times New Roman"/>
              </w:rPr>
              <w:t>Uspostaviti sustav za praćenje projekata u javnom sektoru</w:t>
            </w:r>
          </w:p>
        </w:tc>
        <w:tc>
          <w:tcPr>
            <w:tcW w:w="1020" w:type="dxa"/>
          </w:tcPr>
          <w:p w:rsidR="00505632" w:rsidRDefault="00505632" w:rsidP="00AD4E52">
            <w:pPr>
              <w:pStyle w:val="CellColumn"/>
              <w:jc w:val="right"/>
            </w:pPr>
            <w:r>
              <w:rPr>
                <w:rFonts w:cs="Times New Roman"/>
              </w:rPr>
              <w:t>Broj educiranih djelatnika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60</w:t>
            </w:r>
          </w:p>
        </w:tc>
        <w:tc>
          <w:tcPr>
            <w:tcW w:w="1020" w:type="dxa"/>
          </w:tcPr>
          <w:p w:rsidR="00505632" w:rsidRDefault="00505632" w:rsidP="00AD4E52">
            <w:pPr>
              <w:pStyle w:val="CellColumn"/>
              <w:jc w:val="right"/>
            </w:pPr>
            <w:r>
              <w:rPr>
                <w:rFonts w:cs="Times New Roman"/>
              </w:rPr>
              <w:t>60</w:t>
            </w:r>
          </w:p>
        </w:tc>
      </w:tr>
      <w:tr w:rsidR="00505632" w:rsidTr="00AD4E52">
        <w:trPr>
          <w:jc w:val="center"/>
        </w:trPr>
        <w:tc>
          <w:tcPr>
            <w:tcW w:w="2551" w:type="dxa"/>
          </w:tcPr>
          <w:p w:rsidR="00505632" w:rsidRDefault="00505632" w:rsidP="00AD4E52">
            <w:pPr>
              <w:pStyle w:val="CellColumn"/>
              <w:jc w:val="left"/>
            </w:pPr>
            <w:r>
              <w:rPr>
                <w:rFonts w:cs="Times New Roman"/>
              </w:rPr>
              <w:t>Broj pripremljenih projektnih dokumentacija iz IPA programa</w:t>
            </w:r>
          </w:p>
        </w:tc>
        <w:tc>
          <w:tcPr>
            <w:tcW w:w="2551" w:type="dxa"/>
          </w:tcPr>
          <w:p w:rsidR="00505632" w:rsidRDefault="00505632" w:rsidP="00AD4E52">
            <w:pPr>
              <w:pStyle w:val="CellColumn"/>
              <w:jc w:val="left"/>
            </w:pPr>
            <w:r>
              <w:rPr>
                <w:rFonts w:cs="Times New Roman"/>
              </w:rPr>
              <w:t>Priprema i provedba projekata iz Pretpristupnog insturmenta IPA te tzv. Prijelaznog instrumenta (Transition Facility)</w:t>
            </w:r>
          </w:p>
        </w:tc>
        <w:tc>
          <w:tcPr>
            <w:tcW w:w="1020" w:type="dxa"/>
          </w:tcPr>
          <w:p w:rsidR="00505632" w:rsidRDefault="00505632" w:rsidP="00AD4E52">
            <w:pPr>
              <w:pStyle w:val="CellColumn"/>
              <w:jc w:val="right"/>
            </w:pPr>
            <w:r>
              <w:rPr>
                <w:rFonts w:cs="Times New Roman"/>
              </w:rPr>
              <w:t>Odnos planiranih i pripremljenih i projekata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Broj pripremljenih projekata za korištenje tzv. Transition facility programme</w:t>
            </w:r>
          </w:p>
        </w:tc>
        <w:tc>
          <w:tcPr>
            <w:tcW w:w="2551" w:type="dxa"/>
          </w:tcPr>
          <w:p w:rsidR="00505632" w:rsidRDefault="00505632" w:rsidP="00AD4E52">
            <w:pPr>
              <w:pStyle w:val="CellColumn"/>
              <w:jc w:val="left"/>
            </w:pPr>
            <w:r>
              <w:rPr>
                <w:rFonts w:cs="Times New Roman"/>
              </w:rPr>
              <w:t>Priprema i provedba projekata iz Pretpristupnog insturmenta IPA te tzv. Prijelaznog instrumenta (Transition Facility)</w:t>
            </w:r>
          </w:p>
        </w:tc>
        <w:tc>
          <w:tcPr>
            <w:tcW w:w="1020" w:type="dxa"/>
          </w:tcPr>
          <w:p w:rsidR="00505632" w:rsidRDefault="00505632" w:rsidP="00AD4E52">
            <w:pPr>
              <w:pStyle w:val="CellColumn"/>
              <w:jc w:val="right"/>
            </w:pPr>
            <w:r>
              <w:rPr>
                <w:rFonts w:cs="Times New Roman"/>
              </w:rPr>
              <w:t>Odnos planiranih i pripremljenih i projekata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Broj pripremljenih dokumenata (outputa) vezanih uz IPA projekte</w:t>
            </w:r>
          </w:p>
        </w:tc>
        <w:tc>
          <w:tcPr>
            <w:tcW w:w="2551" w:type="dxa"/>
          </w:tcPr>
          <w:p w:rsidR="00505632" w:rsidRDefault="00505632" w:rsidP="00AD4E52">
            <w:pPr>
              <w:pStyle w:val="CellColumn"/>
              <w:jc w:val="left"/>
            </w:pPr>
            <w:r>
              <w:rPr>
                <w:rFonts w:cs="Times New Roman"/>
              </w:rPr>
              <w:t>Priprema i provedba projekata iz Pretpristupnog insturmenta IPA te tzv. Prijelaznog instrumenta (Transition Facility)</w:t>
            </w:r>
          </w:p>
        </w:tc>
        <w:tc>
          <w:tcPr>
            <w:tcW w:w="1020" w:type="dxa"/>
          </w:tcPr>
          <w:p w:rsidR="00505632" w:rsidRDefault="00505632" w:rsidP="00AD4E52">
            <w:pPr>
              <w:pStyle w:val="CellColumn"/>
              <w:jc w:val="right"/>
            </w:pPr>
            <w:r>
              <w:rPr>
                <w:rFonts w:cs="Times New Roman"/>
              </w:rPr>
              <w:t>Odnos planiranih i pripremljenih i projekata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Broj pripremljenih dokumenata (outputa) vezanih uz Transition Facility projekte</w:t>
            </w:r>
          </w:p>
        </w:tc>
        <w:tc>
          <w:tcPr>
            <w:tcW w:w="2551" w:type="dxa"/>
          </w:tcPr>
          <w:p w:rsidR="00505632" w:rsidRDefault="00505632" w:rsidP="00AD4E52">
            <w:pPr>
              <w:pStyle w:val="CellColumn"/>
              <w:jc w:val="left"/>
            </w:pPr>
            <w:r>
              <w:rPr>
                <w:rFonts w:cs="Times New Roman"/>
              </w:rPr>
              <w:t>Priprema i provedba projekata iz Pretpristupnog insturmenta IPA te tzv. Prijelaznog instrumenta (Transition Facility)</w:t>
            </w:r>
          </w:p>
        </w:tc>
        <w:tc>
          <w:tcPr>
            <w:tcW w:w="1020" w:type="dxa"/>
          </w:tcPr>
          <w:p w:rsidR="00505632" w:rsidRDefault="00505632" w:rsidP="00AD4E52">
            <w:pPr>
              <w:pStyle w:val="CellColumn"/>
              <w:jc w:val="right"/>
            </w:pPr>
            <w:r>
              <w:rPr>
                <w:rFonts w:cs="Times New Roman"/>
              </w:rPr>
              <w:t>Odnos planiranih i pripremljenih i projekata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Sudjelovanje u Programu ISA omogućeno je povezivanje HITRONet-a s sTESTA mrežom</w:t>
            </w:r>
          </w:p>
        </w:tc>
        <w:tc>
          <w:tcPr>
            <w:tcW w:w="2551" w:type="dxa"/>
          </w:tcPr>
          <w:p w:rsidR="00505632" w:rsidRDefault="00505632" w:rsidP="00AD4E52">
            <w:pPr>
              <w:pStyle w:val="CellColumn"/>
              <w:jc w:val="left"/>
            </w:pPr>
            <w:r>
              <w:rPr>
                <w:rFonts w:cs="Times New Roman"/>
              </w:rPr>
              <w:t>Omogućiti međusobno povezivanje sustava za podršku korisnicima javne uprave Republike Hrvatske i Europske unije</w:t>
            </w:r>
          </w:p>
        </w:tc>
        <w:tc>
          <w:tcPr>
            <w:tcW w:w="1020" w:type="dxa"/>
          </w:tcPr>
          <w:p w:rsidR="00505632" w:rsidRDefault="00505632" w:rsidP="00AD4E52">
            <w:pPr>
              <w:pStyle w:val="CellColumn"/>
              <w:jc w:val="right"/>
            </w:pPr>
            <w:r>
              <w:rPr>
                <w:rFonts w:cs="Times New Roman"/>
              </w:rPr>
              <w:t>Broj sustava povezanih na sTESTA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4"/>
      </w:pPr>
      <w:r>
        <w:t>A677016 ELEKTRONIČKA UPRAVA</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A677016-ELEKTRONIČKA UPRAVA</w:t>
            </w:r>
          </w:p>
        </w:tc>
        <w:tc>
          <w:tcPr>
            <w:tcW w:w="2041" w:type="dxa"/>
          </w:tcPr>
          <w:p w:rsidR="00505632" w:rsidRDefault="00505632" w:rsidP="00AD4E52">
            <w:pPr>
              <w:pStyle w:val="CellColumn"/>
              <w:jc w:val="right"/>
            </w:pPr>
            <w:r>
              <w:rPr>
                <w:rFonts w:cs="Times New Roman"/>
              </w:rPr>
              <w:t>2.801.502</w:t>
            </w:r>
          </w:p>
        </w:tc>
        <w:tc>
          <w:tcPr>
            <w:tcW w:w="2041" w:type="dxa"/>
          </w:tcPr>
          <w:p w:rsidR="00505632" w:rsidRDefault="00505632" w:rsidP="00AD4E52">
            <w:pPr>
              <w:pStyle w:val="CellColumn"/>
              <w:jc w:val="right"/>
            </w:pPr>
            <w:r>
              <w:rPr>
                <w:rFonts w:cs="Times New Roman"/>
              </w:rPr>
              <w:t>2.940.250</w:t>
            </w:r>
          </w:p>
        </w:tc>
        <w:tc>
          <w:tcPr>
            <w:tcW w:w="2041" w:type="dxa"/>
          </w:tcPr>
          <w:p w:rsidR="00505632" w:rsidRDefault="00505632" w:rsidP="00AD4E52">
            <w:pPr>
              <w:pStyle w:val="CellColumn"/>
              <w:jc w:val="right"/>
            </w:pPr>
            <w:r>
              <w:rPr>
                <w:rFonts w:cs="Times New Roman"/>
              </w:rPr>
              <w:t>2.668.459</w:t>
            </w:r>
          </w:p>
        </w:tc>
        <w:tc>
          <w:tcPr>
            <w:tcW w:w="1224" w:type="dxa"/>
          </w:tcPr>
          <w:p w:rsidR="00505632" w:rsidRDefault="00505632" w:rsidP="00AD4E52">
            <w:pPr>
              <w:pStyle w:val="CellColumn"/>
              <w:jc w:val="right"/>
            </w:pPr>
            <w:r>
              <w:rPr>
                <w:rFonts w:cs="Times New Roman"/>
              </w:rPr>
              <w:t>90,8</w:t>
            </w:r>
          </w:p>
        </w:tc>
        <w:tc>
          <w:tcPr>
            <w:tcW w:w="1224" w:type="dxa"/>
          </w:tcPr>
          <w:p w:rsidR="00505632" w:rsidRDefault="00505632" w:rsidP="00AD4E52">
            <w:pPr>
              <w:pStyle w:val="CellColumn"/>
              <w:jc w:val="right"/>
            </w:pPr>
            <w:r>
              <w:rPr>
                <w:rFonts w:cs="Times New Roman"/>
              </w:rPr>
              <w:t>95,3</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Program Elektroničke uprave omogućuje racionalizaciju poslovanja tijela državne uprave, uvođenje normi i standarda razvoja informatičkih rješenja koja su ključna za domaće IKT tržište te u konačnici smanjenje administrativnih opterećenja za građane i gospodarske subjekte kao korisnike javnih usluga, stoga je provedba programa jednako značajna za državnu upravu, IKT tržište te krajnje korisnike javnih usluga. </w:t>
      </w:r>
    </w:p>
    <w:p w:rsidR="00505632" w:rsidRDefault="00505632" w:rsidP="00505632">
      <w:r>
        <w:t xml:space="preserve">Unutar Aktivnosti A677016 nalazi se i projekt IS OSG pokrenut 1998. godine. Sustav informatički podržava sustav matičnih knjiga za RH, Registar birača i Knjigu državljana. Sustav je integriran i moderniziran na način da može pružiti cjelovitu uslugu građanima u cijeloj državi bez obzira na to gdje su im podaci upisani u sustav. </w:t>
      </w:r>
    </w:p>
    <w:p w:rsidR="00505632" w:rsidRDefault="00505632" w:rsidP="00505632">
      <w:r>
        <w:t xml:space="preserve">Cilj projekta IS OSG je pružati građanima usluge na području cijele RH bez obzira na mjesto gdje su upisali podatke. </w:t>
      </w:r>
    </w:p>
    <w:p w:rsidR="00505632" w:rsidRDefault="00505632" w:rsidP="00505632">
      <w:r>
        <w:t xml:space="preserve">Ministarstvo uprave nadležno je za vođenje sljedećih registra neprofitnih pravnih osoba: Registar političkih stranaka Republike Hrvatske; Registar stranih udruga u Republici Hrvatskoj; Evidencija pravnih osoba Katoličke Crkve u Republici Hrvatskoj; Evidencija vjerskih zajednica u Republici Hrvatskoj; Registar vijeća, koordinacija vijeća i predstavnika nacionalnih manjina; Fundacijska knjiga; Upisnik predstavništva stranih zaklada i fundacija u Republici Hrvatskoj; Zakladna knjiga. </w:t>
      </w:r>
    </w:p>
    <w:p w:rsidR="00505632" w:rsidRDefault="00505632" w:rsidP="00505632">
      <w:r>
        <w:t>Registar udruga u Republici Hrvatskoj, jedinstveni je registar u koji se upisuju udruge pri nadležnom tijelu državne uprave, prema mjestu sjedišta udruge.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05"/>
        <w:gridCol w:w="2408"/>
        <w:gridCol w:w="1370"/>
        <w:gridCol w:w="1008"/>
        <w:gridCol w:w="998"/>
        <w:gridCol w:w="1008"/>
        <w:gridCol w:w="1009"/>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Pripremljen pravni okvir izgradnje i prebacivanja u oblak</w:t>
            </w:r>
          </w:p>
        </w:tc>
        <w:tc>
          <w:tcPr>
            <w:tcW w:w="2551" w:type="dxa"/>
          </w:tcPr>
          <w:p w:rsidR="00505632" w:rsidRDefault="00505632" w:rsidP="00AD4E52">
            <w:pPr>
              <w:pStyle w:val="CellColumn"/>
              <w:jc w:val="left"/>
            </w:pPr>
            <w:r>
              <w:rPr>
                <w:rFonts w:cs="Times New Roman"/>
              </w:rPr>
              <w:t>Optimiran razvoj računalne infrastrukture kroz donošenje i provedbu politike upravljanja ICT imovinom u vlasništvu RH (strategije «oblaka javnog sektora»)</w:t>
            </w:r>
          </w:p>
        </w:tc>
        <w:tc>
          <w:tcPr>
            <w:tcW w:w="1020" w:type="dxa"/>
          </w:tcPr>
          <w:p w:rsidR="00505632" w:rsidRDefault="00505632" w:rsidP="00AD4E52">
            <w:pPr>
              <w:pStyle w:val="CellColumn"/>
              <w:jc w:val="right"/>
            </w:pPr>
            <w:r>
              <w:rPr>
                <w:rFonts w:cs="Times New Roman"/>
              </w:rPr>
              <w:t>Broj dokumenata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Pripremljena strategija izgradnje i prebacivanja u oblak</w:t>
            </w:r>
          </w:p>
        </w:tc>
        <w:tc>
          <w:tcPr>
            <w:tcW w:w="2551" w:type="dxa"/>
          </w:tcPr>
          <w:p w:rsidR="00505632" w:rsidRDefault="00505632" w:rsidP="00AD4E52">
            <w:pPr>
              <w:pStyle w:val="CellColumn"/>
              <w:jc w:val="left"/>
            </w:pPr>
            <w:r>
              <w:rPr>
                <w:rFonts w:cs="Times New Roman"/>
              </w:rPr>
              <w:t>Optimiran razvoj računalne infrastrukture kroz donošenje i provedbu politike upravljanja ICT imovinom u vlasništvu RH (strategije «oblaka javnog sektora»)</w:t>
            </w:r>
          </w:p>
        </w:tc>
        <w:tc>
          <w:tcPr>
            <w:tcW w:w="1020" w:type="dxa"/>
          </w:tcPr>
          <w:p w:rsidR="00505632" w:rsidRDefault="00505632" w:rsidP="00AD4E52">
            <w:pPr>
              <w:pStyle w:val="CellColumn"/>
              <w:jc w:val="right"/>
            </w:pPr>
            <w:r>
              <w:rPr>
                <w:rFonts w:cs="Times New Roman"/>
              </w:rPr>
              <w:t>Broj dokumenata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Pripremljen  akcijski plan izgradnje i prebacivanja u oblak</w:t>
            </w:r>
          </w:p>
        </w:tc>
        <w:tc>
          <w:tcPr>
            <w:tcW w:w="2551" w:type="dxa"/>
          </w:tcPr>
          <w:p w:rsidR="00505632" w:rsidRDefault="00505632" w:rsidP="00AD4E52">
            <w:pPr>
              <w:pStyle w:val="CellColumn"/>
              <w:jc w:val="left"/>
            </w:pPr>
            <w:r>
              <w:rPr>
                <w:rFonts w:cs="Times New Roman"/>
              </w:rPr>
              <w:t>Optimiran razvoj računalne infrastrukture kroz donošenje i provedbu politike upravljanja ICT imovinom u vlasništvu RH (strategije «oblaka javnog sektora»)</w:t>
            </w:r>
          </w:p>
        </w:tc>
        <w:tc>
          <w:tcPr>
            <w:tcW w:w="1020" w:type="dxa"/>
          </w:tcPr>
          <w:p w:rsidR="00505632" w:rsidRDefault="00505632" w:rsidP="00AD4E52">
            <w:pPr>
              <w:pStyle w:val="CellColumn"/>
              <w:jc w:val="right"/>
            </w:pPr>
            <w:r>
              <w:rPr>
                <w:rFonts w:cs="Times New Roman"/>
              </w:rPr>
              <w:t>Broj dokumenata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Provedena Strategija i akcijski plan izgradnje i prebacivanja u oblak javne uprave</w:t>
            </w:r>
          </w:p>
        </w:tc>
        <w:tc>
          <w:tcPr>
            <w:tcW w:w="2551" w:type="dxa"/>
          </w:tcPr>
          <w:p w:rsidR="00505632" w:rsidRDefault="00505632" w:rsidP="00AD4E52">
            <w:pPr>
              <w:pStyle w:val="CellColumn"/>
              <w:jc w:val="left"/>
            </w:pPr>
            <w:r>
              <w:rPr>
                <w:rFonts w:cs="Times New Roman"/>
              </w:rPr>
              <w:t>Optimiran razvoj računalne infrastrukture kroz donošenje i provedbu politike upravljanja ICT imovinom u vlasništvu RH (strategije «oblaka javnog sektora»)</w:t>
            </w:r>
          </w:p>
        </w:tc>
        <w:tc>
          <w:tcPr>
            <w:tcW w:w="1020" w:type="dxa"/>
          </w:tcPr>
          <w:p w:rsidR="00505632" w:rsidRDefault="00505632" w:rsidP="00AD4E52">
            <w:pPr>
              <w:pStyle w:val="CellColumn"/>
              <w:jc w:val="right"/>
            </w:pPr>
            <w:r>
              <w:rPr>
                <w:rFonts w:cs="Times New Roman"/>
              </w:rPr>
              <w:t>Postotak institucija  koje su prebacile svoje usluge u oblak</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50%</w:t>
            </w:r>
          </w:p>
        </w:tc>
      </w:tr>
      <w:tr w:rsidR="00505632" w:rsidTr="00AD4E52">
        <w:trPr>
          <w:jc w:val="center"/>
        </w:trPr>
        <w:tc>
          <w:tcPr>
            <w:tcW w:w="2551" w:type="dxa"/>
          </w:tcPr>
          <w:p w:rsidR="00505632" w:rsidRDefault="00505632" w:rsidP="00AD4E52">
            <w:pPr>
              <w:pStyle w:val="CellColumn"/>
              <w:jc w:val="left"/>
            </w:pPr>
            <w:r>
              <w:rPr>
                <w:rFonts w:cs="Times New Roman"/>
              </w:rPr>
              <w:t>Usvojena strategija od strane Vlade RH</w:t>
            </w:r>
          </w:p>
        </w:tc>
        <w:tc>
          <w:tcPr>
            <w:tcW w:w="2551" w:type="dxa"/>
          </w:tcPr>
          <w:p w:rsidR="00505632" w:rsidRDefault="00505632" w:rsidP="00AD4E52">
            <w:pPr>
              <w:pStyle w:val="CellColumn"/>
              <w:jc w:val="left"/>
            </w:pPr>
            <w:r>
              <w:rPr>
                <w:rFonts w:cs="Times New Roman"/>
              </w:rPr>
              <w:t>Donošenje strategije za otvorene specifikacije i standarde</w:t>
            </w:r>
          </w:p>
        </w:tc>
        <w:tc>
          <w:tcPr>
            <w:tcW w:w="1020" w:type="dxa"/>
          </w:tcPr>
          <w:p w:rsidR="00505632" w:rsidRDefault="00505632" w:rsidP="00AD4E52">
            <w:pPr>
              <w:pStyle w:val="CellColumn"/>
              <w:jc w:val="right"/>
            </w:pPr>
            <w:r>
              <w:rPr>
                <w:rFonts w:cs="Times New Roman"/>
              </w:rPr>
              <w:t>Usvojen dokument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Razvijen i implementiran Metaregistar</w:t>
            </w:r>
          </w:p>
        </w:tc>
        <w:tc>
          <w:tcPr>
            <w:tcW w:w="2551" w:type="dxa"/>
          </w:tcPr>
          <w:p w:rsidR="00505632" w:rsidRDefault="00505632" w:rsidP="00AD4E52">
            <w:pPr>
              <w:pStyle w:val="CellColumn"/>
              <w:jc w:val="left"/>
            </w:pPr>
            <w:r>
              <w:rPr>
                <w:rFonts w:cs="Times New Roman"/>
              </w:rPr>
              <w:t>Uspostava elektroničke razmjene podataka između registara u javnoj upravi</w:t>
            </w:r>
          </w:p>
        </w:tc>
        <w:tc>
          <w:tcPr>
            <w:tcW w:w="1020" w:type="dxa"/>
          </w:tcPr>
          <w:p w:rsidR="00505632" w:rsidRDefault="00505632" w:rsidP="00AD4E52">
            <w:pPr>
              <w:pStyle w:val="CellColumn"/>
              <w:jc w:val="right"/>
            </w:pPr>
            <w:r>
              <w:rPr>
                <w:rFonts w:cs="Times New Roman"/>
              </w:rPr>
              <w:t>Aplikacija implementirana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Povezani registri</w:t>
            </w:r>
          </w:p>
        </w:tc>
        <w:tc>
          <w:tcPr>
            <w:tcW w:w="2551" w:type="dxa"/>
          </w:tcPr>
          <w:p w:rsidR="00505632" w:rsidRDefault="00505632" w:rsidP="00AD4E52">
            <w:pPr>
              <w:pStyle w:val="CellColumn"/>
              <w:jc w:val="left"/>
            </w:pPr>
            <w:r>
              <w:rPr>
                <w:rFonts w:cs="Times New Roman"/>
              </w:rPr>
              <w:t>Uspostava elektroničke razmjene podataka između registara u javnoj upravi</w:t>
            </w:r>
          </w:p>
        </w:tc>
        <w:tc>
          <w:tcPr>
            <w:tcW w:w="1020" w:type="dxa"/>
          </w:tcPr>
          <w:p w:rsidR="00505632" w:rsidRDefault="00505632" w:rsidP="00AD4E52">
            <w:pPr>
              <w:pStyle w:val="CellColumn"/>
              <w:jc w:val="right"/>
            </w:pPr>
            <w:r>
              <w:rPr>
                <w:rFonts w:cs="Times New Roman"/>
              </w:rPr>
              <w:t>Broj povezanih registara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Novi ICT sustavi su prilagođeni postavljenim  strandarima</w:t>
            </w:r>
          </w:p>
        </w:tc>
        <w:tc>
          <w:tcPr>
            <w:tcW w:w="2551" w:type="dxa"/>
          </w:tcPr>
          <w:p w:rsidR="00505632" w:rsidRDefault="00505632" w:rsidP="00AD4E52">
            <w:pPr>
              <w:pStyle w:val="CellColumn"/>
              <w:jc w:val="left"/>
            </w:pPr>
            <w:r>
              <w:rPr>
                <w:rFonts w:cs="Times New Roman"/>
              </w:rPr>
              <w:t>Uspostava elektroničke razmjene podataka između registara u javnoj upravi</w:t>
            </w:r>
          </w:p>
        </w:tc>
        <w:tc>
          <w:tcPr>
            <w:tcW w:w="1020" w:type="dxa"/>
          </w:tcPr>
          <w:p w:rsidR="00505632" w:rsidRDefault="00505632" w:rsidP="00AD4E52">
            <w:pPr>
              <w:pStyle w:val="CellColumn"/>
              <w:jc w:val="right"/>
            </w:pPr>
            <w:r>
              <w:rPr>
                <w:rFonts w:cs="Times New Roman"/>
              </w:rPr>
              <w:t>Broj postavljenih standarda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50%</w:t>
            </w:r>
          </w:p>
        </w:tc>
      </w:tr>
      <w:tr w:rsidR="00505632" w:rsidTr="00AD4E52">
        <w:trPr>
          <w:jc w:val="center"/>
        </w:trPr>
        <w:tc>
          <w:tcPr>
            <w:tcW w:w="2551" w:type="dxa"/>
          </w:tcPr>
          <w:p w:rsidR="00505632" w:rsidRDefault="00505632" w:rsidP="00AD4E52">
            <w:pPr>
              <w:pStyle w:val="CellColumn"/>
              <w:jc w:val="left"/>
            </w:pPr>
            <w:r>
              <w:rPr>
                <w:rFonts w:cs="Times New Roman"/>
              </w:rPr>
              <w:t>Pripremljena Uredba o elektroničkom uredskom poslovanju</w:t>
            </w:r>
          </w:p>
        </w:tc>
        <w:tc>
          <w:tcPr>
            <w:tcW w:w="2551" w:type="dxa"/>
          </w:tcPr>
          <w:p w:rsidR="00505632" w:rsidRDefault="00505632" w:rsidP="00AD4E52">
            <w:pPr>
              <w:pStyle w:val="CellColumn"/>
              <w:jc w:val="left"/>
            </w:pPr>
            <w:r>
              <w:rPr>
                <w:rFonts w:cs="Times New Roman"/>
              </w:rPr>
              <w:t>Uspostava elektroničke razmjene dokumenata</w:t>
            </w:r>
          </w:p>
        </w:tc>
        <w:tc>
          <w:tcPr>
            <w:tcW w:w="1020" w:type="dxa"/>
          </w:tcPr>
          <w:p w:rsidR="00505632" w:rsidRDefault="00505632" w:rsidP="00AD4E52">
            <w:pPr>
              <w:pStyle w:val="CellColumn"/>
              <w:jc w:val="right"/>
            </w:pPr>
            <w:r>
              <w:rPr>
                <w:rFonts w:cs="Times New Roman"/>
              </w:rPr>
              <w:t>Broj uredbi</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Davanjem samostalnosti jedinicama u sklopu kojih se upravlja ICT projektima omogućuje se da se izvještaji o projektu daju izravno čelnicima tijela</w:t>
            </w:r>
          </w:p>
        </w:tc>
        <w:tc>
          <w:tcPr>
            <w:tcW w:w="2551" w:type="dxa"/>
          </w:tcPr>
          <w:p w:rsidR="00505632" w:rsidRDefault="00505632" w:rsidP="00AD4E52">
            <w:pPr>
              <w:pStyle w:val="CellColumn"/>
              <w:jc w:val="left"/>
            </w:pPr>
            <w:r>
              <w:rPr>
                <w:rFonts w:cs="Times New Roman"/>
              </w:rPr>
              <w:t>Omogućiti sustavnu podršku izgradnji korisnički orjentiranih elektroničkih usluga javne uprave</w:t>
            </w:r>
          </w:p>
        </w:tc>
        <w:tc>
          <w:tcPr>
            <w:tcW w:w="1020" w:type="dxa"/>
          </w:tcPr>
          <w:p w:rsidR="00505632" w:rsidRDefault="00505632" w:rsidP="00AD4E52">
            <w:pPr>
              <w:pStyle w:val="CellColumn"/>
              <w:jc w:val="right"/>
            </w:pPr>
            <w:r>
              <w:rPr>
                <w:rFonts w:cs="Times New Roman"/>
              </w:rPr>
              <w:t>Broj regionalnih ureda u kojima je uspostavljena samostalnost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40%</w:t>
            </w:r>
          </w:p>
        </w:tc>
      </w:tr>
      <w:tr w:rsidR="00505632" w:rsidTr="00AD4E52">
        <w:trPr>
          <w:jc w:val="center"/>
        </w:trPr>
        <w:tc>
          <w:tcPr>
            <w:tcW w:w="2551" w:type="dxa"/>
          </w:tcPr>
          <w:p w:rsidR="00505632" w:rsidRDefault="00505632" w:rsidP="00AD4E52">
            <w:pPr>
              <w:pStyle w:val="CellColumn"/>
              <w:jc w:val="left"/>
            </w:pPr>
            <w:r>
              <w:rPr>
                <w:rFonts w:cs="Times New Roman"/>
              </w:rPr>
              <w:t>Razne ciljne skupine obavljaju različite poslove u području ICT-a te ih je nužno identificirati i obučiti za isto</w:t>
            </w:r>
          </w:p>
        </w:tc>
        <w:tc>
          <w:tcPr>
            <w:tcW w:w="2551" w:type="dxa"/>
          </w:tcPr>
          <w:p w:rsidR="00505632" w:rsidRDefault="00505632" w:rsidP="00AD4E52">
            <w:pPr>
              <w:pStyle w:val="CellColumn"/>
              <w:jc w:val="left"/>
            </w:pPr>
            <w:r>
              <w:rPr>
                <w:rFonts w:cs="Times New Roman"/>
              </w:rPr>
              <w:t>Omogućiti sustavnu podršku izgradnji korisnički orjentiranih elektroničkih usluga javne uprave</w:t>
            </w:r>
          </w:p>
        </w:tc>
        <w:tc>
          <w:tcPr>
            <w:tcW w:w="1020" w:type="dxa"/>
          </w:tcPr>
          <w:p w:rsidR="00505632" w:rsidRDefault="00505632" w:rsidP="00AD4E52">
            <w:pPr>
              <w:pStyle w:val="CellColumn"/>
              <w:jc w:val="right"/>
            </w:pPr>
            <w:r>
              <w:rPr>
                <w:rFonts w:cs="Times New Roman"/>
              </w:rPr>
              <w:t>Postotak educiranih djelatnika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5%</w:t>
            </w:r>
          </w:p>
        </w:tc>
      </w:tr>
      <w:tr w:rsidR="00505632" w:rsidTr="00AD4E52">
        <w:trPr>
          <w:jc w:val="center"/>
        </w:trPr>
        <w:tc>
          <w:tcPr>
            <w:tcW w:w="2551" w:type="dxa"/>
          </w:tcPr>
          <w:p w:rsidR="00505632" w:rsidRDefault="00505632" w:rsidP="00AD4E52">
            <w:pPr>
              <w:pStyle w:val="CellColumn"/>
              <w:jc w:val="left"/>
            </w:pPr>
            <w:r>
              <w:rPr>
                <w:rFonts w:cs="Times New Roman"/>
              </w:rPr>
              <w:t>Uspostavljen središnji sustav elektroničkog uredskog poslovanja</w:t>
            </w:r>
          </w:p>
        </w:tc>
        <w:tc>
          <w:tcPr>
            <w:tcW w:w="2551" w:type="dxa"/>
          </w:tcPr>
          <w:p w:rsidR="00505632" w:rsidRDefault="00505632" w:rsidP="00AD4E52">
            <w:pPr>
              <w:pStyle w:val="CellColumn"/>
              <w:jc w:val="left"/>
            </w:pPr>
            <w:r>
              <w:rPr>
                <w:rFonts w:cs="Times New Roman"/>
              </w:rPr>
              <w:t>Puna primjena elektroničkog uredskog poslovanja</w:t>
            </w:r>
          </w:p>
        </w:tc>
        <w:tc>
          <w:tcPr>
            <w:tcW w:w="1020" w:type="dxa"/>
          </w:tcPr>
          <w:p w:rsidR="00505632" w:rsidRDefault="00505632" w:rsidP="00AD4E52">
            <w:pPr>
              <w:pStyle w:val="CellColumn"/>
              <w:jc w:val="right"/>
            </w:pPr>
            <w:r>
              <w:rPr>
                <w:rFonts w:cs="Times New Roman"/>
              </w:rPr>
              <w:t>Broj institucija u postotku</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30%</w:t>
            </w:r>
          </w:p>
        </w:tc>
      </w:tr>
      <w:tr w:rsidR="00505632" w:rsidTr="00AD4E52">
        <w:trPr>
          <w:jc w:val="center"/>
        </w:trPr>
        <w:tc>
          <w:tcPr>
            <w:tcW w:w="2551" w:type="dxa"/>
          </w:tcPr>
          <w:p w:rsidR="00505632" w:rsidRDefault="00505632" w:rsidP="00AD4E52">
            <w:pPr>
              <w:pStyle w:val="CellColumn"/>
              <w:jc w:val="left"/>
            </w:pPr>
            <w:r>
              <w:rPr>
                <w:rFonts w:cs="Times New Roman"/>
              </w:rPr>
              <w:t>Pripremljeno aplikativno rješenje</w:t>
            </w:r>
          </w:p>
        </w:tc>
        <w:tc>
          <w:tcPr>
            <w:tcW w:w="2551" w:type="dxa"/>
          </w:tcPr>
          <w:p w:rsidR="00505632" w:rsidRDefault="00505632" w:rsidP="00AD4E52">
            <w:pPr>
              <w:pStyle w:val="CellColumn"/>
              <w:jc w:val="left"/>
            </w:pPr>
            <w:r>
              <w:rPr>
                <w:rFonts w:cs="Times New Roman"/>
              </w:rPr>
              <w:t>Informatizacija procesa upisa novorođenog djeteta</w:t>
            </w:r>
          </w:p>
        </w:tc>
        <w:tc>
          <w:tcPr>
            <w:tcW w:w="1020" w:type="dxa"/>
          </w:tcPr>
          <w:p w:rsidR="00505632" w:rsidRDefault="00505632" w:rsidP="00AD4E52">
            <w:pPr>
              <w:pStyle w:val="CellColumn"/>
              <w:jc w:val="right"/>
            </w:pPr>
            <w:r>
              <w:rPr>
                <w:rFonts w:cs="Times New Roman"/>
              </w:rPr>
              <w:t>Aplikacija radi</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Unificiranje web sadržaja i sličnih sadržaja kroz portal gov.hr Moja uprava</w:t>
            </w:r>
          </w:p>
        </w:tc>
        <w:tc>
          <w:tcPr>
            <w:tcW w:w="2551" w:type="dxa"/>
          </w:tcPr>
          <w:p w:rsidR="00505632" w:rsidRDefault="00505632" w:rsidP="00AD4E52">
            <w:pPr>
              <w:pStyle w:val="CellColumn"/>
              <w:jc w:val="left"/>
            </w:pPr>
            <w:r>
              <w:rPr>
                <w:rFonts w:cs="Times New Roman"/>
              </w:rPr>
              <w:t>Nadogradnja sustava Mojauprava.hr</w:t>
            </w:r>
          </w:p>
        </w:tc>
        <w:tc>
          <w:tcPr>
            <w:tcW w:w="1020" w:type="dxa"/>
          </w:tcPr>
          <w:p w:rsidR="00505632" w:rsidRDefault="00505632" w:rsidP="00AD4E52">
            <w:pPr>
              <w:pStyle w:val="CellColumn"/>
              <w:jc w:val="right"/>
            </w:pPr>
            <w:r>
              <w:rPr>
                <w:rFonts w:cs="Times New Roman"/>
              </w:rPr>
              <w:t>Broj tijela na jednistvenom rješenju</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15</w:t>
            </w:r>
          </w:p>
        </w:tc>
      </w:tr>
      <w:tr w:rsidR="00505632" w:rsidTr="00AD4E52">
        <w:trPr>
          <w:jc w:val="center"/>
        </w:trPr>
        <w:tc>
          <w:tcPr>
            <w:tcW w:w="2551" w:type="dxa"/>
          </w:tcPr>
          <w:p w:rsidR="00505632" w:rsidRDefault="00505632" w:rsidP="00AD4E52">
            <w:pPr>
              <w:pStyle w:val="CellColumn"/>
              <w:jc w:val="left"/>
            </w:pPr>
            <w:r>
              <w:rPr>
                <w:rFonts w:cs="Times New Roman"/>
              </w:rPr>
              <w:t>Uprava za e-Hrvatsku Ministarstva uprave ima Službu za podršku korisnicima koja će uspsotaviti sustav podrške zajedničkim rješenjima</w:t>
            </w:r>
          </w:p>
        </w:tc>
        <w:tc>
          <w:tcPr>
            <w:tcW w:w="2551" w:type="dxa"/>
          </w:tcPr>
          <w:p w:rsidR="00505632" w:rsidRDefault="00505632" w:rsidP="00AD4E52">
            <w:pPr>
              <w:pStyle w:val="CellColumn"/>
              <w:jc w:val="left"/>
            </w:pPr>
            <w:r>
              <w:rPr>
                <w:rFonts w:cs="Times New Roman"/>
              </w:rPr>
              <w:t>Uspostaviti sustav podrške zajedničkih rješenja javne uprave (središnji državni portal, HITROnet, elektronički identitet…) i obrazovanih programa za javnu upravu</w:t>
            </w:r>
          </w:p>
        </w:tc>
        <w:tc>
          <w:tcPr>
            <w:tcW w:w="1020" w:type="dxa"/>
          </w:tcPr>
          <w:p w:rsidR="00505632" w:rsidRDefault="00505632" w:rsidP="00AD4E52">
            <w:pPr>
              <w:pStyle w:val="CellColumn"/>
              <w:jc w:val="right"/>
            </w:pPr>
            <w:r>
              <w:rPr>
                <w:rFonts w:cs="Times New Roman"/>
              </w:rPr>
              <w:t>Broj zahtjeva za koje je osigurana podrška</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Tijela državne uprave objavljuju javne informacije nakon primjene PSI direktive u hrvatskom zakonodavstvu</w:t>
            </w:r>
          </w:p>
        </w:tc>
        <w:tc>
          <w:tcPr>
            <w:tcW w:w="2551" w:type="dxa"/>
          </w:tcPr>
          <w:p w:rsidR="00505632" w:rsidRDefault="00505632" w:rsidP="00AD4E52">
            <w:pPr>
              <w:pStyle w:val="CellColumn"/>
              <w:jc w:val="left"/>
            </w:pPr>
            <w:r>
              <w:rPr>
                <w:rFonts w:cs="Times New Roman"/>
              </w:rPr>
              <w:t>Uspostaviti sustav podrške za ponovno korištenje javnih informacija</w:t>
            </w:r>
          </w:p>
        </w:tc>
        <w:tc>
          <w:tcPr>
            <w:tcW w:w="1020" w:type="dxa"/>
          </w:tcPr>
          <w:p w:rsidR="00505632" w:rsidRDefault="00505632" w:rsidP="00AD4E52">
            <w:pPr>
              <w:pStyle w:val="CellColumn"/>
              <w:jc w:val="right"/>
            </w:pPr>
            <w:r>
              <w:rPr>
                <w:rFonts w:cs="Times New Roman"/>
              </w:rPr>
              <w:t>Broj tijela javne uprave koja objavljuju informacije</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A757012 RAČUNALNO - KOMUNIKACIJSKA MREŽA TIJELA DRŽAVNE UPRAVE</w:t>
      </w:r>
    </w:p>
    <w:tbl>
      <w:tblPr>
        <w:tblStyle w:val="StilTablice"/>
        <w:tblW w:w="10206" w:type="dxa"/>
        <w:jc w:val="center"/>
        <w:tblLook w:val="04A0" w:firstRow="1" w:lastRow="0" w:firstColumn="1" w:lastColumn="0" w:noHBand="0" w:noVBand="1"/>
      </w:tblPr>
      <w:tblGrid>
        <w:gridCol w:w="1904"/>
        <w:gridCol w:w="1961"/>
        <w:gridCol w:w="1961"/>
        <w:gridCol w:w="1961"/>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A757012-RAČUNALNO - KOMUNIKACIJSKA MREŽA TIJELA DRŽAVNE UPRAVE</w:t>
            </w:r>
          </w:p>
        </w:tc>
        <w:tc>
          <w:tcPr>
            <w:tcW w:w="2041" w:type="dxa"/>
          </w:tcPr>
          <w:p w:rsidR="00505632" w:rsidRDefault="00505632" w:rsidP="00AD4E52">
            <w:pPr>
              <w:pStyle w:val="CellColumn"/>
              <w:jc w:val="right"/>
            </w:pPr>
            <w:r>
              <w:rPr>
                <w:rFonts w:cs="Times New Roman"/>
              </w:rPr>
              <w:t>4.207.557</w:t>
            </w:r>
          </w:p>
        </w:tc>
        <w:tc>
          <w:tcPr>
            <w:tcW w:w="2041" w:type="dxa"/>
          </w:tcPr>
          <w:p w:rsidR="00505632" w:rsidRDefault="00505632" w:rsidP="00AD4E52">
            <w:pPr>
              <w:pStyle w:val="CellColumn"/>
              <w:jc w:val="right"/>
            </w:pPr>
            <w:r>
              <w:rPr>
                <w:rFonts w:cs="Times New Roman"/>
              </w:rPr>
              <w:t>8.499.000</w:t>
            </w:r>
          </w:p>
        </w:tc>
        <w:tc>
          <w:tcPr>
            <w:tcW w:w="2041" w:type="dxa"/>
          </w:tcPr>
          <w:p w:rsidR="00505632" w:rsidRDefault="00505632" w:rsidP="00AD4E52">
            <w:pPr>
              <w:pStyle w:val="CellColumn"/>
              <w:jc w:val="right"/>
            </w:pPr>
            <w:r>
              <w:rPr>
                <w:rFonts w:cs="Times New Roman"/>
              </w:rPr>
              <w:t>8.497.807</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202,0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Temeljem Odluke Vlade Republike Hrvatske o uspostavi i pružanju usluga zajedničkih servisa sustava računalno-komunikacijske mreže tijela državne uprave od 28. ožujka 2002. godine, s izmjenama i dopunama od 25. svibnja 2007. godine, Središnji državni ured za upravu koristio je sukladno napucima Središnjeg državnog ureda za e-Hrvatsku, HITRONet mrežu za međusobno povezivanje matičnih ureda te njihovo povezivanje na OIB računalni sustav. HITRONet mreža je sustav za komunikacijsko povezivanje i prijenos podataka za pružanje usluga pristupa zajedničkim servisima javnopravnih tijela, pristupa Internetu, međusobnog povezivanja korisnika te druge usluge. Putem HITRONet mreže uredi državne uprave u županijama pristupaju na 30 IT sustava/servisa (Sustav državne riznice, sustav osobnog identifikacijskog broja (OIB), Upravljačko informacijski sustav fondova Europske unije, Registar zaposlenih u javnom sektoru i Centralni obračun plaća, podaci o građanima, status stranaca, birački popisi, registar udruga, prebivališta, itd.) te je HITRONet mreža ključna za funkcioniranje cijelog IT sustava države, a posebno ureda državne uprave u županijama.  </w:t>
      </w:r>
    </w:p>
    <w:p w:rsidR="00505632" w:rsidRDefault="00505632" w:rsidP="00505632">
      <w:r>
        <w:t>Ministarstvo uprave nije bilo u mogućnosti sklopiti ugovor s FINA-om za usluge HITRONet-a u ukupnom iznosu 4.006.992,73 kune za 2012. i 2013. godinu, s obzirom da se sredstva nisu mogla osigurati u proračunu za razdoblje 2012. - 2015. godine zbog postavljenih limita, a zbog čega je  FINA pokrenula ovrhu. U Državnom proračunu za 2016. godinu osigurana su sredstva za podmirenje navedenih obveza u iznosu od 4.006.992,73 kune te su iste podmirene 21. travnja 2016. godine.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69"/>
        <w:gridCol w:w="2468"/>
        <w:gridCol w:w="1225"/>
        <w:gridCol w:w="1012"/>
        <w:gridCol w:w="1007"/>
        <w:gridCol w:w="1012"/>
        <w:gridCol w:w="1013"/>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Suradnja na javnoj  nabavi zajedničkog pristupa internetu</w:t>
            </w:r>
          </w:p>
        </w:tc>
        <w:tc>
          <w:tcPr>
            <w:tcW w:w="2551" w:type="dxa"/>
          </w:tcPr>
          <w:p w:rsidR="00505632" w:rsidRDefault="00505632" w:rsidP="00AD4E52">
            <w:pPr>
              <w:pStyle w:val="CellColumn"/>
              <w:jc w:val="left"/>
            </w:pPr>
            <w:r>
              <w:rPr>
                <w:rFonts w:cs="Times New Roman"/>
              </w:rPr>
              <w:t>Optimiran razvoj komunikacijske infrastrukture – HITRONet</w:t>
            </w:r>
          </w:p>
        </w:tc>
        <w:tc>
          <w:tcPr>
            <w:tcW w:w="1020" w:type="dxa"/>
          </w:tcPr>
          <w:p w:rsidR="00505632" w:rsidRDefault="00505632" w:rsidP="00AD4E52">
            <w:pPr>
              <w:pStyle w:val="CellColumn"/>
              <w:jc w:val="right"/>
            </w:pPr>
            <w:r>
              <w:rPr>
                <w:rFonts w:cs="Times New Roman"/>
              </w:rPr>
              <w:t>Postotak izvršenih priključivanja</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80%</w:t>
            </w:r>
          </w:p>
        </w:tc>
      </w:tr>
      <w:tr w:rsidR="00505632" w:rsidTr="00AD4E52">
        <w:trPr>
          <w:jc w:val="center"/>
        </w:trPr>
        <w:tc>
          <w:tcPr>
            <w:tcW w:w="2551" w:type="dxa"/>
          </w:tcPr>
          <w:p w:rsidR="00505632" w:rsidRDefault="00505632" w:rsidP="00AD4E52">
            <w:pPr>
              <w:pStyle w:val="CellColumn"/>
              <w:jc w:val="left"/>
            </w:pPr>
            <w:r>
              <w:rPr>
                <w:rFonts w:cs="Times New Roman"/>
              </w:rPr>
              <w:t>Suradnja na javnoj  nabavi  komunikacijske opreme</w:t>
            </w:r>
          </w:p>
        </w:tc>
        <w:tc>
          <w:tcPr>
            <w:tcW w:w="2551" w:type="dxa"/>
          </w:tcPr>
          <w:p w:rsidR="00505632" w:rsidRDefault="00505632" w:rsidP="00AD4E52">
            <w:pPr>
              <w:pStyle w:val="CellColumn"/>
              <w:jc w:val="left"/>
            </w:pPr>
            <w:r>
              <w:rPr>
                <w:rFonts w:cs="Times New Roman"/>
              </w:rPr>
              <w:t>Optimiran razvoj komunikacijske infrastrukture – HITRONet</w:t>
            </w:r>
          </w:p>
        </w:tc>
        <w:tc>
          <w:tcPr>
            <w:tcW w:w="1020" w:type="dxa"/>
          </w:tcPr>
          <w:p w:rsidR="00505632" w:rsidRDefault="00505632" w:rsidP="00AD4E52">
            <w:pPr>
              <w:pStyle w:val="CellColumn"/>
              <w:jc w:val="right"/>
            </w:pPr>
            <w:r>
              <w:rPr>
                <w:rFonts w:cs="Times New Roman"/>
              </w:rPr>
              <w:t>Sklopljen okvirni sporazum</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rsidP="00505632">
      <w:pPr>
        <w:pStyle w:val="Heading4"/>
      </w:pPr>
      <w:r>
        <w:t>A757020 USPOSTAVA I ODRŽAVANJE USLUGE CENTRALNOG OBRAČUNA PLAĆA I UPRAVLJANJA LJUDSKIM RESURSIMA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A757020-USPOSTAVA I ODRŽAVANJE USLUGE CENTRALNOG OBRAČUNA PLAĆA I UPRAVLJANJA LJUDSKIM RESURSIMA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13.775.000</w:t>
            </w:r>
          </w:p>
        </w:tc>
        <w:tc>
          <w:tcPr>
            <w:tcW w:w="2041" w:type="dxa"/>
          </w:tcPr>
          <w:p w:rsidR="00505632" w:rsidRDefault="00505632" w:rsidP="00AD4E52">
            <w:pPr>
              <w:pStyle w:val="CellColumn"/>
              <w:jc w:val="right"/>
            </w:pPr>
            <w:r>
              <w:rPr>
                <w:rFonts w:cs="Times New Roman"/>
              </w:rPr>
              <w:t>8.544.000</w:t>
            </w:r>
          </w:p>
        </w:tc>
        <w:tc>
          <w:tcPr>
            <w:tcW w:w="1224" w:type="dxa"/>
          </w:tcPr>
          <w:p w:rsidR="00505632" w:rsidRDefault="00505632" w:rsidP="00AD4E52">
            <w:pPr>
              <w:pStyle w:val="CellColumn"/>
              <w:jc w:val="right"/>
            </w:pPr>
            <w:r>
              <w:rPr>
                <w:rFonts w:cs="Times New Roman"/>
              </w:rPr>
              <w:t>62,0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registru zaposlenih u javnom sektoru ("Narodne novine", broj 34/2011).</w:t>
      </w:r>
    </w:p>
    <w:p w:rsidR="00505632" w:rsidRDefault="00505632" w:rsidP="00505632">
      <w:pPr>
        <w:pStyle w:val="Heading8"/>
        <w:jc w:val="left"/>
      </w:pPr>
      <w:r>
        <w:t>Opis aktivnosti</w:t>
      </w:r>
    </w:p>
    <w:p w:rsidR="00505632" w:rsidRDefault="00505632" w:rsidP="00505632">
      <w:r>
        <w:t xml:space="preserve">Registar zaposlenih u javnom sektoru i Centralni obračun plaća  </w:t>
      </w:r>
    </w:p>
    <w:p w:rsidR="00505632" w:rsidRDefault="00505632" w:rsidP="00505632">
      <w:r>
        <w:t xml:space="preserve">Tijekom 2016. godine centralni obračun plaća (COP) uspostavljen u 2.200 institucija, bio je u potpunoj funkciji te su plaće 250.000 zaposlenih, kojima se plaće isplaćuju putem državnog proračuna, isplaćene putem informacijskog sustava COP-a.  </w:t>
      </w:r>
    </w:p>
    <w:p w:rsidR="00505632" w:rsidRDefault="00505632" w:rsidP="00505632">
      <w:r>
        <w:t xml:space="preserve">Sredstva za plaćanje Registra zaposlenih i COP-a prebačena su u 2016. godini s proračunskih stavaka Ministarstva financija na proračunske stavke Ministarstva uprave. </w:t>
      </w:r>
    </w:p>
    <w:p w:rsidR="00505632" w:rsidRDefault="00505632" w:rsidP="00505632">
      <w:r>
        <w:t>Ministarstvo financija nije plaćalo račune za COP za 2015. godinu iz razloga što je Upravljački odbor projekta smatrao da FINA nije odradila cijeli ugovorni posao. Upravljački odbor je utvrdio da je odrađen posao vezan za isplatu plaća, ali da nije uspostavljen informacijski sustav za upravljanje ljudskim potencijalima. Stoga je Upravljački odbor u Zapisniku od 22. listopada 2015. utvrdio da će se pripremiti analiza postotka uspostavljenosti ugovorenog informacijskog sustava. Utvrđen je 89% posto izvršenosti ugovora od strane FINA-e te sukladno tome i postotak obveze Vlade Republike Hrvatske u plaćanju zaprimljenih faktura. Temeljem Ugovora utvrđene su obveze  Ministarstva financija za razdoblje do kraja ožujka 2016. godine i Ministarstva uprave za razdoblje od travnja 2016. na dalje. Navedene obveze su izvršene krajem 2016. godine.</w:t>
      </w:r>
    </w:p>
    <w:p w:rsidR="00505632" w:rsidRDefault="00505632" w:rsidP="00505632">
      <w:pPr>
        <w:pStyle w:val="Heading4"/>
      </w:pPr>
      <w:r>
        <w:t>A830019 USPOSTAVA I ODRŽAVANJE USLUGE e-GRAĐANI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A830019-USPOSTAVA I ODRŽAVANJE USLUGE e-GRAĐANI</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9.975.000</w:t>
            </w:r>
          </w:p>
        </w:tc>
        <w:tc>
          <w:tcPr>
            <w:tcW w:w="2041" w:type="dxa"/>
          </w:tcPr>
          <w:p w:rsidR="00505632" w:rsidRDefault="00505632" w:rsidP="00AD4E52">
            <w:pPr>
              <w:pStyle w:val="CellColumn"/>
              <w:jc w:val="right"/>
            </w:pPr>
            <w:r>
              <w:rPr>
                <w:rFonts w:cs="Times New Roman"/>
              </w:rPr>
              <w:t>6.430.068</w:t>
            </w:r>
          </w:p>
        </w:tc>
        <w:tc>
          <w:tcPr>
            <w:tcW w:w="1224" w:type="dxa"/>
          </w:tcPr>
          <w:p w:rsidR="00505632" w:rsidRDefault="00505632" w:rsidP="00AD4E52">
            <w:pPr>
              <w:pStyle w:val="CellColumn"/>
              <w:jc w:val="right"/>
            </w:pPr>
            <w:r>
              <w:rPr>
                <w:rFonts w:cs="Times New Roman"/>
              </w:rPr>
              <w:t>64,5</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državnoj informacijskoj infrastrukturi ("Narodne novine", broj 92/2014) </w:t>
      </w:r>
    </w:p>
    <w:p w:rsidR="00505632" w:rsidRDefault="00505632" w:rsidP="00505632">
      <w:r>
        <w:t>Odluka o pokretanju projekta e-Građani ("Narodne novine", broj  52/2013, 31/2014, 44/2016)</w:t>
      </w:r>
    </w:p>
    <w:p w:rsidR="00505632" w:rsidRDefault="00505632" w:rsidP="00505632">
      <w:pPr>
        <w:pStyle w:val="Heading8"/>
        <w:jc w:val="left"/>
      </w:pPr>
      <w:r>
        <w:t>Opis aktivnosti</w:t>
      </w:r>
    </w:p>
    <w:p w:rsidR="00505632" w:rsidRDefault="00505632" w:rsidP="00505632">
      <w:r>
        <w:t xml:space="preserve">Odlukom o  pokretanju  Projekta  e-Građani („Narodne novine“, broj  52/2013, 31/2014, 44/2016) omogućen je pristup javnim informacijama o javnim uslugama na jednom mjestu, siguran pristup osobnim podacima i elektronička komunikacija građana i javnog sektora. Projekt  e-Građani ostvaruje se kroz tri glavne sastavnice, koje čine zajedničku infrastrukturu javnog sektora: </w:t>
      </w:r>
    </w:p>
    <w:p w:rsidR="00505632" w:rsidRDefault="00505632" w:rsidP="00505632">
      <w:r>
        <w:t xml:space="preserve">- Sustav središnjeg državnog portala, </w:t>
      </w:r>
    </w:p>
    <w:p w:rsidR="00505632" w:rsidRDefault="00505632" w:rsidP="00505632">
      <w:r>
        <w:t xml:space="preserve">- Nacionalni identifikacijski i autentifikacijski sustav (NIAS), </w:t>
      </w:r>
    </w:p>
    <w:p w:rsidR="00505632" w:rsidRDefault="00505632" w:rsidP="00505632">
      <w:r>
        <w:t xml:space="preserve">- Sustav osobnog korisničkog pretinca. </w:t>
      </w:r>
    </w:p>
    <w:p w:rsidR="00505632" w:rsidRDefault="00505632" w:rsidP="00505632">
      <w:r>
        <w:t xml:space="preserve">Tijekom 2016. godine nastavljeni su poslovi na uključivanju novih institucija kao i njihovih e-usluga te e-poruka za Osobni korisnički pretinac unutar sustava e-Građani. Tako su građanima na raspolaganje stavljene sljedeće e-usluge: e-Zapis o statusu studenta, Porezna prijava za obračun i plaćanje posebnog poreza na motorna vozila, Registracija objekata koji pružaju uslugu smještaja strancima, e-Visitor, e-Plovilo). Sustav e-Građani trenutno omogućava pružanje 34 usluge. </w:t>
      </w:r>
    </w:p>
    <w:p w:rsidR="00505632" w:rsidRDefault="00505632" w:rsidP="00505632">
      <w:r>
        <w:t xml:space="preserve">- Sustav e-Poslovanje </w:t>
      </w:r>
    </w:p>
    <w:p w:rsidR="00505632" w:rsidRDefault="00505632" w:rsidP="00505632">
      <w:r>
        <w:t xml:space="preserve">Vijeće za državnu informacijsku infrastrukturu je u lipnju 2016. donijelo preporuku o pokretanju  projekta e-Poslovanje putem kojega će se poslovnim subjektima omogućiti internetski pristup javnim uslugama na jednome mjestu i sigurnu elektroničku komunikaciju pravnih osoba i javnog sektora. Projekt e-Poslovanje ostvarit će se kroz proširenje funkcionalnosti triju postojećih sastavnica zajedničke infrastrukture javnog sektora, a to su Središnji državni portal, Nacionalni identifikacijski i autentifikacijski sustav i Korisnički pretinac. Projekt je započeo, a dovršenje sustava se očekuje do kraja ožujka 2017. godine. </w:t>
      </w:r>
    </w:p>
    <w:p w:rsidR="00505632" w:rsidRDefault="00505632" w:rsidP="00505632">
      <w:r>
        <w:t xml:space="preserve">- Portal otvorenih podataka </w:t>
      </w:r>
    </w:p>
    <w:p w:rsidR="00505632" w:rsidRDefault="00505632" w:rsidP="00505632">
      <w:r>
        <w:t xml:space="preserve">Portal otvorenih podataka pruža zajedničku platformu koja omogućava objavu podataka od strane tijela i institucija iz javnog sektora te njihovo slobodno korištenje od strane fizičkih osoba ili pravnih osoba iz privatnog sektora sa svrhom povećanja gospodarske aktivnosti i transparentnosti. </w:t>
      </w:r>
    </w:p>
    <w:p w:rsidR="00505632" w:rsidRDefault="00505632" w:rsidP="00505632">
      <w:r>
        <w:t xml:space="preserve">- Javni registar za koordinaciju projekata izgradnje državne informacijske infrastrukture (Registar ProDII) </w:t>
      </w:r>
    </w:p>
    <w:p w:rsidR="00505632" w:rsidRDefault="00505632" w:rsidP="00505632">
      <w:r>
        <w:t xml:space="preserve">Uredbom o uspostavi Javnog registra za koordinaciju projekata izgradnje državne informacijske infrastrukture (dalje u tekstu: Registar ProDII) („Narodne novine“, broj 134/2014) uspostavljen je registar s ciljem racionalizacije, usmjeravanja razvoja i koordinacije svih poslova i projekata primjene državne informacijske infrastrukture uz istovremeno povećanje kvalitete javnih usluga i onemogućavanje planiranja i provedbe istovrsnih ili sličnih projekata u javnom sektoru. Registar ProDII osigurava kontrolu projekata na osnovu čega se donose odluke o zajedničkoj provedbi projekata uz onemogućavanje planiranja i provedbe istovrsnih projekata. Registar ProDII je javno objavljen na web stranicama Ministarstva uprave (http://prodii.uprava.hr:83/prodii).  </w:t>
      </w:r>
    </w:p>
    <w:p w:rsidR="00505632" w:rsidRDefault="00505632" w:rsidP="00505632">
      <w:r>
        <w:t xml:space="preserve">U travnju 2016. godine donesena je Uredba o izmjenama i dopunama uredbe o uspostavi Registra ProDII („Narodne novine“, broj 40/2016), kao rezultat rada novoosnovanog Vijeća za državnu informacijsku infrastrukturu s obvezom  financijskog praćenja i odobravanja projekata, prijedloga projekata i planiranih projekata državne informacijske infrastrukture za investicije veće od 2,5 milijuna kuna, čemu je prethodilo donošenje Uredbe o izmjenama i dopunama Uredbe o uspostavljanju javnog registra za koordinaciju projekata izgradnje državne informacijske infrastrukture („Narodne novine“, broj 40/2016). </w:t>
      </w:r>
    </w:p>
    <w:p w:rsidR="00505632" w:rsidRDefault="00505632" w:rsidP="00505632">
      <w:r>
        <w:t xml:space="preserve">Tijekom 2016. godine ministarstva i tijela državne uprave nastavila su s imenovanjem svojih predstavnika i njihovih zamjena zaduženih za unos i ažuriranje podataka u Registru ProDII, tako da je na radionici za Registar ProDII u organizaciji Uprave za e-Hrvatsku do sada sudjelovalo preko 150 djelatnika. Edukacija je i dalje u tijeku te će biti trajnog karaktera.  </w:t>
      </w:r>
    </w:p>
    <w:p w:rsidR="00505632" w:rsidRDefault="00505632" w:rsidP="00505632">
      <w:r>
        <w:t xml:space="preserve">S početkom rujna 2016. godine u Registru ProDII bilo je uneseno ukupno 352 ICT projekta, od čega planiranih (s osiguranim sredstvima 140, neosiguranim 12, u tijeku 112 i završenih 88), a važeći popis projekata dio je Statističkog prikaza Ministarstva uprave (https://uprava.gov.hr/istaknute-teme/statisticki-prikaz/14431). </w:t>
      </w:r>
    </w:p>
    <w:p w:rsidR="00505632" w:rsidRDefault="00505632" w:rsidP="00505632">
      <w:r>
        <w:t xml:space="preserve">- Metaregistar  </w:t>
      </w:r>
    </w:p>
    <w:p w:rsidR="00505632" w:rsidRDefault="00505632" w:rsidP="00505632">
      <w:r>
        <w:t xml:space="preserve">Po uspostavi sustava Metaregistra u 2015. godini, početkom 2016. godine su imenovani predstavnici tijela javne vlasti započeli s unosom registara iz nadležnosti svojih institucija te do sredine rujna 2016. godine unijeli ukupno 165 registara.  </w:t>
      </w:r>
    </w:p>
    <w:p w:rsidR="00505632" w:rsidRDefault="00505632" w:rsidP="00505632">
      <w:r>
        <w:t xml:space="preserve">U svibnju su održane i dvije radionice o Metaregistru za nove imenovane predstavnike. Tijekom godine bilo je više promjena i novih imenovanja, a neke su institucije dopisom izvijestile da nemaju registara za unos. Zaključno, do kraja izvještajnog razdoblja bilo je aktivno ukupno 72 imenovana predstavnika iz 46 institucija.   </w:t>
      </w:r>
    </w:p>
    <w:p w:rsidR="00505632" w:rsidRDefault="00505632" w:rsidP="00505632">
      <w:r>
        <w:t xml:space="preserve">Koordinacija i rad s imenovanim predstavnicima odvijala se najviše preko e-mail domene metaregistar@uprava.hr, putem koje su dobivali informacije i tehničku pomoć, sugestije oko unosa u aplikaciju, kao i tjedni newsletter s priloženim podacima, tabličnim prikazima, grafikama, priručnicima i ostalim materijalima.  </w:t>
      </w:r>
    </w:p>
    <w:p w:rsidR="00505632" w:rsidRDefault="00505632" w:rsidP="00505632">
      <w:r>
        <w:t>Također, sklopljen je i ugovor o udomljavanju Metaregistra s tvrtkom APIS IT d.o.o. za razdoblje od 1. siječnja do 31. prosinca 2016. godine, sukladno važećoj Općoj uputi za nabavu roba i usluga Ministarstva uprave.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486"/>
        <w:gridCol w:w="2494"/>
        <w:gridCol w:w="1170"/>
        <w:gridCol w:w="1015"/>
        <w:gridCol w:w="1011"/>
        <w:gridCol w:w="1015"/>
        <w:gridCol w:w="1015"/>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Dodjeljivanje elektroničkih identiteta građanima za pristup elektroničkim uslugama</w:t>
            </w:r>
          </w:p>
        </w:tc>
        <w:tc>
          <w:tcPr>
            <w:tcW w:w="2551" w:type="dxa"/>
          </w:tcPr>
          <w:p w:rsidR="00505632" w:rsidRDefault="00505632" w:rsidP="00AD4E52">
            <w:pPr>
              <w:pStyle w:val="CellColumn"/>
              <w:jc w:val="left"/>
            </w:pPr>
            <w:r>
              <w:rPr>
                <w:rFonts w:cs="Times New Roman"/>
              </w:rPr>
              <w:t>Primjena elektroničkih identiteta u elektroničkim javnim uslugama</w:t>
            </w:r>
          </w:p>
        </w:tc>
        <w:tc>
          <w:tcPr>
            <w:tcW w:w="1020" w:type="dxa"/>
          </w:tcPr>
          <w:p w:rsidR="00505632" w:rsidRDefault="00505632" w:rsidP="00AD4E52">
            <w:pPr>
              <w:pStyle w:val="CellColumn"/>
              <w:jc w:val="right"/>
            </w:pPr>
            <w:r>
              <w:rPr>
                <w:rFonts w:cs="Times New Roman"/>
              </w:rPr>
              <w:t>Broj dodijeljenih elektroničkih identiteta</w:t>
            </w:r>
          </w:p>
        </w:tc>
        <w:tc>
          <w:tcPr>
            <w:tcW w:w="1020" w:type="dxa"/>
          </w:tcPr>
          <w:p w:rsidR="00505632" w:rsidRDefault="00505632" w:rsidP="00AD4E52">
            <w:pPr>
              <w:pStyle w:val="CellColumn"/>
              <w:jc w:val="right"/>
            </w:pPr>
            <w:r>
              <w:rPr>
                <w:rFonts w:cs="Times New Roman"/>
              </w:rPr>
              <w:t>98000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300000</w:t>
            </w:r>
          </w:p>
        </w:tc>
        <w:tc>
          <w:tcPr>
            <w:tcW w:w="1020" w:type="dxa"/>
          </w:tcPr>
          <w:p w:rsidR="00505632" w:rsidRDefault="00505632" w:rsidP="00AD4E52">
            <w:pPr>
              <w:pStyle w:val="CellColumn"/>
              <w:jc w:val="right"/>
            </w:pPr>
            <w:r>
              <w:rPr>
                <w:rFonts w:cs="Times New Roman"/>
              </w:rPr>
              <w:t>300000</w:t>
            </w:r>
          </w:p>
        </w:tc>
      </w:tr>
      <w:tr w:rsidR="00505632" w:rsidTr="00AD4E52">
        <w:trPr>
          <w:jc w:val="center"/>
        </w:trPr>
        <w:tc>
          <w:tcPr>
            <w:tcW w:w="2551" w:type="dxa"/>
          </w:tcPr>
          <w:p w:rsidR="00505632" w:rsidRDefault="00505632" w:rsidP="00AD4E52">
            <w:pPr>
              <w:pStyle w:val="CellColumn"/>
              <w:jc w:val="left"/>
            </w:pPr>
            <w:r>
              <w:rPr>
                <w:rFonts w:cs="Times New Roman"/>
              </w:rPr>
              <w:t>Korisnički pretinac</w:t>
            </w:r>
          </w:p>
        </w:tc>
        <w:tc>
          <w:tcPr>
            <w:tcW w:w="2551" w:type="dxa"/>
          </w:tcPr>
          <w:p w:rsidR="00505632" w:rsidRDefault="00505632" w:rsidP="00AD4E52">
            <w:pPr>
              <w:pStyle w:val="CellColumn"/>
              <w:jc w:val="left"/>
            </w:pPr>
            <w:r>
              <w:rPr>
                <w:rFonts w:cs="Times New Roman"/>
              </w:rPr>
              <w:t>Realizirati pristup osobnim informacijama iz javne uprave za građane</w:t>
            </w:r>
          </w:p>
        </w:tc>
        <w:tc>
          <w:tcPr>
            <w:tcW w:w="1020" w:type="dxa"/>
          </w:tcPr>
          <w:p w:rsidR="00505632" w:rsidRDefault="00505632" w:rsidP="00AD4E52">
            <w:pPr>
              <w:pStyle w:val="CellColumn"/>
              <w:jc w:val="right"/>
            </w:pPr>
            <w:r>
              <w:rPr>
                <w:rFonts w:cs="Times New Roman"/>
              </w:rPr>
              <w:t>Broj korisnika</w:t>
            </w:r>
          </w:p>
        </w:tc>
        <w:tc>
          <w:tcPr>
            <w:tcW w:w="1020" w:type="dxa"/>
          </w:tcPr>
          <w:p w:rsidR="00505632" w:rsidRDefault="00505632" w:rsidP="00AD4E52">
            <w:pPr>
              <w:pStyle w:val="CellColumn"/>
              <w:jc w:val="right"/>
            </w:pPr>
            <w:r>
              <w:rPr>
                <w:rFonts w:cs="Times New Roman"/>
              </w:rPr>
              <w:t>60000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80000</w:t>
            </w:r>
          </w:p>
        </w:tc>
        <w:tc>
          <w:tcPr>
            <w:tcW w:w="1020" w:type="dxa"/>
          </w:tcPr>
          <w:p w:rsidR="00505632" w:rsidRDefault="00505632" w:rsidP="00AD4E52">
            <w:pPr>
              <w:pStyle w:val="CellColumn"/>
              <w:jc w:val="right"/>
            </w:pPr>
            <w:r>
              <w:rPr>
                <w:rFonts w:cs="Times New Roman"/>
              </w:rPr>
              <w:t>80000</w:t>
            </w:r>
          </w:p>
        </w:tc>
      </w:tr>
      <w:tr w:rsidR="00505632" w:rsidTr="00AD4E52">
        <w:trPr>
          <w:jc w:val="center"/>
        </w:trPr>
        <w:tc>
          <w:tcPr>
            <w:tcW w:w="2551" w:type="dxa"/>
          </w:tcPr>
          <w:p w:rsidR="00505632" w:rsidRDefault="00505632" w:rsidP="00AD4E52">
            <w:pPr>
              <w:pStyle w:val="CellColumn"/>
              <w:jc w:val="left"/>
            </w:pPr>
            <w:r>
              <w:rPr>
                <w:rFonts w:cs="Times New Roman"/>
              </w:rPr>
              <w:t>Inicijativom tijela javne uprave pokreću se programi kojima se svi građani uključuju u korištenje elektroničkih usluga</w:t>
            </w:r>
          </w:p>
        </w:tc>
        <w:tc>
          <w:tcPr>
            <w:tcW w:w="2551" w:type="dxa"/>
          </w:tcPr>
          <w:p w:rsidR="00505632" w:rsidRDefault="00505632" w:rsidP="00AD4E52">
            <w:pPr>
              <w:pStyle w:val="CellColumn"/>
              <w:jc w:val="left"/>
            </w:pPr>
            <w:r>
              <w:rPr>
                <w:rFonts w:cs="Times New Roman"/>
              </w:rPr>
              <w:t>Poticati osposobljavanje i uključivanje svih društvenih skupina za korištenje elektroničkih usluga i sudjelovanje u pripremi i donošenju odluka javne uprave</w:t>
            </w:r>
          </w:p>
        </w:tc>
        <w:tc>
          <w:tcPr>
            <w:tcW w:w="1020" w:type="dxa"/>
          </w:tcPr>
          <w:p w:rsidR="00505632" w:rsidRDefault="00505632" w:rsidP="00AD4E52">
            <w:pPr>
              <w:pStyle w:val="CellColumn"/>
              <w:jc w:val="right"/>
            </w:pPr>
            <w:r>
              <w:rPr>
                <w:rFonts w:cs="Times New Roman"/>
              </w:rPr>
              <w:t>Broj programa</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3</w:t>
            </w:r>
          </w:p>
        </w:tc>
      </w:tr>
      <w:tr w:rsidR="00505632" w:rsidTr="00AD4E52">
        <w:trPr>
          <w:jc w:val="center"/>
        </w:trPr>
        <w:tc>
          <w:tcPr>
            <w:tcW w:w="2551" w:type="dxa"/>
          </w:tcPr>
          <w:p w:rsidR="00505632" w:rsidRDefault="00505632" w:rsidP="00AD4E52">
            <w:pPr>
              <w:pStyle w:val="CellColumn"/>
              <w:jc w:val="left"/>
            </w:pPr>
            <w:r>
              <w:rPr>
                <w:rFonts w:cs="Times New Roman"/>
              </w:rPr>
              <w:t>Program razvoja elektroničkih usluga će obuhvatiti smjernice i upute potrebne za ostvarenje projekta e-Građanin</w:t>
            </w:r>
          </w:p>
        </w:tc>
        <w:tc>
          <w:tcPr>
            <w:tcW w:w="2551" w:type="dxa"/>
          </w:tcPr>
          <w:p w:rsidR="00505632" w:rsidRDefault="00505632" w:rsidP="00AD4E52">
            <w:pPr>
              <w:pStyle w:val="CellColumn"/>
              <w:jc w:val="left"/>
            </w:pPr>
            <w:r>
              <w:rPr>
                <w:rFonts w:cs="Times New Roman"/>
              </w:rPr>
              <w:t>Pripremiti Program razvoja elektroničkih usluga</w:t>
            </w:r>
          </w:p>
        </w:tc>
        <w:tc>
          <w:tcPr>
            <w:tcW w:w="1020" w:type="dxa"/>
          </w:tcPr>
          <w:p w:rsidR="00505632" w:rsidRDefault="00505632" w:rsidP="00AD4E52">
            <w:pPr>
              <w:pStyle w:val="CellColumn"/>
              <w:jc w:val="right"/>
            </w:pPr>
            <w:r>
              <w:rPr>
                <w:rFonts w:cs="Times New Roman"/>
              </w:rPr>
              <w:t>Broj elektroničkih usluga uključenih u projekt e-Građanin</w:t>
            </w:r>
          </w:p>
        </w:tc>
        <w:tc>
          <w:tcPr>
            <w:tcW w:w="1020" w:type="dxa"/>
          </w:tcPr>
          <w:p w:rsidR="00505632" w:rsidRDefault="00505632" w:rsidP="00AD4E52">
            <w:pPr>
              <w:pStyle w:val="CellColumn"/>
              <w:jc w:val="right"/>
            </w:pPr>
            <w:r>
              <w:rPr>
                <w:rFonts w:cs="Times New Roman"/>
              </w:rPr>
              <w:t>21</w:t>
            </w:r>
          </w:p>
        </w:tc>
        <w:tc>
          <w:tcPr>
            <w:tcW w:w="1020" w:type="dxa"/>
          </w:tcPr>
          <w:p w:rsidR="00505632" w:rsidRDefault="00505632" w:rsidP="00AD4E52">
            <w:pPr>
              <w:pStyle w:val="CellColumn"/>
              <w:jc w:val="right"/>
            </w:pPr>
            <w:r>
              <w:rPr>
                <w:rFonts w:cs="Times New Roman"/>
              </w:rPr>
              <w:t>MURH</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30</w:t>
            </w:r>
          </w:p>
        </w:tc>
      </w:tr>
    </w:tbl>
    <w:p w:rsidR="00505632" w:rsidRDefault="00505632" w:rsidP="00505632">
      <w:pPr>
        <w:jc w:val="left"/>
      </w:pPr>
    </w:p>
    <w:p w:rsidR="00505632" w:rsidRDefault="00505632" w:rsidP="00505632">
      <w:pPr>
        <w:pStyle w:val="Heading2"/>
      </w:pPr>
      <w:r>
        <w:t>09510 Uredi državne uprave u županijama</w:t>
      </w:r>
    </w:p>
    <w:p w:rsidR="00505632" w:rsidRDefault="00505632" w:rsidP="00505632">
      <w:r>
        <w:t>Uredi državne uprave u županijama obavljaju upravne i druge stručne poslove koji se odnose na: gospodarstvo, društvene djelatnosti, imovinsko-pravne poslove, opću upravu, nadzor nad zakonitošću općih akata predstavničkih tijela jedinica lokalne i područne samouprave, opći i kadrovski poslovi, računovodstveni, administrativni i pomoćno-tehnički poslovi za potrebe ureda. U državnom proračunu za 2016.godinu osim za poslovanje ustrojstvenih jedinica Ministarstva, u razdjelu Ministarstva planirana su i sredstva za poslovanje 20 ureda državne uprave u županijama.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09510-Uredi državne uprave u županijama</w:t>
            </w:r>
          </w:p>
        </w:tc>
        <w:tc>
          <w:tcPr>
            <w:tcW w:w="2041" w:type="dxa"/>
            <w:vAlign w:val="top"/>
          </w:tcPr>
          <w:p w:rsidR="00505632" w:rsidRDefault="00505632" w:rsidP="00AD4E52">
            <w:pPr>
              <w:pStyle w:val="CellColumn"/>
              <w:jc w:val="right"/>
            </w:pPr>
            <w:r>
              <w:rPr>
                <w:rFonts w:cs="Times New Roman"/>
              </w:rPr>
              <w:t>279.574.073</w:t>
            </w:r>
          </w:p>
        </w:tc>
        <w:tc>
          <w:tcPr>
            <w:tcW w:w="2041" w:type="dxa"/>
            <w:vAlign w:val="top"/>
          </w:tcPr>
          <w:p w:rsidR="00505632" w:rsidRDefault="00505632" w:rsidP="00AD4E52">
            <w:pPr>
              <w:pStyle w:val="CellColumn"/>
              <w:jc w:val="right"/>
            </w:pPr>
            <w:r>
              <w:rPr>
                <w:rFonts w:cs="Times New Roman"/>
              </w:rPr>
              <w:t>292.994.297</w:t>
            </w:r>
          </w:p>
        </w:tc>
        <w:tc>
          <w:tcPr>
            <w:tcW w:w="2041" w:type="dxa"/>
            <w:vAlign w:val="top"/>
          </w:tcPr>
          <w:p w:rsidR="00505632" w:rsidRDefault="00505632" w:rsidP="00AD4E52">
            <w:pPr>
              <w:pStyle w:val="CellColumn"/>
              <w:jc w:val="right"/>
            </w:pPr>
            <w:r>
              <w:rPr>
                <w:rFonts w:cs="Times New Roman"/>
              </w:rPr>
              <w:t>295.655.444</w:t>
            </w:r>
          </w:p>
        </w:tc>
        <w:tc>
          <w:tcPr>
            <w:tcW w:w="1224" w:type="dxa"/>
            <w:vAlign w:val="top"/>
          </w:tcPr>
          <w:p w:rsidR="00505632" w:rsidRDefault="00505632" w:rsidP="00AD4E52">
            <w:pPr>
              <w:pStyle w:val="CellColumn"/>
              <w:jc w:val="right"/>
            </w:pPr>
            <w:r>
              <w:rPr>
                <w:rFonts w:cs="Times New Roman"/>
              </w:rPr>
              <w:t>100,9</w:t>
            </w:r>
          </w:p>
        </w:tc>
        <w:tc>
          <w:tcPr>
            <w:tcW w:w="1224" w:type="dxa"/>
            <w:vAlign w:val="top"/>
          </w:tcPr>
          <w:p w:rsidR="00505632" w:rsidRDefault="00505632" w:rsidP="00AD4E52">
            <w:pPr>
              <w:pStyle w:val="CellColumn"/>
              <w:jc w:val="right"/>
            </w:pPr>
            <w:r>
              <w:rPr>
                <w:rFonts w:cs="Times New Roman"/>
              </w:rPr>
              <w:t>105,8</w:t>
            </w:r>
          </w:p>
        </w:tc>
      </w:tr>
      <w:tr w:rsidR="00505632" w:rsidTr="00AD4E52">
        <w:trPr>
          <w:jc w:val="center"/>
        </w:trPr>
        <w:tc>
          <w:tcPr>
            <w:tcW w:w="1632" w:type="dxa"/>
          </w:tcPr>
          <w:p w:rsidR="00505632" w:rsidRDefault="00505632" w:rsidP="00AD4E52">
            <w:pPr>
              <w:jc w:val="left"/>
            </w:pPr>
            <w:r>
              <w:t>2402-POSLOVI UREDA DRŽAVNE UPRAVE U ŽUPANIJAMA</w:t>
            </w:r>
          </w:p>
        </w:tc>
        <w:tc>
          <w:tcPr>
            <w:tcW w:w="2041" w:type="dxa"/>
          </w:tcPr>
          <w:p w:rsidR="00505632" w:rsidRDefault="00505632" w:rsidP="00AD4E52">
            <w:pPr>
              <w:jc w:val="right"/>
            </w:pPr>
            <w:r>
              <w:t>279.574.073</w:t>
            </w:r>
          </w:p>
        </w:tc>
        <w:tc>
          <w:tcPr>
            <w:tcW w:w="2041" w:type="dxa"/>
          </w:tcPr>
          <w:p w:rsidR="00505632" w:rsidRDefault="00505632" w:rsidP="00AD4E52">
            <w:pPr>
              <w:jc w:val="right"/>
            </w:pPr>
            <w:r>
              <w:t>292.994.297</w:t>
            </w:r>
          </w:p>
        </w:tc>
        <w:tc>
          <w:tcPr>
            <w:tcW w:w="2041" w:type="dxa"/>
          </w:tcPr>
          <w:p w:rsidR="00505632" w:rsidRDefault="00505632" w:rsidP="00AD4E52">
            <w:pPr>
              <w:jc w:val="right"/>
            </w:pPr>
            <w:r>
              <w:t>295.655.444</w:t>
            </w:r>
          </w:p>
        </w:tc>
        <w:tc>
          <w:tcPr>
            <w:tcW w:w="1224" w:type="dxa"/>
          </w:tcPr>
          <w:p w:rsidR="00505632" w:rsidRDefault="00505632" w:rsidP="00AD4E52">
            <w:pPr>
              <w:jc w:val="right"/>
            </w:pPr>
            <w:r>
              <w:t>100,9</w:t>
            </w:r>
          </w:p>
        </w:tc>
        <w:tc>
          <w:tcPr>
            <w:tcW w:w="1224" w:type="dxa"/>
          </w:tcPr>
          <w:p w:rsidR="00505632" w:rsidRDefault="00505632" w:rsidP="00AD4E52">
            <w:pPr>
              <w:jc w:val="right"/>
            </w:pPr>
            <w:r>
              <w:t>105,8</w:t>
            </w:r>
          </w:p>
        </w:tc>
      </w:tr>
    </w:tbl>
    <w:p w:rsidR="00505632" w:rsidRDefault="00505632" w:rsidP="00505632">
      <w:pPr>
        <w:jc w:val="left"/>
      </w:pPr>
    </w:p>
    <w:p w:rsidR="00505632" w:rsidRDefault="00505632" w:rsidP="00505632">
      <w:pPr>
        <w:pStyle w:val="Heading3"/>
      </w:pPr>
      <w:r>
        <w:rPr>
          <w:rFonts w:cs="Times New Roman"/>
        </w:rPr>
        <w:t>2402 POSLOVI UREDA DRŽAVNE UPRAVE U ŽUPANIJAMA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2402-POSLOVI UREDA DRŽAVNE UPRAVE U ŽUPANIJAMA</w:t>
            </w:r>
          </w:p>
        </w:tc>
        <w:tc>
          <w:tcPr>
            <w:tcW w:w="2041" w:type="dxa"/>
          </w:tcPr>
          <w:p w:rsidR="00505632" w:rsidRDefault="00505632" w:rsidP="00AD4E52">
            <w:pPr>
              <w:pStyle w:val="CellColumn"/>
              <w:jc w:val="right"/>
            </w:pPr>
            <w:r>
              <w:rPr>
                <w:rFonts w:cs="Times New Roman"/>
              </w:rPr>
              <w:t>279.574.073</w:t>
            </w:r>
          </w:p>
        </w:tc>
        <w:tc>
          <w:tcPr>
            <w:tcW w:w="2041" w:type="dxa"/>
          </w:tcPr>
          <w:p w:rsidR="00505632" w:rsidRDefault="00505632" w:rsidP="00AD4E52">
            <w:pPr>
              <w:pStyle w:val="CellColumn"/>
              <w:jc w:val="right"/>
            </w:pPr>
            <w:r>
              <w:rPr>
                <w:rFonts w:cs="Times New Roman"/>
              </w:rPr>
              <w:t>292.994.297</w:t>
            </w:r>
          </w:p>
        </w:tc>
        <w:tc>
          <w:tcPr>
            <w:tcW w:w="2041" w:type="dxa"/>
          </w:tcPr>
          <w:p w:rsidR="00505632" w:rsidRDefault="00505632" w:rsidP="00AD4E52">
            <w:pPr>
              <w:pStyle w:val="CellColumn"/>
              <w:jc w:val="right"/>
            </w:pPr>
            <w:r>
              <w:rPr>
                <w:rFonts w:cs="Times New Roman"/>
              </w:rPr>
              <w:t>295.655.444</w:t>
            </w:r>
          </w:p>
        </w:tc>
        <w:tc>
          <w:tcPr>
            <w:tcW w:w="1224" w:type="dxa"/>
          </w:tcPr>
          <w:p w:rsidR="00505632" w:rsidRDefault="00505632" w:rsidP="00AD4E52">
            <w:pPr>
              <w:pStyle w:val="CellColumn"/>
              <w:jc w:val="right"/>
            </w:pPr>
            <w:r>
              <w:rPr>
                <w:rFonts w:cs="Times New Roman"/>
              </w:rPr>
              <w:t>100,9</w:t>
            </w:r>
          </w:p>
        </w:tc>
        <w:tc>
          <w:tcPr>
            <w:tcW w:w="1224" w:type="dxa"/>
          </w:tcPr>
          <w:p w:rsidR="00505632" w:rsidRDefault="00505632" w:rsidP="00AD4E52">
            <w:pPr>
              <w:pStyle w:val="CellColumn"/>
              <w:jc w:val="right"/>
            </w:pPr>
            <w:r>
              <w:rPr>
                <w:rFonts w:cs="Times New Roman"/>
              </w:rPr>
              <w:t>105,8</w:t>
            </w:r>
          </w:p>
        </w:tc>
      </w:tr>
    </w:tbl>
    <w:p w:rsidR="00505632" w:rsidRDefault="00505632" w:rsidP="00505632">
      <w:pPr>
        <w:jc w:val="left"/>
      </w:pPr>
    </w:p>
    <w:p w:rsidR="00505632" w:rsidRDefault="00505632" w:rsidP="00505632">
      <w:r>
        <w:t>U strateškom razdoblju 2016.-2018. godine opći cilj Ministarstva uprave i ureda državne uprave u županijama je unaprijediti postojeći i stvoriti učinkovitiji sustav potpore građanima Republike Hrvatske kroz pružanje kvalitetnih, potpunih i brzih upravnih usluga. Ministarstvo uprave i uredi državne uprave u županijama provode zajednički program u cilju reforme državne uprave.</w:t>
      </w:r>
    </w:p>
    <w:p w:rsidR="00505632" w:rsidRDefault="00505632" w:rsidP="00505632">
      <w:pPr>
        <w:pStyle w:val="Heading8"/>
        <w:jc w:val="left"/>
      </w:pPr>
      <w:r>
        <w:t>Cilj 1. Olakšati ostvarivanje prava korisnika</w:t>
      </w:r>
    </w:p>
    <w:p w:rsidR="00505632" w:rsidRDefault="00505632" w:rsidP="00505632">
      <w:pPr>
        <w:pStyle w:val="Heading8"/>
        <w:jc w:val="left"/>
      </w:pPr>
      <w:r>
        <w:t>Opis provedbe cilja programa</w:t>
      </w:r>
    </w:p>
    <w:p w:rsidR="00505632" w:rsidRDefault="00505632" w:rsidP="00505632">
      <w:r>
        <w:t>Cilj ovog projekta je doprinijeti poboljšanju upravnih kapaciteta i transparentnosti javne uprave u Republici Hrvatskoj te osiguranju pravodobne, pouzdane i kvalitetne javne usluge korisnicima radi postizanja višeg životnog standarda svih građana i stvaranja poticajne poduzetničke okoline.</w:t>
      </w:r>
    </w:p>
    <w:p w:rsidR="00505632" w:rsidRDefault="00505632" w:rsidP="00505632">
      <w:pPr>
        <w:pStyle w:val="Heading4"/>
      </w:pPr>
      <w:r>
        <w:t>A831001 ADMINISTRACIJA I UPRAVLJANJE</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A831001-ADMINISTRACIJA I UPRAVLJANJE</w:t>
            </w:r>
          </w:p>
        </w:tc>
        <w:tc>
          <w:tcPr>
            <w:tcW w:w="2041" w:type="dxa"/>
          </w:tcPr>
          <w:p w:rsidR="00505632" w:rsidRDefault="00505632" w:rsidP="00AD4E52">
            <w:pPr>
              <w:pStyle w:val="CellColumn"/>
              <w:jc w:val="right"/>
            </w:pPr>
            <w:r>
              <w:rPr>
                <w:rFonts w:cs="Times New Roman"/>
              </w:rPr>
              <w:t>278.773.407</w:t>
            </w:r>
          </w:p>
        </w:tc>
        <w:tc>
          <w:tcPr>
            <w:tcW w:w="2041" w:type="dxa"/>
          </w:tcPr>
          <w:p w:rsidR="00505632" w:rsidRDefault="00505632" w:rsidP="00AD4E52">
            <w:pPr>
              <w:pStyle w:val="CellColumn"/>
              <w:jc w:val="right"/>
            </w:pPr>
            <w:r>
              <w:rPr>
                <w:rFonts w:cs="Times New Roman"/>
              </w:rPr>
              <w:t>291.495.436</w:t>
            </w:r>
          </w:p>
        </w:tc>
        <w:tc>
          <w:tcPr>
            <w:tcW w:w="2041" w:type="dxa"/>
          </w:tcPr>
          <w:p w:rsidR="00505632" w:rsidRDefault="00505632" w:rsidP="00AD4E52">
            <w:pPr>
              <w:pStyle w:val="CellColumn"/>
              <w:jc w:val="right"/>
            </w:pPr>
            <w:r>
              <w:rPr>
                <w:rFonts w:cs="Times New Roman"/>
              </w:rPr>
              <w:t>293.956.976</w:t>
            </w:r>
          </w:p>
        </w:tc>
        <w:tc>
          <w:tcPr>
            <w:tcW w:w="1224" w:type="dxa"/>
          </w:tcPr>
          <w:p w:rsidR="00505632" w:rsidRDefault="00505632" w:rsidP="00AD4E52">
            <w:pPr>
              <w:pStyle w:val="CellColumn"/>
              <w:jc w:val="right"/>
            </w:pPr>
            <w:r>
              <w:rPr>
                <w:rFonts w:cs="Times New Roman"/>
              </w:rPr>
              <w:t>100,8</w:t>
            </w:r>
          </w:p>
        </w:tc>
        <w:tc>
          <w:tcPr>
            <w:tcW w:w="1224" w:type="dxa"/>
          </w:tcPr>
          <w:p w:rsidR="00505632" w:rsidRDefault="00505632" w:rsidP="00AD4E52">
            <w:pPr>
              <w:pStyle w:val="CellColumn"/>
              <w:jc w:val="right"/>
            </w:pPr>
            <w:r>
              <w:rPr>
                <w:rFonts w:cs="Times New Roman"/>
              </w:rPr>
              <w:t>105,4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sustavu državne uprave 82 ("Narodne novine " broj, 150/2011,12/13,93/16 i 104/16) </w:t>
      </w:r>
    </w:p>
    <w:p w:rsidR="00505632" w:rsidRDefault="00505632" w:rsidP="00505632">
      <w:r>
        <w:t>Uredba o unutarnjem ustrojstvu ureda državne uprave u županijama ("Narodne novine" broj40/12,51/12 i 90/13)</w:t>
      </w:r>
    </w:p>
    <w:p w:rsidR="00505632" w:rsidRDefault="00505632" w:rsidP="00505632">
      <w:pPr>
        <w:pStyle w:val="Heading8"/>
        <w:jc w:val="left"/>
      </w:pPr>
      <w:r>
        <w:t>Opis aktivnosti</w:t>
      </w:r>
    </w:p>
    <w:p w:rsidR="00505632" w:rsidRDefault="00505632" w:rsidP="00505632">
      <w:r>
        <w:t xml:space="preserve">Na ovoj aktivnosti, kao i na ostale dvije aktivnosti kod Ureda izvršenje u odnosu na plan veće je zbog ostvarenih prihoda za  posebne namjene. Prihodi za posebne namjene odnose se na prihode vještačenja, naknada za sklapanje braka izvan službenih prostorija temeljem Pravilnika o mjerilima za određivanje iznosa naknade za sklapanje braka izvan službene prostorije ("Narodne novine" broj 154/14), naknada za sklapanje životnog partnerstva izvan službene prostorije ("Narodne novine 99/14), naknada za čin sklapanja braka pred matičarem, te na izvlaštenja u sufinanciranju sredstava za rad nadležnog tijela temeljem Pravilnika o sufinanciranju sredstava za rad tijela nadležnih za provedbu postupka izvlaštenja  </w:t>
      </w:r>
    </w:p>
    <w:p w:rsidR="00505632" w:rsidRDefault="00505632" w:rsidP="00505632">
      <w:r>
        <w:t>( "Narodne novine " broj 17/2016).</w:t>
      </w:r>
    </w:p>
    <w:p w:rsidR="00505632" w:rsidRDefault="00505632" w:rsidP="00505632">
      <w:pPr>
        <w:pStyle w:val="Heading2"/>
      </w:pPr>
      <w:r>
        <w:t>09515 Državna škola za javnu upravu</w:t>
      </w:r>
    </w:p>
    <w:p w:rsidR="00505632" w:rsidRDefault="00505632" w:rsidP="00505632">
      <w:r>
        <w:t xml:space="preserve">Državna škola za javnu upravu osnovana je Uredbom Vlade Republike Hrvatske 3. prosinca 2010. godine, kao javna ustanova („Narodne novine“ broj 144/2010, 62/2012, 112/2012, 72/2015), a kojom je uređena njezina djelatnost, ustrojstvo, prava i obveze. Upisana je u Registar proračunskih korisnika. Sjedište Državne škole za javnu upravu registrirano je u Medulićevoj 36 u Zagrebu gdje se Škola i nalazi.  </w:t>
      </w:r>
    </w:p>
    <w:p w:rsidR="00505632" w:rsidRDefault="00505632" w:rsidP="00505632">
      <w:r>
        <w:t xml:space="preserve">DŠJU je organizirana kao glava u proračunu unutar Ministarstva uprave- 09515 Državna škola za javnu upravu te samostalno posluje preko sustava Državne riznice.  </w:t>
      </w:r>
    </w:p>
    <w:p w:rsidR="00505632" w:rsidRDefault="00505632" w:rsidP="00505632">
      <w:r>
        <w:t xml:space="preserve">Sredstva za obavljanje djelatnosti Državne škole za javnu upravu, osiguravaju se i iz državnog proračuna i iz ostalih izvora. Ostali izvori iz kojih se finacira poslovanje Škole jesu: izvor 31- Vlastiti prihodi, izvor 51- Pomoći EU, izvor 52- Ostale pomoći i darovnice te izvor 561- Europski socijalni fond.  </w:t>
      </w:r>
    </w:p>
    <w:p w:rsidR="00505632" w:rsidRDefault="00505632" w:rsidP="00505632">
      <w:r>
        <w:t>Od 1.1.2015. godine Državna škola za javnu upravu nalazi se u sustavu PDV-a, vezano na stjecanje prihoda od obavljanja djelatnosti na izvoru 31 (vlastiti prihodi).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09515-Državna škola za javnu upravu</w:t>
            </w:r>
          </w:p>
        </w:tc>
        <w:tc>
          <w:tcPr>
            <w:tcW w:w="2041" w:type="dxa"/>
            <w:vAlign w:val="top"/>
          </w:tcPr>
          <w:p w:rsidR="00505632" w:rsidRDefault="00505632" w:rsidP="00AD4E52">
            <w:pPr>
              <w:pStyle w:val="CellColumn"/>
              <w:jc w:val="right"/>
            </w:pPr>
            <w:r>
              <w:rPr>
                <w:rFonts w:cs="Times New Roman"/>
              </w:rPr>
              <w:t>5.785.918</w:t>
            </w:r>
          </w:p>
        </w:tc>
        <w:tc>
          <w:tcPr>
            <w:tcW w:w="2041" w:type="dxa"/>
            <w:vAlign w:val="top"/>
          </w:tcPr>
          <w:p w:rsidR="00505632" w:rsidRDefault="00505632" w:rsidP="00AD4E52">
            <w:pPr>
              <w:pStyle w:val="CellColumn"/>
              <w:jc w:val="right"/>
            </w:pPr>
            <w:r>
              <w:rPr>
                <w:rFonts w:cs="Times New Roman"/>
              </w:rPr>
              <w:t>4.497.940</w:t>
            </w:r>
          </w:p>
        </w:tc>
        <w:tc>
          <w:tcPr>
            <w:tcW w:w="2041" w:type="dxa"/>
            <w:vAlign w:val="top"/>
          </w:tcPr>
          <w:p w:rsidR="00505632" w:rsidRDefault="00505632" w:rsidP="00AD4E52">
            <w:pPr>
              <w:pStyle w:val="CellColumn"/>
              <w:jc w:val="right"/>
            </w:pPr>
            <w:r>
              <w:rPr>
                <w:rFonts w:cs="Times New Roman"/>
              </w:rPr>
              <w:t>4.700.129</w:t>
            </w:r>
          </w:p>
        </w:tc>
        <w:tc>
          <w:tcPr>
            <w:tcW w:w="1224" w:type="dxa"/>
            <w:vAlign w:val="top"/>
          </w:tcPr>
          <w:p w:rsidR="00505632" w:rsidRDefault="00505632" w:rsidP="00AD4E52">
            <w:pPr>
              <w:pStyle w:val="CellColumn"/>
              <w:jc w:val="right"/>
            </w:pPr>
            <w:r>
              <w:rPr>
                <w:rFonts w:cs="Times New Roman"/>
              </w:rPr>
              <w:t>104,5</w:t>
            </w:r>
          </w:p>
        </w:tc>
        <w:tc>
          <w:tcPr>
            <w:tcW w:w="1224" w:type="dxa"/>
            <w:vAlign w:val="top"/>
          </w:tcPr>
          <w:p w:rsidR="00505632" w:rsidRDefault="00505632" w:rsidP="00AD4E52">
            <w:pPr>
              <w:pStyle w:val="CellColumn"/>
              <w:jc w:val="right"/>
            </w:pPr>
            <w:r>
              <w:rPr>
                <w:rFonts w:cs="Times New Roman"/>
              </w:rPr>
              <w:t>81,2</w:t>
            </w:r>
          </w:p>
        </w:tc>
      </w:tr>
      <w:tr w:rsidR="00505632" w:rsidTr="00AD4E52">
        <w:trPr>
          <w:jc w:val="center"/>
        </w:trPr>
        <w:tc>
          <w:tcPr>
            <w:tcW w:w="1632" w:type="dxa"/>
          </w:tcPr>
          <w:p w:rsidR="00505632" w:rsidRDefault="00505632" w:rsidP="00AD4E52">
            <w:pPr>
              <w:jc w:val="left"/>
            </w:pPr>
            <w:r>
              <w:t>2401-USTROJSTVO JAVNE UPRAVE</w:t>
            </w:r>
          </w:p>
        </w:tc>
        <w:tc>
          <w:tcPr>
            <w:tcW w:w="2041" w:type="dxa"/>
          </w:tcPr>
          <w:p w:rsidR="00505632" w:rsidRDefault="00505632" w:rsidP="00AD4E52">
            <w:pPr>
              <w:jc w:val="right"/>
            </w:pPr>
            <w:r>
              <w:t>5.785.918</w:t>
            </w:r>
          </w:p>
        </w:tc>
        <w:tc>
          <w:tcPr>
            <w:tcW w:w="2041" w:type="dxa"/>
          </w:tcPr>
          <w:p w:rsidR="00505632" w:rsidRDefault="00505632" w:rsidP="00AD4E52">
            <w:pPr>
              <w:jc w:val="right"/>
            </w:pPr>
            <w:r>
              <w:t>4.497.940</w:t>
            </w:r>
          </w:p>
        </w:tc>
        <w:tc>
          <w:tcPr>
            <w:tcW w:w="2041" w:type="dxa"/>
          </w:tcPr>
          <w:p w:rsidR="00505632" w:rsidRDefault="00505632" w:rsidP="00AD4E52">
            <w:pPr>
              <w:jc w:val="right"/>
            </w:pPr>
            <w:r>
              <w:t>4.700.129</w:t>
            </w:r>
          </w:p>
        </w:tc>
        <w:tc>
          <w:tcPr>
            <w:tcW w:w="1224" w:type="dxa"/>
          </w:tcPr>
          <w:p w:rsidR="00505632" w:rsidRDefault="00505632" w:rsidP="00AD4E52">
            <w:pPr>
              <w:jc w:val="right"/>
            </w:pPr>
            <w:r>
              <w:t>104,5</w:t>
            </w:r>
          </w:p>
        </w:tc>
        <w:tc>
          <w:tcPr>
            <w:tcW w:w="1224" w:type="dxa"/>
          </w:tcPr>
          <w:p w:rsidR="00505632" w:rsidRDefault="00505632" w:rsidP="00AD4E52">
            <w:pPr>
              <w:jc w:val="right"/>
            </w:pPr>
            <w:r>
              <w:t>81,2</w:t>
            </w:r>
          </w:p>
        </w:tc>
      </w:tr>
    </w:tbl>
    <w:p w:rsidR="00505632" w:rsidRDefault="00505632" w:rsidP="00505632">
      <w:pPr>
        <w:jc w:val="left"/>
      </w:pPr>
    </w:p>
    <w:p w:rsidR="00505632" w:rsidRDefault="00505632" w:rsidP="00505632">
      <w:pPr>
        <w:pStyle w:val="Heading3"/>
      </w:pPr>
      <w:r>
        <w:rPr>
          <w:rFonts w:cs="Times New Roman"/>
        </w:rPr>
        <w:t>2401 USTROJSTVO JAVNE UPRAVE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2401-USTROJSTVO JAVNE UPRAVE</w:t>
            </w:r>
          </w:p>
        </w:tc>
        <w:tc>
          <w:tcPr>
            <w:tcW w:w="2041" w:type="dxa"/>
          </w:tcPr>
          <w:p w:rsidR="00505632" w:rsidRDefault="00505632" w:rsidP="00AD4E52">
            <w:pPr>
              <w:pStyle w:val="CellColumn"/>
              <w:jc w:val="right"/>
            </w:pPr>
            <w:r>
              <w:rPr>
                <w:rFonts w:cs="Times New Roman"/>
              </w:rPr>
              <w:t>5.785.918</w:t>
            </w:r>
          </w:p>
        </w:tc>
        <w:tc>
          <w:tcPr>
            <w:tcW w:w="2041" w:type="dxa"/>
          </w:tcPr>
          <w:p w:rsidR="00505632" w:rsidRDefault="00505632" w:rsidP="00AD4E52">
            <w:pPr>
              <w:pStyle w:val="CellColumn"/>
              <w:jc w:val="right"/>
            </w:pPr>
            <w:r>
              <w:rPr>
                <w:rFonts w:cs="Times New Roman"/>
              </w:rPr>
              <w:t>4.497.940</w:t>
            </w:r>
          </w:p>
        </w:tc>
        <w:tc>
          <w:tcPr>
            <w:tcW w:w="2041" w:type="dxa"/>
          </w:tcPr>
          <w:p w:rsidR="00505632" w:rsidRDefault="00505632" w:rsidP="00AD4E52">
            <w:pPr>
              <w:pStyle w:val="CellColumn"/>
              <w:jc w:val="right"/>
            </w:pPr>
            <w:r>
              <w:rPr>
                <w:rFonts w:cs="Times New Roman"/>
              </w:rPr>
              <w:t>4.700.129</w:t>
            </w:r>
          </w:p>
        </w:tc>
        <w:tc>
          <w:tcPr>
            <w:tcW w:w="1224" w:type="dxa"/>
          </w:tcPr>
          <w:p w:rsidR="00505632" w:rsidRDefault="00505632" w:rsidP="00AD4E52">
            <w:pPr>
              <w:pStyle w:val="CellColumn"/>
              <w:jc w:val="right"/>
            </w:pPr>
            <w:r>
              <w:rPr>
                <w:rFonts w:cs="Times New Roman"/>
              </w:rPr>
              <w:t>104,5</w:t>
            </w:r>
          </w:p>
        </w:tc>
        <w:tc>
          <w:tcPr>
            <w:tcW w:w="1224" w:type="dxa"/>
          </w:tcPr>
          <w:p w:rsidR="00505632" w:rsidRDefault="00505632" w:rsidP="00AD4E52">
            <w:pPr>
              <w:pStyle w:val="CellColumn"/>
              <w:jc w:val="right"/>
            </w:pPr>
            <w:r>
              <w:rPr>
                <w:rFonts w:cs="Times New Roman"/>
              </w:rPr>
              <w:t>81,2</w:t>
            </w:r>
          </w:p>
        </w:tc>
      </w:tr>
    </w:tbl>
    <w:p w:rsidR="00505632" w:rsidRDefault="00505632" w:rsidP="00505632">
      <w:pPr>
        <w:jc w:val="left"/>
      </w:pPr>
    </w:p>
    <w:p w:rsidR="00505632" w:rsidRDefault="00505632" w:rsidP="00505632">
      <w:r>
        <w:t xml:space="preserve">Utrošena sredstva u 2016. godini iznose sveukupno 4.700.129,48 kuna što je za 4,5% više u odnosu na planirana sredstva. Prekoračenje se odnosi na Projekt „Uspostava trening sustava za dobro upravljanje na lokalnoj i regionalnoj razini“ koji je financiran iz izvora 12- Sredstva učešća za pomoći i izvora 51- Pomoći EU, a odnosi se na razvoj specijaliziranog programa osposobljavanja u području dobrog upravljanja i uspostavu trenerske mreže čija je svrha ojačati upravljačke i rukovodeće kompetencije izabranih dužnosnika i rukovodećih službenika u tijelima jedinica lokalne i regionalne samouprave. </w:t>
      </w:r>
    </w:p>
    <w:p w:rsidR="00505632" w:rsidRDefault="00505632" w:rsidP="00505632">
      <w:r>
        <w:t xml:space="preserve">U svim ključnim strateškim dokumentima ističe se potreba jačanja sustava usavršavanja u svim segmentima javne uprave i Državne škole za javnu upravu. Unaprjeđivanje sustava usavršavanja rezultira ne samo povećanjem razine stručnosti zaposlenih u javnoj upravi, već i promjenama u ponašanju i obavljanju poslova te će u konačnici doprinijeti profesionalizaciji uprave i jačanju povjerenja građana. </w:t>
      </w:r>
    </w:p>
    <w:p w:rsidR="00505632" w:rsidRDefault="00505632" w:rsidP="00505632">
      <w:r>
        <w:t xml:space="preserve">Škola organizira treninge iz područja javnih politika, EU programa, javnog upravljanja, niz posebnih programa kao što su Pravo na pristup informacijama i pripreme za polaganje općeg dijela državnog stručnog ispita, također trening trenera te in house radionice odnosno razne programe po narudžbi korisnika. Nužno je jačati organizacijske kapacitete DŠJU kao središnje organizacije odgovorne za koordinaciju programa usavršavanja u javnoj upravi. Stoga je novom sistematizacijom Škole, od kraja 2015. godine, predviđeno 29 izvršitelja te su ustrojene 3 osnovne ustrojstvene jedinice: </w:t>
      </w:r>
    </w:p>
    <w:p w:rsidR="00505632" w:rsidRDefault="00505632" w:rsidP="00505632">
      <w:r>
        <w:t xml:space="preserve">1. Ured ravnatelja </w:t>
      </w:r>
    </w:p>
    <w:p w:rsidR="00505632" w:rsidRDefault="00505632" w:rsidP="00505632">
      <w:r>
        <w:t xml:space="preserve">2. Sektor za profesionalno usavršavanje, </w:t>
      </w:r>
    </w:p>
    <w:p w:rsidR="00505632" w:rsidRDefault="00505632" w:rsidP="00505632">
      <w:r>
        <w:t xml:space="preserve">3. Sektor za projekte i zajedničke poslove. </w:t>
      </w:r>
    </w:p>
    <w:p w:rsidR="00505632" w:rsidRDefault="00505632" w:rsidP="00505632">
      <w:r>
        <w:t xml:space="preserve">Na početku izvještajnog razdoblja bilo je 11 zaposlenih , a godina je završena s ukupno 13 zaposlenih.  </w:t>
      </w:r>
    </w:p>
    <w:p w:rsidR="00505632" w:rsidRDefault="00505632" w:rsidP="00505632">
      <w:r>
        <w:t xml:space="preserve">Do sada su aktivnosti i programi Škole, u skladu s postojećim ljudskim, prostornim i organizacijsko-tehničkim kapacitetima, uglavnom bili usmjereni službenicima u državnim tijelima. </w:t>
      </w:r>
    </w:p>
    <w:p w:rsidR="00505632" w:rsidRDefault="00505632" w:rsidP="00505632">
      <w:r>
        <w:t xml:space="preserve">DŠJU ima obavezu intenzivno provoditi programe temeljem potpisanih sporazuma: </w:t>
      </w:r>
    </w:p>
    <w:p w:rsidR="00505632" w:rsidRDefault="00505632" w:rsidP="00505632">
      <w:r>
        <w:t xml:space="preserve">- Sporazum o suradnji s Ministarstvom financija- Financijsko upravljanje i kontrole i državne potpore, </w:t>
      </w:r>
    </w:p>
    <w:p w:rsidR="00505632" w:rsidRDefault="00505632" w:rsidP="00505632">
      <w:r>
        <w:t xml:space="preserve">- Sporazum o suradnji s Ministarstvom uprave- Primjena Zakona o općem upravnom postupku,  </w:t>
      </w:r>
    </w:p>
    <w:p w:rsidR="00505632" w:rsidRDefault="00505632" w:rsidP="00505632">
      <w:r>
        <w:t xml:space="preserve">-Sporazum o pružanju usluga provođenja programa stručnog usavršavanja s Ministarstvom regionalnoga razvoja i fondova Europske unije, </w:t>
      </w:r>
    </w:p>
    <w:p w:rsidR="00505632" w:rsidRDefault="00505632" w:rsidP="00505632">
      <w:r>
        <w:t xml:space="preserve">- Ugovor o provedbi usavršavanja službenika Porezne uprave. </w:t>
      </w:r>
    </w:p>
    <w:p w:rsidR="00505632" w:rsidRDefault="00505632" w:rsidP="00505632">
      <w:r>
        <w:t>U izvještajnom razdoblju broj trenera iznosi 163 dok je u 2015. godini radionice održalo 154 trenera. Ukupan broj trenera s kojima Škola raspolaže iznosi 223.</w:t>
      </w:r>
    </w:p>
    <w:p w:rsidR="00505632" w:rsidRDefault="00505632" w:rsidP="00505632">
      <w:pPr>
        <w:pStyle w:val="Heading8"/>
        <w:jc w:val="left"/>
      </w:pPr>
      <w:r>
        <w:t>Cilj 1. Unapređenje kvalitete i učinkovitosti izobrazbe</w:t>
      </w:r>
    </w:p>
    <w:p w:rsidR="00505632" w:rsidRDefault="00505632" w:rsidP="00505632">
      <w:pPr>
        <w:pStyle w:val="Heading8"/>
        <w:jc w:val="left"/>
      </w:pPr>
      <w:r>
        <w:t>Opis provedbe cilja programa</w:t>
      </w:r>
    </w:p>
    <w:p w:rsidR="00505632" w:rsidRDefault="00505632" w:rsidP="00505632">
      <w:r>
        <w:t>Javna uprava dodatno će se unaprijediti kroz razvoj i provedbu programa izobrazbe u skladu s procjenom potreba za izobrazbom sukladno izrađenom kompetencijskom okviru, što će omogućiti sustavno planiranje i provedbu politike izobrazbe javnih službenika razvojem i prilagođavanjem različitih programa izobrazbe koji će pridonijeti razvoju potrebnih generičkih i specifičnih kompetencija neophodnih za stručno obavljanje poslova javne uprave.</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Razvoj i provedba programa izobrazbe</w:t>
            </w:r>
          </w:p>
        </w:tc>
        <w:tc>
          <w:tcPr>
            <w:tcW w:w="2551" w:type="dxa"/>
          </w:tcPr>
          <w:p w:rsidR="00505632" w:rsidRDefault="00505632" w:rsidP="00AD4E52">
            <w:pPr>
              <w:pStyle w:val="CellColumn"/>
              <w:jc w:val="left"/>
            </w:pPr>
            <w:r>
              <w:rPr>
                <w:rFonts w:cs="Times New Roman"/>
              </w:rPr>
              <w:t>Razvoj i provedba programa izobrazbe sukladno ishodima učenja i u skladu s kompetencijskim okvirima za pojedine kategorije službenika sukladno procjeni potreba izobrazbe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45</w:t>
            </w:r>
          </w:p>
        </w:tc>
        <w:tc>
          <w:tcPr>
            <w:tcW w:w="1020" w:type="dxa"/>
          </w:tcPr>
          <w:p w:rsidR="00505632" w:rsidRDefault="00505632" w:rsidP="00AD4E52">
            <w:pPr>
              <w:pStyle w:val="CellColumn"/>
              <w:jc w:val="right"/>
            </w:pPr>
            <w:r>
              <w:rPr>
                <w:rFonts w:cs="Times New Roman"/>
              </w:rPr>
              <w:t>DŠJU</w:t>
            </w:r>
          </w:p>
        </w:tc>
        <w:tc>
          <w:tcPr>
            <w:tcW w:w="1020" w:type="dxa"/>
          </w:tcPr>
          <w:p w:rsidR="00505632" w:rsidRDefault="00505632" w:rsidP="00AD4E52">
            <w:pPr>
              <w:pStyle w:val="CellColumn"/>
              <w:jc w:val="right"/>
            </w:pPr>
            <w:r>
              <w:rPr>
                <w:rFonts w:cs="Times New Roman"/>
              </w:rPr>
              <w:t>48</w:t>
            </w:r>
          </w:p>
        </w:tc>
        <w:tc>
          <w:tcPr>
            <w:tcW w:w="1020" w:type="dxa"/>
          </w:tcPr>
          <w:p w:rsidR="00505632" w:rsidRDefault="00505632" w:rsidP="00AD4E52">
            <w:pPr>
              <w:pStyle w:val="CellColumn"/>
              <w:jc w:val="right"/>
            </w:pPr>
            <w:r>
              <w:rPr>
                <w:rFonts w:cs="Times New Roman"/>
              </w:rPr>
              <w:t>72</w:t>
            </w:r>
          </w:p>
        </w:tc>
      </w:tr>
      <w:tr w:rsidR="00505632" w:rsidTr="00AD4E52">
        <w:trPr>
          <w:jc w:val="center"/>
        </w:trPr>
        <w:tc>
          <w:tcPr>
            <w:tcW w:w="2551" w:type="dxa"/>
          </w:tcPr>
          <w:p w:rsidR="00505632" w:rsidRDefault="00505632" w:rsidP="00AD4E52">
            <w:pPr>
              <w:pStyle w:val="CellColumn"/>
              <w:jc w:val="left"/>
            </w:pPr>
            <w:r>
              <w:rPr>
                <w:rFonts w:cs="Times New Roman"/>
              </w:rPr>
              <w:t>Osiguravanje kvalitete programa izobrazbe</w:t>
            </w:r>
          </w:p>
        </w:tc>
        <w:tc>
          <w:tcPr>
            <w:tcW w:w="2551" w:type="dxa"/>
          </w:tcPr>
          <w:p w:rsidR="00505632" w:rsidRDefault="00505632" w:rsidP="00AD4E52">
            <w:pPr>
              <w:pStyle w:val="CellColumn"/>
              <w:jc w:val="left"/>
            </w:pPr>
            <w:r>
              <w:rPr>
                <w:rFonts w:cs="Times New Roman"/>
              </w:rPr>
              <w:t>DŠJU koordinira razvoj i provedbu programa izobrazbe uspostavom suradnje sa stručnim  fizičkim i pravnim osobama  radi učinkovitog sustava osiguravanja kvalitete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154</w:t>
            </w:r>
          </w:p>
        </w:tc>
        <w:tc>
          <w:tcPr>
            <w:tcW w:w="1020" w:type="dxa"/>
          </w:tcPr>
          <w:p w:rsidR="00505632" w:rsidRDefault="00505632" w:rsidP="00AD4E52">
            <w:pPr>
              <w:pStyle w:val="CellColumn"/>
              <w:jc w:val="right"/>
            </w:pPr>
            <w:r>
              <w:rPr>
                <w:rFonts w:cs="Times New Roman"/>
              </w:rPr>
              <w:t>DŠJU</w:t>
            </w:r>
          </w:p>
        </w:tc>
        <w:tc>
          <w:tcPr>
            <w:tcW w:w="1020" w:type="dxa"/>
          </w:tcPr>
          <w:p w:rsidR="00505632" w:rsidRDefault="00505632" w:rsidP="00AD4E52">
            <w:pPr>
              <w:pStyle w:val="CellColumn"/>
              <w:jc w:val="right"/>
            </w:pPr>
            <w:r>
              <w:rPr>
                <w:rFonts w:cs="Times New Roman"/>
              </w:rPr>
              <w:t>160</w:t>
            </w:r>
          </w:p>
        </w:tc>
        <w:tc>
          <w:tcPr>
            <w:tcW w:w="1020" w:type="dxa"/>
          </w:tcPr>
          <w:p w:rsidR="00505632" w:rsidRDefault="00505632" w:rsidP="00AD4E52">
            <w:pPr>
              <w:pStyle w:val="CellColumn"/>
              <w:jc w:val="right"/>
            </w:pPr>
            <w:r>
              <w:rPr>
                <w:rFonts w:cs="Times New Roman"/>
              </w:rPr>
              <w:t>163</w:t>
            </w:r>
          </w:p>
        </w:tc>
      </w:tr>
    </w:tbl>
    <w:p w:rsidR="00505632" w:rsidRDefault="00505632" w:rsidP="00505632">
      <w:pPr>
        <w:jc w:val="left"/>
      </w:pPr>
    </w:p>
    <w:p w:rsidR="00505632" w:rsidRDefault="00505632" w:rsidP="00505632">
      <w:pPr>
        <w:pStyle w:val="Heading4"/>
      </w:pPr>
      <w:r>
        <w:t>A677018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A677018-ADMINISTRACIJA I UPRAVLJANJE</w:t>
            </w:r>
          </w:p>
        </w:tc>
        <w:tc>
          <w:tcPr>
            <w:tcW w:w="2041" w:type="dxa"/>
          </w:tcPr>
          <w:p w:rsidR="00505632" w:rsidRDefault="00505632" w:rsidP="00AD4E52">
            <w:pPr>
              <w:pStyle w:val="CellColumn"/>
              <w:jc w:val="right"/>
            </w:pPr>
            <w:r>
              <w:rPr>
                <w:rFonts w:cs="Times New Roman"/>
              </w:rPr>
              <w:t>4.067.245</w:t>
            </w:r>
          </w:p>
        </w:tc>
        <w:tc>
          <w:tcPr>
            <w:tcW w:w="2041" w:type="dxa"/>
          </w:tcPr>
          <w:p w:rsidR="00505632" w:rsidRDefault="00505632" w:rsidP="00AD4E52">
            <w:pPr>
              <w:pStyle w:val="CellColumn"/>
              <w:jc w:val="right"/>
            </w:pPr>
            <w:r>
              <w:rPr>
                <w:rFonts w:cs="Times New Roman"/>
              </w:rPr>
              <w:t>4.435.540</w:t>
            </w:r>
          </w:p>
        </w:tc>
        <w:tc>
          <w:tcPr>
            <w:tcW w:w="2041" w:type="dxa"/>
          </w:tcPr>
          <w:p w:rsidR="00505632" w:rsidRDefault="00505632" w:rsidP="00AD4E52">
            <w:pPr>
              <w:pStyle w:val="CellColumn"/>
              <w:jc w:val="right"/>
            </w:pPr>
            <w:r>
              <w:rPr>
                <w:rFonts w:cs="Times New Roman"/>
              </w:rPr>
              <w:t>4.304.879</w:t>
            </w:r>
          </w:p>
        </w:tc>
        <w:tc>
          <w:tcPr>
            <w:tcW w:w="1224" w:type="dxa"/>
          </w:tcPr>
          <w:p w:rsidR="00505632" w:rsidRDefault="00505632" w:rsidP="00AD4E52">
            <w:pPr>
              <w:pStyle w:val="CellColumn"/>
              <w:jc w:val="right"/>
            </w:pPr>
            <w:r>
              <w:rPr>
                <w:rFonts w:cs="Times New Roman"/>
              </w:rPr>
              <w:t>97,1</w:t>
            </w:r>
          </w:p>
        </w:tc>
        <w:tc>
          <w:tcPr>
            <w:tcW w:w="1224" w:type="dxa"/>
          </w:tcPr>
          <w:p w:rsidR="00505632" w:rsidRDefault="00505632" w:rsidP="00AD4E52">
            <w:pPr>
              <w:pStyle w:val="CellColumn"/>
              <w:jc w:val="right"/>
            </w:pPr>
            <w:r>
              <w:rPr>
                <w:rFonts w:cs="Times New Roman"/>
              </w:rPr>
              <w:t>105,8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Uredba o osnivanju Državne škole za javnu upravu </w:t>
      </w:r>
    </w:p>
    <w:p w:rsidR="00505632" w:rsidRDefault="00505632" w:rsidP="00505632">
      <w:r>
        <w:t xml:space="preserve">- Uredba o nazivima radnih mjesta i koeficijentima složenosti poslova u javnim službama </w:t>
      </w:r>
    </w:p>
    <w:p w:rsidR="00505632" w:rsidRDefault="00505632" w:rsidP="00505632">
      <w:r>
        <w:t xml:space="preserve">- Temeljni kolektivni ugovor za službenike i namještenike u javnim službama  </w:t>
      </w:r>
    </w:p>
    <w:p w:rsidR="00505632" w:rsidRDefault="00505632" w:rsidP="00505632">
      <w:r>
        <w:t xml:space="preserve">- Smjernice ekonomske i fiskalne politike za razdoblje 2016.-2018. </w:t>
      </w:r>
    </w:p>
    <w:p w:rsidR="00505632" w:rsidRDefault="00505632" w:rsidP="00505632">
      <w:r>
        <w:t xml:space="preserve">- Sporazum o partnerstvu između RH i EU za korištenje EU strukturnih i investicijskih fondova za rast i radna mjesta u razdoblju 2014.-2020. </w:t>
      </w:r>
    </w:p>
    <w:p w:rsidR="00505632" w:rsidRDefault="00505632" w:rsidP="00505632">
      <w:r>
        <w:t xml:space="preserve">- Nacionalni program reformi RH 2014.-2020. </w:t>
      </w:r>
    </w:p>
    <w:p w:rsidR="00505632" w:rsidRDefault="00505632" w:rsidP="00505632">
      <w:r>
        <w:t xml:space="preserve">- Operativni program Učinkoviti ljudski potencijali 2014.-2020. </w:t>
      </w:r>
    </w:p>
    <w:p w:rsidR="00505632" w:rsidRDefault="00505632" w:rsidP="00505632">
      <w:r>
        <w:t xml:space="preserve">- Strategija razvoja javne uprave za razdoblje 2015.-2020. </w:t>
      </w:r>
    </w:p>
    <w:p w:rsidR="00505632" w:rsidRDefault="00505632" w:rsidP="00505632">
      <w:r>
        <w:t>- Zakon o ustanovama</w:t>
      </w:r>
    </w:p>
    <w:p w:rsidR="00505632" w:rsidRDefault="00505632" w:rsidP="00505632">
      <w:pPr>
        <w:pStyle w:val="Heading8"/>
        <w:jc w:val="left"/>
      </w:pPr>
      <w:r>
        <w:t>Opis aktivnosti</w:t>
      </w:r>
    </w:p>
    <w:p w:rsidR="00505632" w:rsidRDefault="00505632" w:rsidP="00505632">
      <w:r>
        <w:t xml:space="preserve">Prema Pravilniku o radu, sistematizacija radnih mjesta predviđa 29 zaposlenih, u Školi je na dan 31.12.2016. godine zaposleno 13 službenika te je na stručno osposobljavanje za rad bez zasnivanja radnog odnosa primljena 1 osoba. U 2016. godini planirano je zapošljavanje četvero novih djelatnika od kojih su dvoje zaposleni u istoj godini i to jedan računovodstveni referent- financijski knjigovođa i jedan stručni referent u Službi za organizaciju programa, dok je za preostalo dvoje, jedan koordinator i stručni referent u Sektoru za profesinalno usavršavanje, proveden natječaj za zapošljavanje i svoj su rad započeli početkom 2017. godine.  </w:t>
      </w:r>
    </w:p>
    <w:p w:rsidR="00505632" w:rsidRDefault="00505632" w:rsidP="00505632">
      <w:r>
        <w:t xml:space="preserve">Najveću stavku u ukupnom Financijskom planu Škole čine rashodi za usluge 51% od čega se najviše sredstava odnosi na intelektualne i osobne usluge.  </w:t>
      </w:r>
    </w:p>
    <w:p w:rsidR="00505632" w:rsidRDefault="00505632" w:rsidP="00505632">
      <w:r>
        <w:t xml:space="preserve">Osnovna djelatnost Škole je stručno osposobljavanje i usavršavanje državnih službenika, izabranih dužnosnika i službenika u tijelima lokalne i područne (regionalne) samouprave, zaposlenih u pravnim osobama s javnim ovlastima te obrazovanje odraslih. Kako bi se mogla realizirati funkcija Škole, potrebno je angažirati predavače i trenere sa tržišta. Angažmani su se realizirali kroz ugovore o poslovnoj suradnji, autorske honorare i ugovore o djelu te ostale intelektualne usluge. </w:t>
      </w:r>
    </w:p>
    <w:p w:rsidR="00505632" w:rsidRDefault="00505632" w:rsidP="00505632">
      <w:r>
        <w:t xml:space="preserve">U travnju 2016. godine je u organizaciji Državne škole za javnu upravu, Ministarstva uprave i Predstavništva Europske komisije u Republici Hrvatskoj, u suradnji s Veleposlanstvom Kraljevine Nizozemske i Veleposlanstvom Francuske Republike i pod visokim pokroviteljstvom Vlade Republike Hrvatske u Zagrebu održana konferencija „Reforma javne uprave – perspektive i izazovi“. Na konferenciji su predstavljeni ciljevi reforme javne uprave sukladno nacionalnim i europskim strateškim prioritetima s posebnim naglaskom na učinkovitu javnu upravu usmjerenu na korisnike, razvoj ljudskih potencijala u javnoj upravi i informatizaciju javnih usluga.  </w:t>
      </w:r>
    </w:p>
    <w:p w:rsidR="00505632" w:rsidRDefault="00505632" w:rsidP="00505632">
      <w:r>
        <w:t xml:space="preserve">Vlastiti prihodi (izvor 31) ostvareni su temeljem usluga po naružbi, „in house“ radionica institucijama koje su iskazale potrebu za istima. </w:t>
      </w:r>
    </w:p>
    <w:p w:rsidR="00505632" w:rsidRDefault="00505632" w:rsidP="00505632">
      <w:r>
        <w:t xml:space="preserve">Također su određeni prihodi ostvareni temeljem prodaje usluga po narudžbi institucijama unutar javne uprave te takve programe koji se plaćaju iz Državnog proračuna Republike Hrvatske- izvora 11 Opći prihodi i primici Škola ne fakturira, već se provode nalozi za preknjiženje rashod-rashod koji primateljima usluge služe kao ulazni račun. Navedeno je Uputa Ministarstva financija koje je, u cilju smanjenja rasta državnog proračuna, tražilo od proračunskih korisnika da ne fakturiraju jedni drugima usluge. Znači, Državna škola za javnu upravu ne izdaje račun za edukaciju već Nalog za preknjiženje rashod-rashod. Državna riznica isti nalog provodi kroz državni proračun tereteći rashode tog proračunskog korisnika, koji je zatražio edukaciju, uz odobrenje rashoda Državne škole za javnu upravu. Tako je Škola  u izvještajnom razdoblju organizirala i provela in house radionice za sedam proračunskih korisnika za koje je utrošeno 175.164,59 kuna. Održalo se ukupno 37 radionica i to u Zagrebu, Varaždinu, Slavonskom Brodu, Rijeci, Splitu i Dubrovniku. Navedena sredstva Škola ponovo plasira za organizaciju slijedećih radionica i tako proširuje broj institucija. U 2016. godini sredstva koja su proračunski korisnici refundirali u prosincu, nisu se uspjela utrošiti na nove radionice. </w:t>
      </w:r>
    </w:p>
    <w:p w:rsidR="00505632" w:rsidRDefault="00505632" w:rsidP="00505632">
      <w:r>
        <w:t xml:space="preserve">Budući da se Državna škola za javnu upravu od 2012. godine nalazi u prostorima od 1.075 kvadratnih metara raspodjeljenih na 5 katova (4 kata s uredskim prostorima i dvoranama te podrumska etaža), konstantno traje obnavljanje i opremanje Škole. S povećanjem broja radionica povećala se i potreba za računalnom i edukacijskom opremom. U 2016. godini izdvojena su sredstva u razvoj softwera i licenci, izvršena je II. faza razvoja i implementacije funkcijsko programskog sustava odnosno nadogradnja poslovnih procesa i razvoja dodatnih funkcionalnosti programskog sustava te za razvoj, implementaciju i održavanje Tableau izvještaja.  </w:t>
      </w:r>
    </w:p>
    <w:p w:rsidR="00505632" w:rsidRDefault="00505632" w:rsidP="00505632">
      <w:r>
        <w:t xml:space="preserve">Usluge tekućeg i investicijskog održavanja u 2016. godini iznose 255.114 kuna i odnose se na radove bojanja zidova u dvoranama, zamjena stropnih obloga i lampi, preuređenje sanitarnog čvora za polaznike na prvom katu Škole, zbog EU direktive, zatim sanacija poda u uredskim prostorima te na održavanje postojeće opreme. Nabavljen je dio uredskog namještaja za novozaposlene djelatnike. </w:t>
      </w:r>
    </w:p>
    <w:p w:rsidR="00505632" w:rsidRDefault="00505632" w:rsidP="00505632">
      <w:r>
        <w:t xml:space="preserve">Škola je u 2016. godini imala ukupno 6.011 polaznika, što je povećanje za 30% u odnosu na prethodnu godinu te 222 organizirane i održane radionice. </w:t>
      </w:r>
    </w:p>
    <w:p w:rsidR="00505632" w:rsidRDefault="00505632" w:rsidP="00505632">
      <w:r>
        <w:t xml:space="preserve"> Sredstva koja su utrošena u 2016. godini iznose ukupno, po svim izvorima, 4.304.879,48 kuna što je u odnosu na planirana sredstva od 4.435.540,00 kuna izvršenje od 97%.</w:t>
      </w:r>
    </w:p>
    <w:p w:rsidR="00505632" w:rsidRDefault="00505632" w:rsidP="00505632">
      <w:pPr>
        <w:pStyle w:val="Heading4"/>
      </w:pPr>
      <w:r>
        <w:t>A677025 USPOSTAVA TRENING SUSTAVA ZA DOBRO UPRAVLJANJE NA LOKALNOJ I REGIONALNOJ RAZINI- IPA 2012</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A677025-USPOSTAVA TRENING SUSTAVA ZA DOBRO UPRAVLJANJE NA LOKALNOJ I REGIONALNOJ RAZINI- IPA 2012</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49.000</w:t>
            </w:r>
          </w:p>
        </w:tc>
        <w:tc>
          <w:tcPr>
            <w:tcW w:w="2041" w:type="dxa"/>
          </w:tcPr>
          <w:p w:rsidR="00505632" w:rsidRDefault="00505632" w:rsidP="00AD4E52">
            <w:pPr>
              <w:pStyle w:val="CellColumn"/>
              <w:jc w:val="right"/>
            </w:pPr>
            <w:r>
              <w:rPr>
                <w:rFonts w:cs="Times New Roman"/>
              </w:rPr>
              <w:t>395.250</w:t>
            </w:r>
          </w:p>
        </w:tc>
        <w:tc>
          <w:tcPr>
            <w:tcW w:w="1224" w:type="dxa"/>
          </w:tcPr>
          <w:p w:rsidR="00505632" w:rsidRDefault="00505632" w:rsidP="00AD4E52">
            <w:pPr>
              <w:pStyle w:val="CellColumn"/>
              <w:jc w:val="right"/>
            </w:pPr>
            <w:r>
              <w:rPr>
                <w:rFonts w:cs="Times New Roman"/>
              </w:rPr>
              <w:t>806,6</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Uredba o osnivanju Državne škole za javnu upravu </w:t>
      </w:r>
    </w:p>
    <w:p w:rsidR="00505632" w:rsidRDefault="00505632" w:rsidP="00505632">
      <w:r>
        <w:t xml:space="preserve">- Uredba o nazivima radnih mjesta i koeficijentima složenosti poslova u javnim službama </w:t>
      </w:r>
    </w:p>
    <w:p w:rsidR="00505632" w:rsidRDefault="00505632" w:rsidP="00505632">
      <w:r>
        <w:t xml:space="preserve">- Temeljni kolektivni ugovor za službenike i namještenike u javnim službama  </w:t>
      </w:r>
    </w:p>
    <w:p w:rsidR="00505632" w:rsidRDefault="00505632" w:rsidP="00505632">
      <w:r>
        <w:t xml:space="preserve">- Smjernice ekonomske i fiskalne politike za razdoblje 2016.-2018. </w:t>
      </w:r>
    </w:p>
    <w:p w:rsidR="00505632" w:rsidRDefault="00505632" w:rsidP="00505632">
      <w:r>
        <w:t xml:space="preserve">- Sporazum o partnerstvu između RH i EU za korištenje EU strukturnih i investicijskih fondova za rast i radna mjesta u razdoblju 2014.-2020. </w:t>
      </w:r>
    </w:p>
    <w:p w:rsidR="00505632" w:rsidRDefault="00505632" w:rsidP="00505632">
      <w:r>
        <w:t xml:space="preserve">- Nacionalni program reformi RH 2014.-2020. </w:t>
      </w:r>
    </w:p>
    <w:p w:rsidR="00505632" w:rsidRDefault="00505632" w:rsidP="00505632">
      <w:r>
        <w:t xml:space="preserve">- Operativni program Učinkoviti ljudski potencijali 2014.-2020. </w:t>
      </w:r>
    </w:p>
    <w:p w:rsidR="00505632" w:rsidRDefault="00505632" w:rsidP="00505632">
      <w:r>
        <w:t xml:space="preserve">- Strategija razvoja javne uprave za razdoblje 2015.-2020. </w:t>
      </w:r>
    </w:p>
    <w:p w:rsidR="00505632" w:rsidRDefault="00505632" w:rsidP="00505632">
      <w:r>
        <w:t>- Zakon o ustanovama</w:t>
      </w:r>
    </w:p>
    <w:p w:rsidR="00505632" w:rsidRDefault="00505632" w:rsidP="00505632">
      <w:pPr>
        <w:pStyle w:val="Heading8"/>
        <w:jc w:val="left"/>
      </w:pPr>
      <w:r>
        <w:t>Opis aktivnosti</w:t>
      </w:r>
    </w:p>
    <w:p w:rsidR="00505632" w:rsidRDefault="00505632" w:rsidP="00505632">
      <w:r>
        <w:t xml:space="preserve">U svibnju 2016. godine započela je provedba projekta tehničke pomoći IPA 2012 FFRAC „Uspostava trening sustava za dobro upravljanje na lokalnoj i regionalnoj razini“. Vrijednost projekta iznosi 263.500,00 eura, provodi se u partnerstvu s tvrtkom WYG savjetovanje, a predviđeni završetak projekta je u svibnju 2017. godine.  </w:t>
      </w:r>
    </w:p>
    <w:p w:rsidR="00505632" w:rsidRDefault="00505632" w:rsidP="00505632">
      <w:r>
        <w:t xml:space="preserve">Svrha projekta je ojačati upravljačke i rukovodeće kompetencije izabranih dužnosnika (gradonačelnika i župana) i rukovodećih službenika u tijelima jedinica lokalne i regionalne samouprave kroz razvoj specijaliziranog programa osposobljavanja u području dobrog upravljanja i uspostavu trenerske mreže za njegovu provedbu.  </w:t>
      </w:r>
    </w:p>
    <w:p w:rsidR="00505632" w:rsidRDefault="00505632" w:rsidP="00505632">
      <w:r>
        <w:t xml:space="preserve">Radionice su započele u rujnu 2016. godine i održavaju se u Termama Jezerčica. </w:t>
      </w:r>
    </w:p>
    <w:p w:rsidR="00505632" w:rsidRDefault="00505632" w:rsidP="00505632">
      <w:r>
        <w:t xml:space="preserve">Projekt se provodi u dvije komponente. U sklopu komponente 1 započeo je razvoj programa Dobro upravljanje u trajanju od 25 dana. Program obuhvaća sedam tematskih područja. U sklopu komponente 2 „Uspostava trenerske mreže za provedbu programa Dobro upravljanje za lokalne i regionalne lidere na lokalnoj i regionalnoj razini“ provest će se osposobljavanje najmanje 20 budućih trenera za provedbu programa Dobro upravljanje za lokalne i regionalne lidere. </w:t>
      </w:r>
    </w:p>
    <w:p w:rsidR="00505632" w:rsidRDefault="00505632" w:rsidP="00505632">
      <w:r>
        <w:t xml:space="preserve">Izvršenje na ovoj aktivnosti veće je od planiranih u financijskom planu budući da se prihodi na projektima nisu planirali u cijelim iznosima već su se izvršavali temeljem realizacije, a sukladno realnim troškovima, prema dobivenim uputama, pri izradi Financijskog plana za razdoblje 2016.-2018. godine.  </w:t>
      </w:r>
    </w:p>
    <w:p w:rsidR="00505632" w:rsidRDefault="00505632" w:rsidP="00505632">
      <w:r>
        <w:t>Sredstva koja su utrošena u 2016. godini iznose 395.250 kuna i to iz izvora 12- Sredstva učešća za pomoći 39.525 kuna i izvora 51- Pomoći EU 355.725 kuna, račun 3237- Intelektualne i osobne usluge.</w:t>
      </w:r>
    </w:p>
    <w:p w:rsidR="00505632" w:rsidRDefault="00505632" w:rsidP="006A4980">
      <w:pPr>
        <w:overflowPunct/>
        <w:autoSpaceDE/>
        <w:autoSpaceDN/>
        <w:adjustRightInd/>
        <w:spacing w:after="200" w:line="276" w:lineRule="auto"/>
        <w:jc w:val="left"/>
        <w:textAlignment w:val="auto"/>
      </w:pPr>
      <w:r>
        <w:br w:type="page"/>
      </w:r>
    </w:p>
    <w:p w:rsidR="00505632" w:rsidRDefault="00505632" w:rsidP="00505632">
      <w:pPr>
        <w:pStyle w:val="Heading1"/>
      </w:pPr>
      <w:r>
        <w:t>096 MINISTARSTVO ZDRAVSTVA</w:t>
      </w:r>
    </w:p>
    <w:p w:rsidR="00505632" w:rsidRDefault="00505632" w:rsidP="00505632">
      <w:r>
        <w:t xml:space="preserve">Primjena znanstveno utemeljenih programa sprečavanja i suzbijanja bolesti te promicanja zdravlja predstavljaju glavne aktivnosti usmjerene zaštiti, očuvanju i unapređenju zdravlja stanovništva. Cilj je unaprijediti zdravstveni sustav tako da se osiguravanjem pravodobnog pristupa zdravstvenim uslugama zadovolji potrebe građana Republike Hrvatske za kvalitetnom stručno-medicinskom zdravstvenom zaštitom koja obuhvaća sprečavanje bolesti i profesionalnih bolesti, edukaciju o zdravlju, ranom prepoznavanju rizika bolesti te liječenje i rehabilitaciju bolesnih. U cilju zaštite, očuvanja i unapređenja zdravlja, od osobite je važnosti promoviranje zdravih stilova života, razvijanje pravilnih prehrambenih navika, utjecanje na povećanje tjelesnih aktivnosti te ukazivanje na štetnost raznih oblika ovisnosti. Poticanjem razvijanja zdravih stilova života utjecat će se na kvalitetu i dužinu trajanja života, smanjenje pojavnosti kroničnih nezaraznih bolesti kao i nekih sijela malignih oboljenja. Zdravstveno-statistički pokazatelji unapređenje njihova praćenja ukazuje na zdravlje i odstupanje od zdravlja populacije kao osnova za usmjeravanje potrebnih javnozdravstvenih mjera usmjerenih zaštiti, očuvanju i unapređenju zdravlja. U okviru navedenog cilja veliki dio aktivnosti bit će usmjeren na osjetljive dobne skupine, djecu i osobe starije životne dobi te osobe s posebnim potrebama. </w:t>
      </w:r>
    </w:p>
    <w:p w:rsidR="00505632" w:rsidRDefault="00505632" w:rsidP="00505632">
      <w:r>
        <w:t>Javnozdravstveni interes ostvaruje se provedbom mjera i postupaka koji su usmjereni na zaštitu zdravlja populacije određenog područja ili cijele države. Zaštita javnozdravstvenog interesa provodi se kvalitetnim radom sanitarne inspekcije, a unapređenjem njezina rada omogućiti će se i dosljednije provođenje zakona i podzakonskih propisa, a time i bolja zaštita zdravlja ljudi sukladno odredbama Zakona o sanitarnoj inspekciji. Nadzorom sanitarne inspekcije na područjima sprečavanja i suzbijanja zaraznih bolesti; proizvodnje i stavljanja na tržište hrane, uključujući i genetski modificiranu hranu i novu hranu te genetski modificirane organizme; proizvodnje i stavljanja na tržište predmeta opće uporabe; proizvodnje i stavljanja na tržište i uporabe opasnih kemikalija; stavljanja na tržište i uporabe biocidnih pripravaka; zaštite od buke i zaštite od ionizirajućeg i neionizirajućeg zračenja - izravno se štiti javnozdravstveni interes.</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09605-Ministarstvo zdravstva</w:t>
            </w:r>
          </w:p>
        </w:tc>
        <w:tc>
          <w:tcPr>
            <w:tcW w:w="2041" w:type="dxa"/>
            <w:vAlign w:val="top"/>
          </w:tcPr>
          <w:p w:rsidR="00505632" w:rsidRDefault="00505632" w:rsidP="00AD4E52">
            <w:pPr>
              <w:pStyle w:val="CellColumn"/>
              <w:jc w:val="right"/>
            </w:pPr>
            <w:r>
              <w:rPr>
                <w:rFonts w:cs="Times New Roman"/>
              </w:rPr>
              <w:t>2.849.859.035</w:t>
            </w:r>
          </w:p>
        </w:tc>
        <w:tc>
          <w:tcPr>
            <w:tcW w:w="2041" w:type="dxa"/>
            <w:vAlign w:val="top"/>
          </w:tcPr>
          <w:p w:rsidR="00505632" w:rsidRDefault="00505632" w:rsidP="00AD4E52">
            <w:pPr>
              <w:pStyle w:val="CellColumn"/>
              <w:jc w:val="right"/>
            </w:pPr>
            <w:r>
              <w:rPr>
                <w:rFonts w:cs="Times New Roman"/>
              </w:rPr>
              <w:t>2.990.496.393</w:t>
            </w:r>
          </w:p>
        </w:tc>
        <w:tc>
          <w:tcPr>
            <w:tcW w:w="2041" w:type="dxa"/>
            <w:vAlign w:val="top"/>
          </w:tcPr>
          <w:p w:rsidR="00505632" w:rsidRDefault="00505632" w:rsidP="00AD4E52">
            <w:pPr>
              <w:pStyle w:val="CellColumn"/>
              <w:jc w:val="right"/>
            </w:pPr>
            <w:r>
              <w:rPr>
                <w:rFonts w:cs="Times New Roman"/>
              </w:rPr>
              <w:t>2.984.352.990</w:t>
            </w:r>
          </w:p>
        </w:tc>
        <w:tc>
          <w:tcPr>
            <w:tcW w:w="1224" w:type="dxa"/>
            <w:vAlign w:val="top"/>
          </w:tcPr>
          <w:p w:rsidR="00505632" w:rsidRDefault="00505632" w:rsidP="00AD4E52">
            <w:pPr>
              <w:pStyle w:val="CellColumn"/>
              <w:jc w:val="right"/>
            </w:pPr>
            <w:r>
              <w:rPr>
                <w:rFonts w:cs="Times New Roman"/>
              </w:rPr>
              <w:t>99,8</w:t>
            </w:r>
          </w:p>
        </w:tc>
        <w:tc>
          <w:tcPr>
            <w:tcW w:w="1224" w:type="dxa"/>
            <w:vAlign w:val="top"/>
          </w:tcPr>
          <w:p w:rsidR="00505632" w:rsidRDefault="00505632" w:rsidP="00AD4E52">
            <w:pPr>
              <w:pStyle w:val="CellColumn"/>
              <w:jc w:val="right"/>
            </w:pPr>
            <w:r>
              <w:rPr>
                <w:rFonts w:cs="Times New Roman"/>
              </w:rPr>
              <w:t>104,7</w:t>
            </w:r>
          </w:p>
        </w:tc>
      </w:tr>
      <w:tr w:rsidR="00505632" w:rsidTr="00AD4E52">
        <w:trPr>
          <w:jc w:val="center"/>
        </w:trPr>
        <w:tc>
          <w:tcPr>
            <w:tcW w:w="1632" w:type="dxa"/>
            <w:vAlign w:val="top"/>
          </w:tcPr>
          <w:p w:rsidR="00505632" w:rsidRDefault="00505632" w:rsidP="00AD4E52">
            <w:pPr>
              <w:pStyle w:val="CellColumn"/>
              <w:jc w:val="left"/>
            </w:pPr>
            <w:r>
              <w:rPr>
                <w:rFonts w:cs="Times New Roman"/>
              </w:rPr>
              <w:t>09620-Zdravstvene ustanove u vlasništvu države</w:t>
            </w:r>
          </w:p>
        </w:tc>
        <w:tc>
          <w:tcPr>
            <w:tcW w:w="2041" w:type="dxa"/>
            <w:vAlign w:val="top"/>
          </w:tcPr>
          <w:p w:rsidR="00505632" w:rsidRDefault="00505632" w:rsidP="00AD4E52">
            <w:pPr>
              <w:pStyle w:val="CellColumn"/>
              <w:jc w:val="right"/>
            </w:pPr>
            <w:r>
              <w:rPr>
                <w:rFonts w:cs="Times New Roman"/>
              </w:rPr>
              <w:t>5.882.975.984</w:t>
            </w:r>
          </w:p>
        </w:tc>
        <w:tc>
          <w:tcPr>
            <w:tcW w:w="2041" w:type="dxa"/>
            <w:vAlign w:val="top"/>
          </w:tcPr>
          <w:p w:rsidR="00505632" w:rsidRDefault="00505632" w:rsidP="00AD4E52">
            <w:pPr>
              <w:pStyle w:val="CellColumn"/>
              <w:jc w:val="right"/>
            </w:pPr>
            <w:r>
              <w:rPr>
                <w:rFonts w:cs="Times New Roman"/>
              </w:rPr>
              <w:t>5.874.769.150</w:t>
            </w:r>
          </w:p>
        </w:tc>
        <w:tc>
          <w:tcPr>
            <w:tcW w:w="2041" w:type="dxa"/>
            <w:vAlign w:val="top"/>
          </w:tcPr>
          <w:p w:rsidR="00505632" w:rsidRDefault="00505632" w:rsidP="00AD4E52">
            <w:pPr>
              <w:pStyle w:val="CellColumn"/>
              <w:jc w:val="right"/>
            </w:pPr>
            <w:r>
              <w:rPr>
                <w:rFonts w:cs="Times New Roman"/>
              </w:rPr>
              <w:t>6.240.074.092</w:t>
            </w:r>
          </w:p>
        </w:tc>
        <w:tc>
          <w:tcPr>
            <w:tcW w:w="1224" w:type="dxa"/>
            <w:vAlign w:val="top"/>
          </w:tcPr>
          <w:p w:rsidR="00505632" w:rsidRDefault="00505632" w:rsidP="00AD4E52">
            <w:pPr>
              <w:pStyle w:val="CellColumn"/>
              <w:jc w:val="right"/>
            </w:pPr>
            <w:r>
              <w:rPr>
                <w:rFonts w:cs="Times New Roman"/>
              </w:rPr>
              <w:t>106,2</w:t>
            </w:r>
          </w:p>
        </w:tc>
        <w:tc>
          <w:tcPr>
            <w:tcW w:w="1224" w:type="dxa"/>
            <w:vAlign w:val="top"/>
          </w:tcPr>
          <w:p w:rsidR="00505632" w:rsidRDefault="00505632" w:rsidP="00AD4E52">
            <w:pPr>
              <w:pStyle w:val="CellColumn"/>
              <w:jc w:val="right"/>
            </w:pPr>
            <w:r>
              <w:rPr>
                <w:rFonts w:cs="Times New Roman"/>
              </w:rPr>
              <w:t>106,1</w:t>
            </w:r>
          </w:p>
        </w:tc>
      </w:tr>
      <w:tr w:rsidR="00505632" w:rsidTr="00AD4E52">
        <w:trPr>
          <w:jc w:val="center"/>
        </w:trPr>
        <w:tc>
          <w:tcPr>
            <w:tcW w:w="1632" w:type="dxa"/>
            <w:vAlign w:val="top"/>
          </w:tcPr>
          <w:p w:rsidR="00505632" w:rsidRDefault="00505632" w:rsidP="00AD4E52">
            <w:pPr>
              <w:pStyle w:val="CellColumn"/>
              <w:jc w:val="left"/>
            </w:pPr>
            <w:r>
              <w:rPr>
                <w:rFonts w:cs="Times New Roman"/>
              </w:rPr>
              <w:t>09625-Zavodi, agencije i ostali proračunski korisnici u sustavu zdravstva</w:t>
            </w:r>
          </w:p>
        </w:tc>
        <w:tc>
          <w:tcPr>
            <w:tcW w:w="2041" w:type="dxa"/>
            <w:vAlign w:val="top"/>
          </w:tcPr>
          <w:p w:rsidR="00505632" w:rsidRDefault="00505632" w:rsidP="00AD4E52">
            <w:pPr>
              <w:pStyle w:val="CellColumn"/>
              <w:jc w:val="right"/>
            </w:pPr>
            <w:r>
              <w:rPr>
                <w:rFonts w:cs="Times New Roman"/>
              </w:rPr>
              <w:t>118.176.367</w:t>
            </w:r>
          </w:p>
        </w:tc>
        <w:tc>
          <w:tcPr>
            <w:tcW w:w="2041" w:type="dxa"/>
            <w:vAlign w:val="top"/>
          </w:tcPr>
          <w:p w:rsidR="00505632" w:rsidRDefault="00505632" w:rsidP="00AD4E52">
            <w:pPr>
              <w:pStyle w:val="CellColumn"/>
              <w:jc w:val="right"/>
            </w:pPr>
            <w:r>
              <w:rPr>
                <w:rFonts w:cs="Times New Roman"/>
              </w:rPr>
              <w:t>351.629.545</w:t>
            </w:r>
          </w:p>
        </w:tc>
        <w:tc>
          <w:tcPr>
            <w:tcW w:w="2041" w:type="dxa"/>
            <w:vAlign w:val="top"/>
          </w:tcPr>
          <w:p w:rsidR="00505632" w:rsidRDefault="00505632" w:rsidP="00AD4E52">
            <w:pPr>
              <w:pStyle w:val="CellColumn"/>
              <w:jc w:val="right"/>
            </w:pPr>
            <w:r>
              <w:rPr>
                <w:rFonts w:cs="Times New Roman"/>
              </w:rPr>
              <w:t>362.418.361</w:t>
            </w:r>
          </w:p>
        </w:tc>
        <w:tc>
          <w:tcPr>
            <w:tcW w:w="1224" w:type="dxa"/>
            <w:vAlign w:val="top"/>
          </w:tcPr>
          <w:p w:rsidR="00505632" w:rsidRDefault="00505632" w:rsidP="00AD4E52">
            <w:pPr>
              <w:pStyle w:val="CellColumn"/>
              <w:jc w:val="right"/>
            </w:pPr>
            <w:r>
              <w:rPr>
                <w:rFonts w:cs="Times New Roman"/>
              </w:rPr>
              <w:t>103,1</w:t>
            </w:r>
          </w:p>
        </w:tc>
        <w:tc>
          <w:tcPr>
            <w:tcW w:w="1224" w:type="dxa"/>
            <w:vAlign w:val="top"/>
          </w:tcPr>
          <w:p w:rsidR="00505632" w:rsidRDefault="00505632" w:rsidP="00AD4E52">
            <w:pPr>
              <w:pStyle w:val="CellColumn"/>
              <w:jc w:val="right"/>
            </w:pPr>
            <w:r>
              <w:rPr>
                <w:rFonts w:cs="Times New Roman"/>
              </w:rPr>
              <w:t>306,7</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096-MINISTARSTVO ZDRAVSTVA</w:t>
            </w:r>
          </w:p>
        </w:tc>
        <w:tc>
          <w:tcPr>
            <w:tcW w:w="2041" w:type="dxa"/>
            <w:shd w:val="clear" w:color="auto" w:fill="B5C0D8"/>
          </w:tcPr>
          <w:p w:rsidR="00505632" w:rsidRDefault="00505632" w:rsidP="00AD4E52">
            <w:pPr>
              <w:pStyle w:val="CellColumn"/>
              <w:jc w:val="right"/>
            </w:pPr>
            <w:r>
              <w:rPr>
                <w:rFonts w:cs="Times New Roman"/>
              </w:rPr>
              <w:t>8.851.011.386</w:t>
            </w:r>
          </w:p>
        </w:tc>
        <w:tc>
          <w:tcPr>
            <w:tcW w:w="2041" w:type="dxa"/>
            <w:shd w:val="clear" w:color="auto" w:fill="B5C0D8"/>
          </w:tcPr>
          <w:p w:rsidR="00505632" w:rsidRDefault="00505632" w:rsidP="00AD4E52">
            <w:pPr>
              <w:pStyle w:val="CellColumn"/>
              <w:jc w:val="right"/>
            </w:pPr>
            <w:r>
              <w:rPr>
                <w:rFonts w:cs="Times New Roman"/>
              </w:rPr>
              <w:t>9.216.895.088</w:t>
            </w:r>
          </w:p>
        </w:tc>
        <w:tc>
          <w:tcPr>
            <w:tcW w:w="2041" w:type="dxa"/>
            <w:shd w:val="clear" w:color="auto" w:fill="B5C0D8"/>
          </w:tcPr>
          <w:p w:rsidR="00505632" w:rsidRDefault="00505632" w:rsidP="00AD4E52">
            <w:pPr>
              <w:pStyle w:val="CellColumn"/>
              <w:jc w:val="right"/>
            </w:pPr>
            <w:r>
              <w:rPr>
                <w:rFonts w:cs="Times New Roman"/>
              </w:rPr>
              <w:t>9.586.845.443</w:t>
            </w:r>
          </w:p>
        </w:tc>
        <w:tc>
          <w:tcPr>
            <w:tcW w:w="1224" w:type="dxa"/>
            <w:shd w:val="clear" w:color="auto" w:fill="B5C0D8"/>
          </w:tcPr>
          <w:p w:rsidR="00505632" w:rsidRDefault="00505632" w:rsidP="00AD4E52">
            <w:pPr>
              <w:pStyle w:val="CellColumn"/>
              <w:jc w:val="right"/>
            </w:pPr>
            <w:r>
              <w:rPr>
                <w:rFonts w:cs="Times New Roman"/>
              </w:rPr>
              <w:t>104,0</w:t>
            </w:r>
          </w:p>
        </w:tc>
        <w:tc>
          <w:tcPr>
            <w:tcW w:w="1224" w:type="dxa"/>
            <w:shd w:val="clear" w:color="auto" w:fill="B5C0D8"/>
          </w:tcPr>
          <w:p w:rsidR="00505632" w:rsidRDefault="00505632" w:rsidP="00AD4E52">
            <w:pPr>
              <w:pStyle w:val="CellColumn"/>
              <w:jc w:val="right"/>
            </w:pPr>
            <w:r>
              <w:rPr>
                <w:rFonts w:cs="Times New Roman"/>
              </w:rPr>
              <w:t>108,3</w:t>
            </w:r>
          </w:p>
        </w:tc>
      </w:tr>
    </w:tbl>
    <w:p w:rsidR="00505632" w:rsidRDefault="00505632" w:rsidP="00505632">
      <w:pPr>
        <w:jc w:val="left"/>
      </w:pPr>
    </w:p>
    <w:p w:rsidR="00505632" w:rsidRDefault="00505632" w:rsidP="00505632">
      <w:pPr>
        <w:pStyle w:val="Heading2"/>
      </w:pPr>
      <w:r>
        <w:t>09605 Ministarstvo zdravstva</w:t>
      </w:r>
    </w:p>
    <w:p w:rsidR="00505632" w:rsidRDefault="00505632" w:rsidP="00505632">
      <w:r>
        <w:t xml:space="preserve">Primjena znanstveno utemeljenih programa sprečavanja i suzbijanja bolesti te promicanja zdravlja predstavljaju glavne aktivnosti usmjerene zaštiti, očuvanju i unapređenju zdravlja stanovništva. Cilj je unaprijediti zdravstveni sustav tako da se osiguravanjem pravodobnog pristupa zdravstvenim uslugama zadovolji potrebe građana Republike Hrvatske za kvalitetnom stručno-medicinskom zdravstvenom zaštitom koja obuhvaća sprečavanje bolesti i profesionalnih bolesti, edukaciju o zdravlju, ranom prepoznavanju rizika bolesti te liječenje i rehabilitaciju bolesnih. U cilju zaštite, očuvanja i unapređenja zdravlja, od osobite je važnosti promoviranje zdravih stilova života, razvijanje pravilnih prehrambenih navika, utjecanje na povećanje tjelesnih aktivnosti te ukazivanje na štetnost raznih oblika ovisnosti. Poticanjem razvijanja zdravih stilova života utjecat će se na kvalitetu i dužinu trajanja života, smanjenje pojavnosti kroničnih nezaraznih bolesti kao i nekih sijela malignih oboljenja. Zdravstveno-statistički pokazatelji unapređenje njihova praćenja ukazuje na zdravlje i odstupanje od zdravlja populacije kao osnova za usmjeravanje potrebnih javnozdravstvenih mjera usmjerenih zaštiti, očuvanju i unapređenju zdravlja. U okviru navedenog cilja veliki dio aktivnosti bit će usmjeren na osjetljive dobne skupine, djecu i osobe starije životne dobi te osobe s posebnim potrebama. </w:t>
      </w:r>
    </w:p>
    <w:p w:rsidR="00505632" w:rsidRDefault="00505632" w:rsidP="00505632">
      <w:r>
        <w:t>Javnozdravstveni interes ostvaruje se provedbom mjera i postupaka koji su usmjereni na zaštitu zdravlja populacije određenog područja ili cijele države. Zaštita javnozdravstvenog interesa provodi se kvalitetnim radom sanitarne inspekcije, a unapređenjem njezina rada omogućiti će se i dosljednije provođenje zakona i podzakonskih propisa, a time i bolja zaštita zdravlja ljudi sukladno odredbama Zakona o sanitarnoj inspekciji. Nadzorom sanitarne inspekcije na područjima sprečavanja i suzbijanja zaraznih bolesti; proizvodnje i stavljanja na tržište hrane, uključujući i genetski modificiranu hranu i novu hranu te genetski modificirane organizme; proizvodnje i stavljanja na tržište predmeta opće uporabe; proizvodnje i stavljanja na tržište i uporabe opasnih kemikalija; stavljanja na tržište i uporabe biocidnih pripravaka; zaštite od buke i zaštite od ionizirajućeg i neionizirajućeg zračenja - izravno se štiti javnozdravstveni interes.</w:t>
      </w:r>
    </w:p>
    <w:tbl>
      <w:tblPr>
        <w:tblStyle w:val="StilTablice"/>
        <w:tblW w:w="10206" w:type="dxa"/>
        <w:jc w:val="center"/>
        <w:tblLook w:val="04A0" w:firstRow="1" w:lastRow="0" w:firstColumn="1" w:lastColumn="0" w:noHBand="0" w:noVBand="1"/>
      </w:tblPr>
      <w:tblGrid>
        <w:gridCol w:w="1915"/>
        <w:gridCol w:w="1962"/>
        <w:gridCol w:w="1962"/>
        <w:gridCol w:w="1962"/>
        <w:gridCol w:w="1197"/>
        <w:gridCol w:w="1208"/>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09605-Ministarstvo zdravstva</w:t>
            </w:r>
          </w:p>
        </w:tc>
        <w:tc>
          <w:tcPr>
            <w:tcW w:w="2041" w:type="dxa"/>
            <w:vAlign w:val="top"/>
          </w:tcPr>
          <w:p w:rsidR="00505632" w:rsidRDefault="00505632" w:rsidP="00AD4E52">
            <w:pPr>
              <w:pStyle w:val="CellColumn"/>
              <w:jc w:val="right"/>
            </w:pPr>
            <w:r>
              <w:rPr>
                <w:rFonts w:cs="Times New Roman"/>
              </w:rPr>
              <w:t>2.849.859.035</w:t>
            </w:r>
          </w:p>
        </w:tc>
        <w:tc>
          <w:tcPr>
            <w:tcW w:w="2041" w:type="dxa"/>
            <w:vAlign w:val="top"/>
          </w:tcPr>
          <w:p w:rsidR="00505632" w:rsidRDefault="00505632" w:rsidP="00AD4E52">
            <w:pPr>
              <w:pStyle w:val="CellColumn"/>
              <w:jc w:val="right"/>
            </w:pPr>
            <w:r>
              <w:rPr>
                <w:rFonts w:cs="Times New Roman"/>
              </w:rPr>
              <w:t>2.990.496.393</w:t>
            </w:r>
          </w:p>
        </w:tc>
        <w:tc>
          <w:tcPr>
            <w:tcW w:w="2041" w:type="dxa"/>
            <w:vAlign w:val="top"/>
          </w:tcPr>
          <w:p w:rsidR="00505632" w:rsidRDefault="00505632" w:rsidP="00AD4E52">
            <w:pPr>
              <w:pStyle w:val="CellColumn"/>
              <w:jc w:val="right"/>
            </w:pPr>
            <w:r>
              <w:rPr>
                <w:rFonts w:cs="Times New Roman"/>
              </w:rPr>
              <w:t>2.984.352.990</w:t>
            </w:r>
          </w:p>
        </w:tc>
        <w:tc>
          <w:tcPr>
            <w:tcW w:w="1224" w:type="dxa"/>
            <w:vAlign w:val="top"/>
          </w:tcPr>
          <w:p w:rsidR="00505632" w:rsidRDefault="00505632" w:rsidP="00AD4E52">
            <w:pPr>
              <w:pStyle w:val="CellColumn"/>
              <w:jc w:val="right"/>
            </w:pPr>
            <w:r>
              <w:rPr>
                <w:rFonts w:cs="Times New Roman"/>
              </w:rPr>
              <w:t>99,8</w:t>
            </w:r>
          </w:p>
        </w:tc>
        <w:tc>
          <w:tcPr>
            <w:tcW w:w="1224" w:type="dxa"/>
            <w:vAlign w:val="top"/>
          </w:tcPr>
          <w:p w:rsidR="00505632" w:rsidRDefault="00505632" w:rsidP="00AD4E52">
            <w:pPr>
              <w:pStyle w:val="CellColumn"/>
              <w:jc w:val="right"/>
            </w:pPr>
            <w:r>
              <w:rPr>
                <w:rFonts w:cs="Times New Roman"/>
              </w:rPr>
              <w:t>104,7</w:t>
            </w:r>
          </w:p>
        </w:tc>
      </w:tr>
      <w:tr w:rsidR="00505632" w:rsidTr="00AD4E52">
        <w:trPr>
          <w:jc w:val="center"/>
        </w:trPr>
        <w:tc>
          <w:tcPr>
            <w:tcW w:w="1632" w:type="dxa"/>
          </w:tcPr>
          <w:p w:rsidR="00505632" w:rsidRDefault="00505632" w:rsidP="00AD4E52">
            <w:pPr>
              <w:jc w:val="left"/>
            </w:pPr>
            <w:r>
              <w:t>3601-ZAŠTITA, OČUVANJE I UNAPREĐENJE ZDRAVLJA</w:t>
            </w:r>
          </w:p>
        </w:tc>
        <w:tc>
          <w:tcPr>
            <w:tcW w:w="2041" w:type="dxa"/>
          </w:tcPr>
          <w:p w:rsidR="00505632" w:rsidRDefault="00505632" w:rsidP="00AD4E52">
            <w:pPr>
              <w:jc w:val="right"/>
            </w:pPr>
            <w:r>
              <w:t>64.401.775</w:t>
            </w:r>
          </w:p>
        </w:tc>
        <w:tc>
          <w:tcPr>
            <w:tcW w:w="2041" w:type="dxa"/>
          </w:tcPr>
          <w:p w:rsidR="00505632" w:rsidRDefault="00505632" w:rsidP="00AD4E52">
            <w:pPr>
              <w:jc w:val="right"/>
            </w:pPr>
            <w:r>
              <w:t>70.820.799</w:t>
            </w:r>
          </w:p>
        </w:tc>
        <w:tc>
          <w:tcPr>
            <w:tcW w:w="2041" w:type="dxa"/>
          </w:tcPr>
          <w:p w:rsidR="00505632" w:rsidRDefault="00505632" w:rsidP="00AD4E52">
            <w:pPr>
              <w:jc w:val="right"/>
            </w:pPr>
            <w:r>
              <w:t>69.595.213</w:t>
            </w:r>
          </w:p>
        </w:tc>
        <w:tc>
          <w:tcPr>
            <w:tcW w:w="1224" w:type="dxa"/>
          </w:tcPr>
          <w:p w:rsidR="00505632" w:rsidRDefault="00505632" w:rsidP="00AD4E52">
            <w:pPr>
              <w:jc w:val="right"/>
            </w:pPr>
            <w:r>
              <w:t>98,3</w:t>
            </w:r>
          </w:p>
        </w:tc>
        <w:tc>
          <w:tcPr>
            <w:tcW w:w="1224" w:type="dxa"/>
          </w:tcPr>
          <w:p w:rsidR="00505632" w:rsidRDefault="00505632" w:rsidP="00AD4E52">
            <w:pPr>
              <w:jc w:val="right"/>
            </w:pPr>
            <w:r>
              <w:t>108,1</w:t>
            </w:r>
          </w:p>
        </w:tc>
      </w:tr>
      <w:tr w:rsidR="00505632" w:rsidTr="00AD4E52">
        <w:trPr>
          <w:jc w:val="center"/>
        </w:trPr>
        <w:tc>
          <w:tcPr>
            <w:tcW w:w="1632" w:type="dxa"/>
          </w:tcPr>
          <w:p w:rsidR="00505632" w:rsidRDefault="00505632" w:rsidP="00AD4E52">
            <w:pPr>
              <w:jc w:val="left"/>
            </w:pPr>
            <w:r>
              <w:t>3602-INVESTICIJE U ZDRAVSTVENU INFRASTRUKTURU</w:t>
            </w:r>
          </w:p>
        </w:tc>
        <w:tc>
          <w:tcPr>
            <w:tcW w:w="2041" w:type="dxa"/>
          </w:tcPr>
          <w:p w:rsidR="00505632" w:rsidRDefault="00505632" w:rsidP="00AD4E52">
            <w:pPr>
              <w:jc w:val="right"/>
            </w:pPr>
            <w:r>
              <w:t>270.782.660</w:t>
            </w:r>
          </w:p>
        </w:tc>
        <w:tc>
          <w:tcPr>
            <w:tcW w:w="2041" w:type="dxa"/>
          </w:tcPr>
          <w:p w:rsidR="00505632" w:rsidRDefault="00505632" w:rsidP="00AD4E52">
            <w:pPr>
              <w:jc w:val="right"/>
            </w:pPr>
            <w:r>
              <w:t>233.006.798</w:t>
            </w:r>
          </w:p>
        </w:tc>
        <w:tc>
          <w:tcPr>
            <w:tcW w:w="2041" w:type="dxa"/>
          </w:tcPr>
          <w:p w:rsidR="00505632" w:rsidRDefault="00505632" w:rsidP="00AD4E52">
            <w:pPr>
              <w:jc w:val="right"/>
            </w:pPr>
            <w:r>
              <w:t>230.557.205</w:t>
            </w:r>
          </w:p>
        </w:tc>
        <w:tc>
          <w:tcPr>
            <w:tcW w:w="1224" w:type="dxa"/>
          </w:tcPr>
          <w:p w:rsidR="00505632" w:rsidRDefault="00505632" w:rsidP="00AD4E52">
            <w:pPr>
              <w:jc w:val="right"/>
            </w:pPr>
            <w:r>
              <w:t>98,9</w:t>
            </w:r>
          </w:p>
        </w:tc>
        <w:tc>
          <w:tcPr>
            <w:tcW w:w="1224" w:type="dxa"/>
          </w:tcPr>
          <w:p w:rsidR="00505632" w:rsidRDefault="00505632" w:rsidP="00AD4E52">
            <w:pPr>
              <w:jc w:val="right"/>
            </w:pPr>
            <w:r>
              <w:t>85,1</w:t>
            </w:r>
          </w:p>
        </w:tc>
      </w:tr>
      <w:tr w:rsidR="00505632" w:rsidTr="00AD4E52">
        <w:trPr>
          <w:jc w:val="center"/>
        </w:trPr>
        <w:tc>
          <w:tcPr>
            <w:tcW w:w="1632" w:type="dxa"/>
          </w:tcPr>
          <w:p w:rsidR="00505632" w:rsidRDefault="00505632" w:rsidP="00AD4E52">
            <w:pPr>
              <w:jc w:val="left"/>
            </w:pPr>
            <w:r>
              <w:t>3603-SANITARNA INSPEKCIJA</w:t>
            </w:r>
          </w:p>
        </w:tc>
        <w:tc>
          <w:tcPr>
            <w:tcW w:w="2041" w:type="dxa"/>
          </w:tcPr>
          <w:p w:rsidR="00505632" w:rsidRDefault="00505632" w:rsidP="00AD4E52">
            <w:pPr>
              <w:jc w:val="right"/>
            </w:pPr>
            <w:r>
              <w:t>5.110.699</w:t>
            </w:r>
          </w:p>
        </w:tc>
        <w:tc>
          <w:tcPr>
            <w:tcW w:w="2041" w:type="dxa"/>
          </w:tcPr>
          <w:p w:rsidR="00505632" w:rsidRDefault="00505632" w:rsidP="00AD4E52">
            <w:pPr>
              <w:jc w:val="right"/>
            </w:pPr>
            <w:r>
              <w:t>3.081.500</w:t>
            </w:r>
          </w:p>
        </w:tc>
        <w:tc>
          <w:tcPr>
            <w:tcW w:w="2041" w:type="dxa"/>
          </w:tcPr>
          <w:p w:rsidR="00505632" w:rsidRDefault="00505632" w:rsidP="00AD4E52">
            <w:pPr>
              <w:jc w:val="right"/>
            </w:pPr>
            <w:r>
              <w:t>2.609.835</w:t>
            </w:r>
          </w:p>
        </w:tc>
        <w:tc>
          <w:tcPr>
            <w:tcW w:w="1224" w:type="dxa"/>
          </w:tcPr>
          <w:p w:rsidR="00505632" w:rsidRDefault="00505632" w:rsidP="00AD4E52">
            <w:pPr>
              <w:jc w:val="right"/>
            </w:pPr>
            <w:r>
              <w:t>84,7</w:t>
            </w:r>
          </w:p>
        </w:tc>
        <w:tc>
          <w:tcPr>
            <w:tcW w:w="1224" w:type="dxa"/>
          </w:tcPr>
          <w:p w:rsidR="00505632" w:rsidRDefault="00505632" w:rsidP="00AD4E52">
            <w:pPr>
              <w:jc w:val="right"/>
            </w:pPr>
            <w:r>
              <w:t>51,1</w:t>
            </w:r>
          </w:p>
        </w:tc>
      </w:tr>
      <w:tr w:rsidR="00505632" w:rsidTr="00AD4E52">
        <w:trPr>
          <w:jc w:val="center"/>
        </w:trPr>
        <w:tc>
          <w:tcPr>
            <w:tcW w:w="1632" w:type="dxa"/>
          </w:tcPr>
          <w:p w:rsidR="00505632" w:rsidRDefault="00505632" w:rsidP="00AD4E52">
            <w:pPr>
              <w:jc w:val="left"/>
            </w:pPr>
            <w:r>
              <w:t>3604-UPRAVLJANJE U SUSTAVU ZDRAVLJA</w:t>
            </w:r>
          </w:p>
        </w:tc>
        <w:tc>
          <w:tcPr>
            <w:tcW w:w="2041" w:type="dxa"/>
          </w:tcPr>
          <w:p w:rsidR="00505632" w:rsidRDefault="00505632" w:rsidP="00AD4E52">
            <w:pPr>
              <w:jc w:val="right"/>
            </w:pPr>
            <w:r>
              <w:t>109.563.901</w:t>
            </w:r>
          </w:p>
        </w:tc>
        <w:tc>
          <w:tcPr>
            <w:tcW w:w="2041" w:type="dxa"/>
          </w:tcPr>
          <w:p w:rsidR="00505632" w:rsidRDefault="00505632" w:rsidP="00AD4E52">
            <w:pPr>
              <w:jc w:val="right"/>
            </w:pPr>
            <w:r>
              <w:t>91.592.640</w:t>
            </w:r>
          </w:p>
        </w:tc>
        <w:tc>
          <w:tcPr>
            <w:tcW w:w="2041" w:type="dxa"/>
          </w:tcPr>
          <w:p w:rsidR="00505632" w:rsidRDefault="00505632" w:rsidP="00AD4E52">
            <w:pPr>
              <w:jc w:val="right"/>
            </w:pPr>
            <w:r>
              <w:t>89.596.081</w:t>
            </w:r>
          </w:p>
        </w:tc>
        <w:tc>
          <w:tcPr>
            <w:tcW w:w="1224" w:type="dxa"/>
          </w:tcPr>
          <w:p w:rsidR="00505632" w:rsidRDefault="00505632" w:rsidP="00AD4E52">
            <w:pPr>
              <w:jc w:val="right"/>
            </w:pPr>
            <w:r>
              <w:t>97,8</w:t>
            </w:r>
          </w:p>
        </w:tc>
        <w:tc>
          <w:tcPr>
            <w:tcW w:w="1224" w:type="dxa"/>
          </w:tcPr>
          <w:p w:rsidR="00505632" w:rsidRDefault="00505632" w:rsidP="00AD4E52">
            <w:pPr>
              <w:jc w:val="right"/>
            </w:pPr>
            <w:r>
              <w:t>81,8</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2.400.000.000</w:t>
            </w:r>
          </w:p>
        </w:tc>
        <w:tc>
          <w:tcPr>
            <w:tcW w:w="2041" w:type="dxa"/>
          </w:tcPr>
          <w:p w:rsidR="00505632" w:rsidRDefault="00505632" w:rsidP="00AD4E52">
            <w:pPr>
              <w:jc w:val="right"/>
            </w:pPr>
            <w:r>
              <w:t>2.591.994.656</w:t>
            </w:r>
          </w:p>
        </w:tc>
        <w:tc>
          <w:tcPr>
            <w:tcW w:w="2041" w:type="dxa"/>
          </w:tcPr>
          <w:p w:rsidR="00505632" w:rsidRDefault="00505632" w:rsidP="00AD4E52">
            <w:pPr>
              <w:jc w:val="right"/>
            </w:pPr>
            <w:r>
              <w:t>2.591.994.655</w:t>
            </w:r>
          </w:p>
        </w:tc>
        <w:tc>
          <w:tcPr>
            <w:tcW w:w="1224" w:type="dxa"/>
          </w:tcPr>
          <w:p w:rsidR="00505632" w:rsidRDefault="00505632" w:rsidP="00AD4E52">
            <w:pPr>
              <w:jc w:val="right"/>
            </w:pPr>
            <w:r>
              <w:t>100,0</w:t>
            </w:r>
          </w:p>
        </w:tc>
        <w:tc>
          <w:tcPr>
            <w:tcW w:w="1224" w:type="dxa"/>
          </w:tcPr>
          <w:p w:rsidR="00505632" w:rsidRDefault="00505632" w:rsidP="00AD4E52">
            <w:pPr>
              <w:jc w:val="right"/>
            </w:pPr>
            <w:r>
              <w:t>108,0</w:t>
            </w:r>
          </w:p>
        </w:tc>
      </w:tr>
    </w:tbl>
    <w:p w:rsidR="00505632" w:rsidRDefault="00505632" w:rsidP="00505632">
      <w:pPr>
        <w:jc w:val="left"/>
      </w:pPr>
    </w:p>
    <w:p w:rsidR="00505632" w:rsidRDefault="00505632" w:rsidP="00505632">
      <w:pPr>
        <w:pStyle w:val="Heading3"/>
      </w:pPr>
      <w:r>
        <w:rPr>
          <w:rFonts w:cs="Times New Roman"/>
        </w:rPr>
        <w:t>3601 ZAŠTITA, OČUVANJE I UNAPREĐENJE ZDRAVLJA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3601-ZAŠTITA, OČUVANJE I UNAPREĐENJE ZDRAVLJA</w:t>
            </w:r>
          </w:p>
        </w:tc>
        <w:tc>
          <w:tcPr>
            <w:tcW w:w="2041" w:type="dxa"/>
          </w:tcPr>
          <w:p w:rsidR="00505632" w:rsidRDefault="00505632" w:rsidP="00AD4E52">
            <w:pPr>
              <w:pStyle w:val="CellColumn"/>
              <w:jc w:val="right"/>
            </w:pPr>
            <w:r>
              <w:rPr>
                <w:rFonts w:cs="Times New Roman"/>
              </w:rPr>
              <w:t>64.401.775</w:t>
            </w:r>
          </w:p>
        </w:tc>
        <w:tc>
          <w:tcPr>
            <w:tcW w:w="2041" w:type="dxa"/>
          </w:tcPr>
          <w:p w:rsidR="00505632" w:rsidRDefault="00505632" w:rsidP="00AD4E52">
            <w:pPr>
              <w:pStyle w:val="CellColumn"/>
              <w:jc w:val="right"/>
            </w:pPr>
            <w:r>
              <w:rPr>
                <w:rFonts w:cs="Times New Roman"/>
              </w:rPr>
              <w:t>70.820.799</w:t>
            </w:r>
          </w:p>
        </w:tc>
        <w:tc>
          <w:tcPr>
            <w:tcW w:w="2041" w:type="dxa"/>
          </w:tcPr>
          <w:p w:rsidR="00505632" w:rsidRDefault="00505632" w:rsidP="00AD4E52">
            <w:pPr>
              <w:pStyle w:val="CellColumn"/>
              <w:jc w:val="right"/>
            </w:pPr>
            <w:r>
              <w:rPr>
                <w:rFonts w:cs="Times New Roman"/>
              </w:rPr>
              <w:t>69.595.213</w:t>
            </w:r>
          </w:p>
        </w:tc>
        <w:tc>
          <w:tcPr>
            <w:tcW w:w="1224" w:type="dxa"/>
          </w:tcPr>
          <w:p w:rsidR="00505632" w:rsidRDefault="00505632" w:rsidP="00AD4E52">
            <w:pPr>
              <w:pStyle w:val="CellColumn"/>
              <w:jc w:val="right"/>
            </w:pPr>
            <w:r>
              <w:rPr>
                <w:rFonts w:cs="Times New Roman"/>
              </w:rPr>
              <w:t>98,3</w:t>
            </w:r>
          </w:p>
        </w:tc>
        <w:tc>
          <w:tcPr>
            <w:tcW w:w="1224" w:type="dxa"/>
          </w:tcPr>
          <w:p w:rsidR="00505632" w:rsidRDefault="00505632" w:rsidP="00AD4E52">
            <w:pPr>
              <w:pStyle w:val="CellColumn"/>
              <w:jc w:val="right"/>
            </w:pPr>
            <w:r>
              <w:rPr>
                <w:rFonts w:cs="Times New Roman"/>
              </w:rPr>
              <w:t>108,1</w:t>
            </w:r>
          </w:p>
        </w:tc>
      </w:tr>
    </w:tbl>
    <w:p w:rsidR="00505632" w:rsidRDefault="00505632" w:rsidP="00505632">
      <w:pPr>
        <w:jc w:val="left"/>
      </w:pPr>
    </w:p>
    <w:p w:rsidR="00505632" w:rsidRDefault="00505632" w:rsidP="00505632">
      <w:r>
        <w:t xml:space="preserve">U okviru programa provodio se niz aktivnosti unapređenja zdravstvenog sustava na sve tri razine zdravstvene djelatnosti s ciljem očuvanja i unapređenja zdravlja cjelokupne populacije i osiguranja pravodobnog pristupa kvalitetnoj zdravstvenoj skrbi koja uključuje niz aktivnosti na sprječavanju bolesti, sprječavanju profesionalnih bolesti, edukaciji o zdravlju, ranom prepoznavanju rizika bolesti, liječenju i rehabilitaciji bolesnih. Također se provodi edukacija zdravstvenih radnika i javnosti, unaprjeđenje kvalitete i osiguravanja standarda u skladu s zahtjevima EU direktiva. Provedbom ovog programa ostvaruje se postizanje općeg cilja 1. Zaštita, očuvanje i unapređenje zdravlja te posebnih ciljeva 1.1., 1.2. i 1.3. definiranih u Strateškom planu Ministarstva zdravstva za razdoblje 2016.-2018. </w:t>
      </w:r>
    </w:p>
    <w:p w:rsidR="00505632" w:rsidRDefault="00505632" w:rsidP="00505632">
      <w:r>
        <w:t xml:space="preserve">Zakonske i druge pravne osnove  </w:t>
      </w:r>
    </w:p>
    <w:p w:rsidR="00505632" w:rsidRDefault="00505632" w:rsidP="00505632">
      <w:r>
        <w:t>Nacionalna strategija razvoja zdravstva 2012. - 2020., Zakon o zdravstvenoj zaštiti, Zakon o obveznom zdravstvenom osiguranju, Zakon o zaštiti pučanstva od zaraznih bolesti, Zakon o liječništvu, Zakon o ljekarništvu, Zakon o stomatologiji, Zakon o medicinsko-biokemijskoj djelatnosti, Zakon o fizioterapeutskoj djelatnosti, Zakon o primaljstvu, Zakon o djelatnostima u zdravstvu, Zakon o krvi i krvnim pripravcima, Zakon o zaštiti prava pacijenata, Akcijski plan za usklađivanje zakonodavstva i stvaranje potrebnih kapaciteta za usvajanje i provedbu pravne stečevine Europske Unije, Zakon o suzbijanju zlouporabe opojnih droga, Zakon o ograničavanju uporabe duhanskih proizvoda, Zakon o zaštiti osoba s duševnim smetnjama, Zakon o zaštiti na radu, Zakon o Hrvatskom Crvenom križu, Zakon o udrugama, Nacionalni program za Rome, Nacionalni program za rijetke bolesti 2015.- 2020., Strateški plan za smanjenje prekomjernog unosa kuhinjske soli u Republici Hrvatskoj  2015. – 2019., Akcijski plan desetljeća za Rome, Nacionalni program prevencije šećerne bolesti i drugi , Nacionalna strategija izjednačavanja mogućnosti za osobe s invaliditetom, Nacionalni program Živjeti zdravo, Nacionalni program ranog otkrivanja raka dojke, Nacionalni program ranog otkrivanja raka debelog crijeva, Nacionalni program ranog otkrivanja raka vrata maternice i drugi.</w:t>
      </w:r>
    </w:p>
    <w:p w:rsidR="00505632" w:rsidRDefault="00505632" w:rsidP="00505632">
      <w:pPr>
        <w:pStyle w:val="Heading8"/>
        <w:jc w:val="left"/>
      </w:pPr>
      <w:r>
        <w:t>Cilj 1. Zaštita, očuvanje i unapređenje zdravlja</w:t>
      </w:r>
    </w:p>
    <w:p w:rsidR="00505632" w:rsidRDefault="00505632" w:rsidP="00505632">
      <w:pPr>
        <w:pStyle w:val="Heading8"/>
        <w:jc w:val="left"/>
      </w:pPr>
      <w:r>
        <w:t>Opis provedbe cilja programa</w:t>
      </w:r>
    </w:p>
    <w:p w:rsidR="00505632" w:rsidRDefault="00505632" w:rsidP="00505632">
      <w:r>
        <w:t xml:space="preserve">Očuvanje i unapređenje zdravlja cjelokupnog stanovništva, koristeći znanstveno utemeljene programe sprečavanja i suzbijanja bolesti te promicanja zdravlja predstavljaju glavne aktivnosti usmjerene zaštiti, očuvanju i unapređenju zdravlja stanovništva. Cilj je unaprijediti zdravstveni sustav tako da osiguravanjem pravodobnog pristupa zdravstvenim uslugama zadovolji potrebe građana Republike Hrvatske za kvalitetnom stručno-medicinskom zdravstvenom zaštitom koja obuhvaća sprječavanje bolesti, sprječavanje profesionalnih bolesti, edukaciju o zdravlju, ranom prepoznavanju  rizika bolesti te liječenje i rehabilitaciju bolesnih. U okviru navedenog cilja veliki dio aktivnosti je bio usmjeren na osjetljive dobne skupine, djecu, žene i osobe starije životne dobi, osobe s posebnim potrebama te zaštitu zdravlja radno aktivnog i radno sposobnog stanovništva. </w:t>
      </w:r>
    </w:p>
    <w:p w:rsidR="00505632" w:rsidRDefault="00505632" w:rsidP="00505632">
      <w:r>
        <w:t xml:space="preserve">Javnozdravstveni interes ostvaruje se provedbom mjera i postupaka koji su usmjereni na zaštitu zdravlja stanovništva određenog područja ili cijele države u suradnji sa stručnim društvima i udrugama pacijenata. Značajne aktivnosti odnosile su se i na pripremu i provedbu programa i projekata iz programa Europske unije i ostalih oblika međunarodne pomoći, kao i na poslove koji se odnose na sudjelovanje Republike Hrvatske u zajedničkim aktivnostima zaštite zdravlja na razini EU. </w:t>
      </w:r>
    </w:p>
    <w:p w:rsidR="00505632" w:rsidRDefault="00505632" w:rsidP="00505632">
      <w:r>
        <w:t>Napomena vezana uz pokazatelj učinka* Podaci Državnog zavoda za statistiku se prikupljaju na godišnjoj razini  te se podaci za prethodnu godinu objavljuju u rujnu slijedeće godine.</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Produljenje očekivanog trajanja života pri rođenju</w:t>
            </w:r>
          </w:p>
        </w:tc>
        <w:tc>
          <w:tcPr>
            <w:tcW w:w="2551" w:type="dxa"/>
          </w:tcPr>
          <w:p w:rsidR="00505632" w:rsidRDefault="00505632" w:rsidP="00AD4E52">
            <w:pPr>
              <w:pStyle w:val="CellColumn"/>
              <w:jc w:val="left"/>
            </w:pPr>
            <w:r>
              <w:rPr>
                <w:rFonts w:cs="Times New Roman"/>
              </w:rPr>
              <w:t>Očekivano trajanje života pri rođenju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77,9 (podaci za 2014.)</w:t>
            </w:r>
          </w:p>
        </w:tc>
        <w:tc>
          <w:tcPr>
            <w:tcW w:w="1020" w:type="dxa"/>
          </w:tcPr>
          <w:p w:rsidR="00505632" w:rsidRDefault="00505632" w:rsidP="00AD4E52">
            <w:pPr>
              <w:pStyle w:val="CellColumn"/>
              <w:jc w:val="right"/>
            </w:pPr>
            <w:r>
              <w:rPr>
                <w:rFonts w:cs="Times New Roman"/>
              </w:rPr>
              <w:t xml:space="preserve">(2011.) </w:t>
            </w:r>
          </w:p>
          <w:p w:rsidR="00505632" w:rsidRDefault="00505632" w:rsidP="00AD4E52">
            <w:pPr>
              <w:pStyle w:val="CellColumn"/>
              <w:jc w:val="right"/>
            </w:pPr>
            <w:r>
              <w:rPr>
                <w:rFonts w:cs="Times New Roman"/>
              </w:rPr>
              <w:t xml:space="preserve">77 </w:t>
            </w:r>
          </w:p>
          <w:p w:rsidR="00505632" w:rsidRDefault="00505632" w:rsidP="00AD4E52">
            <w:pPr>
              <w:pStyle w:val="CellColumn"/>
              <w:jc w:val="right"/>
            </w:pPr>
            <w:r>
              <w:rPr>
                <w:rFonts w:cs="Times New Roman"/>
              </w:rPr>
              <w:t xml:space="preserve">(2012.) </w:t>
            </w:r>
          </w:p>
          <w:p w:rsidR="00505632" w:rsidRDefault="00505632" w:rsidP="00AD4E52">
            <w:pPr>
              <w:pStyle w:val="CellColumn"/>
              <w:jc w:val="right"/>
            </w:pPr>
            <w:r>
              <w:rPr>
                <w:rFonts w:cs="Times New Roman"/>
              </w:rPr>
              <w:t>77,39</w:t>
            </w:r>
          </w:p>
        </w:tc>
        <w:tc>
          <w:tcPr>
            <w:tcW w:w="1020" w:type="dxa"/>
          </w:tcPr>
          <w:p w:rsidR="00505632" w:rsidRDefault="00505632" w:rsidP="00AD4E52">
            <w:pPr>
              <w:pStyle w:val="CellColumn"/>
              <w:jc w:val="right"/>
            </w:pPr>
            <w:r>
              <w:rPr>
                <w:rFonts w:cs="Times New Roman"/>
              </w:rPr>
              <w:t>77,67</w:t>
            </w:r>
          </w:p>
        </w:tc>
        <w:tc>
          <w:tcPr>
            <w:tcW w:w="1020" w:type="dxa"/>
          </w:tcPr>
          <w:p w:rsidR="00505632" w:rsidRDefault="00505632" w:rsidP="00AD4E52">
            <w:pPr>
              <w:pStyle w:val="CellColumn"/>
              <w:jc w:val="right"/>
            </w:pPr>
            <w:r>
              <w:rPr>
                <w:rFonts w:cs="Times New Roman"/>
              </w:rPr>
              <w:t>77,9 (podaci za 2014.)</w:t>
            </w:r>
          </w:p>
        </w:tc>
      </w:tr>
    </w:tbl>
    <w:p w:rsidR="00505632" w:rsidRDefault="00505632" w:rsidP="00505632">
      <w:pPr>
        <w:jc w:val="left"/>
      </w:pPr>
    </w:p>
    <w:p w:rsidR="00505632" w:rsidRDefault="00505632" w:rsidP="00505632">
      <w:pPr>
        <w:pStyle w:val="Heading4"/>
      </w:pPr>
      <w:r>
        <w:t>A734214 SURADNJA SA EUROTRANSPLANTOM</w:t>
      </w:r>
    </w:p>
    <w:tbl>
      <w:tblPr>
        <w:tblStyle w:val="StilTablice"/>
        <w:tblW w:w="10206" w:type="dxa"/>
        <w:jc w:val="center"/>
        <w:tblLook w:val="04A0" w:firstRow="1" w:lastRow="0" w:firstColumn="1" w:lastColumn="0" w:noHBand="0" w:noVBand="1"/>
      </w:tblPr>
      <w:tblGrid>
        <w:gridCol w:w="2281"/>
        <w:gridCol w:w="1849"/>
        <w:gridCol w:w="1849"/>
        <w:gridCol w:w="1849"/>
        <w:gridCol w:w="1180"/>
        <w:gridCol w:w="119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A734214-SURADNJA SA EUROTRANSPLANTOM</w:t>
            </w:r>
          </w:p>
        </w:tc>
        <w:tc>
          <w:tcPr>
            <w:tcW w:w="2041" w:type="dxa"/>
          </w:tcPr>
          <w:p w:rsidR="00505632" w:rsidRDefault="00505632" w:rsidP="00AD4E52">
            <w:pPr>
              <w:pStyle w:val="CellColumn"/>
              <w:jc w:val="right"/>
            </w:pPr>
            <w:r>
              <w:rPr>
                <w:rFonts w:cs="Times New Roman"/>
              </w:rPr>
              <w:t>4.067.313</w:t>
            </w:r>
          </w:p>
        </w:tc>
        <w:tc>
          <w:tcPr>
            <w:tcW w:w="2041" w:type="dxa"/>
          </w:tcPr>
          <w:p w:rsidR="00505632" w:rsidRDefault="00505632" w:rsidP="00AD4E52">
            <w:pPr>
              <w:pStyle w:val="CellColumn"/>
              <w:jc w:val="right"/>
            </w:pPr>
            <w:r>
              <w:rPr>
                <w:rFonts w:cs="Times New Roman"/>
              </w:rPr>
              <w:t>4.570.000</w:t>
            </w:r>
          </w:p>
        </w:tc>
        <w:tc>
          <w:tcPr>
            <w:tcW w:w="2041" w:type="dxa"/>
          </w:tcPr>
          <w:p w:rsidR="00505632" w:rsidRDefault="00505632" w:rsidP="00AD4E52">
            <w:pPr>
              <w:pStyle w:val="CellColumn"/>
              <w:jc w:val="right"/>
            </w:pPr>
            <w:r>
              <w:rPr>
                <w:rFonts w:cs="Times New Roman"/>
              </w:rPr>
              <w:t>5.349.149</w:t>
            </w:r>
          </w:p>
        </w:tc>
        <w:tc>
          <w:tcPr>
            <w:tcW w:w="1224" w:type="dxa"/>
          </w:tcPr>
          <w:p w:rsidR="00505632" w:rsidRDefault="00505632" w:rsidP="00AD4E52">
            <w:pPr>
              <w:pStyle w:val="CellColumn"/>
              <w:jc w:val="right"/>
            </w:pPr>
            <w:r>
              <w:rPr>
                <w:rFonts w:cs="Times New Roman"/>
              </w:rPr>
              <w:t>117,0</w:t>
            </w:r>
          </w:p>
        </w:tc>
        <w:tc>
          <w:tcPr>
            <w:tcW w:w="1224" w:type="dxa"/>
          </w:tcPr>
          <w:p w:rsidR="00505632" w:rsidRDefault="00505632" w:rsidP="00AD4E52">
            <w:pPr>
              <w:pStyle w:val="CellColumn"/>
              <w:jc w:val="right"/>
            </w:pPr>
            <w:r>
              <w:rPr>
                <w:rFonts w:cs="Times New Roman"/>
              </w:rPr>
              <w:t>131,5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Rezolucija o poticanju presađivanja organa u Republici Hrvatskoj  </w:t>
      </w:r>
    </w:p>
    <w:p w:rsidR="00505632" w:rsidRDefault="00505632" w:rsidP="00505632">
      <w:r>
        <w:t xml:space="preserve">- Zakon o presađivanju ljudskih organa u svrhu liječenja („Narodne novine br. 144/12) </w:t>
      </w:r>
    </w:p>
    <w:p w:rsidR="00505632" w:rsidRDefault="00505632" w:rsidP="00505632">
      <w:r>
        <w:t xml:space="preserve">- Zakon o primjeni ljudskih tkiva i stanica („Narodne novine br. 144/12) </w:t>
      </w:r>
    </w:p>
    <w:p w:rsidR="00505632" w:rsidRDefault="00505632" w:rsidP="00505632">
      <w:r>
        <w:t xml:space="preserve">- Zakon o medicinski pomognutoj oplodnji („Narodne novine br. 86/12) </w:t>
      </w:r>
    </w:p>
    <w:p w:rsidR="00505632" w:rsidRDefault="00505632" w:rsidP="00505632">
      <w:r>
        <w:t xml:space="preserve">- Zakon o krvi i krvnim pripravcima („Narodne novine br. 79/06,124/11)  </w:t>
      </w:r>
    </w:p>
    <w:p w:rsidR="00505632" w:rsidRDefault="00505632" w:rsidP="00505632">
      <w:r>
        <w:t>- Ugovor o suradnji između Ministarstva i Međunarodne zaklade Eurotransplant (Eurotransplant International Foundation)</w:t>
      </w:r>
    </w:p>
    <w:p w:rsidR="00505632" w:rsidRDefault="00505632" w:rsidP="00505632">
      <w:pPr>
        <w:pStyle w:val="Heading8"/>
        <w:jc w:val="left"/>
      </w:pPr>
      <w:r>
        <w:t>Opis aktivnosti</w:t>
      </w:r>
    </w:p>
    <w:p w:rsidR="00505632" w:rsidRDefault="00505632" w:rsidP="00505632">
      <w:r>
        <w:t xml:space="preserve">Sukladno Rezoluciji o poticanju presađivanja organa u Republici Hrvatskoj, te Zakona o presađivanju ljudskih organa u svrhu liječenja (NN 144/12) i Zakona o primjeni ljudskih tkiva i stanica (NN 144/12) te  ugovoru o suradnji s Eurotransplantom, Ministarstvo zdravstva provodi niz aktivnosti usmjerenih na povećanje broja darivatelja  i unaprjeđenje transplantacijskog programa, uključujući  suradnju i članstvo u međunarodnim organizacijama i registrima (edukacija zdravstvenih djelatnika i javnosti, unaprjeđenje opremljenosti zdravstvenih ustanova za provođenje transplantacijskog programa, unaprjeđenje kvalitete i osiguranje standarda za presađivanje organa,tkiva i stanica u skladu s zahtjevima EU direktiva …). </w:t>
      </w:r>
    </w:p>
    <w:p w:rsidR="00505632" w:rsidRDefault="00505632" w:rsidP="00505632">
      <w:r>
        <w:t xml:space="preserve">Postignuti ciljevi i rezultati programa </w:t>
      </w:r>
    </w:p>
    <w:p w:rsidR="00505632" w:rsidRDefault="00505632" w:rsidP="00505632">
      <w:r>
        <w:t xml:space="preserve">U 2016. godini broj realiziranih darivatelja iznosi 150 (35 na milijun stanovnika).  </w:t>
      </w:r>
    </w:p>
    <w:p w:rsidR="00505632" w:rsidRDefault="00505632" w:rsidP="00505632">
      <w:r>
        <w:t xml:space="preserve">Uspješno je nastavljena međunarodna razmjena organa u okviru članstva u Eurotransplantu.  </w:t>
      </w:r>
    </w:p>
    <w:p w:rsidR="00505632" w:rsidRDefault="00505632" w:rsidP="00505632">
      <w:r>
        <w:t xml:space="preserve">U području promotivnih aktivnosti u listopadu je  obilježen Europski i Nacionalni dan darivanja organa (26. svibanj)  s ciljem informiranja javnosti o važnosti postmortalnog darivanja organa i tkiva.   </w:t>
      </w:r>
    </w:p>
    <w:p w:rsidR="00505632" w:rsidRDefault="00505632" w:rsidP="00505632">
      <w:r>
        <w:t xml:space="preserve">Zaključak:  </w:t>
      </w:r>
    </w:p>
    <w:p w:rsidR="00505632" w:rsidRDefault="00505632" w:rsidP="00505632">
      <w:r>
        <w:t>Sredstva na ovoj poziciju realizirana su u skladu s utvrđenim planom aktivnosti i osiguranim proračunskim sredstvima.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izvršenih transplantacija bubrega na milijun stanovnika (stopa)</w:t>
            </w:r>
          </w:p>
        </w:tc>
        <w:tc>
          <w:tcPr>
            <w:tcW w:w="2551" w:type="dxa"/>
          </w:tcPr>
          <w:p w:rsidR="00505632" w:rsidRDefault="00505632" w:rsidP="00AD4E52">
            <w:pPr>
              <w:pStyle w:val="CellColumn"/>
              <w:jc w:val="left"/>
            </w:pPr>
            <w:r>
              <w:rPr>
                <w:rFonts w:cs="Times New Roman"/>
              </w:rPr>
              <w:t>Broj izvršenih transplantacija bubrega na milijun stanovnika</w:t>
            </w:r>
          </w:p>
        </w:tc>
        <w:tc>
          <w:tcPr>
            <w:tcW w:w="1020" w:type="dxa"/>
          </w:tcPr>
          <w:p w:rsidR="00505632" w:rsidRDefault="00505632" w:rsidP="00AD4E52">
            <w:pPr>
              <w:pStyle w:val="CellColumn"/>
              <w:jc w:val="right"/>
            </w:pPr>
            <w:r>
              <w:rPr>
                <w:rFonts w:cs="Times New Roman"/>
              </w:rPr>
              <w:t>broj/mil. stan.</w:t>
            </w:r>
          </w:p>
        </w:tc>
        <w:tc>
          <w:tcPr>
            <w:tcW w:w="1020" w:type="dxa"/>
          </w:tcPr>
          <w:p w:rsidR="00505632" w:rsidRDefault="00505632" w:rsidP="00AD4E52">
            <w:pPr>
              <w:pStyle w:val="CellColumn"/>
              <w:jc w:val="right"/>
            </w:pPr>
            <w:r>
              <w:rPr>
                <w:rFonts w:cs="Times New Roman"/>
              </w:rPr>
              <w:t>49,7</w:t>
            </w:r>
          </w:p>
        </w:tc>
        <w:tc>
          <w:tcPr>
            <w:tcW w:w="1020" w:type="dxa"/>
          </w:tcPr>
          <w:p w:rsidR="00505632" w:rsidRDefault="00505632" w:rsidP="00AD4E52">
            <w:pPr>
              <w:pStyle w:val="CellColumn"/>
              <w:jc w:val="right"/>
            </w:pPr>
            <w:r>
              <w:rPr>
                <w:rFonts w:cs="Times New Roman"/>
              </w:rPr>
              <w:t>MZ</w:t>
            </w:r>
          </w:p>
        </w:tc>
        <w:tc>
          <w:tcPr>
            <w:tcW w:w="1020" w:type="dxa"/>
          </w:tcPr>
          <w:p w:rsidR="00505632" w:rsidRDefault="00505632" w:rsidP="00AD4E52">
            <w:pPr>
              <w:pStyle w:val="CellColumn"/>
              <w:jc w:val="right"/>
            </w:pPr>
            <w:r>
              <w:rPr>
                <w:rFonts w:cs="Times New Roman"/>
              </w:rPr>
              <w:t>44</w:t>
            </w:r>
          </w:p>
        </w:tc>
        <w:tc>
          <w:tcPr>
            <w:tcW w:w="1020" w:type="dxa"/>
          </w:tcPr>
          <w:p w:rsidR="00505632" w:rsidRDefault="00505632" w:rsidP="00AD4E52">
            <w:pPr>
              <w:pStyle w:val="CellColumn"/>
              <w:jc w:val="right"/>
            </w:pPr>
            <w:r>
              <w:rPr>
                <w:rFonts w:cs="Times New Roman"/>
              </w:rPr>
              <w:t>44,2</w:t>
            </w:r>
          </w:p>
        </w:tc>
      </w:tr>
      <w:tr w:rsidR="00505632" w:rsidTr="00AD4E52">
        <w:trPr>
          <w:jc w:val="center"/>
        </w:trPr>
        <w:tc>
          <w:tcPr>
            <w:tcW w:w="2551" w:type="dxa"/>
          </w:tcPr>
          <w:p w:rsidR="00505632" w:rsidRDefault="00505632" w:rsidP="00AD4E52">
            <w:pPr>
              <w:pStyle w:val="CellColumn"/>
              <w:jc w:val="left"/>
            </w:pPr>
            <w:r>
              <w:rPr>
                <w:rFonts w:cs="Times New Roman"/>
              </w:rPr>
              <w:t>Broj realiziranih darivatelja organa na milijun stanovnika (stopa)</w:t>
            </w:r>
          </w:p>
        </w:tc>
        <w:tc>
          <w:tcPr>
            <w:tcW w:w="2551" w:type="dxa"/>
          </w:tcPr>
          <w:p w:rsidR="00505632" w:rsidRDefault="00505632" w:rsidP="00AD4E52">
            <w:pPr>
              <w:pStyle w:val="CellColumn"/>
              <w:jc w:val="left"/>
            </w:pPr>
            <w:r>
              <w:rPr>
                <w:rFonts w:cs="Times New Roman"/>
              </w:rPr>
              <w:t>Broj realiziranih darivatelja organa na milijun stanovnika</w:t>
            </w:r>
          </w:p>
        </w:tc>
        <w:tc>
          <w:tcPr>
            <w:tcW w:w="1020" w:type="dxa"/>
          </w:tcPr>
          <w:p w:rsidR="00505632" w:rsidRDefault="00505632" w:rsidP="00AD4E52">
            <w:pPr>
              <w:pStyle w:val="CellColumn"/>
              <w:jc w:val="right"/>
            </w:pPr>
            <w:r>
              <w:rPr>
                <w:rFonts w:cs="Times New Roman"/>
              </w:rPr>
              <w:t>broj/mil. stan.</w:t>
            </w:r>
          </w:p>
        </w:tc>
        <w:tc>
          <w:tcPr>
            <w:tcW w:w="1020" w:type="dxa"/>
          </w:tcPr>
          <w:p w:rsidR="00505632" w:rsidRDefault="00505632" w:rsidP="00AD4E52">
            <w:pPr>
              <w:pStyle w:val="CellColumn"/>
              <w:jc w:val="right"/>
            </w:pPr>
            <w:r>
              <w:rPr>
                <w:rFonts w:cs="Times New Roman"/>
              </w:rPr>
              <w:t>37</w:t>
            </w:r>
          </w:p>
        </w:tc>
        <w:tc>
          <w:tcPr>
            <w:tcW w:w="1020" w:type="dxa"/>
          </w:tcPr>
          <w:p w:rsidR="00505632" w:rsidRDefault="00505632" w:rsidP="00AD4E52">
            <w:pPr>
              <w:pStyle w:val="CellColumn"/>
              <w:jc w:val="right"/>
            </w:pPr>
            <w:r>
              <w:rPr>
                <w:rFonts w:cs="Times New Roman"/>
              </w:rPr>
              <w:t>MZ</w:t>
            </w:r>
          </w:p>
        </w:tc>
        <w:tc>
          <w:tcPr>
            <w:tcW w:w="1020" w:type="dxa"/>
          </w:tcPr>
          <w:p w:rsidR="00505632" w:rsidRDefault="00505632" w:rsidP="00AD4E52">
            <w:pPr>
              <w:pStyle w:val="CellColumn"/>
              <w:jc w:val="right"/>
            </w:pPr>
            <w:r>
              <w:rPr>
                <w:rFonts w:cs="Times New Roman"/>
              </w:rPr>
              <w:t>35</w:t>
            </w:r>
          </w:p>
        </w:tc>
        <w:tc>
          <w:tcPr>
            <w:tcW w:w="1020" w:type="dxa"/>
          </w:tcPr>
          <w:p w:rsidR="00505632" w:rsidRDefault="00505632" w:rsidP="00AD4E52">
            <w:pPr>
              <w:pStyle w:val="CellColumn"/>
              <w:jc w:val="right"/>
            </w:pPr>
            <w:r>
              <w:rPr>
                <w:rFonts w:cs="Times New Roman"/>
              </w:rPr>
              <w:t>35</w:t>
            </w:r>
          </w:p>
        </w:tc>
      </w:tr>
    </w:tbl>
    <w:p w:rsidR="00505632" w:rsidRDefault="00505632" w:rsidP="00505632">
      <w:pPr>
        <w:jc w:val="left"/>
      </w:pPr>
    </w:p>
    <w:p w:rsidR="00505632" w:rsidRDefault="00505632" w:rsidP="00505632">
      <w:pPr>
        <w:pStyle w:val="Heading4"/>
      </w:pPr>
      <w:r>
        <w:t>T800008 USPOSTAVA ORGANIZIRANOG PRUŽANJA ZDRAVSTVENIH USLUGA U ZDRAVSTVENOM TURIZMU</w:t>
      </w:r>
    </w:p>
    <w:tbl>
      <w:tblPr>
        <w:tblStyle w:val="StilTablice"/>
        <w:tblW w:w="10206" w:type="dxa"/>
        <w:jc w:val="center"/>
        <w:tblLook w:val="04A0" w:firstRow="1" w:lastRow="0" w:firstColumn="1" w:lastColumn="0" w:noHBand="0" w:noVBand="1"/>
      </w:tblPr>
      <w:tblGrid>
        <w:gridCol w:w="1792"/>
        <w:gridCol w:w="1995"/>
        <w:gridCol w:w="1992"/>
        <w:gridCol w:w="1995"/>
        <w:gridCol w:w="1214"/>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T800008-USPOSTAVA ORGANIZIRANOG PRUŽANJA ZDRAVSTVENIH USLUGA U ZDRAVSTVENOM TURIZMU</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593.750</w:t>
            </w:r>
          </w:p>
        </w:tc>
        <w:tc>
          <w:tcPr>
            <w:tcW w:w="2041" w:type="dxa"/>
          </w:tcPr>
          <w:p w:rsidR="00505632" w:rsidRDefault="00505632" w:rsidP="00AD4E52">
            <w:pPr>
              <w:pStyle w:val="CellColumn"/>
              <w:jc w:val="right"/>
            </w:pPr>
            <w:r>
              <w:rPr>
                <w:rFonts w:cs="Times New Roman"/>
              </w:rPr>
              <w:t>573.750</w:t>
            </w:r>
          </w:p>
        </w:tc>
        <w:tc>
          <w:tcPr>
            <w:tcW w:w="1224" w:type="dxa"/>
          </w:tcPr>
          <w:p w:rsidR="00505632" w:rsidRDefault="00505632" w:rsidP="00AD4E52">
            <w:pPr>
              <w:pStyle w:val="CellColumn"/>
              <w:jc w:val="right"/>
            </w:pPr>
            <w:r>
              <w:rPr>
                <w:rFonts w:cs="Times New Roman"/>
              </w:rPr>
              <w:t>96,6</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Zdravstveni turizam je prepoznat kao perspektivan i važan gospodarski čimbenik te je uvršten u razvojne strateške dokumente  (Strategiju razvoja zdravstva 2012. - 2020. i Strategiju razvoja turizma do 2020.,). Zdravstvene usluge u turizmu zbog posebnosti i duge tradicije toplica, specijalnih bolnica i lječilišta doprinositi će produženju turističke sezone sa termalno – lječilišnom ponudom te ukupnom ponudom medicinskih usluga podizati razinu zdravstveno – turističke infrastrukture. Opći cilj je graditi prepoznatljivost destinacije zdravstvenog turizma kroz prirodne i ljekovite činitelje koji su osnova za razvoj termalno – lječilišne infrastrukture te razvijati kvalitetne zdravstvene kapacitete koji su osnova za promociju medicinskog turizma u najširem smislu. </w:t>
      </w:r>
    </w:p>
    <w:p w:rsidR="00505632" w:rsidRDefault="00505632" w:rsidP="00505632">
      <w:r>
        <w:t xml:space="preserve">U cilju podizanja razine investicija i osiguranja kvalitetne infrastrukture, zdravstvenih kapaciteta, komunalne i zdravstvene opremljenosti specijalnih bolnica i lječilišta (toplica) kao glavnih nositelja usluga zdravstvenog turizma te za nominiranje i prijavu investicijskih projekata nositelja usluga zdravstvenog turizma na EU fondove, nacionalne fondove i Europski fond za strateška ulaganja - Plan ulaganja za Europu tzv. Junckerov plan, potrebno je pripremiti cjelokupnu projektnu dokumentaciju. </w:t>
      </w:r>
    </w:p>
    <w:p w:rsidR="00505632" w:rsidRDefault="00505632" w:rsidP="00505632">
      <w:r>
        <w:t xml:space="preserve">Aktivnost Uspostava organiziranog pružanja zdravstvenih usluga u zdravstvenom turizmu osigurat će pripremu novih i postojećih investicijskih projekata ustanova nositelja usluga  zdravstvenog turizma odnosno zdravstvenih usluga u turizmu (specijalnih bolnica, lječilišta i toplica) u formatu studija izvodljivosti i investicijskih studija, idejnih rješenja, glavnih projekata i ostale potrebne izvedbene dokumentacije za nominiranje njihovih strateških investicijskih projekata za Europski fond za strateška ulaganja - Plan ulaganja za Europu tzv. Junckerov plan, EU fondove i nacionalne fondove. </w:t>
      </w:r>
    </w:p>
    <w:p w:rsidR="00505632" w:rsidRDefault="00505632" w:rsidP="00505632">
      <w:r>
        <w:t xml:space="preserve">U prethodnoj 2016. godini provedbe Aktivnosti T800008, pripremljen je i proveden Javni poziv za (su)financiranje izrade/dovršetka projektne dokumentacije za investicijske projekte i projekte energetske učinkovitosti specijalnih bolnica, lječilišta i toplica u Republici Hrvatskoj iz sredstava Državnog proračuna Republike Hrvatske za 2016. godinu Ministarstva zdravlja koji je objavljen 4. svibnja 2016. godine (KLASA: 400-06/16-02/02, URBROJ: 534-05/10-16-02), temeljem kojeg je 30. lipnja 2016. donesena Odluka o odabiru Prihvatljivih Prijavitelja (KLASA: 400-06/16-02/02, URBROJ: 534-05/10-16-23). Maksimalno (su)financiranje je iznosilo 280.000,00 kn po specijalnoj bolnici/lječilištu. Nakon provedene javne nabave od strane odabranih Prijavitelja, Ministarstvo zdravstva je izdalo suglasnost za sklapanje ugovora za sve projekte sukladno Odluci. Na poziciji T800008 - Uspostava organiziranog pružanja zdravstvenih usluga prvotno je planiran iznos od 1.400.000,00 kuna. </w:t>
      </w:r>
    </w:p>
    <w:p w:rsidR="00505632" w:rsidRDefault="00505632" w:rsidP="00505632">
      <w:r>
        <w:t xml:space="preserve">Sukladno analizi statusa provedbe javne nabave Prijavitelja provedenoj u listopadu 2016. godini, tijekom Izmjene i dopune Državnog proračuna za 2016. godinu odlučeno je da se planirana sredstva na poziciji T800008 - Uspostava organiziranog pružanja zdravstvenih usluga, planira i osigura iznos od 593.750,00 kuna za 3 specijalne bolnice za medicinsku rehabilitaciju koji su izvršili ugovorne obveze i ispostavili rezultat (predmet) javne nabave. Do kraja proračunskog razdoblja u 2016. godini je izvršeno (su)financiranje projektne dokumentacije za ukupno 7 projekata za 3 specijalne bolnice za medicinsku rehabilitaciju. </w:t>
      </w:r>
    </w:p>
    <w:p w:rsidR="00505632" w:rsidRDefault="00505632" w:rsidP="00505632">
      <w:r>
        <w:t xml:space="preserve">Ostatak projektne dokumentacije (4 projekta) za preostale 3 specijalne bolnice i lječilišta će biti (su)financiran u prvom kvartalu 2017. godine, a sukladno tome planirana su sredstava na poziciji T800008 - Uspostava organiziranog pružanja zdravstvenih usluga u 2017. godini. </w:t>
      </w:r>
    </w:p>
    <w:p w:rsidR="00505632" w:rsidRDefault="00505632" w:rsidP="00505632">
      <w:r>
        <w:t xml:space="preserve">Time je utvrđeno da je ukupan broj očekivane projektne dokumentacije ukupno 11 što je iznad ciljane vrijednosti. </w:t>
      </w:r>
    </w:p>
    <w:p w:rsidR="00505632" w:rsidRDefault="00505632" w:rsidP="00505632">
      <w:r>
        <w:t>Zaključak: Sredstva na ovoj poziciji realizirana su u skladu s utvrđenim planom aktivnosti i osiguranim proračunskim sredstvima.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izrađene i pripremljene projektne dokumentacije specijalnih bolnica, lječilišta (toplica)</w:t>
            </w:r>
          </w:p>
        </w:tc>
        <w:tc>
          <w:tcPr>
            <w:tcW w:w="2551" w:type="dxa"/>
          </w:tcPr>
          <w:p w:rsidR="00505632" w:rsidRDefault="00505632" w:rsidP="00AD4E52">
            <w:pPr>
              <w:pStyle w:val="CellColumn"/>
              <w:jc w:val="left"/>
            </w:pPr>
            <w:r>
              <w:rPr>
                <w:rFonts w:cs="Times New Roman"/>
              </w:rPr>
              <w:t>Razvoj zdravstveno-turističkog gospodarstva sa aspekta neophodne zdravstvene infrastrukture specijalnih bolnica, lječilišta i toplica za pripremu investicijskih projekata i vezane projektne dokumentacije za Europski fond za strateška ulaganja (EFSU) - Plan ulaganja za Europu, EU fondove i nacionalne fondove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MZ</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7</w:t>
            </w:r>
          </w:p>
        </w:tc>
      </w:tr>
    </w:tbl>
    <w:p w:rsidR="00505632" w:rsidRDefault="00505632" w:rsidP="00505632">
      <w:pPr>
        <w:jc w:val="left"/>
      </w:pPr>
    </w:p>
    <w:p w:rsidR="00505632" w:rsidRDefault="00505632" w:rsidP="00505632">
      <w:pPr>
        <w:pStyle w:val="Heading3"/>
      </w:pPr>
      <w:r>
        <w:rPr>
          <w:rFonts w:cs="Times New Roman"/>
        </w:rPr>
        <w:t>3602 INVESTICIJE U ZDRAVSTVENU INFRASTRUKTURU</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3602-INVESTICIJE U ZDRAVSTVENU INFRASTRUKTURU</w:t>
            </w:r>
          </w:p>
        </w:tc>
        <w:tc>
          <w:tcPr>
            <w:tcW w:w="2041" w:type="dxa"/>
          </w:tcPr>
          <w:p w:rsidR="00505632" w:rsidRDefault="00505632" w:rsidP="00AD4E52">
            <w:pPr>
              <w:pStyle w:val="CellColumn"/>
              <w:jc w:val="right"/>
            </w:pPr>
            <w:r>
              <w:rPr>
                <w:rFonts w:cs="Times New Roman"/>
              </w:rPr>
              <w:t>270.782.660</w:t>
            </w:r>
          </w:p>
        </w:tc>
        <w:tc>
          <w:tcPr>
            <w:tcW w:w="2041" w:type="dxa"/>
          </w:tcPr>
          <w:p w:rsidR="00505632" w:rsidRDefault="00505632" w:rsidP="00AD4E52">
            <w:pPr>
              <w:pStyle w:val="CellColumn"/>
              <w:jc w:val="right"/>
            </w:pPr>
            <w:r>
              <w:rPr>
                <w:rFonts w:cs="Times New Roman"/>
              </w:rPr>
              <w:t>233.006.798</w:t>
            </w:r>
          </w:p>
        </w:tc>
        <w:tc>
          <w:tcPr>
            <w:tcW w:w="2041" w:type="dxa"/>
          </w:tcPr>
          <w:p w:rsidR="00505632" w:rsidRDefault="00505632" w:rsidP="00AD4E52">
            <w:pPr>
              <w:pStyle w:val="CellColumn"/>
              <w:jc w:val="right"/>
            </w:pPr>
            <w:r>
              <w:rPr>
                <w:rFonts w:cs="Times New Roman"/>
              </w:rPr>
              <w:t>230.557.205</w:t>
            </w:r>
          </w:p>
        </w:tc>
        <w:tc>
          <w:tcPr>
            <w:tcW w:w="1224" w:type="dxa"/>
          </w:tcPr>
          <w:p w:rsidR="00505632" w:rsidRDefault="00505632" w:rsidP="00AD4E52">
            <w:pPr>
              <w:pStyle w:val="CellColumn"/>
              <w:jc w:val="right"/>
            </w:pPr>
            <w:r>
              <w:rPr>
                <w:rFonts w:cs="Times New Roman"/>
              </w:rPr>
              <w:t>98,9</w:t>
            </w:r>
          </w:p>
        </w:tc>
        <w:tc>
          <w:tcPr>
            <w:tcW w:w="1224" w:type="dxa"/>
          </w:tcPr>
          <w:p w:rsidR="00505632" w:rsidRDefault="00505632" w:rsidP="00AD4E52">
            <w:pPr>
              <w:pStyle w:val="CellColumn"/>
              <w:jc w:val="right"/>
            </w:pPr>
            <w:r>
              <w:rPr>
                <w:rFonts w:cs="Times New Roman"/>
              </w:rPr>
              <w:t>85,1</w:t>
            </w:r>
          </w:p>
        </w:tc>
      </w:tr>
    </w:tbl>
    <w:p w:rsidR="00505632" w:rsidRDefault="00505632" w:rsidP="00505632">
      <w:pPr>
        <w:jc w:val="left"/>
      </w:pPr>
    </w:p>
    <w:p w:rsidR="00505632" w:rsidRDefault="00505632" w:rsidP="00505632">
      <w:r>
        <w:t xml:space="preserve">Provedbom ovog programa ostvaruje se postizanje općeg cilja 1. Zaštita, očuvanje i unapređenje zdravlja te posebnih ciljeva 1.1. i 1.2. definiranih u Strateškom planu Ministarstva zdravstva za razdoblje 2016. -2018. Ovim programom provode se aktivnosti unapređenja i podizanja pružanja kvalitete zdravstvenih usluga ulaganjem u izgradnju, adaptaciju, opremanje/zanavljanje medicinsko - tehničke opreme u zdravstvenim ustanovama, aktivnosti razvoja, implementacije i integracije postojećih informacijskih sustava u cjeloviti informacijski sustav zdravstva (e-zdravstvo) te aktivnosti nabave potrebne informatičke opreme, odnosno razvoja sustava e- Recept, e-Uputnica i e-Naručivanje. </w:t>
      </w:r>
    </w:p>
    <w:p w:rsidR="00505632" w:rsidRDefault="00505632" w:rsidP="00505632">
      <w:r>
        <w:t xml:space="preserve">Zakonske i druge pravne osnove </w:t>
      </w:r>
    </w:p>
    <w:p w:rsidR="00505632" w:rsidRDefault="00505632" w:rsidP="00505632">
      <w:r>
        <w:t>Nacionalna strategija razvoja zdravstva 2012. -2020. godine, Zakon o zdravstvenoj zaštiti, Zakon o obveznom zdravstvenom osiguranju, Zakon o sanaciji javnih ustanova, Zakon o potvrđivanju Ugovora o zajmu između RH i Međunarodne banke za obnovu i razvoj za program poboljšanja kvalitete i djelotvornosti pružanja zdravstvenih usluga, Zakon o potvrđivanju Ugovora o zajmu CEB br. F/P 1576 (2006 W) za Projekt financiranja zdravstvenih ustanova u RH, Odluka Vlade Republike Hrvatske Klasa:510-01/08-01/02, Ur.broj: 5030104-08-1 od 29. prosinca 2008. godine, Odluka o Izmjeni Odluke Klasa: 510-01/08-01/02, Ur.broj: 5030104-09-1 od 5. studenog 2009. godine i Odluka o izmjeni Odluke Klasa: 022-03/13-04/120, Ur. broj:50301-04/12- 13-2 od 4. travnja 2013. godine o davanju suglasnosti Ministarstvu za preuzimanje obveza na teret sredstava Državnog proračuna za razdoblje 2011. do 2018. godine za nabavu medicinske opreme za zdravstvene ustanove u Republici Hrvatskoj.</w:t>
      </w:r>
    </w:p>
    <w:p w:rsidR="00505632" w:rsidRDefault="00505632" w:rsidP="00505632">
      <w:pPr>
        <w:pStyle w:val="Heading8"/>
        <w:jc w:val="left"/>
      </w:pPr>
      <w:r>
        <w:t>Cilj 1. Zaštita,  očuvanje  i  unapređenje  zdravlja  U cilju osiguranja jednake dostupnosti zdravstvene zaštite na sve tri razine zdravstvene djelatnosti provoditi će se aktivnosti na osiguranju svih potrebnih uvjeta za pružanje pravovremene, kvalitetne zdravstvene zaštite vodeći se pritom načelima kontinuiranosti, sveobuhvatnosti, dostupnosti, cjelovitog i specijaliziranog pristupa.</w:t>
      </w:r>
    </w:p>
    <w:p w:rsidR="00505632" w:rsidRDefault="00505632" w:rsidP="00505632">
      <w:pPr>
        <w:pStyle w:val="Heading8"/>
        <w:jc w:val="left"/>
      </w:pPr>
      <w:r>
        <w:t>Opis provedbe cilja programa</w:t>
      </w:r>
    </w:p>
    <w:p w:rsidR="00505632" w:rsidRDefault="00505632" w:rsidP="00505632">
      <w:pPr>
        <w:pStyle w:val="Heading4"/>
      </w:pPr>
      <w:r>
        <w:t>K618197 UNAPREĐENJE TRANSPLANTACIJSKOG PROGRAMA</w:t>
      </w:r>
    </w:p>
    <w:tbl>
      <w:tblPr>
        <w:tblStyle w:val="StilTablice"/>
        <w:tblW w:w="10206" w:type="dxa"/>
        <w:jc w:val="center"/>
        <w:tblLook w:val="04A0" w:firstRow="1" w:lastRow="0" w:firstColumn="1" w:lastColumn="0" w:noHBand="0" w:noVBand="1"/>
      </w:tblPr>
      <w:tblGrid>
        <w:gridCol w:w="2381"/>
        <w:gridCol w:w="1823"/>
        <w:gridCol w:w="1807"/>
        <w:gridCol w:w="1823"/>
        <w:gridCol w:w="1176"/>
        <w:gridCol w:w="119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K618197-UNAPREĐENJE TRANSPLANTACIJSKOG PROGRAMA</w:t>
            </w:r>
          </w:p>
        </w:tc>
        <w:tc>
          <w:tcPr>
            <w:tcW w:w="2041" w:type="dxa"/>
          </w:tcPr>
          <w:p w:rsidR="00505632" w:rsidRDefault="00505632" w:rsidP="00AD4E52">
            <w:pPr>
              <w:pStyle w:val="CellColumn"/>
              <w:jc w:val="right"/>
            </w:pPr>
            <w:r>
              <w:rPr>
                <w:rFonts w:cs="Times New Roman"/>
              </w:rPr>
              <w:t>543.643</w:t>
            </w:r>
          </w:p>
        </w:tc>
        <w:tc>
          <w:tcPr>
            <w:tcW w:w="2041" w:type="dxa"/>
          </w:tcPr>
          <w:p w:rsidR="00505632" w:rsidRDefault="00505632" w:rsidP="00AD4E52">
            <w:pPr>
              <w:pStyle w:val="CellColumn"/>
              <w:jc w:val="right"/>
            </w:pPr>
            <w:r>
              <w:rPr>
                <w:rFonts w:cs="Times New Roman"/>
              </w:rPr>
              <w:t>550.000</w:t>
            </w:r>
          </w:p>
        </w:tc>
        <w:tc>
          <w:tcPr>
            <w:tcW w:w="2041" w:type="dxa"/>
          </w:tcPr>
          <w:p w:rsidR="00505632" w:rsidRDefault="00505632" w:rsidP="00AD4E52">
            <w:pPr>
              <w:pStyle w:val="CellColumn"/>
              <w:jc w:val="right"/>
            </w:pPr>
            <w:r>
              <w:rPr>
                <w:rFonts w:cs="Times New Roman"/>
              </w:rPr>
              <w:t>490.901</w:t>
            </w:r>
          </w:p>
        </w:tc>
        <w:tc>
          <w:tcPr>
            <w:tcW w:w="1224" w:type="dxa"/>
          </w:tcPr>
          <w:p w:rsidR="00505632" w:rsidRDefault="00505632" w:rsidP="00AD4E52">
            <w:pPr>
              <w:pStyle w:val="CellColumn"/>
              <w:jc w:val="right"/>
            </w:pPr>
            <w:r>
              <w:rPr>
                <w:rFonts w:cs="Times New Roman"/>
              </w:rPr>
              <w:t>89,3</w:t>
            </w:r>
          </w:p>
        </w:tc>
        <w:tc>
          <w:tcPr>
            <w:tcW w:w="1224" w:type="dxa"/>
          </w:tcPr>
          <w:p w:rsidR="00505632" w:rsidRDefault="00505632" w:rsidP="00AD4E52">
            <w:pPr>
              <w:pStyle w:val="CellColumn"/>
              <w:jc w:val="right"/>
            </w:pPr>
            <w:r>
              <w:rPr>
                <w:rFonts w:cs="Times New Roman"/>
              </w:rPr>
              <w:t>90,3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presađivanju ljudskih organa u svrhu liječenja („Narodne novine br. 144/12) </w:t>
      </w:r>
    </w:p>
    <w:p w:rsidR="00505632" w:rsidRDefault="00505632" w:rsidP="00505632">
      <w:r>
        <w:t xml:space="preserve">- Zakon o primjeni ljudskih tkiva i stanica („Narodne novine br. 144/12) </w:t>
      </w:r>
    </w:p>
    <w:p w:rsidR="00505632" w:rsidRDefault="00505632" w:rsidP="00505632">
      <w:r>
        <w:t xml:space="preserve">- Zakon o medicinski pomognutoj oplodnji („Narodne novine br. 86/12) </w:t>
      </w:r>
    </w:p>
    <w:p w:rsidR="00505632" w:rsidRDefault="00505632" w:rsidP="00505632">
      <w:r>
        <w:t>- Zakon o krvi i krvnim pripravcima („Narodne novine br. 79/06,124/11)</w:t>
      </w:r>
    </w:p>
    <w:p w:rsidR="00505632" w:rsidRDefault="00505632" w:rsidP="00505632">
      <w:pPr>
        <w:pStyle w:val="Heading8"/>
        <w:jc w:val="left"/>
      </w:pPr>
      <w:r>
        <w:t>Opis aktivnosti</w:t>
      </w:r>
    </w:p>
    <w:p w:rsidR="00505632" w:rsidRDefault="00505632" w:rsidP="00505632">
      <w:r>
        <w:t xml:space="preserve">Unaprjeđenje opremljenosti zdravstvenih ustanova za provođenje Nacionalnog transplantacijskog  programa, transfuzijske djelatnost i postupaka MPO, osiguranjem propisanih minimalnih uvjeta te potrebnih organizacijskih i tehničkih standarda rada.  </w:t>
      </w:r>
    </w:p>
    <w:p w:rsidR="00505632" w:rsidRDefault="00505632" w:rsidP="00505632">
      <w:r>
        <w:t xml:space="preserve">Postignuti ciljevi i rezultati programa </w:t>
      </w:r>
    </w:p>
    <w:p w:rsidR="00505632" w:rsidRDefault="00505632" w:rsidP="00505632">
      <w:r>
        <w:t xml:space="preserve">Nabavljena je medicinska i informatička oprema za potrebe provođenja transplantacijskog programa, postupaka medicinski pomognute oplodnje i reorganizaciju transfuzijske službe; </w:t>
      </w:r>
    </w:p>
    <w:p w:rsidR="00505632" w:rsidRDefault="00505632" w:rsidP="00505632">
      <w:r>
        <w:t xml:space="preserve">- informatička oprema (multifunkcijski uređaj printer/skener/fax/copy) za KB Dubravu </w:t>
      </w:r>
    </w:p>
    <w:p w:rsidR="00505632" w:rsidRDefault="00505632" w:rsidP="00505632">
      <w:r>
        <w:t xml:space="preserve">- dva monitora za potrebe donorskog programa i jedan pokretni respirator za KBC Osijek </w:t>
      </w:r>
    </w:p>
    <w:p w:rsidR="00505632" w:rsidRDefault="00505632" w:rsidP="00505632">
      <w:r>
        <w:t xml:space="preserve">- integracija IT Bis-a i e-Delphyn za OB Pulu i KBC Osijek </w:t>
      </w:r>
    </w:p>
    <w:p w:rsidR="00505632" w:rsidRDefault="00505632" w:rsidP="00505632">
      <w:r>
        <w:t xml:space="preserve">- održavanje eDelphyn za 2016. i oprema za nadogradnju informatičkog sustava za Hrvatski zavod za transfuzijsku medicinu </w:t>
      </w:r>
    </w:p>
    <w:p w:rsidR="00505632" w:rsidRDefault="00505632" w:rsidP="00505632">
      <w:r>
        <w:t xml:space="preserve">- Inkubator model s 4 ladica, biokemijski analizator, sustav za centralni nadzor temperatura uređaja, aparat za automatsko imunohematološko ispitivanje, aparat za mikrobiološku kontrolu krvnih pripravaka za Hrvatski zavod za transfuzijsku medicinu </w:t>
      </w:r>
    </w:p>
    <w:p w:rsidR="00505632" w:rsidRDefault="00505632" w:rsidP="00505632">
      <w:r>
        <w:t xml:space="preserve">- FACT-JACIE akreditacija(afereza, banka stanica, koštane srži, klinika-hematologija) za Hrvatsku banku tkiva i stanica u KBC Zagreb </w:t>
      </w:r>
    </w:p>
    <w:p w:rsidR="00505632" w:rsidRDefault="00505632" w:rsidP="00505632">
      <w:r>
        <w:t xml:space="preserve">- Održavanje TCS softvera za Hrvatsku banku tkiva i stanica u KBC Zagreb </w:t>
      </w:r>
    </w:p>
    <w:p w:rsidR="00505632" w:rsidRDefault="00505632" w:rsidP="00505632">
      <w:r>
        <w:t xml:space="preserve">- Hladnjak +4C, Inkubator za čuvanje rožnica (5kom), Uređaj za zamrzavanje matičnih stanica Planer s bocom za tekući dušik, Boca za pohranu tekućeg dušina, Nadogradnja Syrius sustava, nabava satelita za praćenje temperature rashladne opreme i prostora, Mikrobiološki zaštitni kabinet, uređaj za virusnu i bakterijsku inaktivaciju glave bedrene kosti, nadogradnja postojećih spremnika za pohranu tkiva praćenja nivao tekućeg dušika i temperature, spemnik za pohranu uzorka u tekućem dušiku, uređaj za kontrolirano dodavanje DMSO-a, instrumenti za obardu tkiva, bušilica za obradu glave bedrene kosti, set insturmenata za obradu glave bedrene kosti za Hrvatsku banku tkiva i stanica u KBC Zagreb. </w:t>
      </w:r>
    </w:p>
    <w:p w:rsidR="00505632" w:rsidRDefault="00505632" w:rsidP="00505632">
      <w:r>
        <w:t xml:space="preserve">ZAKLJUČAK </w:t>
      </w:r>
    </w:p>
    <w:p w:rsidR="00505632" w:rsidRDefault="00505632" w:rsidP="00505632">
      <w:r>
        <w:t>Osigurana sredstva utrošena su u skladu s predviđenim planom aktivnosti i planiranim sredstvima proračuna.</w:t>
      </w:r>
    </w:p>
    <w:p w:rsidR="00505632" w:rsidRDefault="00505632" w:rsidP="00505632">
      <w:pPr>
        <w:pStyle w:val="Heading4"/>
      </w:pPr>
      <w:r>
        <w:t>K618218 HITNE INTERVENCIJE NA ZGRADAMA I OPREMI ZDRAVSTVENIH USTANOVA</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K618218-HITNE INTERVENCIJE NA ZGRADAMA I OPREMI ZDRAVSTVENIH USTANOVA</w:t>
            </w:r>
          </w:p>
        </w:tc>
        <w:tc>
          <w:tcPr>
            <w:tcW w:w="2041" w:type="dxa"/>
          </w:tcPr>
          <w:p w:rsidR="00505632" w:rsidRDefault="00505632" w:rsidP="00AD4E52">
            <w:pPr>
              <w:pStyle w:val="CellColumn"/>
              <w:jc w:val="right"/>
            </w:pPr>
            <w:r>
              <w:rPr>
                <w:rFonts w:cs="Times New Roman"/>
              </w:rPr>
              <w:t>32.487.741</w:t>
            </w:r>
          </w:p>
        </w:tc>
        <w:tc>
          <w:tcPr>
            <w:tcW w:w="2041" w:type="dxa"/>
          </w:tcPr>
          <w:p w:rsidR="00505632" w:rsidRDefault="00505632" w:rsidP="00AD4E52">
            <w:pPr>
              <w:pStyle w:val="CellColumn"/>
              <w:jc w:val="right"/>
            </w:pPr>
            <w:r>
              <w:rPr>
                <w:rFonts w:cs="Times New Roman"/>
              </w:rPr>
              <w:t>29.973.234</w:t>
            </w:r>
          </w:p>
        </w:tc>
        <w:tc>
          <w:tcPr>
            <w:tcW w:w="2041" w:type="dxa"/>
          </w:tcPr>
          <w:p w:rsidR="00505632" w:rsidRDefault="00505632" w:rsidP="00AD4E52">
            <w:pPr>
              <w:pStyle w:val="CellColumn"/>
              <w:jc w:val="right"/>
            </w:pPr>
            <w:r>
              <w:rPr>
                <w:rFonts w:cs="Times New Roman"/>
              </w:rPr>
              <w:t>28.610.202</w:t>
            </w:r>
          </w:p>
        </w:tc>
        <w:tc>
          <w:tcPr>
            <w:tcW w:w="1224" w:type="dxa"/>
          </w:tcPr>
          <w:p w:rsidR="00505632" w:rsidRDefault="00505632" w:rsidP="00AD4E52">
            <w:pPr>
              <w:pStyle w:val="CellColumn"/>
              <w:jc w:val="right"/>
            </w:pPr>
            <w:r>
              <w:rPr>
                <w:rFonts w:cs="Times New Roman"/>
              </w:rPr>
              <w:t>95,5</w:t>
            </w:r>
          </w:p>
        </w:tc>
        <w:tc>
          <w:tcPr>
            <w:tcW w:w="1224" w:type="dxa"/>
          </w:tcPr>
          <w:p w:rsidR="00505632" w:rsidRDefault="00505632" w:rsidP="00AD4E52">
            <w:pPr>
              <w:pStyle w:val="CellColumn"/>
              <w:jc w:val="right"/>
            </w:pPr>
            <w:r>
              <w:rPr>
                <w:rFonts w:cs="Times New Roman"/>
              </w:rPr>
              <w:t>88,1</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Sa pozicije Hitnih intervencija na zgradama i opremi zdravstvenih ustanova izvršena su plaćanja za kapitalna ulaganja u hitne zahvate na zgradama i opremi za državne kliničke i  županijske zdravstvene ustanove.</w:t>
      </w:r>
    </w:p>
    <w:p w:rsidR="00505632" w:rsidRDefault="00505632" w:rsidP="00505632">
      <w:pPr>
        <w:pStyle w:val="Heading4"/>
      </w:pPr>
      <w:r>
        <w:t>K618229 ZANAVLJANJE STARE OPREME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K618229-ZANAVLJANJE STARE OPREME</w:t>
            </w:r>
          </w:p>
        </w:tc>
        <w:tc>
          <w:tcPr>
            <w:tcW w:w="2041" w:type="dxa"/>
          </w:tcPr>
          <w:p w:rsidR="00505632" w:rsidRDefault="00505632" w:rsidP="00AD4E52">
            <w:pPr>
              <w:pStyle w:val="CellColumn"/>
              <w:jc w:val="right"/>
            </w:pPr>
            <w:r>
              <w:rPr>
                <w:rFonts w:cs="Times New Roman"/>
              </w:rPr>
              <w:t>168.980.843</w:t>
            </w:r>
          </w:p>
        </w:tc>
        <w:tc>
          <w:tcPr>
            <w:tcW w:w="2041" w:type="dxa"/>
          </w:tcPr>
          <w:p w:rsidR="00505632" w:rsidRDefault="00505632" w:rsidP="00AD4E52">
            <w:pPr>
              <w:pStyle w:val="CellColumn"/>
              <w:jc w:val="right"/>
            </w:pPr>
            <w:r>
              <w:rPr>
                <w:rFonts w:cs="Times New Roman"/>
              </w:rPr>
              <w:t>149.485.670</w:t>
            </w:r>
          </w:p>
        </w:tc>
        <w:tc>
          <w:tcPr>
            <w:tcW w:w="2041" w:type="dxa"/>
          </w:tcPr>
          <w:p w:rsidR="00505632" w:rsidRDefault="00505632" w:rsidP="00AD4E52">
            <w:pPr>
              <w:pStyle w:val="CellColumn"/>
              <w:jc w:val="right"/>
            </w:pPr>
            <w:r>
              <w:rPr>
                <w:rFonts w:cs="Times New Roman"/>
              </w:rPr>
              <w:t>149.287.391</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88,3</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U okviru ovog projekta izvršena su plaćanja dospjelih obveza po  već sklopljenim ugovorima kao i sklapanje novih ugovora za zanavljanje  stare medicinske opreme  temeljem Odluke  Vlade  Republike  Hrvatske o davanju suglasnosti Ministarstvu za preuzimanje obveza na teret sredstava Državnog proračuna za razdoblje 2011.  do  2018.  godine  za  nabavu  medicinske  opreme  za  zdravstvene  ustanove  u Republici kao i plaćanja za novonabavljenu medicinsku opremu  tijekom 2016. godine za zdravstvene ustanove. Time se doprinijelo dostupnosti  zdravstvenih usluga za sve korisnike zdravstvene zaštite s naglaskom na smanjenju listi čekanja za pojedine dijagnostičke i terapijske postupke.</w:t>
      </w:r>
    </w:p>
    <w:p w:rsidR="00505632" w:rsidRDefault="00505632" w:rsidP="00505632">
      <w:pPr>
        <w:pStyle w:val="Heading4"/>
      </w:pPr>
      <w:r>
        <w:t>K789005 LOGISTIKA ZA INCIDENTNA I KRIZNA STANJA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K789005-LOGISTIKA ZA INCIDENTNA I KRIZNA STANJA</w:t>
            </w:r>
          </w:p>
        </w:tc>
        <w:tc>
          <w:tcPr>
            <w:tcW w:w="2041" w:type="dxa"/>
          </w:tcPr>
          <w:p w:rsidR="00505632" w:rsidRDefault="00505632" w:rsidP="00AD4E52">
            <w:pPr>
              <w:pStyle w:val="CellColumn"/>
              <w:jc w:val="right"/>
            </w:pPr>
            <w:r>
              <w:rPr>
                <w:rFonts w:cs="Times New Roman"/>
              </w:rPr>
              <w:t>3.624.852</w:t>
            </w:r>
          </w:p>
        </w:tc>
        <w:tc>
          <w:tcPr>
            <w:tcW w:w="2041" w:type="dxa"/>
          </w:tcPr>
          <w:p w:rsidR="00505632" w:rsidRDefault="00505632" w:rsidP="00AD4E52">
            <w:pPr>
              <w:pStyle w:val="CellColumn"/>
              <w:jc w:val="right"/>
            </w:pPr>
            <w:r>
              <w:rPr>
                <w:rFonts w:cs="Times New Roman"/>
              </w:rPr>
              <w:t>2.930.000</w:t>
            </w:r>
          </w:p>
        </w:tc>
        <w:tc>
          <w:tcPr>
            <w:tcW w:w="2041" w:type="dxa"/>
          </w:tcPr>
          <w:p w:rsidR="00505632" w:rsidRDefault="00505632" w:rsidP="00AD4E52">
            <w:pPr>
              <w:pStyle w:val="CellColumn"/>
              <w:jc w:val="right"/>
            </w:pPr>
            <w:r>
              <w:rPr>
                <w:rFonts w:cs="Times New Roman"/>
              </w:rPr>
              <w:t>2.774.525</w:t>
            </w:r>
          </w:p>
        </w:tc>
        <w:tc>
          <w:tcPr>
            <w:tcW w:w="1224" w:type="dxa"/>
          </w:tcPr>
          <w:p w:rsidR="00505632" w:rsidRDefault="00505632" w:rsidP="00AD4E52">
            <w:pPr>
              <w:pStyle w:val="CellColumn"/>
              <w:jc w:val="right"/>
            </w:pPr>
            <w:r>
              <w:rPr>
                <w:rFonts w:cs="Times New Roman"/>
              </w:rPr>
              <w:t>94,7</w:t>
            </w:r>
          </w:p>
        </w:tc>
        <w:tc>
          <w:tcPr>
            <w:tcW w:w="1224" w:type="dxa"/>
          </w:tcPr>
          <w:p w:rsidR="00505632" w:rsidRDefault="00505632" w:rsidP="00AD4E52">
            <w:pPr>
              <w:pStyle w:val="CellColumn"/>
              <w:jc w:val="right"/>
            </w:pPr>
            <w:r>
              <w:rPr>
                <w:rFonts w:cs="Times New Roman"/>
              </w:rPr>
              <w:t>76,5</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Veliki incidenti mogu iziskivati većinu ako ne i sve, dostupne hitne službe u županiji. Naša iskustava su pokazala da učinkovit odgovor na krizno stanje više ovisi o prethodnom postojanju lokalnog sustava (županijskog), nego o vanjskoj pomoći. </w:t>
      </w:r>
    </w:p>
    <w:p w:rsidR="00505632" w:rsidRDefault="00505632" w:rsidP="00505632">
      <w:r>
        <w:t>Stoga smo organizirali edukaciju vodećeg osoblja hitnih medicinskih službi za upravljanje kriznim stanjima.</w:t>
      </w:r>
    </w:p>
    <w:p w:rsidR="00505632" w:rsidRDefault="00505632" w:rsidP="00505632">
      <w:pPr>
        <w:pStyle w:val="Heading4"/>
      </w:pPr>
      <w:r>
        <w:t>K796007 ZAJAM SVJETSKE BANKE - POBOLJŠANJE KVALITETE I UČINKOVITOSTI ZDRAVSTVENIH USLUGA U REPUBLICI HRVATSKOJ</w:t>
      </w:r>
    </w:p>
    <w:tbl>
      <w:tblPr>
        <w:tblStyle w:val="StilTablice"/>
        <w:tblW w:w="10206" w:type="dxa"/>
        <w:jc w:val="center"/>
        <w:tblLook w:val="04A0" w:firstRow="1" w:lastRow="0" w:firstColumn="1" w:lastColumn="0" w:noHBand="0" w:noVBand="1"/>
      </w:tblPr>
      <w:tblGrid>
        <w:gridCol w:w="1670"/>
        <w:gridCol w:w="2031"/>
        <w:gridCol w:w="2030"/>
        <w:gridCol w:w="2030"/>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K796007-ZAJAM SVJETSKE BANKE - POBOLJŠANJE KVALITETE I UČINKOVITOSTI ZDRAVSTVENIH USLUGA U REPUBLICI HRVATSKOJ</w:t>
            </w:r>
          </w:p>
        </w:tc>
        <w:tc>
          <w:tcPr>
            <w:tcW w:w="2041" w:type="dxa"/>
          </w:tcPr>
          <w:p w:rsidR="00505632" w:rsidRDefault="00505632" w:rsidP="00AD4E52">
            <w:pPr>
              <w:pStyle w:val="CellColumn"/>
              <w:jc w:val="right"/>
            </w:pPr>
            <w:r>
              <w:rPr>
                <w:rFonts w:cs="Times New Roman"/>
              </w:rPr>
              <w:t>20.995.253</w:t>
            </w:r>
          </w:p>
        </w:tc>
        <w:tc>
          <w:tcPr>
            <w:tcW w:w="2041" w:type="dxa"/>
          </w:tcPr>
          <w:p w:rsidR="00505632" w:rsidRDefault="00505632" w:rsidP="00AD4E52">
            <w:pPr>
              <w:pStyle w:val="CellColumn"/>
              <w:jc w:val="right"/>
            </w:pPr>
            <w:r>
              <w:rPr>
                <w:rFonts w:cs="Times New Roman"/>
              </w:rPr>
              <w:t>5.814.000</w:t>
            </w:r>
          </w:p>
        </w:tc>
        <w:tc>
          <w:tcPr>
            <w:tcW w:w="2041" w:type="dxa"/>
          </w:tcPr>
          <w:p w:rsidR="00505632" w:rsidRDefault="00505632" w:rsidP="00AD4E52">
            <w:pPr>
              <w:pStyle w:val="CellColumn"/>
              <w:jc w:val="right"/>
            </w:pPr>
            <w:r>
              <w:rPr>
                <w:rFonts w:cs="Times New Roman"/>
              </w:rPr>
              <w:t>5.135.613</w:t>
            </w:r>
          </w:p>
        </w:tc>
        <w:tc>
          <w:tcPr>
            <w:tcW w:w="1224" w:type="dxa"/>
          </w:tcPr>
          <w:p w:rsidR="00505632" w:rsidRDefault="00505632" w:rsidP="00AD4E52">
            <w:pPr>
              <w:pStyle w:val="CellColumn"/>
              <w:jc w:val="right"/>
            </w:pPr>
            <w:r>
              <w:rPr>
                <w:rFonts w:cs="Times New Roman"/>
              </w:rPr>
              <w:t>88,3</w:t>
            </w:r>
          </w:p>
        </w:tc>
        <w:tc>
          <w:tcPr>
            <w:tcW w:w="1224" w:type="dxa"/>
          </w:tcPr>
          <w:p w:rsidR="00505632" w:rsidRDefault="00505632" w:rsidP="00AD4E52">
            <w:pPr>
              <w:pStyle w:val="CellColumn"/>
              <w:jc w:val="right"/>
            </w:pPr>
            <w:r>
              <w:rPr>
                <w:rFonts w:cs="Times New Roman"/>
              </w:rPr>
              <w:t>24,5</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Program poboljšanja kvalitete i učinkovitosti zdravstvenih usluga u Republici Hrvatskoj obuhvaća 5 od 8 prioriteta iz Nacionalne strategije razvoja zdravstva 2012.-2020., koji su usmjereni na rješavanje glavnih reformskih izazova u zdravstvu, a to su racionalizacija mreže zdravstvenih ustanova, poboljšanje kvalitete usluga zdravstvene zaštite i promicanje financijske održivosti zdravstva. Prioriteti obuhvaćaju: Prioritet iii: Jačanje upravljačkih kapaciteta u zdravstvu i Prioritet iv: Reorganizacija ustroja i djelovanja zdravstvenih ustanova, uključujući: provedbu master plana bolnica, provedbu bolničkih reformi i promjena u upravljanju i rukovođenju, promicanje osnivanja grupnih praksi za liječnike opće prakse, proširenje izvanbolničkih usluga na razini sekundarne zdravstvene zaštite, uključujući centre za izvanbolničke pacijente sa sofisticiranom tehnologijom visoke rezolucije, redefiniranje dugotrajnih zdravstvenih usluga i palijativne skrbi; Prioritet v: Poticanje kvalitete u zdravstvenoj zaštiti i Prioritet vi: Jačanje preventivnih aktivnosti, uključujući: provedbu postupka akreditacije bolnica, procjenu svih novih zdravstvenih tehnologija (HTA), izradu kliničkih protokola i smjernica za postupke zbrinjavanja, uočavanja i odgovarajućeg bilježenja specifičnih neočekivanih neželjenih događaja za kvalitetu, provedbu tehničkog/kliničkog nadzora i uspostavu platnih mehanizama kako bi se potaknula upotreba kliničkih smjernica te korištenje postojećeg sustava e-recept u svrhu nadzora kvalitete; Prioritet vii: Očuvanje financijske stabilnosti zdravstva, uključujući: daljnji razvoj središnje nabave, prepuštanje nemedicinskih usluga privatnim poduzećima, stavljanje naglaska na komponentu uspješnosti prilikom plaćanja prema bolnicama i izvanbolničkim službama, razvoj kapaciteta MZ-a za izradu i podnošenje prijedloga za financiranje sredstvima iz strukturnih fondova EU-a. </w:t>
      </w:r>
    </w:p>
    <w:p w:rsidR="00505632" w:rsidRDefault="00505632" w:rsidP="00505632">
      <w:r>
        <w:t>Tijekom 2016. godine u potpunosti je ostvaren DLI 1.</w:t>
      </w:r>
    </w:p>
    <w:p w:rsidR="00505632" w:rsidRDefault="00505632" w:rsidP="00505632">
      <w:pPr>
        <w:pStyle w:val="Heading8"/>
        <w:jc w:val="left"/>
      </w:pPr>
    </w:p>
    <w:p w:rsidR="00505632" w:rsidRDefault="00505632" w:rsidP="00505632">
      <w:pPr>
        <w:pStyle w:val="Heading8"/>
        <w:jc w:val="left"/>
      </w:pPr>
    </w:p>
    <w:p w:rsidR="00505632" w:rsidRDefault="00505632" w:rsidP="00505632">
      <w:pPr>
        <w:pStyle w:val="Heading8"/>
        <w:jc w:val="left"/>
      </w:pPr>
    </w:p>
    <w:p w:rsidR="00505632" w:rsidRDefault="00505632" w:rsidP="00505632">
      <w:pPr>
        <w:pStyle w:val="Heading8"/>
        <w:jc w:val="left"/>
      </w:pPr>
    </w:p>
    <w:p w:rsidR="00505632" w:rsidRDefault="00505632" w:rsidP="00505632">
      <w:pPr>
        <w:pStyle w:val="Heading8"/>
        <w:jc w:val="left"/>
      </w:pPr>
    </w:p>
    <w:p w:rsidR="00505632" w:rsidRDefault="00505632" w:rsidP="00505632">
      <w:pPr>
        <w:pStyle w:val="Heading8"/>
        <w:jc w:val="left"/>
      </w:pPr>
    </w:p>
    <w:p w:rsidR="00505632" w:rsidRDefault="00505632" w:rsidP="00505632"/>
    <w:p w:rsidR="00505632" w:rsidRPr="00042D26" w:rsidRDefault="00505632" w:rsidP="00505632"/>
    <w:p w:rsidR="00505632" w:rsidRDefault="00505632" w:rsidP="00505632">
      <w:pPr>
        <w:pStyle w:val="Heading8"/>
        <w:jc w:val="left"/>
      </w:pP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Ukupan broj bolničkih kreveta klasificiranih kao kreveti za akutno liječenje</w:t>
            </w:r>
          </w:p>
        </w:tc>
        <w:tc>
          <w:tcPr>
            <w:tcW w:w="2551" w:type="dxa"/>
          </w:tcPr>
          <w:p w:rsidR="00505632" w:rsidRDefault="00505632" w:rsidP="00AD4E52">
            <w:pPr>
              <w:pStyle w:val="CellColumn"/>
              <w:jc w:val="left"/>
            </w:pPr>
            <w:r>
              <w:rPr>
                <w:rFonts w:cs="Times New Roman"/>
              </w:rPr>
              <w:t>smanjenje broja bolničkih kreveta klasificiranih kao kreveti za akutno liječenje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15.507</w:t>
            </w:r>
          </w:p>
        </w:tc>
        <w:tc>
          <w:tcPr>
            <w:tcW w:w="1020" w:type="dxa"/>
          </w:tcPr>
          <w:p w:rsidR="00505632" w:rsidRDefault="00505632" w:rsidP="00AD4E52">
            <w:pPr>
              <w:pStyle w:val="CellColumn"/>
              <w:jc w:val="right"/>
            </w:pPr>
            <w:r>
              <w:rPr>
                <w:rFonts w:cs="Times New Roman"/>
              </w:rPr>
              <w:t>HZZO</w:t>
            </w:r>
          </w:p>
        </w:tc>
        <w:tc>
          <w:tcPr>
            <w:tcW w:w="1020" w:type="dxa"/>
          </w:tcPr>
          <w:p w:rsidR="00505632" w:rsidRDefault="00505632" w:rsidP="00AD4E52">
            <w:pPr>
              <w:pStyle w:val="CellColumn"/>
              <w:jc w:val="right"/>
            </w:pPr>
            <w:r>
              <w:rPr>
                <w:rFonts w:cs="Times New Roman"/>
              </w:rPr>
              <w:t>10.541</w:t>
            </w:r>
          </w:p>
        </w:tc>
        <w:tc>
          <w:tcPr>
            <w:tcW w:w="1020" w:type="dxa"/>
          </w:tcPr>
          <w:p w:rsidR="00505632" w:rsidRDefault="00505632" w:rsidP="00AD4E52">
            <w:pPr>
              <w:pStyle w:val="CellColumn"/>
              <w:jc w:val="right"/>
            </w:pPr>
            <w:r>
              <w:rPr>
                <w:rFonts w:cs="Times New Roman"/>
              </w:rPr>
              <w:t>12.161</w:t>
            </w:r>
          </w:p>
        </w:tc>
      </w:tr>
      <w:tr w:rsidR="00505632" w:rsidTr="00AD4E52">
        <w:trPr>
          <w:jc w:val="center"/>
        </w:trPr>
        <w:tc>
          <w:tcPr>
            <w:tcW w:w="2551" w:type="dxa"/>
          </w:tcPr>
          <w:p w:rsidR="00505632" w:rsidRDefault="00505632" w:rsidP="00AD4E52">
            <w:pPr>
              <w:pStyle w:val="CellColumn"/>
              <w:jc w:val="left"/>
            </w:pPr>
            <w:r>
              <w:rPr>
                <w:rFonts w:cs="Times New Roman"/>
              </w:rPr>
              <w:t>Postotak racionaliziranih bolnica bez novih dospjelih nepodmirenih obveza tijekom prethodne kalendarske godine</w:t>
            </w:r>
          </w:p>
        </w:tc>
        <w:tc>
          <w:tcPr>
            <w:tcW w:w="2551" w:type="dxa"/>
          </w:tcPr>
          <w:p w:rsidR="00505632" w:rsidRDefault="00505632" w:rsidP="00AD4E52">
            <w:pPr>
              <w:pStyle w:val="CellColumn"/>
              <w:jc w:val="left"/>
            </w:pPr>
            <w:r>
              <w:rPr>
                <w:rFonts w:cs="Times New Roman"/>
              </w:rPr>
              <w:t>povećan udio racionaliziranih bolnica bez novih dospjelih nepodmirenih obveza tijekom prethodne kalendarske godine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HZZO</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13%</w:t>
            </w:r>
          </w:p>
        </w:tc>
      </w:tr>
    </w:tbl>
    <w:p w:rsidR="00505632" w:rsidRDefault="00505632" w:rsidP="00505632">
      <w:pPr>
        <w:jc w:val="left"/>
      </w:pPr>
    </w:p>
    <w:p w:rsidR="00505632" w:rsidRDefault="00505632" w:rsidP="00505632">
      <w:pPr>
        <w:pStyle w:val="Heading4"/>
      </w:pPr>
      <w:r>
        <w:t>K802007 NEUROPSIHIJATRIJSKA BOLNICA "DR. IVAN BARBOT" POPOVAČA</w:t>
      </w:r>
    </w:p>
    <w:tbl>
      <w:tblPr>
        <w:tblStyle w:val="StilTablice"/>
        <w:tblW w:w="10206" w:type="dxa"/>
        <w:jc w:val="center"/>
        <w:tblLook w:val="04A0" w:firstRow="1" w:lastRow="0" w:firstColumn="1" w:lastColumn="0" w:noHBand="0" w:noVBand="1"/>
      </w:tblPr>
      <w:tblGrid>
        <w:gridCol w:w="2326"/>
        <w:gridCol w:w="1838"/>
        <w:gridCol w:w="1825"/>
        <w:gridCol w:w="1839"/>
        <w:gridCol w:w="1180"/>
        <w:gridCol w:w="119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K802007-NEUROPSIHIJATRIJSKA BOLNICA "DR. IVAN BARBOT" POPOVAČA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218.550</w:t>
            </w:r>
          </w:p>
        </w:tc>
        <w:tc>
          <w:tcPr>
            <w:tcW w:w="2041" w:type="dxa"/>
          </w:tcPr>
          <w:p w:rsidR="00505632" w:rsidRDefault="00505632" w:rsidP="00AD4E52">
            <w:pPr>
              <w:pStyle w:val="CellColumn"/>
              <w:jc w:val="right"/>
            </w:pPr>
            <w:r>
              <w:rPr>
                <w:rFonts w:cs="Times New Roman"/>
              </w:rPr>
              <w:t>218.549</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Izvršeno plaćanje preostale obveze po Sporazumu o realizaciji projekta javno-privatnog partnerstva Neuropsihijatrijska bolnica Dr. Ivan Barbot u Popovači.</w:t>
      </w:r>
    </w:p>
    <w:p w:rsidR="00505632" w:rsidRDefault="00505632" w:rsidP="00505632">
      <w:pPr>
        <w:pStyle w:val="Heading3"/>
      </w:pPr>
      <w:r>
        <w:rPr>
          <w:rFonts w:cs="Times New Roman"/>
        </w:rPr>
        <w:t>3603 SANITARNA INSPEKCIJA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3603-SANITARNA INSPEKCIJA</w:t>
            </w:r>
          </w:p>
        </w:tc>
        <w:tc>
          <w:tcPr>
            <w:tcW w:w="2041" w:type="dxa"/>
          </w:tcPr>
          <w:p w:rsidR="00505632" w:rsidRDefault="00505632" w:rsidP="00AD4E52">
            <w:pPr>
              <w:pStyle w:val="CellColumn"/>
              <w:jc w:val="right"/>
            </w:pPr>
            <w:r>
              <w:rPr>
                <w:rFonts w:cs="Times New Roman"/>
              </w:rPr>
              <w:t>5.110.699</w:t>
            </w:r>
          </w:p>
        </w:tc>
        <w:tc>
          <w:tcPr>
            <w:tcW w:w="2041" w:type="dxa"/>
          </w:tcPr>
          <w:p w:rsidR="00505632" w:rsidRDefault="00505632" w:rsidP="00AD4E52">
            <w:pPr>
              <w:pStyle w:val="CellColumn"/>
              <w:jc w:val="right"/>
            </w:pPr>
            <w:r>
              <w:rPr>
                <w:rFonts w:cs="Times New Roman"/>
              </w:rPr>
              <w:t>3.081.500</w:t>
            </w:r>
          </w:p>
        </w:tc>
        <w:tc>
          <w:tcPr>
            <w:tcW w:w="2041" w:type="dxa"/>
          </w:tcPr>
          <w:p w:rsidR="00505632" w:rsidRDefault="00505632" w:rsidP="00AD4E52">
            <w:pPr>
              <w:pStyle w:val="CellColumn"/>
              <w:jc w:val="right"/>
            </w:pPr>
            <w:r>
              <w:rPr>
                <w:rFonts w:cs="Times New Roman"/>
              </w:rPr>
              <w:t>2.609.835</w:t>
            </w:r>
          </w:p>
        </w:tc>
        <w:tc>
          <w:tcPr>
            <w:tcW w:w="1224" w:type="dxa"/>
          </w:tcPr>
          <w:p w:rsidR="00505632" w:rsidRDefault="00505632" w:rsidP="00AD4E52">
            <w:pPr>
              <w:pStyle w:val="CellColumn"/>
              <w:jc w:val="right"/>
            </w:pPr>
            <w:r>
              <w:rPr>
                <w:rFonts w:cs="Times New Roman"/>
              </w:rPr>
              <w:t>84,7</w:t>
            </w:r>
          </w:p>
        </w:tc>
        <w:tc>
          <w:tcPr>
            <w:tcW w:w="1224" w:type="dxa"/>
          </w:tcPr>
          <w:p w:rsidR="00505632" w:rsidRDefault="00505632" w:rsidP="00AD4E52">
            <w:pPr>
              <w:pStyle w:val="CellColumn"/>
              <w:jc w:val="right"/>
            </w:pPr>
            <w:r>
              <w:rPr>
                <w:rFonts w:cs="Times New Roman"/>
              </w:rPr>
              <w:t>51,1</w:t>
            </w:r>
          </w:p>
        </w:tc>
      </w:tr>
    </w:tbl>
    <w:p w:rsidR="00505632" w:rsidRDefault="00505632" w:rsidP="00505632">
      <w:pPr>
        <w:jc w:val="left"/>
      </w:pPr>
    </w:p>
    <w:p w:rsidR="00505632" w:rsidRDefault="00505632" w:rsidP="00505632">
      <w:r>
        <w:t xml:space="preserve">Sanitarna inspekcija Ministarstva uspostavljena je Zakonom o sanitarnoj inspekciji („Narodne Novine“, broj 113/08 i 88/10), kao unutarnja ustrojstvena jedinica Ministarstva zdravstva podijeljena je na dva sektora: Sektor državne i granične sanitarne inspekcije i Sektor županijske sanitarne inspekcije i pravne podrške, te četiri Službe: Služba državne sanitarne inspekcije, Služba granične sanitarne inspekcije, Služba županijske sanitarne inspekcije te Služba za pravnu podršku. Sanitarna inspekcija obavlja poslove od javnozdravstvenog interesa te se inspekcijski nadzor provodi nad provedbom zakona i drugih propisa kojima se utvrđuje zaštita zdravlja ljudi i to na području sprečavanja i suzbijanja zaraznih bolesti, proizvodnje i stavljanja na tržište hrane, uključujući i genetski modificiranu hranu i novu hranu te genetski modificirane organizme (u daljnjem tekstu: GMO), proizvodnje i stavljanja na tržište predmeta opće uporabe, proizvodnje, stavljanja na tržište i uporabe opasnih kemikalija, stavljanja na tržište i uporabe biocidnih pripravaka, zaštite od buke i zaštite od ionizirajućeg i neionizirajućeg zračenja. Inspekcijski nadzor obavlja se nad građevinama, postrojenjima, prostorom, prostorijama, uređajima, opremom i osobama koje obavljaju gospodarske djelatnosti i djelatnosti na području zdravstva, odgoja, obrazovanja, socijalne skrbi, ugostiteljstva, turizma, obrta i usluga, športa i rekreacije i prometa te na ostalim javnim mjestima. U okviru Republike Hrvatske u Europskoj uniji, inspekcija ima važnu ulogu u razmjeni informacija sa službama u zemljama članicama Europske unije koje imaju za cilj zaštitu zdravlja potrošača. </w:t>
      </w:r>
    </w:p>
    <w:p w:rsidR="00505632" w:rsidRDefault="00505632" w:rsidP="00505632">
      <w:r>
        <w:t xml:space="preserve">Kvalitetnim sustavom edukacije sanitarnih inspektora postiže se zaštita javnozdravstvenog interesa te poboljšanje kvalitete života i zdravlja ljudi. Osnovni preduvjeti za poboljšanje funkcioniranja sustava sanitarne inspekcije sastoje se u osiguranju optimalnog broja sanitarnih inspektora odnosno osiguranju uvjeta u pogledu infrastrukturne podrške cjelokupnom sustavu. </w:t>
      </w:r>
    </w:p>
    <w:p w:rsidR="00505632" w:rsidRDefault="00505632" w:rsidP="00505632">
      <w:r>
        <w:t xml:space="preserve">Zakonske i druge pravne osnove </w:t>
      </w:r>
    </w:p>
    <w:p w:rsidR="00505632" w:rsidRDefault="00505632" w:rsidP="00505632">
      <w:r>
        <w:t xml:space="preserve">Zakon o sanitarnoj inspekciji (NN br. 113/08 i 88/10), Zakon o  potvrđivanju Roterdamske konvencije o postupku prethodnog pristanka za određene opasne kemikalije i pesticide u međunarodnoj trgovini ( NN-MU br. 4/2007), Zakon o kemikalijama (NN 18/13), Zakon o provedbi Uredbe (EZ) br. 1272/2008 Europskog parlamenta i Vijeća od 16. prosinca 2008. o razvrstavanju, označavanju i pakiranju     tvari i smjesa, kojom se izmjenjuju, dopunjuju i ukidaju Direktiva 67/548/EEZ i Direktiva 1999/45/EZ i izmjenjuje i dopunjuje Uredba (EZ) br. 1907/2006 (NN br. 50/12 i 18/13), Zakon o provedbi Uredbe (EZ) broj 1907/2006 Europskog parlamenta i Vijeća EZ o registraciji, evaluaciji, autorizaciji  i  ograničavanju  kemikalija ( NN br. 53/08 i 18/13), Zakon o provedbi Uredbe (EU) br. 649/2012 o izvozu i uvozu opasnih kemikalija (NN 41/14), Zakon o provedbi Uredbe (EU) br. 528/2012 Europskoga parlamenta i Vijeća u vezi sa stavljanjem na raspolaganje na tržištu i uporabi biocidnih proizvoda (NN 39/13 i 47/14),  Zakon o zaštiti od buke ( NN br. 30/09, 55/13 i 153/13), Zakon o ograničavanju uporabe duhanskih proizvoda ( NN  br. 125/08 i 55/09 – ispravak, 119/09 i 94/13), Zakon o predmetima opće uporabe (NN 39/13 i 47/14), Zakon o materijalima i predmetima koji dolaze u neposredan dodir s hranom (NN 25/13 i 41/14), Zakon o provedbi Uredbe (EZ) br. 648/2004 Europskoga parlamenta i Vijeća od 31. ožujka 2004. godine o deterdžentima (NN 34/2012 i 25/13), </w:t>
      </w:r>
    </w:p>
    <w:p w:rsidR="00505632" w:rsidRDefault="00505632" w:rsidP="00505632">
      <w:r>
        <w:t>Zakon o provedbi Uredbe (EZ) br. 1223/2009 Europskoga parlamenta i Vijeća od 30. studenog 2009. godine o kozmetičkim proizvodima (preinačena verzija) (NN 18/13), Zakon o zaštiti od neionizirajućih zračenja ( NN br. 91/10), Zakon o zaštiti pučanstva od zaraznih bolesti (NN br. 79/07, 113/08 i 43/09), Zakon o hrani (NN 81/13 i 14/14), Zakon o higijeni hrane i mikrobiološkim kriterijima za hranu (NN 81/13), Zakon o službenim kontrolama koje se provode sukladno propisima o hrani,  hrani za životinje, o zdravlju i dobrobiti  životinja  (NN  81/13  i  14/14),  Zakon  o provedbi Uredbe (EZ) br. 396/2005 o maksimalnim razinama ostataka pesticida u i na hrani  i  hrani  za  životinje  biljnog  i  životinjskog  podrijetla  (NN  80/13), Zakon o kontaminantima (NN 39/13),  Zakon  o  prehrambenim  i  zdravstvenim tvrdnjama te hrani obogaćenoj nutrijentima (NN 39/13), Zakon o hrani za posebne prehrambene potrebe (NN 39/13), Zakon o uvozu hrane i hrane za životinje iz trećih zemalja (NN 39/13), Zakon o prehrambenim aditivima, aromama i prehrambenim enzimima (NN 39/13),  Zakon  o  genetski  modificiranim  organizmima  (NN  br. 70/05, 137/09, 28/13 i  47/14),  Zakon  o  provedbi  Uredbe  (EZ)  br.  1829/2003 Europskoga parlamenta i Vijeća od 22. rujna 2003. godine o genetski modificiranoj  hrani i hrani za životinje i  Uredbe  (EZ)  br. 1830/2003  Europskoga  parlamenta  i Vijeća od 22. rujna 2003. godine o sljedivosti i označavanju genetski modificiranih organizama i sljedivosti hrane i hrane za životinje  proizvedenih  od genetski modificiranih organizama  kojom  se  izmjenjuje  i  dopunjuje Direktiva  2001/18/EZ (NN br. 18/13 i 47/14), Zakon o provedbi Uredbe (EZ) br. 258/97 Europskoga parlamenta i Vijeća od 27. siječnja 1997. godine o novoj hrani i sastojcima nove hrane (NN br. 18/13 i 47/14).</w:t>
      </w:r>
    </w:p>
    <w:p w:rsidR="00505632" w:rsidRDefault="00505632" w:rsidP="00505632">
      <w:pPr>
        <w:pStyle w:val="Heading8"/>
        <w:jc w:val="left"/>
      </w:pPr>
      <w:r>
        <w:t>Cilj 1. Zaštita javnozdravstvenog interesa</w:t>
      </w:r>
    </w:p>
    <w:p w:rsidR="00505632" w:rsidRDefault="00505632" w:rsidP="00505632">
      <w:pPr>
        <w:pStyle w:val="Heading8"/>
        <w:jc w:val="left"/>
      </w:pPr>
      <w:r>
        <w:t>Opis provedbe cilja programa</w:t>
      </w:r>
    </w:p>
    <w:p w:rsidR="00505632" w:rsidRDefault="00505632" w:rsidP="00505632">
      <w:r>
        <w:t xml:space="preserve">Tijekom 2016. godine sanitarni inspektori su obavili ukupno 33140 sanitarna nadzora.  </w:t>
      </w:r>
    </w:p>
    <w:p w:rsidR="00505632" w:rsidRDefault="00505632" w:rsidP="00505632">
      <w:r>
        <w:t xml:space="preserve">Po provedenim nadzorima po službenoj dužnosti izdana su 3304 rješenja za otklanjanje nedostataka, izrečeno je i naplaćeno oko 3269 mandatnih kazni u iznosu od 1.751.000 kuna, podnijet 181 optužni prijedlog, izdano 113 prekršajnih naloga u iznosu od 302.500 kuna. Između ostalog, izdana su 7892 rješenja (povlačenje, zabrana reklamiranja, zabrana stavljanja na tržište i uništenje, uklanjanje nedostataka deklaracije, rješenje za stavljanje biocidnog proizvoda na tržište, rješenje za odobrenje djelatnosti proizvodnje, prometa na veliko opasnih kemikalija i korištenja T+kemikalija, odobrenja za DDD, izrada rješenja za ovlaštenje laboratorija za GMO, izdavanje rješenja za proizvodnju predmeta opće uporabe, izdavanje rješenja za dodatke prehrani i obogaćene hrane). Također su izdane ukupno 1562 potvrde (potvrde o notifikaciji dodataka prehrani i obogaćene hrane, izdavanje potvrda o slobodnoj prodaji, izdavanje potvrda za APPRRR, izdavanja potvrda o notifikaciji hrane za posebne prehrambene potrebe, izdavanje potvrda o slobodnoj prodaji, izdavanja potvrda o notifikaciji GMO, izdavanje potvrda o notifikaciji nove hrane, izdavanje potvrda i uvjeta za sanitarno tehničke i higijenske uvjete građevina).  </w:t>
      </w:r>
    </w:p>
    <w:p w:rsidR="00505632" w:rsidRDefault="00505632" w:rsidP="00505632">
      <w:r>
        <w:t>Program Sanitarne inspekcije provodi se uspješno i pridonosi zaštiti zdravlja i javnozdravstvenog interesa građana Republike Hrvatske.</w:t>
      </w:r>
    </w:p>
    <w:p w:rsidR="00505632" w:rsidRDefault="00505632" w:rsidP="00505632">
      <w:pPr>
        <w:pStyle w:val="Heading4"/>
      </w:pPr>
      <w:r>
        <w:t>A803004 PROVEDBA INSPEKCIJSKOG NADZORA I OSIGURANJE INFRAKSTRUKTURNE PODRŠKE IZ NADLEŽNOSTI SANITARNE INSPEKCIJE</w:t>
      </w:r>
    </w:p>
    <w:tbl>
      <w:tblPr>
        <w:tblStyle w:val="StilTablice"/>
        <w:tblW w:w="10206" w:type="dxa"/>
        <w:jc w:val="center"/>
        <w:tblLook w:val="04A0" w:firstRow="1" w:lastRow="0" w:firstColumn="1" w:lastColumn="0" w:noHBand="0" w:noVBand="1"/>
      </w:tblPr>
      <w:tblGrid>
        <w:gridCol w:w="2181"/>
        <w:gridCol w:w="1878"/>
        <w:gridCol w:w="1879"/>
        <w:gridCol w:w="1879"/>
        <w:gridCol w:w="1187"/>
        <w:gridCol w:w="120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A803004-PROVEDBA INSPEKCIJSKOG NADZORA I OSIGURANJE INFRAKSTRUKTURNE PODRŠKE IZ NADLEŽNOSTI SANITARNE INSPEKCIJE</w:t>
            </w:r>
          </w:p>
        </w:tc>
        <w:tc>
          <w:tcPr>
            <w:tcW w:w="2041" w:type="dxa"/>
          </w:tcPr>
          <w:p w:rsidR="00505632" w:rsidRDefault="00505632" w:rsidP="00AD4E52">
            <w:pPr>
              <w:pStyle w:val="CellColumn"/>
              <w:jc w:val="right"/>
            </w:pPr>
            <w:r>
              <w:rPr>
                <w:rFonts w:cs="Times New Roman"/>
              </w:rPr>
              <w:t>1.201.522</w:t>
            </w:r>
          </w:p>
        </w:tc>
        <w:tc>
          <w:tcPr>
            <w:tcW w:w="2041" w:type="dxa"/>
          </w:tcPr>
          <w:p w:rsidR="00505632" w:rsidRDefault="00505632" w:rsidP="00AD4E52">
            <w:pPr>
              <w:pStyle w:val="CellColumn"/>
              <w:jc w:val="right"/>
            </w:pPr>
            <w:r>
              <w:rPr>
                <w:rFonts w:cs="Times New Roman"/>
              </w:rPr>
              <w:t>3.081.500</w:t>
            </w:r>
          </w:p>
        </w:tc>
        <w:tc>
          <w:tcPr>
            <w:tcW w:w="2041" w:type="dxa"/>
          </w:tcPr>
          <w:p w:rsidR="00505632" w:rsidRDefault="00505632" w:rsidP="00AD4E52">
            <w:pPr>
              <w:pStyle w:val="CellColumn"/>
              <w:jc w:val="right"/>
            </w:pPr>
            <w:r>
              <w:rPr>
                <w:rFonts w:cs="Times New Roman"/>
              </w:rPr>
              <w:t>2.609.835</w:t>
            </w:r>
          </w:p>
        </w:tc>
        <w:tc>
          <w:tcPr>
            <w:tcW w:w="1224" w:type="dxa"/>
          </w:tcPr>
          <w:p w:rsidR="00505632" w:rsidRDefault="00505632" w:rsidP="00AD4E52">
            <w:pPr>
              <w:pStyle w:val="CellColumn"/>
              <w:jc w:val="right"/>
            </w:pPr>
            <w:r>
              <w:rPr>
                <w:rFonts w:cs="Times New Roman"/>
              </w:rPr>
              <w:t>84,7</w:t>
            </w:r>
          </w:p>
        </w:tc>
        <w:tc>
          <w:tcPr>
            <w:tcW w:w="1224" w:type="dxa"/>
          </w:tcPr>
          <w:p w:rsidR="00505632" w:rsidRDefault="00505632" w:rsidP="00AD4E52">
            <w:pPr>
              <w:pStyle w:val="CellColumn"/>
              <w:jc w:val="right"/>
            </w:pPr>
            <w:r>
              <w:rPr>
                <w:rFonts w:cs="Times New Roman"/>
              </w:rPr>
              <w:t>217,2</w:t>
            </w:r>
          </w:p>
        </w:tc>
      </w:tr>
    </w:tbl>
    <w:p w:rsidR="00505632" w:rsidRDefault="00505632" w:rsidP="00505632">
      <w:pPr>
        <w:pStyle w:val="Heading8"/>
        <w:jc w:val="left"/>
      </w:pPr>
    </w:p>
    <w:p w:rsidR="00505632" w:rsidRDefault="00505632" w:rsidP="00505632">
      <w:pPr>
        <w:pStyle w:val="Heading8"/>
        <w:jc w:val="left"/>
      </w:pPr>
      <w:r>
        <w:t>Opis aktivnosti</w:t>
      </w:r>
    </w:p>
    <w:p w:rsidR="00505632" w:rsidRDefault="00505632" w:rsidP="00505632">
      <w:r>
        <w:t>Obavljanje inspekcijskog nadzora, sredstva Državnog proračuna trošila su se za obavljanje sanitarnog nadzora iz područja rada Uprave za sanitarnu inspekciju.</w:t>
      </w:r>
    </w:p>
    <w:p w:rsidR="00505632" w:rsidRDefault="00505632" w:rsidP="00505632">
      <w:pPr>
        <w:pStyle w:val="Heading3"/>
      </w:pPr>
      <w:r>
        <w:rPr>
          <w:rFonts w:cs="Times New Roman"/>
        </w:rPr>
        <w:t>3604 UPRAVLJANJE U SUSTAVU ZDRAVLJA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3604-UPRAVLJANJE U SUSTAVU ZDRAVLJA</w:t>
            </w:r>
          </w:p>
        </w:tc>
        <w:tc>
          <w:tcPr>
            <w:tcW w:w="2041" w:type="dxa"/>
          </w:tcPr>
          <w:p w:rsidR="00505632" w:rsidRDefault="00505632" w:rsidP="00AD4E52">
            <w:pPr>
              <w:pStyle w:val="CellColumn"/>
              <w:jc w:val="right"/>
            </w:pPr>
            <w:r>
              <w:rPr>
                <w:rFonts w:cs="Times New Roman"/>
              </w:rPr>
              <w:t>109.563.901</w:t>
            </w:r>
          </w:p>
        </w:tc>
        <w:tc>
          <w:tcPr>
            <w:tcW w:w="2041" w:type="dxa"/>
          </w:tcPr>
          <w:p w:rsidR="00505632" w:rsidRDefault="00505632" w:rsidP="00AD4E52">
            <w:pPr>
              <w:pStyle w:val="CellColumn"/>
              <w:jc w:val="right"/>
            </w:pPr>
            <w:r>
              <w:rPr>
                <w:rFonts w:cs="Times New Roman"/>
              </w:rPr>
              <w:t>91.592.640</w:t>
            </w:r>
          </w:p>
        </w:tc>
        <w:tc>
          <w:tcPr>
            <w:tcW w:w="2041" w:type="dxa"/>
          </w:tcPr>
          <w:p w:rsidR="00505632" w:rsidRDefault="00505632" w:rsidP="00AD4E52">
            <w:pPr>
              <w:pStyle w:val="CellColumn"/>
              <w:jc w:val="right"/>
            </w:pPr>
            <w:r>
              <w:rPr>
                <w:rFonts w:cs="Times New Roman"/>
              </w:rPr>
              <w:t>89.596.081</w:t>
            </w:r>
          </w:p>
        </w:tc>
        <w:tc>
          <w:tcPr>
            <w:tcW w:w="1224" w:type="dxa"/>
          </w:tcPr>
          <w:p w:rsidR="00505632" w:rsidRDefault="00505632" w:rsidP="00AD4E52">
            <w:pPr>
              <w:pStyle w:val="CellColumn"/>
              <w:jc w:val="right"/>
            </w:pPr>
            <w:r>
              <w:rPr>
                <w:rFonts w:cs="Times New Roman"/>
              </w:rPr>
              <w:t>97,8</w:t>
            </w:r>
          </w:p>
        </w:tc>
        <w:tc>
          <w:tcPr>
            <w:tcW w:w="1224" w:type="dxa"/>
          </w:tcPr>
          <w:p w:rsidR="00505632" w:rsidRDefault="00505632" w:rsidP="00AD4E52">
            <w:pPr>
              <w:pStyle w:val="CellColumn"/>
              <w:jc w:val="right"/>
            </w:pPr>
            <w:r>
              <w:rPr>
                <w:rFonts w:cs="Times New Roman"/>
              </w:rPr>
              <w:t>81,8</w:t>
            </w:r>
          </w:p>
        </w:tc>
      </w:tr>
    </w:tbl>
    <w:p w:rsidR="00505632" w:rsidRDefault="00505632" w:rsidP="00505632">
      <w:pPr>
        <w:jc w:val="left"/>
      </w:pPr>
    </w:p>
    <w:p w:rsidR="00505632" w:rsidRDefault="00505632" w:rsidP="00505632">
      <w:r>
        <w:t xml:space="preserve">Ministarstvo zdravstva obavlja upravne, stručne i druge poslove koji se odnose na sustav zdravstvene zaštite i zdravstvenog osiguranja. </w:t>
      </w:r>
    </w:p>
    <w:p w:rsidR="00505632" w:rsidRDefault="00505632" w:rsidP="00505632">
      <w:r>
        <w:t xml:space="preserve">Zakonske i druge pravne osnove </w:t>
      </w:r>
    </w:p>
    <w:p w:rsidR="00505632" w:rsidRDefault="00505632" w:rsidP="00505632">
      <w:r>
        <w:t>Uredba o unutarnjem ustrojstvu Ministarstva zdravstva, Zakon o državnim službenicima, Kolektivni ugovor za državne službenike i namještenike, Zakon o radu, Zakon o mirovinskom osiguranju, Zakon o rodiljnim i roditeljskim potporama, Zakon o obveznim odnosima, Zakon o zakupu i kupoprodaji poslovnog prostora, Zakon o raspolaganju nekretninama koje se daju na korištenje tijelima državne uprave ili drugim tijelima korisnicima, državnog proračuna, te drugim osobama, Uredba o načinima raspolaganja nekretninama u vlasništvu Republike Hrvatske, Zakon o potvrđivanju Okvirne konvencije Svjetske Zdravstvene Organizacije o nadzoru nad duhanom, Rezolucija o skali doprinosa za raspodjelu troškova, Memorandum o razumijevanju o budućnosti Zdravstvene mreže Jugoistočne Europe u okviru procesa suradnje u Jugoistočnoj Europi, Međunarodni sporazum o reintegraciji zatečenih osoba prilikom reintegracije Hrvatskog Podunavlja, Zakon o tajnosti podataka, Zakon o kvaliteti zdravstvene zaštite, Zakon o područjima posebne državne skrbi, Ugovor o dušobrižništvu sklopljen između Vlade Republike Hrvatske i Hrvatske biskupske konferencije, Program Vlade Republike Hrvatske, Zakon o zdravstvenoj zaštiti, Pravilnik o ustrojstvu i načinu rada Kriznog stožera, Međunarodni zdravstveni propisi (IHR) usvojeni na 63. Svjetskoj zdravstvenoj skupštini u rujnu 2013. godine, Zakon o zaštiti i spašavanju, Zakon o obrani, Nacionalni generički, integrirani plan koordiniranog postupanja u zdravstvenim kriznim stanjima, Ustav Republike Hrvatske, Zakon o zaštiti pučanstva od zaraznih bolesti, Regulativa NATO–a, Regulativa EU i Svjetske zdravstvene organizacije, Smjernice za strateško planiranje za slučaj zdravstvenog kriznog stanja, Akcijske kartice – postupci integriranog planiranja odgovora na zdravstvena krizna stanja, HOPE i Roterdamska konvencija (UNEP).</w:t>
      </w:r>
    </w:p>
    <w:p w:rsidR="00505632" w:rsidRDefault="00505632" w:rsidP="00505632">
      <w:pPr>
        <w:pStyle w:val="Heading4"/>
      </w:pPr>
      <w:r>
        <w:t>A618207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A618207-ADMINISTRACIJA I UPRAVLJANJE</w:t>
            </w:r>
          </w:p>
        </w:tc>
        <w:tc>
          <w:tcPr>
            <w:tcW w:w="2041" w:type="dxa"/>
          </w:tcPr>
          <w:p w:rsidR="00505632" w:rsidRDefault="00505632" w:rsidP="00AD4E52">
            <w:pPr>
              <w:pStyle w:val="CellColumn"/>
              <w:jc w:val="right"/>
            </w:pPr>
            <w:r>
              <w:rPr>
                <w:rFonts w:cs="Times New Roman"/>
              </w:rPr>
              <w:t>85.567.532</w:t>
            </w:r>
          </w:p>
        </w:tc>
        <w:tc>
          <w:tcPr>
            <w:tcW w:w="2041" w:type="dxa"/>
          </w:tcPr>
          <w:p w:rsidR="00505632" w:rsidRDefault="00505632" w:rsidP="00AD4E52">
            <w:pPr>
              <w:pStyle w:val="CellColumn"/>
              <w:jc w:val="right"/>
            </w:pPr>
            <w:r>
              <w:rPr>
                <w:rFonts w:cs="Times New Roman"/>
              </w:rPr>
              <w:t>81.770.150</w:t>
            </w:r>
          </w:p>
        </w:tc>
        <w:tc>
          <w:tcPr>
            <w:tcW w:w="2041" w:type="dxa"/>
          </w:tcPr>
          <w:p w:rsidR="00505632" w:rsidRDefault="00505632" w:rsidP="00AD4E52">
            <w:pPr>
              <w:pStyle w:val="CellColumn"/>
              <w:jc w:val="right"/>
            </w:pPr>
            <w:r>
              <w:rPr>
                <w:rFonts w:cs="Times New Roman"/>
              </w:rPr>
              <w:t>80.742.381</w:t>
            </w:r>
          </w:p>
        </w:tc>
        <w:tc>
          <w:tcPr>
            <w:tcW w:w="1224" w:type="dxa"/>
          </w:tcPr>
          <w:p w:rsidR="00505632" w:rsidRDefault="00505632" w:rsidP="00AD4E52">
            <w:pPr>
              <w:pStyle w:val="CellColumn"/>
              <w:jc w:val="right"/>
            </w:pPr>
            <w:r>
              <w:rPr>
                <w:rFonts w:cs="Times New Roman"/>
              </w:rPr>
              <w:t>98,7</w:t>
            </w:r>
          </w:p>
        </w:tc>
        <w:tc>
          <w:tcPr>
            <w:tcW w:w="1224" w:type="dxa"/>
          </w:tcPr>
          <w:p w:rsidR="00505632" w:rsidRDefault="00505632" w:rsidP="00AD4E52">
            <w:pPr>
              <w:pStyle w:val="CellColumn"/>
              <w:jc w:val="right"/>
            </w:pPr>
            <w:r>
              <w:rPr>
                <w:rFonts w:cs="Times New Roman"/>
              </w:rPr>
              <w:t>94,4</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Sredstva su bila osigurana za poslovanje u užem smislu, za zakup, održavanje i plaćanje režijskih troškova poslovnih prostora Ministarstva zdravstva i za potrebe rada dislociranih sanitarnih inspektora.</w:t>
      </w:r>
    </w:p>
    <w:p w:rsidR="00505632" w:rsidRDefault="00505632" w:rsidP="00505632">
      <w:pPr>
        <w:pStyle w:val="Heading4"/>
      </w:pPr>
      <w:r>
        <w:t>A618208 MEĐUNARODNA SURADNJA I INFORMIRANJE</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A618208-MEĐUNARODNA SURADNJA I INFORMIRANJE</w:t>
            </w:r>
          </w:p>
        </w:tc>
        <w:tc>
          <w:tcPr>
            <w:tcW w:w="2041" w:type="dxa"/>
          </w:tcPr>
          <w:p w:rsidR="00505632" w:rsidRDefault="00505632" w:rsidP="00AD4E52">
            <w:pPr>
              <w:pStyle w:val="CellColumn"/>
              <w:jc w:val="right"/>
            </w:pPr>
            <w:r>
              <w:rPr>
                <w:rFonts w:cs="Times New Roman"/>
              </w:rPr>
              <w:t>4.135.905</w:t>
            </w:r>
          </w:p>
        </w:tc>
        <w:tc>
          <w:tcPr>
            <w:tcW w:w="2041" w:type="dxa"/>
          </w:tcPr>
          <w:p w:rsidR="00505632" w:rsidRDefault="00505632" w:rsidP="00AD4E52">
            <w:pPr>
              <w:pStyle w:val="CellColumn"/>
              <w:jc w:val="right"/>
            </w:pPr>
            <w:r>
              <w:rPr>
                <w:rFonts w:cs="Times New Roman"/>
              </w:rPr>
              <w:t>3.997.260</w:t>
            </w:r>
          </w:p>
        </w:tc>
        <w:tc>
          <w:tcPr>
            <w:tcW w:w="2041" w:type="dxa"/>
          </w:tcPr>
          <w:p w:rsidR="00505632" w:rsidRDefault="00505632" w:rsidP="00AD4E52">
            <w:pPr>
              <w:pStyle w:val="CellColumn"/>
              <w:jc w:val="right"/>
            </w:pPr>
            <w:r>
              <w:rPr>
                <w:rFonts w:cs="Times New Roman"/>
              </w:rPr>
              <w:t>3.997.255</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96,6</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Na aktivnosti A618208 Međunarodna suradnja, protokol i informiranje sredstva su u najvećem dijelu utrošena za uplatu članarina sukladno zakonskoj regulativi Republike Hrvatske s drugim institucijama. Sredstva su utrošena sukladno financijskom Planu za 2016. godinu. </w:t>
      </w:r>
    </w:p>
    <w:p w:rsidR="00505632" w:rsidRDefault="00505632" w:rsidP="00505632">
      <w:r>
        <w:t xml:space="preserve">Članarine: </w:t>
      </w:r>
    </w:p>
    <w:p w:rsidR="00505632" w:rsidRDefault="00505632" w:rsidP="00505632">
      <w:r>
        <w:t xml:space="preserve">1. Svjetska Zdravstvena Organizacija (Zakonska osnova: Rezolucija UN 61/237 o skali doprinosa za raspodjelu troškova); </w:t>
      </w:r>
    </w:p>
    <w:p w:rsidR="00505632" w:rsidRDefault="00505632" w:rsidP="00505632">
      <w:r>
        <w:t xml:space="preserve">2. Okvirna konvencija Svjetske Zdravstvene Organizacije o nadzoru nad duhanom (Zakonska osnova: Zakon o potvrđivanju Okvirne konvencija Svjetske Zdravstvene Organizacije o  nadzoru nad duhanom); </w:t>
      </w:r>
    </w:p>
    <w:p w:rsidR="00505632" w:rsidRDefault="00505632" w:rsidP="00505632">
      <w:r>
        <w:t xml:space="preserve">3. Roterdamska konvencija o postupku prethodnog pristanka za opasne kemikalije i pesticide u međunarodnoj trgovini (UNEP) - Zakonska osnova: RH je stranka Konvencije i </w:t>
      </w:r>
    </w:p>
    <w:p w:rsidR="00505632" w:rsidRDefault="00505632" w:rsidP="00505632">
      <w:r>
        <w:t>4. Hope-članarina (European Hospital Healthcare Federation).</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4"/>
      </w:pPr>
      <w:r>
        <w:t>A796004 INTEGRIRANO PLANIRANJE ODGOVORA NA INCIDENTNA I KRIZNA STANJA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A796004-INTEGRIRANO PLANIRANJE ODGOVORA NA INCIDENTNA I KRIZNA STANJA</w:t>
            </w:r>
          </w:p>
        </w:tc>
        <w:tc>
          <w:tcPr>
            <w:tcW w:w="2041" w:type="dxa"/>
          </w:tcPr>
          <w:p w:rsidR="00505632" w:rsidRDefault="00505632" w:rsidP="00AD4E52">
            <w:pPr>
              <w:pStyle w:val="CellColumn"/>
              <w:jc w:val="right"/>
            </w:pPr>
            <w:r>
              <w:rPr>
                <w:rFonts w:cs="Times New Roman"/>
              </w:rPr>
              <w:t>157.773</w:t>
            </w:r>
          </w:p>
        </w:tc>
        <w:tc>
          <w:tcPr>
            <w:tcW w:w="2041" w:type="dxa"/>
          </w:tcPr>
          <w:p w:rsidR="00505632" w:rsidRDefault="00505632" w:rsidP="00AD4E52">
            <w:pPr>
              <w:pStyle w:val="CellColumn"/>
              <w:jc w:val="right"/>
            </w:pPr>
            <w:r>
              <w:rPr>
                <w:rFonts w:cs="Times New Roman"/>
              </w:rPr>
              <w:t>100.000</w:t>
            </w:r>
          </w:p>
        </w:tc>
        <w:tc>
          <w:tcPr>
            <w:tcW w:w="2041" w:type="dxa"/>
          </w:tcPr>
          <w:p w:rsidR="00505632" w:rsidRDefault="00505632" w:rsidP="00AD4E52">
            <w:pPr>
              <w:pStyle w:val="CellColumn"/>
              <w:jc w:val="right"/>
            </w:pPr>
            <w:r>
              <w:rPr>
                <w:rFonts w:cs="Times New Roman"/>
              </w:rPr>
              <w:t>99.952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63,4</w:t>
            </w:r>
          </w:p>
        </w:tc>
      </w:tr>
    </w:tbl>
    <w:p w:rsidR="00505632" w:rsidRDefault="00505632" w:rsidP="00505632">
      <w:pPr>
        <w:pStyle w:val="Heading8"/>
        <w:jc w:val="left"/>
      </w:pPr>
    </w:p>
    <w:p w:rsidR="00505632" w:rsidRDefault="00505632" w:rsidP="00505632">
      <w:pPr>
        <w:pStyle w:val="Heading8"/>
        <w:jc w:val="left"/>
      </w:pPr>
      <w:r>
        <w:t>Opis aktivnosti</w:t>
      </w:r>
    </w:p>
    <w:p w:rsidR="00505632" w:rsidRDefault="00505632" w:rsidP="00505632">
      <w:r>
        <w:t xml:space="preserve">Početkom humanitarne migrantske krize, Krizni stožer je u potpunosti preuzeo odgovornosti za pružanje medicinske skrbi svim žrtvama humanitarne krize, za neosigurane i neidentificirane osobe. Medicinske usluge su pružene svim osobama u potrebi kroz izravnu kupnju zdravstvenih usluga od strane Kriznog stožera Ministarstva zdravstva, preusmjeravanjem sredstva iz programa Kriznog stožera iz primarne funkcije za kupnju zdravstvenih usluga neosiguranim i neidentificiranim osobama – migrantima. </w:t>
      </w:r>
    </w:p>
    <w:p w:rsidR="00505632" w:rsidRDefault="00505632" w:rsidP="00505632">
      <w:r>
        <w:t>Ovaj izvor financiranja je postao operativan u rujnu 2015. godine, a aktivnosti su se nastavile u 2016.godini za zdravstvene djelatnike uključene u zdravstvene ustanove: Zavodi za hitnu medicinu, Domovi zdravlja, Bolnice, Privremene zdravstvene ustanove u Prihvatnim centrima i za interventnu logističku potporu u lijekovima, sanitetskom materijalu i drugim medicinskim potrepštinama. Pored toga nabavljeni su dva potpuno mobilni moduli za rad na terenu, zaštitna oprema za medicinsko osoblje i službe reda u Prihvatnim centrima te zaštitna.</w:t>
      </w:r>
    </w:p>
    <w:p w:rsidR="00505632" w:rsidRDefault="00505632" w:rsidP="00505632">
      <w:pPr>
        <w:pStyle w:val="Heading4"/>
      </w:pPr>
      <w:r>
        <w:t>K618364 OBNOVA VOZNOG PARKA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K618364-OBNOVA VOZNOG PARKA</w:t>
            </w:r>
          </w:p>
        </w:tc>
        <w:tc>
          <w:tcPr>
            <w:tcW w:w="2041" w:type="dxa"/>
          </w:tcPr>
          <w:p w:rsidR="00505632" w:rsidRDefault="00505632" w:rsidP="00AD4E52">
            <w:pPr>
              <w:pStyle w:val="CellColumn"/>
              <w:jc w:val="right"/>
            </w:pPr>
            <w:r>
              <w:rPr>
                <w:rFonts w:cs="Times New Roman"/>
              </w:rPr>
              <w:t>715.528</w:t>
            </w:r>
          </w:p>
        </w:tc>
        <w:tc>
          <w:tcPr>
            <w:tcW w:w="2041" w:type="dxa"/>
          </w:tcPr>
          <w:p w:rsidR="00505632" w:rsidRDefault="00505632" w:rsidP="00AD4E52">
            <w:pPr>
              <w:pStyle w:val="CellColumn"/>
              <w:jc w:val="right"/>
            </w:pPr>
            <w:r>
              <w:rPr>
                <w:rFonts w:cs="Times New Roman"/>
              </w:rPr>
              <w:t>671.350</w:t>
            </w:r>
          </w:p>
        </w:tc>
        <w:tc>
          <w:tcPr>
            <w:tcW w:w="2041" w:type="dxa"/>
          </w:tcPr>
          <w:p w:rsidR="00505632" w:rsidRDefault="00505632" w:rsidP="00AD4E52">
            <w:pPr>
              <w:pStyle w:val="CellColumn"/>
              <w:jc w:val="right"/>
            </w:pPr>
            <w:r>
              <w:rPr>
                <w:rFonts w:cs="Times New Roman"/>
              </w:rPr>
              <w:t>670.884</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93,8</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Sredstva su bila osigurana za otplatu dvadeset četiri (24) službena automobila putem operativnog leasinga.</w:t>
      </w:r>
    </w:p>
    <w:p w:rsidR="00505632" w:rsidRDefault="00505632" w:rsidP="00505632">
      <w:pPr>
        <w:pStyle w:val="Heading4"/>
      </w:pPr>
      <w:r>
        <w:t>K794006 INFORMATIZACIJA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K794006-INFORMATIZACIJA</w:t>
            </w:r>
          </w:p>
        </w:tc>
        <w:tc>
          <w:tcPr>
            <w:tcW w:w="2041" w:type="dxa"/>
          </w:tcPr>
          <w:p w:rsidR="00505632" w:rsidRDefault="00505632" w:rsidP="00AD4E52">
            <w:pPr>
              <w:pStyle w:val="CellColumn"/>
              <w:jc w:val="right"/>
            </w:pPr>
            <w:r>
              <w:rPr>
                <w:rFonts w:cs="Times New Roman"/>
              </w:rPr>
              <w:t>7.489.501</w:t>
            </w:r>
          </w:p>
        </w:tc>
        <w:tc>
          <w:tcPr>
            <w:tcW w:w="2041" w:type="dxa"/>
          </w:tcPr>
          <w:p w:rsidR="00505632" w:rsidRDefault="00505632" w:rsidP="00AD4E52">
            <w:pPr>
              <w:pStyle w:val="CellColumn"/>
              <w:jc w:val="right"/>
            </w:pPr>
            <w:r>
              <w:rPr>
                <w:rFonts w:cs="Times New Roman"/>
              </w:rPr>
              <w:t>2.881.380</w:t>
            </w:r>
          </w:p>
        </w:tc>
        <w:tc>
          <w:tcPr>
            <w:tcW w:w="2041" w:type="dxa"/>
          </w:tcPr>
          <w:p w:rsidR="00505632" w:rsidRDefault="00505632" w:rsidP="00AD4E52">
            <w:pPr>
              <w:pStyle w:val="CellColumn"/>
              <w:jc w:val="right"/>
            </w:pPr>
            <w:r>
              <w:rPr>
                <w:rFonts w:cs="Times New Roman"/>
              </w:rPr>
              <w:t>2.870.443</w:t>
            </w:r>
          </w:p>
        </w:tc>
        <w:tc>
          <w:tcPr>
            <w:tcW w:w="1224" w:type="dxa"/>
          </w:tcPr>
          <w:p w:rsidR="00505632" w:rsidRDefault="00505632" w:rsidP="00AD4E52">
            <w:pPr>
              <w:pStyle w:val="CellColumn"/>
              <w:jc w:val="right"/>
            </w:pPr>
            <w:r>
              <w:rPr>
                <w:rFonts w:cs="Times New Roman"/>
              </w:rPr>
              <w:t>99,6</w:t>
            </w:r>
          </w:p>
        </w:tc>
        <w:tc>
          <w:tcPr>
            <w:tcW w:w="1224" w:type="dxa"/>
          </w:tcPr>
          <w:p w:rsidR="00505632" w:rsidRDefault="00505632" w:rsidP="00AD4E52">
            <w:pPr>
              <w:pStyle w:val="CellColumn"/>
              <w:jc w:val="right"/>
            </w:pPr>
            <w:r>
              <w:rPr>
                <w:rFonts w:cs="Times New Roman"/>
              </w:rPr>
              <w:t>38,3</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Sredstva su osigurana za poslovanje Ministarstva u užem smislu. Sredstva su bila dostatna samo za djelomična održavanja odnosno rješavanje kritičnih zastoja. Postupci javne nabave nisu se provodili zbog nedostatnosti sredstava.</w:t>
      </w:r>
    </w:p>
    <w:p w:rsidR="00505632" w:rsidRDefault="00505632" w:rsidP="00505632">
      <w:pPr>
        <w:pStyle w:val="Heading3"/>
      </w:pPr>
      <w:r>
        <w:rPr>
          <w:rFonts w:cs="Times New Roman"/>
        </w:rPr>
        <w:t>3605 SIGURNOST GRAĐANA I PRAVA NA ZDRAVSTVENE USLUGE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3605-SIGURNOST GRAĐANA I PRAVA NA ZDRAVSTVENE USLUGE</w:t>
            </w:r>
          </w:p>
        </w:tc>
        <w:tc>
          <w:tcPr>
            <w:tcW w:w="2041" w:type="dxa"/>
          </w:tcPr>
          <w:p w:rsidR="00505632" w:rsidRDefault="00505632" w:rsidP="00AD4E52">
            <w:pPr>
              <w:pStyle w:val="CellColumn"/>
              <w:jc w:val="right"/>
            </w:pPr>
            <w:r>
              <w:rPr>
                <w:rFonts w:cs="Times New Roman"/>
              </w:rPr>
              <w:t>2.400.000.000</w:t>
            </w:r>
          </w:p>
        </w:tc>
        <w:tc>
          <w:tcPr>
            <w:tcW w:w="2041" w:type="dxa"/>
          </w:tcPr>
          <w:p w:rsidR="00505632" w:rsidRDefault="00505632" w:rsidP="00AD4E52">
            <w:pPr>
              <w:pStyle w:val="CellColumn"/>
              <w:jc w:val="right"/>
            </w:pPr>
            <w:r>
              <w:rPr>
                <w:rFonts w:cs="Times New Roman"/>
              </w:rPr>
              <w:t>2.591.994.656</w:t>
            </w:r>
          </w:p>
        </w:tc>
        <w:tc>
          <w:tcPr>
            <w:tcW w:w="2041" w:type="dxa"/>
          </w:tcPr>
          <w:p w:rsidR="00505632" w:rsidRDefault="00505632" w:rsidP="00AD4E52">
            <w:pPr>
              <w:pStyle w:val="CellColumn"/>
              <w:jc w:val="right"/>
            </w:pPr>
            <w:r>
              <w:rPr>
                <w:rFonts w:cs="Times New Roman"/>
              </w:rPr>
              <w:t>2.591.994.655</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108,0</w:t>
            </w:r>
          </w:p>
        </w:tc>
      </w:tr>
    </w:tbl>
    <w:p w:rsidR="00505632" w:rsidRDefault="00505632" w:rsidP="00505632">
      <w:pPr>
        <w:jc w:val="left"/>
      </w:pPr>
    </w:p>
    <w:p w:rsidR="00505632" w:rsidRDefault="00505632" w:rsidP="00505632">
      <w:r>
        <w:t xml:space="preserve">Opći cilj ovog programa je osigurati zdravstvenu zaštitu i naknade osiguranim osobama HZZO-a (u daljnjem tekstu: Zavod), te kroz dopunsko zdravstveno osiguranje osigurati pokriće sudjelovanja u troškovima zdravstvene zaštite. </w:t>
      </w:r>
    </w:p>
    <w:p w:rsidR="00505632" w:rsidRDefault="00505632" w:rsidP="00505632">
      <w:r>
        <w:t xml:space="preserve">Zdravstvena djelatnost obavlja se na primarnoj, sekundarnoj i tercijarnoj razini te na razini zdravstvenih zavoda. </w:t>
      </w:r>
    </w:p>
    <w:p w:rsidR="00505632" w:rsidRDefault="00505632" w:rsidP="00505632">
      <w:r>
        <w:t xml:space="preserve">Zdravstvenu zaštitu iz obveznog zdravstvenog osiguranja na primarnoj razini osigurane osobe ostvaruju na osnovi slobodnog izbora doktora medicine i doktora dentalne medicine, u pravilu prema mjestu stanovanja, a prema odredbama općih akata Zavoda Zdravstvenu zaštitu iz obveznog zdravstvenog osiguranja na sekundarnoj i tercijarnoj razini osigurane osobe Zavoda ostvaruju osnovom uputnice ugovornog doktora primarne zdravstvene zaštite. </w:t>
      </w:r>
    </w:p>
    <w:p w:rsidR="00505632" w:rsidRDefault="00505632" w:rsidP="00505632">
      <w:r>
        <w:t xml:space="preserve">Specijalističko-konzilijarnu zdravstvenu zaštitu osigurana osoba ostvaruje u najbližoj ugovornoj zdravstvenoj ustanovi, odnosno kod najbližeg ugovornog zdravstvenog radnika privatne prakse prema mjestu svog prebivališta, odnosno boravka, koji sa Zavodom ima ugovor i osiguranoj osobi može pružiti zdravstvenu zaštitu, a na osnovi uputnice koju izdaje izabrani doktor primarne zdravstvene zaštite. Bolničku zdravstvenu zaštitu osigurana osoba ostvaruje u ugovornim bolničkim ustanovama za liječenje bolesnika od akutnih, sub akutnih i kroničnih bolesti na osnovu izdane uputnice za bolničko liječenje. </w:t>
      </w:r>
    </w:p>
    <w:p w:rsidR="00505632" w:rsidRDefault="00505632" w:rsidP="00505632">
      <w:r>
        <w:t xml:space="preserve">Osigurana osoba u okviru prava na zdravstvenu zaštitu iz obveznog zdravstvenog osiguranja ima pravo na korištenje lijekova koji su utvrđeni Odlukom o utvrđivanju Osnovne liste lijekova Zavoda i Odlukom o utvrđivanju Dopunske liste lijekova Zavoda. Osnovna lista lijekova sadrži medikoekonomski najsvrhovitije lijekove za liječenje svih bolesti. </w:t>
      </w:r>
    </w:p>
    <w:p w:rsidR="00505632" w:rsidRDefault="00505632" w:rsidP="00505632">
      <w:r>
        <w:t xml:space="preserve">Pridruživanjem Republike Hrvatske EU, osigurana osoba ima pravo na teret sredstava obveznog zdravstvenog osiguranja koristiti zdravstvenu zaštitu u drugim državama članicama i trećim državama. </w:t>
      </w:r>
    </w:p>
    <w:p w:rsidR="00505632" w:rsidRDefault="00505632" w:rsidP="00505632">
      <w:r>
        <w:t>Za program 3605 u Kliničkom bolničkom centru Zagreb za 2016. godinu utrošeno je 1.944.373,00 kuna za imunogenetsko testiranje dobrovoljnih darivatelja krvotvornih matičnih stanica za potrebe Hrvatskog registra dobrovoljnih darivatelja krvotvornih matičnih stanica.</w:t>
      </w:r>
    </w:p>
    <w:p w:rsidR="00505632" w:rsidRDefault="00505632" w:rsidP="00505632"/>
    <w:p w:rsidR="00505632" w:rsidRDefault="00505632" w:rsidP="00505632"/>
    <w:p w:rsidR="00505632" w:rsidRDefault="00505632" w:rsidP="00505632"/>
    <w:p w:rsidR="00505632" w:rsidRDefault="00505632" w:rsidP="00505632">
      <w:pPr>
        <w:pStyle w:val="Heading4"/>
      </w:pPr>
      <w:r>
        <w:t>A800003 TRANSFER PRORAČUNSKIH SREDSTAVA HRVATSKOM ZAVODU ZA ZDRAVSTVENO OSIGURANJE</w:t>
      </w:r>
    </w:p>
    <w:tbl>
      <w:tblPr>
        <w:tblStyle w:val="StilTablice"/>
        <w:tblW w:w="10206" w:type="dxa"/>
        <w:jc w:val="center"/>
        <w:tblLook w:val="04A0" w:firstRow="1" w:lastRow="0" w:firstColumn="1" w:lastColumn="0" w:noHBand="0" w:noVBand="1"/>
      </w:tblPr>
      <w:tblGrid>
        <w:gridCol w:w="1670"/>
        <w:gridCol w:w="2031"/>
        <w:gridCol w:w="2031"/>
        <w:gridCol w:w="2031"/>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A800003-TRANSFER PRORAČUNSKIH SREDSTAVA HRVATSKOM ZAVODU ZA ZDRAVSTVENO OSIGURANJE</w:t>
            </w:r>
          </w:p>
        </w:tc>
        <w:tc>
          <w:tcPr>
            <w:tcW w:w="2041" w:type="dxa"/>
          </w:tcPr>
          <w:p w:rsidR="00505632" w:rsidRDefault="00505632" w:rsidP="00AD4E52">
            <w:pPr>
              <w:pStyle w:val="CellColumn"/>
              <w:jc w:val="right"/>
            </w:pPr>
            <w:r>
              <w:rPr>
                <w:rFonts w:cs="Times New Roman"/>
              </w:rPr>
              <w:t>2.400.000.000</w:t>
            </w:r>
          </w:p>
        </w:tc>
        <w:tc>
          <w:tcPr>
            <w:tcW w:w="2041" w:type="dxa"/>
          </w:tcPr>
          <w:p w:rsidR="00505632" w:rsidRDefault="00505632" w:rsidP="00AD4E52">
            <w:pPr>
              <w:pStyle w:val="CellColumn"/>
              <w:jc w:val="right"/>
            </w:pPr>
            <w:r>
              <w:rPr>
                <w:rFonts w:cs="Times New Roman"/>
              </w:rPr>
              <w:t>2.450.000.000</w:t>
            </w:r>
          </w:p>
        </w:tc>
        <w:tc>
          <w:tcPr>
            <w:tcW w:w="2041" w:type="dxa"/>
          </w:tcPr>
          <w:p w:rsidR="00505632" w:rsidRDefault="00505632" w:rsidP="00AD4E52">
            <w:pPr>
              <w:pStyle w:val="CellColumn"/>
              <w:jc w:val="right"/>
            </w:pPr>
            <w:r>
              <w:rPr>
                <w:rFonts w:cs="Times New Roman"/>
              </w:rPr>
              <w:t>2.450.000.000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102,1</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Transferi proračunskih sredstava Hrvatskom zavodu za zdravstveno osiguranje za 2016. godinu planirani su u iznosu od 2.450.000.000 kn, sukladno čl. 72. i 82. Zakona o obveznom zdravstvenom osiguranju. Izvršeni u istom iznosu, a sredstva su utrošena za plaćanje usluga zdravstvene zaštite za osigurane osobe HZZO u obveznom zdravstvenom osiguranju , te za osiguranike čija se polica dopunskog zdravstvenog osiguranja osigurava na teret državnog proračuna. Kod posjeta liječniku obiteljske medicine i kod izdavanja lijeka na recepte osigurana osoba plaća 10 kn, te za osiguranike čija se polica dopunskog zdravstvenog osiguranja osigurava na teret državnog proračuna, ta sredstva se nadoknađuju iz državnog proračuna (navedenog transfera).</w:t>
      </w:r>
    </w:p>
    <w:p w:rsidR="00505632" w:rsidRDefault="00505632" w:rsidP="00505632">
      <w:pPr>
        <w:pStyle w:val="Heading2"/>
      </w:pPr>
      <w:r>
        <w:t>09620 Zdravstvene ustanove u vlasništvu države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26379-Klinički bolnički centar Rijeka</w:t>
            </w:r>
          </w:p>
        </w:tc>
        <w:tc>
          <w:tcPr>
            <w:tcW w:w="2041" w:type="dxa"/>
          </w:tcPr>
          <w:p w:rsidR="00505632" w:rsidRDefault="00505632" w:rsidP="00AD4E52">
            <w:pPr>
              <w:pStyle w:val="CellColumn"/>
              <w:jc w:val="right"/>
            </w:pPr>
            <w:r>
              <w:rPr>
                <w:rFonts w:cs="Times New Roman"/>
              </w:rPr>
              <w:t>792.066.907</w:t>
            </w:r>
          </w:p>
        </w:tc>
        <w:tc>
          <w:tcPr>
            <w:tcW w:w="2041" w:type="dxa"/>
          </w:tcPr>
          <w:p w:rsidR="00505632" w:rsidRDefault="00505632" w:rsidP="00AD4E52">
            <w:pPr>
              <w:pStyle w:val="CellColumn"/>
              <w:jc w:val="right"/>
            </w:pPr>
            <w:r>
              <w:rPr>
                <w:rFonts w:cs="Times New Roman"/>
              </w:rPr>
              <w:t>788.343.530</w:t>
            </w:r>
          </w:p>
        </w:tc>
        <w:tc>
          <w:tcPr>
            <w:tcW w:w="2041" w:type="dxa"/>
          </w:tcPr>
          <w:p w:rsidR="00505632" w:rsidRDefault="00505632" w:rsidP="00AD4E52">
            <w:pPr>
              <w:pStyle w:val="CellColumn"/>
              <w:jc w:val="right"/>
            </w:pPr>
            <w:r>
              <w:rPr>
                <w:rFonts w:cs="Times New Roman"/>
              </w:rPr>
              <w:t>800.237.214</w:t>
            </w:r>
          </w:p>
        </w:tc>
        <w:tc>
          <w:tcPr>
            <w:tcW w:w="1224" w:type="dxa"/>
          </w:tcPr>
          <w:p w:rsidR="00505632" w:rsidRDefault="00505632" w:rsidP="00AD4E52">
            <w:pPr>
              <w:pStyle w:val="CellColumn"/>
              <w:jc w:val="right"/>
            </w:pPr>
            <w:r>
              <w:rPr>
                <w:rFonts w:cs="Times New Roman"/>
              </w:rPr>
              <w:t>101,5</w:t>
            </w:r>
          </w:p>
        </w:tc>
        <w:tc>
          <w:tcPr>
            <w:tcW w:w="1224" w:type="dxa"/>
          </w:tcPr>
          <w:p w:rsidR="00505632" w:rsidRDefault="00505632" w:rsidP="00AD4E52">
            <w:pPr>
              <w:pStyle w:val="CellColumn"/>
              <w:jc w:val="right"/>
            </w:pPr>
            <w:r>
              <w:rPr>
                <w:rFonts w:cs="Times New Roman"/>
              </w:rPr>
              <w:t>101,0</w:t>
            </w:r>
          </w:p>
        </w:tc>
      </w:tr>
      <w:tr w:rsidR="00505632" w:rsidTr="00AD4E52">
        <w:trPr>
          <w:jc w:val="center"/>
        </w:trPr>
        <w:tc>
          <w:tcPr>
            <w:tcW w:w="1632" w:type="dxa"/>
          </w:tcPr>
          <w:p w:rsidR="00505632" w:rsidRDefault="00505632" w:rsidP="00AD4E52">
            <w:pPr>
              <w:pStyle w:val="CellColumn"/>
              <w:jc w:val="left"/>
            </w:pPr>
            <w:r>
              <w:rPr>
                <w:rFonts w:cs="Times New Roman"/>
              </w:rPr>
              <w:t>26387-Klinička bolnica Merkur</w:t>
            </w:r>
          </w:p>
        </w:tc>
        <w:tc>
          <w:tcPr>
            <w:tcW w:w="2041" w:type="dxa"/>
          </w:tcPr>
          <w:p w:rsidR="00505632" w:rsidRDefault="00505632" w:rsidP="00AD4E52">
            <w:pPr>
              <w:pStyle w:val="CellColumn"/>
              <w:jc w:val="right"/>
            </w:pPr>
            <w:r>
              <w:rPr>
                <w:rFonts w:cs="Times New Roman"/>
              </w:rPr>
              <w:t>320.466.482</w:t>
            </w:r>
          </w:p>
        </w:tc>
        <w:tc>
          <w:tcPr>
            <w:tcW w:w="2041" w:type="dxa"/>
          </w:tcPr>
          <w:p w:rsidR="00505632" w:rsidRDefault="00505632" w:rsidP="00AD4E52">
            <w:pPr>
              <w:pStyle w:val="CellColumn"/>
              <w:jc w:val="right"/>
            </w:pPr>
            <w:r>
              <w:rPr>
                <w:rFonts w:cs="Times New Roman"/>
              </w:rPr>
              <w:t>314.709.050</w:t>
            </w:r>
          </w:p>
        </w:tc>
        <w:tc>
          <w:tcPr>
            <w:tcW w:w="2041" w:type="dxa"/>
          </w:tcPr>
          <w:p w:rsidR="00505632" w:rsidRDefault="00505632" w:rsidP="00AD4E52">
            <w:pPr>
              <w:pStyle w:val="CellColumn"/>
              <w:jc w:val="right"/>
            </w:pPr>
            <w:r>
              <w:rPr>
                <w:rFonts w:cs="Times New Roman"/>
              </w:rPr>
              <w:t>340.458.506</w:t>
            </w:r>
          </w:p>
        </w:tc>
        <w:tc>
          <w:tcPr>
            <w:tcW w:w="1224" w:type="dxa"/>
          </w:tcPr>
          <w:p w:rsidR="00505632" w:rsidRDefault="00505632" w:rsidP="00AD4E52">
            <w:pPr>
              <w:pStyle w:val="CellColumn"/>
              <w:jc w:val="right"/>
            </w:pPr>
            <w:r>
              <w:rPr>
                <w:rFonts w:cs="Times New Roman"/>
              </w:rPr>
              <w:t>108,2</w:t>
            </w:r>
          </w:p>
        </w:tc>
        <w:tc>
          <w:tcPr>
            <w:tcW w:w="1224" w:type="dxa"/>
          </w:tcPr>
          <w:p w:rsidR="00505632" w:rsidRDefault="00505632" w:rsidP="00AD4E52">
            <w:pPr>
              <w:pStyle w:val="CellColumn"/>
              <w:jc w:val="right"/>
            </w:pPr>
            <w:r>
              <w:rPr>
                <w:rFonts w:cs="Times New Roman"/>
              </w:rPr>
              <w:t>106,2</w:t>
            </w:r>
          </w:p>
        </w:tc>
      </w:tr>
      <w:tr w:rsidR="00505632" w:rsidTr="00AD4E52">
        <w:trPr>
          <w:jc w:val="center"/>
        </w:trPr>
        <w:tc>
          <w:tcPr>
            <w:tcW w:w="1632" w:type="dxa"/>
          </w:tcPr>
          <w:p w:rsidR="00505632" w:rsidRDefault="00505632" w:rsidP="00AD4E52">
            <w:pPr>
              <w:pStyle w:val="CellColumn"/>
              <w:jc w:val="left"/>
            </w:pPr>
            <w:r>
              <w:rPr>
                <w:rFonts w:cs="Times New Roman"/>
              </w:rPr>
              <w:t>26395-Klinički bolnički centar Sestre milosrdnice</w:t>
            </w:r>
          </w:p>
        </w:tc>
        <w:tc>
          <w:tcPr>
            <w:tcW w:w="2041" w:type="dxa"/>
          </w:tcPr>
          <w:p w:rsidR="00505632" w:rsidRDefault="00505632" w:rsidP="00AD4E52">
            <w:pPr>
              <w:pStyle w:val="CellColumn"/>
              <w:jc w:val="right"/>
            </w:pPr>
            <w:r>
              <w:rPr>
                <w:rFonts w:cs="Times New Roman"/>
              </w:rPr>
              <w:t>819.709.338</w:t>
            </w:r>
          </w:p>
        </w:tc>
        <w:tc>
          <w:tcPr>
            <w:tcW w:w="2041" w:type="dxa"/>
          </w:tcPr>
          <w:p w:rsidR="00505632" w:rsidRDefault="00505632" w:rsidP="00AD4E52">
            <w:pPr>
              <w:pStyle w:val="CellColumn"/>
              <w:jc w:val="right"/>
            </w:pPr>
            <w:r>
              <w:rPr>
                <w:rFonts w:cs="Times New Roman"/>
              </w:rPr>
              <w:t>829.516.900</w:t>
            </w:r>
          </w:p>
        </w:tc>
        <w:tc>
          <w:tcPr>
            <w:tcW w:w="2041" w:type="dxa"/>
          </w:tcPr>
          <w:p w:rsidR="00505632" w:rsidRDefault="00505632" w:rsidP="00AD4E52">
            <w:pPr>
              <w:pStyle w:val="CellColumn"/>
              <w:jc w:val="right"/>
            </w:pPr>
            <w:r>
              <w:rPr>
                <w:rFonts w:cs="Times New Roman"/>
              </w:rPr>
              <w:t>875.834.089</w:t>
            </w:r>
          </w:p>
        </w:tc>
        <w:tc>
          <w:tcPr>
            <w:tcW w:w="1224" w:type="dxa"/>
          </w:tcPr>
          <w:p w:rsidR="00505632" w:rsidRDefault="00505632" w:rsidP="00AD4E52">
            <w:pPr>
              <w:pStyle w:val="CellColumn"/>
              <w:jc w:val="right"/>
            </w:pPr>
            <w:r>
              <w:rPr>
                <w:rFonts w:cs="Times New Roman"/>
              </w:rPr>
              <w:t>105,6</w:t>
            </w:r>
          </w:p>
        </w:tc>
        <w:tc>
          <w:tcPr>
            <w:tcW w:w="1224" w:type="dxa"/>
          </w:tcPr>
          <w:p w:rsidR="00505632" w:rsidRDefault="00505632" w:rsidP="00AD4E52">
            <w:pPr>
              <w:pStyle w:val="CellColumn"/>
              <w:jc w:val="right"/>
            </w:pPr>
            <w:r>
              <w:rPr>
                <w:rFonts w:cs="Times New Roman"/>
              </w:rPr>
              <w:t>106,8</w:t>
            </w:r>
          </w:p>
        </w:tc>
      </w:tr>
      <w:tr w:rsidR="00505632" w:rsidTr="00AD4E52">
        <w:trPr>
          <w:jc w:val="center"/>
        </w:trPr>
        <w:tc>
          <w:tcPr>
            <w:tcW w:w="1632" w:type="dxa"/>
          </w:tcPr>
          <w:p w:rsidR="00505632" w:rsidRDefault="00505632" w:rsidP="00AD4E52">
            <w:pPr>
              <w:pStyle w:val="CellColumn"/>
              <w:jc w:val="left"/>
            </w:pPr>
            <w:r>
              <w:rPr>
                <w:rFonts w:cs="Times New Roman"/>
              </w:rPr>
              <w:t>26400-Klinički bolnički centar Osijek</w:t>
            </w:r>
          </w:p>
        </w:tc>
        <w:tc>
          <w:tcPr>
            <w:tcW w:w="2041" w:type="dxa"/>
          </w:tcPr>
          <w:p w:rsidR="00505632" w:rsidRDefault="00505632" w:rsidP="00AD4E52">
            <w:pPr>
              <w:pStyle w:val="CellColumn"/>
              <w:jc w:val="right"/>
            </w:pPr>
            <w:r>
              <w:rPr>
                <w:rFonts w:cs="Times New Roman"/>
              </w:rPr>
              <w:t>670.182.875</w:t>
            </w:r>
          </w:p>
        </w:tc>
        <w:tc>
          <w:tcPr>
            <w:tcW w:w="2041" w:type="dxa"/>
          </w:tcPr>
          <w:p w:rsidR="00505632" w:rsidRDefault="00505632" w:rsidP="00AD4E52">
            <w:pPr>
              <w:pStyle w:val="CellColumn"/>
              <w:jc w:val="right"/>
            </w:pPr>
            <w:r>
              <w:rPr>
                <w:rFonts w:cs="Times New Roman"/>
              </w:rPr>
              <w:t>666.001.730</w:t>
            </w:r>
          </w:p>
        </w:tc>
        <w:tc>
          <w:tcPr>
            <w:tcW w:w="2041" w:type="dxa"/>
          </w:tcPr>
          <w:p w:rsidR="00505632" w:rsidRDefault="00505632" w:rsidP="00AD4E52">
            <w:pPr>
              <w:pStyle w:val="CellColumn"/>
              <w:jc w:val="right"/>
            </w:pPr>
            <w:r>
              <w:rPr>
                <w:rFonts w:cs="Times New Roman"/>
              </w:rPr>
              <w:t>753.790.829</w:t>
            </w:r>
          </w:p>
        </w:tc>
        <w:tc>
          <w:tcPr>
            <w:tcW w:w="1224" w:type="dxa"/>
          </w:tcPr>
          <w:p w:rsidR="00505632" w:rsidRDefault="00505632" w:rsidP="00AD4E52">
            <w:pPr>
              <w:pStyle w:val="CellColumn"/>
              <w:jc w:val="right"/>
            </w:pPr>
            <w:r>
              <w:rPr>
                <w:rFonts w:cs="Times New Roman"/>
              </w:rPr>
              <w:t>113,2</w:t>
            </w:r>
          </w:p>
        </w:tc>
        <w:tc>
          <w:tcPr>
            <w:tcW w:w="1224" w:type="dxa"/>
          </w:tcPr>
          <w:p w:rsidR="00505632" w:rsidRDefault="00505632" w:rsidP="00AD4E52">
            <w:pPr>
              <w:pStyle w:val="CellColumn"/>
              <w:jc w:val="right"/>
            </w:pPr>
            <w:r>
              <w:rPr>
                <w:rFonts w:cs="Times New Roman"/>
              </w:rPr>
              <w:t>112,5</w:t>
            </w:r>
          </w:p>
        </w:tc>
      </w:tr>
      <w:tr w:rsidR="00505632" w:rsidTr="00AD4E52">
        <w:trPr>
          <w:jc w:val="center"/>
        </w:trPr>
        <w:tc>
          <w:tcPr>
            <w:tcW w:w="1632" w:type="dxa"/>
          </w:tcPr>
          <w:p w:rsidR="00505632" w:rsidRDefault="00505632" w:rsidP="00AD4E52">
            <w:pPr>
              <w:pStyle w:val="CellColumn"/>
              <w:jc w:val="left"/>
            </w:pPr>
            <w:r>
              <w:rPr>
                <w:rFonts w:cs="Times New Roman"/>
              </w:rPr>
              <w:t>26418-Klinički bolnički centar Split</w:t>
            </w:r>
          </w:p>
        </w:tc>
        <w:tc>
          <w:tcPr>
            <w:tcW w:w="2041" w:type="dxa"/>
          </w:tcPr>
          <w:p w:rsidR="00505632" w:rsidRDefault="00505632" w:rsidP="00AD4E52">
            <w:pPr>
              <w:pStyle w:val="CellColumn"/>
              <w:jc w:val="right"/>
            </w:pPr>
            <w:r>
              <w:rPr>
                <w:rFonts w:cs="Times New Roman"/>
              </w:rPr>
              <w:t>876.965.323</w:t>
            </w:r>
          </w:p>
        </w:tc>
        <w:tc>
          <w:tcPr>
            <w:tcW w:w="2041" w:type="dxa"/>
          </w:tcPr>
          <w:p w:rsidR="00505632" w:rsidRDefault="00505632" w:rsidP="00AD4E52">
            <w:pPr>
              <w:pStyle w:val="CellColumn"/>
              <w:jc w:val="right"/>
            </w:pPr>
            <w:r>
              <w:rPr>
                <w:rFonts w:cs="Times New Roman"/>
              </w:rPr>
              <w:t>853.167.130</w:t>
            </w:r>
          </w:p>
        </w:tc>
        <w:tc>
          <w:tcPr>
            <w:tcW w:w="2041" w:type="dxa"/>
          </w:tcPr>
          <w:p w:rsidR="00505632" w:rsidRDefault="00505632" w:rsidP="00AD4E52">
            <w:pPr>
              <w:pStyle w:val="CellColumn"/>
              <w:jc w:val="right"/>
            </w:pPr>
            <w:r>
              <w:rPr>
                <w:rFonts w:cs="Times New Roman"/>
              </w:rPr>
              <w:t>882.026.853</w:t>
            </w:r>
          </w:p>
        </w:tc>
        <w:tc>
          <w:tcPr>
            <w:tcW w:w="1224" w:type="dxa"/>
          </w:tcPr>
          <w:p w:rsidR="00505632" w:rsidRDefault="00505632" w:rsidP="00AD4E52">
            <w:pPr>
              <w:pStyle w:val="CellColumn"/>
              <w:jc w:val="right"/>
            </w:pPr>
            <w:r>
              <w:rPr>
                <w:rFonts w:cs="Times New Roman"/>
              </w:rPr>
              <w:t>103,4</w:t>
            </w:r>
          </w:p>
        </w:tc>
        <w:tc>
          <w:tcPr>
            <w:tcW w:w="1224" w:type="dxa"/>
          </w:tcPr>
          <w:p w:rsidR="00505632" w:rsidRDefault="00505632" w:rsidP="00AD4E52">
            <w:pPr>
              <w:pStyle w:val="CellColumn"/>
              <w:jc w:val="right"/>
            </w:pPr>
            <w:r>
              <w:rPr>
                <w:rFonts w:cs="Times New Roman"/>
              </w:rPr>
              <w:t>100,6</w:t>
            </w:r>
          </w:p>
        </w:tc>
      </w:tr>
      <w:tr w:rsidR="00505632" w:rsidTr="00AD4E52">
        <w:trPr>
          <w:jc w:val="center"/>
        </w:trPr>
        <w:tc>
          <w:tcPr>
            <w:tcW w:w="1632" w:type="dxa"/>
          </w:tcPr>
          <w:p w:rsidR="00505632" w:rsidRDefault="00505632" w:rsidP="00AD4E52">
            <w:pPr>
              <w:pStyle w:val="CellColumn"/>
              <w:jc w:val="left"/>
            </w:pPr>
            <w:r>
              <w:rPr>
                <w:rFonts w:cs="Times New Roman"/>
              </w:rPr>
              <w:t>26426-Klinika za ortopediju Lovran</w:t>
            </w:r>
          </w:p>
        </w:tc>
        <w:tc>
          <w:tcPr>
            <w:tcW w:w="2041" w:type="dxa"/>
          </w:tcPr>
          <w:p w:rsidR="00505632" w:rsidRDefault="00505632" w:rsidP="00AD4E52">
            <w:pPr>
              <w:pStyle w:val="CellColumn"/>
              <w:jc w:val="right"/>
            </w:pPr>
            <w:r>
              <w:rPr>
                <w:rFonts w:cs="Times New Roman"/>
              </w:rPr>
              <w:t>56.158.525</w:t>
            </w:r>
          </w:p>
        </w:tc>
        <w:tc>
          <w:tcPr>
            <w:tcW w:w="2041" w:type="dxa"/>
          </w:tcPr>
          <w:p w:rsidR="00505632" w:rsidRDefault="00505632" w:rsidP="00AD4E52">
            <w:pPr>
              <w:pStyle w:val="CellColumn"/>
              <w:jc w:val="right"/>
            </w:pPr>
            <w:r>
              <w:rPr>
                <w:rFonts w:cs="Times New Roman"/>
              </w:rPr>
              <w:t>56.110.000</w:t>
            </w:r>
          </w:p>
        </w:tc>
        <w:tc>
          <w:tcPr>
            <w:tcW w:w="2041" w:type="dxa"/>
          </w:tcPr>
          <w:p w:rsidR="00505632" w:rsidRDefault="00505632" w:rsidP="00AD4E52">
            <w:pPr>
              <w:pStyle w:val="CellColumn"/>
              <w:jc w:val="right"/>
            </w:pPr>
            <w:r>
              <w:rPr>
                <w:rFonts w:cs="Times New Roman"/>
              </w:rPr>
              <w:t>53.924.680</w:t>
            </w:r>
          </w:p>
        </w:tc>
        <w:tc>
          <w:tcPr>
            <w:tcW w:w="1224" w:type="dxa"/>
          </w:tcPr>
          <w:p w:rsidR="00505632" w:rsidRDefault="00505632" w:rsidP="00AD4E52">
            <w:pPr>
              <w:pStyle w:val="CellColumn"/>
              <w:jc w:val="right"/>
            </w:pPr>
            <w:r>
              <w:rPr>
                <w:rFonts w:cs="Times New Roman"/>
              </w:rPr>
              <w:t>96,1</w:t>
            </w:r>
          </w:p>
        </w:tc>
        <w:tc>
          <w:tcPr>
            <w:tcW w:w="1224" w:type="dxa"/>
          </w:tcPr>
          <w:p w:rsidR="00505632" w:rsidRDefault="00505632" w:rsidP="00AD4E52">
            <w:pPr>
              <w:pStyle w:val="CellColumn"/>
              <w:jc w:val="right"/>
            </w:pPr>
            <w:r>
              <w:rPr>
                <w:rFonts w:cs="Times New Roman"/>
              </w:rPr>
              <w:t>96,0</w:t>
            </w:r>
          </w:p>
        </w:tc>
      </w:tr>
      <w:tr w:rsidR="00505632" w:rsidTr="00AD4E52">
        <w:trPr>
          <w:jc w:val="center"/>
        </w:trPr>
        <w:tc>
          <w:tcPr>
            <w:tcW w:w="1632" w:type="dxa"/>
          </w:tcPr>
          <w:p w:rsidR="00505632" w:rsidRDefault="00505632" w:rsidP="00AD4E52">
            <w:pPr>
              <w:pStyle w:val="CellColumn"/>
              <w:jc w:val="left"/>
            </w:pPr>
            <w:r>
              <w:rPr>
                <w:rFonts w:cs="Times New Roman"/>
              </w:rPr>
              <w:t>26459-Klinika za infektivne bolesti dr. Fran Mihaljević</w:t>
            </w:r>
          </w:p>
        </w:tc>
        <w:tc>
          <w:tcPr>
            <w:tcW w:w="2041" w:type="dxa"/>
          </w:tcPr>
          <w:p w:rsidR="00505632" w:rsidRDefault="00505632" w:rsidP="00AD4E52">
            <w:pPr>
              <w:pStyle w:val="CellColumn"/>
              <w:jc w:val="right"/>
            </w:pPr>
            <w:r>
              <w:rPr>
                <w:rFonts w:cs="Times New Roman"/>
              </w:rPr>
              <w:t>167.029.693</w:t>
            </w:r>
          </w:p>
        </w:tc>
        <w:tc>
          <w:tcPr>
            <w:tcW w:w="2041" w:type="dxa"/>
          </w:tcPr>
          <w:p w:rsidR="00505632" w:rsidRDefault="00505632" w:rsidP="00AD4E52">
            <w:pPr>
              <w:pStyle w:val="CellColumn"/>
              <w:jc w:val="right"/>
            </w:pPr>
            <w:r>
              <w:rPr>
                <w:rFonts w:cs="Times New Roman"/>
              </w:rPr>
              <w:t>189.236.730</w:t>
            </w:r>
          </w:p>
        </w:tc>
        <w:tc>
          <w:tcPr>
            <w:tcW w:w="2041" w:type="dxa"/>
          </w:tcPr>
          <w:p w:rsidR="00505632" w:rsidRDefault="00505632" w:rsidP="00AD4E52">
            <w:pPr>
              <w:pStyle w:val="CellColumn"/>
              <w:jc w:val="right"/>
            </w:pPr>
            <w:r>
              <w:rPr>
                <w:rFonts w:cs="Times New Roman"/>
              </w:rPr>
              <w:t>212.268.722</w:t>
            </w:r>
          </w:p>
        </w:tc>
        <w:tc>
          <w:tcPr>
            <w:tcW w:w="1224" w:type="dxa"/>
          </w:tcPr>
          <w:p w:rsidR="00505632" w:rsidRDefault="00505632" w:rsidP="00AD4E52">
            <w:pPr>
              <w:pStyle w:val="CellColumn"/>
              <w:jc w:val="right"/>
            </w:pPr>
            <w:r>
              <w:rPr>
                <w:rFonts w:cs="Times New Roman"/>
              </w:rPr>
              <w:t>112,2</w:t>
            </w:r>
          </w:p>
        </w:tc>
        <w:tc>
          <w:tcPr>
            <w:tcW w:w="1224" w:type="dxa"/>
          </w:tcPr>
          <w:p w:rsidR="00505632" w:rsidRDefault="00505632" w:rsidP="00AD4E52">
            <w:pPr>
              <w:pStyle w:val="CellColumn"/>
              <w:jc w:val="right"/>
            </w:pPr>
            <w:r>
              <w:rPr>
                <w:rFonts w:cs="Times New Roman"/>
              </w:rPr>
              <w:t>127,1</w:t>
            </w:r>
          </w:p>
        </w:tc>
      </w:tr>
      <w:tr w:rsidR="00505632" w:rsidTr="00AD4E52">
        <w:trPr>
          <w:jc w:val="center"/>
        </w:trPr>
        <w:tc>
          <w:tcPr>
            <w:tcW w:w="1632" w:type="dxa"/>
          </w:tcPr>
          <w:p w:rsidR="00505632" w:rsidRDefault="00505632" w:rsidP="00AD4E52">
            <w:pPr>
              <w:pStyle w:val="CellColumn"/>
              <w:jc w:val="left"/>
            </w:pPr>
            <w:r>
              <w:rPr>
                <w:rFonts w:cs="Times New Roman"/>
              </w:rPr>
              <w:t>26571-Klinička bolnica Dubrava</w:t>
            </w:r>
          </w:p>
        </w:tc>
        <w:tc>
          <w:tcPr>
            <w:tcW w:w="2041" w:type="dxa"/>
          </w:tcPr>
          <w:p w:rsidR="00505632" w:rsidRDefault="00505632" w:rsidP="00AD4E52">
            <w:pPr>
              <w:pStyle w:val="CellColumn"/>
              <w:jc w:val="right"/>
            </w:pPr>
            <w:r>
              <w:rPr>
                <w:rFonts w:cs="Times New Roman"/>
              </w:rPr>
              <w:t>468.958.987</w:t>
            </w:r>
          </w:p>
        </w:tc>
        <w:tc>
          <w:tcPr>
            <w:tcW w:w="2041" w:type="dxa"/>
          </w:tcPr>
          <w:p w:rsidR="00505632" w:rsidRDefault="00505632" w:rsidP="00AD4E52">
            <w:pPr>
              <w:pStyle w:val="CellColumn"/>
              <w:jc w:val="right"/>
            </w:pPr>
            <w:r>
              <w:rPr>
                <w:rFonts w:cs="Times New Roman"/>
              </w:rPr>
              <w:t>468.735.710</w:t>
            </w:r>
          </w:p>
        </w:tc>
        <w:tc>
          <w:tcPr>
            <w:tcW w:w="2041" w:type="dxa"/>
          </w:tcPr>
          <w:p w:rsidR="00505632" w:rsidRDefault="00505632" w:rsidP="00AD4E52">
            <w:pPr>
              <w:pStyle w:val="CellColumn"/>
              <w:jc w:val="right"/>
            </w:pPr>
            <w:r>
              <w:rPr>
                <w:rFonts w:cs="Times New Roman"/>
              </w:rPr>
              <w:t>492.125.621</w:t>
            </w:r>
          </w:p>
        </w:tc>
        <w:tc>
          <w:tcPr>
            <w:tcW w:w="1224" w:type="dxa"/>
          </w:tcPr>
          <w:p w:rsidR="00505632" w:rsidRDefault="00505632" w:rsidP="00AD4E52">
            <w:pPr>
              <w:pStyle w:val="CellColumn"/>
              <w:jc w:val="right"/>
            </w:pPr>
            <w:r>
              <w:rPr>
                <w:rFonts w:cs="Times New Roman"/>
              </w:rPr>
              <w:t>105,0</w:t>
            </w:r>
          </w:p>
        </w:tc>
        <w:tc>
          <w:tcPr>
            <w:tcW w:w="1224" w:type="dxa"/>
          </w:tcPr>
          <w:p w:rsidR="00505632" w:rsidRDefault="00505632" w:rsidP="00AD4E52">
            <w:pPr>
              <w:pStyle w:val="CellColumn"/>
              <w:jc w:val="right"/>
            </w:pPr>
            <w:r>
              <w:rPr>
                <w:rFonts w:cs="Times New Roman"/>
              </w:rPr>
              <w:t>104,9</w:t>
            </w:r>
          </w:p>
        </w:tc>
      </w:tr>
      <w:tr w:rsidR="00505632" w:rsidTr="00AD4E52">
        <w:trPr>
          <w:jc w:val="center"/>
        </w:trPr>
        <w:tc>
          <w:tcPr>
            <w:tcW w:w="1632" w:type="dxa"/>
          </w:tcPr>
          <w:p w:rsidR="00505632" w:rsidRDefault="00505632" w:rsidP="00AD4E52">
            <w:pPr>
              <w:pStyle w:val="CellColumn"/>
              <w:jc w:val="left"/>
            </w:pPr>
            <w:r>
              <w:rPr>
                <w:rFonts w:cs="Times New Roman"/>
              </w:rPr>
              <w:t>38069-Klinički bolnički centar Zagreb</w:t>
            </w:r>
          </w:p>
        </w:tc>
        <w:tc>
          <w:tcPr>
            <w:tcW w:w="2041" w:type="dxa"/>
          </w:tcPr>
          <w:p w:rsidR="00505632" w:rsidRDefault="00505632" w:rsidP="00AD4E52">
            <w:pPr>
              <w:pStyle w:val="CellColumn"/>
              <w:jc w:val="right"/>
            </w:pPr>
            <w:r>
              <w:rPr>
                <w:rFonts w:cs="Times New Roman"/>
              </w:rPr>
              <w:t>1.566.632.004</w:t>
            </w:r>
          </w:p>
        </w:tc>
        <w:tc>
          <w:tcPr>
            <w:tcW w:w="2041" w:type="dxa"/>
          </w:tcPr>
          <w:p w:rsidR="00505632" w:rsidRDefault="00505632" w:rsidP="00AD4E52">
            <w:pPr>
              <w:pStyle w:val="CellColumn"/>
              <w:jc w:val="right"/>
            </w:pPr>
            <w:r>
              <w:rPr>
                <w:rFonts w:cs="Times New Roman"/>
              </w:rPr>
              <w:t>1.563.461.300</w:t>
            </w:r>
          </w:p>
        </w:tc>
        <w:tc>
          <w:tcPr>
            <w:tcW w:w="2041" w:type="dxa"/>
          </w:tcPr>
          <w:p w:rsidR="00505632" w:rsidRDefault="00505632" w:rsidP="00AD4E52">
            <w:pPr>
              <w:pStyle w:val="CellColumn"/>
              <w:jc w:val="right"/>
            </w:pPr>
            <w:r>
              <w:rPr>
                <w:rFonts w:cs="Times New Roman"/>
              </w:rPr>
              <w:t>1.661.825.391</w:t>
            </w:r>
          </w:p>
        </w:tc>
        <w:tc>
          <w:tcPr>
            <w:tcW w:w="1224" w:type="dxa"/>
          </w:tcPr>
          <w:p w:rsidR="00505632" w:rsidRDefault="00505632" w:rsidP="00AD4E52">
            <w:pPr>
              <w:pStyle w:val="CellColumn"/>
              <w:jc w:val="right"/>
            </w:pPr>
            <w:r>
              <w:rPr>
                <w:rFonts w:cs="Times New Roman"/>
              </w:rPr>
              <w:t>106,3</w:t>
            </w:r>
          </w:p>
        </w:tc>
        <w:tc>
          <w:tcPr>
            <w:tcW w:w="1224" w:type="dxa"/>
          </w:tcPr>
          <w:p w:rsidR="00505632" w:rsidRDefault="00505632" w:rsidP="00AD4E52">
            <w:pPr>
              <w:pStyle w:val="CellColumn"/>
              <w:jc w:val="right"/>
            </w:pPr>
            <w:r>
              <w:rPr>
                <w:rFonts w:cs="Times New Roman"/>
              </w:rPr>
              <w:t>106,1</w:t>
            </w:r>
          </w:p>
        </w:tc>
      </w:tr>
      <w:tr w:rsidR="00505632" w:rsidTr="00AD4E52">
        <w:trPr>
          <w:jc w:val="center"/>
        </w:trPr>
        <w:tc>
          <w:tcPr>
            <w:tcW w:w="1632" w:type="dxa"/>
          </w:tcPr>
          <w:p w:rsidR="00505632" w:rsidRDefault="00505632" w:rsidP="00AD4E52">
            <w:pPr>
              <w:pStyle w:val="CellColumn"/>
              <w:jc w:val="left"/>
            </w:pPr>
            <w:r>
              <w:rPr>
                <w:rFonts w:cs="Times New Roman"/>
              </w:rPr>
              <w:t>47893-Klinika za dječje bolesti Zagreb</w:t>
            </w:r>
          </w:p>
        </w:tc>
        <w:tc>
          <w:tcPr>
            <w:tcW w:w="2041" w:type="dxa"/>
          </w:tcPr>
          <w:p w:rsidR="00505632" w:rsidRDefault="00505632" w:rsidP="00AD4E52">
            <w:pPr>
              <w:pStyle w:val="CellColumn"/>
              <w:jc w:val="right"/>
            </w:pPr>
            <w:r>
              <w:rPr>
                <w:rFonts w:cs="Times New Roman"/>
              </w:rPr>
              <w:t>144.805.851</w:t>
            </w:r>
          </w:p>
        </w:tc>
        <w:tc>
          <w:tcPr>
            <w:tcW w:w="2041" w:type="dxa"/>
          </w:tcPr>
          <w:p w:rsidR="00505632" w:rsidRDefault="00505632" w:rsidP="00AD4E52">
            <w:pPr>
              <w:pStyle w:val="CellColumn"/>
              <w:jc w:val="right"/>
            </w:pPr>
            <w:r>
              <w:rPr>
                <w:rFonts w:cs="Times New Roman"/>
              </w:rPr>
              <w:t>145.487.070</w:t>
            </w:r>
          </w:p>
        </w:tc>
        <w:tc>
          <w:tcPr>
            <w:tcW w:w="2041" w:type="dxa"/>
          </w:tcPr>
          <w:p w:rsidR="00505632" w:rsidRDefault="00505632" w:rsidP="00AD4E52">
            <w:pPr>
              <w:pStyle w:val="CellColumn"/>
              <w:jc w:val="right"/>
            </w:pPr>
            <w:r>
              <w:rPr>
                <w:rFonts w:cs="Times New Roman"/>
              </w:rPr>
              <w:t>167.582.187</w:t>
            </w:r>
          </w:p>
        </w:tc>
        <w:tc>
          <w:tcPr>
            <w:tcW w:w="1224" w:type="dxa"/>
          </w:tcPr>
          <w:p w:rsidR="00505632" w:rsidRDefault="00505632" w:rsidP="00AD4E52">
            <w:pPr>
              <w:pStyle w:val="CellColumn"/>
              <w:jc w:val="right"/>
            </w:pPr>
            <w:r>
              <w:rPr>
                <w:rFonts w:cs="Times New Roman"/>
              </w:rPr>
              <w:t>115,2</w:t>
            </w:r>
          </w:p>
        </w:tc>
        <w:tc>
          <w:tcPr>
            <w:tcW w:w="1224" w:type="dxa"/>
          </w:tcPr>
          <w:p w:rsidR="00505632" w:rsidRDefault="00505632" w:rsidP="00AD4E52">
            <w:pPr>
              <w:pStyle w:val="CellColumn"/>
              <w:jc w:val="right"/>
            </w:pPr>
            <w:r>
              <w:rPr>
                <w:rFonts w:cs="Times New Roman"/>
              </w:rPr>
              <w:t>115,7</w:t>
            </w:r>
          </w:p>
        </w:tc>
      </w:tr>
    </w:tbl>
    <w:p w:rsidR="00505632" w:rsidRDefault="00505632" w:rsidP="00505632">
      <w:pPr>
        <w:jc w:val="left"/>
      </w:pPr>
    </w:p>
    <w:p w:rsidR="00505632" w:rsidRDefault="00505632" w:rsidP="00505632">
      <w:pPr>
        <w:pStyle w:val="Heading3"/>
      </w:pPr>
      <w:r>
        <w:rPr>
          <w:rFonts w:cs="Times New Roman"/>
        </w:rPr>
        <w:t>26379 Klinički bolnički centar Rijeka</w:t>
      </w:r>
    </w:p>
    <w:p w:rsidR="00505632" w:rsidRDefault="00505632" w:rsidP="00505632">
      <w:r>
        <w:t xml:space="preserve">KBC Rijeka izvršava usluge zdravstvene zaštite sukladno ugovoru s HZZO-om (Ugovoru o provođenju bolničke i specijalističko konzilijarne zdravstvene zaštite bolesnika oboljelih od akutnih bolesti za 2016. godinu).  </w:t>
      </w:r>
    </w:p>
    <w:p w:rsidR="00505632" w:rsidRDefault="00505632" w:rsidP="00505632">
      <w:r>
        <w:t xml:space="preserve">Navedenim Ugovorom su ugovorene zdravstvene djelatnosti te su ugovorene slijedeće aktivnosti:  </w:t>
      </w:r>
    </w:p>
    <w:p w:rsidR="00505632" w:rsidRDefault="00505632" w:rsidP="00505632">
      <w:r>
        <w:t xml:space="preserve">Stacionarna zdravstvena zaštita i specijalističko konzilijarna zdravstvena zaštita, medicinska oplodnja, intervencijska kardiologija, intervencijska neurologija, posebno skupi lijekovi, transplantacije, eksplantacije, unapređenje zdravstvene zaštite (posebni program – stomatološka zaštita), rano otkrivanje zloćudnih bolesti (screening), transfuzijska medicina, liječenje inozemnih osiguranika u Republici Hrvatskoj, zdravstvena zaštita na radu.  </w:t>
      </w:r>
    </w:p>
    <w:p w:rsidR="00505632" w:rsidRDefault="00505632" w:rsidP="00505632">
      <w:r>
        <w:t xml:space="preserve">Za svaku djelatnost je ugovoren broj kreveta u stacionaru, stolica u dnevnoj bolnici i broj ambulanti u poliklinici.  </w:t>
      </w:r>
    </w:p>
    <w:p w:rsidR="00505632" w:rsidRDefault="00505632" w:rsidP="00505632">
      <w:r>
        <w:t xml:space="preserve">Osim navedenog za svaku djelatnost i aktivnost je ugovoren broj usluga (po vrstama) koji se mora izvršiti u 2016. godini. Namjenska sredstva sukladno navedenom Ugovoru koristila su se za liječenje pacijenata (pružanje zdravstvenih usluga). </w:t>
      </w:r>
    </w:p>
    <w:p w:rsidR="00505632" w:rsidRDefault="00505632" w:rsidP="00505632">
      <w:r>
        <w:t xml:space="preserve">1. NATURALNI POKAZATELJI </w:t>
      </w:r>
    </w:p>
    <w:p w:rsidR="00505632" w:rsidRDefault="00505632" w:rsidP="00505632">
      <w:r>
        <w:t xml:space="preserve">1.1. STACIONAR </w:t>
      </w:r>
    </w:p>
    <w:p w:rsidR="00505632" w:rsidRDefault="00505632" w:rsidP="00505632">
      <w:r>
        <w:t xml:space="preserve">1.1.1. Broj pacijenata u razdoblju siječanj – prosinac 2016. godine iznosi 44.075 odnosno za 2,84 % manje u odnosu na razdoblje siječanj – prosinac 2015. godine. </w:t>
      </w:r>
    </w:p>
    <w:p w:rsidR="00505632" w:rsidRDefault="00505632" w:rsidP="00505632">
      <w:r>
        <w:t xml:space="preserve">1.1.2. Prosječno ležanje pacijenata je 6,09  dana odnosno za 1,05 % manje u odnosu na razdoblje siječanj – prosinac 2015. godine.   </w:t>
      </w:r>
    </w:p>
    <w:p w:rsidR="00505632" w:rsidRDefault="00505632" w:rsidP="00505632">
      <w:r>
        <w:t xml:space="preserve">1.1.3. Popunjenost kapaciteta u razdoblju siječanj – prosinac 2016. godine iznosi 68,62 % odnosno  </w:t>
      </w:r>
    </w:p>
    <w:p w:rsidR="00505632" w:rsidRDefault="00505632" w:rsidP="00505632">
      <w:r>
        <w:t xml:space="preserve">4,99 % više u odnosu na razdoblje siječanj – prosinac 2016. godine </w:t>
      </w:r>
    </w:p>
    <w:p w:rsidR="00505632" w:rsidRDefault="00505632" w:rsidP="00505632">
      <w:r>
        <w:t xml:space="preserve">1.1.4. Broj umrlih u razdoblje siječanj – prosinac 2016. godine iznosi 1.279 odnosno 5,68 % manje u odnosu na razdoblje siječanj – prosinac 2015. godine </w:t>
      </w:r>
    </w:p>
    <w:p w:rsidR="00505632" w:rsidRDefault="00505632" w:rsidP="00505632">
      <w:r>
        <w:t xml:space="preserve">1.2. AMBULANTE – SKZZ </w:t>
      </w:r>
    </w:p>
    <w:p w:rsidR="00505632" w:rsidRDefault="00505632" w:rsidP="00505632">
      <w:r>
        <w:t xml:space="preserve">1.2.1 Broj slučajeva (faktura) u razdoblju siječanj – prosinac  2016. godine iznosi  921.162 odnosno 0,28 % manje u odnosu na razdoblje siječanj – prosinac 2015. godine  </w:t>
      </w:r>
    </w:p>
    <w:p w:rsidR="00505632" w:rsidRDefault="00505632" w:rsidP="00505632">
      <w:r>
        <w:t xml:space="preserve">1.2.2 Broj posjeta u razdoblju  siječanj – prosinac 2016. godine iznosi 1.429.344 odnosno 1,92 % više u odnosu na razdoblje siječanj – prosinac 2015. godine </w:t>
      </w:r>
    </w:p>
    <w:p w:rsidR="00505632" w:rsidRDefault="00505632" w:rsidP="00505632">
      <w:r>
        <w:t xml:space="preserve">1.2.3 Broj prijema u razdoblju  siječanj – prosinac 2016. godine iznosi 640.075 odnosno 5,35 % manje u odnosu na razdoblje siječanj – prosinac 2015. godine </w:t>
      </w:r>
    </w:p>
    <w:p w:rsidR="00505632" w:rsidRDefault="00505632" w:rsidP="00505632">
      <w:r>
        <w:t xml:space="preserve">1.3. DNEVNA BOLNICA </w:t>
      </w:r>
    </w:p>
    <w:p w:rsidR="00505632" w:rsidRDefault="00505632" w:rsidP="00505632">
      <w:r>
        <w:t xml:space="preserve">1.3.1 Broj slučajeva (faktura) u razdoblju siječanj – prosinac 2016. godine iznosi 72.599 odnosno 11,37 % više u odnosu na razdoblje siječanj – prosinac 2015. godine  </w:t>
      </w:r>
    </w:p>
    <w:p w:rsidR="00505632" w:rsidRDefault="00505632" w:rsidP="00505632">
      <w:r>
        <w:t xml:space="preserve">1.3.2 Broj posjeta u razdoblju siječanj – prosinac 2016. godine iznosi 83.135 odnosno 16,80 % više u odnosu na razdoblje siječanj – prosinac 2015. godine </w:t>
      </w:r>
    </w:p>
    <w:p w:rsidR="00505632" w:rsidRDefault="00505632" w:rsidP="00505632">
      <w:r>
        <w:t xml:space="preserve">1.3.3 Broj prijema u razdoblju siječanj – prosinac 2016. godine iznosi 15.578 odnosno 5,31 % više u odnosu na razdoblje siječanj – prosinac 2015. Godine </w:t>
      </w:r>
    </w:p>
    <w:p w:rsidR="00505632" w:rsidRDefault="00505632" w:rsidP="00505632">
      <w:r>
        <w:t xml:space="preserve"> </w:t>
      </w:r>
    </w:p>
    <w:p w:rsidR="00505632" w:rsidRDefault="00505632" w:rsidP="00505632">
      <w:r>
        <w:t xml:space="preserve">2. FINANCIJSKI REZULTAT  </w:t>
      </w:r>
    </w:p>
    <w:p w:rsidR="00505632" w:rsidRDefault="00505632" w:rsidP="00505632">
      <w:r>
        <w:t xml:space="preserve">KBC Rijeka je po pravilima proračunskog računovodstva u 2016. godini ostvario višak prihoda nad rashodima u iznosu od 2.734.933  kn       </w:t>
      </w:r>
    </w:p>
    <w:p w:rsidR="00505632" w:rsidRDefault="00505632" w:rsidP="00505632">
      <w:r>
        <w:t xml:space="preserve">1.1. Prihodi i rashod tekućeg poslovanja sukladno Pravilniku o proračunskom računovodstvu </w:t>
      </w:r>
    </w:p>
    <w:p w:rsidR="00505632" w:rsidRDefault="00505632" w:rsidP="00505632">
      <w:r>
        <w:t xml:space="preserve">1.1.1. Prihodi tekućeg poslovanja  </w:t>
      </w:r>
    </w:p>
    <w:p w:rsidR="00505632" w:rsidRDefault="00505632" w:rsidP="00505632">
      <w:r>
        <w:t xml:space="preserve">Prihodi tekućeg poslovanja za siječanj-prosinac 2016. godine iznose 820.129.996 kn odnosno za 4,9% više u odnosu na isto razdoblje 2015.godine , te  0,45 % više u odnosu na financijski plan. </w:t>
      </w:r>
    </w:p>
    <w:p w:rsidR="00505632" w:rsidRDefault="00505632" w:rsidP="00505632">
      <w:r>
        <w:t xml:space="preserve">1.1.2. Rashodi tekućeg poslovanja za razdoblje siječanj-prosinac 2016. godine iznose 803.230.816 kn odnosno za 3,72 % više u odnosu na siječanj-prosinac 2015.godine, te  0,99% više u odnosu na financijski plan. </w:t>
      </w:r>
    </w:p>
    <w:p w:rsidR="00505632" w:rsidRDefault="00505632" w:rsidP="00505632">
      <w:r>
        <w:t xml:space="preserve">1.2. Prihodi i rashod za  investicijska ulaganja sukladno Pravilniku o proračunskom računovodstvu </w:t>
      </w:r>
    </w:p>
    <w:p w:rsidR="00505632" w:rsidRDefault="00505632" w:rsidP="00505632">
      <w:r>
        <w:t xml:space="preserve">1.2.1. Prihodi za investicijska ulaganja za razdoblje siječanj-prosinac  2016. godine iznose 19.237.010 kn, što je za 41,87  % manje u odnosu na siječanj-prosinac  2016.godine , odnosno za 54,09 %  više u odnosu na financijski plan. </w:t>
      </w:r>
    </w:p>
    <w:p w:rsidR="00505632" w:rsidRDefault="00505632" w:rsidP="00505632">
      <w:r>
        <w:t xml:space="preserve">1.2.2. Rashodi za investicijska ulaganja za siječanj-prosinac 2016. godine iznose 33.401.257 kn, što je za  21,51 % više u odnosu na siječanj-prosinac 2015. g, odnosno za 29,77 % manje u odnosu na financijski plan. </w:t>
      </w:r>
    </w:p>
    <w:p w:rsidR="00505632" w:rsidRDefault="00505632" w:rsidP="00505632">
      <w:r>
        <w:t>Od ukupnih ostvarenih rashoda za investicijska ulaganja  za siječanj-prosinac 2016.godine  12.880.442 kn su rashodi za koje su temeljem sklopljenih Sporazuma o financiranju sredstva refundirana od Ministarstva zdravstva te Ministarstva financija , a 2.165.191 kn su rashodi za investicijska ulaganja financirana sredstvima pomoći od Primorsko –goranske županije.</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26379-Klinički bolnički centar Rijeka</w:t>
            </w:r>
          </w:p>
        </w:tc>
        <w:tc>
          <w:tcPr>
            <w:tcW w:w="2041" w:type="dxa"/>
          </w:tcPr>
          <w:p w:rsidR="00505632" w:rsidRDefault="00505632" w:rsidP="00AD4E52">
            <w:pPr>
              <w:pStyle w:val="CellColumn"/>
              <w:jc w:val="right"/>
            </w:pPr>
            <w:r>
              <w:rPr>
                <w:rFonts w:cs="Times New Roman"/>
              </w:rPr>
              <w:t>792.066.907</w:t>
            </w:r>
          </w:p>
        </w:tc>
        <w:tc>
          <w:tcPr>
            <w:tcW w:w="2041" w:type="dxa"/>
          </w:tcPr>
          <w:p w:rsidR="00505632" w:rsidRDefault="00505632" w:rsidP="00AD4E52">
            <w:pPr>
              <w:pStyle w:val="CellColumn"/>
              <w:jc w:val="right"/>
            </w:pPr>
            <w:r>
              <w:rPr>
                <w:rFonts w:cs="Times New Roman"/>
              </w:rPr>
              <w:t>788.343.530</w:t>
            </w:r>
          </w:p>
        </w:tc>
        <w:tc>
          <w:tcPr>
            <w:tcW w:w="2041" w:type="dxa"/>
          </w:tcPr>
          <w:p w:rsidR="00505632" w:rsidRDefault="00505632" w:rsidP="00AD4E52">
            <w:pPr>
              <w:pStyle w:val="CellColumn"/>
              <w:jc w:val="right"/>
            </w:pPr>
            <w:r>
              <w:rPr>
                <w:rFonts w:cs="Times New Roman"/>
              </w:rPr>
              <w:t>800.237.214</w:t>
            </w:r>
          </w:p>
        </w:tc>
        <w:tc>
          <w:tcPr>
            <w:tcW w:w="1224" w:type="dxa"/>
          </w:tcPr>
          <w:p w:rsidR="00505632" w:rsidRDefault="00505632" w:rsidP="00AD4E52">
            <w:pPr>
              <w:pStyle w:val="CellColumn"/>
              <w:jc w:val="right"/>
            </w:pPr>
            <w:r>
              <w:rPr>
                <w:rFonts w:cs="Times New Roman"/>
              </w:rPr>
              <w:t>101,5</w:t>
            </w:r>
          </w:p>
        </w:tc>
        <w:tc>
          <w:tcPr>
            <w:tcW w:w="1224" w:type="dxa"/>
          </w:tcPr>
          <w:p w:rsidR="00505632" w:rsidRDefault="00505632" w:rsidP="00AD4E52">
            <w:pPr>
              <w:pStyle w:val="CellColumn"/>
              <w:jc w:val="right"/>
            </w:pPr>
            <w:r>
              <w:rPr>
                <w:rFonts w:cs="Times New Roman"/>
              </w:rPr>
              <w:t>101,0</w:t>
            </w:r>
          </w:p>
        </w:tc>
      </w:tr>
      <w:tr w:rsidR="00505632" w:rsidTr="00AD4E52">
        <w:trPr>
          <w:jc w:val="center"/>
        </w:trPr>
        <w:tc>
          <w:tcPr>
            <w:tcW w:w="1632" w:type="dxa"/>
          </w:tcPr>
          <w:p w:rsidR="00505632" w:rsidRDefault="00505632" w:rsidP="00AD4E52">
            <w:pPr>
              <w:jc w:val="left"/>
            </w:pPr>
            <w:r>
              <w:t>3602-INVESTICIJE U ZDRAVSTVENU INFRASTRUKTURU</w:t>
            </w:r>
          </w:p>
        </w:tc>
        <w:tc>
          <w:tcPr>
            <w:tcW w:w="2041" w:type="dxa"/>
          </w:tcPr>
          <w:p w:rsidR="00505632" w:rsidRDefault="00505632" w:rsidP="00AD4E52">
            <w:pPr>
              <w:jc w:val="right"/>
            </w:pPr>
            <w:r>
              <w:t>8.932.645</w:t>
            </w:r>
          </w:p>
        </w:tc>
        <w:tc>
          <w:tcPr>
            <w:tcW w:w="2041" w:type="dxa"/>
          </w:tcPr>
          <w:p w:rsidR="00505632" w:rsidRDefault="00505632" w:rsidP="00AD4E52">
            <w:pPr>
              <w:jc w:val="right"/>
            </w:pPr>
            <w:r>
              <w:t>4.244.830</w:t>
            </w:r>
          </w:p>
        </w:tc>
        <w:tc>
          <w:tcPr>
            <w:tcW w:w="2041" w:type="dxa"/>
          </w:tcPr>
          <w:p w:rsidR="00505632" w:rsidRDefault="00505632" w:rsidP="00AD4E52">
            <w:pPr>
              <w:jc w:val="right"/>
            </w:pPr>
            <w:r>
              <w:t>4.186.016</w:t>
            </w:r>
          </w:p>
        </w:tc>
        <w:tc>
          <w:tcPr>
            <w:tcW w:w="1224" w:type="dxa"/>
          </w:tcPr>
          <w:p w:rsidR="00505632" w:rsidRDefault="00505632" w:rsidP="00AD4E52">
            <w:pPr>
              <w:jc w:val="right"/>
            </w:pPr>
            <w:r>
              <w:t>98,6</w:t>
            </w:r>
          </w:p>
        </w:tc>
        <w:tc>
          <w:tcPr>
            <w:tcW w:w="1224" w:type="dxa"/>
          </w:tcPr>
          <w:p w:rsidR="00505632" w:rsidRDefault="00505632" w:rsidP="00AD4E52">
            <w:pPr>
              <w:jc w:val="right"/>
            </w:pPr>
            <w:r>
              <w:t>46,9</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783.134.262</w:t>
            </w:r>
          </w:p>
        </w:tc>
        <w:tc>
          <w:tcPr>
            <w:tcW w:w="2041" w:type="dxa"/>
          </w:tcPr>
          <w:p w:rsidR="00505632" w:rsidRDefault="00505632" w:rsidP="00AD4E52">
            <w:pPr>
              <w:jc w:val="right"/>
            </w:pPr>
            <w:r>
              <w:t>784.098.700</w:t>
            </w:r>
          </w:p>
        </w:tc>
        <w:tc>
          <w:tcPr>
            <w:tcW w:w="2041" w:type="dxa"/>
          </w:tcPr>
          <w:p w:rsidR="00505632" w:rsidRDefault="00505632" w:rsidP="00AD4E52">
            <w:pPr>
              <w:jc w:val="right"/>
            </w:pPr>
            <w:r>
              <w:t>796.051.198</w:t>
            </w:r>
          </w:p>
        </w:tc>
        <w:tc>
          <w:tcPr>
            <w:tcW w:w="1224" w:type="dxa"/>
          </w:tcPr>
          <w:p w:rsidR="00505632" w:rsidRDefault="00505632" w:rsidP="00AD4E52">
            <w:pPr>
              <w:jc w:val="right"/>
            </w:pPr>
            <w:r>
              <w:t>101,5</w:t>
            </w:r>
          </w:p>
        </w:tc>
        <w:tc>
          <w:tcPr>
            <w:tcW w:w="1224" w:type="dxa"/>
          </w:tcPr>
          <w:p w:rsidR="00505632" w:rsidRDefault="00505632" w:rsidP="00AD4E52">
            <w:pPr>
              <w:jc w:val="right"/>
            </w:pPr>
            <w:r>
              <w:t>101,6</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K882002 KLINIČKI BOLNIČKI CENTAR RIJEKA – IZRAVNA KAPITALNA ULAGANJA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K882002-KLINIČKI BOLNIČKI CENTAR RIJEKA – IZRAVNA KAPITALNA ULAGANJA</w:t>
            </w:r>
          </w:p>
        </w:tc>
        <w:tc>
          <w:tcPr>
            <w:tcW w:w="2041" w:type="dxa"/>
          </w:tcPr>
          <w:p w:rsidR="00505632" w:rsidRDefault="00505632" w:rsidP="00AD4E52">
            <w:pPr>
              <w:pStyle w:val="CellColumn"/>
              <w:jc w:val="right"/>
            </w:pPr>
            <w:r>
              <w:rPr>
                <w:rFonts w:cs="Times New Roman"/>
              </w:rPr>
              <w:t>8.932.645</w:t>
            </w:r>
          </w:p>
        </w:tc>
        <w:tc>
          <w:tcPr>
            <w:tcW w:w="2041" w:type="dxa"/>
          </w:tcPr>
          <w:p w:rsidR="00505632" w:rsidRDefault="00505632" w:rsidP="00AD4E52">
            <w:pPr>
              <w:pStyle w:val="CellColumn"/>
              <w:jc w:val="right"/>
            </w:pPr>
            <w:r>
              <w:rPr>
                <w:rFonts w:cs="Times New Roman"/>
              </w:rPr>
              <w:t>4.244.830</w:t>
            </w:r>
          </w:p>
        </w:tc>
        <w:tc>
          <w:tcPr>
            <w:tcW w:w="2041" w:type="dxa"/>
          </w:tcPr>
          <w:p w:rsidR="00505632" w:rsidRDefault="00505632" w:rsidP="00AD4E52">
            <w:pPr>
              <w:pStyle w:val="CellColumn"/>
              <w:jc w:val="right"/>
            </w:pPr>
            <w:r>
              <w:rPr>
                <w:rFonts w:cs="Times New Roman"/>
              </w:rPr>
              <w:t>4.186.016</w:t>
            </w:r>
          </w:p>
        </w:tc>
        <w:tc>
          <w:tcPr>
            <w:tcW w:w="1224" w:type="dxa"/>
          </w:tcPr>
          <w:p w:rsidR="00505632" w:rsidRDefault="00505632" w:rsidP="00AD4E52">
            <w:pPr>
              <w:pStyle w:val="CellColumn"/>
              <w:jc w:val="right"/>
            </w:pPr>
            <w:r>
              <w:rPr>
                <w:rFonts w:cs="Times New Roman"/>
              </w:rPr>
              <w:t>98,6</w:t>
            </w:r>
          </w:p>
        </w:tc>
        <w:tc>
          <w:tcPr>
            <w:tcW w:w="1224" w:type="dxa"/>
          </w:tcPr>
          <w:p w:rsidR="00505632" w:rsidRDefault="00505632" w:rsidP="00AD4E52">
            <w:pPr>
              <w:pStyle w:val="CellColumn"/>
              <w:jc w:val="right"/>
            </w:pPr>
            <w:r>
              <w:rPr>
                <w:rFonts w:cs="Times New Roman"/>
              </w:rPr>
              <w:t>46,9</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U prethodnim godinama s ove pozicije iz DP-a  financirana je izrada projektne dokumentacije za izgradnju Nove bolnice na lokalitetu Sušak. U okviru tog projekta započeli su radovi na izgradnji barokomore (izgradnja Centra za podvodnu i hiperbaričnu medicinu i Stanice za medicinske plinove, energetskog kanala). U 2016. godini završeni su i plaćeni radovi na izgradnji barokomore koja je na listi prioriteta Bolnice kao i radovi na uklanjanju objekata u zoni zahvata koji prethode izgradnji Nove bolnice na lokaciji Sušak. Osim građevinskih radova, završeno je opremanje te je plaćena oprema za Centar za podvodnu i hiperbaričnu medicinu.</w:t>
      </w:r>
    </w:p>
    <w:p w:rsidR="00505632" w:rsidRDefault="00505632" w:rsidP="00505632">
      <w:pPr>
        <w:pStyle w:val="Heading3"/>
      </w:pPr>
      <w:r>
        <w:rPr>
          <w:rFonts w:cs="Times New Roman"/>
        </w:rPr>
        <w:t>26387 Klinička bolnica Merkur</w:t>
      </w:r>
    </w:p>
    <w:p w:rsidR="00505632" w:rsidRDefault="00505632" w:rsidP="00505632">
      <w:r>
        <w:t xml:space="preserve">Sredstva planirana u 2016. godini su trošena za izvršavanje osnovne djelatnosti - pružanje zdravstvenih usluga. </w:t>
      </w:r>
    </w:p>
    <w:p w:rsidR="00505632" w:rsidRDefault="00505632" w:rsidP="00505632">
      <w:r>
        <w:t xml:space="preserve">Sredstva su utrošena na materijalne rashode, rashode za zaposlene i za nefinancijsku imovinu. </w:t>
      </w:r>
    </w:p>
    <w:p w:rsidR="00505632" w:rsidRDefault="00505632" w:rsidP="00505632">
      <w:r>
        <w:t>Najviše sredstava je utrošeno na rashode za zaposlene - 51,90% od ukupnih rashoda. Na materijalne rashode (rashodi za lijekove, potrošni medicinski materijal obuhvaća, troškovi prehrane bolesnika, režijski troškovi - energija, komunalne usluge, zatim usluge suradnih ustanova, usluge tekućeg i investicijskog održavanja, i dr. materijalni rashodi) je utrošeno 46,34% ukupnih rashoda. Za nabavku nefinancijske imovine (najviše za nabavku neophodne medicinske opreme) je utrošeno 1,29% ukupnih rashoda.</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26387-Klinička bolnica Merkur</w:t>
            </w:r>
          </w:p>
        </w:tc>
        <w:tc>
          <w:tcPr>
            <w:tcW w:w="2041" w:type="dxa"/>
          </w:tcPr>
          <w:p w:rsidR="00505632" w:rsidRDefault="00505632" w:rsidP="00AD4E52">
            <w:pPr>
              <w:pStyle w:val="CellColumn"/>
              <w:jc w:val="right"/>
            </w:pPr>
            <w:r>
              <w:rPr>
                <w:rFonts w:cs="Times New Roman"/>
              </w:rPr>
              <w:t>320.466.482</w:t>
            </w:r>
          </w:p>
        </w:tc>
        <w:tc>
          <w:tcPr>
            <w:tcW w:w="2041" w:type="dxa"/>
          </w:tcPr>
          <w:p w:rsidR="00505632" w:rsidRDefault="00505632" w:rsidP="00AD4E52">
            <w:pPr>
              <w:pStyle w:val="CellColumn"/>
              <w:jc w:val="right"/>
            </w:pPr>
            <w:r>
              <w:rPr>
                <w:rFonts w:cs="Times New Roman"/>
              </w:rPr>
              <w:t>314.709.050</w:t>
            </w:r>
          </w:p>
        </w:tc>
        <w:tc>
          <w:tcPr>
            <w:tcW w:w="2041" w:type="dxa"/>
          </w:tcPr>
          <w:p w:rsidR="00505632" w:rsidRDefault="00505632" w:rsidP="00AD4E52">
            <w:pPr>
              <w:pStyle w:val="CellColumn"/>
              <w:jc w:val="right"/>
            </w:pPr>
            <w:r>
              <w:rPr>
                <w:rFonts w:cs="Times New Roman"/>
              </w:rPr>
              <w:t>340.458.506</w:t>
            </w:r>
          </w:p>
        </w:tc>
        <w:tc>
          <w:tcPr>
            <w:tcW w:w="1224" w:type="dxa"/>
          </w:tcPr>
          <w:p w:rsidR="00505632" w:rsidRDefault="00505632" w:rsidP="00AD4E52">
            <w:pPr>
              <w:pStyle w:val="CellColumn"/>
              <w:jc w:val="right"/>
            </w:pPr>
            <w:r>
              <w:rPr>
                <w:rFonts w:cs="Times New Roman"/>
              </w:rPr>
              <w:t>108,2</w:t>
            </w:r>
          </w:p>
        </w:tc>
        <w:tc>
          <w:tcPr>
            <w:tcW w:w="1224" w:type="dxa"/>
          </w:tcPr>
          <w:p w:rsidR="00505632" w:rsidRDefault="00505632" w:rsidP="00AD4E52">
            <w:pPr>
              <w:pStyle w:val="CellColumn"/>
              <w:jc w:val="right"/>
            </w:pPr>
            <w:r>
              <w:rPr>
                <w:rFonts w:cs="Times New Roman"/>
              </w:rPr>
              <w:t>106,2</w:t>
            </w:r>
          </w:p>
        </w:tc>
      </w:tr>
      <w:tr w:rsidR="00505632" w:rsidTr="00AD4E52">
        <w:trPr>
          <w:jc w:val="center"/>
        </w:trPr>
        <w:tc>
          <w:tcPr>
            <w:tcW w:w="1632" w:type="dxa"/>
          </w:tcPr>
          <w:p w:rsidR="00505632" w:rsidRDefault="00505632" w:rsidP="00AD4E52">
            <w:pPr>
              <w:jc w:val="left"/>
            </w:pPr>
            <w:r>
              <w:t>3602-INVESTICIJE U ZDRAVSTVENU INFRASTRUKTURU</w:t>
            </w:r>
          </w:p>
        </w:tc>
        <w:tc>
          <w:tcPr>
            <w:tcW w:w="2041" w:type="dxa"/>
          </w:tcPr>
          <w:p w:rsidR="00505632" w:rsidRDefault="00505632" w:rsidP="00AD4E52">
            <w:pPr>
              <w:jc w:val="right"/>
            </w:pPr>
            <w:r>
              <w:t>945.730</w:t>
            </w:r>
          </w:p>
        </w:tc>
        <w:tc>
          <w:tcPr>
            <w:tcW w:w="2041" w:type="dxa"/>
          </w:tcPr>
          <w:p w:rsidR="00505632" w:rsidRDefault="00505632" w:rsidP="00AD4E52">
            <w:pPr>
              <w:jc w:val="right"/>
            </w:pPr>
            <w:r>
              <w:t>190.000</w:t>
            </w:r>
          </w:p>
        </w:tc>
        <w:tc>
          <w:tcPr>
            <w:tcW w:w="2041" w:type="dxa"/>
          </w:tcPr>
          <w:p w:rsidR="00505632" w:rsidRDefault="00505632" w:rsidP="00AD4E52">
            <w:pPr>
              <w:jc w:val="right"/>
            </w:pPr>
            <w:r>
              <w:t>43.750</w:t>
            </w:r>
          </w:p>
        </w:tc>
        <w:tc>
          <w:tcPr>
            <w:tcW w:w="1224" w:type="dxa"/>
          </w:tcPr>
          <w:p w:rsidR="00505632" w:rsidRDefault="00505632" w:rsidP="00AD4E52">
            <w:pPr>
              <w:jc w:val="right"/>
            </w:pPr>
            <w:r>
              <w:t>23,0</w:t>
            </w:r>
          </w:p>
        </w:tc>
        <w:tc>
          <w:tcPr>
            <w:tcW w:w="1224" w:type="dxa"/>
          </w:tcPr>
          <w:p w:rsidR="00505632" w:rsidRDefault="00505632" w:rsidP="00AD4E52">
            <w:pPr>
              <w:jc w:val="right"/>
            </w:pPr>
            <w:r>
              <w:t>4,6</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319.520.752</w:t>
            </w:r>
          </w:p>
        </w:tc>
        <w:tc>
          <w:tcPr>
            <w:tcW w:w="2041" w:type="dxa"/>
          </w:tcPr>
          <w:p w:rsidR="00505632" w:rsidRDefault="00505632" w:rsidP="00AD4E52">
            <w:pPr>
              <w:jc w:val="right"/>
            </w:pPr>
            <w:r>
              <w:t>314.519.050</w:t>
            </w:r>
          </w:p>
        </w:tc>
        <w:tc>
          <w:tcPr>
            <w:tcW w:w="2041" w:type="dxa"/>
          </w:tcPr>
          <w:p w:rsidR="00505632" w:rsidRDefault="00505632" w:rsidP="00AD4E52">
            <w:pPr>
              <w:jc w:val="right"/>
            </w:pPr>
            <w:r>
              <w:t>340.414.756</w:t>
            </w:r>
          </w:p>
        </w:tc>
        <w:tc>
          <w:tcPr>
            <w:tcW w:w="1224" w:type="dxa"/>
          </w:tcPr>
          <w:p w:rsidR="00505632" w:rsidRDefault="00505632" w:rsidP="00AD4E52">
            <w:pPr>
              <w:jc w:val="right"/>
            </w:pPr>
            <w:r>
              <w:t>108,2</w:t>
            </w:r>
          </w:p>
        </w:tc>
        <w:tc>
          <w:tcPr>
            <w:tcW w:w="1224" w:type="dxa"/>
          </w:tcPr>
          <w:p w:rsidR="00505632" w:rsidRDefault="00505632" w:rsidP="00AD4E52">
            <w:pPr>
              <w:jc w:val="right"/>
            </w:pPr>
            <w:r>
              <w:t>106,5</w:t>
            </w:r>
          </w:p>
        </w:tc>
      </w:tr>
    </w:tbl>
    <w:p w:rsidR="00505632" w:rsidRDefault="00505632" w:rsidP="00505632">
      <w:pPr>
        <w:jc w:val="left"/>
      </w:pPr>
    </w:p>
    <w:p w:rsidR="00505632" w:rsidRDefault="00505632" w:rsidP="00505632">
      <w:pPr>
        <w:pStyle w:val="Heading3"/>
      </w:pPr>
      <w:r>
        <w:rPr>
          <w:rFonts w:cs="Times New Roman"/>
        </w:rPr>
        <w:t>26395 Klinički bolnički centar Sestre milosrdnice</w:t>
      </w:r>
    </w:p>
    <w:p w:rsidR="00505632" w:rsidRDefault="00505632" w:rsidP="00505632">
      <w:r>
        <w:t xml:space="preserve">Planom predviđena sredstva za 2016. godinu utrošena su za obavljanje osnovne djelatnosti – pružanje zdravstvenih usluga kroz stacionarno liječenje i specijalističko-konzilijarnu zdravstvenu zaštitu (ambulantno liječenje, specijalistička dijagnostika, dnevne bolnice, hemodijaliza). U Kliničkom bolničkom centru pružaju se i usluge medicinske oplodnje, intervencijske kardiologije, intervencijske neurologije, primjene posebno skupih lijekova, zdravstvene zaštite za hrvatske državljane s prebivalištem u Bosni i Hercegovini, transplantacije, eksplantacije, liječenja inozemnih osiguranika u Republici Hrvatskoj, zdravstvene zaštite na radu, ranog otkrivanja zloćudnih bolesti. </w:t>
      </w:r>
    </w:p>
    <w:p w:rsidR="00505632" w:rsidRDefault="00505632" w:rsidP="00505632">
      <w:r>
        <w:t xml:space="preserve">Najveći dio ukupnih rashoda odnosi se na rashode za zaposlene (59,50 % ukupnih rashoda), na materijalne rashode utrošeno je 36,66 % (najviše za lijekove, potrošni medicinski materijal i energiju), na financijske i ostale rashode odnosi se 0,17 % ukupnih rashoda, a na nefinancijsku imovinu 3,65 % ukupnih rashoda (nabava najnužnije medicinske i laboratorijske opreme i dodatna ulaganja na građevinskim objektima). Za provedbu preventivnih programa (rano otkrivanje zloćudnih bolesti) utrošeno je 0,02 % ukupnih rashoda. </w:t>
      </w:r>
    </w:p>
    <w:p w:rsidR="00505632" w:rsidRDefault="00505632" w:rsidP="00505632">
      <w:r>
        <w:t xml:space="preserve">Ukupni rashodi veći su od planiranih za 5,58 %, pri čemu su rashodi za zaposlene veći od planiranih za 5,75 % (prvenstveno zbog isplate regresa i božićnice, te povećanja broja zaposlenih), materijalni rashodi veći su od planiranih za 6,49 % (na što su najvećim dijelom utjecali veći troškovi za lijekove i medicinski potrošni materijal, sitni inventar i energiju), financijski i ostali rashodi manji su od planskih veličina za 66,42 % (manje naknade šteta), a ulaganja u nefinancijsku imovinu veća su od planiranih za 3,79 %. </w:t>
      </w:r>
    </w:p>
    <w:p w:rsidR="00505632" w:rsidRDefault="00505632" w:rsidP="00505632">
      <w:r>
        <w:t>Sve navedeno utrošeno je s ciljem poboljšanja pružanja zdravstvenih usluga.</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26395-Klinički bolnički centar Sestre milosrdnice</w:t>
            </w:r>
          </w:p>
        </w:tc>
        <w:tc>
          <w:tcPr>
            <w:tcW w:w="2041" w:type="dxa"/>
          </w:tcPr>
          <w:p w:rsidR="00505632" w:rsidRDefault="00505632" w:rsidP="00AD4E52">
            <w:pPr>
              <w:pStyle w:val="CellColumn"/>
              <w:jc w:val="right"/>
            </w:pPr>
            <w:r>
              <w:rPr>
                <w:rFonts w:cs="Times New Roman"/>
              </w:rPr>
              <w:t>819.709.338</w:t>
            </w:r>
          </w:p>
        </w:tc>
        <w:tc>
          <w:tcPr>
            <w:tcW w:w="2041" w:type="dxa"/>
          </w:tcPr>
          <w:p w:rsidR="00505632" w:rsidRDefault="00505632" w:rsidP="00AD4E52">
            <w:pPr>
              <w:pStyle w:val="CellColumn"/>
              <w:jc w:val="right"/>
            </w:pPr>
            <w:r>
              <w:rPr>
                <w:rFonts w:cs="Times New Roman"/>
              </w:rPr>
              <w:t>829.516.900</w:t>
            </w:r>
          </w:p>
        </w:tc>
        <w:tc>
          <w:tcPr>
            <w:tcW w:w="2041" w:type="dxa"/>
          </w:tcPr>
          <w:p w:rsidR="00505632" w:rsidRDefault="00505632" w:rsidP="00AD4E52">
            <w:pPr>
              <w:pStyle w:val="CellColumn"/>
              <w:jc w:val="right"/>
            </w:pPr>
            <w:r>
              <w:rPr>
                <w:rFonts w:cs="Times New Roman"/>
              </w:rPr>
              <w:t>875.834.089</w:t>
            </w:r>
          </w:p>
        </w:tc>
        <w:tc>
          <w:tcPr>
            <w:tcW w:w="1224" w:type="dxa"/>
          </w:tcPr>
          <w:p w:rsidR="00505632" w:rsidRDefault="00505632" w:rsidP="00AD4E52">
            <w:pPr>
              <w:pStyle w:val="CellColumn"/>
              <w:jc w:val="right"/>
            </w:pPr>
            <w:r>
              <w:rPr>
                <w:rFonts w:cs="Times New Roman"/>
              </w:rPr>
              <w:t>105,6</w:t>
            </w:r>
          </w:p>
        </w:tc>
        <w:tc>
          <w:tcPr>
            <w:tcW w:w="1224" w:type="dxa"/>
          </w:tcPr>
          <w:p w:rsidR="00505632" w:rsidRDefault="00505632" w:rsidP="00AD4E52">
            <w:pPr>
              <w:pStyle w:val="CellColumn"/>
              <w:jc w:val="right"/>
            </w:pPr>
            <w:r>
              <w:rPr>
                <w:rFonts w:cs="Times New Roman"/>
              </w:rPr>
              <w:t>106,8</w:t>
            </w:r>
          </w:p>
        </w:tc>
      </w:tr>
      <w:tr w:rsidR="00505632" w:rsidTr="00AD4E52">
        <w:trPr>
          <w:jc w:val="center"/>
        </w:trPr>
        <w:tc>
          <w:tcPr>
            <w:tcW w:w="1632" w:type="dxa"/>
          </w:tcPr>
          <w:p w:rsidR="00505632" w:rsidRDefault="00505632" w:rsidP="00AD4E52">
            <w:pPr>
              <w:jc w:val="left"/>
            </w:pPr>
            <w:r>
              <w:t>3602-INVESTICIJE U ZDRAVSTVENU INFRASTRUKTURU</w:t>
            </w:r>
          </w:p>
        </w:tc>
        <w:tc>
          <w:tcPr>
            <w:tcW w:w="2041" w:type="dxa"/>
          </w:tcPr>
          <w:p w:rsidR="00505632" w:rsidRDefault="00505632" w:rsidP="00AD4E52">
            <w:pPr>
              <w:jc w:val="right"/>
            </w:pPr>
            <w:r>
              <w:t>3.704.442</w:t>
            </w:r>
          </w:p>
        </w:tc>
        <w:tc>
          <w:tcPr>
            <w:tcW w:w="2041" w:type="dxa"/>
          </w:tcPr>
          <w:p w:rsidR="00505632" w:rsidRDefault="00505632" w:rsidP="00AD4E52">
            <w:pPr>
              <w:jc w:val="right"/>
            </w:pPr>
            <w:r>
              <w:t>5.279.170</w:t>
            </w:r>
          </w:p>
        </w:tc>
        <w:tc>
          <w:tcPr>
            <w:tcW w:w="2041" w:type="dxa"/>
          </w:tcPr>
          <w:p w:rsidR="00505632" w:rsidRDefault="00505632" w:rsidP="00AD4E52">
            <w:pPr>
              <w:jc w:val="right"/>
            </w:pPr>
            <w:r>
              <w:t>5.279.167</w:t>
            </w:r>
          </w:p>
        </w:tc>
        <w:tc>
          <w:tcPr>
            <w:tcW w:w="1224" w:type="dxa"/>
          </w:tcPr>
          <w:p w:rsidR="00505632" w:rsidRDefault="00505632" w:rsidP="00AD4E52">
            <w:pPr>
              <w:jc w:val="right"/>
            </w:pPr>
            <w:r>
              <w:t>100,0</w:t>
            </w:r>
          </w:p>
        </w:tc>
        <w:tc>
          <w:tcPr>
            <w:tcW w:w="1224" w:type="dxa"/>
          </w:tcPr>
          <w:p w:rsidR="00505632" w:rsidRDefault="00505632" w:rsidP="00AD4E52">
            <w:pPr>
              <w:jc w:val="right"/>
            </w:pPr>
            <w:r>
              <w:t>142,5</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816.004.896</w:t>
            </w:r>
          </w:p>
        </w:tc>
        <w:tc>
          <w:tcPr>
            <w:tcW w:w="2041" w:type="dxa"/>
          </w:tcPr>
          <w:p w:rsidR="00505632" w:rsidRDefault="00505632" w:rsidP="00AD4E52">
            <w:pPr>
              <w:jc w:val="right"/>
            </w:pPr>
            <w:r>
              <w:t>824.237.730</w:t>
            </w:r>
          </w:p>
        </w:tc>
        <w:tc>
          <w:tcPr>
            <w:tcW w:w="2041" w:type="dxa"/>
          </w:tcPr>
          <w:p w:rsidR="00505632" w:rsidRDefault="00505632" w:rsidP="00AD4E52">
            <w:pPr>
              <w:jc w:val="right"/>
            </w:pPr>
            <w:r>
              <w:t>870.554.922</w:t>
            </w:r>
          </w:p>
        </w:tc>
        <w:tc>
          <w:tcPr>
            <w:tcW w:w="1224" w:type="dxa"/>
          </w:tcPr>
          <w:p w:rsidR="00505632" w:rsidRDefault="00505632" w:rsidP="00AD4E52">
            <w:pPr>
              <w:jc w:val="right"/>
            </w:pPr>
            <w:r>
              <w:t>105,6</w:t>
            </w:r>
          </w:p>
        </w:tc>
        <w:tc>
          <w:tcPr>
            <w:tcW w:w="1224" w:type="dxa"/>
          </w:tcPr>
          <w:p w:rsidR="00505632" w:rsidRDefault="00505632" w:rsidP="00AD4E52">
            <w:pPr>
              <w:jc w:val="right"/>
            </w:pPr>
            <w:r>
              <w:t>106,7</w:t>
            </w:r>
          </w:p>
        </w:tc>
      </w:tr>
    </w:tbl>
    <w:p w:rsidR="00505632" w:rsidRDefault="00505632" w:rsidP="00505632">
      <w:pPr>
        <w:jc w:val="left"/>
      </w:pPr>
    </w:p>
    <w:p w:rsidR="00505632" w:rsidRDefault="00505632" w:rsidP="00505632">
      <w:pPr>
        <w:pStyle w:val="Heading3"/>
      </w:pPr>
      <w:r>
        <w:rPr>
          <w:rFonts w:cs="Times New Roman"/>
        </w:rPr>
        <w:t>26400 Klinički bolnički centar Osijek</w:t>
      </w:r>
    </w:p>
    <w:p w:rsidR="00505632" w:rsidRDefault="00505632" w:rsidP="00505632">
      <w:r>
        <w:t xml:space="preserve">1.1. UVOD </w:t>
      </w:r>
    </w:p>
    <w:p w:rsidR="00505632" w:rsidRDefault="00505632" w:rsidP="00505632">
      <w:r>
        <w:t xml:space="preserve">KBC Osijek svojom djelatnošću osigurava zaštitu zdravlja za približno 800.000 stanovnika sa područja pet županija koje gravitiraju ustanovi, a to su: Osječko-baranjska,  Vukovarsko-srijemska,  Požeško-slavonska, Brodsko-posavska, te Virovitičko-podravska županija.  </w:t>
      </w:r>
    </w:p>
    <w:p w:rsidR="00505632" w:rsidRDefault="00505632" w:rsidP="00505632">
      <w:r>
        <w:t xml:space="preserve">Kapaciteti KBC Osijek obzirom na broj i vrstu zdravstvene djelatnosti određeni su Ugovorom sa HZZO-m, a temeljem Mreže javne zdravstvene službe. </w:t>
      </w:r>
    </w:p>
    <w:p w:rsidR="00505632" w:rsidRDefault="00505632" w:rsidP="00505632">
      <w:r>
        <w:t xml:space="preserve">Sukladno tome, kapaciteti za bolničko liječenje iznose 986 postelja  u okviru slijedećih osnovnih djelatnosti: interna medicina, dermatologija i venerologija, opća kirurgija, dječja kirurgija, neurokirurgija, pedijatrija, ginekologija i opstetricija, infektologija, psihijatrija, otorinolaringologija, maksilofacijalna kirurgija, oftalmologija, ortopedija i traumatologija, urologija, onkologija i radioterapija, fizikalna medicina i rehabilitacija, neurologija, te anesteziologija i intenzivno liječenje. </w:t>
      </w:r>
    </w:p>
    <w:p w:rsidR="00505632" w:rsidRDefault="00505632" w:rsidP="00505632">
      <w:r>
        <w:t xml:space="preserve">Kapaciteti Dnevne bolničke opskrbe u okviru ambulantnog liječenja iznose 258 mjesta u istim djelatnostima kao i za bolničko liječenje. </w:t>
      </w:r>
    </w:p>
    <w:p w:rsidR="00505632" w:rsidRDefault="00505632" w:rsidP="00505632">
      <w:r>
        <w:t xml:space="preserve">Provođenje SKZ zaštite obavlja se osim u ranije navedenim djelatnostima i u djelatnostima: radiologije,  medicinske biokemije,  nuklearne medicine, transfuziologije, citologije, te patologije. </w:t>
      </w:r>
    </w:p>
    <w:p w:rsidR="00505632" w:rsidRDefault="00505632" w:rsidP="00505632"/>
    <w:p w:rsidR="00505632" w:rsidRDefault="00505632" w:rsidP="00505632">
      <w:r>
        <w:t xml:space="preserve">1.2.  CILJ </w:t>
      </w:r>
    </w:p>
    <w:p w:rsidR="00505632" w:rsidRDefault="00505632" w:rsidP="00505632">
      <w:r>
        <w:t xml:space="preserve">Cilj provođenja programa je osigurati liječenje, njegu i rehabilitaciju pacijenata, te unaprijediti istu u smislu skraćivanja lista čekanja na pretrage, kraćeg trajanja liječenja pacijenata,  uvođenja novih zdravstvenih tehnologija, povećanja broja specijalizacija iz hitne medicine, te povećanja broja educiranih djelatnika o kvaliteti i njenim indikatorima.  </w:t>
      </w:r>
    </w:p>
    <w:p w:rsidR="00505632" w:rsidRDefault="00505632" w:rsidP="00505632">
      <w:r>
        <w:t xml:space="preserve">1.3.  IZVRŠENJE </w:t>
      </w:r>
    </w:p>
    <w:p w:rsidR="00505632" w:rsidRDefault="00505632" w:rsidP="00505632">
      <w:r>
        <w:t xml:space="preserve">Tijekom 2016.g. ostvarena financijska sredstva utrošena su u svrhu obavljanja osnovne djelatnosti - pružanja zdravstvene zaštite stanovništvu.  </w:t>
      </w:r>
    </w:p>
    <w:p w:rsidR="00505632" w:rsidRDefault="00505632" w:rsidP="00505632">
      <w:r>
        <w:t xml:space="preserve">U strukturi ostvarenih rashoda najveći se udio odnosi na rashode za zaposlene (59%). </w:t>
      </w:r>
    </w:p>
    <w:p w:rsidR="00505632" w:rsidRDefault="00505632" w:rsidP="00505632">
      <w:r>
        <w:t xml:space="preserve">Omjer zdravstvenog i nezdravstvenog kadra krajem 2016.g. iznosi 74% zdravstvenih, a 26% nezdravstvenih radnika. U 2015.g. on je iznosio 72% zdravstvenih, a 28% nezdravstvenih radnika.  </w:t>
      </w:r>
    </w:p>
    <w:p w:rsidR="00505632" w:rsidRDefault="00505632" w:rsidP="00505632">
      <w:r>
        <w:t xml:space="preserve">KBC Osijek je ustanova u kojoj najveći dio nezdravstvenih djelatnosti (prehranu bolesnika, čišćenje i održavanje prostora, pranje rublja,  zaštitarsku službu)  obavljaju djelatnici ustanove. Izuzetak su zavodi na kojima zbog dislociranosti usluge čišćenja prostora, te zaštitarsku službu obavljaju druge pravne osobe. To su  Zavod za fizikalnu medicinu i rehabilitaciju u Bizovcu (čišćenje prostora i zaštitarska služba) i  Zavod za oftalmologiju (zaštitarska služba).  </w:t>
      </w:r>
    </w:p>
    <w:p w:rsidR="00505632" w:rsidRDefault="00505632" w:rsidP="00505632">
      <w:r>
        <w:t xml:space="preserve">Na dan 31.12.2016.g. u KBC Osijek stručno osposobljavanje za rad obavljalo je 66 pripravnika u skladu sa mjerama koje provodi Hrvatski zavod za zapošljavanje.   </w:t>
      </w:r>
    </w:p>
    <w:p w:rsidR="00505632" w:rsidRDefault="00505632" w:rsidP="00505632">
      <w:r>
        <w:t xml:space="preserve">Tijekom 2016.g. radnicima je isplaćen  regres i božićnica,  a ostvareno je i povećanje na ime uvjeta rada koje je u primjeni od 01.10.2015.g., a sukladno Kolektivnom ugovoru za djelatnost zdravstva i zdravstvenog osiguranja. </w:t>
      </w:r>
    </w:p>
    <w:p w:rsidR="00505632" w:rsidRDefault="00505632" w:rsidP="00505632">
      <w:r>
        <w:t xml:space="preserve">Materijalni rashodi i rashodi za energiju čine 31% ukupnih rashoda, a najvećim se dijelom odnose na lijekove i potrošni medicinski materijal.   </w:t>
      </w:r>
    </w:p>
    <w:p w:rsidR="00505632" w:rsidRDefault="00505632" w:rsidP="00505632">
      <w:r>
        <w:t xml:space="preserve">Rashodi za nabavu nefinancijske imovine i izdaci za kapitalna ulaganja čine 5% ukupno izvršenih sredstava. Od ukupno iskazanog iznosa, 16 mil kn se odnosi na rashode financirane sredstvima HALMED-a koje je ustanova prihodovala tijekom 2015., a realizirala tijekom 2015., te 2016.g.  </w:t>
      </w:r>
    </w:p>
    <w:p w:rsidR="00505632" w:rsidRDefault="00505632" w:rsidP="00505632">
      <w:r>
        <w:t xml:space="preserve">Ostali nespomenuti rashodi čine 4% ukupnih rashoda, a financijski značajniji su rashodi komunalne usluge, usluge tekućeg i investicijskog održavanja, zdravstvene usluge drugih zdravstvenih ustanova, te zatezne kamate iz poslovnih odnosa.  </w:t>
      </w:r>
    </w:p>
    <w:p w:rsidR="00505632" w:rsidRDefault="00505632" w:rsidP="00505632">
      <w:r>
        <w:t xml:space="preserve">Tijekom 2016.g. ostvareno je povećanje tekućih i kapitalnih donacija fizičkih i pravnih osoba, a koje su korištene za sanaciju štete nakon olujnog nevremena u lipnju 2016.g. u dijelu tekućeg održavanja, te nabave nefinancijske imovine. </w:t>
      </w:r>
    </w:p>
    <w:p w:rsidR="00505632" w:rsidRDefault="00505632" w:rsidP="00505632">
      <w:r>
        <w:t xml:space="preserve">1.4.  POKAZATELJI  </w:t>
      </w:r>
    </w:p>
    <w:p w:rsidR="00505632" w:rsidRDefault="00505632" w:rsidP="00505632">
      <w:r>
        <w:t xml:space="preserve">Tijekom 2016.g. KBC Osijek je ostvarila smanjenje broja stacionarno liječenih pacijenata za 7%, smanjenje broja BO dana za 6%. </w:t>
      </w:r>
    </w:p>
    <w:p w:rsidR="00505632" w:rsidRDefault="00505632" w:rsidP="00505632">
      <w:r>
        <w:t>U isto vrijeme ostvareno je povećanje broja liječenih pacijenata u Dnevnim bolnicama za 65%, te povećanje broja pacijenta u SKZ-u za 2%.</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26400-Klinički bolnički centar Osijek</w:t>
            </w:r>
          </w:p>
        </w:tc>
        <w:tc>
          <w:tcPr>
            <w:tcW w:w="2041" w:type="dxa"/>
          </w:tcPr>
          <w:p w:rsidR="00505632" w:rsidRDefault="00505632" w:rsidP="00AD4E52">
            <w:pPr>
              <w:pStyle w:val="CellColumn"/>
              <w:jc w:val="right"/>
            </w:pPr>
            <w:r>
              <w:rPr>
                <w:rFonts w:cs="Times New Roman"/>
              </w:rPr>
              <w:t>670.182.875</w:t>
            </w:r>
          </w:p>
        </w:tc>
        <w:tc>
          <w:tcPr>
            <w:tcW w:w="2041" w:type="dxa"/>
          </w:tcPr>
          <w:p w:rsidR="00505632" w:rsidRDefault="00505632" w:rsidP="00AD4E52">
            <w:pPr>
              <w:pStyle w:val="CellColumn"/>
              <w:jc w:val="right"/>
            </w:pPr>
            <w:r>
              <w:rPr>
                <w:rFonts w:cs="Times New Roman"/>
              </w:rPr>
              <w:t>666.001.730</w:t>
            </w:r>
          </w:p>
        </w:tc>
        <w:tc>
          <w:tcPr>
            <w:tcW w:w="2041" w:type="dxa"/>
          </w:tcPr>
          <w:p w:rsidR="00505632" w:rsidRDefault="00505632" w:rsidP="00AD4E52">
            <w:pPr>
              <w:pStyle w:val="CellColumn"/>
              <w:jc w:val="right"/>
            </w:pPr>
            <w:r>
              <w:rPr>
                <w:rFonts w:cs="Times New Roman"/>
              </w:rPr>
              <w:t>753.790.829</w:t>
            </w:r>
          </w:p>
        </w:tc>
        <w:tc>
          <w:tcPr>
            <w:tcW w:w="1224" w:type="dxa"/>
          </w:tcPr>
          <w:p w:rsidR="00505632" w:rsidRDefault="00505632" w:rsidP="00AD4E52">
            <w:pPr>
              <w:pStyle w:val="CellColumn"/>
              <w:jc w:val="right"/>
            </w:pPr>
            <w:r>
              <w:rPr>
                <w:rFonts w:cs="Times New Roman"/>
              </w:rPr>
              <w:t>113,2</w:t>
            </w:r>
          </w:p>
        </w:tc>
        <w:tc>
          <w:tcPr>
            <w:tcW w:w="1224" w:type="dxa"/>
          </w:tcPr>
          <w:p w:rsidR="00505632" w:rsidRDefault="00505632" w:rsidP="00AD4E52">
            <w:pPr>
              <w:pStyle w:val="CellColumn"/>
              <w:jc w:val="right"/>
            </w:pPr>
            <w:r>
              <w:rPr>
                <w:rFonts w:cs="Times New Roman"/>
              </w:rPr>
              <w:t>112,5</w:t>
            </w:r>
          </w:p>
        </w:tc>
      </w:tr>
      <w:tr w:rsidR="00505632" w:rsidTr="00AD4E52">
        <w:trPr>
          <w:jc w:val="center"/>
        </w:trPr>
        <w:tc>
          <w:tcPr>
            <w:tcW w:w="1632" w:type="dxa"/>
          </w:tcPr>
          <w:p w:rsidR="00505632" w:rsidRDefault="00505632" w:rsidP="00AD4E52">
            <w:pPr>
              <w:jc w:val="left"/>
            </w:pPr>
            <w:r>
              <w:t>3602-INVESTICIJE U ZDRAVSTVENU INFRASTRUKTURU</w:t>
            </w:r>
          </w:p>
        </w:tc>
        <w:tc>
          <w:tcPr>
            <w:tcW w:w="2041" w:type="dxa"/>
          </w:tcPr>
          <w:p w:rsidR="00505632" w:rsidRDefault="00505632" w:rsidP="00AD4E52">
            <w:pPr>
              <w:jc w:val="right"/>
            </w:pPr>
            <w:r>
              <w:t>8.296.296</w:t>
            </w:r>
          </w:p>
        </w:tc>
        <w:tc>
          <w:tcPr>
            <w:tcW w:w="2041" w:type="dxa"/>
          </w:tcPr>
          <w:p w:rsidR="00505632" w:rsidRDefault="00505632" w:rsidP="00AD4E52">
            <w:pPr>
              <w:jc w:val="right"/>
            </w:pPr>
            <w:r>
              <w:t>5.545.450</w:t>
            </w:r>
          </w:p>
        </w:tc>
        <w:tc>
          <w:tcPr>
            <w:tcW w:w="2041" w:type="dxa"/>
          </w:tcPr>
          <w:p w:rsidR="00505632" w:rsidRDefault="00505632" w:rsidP="00AD4E52">
            <w:pPr>
              <w:jc w:val="right"/>
            </w:pPr>
            <w:r>
              <w:t>5.398.762</w:t>
            </w:r>
          </w:p>
        </w:tc>
        <w:tc>
          <w:tcPr>
            <w:tcW w:w="1224" w:type="dxa"/>
          </w:tcPr>
          <w:p w:rsidR="00505632" w:rsidRDefault="00505632" w:rsidP="00AD4E52">
            <w:pPr>
              <w:jc w:val="right"/>
            </w:pPr>
            <w:r>
              <w:t>97,4</w:t>
            </w:r>
          </w:p>
        </w:tc>
        <w:tc>
          <w:tcPr>
            <w:tcW w:w="1224" w:type="dxa"/>
          </w:tcPr>
          <w:p w:rsidR="00505632" w:rsidRDefault="00505632" w:rsidP="00AD4E52">
            <w:pPr>
              <w:jc w:val="right"/>
            </w:pPr>
            <w:r>
              <w:t>65,1</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661.886.579</w:t>
            </w:r>
          </w:p>
        </w:tc>
        <w:tc>
          <w:tcPr>
            <w:tcW w:w="2041" w:type="dxa"/>
          </w:tcPr>
          <w:p w:rsidR="00505632" w:rsidRDefault="00505632" w:rsidP="00AD4E52">
            <w:pPr>
              <w:jc w:val="right"/>
            </w:pPr>
            <w:r>
              <w:t>660.456.280</w:t>
            </w:r>
          </w:p>
        </w:tc>
        <w:tc>
          <w:tcPr>
            <w:tcW w:w="2041" w:type="dxa"/>
          </w:tcPr>
          <w:p w:rsidR="00505632" w:rsidRDefault="00505632" w:rsidP="00AD4E52">
            <w:pPr>
              <w:jc w:val="right"/>
            </w:pPr>
            <w:r>
              <w:t>748.392.067</w:t>
            </w:r>
          </w:p>
        </w:tc>
        <w:tc>
          <w:tcPr>
            <w:tcW w:w="1224" w:type="dxa"/>
          </w:tcPr>
          <w:p w:rsidR="00505632" w:rsidRDefault="00505632" w:rsidP="00AD4E52">
            <w:pPr>
              <w:jc w:val="right"/>
            </w:pPr>
            <w:r>
              <w:t>113,3</w:t>
            </w:r>
          </w:p>
        </w:tc>
        <w:tc>
          <w:tcPr>
            <w:tcW w:w="1224" w:type="dxa"/>
          </w:tcPr>
          <w:p w:rsidR="00505632" w:rsidRDefault="00505632" w:rsidP="00AD4E52">
            <w:pPr>
              <w:jc w:val="right"/>
            </w:pPr>
            <w:r>
              <w:t>113,1</w:t>
            </w:r>
          </w:p>
        </w:tc>
      </w:tr>
    </w:tbl>
    <w:p w:rsidR="00505632" w:rsidRDefault="00505632" w:rsidP="00505632">
      <w:pPr>
        <w:jc w:val="left"/>
      </w:pPr>
    </w:p>
    <w:p w:rsidR="00505632" w:rsidRDefault="00505632" w:rsidP="00505632">
      <w:pPr>
        <w:pStyle w:val="Heading3"/>
      </w:pPr>
      <w:r>
        <w:rPr>
          <w:rFonts w:cs="Times New Roman"/>
        </w:rPr>
        <w:t>26418 Klinički bolnički centar Split</w:t>
      </w:r>
    </w:p>
    <w:p w:rsidR="00505632" w:rsidRDefault="00505632" w:rsidP="00505632">
      <w:r>
        <w:t xml:space="preserve">U 2016. proračun KBC-a Split je izvršen u iznosu od 882.026.853 kn. </w:t>
      </w:r>
    </w:p>
    <w:p w:rsidR="00505632" w:rsidRDefault="00505632" w:rsidP="00505632">
      <w:r>
        <w:t>Od ukupnog iznosa 98,5% se odnosi na rashode redovnog poslovanja (rashodi za zaposlene -51,9%, materijalni rashodi -40,9% i ostali -5,6%), a 1,2%se odnosi na kapitalna ulaganja. Sredstva su korištena za obavljanje osnovne djelatnosti - obavljanje zdravstvenih usluga.</w:t>
      </w:r>
    </w:p>
    <w:tbl>
      <w:tblPr>
        <w:tblStyle w:val="StilTablice"/>
        <w:tblW w:w="10206" w:type="dxa"/>
        <w:jc w:val="center"/>
        <w:tblLook w:val="04A0" w:firstRow="1" w:lastRow="0" w:firstColumn="1" w:lastColumn="0" w:noHBand="0" w:noVBand="1"/>
      </w:tblPr>
      <w:tblGrid>
        <w:gridCol w:w="1915"/>
        <w:gridCol w:w="1959"/>
        <w:gridCol w:w="1960"/>
        <w:gridCol w:w="1960"/>
        <w:gridCol w:w="1201"/>
        <w:gridCol w:w="121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26418-Klinički bolnički centar Split</w:t>
            </w:r>
          </w:p>
        </w:tc>
        <w:tc>
          <w:tcPr>
            <w:tcW w:w="2041" w:type="dxa"/>
          </w:tcPr>
          <w:p w:rsidR="00505632" w:rsidRDefault="00505632" w:rsidP="00AD4E52">
            <w:pPr>
              <w:pStyle w:val="CellColumn"/>
              <w:jc w:val="right"/>
            </w:pPr>
            <w:r>
              <w:rPr>
                <w:rFonts w:cs="Times New Roman"/>
              </w:rPr>
              <w:t>876.965.323</w:t>
            </w:r>
          </w:p>
        </w:tc>
        <w:tc>
          <w:tcPr>
            <w:tcW w:w="2041" w:type="dxa"/>
          </w:tcPr>
          <w:p w:rsidR="00505632" w:rsidRDefault="00505632" w:rsidP="00AD4E52">
            <w:pPr>
              <w:pStyle w:val="CellColumn"/>
              <w:jc w:val="right"/>
            </w:pPr>
            <w:r>
              <w:rPr>
                <w:rFonts w:cs="Times New Roman"/>
              </w:rPr>
              <w:t>853.167.130</w:t>
            </w:r>
          </w:p>
        </w:tc>
        <w:tc>
          <w:tcPr>
            <w:tcW w:w="2041" w:type="dxa"/>
          </w:tcPr>
          <w:p w:rsidR="00505632" w:rsidRDefault="00505632" w:rsidP="00AD4E52">
            <w:pPr>
              <w:pStyle w:val="CellColumn"/>
              <w:jc w:val="right"/>
            </w:pPr>
            <w:r>
              <w:rPr>
                <w:rFonts w:cs="Times New Roman"/>
              </w:rPr>
              <w:t>882.026.853</w:t>
            </w:r>
          </w:p>
        </w:tc>
        <w:tc>
          <w:tcPr>
            <w:tcW w:w="1224" w:type="dxa"/>
          </w:tcPr>
          <w:p w:rsidR="00505632" w:rsidRDefault="00505632" w:rsidP="00AD4E52">
            <w:pPr>
              <w:pStyle w:val="CellColumn"/>
              <w:jc w:val="right"/>
            </w:pPr>
            <w:r>
              <w:rPr>
                <w:rFonts w:cs="Times New Roman"/>
              </w:rPr>
              <w:t>103,4</w:t>
            </w:r>
          </w:p>
        </w:tc>
        <w:tc>
          <w:tcPr>
            <w:tcW w:w="1224" w:type="dxa"/>
          </w:tcPr>
          <w:p w:rsidR="00505632" w:rsidRDefault="00505632" w:rsidP="00AD4E52">
            <w:pPr>
              <w:pStyle w:val="CellColumn"/>
              <w:jc w:val="right"/>
            </w:pPr>
            <w:r>
              <w:rPr>
                <w:rFonts w:cs="Times New Roman"/>
              </w:rPr>
              <w:t>100,6</w:t>
            </w:r>
          </w:p>
        </w:tc>
      </w:tr>
      <w:tr w:rsidR="00505632" w:rsidTr="00AD4E52">
        <w:trPr>
          <w:jc w:val="center"/>
        </w:trPr>
        <w:tc>
          <w:tcPr>
            <w:tcW w:w="1632" w:type="dxa"/>
          </w:tcPr>
          <w:p w:rsidR="00505632" w:rsidRDefault="00505632" w:rsidP="00AD4E52">
            <w:pPr>
              <w:jc w:val="left"/>
            </w:pPr>
            <w:r>
              <w:t>3602-INVESTICIJE U ZDRAVSTVENU INFRASTRUKTURU</w:t>
            </w:r>
          </w:p>
        </w:tc>
        <w:tc>
          <w:tcPr>
            <w:tcW w:w="2041" w:type="dxa"/>
          </w:tcPr>
          <w:p w:rsidR="00505632" w:rsidRDefault="00505632" w:rsidP="00AD4E52">
            <w:pPr>
              <w:jc w:val="right"/>
            </w:pPr>
            <w:r>
              <w:t>1.512</w:t>
            </w:r>
          </w:p>
        </w:tc>
        <w:tc>
          <w:tcPr>
            <w:tcW w:w="2041" w:type="dxa"/>
          </w:tcPr>
          <w:p w:rsidR="00505632" w:rsidRDefault="00505632" w:rsidP="00AD4E52">
            <w:pPr>
              <w:jc w:val="right"/>
            </w:pPr>
            <w:r>
              <w:t>5.295.450</w:t>
            </w:r>
          </w:p>
        </w:tc>
        <w:tc>
          <w:tcPr>
            <w:tcW w:w="2041" w:type="dxa"/>
          </w:tcPr>
          <w:p w:rsidR="00505632" w:rsidRDefault="00505632" w:rsidP="00AD4E52">
            <w:pPr>
              <w:jc w:val="right"/>
            </w:pPr>
            <w:r>
              <w:t>5.281.242</w:t>
            </w:r>
          </w:p>
        </w:tc>
        <w:tc>
          <w:tcPr>
            <w:tcW w:w="1224" w:type="dxa"/>
          </w:tcPr>
          <w:p w:rsidR="00505632" w:rsidRDefault="00505632" w:rsidP="00AD4E52">
            <w:pPr>
              <w:jc w:val="right"/>
            </w:pPr>
            <w:r>
              <w:t>99,7</w:t>
            </w:r>
          </w:p>
        </w:tc>
        <w:tc>
          <w:tcPr>
            <w:tcW w:w="1224" w:type="dxa"/>
          </w:tcPr>
          <w:p w:rsidR="00505632" w:rsidRDefault="00505632" w:rsidP="00AD4E52">
            <w:pPr>
              <w:jc w:val="right"/>
            </w:pPr>
            <w:r>
              <w:t>349173,0</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876.963.810</w:t>
            </w:r>
          </w:p>
        </w:tc>
        <w:tc>
          <w:tcPr>
            <w:tcW w:w="2041" w:type="dxa"/>
          </w:tcPr>
          <w:p w:rsidR="00505632" w:rsidRDefault="00505632" w:rsidP="00AD4E52">
            <w:pPr>
              <w:jc w:val="right"/>
            </w:pPr>
            <w:r>
              <w:t>847.871.680</w:t>
            </w:r>
          </w:p>
        </w:tc>
        <w:tc>
          <w:tcPr>
            <w:tcW w:w="2041" w:type="dxa"/>
          </w:tcPr>
          <w:p w:rsidR="00505632" w:rsidRDefault="00505632" w:rsidP="00AD4E52">
            <w:pPr>
              <w:jc w:val="right"/>
            </w:pPr>
            <w:r>
              <w:t>876.745.611</w:t>
            </w:r>
          </w:p>
        </w:tc>
        <w:tc>
          <w:tcPr>
            <w:tcW w:w="1224" w:type="dxa"/>
          </w:tcPr>
          <w:p w:rsidR="00505632" w:rsidRDefault="00505632" w:rsidP="00AD4E52">
            <w:pPr>
              <w:jc w:val="right"/>
            </w:pPr>
            <w:r>
              <w:t>103,4</w:t>
            </w:r>
          </w:p>
        </w:tc>
        <w:tc>
          <w:tcPr>
            <w:tcW w:w="1224" w:type="dxa"/>
          </w:tcPr>
          <w:p w:rsidR="00505632" w:rsidRDefault="00505632" w:rsidP="00AD4E52">
            <w:pPr>
              <w:jc w:val="right"/>
            </w:pPr>
            <w:r>
              <w:t>100,0</w:t>
            </w:r>
          </w:p>
        </w:tc>
      </w:tr>
    </w:tbl>
    <w:p w:rsidR="00505632" w:rsidRDefault="00505632" w:rsidP="00505632">
      <w:pPr>
        <w:jc w:val="left"/>
      </w:pPr>
    </w:p>
    <w:p w:rsidR="00505632" w:rsidRDefault="00505632" w:rsidP="00505632">
      <w:pPr>
        <w:pStyle w:val="Heading3"/>
      </w:pPr>
      <w:r>
        <w:rPr>
          <w:rFonts w:cs="Times New Roman"/>
        </w:rPr>
        <w:t>26426 Klinika za ortopediju Lovran</w:t>
      </w:r>
    </w:p>
    <w:p w:rsidR="00505632" w:rsidRDefault="00505632" w:rsidP="00505632">
      <w:r>
        <w:t xml:space="preserve">Ukupno planirana sredstva za poslovanje u 2016. godini utrošena su za obavljanje osnovne djelatnosti tj. pružanje zdravstvenih usluga građanima. Tijekom 2016. godine pruženo je 142.602 usluge specijalističko konzilijarne zdravstvene zaštite i izvršeno 4.129 operativnih zahvata.  </w:t>
      </w:r>
    </w:p>
    <w:p w:rsidR="00505632" w:rsidRDefault="00505632" w:rsidP="00505632">
      <w:r>
        <w:t xml:space="preserve">Spomenuta sredstva utrošena su u omjeru 56,32% za rashode za zaposlene, 39,99% za rashode materijala i usluga, te 3,69% za nabavku dugotrajne nefinancijske imovine.  </w:t>
      </w:r>
    </w:p>
    <w:p w:rsidR="00505632" w:rsidRDefault="00505632" w:rsidP="00505632">
      <w:r>
        <w:t xml:space="preserve">Unutar ukupnih rashoda za materijale i usluge potrebno je istaknuti nekoliko najvećih kategorija rashoda: </w:t>
      </w:r>
    </w:p>
    <w:p w:rsidR="00505632" w:rsidRDefault="00505632" w:rsidP="00505632">
      <w:r>
        <w:t xml:space="preserve">- najveću kategoriju rashoda čine izdaci za medicinski potrošni i ugradbeni materijal sa učešćem od 53,51%  </w:t>
      </w:r>
    </w:p>
    <w:p w:rsidR="00505632" w:rsidRDefault="00505632" w:rsidP="00505632">
      <w:r>
        <w:t xml:space="preserve">- rashodi za energiju čine 6,37%  </w:t>
      </w:r>
    </w:p>
    <w:p w:rsidR="00505632" w:rsidRDefault="00505632" w:rsidP="00505632">
      <w:r>
        <w:t xml:space="preserve">- rashodi za sitan inventar (kirurški instrumenti) čine 2,93% </w:t>
      </w:r>
    </w:p>
    <w:p w:rsidR="00505632" w:rsidRDefault="00505632" w:rsidP="00505632">
      <w:r>
        <w:t xml:space="preserve">- usluge tekućeg i investicijskog održavanja čine 12,53% </w:t>
      </w:r>
    </w:p>
    <w:p w:rsidR="00505632" w:rsidRDefault="00505632" w:rsidP="00505632">
      <w:r>
        <w:t xml:space="preserve">- komunalne usluge čine 3,86% </w:t>
      </w:r>
    </w:p>
    <w:p w:rsidR="00505632" w:rsidRDefault="00505632" w:rsidP="00505632">
      <w:r>
        <w:t xml:space="preserve">- usluge suradnih ustanova 3,90%. </w:t>
      </w:r>
    </w:p>
    <w:p w:rsidR="00505632" w:rsidRDefault="00505632" w:rsidP="00505632">
      <w:r>
        <w:t xml:space="preserve">Sredstvima utrošenim za nabavku nefinancijske dugotrajne imovine realizirano je: </w:t>
      </w:r>
    </w:p>
    <w:p w:rsidR="00505632" w:rsidRDefault="00505632" w:rsidP="00505632">
      <w:r>
        <w:t xml:space="preserve">- artropumpa sa shawerom </w:t>
      </w:r>
    </w:p>
    <w:p w:rsidR="00505632" w:rsidRDefault="00505632" w:rsidP="00505632">
      <w:r>
        <w:t xml:space="preserve">- aspirator </w:t>
      </w:r>
    </w:p>
    <w:p w:rsidR="00505632" w:rsidRDefault="00505632" w:rsidP="00505632">
      <w:r>
        <w:t xml:space="preserve">- pulsni oksimetar za djecu </w:t>
      </w:r>
    </w:p>
    <w:p w:rsidR="00505632" w:rsidRDefault="00505632" w:rsidP="00505632">
      <w:r>
        <w:t xml:space="preserve">- digitalizator za RTG snimke za operacijsku salu </w:t>
      </w:r>
    </w:p>
    <w:p w:rsidR="00505632" w:rsidRDefault="00505632" w:rsidP="00505632">
      <w:r>
        <w:t xml:space="preserve">- hematološki brojač za laboratorij </w:t>
      </w:r>
    </w:p>
    <w:p w:rsidR="00505632" w:rsidRDefault="00505632" w:rsidP="00505632">
      <w:r>
        <w:t xml:space="preserve">- mini C-luk za RTG </w:t>
      </w:r>
    </w:p>
    <w:p w:rsidR="00505632" w:rsidRDefault="00505632" w:rsidP="00505632">
      <w:r>
        <w:t xml:space="preserve">- defibrilatori za bolničke odjele </w:t>
      </w:r>
    </w:p>
    <w:p w:rsidR="00505632" w:rsidRDefault="00505632" w:rsidP="00505632">
      <w:r>
        <w:t xml:space="preserve">- nastavak za operacijski stol </w:t>
      </w:r>
    </w:p>
    <w:p w:rsidR="00505632" w:rsidRDefault="00505632" w:rsidP="00505632">
      <w:r>
        <w:t xml:space="preserve">- aparat za blijedu stazu. </w:t>
      </w:r>
    </w:p>
    <w:p w:rsidR="00505632" w:rsidRDefault="00505632" w:rsidP="00505632">
      <w:r>
        <w:t>Ustanova je u 2016. godini izvršila sve ugovorena obveze prema Hrvatskom zavodu za zdravstveno osiguranje i fakturirala 6.604.185,03 kuna iznad ugovorenog limita. Također je podmirila u potpunosti sve dospjele obveze prema dobavljačima.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26426-Klinika za ortopediju Lovran</w:t>
            </w:r>
          </w:p>
        </w:tc>
        <w:tc>
          <w:tcPr>
            <w:tcW w:w="2041" w:type="dxa"/>
          </w:tcPr>
          <w:p w:rsidR="00505632" w:rsidRDefault="00505632" w:rsidP="00AD4E52">
            <w:pPr>
              <w:pStyle w:val="CellColumn"/>
              <w:jc w:val="right"/>
            </w:pPr>
            <w:r>
              <w:rPr>
                <w:rFonts w:cs="Times New Roman"/>
              </w:rPr>
              <w:t>56.158.525</w:t>
            </w:r>
          </w:p>
        </w:tc>
        <w:tc>
          <w:tcPr>
            <w:tcW w:w="2041" w:type="dxa"/>
          </w:tcPr>
          <w:p w:rsidR="00505632" w:rsidRDefault="00505632" w:rsidP="00AD4E52">
            <w:pPr>
              <w:pStyle w:val="CellColumn"/>
              <w:jc w:val="right"/>
            </w:pPr>
            <w:r>
              <w:rPr>
                <w:rFonts w:cs="Times New Roman"/>
              </w:rPr>
              <w:t>56.110.000</w:t>
            </w:r>
          </w:p>
        </w:tc>
        <w:tc>
          <w:tcPr>
            <w:tcW w:w="2041" w:type="dxa"/>
          </w:tcPr>
          <w:p w:rsidR="00505632" w:rsidRDefault="00505632" w:rsidP="00AD4E52">
            <w:pPr>
              <w:pStyle w:val="CellColumn"/>
              <w:jc w:val="right"/>
            </w:pPr>
            <w:r>
              <w:rPr>
                <w:rFonts w:cs="Times New Roman"/>
              </w:rPr>
              <w:t>53.924.680</w:t>
            </w:r>
          </w:p>
        </w:tc>
        <w:tc>
          <w:tcPr>
            <w:tcW w:w="1224" w:type="dxa"/>
          </w:tcPr>
          <w:p w:rsidR="00505632" w:rsidRDefault="00505632" w:rsidP="00AD4E52">
            <w:pPr>
              <w:pStyle w:val="CellColumn"/>
              <w:jc w:val="right"/>
            </w:pPr>
            <w:r>
              <w:rPr>
                <w:rFonts w:cs="Times New Roman"/>
              </w:rPr>
              <w:t>96,1</w:t>
            </w:r>
          </w:p>
        </w:tc>
        <w:tc>
          <w:tcPr>
            <w:tcW w:w="1224" w:type="dxa"/>
          </w:tcPr>
          <w:p w:rsidR="00505632" w:rsidRDefault="00505632" w:rsidP="00AD4E52">
            <w:pPr>
              <w:pStyle w:val="CellColumn"/>
              <w:jc w:val="right"/>
            </w:pPr>
            <w:r>
              <w:rPr>
                <w:rFonts w:cs="Times New Roman"/>
              </w:rPr>
              <w:t>96,0</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56.158.525</w:t>
            </w:r>
          </w:p>
        </w:tc>
        <w:tc>
          <w:tcPr>
            <w:tcW w:w="2041" w:type="dxa"/>
          </w:tcPr>
          <w:p w:rsidR="00505632" w:rsidRDefault="00505632" w:rsidP="00AD4E52">
            <w:pPr>
              <w:jc w:val="right"/>
            </w:pPr>
            <w:r>
              <w:t>56.110.000</w:t>
            </w:r>
          </w:p>
        </w:tc>
        <w:tc>
          <w:tcPr>
            <w:tcW w:w="2041" w:type="dxa"/>
          </w:tcPr>
          <w:p w:rsidR="00505632" w:rsidRDefault="00505632" w:rsidP="00AD4E52">
            <w:pPr>
              <w:jc w:val="right"/>
            </w:pPr>
            <w:r>
              <w:t>53.924.680</w:t>
            </w:r>
          </w:p>
        </w:tc>
        <w:tc>
          <w:tcPr>
            <w:tcW w:w="1224" w:type="dxa"/>
          </w:tcPr>
          <w:p w:rsidR="00505632" w:rsidRDefault="00505632" w:rsidP="00AD4E52">
            <w:pPr>
              <w:jc w:val="right"/>
            </w:pPr>
            <w:r>
              <w:t>96,1</w:t>
            </w:r>
          </w:p>
        </w:tc>
        <w:tc>
          <w:tcPr>
            <w:tcW w:w="1224" w:type="dxa"/>
          </w:tcPr>
          <w:p w:rsidR="00505632" w:rsidRDefault="00505632" w:rsidP="00AD4E52">
            <w:pPr>
              <w:jc w:val="right"/>
            </w:pPr>
            <w:r>
              <w:t>96,0</w:t>
            </w:r>
          </w:p>
        </w:tc>
      </w:tr>
    </w:tbl>
    <w:p w:rsidR="00505632" w:rsidRDefault="00505632" w:rsidP="00505632">
      <w:pPr>
        <w:jc w:val="left"/>
      </w:pPr>
    </w:p>
    <w:p w:rsidR="00505632" w:rsidRDefault="00505632" w:rsidP="00505632">
      <w:pPr>
        <w:pStyle w:val="Heading3"/>
      </w:pPr>
      <w:r>
        <w:rPr>
          <w:rFonts w:cs="Times New Roman"/>
        </w:rPr>
        <w:t>26459 Klinika za infektivne bolesti dr. Fran Mihaljević</w:t>
      </w:r>
    </w:p>
    <w:p w:rsidR="00505632" w:rsidRDefault="00505632" w:rsidP="00505632">
      <w:r>
        <w:t xml:space="preserve">Program rada Klinike u razdoblju siječanj – prosinac 2016. provodio se sukladno potpisanom Ugovoru o provođenju bolničke i specijalističko-konzilijarne zdravstvene zaštite oboljelih od akutnih bolesti od 1. travnja do 31. prosinca 2015. godine s HZZO-om te kroz potpisivanje Dodataka Ugovora: </w:t>
      </w:r>
    </w:p>
    <w:p w:rsidR="00505632" w:rsidRDefault="00505632" w:rsidP="00505632">
      <w:r>
        <w:t xml:space="preserve">Dodatkom IV Ugovora produženo je ugovorno razdoblje od 1. siječnja do 31. ožujka 2016. Ugovoreni mjesečni iznosi i kapaciteti su ostali nepromijenjeni, mjesečni iznos temeljnih sredstava za razdoblje I. – III. 2016. iznosi 13.396.493,08 kn, posebno skupi lijekovi iznose 381.722,87 kn i zdravstvena zaštita za hrvatske državljane s prebivalištem u Bosni i Hercegovini  17.439,87 kn. </w:t>
      </w:r>
    </w:p>
    <w:p w:rsidR="00505632" w:rsidRDefault="00505632" w:rsidP="00505632">
      <w:r>
        <w:t xml:space="preserve">Dodatkom V produžuje se ugovorno razdoblje do 30.  lipnja 2016. i utvrđen je novi mjesečni iznos temeljnih sredstava za razdoblje IV. – VI. 2016. iznosi 13.128.563,22 kn (smanjenje za 2%), posebno skupi lijekovi i zdravstvena zaštita za hrvatske državljane s prebivalištem u Bosni i Hercegovini  ostaje ista. </w:t>
      </w:r>
    </w:p>
    <w:p w:rsidR="00505632" w:rsidRDefault="00505632" w:rsidP="00505632">
      <w:r>
        <w:t xml:space="preserve">Dodatkom VI produženo je ugovorno razdoblje do 31. prosinca 2016. godine, a ugovoreni mjesečni kapaciteti i iznosi ostali su nepromijenjeni. </w:t>
      </w:r>
    </w:p>
    <w:p w:rsidR="00505632" w:rsidRDefault="00505632" w:rsidP="00505632">
      <w:r>
        <w:t xml:space="preserve">Dodatkom VII mijenja se naknada za posebno skupe lijekove od 01.11.2016. - 31.12.2016. te iznosi 50.000,00 kn i naknada za zdravstvenu zaštitu za hrvatske državljane s prebivalištem u Bosni i Hercegovini 01.07.2016. -  31.12.2016. koja  iznosi 24.722,67 kn. </w:t>
      </w:r>
    </w:p>
    <w:p w:rsidR="00505632" w:rsidRDefault="00505632" w:rsidP="00505632">
      <w:r>
        <w:t xml:space="preserve">Izvan utvrđenog limita HZZO-u  smo ispostavljali  račune za troškove skupih lijekova prema "Odluci o utvrđivanju posebno skupih lijekova te za provođenje zdravstvene zaštite osobama iz država s kojima Republika Hrvatska ima sklopljen ugovor o socijalnom osiguranju, a koji privremeno borave u Republici Hrvatskoj (konvencije) te za provođenje zdravstvene zaštite hrvatskih državljana s prebivalištem u BiH. </w:t>
      </w:r>
    </w:p>
    <w:p w:rsidR="00505632" w:rsidRDefault="00505632" w:rsidP="00505632">
      <w:r>
        <w:t xml:space="preserve">Ta sredstva se ne uračunavaju u maksimalno utvrđeni iznos novčanih sredstava Klinike, stoga su ugovorena kao van-limitne stavke za razdoblje od 1. siječnja do 31. prosinca (Dodatak IV): </w:t>
      </w:r>
    </w:p>
    <w:p w:rsidR="00505632" w:rsidRDefault="00505632" w:rsidP="00505632">
      <w:r>
        <w:t xml:space="preserve">• Sredstva za posebno skupe lijekove - mjesečni iznos 381.722,87 kn (01.01.2016.-30.10.2016.) i 50.000,00  kn (01.11.2016.-31.12.2016.),  godišnje 3.917.228,70 kn </w:t>
      </w:r>
    </w:p>
    <w:p w:rsidR="00505632" w:rsidRDefault="00505632" w:rsidP="00505632">
      <w:r>
        <w:t xml:space="preserve">• Sredstva za provođenje zdravstvene zaštite hrvatskim državljanima s prebivalištem u Bosni i Hercegovini - mjesečni iznos 17.439,13 kn (01.01.2016.-30.06.2016.) i 24.722,67 kn (01.07.2016.-31.12.2016.), godišnje 252.970,80 kn. </w:t>
      </w:r>
    </w:p>
    <w:p w:rsidR="00505632" w:rsidRDefault="00505632" w:rsidP="00505632">
      <w:r>
        <w:t xml:space="preserve">Za liječenje bolesnika oboljelih od kroničnog hepatitisa C krajem listopada 2015. godine počinje provođenje Pilot projekta o novom načinu plaćanja lijekova za liječenje kroničnog hepatitisa C stavljenih na Popis posebno skupih lijekova. </w:t>
      </w:r>
    </w:p>
    <w:p w:rsidR="00505632" w:rsidRDefault="00505632" w:rsidP="00505632">
      <w:r>
        <w:t xml:space="preserve">Zavod je uveo novi model ugovaranja financiranja liječenja: </w:t>
      </w:r>
    </w:p>
    <w:p w:rsidR="00505632" w:rsidRDefault="00505632" w:rsidP="00505632">
      <w:r>
        <w:t xml:space="preserve">• plaćanje s pozicije namijenjene za posebno skupe lijekove (iznos se ne ugovara) </w:t>
      </w:r>
    </w:p>
    <w:p w:rsidR="00505632" w:rsidRDefault="00505632" w:rsidP="00505632">
      <w:r>
        <w:t xml:space="preserve">• liječenje bolesnika od hepatitisa C novom terapijom će se provoditi  samo kod onih bolesnika za koje  se dobije  odobrenje od strane povjerenstva HZZO-a  </w:t>
      </w:r>
    </w:p>
    <w:p w:rsidR="00505632" w:rsidRDefault="00505632" w:rsidP="00505632">
      <w:r>
        <w:t xml:space="preserve">• lijek se proizvođačima plaća po terapijskom ishodu, što znači  da se plaća trošak liječenja za one oboljele kod kojih se postigne izlječenje - Ugovor o cesiji (proizvođači lijekova preuzimaju trošak neuspješnih liječenja) </w:t>
      </w:r>
    </w:p>
    <w:p w:rsidR="00505632" w:rsidRDefault="00505632" w:rsidP="00505632">
      <w:r>
        <w:t xml:space="preserve">Ugovorom o provođenju bolničke i specijalističko konzilijarne zdravstvene zaštite oboljelih od akutnih bolesti od 1. travnja do 31. prosinca 2015. godine s HZZO-om te Dodacima  IV. , V. i VI. Ugovoru: </w:t>
      </w:r>
    </w:p>
    <w:p w:rsidR="00505632" w:rsidRDefault="00505632" w:rsidP="00505632">
      <w:r>
        <w:t xml:space="preserve">• dodijeljena su nam sredstva za provođenje posebnih postupaka u liječenju bolesnika oboljelih od HIV-a kao i najsloženijih oblika zaraznih bolesti s područja cijele Republike Hrvatske te obvezu osiguranja pripravnosti u slučaju opasnosti od epidemije u Republici Hrvatskoj i susjednim zemljama od 1. siječnja do 31. ožujka 2016. u mjesečnom iznosu od 1.000.000 kn. Dodatkom V i VI Ugovoru sredstva od 1. travnja do 30. lipnja i 1. srpnja do 31. prosinca 2016. iznose 750.000 kn (smanjenje za 25%) </w:t>
      </w:r>
    </w:p>
    <w:p w:rsidR="00505632" w:rsidRDefault="00505632" w:rsidP="00505632">
      <w:r>
        <w:t xml:space="preserve">• Nacionalnom respiratornom adultnom ECMO centru zaduženom za organizaciju stalne pripravnosti odnosno 24-satne stručne službe koja sudjeluje u transportu pacijenta iz drugih bolničkih zdravstvenih ustanova  u Republici Hrvatskoj osiguravaju se dodatna sredstva od 1. siječnja do 31. ožujka 2016. u mjesečnom iznosu od 1.000.000 kn. Dodatkom V. i VI. Ugovoru sredstva od 1. travnja do 30. lipnja i 1. srpnja do 31. prosinca iznose 750.000 (smanjenje za 25%)  </w:t>
      </w:r>
    </w:p>
    <w:p w:rsidR="00505632" w:rsidRDefault="00505632" w:rsidP="00505632">
      <w:r>
        <w:t xml:space="preserve">FINANCIJSKI POKAZATELJI </w:t>
      </w:r>
    </w:p>
    <w:p w:rsidR="00505632" w:rsidRDefault="00505632" w:rsidP="00505632">
      <w:r>
        <w:t xml:space="preserve">Klinici su na ime izvršenog programa rada za 2015. godinu 21. siječnja 2016. godine doznačena sredstva u iznosu od 8.154.813,82 kune  i prema Pravilniku o proračunskom računovodstvu  ulaze u prihod Klinike za 2016. godinu.  </w:t>
      </w:r>
    </w:p>
    <w:p w:rsidR="00505632" w:rsidRDefault="00505632" w:rsidP="00505632">
      <w:r>
        <w:t xml:space="preserve">Pozicija 26459 - Izvršenje ukupnih rashoda i izdataka  od 01.2016.-12.2016. iznosi 212.268.721,95 kn i veće je  od tekućeg plana  za 23.031.991,95 kn ili 12,17%.  </w:t>
      </w:r>
    </w:p>
    <w:p w:rsidR="00505632" w:rsidRDefault="00505632" w:rsidP="00505632">
      <w:r>
        <w:t xml:space="preserve">Rashodi za zaposlene (podskupina 3111,3121,3132,3133,)  iznose 79.779.507,08 kn ili 37,58% ukupnih rashoda i izdataka. Najveći porast je iskazan na poziciji ostali rashodi za zaposlene 34,00 % isplata regresa, božićnice, jubilarne nagrade i ostalo. </w:t>
      </w:r>
    </w:p>
    <w:p w:rsidR="00505632" w:rsidRDefault="00505632" w:rsidP="00505632">
      <w:r>
        <w:t xml:space="preserve">Naknade za prijevoz zaposlenika na posao i s posla, stručno usavršavanje zaposlenika i ostale naknade troškova zaposlenima podskupina  321 - izvršene su u iznosu od 2.568.717,00  kn  ili 1,21% ukupnih rashoda i izdataka. </w:t>
      </w:r>
    </w:p>
    <w:p w:rsidR="00505632" w:rsidRDefault="00505632" w:rsidP="00505632">
      <w:r>
        <w:t xml:space="preserve">Podskupina 322 uredski materijal  iznosi 1.469.548,68 kn ili 0,69 % ukupnih rashoda i izdataka. </w:t>
      </w:r>
    </w:p>
    <w:p w:rsidR="00505632" w:rsidRDefault="00505632" w:rsidP="00505632">
      <w:r>
        <w:t xml:space="preserve">Najviše sredstava iz podskupine 322 - utrošeno je za materijal i sirovine 109.690.444,36 kn  ili 51,68 % ukupnih rashoda i izdataka. Porast od 20.771.554,36 kn ili 23,36%  odnosi se nabavu  posebno skupih lijekova (lijekovi za hepatitis C pilot projekt i atiretrovirotika)  te potrošnog medicinskog materijala. </w:t>
      </w:r>
    </w:p>
    <w:p w:rsidR="00505632" w:rsidRDefault="00505632" w:rsidP="00505632">
      <w:r>
        <w:t xml:space="preserve">Na podskupini 322 -  rashodi za materijal i energiju iznose 4.659.508,77 kn  odnosno 2,20% ukupnih rashoda i izdataka, najvećim  dijelom odnose na troškove za energiju te nabavku ostalog materijala za potrebe poslovanja.  </w:t>
      </w:r>
    </w:p>
    <w:p w:rsidR="00505632" w:rsidRDefault="00505632" w:rsidP="00505632">
      <w:r>
        <w:t xml:space="preserve">Podskupina  323 - Usluge tekućeg i investicijskog održavanja iznose 4.037.145,34 kn ili 1,90% ukupnih rashoda i izdataka (servisno održavanje medicinskih i nemedicinskih aparata, održavanje starih građevinskih objekata, održavanje računalnog sustava). </w:t>
      </w:r>
    </w:p>
    <w:p w:rsidR="00505632" w:rsidRDefault="00505632" w:rsidP="00505632">
      <w:r>
        <w:t xml:space="preserve">Ostala podskupina 323 iznosi 7.751.473,23 kn u strukturi ukupnih rashoda i izdataka sudjeluju s 3,65%. Najznačajnije stavke čine troškovi za komunalne  usluge vodovod i kanalizaciju, ekološke usluge, čuvanje imovine, usluge drugih zdravstvenih ustanova ostale usluge te usluge telefona i pošte. </w:t>
      </w:r>
    </w:p>
    <w:p w:rsidR="00505632" w:rsidRDefault="00505632" w:rsidP="00505632">
      <w:r>
        <w:t xml:space="preserve">Na podskupini 329 ostali nespomenuti rashodi poslovanja iznose  324.603,14 kn  u strukturi ukupnih rashoda i izdataka sudjeluju s 0,15% troškovi u strukturi ukupnih rashoda i izdataka vezani za ove rashode su  naknade članovima Upravnog vijeća, članarine premije osiguranja, pristojbe i ostale  naknade. </w:t>
      </w:r>
    </w:p>
    <w:p w:rsidR="00505632" w:rsidRDefault="00505632" w:rsidP="00505632">
      <w:r>
        <w:t xml:space="preserve">Na podskupini 342 i 343  iskazane su kamate  bankarske  usluge, zatezne kamate  i ostali nespomenuti financijski rashodi u iznosu od 110.304,63 kune ili 0,05% ukupnih rashoda i izdataka.  </w:t>
      </w:r>
    </w:p>
    <w:p w:rsidR="00505632" w:rsidRDefault="00505632" w:rsidP="00505632">
      <w:r>
        <w:t xml:space="preserve">Izdaci za kapitalna ulaganja, podskupina 412, 422, 423, 424, 426  iznose 1.745.558,82 kn ili 0,82%  ukupnih rashoda i izdataka (nabava kreveta, informatičke opreme, informatizacija BIS, medicinska i nemedicinska oprema)   </w:t>
      </w:r>
    </w:p>
    <w:p w:rsidR="00505632" w:rsidRDefault="00505632" w:rsidP="00505632">
      <w:r>
        <w:t xml:space="preserve">Podskupina 372 izvršena je u potpunosti u iznosu 150.000,00 kuna  sredstva su utrošena za sufinanciranje programa „Psihosocijalna pomoć i podrška osobama pogođenima HIV-om . </w:t>
      </w:r>
    </w:p>
    <w:p w:rsidR="00505632" w:rsidRDefault="00505632" w:rsidP="00505632">
      <w:r>
        <w:t>Sredstva planirana i ostvarena u 2016.  utrošena su za izvršavanje osnovne djelatnosti – pružanje zdravstvenih usluga (stacionarna zdravstvena zaštita ugovorena s 214 postelja, specijalističko-konzilijarna zdravstvena zaštita, dnevna bolnica s 28 postelja te 28,21 ordinacija i hemodijaliza 1)  sukladno  navedenom Ugovoru s HZZ-om i Dodacima.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26459-Klinika za infektivne bolesti dr. Fran Mihaljević</w:t>
            </w:r>
          </w:p>
        </w:tc>
        <w:tc>
          <w:tcPr>
            <w:tcW w:w="2041" w:type="dxa"/>
          </w:tcPr>
          <w:p w:rsidR="00505632" w:rsidRDefault="00505632" w:rsidP="00AD4E52">
            <w:pPr>
              <w:pStyle w:val="CellColumn"/>
              <w:jc w:val="right"/>
            </w:pPr>
            <w:r>
              <w:rPr>
                <w:rFonts w:cs="Times New Roman"/>
              </w:rPr>
              <w:t>167.029.693</w:t>
            </w:r>
          </w:p>
        </w:tc>
        <w:tc>
          <w:tcPr>
            <w:tcW w:w="2041" w:type="dxa"/>
          </w:tcPr>
          <w:p w:rsidR="00505632" w:rsidRDefault="00505632" w:rsidP="00AD4E52">
            <w:pPr>
              <w:pStyle w:val="CellColumn"/>
              <w:jc w:val="right"/>
            </w:pPr>
            <w:r>
              <w:rPr>
                <w:rFonts w:cs="Times New Roman"/>
              </w:rPr>
              <w:t>189.236.730</w:t>
            </w:r>
          </w:p>
        </w:tc>
        <w:tc>
          <w:tcPr>
            <w:tcW w:w="2041" w:type="dxa"/>
          </w:tcPr>
          <w:p w:rsidR="00505632" w:rsidRDefault="00505632" w:rsidP="00AD4E52">
            <w:pPr>
              <w:pStyle w:val="CellColumn"/>
              <w:jc w:val="right"/>
            </w:pPr>
            <w:r>
              <w:rPr>
                <w:rFonts w:cs="Times New Roman"/>
              </w:rPr>
              <w:t>212.268.722</w:t>
            </w:r>
          </w:p>
        </w:tc>
        <w:tc>
          <w:tcPr>
            <w:tcW w:w="1224" w:type="dxa"/>
          </w:tcPr>
          <w:p w:rsidR="00505632" w:rsidRDefault="00505632" w:rsidP="00AD4E52">
            <w:pPr>
              <w:pStyle w:val="CellColumn"/>
              <w:jc w:val="right"/>
            </w:pPr>
            <w:r>
              <w:rPr>
                <w:rFonts w:cs="Times New Roman"/>
              </w:rPr>
              <w:t>112,2</w:t>
            </w:r>
          </w:p>
        </w:tc>
        <w:tc>
          <w:tcPr>
            <w:tcW w:w="1224" w:type="dxa"/>
          </w:tcPr>
          <w:p w:rsidR="00505632" w:rsidRDefault="00505632" w:rsidP="00AD4E52">
            <w:pPr>
              <w:pStyle w:val="CellColumn"/>
              <w:jc w:val="right"/>
            </w:pPr>
            <w:r>
              <w:rPr>
                <w:rFonts w:cs="Times New Roman"/>
              </w:rPr>
              <w:t>127,1</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167.029.693</w:t>
            </w:r>
          </w:p>
        </w:tc>
        <w:tc>
          <w:tcPr>
            <w:tcW w:w="2041" w:type="dxa"/>
          </w:tcPr>
          <w:p w:rsidR="00505632" w:rsidRDefault="00505632" w:rsidP="00AD4E52">
            <w:pPr>
              <w:jc w:val="right"/>
            </w:pPr>
            <w:r>
              <w:t>189.236.730</w:t>
            </w:r>
          </w:p>
        </w:tc>
        <w:tc>
          <w:tcPr>
            <w:tcW w:w="2041" w:type="dxa"/>
          </w:tcPr>
          <w:p w:rsidR="00505632" w:rsidRDefault="00505632" w:rsidP="00AD4E52">
            <w:pPr>
              <w:jc w:val="right"/>
            </w:pPr>
            <w:r>
              <w:t>212.268.722</w:t>
            </w:r>
          </w:p>
        </w:tc>
        <w:tc>
          <w:tcPr>
            <w:tcW w:w="1224" w:type="dxa"/>
          </w:tcPr>
          <w:p w:rsidR="00505632" w:rsidRDefault="00505632" w:rsidP="00AD4E52">
            <w:pPr>
              <w:jc w:val="right"/>
            </w:pPr>
            <w:r>
              <w:t>112,2</w:t>
            </w:r>
          </w:p>
        </w:tc>
        <w:tc>
          <w:tcPr>
            <w:tcW w:w="1224" w:type="dxa"/>
          </w:tcPr>
          <w:p w:rsidR="00505632" w:rsidRDefault="00505632" w:rsidP="00AD4E52">
            <w:pPr>
              <w:jc w:val="right"/>
            </w:pPr>
            <w:r>
              <w:t>127,1</w:t>
            </w:r>
          </w:p>
        </w:tc>
      </w:tr>
    </w:tbl>
    <w:p w:rsidR="00505632" w:rsidRDefault="00505632" w:rsidP="00505632">
      <w:pPr>
        <w:jc w:val="left"/>
      </w:pPr>
    </w:p>
    <w:p w:rsidR="00505632" w:rsidRDefault="00505632" w:rsidP="00505632">
      <w:pPr>
        <w:pStyle w:val="Heading3"/>
      </w:pPr>
      <w:r>
        <w:rPr>
          <w:rFonts w:cs="Times New Roman"/>
        </w:rPr>
        <w:t>26571 Klinička bolnica Dubrava</w:t>
      </w:r>
    </w:p>
    <w:p w:rsidR="00505632" w:rsidRDefault="00505632" w:rsidP="00505632">
      <w:r>
        <w:t xml:space="preserve">Sredstva planirana u 2016. godine su trošena za izvršavanje osnovne djelatnosti – pružanje zdravstvenih usluga. Najviše sredstava je utrošeno na rashode za zaposlene te naknade za prijevoz zaposlenih (57,10 % ukupnih rashoda). Ostvareni trošak u odnosu na planirani veći je za 3,15 %, što je najvećim djelom posljedica ostvarenih troškova za isplatu božićnice i regresa zaposlenicima, a koji nisu bili planirani unutar ostalih rashoda za zaposlene tijekom 2016. godine. </w:t>
      </w:r>
    </w:p>
    <w:p w:rsidR="00505632" w:rsidRDefault="00505632" w:rsidP="00505632">
      <w:r>
        <w:t xml:space="preserve">Veliki dio sredstava utrošen je za materijal i energiju (najvećim dijelom za lijekove, skupe lijekove, sanitetski potrošni materijal, plin i električnu energiju – 33,87 % ukupnih rashoda), dio rashoda za usluge (najvećim dijelom komunalne usluge – 5,72 % ukupnih rashoda), te za nabavku dijela neophodne medicinske opreme i podmirenje rashoda za dodatna ulaganja na građevinskim objektima i opremi (2,87 % ukupnih rashoda). </w:t>
      </w:r>
    </w:p>
    <w:p w:rsidR="00505632" w:rsidRDefault="00505632" w:rsidP="00505632">
      <w:r>
        <w:t xml:space="preserve">Klinička bolnica Dubrava obradila je 817.024 slučajeva specijalističko-konzilijarne zdravstvene zaštite, što predstavlja povećanje od 2 % u odnosu na 2015. godinu. Broj hospitalizacija je smanjen za 19 u odnosu na prethodnu godine, dok je broj slučajeva dnevne bolnice povećan za 15.326 ili 27 %, a jednodnevne kirurgije za 200 slučajeva ili 7 %, također u odnosu na prethodnu godinu. </w:t>
      </w:r>
    </w:p>
    <w:p w:rsidR="00505632" w:rsidRDefault="00505632" w:rsidP="00505632">
      <w:r>
        <w:t>Bolnica je u 2016. godini za izvršene usluge prema HZZO-u fakturirala 7.809.867,99 kn kuna iznad ugovorenog limita.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26571-Klinička bolnica Dubrava</w:t>
            </w:r>
          </w:p>
        </w:tc>
        <w:tc>
          <w:tcPr>
            <w:tcW w:w="2041" w:type="dxa"/>
          </w:tcPr>
          <w:p w:rsidR="00505632" w:rsidRDefault="00505632" w:rsidP="00AD4E52">
            <w:pPr>
              <w:pStyle w:val="CellColumn"/>
              <w:jc w:val="right"/>
            </w:pPr>
            <w:r>
              <w:rPr>
                <w:rFonts w:cs="Times New Roman"/>
              </w:rPr>
              <w:t>468.958.987</w:t>
            </w:r>
          </w:p>
        </w:tc>
        <w:tc>
          <w:tcPr>
            <w:tcW w:w="2041" w:type="dxa"/>
          </w:tcPr>
          <w:p w:rsidR="00505632" w:rsidRDefault="00505632" w:rsidP="00AD4E52">
            <w:pPr>
              <w:pStyle w:val="CellColumn"/>
              <w:jc w:val="right"/>
            </w:pPr>
            <w:r>
              <w:rPr>
                <w:rFonts w:cs="Times New Roman"/>
              </w:rPr>
              <w:t>468.735.710</w:t>
            </w:r>
          </w:p>
        </w:tc>
        <w:tc>
          <w:tcPr>
            <w:tcW w:w="2041" w:type="dxa"/>
          </w:tcPr>
          <w:p w:rsidR="00505632" w:rsidRDefault="00505632" w:rsidP="00AD4E52">
            <w:pPr>
              <w:pStyle w:val="CellColumn"/>
              <w:jc w:val="right"/>
            </w:pPr>
            <w:r>
              <w:rPr>
                <w:rFonts w:cs="Times New Roman"/>
              </w:rPr>
              <w:t>492.125.621</w:t>
            </w:r>
          </w:p>
        </w:tc>
        <w:tc>
          <w:tcPr>
            <w:tcW w:w="1224" w:type="dxa"/>
          </w:tcPr>
          <w:p w:rsidR="00505632" w:rsidRDefault="00505632" w:rsidP="00AD4E52">
            <w:pPr>
              <w:pStyle w:val="CellColumn"/>
              <w:jc w:val="right"/>
            </w:pPr>
            <w:r>
              <w:rPr>
                <w:rFonts w:cs="Times New Roman"/>
              </w:rPr>
              <w:t>105,0</w:t>
            </w:r>
          </w:p>
        </w:tc>
        <w:tc>
          <w:tcPr>
            <w:tcW w:w="1224" w:type="dxa"/>
          </w:tcPr>
          <w:p w:rsidR="00505632" w:rsidRDefault="00505632" w:rsidP="00AD4E52">
            <w:pPr>
              <w:pStyle w:val="CellColumn"/>
              <w:jc w:val="right"/>
            </w:pPr>
            <w:r>
              <w:rPr>
                <w:rFonts w:cs="Times New Roman"/>
              </w:rPr>
              <w:t>104,9</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468.958.987</w:t>
            </w:r>
          </w:p>
        </w:tc>
        <w:tc>
          <w:tcPr>
            <w:tcW w:w="2041" w:type="dxa"/>
          </w:tcPr>
          <w:p w:rsidR="00505632" w:rsidRDefault="00505632" w:rsidP="00AD4E52">
            <w:pPr>
              <w:jc w:val="right"/>
            </w:pPr>
            <w:r>
              <w:t>468.735.710</w:t>
            </w:r>
          </w:p>
        </w:tc>
        <w:tc>
          <w:tcPr>
            <w:tcW w:w="2041" w:type="dxa"/>
          </w:tcPr>
          <w:p w:rsidR="00505632" w:rsidRDefault="00505632" w:rsidP="00AD4E52">
            <w:pPr>
              <w:jc w:val="right"/>
            </w:pPr>
            <w:r>
              <w:t>492.125.621</w:t>
            </w:r>
          </w:p>
        </w:tc>
        <w:tc>
          <w:tcPr>
            <w:tcW w:w="1224" w:type="dxa"/>
          </w:tcPr>
          <w:p w:rsidR="00505632" w:rsidRDefault="00505632" w:rsidP="00AD4E52">
            <w:pPr>
              <w:jc w:val="right"/>
            </w:pPr>
            <w:r>
              <w:t>105,0</w:t>
            </w:r>
          </w:p>
        </w:tc>
        <w:tc>
          <w:tcPr>
            <w:tcW w:w="1224" w:type="dxa"/>
          </w:tcPr>
          <w:p w:rsidR="00505632" w:rsidRDefault="00505632" w:rsidP="00AD4E52">
            <w:pPr>
              <w:jc w:val="right"/>
            </w:pPr>
            <w:r>
              <w:t>104,9</w:t>
            </w:r>
          </w:p>
        </w:tc>
      </w:tr>
    </w:tbl>
    <w:p w:rsidR="00505632" w:rsidRDefault="00505632" w:rsidP="00505632">
      <w:pPr>
        <w:jc w:val="left"/>
      </w:pPr>
    </w:p>
    <w:p w:rsidR="00505632" w:rsidRDefault="00505632" w:rsidP="00505632">
      <w:pPr>
        <w:pStyle w:val="Heading3"/>
      </w:pPr>
      <w:r>
        <w:rPr>
          <w:rFonts w:cs="Times New Roman"/>
        </w:rPr>
        <w:t>38069 Klinički bolnički centar Zagreb</w:t>
      </w:r>
    </w:p>
    <w:p w:rsidR="00505632" w:rsidRDefault="00505632" w:rsidP="00505632">
      <w:r>
        <w:t xml:space="preserve">Ukupno planirani rashodi i izdaci za 2016. godinu u dostavljenoj excel datoteci „MIZ-izvršenje 2016. godine“ za KBC Zagreb na poziciji 981-A891001- ADMINISTRACIJA I UPRAVLJANJE iznose 1.559.522.810 kn a ostvareni rashodi i izdaci iznose 1.658.290.489,89 kn, odnosno veći su za 6,3 % od planiranih rashoda i izdataka.  </w:t>
      </w:r>
    </w:p>
    <w:p w:rsidR="00505632" w:rsidRDefault="00505632" w:rsidP="00505632">
      <w:r>
        <w:t xml:space="preserve">Rashodi za zaposlene koji čine 45,7% ukupnih rashoda djelomično su utjecali na izvršenje plana rashoda. Navedeni rashodi su veći od planiranih za 3,48 %.  </w:t>
      </w:r>
    </w:p>
    <w:p w:rsidR="00505632" w:rsidRDefault="00505632" w:rsidP="00505632">
      <w:r>
        <w:t xml:space="preserve">Na povećanje rashoda za zaposlene u 2016.-oj godini utjecala je primjena Dodatka I Kolektivnom ugovoru za djelatnost zdravstva i zdravstvenog osiguranja od listopada 2015. te isplata božićnice zaposlenicima koja nije bila planirana, u iznosu 6.586.875 kn.  </w:t>
      </w:r>
    </w:p>
    <w:p w:rsidR="00505632" w:rsidRDefault="00505632" w:rsidP="00505632">
      <w:r>
        <w:t xml:space="preserve">Materijalni rashodi koji čine 52,4 % rashoda i izdataka KBC-a Zagreb utjecali su na navedeno izvršenje plana rashoda. Ukupno promatrano ostvareni materijalni rashodi su veći od planiranih za 10,4 %. (rashodi za materijal i energiju, rashodi za usluge, naknade troškova zaposlenima i ostali materijalni rashodi).Na povećanje materijalnih rashoda bitno je utjecalo veće izvršenje u 2016. godini u odnosu na ugovorena sredstva (limit) s HZZO-om.  </w:t>
      </w:r>
    </w:p>
    <w:p w:rsidR="00505632" w:rsidRDefault="00505632" w:rsidP="00505632">
      <w:r>
        <w:t xml:space="preserve">Klinički bolnički centar Zagreb je za izvršene usluge stacionarne i polikliničko-konzilijarne zdravstvene zaštite bolesnika oboljelih od akutnih bolesti iz obveznog zdravstvenog osiguranja u 2016. godini ispostavio više računa u iznosu od 114.369.582 kn.  </w:t>
      </w:r>
    </w:p>
    <w:p w:rsidR="00505632" w:rsidRDefault="00505632" w:rsidP="00505632">
      <w:r>
        <w:t xml:space="preserve">Ulaganja u nefinancijsku imovinu planirana su u iznosu od 27.008.100 kn dok izvršena ulaganja u istu imovinu iznose 23.375.496 kn, odnosno manja su od planiranih za 13,4 %.  </w:t>
      </w:r>
    </w:p>
    <w:p w:rsidR="00505632" w:rsidRDefault="00505632" w:rsidP="00505632">
      <w:r>
        <w:t xml:space="preserve">Na izvršenje financijskog plana utjecali su sljedeći vanjski čimbenici:  </w:t>
      </w:r>
    </w:p>
    <w:p w:rsidR="00505632" w:rsidRDefault="00505632" w:rsidP="00505632">
      <w:r>
        <w:t>1.</w:t>
      </w:r>
      <w:r>
        <w:tab/>
        <w:t xml:space="preserve">obveza bolnica da sukladno Naputku MZSS-a (klasa: 530-07/08-09/111, ur. broj: 534-01-07-08-02 od 11. rujna 2008. godine) i HZZO-a (klasa: 502-02/07-05/587, ur. broj: 338-01-04-08-9 od 26. studenog 2008. godine) odmah stupe u nabavu potrebnog lijeka s Popisa posebno skupih lijekova ukoliko je odluka Bolničkog povjerenstva za lijekove za liječenje bolesnika s preporučenim lijekom pozitivna, bez da se čeka konačna ocjena Liječničkog povjerenstva za lijekove Direkcije Zavoda i time odgodi početak liječenja osiguranika;  </w:t>
      </w:r>
    </w:p>
    <w:p w:rsidR="00505632" w:rsidRDefault="00505632" w:rsidP="00505632">
      <w:r>
        <w:t>2.</w:t>
      </w:r>
      <w:r>
        <w:tab/>
        <w:t xml:space="preserve">sukladno Naputku MZSS-a (klasa: 530-07/08-09/111, ur. broj: 534-01-07-08-02 od 11. rujna 2008. godine) i HZZO-a (klasa: 502-02/07-05/587, ur. broj: 338-01-04-08-9 od 26. studenog 2008. godine) ukoliko bolnički doktor specijalista postavi medicinsku indikaciju za primjenu lijeka koji nije uvršten u važeće liste lijekova HZZO-a, Bolničko povjerenstvo za lijekove je dužno u roku 5 dana donijeti pozitivno odnosno negativno mišljenje vezano za predloženo liječenje bolesnika i o tome pismeno izvijestiti ravnatelja bolnice. Pozitivnim mišljenjem Bolničkog povjerenstva za lijekove za primjenu preporučenog lijeka izvan liste lijekova, osigurana osoba svoje pravo na preporučeni lijek ostvaruje na način da lijek dobiva u bolnici koja je obvezna odmah osigurati potrebni lijek na teret „proračuna“ bolnice;  </w:t>
      </w:r>
    </w:p>
    <w:p w:rsidR="00505632" w:rsidRDefault="00505632" w:rsidP="00505632">
      <w:r>
        <w:t>3.</w:t>
      </w:r>
      <w:r>
        <w:tab/>
        <w:t xml:space="preserve">bolnička je ljekarna dužna opskrbiti osiguranu osobu odobrenim lijekom u količini i kroz razdoblje za koje je Povjerenstvo za lijekove bolnice dalo odobrenje za liječenje (osiguranu osobu je odobrenim lijekom dužna snabdjeti bolnička zdravstvena ustanova čije je povjerenstvo za lijekove dalo odobrenje za liječenje);  </w:t>
      </w:r>
    </w:p>
    <w:p w:rsidR="00505632" w:rsidRDefault="00505632" w:rsidP="00505632">
      <w:r>
        <w:t>4.</w:t>
      </w:r>
      <w:r>
        <w:tab/>
        <w:t xml:space="preserve">Naputak HZZO-a (klasa: 500-07/08-01/207, broj: 338-01-34-08-6 od 1. prosinca 2008. godine) za ostvarivanje prava na bolničku i specijalističko-konzilijarnu zdravstvenu zaštitu osnovom izdane uputnice kojom osigurana osoba HZZO-a ima pravo ostvariti zdravstvenu zaštitu na koju je upućena u bilo kojoj ugovornoj zdravstvenoj ustanovi /ugovornoj ordinaciji privatne prakse i to na osnovi izdane uputnice, bez obzira koji je ugovorni subjekt HZZO-a na uputnici naznačen. Zbog vrhunske kvalitete mnogi bolesnici biraju za liječenje upravo KBC Zagreb, a pravo na liječenje im se ne može uskratiti;  </w:t>
      </w:r>
    </w:p>
    <w:p w:rsidR="00505632" w:rsidRDefault="00505632" w:rsidP="00505632">
      <w:r>
        <w:t>5.</w:t>
      </w:r>
      <w:r>
        <w:tab/>
        <w:t xml:space="preserve">Naputak HZZO-a (klasa: 500-07/09-01/136, ur. broj: 338-01-34-10-82 od 15. siječnja 2010. godine) sva se prijeoperacijska dijagnostička obrada treba provoditi unutar bolničke zdravstvene ustanove čiji je doktor specijalist indicirao operacijski zahvat. Ovdje, kao i u prethodnom stavku KBC Zagreb snosi visoke troškove specijalističko-konzilijarne zdravstvene zaštite jer velikom broju bolesnika nisu iste usluge pružene na razini primarne i sekundarne zdravstvene zaštite, ali ni u zdravstvenim ustanovama I i II kategorije kojima ti bolesnici gravitiraju. Naime, mnoge bolničke ustanove, uključujući i druge KBC-e „prebacuju“ teret troškova skupe dijagnostike i skupog liječenja na KBC Zagreb bez obzira na raspoloživost odgovarajućih vlastitih stručnjaka i status Referentnih centara Ministarstva zdravstva te postojanja visokodiferentne i skupe opreme usmjeravajući takve bolesnike na liječenje u KBC Zagreb;  </w:t>
      </w:r>
    </w:p>
    <w:p w:rsidR="00505632" w:rsidRDefault="00505632" w:rsidP="00505632">
      <w:r>
        <w:t>6.</w:t>
      </w:r>
      <w:r>
        <w:tab/>
        <w:t xml:space="preserve">postojeći DTS sustav od kada je uveden nije medicinsko-stručno niti ekonomsko-financijski izmijenjen i unaprijeđen. To je neprimjereni sustav kako u pogledu kategorija bolnica i vrsta djelatnosti tako i metodologije obračuna troškova i određivanja cijena DTS skupina, utvrđivanja složenosti postupaka, vrste i broja DTS skupina, neusklađenosti sa nacionalnom strategijom zdravstva i zahtjeva suvremene medicinske tehnologije. Isto tako, ima negativni utjecaj na prihode dopunskog zdravstvenog osiguranja i gotovinskih participacija, kao i na postupke analize, kontrole te primjene benchmarkinga. Nije riješen ni problem valorizacije epizoda hitnog prijema kao ni epizoda „visokih ekstremnih vrijednosti“ kod bolesnika sa dugotrajnim i skupim liječenjem. Tu pripada i nerealizirani projekt posebnog plaćanja intenzivnog liječenja (npr. SAPS II sustav) radi boljeg upravljanja intenzivnim liječenjem i postizanja pravičnog plaćanja bolnicama;  </w:t>
      </w:r>
    </w:p>
    <w:p w:rsidR="00505632" w:rsidRDefault="00505632" w:rsidP="00505632">
      <w:r>
        <w:t>7.</w:t>
      </w:r>
      <w:r>
        <w:tab/>
        <w:t xml:space="preserve">nedovoljan najviši iznos sudjelovanja u troškovima zdravstvene zaštite koji je obavezna snositi osigurana osoba HZZO-a po jednom liječenju ili dijagnostičkom postupku;  </w:t>
      </w:r>
    </w:p>
    <w:p w:rsidR="00505632" w:rsidRDefault="00505632" w:rsidP="00505632">
      <w:r>
        <w:t>8.</w:t>
      </w:r>
      <w:r>
        <w:tab/>
        <w:t xml:space="preserve">nedovoljan ugovoreni maksimalni iznos sredstava za provođenje bolničke i specijalističko-konzilijarne zdravstvene zaštite iz obveznog zdravstvenog osiguranja a KBC Zagreb je obvezan primjenjivati odredbe Kolektivnog ugovora za djelatnost zdravstva i zdravstvenog osiguranja, Zakona o zdravstvenoj zaštiti, Zakona o obveznom zdravstvenom osiguranju, Zakona o dobrovoljnom zdravstvenom osiguranju, Pravilnika o standardima i normativima prava na zdravstvenu zaštitu iz obveznog zdravstvenog osiguranja, Odluke o osnovama za sklapanje ugovora o provođenju zdravstvene zaštite iz obveznog zdravstvenog osiguranja, ugovornog odnosa s Hrvatskim zavodom za zdravstveno osiguranje, Zakona o zaštiti prava pacijenata i Zakona o kvaliteti zdravstvene zaštite;  </w:t>
      </w:r>
    </w:p>
    <w:p w:rsidR="00505632" w:rsidRDefault="00505632" w:rsidP="00505632">
      <w:r>
        <w:t>9.</w:t>
      </w:r>
      <w:r>
        <w:tab/>
        <w:t xml:space="preserve">ugovoreni rok plaćanja s HZZO-om od 60 dana koji nije sukladan načelima i standardima proračunskog računovodstva;  </w:t>
      </w:r>
    </w:p>
    <w:p w:rsidR="00505632" w:rsidRDefault="00505632" w:rsidP="00505632">
      <w:r>
        <w:t>10.</w:t>
      </w:r>
      <w:r>
        <w:tab/>
        <w:t xml:space="preserve">izvori radnog prava koji uređuju plaće zaposlenih u zdravstvu regulirani su općim propisima o radu i u skladu s njima zaključenim kolektivnim ugovorima, koje sklapaju Vlada RH i sindikati;  </w:t>
      </w:r>
    </w:p>
    <w:p w:rsidR="00505632" w:rsidRDefault="00505632" w:rsidP="00505632">
      <w:r>
        <w:t>11.</w:t>
      </w:r>
      <w:r>
        <w:tab/>
        <w:t xml:space="preserve">višegodišnji trend povećanja troškova kod kategorije posebno skupih lijekova koji se financira na teret „proračuna“ bolnica odnosno KBC-a Zagreb, što je posljedica primjene Odluka HZZO-a o utvrđivanju popisa posebno skupih lijekova i njihovim smjernicama o indikacijama liječenja;  </w:t>
      </w:r>
    </w:p>
    <w:p w:rsidR="00505632" w:rsidRDefault="00505632" w:rsidP="00505632">
      <w:r>
        <w:t>12.</w:t>
      </w:r>
      <w:r>
        <w:tab/>
        <w:t xml:space="preserve">teritorijalni ustroj hitne službe Grada Zagreba objavio je Grad Zagreb u svrhu ravnomjernije raspodjele zbrinjavanja hitnih bolesnika u bolničkim ustanovama. Već godinama, kao i sve ostale bolničke zdravstvene ustanove Grada Zagreba, Klinički bolnički centar Zagreb zaprima pacijente na temelju rasporeda hitnog prijema pacijenata koji se dnevno objavljuju u Večernjem listu i Jutarnjem listu. Takvim rasporedom i pravom pacijenata prema Zakonu o zdravstvenoj zaštiti i Zakonu o zaštiti prava pacijenata te ostalim pod zakonskim propisima u KBC Zagreb dolazi osobno ili ih se dovozi vozilom hitne medicinske pomoći veliki broj pacijenata upitnih medicinskih potreba i na taj način opterećuju rad Centra za hitnu medicinu KBC-a Zagreb;  </w:t>
      </w:r>
    </w:p>
    <w:p w:rsidR="00505632" w:rsidRDefault="00505632" w:rsidP="00505632">
      <w:r>
        <w:t>13.</w:t>
      </w:r>
      <w:r>
        <w:tab/>
        <w:t>iako je Novim modelom upućivanja HZZO-a iz 2013. godine trošak prijeoperacijske dijagnostičke obrade trebao biti vraćen na razinu primarne i sekundarne zdravstvene zaštite i dalje mnoge osigurane osobe HZZO-a i bolničke ustanove, uključujući i druge KBC-e „prebacuju“ teret troškova skupe dijagnostike i skupog liječenja na KBC Zagreb bez obzira na raspoloživost odgovarajućih vlastitih stručnjaka i status Referentnih centara Ministarstva zdravstva te postojanja visokodiferentne i skupe opreme usmjeravajući takve bolesnike na liječenje u KBC Zagreb.</w:t>
      </w:r>
    </w:p>
    <w:tbl>
      <w:tblPr>
        <w:tblStyle w:val="StilTablice"/>
        <w:tblW w:w="10206" w:type="dxa"/>
        <w:jc w:val="center"/>
        <w:tblLook w:val="04A0" w:firstRow="1" w:lastRow="0" w:firstColumn="1" w:lastColumn="0" w:noHBand="0" w:noVBand="1"/>
      </w:tblPr>
      <w:tblGrid>
        <w:gridCol w:w="1915"/>
        <w:gridCol w:w="1962"/>
        <w:gridCol w:w="1962"/>
        <w:gridCol w:w="1962"/>
        <w:gridCol w:w="1197"/>
        <w:gridCol w:w="1208"/>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38069-Klinički bolnički centar Zagreb</w:t>
            </w:r>
          </w:p>
        </w:tc>
        <w:tc>
          <w:tcPr>
            <w:tcW w:w="2041" w:type="dxa"/>
          </w:tcPr>
          <w:p w:rsidR="00505632" w:rsidRDefault="00505632" w:rsidP="00AD4E52">
            <w:pPr>
              <w:pStyle w:val="CellColumn"/>
              <w:jc w:val="right"/>
            </w:pPr>
            <w:r>
              <w:rPr>
                <w:rFonts w:cs="Times New Roman"/>
              </w:rPr>
              <w:t>1.566.632.004</w:t>
            </w:r>
          </w:p>
        </w:tc>
        <w:tc>
          <w:tcPr>
            <w:tcW w:w="2041" w:type="dxa"/>
          </w:tcPr>
          <w:p w:rsidR="00505632" w:rsidRDefault="00505632" w:rsidP="00AD4E52">
            <w:pPr>
              <w:pStyle w:val="CellColumn"/>
              <w:jc w:val="right"/>
            </w:pPr>
            <w:r>
              <w:rPr>
                <w:rFonts w:cs="Times New Roman"/>
              </w:rPr>
              <w:t>1.563.461.300</w:t>
            </w:r>
          </w:p>
        </w:tc>
        <w:tc>
          <w:tcPr>
            <w:tcW w:w="2041" w:type="dxa"/>
          </w:tcPr>
          <w:p w:rsidR="00505632" w:rsidRDefault="00505632" w:rsidP="00AD4E52">
            <w:pPr>
              <w:pStyle w:val="CellColumn"/>
              <w:jc w:val="right"/>
            </w:pPr>
            <w:r>
              <w:rPr>
                <w:rFonts w:cs="Times New Roman"/>
              </w:rPr>
              <w:t>1.661.825.391</w:t>
            </w:r>
          </w:p>
        </w:tc>
        <w:tc>
          <w:tcPr>
            <w:tcW w:w="1224" w:type="dxa"/>
          </w:tcPr>
          <w:p w:rsidR="00505632" w:rsidRDefault="00505632" w:rsidP="00AD4E52">
            <w:pPr>
              <w:pStyle w:val="CellColumn"/>
              <w:jc w:val="right"/>
            </w:pPr>
            <w:r>
              <w:rPr>
                <w:rFonts w:cs="Times New Roman"/>
              </w:rPr>
              <w:t>106,3</w:t>
            </w:r>
          </w:p>
        </w:tc>
        <w:tc>
          <w:tcPr>
            <w:tcW w:w="1224" w:type="dxa"/>
          </w:tcPr>
          <w:p w:rsidR="00505632" w:rsidRDefault="00505632" w:rsidP="00AD4E52">
            <w:pPr>
              <w:pStyle w:val="CellColumn"/>
              <w:jc w:val="right"/>
            </w:pPr>
            <w:r>
              <w:rPr>
                <w:rFonts w:cs="Times New Roman"/>
              </w:rPr>
              <w:t>106,1</w:t>
            </w:r>
          </w:p>
        </w:tc>
      </w:tr>
      <w:tr w:rsidR="00505632" w:rsidTr="00AD4E52">
        <w:trPr>
          <w:jc w:val="center"/>
        </w:trPr>
        <w:tc>
          <w:tcPr>
            <w:tcW w:w="1632" w:type="dxa"/>
          </w:tcPr>
          <w:p w:rsidR="00505632" w:rsidRDefault="00505632" w:rsidP="00AD4E52">
            <w:pPr>
              <w:jc w:val="left"/>
            </w:pPr>
            <w:r>
              <w:t>3602-INVESTICIJE U ZDRAVSTVENU INFRASTRUKTURU</w:t>
            </w:r>
          </w:p>
        </w:tc>
        <w:tc>
          <w:tcPr>
            <w:tcW w:w="2041" w:type="dxa"/>
          </w:tcPr>
          <w:p w:rsidR="00505632" w:rsidRDefault="00505632" w:rsidP="00AD4E52">
            <w:pPr>
              <w:jc w:val="right"/>
            </w:pPr>
            <w:r>
              <w:t>5.357.381</w:t>
            </w:r>
          </w:p>
        </w:tc>
        <w:tc>
          <w:tcPr>
            <w:tcW w:w="2041" w:type="dxa"/>
          </w:tcPr>
          <w:p w:rsidR="00505632" w:rsidRDefault="00505632" w:rsidP="00AD4E52">
            <w:pPr>
              <w:jc w:val="right"/>
            </w:pPr>
            <w:r>
              <w:t>3.938.490</w:t>
            </w:r>
          </w:p>
        </w:tc>
        <w:tc>
          <w:tcPr>
            <w:tcW w:w="2041" w:type="dxa"/>
          </w:tcPr>
          <w:p w:rsidR="00505632" w:rsidRDefault="00505632" w:rsidP="00AD4E52">
            <w:pPr>
              <w:jc w:val="right"/>
            </w:pPr>
            <w:r>
              <w:t>3.534.901</w:t>
            </w:r>
          </w:p>
        </w:tc>
        <w:tc>
          <w:tcPr>
            <w:tcW w:w="1224" w:type="dxa"/>
          </w:tcPr>
          <w:p w:rsidR="00505632" w:rsidRDefault="00505632" w:rsidP="00AD4E52">
            <w:pPr>
              <w:jc w:val="right"/>
            </w:pPr>
            <w:r>
              <w:t>89,8</w:t>
            </w:r>
          </w:p>
        </w:tc>
        <w:tc>
          <w:tcPr>
            <w:tcW w:w="1224" w:type="dxa"/>
          </w:tcPr>
          <w:p w:rsidR="00505632" w:rsidRDefault="00505632" w:rsidP="00AD4E52">
            <w:pPr>
              <w:jc w:val="right"/>
            </w:pPr>
            <w:r>
              <w:t>66,0</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1.561.274.622</w:t>
            </w:r>
          </w:p>
        </w:tc>
        <w:tc>
          <w:tcPr>
            <w:tcW w:w="2041" w:type="dxa"/>
          </w:tcPr>
          <w:p w:rsidR="00505632" w:rsidRDefault="00505632" w:rsidP="00AD4E52">
            <w:pPr>
              <w:jc w:val="right"/>
            </w:pPr>
            <w:r>
              <w:t>1.559.522.810</w:t>
            </w:r>
          </w:p>
        </w:tc>
        <w:tc>
          <w:tcPr>
            <w:tcW w:w="2041" w:type="dxa"/>
          </w:tcPr>
          <w:p w:rsidR="00505632" w:rsidRDefault="00505632" w:rsidP="00AD4E52">
            <w:pPr>
              <w:jc w:val="right"/>
            </w:pPr>
            <w:r>
              <w:t>1.658.290.490</w:t>
            </w:r>
          </w:p>
        </w:tc>
        <w:tc>
          <w:tcPr>
            <w:tcW w:w="1224" w:type="dxa"/>
          </w:tcPr>
          <w:p w:rsidR="00505632" w:rsidRDefault="00505632" w:rsidP="00AD4E52">
            <w:pPr>
              <w:jc w:val="right"/>
            </w:pPr>
            <w:r>
              <w:t>106,3</w:t>
            </w:r>
          </w:p>
        </w:tc>
        <w:tc>
          <w:tcPr>
            <w:tcW w:w="1224" w:type="dxa"/>
          </w:tcPr>
          <w:p w:rsidR="00505632" w:rsidRDefault="00505632" w:rsidP="00AD4E52">
            <w:pPr>
              <w:jc w:val="right"/>
            </w:pPr>
            <w:r>
              <w:t>106,2</w:t>
            </w:r>
          </w:p>
        </w:tc>
      </w:tr>
    </w:tbl>
    <w:p w:rsidR="00505632" w:rsidRDefault="00505632" w:rsidP="00505632">
      <w:pPr>
        <w:jc w:val="left"/>
      </w:pPr>
    </w:p>
    <w:p w:rsidR="00505632" w:rsidRDefault="00505632" w:rsidP="00505632">
      <w:pPr>
        <w:pStyle w:val="Heading3"/>
      </w:pPr>
      <w:r>
        <w:rPr>
          <w:rFonts w:cs="Times New Roman"/>
        </w:rPr>
        <w:t>47893 Klinika za dječje bolesti Zagreb</w:t>
      </w:r>
    </w:p>
    <w:p w:rsidR="00505632" w:rsidRDefault="00505632" w:rsidP="00505632">
      <w:r>
        <w:t xml:space="preserve">Program rada Klinike za dječje bolesti Zagreb u razdoblju siječanj - prosinac 2016.godine provodi se sukladno potpisanom Ugovoru o provođenju bolničke i specijalističko konzilijarne zdravstvene zaštite oboljelih od akutnih bolesti od 01. travnja do 31. prosinca 2015. godine s HZZO-om te kroz potpisivanje Dodataka Ugovora: </w:t>
      </w:r>
    </w:p>
    <w:p w:rsidR="00505632" w:rsidRDefault="00505632" w:rsidP="00505632">
      <w:r>
        <w:t xml:space="preserve">Odlukom Upravnog vijeća HZZO-a utvrđeni  proračun za razdoblje I-III 2016. godine iznosio je 31.507.068 kn , prosječno mjesečno 10.502.356 kn. Odlukom o osiguranju dodatnih sredstava Klinici se za razdoblje 01. siječnja do 31. prosinca 2016. godine osiguravaju dodatna sredstva u mjesečnom iznosu od  1.000.000 kn za provođenje posebnih postupaka kao i najsloženijih dijagnostičkih i terapijskih postupaka u liječenju djece iz cijele RH. </w:t>
      </w:r>
    </w:p>
    <w:p w:rsidR="00505632" w:rsidRDefault="00505632" w:rsidP="00505632">
      <w:r>
        <w:t xml:space="preserve">Odlukom Upravnog vijeća HZZO-a od 01. travnja 2016. godine utvrđen je novi proračun za razdoblje IV – XII 2016. godine u iznosu od 94.662.498,24 kn, prosječno mjesečno 10.518.055,36 kn. </w:t>
      </w:r>
    </w:p>
    <w:p w:rsidR="00505632" w:rsidRDefault="00505632" w:rsidP="00505632">
      <w:r>
        <w:t xml:space="preserve">Izvan utvrđenog limita HZZO-u se ispostavljaju računi za troškove skupih lijekova prema Odluci o utvrđivanju posebno skupih lijekova te provođenje zdravstvene zaštite hrvatskih državljana s prebivalištem u BIH.  </w:t>
      </w:r>
    </w:p>
    <w:p w:rsidR="00505632" w:rsidRDefault="00505632" w:rsidP="00505632">
      <w:r>
        <w:t xml:space="preserve">Ta sredstva se ne uračunavaju u maksimalno utvrđeni iznos novčanih sredstava Klinike te su ugovorena kao van-limitne stavke za razdoblje od 01.siječnja do 31.ožujka 2016. (dodatak IV Ugovora) </w:t>
      </w:r>
    </w:p>
    <w:p w:rsidR="00505632" w:rsidRDefault="00505632" w:rsidP="00505632">
      <w:r>
        <w:t xml:space="preserve">Mjesečni iznos izvanlimitnih stavki za razdoblje siječanj-ožujak 2016.  </w:t>
      </w:r>
    </w:p>
    <w:p w:rsidR="00505632" w:rsidRDefault="00505632" w:rsidP="00505632">
      <w:r>
        <w:t xml:space="preserve">o posebno skupi lijekovi – 603.832,12kn </w:t>
      </w:r>
    </w:p>
    <w:p w:rsidR="00505632" w:rsidRDefault="00505632" w:rsidP="00505632">
      <w:r>
        <w:t xml:space="preserve">o zdravstvena zaštita hrvatskih državljana s prebivalištem u BiH – 75.202,12 kn </w:t>
      </w:r>
    </w:p>
    <w:p w:rsidR="00505632" w:rsidRDefault="00505632" w:rsidP="00505632">
      <w:r>
        <w:t xml:space="preserve">Dodatkom V. Ugovora produžuju se ugovorno razdoblje do 30. lipnja 2016. godine, a dodatkom VI ugovora do 31. prosinca 2016. godine. </w:t>
      </w:r>
    </w:p>
    <w:p w:rsidR="00505632" w:rsidRDefault="00505632" w:rsidP="00505632">
      <w:r>
        <w:t xml:space="preserve">Dodatkom IX. Ugovora utvrđen je maksimalni mjesečni iznos novčanih sredstava za posebno skupe lijekove od 01.10. -31.10.2016 u iznosu od 829.849,90 kn i za razdoblje 01.11-31.12.2016. u iznosu od 1.100.000,00 kn </w:t>
      </w:r>
    </w:p>
    <w:p w:rsidR="00505632" w:rsidRDefault="00505632" w:rsidP="00505632">
      <w:r>
        <w:t xml:space="preserve">Prema navedenom ugovoru obračun usluga u bolničkoj i specijalističko-konzilijarnoj zdravstvenoj zaštiti vrši se na osnovu DTS koeficijenata i DTP postupaka. </w:t>
      </w:r>
    </w:p>
    <w:p w:rsidR="00505632" w:rsidRDefault="00505632" w:rsidP="00505632">
      <w:r>
        <w:t xml:space="preserve">Financijski pokazatelji </w:t>
      </w:r>
    </w:p>
    <w:p w:rsidR="00505632" w:rsidRDefault="00505632" w:rsidP="00505632">
      <w:r>
        <w:t xml:space="preserve">Kod razmatranja financijskog rezultata poslovanja potrebno je naglasiti da je Klinika u razdoblju siječanj – prosinac 2016.godine izvršila ugovoreni program (limit) s HZZO-om sa 105% i da je na ime izvršenih usluga fakturirala više 6.083.691  kuna. </w:t>
      </w:r>
    </w:p>
    <w:p w:rsidR="00505632" w:rsidRDefault="00505632" w:rsidP="00505632">
      <w:r>
        <w:t xml:space="preserve">Klinika za dječje bolesti Zagreb planirana sredstva u proračunu 2016.godine trošila je na aktivnost A 892001 - administracija i upravljanje. </w:t>
      </w:r>
    </w:p>
    <w:p w:rsidR="00505632" w:rsidRDefault="00505632" w:rsidP="00505632">
      <w:r>
        <w:t xml:space="preserve">01.01. 2016. godini Klinika je na žiro računu imala sredstva u iznosu od 6.909.127 kn. Na ime izvršenog programa rada iz 2015. godine Klinici su 15. siječnja. 2016. godine doznačena sredstva u iznosu od 8.011.155,19 kn. U tijeku 2016. godine Klinika je uprihodovala i 1.126.213,20 kn s osnova donacija.  </w:t>
      </w:r>
    </w:p>
    <w:p w:rsidR="00505632" w:rsidRDefault="00505632" w:rsidP="00505632">
      <w:r>
        <w:t xml:space="preserve">Izvršenje ukupnih rashoda od 01.2016.-12.2016. iznosi 167.582.186,99 kn i veće je  od tekućeg plana  za 22.095.116,99 kuna ili 15,19%. Izdaci za zaposlene iznosili su 101.736.335,67 kuna ili 60,7% ukupnih rashoda, materijalni izdaci 58.648.466,97 kuna odnosno 35% ukupnih rashoda , rashodi za kapitalna ulaganja 3,9% ukupnih rashoda te ostali rashodi 0,4% ukupnih rashoda.  </w:t>
      </w:r>
    </w:p>
    <w:p w:rsidR="00505632" w:rsidRDefault="00505632" w:rsidP="00505632">
      <w:r>
        <w:t xml:space="preserve">Od materijalnih rashoda najviše je utrošeno za materijal i sirovine, energiju, usluge tekućeg i investicijskog održavanja te zdravstvene usluge. </w:t>
      </w:r>
    </w:p>
    <w:p w:rsidR="00505632" w:rsidRDefault="00505632" w:rsidP="00505632">
      <w:r>
        <w:t xml:space="preserve">Od rashoda za nabavu proizvedene dugotrajne  imovine najveći dio se odnosi na građevinske objekte ( uređenje OP sale, uređenje JIL-a, uređenje Odjela pedijatrije ), nabavku medicinske opreme (integrirana OP sala, oprema za JIL), te ulaganja u računalne programe.  </w:t>
      </w:r>
    </w:p>
    <w:p w:rsidR="00505632" w:rsidRDefault="00505632" w:rsidP="00505632">
      <w:r>
        <w:t>Sredstva planirana i ostvarena u 2016. godini utrošena su za izvršavanje osnovne djelatnosti- pružanje zdravstvenih usluga, kao i na kapitalna ulaganja, a sve u svrhu poboljšanja pružanja zdravstvene usluge.</w:t>
      </w:r>
    </w:p>
    <w:p w:rsidR="00505632" w:rsidRDefault="00505632" w:rsidP="00505632"/>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47893-Klinika za dječje bolesti Zagreb</w:t>
            </w:r>
          </w:p>
        </w:tc>
        <w:tc>
          <w:tcPr>
            <w:tcW w:w="2041" w:type="dxa"/>
          </w:tcPr>
          <w:p w:rsidR="00505632" w:rsidRDefault="00505632" w:rsidP="00AD4E52">
            <w:pPr>
              <w:pStyle w:val="CellColumn"/>
              <w:jc w:val="right"/>
            </w:pPr>
            <w:r>
              <w:rPr>
                <w:rFonts w:cs="Times New Roman"/>
              </w:rPr>
              <w:t>144.805.851</w:t>
            </w:r>
          </w:p>
        </w:tc>
        <w:tc>
          <w:tcPr>
            <w:tcW w:w="2041" w:type="dxa"/>
          </w:tcPr>
          <w:p w:rsidR="00505632" w:rsidRDefault="00505632" w:rsidP="00AD4E52">
            <w:pPr>
              <w:pStyle w:val="CellColumn"/>
              <w:jc w:val="right"/>
            </w:pPr>
            <w:r>
              <w:rPr>
                <w:rFonts w:cs="Times New Roman"/>
              </w:rPr>
              <w:t>145.487.070</w:t>
            </w:r>
          </w:p>
        </w:tc>
        <w:tc>
          <w:tcPr>
            <w:tcW w:w="2041" w:type="dxa"/>
          </w:tcPr>
          <w:p w:rsidR="00505632" w:rsidRDefault="00505632" w:rsidP="00AD4E52">
            <w:pPr>
              <w:pStyle w:val="CellColumn"/>
              <w:jc w:val="right"/>
            </w:pPr>
            <w:r>
              <w:rPr>
                <w:rFonts w:cs="Times New Roman"/>
              </w:rPr>
              <w:t>167.582.187</w:t>
            </w:r>
          </w:p>
        </w:tc>
        <w:tc>
          <w:tcPr>
            <w:tcW w:w="1224" w:type="dxa"/>
          </w:tcPr>
          <w:p w:rsidR="00505632" w:rsidRDefault="00505632" w:rsidP="00AD4E52">
            <w:pPr>
              <w:pStyle w:val="CellColumn"/>
              <w:jc w:val="right"/>
            </w:pPr>
            <w:r>
              <w:rPr>
                <w:rFonts w:cs="Times New Roman"/>
              </w:rPr>
              <w:t>115,2</w:t>
            </w:r>
          </w:p>
        </w:tc>
        <w:tc>
          <w:tcPr>
            <w:tcW w:w="1224" w:type="dxa"/>
          </w:tcPr>
          <w:p w:rsidR="00505632" w:rsidRDefault="00505632" w:rsidP="00AD4E52">
            <w:pPr>
              <w:pStyle w:val="CellColumn"/>
              <w:jc w:val="right"/>
            </w:pPr>
            <w:r>
              <w:rPr>
                <w:rFonts w:cs="Times New Roman"/>
              </w:rPr>
              <w:t>115,7</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144.805.851</w:t>
            </w:r>
          </w:p>
        </w:tc>
        <w:tc>
          <w:tcPr>
            <w:tcW w:w="2041" w:type="dxa"/>
          </w:tcPr>
          <w:p w:rsidR="00505632" w:rsidRDefault="00505632" w:rsidP="00AD4E52">
            <w:pPr>
              <w:jc w:val="right"/>
            </w:pPr>
            <w:r>
              <w:t>145.487.070</w:t>
            </w:r>
          </w:p>
        </w:tc>
        <w:tc>
          <w:tcPr>
            <w:tcW w:w="2041" w:type="dxa"/>
          </w:tcPr>
          <w:p w:rsidR="00505632" w:rsidRDefault="00505632" w:rsidP="00AD4E52">
            <w:pPr>
              <w:jc w:val="right"/>
            </w:pPr>
            <w:r>
              <w:t>167.582.187</w:t>
            </w:r>
          </w:p>
        </w:tc>
        <w:tc>
          <w:tcPr>
            <w:tcW w:w="1224" w:type="dxa"/>
          </w:tcPr>
          <w:p w:rsidR="00505632" w:rsidRDefault="00505632" w:rsidP="00AD4E52">
            <w:pPr>
              <w:jc w:val="right"/>
            </w:pPr>
            <w:r>
              <w:t>115,2</w:t>
            </w:r>
          </w:p>
        </w:tc>
        <w:tc>
          <w:tcPr>
            <w:tcW w:w="1224" w:type="dxa"/>
          </w:tcPr>
          <w:p w:rsidR="00505632" w:rsidRDefault="00505632" w:rsidP="00AD4E52">
            <w:pPr>
              <w:jc w:val="right"/>
            </w:pPr>
            <w:r>
              <w:t>115,7</w:t>
            </w:r>
          </w:p>
        </w:tc>
      </w:tr>
    </w:tbl>
    <w:p w:rsidR="00505632" w:rsidRDefault="00505632" w:rsidP="00505632">
      <w:pPr>
        <w:jc w:val="left"/>
      </w:pPr>
    </w:p>
    <w:p w:rsidR="00505632" w:rsidRDefault="00505632" w:rsidP="00505632">
      <w:pPr>
        <w:pStyle w:val="Heading2"/>
      </w:pPr>
      <w:r>
        <w:t>09625 Zavodi, agencije i ostali proračunski korisnici u sustavu zdravstva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23616-Imunološki zavod</w:t>
            </w:r>
          </w:p>
        </w:tc>
        <w:tc>
          <w:tcPr>
            <w:tcW w:w="2041" w:type="dxa"/>
          </w:tcPr>
          <w:p w:rsidR="00505632" w:rsidRDefault="00505632" w:rsidP="00AD4E52">
            <w:pPr>
              <w:pStyle w:val="CellColumn"/>
              <w:jc w:val="right"/>
            </w:pPr>
            <w:r>
              <w:rPr>
                <w:rFonts w:cs="Times New Roman"/>
              </w:rPr>
              <w:t>8.710.266</w:t>
            </w:r>
          </w:p>
        </w:tc>
        <w:tc>
          <w:tcPr>
            <w:tcW w:w="2041" w:type="dxa"/>
          </w:tcPr>
          <w:p w:rsidR="00505632" w:rsidRDefault="00505632" w:rsidP="00AD4E52">
            <w:pPr>
              <w:pStyle w:val="CellColumn"/>
              <w:jc w:val="right"/>
            </w:pPr>
            <w:r>
              <w:rPr>
                <w:rFonts w:cs="Times New Roman"/>
              </w:rPr>
              <w:t>52.484.740</w:t>
            </w:r>
          </w:p>
        </w:tc>
        <w:tc>
          <w:tcPr>
            <w:tcW w:w="2041" w:type="dxa"/>
          </w:tcPr>
          <w:p w:rsidR="00505632" w:rsidRDefault="00505632" w:rsidP="00AD4E52">
            <w:pPr>
              <w:pStyle w:val="CellColumn"/>
              <w:jc w:val="right"/>
            </w:pPr>
            <w:r>
              <w:rPr>
                <w:rFonts w:cs="Times New Roman"/>
              </w:rPr>
              <w:t>32.166.947</w:t>
            </w:r>
          </w:p>
        </w:tc>
        <w:tc>
          <w:tcPr>
            <w:tcW w:w="1224" w:type="dxa"/>
          </w:tcPr>
          <w:p w:rsidR="00505632" w:rsidRDefault="00505632" w:rsidP="00AD4E52">
            <w:pPr>
              <w:pStyle w:val="CellColumn"/>
              <w:jc w:val="right"/>
            </w:pPr>
            <w:r>
              <w:rPr>
                <w:rFonts w:cs="Times New Roman"/>
              </w:rPr>
              <w:t>61,3</w:t>
            </w:r>
          </w:p>
        </w:tc>
        <w:tc>
          <w:tcPr>
            <w:tcW w:w="1224" w:type="dxa"/>
          </w:tcPr>
          <w:p w:rsidR="00505632" w:rsidRDefault="00505632" w:rsidP="00AD4E52">
            <w:pPr>
              <w:pStyle w:val="CellColumn"/>
              <w:jc w:val="right"/>
            </w:pPr>
            <w:r>
              <w:rPr>
                <w:rFonts w:cs="Times New Roman"/>
              </w:rPr>
              <w:t>369,3</w:t>
            </w:r>
          </w:p>
        </w:tc>
      </w:tr>
      <w:tr w:rsidR="00505632" w:rsidTr="00AD4E52">
        <w:trPr>
          <w:jc w:val="center"/>
        </w:trPr>
        <w:tc>
          <w:tcPr>
            <w:tcW w:w="1632" w:type="dxa"/>
          </w:tcPr>
          <w:p w:rsidR="00505632" w:rsidRDefault="00505632" w:rsidP="00AD4E52">
            <w:pPr>
              <w:pStyle w:val="CellColumn"/>
              <w:jc w:val="left"/>
            </w:pPr>
            <w:r>
              <w:rPr>
                <w:rFonts w:cs="Times New Roman"/>
              </w:rPr>
              <w:t>26346-Hrvatski zavod za javno zdravstvo</w:t>
            </w:r>
          </w:p>
        </w:tc>
        <w:tc>
          <w:tcPr>
            <w:tcW w:w="2041" w:type="dxa"/>
          </w:tcPr>
          <w:p w:rsidR="00505632" w:rsidRDefault="00505632" w:rsidP="00AD4E52">
            <w:pPr>
              <w:pStyle w:val="CellColumn"/>
              <w:jc w:val="right"/>
            </w:pPr>
            <w:r>
              <w:rPr>
                <w:rFonts w:cs="Times New Roman"/>
              </w:rPr>
              <w:t>71.415.851</w:t>
            </w:r>
          </w:p>
        </w:tc>
        <w:tc>
          <w:tcPr>
            <w:tcW w:w="2041" w:type="dxa"/>
          </w:tcPr>
          <w:p w:rsidR="00505632" w:rsidRDefault="00505632" w:rsidP="00AD4E52">
            <w:pPr>
              <w:pStyle w:val="CellColumn"/>
              <w:jc w:val="right"/>
            </w:pPr>
            <w:r>
              <w:rPr>
                <w:rFonts w:cs="Times New Roman"/>
              </w:rPr>
              <w:t>67.966.425</w:t>
            </w:r>
          </w:p>
        </w:tc>
        <w:tc>
          <w:tcPr>
            <w:tcW w:w="2041" w:type="dxa"/>
          </w:tcPr>
          <w:p w:rsidR="00505632" w:rsidRDefault="00505632" w:rsidP="00AD4E52">
            <w:pPr>
              <w:pStyle w:val="CellColumn"/>
              <w:jc w:val="right"/>
            </w:pPr>
            <w:r>
              <w:rPr>
                <w:rFonts w:cs="Times New Roman"/>
              </w:rPr>
              <w:t>63.108.316</w:t>
            </w:r>
          </w:p>
        </w:tc>
        <w:tc>
          <w:tcPr>
            <w:tcW w:w="1224" w:type="dxa"/>
          </w:tcPr>
          <w:p w:rsidR="00505632" w:rsidRDefault="00505632" w:rsidP="00AD4E52">
            <w:pPr>
              <w:pStyle w:val="CellColumn"/>
              <w:jc w:val="right"/>
            </w:pPr>
            <w:r>
              <w:rPr>
                <w:rFonts w:cs="Times New Roman"/>
              </w:rPr>
              <w:t>92,9</w:t>
            </w:r>
          </w:p>
        </w:tc>
        <w:tc>
          <w:tcPr>
            <w:tcW w:w="1224" w:type="dxa"/>
          </w:tcPr>
          <w:p w:rsidR="00505632" w:rsidRDefault="00505632" w:rsidP="00AD4E52">
            <w:pPr>
              <w:pStyle w:val="CellColumn"/>
              <w:jc w:val="right"/>
            </w:pPr>
            <w:r>
              <w:rPr>
                <w:rFonts w:cs="Times New Roman"/>
              </w:rPr>
              <w:t>88,4</w:t>
            </w:r>
          </w:p>
        </w:tc>
      </w:tr>
      <w:tr w:rsidR="00505632" w:rsidTr="00AD4E52">
        <w:trPr>
          <w:jc w:val="center"/>
        </w:trPr>
        <w:tc>
          <w:tcPr>
            <w:tcW w:w="1632" w:type="dxa"/>
          </w:tcPr>
          <w:p w:rsidR="00505632" w:rsidRDefault="00505632" w:rsidP="00AD4E52">
            <w:pPr>
              <w:pStyle w:val="CellColumn"/>
              <w:jc w:val="left"/>
            </w:pPr>
            <w:r>
              <w:rPr>
                <w:rFonts w:cs="Times New Roman"/>
              </w:rPr>
              <w:t>26354-Hrvatski zavod za transfuzijsku medicinu</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194.314.300</w:t>
            </w:r>
          </w:p>
        </w:tc>
        <w:tc>
          <w:tcPr>
            <w:tcW w:w="2041" w:type="dxa"/>
          </w:tcPr>
          <w:p w:rsidR="00505632" w:rsidRDefault="00505632" w:rsidP="00AD4E52">
            <w:pPr>
              <w:pStyle w:val="CellColumn"/>
              <w:jc w:val="right"/>
            </w:pPr>
            <w:r>
              <w:rPr>
                <w:rFonts w:cs="Times New Roman"/>
              </w:rPr>
              <w:t>230.295.570</w:t>
            </w:r>
          </w:p>
        </w:tc>
        <w:tc>
          <w:tcPr>
            <w:tcW w:w="1224" w:type="dxa"/>
          </w:tcPr>
          <w:p w:rsidR="00505632" w:rsidRDefault="00505632" w:rsidP="00AD4E52">
            <w:pPr>
              <w:pStyle w:val="CellColumn"/>
              <w:jc w:val="right"/>
            </w:pPr>
            <w:r>
              <w:rPr>
                <w:rFonts w:cs="Times New Roman"/>
              </w:rPr>
              <w:t>118,5</w:t>
            </w:r>
          </w:p>
        </w:tc>
        <w:tc>
          <w:tcPr>
            <w:tcW w:w="1224" w:type="dxa"/>
          </w:tcPr>
          <w:p w:rsidR="00505632" w:rsidRDefault="00505632" w:rsidP="00AD4E52">
            <w:pPr>
              <w:pStyle w:val="CellColumn"/>
              <w:jc w:val="right"/>
            </w:pPr>
            <w:r>
              <w:rPr>
                <w:rFonts w:cs="Times New Roman"/>
              </w:rPr>
              <w:t>0,0</w:t>
            </w:r>
          </w:p>
        </w:tc>
      </w:tr>
      <w:tr w:rsidR="00505632" w:rsidTr="00AD4E52">
        <w:trPr>
          <w:jc w:val="center"/>
        </w:trPr>
        <w:tc>
          <w:tcPr>
            <w:tcW w:w="1632" w:type="dxa"/>
          </w:tcPr>
          <w:p w:rsidR="00505632" w:rsidRDefault="00505632" w:rsidP="00AD4E52">
            <w:pPr>
              <w:pStyle w:val="CellColumn"/>
              <w:jc w:val="left"/>
            </w:pPr>
            <w:r>
              <w:rPr>
                <w:rFonts w:cs="Times New Roman"/>
              </w:rPr>
              <w:t>26563-Hrvatski zavod za zaštitu zdravlja i sigurnost na radu</w:t>
            </w:r>
          </w:p>
        </w:tc>
        <w:tc>
          <w:tcPr>
            <w:tcW w:w="2041" w:type="dxa"/>
          </w:tcPr>
          <w:p w:rsidR="00505632" w:rsidRDefault="00505632" w:rsidP="00AD4E52">
            <w:pPr>
              <w:pStyle w:val="CellColumn"/>
              <w:jc w:val="right"/>
            </w:pPr>
            <w:r>
              <w:rPr>
                <w:rFonts w:cs="Times New Roman"/>
              </w:rPr>
              <w:t>8.713.884</w:t>
            </w:r>
          </w:p>
        </w:tc>
        <w:tc>
          <w:tcPr>
            <w:tcW w:w="2041" w:type="dxa"/>
          </w:tcPr>
          <w:p w:rsidR="00505632" w:rsidRDefault="00505632" w:rsidP="00AD4E52">
            <w:pPr>
              <w:pStyle w:val="CellColumn"/>
              <w:jc w:val="right"/>
            </w:pPr>
            <w:r>
              <w:rPr>
                <w:rFonts w:cs="Times New Roman"/>
              </w:rPr>
              <w:t>8.739.000</w:t>
            </w:r>
          </w:p>
        </w:tc>
        <w:tc>
          <w:tcPr>
            <w:tcW w:w="2041" w:type="dxa"/>
          </w:tcPr>
          <w:p w:rsidR="00505632" w:rsidRDefault="00505632" w:rsidP="00AD4E52">
            <w:pPr>
              <w:pStyle w:val="CellColumn"/>
              <w:jc w:val="right"/>
            </w:pPr>
            <w:r>
              <w:rPr>
                <w:rFonts w:cs="Times New Roman"/>
              </w:rPr>
              <w:t>8.709.930</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100,0</w:t>
            </w:r>
          </w:p>
        </w:tc>
      </w:tr>
      <w:tr w:rsidR="00505632" w:rsidTr="00AD4E52">
        <w:trPr>
          <w:jc w:val="center"/>
        </w:trPr>
        <w:tc>
          <w:tcPr>
            <w:tcW w:w="1632" w:type="dxa"/>
          </w:tcPr>
          <w:p w:rsidR="00505632" w:rsidRDefault="00505632" w:rsidP="00AD4E52">
            <w:pPr>
              <w:pStyle w:val="CellColumn"/>
              <w:jc w:val="left"/>
            </w:pPr>
            <w:r>
              <w:rPr>
                <w:rFonts w:cs="Times New Roman"/>
              </w:rPr>
              <w:t>38655-Dom zdravlja Ministarstva unutarnjih poslova Republike Hrvatske</w:t>
            </w:r>
          </w:p>
        </w:tc>
        <w:tc>
          <w:tcPr>
            <w:tcW w:w="2041" w:type="dxa"/>
          </w:tcPr>
          <w:p w:rsidR="00505632" w:rsidRDefault="00505632" w:rsidP="00AD4E52">
            <w:pPr>
              <w:pStyle w:val="CellColumn"/>
              <w:jc w:val="right"/>
            </w:pPr>
            <w:r>
              <w:rPr>
                <w:rFonts w:cs="Times New Roman"/>
              </w:rPr>
              <w:t>14.619.341</w:t>
            </w:r>
          </w:p>
        </w:tc>
        <w:tc>
          <w:tcPr>
            <w:tcW w:w="2041" w:type="dxa"/>
          </w:tcPr>
          <w:p w:rsidR="00505632" w:rsidRDefault="00505632" w:rsidP="00AD4E52">
            <w:pPr>
              <w:pStyle w:val="CellColumn"/>
              <w:jc w:val="right"/>
            </w:pPr>
            <w:r>
              <w:rPr>
                <w:rFonts w:cs="Times New Roman"/>
              </w:rPr>
              <w:t>13.810.000</w:t>
            </w:r>
          </w:p>
        </w:tc>
        <w:tc>
          <w:tcPr>
            <w:tcW w:w="2041" w:type="dxa"/>
          </w:tcPr>
          <w:p w:rsidR="00505632" w:rsidRDefault="00505632" w:rsidP="00AD4E52">
            <w:pPr>
              <w:pStyle w:val="CellColumn"/>
              <w:jc w:val="right"/>
            </w:pPr>
            <w:r>
              <w:rPr>
                <w:rFonts w:cs="Times New Roman"/>
              </w:rPr>
              <w:t>14.562.537</w:t>
            </w:r>
          </w:p>
        </w:tc>
        <w:tc>
          <w:tcPr>
            <w:tcW w:w="1224" w:type="dxa"/>
          </w:tcPr>
          <w:p w:rsidR="00505632" w:rsidRDefault="00505632" w:rsidP="00AD4E52">
            <w:pPr>
              <w:pStyle w:val="CellColumn"/>
              <w:jc w:val="right"/>
            </w:pPr>
            <w:r>
              <w:rPr>
                <w:rFonts w:cs="Times New Roman"/>
              </w:rPr>
              <w:t>105,4</w:t>
            </w:r>
          </w:p>
        </w:tc>
        <w:tc>
          <w:tcPr>
            <w:tcW w:w="1224" w:type="dxa"/>
          </w:tcPr>
          <w:p w:rsidR="00505632" w:rsidRDefault="00505632" w:rsidP="00AD4E52">
            <w:pPr>
              <w:pStyle w:val="CellColumn"/>
              <w:jc w:val="right"/>
            </w:pPr>
            <w:r>
              <w:rPr>
                <w:rFonts w:cs="Times New Roman"/>
              </w:rPr>
              <w:t>99,6</w:t>
            </w:r>
          </w:p>
        </w:tc>
      </w:tr>
      <w:tr w:rsidR="00505632" w:rsidTr="00AD4E52">
        <w:trPr>
          <w:jc w:val="center"/>
        </w:trPr>
        <w:tc>
          <w:tcPr>
            <w:tcW w:w="1632" w:type="dxa"/>
          </w:tcPr>
          <w:p w:rsidR="00505632" w:rsidRDefault="00505632" w:rsidP="00AD4E52">
            <w:pPr>
              <w:pStyle w:val="CellColumn"/>
              <w:jc w:val="left"/>
            </w:pPr>
            <w:r>
              <w:rPr>
                <w:rFonts w:cs="Times New Roman"/>
              </w:rPr>
              <w:t>41128-Hrvatski zavod za telemedicinu</w:t>
            </w:r>
          </w:p>
        </w:tc>
        <w:tc>
          <w:tcPr>
            <w:tcW w:w="2041" w:type="dxa"/>
          </w:tcPr>
          <w:p w:rsidR="00505632" w:rsidRDefault="00505632" w:rsidP="00AD4E52">
            <w:pPr>
              <w:pStyle w:val="CellColumn"/>
              <w:jc w:val="right"/>
            </w:pPr>
            <w:r>
              <w:rPr>
                <w:rFonts w:cs="Times New Roman"/>
              </w:rPr>
              <w:t>5.556.525</w:t>
            </w:r>
          </w:p>
        </w:tc>
        <w:tc>
          <w:tcPr>
            <w:tcW w:w="2041" w:type="dxa"/>
          </w:tcPr>
          <w:p w:rsidR="00505632" w:rsidRDefault="00505632" w:rsidP="00AD4E52">
            <w:pPr>
              <w:pStyle w:val="CellColumn"/>
              <w:jc w:val="right"/>
            </w:pPr>
            <w:r>
              <w:rPr>
                <w:rFonts w:cs="Times New Roman"/>
              </w:rPr>
              <w:t>5.225.740</w:t>
            </w:r>
          </w:p>
        </w:tc>
        <w:tc>
          <w:tcPr>
            <w:tcW w:w="2041" w:type="dxa"/>
          </w:tcPr>
          <w:p w:rsidR="00505632" w:rsidRDefault="00505632" w:rsidP="00AD4E52">
            <w:pPr>
              <w:pStyle w:val="CellColumn"/>
              <w:jc w:val="right"/>
            </w:pPr>
            <w:r>
              <w:rPr>
                <w:rFonts w:cs="Times New Roman"/>
              </w:rPr>
              <w:t>4.801.612</w:t>
            </w:r>
          </w:p>
        </w:tc>
        <w:tc>
          <w:tcPr>
            <w:tcW w:w="1224" w:type="dxa"/>
          </w:tcPr>
          <w:p w:rsidR="00505632" w:rsidRDefault="00505632" w:rsidP="00AD4E52">
            <w:pPr>
              <w:pStyle w:val="CellColumn"/>
              <w:jc w:val="right"/>
            </w:pPr>
            <w:r>
              <w:rPr>
                <w:rFonts w:cs="Times New Roman"/>
              </w:rPr>
              <w:t>91,9</w:t>
            </w:r>
          </w:p>
        </w:tc>
        <w:tc>
          <w:tcPr>
            <w:tcW w:w="1224" w:type="dxa"/>
          </w:tcPr>
          <w:p w:rsidR="00505632" w:rsidRDefault="00505632" w:rsidP="00AD4E52">
            <w:pPr>
              <w:pStyle w:val="CellColumn"/>
              <w:jc w:val="right"/>
            </w:pPr>
            <w:r>
              <w:rPr>
                <w:rFonts w:cs="Times New Roman"/>
              </w:rPr>
              <w:t>86,4</w:t>
            </w:r>
          </w:p>
        </w:tc>
      </w:tr>
      <w:tr w:rsidR="00505632" w:rsidTr="00AD4E52">
        <w:trPr>
          <w:jc w:val="center"/>
        </w:trPr>
        <w:tc>
          <w:tcPr>
            <w:tcW w:w="1632" w:type="dxa"/>
          </w:tcPr>
          <w:p w:rsidR="00505632" w:rsidRDefault="00505632" w:rsidP="00AD4E52">
            <w:pPr>
              <w:pStyle w:val="CellColumn"/>
              <w:jc w:val="left"/>
            </w:pPr>
            <w:r>
              <w:rPr>
                <w:rFonts w:cs="Times New Roman"/>
              </w:rPr>
              <w:t>43191-Agencija za kvalitetu i akreditaciju u zdravstvu i socijalnoj skrbi</w:t>
            </w:r>
          </w:p>
        </w:tc>
        <w:tc>
          <w:tcPr>
            <w:tcW w:w="2041" w:type="dxa"/>
          </w:tcPr>
          <w:p w:rsidR="00505632" w:rsidRDefault="00505632" w:rsidP="00AD4E52">
            <w:pPr>
              <w:pStyle w:val="CellColumn"/>
              <w:jc w:val="right"/>
            </w:pPr>
            <w:r>
              <w:rPr>
                <w:rFonts w:cs="Times New Roman"/>
              </w:rPr>
              <w:t>4.483.759</w:t>
            </w:r>
          </w:p>
        </w:tc>
        <w:tc>
          <w:tcPr>
            <w:tcW w:w="2041" w:type="dxa"/>
          </w:tcPr>
          <w:p w:rsidR="00505632" w:rsidRDefault="00505632" w:rsidP="00AD4E52">
            <w:pPr>
              <w:pStyle w:val="CellColumn"/>
              <w:jc w:val="right"/>
            </w:pPr>
            <w:r>
              <w:rPr>
                <w:rFonts w:cs="Times New Roman"/>
              </w:rPr>
              <w:t>4.453.100</w:t>
            </w:r>
          </w:p>
        </w:tc>
        <w:tc>
          <w:tcPr>
            <w:tcW w:w="2041" w:type="dxa"/>
          </w:tcPr>
          <w:p w:rsidR="00505632" w:rsidRDefault="00505632" w:rsidP="00AD4E52">
            <w:pPr>
              <w:pStyle w:val="CellColumn"/>
              <w:jc w:val="right"/>
            </w:pPr>
            <w:r>
              <w:rPr>
                <w:rFonts w:cs="Times New Roman"/>
              </w:rPr>
              <w:t>4.176.268</w:t>
            </w:r>
          </w:p>
        </w:tc>
        <w:tc>
          <w:tcPr>
            <w:tcW w:w="1224" w:type="dxa"/>
          </w:tcPr>
          <w:p w:rsidR="00505632" w:rsidRDefault="00505632" w:rsidP="00AD4E52">
            <w:pPr>
              <w:pStyle w:val="CellColumn"/>
              <w:jc w:val="right"/>
            </w:pPr>
            <w:r>
              <w:rPr>
                <w:rFonts w:cs="Times New Roman"/>
              </w:rPr>
              <w:t>93,8</w:t>
            </w:r>
          </w:p>
        </w:tc>
        <w:tc>
          <w:tcPr>
            <w:tcW w:w="1224" w:type="dxa"/>
          </w:tcPr>
          <w:p w:rsidR="00505632" w:rsidRDefault="00505632" w:rsidP="00AD4E52">
            <w:pPr>
              <w:pStyle w:val="CellColumn"/>
              <w:jc w:val="right"/>
            </w:pPr>
            <w:r>
              <w:rPr>
                <w:rFonts w:cs="Times New Roman"/>
              </w:rPr>
              <w:t>93,1</w:t>
            </w:r>
          </w:p>
        </w:tc>
      </w:tr>
      <w:tr w:rsidR="00505632" w:rsidTr="00AD4E52">
        <w:trPr>
          <w:jc w:val="center"/>
        </w:trPr>
        <w:tc>
          <w:tcPr>
            <w:tcW w:w="1632" w:type="dxa"/>
          </w:tcPr>
          <w:p w:rsidR="00505632" w:rsidRDefault="00505632" w:rsidP="00AD4E52">
            <w:pPr>
              <w:pStyle w:val="CellColumn"/>
              <w:jc w:val="left"/>
            </w:pPr>
            <w:r>
              <w:rPr>
                <w:rFonts w:cs="Times New Roman"/>
              </w:rPr>
              <w:t>44573-Hrvatski zavod za hitnu medicinu</w:t>
            </w:r>
          </w:p>
        </w:tc>
        <w:tc>
          <w:tcPr>
            <w:tcW w:w="2041" w:type="dxa"/>
          </w:tcPr>
          <w:p w:rsidR="00505632" w:rsidRDefault="00505632" w:rsidP="00AD4E52">
            <w:pPr>
              <w:pStyle w:val="CellColumn"/>
              <w:jc w:val="right"/>
            </w:pPr>
            <w:r>
              <w:rPr>
                <w:rFonts w:cs="Times New Roman"/>
              </w:rPr>
              <w:t>4.676.741</w:t>
            </w:r>
          </w:p>
        </w:tc>
        <w:tc>
          <w:tcPr>
            <w:tcW w:w="2041" w:type="dxa"/>
          </w:tcPr>
          <w:p w:rsidR="00505632" w:rsidRDefault="00505632" w:rsidP="00AD4E52">
            <w:pPr>
              <w:pStyle w:val="CellColumn"/>
              <w:jc w:val="right"/>
            </w:pPr>
            <w:r>
              <w:rPr>
                <w:rFonts w:cs="Times New Roman"/>
              </w:rPr>
              <w:t>4.636.240</w:t>
            </w:r>
          </w:p>
        </w:tc>
        <w:tc>
          <w:tcPr>
            <w:tcW w:w="2041" w:type="dxa"/>
          </w:tcPr>
          <w:p w:rsidR="00505632" w:rsidRDefault="00505632" w:rsidP="00AD4E52">
            <w:pPr>
              <w:pStyle w:val="CellColumn"/>
              <w:jc w:val="right"/>
            </w:pPr>
            <w:r>
              <w:rPr>
                <w:rFonts w:cs="Times New Roman"/>
              </w:rPr>
              <w:t>4.597.180</w:t>
            </w:r>
          </w:p>
        </w:tc>
        <w:tc>
          <w:tcPr>
            <w:tcW w:w="1224" w:type="dxa"/>
          </w:tcPr>
          <w:p w:rsidR="00505632" w:rsidRDefault="00505632" w:rsidP="00AD4E52">
            <w:pPr>
              <w:pStyle w:val="CellColumn"/>
              <w:jc w:val="right"/>
            </w:pPr>
            <w:r>
              <w:rPr>
                <w:rFonts w:cs="Times New Roman"/>
              </w:rPr>
              <w:t>99,2</w:t>
            </w:r>
          </w:p>
        </w:tc>
        <w:tc>
          <w:tcPr>
            <w:tcW w:w="1224" w:type="dxa"/>
          </w:tcPr>
          <w:p w:rsidR="00505632" w:rsidRDefault="00505632" w:rsidP="00AD4E52">
            <w:pPr>
              <w:pStyle w:val="CellColumn"/>
              <w:jc w:val="right"/>
            </w:pPr>
            <w:r>
              <w:rPr>
                <w:rFonts w:cs="Times New Roman"/>
              </w:rPr>
              <w:t>98,3</w:t>
            </w:r>
          </w:p>
        </w:tc>
      </w:tr>
    </w:tbl>
    <w:p w:rsidR="00505632" w:rsidRDefault="00505632" w:rsidP="00505632">
      <w:pPr>
        <w:jc w:val="left"/>
      </w:pPr>
    </w:p>
    <w:p w:rsidR="00505632" w:rsidRDefault="00505632" w:rsidP="00505632">
      <w:pPr>
        <w:pStyle w:val="Heading3"/>
      </w:pPr>
      <w:r>
        <w:rPr>
          <w:rFonts w:cs="Times New Roman"/>
        </w:rPr>
        <w:t>23616 Imunološki zavod</w:t>
      </w:r>
    </w:p>
    <w:p w:rsidR="00505632" w:rsidRDefault="00505632" w:rsidP="00505632">
      <w:r>
        <w:t xml:space="preserve">Imunološki zavod je kao javna ustanova za obavljanje djelatnosti u području zdravstva osnovan temeljem Uredbe o osnivanju Imunološkog zavoda koju je Vlada Republike Hrvatske donijela na sjednici održanoj 20.08.2015. godine („ Narodne novine“, broj 91/15), kao javna ustanova za obavljanje djelatnosti u području zdravstva koja je od strateškog i općeg gospodarskog interesa za Republiku Hrvatsku. </w:t>
      </w:r>
    </w:p>
    <w:p w:rsidR="00505632" w:rsidRDefault="00505632" w:rsidP="00505632">
      <w:r>
        <w:t>Za 2016. godinu osigurana sredstva iz Državnog proračuna  bila su utrošena za održavanje registracijske dokumentacije Imunološkog zavoda, otkup krvne plazme iz transfuzijskih centara u Hrvatskoj te nabavu medicinskog kanabisa. Također sredstva su se koristila u svrhu realizacije pripremne faze za  obavljanje  registrirane djelatnosti Imunološkog zavoda: proizvodnja imunoloških lijekova, lijekova iz ljudske krvi ili ljudske plazme i drugih bioloških lijekova, proizvodnja djelatnih tvari namijenjenih za proizvodnju bioloških lijekova, proizvodnja medicinskih proizvoda, promet na veliko lijekovima i medicinskim proizvodima, znanstveno-istraživački rad iz područja biomedicine, nastava izu područja proizvodnje i kontrole kvalitete bioloških lijekova, klinička ispitivanja i posredovanje u kliničkim ispitivanjima, savjetovanje u vezi s djelatnošću zavoda.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23616-Imunološki zavod</w:t>
            </w:r>
          </w:p>
        </w:tc>
        <w:tc>
          <w:tcPr>
            <w:tcW w:w="2041" w:type="dxa"/>
          </w:tcPr>
          <w:p w:rsidR="00505632" w:rsidRDefault="00505632" w:rsidP="00AD4E52">
            <w:pPr>
              <w:pStyle w:val="CellColumn"/>
              <w:jc w:val="right"/>
            </w:pPr>
            <w:r>
              <w:rPr>
                <w:rFonts w:cs="Times New Roman"/>
              </w:rPr>
              <w:t>8.710.266</w:t>
            </w:r>
          </w:p>
        </w:tc>
        <w:tc>
          <w:tcPr>
            <w:tcW w:w="2041" w:type="dxa"/>
          </w:tcPr>
          <w:p w:rsidR="00505632" w:rsidRDefault="00505632" w:rsidP="00AD4E52">
            <w:pPr>
              <w:pStyle w:val="CellColumn"/>
              <w:jc w:val="right"/>
            </w:pPr>
            <w:r>
              <w:rPr>
                <w:rFonts w:cs="Times New Roman"/>
              </w:rPr>
              <w:t>52.484.740</w:t>
            </w:r>
          </w:p>
        </w:tc>
        <w:tc>
          <w:tcPr>
            <w:tcW w:w="2041" w:type="dxa"/>
          </w:tcPr>
          <w:p w:rsidR="00505632" w:rsidRDefault="00505632" w:rsidP="00AD4E52">
            <w:pPr>
              <w:pStyle w:val="CellColumn"/>
              <w:jc w:val="right"/>
            </w:pPr>
            <w:r>
              <w:rPr>
                <w:rFonts w:cs="Times New Roman"/>
              </w:rPr>
              <w:t>32.166.947</w:t>
            </w:r>
          </w:p>
        </w:tc>
        <w:tc>
          <w:tcPr>
            <w:tcW w:w="1224" w:type="dxa"/>
          </w:tcPr>
          <w:p w:rsidR="00505632" w:rsidRDefault="00505632" w:rsidP="00AD4E52">
            <w:pPr>
              <w:pStyle w:val="CellColumn"/>
              <w:jc w:val="right"/>
            </w:pPr>
            <w:r>
              <w:rPr>
                <w:rFonts w:cs="Times New Roman"/>
              </w:rPr>
              <w:t>61,3</w:t>
            </w:r>
          </w:p>
        </w:tc>
        <w:tc>
          <w:tcPr>
            <w:tcW w:w="1224" w:type="dxa"/>
          </w:tcPr>
          <w:p w:rsidR="00505632" w:rsidRDefault="00505632" w:rsidP="00AD4E52">
            <w:pPr>
              <w:pStyle w:val="CellColumn"/>
              <w:jc w:val="right"/>
            </w:pPr>
            <w:r>
              <w:rPr>
                <w:rFonts w:cs="Times New Roman"/>
              </w:rPr>
              <w:t>369,3</w:t>
            </w:r>
          </w:p>
        </w:tc>
      </w:tr>
      <w:tr w:rsidR="00505632" w:rsidTr="00AD4E52">
        <w:trPr>
          <w:jc w:val="center"/>
        </w:trPr>
        <w:tc>
          <w:tcPr>
            <w:tcW w:w="1632" w:type="dxa"/>
          </w:tcPr>
          <w:p w:rsidR="00505632" w:rsidRDefault="00505632" w:rsidP="00AD4E52">
            <w:pPr>
              <w:jc w:val="left"/>
            </w:pPr>
            <w:r>
              <w:t>3601-ZAŠTITA, OČUVANJE I UNAPREĐENJE ZDRAVLJA</w:t>
            </w:r>
          </w:p>
        </w:tc>
        <w:tc>
          <w:tcPr>
            <w:tcW w:w="2041" w:type="dxa"/>
          </w:tcPr>
          <w:p w:rsidR="00505632" w:rsidRDefault="00505632" w:rsidP="00AD4E52">
            <w:pPr>
              <w:jc w:val="right"/>
            </w:pPr>
            <w:r>
              <w:t>8.710.266</w:t>
            </w:r>
          </w:p>
        </w:tc>
        <w:tc>
          <w:tcPr>
            <w:tcW w:w="2041" w:type="dxa"/>
          </w:tcPr>
          <w:p w:rsidR="00505632" w:rsidRDefault="00505632" w:rsidP="00AD4E52">
            <w:pPr>
              <w:jc w:val="right"/>
            </w:pPr>
            <w:r>
              <w:t>52.484.740</w:t>
            </w:r>
          </w:p>
        </w:tc>
        <w:tc>
          <w:tcPr>
            <w:tcW w:w="2041" w:type="dxa"/>
          </w:tcPr>
          <w:p w:rsidR="00505632" w:rsidRDefault="00505632" w:rsidP="00AD4E52">
            <w:pPr>
              <w:jc w:val="right"/>
            </w:pPr>
            <w:r>
              <w:t>32.166.947</w:t>
            </w:r>
          </w:p>
        </w:tc>
        <w:tc>
          <w:tcPr>
            <w:tcW w:w="1224" w:type="dxa"/>
          </w:tcPr>
          <w:p w:rsidR="00505632" w:rsidRDefault="00505632" w:rsidP="00AD4E52">
            <w:pPr>
              <w:jc w:val="right"/>
            </w:pPr>
            <w:r>
              <w:t>61,3</w:t>
            </w:r>
          </w:p>
        </w:tc>
        <w:tc>
          <w:tcPr>
            <w:tcW w:w="1224" w:type="dxa"/>
          </w:tcPr>
          <w:p w:rsidR="00505632" w:rsidRDefault="00505632" w:rsidP="00AD4E52">
            <w:pPr>
              <w:jc w:val="right"/>
            </w:pPr>
            <w:r>
              <w:t>369,3</w:t>
            </w:r>
          </w:p>
        </w:tc>
      </w:tr>
    </w:tbl>
    <w:p w:rsidR="00505632" w:rsidRDefault="00505632" w:rsidP="00505632">
      <w:pPr>
        <w:jc w:val="left"/>
      </w:pPr>
    </w:p>
    <w:p w:rsidR="00505632" w:rsidRDefault="00505632" w:rsidP="00505632">
      <w:pPr>
        <w:pStyle w:val="Heading3"/>
      </w:pPr>
      <w:r>
        <w:rPr>
          <w:rFonts w:cs="Times New Roman"/>
        </w:rPr>
        <w:t>26346 Hrvatski zavod za javno zdravstvo</w:t>
      </w:r>
    </w:p>
    <w:p w:rsidR="00505632" w:rsidRDefault="00505632" w:rsidP="00505632">
      <w:r>
        <w:t xml:space="preserve">Kroz ovaj program  financirala se osnovna djelatnost Hrvatskog zavoda za javno zdravstvo (u daljnjem tekstu: HZJZ) u 2016. godini. </w:t>
      </w:r>
    </w:p>
    <w:p w:rsidR="00505632" w:rsidRDefault="00505632" w:rsidP="00505632">
      <w:r>
        <w:t>Program HZJZ-a provodi se uspješno i pridonosi zaštiti zdravlja i javnozdravstvenog interesa građana Republike Hrvatske.</w:t>
      </w:r>
    </w:p>
    <w:tbl>
      <w:tblPr>
        <w:tblStyle w:val="StilTablice"/>
        <w:tblW w:w="10206" w:type="dxa"/>
        <w:jc w:val="center"/>
        <w:tblLook w:val="04A0" w:firstRow="1" w:lastRow="0" w:firstColumn="1" w:lastColumn="0" w:noHBand="0" w:noVBand="1"/>
      </w:tblPr>
      <w:tblGrid>
        <w:gridCol w:w="1915"/>
        <w:gridCol w:w="1958"/>
        <w:gridCol w:w="1959"/>
        <w:gridCol w:w="1959"/>
        <w:gridCol w:w="1203"/>
        <w:gridCol w:w="121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26346-Hrvatski zavod za javno zdravstvo</w:t>
            </w:r>
          </w:p>
        </w:tc>
        <w:tc>
          <w:tcPr>
            <w:tcW w:w="2041" w:type="dxa"/>
          </w:tcPr>
          <w:p w:rsidR="00505632" w:rsidRDefault="00505632" w:rsidP="00AD4E52">
            <w:pPr>
              <w:pStyle w:val="CellColumn"/>
              <w:jc w:val="right"/>
            </w:pPr>
            <w:r>
              <w:rPr>
                <w:rFonts w:cs="Times New Roman"/>
              </w:rPr>
              <w:t>71.415.851</w:t>
            </w:r>
          </w:p>
        </w:tc>
        <w:tc>
          <w:tcPr>
            <w:tcW w:w="2041" w:type="dxa"/>
          </w:tcPr>
          <w:p w:rsidR="00505632" w:rsidRDefault="00505632" w:rsidP="00AD4E52">
            <w:pPr>
              <w:pStyle w:val="CellColumn"/>
              <w:jc w:val="right"/>
            </w:pPr>
            <w:r>
              <w:rPr>
                <w:rFonts w:cs="Times New Roman"/>
              </w:rPr>
              <w:t>67.966.425</w:t>
            </w:r>
          </w:p>
        </w:tc>
        <w:tc>
          <w:tcPr>
            <w:tcW w:w="2041" w:type="dxa"/>
          </w:tcPr>
          <w:p w:rsidR="00505632" w:rsidRDefault="00505632" w:rsidP="00AD4E52">
            <w:pPr>
              <w:pStyle w:val="CellColumn"/>
              <w:jc w:val="right"/>
            </w:pPr>
            <w:r>
              <w:rPr>
                <w:rFonts w:cs="Times New Roman"/>
              </w:rPr>
              <w:t>63.108.316</w:t>
            </w:r>
          </w:p>
        </w:tc>
        <w:tc>
          <w:tcPr>
            <w:tcW w:w="1224" w:type="dxa"/>
          </w:tcPr>
          <w:p w:rsidR="00505632" w:rsidRDefault="00505632" w:rsidP="00AD4E52">
            <w:pPr>
              <w:pStyle w:val="CellColumn"/>
              <w:jc w:val="right"/>
            </w:pPr>
            <w:r>
              <w:rPr>
                <w:rFonts w:cs="Times New Roman"/>
              </w:rPr>
              <w:t>92,9</w:t>
            </w:r>
          </w:p>
        </w:tc>
        <w:tc>
          <w:tcPr>
            <w:tcW w:w="1224" w:type="dxa"/>
          </w:tcPr>
          <w:p w:rsidR="00505632" w:rsidRDefault="00505632" w:rsidP="00AD4E52">
            <w:pPr>
              <w:pStyle w:val="CellColumn"/>
              <w:jc w:val="right"/>
            </w:pPr>
            <w:r>
              <w:rPr>
                <w:rFonts w:cs="Times New Roman"/>
              </w:rPr>
              <w:t>88,4</w:t>
            </w:r>
          </w:p>
        </w:tc>
      </w:tr>
      <w:tr w:rsidR="00505632" w:rsidTr="00AD4E52">
        <w:trPr>
          <w:jc w:val="center"/>
        </w:trPr>
        <w:tc>
          <w:tcPr>
            <w:tcW w:w="1632" w:type="dxa"/>
          </w:tcPr>
          <w:p w:rsidR="00505632" w:rsidRDefault="00505632" w:rsidP="00AD4E52">
            <w:pPr>
              <w:jc w:val="left"/>
            </w:pPr>
            <w:r>
              <w:t>3601-ZAŠTITA, OČUVANJE I UNAPREĐENJE ZDRAVLJA</w:t>
            </w:r>
          </w:p>
        </w:tc>
        <w:tc>
          <w:tcPr>
            <w:tcW w:w="2041" w:type="dxa"/>
          </w:tcPr>
          <w:p w:rsidR="00505632" w:rsidRDefault="00505632" w:rsidP="00AD4E52">
            <w:pPr>
              <w:jc w:val="right"/>
            </w:pPr>
            <w:r>
              <w:t>68.489.455</w:t>
            </w:r>
          </w:p>
        </w:tc>
        <w:tc>
          <w:tcPr>
            <w:tcW w:w="2041" w:type="dxa"/>
          </w:tcPr>
          <w:p w:rsidR="00505632" w:rsidRDefault="00505632" w:rsidP="00AD4E52">
            <w:pPr>
              <w:jc w:val="right"/>
            </w:pPr>
            <w:r>
              <w:t>67.966.425</w:t>
            </w:r>
          </w:p>
        </w:tc>
        <w:tc>
          <w:tcPr>
            <w:tcW w:w="2041" w:type="dxa"/>
          </w:tcPr>
          <w:p w:rsidR="00505632" w:rsidRDefault="00505632" w:rsidP="00AD4E52">
            <w:pPr>
              <w:jc w:val="right"/>
            </w:pPr>
            <w:r>
              <w:t>63.108.316</w:t>
            </w:r>
          </w:p>
        </w:tc>
        <w:tc>
          <w:tcPr>
            <w:tcW w:w="1224" w:type="dxa"/>
          </w:tcPr>
          <w:p w:rsidR="00505632" w:rsidRDefault="00505632" w:rsidP="00AD4E52">
            <w:pPr>
              <w:jc w:val="right"/>
            </w:pPr>
            <w:r>
              <w:t>92,9</w:t>
            </w:r>
          </w:p>
        </w:tc>
        <w:tc>
          <w:tcPr>
            <w:tcW w:w="1224" w:type="dxa"/>
          </w:tcPr>
          <w:p w:rsidR="00505632" w:rsidRDefault="00505632" w:rsidP="00AD4E52">
            <w:pPr>
              <w:jc w:val="right"/>
            </w:pPr>
            <w:r>
              <w:t>92,1</w:t>
            </w:r>
          </w:p>
        </w:tc>
      </w:tr>
      <w:tr w:rsidR="00505632" w:rsidTr="00AD4E52">
        <w:trPr>
          <w:jc w:val="center"/>
        </w:trPr>
        <w:tc>
          <w:tcPr>
            <w:tcW w:w="1632" w:type="dxa"/>
          </w:tcPr>
          <w:p w:rsidR="00505632" w:rsidRDefault="00505632" w:rsidP="00AD4E52">
            <w:pPr>
              <w:jc w:val="left"/>
            </w:pPr>
            <w:r>
              <w:t>3602-INVESTICIJE U ZDRAVSTVENU INFRASTRUKTURU</w:t>
            </w:r>
          </w:p>
        </w:tc>
        <w:tc>
          <w:tcPr>
            <w:tcW w:w="2041" w:type="dxa"/>
          </w:tcPr>
          <w:p w:rsidR="00505632" w:rsidRDefault="00505632" w:rsidP="00AD4E52">
            <w:pPr>
              <w:jc w:val="right"/>
            </w:pPr>
            <w:r>
              <w:t>2.926.395</w:t>
            </w:r>
          </w:p>
        </w:tc>
        <w:tc>
          <w:tcPr>
            <w:tcW w:w="2041" w:type="dxa"/>
          </w:tcPr>
          <w:p w:rsidR="00505632" w:rsidRDefault="00505632" w:rsidP="00AD4E52">
            <w:pPr>
              <w:jc w:val="right"/>
            </w:pPr>
            <w:r>
              <w:t>00</w:t>
            </w:r>
          </w:p>
        </w:tc>
        <w:tc>
          <w:tcPr>
            <w:tcW w:w="2041" w:type="dxa"/>
          </w:tcPr>
          <w:p w:rsidR="00505632" w:rsidRDefault="00505632" w:rsidP="00AD4E52">
            <w:pPr>
              <w:jc w:val="right"/>
            </w:pPr>
            <w:r>
              <w:t>00</w:t>
            </w:r>
          </w:p>
        </w:tc>
        <w:tc>
          <w:tcPr>
            <w:tcW w:w="1224" w:type="dxa"/>
          </w:tcPr>
          <w:p w:rsidR="00505632" w:rsidRDefault="00505632" w:rsidP="00AD4E52">
            <w:pPr>
              <w:jc w:val="right"/>
            </w:pPr>
            <w:r>
              <w:t>0,0</w:t>
            </w:r>
          </w:p>
        </w:tc>
        <w:tc>
          <w:tcPr>
            <w:tcW w:w="1224" w:type="dxa"/>
          </w:tcPr>
          <w:p w:rsidR="00505632" w:rsidRDefault="00505632" w:rsidP="00AD4E52">
            <w:pPr>
              <w:jc w:val="right"/>
            </w:pPr>
            <w:r>
              <w:t>0,0</w:t>
            </w:r>
          </w:p>
        </w:tc>
      </w:tr>
    </w:tbl>
    <w:p w:rsidR="00505632" w:rsidRDefault="00505632" w:rsidP="00505632">
      <w:pPr>
        <w:jc w:val="left"/>
      </w:pPr>
    </w:p>
    <w:p w:rsidR="00505632" w:rsidRDefault="00505632" w:rsidP="00505632">
      <w:pPr>
        <w:pStyle w:val="Heading4"/>
      </w:pPr>
      <w:r>
        <w:t>A884001 HRVATSKI ZAVOD ZA JAVNO ZDRAVSTVO</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A884001-HRVATSKI ZAVOD ZA JAVNO ZDRAVSTVO</w:t>
            </w:r>
          </w:p>
        </w:tc>
        <w:tc>
          <w:tcPr>
            <w:tcW w:w="2041" w:type="dxa"/>
          </w:tcPr>
          <w:p w:rsidR="00505632" w:rsidRDefault="00505632" w:rsidP="00AD4E52">
            <w:pPr>
              <w:pStyle w:val="CellColumn"/>
              <w:jc w:val="right"/>
            </w:pPr>
            <w:r>
              <w:rPr>
                <w:rFonts w:cs="Times New Roman"/>
              </w:rPr>
              <w:t>68.489.455</w:t>
            </w:r>
          </w:p>
        </w:tc>
        <w:tc>
          <w:tcPr>
            <w:tcW w:w="2041" w:type="dxa"/>
          </w:tcPr>
          <w:p w:rsidR="00505632" w:rsidRDefault="00505632" w:rsidP="00AD4E52">
            <w:pPr>
              <w:pStyle w:val="CellColumn"/>
              <w:jc w:val="right"/>
            </w:pPr>
            <w:r>
              <w:rPr>
                <w:rFonts w:cs="Times New Roman"/>
              </w:rPr>
              <w:t>66.982.675</w:t>
            </w:r>
          </w:p>
        </w:tc>
        <w:tc>
          <w:tcPr>
            <w:tcW w:w="2041" w:type="dxa"/>
          </w:tcPr>
          <w:p w:rsidR="00505632" w:rsidRDefault="00505632" w:rsidP="00AD4E52">
            <w:pPr>
              <w:pStyle w:val="CellColumn"/>
              <w:jc w:val="right"/>
            </w:pPr>
            <w:r>
              <w:rPr>
                <w:rFonts w:cs="Times New Roman"/>
              </w:rPr>
              <w:t>63.108.316</w:t>
            </w:r>
          </w:p>
        </w:tc>
        <w:tc>
          <w:tcPr>
            <w:tcW w:w="1224" w:type="dxa"/>
          </w:tcPr>
          <w:p w:rsidR="00505632" w:rsidRDefault="00505632" w:rsidP="00AD4E52">
            <w:pPr>
              <w:pStyle w:val="CellColumn"/>
              <w:jc w:val="right"/>
            </w:pPr>
            <w:r>
              <w:rPr>
                <w:rFonts w:cs="Times New Roman"/>
              </w:rPr>
              <w:t>94,2</w:t>
            </w:r>
          </w:p>
        </w:tc>
        <w:tc>
          <w:tcPr>
            <w:tcW w:w="1224" w:type="dxa"/>
          </w:tcPr>
          <w:p w:rsidR="00505632" w:rsidRDefault="00505632" w:rsidP="00AD4E52">
            <w:pPr>
              <w:pStyle w:val="CellColumn"/>
              <w:jc w:val="right"/>
            </w:pPr>
            <w:r>
              <w:rPr>
                <w:rFonts w:cs="Times New Roman"/>
              </w:rPr>
              <w:t>92,1</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Provedbom ove aktivnost financira se redovna djelatnost HZJZ-a. Javnozdravstvena djelatnost HZJZ-a obuhvaća epidemiologiju karantenskih i drugih zaraznih bolesti, epidemiologiju kroničnih masovnih bolesti, socijalnu medicinu i zdravstvenu statistiku, zdravstveno prosvjećivanje s promicanjem zdravlja i prevenciju bolesti, zdravstvenu ekologiju, školsku medicinu te mentalno zdravlje i prevenciju ovisnosti. Za ispunjenje navedenih ciljeva osigurava se visoka razina stručnosti i koordinacije na nacionalnom i  međunarodnom nivou uz nužnu harmonizaciju sa standardima EU što je tekuća značajna aktivnost HZJZ. HZJZ provodi čitav niz preventivnih aktivnosti, unaprjeđenje sudjeluje u provedbi nacionalnih programa te između ostalog koordinira provedbu nacionalnih programa ranog otkrivanja raka dojke, debelog crijeva i vrata maternice. </w:t>
      </w:r>
    </w:p>
    <w:p w:rsidR="00505632" w:rsidRDefault="00505632" w:rsidP="00505632">
      <w:r>
        <w:t xml:space="preserve">Aktivnosti HZJZ-a provode se uspješno i pridonose zaštiti zdravlja i javnozdravstvenog interesa građana Republike Hrvatske. Aktivnosti imaju pozitivan utjecaj na unapređenje dostupnosti zdravstvene zaštite, podizanje kvalitete zdravstvene zaštite i zaštitu javnozdravstvenog interesa provedbom mjera i postupaka usmjerenih na zaštitu zdravlja populacije određenog područja ili cijele države. Tijekom 2016. godine provodile su se dodatne aktivnosti na promociji Nacionalnog programa unaprjeđenja oralnog zdravlja, te za  nacionalne programe ranog otkrivanja raka s ciljem podizanja odaziva na iste. Pripremane su nadopune i izmjene u IT sustavu programa probira ranog otkrivanja raka, koje nisu realizirane zbog nedostatnih sredstava, a koje se neophodne radi sustavnog prikupljanja podataka (osiguranje adekvatne baze i protokola za pozivanje), za unapređenje praćenja provedbe i evaluacije, te osiguranje kvalitete provedbe programa. Izrađene su i smjernice za provedbu programa probira ranog otkrivanja raka sa ciljem podizanja kvalitete provedbe istih, a koje bi u narednom razdoblju rezultirale smanjenjem  incidencije i mortaliteta od raka u ciljanoj populaciji. Intenzivno su se provodile aktivnosti nadogradnje Nacionalnog javnozdravstvenog informacijskog sustava (NAJS) i optimizacije javnozdravstvenog izvješćivanja i upravljanja zdravstvenim podacima i informacijama. Provodile su se aktivnosti usmjerene borbi protiv svih oblika ovisnosti, a  na području socijalne i humanitarne djelatnosti poseban  naglasak je stavljen na psihosocijalnu pomoć i podršku. Provodio se monitoring zdravstvene ispravnosti vode za ljudsku potrošnju, pojedinih kontaminanata u hrani i zdravstvenoj ispravnosti predmeta opće uporabe za sve zaprimljene uzorke (zaprimljeno manje od planiranog). </w:t>
      </w:r>
    </w:p>
    <w:p w:rsidR="00505632" w:rsidRDefault="00505632" w:rsidP="00505632">
      <w:r>
        <w:t xml:space="preserve">Napomena* radi se o trenutnoj procjeni vrijednosti odaziva  </w:t>
      </w:r>
    </w:p>
    <w:p w:rsidR="00505632" w:rsidRDefault="00505632" w:rsidP="00505632">
      <w:r>
        <w:t xml:space="preserve">Napomena ** veći udio iz oportunističkog probira,  kojeg je potrebno obeshrabriti u narednom razdoblju. Oportunistički probir ne omogućava sustavno praćenje. </w:t>
      </w:r>
    </w:p>
    <w:p w:rsidR="00505632" w:rsidRDefault="00505632" w:rsidP="00505632">
      <w:r>
        <w:t>Napomena *** program u reorganizaciji, provodi se oportunistički program</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odaziva na probir za rak dojke(D), debelog crijeva(DC) i vrata maternice (VM)</w:t>
            </w:r>
          </w:p>
        </w:tc>
        <w:tc>
          <w:tcPr>
            <w:tcW w:w="2551" w:type="dxa"/>
          </w:tcPr>
          <w:p w:rsidR="00505632" w:rsidRDefault="00505632" w:rsidP="00AD4E52">
            <w:pPr>
              <w:pStyle w:val="CellColumn"/>
              <w:jc w:val="left"/>
            </w:pPr>
            <w:r>
              <w:rPr>
                <w:rFonts w:cs="Times New Roman"/>
              </w:rPr>
              <w:t>Nastavak provedbe ranije započetih programa ranog otkrivanja raka i praćenja broja novootkrivenih malignih oboljenja po sijelima, poboljšano praćenje nastavkom uvođenja informatizacije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 xml:space="preserve">60 (D) </w:t>
            </w:r>
          </w:p>
          <w:p w:rsidR="00505632" w:rsidRDefault="00505632" w:rsidP="00AD4E52">
            <w:pPr>
              <w:pStyle w:val="CellColumn"/>
              <w:jc w:val="right"/>
            </w:pPr>
            <w:r>
              <w:rPr>
                <w:rFonts w:cs="Times New Roman"/>
              </w:rPr>
              <w:t xml:space="preserve">30 (DC) </w:t>
            </w:r>
          </w:p>
          <w:p w:rsidR="00505632" w:rsidRDefault="00505632" w:rsidP="00AD4E52">
            <w:pPr>
              <w:pStyle w:val="CellColumn"/>
              <w:jc w:val="right"/>
            </w:pPr>
            <w:r>
              <w:rPr>
                <w:rFonts w:cs="Times New Roman"/>
              </w:rPr>
              <w:t>40 (VM)</w:t>
            </w:r>
          </w:p>
        </w:tc>
        <w:tc>
          <w:tcPr>
            <w:tcW w:w="1020" w:type="dxa"/>
          </w:tcPr>
          <w:p w:rsidR="00505632" w:rsidRDefault="00505632" w:rsidP="00AD4E52">
            <w:pPr>
              <w:pStyle w:val="CellColumn"/>
              <w:jc w:val="right"/>
            </w:pPr>
            <w:r>
              <w:rPr>
                <w:rFonts w:cs="Times New Roman"/>
              </w:rPr>
              <w:t>HZJZ</w:t>
            </w:r>
          </w:p>
        </w:tc>
        <w:tc>
          <w:tcPr>
            <w:tcW w:w="1020" w:type="dxa"/>
          </w:tcPr>
          <w:p w:rsidR="00505632" w:rsidRDefault="00505632" w:rsidP="00AD4E52">
            <w:pPr>
              <w:pStyle w:val="CellColumn"/>
              <w:jc w:val="right"/>
            </w:pPr>
            <w:r>
              <w:rPr>
                <w:rFonts w:cs="Times New Roman"/>
              </w:rPr>
              <w:t xml:space="preserve">65 (D) </w:t>
            </w:r>
          </w:p>
          <w:p w:rsidR="00505632" w:rsidRDefault="00505632" w:rsidP="00AD4E52">
            <w:pPr>
              <w:pStyle w:val="CellColumn"/>
              <w:jc w:val="right"/>
            </w:pPr>
            <w:r>
              <w:rPr>
                <w:rFonts w:cs="Times New Roman"/>
              </w:rPr>
              <w:t xml:space="preserve">35 (DC) </w:t>
            </w:r>
          </w:p>
          <w:p w:rsidR="00505632" w:rsidRDefault="00505632" w:rsidP="00AD4E52">
            <w:pPr>
              <w:pStyle w:val="CellColumn"/>
              <w:jc w:val="right"/>
            </w:pPr>
            <w:r>
              <w:rPr>
                <w:rFonts w:cs="Times New Roman"/>
              </w:rPr>
              <w:t>50 (VM)</w:t>
            </w:r>
          </w:p>
        </w:tc>
        <w:tc>
          <w:tcPr>
            <w:tcW w:w="1020" w:type="dxa"/>
          </w:tcPr>
          <w:p w:rsidR="00505632" w:rsidRDefault="00505632" w:rsidP="00AD4E52">
            <w:pPr>
              <w:pStyle w:val="CellColumn"/>
              <w:jc w:val="right"/>
            </w:pPr>
            <w:r>
              <w:rPr>
                <w:rFonts w:cs="Times New Roman"/>
              </w:rPr>
              <w:t xml:space="preserve">60 (D)* </w:t>
            </w:r>
          </w:p>
          <w:p w:rsidR="00505632" w:rsidRDefault="00505632" w:rsidP="00AD4E52">
            <w:pPr>
              <w:pStyle w:val="CellColumn"/>
              <w:jc w:val="right"/>
            </w:pPr>
            <w:r>
              <w:rPr>
                <w:rFonts w:cs="Times New Roman"/>
              </w:rPr>
              <w:t xml:space="preserve">15-24 (DC)* </w:t>
            </w:r>
          </w:p>
          <w:p w:rsidR="00505632" w:rsidRDefault="00505632" w:rsidP="00AD4E52">
            <w:pPr>
              <w:pStyle w:val="CellColumn"/>
              <w:jc w:val="right"/>
            </w:pPr>
            <w:r>
              <w:rPr>
                <w:rFonts w:cs="Times New Roman"/>
              </w:rPr>
              <w:t>50 (VM)**</w:t>
            </w:r>
          </w:p>
        </w:tc>
      </w:tr>
    </w:tbl>
    <w:p w:rsidR="00505632" w:rsidRDefault="00505632" w:rsidP="00505632">
      <w:pPr>
        <w:jc w:val="left"/>
      </w:pPr>
    </w:p>
    <w:p w:rsidR="00505632" w:rsidRDefault="00505632" w:rsidP="00505632">
      <w:pPr>
        <w:pStyle w:val="Heading3"/>
      </w:pPr>
      <w:r>
        <w:rPr>
          <w:rFonts w:cs="Times New Roman"/>
        </w:rPr>
        <w:t>26354 Hrvatski zavod za transfuzijsku medicinu</w:t>
      </w:r>
    </w:p>
    <w:p w:rsidR="00505632" w:rsidRDefault="00505632" w:rsidP="00505632">
      <w:r>
        <w:t xml:space="preserve">Ukupni prihodi i primici iznose 203.214.725 kuna dok su planirani bili 192.432.800 kuna, a ukupni rashodi i izdaci  iznose 177.431.075 kuna dok su planirani bili 191.409.325 kuna.  </w:t>
      </w:r>
    </w:p>
    <w:p w:rsidR="00505632" w:rsidRDefault="00505632" w:rsidP="00505632">
      <w:r>
        <w:t xml:space="preserve">Ostvareni ovogodišnji ukupni prihodi poslovanja veći su od planiranih za 6%. </w:t>
      </w:r>
    </w:p>
    <w:p w:rsidR="00505632" w:rsidRDefault="00505632" w:rsidP="00505632">
      <w:r>
        <w:t xml:space="preserve">U strukturi prihoda najveći prihod iznosi 156.285.881 kuna na temelju ugovornih obaveza i veći su od planiranih za 10%. Razlog je naplata preko 30 milijuna kuna naših potraživanja iz 2014. godine.  </w:t>
      </w:r>
    </w:p>
    <w:p w:rsidR="00505632" w:rsidRDefault="00505632" w:rsidP="00505632">
      <w:r>
        <w:t xml:space="preserve">Ostvareni vlastiti prihodi iznose 41.655.635 kuna i 12% su manji od planiranih.  </w:t>
      </w:r>
    </w:p>
    <w:p w:rsidR="00505632" w:rsidRDefault="00505632" w:rsidP="00505632">
      <w:r>
        <w:t xml:space="preserve">Ostali prihodi iznose 3.619.778 kuna i na razini su 323% od planiranih. Odnose se na troškove kopnenog i zračnog prijevoza uzoraka krvi vezanih uz vršenje usluga NAT testiranja davatelja krvi za bolnice na području cijele Hrvatske. Veći su od planiranih zbog povrata sredstava od strane Ministarstva zdravstva za nabavu medicinske opreme i opreme za nacionalni informatički sustav Delphyn.  </w:t>
      </w:r>
    </w:p>
    <w:p w:rsidR="00505632" w:rsidRDefault="00505632" w:rsidP="00505632">
      <w:r>
        <w:t xml:space="preserve">Rashodi poslovanja iznose 177.431.075 kune i manji su za 7% od planiranih.  </w:t>
      </w:r>
    </w:p>
    <w:p w:rsidR="00505632" w:rsidRDefault="00505632" w:rsidP="00505632">
      <w:r>
        <w:t xml:space="preserve">U strukturi rashoda na prvom mjestu su materijalni rashodi koji iznose 102.389.336 kuna i manji su za 11% od planiranih. Rashodi za materijal i energiju iznose 82.139.758 kn te su manji za 16% od prošlogodišnjih. Razlozi su u povoljnijoj cijeni nabave lož ulja kod novog dobavljača te u manjem opsegu tekućeg i investicijskog održavanja od planiranog. Rashodi za usluge su veći za 15% od planiranih i iznose 13.422.664 kuna zbog povećane potrošnje vode za proizvodnju infuzioloških otopina. Ostali nespomenuti rashodi poslovanja su 3.978.167 kune i veći su za 35% od planiranih zbog pristojbi i naknada za zaštitu voda, gospodarenjem otpadom i emisiju CO2. Naknade troškova zaposlenima iznose 2.848.746 kuna te su manji za 2% od planiranih. </w:t>
      </w:r>
    </w:p>
    <w:p w:rsidR="00505632" w:rsidRDefault="00505632" w:rsidP="00505632">
      <w:r>
        <w:t xml:space="preserve">Poslije rashoda za materijal i energiju na drugom mjestu po iznosu su rashodi za zaposlene u iznosu 57.341.039 kuna te su manji od planiranih za 2%. </w:t>
      </w:r>
    </w:p>
    <w:p w:rsidR="00505632" w:rsidRDefault="00505632" w:rsidP="00505632">
      <w:r>
        <w:t xml:space="preserve">Nakon njih slijede rashodi za otplatu glavnice kredita Privredne banke za kupovinu pogona u Hrvatskom Leskovcu (7.718.631 kuna) i pripadajuće kamate  (3.610.557 kuna) koji su na razini planiranih. </w:t>
      </w:r>
    </w:p>
    <w:p w:rsidR="00505632" w:rsidRDefault="00505632" w:rsidP="00505632">
      <w:r>
        <w:t>Rashodi za nabavu dugotrajne imovine iznose 5.354.684 kune i veći su 12% od planiranih. Odnose se u najvećem dijelu na rashode za medicinsku i laboratorijsku opremu za koju je dijelom ostvaren povrat od Ministarstva zdravstva.</w:t>
      </w:r>
    </w:p>
    <w:tbl>
      <w:tblPr>
        <w:tblStyle w:val="StilTablice"/>
        <w:tblW w:w="10206" w:type="dxa"/>
        <w:jc w:val="center"/>
        <w:tblLook w:val="04A0" w:firstRow="1" w:lastRow="0" w:firstColumn="1" w:lastColumn="0" w:noHBand="0" w:noVBand="1"/>
      </w:tblPr>
      <w:tblGrid>
        <w:gridCol w:w="1915"/>
        <w:gridCol w:w="1944"/>
        <w:gridCol w:w="1966"/>
        <w:gridCol w:w="1966"/>
        <w:gridCol w:w="1203"/>
        <w:gridCol w:w="121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26354-Hrvatski zavod za transfuzijsku medicinu</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194.314.300</w:t>
            </w:r>
          </w:p>
        </w:tc>
        <w:tc>
          <w:tcPr>
            <w:tcW w:w="2041" w:type="dxa"/>
          </w:tcPr>
          <w:p w:rsidR="00505632" w:rsidRDefault="00505632" w:rsidP="00AD4E52">
            <w:pPr>
              <w:pStyle w:val="CellColumn"/>
              <w:jc w:val="right"/>
            </w:pPr>
            <w:r>
              <w:rPr>
                <w:rFonts w:cs="Times New Roman"/>
              </w:rPr>
              <w:t>230.295.570</w:t>
            </w:r>
          </w:p>
        </w:tc>
        <w:tc>
          <w:tcPr>
            <w:tcW w:w="1224" w:type="dxa"/>
          </w:tcPr>
          <w:p w:rsidR="00505632" w:rsidRDefault="00505632" w:rsidP="00AD4E52">
            <w:pPr>
              <w:pStyle w:val="CellColumn"/>
              <w:jc w:val="right"/>
            </w:pPr>
            <w:r>
              <w:rPr>
                <w:rFonts w:cs="Times New Roman"/>
              </w:rPr>
              <w:t>118,5</w:t>
            </w:r>
          </w:p>
        </w:tc>
        <w:tc>
          <w:tcPr>
            <w:tcW w:w="1224" w:type="dxa"/>
          </w:tcPr>
          <w:p w:rsidR="00505632" w:rsidRDefault="00505632" w:rsidP="00AD4E52">
            <w:pPr>
              <w:pStyle w:val="CellColumn"/>
              <w:jc w:val="right"/>
            </w:pPr>
            <w:r>
              <w:rPr>
                <w:rFonts w:cs="Times New Roman"/>
              </w:rPr>
              <w:t>0,0</w:t>
            </w:r>
          </w:p>
        </w:tc>
      </w:tr>
      <w:tr w:rsidR="00505632" w:rsidTr="00AD4E52">
        <w:trPr>
          <w:jc w:val="center"/>
        </w:trPr>
        <w:tc>
          <w:tcPr>
            <w:tcW w:w="1632" w:type="dxa"/>
          </w:tcPr>
          <w:p w:rsidR="00505632" w:rsidRDefault="00505632" w:rsidP="00AD4E52">
            <w:pPr>
              <w:jc w:val="left"/>
            </w:pPr>
            <w:r>
              <w:t>3601-ZAŠTITA, OČUVANJE I UNAPREĐENJE ZDRAVLJA</w:t>
            </w:r>
          </w:p>
        </w:tc>
        <w:tc>
          <w:tcPr>
            <w:tcW w:w="2041" w:type="dxa"/>
          </w:tcPr>
          <w:p w:rsidR="00505632" w:rsidRDefault="00505632" w:rsidP="00AD4E52">
            <w:pPr>
              <w:jc w:val="right"/>
            </w:pPr>
            <w:r>
              <w:t>00</w:t>
            </w:r>
          </w:p>
        </w:tc>
        <w:tc>
          <w:tcPr>
            <w:tcW w:w="2041" w:type="dxa"/>
          </w:tcPr>
          <w:p w:rsidR="00505632" w:rsidRDefault="00505632" w:rsidP="00AD4E52">
            <w:pPr>
              <w:jc w:val="right"/>
            </w:pPr>
            <w:r>
              <w:t>191.409.300</w:t>
            </w:r>
          </w:p>
        </w:tc>
        <w:tc>
          <w:tcPr>
            <w:tcW w:w="2041" w:type="dxa"/>
          </w:tcPr>
          <w:p w:rsidR="00505632" w:rsidRDefault="00505632" w:rsidP="00AD4E52">
            <w:pPr>
              <w:jc w:val="right"/>
            </w:pPr>
            <w:r>
              <w:t>227.575.440</w:t>
            </w:r>
          </w:p>
        </w:tc>
        <w:tc>
          <w:tcPr>
            <w:tcW w:w="1224" w:type="dxa"/>
          </w:tcPr>
          <w:p w:rsidR="00505632" w:rsidRDefault="00505632" w:rsidP="00AD4E52">
            <w:pPr>
              <w:jc w:val="right"/>
            </w:pPr>
            <w:r>
              <w:t>118,9</w:t>
            </w:r>
          </w:p>
        </w:tc>
        <w:tc>
          <w:tcPr>
            <w:tcW w:w="1224" w:type="dxa"/>
          </w:tcPr>
          <w:p w:rsidR="00505632" w:rsidRDefault="00505632" w:rsidP="00AD4E52">
            <w:pPr>
              <w:jc w:val="right"/>
            </w:pPr>
            <w:r>
              <w:t>0,0</w:t>
            </w:r>
          </w:p>
        </w:tc>
      </w:tr>
      <w:tr w:rsidR="00505632" w:rsidTr="00AD4E52">
        <w:trPr>
          <w:jc w:val="center"/>
        </w:trPr>
        <w:tc>
          <w:tcPr>
            <w:tcW w:w="1632" w:type="dxa"/>
          </w:tcPr>
          <w:p w:rsidR="00505632" w:rsidRDefault="00505632" w:rsidP="00AD4E52">
            <w:pPr>
              <w:jc w:val="left"/>
            </w:pPr>
            <w:r>
              <w:t>3602-INVESTICIJE U ZDRAVSTVENU INFRASTRUKTURU</w:t>
            </w:r>
          </w:p>
        </w:tc>
        <w:tc>
          <w:tcPr>
            <w:tcW w:w="2041" w:type="dxa"/>
          </w:tcPr>
          <w:p w:rsidR="00505632" w:rsidRDefault="00505632" w:rsidP="00AD4E52">
            <w:pPr>
              <w:jc w:val="right"/>
            </w:pPr>
            <w:r>
              <w:t>00</w:t>
            </w:r>
          </w:p>
        </w:tc>
        <w:tc>
          <w:tcPr>
            <w:tcW w:w="2041" w:type="dxa"/>
          </w:tcPr>
          <w:p w:rsidR="00505632" w:rsidRDefault="00505632" w:rsidP="00AD4E52">
            <w:pPr>
              <w:jc w:val="right"/>
            </w:pPr>
            <w:r>
              <w:t>2.905.000</w:t>
            </w:r>
          </w:p>
        </w:tc>
        <w:tc>
          <w:tcPr>
            <w:tcW w:w="2041" w:type="dxa"/>
          </w:tcPr>
          <w:p w:rsidR="00505632" w:rsidRDefault="00505632" w:rsidP="00AD4E52">
            <w:pPr>
              <w:jc w:val="right"/>
            </w:pPr>
            <w:r>
              <w:t>2.720.130</w:t>
            </w:r>
          </w:p>
        </w:tc>
        <w:tc>
          <w:tcPr>
            <w:tcW w:w="1224" w:type="dxa"/>
          </w:tcPr>
          <w:p w:rsidR="00505632" w:rsidRDefault="00505632" w:rsidP="00AD4E52">
            <w:pPr>
              <w:jc w:val="right"/>
            </w:pPr>
            <w:r>
              <w:t>93,6</w:t>
            </w:r>
          </w:p>
        </w:tc>
        <w:tc>
          <w:tcPr>
            <w:tcW w:w="1224" w:type="dxa"/>
          </w:tcPr>
          <w:p w:rsidR="00505632" w:rsidRDefault="00505632" w:rsidP="00AD4E52">
            <w:pPr>
              <w:jc w:val="right"/>
            </w:pPr>
            <w:r>
              <w:t>0,0</w:t>
            </w:r>
          </w:p>
        </w:tc>
      </w:tr>
    </w:tbl>
    <w:p w:rsidR="00505632" w:rsidRDefault="00505632" w:rsidP="00505632">
      <w:pPr>
        <w:jc w:val="left"/>
      </w:pPr>
    </w:p>
    <w:p w:rsidR="00505632" w:rsidRDefault="00505632" w:rsidP="00505632">
      <w:pPr>
        <w:pStyle w:val="Heading3"/>
      </w:pPr>
      <w:r>
        <w:rPr>
          <w:rFonts w:cs="Times New Roman"/>
        </w:rPr>
        <w:t>26563 Hrvatski zavod za zaštitu zdravlja i sigurnost na radu</w:t>
      </w:r>
    </w:p>
    <w:p w:rsidR="00505632" w:rsidRDefault="00505632" w:rsidP="00505632">
      <w:r>
        <w:t xml:space="preserve">Ovim programom se financira rad Hrvatskog zavoda za zaštitu zdravlja i sigurnosti na radu (u daljnjem tekstu; HZZZSR).  </w:t>
      </w:r>
    </w:p>
    <w:p w:rsidR="00505632" w:rsidRDefault="00505632" w:rsidP="00505632">
      <w:r>
        <w:t>Program HZZZSR provodio se uspješno i pridonosi zaštiti zdravlja i javnozdravstvenog interesa građana Republike Hrvatske.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26563-Hrvatski zavod za zaštitu zdravlja i sigurnost na radu</w:t>
            </w:r>
          </w:p>
        </w:tc>
        <w:tc>
          <w:tcPr>
            <w:tcW w:w="2041" w:type="dxa"/>
          </w:tcPr>
          <w:p w:rsidR="00505632" w:rsidRDefault="00505632" w:rsidP="00AD4E52">
            <w:pPr>
              <w:pStyle w:val="CellColumn"/>
              <w:jc w:val="right"/>
            </w:pPr>
            <w:r>
              <w:rPr>
                <w:rFonts w:cs="Times New Roman"/>
              </w:rPr>
              <w:t>8.713.884</w:t>
            </w:r>
          </w:p>
        </w:tc>
        <w:tc>
          <w:tcPr>
            <w:tcW w:w="2041" w:type="dxa"/>
          </w:tcPr>
          <w:p w:rsidR="00505632" w:rsidRDefault="00505632" w:rsidP="00AD4E52">
            <w:pPr>
              <w:pStyle w:val="CellColumn"/>
              <w:jc w:val="right"/>
            </w:pPr>
            <w:r>
              <w:rPr>
                <w:rFonts w:cs="Times New Roman"/>
              </w:rPr>
              <w:t>8.739.000</w:t>
            </w:r>
          </w:p>
        </w:tc>
        <w:tc>
          <w:tcPr>
            <w:tcW w:w="2041" w:type="dxa"/>
          </w:tcPr>
          <w:p w:rsidR="00505632" w:rsidRDefault="00505632" w:rsidP="00AD4E52">
            <w:pPr>
              <w:pStyle w:val="CellColumn"/>
              <w:jc w:val="right"/>
            </w:pPr>
            <w:r>
              <w:rPr>
                <w:rFonts w:cs="Times New Roman"/>
              </w:rPr>
              <w:t>8.709.930</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100,0</w:t>
            </w:r>
          </w:p>
        </w:tc>
      </w:tr>
      <w:tr w:rsidR="00505632" w:rsidTr="00AD4E52">
        <w:trPr>
          <w:jc w:val="center"/>
        </w:trPr>
        <w:tc>
          <w:tcPr>
            <w:tcW w:w="1632" w:type="dxa"/>
          </w:tcPr>
          <w:p w:rsidR="00505632" w:rsidRDefault="00505632" w:rsidP="00AD4E52">
            <w:pPr>
              <w:jc w:val="left"/>
            </w:pPr>
            <w:r>
              <w:t>3606-ZAŠTITA ZDRAVLJA I SIGURNOST RADNIKA</w:t>
            </w:r>
          </w:p>
        </w:tc>
        <w:tc>
          <w:tcPr>
            <w:tcW w:w="2041" w:type="dxa"/>
          </w:tcPr>
          <w:p w:rsidR="00505632" w:rsidRDefault="00505632" w:rsidP="00AD4E52">
            <w:pPr>
              <w:jc w:val="right"/>
            </w:pPr>
            <w:r>
              <w:t>8.713.884</w:t>
            </w:r>
          </w:p>
        </w:tc>
        <w:tc>
          <w:tcPr>
            <w:tcW w:w="2041" w:type="dxa"/>
          </w:tcPr>
          <w:p w:rsidR="00505632" w:rsidRDefault="00505632" w:rsidP="00AD4E52">
            <w:pPr>
              <w:jc w:val="right"/>
            </w:pPr>
            <w:r>
              <w:t>8.739.000</w:t>
            </w:r>
          </w:p>
        </w:tc>
        <w:tc>
          <w:tcPr>
            <w:tcW w:w="2041" w:type="dxa"/>
          </w:tcPr>
          <w:p w:rsidR="00505632" w:rsidRDefault="00505632" w:rsidP="00AD4E52">
            <w:pPr>
              <w:jc w:val="right"/>
            </w:pPr>
            <w:r>
              <w:t>8.709.930</w:t>
            </w:r>
          </w:p>
        </w:tc>
        <w:tc>
          <w:tcPr>
            <w:tcW w:w="1224" w:type="dxa"/>
          </w:tcPr>
          <w:p w:rsidR="00505632" w:rsidRDefault="00505632" w:rsidP="00AD4E52">
            <w:pPr>
              <w:jc w:val="right"/>
            </w:pPr>
            <w:r>
              <w:t>99,7</w:t>
            </w:r>
          </w:p>
        </w:tc>
        <w:tc>
          <w:tcPr>
            <w:tcW w:w="1224" w:type="dxa"/>
          </w:tcPr>
          <w:p w:rsidR="00505632" w:rsidRDefault="00505632" w:rsidP="00AD4E52">
            <w:pPr>
              <w:jc w:val="right"/>
            </w:pPr>
            <w:r>
              <w:t>100,0</w:t>
            </w:r>
          </w:p>
        </w:tc>
      </w:tr>
    </w:tbl>
    <w:p w:rsidR="00505632" w:rsidRDefault="00505632" w:rsidP="00505632">
      <w:pPr>
        <w:jc w:val="left"/>
      </w:pPr>
    </w:p>
    <w:p w:rsidR="00505632" w:rsidRDefault="00505632" w:rsidP="00505632">
      <w:pPr>
        <w:pStyle w:val="Heading3"/>
      </w:pPr>
      <w:r>
        <w:rPr>
          <w:rFonts w:cs="Times New Roman"/>
        </w:rPr>
        <w:t>3606 ZAŠTITA ZDRAVLJA I SIGURNOST RADNIKA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3606-ZAŠTITA ZDRAVLJA I SIGURNOST RADNIKA</w:t>
            </w:r>
          </w:p>
        </w:tc>
        <w:tc>
          <w:tcPr>
            <w:tcW w:w="2041" w:type="dxa"/>
          </w:tcPr>
          <w:p w:rsidR="00505632" w:rsidRDefault="00505632" w:rsidP="00AD4E52">
            <w:pPr>
              <w:pStyle w:val="CellColumn"/>
              <w:jc w:val="right"/>
            </w:pPr>
            <w:r>
              <w:rPr>
                <w:rFonts w:cs="Times New Roman"/>
              </w:rPr>
              <w:t>8.713.884</w:t>
            </w:r>
          </w:p>
        </w:tc>
        <w:tc>
          <w:tcPr>
            <w:tcW w:w="2041" w:type="dxa"/>
          </w:tcPr>
          <w:p w:rsidR="00505632" w:rsidRDefault="00505632" w:rsidP="00AD4E52">
            <w:pPr>
              <w:pStyle w:val="CellColumn"/>
              <w:jc w:val="right"/>
            </w:pPr>
            <w:r>
              <w:rPr>
                <w:rFonts w:cs="Times New Roman"/>
              </w:rPr>
              <w:t>8.739.000</w:t>
            </w:r>
          </w:p>
        </w:tc>
        <w:tc>
          <w:tcPr>
            <w:tcW w:w="2041" w:type="dxa"/>
          </w:tcPr>
          <w:p w:rsidR="00505632" w:rsidRDefault="00505632" w:rsidP="00AD4E52">
            <w:pPr>
              <w:pStyle w:val="CellColumn"/>
              <w:jc w:val="right"/>
            </w:pPr>
            <w:r>
              <w:rPr>
                <w:rFonts w:cs="Times New Roman"/>
              </w:rPr>
              <w:t>8.709.930</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r>
        <w:t xml:space="preserve">Provedbom ovog programa ostvaruje se postizanje općeg cilja 1. Zaštita, očuvanje i unapređenje zdravlja te posebnog cilja  1.3. definiranog u Strateškom planu Ministarstva zdravstva za razdoblje 2016.-2018.  </w:t>
      </w:r>
    </w:p>
    <w:p w:rsidR="00505632" w:rsidRDefault="00505632" w:rsidP="00505632">
      <w:r>
        <w:t xml:space="preserve">Program je usmjeren na povećanje kontrole izloženosti štetnim učincima na radnom mjestu, provođenje edukacija radnika, donošenje tehničkih i zdravstvenih smjernica; analizu uzroka pojavnosti profesionalnih bolesti i ozljeda na radu s ciljem smanjenja profesionalnih bolesti i ozljeda na radu. </w:t>
      </w:r>
    </w:p>
    <w:p w:rsidR="00505632" w:rsidRDefault="00505632" w:rsidP="00505632">
      <w:r>
        <w:t xml:space="preserve">Zakonske i druge pravne osnove </w:t>
      </w:r>
    </w:p>
    <w:p w:rsidR="00505632" w:rsidRDefault="00505632" w:rsidP="00505632">
      <w:r>
        <w:t>Zakon o zdravstvenoj zaštiti, Zakon o obveznom zdravstvenom osiguranju, Zakon o zaštiti na radu, Zakon o radu, Zakon o zaštiti prava pacijenata, Nacionalna strategija razvoja zdravstva 2012. – 2020.</w:t>
      </w:r>
    </w:p>
    <w:p w:rsidR="00505632" w:rsidRDefault="00505632" w:rsidP="00505632">
      <w:pPr>
        <w:pStyle w:val="Heading8"/>
        <w:jc w:val="left"/>
      </w:pPr>
      <w:r>
        <w:t>Cilj 1. Zaštita, očuvanje i unapređenje zdravlja</w:t>
      </w:r>
    </w:p>
    <w:p w:rsidR="00505632" w:rsidRDefault="00505632" w:rsidP="00505632">
      <w:pPr>
        <w:pStyle w:val="Heading8"/>
        <w:jc w:val="left"/>
      </w:pPr>
      <w:r>
        <w:t>Opis provedbe cilja programa</w:t>
      </w:r>
    </w:p>
    <w:p w:rsidR="00505632" w:rsidRDefault="00505632" w:rsidP="00505632">
      <w:r>
        <w:t>Očuvanje i unapređenje zdravlja cjelokupnog stanovništva, koristeći znanstveno utemeljene programe sprečavanja i suzbijanja bolesti te promicanja zdravlja predstavljaju glavne aktivnosti usmjerene zaštiti, očuvanju i unapređenju zdravlja stanovništva. Cilj je unaprijediti zdravstveni sustav tako da osiguravanjem pravodobnog pristupa zdravstvenim uslugama zadovolji potrebe građana Republike Hrvatske za kvalitetnom stručno-medicinskom zdravstvenom zaštitom koja obuhvaća sprječavanje bolesti, sprječavanje profesionalnih bolesti i ozljeda na radu, edukaciju o zdravlju, ranom prepoznavanju  rizika bolesti te liječenje i rehabilitaciju bolesnih. U okviru navedenog cilja veliki dio aktivnosti je bio usmjeren na osjetljive dobne skupine, djecu, žene i osobe starije životne dobi, osobe s posebnim potrebama i zaštitu zdravlja radno aktivnog i radno sposobnog stanovništva.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 xml:space="preserve">Smanjenje broja  </w:t>
            </w:r>
          </w:p>
          <w:p w:rsidR="00505632" w:rsidRDefault="00505632" w:rsidP="00AD4E52">
            <w:pPr>
              <w:pStyle w:val="CellColumn"/>
              <w:jc w:val="left"/>
            </w:pPr>
            <w:r>
              <w:rPr>
                <w:rFonts w:cs="Times New Roman"/>
              </w:rPr>
              <w:t>novih slučajeva profesionalnih bolesti</w:t>
            </w:r>
          </w:p>
        </w:tc>
        <w:tc>
          <w:tcPr>
            <w:tcW w:w="2551" w:type="dxa"/>
          </w:tcPr>
          <w:p w:rsidR="00505632" w:rsidRDefault="00505632" w:rsidP="00AD4E52">
            <w:pPr>
              <w:pStyle w:val="CellColumn"/>
              <w:jc w:val="left"/>
            </w:pPr>
            <w:r>
              <w:rPr>
                <w:rFonts w:cs="Times New Roman"/>
              </w:rPr>
              <w:t xml:space="preserve">Broj </w:t>
            </w:r>
          </w:p>
          <w:p w:rsidR="00505632" w:rsidRDefault="00505632" w:rsidP="00AD4E52">
            <w:pPr>
              <w:pStyle w:val="CellColumn"/>
              <w:jc w:val="left"/>
            </w:pPr>
            <w:r>
              <w:rPr>
                <w:rFonts w:cs="Times New Roman"/>
              </w:rPr>
              <w:t>novih slučajeva profesionalnih bolesti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168</w:t>
            </w:r>
          </w:p>
        </w:tc>
        <w:tc>
          <w:tcPr>
            <w:tcW w:w="918" w:type="dxa"/>
          </w:tcPr>
          <w:p w:rsidR="00505632" w:rsidRDefault="00505632" w:rsidP="00AD4E52">
            <w:pPr>
              <w:pStyle w:val="CellColumn"/>
              <w:jc w:val="right"/>
            </w:pPr>
            <w:r>
              <w:rPr>
                <w:rFonts w:cs="Times New Roman"/>
              </w:rPr>
              <w:t>HZZZSR</w:t>
            </w:r>
          </w:p>
        </w:tc>
        <w:tc>
          <w:tcPr>
            <w:tcW w:w="1020" w:type="dxa"/>
          </w:tcPr>
          <w:p w:rsidR="00505632" w:rsidRDefault="00505632" w:rsidP="00AD4E52">
            <w:pPr>
              <w:pStyle w:val="CellColumn"/>
              <w:jc w:val="right"/>
            </w:pPr>
            <w:r>
              <w:rPr>
                <w:rFonts w:cs="Times New Roman"/>
              </w:rPr>
              <w:t>160</w:t>
            </w:r>
          </w:p>
        </w:tc>
        <w:tc>
          <w:tcPr>
            <w:tcW w:w="1020" w:type="dxa"/>
          </w:tcPr>
          <w:p w:rsidR="00505632" w:rsidRDefault="00505632" w:rsidP="00AD4E52">
            <w:pPr>
              <w:pStyle w:val="CellColumn"/>
              <w:jc w:val="right"/>
            </w:pPr>
            <w:r>
              <w:rPr>
                <w:rFonts w:cs="Times New Roman"/>
              </w:rPr>
              <w:t>159</w:t>
            </w:r>
          </w:p>
        </w:tc>
      </w:tr>
    </w:tbl>
    <w:p w:rsidR="00505632" w:rsidRDefault="00505632" w:rsidP="00505632">
      <w:pPr>
        <w:jc w:val="left"/>
      </w:pPr>
    </w:p>
    <w:p w:rsidR="00505632" w:rsidRDefault="00505632" w:rsidP="00505632">
      <w:pPr>
        <w:pStyle w:val="Heading4"/>
      </w:pPr>
      <w:r>
        <w:t>A887001 HRVATSKI ZAVOD ZA ZAŠTITU ZDRAVLJA I SIGURNOST NA RADU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A887001-HRVATSKI ZAVOD ZA ZAŠTITU ZDRAVLJA I SIGURNOST NA RADU</w:t>
            </w:r>
          </w:p>
        </w:tc>
        <w:tc>
          <w:tcPr>
            <w:tcW w:w="2041" w:type="dxa"/>
          </w:tcPr>
          <w:p w:rsidR="00505632" w:rsidRDefault="00505632" w:rsidP="00AD4E52">
            <w:pPr>
              <w:pStyle w:val="CellColumn"/>
              <w:jc w:val="right"/>
            </w:pPr>
            <w:r>
              <w:rPr>
                <w:rFonts w:cs="Times New Roman"/>
              </w:rPr>
              <w:t>8.713.884</w:t>
            </w:r>
          </w:p>
        </w:tc>
        <w:tc>
          <w:tcPr>
            <w:tcW w:w="2041" w:type="dxa"/>
          </w:tcPr>
          <w:p w:rsidR="00505632" w:rsidRDefault="00505632" w:rsidP="00AD4E52">
            <w:pPr>
              <w:pStyle w:val="CellColumn"/>
              <w:jc w:val="right"/>
            </w:pPr>
            <w:r>
              <w:rPr>
                <w:rFonts w:cs="Times New Roman"/>
              </w:rPr>
              <w:t>8.739.000</w:t>
            </w:r>
          </w:p>
        </w:tc>
        <w:tc>
          <w:tcPr>
            <w:tcW w:w="2041" w:type="dxa"/>
          </w:tcPr>
          <w:p w:rsidR="00505632" w:rsidRDefault="00505632" w:rsidP="00AD4E52">
            <w:pPr>
              <w:pStyle w:val="CellColumn"/>
              <w:jc w:val="right"/>
            </w:pPr>
            <w:r>
              <w:rPr>
                <w:rFonts w:cs="Times New Roman"/>
              </w:rPr>
              <w:t>8.709.930</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 xml:space="preserve">Tijekom 2016. godine HZZZSR provodio je aktivnosti u okviru svoje djelatnosti: rad na Registru profesionalnih bolesti i Registru radnika oboljelih od bolesti izazvanih azbestom, evidencija ozljeda na radu i ubodnih incidenata, evidencija podataka o zdravstvenom nadzoru i praćenje izloženosti specifičnih grupacija radnika, statistička analiza uzroka profesionalnih bolesti i predlaganje mjera prevencije i smanjenja broja profesionalnih bolesti,  statistička analiza uzroka i predlaganje mjera prevencije za radnike oboljele od bolesti izazvanih azbestom, statistička analiza ozljeda na radu i ubodnih incidenata, te predlaganje mjera prevencije, statističke analize uzroka bolesti kod specifičnih grupacija radnika i predlaganje mjera prevencije, evidencija podataka o ordinacijama i specijalistima medicine rada i stručnjacima zaštite na radu, informiranje stručne i opće javnosti, edukacije stručne i opće javnosti, koordiniranje i stručni nadzor ordinacija medicine rada, aktivno sudjelovanje u nacionalnim i EU projektima, programima i kampanjama,  pružanje stručne pomoći u izradi strateških dokumenata, zdravstvenog i radnog zakonodavstva te zakona i provedbenih propisa kojima se uređuje zaštita zdravlja radno aktivnog stanovništva, davanje stručnih mišljenja iz područja zdravstvene zaštite radnika, oblikovanje doktrina i standarda te metoda rada u području zaštite zdravlja i sigurnosti na radu. </w:t>
      </w:r>
    </w:p>
    <w:p w:rsidR="00505632" w:rsidRDefault="00505632" w:rsidP="00505632">
      <w:r>
        <w:t>Aktivnosti HZZZSR provode se uspješno i pridonose zaštiti zdravlja i javnozdravstvenog interesa građana Republike Hrvatske. Promicane su stručne spoznaje o primjeni mjera kojima se smanjuje ili sprječava izloženost radnika opasnostima i štetnostima na radnom mjestu. Aktivnosti su prvenstveno bile usmjerene na specijaliste medicine rada, stručnjake u zaštiti na radu, radnike i poslodavce, a sadržajem su obuhvatile sigurnosne i zdravstvene aspekte zaštite zdravlja radnika. U svrhu prevencije ozljeda na radu i profesionalnih bolesti, te unaprjeđenja sustava zaštite na radu HHZZZSR provodi edukacije i informiranje specijalista medicine rada, stručnjaka zaštite na radu, predstavnika socijalnih partnera, inspektora rada i ostalih dionika u sustavu zaštite zdravlja i sigurnosti na radu putem besplatnih stručnih seminara, smjernica dobre prakse, tiskanih letaka o pojedinim rizicima na radnom mjestu, putem internetske stranice, e-novina i ažurnog odgovaranja na upite stručne i opće javnosti.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educiranih dionika o utjecaju radnog mjesta na zdravlje</w:t>
            </w:r>
          </w:p>
        </w:tc>
        <w:tc>
          <w:tcPr>
            <w:tcW w:w="2551" w:type="dxa"/>
          </w:tcPr>
          <w:p w:rsidR="00505632" w:rsidRDefault="00505632" w:rsidP="00AD4E52">
            <w:pPr>
              <w:pStyle w:val="CellColumn"/>
              <w:jc w:val="left"/>
            </w:pPr>
            <w:r>
              <w:rPr>
                <w:rFonts w:cs="Times New Roman"/>
              </w:rPr>
              <w:t>Broj educiranih i informiranih dionika o utjecaju radnog mjesta na zdravlje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26.500</w:t>
            </w:r>
          </w:p>
        </w:tc>
        <w:tc>
          <w:tcPr>
            <w:tcW w:w="1020" w:type="dxa"/>
          </w:tcPr>
          <w:p w:rsidR="00505632" w:rsidRDefault="00505632" w:rsidP="00AD4E52">
            <w:pPr>
              <w:pStyle w:val="CellColumn"/>
              <w:jc w:val="right"/>
            </w:pPr>
            <w:r>
              <w:rPr>
                <w:rFonts w:cs="Times New Roman"/>
              </w:rPr>
              <w:t>HZZZSR</w:t>
            </w:r>
          </w:p>
        </w:tc>
        <w:tc>
          <w:tcPr>
            <w:tcW w:w="1020" w:type="dxa"/>
          </w:tcPr>
          <w:p w:rsidR="00505632" w:rsidRDefault="00505632" w:rsidP="00AD4E52">
            <w:pPr>
              <w:pStyle w:val="CellColumn"/>
              <w:jc w:val="right"/>
            </w:pPr>
            <w:r>
              <w:rPr>
                <w:rFonts w:cs="Times New Roman"/>
              </w:rPr>
              <w:t>29.000</w:t>
            </w:r>
          </w:p>
        </w:tc>
        <w:tc>
          <w:tcPr>
            <w:tcW w:w="1020" w:type="dxa"/>
          </w:tcPr>
          <w:p w:rsidR="00505632" w:rsidRDefault="00505632" w:rsidP="00AD4E52">
            <w:pPr>
              <w:pStyle w:val="CellColumn"/>
              <w:jc w:val="right"/>
            </w:pPr>
            <w:r>
              <w:rPr>
                <w:rFonts w:cs="Times New Roman"/>
              </w:rPr>
              <w:t>32.517</w:t>
            </w:r>
          </w:p>
        </w:tc>
      </w:tr>
    </w:tbl>
    <w:p w:rsidR="00505632" w:rsidRDefault="00505632" w:rsidP="00505632">
      <w:pPr>
        <w:jc w:val="left"/>
      </w:pPr>
    </w:p>
    <w:p w:rsidR="00505632" w:rsidRDefault="00505632" w:rsidP="00505632">
      <w:pPr>
        <w:pStyle w:val="Heading3"/>
      </w:pPr>
      <w:r>
        <w:rPr>
          <w:rFonts w:cs="Times New Roman"/>
        </w:rPr>
        <w:t>38655 Dom zdravlja Ministarstva unutarnjih poslova Republike Hrvatske</w:t>
      </w:r>
    </w:p>
    <w:p w:rsidR="00505632" w:rsidRDefault="00505632" w:rsidP="00505632">
      <w:r>
        <w:t xml:space="preserve">Dom zdravlja MUP-a RH, Zagreb, Šarengradska 3, u 2016. godini poslovao je sukladno zakonskim propisima. Sredstva su utrošena za obavljanje djelatnosti za koje je ustanova osnovana: </w:t>
      </w:r>
    </w:p>
    <w:p w:rsidR="00505632" w:rsidRDefault="00505632" w:rsidP="00505632">
      <w:r>
        <w:t xml:space="preserve">- primarna zdravstvena zaštita (obiteljska medicina, dentalna medicina i zdravstvena zaštita žena, medicinsko laboratorijska dijagnostika) </w:t>
      </w:r>
    </w:p>
    <w:p w:rsidR="00505632" w:rsidRDefault="00505632" w:rsidP="00505632">
      <w:r>
        <w:t xml:space="preserve">- specijalističko-konzilijarna zdravstvena zaštita (oftalmološka, psihijatrijska i psihološka, interna, radiološka, ORL, fizijatrijska i neurološka ambulanta) </w:t>
      </w:r>
    </w:p>
    <w:p w:rsidR="00505632" w:rsidRDefault="00505632" w:rsidP="00505632">
      <w:r>
        <w:t xml:space="preserve">- specifična zdravstvena zaštita (medicina rada). </w:t>
      </w:r>
    </w:p>
    <w:p w:rsidR="00505632" w:rsidRDefault="00505632" w:rsidP="00505632">
      <w:r>
        <w:t>Osim toga sredstva su utrošena za tekuće održavanje i investicijsko održavanje građevina i opreme.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38655-Dom zdravlja Ministarstva unutarnjih poslova Republike Hrvatske</w:t>
            </w:r>
          </w:p>
        </w:tc>
        <w:tc>
          <w:tcPr>
            <w:tcW w:w="2041" w:type="dxa"/>
          </w:tcPr>
          <w:p w:rsidR="00505632" w:rsidRDefault="00505632" w:rsidP="00AD4E52">
            <w:pPr>
              <w:pStyle w:val="CellColumn"/>
              <w:jc w:val="right"/>
            </w:pPr>
            <w:r>
              <w:rPr>
                <w:rFonts w:cs="Times New Roman"/>
              </w:rPr>
              <w:t>14.619.341</w:t>
            </w:r>
          </w:p>
        </w:tc>
        <w:tc>
          <w:tcPr>
            <w:tcW w:w="2041" w:type="dxa"/>
          </w:tcPr>
          <w:p w:rsidR="00505632" w:rsidRDefault="00505632" w:rsidP="00AD4E52">
            <w:pPr>
              <w:pStyle w:val="CellColumn"/>
              <w:jc w:val="right"/>
            </w:pPr>
            <w:r>
              <w:rPr>
                <w:rFonts w:cs="Times New Roman"/>
              </w:rPr>
              <w:t>13.810.000</w:t>
            </w:r>
          </w:p>
        </w:tc>
        <w:tc>
          <w:tcPr>
            <w:tcW w:w="2041" w:type="dxa"/>
          </w:tcPr>
          <w:p w:rsidR="00505632" w:rsidRDefault="00505632" w:rsidP="00AD4E52">
            <w:pPr>
              <w:pStyle w:val="CellColumn"/>
              <w:jc w:val="right"/>
            </w:pPr>
            <w:r>
              <w:rPr>
                <w:rFonts w:cs="Times New Roman"/>
              </w:rPr>
              <w:t>14.562.537</w:t>
            </w:r>
          </w:p>
        </w:tc>
        <w:tc>
          <w:tcPr>
            <w:tcW w:w="1224" w:type="dxa"/>
          </w:tcPr>
          <w:p w:rsidR="00505632" w:rsidRDefault="00505632" w:rsidP="00AD4E52">
            <w:pPr>
              <w:pStyle w:val="CellColumn"/>
              <w:jc w:val="right"/>
            </w:pPr>
            <w:r>
              <w:rPr>
                <w:rFonts w:cs="Times New Roman"/>
              </w:rPr>
              <w:t>105,4</w:t>
            </w:r>
          </w:p>
        </w:tc>
        <w:tc>
          <w:tcPr>
            <w:tcW w:w="1224" w:type="dxa"/>
          </w:tcPr>
          <w:p w:rsidR="00505632" w:rsidRDefault="00505632" w:rsidP="00AD4E52">
            <w:pPr>
              <w:pStyle w:val="CellColumn"/>
              <w:jc w:val="right"/>
            </w:pPr>
            <w:r>
              <w:rPr>
                <w:rFonts w:cs="Times New Roman"/>
              </w:rPr>
              <w:t>99,6</w:t>
            </w:r>
          </w:p>
        </w:tc>
      </w:tr>
      <w:tr w:rsidR="00505632" w:rsidTr="00AD4E52">
        <w:trPr>
          <w:jc w:val="center"/>
        </w:trPr>
        <w:tc>
          <w:tcPr>
            <w:tcW w:w="1632" w:type="dxa"/>
          </w:tcPr>
          <w:p w:rsidR="00505632" w:rsidRDefault="00505632" w:rsidP="00AD4E52">
            <w:pPr>
              <w:jc w:val="left"/>
            </w:pPr>
            <w:r>
              <w:t>3605-SIGURNOST GRAĐANA I PRAVA NA ZDRAVSTVENE USLUGE</w:t>
            </w:r>
          </w:p>
        </w:tc>
        <w:tc>
          <w:tcPr>
            <w:tcW w:w="2041" w:type="dxa"/>
          </w:tcPr>
          <w:p w:rsidR="00505632" w:rsidRDefault="00505632" w:rsidP="00AD4E52">
            <w:pPr>
              <w:jc w:val="right"/>
            </w:pPr>
            <w:r>
              <w:t>14.619.341</w:t>
            </w:r>
          </w:p>
        </w:tc>
        <w:tc>
          <w:tcPr>
            <w:tcW w:w="2041" w:type="dxa"/>
          </w:tcPr>
          <w:p w:rsidR="00505632" w:rsidRDefault="00505632" w:rsidP="00AD4E52">
            <w:pPr>
              <w:jc w:val="right"/>
            </w:pPr>
            <w:r>
              <w:t>13.810.000</w:t>
            </w:r>
          </w:p>
        </w:tc>
        <w:tc>
          <w:tcPr>
            <w:tcW w:w="2041" w:type="dxa"/>
          </w:tcPr>
          <w:p w:rsidR="00505632" w:rsidRDefault="00505632" w:rsidP="00AD4E52">
            <w:pPr>
              <w:jc w:val="right"/>
            </w:pPr>
            <w:r>
              <w:t>14.562.537</w:t>
            </w:r>
          </w:p>
        </w:tc>
        <w:tc>
          <w:tcPr>
            <w:tcW w:w="1224" w:type="dxa"/>
          </w:tcPr>
          <w:p w:rsidR="00505632" w:rsidRDefault="00505632" w:rsidP="00AD4E52">
            <w:pPr>
              <w:jc w:val="right"/>
            </w:pPr>
            <w:r>
              <w:t>105,4</w:t>
            </w:r>
          </w:p>
        </w:tc>
        <w:tc>
          <w:tcPr>
            <w:tcW w:w="1224" w:type="dxa"/>
          </w:tcPr>
          <w:p w:rsidR="00505632" w:rsidRDefault="00505632" w:rsidP="00AD4E52">
            <w:pPr>
              <w:jc w:val="right"/>
            </w:pPr>
            <w:r>
              <w:t>99,6</w:t>
            </w:r>
          </w:p>
        </w:tc>
      </w:tr>
    </w:tbl>
    <w:p w:rsidR="00505632" w:rsidRDefault="00505632" w:rsidP="00505632">
      <w:pPr>
        <w:jc w:val="left"/>
      </w:pPr>
    </w:p>
    <w:p w:rsidR="00505632" w:rsidRDefault="00505632" w:rsidP="00505632">
      <w:pPr>
        <w:pStyle w:val="Heading3"/>
      </w:pPr>
      <w:r>
        <w:rPr>
          <w:rFonts w:cs="Times New Roman"/>
        </w:rPr>
        <w:t>41128 Hrvatski zavod za telemedicinu</w:t>
      </w:r>
    </w:p>
    <w:p w:rsidR="00505632" w:rsidRDefault="00505632" w:rsidP="00505632">
      <w:r>
        <w:t xml:space="preserve">Rad Hrvatskog zavoda za telemedicine se temelji na organizaciji telemedicinske djelatnosti, uvođenju telemedicinskih usluga u zdravstveni sustav i organizaciji cjeloživotnog stručnog usavršavanja zdravstvenih radnika, a sve u cilju ostvarenju strateških ciljeva: 1. Opći cilj: Zaštita, očuvanje i unaprjeđenje zdravlja, Posebnog cilja: 1.1. Dostupnija zdravstvena zaštita. Ostvarenje Strateškog cilja pratiti će se kroz tri indikatora: 1. Broj novoosnovanih telemedicinskih centara (specijalističkih i pristupnih), 2. Povećanje broja pruženih telemedicinskih usluga i 3. Broj zdravstvenih radnika koji su učestvovali u programu cjeloživotnog stručnog usavršavanja zdravstvenih radnika. Rad Hrvatskog zavoda za telemedicinu određen je Zakonom o zdravstvenoj zaštiti ("Narodne novine", broj 150/08), Izmjenama i dopunama Zakona o zdravstvenoj zaštiti ("Narodne novine", broj 071/2010), Pravilnikom o uvjetima, organizaciji i načinu obavljanja telemedicine ("Narodne novine”, broj 138/2011), izmjenama i dopunama Pravilnika o uvjetima, organizaciji i načinu obavljanja telemedicine ("Narodne novine”, broj 138/2011, 110/2012), te Mrežom telemedicinskih centara ("Narodne novine”, broj 049/2016). </w:t>
      </w:r>
    </w:p>
    <w:p w:rsidR="00505632" w:rsidRDefault="00505632" w:rsidP="00505632">
      <w:r>
        <w:t xml:space="preserve">Uvođenje telemedicine ima za cilj smanjenje troškova zdravstvene zaštite kroz smanjenje troškova plaćenog transporta do mjesta primanja/pružanja zdravstvene usluge, brži prijenos informacija, odnosno slanja podataka o pacijentu umjesto pacijenta te skraćivanje vremena potrebnog za primanje zdravstvene usluge/intervenciju. Osim prednosti u direktnom liječenju pacijenata, omogućava bolju suradnju između zdravstvenih radnika, pristup edukacijskim materijalima i organizaciji stručnih usavršavanja. Što rezultira educiranijim zdravstvenim radnicima, efikasnijom zdravstvenom uslugom (povećanjem iskustva i sigurnosti u radu) odnosno većom kvalitetom cjelokupnog sustava zdravstvene zaštite. </w:t>
      </w:r>
    </w:p>
    <w:p w:rsidR="00505632" w:rsidRDefault="00505632" w:rsidP="00505632">
      <w:r>
        <w:t xml:space="preserve">U novije vrijeme problem nedostatka liječnika specijalista za rad u područjima uključenim u osnovnu mrežu telemedicinskih centara došao je do izražaja te uzrokuje kašnjenje u pružanju zdravstvene zaštite, smanjenje kvalitete zdravstvenih usluga te predstavlja nepremostiv problem u manjim bolnicama za obavljanje njihove osnovne djelatnosti. Taj nedostatak se većinom odnosi na liječnike specijaliste iz područja radiološke i laboratorijske dijagnostike. Jedan od najvažnijih ciljeva jest osigurati telemedicinske zdravstvene usluge iz radiološke i laboratorijske dijagnostike u okviru osnovne mreže telemedicinskih centara kroz organizaciju i uspostavu Telemedicinski centara kako bi se osigurala osnovna djelatnost zdravstvenih ustanova na primarnoj i sekundarnoj razini zdravstvene zaštite. Na taj način telemedicinske usluge osim osiguranja osnovne djelatnosti zdravstvenih ustanova predstavljaju i snažnu potporu kategorizaciji bolnica kao osnove za neophodnu reformu zdravstvenog sustava. </w:t>
      </w:r>
    </w:p>
    <w:p w:rsidR="00505632" w:rsidRDefault="00505632" w:rsidP="00505632">
      <w:r>
        <w:t xml:space="preserve">Hrvatski zavod za telemedicinu provodi “Program elektronsko usavršavanje” (e-Usavršavanje) zdravstvenih radnika na udaljenim lokacijama, u suradnji s Ministarstvom zdravstva, Hrvatskim zavodom za javno zdravstvo i ostalim nadležnim institucijama u zdravstvu Republici Hrvatskoj. Program eUsavršavanja se provodi kao program kontinuiranog cjeloživotnog stručnog usavršavanja zdravstvenih radnika. Programu e-Usavršavanja do sada je prisustvovao veliki broj zdravstvenih radnika, na čiji je prijedlog pripremljen plan predavanja za svaku godinu. Stručna usavršavanja su koordinirana i bodovana od Hrvatske liječničke komore, Hrvatske komore medicinskih sestara, Hrvatske komore medicinskih biokemičara i Hrvatske komore primalja. Kotizacija za predavanja u programu e-Usavršavanja se ne naplaćuje. </w:t>
      </w:r>
    </w:p>
    <w:p w:rsidR="00505632" w:rsidRDefault="00505632" w:rsidP="00505632">
      <w:r>
        <w:t>Cilj Hrvatskog zavoda za telemedicinu je uspostaviti program trajnog stručnog usavršavanja zdravstvenih radnika na otočnim, ruralnim i teško dostupnim područjima te im olakšati pristup stručnim sadržajima s obzirom na njihove otežane uvjete rada. Provođenjem ovog programa povećava se sigurnost zdravstvenih radnika, otklanjaju nedoumice, smanjuje nesigurnost u radu, povećava spremnost i približavaju im se najnovije metode u pružanju zdravstvene zaštite, s velikim naglaskom na hitnu medicinu. Ostvarivanjem navedenih ciljeva te kroz povećanje efikasnosti i dostupnosti zdravstvene zaštite povećava se kvaliteta života pacijenata.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41128-Hrvatski zavod za telemedicinu</w:t>
            </w:r>
          </w:p>
        </w:tc>
        <w:tc>
          <w:tcPr>
            <w:tcW w:w="2041" w:type="dxa"/>
          </w:tcPr>
          <w:p w:rsidR="00505632" w:rsidRDefault="00505632" w:rsidP="00AD4E52">
            <w:pPr>
              <w:pStyle w:val="CellColumn"/>
              <w:jc w:val="right"/>
            </w:pPr>
            <w:r>
              <w:rPr>
                <w:rFonts w:cs="Times New Roman"/>
              </w:rPr>
              <w:t>5.556.525</w:t>
            </w:r>
          </w:p>
        </w:tc>
        <w:tc>
          <w:tcPr>
            <w:tcW w:w="2041" w:type="dxa"/>
          </w:tcPr>
          <w:p w:rsidR="00505632" w:rsidRDefault="00505632" w:rsidP="00AD4E52">
            <w:pPr>
              <w:pStyle w:val="CellColumn"/>
              <w:jc w:val="right"/>
            </w:pPr>
            <w:r>
              <w:rPr>
                <w:rFonts w:cs="Times New Roman"/>
              </w:rPr>
              <w:t>5.225.740</w:t>
            </w:r>
          </w:p>
        </w:tc>
        <w:tc>
          <w:tcPr>
            <w:tcW w:w="2041" w:type="dxa"/>
          </w:tcPr>
          <w:p w:rsidR="00505632" w:rsidRDefault="00505632" w:rsidP="00AD4E52">
            <w:pPr>
              <w:pStyle w:val="CellColumn"/>
              <w:jc w:val="right"/>
            </w:pPr>
            <w:r>
              <w:rPr>
                <w:rFonts w:cs="Times New Roman"/>
              </w:rPr>
              <w:t>4.801.612</w:t>
            </w:r>
          </w:p>
        </w:tc>
        <w:tc>
          <w:tcPr>
            <w:tcW w:w="1224" w:type="dxa"/>
          </w:tcPr>
          <w:p w:rsidR="00505632" w:rsidRDefault="00505632" w:rsidP="00AD4E52">
            <w:pPr>
              <w:pStyle w:val="CellColumn"/>
              <w:jc w:val="right"/>
            </w:pPr>
            <w:r>
              <w:rPr>
                <w:rFonts w:cs="Times New Roman"/>
              </w:rPr>
              <w:t>91,9</w:t>
            </w:r>
          </w:p>
        </w:tc>
        <w:tc>
          <w:tcPr>
            <w:tcW w:w="1224" w:type="dxa"/>
          </w:tcPr>
          <w:p w:rsidR="00505632" w:rsidRDefault="00505632" w:rsidP="00AD4E52">
            <w:pPr>
              <w:pStyle w:val="CellColumn"/>
              <w:jc w:val="right"/>
            </w:pPr>
            <w:r>
              <w:rPr>
                <w:rFonts w:cs="Times New Roman"/>
              </w:rPr>
              <w:t>86,4</w:t>
            </w:r>
          </w:p>
        </w:tc>
      </w:tr>
      <w:tr w:rsidR="00505632" w:rsidTr="00AD4E52">
        <w:trPr>
          <w:jc w:val="center"/>
        </w:trPr>
        <w:tc>
          <w:tcPr>
            <w:tcW w:w="1632" w:type="dxa"/>
          </w:tcPr>
          <w:p w:rsidR="00505632" w:rsidRDefault="00505632" w:rsidP="00AD4E52">
            <w:pPr>
              <w:jc w:val="left"/>
            </w:pPr>
            <w:r>
              <w:t>3601-ZAŠTITA, OČUVANJE I UNAPREĐENJE ZDRAVLJA</w:t>
            </w:r>
          </w:p>
        </w:tc>
        <w:tc>
          <w:tcPr>
            <w:tcW w:w="2041" w:type="dxa"/>
          </w:tcPr>
          <w:p w:rsidR="00505632" w:rsidRDefault="00505632" w:rsidP="00AD4E52">
            <w:pPr>
              <w:jc w:val="right"/>
            </w:pPr>
            <w:r>
              <w:t>5.556.525</w:t>
            </w:r>
          </w:p>
        </w:tc>
        <w:tc>
          <w:tcPr>
            <w:tcW w:w="2041" w:type="dxa"/>
          </w:tcPr>
          <w:p w:rsidR="00505632" w:rsidRDefault="00505632" w:rsidP="00AD4E52">
            <w:pPr>
              <w:jc w:val="right"/>
            </w:pPr>
            <w:r>
              <w:t>5.225.740</w:t>
            </w:r>
          </w:p>
        </w:tc>
        <w:tc>
          <w:tcPr>
            <w:tcW w:w="2041" w:type="dxa"/>
          </w:tcPr>
          <w:p w:rsidR="00505632" w:rsidRDefault="00505632" w:rsidP="00AD4E52">
            <w:pPr>
              <w:jc w:val="right"/>
            </w:pPr>
            <w:r>
              <w:t>4.801.612</w:t>
            </w:r>
          </w:p>
        </w:tc>
        <w:tc>
          <w:tcPr>
            <w:tcW w:w="1224" w:type="dxa"/>
          </w:tcPr>
          <w:p w:rsidR="00505632" w:rsidRDefault="00505632" w:rsidP="00AD4E52">
            <w:pPr>
              <w:jc w:val="right"/>
            </w:pPr>
            <w:r>
              <w:t>91,9</w:t>
            </w:r>
          </w:p>
        </w:tc>
        <w:tc>
          <w:tcPr>
            <w:tcW w:w="1224" w:type="dxa"/>
          </w:tcPr>
          <w:p w:rsidR="00505632" w:rsidRDefault="00505632" w:rsidP="00AD4E52">
            <w:pPr>
              <w:jc w:val="right"/>
            </w:pPr>
            <w:r>
              <w:t>86,4</w:t>
            </w:r>
          </w:p>
        </w:tc>
      </w:tr>
    </w:tbl>
    <w:p w:rsidR="00505632" w:rsidRDefault="00505632" w:rsidP="00505632">
      <w:pPr>
        <w:jc w:val="left"/>
      </w:pPr>
    </w:p>
    <w:p w:rsidR="00505632" w:rsidRDefault="00505632" w:rsidP="00505632">
      <w:pPr>
        <w:pStyle w:val="Heading3"/>
      </w:pPr>
      <w:r>
        <w:rPr>
          <w:rFonts w:cs="Times New Roman"/>
        </w:rPr>
        <w:t>43191 Agencija za kvalitetu i akreditaciju u zdravstvu i socijalnoj skrbi</w:t>
      </w:r>
    </w:p>
    <w:p w:rsidR="00505632" w:rsidRDefault="00505632" w:rsidP="00505632">
      <w:r>
        <w:t xml:space="preserve">Agencija za kvalitetu i akreditaciju u zdravstvu osnovana je temeljem Zakona o kvaliteti zdravstvene zaštite („Narodne novine“ broj  107/2007) te je započela s aktivnim radom u svibnju 2009. godine. Stupanjem na snagu Zakona o kvaliteti zdravstvene zaštite i socijalne skrbi („Narodne novine“ broj 124/11) (u daljnjem tekstu: Zakon) Agencija za kvalitetu i akreditaciju u zdravstvu prestaje s radom te se osniva Agencija za kvalitetu i akreditaciju u zdravstvu i socijalnoj skrbi, uz proširenje ovlasti i djelokruga rada (u daljnjem tekstu: Agencija).  </w:t>
      </w:r>
    </w:p>
    <w:p w:rsidR="00505632" w:rsidRDefault="00505632" w:rsidP="00505632">
      <w:r>
        <w:t xml:space="preserve">Agencija jest pravna osoba čija je nadležnost na području osiguranja i unapređenja kvalitete zdravstvene zaštite, akreditacije u zdravstvu i procesa procjene zdravstvenih tehnologija te na području osiguranja i unapređenja kvalitete socijalnih usluga i akreditacije nositelja djelatnosti socijalne skrbi utvrđena Zakonom.  </w:t>
      </w:r>
    </w:p>
    <w:p w:rsidR="00505632" w:rsidRDefault="00505632" w:rsidP="00505632">
      <w:r>
        <w:t xml:space="preserve">Navedenim Zakonom određena su načela i sustav mjera za ostvarivanje i unapređenje sveobuhvatne kvalitete zdravstvene zaštite u Republici Hrvatskoj te je propisan postupak akreditacije zdravstvenih ustanova, trgovačkih društava koja obavljaju zdravstvenu djelatnost te privatnih zdravstvenih radnika kao i procjena zdravstvenih tehnologija, a sve radi osiguranja i smanjivanja rizika po život i zdravlje pacijenata. Ovim se Zakonom određuju i načela te sustav mjera za ostvarivanje i unapređenje kvalitete socijalne skrbi te postupak akreditacije domova socijalne skrbi i drugih pravnih i fizičkih osoba koje obavljaju djelatnost socijalne skrbi.  </w:t>
      </w:r>
    </w:p>
    <w:p w:rsidR="00505632" w:rsidRDefault="00505632" w:rsidP="00505632">
      <w:r>
        <w:t xml:space="preserve">Zakon o socijalnoj skrbi („Narodne novine“ broj 33/12, 46/13 i 49/13), koji je stupio na snagu 24. ožujka 2012. godine, te novi Zakon o socijalnoj skrbi („Narodne novine“ broj 157/13, 152/14, 99/15) koji je stupio na snagu 01. siječnja 2014. godine propisuju da standarde kvalitete socijalnih usluga i postupak dodjele ocjene usklađenosti sa standardima socijalnih usluga provodi Ministarstvo za demografiju, obitelj i socijalnu politiku. Kako istodobno važeći Zakon o kvaliteti zdravstvene zaštite i socijalne skrbi koji je stupio na snagu 12. prosinca 2011. godine propisuje nadležnost Agencije za obavljanje poslova kvalitete usluga i akreditaciju ustanova socijalne skrbi, potrebno je provesti odgovarajuće usklađivanje ovoga Zakona s važećim ustrojstvom i djelokrugom nadležnih ministarstava u području socijalne skrbi.  </w:t>
      </w:r>
    </w:p>
    <w:p w:rsidR="00505632" w:rsidRDefault="00505632" w:rsidP="00505632">
      <w:r>
        <w:t xml:space="preserve">Stoga u djelokrugu Agencije više nisu utvrđivanje standarda kvalitete socijalnih usluga s obzirom da navedene poslove obavlja Ministarstvo za demografiju, obitelj i socijalnu politiku.  </w:t>
      </w:r>
    </w:p>
    <w:p w:rsidR="00505632" w:rsidRDefault="00505632" w:rsidP="00505632">
      <w:r>
        <w:t xml:space="preserve">Opis provedbe aktivnosti </w:t>
      </w:r>
    </w:p>
    <w:p w:rsidR="00505632" w:rsidRDefault="00505632" w:rsidP="00505632">
      <w:r>
        <w:t xml:space="preserve">Sukladno hrvatskom zakonodavnom okviru, Nacionalnoj strategiji razvoja zdravstva 2012.-2020., Strateškom planu Ministarstva zdravstva 2016.-2018., EU direktivi 2011/24/EU i strateškom dokumentu EU na području procjene zdravstvenih tehnologija, kao i objavljenim dokumentima važnim za djelatnosti Agencije, nastavljeno je provođenje osnovnih aktivnosti vezanih za  unapređenje kvalitete zdravstvene zaštite, sigurnost pacijenta, edukaciju svih dionika u zdravstvu, akreditaciju nositelja zdravstvene djelatnosti te procjene zdravstvenih tehnologija. Agencija je nastavila aktivnu nacionalnu i međunarodnu suradnju putem projektnih aktivnosti, te članstvom u nacionalnim i međunarodnim organizacijama. </w:t>
      </w:r>
    </w:p>
    <w:p w:rsidR="00505632" w:rsidRDefault="00505632" w:rsidP="00505632">
      <w:r>
        <w:t xml:space="preserve">Agencija je nastavila s povećanjem aktivnosti u svrhu ostvarenja rezultata pokazatelja  Povećanje broja educiranih u zdravstvu o kvaliteti i sigurnosti8 u zdravstvu; povećanjem praćenih  pokazatelja kvalitete i sigurnosti: ostvarenja rezultata pokazatelja DLI15 i DLI110(projekt WB); razvoja sustava izvješćivanja na nacionalnoj i EU razini; trajnom edukacijom svih sudionika u zdravstvu o kvaliteti i indikatorima kvalitete zdravstvene zaštite  kao i sudjelovanjem u međunarodnim projektim i aktivnostima, uključujući PASQJA (European Unio Network for Patient Safetc and Auality of Care) te projekta Svjetske banke“Improving quality and efficiency of health service“ PROGRAMFOR-RESULTS (April,2014.) </w:t>
      </w:r>
    </w:p>
    <w:p w:rsidR="00505632" w:rsidRDefault="00505632" w:rsidP="00505632">
      <w:r>
        <w:t xml:space="preserve">Agencija je u suradnji sa Ministarstvom zdravstva intenzivno pripremala podzakonske akte potrebne za provođenje akreditacijskog postupka (prijedlog Pravilnika o akreditacijskom  </w:t>
      </w:r>
    </w:p>
    <w:p w:rsidR="00505632" w:rsidRDefault="00505632" w:rsidP="00505632">
      <w:r>
        <w:t xml:space="preserve">postupku i akreditaciji nositelja zdravstvene zaštite, te prijedlog Pravilnika o akreditacijskim  </w:t>
      </w:r>
    </w:p>
    <w:p w:rsidR="00505632" w:rsidRDefault="00505632" w:rsidP="00505632">
      <w:r>
        <w:t xml:space="preserve">standardima za bolničke zdravstvene ustanove). Također je provođen niz aktivnosti vezano uz  </w:t>
      </w:r>
    </w:p>
    <w:p w:rsidR="00505632" w:rsidRDefault="00505632" w:rsidP="00505632">
      <w:r>
        <w:t xml:space="preserve">pripremu prijedloga projekta „Akreditacija bolnica“ koji bi se trebao financirati iz fondova EU  </w:t>
      </w:r>
    </w:p>
    <w:p w:rsidR="00505632" w:rsidRDefault="00505632" w:rsidP="00505632">
      <w:r>
        <w:t xml:space="preserve">(Operativni program „Učinkoviti ljudski potencijali“). Agencija je nastavila provoditi aktivnosti izrade, dorade i dopune materijala i prijedloga materijala neophodnih za provođenje akreditacijskog postupka, te je kontinuirano radila na komuniciranju poznavanja pojmova i uloge akreditacije u zdravstvu putem prisustvovanja stručnim kongresima, predavanjima i sastancima. </w:t>
      </w:r>
    </w:p>
    <w:p w:rsidR="00505632" w:rsidRDefault="00505632" w:rsidP="00505632">
      <w:r>
        <w:t>Na području procjene zdravstvenih tehnologija, Agencija je nastavila s povećanjem broja procjena  zdravstvenih tehnologija na nacionalnoj i EU razini; sudjelovanjem u europskoj HTA Network kao i europskim projektima European-study on Qualifying Utility of Investment in Protection from Tobacco-EQUIPT (2013-2016), Sustainable intEgrated care modeLs for multi-Morbidity: delivery, FInancing and pervormance-SELFIE (2015-2019) i EUnetHTA Joint Action 3-EUnetHTA JA3 (2016-2020); edukaciji dionika i pripremi podzakonskog akta o procjeni zdravstvenih tehnologija.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43191-Agencija za kvalitetu i akreditaciju u zdravstvu i socijalnoj skrbi</w:t>
            </w:r>
          </w:p>
        </w:tc>
        <w:tc>
          <w:tcPr>
            <w:tcW w:w="2041" w:type="dxa"/>
          </w:tcPr>
          <w:p w:rsidR="00505632" w:rsidRDefault="00505632" w:rsidP="00AD4E52">
            <w:pPr>
              <w:pStyle w:val="CellColumn"/>
              <w:jc w:val="right"/>
            </w:pPr>
            <w:r>
              <w:rPr>
                <w:rFonts w:cs="Times New Roman"/>
              </w:rPr>
              <w:t>4.483.759</w:t>
            </w:r>
          </w:p>
        </w:tc>
        <w:tc>
          <w:tcPr>
            <w:tcW w:w="2041" w:type="dxa"/>
          </w:tcPr>
          <w:p w:rsidR="00505632" w:rsidRDefault="00505632" w:rsidP="00AD4E52">
            <w:pPr>
              <w:pStyle w:val="CellColumn"/>
              <w:jc w:val="right"/>
            </w:pPr>
            <w:r>
              <w:rPr>
                <w:rFonts w:cs="Times New Roman"/>
              </w:rPr>
              <w:t>4.453.100</w:t>
            </w:r>
          </w:p>
        </w:tc>
        <w:tc>
          <w:tcPr>
            <w:tcW w:w="2041" w:type="dxa"/>
          </w:tcPr>
          <w:p w:rsidR="00505632" w:rsidRDefault="00505632" w:rsidP="00AD4E52">
            <w:pPr>
              <w:pStyle w:val="CellColumn"/>
              <w:jc w:val="right"/>
            </w:pPr>
            <w:r>
              <w:rPr>
                <w:rFonts w:cs="Times New Roman"/>
              </w:rPr>
              <w:t>4.176.268</w:t>
            </w:r>
          </w:p>
        </w:tc>
        <w:tc>
          <w:tcPr>
            <w:tcW w:w="1224" w:type="dxa"/>
          </w:tcPr>
          <w:p w:rsidR="00505632" w:rsidRDefault="00505632" w:rsidP="00AD4E52">
            <w:pPr>
              <w:pStyle w:val="CellColumn"/>
              <w:jc w:val="right"/>
            </w:pPr>
            <w:r>
              <w:rPr>
                <w:rFonts w:cs="Times New Roman"/>
              </w:rPr>
              <w:t>93,8</w:t>
            </w:r>
          </w:p>
        </w:tc>
        <w:tc>
          <w:tcPr>
            <w:tcW w:w="1224" w:type="dxa"/>
          </w:tcPr>
          <w:p w:rsidR="00505632" w:rsidRDefault="00505632" w:rsidP="00AD4E52">
            <w:pPr>
              <w:pStyle w:val="CellColumn"/>
              <w:jc w:val="right"/>
            </w:pPr>
            <w:r>
              <w:rPr>
                <w:rFonts w:cs="Times New Roman"/>
              </w:rPr>
              <w:t>93,1</w:t>
            </w:r>
          </w:p>
        </w:tc>
      </w:tr>
      <w:tr w:rsidR="00505632" w:rsidTr="00AD4E52">
        <w:trPr>
          <w:jc w:val="center"/>
        </w:trPr>
        <w:tc>
          <w:tcPr>
            <w:tcW w:w="1632" w:type="dxa"/>
          </w:tcPr>
          <w:p w:rsidR="00505632" w:rsidRDefault="00505632" w:rsidP="00AD4E52">
            <w:pPr>
              <w:jc w:val="left"/>
            </w:pPr>
            <w:r>
              <w:t>3601-ZAŠTITA, OČUVANJE I UNAPREĐENJE ZDRAVLJA</w:t>
            </w:r>
          </w:p>
        </w:tc>
        <w:tc>
          <w:tcPr>
            <w:tcW w:w="2041" w:type="dxa"/>
          </w:tcPr>
          <w:p w:rsidR="00505632" w:rsidRDefault="00505632" w:rsidP="00AD4E52">
            <w:pPr>
              <w:jc w:val="right"/>
            </w:pPr>
            <w:r>
              <w:t>4.483.759</w:t>
            </w:r>
          </w:p>
        </w:tc>
        <w:tc>
          <w:tcPr>
            <w:tcW w:w="2041" w:type="dxa"/>
          </w:tcPr>
          <w:p w:rsidR="00505632" w:rsidRDefault="00505632" w:rsidP="00AD4E52">
            <w:pPr>
              <w:jc w:val="right"/>
            </w:pPr>
            <w:r>
              <w:t>4.453.100</w:t>
            </w:r>
          </w:p>
        </w:tc>
        <w:tc>
          <w:tcPr>
            <w:tcW w:w="2041" w:type="dxa"/>
          </w:tcPr>
          <w:p w:rsidR="00505632" w:rsidRDefault="00505632" w:rsidP="00AD4E52">
            <w:pPr>
              <w:jc w:val="right"/>
            </w:pPr>
            <w:r>
              <w:t>4.176.268</w:t>
            </w:r>
          </w:p>
        </w:tc>
        <w:tc>
          <w:tcPr>
            <w:tcW w:w="1224" w:type="dxa"/>
          </w:tcPr>
          <w:p w:rsidR="00505632" w:rsidRDefault="00505632" w:rsidP="00AD4E52">
            <w:pPr>
              <w:jc w:val="right"/>
            </w:pPr>
            <w:r>
              <w:t>93,8</w:t>
            </w:r>
          </w:p>
        </w:tc>
        <w:tc>
          <w:tcPr>
            <w:tcW w:w="1224" w:type="dxa"/>
          </w:tcPr>
          <w:p w:rsidR="00505632" w:rsidRDefault="00505632" w:rsidP="00AD4E52">
            <w:pPr>
              <w:jc w:val="right"/>
            </w:pPr>
            <w:r>
              <w:t>93,1</w:t>
            </w:r>
          </w:p>
        </w:tc>
      </w:tr>
    </w:tbl>
    <w:p w:rsidR="00505632" w:rsidRDefault="00505632" w:rsidP="00505632">
      <w:pPr>
        <w:jc w:val="left"/>
      </w:pPr>
    </w:p>
    <w:p w:rsidR="00505632" w:rsidRDefault="00505632" w:rsidP="00505632">
      <w:pPr>
        <w:pStyle w:val="Heading3"/>
      </w:pPr>
      <w:r>
        <w:rPr>
          <w:rFonts w:cs="Times New Roman"/>
        </w:rPr>
        <w:t>3601 ZAŠTITA, OČUVANJE I UNAPREĐENJE ZDRAVLJA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3601-ZAŠTITA, OČUVANJE I UNAPREĐENJE ZDRAVLJA</w:t>
            </w:r>
          </w:p>
        </w:tc>
        <w:tc>
          <w:tcPr>
            <w:tcW w:w="2041" w:type="dxa"/>
          </w:tcPr>
          <w:p w:rsidR="00505632" w:rsidRDefault="00505632" w:rsidP="00AD4E52">
            <w:pPr>
              <w:pStyle w:val="CellColumn"/>
              <w:jc w:val="right"/>
            </w:pPr>
            <w:r>
              <w:rPr>
                <w:rFonts w:cs="Times New Roman"/>
              </w:rPr>
              <w:t>4.483.759</w:t>
            </w:r>
          </w:p>
        </w:tc>
        <w:tc>
          <w:tcPr>
            <w:tcW w:w="2041" w:type="dxa"/>
          </w:tcPr>
          <w:p w:rsidR="00505632" w:rsidRDefault="00505632" w:rsidP="00AD4E52">
            <w:pPr>
              <w:pStyle w:val="CellColumn"/>
              <w:jc w:val="right"/>
            </w:pPr>
            <w:r>
              <w:rPr>
                <w:rFonts w:cs="Times New Roman"/>
              </w:rPr>
              <w:t>4.453.100</w:t>
            </w:r>
          </w:p>
        </w:tc>
        <w:tc>
          <w:tcPr>
            <w:tcW w:w="2041" w:type="dxa"/>
          </w:tcPr>
          <w:p w:rsidR="00505632" w:rsidRDefault="00505632" w:rsidP="00AD4E52">
            <w:pPr>
              <w:pStyle w:val="CellColumn"/>
              <w:jc w:val="right"/>
            </w:pPr>
            <w:r>
              <w:rPr>
                <w:rFonts w:cs="Times New Roman"/>
              </w:rPr>
              <w:t>4.176.268</w:t>
            </w:r>
          </w:p>
        </w:tc>
        <w:tc>
          <w:tcPr>
            <w:tcW w:w="1224" w:type="dxa"/>
          </w:tcPr>
          <w:p w:rsidR="00505632" w:rsidRDefault="00505632" w:rsidP="00AD4E52">
            <w:pPr>
              <w:pStyle w:val="CellColumn"/>
              <w:jc w:val="right"/>
            </w:pPr>
            <w:r>
              <w:rPr>
                <w:rFonts w:cs="Times New Roman"/>
              </w:rPr>
              <w:t>93,8</w:t>
            </w:r>
          </w:p>
        </w:tc>
        <w:tc>
          <w:tcPr>
            <w:tcW w:w="1224" w:type="dxa"/>
          </w:tcPr>
          <w:p w:rsidR="00505632" w:rsidRDefault="00505632" w:rsidP="00AD4E52">
            <w:pPr>
              <w:pStyle w:val="CellColumn"/>
              <w:jc w:val="right"/>
            </w:pPr>
            <w:r>
              <w:rPr>
                <w:rFonts w:cs="Times New Roman"/>
              </w:rPr>
              <w:t>93,1</w:t>
            </w:r>
          </w:p>
        </w:tc>
      </w:tr>
    </w:tbl>
    <w:p w:rsidR="00505632" w:rsidRDefault="00505632" w:rsidP="00505632">
      <w:pPr>
        <w:jc w:val="left"/>
      </w:pPr>
    </w:p>
    <w:p w:rsidR="00505632" w:rsidRDefault="00505632" w:rsidP="00505632">
      <w:r>
        <w:t xml:space="preserve">Sukladno hrvatskom zakonodavnom okviru, Nacionalnoj strategiji razvoja zdravstva 2012.-2020., Strateškom planu Ministarstva zdravstva 2016.-2018., EU direktivi 2011/24/EU i strateškom dokumentu EU na području procjene zdravstvenih tehnologija, kao i objavljenim dokumentima važnim za djelatnosti Agencije, nastavljeno je provođenje osnovnih aktivnosti vezanih za  unapređenje kvalitete zdravstvene zaštite, sigurnost pacijenta, edukaciju svih dionika u zdravstvu, akreditaciju nositelja zdravstvene djelatnosti te procjene zdravstvenih tehnologija. Agencija je nastavila aktivnu nacionalnu i međunarodnu suradnju putem projektnih aktivnosti, te članstvom u nacionalnim i međunarodnim organizacijama. </w:t>
      </w:r>
    </w:p>
    <w:p w:rsidR="00505632" w:rsidRDefault="00505632" w:rsidP="00505632">
      <w:r>
        <w:t xml:space="preserve">Agencija je nastavila s povećanjem aktivnosti u svrhu ostvarenja rezultata pokazatelja  Povećanje broja educiranih u zdravstvu o kvaliteti i sigurnosti8 u zdravstvu; povećanjem praćenih  pokazatelja kvalitete i sigurnosti: ostvarenja rezultata pokazatelja DLI15 i DLI110(projekt WB); razvoja sustava izvješćivanja na nacionalnoj i EU razini;trajnom edukacijom svih sudionika u zdravstvu o kvaliteti i indikatorima kvalitete zdravstvene zaštite  kao i sudjelovanjem u međunarodnim projektim i aktivnostima, uključujući PASQJA (European Unio Network for Patient Safetc and Auality of Care) te projekta Svjetske banke“Improving quality and efficiency of health service“ PROGRAMFOR-RESULTS (April,2014.) </w:t>
      </w:r>
    </w:p>
    <w:p w:rsidR="00505632" w:rsidRDefault="00505632" w:rsidP="00505632">
      <w:r>
        <w:t xml:space="preserve">Agencija je u suradnji sa Ministarstvom zdravstva intenzivno pripremala podzakonske akte potrebne za provođenje akreditacijskog postupka (prijedlog Pravilnika o akreditacijskom postupku i akreditaciji nositelja zdravstvene zaštite, te prijedlog Pravilnika o akreditacijskim standardima za bolničke zdravstvene ustanove). Također je provođen niz aktivnosti vezano uz pripremu prijedloga projekta „Akreditacija bolnica“ koji bi se trebao financirati iz fondova EU (Operativni program „Učinkoviti ljudski potencijali“). Agencija je nastavila provoditi aktivnosti izrade, dorade i dopune materijala i prijedloga materijala neophodnih za provođenje akreditacijskog postupka, te je kontinuirano radila na komuniciranju poznavanja pojmova i uloge akreditacije u zdravstvu putem prisustvovanja stručnim kongresima, predavanjima i sastancima. </w:t>
      </w:r>
    </w:p>
    <w:p w:rsidR="00505632" w:rsidRDefault="00505632" w:rsidP="00505632">
      <w:r>
        <w:t>Na području procjene zdravstvenih tehnologija, Agencija je nastavila s povećanjem broja procjena  zdravstvenih tehnologija na nacionalnoj i EU razini; sudjelovanjem u europskoj HTA Network kao i europskim projektima European-study on Qualifying Utility of Investment in Protection from Tobacco-EQUIPT (2013-2016), Sustainable intEgrated care modeLs for multi-Morbidity: delivery, FInancing and pervormance-SELFIE (2015-2019) i EUnetHTA Joint Action 3-EUnetHTA JA3 (2016-2020); edukaciji dionika i pripremi podzakonskog akta o procjeni zdravstvenih tehnologija.</w:t>
      </w:r>
    </w:p>
    <w:p w:rsidR="00505632" w:rsidRDefault="00505632" w:rsidP="00505632">
      <w:pPr>
        <w:pStyle w:val="Heading4"/>
      </w:pPr>
      <w:r>
        <w:t>A880001 AGENCIJA ZA KVALITETU I AKREDITACIJU U ZDRAVSTVU I SOCIJALNOJ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A880001-AGENCIJA ZA KVALITETU I AKREDITACIJU U ZDRAVSTVU I SOCIJALNOJ SKRBI</w:t>
            </w:r>
          </w:p>
        </w:tc>
        <w:tc>
          <w:tcPr>
            <w:tcW w:w="2041" w:type="dxa"/>
          </w:tcPr>
          <w:p w:rsidR="00505632" w:rsidRDefault="00505632" w:rsidP="00AD4E52">
            <w:pPr>
              <w:pStyle w:val="CellColumn"/>
              <w:jc w:val="right"/>
            </w:pPr>
            <w:r>
              <w:rPr>
                <w:rFonts w:cs="Times New Roman"/>
              </w:rPr>
              <w:t>4.483.759</w:t>
            </w:r>
          </w:p>
        </w:tc>
        <w:tc>
          <w:tcPr>
            <w:tcW w:w="2041" w:type="dxa"/>
          </w:tcPr>
          <w:p w:rsidR="00505632" w:rsidRDefault="00505632" w:rsidP="00AD4E52">
            <w:pPr>
              <w:pStyle w:val="CellColumn"/>
              <w:jc w:val="right"/>
            </w:pPr>
            <w:r>
              <w:rPr>
                <w:rFonts w:cs="Times New Roman"/>
              </w:rPr>
              <w:t>4.453.100</w:t>
            </w:r>
          </w:p>
        </w:tc>
        <w:tc>
          <w:tcPr>
            <w:tcW w:w="2041" w:type="dxa"/>
          </w:tcPr>
          <w:p w:rsidR="00505632" w:rsidRDefault="00505632" w:rsidP="00AD4E52">
            <w:pPr>
              <w:pStyle w:val="CellColumn"/>
              <w:jc w:val="right"/>
            </w:pPr>
            <w:r>
              <w:rPr>
                <w:rFonts w:cs="Times New Roman"/>
              </w:rPr>
              <w:t>4.176.268</w:t>
            </w:r>
          </w:p>
        </w:tc>
        <w:tc>
          <w:tcPr>
            <w:tcW w:w="1224" w:type="dxa"/>
          </w:tcPr>
          <w:p w:rsidR="00505632" w:rsidRDefault="00505632" w:rsidP="00AD4E52">
            <w:pPr>
              <w:pStyle w:val="CellColumn"/>
              <w:jc w:val="right"/>
            </w:pPr>
            <w:r>
              <w:rPr>
                <w:rFonts w:cs="Times New Roman"/>
              </w:rPr>
              <w:t>93,8</w:t>
            </w:r>
          </w:p>
        </w:tc>
        <w:tc>
          <w:tcPr>
            <w:tcW w:w="1224" w:type="dxa"/>
          </w:tcPr>
          <w:p w:rsidR="00505632" w:rsidRDefault="00505632" w:rsidP="00AD4E52">
            <w:pPr>
              <w:pStyle w:val="CellColumn"/>
              <w:jc w:val="right"/>
            </w:pPr>
            <w:r>
              <w:rPr>
                <w:rFonts w:cs="Times New Roman"/>
              </w:rPr>
              <w:t>93,1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Agencija za kvalitetu i akreditaciju u zdravstvu osnovana je temeljem Zakona o kvaliteti zdravstvene zaštite („Narodne novine“ broj  107/2007) te je započela s aktivnim radom u svibnju 2009. godine. Stupanjem na snagu Zakona o kvaliteti zdravstvene zaštite i socijalne skrbi („Narodne novine“ broj 124/11) (u daljnjem tekstu: Zakon) Agencija za kvalitetu i akreditaciju u zdravstvu prestaje s radom te se osniva Agencija za kvalitetu i akreditaciju u zdravstvu i socijalnoj skrbi, uz proširenje ovlasti i djelokruga rada (u daljnjem tekstu: Agencija).  </w:t>
      </w:r>
    </w:p>
    <w:p w:rsidR="00505632" w:rsidRDefault="00505632" w:rsidP="00505632">
      <w:r>
        <w:t xml:space="preserve">Agencija jest pravna osoba čija je nadležnost na području osiguranja i unapređenja kvalitete zdravstvene zaštite, akreditacije u zdravstvu i procesa procjene zdravstvenih tehnologija te na području osiguranja i unapređenja kvalitete socijalnih usluga i akreditacije nositelja djelatnosti socijalne skrbi utvrđena Zakonom.  </w:t>
      </w:r>
    </w:p>
    <w:p w:rsidR="00505632" w:rsidRDefault="00505632" w:rsidP="00505632">
      <w:r>
        <w:t xml:space="preserve">Navedenim Zakonom određena su načela i sustav mjera za ostvarivanje i unapređenje sveobuhvatne kvalitete zdravstvene zaštite u Republici Hrvatskoj te je propisan postupak akreditacije zdravstvenih ustanova, trgovačkih društava koja obavljaju zdravstvenu djelatnost te privatnih zdravstvenih radnika kao i procjena zdravstvenih tehnologija, a sve radi osiguranja i smanjivanja rizika po život i zdravlje pacijenata. Ovim se Zakonom određuju i načela te sustav mjera za ostvarivanje i unapređenje kvalitete socijalne skrbi te postupak akreditacije domova socijalne skrbi i drugih pravnih i fizičkih osoba koje obavljaju djelatnost socijalne skrbi.  </w:t>
      </w:r>
    </w:p>
    <w:p w:rsidR="00505632" w:rsidRDefault="00505632" w:rsidP="00505632">
      <w:r>
        <w:t xml:space="preserve">Zakon o socijalnoj skrbi („Narodne novine“ broj 33/12, 46/13 i 49/13), koji je stupio na snagu 24. ožujka 2012. godine, te novi Zakon o socijalnoj skrbi („Narodne novine“ broj 157/13, 152/14, 99/15) koji je stupio na snagu 01. siječnja 2014. godine propisuju da standarde kvalitete socijalnih usluga i postupak dodjele ocjene usklađenosti sa standardima socijalnih usluga provodi Ministarstvo za demografiju, obitelj i socijalnu politiku. Kako istodobno važeći Zakon o kvaliteti zdravstvene zaštite i socijalne skrbi koji je stupio na snagu 12. prosinca 2011. godine propisuje nadležnost Agencije za obavljanje poslova kvalitete usluga i akreditaciju ustanova socijalne skrbi, potrebno je provesti odgovarajuće usklađivanje ovoga Zakona s važećim ustrojstvom i djelokrugom nadležnih ministarstava u području socijalne skrbi.  </w:t>
      </w:r>
    </w:p>
    <w:p w:rsidR="00505632" w:rsidRDefault="00505632" w:rsidP="00505632">
      <w:r>
        <w:t>Stoga u djelokrugu Agencije više nisu utvrđivanje standarda kvalitete socijalnih usluga s obzirom da navedene poslove obavlja Ministarstvo za demografiju, obitelj i socijalnu politiku.</w:t>
      </w:r>
    </w:p>
    <w:p w:rsidR="00505632" w:rsidRDefault="00505632" w:rsidP="00505632">
      <w:pPr>
        <w:pStyle w:val="Heading8"/>
        <w:jc w:val="left"/>
      </w:pPr>
      <w:r>
        <w:t>Opis aktivnosti</w:t>
      </w:r>
    </w:p>
    <w:p w:rsidR="00505632" w:rsidRDefault="00505632" w:rsidP="00505632">
      <w:r>
        <w:t xml:space="preserve">Sukladno hrvatskom zakonodavnom okviru, Nacionalnoj strategiji razvoja zdravstva 2012.-2020., Strateškom planu Ministarstva zdravstva 2016.-2018., EU direktivi 2011/24/EU i strateškom dokumentu EU na području procjene zdravstvenih tehnologija, kao i objavljenim dokumentima važnim za djelatnosti Agencije, nastavljeno je provođenje osnovnih aktivnosti vezanih za  unapređenje kvalitete zdravstvene zaštite, sigurnost pacijenta, edukaciju svih dionika u zdravstvu, akreditaciju nositelja zdravstvene djelatnosti te procjene zdravstvenih tehnologija. Agencija je nastavila aktivnu nacionalnu i međunarodnu suradnju putem projektnih aktivnosti, te članstvom u nacionalnim i međunarodnim organizacijama. </w:t>
      </w:r>
    </w:p>
    <w:p w:rsidR="00505632" w:rsidRDefault="00505632" w:rsidP="00505632">
      <w:r>
        <w:t xml:space="preserve">Agencija je nastavila s povećanjem aktivnosti u svrhu ostvarenja rezultata pokazatelja  Povećanje broja educiranih u zdravstvu o kvaliteti i sigurnosti8 u zdravstvu; povećanjem praćenih  pokazatelja kvalitete i sigurnosti: ostvarenja rezultata pokazatelja DLI15 i DLI110(projekt WB); razvoja sustava izvješćivanja na nacionalnoj i EU razini;trajnom edukacijom svih sudionika u zdravstvu o kvaliteti i indikatorima kvalitete zdravstvene zaštite  kao i sudjelovanjem u međunarodnim projektim i aktivnostima, uključujići PASQJA (European Unio Network for Patient Safetc and Auality of Care) te projekta Svjetske banke“Improving quality and efficiency of health service“ PROGRAMFOR-RESULTS (April,2014.) </w:t>
      </w:r>
    </w:p>
    <w:p w:rsidR="00505632" w:rsidRDefault="00505632" w:rsidP="00505632">
      <w:r>
        <w:t xml:space="preserve">Agencija je u suradnji sa Ministarstvom zdravstva intenzivno pripremala podzakonske akte potrebne za provođenje akreditacijskog postupka (prijedlog Pravilnika o akreditacijskom  </w:t>
      </w:r>
    </w:p>
    <w:p w:rsidR="00505632" w:rsidRDefault="00505632" w:rsidP="00505632">
      <w:r>
        <w:t xml:space="preserve">postupku i akreditaciji nositelja zdravstvene zaštite, te prijedlog Pravilnika o akreditacijskim  </w:t>
      </w:r>
    </w:p>
    <w:p w:rsidR="00505632" w:rsidRDefault="00505632" w:rsidP="00505632">
      <w:r>
        <w:t xml:space="preserve">standardima za bolničke zdravstvene ustanove). Također je provođen niz aktivnosti vezano uz  </w:t>
      </w:r>
    </w:p>
    <w:p w:rsidR="00505632" w:rsidRDefault="00505632" w:rsidP="00505632">
      <w:r>
        <w:t xml:space="preserve">pripremu prijedloga projekta „Akreditacija bolnica“ koji bi se trebao financirati iz fondova EU  </w:t>
      </w:r>
    </w:p>
    <w:p w:rsidR="00505632" w:rsidRDefault="00505632" w:rsidP="00505632">
      <w:r>
        <w:t xml:space="preserve">(Operativni program „Učinkoviti ljudski potencijali“). Agencija je nastavila provoditi aktivnosti izrade, dorade i dopune materijala i prijedloga materijala neophodnih za provođenje akreditacijskog postupka, te je kontinuirano radila na komuniciranju poznavanja pojmova i uloge akreditacije u zdravstvu putem prisustvovanja stručnim kongresima, predavanjima i sastancima. </w:t>
      </w:r>
    </w:p>
    <w:p w:rsidR="00505632" w:rsidRDefault="00505632" w:rsidP="00505632">
      <w:r>
        <w:t>Na području procjene zdravstvenih tehnologija, Agencija je nastavila s povećanjem broja procjena  zdravstvenih tehnologija na nacionalnoj i EU razini; sudjelovanjem u europskoj HTA Network kao i europskim projektima European-study on Qualifying Utility of Investment in Protection from Tobacco-EQUIPT (2013-2016), Sustainable intEgrated care modeLs for multi-Morbidity: delivery, FInancing and pervormance-SELFIE (2015-2019) i EUnetHTA Joint Action 3-EUnetHTA JA3 (2016-2020); edukaciji dionika i pripremi podzakonskog akta o procjeni zdravstvenih tehnologija.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36"/>
        <w:gridCol w:w="2538"/>
        <w:gridCol w:w="1017"/>
        <w:gridCol w:w="1019"/>
        <w:gridCol w:w="1058"/>
        <w:gridCol w:w="1019"/>
        <w:gridCol w:w="1019"/>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educiranih radnika u zdravstvu o kvaliteti i indikatorima kvalitete zdravstvene zaštite</w:t>
            </w:r>
          </w:p>
        </w:tc>
        <w:tc>
          <w:tcPr>
            <w:tcW w:w="2551" w:type="dxa"/>
          </w:tcPr>
          <w:p w:rsidR="00505632" w:rsidRDefault="00505632" w:rsidP="00AD4E52">
            <w:pPr>
              <w:pStyle w:val="CellColumn"/>
              <w:jc w:val="left"/>
            </w:pPr>
            <w:r>
              <w:rPr>
                <w:rFonts w:cs="Times New Roman"/>
              </w:rPr>
              <w:t>Uspostava i razvoj sustava kvalitete zdravstvene zaštite i potpunog procesa procjene zdravstvenih tahnologija: Akreditacija nositelja zdravstvene djelatnosti Akreditacija po akreditacijskom programu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1200</w:t>
            </w:r>
          </w:p>
        </w:tc>
        <w:tc>
          <w:tcPr>
            <w:tcW w:w="1020" w:type="dxa"/>
          </w:tcPr>
          <w:p w:rsidR="00505632" w:rsidRDefault="00505632" w:rsidP="00AD4E52">
            <w:pPr>
              <w:pStyle w:val="CellColumn"/>
              <w:jc w:val="right"/>
            </w:pPr>
            <w:r>
              <w:rPr>
                <w:rFonts w:cs="Times New Roman"/>
              </w:rPr>
              <w:t>Agencija za kvalitetu i akreditaciju u zdravstvu i socijalnoj skrbi</w:t>
            </w:r>
          </w:p>
        </w:tc>
        <w:tc>
          <w:tcPr>
            <w:tcW w:w="1020" w:type="dxa"/>
          </w:tcPr>
          <w:p w:rsidR="00505632" w:rsidRDefault="00505632" w:rsidP="00AD4E52">
            <w:pPr>
              <w:pStyle w:val="CellColumn"/>
              <w:jc w:val="right"/>
            </w:pPr>
            <w:r>
              <w:rPr>
                <w:rFonts w:cs="Times New Roman"/>
              </w:rPr>
              <w:t>1500</w:t>
            </w:r>
          </w:p>
        </w:tc>
        <w:tc>
          <w:tcPr>
            <w:tcW w:w="1020" w:type="dxa"/>
          </w:tcPr>
          <w:p w:rsidR="00505632" w:rsidRDefault="00505632" w:rsidP="00AD4E52">
            <w:pPr>
              <w:pStyle w:val="CellColumn"/>
              <w:jc w:val="right"/>
            </w:pPr>
            <w:r>
              <w:rPr>
                <w:rFonts w:cs="Times New Roman"/>
              </w:rPr>
              <w:t>1500</w:t>
            </w:r>
          </w:p>
        </w:tc>
      </w:tr>
      <w:tr w:rsidR="00505632" w:rsidTr="00AD4E52">
        <w:trPr>
          <w:jc w:val="center"/>
        </w:trPr>
        <w:tc>
          <w:tcPr>
            <w:tcW w:w="2551" w:type="dxa"/>
          </w:tcPr>
          <w:p w:rsidR="00505632" w:rsidRDefault="00505632" w:rsidP="00AD4E52">
            <w:pPr>
              <w:pStyle w:val="CellColumn"/>
              <w:jc w:val="left"/>
            </w:pPr>
            <w:r>
              <w:rPr>
                <w:rFonts w:cs="Times New Roman"/>
              </w:rPr>
              <w:t>Povećanje broja praćenih pokazatelja kvalitete i sigurnosti</w:t>
            </w:r>
          </w:p>
        </w:tc>
        <w:tc>
          <w:tcPr>
            <w:tcW w:w="2551" w:type="dxa"/>
          </w:tcPr>
          <w:p w:rsidR="00505632" w:rsidRDefault="00505632" w:rsidP="00AD4E52">
            <w:pPr>
              <w:pStyle w:val="CellColumn"/>
              <w:jc w:val="left"/>
            </w:pPr>
            <w:r>
              <w:rPr>
                <w:rFonts w:cs="Times New Roman"/>
              </w:rPr>
              <w:t>Povećanje broja praćenih pokazatelja dovodi do poboljšanja kvalitete i siguranosti zdravstvene zaštite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Agencija za kvalitetu i akreditaciju u zdravstvu i socijalnoj skrbi</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26</w:t>
            </w:r>
          </w:p>
        </w:tc>
      </w:tr>
      <w:tr w:rsidR="00505632" w:rsidTr="00AD4E52">
        <w:trPr>
          <w:jc w:val="center"/>
        </w:trPr>
        <w:tc>
          <w:tcPr>
            <w:tcW w:w="2551" w:type="dxa"/>
          </w:tcPr>
          <w:p w:rsidR="00505632" w:rsidRDefault="00505632" w:rsidP="00AD4E52">
            <w:pPr>
              <w:pStyle w:val="CellColumn"/>
              <w:jc w:val="left"/>
            </w:pPr>
            <w:r>
              <w:rPr>
                <w:rFonts w:cs="Times New Roman"/>
              </w:rPr>
              <w:t>Broj akreditiranih zdravstvenih ustanova</w:t>
            </w:r>
          </w:p>
        </w:tc>
        <w:tc>
          <w:tcPr>
            <w:tcW w:w="2551" w:type="dxa"/>
          </w:tcPr>
          <w:p w:rsidR="00505632" w:rsidRDefault="00505632" w:rsidP="00AD4E52">
            <w:pPr>
              <w:pStyle w:val="CellColumn"/>
              <w:jc w:val="left"/>
            </w:pPr>
            <w:r>
              <w:rPr>
                <w:rFonts w:cs="Times New Roman"/>
              </w:rPr>
              <w:t>Akreditacija nositelja zdravstvene djelatnosti Akreditacija po akreditacijskom programu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Agencija za kvalitetu i akreditaciju u zdravstvu i socijalnoj skrbi</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Povećanje broja procijenjenih zdravstvenih tehnologija</w:t>
            </w:r>
          </w:p>
        </w:tc>
        <w:tc>
          <w:tcPr>
            <w:tcW w:w="2551" w:type="dxa"/>
          </w:tcPr>
          <w:p w:rsidR="00505632" w:rsidRDefault="00505632" w:rsidP="00AD4E52">
            <w:pPr>
              <w:pStyle w:val="CellColumn"/>
              <w:jc w:val="left"/>
            </w:pPr>
            <w:r>
              <w:rPr>
                <w:rFonts w:cs="Times New Roman"/>
              </w:rPr>
              <w:t>Uspostava i daljnji razvoj potpunog procesa procjene zdravstvenih tehnologija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31</w:t>
            </w:r>
          </w:p>
        </w:tc>
        <w:tc>
          <w:tcPr>
            <w:tcW w:w="1020" w:type="dxa"/>
          </w:tcPr>
          <w:p w:rsidR="00505632" w:rsidRDefault="00505632" w:rsidP="00AD4E52">
            <w:pPr>
              <w:pStyle w:val="CellColumn"/>
              <w:jc w:val="right"/>
            </w:pPr>
            <w:r>
              <w:rPr>
                <w:rFonts w:cs="Times New Roman"/>
              </w:rPr>
              <w:t>Agencija za kvalitetu i akreditaciju u zdravstvu i socijalnoj skrbi</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41</w:t>
            </w:r>
          </w:p>
        </w:tc>
      </w:tr>
    </w:tbl>
    <w:p w:rsidR="00505632" w:rsidRDefault="00505632" w:rsidP="00505632">
      <w:pPr>
        <w:jc w:val="left"/>
      </w:pPr>
    </w:p>
    <w:p w:rsidR="00505632" w:rsidRDefault="00505632" w:rsidP="00505632">
      <w:pPr>
        <w:pStyle w:val="Heading3"/>
      </w:pPr>
      <w:r>
        <w:rPr>
          <w:rFonts w:cs="Times New Roman"/>
        </w:rPr>
        <w:t>44573 Hrvatski zavod za hitnu medicinu</w:t>
      </w:r>
    </w:p>
    <w:p w:rsidR="00505632" w:rsidRDefault="00505632" w:rsidP="00505632">
      <w:r>
        <w:t>Ciljevi i zadaci Hrvatskog zavoda za hitnu medicinu: predlaže, planira, prati i analizira mjere hitne medicine u Republici Hrvatskoj, predlaže ministru mrežu hitne medicine, utvrđuje standarde opreme, vozila te vizualnog identiteta vozila i zdravstvenih radnika sukladno standardima suvremene hitne medicine, utvrđuje obvezujuće standarde operativnih postupaka, protokole rada i algoritme postupanja, za sve oblike hitne medicine te usklađuje njihovu primjenu, utvrđuje standarde hitne medicine za hitni medicinski prijevoz cestom, zrakom i vodom, prati, analizira i nadzire ujednačenu provedbu standarda kvalitete rada i opremljenosti u svim županijskim zavodima za hitnu medicinu, predlaže i oblikuje edukacijske programe cjeloživotnog obrazovanja/trajne izobrazbe te sudjeluje u provedbi i nadzire edukaciju i stručno usavršavanje zdravstvenih radnika hitne medicine, sudjeluje u obrazovanju zdravstvenih radnika, oblikuje doktrinu u djelatnosti hitne medicine, predlaže program mjera zdravstvene zaštite iz područja rada hitne medicine, planira i provodi aktivnosti u cilju uspostave informatizacije sustava hitne medicine kompatibilne s informatičkim sustavom Hrvatskog zavoda za zdravstveno osiguranje, provodi edukaciju stanovništva iz svog područja rada, surađuje s drugim zdravstvenim ustanovama i zdravstvenim radnicima u cilju unapređenja liječenja i dijagnostike iz područja hitne medicine, prati i provodi stručna i znanstvena istraživanja iz hitne medicine, prikuplja podatke za godišnju analizu rada hitne medicine, analizira ih i dostavlja ministarstvu, Hrvatskom zavodu za javno zdravstvo i Hrvatskom zavodu za zdravstveno osiguranje, prikuplja podatke i vodi registre iz područja hitne medicine, planira i sudjeluje u izradi i provedbi pojedinih projekata zdravstvene zaštite u izvanrednim prilikama u koordinaciji s Kriznim stožerom ministarstva, Državnom upravom za zaštitu i spašavanje, Ministarstvom unutarnjih poslova, Ministarstvom obrane, Hrvatskim Crvenim križem, Hrvatskom gorskom službom spašavanja te ostalim službama za spašavanje, koordinira, stručno usmjerava i nadzire rad županijskih zavoda za hitnu medicinu. Plan i program aktivnost Hrvatskog zavoda za hitnu medicinu: suradnja i stručna pomoć županijama u radu županijskih zavoda za hitnu medicinu, koordinacija, stručno usmjeravanje i nadzor ustrojenih županijskih zavoda za hitnu medicinu, nastavak rada na organizaciji prijavno – dojavnih jedinica prema županijskom modelu, sudjelovanje u procesu uspostave nacionalnog sustava informatizacije hitne medicine, praćenje sustava kvalitete zdravstvene zaštite - prikupljanje i praćenje kliničkih pokazatelja standarda kvalitete zdravstvene zaštite, praćenje, analiziranje i nadzor ujednačene provedbe standarda kvalitete rada, propisivanje minimuma funkcionalnosti i izrada informatičkog sustava za analizu rada županijskih zavoda za hitnu medicinu, prikupljanje podataka za godišnju analizu rada županijskih zavoda za hitnu medicinu, praćenje popunjavanja mreže hitne medicine sa timovima i predlaganje eventualnih potrebnih izmjena mreže hitne medicine utvrđenih temeljem prikupljenih indikatora rada županijskih zavoda za hitnu medicinu, propisivanje i praćenje minimuma parametara koji svi koji obavljaju djelatnost hitne medicine u zdravstvenom sustavu moraju pratiti, propisivanje i praćenje minimuma obveznih podataka koji svi koji obavljaju djelatnost hitne medicine u zdravstvenom sustavu moraju slati u Zavod i u kojem vremenu, nastavak rada na izradi informatičkog programa za prikupljanje podataka i vođenje registara, prikupljanje podataka i vođenje registara djelatnika, edukacije, vozila i opreme u hitnoj medicinskoj službi, informiranje stručnih krugova o utvrđenim standardima operativnih postupaka, protokola rada i algoritama postupanja, sudjelovanje u oblikovanju edukacijskih programa za zdravstvene radnike u hitnoj medicini, sudjelovanje u obrazovanju zdravstvenih radnika kroz trening osoblja hitne medicine, kontinuirani nadzor kvalitete rada i opremljenosti u županijskim zavodima za hitnu medicinu, informiranje javnosti o promjenama u hitnoj medicini u Republici Hrvatskoj sa posebnim naglaskom na upoznavanje javnosti sa novim pozivnim brojem za hitnu medicinsku službu (194), utvrđivanje vizualnog identiteta zdravstvenih radnika, aktivnosti vezane uz usklađivanje sustava hitne medicine sa sustavom Hrvatskog zavoda za zdravstveno osiguranje i sustavom Hrvatskog zavoda za telemedicinu, implementiranje obvezujućih standarda operativnih postupaka, protokola rada i algoritama postupanja, za sve oblike hitne medicine, sudjelovanje u utvrđivanju standarda za hitni medicinski prijevoz cestom, zrakom, vodom u suradnji s drugim nadležnim institucijama, organiziranje i nadzor edukacije za dispečere medicinske prijavno-dojavne jedinice,organiziranje i nadzor edukacije za sve članove timova hitne medicine, organiziranje i nadzor edukacije za trijažu u centrima hitne medicine, provođenje edukacije za zdravstvene djelatnike koji participiraju u djelatnosti hitne medicine kroz dežurstvo i pripravnost, praćenje tijeka specijalizacije iz hitne medicine za liječnike, rad na interesu liječnika za navedenu specijalizaciju, praćenje tijeka dodatnog stručnog specijalističkog usavršavanja – treninga medicinskih sestara – medicinskih tehničara koji rade u djelatnosti hitne medicine, nastavak rada na osnivanju centara hitne medicine, oblikovanje strateškog plana povezivanja telemedicine i hitne medicine, sudjelovanje u organizaciji obrazovanja laika na području hitne medicine, sudjelovanje u organizaciji obrazovanja studenata na području hitne medicine, sudjelovanje i suradnja s drugim nadležnim institucijama u izradi i provedbi specifičnih projekata zdravstvene zaštite u slučaju izvanrednih prilika, raditi na uključivanju u programe i projekte financirane iz sredstava Europske unije i drugih donatora, kako na razini Zavoda tako i županijskih zavoda za hitnu medicinu i utvrđivanje potreba, rasporeda i nadzor timova hitne medicinske službe na prometnicama tijekom turističke sezone.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44573-Hrvatski zavod za hitnu medicinu</w:t>
            </w:r>
          </w:p>
        </w:tc>
        <w:tc>
          <w:tcPr>
            <w:tcW w:w="2041" w:type="dxa"/>
          </w:tcPr>
          <w:p w:rsidR="00505632" w:rsidRDefault="00505632" w:rsidP="00AD4E52">
            <w:pPr>
              <w:pStyle w:val="CellColumn"/>
              <w:jc w:val="right"/>
            </w:pPr>
            <w:r>
              <w:rPr>
                <w:rFonts w:cs="Times New Roman"/>
              </w:rPr>
              <w:t>4.676.741</w:t>
            </w:r>
          </w:p>
        </w:tc>
        <w:tc>
          <w:tcPr>
            <w:tcW w:w="2041" w:type="dxa"/>
          </w:tcPr>
          <w:p w:rsidR="00505632" w:rsidRDefault="00505632" w:rsidP="00AD4E52">
            <w:pPr>
              <w:pStyle w:val="CellColumn"/>
              <w:jc w:val="right"/>
            </w:pPr>
            <w:r>
              <w:rPr>
                <w:rFonts w:cs="Times New Roman"/>
              </w:rPr>
              <w:t>4.636.240</w:t>
            </w:r>
          </w:p>
        </w:tc>
        <w:tc>
          <w:tcPr>
            <w:tcW w:w="2041" w:type="dxa"/>
          </w:tcPr>
          <w:p w:rsidR="00505632" w:rsidRDefault="00505632" w:rsidP="00AD4E52">
            <w:pPr>
              <w:pStyle w:val="CellColumn"/>
              <w:jc w:val="right"/>
            </w:pPr>
            <w:r>
              <w:rPr>
                <w:rFonts w:cs="Times New Roman"/>
              </w:rPr>
              <w:t>4.597.180</w:t>
            </w:r>
          </w:p>
        </w:tc>
        <w:tc>
          <w:tcPr>
            <w:tcW w:w="1224" w:type="dxa"/>
          </w:tcPr>
          <w:p w:rsidR="00505632" w:rsidRDefault="00505632" w:rsidP="00AD4E52">
            <w:pPr>
              <w:pStyle w:val="CellColumn"/>
              <w:jc w:val="right"/>
            </w:pPr>
            <w:r>
              <w:rPr>
                <w:rFonts w:cs="Times New Roman"/>
              </w:rPr>
              <w:t>99,2</w:t>
            </w:r>
          </w:p>
        </w:tc>
        <w:tc>
          <w:tcPr>
            <w:tcW w:w="1224" w:type="dxa"/>
          </w:tcPr>
          <w:p w:rsidR="00505632" w:rsidRDefault="00505632" w:rsidP="00AD4E52">
            <w:pPr>
              <w:pStyle w:val="CellColumn"/>
              <w:jc w:val="right"/>
            </w:pPr>
            <w:r>
              <w:rPr>
                <w:rFonts w:cs="Times New Roman"/>
              </w:rPr>
              <w:t>98,3</w:t>
            </w:r>
          </w:p>
        </w:tc>
      </w:tr>
      <w:tr w:rsidR="00505632" w:rsidTr="00AD4E52">
        <w:trPr>
          <w:jc w:val="center"/>
        </w:trPr>
        <w:tc>
          <w:tcPr>
            <w:tcW w:w="1632" w:type="dxa"/>
          </w:tcPr>
          <w:p w:rsidR="00505632" w:rsidRDefault="00505632" w:rsidP="00AD4E52">
            <w:pPr>
              <w:jc w:val="left"/>
            </w:pPr>
            <w:r>
              <w:t>3601-ZAŠTITA, OČUVANJE I UNAPREĐENJE ZDRAVLJA</w:t>
            </w:r>
          </w:p>
        </w:tc>
        <w:tc>
          <w:tcPr>
            <w:tcW w:w="2041" w:type="dxa"/>
          </w:tcPr>
          <w:p w:rsidR="00505632" w:rsidRDefault="00505632" w:rsidP="00AD4E52">
            <w:pPr>
              <w:jc w:val="right"/>
            </w:pPr>
            <w:r>
              <w:t>4.676.741</w:t>
            </w:r>
          </w:p>
        </w:tc>
        <w:tc>
          <w:tcPr>
            <w:tcW w:w="2041" w:type="dxa"/>
          </w:tcPr>
          <w:p w:rsidR="00505632" w:rsidRDefault="00505632" w:rsidP="00AD4E52">
            <w:pPr>
              <w:jc w:val="right"/>
            </w:pPr>
            <w:r>
              <w:t>4.636.240</w:t>
            </w:r>
          </w:p>
        </w:tc>
        <w:tc>
          <w:tcPr>
            <w:tcW w:w="2041" w:type="dxa"/>
          </w:tcPr>
          <w:p w:rsidR="00505632" w:rsidRDefault="00505632" w:rsidP="00AD4E52">
            <w:pPr>
              <w:jc w:val="right"/>
            </w:pPr>
            <w:r>
              <w:t>4.597.180</w:t>
            </w:r>
          </w:p>
        </w:tc>
        <w:tc>
          <w:tcPr>
            <w:tcW w:w="1224" w:type="dxa"/>
          </w:tcPr>
          <w:p w:rsidR="00505632" w:rsidRDefault="00505632" w:rsidP="00AD4E52">
            <w:pPr>
              <w:jc w:val="right"/>
            </w:pPr>
            <w:r>
              <w:t>99,2</w:t>
            </w:r>
          </w:p>
        </w:tc>
        <w:tc>
          <w:tcPr>
            <w:tcW w:w="1224" w:type="dxa"/>
          </w:tcPr>
          <w:p w:rsidR="00505632" w:rsidRDefault="00505632" w:rsidP="00AD4E52">
            <w:pPr>
              <w:jc w:val="right"/>
            </w:pPr>
            <w:r>
              <w:t>98,3</w:t>
            </w:r>
          </w:p>
        </w:tc>
      </w:tr>
    </w:tbl>
    <w:p w:rsidR="00505632" w:rsidRDefault="00505632" w:rsidP="00505632">
      <w:pPr>
        <w:jc w:val="left"/>
      </w:pPr>
    </w:p>
    <w:p w:rsidR="00505632" w:rsidRDefault="00505632" w:rsidP="00505632">
      <w:pPr>
        <w:pStyle w:val="Heading4"/>
      </w:pPr>
      <w:r>
        <w:t>A886001 HRVATSKI ZAVOD ZA HITNU MEDICINU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A886001-HRVATSKI ZAVOD ZA HITNU MEDICINU</w:t>
            </w:r>
          </w:p>
        </w:tc>
        <w:tc>
          <w:tcPr>
            <w:tcW w:w="2041" w:type="dxa"/>
          </w:tcPr>
          <w:p w:rsidR="00505632" w:rsidRDefault="00505632" w:rsidP="00AD4E52">
            <w:pPr>
              <w:pStyle w:val="CellColumn"/>
              <w:jc w:val="right"/>
            </w:pPr>
            <w:r>
              <w:rPr>
                <w:rFonts w:cs="Times New Roman"/>
              </w:rPr>
              <w:t>4.676.741</w:t>
            </w:r>
          </w:p>
        </w:tc>
        <w:tc>
          <w:tcPr>
            <w:tcW w:w="2041" w:type="dxa"/>
          </w:tcPr>
          <w:p w:rsidR="00505632" w:rsidRDefault="00505632" w:rsidP="00AD4E52">
            <w:pPr>
              <w:pStyle w:val="CellColumn"/>
              <w:jc w:val="right"/>
            </w:pPr>
            <w:r>
              <w:rPr>
                <w:rFonts w:cs="Times New Roman"/>
              </w:rPr>
              <w:t>4.636.240</w:t>
            </w:r>
          </w:p>
        </w:tc>
        <w:tc>
          <w:tcPr>
            <w:tcW w:w="2041" w:type="dxa"/>
          </w:tcPr>
          <w:p w:rsidR="00505632" w:rsidRDefault="00505632" w:rsidP="00AD4E52">
            <w:pPr>
              <w:pStyle w:val="CellColumn"/>
              <w:jc w:val="right"/>
            </w:pPr>
            <w:r>
              <w:rPr>
                <w:rFonts w:cs="Times New Roman"/>
              </w:rPr>
              <w:t>4.597.180</w:t>
            </w:r>
          </w:p>
        </w:tc>
        <w:tc>
          <w:tcPr>
            <w:tcW w:w="1224" w:type="dxa"/>
          </w:tcPr>
          <w:p w:rsidR="00505632" w:rsidRDefault="00505632" w:rsidP="00AD4E52">
            <w:pPr>
              <w:pStyle w:val="CellColumn"/>
              <w:jc w:val="right"/>
            </w:pPr>
            <w:r>
              <w:rPr>
                <w:rFonts w:cs="Times New Roman"/>
              </w:rPr>
              <w:t>99,2</w:t>
            </w:r>
          </w:p>
        </w:tc>
        <w:tc>
          <w:tcPr>
            <w:tcW w:w="1224" w:type="dxa"/>
          </w:tcPr>
          <w:p w:rsidR="00505632" w:rsidRDefault="00505632" w:rsidP="00AD4E52">
            <w:pPr>
              <w:pStyle w:val="CellColumn"/>
              <w:jc w:val="right"/>
            </w:pPr>
            <w:r>
              <w:rPr>
                <w:rFonts w:cs="Times New Roman"/>
              </w:rPr>
              <w:t>98,3</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Kroz ovu aktivnost financira se rad Hrvatskog zavoda za hitnu medicinu.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relicenciranih radnika na MPDJ</w:t>
            </w:r>
          </w:p>
        </w:tc>
        <w:tc>
          <w:tcPr>
            <w:tcW w:w="2551" w:type="dxa"/>
          </w:tcPr>
          <w:p w:rsidR="00505632" w:rsidRDefault="00505632" w:rsidP="00AD4E52">
            <w:pPr>
              <w:pStyle w:val="CellColumn"/>
              <w:jc w:val="left"/>
            </w:pPr>
            <w:r>
              <w:rPr>
                <w:rFonts w:cs="Times New Roman"/>
              </w:rPr>
              <w:t>provođenje tečajeva i usavršavanja zdravstvenih radnika u cilju osiguranja kvalitete zdravstvene zaštite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HZHM</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97</w:t>
            </w:r>
          </w:p>
        </w:tc>
      </w:tr>
      <w:tr w:rsidR="00505632" w:rsidTr="00AD4E52">
        <w:trPr>
          <w:jc w:val="center"/>
        </w:trPr>
        <w:tc>
          <w:tcPr>
            <w:tcW w:w="2551" w:type="dxa"/>
          </w:tcPr>
          <w:p w:rsidR="00505632" w:rsidRDefault="00505632" w:rsidP="00AD4E52">
            <w:pPr>
              <w:pStyle w:val="CellColumn"/>
              <w:jc w:val="left"/>
            </w:pPr>
            <w:r>
              <w:rPr>
                <w:rFonts w:cs="Times New Roman"/>
              </w:rPr>
              <w:t>broj educiranih/relicenciranih dr. med.u timovima HMS</w:t>
            </w:r>
          </w:p>
        </w:tc>
        <w:tc>
          <w:tcPr>
            <w:tcW w:w="2551" w:type="dxa"/>
          </w:tcPr>
          <w:p w:rsidR="00505632" w:rsidRDefault="00505632" w:rsidP="00AD4E52">
            <w:pPr>
              <w:pStyle w:val="CellColumn"/>
              <w:jc w:val="left"/>
            </w:pPr>
            <w:r>
              <w:rPr>
                <w:rFonts w:cs="Times New Roman"/>
              </w:rPr>
              <w:t>provođenje tečajeva i usavršavanja zdravstvenih radnika u cilju osiguranja kvalitete zdravstvene zaštite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230/0</w:t>
            </w:r>
          </w:p>
        </w:tc>
        <w:tc>
          <w:tcPr>
            <w:tcW w:w="1020" w:type="dxa"/>
          </w:tcPr>
          <w:p w:rsidR="00505632" w:rsidRDefault="00505632" w:rsidP="00AD4E52">
            <w:pPr>
              <w:pStyle w:val="CellColumn"/>
              <w:jc w:val="right"/>
            </w:pPr>
            <w:r>
              <w:rPr>
                <w:rFonts w:cs="Times New Roman"/>
              </w:rPr>
              <w:t>HZHM</w:t>
            </w:r>
          </w:p>
        </w:tc>
        <w:tc>
          <w:tcPr>
            <w:tcW w:w="1020" w:type="dxa"/>
          </w:tcPr>
          <w:p w:rsidR="00505632" w:rsidRDefault="00505632" w:rsidP="00AD4E52">
            <w:pPr>
              <w:pStyle w:val="CellColumn"/>
              <w:jc w:val="right"/>
            </w:pPr>
            <w:r>
              <w:rPr>
                <w:rFonts w:cs="Times New Roman"/>
              </w:rPr>
              <w:t>330/90</w:t>
            </w:r>
          </w:p>
        </w:tc>
        <w:tc>
          <w:tcPr>
            <w:tcW w:w="1020" w:type="dxa"/>
          </w:tcPr>
          <w:p w:rsidR="00505632" w:rsidRDefault="00505632" w:rsidP="00AD4E52">
            <w:pPr>
              <w:pStyle w:val="CellColumn"/>
              <w:jc w:val="right"/>
            </w:pPr>
            <w:r>
              <w:rPr>
                <w:rFonts w:cs="Times New Roman"/>
              </w:rPr>
              <w:t>370/120</w:t>
            </w:r>
          </w:p>
        </w:tc>
      </w:tr>
      <w:tr w:rsidR="00505632" w:rsidTr="00AD4E52">
        <w:trPr>
          <w:jc w:val="center"/>
        </w:trPr>
        <w:tc>
          <w:tcPr>
            <w:tcW w:w="2551" w:type="dxa"/>
          </w:tcPr>
          <w:p w:rsidR="00505632" w:rsidRDefault="00505632" w:rsidP="00AD4E52">
            <w:pPr>
              <w:pStyle w:val="CellColumn"/>
              <w:jc w:val="left"/>
            </w:pPr>
            <w:r>
              <w:rPr>
                <w:rFonts w:cs="Times New Roman"/>
              </w:rPr>
              <w:t>broj educiranih/relicenciranih ms-mt u timovima HMS</w:t>
            </w:r>
          </w:p>
        </w:tc>
        <w:tc>
          <w:tcPr>
            <w:tcW w:w="2551" w:type="dxa"/>
          </w:tcPr>
          <w:p w:rsidR="00505632" w:rsidRDefault="00505632" w:rsidP="00AD4E52">
            <w:pPr>
              <w:pStyle w:val="CellColumn"/>
              <w:jc w:val="left"/>
            </w:pPr>
            <w:r>
              <w:rPr>
                <w:rFonts w:cs="Times New Roman"/>
              </w:rPr>
              <w:t>provođenje tečajeva i usavršavanja zdravstvenih radnika u cilju osiguranja kvalitete zdravstvene zaštite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400/0</w:t>
            </w:r>
          </w:p>
        </w:tc>
        <w:tc>
          <w:tcPr>
            <w:tcW w:w="1020" w:type="dxa"/>
          </w:tcPr>
          <w:p w:rsidR="00505632" w:rsidRDefault="00505632" w:rsidP="00AD4E52">
            <w:pPr>
              <w:pStyle w:val="CellColumn"/>
              <w:jc w:val="right"/>
            </w:pPr>
            <w:r>
              <w:rPr>
                <w:rFonts w:cs="Times New Roman"/>
              </w:rPr>
              <w:t>HZHM</w:t>
            </w:r>
          </w:p>
        </w:tc>
        <w:tc>
          <w:tcPr>
            <w:tcW w:w="1020" w:type="dxa"/>
          </w:tcPr>
          <w:p w:rsidR="00505632" w:rsidRDefault="00505632" w:rsidP="00AD4E52">
            <w:pPr>
              <w:pStyle w:val="CellColumn"/>
              <w:jc w:val="right"/>
            </w:pPr>
            <w:r>
              <w:rPr>
                <w:rFonts w:cs="Times New Roman"/>
              </w:rPr>
              <w:t>500/90</w:t>
            </w:r>
          </w:p>
        </w:tc>
        <w:tc>
          <w:tcPr>
            <w:tcW w:w="1020" w:type="dxa"/>
          </w:tcPr>
          <w:p w:rsidR="00505632" w:rsidRDefault="00505632" w:rsidP="00AD4E52">
            <w:pPr>
              <w:pStyle w:val="CellColumn"/>
              <w:jc w:val="right"/>
            </w:pPr>
            <w:r>
              <w:rPr>
                <w:rFonts w:cs="Times New Roman"/>
              </w:rPr>
              <w:t>570/97</w:t>
            </w:r>
          </w:p>
        </w:tc>
      </w:tr>
      <w:tr w:rsidR="00505632" w:rsidTr="00AD4E52">
        <w:trPr>
          <w:jc w:val="center"/>
        </w:trPr>
        <w:tc>
          <w:tcPr>
            <w:tcW w:w="2551" w:type="dxa"/>
          </w:tcPr>
          <w:p w:rsidR="00505632" w:rsidRDefault="00505632" w:rsidP="00AD4E52">
            <w:pPr>
              <w:pStyle w:val="CellColumn"/>
              <w:jc w:val="left"/>
            </w:pPr>
            <w:r>
              <w:rPr>
                <w:rFonts w:cs="Times New Roman"/>
              </w:rPr>
              <w:t>broj relicenciranih trijažnih sestara u OHBP</w:t>
            </w:r>
          </w:p>
        </w:tc>
        <w:tc>
          <w:tcPr>
            <w:tcW w:w="2551" w:type="dxa"/>
          </w:tcPr>
          <w:p w:rsidR="00505632" w:rsidRDefault="00505632" w:rsidP="00AD4E52">
            <w:pPr>
              <w:pStyle w:val="CellColumn"/>
              <w:jc w:val="left"/>
            </w:pPr>
            <w:r>
              <w:rPr>
                <w:rFonts w:cs="Times New Roman"/>
              </w:rPr>
              <w:t>provođenje tečajeva i usavršavanja zdravstvenih radnika u cilju osiguranja kvalitete zdravstvene zaštite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HZHM</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110</w:t>
            </w:r>
          </w:p>
        </w:tc>
      </w:tr>
      <w:tr w:rsidR="00505632" w:rsidTr="00AD4E52">
        <w:trPr>
          <w:jc w:val="center"/>
        </w:trPr>
        <w:tc>
          <w:tcPr>
            <w:tcW w:w="2551" w:type="dxa"/>
          </w:tcPr>
          <w:p w:rsidR="00505632" w:rsidRDefault="00505632" w:rsidP="00AD4E52">
            <w:pPr>
              <w:pStyle w:val="CellColumn"/>
              <w:jc w:val="left"/>
            </w:pPr>
            <w:r>
              <w:rPr>
                <w:rFonts w:cs="Times New Roman"/>
              </w:rPr>
              <w:t>broj županijskih zavoda za hitnu medicinu koji su povezani na jedinstveni informatički sustav</w:t>
            </w:r>
          </w:p>
        </w:tc>
        <w:tc>
          <w:tcPr>
            <w:tcW w:w="2551" w:type="dxa"/>
          </w:tcPr>
          <w:p w:rsidR="00505632" w:rsidRDefault="00505632" w:rsidP="00AD4E52">
            <w:pPr>
              <w:pStyle w:val="CellColumn"/>
              <w:jc w:val="left"/>
            </w:pPr>
            <w:r>
              <w:rPr>
                <w:rFonts w:cs="Times New Roman"/>
              </w:rPr>
              <w:t>provođenje jedinstvenog sustava informatizacije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18</w:t>
            </w:r>
          </w:p>
        </w:tc>
        <w:tc>
          <w:tcPr>
            <w:tcW w:w="1020" w:type="dxa"/>
          </w:tcPr>
          <w:p w:rsidR="00505632" w:rsidRDefault="00505632" w:rsidP="00AD4E52">
            <w:pPr>
              <w:pStyle w:val="CellColumn"/>
              <w:jc w:val="right"/>
            </w:pPr>
            <w:r>
              <w:rPr>
                <w:rFonts w:cs="Times New Roman"/>
              </w:rPr>
              <w:t>HZHM</w:t>
            </w:r>
          </w:p>
        </w:tc>
        <w:tc>
          <w:tcPr>
            <w:tcW w:w="1020" w:type="dxa"/>
          </w:tcPr>
          <w:p w:rsidR="00505632" w:rsidRDefault="00505632" w:rsidP="00AD4E52">
            <w:pPr>
              <w:pStyle w:val="CellColumn"/>
              <w:jc w:val="right"/>
            </w:pPr>
            <w:r>
              <w:rPr>
                <w:rFonts w:cs="Times New Roman"/>
              </w:rPr>
              <w:t>19</w:t>
            </w:r>
          </w:p>
        </w:tc>
        <w:tc>
          <w:tcPr>
            <w:tcW w:w="1020" w:type="dxa"/>
          </w:tcPr>
          <w:p w:rsidR="00505632" w:rsidRDefault="00505632" w:rsidP="00AD4E52">
            <w:pPr>
              <w:pStyle w:val="CellColumn"/>
              <w:jc w:val="right"/>
            </w:pPr>
            <w:r>
              <w:rPr>
                <w:rFonts w:cs="Times New Roman"/>
              </w:rPr>
              <w:t>19</w:t>
            </w:r>
          </w:p>
        </w:tc>
      </w:tr>
      <w:tr w:rsidR="00505632" w:rsidTr="00AD4E52">
        <w:trPr>
          <w:jc w:val="center"/>
        </w:trPr>
        <w:tc>
          <w:tcPr>
            <w:tcW w:w="2551" w:type="dxa"/>
          </w:tcPr>
          <w:p w:rsidR="00505632" w:rsidRDefault="00505632" w:rsidP="00AD4E52">
            <w:pPr>
              <w:pStyle w:val="CellColumn"/>
              <w:jc w:val="left"/>
            </w:pPr>
            <w:r>
              <w:rPr>
                <w:rFonts w:cs="Times New Roman"/>
              </w:rPr>
              <w:t>broj ustrojenih OHBP-a</w:t>
            </w:r>
          </w:p>
        </w:tc>
        <w:tc>
          <w:tcPr>
            <w:tcW w:w="2551" w:type="dxa"/>
          </w:tcPr>
          <w:p w:rsidR="00505632" w:rsidRDefault="00505632" w:rsidP="00AD4E52">
            <w:pPr>
              <w:pStyle w:val="CellColumn"/>
              <w:jc w:val="left"/>
            </w:pPr>
            <w:r>
              <w:rPr>
                <w:rFonts w:cs="Times New Roman"/>
              </w:rPr>
              <w:t xml:space="preserve">povećanje kvalitete pružanja zdravstvene </w:t>
            </w:r>
            <w:r>
              <w:t>z</w:t>
            </w:r>
            <w:r>
              <w:rPr>
                <w:rFonts w:cs="Times New Roman"/>
              </w:rPr>
              <w:t>aštite u djelatnosti hitne medicine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18</w:t>
            </w:r>
          </w:p>
        </w:tc>
        <w:tc>
          <w:tcPr>
            <w:tcW w:w="1020" w:type="dxa"/>
          </w:tcPr>
          <w:p w:rsidR="00505632" w:rsidRDefault="00505632" w:rsidP="00AD4E52">
            <w:pPr>
              <w:pStyle w:val="CellColumn"/>
              <w:jc w:val="right"/>
            </w:pPr>
            <w:r>
              <w:rPr>
                <w:rFonts w:cs="Times New Roman"/>
              </w:rPr>
              <w:t>HZHM</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20</w:t>
            </w:r>
          </w:p>
        </w:tc>
      </w:tr>
      <w:tr w:rsidR="00505632" w:rsidTr="00AD4E52">
        <w:trPr>
          <w:jc w:val="center"/>
        </w:trPr>
        <w:tc>
          <w:tcPr>
            <w:tcW w:w="2551" w:type="dxa"/>
          </w:tcPr>
          <w:p w:rsidR="00505632" w:rsidRDefault="00505632" w:rsidP="00AD4E52">
            <w:pPr>
              <w:pStyle w:val="CellColumn"/>
              <w:jc w:val="left"/>
            </w:pPr>
            <w:r>
              <w:rPr>
                <w:rFonts w:cs="Times New Roman"/>
              </w:rPr>
              <w:t>broj educiranih pripadnika žurnih službi u programu javno dostupne rane defibrilacije</w:t>
            </w:r>
          </w:p>
        </w:tc>
        <w:tc>
          <w:tcPr>
            <w:tcW w:w="2551" w:type="dxa"/>
          </w:tcPr>
          <w:p w:rsidR="00505632" w:rsidRDefault="00505632" w:rsidP="00AD4E52">
            <w:pPr>
              <w:pStyle w:val="CellColumn"/>
              <w:jc w:val="left"/>
            </w:pPr>
            <w:r>
              <w:rPr>
                <w:rFonts w:cs="Times New Roman"/>
              </w:rPr>
              <w:t>provođenje edukacije u cilju povećanja spremnosti žurnih službi pri korištenju AVD</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377</w:t>
            </w:r>
          </w:p>
        </w:tc>
        <w:tc>
          <w:tcPr>
            <w:tcW w:w="1020" w:type="dxa"/>
          </w:tcPr>
          <w:p w:rsidR="00505632" w:rsidRDefault="00505632" w:rsidP="00AD4E52">
            <w:pPr>
              <w:pStyle w:val="CellColumn"/>
              <w:jc w:val="right"/>
            </w:pPr>
            <w:r>
              <w:rPr>
                <w:rFonts w:cs="Times New Roman"/>
              </w:rPr>
              <w:t>HZHM</w:t>
            </w:r>
          </w:p>
        </w:tc>
        <w:tc>
          <w:tcPr>
            <w:tcW w:w="1020" w:type="dxa"/>
          </w:tcPr>
          <w:p w:rsidR="00505632" w:rsidRDefault="00505632" w:rsidP="00AD4E52">
            <w:pPr>
              <w:pStyle w:val="CellColumn"/>
              <w:jc w:val="right"/>
            </w:pPr>
            <w:r>
              <w:rPr>
                <w:rFonts w:cs="Times New Roman"/>
              </w:rPr>
              <w:t>477</w:t>
            </w:r>
          </w:p>
        </w:tc>
        <w:tc>
          <w:tcPr>
            <w:tcW w:w="1020" w:type="dxa"/>
          </w:tcPr>
          <w:p w:rsidR="00505632" w:rsidRDefault="00505632" w:rsidP="00AD4E52">
            <w:pPr>
              <w:pStyle w:val="CellColumn"/>
              <w:jc w:val="right"/>
            </w:pPr>
            <w:r>
              <w:rPr>
                <w:rFonts w:cs="Times New Roman"/>
              </w:rPr>
              <w:t>479</w:t>
            </w:r>
          </w:p>
        </w:tc>
      </w:tr>
      <w:tr w:rsidR="00505632" w:rsidTr="00AD4E52">
        <w:trPr>
          <w:jc w:val="center"/>
        </w:trPr>
        <w:tc>
          <w:tcPr>
            <w:tcW w:w="2551" w:type="dxa"/>
          </w:tcPr>
          <w:p w:rsidR="00505632" w:rsidRDefault="00505632" w:rsidP="00AD4E52">
            <w:pPr>
              <w:pStyle w:val="CellColumn"/>
              <w:jc w:val="left"/>
            </w:pPr>
            <w:r>
              <w:rPr>
                <w:rFonts w:cs="Times New Roman"/>
              </w:rPr>
              <w:t>broj educiranih laika u programu javno dostupne rane defibrilacije</w:t>
            </w:r>
          </w:p>
        </w:tc>
        <w:tc>
          <w:tcPr>
            <w:tcW w:w="2551" w:type="dxa"/>
          </w:tcPr>
          <w:p w:rsidR="00505632" w:rsidRDefault="00505632" w:rsidP="00AD4E52">
            <w:pPr>
              <w:pStyle w:val="CellColumn"/>
              <w:jc w:val="left"/>
            </w:pPr>
            <w:r>
              <w:rPr>
                <w:rFonts w:cs="Times New Roman"/>
              </w:rPr>
              <w:t>provođenje edukacije u cilju povećanja spremnosti građana pri korištenju AVD</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318</w:t>
            </w:r>
          </w:p>
        </w:tc>
        <w:tc>
          <w:tcPr>
            <w:tcW w:w="1020" w:type="dxa"/>
          </w:tcPr>
          <w:p w:rsidR="00505632" w:rsidRDefault="00505632" w:rsidP="00AD4E52">
            <w:pPr>
              <w:pStyle w:val="CellColumn"/>
              <w:jc w:val="right"/>
            </w:pPr>
            <w:r>
              <w:rPr>
                <w:rFonts w:cs="Times New Roman"/>
              </w:rPr>
              <w:t>HZHM</w:t>
            </w:r>
          </w:p>
        </w:tc>
        <w:tc>
          <w:tcPr>
            <w:tcW w:w="1020" w:type="dxa"/>
          </w:tcPr>
          <w:p w:rsidR="00505632" w:rsidRDefault="00505632" w:rsidP="00AD4E52">
            <w:pPr>
              <w:pStyle w:val="CellColumn"/>
              <w:jc w:val="right"/>
            </w:pPr>
            <w:r>
              <w:rPr>
                <w:rFonts w:cs="Times New Roman"/>
              </w:rPr>
              <w:t>518</w:t>
            </w:r>
          </w:p>
        </w:tc>
        <w:tc>
          <w:tcPr>
            <w:tcW w:w="1020" w:type="dxa"/>
          </w:tcPr>
          <w:p w:rsidR="00505632" w:rsidRDefault="00505632" w:rsidP="00AD4E52">
            <w:pPr>
              <w:pStyle w:val="CellColumn"/>
              <w:jc w:val="right"/>
            </w:pPr>
            <w:r>
              <w:rPr>
                <w:rFonts w:cs="Times New Roman"/>
              </w:rPr>
              <w:t>522</w:t>
            </w:r>
          </w:p>
        </w:tc>
      </w:tr>
    </w:tbl>
    <w:p w:rsidR="00505632" w:rsidRDefault="00505632" w:rsidP="00505632">
      <w:pPr>
        <w:jc w:val="left"/>
      </w:pPr>
    </w:p>
    <w:p w:rsidR="00505632" w:rsidRDefault="00505632" w:rsidP="009A5ACF">
      <w:pPr>
        <w:overflowPunct/>
        <w:autoSpaceDE/>
        <w:autoSpaceDN/>
        <w:adjustRightInd/>
        <w:spacing w:after="200" w:line="276" w:lineRule="auto"/>
        <w:jc w:val="left"/>
        <w:textAlignment w:val="auto"/>
      </w:pPr>
      <w:r>
        <w:br w:type="page"/>
      </w:r>
    </w:p>
    <w:p w:rsidR="00505632" w:rsidRDefault="00505632" w:rsidP="00505632">
      <w:pPr>
        <w:pStyle w:val="Heading1"/>
      </w:pPr>
      <w:r>
        <w:t>102 MINISTARSTVO ZA DEMOGRAFIJU, OBITELJ, MLADE I SOCIJALNU POLITIKU</w:t>
      </w:r>
    </w:p>
    <w:p w:rsidR="00505632" w:rsidRDefault="00505632" w:rsidP="00505632">
      <w:r>
        <w:t>Ministarstvo obavlja upravne i stručne poslove savjetovanja koji se odnose na: posebnu zaštitu obitelji u kojima su narušeni međusobni odnosi; zaštitu djece čiji roditelji žive odvojeno, zaštitu djece bez odgovarajuće roditeljske skrbi, poticanje odgovornog roditeljstva, uzdržavanja i skrbi o članovima obitelji; poticanje razvoja programa rada u zajednici, razvoja i afirmacije volonterstva i rada udruga građana koje su potpora roditeljima, obitelji, djeci, mladima, osobama s invaliditetom i starijim osobama, te svim socijalno osjetljivim skupinama stanovništva; poticanje i osnivanje savjetovališta za djecu, mlade, roditelje, osobe s invaliditetom, starije osobe i žrtve obiteljskog nasilja te obavljanje stručnog i inspekcijskog nadzora nad njihovim radom; proučavanje i istraživanje suvremenih problema obitelji, djece, mladih, osoba s invaliditetom i starijih osoba, te pružanje preventivno terapijske pomoći; sudjeluje u pripremi programa i projekata te provedbi projekata iz programa Europske unije i ostalih oblika međunarodne pomoći iz njegove nadležnosti.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10205-Ministarstvo za demografiju, obitelj, mlade i socijalnu politiku</w:t>
            </w:r>
          </w:p>
        </w:tc>
        <w:tc>
          <w:tcPr>
            <w:tcW w:w="2041" w:type="dxa"/>
            <w:vAlign w:val="top"/>
          </w:tcPr>
          <w:p w:rsidR="00505632" w:rsidRDefault="00505632" w:rsidP="00AD4E52">
            <w:pPr>
              <w:pStyle w:val="CellColumn"/>
              <w:jc w:val="right"/>
            </w:pPr>
            <w:r>
              <w:rPr>
                <w:rFonts w:cs="Times New Roman"/>
              </w:rPr>
              <w:t>1.673.321.186</w:t>
            </w:r>
          </w:p>
        </w:tc>
        <w:tc>
          <w:tcPr>
            <w:tcW w:w="2041" w:type="dxa"/>
            <w:vAlign w:val="top"/>
          </w:tcPr>
          <w:p w:rsidR="00505632" w:rsidRDefault="00505632" w:rsidP="00AD4E52">
            <w:pPr>
              <w:pStyle w:val="CellColumn"/>
              <w:jc w:val="right"/>
            </w:pPr>
            <w:r>
              <w:rPr>
                <w:rFonts w:cs="Times New Roman"/>
              </w:rPr>
              <w:t>1.788.005.388</w:t>
            </w:r>
          </w:p>
        </w:tc>
        <w:tc>
          <w:tcPr>
            <w:tcW w:w="2041" w:type="dxa"/>
            <w:vAlign w:val="top"/>
          </w:tcPr>
          <w:p w:rsidR="00505632" w:rsidRDefault="00505632" w:rsidP="00AD4E52">
            <w:pPr>
              <w:pStyle w:val="CellColumn"/>
              <w:jc w:val="right"/>
            </w:pPr>
            <w:r>
              <w:rPr>
                <w:rFonts w:cs="Times New Roman"/>
              </w:rPr>
              <w:t>1.729.703.787</w:t>
            </w:r>
          </w:p>
        </w:tc>
        <w:tc>
          <w:tcPr>
            <w:tcW w:w="1224" w:type="dxa"/>
            <w:vAlign w:val="top"/>
          </w:tcPr>
          <w:p w:rsidR="00505632" w:rsidRDefault="00505632" w:rsidP="00AD4E52">
            <w:pPr>
              <w:pStyle w:val="CellColumn"/>
              <w:jc w:val="right"/>
            </w:pPr>
            <w:r>
              <w:rPr>
                <w:rFonts w:cs="Times New Roman"/>
              </w:rPr>
              <w:t>96,7</w:t>
            </w:r>
          </w:p>
        </w:tc>
        <w:tc>
          <w:tcPr>
            <w:tcW w:w="1224" w:type="dxa"/>
            <w:vAlign w:val="top"/>
          </w:tcPr>
          <w:p w:rsidR="00505632" w:rsidRDefault="00505632" w:rsidP="00AD4E52">
            <w:pPr>
              <w:pStyle w:val="CellColumn"/>
              <w:jc w:val="right"/>
            </w:pPr>
            <w:r>
              <w:rPr>
                <w:rFonts w:cs="Times New Roman"/>
              </w:rPr>
              <w:t>103,4</w:t>
            </w:r>
          </w:p>
        </w:tc>
      </w:tr>
      <w:tr w:rsidR="00505632" w:rsidTr="00AD4E52">
        <w:trPr>
          <w:jc w:val="center"/>
        </w:trPr>
        <w:tc>
          <w:tcPr>
            <w:tcW w:w="1632" w:type="dxa"/>
            <w:vAlign w:val="top"/>
          </w:tcPr>
          <w:p w:rsidR="00505632" w:rsidRDefault="00505632" w:rsidP="00AD4E52">
            <w:pPr>
              <w:pStyle w:val="CellColumn"/>
              <w:jc w:val="left"/>
            </w:pPr>
            <w:r>
              <w:rPr>
                <w:rFonts w:cs="Times New Roman"/>
              </w:rPr>
              <w:t>10208-Proračunski  korisnici u socijalnoj skrbi</w:t>
            </w:r>
          </w:p>
        </w:tc>
        <w:tc>
          <w:tcPr>
            <w:tcW w:w="2041" w:type="dxa"/>
            <w:vAlign w:val="top"/>
          </w:tcPr>
          <w:p w:rsidR="00505632" w:rsidRDefault="00505632" w:rsidP="00AD4E52">
            <w:pPr>
              <w:pStyle w:val="CellColumn"/>
              <w:jc w:val="right"/>
            </w:pPr>
            <w:r>
              <w:rPr>
                <w:rFonts w:cs="Times New Roman"/>
              </w:rPr>
              <w:t>2.876.327.525</w:t>
            </w:r>
          </w:p>
        </w:tc>
        <w:tc>
          <w:tcPr>
            <w:tcW w:w="2041" w:type="dxa"/>
            <w:vAlign w:val="top"/>
          </w:tcPr>
          <w:p w:rsidR="00505632" w:rsidRDefault="00505632" w:rsidP="00AD4E52">
            <w:pPr>
              <w:pStyle w:val="CellColumn"/>
              <w:jc w:val="right"/>
            </w:pPr>
            <w:r>
              <w:rPr>
                <w:rFonts w:cs="Times New Roman"/>
              </w:rPr>
              <w:t>2.970.078.196</w:t>
            </w:r>
          </w:p>
        </w:tc>
        <w:tc>
          <w:tcPr>
            <w:tcW w:w="2041" w:type="dxa"/>
            <w:vAlign w:val="top"/>
          </w:tcPr>
          <w:p w:rsidR="00505632" w:rsidRDefault="00505632" w:rsidP="00AD4E52">
            <w:pPr>
              <w:pStyle w:val="CellColumn"/>
              <w:jc w:val="right"/>
            </w:pPr>
            <w:r>
              <w:rPr>
                <w:rFonts w:cs="Times New Roman"/>
              </w:rPr>
              <w:t>2.938.631.566</w:t>
            </w:r>
          </w:p>
        </w:tc>
        <w:tc>
          <w:tcPr>
            <w:tcW w:w="1224" w:type="dxa"/>
            <w:vAlign w:val="top"/>
          </w:tcPr>
          <w:p w:rsidR="00505632" w:rsidRDefault="00505632" w:rsidP="00AD4E52">
            <w:pPr>
              <w:pStyle w:val="CellColumn"/>
              <w:jc w:val="right"/>
            </w:pPr>
            <w:r>
              <w:rPr>
                <w:rFonts w:cs="Times New Roman"/>
              </w:rPr>
              <w:t>98,9</w:t>
            </w:r>
          </w:p>
        </w:tc>
        <w:tc>
          <w:tcPr>
            <w:tcW w:w="1224" w:type="dxa"/>
            <w:vAlign w:val="top"/>
          </w:tcPr>
          <w:p w:rsidR="00505632" w:rsidRDefault="00505632" w:rsidP="00AD4E52">
            <w:pPr>
              <w:pStyle w:val="CellColumn"/>
              <w:jc w:val="right"/>
            </w:pPr>
            <w:r>
              <w:rPr>
                <w:rFonts w:cs="Times New Roman"/>
              </w:rPr>
              <w:t>102,2</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102-MINISTARSTVO ZA DEMOGRAFIJU, OBITELJ, MLADE I SOCIJALNU POLITIKU</w:t>
            </w:r>
          </w:p>
        </w:tc>
        <w:tc>
          <w:tcPr>
            <w:tcW w:w="2041" w:type="dxa"/>
            <w:shd w:val="clear" w:color="auto" w:fill="B5C0D8"/>
          </w:tcPr>
          <w:p w:rsidR="00505632" w:rsidRDefault="00505632" w:rsidP="00AD4E52">
            <w:pPr>
              <w:pStyle w:val="CellColumn"/>
              <w:jc w:val="right"/>
            </w:pPr>
            <w:r>
              <w:rPr>
                <w:rFonts w:cs="Times New Roman"/>
              </w:rPr>
              <w:t>4.549.648.712</w:t>
            </w:r>
          </w:p>
        </w:tc>
        <w:tc>
          <w:tcPr>
            <w:tcW w:w="2041" w:type="dxa"/>
            <w:shd w:val="clear" w:color="auto" w:fill="B5C0D8"/>
          </w:tcPr>
          <w:p w:rsidR="00505632" w:rsidRDefault="00505632" w:rsidP="00AD4E52">
            <w:pPr>
              <w:pStyle w:val="CellColumn"/>
              <w:jc w:val="right"/>
            </w:pPr>
            <w:r>
              <w:rPr>
                <w:rFonts w:cs="Times New Roman"/>
              </w:rPr>
              <w:t>4.758.083.584</w:t>
            </w:r>
          </w:p>
        </w:tc>
        <w:tc>
          <w:tcPr>
            <w:tcW w:w="2041" w:type="dxa"/>
            <w:shd w:val="clear" w:color="auto" w:fill="B5C0D8"/>
          </w:tcPr>
          <w:p w:rsidR="00505632" w:rsidRDefault="00505632" w:rsidP="00AD4E52">
            <w:pPr>
              <w:pStyle w:val="CellColumn"/>
              <w:jc w:val="right"/>
            </w:pPr>
            <w:r>
              <w:rPr>
                <w:rFonts w:cs="Times New Roman"/>
              </w:rPr>
              <w:t>4.668.335.353</w:t>
            </w:r>
          </w:p>
        </w:tc>
        <w:tc>
          <w:tcPr>
            <w:tcW w:w="1224" w:type="dxa"/>
            <w:shd w:val="clear" w:color="auto" w:fill="B5C0D8"/>
          </w:tcPr>
          <w:p w:rsidR="00505632" w:rsidRDefault="00505632" w:rsidP="00AD4E52">
            <w:pPr>
              <w:pStyle w:val="CellColumn"/>
              <w:jc w:val="right"/>
            </w:pPr>
            <w:r>
              <w:rPr>
                <w:rFonts w:cs="Times New Roman"/>
              </w:rPr>
              <w:t>98,1</w:t>
            </w:r>
          </w:p>
        </w:tc>
        <w:tc>
          <w:tcPr>
            <w:tcW w:w="1224" w:type="dxa"/>
            <w:shd w:val="clear" w:color="auto" w:fill="B5C0D8"/>
          </w:tcPr>
          <w:p w:rsidR="00505632" w:rsidRDefault="00505632" w:rsidP="00AD4E52">
            <w:pPr>
              <w:pStyle w:val="CellColumn"/>
              <w:jc w:val="right"/>
            </w:pPr>
            <w:r>
              <w:rPr>
                <w:rFonts w:cs="Times New Roman"/>
              </w:rPr>
              <w:t>102,6</w:t>
            </w:r>
          </w:p>
        </w:tc>
      </w:tr>
    </w:tbl>
    <w:p w:rsidR="00505632" w:rsidRDefault="00505632" w:rsidP="00505632">
      <w:pPr>
        <w:jc w:val="left"/>
      </w:pPr>
    </w:p>
    <w:p w:rsidR="00505632" w:rsidRDefault="00505632" w:rsidP="00505632">
      <w:pPr>
        <w:pStyle w:val="Heading2"/>
      </w:pPr>
      <w:r>
        <w:t>10205 Ministarstvo za demografiju, obitelj, mlade i socijalnu politiku</w:t>
      </w:r>
    </w:p>
    <w:p w:rsidR="00505632" w:rsidRDefault="00505632" w:rsidP="00505632">
      <w:r>
        <w:t>Ministarstvo obavlja upravne i stručne poslove savjetovanja koji se odnose na: posebnu zaštitu obitelji u kojima su narušeni međusobni odnosi; zaštitu djece čiji roditelji žive odvojeno, zaštitu djece bez odgovarajuće roditeljske skrbi, poticanje odgovornog roditeljstva, uzdržavanja i skrbi o članovima obitelji; poticanje razvoja programa rada u zajednici, razvoja i afirmacije volonterstva i rada udruga građana koje su potpora roditeljima, obitelji, djeci, mladima, osobama s invaliditetom i starijim osobama, te svim socijalno osjetljivim skupinama stanovništva; poticanje i osnivanje savjetovališta za djecu, mlade, roditelje, osobe s invaliditetom, starije osobe i žrtve obiteljskog nasilja te obavljanje stručnog i inspekcijskog nadzora nad njihovim radom; proučavanje i istraživanje suvremenih problema obitelji, djece, mladih, osoba s invaliditetom i starijih osoba, te pružanje preventivno terapijske pomoći; sudjeluje u pripremi programa i projekata te provedbi projekata iz programa Europske unije i ostalih oblika međunarodne pomoći iz njegove nadležnosti.</w:t>
      </w:r>
    </w:p>
    <w:p w:rsidR="00505632" w:rsidRDefault="00505632" w:rsidP="00505632"/>
    <w:tbl>
      <w:tblPr>
        <w:tblStyle w:val="StilTablice"/>
        <w:tblW w:w="10206" w:type="dxa"/>
        <w:jc w:val="center"/>
        <w:tblLook w:val="04A0" w:firstRow="1" w:lastRow="0" w:firstColumn="1" w:lastColumn="0" w:noHBand="0" w:noVBand="1"/>
      </w:tblPr>
      <w:tblGrid>
        <w:gridCol w:w="1703"/>
        <w:gridCol w:w="2021"/>
        <w:gridCol w:w="2022"/>
        <w:gridCol w:w="2022"/>
        <w:gridCol w:w="1218"/>
        <w:gridCol w:w="1220"/>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10205-Ministarstvo za demografiju, obitelj, mlade i socijalnu politiku</w:t>
            </w:r>
          </w:p>
        </w:tc>
        <w:tc>
          <w:tcPr>
            <w:tcW w:w="2041" w:type="dxa"/>
            <w:vAlign w:val="top"/>
          </w:tcPr>
          <w:p w:rsidR="00505632" w:rsidRDefault="00505632" w:rsidP="00AD4E52">
            <w:pPr>
              <w:pStyle w:val="CellColumn"/>
              <w:jc w:val="right"/>
            </w:pPr>
            <w:r>
              <w:rPr>
                <w:rFonts w:cs="Times New Roman"/>
              </w:rPr>
              <w:t>1.673.321.186</w:t>
            </w:r>
          </w:p>
        </w:tc>
        <w:tc>
          <w:tcPr>
            <w:tcW w:w="2041" w:type="dxa"/>
            <w:vAlign w:val="top"/>
          </w:tcPr>
          <w:p w:rsidR="00505632" w:rsidRDefault="00505632" w:rsidP="00AD4E52">
            <w:pPr>
              <w:pStyle w:val="CellColumn"/>
              <w:jc w:val="right"/>
            </w:pPr>
            <w:r>
              <w:rPr>
                <w:rFonts w:cs="Times New Roman"/>
              </w:rPr>
              <w:t>1.788.005.388</w:t>
            </w:r>
          </w:p>
        </w:tc>
        <w:tc>
          <w:tcPr>
            <w:tcW w:w="2041" w:type="dxa"/>
            <w:vAlign w:val="top"/>
          </w:tcPr>
          <w:p w:rsidR="00505632" w:rsidRDefault="00505632" w:rsidP="00AD4E52">
            <w:pPr>
              <w:pStyle w:val="CellColumn"/>
              <w:jc w:val="right"/>
            </w:pPr>
            <w:r>
              <w:rPr>
                <w:rFonts w:cs="Times New Roman"/>
              </w:rPr>
              <w:t>1.729.703.787</w:t>
            </w:r>
          </w:p>
        </w:tc>
        <w:tc>
          <w:tcPr>
            <w:tcW w:w="1224" w:type="dxa"/>
            <w:vAlign w:val="top"/>
          </w:tcPr>
          <w:p w:rsidR="00505632" w:rsidRDefault="00505632" w:rsidP="00AD4E52">
            <w:pPr>
              <w:pStyle w:val="CellColumn"/>
              <w:jc w:val="right"/>
            </w:pPr>
            <w:r>
              <w:rPr>
                <w:rFonts w:cs="Times New Roman"/>
              </w:rPr>
              <w:t>96,7</w:t>
            </w:r>
          </w:p>
        </w:tc>
        <w:tc>
          <w:tcPr>
            <w:tcW w:w="1224" w:type="dxa"/>
            <w:vAlign w:val="top"/>
          </w:tcPr>
          <w:p w:rsidR="00505632" w:rsidRDefault="00505632" w:rsidP="00AD4E52">
            <w:pPr>
              <w:pStyle w:val="CellColumn"/>
              <w:jc w:val="right"/>
            </w:pPr>
            <w:r>
              <w:rPr>
                <w:rFonts w:cs="Times New Roman"/>
              </w:rPr>
              <w:t>103,4</w:t>
            </w:r>
          </w:p>
        </w:tc>
      </w:tr>
      <w:tr w:rsidR="00505632" w:rsidTr="00AD4E52">
        <w:trPr>
          <w:jc w:val="center"/>
        </w:trPr>
        <w:tc>
          <w:tcPr>
            <w:tcW w:w="1632" w:type="dxa"/>
          </w:tcPr>
          <w:p w:rsidR="00505632" w:rsidRDefault="00505632" w:rsidP="00AD4E52">
            <w:pPr>
              <w:jc w:val="left"/>
            </w:pPr>
            <w:r>
              <w:t>4001-SOCIJALNE POMOĆI I NAKNADE</w:t>
            </w:r>
          </w:p>
        </w:tc>
        <w:tc>
          <w:tcPr>
            <w:tcW w:w="2041" w:type="dxa"/>
          </w:tcPr>
          <w:p w:rsidR="00505632" w:rsidRDefault="00505632" w:rsidP="00AD4E52">
            <w:pPr>
              <w:jc w:val="right"/>
            </w:pPr>
            <w:r>
              <w:t>15.409.842</w:t>
            </w:r>
          </w:p>
        </w:tc>
        <w:tc>
          <w:tcPr>
            <w:tcW w:w="2041" w:type="dxa"/>
          </w:tcPr>
          <w:p w:rsidR="00505632" w:rsidRDefault="00505632" w:rsidP="00AD4E52">
            <w:pPr>
              <w:jc w:val="right"/>
            </w:pPr>
            <w:r>
              <w:t>43.509.600</w:t>
            </w:r>
          </w:p>
        </w:tc>
        <w:tc>
          <w:tcPr>
            <w:tcW w:w="2041" w:type="dxa"/>
          </w:tcPr>
          <w:p w:rsidR="00505632" w:rsidRDefault="00505632" w:rsidP="00AD4E52">
            <w:pPr>
              <w:jc w:val="right"/>
            </w:pPr>
            <w:r>
              <w:t>41.503.546</w:t>
            </w:r>
          </w:p>
        </w:tc>
        <w:tc>
          <w:tcPr>
            <w:tcW w:w="1224" w:type="dxa"/>
          </w:tcPr>
          <w:p w:rsidR="00505632" w:rsidRDefault="00505632" w:rsidP="00AD4E52">
            <w:pPr>
              <w:jc w:val="right"/>
            </w:pPr>
            <w:r>
              <w:t>95,4</w:t>
            </w:r>
          </w:p>
        </w:tc>
        <w:tc>
          <w:tcPr>
            <w:tcW w:w="1224" w:type="dxa"/>
          </w:tcPr>
          <w:p w:rsidR="00505632" w:rsidRDefault="00505632" w:rsidP="00AD4E52">
            <w:pPr>
              <w:jc w:val="right"/>
            </w:pPr>
            <w:r>
              <w:t>269,3</w:t>
            </w:r>
          </w:p>
        </w:tc>
      </w:tr>
      <w:tr w:rsidR="00505632" w:rsidTr="00AD4E52">
        <w:trPr>
          <w:jc w:val="center"/>
        </w:trPr>
        <w:tc>
          <w:tcPr>
            <w:tcW w:w="1632" w:type="dxa"/>
          </w:tcPr>
          <w:p w:rsidR="00505632" w:rsidRDefault="00505632" w:rsidP="00AD4E52">
            <w:pPr>
              <w:jc w:val="left"/>
            </w:pPr>
            <w:r>
              <w:t>4002-SKRB ZA SOCIJALNO OSJETLJIVE SKUPINE</w:t>
            </w:r>
          </w:p>
        </w:tc>
        <w:tc>
          <w:tcPr>
            <w:tcW w:w="2041" w:type="dxa"/>
          </w:tcPr>
          <w:p w:rsidR="00505632" w:rsidRDefault="00505632" w:rsidP="00AD4E52">
            <w:pPr>
              <w:jc w:val="right"/>
            </w:pPr>
            <w:r>
              <w:t>338.862.819</w:t>
            </w:r>
          </w:p>
        </w:tc>
        <w:tc>
          <w:tcPr>
            <w:tcW w:w="2041" w:type="dxa"/>
          </w:tcPr>
          <w:p w:rsidR="00505632" w:rsidRDefault="00505632" w:rsidP="00AD4E52">
            <w:pPr>
              <w:jc w:val="right"/>
            </w:pPr>
            <w:r>
              <w:t>353.313.475</w:t>
            </w:r>
          </w:p>
        </w:tc>
        <w:tc>
          <w:tcPr>
            <w:tcW w:w="2041" w:type="dxa"/>
          </w:tcPr>
          <w:p w:rsidR="00505632" w:rsidRDefault="00505632" w:rsidP="00AD4E52">
            <w:pPr>
              <w:jc w:val="right"/>
            </w:pPr>
            <w:r>
              <w:t>347.030.077</w:t>
            </w:r>
          </w:p>
        </w:tc>
        <w:tc>
          <w:tcPr>
            <w:tcW w:w="1224" w:type="dxa"/>
          </w:tcPr>
          <w:p w:rsidR="00505632" w:rsidRDefault="00505632" w:rsidP="00AD4E52">
            <w:pPr>
              <w:jc w:val="right"/>
            </w:pPr>
            <w:r>
              <w:t>98,2</w:t>
            </w:r>
          </w:p>
        </w:tc>
        <w:tc>
          <w:tcPr>
            <w:tcW w:w="1224" w:type="dxa"/>
          </w:tcPr>
          <w:p w:rsidR="00505632" w:rsidRDefault="00505632" w:rsidP="00AD4E52">
            <w:pPr>
              <w:jc w:val="right"/>
            </w:pPr>
            <w:r>
              <w:t>102,4</w:t>
            </w:r>
          </w:p>
        </w:tc>
      </w:tr>
      <w:tr w:rsidR="00505632" w:rsidTr="00AD4E52">
        <w:trPr>
          <w:jc w:val="center"/>
        </w:trPr>
        <w:tc>
          <w:tcPr>
            <w:tcW w:w="1632" w:type="dxa"/>
          </w:tcPr>
          <w:p w:rsidR="00505632" w:rsidRDefault="00505632" w:rsidP="00AD4E52">
            <w:pPr>
              <w:jc w:val="left"/>
            </w:pPr>
            <w:r>
              <w:t>4003-PODIZANJE KVALITETE I DOSTUPNOSTI SOCIJALNE SKRBI</w:t>
            </w:r>
          </w:p>
        </w:tc>
        <w:tc>
          <w:tcPr>
            <w:tcW w:w="2041" w:type="dxa"/>
          </w:tcPr>
          <w:p w:rsidR="00505632" w:rsidRDefault="00505632" w:rsidP="00AD4E52">
            <w:pPr>
              <w:jc w:val="right"/>
            </w:pPr>
            <w:r>
              <w:t>81.212.764</w:t>
            </w:r>
          </w:p>
        </w:tc>
        <w:tc>
          <w:tcPr>
            <w:tcW w:w="2041" w:type="dxa"/>
          </w:tcPr>
          <w:p w:rsidR="00505632" w:rsidRDefault="00505632" w:rsidP="00AD4E52">
            <w:pPr>
              <w:jc w:val="right"/>
            </w:pPr>
            <w:r>
              <w:t>165.712.014</w:t>
            </w:r>
          </w:p>
        </w:tc>
        <w:tc>
          <w:tcPr>
            <w:tcW w:w="2041" w:type="dxa"/>
          </w:tcPr>
          <w:p w:rsidR="00505632" w:rsidRDefault="00505632" w:rsidP="00AD4E52">
            <w:pPr>
              <w:jc w:val="right"/>
            </w:pPr>
            <w:r>
              <w:t>132.775.612</w:t>
            </w:r>
          </w:p>
        </w:tc>
        <w:tc>
          <w:tcPr>
            <w:tcW w:w="1224" w:type="dxa"/>
          </w:tcPr>
          <w:p w:rsidR="00505632" w:rsidRDefault="00505632" w:rsidP="00AD4E52">
            <w:pPr>
              <w:jc w:val="right"/>
            </w:pPr>
            <w:r>
              <w:t>80,1</w:t>
            </w:r>
          </w:p>
        </w:tc>
        <w:tc>
          <w:tcPr>
            <w:tcW w:w="1224" w:type="dxa"/>
          </w:tcPr>
          <w:p w:rsidR="00505632" w:rsidRDefault="00505632" w:rsidP="00AD4E52">
            <w:pPr>
              <w:jc w:val="right"/>
            </w:pPr>
            <w:r>
              <w:t>163,5</w:t>
            </w:r>
          </w:p>
        </w:tc>
      </w:tr>
      <w:tr w:rsidR="00505632" w:rsidTr="00AD4E52">
        <w:trPr>
          <w:jc w:val="center"/>
        </w:trPr>
        <w:tc>
          <w:tcPr>
            <w:tcW w:w="1632" w:type="dxa"/>
          </w:tcPr>
          <w:p w:rsidR="00505632" w:rsidRDefault="00505632" w:rsidP="00AD4E52">
            <w:pPr>
              <w:jc w:val="left"/>
            </w:pPr>
            <w:r>
              <w:t>4005-SOCIJALNO OSNAŽIVANJE OBITELJI, MLADIH I DJECE</w:t>
            </w:r>
          </w:p>
        </w:tc>
        <w:tc>
          <w:tcPr>
            <w:tcW w:w="2041" w:type="dxa"/>
          </w:tcPr>
          <w:p w:rsidR="00505632" w:rsidRDefault="00505632" w:rsidP="00AD4E52">
            <w:pPr>
              <w:jc w:val="right"/>
            </w:pPr>
            <w:r>
              <w:t>1.202.606.042</w:t>
            </w:r>
          </w:p>
        </w:tc>
        <w:tc>
          <w:tcPr>
            <w:tcW w:w="2041" w:type="dxa"/>
          </w:tcPr>
          <w:p w:rsidR="00505632" w:rsidRDefault="00505632" w:rsidP="00AD4E52">
            <w:pPr>
              <w:jc w:val="right"/>
            </w:pPr>
            <w:r>
              <w:t>1.180.487.745</w:t>
            </w:r>
          </w:p>
        </w:tc>
        <w:tc>
          <w:tcPr>
            <w:tcW w:w="2041" w:type="dxa"/>
          </w:tcPr>
          <w:p w:rsidR="00505632" w:rsidRDefault="00505632" w:rsidP="00AD4E52">
            <w:pPr>
              <w:jc w:val="right"/>
            </w:pPr>
            <w:r>
              <w:t>1.169.323.918</w:t>
            </w:r>
          </w:p>
        </w:tc>
        <w:tc>
          <w:tcPr>
            <w:tcW w:w="1224" w:type="dxa"/>
          </w:tcPr>
          <w:p w:rsidR="00505632" w:rsidRDefault="00505632" w:rsidP="00AD4E52">
            <w:pPr>
              <w:jc w:val="right"/>
            </w:pPr>
            <w:r>
              <w:t>99,1</w:t>
            </w:r>
          </w:p>
        </w:tc>
        <w:tc>
          <w:tcPr>
            <w:tcW w:w="1224" w:type="dxa"/>
          </w:tcPr>
          <w:p w:rsidR="00505632" w:rsidRDefault="00505632" w:rsidP="00AD4E52">
            <w:pPr>
              <w:jc w:val="right"/>
            </w:pPr>
            <w:r>
              <w:t>97,2</w:t>
            </w:r>
          </w:p>
        </w:tc>
      </w:tr>
      <w:tr w:rsidR="00505632" w:rsidTr="00AD4E52">
        <w:trPr>
          <w:jc w:val="center"/>
        </w:trPr>
        <w:tc>
          <w:tcPr>
            <w:tcW w:w="1632" w:type="dxa"/>
          </w:tcPr>
          <w:p w:rsidR="00505632" w:rsidRDefault="00505632" w:rsidP="00AD4E52">
            <w:pPr>
              <w:jc w:val="left"/>
            </w:pPr>
            <w:r>
              <w:t>4006-SOCIJALNO OSNAŽIVANJE OSOBA S INVALIDITETOM</w:t>
            </w:r>
          </w:p>
        </w:tc>
        <w:tc>
          <w:tcPr>
            <w:tcW w:w="2041" w:type="dxa"/>
          </w:tcPr>
          <w:p w:rsidR="00505632" w:rsidRDefault="00505632" w:rsidP="00AD4E52">
            <w:pPr>
              <w:jc w:val="right"/>
            </w:pPr>
            <w:r>
              <w:t>35.229.720</w:t>
            </w:r>
          </w:p>
        </w:tc>
        <w:tc>
          <w:tcPr>
            <w:tcW w:w="2041" w:type="dxa"/>
          </w:tcPr>
          <w:p w:rsidR="00505632" w:rsidRDefault="00505632" w:rsidP="00AD4E52">
            <w:pPr>
              <w:jc w:val="right"/>
            </w:pPr>
            <w:r>
              <w:t>44.982.554</w:t>
            </w:r>
          </w:p>
        </w:tc>
        <w:tc>
          <w:tcPr>
            <w:tcW w:w="2041" w:type="dxa"/>
          </w:tcPr>
          <w:p w:rsidR="00505632" w:rsidRDefault="00505632" w:rsidP="00AD4E52">
            <w:pPr>
              <w:jc w:val="right"/>
            </w:pPr>
            <w:r>
              <w:t>39.070.635</w:t>
            </w:r>
          </w:p>
        </w:tc>
        <w:tc>
          <w:tcPr>
            <w:tcW w:w="1224" w:type="dxa"/>
          </w:tcPr>
          <w:p w:rsidR="00505632" w:rsidRDefault="00505632" w:rsidP="00AD4E52">
            <w:pPr>
              <w:jc w:val="right"/>
            </w:pPr>
            <w:r>
              <w:t>86,9</w:t>
            </w:r>
          </w:p>
        </w:tc>
        <w:tc>
          <w:tcPr>
            <w:tcW w:w="1224" w:type="dxa"/>
          </w:tcPr>
          <w:p w:rsidR="00505632" w:rsidRDefault="00505632" w:rsidP="00AD4E52">
            <w:pPr>
              <w:jc w:val="right"/>
            </w:pPr>
            <w:r>
              <w:t>110,9</w:t>
            </w:r>
          </w:p>
        </w:tc>
      </w:tr>
    </w:tbl>
    <w:p w:rsidR="00505632" w:rsidRDefault="00505632" w:rsidP="00505632">
      <w:pPr>
        <w:jc w:val="left"/>
      </w:pPr>
    </w:p>
    <w:p w:rsidR="00505632" w:rsidRDefault="00505632" w:rsidP="00505632">
      <w:pPr>
        <w:pStyle w:val="Heading4"/>
      </w:pPr>
      <w:r>
        <w:t>A734189 UDRUGE U SOCIJALNOJ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A734189-UDRUGE U SOCIJALNOJ SKRBI</w:t>
            </w:r>
          </w:p>
        </w:tc>
        <w:tc>
          <w:tcPr>
            <w:tcW w:w="2041" w:type="dxa"/>
          </w:tcPr>
          <w:p w:rsidR="00505632" w:rsidRDefault="00505632" w:rsidP="00AD4E52">
            <w:pPr>
              <w:pStyle w:val="CellColumn"/>
              <w:jc w:val="right"/>
            </w:pPr>
            <w:r>
              <w:rPr>
                <w:rFonts w:cs="Times New Roman"/>
              </w:rPr>
              <w:t>44.508.800</w:t>
            </w:r>
          </w:p>
        </w:tc>
        <w:tc>
          <w:tcPr>
            <w:tcW w:w="2041" w:type="dxa"/>
          </w:tcPr>
          <w:p w:rsidR="00505632" w:rsidRDefault="00505632" w:rsidP="00AD4E52">
            <w:pPr>
              <w:pStyle w:val="CellColumn"/>
              <w:jc w:val="right"/>
            </w:pPr>
            <w:r>
              <w:rPr>
                <w:rFonts w:cs="Times New Roman"/>
              </w:rPr>
              <w:t>49.727.275</w:t>
            </w:r>
          </w:p>
        </w:tc>
        <w:tc>
          <w:tcPr>
            <w:tcW w:w="2041" w:type="dxa"/>
          </w:tcPr>
          <w:p w:rsidR="00505632" w:rsidRDefault="00505632" w:rsidP="00AD4E52">
            <w:pPr>
              <w:pStyle w:val="CellColumn"/>
              <w:jc w:val="right"/>
            </w:pPr>
            <w:r>
              <w:rPr>
                <w:rFonts w:cs="Times New Roman"/>
              </w:rPr>
              <w:t>44.839.674</w:t>
            </w:r>
          </w:p>
        </w:tc>
        <w:tc>
          <w:tcPr>
            <w:tcW w:w="1224" w:type="dxa"/>
          </w:tcPr>
          <w:p w:rsidR="00505632" w:rsidRDefault="00505632" w:rsidP="00AD4E52">
            <w:pPr>
              <w:pStyle w:val="CellColumn"/>
              <w:jc w:val="right"/>
            </w:pPr>
            <w:r>
              <w:rPr>
                <w:rFonts w:cs="Times New Roman"/>
              </w:rPr>
              <w:t>90,2</w:t>
            </w:r>
          </w:p>
        </w:tc>
        <w:tc>
          <w:tcPr>
            <w:tcW w:w="1224" w:type="dxa"/>
          </w:tcPr>
          <w:p w:rsidR="00505632" w:rsidRDefault="00505632" w:rsidP="00AD4E52">
            <w:pPr>
              <w:pStyle w:val="CellColumn"/>
              <w:jc w:val="right"/>
            </w:pPr>
            <w:r>
              <w:rPr>
                <w:rFonts w:cs="Times New Roman"/>
              </w:rPr>
              <w:t>100,7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priređivanju igara na sreću i nagradnih igara, Uredba o kriterijima za utvrđivanje korisnika i načinu raspodjele dijela prihoda od igara na sreću, Zakon o udrugama, Zakon o humanitarnoj pomoći</w:t>
      </w:r>
    </w:p>
    <w:p w:rsidR="00505632" w:rsidRDefault="00505632" w:rsidP="00505632">
      <w:pPr>
        <w:pStyle w:val="Heading8"/>
        <w:jc w:val="left"/>
      </w:pPr>
      <w:r>
        <w:t>Opis aktivnosti</w:t>
      </w:r>
    </w:p>
    <w:p w:rsidR="00505632" w:rsidRDefault="00505632" w:rsidP="00505632">
      <w:r>
        <w:t>S aktivnosti su financirana 22 projekta organizacija civilnog društva i drugih pravnih osoba koji se odnose na organizirane dnevne aktivnosti za starije osobe u lokalnoj zajednici omogućava se unapređenje kvalitete života starijih osoba, za što je objavljen jedan javni poziv, rad 21 povjerenstva za procjenu kvalitete 1253 programa i projekata udruga prijavljenih na objavljene pozive uključujući i procjenu kvalitete programa i projekta koji se financiraju iz sredstava od igara na sreću kojima se osigurava odabir kvalitetnih programa i projekata.</w:t>
      </w:r>
    </w:p>
    <w:p w:rsidR="00505632" w:rsidRDefault="00505632" w:rsidP="00505632">
      <w:pPr>
        <w:pStyle w:val="Heading4"/>
      </w:pPr>
      <w:r>
        <w:t>A734191 SKRB ZA DJECU, MLADEŽ I ODRASLE OSOBE - DRUGI OSNIVAČI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A734191-SKRB ZA DJECU, MLADEŽ I ODRASLE OSOBE - DRUGI OSNIVAČI</w:t>
            </w:r>
          </w:p>
        </w:tc>
        <w:tc>
          <w:tcPr>
            <w:tcW w:w="2041" w:type="dxa"/>
          </w:tcPr>
          <w:p w:rsidR="00505632" w:rsidRDefault="00505632" w:rsidP="00AD4E52">
            <w:pPr>
              <w:pStyle w:val="CellColumn"/>
              <w:jc w:val="right"/>
            </w:pPr>
            <w:r>
              <w:rPr>
                <w:rFonts w:cs="Times New Roman"/>
              </w:rPr>
              <w:t>284.311.914</w:t>
            </w:r>
          </w:p>
        </w:tc>
        <w:tc>
          <w:tcPr>
            <w:tcW w:w="2041" w:type="dxa"/>
          </w:tcPr>
          <w:p w:rsidR="00505632" w:rsidRDefault="00505632" w:rsidP="00AD4E52">
            <w:pPr>
              <w:pStyle w:val="CellColumn"/>
              <w:jc w:val="right"/>
            </w:pPr>
            <w:r>
              <w:rPr>
                <w:rFonts w:cs="Times New Roman"/>
              </w:rPr>
              <w:t>291.414.750</w:t>
            </w:r>
          </w:p>
        </w:tc>
        <w:tc>
          <w:tcPr>
            <w:tcW w:w="2041" w:type="dxa"/>
          </w:tcPr>
          <w:p w:rsidR="00505632" w:rsidRDefault="00505632" w:rsidP="00AD4E52">
            <w:pPr>
              <w:pStyle w:val="CellColumn"/>
              <w:jc w:val="right"/>
            </w:pPr>
            <w:r>
              <w:rPr>
                <w:rFonts w:cs="Times New Roman"/>
              </w:rPr>
              <w:t>291.746.160</w:t>
            </w:r>
          </w:p>
        </w:tc>
        <w:tc>
          <w:tcPr>
            <w:tcW w:w="1224" w:type="dxa"/>
          </w:tcPr>
          <w:p w:rsidR="00505632" w:rsidRDefault="00505632" w:rsidP="00AD4E52">
            <w:pPr>
              <w:pStyle w:val="CellColumn"/>
              <w:jc w:val="right"/>
            </w:pPr>
            <w:r>
              <w:rPr>
                <w:rFonts w:cs="Times New Roman"/>
              </w:rPr>
              <w:t>100,1</w:t>
            </w:r>
          </w:p>
        </w:tc>
        <w:tc>
          <w:tcPr>
            <w:tcW w:w="1224" w:type="dxa"/>
          </w:tcPr>
          <w:p w:rsidR="00505632" w:rsidRDefault="00505632" w:rsidP="00AD4E52">
            <w:pPr>
              <w:pStyle w:val="CellColumn"/>
              <w:jc w:val="right"/>
            </w:pPr>
            <w:r>
              <w:rPr>
                <w:rFonts w:cs="Times New Roman"/>
              </w:rPr>
              <w:t>102,6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socijalnoj skrbi</w:t>
      </w:r>
    </w:p>
    <w:p w:rsidR="00505632" w:rsidRDefault="00505632" w:rsidP="00505632">
      <w:pPr>
        <w:pStyle w:val="Heading8"/>
        <w:jc w:val="left"/>
      </w:pPr>
      <w:r>
        <w:t>Opis aktivnosti</w:t>
      </w:r>
    </w:p>
    <w:p w:rsidR="00505632" w:rsidRDefault="00505632" w:rsidP="00505632">
      <w:r>
        <w:t>Financirale su se socijalne usluge koje proizlaze iz ugovora o međusobnim odnosima za pružanje socijalnih usluga (ukupno 422), sklopljenih s ustanovama čiji osnivač nije Republika Hrvatska, te drugim pravnim i fizičkim osobama omogućava se pružanje institucionalnih i/ili izvaninstitucionalnih usluga djeci bez odgovarajuće roditeljske skrbi, djeci s poremećajima u ponašanju, osobama s tjelesnim i/ili intelektualnim oštećenjem, osobama s mentalnim oštećenjem, starijim i nemoćnim osobama, osobama ovisnima o alkoholu, drogama, kockanju i drugim oblicima ovisnosti, žrtvama nasilja u obitelji te žrtvama trgovanja ljudima, u svrhu sprečavanja, prepoznavanja i rješavanja problema i poteškoća pojedinaca, obitelji, skupina i zajednica te poboljšanja kvalitete njihovog života u zajednici.</w:t>
      </w:r>
    </w:p>
    <w:p w:rsidR="00505632" w:rsidRDefault="00505632" w:rsidP="00505632">
      <w:pPr>
        <w:pStyle w:val="Heading4"/>
      </w:pPr>
      <w:r>
        <w:t>T788013 PROJEKT MODERNIZACIJE SUSTAVA SOCIJALNE ZAŠTITE - MSPM – DEINSTITUCIONALIZACIJA</w:t>
      </w:r>
    </w:p>
    <w:tbl>
      <w:tblPr>
        <w:tblStyle w:val="StilTablice"/>
        <w:tblW w:w="10206" w:type="dxa"/>
        <w:jc w:val="center"/>
        <w:tblLook w:val="04A0" w:firstRow="1" w:lastRow="0" w:firstColumn="1" w:lastColumn="0" w:noHBand="0" w:noVBand="1"/>
      </w:tblPr>
      <w:tblGrid>
        <w:gridCol w:w="2670"/>
        <w:gridCol w:w="1733"/>
        <w:gridCol w:w="1734"/>
        <w:gridCol w:w="1734"/>
        <w:gridCol w:w="1153"/>
        <w:gridCol w:w="118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T788013-PROJEKT MODERNIZACIJE SUSTAVA SOCIJALNE ZAŠTITE - MSPM – DEINSTITUCIONALIZACIJA</w:t>
            </w:r>
          </w:p>
        </w:tc>
        <w:tc>
          <w:tcPr>
            <w:tcW w:w="2041" w:type="dxa"/>
          </w:tcPr>
          <w:p w:rsidR="00505632" w:rsidRDefault="00505632" w:rsidP="00AD4E52">
            <w:pPr>
              <w:pStyle w:val="CellColumn"/>
              <w:jc w:val="right"/>
            </w:pPr>
            <w:r>
              <w:rPr>
                <w:rFonts w:cs="Times New Roman"/>
              </w:rPr>
              <w:t>7.555.151</w:t>
            </w:r>
          </w:p>
        </w:tc>
        <w:tc>
          <w:tcPr>
            <w:tcW w:w="2041" w:type="dxa"/>
          </w:tcPr>
          <w:p w:rsidR="00505632" w:rsidRDefault="00505632" w:rsidP="00AD4E52">
            <w:pPr>
              <w:pStyle w:val="CellColumn"/>
              <w:jc w:val="right"/>
            </w:pPr>
            <w:r>
              <w:rPr>
                <w:rFonts w:cs="Times New Roman"/>
              </w:rPr>
              <w:t>6.809.560</w:t>
            </w:r>
          </w:p>
        </w:tc>
        <w:tc>
          <w:tcPr>
            <w:tcW w:w="2041" w:type="dxa"/>
          </w:tcPr>
          <w:p w:rsidR="00505632" w:rsidRDefault="00505632" w:rsidP="00AD4E52">
            <w:pPr>
              <w:pStyle w:val="CellColumn"/>
              <w:jc w:val="right"/>
            </w:pPr>
            <w:r>
              <w:rPr>
                <w:rFonts w:cs="Times New Roman"/>
              </w:rPr>
              <w:t>5.532.749</w:t>
            </w:r>
          </w:p>
        </w:tc>
        <w:tc>
          <w:tcPr>
            <w:tcW w:w="1224" w:type="dxa"/>
          </w:tcPr>
          <w:p w:rsidR="00505632" w:rsidRDefault="00505632" w:rsidP="00AD4E52">
            <w:pPr>
              <w:pStyle w:val="CellColumn"/>
              <w:jc w:val="right"/>
            </w:pPr>
            <w:r>
              <w:rPr>
                <w:rFonts w:cs="Times New Roman"/>
              </w:rPr>
              <w:t>81,2</w:t>
            </w:r>
          </w:p>
        </w:tc>
        <w:tc>
          <w:tcPr>
            <w:tcW w:w="1224" w:type="dxa"/>
          </w:tcPr>
          <w:p w:rsidR="00505632" w:rsidRDefault="00505632" w:rsidP="00AD4E52">
            <w:pPr>
              <w:pStyle w:val="CellColumn"/>
              <w:jc w:val="right"/>
            </w:pPr>
            <w:r>
              <w:rPr>
                <w:rFonts w:cs="Times New Roman"/>
              </w:rPr>
              <w:t>73,2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Temeljem preuzetih obveza i potpisanog Ugovora o zajmu za Projekt modernizacije sustava socijalne zaštite između Republike Hrvatske i Međunarodne banke za obnovu i razvoj (Međunarodni ugovori, NN 8/14) Ministarstvo je odgovorno za ukupnu provedbu prvih projektnih aktivnosti.</w:t>
      </w:r>
    </w:p>
    <w:p w:rsidR="00505632" w:rsidRDefault="00505632" w:rsidP="00505632">
      <w:pPr>
        <w:pStyle w:val="Heading8"/>
        <w:jc w:val="left"/>
      </w:pPr>
      <w:r>
        <w:t>Opis aktivnosti</w:t>
      </w:r>
    </w:p>
    <w:p w:rsidR="00505632" w:rsidRDefault="00505632" w:rsidP="00505632">
      <w:r>
        <w:t xml:space="preserve">Primarni cilj Projekta modernizacije sustava socijalne zaštite (dalje u tekstu: Projekt) je poboljšanje učinkovitosti i ekonomičnosti sustava socijalne zaštite. Projektnim sredstvima financiraju se aktivnosti tehničke pomoći i ulaganja za pet tematskih područja.  </w:t>
      </w:r>
    </w:p>
    <w:p w:rsidR="00505632" w:rsidRDefault="00505632" w:rsidP="00505632">
      <w:r>
        <w:t xml:space="preserve">1. U cilju podrške uspostavi i provedbi Jedinstvenog centra za naknade (JCN), tijekom 2016. godine pokrenute su aktivnosti, kako slijedi:  </w:t>
      </w:r>
    </w:p>
    <w:p w:rsidR="00505632" w:rsidRDefault="00505632" w:rsidP="00505632">
      <w:r>
        <w:t xml:space="preserve">Tehnička pomoć: Savjetnik za uređenje uredskih prostora u mreži Ureda državne uprave za uspostavu JCN i Zavoda za vještačenje, profesionalnu rehabilitaciju i zapošljavanje osoba s invaliditetom za uspostavu Jedinstvenog tijela vještačenja (JTV). Provedba je u tijeku, s planiranim završetkom 30. kolovoza 2017. godine. IT savjetnik za nadzor, dizajniranje, razvoj i implementaciju informacijskog sustava za upravljanje administriranjem i isplatom naknada u JCN (MISOSS). Provedba je u tijeku, s  planiranim završetkom u travnju 2018. godine. Usluga analiza provedbe JCN/OSS. Provedba je u tijeku s  planiranim završetkom 31. ožujka 2017. godine. </w:t>
      </w:r>
    </w:p>
    <w:p w:rsidR="00505632" w:rsidRDefault="00505632" w:rsidP="00505632">
      <w:r>
        <w:t xml:space="preserve">2. U cilju podrške uspostavi i provedbi jedinstvenog tijela vještačenja (JTV), tijekom 2016. godine pokrenute su aktivnosti, kako slijedi: </w:t>
      </w:r>
    </w:p>
    <w:p w:rsidR="00505632" w:rsidRDefault="00505632" w:rsidP="00505632">
      <w:r>
        <w:t xml:space="preserve">Osiguranje dodatne informatičke opreme nužne za rad JTV-a te za JPP u MDOMSP. Aktivnost je završena. </w:t>
      </w:r>
    </w:p>
    <w:p w:rsidR="00505632" w:rsidRDefault="00505632" w:rsidP="00505632">
      <w:r>
        <w:t xml:space="preserve">3. U cilju podrške uspostavi i provedbi strategije suzbijanja pogrešaka, zlouporabe i korupcije (PZK), tijekom 2016. godine nisu pokrenute i/ili ugovorene nove Projektne aktivnosti, već je završena provedba aktivnosti iz prethodnog izvještajnog razdoblja, kako slijedi: </w:t>
      </w:r>
    </w:p>
    <w:p w:rsidR="00505632" w:rsidRDefault="00505632" w:rsidP="00505632">
      <w:r>
        <w:t xml:space="preserve">Osiguranje informatičke opreme za Inspektorat rada radi podrške aktivnostima suzbijanja PZK - aktivnost je završena. </w:t>
      </w:r>
    </w:p>
    <w:p w:rsidR="00505632" w:rsidRDefault="00505632" w:rsidP="00505632">
      <w:r>
        <w:t xml:space="preserve">Izrađen je prijedlog Akcijskog plana za provedbu Strategije suzbijanja pogrešaka, zlouporabe i korupcije na području socijalne zaštite u Republici Hrvatskoj za razdoblje 2015.-2020. U okviru mjera utvrđeni su rokovi za provedbu aktivnosti, izvori financiranja/sufinanciranja iz sredstava Zajma te načini praćenja i pokazatelja učinka.  </w:t>
      </w:r>
    </w:p>
    <w:p w:rsidR="00505632" w:rsidRDefault="00505632" w:rsidP="00505632">
      <w:r>
        <w:t xml:space="preserve">4. U cilju podrške procesu deinstitucionalizacije i transformacije tijekom 2016. godine nisu pokrenute i/ili ugovorene nove Projektne aktivnosti, već je nastavljena provedba aktivnosti, kako slijedi: </w:t>
      </w:r>
    </w:p>
    <w:p w:rsidR="00505632" w:rsidRDefault="00505632" w:rsidP="00505632">
      <w:r>
        <w:t xml:space="preserve">Konzultanti za planiranje i koordinaciju procesa deinstitucionalizacije i transformacije su u navedenom periodu nastavili s pripremom i usklađivanjem četrnaest individualnih planova ustanova socijalne skrbi. Usvojena su četiri individualna plana, jedan individualni plan je pred usvajanjem, tri individualna planova su u završnoj fazi, šest individualnih planova su u procesu usklađivanja. Individualni planovi su preduvjet za prijavu projektnih prijedloga ustanova socijalne skrbi za natječaje za ESF i ERDF. </w:t>
      </w:r>
    </w:p>
    <w:p w:rsidR="00505632" w:rsidRDefault="00505632" w:rsidP="00505632">
      <w:r>
        <w:t xml:space="preserve">U okviru tehničke pomoći rad savjetnice za EU fondove u procesu deinstitucionalizacije i transformacije u pripremi individualnih projektnih prijedloga intenzivirao se u ovom izvještajnom razdoblju. Priprema projektnih prijedloga se intenzivirala, međutim i dalje se radi o kašnjenjima u odnosu na prvobitno pripremljen akcijski plan/tijek rada zbog vanjskih okolnosti, odnosno nedostupnosti infrastrukture u javnom vlasništvu te  nedovršenosti/neodobravanja Individualnih planova.  </w:t>
      </w:r>
    </w:p>
    <w:p w:rsidR="00505632" w:rsidRDefault="00505632" w:rsidP="00505632">
      <w:r>
        <w:t xml:space="preserve">5. U cilju podrške provedbi radne aktivacije, a tijekom izvještajnog razdoblja pokrenute su aktivnosti, kako slijedi: </w:t>
      </w:r>
    </w:p>
    <w:p w:rsidR="00505632" w:rsidRDefault="00505632" w:rsidP="00505632">
      <w:r>
        <w:t xml:space="preserve">Tehnička pomoć: Usluga razvoja, implementacije, komunikacije i pripreme za proširenje modela statistički asistiranog. Provedba je u tijeku, s planiranim završetkom 30. kolovoza 2017. godine. Savjetnik za stručno vrednovanje i podršku statistički asistiranog modela za profiliranje. Provedba je u tijeku, s planiranim završetkom 30. kolovoza 2017. godine.  </w:t>
      </w:r>
    </w:p>
    <w:p w:rsidR="00505632" w:rsidRDefault="00505632" w:rsidP="00505632">
      <w:r>
        <w:t xml:space="preserve">Savjetnik za procjenu utjecaja statistički asistiranog modela za profiliranje. Provedba je u tijeku, s planiranim završetkom 30. studenog 2017. godine. </w:t>
      </w:r>
    </w:p>
    <w:p w:rsidR="00505632" w:rsidRDefault="00505632" w:rsidP="00505632">
      <w:r>
        <w:t>Usluga nadogradnje (MIS) informacijskog sustava za upravljanje HZZ-a, radi integracije statističkog profiliranja i razvoja web-aplikacije za praćenje aktivacije. Provedba je u tijeku, s planiranim završetkom 15. studenog 2017. godine.</w:t>
      </w:r>
    </w:p>
    <w:p w:rsidR="00505632" w:rsidRDefault="00505632" w:rsidP="00505632">
      <w:pPr>
        <w:pStyle w:val="Heading3"/>
      </w:pPr>
      <w:r>
        <w:rPr>
          <w:rFonts w:cs="Times New Roman"/>
        </w:rPr>
        <w:t>4003 PODIZANJE KVALITETE I DOSTUPNOSTI SOCIJALNE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4003-PODIZANJE KVALITETE I DOSTUPNOSTI SOCIJALNE SKRBI</w:t>
            </w:r>
          </w:p>
        </w:tc>
        <w:tc>
          <w:tcPr>
            <w:tcW w:w="2041" w:type="dxa"/>
          </w:tcPr>
          <w:p w:rsidR="00505632" w:rsidRDefault="00505632" w:rsidP="00AD4E52">
            <w:pPr>
              <w:pStyle w:val="CellColumn"/>
              <w:jc w:val="right"/>
            </w:pPr>
            <w:r>
              <w:rPr>
                <w:rFonts w:cs="Times New Roman"/>
              </w:rPr>
              <w:t>81.212.764</w:t>
            </w:r>
          </w:p>
        </w:tc>
        <w:tc>
          <w:tcPr>
            <w:tcW w:w="2041" w:type="dxa"/>
          </w:tcPr>
          <w:p w:rsidR="00505632" w:rsidRDefault="00505632" w:rsidP="00AD4E52">
            <w:pPr>
              <w:pStyle w:val="CellColumn"/>
              <w:jc w:val="right"/>
            </w:pPr>
            <w:r>
              <w:rPr>
                <w:rFonts w:cs="Times New Roman"/>
              </w:rPr>
              <w:t>165.712.014</w:t>
            </w:r>
          </w:p>
        </w:tc>
        <w:tc>
          <w:tcPr>
            <w:tcW w:w="2041" w:type="dxa"/>
          </w:tcPr>
          <w:p w:rsidR="00505632" w:rsidRDefault="00505632" w:rsidP="00AD4E52">
            <w:pPr>
              <w:pStyle w:val="CellColumn"/>
              <w:jc w:val="right"/>
            </w:pPr>
            <w:r>
              <w:rPr>
                <w:rFonts w:cs="Times New Roman"/>
              </w:rPr>
              <w:t>132.775.612</w:t>
            </w:r>
          </w:p>
        </w:tc>
        <w:tc>
          <w:tcPr>
            <w:tcW w:w="1224" w:type="dxa"/>
          </w:tcPr>
          <w:p w:rsidR="00505632" w:rsidRDefault="00505632" w:rsidP="00AD4E52">
            <w:pPr>
              <w:pStyle w:val="CellColumn"/>
              <w:jc w:val="right"/>
            </w:pPr>
            <w:r>
              <w:rPr>
                <w:rFonts w:cs="Times New Roman"/>
              </w:rPr>
              <w:t>80,1</w:t>
            </w:r>
          </w:p>
        </w:tc>
        <w:tc>
          <w:tcPr>
            <w:tcW w:w="1224" w:type="dxa"/>
          </w:tcPr>
          <w:p w:rsidR="00505632" w:rsidRDefault="00505632" w:rsidP="00AD4E52">
            <w:pPr>
              <w:pStyle w:val="CellColumn"/>
              <w:jc w:val="right"/>
            </w:pPr>
            <w:r>
              <w:rPr>
                <w:rFonts w:cs="Times New Roman"/>
              </w:rPr>
              <w:t>163,5</w:t>
            </w:r>
          </w:p>
        </w:tc>
      </w:tr>
    </w:tbl>
    <w:p w:rsidR="00505632" w:rsidRDefault="00505632" w:rsidP="00505632">
      <w:pPr>
        <w:jc w:val="left"/>
      </w:pPr>
    </w:p>
    <w:p w:rsidR="00505632" w:rsidRDefault="00505632" w:rsidP="00505632">
      <w:r>
        <w:t>Cilj programa je provedba aktivnosti razvoja ljudskih potencijala te poboljšanje suradnje djelatnika u ustanovama socijalne skrbi s krajnjim korisnicima usluga socijalne skrbi.</w:t>
      </w:r>
    </w:p>
    <w:p w:rsidR="00505632" w:rsidRDefault="00505632" w:rsidP="00505632">
      <w:pPr>
        <w:pStyle w:val="Heading8"/>
        <w:jc w:val="left"/>
      </w:pPr>
      <w:r>
        <w:t>Cilj 1. Povećanje dostupnosti i kvalitete socijalnih usluga uz regionalnu ravnomjernost</w:t>
      </w:r>
    </w:p>
    <w:p w:rsidR="00505632" w:rsidRDefault="00505632" w:rsidP="00505632">
      <w:pPr>
        <w:pStyle w:val="Heading8"/>
        <w:jc w:val="left"/>
      </w:pPr>
      <w:r>
        <w:t>Opis provedbe cilja programa</w:t>
      </w:r>
    </w:p>
    <w:p w:rsidR="00505632" w:rsidRDefault="00505632" w:rsidP="00505632">
      <w:r>
        <w:t xml:space="preserve">Socijalne usluge u Hrvatskoj ostvaruju se putem niza pružatelja usluga za različite korisničke skupine koje se s obzirom na svoj formalno pravni status mogu podijeliti na ustanove socijalne skrbi (centri za socijalnu skrb, domovi socijalne skrbi, centri za pružanje usluga u zajednici, centri za pomoć u kući), druge pravne osobe (prvenstveno udruge i vjerske zajednice), fizičke osobe koje samostalno obavljaju profesionalnu djelatnost (pretežito u obiteljskom domu), te udomiteljske obitelji. </w:t>
      </w:r>
    </w:p>
    <w:p w:rsidR="00505632" w:rsidRDefault="00505632" w:rsidP="00505632">
      <w:r>
        <w:t xml:space="preserve">U svrhu daljnjeg približavanja usluga korisnicima, Ministarstvo provodi aktivnosti u skladu s Planom deinstitucionalizacije i transformacije domova socijalne skrbi i drugih pravnih osoba koje obavljaju djelatnost socijalne skrbi u Republici Hrvatskoj za razdoblje 2011.-2016. (2018.). Ove su aktivnosti usmjerene intenziviranju procesa transformacije i deinstitucionalizacije sa svrhom smanjenja ulaska korisnika u institucije i povećanja izlaska iz institucija uz omogućavanje primjene usluga u zajednici.  </w:t>
      </w:r>
    </w:p>
    <w:p w:rsidR="00505632" w:rsidRDefault="00505632" w:rsidP="00505632">
      <w:r>
        <w:t>U okviru ovog cilja pristupit će se kontinuiranom ažuriranju mreže socijalnih usluga vodeći računa o potrebama za pojedinom vrstom usluga na županijskoj i nacionalnoj razini, te redefiniranju načina ugovaranja i financiranja socijalnih usluga. Postojeći model financiranja ne osigurava ravnopravne uvjete pristupa mreži svim pružateljima usluga, što je suprotno pravnoj stečevini Europske unije, te ujedno ne osigurava racionalnost i efikasnost poslovanja državnih i decentraliziranih ustanova socijalne skrbi. Stoga će se novim načinom ugovaranja socijalnih usluga omogućiti jedinstveni pristup mreži za sve korisnike i pružatelje usluga, standardizacija procesa i kvalitete usluga, jednakost i transparentnost u financiranju usluga i olakšano praćenje troškova poslovanja. To podrazumijeva ukidanje dosadašnjih modela financiranja socijalnih usluga prema rashodima, utvrđivanje prihvatljivih elemenata troškova usluga, te obveznu primjenu standarda kvalitete pružanja usluga.</w:t>
      </w:r>
    </w:p>
    <w:p w:rsidR="00505632" w:rsidRDefault="00505632" w:rsidP="00505632">
      <w:pPr>
        <w:pStyle w:val="Heading4"/>
      </w:pPr>
      <w:r>
        <w:t>A792006 PROVEDBA NACIONALNIH STRATEGIJA TE UNAPREĐENJE STRUČNOG RADA U SUSTAVU SOCIJALNE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A792006-PROVEDBA NACIONALNIH STRATEGIJA TE UNAPREĐENJE STRUČNOG RADA U SUSTAVU SOCIJALNE SKRBI</w:t>
            </w:r>
          </w:p>
        </w:tc>
        <w:tc>
          <w:tcPr>
            <w:tcW w:w="2041" w:type="dxa"/>
          </w:tcPr>
          <w:p w:rsidR="00505632" w:rsidRDefault="00505632" w:rsidP="00AD4E52">
            <w:pPr>
              <w:pStyle w:val="CellColumn"/>
              <w:jc w:val="right"/>
            </w:pPr>
            <w:r>
              <w:rPr>
                <w:rFonts w:cs="Times New Roman"/>
              </w:rPr>
              <w:t>687.098</w:t>
            </w:r>
          </w:p>
        </w:tc>
        <w:tc>
          <w:tcPr>
            <w:tcW w:w="2041" w:type="dxa"/>
          </w:tcPr>
          <w:p w:rsidR="00505632" w:rsidRDefault="00505632" w:rsidP="00AD4E52">
            <w:pPr>
              <w:pStyle w:val="CellColumn"/>
              <w:jc w:val="right"/>
            </w:pPr>
            <w:r>
              <w:rPr>
                <w:rFonts w:cs="Times New Roman"/>
              </w:rPr>
              <w:t>1.658.350</w:t>
            </w:r>
          </w:p>
        </w:tc>
        <w:tc>
          <w:tcPr>
            <w:tcW w:w="2041" w:type="dxa"/>
          </w:tcPr>
          <w:p w:rsidR="00505632" w:rsidRDefault="00505632" w:rsidP="00AD4E52">
            <w:pPr>
              <w:pStyle w:val="CellColumn"/>
              <w:jc w:val="right"/>
            </w:pPr>
            <w:r>
              <w:rPr>
                <w:rFonts w:cs="Times New Roman"/>
              </w:rPr>
              <w:t>1.451.532</w:t>
            </w:r>
          </w:p>
        </w:tc>
        <w:tc>
          <w:tcPr>
            <w:tcW w:w="1224" w:type="dxa"/>
          </w:tcPr>
          <w:p w:rsidR="00505632" w:rsidRDefault="00505632" w:rsidP="00AD4E52">
            <w:pPr>
              <w:pStyle w:val="CellColumn"/>
              <w:jc w:val="right"/>
            </w:pPr>
            <w:r>
              <w:rPr>
                <w:rFonts w:cs="Times New Roman"/>
              </w:rPr>
              <w:t>87,5</w:t>
            </w:r>
          </w:p>
        </w:tc>
        <w:tc>
          <w:tcPr>
            <w:tcW w:w="1224" w:type="dxa"/>
          </w:tcPr>
          <w:p w:rsidR="00505632" w:rsidRDefault="00505632" w:rsidP="00AD4E52">
            <w:pPr>
              <w:pStyle w:val="CellColumn"/>
              <w:jc w:val="right"/>
            </w:pPr>
            <w:r>
              <w:rPr>
                <w:rFonts w:cs="Times New Roman"/>
              </w:rPr>
              <w:t>211,3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socijalnoj skrbi (NN, broj 157/13, 152/14 i 99/15), članak 218</w:t>
      </w:r>
    </w:p>
    <w:p w:rsidR="00505632" w:rsidRDefault="00505632" w:rsidP="00505632">
      <w:pPr>
        <w:pStyle w:val="Heading8"/>
        <w:jc w:val="left"/>
      </w:pPr>
      <w:r>
        <w:t>Opis aktivnosti</w:t>
      </w:r>
    </w:p>
    <w:p w:rsidR="00505632" w:rsidRDefault="00505632" w:rsidP="00505632">
      <w:r>
        <w:t>Sredstva su utrošena za provedbu stručnog usavršavanja stručnih radnika koje smo, temeljem članka 218. Zakona o socijalnoj skrbi, odnosno provedbom Godišnjeg programa stručnog usavršavanja stručnih radnika u ustanovama socijalne skrbi dužni osigurati. Edukacije su se provodile putem različitih oblika i načina usavršavanja. Edukcije su bile namijenjene različitim korisničkim skupinama - stručnim radnicima centara za socijalnu skrb, stručnim radnicima u domovima socijalne skrbi i centara za pružanje usluga u zajednici. Također, tiskane su i distribuirane stručne publikacije namijenjene stručnim radnicima u sustavu socijalne skrbi, osigurano je i provođenje supervizije psihosocijalnog rada i kriznih intervencija u sustavu socijalne skrbi, pružena je financijska podrška iskazanim potrebama za školovanjem i stručnim usavršavanjem trajnijeg i kratkotrajnijeg karaktera na individualnoj osnovi, organizacije stručnih konferencija i slično. Navedeno kontinuirano doprinosi jačanju stručnih kompetencija stručnjaka u sustavu socijalne skrbi te u vezi s tim i pružanju  kvalitetnijih usluga ranjivim skupinama društva o kojima skrbi sustav socijalne skrbi.</w:t>
      </w:r>
    </w:p>
    <w:p w:rsidR="00505632" w:rsidRDefault="00505632" w:rsidP="00505632">
      <w:pPr>
        <w:pStyle w:val="Heading4"/>
      </w:pPr>
      <w:r>
        <w:t>K792011 OP RAZVOJ LJUDSKIH POTENCIJALA, PRIORITETI 2 I 4</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K792011-OP RAZVOJ LJUDSKIH POTENCIJALA, PRIORITETI 2 I 4</w:t>
            </w:r>
          </w:p>
        </w:tc>
        <w:tc>
          <w:tcPr>
            <w:tcW w:w="2041" w:type="dxa"/>
          </w:tcPr>
          <w:p w:rsidR="00505632" w:rsidRDefault="00505632" w:rsidP="00AD4E52">
            <w:pPr>
              <w:pStyle w:val="CellColumn"/>
              <w:jc w:val="right"/>
            </w:pPr>
            <w:r>
              <w:rPr>
                <w:rFonts w:cs="Times New Roman"/>
              </w:rPr>
              <w:t>33.073.740</w:t>
            </w:r>
          </w:p>
        </w:tc>
        <w:tc>
          <w:tcPr>
            <w:tcW w:w="2041" w:type="dxa"/>
          </w:tcPr>
          <w:p w:rsidR="00505632" w:rsidRDefault="00505632" w:rsidP="00AD4E52">
            <w:pPr>
              <w:pStyle w:val="CellColumn"/>
              <w:jc w:val="right"/>
            </w:pPr>
            <w:r>
              <w:rPr>
                <w:rFonts w:cs="Times New Roman"/>
              </w:rPr>
              <w:t>41.286.660</w:t>
            </w:r>
          </w:p>
        </w:tc>
        <w:tc>
          <w:tcPr>
            <w:tcW w:w="2041" w:type="dxa"/>
          </w:tcPr>
          <w:p w:rsidR="00505632" w:rsidRDefault="00505632" w:rsidP="00AD4E52">
            <w:pPr>
              <w:pStyle w:val="CellColumn"/>
              <w:jc w:val="right"/>
            </w:pPr>
            <w:r>
              <w:rPr>
                <w:rFonts w:cs="Times New Roman"/>
              </w:rPr>
              <w:t>43.233.225</w:t>
            </w:r>
          </w:p>
        </w:tc>
        <w:tc>
          <w:tcPr>
            <w:tcW w:w="1224" w:type="dxa"/>
          </w:tcPr>
          <w:p w:rsidR="00505632" w:rsidRDefault="00505632" w:rsidP="00AD4E52">
            <w:pPr>
              <w:pStyle w:val="CellColumn"/>
              <w:jc w:val="right"/>
            </w:pPr>
            <w:r>
              <w:rPr>
                <w:rFonts w:cs="Times New Roman"/>
              </w:rPr>
              <w:t>104,7</w:t>
            </w:r>
          </w:p>
        </w:tc>
        <w:tc>
          <w:tcPr>
            <w:tcW w:w="1224" w:type="dxa"/>
          </w:tcPr>
          <w:p w:rsidR="00505632" w:rsidRDefault="00505632" w:rsidP="00AD4E52">
            <w:pPr>
              <w:pStyle w:val="CellColumn"/>
              <w:jc w:val="right"/>
            </w:pPr>
            <w:r>
              <w:rPr>
                <w:rFonts w:cs="Times New Roman"/>
              </w:rPr>
              <w:t>130,7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Operativni program Razvoj ljudskih potencijala Europski socijalni fond 2007. – 2013.</w:t>
      </w:r>
    </w:p>
    <w:p w:rsidR="00505632" w:rsidRDefault="00505632" w:rsidP="00505632">
      <w:pPr>
        <w:pStyle w:val="Heading8"/>
        <w:jc w:val="left"/>
      </w:pPr>
      <w:r>
        <w:t>Opis aktivnosti</w:t>
      </w:r>
    </w:p>
    <w:p w:rsidR="00505632" w:rsidRDefault="00505632" w:rsidP="00505632">
      <w:r>
        <w:t xml:space="preserve">Pripremom baze prihvatljivih projekata za financiranje osigurava se dovoljan broj kvalitetnih projekata koji udovoljavaju ciljevima programskih dokumenata, kao i selekcijskim kriterijima temeljem kojih će biti odobreni za financiranje. Tijekom 2016. godine kontinuirano se revidira baza projekata koji su planirani za provedbu temeljem Operativnog programa Učinkoviti ljudski potencijali 2014-2020, te Operativnog programa za hranu i/ili osnovnu materijalnu pomoć za razdoblje 2014.-2020., u cilju borbe protiv siromaštva i socijalne isključenosti. U svrhu ostvarenja specifičnih ciljeva određenih Operativnim programima, projekti će biti usmjereni na promicanje razvoja socijalnih usluga te podržavanje procesa deinstitucionalizacije, jačanje aktivne uključenosti i poboljšanje zapošljivosti ranjivih skupina, kao i na promicanje društveno poduzetničkih aktivnosti ranjivih skupina. </w:t>
      </w:r>
    </w:p>
    <w:p w:rsidR="00505632" w:rsidRDefault="00505632" w:rsidP="00505632">
      <w:r>
        <w:t xml:space="preserve">Tijekom 2016. godine unutra Operativnog programa za hranu i/ili osnovnu materijalnu pomoć za razdoblje 2014.-2020., objavljena su dva natječaja za dodjelu bespovratnih sredstava. U okviru natječaja „Osiguravanje školske prehrane za djecu u riziku od siromaštva“, dana 29. kolovoza 2016. godine sklopljeni su ugovori za provedbu sveukupno 22 projekta, ukupne vrijednosti  13.670.000,00 kn. U okviru natječaja „Ublažavanje siromaštva pružanjem pomoći najpotrebitijim osobama podjelom hrane i/ili osnovne materijalne pomoći“, dana 30. rujna 2016. godine, sklopljeni su ugovori za provedbu sveukupno 13 projekta, ukupne vrijednosti 86.286.590,47 kn. Također, unutar Operativnog programa Učinkoviti ljudski potencijali 2014.-2020. objavljen je natječaj ''Razvoj usluge osobne asistencije za osobe s invaliditetom'' čije se ugovaranje očekuje početkom 2017. godine.  </w:t>
      </w:r>
    </w:p>
    <w:p w:rsidR="00505632" w:rsidRDefault="00505632" w:rsidP="00505632">
      <w:r>
        <w:t xml:space="preserve">Kako bi zadržali visoku razinu informiranja i komunikacije te poticali kontinuiran dijalog sa svim ciljanim skupinama na svim razinama (nacionalnoj, područnoj i lokalnoj) te pružili sve potrebne informacije potencijalnim prijaviteljima i ostalim relevantnim dionicima MDOMSP je u 2016. godini organiziralo i/ili sudjelovalo na niz informativnih događanja (konferencija, seminara, info-dana, okruglih stolova, panela, svečanih dodjela ugovora o bespovratnim sredstvima, Dan Europskog socijalnog fonda i slično). U okviru provedbe aktivnosti u okviru ESF-a održano je sveukupno 7 informativnih događanja slijedom, od čega je održana jedna informativna radionica za potencijalne prijavitelje na Poziv "Razvoj usluge osobne asistencije za osobe s invaliditetom" </w:t>
      </w:r>
    </w:p>
    <w:p w:rsidR="00505632" w:rsidRDefault="00505632" w:rsidP="00505632">
      <w:r>
        <w:t xml:space="preserve">Nadalje u cilju pružanja svih potrebnih informacija potencijalnim prijaviteljima održano je 3 predavanja na temu Korištenje sredstava iz EU fondova tijekom Aktiva ravnatelja domova za starije i teško bolesne odrasle osoba, Aktiva domova za djecu bez odgovarajuće roditeljske skrbi te Aktiv ravnatelja centara za socijalnu skrb. Nadalje održane su i 3 pripremne radionice “Korištenje sredstava iz EU fondova” za domove socijalne skrbi i centri za socijalnu skrb u procesu deinstitucionalizacije. Osim svega navedenog, proveden je i niz drugih informativnih aktivnosti sukladno Komunikacijskom planu za 2016. godinu u okviru operativnog programa „Učinkoviti ljudski potencijali“ 2014. – 2020. među kojima je i sudjelovanje na danima ESF-a, Tjednu Europskog socijalnog fonda te kontinuirano informiranje svih ciljnih skupina putem relevantnih Internet stranica. </w:t>
      </w:r>
    </w:p>
    <w:p w:rsidR="00505632" w:rsidRDefault="00505632" w:rsidP="00505632">
      <w:r>
        <w:t>U okviru Fonda europske pomoći za najpotrebitije provedeno je ukupno 6 informativnih aktivnosti, od čega 2 info radionice, 2 provedbene radionice, 2 svečane dodjele ugovora o bespovratnim sredstvima te proveden je i niz drugih informativnih aktivnosti.</w:t>
      </w:r>
    </w:p>
    <w:p w:rsidR="00505632" w:rsidRDefault="00505632" w:rsidP="00505632">
      <w:pPr>
        <w:pStyle w:val="Heading4"/>
      </w:pPr>
      <w:r>
        <w:t>T788012 PI JAČANJE INSTITUCIONALNIH KAPACITETA U SUSTAVU SOCIJALNE SKRBI U CILJU POBOLJŠANJA CILJANJA SOCIJALNIH NAKNADA I SMANJENJA SIROMAŠTVA</w:t>
      </w:r>
    </w:p>
    <w:tbl>
      <w:tblPr>
        <w:tblStyle w:val="StilTablice"/>
        <w:tblW w:w="10206" w:type="dxa"/>
        <w:jc w:val="center"/>
        <w:tblLook w:val="04A0" w:firstRow="1" w:lastRow="0" w:firstColumn="1" w:lastColumn="0" w:noHBand="0" w:noVBand="1"/>
      </w:tblPr>
      <w:tblGrid>
        <w:gridCol w:w="2003"/>
        <w:gridCol w:w="1929"/>
        <w:gridCol w:w="1935"/>
        <w:gridCol w:w="1929"/>
        <w:gridCol w:w="1200"/>
        <w:gridCol w:w="1210"/>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T788012-PI JAČANJE INSTITUCIONALNIH KAPACITETA U SUSTAVU SOCIJALNE SKRBI U CILJU POBOLJŠANJA CILJANJA SOCIJALNIH NAKNADA I SMANJENJA SIROMAŠTVA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1.582.890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Prijelazni instrument definiran je čl.30 ugovora o pristupanju Republike Hrvatske Europskoj Uniji (NN, Međunarodni sporazumi, br. 2/2012) (Pristupni ugovor) </w:t>
      </w:r>
    </w:p>
    <w:p w:rsidR="00505632" w:rsidRDefault="00505632" w:rsidP="00505632">
      <w:r>
        <w:t>Potvrda Europske komisije Ministarstvu regionalnog razvoja i fondova Europske unije o prihvaćanju projektne dokumentacije Ref. Ares(2013)519749 - 27/03/2013</w:t>
      </w:r>
    </w:p>
    <w:p w:rsidR="00505632" w:rsidRDefault="00505632" w:rsidP="00505632">
      <w:pPr>
        <w:pStyle w:val="Heading8"/>
        <w:jc w:val="left"/>
      </w:pPr>
      <w:r>
        <w:t>Opis aktivnosti</w:t>
      </w:r>
    </w:p>
    <w:p w:rsidR="00505632" w:rsidRDefault="00505632" w:rsidP="00505632">
      <w:r>
        <w:t>Dana 30. studenoga 2016. godine potpisan je ugovor sa Republikom Francuskom pod nazivom  „Jačanje institucijskih kapaciteta sustava socijalne skrbi u svrhu poboljšanja mogućnosti ciljanja/usmjeravanja programa socijalne skrbi i smanjivanja siromaštva“ koji se provodi unutar EU Prijelaznog instrumenta. Cilj je kroz analizu postojećih pružatelja socijalnih usluga, programa, analizu postojećih indikatora siromaštva formirati nove indikatore siromaštva po kojima bi se detektirale osobe u siromaštvu te stvoriti u tu svrhu on-line bazu podataka. Ujedno cilj je razviti najmanje dva socijalna programa kojima bi se omogućilo smanjenje siromaštva djece i obitelji. Na kraju bi se razvila metoda praćenja i evaluacije programa kao i razvoj informatičkog sustava za praćenje programa. Paralelno sa svim se educiraju stručnjaci za korištenje svih baza i informatičkih sustava koji će se razviti unutar projekta. Vrijednost projekta je 1.100.000,00 EUR te je predviđeno da traje 18 mjeseci.</w:t>
      </w:r>
    </w:p>
    <w:p w:rsidR="00505632" w:rsidRDefault="00505632" w:rsidP="00505632">
      <w:pPr>
        <w:pStyle w:val="Heading3"/>
      </w:pPr>
      <w:r>
        <w:rPr>
          <w:rFonts w:cs="Times New Roman"/>
        </w:rPr>
        <w:t>4005 SOCIJALNO OSNAŽIVANJE OBITELJI, MLADIH I DJECE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4005-SOCIJALNO OSNAŽIVANJE OBITELJI, MLADIH I DJECE</w:t>
            </w:r>
          </w:p>
        </w:tc>
        <w:tc>
          <w:tcPr>
            <w:tcW w:w="2041" w:type="dxa"/>
          </w:tcPr>
          <w:p w:rsidR="00505632" w:rsidRDefault="00505632" w:rsidP="00AD4E52">
            <w:pPr>
              <w:pStyle w:val="CellColumn"/>
              <w:jc w:val="right"/>
            </w:pPr>
            <w:r>
              <w:rPr>
                <w:rFonts w:cs="Times New Roman"/>
              </w:rPr>
              <w:t>1.202.606.042</w:t>
            </w:r>
          </w:p>
        </w:tc>
        <w:tc>
          <w:tcPr>
            <w:tcW w:w="2041" w:type="dxa"/>
          </w:tcPr>
          <w:p w:rsidR="00505632" w:rsidRDefault="00505632" w:rsidP="00AD4E52">
            <w:pPr>
              <w:pStyle w:val="CellColumn"/>
              <w:jc w:val="right"/>
            </w:pPr>
            <w:r>
              <w:rPr>
                <w:rFonts w:cs="Times New Roman"/>
              </w:rPr>
              <w:t>1.180.487.745</w:t>
            </w:r>
          </w:p>
        </w:tc>
        <w:tc>
          <w:tcPr>
            <w:tcW w:w="2041" w:type="dxa"/>
          </w:tcPr>
          <w:p w:rsidR="00505632" w:rsidRDefault="00505632" w:rsidP="00AD4E52">
            <w:pPr>
              <w:pStyle w:val="CellColumn"/>
              <w:jc w:val="right"/>
            </w:pPr>
            <w:r>
              <w:rPr>
                <w:rFonts w:cs="Times New Roman"/>
              </w:rPr>
              <w:t>1.169.323.918</w:t>
            </w:r>
          </w:p>
        </w:tc>
        <w:tc>
          <w:tcPr>
            <w:tcW w:w="1224" w:type="dxa"/>
          </w:tcPr>
          <w:p w:rsidR="00505632" w:rsidRDefault="00505632" w:rsidP="00AD4E52">
            <w:pPr>
              <w:pStyle w:val="CellColumn"/>
              <w:jc w:val="right"/>
            </w:pPr>
            <w:r>
              <w:rPr>
                <w:rFonts w:cs="Times New Roman"/>
              </w:rPr>
              <w:t>99,1</w:t>
            </w:r>
          </w:p>
        </w:tc>
        <w:tc>
          <w:tcPr>
            <w:tcW w:w="1224" w:type="dxa"/>
          </w:tcPr>
          <w:p w:rsidR="00505632" w:rsidRDefault="00505632" w:rsidP="00AD4E52">
            <w:pPr>
              <w:pStyle w:val="CellColumn"/>
              <w:jc w:val="right"/>
            </w:pPr>
            <w:r>
              <w:rPr>
                <w:rFonts w:cs="Times New Roman"/>
              </w:rPr>
              <w:t>97,2</w:t>
            </w:r>
          </w:p>
        </w:tc>
      </w:tr>
    </w:tbl>
    <w:p w:rsidR="00505632" w:rsidRDefault="00505632" w:rsidP="00505632">
      <w:pPr>
        <w:jc w:val="left"/>
      </w:pPr>
    </w:p>
    <w:p w:rsidR="00505632" w:rsidRDefault="00505632" w:rsidP="00505632">
      <w:r>
        <w:t>Promicanjem obiteljskih vrijednosti, brige za djecu, mlade osigurat će se postizanje ravnopravnosti u svim područjima suvremenog društva. Radi osnaživanja djece i obitelji, te pružanja usluga i potpora u skladu sa potrebama zajednice razvijat će se suradnja sa tijelima državne uprave i organizacijama civilnog društva usmjerenih zaštiti, poštivanju i promicanju prava djece i mladih, te pružanje podrške obitelji.</w:t>
      </w:r>
    </w:p>
    <w:p w:rsidR="00505632" w:rsidRDefault="00505632" w:rsidP="00505632">
      <w:pPr>
        <w:pStyle w:val="Heading8"/>
        <w:jc w:val="left"/>
      </w:pPr>
      <w:r>
        <w:t>Cilj 1. Osiguranje minimalnog životnog standarda najugroženijeg dijela stanovništva, te primjereno zadovoljavanje potreba socijalno osjetljivih skupina</w:t>
      </w:r>
    </w:p>
    <w:p w:rsidR="00505632" w:rsidRDefault="00505632" w:rsidP="00505632">
      <w:pPr>
        <w:pStyle w:val="Heading8"/>
        <w:jc w:val="left"/>
      </w:pPr>
      <w:r>
        <w:t>Opis provedbe cilja programa</w:t>
      </w:r>
    </w:p>
    <w:p w:rsidR="00505632" w:rsidRDefault="00505632" w:rsidP="00505632">
      <w:r>
        <w:t xml:space="preserve">Povećanje dostupnosti i kvalitete socijalnih usluga uz regionalnu ravnomjernost  </w:t>
      </w:r>
    </w:p>
    <w:p w:rsidR="00505632" w:rsidRDefault="00505632" w:rsidP="00505632">
      <w:r>
        <w:t xml:space="preserve">Sudjelovanje u  aktivnostima međunarodne i regionalne suradnje </w:t>
      </w:r>
    </w:p>
    <w:p w:rsidR="00505632" w:rsidRDefault="00505632" w:rsidP="00505632">
      <w:r>
        <w:t>Bilateralnom i multilateralnom suradnjom unaprijedit će se odnosi s drugim državama, međunarodnim i regionalnim organizacijama/institucijama u okviru socijalne politike, kao i  aktivnosti u sklopu modela otvorene koordinacije za područje socijalne zaštite i socijalnog uključivanja. Razmjenom iskustava i primjera dobre prakse, kao i organizacijom raznih međunarodnih događanja, promicat će se aktivnosti iz djelokruga rada Ministarstva.</w:t>
      </w:r>
    </w:p>
    <w:p w:rsidR="00505632" w:rsidRDefault="00505632" w:rsidP="00505632">
      <w:pPr>
        <w:pStyle w:val="Heading8"/>
        <w:jc w:val="left"/>
      </w:pPr>
      <w:r>
        <w:t xml:space="preserve">Cilj 2. Stvaranje održivih uvjeta za osnaživanje obitelji i povećanje nataliteta </w:t>
      </w:r>
    </w:p>
    <w:p w:rsidR="00505632" w:rsidRDefault="00505632" w:rsidP="00505632">
      <w:pPr>
        <w:pStyle w:val="Heading8"/>
        <w:jc w:val="left"/>
      </w:pPr>
      <w:r>
        <w:t>Opis provedbe cilja programa</w:t>
      </w:r>
    </w:p>
    <w:p w:rsidR="00505632" w:rsidRDefault="00505632" w:rsidP="00505632">
      <w:r>
        <w:t xml:space="preserve">Povećanje djelotvornosti i dostupnosti sustava usluga i naknada namijenjenih obitelji </w:t>
      </w:r>
    </w:p>
    <w:p w:rsidR="00505632" w:rsidRDefault="00505632" w:rsidP="00505632">
      <w:r>
        <w:t>Obiteljska politika regulirana je nizom međunarodnih i nacionalnih dokumenata, koja u užem smislu obuhvaća usluge i naknade usmjerene obiteljima s djecom, tj. sva novčana davanja (rodiljne/roditeljske naknade, dječji doplatci, porezne olakšice i dr.), dopuste (rodiljni i roditeljski dopusti, bolovanja i druge mogućnosti izostanka s posla zbog njege članova obitelji), te različite usluge namijenjene obitelji. U okviru obiteljsko pravne zaštite uređuje se brak, izvanbračna zajednica žene i muškarca, odnosi roditelja i djece, mjere za zaštitu prava i dobrobiti djeteta, posvojenje, skrbništvo, uzdržavanje članova obitelji, posebice malodobne djece, obiteljsko savjetovanje i obiteljska medijacija, kao i postupci u vezi s obiteljskim odnosima i skrbništvom. U slučajevima kada je djetetu privremeno ili trajno uskraćena obiteljska skrb ili koje, zbog svoje dobrobiti, ne može ostati u vlastitoj obitelji, posebna zaštita i pomoć države uključuje i posvojenje, kao oblik skrbi koji posvojiteljima omogućuje roditeljstvo, a djetetu život u obitelji, isključivo kada je to u njegovu najboljem interesu.</w:t>
      </w:r>
    </w:p>
    <w:p w:rsidR="00505632" w:rsidRDefault="00505632" w:rsidP="00505632">
      <w:pPr>
        <w:pStyle w:val="Heading4"/>
      </w:pPr>
      <w:r>
        <w:t>A753020 PROVEDBA PROGRAMA ZAJEDNICE-MLADI NA DJELU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A753020-PROVEDBA PROGRAMA ZAJEDNICE-MLADI NA DJELU</w:t>
            </w:r>
          </w:p>
        </w:tc>
        <w:tc>
          <w:tcPr>
            <w:tcW w:w="2041" w:type="dxa"/>
          </w:tcPr>
          <w:p w:rsidR="00505632" w:rsidRDefault="00505632" w:rsidP="00AD4E52">
            <w:pPr>
              <w:pStyle w:val="CellColumn"/>
              <w:jc w:val="right"/>
            </w:pPr>
            <w:r>
              <w:rPr>
                <w:rFonts w:cs="Times New Roman"/>
              </w:rPr>
              <w:t>48.750</w:t>
            </w:r>
          </w:p>
        </w:tc>
        <w:tc>
          <w:tcPr>
            <w:tcW w:w="2041" w:type="dxa"/>
          </w:tcPr>
          <w:p w:rsidR="00505632" w:rsidRDefault="00505632" w:rsidP="00AD4E52">
            <w:pPr>
              <w:pStyle w:val="CellColumn"/>
              <w:jc w:val="right"/>
            </w:pPr>
            <w:r>
              <w:rPr>
                <w:rFonts w:cs="Times New Roman"/>
              </w:rPr>
              <w:t>50.000</w:t>
            </w:r>
          </w:p>
        </w:tc>
        <w:tc>
          <w:tcPr>
            <w:tcW w:w="2041" w:type="dxa"/>
          </w:tcPr>
          <w:p w:rsidR="00505632" w:rsidRDefault="00505632" w:rsidP="00AD4E52">
            <w:pPr>
              <w:pStyle w:val="CellColumn"/>
              <w:jc w:val="right"/>
            </w:pPr>
            <w:r>
              <w:rPr>
                <w:rFonts w:cs="Times New Roman"/>
              </w:rPr>
              <w:t>37.500</w:t>
            </w:r>
          </w:p>
        </w:tc>
        <w:tc>
          <w:tcPr>
            <w:tcW w:w="1224" w:type="dxa"/>
          </w:tcPr>
          <w:p w:rsidR="00505632" w:rsidRDefault="00505632" w:rsidP="00AD4E52">
            <w:pPr>
              <w:pStyle w:val="CellColumn"/>
              <w:jc w:val="right"/>
            </w:pPr>
            <w:r>
              <w:rPr>
                <w:rFonts w:cs="Times New Roman"/>
              </w:rPr>
              <w:t>75,0</w:t>
            </w:r>
          </w:p>
        </w:tc>
        <w:tc>
          <w:tcPr>
            <w:tcW w:w="1224" w:type="dxa"/>
          </w:tcPr>
          <w:p w:rsidR="00505632" w:rsidRDefault="00505632" w:rsidP="00AD4E52">
            <w:pPr>
              <w:pStyle w:val="CellColumn"/>
              <w:jc w:val="right"/>
            </w:pPr>
            <w:r>
              <w:rPr>
                <w:rFonts w:cs="Times New Roman"/>
              </w:rPr>
              <w:t>76,9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Agenciji za mobilnost i programe Europske unije</w:t>
      </w:r>
    </w:p>
    <w:p w:rsidR="00505632" w:rsidRDefault="00505632" w:rsidP="00505632">
      <w:pPr>
        <w:pStyle w:val="Heading8"/>
        <w:jc w:val="left"/>
      </w:pPr>
      <w:r>
        <w:t>Opis aktivnosti</w:t>
      </w:r>
    </w:p>
    <w:p w:rsidR="00505632" w:rsidRDefault="00505632" w:rsidP="00505632">
      <w:r>
        <w:t>S ciljem praćenja provedbe programa Mladi na djelu te Erasmus+ i nadzora nad radom Agencije za mobilnost i programe EU u području mladih, a sukladno Zaključku Vlade RH o sudjelovanju RH u Programima Unije u financijskom razdoblju 2014.- 2020. od 3. srpnja 2014. godine i Uredbi  (EU) br. 1288/2013 Europskog parlamenta i Vijeća od 11. prosinca 2013. o uspostavi programa Erasmus+, Ministarstvo je ispunilo obvezu osiguravanja neovisne vanjske revizije financijskih izvješća te sustava upravljanja sredstvima Europske unije u Agenciji za mobilnost i programe Europske unije.</w:t>
      </w:r>
    </w:p>
    <w:p w:rsidR="00505632" w:rsidRDefault="00505632" w:rsidP="00505632"/>
    <w:p w:rsidR="00505632" w:rsidRDefault="00505632" w:rsidP="00505632">
      <w:pPr>
        <w:pStyle w:val="Heading4"/>
      </w:pPr>
      <w:r>
        <w:t>A788007 MEĐUNARODNA SURADNJA I POSLOVI EU</w:t>
      </w:r>
    </w:p>
    <w:tbl>
      <w:tblPr>
        <w:tblStyle w:val="StilTablice"/>
        <w:tblW w:w="10206" w:type="dxa"/>
        <w:jc w:val="center"/>
        <w:tblLook w:val="04A0" w:firstRow="1" w:lastRow="0" w:firstColumn="1" w:lastColumn="0" w:noHBand="0" w:noVBand="1"/>
      </w:tblPr>
      <w:tblGrid>
        <w:gridCol w:w="1703"/>
        <w:gridCol w:w="2021"/>
        <w:gridCol w:w="2020"/>
        <w:gridCol w:w="2021"/>
        <w:gridCol w:w="1220"/>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A788007-MEĐUNARODNA SURADNJA I POSLOVI EU</w:t>
            </w:r>
          </w:p>
        </w:tc>
        <w:tc>
          <w:tcPr>
            <w:tcW w:w="2041" w:type="dxa"/>
          </w:tcPr>
          <w:p w:rsidR="00505632" w:rsidRDefault="00505632" w:rsidP="00AD4E52">
            <w:pPr>
              <w:pStyle w:val="CellColumn"/>
              <w:jc w:val="right"/>
            </w:pPr>
            <w:r>
              <w:rPr>
                <w:rFonts w:cs="Times New Roman"/>
              </w:rPr>
              <w:t>416.110</w:t>
            </w:r>
          </w:p>
        </w:tc>
        <w:tc>
          <w:tcPr>
            <w:tcW w:w="2041" w:type="dxa"/>
          </w:tcPr>
          <w:p w:rsidR="00505632" w:rsidRDefault="00505632" w:rsidP="00AD4E52">
            <w:pPr>
              <w:pStyle w:val="CellColumn"/>
              <w:jc w:val="right"/>
            </w:pPr>
            <w:r>
              <w:rPr>
                <w:rFonts w:cs="Times New Roman"/>
              </w:rPr>
              <w:t>650.000</w:t>
            </w:r>
          </w:p>
        </w:tc>
        <w:tc>
          <w:tcPr>
            <w:tcW w:w="2041" w:type="dxa"/>
          </w:tcPr>
          <w:p w:rsidR="00505632" w:rsidRDefault="00505632" w:rsidP="00AD4E52">
            <w:pPr>
              <w:pStyle w:val="CellColumn"/>
              <w:jc w:val="right"/>
            </w:pPr>
            <w:r>
              <w:rPr>
                <w:rFonts w:cs="Times New Roman"/>
              </w:rPr>
              <w:t>310.903</w:t>
            </w:r>
          </w:p>
        </w:tc>
        <w:tc>
          <w:tcPr>
            <w:tcW w:w="1224" w:type="dxa"/>
          </w:tcPr>
          <w:p w:rsidR="00505632" w:rsidRDefault="00505632" w:rsidP="00AD4E52">
            <w:pPr>
              <w:pStyle w:val="CellColumn"/>
              <w:jc w:val="right"/>
            </w:pPr>
            <w:r>
              <w:rPr>
                <w:rFonts w:cs="Times New Roman"/>
              </w:rPr>
              <w:t>47,8</w:t>
            </w:r>
          </w:p>
        </w:tc>
        <w:tc>
          <w:tcPr>
            <w:tcW w:w="1224" w:type="dxa"/>
          </w:tcPr>
          <w:p w:rsidR="00505632" w:rsidRDefault="00505632" w:rsidP="00AD4E52">
            <w:pPr>
              <w:pStyle w:val="CellColumn"/>
              <w:jc w:val="right"/>
            </w:pPr>
            <w:r>
              <w:rPr>
                <w:rFonts w:cs="Times New Roman"/>
              </w:rPr>
              <w:t>74,7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(EU) br. 1288/2013 Europskog parlamenta i Vijeća od 11. prosinca 2013. o uspostavi programa „Erasmus+”, Zaključak Vlade o sudjelovanju RH u Programima Unije u financijskom razdoblju 2014.-2020. godine i Zakon o Agenciji za mobilnost i programe Europske unije</w:t>
      </w:r>
    </w:p>
    <w:p w:rsidR="00505632" w:rsidRDefault="00505632" w:rsidP="00505632">
      <w:pPr>
        <w:pStyle w:val="Heading8"/>
        <w:jc w:val="left"/>
      </w:pPr>
      <w:r>
        <w:t>Opis aktivnosti</w:t>
      </w:r>
    </w:p>
    <w:p w:rsidR="00505632" w:rsidRDefault="00505632" w:rsidP="00505632">
      <w:r>
        <w:t xml:space="preserve">Osigurano je ispunjavanje obveza koje proizlaze iz članstva RH u Europskoj uniji i Vijeću Europe.  Izrađene su stručne podloge za stajališta i strateški dokumenti te izvješća o provedbi navedenih dokumenata kojima je RH izravno sudjelovala u donošenju odluka na europskoj razini, postizanju ciljeva strategije Europa 2020 te općenito zastupanje interesa RH na europskoj razini. Osigurano je sudjelovanje predstavnika RH u radu relevantnih međunarodnih/regionalnih tijela/institucija te izvješćivanje o aktivnostima RH na području socijalne skrbi, socijalnog uključivanja i borbe protiv siromaštva. Kroz Aktivnost je također osigurano jačanje bilateralnih i multilateralnih odnosa Republike Hrvatske kroz organizaciju bilateralnih susreta i uređenje međusobnih odnosa među relevantnim državama potpisivanjem memoranduma o suradnji. Osigurano je prevođenje strateških nacionalnih dokumenata i dokumenata relevantnih međunarodnih/ regionalnih tijela/institucija. </w:t>
      </w:r>
    </w:p>
    <w:p w:rsidR="00505632" w:rsidRDefault="00505632" w:rsidP="00505632">
      <w:r>
        <w:t>Kao tijelo državne uprave nadležno za program Unije Erasmus+ (sljednik programa Mladi na djelu), Ministarstvo je ovom aktivnosti osiguralo jamstvo za redovito i pravilno provođenje programa Unije Erasmus+ te završne aktivnosti programa Mladi na djelu, sredstva za plaće i materijalne troškove djelatnika Agencije za mobilnost i programe EU koji rade na poslovima za mlade te stvaranje mogućnosti za preugovaranje projekata, pokrivanje troškova u slučaju nepravilnosti ili prijevara kao i tečajnih razlika koje mogu biti rezultat provedbe programa Erasmus+ od strane Agencije za mobilnost i programe EU.</w:t>
      </w:r>
    </w:p>
    <w:p w:rsidR="00505632" w:rsidRDefault="00505632" w:rsidP="00505632">
      <w:pPr>
        <w:pStyle w:val="Heading3"/>
      </w:pPr>
      <w:r>
        <w:rPr>
          <w:rFonts w:cs="Times New Roman"/>
        </w:rPr>
        <w:t>4006 SOCIJALNO OSNAŽIVANJE OSOBA S INVALIDITETOM</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4006-SOCIJALNO OSNAŽIVANJE OSOBA S INVALIDITETOM</w:t>
            </w:r>
          </w:p>
        </w:tc>
        <w:tc>
          <w:tcPr>
            <w:tcW w:w="2041" w:type="dxa"/>
          </w:tcPr>
          <w:p w:rsidR="00505632" w:rsidRDefault="00505632" w:rsidP="00AD4E52">
            <w:pPr>
              <w:pStyle w:val="CellColumn"/>
              <w:jc w:val="right"/>
            </w:pPr>
            <w:r>
              <w:rPr>
                <w:rFonts w:cs="Times New Roman"/>
              </w:rPr>
              <w:t>35.229.720</w:t>
            </w:r>
          </w:p>
        </w:tc>
        <w:tc>
          <w:tcPr>
            <w:tcW w:w="2041" w:type="dxa"/>
          </w:tcPr>
          <w:p w:rsidR="00505632" w:rsidRDefault="00505632" w:rsidP="00AD4E52">
            <w:pPr>
              <w:pStyle w:val="CellColumn"/>
              <w:jc w:val="right"/>
            </w:pPr>
            <w:r>
              <w:rPr>
                <w:rFonts w:cs="Times New Roman"/>
              </w:rPr>
              <w:t>44.982.554</w:t>
            </w:r>
          </w:p>
        </w:tc>
        <w:tc>
          <w:tcPr>
            <w:tcW w:w="2041" w:type="dxa"/>
          </w:tcPr>
          <w:p w:rsidR="00505632" w:rsidRDefault="00505632" w:rsidP="00AD4E52">
            <w:pPr>
              <w:pStyle w:val="CellColumn"/>
              <w:jc w:val="right"/>
            </w:pPr>
            <w:r>
              <w:rPr>
                <w:rFonts w:cs="Times New Roman"/>
              </w:rPr>
              <w:t>39.070.635</w:t>
            </w:r>
          </w:p>
        </w:tc>
        <w:tc>
          <w:tcPr>
            <w:tcW w:w="1224" w:type="dxa"/>
          </w:tcPr>
          <w:p w:rsidR="00505632" w:rsidRDefault="00505632" w:rsidP="00AD4E52">
            <w:pPr>
              <w:pStyle w:val="CellColumn"/>
              <w:jc w:val="right"/>
            </w:pPr>
            <w:r>
              <w:rPr>
                <w:rFonts w:cs="Times New Roman"/>
              </w:rPr>
              <w:t>86,9</w:t>
            </w:r>
          </w:p>
        </w:tc>
        <w:tc>
          <w:tcPr>
            <w:tcW w:w="1224" w:type="dxa"/>
          </w:tcPr>
          <w:p w:rsidR="00505632" w:rsidRDefault="00505632" w:rsidP="00AD4E52">
            <w:pPr>
              <w:pStyle w:val="CellColumn"/>
              <w:jc w:val="right"/>
            </w:pPr>
            <w:r>
              <w:rPr>
                <w:rFonts w:cs="Times New Roman"/>
              </w:rPr>
              <w:t>110,9</w:t>
            </w:r>
          </w:p>
        </w:tc>
      </w:tr>
    </w:tbl>
    <w:p w:rsidR="00505632" w:rsidRDefault="00505632" w:rsidP="00505632">
      <w:pPr>
        <w:jc w:val="left"/>
      </w:pPr>
    </w:p>
    <w:p w:rsidR="00505632" w:rsidRDefault="00505632" w:rsidP="00505632">
      <w:r>
        <w:t>Ministarstvo socijalne politike i mladih, u svrhu jasnog i dugoročnog opredjeljenja u stvaranju socijalnih, obrazovnih, odgojnih, kulturnih, materijalnih i ostalih uvjeta za trajnu dobrobit djece, mladih i osoba s invaliditetom, posebice onih smještenih u domovima socijalne skrbi provodi niz mjera s ciljem njihovog uključivanja u život zajednice. U tu svrhu potiče, koordinira, prati i nadzire razvoj usluga te provodi mjere usmjerene deinstitucionalizaciji i decentralizaciji usluga u zajednici usmjerenih djeci s teškoćama u razvoju i odraslim osobama s invaliditetom kao i osobama s teškoćama mentalnog zdravlja sukladno propisima i nacionalnim dokumentima. Također, u svrhu učinkovitije integracije osoba s invaliditetom u život zajednice i prevencije njihove institucionalizacije, a time i jačanjem mogućnosti deinstitucionalizacije, u narednom razdoblju će se i nadalje poticati razvoj trajnih izvaninstitucionalnih oblika skrbi i potpora namijenjenih djeci s teškoćama u razvoju i odraslim osobama s invaliditetom i njihovim obiteljima.</w:t>
      </w:r>
    </w:p>
    <w:p w:rsidR="00505632" w:rsidRDefault="00505632" w:rsidP="00505632">
      <w:pPr>
        <w:pStyle w:val="Heading4"/>
      </w:pPr>
      <w:r>
        <w:t>A522019 KOORDINACIJA, PRAĆENJE I VREDNOVANJE NACIONALNE STRATEGIJE ZA OSOBE S INVALIDITETOM</w:t>
      </w:r>
    </w:p>
    <w:tbl>
      <w:tblPr>
        <w:tblStyle w:val="StilTablice"/>
        <w:tblW w:w="10206" w:type="dxa"/>
        <w:jc w:val="center"/>
        <w:tblLook w:val="04A0" w:firstRow="1" w:lastRow="0" w:firstColumn="1" w:lastColumn="0" w:noHBand="0" w:noVBand="1"/>
      </w:tblPr>
      <w:tblGrid>
        <w:gridCol w:w="1703"/>
        <w:gridCol w:w="2021"/>
        <w:gridCol w:w="2019"/>
        <w:gridCol w:w="2022"/>
        <w:gridCol w:w="1220"/>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A522019-KOORDINACIJA, PRAĆENJE I VREDNOVANJE NACIONALNE STRATEGIJE ZA OSOBE S INVALIDITETOM</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60.040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Nacionalna strategija izjednačavanja mogućnosti za osobe s invalidietom od 2007. do 2015., Zakon o  potvrđivanju konvencije o pravima osoba s invaliditetom i fakultativnog protokola uz konvenciju, Nacionalni program zaštite i promicanje ljudskih prava u RH od 2008. do 2011., Nacionalni plan aktivnosti za prava i interese djece od 2006. do 2012., Nacionalni program djelovanja za mlade</w:t>
      </w:r>
    </w:p>
    <w:p w:rsidR="00505632" w:rsidRDefault="00505632" w:rsidP="00505632">
      <w:pPr>
        <w:pStyle w:val="Heading8"/>
        <w:jc w:val="left"/>
      </w:pPr>
      <w:r>
        <w:t>Opis aktivnosti</w:t>
      </w:r>
    </w:p>
    <w:p w:rsidR="00505632" w:rsidRDefault="00505632" w:rsidP="00505632">
      <w:r>
        <w:t xml:space="preserve">Republika Hrvatska je 30. ožujka 2007. godine potpisala Konvenciju o pravima osoba s invaliditetom i Fakultativni protokol uz Konvenciju te je 1. lipnja 2007. godine donijela Zakon o potvrđivanju Konvencije o pravima osoba s invaliditetom i Fakultativnog protokola uz Konvenciju. Konvencija o pravima osoba s invaliditetom i Akcijski plan Vijeća Europe za promicanje prava i potpunog sudjelovanja u društvu osoba s invaliditetom: poboljšanje kvalitete života osoba s invaliditetom u Europi 2006.-2015. bili su temelj donošenja Nacionalne strategije izjednačavanja mogućnosti za osobe s invaliditetom od 2007. do 2015. godine koju je Vlada Republike Hrvatske donijela 5. lipnja 2007. godine. </w:t>
      </w:r>
    </w:p>
    <w:p w:rsidR="00505632" w:rsidRDefault="00505632" w:rsidP="00505632">
      <w:r>
        <w:t xml:space="preserve">Nastavno na postojeće zakonodavstvo kao i na dosadašnju provedbu i rezultate Nacionalne strategije izjednačavanja mogućnosti za osobe s invaliditetom od 2007. do 2015. godine, s ciljem daljnjeg napretka i osnaživanja prava osoba s invaliditetom, izrađen je Nacrt prijedloga  nove Nacionalne strategije za sljedeće petogodišnje razdoblje – od 2016. do 2020. godine. Navedena strategija biti će do kraj 2016. godine upućena na Vladu Republike Hrvatske radi donošenja. </w:t>
      </w:r>
    </w:p>
    <w:p w:rsidR="00505632" w:rsidRDefault="00505632" w:rsidP="00505632">
      <w:r>
        <w:t>Navedena sredstva utrošit će se u svrhu tiskanja nove Nacionalne strategije uključujući i tisak na brajici te prevođenje na engleski jezik.</w:t>
      </w:r>
    </w:p>
    <w:p w:rsidR="00505632" w:rsidRDefault="00505632" w:rsidP="00505632">
      <w:pPr>
        <w:pStyle w:val="Heading4"/>
      </w:pPr>
      <w:r>
        <w:t>A558051 AFIRMACIJA PRAVA I UNAPREĐIVANJE POLITIKE ZA OSOBE S INVALIDITETOM</w:t>
      </w:r>
    </w:p>
    <w:tbl>
      <w:tblPr>
        <w:tblStyle w:val="StilTablice"/>
        <w:tblW w:w="10206" w:type="dxa"/>
        <w:jc w:val="center"/>
        <w:tblLook w:val="04A0" w:firstRow="1" w:lastRow="0" w:firstColumn="1" w:lastColumn="0" w:noHBand="0" w:noVBand="1"/>
      </w:tblPr>
      <w:tblGrid>
        <w:gridCol w:w="1759"/>
        <w:gridCol w:w="2006"/>
        <w:gridCol w:w="2000"/>
        <w:gridCol w:w="2006"/>
        <w:gridCol w:w="1216"/>
        <w:gridCol w:w="121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A558051-AFIRMACIJA PRAVA I UNAPREĐIVANJE POLITIKE ZA OSOBE S INVALIDITETOM</w:t>
            </w:r>
          </w:p>
        </w:tc>
        <w:tc>
          <w:tcPr>
            <w:tcW w:w="2041" w:type="dxa"/>
          </w:tcPr>
          <w:p w:rsidR="00505632" w:rsidRDefault="00505632" w:rsidP="00AD4E52">
            <w:pPr>
              <w:pStyle w:val="CellColumn"/>
              <w:jc w:val="right"/>
            </w:pPr>
            <w:r>
              <w:rPr>
                <w:rFonts w:cs="Times New Roman"/>
              </w:rPr>
              <w:t>48.156</w:t>
            </w:r>
          </w:p>
        </w:tc>
        <w:tc>
          <w:tcPr>
            <w:tcW w:w="2041" w:type="dxa"/>
          </w:tcPr>
          <w:p w:rsidR="00505632" w:rsidRDefault="00505632" w:rsidP="00AD4E52">
            <w:pPr>
              <w:pStyle w:val="CellColumn"/>
              <w:jc w:val="right"/>
            </w:pPr>
            <w:r>
              <w:rPr>
                <w:rFonts w:cs="Times New Roman"/>
              </w:rPr>
              <w:t>48.250</w:t>
            </w:r>
          </w:p>
        </w:tc>
        <w:tc>
          <w:tcPr>
            <w:tcW w:w="2041" w:type="dxa"/>
          </w:tcPr>
          <w:p w:rsidR="00505632" w:rsidRDefault="00505632" w:rsidP="00AD4E52">
            <w:pPr>
              <w:pStyle w:val="CellColumn"/>
              <w:jc w:val="right"/>
            </w:pPr>
            <w:r>
              <w:rPr>
                <w:rFonts w:cs="Times New Roman"/>
              </w:rPr>
              <w:t>18.111</w:t>
            </w:r>
          </w:p>
        </w:tc>
        <w:tc>
          <w:tcPr>
            <w:tcW w:w="1224" w:type="dxa"/>
          </w:tcPr>
          <w:p w:rsidR="00505632" w:rsidRDefault="00505632" w:rsidP="00AD4E52">
            <w:pPr>
              <w:pStyle w:val="CellColumn"/>
              <w:jc w:val="right"/>
            </w:pPr>
            <w:r>
              <w:rPr>
                <w:rFonts w:cs="Times New Roman"/>
              </w:rPr>
              <w:t>37,5</w:t>
            </w:r>
          </w:p>
        </w:tc>
        <w:tc>
          <w:tcPr>
            <w:tcW w:w="1224" w:type="dxa"/>
          </w:tcPr>
          <w:p w:rsidR="00505632" w:rsidRDefault="00505632" w:rsidP="00AD4E52">
            <w:pPr>
              <w:pStyle w:val="CellColumn"/>
              <w:jc w:val="right"/>
            </w:pPr>
            <w:r>
              <w:rPr>
                <w:rFonts w:cs="Times New Roman"/>
              </w:rPr>
              <w:t>37,6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Nacionalna strategija jedinstvene politike za osobe s invaliditetom od 2003.-2006.</w:t>
      </w:r>
    </w:p>
    <w:p w:rsidR="00505632" w:rsidRDefault="00505632" w:rsidP="00505632">
      <w:pPr>
        <w:pStyle w:val="Heading8"/>
        <w:jc w:val="left"/>
      </w:pPr>
      <w:r>
        <w:t>Opis aktivnosti</w:t>
      </w:r>
    </w:p>
    <w:p w:rsidR="00505632" w:rsidRDefault="00505632" w:rsidP="00505632">
      <w:r>
        <w:t xml:space="preserve">Navedena sredstva utrošitla su se za provedbu mjera Nacionalne strategije izjednačavanja mogućnosti za osobe s invaliditetom od 2016. do 2020. godine.  </w:t>
      </w:r>
    </w:p>
    <w:p w:rsidR="00505632" w:rsidRDefault="00505632" w:rsidP="00505632">
      <w:r>
        <w:t>Provedene mjere su osnova za izradu Izvješća o provedbi Konvencije o pravima osoba s invaliditetom koje RH dostavlja i brani pred Odborom za prava osoba s invaliditetom Ujedinjenih naroda.</w:t>
      </w:r>
    </w:p>
    <w:p w:rsidR="00505632" w:rsidRDefault="00505632" w:rsidP="00505632">
      <w:pPr>
        <w:pStyle w:val="Heading4"/>
      </w:pPr>
      <w:r>
        <w:t>A754019 ODOBRAVANJE FINANCIJSKE POTPORE ZA PROGRAME I PROJEKTE USMJERENE DJECI S TEŠKOĆAMA I ODRASLIM OSOBAMA S INVALIDITETOM</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A754019-ODOBRAVANJE FINANCIJSKE POTPORE ZA PROGRAME I PROJEKTE USMJERENE DJECI S TEŠKOĆAMA I ODRASLIM OSOBAMA S INVALIDITETOM</w:t>
            </w:r>
          </w:p>
        </w:tc>
        <w:tc>
          <w:tcPr>
            <w:tcW w:w="2041" w:type="dxa"/>
          </w:tcPr>
          <w:p w:rsidR="00505632" w:rsidRDefault="00505632" w:rsidP="00AD4E52">
            <w:pPr>
              <w:pStyle w:val="CellColumn"/>
              <w:jc w:val="right"/>
            </w:pPr>
            <w:r>
              <w:rPr>
                <w:rFonts w:cs="Times New Roman"/>
              </w:rPr>
              <w:t>35.181.564</w:t>
            </w:r>
          </w:p>
        </w:tc>
        <w:tc>
          <w:tcPr>
            <w:tcW w:w="2041" w:type="dxa"/>
          </w:tcPr>
          <w:p w:rsidR="00505632" w:rsidRDefault="00505632" w:rsidP="00AD4E52">
            <w:pPr>
              <w:pStyle w:val="CellColumn"/>
              <w:jc w:val="right"/>
            </w:pPr>
            <w:r>
              <w:rPr>
                <w:rFonts w:cs="Times New Roman"/>
              </w:rPr>
              <w:t>44.874.264</w:t>
            </w:r>
          </w:p>
        </w:tc>
        <w:tc>
          <w:tcPr>
            <w:tcW w:w="2041" w:type="dxa"/>
          </w:tcPr>
          <w:p w:rsidR="00505632" w:rsidRDefault="00505632" w:rsidP="00AD4E52">
            <w:pPr>
              <w:pStyle w:val="CellColumn"/>
              <w:jc w:val="right"/>
            </w:pPr>
            <w:r>
              <w:rPr>
                <w:rFonts w:cs="Times New Roman"/>
              </w:rPr>
              <w:t>39.052.524</w:t>
            </w:r>
          </w:p>
        </w:tc>
        <w:tc>
          <w:tcPr>
            <w:tcW w:w="1224" w:type="dxa"/>
          </w:tcPr>
          <w:p w:rsidR="00505632" w:rsidRDefault="00505632" w:rsidP="00AD4E52">
            <w:pPr>
              <w:pStyle w:val="CellColumn"/>
              <w:jc w:val="right"/>
            </w:pPr>
            <w:r>
              <w:rPr>
                <w:rFonts w:cs="Times New Roman"/>
              </w:rPr>
              <w:t>87,0</w:t>
            </w:r>
          </w:p>
        </w:tc>
        <w:tc>
          <w:tcPr>
            <w:tcW w:w="1224" w:type="dxa"/>
          </w:tcPr>
          <w:p w:rsidR="00505632" w:rsidRDefault="00505632" w:rsidP="00AD4E52">
            <w:pPr>
              <w:pStyle w:val="CellColumn"/>
              <w:jc w:val="right"/>
            </w:pPr>
            <w:r>
              <w:rPr>
                <w:rFonts w:cs="Times New Roman"/>
              </w:rPr>
              <w:t>111,0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Nacionalna strategija izjednačavanja mogućnosti osoba s invaliditetom od 2007. do 2015., Uredba o igrama na sreću, Kodeks pozitivne prakse, standarda i mjerila za ostvarivanje financijske potpore programima i projektima</w:t>
      </w:r>
    </w:p>
    <w:p w:rsidR="00505632" w:rsidRDefault="00505632" w:rsidP="00505632">
      <w:pPr>
        <w:pStyle w:val="Heading8"/>
        <w:jc w:val="left"/>
      </w:pPr>
      <w:r>
        <w:t>Opis aktivnosti</w:t>
      </w:r>
    </w:p>
    <w:p w:rsidR="00505632" w:rsidRDefault="00505632" w:rsidP="00505632">
      <w:r>
        <w:t>S aktivnosti je financirano 135 programa organizacija civilnog društva koji se odnose na pružanje usluge osobne asistencije za oko 400 osoba kojima se omogućava unapređenje kvalitete života i sudjelovanje u lokalnoj zajednici, za što je objavljen jedan javni poziv.</w:t>
      </w:r>
    </w:p>
    <w:p w:rsidR="00505632" w:rsidRDefault="00505632" w:rsidP="00505632">
      <w:pPr>
        <w:pStyle w:val="Heading2"/>
      </w:pPr>
      <w:r>
        <w:t>10208 Proračunski  korisnici u socijalnoj skrbi</w:t>
      </w:r>
    </w:p>
    <w:p w:rsidR="00505632" w:rsidRDefault="00505632" w:rsidP="00505632">
      <w:r>
        <w:t>Sustav socijalne skrbi definiran je Zakonom o socijalnoj skrbi kao temeljnim zakonom kojim se uređuje način obavljanja i financiranja djelatnosti socijalne skrbi, korisnici, prava, postupak za ostvarivanje tih prava, te druga pitanja od značenja za obavljanje ove djelatnosti. Socijalna skrb je djelatnost kojom se osigurava i ostvaruje pomoć za podmirenje osnovnih životnih potreba socijalno ugroženih, nemoćnih i drugih osoba. Pritom je riječ o potrebama koje ove osobe, zbog nepovoljnih osobnih, gospodarskih, socijalnih i drugih razloga, ne mogu zadovoljiti same ili uz pomoć članova obitelji. Korisnici socijalne skrbi su samci i obitelji koji nemaju dovoljno sredstava za podmirenje osnovnih životnih potreba, dijete s invaliditetom ili psihički bolesno dijete i dijete prema kojem je ili bi trebala biti primijenjena mjera obiteljsko-pravne ili kazneno-pravne zaštite, osoba koja je u nevolji zbog poremećenih odnosa u obitelji ili drugih oblika društveno neprihvatljivog ponašanja, te odrasla osoba kojoj je radi invalidnosti, starosti, psihičke bolesti, trajnih promjena u zdravstvenom stanju, ovisnosti ili drugih razloga potrebna pomoć.</w:t>
      </w:r>
    </w:p>
    <w:p w:rsidR="00505632" w:rsidRDefault="00505632" w:rsidP="00505632"/>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10208-Proračunski  korisnici u socijalnoj skrbi</w:t>
            </w:r>
          </w:p>
        </w:tc>
        <w:tc>
          <w:tcPr>
            <w:tcW w:w="2041" w:type="dxa"/>
            <w:vAlign w:val="top"/>
          </w:tcPr>
          <w:p w:rsidR="00505632" w:rsidRDefault="00505632" w:rsidP="00AD4E52">
            <w:pPr>
              <w:pStyle w:val="CellColumn"/>
              <w:jc w:val="right"/>
            </w:pPr>
            <w:r>
              <w:rPr>
                <w:rFonts w:cs="Times New Roman"/>
              </w:rPr>
              <w:t>2.876.327.525</w:t>
            </w:r>
          </w:p>
        </w:tc>
        <w:tc>
          <w:tcPr>
            <w:tcW w:w="2041" w:type="dxa"/>
            <w:vAlign w:val="top"/>
          </w:tcPr>
          <w:p w:rsidR="00505632" w:rsidRDefault="00505632" w:rsidP="00AD4E52">
            <w:pPr>
              <w:pStyle w:val="CellColumn"/>
              <w:jc w:val="right"/>
            </w:pPr>
            <w:r>
              <w:rPr>
                <w:rFonts w:cs="Times New Roman"/>
              </w:rPr>
              <w:t>2.970.078.196</w:t>
            </w:r>
          </w:p>
        </w:tc>
        <w:tc>
          <w:tcPr>
            <w:tcW w:w="2041" w:type="dxa"/>
            <w:vAlign w:val="top"/>
          </w:tcPr>
          <w:p w:rsidR="00505632" w:rsidRDefault="00505632" w:rsidP="00AD4E52">
            <w:pPr>
              <w:pStyle w:val="CellColumn"/>
              <w:jc w:val="right"/>
            </w:pPr>
            <w:r>
              <w:rPr>
                <w:rFonts w:cs="Times New Roman"/>
              </w:rPr>
              <w:t>2.938.631.566</w:t>
            </w:r>
          </w:p>
        </w:tc>
        <w:tc>
          <w:tcPr>
            <w:tcW w:w="1224" w:type="dxa"/>
            <w:vAlign w:val="top"/>
          </w:tcPr>
          <w:p w:rsidR="00505632" w:rsidRDefault="00505632" w:rsidP="00AD4E52">
            <w:pPr>
              <w:pStyle w:val="CellColumn"/>
              <w:jc w:val="right"/>
            </w:pPr>
            <w:r>
              <w:rPr>
                <w:rFonts w:cs="Times New Roman"/>
              </w:rPr>
              <w:t>98,9</w:t>
            </w:r>
          </w:p>
        </w:tc>
        <w:tc>
          <w:tcPr>
            <w:tcW w:w="1224" w:type="dxa"/>
            <w:vAlign w:val="top"/>
          </w:tcPr>
          <w:p w:rsidR="00505632" w:rsidRDefault="00505632" w:rsidP="00AD4E52">
            <w:pPr>
              <w:pStyle w:val="CellColumn"/>
              <w:jc w:val="right"/>
            </w:pPr>
            <w:r>
              <w:rPr>
                <w:rFonts w:cs="Times New Roman"/>
              </w:rPr>
              <w:t>102,2</w:t>
            </w:r>
          </w:p>
        </w:tc>
      </w:tr>
      <w:tr w:rsidR="00505632" w:rsidTr="00AD4E52">
        <w:trPr>
          <w:jc w:val="center"/>
        </w:trPr>
        <w:tc>
          <w:tcPr>
            <w:tcW w:w="1632" w:type="dxa"/>
          </w:tcPr>
          <w:p w:rsidR="00505632" w:rsidRDefault="00505632" w:rsidP="00AD4E52">
            <w:pPr>
              <w:jc w:val="left"/>
            </w:pPr>
            <w:r>
              <w:t>4001-SOCIJALNE POMOĆI I NAKNADE</w:t>
            </w:r>
          </w:p>
        </w:tc>
        <w:tc>
          <w:tcPr>
            <w:tcW w:w="2041" w:type="dxa"/>
          </w:tcPr>
          <w:p w:rsidR="00505632" w:rsidRDefault="00505632" w:rsidP="00AD4E52">
            <w:pPr>
              <w:jc w:val="right"/>
            </w:pPr>
            <w:r>
              <w:t>1.933.896.999</w:t>
            </w:r>
          </w:p>
        </w:tc>
        <w:tc>
          <w:tcPr>
            <w:tcW w:w="2041" w:type="dxa"/>
          </w:tcPr>
          <w:p w:rsidR="00505632" w:rsidRDefault="00505632" w:rsidP="00AD4E52">
            <w:pPr>
              <w:jc w:val="right"/>
            </w:pPr>
            <w:r>
              <w:t>2.043.917.279</w:t>
            </w:r>
          </w:p>
        </w:tc>
        <w:tc>
          <w:tcPr>
            <w:tcW w:w="2041" w:type="dxa"/>
          </w:tcPr>
          <w:p w:rsidR="00505632" w:rsidRDefault="00505632" w:rsidP="00AD4E52">
            <w:pPr>
              <w:jc w:val="right"/>
            </w:pPr>
            <w:r>
              <w:t>2.024.854.821</w:t>
            </w:r>
          </w:p>
        </w:tc>
        <w:tc>
          <w:tcPr>
            <w:tcW w:w="1224" w:type="dxa"/>
          </w:tcPr>
          <w:p w:rsidR="00505632" w:rsidRDefault="00505632" w:rsidP="00AD4E52">
            <w:pPr>
              <w:jc w:val="right"/>
            </w:pPr>
            <w:r>
              <w:t>99,1</w:t>
            </w:r>
          </w:p>
        </w:tc>
        <w:tc>
          <w:tcPr>
            <w:tcW w:w="1224" w:type="dxa"/>
          </w:tcPr>
          <w:p w:rsidR="00505632" w:rsidRDefault="00505632" w:rsidP="00AD4E52">
            <w:pPr>
              <w:jc w:val="right"/>
            </w:pPr>
            <w:r>
              <w:t>104,7</w:t>
            </w:r>
          </w:p>
        </w:tc>
      </w:tr>
      <w:tr w:rsidR="00505632" w:rsidTr="00AD4E52">
        <w:trPr>
          <w:jc w:val="center"/>
        </w:trPr>
        <w:tc>
          <w:tcPr>
            <w:tcW w:w="1632" w:type="dxa"/>
          </w:tcPr>
          <w:p w:rsidR="00505632" w:rsidRDefault="00505632" w:rsidP="00AD4E52">
            <w:pPr>
              <w:jc w:val="left"/>
            </w:pPr>
            <w:r>
              <w:t>4002-SKRB ZA SOCIJALNO OSJETLJIVE SKUPINE</w:t>
            </w:r>
          </w:p>
        </w:tc>
        <w:tc>
          <w:tcPr>
            <w:tcW w:w="2041" w:type="dxa"/>
          </w:tcPr>
          <w:p w:rsidR="00505632" w:rsidRDefault="00505632" w:rsidP="00AD4E52">
            <w:pPr>
              <w:jc w:val="right"/>
            </w:pPr>
            <w:r>
              <w:t>886.465.956</w:t>
            </w:r>
          </w:p>
        </w:tc>
        <w:tc>
          <w:tcPr>
            <w:tcW w:w="2041" w:type="dxa"/>
          </w:tcPr>
          <w:p w:rsidR="00505632" w:rsidRDefault="00505632" w:rsidP="00AD4E52">
            <w:pPr>
              <w:jc w:val="right"/>
            </w:pPr>
            <w:r>
              <w:t>894.230.790</w:t>
            </w:r>
          </w:p>
        </w:tc>
        <w:tc>
          <w:tcPr>
            <w:tcW w:w="2041" w:type="dxa"/>
          </w:tcPr>
          <w:p w:rsidR="00505632" w:rsidRDefault="00505632" w:rsidP="00AD4E52">
            <w:pPr>
              <w:jc w:val="right"/>
            </w:pPr>
            <w:r>
              <w:t>868.247.738</w:t>
            </w:r>
          </w:p>
        </w:tc>
        <w:tc>
          <w:tcPr>
            <w:tcW w:w="1224" w:type="dxa"/>
          </w:tcPr>
          <w:p w:rsidR="00505632" w:rsidRDefault="00505632" w:rsidP="00AD4E52">
            <w:pPr>
              <w:jc w:val="right"/>
            </w:pPr>
            <w:r>
              <w:t>97,1</w:t>
            </w:r>
          </w:p>
        </w:tc>
        <w:tc>
          <w:tcPr>
            <w:tcW w:w="1224" w:type="dxa"/>
          </w:tcPr>
          <w:p w:rsidR="00505632" w:rsidRDefault="00505632" w:rsidP="00AD4E52">
            <w:pPr>
              <w:jc w:val="right"/>
            </w:pPr>
            <w:r>
              <w:t>97,9</w:t>
            </w:r>
          </w:p>
        </w:tc>
      </w:tr>
      <w:tr w:rsidR="00505632" w:rsidTr="00AD4E52">
        <w:trPr>
          <w:jc w:val="center"/>
        </w:trPr>
        <w:tc>
          <w:tcPr>
            <w:tcW w:w="1632" w:type="dxa"/>
          </w:tcPr>
          <w:p w:rsidR="00505632" w:rsidRDefault="00505632" w:rsidP="00AD4E52">
            <w:pPr>
              <w:jc w:val="left"/>
            </w:pPr>
            <w:r>
              <w:t>4003-PODIZANJE KVALITETE I DOSTUPNOSTI SOCIJALNE SKRBI</w:t>
            </w:r>
          </w:p>
        </w:tc>
        <w:tc>
          <w:tcPr>
            <w:tcW w:w="2041" w:type="dxa"/>
          </w:tcPr>
          <w:p w:rsidR="00505632" w:rsidRDefault="00505632" w:rsidP="00AD4E52">
            <w:pPr>
              <w:jc w:val="right"/>
            </w:pPr>
            <w:r>
              <w:t>55.964.571</w:t>
            </w:r>
          </w:p>
        </w:tc>
        <w:tc>
          <w:tcPr>
            <w:tcW w:w="2041" w:type="dxa"/>
          </w:tcPr>
          <w:p w:rsidR="00505632" w:rsidRDefault="00505632" w:rsidP="00AD4E52">
            <w:pPr>
              <w:jc w:val="right"/>
            </w:pPr>
            <w:r>
              <w:t>31.930.127</w:t>
            </w:r>
          </w:p>
        </w:tc>
        <w:tc>
          <w:tcPr>
            <w:tcW w:w="2041" w:type="dxa"/>
          </w:tcPr>
          <w:p w:rsidR="00505632" w:rsidRDefault="00505632" w:rsidP="00AD4E52">
            <w:pPr>
              <w:jc w:val="right"/>
            </w:pPr>
            <w:r>
              <w:t>45.529.007</w:t>
            </w:r>
          </w:p>
        </w:tc>
        <w:tc>
          <w:tcPr>
            <w:tcW w:w="1224" w:type="dxa"/>
          </w:tcPr>
          <w:p w:rsidR="00505632" w:rsidRDefault="00505632" w:rsidP="00AD4E52">
            <w:pPr>
              <w:jc w:val="right"/>
            </w:pPr>
            <w:r>
              <w:t>142,6</w:t>
            </w:r>
          </w:p>
        </w:tc>
        <w:tc>
          <w:tcPr>
            <w:tcW w:w="1224" w:type="dxa"/>
          </w:tcPr>
          <w:p w:rsidR="00505632" w:rsidRDefault="00505632" w:rsidP="00AD4E52">
            <w:pPr>
              <w:jc w:val="right"/>
            </w:pPr>
            <w:r>
              <w:t>81,4</w:t>
            </w:r>
          </w:p>
        </w:tc>
      </w:tr>
    </w:tbl>
    <w:p w:rsidR="00505632" w:rsidRDefault="00505632" w:rsidP="00505632">
      <w:pPr>
        <w:jc w:val="left"/>
      </w:pPr>
    </w:p>
    <w:p w:rsidR="00505632" w:rsidRDefault="00505632" w:rsidP="00505632">
      <w:pPr>
        <w:pStyle w:val="Heading3"/>
      </w:pPr>
      <w:r>
        <w:rPr>
          <w:rFonts w:cs="Times New Roman"/>
        </w:rPr>
        <w:t>4001 SOCIJALNE POMOĆI I NAKNADE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4001-SOCIJALNE POMOĆI I NAKNADE</w:t>
            </w:r>
          </w:p>
        </w:tc>
        <w:tc>
          <w:tcPr>
            <w:tcW w:w="2041" w:type="dxa"/>
          </w:tcPr>
          <w:p w:rsidR="00505632" w:rsidRDefault="00505632" w:rsidP="00AD4E52">
            <w:pPr>
              <w:pStyle w:val="CellColumn"/>
              <w:jc w:val="right"/>
            </w:pPr>
            <w:r>
              <w:rPr>
                <w:rFonts w:cs="Times New Roman"/>
              </w:rPr>
              <w:t>1.933.896.999</w:t>
            </w:r>
          </w:p>
        </w:tc>
        <w:tc>
          <w:tcPr>
            <w:tcW w:w="2041" w:type="dxa"/>
          </w:tcPr>
          <w:p w:rsidR="00505632" w:rsidRDefault="00505632" w:rsidP="00AD4E52">
            <w:pPr>
              <w:pStyle w:val="CellColumn"/>
              <w:jc w:val="right"/>
            </w:pPr>
            <w:r>
              <w:rPr>
                <w:rFonts w:cs="Times New Roman"/>
              </w:rPr>
              <w:t>2.043.917.279</w:t>
            </w:r>
          </w:p>
        </w:tc>
        <w:tc>
          <w:tcPr>
            <w:tcW w:w="2041" w:type="dxa"/>
          </w:tcPr>
          <w:p w:rsidR="00505632" w:rsidRDefault="00505632" w:rsidP="00AD4E52">
            <w:pPr>
              <w:pStyle w:val="CellColumn"/>
              <w:jc w:val="right"/>
            </w:pPr>
            <w:r>
              <w:rPr>
                <w:rFonts w:cs="Times New Roman"/>
              </w:rPr>
              <w:t>2.024.854.821</w:t>
            </w:r>
          </w:p>
        </w:tc>
        <w:tc>
          <w:tcPr>
            <w:tcW w:w="1224" w:type="dxa"/>
          </w:tcPr>
          <w:p w:rsidR="00505632" w:rsidRDefault="00505632" w:rsidP="00AD4E52">
            <w:pPr>
              <w:pStyle w:val="CellColumn"/>
              <w:jc w:val="right"/>
            </w:pPr>
            <w:r>
              <w:rPr>
                <w:rFonts w:cs="Times New Roman"/>
              </w:rPr>
              <w:t>99,1</w:t>
            </w:r>
          </w:p>
        </w:tc>
        <w:tc>
          <w:tcPr>
            <w:tcW w:w="1224" w:type="dxa"/>
          </w:tcPr>
          <w:p w:rsidR="00505632" w:rsidRDefault="00505632" w:rsidP="00AD4E52">
            <w:pPr>
              <w:pStyle w:val="CellColumn"/>
              <w:jc w:val="right"/>
            </w:pPr>
            <w:r>
              <w:rPr>
                <w:rFonts w:cs="Times New Roman"/>
              </w:rPr>
              <w:t>104,7</w:t>
            </w:r>
          </w:p>
        </w:tc>
      </w:tr>
    </w:tbl>
    <w:p w:rsidR="00505632" w:rsidRDefault="00505632" w:rsidP="00505632">
      <w:pPr>
        <w:jc w:val="left"/>
      </w:pPr>
    </w:p>
    <w:p w:rsidR="00505632" w:rsidRDefault="00505632" w:rsidP="00505632">
      <w:r>
        <w:t>Ovim programom osiguravaju se sredstava za isplatu prava iz Zakona o socijalnoj skrbi - pomoć za uzdržavanje, doplatak za pomoć i njegu, osobna invalidnina, pomoć i njega u kuci, pravo na status roditelja njegovatelja, jednokratna pomoć, osobna naknada udomitelju, naknada za smještaj u udomiteljsku obitelj, pravo na privremeno uzdržavanje djece, ostale naknade i pomoći u sklopu kojih se osiguravaju sredstva za smještaj i novčana naknada tražitelja azila, azilanata i stranaca pod privremenom zaštitom.</w:t>
      </w:r>
    </w:p>
    <w:p w:rsidR="00505632" w:rsidRDefault="00505632" w:rsidP="00505632">
      <w:pPr>
        <w:pStyle w:val="Heading4"/>
      </w:pPr>
      <w:r>
        <w:t>A734169 DOPLATAK ZA POMOĆ I NJEGU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A734169-DOPLATAK ZA POMOĆ I NJEGU</w:t>
            </w:r>
          </w:p>
        </w:tc>
        <w:tc>
          <w:tcPr>
            <w:tcW w:w="2041" w:type="dxa"/>
          </w:tcPr>
          <w:p w:rsidR="00505632" w:rsidRDefault="00505632" w:rsidP="00AD4E52">
            <w:pPr>
              <w:pStyle w:val="CellColumn"/>
              <w:jc w:val="right"/>
            </w:pPr>
            <w:r>
              <w:rPr>
                <w:rFonts w:cs="Times New Roman"/>
              </w:rPr>
              <w:t>384.348.644</w:t>
            </w:r>
          </w:p>
        </w:tc>
        <w:tc>
          <w:tcPr>
            <w:tcW w:w="2041" w:type="dxa"/>
          </w:tcPr>
          <w:p w:rsidR="00505632" w:rsidRDefault="00505632" w:rsidP="00AD4E52">
            <w:pPr>
              <w:pStyle w:val="CellColumn"/>
              <w:jc w:val="right"/>
            </w:pPr>
            <w:r>
              <w:rPr>
                <w:rFonts w:cs="Times New Roman"/>
              </w:rPr>
              <w:t>381.301.000</w:t>
            </w:r>
          </w:p>
        </w:tc>
        <w:tc>
          <w:tcPr>
            <w:tcW w:w="2041" w:type="dxa"/>
          </w:tcPr>
          <w:p w:rsidR="00505632" w:rsidRDefault="00505632" w:rsidP="00AD4E52">
            <w:pPr>
              <w:pStyle w:val="CellColumn"/>
              <w:jc w:val="right"/>
            </w:pPr>
            <w:r>
              <w:rPr>
                <w:rFonts w:cs="Times New Roman"/>
              </w:rPr>
              <w:t>381.290.408</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99,2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socijalnoj skrbi Zakon o socijalnoj skrbi (NN, broj 157/13, 152/14, 99/15 i 52/16), članak 57</w:t>
      </w:r>
    </w:p>
    <w:p w:rsidR="00505632" w:rsidRDefault="00505632" w:rsidP="00505632">
      <w:pPr>
        <w:pStyle w:val="Heading8"/>
        <w:jc w:val="left"/>
      </w:pPr>
      <w:r>
        <w:t>Opis aktivnosti</w:t>
      </w:r>
    </w:p>
    <w:p w:rsidR="00505632" w:rsidRDefault="00505632" w:rsidP="00505632">
      <w:r>
        <w:t>Pravo na doplatak za pomoć i njegu priznaje se osobi koja ne može sama udovoljiti osnovnim životnim potrebama uslijed čega joj je prijeko potrebna pomoć i njega druge osobe u organiziranju prehrane, pripremi i uzimanju obroka, nabavi namirnica, čišćenju i pospremanju stana, oblačenju i svlačenju, održavanju osobne higijene, kao i obavljanju drugih osnovnih životnih potreba. Pravo na doplatak za pomoć i njegu može se priznati u punom ili smanjenom iznosu, ovisno o tome postoji li prijeka potreba pomoći i njege druge osobe u punom ili smanjenom iznosu.</w:t>
      </w:r>
    </w:p>
    <w:p w:rsidR="00505632" w:rsidRDefault="00505632" w:rsidP="00505632">
      <w:pPr>
        <w:pStyle w:val="Heading4"/>
      </w:pPr>
      <w:r>
        <w:t>A799007 ZAJAMČENA MINIMALNA NAKNADA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A799007-ZAJAMČENA MINIMALNA NAKNADA</w:t>
            </w:r>
          </w:p>
        </w:tc>
        <w:tc>
          <w:tcPr>
            <w:tcW w:w="2041" w:type="dxa"/>
          </w:tcPr>
          <w:p w:rsidR="00505632" w:rsidRDefault="00505632" w:rsidP="00AD4E52">
            <w:pPr>
              <w:pStyle w:val="CellColumn"/>
              <w:jc w:val="right"/>
            </w:pPr>
            <w:r>
              <w:rPr>
                <w:rFonts w:cs="Times New Roman"/>
              </w:rPr>
              <w:t>608.004.986</w:t>
            </w:r>
          </w:p>
        </w:tc>
        <w:tc>
          <w:tcPr>
            <w:tcW w:w="2041" w:type="dxa"/>
          </w:tcPr>
          <w:p w:rsidR="00505632" w:rsidRDefault="00505632" w:rsidP="00AD4E52">
            <w:pPr>
              <w:pStyle w:val="CellColumn"/>
              <w:jc w:val="right"/>
            </w:pPr>
            <w:r>
              <w:rPr>
                <w:rFonts w:cs="Times New Roman"/>
              </w:rPr>
              <w:t>612.083.279</w:t>
            </w:r>
          </w:p>
        </w:tc>
        <w:tc>
          <w:tcPr>
            <w:tcW w:w="2041" w:type="dxa"/>
          </w:tcPr>
          <w:p w:rsidR="00505632" w:rsidRDefault="00505632" w:rsidP="00AD4E52">
            <w:pPr>
              <w:pStyle w:val="CellColumn"/>
              <w:jc w:val="right"/>
            </w:pPr>
            <w:r>
              <w:rPr>
                <w:rFonts w:cs="Times New Roman"/>
              </w:rPr>
              <w:t>612.061.412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socijalnoj skrbi Zakon o socijalnoj skrbi (NN, broj 157/13, 152/14, 99/15 i 52/16)</w:t>
      </w:r>
    </w:p>
    <w:p w:rsidR="00505632" w:rsidRDefault="00505632" w:rsidP="00505632">
      <w:pPr>
        <w:pStyle w:val="Heading8"/>
        <w:jc w:val="left"/>
      </w:pPr>
      <w:r>
        <w:t>Opis aktivnosti</w:t>
      </w:r>
    </w:p>
    <w:p w:rsidR="00505632" w:rsidRDefault="00505632" w:rsidP="00505632">
      <w:r>
        <w:t>Zajamčena minimalna naknada priznaje se samcu ili kućanstvu koji nemaju sredstava za uzdržavanje niti su ih u mogućnosti ostvariti radom, primitkom od imovine, kao ni od obveznika uzdržavanja. Predstavlja oblik socijalne naknade kojom država jamči da će svake godine, sukladno raspoloživim sredstvima, određivati visinu iznosa na koji će imati pravo svaka osoba, odnosno kućanstvo s nedostatnim prihodima i imovinom za ostvarivanje osnovnih životnih potreba. Osnovna značajka zajamčene minimalne naknade je da ona sprječava stanje ekstremnog siromaštva i održava socijalnu integraciju odnosno sprječava socijalno isključivanje.</w:t>
      </w:r>
    </w:p>
    <w:p w:rsidR="00505632" w:rsidRDefault="00505632" w:rsidP="00505632">
      <w:pPr>
        <w:pStyle w:val="Heading3"/>
      </w:pPr>
      <w:r>
        <w:rPr>
          <w:rFonts w:cs="Times New Roman"/>
        </w:rPr>
        <w:t>4002 SKRB ZA SOCIJALNO OSJETLJIVE SKUPINE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4002-SKRB ZA SOCIJALNO OSJETLJIVE SKUPINE</w:t>
            </w:r>
          </w:p>
        </w:tc>
        <w:tc>
          <w:tcPr>
            <w:tcW w:w="2041" w:type="dxa"/>
          </w:tcPr>
          <w:p w:rsidR="00505632" w:rsidRDefault="00505632" w:rsidP="00AD4E52">
            <w:pPr>
              <w:pStyle w:val="CellColumn"/>
              <w:jc w:val="right"/>
            </w:pPr>
            <w:r>
              <w:rPr>
                <w:rFonts w:cs="Times New Roman"/>
              </w:rPr>
              <w:t>886.465.956</w:t>
            </w:r>
          </w:p>
        </w:tc>
        <w:tc>
          <w:tcPr>
            <w:tcW w:w="2041" w:type="dxa"/>
          </w:tcPr>
          <w:p w:rsidR="00505632" w:rsidRDefault="00505632" w:rsidP="00AD4E52">
            <w:pPr>
              <w:pStyle w:val="CellColumn"/>
              <w:jc w:val="right"/>
            </w:pPr>
            <w:r>
              <w:rPr>
                <w:rFonts w:cs="Times New Roman"/>
              </w:rPr>
              <w:t>894.230.790</w:t>
            </w:r>
          </w:p>
        </w:tc>
        <w:tc>
          <w:tcPr>
            <w:tcW w:w="2041" w:type="dxa"/>
          </w:tcPr>
          <w:p w:rsidR="00505632" w:rsidRDefault="00505632" w:rsidP="00AD4E52">
            <w:pPr>
              <w:pStyle w:val="CellColumn"/>
              <w:jc w:val="right"/>
            </w:pPr>
            <w:r>
              <w:rPr>
                <w:rFonts w:cs="Times New Roman"/>
              </w:rPr>
              <w:t>868.247.738</w:t>
            </w:r>
          </w:p>
        </w:tc>
        <w:tc>
          <w:tcPr>
            <w:tcW w:w="1224" w:type="dxa"/>
          </w:tcPr>
          <w:p w:rsidR="00505632" w:rsidRDefault="00505632" w:rsidP="00AD4E52">
            <w:pPr>
              <w:pStyle w:val="CellColumn"/>
              <w:jc w:val="right"/>
            </w:pPr>
            <w:r>
              <w:rPr>
                <w:rFonts w:cs="Times New Roman"/>
              </w:rPr>
              <w:t>97,1</w:t>
            </w:r>
          </w:p>
        </w:tc>
        <w:tc>
          <w:tcPr>
            <w:tcW w:w="1224" w:type="dxa"/>
          </w:tcPr>
          <w:p w:rsidR="00505632" w:rsidRDefault="00505632" w:rsidP="00AD4E52">
            <w:pPr>
              <w:pStyle w:val="CellColumn"/>
              <w:jc w:val="right"/>
            </w:pPr>
            <w:r>
              <w:rPr>
                <w:rFonts w:cs="Times New Roman"/>
              </w:rPr>
              <w:t>97,9</w:t>
            </w:r>
          </w:p>
        </w:tc>
      </w:tr>
    </w:tbl>
    <w:p w:rsidR="00505632" w:rsidRDefault="00505632" w:rsidP="00505632">
      <w:pPr>
        <w:jc w:val="left"/>
      </w:pPr>
    </w:p>
    <w:p w:rsidR="00505632" w:rsidRDefault="00505632" w:rsidP="00505632">
      <w:r>
        <w:t>Cilj je ovog programa djelovati na stvaranje djelotvornijeg sustava socijalne skrbi usmjerenog prema socijalno najugroženijim građanima, odnosno socijalno osjetljivim skupinama te na suzbijanju siromaštva, socijalne ugroženosti i isključenosti te osiguranje odgovarajuće i dostatne skrbi za djecu i mlade punoljetne osobe bez odgovarajuće roditeljske skrbi, za djecu i mladež s poremećajima u ponašanju, za psihički bolesne odrasle osobe, za djecu i odrasle osobe s tjelesnim ili mentalnim oštećenjem, te za starije i nemoćne osobe.</w:t>
      </w:r>
    </w:p>
    <w:p w:rsidR="00505632" w:rsidRDefault="00505632" w:rsidP="00505632">
      <w:pPr>
        <w:pStyle w:val="Heading4"/>
      </w:pPr>
      <w:r>
        <w:t>A734161 CENTRI ZA SOCIJALNU SKRB</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A734161-CENTRI ZA SOCIJALNU SKRB</w:t>
            </w:r>
          </w:p>
        </w:tc>
        <w:tc>
          <w:tcPr>
            <w:tcW w:w="2041" w:type="dxa"/>
          </w:tcPr>
          <w:p w:rsidR="00505632" w:rsidRDefault="00505632" w:rsidP="00AD4E52">
            <w:pPr>
              <w:pStyle w:val="CellColumn"/>
              <w:jc w:val="right"/>
            </w:pPr>
            <w:r>
              <w:rPr>
                <w:rFonts w:cs="Times New Roman"/>
              </w:rPr>
              <w:t>252.017.779</w:t>
            </w:r>
          </w:p>
        </w:tc>
        <w:tc>
          <w:tcPr>
            <w:tcW w:w="2041" w:type="dxa"/>
          </w:tcPr>
          <w:p w:rsidR="00505632" w:rsidRDefault="00505632" w:rsidP="00AD4E52">
            <w:pPr>
              <w:pStyle w:val="CellColumn"/>
              <w:jc w:val="right"/>
            </w:pPr>
            <w:r>
              <w:rPr>
                <w:rFonts w:cs="Times New Roman"/>
              </w:rPr>
              <w:t>259.320.638</w:t>
            </w:r>
          </w:p>
        </w:tc>
        <w:tc>
          <w:tcPr>
            <w:tcW w:w="2041" w:type="dxa"/>
          </w:tcPr>
          <w:p w:rsidR="00505632" w:rsidRDefault="00505632" w:rsidP="00AD4E52">
            <w:pPr>
              <w:pStyle w:val="CellColumn"/>
              <w:jc w:val="right"/>
            </w:pPr>
            <w:r>
              <w:rPr>
                <w:rFonts w:cs="Times New Roman"/>
              </w:rPr>
              <w:t>257.703.256</w:t>
            </w:r>
          </w:p>
        </w:tc>
        <w:tc>
          <w:tcPr>
            <w:tcW w:w="1224" w:type="dxa"/>
          </w:tcPr>
          <w:p w:rsidR="00505632" w:rsidRDefault="00505632" w:rsidP="00AD4E52">
            <w:pPr>
              <w:pStyle w:val="CellColumn"/>
              <w:jc w:val="right"/>
            </w:pPr>
            <w:r>
              <w:rPr>
                <w:rFonts w:cs="Times New Roman"/>
              </w:rPr>
              <w:t>99,4</w:t>
            </w:r>
          </w:p>
        </w:tc>
        <w:tc>
          <w:tcPr>
            <w:tcW w:w="1224" w:type="dxa"/>
          </w:tcPr>
          <w:p w:rsidR="00505632" w:rsidRDefault="00505632" w:rsidP="00AD4E52">
            <w:pPr>
              <w:pStyle w:val="CellColumn"/>
              <w:jc w:val="right"/>
            </w:pPr>
            <w:r>
              <w:rPr>
                <w:rFonts w:cs="Times New Roman"/>
              </w:rPr>
              <w:t>102,3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socijalnoj skrbi (NN, broj 157/13, 152/14, 99/15 i 52/16), članak 118. </w:t>
      </w:r>
    </w:p>
    <w:p w:rsidR="00505632" w:rsidRDefault="00505632" w:rsidP="00505632">
      <w:r>
        <w:t>Pravilnik o minimalnim uvjetima prostora, opreme i broja potrebnih stručnih i drugih radnika centara za socijalnu skrb i podružnica (NNN, br. 57/14), članak 25.</w:t>
      </w:r>
    </w:p>
    <w:p w:rsidR="00505632" w:rsidRDefault="00505632" w:rsidP="00505632">
      <w:pPr>
        <w:pStyle w:val="Heading8"/>
        <w:jc w:val="left"/>
      </w:pPr>
      <w:r>
        <w:t>Opis aktivnosti</w:t>
      </w:r>
    </w:p>
    <w:p w:rsidR="00505632" w:rsidRDefault="00505632" w:rsidP="00505632">
      <w:r>
        <w:t xml:space="preserve">Značajnu ulogu u sprečavanju i suzbijanju uzroka i stanja siromaštva i socijalne isključenosti imaju centri za socijalnu skrb. Tako u Republici Hrvatskoj na državnoj razini djeluje 80 centara za socijalnu skrb s 38 podružnica (i 17 podružnica Obiteljskih centara) koji obavljaju niz funkcija koje se mogu podijeliti na javne ovlasti u području socijalne skrbi, obiteljsko-pravne i kazneno-pravne zaštite, te stručno-analitičke, financijske i druge poslove.  </w:t>
      </w:r>
    </w:p>
    <w:p w:rsidR="00505632" w:rsidRDefault="00505632" w:rsidP="00505632">
      <w:r>
        <w:t>Pravilnik o minimalnim uvjetima prostora, opreme i broja potrebnih stručnih i drugih radnika centara za socijalnu skrb i podružnica, člankom 25. propisana je obveza usklađivanja broja zaposlenih radnika u centrima za socijalnu skrb s brojem radnika utvrđenih internim općim aktom o sistematizaciji. U odnosu na važeće pravilnike nedostaje značajan broj stručnih radnika u centrima za socijalnu skrb (gotovo 600 stručnih radnika) za čije zapošljavanje je potrebno osigurati financijska sredstva na godišnjoj razini za 200 novih zapošljavanja.</w:t>
      </w:r>
    </w:p>
    <w:p w:rsidR="00505632" w:rsidRDefault="00505632" w:rsidP="00505632">
      <w:pPr>
        <w:pStyle w:val="Heading4"/>
      </w:pPr>
      <w:r>
        <w:t>A734193 SKRB O OSOBAMA S MENTALNIM OŠTEĆENJEM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A734193-SKRB O OSOBAMA S MENTALNIM OŠTEĆENJEM</w:t>
            </w:r>
          </w:p>
        </w:tc>
        <w:tc>
          <w:tcPr>
            <w:tcW w:w="2041" w:type="dxa"/>
          </w:tcPr>
          <w:p w:rsidR="00505632" w:rsidRDefault="00505632" w:rsidP="00AD4E52">
            <w:pPr>
              <w:pStyle w:val="CellColumn"/>
              <w:jc w:val="right"/>
            </w:pPr>
            <w:r>
              <w:rPr>
                <w:rFonts w:cs="Times New Roman"/>
              </w:rPr>
              <w:t>171.382.353</w:t>
            </w:r>
          </w:p>
        </w:tc>
        <w:tc>
          <w:tcPr>
            <w:tcW w:w="2041" w:type="dxa"/>
          </w:tcPr>
          <w:p w:rsidR="00505632" w:rsidRDefault="00505632" w:rsidP="00AD4E52">
            <w:pPr>
              <w:pStyle w:val="CellColumn"/>
              <w:jc w:val="right"/>
            </w:pPr>
            <w:r>
              <w:rPr>
                <w:rFonts w:cs="Times New Roman"/>
              </w:rPr>
              <w:t>173.961.000</w:t>
            </w:r>
          </w:p>
        </w:tc>
        <w:tc>
          <w:tcPr>
            <w:tcW w:w="2041" w:type="dxa"/>
          </w:tcPr>
          <w:p w:rsidR="00505632" w:rsidRDefault="00505632" w:rsidP="00AD4E52">
            <w:pPr>
              <w:pStyle w:val="CellColumn"/>
              <w:jc w:val="right"/>
            </w:pPr>
            <w:r>
              <w:rPr>
                <w:rFonts w:cs="Times New Roman"/>
              </w:rPr>
              <w:t>164.203.503</w:t>
            </w:r>
          </w:p>
        </w:tc>
        <w:tc>
          <w:tcPr>
            <w:tcW w:w="1224" w:type="dxa"/>
          </w:tcPr>
          <w:p w:rsidR="00505632" w:rsidRDefault="00505632" w:rsidP="00AD4E52">
            <w:pPr>
              <w:pStyle w:val="CellColumn"/>
              <w:jc w:val="right"/>
            </w:pPr>
            <w:r>
              <w:rPr>
                <w:rFonts w:cs="Times New Roman"/>
              </w:rPr>
              <w:t>94,4</w:t>
            </w:r>
          </w:p>
        </w:tc>
        <w:tc>
          <w:tcPr>
            <w:tcW w:w="1224" w:type="dxa"/>
          </w:tcPr>
          <w:p w:rsidR="00505632" w:rsidRDefault="00505632" w:rsidP="00AD4E52">
            <w:pPr>
              <w:pStyle w:val="CellColumn"/>
              <w:jc w:val="right"/>
            </w:pPr>
            <w:r>
              <w:rPr>
                <w:rFonts w:cs="Times New Roman"/>
              </w:rPr>
              <w:t>95,8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socijalnoj skrbi Zakon o socijalnoj skrbi (NN, broj 157/13, 152/14, 99/15 i 52/16), članak 119</w:t>
      </w:r>
    </w:p>
    <w:p w:rsidR="00505632" w:rsidRDefault="00505632" w:rsidP="00505632">
      <w:pPr>
        <w:pStyle w:val="Heading8"/>
        <w:jc w:val="left"/>
      </w:pPr>
      <w:r>
        <w:t>Opis aktivnosti</w:t>
      </w:r>
    </w:p>
    <w:p w:rsidR="00505632" w:rsidRDefault="00505632" w:rsidP="00505632">
      <w:r>
        <w:t xml:space="preserve">U Republici Hrvatskoj 18 je pružatelja usluga koji pružaju socijalne usluge odraslim osobama s mentalnim oštećenjima kojima je osnivač Republika Hrvatska. Nakon što su Zakonom o socijalnoj skrbi i Pravilnikom o minimalnim uvjetima za pružanje socijalnih usluga uređeni centri za pružanje usluga u zajednici kao nove ustanove socijalne skrbi koje u zajednici pružaju izvaninstitucionalne usluge, a uslugu smještaja mogu pružati pod uvjetom da smještajni kapacitet nije veći od ukupnog kapaciteta boravka i organiziranog stanovanja, Statutom dotadašnjeg 1 doma koji pruža socijalne usluge odraslim osobama s mentalnim oštećenjima uređena je promjena u centar za pružanje usluga u zajednici. </w:t>
      </w:r>
    </w:p>
    <w:p w:rsidR="00505632" w:rsidRDefault="00505632" w:rsidP="00505632">
      <w:r>
        <w:t>Domovi i centri za pružanje usluga u zajednici za odrasle osobe s mentalnim oštećenjima kojima je osnivač Republika Hrvatska na dan 31.12.2015. godine pružali su socijalne usluge za sveukupno 3.203 korisnika, dok je na dan 31.12.2016. godine bilo 3.128 korisnika, od kojih 2.671 (85 %) korisnika institucionalnih usluga</w:t>
      </w:r>
    </w:p>
    <w:p w:rsidR="00505632" w:rsidRDefault="00505632" w:rsidP="00505632">
      <w:pPr>
        <w:pStyle w:val="Heading3"/>
      </w:pPr>
      <w:r>
        <w:rPr>
          <w:rFonts w:cs="Times New Roman"/>
        </w:rPr>
        <w:t>4003 PODIZANJE KVALITETE I DOSTUPNOSTI SOCIJALNE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4003-PODIZANJE KVALITETE I DOSTUPNOSTI SOCIJALNE SKRBI</w:t>
            </w:r>
          </w:p>
        </w:tc>
        <w:tc>
          <w:tcPr>
            <w:tcW w:w="2041" w:type="dxa"/>
          </w:tcPr>
          <w:p w:rsidR="00505632" w:rsidRDefault="00505632" w:rsidP="00AD4E52">
            <w:pPr>
              <w:pStyle w:val="CellColumn"/>
              <w:jc w:val="right"/>
            </w:pPr>
            <w:r>
              <w:rPr>
                <w:rFonts w:cs="Times New Roman"/>
              </w:rPr>
              <w:t>55.964.571</w:t>
            </w:r>
          </w:p>
        </w:tc>
        <w:tc>
          <w:tcPr>
            <w:tcW w:w="2041" w:type="dxa"/>
          </w:tcPr>
          <w:p w:rsidR="00505632" w:rsidRDefault="00505632" w:rsidP="00AD4E52">
            <w:pPr>
              <w:pStyle w:val="CellColumn"/>
              <w:jc w:val="right"/>
            </w:pPr>
            <w:r>
              <w:rPr>
                <w:rFonts w:cs="Times New Roman"/>
              </w:rPr>
              <w:t>31.930.127</w:t>
            </w:r>
          </w:p>
        </w:tc>
        <w:tc>
          <w:tcPr>
            <w:tcW w:w="2041" w:type="dxa"/>
          </w:tcPr>
          <w:p w:rsidR="00505632" w:rsidRDefault="00505632" w:rsidP="00AD4E52">
            <w:pPr>
              <w:pStyle w:val="CellColumn"/>
              <w:jc w:val="right"/>
            </w:pPr>
            <w:r>
              <w:rPr>
                <w:rFonts w:cs="Times New Roman"/>
              </w:rPr>
              <w:t>45.529.007</w:t>
            </w:r>
          </w:p>
        </w:tc>
        <w:tc>
          <w:tcPr>
            <w:tcW w:w="1224" w:type="dxa"/>
          </w:tcPr>
          <w:p w:rsidR="00505632" w:rsidRDefault="00505632" w:rsidP="00AD4E52">
            <w:pPr>
              <w:pStyle w:val="CellColumn"/>
              <w:jc w:val="right"/>
            </w:pPr>
            <w:r>
              <w:rPr>
                <w:rFonts w:cs="Times New Roman"/>
              </w:rPr>
              <w:t>142,6</w:t>
            </w:r>
          </w:p>
        </w:tc>
        <w:tc>
          <w:tcPr>
            <w:tcW w:w="1224" w:type="dxa"/>
          </w:tcPr>
          <w:p w:rsidR="00505632" w:rsidRDefault="00505632" w:rsidP="00AD4E52">
            <w:pPr>
              <w:pStyle w:val="CellColumn"/>
              <w:jc w:val="right"/>
            </w:pPr>
            <w:r>
              <w:rPr>
                <w:rFonts w:cs="Times New Roman"/>
              </w:rPr>
              <w:t>81,4</w:t>
            </w:r>
          </w:p>
        </w:tc>
      </w:tr>
    </w:tbl>
    <w:p w:rsidR="00505632" w:rsidRDefault="00505632" w:rsidP="00505632">
      <w:pPr>
        <w:jc w:val="left"/>
      </w:pPr>
    </w:p>
    <w:p w:rsidR="00505632" w:rsidRDefault="00505632" w:rsidP="00505632">
      <w:r>
        <w:t>Ovim programom provodit će se aktivnosti stvaranja boljih uvjeta života za sve kategorije korisnika sto razumijeva razvoj ljudskih potencijala, informatičko umrežavanje sustava, te poboljšanje infrastrukture u ustanovama socijalne skrbi, čime se stvara temelj za podizanje standarda kvalitete i dostupnosti socijalne skrbi prema krajnjem korisniku.</w:t>
      </w:r>
    </w:p>
    <w:p w:rsidR="00505632" w:rsidRDefault="00505632" w:rsidP="00505632">
      <w:pPr>
        <w:pStyle w:val="Heading8"/>
        <w:jc w:val="left"/>
      </w:pPr>
      <w:r>
        <w:t>Cilj 1. Osiguranje minimalnog životnog standarda najugroženijeg dijela stanovništva, te primjereno zadovoljavanje potreba socijalno osjetljivih skupina</w:t>
      </w:r>
    </w:p>
    <w:p w:rsidR="00505632" w:rsidRDefault="00505632" w:rsidP="00505632">
      <w:pPr>
        <w:pStyle w:val="Heading8"/>
        <w:jc w:val="left"/>
      </w:pPr>
      <w:r>
        <w:t>Opis provedbe cilja programa</w:t>
      </w:r>
    </w:p>
    <w:p w:rsidR="00505632" w:rsidRDefault="00505632" w:rsidP="00505632">
      <w:r>
        <w:t>Uspostava jedinstvenog centra za naknade povezivanjem podataka i objedinjavanjem administriranja naknada.</w:t>
      </w:r>
    </w:p>
    <w:p w:rsidR="00505632" w:rsidRDefault="00505632" w:rsidP="00505632">
      <w:pPr>
        <w:pStyle w:val="Heading4"/>
      </w:pPr>
      <w:r>
        <w:t>K618350 POBOLJŠANJE INFRASTRUKTURE U SUSTAVU SOCIJALNE SKRBI</w:t>
      </w:r>
    </w:p>
    <w:tbl>
      <w:tblPr>
        <w:tblStyle w:val="StilTablice"/>
        <w:tblW w:w="10206" w:type="dxa"/>
        <w:jc w:val="center"/>
        <w:tblLook w:val="04A0" w:firstRow="1" w:lastRow="0" w:firstColumn="1" w:lastColumn="0" w:noHBand="0" w:noVBand="1"/>
      </w:tblPr>
      <w:tblGrid>
        <w:gridCol w:w="1892"/>
        <w:gridCol w:w="1968"/>
        <w:gridCol w:w="1960"/>
        <w:gridCol w:w="1968"/>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K618350-POBOLJŠANJE INFRASTRUKTURE U SUSTAVU SOCIJALNE SKRBI</w:t>
            </w:r>
          </w:p>
        </w:tc>
        <w:tc>
          <w:tcPr>
            <w:tcW w:w="2041" w:type="dxa"/>
          </w:tcPr>
          <w:p w:rsidR="00505632" w:rsidRDefault="00505632" w:rsidP="00AD4E52">
            <w:pPr>
              <w:pStyle w:val="CellColumn"/>
              <w:jc w:val="right"/>
            </w:pPr>
            <w:r>
              <w:rPr>
                <w:rFonts w:cs="Times New Roman"/>
              </w:rPr>
              <w:t>14.472.059</w:t>
            </w:r>
          </w:p>
        </w:tc>
        <w:tc>
          <w:tcPr>
            <w:tcW w:w="2041" w:type="dxa"/>
          </w:tcPr>
          <w:p w:rsidR="00505632" w:rsidRDefault="00505632" w:rsidP="00AD4E52">
            <w:pPr>
              <w:pStyle w:val="CellColumn"/>
              <w:jc w:val="right"/>
            </w:pPr>
            <w:r>
              <w:rPr>
                <w:rFonts w:cs="Times New Roman"/>
              </w:rPr>
              <w:t>4.235.000</w:t>
            </w:r>
          </w:p>
        </w:tc>
        <w:tc>
          <w:tcPr>
            <w:tcW w:w="2041" w:type="dxa"/>
          </w:tcPr>
          <w:p w:rsidR="00505632" w:rsidRDefault="00505632" w:rsidP="00AD4E52">
            <w:pPr>
              <w:pStyle w:val="CellColumn"/>
              <w:jc w:val="right"/>
            </w:pPr>
            <w:r>
              <w:rPr>
                <w:rFonts w:cs="Times New Roman"/>
              </w:rPr>
              <w:t>14.545.237</w:t>
            </w:r>
          </w:p>
        </w:tc>
        <w:tc>
          <w:tcPr>
            <w:tcW w:w="1224" w:type="dxa"/>
          </w:tcPr>
          <w:p w:rsidR="00505632" w:rsidRDefault="00505632" w:rsidP="00AD4E52">
            <w:pPr>
              <w:pStyle w:val="CellColumn"/>
              <w:jc w:val="right"/>
            </w:pPr>
            <w:r>
              <w:rPr>
                <w:rFonts w:cs="Times New Roman"/>
              </w:rPr>
              <w:t>343,5</w:t>
            </w:r>
          </w:p>
        </w:tc>
        <w:tc>
          <w:tcPr>
            <w:tcW w:w="1224" w:type="dxa"/>
          </w:tcPr>
          <w:p w:rsidR="00505632" w:rsidRDefault="00505632" w:rsidP="00AD4E52">
            <w:pPr>
              <w:pStyle w:val="CellColumn"/>
              <w:jc w:val="right"/>
            </w:pPr>
            <w:r>
              <w:rPr>
                <w:rFonts w:cs="Times New Roman"/>
              </w:rPr>
              <w:t>100,5</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Sukladno potrebama pružatelja socijalnih usluga kojima je osnivač Republika Hrvatska (domova i centara za pružanje usluga u zajednici) kojima je osnivač Republika Hrvatska kontinuirano se radilo na održavanju građevina, kao i uređenju prostora u svrhu pružanja socijalnih usluga sukladno Pravilniku o minimalnim uvjetima za pružanje socijalnih usluga (Narodne novine, broj: 40/14 i 66/15). Budući da predmetna ulaganja nisu značajna, za ista se nije otvarao poseban kapitalni projekt.</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4"/>
      </w:pPr>
      <w:r>
        <w:t>K618388 NABAVA OPREME MANJE VRIJEDNOSTI U SUSTAVU SOCIJALNE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K618388-NABAVA OPREME MANJE VRIJEDNOSTI U SUSTAVU SOCIJALNE SKRBI</w:t>
            </w:r>
          </w:p>
        </w:tc>
        <w:tc>
          <w:tcPr>
            <w:tcW w:w="2041" w:type="dxa"/>
          </w:tcPr>
          <w:p w:rsidR="00505632" w:rsidRDefault="00505632" w:rsidP="00AD4E52">
            <w:pPr>
              <w:pStyle w:val="CellColumn"/>
              <w:jc w:val="right"/>
            </w:pPr>
            <w:r>
              <w:rPr>
                <w:rFonts w:cs="Times New Roman"/>
              </w:rPr>
              <w:t>3.950.119</w:t>
            </w:r>
          </w:p>
        </w:tc>
        <w:tc>
          <w:tcPr>
            <w:tcW w:w="2041" w:type="dxa"/>
          </w:tcPr>
          <w:p w:rsidR="00505632" w:rsidRDefault="00505632" w:rsidP="00AD4E52">
            <w:pPr>
              <w:pStyle w:val="CellColumn"/>
              <w:jc w:val="right"/>
            </w:pPr>
            <w:r>
              <w:rPr>
                <w:rFonts w:cs="Times New Roman"/>
              </w:rPr>
              <w:t>3.300.000</w:t>
            </w:r>
          </w:p>
        </w:tc>
        <w:tc>
          <w:tcPr>
            <w:tcW w:w="2041" w:type="dxa"/>
          </w:tcPr>
          <w:p w:rsidR="00505632" w:rsidRDefault="00505632" w:rsidP="00AD4E52">
            <w:pPr>
              <w:pStyle w:val="CellColumn"/>
              <w:jc w:val="right"/>
            </w:pPr>
            <w:r>
              <w:rPr>
                <w:rFonts w:cs="Times New Roman"/>
              </w:rPr>
              <w:t>4.144.794</w:t>
            </w:r>
          </w:p>
        </w:tc>
        <w:tc>
          <w:tcPr>
            <w:tcW w:w="1224" w:type="dxa"/>
          </w:tcPr>
          <w:p w:rsidR="00505632" w:rsidRDefault="00505632" w:rsidP="00AD4E52">
            <w:pPr>
              <w:pStyle w:val="CellColumn"/>
              <w:jc w:val="right"/>
            </w:pPr>
            <w:r>
              <w:rPr>
                <w:rFonts w:cs="Times New Roman"/>
              </w:rPr>
              <w:t>125,6</w:t>
            </w:r>
          </w:p>
        </w:tc>
        <w:tc>
          <w:tcPr>
            <w:tcW w:w="1224" w:type="dxa"/>
          </w:tcPr>
          <w:p w:rsidR="00505632" w:rsidRDefault="00505632" w:rsidP="00AD4E52">
            <w:pPr>
              <w:pStyle w:val="CellColumn"/>
              <w:jc w:val="right"/>
            </w:pPr>
            <w:r>
              <w:rPr>
                <w:rFonts w:cs="Times New Roman"/>
              </w:rPr>
              <w:t>104,9</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Ministarstvo je tijekom 2016. godine kontinuirano prikupljalo i analiziralo potrebe te poduzimalo aktivnosti u svrhu izgradnje, rekonstrukcije, adaptacije i opremanja ustanova socijalne skrbi, čime su se osiguravali uvjeti sukladno Pravilniku o minimalnim uvjetima za pružanje socijalnih usluga (Narodne novine, broj: 40/14 i 66/15), te se pridonijelo podizanju kvalitete življenja korisnika, a time i sveukupnoj kvaliteti pružanja usluga iz sustava socijalne skrbi.</w:t>
      </w:r>
    </w:p>
    <w:p w:rsidR="00505632" w:rsidRDefault="00505632" w:rsidP="00505632">
      <w:pPr>
        <w:pStyle w:val="Heading4"/>
      </w:pPr>
      <w:r>
        <w:t>K618391 HITNE INTERVENCIJE U SUSTAVU SOCIJALNE SKRBI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K618391-HITNE INTERVENCIJE U SUSTAVU SOCIJALNE SKRBI</w:t>
            </w:r>
          </w:p>
        </w:tc>
        <w:tc>
          <w:tcPr>
            <w:tcW w:w="2041" w:type="dxa"/>
          </w:tcPr>
          <w:p w:rsidR="00505632" w:rsidRDefault="00505632" w:rsidP="00AD4E52">
            <w:pPr>
              <w:pStyle w:val="CellColumn"/>
              <w:jc w:val="right"/>
            </w:pPr>
            <w:r>
              <w:rPr>
                <w:rFonts w:cs="Times New Roman"/>
              </w:rPr>
              <w:t>2.804.670</w:t>
            </w:r>
          </w:p>
        </w:tc>
        <w:tc>
          <w:tcPr>
            <w:tcW w:w="2041" w:type="dxa"/>
          </w:tcPr>
          <w:p w:rsidR="00505632" w:rsidRDefault="00505632" w:rsidP="00AD4E52">
            <w:pPr>
              <w:pStyle w:val="CellColumn"/>
              <w:jc w:val="right"/>
            </w:pPr>
            <w:r>
              <w:rPr>
                <w:rFonts w:cs="Times New Roman"/>
              </w:rPr>
              <w:t>2.020.000</w:t>
            </w:r>
          </w:p>
        </w:tc>
        <w:tc>
          <w:tcPr>
            <w:tcW w:w="2041" w:type="dxa"/>
          </w:tcPr>
          <w:p w:rsidR="00505632" w:rsidRDefault="00505632" w:rsidP="00AD4E52">
            <w:pPr>
              <w:pStyle w:val="CellColumn"/>
              <w:jc w:val="right"/>
            </w:pPr>
            <w:r>
              <w:rPr>
                <w:rFonts w:cs="Times New Roman"/>
              </w:rPr>
              <w:t>3.290.245</w:t>
            </w:r>
          </w:p>
        </w:tc>
        <w:tc>
          <w:tcPr>
            <w:tcW w:w="1224" w:type="dxa"/>
          </w:tcPr>
          <w:p w:rsidR="00505632" w:rsidRDefault="00505632" w:rsidP="00AD4E52">
            <w:pPr>
              <w:pStyle w:val="CellColumn"/>
              <w:jc w:val="right"/>
            </w:pPr>
            <w:r>
              <w:rPr>
                <w:rFonts w:cs="Times New Roman"/>
              </w:rPr>
              <w:t>162,9</w:t>
            </w:r>
          </w:p>
        </w:tc>
        <w:tc>
          <w:tcPr>
            <w:tcW w:w="1224" w:type="dxa"/>
          </w:tcPr>
          <w:p w:rsidR="00505632" w:rsidRDefault="00505632" w:rsidP="00AD4E52">
            <w:pPr>
              <w:pStyle w:val="CellColumn"/>
              <w:jc w:val="right"/>
            </w:pPr>
            <w:r>
              <w:rPr>
                <w:rFonts w:cs="Times New Roman"/>
              </w:rPr>
              <w:t>117,3</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Temeljem potreba i zahtjeva ustanova socijalne skrbi za održavanjem građevina (krovišta, sanitarije i sl.), te postrojenja i opreme (kotlovnice) tijekom proračunske godine, Ministarstvo je uložilo sredstva kako bi se osigurali uvjeti za rad ustanova socijalne skrbi.</w:t>
      </w:r>
    </w:p>
    <w:p w:rsidR="00505632" w:rsidRDefault="00505632" w:rsidP="00505632">
      <w:pPr>
        <w:overflowPunct/>
        <w:autoSpaceDE/>
        <w:autoSpaceDN/>
        <w:adjustRightInd/>
        <w:spacing w:after="200" w:line="276" w:lineRule="auto"/>
        <w:jc w:val="left"/>
        <w:textAlignment w:val="auto"/>
      </w:pPr>
      <w:r>
        <w:br w:type="page"/>
      </w:r>
    </w:p>
    <w:p w:rsidR="00505632" w:rsidRDefault="00505632" w:rsidP="00505632">
      <w:pPr>
        <w:pStyle w:val="Heading2"/>
      </w:pPr>
      <w:r>
        <w:t>10605 Hrvatska akademija znanosti i umjetnosti</w:t>
      </w:r>
    </w:p>
    <w:p w:rsidR="00505632" w:rsidRDefault="00505632" w:rsidP="00505632">
      <w:r>
        <w:t xml:space="preserve">Hrvatska akademija znanosti i umjetnosti kao najviša znanstvena i umjetnička ustanova u Republici Hrvatskoj potiče i organizira znanstveni rad i zalaže se za primjenu postignutih rezultata, razvija umjetničku i kulturnu djelatnost i brine se o hrvatskoj kulturnoj baštini i njezinoj afirmaciji u zemlji i svijetu, objavljuje rezultate znanstvenih istraživanja i umjetničkog stvaralaštva, te daje prijedloge i mišljenja za unapređenje znanosti i umjetnosti na prodručjima koja su od osobite važnosti za Republiku Hrvatsku.    </w:t>
      </w:r>
    </w:p>
    <w:p w:rsidR="00505632" w:rsidRDefault="00505632" w:rsidP="00505632">
      <w:r>
        <w:t xml:space="preserve">Znanstveni i umjetnički rad Akademije organiziran je u 9 razreda, 24 znanstvenoistraživačke jedinice u Zagrebu i izvan njega, 16 znanstvenih vijeća i 13 odbora.   </w:t>
      </w:r>
    </w:p>
    <w:p w:rsidR="00505632" w:rsidRDefault="00505632" w:rsidP="00505632">
      <w:r>
        <w:t xml:space="preserve">U svrhu daljnjeg promicanja znanstvenog i umjetničkog rada Hrvatska akademija je proširila svoju aktivnost na nove znanstvenoistraživačke jedinice van Zagreba, te krajem 2016. uz potporu grada Đakova, Osječko-baranjske županije, Brodsko-posavske županije, grada Slavnskog Broda i Đakovačko-osječke nadbiskupije osnovan  novi Zavod za znanstveni i umjetnički rad u Đakovu.  </w:t>
      </w:r>
    </w:p>
    <w:p w:rsidR="00505632" w:rsidRDefault="00505632" w:rsidP="00505632">
      <w:r>
        <w:t>Nadalje, tijekom 2016. Hrvatska akademija proširila je  dosadašnju suradnju s drugim akademijama znanosti i umjetnosti u svijetu, svučilištima, znanstvenim, kulturnim i drugim ustanovama, te znanstvenicima i umjetnicima iz zemlje i inozemstva.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10605-Hrvatska akademija znanosti i umjetnosti</w:t>
            </w:r>
          </w:p>
        </w:tc>
        <w:tc>
          <w:tcPr>
            <w:tcW w:w="2041" w:type="dxa"/>
            <w:vAlign w:val="top"/>
          </w:tcPr>
          <w:p w:rsidR="00505632" w:rsidRDefault="00505632" w:rsidP="00AD4E52">
            <w:pPr>
              <w:pStyle w:val="CellColumn"/>
              <w:jc w:val="right"/>
            </w:pPr>
            <w:r>
              <w:rPr>
                <w:rFonts w:cs="Times New Roman"/>
              </w:rPr>
              <w:t>65.487.925</w:t>
            </w:r>
          </w:p>
        </w:tc>
        <w:tc>
          <w:tcPr>
            <w:tcW w:w="2041" w:type="dxa"/>
            <w:vAlign w:val="top"/>
          </w:tcPr>
          <w:p w:rsidR="00505632" w:rsidRDefault="00505632" w:rsidP="00AD4E52">
            <w:pPr>
              <w:pStyle w:val="CellColumn"/>
              <w:jc w:val="right"/>
            </w:pPr>
            <w:r>
              <w:rPr>
                <w:rFonts w:cs="Times New Roman"/>
              </w:rPr>
              <w:t>65.173.704</w:t>
            </w:r>
          </w:p>
        </w:tc>
        <w:tc>
          <w:tcPr>
            <w:tcW w:w="2041" w:type="dxa"/>
            <w:vAlign w:val="top"/>
          </w:tcPr>
          <w:p w:rsidR="00505632" w:rsidRDefault="00505632" w:rsidP="00AD4E52">
            <w:pPr>
              <w:pStyle w:val="CellColumn"/>
              <w:jc w:val="right"/>
            </w:pPr>
            <w:r>
              <w:rPr>
                <w:rFonts w:cs="Times New Roman"/>
              </w:rPr>
              <w:t>65.759.066</w:t>
            </w:r>
          </w:p>
        </w:tc>
        <w:tc>
          <w:tcPr>
            <w:tcW w:w="1224" w:type="dxa"/>
            <w:vAlign w:val="top"/>
          </w:tcPr>
          <w:p w:rsidR="00505632" w:rsidRDefault="00505632" w:rsidP="00AD4E52">
            <w:pPr>
              <w:pStyle w:val="CellColumn"/>
              <w:jc w:val="right"/>
            </w:pPr>
            <w:r>
              <w:rPr>
                <w:rFonts w:cs="Times New Roman"/>
              </w:rPr>
              <w:t>100,9</w:t>
            </w:r>
          </w:p>
        </w:tc>
        <w:tc>
          <w:tcPr>
            <w:tcW w:w="1224" w:type="dxa"/>
            <w:vAlign w:val="top"/>
          </w:tcPr>
          <w:p w:rsidR="00505632" w:rsidRDefault="00505632" w:rsidP="00AD4E52">
            <w:pPr>
              <w:pStyle w:val="CellColumn"/>
              <w:jc w:val="right"/>
            </w:pPr>
            <w:r>
              <w:rPr>
                <w:rFonts w:cs="Times New Roman"/>
              </w:rPr>
              <w:t>100,4</w:t>
            </w:r>
          </w:p>
        </w:tc>
      </w:tr>
      <w:tr w:rsidR="00505632" w:rsidTr="00AD4E52">
        <w:trPr>
          <w:jc w:val="center"/>
        </w:trPr>
        <w:tc>
          <w:tcPr>
            <w:tcW w:w="1632" w:type="dxa"/>
          </w:tcPr>
          <w:p w:rsidR="00505632" w:rsidRDefault="00505632" w:rsidP="00AD4E52">
            <w:pPr>
              <w:jc w:val="left"/>
            </w:pPr>
            <w:r>
              <w:t>3909-OČUVANJE KULTURNE BAŠTINE</w:t>
            </w:r>
          </w:p>
        </w:tc>
        <w:tc>
          <w:tcPr>
            <w:tcW w:w="2041" w:type="dxa"/>
          </w:tcPr>
          <w:p w:rsidR="00505632" w:rsidRDefault="00505632" w:rsidP="00AD4E52">
            <w:pPr>
              <w:jc w:val="right"/>
            </w:pPr>
            <w:r>
              <w:t>65.487.925</w:t>
            </w:r>
          </w:p>
        </w:tc>
        <w:tc>
          <w:tcPr>
            <w:tcW w:w="2041" w:type="dxa"/>
          </w:tcPr>
          <w:p w:rsidR="00505632" w:rsidRDefault="00505632" w:rsidP="00AD4E52">
            <w:pPr>
              <w:jc w:val="right"/>
            </w:pPr>
            <w:r>
              <w:t>65.173.704</w:t>
            </w:r>
          </w:p>
        </w:tc>
        <w:tc>
          <w:tcPr>
            <w:tcW w:w="2041" w:type="dxa"/>
          </w:tcPr>
          <w:p w:rsidR="00505632" w:rsidRDefault="00505632" w:rsidP="00AD4E52">
            <w:pPr>
              <w:jc w:val="right"/>
            </w:pPr>
            <w:r>
              <w:t>65.759.066</w:t>
            </w:r>
          </w:p>
        </w:tc>
        <w:tc>
          <w:tcPr>
            <w:tcW w:w="1224" w:type="dxa"/>
          </w:tcPr>
          <w:p w:rsidR="00505632" w:rsidRDefault="00505632" w:rsidP="00AD4E52">
            <w:pPr>
              <w:jc w:val="right"/>
            </w:pPr>
            <w:r>
              <w:t>100,9</w:t>
            </w:r>
          </w:p>
        </w:tc>
        <w:tc>
          <w:tcPr>
            <w:tcW w:w="1224" w:type="dxa"/>
          </w:tcPr>
          <w:p w:rsidR="00505632" w:rsidRDefault="00505632" w:rsidP="00AD4E52">
            <w:pPr>
              <w:jc w:val="right"/>
            </w:pPr>
            <w:r>
              <w:t>100,4</w:t>
            </w:r>
          </w:p>
        </w:tc>
      </w:tr>
    </w:tbl>
    <w:p w:rsidR="00505632" w:rsidRDefault="00505632" w:rsidP="00505632">
      <w:pPr>
        <w:jc w:val="left"/>
      </w:pPr>
    </w:p>
    <w:p w:rsidR="00505632" w:rsidRDefault="00505632" w:rsidP="00505632">
      <w:pPr>
        <w:pStyle w:val="Heading3"/>
      </w:pPr>
      <w:r>
        <w:rPr>
          <w:rFonts w:cs="Times New Roman"/>
        </w:rPr>
        <w:t>3909 OČUVANJE KULTURNE BAŠTINE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3909-OČUVANJE KULTURNE BAŠTINE</w:t>
            </w:r>
          </w:p>
        </w:tc>
        <w:tc>
          <w:tcPr>
            <w:tcW w:w="2041" w:type="dxa"/>
          </w:tcPr>
          <w:p w:rsidR="00505632" w:rsidRDefault="00505632" w:rsidP="00AD4E52">
            <w:pPr>
              <w:pStyle w:val="CellColumn"/>
              <w:jc w:val="right"/>
            </w:pPr>
            <w:r>
              <w:rPr>
                <w:rFonts w:cs="Times New Roman"/>
              </w:rPr>
              <w:t>65.487.925</w:t>
            </w:r>
          </w:p>
        </w:tc>
        <w:tc>
          <w:tcPr>
            <w:tcW w:w="2041" w:type="dxa"/>
          </w:tcPr>
          <w:p w:rsidR="00505632" w:rsidRDefault="00505632" w:rsidP="00AD4E52">
            <w:pPr>
              <w:pStyle w:val="CellColumn"/>
              <w:jc w:val="right"/>
            </w:pPr>
            <w:r>
              <w:rPr>
                <w:rFonts w:cs="Times New Roman"/>
              </w:rPr>
              <w:t>65.173.704</w:t>
            </w:r>
          </w:p>
        </w:tc>
        <w:tc>
          <w:tcPr>
            <w:tcW w:w="2041" w:type="dxa"/>
          </w:tcPr>
          <w:p w:rsidR="00505632" w:rsidRDefault="00505632" w:rsidP="00AD4E52">
            <w:pPr>
              <w:pStyle w:val="CellColumn"/>
              <w:jc w:val="right"/>
            </w:pPr>
            <w:r>
              <w:rPr>
                <w:rFonts w:cs="Times New Roman"/>
              </w:rPr>
              <w:t>65.759.066</w:t>
            </w:r>
          </w:p>
        </w:tc>
        <w:tc>
          <w:tcPr>
            <w:tcW w:w="1224" w:type="dxa"/>
          </w:tcPr>
          <w:p w:rsidR="00505632" w:rsidRDefault="00505632" w:rsidP="00AD4E52">
            <w:pPr>
              <w:pStyle w:val="CellColumn"/>
              <w:jc w:val="right"/>
            </w:pPr>
            <w:r>
              <w:rPr>
                <w:rFonts w:cs="Times New Roman"/>
              </w:rPr>
              <w:t>100,9</w:t>
            </w:r>
          </w:p>
        </w:tc>
        <w:tc>
          <w:tcPr>
            <w:tcW w:w="1224" w:type="dxa"/>
          </w:tcPr>
          <w:p w:rsidR="00505632" w:rsidRDefault="00505632" w:rsidP="00AD4E52">
            <w:pPr>
              <w:pStyle w:val="CellColumn"/>
              <w:jc w:val="right"/>
            </w:pPr>
            <w:r>
              <w:rPr>
                <w:rFonts w:cs="Times New Roman"/>
              </w:rPr>
              <w:t>100,4</w:t>
            </w:r>
          </w:p>
        </w:tc>
      </w:tr>
    </w:tbl>
    <w:p w:rsidR="00505632" w:rsidRDefault="00505632" w:rsidP="00505632">
      <w:pPr>
        <w:jc w:val="left"/>
      </w:pPr>
    </w:p>
    <w:p w:rsidR="00505632" w:rsidRDefault="00505632" w:rsidP="00505632">
      <w:r>
        <w:t xml:space="preserve">Poticanje, organiziranje, razvijanje znanstvenog rada , umjetničke i kulturne djelatnosti, te zalaganje za primjenu postignutih rezultata u zemlji i inozemstvu glavni je zadatak Akademije.   </w:t>
      </w:r>
    </w:p>
    <w:p w:rsidR="00505632" w:rsidRDefault="00505632" w:rsidP="00505632">
      <w:r>
        <w:t xml:space="preserve">Znanstvenoistraživački i umjetnički rad organiziran je preko akademijinih razreda i njihovih znanstvenih vijeća i odbora, koji su ujedno inicijatori i nositelji programa, te znanstvenoistraživačkih i umjetničkih jedinica koje su, u pravilu u nadležnosti pojedinih razreda, a preko kojih se izvršava  veći dio zadanih programa.   </w:t>
      </w:r>
    </w:p>
    <w:p w:rsidR="00505632" w:rsidRDefault="00505632" w:rsidP="00505632">
      <w:r>
        <w:t xml:space="preserve">Znanstvenoistraživačkim i umjetničkim radom u okviru ostvarenja programa bile su obuhvaćene znanstvene discipline iz područja društvenih, matematičkih, fizičkih i kemijskih znanosti, prirodnih znanosti (biološke i geološke), medicinskih znanosti, filoloških znanosti i književnosti, zatim likovnih umjetnosti, glazbene umjetnosti i muzikologije, te tehničke znanosti.   </w:t>
      </w:r>
    </w:p>
    <w:p w:rsidR="00505632" w:rsidRDefault="00505632" w:rsidP="00505632">
      <w:r>
        <w:t xml:space="preserve">Tijekom godine dovršen  je rad na dva međunarodna projekta (MusMig i eCloud) financirana sredstvima iz Europskihe unije, te je započet rad na dva nova projekta MendtheGap (Zavod za paleontologiju i geologiju kvartara je partner na projektu kojeg je nositelj Agronomski fakultet iz Zagreba) i projekt TransCultAA na kojem sudjeluje kao partner Strossmayerova galerija starih majstora. Nadalje, nastavljen je rad na  sedam  znanstvenih projekata financiranih od strane Hrvatske Zaklade za znanost.   </w:t>
      </w:r>
    </w:p>
    <w:p w:rsidR="00505632" w:rsidRDefault="00505632" w:rsidP="00505632">
      <w:r>
        <w:t xml:space="preserve">Predstavljanje odnosno prezentiranje postignutih rezultata znanstvenoistraživačkog i umjetničkog rada obuhvaća sve faze znanstvenoistraživačkog rada i provodi se kroz organizaciju znanstvenih skupova (domaćih i inozemnih), te stručnim i tematskim predavanjima, izdavanjem knjiga, zbornika radova, stručnih časopisa te obajavljivanjem članaka u domaćim i inozemnim publikacijama.   </w:t>
      </w:r>
    </w:p>
    <w:p w:rsidR="00505632" w:rsidRDefault="00505632" w:rsidP="00505632">
      <w:r>
        <w:t xml:space="preserve">Tijekom 2016. sudjelovanjem članova Akademije na međunarodnim projektima, te u bilateralnoj razmjeni doprinosilo se predstavljanju postignutih rezultata u svjetskim okvirima.   </w:t>
      </w:r>
    </w:p>
    <w:p w:rsidR="00505632" w:rsidRDefault="00505632" w:rsidP="00505632">
      <w:r>
        <w:t xml:space="preserve"> U okviru programa međuakademijske bilateralne suradnje 6 hrvatskih znanastvenika posjetilo je strane akademije, 6 stranih znanstvenika bilo je na studijskom boravku u Hrvatskoj, a 16 predstavnika Akademije aktivno je sudjelovalo u radu međunarodnih konferencija i simpozija.   </w:t>
      </w:r>
    </w:p>
    <w:p w:rsidR="00505632" w:rsidRDefault="00505632" w:rsidP="00505632">
      <w:r>
        <w:t xml:space="preserve"> Sudjelovanjem članova Akademije u međunarodnim projektima, te u bilateralnoj razmjeni doprinosi se predstavljanju postignutih rezultata u svjetskim okvirima.</w:t>
      </w:r>
    </w:p>
    <w:p w:rsidR="00505632" w:rsidRDefault="00505632" w:rsidP="00505632">
      <w:pPr>
        <w:pStyle w:val="Heading8"/>
        <w:jc w:val="left"/>
      </w:pPr>
      <w:r>
        <w:t>Cilj 1.  Razvoj znanosti i umjetnosti</w:t>
      </w:r>
    </w:p>
    <w:p w:rsidR="00505632" w:rsidRDefault="00505632" w:rsidP="00505632">
      <w:pPr>
        <w:pStyle w:val="Heading8"/>
        <w:jc w:val="left"/>
      </w:pPr>
      <w:r>
        <w:t>Opis provedbe cilja programa</w:t>
      </w:r>
    </w:p>
    <w:p w:rsidR="00505632" w:rsidRDefault="00505632" w:rsidP="00505632">
      <w:r>
        <w:t xml:space="preserve">Hrvatska akademija znanosti i umjetnosti u 2016. nastavila je provoditi svoje aktivnosti na poticanju i organiziranju znanstvenog rada, zalagala se za primjenu postignutih rezultata rada, razvijala umjetničku i kulturnu djelatnost i brinula se o hrvatskoj kulturnoj i graditeljskoj baštini i njezinoj afirmaciji u zemlji i svijetu.   </w:t>
      </w:r>
    </w:p>
    <w:p w:rsidR="00505632" w:rsidRDefault="00505632" w:rsidP="00505632">
      <w:r>
        <w:t xml:space="preserve">Hrvatska akademija objavljivala je rezultate znanstvenih istraživanja i umjetničkog stvaralaštva u vlastitoj nakladničkoj djlelatnosti, organizacijom znanstvenih skupova, simpozija, seminara i tematskih izložbi, te davala mišljenja i prijedloge za unapređenje znanosti i umjetnosti na područjima koja su od osobite važnosti za Republiku Hrvatsku.   </w:t>
      </w:r>
    </w:p>
    <w:p w:rsidR="00505632" w:rsidRDefault="00505632" w:rsidP="00505632">
      <w:r>
        <w:t xml:space="preserve">U cilju promicanja i predstavljanja postignutih rezultata znanstvenoistraživačkog i umjetničkog rada održana su 123 znanstvena skupa, savjetovanja i okrugla stola, 38 znanstvenih i stručnih predavanja, 56 predstavljanja knjiga, te 30 izložbi.   </w:t>
      </w:r>
    </w:p>
    <w:p w:rsidR="00505632" w:rsidRDefault="00505632" w:rsidP="00505632">
      <w:r>
        <w:t>U okviru vlastite nakladničke djelatnosti Akademija je u 2016. izdala 95 svezaka raznih publikacija od čega 15 knjiga, 14 zbornika radova, 41 svezak časopisa, 3 knjige sažetaka, 12 kataloga izložbi, 10 spomenica preminulim akademicima te je sudjelovala kao suizdavač 14 sveska raznih publikacija.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znanstvenih disciplina koje su obuhvaćene znanstvenoistraživačkim i umjetničkim radom</w:t>
            </w:r>
          </w:p>
        </w:tc>
        <w:tc>
          <w:tcPr>
            <w:tcW w:w="2551" w:type="dxa"/>
          </w:tcPr>
          <w:p w:rsidR="00505632" w:rsidRDefault="00505632" w:rsidP="00AD4E52">
            <w:pPr>
              <w:pStyle w:val="CellColumn"/>
              <w:jc w:val="left"/>
            </w:pPr>
            <w:r>
              <w:rPr>
                <w:rFonts w:cs="Times New Roman"/>
              </w:rPr>
              <w:t>Znanstvenoistraživačkim radom doprinosi se unašređenju znanosti što je moguće u većem broju znanstvenih discipkina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32</w:t>
            </w:r>
          </w:p>
        </w:tc>
        <w:tc>
          <w:tcPr>
            <w:tcW w:w="1020" w:type="dxa"/>
          </w:tcPr>
          <w:p w:rsidR="00505632" w:rsidRDefault="00505632" w:rsidP="00AD4E52">
            <w:pPr>
              <w:pStyle w:val="CellColumn"/>
              <w:jc w:val="right"/>
            </w:pPr>
            <w:r>
              <w:rPr>
                <w:rFonts w:cs="Times New Roman"/>
              </w:rPr>
              <w:t>HAZU</w:t>
            </w:r>
          </w:p>
        </w:tc>
        <w:tc>
          <w:tcPr>
            <w:tcW w:w="1020" w:type="dxa"/>
          </w:tcPr>
          <w:p w:rsidR="00505632" w:rsidRDefault="00505632" w:rsidP="00AD4E52">
            <w:pPr>
              <w:pStyle w:val="CellColumn"/>
              <w:jc w:val="right"/>
            </w:pPr>
            <w:r>
              <w:rPr>
                <w:rFonts w:cs="Times New Roman"/>
              </w:rPr>
              <w:t>33</w:t>
            </w:r>
          </w:p>
        </w:tc>
        <w:tc>
          <w:tcPr>
            <w:tcW w:w="1020" w:type="dxa"/>
          </w:tcPr>
          <w:p w:rsidR="00505632" w:rsidRDefault="00505632" w:rsidP="00AD4E52">
            <w:pPr>
              <w:pStyle w:val="CellColumn"/>
              <w:jc w:val="right"/>
            </w:pPr>
            <w:r>
              <w:rPr>
                <w:rFonts w:cs="Times New Roman"/>
              </w:rPr>
              <w:t>33</w:t>
            </w:r>
          </w:p>
        </w:tc>
      </w:tr>
    </w:tbl>
    <w:p w:rsidR="00505632" w:rsidRDefault="00505632" w:rsidP="00505632">
      <w:pPr>
        <w:jc w:val="left"/>
      </w:pPr>
    </w:p>
    <w:p w:rsidR="00505632" w:rsidRDefault="00505632" w:rsidP="00505632">
      <w:pPr>
        <w:pStyle w:val="Heading4"/>
      </w:pPr>
      <w:r>
        <w:t>A586000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A586000-ADMINISTRACIJA I UPRAVLJANJE</w:t>
            </w:r>
          </w:p>
        </w:tc>
        <w:tc>
          <w:tcPr>
            <w:tcW w:w="2041" w:type="dxa"/>
          </w:tcPr>
          <w:p w:rsidR="00505632" w:rsidRDefault="00505632" w:rsidP="00AD4E52">
            <w:pPr>
              <w:pStyle w:val="CellColumn"/>
              <w:jc w:val="right"/>
            </w:pPr>
            <w:r>
              <w:rPr>
                <w:rFonts w:cs="Times New Roman"/>
              </w:rPr>
              <w:t>64.061.937</w:t>
            </w:r>
          </w:p>
        </w:tc>
        <w:tc>
          <w:tcPr>
            <w:tcW w:w="2041" w:type="dxa"/>
          </w:tcPr>
          <w:p w:rsidR="00505632" w:rsidRDefault="00505632" w:rsidP="00AD4E52">
            <w:pPr>
              <w:pStyle w:val="CellColumn"/>
              <w:jc w:val="right"/>
            </w:pPr>
            <w:r>
              <w:rPr>
                <w:rFonts w:cs="Times New Roman"/>
              </w:rPr>
              <w:t>64.063.704</w:t>
            </w:r>
          </w:p>
        </w:tc>
        <w:tc>
          <w:tcPr>
            <w:tcW w:w="2041" w:type="dxa"/>
          </w:tcPr>
          <w:p w:rsidR="00505632" w:rsidRDefault="00505632" w:rsidP="00AD4E52">
            <w:pPr>
              <w:pStyle w:val="CellColumn"/>
              <w:jc w:val="right"/>
            </w:pPr>
            <w:r>
              <w:rPr>
                <w:rFonts w:cs="Times New Roman"/>
              </w:rPr>
              <w:t>63.439.096</w:t>
            </w:r>
          </w:p>
        </w:tc>
        <w:tc>
          <w:tcPr>
            <w:tcW w:w="1224" w:type="dxa"/>
          </w:tcPr>
          <w:p w:rsidR="00505632" w:rsidRDefault="00505632" w:rsidP="00AD4E52">
            <w:pPr>
              <w:pStyle w:val="CellColumn"/>
              <w:jc w:val="right"/>
            </w:pPr>
            <w:r>
              <w:rPr>
                <w:rFonts w:cs="Times New Roman"/>
              </w:rPr>
              <w:t>99,0</w:t>
            </w:r>
          </w:p>
        </w:tc>
        <w:tc>
          <w:tcPr>
            <w:tcW w:w="1224" w:type="dxa"/>
          </w:tcPr>
          <w:p w:rsidR="00505632" w:rsidRDefault="00505632" w:rsidP="00AD4E52">
            <w:pPr>
              <w:pStyle w:val="CellColumn"/>
              <w:jc w:val="right"/>
            </w:pPr>
            <w:r>
              <w:rPr>
                <w:rFonts w:cs="Times New Roman"/>
              </w:rPr>
              <w:t>99,0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Djelatnost Hrvatske akademije znanosti i umjetnosti utvrđena je Zakonom o Hrvatskoj akademiji znanosti i umjetnosti ("Narodne Novine" broj:34/91.,43/96.,159/02. i 65/09.) i Statutom Hrvatske akademije znanosti i umjetnosti.</w:t>
      </w:r>
    </w:p>
    <w:p w:rsidR="00505632" w:rsidRDefault="00505632" w:rsidP="00505632">
      <w:pPr>
        <w:pStyle w:val="Heading8"/>
        <w:jc w:val="left"/>
      </w:pPr>
      <w:r>
        <w:t>Opis aktivnosti</w:t>
      </w:r>
    </w:p>
    <w:p w:rsidR="00505632" w:rsidRDefault="00505632" w:rsidP="00505632">
      <w:r>
        <w:t xml:space="preserve">Za  redovno poslovanje Hrvatske akademije u 2016. utrošeno je 99,00% planiranih sredstava državnog proračuna.   </w:t>
      </w:r>
    </w:p>
    <w:p w:rsidR="00505632" w:rsidRDefault="00505632" w:rsidP="00505632">
      <w:r>
        <w:t xml:space="preserve">To uključuje sredstva za isplatu plaća i ostvarenje drugih prava zaposlenika Akademije, sredstva za isplatu stalnih mjesečnih nagrada redovitim članovima Akademije, sredstva za tekuće i investicijsko održavanje građevina i opreme, te ostale materijalne troškove za redovno poslovanje.   </w:t>
      </w:r>
    </w:p>
    <w:p w:rsidR="00505632" w:rsidRDefault="00505632" w:rsidP="00505632">
      <w:r>
        <w:t xml:space="preserve">Realizacija izložbenog programa, organizacija znanstvenih skupova, stručnih predavanja u cjeklokupnom iznosu financirana je sredstvima iz potpore drugih ministarstava, te sredstvima od donacija pravnih i fizičkih osoba.   </w:t>
      </w:r>
    </w:p>
    <w:p w:rsidR="00505632" w:rsidRDefault="00505632" w:rsidP="00505632">
      <w:r>
        <w:t xml:space="preserve">Realizacija programa nakladničke djelatnosti također je u najvećem dijelu financirama sredstvima iz potpore i vlastitim sredstvima, a u manjem dijelu sredstvima iz državnog proračuna.   </w:t>
      </w:r>
    </w:p>
    <w:p w:rsidR="00505632" w:rsidRDefault="00505632" w:rsidP="00505632">
      <w:r>
        <w:t xml:space="preserve">U akademjinim znanstvenoistraživačkim, muzejsko-galerijskim i stručnim jedinicama tijekom godine bilo je zaposleno 236 djelatnika i 24 znanstvena novaka.    </w:t>
      </w:r>
    </w:p>
    <w:p w:rsidR="00505632" w:rsidRDefault="00505632" w:rsidP="00505632">
      <w:r>
        <w:t>Broj redovitih članova Akademije kojima pripada pravo na isplatu stalnih mjesečnih nagrada na početku godine bio je 147.  Na kraju godine broj redovitih članova je 140 jer je tijekom godine preminulo 7 redovitih članova.</w:t>
      </w:r>
    </w:p>
    <w:p w:rsidR="00505632" w:rsidRDefault="00505632" w:rsidP="00505632">
      <w:pPr>
        <w:pStyle w:val="Heading4"/>
      </w:pPr>
      <w:r>
        <w:t>A586003 OSNOVNA DJELATNOST ZAKLADE HAZU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A586003-OSNOVNA DJELATNOST ZAKLADE HAZU</w:t>
            </w:r>
          </w:p>
        </w:tc>
        <w:tc>
          <w:tcPr>
            <w:tcW w:w="2041" w:type="dxa"/>
          </w:tcPr>
          <w:p w:rsidR="00505632" w:rsidRDefault="00505632" w:rsidP="00AD4E52">
            <w:pPr>
              <w:pStyle w:val="CellColumn"/>
              <w:jc w:val="right"/>
            </w:pPr>
            <w:r>
              <w:rPr>
                <w:rFonts w:cs="Times New Roman"/>
              </w:rPr>
              <w:t>10.000</w:t>
            </w:r>
          </w:p>
        </w:tc>
        <w:tc>
          <w:tcPr>
            <w:tcW w:w="2041" w:type="dxa"/>
          </w:tcPr>
          <w:p w:rsidR="00505632" w:rsidRDefault="00505632" w:rsidP="00AD4E52">
            <w:pPr>
              <w:pStyle w:val="CellColumn"/>
              <w:jc w:val="right"/>
            </w:pPr>
            <w:r>
              <w:rPr>
                <w:rFonts w:cs="Times New Roman"/>
              </w:rPr>
              <w:t>1.000</w:t>
            </w:r>
          </w:p>
        </w:tc>
        <w:tc>
          <w:tcPr>
            <w:tcW w:w="2041"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Djelatnost Hrvatske akademije znanosti i umjetnosti utvrđena je Zakonom o Hrvatskoj akademiji znanosti i umjetnosti ("Narodne Novine" broj:34/91.,43/96.,159/02. i 65/09.) i Statutom Hrvatske akademije znanosti i umjetnosti.</w:t>
      </w:r>
    </w:p>
    <w:p w:rsidR="00505632" w:rsidRDefault="00505632" w:rsidP="00505632">
      <w:pPr>
        <w:pStyle w:val="Heading8"/>
        <w:jc w:val="left"/>
      </w:pPr>
      <w:r>
        <w:t>Opis aktivnosti</w:t>
      </w:r>
    </w:p>
    <w:p w:rsidR="00505632" w:rsidRDefault="00505632" w:rsidP="00505632">
      <w:r>
        <w:t xml:space="preserve">Zaklada Hrvatske akademije znanosti i umjetnosti osnovana je 1993. s ciljem unapređenja kulture, umjetnosti, znanosti i odgoja, kao bitnih čimbenika duhovnog, gospodarskog, političkog i sveopćeg napretka.    </w:t>
      </w:r>
    </w:p>
    <w:p w:rsidR="00505632" w:rsidRDefault="00505632" w:rsidP="00505632">
      <w:r>
        <w:t>Zaklada svoje aktivnosti u najvećem dijelu financira iz drugih izvora, tako da zadane aktivnosti u tom području neće biti dovedene u pitanja s obzirom na smanjenu razinu sredstava koja se dodjeljuju Zakladi.</w:t>
      </w:r>
    </w:p>
    <w:p w:rsidR="00505632" w:rsidRDefault="00505632" w:rsidP="00505632">
      <w:pPr>
        <w:pStyle w:val="Heading4"/>
      </w:pPr>
      <w:r>
        <w:t>A586018 TISAK KNJIGA, BROŠURA I KATALOGA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A586018-TISAK KNJIGA, BROŠURA I KATALOGA</w:t>
            </w:r>
          </w:p>
        </w:tc>
        <w:tc>
          <w:tcPr>
            <w:tcW w:w="2041" w:type="dxa"/>
          </w:tcPr>
          <w:p w:rsidR="00505632" w:rsidRDefault="00505632" w:rsidP="00AD4E52">
            <w:pPr>
              <w:pStyle w:val="CellColumn"/>
              <w:jc w:val="right"/>
            </w:pPr>
            <w:r>
              <w:rPr>
                <w:rFonts w:cs="Times New Roman"/>
              </w:rPr>
              <w:t>1.258.756</w:t>
            </w:r>
          </w:p>
        </w:tc>
        <w:tc>
          <w:tcPr>
            <w:tcW w:w="2041" w:type="dxa"/>
          </w:tcPr>
          <w:p w:rsidR="00505632" w:rsidRDefault="00505632" w:rsidP="00AD4E52">
            <w:pPr>
              <w:pStyle w:val="CellColumn"/>
              <w:jc w:val="right"/>
            </w:pPr>
            <w:r>
              <w:rPr>
                <w:rFonts w:cs="Times New Roman"/>
              </w:rPr>
              <w:t>600.000</w:t>
            </w:r>
          </w:p>
        </w:tc>
        <w:tc>
          <w:tcPr>
            <w:tcW w:w="2041" w:type="dxa"/>
          </w:tcPr>
          <w:p w:rsidR="00505632" w:rsidRDefault="00505632" w:rsidP="00AD4E52">
            <w:pPr>
              <w:pStyle w:val="CellColumn"/>
              <w:jc w:val="right"/>
            </w:pPr>
            <w:r>
              <w:rPr>
                <w:rFonts w:cs="Times New Roman"/>
              </w:rPr>
              <w:t>1.225.670</w:t>
            </w:r>
          </w:p>
        </w:tc>
        <w:tc>
          <w:tcPr>
            <w:tcW w:w="1224" w:type="dxa"/>
          </w:tcPr>
          <w:p w:rsidR="00505632" w:rsidRDefault="00505632" w:rsidP="00AD4E52">
            <w:pPr>
              <w:pStyle w:val="CellColumn"/>
              <w:jc w:val="right"/>
            </w:pPr>
            <w:r>
              <w:rPr>
                <w:rFonts w:cs="Times New Roman"/>
              </w:rPr>
              <w:t>204,3</w:t>
            </w:r>
          </w:p>
        </w:tc>
        <w:tc>
          <w:tcPr>
            <w:tcW w:w="1224" w:type="dxa"/>
          </w:tcPr>
          <w:p w:rsidR="00505632" w:rsidRDefault="00505632" w:rsidP="00AD4E52">
            <w:pPr>
              <w:pStyle w:val="CellColumn"/>
              <w:jc w:val="right"/>
            </w:pPr>
            <w:r>
              <w:rPr>
                <w:rFonts w:cs="Times New Roman"/>
              </w:rPr>
              <w:t>97,4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Djelatnost Hrvatske akademije znanosti i umjetnosti utvrđena je Zakonom o Hrvatskoj akademiji znanosti i umjetnosti ("Narodne Novine" broj:34/91.,43/96.,159/02. i 65/09.) i Statutom Hrvatske akademije znanosti i umjetnosti.</w:t>
      </w:r>
    </w:p>
    <w:p w:rsidR="00505632" w:rsidRDefault="00505632" w:rsidP="00505632">
      <w:pPr>
        <w:pStyle w:val="Heading8"/>
        <w:jc w:val="left"/>
      </w:pPr>
      <w:r>
        <w:t>Opis aktivnosti</w:t>
      </w:r>
    </w:p>
    <w:p w:rsidR="00505632" w:rsidRDefault="00505632" w:rsidP="00505632">
      <w:r>
        <w:t xml:space="preserve">Hrvatska akademija znanosti i umjetnosti u okviru svoje nakladničke djalatnosti kao izdavač ili suizdavač tijekom 2016. izdala je 95 svezaka raznih publikacija u svrhu promocije i prezentacije postignutih rezultata znanstvenoistraživačkog  i umjetničkog rada.   </w:t>
      </w:r>
    </w:p>
    <w:p w:rsidR="00505632" w:rsidRDefault="00505632" w:rsidP="00505632">
      <w:r>
        <w:t>Najveći dio tih publikacija izdan je uz financijsku potporu iz drugih izvora financiranja, a sredstva državnog proračuna i vlastitit prihodi Akademije sudjelovali su u realizaciji tog programa s iznosom od svega 200.000,00 kuna, odnosno 16,33% od ukupno utrošenih sredstava za tu namjenu.</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izdanih stručnih knjiga</w:t>
            </w:r>
          </w:p>
        </w:tc>
        <w:tc>
          <w:tcPr>
            <w:tcW w:w="2551" w:type="dxa"/>
          </w:tcPr>
          <w:p w:rsidR="00505632" w:rsidRDefault="00505632" w:rsidP="00AD4E52">
            <w:pPr>
              <w:pStyle w:val="CellColumn"/>
              <w:jc w:val="left"/>
            </w:pPr>
            <w:r>
              <w:rPr>
                <w:rFonts w:cs="Times New Roman"/>
              </w:rPr>
              <w:t>Promocija i prezentacija postignutih rezultata znanstvenoistraživačkog rada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HAZU</w:t>
            </w:r>
          </w:p>
        </w:tc>
        <w:tc>
          <w:tcPr>
            <w:tcW w:w="1020" w:type="dxa"/>
          </w:tcPr>
          <w:p w:rsidR="00505632" w:rsidRDefault="00505632" w:rsidP="00AD4E52">
            <w:pPr>
              <w:pStyle w:val="CellColumn"/>
              <w:jc w:val="right"/>
            </w:pPr>
            <w:r>
              <w:rPr>
                <w:rFonts w:cs="Times New Roman"/>
              </w:rPr>
              <w:t>38</w:t>
            </w:r>
          </w:p>
        </w:tc>
        <w:tc>
          <w:tcPr>
            <w:tcW w:w="1020" w:type="dxa"/>
          </w:tcPr>
          <w:p w:rsidR="00505632" w:rsidRDefault="00505632" w:rsidP="00AD4E52">
            <w:pPr>
              <w:pStyle w:val="CellColumn"/>
              <w:jc w:val="right"/>
            </w:pPr>
            <w:r>
              <w:rPr>
                <w:rFonts w:cs="Times New Roman"/>
              </w:rPr>
              <w:t>15</w:t>
            </w:r>
          </w:p>
        </w:tc>
      </w:tr>
      <w:tr w:rsidR="00505632" w:rsidTr="00AD4E52">
        <w:trPr>
          <w:jc w:val="center"/>
        </w:trPr>
        <w:tc>
          <w:tcPr>
            <w:tcW w:w="2551" w:type="dxa"/>
          </w:tcPr>
          <w:p w:rsidR="00505632" w:rsidRDefault="00505632" w:rsidP="00AD4E52">
            <w:pPr>
              <w:pStyle w:val="CellColumn"/>
              <w:jc w:val="left"/>
            </w:pPr>
            <w:r>
              <w:rPr>
                <w:rFonts w:cs="Times New Roman"/>
              </w:rPr>
              <w:t>Broj izdanih zbornika radova</w:t>
            </w:r>
          </w:p>
        </w:tc>
        <w:tc>
          <w:tcPr>
            <w:tcW w:w="2551" w:type="dxa"/>
          </w:tcPr>
          <w:p w:rsidR="00505632" w:rsidRDefault="00505632" w:rsidP="00AD4E52">
            <w:pPr>
              <w:pStyle w:val="CellColumn"/>
              <w:jc w:val="left"/>
            </w:pPr>
            <w:r>
              <w:rPr>
                <w:rFonts w:cs="Times New Roman"/>
              </w:rPr>
              <w:t>Promocija i prezentacija postignutih rezultata znanstvenoistraživačkog rada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HAZU</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14</w:t>
            </w:r>
          </w:p>
        </w:tc>
      </w:tr>
      <w:tr w:rsidR="00505632" w:rsidTr="00AD4E52">
        <w:trPr>
          <w:jc w:val="center"/>
        </w:trPr>
        <w:tc>
          <w:tcPr>
            <w:tcW w:w="2551" w:type="dxa"/>
          </w:tcPr>
          <w:p w:rsidR="00505632" w:rsidRDefault="00505632" w:rsidP="00AD4E52">
            <w:pPr>
              <w:pStyle w:val="CellColumn"/>
              <w:jc w:val="left"/>
            </w:pPr>
            <w:r>
              <w:rPr>
                <w:rFonts w:cs="Times New Roman"/>
              </w:rPr>
              <w:t>Broj izdanih svezaka časopisa</w:t>
            </w:r>
          </w:p>
        </w:tc>
        <w:tc>
          <w:tcPr>
            <w:tcW w:w="2551" w:type="dxa"/>
          </w:tcPr>
          <w:p w:rsidR="00505632" w:rsidRDefault="00505632" w:rsidP="00AD4E52">
            <w:pPr>
              <w:pStyle w:val="CellColumn"/>
              <w:jc w:val="left"/>
            </w:pPr>
            <w:r>
              <w:rPr>
                <w:rFonts w:cs="Times New Roman"/>
              </w:rPr>
              <w:t>Promocija i prezentacija postignutih rezultata znanstvenoistraživačkog rada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19</w:t>
            </w:r>
          </w:p>
        </w:tc>
        <w:tc>
          <w:tcPr>
            <w:tcW w:w="1020" w:type="dxa"/>
          </w:tcPr>
          <w:p w:rsidR="00505632" w:rsidRDefault="00505632" w:rsidP="00AD4E52">
            <w:pPr>
              <w:pStyle w:val="CellColumn"/>
              <w:jc w:val="right"/>
            </w:pPr>
            <w:r>
              <w:rPr>
                <w:rFonts w:cs="Times New Roman"/>
              </w:rPr>
              <w:t>HAZU</w:t>
            </w:r>
          </w:p>
        </w:tc>
        <w:tc>
          <w:tcPr>
            <w:tcW w:w="1020" w:type="dxa"/>
          </w:tcPr>
          <w:p w:rsidR="00505632" w:rsidRDefault="00505632" w:rsidP="00AD4E52">
            <w:pPr>
              <w:pStyle w:val="CellColumn"/>
              <w:jc w:val="right"/>
            </w:pPr>
            <w:r>
              <w:rPr>
                <w:rFonts w:cs="Times New Roman"/>
              </w:rPr>
              <w:t>45</w:t>
            </w:r>
          </w:p>
        </w:tc>
        <w:tc>
          <w:tcPr>
            <w:tcW w:w="1020" w:type="dxa"/>
          </w:tcPr>
          <w:p w:rsidR="00505632" w:rsidRDefault="00505632" w:rsidP="00AD4E52">
            <w:pPr>
              <w:pStyle w:val="CellColumn"/>
              <w:jc w:val="right"/>
            </w:pPr>
            <w:r>
              <w:rPr>
                <w:rFonts w:cs="Times New Roman"/>
              </w:rPr>
              <w:t>41</w:t>
            </w:r>
          </w:p>
        </w:tc>
      </w:tr>
    </w:tbl>
    <w:p w:rsidR="00505632" w:rsidRDefault="00505632" w:rsidP="00505632">
      <w:pPr>
        <w:jc w:val="left"/>
      </w:pPr>
    </w:p>
    <w:p w:rsidR="00505632" w:rsidRDefault="00505632" w:rsidP="00505632">
      <w:pPr>
        <w:pStyle w:val="Heading4"/>
      </w:pPr>
      <w:r>
        <w:t>A586039 MEĐUNARODNA SURADNJA</w:t>
      </w:r>
    </w:p>
    <w:tbl>
      <w:tblPr>
        <w:tblStyle w:val="StilTablice"/>
        <w:tblW w:w="10206" w:type="dxa"/>
        <w:jc w:val="center"/>
        <w:tblLook w:val="04A0" w:firstRow="1" w:lastRow="0" w:firstColumn="1" w:lastColumn="0" w:noHBand="0" w:noVBand="1"/>
      </w:tblPr>
      <w:tblGrid>
        <w:gridCol w:w="1703"/>
        <w:gridCol w:w="2021"/>
        <w:gridCol w:w="2019"/>
        <w:gridCol w:w="2022"/>
        <w:gridCol w:w="1220"/>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A586039-MEĐUNARODNA SURADNJA</w:t>
            </w:r>
          </w:p>
        </w:tc>
        <w:tc>
          <w:tcPr>
            <w:tcW w:w="2041" w:type="dxa"/>
          </w:tcPr>
          <w:p w:rsidR="00505632" w:rsidRDefault="00505632" w:rsidP="00AD4E52">
            <w:pPr>
              <w:pStyle w:val="CellColumn"/>
              <w:jc w:val="right"/>
            </w:pPr>
            <w:r>
              <w:rPr>
                <w:rFonts w:cs="Times New Roman"/>
              </w:rPr>
              <w:t>5.000</w:t>
            </w:r>
          </w:p>
        </w:tc>
        <w:tc>
          <w:tcPr>
            <w:tcW w:w="2041" w:type="dxa"/>
          </w:tcPr>
          <w:p w:rsidR="00505632" w:rsidRDefault="00505632" w:rsidP="00AD4E52">
            <w:pPr>
              <w:pStyle w:val="CellColumn"/>
              <w:jc w:val="right"/>
            </w:pPr>
            <w:r>
              <w:rPr>
                <w:rFonts w:cs="Times New Roman"/>
              </w:rPr>
              <w:t>60.000</w:t>
            </w:r>
          </w:p>
        </w:tc>
        <w:tc>
          <w:tcPr>
            <w:tcW w:w="2041" w:type="dxa"/>
          </w:tcPr>
          <w:p w:rsidR="00505632" w:rsidRDefault="00505632" w:rsidP="00AD4E52">
            <w:pPr>
              <w:pStyle w:val="CellColumn"/>
              <w:jc w:val="right"/>
            </w:pPr>
            <w:r>
              <w:rPr>
                <w:rFonts w:cs="Times New Roman"/>
              </w:rPr>
              <w:t>60.000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1200,0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Djelatnost Hrvatske akademije znanosti i umjetnosti utvrđena je Zakonom o Hrvatskoj akademiji znanosti i umjetnosti ("Narodne Novine" broj:34/91.,43/96.,159/02. i 65/09.) i Statutom Hrvatske akademije znanosti i umjetnosti.</w:t>
      </w:r>
    </w:p>
    <w:p w:rsidR="00505632" w:rsidRDefault="00505632" w:rsidP="00505632">
      <w:pPr>
        <w:pStyle w:val="Heading8"/>
        <w:jc w:val="left"/>
      </w:pPr>
      <w:r>
        <w:t>Opis aktivnosti</w:t>
      </w:r>
    </w:p>
    <w:p w:rsidR="00505632" w:rsidRDefault="00505632" w:rsidP="00505632">
      <w:r>
        <w:t xml:space="preserve">U 2016. sve aktivnosti na polju međunarodne suradnje odvijale su se putem Odbora za međunarodnu suradnju koji je intenzivirao svoj rad na postojećoj međunarodnoj suradnji Hrvatske akademije s međunarodnim znanstvenim organizacijama, kroz rad na međunarodnim projektima.    </w:t>
      </w:r>
    </w:p>
    <w:p w:rsidR="00505632" w:rsidRDefault="00505632" w:rsidP="00505632">
      <w:r>
        <w:t xml:space="preserve">Hrvatska akademija je tijekom 2016. ostvarila bilateralnu suradnju sa 27  akademija iz 18 država. U okviru te suradnje studijski boravak u Hrvatskoj ostvarilo je 6 stranih znanstvenika, dok je ukupno 6 hrvatskih znanstvenika posjetilo strane akademije.    </w:t>
      </w:r>
    </w:p>
    <w:p w:rsidR="00505632" w:rsidRDefault="00505632" w:rsidP="00505632">
      <w:r>
        <w:t xml:space="preserve">Članstvom Hrvatske akademije u u brojnim međunarodnim znanstvenim organizacijama kao što su IAP (Inter Academy Panel - globalna mreža svjetskih akademija znanosti), IAMP (InterAcademy Medical Panel - globalna mreža akademija znanosti i medicine), ICSU (International Council for Science - međunarodna nevladina organizacija s ciljem promocije međunarodnih znanstvenih aktivnosti u svim područjima znanosti), UAI (Union International Academies - promocija međunarodne suradnje na području filologije, arheologije, povijesti, političkih i društvenih znanosti), ALLEA (All-Europen Academies - promocija, razmjena informacija i iskustava između akademija, te teži izvrsnosti u znanosti, visokim etičkim standardima i neovisnosti od političkih, komercijalnih i ideoloških interesa) omogućavalo se tijekom 2016.  hrvatskim znanstvenicima uključivanje u međunarodne projekte.   </w:t>
      </w:r>
    </w:p>
    <w:p w:rsidR="00505632" w:rsidRDefault="00505632" w:rsidP="00505632">
      <w:r>
        <w:t>Ulaskom Republike Hrvatske u Europsku uniju, Hrvatska akademija je postala članicom European Academies Science Advisory Council (EASAC).</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akademijinih znanstvenika koji su uključeni u međunarodne projekte</w:t>
            </w:r>
          </w:p>
        </w:tc>
        <w:tc>
          <w:tcPr>
            <w:tcW w:w="2551" w:type="dxa"/>
          </w:tcPr>
          <w:p w:rsidR="00505632" w:rsidRDefault="00505632" w:rsidP="00AD4E52">
            <w:pPr>
              <w:pStyle w:val="CellColumn"/>
              <w:jc w:val="left"/>
            </w:pPr>
            <w:r>
              <w:rPr>
                <w:rFonts w:cs="Times New Roman"/>
              </w:rPr>
              <w:t>Rad HAZU u međunarodnim znanstvenim organizacijama omogućava sudjelovanje u izradi europskih znanstvnih politika i preporuka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21</w:t>
            </w:r>
          </w:p>
        </w:tc>
        <w:tc>
          <w:tcPr>
            <w:tcW w:w="1020" w:type="dxa"/>
          </w:tcPr>
          <w:p w:rsidR="00505632" w:rsidRDefault="00505632" w:rsidP="00AD4E52">
            <w:pPr>
              <w:pStyle w:val="CellColumn"/>
              <w:jc w:val="right"/>
            </w:pPr>
            <w:r>
              <w:rPr>
                <w:rFonts w:cs="Times New Roman"/>
              </w:rPr>
              <w:t>HAZU</w:t>
            </w:r>
          </w:p>
        </w:tc>
        <w:tc>
          <w:tcPr>
            <w:tcW w:w="1020" w:type="dxa"/>
          </w:tcPr>
          <w:p w:rsidR="00505632" w:rsidRDefault="00505632" w:rsidP="00AD4E52">
            <w:pPr>
              <w:pStyle w:val="CellColumn"/>
              <w:jc w:val="right"/>
            </w:pPr>
            <w:r>
              <w:rPr>
                <w:rFonts w:cs="Times New Roman"/>
              </w:rPr>
              <w:t>28</w:t>
            </w:r>
          </w:p>
        </w:tc>
        <w:tc>
          <w:tcPr>
            <w:tcW w:w="1020" w:type="dxa"/>
          </w:tcPr>
          <w:p w:rsidR="00505632" w:rsidRDefault="00505632" w:rsidP="00AD4E52">
            <w:pPr>
              <w:pStyle w:val="CellColumn"/>
              <w:jc w:val="right"/>
            </w:pPr>
            <w:r>
              <w:rPr>
                <w:rFonts w:cs="Times New Roman"/>
              </w:rPr>
              <w:t>28</w:t>
            </w:r>
          </w:p>
        </w:tc>
      </w:tr>
      <w:tr w:rsidR="00505632" w:rsidTr="00AD4E52">
        <w:trPr>
          <w:jc w:val="center"/>
        </w:trPr>
        <w:tc>
          <w:tcPr>
            <w:tcW w:w="2551" w:type="dxa"/>
          </w:tcPr>
          <w:p w:rsidR="00505632" w:rsidRDefault="00505632" w:rsidP="00AD4E52">
            <w:pPr>
              <w:pStyle w:val="CellColumn"/>
              <w:jc w:val="left"/>
            </w:pPr>
            <w:r>
              <w:rPr>
                <w:rFonts w:cs="Times New Roman"/>
              </w:rPr>
              <w:t>Broj znanstvenika koji sudjeluju u različitim oblicima međunarodne suradnje</w:t>
            </w:r>
          </w:p>
        </w:tc>
        <w:tc>
          <w:tcPr>
            <w:tcW w:w="2551" w:type="dxa"/>
          </w:tcPr>
          <w:p w:rsidR="00505632" w:rsidRDefault="00505632" w:rsidP="00AD4E52">
            <w:pPr>
              <w:pStyle w:val="CellColumn"/>
              <w:jc w:val="left"/>
            </w:pPr>
            <w:r>
              <w:rPr>
                <w:rFonts w:cs="Times New Roman"/>
              </w:rPr>
              <w:t>Rad HAZU u međunarodnim znanstvenim organizacijama omogućava sudjelovanje u izradi europskih znanstvnih politika i preporuka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28</w:t>
            </w:r>
          </w:p>
        </w:tc>
        <w:tc>
          <w:tcPr>
            <w:tcW w:w="1020" w:type="dxa"/>
          </w:tcPr>
          <w:p w:rsidR="00505632" w:rsidRDefault="00505632" w:rsidP="00AD4E52">
            <w:pPr>
              <w:pStyle w:val="CellColumn"/>
              <w:jc w:val="right"/>
            </w:pPr>
            <w:r>
              <w:rPr>
                <w:rFonts w:cs="Times New Roman"/>
              </w:rPr>
              <w:t>HAZU</w:t>
            </w:r>
          </w:p>
        </w:tc>
        <w:tc>
          <w:tcPr>
            <w:tcW w:w="1020" w:type="dxa"/>
          </w:tcPr>
          <w:p w:rsidR="00505632" w:rsidRDefault="00505632" w:rsidP="00AD4E52">
            <w:pPr>
              <w:pStyle w:val="CellColumn"/>
              <w:jc w:val="right"/>
            </w:pPr>
            <w:r>
              <w:rPr>
                <w:rFonts w:cs="Times New Roman"/>
              </w:rPr>
              <w:t>45</w:t>
            </w:r>
          </w:p>
        </w:tc>
        <w:tc>
          <w:tcPr>
            <w:tcW w:w="1020" w:type="dxa"/>
          </w:tcPr>
          <w:p w:rsidR="00505632" w:rsidRDefault="00505632" w:rsidP="00AD4E52">
            <w:pPr>
              <w:pStyle w:val="CellColumn"/>
              <w:jc w:val="right"/>
            </w:pPr>
            <w:r>
              <w:rPr>
                <w:rFonts w:cs="Times New Roman"/>
              </w:rPr>
              <w:t>45</w:t>
            </w:r>
          </w:p>
        </w:tc>
      </w:tr>
      <w:tr w:rsidR="00505632" w:rsidTr="00AD4E52">
        <w:trPr>
          <w:jc w:val="center"/>
        </w:trPr>
        <w:tc>
          <w:tcPr>
            <w:tcW w:w="2551" w:type="dxa"/>
          </w:tcPr>
          <w:p w:rsidR="00505632" w:rsidRDefault="00505632" w:rsidP="00AD4E52">
            <w:pPr>
              <w:pStyle w:val="CellColumn"/>
              <w:jc w:val="left"/>
            </w:pPr>
            <w:r>
              <w:rPr>
                <w:rFonts w:cs="Times New Roman"/>
              </w:rPr>
              <w:t>Broj potpisanih sporazuma s drugim akademijama</w:t>
            </w:r>
          </w:p>
        </w:tc>
        <w:tc>
          <w:tcPr>
            <w:tcW w:w="2551" w:type="dxa"/>
          </w:tcPr>
          <w:p w:rsidR="00505632" w:rsidRDefault="00505632" w:rsidP="00AD4E52">
            <w:pPr>
              <w:pStyle w:val="CellColumn"/>
              <w:jc w:val="left"/>
            </w:pPr>
            <w:r>
              <w:rPr>
                <w:rFonts w:cs="Times New Roman"/>
              </w:rPr>
              <w:t>Rad HAZU u međunarodnim znanstvenim organizacijama omogućava sudjelovanje u izradi europskih znanstvnih politika i preporuka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23</w:t>
            </w:r>
          </w:p>
        </w:tc>
        <w:tc>
          <w:tcPr>
            <w:tcW w:w="1020" w:type="dxa"/>
          </w:tcPr>
          <w:p w:rsidR="00505632" w:rsidRDefault="00505632" w:rsidP="00AD4E52">
            <w:pPr>
              <w:pStyle w:val="CellColumn"/>
              <w:jc w:val="right"/>
            </w:pPr>
            <w:r>
              <w:rPr>
                <w:rFonts w:cs="Times New Roman"/>
              </w:rPr>
              <w:t>HAZU</w:t>
            </w:r>
          </w:p>
        </w:tc>
        <w:tc>
          <w:tcPr>
            <w:tcW w:w="1020" w:type="dxa"/>
          </w:tcPr>
          <w:p w:rsidR="00505632" w:rsidRDefault="00505632" w:rsidP="00AD4E52">
            <w:pPr>
              <w:pStyle w:val="CellColumn"/>
              <w:jc w:val="right"/>
            </w:pPr>
            <w:r>
              <w:rPr>
                <w:rFonts w:cs="Times New Roman"/>
              </w:rPr>
              <w:t>23</w:t>
            </w:r>
          </w:p>
        </w:tc>
        <w:tc>
          <w:tcPr>
            <w:tcW w:w="1020" w:type="dxa"/>
          </w:tcPr>
          <w:p w:rsidR="00505632" w:rsidRDefault="00505632" w:rsidP="00AD4E52">
            <w:pPr>
              <w:pStyle w:val="CellColumn"/>
              <w:jc w:val="right"/>
            </w:pPr>
            <w:r>
              <w:rPr>
                <w:rFonts w:cs="Times New Roman"/>
              </w:rPr>
              <w:t>23</w:t>
            </w:r>
          </w:p>
        </w:tc>
      </w:tr>
    </w:tbl>
    <w:p w:rsidR="00505632" w:rsidRDefault="00505632" w:rsidP="00505632">
      <w:pPr>
        <w:jc w:val="left"/>
      </w:pPr>
    </w:p>
    <w:p w:rsidR="00505632" w:rsidRDefault="00505632" w:rsidP="00505632">
      <w:pPr>
        <w:pStyle w:val="Heading4"/>
      </w:pPr>
      <w:r>
        <w:t>A586043 DIGITALIZACIJA ARHIVSKE GRAĐE HAZU</w:t>
      </w:r>
    </w:p>
    <w:tbl>
      <w:tblPr>
        <w:tblStyle w:val="StilTablice"/>
        <w:tblW w:w="10206" w:type="dxa"/>
        <w:jc w:val="center"/>
        <w:tblLook w:val="04A0" w:firstRow="1" w:lastRow="0" w:firstColumn="1" w:lastColumn="0" w:noHBand="0" w:noVBand="1"/>
      </w:tblPr>
      <w:tblGrid>
        <w:gridCol w:w="1681"/>
        <w:gridCol w:w="2028"/>
        <w:gridCol w:w="2026"/>
        <w:gridCol w:w="2028"/>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A586043-DIGITALIZACIJA ARHIVSKE GRAĐE HAZU</w:t>
            </w:r>
          </w:p>
        </w:tc>
        <w:tc>
          <w:tcPr>
            <w:tcW w:w="2041" w:type="dxa"/>
          </w:tcPr>
          <w:p w:rsidR="00505632" w:rsidRDefault="00505632" w:rsidP="00AD4E52">
            <w:pPr>
              <w:pStyle w:val="CellColumn"/>
              <w:jc w:val="right"/>
            </w:pPr>
            <w:r>
              <w:rPr>
                <w:rFonts w:cs="Times New Roman"/>
              </w:rPr>
              <w:t>92.232</w:t>
            </w:r>
          </w:p>
        </w:tc>
        <w:tc>
          <w:tcPr>
            <w:tcW w:w="2041" w:type="dxa"/>
          </w:tcPr>
          <w:p w:rsidR="00505632" w:rsidRDefault="00505632" w:rsidP="00AD4E52">
            <w:pPr>
              <w:pStyle w:val="CellColumn"/>
              <w:jc w:val="right"/>
            </w:pPr>
            <w:r>
              <w:rPr>
                <w:rFonts w:cs="Times New Roman"/>
              </w:rPr>
              <w:t>35.000</w:t>
            </w:r>
          </w:p>
        </w:tc>
        <w:tc>
          <w:tcPr>
            <w:tcW w:w="2041" w:type="dxa"/>
          </w:tcPr>
          <w:p w:rsidR="00505632" w:rsidRDefault="00505632" w:rsidP="00AD4E52">
            <w:pPr>
              <w:pStyle w:val="CellColumn"/>
              <w:jc w:val="right"/>
            </w:pPr>
            <w:r>
              <w:rPr>
                <w:rFonts w:cs="Times New Roman"/>
              </w:rPr>
              <w:t>45.543</w:t>
            </w:r>
          </w:p>
        </w:tc>
        <w:tc>
          <w:tcPr>
            <w:tcW w:w="1224" w:type="dxa"/>
          </w:tcPr>
          <w:p w:rsidR="00505632" w:rsidRDefault="00505632" w:rsidP="00AD4E52">
            <w:pPr>
              <w:pStyle w:val="CellColumn"/>
              <w:jc w:val="right"/>
            </w:pPr>
            <w:r>
              <w:rPr>
                <w:rFonts w:cs="Times New Roman"/>
              </w:rPr>
              <w:t>130,1</w:t>
            </w:r>
          </w:p>
        </w:tc>
        <w:tc>
          <w:tcPr>
            <w:tcW w:w="1224" w:type="dxa"/>
          </w:tcPr>
          <w:p w:rsidR="00505632" w:rsidRDefault="00505632" w:rsidP="00AD4E52">
            <w:pPr>
              <w:pStyle w:val="CellColumn"/>
              <w:jc w:val="right"/>
            </w:pPr>
            <w:r>
              <w:rPr>
                <w:rFonts w:cs="Times New Roman"/>
              </w:rPr>
              <w:t>49,4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Djelatnost Hrvatske akademije znanosti i umjetnosti utvrđena je Zakonom o Hrvatskoj akademiji znanosti i umjetnosti ("Narodne Novine" broj:34/91.,43/96.,159/02. i 65/09.) i Statutom Hrvatske akademije znanosti i umjetnosti.</w:t>
      </w:r>
    </w:p>
    <w:p w:rsidR="00505632" w:rsidRDefault="00505632" w:rsidP="00505632">
      <w:pPr>
        <w:pStyle w:val="Heading8"/>
        <w:jc w:val="left"/>
      </w:pPr>
      <w:r>
        <w:t>Opis aktivnosti</w:t>
      </w:r>
    </w:p>
    <w:p w:rsidR="00505632" w:rsidRDefault="00505632" w:rsidP="00505632">
      <w:r>
        <w:t xml:space="preserve">Digitalizacija arhivske građe HAZU višegodišnji je projekt koji je započeo još 2009. sredstvima Akademije i sredstvima potpore od strane Ministarstva kulture i gradskog Ureda za kulturu grada Zagreba.    </w:t>
      </w:r>
    </w:p>
    <w:p w:rsidR="00505632" w:rsidRDefault="00505632" w:rsidP="00505632">
      <w:r>
        <w:t xml:space="preserve">Digitalna zbirka Hrvatske akademije znanosti i umjetnosti osnovana je kako bi djelovala kao jedinstven digitalni repozitorij koji će na jednom mrežnom mjestu predstaviti Akademijine znanstvene i umjetničke zbirke (Akademijina   monografska izdanja, časopisi, nakladnički nizovi, rijetke i stare knjige, zbirke   kataloga likovnih izložbi i slično), te im omogućiti slobodan mrežni pristup i   suvremen standardiziran razvoj tehničke podrške.    </w:t>
      </w:r>
    </w:p>
    <w:p w:rsidR="00505632" w:rsidRDefault="00505632" w:rsidP="00505632">
      <w:r>
        <w:t xml:space="preserve">Knjižnica HAZU se je u veljači 2013. zajedno s još 32 srodne institucije uključila u projekt "eCloud" - Europeana Cloud, čime je ostvarena mogućnost da se digitalna zbirka HAZU uključi u najveću europsku digitalnu knjižnicu. Navedeni projekt dovršen je u veljači 2016.  </w:t>
      </w:r>
    </w:p>
    <w:p w:rsidR="00505632" w:rsidRDefault="00505632" w:rsidP="00505632">
      <w:r>
        <w:t xml:space="preserve">U 2016. ukupno je digitalizirano 1968 stranica knjiga i samostalnih dokumenata i to 910 stakleni i film negativa, 330 stranica iz korespodencije Tina Ujeviće, 620 stranica kazališnih cedulja i 108 jedinica iz ostavštine Jagode Brlić. </w:t>
      </w:r>
    </w:p>
    <w:p w:rsidR="00505632" w:rsidRDefault="00505632" w:rsidP="00505632">
      <w:r>
        <w:t>Broj korisnika digitalne zbirke u odnosu za 2015. povećao se je za 60% te je iznosio 34.011, što uključuje 40,5% više novih korisnika, te 33,8% posjeta iz angloameričkog govornog područja.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digitaliziranih stranica</w:t>
            </w:r>
          </w:p>
        </w:tc>
        <w:tc>
          <w:tcPr>
            <w:tcW w:w="2551" w:type="dxa"/>
          </w:tcPr>
          <w:p w:rsidR="00505632" w:rsidRDefault="00505632" w:rsidP="00AD4E52">
            <w:pPr>
              <w:pStyle w:val="CellColumn"/>
              <w:jc w:val="left"/>
            </w:pPr>
            <w:r>
              <w:rPr>
                <w:rFonts w:cs="Times New Roman"/>
              </w:rPr>
              <w:t>Digitalizacija omogućuje da velik broj starih  i vrijednih knjiga postane dostupan širokoj javnosti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25000</w:t>
            </w:r>
          </w:p>
        </w:tc>
        <w:tc>
          <w:tcPr>
            <w:tcW w:w="1020" w:type="dxa"/>
          </w:tcPr>
          <w:p w:rsidR="00505632" w:rsidRDefault="00505632" w:rsidP="00AD4E52">
            <w:pPr>
              <w:pStyle w:val="CellColumn"/>
              <w:jc w:val="right"/>
            </w:pPr>
            <w:r>
              <w:rPr>
                <w:rFonts w:cs="Times New Roman"/>
              </w:rPr>
              <w:t>HAZU</w:t>
            </w:r>
          </w:p>
        </w:tc>
        <w:tc>
          <w:tcPr>
            <w:tcW w:w="1020" w:type="dxa"/>
          </w:tcPr>
          <w:p w:rsidR="00505632" w:rsidRDefault="00505632" w:rsidP="00AD4E52">
            <w:pPr>
              <w:pStyle w:val="CellColumn"/>
              <w:jc w:val="right"/>
            </w:pPr>
            <w:r>
              <w:rPr>
                <w:rFonts w:cs="Times New Roman"/>
              </w:rPr>
              <w:t>7000</w:t>
            </w:r>
          </w:p>
        </w:tc>
        <w:tc>
          <w:tcPr>
            <w:tcW w:w="1020" w:type="dxa"/>
          </w:tcPr>
          <w:p w:rsidR="00505632" w:rsidRDefault="00505632" w:rsidP="00AD4E52">
            <w:pPr>
              <w:pStyle w:val="CellColumn"/>
              <w:jc w:val="right"/>
            </w:pPr>
            <w:r>
              <w:rPr>
                <w:rFonts w:cs="Times New Roman"/>
              </w:rPr>
              <w:t>1968</w:t>
            </w:r>
          </w:p>
        </w:tc>
      </w:tr>
    </w:tbl>
    <w:p w:rsidR="00505632" w:rsidRDefault="00505632" w:rsidP="00505632">
      <w:pPr>
        <w:jc w:val="left"/>
      </w:pPr>
    </w:p>
    <w:p w:rsidR="00505632" w:rsidRDefault="00505632" w:rsidP="00505632">
      <w:pPr>
        <w:pStyle w:val="Heading4"/>
      </w:pPr>
      <w:r>
        <w:t>A586047 MUZEJSKA, LIKOVNA, KAZALIŠNA, GLAZBENA I ARHEOLOŠKA DJELATNOST TE ZAŠTITA SPOMENIKA KULTURE IZ POTPORE MININSTARSTVA KULTURE</w:t>
      </w:r>
    </w:p>
    <w:tbl>
      <w:tblPr>
        <w:tblStyle w:val="StilTablice"/>
        <w:tblW w:w="10206" w:type="dxa"/>
        <w:jc w:val="center"/>
        <w:tblLook w:val="04A0" w:firstRow="1" w:lastRow="0" w:firstColumn="1" w:lastColumn="0" w:noHBand="0" w:noVBand="1"/>
      </w:tblPr>
      <w:tblGrid>
        <w:gridCol w:w="1749"/>
        <w:gridCol w:w="2009"/>
        <w:gridCol w:w="2002"/>
        <w:gridCol w:w="2009"/>
        <w:gridCol w:w="1217"/>
        <w:gridCol w:w="1220"/>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A586047-MUZEJSKA, LIKOVNA, KAZALIŠNA, GLAZBENA I ARHEOLOŠKA DJELATNOST TE ZAŠTITA SPOMENIKA KULTURE IZ POTPORE MININSTARSTVA KULTURE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923.757</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Djelatnost Hrvatske akademije znanosti i umjetnosti utvrđena je Zakonom o Hrvatskoj akademiji znanosti i umjetnosti ("Narodne Novine" broj:34/91.,43/96.,159/02. i 65/09.) i Statutom Hrvatske akademije znanosti i umjetnosti.</w:t>
      </w:r>
    </w:p>
    <w:p w:rsidR="00505632" w:rsidRDefault="00505632" w:rsidP="00505632">
      <w:pPr>
        <w:pStyle w:val="Heading8"/>
        <w:jc w:val="left"/>
      </w:pPr>
      <w:r>
        <w:t>Opis aktivnosti</w:t>
      </w:r>
    </w:p>
    <w:p w:rsidR="00505632" w:rsidRDefault="00505632" w:rsidP="00505632">
      <w:r>
        <w:t xml:space="preserve">Muzejsko-galerijska, likovna, glazbena, kazališna djelatnost te arheološka istraživanja na očuvanju kulturne baštine akitvnosti su koje se provode u najvećem dijelu uz financijsku potporu Ministarstva kulture. </w:t>
      </w:r>
    </w:p>
    <w:p w:rsidR="00505632" w:rsidRDefault="00505632" w:rsidP="00505632">
      <w:r>
        <w:t>Za 2016. putem natječaja od strane Ministarstva kulture dobivena je potpora za organizaciju 22 izložbe, za glazbenu djelatnost dobivena je potpora za tisak dva notna zapisa, kazališna djelatnost dobila je potporu za dodjelu nagrade Mirko Fotez i organizaciju manifestacije "Dani Hvarskog kazališta". Nadlje dobivena su sredstva za arheološka istraživanja na Mursi u Osijeku i lokalitetu Ciglenice, te sredstva za potporu časopisu Forum, sredstva za otkup knjiga. Knjižnica HAZU dobila je sredstva za projekt "Zbirka rara" restauriranje starih knjiga.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Broj organiziranih izložbi</w:t>
            </w:r>
          </w:p>
        </w:tc>
        <w:tc>
          <w:tcPr>
            <w:tcW w:w="2551" w:type="dxa"/>
          </w:tcPr>
          <w:p w:rsidR="00505632" w:rsidRDefault="00505632" w:rsidP="00AD4E52">
            <w:pPr>
              <w:pStyle w:val="CellColumn"/>
              <w:jc w:val="left"/>
            </w:pPr>
            <w:r>
              <w:rPr>
                <w:rFonts w:cs="Times New Roman"/>
              </w:rPr>
              <w:t>Kroz organizaciju izložbi predstavljaju se umjetnička postignuća hrvatskih umjetnika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HAZU</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30</w:t>
            </w:r>
          </w:p>
        </w:tc>
      </w:tr>
    </w:tbl>
    <w:p w:rsidR="00505632" w:rsidRDefault="00505632" w:rsidP="00505632">
      <w:pPr>
        <w:jc w:val="left"/>
      </w:pPr>
    </w:p>
    <w:p w:rsidR="00505632" w:rsidRDefault="00505632" w:rsidP="00505632">
      <w:pPr>
        <w:pStyle w:val="Heading4"/>
      </w:pPr>
      <w:r>
        <w:t>K586005 POPUNJAVANJE KNJIŽNOG FONDA BIBLIOTEKA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K586005-POPUNJAVANJE KNJIŽNOG FONDA BIBLIOTEKA</w:t>
            </w:r>
          </w:p>
        </w:tc>
        <w:tc>
          <w:tcPr>
            <w:tcW w:w="2041" w:type="dxa"/>
          </w:tcPr>
          <w:p w:rsidR="00505632" w:rsidRDefault="00505632" w:rsidP="00AD4E52">
            <w:pPr>
              <w:pStyle w:val="CellColumn"/>
              <w:jc w:val="right"/>
            </w:pPr>
            <w:r>
              <w:rPr>
                <w:rFonts w:cs="Times New Roman"/>
              </w:rPr>
              <w:t>6.999</w:t>
            </w:r>
          </w:p>
        </w:tc>
        <w:tc>
          <w:tcPr>
            <w:tcW w:w="2041" w:type="dxa"/>
          </w:tcPr>
          <w:p w:rsidR="00505632" w:rsidRDefault="00505632" w:rsidP="00AD4E52">
            <w:pPr>
              <w:pStyle w:val="CellColumn"/>
              <w:jc w:val="right"/>
            </w:pPr>
            <w:r>
              <w:rPr>
                <w:rFonts w:cs="Times New Roman"/>
              </w:rPr>
              <w:t>9.000</w:t>
            </w:r>
          </w:p>
        </w:tc>
        <w:tc>
          <w:tcPr>
            <w:tcW w:w="2041" w:type="dxa"/>
          </w:tcPr>
          <w:p w:rsidR="00505632" w:rsidRDefault="00505632" w:rsidP="00AD4E52">
            <w:pPr>
              <w:pStyle w:val="CellColumn"/>
              <w:jc w:val="right"/>
            </w:pPr>
            <w:r>
              <w:rPr>
                <w:rFonts w:cs="Times New Roman"/>
              </w:rPr>
              <w:t>9.000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128,6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Djelatnost Hrvatske akademije znanosti i umjetnosti utvrđena je Zakonom o Hrvatskoj akademiji znanosti i umjetnosti ("Narodne Novine" broj:34/91.,43/96.,159/02. i 65/09.) i Statutom Hrvatske akademije znanosti i umjetnosti.</w:t>
      </w:r>
    </w:p>
    <w:p w:rsidR="00505632" w:rsidRDefault="00505632" w:rsidP="00505632">
      <w:pPr>
        <w:pStyle w:val="Heading8"/>
        <w:jc w:val="left"/>
      </w:pPr>
      <w:r>
        <w:t>Opis aktivnosti</w:t>
      </w:r>
    </w:p>
    <w:p w:rsidR="00505632" w:rsidRDefault="00505632" w:rsidP="00505632">
      <w:r>
        <w:t xml:space="preserve">U 2016. fond knjiga uvećan je za 3.633 sveska knjiga i časopisa i to knjige raznih izdavača, akademijinih izdanja i izdanja Zaklade HAZU. </w:t>
      </w:r>
    </w:p>
    <w:p w:rsidR="00505632" w:rsidRDefault="00505632" w:rsidP="00505632">
      <w:r>
        <w:t xml:space="preserve"> Fond časopisa uvećan je za za 665 svezaka od čega 287 časopisa iz hrvatskog izdanja. </w:t>
      </w:r>
    </w:p>
    <w:p w:rsidR="00505632" w:rsidRDefault="00505632" w:rsidP="00505632">
      <w:r>
        <w:t xml:space="preserve">U razmjenu je posloano 239 knjiga na 18 adresa u Hrvatskoj i 5 u inozemstvu. </w:t>
      </w:r>
    </w:p>
    <w:p w:rsidR="00505632" w:rsidRDefault="00505632" w:rsidP="00505632">
      <w:r>
        <w:t>Darovanjem je knjižnica tijekom 2016 zaprimila 2.129 svezaka knjiga i 153 svezaka časopisa.</w:t>
      </w:r>
    </w:p>
    <w:p w:rsidR="00505632" w:rsidRDefault="00505632" w:rsidP="00505632">
      <w:pPr>
        <w:pStyle w:val="Heading4"/>
      </w:pPr>
      <w:r>
        <w:t>K586025 INFORMATIZACIJA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K586025-INFORMATIZACIJA</w:t>
            </w:r>
          </w:p>
        </w:tc>
        <w:tc>
          <w:tcPr>
            <w:tcW w:w="2041" w:type="dxa"/>
          </w:tcPr>
          <w:p w:rsidR="00505632" w:rsidRDefault="00505632" w:rsidP="00AD4E52">
            <w:pPr>
              <w:pStyle w:val="CellColumn"/>
              <w:jc w:val="right"/>
            </w:pPr>
            <w:r>
              <w:rPr>
                <w:rFonts w:cs="Times New Roman"/>
              </w:rPr>
              <w:t>25.000</w:t>
            </w:r>
          </w:p>
        </w:tc>
        <w:tc>
          <w:tcPr>
            <w:tcW w:w="2041" w:type="dxa"/>
          </w:tcPr>
          <w:p w:rsidR="00505632" w:rsidRDefault="00505632" w:rsidP="00AD4E52">
            <w:pPr>
              <w:pStyle w:val="CellColumn"/>
              <w:jc w:val="right"/>
            </w:pPr>
            <w:r>
              <w:rPr>
                <w:rFonts w:cs="Times New Roman"/>
              </w:rPr>
              <w:t>50.000</w:t>
            </w:r>
          </w:p>
        </w:tc>
        <w:tc>
          <w:tcPr>
            <w:tcW w:w="2041" w:type="dxa"/>
          </w:tcPr>
          <w:p w:rsidR="00505632" w:rsidRDefault="00505632" w:rsidP="00AD4E52">
            <w:pPr>
              <w:pStyle w:val="CellColumn"/>
              <w:jc w:val="right"/>
            </w:pPr>
            <w:r>
              <w:rPr>
                <w:rFonts w:cs="Times New Roman"/>
              </w:rPr>
              <w:t>50.000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200,0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Djelatnost Hrvatske akademije znanosti i umjetnosti utvrđena je Zakonom o Hrvatskoj akademiji znanosti i umjetnosti ("Narodne Novine" broj:34/91.,43/96.,159/02. i 65/09.) i Statutom Hrvatske akademije znanosti i umjetnosti.</w:t>
      </w:r>
    </w:p>
    <w:p w:rsidR="00505632" w:rsidRDefault="00505632" w:rsidP="00505632">
      <w:pPr>
        <w:pStyle w:val="Heading8"/>
        <w:jc w:val="left"/>
      </w:pPr>
      <w:r>
        <w:t>Opis aktivnosti</w:t>
      </w:r>
    </w:p>
    <w:p w:rsidR="00505632" w:rsidRDefault="00505632" w:rsidP="00505632">
      <w:r>
        <w:t>Za potrebe zaposlenika Hrvatske akademije nabavljeno je u okviru raspoloživih sredstava 5 računala i jedan fotokopirni aparat.</w:t>
      </w:r>
    </w:p>
    <w:p w:rsidR="00505632" w:rsidRDefault="00505632" w:rsidP="00505632"/>
    <w:p w:rsidR="00505632" w:rsidRDefault="00505632" w:rsidP="00505632"/>
    <w:p w:rsidR="00505632" w:rsidRDefault="00505632" w:rsidP="00505632"/>
    <w:p w:rsidR="00505632" w:rsidRDefault="00505632" w:rsidP="00505632">
      <w:pPr>
        <w:pStyle w:val="Heading4"/>
      </w:pPr>
      <w:r>
        <w:t>K586046 PROJEKT PROTUPOŽARNE ZAŠTITE - ARBORETUM TRSTENO</w:t>
      </w:r>
    </w:p>
    <w:tbl>
      <w:tblPr>
        <w:tblStyle w:val="StilTablice"/>
        <w:tblW w:w="10206" w:type="dxa"/>
        <w:jc w:val="center"/>
        <w:tblLook w:val="04A0" w:firstRow="1" w:lastRow="0" w:firstColumn="1" w:lastColumn="0" w:noHBand="0" w:noVBand="1"/>
      </w:tblPr>
      <w:tblGrid>
        <w:gridCol w:w="1693"/>
        <w:gridCol w:w="2024"/>
        <w:gridCol w:w="2023"/>
        <w:gridCol w:w="2024"/>
        <w:gridCol w:w="1220"/>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K586046-PROJEKT PROTUPOŽARNE ZAŠTITE - ARBORETUM TRSTENO</w:t>
            </w:r>
          </w:p>
        </w:tc>
        <w:tc>
          <w:tcPr>
            <w:tcW w:w="2041" w:type="dxa"/>
          </w:tcPr>
          <w:p w:rsidR="00505632" w:rsidRDefault="00505632" w:rsidP="00AD4E52">
            <w:pPr>
              <w:pStyle w:val="CellColumn"/>
              <w:jc w:val="right"/>
            </w:pPr>
            <w:r>
              <w:rPr>
                <w:rFonts w:cs="Times New Roman"/>
              </w:rPr>
              <w:t>21.000</w:t>
            </w:r>
          </w:p>
        </w:tc>
        <w:tc>
          <w:tcPr>
            <w:tcW w:w="2041" w:type="dxa"/>
          </w:tcPr>
          <w:p w:rsidR="00505632" w:rsidRDefault="00505632" w:rsidP="00AD4E52">
            <w:pPr>
              <w:pStyle w:val="CellColumn"/>
              <w:jc w:val="right"/>
            </w:pPr>
            <w:r>
              <w:rPr>
                <w:rFonts w:cs="Times New Roman"/>
              </w:rPr>
              <w:t>350.000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Djelatnost Hrvatske akademije znanosti i umjetnosti utvrđena je Zakonom o Hrvatskoj akademiji znanosti i umjetnosti ("Narodne Novine" broj:34/91.,43/96.,159/02. i 65/09.) i Statutom Hrvatske akademije znanosti i umjetnosti.</w:t>
      </w:r>
    </w:p>
    <w:p w:rsidR="00505632" w:rsidRDefault="00505632" w:rsidP="00505632">
      <w:pPr>
        <w:pStyle w:val="Heading8"/>
        <w:jc w:val="left"/>
      </w:pPr>
      <w:r>
        <w:t>Opis aktivnosti</w:t>
      </w:r>
    </w:p>
    <w:p w:rsidR="00505632" w:rsidRDefault="00505632" w:rsidP="00505632">
      <w:r>
        <w:t xml:space="preserve">Arboretum Trsteno, kao jedini arboretum na hrvatskoj jadranskoj obali, u jedinstvenom bogatstvu svojih vrijednosti, sjedinjuje kulturnu i prirodnu baštinu.  </w:t>
      </w:r>
    </w:p>
    <w:p w:rsidR="00505632" w:rsidRDefault="00505632" w:rsidP="00505632">
      <w:r>
        <w:t xml:space="preserve">Poznat je po povijesnim perivojima i po zbirci sredozemnih i egzotičnih vrsta biljaka. Osnovan je 1948. na prostoru i podlozi povijesnog ladanjskog posjeda dubrovačke plemićke obitelji Gučetić-Gozze, datiranog od 1494., te u cjelini zakonom zaštićen kao spomenik vrtne arhitekture.  </w:t>
      </w:r>
    </w:p>
    <w:p w:rsidR="00505632" w:rsidRDefault="00505632" w:rsidP="00505632">
      <w:r>
        <w:t xml:space="preserve">Arboretum na svom prostoru od 25 hektara objedinjuje nekoliko različitih cjelina: povijesni renesansni perivoj s ljetnikovcem, povijesni neoromantičarski perivoj iz 19/20. stoljeća, povijesni maslinik, te prirodnu vegetaciju šume hrasta medunca, alepskog bora i čempresa, vegetaciju makije i priobalne stijene.  </w:t>
      </w:r>
    </w:p>
    <w:p w:rsidR="00505632" w:rsidRDefault="00505632" w:rsidP="00505632">
      <w:r>
        <w:t xml:space="preserve">Djelatnost Arboretuma usmjerena je na zaštitu i održavanje kulturno-povijesnih i prirodnih znamenitosti, na istraživanje i zaštitu biološke raznolikosti, na stvaranje žive zbirke u smislu zaštite genetičke raznolikosti, te na istraživanja iz područja povijesti vrtne arhitekture.  </w:t>
      </w:r>
    </w:p>
    <w:p w:rsidR="00505632" w:rsidRDefault="00505632" w:rsidP="00505632">
      <w:r>
        <w:t>Kroz navedeni projekt protupožarne zaštite planiranim sredstvima tijekom 2016. izrađen je glavni projekt temeljem kojeg je započeo postupak javne nabave za odabir najpovoljenijeg izvoditelja za izvođenje radova na postavljanju sustava video nadzora protupožarne zaštite.</w:t>
      </w:r>
    </w:p>
    <w:p w:rsidR="00505632" w:rsidRDefault="00505632" w:rsidP="00505632">
      <w:pPr>
        <w:pStyle w:val="Heading4"/>
      </w:pPr>
      <w:r>
        <w:t>T586007 NAKLADNIČKI  PROJEKT "HRVATSKA I EUROPA"- PROMICANJE HRVATSKE POVIJESNE I KULTURNE BAŠTINE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T586007-NAKLADNIČKI  PROJEKT "HRVATSKA I EUROPA"- PROMICANJE HRVATSKE POVIJESNE I KULTURNE BAŠTINE</w:t>
            </w:r>
          </w:p>
        </w:tc>
        <w:tc>
          <w:tcPr>
            <w:tcW w:w="2041" w:type="dxa"/>
          </w:tcPr>
          <w:p w:rsidR="00505632" w:rsidRDefault="00505632" w:rsidP="00AD4E52">
            <w:pPr>
              <w:pStyle w:val="CellColumn"/>
              <w:jc w:val="right"/>
            </w:pPr>
            <w:r>
              <w:rPr>
                <w:rFonts w:cs="Times New Roman"/>
              </w:rPr>
              <w:t>5.000</w:t>
            </w:r>
          </w:p>
        </w:tc>
        <w:tc>
          <w:tcPr>
            <w:tcW w:w="2041" w:type="dxa"/>
          </w:tcPr>
          <w:p w:rsidR="00505632" w:rsidRDefault="00505632" w:rsidP="00AD4E52">
            <w:pPr>
              <w:pStyle w:val="CellColumn"/>
              <w:jc w:val="right"/>
            </w:pPr>
            <w:r>
              <w:rPr>
                <w:rFonts w:cs="Times New Roman"/>
              </w:rPr>
              <w:t>5.000</w:t>
            </w:r>
          </w:p>
        </w:tc>
        <w:tc>
          <w:tcPr>
            <w:tcW w:w="2041" w:type="dxa"/>
          </w:tcPr>
          <w:p w:rsidR="00505632" w:rsidRDefault="00505632" w:rsidP="00AD4E52">
            <w:pPr>
              <w:pStyle w:val="CellColumn"/>
              <w:jc w:val="right"/>
            </w:pPr>
            <w:r>
              <w:rPr>
                <w:rFonts w:cs="Times New Roman"/>
              </w:rPr>
              <w:t>5.000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Djelatnost Hrvatske akademije znanosti i umjetnosti utvrđena je Zakonom o Hrvatskoj akademiji znanosti i umjetnosti ("Narodne Novine" broj:34/91.,43/96.,159/02. i 65/09.) i Statutom Hrvatske akademije znanosti i umjetnosti.</w:t>
      </w:r>
    </w:p>
    <w:p w:rsidR="00505632" w:rsidRDefault="00505632" w:rsidP="00505632">
      <w:pPr>
        <w:pStyle w:val="Heading8"/>
        <w:jc w:val="left"/>
      </w:pPr>
      <w:r>
        <w:t>Opis aktivnosti</w:t>
      </w:r>
    </w:p>
    <w:p w:rsidR="00505632" w:rsidRDefault="00505632" w:rsidP="00505632">
      <w:r>
        <w:t xml:space="preserve">Nakladnički projekt "Hrvatska i Europa" je višegodišnji projekt kojem je cilj promicanje hrvatske kulture, znanosti i umjetnosti u Europi razmjenom edicije na engleskom i francuskom jeziku s inozemnim znanstvenim, kulturnim i umjetničkim ustanovama.     </w:t>
      </w:r>
    </w:p>
    <w:p w:rsidR="00505632" w:rsidRDefault="00505632" w:rsidP="00505632">
      <w:r>
        <w:t xml:space="preserve">Edicija se sastoji od pet svezaka kroz koje se obrađuje hrvatska kulturna i povijesna baština od VII. stoljeća do kraja XX.stoljeća.    </w:t>
      </w:r>
    </w:p>
    <w:p w:rsidR="00505632" w:rsidRDefault="00505632" w:rsidP="00505632">
      <w:r>
        <w:t xml:space="preserve">Svaki od tih svezaka tiskati će se na tri jezika i  to hrvatski, engleski i francuski.    </w:t>
      </w:r>
    </w:p>
    <w:p w:rsidR="00505632" w:rsidRDefault="00505632" w:rsidP="00505632">
      <w:r>
        <w:t xml:space="preserve">Do sada je tiskano 4. sveska na hrvatskom jeziku i 3 sveska na engleskom i francuskom jeziku. Za dovršetak tog projekta potrebno je tiskati još 5. svezak na hrvatskom, te 4. i 5. svezak na engleskom i francuskom. </w:t>
      </w:r>
    </w:p>
    <w:p w:rsidR="00505632" w:rsidRDefault="00505632" w:rsidP="00505632">
      <w:r>
        <w:t xml:space="preserve">Tijekom 2016. francusko izdanje IV. sveska poslano je sunakladniku Presses universitaires de Rennes na slaganje. </w:t>
      </w:r>
    </w:p>
    <w:p w:rsidR="00505632" w:rsidRDefault="00505632" w:rsidP="00505632">
      <w:r>
        <w:t>Englesko izdanje IV. sveska u uredničkom je postupku, kao i V. svezak edicije Hrvatska i Europa XX. stoljeće.</w:t>
      </w:r>
    </w:p>
    <w:p w:rsidR="00505632" w:rsidRDefault="00505632" w:rsidP="008E201B">
      <w:pPr>
        <w:overflowPunct/>
        <w:autoSpaceDE/>
        <w:autoSpaceDN/>
        <w:adjustRightInd/>
        <w:spacing w:after="200" w:line="276" w:lineRule="auto"/>
        <w:jc w:val="left"/>
        <w:textAlignment w:val="auto"/>
      </w:pPr>
      <w:r>
        <w:br w:type="page"/>
      </w:r>
    </w:p>
    <w:p w:rsidR="00505632" w:rsidRDefault="00505632" w:rsidP="00505632">
      <w:pPr>
        <w:pStyle w:val="Heading1"/>
      </w:pPr>
      <w:r>
        <w:t>110 MINISTARSTVO PRAVOSUĐA</w:t>
      </w:r>
    </w:p>
    <w:p w:rsidR="00505632" w:rsidRDefault="00505632" w:rsidP="00505632">
      <w:r>
        <w:t xml:space="preserve">Razdjelom 110 – Ministarstvo pravosuđa obuhvaćeno je 18 proračunskih glava: 05 – Ministarstvo pravosuđa, 06 –  </w:t>
      </w:r>
    </w:p>
    <w:p w:rsidR="00505632" w:rsidRDefault="00505632" w:rsidP="00505632">
      <w:r>
        <w:t xml:space="preserve">Pravosudna akademija, 10 – Zatvori i kaznionice, 15 – Vrhovni sud Republike Hrvatske, 20 – Visoki trgovački sud  </w:t>
      </w:r>
    </w:p>
    <w:p w:rsidR="00505632" w:rsidRDefault="00505632" w:rsidP="00505632">
      <w:r>
        <w:t xml:space="preserve">Republike Hrvatske, 25 – Upravni sud Republike  Hrvatske, 27 – Upravni sudovi, 30 – Državno odvjetništvo  </w:t>
      </w:r>
    </w:p>
    <w:p w:rsidR="00505632" w:rsidRDefault="00505632" w:rsidP="00505632">
      <w:r>
        <w:t>Republike Hrvatske, 35 – Državnoodvjetničko vijeće, 36 – Državno  sudbeno vijeće, 40 – Visoki prekršajni sud Republike Hrvatske, 45 - Županijski sudovi, 50 – Trgovački sudovi, 55 – Županijska  državna odvjetništva, 65 - Općinski sudovi, 70 – Općinska državna odvjetništva, 75 – Prekršajni sudovi, 91 – Ured za suzbijanje korupcije i organiziranog kriminaliteta, unutar kojih funkcionira 144 proračunskih korisnika od čega 120 pravosudnih tijela i 24 zatvorske institucije. Spajanjem sudova i državnih odvjetništava koje je provedeno u prvoj polovici 2015. godine smanjen je broj pravosudnih tijela sa 238 na 144. Ministarstvo pravosuđa i sva pravosudna  i kaznena tijela djeluju u cilju osiguranja neovisnog i učinkovitog pravosuđa i pravne sigurnosti građana, predlaganja i provedbe propisa koji  podupiru vladavinu prava, te osiguranja humanih uvjeta i zaštite ljudskog dostojanstva osoba na izvršavanju kazne zatvora, mjere pritvora i odgojnih mjera. Ministarstvo pravosuđa nastoji  pridonijeti stvaranju pravednog društva u kojem će pred pravosudnim tijelima svi koji se istima obrate u razumnom roku ostvariti učinkovitu zaštitu svojih prava. Strategijom programa Vlade Republike Hrvatske utvrđen je opći cilj „Jačanje i razvoj pravne države i vladavine  prava“, što načelno znači jačanje i razvoj ustavnih i zakonskih kategorija koje čine  pravnu osnovu bitnu za razvoj demokracije. Reformom pravosuđa poboljšat će se i ubrzati rad svih pravosudnih tijela u Republici Hrvatskoj te uspostaviti vladavina prava jačanjem učinkovitosti  i ažurnosti pravosuđa, većom pravnom sigurnošću građana, te učinkovitošću u progonu kriminala i korupcije. Među prioritetna područja ubraja se osiguranje neovisnosti i nepristranosti, poboljšanje raspoloživosti besplatne pravne pomoći, promicanje alternativnih načina rješavanja sporova, smanjenje broja neriješenih predmeta i ubrzanje sudskih postupaka te unaprjeđenje zatvorskog sustava.</w:t>
      </w:r>
    </w:p>
    <w:tbl>
      <w:tblPr>
        <w:tblStyle w:val="StilTablice"/>
        <w:tblW w:w="10206" w:type="dxa"/>
        <w:jc w:val="center"/>
        <w:tblLook w:val="04A0" w:firstRow="1" w:lastRow="0" w:firstColumn="1" w:lastColumn="0" w:noHBand="0" w:noVBand="1"/>
      </w:tblPr>
      <w:tblGrid>
        <w:gridCol w:w="1748"/>
        <w:gridCol w:w="2009"/>
        <w:gridCol w:w="2009"/>
        <w:gridCol w:w="2009"/>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11005-Ministarstvo pravosuđa</w:t>
            </w:r>
          </w:p>
        </w:tc>
        <w:tc>
          <w:tcPr>
            <w:tcW w:w="2041" w:type="dxa"/>
            <w:vAlign w:val="top"/>
          </w:tcPr>
          <w:p w:rsidR="00505632" w:rsidRDefault="00505632" w:rsidP="00AD4E52">
            <w:pPr>
              <w:pStyle w:val="CellColumn"/>
              <w:jc w:val="right"/>
            </w:pPr>
            <w:r>
              <w:rPr>
                <w:rFonts w:cs="Times New Roman"/>
              </w:rPr>
              <w:t>302.748.461</w:t>
            </w:r>
          </w:p>
        </w:tc>
        <w:tc>
          <w:tcPr>
            <w:tcW w:w="2041" w:type="dxa"/>
            <w:vAlign w:val="top"/>
          </w:tcPr>
          <w:p w:rsidR="00505632" w:rsidRDefault="00505632" w:rsidP="00AD4E52">
            <w:pPr>
              <w:pStyle w:val="CellColumn"/>
              <w:jc w:val="right"/>
            </w:pPr>
            <w:r>
              <w:rPr>
                <w:rFonts w:cs="Times New Roman"/>
              </w:rPr>
              <w:t>376.654.098</w:t>
            </w:r>
          </w:p>
        </w:tc>
        <w:tc>
          <w:tcPr>
            <w:tcW w:w="2041" w:type="dxa"/>
            <w:vAlign w:val="top"/>
          </w:tcPr>
          <w:p w:rsidR="00505632" w:rsidRDefault="00505632" w:rsidP="00AD4E52">
            <w:pPr>
              <w:pStyle w:val="CellColumn"/>
              <w:jc w:val="right"/>
            </w:pPr>
            <w:r>
              <w:rPr>
                <w:rFonts w:cs="Times New Roman"/>
              </w:rPr>
              <w:t>360.942.798</w:t>
            </w:r>
          </w:p>
        </w:tc>
        <w:tc>
          <w:tcPr>
            <w:tcW w:w="1224" w:type="dxa"/>
            <w:vAlign w:val="top"/>
          </w:tcPr>
          <w:p w:rsidR="00505632" w:rsidRDefault="00505632" w:rsidP="00AD4E52">
            <w:pPr>
              <w:pStyle w:val="CellColumn"/>
              <w:jc w:val="right"/>
            </w:pPr>
            <w:r>
              <w:rPr>
                <w:rFonts w:cs="Times New Roman"/>
              </w:rPr>
              <w:t>95,8</w:t>
            </w:r>
          </w:p>
        </w:tc>
        <w:tc>
          <w:tcPr>
            <w:tcW w:w="1224" w:type="dxa"/>
            <w:vAlign w:val="top"/>
          </w:tcPr>
          <w:p w:rsidR="00505632" w:rsidRDefault="00505632" w:rsidP="00AD4E52">
            <w:pPr>
              <w:pStyle w:val="CellColumn"/>
              <w:jc w:val="right"/>
            </w:pPr>
            <w:r>
              <w:rPr>
                <w:rFonts w:cs="Times New Roman"/>
              </w:rPr>
              <w:t>119,2</w:t>
            </w:r>
          </w:p>
        </w:tc>
      </w:tr>
      <w:tr w:rsidR="00505632" w:rsidTr="00AD4E52">
        <w:trPr>
          <w:jc w:val="center"/>
        </w:trPr>
        <w:tc>
          <w:tcPr>
            <w:tcW w:w="1632" w:type="dxa"/>
            <w:vAlign w:val="top"/>
          </w:tcPr>
          <w:p w:rsidR="00505632" w:rsidRDefault="00505632" w:rsidP="00AD4E52">
            <w:pPr>
              <w:pStyle w:val="CellColumn"/>
              <w:jc w:val="left"/>
            </w:pPr>
            <w:r>
              <w:rPr>
                <w:rFonts w:cs="Times New Roman"/>
              </w:rPr>
              <w:t>11006-Pravosudna akademija</w:t>
            </w:r>
          </w:p>
        </w:tc>
        <w:tc>
          <w:tcPr>
            <w:tcW w:w="2041" w:type="dxa"/>
            <w:vAlign w:val="top"/>
          </w:tcPr>
          <w:p w:rsidR="00505632" w:rsidRDefault="00505632" w:rsidP="00AD4E52">
            <w:pPr>
              <w:pStyle w:val="CellColumn"/>
              <w:jc w:val="right"/>
            </w:pPr>
            <w:r>
              <w:rPr>
                <w:rFonts w:cs="Times New Roman"/>
              </w:rPr>
              <w:t>4.874.631</w:t>
            </w:r>
          </w:p>
        </w:tc>
        <w:tc>
          <w:tcPr>
            <w:tcW w:w="2041" w:type="dxa"/>
            <w:vAlign w:val="top"/>
          </w:tcPr>
          <w:p w:rsidR="00505632" w:rsidRDefault="00505632" w:rsidP="00AD4E52">
            <w:pPr>
              <w:pStyle w:val="CellColumn"/>
              <w:jc w:val="right"/>
            </w:pPr>
            <w:r>
              <w:rPr>
                <w:rFonts w:cs="Times New Roman"/>
              </w:rPr>
              <w:t>5.514.602</w:t>
            </w:r>
          </w:p>
        </w:tc>
        <w:tc>
          <w:tcPr>
            <w:tcW w:w="2041" w:type="dxa"/>
            <w:vAlign w:val="top"/>
          </w:tcPr>
          <w:p w:rsidR="00505632" w:rsidRDefault="00505632" w:rsidP="00AD4E52">
            <w:pPr>
              <w:pStyle w:val="CellColumn"/>
              <w:jc w:val="right"/>
            </w:pPr>
            <w:r>
              <w:rPr>
                <w:rFonts w:cs="Times New Roman"/>
              </w:rPr>
              <w:t>4.908.195</w:t>
            </w:r>
          </w:p>
        </w:tc>
        <w:tc>
          <w:tcPr>
            <w:tcW w:w="1224" w:type="dxa"/>
            <w:vAlign w:val="top"/>
          </w:tcPr>
          <w:p w:rsidR="00505632" w:rsidRDefault="00505632" w:rsidP="00AD4E52">
            <w:pPr>
              <w:pStyle w:val="CellColumn"/>
              <w:jc w:val="right"/>
            </w:pPr>
            <w:r>
              <w:rPr>
                <w:rFonts w:cs="Times New Roman"/>
              </w:rPr>
              <w:t>89,0</w:t>
            </w:r>
          </w:p>
        </w:tc>
        <w:tc>
          <w:tcPr>
            <w:tcW w:w="1224" w:type="dxa"/>
            <w:vAlign w:val="top"/>
          </w:tcPr>
          <w:p w:rsidR="00505632" w:rsidRDefault="00505632" w:rsidP="00AD4E52">
            <w:pPr>
              <w:pStyle w:val="CellColumn"/>
              <w:jc w:val="right"/>
            </w:pPr>
            <w:r>
              <w:rPr>
                <w:rFonts w:cs="Times New Roman"/>
              </w:rPr>
              <w:t>100,7</w:t>
            </w:r>
          </w:p>
        </w:tc>
      </w:tr>
      <w:tr w:rsidR="00505632" w:rsidTr="00AD4E52">
        <w:trPr>
          <w:jc w:val="center"/>
        </w:trPr>
        <w:tc>
          <w:tcPr>
            <w:tcW w:w="1632" w:type="dxa"/>
            <w:vAlign w:val="top"/>
          </w:tcPr>
          <w:p w:rsidR="00505632" w:rsidRDefault="00505632" w:rsidP="00AD4E52">
            <w:pPr>
              <w:pStyle w:val="CellColumn"/>
              <w:jc w:val="left"/>
            </w:pPr>
            <w:r>
              <w:rPr>
                <w:rFonts w:cs="Times New Roman"/>
              </w:rPr>
              <w:t>11010-Zatvori i kaznionice</w:t>
            </w:r>
          </w:p>
        </w:tc>
        <w:tc>
          <w:tcPr>
            <w:tcW w:w="2041" w:type="dxa"/>
            <w:vAlign w:val="top"/>
          </w:tcPr>
          <w:p w:rsidR="00505632" w:rsidRDefault="00505632" w:rsidP="00AD4E52">
            <w:pPr>
              <w:pStyle w:val="CellColumn"/>
              <w:jc w:val="right"/>
            </w:pPr>
            <w:r>
              <w:rPr>
                <w:rFonts w:cs="Times New Roman"/>
              </w:rPr>
              <w:t>486.997.866</w:t>
            </w:r>
          </w:p>
        </w:tc>
        <w:tc>
          <w:tcPr>
            <w:tcW w:w="2041" w:type="dxa"/>
            <w:vAlign w:val="top"/>
          </w:tcPr>
          <w:p w:rsidR="00505632" w:rsidRDefault="00505632" w:rsidP="00AD4E52">
            <w:pPr>
              <w:pStyle w:val="CellColumn"/>
              <w:jc w:val="right"/>
            </w:pPr>
            <w:r>
              <w:rPr>
                <w:rFonts w:cs="Times New Roman"/>
              </w:rPr>
              <w:t>481.501.469</w:t>
            </w:r>
          </w:p>
        </w:tc>
        <w:tc>
          <w:tcPr>
            <w:tcW w:w="2041" w:type="dxa"/>
            <w:vAlign w:val="top"/>
          </w:tcPr>
          <w:p w:rsidR="00505632" w:rsidRDefault="00505632" w:rsidP="00AD4E52">
            <w:pPr>
              <w:pStyle w:val="CellColumn"/>
              <w:jc w:val="right"/>
            </w:pPr>
            <w:r>
              <w:rPr>
                <w:rFonts w:cs="Times New Roman"/>
              </w:rPr>
              <w:t>480.440.620</w:t>
            </w:r>
          </w:p>
        </w:tc>
        <w:tc>
          <w:tcPr>
            <w:tcW w:w="1224" w:type="dxa"/>
            <w:vAlign w:val="top"/>
          </w:tcPr>
          <w:p w:rsidR="00505632" w:rsidRDefault="00505632" w:rsidP="00AD4E52">
            <w:pPr>
              <w:pStyle w:val="CellColumn"/>
              <w:jc w:val="right"/>
            </w:pPr>
            <w:r>
              <w:rPr>
                <w:rFonts w:cs="Times New Roman"/>
              </w:rPr>
              <w:t>99,8</w:t>
            </w:r>
          </w:p>
        </w:tc>
        <w:tc>
          <w:tcPr>
            <w:tcW w:w="1224" w:type="dxa"/>
            <w:vAlign w:val="top"/>
          </w:tcPr>
          <w:p w:rsidR="00505632" w:rsidRDefault="00505632" w:rsidP="00AD4E52">
            <w:pPr>
              <w:pStyle w:val="CellColumn"/>
              <w:jc w:val="right"/>
            </w:pPr>
            <w:r>
              <w:rPr>
                <w:rFonts w:cs="Times New Roman"/>
              </w:rPr>
              <w:t>98,7</w:t>
            </w:r>
          </w:p>
        </w:tc>
      </w:tr>
      <w:tr w:rsidR="00505632" w:rsidTr="00AD4E52">
        <w:trPr>
          <w:jc w:val="center"/>
        </w:trPr>
        <w:tc>
          <w:tcPr>
            <w:tcW w:w="1632" w:type="dxa"/>
            <w:vAlign w:val="top"/>
          </w:tcPr>
          <w:p w:rsidR="00505632" w:rsidRDefault="00505632" w:rsidP="00AD4E52">
            <w:pPr>
              <w:pStyle w:val="CellColumn"/>
              <w:jc w:val="left"/>
            </w:pPr>
            <w:r>
              <w:rPr>
                <w:rFonts w:cs="Times New Roman"/>
              </w:rPr>
              <w:t>11015-Vrhovni sud Republike Hrvatske</w:t>
            </w:r>
          </w:p>
        </w:tc>
        <w:tc>
          <w:tcPr>
            <w:tcW w:w="2041" w:type="dxa"/>
            <w:vAlign w:val="top"/>
          </w:tcPr>
          <w:p w:rsidR="00505632" w:rsidRDefault="00505632" w:rsidP="00AD4E52">
            <w:pPr>
              <w:pStyle w:val="CellColumn"/>
              <w:jc w:val="right"/>
            </w:pPr>
            <w:r>
              <w:rPr>
                <w:rFonts w:cs="Times New Roman"/>
              </w:rPr>
              <w:t>29.659.721</w:t>
            </w:r>
          </w:p>
        </w:tc>
        <w:tc>
          <w:tcPr>
            <w:tcW w:w="2041" w:type="dxa"/>
            <w:vAlign w:val="top"/>
          </w:tcPr>
          <w:p w:rsidR="00505632" w:rsidRDefault="00505632" w:rsidP="00AD4E52">
            <w:pPr>
              <w:pStyle w:val="CellColumn"/>
              <w:jc w:val="right"/>
            </w:pPr>
            <w:r>
              <w:rPr>
                <w:rFonts w:cs="Times New Roman"/>
              </w:rPr>
              <w:t>27.373.354</w:t>
            </w:r>
          </w:p>
        </w:tc>
        <w:tc>
          <w:tcPr>
            <w:tcW w:w="2041" w:type="dxa"/>
            <w:vAlign w:val="top"/>
          </w:tcPr>
          <w:p w:rsidR="00505632" w:rsidRDefault="00505632" w:rsidP="00AD4E52">
            <w:pPr>
              <w:pStyle w:val="CellColumn"/>
              <w:jc w:val="right"/>
            </w:pPr>
            <w:r>
              <w:rPr>
                <w:rFonts w:cs="Times New Roman"/>
              </w:rPr>
              <w:t>27.289.138</w:t>
            </w:r>
          </w:p>
        </w:tc>
        <w:tc>
          <w:tcPr>
            <w:tcW w:w="1224" w:type="dxa"/>
            <w:vAlign w:val="top"/>
          </w:tcPr>
          <w:p w:rsidR="00505632" w:rsidRDefault="00505632" w:rsidP="00AD4E52">
            <w:pPr>
              <w:pStyle w:val="CellColumn"/>
              <w:jc w:val="right"/>
            </w:pPr>
            <w:r>
              <w:rPr>
                <w:rFonts w:cs="Times New Roman"/>
              </w:rPr>
              <w:t>99,7</w:t>
            </w:r>
          </w:p>
        </w:tc>
        <w:tc>
          <w:tcPr>
            <w:tcW w:w="1224" w:type="dxa"/>
            <w:vAlign w:val="top"/>
          </w:tcPr>
          <w:p w:rsidR="00505632" w:rsidRDefault="00505632" w:rsidP="00AD4E52">
            <w:pPr>
              <w:pStyle w:val="CellColumn"/>
              <w:jc w:val="right"/>
            </w:pPr>
            <w:r>
              <w:rPr>
                <w:rFonts w:cs="Times New Roman"/>
              </w:rPr>
              <w:t>92,0</w:t>
            </w:r>
          </w:p>
        </w:tc>
      </w:tr>
      <w:tr w:rsidR="00505632" w:rsidTr="00AD4E52">
        <w:trPr>
          <w:jc w:val="center"/>
        </w:trPr>
        <w:tc>
          <w:tcPr>
            <w:tcW w:w="1632" w:type="dxa"/>
            <w:vAlign w:val="top"/>
          </w:tcPr>
          <w:p w:rsidR="00505632" w:rsidRDefault="00505632" w:rsidP="00AD4E52">
            <w:pPr>
              <w:pStyle w:val="CellColumn"/>
              <w:jc w:val="left"/>
            </w:pPr>
            <w:r>
              <w:rPr>
                <w:rFonts w:cs="Times New Roman"/>
              </w:rPr>
              <w:t>11020-Visoki trgovački sud Republike Hrvatske</w:t>
            </w:r>
          </w:p>
        </w:tc>
        <w:tc>
          <w:tcPr>
            <w:tcW w:w="2041" w:type="dxa"/>
            <w:vAlign w:val="top"/>
          </w:tcPr>
          <w:p w:rsidR="00505632" w:rsidRDefault="00505632" w:rsidP="00AD4E52">
            <w:pPr>
              <w:pStyle w:val="CellColumn"/>
              <w:jc w:val="right"/>
            </w:pPr>
            <w:r>
              <w:rPr>
                <w:rFonts w:cs="Times New Roman"/>
              </w:rPr>
              <w:t>18.349.351</w:t>
            </w:r>
          </w:p>
        </w:tc>
        <w:tc>
          <w:tcPr>
            <w:tcW w:w="2041" w:type="dxa"/>
            <w:vAlign w:val="top"/>
          </w:tcPr>
          <w:p w:rsidR="00505632" w:rsidRDefault="00505632" w:rsidP="00AD4E52">
            <w:pPr>
              <w:pStyle w:val="CellColumn"/>
              <w:jc w:val="right"/>
            </w:pPr>
            <w:r>
              <w:rPr>
                <w:rFonts w:cs="Times New Roman"/>
              </w:rPr>
              <w:t>20.648.532</w:t>
            </w:r>
          </w:p>
        </w:tc>
        <w:tc>
          <w:tcPr>
            <w:tcW w:w="2041" w:type="dxa"/>
            <w:vAlign w:val="top"/>
          </w:tcPr>
          <w:p w:rsidR="00505632" w:rsidRDefault="00505632" w:rsidP="00AD4E52">
            <w:pPr>
              <w:pStyle w:val="CellColumn"/>
              <w:jc w:val="right"/>
            </w:pPr>
            <w:r>
              <w:rPr>
                <w:rFonts w:cs="Times New Roman"/>
              </w:rPr>
              <w:t>20.584.591</w:t>
            </w:r>
          </w:p>
        </w:tc>
        <w:tc>
          <w:tcPr>
            <w:tcW w:w="1224" w:type="dxa"/>
            <w:vAlign w:val="top"/>
          </w:tcPr>
          <w:p w:rsidR="00505632" w:rsidRDefault="00505632" w:rsidP="00AD4E52">
            <w:pPr>
              <w:pStyle w:val="CellColumn"/>
              <w:jc w:val="right"/>
            </w:pPr>
            <w:r>
              <w:rPr>
                <w:rFonts w:cs="Times New Roman"/>
              </w:rPr>
              <w:t>99,7</w:t>
            </w:r>
          </w:p>
        </w:tc>
        <w:tc>
          <w:tcPr>
            <w:tcW w:w="1224" w:type="dxa"/>
            <w:vAlign w:val="top"/>
          </w:tcPr>
          <w:p w:rsidR="00505632" w:rsidRDefault="00505632" w:rsidP="00AD4E52">
            <w:pPr>
              <w:pStyle w:val="CellColumn"/>
              <w:jc w:val="right"/>
            </w:pPr>
            <w:r>
              <w:rPr>
                <w:rFonts w:cs="Times New Roman"/>
              </w:rPr>
              <w:t>112,2</w:t>
            </w:r>
          </w:p>
        </w:tc>
      </w:tr>
      <w:tr w:rsidR="00505632" w:rsidTr="00AD4E52">
        <w:trPr>
          <w:jc w:val="center"/>
        </w:trPr>
        <w:tc>
          <w:tcPr>
            <w:tcW w:w="1632" w:type="dxa"/>
            <w:vAlign w:val="top"/>
          </w:tcPr>
          <w:p w:rsidR="00505632" w:rsidRDefault="00505632" w:rsidP="00AD4E52">
            <w:pPr>
              <w:pStyle w:val="CellColumn"/>
              <w:jc w:val="left"/>
            </w:pPr>
            <w:r>
              <w:rPr>
                <w:rFonts w:cs="Times New Roman"/>
              </w:rPr>
              <w:t>11025-Visoki upravni sud Republike Hrvatske</w:t>
            </w:r>
          </w:p>
        </w:tc>
        <w:tc>
          <w:tcPr>
            <w:tcW w:w="2041" w:type="dxa"/>
            <w:vAlign w:val="top"/>
          </w:tcPr>
          <w:p w:rsidR="00505632" w:rsidRDefault="00505632" w:rsidP="00AD4E52">
            <w:pPr>
              <w:pStyle w:val="CellColumn"/>
              <w:jc w:val="right"/>
            </w:pPr>
            <w:r>
              <w:rPr>
                <w:rFonts w:cs="Times New Roman"/>
              </w:rPr>
              <w:t>16.783.100</w:t>
            </w:r>
          </w:p>
        </w:tc>
        <w:tc>
          <w:tcPr>
            <w:tcW w:w="2041" w:type="dxa"/>
            <w:vAlign w:val="top"/>
          </w:tcPr>
          <w:p w:rsidR="00505632" w:rsidRDefault="00505632" w:rsidP="00AD4E52">
            <w:pPr>
              <w:pStyle w:val="CellColumn"/>
              <w:jc w:val="right"/>
            </w:pPr>
            <w:r>
              <w:rPr>
                <w:rFonts w:cs="Times New Roman"/>
              </w:rPr>
              <w:t>16.955.805</w:t>
            </w:r>
          </w:p>
        </w:tc>
        <w:tc>
          <w:tcPr>
            <w:tcW w:w="2041" w:type="dxa"/>
            <w:vAlign w:val="top"/>
          </w:tcPr>
          <w:p w:rsidR="00505632" w:rsidRDefault="00505632" w:rsidP="00AD4E52">
            <w:pPr>
              <w:pStyle w:val="CellColumn"/>
              <w:jc w:val="right"/>
            </w:pPr>
            <w:r>
              <w:rPr>
                <w:rFonts w:cs="Times New Roman"/>
              </w:rPr>
              <w:t>16.906.675</w:t>
            </w:r>
          </w:p>
        </w:tc>
        <w:tc>
          <w:tcPr>
            <w:tcW w:w="1224" w:type="dxa"/>
            <w:vAlign w:val="top"/>
          </w:tcPr>
          <w:p w:rsidR="00505632" w:rsidRDefault="00505632" w:rsidP="00AD4E52">
            <w:pPr>
              <w:pStyle w:val="CellColumn"/>
              <w:jc w:val="right"/>
            </w:pPr>
            <w:r>
              <w:rPr>
                <w:rFonts w:cs="Times New Roman"/>
              </w:rPr>
              <w:t>99,7</w:t>
            </w:r>
          </w:p>
        </w:tc>
        <w:tc>
          <w:tcPr>
            <w:tcW w:w="1224" w:type="dxa"/>
            <w:vAlign w:val="top"/>
          </w:tcPr>
          <w:p w:rsidR="00505632" w:rsidRDefault="00505632" w:rsidP="00AD4E52">
            <w:pPr>
              <w:pStyle w:val="CellColumn"/>
              <w:jc w:val="right"/>
            </w:pPr>
            <w:r>
              <w:rPr>
                <w:rFonts w:cs="Times New Roman"/>
              </w:rPr>
              <w:t>100,7</w:t>
            </w:r>
          </w:p>
        </w:tc>
      </w:tr>
      <w:tr w:rsidR="00505632" w:rsidTr="00AD4E52">
        <w:trPr>
          <w:jc w:val="center"/>
        </w:trPr>
        <w:tc>
          <w:tcPr>
            <w:tcW w:w="1632" w:type="dxa"/>
            <w:vAlign w:val="top"/>
          </w:tcPr>
          <w:p w:rsidR="00505632" w:rsidRDefault="00505632" w:rsidP="00AD4E52">
            <w:pPr>
              <w:pStyle w:val="CellColumn"/>
              <w:jc w:val="left"/>
            </w:pPr>
            <w:r>
              <w:rPr>
                <w:rFonts w:cs="Times New Roman"/>
              </w:rPr>
              <w:t>11027-Upravni sudovi</w:t>
            </w:r>
          </w:p>
        </w:tc>
        <w:tc>
          <w:tcPr>
            <w:tcW w:w="2041" w:type="dxa"/>
            <w:vAlign w:val="top"/>
          </w:tcPr>
          <w:p w:rsidR="00505632" w:rsidRDefault="00505632" w:rsidP="00AD4E52">
            <w:pPr>
              <w:pStyle w:val="CellColumn"/>
              <w:jc w:val="right"/>
            </w:pPr>
            <w:r>
              <w:rPr>
                <w:rFonts w:cs="Times New Roman"/>
              </w:rPr>
              <w:t>17.098.835</w:t>
            </w:r>
          </w:p>
        </w:tc>
        <w:tc>
          <w:tcPr>
            <w:tcW w:w="2041" w:type="dxa"/>
            <w:vAlign w:val="top"/>
          </w:tcPr>
          <w:p w:rsidR="00505632" w:rsidRDefault="00505632" w:rsidP="00AD4E52">
            <w:pPr>
              <w:pStyle w:val="CellColumn"/>
              <w:jc w:val="right"/>
            </w:pPr>
            <w:r>
              <w:rPr>
                <w:rFonts w:cs="Times New Roman"/>
              </w:rPr>
              <w:t>18.476.394</w:t>
            </w:r>
          </w:p>
        </w:tc>
        <w:tc>
          <w:tcPr>
            <w:tcW w:w="2041" w:type="dxa"/>
            <w:vAlign w:val="top"/>
          </w:tcPr>
          <w:p w:rsidR="00505632" w:rsidRDefault="00505632" w:rsidP="00AD4E52">
            <w:pPr>
              <w:pStyle w:val="CellColumn"/>
              <w:jc w:val="right"/>
            </w:pPr>
            <w:r>
              <w:rPr>
                <w:rFonts w:cs="Times New Roman"/>
              </w:rPr>
              <w:t>18.429.341</w:t>
            </w:r>
          </w:p>
        </w:tc>
        <w:tc>
          <w:tcPr>
            <w:tcW w:w="1224" w:type="dxa"/>
            <w:vAlign w:val="top"/>
          </w:tcPr>
          <w:p w:rsidR="00505632" w:rsidRDefault="00505632" w:rsidP="00AD4E52">
            <w:pPr>
              <w:pStyle w:val="CellColumn"/>
              <w:jc w:val="right"/>
            </w:pPr>
            <w:r>
              <w:rPr>
                <w:rFonts w:cs="Times New Roman"/>
              </w:rPr>
              <w:t>99,7</w:t>
            </w:r>
          </w:p>
        </w:tc>
        <w:tc>
          <w:tcPr>
            <w:tcW w:w="1224" w:type="dxa"/>
            <w:vAlign w:val="top"/>
          </w:tcPr>
          <w:p w:rsidR="00505632" w:rsidRDefault="00505632" w:rsidP="00AD4E52">
            <w:pPr>
              <w:pStyle w:val="CellColumn"/>
              <w:jc w:val="right"/>
            </w:pPr>
            <w:r>
              <w:rPr>
                <w:rFonts w:cs="Times New Roman"/>
              </w:rPr>
              <w:t>107,8</w:t>
            </w:r>
          </w:p>
        </w:tc>
      </w:tr>
      <w:tr w:rsidR="00505632" w:rsidTr="00AD4E52">
        <w:trPr>
          <w:jc w:val="center"/>
        </w:trPr>
        <w:tc>
          <w:tcPr>
            <w:tcW w:w="1632" w:type="dxa"/>
            <w:vAlign w:val="top"/>
          </w:tcPr>
          <w:p w:rsidR="00505632" w:rsidRDefault="00505632" w:rsidP="00AD4E52">
            <w:pPr>
              <w:pStyle w:val="CellColumn"/>
              <w:jc w:val="left"/>
            </w:pPr>
            <w:r>
              <w:rPr>
                <w:rFonts w:cs="Times New Roman"/>
              </w:rPr>
              <w:t>11030-Državno odvjetništvo Republike Hrvatske</w:t>
            </w:r>
          </w:p>
        </w:tc>
        <w:tc>
          <w:tcPr>
            <w:tcW w:w="2041" w:type="dxa"/>
            <w:vAlign w:val="top"/>
          </w:tcPr>
          <w:p w:rsidR="00505632" w:rsidRDefault="00505632" w:rsidP="00AD4E52">
            <w:pPr>
              <w:pStyle w:val="CellColumn"/>
              <w:jc w:val="right"/>
            </w:pPr>
            <w:r>
              <w:rPr>
                <w:rFonts w:cs="Times New Roman"/>
              </w:rPr>
              <w:t>47.099.007</w:t>
            </w:r>
          </w:p>
        </w:tc>
        <w:tc>
          <w:tcPr>
            <w:tcW w:w="2041" w:type="dxa"/>
            <w:vAlign w:val="top"/>
          </w:tcPr>
          <w:p w:rsidR="00505632" w:rsidRDefault="00505632" w:rsidP="00AD4E52">
            <w:pPr>
              <w:pStyle w:val="CellColumn"/>
              <w:jc w:val="right"/>
            </w:pPr>
            <w:r>
              <w:rPr>
                <w:rFonts w:cs="Times New Roman"/>
              </w:rPr>
              <w:t>56.062.750</w:t>
            </w:r>
          </w:p>
        </w:tc>
        <w:tc>
          <w:tcPr>
            <w:tcW w:w="2041" w:type="dxa"/>
            <w:vAlign w:val="top"/>
          </w:tcPr>
          <w:p w:rsidR="00505632" w:rsidRDefault="00505632" w:rsidP="00AD4E52">
            <w:pPr>
              <w:pStyle w:val="CellColumn"/>
              <w:jc w:val="right"/>
            </w:pPr>
            <w:r>
              <w:rPr>
                <w:rFonts w:cs="Times New Roman"/>
              </w:rPr>
              <w:t>55.986.833</w:t>
            </w:r>
          </w:p>
        </w:tc>
        <w:tc>
          <w:tcPr>
            <w:tcW w:w="1224" w:type="dxa"/>
            <w:vAlign w:val="top"/>
          </w:tcPr>
          <w:p w:rsidR="00505632" w:rsidRDefault="00505632" w:rsidP="00AD4E52">
            <w:pPr>
              <w:pStyle w:val="CellColumn"/>
              <w:jc w:val="right"/>
            </w:pPr>
            <w:r>
              <w:rPr>
                <w:rFonts w:cs="Times New Roman"/>
              </w:rPr>
              <w:t>99,9</w:t>
            </w:r>
          </w:p>
        </w:tc>
        <w:tc>
          <w:tcPr>
            <w:tcW w:w="1224" w:type="dxa"/>
            <w:vAlign w:val="top"/>
          </w:tcPr>
          <w:p w:rsidR="00505632" w:rsidRDefault="00505632" w:rsidP="00AD4E52">
            <w:pPr>
              <w:pStyle w:val="CellColumn"/>
              <w:jc w:val="right"/>
            </w:pPr>
            <w:r>
              <w:rPr>
                <w:rFonts w:cs="Times New Roman"/>
              </w:rPr>
              <w:t>118,9</w:t>
            </w:r>
          </w:p>
        </w:tc>
      </w:tr>
      <w:tr w:rsidR="00505632" w:rsidTr="00AD4E52">
        <w:trPr>
          <w:jc w:val="center"/>
        </w:trPr>
        <w:tc>
          <w:tcPr>
            <w:tcW w:w="1632" w:type="dxa"/>
            <w:vAlign w:val="top"/>
          </w:tcPr>
          <w:p w:rsidR="00505632" w:rsidRDefault="00505632" w:rsidP="00AD4E52">
            <w:pPr>
              <w:pStyle w:val="CellColumn"/>
              <w:jc w:val="left"/>
            </w:pPr>
            <w:r>
              <w:rPr>
                <w:rFonts w:cs="Times New Roman"/>
              </w:rPr>
              <w:t>11035-Državnoodvjetničko vijeće</w:t>
            </w:r>
          </w:p>
        </w:tc>
        <w:tc>
          <w:tcPr>
            <w:tcW w:w="2041" w:type="dxa"/>
            <w:vAlign w:val="top"/>
          </w:tcPr>
          <w:p w:rsidR="00505632" w:rsidRDefault="00505632" w:rsidP="00AD4E52">
            <w:pPr>
              <w:pStyle w:val="CellColumn"/>
              <w:jc w:val="right"/>
            </w:pPr>
            <w:r>
              <w:rPr>
                <w:rFonts w:cs="Times New Roman"/>
              </w:rPr>
              <w:t>1.021.000</w:t>
            </w:r>
          </w:p>
        </w:tc>
        <w:tc>
          <w:tcPr>
            <w:tcW w:w="2041" w:type="dxa"/>
            <w:vAlign w:val="top"/>
          </w:tcPr>
          <w:p w:rsidR="00505632" w:rsidRDefault="00505632" w:rsidP="00AD4E52">
            <w:pPr>
              <w:pStyle w:val="CellColumn"/>
              <w:jc w:val="right"/>
            </w:pPr>
            <w:r>
              <w:rPr>
                <w:rFonts w:cs="Times New Roman"/>
              </w:rPr>
              <w:t>926.000</w:t>
            </w:r>
          </w:p>
        </w:tc>
        <w:tc>
          <w:tcPr>
            <w:tcW w:w="2041" w:type="dxa"/>
            <w:vAlign w:val="top"/>
          </w:tcPr>
          <w:p w:rsidR="00505632" w:rsidRDefault="00505632" w:rsidP="00AD4E52">
            <w:pPr>
              <w:pStyle w:val="CellColumn"/>
              <w:jc w:val="right"/>
            </w:pPr>
            <w:r>
              <w:rPr>
                <w:rFonts w:cs="Times New Roman"/>
              </w:rPr>
              <w:t>902.000</w:t>
            </w:r>
          </w:p>
        </w:tc>
        <w:tc>
          <w:tcPr>
            <w:tcW w:w="1224" w:type="dxa"/>
            <w:vAlign w:val="top"/>
          </w:tcPr>
          <w:p w:rsidR="00505632" w:rsidRDefault="00505632" w:rsidP="00AD4E52">
            <w:pPr>
              <w:pStyle w:val="CellColumn"/>
              <w:jc w:val="right"/>
            </w:pPr>
            <w:r>
              <w:rPr>
                <w:rFonts w:cs="Times New Roman"/>
              </w:rPr>
              <w:t>97,4</w:t>
            </w:r>
          </w:p>
        </w:tc>
        <w:tc>
          <w:tcPr>
            <w:tcW w:w="1224" w:type="dxa"/>
            <w:vAlign w:val="top"/>
          </w:tcPr>
          <w:p w:rsidR="00505632" w:rsidRDefault="00505632" w:rsidP="00AD4E52">
            <w:pPr>
              <w:pStyle w:val="CellColumn"/>
              <w:jc w:val="right"/>
            </w:pPr>
            <w:r>
              <w:rPr>
                <w:rFonts w:cs="Times New Roman"/>
              </w:rPr>
              <w:t>88,3</w:t>
            </w:r>
          </w:p>
        </w:tc>
      </w:tr>
      <w:tr w:rsidR="00505632" w:rsidTr="00AD4E52">
        <w:trPr>
          <w:jc w:val="center"/>
        </w:trPr>
        <w:tc>
          <w:tcPr>
            <w:tcW w:w="1632" w:type="dxa"/>
            <w:vAlign w:val="top"/>
          </w:tcPr>
          <w:p w:rsidR="00505632" w:rsidRDefault="00505632" w:rsidP="00AD4E52">
            <w:pPr>
              <w:pStyle w:val="CellColumn"/>
              <w:jc w:val="left"/>
            </w:pPr>
            <w:r>
              <w:rPr>
                <w:rFonts w:cs="Times New Roman"/>
              </w:rPr>
              <w:t>11036-Državno sudbeno vijeće</w:t>
            </w:r>
          </w:p>
        </w:tc>
        <w:tc>
          <w:tcPr>
            <w:tcW w:w="2041" w:type="dxa"/>
            <w:vAlign w:val="top"/>
          </w:tcPr>
          <w:p w:rsidR="00505632" w:rsidRDefault="00505632" w:rsidP="00AD4E52">
            <w:pPr>
              <w:pStyle w:val="CellColumn"/>
              <w:jc w:val="right"/>
            </w:pPr>
            <w:r>
              <w:rPr>
                <w:rFonts w:cs="Times New Roman"/>
              </w:rPr>
              <w:t>1.710.282</w:t>
            </w:r>
          </w:p>
        </w:tc>
        <w:tc>
          <w:tcPr>
            <w:tcW w:w="2041" w:type="dxa"/>
            <w:vAlign w:val="top"/>
          </w:tcPr>
          <w:p w:rsidR="00505632" w:rsidRDefault="00505632" w:rsidP="00AD4E52">
            <w:pPr>
              <w:pStyle w:val="CellColumn"/>
              <w:jc w:val="right"/>
            </w:pPr>
            <w:r>
              <w:rPr>
                <w:rFonts w:cs="Times New Roman"/>
              </w:rPr>
              <w:t>1.716.350</w:t>
            </w:r>
          </w:p>
        </w:tc>
        <w:tc>
          <w:tcPr>
            <w:tcW w:w="2041" w:type="dxa"/>
            <w:vAlign w:val="top"/>
          </w:tcPr>
          <w:p w:rsidR="00505632" w:rsidRDefault="00505632" w:rsidP="00AD4E52">
            <w:pPr>
              <w:pStyle w:val="CellColumn"/>
              <w:jc w:val="right"/>
            </w:pPr>
            <w:r>
              <w:rPr>
                <w:rFonts w:cs="Times New Roman"/>
              </w:rPr>
              <w:t>1.690.026</w:t>
            </w:r>
          </w:p>
        </w:tc>
        <w:tc>
          <w:tcPr>
            <w:tcW w:w="1224" w:type="dxa"/>
            <w:vAlign w:val="top"/>
          </w:tcPr>
          <w:p w:rsidR="00505632" w:rsidRDefault="00505632" w:rsidP="00AD4E52">
            <w:pPr>
              <w:pStyle w:val="CellColumn"/>
              <w:jc w:val="right"/>
            </w:pPr>
            <w:r>
              <w:rPr>
                <w:rFonts w:cs="Times New Roman"/>
              </w:rPr>
              <w:t>98,5</w:t>
            </w:r>
          </w:p>
        </w:tc>
        <w:tc>
          <w:tcPr>
            <w:tcW w:w="1224" w:type="dxa"/>
            <w:vAlign w:val="top"/>
          </w:tcPr>
          <w:p w:rsidR="00505632" w:rsidRDefault="00505632" w:rsidP="00AD4E52">
            <w:pPr>
              <w:pStyle w:val="CellColumn"/>
              <w:jc w:val="right"/>
            </w:pPr>
            <w:r>
              <w:rPr>
                <w:rFonts w:cs="Times New Roman"/>
              </w:rPr>
              <w:t>98,8</w:t>
            </w:r>
          </w:p>
        </w:tc>
      </w:tr>
      <w:tr w:rsidR="00505632" w:rsidTr="00AD4E52">
        <w:trPr>
          <w:jc w:val="center"/>
        </w:trPr>
        <w:tc>
          <w:tcPr>
            <w:tcW w:w="1632" w:type="dxa"/>
            <w:vAlign w:val="top"/>
          </w:tcPr>
          <w:p w:rsidR="00505632" w:rsidRDefault="00505632" w:rsidP="00AD4E52">
            <w:pPr>
              <w:pStyle w:val="CellColumn"/>
              <w:jc w:val="left"/>
            </w:pPr>
            <w:r>
              <w:rPr>
                <w:rFonts w:cs="Times New Roman"/>
              </w:rPr>
              <w:t>11040-Visoki prekršajni sud Republike Hrvatske</w:t>
            </w:r>
          </w:p>
        </w:tc>
        <w:tc>
          <w:tcPr>
            <w:tcW w:w="2041" w:type="dxa"/>
            <w:vAlign w:val="top"/>
          </w:tcPr>
          <w:p w:rsidR="00505632" w:rsidRDefault="00505632" w:rsidP="00AD4E52">
            <w:pPr>
              <w:pStyle w:val="CellColumn"/>
              <w:jc w:val="right"/>
            </w:pPr>
            <w:r>
              <w:rPr>
                <w:rFonts w:cs="Times New Roman"/>
              </w:rPr>
              <w:t>21.382.675</w:t>
            </w:r>
          </w:p>
        </w:tc>
        <w:tc>
          <w:tcPr>
            <w:tcW w:w="2041" w:type="dxa"/>
            <w:vAlign w:val="top"/>
          </w:tcPr>
          <w:p w:rsidR="00505632" w:rsidRDefault="00505632" w:rsidP="00AD4E52">
            <w:pPr>
              <w:pStyle w:val="CellColumn"/>
              <w:jc w:val="right"/>
            </w:pPr>
            <w:r>
              <w:rPr>
                <w:rFonts w:cs="Times New Roman"/>
              </w:rPr>
              <w:t>20.498.422</w:t>
            </w:r>
          </w:p>
        </w:tc>
        <w:tc>
          <w:tcPr>
            <w:tcW w:w="2041" w:type="dxa"/>
            <w:vAlign w:val="top"/>
          </w:tcPr>
          <w:p w:rsidR="00505632" w:rsidRDefault="00505632" w:rsidP="00AD4E52">
            <w:pPr>
              <w:pStyle w:val="CellColumn"/>
              <w:jc w:val="right"/>
            </w:pPr>
            <w:r>
              <w:rPr>
                <w:rFonts w:cs="Times New Roman"/>
              </w:rPr>
              <w:t>20.487.357</w:t>
            </w:r>
          </w:p>
        </w:tc>
        <w:tc>
          <w:tcPr>
            <w:tcW w:w="1224" w:type="dxa"/>
            <w:vAlign w:val="top"/>
          </w:tcPr>
          <w:p w:rsidR="00505632" w:rsidRDefault="00505632" w:rsidP="00AD4E52">
            <w:pPr>
              <w:pStyle w:val="CellColumn"/>
              <w:jc w:val="right"/>
            </w:pPr>
            <w:r>
              <w:rPr>
                <w:rFonts w:cs="Times New Roman"/>
              </w:rPr>
              <w:t>99,9</w:t>
            </w:r>
          </w:p>
        </w:tc>
        <w:tc>
          <w:tcPr>
            <w:tcW w:w="1224" w:type="dxa"/>
            <w:vAlign w:val="top"/>
          </w:tcPr>
          <w:p w:rsidR="00505632" w:rsidRDefault="00505632" w:rsidP="00AD4E52">
            <w:pPr>
              <w:pStyle w:val="CellColumn"/>
              <w:jc w:val="right"/>
            </w:pPr>
            <w:r>
              <w:rPr>
                <w:rFonts w:cs="Times New Roman"/>
              </w:rPr>
              <w:t>95,8</w:t>
            </w:r>
          </w:p>
        </w:tc>
      </w:tr>
      <w:tr w:rsidR="00505632" w:rsidTr="00AD4E52">
        <w:trPr>
          <w:jc w:val="center"/>
        </w:trPr>
        <w:tc>
          <w:tcPr>
            <w:tcW w:w="1632" w:type="dxa"/>
            <w:vAlign w:val="top"/>
          </w:tcPr>
          <w:p w:rsidR="00505632" w:rsidRDefault="00505632" w:rsidP="00AD4E52">
            <w:pPr>
              <w:pStyle w:val="CellColumn"/>
              <w:jc w:val="left"/>
            </w:pPr>
            <w:r>
              <w:rPr>
                <w:rFonts w:cs="Times New Roman"/>
              </w:rPr>
              <w:t>11045-Županijski sudovi</w:t>
            </w:r>
          </w:p>
        </w:tc>
        <w:tc>
          <w:tcPr>
            <w:tcW w:w="2041" w:type="dxa"/>
            <w:vAlign w:val="top"/>
          </w:tcPr>
          <w:p w:rsidR="00505632" w:rsidRDefault="00505632" w:rsidP="00AD4E52">
            <w:pPr>
              <w:pStyle w:val="CellColumn"/>
              <w:jc w:val="right"/>
            </w:pPr>
            <w:r>
              <w:rPr>
                <w:rFonts w:cs="Times New Roman"/>
              </w:rPr>
              <w:t>246.099.811</w:t>
            </w:r>
          </w:p>
        </w:tc>
        <w:tc>
          <w:tcPr>
            <w:tcW w:w="2041" w:type="dxa"/>
            <w:vAlign w:val="top"/>
          </w:tcPr>
          <w:p w:rsidR="00505632" w:rsidRDefault="00505632" w:rsidP="00AD4E52">
            <w:pPr>
              <w:pStyle w:val="CellColumn"/>
              <w:jc w:val="right"/>
            </w:pPr>
            <w:r>
              <w:rPr>
                <w:rFonts w:cs="Times New Roman"/>
              </w:rPr>
              <w:t>247.318.011</w:t>
            </w:r>
          </w:p>
        </w:tc>
        <w:tc>
          <w:tcPr>
            <w:tcW w:w="2041" w:type="dxa"/>
            <w:vAlign w:val="top"/>
          </w:tcPr>
          <w:p w:rsidR="00505632" w:rsidRDefault="00505632" w:rsidP="00AD4E52">
            <w:pPr>
              <w:pStyle w:val="CellColumn"/>
              <w:jc w:val="right"/>
            </w:pPr>
            <w:r>
              <w:rPr>
                <w:rFonts w:cs="Times New Roman"/>
              </w:rPr>
              <w:t>247.360.668</w:t>
            </w:r>
          </w:p>
        </w:tc>
        <w:tc>
          <w:tcPr>
            <w:tcW w:w="1224" w:type="dxa"/>
            <w:vAlign w:val="top"/>
          </w:tcPr>
          <w:p w:rsidR="00505632" w:rsidRDefault="00505632" w:rsidP="00AD4E52">
            <w:pPr>
              <w:pStyle w:val="CellColumn"/>
              <w:jc w:val="right"/>
            </w:pPr>
            <w:r>
              <w:rPr>
                <w:rFonts w:cs="Times New Roman"/>
              </w:rPr>
              <w:t>100,0</w:t>
            </w:r>
          </w:p>
        </w:tc>
        <w:tc>
          <w:tcPr>
            <w:tcW w:w="1224" w:type="dxa"/>
            <w:vAlign w:val="top"/>
          </w:tcPr>
          <w:p w:rsidR="00505632" w:rsidRDefault="00505632" w:rsidP="00AD4E52">
            <w:pPr>
              <w:pStyle w:val="CellColumn"/>
              <w:jc w:val="right"/>
            </w:pPr>
            <w:r>
              <w:rPr>
                <w:rFonts w:cs="Times New Roman"/>
              </w:rPr>
              <w:t>100,5</w:t>
            </w:r>
          </w:p>
        </w:tc>
      </w:tr>
      <w:tr w:rsidR="00505632" w:rsidTr="00AD4E52">
        <w:trPr>
          <w:jc w:val="center"/>
        </w:trPr>
        <w:tc>
          <w:tcPr>
            <w:tcW w:w="1632" w:type="dxa"/>
            <w:vAlign w:val="top"/>
          </w:tcPr>
          <w:p w:rsidR="00505632" w:rsidRDefault="00505632" w:rsidP="00AD4E52">
            <w:pPr>
              <w:pStyle w:val="CellColumn"/>
              <w:jc w:val="left"/>
            </w:pPr>
            <w:r>
              <w:rPr>
                <w:rFonts w:cs="Times New Roman"/>
              </w:rPr>
              <w:t>11050-Trgovački sudovi</w:t>
            </w:r>
          </w:p>
        </w:tc>
        <w:tc>
          <w:tcPr>
            <w:tcW w:w="2041" w:type="dxa"/>
            <w:vAlign w:val="top"/>
          </w:tcPr>
          <w:p w:rsidR="00505632" w:rsidRDefault="00505632" w:rsidP="00AD4E52">
            <w:pPr>
              <w:pStyle w:val="CellColumn"/>
              <w:jc w:val="right"/>
            </w:pPr>
            <w:r>
              <w:rPr>
                <w:rFonts w:cs="Times New Roman"/>
              </w:rPr>
              <w:t>79.310.659</w:t>
            </w:r>
          </w:p>
        </w:tc>
        <w:tc>
          <w:tcPr>
            <w:tcW w:w="2041" w:type="dxa"/>
            <w:vAlign w:val="top"/>
          </w:tcPr>
          <w:p w:rsidR="00505632" w:rsidRDefault="00505632" w:rsidP="00AD4E52">
            <w:pPr>
              <w:pStyle w:val="CellColumn"/>
              <w:jc w:val="right"/>
            </w:pPr>
            <w:r>
              <w:rPr>
                <w:rFonts w:cs="Times New Roman"/>
              </w:rPr>
              <w:t>81.054.716</w:t>
            </w:r>
          </w:p>
        </w:tc>
        <w:tc>
          <w:tcPr>
            <w:tcW w:w="2041" w:type="dxa"/>
            <w:vAlign w:val="top"/>
          </w:tcPr>
          <w:p w:rsidR="00505632" w:rsidRDefault="00505632" w:rsidP="00AD4E52">
            <w:pPr>
              <w:pStyle w:val="CellColumn"/>
              <w:jc w:val="right"/>
            </w:pPr>
            <w:r>
              <w:rPr>
                <w:rFonts w:cs="Times New Roman"/>
              </w:rPr>
              <w:t>81.051.768</w:t>
            </w:r>
          </w:p>
        </w:tc>
        <w:tc>
          <w:tcPr>
            <w:tcW w:w="1224" w:type="dxa"/>
            <w:vAlign w:val="top"/>
          </w:tcPr>
          <w:p w:rsidR="00505632" w:rsidRDefault="00505632" w:rsidP="00AD4E52">
            <w:pPr>
              <w:pStyle w:val="CellColumn"/>
              <w:jc w:val="right"/>
            </w:pPr>
            <w:r>
              <w:rPr>
                <w:rFonts w:cs="Times New Roman"/>
              </w:rPr>
              <w:t>100,0</w:t>
            </w:r>
          </w:p>
        </w:tc>
        <w:tc>
          <w:tcPr>
            <w:tcW w:w="1224" w:type="dxa"/>
            <w:vAlign w:val="top"/>
          </w:tcPr>
          <w:p w:rsidR="00505632" w:rsidRDefault="00505632" w:rsidP="00AD4E52">
            <w:pPr>
              <w:pStyle w:val="CellColumn"/>
              <w:jc w:val="right"/>
            </w:pPr>
            <w:r>
              <w:rPr>
                <w:rFonts w:cs="Times New Roman"/>
              </w:rPr>
              <w:t>102,2</w:t>
            </w:r>
          </w:p>
        </w:tc>
      </w:tr>
      <w:tr w:rsidR="00505632" w:rsidTr="00AD4E52">
        <w:trPr>
          <w:jc w:val="center"/>
        </w:trPr>
        <w:tc>
          <w:tcPr>
            <w:tcW w:w="1632" w:type="dxa"/>
            <w:vAlign w:val="top"/>
          </w:tcPr>
          <w:p w:rsidR="00505632" w:rsidRDefault="00505632" w:rsidP="00AD4E52">
            <w:pPr>
              <w:pStyle w:val="CellColumn"/>
              <w:jc w:val="left"/>
            </w:pPr>
            <w:r>
              <w:rPr>
                <w:rFonts w:cs="Times New Roman"/>
              </w:rPr>
              <w:t>11055-Županijska državna odvjetništva</w:t>
            </w:r>
          </w:p>
        </w:tc>
        <w:tc>
          <w:tcPr>
            <w:tcW w:w="2041" w:type="dxa"/>
            <w:vAlign w:val="top"/>
          </w:tcPr>
          <w:p w:rsidR="00505632" w:rsidRDefault="00505632" w:rsidP="00AD4E52">
            <w:pPr>
              <w:pStyle w:val="CellColumn"/>
              <w:jc w:val="right"/>
            </w:pPr>
            <w:r>
              <w:rPr>
                <w:rFonts w:cs="Times New Roman"/>
              </w:rPr>
              <w:t>81.496.286</w:t>
            </w:r>
          </w:p>
        </w:tc>
        <w:tc>
          <w:tcPr>
            <w:tcW w:w="2041" w:type="dxa"/>
            <w:vAlign w:val="top"/>
          </w:tcPr>
          <w:p w:rsidR="00505632" w:rsidRDefault="00505632" w:rsidP="00AD4E52">
            <w:pPr>
              <w:pStyle w:val="CellColumn"/>
              <w:jc w:val="right"/>
            </w:pPr>
            <w:r>
              <w:rPr>
                <w:rFonts w:cs="Times New Roman"/>
              </w:rPr>
              <w:t>90.397.267</w:t>
            </w:r>
          </w:p>
        </w:tc>
        <w:tc>
          <w:tcPr>
            <w:tcW w:w="2041" w:type="dxa"/>
            <w:vAlign w:val="top"/>
          </w:tcPr>
          <w:p w:rsidR="00505632" w:rsidRDefault="00505632" w:rsidP="00AD4E52">
            <w:pPr>
              <w:pStyle w:val="CellColumn"/>
              <w:jc w:val="right"/>
            </w:pPr>
            <w:r>
              <w:rPr>
                <w:rFonts w:cs="Times New Roman"/>
              </w:rPr>
              <w:t>90.254.294</w:t>
            </w:r>
          </w:p>
        </w:tc>
        <w:tc>
          <w:tcPr>
            <w:tcW w:w="1224" w:type="dxa"/>
            <w:vAlign w:val="top"/>
          </w:tcPr>
          <w:p w:rsidR="00505632" w:rsidRDefault="00505632" w:rsidP="00AD4E52">
            <w:pPr>
              <w:pStyle w:val="CellColumn"/>
              <w:jc w:val="right"/>
            </w:pPr>
            <w:r>
              <w:rPr>
                <w:rFonts w:cs="Times New Roman"/>
              </w:rPr>
              <w:t>99,8</w:t>
            </w:r>
          </w:p>
        </w:tc>
        <w:tc>
          <w:tcPr>
            <w:tcW w:w="1224" w:type="dxa"/>
            <w:vAlign w:val="top"/>
          </w:tcPr>
          <w:p w:rsidR="00505632" w:rsidRDefault="00505632" w:rsidP="00AD4E52">
            <w:pPr>
              <w:pStyle w:val="CellColumn"/>
              <w:jc w:val="right"/>
            </w:pPr>
            <w:r>
              <w:rPr>
                <w:rFonts w:cs="Times New Roman"/>
              </w:rPr>
              <w:t>110,7</w:t>
            </w:r>
          </w:p>
        </w:tc>
      </w:tr>
      <w:tr w:rsidR="00505632" w:rsidTr="00AD4E52">
        <w:trPr>
          <w:jc w:val="center"/>
        </w:trPr>
        <w:tc>
          <w:tcPr>
            <w:tcW w:w="1632" w:type="dxa"/>
            <w:vAlign w:val="top"/>
          </w:tcPr>
          <w:p w:rsidR="00505632" w:rsidRDefault="00505632" w:rsidP="00AD4E52">
            <w:pPr>
              <w:pStyle w:val="CellColumn"/>
              <w:jc w:val="left"/>
            </w:pPr>
            <w:r>
              <w:rPr>
                <w:rFonts w:cs="Times New Roman"/>
              </w:rPr>
              <w:t>11065-Općinski sudovi</w:t>
            </w:r>
          </w:p>
        </w:tc>
        <w:tc>
          <w:tcPr>
            <w:tcW w:w="2041" w:type="dxa"/>
            <w:vAlign w:val="top"/>
          </w:tcPr>
          <w:p w:rsidR="00505632" w:rsidRDefault="00505632" w:rsidP="00AD4E52">
            <w:pPr>
              <w:pStyle w:val="CellColumn"/>
              <w:jc w:val="right"/>
            </w:pPr>
            <w:r>
              <w:rPr>
                <w:rFonts w:cs="Times New Roman"/>
              </w:rPr>
              <w:t>601.191.221</w:t>
            </w:r>
          </w:p>
        </w:tc>
        <w:tc>
          <w:tcPr>
            <w:tcW w:w="2041" w:type="dxa"/>
            <w:vAlign w:val="top"/>
          </w:tcPr>
          <w:p w:rsidR="00505632" w:rsidRDefault="00505632" w:rsidP="00AD4E52">
            <w:pPr>
              <w:pStyle w:val="CellColumn"/>
              <w:jc w:val="right"/>
            </w:pPr>
            <w:r>
              <w:rPr>
                <w:rFonts w:cs="Times New Roman"/>
              </w:rPr>
              <w:t>631.087.690</w:t>
            </w:r>
          </w:p>
        </w:tc>
        <w:tc>
          <w:tcPr>
            <w:tcW w:w="2041" w:type="dxa"/>
            <w:vAlign w:val="top"/>
          </w:tcPr>
          <w:p w:rsidR="00505632" w:rsidRDefault="00505632" w:rsidP="00AD4E52">
            <w:pPr>
              <w:pStyle w:val="CellColumn"/>
              <w:jc w:val="right"/>
            </w:pPr>
            <w:r>
              <w:rPr>
                <w:rFonts w:cs="Times New Roman"/>
              </w:rPr>
              <w:t>631.939.208</w:t>
            </w:r>
          </w:p>
        </w:tc>
        <w:tc>
          <w:tcPr>
            <w:tcW w:w="1224" w:type="dxa"/>
            <w:vAlign w:val="top"/>
          </w:tcPr>
          <w:p w:rsidR="00505632" w:rsidRDefault="00505632" w:rsidP="00AD4E52">
            <w:pPr>
              <w:pStyle w:val="CellColumn"/>
              <w:jc w:val="right"/>
            </w:pPr>
            <w:r>
              <w:rPr>
                <w:rFonts w:cs="Times New Roman"/>
              </w:rPr>
              <w:t>100,1</w:t>
            </w:r>
          </w:p>
        </w:tc>
        <w:tc>
          <w:tcPr>
            <w:tcW w:w="1224" w:type="dxa"/>
            <w:vAlign w:val="top"/>
          </w:tcPr>
          <w:p w:rsidR="00505632" w:rsidRDefault="00505632" w:rsidP="00AD4E52">
            <w:pPr>
              <w:pStyle w:val="CellColumn"/>
              <w:jc w:val="right"/>
            </w:pPr>
            <w:r>
              <w:rPr>
                <w:rFonts w:cs="Times New Roman"/>
              </w:rPr>
              <w:t>105,1</w:t>
            </w:r>
          </w:p>
        </w:tc>
      </w:tr>
      <w:tr w:rsidR="00505632" w:rsidTr="00AD4E52">
        <w:trPr>
          <w:jc w:val="center"/>
        </w:trPr>
        <w:tc>
          <w:tcPr>
            <w:tcW w:w="1632" w:type="dxa"/>
            <w:vAlign w:val="top"/>
          </w:tcPr>
          <w:p w:rsidR="00505632" w:rsidRDefault="00505632" w:rsidP="00AD4E52">
            <w:pPr>
              <w:pStyle w:val="CellColumn"/>
              <w:jc w:val="left"/>
            </w:pPr>
            <w:r>
              <w:rPr>
                <w:rFonts w:cs="Times New Roman"/>
              </w:rPr>
              <w:t>11070-Općinska državna odvjetništva</w:t>
            </w:r>
          </w:p>
        </w:tc>
        <w:tc>
          <w:tcPr>
            <w:tcW w:w="2041" w:type="dxa"/>
            <w:vAlign w:val="top"/>
          </w:tcPr>
          <w:p w:rsidR="00505632" w:rsidRDefault="00505632" w:rsidP="00AD4E52">
            <w:pPr>
              <w:pStyle w:val="CellColumn"/>
              <w:jc w:val="right"/>
            </w:pPr>
            <w:r>
              <w:rPr>
                <w:rFonts w:cs="Times New Roman"/>
              </w:rPr>
              <w:t>154.533.586</w:t>
            </w:r>
          </w:p>
        </w:tc>
        <w:tc>
          <w:tcPr>
            <w:tcW w:w="2041" w:type="dxa"/>
            <w:vAlign w:val="top"/>
          </w:tcPr>
          <w:p w:rsidR="00505632" w:rsidRDefault="00505632" w:rsidP="00AD4E52">
            <w:pPr>
              <w:pStyle w:val="CellColumn"/>
              <w:jc w:val="right"/>
            </w:pPr>
            <w:r>
              <w:rPr>
                <w:rFonts w:cs="Times New Roman"/>
              </w:rPr>
              <w:t>173.892.221</w:t>
            </w:r>
          </w:p>
        </w:tc>
        <w:tc>
          <w:tcPr>
            <w:tcW w:w="2041" w:type="dxa"/>
            <w:vAlign w:val="top"/>
          </w:tcPr>
          <w:p w:rsidR="00505632" w:rsidRDefault="00505632" w:rsidP="00AD4E52">
            <w:pPr>
              <w:pStyle w:val="CellColumn"/>
              <w:jc w:val="right"/>
            </w:pPr>
            <w:r>
              <w:rPr>
                <w:rFonts w:cs="Times New Roman"/>
              </w:rPr>
              <w:t>173.842.200</w:t>
            </w:r>
          </w:p>
        </w:tc>
        <w:tc>
          <w:tcPr>
            <w:tcW w:w="1224" w:type="dxa"/>
            <w:vAlign w:val="top"/>
          </w:tcPr>
          <w:p w:rsidR="00505632" w:rsidRDefault="00505632" w:rsidP="00AD4E52">
            <w:pPr>
              <w:pStyle w:val="CellColumn"/>
              <w:jc w:val="right"/>
            </w:pPr>
            <w:r>
              <w:rPr>
                <w:rFonts w:cs="Times New Roman"/>
              </w:rPr>
              <w:t>100,0</w:t>
            </w:r>
          </w:p>
        </w:tc>
        <w:tc>
          <w:tcPr>
            <w:tcW w:w="1224" w:type="dxa"/>
            <w:vAlign w:val="top"/>
          </w:tcPr>
          <w:p w:rsidR="00505632" w:rsidRDefault="00505632" w:rsidP="00AD4E52">
            <w:pPr>
              <w:pStyle w:val="CellColumn"/>
              <w:jc w:val="right"/>
            </w:pPr>
            <w:r>
              <w:rPr>
                <w:rFonts w:cs="Times New Roman"/>
              </w:rPr>
              <w:t>112,5</w:t>
            </w:r>
          </w:p>
        </w:tc>
      </w:tr>
      <w:tr w:rsidR="00505632" w:rsidTr="00AD4E52">
        <w:trPr>
          <w:jc w:val="center"/>
        </w:trPr>
        <w:tc>
          <w:tcPr>
            <w:tcW w:w="1632" w:type="dxa"/>
            <w:vAlign w:val="top"/>
          </w:tcPr>
          <w:p w:rsidR="00505632" w:rsidRDefault="00505632" w:rsidP="00AD4E52">
            <w:pPr>
              <w:pStyle w:val="CellColumn"/>
              <w:jc w:val="left"/>
            </w:pPr>
            <w:r>
              <w:rPr>
                <w:rFonts w:cs="Times New Roman"/>
              </w:rPr>
              <w:t>11075-Prekršajni sudovi</w:t>
            </w:r>
          </w:p>
        </w:tc>
        <w:tc>
          <w:tcPr>
            <w:tcW w:w="2041" w:type="dxa"/>
            <w:vAlign w:val="top"/>
          </w:tcPr>
          <w:p w:rsidR="00505632" w:rsidRDefault="00505632" w:rsidP="00AD4E52">
            <w:pPr>
              <w:pStyle w:val="CellColumn"/>
              <w:jc w:val="right"/>
            </w:pPr>
            <w:r>
              <w:rPr>
                <w:rFonts w:cs="Times New Roman"/>
              </w:rPr>
              <w:t>182.181.292</w:t>
            </w:r>
          </w:p>
        </w:tc>
        <w:tc>
          <w:tcPr>
            <w:tcW w:w="2041" w:type="dxa"/>
            <w:vAlign w:val="top"/>
          </w:tcPr>
          <w:p w:rsidR="00505632" w:rsidRDefault="00505632" w:rsidP="00AD4E52">
            <w:pPr>
              <w:pStyle w:val="CellColumn"/>
              <w:jc w:val="right"/>
            </w:pPr>
            <w:r>
              <w:rPr>
                <w:rFonts w:cs="Times New Roman"/>
              </w:rPr>
              <w:t>170.649.754</w:t>
            </w:r>
          </w:p>
        </w:tc>
        <w:tc>
          <w:tcPr>
            <w:tcW w:w="2041" w:type="dxa"/>
            <w:vAlign w:val="top"/>
          </w:tcPr>
          <w:p w:rsidR="00505632" w:rsidRDefault="00505632" w:rsidP="00AD4E52">
            <w:pPr>
              <w:pStyle w:val="CellColumn"/>
              <w:jc w:val="right"/>
            </w:pPr>
            <w:r>
              <w:rPr>
                <w:rFonts w:cs="Times New Roman"/>
              </w:rPr>
              <w:t>170.611.852</w:t>
            </w:r>
          </w:p>
        </w:tc>
        <w:tc>
          <w:tcPr>
            <w:tcW w:w="1224" w:type="dxa"/>
            <w:vAlign w:val="top"/>
          </w:tcPr>
          <w:p w:rsidR="00505632" w:rsidRDefault="00505632" w:rsidP="00AD4E52">
            <w:pPr>
              <w:pStyle w:val="CellColumn"/>
              <w:jc w:val="right"/>
            </w:pPr>
            <w:r>
              <w:rPr>
                <w:rFonts w:cs="Times New Roman"/>
              </w:rPr>
              <w:t>100,0</w:t>
            </w:r>
          </w:p>
        </w:tc>
        <w:tc>
          <w:tcPr>
            <w:tcW w:w="1224" w:type="dxa"/>
            <w:vAlign w:val="top"/>
          </w:tcPr>
          <w:p w:rsidR="00505632" w:rsidRDefault="00505632" w:rsidP="00AD4E52">
            <w:pPr>
              <w:pStyle w:val="CellColumn"/>
              <w:jc w:val="right"/>
            </w:pPr>
            <w:r>
              <w:rPr>
                <w:rFonts w:cs="Times New Roman"/>
              </w:rPr>
              <w:t>93,6</w:t>
            </w:r>
          </w:p>
        </w:tc>
      </w:tr>
      <w:tr w:rsidR="00505632" w:rsidTr="00AD4E52">
        <w:trPr>
          <w:jc w:val="center"/>
        </w:trPr>
        <w:tc>
          <w:tcPr>
            <w:tcW w:w="1632" w:type="dxa"/>
            <w:vAlign w:val="top"/>
          </w:tcPr>
          <w:p w:rsidR="00505632" w:rsidRDefault="00505632" w:rsidP="00AD4E52">
            <w:pPr>
              <w:pStyle w:val="CellColumn"/>
              <w:jc w:val="left"/>
            </w:pPr>
            <w:r>
              <w:rPr>
                <w:rFonts w:cs="Times New Roman"/>
              </w:rPr>
              <w:t>11091-Ured za suzbijanje korupcije i organiziranog kriminaliteta</w:t>
            </w:r>
          </w:p>
        </w:tc>
        <w:tc>
          <w:tcPr>
            <w:tcW w:w="2041" w:type="dxa"/>
            <w:vAlign w:val="top"/>
          </w:tcPr>
          <w:p w:rsidR="00505632" w:rsidRDefault="00505632" w:rsidP="00AD4E52">
            <w:pPr>
              <w:pStyle w:val="CellColumn"/>
              <w:jc w:val="right"/>
            </w:pPr>
            <w:r>
              <w:rPr>
                <w:rFonts w:cs="Times New Roman"/>
              </w:rPr>
              <w:t>20.662.666</w:t>
            </w:r>
          </w:p>
        </w:tc>
        <w:tc>
          <w:tcPr>
            <w:tcW w:w="2041" w:type="dxa"/>
            <w:vAlign w:val="top"/>
          </w:tcPr>
          <w:p w:rsidR="00505632" w:rsidRDefault="00505632" w:rsidP="00AD4E52">
            <w:pPr>
              <w:pStyle w:val="CellColumn"/>
              <w:jc w:val="right"/>
            </w:pPr>
            <w:r>
              <w:rPr>
                <w:rFonts w:cs="Times New Roman"/>
              </w:rPr>
              <w:t>21.464.600</w:t>
            </w:r>
          </w:p>
        </w:tc>
        <w:tc>
          <w:tcPr>
            <w:tcW w:w="2041" w:type="dxa"/>
            <w:vAlign w:val="top"/>
          </w:tcPr>
          <w:p w:rsidR="00505632" w:rsidRDefault="00505632" w:rsidP="00AD4E52">
            <w:pPr>
              <w:pStyle w:val="CellColumn"/>
              <w:jc w:val="right"/>
            </w:pPr>
            <w:r>
              <w:rPr>
                <w:rFonts w:cs="Times New Roman"/>
              </w:rPr>
              <w:t>21.351.613</w:t>
            </w:r>
          </w:p>
        </w:tc>
        <w:tc>
          <w:tcPr>
            <w:tcW w:w="1224" w:type="dxa"/>
            <w:vAlign w:val="top"/>
          </w:tcPr>
          <w:p w:rsidR="00505632" w:rsidRDefault="00505632" w:rsidP="00AD4E52">
            <w:pPr>
              <w:pStyle w:val="CellColumn"/>
              <w:jc w:val="right"/>
            </w:pPr>
            <w:r>
              <w:rPr>
                <w:rFonts w:cs="Times New Roman"/>
              </w:rPr>
              <w:t>99,5</w:t>
            </w:r>
          </w:p>
        </w:tc>
        <w:tc>
          <w:tcPr>
            <w:tcW w:w="1224" w:type="dxa"/>
            <w:vAlign w:val="top"/>
          </w:tcPr>
          <w:p w:rsidR="00505632" w:rsidRDefault="00505632" w:rsidP="00AD4E52">
            <w:pPr>
              <w:pStyle w:val="CellColumn"/>
              <w:jc w:val="right"/>
            </w:pPr>
            <w:r>
              <w:rPr>
                <w:rFonts w:cs="Times New Roman"/>
              </w:rPr>
              <w:t>103,3</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110-MINISTARSTVO PRAVOSUĐA</w:t>
            </w:r>
          </w:p>
        </w:tc>
        <w:tc>
          <w:tcPr>
            <w:tcW w:w="2041" w:type="dxa"/>
            <w:shd w:val="clear" w:color="auto" w:fill="B5C0D8"/>
          </w:tcPr>
          <w:p w:rsidR="00505632" w:rsidRDefault="00505632" w:rsidP="00AD4E52">
            <w:pPr>
              <w:pStyle w:val="CellColumn"/>
              <w:jc w:val="right"/>
            </w:pPr>
            <w:r>
              <w:rPr>
                <w:rFonts w:cs="Times New Roman"/>
              </w:rPr>
              <w:t>2.313.200.452</w:t>
            </w:r>
          </w:p>
        </w:tc>
        <w:tc>
          <w:tcPr>
            <w:tcW w:w="2041" w:type="dxa"/>
            <w:shd w:val="clear" w:color="auto" w:fill="B5C0D8"/>
          </w:tcPr>
          <w:p w:rsidR="00505632" w:rsidRDefault="00505632" w:rsidP="00AD4E52">
            <w:pPr>
              <w:pStyle w:val="CellColumn"/>
              <w:jc w:val="right"/>
            </w:pPr>
            <w:r>
              <w:rPr>
                <w:rFonts w:cs="Times New Roman"/>
              </w:rPr>
              <w:t>2.442.192.035</w:t>
            </w:r>
          </w:p>
        </w:tc>
        <w:tc>
          <w:tcPr>
            <w:tcW w:w="2041" w:type="dxa"/>
            <w:shd w:val="clear" w:color="auto" w:fill="B5C0D8"/>
          </w:tcPr>
          <w:p w:rsidR="00505632" w:rsidRDefault="00505632" w:rsidP="00AD4E52">
            <w:pPr>
              <w:pStyle w:val="CellColumn"/>
              <w:jc w:val="right"/>
            </w:pPr>
            <w:r>
              <w:rPr>
                <w:rFonts w:cs="Times New Roman"/>
              </w:rPr>
              <w:t>2.424.979.178</w:t>
            </w:r>
          </w:p>
        </w:tc>
        <w:tc>
          <w:tcPr>
            <w:tcW w:w="1224" w:type="dxa"/>
            <w:shd w:val="clear" w:color="auto" w:fill="B5C0D8"/>
          </w:tcPr>
          <w:p w:rsidR="00505632" w:rsidRDefault="00505632" w:rsidP="00AD4E52">
            <w:pPr>
              <w:pStyle w:val="CellColumn"/>
              <w:jc w:val="right"/>
            </w:pPr>
            <w:r>
              <w:rPr>
                <w:rFonts w:cs="Times New Roman"/>
              </w:rPr>
              <w:t>99,3</w:t>
            </w:r>
          </w:p>
        </w:tc>
        <w:tc>
          <w:tcPr>
            <w:tcW w:w="1224" w:type="dxa"/>
            <w:shd w:val="clear" w:color="auto" w:fill="B5C0D8"/>
          </w:tcPr>
          <w:p w:rsidR="00505632" w:rsidRDefault="00505632" w:rsidP="00AD4E52">
            <w:pPr>
              <w:pStyle w:val="CellColumn"/>
              <w:jc w:val="right"/>
            </w:pPr>
            <w:r>
              <w:rPr>
                <w:rFonts w:cs="Times New Roman"/>
              </w:rPr>
              <w:t>104,8</w:t>
            </w:r>
          </w:p>
        </w:tc>
      </w:tr>
    </w:tbl>
    <w:p w:rsidR="00505632" w:rsidRDefault="00505632" w:rsidP="00505632">
      <w:pPr>
        <w:jc w:val="left"/>
      </w:pPr>
    </w:p>
    <w:p w:rsidR="00505632" w:rsidRDefault="00505632" w:rsidP="00505632">
      <w:pPr>
        <w:pStyle w:val="Heading2"/>
      </w:pPr>
      <w:r>
        <w:t>11005 Ministarstvo pravosuđa</w:t>
      </w:r>
    </w:p>
    <w:p w:rsidR="00505632" w:rsidRDefault="00505632" w:rsidP="00505632">
      <w:r>
        <w:t>Ministarstvo pravosuđa obavlja upravne i druge poslove koji se odnose na: područje građanskoga, kaznenog i trgovačkog  prava te upravnog sudovanja; ustrojstvo i rad te stručno osposobljavanje i usavršavanje sudaca, državnih odvjetnika i službenika u sudovima, državnim odvjetništvima, tijelima nadležnim za vođenje prekršajnog postupka i tijelima koja  izvršavaju kaznene i prekršajne sankcije, zatim upravne i druge poslove u javnobilježništvu i odvjetništvu; sudske i javnobilježničke pristojbe; međunarodnu pravnu pomoć i druge oblike pravne pomoći; izvršavanje kaznenih i prekršajnih sankcija, pomilovanja i uvjetne otpuste, te informatizaciju pravosuđa. Ministarstvo također obavlja nadzor nad obavljanjem poslova prava u tijelima sudbene vlasti, državnom odvjetništvu i tijelima za vođenje prekršajnog postupka, te kaznenim tijelima, a obavlja upravne i druge poslove koji se odnose na: pravo vlasništva; imovinskopravne poslove u vezi s izvlaštenjem i drugim ograničenjima vlasništva; imovinskopravne  poslove glede građevinskoga, poljoprivrednog i šumskog zemljišta, komasaciju, promet zemljišta i zgrada te dio agrarnih operacija koji nisu u djelokrugu drugog tijela  državne uprave. Ministarstvo obavlja i upravne i stručne poslove u vezi sa suradnjom Vlade Republike Hrvatske s međunarodnim kaznenim sudovima, poslove koji  se odnose na sudjelovanje Republike Hrvatske u radu tijela Europske unije u područjima iz njegove nadležnosti i druge poslove koji su mu stavljeni u nadležnost posebnim zakonom.</w:t>
      </w:r>
    </w:p>
    <w:tbl>
      <w:tblPr>
        <w:tblStyle w:val="StilTablice"/>
        <w:tblW w:w="10206" w:type="dxa"/>
        <w:jc w:val="center"/>
        <w:tblLook w:val="04A0" w:firstRow="1" w:lastRow="0" w:firstColumn="1" w:lastColumn="0" w:noHBand="0" w:noVBand="1"/>
      </w:tblPr>
      <w:tblGrid>
        <w:gridCol w:w="1914"/>
        <w:gridCol w:w="1960"/>
        <w:gridCol w:w="1960"/>
        <w:gridCol w:w="1960"/>
        <w:gridCol w:w="1201"/>
        <w:gridCol w:w="1211"/>
      </w:tblGrid>
      <w:tr w:rsidR="00505632" w:rsidTr="00AD4E52">
        <w:trPr>
          <w:jc w:val="center"/>
        </w:trPr>
        <w:tc>
          <w:tcPr>
            <w:tcW w:w="1914" w:type="dxa"/>
            <w:shd w:val="clear" w:color="auto" w:fill="B5C0D8"/>
          </w:tcPr>
          <w:p w:rsidR="00505632" w:rsidRDefault="00505632" w:rsidP="00AD4E52">
            <w:pPr>
              <w:pStyle w:val="CellHeader"/>
              <w:jc w:val="center"/>
            </w:pPr>
          </w:p>
        </w:tc>
        <w:tc>
          <w:tcPr>
            <w:tcW w:w="1960" w:type="dxa"/>
            <w:shd w:val="clear" w:color="auto" w:fill="B5C0D8"/>
          </w:tcPr>
          <w:p w:rsidR="00505632" w:rsidRDefault="00505632" w:rsidP="00AD4E52">
            <w:pPr>
              <w:pStyle w:val="CellHeader"/>
              <w:jc w:val="center"/>
            </w:pPr>
            <w:r>
              <w:rPr>
                <w:rFonts w:cs="Times New Roman"/>
              </w:rPr>
              <w:t>Izvršenje 2015. (kn)</w:t>
            </w:r>
          </w:p>
        </w:tc>
        <w:tc>
          <w:tcPr>
            <w:tcW w:w="1960" w:type="dxa"/>
            <w:shd w:val="clear" w:color="auto" w:fill="B5C0D8"/>
          </w:tcPr>
          <w:p w:rsidR="00505632" w:rsidRDefault="00505632" w:rsidP="00AD4E52">
            <w:pPr>
              <w:pStyle w:val="CellHeader"/>
              <w:jc w:val="center"/>
            </w:pPr>
            <w:r>
              <w:rPr>
                <w:rFonts w:cs="Times New Roman"/>
              </w:rPr>
              <w:t>Plan 2016. (kn)</w:t>
            </w:r>
          </w:p>
        </w:tc>
        <w:tc>
          <w:tcPr>
            <w:tcW w:w="1960" w:type="dxa"/>
            <w:shd w:val="clear" w:color="auto" w:fill="B5C0D8"/>
          </w:tcPr>
          <w:p w:rsidR="00505632" w:rsidRDefault="00505632" w:rsidP="00AD4E52">
            <w:pPr>
              <w:pStyle w:val="CellHeader"/>
              <w:jc w:val="center"/>
            </w:pPr>
            <w:r>
              <w:rPr>
                <w:rFonts w:cs="Times New Roman"/>
              </w:rPr>
              <w:t>Izvršenje 2016. (kn)</w:t>
            </w:r>
          </w:p>
        </w:tc>
        <w:tc>
          <w:tcPr>
            <w:tcW w:w="1201" w:type="dxa"/>
            <w:shd w:val="clear" w:color="auto" w:fill="B5C0D8"/>
          </w:tcPr>
          <w:p w:rsidR="00505632" w:rsidRDefault="00505632" w:rsidP="00AD4E52">
            <w:pPr>
              <w:pStyle w:val="CellHeader"/>
              <w:jc w:val="center"/>
            </w:pPr>
            <w:r>
              <w:rPr>
                <w:rFonts w:cs="Times New Roman"/>
              </w:rPr>
              <w:t>Indeks izvršenje 2016./plan 2016.</w:t>
            </w:r>
          </w:p>
        </w:tc>
        <w:tc>
          <w:tcPr>
            <w:tcW w:w="1211"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914" w:type="dxa"/>
            <w:vAlign w:val="top"/>
          </w:tcPr>
          <w:p w:rsidR="00505632" w:rsidRDefault="00505632" w:rsidP="00AD4E52">
            <w:pPr>
              <w:pStyle w:val="CellColumn"/>
              <w:jc w:val="left"/>
            </w:pPr>
            <w:r>
              <w:rPr>
                <w:rFonts w:cs="Times New Roman"/>
              </w:rPr>
              <w:t>11005-Ministarstvo pravosuđa</w:t>
            </w:r>
          </w:p>
        </w:tc>
        <w:tc>
          <w:tcPr>
            <w:tcW w:w="1960" w:type="dxa"/>
            <w:vAlign w:val="top"/>
          </w:tcPr>
          <w:p w:rsidR="00505632" w:rsidRDefault="00505632" w:rsidP="00AD4E52">
            <w:pPr>
              <w:pStyle w:val="CellColumn"/>
              <w:jc w:val="right"/>
            </w:pPr>
            <w:r>
              <w:rPr>
                <w:rFonts w:cs="Times New Roman"/>
              </w:rPr>
              <w:t>302.748.461</w:t>
            </w:r>
          </w:p>
        </w:tc>
        <w:tc>
          <w:tcPr>
            <w:tcW w:w="1960" w:type="dxa"/>
            <w:vAlign w:val="top"/>
          </w:tcPr>
          <w:p w:rsidR="00505632" w:rsidRDefault="00505632" w:rsidP="00AD4E52">
            <w:pPr>
              <w:pStyle w:val="CellColumn"/>
              <w:jc w:val="right"/>
            </w:pPr>
            <w:r>
              <w:rPr>
                <w:rFonts w:cs="Times New Roman"/>
              </w:rPr>
              <w:t>376.654.098</w:t>
            </w:r>
          </w:p>
        </w:tc>
        <w:tc>
          <w:tcPr>
            <w:tcW w:w="1960" w:type="dxa"/>
            <w:vAlign w:val="top"/>
          </w:tcPr>
          <w:p w:rsidR="00505632" w:rsidRDefault="00505632" w:rsidP="00AD4E52">
            <w:pPr>
              <w:pStyle w:val="CellColumn"/>
              <w:jc w:val="right"/>
            </w:pPr>
            <w:r>
              <w:rPr>
                <w:rFonts w:cs="Times New Roman"/>
              </w:rPr>
              <w:t>360.942.798</w:t>
            </w:r>
          </w:p>
        </w:tc>
        <w:tc>
          <w:tcPr>
            <w:tcW w:w="1201" w:type="dxa"/>
            <w:vAlign w:val="top"/>
          </w:tcPr>
          <w:p w:rsidR="00505632" w:rsidRDefault="00505632" w:rsidP="00AD4E52">
            <w:pPr>
              <w:pStyle w:val="CellColumn"/>
              <w:jc w:val="right"/>
            </w:pPr>
            <w:r>
              <w:rPr>
                <w:rFonts w:cs="Times New Roman"/>
              </w:rPr>
              <w:t>95,8</w:t>
            </w:r>
          </w:p>
        </w:tc>
        <w:tc>
          <w:tcPr>
            <w:tcW w:w="1211" w:type="dxa"/>
            <w:vAlign w:val="top"/>
          </w:tcPr>
          <w:p w:rsidR="00505632" w:rsidRDefault="00505632" w:rsidP="00AD4E52">
            <w:pPr>
              <w:pStyle w:val="CellColumn"/>
              <w:jc w:val="right"/>
            </w:pPr>
            <w:r>
              <w:rPr>
                <w:rFonts w:cs="Times New Roman"/>
              </w:rPr>
              <w:t>119,2</w:t>
            </w:r>
          </w:p>
        </w:tc>
      </w:tr>
      <w:tr w:rsidR="00505632" w:rsidTr="00AD4E52">
        <w:trPr>
          <w:jc w:val="center"/>
        </w:trPr>
        <w:tc>
          <w:tcPr>
            <w:tcW w:w="1914" w:type="dxa"/>
          </w:tcPr>
          <w:p w:rsidR="00505632" w:rsidRDefault="00505632" w:rsidP="00AD4E52">
            <w:pPr>
              <w:jc w:val="left"/>
            </w:pPr>
            <w:r>
              <w:t>2801-KOORDINACIJA I UPRAVLJANJE PRAVOSUĐA</w:t>
            </w:r>
          </w:p>
        </w:tc>
        <w:tc>
          <w:tcPr>
            <w:tcW w:w="1960" w:type="dxa"/>
          </w:tcPr>
          <w:p w:rsidR="00505632" w:rsidRDefault="00505632" w:rsidP="00AD4E52">
            <w:pPr>
              <w:jc w:val="right"/>
            </w:pPr>
            <w:r>
              <w:t>145.519.401</w:t>
            </w:r>
          </w:p>
        </w:tc>
        <w:tc>
          <w:tcPr>
            <w:tcW w:w="1960" w:type="dxa"/>
          </w:tcPr>
          <w:p w:rsidR="00505632" w:rsidRDefault="00505632" w:rsidP="00AD4E52">
            <w:pPr>
              <w:jc w:val="right"/>
            </w:pPr>
            <w:r>
              <w:t>161.090.880</w:t>
            </w:r>
          </w:p>
        </w:tc>
        <w:tc>
          <w:tcPr>
            <w:tcW w:w="1960" w:type="dxa"/>
          </w:tcPr>
          <w:p w:rsidR="00505632" w:rsidRDefault="00505632" w:rsidP="00AD4E52">
            <w:pPr>
              <w:jc w:val="right"/>
            </w:pPr>
            <w:r>
              <w:t>163.619.815</w:t>
            </w:r>
          </w:p>
        </w:tc>
        <w:tc>
          <w:tcPr>
            <w:tcW w:w="1201" w:type="dxa"/>
          </w:tcPr>
          <w:p w:rsidR="00505632" w:rsidRDefault="00505632" w:rsidP="00AD4E52">
            <w:pPr>
              <w:jc w:val="right"/>
            </w:pPr>
            <w:r>
              <w:t>101,6</w:t>
            </w:r>
          </w:p>
        </w:tc>
        <w:tc>
          <w:tcPr>
            <w:tcW w:w="1211" w:type="dxa"/>
          </w:tcPr>
          <w:p w:rsidR="00505632" w:rsidRDefault="00505632" w:rsidP="00AD4E52">
            <w:pPr>
              <w:jc w:val="right"/>
            </w:pPr>
            <w:r>
              <w:t>112,4</w:t>
            </w:r>
          </w:p>
        </w:tc>
      </w:tr>
      <w:tr w:rsidR="00505632" w:rsidTr="00AD4E52">
        <w:trPr>
          <w:jc w:val="center"/>
        </w:trPr>
        <w:tc>
          <w:tcPr>
            <w:tcW w:w="1914" w:type="dxa"/>
          </w:tcPr>
          <w:p w:rsidR="00505632" w:rsidRDefault="00505632" w:rsidP="00AD4E52">
            <w:pPr>
              <w:jc w:val="left"/>
            </w:pPr>
            <w:r>
              <w:t>2803-VOĐENJE SUDSKIH POSTUPAKA</w:t>
            </w:r>
          </w:p>
        </w:tc>
        <w:tc>
          <w:tcPr>
            <w:tcW w:w="1960" w:type="dxa"/>
          </w:tcPr>
          <w:p w:rsidR="00505632" w:rsidRDefault="00505632" w:rsidP="00AD4E52">
            <w:pPr>
              <w:jc w:val="right"/>
            </w:pPr>
            <w:r>
              <w:t>14.239.328</w:t>
            </w:r>
          </w:p>
        </w:tc>
        <w:tc>
          <w:tcPr>
            <w:tcW w:w="1960" w:type="dxa"/>
          </w:tcPr>
          <w:p w:rsidR="00505632" w:rsidRDefault="00505632" w:rsidP="00AD4E52">
            <w:pPr>
              <w:jc w:val="right"/>
            </w:pPr>
            <w:r>
              <w:t>11.906.018</w:t>
            </w:r>
          </w:p>
        </w:tc>
        <w:tc>
          <w:tcPr>
            <w:tcW w:w="1960" w:type="dxa"/>
          </w:tcPr>
          <w:p w:rsidR="00505632" w:rsidRDefault="00505632" w:rsidP="00AD4E52">
            <w:pPr>
              <w:jc w:val="right"/>
            </w:pPr>
            <w:r>
              <w:t>9.030.666</w:t>
            </w:r>
          </w:p>
        </w:tc>
        <w:tc>
          <w:tcPr>
            <w:tcW w:w="1201" w:type="dxa"/>
          </w:tcPr>
          <w:p w:rsidR="00505632" w:rsidRDefault="00505632" w:rsidP="00AD4E52">
            <w:pPr>
              <w:jc w:val="right"/>
            </w:pPr>
            <w:r>
              <w:t>75,8</w:t>
            </w:r>
          </w:p>
        </w:tc>
        <w:tc>
          <w:tcPr>
            <w:tcW w:w="1211" w:type="dxa"/>
          </w:tcPr>
          <w:p w:rsidR="00505632" w:rsidRDefault="00505632" w:rsidP="00AD4E52">
            <w:pPr>
              <w:jc w:val="right"/>
            </w:pPr>
            <w:r>
              <w:t>63,4</w:t>
            </w:r>
          </w:p>
        </w:tc>
      </w:tr>
      <w:tr w:rsidR="00505632" w:rsidTr="00AD4E52">
        <w:trPr>
          <w:jc w:val="center"/>
        </w:trPr>
        <w:tc>
          <w:tcPr>
            <w:tcW w:w="1914" w:type="dxa"/>
          </w:tcPr>
          <w:p w:rsidR="00505632" w:rsidRDefault="00505632" w:rsidP="00AD4E52">
            <w:pPr>
              <w:jc w:val="left"/>
            </w:pPr>
            <w:r>
              <w:t>2804-EDUKACIJA I INFORMIRANJE U PRAVOSUDNOM SUSTAVU</w:t>
            </w:r>
          </w:p>
        </w:tc>
        <w:tc>
          <w:tcPr>
            <w:tcW w:w="1960" w:type="dxa"/>
          </w:tcPr>
          <w:p w:rsidR="00505632" w:rsidRDefault="00505632" w:rsidP="00AD4E52">
            <w:pPr>
              <w:jc w:val="right"/>
            </w:pPr>
            <w:r>
              <w:t>1.406.915</w:t>
            </w:r>
          </w:p>
        </w:tc>
        <w:tc>
          <w:tcPr>
            <w:tcW w:w="1960" w:type="dxa"/>
          </w:tcPr>
          <w:p w:rsidR="00505632" w:rsidRDefault="00505632" w:rsidP="00AD4E52">
            <w:pPr>
              <w:jc w:val="right"/>
            </w:pPr>
            <w:r>
              <w:t>5.001.097</w:t>
            </w:r>
          </w:p>
        </w:tc>
        <w:tc>
          <w:tcPr>
            <w:tcW w:w="1960" w:type="dxa"/>
          </w:tcPr>
          <w:p w:rsidR="00505632" w:rsidRDefault="00505632" w:rsidP="00AD4E52">
            <w:pPr>
              <w:jc w:val="right"/>
            </w:pPr>
            <w:r>
              <w:t>4.696.369</w:t>
            </w:r>
          </w:p>
        </w:tc>
        <w:tc>
          <w:tcPr>
            <w:tcW w:w="1201" w:type="dxa"/>
          </w:tcPr>
          <w:p w:rsidR="00505632" w:rsidRDefault="00505632" w:rsidP="00AD4E52">
            <w:pPr>
              <w:jc w:val="right"/>
            </w:pPr>
            <w:r>
              <w:t>93,9</w:t>
            </w:r>
          </w:p>
        </w:tc>
        <w:tc>
          <w:tcPr>
            <w:tcW w:w="1211" w:type="dxa"/>
          </w:tcPr>
          <w:p w:rsidR="00505632" w:rsidRDefault="00505632" w:rsidP="00AD4E52">
            <w:pPr>
              <w:jc w:val="right"/>
            </w:pPr>
            <w:r>
              <w:t>333,8</w:t>
            </w:r>
          </w:p>
        </w:tc>
      </w:tr>
      <w:tr w:rsidR="00505632" w:rsidTr="00AD4E52">
        <w:trPr>
          <w:jc w:val="center"/>
        </w:trPr>
        <w:tc>
          <w:tcPr>
            <w:tcW w:w="1914" w:type="dxa"/>
          </w:tcPr>
          <w:p w:rsidR="00505632" w:rsidRDefault="00505632" w:rsidP="00AD4E52">
            <w:pPr>
              <w:jc w:val="left"/>
            </w:pPr>
            <w:r>
              <w:t>2805-RACIONALIZACIJA MREŽE PRAVOSUDNIH TIJELA</w:t>
            </w:r>
          </w:p>
        </w:tc>
        <w:tc>
          <w:tcPr>
            <w:tcW w:w="1960" w:type="dxa"/>
          </w:tcPr>
          <w:p w:rsidR="00505632" w:rsidRDefault="00505632" w:rsidP="00AD4E52">
            <w:pPr>
              <w:jc w:val="right"/>
            </w:pPr>
            <w:r>
              <w:t>14.865.011</w:t>
            </w:r>
          </w:p>
        </w:tc>
        <w:tc>
          <w:tcPr>
            <w:tcW w:w="1960" w:type="dxa"/>
          </w:tcPr>
          <w:p w:rsidR="00505632" w:rsidRDefault="00505632" w:rsidP="00AD4E52">
            <w:pPr>
              <w:jc w:val="right"/>
            </w:pPr>
            <w:r>
              <w:t>25.717.250</w:t>
            </w:r>
          </w:p>
        </w:tc>
        <w:tc>
          <w:tcPr>
            <w:tcW w:w="1960" w:type="dxa"/>
          </w:tcPr>
          <w:p w:rsidR="00505632" w:rsidRDefault="00505632" w:rsidP="00AD4E52">
            <w:pPr>
              <w:jc w:val="right"/>
            </w:pPr>
            <w:r>
              <w:t>20.879.720</w:t>
            </w:r>
          </w:p>
        </w:tc>
        <w:tc>
          <w:tcPr>
            <w:tcW w:w="1201" w:type="dxa"/>
          </w:tcPr>
          <w:p w:rsidR="00505632" w:rsidRDefault="00505632" w:rsidP="00AD4E52">
            <w:pPr>
              <w:jc w:val="right"/>
            </w:pPr>
            <w:r>
              <w:t>81,2</w:t>
            </w:r>
          </w:p>
        </w:tc>
        <w:tc>
          <w:tcPr>
            <w:tcW w:w="1211" w:type="dxa"/>
          </w:tcPr>
          <w:p w:rsidR="00505632" w:rsidRDefault="00505632" w:rsidP="00AD4E52">
            <w:pPr>
              <w:jc w:val="right"/>
            </w:pPr>
            <w:r>
              <w:t>140,5</w:t>
            </w:r>
          </w:p>
        </w:tc>
      </w:tr>
      <w:tr w:rsidR="00505632" w:rsidTr="00AD4E52">
        <w:trPr>
          <w:jc w:val="center"/>
        </w:trPr>
        <w:tc>
          <w:tcPr>
            <w:tcW w:w="1914" w:type="dxa"/>
          </w:tcPr>
          <w:p w:rsidR="00505632" w:rsidRDefault="00505632" w:rsidP="00AD4E52">
            <w:pPr>
              <w:jc w:val="left"/>
            </w:pPr>
            <w:r>
              <w:t>2806-IZGRADNJA, OBNOVA, ODRŽAVANJE I OPREMANJE ZGRADA</w:t>
            </w:r>
          </w:p>
        </w:tc>
        <w:tc>
          <w:tcPr>
            <w:tcW w:w="1960" w:type="dxa"/>
          </w:tcPr>
          <w:p w:rsidR="00505632" w:rsidRDefault="00505632" w:rsidP="00AD4E52">
            <w:pPr>
              <w:jc w:val="right"/>
            </w:pPr>
            <w:r>
              <w:t>34.790.560</w:t>
            </w:r>
          </w:p>
        </w:tc>
        <w:tc>
          <w:tcPr>
            <w:tcW w:w="1960" w:type="dxa"/>
          </w:tcPr>
          <w:p w:rsidR="00505632" w:rsidRDefault="00505632" w:rsidP="00AD4E52">
            <w:pPr>
              <w:jc w:val="right"/>
            </w:pPr>
            <w:r>
              <w:t>53.974.186</w:t>
            </w:r>
          </w:p>
        </w:tc>
        <w:tc>
          <w:tcPr>
            <w:tcW w:w="1960" w:type="dxa"/>
          </w:tcPr>
          <w:p w:rsidR="00505632" w:rsidRDefault="00505632" w:rsidP="00AD4E52">
            <w:pPr>
              <w:jc w:val="right"/>
            </w:pPr>
            <w:r>
              <w:t>50.574.211</w:t>
            </w:r>
          </w:p>
        </w:tc>
        <w:tc>
          <w:tcPr>
            <w:tcW w:w="1201" w:type="dxa"/>
          </w:tcPr>
          <w:p w:rsidR="00505632" w:rsidRDefault="00505632" w:rsidP="00AD4E52">
            <w:pPr>
              <w:jc w:val="right"/>
            </w:pPr>
            <w:r>
              <w:t>93,7</w:t>
            </w:r>
          </w:p>
        </w:tc>
        <w:tc>
          <w:tcPr>
            <w:tcW w:w="1211" w:type="dxa"/>
          </w:tcPr>
          <w:p w:rsidR="00505632" w:rsidRDefault="00505632" w:rsidP="00AD4E52">
            <w:pPr>
              <w:jc w:val="right"/>
            </w:pPr>
            <w:r>
              <w:t>145,4</w:t>
            </w:r>
          </w:p>
        </w:tc>
      </w:tr>
      <w:tr w:rsidR="00505632" w:rsidTr="00AD4E52">
        <w:trPr>
          <w:jc w:val="center"/>
        </w:trPr>
        <w:tc>
          <w:tcPr>
            <w:tcW w:w="1914" w:type="dxa"/>
          </w:tcPr>
          <w:p w:rsidR="00505632" w:rsidRDefault="00505632" w:rsidP="00AD4E52">
            <w:pPr>
              <w:jc w:val="left"/>
            </w:pPr>
            <w:r>
              <w:t>2807-INFORMATIZACIJA , MODERNIZACIJA I ODRŽAVANJE INFORMACIJSKOG SUSTAVA</w:t>
            </w:r>
          </w:p>
        </w:tc>
        <w:tc>
          <w:tcPr>
            <w:tcW w:w="1960" w:type="dxa"/>
          </w:tcPr>
          <w:p w:rsidR="00505632" w:rsidRDefault="00505632" w:rsidP="00AD4E52">
            <w:pPr>
              <w:jc w:val="right"/>
            </w:pPr>
            <w:r>
              <w:t>48.379.865</w:t>
            </w:r>
          </w:p>
        </w:tc>
        <w:tc>
          <w:tcPr>
            <w:tcW w:w="1960" w:type="dxa"/>
          </w:tcPr>
          <w:p w:rsidR="00505632" w:rsidRDefault="00505632" w:rsidP="00AD4E52">
            <w:pPr>
              <w:jc w:val="right"/>
            </w:pPr>
            <w:r>
              <w:t>78.051.214</w:t>
            </w:r>
          </w:p>
        </w:tc>
        <w:tc>
          <w:tcPr>
            <w:tcW w:w="1960" w:type="dxa"/>
          </w:tcPr>
          <w:p w:rsidR="00505632" w:rsidRDefault="00505632" w:rsidP="00AD4E52">
            <w:pPr>
              <w:jc w:val="right"/>
            </w:pPr>
            <w:r>
              <w:t>75.273.558</w:t>
            </w:r>
          </w:p>
        </w:tc>
        <w:tc>
          <w:tcPr>
            <w:tcW w:w="1201" w:type="dxa"/>
          </w:tcPr>
          <w:p w:rsidR="00505632" w:rsidRDefault="00505632" w:rsidP="00AD4E52">
            <w:pPr>
              <w:jc w:val="right"/>
            </w:pPr>
            <w:r>
              <w:t>96,4</w:t>
            </w:r>
          </w:p>
        </w:tc>
        <w:tc>
          <w:tcPr>
            <w:tcW w:w="1211" w:type="dxa"/>
          </w:tcPr>
          <w:p w:rsidR="00505632" w:rsidRDefault="00505632" w:rsidP="00AD4E52">
            <w:pPr>
              <w:jc w:val="right"/>
            </w:pPr>
            <w:r>
              <w:t>155,6</w:t>
            </w:r>
          </w:p>
        </w:tc>
      </w:tr>
      <w:tr w:rsidR="00505632" w:rsidTr="00AD4E52">
        <w:trPr>
          <w:jc w:val="center"/>
        </w:trPr>
        <w:tc>
          <w:tcPr>
            <w:tcW w:w="1914" w:type="dxa"/>
          </w:tcPr>
          <w:p w:rsidR="00505632" w:rsidRDefault="00505632" w:rsidP="00AD4E52">
            <w:pPr>
              <w:jc w:val="left"/>
            </w:pPr>
            <w:r>
              <w:t>2808-POTPORA PRAVOSUDNOM SUSTAVU - ZAJAM IBRD</w:t>
            </w:r>
          </w:p>
        </w:tc>
        <w:tc>
          <w:tcPr>
            <w:tcW w:w="1960" w:type="dxa"/>
          </w:tcPr>
          <w:p w:rsidR="00505632" w:rsidRDefault="00505632" w:rsidP="00AD4E52">
            <w:pPr>
              <w:jc w:val="right"/>
            </w:pPr>
            <w:r>
              <w:t>27.099.720</w:t>
            </w:r>
          </w:p>
        </w:tc>
        <w:tc>
          <w:tcPr>
            <w:tcW w:w="1960" w:type="dxa"/>
          </w:tcPr>
          <w:p w:rsidR="00505632" w:rsidRDefault="00505632" w:rsidP="00AD4E52">
            <w:pPr>
              <w:jc w:val="right"/>
            </w:pPr>
            <w:r>
              <w:t>8.290.800</w:t>
            </w:r>
          </w:p>
        </w:tc>
        <w:tc>
          <w:tcPr>
            <w:tcW w:w="1960" w:type="dxa"/>
          </w:tcPr>
          <w:p w:rsidR="00505632" w:rsidRDefault="00505632" w:rsidP="00AD4E52">
            <w:pPr>
              <w:jc w:val="right"/>
            </w:pPr>
            <w:r>
              <w:t>8.147.815</w:t>
            </w:r>
          </w:p>
        </w:tc>
        <w:tc>
          <w:tcPr>
            <w:tcW w:w="1201" w:type="dxa"/>
          </w:tcPr>
          <w:p w:rsidR="00505632" w:rsidRDefault="00505632" w:rsidP="00AD4E52">
            <w:pPr>
              <w:jc w:val="right"/>
            </w:pPr>
            <w:r>
              <w:t>98,3</w:t>
            </w:r>
          </w:p>
        </w:tc>
        <w:tc>
          <w:tcPr>
            <w:tcW w:w="1211" w:type="dxa"/>
          </w:tcPr>
          <w:p w:rsidR="00505632" w:rsidRDefault="00505632" w:rsidP="00AD4E52">
            <w:pPr>
              <w:jc w:val="right"/>
            </w:pPr>
            <w:r>
              <w:t>30,1</w:t>
            </w:r>
          </w:p>
        </w:tc>
      </w:tr>
      <w:tr w:rsidR="00505632" w:rsidTr="00AD4E52">
        <w:trPr>
          <w:jc w:val="center"/>
        </w:trPr>
        <w:tc>
          <w:tcPr>
            <w:tcW w:w="1914" w:type="dxa"/>
          </w:tcPr>
          <w:p w:rsidR="00505632" w:rsidRDefault="00505632" w:rsidP="00AD4E52">
            <w:pPr>
              <w:jc w:val="left"/>
            </w:pPr>
            <w:r>
              <w:t>2809-UPRAVLJANJE ZATVORSKIM I PROBACIJSKIM SUSTAVOM</w:t>
            </w:r>
          </w:p>
        </w:tc>
        <w:tc>
          <w:tcPr>
            <w:tcW w:w="1960" w:type="dxa"/>
          </w:tcPr>
          <w:p w:rsidR="00505632" w:rsidRDefault="00505632" w:rsidP="00AD4E52">
            <w:pPr>
              <w:jc w:val="right"/>
            </w:pPr>
            <w:r>
              <w:t>4.487.979</w:t>
            </w:r>
          </w:p>
        </w:tc>
        <w:tc>
          <w:tcPr>
            <w:tcW w:w="1960" w:type="dxa"/>
          </w:tcPr>
          <w:p w:rsidR="00505632" w:rsidRDefault="00505632" w:rsidP="00AD4E52">
            <w:pPr>
              <w:jc w:val="right"/>
            </w:pPr>
            <w:r>
              <w:t>10.223.689</w:t>
            </w:r>
          </w:p>
        </w:tc>
        <w:tc>
          <w:tcPr>
            <w:tcW w:w="1960" w:type="dxa"/>
          </w:tcPr>
          <w:p w:rsidR="00505632" w:rsidRDefault="00505632" w:rsidP="00AD4E52">
            <w:pPr>
              <w:jc w:val="right"/>
            </w:pPr>
            <w:r>
              <w:t>10.941.468</w:t>
            </w:r>
          </w:p>
        </w:tc>
        <w:tc>
          <w:tcPr>
            <w:tcW w:w="1201" w:type="dxa"/>
          </w:tcPr>
          <w:p w:rsidR="00505632" w:rsidRDefault="00505632" w:rsidP="00AD4E52">
            <w:pPr>
              <w:jc w:val="right"/>
            </w:pPr>
            <w:r>
              <w:t>107,0</w:t>
            </w:r>
          </w:p>
        </w:tc>
        <w:tc>
          <w:tcPr>
            <w:tcW w:w="1211" w:type="dxa"/>
          </w:tcPr>
          <w:p w:rsidR="00505632" w:rsidRDefault="00505632" w:rsidP="00AD4E52">
            <w:pPr>
              <w:jc w:val="right"/>
            </w:pPr>
            <w:r>
              <w:t>243,8</w:t>
            </w:r>
          </w:p>
        </w:tc>
      </w:tr>
      <w:tr w:rsidR="00505632" w:rsidTr="00AD4E52">
        <w:trPr>
          <w:jc w:val="center"/>
        </w:trPr>
        <w:tc>
          <w:tcPr>
            <w:tcW w:w="1914" w:type="dxa"/>
          </w:tcPr>
          <w:p w:rsidR="00505632" w:rsidRDefault="00505632" w:rsidP="00AD4E52">
            <w:pPr>
              <w:jc w:val="left"/>
            </w:pPr>
            <w:r>
              <w:t>2811-LJUDSKA PRAVA</w:t>
            </w:r>
          </w:p>
        </w:tc>
        <w:tc>
          <w:tcPr>
            <w:tcW w:w="1960" w:type="dxa"/>
          </w:tcPr>
          <w:p w:rsidR="00505632" w:rsidRDefault="00505632" w:rsidP="00AD4E52">
            <w:pPr>
              <w:jc w:val="right"/>
            </w:pPr>
            <w:r>
              <w:t>2.879.959</w:t>
            </w:r>
          </w:p>
        </w:tc>
        <w:tc>
          <w:tcPr>
            <w:tcW w:w="1960" w:type="dxa"/>
          </w:tcPr>
          <w:p w:rsidR="00505632" w:rsidRDefault="00505632" w:rsidP="00AD4E52">
            <w:pPr>
              <w:jc w:val="right"/>
            </w:pPr>
            <w:r>
              <w:t>2.848.964</w:t>
            </w:r>
          </w:p>
        </w:tc>
        <w:tc>
          <w:tcPr>
            <w:tcW w:w="1960" w:type="dxa"/>
          </w:tcPr>
          <w:p w:rsidR="00505632" w:rsidRDefault="00505632" w:rsidP="00AD4E52">
            <w:pPr>
              <w:jc w:val="right"/>
            </w:pPr>
            <w:r>
              <w:t>2.848.657</w:t>
            </w:r>
          </w:p>
        </w:tc>
        <w:tc>
          <w:tcPr>
            <w:tcW w:w="1201" w:type="dxa"/>
          </w:tcPr>
          <w:p w:rsidR="00505632" w:rsidRDefault="00505632" w:rsidP="00AD4E52">
            <w:pPr>
              <w:jc w:val="right"/>
            </w:pPr>
            <w:r>
              <w:t>100,0</w:t>
            </w:r>
          </w:p>
        </w:tc>
        <w:tc>
          <w:tcPr>
            <w:tcW w:w="1211" w:type="dxa"/>
          </w:tcPr>
          <w:p w:rsidR="00505632" w:rsidRDefault="00505632" w:rsidP="00AD4E52">
            <w:pPr>
              <w:jc w:val="right"/>
            </w:pPr>
            <w:r>
              <w:t>98,9</w:t>
            </w:r>
          </w:p>
        </w:tc>
      </w:tr>
      <w:tr w:rsidR="00505632" w:rsidTr="00AD4E52">
        <w:trPr>
          <w:jc w:val="center"/>
        </w:trPr>
        <w:tc>
          <w:tcPr>
            <w:tcW w:w="1914" w:type="dxa"/>
          </w:tcPr>
          <w:p w:rsidR="00505632" w:rsidRDefault="00505632" w:rsidP="00AD4E52">
            <w:pPr>
              <w:jc w:val="left"/>
            </w:pPr>
            <w:r>
              <w:t>2815-ZEMLJIŠNE KNJIGE</w:t>
            </w:r>
          </w:p>
        </w:tc>
        <w:tc>
          <w:tcPr>
            <w:tcW w:w="1960" w:type="dxa"/>
          </w:tcPr>
          <w:p w:rsidR="00505632" w:rsidRDefault="00505632" w:rsidP="00AD4E52">
            <w:pPr>
              <w:jc w:val="right"/>
            </w:pPr>
            <w:r>
              <w:t>9.079.723</w:t>
            </w:r>
          </w:p>
        </w:tc>
        <w:tc>
          <w:tcPr>
            <w:tcW w:w="1960" w:type="dxa"/>
          </w:tcPr>
          <w:p w:rsidR="00505632" w:rsidRDefault="00505632" w:rsidP="00AD4E52">
            <w:pPr>
              <w:jc w:val="right"/>
            </w:pPr>
            <w:r>
              <w:t>19.550.000</w:t>
            </w:r>
          </w:p>
        </w:tc>
        <w:tc>
          <w:tcPr>
            <w:tcW w:w="1960" w:type="dxa"/>
          </w:tcPr>
          <w:p w:rsidR="00505632" w:rsidRDefault="00505632" w:rsidP="00AD4E52">
            <w:pPr>
              <w:jc w:val="right"/>
            </w:pPr>
            <w:r>
              <w:t>14.930.520</w:t>
            </w:r>
          </w:p>
        </w:tc>
        <w:tc>
          <w:tcPr>
            <w:tcW w:w="1201" w:type="dxa"/>
          </w:tcPr>
          <w:p w:rsidR="00505632" w:rsidRDefault="00505632" w:rsidP="00AD4E52">
            <w:pPr>
              <w:jc w:val="right"/>
            </w:pPr>
            <w:r>
              <w:t>76,4</w:t>
            </w:r>
          </w:p>
        </w:tc>
        <w:tc>
          <w:tcPr>
            <w:tcW w:w="1211" w:type="dxa"/>
          </w:tcPr>
          <w:p w:rsidR="00505632" w:rsidRDefault="00505632" w:rsidP="00AD4E52">
            <w:pPr>
              <w:jc w:val="right"/>
            </w:pPr>
            <w:r>
              <w:t>164,4</w:t>
            </w:r>
          </w:p>
        </w:tc>
      </w:tr>
    </w:tbl>
    <w:p w:rsidR="00505632" w:rsidRDefault="00505632" w:rsidP="00505632">
      <w:pPr>
        <w:jc w:val="left"/>
      </w:pPr>
    </w:p>
    <w:p w:rsidR="00505632" w:rsidRDefault="00505632" w:rsidP="00505632">
      <w:pPr>
        <w:pStyle w:val="Heading3"/>
      </w:pPr>
      <w:r>
        <w:rPr>
          <w:rFonts w:cs="Times New Roman"/>
        </w:rPr>
        <w:t>2801 KOORDINACIJA I UPRAVLJANJE PRAVOSUĐA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2801-KOORDINACIJA I UPRAVLJANJE PRAVOSUĐA</w:t>
            </w:r>
          </w:p>
        </w:tc>
        <w:tc>
          <w:tcPr>
            <w:tcW w:w="2041" w:type="dxa"/>
          </w:tcPr>
          <w:p w:rsidR="00505632" w:rsidRDefault="00505632" w:rsidP="00AD4E52">
            <w:pPr>
              <w:pStyle w:val="CellColumn"/>
              <w:jc w:val="right"/>
            </w:pPr>
            <w:r>
              <w:rPr>
                <w:rFonts w:cs="Times New Roman"/>
              </w:rPr>
              <w:t>145.519.401</w:t>
            </w:r>
          </w:p>
        </w:tc>
        <w:tc>
          <w:tcPr>
            <w:tcW w:w="2041" w:type="dxa"/>
          </w:tcPr>
          <w:p w:rsidR="00505632" w:rsidRDefault="00505632" w:rsidP="00AD4E52">
            <w:pPr>
              <w:pStyle w:val="CellColumn"/>
              <w:jc w:val="right"/>
            </w:pPr>
            <w:r>
              <w:rPr>
                <w:rFonts w:cs="Times New Roman"/>
              </w:rPr>
              <w:t>161.090.880</w:t>
            </w:r>
          </w:p>
        </w:tc>
        <w:tc>
          <w:tcPr>
            <w:tcW w:w="2041" w:type="dxa"/>
          </w:tcPr>
          <w:p w:rsidR="00505632" w:rsidRDefault="00505632" w:rsidP="00AD4E52">
            <w:pPr>
              <w:pStyle w:val="CellColumn"/>
              <w:jc w:val="right"/>
            </w:pPr>
            <w:r>
              <w:rPr>
                <w:rFonts w:cs="Times New Roman"/>
              </w:rPr>
              <w:t>163.619.815</w:t>
            </w:r>
          </w:p>
        </w:tc>
        <w:tc>
          <w:tcPr>
            <w:tcW w:w="1224" w:type="dxa"/>
          </w:tcPr>
          <w:p w:rsidR="00505632" w:rsidRDefault="00505632" w:rsidP="00AD4E52">
            <w:pPr>
              <w:pStyle w:val="CellColumn"/>
              <w:jc w:val="right"/>
            </w:pPr>
            <w:r>
              <w:rPr>
                <w:rFonts w:cs="Times New Roman"/>
              </w:rPr>
              <w:t>101,6</w:t>
            </w:r>
          </w:p>
        </w:tc>
        <w:tc>
          <w:tcPr>
            <w:tcW w:w="1224" w:type="dxa"/>
          </w:tcPr>
          <w:p w:rsidR="00505632" w:rsidRDefault="00505632" w:rsidP="00AD4E52">
            <w:pPr>
              <w:pStyle w:val="CellColumn"/>
              <w:jc w:val="right"/>
            </w:pPr>
            <w:r>
              <w:rPr>
                <w:rFonts w:cs="Times New Roman"/>
              </w:rPr>
              <w:t>112,4</w:t>
            </w:r>
          </w:p>
        </w:tc>
      </w:tr>
    </w:tbl>
    <w:p w:rsidR="00505632" w:rsidRDefault="00505632" w:rsidP="00505632">
      <w:pPr>
        <w:jc w:val="left"/>
      </w:pPr>
    </w:p>
    <w:p w:rsidR="00505632" w:rsidRDefault="00505632" w:rsidP="00505632">
      <w:r>
        <w:t>Program provodi glava 11005 - Ministarstvo pravosuđa. Najvažnije aktivnosti unutar programa su Administracija i upravljanje Ministarstva, Izvršavanje pravomoćnih sudskih odluka, nagodbi i ovrha, te Zastupanje pred međunarodnim sudom i međunarodnim kaznenim sudovima. Programom se osigurava redovan rad Ministarstva i sustava pravosudnih i kaznenih tijela.</w:t>
      </w:r>
    </w:p>
    <w:p w:rsidR="00505632" w:rsidRDefault="00505632" w:rsidP="00505632">
      <w:pPr>
        <w:pStyle w:val="Heading8"/>
        <w:jc w:val="left"/>
      </w:pPr>
      <w:r>
        <w:t>Cilj 1.  Uvođenje novih i unaprjeđenje postojećih sustava u pravosuđu</w:t>
      </w:r>
    </w:p>
    <w:p w:rsidR="00505632" w:rsidRDefault="00505632" w:rsidP="00505632">
      <w:pPr>
        <w:pStyle w:val="Heading8"/>
        <w:jc w:val="left"/>
      </w:pPr>
      <w:r>
        <w:t>Cilj 2. Jačanje učinkovitosti pravosuđa</w:t>
      </w:r>
    </w:p>
    <w:p w:rsidR="00505632" w:rsidRDefault="00505632" w:rsidP="00505632">
      <w:pPr>
        <w:pStyle w:val="Heading4"/>
      </w:pPr>
      <w:r>
        <w:t>A629000 ADMINISTRACIJA I UPRAVLJANJE MINISTARSTVA</w:t>
      </w:r>
    </w:p>
    <w:tbl>
      <w:tblPr>
        <w:tblStyle w:val="StilTablice"/>
        <w:tblW w:w="10206" w:type="dxa"/>
        <w:jc w:val="center"/>
        <w:tblLook w:val="04A0" w:firstRow="1" w:lastRow="0" w:firstColumn="1" w:lastColumn="0" w:noHBand="0" w:noVBand="1"/>
      </w:tblPr>
      <w:tblGrid>
        <w:gridCol w:w="1793"/>
        <w:gridCol w:w="1996"/>
        <w:gridCol w:w="1995"/>
        <w:gridCol w:w="1995"/>
        <w:gridCol w:w="1211"/>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A629000-ADMINISTRACIJA I UPRAVLJANJE MINISTARSTVA</w:t>
            </w:r>
          </w:p>
        </w:tc>
        <w:tc>
          <w:tcPr>
            <w:tcW w:w="2041" w:type="dxa"/>
          </w:tcPr>
          <w:p w:rsidR="00505632" w:rsidRDefault="00505632" w:rsidP="00AD4E52">
            <w:pPr>
              <w:pStyle w:val="CellColumn"/>
              <w:jc w:val="right"/>
            </w:pPr>
            <w:r>
              <w:rPr>
                <w:rFonts w:cs="Times New Roman"/>
              </w:rPr>
              <w:t>126.266.065</w:t>
            </w:r>
          </w:p>
        </w:tc>
        <w:tc>
          <w:tcPr>
            <w:tcW w:w="2041" w:type="dxa"/>
          </w:tcPr>
          <w:p w:rsidR="00505632" w:rsidRDefault="00505632" w:rsidP="00AD4E52">
            <w:pPr>
              <w:pStyle w:val="CellColumn"/>
              <w:jc w:val="right"/>
            </w:pPr>
            <w:r>
              <w:rPr>
                <w:rFonts w:cs="Times New Roman"/>
              </w:rPr>
              <w:t>134.916.178</w:t>
            </w:r>
          </w:p>
        </w:tc>
        <w:tc>
          <w:tcPr>
            <w:tcW w:w="2041" w:type="dxa"/>
          </w:tcPr>
          <w:p w:rsidR="00505632" w:rsidRDefault="00505632" w:rsidP="00AD4E52">
            <w:pPr>
              <w:pStyle w:val="CellColumn"/>
              <w:jc w:val="right"/>
            </w:pPr>
            <w:r>
              <w:rPr>
                <w:rFonts w:cs="Times New Roman"/>
              </w:rPr>
              <w:t>135.659.516</w:t>
            </w:r>
          </w:p>
        </w:tc>
        <w:tc>
          <w:tcPr>
            <w:tcW w:w="1224" w:type="dxa"/>
          </w:tcPr>
          <w:p w:rsidR="00505632" w:rsidRDefault="00505632" w:rsidP="00AD4E52">
            <w:pPr>
              <w:pStyle w:val="CellColumn"/>
              <w:jc w:val="right"/>
            </w:pPr>
            <w:r>
              <w:rPr>
                <w:rFonts w:cs="Times New Roman"/>
              </w:rPr>
              <w:t>100,6</w:t>
            </w:r>
          </w:p>
        </w:tc>
        <w:tc>
          <w:tcPr>
            <w:tcW w:w="1224" w:type="dxa"/>
          </w:tcPr>
          <w:p w:rsidR="00505632" w:rsidRDefault="00505632" w:rsidP="00AD4E52">
            <w:pPr>
              <w:pStyle w:val="CellColumn"/>
              <w:jc w:val="right"/>
            </w:pPr>
            <w:r>
              <w:rPr>
                <w:rFonts w:cs="Times New Roman"/>
              </w:rPr>
              <w:t>107,4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ustrojstvu i djelokrugu ministarstava i drugih središnjih tijela državne uprave (NN 150/11, 22/12, 39/13, 125/13, 148/13).</w:t>
      </w:r>
    </w:p>
    <w:p w:rsidR="00505632" w:rsidRDefault="00505632" w:rsidP="00505632">
      <w:pPr>
        <w:pStyle w:val="Heading8"/>
        <w:jc w:val="left"/>
      </w:pPr>
      <w:r>
        <w:t>Opis aktivnosti</w:t>
      </w:r>
    </w:p>
    <w:p w:rsidR="00505632" w:rsidRDefault="00505632" w:rsidP="00505632">
      <w:r>
        <w:t>Administracija i upravljanje Ministarstva je aktivnost putem koje su osigurana sredstva za financiranje rashoda za zaposlene i materijalnih rashoda koji omogućuju redovan rad Ministarstva pravosuđa. Kroz aktivnost se ostvaruje i cilj  ispunjenja financijskih obveza koje proizlaze na temelju članstva Republike Hrvatske u pojedinim međunarodnim organizacijama, odnosno njihovim radnim grupama.</w:t>
      </w:r>
    </w:p>
    <w:p w:rsidR="00505632" w:rsidRDefault="00505632" w:rsidP="00505632">
      <w:pPr>
        <w:pStyle w:val="Heading4"/>
      </w:pPr>
      <w:r>
        <w:t>A629150 IZVRŠAVANJE PRAVOMOĆNIH SUDSKIH ODLUKA, NAGODBI I OVRHA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A629150-IZVRŠAVANJE PRAVOMOĆNIH SUDSKIH ODLUKA, NAGODBI I OVRHA</w:t>
            </w:r>
          </w:p>
        </w:tc>
        <w:tc>
          <w:tcPr>
            <w:tcW w:w="2041" w:type="dxa"/>
          </w:tcPr>
          <w:p w:rsidR="00505632" w:rsidRDefault="00505632" w:rsidP="00AD4E52">
            <w:pPr>
              <w:pStyle w:val="CellColumn"/>
              <w:jc w:val="right"/>
            </w:pPr>
            <w:r>
              <w:rPr>
                <w:rFonts w:cs="Times New Roman"/>
              </w:rPr>
              <w:t>16.849.789</w:t>
            </w:r>
          </w:p>
        </w:tc>
        <w:tc>
          <w:tcPr>
            <w:tcW w:w="2041" w:type="dxa"/>
          </w:tcPr>
          <w:p w:rsidR="00505632" w:rsidRDefault="00505632" w:rsidP="00AD4E52">
            <w:pPr>
              <w:pStyle w:val="CellColumn"/>
              <w:jc w:val="right"/>
            </w:pPr>
            <w:r>
              <w:rPr>
                <w:rFonts w:cs="Times New Roman"/>
              </w:rPr>
              <w:t>22.882.102</w:t>
            </w:r>
          </w:p>
        </w:tc>
        <w:tc>
          <w:tcPr>
            <w:tcW w:w="2041" w:type="dxa"/>
          </w:tcPr>
          <w:p w:rsidR="00505632" w:rsidRDefault="00505632" w:rsidP="00AD4E52">
            <w:pPr>
              <w:pStyle w:val="CellColumn"/>
              <w:jc w:val="right"/>
            </w:pPr>
            <w:r>
              <w:rPr>
                <w:rFonts w:cs="Times New Roman"/>
              </w:rPr>
              <w:t>24.670.775</w:t>
            </w:r>
          </w:p>
        </w:tc>
        <w:tc>
          <w:tcPr>
            <w:tcW w:w="1224" w:type="dxa"/>
          </w:tcPr>
          <w:p w:rsidR="00505632" w:rsidRDefault="00505632" w:rsidP="00AD4E52">
            <w:pPr>
              <w:pStyle w:val="CellColumn"/>
              <w:jc w:val="right"/>
            </w:pPr>
            <w:r>
              <w:rPr>
                <w:rFonts w:cs="Times New Roman"/>
              </w:rPr>
              <w:t>107,8</w:t>
            </w:r>
          </w:p>
        </w:tc>
        <w:tc>
          <w:tcPr>
            <w:tcW w:w="1224" w:type="dxa"/>
          </w:tcPr>
          <w:p w:rsidR="00505632" w:rsidRDefault="00505632" w:rsidP="00AD4E52">
            <w:pPr>
              <w:pStyle w:val="CellColumn"/>
              <w:jc w:val="right"/>
            </w:pPr>
            <w:r>
              <w:rPr>
                <w:rFonts w:cs="Times New Roman"/>
              </w:rPr>
              <w:t>146,4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parničnom postupku (NN 57/11, 148/11), Ovršni zakon (NN 112/12, 25/13, 93/14 i 55/16).</w:t>
      </w:r>
    </w:p>
    <w:p w:rsidR="00505632" w:rsidRDefault="00505632" w:rsidP="00505632">
      <w:pPr>
        <w:pStyle w:val="Heading8"/>
        <w:jc w:val="left"/>
      </w:pPr>
      <w:r>
        <w:t>Opis aktivnosti</w:t>
      </w:r>
    </w:p>
    <w:p w:rsidR="00505632" w:rsidRDefault="00505632" w:rsidP="00505632">
      <w:r>
        <w:t>Ovom aktivnošću podmiruju se troškovi strankama (pravnim i fizičkim osobama), odnosno obveze nastale s osnova pravomoćnih sudskih odluka, ovršnih isprava, kao i naknada po sklopljenim nagodbama i kompenzacije neosnovano pritvorenim osobama u kojima je jedna od stranaka Republika Hrvatska.</w:t>
      </w:r>
    </w:p>
    <w:p w:rsidR="00505632" w:rsidRDefault="00505632" w:rsidP="00505632">
      <w:pPr>
        <w:pStyle w:val="Heading4"/>
      </w:pPr>
      <w:r>
        <w:t>A629172 ZASTUPANJE PRED MEĐUNARODNIM SUDOM I MEĐUNARODNIM KAZNENIM SUDOVIMA</w:t>
      </w:r>
    </w:p>
    <w:tbl>
      <w:tblPr>
        <w:tblStyle w:val="StilTablice"/>
        <w:tblW w:w="10206" w:type="dxa"/>
        <w:jc w:val="center"/>
        <w:tblLook w:val="04A0" w:firstRow="1" w:lastRow="0" w:firstColumn="1" w:lastColumn="0" w:noHBand="0" w:noVBand="1"/>
      </w:tblPr>
      <w:tblGrid>
        <w:gridCol w:w="1804"/>
        <w:gridCol w:w="1991"/>
        <w:gridCol w:w="1991"/>
        <w:gridCol w:w="1991"/>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A629172-ZASTUPANJE PRED MEĐUNARODNIM SUDOM I MEĐUNARODNIM KAZNENIM SUDOVIMA</w:t>
            </w:r>
          </w:p>
        </w:tc>
        <w:tc>
          <w:tcPr>
            <w:tcW w:w="2041" w:type="dxa"/>
          </w:tcPr>
          <w:p w:rsidR="00505632" w:rsidRDefault="00505632" w:rsidP="00AD4E52">
            <w:pPr>
              <w:pStyle w:val="CellColumn"/>
              <w:jc w:val="right"/>
            </w:pPr>
            <w:r>
              <w:rPr>
                <w:rFonts w:cs="Times New Roman"/>
              </w:rPr>
              <w:t>1.611.342</w:t>
            </w:r>
          </w:p>
        </w:tc>
        <w:tc>
          <w:tcPr>
            <w:tcW w:w="2041" w:type="dxa"/>
          </w:tcPr>
          <w:p w:rsidR="00505632" w:rsidRDefault="00505632" w:rsidP="00AD4E52">
            <w:pPr>
              <w:pStyle w:val="CellColumn"/>
              <w:jc w:val="right"/>
            </w:pPr>
            <w:r>
              <w:rPr>
                <w:rFonts w:cs="Times New Roman"/>
              </w:rPr>
              <w:t>2.335.000</w:t>
            </w:r>
          </w:p>
        </w:tc>
        <w:tc>
          <w:tcPr>
            <w:tcW w:w="2041" w:type="dxa"/>
          </w:tcPr>
          <w:p w:rsidR="00505632" w:rsidRDefault="00505632" w:rsidP="00AD4E52">
            <w:pPr>
              <w:pStyle w:val="CellColumn"/>
              <w:jc w:val="right"/>
            </w:pPr>
            <w:r>
              <w:rPr>
                <w:rFonts w:cs="Times New Roman"/>
              </w:rPr>
              <w:t>2.334.827</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144,9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Ustavni zakon o suradnji  Republike Hrvatske s Međunarodnim kaznenim sudom (NN 32/96 od 26 travnja 1996. godine), Zakon o primjeni Statuta Međunarodnog kaznenog suda i progonu za kaznena djela protiv međunarodnoga ratnog i humanitarnog prava (NN 175/03, 29/04, 55/11 i 125/11), Rezolucija o suradnji s Međunarodnim kaznenim sudom u Haagu (NN 24/99 od 12. ožujka 1999. godine).</w:t>
      </w:r>
    </w:p>
    <w:p w:rsidR="00505632" w:rsidRDefault="00505632" w:rsidP="00505632">
      <w:pPr>
        <w:pStyle w:val="Heading8"/>
        <w:jc w:val="left"/>
      </w:pPr>
      <w:r>
        <w:t>Opis aktivnosti</w:t>
      </w:r>
    </w:p>
    <w:p w:rsidR="00505632" w:rsidRDefault="00505632" w:rsidP="00505632">
      <w:r>
        <w:t>Ovom aktivnošću se financira suradnja predstavnika RH sa Međunarodnim kaznenim sudom za bivšu Jugoslaviju, a temeljem Odluke Vlade o financiranju dijela troškova za osobe koje se temeljem odluka Međunarodnog kaznenog suda nalaze u pritvoru.</w:t>
      </w:r>
    </w:p>
    <w:p w:rsidR="00505632" w:rsidRDefault="00505632" w:rsidP="00505632">
      <w:pPr>
        <w:pStyle w:val="Heading4"/>
      </w:pPr>
      <w:r>
        <w:t>A630017 DJELATNOST OVLAŠTENIH SLUŽBENIH OSOBA NA OSIGURANJU PRAVOSUDNIH TIJELA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A630017-DJELATNOST OVLAŠTENIH SLUŽBENIH OSOBA NA OSIGURANJU PRAVOSUDNIH TIJELA</w:t>
            </w:r>
          </w:p>
        </w:tc>
        <w:tc>
          <w:tcPr>
            <w:tcW w:w="2041" w:type="dxa"/>
          </w:tcPr>
          <w:p w:rsidR="00505632" w:rsidRDefault="00505632" w:rsidP="00AD4E52">
            <w:pPr>
              <w:pStyle w:val="CellColumn"/>
              <w:jc w:val="right"/>
            </w:pPr>
            <w:r>
              <w:rPr>
                <w:rFonts w:cs="Times New Roman"/>
              </w:rPr>
              <w:t>791.885</w:t>
            </w:r>
          </w:p>
        </w:tc>
        <w:tc>
          <w:tcPr>
            <w:tcW w:w="2041" w:type="dxa"/>
          </w:tcPr>
          <w:p w:rsidR="00505632" w:rsidRDefault="00505632" w:rsidP="00AD4E52">
            <w:pPr>
              <w:pStyle w:val="CellColumn"/>
              <w:jc w:val="right"/>
            </w:pPr>
            <w:r>
              <w:rPr>
                <w:rFonts w:cs="Times New Roman"/>
              </w:rPr>
              <w:t>957.510</w:t>
            </w:r>
          </w:p>
        </w:tc>
        <w:tc>
          <w:tcPr>
            <w:tcW w:w="2041" w:type="dxa"/>
          </w:tcPr>
          <w:p w:rsidR="00505632" w:rsidRDefault="00505632" w:rsidP="00AD4E52">
            <w:pPr>
              <w:pStyle w:val="CellColumn"/>
              <w:jc w:val="right"/>
            </w:pPr>
            <w:r>
              <w:rPr>
                <w:rFonts w:cs="Times New Roman"/>
              </w:rPr>
              <w:t>954.698</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120,6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82/16), Zakon o Državnom odvjetništvu (NN  76/09, 153/09, 116/10, 145/10, 57/11, 130/11, 72/13, 148/13, 33/15, 82/15), Uredba o odorama državnih službenika odjela osiguranja u kaznionicama, zatvorima i odgojnim zavodima te službenim vozilima (NN 88/11), Pravilnik o službenoj iskaznici i znački službenika pravosudne policije (NN 31/15), Pravilnik o postupku utvrđivanja posebne zdravstvene sposobnosti za obavljanje poslova službenika pravosudne policije te o izboru članova i načinu rada zdravstvene komisije (NN 123/15), Pravilnik o načinu zaštite osoba, imovine i objekata sudova i državnih odvjetništava.</w:t>
      </w:r>
    </w:p>
    <w:p w:rsidR="00505632" w:rsidRDefault="00505632" w:rsidP="00505632">
      <w:pPr>
        <w:pStyle w:val="Heading8"/>
        <w:jc w:val="left"/>
      </w:pPr>
      <w:r>
        <w:t>Opis aktivnosti</w:t>
      </w:r>
    </w:p>
    <w:p w:rsidR="00505632" w:rsidRDefault="00505632" w:rsidP="00505632">
      <w:r>
        <w:t>Sukladno odredbama Uredbe o odorama službenika odjela osiguranja u kaznionicama i zatvorima, te službenim vozilima, a uzimajući pri tome propisane rokove upotrebe određenih dijelova odore i opreme planirana je njihova nabava i za službenike pravosudne policije na osiguranju pravosudnih tijela. Isporučenim dijelovima odora i opremom, kao i novim kompletima zaduženi su novozaposleni službenici raspoređeni na osiguranje pravosudnih tijela, kao i službenici kod kojih su istekli rokovi uporabe spomenutih dijelova odora i opreme. Tijekom 2016. g. nastavljeno je obavljanje zdravstvenih pregleda službenika pravosudne policije radi utvrđivanja posebne zdravstvene sposobnosti kroz redovne zdravstvene preglede, te upućivanje na zdravstvene preglede kandidata za obavljanje poslova osiguranja radi prijama/premještaja ili rasporeda u državnu službu na poslove osiguranja pravosudnih tijela. Za potrebe obavljanja poslova osiguranja tijekom 2016. g. nabavljeno je 150 raspršivača sa neškodljivim tvarima sa pripadajućim futrolama kojima su zaduženi službenici pravosudne policije. Osiguranje medicinske pomoći za provedena vježbovna bojeva gađanja svih službenika pravosudne policije Odsjeka osiguranja u Zagrebu, Splitu, Rijeci i Osijeku.</w:t>
      </w:r>
    </w:p>
    <w:p w:rsidR="00505632" w:rsidRDefault="00505632" w:rsidP="00505632">
      <w:pPr>
        <w:pStyle w:val="Heading3"/>
      </w:pPr>
      <w:r>
        <w:rPr>
          <w:rFonts w:cs="Times New Roman"/>
        </w:rPr>
        <w:t>2803 VOĐENJE SUDSKIH POSTUPAKA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2803-VOĐENJE SUDSKIH POSTUPAKA</w:t>
            </w:r>
          </w:p>
        </w:tc>
        <w:tc>
          <w:tcPr>
            <w:tcW w:w="2041" w:type="dxa"/>
          </w:tcPr>
          <w:p w:rsidR="00505632" w:rsidRDefault="00505632" w:rsidP="00AD4E52">
            <w:pPr>
              <w:pStyle w:val="CellColumn"/>
              <w:jc w:val="right"/>
            </w:pPr>
            <w:r>
              <w:rPr>
                <w:rFonts w:cs="Times New Roman"/>
              </w:rPr>
              <w:t>14.239.328</w:t>
            </w:r>
          </w:p>
        </w:tc>
        <w:tc>
          <w:tcPr>
            <w:tcW w:w="2041" w:type="dxa"/>
          </w:tcPr>
          <w:p w:rsidR="00505632" w:rsidRDefault="00505632" w:rsidP="00AD4E52">
            <w:pPr>
              <w:pStyle w:val="CellColumn"/>
              <w:jc w:val="right"/>
            </w:pPr>
            <w:r>
              <w:rPr>
                <w:rFonts w:cs="Times New Roman"/>
              </w:rPr>
              <w:t>11.906.018</w:t>
            </w:r>
          </w:p>
        </w:tc>
        <w:tc>
          <w:tcPr>
            <w:tcW w:w="2041" w:type="dxa"/>
          </w:tcPr>
          <w:p w:rsidR="00505632" w:rsidRDefault="00505632" w:rsidP="00AD4E52">
            <w:pPr>
              <w:pStyle w:val="CellColumn"/>
              <w:jc w:val="right"/>
            </w:pPr>
            <w:r>
              <w:rPr>
                <w:rFonts w:cs="Times New Roman"/>
              </w:rPr>
              <w:t>9.030.666</w:t>
            </w:r>
          </w:p>
        </w:tc>
        <w:tc>
          <w:tcPr>
            <w:tcW w:w="1224" w:type="dxa"/>
          </w:tcPr>
          <w:p w:rsidR="00505632" w:rsidRDefault="00505632" w:rsidP="00AD4E52">
            <w:pPr>
              <w:pStyle w:val="CellColumn"/>
              <w:jc w:val="right"/>
            </w:pPr>
            <w:r>
              <w:rPr>
                <w:rFonts w:cs="Times New Roman"/>
              </w:rPr>
              <w:t>75,8</w:t>
            </w:r>
          </w:p>
        </w:tc>
        <w:tc>
          <w:tcPr>
            <w:tcW w:w="1224" w:type="dxa"/>
          </w:tcPr>
          <w:p w:rsidR="00505632" w:rsidRDefault="00505632" w:rsidP="00AD4E52">
            <w:pPr>
              <w:pStyle w:val="CellColumn"/>
              <w:jc w:val="right"/>
            </w:pPr>
            <w:r>
              <w:rPr>
                <w:rFonts w:cs="Times New Roman"/>
              </w:rPr>
              <w:t>63,4</w:t>
            </w:r>
          </w:p>
        </w:tc>
      </w:tr>
    </w:tbl>
    <w:p w:rsidR="00505632" w:rsidRDefault="00505632" w:rsidP="00505632">
      <w:pPr>
        <w:jc w:val="left"/>
      </w:pPr>
    </w:p>
    <w:p w:rsidR="00505632" w:rsidRDefault="00505632" w:rsidP="00505632">
      <w:r>
        <w:t>Prema Ustavu RH nositelji sudbene vlasti su sudovi. U okviru svojih ustavnih zadaća i Zakonom o sudovima utvrđenih nadležnosti u RH sudbenu vlast obavljaju redovni i specijalizirani sudovi, te Vrhovni sud RH kao najviši sud u Hrvatskoj. Redovni sudovi su općinski i županijski sudovi, a specijalizirani sudovi su trgovački, upravni, prekršajni, Visoki trgovački sud, Visoki upravni sud i Visoki prekršajni sud. Program Vođenje sudskih postupaka obuhvaća vođenje sudskih postupaka iz nadležnosti spomenutih sudova.</w:t>
      </w:r>
    </w:p>
    <w:p w:rsidR="00505632" w:rsidRDefault="00505632" w:rsidP="00505632">
      <w:pPr>
        <w:pStyle w:val="Heading8"/>
        <w:jc w:val="left"/>
      </w:pPr>
      <w:r>
        <w:t>Cilj 1. Povećanje učinkovitosti rada sudova</w:t>
      </w:r>
    </w:p>
    <w:p w:rsidR="00505632" w:rsidRDefault="00505632" w:rsidP="00505632">
      <w:pPr>
        <w:pStyle w:val="Heading4"/>
      </w:pPr>
      <w:r>
        <w:t>A630020 NAKNADA TROŠKOVA NASTALIH USTUPANJEM PREDMETA DRUGOM STVARNO NADLEŽNOM SUDU, PARNIČNI I DRUGI TROŠKOVI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A630020-NAKNADA TROŠKOVA NASTALIH USTUPANJEM PREDMETA DRUGOM STVARNO NADLEŽNOM SUDU, PARNIČNI I DRUGI TROŠKOVI</w:t>
            </w:r>
          </w:p>
        </w:tc>
        <w:tc>
          <w:tcPr>
            <w:tcW w:w="2041" w:type="dxa"/>
          </w:tcPr>
          <w:p w:rsidR="00505632" w:rsidRDefault="00505632" w:rsidP="00AD4E52">
            <w:pPr>
              <w:pStyle w:val="CellColumn"/>
              <w:jc w:val="right"/>
            </w:pPr>
            <w:r>
              <w:rPr>
                <w:rFonts w:cs="Times New Roman"/>
              </w:rPr>
              <w:t>1.699.976</w:t>
            </w:r>
          </w:p>
        </w:tc>
        <w:tc>
          <w:tcPr>
            <w:tcW w:w="2041" w:type="dxa"/>
          </w:tcPr>
          <w:p w:rsidR="00505632" w:rsidRDefault="00505632" w:rsidP="00AD4E52">
            <w:pPr>
              <w:pStyle w:val="CellColumn"/>
              <w:jc w:val="right"/>
            </w:pPr>
            <w:r>
              <w:rPr>
                <w:rFonts w:cs="Times New Roman"/>
              </w:rPr>
              <w:t>1.650.000</w:t>
            </w:r>
          </w:p>
        </w:tc>
        <w:tc>
          <w:tcPr>
            <w:tcW w:w="2041" w:type="dxa"/>
          </w:tcPr>
          <w:p w:rsidR="00505632" w:rsidRDefault="00505632" w:rsidP="00AD4E52">
            <w:pPr>
              <w:pStyle w:val="CellColumn"/>
              <w:jc w:val="right"/>
            </w:pPr>
            <w:r>
              <w:rPr>
                <w:rFonts w:cs="Times New Roman"/>
              </w:rPr>
              <w:t>1.649.923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97,1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i 82/16 -  članak 11, stavak 1. i 2.), Tarifa o nagradama i naknadi troškova za rad odvjetnika (NN 142/12, 103/14, 118/14).</w:t>
      </w:r>
    </w:p>
    <w:p w:rsidR="00505632" w:rsidRDefault="00505632" w:rsidP="00505632">
      <w:pPr>
        <w:pStyle w:val="Heading8"/>
        <w:jc w:val="left"/>
      </w:pPr>
      <w:r>
        <w:t>Opis aktivnosti</w:t>
      </w:r>
    </w:p>
    <w:p w:rsidR="00505632" w:rsidRDefault="00505632" w:rsidP="00505632">
      <w:r>
        <w:t>Aktivnost se odnosi na isplatu troškova uzrokovanih ustupanjem predmeta drugim stvarno nadležnim sudovima po rješenjima sudova, odnosno isplata troškova puta strankama ili odvjetnicima, te troškova izbivanja iz pisarnice odvjetnika. Cilj ove aktivnosti je postizanje ravnomjernije opterećenosti sudova radi učinkovitijeg i bržeg rješavanja predmeta. Tijekom 2016. godine Ministarstvu je od strane općinskih državnih odvjetništva i sudova dostavljeno 1793 predmeta s ukupnim potraživanjem u iznosu od 2.643.787  kuna, od čega je trošak isplaćen u 1514 predmeta u iznosu od 1.703.692,41 kuna.</w:t>
      </w:r>
    </w:p>
    <w:p w:rsidR="00505632" w:rsidRDefault="00505632" w:rsidP="00505632">
      <w:pPr>
        <w:pStyle w:val="Heading4"/>
      </w:pPr>
      <w:r>
        <w:t>A630065 PSIHOSOCIJALNI TRETMAN U KAZNENOM I PREKRŠAJNOM POSTUPKU</w:t>
      </w:r>
    </w:p>
    <w:tbl>
      <w:tblPr>
        <w:tblStyle w:val="StilTablice"/>
        <w:tblW w:w="10206" w:type="dxa"/>
        <w:jc w:val="center"/>
        <w:tblLook w:val="04A0" w:firstRow="1" w:lastRow="0" w:firstColumn="1" w:lastColumn="0" w:noHBand="0" w:noVBand="1"/>
      </w:tblPr>
      <w:tblGrid>
        <w:gridCol w:w="1704"/>
        <w:gridCol w:w="2021"/>
        <w:gridCol w:w="2019"/>
        <w:gridCol w:w="2021"/>
        <w:gridCol w:w="1220"/>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A630065-PSIHOSOCIJALNI TRETMAN U KAZNENOM I PREKRŠAJNOM POSTUPKU</w:t>
            </w:r>
          </w:p>
        </w:tc>
        <w:tc>
          <w:tcPr>
            <w:tcW w:w="2041" w:type="dxa"/>
          </w:tcPr>
          <w:p w:rsidR="00505632" w:rsidRDefault="00505632" w:rsidP="00AD4E52">
            <w:pPr>
              <w:pStyle w:val="CellColumn"/>
              <w:jc w:val="right"/>
            </w:pPr>
            <w:r>
              <w:rPr>
                <w:rFonts w:cs="Times New Roman"/>
              </w:rPr>
              <w:t>680.000</w:t>
            </w:r>
          </w:p>
        </w:tc>
        <w:tc>
          <w:tcPr>
            <w:tcW w:w="2041" w:type="dxa"/>
          </w:tcPr>
          <w:p w:rsidR="00505632" w:rsidRDefault="00505632" w:rsidP="00AD4E52">
            <w:pPr>
              <w:pStyle w:val="CellColumn"/>
              <w:jc w:val="right"/>
            </w:pPr>
            <w:r>
              <w:rPr>
                <w:rFonts w:cs="Times New Roman"/>
              </w:rPr>
              <w:t>665.000</w:t>
            </w:r>
          </w:p>
        </w:tc>
        <w:tc>
          <w:tcPr>
            <w:tcW w:w="2041" w:type="dxa"/>
          </w:tcPr>
          <w:p w:rsidR="00505632" w:rsidRDefault="00505632" w:rsidP="00AD4E52">
            <w:pPr>
              <w:pStyle w:val="CellColumn"/>
              <w:jc w:val="right"/>
            </w:pPr>
            <w:r>
              <w:rPr>
                <w:rFonts w:cs="Times New Roman"/>
              </w:rPr>
              <w:t>627.060</w:t>
            </w:r>
          </w:p>
        </w:tc>
        <w:tc>
          <w:tcPr>
            <w:tcW w:w="1224" w:type="dxa"/>
          </w:tcPr>
          <w:p w:rsidR="00505632" w:rsidRDefault="00505632" w:rsidP="00AD4E52">
            <w:pPr>
              <w:pStyle w:val="CellColumn"/>
              <w:jc w:val="right"/>
            </w:pPr>
            <w:r>
              <w:rPr>
                <w:rFonts w:cs="Times New Roman"/>
              </w:rPr>
              <w:t>94,3</w:t>
            </w:r>
          </w:p>
        </w:tc>
        <w:tc>
          <w:tcPr>
            <w:tcW w:w="1224" w:type="dxa"/>
          </w:tcPr>
          <w:p w:rsidR="00505632" w:rsidRDefault="00505632" w:rsidP="00AD4E52">
            <w:pPr>
              <w:pStyle w:val="CellColumn"/>
              <w:jc w:val="right"/>
            </w:pPr>
            <w:r>
              <w:rPr>
                <w:rFonts w:cs="Times New Roman"/>
              </w:rPr>
              <w:t>92,2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Kazneni zakon („Narodne novine“ broj: 125/11, 144/12, 56/15 i 61/15); Zakon o zaštiti od nasilja u obitelji („Narodne novine“ broj: 137/09, 14/10 i 60/10), Pravilnik o izvršavanju sigurnosne mjere obveznog psihosocijalnog tretmana („Narodne novine“ broj: 42/13 i 142/13) i Pravilnik o načinu i mjestu provođenja psihosocijalnog tretmana („Narodne novine“, broj: 29/05 i 78/06).</w:t>
      </w:r>
    </w:p>
    <w:p w:rsidR="00505632" w:rsidRDefault="00505632" w:rsidP="00505632">
      <w:pPr>
        <w:pStyle w:val="Heading8"/>
        <w:jc w:val="left"/>
      </w:pPr>
      <w:r>
        <w:t>Opis aktivnosti</w:t>
      </w:r>
    </w:p>
    <w:p w:rsidR="00505632" w:rsidRDefault="00505632" w:rsidP="00505632">
      <w:r>
        <w:t xml:space="preserve">Provođenje/izvršavanje sigurnosne mjere obveznog psihosocijalnog tretmana i zaštitne mjere obveznog psihosocijalnog tretmana sukladno potpisanim ugovorima Ministarstva pravosuđa s provoditeljima tretmana. Planirani iznos je bio dostatan u 2016. godini, iako se on ne može unaprijed predvidjeti. Upućivanje na izvršenje/provođenje sigurnosne - zaštitne mjere obveznog psihosocijalnog tretmana ovisi o broju izrečenih sigurnosnih/zaštitnih mjera (sankcija) od strane suda počiniteljima nasilja u obitelji/kaznenih djela s obilježjima nasilja. Pokazatelj rezultata je izvršena/provedena sigurnosna/zaštitna mjera obveznog psihosocijalnog tretmana prema počinitelju koji je upućen od stane suda ovlaštenom provoditelju tretmana (fizičkoj ili pravnoj osovi koja s MP potpisala ugovor o izvršavanju/provođenju tretmana).  </w:t>
      </w:r>
    </w:p>
    <w:p w:rsidR="00505632" w:rsidRDefault="00505632" w:rsidP="00505632">
      <w:r>
        <w:t>Prevencija, sankcioniranje i suzbijanje svih vrsta nasilja u obitelji/kaznenih djela s obilježjem nasilja, primjenom odgovarajućih mjera prema počinitelju, te ublažavanje posljedica već počinjenog nasilja pružanjem zaštite i pomoći žrtvi nasilja. Uspješno proveden tretman i ne ponavljanje kaznenog djela s obilježjem nasilja/prekršaja nasilja u obitelji.</w:t>
      </w:r>
    </w:p>
    <w:p w:rsidR="00505632" w:rsidRDefault="00505632" w:rsidP="00505632"/>
    <w:p w:rsidR="00505632" w:rsidRDefault="00505632" w:rsidP="00505632"/>
    <w:p w:rsidR="00505632" w:rsidRDefault="00505632" w:rsidP="00505632">
      <w:pPr>
        <w:pStyle w:val="Heading4"/>
      </w:pPr>
      <w:r>
        <w:t>A630104 POVREDE PRAVA NA SUĐENJE U RAZUMNOM ROKU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A630104-POVREDE PRAVA NA SUĐENJE U RAZUMNOM ROKU</w:t>
            </w:r>
          </w:p>
        </w:tc>
        <w:tc>
          <w:tcPr>
            <w:tcW w:w="2041" w:type="dxa"/>
          </w:tcPr>
          <w:p w:rsidR="00505632" w:rsidRDefault="00505632" w:rsidP="00AD4E52">
            <w:pPr>
              <w:pStyle w:val="CellColumn"/>
              <w:jc w:val="right"/>
            </w:pPr>
            <w:r>
              <w:rPr>
                <w:rFonts w:cs="Times New Roman"/>
              </w:rPr>
              <w:t>2.373.963</w:t>
            </w:r>
          </w:p>
        </w:tc>
        <w:tc>
          <w:tcPr>
            <w:tcW w:w="2041" w:type="dxa"/>
          </w:tcPr>
          <w:p w:rsidR="00505632" w:rsidRDefault="00505632" w:rsidP="00AD4E52">
            <w:pPr>
              <w:pStyle w:val="CellColumn"/>
              <w:jc w:val="right"/>
            </w:pPr>
            <w:r>
              <w:rPr>
                <w:rFonts w:cs="Times New Roman"/>
              </w:rPr>
              <w:t>1.025.000</w:t>
            </w:r>
          </w:p>
        </w:tc>
        <w:tc>
          <w:tcPr>
            <w:tcW w:w="2041" w:type="dxa"/>
          </w:tcPr>
          <w:p w:rsidR="00505632" w:rsidRDefault="00505632" w:rsidP="00AD4E52">
            <w:pPr>
              <w:pStyle w:val="CellColumn"/>
              <w:jc w:val="right"/>
            </w:pPr>
            <w:r>
              <w:rPr>
                <w:rFonts w:cs="Times New Roman"/>
              </w:rPr>
              <w:t>1.024.983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43,2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i 82/16), članci 63. do 70.</w:t>
      </w:r>
    </w:p>
    <w:p w:rsidR="00505632" w:rsidRDefault="00505632" w:rsidP="00505632">
      <w:pPr>
        <w:pStyle w:val="Heading8"/>
        <w:jc w:val="left"/>
      </w:pPr>
      <w:r>
        <w:t>Opis aktivnosti</w:t>
      </w:r>
    </w:p>
    <w:p w:rsidR="00505632" w:rsidRDefault="00505632" w:rsidP="00505632">
      <w:r>
        <w:t>Aktivnost se odnosi na isplatu naknade zbog povrede prava na suđenje u razumnom roku po zahtjevu stranaka, a temeljem rješenja sudova kojima je određen iznos naknade. Cilj aktivnosti je pratiti podatke po pojedinim sudovima u cilju spoznaje koji sudovi najčešće krše zakon o pravu na suđenje u razumnom roku i koji iznos naknada se ima isplatiti po rješenjima o povredi prava na suđenje u razumnom roku. Ministarstvu je u 2016. godini od strane sudova dostavljeno 390 rješenja s ukupnim potraživanjem u iznosu 763.410 kuna, od čega je isplaćena naknada za 331 rješenje i isplaćeno je 524.630 kuna.</w:t>
      </w:r>
    </w:p>
    <w:p w:rsidR="00505632" w:rsidRDefault="00505632" w:rsidP="00505632">
      <w:pPr>
        <w:pStyle w:val="Heading4"/>
      </w:pPr>
      <w:r>
        <w:t>K630100 IPA I 2010 - JAČANJE UČINKOVITOSTI PRAVOSUĐA U RH</w:t>
      </w:r>
    </w:p>
    <w:tbl>
      <w:tblPr>
        <w:tblStyle w:val="StilTablice"/>
        <w:tblW w:w="10206" w:type="dxa"/>
        <w:jc w:val="center"/>
        <w:tblLook w:val="04A0" w:firstRow="1" w:lastRow="0" w:firstColumn="1" w:lastColumn="0" w:noHBand="0" w:noVBand="1"/>
      </w:tblPr>
      <w:tblGrid>
        <w:gridCol w:w="1670"/>
        <w:gridCol w:w="2030"/>
        <w:gridCol w:w="2030"/>
        <w:gridCol w:w="2031"/>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K630100-IPA I 2010 - JAČANJE UČINKOVITOSTI PRAVOSUĐA U RH</w:t>
            </w:r>
          </w:p>
        </w:tc>
        <w:tc>
          <w:tcPr>
            <w:tcW w:w="2041" w:type="dxa"/>
          </w:tcPr>
          <w:p w:rsidR="00505632" w:rsidRDefault="00505632" w:rsidP="00AD4E52">
            <w:pPr>
              <w:pStyle w:val="CellColumn"/>
              <w:jc w:val="right"/>
            </w:pPr>
            <w:r>
              <w:rPr>
                <w:rFonts w:cs="Times New Roman"/>
              </w:rPr>
              <w:t>3.960.617</w:t>
            </w:r>
          </w:p>
        </w:tc>
        <w:tc>
          <w:tcPr>
            <w:tcW w:w="2041" w:type="dxa"/>
          </w:tcPr>
          <w:p w:rsidR="00505632" w:rsidRDefault="00505632" w:rsidP="00AD4E52">
            <w:pPr>
              <w:pStyle w:val="CellColumn"/>
              <w:jc w:val="right"/>
            </w:pPr>
            <w:r>
              <w:rPr>
                <w:rFonts w:cs="Times New Roman"/>
              </w:rPr>
              <w:t>875.217</w:t>
            </w:r>
          </w:p>
        </w:tc>
        <w:tc>
          <w:tcPr>
            <w:tcW w:w="2041" w:type="dxa"/>
          </w:tcPr>
          <w:p w:rsidR="00505632" w:rsidRDefault="00505632" w:rsidP="00AD4E52">
            <w:pPr>
              <w:pStyle w:val="CellColumn"/>
              <w:jc w:val="right"/>
            </w:pPr>
            <w:r>
              <w:rPr>
                <w:rFonts w:cs="Times New Roman"/>
              </w:rPr>
              <w:t>-280.322</w:t>
            </w:r>
          </w:p>
        </w:tc>
        <w:tc>
          <w:tcPr>
            <w:tcW w:w="1224" w:type="dxa"/>
          </w:tcPr>
          <w:p w:rsidR="00505632" w:rsidRDefault="00505632" w:rsidP="00AD4E52">
            <w:pPr>
              <w:pStyle w:val="CellColumn"/>
              <w:jc w:val="right"/>
            </w:pPr>
            <w:r>
              <w:rPr>
                <w:rFonts w:cs="Times New Roman"/>
              </w:rPr>
              <w:t>32,0</w:t>
            </w:r>
          </w:p>
        </w:tc>
        <w:tc>
          <w:tcPr>
            <w:tcW w:w="1224" w:type="dxa"/>
          </w:tcPr>
          <w:p w:rsidR="00505632" w:rsidRDefault="00505632" w:rsidP="00AD4E52">
            <w:pPr>
              <w:pStyle w:val="CellColumn"/>
              <w:jc w:val="right"/>
            </w:pPr>
            <w:r>
              <w:rPr>
                <w:rFonts w:cs="Times New Roman"/>
              </w:rPr>
              <w:t>-7,1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Sporazum o financiranju između Vlade Republike Hrvatske i Europske komisije u vezi s Nacionalnim programom za Hrvatsku u okviru programa IPA – komponenta Pomoć u tranziciji i jačanje institucija za 2010. godinu</w:t>
      </w:r>
    </w:p>
    <w:p w:rsidR="00505632" w:rsidRDefault="00505632" w:rsidP="00505632">
      <w:pPr>
        <w:pStyle w:val="Heading8"/>
        <w:jc w:val="left"/>
      </w:pPr>
      <w:r>
        <w:t>Opis aktivnosti</w:t>
      </w:r>
    </w:p>
    <w:p w:rsidR="00505632" w:rsidRDefault="00505632" w:rsidP="00505632">
      <w:r>
        <w:t>U 2015. godini twinning ugovor je uspješno finaliziran. Finalno plaćanje je provedeno tijekom 2016. godine.</w:t>
      </w:r>
    </w:p>
    <w:p w:rsidR="00505632" w:rsidRDefault="00505632" w:rsidP="00505632">
      <w:pPr>
        <w:pStyle w:val="Heading4"/>
      </w:pPr>
      <w:r>
        <w:t>K630101 IPA I 2010 - POBOLJŠANJE SUSTAVA OVRHE U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K630101-IPA I 2010 - POBOLJŠANJE SUSTAVA OVRHE U RH</w:t>
            </w:r>
          </w:p>
        </w:tc>
        <w:tc>
          <w:tcPr>
            <w:tcW w:w="2041" w:type="dxa"/>
          </w:tcPr>
          <w:p w:rsidR="00505632" w:rsidRDefault="00505632" w:rsidP="00AD4E52">
            <w:pPr>
              <w:pStyle w:val="CellColumn"/>
              <w:jc w:val="right"/>
            </w:pPr>
            <w:r>
              <w:rPr>
                <w:rFonts w:cs="Times New Roman"/>
              </w:rPr>
              <w:t>4.506.479</w:t>
            </w:r>
          </w:p>
        </w:tc>
        <w:tc>
          <w:tcPr>
            <w:tcW w:w="2041" w:type="dxa"/>
          </w:tcPr>
          <w:p w:rsidR="00505632" w:rsidRDefault="00505632" w:rsidP="00AD4E52">
            <w:pPr>
              <w:pStyle w:val="CellColumn"/>
              <w:jc w:val="right"/>
            </w:pPr>
            <w:r>
              <w:rPr>
                <w:rFonts w:cs="Times New Roman"/>
              </w:rPr>
              <w:t>1.005.000</w:t>
            </w:r>
          </w:p>
        </w:tc>
        <w:tc>
          <w:tcPr>
            <w:tcW w:w="2041" w:type="dxa"/>
          </w:tcPr>
          <w:p w:rsidR="00505632" w:rsidRDefault="00505632" w:rsidP="00AD4E52">
            <w:pPr>
              <w:pStyle w:val="CellColumn"/>
              <w:jc w:val="right"/>
            </w:pPr>
            <w:r>
              <w:rPr>
                <w:rFonts w:cs="Times New Roman"/>
              </w:rPr>
              <w:t>1.110.122</w:t>
            </w:r>
          </w:p>
        </w:tc>
        <w:tc>
          <w:tcPr>
            <w:tcW w:w="1224" w:type="dxa"/>
          </w:tcPr>
          <w:p w:rsidR="00505632" w:rsidRDefault="00505632" w:rsidP="00AD4E52">
            <w:pPr>
              <w:pStyle w:val="CellColumn"/>
              <w:jc w:val="right"/>
            </w:pPr>
            <w:r>
              <w:rPr>
                <w:rFonts w:cs="Times New Roman"/>
              </w:rPr>
              <w:t>110,5</w:t>
            </w:r>
          </w:p>
        </w:tc>
        <w:tc>
          <w:tcPr>
            <w:tcW w:w="1224" w:type="dxa"/>
          </w:tcPr>
          <w:p w:rsidR="00505632" w:rsidRDefault="00505632" w:rsidP="00AD4E52">
            <w:pPr>
              <w:pStyle w:val="CellColumn"/>
              <w:jc w:val="right"/>
            </w:pPr>
            <w:r>
              <w:rPr>
                <w:rFonts w:cs="Times New Roman"/>
              </w:rPr>
              <w:t>24,6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Sporazum o financiranju između Vlade Republike Hrvatske i Europske komisije u vezi s Nacionalnim programom za Hrvatsku u okviru programa IPA – komponenta Pomoć u tranziciji i jačanje institucija za 2010. godinu.</w:t>
      </w:r>
    </w:p>
    <w:p w:rsidR="00505632" w:rsidRDefault="00505632" w:rsidP="00505632">
      <w:pPr>
        <w:pStyle w:val="Heading8"/>
        <w:jc w:val="left"/>
      </w:pPr>
      <w:r>
        <w:t>Opis aktivnosti</w:t>
      </w:r>
    </w:p>
    <w:p w:rsidR="00505632" w:rsidRDefault="00505632" w:rsidP="00505632">
      <w:r>
        <w:t>Projekt je s provedbom završio još u 2015. godini. Finalno izvješće projekta je odobreno u 2016. od strane Središnje agencije za financiranje i ugovaranje, te je izvršen povrat preplaćenih sredstava po ugovoru.</w:t>
      </w:r>
    </w:p>
    <w:p w:rsidR="00505632" w:rsidRDefault="00505632" w:rsidP="00505632">
      <w:pPr>
        <w:pStyle w:val="Heading4"/>
      </w:pPr>
      <w:r>
        <w:t>T544081 PODRŠKA DALJNJEM RAZVOJU SUSTAVA PROBACIJE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T544081-PODRŠKA DALJNJEM RAZVOJU SUSTAVA PROBACIJE</w:t>
            </w:r>
          </w:p>
        </w:tc>
        <w:tc>
          <w:tcPr>
            <w:tcW w:w="2041" w:type="dxa"/>
          </w:tcPr>
          <w:p w:rsidR="00505632" w:rsidRDefault="00505632" w:rsidP="00AD4E52">
            <w:pPr>
              <w:pStyle w:val="CellColumn"/>
              <w:jc w:val="right"/>
            </w:pPr>
            <w:r>
              <w:rPr>
                <w:rFonts w:cs="Times New Roman"/>
              </w:rPr>
              <w:t>849.365</w:t>
            </w:r>
          </w:p>
        </w:tc>
        <w:tc>
          <w:tcPr>
            <w:tcW w:w="2041" w:type="dxa"/>
          </w:tcPr>
          <w:p w:rsidR="00505632" w:rsidRDefault="00505632" w:rsidP="00AD4E52">
            <w:pPr>
              <w:pStyle w:val="CellColumn"/>
              <w:jc w:val="right"/>
            </w:pPr>
            <w:r>
              <w:rPr>
                <w:rFonts w:cs="Times New Roman"/>
              </w:rPr>
              <w:t>4.780.920</w:t>
            </w:r>
          </w:p>
        </w:tc>
        <w:tc>
          <w:tcPr>
            <w:tcW w:w="2041" w:type="dxa"/>
          </w:tcPr>
          <w:p w:rsidR="00505632" w:rsidRDefault="00505632" w:rsidP="00AD4E52">
            <w:pPr>
              <w:pStyle w:val="CellColumn"/>
              <w:jc w:val="right"/>
            </w:pPr>
            <w:r>
              <w:rPr>
                <w:rFonts w:cs="Times New Roman"/>
              </w:rPr>
              <w:t>4.319.114</w:t>
            </w:r>
          </w:p>
        </w:tc>
        <w:tc>
          <w:tcPr>
            <w:tcW w:w="1224" w:type="dxa"/>
          </w:tcPr>
          <w:p w:rsidR="00505632" w:rsidRDefault="00505632" w:rsidP="00AD4E52">
            <w:pPr>
              <w:pStyle w:val="CellColumn"/>
              <w:jc w:val="right"/>
            </w:pPr>
            <w:r>
              <w:rPr>
                <w:rFonts w:cs="Times New Roman"/>
              </w:rPr>
              <w:t>90,3</w:t>
            </w:r>
          </w:p>
        </w:tc>
        <w:tc>
          <w:tcPr>
            <w:tcW w:w="1224" w:type="dxa"/>
          </w:tcPr>
          <w:p w:rsidR="00505632" w:rsidRDefault="00505632" w:rsidP="00AD4E52">
            <w:pPr>
              <w:pStyle w:val="CellColumn"/>
              <w:jc w:val="right"/>
            </w:pPr>
            <w:r>
              <w:rPr>
                <w:rFonts w:cs="Times New Roman"/>
              </w:rPr>
              <w:t>508,5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Provedbena odluka komisije оd 22.11.2013. o donošenju programa za Hrvatsku u okviru prijelaznog instrumenta za 2013.</w:t>
      </w:r>
    </w:p>
    <w:p w:rsidR="00505632" w:rsidRDefault="00505632" w:rsidP="00505632">
      <w:pPr>
        <w:pStyle w:val="Heading8"/>
        <w:jc w:val="left"/>
      </w:pPr>
      <w:r>
        <w:t>Opis aktivnosti</w:t>
      </w:r>
    </w:p>
    <w:p w:rsidR="00505632" w:rsidRDefault="00505632" w:rsidP="00505632">
      <w:r>
        <w:t>Twinning ugovor je potpisan i implementacija je započela tijekom 2016. godine. Tijekom 2016. godine izvršeno je avansno plaćanje po twinning ugovoru.</w:t>
      </w:r>
    </w:p>
    <w:p w:rsidR="00505632" w:rsidRDefault="00505632" w:rsidP="00505632">
      <w:pPr>
        <w:pStyle w:val="Heading3"/>
      </w:pPr>
      <w:r>
        <w:rPr>
          <w:rFonts w:cs="Times New Roman"/>
        </w:rPr>
        <w:t>2804 EDUKACIJA I INFORMIRANJE U PRAVOSUDNOM SUSTAVU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2804-EDUKACIJA I INFORMIRANJE U PRAVOSUDNOM SUSTAVU</w:t>
            </w:r>
          </w:p>
        </w:tc>
        <w:tc>
          <w:tcPr>
            <w:tcW w:w="2041" w:type="dxa"/>
          </w:tcPr>
          <w:p w:rsidR="00505632" w:rsidRDefault="00505632" w:rsidP="00AD4E52">
            <w:pPr>
              <w:pStyle w:val="CellColumn"/>
              <w:jc w:val="right"/>
            </w:pPr>
            <w:r>
              <w:rPr>
                <w:rFonts w:cs="Times New Roman"/>
              </w:rPr>
              <w:t>1.406.915</w:t>
            </w:r>
          </w:p>
        </w:tc>
        <w:tc>
          <w:tcPr>
            <w:tcW w:w="2041" w:type="dxa"/>
          </w:tcPr>
          <w:p w:rsidR="00505632" w:rsidRDefault="00505632" w:rsidP="00AD4E52">
            <w:pPr>
              <w:pStyle w:val="CellColumn"/>
              <w:jc w:val="right"/>
            </w:pPr>
            <w:r>
              <w:rPr>
                <w:rFonts w:cs="Times New Roman"/>
              </w:rPr>
              <w:t>5.001.097</w:t>
            </w:r>
          </w:p>
        </w:tc>
        <w:tc>
          <w:tcPr>
            <w:tcW w:w="2041" w:type="dxa"/>
          </w:tcPr>
          <w:p w:rsidR="00505632" w:rsidRDefault="00505632" w:rsidP="00AD4E52">
            <w:pPr>
              <w:pStyle w:val="CellColumn"/>
              <w:jc w:val="right"/>
            </w:pPr>
            <w:r>
              <w:rPr>
                <w:rFonts w:cs="Times New Roman"/>
              </w:rPr>
              <w:t>4.696.369</w:t>
            </w:r>
          </w:p>
        </w:tc>
        <w:tc>
          <w:tcPr>
            <w:tcW w:w="1224" w:type="dxa"/>
          </w:tcPr>
          <w:p w:rsidR="00505632" w:rsidRDefault="00505632" w:rsidP="00AD4E52">
            <w:pPr>
              <w:pStyle w:val="CellColumn"/>
              <w:jc w:val="right"/>
            </w:pPr>
            <w:r>
              <w:rPr>
                <w:rFonts w:cs="Times New Roman"/>
              </w:rPr>
              <w:t>93,9</w:t>
            </w:r>
          </w:p>
        </w:tc>
        <w:tc>
          <w:tcPr>
            <w:tcW w:w="1224" w:type="dxa"/>
          </w:tcPr>
          <w:p w:rsidR="00505632" w:rsidRDefault="00505632" w:rsidP="00AD4E52">
            <w:pPr>
              <w:pStyle w:val="CellColumn"/>
              <w:jc w:val="right"/>
            </w:pPr>
            <w:r>
              <w:rPr>
                <w:rFonts w:cs="Times New Roman"/>
              </w:rPr>
              <w:t>333,8</w:t>
            </w:r>
          </w:p>
        </w:tc>
      </w:tr>
    </w:tbl>
    <w:p w:rsidR="00505632" w:rsidRDefault="00505632" w:rsidP="00505632">
      <w:pPr>
        <w:jc w:val="left"/>
      </w:pPr>
    </w:p>
    <w:p w:rsidR="00505632" w:rsidRDefault="00505632" w:rsidP="00505632">
      <w:r>
        <w:t>Program edukacije i informiranja u pravosudnom sustavu provodi se najvećim dijelom kroz aktivnosti Pravosudne akademije, čiji je cilj osigurati kvalitetno inicijalno stručno usavršavanje vježbenika u pravosudnim tijelima i polaznika Državne škole za pravosudne dužnosnike, te organizirati cjeloživotno stručno usavršavanje pravosudnih dužnosnika i savjetnika u pravosudnim tijelima.</w:t>
      </w:r>
    </w:p>
    <w:p w:rsidR="00505632" w:rsidRDefault="00505632" w:rsidP="00505632">
      <w:pPr>
        <w:pStyle w:val="Heading8"/>
        <w:jc w:val="left"/>
      </w:pPr>
      <w:r>
        <w:t>Cilj 1. Jačanje profesionalizma i stručnosti u pravosuđu</w:t>
      </w:r>
    </w:p>
    <w:p w:rsidR="00505632" w:rsidRDefault="00505632" w:rsidP="00505632">
      <w:pPr>
        <w:pStyle w:val="Heading4"/>
      </w:pPr>
      <w:r>
        <w:t>T544085 POVEĆANJE KVALITETE EDUKACIJE U PRAVOSUDNOM SUSTAVU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T544085-POVEĆANJE KVALITETE EDUKACIJE U PRAVOSUDNOM SUSTAVU</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3.425.362</w:t>
            </w:r>
          </w:p>
        </w:tc>
        <w:tc>
          <w:tcPr>
            <w:tcW w:w="2041" w:type="dxa"/>
          </w:tcPr>
          <w:p w:rsidR="00505632" w:rsidRDefault="00505632" w:rsidP="00AD4E52">
            <w:pPr>
              <w:pStyle w:val="CellColumn"/>
              <w:jc w:val="right"/>
            </w:pPr>
            <w:r>
              <w:rPr>
                <w:rFonts w:cs="Times New Roman"/>
              </w:rPr>
              <w:t>3.901.125</w:t>
            </w:r>
          </w:p>
        </w:tc>
        <w:tc>
          <w:tcPr>
            <w:tcW w:w="1224" w:type="dxa"/>
          </w:tcPr>
          <w:p w:rsidR="00505632" w:rsidRDefault="00505632" w:rsidP="00AD4E52">
            <w:pPr>
              <w:pStyle w:val="CellColumn"/>
              <w:jc w:val="right"/>
            </w:pPr>
            <w:r>
              <w:rPr>
                <w:rFonts w:cs="Times New Roman"/>
              </w:rPr>
              <w:t>113,9</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Ugovor o pristupanju Republike Hrvatske Europskoj uniji, potpisan 09. prosinca 2011.,Provedbena odluka komisije od 22.11.2013.o donošenju programa za Hrvatsku u okviru prijelaznog instrumenta za 2013. godinu.</w:t>
      </w:r>
    </w:p>
    <w:p w:rsidR="00505632" w:rsidRDefault="00505632" w:rsidP="00505632">
      <w:pPr>
        <w:pStyle w:val="Heading8"/>
        <w:jc w:val="left"/>
      </w:pPr>
      <w:r>
        <w:t>Opis aktivnosti</w:t>
      </w:r>
    </w:p>
    <w:p w:rsidR="00505632" w:rsidRDefault="00505632" w:rsidP="00505632">
      <w:r>
        <w:t>Tijekom 2016. godine izvršeno je avansno plaćanje po twinning ugovoru.</w:t>
      </w:r>
    </w:p>
    <w:p w:rsidR="00505632" w:rsidRDefault="00505632" w:rsidP="00505632">
      <w:pPr>
        <w:pStyle w:val="Heading3"/>
      </w:pPr>
      <w:r>
        <w:rPr>
          <w:rFonts w:cs="Times New Roman"/>
        </w:rPr>
        <w:t>2805 RACIONALIZACIJA MREŽE PRAVOSUDNIH TIJELA</w:t>
      </w:r>
    </w:p>
    <w:tbl>
      <w:tblPr>
        <w:tblStyle w:val="StilTablice"/>
        <w:tblW w:w="10206" w:type="dxa"/>
        <w:jc w:val="center"/>
        <w:tblLook w:val="04A0" w:firstRow="1" w:lastRow="0" w:firstColumn="1" w:lastColumn="0" w:noHBand="0" w:noVBand="1"/>
      </w:tblPr>
      <w:tblGrid>
        <w:gridCol w:w="1904"/>
        <w:gridCol w:w="1962"/>
        <w:gridCol w:w="1962"/>
        <w:gridCol w:w="1962"/>
        <w:gridCol w:w="1204"/>
        <w:gridCol w:w="121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2805-RACIONALIZACIJA MREŽE PRAVOSUDNIH TIJELA</w:t>
            </w:r>
          </w:p>
        </w:tc>
        <w:tc>
          <w:tcPr>
            <w:tcW w:w="2041" w:type="dxa"/>
          </w:tcPr>
          <w:p w:rsidR="00505632" w:rsidRDefault="00505632" w:rsidP="00AD4E52">
            <w:pPr>
              <w:pStyle w:val="CellColumn"/>
              <w:jc w:val="right"/>
            </w:pPr>
            <w:r>
              <w:rPr>
                <w:rFonts w:cs="Times New Roman"/>
              </w:rPr>
              <w:t>14.865.011</w:t>
            </w:r>
          </w:p>
        </w:tc>
        <w:tc>
          <w:tcPr>
            <w:tcW w:w="2041" w:type="dxa"/>
          </w:tcPr>
          <w:p w:rsidR="00505632" w:rsidRDefault="00505632" w:rsidP="00AD4E52">
            <w:pPr>
              <w:pStyle w:val="CellColumn"/>
              <w:jc w:val="right"/>
            </w:pPr>
            <w:r>
              <w:rPr>
                <w:rFonts w:cs="Times New Roman"/>
              </w:rPr>
              <w:t>25.717.250</w:t>
            </w:r>
          </w:p>
        </w:tc>
        <w:tc>
          <w:tcPr>
            <w:tcW w:w="2041" w:type="dxa"/>
          </w:tcPr>
          <w:p w:rsidR="00505632" w:rsidRDefault="00505632" w:rsidP="00AD4E52">
            <w:pPr>
              <w:pStyle w:val="CellColumn"/>
              <w:jc w:val="right"/>
            </w:pPr>
            <w:r>
              <w:rPr>
                <w:rFonts w:cs="Times New Roman"/>
              </w:rPr>
              <w:t>20.879.720</w:t>
            </w:r>
          </w:p>
        </w:tc>
        <w:tc>
          <w:tcPr>
            <w:tcW w:w="1224" w:type="dxa"/>
          </w:tcPr>
          <w:p w:rsidR="00505632" w:rsidRDefault="00505632" w:rsidP="00AD4E52">
            <w:pPr>
              <w:pStyle w:val="CellColumn"/>
              <w:jc w:val="right"/>
            </w:pPr>
            <w:r>
              <w:rPr>
                <w:rFonts w:cs="Times New Roman"/>
              </w:rPr>
              <w:t>81,2</w:t>
            </w:r>
          </w:p>
        </w:tc>
        <w:tc>
          <w:tcPr>
            <w:tcW w:w="1224" w:type="dxa"/>
          </w:tcPr>
          <w:p w:rsidR="00505632" w:rsidRDefault="00505632" w:rsidP="00AD4E52">
            <w:pPr>
              <w:pStyle w:val="CellColumn"/>
              <w:jc w:val="right"/>
            </w:pPr>
            <w:r>
              <w:rPr>
                <w:rFonts w:cs="Times New Roman"/>
              </w:rPr>
              <w:t>140,5</w:t>
            </w:r>
          </w:p>
        </w:tc>
      </w:tr>
    </w:tbl>
    <w:p w:rsidR="00505632" w:rsidRDefault="00505632" w:rsidP="00505632">
      <w:pPr>
        <w:jc w:val="left"/>
      </w:pPr>
    </w:p>
    <w:p w:rsidR="00505632" w:rsidRDefault="00505632" w:rsidP="00505632">
      <w:r>
        <w:t>U okviru programa nalaze se projekti adaptacije, rekonstrukcije i opremanja pravosudnih tijela (sudskih zgrada) kako bi se ispunili uvjeti za fizičko spajanje sudova.</w:t>
      </w:r>
    </w:p>
    <w:p w:rsidR="00505632" w:rsidRDefault="00505632" w:rsidP="00505632">
      <w:pPr>
        <w:pStyle w:val="Heading8"/>
        <w:jc w:val="left"/>
      </w:pPr>
      <w:r>
        <w:t>Cilj 1. Jačanje učinkovitosti pravosuđa</w:t>
      </w:r>
    </w:p>
    <w:p w:rsidR="00505632" w:rsidRDefault="00505632" w:rsidP="00505632">
      <w:pPr>
        <w:pStyle w:val="Heading8"/>
        <w:jc w:val="left"/>
      </w:pPr>
      <w:r>
        <w:t>Opis provedbe cilja programa</w:t>
      </w:r>
    </w:p>
    <w:p w:rsidR="00505632" w:rsidRDefault="00505632" w:rsidP="00505632">
      <w:pPr>
        <w:pStyle w:val="Heading4"/>
      </w:pPr>
      <w:r>
        <w:t>K544055 IPA I 2011 - PODRŠKA RACIONALIZACIJI SUDOVA</w:t>
      </w:r>
    </w:p>
    <w:tbl>
      <w:tblPr>
        <w:tblStyle w:val="StilTablice"/>
        <w:tblW w:w="10206" w:type="dxa"/>
        <w:jc w:val="center"/>
        <w:tblLook w:val="04A0" w:firstRow="1" w:lastRow="0" w:firstColumn="1" w:lastColumn="0" w:noHBand="0" w:noVBand="1"/>
      </w:tblPr>
      <w:tblGrid>
        <w:gridCol w:w="1825"/>
        <w:gridCol w:w="1985"/>
        <w:gridCol w:w="1985"/>
        <w:gridCol w:w="1985"/>
        <w:gridCol w:w="1210"/>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K544055-IPA I 2011 - PODRŠKA RACIONALIZACIJI SUDOVA</w:t>
            </w:r>
          </w:p>
        </w:tc>
        <w:tc>
          <w:tcPr>
            <w:tcW w:w="2041" w:type="dxa"/>
          </w:tcPr>
          <w:p w:rsidR="00505632" w:rsidRDefault="00505632" w:rsidP="00AD4E52">
            <w:pPr>
              <w:pStyle w:val="CellColumn"/>
              <w:jc w:val="right"/>
            </w:pPr>
            <w:r>
              <w:rPr>
                <w:rFonts w:cs="Times New Roman"/>
              </w:rPr>
              <w:t>13.702.325</w:t>
            </w:r>
          </w:p>
        </w:tc>
        <w:tc>
          <w:tcPr>
            <w:tcW w:w="2041" w:type="dxa"/>
          </w:tcPr>
          <w:p w:rsidR="00505632" w:rsidRDefault="00505632" w:rsidP="00AD4E52">
            <w:pPr>
              <w:pStyle w:val="CellColumn"/>
              <w:jc w:val="right"/>
            </w:pPr>
            <w:r>
              <w:rPr>
                <w:rFonts w:cs="Times New Roman"/>
              </w:rPr>
              <w:t>25.317.250</w:t>
            </w:r>
          </w:p>
        </w:tc>
        <w:tc>
          <w:tcPr>
            <w:tcW w:w="2041" w:type="dxa"/>
          </w:tcPr>
          <w:p w:rsidR="00505632" w:rsidRDefault="00505632" w:rsidP="00AD4E52">
            <w:pPr>
              <w:pStyle w:val="CellColumn"/>
              <w:jc w:val="right"/>
            </w:pPr>
            <w:r>
              <w:rPr>
                <w:rFonts w:cs="Times New Roman"/>
              </w:rPr>
              <w:t>20.481.009</w:t>
            </w:r>
          </w:p>
        </w:tc>
        <w:tc>
          <w:tcPr>
            <w:tcW w:w="1224" w:type="dxa"/>
          </w:tcPr>
          <w:p w:rsidR="00505632" w:rsidRDefault="00505632" w:rsidP="00AD4E52">
            <w:pPr>
              <w:pStyle w:val="CellColumn"/>
              <w:jc w:val="right"/>
            </w:pPr>
            <w:r>
              <w:rPr>
                <w:rFonts w:cs="Times New Roman"/>
              </w:rPr>
              <w:t>80,9</w:t>
            </w:r>
          </w:p>
        </w:tc>
        <w:tc>
          <w:tcPr>
            <w:tcW w:w="1224" w:type="dxa"/>
          </w:tcPr>
          <w:p w:rsidR="00505632" w:rsidRDefault="00505632" w:rsidP="00AD4E52">
            <w:pPr>
              <w:pStyle w:val="CellColumn"/>
              <w:jc w:val="right"/>
            </w:pPr>
            <w:r>
              <w:rPr>
                <w:rFonts w:cs="Times New Roman"/>
              </w:rPr>
              <w:t>149,5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Sporazum o financiranju između Vlade Republike Hrvatske i Europske komisije u vezi s Nacionalnim programom za Hrvatsku u okviru programa IPA - komponenta Pomoć u tranziciji i jačanje institucija za 2011. godinu - treći dio, NN - Međunarodni ugovori 06/12.</w:t>
      </w:r>
    </w:p>
    <w:p w:rsidR="00505632" w:rsidRDefault="00505632" w:rsidP="00505632">
      <w:pPr>
        <w:pStyle w:val="Heading8"/>
        <w:jc w:val="left"/>
      </w:pPr>
      <w:r>
        <w:t>Opis aktivnosti</w:t>
      </w:r>
    </w:p>
    <w:p w:rsidR="00505632" w:rsidRDefault="00505632" w:rsidP="00505632">
      <w:r>
        <w:t>Završeni su radovi na Općinskom sudu u Osijeku – Stalnoj službi u Valpovu, te su u tijeku bili radovi na Županijskom sudu u Osijeku i Županijskom sudu u Sisku. U lipnju 2016. godine raskinut je ugovor za izvođačem radova na zgradi Općinskog suda u Zadru – Stalne službe u Benkovcu. Tijekom 2016. godine izvršena su plaćanja po privremenim obračunskim situacijama te su se radovi na preostalim lokacijama odvijali prema radnom planu, uz veće kašnjenje u provođenju na lokaciji Županijskom sudu u Sisku. Plaćena je i obračunska situacija za završene radove na OS Osijek – SS Valpovo.</w:t>
      </w:r>
    </w:p>
    <w:p w:rsidR="00505632" w:rsidRDefault="00505632" w:rsidP="00505632">
      <w:pPr>
        <w:pStyle w:val="Heading4"/>
      </w:pPr>
      <w:r>
        <w:t>K630035 OPĆINSKI SUD U METKOVIĆU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K630035-OPĆINSKI SUD U METKOVIĆU</w:t>
            </w:r>
          </w:p>
        </w:tc>
        <w:tc>
          <w:tcPr>
            <w:tcW w:w="2041" w:type="dxa"/>
          </w:tcPr>
          <w:p w:rsidR="00505632" w:rsidRDefault="00505632" w:rsidP="00AD4E52">
            <w:pPr>
              <w:pStyle w:val="CellColumn"/>
              <w:jc w:val="right"/>
            </w:pPr>
            <w:r>
              <w:rPr>
                <w:rFonts w:cs="Times New Roman"/>
              </w:rPr>
              <w:t>1.162.379</w:t>
            </w:r>
          </w:p>
        </w:tc>
        <w:tc>
          <w:tcPr>
            <w:tcW w:w="2041" w:type="dxa"/>
          </w:tcPr>
          <w:p w:rsidR="00505632" w:rsidRDefault="00505632" w:rsidP="00AD4E52">
            <w:pPr>
              <w:pStyle w:val="CellColumn"/>
              <w:jc w:val="right"/>
            </w:pPr>
            <w:r>
              <w:rPr>
                <w:rFonts w:cs="Times New Roman"/>
              </w:rPr>
              <w:t>400.000</w:t>
            </w:r>
          </w:p>
        </w:tc>
        <w:tc>
          <w:tcPr>
            <w:tcW w:w="2041" w:type="dxa"/>
          </w:tcPr>
          <w:p w:rsidR="00505632" w:rsidRDefault="00505632" w:rsidP="00AD4E52">
            <w:pPr>
              <w:pStyle w:val="CellColumn"/>
              <w:jc w:val="right"/>
            </w:pPr>
            <w:r>
              <w:rPr>
                <w:rFonts w:cs="Times New Roman"/>
              </w:rPr>
              <w:t>398.711</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34,3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i 82/16), Zakon o Državnom odvjetništvu (NN 148/13, 33/15, 82/15).</w:t>
      </w:r>
    </w:p>
    <w:p w:rsidR="00505632" w:rsidRDefault="00505632" w:rsidP="00505632">
      <w:pPr>
        <w:pStyle w:val="Heading8"/>
        <w:jc w:val="left"/>
      </w:pPr>
      <w:r>
        <w:t>Opis aktivnosti</w:t>
      </w:r>
    </w:p>
    <w:p w:rsidR="00505632" w:rsidRDefault="00505632" w:rsidP="00505632">
      <w:r>
        <w:t>Ovom aktivnošću financirani su radovi na adaptaciji i rekonstrukciji zgrade općinskog suda u Metkoviću. Radovi su završeni, objekt je useljen, osiguran je poslovni prostor koji omogućava primjerene radne uvjete i veću efikasnost.</w:t>
      </w:r>
    </w:p>
    <w:p w:rsidR="00505632" w:rsidRDefault="00505632" w:rsidP="00505632">
      <w:pPr>
        <w:pStyle w:val="Heading3"/>
      </w:pPr>
      <w:r>
        <w:rPr>
          <w:rFonts w:cs="Times New Roman"/>
        </w:rPr>
        <w:t>2806 IZGRADNJA, OBNOVA, ODRŽAVANJE I OPREMANJE ZGRADA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2806-IZGRADNJA, OBNOVA, ODRŽAVANJE I OPREMANJE ZGRADA</w:t>
            </w:r>
          </w:p>
        </w:tc>
        <w:tc>
          <w:tcPr>
            <w:tcW w:w="2041" w:type="dxa"/>
          </w:tcPr>
          <w:p w:rsidR="00505632" w:rsidRDefault="00505632" w:rsidP="00AD4E52">
            <w:pPr>
              <w:pStyle w:val="CellColumn"/>
              <w:jc w:val="right"/>
            </w:pPr>
            <w:r>
              <w:rPr>
                <w:rFonts w:cs="Times New Roman"/>
              </w:rPr>
              <w:t>34.790.560</w:t>
            </w:r>
          </w:p>
        </w:tc>
        <w:tc>
          <w:tcPr>
            <w:tcW w:w="2041" w:type="dxa"/>
          </w:tcPr>
          <w:p w:rsidR="00505632" w:rsidRDefault="00505632" w:rsidP="00AD4E52">
            <w:pPr>
              <w:pStyle w:val="CellColumn"/>
              <w:jc w:val="right"/>
            </w:pPr>
            <w:r>
              <w:rPr>
                <w:rFonts w:cs="Times New Roman"/>
              </w:rPr>
              <w:t>53.974.186</w:t>
            </w:r>
          </w:p>
        </w:tc>
        <w:tc>
          <w:tcPr>
            <w:tcW w:w="2041" w:type="dxa"/>
          </w:tcPr>
          <w:p w:rsidR="00505632" w:rsidRDefault="00505632" w:rsidP="00AD4E52">
            <w:pPr>
              <w:pStyle w:val="CellColumn"/>
              <w:jc w:val="right"/>
            </w:pPr>
            <w:r>
              <w:rPr>
                <w:rFonts w:cs="Times New Roman"/>
              </w:rPr>
              <w:t>50.574.211</w:t>
            </w:r>
          </w:p>
        </w:tc>
        <w:tc>
          <w:tcPr>
            <w:tcW w:w="1224" w:type="dxa"/>
          </w:tcPr>
          <w:p w:rsidR="00505632" w:rsidRDefault="00505632" w:rsidP="00AD4E52">
            <w:pPr>
              <w:pStyle w:val="CellColumn"/>
              <w:jc w:val="right"/>
            </w:pPr>
            <w:r>
              <w:rPr>
                <w:rFonts w:cs="Times New Roman"/>
              </w:rPr>
              <w:t>93,7</w:t>
            </w:r>
          </w:p>
        </w:tc>
        <w:tc>
          <w:tcPr>
            <w:tcW w:w="1224" w:type="dxa"/>
          </w:tcPr>
          <w:p w:rsidR="00505632" w:rsidRDefault="00505632" w:rsidP="00AD4E52">
            <w:pPr>
              <w:pStyle w:val="CellColumn"/>
              <w:jc w:val="right"/>
            </w:pPr>
            <w:r>
              <w:rPr>
                <w:rFonts w:cs="Times New Roman"/>
              </w:rPr>
              <w:t>145,4</w:t>
            </w:r>
          </w:p>
        </w:tc>
      </w:tr>
    </w:tbl>
    <w:p w:rsidR="00505632" w:rsidRDefault="00505632" w:rsidP="00505632">
      <w:pPr>
        <w:jc w:val="left"/>
      </w:pPr>
    </w:p>
    <w:p w:rsidR="00505632" w:rsidRDefault="00505632" w:rsidP="00505632">
      <w:r>
        <w:t>Programom su obuhvaćena kapitalna ulaganja u izgradnju, obnovu, kupnju i održavanje zgrada, te ulaganje u uređenje i opremanje pravosudnog i zatvorskog sustava, a u cilju poboljšanja uvjeta rada pravosudnih i kaznenih tijela. Radovima na adaptaciji i opremanju zgrada pravosudnog i zatvorskog sustava povećava se standard poslovnih prostora što omogućuje bolje radne uvjete i veću efikasnost zaposlenih u pravosudnom i zatvorskom sustavu, te primjereno okružje za korisnike usluge.</w:t>
      </w:r>
    </w:p>
    <w:p w:rsidR="00505632" w:rsidRDefault="00505632" w:rsidP="00505632">
      <w:pPr>
        <w:pStyle w:val="Heading8"/>
        <w:jc w:val="left"/>
      </w:pPr>
      <w:r>
        <w:t>Cilj 1. Jačanje učinkovitosti pravosuđa</w:t>
      </w:r>
    </w:p>
    <w:p w:rsidR="00505632" w:rsidRDefault="00505632" w:rsidP="00505632">
      <w:pPr>
        <w:pStyle w:val="Heading4"/>
      </w:pPr>
      <w:r>
        <w:t>K544083 ADAPTACIJA ZGRADE ŽS KARLOVAC I PODRŠKA STATISTICI - DAROVNICA KRALJEVINE NORVEŠKE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K544083-ADAPTACIJA ZGRADE ŽS KARLOVAC I PODRŠKA STATISTICI - DAROVNICA KRALJEVINE NORVEŠKE</w:t>
            </w:r>
          </w:p>
        </w:tc>
        <w:tc>
          <w:tcPr>
            <w:tcW w:w="2041" w:type="dxa"/>
          </w:tcPr>
          <w:p w:rsidR="00505632" w:rsidRDefault="00505632" w:rsidP="00AD4E52">
            <w:pPr>
              <w:pStyle w:val="CellColumn"/>
              <w:jc w:val="right"/>
            </w:pPr>
            <w:r>
              <w:rPr>
                <w:rFonts w:cs="Times New Roman"/>
              </w:rPr>
              <w:t>1.814.961</w:t>
            </w:r>
          </w:p>
        </w:tc>
        <w:tc>
          <w:tcPr>
            <w:tcW w:w="2041" w:type="dxa"/>
          </w:tcPr>
          <w:p w:rsidR="00505632" w:rsidRDefault="00505632" w:rsidP="00AD4E52">
            <w:pPr>
              <w:pStyle w:val="CellColumn"/>
              <w:jc w:val="right"/>
            </w:pPr>
            <w:r>
              <w:rPr>
                <w:rFonts w:cs="Times New Roman"/>
              </w:rPr>
              <w:t>24.489.543</w:t>
            </w:r>
          </w:p>
        </w:tc>
        <w:tc>
          <w:tcPr>
            <w:tcW w:w="2041" w:type="dxa"/>
          </w:tcPr>
          <w:p w:rsidR="00505632" w:rsidRDefault="00505632" w:rsidP="00AD4E52">
            <w:pPr>
              <w:pStyle w:val="CellColumn"/>
              <w:jc w:val="right"/>
            </w:pPr>
            <w:r>
              <w:rPr>
                <w:rFonts w:cs="Times New Roman"/>
              </w:rPr>
              <w:t>21.699.167</w:t>
            </w:r>
          </w:p>
        </w:tc>
        <w:tc>
          <w:tcPr>
            <w:tcW w:w="1224" w:type="dxa"/>
          </w:tcPr>
          <w:p w:rsidR="00505632" w:rsidRDefault="00505632" w:rsidP="00AD4E52">
            <w:pPr>
              <w:pStyle w:val="CellColumn"/>
              <w:jc w:val="right"/>
            </w:pPr>
            <w:r>
              <w:rPr>
                <w:rFonts w:cs="Times New Roman"/>
              </w:rPr>
              <w:t>88,6</w:t>
            </w:r>
          </w:p>
        </w:tc>
        <w:tc>
          <w:tcPr>
            <w:tcW w:w="1224" w:type="dxa"/>
          </w:tcPr>
          <w:p w:rsidR="00505632" w:rsidRDefault="00505632" w:rsidP="00AD4E52">
            <w:pPr>
              <w:pStyle w:val="CellColumn"/>
              <w:jc w:val="right"/>
            </w:pPr>
            <w:r>
              <w:rPr>
                <w:rFonts w:cs="Times New Roman"/>
              </w:rPr>
              <w:t>1195,6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Memorandum o suglasnosti o provedbi financijskog mehanizma Kraljevine Norveške za razdoblje od 2009. – 2014. godine između Vlade Republike Hrvatske i Kraljevine Norveške.</w:t>
      </w:r>
    </w:p>
    <w:p w:rsidR="00505632" w:rsidRDefault="00505632" w:rsidP="00505632">
      <w:pPr>
        <w:pStyle w:val="Heading8"/>
        <w:jc w:val="left"/>
      </w:pPr>
      <w:r>
        <w:t>Opis aktivnosti</w:t>
      </w:r>
    </w:p>
    <w:p w:rsidR="00505632" w:rsidRDefault="00505632" w:rsidP="00505632">
      <w:r>
        <w:t xml:space="preserve">Komponenta 1 – ugovor o radovima. Ugovor o radovima je tijekom 2016. godine bio u provedbi bez većih kašnjenja. </w:t>
      </w:r>
    </w:p>
    <w:p w:rsidR="00505632" w:rsidRDefault="00505632" w:rsidP="00505632">
      <w:r>
        <w:t xml:space="preserve">Komponenta 2 – partnerski sporazum sa CEPEJ. Projekt je završio u lipnju 2016. godine, te su ostvareni ranije planirani rezultati.  Tijekom 2016. godine su plaćane mjesečne obračunske situacije za komponentu radova, te za nadzor radova. </w:t>
      </w:r>
    </w:p>
    <w:p w:rsidR="00505632" w:rsidRDefault="00505632" w:rsidP="00505632">
      <w:r>
        <w:t>Tijekom 2016. godine za komponentu 2 troškovi izvršenja ove aktivnosti odnosili su se na organiziranje regionalnih radionica i materijala za potrebe tih radionica, te prijevoz i smještaj sudionika.</w:t>
      </w:r>
    </w:p>
    <w:p w:rsidR="00505632" w:rsidRDefault="00505632" w:rsidP="00505632">
      <w:pPr>
        <w:pStyle w:val="Heading4"/>
      </w:pPr>
      <w:r>
        <w:t>K629022 UREĐENJE I OPREMANJE PRAVOSUDNIH TIJELA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K629022-UREĐENJE I OPREMANJE PRAVOSUDNIH TIJELA</w:t>
            </w:r>
          </w:p>
        </w:tc>
        <w:tc>
          <w:tcPr>
            <w:tcW w:w="2041" w:type="dxa"/>
          </w:tcPr>
          <w:p w:rsidR="00505632" w:rsidRDefault="00505632" w:rsidP="00AD4E52">
            <w:pPr>
              <w:pStyle w:val="CellColumn"/>
              <w:jc w:val="right"/>
            </w:pPr>
            <w:r>
              <w:rPr>
                <w:rFonts w:cs="Times New Roman"/>
              </w:rPr>
              <w:t>9.495.860</w:t>
            </w:r>
          </w:p>
        </w:tc>
        <w:tc>
          <w:tcPr>
            <w:tcW w:w="2041" w:type="dxa"/>
          </w:tcPr>
          <w:p w:rsidR="00505632" w:rsidRDefault="00505632" w:rsidP="00AD4E52">
            <w:pPr>
              <w:pStyle w:val="CellColumn"/>
              <w:jc w:val="right"/>
            </w:pPr>
            <w:r>
              <w:rPr>
                <w:rFonts w:cs="Times New Roman"/>
              </w:rPr>
              <w:t>6.451.000</w:t>
            </w:r>
          </w:p>
        </w:tc>
        <w:tc>
          <w:tcPr>
            <w:tcW w:w="2041" w:type="dxa"/>
          </w:tcPr>
          <w:p w:rsidR="00505632" w:rsidRDefault="00505632" w:rsidP="00AD4E52">
            <w:pPr>
              <w:pStyle w:val="CellColumn"/>
              <w:jc w:val="right"/>
            </w:pPr>
            <w:r>
              <w:rPr>
                <w:rFonts w:cs="Times New Roman"/>
              </w:rPr>
              <w:t>6.238.774</w:t>
            </w:r>
          </w:p>
        </w:tc>
        <w:tc>
          <w:tcPr>
            <w:tcW w:w="1224" w:type="dxa"/>
          </w:tcPr>
          <w:p w:rsidR="00505632" w:rsidRDefault="00505632" w:rsidP="00AD4E52">
            <w:pPr>
              <w:pStyle w:val="CellColumn"/>
              <w:jc w:val="right"/>
            </w:pPr>
            <w:r>
              <w:rPr>
                <w:rFonts w:cs="Times New Roman"/>
              </w:rPr>
              <w:t>96,7</w:t>
            </w:r>
          </w:p>
        </w:tc>
        <w:tc>
          <w:tcPr>
            <w:tcW w:w="1224" w:type="dxa"/>
          </w:tcPr>
          <w:p w:rsidR="00505632" w:rsidRDefault="00505632" w:rsidP="00AD4E52">
            <w:pPr>
              <w:pStyle w:val="CellColumn"/>
              <w:jc w:val="right"/>
            </w:pPr>
            <w:r>
              <w:rPr>
                <w:rFonts w:cs="Times New Roman"/>
              </w:rPr>
              <w:t>65,7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i 82/16), Zakon o Državnom odvjetništvu (NN 148/13, 33/15, 82/15)</w:t>
      </w:r>
    </w:p>
    <w:p w:rsidR="00505632" w:rsidRDefault="00505632" w:rsidP="00505632">
      <w:pPr>
        <w:pStyle w:val="Heading8"/>
        <w:jc w:val="left"/>
      </w:pPr>
      <w:r>
        <w:t>Opis aktivnosti</w:t>
      </w:r>
    </w:p>
    <w:p w:rsidR="00505632" w:rsidRDefault="00505632" w:rsidP="00505632">
      <w:r>
        <w:t>Sukladno zahtjevima korisnika i osiguranim sredstvima provedene su sanacije i adaptacije poslovnih prostora, te se opremio i uredio dio poslovnog prostora za potrebe pravosudnih tijela.</w:t>
      </w:r>
    </w:p>
    <w:p w:rsidR="00505632" w:rsidRDefault="00505632" w:rsidP="00505632">
      <w:pPr>
        <w:pStyle w:val="Heading4"/>
      </w:pPr>
      <w:r>
        <w:t>K629023 UREĐENJE I OPREMANJE KAZNENIH TIJELA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K629023-UREĐENJE I OPREMANJE KAZNENIH TIJELA</w:t>
            </w:r>
          </w:p>
        </w:tc>
        <w:tc>
          <w:tcPr>
            <w:tcW w:w="2041" w:type="dxa"/>
          </w:tcPr>
          <w:p w:rsidR="00505632" w:rsidRDefault="00505632" w:rsidP="00AD4E52">
            <w:pPr>
              <w:pStyle w:val="CellColumn"/>
              <w:jc w:val="right"/>
            </w:pPr>
            <w:r>
              <w:rPr>
                <w:rFonts w:cs="Times New Roman"/>
              </w:rPr>
              <w:t>1.574.517</w:t>
            </w:r>
          </w:p>
        </w:tc>
        <w:tc>
          <w:tcPr>
            <w:tcW w:w="2041" w:type="dxa"/>
          </w:tcPr>
          <w:p w:rsidR="00505632" w:rsidRDefault="00505632" w:rsidP="00AD4E52">
            <w:pPr>
              <w:pStyle w:val="CellColumn"/>
              <w:jc w:val="right"/>
            </w:pPr>
            <w:r>
              <w:rPr>
                <w:rFonts w:cs="Times New Roman"/>
              </w:rPr>
              <w:t>2.317.500</w:t>
            </w:r>
          </w:p>
        </w:tc>
        <w:tc>
          <w:tcPr>
            <w:tcW w:w="2041" w:type="dxa"/>
          </w:tcPr>
          <w:p w:rsidR="00505632" w:rsidRDefault="00505632" w:rsidP="00AD4E52">
            <w:pPr>
              <w:pStyle w:val="CellColumn"/>
              <w:jc w:val="right"/>
            </w:pPr>
            <w:r>
              <w:rPr>
                <w:rFonts w:cs="Times New Roman"/>
              </w:rPr>
              <w:t>2.206.891</w:t>
            </w:r>
          </w:p>
        </w:tc>
        <w:tc>
          <w:tcPr>
            <w:tcW w:w="1224" w:type="dxa"/>
          </w:tcPr>
          <w:p w:rsidR="00505632" w:rsidRDefault="00505632" w:rsidP="00AD4E52">
            <w:pPr>
              <w:pStyle w:val="CellColumn"/>
              <w:jc w:val="right"/>
            </w:pPr>
            <w:r>
              <w:rPr>
                <w:rFonts w:cs="Times New Roman"/>
              </w:rPr>
              <w:t>95,2</w:t>
            </w:r>
          </w:p>
        </w:tc>
        <w:tc>
          <w:tcPr>
            <w:tcW w:w="1224" w:type="dxa"/>
          </w:tcPr>
          <w:p w:rsidR="00505632" w:rsidRDefault="00505632" w:rsidP="00AD4E52">
            <w:pPr>
              <w:pStyle w:val="CellColumn"/>
              <w:jc w:val="right"/>
            </w:pPr>
            <w:r>
              <w:rPr>
                <w:rFonts w:cs="Times New Roman"/>
              </w:rPr>
              <w:t>140,2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izvršavanju kazne zatvora (NN 18/11, 48/11, 125/11, 56/13, 150/13)</w:t>
      </w:r>
    </w:p>
    <w:p w:rsidR="00505632" w:rsidRDefault="00505632" w:rsidP="00505632">
      <w:pPr>
        <w:pStyle w:val="Heading8"/>
        <w:jc w:val="left"/>
      </w:pPr>
      <w:r>
        <w:t>Opis aktivnosti</w:t>
      </w:r>
    </w:p>
    <w:p w:rsidR="00505632" w:rsidRDefault="00505632" w:rsidP="00505632">
      <w:r>
        <w:t>Raspoloživim sredstvima nabavljena je oprema, uređaji i ostalo potrebno za održavanje i uređivanje kaznenih tijela.</w:t>
      </w:r>
    </w:p>
    <w:p w:rsidR="00505632" w:rsidRDefault="00505632" w:rsidP="00505632">
      <w:pPr>
        <w:pStyle w:val="Heading4"/>
      </w:pPr>
      <w:r>
        <w:t>K629158 TRG PRAVDE U ZAGREBU (IZGRADNJA, ADAPTACIJA I OPREMANJE)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K629158-TRG PRAVDE U ZAGREBU (IZGRADNJA, ADAPTACIJA I OPREMANJE)</w:t>
            </w:r>
          </w:p>
        </w:tc>
        <w:tc>
          <w:tcPr>
            <w:tcW w:w="2041" w:type="dxa"/>
          </w:tcPr>
          <w:p w:rsidR="00505632" w:rsidRDefault="00505632" w:rsidP="00AD4E52">
            <w:pPr>
              <w:pStyle w:val="CellColumn"/>
              <w:jc w:val="right"/>
            </w:pPr>
            <w:r>
              <w:rPr>
                <w:rFonts w:cs="Times New Roman"/>
              </w:rPr>
              <w:t>4.853.557</w:t>
            </w:r>
          </w:p>
        </w:tc>
        <w:tc>
          <w:tcPr>
            <w:tcW w:w="2041" w:type="dxa"/>
          </w:tcPr>
          <w:p w:rsidR="00505632" w:rsidRDefault="00505632" w:rsidP="00AD4E52">
            <w:pPr>
              <w:pStyle w:val="CellColumn"/>
              <w:jc w:val="right"/>
            </w:pPr>
            <w:r>
              <w:rPr>
                <w:rFonts w:cs="Times New Roman"/>
              </w:rPr>
              <w:t>8.650.000</w:t>
            </w:r>
          </w:p>
        </w:tc>
        <w:tc>
          <w:tcPr>
            <w:tcW w:w="2041" w:type="dxa"/>
          </w:tcPr>
          <w:p w:rsidR="00505632" w:rsidRDefault="00505632" w:rsidP="00AD4E52">
            <w:pPr>
              <w:pStyle w:val="CellColumn"/>
              <w:jc w:val="right"/>
            </w:pPr>
            <w:r>
              <w:rPr>
                <w:rFonts w:cs="Times New Roman"/>
              </w:rPr>
              <w:t>8.648.378</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178,2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i 82/16), Zakon o Državnom odvjetništvu (NN 148/13, 33/15, 82/15)</w:t>
      </w:r>
    </w:p>
    <w:p w:rsidR="00505632" w:rsidRDefault="00505632" w:rsidP="00505632">
      <w:pPr>
        <w:pStyle w:val="Heading8"/>
        <w:jc w:val="left"/>
      </w:pPr>
      <w:r>
        <w:t>Opis aktivnosti</w:t>
      </w:r>
    </w:p>
    <w:p w:rsidR="00505632" w:rsidRDefault="00505632" w:rsidP="00505632">
      <w:r>
        <w:t>Radovi na adaptaciji zgrade E na Trgu pravde u Zagrebu za potrebe Kaznenog odjela Općinskog državnog odvjetništva, te pokretanje novih projekata. Planirani radovi na zgradi su izvedeni (planira se tehnički pregled).</w:t>
      </w:r>
    </w:p>
    <w:p w:rsidR="00505632" w:rsidRDefault="00505632" w:rsidP="00505632">
      <w:pPr>
        <w:pStyle w:val="Heading4"/>
      </w:pPr>
      <w:r>
        <w:t>K629176 VISOKI TRGOVAČKI SUD RH (OTPLATA KREDITA)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K629176-VISOKI TRGOVAČKI SUD RH (OTPLATA KREDITA)</w:t>
            </w:r>
          </w:p>
        </w:tc>
        <w:tc>
          <w:tcPr>
            <w:tcW w:w="2041" w:type="dxa"/>
          </w:tcPr>
          <w:p w:rsidR="00505632" w:rsidRDefault="00505632" w:rsidP="00AD4E52">
            <w:pPr>
              <w:pStyle w:val="CellColumn"/>
              <w:jc w:val="right"/>
            </w:pPr>
            <w:r>
              <w:rPr>
                <w:rFonts w:cs="Times New Roman"/>
              </w:rPr>
              <w:t>2.417.235</w:t>
            </w:r>
          </w:p>
        </w:tc>
        <w:tc>
          <w:tcPr>
            <w:tcW w:w="2041" w:type="dxa"/>
          </w:tcPr>
          <w:p w:rsidR="00505632" w:rsidRDefault="00505632" w:rsidP="00AD4E52">
            <w:pPr>
              <w:pStyle w:val="CellColumn"/>
              <w:jc w:val="right"/>
            </w:pPr>
            <w:r>
              <w:rPr>
                <w:rFonts w:cs="Times New Roman"/>
              </w:rPr>
              <w:t>998.143</w:t>
            </w:r>
          </w:p>
        </w:tc>
        <w:tc>
          <w:tcPr>
            <w:tcW w:w="2041" w:type="dxa"/>
          </w:tcPr>
          <w:p w:rsidR="00505632" w:rsidRDefault="00505632" w:rsidP="00AD4E52">
            <w:pPr>
              <w:pStyle w:val="CellColumn"/>
              <w:jc w:val="right"/>
            </w:pPr>
            <w:r>
              <w:rPr>
                <w:rFonts w:cs="Times New Roman"/>
              </w:rPr>
              <w:t>998.143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41,3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82/16)</w:t>
      </w:r>
    </w:p>
    <w:p w:rsidR="00505632" w:rsidRDefault="00505632" w:rsidP="00505632">
      <w:pPr>
        <w:pStyle w:val="Heading8"/>
        <w:jc w:val="left"/>
      </w:pPr>
      <w:r>
        <w:t>Opis aktivnosti</w:t>
      </w:r>
    </w:p>
    <w:p w:rsidR="00505632" w:rsidRDefault="00505632" w:rsidP="00505632">
      <w:r>
        <w:t>Ovom aktivnošću osigurana su sredstva za financiranje kredita za potrebe poslovnog prostora Visokog trgovačkog suda RH. Kredit je tijekom 2016. g. otplaćen u cijelosti.</w:t>
      </w:r>
    </w:p>
    <w:p w:rsidR="00505632" w:rsidRDefault="00505632" w:rsidP="00505632">
      <w:pPr>
        <w:pStyle w:val="Heading4"/>
      </w:pPr>
      <w:r>
        <w:t>K629181 OBNOVA VOZNOG PARKA ZATVORSKOG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K629181-OBNOVA VOZNOG PARKA ZATVORSKOG SUSTAVA</w:t>
            </w:r>
          </w:p>
        </w:tc>
        <w:tc>
          <w:tcPr>
            <w:tcW w:w="2041" w:type="dxa"/>
          </w:tcPr>
          <w:p w:rsidR="00505632" w:rsidRDefault="00505632" w:rsidP="00AD4E52">
            <w:pPr>
              <w:pStyle w:val="CellColumn"/>
              <w:jc w:val="right"/>
            </w:pPr>
            <w:r>
              <w:rPr>
                <w:rFonts w:cs="Times New Roman"/>
              </w:rPr>
              <w:t>7.098.941</w:t>
            </w:r>
          </w:p>
        </w:tc>
        <w:tc>
          <w:tcPr>
            <w:tcW w:w="2041" w:type="dxa"/>
          </w:tcPr>
          <w:p w:rsidR="00505632" w:rsidRDefault="00505632" w:rsidP="00AD4E52">
            <w:pPr>
              <w:pStyle w:val="CellColumn"/>
              <w:jc w:val="right"/>
            </w:pPr>
            <w:r>
              <w:rPr>
                <w:rFonts w:cs="Times New Roman"/>
              </w:rPr>
              <w:t>7.087.000</w:t>
            </w:r>
          </w:p>
        </w:tc>
        <w:tc>
          <w:tcPr>
            <w:tcW w:w="2041" w:type="dxa"/>
          </w:tcPr>
          <w:p w:rsidR="00505632" w:rsidRDefault="00505632" w:rsidP="00AD4E52">
            <w:pPr>
              <w:pStyle w:val="CellColumn"/>
              <w:jc w:val="right"/>
            </w:pPr>
            <w:r>
              <w:rPr>
                <w:rFonts w:cs="Times New Roman"/>
              </w:rPr>
              <w:t>7.085.427</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99,8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o unutarnjem ustrojstvu Ministarstva pravosuđa (NN 71/2014, NN 76/2015).</w:t>
      </w:r>
    </w:p>
    <w:p w:rsidR="00505632" w:rsidRDefault="00505632" w:rsidP="00505632">
      <w:pPr>
        <w:pStyle w:val="Heading8"/>
        <w:jc w:val="left"/>
      </w:pPr>
      <w:r>
        <w:t>Opis aktivnosti</w:t>
      </w:r>
    </w:p>
    <w:p w:rsidR="00505632" w:rsidRDefault="00505632" w:rsidP="00505632">
      <w:r>
        <w:t>Obnovom voznog parka Uprave za zatvorski sustav postignut je sigurniji i brži prijevoz zatvorenika iz jednog zatvora u drugi, odvoženje na liječničke preglede, te na zakazana suđenja i ostalo.</w:t>
      </w:r>
    </w:p>
    <w:p w:rsidR="00505632" w:rsidRDefault="00505632" w:rsidP="00505632">
      <w:pPr>
        <w:pStyle w:val="Heading4"/>
      </w:pPr>
      <w:r>
        <w:t>K629234 OBNOVA VOZNOG PARKA MINISTARSTVA PRAVOSUĐA I PRAVOSUDNIH TIJELA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K629234-OBNOVA VOZNOG PARKA MINISTARSTVA PRAVOSUĐA I PRAVOSUDNIH TIJELA</w:t>
            </w:r>
          </w:p>
        </w:tc>
        <w:tc>
          <w:tcPr>
            <w:tcW w:w="2041" w:type="dxa"/>
          </w:tcPr>
          <w:p w:rsidR="00505632" w:rsidRDefault="00505632" w:rsidP="00AD4E52">
            <w:pPr>
              <w:pStyle w:val="CellColumn"/>
              <w:jc w:val="right"/>
            </w:pPr>
            <w:r>
              <w:rPr>
                <w:rFonts w:cs="Times New Roman"/>
              </w:rPr>
              <w:t>2.099.851</w:t>
            </w:r>
          </w:p>
        </w:tc>
        <w:tc>
          <w:tcPr>
            <w:tcW w:w="2041" w:type="dxa"/>
          </w:tcPr>
          <w:p w:rsidR="00505632" w:rsidRDefault="00505632" w:rsidP="00AD4E52">
            <w:pPr>
              <w:pStyle w:val="CellColumn"/>
              <w:jc w:val="right"/>
            </w:pPr>
            <w:r>
              <w:rPr>
                <w:rFonts w:cs="Times New Roman"/>
              </w:rPr>
              <w:t>1.760.000</w:t>
            </w:r>
          </w:p>
        </w:tc>
        <w:tc>
          <w:tcPr>
            <w:tcW w:w="2041" w:type="dxa"/>
          </w:tcPr>
          <w:p w:rsidR="00505632" w:rsidRDefault="00505632" w:rsidP="00AD4E52">
            <w:pPr>
              <w:pStyle w:val="CellColumn"/>
              <w:jc w:val="right"/>
            </w:pPr>
            <w:r>
              <w:rPr>
                <w:rFonts w:cs="Times New Roman"/>
              </w:rPr>
              <w:t>1.644.207</w:t>
            </w:r>
          </w:p>
        </w:tc>
        <w:tc>
          <w:tcPr>
            <w:tcW w:w="1224" w:type="dxa"/>
          </w:tcPr>
          <w:p w:rsidR="00505632" w:rsidRDefault="00505632" w:rsidP="00AD4E52">
            <w:pPr>
              <w:pStyle w:val="CellColumn"/>
              <w:jc w:val="right"/>
            </w:pPr>
            <w:r>
              <w:rPr>
                <w:rFonts w:cs="Times New Roman"/>
              </w:rPr>
              <w:t>93,4</w:t>
            </w:r>
          </w:p>
        </w:tc>
        <w:tc>
          <w:tcPr>
            <w:tcW w:w="1224" w:type="dxa"/>
          </w:tcPr>
          <w:p w:rsidR="00505632" w:rsidRDefault="00505632" w:rsidP="00AD4E52">
            <w:pPr>
              <w:pStyle w:val="CellColumn"/>
              <w:jc w:val="right"/>
            </w:pPr>
            <w:r>
              <w:rPr>
                <w:rFonts w:cs="Times New Roman"/>
              </w:rPr>
              <w:t>78,3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o unutarnjem ustrojstvu Ministarstva pravosuđa (NN 71/2014, NN 76/2015.) i Zakon o sudovima (NN broj 28/13, 148/13 i 33/15, 82/15, 82/16)</w:t>
      </w:r>
    </w:p>
    <w:p w:rsidR="00505632" w:rsidRDefault="00505632" w:rsidP="00505632">
      <w:pPr>
        <w:pStyle w:val="Heading8"/>
        <w:jc w:val="left"/>
      </w:pPr>
      <w:r>
        <w:t>Opis aktivnosti</w:t>
      </w:r>
    </w:p>
    <w:p w:rsidR="00505632" w:rsidRDefault="00505632" w:rsidP="00505632">
      <w:r>
        <w:t>Obnova voznog parka Ministarstva pravosuđa, probacijskih ureda u RH i pravosudnih tijela ( županijskih i općinskih sudova, te državnih odvjetništva). S obzirom na starost vozila u pravosudnim tijelima, obnovom voznog parka u istima, ostvaren je brži i sigurniji prijevoz sudaca i odvjetnika u udaljenija područja na zakazane rasprave, očevide i suđenja.</w:t>
      </w:r>
    </w:p>
    <w:p w:rsidR="00505632" w:rsidRDefault="00505632" w:rsidP="00505632">
      <w:pPr>
        <w:pStyle w:val="Heading4"/>
      </w:pPr>
      <w:r>
        <w:t>K629239 HITNE INTERVENCIJE NA ZGRADAMA PRAVOSUDNIH TIJELA I ZATVORSKOG SUSTAVA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K629239-HITNE INTERVENCIJE NA ZGRADAMA PRAVOSUDNIH TIJELA I ZATVORSKOG SUSTAVA</w:t>
            </w:r>
          </w:p>
        </w:tc>
        <w:tc>
          <w:tcPr>
            <w:tcW w:w="2041" w:type="dxa"/>
          </w:tcPr>
          <w:p w:rsidR="00505632" w:rsidRDefault="00505632" w:rsidP="00AD4E52">
            <w:pPr>
              <w:pStyle w:val="CellColumn"/>
              <w:jc w:val="right"/>
            </w:pPr>
            <w:r>
              <w:rPr>
                <w:rFonts w:cs="Times New Roman"/>
              </w:rPr>
              <w:t>3.087.285</w:t>
            </w:r>
          </w:p>
        </w:tc>
        <w:tc>
          <w:tcPr>
            <w:tcW w:w="2041" w:type="dxa"/>
          </w:tcPr>
          <w:p w:rsidR="00505632" w:rsidRDefault="00505632" w:rsidP="00AD4E52">
            <w:pPr>
              <w:pStyle w:val="CellColumn"/>
              <w:jc w:val="right"/>
            </w:pPr>
            <w:r>
              <w:rPr>
                <w:rFonts w:cs="Times New Roman"/>
              </w:rPr>
              <w:t>2.055.000</w:t>
            </w:r>
          </w:p>
        </w:tc>
        <w:tc>
          <w:tcPr>
            <w:tcW w:w="2041" w:type="dxa"/>
          </w:tcPr>
          <w:p w:rsidR="00505632" w:rsidRDefault="00505632" w:rsidP="00AD4E52">
            <w:pPr>
              <w:pStyle w:val="CellColumn"/>
              <w:jc w:val="right"/>
            </w:pPr>
            <w:r>
              <w:rPr>
                <w:rFonts w:cs="Times New Roman"/>
              </w:rPr>
              <w:t>1.946.187</w:t>
            </w:r>
          </w:p>
        </w:tc>
        <w:tc>
          <w:tcPr>
            <w:tcW w:w="1224" w:type="dxa"/>
          </w:tcPr>
          <w:p w:rsidR="00505632" w:rsidRDefault="00505632" w:rsidP="00AD4E52">
            <w:pPr>
              <w:pStyle w:val="CellColumn"/>
              <w:jc w:val="right"/>
            </w:pPr>
            <w:r>
              <w:rPr>
                <w:rFonts w:cs="Times New Roman"/>
              </w:rPr>
              <w:t>94,7</w:t>
            </w:r>
          </w:p>
        </w:tc>
        <w:tc>
          <w:tcPr>
            <w:tcW w:w="1224" w:type="dxa"/>
          </w:tcPr>
          <w:p w:rsidR="00505632" w:rsidRDefault="00505632" w:rsidP="00AD4E52">
            <w:pPr>
              <w:pStyle w:val="CellColumn"/>
              <w:jc w:val="right"/>
            </w:pPr>
            <w:r>
              <w:rPr>
                <w:rFonts w:cs="Times New Roman"/>
              </w:rPr>
              <w:t>63,0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82/16), Zakon o Državnom odvjetništvu (NN 148/13, 33/15 i 82/15), Zakon o izvršavanju kazne zatvora (NN 83/09, NN 56/13, NN 150/13).</w:t>
      </w:r>
    </w:p>
    <w:p w:rsidR="00505632" w:rsidRDefault="00505632" w:rsidP="00505632">
      <w:pPr>
        <w:pStyle w:val="Heading8"/>
        <w:jc w:val="left"/>
      </w:pPr>
      <w:r>
        <w:t>Opis aktivnosti</w:t>
      </w:r>
    </w:p>
    <w:p w:rsidR="00505632" w:rsidRDefault="00505632" w:rsidP="00505632">
      <w:r>
        <w:t>Kontinuirano rješavanje hitnih intervencija na zgradama pravosudnog i zatvorskog sustava prema zahtjevima i potrebama korisnika, kako bi se spriječile veće materijalne štete i osigurali primjereni radni uvjeti.</w:t>
      </w:r>
    </w:p>
    <w:p w:rsidR="00505632" w:rsidRDefault="00505632" w:rsidP="00505632">
      <w:pPr>
        <w:pStyle w:val="Heading4"/>
      </w:pPr>
      <w:r>
        <w:t>K630103 UREĐENJE I OPREMANJE MINISTARSTVA PRAVOSUĐA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K630103-UREĐENJE I OPREMANJE MINISTARSTVA PRAVOSUĐA</w:t>
            </w:r>
          </w:p>
        </w:tc>
        <w:tc>
          <w:tcPr>
            <w:tcW w:w="2041" w:type="dxa"/>
          </w:tcPr>
          <w:p w:rsidR="00505632" w:rsidRDefault="00505632" w:rsidP="00AD4E52">
            <w:pPr>
              <w:pStyle w:val="CellColumn"/>
              <w:jc w:val="right"/>
            </w:pPr>
            <w:r>
              <w:rPr>
                <w:rFonts w:cs="Times New Roman"/>
              </w:rPr>
              <w:t>111.902</w:t>
            </w:r>
          </w:p>
        </w:tc>
        <w:tc>
          <w:tcPr>
            <w:tcW w:w="2041" w:type="dxa"/>
          </w:tcPr>
          <w:p w:rsidR="00505632" w:rsidRDefault="00505632" w:rsidP="00AD4E52">
            <w:pPr>
              <w:pStyle w:val="CellColumn"/>
              <w:jc w:val="right"/>
            </w:pPr>
            <w:r>
              <w:rPr>
                <w:rFonts w:cs="Times New Roman"/>
              </w:rPr>
              <w:t>120.000</w:t>
            </w:r>
          </w:p>
        </w:tc>
        <w:tc>
          <w:tcPr>
            <w:tcW w:w="2041" w:type="dxa"/>
          </w:tcPr>
          <w:p w:rsidR="00505632" w:rsidRDefault="00505632" w:rsidP="00AD4E52">
            <w:pPr>
              <w:pStyle w:val="CellColumn"/>
              <w:jc w:val="right"/>
            </w:pPr>
            <w:r>
              <w:rPr>
                <w:rFonts w:cs="Times New Roman"/>
              </w:rPr>
              <w:t>91.814</w:t>
            </w:r>
          </w:p>
        </w:tc>
        <w:tc>
          <w:tcPr>
            <w:tcW w:w="1224" w:type="dxa"/>
          </w:tcPr>
          <w:p w:rsidR="00505632" w:rsidRDefault="00505632" w:rsidP="00AD4E52">
            <w:pPr>
              <w:pStyle w:val="CellColumn"/>
              <w:jc w:val="right"/>
            </w:pPr>
            <w:r>
              <w:rPr>
                <w:rFonts w:cs="Times New Roman"/>
              </w:rPr>
              <w:t>76,5</w:t>
            </w:r>
          </w:p>
        </w:tc>
        <w:tc>
          <w:tcPr>
            <w:tcW w:w="1224" w:type="dxa"/>
          </w:tcPr>
          <w:p w:rsidR="00505632" w:rsidRDefault="00505632" w:rsidP="00AD4E52">
            <w:pPr>
              <w:pStyle w:val="CellColumn"/>
              <w:jc w:val="right"/>
            </w:pPr>
            <w:r>
              <w:rPr>
                <w:rFonts w:cs="Times New Roman"/>
              </w:rPr>
              <w:t>82,0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Uredba o unutarnjem ustrojstvu Ministarstva pravosuđa (NN 38/2010, NN 71/2014, NN 76/2015.).</w:t>
      </w:r>
    </w:p>
    <w:p w:rsidR="00505632" w:rsidRDefault="00505632" w:rsidP="00505632">
      <w:pPr>
        <w:pStyle w:val="Heading8"/>
        <w:jc w:val="left"/>
      </w:pPr>
      <w:r>
        <w:t>Opis aktivnosti</w:t>
      </w:r>
    </w:p>
    <w:p w:rsidR="00505632" w:rsidRDefault="00505632" w:rsidP="00505632">
      <w:r>
        <w:t>Od ukupno osiguranih sredstava u Državnom proračunu za 2016. godinu u iznosu 120.000,00 kn, na Projektu K 630103, najveći iznos proračunskih sredstava utrošen je za nabavu uredske opreme i namještaja, sukladno sklopljenim ugovorima, na temelju provedenog postupka nabave. Nabavom naprijed navedene opreme realiziran je veći broj zahtjeva unutarnjih ustrojstvenih jedinica Ministarstva pravosuđa čime su osigurani bolji uvjeti rada u svakodnevnom uredskom poslovanju.</w:t>
      </w:r>
    </w:p>
    <w:p w:rsidR="00505632" w:rsidRDefault="00505632" w:rsidP="00505632"/>
    <w:p w:rsidR="00505632" w:rsidRDefault="00505632" w:rsidP="00505632"/>
    <w:p w:rsidR="00505632" w:rsidRDefault="00505632" w:rsidP="00505632">
      <w:pPr>
        <w:pStyle w:val="Heading3"/>
      </w:pPr>
      <w:r>
        <w:rPr>
          <w:rFonts w:cs="Times New Roman"/>
        </w:rPr>
        <w:t>2807 INFORMATIZACIJA , MODERNIZACIJA I ODRŽAVANJE INFORMACIJSKOG SUSTAVA</w:t>
      </w:r>
    </w:p>
    <w:tbl>
      <w:tblPr>
        <w:tblStyle w:val="StilTablice"/>
        <w:tblW w:w="10206" w:type="dxa"/>
        <w:jc w:val="center"/>
        <w:tblLook w:val="04A0" w:firstRow="1" w:lastRow="0" w:firstColumn="1" w:lastColumn="0" w:noHBand="0" w:noVBand="1"/>
      </w:tblPr>
      <w:tblGrid>
        <w:gridCol w:w="1914"/>
        <w:gridCol w:w="1959"/>
        <w:gridCol w:w="1959"/>
        <w:gridCol w:w="1959"/>
        <w:gridCol w:w="1203"/>
        <w:gridCol w:w="1212"/>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2807-INFORMATIZACIJA , MODERNIZACIJA I ODRŽAVANJE INFORMACIJSKOG SUSTAVA</w:t>
            </w:r>
          </w:p>
        </w:tc>
        <w:tc>
          <w:tcPr>
            <w:tcW w:w="2041" w:type="dxa"/>
          </w:tcPr>
          <w:p w:rsidR="00505632" w:rsidRDefault="00505632" w:rsidP="00AD4E52">
            <w:pPr>
              <w:pStyle w:val="CellColumn"/>
              <w:jc w:val="right"/>
            </w:pPr>
            <w:r>
              <w:rPr>
                <w:rFonts w:cs="Times New Roman"/>
              </w:rPr>
              <w:t>48.379.865</w:t>
            </w:r>
          </w:p>
        </w:tc>
        <w:tc>
          <w:tcPr>
            <w:tcW w:w="2041" w:type="dxa"/>
          </w:tcPr>
          <w:p w:rsidR="00505632" w:rsidRDefault="00505632" w:rsidP="00AD4E52">
            <w:pPr>
              <w:pStyle w:val="CellColumn"/>
              <w:jc w:val="right"/>
            </w:pPr>
            <w:r>
              <w:rPr>
                <w:rFonts w:cs="Times New Roman"/>
              </w:rPr>
              <w:t>78.051.214</w:t>
            </w:r>
          </w:p>
        </w:tc>
        <w:tc>
          <w:tcPr>
            <w:tcW w:w="2041" w:type="dxa"/>
          </w:tcPr>
          <w:p w:rsidR="00505632" w:rsidRDefault="00505632" w:rsidP="00AD4E52">
            <w:pPr>
              <w:pStyle w:val="CellColumn"/>
              <w:jc w:val="right"/>
            </w:pPr>
            <w:r>
              <w:rPr>
                <w:rFonts w:cs="Times New Roman"/>
              </w:rPr>
              <w:t>75.273.558</w:t>
            </w:r>
          </w:p>
        </w:tc>
        <w:tc>
          <w:tcPr>
            <w:tcW w:w="1224" w:type="dxa"/>
          </w:tcPr>
          <w:p w:rsidR="00505632" w:rsidRDefault="00505632" w:rsidP="00AD4E52">
            <w:pPr>
              <w:pStyle w:val="CellColumn"/>
              <w:jc w:val="right"/>
            </w:pPr>
            <w:r>
              <w:rPr>
                <w:rFonts w:cs="Times New Roman"/>
              </w:rPr>
              <w:t>96,4</w:t>
            </w:r>
          </w:p>
        </w:tc>
        <w:tc>
          <w:tcPr>
            <w:tcW w:w="1224" w:type="dxa"/>
          </w:tcPr>
          <w:p w:rsidR="00505632" w:rsidRDefault="00505632" w:rsidP="00AD4E52">
            <w:pPr>
              <w:pStyle w:val="CellColumn"/>
              <w:jc w:val="right"/>
            </w:pPr>
            <w:r>
              <w:rPr>
                <w:rFonts w:cs="Times New Roman"/>
              </w:rPr>
              <w:t>155,6</w:t>
            </w:r>
          </w:p>
        </w:tc>
      </w:tr>
    </w:tbl>
    <w:p w:rsidR="00505632" w:rsidRDefault="00505632" w:rsidP="00505632">
      <w:pPr>
        <w:jc w:val="left"/>
      </w:pPr>
    </w:p>
    <w:p w:rsidR="00505632" w:rsidRDefault="00505632" w:rsidP="00505632">
      <w:r>
        <w:t>Program obuhvaća projekte u svrhu informatizacije Ministarstva, pravosudnih i kaznenih tijela kroz planiranje, održavanje i izgradnju informatičke infrastrukture, kao i nadogradnju informacijskog sustava u skladu sa zakonskim promjenama i zahtjevima korisnika. Informatizacija pravosuđa je kontinuirani proces uvođenja, održavanja i unaprjeđenja informatičkih rješenja za elektroničko poslovanje u sudovima, odvjetništvima, zatvorskom sustavu i samom Ministarstvu.</w:t>
      </w:r>
    </w:p>
    <w:p w:rsidR="00505632" w:rsidRDefault="00505632" w:rsidP="00505632">
      <w:pPr>
        <w:pStyle w:val="Heading8"/>
        <w:jc w:val="left"/>
      </w:pPr>
      <w:r>
        <w:t>Cilj 1. Jačanje učinkovitosti pravosuđa</w:t>
      </w:r>
    </w:p>
    <w:p w:rsidR="00505632" w:rsidRDefault="00505632" w:rsidP="00505632">
      <w:pPr>
        <w:pStyle w:val="Heading4"/>
      </w:pPr>
      <w:r>
        <w:t>T544088 SUDJELOVANJE U PROGRAMIMA UNIJE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T544088-SUDJELOVANJE U PROGRAMIMA UNIJE</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855.000</w:t>
            </w:r>
          </w:p>
        </w:tc>
        <w:tc>
          <w:tcPr>
            <w:tcW w:w="2041" w:type="dxa"/>
          </w:tcPr>
          <w:p w:rsidR="00505632" w:rsidRDefault="00505632" w:rsidP="00AD4E52">
            <w:pPr>
              <w:pStyle w:val="CellColumn"/>
              <w:jc w:val="right"/>
            </w:pPr>
            <w:r>
              <w:rPr>
                <w:rFonts w:cs="Times New Roman"/>
              </w:rPr>
              <w:t>166.737</w:t>
            </w:r>
          </w:p>
        </w:tc>
        <w:tc>
          <w:tcPr>
            <w:tcW w:w="1224" w:type="dxa"/>
          </w:tcPr>
          <w:p w:rsidR="00505632" w:rsidRDefault="00505632" w:rsidP="00AD4E52">
            <w:pPr>
              <w:pStyle w:val="CellColumn"/>
              <w:jc w:val="right"/>
            </w:pPr>
            <w:r>
              <w:rPr>
                <w:rFonts w:cs="Times New Roman"/>
              </w:rPr>
              <w:t>19,5</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Sklopljeni Grant ugovori za pojedini projekt financiran iz Programa unije.</w:t>
      </w:r>
    </w:p>
    <w:p w:rsidR="00505632" w:rsidRDefault="00505632" w:rsidP="00505632">
      <w:pPr>
        <w:pStyle w:val="Heading8"/>
        <w:jc w:val="left"/>
      </w:pPr>
      <w:r>
        <w:t>Opis aktivnosti</w:t>
      </w:r>
    </w:p>
    <w:p w:rsidR="00505632" w:rsidRDefault="00505632" w:rsidP="00505632">
      <w:r>
        <w:t>Tijekom godine u provedbi su bila 3 projekta financirana sredstvima pomoći EU. Kroz projekt (partneri iz Republike Češke)koji se provodi u suradnji s Pravosudnom akademijom. Provodili su se programi učenja engleskog i njemačkog jezika za pravosudne dužnosnike. Kroz projekt (partneri iz Kraljevine Nizozemske) ECLI sklopljen je ugovor o nadogradnji sustava SuPra Nova, kako bi objavljenim odlukama dodijeli jedinstveni broj prepoznatljiv na EU razini. Kroz projekt (partneri iz Republike Austrije) sudjelovalo se na sastancima vezanim uz sustav video-konferencija u pravosudnom sustavu. Tijekom 2016. godine plaćeni su troškovi vezani uz pohađanje sastanaka/konferencija na pojedinom projektu, te troškovi sudjelovanja polaznika na jezičnim edukacijama.</w:t>
      </w:r>
    </w:p>
    <w:p w:rsidR="00505632" w:rsidRDefault="00505632" w:rsidP="00505632"/>
    <w:p w:rsidR="00505632" w:rsidRDefault="00505632" w:rsidP="00505632"/>
    <w:p w:rsidR="00505632" w:rsidRDefault="00505632" w:rsidP="00505632"/>
    <w:p w:rsidR="00505632" w:rsidRDefault="00505632" w:rsidP="00505632">
      <w:pPr>
        <w:pStyle w:val="Heading3"/>
      </w:pPr>
      <w:r>
        <w:rPr>
          <w:rFonts w:cs="Times New Roman"/>
        </w:rPr>
        <w:t>2808 POTPORA PRAVOSUDNOM SUSTAVU - ZAJAM IBRD</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2808-POTPORA PRAVOSUDNOM SUSTAVU - ZAJAM IBRD</w:t>
            </w:r>
          </w:p>
        </w:tc>
        <w:tc>
          <w:tcPr>
            <w:tcW w:w="2041" w:type="dxa"/>
          </w:tcPr>
          <w:p w:rsidR="00505632" w:rsidRDefault="00505632" w:rsidP="00AD4E52">
            <w:pPr>
              <w:pStyle w:val="CellColumn"/>
              <w:jc w:val="right"/>
            </w:pPr>
            <w:r>
              <w:rPr>
                <w:rFonts w:cs="Times New Roman"/>
              </w:rPr>
              <w:t>27.099.720</w:t>
            </w:r>
          </w:p>
        </w:tc>
        <w:tc>
          <w:tcPr>
            <w:tcW w:w="2041" w:type="dxa"/>
          </w:tcPr>
          <w:p w:rsidR="00505632" w:rsidRDefault="00505632" w:rsidP="00AD4E52">
            <w:pPr>
              <w:pStyle w:val="CellColumn"/>
              <w:jc w:val="right"/>
            </w:pPr>
            <w:r>
              <w:rPr>
                <w:rFonts w:cs="Times New Roman"/>
              </w:rPr>
              <w:t>8.290.800</w:t>
            </w:r>
          </w:p>
        </w:tc>
        <w:tc>
          <w:tcPr>
            <w:tcW w:w="2041" w:type="dxa"/>
          </w:tcPr>
          <w:p w:rsidR="00505632" w:rsidRDefault="00505632" w:rsidP="00AD4E52">
            <w:pPr>
              <w:pStyle w:val="CellColumn"/>
              <w:jc w:val="right"/>
            </w:pPr>
            <w:r>
              <w:rPr>
                <w:rFonts w:cs="Times New Roman"/>
              </w:rPr>
              <w:t>8.147.815</w:t>
            </w:r>
          </w:p>
        </w:tc>
        <w:tc>
          <w:tcPr>
            <w:tcW w:w="1224" w:type="dxa"/>
          </w:tcPr>
          <w:p w:rsidR="00505632" w:rsidRDefault="00505632" w:rsidP="00AD4E52">
            <w:pPr>
              <w:pStyle w:val="CellColumn"/>
              <w:jc w:val="right"/>
            </w:pPr>
            <w:r>
              <w:rPr>
                <w:rFonts w:cs="Times New Roman"/>
              </w:rPr>
              <w:t>98,3</w:t>
            </w:r>
          </w:p>
        </w:tc>
        <w:tc>
          <w:tcPr>
            <w:tcW w:w="1224" w:type="dxa"/>
          </w:tcPr>
          <w:p w:rsidR="00505632" w:rsidRDefault="00505632" w:rsidP="00AD4E52">
            <w:pPr>
              <w:pStyle w:val="CellColumn"/>
              <w:jc w:val="right"/>
            </w:pPr>
            <w:r>
              <w:rPr>
                <w:rFonts w:cs="Times New Roman"/>
              </w:rPr>
              <w:t>30,1</w:t>
            </w:r>
          </w:p>
        </w:tc>
      </w:tr>
    </w:tbl>
    <w:p w:rsidR="00505632" w:rsidRDefault="00505632" w:rsidP="00505632">
      <w:pPr>
        <w:jc w:val="left"/>
      </w:pPr>
    </w:p>
    <w:p w:rsidR="00505632" w:rsidRDefault="00505632" w:rsidP="00505632">
      <w:r>
        <w:t xml:space="preserve">Projekt potpore pravosudnom sektoru (JSSP) provodi se kao inter-sektorski i interdisciplinarni program s ciljem ubrzavanja i omogućavanja ostvarenja čitavog niza ciljeva određenih Strategijom reforme pravosuđa i Akcijskim planom za njezinu provedbu. Ciljevi koji se žele postići provedbom programa su: racionalizacija mreže sudova i mreže državnih odvjetništava, ubrzavanje i racionalizacija sudskih i državno odvjetničkih postupaka, te posljedično smanjivanje zaostataka, jačanje transparentnosti u djelovanju sudova i državnih odvjetništava te jačanje antikoruptivnih mehanizama. </w:t>
      </w:r>
    </w:p>
    <w:p w:rsidR="00505632" w:rsidRDefault="00505632" w:rsidP="00505632">
      <w:r>
        <w:t>Ostvarenje navedenih ciljeva imati će izravne ekonomske i financijske učinke poput rješavanja većeg broja predmeta u kraćem vremenu i uz manji trošak, izravnih ušteda u režijskim troškovima pravosudnog sustava, racionalnom planiranju budućih investicija u pravosudnom sustavu, učinkovitoj naplati potraživanja, a u konačnici pružanju bolje usluge korisnicima kroz jačanje učinkovitosti i ažurnosti pravosuđa i jačanje pravne sigurnosti.</w:t>
      </w:r>
    </w:p>
    <w:p w:rsidR="00505632" w:rsidRDefault="00505632" w:rsidP="00505632">
      <w:pPr>
        <w:pStyle w:val="Heading8"/>
        <w:jc w:val="left"/>
      </w:pPr>
      <w:r>
        <w:t>Cilj 1. Jačanje učinkovitosti pravosuđa</w:t>
      </w:r>
    </w:p>
    <w:p w:rsidR="00505632" w:rsidRDefault="00505632" w:rsidP="00505632">
      <w:pPr>
        <w:pStyle w:val="Heading4"/>
      </w:pPr>
      <w:r>
        <w:t>K629259 DRŽAVNO ODVJETNIŠTVO REPUBLIKE HRVATSKE (DOGRADNJA ZGRADE) - IBRD 78880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K629259-DRŽAVNO ODVJETNIŠTVO REPUBLIKE HRVATSKE (DOGRADNJA ZGRADE) - IBRD 78880</w:t>
            </w:r>
          </w:p>
        </w:tc>
        <w:tc>
          <w:tcPr>
            <w:tcW w:w="2041" w:type="dxa"/>
          </w:tcPr>
          <w:p w:rsidR="00505632" w:rsidRDefault="00505632" w:rsidP="00AD4E52">
            <w:pPr>
              <w:pStyle w:val="CellColumn"/>
              <w:jc w:val="right"/>
            </w:pPr>
            <w:r>
              <w:rPr>
                <w:rFonts w:cs="Times New Roman"/>
              </w:rPr>
              <w:t>710.089</w:t>
            </w:r>
          </w:p>
        </w:tc>
        <w:tc>
          <w:tcPr>
            <w:tcW w:w="2041" w:type="dxa"/>
          </w:tcPr>
          <w:p w:rsidR="00505632" w:rsidRDefault="00505632" w:rsidP="00AD4E52">
            <w:pPr>
              <w:pStyle w:val="CellColumn"/>
              <w:jc w:val="right"/>
            </w:pPr>
            <w:r>
              <w:rPr>
                <w:rFonts w:cs="Times New Roman"/>
              </w:rPr>
              <w:t>29.000</w:t>
            </w:r>
          </w:p>
        </w:tc>
        <w:tc>
          <w:tcPr>
            <w:tcW w:w="2041" w:type="dxa"/>
          </w:tcPr>
          <w:p w:rsidR="00505632" w:rsidRDefault="00505632" w:rsidP="00AD4E52">
            <w:pPr>
              <w:pStyle w:val="CellColumn"/>
              <w:jc w:val="right"/>
            </w:pPr>
            <w:r>
              <w:rPr>
                <w:rFonts w:cs="Times New Roman"/>
              </w:rPr>
              <w:t>28.780</w:t>
            </w:r>
          </w:p>
        </w:tc>
        <w:tc>
          <w:tcPr>
            <w:tcW w:w="1224" w:type="dxa"/>
          </w:tcPr>
          <w:p w:rsidR="00505632" w:rsidRDefault="00505632" w:rsidP="00AD4E52">
            <w:pPr>
              <w:pStyle w:val="CellColumn"/>
              <w:jc w:val="right"/>
            </w:pPr>
            <w:r>
              <w:rPr>
                <w:rFonts w:cs="Times New Roman"/>
              </w:rPr>
              <w:t>99,2</w:t>
            </w:r>
          </w:p>
        </w:tc>
        <w:tc>
          <w:tcPr>
            <w:tcW w:w="1224" w:type="dxa"/>
          </w:tcPr>
          <w:p w:rsidR="00505632" w:rsidRDefault="00505632" w:rsidP="00AD4E52">
            <w:pPr>
              <w:pStyle w:val="CellColumn"/>
              <w:jc w:val="right"/>
            </w:pPr>
            <w:r>
              <w:rPr>
                <w:rFonts w:cs="Times New Roman"/>
              </w:rPr>
              <w:t>4,1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potvrđivanju Ugovora o zajmu br 78880-HR za Projekt potpore pravosudnom sektoru između Republike Hrvatske i IBRD-a od 13. travnja 2010. godine (NN-MU 04/10).</w:t>
      </w:r>
    </w:p>
    <w:p w:rsidR="00505632" w:rsidRDefault="00505632" w:rsidP="00505632">
      <w:pPr>
        <w:pStyle w:val="Heading8"/>
        <w:jc w:val="left"/>
      </w:pPr>
      <w:r>
        <w:t>Opis aktivnosti</w:t>
      </w:r>
    </w:p>
    <w:p w:rsidR="00505632" w:rsidRDefault="00505632" w:rsidP="00505632">
      <w:r>
        <w:t>Dogradnja dvorišnog krila zgrade i adaptacija postojećih prostora zgrade DORH-a i USKOK-a u Zagrebu. Cilj ove aktivnosti je unaprjeđenje infrastrukturnih uvjeta za djelovanje pravosudnog sustava i podrška racionalizaciji pravosudnih tijela. Tijekom 2016. godine dovršeni su građevinski radovi, te je nabavljen i postavljen sav namještaj i instalirana oprema. Svi radovi su dovršeni, zgrada je u funkciji i predana korisnicima. Aktivnost K629259 nije planirana u Državnom proračunu za 2017. godinu.</w:t>
      </w:r>
    </w:p>
    <w:p w:rsidR="00505632" w:rsidRDefault="00505632" w:rsidP="00505632">
      <w:pPr>
        <w:pStyle w:val="Heading4"/>
      </w:pPr>
      <w:r>
        <w:t>K630026 OPĆINSKO DRŽAVNO ODVJETNIŠTVO U PULI (ADAPTACIJA ZGRADE) - IBRD 78880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K630026-OPĆINSKO DRŽAVNO ODVJETNIŠTVO U PULI (ADAPTACIJA ZGRADE) - IBRD 78880</w:t>
            </w:r>
          </w:p>
        </w:tc>
        <w:tc>
          <w:tcPr>
            <w:tcW w:w="2041" w:type="dxa"/>
          </w:tcPr>
          <w:p w:rsidR="00505632" w:rsidRDefault="00505632" w:rsidP="00AD4E52">
            <w:pPr>
              <w:pStyle w:val="CellColumn"/>
              <w:jc w:val="right"/>
            </w:pPr>
            <w:r>
              <w:rPr>
                <w:rFonts w:cs="Times New Roman"/>
              </w:rPr>
              <w:t>3.988.657</w:t>
            </w:r>
          </w:p>
        </w:tc>
        <w:tc>
          <w:tcPr>
            <w:tcW w:w="2041" w:type="dxa"/>
          </w:tcPr>
          <w:p w:rsidR="00505632" w:rsidRDefault="00505632" w:rsidP="00AD4E52">
            <w:pPr>
              <w:pStyle w:val="CellColumn"/>
              <w:jc w:val="right"/>
            </w:pPr>
            <w:r>
              <w:rPr>
                <w:rFonts w:cs="Times New Roman"/>
              </w:rPr>
              <w:t>3.799.000</w:t>
            </w:r>
          </w:p>
        </w:tc>
        <w:tc>
          <w:tcPr>
            <w:tcW w:w="2041" w:type="dxa"/>
          </w:tcPr>
          <w:p w:rsidR="00505632" w:rsidRDefault="00505632" w:rsidP="00AD4E52">
            <w:pPr>
              <w:pStyle w:val="CellColumn"/>
              <w:jc w:val="right"/>
            </w:pPr>
            <w:r>
              <w:rPr>
                <w:rFonts w:cs="Times New Roman"/>
              </w:rPr>
              <w:t>3.748.201</w:t>
            </w:r>
          </w:p>
        </w:tc>
        <w:tc>
          <w:tcPr>
            <w:tcW w:w="1224" w:type="dxa"/>
          </w:tcPr>
          <w:p w:rsidR="00505632" w:rsidRDefault="00505632" w:rsidP="00AD4E52">
            <w:pPr>
              <w:pStyle w:val="CellColumn"/>
              <w:jc w:val="right"/>
            </w:pPr>
            <w:r>
              <w:rPr>
                <w:rFonts w:cs="Times New Roman"/>
              </w:rPr>
              <w:t>98,7</w:t>
            </w:r>
          </w:p>
        </w:tc>
        <w:tc>
          <w:tcPr>
            <w:tcW w:w="1224" w:type="dxa"/>
          </w:tcPr>
          <w:p w:rsidR="00505632" w:rsidRDefault="00505632" w:rsidP="00AD4E52">
            <w:pPr>
              <w:pStyle w:val="CellColumn"/>
              <w:jc w:val="right"/>
            </w:pPr>
            <w:r>
              <w:rPr>
                <w:rFonts w:cs="Times New Roman"/>
              </w:rPr>
              <w:t>94,0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potvrđivanju Ugovora o zajmu br 78880-HR za Projekt potpore pravosudnom sektoru između Republike Hrvatske i IBRD-a od 13. travnja 2010. godine (NN-MU 04/10).</w:t>
      </w:r>
    </w:p>
    <w:p w:rsidR="00505632" w:rsidRDefault="00505632" w:rsidP="00505632">
      <w:pPr>
        <w:pStyle w:val="Heading8"/>
        <w:jc w:val="left"/>
      </w:pPr>
      <w:r>
        <w:t>Opis aktivnosti</w:t>
      </w:r>
    </w:p>
    <w:p w:rsidR="00505632" w:rsidRDefault="00505632" w:rsidP="00505632">
      <w:r>
        <w:t>Aktivnost se odnosi na adaptaciju zgrade bivše vojarne "Istarske brigade" u Puli za potrebe smještaja pravosudnih tijela (ODO Pula, ŽDO Pula, ZK odjel OS Pula). Cilj aktivnosti je unaprjeđenje infrastrukturnih uvjeta za djelovanje pravosudnog sustava i podrška racionalizaciji mreže pravosudnih tijela. Tijekom 2016. godine dovršeni su građevinski radovi, nabavljen je i postavljen namještaj, instalirana oprema i sustav tehničke zaštite. Obavljen je tehnički pregled, dobivena uporabna dozvola i zgrada je predana korisnicima. Aktivnost K630026 nije planirana u Državnom proračunu za 2017. godinu.</w:t>
      </w:r>
    </w:p>
    <w:p w:rsidR="00505632" w:rsidRDefault="00505632" w:rsidP="00505632">
      <w:pPr>
        <w:pStyle w:val="Heading4"/>
      </w:pPr>
      <w:r>
        <w:t>K630088 INFORMATIZACIJA PRAVOSUDNOG SUSTAVA-IBRD 78880</w:t>
      </w:r>
    </w:p>
    <w:tbl>
      <w:tblPr>
        <w:tblStyle w:val="StilTablice"/>
        <w:tblW w:w="10206" w:type="dxa"/>
        <w:jc w:val="center"/>
        <w:tblLook w:val="04A0" w:firstRow="1" w:lastRow="0" w:firstColumn="1" w:lastColumn="0" w:noHBand="0" w:noVBand="1"/>
      </w:tblPr>
      <w:tblGrid>
        <w:gridCol w:w="1915"/>
        <w:gridCol w:w="1963"/>
        <w:gridCol w:w="1956"/>
        <w:gridCol w:w="1956"/>
        <w:gridCol w:w="1204"/>
        <w:gridCol w:w="121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K630088-INFORMATIZACIJA PRAVOSUDNOG SUSTAVA-IBRD 78880</w:t>
            </w:r>
          </w:p>
        </w:tc>
        <w:tc>
          <w:tcPr>
            <w:tcW w:w="2041" w:type="dxa"/>
          </w:tcPr>
          <w:p w:rsidR="00505632" w:rsidRDefault="00505632" w:rsidP="00AD4E52">
            <w:pPr>
              <w:pStyle w:val="CellColumn"/>
              <w:jc w:val="right"/>
            </w:pPr>
            <w:r>
              <w:rPr>
                <w:rFonts w:cs="Times New Roman"/>
              </w:rPr>
              <w:t>21.253.130</w:t>
            </w:r>
          </w:p>
        </w:tc>
        <w:tc>
          <w:tcPr>
            <w:tcW w:w="2041" w:type="dxa"/>
          </w:tcPr>
          <w:p w:rsidR="00505632" w:rsidRDefault="00505632" w:rsidP="00AD4E52">
            <w:pPr>
              <w:pStyle w:val="CellColumn"/>
              <w:jc w:val="right"/>
            </w:pPr>
            <w:r>
              <w:rPr>
                <w:rFonts w:cs="Times New Roman"/>
              </w:rPr>
              <w:t>2.694.000</w:t>
            </w:r>
          </w:p>
        </w:tc>
        <w:tc>
          <w:tcPr>
            <w:tcW w:w="2041" w:type="dxa"/>
          </w:tcPr>
          <w:p w:rsidR="00505632" w:rsidRDefault="00505632" w:rsidP="00AD4E52">
            <w:pPr>
              <w:pStyle w:val="CellColumn"/>
              <w:jc w:val="right"/>
            </w:pPr>
            <w:r>
              <w:rPr>
                <w:rFonts w:cs="Times New Roman"/>
              </w:rPr>
              <w:t>2.690.682</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12,7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potvrđivanju Ugovora o zajmu br 78880-HR za Projekt potpore pravosudnom sektoru između Republike Hrvatske i IBRD-a od 13. travnja 2010. godine (NN-MU 04/10).</w:t>
      </w:r>
    </w:p>
    <w:p w:rsidR="00505632" w:rsidRDefault="00505632" w:rsidP="00505632">
      <w:pPr>
        <w:pStyle w:val="Heading8"/>
        <w:jc w:val="left"/>
      </w:pPr>
      <w:r>
        <w:t>Opis aktivnosti</w:t>
      </w:r>
    </w:p>
    <w:p w:rsidR="00505632" w:rsidRDefault="00505632" w:rsidP="00505632">
      <w:r>
        <w:t>Ova aktivnost je vezana uz informatizaciju pravosudnog sustava. Tijekom 2016. godine dovršena je nadogradnja CTS sustava i uvođenje istog u sva državna odvjetništva u RH. Povrh toga, nabavljena je osnovna IT oprema potrebna za funkcioniranje unaprijeđenih IT upravljačkih sustava za sva pravosudna tijela. Aktivnost K630088 nije planirana u Državnom proračunu za 2017. godinu.</w:t>
      </w:r>
    </w:p>
    <w:p w:rsidR="00505632" w:rsidRDefault="00505632" w:rsidP="00505632">
      <w:pPr>
        <w:pStyle w:val="Heading4"/>
      </w:pPr>
      <w:r>
        <w:t>T630087 ADMINISTRACIJA I UPRAVLJANJE ZAJMOM - IBRD 78880</w:t>
      </w:r>
    </w:p>
    <w:tbl>
      <w:tblPr>
        <w:tblStyle w:val="StilTablice"/>
        <w:tblW w:w="10206" w:type="dxa"/>
        <w:jc w:val="center"/>
        <w:tblLook w:val="04A0" w:firstRow="1" w:lastRow="0" w:firstColumn="1" w:lastColumn="0" w:noHBand="0" w:noVBand="1"/>
      </w:tblPr>
      <w:tblGrid>
        <w:gridCol w:w="1793"/>
        <w:gridCol w:w="1992"/>
        <w:gridCol w:w="1995"/>
        <w:gridCol w:w="1995"/>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T630087-ADMINISTRACIJA I UPRAVLJANJE ZAJMOM - IBRD 78880</w:t>
            </w:r>
          </w:p>
        </w:tc>
        <w:tc>
          <w:tcPr>
            <w:tcW w:w="2041" w:type="dxa"/>
          </w:tcPr>
          <w:p w:rsidR="00505632" w:rsidRDefault="00505632" w:rsidP="00AD4E52">
            <w:pPr>
              <w:pStyle w:val="CellColumn"/>
              <w:jc w:val="right"/>
            </w:pPr>
            <w:r>
              <w:rPr>
                <w:rFonts w:cs="Times New Roman"/>
              </w:rPr>
              <w:t>999.928</w:t>
            </w:r>
          </w:p>
        </w:tc>
        <w:tc>
          <w:tcPr>
            <w:tcW w:w="2041" w:type="dxa"/>
          </w:tcPr>
          <w:p w:rsidR="00505632" w:rsidRDefault="00505632" w:rsidP="00AD4E52">
            <w:pPr>
              <w:pStyle w:val="CellColumn"/>
              <w:jc w:val="right"/>
            </w:pPr>
            <w:r>
              <w:rPr>
                <w:rFonts w:cs="Times New Roman"/>
              </w:rPr>
              <w:t>1.768.800</w:t>
            </w:r>
          </w:p>
        </w:tc>
        <w:tc>
          <w:tcPr>
            <w:tcW w:w="2041" w:type="dxa"/>
          </w:tcPr>
          <w:p w:rsidR="00505632" w:rsidRDefault="00505632" w:rsidP="00AD4E52">
            <w:pPr>
              <w:pStyle w:val="CellColumn"/>
              <w:jc w:val="right"/>
            </w:pPr>
            <w:r>
              <w:rPr>
                <w:rFonts w:cs="Times New Roman"/>
              </w:rPr>
              <w:t>1.680.152</w:t>
            </w:r>
          </w:p>
        </w:tc>
        <w:tc>
          <w:tcPr>
            <w:tcW w:w="1224" w:type="dxa"/>
          </w:tcPr>
          <w:p w:rsidR="00505632" w:rsidRDefault="00505632" w:rsidP="00AD4E52">
            <w:pPr>
              <w:pStyle w:val="CellColumn"/>
              <w:jc w:val="right"/>
            </w:pPr>
            <w:r>
              <w:rPr>
                <w:rFonts w:cs="Times New Roman"/>
              </w:rPr>
              <w:t>95,0</w:t>
            </w:r>
          </w:p>
        </w:tc>
        <w:tc>
          <w:tcPr>
            <w:tcW w:w="1224" w:type="dxa"/>
          </w:tcPr>
          <w:p w:rsidR="00505632" w:rsidRDefault="00505632" w:rsidP="00AD4E52">
            <w:pPr>
              <w:pStyle w:val="CellColumn"/>
              <w:jc w:val="right"/>
            </w:pPr>
            <w:r>
              <w:rPr>
                <w:rFonts w:cs="Times New Roman"/>
              </w:rPr>
              <w:t>168,0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potvrđivanju Ugovora o zajmu br 78880-HR za Projekt potpore pravosudnom sektoru između Republike Hrvatske i IBRD-a od 13. travnja 2010. godine (NN-MU 04/10).</w:t>
      </w:r>
    </w:p>
    <w:p w:rsidR="00505632" w:rsidRDefault="00505632" w:rsidP="00505632">
      <w:pPr>
        <w:pStyle w:val="Heading8"/>
        <w:jc w:val="left"/>
      </w:pPr>
      <w:r>
        <w:t>Opis aktivnosti</w:t>
      </w:r>
    </w:p>
    <w:p w:rsidR="00505632" w:rsidRDefault="00505632" w:rsidP="00505632">
      <w:r>
        <w:t>Provedba svih aktivnosti predviđenih JSSP projektom u skladu s pravilima i smjernicama Svjetske banke i Ugovora o zajmu, te upravljanje sredstvima Zajma. Tijekom 2016. godine provedeni su postupci nabave i ugovaranja za sve planirane aktivnosti, te upravljanje istima. Izvršena je završna godišnja neovisna financijska revizija Projekta, te zatvoren račun zajma u IBRD-u. Napravljeno je i završno izvješće Projekta. Aktivnost T630087 nije planirana u Državnom proračunu za 2017. godinu.</w:t>
      </w:r>
    </w:p>
    <w:p w:rsidR="00505632" w:rsidRDefault="00505632" w:rsidP="00505632">
      <w:pPr>
        <w:pStyle w:val="Heading3"/>
      </w:pPr>
      <w:r>
        <w:rPr>
          <w:rFonts w:cs="Times New Roman"/>
        </w:rPr>
        <w:t>2809 UPRAVLJANJE ZATVORSKIM I PROBACIJSKIM SUSTAVOM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2809-UPRAVLJANJE ZATVORSKIM I PROBACIJSKIM SUSTAVOM</w:t>
            </w:r>
          </w:p>
        </w:tc>
        <w:tc>
          <w:tcPr>
            <w:tcW w:w="2041" w:type="dxa"/>
          </w:tcPr>
          <w:p w:rsidR="00505632" w:rsidRDefault="00505632" w:rsidP="00AD4E52">
            <w:pPr>
              <w:pStyle w:val="CellColumn"/>
              <w:jc w:val="right"/>
            </w:pPr>
            <w:r>
              <w:rPr>
                <w:rFonts w:cs="Times New Roman"/>
              </w:rPr>
              <w:t>4.487.979</w:t>
            </w:r>
          </w:p>
        </w:tc>
        <w:tc>
          <w:tcPr>
            <w:tcW w:w="2041" w:type="dxa"/>
          </w:tcPr>
          <w:p w:rsidR="00505632" w:rsidRDefault="00505632" w:rsidP="00AD4E52">
            <w:pPr>
              <w:pStyle w:val="CellColumn"/>
              <w:jc w:val="right"/>
            </w:pPr>
            <w:r>
              <w:rPr>
                <w:rFonts w:cs="Times New Roman"/>
              </w:rPr>
              <w:t>10.223.689</w:t>
            </w:r>
          </w:p>
        </w:tc>
        <w:tc>
          <w:tcPr>
            <w:tcW w:w="2041" w:type="dxa"/>
          </w:tcPr>
          <w:p w:rsidR="00505632" w:rsidRDefault="00505632" w:rsidP="00AD4E52">
            <w:pPr>
              <w:pStyle w:val="CellColumn"/>
              <w:jc w:val="right"/>
            </w:pPr>
            <w:r>
              <w:rPr>
                <w:rFonts w:cs="Times New Roman"/>
              </w:rPr>
              <w:t>10.941.468</w:t>
            </w:r>
          </w:p>
        </w:tc>
        <w:tc>
          <w:tcPr>
            <w:tcW w:w="1224" w:type="dxa"/>
          </w:tcPr>
          <w:p w:rsidR="00505632" w:rsidRDefault="00505632" w:rsidP="00AD4E52">
            <w:pPr>
              <w:pStyle w:val="CellColumn"/>
              <w:jc w:val="right"/>
            </w:pPr>
            <w:r>
              <w:rPr>
                <w:rFonts w:cs="Times New Roman"/>
              </w:rPr>
              <w:t>107,0</w:t>
            </w:r>
          </w:p>
        </w:tc>
        <w:tc>
          <w:tcPr>
            <w:tcW w:w="1224" w:type="dxa"/>
          </w:tcPr>
          <w:p w:rsidR="00505632" w:rsidRDefault="00505632" w:rsidP="00AD4E52">
            <w:pPr>
              <w:pStyle w:val="CellColumn"/>
              <w:jc w:val="right"/>
            </w:pPr>
            <w:r>
              <w:rPr>
                <w:rFonts w:cs="Times New Roman"/>
              </w:rPr>
              <w:t>243,8</w:t>
            </w:r>
          </w:p>
        </w:tc>
      </w:tr>
    </w:tbl>
    <w:p w:rsidR="00505632" w:rsidRDefault="00505632" w:rsidP="00505632">
      <w:pPr>
        <w:jc w:val="left"/>
      </w:pPr>
    </w:p>
    <w:p w:rsidR="00505632" w:rsidRDefault="00505632" w:rsidP="00505632">
      <w:r>
        <w:t>Program obuhvaća izvršavanje kazne zatvora, mjera pritvora i odgojne mjere, provedbu propisa u odnosu na smještaj, prehranu, rublje, odjeću, posteljinu, liječenje, rad, te redovno funkcioniranje zatvorskog sustava.</w:t>
      </w:r>
    </w:p>
    <w:p w:rsidR="00505632" w:rsidRDefault="00505632" w:rsidP="00505632">
      <w:pPr>
        <w:pStyle w:val="Heading8"/>
        <w:jc w:val="left"/>
      </w:pPr>
      <w:r>
        <w:t>Cilj 1. Jačanje zaštite ljudskih prava i temeljnih sloboda</w:t>
      </w:r>
    </w:p>
    <w:p w:rsidR="00505632" w:rsidRDefault="00505632" w:rsidP="00505632">
      <w:pPr>
        <w:pStyle w:val="Heading4"/>
      </w:pPr>
      <w:r>
        <w:t>A544090 DJELATNOST UPRAVE ZA ZATVORSKI SUSTAV</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A544090-DJELATNOST UPRAVE ZA ZATVORSKI SUSTAV</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4.816.694</w:t>
            </w:r>
          </w:p>
        </w:tc>
        <w:tc>
          <w:tcPr>
            <w:tcW w:w="2041" w:type="dxa"/>
          </w:tcPr>
          <w:p w:rsidR="00505632" w:rsidRDefault="00505632" w:rsidP="00AD4E52">
            <w:pPr>
              <w:pStyle w:val="CellColumn"/>
              <w:jc w:val="right"/>
            </w:pPr>
            <w:r>
              <w:rPr>
                <w:rFonts w:cs="Times New Roman"/>
              </w:rPr>
              <w:t>4.711.819</w:t>
            </w:r>
          </w:p>
        </w:tc>
        <w:tc>
          <w:tcPr>
            <w:tcW w:w="1224" w:type="dxa"/>
          </w:tcPr>
          <w:p w:rsidR="00505632" w:rsidRDefault="00505632" w:rsidP="00AD4E52">
            <w:pPr>
              <w:pStyle w:val="CellColumn"/>
              <w:jc w:val="right"/>
            </w:pPr>
            <w:r>
              <w:rPr>
                <w:rFonts w:cs="Times New Roman"/>
              </w:rPr>
              <w:t>97,8</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izvršavanju kazne zatvora (pročišćeni tekst NN 190/03, 76/07, 27/08, 83/09, 18/11, 48/11, 125/11, 56/13, 150/13).</w:t>
      </w:r>
    </w:p>
    <w:p w:rsidR="00505632" w:rsidRDefault="00505632" w:rsidP="00505632">
      <w:pPr>
        <w:pStyle w:val="Heading8"/>
        <w:jc w:val="left"/>
      </w:pPr>
      <w:r>
        <w:t>Opis aktivnosti</w:t>
      </w:r>
    </w:p>
    <w:p w:rsidR="00505632" w:rsidRDefault="00505632" w:rsidP="00505632">
      <w:r>
        <w:t>Raspoloživim sredstvima kupljena je oprema za pravosudnu policiju, smanjen je broj pritužbi sindikata zbog nedostatne ili neodgovarajuće službene odjeće, obuće i pripadajuće opreme. Nabavljena je i isporučena oprema za zatvorenike, te nije bilo osnovanih pritužbi zatvorenika sucu izvršenja u odnosu na potrebnu opremu. Smanjenje broja izrečenih kazni zbog teške povrede službene dužnosti. Smanjenje broja opozvanih uvjetnih otpusta.</w:t>
      </w:r>
    </w:p>
    <w:p w:rsidR="00505632" w:rsidRDefault="00505632" w:rsidP="00505632">
      <w:pPr>
        <w:pStyle w:val="Heading4"/>
      </w:pPr>
      <w:r>
        <w:t>A630079 SUSTAV ZA PROBACIJU U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A630079-SUSTAV ZA PROBACIJU U RH</w:t>
            </w:r>
          </w:p>
        </w:tc>
        <w:tc>
          <w:tcPr>
            <w:tcW w:w="2041" w:type="dxa"/>
          </w:tcPr>
          <w:p w:rsidR="00505632" w:rsidRDefault="00505632" w:rsidP="00AD4E52">
            <w:pPr>
              <w:pStyle w:val="CellColumn"/>
              <w:jc w:val="right"/>
            </w:pPr>
            <w:r>
              <w:rPr>
                <w:rFonts w:cs="Times New Roman"/>
              </w:rPr>
              <w:t>803.244</w:t>
            </w:r>
          </w:p>
        </w:tc>
        <w:tc>
          <w:tcPr>
            <w:tcW w:w="2041" w:type="dxa"/>
          </w:tcPr>
          <w:p w:rsidR="00505632" w:rsidRDefault="00505632" w:rsidP="00AD4E52">
            <w:pPr>
              <w:pStyle w:val="CellColumn"/>
              <w:jc w:val="right"/>
            </w:pPr>
            <w:r>
              <w:rPr>
                <w:rFonts w:cs="Times New Roman"/>
              </w:rPr>
              <w:t>736.000</w:t>
            </w:r>
          </w:p>
        </w:tc>
        <w:tc>
          <w:tcPr>
            <w:tcW w:w="2041" w:type="dxa"/>
          </w:tcPr>
          <w:p w:rsidR="00505632" w:rsidRDefault="00505632" w:rsidP="00AD4E52">
            <w:pPr>
              <w:pStyle w:val="CellColumn"/>
              <w:jc w:val="right"/>
            </w:pPr>
            <w:r>
              <w:rPr>
                <w:rFonts w:cs="Times New Roman"/>
              </w:rPr>
              <w:t>693.152</w:t>
            </w:r>
          </w:p>
        </w:tc>
        <w:tc>
          <w:tcPr>
            <w:tcW w:w="1224" w:type="dxa"/>
          </w:tcPr>
          <w:p w:rsidR="00505632" w:rsidRDefault="00505632" w:rsidP="00AD4E52">
            <w:pPr>
              <w:pStyle w:val="CellColumn"/>
              <w:jc w:val="right"/>
            </w:pPr>
            <w:r>
              <w:rPr>
                <w:rFonts w:cs="Times New Roman"/>
              </w:rPr>
              <w:t>94,2</w:t>
            </w:r>
          </w:p>
        </w:tc>
        <w:tc>
          <w:tcPr>
            <w:tcW w:w="1224" w:type="dxa"/>
          </w:tcPr>
          <w:p w:rsidR="00505632" w:rsidRDefault="00505632" w:rsidP="00AD4E52">
            <w:pPr>
              <w:pStyle w:val="CellColumn"/>
              <w:jc w:val="right"/>
            </w:pPr>
            <w:r>
              <w:rPr>
                <w:rFonts w:cs="Times New Roman"/>
              </w:rPr>
              <w:t>86,3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probaciji („Narodne novine“, broj 143/12) i Pravilnik o načinu obavljanja probacijskih poslova (NN broj 29/13.).</w:t>
      </w:r>
    </w:p>
    <w:p w:rsidR="00505632" w:rsidRDefault="00505632" w:rsidP="00505632">
      <w:pPr>
        <w:pStyle w:val="Heading8"/>
        <w:jc w:val="left"/>
      </w:pPr>
      <w:r>
        <w:t>Opis aktivnosti</w:t>
      </w:r>
    </w:p>
    <w:p w:rsidR="00505632" w:rsidRDefault="00505632" w:rsidP="00505632">
      <w:r>
        <w:t>Realizacijom ove aktivnosti omogućeno je normalno funkcioniranje probacijskih ureda i obavljanje zakonom predviđenih poslova. Tijekom 2016. godine probacijska služba zaprimila je ukupno 4174 nova predmeta, izvršila je njih 3857, dok je na dan 31. prosinca 2016. godine u radu imala 3535 predmeta. Ako prethodno navedene podatke usporedimo s podacima za 2015. godinu vidimo da je tijekom 2016. zabilježen rast broja novozaprimljenih predmeta i to sa 3618 u 2015. na 4174 u 2016. godini, povećan je broj izvršenih predmeta (2015. – 3572; 2016. – 3857), kao i broj predmeta u radu na 31. prosinca (2015. – 3019; 2016. – 3535).</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povečati broj izvršenih predmeta</w:t>
            </w:r>
          </w:p>
        </w:tc>
        <w:tc>
          <w:tcPr>
            <w:tcW w:w="2551" w:type="dxa"/>
          </w:tcPr>
          <w:p w:rsidR="00505632" w:rsidRDefault="00505632" w:rsidP="00AD4E52">
            <w:pPr>
              <w:pStyle w:val="CellColumn"/>
              <w:jc w:val="left"/>
            </w:pPr>
            <w:r>
              <w:rPr>
                <w:rFonts w:cs="Times New Roman"/>
              </w:rPr>
              <w:t>Izvršeni predmeti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3572</w:t>
            </w:r>
          </w:p>
        </w:tc>
        <w:tc>
          <w:tcPr>
            <w:tcW w:w="1020" w:type="dxa"/>
          </w:tcPr>
          <w:p w:rsidR="00505632" w:rsidRDefault="00505632" w:rsidP="00AD4E52">
            <w:pPr>
              <w:pStyle w:val="CellColumn"/>
              <w:jc w:val="right"/>
            </w:pPr>
            <w:r>
              <w:rPr>
                <w:rFonts w:cs="Times New Roman"/>
              </w:rPr>
              <w:t>MP</w:t>
            </w:r>
          </w:p>
        </w:tc>
        <w:tc>
          <w:tcPr>
            <w:tcW w:w="1020" w:type="dxa"/>
          </w:tcPr>
          <w:p w:rsidR="00505632" w:rsidRDefault="00505632" w:rsidP="00AD4E52">
            <w:pPr>
              <w:pStyle w:val="CellColumn"/>
              <w:jc w:val="right"/>
            </w:pPr>
            <w:r>
              <w:rPr>
                <w:rFonts w:cs="Times New Roman"/>
              </w:rPr>
              <w:t>3800</w:t>
            </w:r>
          </w:p>
        </w:tc>
        <w:tc>
          <w:tcPr>
            <w:tcW w:w="1020" w:type="dxa"/>
          </w:tcPr>
          <w:p w:rsidR="00505632" w:rsidRDefault="00505632" w:rsidP="00AD4E52">
            <w:pPr>
              <w:pStyle w:val="CellColumn"/>
              <w:jc w:val="right"/>
            </w:pPr>
            <w:r>
              <w:rPr>
                <w:rFonts w:cs="Times New Roman"/>
              </w:rPr>
              <w:t>3857</w:t>
            </w:r>
          </w:p>
        </w:tc>
      </w:tr>
    </w:tbl>
    <w:p w:rsidR="00505632" w:rsidRDefault="00505632" w:rsidP="00505632">
      <w:pPr>
        <w:jc w:val="left"/>
      </w:pPr>
    </w:p>
    <w:p w:rsidR="00505632" w:rsidRDefault="00505632" w:rsidP="00505632">
      <w:pPr>
        <w:pStyle w:val="Heading4"/>
      </w:pPr>
      <w:r>
        <w:t>K544056 IPA I 2012 - JAČANJE ZATVORSKOG SUSTAVA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K544056-IPA I 2012 - JAČANJE ZATVORSKOG SUSTAVA RH</w:t>
            </w:r>
          </w:p>
        </w:tc>
        <w:tc>
          <w:tcPr>
            <w:tcW w:w="2041" w:type="dxa"/>
          </w:tcPr>
          <w:p w:rsidR="00505632" w:rsidRDefault="00505632" w:rsidP="00AD4E52">
            <w:pPr>
              <w:pStyle w:val="CellColumn"/>
              <w:jc w:val="right"/>
            </w:pPr>
            <w:r>
              <w:rPr>
                <w:rFonts w:cs="Times New Roman"/>
              </w:rPr>
              <w:t>234.424</w:t>
            </w:r>
          </w:p>
        </w:tc>
        <w:tc>
          <w:tcPr>
            <w:tcW w:w="2041" w:type="dxa"/>
          </w:tcPr>
          <w:p w:rsidR="00505632" w:rsidRDefault="00505632" w:rsidP="00AD4E52">
            <w:pPr>
              <w:pStyle w:val="CellColumn"/>
              <w:jc w:val="right"/>
            </w:pPr>
            <w:r>
              <w:rPr>
                <w:rFonts w:cs="Times New Roman"/>
              </w:rPr>
              <w:t>4.475.118</w:t>
            </w:r>
          </w:p>
        </w:tc>
        <w:tc>
          <w:tcPr>
            <w:tcW w:w="2041" w:type="dxa"/>
          </w:tcPr>
          <w:p w:rsidR="00505632" w:rsidRDefault="00505632" w:rsidP="00AD4E52">
            <w:pPr>
              <w:pStyle w:val="CellColumn"/>
              <w:jc w:val="right"/>
            </w:pPr>
            <w:r>
              <w:rPr>
                <w:rFonts w:cs="Times New Roman"/>
              </w:rPr>
              <w:t>5.340.652</w:t>
            </w:r>
          </w:p>
        </w:tc>
        <w:tc>
          <w:tcPr>
            <w:tcW w:w="1224" w:type="dxa"/>
          </w:tcPr>
          <w:p w:rsidR="00505632" w:rsidRDefault="00505632" w:rsidP="00AD4E52">
            <w:pPr>
              <w:pStyle w:val="CellColumn"/>
              <w:jc w:val="right"/>
            </w:pPr>
            <w:r>
              <w:rPr>
                <w:rFonts w:cs="Times New Roman"/>
              </w:rPr>
              <w:t>119,3</w:t>
            </w:r>
          </w:p>
        </w:tc>
        <w:tc>
          <w:tcPr>
            <w:tcW w:w="1224" w:type="dxa"/>
          </w:tcPr>
          <w:p w:rsidR="00505632" w:rsidRDefault="00505632" w:rsidP="00AD4E52">
            <w:pPr>
              <w:pStyle w:val="CellColumn"/>
              <w:jc w:val="right"/>
            </w:pPr>
            <w:r>
              <w:rPr>
                <w:rFonts w:cs="Times New Roman"/>
              </w:rPr>
              <w:t>2278,2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Sporazum o financiranju između Vlade Republike Hrvatske i Europske komisije u vezi s Nacionalnim programom za Hrvatsku u okviru programa IPA – komponenta Pomoć u tranziciji i jačanje institucija za 2012. godinu.</w:t>
      </w:r>
    </w:p>
    <w:p w:rsidR="00505632" w:rsidRDefault="00505632" w:rsidP="00505632">
      <w:pPr>
        <w:pStyle w:val="Heading8"/>
        <w:jc w:val="left"/>
      </w:pPr>
      <w:r>
        <w:t>Opis aktivnosti</w:t>
      </w:r>
    </w:p>
    <w:p w:rsidR="00505632" w:rsidRDefault="00505632" w:rsidP="00505632">
      <w:r>
        <w:t>Twinning projekt je započeo s provedbom u 2016. godini. Radovi su krenuli s provedbom u rujnu 2016. za lokaciju Odgojnog zavoda u Turopolju. Izvršenje proračuna u 2016. godini se odnosi na avansno plaćanje za twinning ugovor te plaćanje mjesečnih situacija za radove koji se vrše u Odgojnom zavodu Turopolje.</w:t>
      </w:r>
    </w:p>
    <w:p w:rsidR="00505632" w:rsidRDefault="00505632" w:rsidP="00505632">
      <w:pPr>
        <w:pStyle w:val="Heading3"/>
      </w:pPr>
      <w:r>
        <w:rPr>
          <w:rFonts w:cs="Times New Roman"/>
        </w:rPr>
        <w:t>2811 LJUDSKA PRAVA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2811-LJUDSKA PRAVA</w:t>
            </w:r>
          </w:p>
        </w:tc>
        <w:tc>
          <w:tcPr>
            <w:tcW w:w="2041" w:type="dxa"/>
          </w:tcPr>
          <w:p w:rsidR="00505632" w:rsidRDefault="00505632" w:rsidP="00AD4E52">
            <w:pPr>
              <w:pStyle w:val="CellColumn"/>
              <w:jc w:val="right"/>
            </w:pPr>
            <w:r>
              <w:rPr>
                <w:rFonts w:cs="Times New Roman"/>
              </w:rPr>
              <w:t>2.879.959</w:t>
            </w:r>
          </w:p>
        </w:tc>
        <w:tc>
          <w:tcPr>
            <w:tcW w:w="2041" w:type="dxa"/>
          </w:tcPr>
          <w:p w:rsidR="00505632" w:rsidRDefault="00505632" w:rsidP="00AD4E52">
            <w:pPr>
              <w:pStyle w:val="CellColumn"/>
              <w:jc w:val="right"/>
            </w:pPr>
            <w:r>
              <w:rPr>
                <w:rFonts w:cs="Times New Roman"/>
              </w:rPr>
              <w:t>2.848.964</w:t>
            </w:r>
          </w:p>
        </w:tc>
        <w:tc>
          <w:tcPr>
            <w:tcW w:w="2041" w:type="dxa"/>
          </w:tcPr>
          <w:p w:rsidR="00505632" w:rsidRDefault="00505632" w:rsidP="00AD4E52">
            <w:pPr>
              <w:pStyle w:val="CellColumn"/>
              <w:jc w:val="right"/>
            </w:pPr>
            <w:r>
              <w:rPr>
                <w:rFonts w:cs="Times New Roman"/>
              </w:rPr>
              <w:t>2.848.657</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98,9</w:t>
            </w:r>
          </w:p>
        </w:tc>
      </w:tr>
    </w:tbl>
    <w:p w:rsidR="00505632" w:rsidRDefault="00505632" w:rsidP="00505632">
      <w:pPr>
        <w:jc w:val="left"/>
      </w:pPr>
    </w:p>
    <w:p w:rsidR="00505632" w:rsidRDefault="00505632" w:rsidP="00505632">
      <w:r>
        <w:t>Programom su obuhvaćene aktivnosti usklađivanja zakonodavstva iz područja djelokruga Ministarstva pravosuđa s međunarodnim dokumentima iz područja zaštite ljudskih prava i prava nacionalnih manjina, te borba protiv svih oblika diskriminacije.</w:t>
      </w:r>
    </w:p>
    <w:p w:rsidR="00505632" w:rsidRDefault="00505632" w:rsidP="00505632">
      <w:pPr>
        <w:pStyle w:val="Heading8"/>
        <w:jc w:val="left"/>
      </w:pPr>
      <w:r>
        <w:t xml:space="preserve">Cilj 1. Ostvarenje jednakosti svih pred zakonom, djelotvorno ostvarenje pravne zaštite, te pristupa sudu i drugim javnopravnim tijelima pod jednakim uvjetima. </w:t>
      </w:r>
    </w:p>
    <w:p w:rsidR="00505632" w:rsidRDefault="00505632" w:rsidP="00505632">
      <w:pPr>
        <w:pStyle w:val="Heading4"/>
      </w:pPr>
      <w:r>
        <w:t>A630048 BESPLATNA PRAVNA POMOĆ</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A630048-BESPLATNA PRAVNA POMOĆ</w:t>
            </w:r>
          </w:p>
        </w:tc>
        <w:tc>
          <w:tcPr>
            <w:tcW w:w="2041" w:type="dxa"/>
          </w:tcPr>
          <w:p w:rsidR="00505632" w:rsidRDefault="00505632" w:rsidP="00AD4E52">
            <w:pPr>
              <w:pStyle w:val="CellColumn"/>
              <w:jc w:val="right"/>
            </w:pPr>
            <w:r>
              <w:rPr>
                <w:rFonts w:cs="Times New Roman"/>
              </w:rPr>
              <w:t>2.879.959</w:t>
            </w:r>
          </w:p>
        </w:tc>
        <w:tc>
          <w:tcPr>
            <w:tcW w:w="2041" w:type="dxa"/>
          </w:tcPr>
          <w:p w:rsidR="00505632" w:rsidRDefault="00505632" w:rsidP="00AD4E52">
            <w:pPr>
              <w:pStyle w:val="CellColumn"/>
              <w:jc w:val="right"/>
            </w:pPr>
            <w:r>
              <w:rPr>
                <w:rFonts w:cs="Times New Roman"/>
              </w:rPr>
              <w:t>2.848.914</w:t>
            </w:r>
          </w:p>
        </w:tc>
        <w:tc>
          <w:tcPr>
            <w:tcW w:w="2041" w:type="dxa"/>
          </w:tcPr>
          <w:p w:rsidR="00505632" w:rsidRDefault="00505632" w:rsidP="00AD4E52">
            <w:pPr>
              <w:pStyle w:val="CellColumn"/>
              <w:jc w:val="right"/>
            </w:pPr>
            <w:r>
              <w:rPr>
                <w:rFonts w:cs="Times New Roman"/>
              </w:rPr>
              <w:t>2.848.657</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98,9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besplatnoj pravnoj pomoći (NN 62/08, 81/11 i 143/13).</w:t>
      </w:r>
    </w:p>
    <w:p w:rsidR="00505632" w:rsidRDefault="00505632" w:rsidP="00505632">
      <w:pPr>
        <w:pStyle w:val="Heading8"/>
        <w:jc w:val="left"/>
      </w:pPr>
      <w:r>
        <w:t>Opis aktivnosti</w:t>
      </w:r>
    </w:p>
    <w:p w:rsidR="00505632" w:rsidRDefault="00505632" w:rsidP="00505632">
      <w:r>
        <w:t>U 2016. godini za isplatu po obračunatim troškovima za odvjetnike, vještake i tumače utrošeno je 2.153.792,71 kuna za postupke sekundarne pravne pomoći, dok je za financiranje projekata ovlaštenih udruga i pravnih klinika za pružanje primarne pravne pomoći isplaćen iznos od 694.413,92 kuna. Sekundarna se pravna pomoć s obzirom na vrstu postupka najčešće odobravala u postupcima iz obiteljskih odnosa, u ukupno 1982 slučajeva. U ovršnim postupcima i postupcima osiguranja kada je riječ o prisilnom ostvarenju ili osiguranju tražbine koja proizlazi iz postupka za koji se prema odredbama ZBPP-a može odobriti sekundarna pravna pomoć, odobrena je u ukupno 493 slučaja, dok je u postupcima vezanim uz stvarna prava,  odobrena u 395 slučaja. U postupcima iz radnih odnosa sekundarna pravna pomoć odobrena je u 86 slučaja, dok se u ostalim sudskim postupcima koji se odnose na iznimno odobravanje pravne pomoći kada je takva potreba uvjetovana konkretnom životnom situacijom podnositelja zahtjeva sekundarna pravna pomoć odobrila u 532 slučaja. U odnosu na oblike sekundarne pravne pomoći, u najvećem broju slučajeva pomoć je odobrena u vidu oslobođenja od plaćanja sudskih pristojbi (u 4906 slučajeva), zatim u vidu zastupanja u sudskim postupcima (u 3600 slučajeva), u vidu oslobođenja od plaćanja troškova sudskog postupka ( u 2079 slučajeva), pravno savjetovanje (205 slučajeva), mirno rješavanje spora (11 slučajeva). Ministarstvo pravosuđa svake godine raspisuje javni natječaj za dodjelu sredstava za financiranje projekata udruga ovlaštenih za pružanje primarne pravne pomoći i pravnih fakulteta za rad pravnih klinika. Tijekom 2016. godine ukupno je 13 projekata (11 projekata udruga te projekti Pravne klinike Pravnog fakulteta Sveučilišta u Osijeku i Pravne klinike Pravnog fakulteta Sveučilišta u Splitu) zadovoljilo uvjete natječaja te su financijska sredstava dodijeljena Odlukom ministra pravosuđa od 30. rujna 2016. godine.</w:t>
      </w:r>
    </w:p>
    <w:p w:rsidR="00505632" w:rsidRDefault="00505632" w:rsidP="00505632">
      <w:pPr>
        <w:pStyle w:val="Heading3"/>
      </w:pPr>
      <w:r>
        <w:rPr>
          <w:rFonts w:cs="Times New Roman"/>
        </w:rPr>
        <w:t>2815 ZEMLJIŠNE KNJIGE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2815-ZEMLJIŠNE KNJIGE</w:t>
            </w:r>
          </w:p>
        </w:tc>
        <w:tc>
          <w:tcPr>
            <w:tcW w:w="2041" w:type="dxa"/>
          </w:tcPr>
          <w:p w:rsidR="00505632" w:rsidRDefault="00505632" w:rsidP="00AD4E52">
            <w:pPr>
              <w:pStyle w:val="CellColumn"/>
              <w:jc w:val="right"/>
            </w:pPr>
            <w:r>
              <w:rPr>
                <w:rFonts w:cs="Times New Roman"/>
              </w:rPr>
              <w:t>9.079.723</w:t>
            </w:r>
          </w:p>
        </w:tc>
        <w:tc>
          <w:tcPr>
            <w:tcW w:w="2041" w:type="dxa"/>
          </w:tcPr>
          <w:p w:rsidR="00505632" w:rsidRDefault="00505632" w:rsidP="00AD4E52">
            <w:pPr>
              <w:pStyle w:val="CellColumn"/>
              <w:jc w:val="right"/>
            </w:pPr>
            <w:r>
              <w:rPr>
                <w:rFonts w:cs="Times New Roman"/>
              </w:rPr>
              <w:t>19.550.000</w:t>
            </w:r>
          </w:p>
        </w:tc>
        <w:tc>
          <w:tcPr>
            <w:tcW w:w="2041" w:type="dxa"/>
          </w:tcPr>
          <w:p w:rsidR="00505632" w:rsidRDefault="00505632" w:rsidP="00AD4E52">
            <w:pPr>
              <w:pStyle w:val="CellColumn"/>
              <w:jc w:val="right"/>
            </w:pPr>
            <w:r>
              <w:rPr>
                <w:rFonts w:cs="Times New Roman"/>
              </w:rPr>
              <w:t>14.930.520</w:t>
            </w:r>
          </w:p>
        </w:tc>
        <w:tc>
          <w:tcPr>
            <w:tcW w:w="1224" w:type="dxa"/>
          </w:tcPr>
          <w:p w:rsidR="00505632" w:rsidRDefault="00505632" w:rsidP="00AD4E52">
            <w:pPr>
              <w:pStyle w:val="CellColumn"/>
              <w:jc w:val="right"/>
            </w:pPr>
            <w:r>
              <w:rPr>
                <w:rFonts w:cs="Times New Roman"/>
              </w:rPr>
              <w:t>76,4</w:t>
            </w:r>
          </w:p>
        </w:tc>
        <w:tc>
          <w:tcPr>
            <w:tcW w:w="1224" w:type="dxa"/>
          </w:tcPr>
          <w:p w:rsidR="00505632" w:rsidRDefault="00505632" w:rsidP="00AD4E52">
            <w:pPr>
              <w:pStyle w:val="CellColumn"/>
              <w:jc w:val="right"/>
            </w:pPr>
            <w:r>
              <w:rPr>
                <w:rFonts w:cs="Times New Roman"/>
              </w:rPr>
              <w:t>164,4</w:t>
            </w:r>
          </w:p>
        </w:tc>
      </w:tr>
    </w:tbl>
    <w:p w:rsidR="00505632" w:rsidRDefault="00505632" w:rsidP="00505632">
      <w:pPr>
        <w:jc w:val="left"/>
      </w:pPr>
    </w:p>
    <w:p w:rsidR="00505632" w:rsidRDefault="00505632" w:rsidP="00505632">
      <w:r>
        <w:t>Program Zemljišne knjige dio je Nacionalnog programa reforme zemljišne administracije "Uređena zemlja" koji je pokrenut kako bi se poboljšale državne usluge sa stajališta učinkovitosti, transparentnosti i troška u svrhu razvoja učinkovitog tržišta nekretninama.</w:t>
      </w:r>
    </w:p>
    <w:p w:rsidR="00505632" w:rsidRDefault="00505632" w:rsidP="00505632">
      <w:pPr>
        <w:pStyle w:val="Heading8"/>
        <w:jc w:val="left"/>
      </w:pPr>
      <w:r>
        <w:t>Cilj 1. Jačanje učinkovitosti pravosuđa</w:t>
      </w:r>
    </w:p>
    <w:p w:rsidR="00505632" w:rsidRDefault="00505632" w:rsidP="00505632">
      <w:pPr>
        <w:pStyle w:val="Heading4"/>
      </w:pPr>
      <w:r>
        <w:t>K544028 PROJEKT IMPLEMENTACIJE INTEGRIRANOG SUSTAVA ZEMLJIŠNE ADMINISTRACIJE, IBRD ZAJAM 8086-HR</w:t>
      </w:r>
    </w:p>
    <w:tbl>
      <w:tblPr>
        <w:tblStyle w:val="StilTablice"/>
        <w:tblW w:w="10206" w:type="dxa"/>
        <w:jc w:val="center"/>
        <w:tblLook w:val="04A0" w:firstRow="1" w:lastRow="0" w:firstColumn="1" w:lastColumn="0" w:noHBand="0" w:noVBand="1"/>
      </w:tblPr>
      <w:tblGrid>
        <w:gridCol w:w="1827"/>
        <w:gridCol w:w="1981"/>
        <w:gridCol w:w="1986"/>
        <w:gridCol w:w="1986"/>
        <w:gridCol w:w="1210"/>
        <w:gridCol w:w="1216"/>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K544028-PROJEKT IMPLEMENTACIJE INTEGRIRANOG SUSTAVA ZEMLJIŠNE ADMINISTRACIJE, IBRD ZAJAM 8086-HR</w:t>
            </w:r>
          </w:p>
        </w:tc>
        <w:tc>
          <w:tcPr>
            <w:tcW w:w="2041" w:type="dxa"/>
          </w:tcPr>
          <w:p w:rsidR="00505632" w:rsidRDefault="00505632" w:rsidP="00AD4E52">
            <w:pPr>
              <w:pStyle w:val="CellColumn"/>
              <w:jc w:val="right"/>
            </w:pPr>
            <w:r>
              <w:rPr>
                <w:rFonts w:cs="Times New Roman"/>
              </w:rPr>
              <w:t>9.079.723</w:t>
            </w:r>
          </w:p>
        </w:tc>
        <w:tc>
          <w:tcPr>
            <w:tcW w:w="2041" w:type="dxa"/>
          </w:tcPr>
          <w:p w:rsidR="00505632" w:rsidRDefault="00505632" w:rsidP="00AD4E52">
            <w:pPr>
              <w:pStyle w:val="CellColumn"/>
              <w:jc w:val="right"/>
            </w:pPr>
            <w:r>
              <w:rPr>
                <w:rFonts w:cs="Times New Roman"/>
              </w:rPr>
              <w:t>17.000.000</w:t>
            </w:r>
          </w:p>
        </w:tc>
        <w:tc>
          <w:tcPr>
            <w:tcW w:w="2041" w:type="dxa"/>
          </w:tcPr>
          <w:p w:rsidR="00505632" w:rsidRDefault="00505632" w:rsidP="00AD4E52">
            <w:pPr>
              <w:pStyle w:val="CellColumn"/>
              <w:jc w:val="right"/>
            </w:pPr>
            <w:r>
              <w:rPr>
                <w:rFonts w:cs="Times New Roman"/>
              </w:rPr>
              <w:t>14.930.520</w:t>
            </w:r>
          </w:p>
        </w:tc>
        <w:tc>
          <w:tcPr>
            <w:tcW w:w="1224" w:type="dxa"/>
          </w:tcPr>
          <w:p w:rsidR="00505632" w:rsidRDefault="00505632" w:rsidP="00AD4E52">
            <w:pPr>
              <w:pStyle w:val="CellColumn"/>
              <w:jc w:val="right"/>
            </w:pPr>
            <w:r>
              <w:rPr>
                <w:rFonts w:cs="Times New Roman"/>
              </w:rPr>
              <w:t>87,8</w:t>
            </w:r>
          </w:p>
        </w:tc>
        <w:tc>
          <w:tcPr>
            <w:tcW w:w="1224" w:type="dxa"/>
          </w:tcPr>
          <w:p w:rsidR="00505632" w:rsidRDefault="00505632" w:rsidP="00AD4E52">
            <w:pPr>
              <w:pStyle w:val="CellColumn"/>
              <w:jc w:val="right"/>
            </w:pPr>
            <w:r>
              <w:rPr>
                <w:rFonts w:cs="Times New Roman"/>
              </w:rPr>
              <w:t>164,4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potvrđivanju Ugovora o zajmu br 8086-HR za Projekt implementacije integriranog sustava zemljišne administracije između Republike Hrvatske i IBRD-a od 17. kolovoza 2011. godine (NN-MU 13/14), Zakon o zemljišnim knjigama (»Narodne novine« br. 91/96., 68/98., 137/99., 114/01., 100/04., 107/07. i 152/08.), Pravilnik o ustroju i djelovanju zajedničkog informacijskog sustava zemljišnih knjiga i katastra (Narodne novine br. 107/10).</w:t>
      </w:r>
    </w:p>
    <w:p w:rsidR="00505632" w:rsidRDefault="00505632" w:rsidP="00505632">
      <w:pPr>
        <w:pStyle w:val="Heading8"/>
        <w:jc w:val="left"/>
      </w:pPr>
      <w:r>
        <w:t>Opis aktivnosti</w:t>
      </w:r>
    </w:p>
    <w:p w:rsidR="00505632" w:rsidRDefault="00505632" w:rsidP="00505632">
      <w:r>
        <w:t>U razdoblju 2013.-2016. g. provedena je implementacija ZIS-a na cjelokupnom teritoriju Republike Hrvatske za 108 zemljišno knjižnih odjela što je racionaliziralo oba sustava (zemljišnoknjižni i katastarski) i pojednostavilo poslovne procese. Takav sustav će građanima i korisnicima uštedjeti vrijeme i novac, primjerice izdavanjem službenog izvatka elektronskim putem, ali i brojne druge funkcionalnosti. Broj zemljišno-knjižnih odjela po godinama na kojima je proveden postupak implementacije nove ZIS aplikacija: 2013. godina: planirano 20 provedeno 12; 2014. godina: planirano 40, provedeno 4; 2015. godina: planirano 93 provedeno 50; 2016. godina: planirano 42 provedeno 42. Time je završena implementacija ZIS aplikacije na cjelokupnom teritoriju Republike Hrvatske.</w:t>
      </w:r>
    </w:p>
    <w:p w:rsidR="00505632" w:rsidRDefault="00505632" w:rsidP="00505632"/>
    <w:p w:rsidR="00505632" w:rsidRDefault="00505632" w:rsidP="00505632"/>
    <w:p w:rsidR="00505632" w:rsidRDefault="00505632" w:rsidP="00505632">
      <w:pPr>
        <w:pStyle w:val="Heading2"/>
      </w:pPr>
      <w:r>
        <w:t>11006 Pravosudna akademija</w:t>
      </w:r>
    </w:p>
    <w:p w:rsidR="00505632" w:rsidRDefault="00505632" w:rsidP="00505632">
      <w:r>
        <w:t xml:space="preserve">Pravosudna akademija je od 1. siječnja 2010. javna ustanova kojoj je jedan od ciljeva omogućiti uvjete za provedbu  </w:t>
      </w:r>
    </w:p>
    <w:p w:rsidR="00505632" w:rsidRDefault="00505632" w:rsidP="00505632">
      <w:r>
        <w:t>inicijalnih programa za vježbenike u pravosudnim tijelima i za kandidate za suce i zamjenike državnih odvjetnika (program Državna škola za pravosudne dužnosnike), te omogućiti stalno stručno usavršavanje pravosudnih dužnosnika, savjetnika i vježbenika u pravosudnim tijelima te drugih službenika iz područja pravosuđa. Provedbom programa specijaliziranog i stručnog usavršavanja, provođenja radionica za buduće voditelje aktivnosti stručnog usavršavanja sudaca i upoznavanja vježbenika s određenim pravnim institutima, te primjene stečenog znanja u rješavanju hipotetskih primjera i prerađenih primjera iz prakse u svrhu pripreme za polaganje pravosudnog ispita i za primjenu znanja u praksi,  stjecanja vještina  za  rješavanje  praktičnih poslova iz djelokruga rada sudova i Državnog odvjetništva  i dr. Program stručnog  usavršavanja pravosudnih dužnosnika i savjetnika u pravosudnim tijelima podijeljen je u tri kategorije: prvu čine osnovne grane prava (građansko pravo, kazneno pravo, trgovačko pravo, prekršajno pravo, upravno pravo te europsko pravo), drugu standardi u obavljanju profesije pravosudnih dužnosnika (etika i deontologija  profesije pravosudnog  dužnosnika), dok treću kategoriju čini razvoj vještina (informatička edukacija, obuka voditelja radionica, usavršavanje mentora itd.)</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11006-Pravosudna akademija</w:t>
            </w:r>
          </w:p>
        </w:tc>
        <w:tc>
          <w:tcPr>
            <w:tcW w:w="2041" w:type="dxa"/>
            <w:vAlign w:val="top"/>
          </w:tcPr>
          <w:p w:rsidR="00505632" w:rsidRDefault="00505632" w:rsidP="00AD4E52">
            <w:pPr>
              <w:pStyle w:val="CellColumn"/>
              <w:jc w:val="right"/>
            </w:pPr>
            <w:r>
              <w:rPr>
                <w:rFonts w:cs="Times New Roman"/>
              </w:rPr>
              <w:t>4.874.631</w:t>
            </w:r>
          </w:p>
        </w:tc>
        <w:tc>
          <w:tcPr>
            <w:tcW w:w="2041" w:type="dxa"/>
            <w:vAlign w:val="top"/>
          </w:tcPr>
          <w:p w:rsidR="00505632" w:rsidRDefault="00505632" w:rsidP="00AD4E52">
            <w:pPr>
              <w:pStyle w:val="CellColumn"/>
              <w:jc w:val="right"/>
            </w:pPr>
            <w:r>
              <w:rPr>
                <w:rFonts w:cs="Times New Roman"/>
              </w:rPr>
              <w:t>5.514.602</w:t>
            </w:r>
          </w:p>
        </w:tc>
        <w:tc>
          <w:tcPr>
            <w:tcW w:w="2041" w:type="dxa"/>
            <w:vAlign w:val="top"/>
          </w:tcPr>
          <w:p w:rsidR="00505632" w:rsidRDefault="00505632" w:rsidP="00AD4E52">
            <w:pPr>
              <w:pStyle w:val="CellColumn"/>
              <w:jc w:val="right"/>
            </w:pPr>
            <w:r>
              <w:rPr>
                <w:rFonts w:cs="Times New Roman"/>
              </w:rPr>
              <w:t>4.908.195</w:t>
            </w:r>
          </w:p>
        </w:tc>
        <w:tc>
          <w:tcPr>
            <w:tcW w:w="1224" w:type="dxa"/>
            <w:vAlign w:val="top"/>
          </w:tcPr>
          <w:p w:rsidR="00505632" w:rsidRDefault="00505632" w:rsidP="00AD4E52">
            <w:pPr>
              <w:pStyle w:val="CellColumn"/>
              <w:jc w:val="right"/>
            </w:pPr>
            <w:r>
              <w:rPr>
                <w:rFonts w:cs="Times New Roman"/>
              </w:rPr>
              <w:t>89,0</w:t>
            </w:r>
          </w:p>
        </w:tc>
        <w:tc>
          <w:tcPr>
            <w:tcW w:w="1224" w:type="dxa"/>
            <w:vAlign w:val="top"/>
          </w:tcPr>
          <w:p w:rsidR="00505632" w:rsidRDefault="00505632" w:rsidP="00AD4E52">
            <w:pPr>
              <w:pStyle w:val="CellColumn"/>
              <w:jc w:val="right"/>
            </w:pPr>
            <w:r>
              <w:rPr>
                <w:rFonts w:cs="Times New Roman"/>
              </w:rPr>
              <w:t>100,7</w:t>
            </w:r>
          </w:p>
        </w:tc>
      </w:tr>
      <w:tr w:rsidR="00505632" w:rsidTr="00AD4E52">
        <w:trPr>
          <w:jc w:val="center"/>
        </w:trPr>
        <w:tc>
          <w:tcPr>
            <w:tcW w:w="1632" w:type="dxa"/>
          </w:tcPr>
          <w:p w:rsidR="00505632" w:rsidRDefault="00505632" w:rsidP="00AD4E52">
            <w:pPr>
              <w:jc w:val="left"/>
            </w:pPr>
            <w:r>
              <w:t>2804-EDUKACIJA I INFORMIRANJE U PRAVOSUDNOM SUSTAVU</w:t>
            </w:r>
          </w:p>
        </w:tc>
        <w:tc>
          <w:tcPr>
            <w:tcW w:w="2041" w:type="dxa"/>
          </w:tcPr>
          <w:p w:rsidR="00505632" w:rsidRDefault="00505632" w:rsidP="00AD4E52">
            <w:pPr>
              <w:jc w:val="right"/>
            </w:pPr>
            <w:r>
              <w:t>4.874.631</w:t>
            </w:r>
          </w:p>
        </w:tc>
        <w:tc>
          <w:tcPr>
            <w:tcW w:w="2041" w:type="dxa"/>
          </w:tcPr>
          <w:p w:rsidR="00505632" w:rsidRDefault="00505632" w:rsidP="00AD4E52">
            <w:pPr>
              <w:jc w:val="right"/>
            </w:pPr>
            <w:r>
              <w:t>5.514.602</w:t>
            </w:r>
          </w:p>
        </w:tc>
        <w:tc>
          <w:tcPr>
            <w:tcW w:w="2041" w:type="dxa"/>
          </w:tcPr>
          <w:p w:rsidR="00505632" w:rsidRDefault="00505632" w:rsidP="00AD4E52">
            <w:pPr>
              <w:jc w:val="right"/>
            </w:pPr>
            <w:r>
              <w:t>4.908.195</w:t>
            </w:r>
          </w:p>
        </w:tc>
        <w:tc>
          <w:tcPr>
            <w:tcW w:w="1224" w:type="dxa"/>
          </w:tcPr>
          <w:p w:rsidR="00505632" w:rsidRDefault="00505632" w:rsidP="00AD4E52">
            <w:pPr>
              <w:jc w:val="right"/>
            </w:pPr>
            <w:r>
              <w:t>89,0</w:t>
            </w:r>
          </w:p>
        </w:tc>
        <w:tc>
          <w:tcPr>
            <w:tcW w:w="1224" w:type="dxa"/>
          </w:tcPr>
          <w:p w:rsidR="00505632" w:rsidRDefault="00505632" w:rsidP="00AD4E52">
            <w:pPr>
              <w:jc w:val="right"/>
            </w:pPr>
            <w:r>
              <w:t>100,7</w:t>
            </w:r>
          </w:p>
        </w:tc>
      </w:tr>
    </w:tbl>
    <w:p w:rsidR="00505632" w:rsidRDefault="00505632" w:rsidP="00505632">
      <w:pPr>
        <w:jc w:val="left"/>
      </w:pPr>
    </w:p>
    <w:p w:rsidR="00505632" w:rsidRDefault="00505632" w:rsidP="00505632">
      <w:pPr>
        <w:pStyle w:val="Heading3"/>
      </w:pPr>
      <w:r>
        <w:rPr>
          <w:rFonts w:cs="Times New Roman"/>
        </w:rPr>
        <w:t>2804 EDUKACIJA I INFORMIRANJE U PRAVOSUDNOM SUSTAVU</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2804-EDUKACIJA I INFORMIRANJE U PRAVOSUDNOM SUSTAVU</w:t>
            </w:r>
          </w:p>
        </w:tc>
        <w:tc>
          <w:tcPr>
            <w:tcW w:w="2041" w:type="dxa"/>
          </w:tcPr>
          <w:p w:rsidR="00505632" w:rsidRDefault="00505632" w:rsidP="00AD4E52">
            <w:pPr>
              <w:pStyle w:val="CellColumn"/>
              <w:jc w:val="right"/>
            </w:pPr>
            <w:r>
              <w:rPr>
                <w:rFonts w:cs="Times New Roman"/>
              </w:rPr>
              <w:t>4.874.631</w:t>
            </w:r>
          </w:p>
        </w:tc>
        <w:tc>
          <w:tcPr>
            <w:tcW w:w="2041" w:type="dxa"/>
          </w:tcPr>
          <w:p w:rsidR="00505632" w:rsidRDefault="00505632" w:rsidP="00AD4E52">
            <w:pPr>
              <w:pStyle w:val="CellColumn"/>
              <w:jc w:val="right"/>
            </w:pPr>
            <w:r>
              <w:rPr>
                <w:rFonts w:cs="Times New Roman"/>
              </w:rPr>
              <w:t>5.514.602</w:t>
            </w:r>
          </w:p>
        </w:tc>
        <w:tc>
          <w:tcPr>
            <w:tcW w:w="2041" w:type="dxa"/>
          </w:tcPr>
          <w:p w:rsidR="00505632" w:rsidRDefault="00505632" w:rsidP="00AD4E52">
            <w:pPr>
              <w:pStyle w:val="CellColumn"/>
              <w:jc w:val="right"/>
            </w:pPr>
            <w:r>
              <w:rPr>
                <w:rFonts w:cs="Times New Roman"/>
              </w:rPr>
              <w:t>4.908.195</w:t>
            </w:r>
          </w:p>
        </w:tc>
        <w:tc>
          <w:tcPr>
            <w:tcW w:w="1224" w:type="dxa"/>
          </w:tcPr>
          <w:p w:rsidR="00505632" w:rsidRDefault="00505632" w:rsidP="00AD4E52">
            <w:pPr>
              <w:pStyle w:val="CellColumn"/>
              <w:jc w:val="right"/>
            </w:pPr>
            <w:r>
              <w:rPr>
                <w:rFonts w:cs="Times New Roman"/>
              </w:rPr>
              <w:t>89,0</w:t>
            </w:r>
          </w:p>
        </w:tc>
        <w:tc>
          <w:tcPr>
            <w:tcW w:w="1224" w:type="dxa"/>
          </w:tcPr>
          <w:p w:rsidR="00505632" w:rsidRDefault="00505632" w:rsidP="00AD4E52">
            <w:pPr>
              <w:pStyle w:val="CellColumn"/>
              <w:jc w:val="right"/>
            </w:pPr>
            <w:r>
              <w:rPr>
                <w:rFonts w:cs="Times New Roman"/>
              </w:rPr>
              <w:t>100,7</w:t>
            </w:r>
          </w:p>
        </w:tc>
      </w:tr>
    </w:tbl>
    <w:p w:rsidR="00505632" w:rsidRDefault="00505632" w:rsidP="00505632">
      <w:pPr>
        <w:jc w:val="left"/>
      </w:pPr>
    </w:p>
    <w:p w:rsidR="00505632" w:rsidRDefault="00505632" w:rsidP="00505632">
      <w:r>
        <w:t>Program edukacije i informiranja u pravosudnom sustavu provodi se najvećim dijelom kroz aktivnosti Pravosudne akademije, čiji je cilj osigurati kvalitetno inicijalno stručno usavršavanje vježbenika u pravosudnim tijelima i polaznika Državne škole za pravosudne dužnosnike, te organizirati cjeloživotno stručno usavršavanje pravosudnih dužnosnika i savjetnika u pravosudnim tijelima.</w:t>
      </w:r>
    </w:p>
    <w:p w:rsidR="00505632" w:rsidRDefault="00505632" w:rsidP="00505632">
      <w:pPr>
        <w:pStyle w:val="Heading8"/>
        <w:jc w:val="left"/>
      </w:pPr>
      <w:r>
        <w:t>Cilj 1. Jačanje profesionalizma i stručnosti u pravosuđu</w:t>
      </w:r>
    </w:p>
    <w:p w:rsidR="00505632" w:rsidRDefault="00505632" w:rsidP="00505632">
      <w:pPr>
        <w:pStyle w:val="Heading4"/>
      </w:pPr>
      <w:r>
        <w:t>A629024 STRUČNO USAVRŠAVANJE PRAVOSUDNIH DUŽNOSNIKA I SAVJETNIKA U PRAVOSUDNIM TIJELIMA</w:t>
      </w:r>
    </w:p>
    <w:tbl>
      <w:tblPr>
        <w:tblStyle w:val="StilTablice"/>
        <w:tblW w:w="10206" w:type="dxa"/>
        <w:jc w:val="center"/>
        <w:tblLook w:val="04A0" w:firstRow="1" w:lastRow="0" w:firstColumn="1" w:lastColumn="0" w:noHBand="0" w:noVBand="1"/>
      </w:tblPr>
      <w:tblGrid>
        <w:gridCol w:w="1682"/>
        <w:gridCol w:w="2027"/>
        <w:gridCol w:w="2027"/>
        <w:gridCol w:w="2027"/>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A629024-STRUČNO USAVRŠAVANJE PRAVOSUDNIH DUŽNOSNIKA I SAVJETNIKA U PRAVOSUDNIM TIJELIMA</w:t>
            </w:r>
          </w:p>
        </w:tc>
        <w:tc>
          <w:tcPr>
            <w:tcW w:w="2041" w:type="dxa"/>
          </w:tcPr>
          <w:p w:rsidR="00505632" w:rsidRDefault="00505632" w:rsidP="00AD4E52">
            <w:pPr>
              <w:pStyle w:val="CellColumn"/>
              <w:jc w:val="right"/>
            </w:pPr>
            <w:r>
              <w:rPr>
                <w:rFonts w:cs="Times New Roman"/>
              </w:rPr>
              <w:t>1.522.806</w:t>
            </w:r>
          </w:p>
        </w:tc>
        <w:tc>
          <w:tcPr>
            <w:tcW w:w="2041" w:type="dxa"/>
          </w:tcPr>
          <w:p w:rsidR="00505632" w:rsidRDefault="00505632" w:rsidP="00AD4E52">
            <w:pPr>
              <w:pStyle w:val="CellColumn"/>
              <w:jc w:val="right"/>
            </w:pPr>
            <w:r>
              <w:rPr>
                <w:rFonts w:cs="Times New Roman"/>
              </w:rPr>
              <w:t>1.493.840</w:t>
            </w:r>
          </w:p>
        </w:tc>
        <w:tc>
          <w:tcPr>
            <w:tcW w:w="2041" w:type="dxa"/>
          </w:tcPr>
          <w:p w:rsidR="00505632" w:rsidRDefault="00505632" w:rsidP="00AD4E52">
            <w:pPr>
              <w:pStyle w:val="CellColumn"/>
              <w:jc w:val="right"/>
            </w:pPr>
            <w:r>
              <w:rPr>
                <w:rFonts w:cs="Times New Roman"/>
              </w:rPr>
              <w:t>1.439.459</w:t>
            </w:r>
          </w:p>
        </w:tc>
        <w:tc>
          <w:tcPr>
            <w:tcW w:w="1224" w:type="dxa"/>
          </w:tcPr>
          <w:p w:rsidR="00505632" w:rsidRDefault="00505632" w:rsidP="00AD4E52">
            <w:pPr>
              <w:pStyle w:val="CellColumn"/>
              <w:jc w:val="right"/>
            </w:pPr>
            <w:r>
              <w:rPr>
                <w:rFonts w:cs="Times New Roman"/>
              </w:rPr>
              <w:t>96,4</w:t>
            </w:r>
          </w:p>
        </w:tc>
        <w:tc>
          <w:tcPr>
            <w:tcW w:w="1224" w:type="dxa"/>
          </w:tcPr>
          <w:p w:rsidR="00505632" w:rsidRDefault="00505632" w:rsidP="00AD4E52">
            <w:pPr>
              <w:pStyle w:val="CellColumn"/>
              <w:jc w:val="right"/>
            </w:pPr>
            <w:r>
              <w:rPr>
                <w:rFonts w:cs="Times New Roman"/>
              </w:rPr>
              <w:t>94,5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Pravosudnoj akademiji („Narodne novine“ broj 153/09 i 127/10, 82/15).</w:t>
      </w:r>
    </w:p>
    <w:p w:rsidR="00505632" w:rsidRDefault="00505632" w:rsidP="00505632">
      <w:pPr>
        <w:pStyle w:val="Heading8"/>
        <w:jc w:val="left"/>
      </w:pPr>
      <w:r>
        <w:t>Opis aktivnosti</w:t>
      </w:r>
    </w:p>
    <w:p w:rsidR="00505632" w:rsidRDefault="00505632" w:rsidP="00505632">
      <w:r>
        <w:t>Tijekom 2016. g. ukupno je planirano 298 aktivnosti, a održano je 268 aktivnosti u pet regionalnih centara PA za ukupno 3.972 polaznika po slijedećim cjelinama: kazneno pravo, građansko pravo, trgovačko pravo, prekršajno pravo, upravno pravo, EU i međunarodno pravo.</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povećanje broja stručnih programa</w:t>
            </w:r>
          </w:p>
        </w:tc>
        <w:tc>
          <w:tcPr>
            <w:tcW w:w="2551" w:type="dxa"/>
          </w:tcPr>
          <w:p w:rsidR="00505632" w:rsidRDefault="00505632" w:rsidP="00AD4E52">
            <w:pPr>
              <w:pStyle w:val="CellColumn"/>
              <w:jc w:val="left"/>
            </w:pPr>
            <w:r>
              <w:rPr>
                <w:rFonts w:cs="Times New Roman"/>
              </w:rPr>
              <w:t>povećanjem broja programa jačaju preduvjeti za profesionalizam</w:t>
            </w:r>
          </w:p>
        </w:tc>
        <w:tc>
          <w:tcPr>
            <w:tcW w:w="1020" w:type="dxa"/>
          </w:tcPr>
          <w:p w:rsidR="00505632" w:rsidRDefault="00505632" w:rsidP="00AD4E52">
            <w:pPr>
              <w:pStyle w:val="CellColumn"/>
              <w:jc w:val="right"/>
            </w:pPr>
            <w:r>
              <w:rPr>
                <w:rFonts w:cs="Times New Roman"/>
              </w:rPr>
              <w:t>broj programa</w:t>
            </w:r>
          </w:p>
        </w:tc>
        <w:tc>
          <w:tcPr>
            <w:tcW w:w="1020" w:type="dxa"/>
          </w:tcPr>
          <w:p w:rsidR="00505632" w:rsidRDefault="00505632" w:rsidP="00AD4E52">
            <w:pPr>
              <w:pStyle w:val="CellColumn"/>
              <w:jc w:val="right"/>
            </w:pPr>
            <w:r>
              <w:rPr>
                <w:rFonts w:cs="Times New Roman"/>
              </w:rPr>
              <w:t>292</w:t>
            </w:r>
          </w:p>
        </w:tc>
        <w:tc>
          <w:tcPr>
            <w:tcW w:w="1020" w:type="dxa"/>
          </w:tcPr>
          <w:p w:rsidR="00505632" w:rsidRDefault="00505632" w:rsidP="00AD4E52">
            <w:pPr>
              <w:pStyle w:val="CellColumn"/>
              <w:jc w:val="right"/>
            </w:pPr>
            <w:r>
              <w:rPr>
                <w:rFonts w:cs="Times New Roman"/>
              </w:rPr>
              <w:t>MP</w:t>
            </w:r>
          </w:p>
        </w:tc>
        <w:tc>
          <w:tcPr>
            <w:tcW w:w="1020" w:type="dxa"/>
          </w:tcPr>
          <w:p w:rsidR="00505632" w:rsidRDefault="00505632" w:rsidP="00AD4E52">
            <w:pPr>
              <w:pStyle w:val="CellColumn"/>
              <w:jc w:val="right"/>
            </w:pPr>
            <w:r>
              <w:rPr>
                <w:rFonts w:cs="Times New Roman"/>
              </w:rPr>
              <w:t>298</w:t>
            </w:r>
          </w:p>
        </w:tc>
        <w:tc>
          <w:tcPr>
            <w:tcW w:w="1020" w:type="dxa"/>
          </w:tcPr>
          <w:p w:rsidR="00505632" w:rsidRDefault="00505632" w:rsidP="00AD4E52">
            <w:pPr>
              <w:pStyle w:val="CellColumn"/>
              <w:jc w:val="right"/>
            </w:pPr>
            <w:r>
              <w:rPr>
                <w:rFonts w:cs="Times New Roman"/>
              </w:rPr>
              <w:t>268</w:t>
            </w:r>
          </w:p>
        </w:tc>
      </w:tr>
    </w:tbl>
    <w:p w:rsidR="00505632" w:rsidRDefault="00505632" w:rsidP="00505632">
      <w:pPr>
        <w:jc w:val="left"/>
      </w:pPr>
    </w:p>
    <w:p w:rsidR="00505632" w:rsidRDefault="00505632" w:rsidP="00505632">
      <w:pPr>
        <w:pStyle w:val="Heading4"/>
      </w:pPr>
      <w:r>
        <w:t>A844001 ADMINISTRACIJA I UPRAVLJANJE PRAVOSUDNE AKADEMIJE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A844001-ADMINISTRACIJA I UPRAVLJANJE PRAVOSUDNE AKADEMIJE</w:t>
            </w:r>
          </w:p>
        </w:tc>
        <w:tc>
          <w:tcPr>
            <w:tcW w:w="2041" w:type="dxa"/>
          </w:tcPr>
          <w:p w:rsidR="00505632" w:rsidRDefault="00505632" w:rsidP="00AD4E52">
            <w:pPr>
              <w:pStyle w:val="CellColumn"/>
              <w:jc w:val="right"/>
            </w:pPr>
            <w:r>
              <w:rPr>
                <w:rFonts w:cs="Times New Roman"/>
              </w:rPr>
              <w:t>3.351.825</w:t>
            </w:r>
          </w:p>
        </w:tc>
        <w:tc>
          <w:tcPr>
            <w:tcW w:w="2041" w:type="dxa"/>
          </w:tcPr>
          <w:p w:rsidR="00505632" w:rsidRDefault="00505632" w:rsidP="00AD4E52">
            <w:pPr>
              <w:pStyle w:val="CellColumn"/>
              <w:jc w:val="right"/>
            </w:pPr>
            <w:r>
              <w:rPr>
                <w:rFonts w:cs="Times New Roman"/>
              </w:rPr>
              <w:t>3.384.552</w:t>
            </w:r>
          </w:p>
        </w:tc>
        <w:tc>
          <w:tcPr>
            <w:tcW w:w="2041" w:type="dxa"/>
          </w:tcPr>
          <w:p w:rsidR="00505632" w:rsidRDefault="00505632" w:rsidP="00AD4E52">
            <w:pPr>
              <w:pStyle w:val="CellColumn"/>
              <w:jc w:val="right"/>
            </w:pPr>
            <w:r>
              <w:rPr>
                <w:rFonts w:cs="Times New Roman"/>
              </w:rPr>
              <w:t>3.378.736</w:t>
            </w:r>
          </w:p>
        </w:tc>
        <w:tc>
          <w:tcPr>
            <w:tcW w:w="1224" w:type="dxa"/>
          </w:tcPr>
          <w:p w:rsidR="00505632" w:rsidRDefault="00505632" w:rsidP="00AD4E52">
            <w:pPr>
              <w:pStyle w:val="CellColumn"/>
              <w:jc w:val="right"/>
            </w:pPr>
            <w:r>
              <w:rPr>
                <w:rFonts w:cs="Times New Roman"/>
              </w:rPr>
              <w:t>99,8</w:t>
            </w:r>
          </w:p>
        </w:tc>
        <w:tc>
          <w:tcPr>
            <w:tcW w:w="1224" w:type="dxa"/>
          </w:tcPr>
          <w:p w:rsidR="00505632" w:rsidRDefault="00505632" w:rsidP="00AD4E52">
            <w:pPr>
              <w:pStyle w:val="CellColumn"/>
              <w:jc w:val="right"/>
            </w:pPr>
            <w:r>
              <w:rPr>
                <w:rFonts w:cs="Times New Roman"/>
              </w:rPr>
              <w:t>100,8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Pravosudnoj akademiji (NN 153/09, 127/10 i 82/15), Zakon o sudovima (NN 28/13, 33/15, 82/15, 82/16), Zakon o državnom odvjetništvu (NN 76/09, 72/13, 148/13, 33/15, 82/15), Zakon o Državnom sudbenom vijeću (NN 116/10, 57/11, 130/11, 28/13, 82/15).</w:t>
      </w:r>
    </w:p>
    <w:p w:rsidR="00505632" w:rsidRDefault="00505632" w:rsidP="00505632">
      <w:pPr>
        <w:pStyle w:val="Heading8"/>
        <w:jc w:val="left"/>
      </w:pPr>
      <w:r>
        <w:t>Opis aktivnosti</w:t>
      </w:r>
    </w:p>
    <w:p w:rsidR="00505632" w:rsidRDefault="00505632" w:rsidP="00505632">
      <w:r>
        <w:t>Odobrenim planom proračunskih sredstava  podmireni su redovni rashodi poslovanja nastali tijekom proračunske godine. Znatnijih odstupanja u izvršenju materijalnih izdataka po pojedinim stavkama rashoda nije bilo. Ostali rashodi za zaposlene su povećani u odnosu na 2015. godinu (9,6%) zbog isplata regresa i božićnih nagrada temeljem članaka 50. i 64. Kolektivnog ugovora za državne službenike i namještenike, a sukladno odluci Vlade RH.</w:t>
      </w:r>
    </w:p>
    <w:p w:rsidR="00505632" w:rsidRDefault="00505632" w:rsidP="00505632">
      <w:pPr>
        <w:pStyle w:val="Heading4"/>
      </w:pPr>
      <w:r>
        <w:t>A844003 STRUČNO USAVRŠAVANJE SLUŽBENIKA IZ PODRUČJA PRAVOSUĐA</w:t>
      </w:r>
    </w:p>
    <w:tbl>
      <w:tblPr>
        <w:tblStyle w:val="StilTablice"/>
        <w:tblW w:w="10206" w:type="dxa"/>
        <w:jc w:val="center"/>
        <w:tblLook w:val="04A0" w:firstRow="1" w:lastRow="0" w:firstColumn="1" w:lastColumn="0" w:noHBand="0" w:noVBand="1"/>
      </w:tblPr>
      <w:tblGrid>
        <w:gridCol w:w="1681"/>
        <w:gridCol w:w="2028"/>
        <w:gridCol w:w="2026"/>
        <w:gridCol w:w="2028"/>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A844003-STRUČNO USAVRŠAVANJE SLUŽBENIKA IZ PODRUČJA PRAVOSUĐA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90.000</w:t>
            </w:r>
          </w:p>
        </w:tc>
        <w:tc>
          <w:tcPr>
            <w:tcW w:w="2041" w:type="dxa"/>
          </w:tcPr>
          <w:p w:rsidR="00505632" w:rsidRDefault="00505632" w:rsidP="00AD4E52">
            <w:pPr>
              <w:pStyle w:val="CellColumn"/>
              <w:jc w:val="right"/>
            </w:pPr>
            <w:r>
              <w:rPr>
                <w:rFonts w:cs="Times New Roman"/>
              </w:rPr>
              <w:t>90.000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Pravosudnoj akademiji (NN 153/09, 127/10 i 82/15), Zakon o sudovima (NN 28/13, 33/15, 82/15, 82/16), Zakon o državnom odvjetništvu (NN 76/09, 72/13, 148/13, 33/15, 82/15), Zakon o Državnom sudbenom vijeću (NN 116/10, 57/11, 130/11, 28/13, 82/15).</w:t>
      </w:r>
    </w:p>
    <w:p w:rsidR="00505632" w:rsidRDefault="00505632" w:rsidP="00505632">
      <w:pPr>
        <w:pStyle w:val="Heading8"/>
        <w:jc w:val="left"/>
      </w:pPr>
      <w:r>
        <w:t>Opis aktivnosti</w:t>
      </w:r>
    </w:p>
    <w:p w:rsidR="00505632" w:rsidRDefault="00505632" w:rsidP="00505632">
      <w:r>
        <w:t>Kontinuirano stručno usavršavanje službenika iz područja pravosuđa sukladno Programu stručnog usavršavanja koje donosi Programsko vijeća Pravosudne akademije. Program se dijeli na dvije osnovne kategorije: standardno i specijalizirano stručno usavršavanje. U 2016. g. od ukupno planiranih 19 aktivnosti održano je 15 aktivnosti u pet regionalnih centara PA za ukupno 410 službenika u pravosuđu.</w:t>
      </w:r>
    </w:p>
    <w:p w:rsidR="00505632" w:rsidRDefault="00505632" w:rsidP="00505632">
      <w:pPr>
        <w:pStyle w:val="Heading2"/>
      </w:pPr>
      <w:r>
        <w:t>11010 Zatvori i kaznionice</w:t>
      </w:r>
    </w:p>
    <w:p w:rsidR="00505632" w:rsidRDefault="00505632" w:rsidP="00505632">
      <w:r>
        <w:t xml:space="preserve">Kazna zatvora u Republici Hrvatskoj izvršava se kroz 24 institucija zatvora, kaznionica i odgojnih zavoda. Zakonom o izvršavanju kazne zatvora propisani su standardi smještaja zatvorenika. Broj zatvorenika je u stalnom porastu. Takva tendencija rasta broja osoba u zatvorskim institucijama traži nužno povećanje smještajnih kapaciteta. Temeljne zadaće zatvorskog sustava su zaštita društva od počinitelja kaznenih djela i postizanje svrhe izvršavanja kazne zatvora: </w:t>
      </w:r>
    </w:p>
    <w:p w:rsidR="00505632" w:rsidRDefault="00505632" w:rsidP="00505632">
      <w:r>
        <w:t xml:space="preserve">organizacija života zatvorenika i motivacija zatvorenika da se osposobi za samostalni život na slobodi u skladu s </w:t>
      </w:r>
    </w:p>
    <w:p w:rsidR="00505632" w:rsidRDefault="00505632" w:rsidP="00505632">
      <w:r>
        <w:t>društvenim normama, istovremeno umanjujući štetne posljedice koje uvjetuje život u zatvoru. Zatvorski sustav čine 24 ustrojstvene jedinice: 7 kaznionica; 12 zatvora; Odgojni zavodi u Požegi i Turopolju, Zatvorska bolnica u Zagrebu; Centar za dijagnostiku u Zagrebu i Centar za izobrazbu.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11010-Zatvori i kaznionice</w:t>
            </w:r>
          </w:p>
        </w:tc>
        <w:tc>
          <w:tcPr>
            <w:tcW w:w="2041" w:type="dxa"/>
            <w:vAlign w:val="top"/>
          </w:tcPr>
          <w:p w:rsidR="00505632" w:rsidRDefault="00505632" w:rsidP="00AD4E52">
            <w:pPr>
              <w:pStyle w:val="CellColumn"/>
              <w:jc w:val="right"/>
            </w:pPr>
            <w:r>
              <w:rPr>
                <w:rFonts w:cs="Times New Roman"/>
              </w:rPr>
              <w:t>486.997.866</w:t>
            </w:r>
          </w:p>
        </w:tc>
        <w:tc>
          <w:tcPr>
            <w:tcW w:w="2041" w:type="dxa"/>
            <w:vAlign w:val="top"/>
          </w:tcPr>
          <w:p w:rsidR="00505632" w:rsidRDefault="00505632" w:rsidP="00AD4E52">
            <w:pPr>
              <w:pStyle w:val="CellColumn"/>
              <w:jc w:val="right"/>
            </w:pPr>
            <w:r>
              <w:rPr>
                <w:rFonts w:cs="Times New Roman"/>
              </w:rPr>
              <w:t>481.501.469</w:t>
            </w:r>
          </w:p>
        </w:tc>
        <w:tc>
          <w:tcPr>
            <w:tcW w:w="2041" w:type="dxa"/>
            <w:vAlign w:val="top"/>
          </w:tcPr>
          <w:p w:rsidR="00505632" w:rsidRDefault="00505632" w:rsidP="00AD4E52">
            <w:pPr>
              <w:pStyle w:val="CellColumn"/>
              <w:jc w:val="right"/>
            </w:pPr>
            <w:r>
              <w:rPr>
                <w:rFonts w:cs="Times New Roman"/>
              </w:rPr>
              <w:t>480.440.620</w:t>
            </w:r>
          </w:p>
        </w:tc>
        <w:tc>
          <w:tcPr>
            <w:tcW w:w="1224" w:type="dxa"/>
            <w:vAlign w:val="top"/>
          </w:tcPr>
          <w:p w:rsidR="00505632" w:rsidRDefault="00505632" w:rsidP="00AD4E52">
            <w:pPr>
              <w:pStyle w:val="CellColumn"/>
              <w:jc w:val="right"/>
            </w:pPr>
            <w:r>
              <w:rPr>
                <w:rFonts w:cs="Times New Roman"/>
              </w:rPr>
              <w:t>99,8</w:t>
            </w:r>
          </w:p>
        </w:tc>
        <w:tc>
          <w:tcPr>
            <w:tcW w:w="1224" w:type="dxa"/>
            <w:vAlign w:val="top"/>
          </w:tcPr>
          <w:p w:rsidR="00505632" w:rsidRDefault="00505632" w:rsidP="00AD4E52">
            <w:pPr>
              <w:pStyle w:val="CellColumn"/>
              <w:jc w:val="right"/>
            </w:pPr>
            <w:r>
              <w:rPr>
                <w:rFonts w:cs="Times New Roman"/>
              </w:rPr>
              <w:t>98,7</w:t>
            </w:r>
          </w:p>
        </w:tc>
      </w:tr>
      <w:tr w:rsidR="00505632" w:rsidTr="00AD4E52">
        <w:trPr>
          <w:jc w:val="center"/>
        </w:trPr>
        <w:tc>
          <w:tcPr>
            <w:tcW w:w="1632" w:type="dxa"/>
          </w:tcPr>
          <w:p w:rsidR="00505632" w:rsidRDefault="00505632" w:rsidP="00AD4E52">
            <w:pPr>
              <w:jc w:val="left"/>
            </w:pPr>
            <w:r>
              <w:t>2809-UPRAVLJANJE ZATVORSKIM I PROBACIJSKIM SUSTAVOM</w:t>
            </w:r>
          </w:p>
        </w:tc>
        <w:tc>
          <w:tcPr>
            <w:tcW w:w="2041" w:type="dxa"/>
          </w:tcPr>
          <w:p w:rsidR="00505632" w:rsidRDefault="00505632" w:rsidP="00AD4E52">
            <w:pPr>
              <w:jc w:val="right"/>
            </w:pPr>
            <w:r>
              <w:t>486.997.866</w:t>
            </w:r>
          </w:p>
        </w:tc>
        <w:tc>
          <w:tcPr>
            <w:tcW w:w="2041" w:type="dxa"/>
          </w:tcPr>
          <w:p w:rsidR="00505632" w:rsidRDefault="00505632" w:rsidP="00AD4E52">
            <w:pPr>
              <w:jc w:val="right"/>
            </w:pPr>
            <w:r>
              <w:t>481.501.469</w:t>
            </w:r>
          </w:p>
        </w:tc>
        <w:tc>
          <w:tcPr>
            <w:tcW w:w="2041" w:type="dxa"/>
          </w:tcPr>
          <w:p w:rsidR="00505632" w:rsidRDefault="00505632" w:rsidP="00AD4E52">
            <w:pPr>
              <w:jc w:val="right"/>
            </w:pPr>
            <w:r>
              <w:t>480.440.620</w:t>
            </w:r>
          </w:p>
        </w:tc>
        <w:tc>
          <w:tcPr>
            <w:tcW w:w="1224" w:type="dxa"/>
          </w:tcPr>
          <w:p w:rsidR="00505632" w:rsidRDefault="00505632" w:rsidP="00AD4E52">
            <w:pPr>
              <w:jc w:val="right"/>
            </w:pPr>
            <w:r>
              <w:t>99,8</w:t>
            </w:r>
          </w:p>
        </w:tc>
        <w:tc>
          <w:tcPr>
            <w:tcW w:w="1224" w:type="dxa"/>
          </w:tcPr>
          <w:p w:rsidR="00505632" w:rsidRDefault="00505632" w:rsidP="00AD4E52">
            <w:pPr>
              <w:jc w:val="right"/>
            </w:pPr>
            <w:r>
              <w:t>98,7</w:t>
            </w:r>
          </w:p>
        </w:tc>
      </w:tr>
    </w:tbl>
    <w:p w:rsidR="00505632" w:rsidRDefault="00505632" w:rsidP="00505632">
      <w:pPr>
        <w:jc w:val="left"/>
      </w:pPr>
    </w:p>
    <w:p w:rsidR="00505632" w:rsidRDefault="00505632" w:rsidP="00505632">
      <w:pPr>
        <w:pStyle w:val="Heading3"/>
      </w:pPr>
      <w:r>
        <w:rPr>
          <w:rFonts w:cs="Times New Roman"/>
        </w:rPr>
        <w:t>2809 UPRAVLJANJE ZATVORSKIM I PROBACIJSKIM SUSTAVOM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2809-UPRAVLJANJE ZATVORSKIM I PROBACIJSKIM SUSTAVOM</w:t>
            </w:r>
          </w:p>
        </w:tc>
        <w:tc>
          <w:tcPr>
            <w:tcW w:w="2041" w:type="dxa"/>
          </w:tcPr>
          <w:p w:rsidR="00505632" w:rsidRDefault="00505632" w:rsidP="00AD4E52">
            <w:pPr>
              <w:pStyle w:val="CellColumn"/>
              <w:jc w:val="right"/>
            </w:pPr>
            <w:r>
              <w:rPr>
                <w:rFonts w:cs="Times New Roman"/>
              </w:rPr>
              <w:t>486.997.866</w:t>
            </w:r>
          </w:p>
        </w:tc>
        <w:tc>
          <w:tcPr>
            <w:tcW w:w="2041" w:type="dxa"/>
          </w:tcPr>
          <w:p w:rsidR="00505632" w:rsidRDefault="00505632" w:rsidP="00AD4E52">
            <w:pPr>
              <w:pStyle w:val="CellColumn"/>
              <w:jc w:val="right"/>
            </w:pPr>
            <w:r>
              <w:rPr>
                <w:rFonts w:cs="Times New Roman"/>
              </w:rPr>
              <w:t>481.501.469</w:t>
            </w:r>
          </w:p>
        </w:tc>
        <w:tc>
          <w:tcPr>
            <w:tcW w:w="2041" w:type="dxa"/>
          </w:tcPr>
          <w:p w:rsidR="00505632" w:rsidRDefault="00505632" w:rsidP="00AD4E52">
            <w:pPr>
              <w:pStyle w:val="CellColumn"/>
              <w:jc w:val="right"/>
            </w:pPr>
            <w:r>
              <w:rPr>
                <w:rFonts w:cs="Times New Roman"/>
              </w:rPr>
              <w:t>480.440.620</w:t>
            </w:r>
          </w:p>
        </w:tc>
        <w:tc>
          <w:tcPr>
            <w:tcW w:w="1224" w:type="dxa"/>
          </w:tcPr>
          <w:p w:rsidR="00505632" w:rsidRDefault="00505632" w:rsidP="00AD4E52">
            <w:pPr>
              <w:pStyle w:val="CellColumn"/>
              <w:jc w:val="right"/>
            </w:pPr>
            <w:r>
              <w:rPr>
                <w:rFonts w:cs="Times New Roman"/>
              </w:rPr>
              <w:t>99,8</w:t>
            </w:r>
          </w:p>
        </w:tc>
        <w:tc>
          <w:tcPr>
            <w:tcW w:w="1224" w:type="dxa"/>
          </w:tcPr>
          <w:p w:rsidR="00505632" w:rsidRDefault="00505632" w:rsidP="00AD4E52">
            <w:pPr>
              <w:pStyle w:val="CellColumn"/>
              <w:jc w:val="right"/>
            </w:pPr>
            <w:r>
              <w:rPr>
                <w:rFonts w:cs="Times New Roman"/>
              </w:rPr>
              <w:t>98,7</w:t>
            </w:r>
          </w:p>
        </w:tc>
      </w:tr>
    </w:tbl>
    <w:p w:rsidR="00505632" w:rsidRDefault="00505632" w:rsidP="00505632">
      <w:pPr>
        <w:jc w:val="left"/>
      </w:pPr>
    </w:p>
    <w:p w:rsidR="00505632" w:rsidRDefault="00505632" w:rsidP="00505632">
      <w:r>
        <w:t>Izvršavanje kazne zatvora, mjere pritvora i odgojne mjere, provedba propisa u odnosu na smještaj, prehranu, rublje, odjeću, obuću, posteljinu, liječenje, rad, izobrazbu i slobodne aktivnosti zatvorenika i maloljetnika te ostale djelatnosti nužne za redovno funkcioniranje zatvorskog sustava. Zakonitim postupanjem prema zatvorenicima tijekom izvršavanja kazne zatvora, mjere pritvora i odgojne mjere, postiže se jačanje zaštite ljudskih prava. Uvodni tečajevi za novoprimljene službenike, temeljni tečajevi službenika pravosudne policije i dopunski tečajevi za sve ovlaštene službene osobe radi stjecanja dodatnih specijalističkih znanja. Provođenjem izobrazbe ostvaruju se posebni ciljevi iz Strategije Vlade RH za 2012. – 2014. godinu, i to: jačanje zaštite ljudskih prava, suzbijanje korupcije i organiziranog kriminaliteta, te unapređenje sposobnosti i poboljšanje kvalitete javnih službi i uprave.</w:t>
      </w:r>
    </w:p>
    <w:p w:rsidR="00505632" w:rsidRDefault="00505632" w:rsidP="00505632">
      <w:pPr>
        <w:pStyle w:val="Heading8"/>
        <w:jc w:val="left"/>
      </w:pPr>
      <w:r>
        <w:t>Cilj 1. Podizanje razine životnih uvjeta i zaštite ljudskog dostojanstva zatvorenika i maloljetnika na izvršavanju kazne zatvora, mjere pritvora i odgojne mjere.</w:t>
      </w:r>
    </w:p>
    <w:p w:rsidR="00505632" w:rsidRDefault="00505632" w:rsidP="00505632">
      <w:pPr>
        <w:pStyle w:val="Heading8"/>
        <w:jc w:val="left"/>
      </w:pPr>
      <w:r>
        <w:t>Opis provedbe cilja programa</w:t>
      </w:r>
    </w:p>
    <w:p w:rsidR="00505632" w:rsidRDefault="00505632" w:rsidP="00505632">
      <w:r>
        <w:t>Navedeni cilj će provesti podizanjem uspješnosti provedbe pojedinačnih programa izvršavanja kazne zatvora, odgojne mjere pritvora u odnosu na zatvorenike, pritvorenike i maloljetnike.</w:t>
      </w:r>
    </w:p>
    <w:p w:rsidR="00505632" w:rsidRDefault="00505632" w:rsidP="00505632">
      <w:pPr>
        <w:pStyle w:val="Heading8"/>
        <w:jc w:val="left"/>
      </w:pPr>
      <w:r>
        <w:t xml:space="preserve">Cilj 2. Kontinuirana izobrazba i stjecanje novih znanja službenika radi zakonitog i stručnog obavljanja poslova izvršavanja kaznenopravnih sankcija i mjera, te povećanje broja dodatno stručno osposobljenih službenika.  </w:t>
      </w:r>
    </w:p>
    <w:p w:rsidR="00505632" w:rsidRDefault="00505632" w:rsidP="00505632">
      <w:pPr>
        <w:pStyle w:val="Heading8"/>
        <w:jc w:val="left"/>
      </w:pPr>
      <w:r>
        <w:t>Opis provedbe cilja programa</w:t>
      </w:r>
    </w:p>
    <w:p w:rsidR="00505632" w:rsidRDefault="00505632" w:rsidP="00505632">
      <w:r>
        <w:t>Navedeni cilj ostvarit će se provedbom Programa izobrazbe Centra u odnosu na službenike zatvorskog sustava.</w:t>
      </w:r>
    </w:p>
    <w:p w:rsidR="00505632" w:rsidRDefault="00505632" w:rsidP="00505632">
      <w:pPr>
        <w:pStyle w:val="Heading4"/>
      </w:pPr>
      <w:r>
        <w:t>A630000 IZVRŠAVANJE KAZNE ZATVORA, MJERE PRITVORA I ODGOJNE MJERE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A630000-IZVRŠAVANJE KAZNE ZATVORA, MJERE PRITVORA I ODGOJNE MJERE</w:t>
            </w:r>
          </w:p>
        </w:tc>
        <w:tc>
          <w:tcPr>
            <w:tcW w:w="2041" w:type="dxa"/>
          </w:tcPr>
          <w:p w:rsidR="00505632" w:rsidRDefault="00505632" w:rsidP="00AD4E52">
            <w:pPr>
              <w:pStyle w:val="CellColumn"/>
              <w:jc w:val="right"/>
            </w:pPr>
            <w:r>
              <w:rPr>
                <w:rFonts w:cs="Times New Roman"/>
              </w:rPr>
              <w:t>486.796.813</w:t>
            </w:r>
          </w:p>
        </w:tc>
        <w:tc>
          <w:tcPr>
            <w:tcW w:w="2041" w:type="dxa"/>
          </w:tcPr>
          <w:p w:rsidR="00505632" w:rsidRDefault="00505632" w:rsidP="00AD4E52">
            <w:pPr>
              <w:pStyle w:val="CellColumn"/>
              <w:jc w:val="right"/>
            </w:pPr>
            <w:r>
              <w:rPr>
                <w:rFonts w:cs="Times New Roman"/>
              </w:rPr>
              <w:t>481.346.469</w:t>
            </w:r>
          </w:p>
        </w:tc>
        <w:tc>
          <w:tcPr>
            <w:tcW w:w="2041" w:type="dxa"/>
          </w:tcPr>
          <w:p w:rsidR="00505632" w:rsidRDefault="00505632" w:rsidP="00AD4E52">
            <w:pPr>
              <w:pStyle w:val="CellColumn"/>
              <w:jc w:val="right"/>
            </w:pPr>
            <w:r>
              <w:rPr>
                <w:rFonts w:cs="Times New Roman"/>
              </w:rPr>
              <w:t>480.287.664</w:t>
            </w:r>
          </w:p>
        </w:tc>
        <w:tc>
          <w:tcPr>
            <w:tcW w:w="1224" w:type="dxa"/>
          </w:tcPr>
          <w:p w:rsidR="00505632" w:rsidRDefault="00505632" w:rsidP="00AD4E52">
            <w:pPr>
              <w:pStyle w:val="CellColumn"/>
              <w:jc w:val="right"/>
            </w:pPr>
            <w:r>
              <w:rPr>
                <w:rFonts w:cs="Times New Roman"/>
              </w:rPr>
              <w:t>99,8</w:t>
            </w:r>
          </w:p>
        </w:tc>
        <w:tc>
          <w:tcPr>
            <w:tcW w:w="1224" w:type="dxa"/>
          </w:tcPr>
          <w:p w:rsidR="00505632" w:rsidRDefault="00505632" w:rsidP="00AD4E52">
            <w:pPr>
              <w:pStyle w:val="CellColumn"/>
              <w:jc w:val="right"/>
            </w:pPr>
            <w:r>
              <w:rPr>
                <w:rFonts w:cs="Times New Roman"/>
              </w:rPr>
              <w:t>98,7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izvršavanju kazne zatvora (pročišćeni tekst-NN 190/03, 76/07, 27/08, 83/09, 18/11, 48/11, 125/11, 56/13, 150/13).</w:t>
      </w:r>
    </w:p>
    <w:p w:rsidR="00505632" w:rsidRDefault="00505632" w:rsidP="00505632">
      <w:pPr>
        <w:pStyle w:val="Heading8"/>
        <w:jc w:val="left"/>
      </w:pPr>
      <w:r>
        <w:t>Opis aktivnosti</w:t>
      </w:r>
    </w:p>
    <w:p w:rsidR="00505632" w:rsidRDefault="00505632" w:rsidP="00505632">
      <w:r>
        <w:t>Ovom aktivnošću se osigurava redovan rad zatvora i kaznionica.</w:t>
      </w:r>
    </w:p>
    <w:p w:rsidR="00505632" w:rsidRDefault="00505632" w:rsidP="00505632">
      <w:pPr>
        <w:pStyle w:val="Heading4"/>
      </w:pPr>
      <w:r>
        <w:t>A630012 CENTAR ZA IZOBRAZBU ZAPOSLENIKA U ZATVORSKOM SUSTAVU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A630012-CENTAR ZA IZOBRAZBU ZAPOSLENIKA U ZATVORSKOM SUSTAVU</w:t>
            </w:r>
          </w:p>
        </w:tc>
        <w:tc>
          <w:tcPr>
            <w:tcW w:w="2041" w:type="dxa"/>
          </w:tcPr>
          <w:p w:rsidR="00505632" w:rsidRDefault="00505632" w:rsidP="00AD4E52">
            <w:pPr>
              <w:pStyle w:val="CellColumn"/>
              <w:jc w:val="right"/>
            </w:pPr>
            <w:r>
              <w:rPr>
                <w:rFonts w:cs="Times New Roman"/>
              </w:rPr>
              <w:t>201.053</w:t>
            </w:r>
          </w:p>
        </w:tc>
        <w:tc>
          <w:tcPr>
            <w:tcW w:w="2041" w:type="dxa"/>
          </w:tcPr>
          <w:p w:rsidR="00505632" w:rsidRDefault="00505632" w:rsidP="00AD4E52">
            <w:pPr>
              <w:pStyle w:val="CellColumn"/>
              <w:jc w:val="right"/>
            </w:pPr>
            <w:r>
              <w:rPr>
                <w:rFonts w:cs="Times New Roman"/>
              </w:rPr>
              <w:t>155.000</w:t>
            </w:r>
          </w:p>
        </w:tc>
        <w:tc>
          <w:tcPr>
            <w:tcW w:w="2041" w:type="dxa"/>
          </w:tcPr>
          <w:p w:rsidR="00505632" w:rsidRDefault="00505632" w:rsidP="00AD4E52">
            <w:pPr>
              <w:pStyle w:val="CellColumn"/>
              <w:jc w:val="right"/>
            </w:pPr>
            <w:r>
              <w:rPr>
                <w:rFonts w:cs="Times New Roman"/>
              </w:rPr>
              <w:t>152.957</w:t>
            </w:r>
          </w:p>
        </w:tc>
        <w:tc>
          <w:tcPr>
            <w:tcW w:w="1224" w:type="dxa"/>
          </w:tcPr>
          <w:p w:rsidR="00505632" w:rsidRDefault="00505632" w:rsidP="00AD4E52">
            <w:pPr>
              <w:pStyle w:val="CellColumn"/>
              <w:jc w:val="right"/>
            </w:pPr>
            <w:r>
              <w:rPr>
                <w:rFonts w:cs="Times New Roman"/>
              </w:rPr>
              <w:t>98,7</w:t>
            </w:r>
          </w:p>
        </w:tc>
        <w:tc>
          <w:tcPr>
            <w:tcW w:w="1224" w:type="dxa"/>
          </w:tcPr>
          <w:p w:rsidR="00505632" w:rsidRDefault="00505632" w:rsidP="00AD4E52">
            <w:pPr>
              <w:pStyle w:val="CellColumn"/>
              <w:jc w:val="right"/>
            </w:pPr>
            <w:r>
              <w:rPr>
                <w:rFonts w:cs="Times New Roman"/>
              </w:rPr>
              <w:t>76,1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izvršavanju kazne zatvora (pročišćeni tekst-NN 190/03, 76/07, 27/08, 83/09, 18/11, 48/11, 125/11, 56/13, 150/13).</w:t>
      </w:r>
    </w:p>
    <w:p w:rsidR="00505632" w:rsidRDefault="00505632" w:rsidP="00505632">
      <w:pPr>
        <w:pStyle w:val="Heading8"/>
        <w:jc w:val="left"/>
      </w:pPr>
      <w:r>
        <w:t>Opis aktivnosti</w:t>
      </w:r>
    </w:p>
    <w:p w:rsidR="00505632" w:rsidRDefault="00505632" w:rsidP="00505632">
      <w:r>
        <w:t>Po prijemu službenika (vježbenika) svi su educirani za poslove osiguranja kaznenih tijela, zatvorenika i maloljetnika, a dio službenika  prošao je i edukaciju za provođenje posebnih programa sa zatvorenicima.</w:t>
      </w:r>
    </w:p>
    <w:p w:rsidR="00505632" w:rsidRDefault="00505632" w:rsidP="00505632">
      <w:pPr>
        <w:pStyle w:val="Heading2"/>
      </w:pPr>
      <w:r>
        <w:t>11015 Vrhovni sud Republike Hrvatske</w:t>
      </w:r>
    </w:p>
    <w:p w:rsidR="00505632" w:rsidRDefault="00505632" w:rsidP="00505632">
      <w:r>
        <w:t>Sudbenu vlast u Republici Hrvatskoj obavljaju sudovi samostalno i neovisno. Sudovi sude na temelju Ustava i Zakona, međunarodnih ugovora i drugih važećih izvora prava. Najviši sud u Republici Hrvatskoj je Vrhovni sud Republike Hrvatske koji ima Ustavom i zakonom određenu dužnost: osigurava jedinstvenu primjenu prava i ravnopravnost svih u  njegovoj primjeni, odlučuje o izvanrednim pravnim lijekovima protiv pravomoćnih odluka sudova u RH i o redovnim pravnim lijekovima kad je to propisano posebnim zakonom, rješava o sukobu nadležnosti  kad je to propisano posebnim zakonom, razmatra aktualna pitanja sudske prakse, analizira potrebe za stručnim usavršavanjem sudaca, savjetnika i sudskih vježbenika. Vrhovni sud RH nadzire rad nižih sudova u Republici Hrvatskoj. Posebni cilj sudaca Vrhovnog suda Republike Hrvatske i sudskih savjetnika i sudskih službenika je povećati ažurnost u radu i smanjiti broj neriješenih sudskih predmeta rješavanjem svake godine određenog broja sudskih predmeta propisanog Okvirnim mjerilima za rad sudova te posebno predmeta starijih od 10 godina.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11015-Vrhovni sud Republike Hrvatske</w:t>
            </w:r>
          </w:p>
        </w:tc>
        <w:tc>
          <w:tcPr>
            <w:tcW w:w="2041" w:type="dxa"/>
            <w:vAlign w:val="top"/>
          </w:tcPr>
          <w:p w:rsidR="00505632" w:rsidRDefault="00505632" w:rsidP="00AD4E52">
            <w:pPr>
              <w:pStyle w:val="CellColumn"/>
              <w:jc w:val="right"/>
            </w:pPr>
            <w:r>
              <w:rPr>
                <w:rFonts w:cs="Times New Roman"/>
              </w:rPr>
              <w:t>29.659.721</w:t>
            </w:r>
          </w:p>
        </w:tc>
        <w:tc>
          <w:tcPr>
            <w:tcW w:w="2041" w:type="dxa"/>
            <w:vAlign w:val="top"/>
          </w:tcPr>
          <w:p w:rsidR="00505632" w:rsidRDefault="00505632" w:rsidP="00AD4E52">
            <w:pPr>
              <w:pStyle w:val="CellColumn"/>
              <w:jc w:val="right"/>
            </w:pPr>
            <w:r>
              <w:rPr>
                <w:rFonts w:cs="Times New Roman"/>
              </w:rPr>
              <w:t>27.373.354</w:t>
            </w:r>
          </w:p>
        </w:tc>
        <w:tc>
          <w:tcPr>
            <w:tcW w:w="2041" w:type="dxa"/>
            <w:vAlign w:val="top"/>
          </w:tcPr>
          <w:p w:rsidR="00505632" w:rsidRDefault="00505632" w:rsidP="00AD4E52">
            <w:pPr>
              <w:pStyle w:val="CellColumn"/>
              <w:jc w:val="right"/>
            </w:pPr>
            <w:r>
              <w:rPr>
                <w:rFonts w:cs="Times New Roman"/>
              </w:rPr>
              <w:t>27.289.138</w:t>
            </w:r>
          </w:p>
        </w:tc>
        <w:tc>
          <w:tcPr>
            <w:tcW w:w="1224" w:type="dxa"/>
            <w:vAlign w:val="top"/>
          </w:tcPr>
          <w:p w:rsidR="00505632" w:rsidRDefault="00505632" w:rsidP="00AD4E52">
            <w:pPr>
              <w:pStyle w:val="CellColumn"/>
              <w:jc w:val="right"/>
            </w:pPr>
            <w:r>
              <w:rPr>
                <w:rFonts w:cs="Times New Roman"/>
              </w:rPr>
              <w:t>99,7</w:t>
            </w:r>
          </w:p>
        </w:tc>
        <w:tc>
          <w:tcPr>
            <w:tcW w:w="1224" w:type="dxa"/>
            <w:vAlign w:val="top"/>
          </w:tcPr>
          <w:p w:rsidR="00505632" w:rsidRDefault="00505632" w:rsidP="00AD4E52">
            <w:pPr>
              <w:pStyle w:val="CellColumn"/>
              <w:jc w:val="right"/>
            </w:pPr>
            <w:r>
              <w:rPr>
                <w:rFonts w:cs="Times New Roman"/>
              </w:rPr>
              <w:t>92,0</w:t>
            </w:r>
          </w:p>
        </w:tc>
      </w:tr>
      <w:tr w:rsidR="00505632" w:rsidTr="00AD4E52">
        <w:trPr>
          <w:jc w:val="center"/>
        </w:trPr>
        <w:tc>
          <w:tcPr>
            <w:tcW w:w="1632" w:type="dxa"/>
          </w:tcPr>
          <w:p w:rsidR="00505632" w:rsidRDefault="00505632" w:rsidP="00AD4E52">
            <w:pPr>
              <w:jc w:val="left"/>
            </w:pPr>
            <w:r>
              <w:t>2803-VOĐENJE SUDSKIH POSTUPAKA</w:t>
            </w:r>
          </w:p>
        </w:tc>
        <w:tc>
          <w:tcPr>
            <w:tcW w:w="2041" w:type="dxa"/>
          </w:tcPr>
          <w:p w:rsidR="00505632" w:rsidRDefault="00505632" w:rsidP="00AD4E52">
            <w:pPr>
              <w:jc w:val="right"/>
            </w:pPr>
            <w:r>
              <w:t>29.659.721</w:t>
            </w:r>
          </w:p>
        </w:tc>
        <w:tc>
          <w:tcPr>
            <w:tcW w:w="2041" w:type="dxa"/>
          </w:tcPr>
          <w:p w:rsidR="00505632" w:rsidRDefault="00505632" w:rsidP="00AD4E52">
            <w:pPr>
              <w:jc w:val="right"/>
            </w:pPr>
            <w:r>
              <w:t>27.373.354</w:t>
            </w:r>
          </w:p>
        </w:tc>
        <w:tc>
          <w:tcPr>
            <w:tcW w:w="2041" w:type="dxa"/>
          </w:tcPr>
          <w:p w:rsidR="00505632" w:rsidRDefault="00505632" w:rsidP="00AD4E52">
            <w:pPr>
              <w:jc w:val="right"/>
            </w:pPr>
            <w:r>
              <w:t>27.289.138</w:t>
            </w:r>
          </w:p>
        </w:tc>
        <w:tc>
          <w:tcPr>
            <w:tcW w:w="1224" w:type="dxa"/>
          </w:tcPr>
          <w:p w:rsidR="00505632" w:rsidRDefault="00505632" w:rsidP="00AD4E52">
            <w:pPr>
              <w:jc w:val="right"/>
            </w:pPr>
            <w:r>
              <w:t>99,7</w:t>
            </w:r>
          </w:p>
        </w:tc>
        <w:tc>
          <w:tcPr>
            <w:tcW w:w="1224" w:type="dxa"/>
          </w:tcPr>
          <w:p w:rsidR="00505632" w:rsidRDefault="00505632" w:rsidP="00AD4E52">
            <w:pPr>
              <w:jc w:val="right"/>
            </w:pPr>
            <w:r>
              <w:t>92,0</w:t>
            </w:r>
          </w:p>
        </w:tc>
      </w:tr>
    </w:tbl>
    <w:p w:rsidR="00505632" w:rsidRDefault="00505632" w:rsidP="00505632">
      <w:pPr>
        <w:jc w:val="left"/>
      </w:pPr>
    </w:p>
    <w:p w:rsidR="00505632" w:rsidRDefault="00505632" w:rsidP="00505632">
      <w:pPr>
        <w:pStyle w:val="Heading4"/>
      </w:pPr>
      <w:r>
        <w:t>A631000 VOĐENJE SUDSKIH POSTUPAKA IZ NADLEŽNOSTI VRHOVNOG SUDA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A631000-VOĐENJE SUDSKIH POSTUPAKA IZ NADLEŽNOSTI VRHOVNOG SUDA RH</w:t>
            </w:r>
          </w:p>
        </w:tc>
        <w:tc>
          <w:tcPr>
            <w:tcW w:w="2041" w:type="dxa"/>
          </w:tcPr>
          <w:p w:rsidR="00505632" w:rsidRDefault="00505632" w:rsidP="00AD4E52">
            <w:pPr>
              <w:pStyle w:val="CellColumn"/>
              <w:jc w:val="right"/>
            </w:pPr>
            <w:r>
              <w:rPr>
                <w:rFonts w:cs="Times New Roman"/>
              </w:rPr>
              <w:t>29.117.721</w:t>
            </w:r>
          </w:p>
        </w:tc>
        <w:tc>
          <w:tcPr>
            <w:tcW w:w="2041" w:type="dxa"/>
          </w:tcPr>
          <w:p w:rsidR="00505632" w:rsidRDefault="00505632" w:rsidP="00AD4E52">
            <w:pPr>
              <w:pStyle w:val="CellColumn"/>
              <w:jc w:val="right"/>
            </w:pPr>
            <w:r>
              <w:rPr>
                <w:rFonts w:cs="Times New Roman"/>
              </w:rPr>
              <w:t>27.160.704</w:t>
            </w:r>
          </w:p>
        </w:tc>
        <w:tc>
          <w:tcPr>
            <w:tcW w:w="2041" w:type="dxa"/>
          </w:tcPr>
          <w:p w:rsidR="00505632" w:rsidRDefault="00505632" w:rsidP="00AD4E52">
            <w:pPr>
              <w:pStyle w:val="CellColumn"/>
              <w:jc w:val="right"/>
            </w:pPr>
            <w:r>
              <w:rPr>
                <w:rFonts w:cs="Times New Roman"/>
              </w:rPr>
              <w:t>27.076.488</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93,0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sudovima  (NN  28/13,  33/15,  82/15  i  82/16),  Zakon  o  područjima  i  sjedištima  sudova  (NN  59/01, </w:t>
      </w:r>
    </w:p>
    <w:p w:rsidR="00505632" w:rsidRDefault="00505632" w:rsidP="00505632">
      <w:r>
        <w:t>121/05, 85/08, 144/10, 84/11, 128/14).</w:t>
      </w:r>
    </w:p>
    <w:p w:rsidR="00505632" w:rsidRDefault="00505632" w:rsidP="00505632">
      <w:pPr>
        <w:pStyle w:val="Heading8"/>
        <w:jc w:val="left"/>
      </w:pPr>
      <w:r>
        <w:t>Opis aktivnosti</w:t>
      </w:r>
    </w:p>
    <w:p w:rsidR="00505632" w:rsidRDefault="00505632" w:rsidP="00505632">
      <w:r>
        <w:t>Odobrenim planom proračunskih sredstava  podmireni su redovni rashodi poslovanja nastali tijekom proračunske godine. Znatnijih odstupanja u izvršenju materijalnih izdataka po pojedinim stavkama rashoda nije bilo. Ostali rashodi za zaposlene su povećani u odnosu na 2015. godinu (23,9%) zbog isplata regresa i božićnih nagrada temeljem članaka 50. i 64. Kolektivnog ugovora za državne službenike i namještenike, a sukladno odluci Vlade RH.</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zaostataka neriješenih predmeta</w:t>
            </w:r>
          </w:p>
        </w:tc>
        <w:tc>
          <w:tcPr>
            <w:tcW w:w="2551" w:type="dxa"/>
          </w:tcPr>
          <w:p w:rsidR="00505632" w:rsidRDefault="00505632" w:rsidP="00AD4E52">
            <w:pPr>
              <w:pStyle w:val="CellColumn"/>
              <w:jc w:val="left"/>
            </w:pPr>
            <w:r>
              <w:rPr>
                <w:rFonts w:cs="Times New Roman"/>
              </w:rPr>
              <w:t>očekivani broj neriješenih predmeta u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18227</w:t>
            </w:r>
          </w:p>
        </w:tc>
        <w:tc>
          <w:tcPr>
            <w:tcW w:w="1020" w:type="dxa"/>
          </w:tcPr>
          <w:p w:rsidR="00505632" w:rsidRDefault="00505632" w:rsidP="00AD4E52">
            <w:pPr>
              <w:pStyle w:val="CellColumn"/>
              <w:jc w:val="right"/>
            </w:pPr>
            <w:r>
              <w:rPr>
                <w:rFonts w:cs="Times New Roman"/>
              </w:rPr>
              <w:t>mp</w:t>
            </w:r>
          </w:p>
        </w:tc>
        <w:tc>
          <w:tcPr>
            <w:tcW w:w="1020" w:type="dxa"/>
          </w:tcPr>
          <w:p w:rsidR="00505632" w:rsidRDefault="00505632" w:rsidP="00AD4E52">
            <w:pPr>
              <w:pStyle w:val="CellColumn"/>
              <w:jc w:val="right"/>
            </w:pPr>
            <w:r>
              <w:rPr>
                <w:rFonts w:cs="Times New Roman"/>
              </w:rPr>
              <w:t>17000</w:t>
            </w:r>
          </w:p>
        </w:tc>
        <w:tc>
          <w:tcPr>
            <w:tcW w:w="1020" w:type="dxa"/>
          </w:tcPr>
          <w:p w:rsidR="00505632" w:rsidRDefault="00505632" w:rsidP="00AD4E52">
            <w:pPr>
              <w:pStyle w:val="CellColumn"/>
              <w:jc w:val="right"/>
            </w:pPr>
            <w:r>
              <w:rPr>
                <w:rFonts w:cs="Times New Roman"/>
              </w:rPr>
              <w:t>17104</w:t>
            </w:r>
          </w:p>
        </w:tc>
      </w:tr>
    </w:tbl>
    <w:p w:rsidR="00505632" w:rsidRDefault="00505632" w:rsidP="00505632">
      <w:pPr>
        <w:jc w:val="left"/>
      </w:pPr>
    </w:p>
    <w:p w:rsidR="00505632" w:rsidRDefault="00505632" w:rsidP="00505632">
      <w:pPr>
        <w:pStyle w:val="Heading2"/>
      </w:pPr>
      <w:r>
        <w:t>11020 Visoki trgovački sud Republike Hrvatske</w:t>
      </w:r>
    </w:p>
    <w:p w:rsidR="00505632" w:rsidRDefault="00505632" w:rsidP="00505632">
      <w:r>
        <w:t>Ustroj, djelokrug i nadležnost Visokog trgovačkog suda Republike Hrvatske propisan je Zakonom o sudovima, te odredbama drugih propisa, a ustanovljen je za područje Republike Hrvatske sa sjedištem u Zagrebu. Visoki trgovački sud Republike Hrvatske je specijalizirani sud koji odlučuje o žalbama protiv odluka trgovačkih sudova donesenih u prvom stupnju, o sukobu mjesne nadležnosti između trgovačkih sudova i obavlja druge poslove određene Zakonom.</w:t>
      </w:r>
    </w:p>
    <w:tbl>
      <w:tblPr>
        <w:tblStyle w:val="StilTablice"/>
        <w:tblW w:w="10206" w:type="dxa"/>
        <w:jc w:val="center"/>
        <w:tblLook w:val="04A0" w:firstRow="1" w:lastRow="0" w:firstColumn="1" w:lastColumn="0" w:noHBand="0" w:noVBand="1"/>
      </w:tblPr>
      <w:tblGrid>
        <w:gridCol w:w="1659"/>
        <w:gridCol w:w="2034"/>
        <w:gridCol w:w="2034"/>
        <w:gridCol w:w="2034"/>
        <w:gridCol w:w="1222"/>
        <w:gridCol w:w="1223"/>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11020-Visoki trgovački sud Republike Hrvatske</w:t>
            </w:r>
          </w:p>
        </w:tc>
        <w:tc>
          <w:tcPr>
            <w:tcW w:w="2041" w:type="dxa"/>
            <w:vAlign w:val="top"/>
          </w:tcPr>
          <w:p w:rsidR="00505632" w:rsidRDefault="00505632" w:rsidP="00AD4E52">
            <w:pPr>
              <w:pStyle w:val="CellColumn"/>
              <w:jc w:val="right"/>
            </w:pPr>
            <w:r>
              <w:rPr>
                <w:rFonts w:cs="Times New Roman"/>
              </w:rPr>
              <w:t>18.349.351</w:t>
            </w:r>
          </w:p>
        </w:tc>
        <w:tc>
          <w:tcPr>
            <w:tcW w:w="2041" w:type="dxa"/>
            <w:vAlign w:val="top"/>
          </w:tcPr>
          <w:p w:rsidR="00505632" w:rsidRDefault="00505632" w:rsidP="00AD4E52">
            <w:pPr>
              <w:pStyle w:val="CellColumn"/>
              <w:jc w:val="right"/>
            </w:pPr>
            <w:r>
              <w:rPr>
                <w:rFonts w:cs="Times New Roman"/>
              </w:rPr>
              <w:t>20.648.532</w:t>
            </w:r>
          </w:p>
        </w:tc>
        <w:tc>
          <w:tcPr>
            <w:tcW w:w="2041" w:type="dxa"/>
            <w:vAlign w:val="top"/>
          </w:tcPr>
          <w:p w:rsidR="00505632" w:rsidRDefault="00505632" w:rsidP="00AD4E52">
            <w:pPr>
              <w:pStyle w:val="CellColumn"/>
              <w:jc w:val="right"/>
            </w:pPr>
            <w:r>
              <w:rPr>
                <w:rFonts w:cs="Times New Roman"/>
              </w:rPr>
              <w:t>20.584.591</w:t>
            </w:r>
          </w:p>
        </w:tc>
        <w:tc>
          <w:tcPr>
            <w:tcW w:w="1224" w:type="dxa"/>
            <w:vAlign w:val="top"/>
          </w:tcPr>
          <w:p w:rsidR="00505632" w:rsidRDefault="00505632" w:rsidP="00AD4E52">
            <w:pPr>
              <w:pStyle w:val="CellColumn"/>
              <w:jc w:val="right"/>
            </w:pPr>
            <w:r>
              <w:rPr>
                <w:rFonts w:cs="Times New Roman"/>
              </w:rPr>
              <w:t>99,7</w:t>
            </w:r>
          </w:p>
        </w:tc>
        <w:tc>
          <w:tcPr>
            <w:tcW w:w="1224" w:type="dxa"/>
            <w:vAlign w:val="top"/>
          </w:tcPr>
          <w:p w:rsidR="00505632" w:rsidRDefault="00505632" w:rsidP="00AD4E52">
            <w:pPr>
              <w:pStyle w:val="CellColumn"/>
              <w:jc w:val="right"/>
            </w:pPr>
            <w:r>
              <w:rPr>
                <w:rFonts w:cs="Times New Roman"/>
              </w:rPr>
              <w:t>112,2</w:t>
            </w:r>
          </w:p>
        </w:tc>
      </w:tr>
      <w:tr w:rsidR="00505632" w:rsidTr="00AD4E52">
        <w:trPr>
          <w:jc w:val="center"/>
        </w:trPr>
        <w:tc>
          <w:tcPr>
            <w:tcW w:w="1632" w:type="dxa"/>
          </w:tcPr>
          <w:p w:rsidR="00505632" w:rsidRDefault="00505632" w:rsidP="00AD4E52">
            <w:pPr>
              <w:jc w:val="left"/>
            </w:pPr>
            <w:r>
              <w:t>2803-VOĐENJE SUDSKIH POSTUPAKA</w:t>
            </w:r>
          </w:p>
        </w:tc>
        <w:tc>
          <w:tcPr>
            <w:tcW w:w="2041" w:type="dxa"/>
          </w:tcPr>
          <w:p w:rsidR="00505632" w:rsidRDefault="00505632" w:rsidP="00AD4E52">
            <w:pPr>
              <w:jc w:val="right"/>
            </w:pPr>
            <w:r>
              <w:t>18.298.810</w:t>
            </w:r>
          </w:p>
        </w:tc>
        <w:tc>
          <w:tcPr>
            <w:tcW w:w="2041" w:type="dxa"/>
          </w:tcPr>
          <w:p w:rsidR="00505632" w:rsidRDefault="00505632" w:rsidP="00AD4E52">
            <w:pPr>
              <w:jc w:val="right"/>
            </w:pPr>
            <w:r>
              <w:t>20.605.832</w:t>
            </w:r>
          </w:p>
        </w:tc>
        <w:tc>
          <w:tcPr>
            <w:tcW w:w="2041" w:type="dxa"/>
          </w:tcPr>
          <w:p w:rsidR="00505632" w:rsidRDefault="00505632" w:rsidP="00AD4E52">
            <w:pPr>
              <w:jc w:val="right"/>
            </w:pPr>
            <w:r>
              <w:t>20.549.223</w:t>
            </w:r>
          </w:p>
        </w:tc>
        <w:tc>
          <w:tcPr>
            <w:tcW w:w="1224" w:type="dxa"/>
          </w:tcPr>
          <w:p w:rsidR="00505632" w:rsidRDefault="00505632" w:rsidP="00AD4E52">
            <w:pPr>
              <w:jc w:val="right"/>
            </w:pPr>
            <w:r>
              <w:t>99,7</w:t>
            </w:r>
          </w:p>
        </w:tc>
        <w:tc>
          <w:tcPr>
            <w:tcW w:w="1224" w:type="dxa"/>
          </w:tcPr>
          <w:p w:rsidR="00505632" w:rsidRDefault="00505632" w:rsidP="00AD4E52">
            <w:pPr>
              <w:jc w:val="right"/>
            </w:pPr>
            <w:r>
              <w:t>112,3</w:t>
            </w:r>
          </w:p>
        </w:tc>
      </w:tr>
      <w:tr w:rsidR="00505632" w:rsidTr="00AD4E52">
        <w:trPr>
          <w:jc w:val="center"/>
        </w:trPr>
        <w:tc>
          <w:tcPr>
            <w:tcW w:w="1632" w:type="dxa"/>
          </w:tcPr>
          <w:p w:rsidR="00505632" w:rsidRDefault="00505632" w:rsidP="00AD4E52">
            <w:pPr>
              <w:jc w:val="left"/>
            </w:pPr>
            <w:r>
              <w:t>2804-EDUKACIJA I INFORMIRANJE U PRAVOSUDNOM SUSTAVU</w:t>
            </w:r>
          </w:p>
        </w:tc>
        <w:tc>
          <w:tcPr>
            <w:tcW w:w="2041" w:type="dxa"/>
          </w:tcPr>
          <w:p w:rsidR="00505632" w:rsidRDefault="00505632" w:rsidP="00AD4E52">
            <w:pPr>
              <w:jc w:val="right"/>
            </w:pPr>
            <w:r>
              <w:t>50.542</w:t>
            </w:r>
          </w:p>
        </w:tc>
        <w:tc>
          <w:tcPr>
            <w:tcW w:w="2041" w:type="dxa"/>
          </w:tcPr>
          <w:p w:rsidR="00505632" w:rsidRDefault="00505632" w:rsidP="00AD4E52">
            <w:pPr>
              <w:jc w:val="right"/>
            </w:pPr>
            <w:r>
              <w:t>42.700</w:t>
            </w:r>
          </w:p>
        </w:tc>
        <w:tc>
          <w:tcPr>
            <w:tcW w:w="2041" w:type="dxa"/>
          </w:tcPr>
          <w:p w:rsidR="00505632" w:rsidRDefault="00505632" w:rsidP="00AD4E52">
            <w:pPr>
              <w:jc w:val="right"/>
            </w:pPr>
            <w:r>
              <w:t>35.368</w:t>
            </w:r>
          </w:p>
        </w:tc>
        <w:tc>
          <w:tcPr>
            <w:tcW w:w="1224" w:type="dxa"/>
          </w:tcPr>
          <w:p w:rsidR="00505632" w:rsidRDefault="00505632" w:rsidP="00AD4E52">
            <w:pPr>
              <w:jc w:val="right"/>
            </w:pPr>
            <w:r>
              <w:t>82,8</w:t>
            </w:r>
          </w:p>
        </w:tc>
        <w:tc>
          <w:tcPr>
            <w:tcW w:w="1224" w:type="dxa"/>
          </w:tcPr>
          <w:p w:rsidR="00505632" w:rsidRDefault="00505632" w:rsidP="00AD4E52">
            <w:pPr>
              <w:jc w:val="right"/>
            </w:pPr>
            <w:r>
              <w:t>70,0</w:t>
            </w:r>
          </w:p>
        </w:tc>
      </w:tr>
    </w:tbl>
    <w:p w:rsidR="00505632" w:rsidRDefault="00505632" w:rsidP="00505632">
      <w:pPr>
        <w:jc w:val="left"/>
      </w:pPr>
    </w:p>
    <w:p w:rsidR="00505632" w:rsidRDefault="00505632" w:rsidP="00505632">
      <w:pPr>
        <w:pStyle w:val="Heading4"/>
      </w:pPr>
      <w:r>
        <w:t>A632000 VOĐENJE SUDSKIH POSTUPAKA IZ NADLEŽNOSTI VISOKOG TRGOVAČKOG SUDA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A632000-VOĐENJE SUDSKIH POSTUPAKA IZ NADLEŽNOSTI VISOKOG TRGOVAČKOG SUDA RH</w:t>
            </w:r>
          </w:p>
        </w:tc>
        <w:tc>
          <w:tcPr>
            <w:tcW w:w="2041" w:type="dxa"/>
          </w:tcPr>
          <w:p w:rsidR="00505632" w:rsidRDefault="00505632" w:rsidP="00AD4E52">
            <w:pPr>
              <w:pStyle w:val="CellColumn"/>
              <w:jc w:val="right"/>
            </w:pPr>
            <w:r>
              <w:rPr>
                <w:rFonts w:cs="Times New Roman"/>
              </w:rPr>
              <w:t>18.298.810</w:t>
            </w:r>
          </w:p>
        </w:tc>
        <w:tc>
          <w:tcPr>
            <w:tcW w:w="2041" w:type="dxa"/>
          </w:tcPr>
          <w:p w:rsidR="00505632" w:rsidRDefault="00505632" w:rsidP="00AD4E52">
            <w:pPr>
              <w:pStyle w:val="CellColumn"/>
              <w:jc w:val="right"/>
            </w:pPr>
            <w:r>
              <w:rPr>
                <w:rFonts w:cs="Times New Roman"/>
              </w:rPr>
              <w:t>20.605.832</w:t>
            </w:r>
          </w:p>
        </w:tc>
        <w:tc>
          <w:tcPr>
            <w:tcW w:w="2041" w:type="dxa"/>
          </w:tcPr>
          <w:p w:rsidR="00505632" w:rsidRDefault="00505632" w:rsidP="00AD4E52">
            <w:pPr>
              <w:pStyle w:val="CellColumn"/>
              <w:jc w:val="right"/>
            </w:pPr>
            <w:r>
              <w:rPr>
                <w:rFonts w:cs="Times New Roman"/>
              </w:rPr>
              <w:t>20.549.223</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112,3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sudovima  (NN  28/13,  33/15,  82/15  i  82/16),  Zakon  o  područjima  i  sjedištima  sudova  (NN  59/01, </w:t>
      </w:r>
    </w:p>
    <w:p w:rsidR="00505632" w:rsidRDefault="00505632" w:rsidP="00505632">
      <w:r>
        <w:t>121/05,85/08, 144/10, 84/11, 128/14).</w:t>
      </w:r>
    </w:p>
    <w:p w:rsidR="00505632" w:rsidRDefault="00505632" w:rsidP="00505632">
      <w:pPr>
        <w:pStyle w:val="Heading8"/>
        <w:jc w:val="left"/>
      </w:pPr>
      <w:r>
        <w:t>Opis aktivnosti</w:t>
      </w:r>
    </w:p>
    <w:p w:rsidR="00505632" w:rsidRDefault="00505632" w:rsidP="00505632">
      <w:r>
        <w:t>Ovom aktivnošću osigurava se redovan rad Visokog trgovačkog suda Republike Hrvatske. Odobrenim planom proračunskih sredstava  podmireni su redovni rashodi poslovanja nastali tijekom proračunske godine. Znatnijih odstupanja u izvršenju materijalnih izdataka po pojedinim stavkama rashoda nije bilo. Ostali rashodi za zaposlene su povećani u odnosu na 2015. godinu (9,1%) zbog isplata regresa i božićnih nagrada temeljem članaka 50. i 64. Kolektivnog ugovora za državne službenike i namještenike a sukladno odluci Vlade RH.</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zaostataka neriješenih predmeta</w:t>
            </w:r>
          </w:p>
        </w:tc>
        <w:tc>
          <w:tcPr>
            <w:tcW w:w="2551" w:type="dxa"/>
          </w:tcPr>
          <w:p w:rsidR="00505632" w:rsidRDefault="00505632" w:rsidP="00AD4E52">
            <w:pPr>
              <w:pStyle w:val="CellColumn"/>
              <w:jc w:val="left"/>
            </w:pPr>
            <w:r>
              <w:rPr>
                <w:rFonts w:cs="Times New Roman"/>
              </w:rPr>
              <w:t>očekivani broj neriješenih predmeta u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20221</w:t>
            </w:r>
          </w:p>
        </w:tc>
        <w:tc>
          <w:tcPr>
            <w:tcW w:w="1020" w:type="dxa"/>
          </w:tcPr>
          <w:p w:rsidR="00505632" w:rsidRDefault="00505632" w:rsidP="00AD4E52">
            <w:pPr>
              <w:pStyle w:val="CellColumn"/>
              <w:jc w:val="right"/>
            </w:pPr>
            <w:r>
              <w:rPr>
                <w:rFonts w:cs="Times New Roman"/>
              </w:rPr>
              <w:t>mp</w:t>
            </w:r>
          </w:p>
        </w:tc>
        <w:tc>
          <w:tcPr>
            <w:tcW w:w="1020" w:type="dxa"/>
          </w:tcPr>
          <w:p w:rsidR="00505632" w:rsidRDefault="00505632" w:rsidP="00AD4E52">
            <w:pPr>
              <w:pStyle w:val="CellColumn"/>
              <w:jc w:val="right"/>
            </w:pPr>
            <w:r>
              <w:rPr>
                <w:rFonts w:cs="Times New Roman"/>
              </w:rPr>
              <w:t>17000</w:t>
            </w:r>
          </w:p>
        </w:tc>
        <w:tc>
          <w:tcPr>
            <w:tcW w:w="1020" w:type="dxa"/>
          </w:tcPr>
          <w:p w:rsidR="00505632" w:rsidRDefault="00505632" w:rsidP="00AD4E52">
            <w:pPr>
              <w:pStyle w:val="CellColumn"/>
              <w:jc w:val="right"/>
            </w:pPr>
            <w:r>
              <w:rPr>
                <w:rFonts w:cs="Times New Roman"/>
              </w:rPr>
              <w:t>16194</w:t>
            </w:r>
          </w:p>
        </w:tc>
      </w:tr>
    </w:tbl>
    <w:p w:rsidR="00505632" w:rsidRDefault="00505632" w:rsidP="00505632">
      <w:pPr>
        <w:jc w:val="left"/>
      </w:pPr>
    </w:p>
    <w:p w:rsidR="00505632" w:rsidRDefault="00505632" w:rsidP="00505632">
      <w:pPr>
        <w:pStyle w:val="Heading2"/>
      </w:pPr>
      <w:r>
        <w:t>11025 Visoki upravni sud Republike Hrvatske</w:t>
      </w:r>
    </w:p>
    <w:p w:rsidR="00505632" w:rsidRDefault="00505632" w:rsidP="00505632">
      <w:r>
        <w:t>Visoki upravni sud Republike Hrvatske kao specijalizirani sud koji odlučuje o zakonitosti općih akata, tužbama protiv konačnih upravnih akata (upravni sporovi) temeljem Zakona o upravnim sporovima i Zakona o općem upravnom postupku, žalbama protiv presuda upravnih sudova, o sukobu nadležnosti između upravnih sudova i drugim zakonom propisanim slučajevima.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11025-Visoki upravni sud Republike Hrvatske</w:t>
            </w:r>
          </w:p>
        </w:tc>
        <w:tc>
          <w:tcPr>
            <w:tcW w:w="2041" w:type="dxa"/>
            <w:vAlign w:val="top"/>
          </w:tcPr>
          <w:p w:rsidR="00505632" w:rsidRDefault="00505632" w:rsidP="00AD4E52">
            <w:pPr>
              <w:pStyle w:val="CellColumn"/>
              <w:jc w:val="right"/>
            </w:pPr>
            <w:r>
              <w:rPr>
                <w:rFonts w:cs="Times New Roman"/>
              </w:rPr>
              <w:t>16.783.100</w:t>
            </w:r>
          </w:p>
        </w:tc>
        <w:tc>
          <w:tcPr>
            <w:tcW w:w="2041" w:type="dxa"/>
            <w:vAlign w:val="top"/>
          </w:tcPr>
          <w:p w:rsidR="00505632" w:rsidRDefault="00505632" w:rsidP="00AD4E52">
            <w:pPr>
              <w:pStyle w:val="CellColumn"/>
              <w:jc w:val="right"/>
            </w:pPr>
            <w:r>
              <w:rPr>
                <w:rFonts w:cs="Times New Roman"/>
              </w:rPr>
              <w:t>16.955.805</w:t>
            </w:r>
          </w:p>
        </w:tc>
        <w:tc>
          <w:tcPr>
            <w:tcW w:w="2041" w:type="dxa"/>
            <w:vAlign w:val="top"/>
          </w:tcPr>
          <w:p w:rsidR="00505632" w:rsidRDefault="00505632" w:rsidP="00AD4E52">
            <w:pPr>
              <w:pStyle w:val="CellColumn"/>
              <w:jc w:val="right"/>
            </w:pPr>
            <w:r>
              <w:rPr>
                <w:rFonts w:cs="Times New Roman"/>
              </w:rPr>
              <w:t>16.906.675</w:t>
            </w:r>
          </w:p>
        </w:tc>
        <w:tc>
          <w:tcPr>
            <w:tcW w:w="1224" w:type="dxa"/>
            <w:vAlign w:val="top"/>
          </w:tcPr>
          <w:p w:rsidR="00505632" w:rsidRDefault="00505632" w:rsidP="00AD4E52">
            <w:pPr>
              <w:pStyle w:val="CellColumn"/>
              <w:jc w:val="right"/>
            </w:pPr>
            <w:r>
              <w:rPr>
                <w:rFonts w:cs="Times New Roman"/>
              </w:rPr>
              <w:t>99,7</w:t>
            </w:r>
          </w:p>
        </w:tc>
        <w:tc>
          <w:tcPr>
            <w:tcW w:w="1224" w:type="dxa"/>
            <w:vAlign w:val="top"/>
          </w:tcPr>
          <w:p w:rsidR="00505632" w:rsidRDefault="00505632" w:rsidP="00AD4E52">
            <w:pPr>
              <w:pStyle w:val="CellColumn"/>
              <w:jc w:val="right"/>
            </w:pPr>
            <w:r>
              <w:rPr>
                <w:rFonts w:cs="Times New Roman"/>
              </w:rPr>
              <w:t>100,7</w:t>
            </w:r>
          </w:p>
        </w:tc>
      </w:tr>
      <w:tr w:rsidR="00505632" w:rsidTr="00AD4E52">
        <w:trPr>
          <w:jc w:val="center"/>
        </w:trPr>
        <w:tc>
          <w:tcPr>
            <w:tcW w:w="1632" w:type="dxa"/>
          </w:tcPr>
          <w:p w:rsidR="00505632" w:rsidRDefault="00505632" w:rsidP="00AD4E52">
            <w:pPr>
              <w:jc w:val="left"/>
            </w:pPr>
            <w:r>
              <w:t>2803-VOĐENJE SUDSKIH POSTUPAKA</w:t>
            </w:r>
          </w:p>
        </w:tc>
        <w:tc>
          <w:tcPr>
            <w:tcW w:w="2041" w:type="dxa"/>
          </w:tcPr>
          <w:p w:rsidR="00505632" w:rsidRDefault="00505632" w:rsidP="00AD4E52">
            <w:pPr>
              <w:jc w:val="right"/>
            </w:pPr>
            <w:r>
              <w:t>16.783.100</w:t>
            </w:r>
          </w:p>
        </w:tc>
        <w:tc>
          <w:tcPr>
            <w:tcW w:w="2041" w:type="dxa"/>
          </w:tcPr>
          <w:p w:rsidR="00505632" w:rsidRDefault="00505632" w:rsidP="00AD4E52">
            <w:pPr>
              <w:jc w:val="right"/>
            </w:pPr>
            <w:r>
              <w:t>16.955.805</w:t>
            </w:r>
          </w:p>
        </w:tc>
        <w:tc>
          <w:tcPr>
            <w:tcW w:w="2041" w:type="dxa"/>
          </w:tcPr>
          <w:p w:rsidR="00505632" w:rsidRDefault="00505632" w:rsidP="00AD4E52">
            <w:pPr>
              <w:jc w:val="right"/>
            </w:pPr>
            <w:r>
              <w:t>16.906.675</w:t>
            </w:r>
          </w:p>
        </w:tc>
        <w:tc>
          <w:tcPr>
            <w:tcW w:w="1224" w:type="dxa"/>
          </w:tcPr>
          <w:p w:rsidR="00505632" w:rsidRDefault="00505632" w:rsidP="00AD4E52">
            <w:pPr>
              <w:jc w:val="right"/>
            </w:pPr>
            <w:r>
              <w:t>99,7</w:t>
            </w:r>
          </w:p>
        </w:tc>
        <w:tc>
          <w:tcPr>
            <w:tcW w:w="1224" w:type="dxa"/>
          </w:tcPr>
          <w:p w:rsidR="00505632" w:rsidRDefault="00505632" w:rsidP="00AD4E52">
            <w:pPr>
              <w:jc w:val="right"/>
            </w:pPr>
            <w:r>
              <w:t>100,7</w:t>
            </w:r>
          </w:p>
        </w:tc>
      </w:tr>
    </w:tbl>
    <w:p w:rsidR="00505632" w:rsidRDefault="00505632" w:rsidP="00505632">
      <w:pPr>
        <w:jc w:val="left"/>
      </w:pPr>
    </w:p>
    <w:p w:rsidR="00505632" w:rsidRDefault="00505632" w:rsidP="00505632">
      <w:pPr>
        <w:pStyle w:val="Heading4"/>
      </w:pPr>
      <w:r>
        <w:t>A633000 VOĐENJE SUDSKIH POSTUPAKA IZ NADLEŽNOSTI VISOKOG UPRAVNOG SUDA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A633000-VOĐENJE SUDSKIH POSTUPAKA IZ NADLEŽNOSTI VISOKOG UPRAVNOG SUDA RH</w:t>
            </w:r>
          </w:p>
        </w:tc>
        <w:tc>
          <w:tcPr>
            <w:tcW w:w="2041" w:type="dxa"/>
          </w:tcPr>
          <w:p w:rsidR="00505632" w:rsidRDefault="00505632" w:rsidP="00AD4E52">
            <w:pPr>
              <w:pStyle w:val="CellColumn"/>
              <w:jc w:val="right"/>
            </w:pPr>
            <w:r>
              <w:rPr>
                <w:rFonts w:cs="Times New Roman"/>
              </w:rPr>
              <w:t>16.783.100</w:t>
            </w:r>
          </w:p>
        </w:tc>
        <w:tc>
          <w:tcPr>
            <w:tcW w:w="2041" w:type="dxa"/>
          </w:tcPr>
          <w:p w:rsidR="00505632" w:rsidRDefault="00505632" w:rsidP="00AD4E52">
            <w:pPr>
              <w:pStyle w:val="CellColumn"/>
              <w:jc w:val="right"/>
            </w:pPr>
            <w:r>
              <w:rPr>
                <w:rFonts w:cs="Times New Roman"/>
              </w:rPr>
              <w:t>16.955.805</w:t>
            </w:r>
          </w:p>
        </w:tc>
        <w:tc>
          <w:tcPr>
            <w:tcW w:w="2041" w:type="dxa"/>
          </w:tcPr>
          <w:p w:rsidR="00505632" w:rsidRDefault="00505632" w:rsidP="00AD4E52">
            <w:pPr>
              <w:pStyle w:val="CellColumn"/>
              <w:jc w:val="right"/>
            </w:pPr>
            <w:r>
              <w:rPr>
                <w:rFonts w:cs="Times New Roman"/>
              </w:rPr>
              <w:t>16.906.675</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100,7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upravnim sporovima (NN 20/2010, 143/12), Zakon o sudovima (NN 28/13, 33/15, 82/15, 82/16).</w:t>
      </w:r>
    </w:p>
    <w:p w:rsidR="00505632" w:rsidRDefault="00505632" w:rsidP="00505632">
      <w:pPr>
        <w:pStyle w:val="Heading8"/>
        <w:jc w:val="left"/>
      </w:pPr>
      <w:r>
        <w:t>Opis aktivnosti</w:t>
      </w:r>
    </w:p>
    <w:p w:rsidR="00505632" w:rsidRDefault="00505632" w:rsidP="00505632">
      <w:r>
        <w:t>Ovom aktivnošću osigurava se redovan rad Visokog upravnog suda Republike Hrvatske. Odobrenim planom proračunskih sredstava  podmireni su redovni rashodi poslovanja nastali tijekom proračunske godine. Znatnijih odstupanja u izvršenju materijalnih izdataka po pojedinim stavkama rashoda nije bilo. Ostali rashodi za zaposlene su povećani u odnosu na 2015. godinu (41,5%) zbog isplata regresa i božićnih nagrada temeljem članaka 50. i 64. Kolektivnog ugovora za državne službenike i namještenike a sukladno odluci Vlade RH.Visoki upravni sud Republike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zaostataka neriješenih predmeta</w:t>
            </w:r>
          </w:p>
        </w:tc>
        <w:tc>
          <w:tcPr>
            <w:tcW w:w="2551" w:type="dxa"/>
          </w:tcPr>
          <w:p w:rsidR="00505632" w:rsidRDefault="00505632" w:rsidP="00AD4E52">
            <w:pPr>
              <w:pStyle w:val="CellColumn"/>
              <w:jc w:val="left"/>
            </w:pPr>
            <w:r>
              <w:rPr>
                <w:rFonts w:cs="Times New Roman"/>
              </w:rPr>
              <w:t>očekivani broj neriješenih predmeta u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722</w:t>
            </w:r>
          </w:p>
        </w:tc>
        <w:tc>
          <w:tcPr>
            <w:tcW w:w="1020" w:type="dxa"/>
          </w:tcPr>
          <w:p w:rsidR="00505632" w:rsidRDefault="00505632" w:rsidP="00AD4E52">
            <w:pPr>
              <w:pStyle w:val="CellColumn"/>
              <w:jc w:val="right"/>
            </w:pPr>
            <w:r>
              <w:rPr>
                <w:rFonts w:cs="Times New Roman"/>
              </w:rPr>
              <w:t>mp</w:t>
            </w:r>
          </w:p>
        </w:tc>
        <w:tc>
          <w:tcPr>
            <w:tcW w:w="1020" w:type="dxa"/>
          </w:tcPr>
          <w:p w:rsidR="00505632" w:rsidRDefault="00505632" w:rsidP="00AD4E52">
            <w:pPr>
              <w:pStyle w:val="CellColumn"/>
              <w:jc w:val="right"/>
            </w:pPr>
            <w:r>
              <w:rPr>
                <w:rFonts w:cs="Times New Roman"/>
              </w:rPr>
              <w:t>720</w:t>
            </w:r>
          </w:p>
        </w:tc>
        <w:tc>
          <w:tcPr>
            <w:tcW w:w="1020" w:type="dxa"/>
          </w:tcPr>
          <w:p w:rsidR="00505632" w:rsidRDefault="00505632" w:rsidP="00AD4E52">
            <w:pPr>
              <w:pStyle w:val="CellColumn"/>
              <w:jc w:val="right"/>
            </w:pPr>
            <w:r>
              <w:rPr>
                <w:rFonts w:cs="Times New Roman"/>
              </w:rPr>
              <w:t>1421</w:t>
            </w:r>
          </w:p>
        </w:tc>
      </w:tr>
    </w:tbl>
    <w:p w:rsidR="00505632" w:rsidRDefault="00505632" w:rsidP="00505632">
      <w:pPr>
        <w:jc w:val="left"/>
      </w:pPr>
    </w:p>
    <w:p w:rsidR="00505632" w:rsidRDefault="00505632" w:rsidP="00505632">
      <w:pPr>
        <w:pStyle w:val="Heading2"/>
      </w:pPr>
      <w:r>
        <w:t>11027 Upravni sudovi</w:t>
      </w:r>
    </w:p>
    <w:p w:rsidR="00505632" w:rsidRDefault="00505632" w:rsidP="00505632">
      <w:r>
        <w:t>Upravni sudovi započeli su sa radom 01.01.2012. godine temeljem Zakona o upravnim sporovima, a  radi uspostave sustava dvostupanjskog upravnog sudovanja u Republici Hrvatsko, sa svrhom osiguranja pune jurisdikcije Visokog upravnog suda RH i usklađivanja s pravnim standardima Europske unije u zaštiti ljudskih prava i temeljnih sloboda. Glava 11027 obuhvaća četiri suda i to: Upravni sud u Zagrebu, Splitu, Rijeci i Osijeku.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11027-Upravni sudovi</w:t>
            </w:r>
          </w:p>
        </w:tc>
        <w:tc>
          <w:tcPr>
            <w:tcW w:w="2041" w:type="dxa"/>
            <w:vAlign w:val="top"/>
          </w:tcPr>
          <w:p w:rsidR="00505632" w:rsidRDefault="00505632" w:rsidP="00AD4E52">
            <w:pPr>
              <w:pStyle w:val="CellColumn"/>
              <w:jc w:val="right"/>
            </w:pPr>
            <w:r>
              <w:rPr>
                <w:rFonts w:cs="Times New Roman"/>
              </w:rPr>
              <w:t>17.098.835</w:t>
            </w:r>
          </w:p>
        </w:tc>
        <w:tc>
          <w:tcPr>
            <w:tcW w:w="2041" w:type="dxa"/>
            <w:vAlign w:val="top"/>
          </w:tcPr>
          <w:p w:rsidR="00505632" w:rsidRDefault="00505632" w:rsidP="00AD4E52">
            <w:pPr>
              <w:pStyle w:val="CellColumn"/>
              <w:jc w:val="right"/>
            </w:pPr>
            <w:r>
              <w:rPr>
                <w:rFonts w:cs="Times New Roman"/>
              </w:rPr>
              <w:t>18.476.394</w:t>
            </w:r>
          </w:p>
        </w:tc>
        <w:tc>
          <w:tcPr>
            <w:tcW w:w="2041" w:type="dxa"/>
            <w:vAlign w:val="top"/>
          </w:tcPr>
          <w:p w:rsidR="00505632" w:rsidRDefault="00505632" w:rsidP="00AD4E52">
            <w:pPr>
              <w:pStyle w:val="CellColumn"/>
              <w:jc w:val="right"/>
            </w:pPr>
            <w:r>
              <w:rPr>
                <w:rFonts w:cs="Times New Roman"/>
              </w:rPr>
              <w:t>18.429.341</w:t>
            </w:r>
          </w:p>
        </w:tc>
        <w:tc>
          <w:tcPr>
            <w:tcW w:w="1224" w:type="dxa"/>
            <w:vAlign w:val="top"/>
          </w:tcPr>
          <w:p w:rsidR="00505632" w:rsidRDefault="00505632" w:rsidP="00AD4E52">
            <w:pPr>
              <w:pStyle w:val="CellColumn"/>
              <w:jc w:val="right"/>
            </w:pPr>
            <w:r>
              <w:rPr>
                <w:rFonts w:cs="Times New Roman"/>
              </w:rPr>
              <w:t>99,7</w:t>
            </w:r>
          </w:p>
        </w:tc>
        <w:tc>
          <w:tcPr>
            <w:tcW w:w="1224" w:type="dxa"/>
            <w:vAlign w:val="top"/>
          </w:tcPr>
          <w:p w:rsidR="00505632" w:rsidRDefault="00505632" w:rsidP="00AD4E52">
            <w:pPr>
              <w:pStyle w:val="CellColumn"/>
              <w:jc w:val="right"/>
            </w:pPr>
            <w:r>
              <w:rPr>
                <w:rFonts w:cs="Times New Roman"/>
              </w:rPr>
              <w:t>107,8</w:t>
            </w:r>
          </w:p>
        </w:tc>
      </w:tr>
      <w:tr w:rsidR="00505632" w:rsidTr="00AD4E52">
        <w:trPr>
          <w:jc w:val="center"/>
        </w:trPr>
        <w:tc>
          <w:tcPr>
            <w:tcW w:w="1632" w:type="dxa"/>
          </w:tcPr>
          <w:p w:rsidR="00505632" w:rsidRDefault="00505632" w:rsidP="00AD4E52">
            <w:pPr>
              <w:jc w:val="left"/>
            </w:pPr>
            <w:r>
              <w:t>2803-VOĐENJE SUDSKIH POSTUPAKA</w:t>
            </w:r>
          </w:p>
        </w:tc>
        <w:tc>
          <w:tcPr>
            <w:tcW w:w="2041" w:type="dxa"/>
          </w:tcPr>
          <w:p w:rsidR="00505632" w:rsidRDefault="00505632" w:rsidP="00AD4E52">
            <w:pPr>
              <w:jc w:val="right"/>
            </w:pPr>
            <w:r>
              <w:t>17.098.835</w:t>
            </w:r>
          </w:p>
        </w:tc>
        <w:tc>
          <w:tcPr>
            <w:tcW w:w="2041" w:type="dxa"/>
          </w:tcPr>
          <w:p w:rsidR="00505632" w:rsidRDefault="00505632" w:rsidP="00AD4E52">
            <w:pPr>
              <w:jc w:val="right"/>
            </w:pPr>
            <w:r>
              <w:t>18.476.394</w:t>
            </w:r>
          </w:p>
        </w:tc>
        <w:tc>
          <w:tcPr>
            <w:tcW w:w="2041" w:type="dxa"/>
          </w:tcPr>
          <w:p w:rsidR="00505632" w:rsidRDefault="00505632" w:rsidP="00AD4E52">
            <w:pPr>
              <w:jc w:val="right"/>
            </w:pPr>
            <w:r>
              <w:t>18.429.341</w:t>
            </w:r>
          </w:p>
        </w:tc>
        <w:tc>
          <w:tcPr>
            <w:tcW w:w="1224" w:type="dxa"/>
          </w:tcPr>
          <w:p w:rsidR="00505632" w:rsidRDefault="00505632" w:rsidP="00AD4E52">
            <w:pPr>
              <w:jc w:val="right"/>
            </w:pPr>
            <w:r>
              <w:t>99,7</w:t>
            </w:r>
          </w:p>
        </w:tc>
        <w:tc>
          <w:tcPr>
            <w:tcW w:w="1224" w:type="dxa"/>
          </w:tcPr>
          <w:p w:rsidR="00505632" w:rsidRDefault="00505632" w:rsidP="00AD4E52">
            <w:pPr>
              <w:jc w:val="right"/>
            </w:pPr>
            <w:r>
              <w:t>107,8</w:t>
            </w:r>
          </w:p>
        </w:tc>
      </w:tr>
    </w:tbl>
    <w:p w:rsidR="00505632" w:rsidRDefault="00505632" w:rsidP="00505632">
      <w:pPr>
        <w:jc w:val="left"/>
      </w:pPr>
    </w:p>
    <w:p w:rsidR="00505632" w:rsidRDefault="00505632" w:rsidP="00505632">
      <w:pPr>
        <w:pStyle w:val="Heading4"/>
      </w:pPr>
      <w:r>
        <w:t>A851001 VOĐENJE SUDSKIH POSTUPAKA IZ NADLEŽNOSTI UPRAVNIH SUDOVA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A851001-VOĐENJE SUDSKIH POSTUPAKA IZ NADLEŽNOSTI UPRAVNIH SUDOVA</w:t>
            </w:r>
          </w:p>
        </w:tc>
        <w:tc>
          <w:tcPr>
            <w:tcW w:w="2041" w:type="dxa"/>
          </w:tcPr>
          <w:p w:rsidR="00505632" w:rsidRDefault="00505632" w:rsidP="00AD4E52">
            <w:pPr>
              <w:pStyle w:val="CellColumn"/>
              <w:jc w:val="right"/>
            </w:pPr>
            <w:r>
              <w:rPr>
                <w:rFonts w:cs="Times New Roman"/>
              </w:rPr>
              <w:t>17.098.835</w:t>
            </w:r>
          </w:p>
        </w:tc>
        <w:tc>
          <w:tcPr>
            <w:tcW w:w="2041" w:type="dxa"/>
          </w:tcPr>
          <w:p w:rsidR="00505632" w:rsidRDefault="00505632" w:rsidP="00AD4E52">
            <w:pPr>
              <w:pStyle w:val="CellColumn"/>
              <w:jc w:val="right"/>
            </w:pPr>
            <w:r>
              <w:rPr>
                <w:rFonts w:cs="Times New Roman"/>
              </w:rPr>
              <w:t>18.476.394</w:t>
            </w:r>
          </w:p>
        </w:tc>
        <w:tc>
          <w:tcPr>
            <w:tcW w:w="2041" w:type="dxa"/>
          </w:tcPr>
          <w:p w:rsidR="00505632" w:rsidRDefault="00505632" w:rsidP="00AD4E52">
            <w:pPr>
              <w:pStyle w:val="CellColumn"/>
              <w:jc w:val="right"/>
            </w:pPr>
            <w:r>
              <w:rPr>
                <w:rFonts w:cs="Times New Roman"/>
              </w:rPr>
              <w:t>18.429.341</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107,8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upravnim sporovima (NN 20/2010,143/12), Zakon o sudovima (NN 28/13, 33/15, 82/15, 82/16).</w:t>
      </w:r>
    </w:p>
    <w:p w:rsidR="00505632" w:rsidRDefault="00505632" w:rsidP="00505632">
      <w:pPr>
        <w:pStyle w:val="Heading8"/>
        <w:jc w:val="left"/>
      </w:pPr>
      <w:r>
        <w:t>Opis aktivnosti</w:t>
      </w:r>
    </w:p>
    <w:p w:rsidR="00505632" w:rsidRDefault="00505632" w:rsidP="00505632">
      <w:r>
        <w:t>Ovom aktivnošću osigurava se redovan rad Upravnih sudova. Odobrenim planom proračunskih sredstava podmirene su prenesene obveze iz prethodne i redovni rashodi poslovanja nastali tijekom tekuće proračunske godine. Znatnija odstupanja u izvršenju materijalnih izdataka su vidljiva na stavkama: usluge pošte i telefona i intelektualne usluge zbog povećanja obima poslovanja upravnih sudova. Rashodi za zaposlene ukupno su povećani za 6,8% što je posljedica premještaja četiri dužnosnika i četiri službenika sa drugih sudova. Ostali rashodi za zaposlene su povećani u odnosu na 2015. godinu (67,7%) zbog isplata regresa i božićnih nagrada temeljem članaka 50. i 64. Kolektivnog ugovora za državne službenike i namještenike a sukladno odluci Vlade RH.</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zaostataka neriješenih predmeta</w:t>
            </w:r>
          </w:p>
        </w:tc>
        <w:tc>
          <w:tcPr>
            <w:tcW w:w="2551" w:type="dxa"/>
          </w:tcPr>
          <w:p w:rsidR="00505632" w:rsidRDefault="00505632" w:rsidP="00AD4E52">
            <w:pPr>
              <w:pStyle w:val="CellColumn"/>
              <w:jc w:val="left"/>
            </w:pPr>
            <w:r>
              <w:rPr>
                <w:rFonts w:cs="Times New Roman"/>
              </w:rPr>
              <w:t>čekivani broj neriješenih predmeta u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15024</w:t>
            </w:r>
          </w:p>
        </w:tc>
        <w:tc>
          <w:tcPr>
            <w:tcW w:w="1020" w:type="dxa"/>
          </w:tcPr>
          <w:p w:rsidR="00505632" w:rsidRDefault="00505632" w:rsidP="00AD4E52">
            <w:pPr>
              <w:pStyle w:val="CellColumn"/>
              <w:jc w:val="right"/>
            </w:pPr>
            <w:r>
              <w:rPr>
                <w:rFonts w:cs="Times New Roman"/>
              </w:rPr>
              <w:t>mp</w:t>
            </w:r>
          </w:p>
        </w:tc>
        <w:tc>
          <w:tcPr>
            <w:tcW w:w="1020" w:type="dxa"/>
          </w:tcPr>
          <w:p w:rsidR="00505632" w:rsidRDefault="00505632" w:rsidP="00AD4E52">
            <w:pPr>
              <w:pStyle w:val="CellColumn"/>
              <w:jc w:val="right"/>
            </w:pPr>
            <w:r>
              <w:rPr>
                <w:rFonts w:cs="Times New Roman"/>
              </w:rPr>
              <w:t>13100</w:t>
            </w:r>
          </w:p>
        </w:tc>
        <w:tc>
          <w:tcPr>
            <w:tcW w:w="1020" w:type="dxa"/>
          </w:tcPr>
          <w:p w:rsidR="00505632" w:rsidRDefault="00505632" w:rsidP="00AD4E52">
            <w:pPr>
              <w:pStyle w:val="CellColumn"/>
              <w:jc w:val="right"/>
            </w:pPr>
            <w:r>
              <w:rPr>
                <w:rFonts w:cs="Times New Roman"/>
              </w:rPr>
              <w:t>13693</w:t>
            </w:r>
          </w:p>
        </w:tc>
      </w:tr>
    </w:tbl>
    <w:p w:rsidR="00505632" w:rsidRDefault="00505632" w:rsidP="00505632">
      <w:pPr>
        <w:jc w:val="left"/>
      </w:pPr>
    </w:p>
    <w:p w:rsidR="00505632" w:rsidRDefault="00505632" w:rsidP="00505632">
      <w:pPr>
        <w:pStyle w:val="Heading2"/>
      </w:pPr>
      <w:r>
        <w:t>11030 Državno odvjetništvo Republike Hrvatske</w:t>
      </w:r>
    </w:p>
    <w:p w:rsidR="00505632" w:rsidRDefault="00505632" w:rsidP="00505632">
      <w:r>
        <w:t>Državno odvjetništvo je samostalno i neovisno pravosudno tijelo ovlašteno i dužno postupati protiv počinitelja kaznenih djela i drugih kažnjivih djela, poduzimati prave radnje radi zaštite imovine RH te podnositi pravna sredstva za zaštitu Ustava i zakona. Državno odvjetništvo RH je čelno državno odvjetništvo koje uz poslove iz svoje nadležnosti nadzire i usmjerava rad svih državnih odvjetništava.</w:t>
      </w:r>
    </w:p>
    <w:tbl>
      <w:tblPr>
        <w:tblStyle w:val="StilTablice"/>
        <w:tblW w:w="10206" w:type="dxa"/>
        <w:jc w:val="center"/>
        <w:tblLook w:val="04A0" w:firstRow="1" w:lastRow="0" w:firstColumn="1" w:lastColumn="0" w:noHBand="0" w:noVBand="1"/>
      </w:tblPr>
      <w:tblGrid>
        <w:gridCol w:w="1748"/>
        <w:gridCol w:w="2007"/>
        <w:gridCol w:w="2008"/>
        <w:gridCol w:w="2008"/>
        <w:gridCol w:w="1216"/>
        <w:gridCol w:w="1219"/>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11030-Državno odvjetništvo Republike Hrvatske</w:t>
            </w:r>
          </w:p>
        </w:tc>
        <w:tc>
          <w:tcPr>
            <w:tcW w:w="2041" w:type="dxa"/>
            <w:vAlign w:val="top"/>
          </w:tcPr>
          <w:p w:rsidR="00505632" w:rsidRDefault="00505632" w:rsidP="00AD4E52">
            <w:pPr>
              <w:pStyle w:val="CellColumn"/>
              <w:jc w:val="right"/>
            </w:pPr>
            <w:r>
              <w:rPr>
                <w:rFonts w:cs="Times New Roman"/>
              </w:rPr>
              <w:t>47.099.007</w:t>
            </w:r>
          </w:p>
        </w:tc>
        <w:tc>
          <w:tcPr>
            <w:tcW w:w="2041" w:type="dxa"/>
            <w:vAlign w:val="top"/>
          </w:tcPr>
          <w:p w:rsidR="00505632" w:rsidRDefault="00505632" w:rsidP="00AD4E52">
            <w:pPr>
              <w:pStyle w:val="CellColumn"/>
              <w:jc w:val="right"/>
            </w:pPr>
            <w:r>
              <w:rPr>
                <w:rFonts w:cs="Times New Roman"/>
              </w:rPr>
              <w:t>56.062.750</w:t>
            </w:r>
          </w:p>
        </w:tc>
        <w:tc>
          <w:tcPr>
            <w:tcW w:w="2041" w:type="dxa"/>
            <w:vAlign w:val="top"/>
          </w:tcPr>
          <w:p w:rsidR="00505632" w:rsidRDefault="00505632" w:rsidP="00AD4E52">
            <w:pPr>
              <w:pStyle w:val="CellColumn"/>
              <w:jc w:val="right"/>
            </w:pPr>
            <w:r>
              <w:rPr>
                <w:rFonts w:cs="Times New Roman"/>
              </w:rPr>
              <w:t>55.986.833</w:t>
            </w:r>
          </w:p>
        </w:tc>
        <w:tc>
          <w:tcPr>
            <w:tcW w:w="1224" w:type="dxa"/>
            <w:vAlign w:val="top"/>
          </w:tcPr>
          <w:p w:rsidR="00505632" w:rsidRDefault="00505632" w:rsidP="00AD4E52">
            <w:pPr>
              <w:pStyle w:val="CellColumn"/>
              <w:jc w:val="right"/>
            </w:pPr>
            <w:r>
              <w:rPr>
                <w:rFonts w:cs="Times New Roman"/>
              </w:rPr>
              <w:t>99,9</w:t>
            </w:r>
          </w:p>
        </w:tc>
        <w:tc>
          <w:tcPr>
            <w:tcW w:w="1224" w:type="dxa"/>
            <w:vAlign w:val="top"/>
          </w:tcPr>
          <w:p w:rsidR="00505632" w:rsidRDefault="00505632" w:rsidP="00AD4E52">
            <w:pPr>
              <w:pStyle w:val="CellColumn"/>
              <w:jc w:val="right"/>
            </w:pPr>
            <w:r>
              <w:rPr>
                <w:rFonts w:cs="Times New Roman"/>
              </w:rPr>
              <w:t>118,9</w:t>
            </w:r>
          </w:p>
        </w:tc>
      </w:tr>
      <w:tr w:rsidR="00505632" w:rsidTr="00AD4E52">
        <w:trPr>
          <w:jc w:val="center"/>
        </w:trPr>
        <w:tc>
          <w:tcPr>
            <w:tcW w:w="1632" w:type="dxa"/>
          </w:tcPr>
          <w:p w:rsidR="00505632" w:rsidRDefault="00505632" w:rsidP="00AD4E52">
            <w:pPr>
              <w:jc w:val="left"/>
            </w:pPr>
            <w:r>
              <w:t>2812-DJELOVANJE DRŽAVNIH ODVJETNIŠTAVA</w:t>
            </w:r>
          </w:p>
        </w:tc>
        <w:tc>
          <w:tcPr>
            <w:tcW w:w="2041" w:type="dxa"/>
          </w:tcPr>
          <w:p w:rsidR="00505632" w:rsidRDefault="00505632" w:rsidP="00AD4E52">
            <w:pPr>
              <w:jc w:val="right"/>
            </w:pPr>
            <w:r>
              <w:t>47.099.007</w:t>
            </w:r>
          </w:p>
        </w:tc>
        <w:tc>
          <w:tcPr>
            <w:tcW w:w="2041" w:type="dxa"/>
          </w:tcPr>
          <w:p w:rsidR="00505632" w:rsidRDefault="00505632" w:rsidP="00AD4E52">
            <w:pPr>
              <w:jc w:val="right"/>
            </w:pPr>
            <w:r>
              <w:t>56.062.750</w:t>
            </w:r>
          </w:p>
        </w:tc>
        <w:tc>
          <w:tcPr>
            <w:tcW w:w="2041" w:type="dxa"/>
          </w:tcPr>
          <w:p w:rsidR="00505632" w:rsidRDefault="00505632" w:rsidP="00AD4E52">
            <w:pPr>
              <w:jc w:val="right"/>
            </w:pPr>
            <w:r>
              <w:t>55.986.833</w:t>
            </w:r>
          </w:p>
        </w:tc>
        <w:tc>
          <w:tcPr>
            <w:tcW w:w="1224" w:type="dxa"/>
          </w:tcPr>
          <w:p w:rsidR="00505632" w:rsidRDefault="00505632" w:rsidP="00AD4E52">
            <w:pPr>
              <w:jc w:val="right"/>
            </w:pPr>
            <w:r>
              <w:t>99,9</w:t>
            </w:r>
          </w:p>
        </w:tc>
        <w:tc>
          <w:tcPr>
            <w:tcW w:w="1224" w:type="dxa"/>
          </w:tcPr>
          <w:p w:rsidR="00505632" w:rsidRDefault="00505632" w:rsidP="00AD4E52">
            <w:pPr>
              <w:jc w:val="right"/>
            </w:pPr>
            <w:r>
              <w:t>118,9</w:t>
            </w:r>
          </w:p>
        </w:tc>
      </w:tr>
    </w:tbl>
    <w:p w:rsidR="00505632" w:rsidRDefault="00505632" w:rsidP="00505632">
      <w:pPr>
        <w:jc w:val="left"/>
      </w:pPr>
    </w:p>
    <w:p w:rsidR="00505632" w:rsidRDefault="00505632" w:rsidP="00505632">
      <w:pPr>
        <w:pStyle w:val="Heading4"/>
      </w:pPr>
      <w:r>
        <w:t>A634000 PROGON POČINITELJA KAZNENIH DJELA, ZAŠTITA IMOVINE RH I PODNOŠENJE PRAVNIH SREDSTAVA ZA ZAŠTITU ZAKONITOSTI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A634000-PROGON POČINITELJA KAZNENIH DJELA, ZAŠTITA IMOVINE RH I PODNOŠENJE PRAVNIH SREDSTAVA ZA ZAŠTITU ZAKONITOSTI</w:t>
            </w:r>
          </w:p>
        </w:tc>
        <w:tc>
          <w:tcPr>
            <w:tcW w:w="2041" w:type="dxa"/>
          </w:tcPr>
          <w:p w:rsidR="00505632" w:rsidRDefault="00505632" w:rsidP="00AD4E52">
            <w:pPr>
              <w:pStyle w:val="CellColumn"/>
              <w:jc w:val="right"/>
            </w:pPr>
            <w:r>
              <w:rPr>
                <w:rFonts w:cs="Times New Roman"/>
              </w:rPr>
              <w:t>16.649.107</w:t>
            </w:r>
          </w:p>
        </w:tc>
        <w:tc>
          <w:tcPr>
            <w:tcW w:w="2041" w:type="dxa"/>
          </w:tcPr>
          <w:p w:rsidR="00505632" w:rsidRDefault="00505632" w:rsidP="00AD4E52">
            <w:pPr>
              <w:pStyle w:val="CellColumn"/>
              <w:jc w:val="right"/>
            </w:pPr>
            <w:r>
              <w:rPr>
                <w:rFonts w:cs="Times New Roman"/>
              </w:rPr>
              <w:t>17.404.650</w:t>
            </w:r>
          </w:p>
        </w:tc>
        <w:tc>
          <w:tcPr>
            <w:tcW w:w="2041" w:type="dxa"/>
          </w:tcPr>
          <w:p w:rsidR="00505632" w:rsidRDefault="00505632" w:rsidP="00AD4E52">
            <w:pPr>
              <w:pStyle w:val="CellColumn"/>
              <w:jc w:val="right"/>
            </w:pPr>
            <w:r>
              <w:rPr>
                <w:rFonts w:cs="Times New Roman"/>
              </w:rPr>
              <w:t>17.328.733</w:t>
            </w:r>
          </w:p>
        </w:tc>
        <w:tc>
          <w:tcPr>
            <w:tcW w:w="1224" w:type="dxa"/>
          </w:tcPr>
          <w:p w:rsidR="00505632" w:rsidRDefault="00505632" w:rsidP="00AD4E52">
            <w:pPr>
              <w:pStyle w:val="CellColumn"/>
              <w:jc w:val="right"/>
            </w:pPr>
            <w:r>
              <w:rPr>
                <w:rFonts w:cs="Times New Roman"/>
              </w:rPr>
              <w:t>99,6</w:t>
            </w:r>
          </w:p>
        </w:tc>
        <w:tc>
          <w:tcPr>
            <w:tcW w:w="1224" w:type="dxa"/>
          </w:tcPr>
          <w:p w:rsidR="00505632" w:rsidRDefault="00505632" w:rsidP="00AD4E52">
            <w:pPr>
              <w:pStyle w:val="CellColumn"/>
              <w:jc w:val="right"/>
            </w:pPr>
            <w:r>
              <w:rPr>
                <w:rFonts w:cs="Times New Roman"/>
              </w:rPr>
              <w:t>104,1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državnom odvjetništvu (NN 76/09, 72/13, 148/13, 33/15, 82/15), Zakon o područjima i sjedištima državnih  </w:t>
      </w:r>
    </w:p>
    <w:p w:rsidR="00505632" w:rsidRDefault="00505632" w:rsidP="00505632">
      <w:r>
        <w:t>odvjetništava (NN 144/10, 84/11, 130/11, 128/14), Zakon o kaznenom postupku (Narodne novine, broj 152/08, 76/09., 80/11., 91/12, 143/12, 56/13, 145/13 i 152/14), Zakon o parničnom postupku (»Narodne novine«, br. 53/91., 91/92., 112/99., 88/01., 117/03., 88/05., 2/07., 84/08., 96/08., 123/08., 57/11, 148/11, 25/13 i 89/14), kao i drugi procesni zakoni.</w:t>
      </w:r>
    </w:p>
    <w:p w:rsidR="00505632" w:rsidRDefault="00505632" w:rsidP="00505632">
      <w:pPr>
        <w:pStyle w:val="Heading8"/>
        <w:jc w:val="left"/>
      </w:pPr>
      <w:r>
        <w:t>Opis aktivnosti</w:t>
      </w:r>
    </w:p>
    <w:p w:rsidR="00505632" w:rsidRDefault="00505632" w:rsidP="00505632">
      <w:r>
        <w:t>Odobrenim planom proračunskih sredstava  podmireni su redovni rashodi poslovanja nastali tijekom proračunske godine. Znatnija odstupanja u izvršenju materijalnih izdataka su vidljiva na stavkama: Naknade troškova osobama izvan radnog odnosa – do povećanja je došlo uslijed upućivanja odvjetnika i službenika na rad u Državno odvjetništvo RH iz drugih pravosudnih tijela te troškova u arbitražnim predmetima i Intelektualne usluge koje su dijelom osigurane Proračunom a dijelom od dodatnih sredstava ostvarenih od uplata kamata sukladno Uredbi o korištenju novčanih sredstava koja se vode na posebnom računu suda (NN 84/16). Sredstva za intelektualne usluge utrošena su u cijelosti za podmirenje arbitražnih troškova na aktivnosti Zastupanje Republike Hrvatske u inozemstvu. Rashodi za zaposlene ukupno su povećani za 5,2% zbog premještaja službenika iz pravosudnih tijela u Državno odvjetništvo RH. Ostali rashodi za zaposlene su povećani u odnosu na 2015. godinu (17,9%) zbog isplata regresa i božićnih nagrada temeljem članaka 50. i 64. Kolektivnog ugovora za državne službenike i namještenike a sukladno odluci Vlade RH.</w:t>
      </w:r>
    </w:p>
    <w:p w:rsidR="00505632" w:rsidRDefault="00505632" w:rsidP="00505632">
      <w:pPr>
        <w:pStyle w:val="Heading4"/>
      </w:pPr>
      <w:r>
        <w:t>A634013 ZASTUPANJE REPUBLIKE HRVATSKE U INOZEMSTVU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A634013-ZASTUPANJE REPUBLIKE HRVATSKE U INOZEMSTVU</w:t>
            </w:r>
          </w:p>
        </w:tc>
        <w:tc>
          <w:tcPr>
            <w:tcW w:w="2041" w:type="dxa"/>
          </w:tcPr>
          <w:p w:rsidR="00505632" w:rsidRDefault="00505632" w:rsidP="00AD4E52">
            <w:pPr>
              <w:pStyle w:val="CellColumn"/>
              <w:jc w:val="right"/>
            </w:pPr>
            <w:r>
              <w:rPr>
                <w:rFonts w:cs="Times New Roman"/>
              </w:rPr>
              <w:t>29.617.800</w:t>
            </w:r>
          </w:p>
        </w:tc>
        <w:tc>
          <w:tcPr>
            <w:tcW w:w="2041" w:type="dxa"/>
          </w:tcPr>
          <w:p w:rsidR="00505632" w:rsidRDefault="00505632" w:rsidP="00AD4E52">
            <w:pPr>
              <w:pStyle w:val="CellColumn"/>
              <w:jc w:val="right"/>
            </w:pPr>
            <w:r>
              <w:rPr>
                <w:rFonts w:cs="Times New Roman"/>
              </w:rPr>
              <w:t>37.965.000</w:t>
            </w:r>
          </w:p>
        </w:tc>
        <w:tc>
          <w:tcPr>
            <w:tcW w:w="2041" w:type="dxa"/>
          </w:tcPr>
          <w:p w:rsidR="00505632" w:rsidRDefault="00505632" w:rsidP="00AD4E52">
            <w:pPr>
              <w:pStyle w:val="CellColumn"/>
              <w:jc w:val="right"/>
            </w:pPr>
            <w:r>
              <w:rPr>
                <w:rFonts w:cs="Times New Roman"/>
              </w:rPr>
              <w:t>37.965.000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128,2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Državnom odvjetništvu (NN 72/13, 148/13, 33/15, 82/15 - članak 89.)</w:t>
      </w:r>
    </w:p>
    <w:p w:rsidR="00505632" w:rsidRDefault="00505632" w:rsidP="00505632">
      <w:pPr>
        <w:pStyle w:val="Heading8"/>
        <w:jc w:val="left"/>
      </w:pPr>
      <w:r>
        <w:t>Opis aktivnosti</w:t>
      </w:r>
    </w:p>
    <w:p w:rsidR="00505632" w:rsidRDefault="00505632" w:rsidP="00505632">
      <w:r>
        <w:t>Državno odvjetništvo Republike Hrvatske zastupa Republiku Hrvatsku u imovinskim sporovima koji se mogu podijeliti na postupke pred redovnim sudovima drugih država i postupke pred međunarodnim tijelima, u pravilu međunarodnim arbitražama. Postupci pred međunarodnim arbitražama proizlaze iz sporova koji su nastali između stranaka koje su sklopile određeni pravni posao i ugovorile nadležnost međunarodne arbitraže ili iz bilateralnih ugovora o poticanju i zaštiti ulaganja, u kojem slučaju ulagatelj tuži Republiku Hrvatsku neovisno o tome čijom je radnjom (npr. državnog tijela, jedinice lokalne samouprave, tijela s javnim ovlastima) došlo do povrede ugovora. U 2016. godini vođeno je 5 arbitražnih postupaka protiv Republike Hrvatske radi naknade štete, a vezano uz bilateralne ugovore o zaštiti i poticanju stranog ulaganja. Tijekom godine je ishođena jedna odbijajuća odluku, a u jednom arbitražnom postupku je zaključena rasprava i očekuje se donošenje odluke sredinom 2017. godine. Također je bilo 10 postupaka prijateljskog rješavanja sporova, jedan je zahtjev odbijen, a pokrenuta su dva arbitražna postupka, dok je jedan postupak prijateljskog rješavanja u mirovanju po zahtjevu ulagatelja. U tim postupcima Državno odvjetništvo RH koordinira rad i dogovara strategiju obrane sa stranim odvjetničkim društvom, daje pravnu podršku u pogledu tumačenja i primjene domaćeg prava te prikuplja i analizira činjenice i dokaze bitne za postupak i dr. Pred sudovima drugih država vođena su dva sudska postupka, jedan u Sjedinjenim Američkim Državama, podjela sredstava nakon likvidacije Jugobanke i Beogradske banke, te drugi u Austriji, likvidacija Adriabanke.</w:t>
      </w:r>
    </w:p>
    <w:p w:rsidR="00505632" w:rsidRDefault="00505632" w:rsidP="00505632">
      <w:pPr>
        <w:pStyle w:val="Heading2"/>
      </w:pPr>
      <w:r>
        <w:t>11035 Državnoodvjetničko vijeće</w:t>
      </w:r>
    </w:p>
    <w:p w:rsidR="00505632" w:rsidRDefault="00505632" w:rsidP="00505632">
      <w:r>
        <w:t>Državnoodvjetničko vijeće je posebno tijelo nadležno za imenovanje i razrješenje županijskih i općinskih državnih odvjetnika i  njihovih zamjenika, premještaje, raspisivanje izbora za članove, odlučivanje o prigovoru na ocjenu, vođenje postupka i odlučivanje o stegovnoj odgovornosti dužnosnika i obavljanje drugih poslova u skladu sa Zakonom.</w:t>
      </w:r>
    </w:p>
    <w:tbl>
      <w:tblPr>
        <w:tblStyle w:val="StilTablice"/>
        <w:tblW w:w="10206" w:type="dxa"/>
        <w:jc w:val="center"/>
        <w:tblLook w:val="04A0" w:firstRow="1" w:lastRow="0" w:firstColumn="1" w:lastColumn="0" w:noHBand="0" w:noVBand="1"/>
      </w:tblPr>
      <w:tblGrid>
        <w:gridCol w:w="1747"/>
        <w:gridCol w:w="2009"/>
        <w:gridCol w:w="2005"/>
        <w:gridCol w:w="2008"/>
        <w:gridCol w:w="1217"/>
        <w:gridCol w:w="1220"/>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11035-Državnoodvjetničko vijeće</w:t>
            </w:r>
          </w:p>
        </w:tc>
        <w:tc>
          <w:tcPr>
            <w:tcW w:w="2041" w:type="dxa"/>
            <w:vAlign w:val="top"/>
          </w:tcPr>
          <w:p w:rsidR="00505632" w:rsidRDefault="00505632" w:rsidP="00AD4E52">
            <w:pPr>
              <w:pStyle w:val="CellColumn"/>
              <w:jc w:val="right"/>
            </w:pPr>
            <w:r>
              <w:rPr>
                <w:rFonts w:cs="Times New Roman"/>
              </w:rPr>
              <w:t>1.021.000</w:t>
            </w:r>
          </w:p>
        </w:tc>
        <w:tc>
          <w:tcPr>
            <w:tcW w:w="2041" w:type="dxa"/>
            <w:vAlign w:val="top"/>
          </w:tcPr>
          <w:p w:rsidR="00505632" w:rsidRDefault="00505632" w:rsidP="00AD4E52">
            <w:pPr>
              <w:pStyle w:val="CellColumn"/>
              <w:jc w:val="right"/>
            </w:pPr>
            <w:r>
              <w:rPr>
                <w:rFonts w:cs="Times New Roman"/>
              </w:rPr>
              <w:t>926.000</w:t>
            </w:r>
          </w:p>
        </w:tc>
        <w:tc>
          <w:tcPr>
            <w:tcW w:w="2041" w:type="dxa"/>
            <w:vAlign w:val="top"/>
          </w:tcPr>
          <w:p w:rsidR="00505632" w:rsidRDefault="00505632" w:rsidP="00AD4E52">
            <w:pPr>
              <w:pStyle w:val="CellColumn"/>
              <w:jc w:val="right"/>
            </w:pPr>
            <w:r>
              <w:rPr>
                <w:rFonts w:cs="Times New Roman"/>
              </w:rPr>
              <w:t>902.000</w:t>
            </w:r>
          </w:p>
        </w:tc>
        <w:tc>
          <w:tcPr>
            <w:tcW w:w="1224" w:type="dxa"/>
            <w:vAlign w:val="top"/>
          </w:tcPr>
          <w:p w:rsidR="00505632" w:rsidRDefault="00505632" w:rsidP="00AD4E52">
            <w:pPr>
              <w:pStyle w:val="CellColumn"/>
              <w:jc w:val="right"/>
            </w:pPr>
            <w:r>
              <w:rPr>
                <w:rFonts w:cs="Times New Roman"/>
              </w:rPr>
              <w:t>97,4</w:t>
            </w:r>
          </w:p>
        </w:tc>
        <w:tc>
          <w:tcPr>
            <w:tcW w:w="1224" w:type="dxa"/>
            <w:vAlign w:val="top"/>
          </w:tcPr>
          <w:p w:rsidR="00505632" w:rsidRDefault="00505632" w:rsidP="00AD4E52">
            <w:pPr>
              <w:pStyle w:val="CellColumn"/>
              <w:jc w:val="right"/>
            </w:pPr>
            <w:r>
              <w:rPr>
                <w:rFonts w:cs="Times New Roman"/>
              </w:rPr>
              <w:t>88,3</w:t>
            </w:r>
          </w:p>
        </w:tc>
      </w:tr>
      <w:tr w:rsidR="00505632" w:rsidTr="00AD4E52">
        <w:trPr>
          <w:jc w:val="center"/>
        </w:trPr>
        <w:tc>
          <w:tcPr>
            <w:tcW w:w="1632" w:type="dxa"/>
          </w:tcPr>
          <w:p w:rsidR="00505632" w:rsidRDefault="00505632" w:rsidP="00AD4E52">
            <w:pPr>
              <w:jc w:val="left"/>
            </w:pPr>
            <w:r>
              <w:t>2802-IMENOVANJA PRAVOSUDNIH DUŽNOSNIKA</w:t>
            </w:r>
          </w:p>
        </w:tc>
        <w:tc>
          <w:tcPr>
            <w:tcW w:w="2041" w:type="dxa"/>
          </w:tcPr>
          <w:p w:rsidR="00505632" w:rsidRDefault="00505632" w:rsidP="00AD4E52">
            <w:pPr>
              <w:jc w:val="right"/>
            </w:pPr>
            <w:r>
              <w:t>1.021.000</w:t>
            </w:r>
          </w:p>
        </w:tc>
        <w:tc>
          <w:tcPr>
            <w:tcW w:w="2041" w:type="dxa"/>
          </w:tcPr>
          <w:p w:rsidR="00505632" w:rsidRDefault="00505632" w:rsidP="00AD4E52">
            <w:pPr>
              <w:jc w:val="right"/>
            </w:pPr>
            <w:r>
              <w:t>926.000</w:t>
            </w:r>
          </w:p>
        </w:tc>
        <w:tc>
          <w:tcPr>
            <w:tcW w:w="2041" w:type="dxa"/>
          </w:tcPr>
          <w:p w:rsidR="00505632" w:rsidRDefault="00505632" w:rsidP="00AD4E52">
            <w:pPr>
              <w:jc w:val="right"/>
            </w:pPr>
            <w:r>
              <w:t>902.000</w:t>
            </w:r>
          </w:p>
        </w:tc>
        <w:tc>
          <w:tcPr>
            <w:tcW w:w="1224" w:type="dxa"/>
          </w:tcPr>
          <w:p w:rsidR="00505632" w:rsidRDefault="00505632" w:rsidP="00AD4E52">
            <w:pPr>
              <w:jc w:val="right"/>
            </w:pPr>
            <w:r>
              <w:t>97,4</w:t>
            </w:r>
          </w:p>
        </w:tc>
        <w:tc>
          <w:tcPr>
            <w:tcW w:w="1224" w:type="dxa"/>
          </w:tcPr>
          <w:p w:rsidR="00505632" w:rsidRDefault="00505632" w:rsidP="00AD4E52">
            <w:pPr>
              <w:jc w:val="right"/>
            </w:pPr>
            <w:r>
              <w:t>88,3</w:t>
            </w:r>
          </w:p>
        </w:tc>
      </w:tr>
    </w:tbl>
    <w:p w:rsidR="00505632" w:rsidRDefault="00505632" w:rsidP="00505632">
      <w:pPr>
        <w:jc w:val="left"/>
      </w:pPr>
    </w:p>
    <w:p w:rsidR="00505632" w:rsidRDefault="00505632" w:rsidP="00505632">
      <w:pPr>
        <w:pStyle w:val="Heading4"/>
      </w:pPr>
      <w:r>
        <w:t>A858001 DRŽAVNO ODVJETNIČKO VIJEĆE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A858001-DRŽAVNO ODVJETNIČKO VIJEĆE</w:t>
            </w:r>
          </w:p>
        </w:tc>
        <w:tc>
          <w:tcPr>
            <w:tcW w:w="2041" w:type="dxa"/>
          </w:tcPr>
          <w:p w:rsidR="00505632" w:rsidRDefault="00505632" w:rsidP="00AD4E52">
            <w:pPr>
              <w:pStyle w:val="CellColumn"/>
              <w:jc w:val="right"/>
            </w:pPr>
            <w:r>
              <w:rPr>
                <w:rFonts w:cs="Times New Roman"/>
              </w:rPr>
              <w:t>1.021.000</w:t>
            </w:r>
          </w:p>
        </w:tc>
        <w:tc>
          <w:tcPr>
            <w:tcW w:w="2041" w:type="dxa"/>
          </w:tcPr>
          <w:p w:rsidR="00505632" w:rsidRDefault="00505632" w:rsidP="00AD4E52">
            <w:pPr>
              <w:pStyle w:val="CellColumn"/>
              <w:jc w:val="right"/>
            </w:pPr>
            <w:r>
              <w:rPr>
                <w:rFonts w:cs="Times New Roman"/>
              </w:rPr>
              <w:t>926.000</w:t>
            </w:r>
          </w:p>
        </w:tc>
        <w:tc>
          <w:tcPr>
            <w:tcW w:w="2041" w:type="dxa"/>
          </w:tcPr>
          <w:p w:rsidR="00505632" w:rsidRDefault="00505632" w:rsidP="00AD4E52">
            <w:pPr>
              <w:pStyle w:val="CellColumn"/>
              <w:jc w:val="right"/>
            </w:pPr>
            <w:r>
              <w:rPr>
                <w:rFonts w:cs="Times New Roman"/>
              </w:rPr>
              <w:t>902.000</w:t>
            </w:r>
          </w:p>
        </w:tc>
        <w:tc>
          <w:tcPr>
            <w:tcW w:w="1224" w:type="dxa"/>
          </w:tcPr>
          <w:p w:rsidR="00505632" w:rsidRDefault="00505632" w:rsidP="00AD4E52">
            <w:pPr>
              <w:pStyle w:val="CellColumn"/>
              <w:jc w:val="right"/>
            </w:pPr>
            <w:r>
              <w:rPr>
                <w:rFonts w:cs="Times New Roman"/>
              </w:rPr>
              <w:t>97,4</w:t>
            </w:r>
          </w:p>
        </w:tc>
        <w:tc>
          <w:tcPr>
            <w:tcW w:w="1224" w:type="dxa"/>
          </w:tcPr>
          <w:p w:rsidR="00505632" w:rsidRDefault="00505632" w:rsidP="00AD4E52">
            <w:pPr>
              <w:pStyle w:val="CellColumn"/>
              <w:jc w:val="right"/>
            </w:pPr>
            <w:r>
              <w:rPr>
                <w:rFonts w:cs="Times New Roman"/>
              </w:rPr>
              <w:t>88,3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Državnom odvjetništvu (NN 72/13, 148/13, 33/15, 82/15).</w:t>
      </w:r>
    </w:p>
    <w:p w:rsidR="00505632" w:rsidRDefault="00505632" w:rsidP="00505632">
      <w:pPr>
        <w:pStyle w:val="Heading8"/>
        <w:jc w:val="left"/>
      </w:pPr>
      <w:r>
        <w:t>Opis aktivnosti</w:t>
      </w:r>
    </w:p>
    <w:p w:rsidR="00505632" w:rsidRDefault="00505632" w:rsidP="00505632">
      <w:r>
        <w:t>Ovom aktivnošću su osigurana sredstva za redovan rad DOV-a. Odobrenim planom proračunskih sredstava podmireni su redovni rashodi poslovanja nastali tijekom proračunske godine. Znatnijih odstupanja u izvršenju materijalnih izdataka po pojedinim stavkama rashoda nije bilo.</w:t>
      </w:r>
    </w:p>
    <w:p w:rsidR="00505632" w:rsidRDefault="00505632" w:rsidP="00505632">
      <w:pPr>
        <w:pStyle w:val="Heading2"/>
      </w:pPr>
      <w:r>
        <w:t>11036 Državno sudbeno vijeće</w:t>
      </w:r>
    </w:p>
    <w:p w:rsidR="00505632" w:rsidRDefault="00505632" w:rsidP="00505632">
      <w:r>
        <w:t>Državno sudbeno vijeće imenuje suce, vodi postupke i odlučuje o stegovnoj odgovornosti sudaca, odlučuje o razrješenju   sudaca, odlučuje o davanju odobrenja za pokretanje kaznenih postupaka protiv sudaca, odlučuje o privremenim udaljenjima sudaca od obnašanja dužnosti, kao i obavljanje drugih poslova u skladu sa Zakonom.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11036-Državno sudbeno vijeće</w:t>
            </w:r>
          </w:p>
        </w:tc>
        <w:tc>
          <w:tcPr>
            <w:tcW w:w="2041" w:type="dxa"/>
            <w:vAlign w:val="top"/>
          </w:tcPr>
          <w:p w:rsidR="00505632" w:rsidRDefault="00505632" w:rsidP="00AD4E52">
            <w:pPr>
              <w:pStyle w:val="CellColumn"/>
              <w:jc w:val="right"/>
            </w:pPr>
            <w:r>
              <w:rPr>
                <w:rFonts w:cs="Times New Roman"/>
              </w:rPr>
              <w:t>1.710.282</w:t>
            </w:r>
          </w:p>
        </w:tc>
        <w:tc>
          <w:tcPr>
            <w:tcW w:w="2041" w:type="dxa"/>
            <w:vAlign w:val="top"/>
          </w:tcPr>
          <w:p w:rsidR="00505632" w:rsidRDefault="00505632" w:rsidP="00AD4E52">
            <w:pPr>
              <w:pStyle w:val="CellColumn"/>
              <w:jc w:val="right"/>
            </w:pPr>
            <w:r>
              <w:rPr>
                <w:rFonts w:cs="Times New Roman"/>
              </w:rPr>
              <w:t>1.716.350</w:t>
            </w:r>
          </w:p>
        </w:tc>
        <w:tc>
          <w:tcPr>
            <w:tcW w:w="2041" w:type="dxa"/>
            <w:vAlign w:val="top"/>
          </w:tcPr>
          <w:p w:rsidR="00505632" w:rsidRDefault="00505632" w:rsidP="00AD4E52">
            <w:pPr>
              <w:pStyle w:val="CellColumn"/>
              <w:jc w:val="right"/>
            </w:pPr>
            <w:r>
              <w:rPr>
                <w:rFonts w:cs="Times New Roman"/>
              </w:rPr>
              <w:t>1.690.026</w:t>
            </w:r>
          </w:p>
        </w:tc>
        <w:tc>
          <w:tcPr>
            <w:tcW w:w="1224" w:type="dxa"/>
            <w:vAlign w:val="top"/>
          </w:tcPr>
          <w:p w:rsidR="00505632" w:rsidRDefault="00505632" w:rsidP="00AD4E52">
            <w:pPr>
              <w:pStyle w:val="CellColumn"/>
              <w:jc w:val="right"/>
            </w:pPr>
            <w:r>
              <w:rPr>
                <w:rFonts w:cs="Times New Roman"/>
              </w:rPr>
              <w:t>98,5</w:t>
            </w:r>
          </w:p>
        </w:tc>
        <w:tc>
          <w:tcPr>
            <w:tcW w:w="1224" w:type="dxa"/>
            <w:vAlign w:val="top"/>
          </w:tcPr>
          <w:p w:rsidR="00505632" w:rsidRDefault="00505632" w:rsidP="00AD4E52">
            <w:pPr>
              <w:pStyle w:val="CellColumn"/>
              <w:jc w:val="right"/>
            </w:pPr>
            <w:r>
              <w:rPr>
                <w:rFonts w:cs="Times New Roman"/>
              </w:rPr>
              <w:t>98,8</w:t>
            </w:r>
          </w:p>
        </w:tc>
      </w:tr>
      <w:tr w:rsidR="00505632" w:rsidTr="00AD4E52">
        <w:trPr>
          <w:jc w:val="center"/>
        </w:trPr>
        <w:tc>
          <w:tcPr>
            <w:tcW w:w="1632" w:type="dxa"/>
          </w:tcPr>
          <w:p w:rsidR="00505632" w:rsidRDefault="00505632" w:rsidP="00AD4E52">
            <w:pPr>
              <w:jc w:val="left"/>
            </w:pPr>
            <w:r>
              <w:t>2802-IMENOVANJA PRAVOSUDNIH DUŽNOSNIKA</w:t>
            </w:r>
          </w:p>
        </w:tc>
        <w:tc>
          <w:tcPr>
            <w:tcW w:w="2041" w:type="dxa"/>
          </w:tcPr>
          <w:p w:rsidR="00505632" w:rsidRDefault="00505632" w:rsidP="00AD4E52">
            <w:pPr>
              <w:jc w:val="right"/>
            </w:pPr>
            <w:r>
              <w:t>1.710.282</w:t>
            </w:r>
          </w:p>
        </w:tc>
        <w:tc>
          <w:tcPr>
            <w:tcW w:w="2041" w:type="dxa"/>
          </w:tcPr>
          <w:p w:rsidR="00505632" w:rsidRDefault="00505632" w:rsidP="00AD4E52">
            <w:pPr>
              <w:jc w:val="right"/>
            </w:pPr>
            <w:r>
              <w:t>1.716.350</w:t>
            </w:r>
          </w:p>
        </w:tc>
        <w:tc>
          <w:tcPr>
            <w:tcW w:w="2041" w:type="dxa"/>
          </w:tcPr>
          <w:p w:rsidR="00505632" w:rsidRDefault="00505632" w:rsidP="00AD4E52">
            <w:pPr>
              <w:jc w:val="right"/>
            </w:pPr>
            <w:r>
              <w:t>1.690.026</w:t>
            </w:r>
          </w:p>
        </w:tc>
        <w:tc>
          <w:tcPr>
            <w:tcW w:w="1224" w:type="dxa"/>
          </w:tcPr>
          <w:p w:rsidR="00505632" w:rsidRDefault="00505632" w:rsidP="00AD4E52">
            <w:pPr>
              <w:jc w:val="right"/>
            </w:pPr>
            <w:r>
              <w:t>98,5</w:t>
            </w:r>
          </w:p>
        </w:tc>
        <w:tc>
          <w:tcPr>
            <w:tcW w:w="1224" w:type="dxa"/>
          </w:tcPr>
          <w:p w:rsidR="00505632" w:rsidRDefault="00505632" w:rsidP="00AD4E52">
            <w:pPr>
              <w:jc w:val="right"/>
            </w:pPr>
            <w:r>
              <w:t>98,8</w:t>
            </w:r>
          </w:p>
        </w:tc>
      </w:tr>
    </w:tbl>
    <w:p w:rsidR="00505632" w:rsidRDefault="00505632" w:rsidP="00505632">
      <w:pPr>
        <w:jc w:val="left"/>
      </w:pPr>
    </w:p>
    <w:p w:rsidR="00505632" w:rsidRDefault="00505632" w:rsidP="00505632">
      <w:pPr>
        <w:pStyle w:val="Heading4"/>
      </w:pPr>
      <w:r>
        <w:t>A859001 DRŽAVNO SUDBENO VIJEĆE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A859001-DRŽAVNO SUDBENO VIJEĆE</w:t>
            </w:r>
          </w:p>
        </w:tc>
        <w:tc>
          <w:tcPr>
            <w:tcW w:w="2041" w:type="dxa"/>
          </w:tcPr>
          <w:p w:rsidR="00505632" w:rsidRDefault="00505632" w:rsidP="00AD4E52">
            <w:pPr>
              <w:pStyle w:val="CellColumn"/>
              <w:jc w:val="right"/>
            </w:pPr>
            <w:r>
              <w:rPr>
                <w:rFonts w:cs="Times New Roman"/>
              </w:rPr>
              <w:t>1.710.282</w:t>
            </w:r>
          </w:p>
        </w:tc>
        <w:tc>
          <w:tcPr>
            <w:tcW w:w="2041" w:type="dxa"/>
          </w:tcPr>
          <w:p w:rsidR="00505632" w:rsidRDefault="00505632" w:rsidP="00AD4E52">
            <w:pPr>
              <w:pStyle w:val="CellColumn"/>
              <w:jc w:val="right"/>
            </w:pPr>
            <w:r>
              <w:rPr>
                <w:rFonts w:cs="Times New Roman"/>
              </w:rPr>
              <w:t>1.716.350</w:t>
            </w:r>
          </w:p>
        </w:tc>
        <w:tc>
          <w:tcPr>
            <w:tcW w:w="2041" w:type="dxa"/>
          </w:tcPr>
          <w:p w:rsidR="00505632" w:rsidRDefault="00505632" w:rsidP="00AD4E52">
            <w:pPr>
              <w:pStyle w:val="CellColumn"/>
              <w:jc w:val="right"/>
            </w:pPr>
            <w:r>
              <w:rPr>
                <w:rFonts w:cs="Times New Roman"/>
              </w:rPr>
              <w:t>1.690.026</w:t>
            </w:r>
          </w:p>
        </w:tc>
        <w:tc>
          <w:tcPr>
            <w:tcW w:w="1224" w:type="dxa"/>
          </w:tcPr>
          <w:p w:rsidR="00505632" w:rsidRDefault="00505632" w:rsidP="00AD4E52">
            <w:pPr>
              <w:pStyle w:val="CellColumn"/>
              <w:jc w:val="right"/>
            </w:pPr>
            <w:r>
              <w:rPr>
                <w:rFonts w:cs="Times New Roman"/>
              </w:rPr>
              <w:t>98,5</w:t>
            </w:r>
          </w:p>
        </w:tc>
        <w:tc>
          <w:tcPr>
            <w:tcW w:w="1224" w:type="dxa"/>
          </w:tcPr>
          <w:p w:rsidR="00505632" w:rsidRDefault="00505632" w:rsidP="00AD4E52">
            <w:pPr>
              <w:pStyle w:val="CellColumn"/>
              <w:jc w:val="right"/>
            </w:pPr>
            <w:r>
              <w:rPr>
                <w:rFonts w:cs="Times New Roman"/>
              </w:rPr>
              <w:t>98,8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Državnom sudbenom vijeću (NN 116/10, 57/11, 130/11, 28/13, 82/15), Zakon o državnom odvjetništvu (NN 76/09, 148/13, 33/15, 82/15).</w:t>
      </w:r>
    </w:p>
    <w:p w:rsidR="00505632" w:rsidRDefault="00505632" w:rsidP="00505632">
      <w:pPr>
        <w:pStyle w:val="Heading8"/>
        <w:jc w:val="left"/>
      </w:pPr>
      <w:r>
        <w:t>Opis aktivnosti</w:t>
      </w:r>
    </w:p>
    <w:p w:rsidR="00505632" w:rsidRDefault="00505632" w:rsidP="00505632">
      <w:r>
        <w:t>Odobrenim planom proračunskih sredstava podmireni su redovni rashodi poslovanja nastali tijekom proračunske godine. Znatnijih odstupanja u izvršenju materijalnih izdataka po pojedinim stavkama rashoda nije bilo. Ostali rashodi za zaposlene su povećani u odnosu na 2015. godinu (50,7%) zbog isplata regresa i božićnih nagrada temeljem članaka 50. i 64. Kolektivnog ugovora za državne službenike i namještenike a sukladno odluci Vlade RH.</w:t>
      </w:r>
    </w:p>
    <w:p w:rsidR="00505632" w:rsidRDefault="00505632" w:rsidP="00505632">
      <w:pPr>
        <w:pStyle w:val="Heading2"/>
      </w:pPr>
      <w:r>
        <w:t>11040 Visoki prekršajni sud Republike Hrvatske</w:t>
      </w:r>
    </w:p>
    <w:p w:rsidR="00505632" w:rsidRDefault="00505632" w:rsidP="00505632">
      <w:r>
        <w:t>Visoki prekršajni sud Republike  Hrvatske je uspostavljen temeljem Zakona o sudovima i Zakona o prekršajima kao specijalizirani sud za područje Republike Hrvatske sa sjedištem u Zagrebu. Visoki prekršajni sud odlučuje o žalbama  protiv prvostupanjskih rješenja o prekršaju koja su donijeli sudovi upravna tijela, kao i o žalbama protiv drugih rješenja sudova i upravnih  tijela kada je to propisano Zakonom, osim ako posebnim zakonom nije određena nadležnost nekoga drugog suda; rješava sukob nadležnosti između sudova; odlučuje o zahtjevima za izuzećem predsjednika sudova; odlučuje o zahtjevima za izvanredno ublažavanje kazne i o zahtjevima za izvanredno preispitivanje pravomoćnih rješenja o prekršaju te obavlja druge poslove određene Zakonom.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11040-Visoki prekršajni sud Republike Hrvatske</w:t>
            </w:r>
          </w:p>
        </w:tc>
        <w:tc>
          <w:tcPr>
            <w:tcW w:w="2041" w:type="dxa"/>
            <w:vAlign w:val="top"/>
          </w:tcPr>
          <w:p w:rsidR="00505632" w:rsidRDefault="00505632" w:rsidP="00AD4E52">
            <w:pPr>
              <w:pStyle w:val="CellColumn"/>
              <w:jc w:val="right"/>
            </w:pPr>
            <w:r>
              <w:rPr>
                <w:rFonts w:cs="Times New Roman"/>
              </w:rPr>
              <w:t>21.382.675</w:t>
            </w:r>
          </w:p>
        </w:tc>
        <w:tc>
          <w:tcPr>
            <w:tcW w:w="2041" w:type="dxa"/>
            <w:vAlign w:val="top"/>
          </w:tcPr>
          <w:p w:rsidR="00505632" w:rsidRDefault="00505632" w:rsidP="00AD4E52">
            <w:pPr>
              <w:pStyle w:val="CellColumn"/>
              <w:jc w:val="right"/>
            </w:pPr>
            <w:r>
              <w:rPr>
                <w:rFonts w:cs="Times New Roman"/>
              </w:rPr>
              <w:t>20.498.422</w:t>
            </w:r>
          </w:p>
        </w:tc>
        <w:tc>
          <w:tcPr>
            <w:tcW w:w="2041" w:type="dxa"/>
            <w:vAlign w:val="top"/>
          </w:tcPr>
          <w:p w:rsidR="00505632" w:rsidRDefault="00505632" w:rsidP="00AD4E52">
            <w:pPr>
              <w:pStyle w:val="CellColumn"/>
              <w:jc w:val="right"/>
            </w:pPr>
            <w:r>
              <w:rPr>
                <w:rFonts w:cs="Times New Roman"/>
              </w:rPr>
              <w:t>20.487.357</w:t>
            </w:r>
          </w:p>
        </w:tc>
        <w:tc>
          <w:tcPr>
            <w:tcW w:w="1224" w:type="dxa"/>
            <w:vAlign w:val="top"/>
          </w:tcPr>
          <w:p w:rsidR="00505632" w:rsidRDefault="00505632" w:rsidP="00AD4E52">
            <w:pPr>
              <w:pStyle w:val="CellColumn"/>
              <w:jc w:val="right"/>
            </w:pPr>
            <w:r>
              <w:rPr>
                <w:rFonts w:cs="Times New Roman"/>
              </w:rPr>
              <w:t>99,9</w:t>
            </w:r>
          </w:p>
        </w:tc>
        <w:tc>
          <w:tcPr>
            <w:tcW w:w="1224" w:type="dxa"/>
            <w:vAlign w:val="top"/>
          </w:tcPr>
          <w:p w:rsidR="00505632" w:rsidRDefault="00505632" w:rsidP="00AD4E52">
            <w:pPr>
              <w:pStyle w:val="CellColumn"/>
              <w:jc w:val="right"/>
            </w:pPr>
            <w:r>
              <w:rPr>
                <w:rFonts w:cs="Times New Roman"/>
              </w:rPr>
              <w:t>95,8</w:t>
            </w:r>
          </w:p>
        </w:tc>
      </w:tr>
      <w:tr w:rsidR="00505632" w:rsidTr="00AD4E52">
        <w:trPr>
          <w:jc w:val="center"/>
        </w:trPr>
        <w:tc>
          <w:tcPr>
            <w:tcW w:w="1632" w:type="dxa"/>
          </w:tcPr>
          <w:p w:rsidR="00505632" w:rsidRDefault="00505632" w:rsidP="00AD4E52">
            <w:pPr>
              <w:jc w:val="left"/>
            </w:pPr>
            <w:r>
              <w:t>2803-VOĐENJE SUDSKIH POSTUPAKA</w:t>
            </w:r>
          </w:p>
        </w:tc>
        <w:tc>
          <w:tcPr>
            <w:tcW w:w="2041" w:type="dxa"/>
          </w:tcPr>
          <w:p w:rsidR="00505632" w:rsidRDefault="00505632" w:rsidP="00AD4E52">
            <w:pPr>
              <w:jc w:val="right"/>
            </w:pPr>
            <w:r>
              <w:t>21.382.675</w:t>
            </w:r>
          </w:p>
        </w:tc>
        <w:tc>
          <w:tcPr>
            <w:tcW w:w="2041" w:type="dxa"/>
          </w:tcPr>
          <w:p w:rsidR="00505632" w:rsidRDefault="00505632" w:rsidP="00AD4E52">
            <w:pPr>
              <w:jc w:val="right"/>
            </w:pPr>
            <w:r>
              <w:t>20.498.422</w:t>
            </w:r>
          </w:p>
        </w:tc>
        <w:tc>
          <w:tcPr>
            <w:tcW w:w="2041" w:type="dxa"/>
          </w:tcPr>
          <w:p w:rsidR="00505632" w:rsidRDefault="00505632" w:rsidP="00AD4E52">
            <w:pPr>
              <w:jc w:val="right"/>
            </w:pPr>
            <w:r>
              <w:t>20.487.357</w:t>
            </w:r>
          </w:p>
        </w:tc>
        <w:tc>
          <w:tcPr>
            <w:tcW w:w="1224" w:type="dxa"/>
          </w:tcPr>
          <w:p w:rsidR="00505632" w:rsidRDefault="00505632" w:rsidP="00AD4E52">
            <w:pPr>
              <w:jc w:val="right"/>
            </w:pPr>
            <w:r>
              <w:t>99,9</w:t>
            </w:r>
          </w:p>
        </w:tc>
        <w:tc>
          <w:tcPr>
            <w:tcW w:w="1224" w:type="dxa"/>
          </w:tcPr>
          <w:p w:rsidR="00505632" w:rsidRDefault="00505632" w:rsidP="00AD4E52">
            <w:pPr>
              <w:jc w:val="right"/>
            </w:pPr>
            <w:r>
              <w:t>95,8</w:t>
            </w:r>
          </w:p>
        </w:tc>
      </w:tr>
    </w:tbl>
    <w:p w:rsidR="00505632" w:rsidRDefault="00505632" w:rsidP="00505632">
      <w:pPr>
        <w:jc w:val="left"/>
      </w:pPr>
    </w:p>
    <w:p w:rsidR="00505632" w:rsidRDefault="00505632" w:rsidP="00505632">
      <w:pPr>
        <w:pStyle w:val="Heading4"/>
      </w:pPr>
      <w:r>
        <w:t>A637000 VOĐENJE SUDSKIH POSTUPAKA IZ NADLEŽNOSTI VISOKOG PREKRŠAJNOG SUDA RH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A637000-VOĐENJE SUDSKIH POSTUPAKA IZ NADLEŽNOSTI VISOKOG PREKRŠAJNOG SUDA RH</w:t>
            </w:r>
          </w:p>
        </w:tc>
        <w:tc>
          <w:tcPr>
            <w:tcW w:w="2041" w:type="dxa"/>
          </w:tcPr>
          <w:p w:rsidR="00505632" w:rsidRDefault="00505632" w:rsidP="00AD4E52">
            <w:pPr>
              <w:pStyle w:val="CellColumn"/>
              <w:jc w:val="right"/>
            </w:pPr>
            <w:r>
              <w:rPr>
                <w:rFonts w:cs="Times New Roman"/>
              </w:rPr>
              <w:t>21.382.675</w:t>
            </w:r>
          </w:p>
        </w:tc>
        <w:tc>
          <w:tcPr>
            <w:tcW w:w="2041" w:type="dxa"/>
          </w:tcPr>
          <w:p w:rsidR="00505632" w:rsidRDefault="00505632" w:rsidP="00AD4E52">
            <w:pPr>
              <w:pStyle w:val="CellColumn"/>
              <w:jc w:val="right"/>
            </w:pPr>
            <w:r>
              <w:rPr>
                <w:rFonts w:cs="Times New Roman"/>
              </w:rPr>
              <w:t>20.498.422</w:t>
            </w:r>
          </w:p>
        </w:tc>
        <w:tc>
          <w:tcPr>
            <w:tcW w:w="2041" w:type="dxa"/>
          </w:tcPr>
          <w:p w:rsidR="00505632" w:rsidRDefault="00505632" w:rsidP="00AD4E52">
            <w:pPr>
              <w:pStyle w:val="CellColumn"/>
              <w:jc w:val="right"/>
            </w:pPr>
            <w:r>
              <w:rPr>
                <w:rFonts w:cs="Times New Roman"/>
              </w:rPr>
              <w:t>20.487.357</w:t>
            </w:r>
          </w:p>
        </w:tc>
        <w:tc>
          <w:tcPr>
            <w:tcW w:w="1224" w:type="dxa"/>
          </w:tcPr>
          <w:p w:rsidR="00505632" w:rsidRDefault="00505632" w:rsidP="00AD4E52">
            <w:pPr>
              <w:pStyle w:val="CellColumn"/>
              <w:jc w:val="right"/>
            </w:pPr>
            <w:r>
              <w:rPr>
                <w:rFonts w:cs="Times New Roman"/>
              </w:rPr>
              <w:t>99,9</w:t>
            </w:r>
          </w:p>
        </w:tc>
        <w:tc>
          <w:tcPr>
            <w:tcW w:w="1224" w:type="dxa"/>
          </w:tcPr>
          <w:p w:rsidR="00505632" w:rsidRDefault="00505632" w:rsidP="00AD4E52">
            <w:pPr>
              <w:pStyle w:val="CellColumn"/>
              <w:jc w:val="right"/>
            </w:pPr>
            <w:r>
              <w:rPr>
                <w:rFonts w:cs="Times New Roman"/>
              </w:rPr>
              <w:t>95,8</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82/16).</w:t>
      </w:r>
    </w:p>
    <w:p w:rsidR="00505632" w:rsidRDefault="00505632" w:rsidP="00505632">
      <w:pPr>
        <w:pStyle w:val="Heading8"/>
        <w:jc w:val="left"/>
      </w:pPr>
      <w:r>
        <w:t>Opis aktivnosti</w:t>
      </w:r>
    </w:p>
    <w:p w:rsidR="00505632" w:rsidRDefault="00505632" w:rsidP="00505632">
      <w:r>
        <w:t>Odobrenim planom proračunskih sredstava  podmireni su redovni rashodi poslovanja nastali tijekom proračunske godine. Znatnijih odstupanja u izvršenju materijalnih izdataka po pojedinim stavkama rashoda nije bilo. Ostali rashodi za zaposlene su povećani u odnosu na 2015. godinu (51,7%) zbog isplata regresa i božićnih nagrada temeljem članaka 50. i 64. Kolektivnog ugovora za državne službenike i namještenike a sukladno odluci Vlade RH.</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zaostataka neriješenih predmeta</w:t>
            </w:r>
          </w:p>
        </w:tc>
        <w:tc>
          <w:tcPr>
            <w:tcW w:w="2551" w:type="dxa"/>
          </w:tcPr>
          <w:p w:rsidR="00505632" w:rsidRDefault="00505632" w:rsidP="00AD4E52">
            <w:pPr>
              <w:pStyle w:val="CellColumn"/>
              <w:jc w:val="left"/>
            </w:pPr>
            <w:r>
              <w:rPr>
                <w:rFonts w:cs="Times New Roman"/>
              </w:rPr>
              <w:t>očekivani broj neriješenih predmeta u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31330</w:t>
            </w:r>
          </w:p>
        </w:tc>
        <w:tc>
          <w:tcPr>
            <w:tcW w:w="1020" w:type="dxa"/>
          </w:tcPr>
          <w:p w:rsidR="00505632" w:rsidRDefault="00505632" w:rsidP="00AD4E52">
            <w:pPr>
              <w:pStyle w:val="CellColumn"/>
              <w:jc w:val="right"/>
            </w:pPr>
            <w:r>
              <w:rPr>
                <w:rFonts w:cs="Times New Roman"/>
              </w:rPr>
              <w:t>mp</w:t>
            </w:r>
          </w:p>
        </w:tc>
        <w:tc>
          <w:tcPr>
            <w:tcW w:w="1020" w:type="dxa"/>
          </w:tcPr>
          <w:p w:rsidR="00505632" w:rsidRDefault="00505632" w:rsidP="00AD4E52">
            <w:pPr>
              <w:pStyle w:val="CellColumn"/>
              <w:jc w:val="right"/>
            </w:pPr>
            <w:r>
              <w:rPr>
                <w:rFonts w:cs="Times New Roman"/>
              </w:rPr>
              <w:t>20200</w:t>
            </w:r>
          </w:p>
        </w:tc>
        <w:tc>
          <w:tcPr>
            <w:tcW w:w="1020" w:type="dxa"/>
          </w:tcPr>
          <w:p w:rsidR="00505632" w:rsidRDefault="00505632" w:rsidP="00AD4E52">
            <w:pPr>
              <w:pStyle w:val="CellColumn"/>
              <w:jc w:val="right"/>
            </w:pPr>
            <w:r>
              <w:rPr>
                <w:rFonts w:cs="Times New Roman"/>
              </w:rPr>
              <w:t>20673</w:t>
            </w:r>
          </w:p>
        </w:tc>
      </w:tr>
    </w:tbl>
    <w:p w:rsidR="00505632" w:rsidRDefault="00505632" w:rsidP="00505632">
      <w:pPr>
        <w:jc w:val="left"/>
      </w:pPr>
    </w:p>
    <w:p w:rsidR="00505632" w:rsidRDefault="00505632" w:rsidP="00505632">
      <w:pPr>
        <w:pStyle w:val="Heading2"/>
      </w:pPr>
      <w:r>
        <w:t>11045 Županijski sudovi</w:t>
      </w:r>
    </w:p>
    <w:p w:rsidR="00505632" w:rsidRDefault="00505632" w:rsidP="00505632">
      <w:r>
        <w:t>Glava 11045  – Županijski sudovi obuhvaća 15 Županijskih sudova čiji je djelokrug rada propisan Zakonom o sudovima, te drugim zakonima i programima, a ustrojavaju se kao redovni sudovi za područje jedne ili više županija. Županijski sudovi su nadležni za drugostupanjski sudski postupak nakon odluke Općinskog suda ali i za zaštitu od nezakonitih radnji i odluka donesenih od strane službenih osoba i tijela državne vlasti, odnosno nezakonitih radnji i odluke odgovornih osoba u trgovačkom društvu u prvom stupnju.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11045-Županijski sudovi</w:t>
            </w:r>
          </w:p>
        </w:tc>
        <w:tc>
          <w:tcPr>
            <w:tcW w:w="2041" w:type="dxa"/>
            <w:vAlign w:val="top"/>
          </w:tcPr>
          <w:p w:rsidR="00505632" w:rsidRDefault="00505632" w:rsidP="00AD4E52">
            <w:pPr>
              <w:pStyle w:val="CellColumn"/>
              <w:jc w:val="right"/>
            </w:pPr>
            <w:r>
              <w:rPr>
                <w:rFonts w:cs="Times New Roman"/>
              </w:rPr>
              <w:t>246.099.811</w:t>
            </w:r>
          </w:p>
        </w:tc>
        <w:tc>
          <w:tcPr>
            <w:tcW w:w="2041" w:type="dxa"/>
            <w:vAlign w:val="top"/>
          </w:tcPr>
          <w:p w:rsidR="00505632" w:rsidRDefault="00505632" w:rsidP="00AD4E52">
            <w:pPr>
              <w:pStyle w:val="CellColumn"/>
              <w:jc w:val="right"/>
            </w:pPr>
            <w:r>
              <w:rPr>
                <w:rFonts w:cs="Times New Roman"/>
              </w:rPr>
              <w:t>247.318.011</w:t>
            </w:r>
          </w:p>
        </w:tc>
        <w:tc>
          <w:tcPr>
            <w:tcW w:w="2041" w:type="dxa"/>
            <w:vAlign w:val="top"/>
          </w:tcPr>
          <w:p w:rsidR="00505632" w:rsidRDefault="00505632" w:rsidP="00AD4E52">
            <w:pPr>
              <w:pStyle w:val="CellColumn"/>
              <w:jc w:val="right"/>
            </w:pPr>
            <w:r>
              <w:rPr>
                <w:rFonts w:cs="Times New Roman"/>
              </w:rPr>
              <w:t>247.360.668</w:t>
            </w:r>
          </w:p>
        </w:tc>
        <w:tc>
          <w:tcPr>
            <w:tcW w:w="1224" w:type="dxa"/>
            <w:vAlign w:val="top"/>
          </w:tcPr>
          <w:p w:rsidR="00505632" w:rsidRDefault="00505632" w:rsidP="00AD4E52">
            <w:pPr>
              <w:pStyle w:val="CellColumn"/>
              <w:jc w:val="right"/>
            </w:pPr>
            <w:r>
              <w:rPr>
                <w:rFonts w:cs="Times New Roman"/>
              </w:rPr>
              <w:t>100,0</w:t>
            </w:r>
          </w:p>
        </w:tc>
        <w:tc>
          <w:tcPr>
            <w:tcW w:w="1224" w:type="dxa"/>
            <w:vAlign w:val="top"/>
          </w:tcPr>
          <w:p w:rsidR="00505632" w:rsidRDefault="00505632" w:rsidP="00AD4E52">
            <w:pPr>
              <w:pStyle w:val="CellColumn"/>
              <w:jc w:val="right"/>
            </w:pPr>
            <w:r>
              <w:rPr>
                <w:rFonts w:cs="Times New Roman"/>
              </w:rPr>
              <w:t>100,5</w:t>
            </w:r>
          </w:p>
        </w:tc>
      </w:tr>
      <w:tr w:rsidR="00505632" w:rsidTr="00AD4E52">
        <w:trPr>
          <w:jc w:val="center"/>
        </w:trPr>
        <w:tc>
          <w:tcPr>
            <w:tcW w:w="1632" w:type="dxa"/>
          </w:tcPr>
          <w:p w:rsidR="00505632" w:rsidRDefault="00505632" w:rsidP="00AD4E52">
            <w:pPr>
              <w:jc w:val="left"/>
            </w:pPr>
            <w:r>
              <w:t>2803-VOĐENJE SUDSKIH POSTUPAKA</w:t>
            </w:r>
          </w:p>
        </w:tc>
        <w:tc>
          <w:tcPr>
            <w:tcW w:w="2041" w:type="dxa"/>
          </w:tcPr>
          <w:p w:rsidR="00505632" w:rsidRDefault="00505632" w:rsidP="00AD4E52">
            <w:pPr>
              <w:jc w:val="right"/>
            </w:pPr>
            <w:r>
              <w:t>246.099.811</w:t>
            </w:r>
          </w:p>
        </w:tc>
        <w:tc>
          <w:tcPr>
            <w:tcW w:w="2041" w:type="dxa"/>
          </w:tcPr>
          <w:p w:rsidR="00505632" w:rsidRDefault="00505632" w:rsidP="00AD4E52">
            <w:pPr>
              <w:jc w:val="right"/>
            </w:pPr>
            <w:r>
              <w:t>247.318.011</w:t>
            </w:r>
          </w:p>
        </w:tc>
        <w:tc>
          <w:tcPr>
            <w:tcW w:w="2041" w:type="dxa"/>
          </w:tcPr>
          <w:p w:rsidR="00505632" w:rsidRDefault="00505632" w:rsidP="00AD4E52">
            <w:pPr>
              <w:jc w:val="right"/>
            </w:pPr>
            <w:r>
              <w:t>247.360.668</w:t>
            </w:r>
          </w:p>
        </w:tc>
        <w:tc>
          <w:tcPr>
            <w:tcW w:w="1224" w:type="dxa"/>
          </w:tcPr>
          <w:p w:rsidR="00505632" w:rsidRDefault="00505632" w:rsidP="00AD4E52">
            <w:pPr>
              <w:jc w:val="right"/>
            </w:pPr>
            <w:r>
              <w:t>100,0</w:t>
            </w:r>
          </w:p>
        </w:tc>
        <w:tc>
          <w:tcPr>
            <w:tcW w:w="1224" w:type="dxa"/>
          </w:tcPr>
          <w:p w:rsidR="00505632" w:rsidRDefault="00505632" w:rsidP="00AD4E52">
            <w:pPr>
              <w:jc w:val="right"/>
            </w:pPr>
            <w:r>
              <w:t>100,5</w:t>
            </w:r>
          </w:p>
        </w:tc>
      </w:tr>
    </w:tbl>
    <w:p w:rsidR="00505632" w:rsidRDefault="00505632" w:rsidP="00505632">
      <w:pPr>
        <w:jc w:val="left"/>
      </w:pPr>
    </w:p>
    <w:p w:rsidR="00505632" w:rsidRDefault="00505632" w:rsidP="00505632">
      <w:pPr>
        <w:pStyle w:val="Heading4"/>
      </w:pPr>
      <w:r>
        <w:t>A638000 VOĐENJE SUDSKIH POSTUPAKA IZ NADLEŽNOSTI ŽUPANIJSKIH SUDOVA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A638000-VOĐENJE SUDSKIH POSTUPAKA IZ NADLEŽNOSTI ŽUPANIJSKIH SUDOVA</w:t>
            </w:r>
          </w:p>
        </w:tc>
        <w:tc>
          <w:tcPr>
            <w:tcW w:w="2041" w:type="dxa"/>
          </w:tcPr>
          <w:p w:rsidR="00505632" w:rsidRDefault="00505632" w:rsidP="00AD4E52">
            <w:pPr>
              <w:pStyle w:val="CellColumn"/>
              <w:jc w:val="right"/>
            </w:pPr>
            <w:r>
              <w:rPr>
                <w:rFonts w:cs="Times New Roman"/>
              </w:rPr>
              <w:t>246.099.811</w:t>
            </w:r>
          </w:p>
        </w:tc>
        <w:tc>
          <w:tcPr>
            <w:tcW w:w="2041" w:type="dxa"/>
          </w:tcPr>
          <w:p w:rsidR="00505632" w:rsidRDefault="00505632" w:rsidP="00AD4E52">
            <w:pPr>
              <w:pStyle w:val="CellColumn"/>
              <w:jc w:val="right"/>
            </w:pPr>
            <w:r>
              <w:rPr>
                <w:rFonts w:cs="Times New Roman"/>
              </w:rPr>
              <w:t>247.318.011</w:t>
            </w:r>
          </w:p>
        </w:tc>
        <w:tc>
          <w:tcPr>
            <w:tcW w:w="2041" w:type="dxa"/>
          </w:tcPr>
          <w:p w:rsidR="00505632" w:rsidRDefault="00505632" w:rsidP="00AD4E52">
            <w:pPr>
              <w:pStyle w:val="CellColumn"/>
              <w:jc w:val="right"/>
            </w:pPr>
            <w:r>
              <w:rPr>
                <w:rFonts w:cs="Times New Roman"/>
              </w:rPr>
              <w:t>247.360.668</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100,5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sudovima  (NN  28/13,  33/15,  82/15,  82/16),  Zakon  o  područjima  i  sjedištima  sudova  (NN  59/01,  </w:t>
      </w:r>
    </w:p>
    <w:p w:rsidR="00505632" w:rsidRDefault="00505632" w:rsidP="00505632">
      <w:r>
        <w:t>121/05,85/08, 144/10, 84/11, 128/14).</w:t>
      </w:r>
    </w:p>
    <w:p w:rsidR="00505632" w:rsidRDefault="00505632" w:rsidP="00505632">
      <w:pPr>
        <w:pStyle w:val="Heading8"/>
        <w:jc w:val="left"/>
      </w:pPr>
      <w:r>
        <w:t>Opis aktivnosti</w:t>
      </w:r>
    </w:p>
    <w:p w:rsidR="00505632" w:rsidRDefault="00505632" w:rsidP="00505632">
      <w:r>
        <w:t xml:space="preserve">Odobrenim planom proračunskih sredstava  podmirene su prenesene obveze iz prethodne i redovni rashodi poslovanja nastali tijekom tekuće proračunske godine. Znatnijih odstupanja u izvršenju materijalnih izdataka po pojedinim stavkama rashoda nije bilo. Intelektualne usluge koje su dijelom osigurane iz Proračuna a dijelom od dodatnih sredstava ostvarenih od uplata kamata sukladno Uredbi o korištenju novčanih sredstava koja se vode na posebnom računu suda (NN 84/16) u cijelosti su utrošene za podmirenje obveza za odvjetnike po službenoj dužnosti i troškove vještaka u sudskim postupcima. </w:t>
      </w:r>
    </w:p>
    <w:p w:rsidR="00505632" w:rsidRDefault="00505632" w:rsidP="00505632">
      <w:r>
        <w:t>Ostali rashodi za zaposlene su povećani u odnosu na 2015. godinu (95,9%) zbog isplata regresa i božićnih nagrada temeljem članaka 50. i 64. Kolektivnog ugovora za državne službenike i namještenike a sukladno odluci Vlade RH.</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zaostataka neriješenih predmeta</w:t>
            </w:r>
          </w:p>
        </w:tc>
        <w:tc>
          <w:tcPr>
            <w:tcW w:w="2551" w:type="dxa"/>
          </w:tcPr>
          <w:p w:rsidR="00505632" w:rsidRDefault="00505632" w:rsidP="00AD4E52">
            <w:pPr>
              <w:pStyle w:val="CellColumn"/>
              <w:jc w:val="left"/>
            </w:pPr>
            <w:r>
              <w:rPr>
                <w:rFonts w:cs="Times New Roman"/>
              </w:rPr>
              <w:t>očekivani broj neriješenih predmeta u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60136</w:t>
            </w:r>
          </w:p>
        </w:tc>
        <w:tc>
          <w:tcPr>
            <w:tcW w:w="1020" w:type="dxa"/>
          </w:tcPr>
          <w:p w:rsidR="00505632" w:rsidRDefault="00505632" w:rsidP="00AD4E52">
            <w:pPr>
              <w:pStyle w:val="CellColumn"/>
              <w:jc w:val="right"/>
            </w:pPr>
            <w:r>
              <w:rPr>
                <w:rFonts w:cs="Times New Roman"/>
              </w:rPr>
              <w:t>mp</w:t>
            </w:r>
          </w:p>
        </w:tc>
        <w:tc>
          <w:tcPr>
            <w:tcW w:w="1020" w:type="dxa"/>
          </w:tcPr>
          <w:p w:rsidR="00505632" w:rsidRDefault="00505632" w:rsidP="00AD4E52">
            <w:pPr>
              <w:pStyle w:val="CellColumn"/>
              <w:jc w:val="right"/>
            </w:pPr>
            <w:r>
              <w:rPr>
                <w:rFonts w:cs="Times New Roman"/>
              </w:rPr>
              <w:t>55150</w:t>
            </w:r>
          </w:p>
        </w:tc>
        <w:tc>
          <w:tcPr>
            <w:tcW w:w="1020" w:type="dxa"/>
          </w:tcPr>
          <w:p w:rsidR="00505632" w:rsidRDefault="00505632" w:rsidP="00AD4E52">
            <w:pPr>
              <w:pStyle w:val="CellColumn"/>
              <w:jc w:val="right"/>
            </w:pPr>
            <w:r>
              <w:rPr>
                <w:rFonts w:cs="Times New Roman"/>
              </w:rPr>
              <w:t>55285</w:t>
            </w:r>
          </w:p>
        </w:tc>
      </w:tr>
    </w:tbl>
    <w:p w:rsidR="00505632" w:rsidRDefault="00505632" w:rsidP="00505632">
      <w:pPr>
        <w:jc w:val="left"/>
      </w:pPr>
    </w:p>
    <w:p w:rsidR="00505632" w:rsidRDefault="00505632" w:rsidP="00505632">
      <w:pPr>
        <w:pStyle w:val="Heading2"/>
      </w:pPr>
      <w:r>
        <w:t>11050 Trgovački sudovi</w:t>
      </w:r>
    </w:p>
    <w:p w:rsidR="00505632" w:rsidRDefault="00505632" w:rsidP="00505632">
      <w:r>
        <w:t>Glava 11050 – Trgovački sudovi 2016. godine obuhvaća 8 trgovačkih sudova.Trgovački sudovi u izvanparničnom postupku obavljaju sljedeće poslove: postupaju u registarskim stvarima i vode sudske registre; odlučuju o prijedlozima u svezi s osnivanjem, rada i prestanka trgovačkog društva; određuju i provode ovrhu odluka koje su donijeli, kao i sporove koji nastanu u tijeku i povodom ovrha tih odluka, a provođenje ovrhe na nenovčanim sredstvima ovršenika mogu povjeriti općinskom sudu; provode postupak priznanje i ovrhe inozemnih sudskih odluka kao i arbitražnih  odluka u trgovačkim sporovima te odlučuju o prijedlozima za otvaranje stečajnog postupka i provode stečajne postupke.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11050-Trgovački sudovi</w:t>
            </w:r>
          </w:p>
        </w:tc>
        <w:tc>
          <w:tcPr>
            <w:tcW w:w="2041" w:type="dxa"/>
            <w:vAlign w:val="top"/>
          </w:tcPr>
          <w:p w:rsidR="00505632" w:rsidRDefault="00505632" w:rsidP="00AD4E52">
            <w:pPr>
              <w:pStyle w:val="CellColumn"/>
              <w:jc w:val="right"/>
            </w:pPr>
            <w:r>
              <w:rPr>
                <w:rFonts w:cs="Times New Roman"/>
              </w:rPr>
              <w:t>79.310.659</w:t>
            </w:r>
          </w:p>
        </w:tc>
        <w:tc>
          <w:tcPr>
            <w:tcW w:w="2041" w:type="dxa"/>
            <w:vAlign w:val="top"/>
          </w:tcPr>
          <w:p w:rsidR="00505632" w:rsidRDefault="00505632" w:rsidP="00AD4E52">
            <w:pPr>
              <w:pStyle w:val="CellColumn"/>
              <w:jc w:val="right"/>
            </w:pPr>
            <w:r>
              <w:rPr>
                <w:rFonts w:cs="Times New Roman"/>
              </w:rPr>
              <w:t>81.054.716</w:t>
            </w:r>
          </w:p>
        </w:tc>
        <w:tc>
          <w:tcPr>
            <w:tcW w:w="2041" w:type="dxa"/>
            <w:vAlign w:val="top"/>
          </w:tcPr>
          <w:p w:rsidR="00505632" w:rsidRDefault="00505632" w:rsidP="00AD4E52">
            <w:pPr>
              <w:pStyle w:val="CellColumn"/>
              <w:jc w:val="right"/>
            </w:pPr>
            <w:r>
              <w:rPr>
                <w:rFonts w:cs="Times New Roman"/>
              </w:rPr>
              <w:t>81.051.768</w:t>
            </w:r>
          </w:p>
        </w:tc>
        <w:tc>
          <w:tcPr>
            <w:tcW w:w="1224" w:type="dxa"/>
            <w:vAlign w:val="top"/>
          </w:tcPr>
          <w:p w:rsidR="00505632" w:rsidRDefault="00505632" w:rsidP="00AD4E52">
            <w:pPr>
              <w:pStyle w:val="CellColumn"/>
              <w:jc w:val="right"/>
            </w:pPr>
            <w:r>
              <w:rPr>
                <w:rFonts w:cs="Times New Roman"/>
              </w:rPr>
              <w:t>100,0</w:t>
            </w:r>
          </w:p>
        </w:tc>
        <w:tc>
          <w:tcPr>
            <w:tcW w:w="1224" w:type="dxa"/>
            <w:vAlign w:val="top"/>
          </w:tcPr>
          <w:p w:rsidR="00505632" w:rsidRDefault="00505632" w:rsidP="00AD4E52">
            <w:pPr>
              <w:pStyle w:val="CellColumn"/>
              <w:jc w:val="right"/>
            </w:pPr>
            <w:r>
              <w:rPr>
                <w:rFonts w:cs="Times New Roman"/>
              </w:rPr>
              <w:t>102,2</w:t>
            </w:r>
          </w:p>
        </w:tc>
      </w:tr>
      <w:tr w:rsidR="00505632" w:rsidTr="00AD4E52">
        <w:trPr>
          <w:jc w:val="center"/>
        </w:trPr>
        <w:tc>
          <w:tcPr>
            <w:tcW w:w="1632" w:type="dxa"/>
          </w:tcPr>
          <w:p w:rsidR="00505632" w:rsidRDefault="00505632" w:rsidP="00AD4E52">
            <w:pPr>
              <w:jc w:val="left"/>
            </w:pPr>
            <w:r>
              <w:t>2803-VOĐENJE SUDSKIH POSTUPAKA</w:t>
            </w:r>
          </w:p>
        </w:tc>
        <w:tc>
          <w:tcPr>
            <w:tcW w:w="2041" w:type="dxa"/>
          </w:tcPr>
          <w:p w:rsidR="00505632" w:rsidRDefault="00505632" w:rsidP="00AD4E52">
            <w:pPr>
              <w:jc w:val="right"/>
            </w:pPr>
            <w:r>
              <w:t>79.310.659</w:t>
            </w:r>
          </w:p>
        </w:tc>
        <w:tc>
          <w:tcPr>
            <w:tcW w:w="2041" w:type="dxa"/>
          </w:tcPr>
          <w:p w:rsidR="00505632" w:rsidRDefault="00505632" w:rsidP="00AD4E52">
            <w:pPr>
              <w:jc w:val="right"/>
            </w:pPr>
            <w:r>
              <w:t>81.054.716</w:t>
            </w:r>
          </w:p>
        </w:tc>
        <w:tc>
          <w:tcPr>
            <w:tcW w:w="2041" w:type="dxa"/>
          </w:tcPr>
          <w:p w:rsidR="00505632" w:rsidRDefault="00505632" w:rsidP="00AD4E52">
            <w:pPr>
              <w:jc w:val="right"/>
            </w:pPr>
            <w:r>
              <w:t>81.051.768</w:t>
            </w:r>
          </w:p>
        </w:tc>
        <w:tc>
          <w:tcPr>
            <w:tcW w:w="1224" w:type="dxa"/>
          </w:tcPr>
          <w:p w:rsidR="00505632" w:rsidRDefault="00505632" w:rsidP="00AD4E52">
            <w:pPr>
              <w:jc w:val="right"/>
            </w:pPr>
            <w:r>
              <w:t>100,0</w:t>
            </w:r>
          </w:p>
        </w:tc>
        <w:tc>
          <w:tcPr>
            <w:tcW w:w="1224" w:type="dxa"/>
          </w:tcPr>
          <w:p w:rsidR="00505632" w:rsidRDefault="00505632" w:rsidP="00AD4E52">
            <w:pPr>
              <w:jc w:val="right"/>
            </w:pPr>
            <w:r>
              <w:t>102,2</w:t>
            </w:r>
          </w:p>
        </w:tc>
      </w:tr>
    </w:tbl>
    <w:p w:rsidR="00505632" w:rsidRDefault="00505632" w:rsidP="00505632">
      <w:pPr>
        <w:jc w:val="left"/>
      </w:pPr>
    </w:p>
    <w:p w:rsidR="00505632" w:rsidRDefault="00505632" w:rsidP="00505632">
      <w:pPr>
        <w:pStyle w:val="Heading4"/>
      </w:pPr>
      <w:r>
        <w:t>A639000 VOĐENJE SUDSKIH POSTUPAKA IZ NADLEŽNOSTI TRGOVAČKIH SUDOVA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A639000-VOĐENJE SUDSKIH POSTUPAKA IZ NADLEŽNOSTI TRGOVAČKIH SUDOVA</w:t>
            </w:r>
          </w:p>
        </w:tc>
        <w:tc>
          <w:tcPr>
            <w:tcW w:w="2041" w:type="dxa"/>
          </w:tcPr>
          <w:p w:rsidR="00505632" w:rsidRDefault="00505632" w:rsidP="00AD4E52">
            <w:pPr>
              <w:pStyle w:val="CellColumn"/>
              <w:jc w:val="right"/>
            </w:pPr>
            <w:r>
              <w:rPr>
                <w:rFonts w:cs="Times New Roman"/>
              </w:rPr>
              <w:t>79.310.659</w:t>
            </w:r>
          </w:p>
        </w:tc>
        <w:tc>
          <w:tcPr>
            <w:tcW w:w="2041" w:type="dxa"/>
          </w:tcPr>
          <w:p w:rsidR="00505632" w:rsidRDefault="00505632" w:rsidP="00AD4E52">
            <w:pPr>
              <w:pStyle w:val="CellColumn"/>
              <w:jc w:val="right"/>
            </w:pPr>
            <w:r>
              <w:rPr>
                <w:rFonts w:cs="Times New Roman"/>
              </w:rPr>
              <w:t>81.054.716</w:t>
            </w:r>
          </w:p>
        </w:tc>
        <w:tc>
          <w:tcPr>
            <w:tcW w:w="2041" w:type="dxa"/>
          </w:tcPr>
          <w:p w:rsidR="00505632" w:rsidRDefault="00505632" w:rsidP="00AD4E52">
            <w:pPr>
              <w:pStyle w:val="CellColumn"/>
              <w:jc w:val="right"/>
            </w:pPr>
            <w:r>
              <w:rPr>
                <w:rFonts w:cs="Times New Roman"/>
              </w:rPr>
              <w:t>81.051.768</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102,2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82/16), Zakon o područjima i  sjedištima sudova (NN 59/01, 21/05,85/08, 144/10, 84/11, 128/14).</w:t>
      </w:r>
    </w:p>
    <w:p w:rsidR="00505632" w:rsidRDefault="00505632" w:rsidP="00505632">
      <w:pPr>
        <w:pStyle w:val="Heading8"/>
        <w:jc w:val="left"/>
      </w:pPr>
      <w:r>
        <w:t>Opis aktivnosti</w:t>
      </w:r>
    </w:p>
    <w:p w:rsidR="00505632" w:rsidRDefault="00505632" w:rsidP="00505632">
      <w:r>
        <w:t>Odobrenim planom proračunskih sredstava  podmireni su redovni rashodi poslovanja nastali tijekom proračunske godine. Znatnijih odstupanja u izvršenju materijalnih izdataka po pojedinim stavkama rashoda nije bilo. Ostali rashodi za zaposlene su povećani u odnosu na 2015. godinu (30,9%) zbog isplata regresa i božićnih nagrada temeljem članaka 50. i 64. Kolektivnog ugovora za državne službenike i namještenike a sukladno odluci Vlade RH.</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zaostataka neriješenih predmeta</w:t>
            </w:r>
          </w:p>
        </w:tc>
        <w:tc>
          <w:tcPr>
            <w:tcW w:w="2551" w:type="dxa"/>
          </w:tcPr>
          <w:p w:rsidR="00505632" w:rsidRDefault="00505632" w:rsidP="00AD4E52">
            <w:pPr>
              <w:pStyle w:val="CellColumn"/>
              <w:jc w:val="left"/>
            </w:pPr>
            <w:r>
              <w:rPr>
                <w:rFonts w:cs="Times New Roman"/>
              </w:rPr>
              <w:t>očekivani broj neriješenih predmeta u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44236</w:t>
            </w:r>
          </w:p>
        </w:tc>
        <w:tc>
          <w:tcPr>
            <w:tcW w:w="1020" w:type="dxa"/>
          </w:tcPr>
          <w:p w:rsidR="00505632" w:rsidRDefault="00505632" w:rsidP="00AD4E52">
            <w:pPr>
              <w:pStyle w:val="CellColumn"/>
              <w:jc w:val="right"/>
            </w:pPr>
            <w:r>
              <w:rPr>
                <w:rFonts w:cs="Times New Roman"/>
              </w:rPr>
              <w:t>mo</w:t>
            </w:r>
          </w:p>
        </w:tc>
        <w:tc>
          <w:tcPr>
            <w:tcW w:w="1020" w:type="dxa"/>
          </w:tcPr>
          <w:p w:rsidR="00505632" w:rsidRDefault="00505632" w:rsidP="00AD4E52">
            <w:pPr>
              <w:pStyle w:val="CellColumn"/>
              <w:jc w:val="right"/>
            </w:pPr>
            <w:r>
              <w:rPr>
                <w:rFonts w:cs="Times New Roman"/>
              </w:rPr>
              <w:t>38500</w:t>
            </w:r>
          </w:p>
        </w:tc>
        <w:tc>
          <w:tcPr>
            <w:tcW w:w="1020" w:type="dxa"/>
          </w:tcPr>
          <w:p w:rsidR="00505632" w:rsidRDefault="00505632" w:rsidP="00AD4E52">
            <w:pPr>
              <w:pStyle w:val="CellColumn"/>
              <w:jc w:val="right"/>
            </w:pPr>
            <w:r>
              <w:rPr>
                <w:rFonts w:cs="Times New Roman"/>
              </w:rPr>
              <w:t>38694</w:t>
            </w:r>
          </w:p>
        </w:tc>
      </w:tr>
    </w:tbl>
    <w:p w:rsidR="00505632" w:rsidRDefault="00505632" w:rsidP="00505632">
      <w:pPr>
        <w:jc w:val="left"/>
      </w:pPr>
    </w:p>
    <w:p w:rsidR="00505632" w:rsidRDefault="00505632" w:rsidP="00505632">
      <w:pPr>
        <w:pStyle w:val="Heading2"/>
      </w:pPr>
      <w:r>
        <w:t>11055 Županijska državna odvjetništva</w:t>
      </w:r>
    </w:p>
    <w:p w:rsidR="00505632" w:rsidRDefault="00505632" w:rsidP="00505632">
      <w:r>
        <w:t>Glava 11055  – Županijska državna odvjetništva obuhvaća 15 županijskih državnih odvjetništava koja su samostalna i neovisna pravosudna tijela ovlaštena i dužna postupati  protiv počinitelja kaznenih djela i drugih kažnjivih djela, poduzimati pravne radnje radi zaštite imovine Republike Hrvatske te podnositi pravna sredstva za zaštitu Ustava i Zakona.</w:t>
      </w:r>
    </w:p>
    <w:tbl>
      <w:tblPr>
        <w:tblStyle w:val="StilTablice"/>
        <w:tblW w:w="10206" w:type="dxa"/>
        <w:jc w:val="center"/>
        <w:tblLook w:val="04A0" w:firstRow="1" w:lastRow="0" w:firstColumn="1" w:lastColumn="0" w:noHBand="0" w:noVBand="1"/>
      </w:tblPr>
      <w:tblGrid>
        <w:gridCol w:w="1748"/>
        <w:gridCol w:w="2007"/>
        <w:gridCol w:w="2008"/>
        <w:gridCol w:w="2008"/>
        <w:gridCol w:w="1216"/>
        <w:gridCol w:w="1219"/>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11055-Županijska državna odvjetništva</w:t>
            </w:r>
          </w:p>
        </w:tc>
        <w:tc>
          <w:tcPr>
            <w:tcW w:w="2041" w:type="dxa"/>
            <w:vAlign w:val="top"/>
          </w:tcPr>
          <w:p w:rsidR="00505632" w:rsidRDefault="00505632" w:rsidP="00AD4E52">
            <w:pPr>
              <w:pStyle w:val="CellColumn"/>
              <w:jc w:val="right"/>
            </w:pPr>
            <w:r>
              <w:rPr>
                <w:rFonts w:cs="Times New Roman"/>
              </w:rPr>
              <w:t>81.496.286</w:t>
            </w:r>
          </w:p>
        </w:tc>
        <w:tc>
          <w:tcPr>
            <w:tcW w:w="2041" w:type="dxa"/>
            <w:vAlign w:val="top"/>
          </w:tcPr>
          <w:p w:rsidR="00505632" w:rsidRDefault="00505632" w:rsidP="00AD4E52">
            <w:pPr>
              <w:pStyle w:val="CellColumn"/>
              <w:jc w:val="right"/>
            </w:pPr>
            <w:r>
              <w:rPr>
                <w:rFonts w:cs="Times New Roman"/>
              </w:rPr>
              <w:t>90.397.267</w:t>
            </w:r>
          </w:p>
        </w:tc>
        <w:tc>
          <w:tcPr>
            <w:tcW w:w="2041" w:type="dxa"/>
            <w:vAlign w:val="top"/>
          </w:tcPr>
          <w:p w:rsidR="00505632" w:rsidRDefault="00505632" w:rsidP="00AD4E52">
            <w:pPr>
              <w:pStyle w:val="CellColumn"/>
              <w:jc w:val="right"/>
            </w:pPr>
            <w:r>
              <w:rPr>
                <w:rFonts w:cs="Times New Roman"/>
              </w:rPr>
              <w:t>90.254.294</w:t>
            </w:r>
          </w:p>
        </w:tc>
        <w:tc>
          <w:tcPr>
            <w:tcW w:w="1224" w:type="dxa"/>
            <w:vAlign w:val="top"/>
          </w:tcPr>
          <w:p w:rsidR="00505632" w:rsidRDefault="00505632" w:rsidP="00AD4E52">
            <w:pPr>
              <w:pStyle w:val="CellColumn"/>
              <w:jc w:val="right"/>
            </w:pPr>
            <w:r>
              <w:rPr>
                <w:rFonts w:cs="Times New Roman"/>
              </w:rPr>
              <w:t>99,8</w:t>
            </w:r>
          </w:p>
        </w:tc>
        <w:tc>
          <w:tcPr>
            <w:tcW w:w="1224" w:type="dxa"/>
            <w:vAlign w:val="top"/>
          </w:tcPr>
          <w:p w:rsidR="00505632" w:rsidRDefault="00505632" w:rsidP="00AD4E52">
            <w:pPr>
              <w:pStyle w:val="CellColumn"/>
              <w:jc w:val="right"/>
            </w:pPr>
            <w:r>
              <w:rPr>
                <w:rFonts w:cs="Times New Roman"/>
              </w:rPr>
              <w:t>110,7</w:t>
            </w:r>
          </w:p>
        </w:tc>
      </w:tr>
      <w:tr w:rsidR="00505632" w:rsidTr="00AD4E52">
        <w:trPr>
          <w:jc w:val="center"/>
        </w:trPr>
        <w:tc>
          <w:tcPr>
            <w:tcW w:w="1632" w:type="dxa"/>
          </w:tcPr>
          <w:p w:rsidR="00505632" w:rsidRDefault="00505632" w:rsidP="00AD4E52">
            <w:pPr>
              <w:jc w:val="left"/>
            </w:pPr>
            <w:r>
              <w:t>2812-DJELOVANJE DRŽAVNIH ODVJETNIŠTAVA</w:t>
            </w:r>
          </w:p>
        </w:tc>
        <w:tc>
          <w:tcPr>
            <w:tcW w:w="2041" w:type="dxa"/>
          </w:tcPr>
          <w:p w:rsidR="00505632" w:rsidRDefault="00505632" w:rsidP="00AD4E52">
            <w:pPr>
              <w:jc w:val="right"/>
            </w:pPr>
            <w:r>
              <w:t>81.496.286</w:t>
            </w:r>
          </w:p>
        </w:tc>
        <w:tc>
          <w:tcPr>
            <w:tcW w:w="2041" w:type="dxa"/>
          </w:tcPr>
          <w:p w:rsidR="00505632" w:rsidRDefault="00505632" w:rsidP="00AD4E52">
            <w:pPr>
              <w:jc w:val="right"/>
            </w:pPr>
            <w:r>
              <w:t>90.397.267</w:t>
            </w:r>
          </w:p>
        </w:tc>
        <w:tc>
          <w:tcPr>
            <w:tcW w:w="2041" w:type="dxa"/>
          </w:tcPr>
          <w:p w:rsidR="00505632" w:rsidRDefault="00505632" w:rsidP="00AD4E52">
            <w:pPr>
              <w:jc w:val="right"/>
            </w:pPr>
            <w:r>
              <w:t>90.254.294</w:t>
            </w:r>
          </w:p>
        </w:tc>
        <w:tc>
          <w:tcPr>
            <w:tcW w:w="1224" w:type="dxa"/>
          </w:tcPr>
          <w:p w:rsidR="00505632" w:rsidRDefault="00505632" w:rsidP="00AD4E52">
            <w:pPr>
              <w:jc w:val="right"/>
            </w:pPr>
            <w:r>
              <w:t>99,8</w:t>
            </w:r>
          </w:p>
        </w:tc>
        <w:tc>
          <w:tcPr>
            <w:tcW w:w="1224" w:type="dxa"/>
          </w:tcPr>
          <w:p w:rsidR="00505632" w:rsidRDefault="00505632" w:rsidP="00AD4E52">
            <w:pPr>
              <w:jc w:val="right"/>
            </w:pPr>
            <w:r>
              <w:t>110,7</w:t>
            </w:r>
          </w:p>
        </w:tc>
      </w:tr>
    </w:tbl>
    <w:p w:rsidR="00505632" w:rsidRDefault="00505632" w:rsidP="00505632">
      <w:pPr>
        <w:jc w:val="left"/>
      </w:pPr>
    </w:p>
    <w:p w:rsidR="00505632" w:rsidRDefault="00505632" w:rsidP="00505632">
      <w:pPr>
        <w:pStyle w:val="Heading4"/>
      </w:pPr>
      <w:r>
        <w:t>A640000 PROGON POČINITELJA KAZNENIH I KAŽNJIVIH DJELA I ZAŠTITA IMOVINE RH PRED ŽUPANIJSKIM SUDOVIMA I UPRAVNIM TIJELIMA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A640000-PROGON POČINITELJA KAZNENIH I KAŽNJIVIH DJELA I ZAŠTITA IMOVINE RH PRED ŽUPANIJSKIM SUDOVIMA I UPRAVNIM TIJELIMA</w:t>
            </w:r>
          </w:p>
        </w:tc>
        <w:tc>
          <w:tcPr>
            <w:tcW w:w="2041" w:type="dxa"/>
          </w:tcPr>
          <w:p w:rsidR="00505632" w:rsidRDefault="00505632" w:rsidP="00AD4E52">
            <w:pPr>
              <w:pStyle w:val="CellColumn"/>
              <w:jc w:val="right"/>
            </w:pPr>
            <w:r>
              <w:rPr>
                <w:rFonts w:cs="Times New Roman"/>
              </w:rPr>
              <w:t>81.496.286</w:t>
            </w:r>
          </w:p>
        </w:tc>
        <w:tc>
          <w:tcPr>
            <w:tcW w:w="2041" w:type="dxa"/>
          </w:tcPr>
          <w:p w:rsidR="00505632" w:rsidRDefault="00505632" w:rsidP="00AD4E52">
            <w:pPr>
              <w:pStyle w:val="CellColumn"/>
              <w:jc w:val="right"/>
            </w:pPr>
            <w:r>
              <w:rPr>
                <w:rFonts w:cs="Times New Roman"/>
              </w:rPr>
              <w:t>90.397.267</w:t>
            </w:r>
          </w:p>
        </w:tc>
        <w:tc>
          <w:tcPr>
            <w:tcW w:w="2041" w:type="dxa"/>
          </w:tcPr>
          <w:p w:rsidR="00505632" w:rsidRDefault="00505632" w:rsidP="00AD4E52">
            <w:pPr>
              <w:pStyle w:val="CellColumn"/>
              <w:jc w:val="right"/>
            </w:pPr>
            <w:r>
              <w:rPr>
                <w:rFonts w:cs="Times New Roman"/>
              </w:rPr>
              <w:t>90.254.294</w:t>
            </w:r>
          </w:p>
        </w:tc>
        <w:tc>
          <w:tcPr>
            <w:tcW w:w="1224" w:type="dxa"/>
          </w:tcPr>
          <w:p w:rsidR="00505632" w:rsidRDefault="00505632" w:rsidP="00AD4E52">
            <w:pPr>
              <w:pStyle w:val="CellColumn"/>
              <w:jc w:val="right"/>
            </w:pPr>
            <w:r>
              <w:rPr>
                <w:rFonts w:cs="Times New Roman"/>
              </w:rPr>
              <w:t>99,8</w:t>
            </w:r>
          </w:p>
        </w:tc>
        <w:tc>
          <w:tcPr>
            <w:tcW w:w="1224" w:type="dxa"/>
          </w:tcPr>
          <w:p w:rsidR="00505632" w:rsidRDefault="00505632" w:rsidP="00AD4E52">
            <w:pPr>
              <w:pStyle w:val="CellColumn"/>
              <w:jc w:val="right"/>
            </w:pPr>
            <w:r>
              <w:rPr>
                <w:rFonts w:cs="Times New Roman"/>
              </w:rPr>
              <w:t>110,7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državnom odvjetništvu (NN 76/09, 72/13, 148/13, 33/15, 82/15), Zakon o područjima i sjedištima državnih  </w:t>
      </w:r>
    </w:p>
    <w:p w:rsidR="00505632" w:rsidRDefault="00505632" w:rsidP="00505632">
      <w:r>
        <w:t>odvjetništava (NN 144/10, 84/11, 130/11, 128/14).</w:t>
      </w:r>
    </w:p>
    <w:p w:rsidR="00505632" w:rsidRDefault="00505632" w:rsidP="00505632">
      <w:pPr>
        <w:pStyle w:val="Heading8"/>
        <w:jc w:val="left"/>
      </w:pPr>
      <w:r>
        <w:t>Opis aktivnosti</w:t>
      </w:r>
    </w:p>
    <w:p w:rsidR="00505632" w:rsidRDefault="00505632" w:rsidP="00505632">
      <w:r>
        <w:t>Odobrenim planom proračunskih sredstava  podmireni su redovni rashodi poslovanja nastali tijekom proračunske godine. Znatnija odstupanja u izvršenju materijalnih izdataka su vidljiva na stavkama: Intelektualne usluge (povećanje od 10,1%) što je posljedica dopuna Zakona o kaznenom postupku kojim su odvjetništva nadležna za obavljanje izvida i istraga u kaznenim predmetima čiji se je broj zadnjih godina znatno povećao i Pristojbe i naknade koje su posljedica neispunjavanja kvota za zapošljavanje osoba s invaliditetom. Intelektualne usluge su dijelom osigurane iz Proračuna a dijelom od dodatnih sredstava ostvarenih od uplata kamata sukladno Uredbi o korištenju novčanih sredstava koja se vode na posebnom računu suda (NN 84/16) u cijelosti su utrošene za podmirenje obveza za troškove vještaka, prijevoda i sudskih tumača u postupcima koje vode državna odvjetništva. Ostali rashodi za zaposlene su povećani u odnosu na 2015. godinu (21,1%) zbog isplata regresa i božićnih nagrada temeljem članaka 50. i 64. Kolektivnog ugovora za državne službenike i namještenike a sukladno odluci Vlade RH.</w:t>
      </w:r>
    </w:p>
    <w:p w:rsidR="00505632" w:rsidRDefault="00505632" w:rsidP="00505632">
      <w:pPr>
        <w:pStyle w:val="Heading2"/>
      </w:pPr>
      <w:r>
        <w:t>11065 Općinski sudovi</w:t>
      </w:r>
    </w:p>
    <w:p w:rsidR="00505632" w:rsidRDefault="00505632" w:rsidP="00505632">
      <w:r>
        <w:t>Glava 11065 – Općinski sudovi 2016. godine obuhvaća 24 općinska suda. Općinski sudovi rješavaju: izvanparnične i ovršne predmete ako rješavanje tih stvari nije povjereno drugom sudu; ostavinske predmete, zemljišnoknjižne predmete i vode zemljišne knjige; o priznanju i ovrsi odluka stranih sudova te obavljaju poslove međunarodne pravne pomoći u postupcima iz svoje nadležnosti. Općinski sudovi rješavaju u svim predmetima Zakona o sudovima koji nisu stavljeni u djelokrug nekoga drugog suda ili javnog bilježnika. U kaznenim predmetima protiv vojnih osoba, vojnih službenika i vojnih namještenika u službi u oružanim snagama za kaznena djela u obavljanju službe, za kaznena djela iz nadležnosti općinskih sudova sude općinski sudovi s potpunom nadležnošću.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11065-Općinski sudovi</w:t>
            </w:r>
          </w:p>
        </w:tc>
        <w:tc>
          <w:tcPr>
            <w:tcW w:w="2041" w:type="dxa"/>
            <w:vAlign w:val="top"/>
          </w:tcPr>
          <w:p w:rsidR="00505632" w:rsidRDefault="00505632" w:rsidP="00AD4E52">
            <w:pPr>
              <w:pStyle w:val="CellColumn"/>
              <w:jc w:val="right"/>
            </w:pPr>
            <w:r>
              <w:rPr>
                <w:rFonts w:cs="Times New Roman"/>
              </w:rPr>
              <w:t>601.191.221</w:t>
            </w:r>
          </w:p>
        </w:tc>
        <w:tc>
          <w:tcPr>
            <w:tcW w:w="2041" w:type="dxa"/>
            <w:vAlign w:val="top"/>
          </w:tcPr>
          <w:p w:rsidR="00505632" w:rsidRDefault="00505632" w:rsidP="00AD4E52">
            <w:pPr>
              <w:pStyle w:val="CellColumn"/>
              <w:jc w:val="right"/>
            </w:pPr>
            <w:r>
              <w:rPr>
                <w:rFonts w:cs="Times New Roman"/>
              </w:rPr>
              <w:t>631.087.690</w:t>
            </w:r>
          </w:p>
        </w:tc>
        <w:tc>
          <w:tcPr>
            <w:tcW w:w="2041" w:type="dxa"/>
            <w:vAlign w:val="top"/>
          </w:tcPr>
          <w:p w:rsidR="00505632" w:rsidRDefault="00505632" w:rsidP="00AD4E52">
            <w:pPr>
              <w:pStyle w:val="CellColumn"/>
              <w:jc w:val="right"/>
            </w:pPr>
            <w:r>
              <w:rPr>
                <w:rFonts w:cs="Times New Roman"/>
              </w:rPr>
              <w:t>631.939.208</w:t>
            </w:r>
          </w:p>
        </w:tc>
        <w:tc>
          <w:tcPr>
            <w:tcW w:w="1224" w:type="dxa"/>
            <w:vAlign w:val="top"/>
          </w:tcPr>
          <w:p w:rsidR="00505632" w:rsidRDefault="00505632" w:rsidP="00AD4E52">
            <w:pPr>
              <w:pStyle w:val="CellColumn"/>
              <w:jc w:val="right"/>
            </w:pPr>
            <w:r>
              <w:rPr>
                <w:rFonts w:cs="Times New Roman"/>
              </w:rPr>
              <w:t>100,1</w:t>
            </w:r>
          </w:p>
        </w:tc>
        <w:tc>
          <w:tcPr>
            <w:tcW w:w="1224" w:type="dxa"/>
            <w:vAlign w:val="top"/>
          </w:tcPr>
          <w:p w:rsidR="00505632" w:rsidRDefault="00505632" w:rsidP="00AD4E52">
            <w:pPr>
              <w:pStyle w:val="CellColumn"/>
              <w:jc w:val="right"/>
            </w:pPr>
            <w:r>
              <w:rPr>
                <w:rFonts w:cs="Times New Roman"/>
              </w:rPr>
              <w:t>105,1</w:t>
            </w:r>
          </w:p>
        </w:tc>
      </w:tr>
      <w:tr w:rsidR="00505632" w:rsidTr="00AD4E52">
        <w:trPr>
          <w:jc w:val="center"/>
        </w:trPr>
        <w:tc>
          <w:tcPr>
            <w:tcW w:w="1632" w:type="dxa"/>
          </w:tcPr>
          <w:p w:rsidR="00505632" w:rsidRDefault="00505632" w:rsidP="00AD4E52">
            <w:pPr>
              <w:jc w:val="left"/>
            </w:pPr>
            <w:r>
              <w:t>2803-VOĐENJE SUDSKIH POSTUPAKA</w:t>
            </w:r>
          </w:p>
        </w:tc>
        <w:tc>
          <w:tcPr>
            <w:tcW w:w="2041" w:type="dxa"/>
          </w:tcPr>
          <w:p w:rsidR="00505632" w:rsidRDefault="00505632" w:rsidP="00AD4E52">
            <w:pPr>
              <w:jc w:val="right"/>
            </w:pPr>
            <w:r>
              <w:t>601.191.221</w:t>
            </w:r>
          </w:p>
        </w:tc>
        <w:tc>
          <w:tcPr>
            <w:tcW w:w="2041" w:type="dxa"/>
          </w:tcPr>
          <w:p w:rsidR="00505632" w:rsidRDefault="00505632" w:rsidP="00AD4E52">
            <w:pPr>
              <w:jc w:val="right"/>
            </w:pPr>
            <w:r>
              <w:t>631.087.690</w:t>
            </w:r>
          </w:p>
        </w:tc>
        <w:tc>
          <w:tcPr>
            <w:tcW w:w="2041" w:type="dxa"/>
          </w:tcPr>
          <w:p w:rsidR="00505632" w:rsidRDefault="00505632" w:rsidP="00AD4E52">
            <w:pPr>
              <w:jc w:val="right"/>
            </w:pPr>
            <w:r>
              <w:t>631.939.208</w:t>
            </w:r>
          </w:p>
        </w:tc>
        <w:tc>
          <w:tcPr>
            <w:tcW w:w="1224" w:type="dxa"/>
          </w:tcPr>
          <w:p w:rsidR="00505632" w:rsidRDefault="00505632" w:rsidP="00AD4E52">
            <w:pPr>
              <w:jc w:val="right"/>
            </w:pPr>
            <w:r>
              <w:t>100,1</w:t>
            </w:r>
          </w:p>
        </w:tc>
        <w:tc>
          <w:tcPr>
            <w:tcW w:w="1224" w:type="dxa"/>
          </w:tcPr>
          <w:p w:rsidR="00505632" w:rsidRDefault="00505632" w:rsidP="00AD4E52">
            <w:pPr>
              <w:jc w:val="right"/>
            </w:pPr>
            <w:r>
              <w:t>105,1</w:t>
            </w:r>
          </w:p>
        </w:tc>
      </w:tr>
    </w:tbl>
    <w:p w:rsidR="00505632" w:rsidRDefault="00505632" w:rsidP="00505632">
      <w:pPr>
        <w:jc w:val="left"/>
      </w:pPr>
    </w:p>
    <w:p w:rsidR="00505632" w:rsidRDefault="00505632" w:rsidP="00505632">
      <w:pPr>
        <w:pStyle w:val="Heading4"/>
      </w:pPr>
      <w:r>
        <w:t>A641000 VOĐENJE SUDSKIH POSTUPAKA IZ NADLEŽNOSTI OPĆINSKIH SUDOVA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A641000-VOĐENJE SUDSKIH POSTUPAKA IZ NADLEŽNOSTI OPĆINSKIH SUDOVA</w:t>
            </w:r>
          </w:p>
        </w:tc>
        <w:tc>
          <w:tcPr>
            <w:tcW w:w="2041" w:type="dxa"/>
          </w:tcPr>
          <w:p w:rsidR="00505632" w:rsidRDefault="00505632" w:rsidP="00AD4E52">
            <w:pPr>
              <w:pStyle w:val="CellColumn"/>
              <w:jc w:val="right"/>
            </w:pPr>
            <w:r>
              <w:rPr>
                <w:rFonts w:cs="Times New Roman"/>
              </w:rPr>
              <w:t>601.191.221</w:t>
            </w:r>
          </w:p>
        </w:tc>
        <w:tc>
          <w:tcPr>
            <w:tcW w:w="2041" w:type="dxa"/>
          </w:tcPr>
          <w:p w:rsidR="00505632" w:rsidRDefault="00505632" w:rsidP="00AD4E52">
            <w:pPr>
              <w:pStyle w:val="CellColumn"/>
              <w:jc w:val="right"/>
            </w:pPr>
            <w:r>
              <w:rPr>
                <w:rFonts w:cs="Times New Roman"/>
              </w:rPr>
              <w:t>631.087.690</w:t>
            </w:r>
          </w:p>
        </w:tc>
        <w:tc>
          <w:tcPr>
            <w:tcW w:w="2041" w:type="dxa"/>
          </w:tcPr>
          <w:p w:rsidR="00505632" w:rsidRDefault="00505632" w:rsidP="00AD4E52">
            <w:pPr>
              <w:pStyle w:val="CellColumn"/>
              <w:jc w:val="right"/>
            </w:pPr>
            <w:r>
              <w:rPr>
                <w:rFonts w:cs="Times New Roman"/>
              </w:rPr>
              <w:t>631.939.208</w:t>
            </w:r>
          </w:p>
        </w:tc>
        <w:tc>
          <w:tcPr>
            <w:tcW w:w="1224" w:type="dxa"/>
          </w:tcPr>
          <w:p w:rsidR="00505632" w:rsidRDefault="00505632" w:rsidP="00AD4E52">
            <w:pPr>
              <w:pStyle w:val="CellColumn"/>
              <w:jc w:val="right"/>
            </w:pPr>
            <w:r>
              <w:rPr>
                <w:rFonts w:cs="Times New Roman"/>
              </w:rPr>
              <w:t>100,1</w:t>
            </w:r>
          </w:p>
        </w:tc>
        <w:tc>
          <w:tcPr>
            <w:tcW w:w="1224" w:type="dxa"/>
          </w:tcPr>
          <w:p w:rsidR="00505632" w:rsidRDefault="00505632" w:rsidP="00AD4E52">
            <w:pPr>
              <w:pStyle w:val="CellColumn"/>
              <w:jc w:val="right"/>
            </w:pPr>
            <w:r>
              <w:rPr>
                <w:rFonts w:cs="Times New Roman"/>
              </w:rPr>
              <w:t>105,1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82/16), Zakon o područjima i sjedištima sudova (NN 59/01, 121/05,85/08, 144/10, 84/11, 128/14).</w:t>
      </w:r>
    </w:p>
    <w:p w:rsidR="00505632" w:rsidRDefault="00505632" w:rsidP="00505632">
      <w:pPr>
        <w:pStyle w:val="Heading8"/>
        <w:jc w:val="left"/>
      </w:pPr>
      <w:r>
        <w:t>Opis aktivnosti</w:t>
      </w:r>
    </w:p>
    <w:p w:rsidR="00505632" w:rsidRDefault="00505632" w:rsidP="00505632">
      <w:r>
        <w:t xml:space="preserve">Odobrenim planom proračunskih sredstava  podmirene su prenesene obveze iz prethodne i redovni rashodi poslovanja nastali tijekom tekuće proračunske godine. Znatnijih odstupanja u izvršenju materijalnih izdataka po pojedinim stavkama rashoda nije bilo. Intelektualne usluge koje su dijelom osigurane iz Proračuna a dijelom od dodatnih sredstava ostvarenih od uplata kamata sukladno Uredbi o korištenju novčanih sredstava koja se vode na posebnom računu suda (NN 84/16) u cijelosti su utrošene za podmirenje obveza za odvjetnike po službenoj dužnosti i troškove vještaka u sudskim postupcima. </w:t>
      </w:r>
    </w:p>
    <w:p w:rsidR="00505632" w:rsidRDefault="00505632" w:rsidP="00505632">
      <w:r>
        <w:t>Ostali rashodi za zaposlene su povećani u odnosu na 2015. godinu (95,9%) zbog isplata regresa i božićnih nagrada temeljem članaka 50. i 64. Kolektivnog ugovora za državne službenike i namještenike a sukladno odluci Vlade RH.</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zaostataka neriješenih predmeta</w:t>
            </w:r>
          </w:p>
        </w:tc>
        <w:tc>
          <w:tcPr>
            <w:tcW w:w="2551" w:type="dxa"/>
          </w:tcPr>
          <w:p w:rsidR="00505632" w:rsidRDefault="00505632" w:rsidP="00AD4E52">
            <w:pPr>
              <w:pStyle w:val="CellColumn"/>
              <w:jc w:val="left"/>
            </w:pPr>
            <w:r>
              <w:rPr>
                <w:rFonts w:cs="Times New Roman"/>
              </w:rPr>
              <w:t>broj neriješenih predmeta u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299629</w:t>
            </w:r>
          </w:p>
        </w:tc>
        <w:tc>
          <w:tcPr>
            <w:tcW w:w="1020" w:type="dxa"/>
          </w:tcPr>
          <w:p w:rsidR="00505632" w:rsidRDefault="00505632" w:rsidP="00AD4E52">
            <w:pPr>
              <w:pStyle w:val="CellColumn"/>
              <w:jc w:val="right"/>
            </w:pPr>
            <w:r>
              <w:rPr>
                <w:rFonts w:cs="Times New Roman"/>
              </w:rPr>
              <w:t>mp</w:t>
            </w:r>
          </w:p>
        </w:tc>
        <w:tc>
          <w:tcPr>
            <w:tcW w:w="1020" w:type="dxa"/>
          </w:tcPr>
          <w:p w:rsidR="00505632" w:rsidRDefault="00505632" w:rsidP="00AD4E52">
            <w:pPr>
              <w:pStyle w:val="CellColumn"/>
              <w:jc w:val="right"/>
            </w:pPr>
            <w:r>
              <w:rPr>
                <w:rFonts w:cs="Times New Roman"/>
              </w:rPr>
              <w:t>289450</w:t>
            </w:r>
          </w:p>
        </w:tc>
        <w:tc>
          <w:tcPr>
            <w:tcW w:w="1020" w:type="dxa"/>
          </w:tcPr>
          <w:p w:rsidR="00505632" w:rsidRDefault="00505632" w:rsidP="00AD4E52">
            <w:pPr>
              <w:pStyle w:val="CellColumn"/>
              <w:jc w:val="right"/>
            </w:pPr>
            <w:r>
              <w:rPr>
                <w:rFonts w:cs="Times New Roman"/>
              </w:rPr>
              <w:t>289357</w:t>
            </w:r>
          </w:p>
        </w:tc>
      </w:tr>
    </w:tbl>
    <w:p w:rsidR="00505632" w:rsidRDefault="00505632" w:rsidP="00505632">
      <w:pPr>
        <w:jc w:val="left"/>
      </w:pPr>
    </w:p>
    <w:p w:rsidR="00505632" w:rsidRDefault="00505632" w:rsidP="00505632">
      <w:pPr>
        <w:pStyle w:val="Heading2"/>
      </w:pPr>
      <w:r>
        <w:t>11070 Općinska državna odvjetništva</w:t>
      </w:r>
    </w:p>
    <w:p w:rsidR="00505632" w:rsidRDefault="00505632" w:rsidP="00505632">
      <w:r>
        <w:t>Glava 11070 – Općinska državna odvjetništva - obuhvaća  22 Općinska državna odvjetništva koja su osnovana temeljem Zakona o odvjetništvu. Općinska državna odvjetništva su samostalna i neovisna pravosudna tijela ovlaštena i dužna postupati protiv počinitelja kaznenih djela i drugih kažnjivih djela, poduzimati pravne radnje radi zaštite imovine Republike Hrvatske te podnositi pravna sredstva za zaštitu Ustava i Zakona.</w:t>
      </w:r>
    </w:p>
    <w:tbl>
      <w:tblPr>
        <w:tblStyle w:val="StilTablice"/>
        <w:tblW w:w="10206" w:type="dxa"/>
        <w:jc w:val="center"/>
        <w:tblLook w:val="04A0" w:firstRow="1" w:lastRow="0" w:firstColumn="1" w:lastColumn="0" w:noHBand="0" w:noVBand="1"/>
      </w:tblPr>
      <w:tblGrid>
        <w:gridCol w:w="1748"/>
        <w:gridCol w:w="2008"/>
        <w:gridCol w:w="2008"/>
        <w:gridCol w:w="2008"/>
        <w:gridCol w:w="1215"/>
        <w:gridCol w:w="1219"/>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11070-Općinska državna odvjetništva</w:t>
            </w:r>
          </w:p>
        </w:tc>
        <w:tc>
          <w:tcPr>
            <w:tcW w:w="2041" w:type="dxa"/>
            <w:vAlign w:val="top"/>
          </w:tcPr>
          <w:p w:rsidR="00505632" w:rsidRDefault="00505632" w:rsidP="00AD4E52">
            <w:pPr>
              <w:pStyle w:val="CellColumn"/>
              <w:jc w:val="right"/>
            </w:pPr>
            <w:r>
              <w:rPr>
                <w:rFonts w:cs="Times New Roman"/>
              </w:rPr>
              <w:t>154.533.586</w:t>
            </w:r>
          </w:p>
        </w:tc>
        <w:tc>
          <w:tcPr>
            <w:tcW w:w="2041" w:type="dxa"/>
            <w:vAlign w:val="top"/>
          </w:tcPr>
          <w:p w:rsidR="00505632" w:rsidRDefault="00505632" w:rsidP="00AD4E52">
            <w:pPr>
              <w:pStyle w:val="CellColumn"/>
              <w:jc w:val="right"/>
            </w:pPr>
            <w:r>
              <w:rPr>
                <w:rFonts w:cs="Times New Roman"/>
              </w:rPr>
              <w:t>173.892.221</w:t>
            </w:r>
          </w:p>
        </w:tc>
        <w:tc>
          <w:tcPr>
            <w:tcW w:w="2041" w:type="dxa"/>
            <w:vAlign w:val="top"/>
          </w:tcPr>
          <w:p w:rsidR="00505632" w:rsidRDefault="00505632" w:rsidP="00AD4E52">
            <w:pPr>
              <w:pStyle w:val="CellColumn"/>
              <w:jc w:val="right"/>
            </w:pPr>
            <w:r>
              <w:rPr>
                <w:rFonts w:cs="Times New Roman"/>
              </w:rPr>
              <w:t>173.842.200</w:t>
            </w:r>
          </w:p>
        </w:tc>
        <w:tc>
          <w:tcPr>
            <w:tcW w:w="1224" w:type="dxa"/>
            <w:vAlign w:val="top"/>
          </w:tcPr>
          <w:p w:rsidR="00505632" w:rsidRDefault="00505632" w:rsidP="00AD4E52">
            <w:pPr>
              <w:pStyle w:val="CellColumn"/>
              <w:jc w:val="right"/>
            </w:pPr>
            <w:r>
              <w:rPr>
                <w:rFonts w:cs="Times New Roman"/>
              </w:rPr>
              <w:t>100,0</w:t>
            </w:r>
          </w:p>
        </w:tc>
        <w:tc>
          <w:tcPr>
            <w:tcW w:w="1224" w:type="dxa"/>
            <w:vAlign w:val="top"/>
          </w:tcPr>
          <w:p w:rsidR="00505632" w:rsidRDefault="00505632" w:rsidP="00AD4E52">
            <w:pPr>
              <w:pStyle w:val="CellColumn"/>
              <w:jc w:val="right"/>
            </w:pPr>
            <w:r>
              <w:rPr>
                <w:rFonts w:cs="Times New Roman"/>
              </w:rPr>
              <w:t>112,5</w:t>
            </w:r>
          </w:p>
        </w:tc>
      </w:tr>
      <w:tr w:rsidR="00505632" w:rsidTr="00AD4E52">
        <w:trPr>
          <w:jc w:val="center"/>
        </w:trPr>
        <w:tc>
          <w:tcPr>
            <w:tcW w:w="1632" w:type="dxa"/>
          </w:tcPr>
          <w:p w:rsidR="00505632" w:rsidRDefault="00505632" w:rsidP="00AD4E52">
            <w:pPr>
              <w:jc w:val="left"/>
            </w:pPr>
            <w:r>
              <w:t>2812-DJELOVANJE DRŽAVNIH ODVJETNIŠTAVA</w:t>
            </w:r>
          </w:p>
        </w:tc>
        <w:tc>
          <w:tcPr>
            <w:tcW w:w="2041" w:type="dxa"/>
          </w:tcPr>
          <w:p w:rsidR="00505632" w:rsidRDefault="00505632" w:rsidP="00AD4E52">
            <w:pPr>
              <w:jc w:val="right"/>
            </w:pPr>
            <w:r>
              <w:t>154.533.586</w:t>
            </w:r>
          </w:p>
        </w:tc>
        <w:tc>
          <w:tcPr>
            <w:tcW w:w="2041" w:type="dxa"/>
          </w:tcPr>
          <w:p w:rsidR="00505632" w:rsidRDefault="00505632" w:rsidP="00AD4E52">
            <w:pPr>
              <w:jc w:val="right"/>
            </w:pPr>
            <w:r>
              <w:t>173.892.221</w:t>
            </w:r>
          </w:p>
        </w:tc>
        <w:tc>
          <w:tcPr>
            <w:tcW w:w="2041" w:type="dxa"/>
          </w:tcPr>
          <w:p w:rsidR="00505632" w:rsidRDefault="00505632" w:rsidP="00AD4E52">
            <w:pPr>
              <w:jc w:val="right"/>
            </w:pPr>
            <w:r>
              <w:t>173.842.200</w:t>
            </w:r>
          </w:p>
        </w:tc>
        <w:tc>
          <w:tcPr>
            <w:tcW w:w="1224" w:type="dxa"/>
          </w:tcPr>
          <w:p w:rsidR="00505632" w:rsidRDefault="00505632" w:rsidP="00AD4E52">
            <w:pPr>
              <w:jc w:val="right"/>
            </w:pPr>
            <w:r>
              <w:t>100,0</w:t>
            </w:r>
          </w:p>
        </w:tc>
        <w:tc>
          <w:tcPr>
            <w:tcW w:w="1224" w:type="dxa"/>
          </w:tcPr>
          <w:p w:rsidR="00505632" w:rsidRDefault="00505632" w:rsidP="00AD4E52">
            <w:pPr>
              <w:jc w:val="right"/>
            </w:pPr>
            <w:r>
              <w:t>112,5</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A642000 PROGON POČINITELJA KAZNENIH I KAŽNJIVIH DJELA I ZAŠTITA IMOVINE RH PRED NADLEŽNIM SUDOVIMA I TIJELIMA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A642000-PROGON POČINITELJA KAZNENIH I KAŽNJIVIH DJELA I ZAŠTITA IMOVINE RH PRED NADLEŽNIM SUDOVIMA I TIJELIMA</w:t>
            </w:r>
          </w:p>
        </w:tc>
        <w:tc>
          <w:tcPr>
            <w:tcW w:w="2041" w:type="dxa"/>
          </w:tcPr>
          <w:p w:rsidR="00505632" w:rsidRDefault="00505632" w:rsidP="00AD4E52">
            <w:pPr>
              <w:pStyle w:val="CellColumn"/>
              <w:jc w:val="right"/>
            </w:pPr>
            <w:r>
              <w:rPr>
                <w:rFonts w:cs="Times New Roman"/>
              </w:rPr>
              <w:t>154.533.586</w:t>
            </w:r>
          </w:p>
        </w:tc>
        <w:tc>
          <w:tcPr>
            <w:tcW w:w="2041" w:type="dxa"/>
          </w:tcPr>
          <w:p w:rsidR="00505632" w:rsidRDefault="00505632" w:rsidP="00AD4E52">
            <w:pPr>
              <w:pStyle w:val="CellColumn"/>
              <w:jc w:val="right"/>
            </w:pPr>
            <w:r>
              <w:rPr>
                <w:rFonts w:cs="Times New Roman"/>
              </w:rPr>
              <w:t>173.892.221</w:t>
            </w:r>
          </w:p>
        </w:tc>
        <w:tc>
          <w:tcPr>
            <w:tcW w:w="2041" w:type="dxa"/>
          </w:tcPr>
          <w:p w:rsidR="00505632" w:rsidRDefault="00505632" w:rsidP="00AD4E52">
            <w:pPr>
              <w:pStyle w:val="CellColumn"/>
              <w:jc w:val="right"/>
            </w:pPr>
            <w:r>
              <w:rPr>
                <w:rFonts w:cs="Times New Roman"/>
              </w:rPr>
              <w:t>173.842.200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112,5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državnom odvjetništvu (NN 76/09, 72/13, 148/13, 33/15, 82/15), Zakon o područjima i sjedištima državnih odvjetništava (NN 144/10, 84/11, 130/11, 128/14).</w:t>
      </w:r>
    </w:p>
    <w:p w:rsidR="00505632" w:rsidRDefault="00505632" w:rsidP="00505632">
      <w:pPr>
        <w:pStyle w:val="Heading8"/>
        <w:jc w:val="left"/>
      </w:pPr>
      <w:r>
        <w:t>Opis aktivnosti</w:t>
      </w:r>
    </w:p>
    <w:p w:rsidR="00505632" w:rsidRDefault="00505632" w:rsidP="00505632">
      <w:r>
        <w:t>Odobrenim planom proračunskih sredstava podmirene su prenesene obveze iz prethodne i redovni rashodi poslovanja nastali tijekom tekuće proračunske godine. Znatnija odstupanja u izvršenju materijalnih izdataka su vidljiva na stavkama: Intelektualne usluge (povećanje od 14,8%) što je posljedica dopuna Zakona o kaznenom postupku kojim su odvjetništva nadležna za obavljanje izvida i istraga u kaznenim predmetima čiji se je broj zadnjih godina znatno povećao i Pristojbe i naknade koje su posljedica neispunjavanja kvota za zapošljavanje osoba s invaliditetom. Intelektualne usluge su dijelom osigurane iz Proračuna a dijelom od dodatnih sredstava ostvarenih od uplata kamata sukladno Uredbi o korištenju novčanih sredstava koja se vode na posebnom računu suda (NN 84/16) u cijelosti su utrošene za podmirenje obveza za troškove vještaka, prijevoda i sudskih tumača u postupcima koje vode državna odvjetništva. Ostali rashodi za zaposlene su povećani u odnosu na 2015. godinu (27,5%) zbog isplata regresa i božićnih nagrada temeljem članaka 50. i 64. Kolektivnog ugovora za državne službenike i namještenike a sukladno odluci Vlade RH.</w:t>
      </w:r>
    </w:p>
    <w:p w:rsidR="00505632" w:rsidRDefault="00505632" w:rsidP="00505632">
      <w:pPr>
        <w:pStyle w:val="Heading2"/>
      </w:pPr>
      <w:r>
        <w:t>11075 Prekršajni sudovi</w:t>
      </w:r>
    </w:p>
    <w:p w:rsidR="00505632" w:rsidRDefault="00505632" w:rsidP="00505632">
      <w:r>
        <w:t>Glava 11075 – Prekršajni sudovi - obuhvaća 22 prekršajna suda. Prekršajni sudovi sude u prvom stupnju o prekršajima, osim ako za vođenje prekršajnog postupka zakonom nije propisana stvarna nadležnost drugog tijela. U drugom stupnju sudovi odlučuju o žalbama na odluke koje donose suci radi pripremanja i vođenja postupka, ako zakonom nije određena nadležnost Visokoga prekršajnog suda. Prekršajni sudovi obavljaju poslove međunarodno pravne pomoći u postupcima iz svoje nadležnosti, te druge poslove određene zakonom.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11075-Prekršajni sudovi</w:t>
            </w:r>
          </w:p>
        </w:tc>
        <w:tc>
          <w:tcPr>
            <w:tcW w:w="2041" w:type="dxa"/>
            <w:vAlign w:val="top"/>
          </w:tcPr>
          <w:p w:rsidR="00505632" w:rsidRDefault="00505632" w:rsidP="00AD4E52">
            <w:pPr>
              <w:pStyle w:val="CellColumn"/>
              <w:jc w:val="right"/>
            </w:pPr>
            <w:r>
              <w:rPr>
                <w:rFonts w:cs="Times New Roman"/>
              </w:rPr>
              <w:t>182.181.292</w:t>
            </w:r>
          </w:p>
        </w:tc>
        <w:tc>
          <w:tcPr>
            <w:tcW w:w="2041" w:type="dxa"/>
            <w:vAlign w:val="top"/>
          </w:tcPr>
          <w:p w:rsidR="00505632" w:rsidRDefault="00505632" w:rsidP="00AD4E52">
            <w:pPr>
              <w:pStyle w:val="CellColumn"/>
              <w:jc w:val="right"/>
            </w:pPr>
            <w:r>
              <w:rPr>
                <w:rFonts w:cs="Times New Roman"/>
              </w:rPr>
              <w:t>170.649.754</w:t>
            </w:r>
          </w:p>
        </w:tc>
        <w:tc>
          <w:tcPr>
            <w:tcW w:w="2041" w:type="dxa"/>
            <w:vAlign w:val="top"/>
          </w:tcPr>
          <w:p w:rsidR="00505632" w:rsidRDefault="00505632" w:rsidP="00AD4E52">
            <w:pPr>
              <w:pStyle w:val="CellColumn"/>
              <w:jc w:val="right"/>
            </w:pPr>
            <w:r>
              <w:rPr>
                <w:rFonts w:cs="Times New Roman"/>
              </w:rPr>
              <w:t>170.611.852</w:t>
            </w:r>
          </w:p>
        </w:tc>
        <w:tc>
          <w:tcPr>
            <w:tcW w:w="1224" w:type="dxa"/>
            <w:vAlign w:val="top"/>
          </w:tcPr>
          <w:p w:rsidR="00505632" w:rsidRDefault="00505632" w:rsidP="00AD4E52">
            <w:pPr>
              <w:pStyle w:val="CellColumn"/>
              <w:jc w:val="right"/>
            </w:pPr>
            <w:r>
              <w:rPr>
                <w:rFonts w:cs="Times New Roman"/>
              </w:rPr>
              <w:t>100,0</w:t>
            </w:r>
          </w:p>
        </w:tc>
        <w:tc>
          <w:tcPr>
            <w:tcW w:w="1224" w:type="dxa"/>
            <w:vAlign w:val="top"/>
          </w:tcPr>
          <w:p w:rsidR="00505632" w:rsidRDefault="00505632" w:rsidP="00AD4E52">
            <w:pPr>
              <w:pStyle w:val="CellColumn"/>
              <w:jc w:val="right"/>
            </w:pPr>
            <w:r>
              <w:rPr>
                <w:rFonts w:cs="Times New Roman"/>
              </w:rPr>
              <w:t>93,6</w:t>
            </w:r>
          </w:p>
        </w:tc>
      </w:tr>
      <w:tr w:rsidR="00505632" w:rsidTr="00AD4E52">
        <w:trPr>
          <w:jc w:val="center"/>
        </w:trPr>
        <w:tc>
          <w:tcPr>
            <w:tcW w:w="1632" w:type="dxa"/>
          </w:tcPr>
          <w:p w:rsidR="00505632" w:rsidRDefault="00505632" w:rsidP="00AD4E52">
            <w:pPr>
              <w:jc w:val="left"/>
            </w:pPr>
            <w:r>
              <w:t>2803-VOĐENJE SUDSKIH POSTUPAKA</w:t>
            </w:r>
          </w:p>
        </w:tc>
        <w:tc>
          <w:tcPr>
            <w:tcW w:w="2041" w:type="dxa"/>
          </w:tcPr>
          <w:p w:rsidR="00505632" w:rsidRDefault="00505632" w:rsidP="00AD4E52">
            <w:pPr>
              <w:jc w:val="right"/>
            </w:pPr>
            <w:r>
              <w:t>182.181.292</w:t>
            </w:r>
          </w:p>
        </w:tc>
        <w:tc>
          <w:tcPr>
            <w:tcW w:w="2041" w:type="dxa"/>
          </w:tcPr>
          <w:p w:rsidR="00505632" w:rsidRDefault="00505632" w:rsidP="00AD4E52">
            <w:pPr>
              <w:jc w:val="right"/>
            </w:pPr>
            <w:r>
              <w:t>170.649.754</w:t>
            </w:r>
          </w:p>
        </w:tc>
        <w:tc>
          <w:tcPr>
            <w:tcW w:w="2041" w:type="dxa"/>
          </w:tcPr>
          <w:p w:rsidR="00505632" w:rsidRDefault="00505632" w:rsidP="00AD4E52">
            <w:pPr>
              <w:jc w:val="right"/>
            </w:pPr>
            <w:r>
              <w:t>170.611.852</w:t>
            </w:r>
          </w:p>
        </w:tc>
        <w:tc>
          <w:tcPr>
            <w:tcW w:w="1224" w:type="dxa"/>
          </w:tcPr>
          <w:p w:rsidR="00505632" w:rsidRDefault="00505632" w:rsidP="00AD4E52">
            <w:pPr>
              <w:jc w:val="right"/>
            </w:pPr>
            <w:r>
              <w:t>100,0</w:t>
            </w:r>
          </w:p>
        </w:tc>
        <w:tc>
          <w:tcPr>
            <w:tcW w:w="1224" w:type="dxa"/>
          </w:tcPr>
          <w:p w:rsidR="00505632" w:rsidRDefault="00505632" w:rsidP="00AD4E52">
            <w:pPr>
              <w:jc w:val="right"/>
            </w:pPr>
            <w:r>
              <w:t>93,6</w:t>
            </w:r>
          </w:p>
        </w:tc>
      </w:tr>
    </w:tbl>
    <w:p w:rsidR="00505632" w:rsidRDefault="00505632" w:rsidP="00505632">
      <w:pPr>
        <w:jc w:val="left"/>
      </w:pPr>
    </w:p>
    <w:p w:rsidR="00505632" w:rsidRDefault="00505632" w:rsidP="00505632">
      <w:pPr>
        <w:pStyle w:val="Heading4"/>
      </w:pPr>
      <w:r>
        <w:t>A643000 VOĐENJE SUDSKIH POSTUPAKA IZ NADLEŽNOSTI PREKRŠAJNIH SUDOVA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A643000-VOĐENJE SUDSKIH POSTUPAKA IZ NADLEŽNOSTI PREKRŠAJNIH SUDOVA</w:t>
            </w:r>
          </w:p>
        </w:tc>
        <w:tc>
          <w:tcPr>
            <w:tcW w:w="2041" w:type="dxa"/>
          </w:tcPr>
          <w:p w:rsidR="00505632" w:rsidRDefault="00505632" w:rsidP="00AD4E52">
            <w:pPr>
              <w:pStyle w:val="CellColumn"/>
              <w:jc w:val="right"/>
            </w:pPr>
            <w:r>
              <w:rPr>
                <w:rFonts w:cs="Times New Roman"/>
              </w:rPr>
              <w:t>182.181.292</w:t>
            </w:r>
          </w:p>
        </w:tc>
        <w:tc>
          <w:tcPr>
            <w:tcW w:w="2041" w:type="dxa"/>
          </w:tcPr>
          <w:p w:rsidR="00505632" w:rsidRDefault="00505632" w:rsidP="00AD4E52">
            <w:pPr>
              <w:pStyle w:val="CellColumn"/>
              <w:jc w:val="right"/>
            </w:pPr>
            <w:r>
              <w:rPr>
                <w:rFonts w:cs="Times New Roman"/>
              </w:rPr>
              <w:t>170.649.754</w:t>
            </w:r>
          </w:p>
        </w:tc>
        <w:tc>
          <w:tcPr>
            <w:tcW w:w="2041" w:type="dxa"/>
          </w:tcPr>
          <w:p w:rsidR="00505632" w:rsidRDefault="00505632" w:rsidP="00AD4E52">
            <w:pPr>
              <w:pStyle w:val="CellColumn"/>
              <w:jc w:val="right"/>
            </w:pPr>
            <w:r>
              <w:rPr>
                <w:rFonts w:cs="Times New Roman"/>
              </w:rPr>
              <w:t>170.611.852</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93,6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sudovima (NN  28/13, 33/15, 82/15, 82/16), Zakon o područjima  i  sjedištima sudova (NN  59/01, 121/05, 85/08, 144/10, 84/11, 128/14).</w:t>
      </w:r>
    </w:p>
    <w:p w:rsidR="00505632" w:rsidRDefault="00505632" w:rsidP="00505632">
      <w:pPr>
        <w:pStyle w:val="Heading8"/>
        <w:jc w:val="left"/>
      </w:pPr>
      <w:r>
        <w:t>Opis aktivnosti</w:t>
      </w:r>
    </w:p>
    <w:p w:rsidR="00505632" w:rsidRDefault="00505632" w:rsidP="00505632">
      <w:r>
        <w:t>Odobrenim planom proračunskih sredstava  podmireni su redovni rashodi poslovanja nastali tijekom proračunske godine. Znatnijih odstupanja u izvršenju materijalnih izdataka po pojedinim stavkama rashoda nije bilo. Ostali rashodi za zaposlene su povećani u odnosu na 2015. godinu (74,2%) zbog isplata regresa i božićnih nagrada temeljem članaka 50. i 64. Kolektivnog ugovora za državne službenike i namještenike a sukladno odluci Vlade RH.</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 zaostataka neriješenih predmeta</w:t>
            </w:r>
          </w:p>
        </w:tc>
        <w:tc>
          <w:tcPr>
            <w:tcW w:w="2551" w:type="dxa"/>
          </w:tcPr>
          <w:p w:rsidR="00505632" w:rsidRDefault="00505632" w:rsidP="00AD4E52">
            <w:pPr>
              <w:pStyle w:val="CellColumn"/>
              <w:jc w:val="left"/>
            </w:pPr>
            <w:r>
              <w:rPr>
                <w:rFonts w:cs="Times New Roman"/>
              </w:rPr>
              <w:t>broj neriješenih predmeta u godini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69574</w:t>
            </w:r>
          </w:p>
        </w:tc>
        <w:tc>
          <w:tcPr>
            <w:tcW w:w="1020" w:type="dxa"/>
          </w:tcPr>
          <w:p w:rsidR="00505632" w:rsidRDefault="00505632" w:rsidP="00AD4E52">
            <w:pPr>
              <w:pStyle w:val="CellColumn"/>
              <w:jc w:val="right"/>
            </w:pPr>
            <w:r>
              <w:rPr>
                <w:rFonts w:cs="Times New Roman"/>
              </w:rPr>
              <w:t>mp</w:t>
            </w:r>
          </w:p>
        </w:tc>
        <w:tc>
          <w:tcPr>
            <w:tcW w:w="1020" w:type="dxa"/>
          </w:tcPr>
          <w:p w:rsidR="00505632" w:rsidRDefault="00505632" w:rsidP="00AD4E52">
            <w:pPr>
              <w:pStyle w:val="CellColumn"/>
              <w:jc w:val="right"/>
            </w:pPr>
            <w:r>
              <w:rPr>
                <w:rFonts w:cs="Times New Roman"/>
              </w:rPr>
              <w:t>56700</w:t>
            </w:r>
          </w:p>
        </w:tc>
        <w:tc>
          <w:tcPr>
            <w:tcW w:w="1020" w:type="dxa"/>
          </w:tcPr>
          <w:p w:rsidR="00505632" w:rsidRDefault="00505632" w:rsidP="00AD4E52">
            <w:pPr>
              <w:pStyle w:val="CellColumn"/>
              <w:jc w:val="right"/>
            </w:pPr>
            <w:r>
              <w:rPr>
                <w:rFonts w:cs="Times New Roman"/>
              </w:rPr>
              <w:t>56519</w:t>
            </w:r>
          </w:p>
        </w:tc>
      </w:tr>
    </w:tbl>
    <w:p w:rsidR="00505632" w:rsidRDefault="00505632" w:rsidP="00505632">
      <w:pPr>
        <w:jc w:val="left"/>
      </w:pPr>
    </w:p>
    <w:p w:rsidR="00505632" w:rsidRDefault="00505632" w:rsidP="00505632">
      <w:pPr>
        <w:pStyle w:val="Heading4"/>
      </w:pPr>
      <w:r>
        <w:t>A678000 SUZBIJANJE KORUPCIJE I ORGANIZIRANOG KRIMINALITETA</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A678000-SUZBIJANJE KORUPCIJE I ORGANIZIRANOG KRIMINALITETA</w:t>
            </w:r>
          </w:p>
        </w:tc>
        <w:tc>
          <w:tcPr>
            <w:tcW w:w="2041" w:type="dxa"/>
          </w:tcPr>
          <w:p w:rsidR="00505632" w:rsidRDefault="00505632" w:rsidP="00AD4E52">
            <w:pPr>
              <w:pStyle w:val="CellColumn"/>
              <w:jc w:val="right"/>
            </w:pPr>
            <w:r>
              <w:rPr>
                <w:rFonts w:cs="Times New Roman"/>
              </w:rPr>
              <w:t>20.465.466</w:t>
            </w:r>
          </w:p>
        </w:tc>
        <w:tc>
          <w:tcPr>
            <w:tcW w:w="2041" w:type="dxa"/>
          </w:tcPr>
          <w:p w:rsidR="00505632" w:rsidRDefault="00505632" w:rsidP="00AD4E52">
            <w:pPr>
              <w:pStyle w:val="CellColumn"/>
              <w:jc w:val="right"/>
            </w:pPr>
            <w:r>
              <w:rPr>
                <w:rFonts w:cs="Times New Roman"/>
              </w:rPr>
              <w:t>21.314.900</w:t>
            </w:r>
          </w:p>
        </w:tc>
        <w:tc>
          <w:tcPr>
            <w:tcW w:w="2041" w:type="dxa"/>
          </w:tcPr>
          <w:p w:rsidR="00505632" w:rsidRDefault="00505632" w:rsidP="00AD4E52">
            <w:pPr>
              <w:pStyle w:val="CellColumn"/>
              <w:jc w:val="right"/>
            </w:pPr>
            <w:r>
              <w:rPr>
                <w:rFonts w:cs="Times New Roman"/>
              </w:rPr>
              <w:t>21.201.913</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103,6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USKOK-u (NN 76/09, 116/10, 145/10, 57/11, 136/12, 148/13).</w:t>
      </w:r>
    </w:p>
    <w:p w:rsidR="00505632" w:rsidRDefault="00505632" w:rsidP="00505632">
      <w:pPr>
        <w:pStyle w:val="Heading8"/>
        <w:jc w:val="left"/>
      </w:pPr>
      <w:r>
        <w:t>Opis aktivnosti</w:t>
      </w:r>
    </w:p>
    <w:p w:rsidR="00505632" w:rsidRDefault="00505632" w:rsidP="00505632">
      <w:r>
        <w:t>Odobrenim planom proračunskih sredstava podmireni su redovni rashodi poslovanja nastali tijekom proračunske godine. Znatnijih odstupanja u izvršenju materijalnih izdataka po pojedinim stavkama rashoda nije bilo. Ostali rashodi za zaposlene su povećani u odnosu na 2015. godinu (94,2%) zbog isplata regresa i božićnih nagrada temeljem članaka 50. i 64. Kolektivnog ugovora za državne službenike i namještenike a sukladno odluci Vlade RH.</w:t>
      </w:r>
      <w:r>
        <w:br w:type="page"/>
      </w:r>
    </w:p>
    <w:p w:rsidR="00505632" w:rsidRDefault="00505632" w:rsidP="00505632">
      <w:pPr>
        <w:pStyle w:val="Heading1"/>
      </w:pPr>
      <w:r>
        <w:t>120 URED PUČKOG PRAVOBRANITELJA</w:t>
      </w:r>
    </w:p>
    <w:p w:rsidR="00505632" w:rsidRDefault="00505632" w:rsidP="00505632">
      <w:r>
        <w:t xml:space="preserve">Pučki pravobranitelj promiče i štiti ljudska prava i slobode te vladavinu prava razmatrajući pritužbe o postojanju nezakonitosti i nepravilnosti u radu državnih tijela, tijela jedinica lokalne i područne (regionalne) samouprave i pravnih osoba s javnim ovlastima, a u skladu s posebnim zakonima razmatra i pritužbe koje se odnose na rad pravnih i fizičkih osoba. </w:t>
      </w:r>
    </w:p>
    <w:p w:rsidR="00505632" w:rsidRDefault="00505632" w:rsidP="00505632">
      <w:r>
        <w:t xml:space="preserve">U području promicanja ljudskih prava i sloboda, pučki pravobranitelj prati stanje i ukazuje na potrebu njihove zaštite. </w:t>
      </w:r>
    </w:p>
    <w:p w:rsidR="00505632" w:rsidRDefault="00505632" w:rsidP="00505632">
      <w:r>
        <w:t>Kao samostalno i neovisno tijelo, pučki pravobranitelj je središnje tijelo za suzbijanje diskriminacije i osigurava provođenje Zakona o nacionalnom preventivnom mehanizmu za sprečavanje mučenja i drugih okrutnih, neljudskih ili ponižavajućih postupaka ili kažnjavanja.</w:t>
      </w:r>
      <w:r>
        <w:tab/>
        <w:t xml:space="preserve"> </w:t>
      </w:r>
    </w:p>
    <w:p w:rsidR="00505632" w:rsidRDefault="00505632" w:rsidP="00505632">
      <w:r>
        <w:t xml:space="preserve">U 2016. godini broj predmeta u kojima je postupao Ured pučke pravobraniteljice povećan je za 16% u odnosu na prethodnu. Postupali smo u ukupno 5.433 predmeta. </w:t>
      </w:r>
    </w:p>
    <w:p w:rsidR="00505632" w:rsidRDefault="00505632" w:rsidP="00505632">
      <w:r>
        <w:t xml:space="preserve">U odnosu na područja pritužbi po prvi puta je njih najviše zaprimljeno u području diskriminacije općenito. Nakon toga slijede pritužbe u području pravosuđa, koje su ranijih godina bile najmnogobrojnije. </w:t>
      </w:r>
    </w:p>
    <w:p w:rsidR="00505632" w:rsidRDefault="00505632" w:rsidP="00505632">
      <w:r>
        <w:t>Statistika područnih ureda i za 2016. pokazuje opravdanost njihova otvorenja s obzirom da se onom u Rijeci obratilo oko 750 građana, u Osijeku 618 te u Splitu njih 639, a značajnu ulogu imali su u suradnji s dionicima i njihovoj edukaciji.</w:t>
      </w:r>
    </w:p>
    <w:tbl>
      <w:tblPr>
        <w:tblStyle w:val="StilTablice"/>
        <w:tblW w:w="10206" w:type="dxa"/>
        <w:jc w:val="center"/>
        <w:tblLook w:val="04A0" w:firstRow="1" w:lastRow="0" w:firstColumn="1" w:lastColumn="0" w:noHBand="0" w:noVBand="1"/>
      </w:tblPr>
      <w:tblGrid>
        <w:gridCol w:w="2003"/>
        <w:gridCol w:w="1926"/>
        <w:gridCol w:w="1936"/>
        <w:gridCol w:w="1936"/>
        <w:gridCol w:w="1197"/>
        <w:gridCol w:w="1208"/>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12005-Ured pučkog pravobranitelja</w:t>
            </w:r>
          </w:p>
        </w:tc>
        <w:tc>
          <w:tcPr>
            <w:tcW w:w="2041" w:type="dxa"/>
            <w:vAlign w:val="top"/>
          </w:tcPr>
          <w:p w:rsidR="00505632" w:rsidRDefault="00505632" w:rsidP="00AD4E52">
            <w:pPr>
              <w:pStyle w:val="CellColumn"/>
              <w:jc w:val="right"/>
            </w:pPr>
            <w:r>
              <w:rPr>
                <w:rFonts w:cs="Times New Roman"/>
              </w:rPr>
              <w:t>9.717.843</w:t>
            </w:r>
          </w:p>
        </w:tc>
        <w:tc>
          <w:tcPr>
            <w:tcW w:w="2041" w:type="dxa"/>
            <w:vAlign w:val="top"/>
          </w:tcPr>
          <w:p w:rsidR="00505632" w:rsidRDefault="00505632" w:rsidP="00AD4E52">
            <w:pPr>
              <w:pStyle w:val="CellColumn"/>
              <w:jc w:val="right"/>
            </w:pPr>
            <w:r>
              <w:rPr>
                <w:rFonts w:cs="Times New Roman"/>
              </w:rPr>
              <w:t>10.915.235</w:t>
            </w:r>
          </w:p>
        </w:tc>
        <w:tc>
          <w:tcPr>
            <w:tcW w:w="2041" w:type="dxa"/>
            <w:vAlign w:val="top"/>
          </w:tcPr>
          <w:p w:rsidR="00505632" w:rsidRDefault="00505632" w:rsidP="00AD4E52">
            <w:pPr>
              <w:pStyle w:val="CellColumn"/>
              <w:jc w:val="right"/>
            </w:pPr>
            <w:r>
              <w:rPr>
                <w:rFonts w:cs="Times New Roman"/>
              </w:rPr>
              <w:t>11.000.610</w:t>
            </w:r>
          </w:p>
        </w:tc>
        <w:tc>
          <w:tcPr>
            <w:tcW w:w="1224" w:type="dxa"/>
            <w:vAlign w:val="top"/>
          </w:tcPr>
          <w:p w:rsidR="00505632" w:rsidRDefault="00505632" w:rsidP="00AD4E52">
            <w:pPr>
              <w:pStyle w:val="CellColumn"/>
              <w:jc w:val="right"/>
            </w:pPr>
            <w:r>
              <w:rPr>
                <w:rFonts w:cs="Times New Roman"/>
              </w:rPr>
              <w:t>100,8</w:t>
            </w:r>
          </w:p>
        </w:tc>
        <w:tc>
          <w:tcPr>
            <w:tcW w:w="1224" w:type="dxa"/>
            <w:vAlign w:val="top"/>
          </w:tcPr>
          <w:p w:rsidR="00505632" w:rsidRDefault="00505632" w:rsidP="00AD4E52">
            <w:pPr>
              <w:pStyle w:val="CellColumn"/>
              <w:jc w:val="right"/>
            </w:pPr>
            <w:r>
              <w:rPr>
                <w:rFonts w:cs="Times New Roman"/>
              </w:rPr>
              <w:t>113,2</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120-URED PUČKOG PRAVOBRANITELJA</w:t>
            </w:r>
          </w:p>
        </w:tc>
        <w:tc>
          <w:tcPr>
            <w:tcW w:w="2041" w:type="dxa"/>
            <w:shd w:val="clear" w:color="auto" w:fill="B5C0D8"/>
          </w:tcPr>
          <w:p w:rsidR="00505632" w:rsidRDefault="00505632" w:rsidP="00AD4E52">
            <w:pPr>
              <w:pStyle w:val="CellColumn"/>
              <w:jc w:val="right"/>
            </w:pPr>
            <w:r>
              <w:rPr>
                <w:rFonts w:cs="Times New Roman"/>
              </w:rPr>
              <w:t>9.717.843</w:t>
            </w:r>
          </w:p>
        </w:tc>
        <w:tc>
          <w:tcPr>
            <w:tcW w:w="2041" w:type="dxa"/>
            <w:shd w:val="clear" w:color="auto" w:fill="B5C0D8"/>
          </w:tcPr>
          <w:p w:rsidR="00505632" w:rsidRDefault="00505632" w:rsidP="00AD4E52">
            <w:pPr>
              <w:pStyle w:val="CellColumn"/>
              <w:jc w:val="right"/>
            </w:pPr>
            <w:r>
              <w:rPr>
                <w:rFonts w:cs="Times New Roman"/>
              </w:rPr>
              <w:t>10.915.235</w:t>
            </w:r>
          </w:p>
        </w:tc>
        <w:tc>
          <w:tcPr>
            <w:tcW w:w="2041" w:type="dxa"/>
            <w:shd w:val="clear" w:color="auto" w:fill="B5C0D8"/>
          </w:tcPr>
          <w:p w:rsidR="00505632" w:rsidRDefault="00505632" w:rsidP="00AD4E52">
            <w:pPr>
              <w:pStyle w:val="CellColumn"/>
              <w:jc w:val="right"/>
            </w:pPr>
            <w:r>
              <w:rPr>
                <w:rFonts w:cs="Times New Roman"/>
              </w:rPr>
              <w:t>11.000.610</w:t>
            </w:r>
          </w:p>
        </w:tc>
        <w:tc>
          <w:tcPr>
            <w:tcW w:w="1224" w:type="dxa"/>
            <w:shd w:val="clear" w:color="auto" w:fill="B5C0D8"/>
          </w:tcPr>
          <w:p w:rsidR="00505632" w:rsidRDefault="00505632" w:rsidP="00AD4E52">
            <w:pPr>
              <w:pStyle w:val="CellColumn"/>
              <w:jc w:val="right"/>
            </w:pPr>
            <w:r>
              <w:rPr>
                <w:rFonts w:cs="Times New Roman"/>
              </w:rPr>
              <w:t>100,8</w:t>
            </w:r>
          </w:p>
        </w:tc>
        <w:tc>
          <w:tcPr>
            <w:tcW w:w="1224" w:type="dxa"/>
            <w:shd w:val="clear" w:color="auto" w:fill="B5C0D8"/>
          </w:tcPr>
          <w:p w:rsidR="00505632" w:rsidRDefault="00505632" w:rsidP="00AD4E52">
            <w:pPr>
              <w:pStyle w:val="CellColumn"/>
              <w:jc w:val="right"/>
            </w:pPr>
            <w:r>
              <w:rPr>
                <w:rFonts w:cs="Times New Roman"/>
              </w:rPr>
              <w:t>113,2</w:t>
            </w:r>
          </w:p>
        </w:tc>
      </w:tr>
    </w:tbl>
    <w:p w:rsidR="00505632" w:rsidRDefault="00505632" w:rsidP="00505632">
      <w:pPr>
        <w:jc w:val="left"/>
      </w:pPr>
    </w:p>
    <w:p w:rsidR="00505632" w:rsidRDefault="00505632" w:rsidP="00505632">
      <w:pPr>
        <w:pStyle w:val="Heading2"/>
      </w:pPr>
      <w:r>
        <w:t>12005 Ured pučkog pravobranitelja</w:t>
      </w:r>
    </w:p>
    <w:tbl>
      <w:tblPr>
        <w:tblStyle w:val="StilTablice"/>
        <w:tblW w:w="10206" w:type="dxa"/>
        <w:jc w:val="center"/>
        <w:tblLook w:val="04A0" w:firstRow="1" w:lastRow="0" w:firstColumn="1" w:lastColumn="0" w:noHBand="0" w:noVBand="1"/>
      </w:tblPr>
      <w:tblGrid>
        <w:gridCol w:w="1715"/>
        <w:gridCol w:w="2016"/>
        <w:gridCol w:w="2018"/>
        <w:gridCol w:w="2018"/>
        <w:gridCol w:w="1218"/>
        <w:gridCol w:w="122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12005-Ured pučkog pravobranitelja</w:t>
            </w:r>
          </w:p>
        </w:tc>
        <w:tc>
          <w:tcPr>
            <w:tcW w:w="2041" w:type="dxa"/>
            <w:vAlign w:val="top"/>
          </w:tcPr>
          <w:p w:rsidR="00505632" w:rsidRDefault="00505632" w:rsidP="00AD4E52">
            <w:pPr>
              <w:pStyle w:val="CellColumn"/>
              <w:jc w:val="right"/>
            </w:pPr>
            <w:r>
              <w:rPr>
                <w:rFonts w:cs="Times New Roman"/>
              </w:rPr>
              <w:t>9.717.843</w:t>
            </w:r>
          </w:p>
        </w:tc>
        <w:tc>
          <w:tcPr>
            <w:tcW w:w="2041" w:type="dxa"/>
            <w:vAlign w:val="top"/>
          </w:tcPr>
          <w:p w:rsidR="00505632" w:rsidRDefault="00505632" w:rsidP="00AD4E52">
            <w:pPr>
              <w:pStyle w:val="CellColumn"/>
              <w:jc w:val="right"/>
            </w:pPr>
            <w:r>
              <w:rPr>
                <w:rFonts w:cs="Times New Roman"/>
              </w:rPr>
              <w:t>10.915.235</w:t>
            </w:r>
          </w:p>
        </w:tc>
        <w:tc>
          <w:tcPr>
            <w:tcW w:w="2041" w:type="dxa"/>
            <w:vAlign w:val="top"/>
          </w:tcPr>
          <w:p w:rsidR="00505632" w:rsidRDefault="00505632" w:rsidP="00AD4E52">
            <w:pPr>
              <w:pStyle w:val="CellColumn"/>
              <w:jc w:val="right"/>
            </w:pPr>
            <w:r>
              <w:rPr>
                <w:rFonts w:cs="Times New Roman"/>
              </w:rPr>
              <w:t>11.000.610</w:t>
            </w:r>
          </w:p>
        </w:tc>
        <w:tc>
          <w:tcPr>
            <w:tcW w:w="1224" w:type="dxa"/>
            <w:vAlign w:val="top"/>
          </w:tcPr>
          <w:p w:rsidR="00505632" w:rsidRDefault="00505632" w:rsidP="00AD4E52">
            <w:pPr>
              <w:pStyle w:val="CellColumn"/>
              <w:jc w:val="right"/>
            </w:pPr>
            <w:r>
              <w:rPr>
                <w:rFonts w:cs="Times New Roman"/>
              </w:rPr>
              <w:t>100,8</w:t>
            </w:r>
          </w:p>
        </w:tc>
        <w:tc>
          <w:tcPr>
            <w:tcW w:w="1224" w:type="dxa"/>
            <w:vAlign w:val="top"/>
          </w:tcPr>
          <w:p w:rsidR="00505632" w:rsidRDefault="00505632" w:rsidP="00AD4E52">
            <w:pPr>
              <w:pStyle w:val="CellColumn"/>
              <w:jc w:val="right"/>
            </w:pPr>
            <w:r>
              <w:rPr>
                <w:rFonts w:cs="Times New Roman"/>
              </w:rPr>
              <w:t>113,2</w:t>
            </w:r>
          </w:p>
        </w:tc>
      </w:tr>
      <w:tr w:rsidR="00505632" w:rsidTr="00AD4E52">
        <w:trPr>
          <w:jc w:val="center"/>
        </w:trPr>
        <w:tc>
          <w:tcPr>
            <w:tcW w:w="1632" w:type="dxa"/>
          </w:tcPr>
          <w:p w:rsidR="00505632" w:rsidRDefault="00505632" w:rsidP="00AD4E52">
            <w:pPr>
              <w:jc w:val="left"/>
            </w:pPr>
            <w:r>
              <w:t>2115-ZAŠTITA I PROMICANJE LJUDSKIH PRAVA I SUZBIJANJE DISKRIMINACIJE</w:t>
            </w:r>
          </w:p>
        </w:tc>
        <w:tc>
          <w:tcPr>
            <w:tcW w:w="2041" w:type="dxa"/>
          </w:tcPr>
          <w:p w:rsidR="00505632" w:rsidRDefault="00505632" w:rsidP="00AD4E52">
            <w:pPr>
              <w:jc w:val="right"/>
            </w:pPr>
            <w:r>
              <w:t>9.717.843</w:t>
            </w:r>
          </w:p>
        </w:tc>
        <w:tc>
          <w:tcPr>
            <w:tcW w:w="2041" w:type="dxa"/>
          </w:tcPr>
          <w:p w:rsidR="00505632" w:rsidRDefault="00505632" w:rsidP="00AD4E52">
            <w:pPr>
              <w:jc w:val="right"/>
            </w:pPr>
            <w:r>
              <w:t>10.915.235</w:t>
            </w:r>
          </w:p>
        </w:tc>
        <w:tc>
          <w:tcPr>
            <w:tcW w:w="2041" w:type="dxa"/>
          </w:tcPr>
          <w:p w:rsidR="00505632" w:rsidRDefault="00505632" w:rsidP="00AD4E52">
            <w:pPr>
              <w:jc w:val="right"/>
            </w:pPr>
            <w:r>
              <w:t>11.000.610</w:t>
            </w:r>
          </w:p>
        </w:tc>
        <w:tc>
          <w:tcPr>
            <w:tcW w:w="1224" w:type="dxa"/>
          </w:tcPr>
          <w:p w:rsidR="00505632" w:rsidRDefault="00505632" w:rsidP="00AD4E52">
            <w:pPr>
              <w:jc w:val="right"/>
            </w:pPr>
            <w:r>
              <w:t>100,8</w:t>
            </w:r>
          </w:p>
        </w:tc>
        <w:tc>
          <w:tcPr>
            <w:tcW w:w="1224" w:type="dxa"/>
          </w:tcPr>
          <w:p w:rsidR="00505632" w:rsidRDefault="00505632" w:rsidP="00AD4E52">
            <w:pPr>
              <w:jc w:val="right"/>
            </w:pPr>
            <w:r>
              <w:t>113,2</w:t>
            </w:r>
          </w:p>
        </w:tc>
      </w:tr>
    </w:tbl>
    <w:p w:rsidR="00505632" w:rsidRDefault="00505632" w:rsidP="00505632">
      <w:pPr>
        <w:jc w:val="left"/>
      </w:pPr>
    </w:p>
    <w:p w:rsidR="00505632" w:rsidRDefault="00505632" w:rsidP="00505632">
      <w:pPr>
        <w:pStyle w:val="Heading5"/>
      </w:pPr>
      <w:r>
        <w:t>A649000 ADMINISTRACIJA I UPRAVLJANJE</w:t>
      </w:r>
    </w:p>
    <w:tbl>
      <w:tblPr>
        <w:tblStyle w:val="StilTablice"/>
        <w:tblW w:w="10206" w:type="dxa"/>
        <w:jc w:val="center"/>
        <w:tblLook w:val="04A0" w:firstRow="1" w:lastRow="0" w:firstColumn="1" w:lastColumn="0" w:noHBand="0" w:noVBand="1"/>
      </w:tblPr>
      <w:tblGrid>
        <w:gridCol w:w="1792"/>
        <w:gridCol w:w="1992"/>
        <w:gridCol w:w="1996"/>
        <w:gridCol w:w="1996"/>
        <w:gridCol w:w="1213"/>
        <w:gridCol w:w="1217"/>
      </w:tblGrid>
      <w:tr w:rsidR="00505632" w:rsidTr="00AD4E52">
        <w:trPr>
          <w:jc w:val="center"/>
        </w:trPr>
        <w:tc>
          <w:tcPr>
            <w:tcW w:w="1632" w:type="dxa"/>
            <w:shd w:val="clear" w:color="auto" w:fill="B5C0D8"/>
          </w:tcPr>
          <w:p w:rsidR="00505632" w:rsidRDefault="00505632" w:rsidP="00505632">
            <w:pPr>
              <w:pStyle w:val="CellHeader"/>
              <w:jc w:val="center"/>
            </w:pPr>
            <w:r>
              <w:rPr>
                <w:rFonts w:cs="Times New Roman"/>
              </w:rPr>
              <w:t>Naziv aktivnosti</w:t>
            </w:r>
          </w:p>
        </w:tc>
        <w:tc>
          <w:tcPr>
            <w:tcW w:w="2041" w:type="dxa"/>
            <w:shd w:val="clear" w:color="auto" w:fill="B5C0D8"/>
          </w:tcPr>
          <w:p w:rsidR="00505632" w:rsidRDefault="00505632" w:rsidP="00505632">
            <w:pPr>
              <w:pStyle w:val="CellHeader"/>
              <w:jc w:val="center"/>
            </w:pPr>
            <w:r>
              <w:rPr>
                <w:rFonts w:cs="Times New Roman"/>
              </w:rPr>
              <w:t>Izvršenje 2015. (kn)</w:t>
            </w:r>
          </w:p>
        </w:tc>
        <w:tc>
          <w:tcPr>
            <w:tcW w:w="2041" w:type="dxa"/>
            <w:shd w:val="clear" w:color="auto" w:fill="B5C0D8"/>
          </w:tcPr>
          <w:p w:rsidR="00505632" w:rsidRDefault="00505632" w:rsidP="00505632">
            <w:pPr>
              <w:pStyle w:val="CellHeader"/>
              <w:jc w:val="center"/>
            </w:pPr>
            <w:r>
              <w:rPr>
                <w:rFonts w:cs="Times New Roman"/>
              </w:rPr>
              <w:t>Plan 2016. (kn)</w:t>
            </w:r>
          </w:p>
        </w:tc>
        <w:tc>
          <w:tcPr>
            <w:tcW w:w="2041" w:type="dxa"/>
            <w:shd w:val="clear" w:color="auto" w:fill="B5C0D8"/>
          </w:tcPr>
          <w:p w:rsidR="00505632" w:rsidRDefault="00505632" w:rsidP="00505632">
            <w:pPr>
              <w:pStyle w:val="CellHeader"/>
              <w:jc w:val="center"/>
            </w:pPr>
            <w:r>
              <w:rPr>
                <w:rFonts w:cs="Times New Roman"/>
              </w:rPr>
              <w:t>Izvršenje 2016. (kn)</w:t>
            </w:r>
          </w:p>
        </w:tc>
        <w:tc>
          <w:tcPr>
            <w:tcW w:w="1224" w:type="dxa"/>
            <w:shd w:val="clear" w:color="auto" w:fill="B5C0D8"/>
          </w:tcPr>
          <w:p w:rsidR="00505632" w:rsidRDefault="00505632" w:rsidP="00505632">
            <w:pPr>
              <w:pStyle w:val="CellHeader"/>
              <w:jc w:val="center"/>
            </w:pPr>
            <w:r>
              <w:rPr>
                <w:rFonts w:cs="Times New Roman"/>
              </w:rPr>
              <w:t>Indeks izvršenje 2016./plan 2016.</w:t>
            </w:r>
          </w:p>
        </w:tc>
        <w:tc>
          <w:tcPr>
            <w:tcW w:w="1224" w:type="dxa"/>
            <w:shd w:val="clear" w:color="auto" w:fill="B5C0D8"/>
          </w:tcPr>
          <w:p w:rsidR="00505632" w:rsidRDefault="00505632" w:rsidP="0050563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505632">
            <w:pPr>
              <w:pStyle w:val="CellColumn"/>
              <w:jc w:val="left"/>
            </w:pPr>
            <w:r>
              <w:rPr>
                <w:rFonts w:cs="Times New Roman"/>
              </w:rPr>
              <w:t>A649000-ADMINISTRACIJA I UPRAVLJANJE</w:t>
            </w:r>
          </w:p>
        </w:tc>
        <w:tc>
          <w:tcPr>
            <w:tcW w:w="2041" w:type="dxa"/>
          </w:tcPr>
          <w:p w:rsidR="00505632" w:rsidRDefault="00505632" w:rsidP="00505632">
            <w:pPr>
              <w:pStyle w:val="CellColumn"/>
              <w:jc w:val="right"/>
            </w:pPr>
            <w:r>
              <w:rPr>
                <w:rFonts w:cs="Times New Roman"/>
              </w:rPr>
              <w:t>9.495.560</w:t>
            </w:r>
          </w:p>
        </w:tc>
        <w:tc>
          <w:tcPr>
            <w:tcW w:w="2041" w:type="dxa"/>
          </w:tcPr>
          <w:p w:rsidR="00505632" w:rsidRDefault="00505632" w:rsidP="00505632">
            <w:pPr>
              <w:pStyle w:val="CellColumn"/>
              <w:jc w:val="right"/>
            </w:pPr>
            <w:r>
              <w:rPr>
                <w:rFonts w:cs="Times New Roman"/>
              </w:rPr>
              <w:t>10.716.554</w:t>
            </w:r>
          </w:p>
        </w:tc>
        <w:tc>
          <w:tcPr>
            <w:tcW w:w="2041" w:type="dxa"/>
          </w:tcPr>
          <w:p w:rsidR="00505632" w:rsidRDefault="00505632" w:rsidP="00505632">
            <w:pPr>
              <w:pStyle w:val="CellColumn"/>
              <w:jc w:val="right"/>
            </w:pPr>
            <w:r>
              <w:rPr>
                <w:rFonts w:cs="Times New Roman"/>
              </w:rPr>
              <w:t>10.800.948</w:t>
            </w:r>
          </w:p>
        </w:tc>
        <w:tc>
          <w:tcPr>
            <w:tcW w:w="1224" w:type="dxa"/>
          </w:tcPr>
          <w:p w:rsidR="00505632" w:rsidRDefault="00505632" w:rsidP="00505632">
            <w:pPr>
              <w:pStyle w:val="CellColumn"/>
              <w:jc w:val="right"/>
            </w:pPr>
            <w:r>
              <w:rPr>
                <w:rFonts w:cs="Times New Roman"/>
              </w:rPr>
              <w:t>100,8</w:t>
            </w:r>
          </w:p>
        </w:tc>
        <w:tc>
          <w:tcPr>
            <w:tcW w:w="1224" w:type="dxa"/>
          </w:tcPr>
          <w:p w:rsidR="00505632" w:rsidRDefault="00505632" w:rsidP="00505632">
            <w:pPr>
              <w:pStyle w:val="CellColumn"/>
              <w:jc w:val="right"/>
            </w:pPr>
            <w:r>
              <w:rPr>
                <w:rFonts w:cs="Times New Roman"/>
              </w:rPr>
              <w:t>113,7</w:t>
            </w:r>
          </w:p>
        </w:tc>
      </w:tr>
    </w:tbl>
    <w:p w:rsidR="00505632" w:rsidRDefault="00505632" w:rsidP="00505632">
      <w:pPr>
        <w:jc w:val="left"/>
      </w:pPr>
    </w:p>
    <w:p w:rsidR="00505632" w:rsidRDefault="00505632" w:rsidP="00505632">
      <w:pPr>
        <w:pStyle w:val="Heading9"/>
      </w:pPr>
      <w:r>
        <w:t>Zakonske i druge pravne osnove</w:t>
      </w:r>
    </w:p>
    <w:p w:rsidR="00505632" w:rsidRDefault="00505632" w:rsidP="00505632">
      <w:r>
        <w:t xml:space="preserve">Zakon o pučkom pravobranitelju, Narodne novine br.76/12, članak 33 </w:t>
      </w:r>
    </w:p>
    <w:p w:rsidR="00505632" w:rsidRDefault="00505632" w:rsidP="00505632">
      <w:r>
        <w:t>Zakon o suzbijanju diskriminacije, Narodne novine broj 85/08, 112/12, članak 12</w:t>
      </w:r>
    </w:p>
    <w:p w:rsidR="00505632" w:rsidRDefault="00505632" w:rsidP="00505632">
      <w:pPr>
        <w:pStyle w:val="Heading9"/>
      </w:pPr>
      <w:r>
        <w:t>Opis aktivnosti</w:t>
      </w:r>
    </w:p>
    <w:p w:rsidR="00505632" w:rsidRDefault="00505632" w:rsidP="00505632">
      <w:r>
        <w:t xml:space="preserve">U izvještajnoj godini broj predmeta u kojima je postupao Ured pučke pravobraniteljice povećan je za 16% u odnosu na prethodnu. Postupali smo u ukupno 5.433 predmeta, od kojih je 4.031 otvoren na temelju pritužbi građana ili na vlastitu inicijativu, 1.252 predmeta odnosila su se na šire inicijative u koje se Ured uključio, dok su se preostali odnosili na uredsko poslovanje. Od 2012. do 2016. godine zamjetno je kontinuirano povećanje broja predmeta, a u tom je razdoblju njihov broj povećan za 110%. </w:t>
      </w:r>
    </w:p>
    <w:p w:rsidR="00505632" w:rsidRDefault="00505632" w:rsidP="00505632">
      <w:r>
        <w:t xml:space="preserve">Od 4.031 predmeta, u njih 1.578 postupak je započeo prethodnih godina, no zbog njihove složenosti nastavljen je i u 2016., dok je novozaprimljenih predmeta bilo 3.705, od kojih se 2.792 odnosilo na pojedinačne pritužbe, odnosno povrede prava građana. </w:t>
      </w:r>
    </w:p>
    <w:p w:rsidR="00505632" w:rsidRDefault="00505632" w:rsidP="00505632">
      <w:r>
        <w:t xml:space="preserve">U 2016. godini više od 90% pritužbi su podnijele fizičke osobe, a ostale organizacije civilnog društva i pravne osobe ili su bile podnesene anonimno. Na vlastitu inicijativu pokrenuli smo 87 postupaka, nakon terenskih obilazaka ili temeljem drugih izvora saznanja o povredi prava ili diskriminaciji. </w:t>
      </w:r>
    </w:p>
    <w:p w:rsidR="00505632" w:rsidRDefault="00505632" w:rsidP="00505632">
      <w:r>
        <w:t xml:space="preserve">Tijekom godine, švicarski Federalni odjel za vanjske poslove financijski je podržao  organizaciju konferencije povodom obilježavanja 10 godina OPCAT-a, u suradnji s Ludwig Boltzmann Institutom i Vijećem Europe te na ime troškova konferencije uplatio Uredu pučke pravobraniteljice 74.277,19 kn (izvor financiranja 51 – Pomoći EU). </w:t>
      </w:r>
    </w:p>
    <w:p w:rsidR="00505632" w:rsidRDefault="00505632" w:rsidP="00505632">
      <w:r>
        <w:t>Tijekom 2016. u Uredu se provodio i program stručnog osposobljavanja bez zasnivanja radnog odnosa kojeg je završilo 10 polaznika, sedam u zagrebačkom uredu te po jedan polaznik u područnim uredima (izvor financiranja 52 – ostale pomoći).</w:t>
      </w:r>
    </w:p>
    <w:p w:rsidR="00505632" w:rsidRDefault="00505632" w:rsidP="00505632">
      <w:pPr>
        <w:pStyle w:val="Heading9"/>
      </w:pPr>
      <w:r>
        <w:t>Pokazatelji rezultata</w:t>
      </w:r>
    </w:p>
    <w:tbl>
      <w:tblPr>
        <w:tblStyle w:val="StilTablice"/>
        <w:tblW w:w="10206" w:type="dxa"/>
        <w:jc w:val="center"/>
        <w:tblLook w:val="04A0" w:firstRow="1" w:lastRow="0" w:firstColumn="1" w:lastColumn="0" w:noHBand="0" w:noVBand="1"/>
      </w:tblPr>
      <w:tblGrid>
        <w:gridCol w:w="2361"/>
        <w:gridCol w:w="2382"/>
        <w:gridCol w:w="981"/>
        <w:gridCol w:w="1004"/>
        <w:gridCol w:w="1469"/>
        <w:gridCol w:w="1004"/>
        <w:gridCol w:w="1005"/>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Veća prepoznatost PP-a kao zaštitnika ljudskih prava građana pred javnopravnim tijelima - broj pritužbi</w:t>
            </w:r>
          </w:p>
        </w:tc>
        <w:tc>
          <w:tcPr>
            <w:tcW w:w="2551" w:type="dxa"/>
          </w:tcPr>
          <w:p w:rsidR="00505632" w:rsidRDefault="00505632" w:rsidP="00AD4E52">
            <w:pPr>
              <w:pStyle w:val="CellColumn"/>
              <w:jc w:val="left"/>
            </w:pPr>
            <w:r>
              <w:rPr>
                <w:rFonts w:cs="Times New Roman"/>
              </w:rPr>
              <w:t>Pokazuje kolika je zastupljenost povreda ljudskih prava građana i koliko je institucija prepoznata kao zaštitnik ljudskih prava građana pred javnopravnim tijelima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2153</w:t>
            </w:r>
          </w:p>
        </w:tc>
        <w:tc>
          <w:tcPr>
            <w:tcW w:w="1020" w:type="dxa"/>
          </w:tcPr>
          <w:p w:rsidR="00505632" w:rsidRDefault="00505632" w:rsidP="00AD4E52">
            <w:pPr>
              <w:pStyle w:val="CellColumn"/>
              <w:jc w:val="right"/>
            </w:pPr>
            <w:r>
              <w:rPr>
                <w:rFonts w:cs="Times New Roman"/>
              </w:rPr>
              <w:t>Ured pučke pravobraniteljice</w:t>
            </w:r>
          </w:p>
        </w:tc>
        <w:tc>
          <w:tcPr>
            <w:tcW w:w="1020" w:type="dxa"/>
          </w:tcPr>
          <w:p w:rsidR="00505632" w:rsidRDefault="00505632" w:rsidP="00AD4E52">
            <w:pPr>
              <w:pStyle w:val="CellColumn"/>
              <w:jc w:val="right"/>
            </w:pPr>
            <w:r>
              <w:rPr>
                <w:rFonts w:cs="Times New Roman"/>
              </w:rPr>
              <w:t>2200</w:t>
            </w:r>
          </w:p>
        </w:tc>
        <w:tc>
          <w:tcPr>
            <w:tcW w:w="1020" w:type="dxa"/>
          </w:tcPr>
          <w:p w:rsidR="00505632" w:rsidRDefault="00505632" w:rsidP="00AD4E52">
            <w:pPr>
              <w:pStyle w:val="CellColumn"/>
              <w:jc w:val="right"/>
            </w:pPr>
            <w:r>
              <w:rPr>
                <w:rFonts w:cs="Times New Roman"/>
              </w:rPr>
              <w:t>2792</w:t>
            </w:r>
          </w:p>
        </w:tc>
      </w:tr>
      <w:tr w:rsidR="00505632" w:rsidTr="00AD4E52">
        <w:trPr>
          <w:jc w:val="center"/>
        </w:trPr>
        <w:tc>
          <w:tcPr>
            <w:tcW w:w="2551" w:type="dxa"/>
          </w:tcPr>
          <w:p w:rsidR="00505632" w:rsidRDefault="00505632" w:rsidP="00AD4E52">
            <w:pPr>
              <w:pStyle w:val="CellColumn"/>
              <w:jc w:val="left"/>
            </w:pPr>
            <w:r>
              <w:rPr>
                <w:rFonts w:cs="Times New Roman"/>
              </w:rPr>
              <w:t>Veća prepoznatost PP-a kao središnjeg tijela nadležnog za suzbijanje diskriminacije i promicanje jednakog postupanja od strane žrtava diskriminacije i relevantnih organizacija i institucija uključenih u borbu protiv diskriminacije - broj pritužbi</w:t>
            </w:r>
          </w:p>
        </w:tc>
        <w:tc>
          <w:tcPr>
            <w:tcW w:w="2551" w:type="dxa"/>
          </w:tcPr>
          <w:p w:rsidR="00505632" w:rsidRDefault="00505632" w:rsidP="00AD4E52">
            <w:pPr>
              <w:pStyle w:val="CellColumn"/>
              <w:jc w:val="left"/>
            </w:pPr>
            <w:r>
              <w:rPr>
                <w:rFonts w:cs="Times New Roman"/>
              </w:rPr>
              <w:t>Pokazatelj govori o rezultatima i efikasnosti našeg rada u konkretnom radu na pojedinačnim pritužbama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263</w:t>
            </w:r>
          </w:p>
        </w:tc>
        <w:tc>
          <w:tcPr>
            <w:tcW w:w="1020" w:type="dxa"/>
          </w:tcPr>
          <w:p w:rsidR="00505632" w:rsidRDefault="00505632" w:rsidP="00AD4E52">
            <w:pPr>
              <w:pStyle w:val="CellColumn"/>
              <w:jc w:val="right"/>
            </w:pPr>
            <w:r>
              <w:rPr>
                <w:rFonts w:cs="Times New Roman"/>
              </w:rPr>
              <w:t>Ured pučke pravobraniteljice</w:t>
            </w:r>
          </w:p>
        </w:tc>
        <w:tc>
          <w:tcPr>
            <w:tcW w:w="1020" w:type="dxa"/>
          </w:tcPr>
          <w:p w:rsidR="00505632" w:rsidRDefault="00505632" w:rsidP="00AD4E52">
            <w:pPr>
              <w:pStyle w:val="CellColumn"/>
              <w:jc w:val="right"/>
            </w:pPr>
            <w:r>
              <w:rPr>
                <w:rFonts w:cs="Times New Roman"/>
              </w:rPr>
              <w:t>270</w:t>
            </w:r>
          </w:p>
        </w:tc>
        <w:tc>
          <w:tcPr>
            <w:tcW w:w="1020" w:type="dxa"/>
          </w:tcPr>
          <w:p w:rsidR="00505632" w:rsidRDefault="00505632" w:rsidP="00AD4E52">
            <w:pPr>
              <w:pStyle w:val="CellColumn"/>
              <w:jc w:val="right"/>
            </w:pPr>
            <w:r>
              <w:rPr>
                <w:rFonts w:cs="Times New Roman"/>
              </w:rPr>
              <w:t>387</w:t>
            </w:r>
          </w:p>
        </w:tc>
      </w:tr>
      <w:tr w:rsidR="00505632" w:rsidTr="00AD4E52">
        <w:trPr>
          <w:jc w:val="center"/>
        </w:trPr>
        <w:tc>
          <w:tcPr>
            <w:tcW w:w="2551" w:type="dxa"/>
          </w:tcPr>
          <w:p w:rsidR="00505632" w:rsidRDefault="00505632" w:rsidP="00AD4E52">
            <w:pPr>
              <w:pStyle w:val="CellColumn"/>
              <w:jc w:val="left"/>
            </w:pPr>
            <w:r>
              <w:rPr>
                <w:rFonts w:cs="Times New Roman"/>
              </w:rPr>
              <w:t>Broj postupanja javnopravnih tijela u skladu s preporukama</w:t>
            </w:r>
          </w:p>
        </w:tc>
        <w:tc>
          <w:tcPr>
            <w:tcW w:w="2551" w:type="dxa"/>
          </w:tcPr>
          <w:p w:rsidR="00505632" w:rsidRDefault="00505632" w:rsidP="00AD4E52">
            <w:pPr>
              <w:pStyle w:val="CellColumn"/>
              <w:jc w:val="left"/>
            </w:pPr>
            <w:r>
              <w:rPr>
                <w:rFonts w:cs="Times New Roman"/>
              </w:rPr>
              <w:t>Pokazatelj govori  o mjerama koje su, povodom preporuka, poduzete kako bi se otklonili uočeni nedostatci i nepravilnosti</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31,50%</w:t>
            </w:r>
          </w:p>
        </w:tc>
        <w:tc>
          <w:tcPr>
            <w:tcW w:w="1020" w:type="dxa"/>
          </w:tcPr>
          <w:p w:rsidR="00505632" w:rsidRDefault="00505632" w:rsidP="00AD4E52">
            <w:pPr>
              <w:pStyle w:val="CellColumn"/>
              <w:jc w:val="right"/>
            </w:pPr>
            <w:r>
              <w:rPr>
                <w:rFonts w:cs="Times New Roman"/>
              </w:rPr>
              <w:t>Ured pučke pravobraniteljice</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28,75%</w:t>
            </w:r>
          </w:p>
        </w:tc>
      </w:tr>
      <w:tr w:rsidR="00505632" w:rsidTr="00AD4E52">
        <w:trPr>
          <w:jc w:val="center"/>
        </w:trPr>
        <w:tc>
          <w:tcPr>
            <w:tcW w:w="2551" w:type="dxa"/>
          </w:tcPr>
          <w:p w:rsidR="00505632" w:rsidRDefault="00505632" w:rsidP="00AD4E52">
            <w:pPr>
              <w:pStyle w:val="CellColumn"/>
              <w:jc w:val="left"/>
            </w:pPr>
            <w:r>
              <w:rPr>
                <w:rFonts w:cs="Times New Roman"/>
              </w:rPr>
              <w:t>Broj posjeta na službenim web stranicama Pučkog pravobranitelja</w:t>
            </w:r>
          </w:p>
        </w:tc>
        <w:tc>
          <w:tcPr>
            <w:tcW w:w="2551" w:type="dxa"/>
          </w:tcPr>
          <w:p w:rsidR="00505632" w:rsidRDefault="00505632" w:rsidP="00AD4E52">
            <w:pPr>
              <w:pStyle w:val="CellColumn"/>
              <w:jc w:val="left"/>
            </w:pPr>
            <w:r>
              <w:rPr>
                <w:rFonts w:cs="Times New Roman"/>
              </w:rPr>
              <w:t>Pokazatelj govori o vidljivosti i javnoj prepoznatljivosti institucije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68563</w:t>
            </w:r>
          </w:p>
        </w:tc>
        <w:tc>
          <w:tcPr>
            <w:tcW w:w="1020" w:type="dxa"/>
          </w:tcPr>
          <w:p w:rsidR="00505632" w:rsidRDefault="00505632" w:rsidP="00AD4E52">
            <w:pPr>
              <w:pStyle w:val="CellColumn"/>
              <w:jc w:val="right"/>
            </w:pPr>
            <w:r>
              <w:rPr>
                <w:rFonts w:cs="Times New Roman"/>
              </w:rPr>
              <w:t>Ured pučke pravobraniteljice</w:t>
            </w:r>
          </w:p>
        </w:tc>
        <w:tc>
          <w:tcPr>
            <w:tcW w:w="1020" w:type="dxa"/>
          </w:tcPr>
          <w:p w:rsidR="00505632" w:rsidRDefault="00505632" w:rsidP="00AD4E52">
            <w:pPr>
              <w:pStyle w:val="CellColumn"/>
              <w:jc w:val="right"/>
            </w:pPr>
            <w:r>
              <w:rPr>
                <w:rFonts w:cs="Times New Roman"/>
              </w:rPr>
              <w:t>75.500</w:t>
            </w:r>
          </w:p>
        </w:tc>
        <w:tc>
          <w:tcPr>
            <w:tcW w:w="1020" w:type="dxa"/>
          </w:tcPr>
          <w:p w:rsidR="00505632" w:rsidRDefault="00505632" w:rsidP="00AD4E52">
            <w:pPr>
              <w:pStyle w:val="CellColumn"/>
              <w:jc w:val="right"/>
            </w:pPr>
            <w:r>
              <w:rPr>
                <w:rFonts w:cs="Times New Roman"/>
              </w:rPr>
              <w:t>100.806</w:t>
            </w:r>
          </w:p>
        </w:tc>
      </w:tr>
    </w:tbl>
    <w:p w:rsidR="00505632" w:rsidRDefault="00505632" w:rsidP="00505632">
      <w:pPr>
        <w:jc w:val="left"/>
      </w:pPr>
    </w:p>
    <w:p w:rsidR="00505632" w:rsidRDefault="00505632" w:rsidP="00505632">
      <w:pPr>
        <w:pStyle w:val="Heading4"/>
      </w:pPr>
      <w:r>
        <w:t>A649004 MEĐUNARODNA SURADNJA</w:t>
      </w:r>
    </w:p>
    <w:tbl>
      <w:tblPr>
        <w:tblStyle w:val="StilTablice"/>
        <w:tblW w:w="10206" w:type="dxa"/>
        <w:jc w:val="center"/>
        <w:tblLook w:val="04A0" w:firstRow="1" w:lastRow="0" w:firstColumn="1" w:lastColumn="0" w:noHBand="0" w:noVBand="1"/>
      </w:tblPr>
      <w:tblGrid>
        <w:gridCol w:w="1703"/>
        <w:gridCol w:w="2021"/>
        <w:gridCol w:w="2019"/>
        <w:gridCol w:w="2022"/>
        <w:gridCol w:w="1220"/>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A649004-MEĐUNARODNA SURADNJA</w:t>
            </w:r>
          </w:p>
        </w:tc>
        <w:tc>
          <w:tcPr>
            <w:tcW w:w="2041" w:type="dxa"/>
          </w:tcPr>
          <w:p w:rsidR="00505632" w:rsidRDefault="00505632" w:rsidP="00AD4E52">
            <w:pPr>
              <w:pStyle w:val="CellColumn"/>
              <w:jc w:val="right"/>
            </w:pPr>
            <w:r>
              <w:rPr>
                <w:rFonts w:cs="Times New Roman"/>
              </w:rPr>
              <w:t>77.214</w:t>
            </w:r>
          </w:p>
        </w:tc>
        <w:tc>
          <w:tcPr>
            <w:tcW w:w="2041" w:type="dxa"/>
          </w:tcPr>
          <w:p w:rsidR="00505632" w:rsidRDefault="00505632" w:rsidP="00AD4E52">
            <w:pPr>
              <w:pStyle w:val="CellColumn"/>
              <w:jc w:val="right"/>
            </w:pPr>
            <w:r>
              <w:rPr>
                <w:rFonts w:cs="Times New Roman"/>
              </w:rPr>
              <w:t>71.300</w:t>
            </w:r>
          </w:p>
        </w:tc>
        <w:tc>
          <w:tcPr>
            <w:tcW w:w="2041" w:type="dxa"/>
          </w:tcPr>
          <w:p w:rsidR="00505632" w:rsidRDefault="00505632" w:rsidP="00AD4E52">
            <w:pPr>
              <w:pStyle w:val="CellColumn"/>
              <w:jc w:val="right"/>
            </w:pPr>
            <w:r>
              <w:rPr>
                <w:rFonts w:cs="Times New Roman"/>
              </w:rPr>
              <w:t>71.271</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92,3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pučkom pravobranitelju, Narodne novine br.76/12, članak 33   </w:t>
      </w:r>
    </w:p>
    <w:p w:rsidR="00505632" w:rsidRDefault="00505632" w:rsidP="00505632">
      <w:r>
        <w:t>Zakon o suzbijanju diskriminacije, Narodne novine broj 85/08, 112/12, članak 12</w:t>
      </w:r>
    </w:p>
    <w:p w:rsidR="00505632" w:rsidRDefault="00505632" w:rsidP="00505632">
      <w:pPr>
        <w:pStyle w:val="Heading8"/>
        <w:jc w:val="left"/>
      </w:pPr>
      <w:r>
        <w:t>Opis aktivnosti</w:t>
      </w:r>
    </w:p>
    <w:p w:rsidR="00505632" w:rsidRDefault="00505632" w:rsidP="00505632">
      <w:r>
        <w:t xml:space="preserve">Pučka je pravobraniteljica u 2016. nastavila s intenzivnom međunarodnom suradnjom na multilateralnom i bilateralnom planu kroz ranije uspostavljene mehanizme suradnje s tijelima UN-a, EU, Vijeća Europe i u okviru specijaliziranih mreža: Europske mreže nacionalnih institucija za ljudska prava, Europske mreže tijela za jednakost te Međunarodnog instituta  ombudsmana.  </w:t>
      </w:r>
    </w:p>
    <w:p w:rsidR="00505632" w:rsidRDefault="00505632" w:rsidP="00505632">
      <w:r>
        <w:t xml:space="preserve">Od ožujka 2016. godine Ured pučke pravobraniteljice započeo je svoje trogodišnje predsjedavanje Europskom mrežom nacionalnih institucija za ljudska prava (ENNHRI). U listopadu 2016. godine organizirana je u Zagrebu Opća skupština Europske mreže nacionalnih institucija za ljudska prava,na kojoj je sudjelovalo 30tak čelnika nacionalnih institucija za ljudska prava iz cijele Europe. Tom prilikom organiziran je i seminar s temom utjecaja mjera za suzbijanje terorizma na ljudska prava. </w:t>
      </w:r>
    </w:p>
    <w:p w:rsidR="00505632" w:rsidRDefault="00505632" w:rsidP="00505632">
      <w:r>
        <w:t xml:space="preserve">Nastavljena je bliska suradnja s Europskom mrežom tijela za promicanje jednakosti (EQUINET). Predstavnici Ureda aktivno su sudjelovali u radnim grupama EQUINET-a (pravo jednakosti, strateška litigacija, komunikacija).  </w:t>
      </w:r>
    </w:p>
    <w:p w:rsidR="00505632" w:rsidRDefault="00505632" w:rsidP="00505632">
      <w:r>
        <w:t xml:space="preserve">Sukladno svojoj ulozi kao nacionalne institucije za ljudska prava, pučka je pravobraniteljica povodom 50. obljetnice Međunarodnog pakta o građanskim i političkim pravima i Međunarodnoga pakta o ekonomskim, socijalnim i kulturnim pravima, a u suradnji s Odborom za ljudska prava i prava nacionalnih manjina Hrvatskoga sabora, u prosincu održala tematsku sjednicu o provedbi međunarodnih paktova UN-a u RH.  </w:t>
      </w:r>
    </w:p>
    <w:p w:rsidR="00505632" w:rsidRDefault="00505632" w:rsidP="00505632">
      <w:r>
        <w:t xml:space="preserve">Na inicijativu specijalnoga izvjestitelja UN-a o pravu na zdravlje Dainiusa Pürasa, u studenome je u Uredu pučke pravobraniteljice održan sastanak sa svim pravobraniteljicama koje su ga izvijestile o provedenim aktivnostima na zaštiti ljudskih prava u području zdravlja, uključujući probleme koje su u svom radu uočile i preporuke koje su u okviru svoje nadležnosti uputile nadležnim institucijama. </w:t>
      </w:r>
    </w:p>
    <w:p w:rsidR="00505632" w:rsidRDefault="00505632" w:rsidP="00505632">
      <w:r>
        <w:t>Češka pravobraniteljica Ana Šabatova sa suradnicima u svibnju  je boravila u radnom posjetu Uredu pučke pravobraniteljice. Bila je to prigoda za razmjenu iskustava o  konkretnim pitanjima  iz djelokruga rada, načina rješavanja pritužbi te sličnostima i razlikama u ovlastima  i postupanja dviju srodnih institucija.</w:t>
      </w:r>
    </w:p>
    <w:p w:rsidR="00505632" w:rsidRDefault="00505632" w:rsidP="00505632">
      <w:pPr>
        <w:pStyle w:val="Heading4"/>
      </w:pPr>
      <w:r>
        <w:t>A649014 NACIONALNI PREVENTIVNI MEHANIZAM</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A649014-NACIONALNI PREVENTIVNI MEHANIZAM</w:t>
            </w:r>
          </w:p>
        </w:tc>
        <w:tc>
          <w:tcPr>
            <w:tcW w:w="2041" w:type="dxa"/>
          </w:tcPr>
          <w:p w:rsidR="00505632" w:rsidRDefault="00505632" w:rsidP="00AD4E52">
            <w:pPr>
              <w:pStyle w:val="CellColumn"/>
              <w:jc w:val="right"/>
            </w:pPr>
            <w:r>
              <w:rPr>
                <w:rFonts w:cs="Times New Roman"/>
              </w:rPr>
              <w:t>130.795</w:t>
            </w:r>
          </w:p>
        </w:tc>
        <w:tc>
          <w:tcPr>
            <w:tcW w:w="2041" w:type="dxa"/>
          </w:tcPr>
          <w:p w:rsidR="00505632" w:rsidRDefault="00505632" w:rsidP="00AD4E52">
            <w:pPr>
              <w:pStyle w:val="CellColumn"/>
              <w:jc w:val="right"/>
            </w:pPr>
            <w:r>
              <w:rPr>
                <w:rFonts w:cs="Times New Roman"/>
              </w:rPr>
              <w:t>127.381</w:t>
            </w:r>
          </w:p>
        </w:tc>
        <w:tc>
          <w:tcPr>
            <w:tcW w:w="2041" w:type="dxa"/>
          </w:tcPr>
          <w:p w:rsidR="00505632" w:rsidRDefault="00505632" w:rsidP="00AD4E52">
            <w:pPr>
              <w:pStyle w:val="CellColumn"/>
              <w:jc w:val="right"/>
            </w:pPr>
            <w:r>
              <w:rPr>
                <w:rFonts w:cs="Times New Roman"/>
              </w:rPr>
              <w:t>112.500</w:t>
            </w:r>
          </w:p>
        </w:tc>
        <w:tc>
          <w:tcPr>
            <w:tcW w:w="1224" w:type="dxa"/>
          </w:tcPr>
          <w:p w:rsidR="00505632" w:rsidRDefault="00505632" w:rsidP="00AD4E52">
            <w:pPr>
              <w:pStyle w:val="CellColumn"/>
              <w:jc w:val="right"/>
            </w:pPr>
            <w:r>
              <w:rPr>
                <w:rFonts w:cs="Times New Roman"/>
              </w:rPr>
              <w:t>88,3</w:t>
            </w:r>
          </w:p>
        </w:tc>
        <w:tc>
          <w:tcPr>
            <w:tcW w:w="1224" w:type="dxa"/>
          </w:tcPr>
          <w:p w:rsidR="00505632" w:rsidRDefault="00505632" w:rsidP="00AD4E52">
            <w:pPr>
              <w:pStyle w:val="CellColumn"/>
              <w:jc w:val="right"/>
            </w:pPr>
            <w:r>
              <w:rPr>
                <w:rFonts w:cs="Times New Roman"/>
              </w:rPr>
              <w:t>86,0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'Fakultativni protokol uz Konvenciju protiv mučenja i drugih okrutnih, nečovječnih ili ponižavajućih postupaka ili kažnjavanja, Narodne novine – Međunarodni ugovori, br. 2/05, članak 18      </w:t>
      </w:r>
    </w:p>
    <w:p w:rsidR="00505632" w:rsidRDefault="00505632" w:rsidP="00505632">
      <w:r>
        <w:t>'Zakon o Nacionalnom preventivnom mehanizmu za sprečavanje  mučenja i drugih okrutnih, neljudskih ili ponižavajućih postupaka ili kažnjavanja, Narodne novine br 18/11, 33/15, članak 10</w:t>
      </w:r>
    </w:p>
    <w:p w:rsidR="00505632" w:rsidRDefault="00505632" w:rsidP="00505632">
      <w:pPr>
        <w:pStyle w:val="Heading8"/>
        <w:jc w:val="left"/>
      </w:pPr>
      <w:r>
        <w:t>Opis aktivnosti</w:t>
      </w:r>
    </w:p>
    <w:p w:rsidR="00505632" w:rsidRDefault="00505632" w:rsidP="00505632">
      <w:r>
        <w:t xml:space="preserve">Pučka pravobraniteljica štiti prava osoba lišenih slobode na dva načina: postupanjem u pojedinačnim slučajevima temeljem individualnih pritužbi te preventivno, obilascima institucija u kojima se nalaze ili bi se mogle nalaziti osobe lišene slobode, kao što su zatvori, psihijatrijske ustanove, policijske postaje i druge. U nekim slučajevima može se raditi i o ograničavanju slobode kretanja, iako nema formalnog ograničavanja slobode, kao što su primjerice domovi za starije i nemoćne osobe. </w:t>
      </w:r>
    </w:p>
    <w:p w:rsidR="00505632" w:rsidRDefault="00505632" w:rsidP="00505632">
      <w:r>
        <w:t xml:space="preserve">Postupanjem po pojedinačnim pritužbama i redovitim obilascima kaznenih tijela štite se prava osoba lišenih slobode te se jača njihova zaštita od mučenja i drugih okrutnih, neljudskih ili ponižavajućih postupanja. U 2016. godini zaprimljeno je 158 pritužbi, provedeno 40 ispitnih postupaka na terenu te je obiđeno osam kaznenih tijela. </w:t>
      </w:r>
    </w:p>
    <w:p w:rsidR="00505632" w:rsidRDefault="00505632" w:rsidP="00505632">
      <w:r>
        <w:t xml:space="preserve">Sustav socijalne skrbi obuhvaća veliki broj različitih ustanova u kojima sloboda kretanja može biti de facto ograničena. U 2016. obišli smo tri doma za starije i nemoćne, dom za odrasle osobe te dom za odgoj djece i mladeži, nakon čega smo dali tri upozorenja i 28 preporuka. </w:t>
      </w:r>
    </w:p>
    <w:p w:rsidR="00505632" w:rsidRDefault="00505632" w:rsidP="00505632">
      <w:r>
        <w:t>U 2016. godini sudjelovali smo na tri sastanaka Mreže NPM-a jugoistočne Europe, na temu obilazaka domova za starije te preventivne zaštite prava izbjeglica u zemljama jugoistočne Europe. U Saloni smo sudjelovali na radionici o zajedničkom regionalnom planu ombudsmana u rješavanju izbjegličke krize, a u Beču na edukaciji o monitoringu prisilnih udaljenja u organizaciji FRA i Frontex-a. U Beču smo sudjelovali i na radionici o međusobnoj suradnji NPM-ova i sudaca u radu s osobama lišenim slobode, posebice kada se radi o implementaciji legislative EU. Nadalje, ugostili smo predstavnike gruzijskog NPM-a s ciljem razmjene iskustava vezano za praćenje preporuka i instrumenata koji se koriste prilikom obilazaka, a zajedno smo posjetili Zatvor u Zagrebu, PU zagrebačku i PCSJ. Bili smo u posjeti slovenskom NPM-u kako bi razmijenili iskustva i praksu vezano za preventivne posjete domova za starije, pri čemu smo posjetili domove u Celju i Krškom. Također, povodom obilježavanja 10 godina OPCAT-a, u suradnji sa Ludwig Boltzmann Institutom, Vijećem Europe i švicarskim Federalnim odjelom za vanjske poslove, u Zagrebu smo organizirali konferenciju koja je okupila predstavnike NPM-ova iz 13 zemalja. Teme o kojima se raspravljalo uključivale su implementaciju Mandelinih pravila, jačanje praćenja preporuka te ulogu NPM-a u zaštiti prava izbjeglica i iregularnih migranata.</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4"/>
      </w:pPr>
      <w:r>
        <w:t>T649015 LJUDSKA PRAVA OSOBA STARIJE ŽIVOTNE DOBI NA INSTITUCIONALNOJ SKRBI</w:t>
      </w:r>
    </w:p>
    <w:tbl>
      <w:tblPr>
        <w:tblStyle w:val="StilTablice"/>
        <w:tblW w:w="10206" w:type="dxa"/>
        <w:jc w:val="center"/>
        <w:tblLook w:val="04A0" w:firstRow="1" w:lastRow="0" w:firstColumn="1" w:lastColumn="0" w:noHBand="0" w:noVBand="1"/>
      </w:tblPr>
      <w:tblGrid>
        <w:gridCol w:w="2015"/>
        <w:gridCol w:w="1935"/>
        <w:gridCol w:w="1910"/>
        <w:gridCol w:w="1935"/>
        <w:gridCol w:w="1201"/>
        <w:gridCol w:w="1210"/>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T649015-LJUDSKA PRAVA OSOBA STARIJE ŽIVOTNE DOBI NA INSTITUCIONALNOJ SKRBI</w:t>
            </w:r>
          </w:p>
        </w:tc>
        <w:tc>
          <w:tcPr>
            <w:tcW w:w="2041" w:type="dxa"/>
          </w:tcPr>
          <w:p w:rsidR="00505632" w:rsidRDefault="00505632" w:rsidP="00AD4E52">
            <w:pPr>
              <w:pStyle w:val="CellColumn"/>
              <w:jc w:val="right"/>
            </w:pPr>
            <w:r>
              <w:rPr>
                <w:rFonts w:cs="Times New Roman"/>
              </w:rPr>
              <w:t>14.274</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15.891</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111,3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Sporazum o financiranju između EK (DG za zapošljavanje) i ENNHRI registiran pod brojem VS2014/0579</w:t>
      </w:r>
    </w:p>
    <w:p w:rsidR="00505632" w:rsidRDefault="00505632" w:rsidP="00505632">
      <w:pPr>
        <w:pStyle w:val="Heading8"/>
        <w:jc w:val="left"/>
      </w:pPr>
      <w:r>
        <w:t>Opis aktivnosti</w:t>
      </w:r>
    </w:p>
    <w:p w:rsidR="00505632" w:rsidRDefault="00505632" w:rsidP="00505632">
      <w:r>
        <w:t xml:space="preserve">Projekt o ljudskim pravima starijih osoba u dugotrajnoj skrbi ima cilj primijeniti pristup utemeljen na ljudskim pravima kod skrbi starijih osoba u Europi. Primjena standarda ljudskih prava kod skrbi starijih osoba pridonosi postizanju minimalnih standarda u skrbi za starije osobe. Projekt “Ljudska prava osoba starije životne dobi na institucionalnoj skrbi ” provodi se u suradnji s partnerima iz Belgije, Njemačke, Mađarske, Litve i Rumunjske.  </w:t>
      </w:r>
    </w:p>
    <w:p w:rsidR="00505632" w:rsidRDefault="00505632" w:rsidP="00505632">
      <w:r>
        <w:t xml:space="preserve">Aktivnosti u 2016. godini bile su sljedeći susreti s dionicima i nositeljima: </w:t>
      </w:r>
    </w:p>
    <w:p w:rsidR="00505632" w:rsidRDefault="00505632" w:rsidP="00505632">
      <w:r>
        <w:t xml:space="preserve">- predstavljanje prvih nalaza i sastanak s korisnicima, kao i davateljima skrbi u ustanovi u Belom Manastiru, Osječko-baranjska županija; </w:t>
      </w:r>
    </w:p>
    <w:p w:rsidR="00505632" w:rsidRDefault="00505632" w:rsidP="00505632">
      <w:r>
        <w:t xml:space="preserve">-sastanak nositelja sa zainteresiranim dionicima Zadarske županije u Zadru te praćenje i predstavljanje projekta korisnicima kao i skrbnicima; </w:t>
      </w:r>
    </w:p>
    <w:p w:rsidR="00505632" w:rsidRDefault="00505632" w:rsidP="00505632">
      <w:r>
        <w:t xml:space="preserve">- predstavljanje projekta i sastanak sa zainteresiranim stranama u Sisačko-moslavačkoj županiji </w:t>
      </w:r>
    </w:p>
    <w:p w:rsidR="00505632" w:rsidRDefault="00505632" w:rsidP="00505632">
      <w:r>
        <w:t xml:space="preserve">-izrađeno je nacionalno izvješće o stanju ljudskih prava u domovima za starije. </w:t>
      </w:r>
    </w:p>
    <w:p w:rsidR="00505632" w:rsidRDefault="00505632" w:rsidP="00505632">
      <w:r>
        <w:t>Tijekom 2016. godine za nastavak projekta “Ljudska prava osoba starije životne dobi na institucionalnoj skrbi ” utrošeno je 15.891 kn  (izvor financiranja 51 – Pomoći EU).</w:t>
      </w:r>
    </w:p>
    <w:p w:rsidR="00505632" w:rsidRDefault="00505632" w:rsidP="008E201B">
      <w:pPr>
        <w:overflowPunct/>
        <w:autoSpaceDE/>
        <w:autoSpaceDN/>
        <w:adjustRightInd/>
        <w:spacing w:after="200" w:line="276" w:lineRule="auto"/>
        <w:jc w:val="left"/>
        <w:textAlignment w:val="auto"/>
      </w:pPr>
      <w:r>
        <w:br w:type="page"/>
      </w:r>
    </w:p>
    <w:p w:rsidR="00505632" w:rsidRDefault="00505632" w:rsidP="00505632">
      <w:pPr>
        <w:pStyle w:val="Heading1"/>
      </w:pPr>
      <w:r>
        <w:t>121 PRAVOBRANITELJ ZA DJECU</w:t>
      </w:r>
    </w:p>
    <w:p w:rsidR="00505632" w:rsidRDefault="00505632" w:rsidP="00505632">
      <w:r>
        <w:t xml:space="preserve">Proračun Pravobranitelja za djecu iznosio je 4.664.201,00 kuna, a planiran je sukladno Strateškom planu za razdoblje od 2016. do 2018. te Planu i programu rada za 2016. Proračunskim sredstvima raspolagalo se sukladno Zakonu o proračunu (NN 87/08., 136/12., 15/15.), Zakonu o javnoj nabavi (NN 90/11., 83/13., 143/13., 13/14.) i ostalim propisima o poslovanju proračunskih korisnika, kao i prema smjernicama Ministarstva financija. Proračun je izvršen s 98,18% iznosa, odnosno s 4.579.312,29 kn.  </w:t>
      </w:r>
    </w:p>
    <w:p w:rsidR="00505632" w:rsidRDefault="00505632" w:rsidP="00505632">
      <w:r>
        <w:t xml:space="preserve">U odnosu na prethodne godine, sredstva za rad Pravobranitelja za djecu su u 2016. bila planirana u manjem iznosu u odnosu na 2015. budući da su Rebalansom prethodno planirana sredstva umanjena zbog racionalizacije poslovanja i postignutih ušteda. Ušteda je bila moguća zbog racionalizacije na plaćama, naknadama za zaposlene te sredstvima za službena putovanja, uredski materijal i uslugama telefona, pošte i prijevoza. Dio sredstava za službena putovanja je i refundiran od strane organizatora konferencija i skupova (EUROCHILD, EK/VE i UNICEF). Planirani prihodi za financiranje rashoda poslovanja, Aktivnost A739000 Zaštita, praćenje i promicanje prava djece, u 2016. izvršeni su s 98,14% (4.479.514,71 kn), a planirani prihodi za financiranje rashoda za nabavu nefinancijske imovine, K739001 Informatizacija ureda, izvršeni su s 99,63% (16.937,50 kn). </w:t>
      </w:r>
    </w:p>
    <w:p w:rsidR="00505632" w:rsidRDefault="00505632" w:rsidP="00505632">
      <w:r>
        <w:t>Planirani prihodi za financiranje tekućeg projekta T739010 Organizacija godišnje konferencije COPE-a u 2016. izvršeni su s 99,98% (82.860,08 kn).</w:t>
      </w:r>
    </w:p>
    <w:tbl>
      <w:tblPr>
        <w:tblStyle w:val="StilTablice"/>
        <w:tblW w:w="10206" w:type="dxa"/>
        <w:jc w:val="center"/>
        <w:tblLook w:val="04A0" w:firstRow="1" w:lastRow="0" w:firstColumn="1" w:lastColumn="0" w:noHBand="0" w:noVBand="1"/>
      </w:tblPr>
      <w:tblGrid>
        <w:gridCol w:w="1860"/>
        <w:gridCol w:w="1974"/>
        <w:gridCol w:w="1974"/>
        <w:gridCol w:w="1974"/>
        <w:gridCol w:w="1209"/>
        <w:gridCol w:w="1215"/>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12105-Pravobranitelj za djecu</w:t>
            </w:r>
          </w:p>
        </w:tc>
        <w:tc>
          <w:tcPr>
            <w:tcW w:w="2041" w:type="dxa"/>
            <w:vAlign w:val="top"/>
          </w:tcPr>
          <w:p w:rsidR="00505632" w:rsidRDefault="00505632" w:rsidP="00AD4E52">
            <w:pPr>
              <w:pStyle w:val="CellColumn"/>
              <w:jc w:val="right"/>
            </w:pPr>
            <w:r>
              <w:rPr>
                <w:rFonts w:cs="Times New Roman"/>
              </w:rPr>
              <w:t>4.751.346</w:t>
            </w:r>
          </w:p>
        </w:tc>
        <w:tc>
          <w:tcPr>
            <w:tcW w:w="2041" w:type="dxa"/>
            <w:vAlign w:val="top"/>
          </w:tcPr>
          <w:p w:rsidR="00505632" w:rsidRDefault="00505632" w:rsidP="00AD4E52">
            <w:pPr>
              <w:pStyle w:val="CellColumn"/>
              <w:jc w:val="right"/>
            </w:pPr>
            <w:r>
              <w:rPr>
                <w:rFonts w:cs="Times New Roman"/>
              </w:rPr>
              <w:t>4.664.201</w:t>
            </w:r>
          </w:p>
        </w:tc>
        <w:tc>
          <w:tcPr>
            <w:tcW w:w="2041" w:type="dxa"/>
            <w:vAlign w:val="top"/>
          </w:tcPr>
          <w:p w:rsidR="00505632" w:rsidRDefault="00505632" w:rsidP="00AD4E52">
            <w:pPr>
              <w:pStyle w:val="CellColumn"/>
              <w:jc w:val="right"/>
            </w:pPr>
            <w:r>
              <w:rPr>
                <w:rFonts w:cs="Times New Roman"/>
              </w:rPr>
              <w:t>4.579.312</w:t>
            </w:r>
          </w:p>
        </w:tc>
        <w:tc>
          <w:tcPr>
            <w:tcW w:w="1224" w:type="dxa"/>
            <w:vAlign w:val="top"/>
          </w:tcPr>
          <w:p w:rsidR="00505632" w:rsidRDefault="00505632" w:rsidP="00AD4E52">
            <w:pPr>
              <w:pStyle w:val="CellColumn"/>
              <w:jc w:val="right"/>
            </w:pPr>
            <w:r>
              <w:rPr>
                <w:rFonts w:cs="Times New Roman"/>
              </w:rPr>
              <w:t>98,2</w:t>
            </w:r>
          </w:p>
        </w:tc>
        <w:tc>
          <w:tcPr>
            <w:tcW w:w="1224" w:type="dxa"/>
            <w:vAlign w:val="top"/>
          </w:tcPr>
          <w:p w:rsidR="00505632" w:rsidRDefault="00505632" w:rsidP="00AD4E52">
            <w:pPr>
              <w:pStyle w:val="CellColumn"/>
              <w:jc w:val="right"/>
            </w:pPr>
            <w:r>
              <w:rPr>
                <w:rFonts w:cs="Times New Roman"/>
              </w:rPr>
              <w:t>96,4</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121-PRAVOBRANITELJ ZA DJECU</w:t>
            </w:r>
          </w:p>
        </w:tc>
        <w:tc>
          <w:tcPr>
            <w:tcW w:w="2041" w:type="dxa"/>
            <w:shd w:val="clear" w:color="auto" w:fill="B5C0D8"/>
          </w:tcPr>
          <w:p w:rsidR="00505632" w:rsidRDefault="00505632" w:rsidP="00AD4E52">
            <w:pPr>
              <w:pStyle w:val="CellColumn"/>
              <w:jc w:val="right"/>
            </w:pPr>
            <w:r>
              <w:rPr>
                <w:rFonts w:cs="Times New Roman"/>
              </w:rPr>
              <w:t>4.751.346</w:t>
            </w:r>
          </w:p>
        </w:tc>
        <w:tc>
          <w:tcPr>
            <w:tcW w:w="2041" w:type="dxa"/>
            <w:shd w:val="clear" w:color="auto" w:fill="B5C0D8"/>
          </w:tcPr>
          <w:p w:rsidR="00505632" w:rsidRDefault="00505632" w:rsidP="00AD4E52">
            <w:pPr>
              <w:pStyle w:val="CellColumn"/>
              <w:jc w:val="right"/>
            </w:pPr>
            <w:r>
              <w:rPr>
                <w:rFonts w:cs="Times New Roman"/>
              </w:rPr>
              <w:t>4.664.201</w:t>
            </w:r>
          </w:p>
        </w:tc>
        <w:tc>
          <w:tcPr>
            <w:tcW w:w="2041" w:type="dxa"/>
            <w:shd w:val="clear" w:color="auto" w:fill="B5C0D8"/>
          </w:tcPr>
          <w:p w:rsidR="00505632" w:rsidRDefault="00505632" w:rsidP="00AD4E52">
            <w:pPr>
              <w:pStyle w:val="CellColumn"/>
              <w:jc w:val="right"/>
            </w:pPr>
            <w:r>
              <w:rPr>
                <w:rFonts w:cs="Times New Roman"/>
              </w:rPr>
              <w:t>4.579.312</w:t>
            </w:r>
          </w:p>
        </w:tc>
        <w:tc>
          <w:tcPr>
            <w:tcW w:w="1224" w:type="dxa"/>
            <w:shd w:val="clear" w:color="auto" w:fill="B5C0D8"/>
          </w:tcPr>
          <w:p w:rsidR="00505632" w:rsidRDefault="00505632" w:rsidP="00AD4E52">
            <w:pPr>
              <w:pStyle w:val="CellColumn"/>
              <w:jc w:val="right"/>
            </w:pPr>
            <w:r>
              <w:rPr>
                <w:rFonts w:cs="Times New Roman"/>
              </w:rPr>
              <w:t>98,2</w:t>
            </w:r>
          </w:p>
        </w:tc>
        <w:tc>
          <w:tcPr>
            <w:tcW w:w="1224" w:type="dxa"/>
            <w:shd w:val="clear" w:color="auto" w:fill="B5C0D8"/>
          </w:tcPr>
          <w:p w:rsidR="00505632" w:rsidRDefault="00505632" w:rsidP="00AD4E52">
            <w:pPr>
              <w:pStyle w:val="CellColumn"/>
              <w:jc w:val="right"/>
            </w:pPr>
            <w:r>
              <w:rPr>
                <w:rFonts w:cs="Times New Roman"/>
              </w:rPr>
              <w:t>96,4</w:t>
            </w:r>
          </w:p>
        </w:tc>
      </w:tr>
    </w:tbl>
    <w:p w:rsidR="00505632" w:rsidRDefault="00505632" w:rsidP="00505632">
      <w:pPr>
        <w:jc w:val="left"/>
      </w:pPr>
    </w:p>
    <w:p w:rsidR="00505632" w:rsidRDefault="00505632" w:rsidP="00505632">
      <w:pPr>
        <w:pStyle w:val="Heading2"/>
      </w:pPr>
      <w:r>
        <w:t>12105 Pravobranitelj za djecu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12105-Pravobranitelj za djecu</w:t>
            </w:r>
          </w:p>
        </w:tc>
        <w:tc>
          <w:tcPr>
            <w:tcW w:w="2041" w:type="dxa"/>
            <w:vAlign w:val="top"/>
          </w:tcPr>
          <w:p w:rsidR="00505632" w:rsidRDefault="00505632" w:rsidP="00AD4E52">
            <w:pPr>
              <w:pStyle w:val="CellColumn"/>
              <w:jc w:val="right"/>
            </w:pPr>
            <w:r>
              <w:rPr>
                <w:rFonts w:cs="Times New Roman"/>
              </w:rPr>
              <w:t>4.751.346</w:t>
            </w:r>
          </w:p>
        </w:tc>
        <w:tc>
          <w:tcPr>
            <w:tcW w:w="2041" w:type="dxa"/>
            <w:vAlign w:val="top"/>
          </w:tcPr>
          <w:p w:rsidR="00505632" w:rsidRDefault="00505632" w:rsidP="00AD4E52">
            <w:pPr>
              <w:pStyle w:val="CellColumn"/>
              <w:jc w:val="right"/>
            </w:pPr>
            <w:r>
              <w:rPr>
                <w:rFonts w:cs="Times New Roman"/>
              </w:rPr>
              <w:t>4.664.201</w:t>
            </w:r>
          </w:p>
        </w:tc>
        <w:tc>
          <w:tcPr>
            <w:tcW w:w="2041" w:type="dxa"/>
            <w:vAlign w:val="top"/>
          </w:tcPr>
          <w:p w:rsidR="00505632" w:rsidRDefault="00505632" w:rsidP="00AD4E52">
            <w:pPr>
              <w:pStyle w:val="CellColumn"/>
              <w:jc w:val="right"/>
            </w:pPr>
            <w:r>
              <w:rPr>
                <w:rFonts w:cs="Times New Roman"/>
              </w:rPr>
              <w:t>4.579.312</w:t>
            </w:r>
          </w:p>
        </w:tc>
        <w:tc>
          <w:tcPr>
            <w:tcW w:w="1224" w:type="dxa"/>
            <w:vAlign w:val="top"/>
          </w:tcPr>
          <w:p w:rsidR="00505632" w:rsidRDefault="00505632" w:rsidP="00AD4E52">
            <w:pPr>
              <w:pStyle w:val="CellColumn"/>
              <w:jc w:val="right"/>
            </w:pPr>
            <w:r>
              <w:rPr>
                <w:rFonts w:cs="Times New Roman"/>
              </w:rPr>
              <w:t>98,2</w:t>
            </w:r>
          </w:p>
        </w:tc>
        <w:tc>
          <w:tcPr>
            <w:tcW w:w="1224" w:type="dxa"/>
            <w:vAlign w:val="top"/>
          </w:tcPr>
          <w:p w:rsidR="00505632" w:rsidRDefault="00505632" w:rsidP="00AD4E52">
            <w:pPr>
              <w:pStyle w:val="CellColumn"/>
              <w:jc w:val="right"/>
            </w:pPr>
            <w:r>
              <w:rPr>
                <w:rFonts w:cs="Times New Roman"/>
              </w:rPr>
              <w:t>96,4</w:t>
            </w:r>
          </w:p>
        </w:tc>
      </w:tr>
      <w:tr w:rsidR="00505632" w:rsidTr="00AD4E52">
        <w:trPr>
          <w:jc w:val="center"/>
        </w:trPr>
        <w:tc>
          <w:tcPr>
            <w:tcW w:w="1632" w:type="dxa"/>
          </w:tcPr>
          <w:p w:rsidR="00505632" w:rsidRDefault="00505632" w:rsidP="00AD4E52">
            <w:pPr>
              <w:jc w:val="left"/>
            </w:pPr>
            <w:r>
              <w:t>2116-ZAŠTITA I PROMICANJE PRAVA DJECE</w:t>
            </w:r>
          </w:p>
        </w:tc>
        <w:tc>
          <w:tcPr>
            <w:tcW w:w="2041" w:type="dxa"/>
          </w:tcPr>
          <w:p w:rsidR="00505632" w:rsidRDefault="00505632" w:rsidP="00AD4E52">
            <w:pPr>
              <w:jc w:val="right"/>
            </w:pPr>
            <w:r>
              <w:t>4.751.346</w:t>
            </w:r>
          </w:p>
        </w:tc>
        <w:tc>
          <w:tcPr>
            <w:tcW w:w="2041" w:type="dxa"/>
          </w:tcPr>
          <w:p w:rsidR="00505632" w:rsidRDefault="00505632" w:rsidP="00AD4E52">
            <w:pPr>
              <w:jc w:val="right"/>
            </w:pPr>
            <w:r>
              <w:t>4.664.201</w:t>
            </w:r>
          </w:p>
        </w:tc>
        <w:tc>
          <w:tcPr>
            <w:tcW w:w="2041" w:type="dxa"/>
          </w:tcPr>
          <w:p w:rsidR="00505632" w:rsidRDefault="00505632" w:rsidP="00AD4E52">
            <w:pPr>
              <w:jc w:val="right"/>
            </w:pPr>
            <w:r>
              <w:t>4.579.312</w:t>
            </w:r>
          </w:p>
        </w:tc>
        <w:tc>
          <w:tcPr>
            <w:tcW w:w="1224" w:type="dxa"/>
          </w:tcPr>
          <w:p w:rsidR="00505632" w:rsidRDefault="00505632" w:rsidP="00AD4E52">
            <w:pPr>
              <w:jc w:val="right"/>
            </w:pPr>
            <w:r>
              <w:t>98,2</w:t>
            </w:r>
          </w:p>
        </w:tc>
        <w:tc>
          <w:tcPr>
            <w:tcW w:w="1224" w:type="dxa"/>
          </w:tcPr>
          <w:p w:rsidR="00505632" w:rsidRDefault="00505632" w:rsidP="00AD4E52">
            <w:pPr>
              <w:jc w:val="right"/>
            </w:pPr>
            <w:r>
              <w:t>96,4</w:t>
            </w:r>
          </w:p>
        </w:tc>
      </w:tr>
    </w:tbl>
    <w:p w:rsidR="00505632" w:rsidRDefault="00505632" w:rsidP="00505632">
      <w:pPr>
        <w:jc w:val="left"/>
      </w:pPr>
    </w:p>
    <w:p w:rsidR="00505632" w:rsidRDefault="00505632" w:rsidP="00505632">
      <w:pPr>
        <w:pStyle w:val="Heading3"/>
      </w:pPr>
      <w:r>
        <w:rPr>
          <w:rFonts w:cs="Times New Roman"/>
        </w:rPr>
        <w:t>2116 ZAŠTITA I PROMICANJE PRAVA DJECE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2116-ZAŠTITA I PROMICANJE PRAVA DJECE</w:t>
            </w:r>
          </w:p>
        </w:tc>
        <w:tc>
          <w:tcPr>
            <w:tcW w:w="2041" w:type="dxa"/>
          </w:tcPr>
          <w:p w:rsidR="00505632" w:rsidRDefault="00505632" w:rsidP="00AD4E52">
            <w:pPr>
              <w:pStyle w:val="CellColumn"/>
              <w:jc w:val="right"/>
            </w:pPr>
            <w:r>
              <w:rPr>
                <w:rFonts w:cs="Times New Roman"/>
              </w:rPr>
              <w:t>4.751.346</w:t>
            </w:r>
          </w:p>
        </w:tc>
        <w:tc>
          <w:tcPr>
            <w:tcW w:w="2041" w:type="dxa"/>
          </w:tcPr>
          <w:p w:rsidR="00505632" w:rsidRDefault="00505632" w:rsidP="00AD4E52">
            <w:pPr>
              <w:pStyle w:val="CellColumn"/>
              <w:jc w:val="right"/>
            </w:pPr>
            <w:r>
              <w:rPr>
                <w:rFonts w:cs="Times New Roman"/>
              </w:rPr>
              <w:t>4.664.201</w:t>
            </w:r>
          </w:p>
        </w:tc>
        <w:tc>
          <w:tcPr>
            <w:tcW w:w="2041" w:type="dxa"/>
          </w:tcPr>
          <w:p w:rsidR="00505632" w:rsidRDefault="00505632" w:rsidP="00AD4E52">
            <w:pPr>
              <w:pStyle w:val="CellColumn"/>
              <w:jc w:val="right"/>
            </w:pPr>
            <w:r>
              <w:rPr>
                <w:rFonts w:cs="Times New Roman"/>
              </w:rPr>
              <w:t>4.579.312</w:t>
            </w:r>
          </w:p>
        </w:tc>
        <w:tc>
          <w:tcPr>
            <w:tcW w:w="1224" w:type="dxa"/>
          </w:tcPr>
          <w:p w:rsidR="00505632" w:rsidRDefault="00505632" w:rsidP="00AD4E52">
            <w:pPr>
              <w:pStyle w:val="CellColumn"/>
              <w:jc w:val="right"/>
            </w:pPr>
            <w:r>
              <w:rPr>
                <w:rFonts w:cs="Times New Roman"/>
              </w:rPr>
              <w:t>98,2</w:t>
            </w:r>
          </w:p>
        </w:tc>
        <w:tc>
          <w:tcPr>
            <w:tcW w:w="1224" w:type="dxa"/>
          </w:tcPr>
          <w:p w:rsidR="00505632" w:rsidRDefault="00505632" w:rsidP="00AD4E52">
            <w:pPr>
              <w:pStyle w:val="CellColumn"/>
              <w:jc w:val="right"/>
            </w:pPr>
            <w:r>
              <w:rPr>
                <w:rFonts w:cs="Times New Roman"/>
              </w:rPr>
              <w:t>96,4</w:t>
            </w:r>
          </w:p>
        </w:tc>
      </w:tr>
    </w:tbl>
    <w:p w:rsidR="00505632" w:rsidRDefault="00505632" w:rsidP="00505632">
      <w:pPr>
        <w:jc w:val="left"/>
      </w:pPr>
    </w:p>
    <w:p w:rsidR="00505632" w:rsidRDefault="00505632" w:rsidP="00505632">
      <w:r>
        <w:t xml:space="preserve">Glavni program Pravobranitelja za djecu „Zaštita, praćenje i promicanje ljudskih prava i temeljnih sloboda djece“ ostvarivao se kroz podprogram A739000 Zaštita, praćenje i promicanje prava djece za što smo izradili prijedlog plana za slijedeće trogodišnje razdoblje. Povećanje razine zaštite sve djece u Republici Hrvatskoj, ostvarivanje njihovih prava u svim područjima života i unapređenje njihova položaja u društvu, neovisno i samostalno, držeći se načela pravičnosti i morala, štititi, pratiti i promicati prava i interese djece te tekući projekt T 739010 – Organizacija Međunarodne konferencije COPE. </w:t>
      </w:r>
    </w:p>
    <w:p w:rsidR="00505632" w:rsidRDefault="00505632" w:rsidP="00505632">
      <w:r>
        <w:t>Tijekom 2016. razmatrano je ukupno 1876 pojedinačnih povreda prava djece, a u taj broj su uključeni i slučajevi iz prethodnih godina. U 2016. zaprimljeno je 1558 novih prijava povreda prava djece, što je nešto više nego u prethodnoj godini, a postupalo se i u 318 predmeta koji su, kao aktivni predmeti, preneseni iz prethodnih godina. Pojedinačne prijave, slično kao i dosadašnjih godina, najviše su se odnosile na probleme u ostvarivanju roditeljske skrbi (343), zatim na povrede obrazovnih prava (296), na zaštitu djece od nasilja i zanemarivanja (272) te na zdravstvena prava (161). Osim u slučajevima pojedinačnih povreda prava pravobraniteljica je u 2016. godini postupala i u 956 općih inicijativa za zaštitu prava djece i drugim aktivnostima. Pravobraniteljica i savjetnici obišli su 76 ustanova i lokacija u kojima borave djeci privremeno ili su odnosno trajno smještena na temelju posebnih propisa, i to: pet ustanova socijalne skrbi; sklonište za žrtve nasilja; centar za posebno skrbništvo; dva centra za socijalnu skrb, dvije udomiteljske obitelji i udrugu udomitelja za djecu; dva prihvatilišta za tražitelje azila i prihvatni centar za migrante; 38 odgojno-obrazovnih ustanova; tri zdravstvene ustanove; devet kaznenih i osam policijskih ustanova, te tri romska naselja. Prilikom obilazaka posebno smo pratili uvjete smještaja, odgoja i skrbi, mogućnosti dječje participacije u pojedinim pitanjima života i rada u ustanovama te suradnju s drugim relevantnim ustanovama.  Tijekom 2016., s ciljem unapređivanja zaštite veće grupe djece u RH, nadležnim institucijama uputili smo 59 općih preporuka, organizirali 45 stručnih i radnih sastanaka, rasprava, konferencija i stručnih skupova te izložbu, sudjelovali u donošenju 23 propisa, surađivali s nacionalnim i međunarodnim organizacijama. Izvještajno razdoblje za 2016. godinu obilježeno je nizom događaja, od kojih su neki uvjetovani događajima u dijelu Europe i svijeta koji su se reflektirali i na području Republike Hrvatske zahtijevajući zaštitu djece i aktivnosti Pravobranitelja za djecu. Pri tome primarno mislimo i na daljnje nužno praćenje i zaštitu prava djece u pokretu, posebice djece bez pratnje, u tijeku „izbjegličkoga vala“. U Hrvatskoj sve važnije pitanje postaje integracija i obrazovanje djece u pokretu, posebice djece bez pratnje. Navedena tema i dalje je jedna od najaktualnijih u kontekstu zaštite djece i njihovih prava. Rad pravobraniteljice za djecu u 2016. godini obilježila je intenzivna i kvalitetna međunarodna suradnja, te organizacija i domaćinstvo velikog međunarodnog skupa mreže COPE-a (mreže organizacija i institucija koje se bave zaštitom djece čiji su roditelji u zatvoru) u svibnju 2016. godine. Među gostima konferencije s gotovo više od 200 sudionika, uz brojne domaće stručnjake i predstavnike institucija, akademske zajednice i civilnog društva, bili su i članovi Odbora za prava djeteta UN-a te predstavnici Europske komisije i Vijeća Europe. Ponosni smo na ocjenu da je, uz obilježavanje desetogodišnjice postojanja mreže, ova konferencija ocijenjena kao jedna od najuspješnijih, kao i na činjenicu da je rad hrvatskog pravobranitelja za djecu na ovom području prepoznat kao jedan od primjera kontinuirano dobre prakse. U smislu jačanja i nastavka međunarodne suradnje pravobraniteljica je sa svojim suradnicima i u ovom izvještajnom razdoblju aktivno sudjelovala te predstavljala Republiku Hrvatsku u okviru ENOC-a (Europska mreža pravobranitelja za djecu). Godišnja konferencija održana je u Litvi, a tema je bila inkluzivno obrazovanje djece. Također, kao članica Mreže pravobranitelja za djecu Jugoistočne Europe – CRONSEE, pravobraniteljica je sa svojim suradnicima aktivno sudjelovala u radu ovogodišnje konferencije održane u Skopju, u prosincu 2016. godine. Tema je bila, upravo spomenuta zaštita djece u pokretu, posebice djece bez pratnje. U ovom izvještajnom razdoblju nastavljamo istraživanja o stanju prava djece u Republici Hrvatskoj, u različitim područjima. Naime, potpuno smo svjesni činjenice da se u zaštiti prava djece, vrlo često donose ocjene i zaključci bez objektivne, na podacima i istraživanjima utemeljene i stručne rasprave. Stoga smo u 2016. godini proveli istraživanje o  ostvarivanju podrške učenicima s teškoćama u razvoju putem pomoćnika u nastavi/stručnih komunikacijskih posrednika u osnovnim i srednjim školama u Hrvatskoj, a također smo nastavili višegodišnje istraživanje o kretanju broja djece i mladih na smještaju, organiziranom stanovanju i boravku u domovima za djecu bez odgovarajuće roditeljske skrbi i centrima za pružanje usluga u zajednici. Osim toga, u suradnji s drugim stručnjacima nastavljamo istraživati područje participacije djece u školi, što smo zajedno s djecom iz naše Mreže mladih savjetnika (MMS) započeli prije nekoliko godina. Cilj nam je, u okviru financijskih mogućnosti, i nadalje nastaviti raditi u području istraživanja o stanju prava djece, o participaciji djece u društvu te iskoristiti navedene podatke u prijedlozima za poboljšanje sustava zaštite prava djece u Republici Hrvatskoj.S ponosom ističemo nastavak rada Mreže mladih savjetnika pravobraniteljice za djecu – MMS. Ovo izvještajno razdoblje bilo je obilježeno izradom i iznimno dobro medijski popraćenom promocijom MMS-ove Strategije protiv vršnjačkoga nasilja „Stop tišini koja boli!“, koju su izradili članovi MMS-a. Strategija se odnosi na borbu protiv i zaštitu djece od, primarno psihičkog nasilja, izoliranja i isključivanja među djecom. Pravobraniteljica je ovu Strategiju MMS-a uputila nadležnim institucijama kao svojevrsne preporuke.</w:t>
      </w:r>
    </w:p>
    <w:p w:rsidR="00505632" w:rsidRDefault="00505632" w:rsidP="00505632">
      <w:pPr>
        <w:pStyle w:val="Heading8"/>
        <w:jc w:val="left"/>
      </w:pPr>
      <w:r>
        <w:t>Cilj 1. Ostvarenje najboljih interesa djece u RH</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455"/>
        <w:gridCol w:w="2462"/>
        <w:gridCol w:w="1004"/>
        <w:gridCol w:w="1012"/>
        <w:gridCol w:w="1248"/>
        <w:gridCol w:w="1012"/>
        <w:gridCol w:w="1013"/>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Prihvaćena upozorenja, prijedlozi i preporuke</w:t>
            </w:r>
          </w:p>
        </w:tc>
        <w:tc>
          <w:tcPr>
            <w:tcW w:w="2551" w:type="dxa"/>
          </w:tcPr>
          <w:p w:rsidR="00505632" w:rsidRDefault="00505632" w:rsidP="00AD4E52">
            <w:pPr>
              <w:pStyle w:val="CellColumn"/>
              <w:jc w:val="left"/>
            </w:pPr>
            <w:r>
              <w:rPr>
                <w:rFonts w:cs="Times New Roman"/>
              </w:rPr>
              <w:t>Sprečavanje štetnih djelovanja koja ugrožavaju prava i interese djece</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Pravobranitelj za djecu</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30</w:t>
            </w:r>
          </w:p>
        </w:tc>
      </w:tr>
      <w:tr w:rsidR="00505632" w:rsidTr="00AD4E52">
        <w:trPr>
          <w:jc w:val="center"/>
        </w:trPr>
        <w:tc>
          <w:tcPr>
            <w:tcW w:w="2551" w:type="dxa"/>
          </w:tcPr>
          <w:p w:rsidR="00505632" w:rsidRDefault="00505632" w:rsidP="00AD4E52">
            <w:pPr>
              <w:pStyle w:val="CellColumn"/>
              <w:jc w:val="left"/>
            </w:pPr>
            <w:r>
              <w:rPr>
                <w:rFonts w:cs="Times New Roman"/>
              </w:rPr>
              <w:t>Prihvaćena upozorenja, prijedlozi i preporuke sveobuhvatne zaštite na godišnjoj razini</w:t>
            </w:r>
          </w:p>
        </w:tc>
        <w:tc>
          <w:tcPr>
            <w:tcW w:w="2551" w:type="dxa"/>
          </w:tcPr>
          <w:p w:rsidR="00505632" w:rsidRDefault="00505632" w:rsidP="00AD4E52">
            <w:pPr>
              <w:pStyle w:val="CellColumn"/>
              <w:jc w:val="left"/>
            </w:pPr>
            <w:r>
              <w:rPr>
                <w:rFonts w:cs="Times New Roman"/>
              </w:rPr>
              <w:t>Unapređenje pravnog i društvenog položaja djece, jačanje dječjeg pravobranitelja te povećanje ulaganja i izdvajanja za dio sustava koji se bavi djecom</w:t>
            </w:r>
          </w:p>
        </w:tc>
        <w:tc>
          <w:tcPr>
            <w:tcW w:w="1020" w:type="dxa"/>
          </w:tcPr>
          <w:p w:rsidR="00505632" w:rsidRDefault="00505632" w:rsidP="00AD4E52">
            <w:pPr>
              <w:pStyle w:val="CellColumn"/>
              <w:jc w:val="right"/>
            </w:pPr>
            <w:r>
              <w:rPr>
                <w:rFonts w:cs="Times New Roman"/>
              </w:rPr>
              <w:t>Postotak</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Pravobranitelj za djecu</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30</w:t>
            </w:r>
          </w:p>
        </w:tc>
      </w:tr>
    </w:tbl>
    <w:p w:rsidR="00505632" w:rsidRDefault="00505632" w:rsidP="00505632">
      <w:pPr>
        <w:jc w:val="left"/>
      </w:pPr>
    </w:p>
    <w:p w:rsidR="00505632" w:rsidRDefault="00505632" w:rsidP="00505632">
      <w:pPr>
        <w:pStyle w:val="Heading4"/>
      </w:pPr>
      <w:r>
        <w:t>A739000 ZAŠTITA, PRAĆENJE I PROMICANJE PRAVA DJECE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A739000-ZAŠTITA, PRAĆENJE I PROMICANJE PRAVA DJECE</w:t>
            </w:r>
          </w:p>
        </w:tc>
        <w:tc>
          <w:tcPr>
            <w:tcW w:w="2041" w:type="dxa"/>
          </w:tcPr>
          <w:p w:rsidR="00505632" w:rsidRDefault="00505632" w:rsidP="00AD4E52">
            <w:pPr>
              <w:pStyle w:val="CellColumn"/>
              <w:jc w:val="right"/>
            </w:pPr>
            <w:r>
              <w:rPr>
                <w:rFonts w:cs="Times New Roman"/>
              </w:rPr>
              <w:t>4.542.593</w:t>
            </w:r>
          </w:p>
        </w:tc>
        <w:tc>
          <w:tcPr>
            <w:tcW w:w="2041" w:type="dxa"/>
          </w:tcPr>
          <w:p w:rsidR="00505632" w:rsidRDefault="00505632" w:rsidP="00AD4E52">
            <w:pPr>
              <w:pStyle w:val="CellColumn"/>
              <w:jc w:val="right"/>
            </w:pPr>
            <w:r>
              <w:rPr>
                <w:rFonts w:cs="Times New Roman"/>
              </w:rPr>
              <w:t>4.564.326</w:t>
            </w:r>
          </w:p>
        </w:tc>
        <w:tc>
          <w:tcPr>
            <w:tcW w:w="2041" w:type="dxa"/>
          </w:tcPr>
          <w:p w:rsidR="00505632" w:rsidRDefault="00505632" w:rsidP="00AD4E52">
            <w:pPr>
              <w:pStyle w:val="CellColumn"/>
              <w:jc w:val="right"/>
            </w:pPr>
            <w:r>
              <w:rPr>
                <w:rFonts w:cs="Times New Roman"/>
              </w:rPr>
              <w:t>4.479.515</w:t>
            </w:r>
          </w:p>
        </w:tc>
        <w:tc>
          <w:tcPr>
            <w:tcW w:w="1224" w:type="dxa"/>
          </w:tcPr>
          <w:p w:rsidR="00505632" w:rsidRDefault="00505632" w:rsidP="00AD4E52">
            <w:pPr>
              <w:pStyle w:val="CellColumn"/>
              <w:jc w:val="right"/>
            </w:pPr>
            <w:r>
              <w:rPr>
                <w:rFonts w:cs="Times New Roman"/>
              </w:rPr>
              <w:t>98,1</w:t>
            </w:r>
          </w:p>
        </w:tc>
        <w:tc>
          <w:tcPr>
            <w:tcW w:w="1224" w:type="dxa"/>
          </w:tcPr>
          <w:p w:rsidR="00505632" w:rsidRDefault="00505632" w:rsidP="00AD4E52">
            <w:pPr>
              <w:pStyle w:val="CellColumn"/>
              <w:jc w:val="right"/>
            </w:pPr>
            <w:r>
              <w:rPr>
                <w:rFonts w:cs="Times New Roman"/>
              </w:rPr>
              <w:t>98,6</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Pravna osnova za provođenje programa je Zakon o pravobranitelju za djecu te drugi propisi kojima se štite, prate i promiču prava i interesi djece, osobito Konvencija Ujedinjenih naroda o pravima djeteta, nacionalni propisi te Izvješća o radu Pravobranitelja za djecu.</w:t>
      </w:r>
    </w:p>
    <w:p w:rsidR="00505632" w:rsidRDefault="00505632" w:rsidP="00505632">
      <w:pPr>
        <w:pStyle w:val="Heading8"/>
        <w:jc w:val="left"/>
      </w:pPr>
      <w:r>
        <w:t>Opis aktivnosti</w:t>
      </w:r>
    </w:p>
    <w:p w:rsidR="00505632" w:rsidRDefault="00505632" w:rsidP="00505632">
      <w:r>
        <w:t>Ukupno izvršenje aktivnosti za 2016. iznosi 98,14% (4.479.514,71 kn), Od čega je 74,27% sredstava (3.326.870,54 kn) izdvojeno za skupinu računa računskog plana 31-Rashodi za zaposlene, 24,86% sredstava (1.113.425,03 kn), za skupinu računa 32-Materijalni rashodi koji obuhvaćaju podskupine: 321 Naknade troškova zaposlenima (227.624,33 kn), 322 Rashodi za materijal i energiju (209.021,23 kn), 323 Rashodi za usluge (590.439,72 kn), 324 Naknade troškova osobama izvan radnog odnosa, a odnose se na rad MMS-a (30.357,28 kn), 329 Ostali nespomenuti rashodi poslovanja (55.982,47 kn). Za skupinu računa 34-Financijski rashodi-podskupinu-343 Ostali financijski rashodi-izdvojeno je 0,05% (2.143,00 kn), a za uredsku opremu i namještaj, koji se vode pod redovnom aktivnosti, izdvojeno je 0,83% sredstava (37.076,14 kn)</w:t>
      </w:r>
    </w:p>
    <w:p w:rsidR="00505632" w:rsidRDefault="00505632" w:rsidP="00505632">
      <w:pPr>
        <w:pStyle w:val="Heading4"/>
      </w:pPr>
      <w:r>
        <w:t>K739001 INFORMATIZACIJA UREDA</w:t>
      </w:r>
    </w:p>
    <w:tbl>
      <w:tblPr>
        <w:tblStyle w:val="StilTablice"/>
        <w:tblW w:w="10206" w:type="dxa"/>
        <w:jc w:val="center"/>
        <w:tblLook w:val="04A0" w:firstRow="1" w:lastRow="0" w:firstColumn="1" w:lastColumn="0" w:noHBand="0" w:noVBand="1"/>
      </w:tblPr>
      <w:tblGrid>
        <w:gridCol w:w="1914"/>
        <w:gridCol w:w="1961"/>
        <w:gridCol w:w="1949"/>
        <w:gridCol w:w="1961"/>
        <w:gridCol w:w="1207"/>
        <w:gridCol w:w="121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K739001-INFORMATIZACIJA UREDA</w:t>
            </w:r>
          </w:p>
        </w:tc>
        <w:tc>
          <w:tcPr>
            <w:tcW w:w="2041" w:type="dxa"/>
          </w:tcPr>
          <w:p w:rsidR="00505632" w:rsidRDefault="00505632" w:rsidP="00AD4E52">
            <w:pPr>
              <w:pStyle w:val="CellColumn"/>
              <w:jc w:val="right"/>
            </w:pPr>
            <w:r>
              <w:rPr>
                <w:rFonts w:cs="Times New Roman"/>
              </w:rPr>
              <w:t>20.559</w:t>
            </w:r>
          </w:p>
        </w:tc>
        <w:tc>
          <w:tcPr>
            <w:tcW w:w="2041" w:type="dxa"/>
          </w:tcPr>
          <w:p w:rsidR="00505632" w:rsidRDefault="00505632" w:rsidP="00AD4E52">
            <w:pPr>
              <w:pStyle w:val="CellColumn"/>
              <w:jc w:val="right"/>
            </w:pPr>
            <w:r>
              <w:rPr>
                <w:rFonts w:cs="Times New Roman"/>
              </w:rPr>
              <w:t>17.000</w:t>
            </w:r>
          </w:p>
        </w:tc>
        <w:tc>
          <w:tcPr>
            <w:tcW w:w="2041" w:type="dxa"/>
          </w:tcPr>
          <w:p w:rsidR="00505632" w:rsidRDefault="00505632" w:rsidP="00AD4E52">
            <w:pPr>
              <w:pStyle w:val="CellColumn"/>
              <w:jc w:val="right"/>
            </w:pPr>
            <w:r>
              <w:rPr>
                <w:rFonts w:cs="Times New Roman"/>
              </w:rPr>
              <w:t>16.938</w:t>
            </w:r>
          </w:p>
        </w:tc>
        <w:tc>
          <w:tcPr>
            <w:tcW w:w="1224" w:type="dxa"/>
          </w:tcPr>
          <w:p w:rsidR="00505632" w:rsidRDefault="00505632" w:rsidP="00AD4E52">
            <w:pPr>
              <w:pStyle w:val="CellColumn"/>
              <w:jc w:val="right"/>
            </w:pPr>
            <w:r>
              <w:rPr>
                <w:rFonts w:cs="Times New Roman"/>
              </w:rPr>
              <w:t>99,6</w:t>
            </w:r>
          </w:p>
        </w:tc>
        <w:tc>
          <w:tcPr>
            <w:tcW w:w="1224" w:type="dxa"/>
          </w:tcPr>
          <w:p w:rsidR="00505632" w:rsidRDefault="00505632" w:rsidP="00AD4E52">
            <w:pPr>
              <w:pStyle w:val="CellColumn"/>
              <w:jc w:val="right"/>
            </w:pPr>
            <w:r>
              <w:rPr>
                <w:rFonts w:cs="Times New Roman"/>
              </w:rPr>
              <w:t>82,4</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Nabava novog server uređaja s pripadajućim programom</w:t>
      </w:r>
    </w:p>
    <w:p w:rsidR="00505632" w:rsidRDefault="00505632" w:rsidP="00505632">
      <w:pPr>
        <w:pStyle w:val="Heading4"/>
      </w:pPr>
      <w:r>
        <w:t>T739010 ORGANIZACIJA GODIŠNJE KONFERENCIJE I SKUPŠTINE  MEĐUNARODNE ORGANIZACIJE CHILDREN OF PRISONERS EUROPE (BIVŠI EUROCHIPS - EUROPEAN COMMITTEE FOR CHILDREN OF IMPRISONED PARENTS)</w:t>
      </w:r>
    </w:p>
    <w:tbl>
      <w:tblPr>
        <w:tblStyle w:val="StilTablice"/>
        <w:tblW w:w="10206" w:type="dxa"/>
        <w:jc w:val="center"/>
        <w:tblLook w:val="04A0" w:firstRow="1" w:lastRow="0" w:firstColumn="1" w:lastColumn="0" w:noHBand="0" w:noVBand="1"/>
      </w:tblPr>
      <w:tblGrid>
        <w:gridCol w:w="1681"/>
        <w:gridCol w:w="2028"/>
        <w:gridCol w:w="2026"/>
        <w:gridCol w:w="2028"/>
        <w:gridCol w:w="1221"/>
        <w:gridCol w:w="122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T739010-ORGANIZACIJA GODIŠNJE KONFERENCIJE I SKUPŠTINE  MEĐUNARODNE ORGANIZACIJE CHILDREN OF PRISONERS EUROPE (BIVŠI EUROCHIPS - EUROPEAN COMMITTEE FOR CHILDREN OF IMPRISONED PARENTS)</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82.875</w:t>
            </w:r>
          </w:p>
        </w:tc>
        <w:tc>
          <w:tcPr>
            <w:tcW w:w="2041" w:type="dxa"/>
          </w:tcPr>
          <w:p w:rsidR="00505632" w:rsidRDefault="00505632" w:rsidP="00AD4E52">
            <w:pPr>
              <w:pStyle w:val="CellColumn"/>
              <w:jc w:val="right"/>
            </w:pPr>
            <w:r>
              <w:rPr>
                <w:rFonts w:cs="Times New Roman"/>
              </w:rPr>
              <w:t>82.860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Pravobranitelj za djecu je bio, kao član međunarodne organizacije Children of Prisoners Europe (COPE), domaćin i organizator međunarodne konferencije COPE mreže koja je održana od 20. do 22. svibnja 2016. u Zagrebu. Za izvršenje tekućeg projekta T739010 Organizacija godišnje konferencije COPE u proračunu za 2016. godinu bila su osigurana sredstva u iznosu 82.875,00 kuna, a izvršena su u iznosu 82.860.08 kuna odnosno 99,98% od plana. Pravobraniteljica za djecu i mreža organizacija Children of Prisoners Europe - COPE su pod pokroviteljstvom predsjednice RH Kolinde Grabar Kitarović 20. svibnja 2016. u Zagrebu u Staroj gradskoj vijećnici održali međunarodnu konferenciju pod naslovom „Djeca čiji su roditelji u sukobu sa zakonom: Što je njihov najbolji interes? Kako ga ostvariti?“. Konferencija je zaokružila desetogodišnje bavljenje pravobraniteljice za djecu potrebama i pravima djece čiji su roditelji u zatvoru i višegodišnje aktivno članstvo u COPE mreži. Okupila je više od 200 sudionika iz 22 države. Istaknuti stručnjaci iz Hrvatske i inozemstva, među kojima i osnivač COPE mreže Alain Bouregba, iznijeli su ključne odrednice, prijepore i zadaće u zaštiti najboljeg interesa ove ranjive skupine djece. Nakon Konferencije nastavljene su dvodnevne popratne aktivnosti za četrdesetak članova COPE mreže iz više zemalja. U Maloj kući dječjih prava u Zagrebu 21. svibnja održana je opća skupština COPE mreže, a nakon toga i radionica pod naslovom „Cope framing analysis workshop“. Sljedećeg dana, 22. svibnja, članovi COPE mreže posjetili su Kaznionicu u Lepoglavi. Obišli su zatvorske prostore i prostorije u kojima se odvijaju posjeti djece roditeljima te doznali na koji način se štite prava i interesi djece zatvorenika u zatvorskome sustavu u Hrvatskoj.</w:t>
      </w:r>
    </w:p>
    <w:p w:rsidR="00505632" w:rsidRDefault="00505632" w:rsidP="00505632"/>
    <w:p w:rsidR="00505632" w:rsidRDefault="00505632" w:rsidP="00505632"/>
    <w:p w:rsidR="00505632" w:rsidRDefault="00505632" w:rsidP="00505632"/>
    <w:p w:rsidR="00505632" w:rsidRDefault="00505632" w:rsidP="00505632">
      <w:pPr>
        <w:pStyle w:val="Heading3"/>
      </w:pPr>
      <w:r>
        <w:rPr>
          <w:rFonts w:cs="Times New Roman"/>
        </w:rPr>
        <w:t>2117 ZAŠTITA I PROMICANJE RAVNOPRAVNOSTI SPOLOVA</w:t>
      </w:r>
    </w:p>
    <w:tbl>
      <w:tblPr>
        <w:tblStyle w:val="StilTablice"/>
        <w:tblW w:w="10206" w:type="dxa"/>
        <w:jc w:val="center"/>
        <w:tblLook w:val="04A0" w:firstRow="1" w:lastRow="0" w:firstColumn="1" w:lastColumn="0" w:noHBand="0" w:noVBand="1"/>
      </w:tblPr>
      <w:tblGrid>
        <w:gridCol w:w="1948"/>
        <w:gridCol w:w="1948"/>
        <w:gridCol w:w="1948"/>
        <w:gridCol w:w="1948"/>
        <w:gridCol w:w="1203"/>
        <w:gridCol w:w="121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2117-ZAŠTITA I PROMICANJE RAVNOPRAVNOSTI SPOLOVA</w:t>
            </w:r>
          </w:p>
        </w:tc>
        <w:tc>
          <w:tcPr>
            <w:tcW w:w="2041" w:type="dxa"/>
          </w:tcPr>
          <w:p w:rsidR="00505632" w:rsidRDefault="00505632" w:rsidP="00AD4E52">
            <w:pPr>
              <w:pStyle w:val="CellColumn"/>
              <w:jc w:val="right"/>
            </w:pPr>
            <w:r>
              <w:rPr>
                <w:rFonts w:cs="Times New Roman"/>
              </w:rPr>
              <w:t>3.355.597</w:t>
            </w:r>
          </w:p>
        </w:tc>
        <w:tc>
          <w:tcPr>
            <w:tcW w:w="2041" w:type="dxa"/>
          </w:tcPr>
          <w:p w:rsidR="00505632" w:rsidRDefault="00505632" w:rsidP="00AD4E52">
            <w:pPr>
              <w:pStyle w:val="CellColumn"/>
              <w:jc w:val="right"/>
            </w:pPr>
            <w:r>
              <w:rPr>
                <w:rFonts w:cs="Times New Roman"/>
              </w:rPr>
              <w:t>5.112.110</w:t>
            </w:r>
          </w:p>
        </w:tc>
        <w:tc>
          <w:tcPr>
            <w:tcW w:w="2041" w:type="dxa"/>
          </w:tcPr>
          <w:p w:rsidR="00505632" w:rsidRDefault="00505632" w:rsidP="00AD4E52">
            <w:pPr>
              <w:pStyle w:val="CellColumn"/>
              <w:jc w:val="right"/>
            </w:pPr>
            <w:r>
              <w:rPr>
                <w:rFonts w:cs="Times New Roman"/>
              </w:rPr>
              <w:t>3.554.299</w:t>
            </w:r>
          </w:p>
        </w:tc>
        <w:tc>
          <w:tcPr>
            <w:tcW w:w="1224" w:type="dxa"/>
          </w:tcPr>
          <w:p w:rsidR="00505632" w:rsidRDefault="00505632" w:rsidP="00AD4E52">
            <w:pPr>
              <w:pStyle w:val="CellColumn"/>
              <w:jc w:val="right"/>
            </w:pPr>
            <w:r>
              <w:rPr>
                <w:rFonts w:cs="Times New Roman"/>
              </w:rPr>
              <w:t>69,5</w:t>
            </w:r>
          </w:p>
        </w:tc>
        <w:tc>
          <w:tcPr>
            <w:tcW w:w="1224" w:type="dxa"/>
          </w:tcPr>
          <w:p w:rsidR="00505632" w:rsidRDefault="00505632" w:rsidP="00AD4E52">
            <w:pPr>
              <w:pStyle w:val="CellColumn"/>
              <w:jc w:val="right"/>
            </w:pPr>
            <w:r>
              <w:rPr>
                <w:rFonts w:cs="Times New Roman"/>
              </w:rPr>
              <w:t>105,9</w:t>
            </w:r>
          </w:p>
        </w:tc>
      </w:tr>
    </w:tbl>
    <w:p w:rsidR="00505632" w:rsidRDefault="00505632" w:rsidP="00505632">
      <w:pPr>
        <w:jc w:val="left"/>
      </w:pPr>
    </w:p>
    <w:p w:rsidR="00505632" w:rsidRDefault="00505632" w:rsidP="00505632">
      <w:r>
        <w:t xml:space="preserve">Opći cilj programa rada Pravobraniteljice je jačanje zaštite muškaraca i žena od diskriminacije po osnovama spola, bračnog statusa, obiteljskog statusa, na temelju spolne orijentacije, rodnog identiteta i izražavanja, kao i od diskriminacije u odnosu na mogućnosti dobivanja i nabave roba i od diskriminacije u pružanju i u pristupu uslugama.  </w:t>
      </w:r>
    </w:p>
    <w:p w:rsidR="00505632" w:rsidRDefault="00505632" w:rsidP="00505632">
      <w:r>
        <w:t xml:space="preserve">Nepovoljnije postupanje prema ženama na osnovi trudnoće i materinstva smatra se diskriminacijom te Pravobraniteljica s tim u vezi promiče jačanje zaštite žena osobito na tržištu rada, ali i u svim drugim područjima života. </w:t>
      </w:r>
    </w:p>
    <w:p w:rsidR="00505632" w:rsidRDefault="00505632" w:rsidP="00505632">
      <w:r>
        <w:t xml:space="preserve">Pravobraniteljica razmatra slučajeve kršenja načela ravnopravnosti spolova i slučajeve diskriminacije počinjene prema muškarcima i ženama od tijela državne uprave, tijela jedinica lokalne, područne (regionalne) samouprave, drugih tijela s javnim ovlastima, počinjene od strane osoba zaposlenih u tim tijelima, kao i od strane drugih pravnih i fizičkih osoba. </w:t>
      </w:r>
    </w:p>
    <w:p w:rsidR="00505632" w:rsidRDefault="00505632" w:rsidP="00505632">
      <w:r>
        <w:t>Izvješće o radu Pravobraniteljice za ravnopravnost spolova za 2016. godinu po područjima opisuje detaljno aktivnosti koje je provodila u zaštiti građana/ki od diskriminacije u njezinoj nadležnosti, uključujući i rezultate neovisnih istraživanja i analiza financiranih iz općih proračunskih prihoda i iz EU fondova.</w:t>
      </w:r>
    </w:p>
    <w:p w:rsidR="00505632" w:rsidRDefault="00505632" w:rsidP="00505632">
      <w:pPr>
        <w:pStyle w:val="Heading8"/>
        <w:jc w:val="left"/>
      </w:pPr>
      <w:r>
        <w:t>Cilj 1. Zaštita građana/ki od diskriminacije na području ravnopravnosti spolova</w:t>
      </w:r>
    </w:p>
    <w:p w:rsidR="00505632" w:rsidRDefault="00505632" w:rsidP="00505632">
      <w:pPr>
        <w:pStyle w:val="Heading8"/>
        <w:jc w:val="left"/>
      </w:pPr>
      <w:r>
        <w:t>Opis provedbe cilja programa</w:t>
      </w:r>
    </w:p>
    <w:p w:rsidR="00505632" w:rsidRDefault="00505632" w:rsidP="00505632">
      <w:r>
        <w:t xml:space="preserve">Pravobraniteljica za ravnopravnost spolova prima pritužbe muškaraca i žena po kojima provodi ispitni postupak, pri čemu su sva tijela, pravne i druge osobe obvezne odgovoriti Pravobraniteljici i dostaviti dokumentaciju i izvješća koja zatraži, a u slučaju neudovoljavanja njezinom zahtjevu, Pravobraniteljica može tražiti provođenje nadzora nad njihovim radom. </w:t>
      </w:r>
    </w:p>
    <w:p w:rsidR="00505632" w:rsidRDefault="00505632" w:rsidP="00505632">
      <w:r>
        <w:t>Od ukupno 537 predmeta otvorenih u 2016., a koji su se odnosili na pojedinačnu zaštitu građana/ki na području ravnopravnosti spolova, do kraja godine riješila je 479 (89,2%), u kojima je diskriminaciju utvrdila u 209 slučaja (60,7% više u odnosu na 2015.) . Pored toga, uputila je državnim tijelima, tijelima jedinica lokalne samouprave, drugim tijelima s javnim ovlastima, medijima te drugim pravnim i fizičkim osobama ukupno: 122 preporuke, 87 upozorenja, 31 prijedlog, sumnju na počinjenje kaznenih djela prijavila je nadležnom državnom odvjetništvu  u 13 slučaja , prijavila je 1 prekršajno djelo , dala je inicijativu za izmjenu zakonskih propisa u 5 slučaja.</w:t>
      </w:r>
    </w:p>
    <w:p w:rsidR="00505632" w:rsidRDefault="00505632" w:rsidP="00505632">
      <w:pPr>
        <w:pStyle w:val="Heading8"/>
        <w:jc w:val="left"/>
      </w:pPr>
      <w:r>
        <w:t>Cilj 2. Promicanje ravnopravnosti spolova</w:t>
      </w:r>
    </w:p>
    <w:p w:rsidR="00505632" w:rsidRDefault="00505632" w:rsidP="00505632">
      <w:pPr>
        <w:pStyle w:val="Heading8"/>
        <w:jc w:val="left"/>
      </w:pPr>
      <w:r>
        <w:t>Opis provedbe cilja programa</w:t>
      </w:r>
    </w:p>
    <w:p w:rsidR="00505632" w:rsidRDefault="00505632" w:rsidP="00505632">
      <w:r>
        <w:t xml:space="preserve">Promicanje ravnopravnosti spolova ima za svrhu podizanje svijesti šire javnosti o ravnopravnosti muškaraca i žena kao jednoj od temeljnih vrijednosti hrvatskog društva i uvjeta za brži ekonomski razvoj i socijalni prosperitet društva.  </w:t>
      </w:r>
    </w:p>
    <w:p w:rsidR="00505632" w:rsidRDefault="00505632" w:rsidP="00505632">
      <w:r>
        <w:t xml:space="preserve">Stoga, Pravobraniteljica, između ostalog  provodi neovisna istraživanja kojima ukazuje Hrvatskom saboru i široj javnosti na pojave diskriminacije temeljem spola u pojedinim područjima rada i života, kojih je u 2016. provela 3, i to: (1)„Utjecaj rodne podjele obiteljskih obveza i kućanskih poslova na profesionalni život zaposlenih žena“, provedeno  je u sklopu redovnih aktivnosti EU projekta JUST/2014/RGEN/AG/GEND/7796 , (2)”Korištenje prava na stanku za dojenje”; (3) „Spolna zastupljenost na natječajima za zapošljavanje odgojno-obrazovnih djelatnika/ca u osnovnim i srednjim školama u Republici Hrvatskoj“.  </w:t>
      </w:r>
    </w:p>
    <w:p w:rsidR="00505632" w:rsidRDefault="00505632" w:rsidP="00505632">
      <w:r>
        <w:t>Pored toga, analizirala je provedbu ZRS na različitim područjima života i rada, a tijekom završne istraživačko-analitička faze projekta PROGRESS-projekta JUST/2012/PROG/AG/GE/4157 publicirala rezultate istraživanja i provedenih aktivnosti u 5 publikacija.</w:t>
      </w:r>
    </w:p>
    <w:p w:rsidR="00505632" w:rsidRDefault="00505632" w:rsidP="00505632">
      <w:pPr>
        <w:pStyle w:val="Heading8"/>
        <w:jc w:val="left"/>
      </w:pPr>
      <w:r>
        <w:t>Cilj 3. Učinkovita provedba zakona i drugih propisa</w:t>
      </w:r>
    </w:p>
    <w:p w:rsidR="00505632" w:rsidRDefault="00505632" w:rsidP="00505632">
      <w:pPr>
        <w:pStyle w:val="Heading8"/>
        <w:jc w:val="left"/>
      </w:pPr>
      <w:r>
        <w:t>Opis provedbe cilja programa</w:t>
      </w:r>
    </w:p>
    <w:p w:rsidR="00505632" w:rsidRDefault="00505632" w:rsidP="00505632">
      <w:r>
        <w:t>Zalažući se za učinkovitu provedbu Zakona o ravnopravnosti spolova i drugih propisa vezanih uz ravnopravnost spolova, Pravobraniteljica teži poboljšanju položaja žena u političkom, socijalnom, gospodarskom, kulturnom i javnom životu. Iz tog razloga u 2016. je bila aktivna članica u 6 radnih skupina za izradu: (1) prijedloga Nacionalnog plana za suzbijanje trgovanja ljudima; (2) analize i ocjenu dosadašnjih učinaka i iskustava u primjeni Obiteljskog zakona - NN 103/2015, (3) prijedloga Nacionalnog plana za borbu protiv diskriminacije, za razdoblje od 2016. do 20121. godine; (4) prijedloga  Nacionalne strategije zaštite od nasilja u obitelji; (5) za ratifikaciju Konvencije VE o sprječavanju i borbi protiv nasilja nad ženama i nasilja u obitelji i (6) za izradu smjernica za provođenje Direktive 2012/29/EU.</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Pravobraniteljica ukazuje Hrvatskom saboru i široj javnosti na područja u kojima se diskriminacija po spolu i drugim osnovama javlja u društvu</w:t>
            </w:r>
          </w:p>
        </w:tc>
        <w:tc>
          <w:tcPr>
            <w:tcW w:w="2551" w:type="dxa"/>
          </w:tcPr>
          <w:p w:rsidR="00505632" w:rsidRDefault="00505632" w:rsidP="00AD4E52">
            <w:pPr>
              <w:pStyle w:val="CellColumn"/>
              <w:jc w:val="left"/>
            </w:pPr>
            <w:r>
              <w:rPr>
                <w:rFonts w:cs="Times New Roman"/>
              </w:rPr>
              <w:t>Ispitivanje slučajeva diskriminacije u nadležnosti Pravobraniteljice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394</w:t>
            </w:r>
          </w:p>
        </w:tc>
        <w:tc>
          <w:tcPr>
            <w:tcW w:w="1020" w:type="dxa"/>
          </w:tcPr>
          <w:p w:rsidR="00505632" w:rsidRDefault="00505632" w:rsidP="00AD4E52">
            <w:pPr>
              <w:pStyle w:val="CellColumn"/>
              <w:jc w:val="right"/>
            </w:pPr>
            <w:r>
              <w:rPr>
                <w:rFonts w:cs="Times New Roman"/>
              </w:rPr>
              <w:t>Izvješće o radu PRS za 2014. godinu</w:t>
            </w:r>
          </w:p>
        </w:tc>
        <w:tc>
          <w:tcPr>
            <w:tcW w:w="1020" w:type="dxa"/>
          </w:tcPr>
          <w:p w:rsidR="00505632" w:rsidRDefault="00505632" w:rsidP="00AD4E52">
            <w:pPr>
              <w:pStyle w:val="CellColumn"/>
              <w:jc w:val="right"/>
            </w:pPr>
            <w:r>
              <w:rPr>
                <w:rFonts w:cs="Times New Roman"/>
              </w:rPr>
              <w:t>390</w:t>
            </w:r>
          </w:p>
        </w:tc>
        <w:tc>
          <w:tcPr>
            <w:tcW w:w="1020" w:type="dxa"/>
          </w:tcPr>
          <w:p w:rsidR="00505632" w:rsidRDefault="00505632" w:rsidP="00AD4E52">
            <w:pPr>
              <w:pStyle w:val="CellColumn"/>
              <w:jc w:val="right"/>
            </w:pPr>
            <w:r>
              <w:rPr>
                <w:rFonts w:cs="Times New Roman"/>
              </w:rPr>
              <w:t>537</w:t>
            </w:r>
          </w:p>
        </w:tc>
      </w:tr>
      <w:tr w:rsidR="00505632" w:rsidTr="00AD4E52">
        <w:trPr>
          <w:jc w:val="center"/>
        </w:trPr>
        <w:tc>
          <w:tcPr>
            <w:tcW w:w="2551" w:type="dxa"/>
          </w:tcPr>
          <w:p w:rsidR="00505632" w:rsidRDefault="00505632" w:rsidP="00AD4E52">
            <w:pPr>
              <w:pStyle w:val="CellColumn"/>
              <w:jc w:val="left"/>
            </w:pPr>
            <w:r>
              <w:rPr>
                <w:rFonts w:cs="Times New Roman"/>
              </w:rPr>
              <w:t>Podrška građanima/kama u sudskim postupcima u svojstvu umješača/ice</w:t>
            </w:r>
          </w:p>
        </w:tc>
        <w:tc>
          <w:tcPr>
            <w:tcW w:w="2551" w:type="dxa"/>
          </w:tcPr>
          <w:p w:rsidR="00505632" w:rsidRDefault="00505632" w:rsidP="00AD4E52">
            <w:pPr>
              <w:pStyle w:val="CellColumn"/>
              <w:jc w:val="left"/>
            </w:pPr>
            <w:r>
              <w:rPr>
                <w:rFonts w:cs="Times New Roman"/>
              </w:rPr>
              <w:t>Unaprijedit će se zaštita i pravna sigurnost građana/ki tijekom sudskog postupka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Izvješće o radu PRS za 2014. godinu</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3</w:t>
            </w:r>
          </w:p>
        </w:tc>
      </w:tr>
      <w:tr w:rsidR="00505632" w:rsidTr="00AD4E52">
        <w:trPr>
          <w:jc w:val="center"/>
        </w:trPr>
        <w:tc>
          <w:tcPr>
            <w:tcW w:w="2551" w:type="dxa"/>
          </w:tcPr>
          <w:p w:rsidR="00505632" w:rsidRDefault="00505632" w:rsidP="00AD4E52">
            <w:pPr>
              <w:pStyle w:val="CellColumn"/>
              <w:jc w:val="left"/>
            </w:pPr>
            <w:r>
              <w:rPr>
                <w:rFonts w:cs="Times New Roman"/>
              </w:rPr>
              <w:t>Uz pristanak stranaka Pravobraniteljica provodi postupak mirenja</w:t>
            </w:r>
          </w:p>
        </w:tc>
        <w:tc>
          <w:tcPr>
            <w:tcW w:w="2551" w:type="dxa"/>
          </w:tcPr>
          <w:p w:rsidR="00505632" w:rsidRDefault="00505632" w:rsidP="00AD4E52">
            <w:pPr>
              <w:pStyle w:val="CellColumn"/>
              <w:jc w:val="left"/>
            </w:pPr>
            <w:r>
              <w:rPr>
                <w:rFonts w:cs="Times New Roman"/>
              </w:rPr>
              <w:t>Mirenjem će se unaprijediti zaštita građana/ki, smanjiti njihovi troškovi, kao i broj sudskih predmeta.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Izvješće o radu PRS za 2014. godinu</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Rezultatima neovisnih istraživanja ukazuje Hrvatskom saboru na diskriminaciju po spolu i područjima u kojima se pojavljuje, daje preporuke u vezi uklanjanja diskriminacije i prevencije</w:t>
            </w:r>
          </w:p>
        </w:tc>
        <w:tc>
          <w:tcPr>
            <w:tcW w:w="2551" w:type="dxa"/>
          </w:tcPr>
          <w:p w:rsidR="00505632" w:rsidRDefault="00505632" w:rsidP="00AD4E52">
            <w:pPr>
              <w:pStyle w:val="CellColumn"/>
              <w:jc w:val="left"/>
            </w:pPr>
            <w:r>
              <w:rPr>
                <w:rFonts w:cs="Times New Roman"/>
              </w:rPr>
              <w:t>Neovisna istraživanja i izvješća podižu svijest u društvu o potrebi za zaštitu od diskriminacije i stvaranju jednakih mogućnosti za M i Ž</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Izvješće o radu PRS 2014.</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3</w:t>
            </w:r>
          </w:p>
        </w:tc>
      </w:tr>
      <w:tr w:rsidR="00505632" w:rsidTr="00AD4E52">
        <w:trPr>
          <w:jc w:val="center"/>
        </w:trPr>
        <w:tc>
          <w:tcPr>
            <w:tcW w:w="2551" w:type="dxa"/>
          </w:tcPr>
          <w:p w:rsidR="00505632" w:rsidRDefault="00505632" w:rsidP="00AD4E52">
            <w:pPr>
              <w:pStyle w:val="CellColumn"/>
              <w:jc w:val="left"/>
            </w:pPr>
            <w:r>
              <w:rPr>
                <w:rFonts w:cs="Times New Roman"/>
              </w:rPr>
              <w:t>Analizom prijedloga zakona i drugih propisa Pravobraniteljica doprinosi radu Vlade i Hrvatskog saboru jer im predlaže primjedbe  temeljene na njezinoj praksi iz rada po pritužbama građana/ki</w:t>
            </w:r>
          </w:p>
        </w:tc>
        <w:tc>
          <w:tcPr>
            <w:tcW w:w="2551" w:type="dxa"/>
          </w:tcPr>
          <w:p w:rsidR="00505632" w:rsidRDefault="00505632" w:rsidP="00AD4E52">
            <w:pPr>
              <w:pStyle w:val="CellColumn"/>
              <w:jc w:val="left"/>
            </w:pPr>
            <w:r>
              <w:rPr>
                <w:rFonts w:cs="Times New Roman"/>
              </w:rPr>
              <w:t>Sudjelovanjem na sjednicama radnih tijela sabora iznosi primjedbe i prijedloge u ime diskriminiranih građana/ki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17</w:t>
            </w:r>
          </w:p>
        </w:tc>
        <w:tc>
          <w:tcPr>
            <w:tcW w:w="1020" w:type="dxa"/>
          </w:tcPr>
          <w:p w:rsidR="00505632" w:rsidRDefault="00505632" w:rsidP="00AD4E52">
            <w:pPr>
              <w:pStyle w:val="CellColumn"/>
              <w:jc w:val="right"/>
            </w:pPr>
            <w:r>
              <w:rPr>
                <w:rFonts w:cs="Times New Roman"/>
              </w:rPr>
              <w:t>Izvješće o radu PRS 2014.</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15</w:t>
            </w:r>
          </w:p>
        </w:tc>
      </w:tr>
      <w:tr w:rsidR="00505632" w:rsidTr="00AD4E52">
        <w:trPr>
          <w:jc w:val="center"/>
        </w:trPr>
        <w:tc>
          <w:tcPr>
            <w:tcW w:w="2551" w:type="dxa"/>
          </w:tcPr>
          <w:p w:rsidR="00505632" w:rsidRDefault="00505632" w:rsidP="00AD4E52">
            <w:pPr>
              <w:pStyle w:val="CellColumn"/>
              <w:jc w:val="left"/>
            </w:pPr>
            <w:r>
              <w:rPr>
                <w:rFonts w:cs="Times New Roman"/>
              </w:rPr>
              <w:t>Sudjelovanjem u provedbi projekata financiranih sredstvima EU, kao nositeljica/partnerica, direktno promiče ravnopravnost spolova</w:t>
            </w:r>
          </w:p>
        </w:tc>
        <w:tc>
          <w:tcPr>
            <w:tcW w:w="2551" w:type="dxa"/>
          </w:tcPr>
          <w:p w:rsidR="00505632" w:rsidRDefault="00505632" w:rsidP="00AD4E52">
            <w:pPr>
              <w:pStyle w:val="CellColumn"/>
              <w:jc w:val="left"/>
            </w:pPr>
            <w:r>
              <w:rPr>
                <w:rFonts w:cs="Times New Roman"/>
              </w:rPr>
              <w:t>Neovisnim djelovanjem, uz financijsku pomoć EU, promiče zaštitu građana/ki od diskriminacije u svojoj nadležnosti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Izvješće o radu PRS 2014.</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4</w:t>
            </w:r>
          </w:p>
        </w:tc>
      </w:tr>
      <w:tr w:rsidR="00505632" w:rsidTr="00AD4E52">
        <w:trPr>
          <w:jc w:val="center"/>
        </w:trPr>
        <w:tc>
          <w:tcPr>
            <w:tcW w:w="2551" w:type="dxa"/>
          </w:tcPr>
          <w:p w:rsidR="00505632" w:rsidRDefault="00505632" w:rsidP="00AD4E52">
            <w:pPr>
              <w:pStyle w:val="CellColumn"/>
              <w:jc w:val="left"/>
            </w:pPr>
            <w:r>
              <w:rPr>
                <w:rFonts w:cs="Times New Roman"/>
              </w:rPr>
              <w:t>Praćenje provedbe mjera Vladinih javnih politika/strategija</w:t>
            </w:r>
          </w:p>
        </w:tc>
        <w:tc>
          <w:tcPr>
            <w:tcW w:w="2551" w:type="dxa"/>
          </w:tcPr>
          <w:p w:rsidR="00505632" w:rsidRDefault="00505632" w:rsidP="00AD4E52">
            <w:pPr>
              <w:pStyle w:val="CellColumn"/>
              <w:jc w:val="left"/>
            </w:pPr>
            <w:r>
              <w:rPr>
                <w:rFonts w:cs="Times New Roman"/>
              </w:rPr>
              <w:t>Praćenjem provedbe mjera utvrđenih javnim politikama doprinosi kvalitetnijoj provedbi Zakona o ravnopravnosti spolova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Izvješće o radu PRS 2014.</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4</w:t>
            </w:r>
          </w:p>
        </w:tc>
      </w:tr>
      <w:tr w:rsidR="00505632" w:rsidTr="00AD4E52">
        <w:trPr>
          <w:jc w:val="center"/>
        </w:trPr>
        <w:tc>
          <w:tcPr>
            <w:tcW w:w="2551" w:type="dxa"/>
          </w:tcPr>
          <w:p w:rsidR="00505632" w:rsidRDefault="00505632" w:rsidP="00AD4E52">
            <w:pPr>
              <w:pStyle w:val="CellColumn"/>
              <w:jc w:val="left"/>
            </w:pPr>
            <w:r>
              <w:rPr>
                <w:rFonts w:cs="Times New Roman"/>
              </w:rPr>
              <w:t>Suradnja s institucionalnim mehanizmima koji osiguravaju provedbu Zakona o ravnopravnosti spolova</w:t>
            </w:r>
          </w:p>
        </w:tc>
        <w:tc>
          <w:tcPr>
            <w:tcW w:w="2551" w:type="dxa"/>
          </w:tcPr>
          <w:p w:rsidR="00505632" w:rsidRDefault="00505632" w:rsidP="00AD4E52">
            <w:pPr>
              <w:pStyle w:val="CellColumn"/>
              <w:jc w:val="left"/>
            </w:pPr>
            <w:r>
              <w:rPr>
                <w:rFonts w:cs="Times New Roman"/>
              </w:rPr>
              <w:t>Suradnja i savjetodavni rad Pravobraniteljice s Povjerenstvima/Odborima za ravnopravnost spolova na svim razinama zakonodavne i izvršne vlasti unapređuje zaštitu građana/ki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13</w:t>
            </w:r>
          </w:p>
        </w:tc>
        <w:tc>
          <w:tcPr>
            <w:tcW w:w="1020" w:type="dxa"/>
          </w:tcPr>
          <w:p w:rsidR="00505632" w:rsidRDefault="00505632" w:rsidP="00AD4E52">
            <w:pPr>
              <w:pStyle w:val="CellColumn"/>
              <w:jc w:val="right"/>
            </w:pPr>
            <w:r>
              <w:rPr>
                <w:rFonts w:cs="Times New Roman"/>
              </w:rPr>
              <w:t>Izvješće o radu PRS 2014.</w:t>
            </w:r>
          </w:p>
        </w:tc>
        <w:tc>
          <w:tcPr>
            <w:tcW w:w="1020" w:type="dxa"/>
          </w:tcPr>
          <w:p w:rsidR="00505632" w:rsidRDefault="00505632" w:rsidP="00AD4E52">
            <w:pPr>
              <w:pStyle w:val="CellColumn"/>
              <w:jc w:val="right"/>
            </w:pPr>
            <w:r>
              <w:rPr>
                <w:rFonts w:cs="Times New Roman"/>
              </w:rPr>
              <w:t>12</w:t>
            </w:r>
          </w:p>
        </w:tc>
        <w:tc>
          <w:tcPr>
            <w:tcW w:w="1020" w:type="dxa"/>
          </w:tcPr>
          <w:p w:rsidR="00505632" w:rsidRDefault="00505632" w:rsidP="00AD4E52">
            <w:pPr>
              <w:pStyle w:val="CellColumn"/>
              <w:jc w:val="right"/>
            </w:pPr>
            <w:r>
              <w:rPr>
                <w:rFonts w:cs="Times New Roman"/>
              </w:rPr>
              <w:t>13</w:t>
            </w:r>
          </w:p>
        </w:tc>
      </w:tr>
      <w:tr w:rsidR="00505632" w:rsidTr="00AD4E52">
        <w:trPr>
          <w:jc w:val="center"/>
        </w:trPr>
        <w:tc>
          <w:tcPr>
            <w:tcW w:w="2551" w:type="dxa"/>
          </w:tcPr>
          <w:p w:rsidR="00505632" w:rsidRDefault="00505632" w:rsidP="00AD4E52">
            <w:pPr>
              <w:pStyle w:val="CellColumn"/>
              <w:jc w:val="left"/>
            </w:pPr>
            <w:r>
              <w:rPr>
                <w:rFonts w:cs="Times New Roman"/>
              </w:rPr>
              <w:t>Pravobraniteljica održava javna predavanja, edukacije i druge programe izobrazbe</w:t>
            </w:r>
          </w:p>
        </w:tc>
        <w:tc>
          <w:tcPr>
            <w:tcW w:w="2551" w:type="dxa"/>
          </w:tcPr>
          <w:p w:rsidR="00505632" w:rsidRDefault="00505632" w:rsidP="00AD4E52">
            <w:pPr>
              <w:pStyle w:val="CellColumn"/>
              <w:jc w:val="left"/>
            </w:pPr>
            <w:r>
              <w:rPr>
                <w:rFonts w:cs="Times New Roman"/>
              </w:rPr>
              <w:t>Aktivnim sudjelovanjem u (ne)formalnim programimaobrazovanja utiče na informiranost građana/ki o instrumentima pravne zaštite koju mogu koristiti</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8</w:t>
            </w:r>
          </w:p>
        </w:tc>
        <w:tc>
          <w:tcPr>
            <w:tcW w:w="1020" w:type="dxa"/>
          </w:tcPr>
          <w:p w:rsidR="00505632" w:rsidRDefault="00505632" w:rsidP="00AD4E52">
            <w:pPr>
              <w:pStyle w:val="CellColumn"/>
              <w:jc w:val="right"/>
            </w:pPr>
            <w:r>
              <w:rPr>
                <w:rFonts w:cs="Times New Roman"/>
              </w:rPr>
              <w:t>Izvješće o radu PRS 2014.</w:t>
            </w:r>
          </w:p>
        </w:tc>
        <w:tc>
          <w:tcPr>
            <w:tcW w:w="1020" w:type="dxa"/>
          </w:tcPr>
          <w:p w:rsidR="00505632" w:rsidRDefault="00505632" w:rsidP="00AD4E52">
            <w:pPr>
              <w:pStyle w:val="CellColumn"/>
              <w:jc w:val="right"/>
            </w:pPr>
            <w:r>
              <w:rPr>
                <w:rFonts w:cs="Times New Roman"/>
              </w:rPr>
              <w:t>6</w:t>
            </w:r>
          </w:p>
        </w:tc>
        <w:tc>
          <w:tcPr>
            <w:tcW w:w="1020" w:type="dxa"/>
          </w:tcPr>
          <w:p w:rsidR="00505632" w:rsidRDefault="00505632" w:rsidP="00AD4E52">
            <w:pPr>
              <w:pStyle w:val="CellColumn"/>
              <w:jc w:val="right"/>
            </w:pPr>
            <w:r>
              <w:rPr>
                <w:rFonts w:cs="Times New Roman"/>
              </w:rPr>
              <w:t>8</w:t>
            </w:r>
          </w:p>
        </w:tc>
      </w:tr>
    </w:tbl>
    <w:p w:rsidR="00505632" w:rsidRDefault="00505632" w:rsidP="00505632">
      <w:pPr>
        <w:jc w:val="left"/>
      </w:pPr>
    </w:p>
    <w:p w:rsidR="00505632" w:rsidRDefault="00505632" w:rsidP="008E201B">
      <w:pPr>
        <w:overflowPunct/>
        <w:autoSpaceDE/>
        <w:autoSpaceDN/>
        <w:adjustRightInd/>
        <w:spacing w:after="200" w:line="276" w:lineRule="auto"/>
        <w:jc w:val="left"/>
        <w:textAlignment w:val="auto"/>
      </w:pPr>
      <w:r>
        <w:br w:type="page"/>
      </w:r>
    </w:p>
    <w:p w:rsidR="00505632" w:rsidRDefault="00505632" w:rsidP="00505632">
      <w:pPr>
        <w:pStyle w:val="Heading1"/>
      </w:pPr>
      <w:r>
        <w:t>122 PRAVOBRANITELJ/ICA ZA RAVNOPRAVNOST SPOLOVA</w:t>
      </w:r>
    </w:p>
    <w:p w:rsidR="00505632" w:rsidRDefault="00505632" w:rsidP="00505632">
      <w:r>
        <w:t xml:space="preserve">Pravobraniteljica za ravnopravnost spolova, pored redovnih aktivnosti, 2016.godine je provodila 2 EU projekta. Novi EU projekta JUST/2014/RGEN/AG/GEND/7796 je započela 01.01.2016. (traje do 01. 01.2018. godine), a ranije započeti EU projekta JUST/2012/PROG/AG/4157/GE  je uspješno završila 10. travnja 2016. godine. </w:t>
      </w:r>
    </w:p>
    <w:p w:rsidR="00505632" w:rsidRDefault="00505632" w:rsidP="00505632">
      <w:r>
        <w:t>Iz tog razloga, ukupno izvršenje rashoda i izdataka financijskog plana iznosi 69,53% jer je na izvoru financiranja 51 - Pomoći EU ostalo neutrošenih 1.388.919,55 kn koja se odnose na EU projekt započet u 2016. i to za aktivnosti planirane u  2017. godini.</w:t>
      </w:r>
    </w:p>
    <w:tbl>
      <w:tblPr>
        <w:tblStyle w:val="StilTablice"/>
        <w:tblW w:w="10206" w:type="dxa"/>
        <w:jc w:val="center"/>
        <w:tblLook w:val="04A0" w:firstRow="1" w:lastRow="0" w:firstColumn="1" w:lastColumn="0" w:noHBand="0" w:noVBand="1"/>
      </w:tblPr>
      <w:tblGrid>
        <w:gridCol w:w="2259"/>
        <w:gridCol w:w="1855"/>
        <w:gridCol w:w="1856"/>
        <w:gridCol w:w="1856"/>
        <w:gridCol w:w="1181"/>
        <w:gridCol w:w="1199"/>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Index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12205-Pravobranitelj/ica za ravnopravnost spolova</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3.355.597</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5.112.110</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3.554.299</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69,5</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105,9</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left"/>
              <w:rPr>
                <w:lang w:eastAsia="en-US"/>
              </w:rPr>
            </w:pPr>
            <w:r>
              <w:rPr>
                <w:rFonts w:cs="Times New Roman"/>
                <w:lang w:eastAsia="en-US"/>
              </w:rPr>
              <w:t>Ukupno 122-PRAVOBRANITELJ/ICA ZA RAVNOPRAVNOST SPOLOVA</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3.355.597</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5.112.110</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3.554.299</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69,5</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105,9</w:t>
            </w:r>
          </w:p>
        </w:tc>
      </w:tr>
    </w:tbl>
    <w:p w:rsidR="00505632" w:rsidRDefault="00505632" w:rsidP="00505632">
      <w:pPr>
        <w:jc w:val="left"/>
      </w:pPr>
    </w:p>
    <w:p w:rsidR="00505632" w:rsidRDefault="00505632" w:rsidP="00505632">
      <w:pPr>
        <w:pStyle w:val="Heading2"/>
      </w:pPr>
      <w:r>
        <w:t>12205 Pravobranitelj/ica za ravnopravnost spolova</w:t>
      </w:r>
    </w:p>
    <w:p w:rsidR="00505632" w:rsidRDefault="00505632" w:rsidP="00505632">
      <w:r>
        <w:t xml:space="preserve">Značajnih odstupanja nema po izvorima financiranja jer izvršenja iznose: </w:t>
      </w:r>
    </w:p>
    <w:p w:rsidR="00505632" w:rsidRDefault="00505632" w:rsidP="00505632">
      <w:r>
        <w:t xml:space="preserve">- 11 - Opći prihodi i primici: 94,71%, kojima su financirane redovne aktivnosti;  </w:t>
      </w:r>
    </w:p>
    <w:p w:rsidR="00505632" w:rsidRDefault="00505632" w:rsidP="00505632">
      <w:r>
        <w:t xml:space="preserve">- 559 - Ostale refundacije iz pomoći EU: 96,63 %, kojima je financiran završetak EU projekta JUST/2012/PROG/AG/4157/GE, završen je 10. travnja 2016.; </w:t>
      </w:r>
    </w:p>
    <w:p w:rsidR="00505632" w:rsidRDefault="00505632" w:rsidP="00505632">
      <w:r>
        <w:t>- 51 - Pomoći EU: 34,93%,  kojima je financiran novi EU projekt JUST/2014/RGEN/AG/GEND/7796 po kojem nisu ni bila sva doznačena sredstva u 2016. u planu potrošnje jer se projekt provodi do 1. siječnja 2018. godine</w:t>
      </w:r>
    </w:p>
    <w:tbl>
      <w:tblPr>
        <w:tblStyle w:val="StilTablice"/>
        <w:tblW w:w="10206" w:type="dxa"/>
        <w:jc w:val="center"/>
        <w:tblLook w:val="04A0" w:firstRow="1" w:lastRow="0" w:firstColumn="1" w:lastColumn="0" w:noHBand="0" w:noVBand="1"/>
      </w:tblPr>
      <w:tblGrid>
        <w:gridCol w:w="1948"/>
        <w:gridCol w:w="1948"/>
        <w:gridCol w:w="1948"/>
        <w:gridCol w:w="1948"/>
        <w:gridCol w:w="1203"/>
        <w:gridCol w:w="1211"/>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12205-Pravobranitelj/ica za ravnopravnost spolova</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3.355.597</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5.112.110</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3.554.299</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69,5</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105,9</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left"/>
            </w:pPr>
            <w:r>
              <w:t>2117-ZAŠTITA I PROMICANJE RAVNOPRAVNOSTI SPOLOVA</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3.355.597</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5.112.110</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3.554.299</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69,5</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105,9</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3"/>
      </w:pPr>
      <w:r>
        <w:rPr>
          <w:rFonts w:cs="Times New Roman"/>
        </w:rPr>
        <w:t>2117 ZAŠTITA I PROMICANJE RAVNOPRAVNOSTI SPOLOVA</w:t>
      </w:r>
    </w:p>
    <w:tbl>
      <w:tblPr>
        <w:tblStyle w:val="StilTablice"/>
        <w:tblW w:w="10206" w:type="dxa"/>
        <w:jc w:val="center"/>
        <w:tblLook w:val="04A0" w:firstRow="1" w:lastRow="0" w:firstColumn="1" w:lastColumn="0" w:noHBand="0" w:noVBand="1"/>
      </w:tblPr>
      <w:tblGrid>
        <w:gridCol w:w="1948"/>
        <w:gridCol w:w="1948"/>
        <w:gridCol w:w="1948"/>
        <w:gridCol w:w="1948"/>
        <w:gridCol w:w="1203"/>
        <w:gridCol w:w="1211"/>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Index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2117-ZAŠTITA I PROMICANJE RAVNOPRAVNOSTI SPOLOVA</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3.355.597</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5.112.110</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3.554.299</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69,5</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105,9</w:t>
            </w:r>
          </w:p>
        </w:tc>
      </w:tr>
    </w:tbl>
    <w:p w:rsidR="00505632" w:rsidRDefault="00505632" w:rsidP="00505632">
      <w:pPr>
        <w:jc w:val="left"/>
      </w:pPr>
    </w:p>
    <w:p w:rsidR="00505632" w:rsidRDefault="00505632" w:rsidP="00505632">
      <w:r>
        <w:t xml:space="preserve">Opći cilj programa rada Pravobraniteljice je jačanje zaštite muškaraca i žena od diskriminacije po osnovama spola, bračnog statusa, obiteljskog statusa, na temelju spolne orijentacije, rodnog identiteta i izražavanja, kao i od diskriminacije u odnosu na mogućnosti dobivanja i nabave roba i od diskriminacije u pružanju i u pristupu uslugama. </w:t>
      </w:r>
    </w:p>
    <w:p w:rsidR="00505632" w:rsidRDefault="00505632" w:rsidP="00505632">
      <w:r>
        <w:t xml:space="preserve">Nepovoljnije postupanje prema ženama na osnovi trudnoće i materinstva smatra se diskriminacijom te Pravobraniteljica s tim u vezi promiče jačanje zaštite žena osobito na tržištu rada, ali i u svim drugim područjima života. </w:t>
      </w:r>
    </w:p>
    <w:p w:rsidR="00505632" w:rsidRDefault="00505632" w:rsidP="00505632">
      <w:r>
        <w:t xml:space="preserve">Pravobraniteljica razmatra slučajeve kršenja načela ravnopravnosti spolova i slučajeve diskriminacije počinjene prema muškarcima i ženama od tijela državne uprave, tijela jedinica lokalne, područne (regionalne) samouprave, drugih tijela s javnim ovlastima, počinjene od strane osoba zaposlenih u tim tijelima, kao i od strane drugih pravnih i fizičkih osoba. </w:t>
      </w:r>
    </w:p>
    <w:p w:rsidR="00505632" w:rsidRDefault="00505632" w:rsidP="00505632">
      <w:r>
        <w:t>Izvješće o radu Pravobraniteljice za ravnopravnost spolova za 2016. godinu po područjima opisuje detaljno aktivnosti koje je provodila u zaštiti građana/ki od diskriminacije u njezinoj nadležnosti, uključujući i rezultate neovisnih istraživanja i analiza financiranih iz općih proračunskih prihoda i iz EU fondova.</w:t>
      </w:r>
    </w:p>
    <w:p w:rsidR="00505632" w:rsidRDefault="00505632" w:rsidP="00505632">
      <w:pPr>
        <w:pStyle w:val="Heading8"/>
        <w:jc w:val="left"/>
      </w:pPr>
      <w:r>
        <w:t>Cilj 1. Zaštita građana/ki od diskriminacije na području ravnopravnosti spolova</w:t>
      </w:r>
    </w:p>
    <w:p w:rsidR="00505632" w:rsidRDefault="00505632" w:rsidP="00505632">
      <w:pPr>
        <w:pStyle w:val="Heading8"/>
        <w:jc w:val="left"/>
      </w:pPr>
      <w:r>
        <w:t>Opis provedbe cilja programa</w:t>
      </w:r>
    </w:p>
    <w:p w:rsidR="00505632" w:rsidRDefault="00505632" w:rsidP="00505632">
      <w:r>
        <w:t xml:space="preserve">Pravobraniteljica za ravnopravnost spolova prima pritužbe muškaraca i žena po kojima provodi ispitni postupak, pri čemu su sva tijela, pravne i druge osobe obvezne odgovoriti Pravobraniteljici i dostaviti dokumentaciju i izvješća koja zatraži, a u slučaju neudovoljavanja njezinom zahtjevu, Pravobraniteljica može tražiti provođenje nadzora nad njihovim radom. </w:t>
      </w:r>
    </w:p>
    <w:p w:rsidR="00505632" w:rsidRDefault="00505632" w:rsidP="00505632">
      <w:r>
        <w:t>Od ukupno 537 predmeta otvorenih u 2016., a koji su se odnosili na pojedinačnu zaštitu građana/ki na području ravnopravnosti spolova, do kraja godine riješila je 479 (89,2%), u kojima je diskriminaciju utvrdila u 209 slučaja (60,7% više u odnosu na 2015.) . Pored toga, uputila je državnim tijelima, tijelima jedinica lokalne samouprave, drugim tijelima s javnim ovlastima, medijima te drugim pravnim i fizičkim osobama ukupno: 122 preporuke, 87 upozorenja, 31 prijedlog, sumnju na počinjenje kaznenih djela prijavila je nadležnom državnom odvjetništvu  u 13 slučaja , prijavila je 1 prekršajno djelo , dala je inicijativu za izmjenu zakonskih propisa u 5 slučaja.</w:t>
      </w:r>
    </w:p>
    <w:p w:rsidR="00505632" w:rsidRDefault="00505632" w:rsidP="00505632">
      <w:pPr>
        <w:pStyle w:val="Heading8"/>
        <w:jc w:val="left"/>
      </w:pPr>
      <w:r>
        <w:t>Cilj 2. Promicanje ravnopravnosti spolova</w:t>
      </w:r>
    </w:p>
    <w:p w:rsidR="00505632" w:rsidRDefault="00505632" w:rsidP="00505632">
      <w:pPr>
        <w:pStyle w:val="Heading8"/>
        <w:jc w:val="left"/>
      </w:pPr>
      <w:r>
        <w:t>Opis provedbe cilja programa</w:t>
      </w:r>
    </w:p>
    <w:p w:rsidR="00505632" w:rsidRDefault="00505632" w:rsidP="00505632">
      <w:r>
        <w:t xml:space="preserve">Promicanje ravnopravnosti spolova ima za svrhu podizanje svijesti šire javnosti o ravnopravnosti muškaraca i žena kao jednoj od temeljnih vrijednosti hrvatskog društva i uvjeta za brži ekonomski razvoj i socijalni prosperitet društva.  </w:t>
      </w:r>
    </w:p>
    <w:p w:rsidR="00505632" w:rsidRDefault="00505632" w:rsidP="00505632">
      <w:r>
        <w:t xml:space="preserve">Stoga, Pravobraniteljica, između ostalog  provodi neovisna istraživanja kojima ukazuje Hrvatskom saboru i široj javnosti na pojave diskriminacije temeljem spola u pojedinim područjima rada i života, kojih je u 2016. provela 3, i to: (1)„Utjecaj rodne podjele obiteljskih obveza i kućanskih poslova na profesionalni život zaposlenih žena“, provedeno  je u sklopu redovnih aktivnosti EU projekta JUST/2014/RGEN/AG/GEND/7796 , (2)”Korištenje prava na stanku za dojenje”; (3) „Spolna zastupljenost na natječajima za zapošljavanje odgojno-obrazovnih djelatnika/ca u osnovnim i srednjim školama u Republici Hrvatskoj“.  </w:t>
      </w:r>
    </w:p>
    <w:p w:rsidR="00505632" w:rsidRDefault="00505632" w:rsidP="00505632">
      <w:r>
        <w:t>Pored toga, analizirala je provedbu ZRS na različitim područjima života i rada, a tijekom završne istraživačko-analitička faze projekta PROGRESS-projekta JUST/2012/PROG/AG/GE/4157 publicirala rezultate istraživanja i provedenih aktivnosti u 5 publikacija.</w:t>
      </w:r>
    </w:p>
    <w:p w:rsidR="00505632" w:rsidRDefault="00505632" w:rsidP="00505632">
      <w:pPr>
        <w:pStyle w:val="Heading8"/>
        <w:jc w:val="left"/>
      </w:pPr>
      <w:r>
        <w:t>Cilj 3. Učinkovita provedba zakona i drugih propisa</w:t>
      </w:r>
    </w:p>
    <w:p w:rsidR="00505632" w:rsidRDefault="00505632" w:rsidP="00505632">
      <w:pPr>
        <w:pStyle w:val="Heading8"/>
        <w:jc w:val="left"/>
      </w:pPr>
      <w:r>
        <w:t>Opis provedbe cilja programa</w:t>
      </w:r>
    </w:p>
    <w:p w:rsidR="00505632" w:rsidRDefault="00505632" w:rsidP="00505632">
      <w:r>
        <w:t>Zalažući se za učinkovitu provedbu Zakona o ravnopravnosti spolova i drugih propisa vezanih uz ravnopravnost spolova, Pravobraniteljica teži poboljšanju položaja žena u političkom, socijalnom, gospodarskom, kulturnom i javnom životu. Iz tog razloga u 2016. je bila aktivna članica u 6 radnih skupina za izradu: (1) prijedloga Nacionalnog plana za suzbijanje trgovanja ljudima; (2) analize i ocjenu dosadašnjih učinaka i iskustava u primjeni Obiteljskog zakona - NN 103/2015, (3) prijedloga Nacionalnog plana za borbu protiv diskriminacije, za razdoblje od 2016. do 20121. godine; (4) prijedloga  Nacionalne strategije zaštite od nasilja u obitelji; (5) za ratifikaciju Konvencije VE o sprječavanju i borbi protiv nasilja nad ženama i nasilja u obitelji i (6) za izradu smjernica za provođenje Direktive 2012/29/EU.</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jc w:val="center"/>
            </w:pPr>
            <w:r>
              <w:t>Pokazatelj učinka</w:t>
            </w:r>
          </w:p>
        </w:tc>
        <w:tc>
          <w:tcPr>
            <w:tcW w:w="255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Definicija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Jedinica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Polazna vrijednost</w:t>
            </w:r>
          </w:p>
        </w:tc>
        <w:tc>
          <w:tcPr>
            <w:tcW w:w="918"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Izvor podataka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Ciljana vrijednost (2016.)</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Ostvarena vrijednost (2016.)</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Pravobraniteljica ukazuje Hrvatskom saboru i široj javnosti na područja u kojima se diskriminacija po spolu i drugim osnovama javlja u društvu</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Ispitivanje slučajeva diskriminacije u nadležnosti Pravobraniteljice</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394</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Izvješće o radu PRS za 2014. godinu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390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537</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Podrška građanima/kama u sudskim postupcima u svojstvu umješača/ice</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Unaprijedit će se zaštita i pravna sigurnost građana/ki tijekom sudskog postupka</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Izvješće o radu PRS za 2014. godinu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Uz pristanak stranaka Pravobraniteljica provodi postupak mirenja</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Mirenjem će se unaprijediti zaštita građana/ki, smanjiti njihovi troškovi, kao i broj sudskih predmeta.</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0</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Izvješće o radu PRS za 2014. godinu</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0</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Rezultatima neovisnih istraživanja ukazuje Hrvatskom saboru na diskriminaciju po spolu i područjima u kojima se pojavljuje, daje preporuke u vezi uklanjanja diskriminacije i prevencije</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Neovisna istraživanja i izvješća podižu svijest u društvu o potrebi za zaštitu od diskriminacije i stvaranju jednakih mogućnosti za M i Ž</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7</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Izvješće o radu PRS 2014.</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5</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3</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Analizom prijedloga zakona i drugih propisa Pravobraniteljica doprinosi radu Vlade i Hrvatskog saboru jer im predlaže primjedbe  temeljene na njezinoj praksi iz rada po pritužbama građana/ki</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Sudjelovanjem na sjednicama radnih tijela sabora iznosi primjedbe i prijedloge u ime diskriminiranih građana/ki</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17</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Izvješće o radu PRS 2014.</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5</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15</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Sudjelovanjem u provedbi projekata financiranih sredstvima EU, kao nositeljica/partnerica, direktno promiče ravnopravnost spolova</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Neovisnim djelovanjem, uz financijsku pomoć EU, promiče zaštitu građana/ki od diskriminacije u svojoj nadležnosti</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4</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Izvješće o radu PRS 2014.</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4</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Praćenje provedbe mjera Vladinih javnih politika/strategija</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Praćenjem provedbe mjera utvrđenih javnim politikama doprinosi kvalitetnijoj provedbi Zakona o ravnopravnosti spolova</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4</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Izvješće o radu PRS 2014.</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4</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4</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Suradnja s institucionalnim mehanizmima koji osiguravaju provedbu Zakona o ravnopravnosti spolova</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Suradnja i savjetodavni rad Pravobraniteljice s Povjerenstvima/Odborima za ravnopravnost spolova na svim razinama zakonodavne i izvršne vlasti unapređuje zaštitu građana/ki</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13</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Izvješće o radu PRS 2014.</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12</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13</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Pravobraniteljica održava javna predavanja, edukacije i druge programe izobrazbe</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Aktivnim sudjelovanjem u (ne)formalnim programimaobrazovanja utiče na informiranost građana/ki o instrumentima pravne zaštite koju mogu koristiti</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8</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Izvješće o radu PRS 2014.</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6</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8</w:t>
            </w:r>
          </w:p>
        </w:tc>
      </w:tr>
    </w:tbl>
    <w:p w:rsidR="00505632" w:rsidRDefault="00505632" w:rsidP="00505632">
      <w:pPr>
        <w:jc w:val="left"/>
      </w:pPr>
    </w:p>
    <w:p w:rsidR="00505632" w:rsidRDefault="00505632" w:rsidP="008E201B">
      <w:pPr>
        <w:overflowPunct/>
        <w:autoSpaceDE/>
        <w:autoSpaceDN/>
        <w:adjustRightInd/>
        <w:spacing w:after="200" w:line="276" w:lineRule="auto"/>
        <w:jc w:val="left"/>
        <w:textAlignment w:val="auto"/>
      </w:pPr>
      <w:r>
        <w:br w:type="page"/>
      </w:r>
    </w:p>
    <w:p w:rsidR="00505632" w:rsidRDefault="00505632" w:rsidP="00505632">
      <w:pPr>
        <w:pStyle w:val="Heading1"/>
      </w:pPr>
      <w:r>
        <w:t>123 PRAVOBRANITELJ ZA OSOBE S INVALIDITETOM</w:t>
      </w:r>
    </w:p>
    <w:p w:rsidR="00505632" w:rsidRDefault="00505632" w:rsidP="00505632">
      <w:r>
        <w:t>Djelokrug rada Ureda uređen je člancima 6. – 15. Zakona iz kojih proizlazi da pravobranitelj za osobe s invaliditetom: prati usklađenost Zakona i drugih propisa u Republici Hrvatskoj koji se odnose na zaštitu prava i interesa osoba s invaliditetom s odredbama Ustava Republike Hrvatske i međunarodnih dokumenata koji se odnose na zaštitu njihovih prava i interesa; prati izvršavanje obveza Republike Hrvatske koje proizlaze iz tih međunarodnih dokumenata; prati primjenu politika, nacionalnih strategija i programa Republike Hrvatske koji se odnose na zaštitu prava i interesa osoba s invaliditetom; predlaže poduzimanje mjera za poboljšanje njihova položaja nadležnim tijelima državne uprave, tijelima lokalne i područne (regionalne) samouprave, pravnim i fizičkim osobama te zahtijeva izvješća o poduzetim mjerama; skrbi o zaštiti ljudskih prava i temeljnih sloboda osoba s invaliditetom na način da im pruža savjetodavnu pomoć; surađuje s udrugama osoba s invaliditetom i sudjeluje u postupku izrade Nacrta prijedloga propisa; skrbi o suzbijanju svih oblika diskriminacije zbog invaliditeta; razmatra slučajeve povrede prava osoba s invaliditetom i o njima izvještava javnost te poduzima radnje u svrhu njihova sprečavanja; zalaže se za zaštitu i promicanje prava i interesa osoba s invaliditetom; ostvaruje pristup u prostorije i uvid u način ostvarivanja brige o osobama s invaliditetom; predlaže poduzimanje mjera za izgradnju cjelovitog sustava zaštite i promicanja prava i interesa osoba s invaliditetom.</w:t>
      </w:r>
    </w:p>
    <w:tbl>
      <w:tblPr>
        <w:tblStyle w:val="StilTablice"/>
        <w:tblW w:w="10206" w:type="dxa"/>
        <w:jc w:val="center"/>
        <w:tblLook w:val="04A0" w:firstRow="1" w:lastRow="0" w:firstColumn="1" w:lastColumn="0" w:noHBand="0" w:noVBand="1"/>
      </w:tblPr>
      <w:tblGrid>
        <w:gridCol w:w="1860"/>
        <w:gridCol w:w="1974"/>
        <w:gridCol w:w="1974"/>
        <w:gridCol w:w="1974"/>
        <w:gridCol w:w="1209"/>
        <w:gridCol w:w="1215"/>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12305-Pravobranitelj za osobe s invaliditetom</w:t>
            </w:r>
          </w:p>
        </w:tc>
        <w:tc>
          <w:tcPr>
            <w:tcW w:w="2041" w:type="dxa"/>
            <w:vAlign w:val="top"/>
          </w:tcPr>
          <w:p w:rsidR="00505632" w:rsidRDefault="00505632" w:rsidP="00AD4E52">
            <w:pPr>
              <w:pStyle w:val="CellColumn"/>
              <w:jc w:val="right"/>
            </w:pPr>
            <w:r>
              <w:rPr>
                <w:rFonts w:cs="Times New Roman"/>
              </w:rPr>
              <w:t>3.069.494</w:t>
            </w:r>
          </w:p>
        </w:tc>
        <w:tc>
          <w:tcPr>
            <w:tcW w:w="2041" w:type="dxa"/>
            <w:vAlign w:val="top"/>
          </w:tcPr>
          <w:p w:rsidR="00505632" w:rsidRDefault="00505632" w:rsidP="00AD4E52">
            <w:pPr>
              <w:pStyle w:val="CellColumn"/>
              <w:jc w:val="right"/>
            </w:pPr>
            <w:r>
              <w:rPr>
                <w:rFonts w:cs="Times New Roman"/>
              </w:rPr>
              <w:t>3.520.916</w:t>
            </w:r>
          </w:p>
        </w:tc>
        <w:tc>
          <w:tcPr>
            <w:tcW w:w="2041" w:type="dxa"/>
            <w:vAlign w:val="top"/>
          </w:tcPr>
          <w:p w:rsidR="00505632" w:rsidRDefault="00505632" w:rsidP="00AD4E52">
            <w:pPr>
              <w:pStyle w:val="CellColumn"/>
              <w:jc w:val="right"/>
            </w:pPr>
            <w:r>
              <w:rPr>
                <w:rFonts w:cs="Times New Roman"/>
              </w:rPr>
              <w:t>3.302.712</w:t>
            </w:r>
          </w:p>
        </w:tc>
        <w:tc>
          <w:tcPr>
            <w:tcW w:w="1224" w:type="dxa"/>
            <w:vAlign w:val="top"/>
          </w:tcPr>
          <w:p w:rsidR="00505632" w:rsidRDefault="00505632" w:rsidP="00AD4E52">
            <w:pPr>
              <w:pStyle w:val="CellColumn"/>
              <w:jc w:val="right"/>
            </w:pPr>
            <w:r>
              <w:rPr>
                <w:rFonts w:cs="Times New Roman"/>
              </w:rPr>
              <w:t>93,8</w:t>
            </w:r>
          </w:p>
        </w:tc>
        <w:tc>
          <w:tcPr>
            <w:tcW w:w="1224" w:type="dxa"/>
            <w:vAlign w:val="top"/>
          </w:tcPr>
          <w:p w:rsidR="00505632" w:rsidRDefault="00505632" w:rsidP="00AD4E52">
            <w:pPr>
              <w:pStyle w:val="CellColumn"/>
              <w:jc w:val="right"/>
            </w:pPr>
            <w:r>
              <w:rPr>
                <w:rFonts w:cs="Times New Roman"/>
              </w:rPr>
              <w:t>107,6</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123-PRAVOBRANITELJ ZA OSOBE S INVALIDITETOM</w:t>
            </w:r>
          </w:p>
        </w:tc>
        <w:tc>
          <w:tcPr>
            <w:tcW w:w="2041" w:type="dxa"/>
            <w:shd w:val="clear" w:color="auto" w:fill="B5C0D8"/>
          </w:tcPr>
          <w:p w:rsidR="00505632" w:rsidRDefault="00505632" w:rsidP="00AD4E52">
            <w:pPr>
              <w:pStyle w:val="CellColumn"/>
              <w:jc w:val="right"/>
            </w:pPr>
            <w:r>
              <w:rPr>
                <w:rFonts w:cs="Times New Roman"/>
              </w:rPr>
              <w:t>3.069.494</w:t>
            </w:r>
          </w:p>
        </w:tc>
        <w:tc>
          <w:tcPr>
            <w:tcW w:w="2041" w:type="dxa"/>
            <w:shd w:val="clear" w:color="auto" w:fill="B5C0D8"/>
          </w:tcPr>
          <w:p w:rsidR="00505632" w:rsidRDefault="00505632" w:rsidP="00AD4E52">
            <w:pPr>
              <w:pStyle w:val="CellColumn"/>
              <w:jc w:val="right"/>
            </w:pPr>
            <w:r>
              <w:rPr>
                <w:rFonts w:cs="Times New Roman"/>
              </w:rPr>
              <w:t>3.520.916</w:t>
            </w:r>
          </w:p>
        </w:tc>
        <w:tc>
          <w:tcPr>
            <w:tcW w:w="2041" w:type="dxa"/>
            <w:shd w:val="clear" w:color="auto" w:fill="B5C0D8"/>
          </w:tcPr>
          <w:p w:rsidR="00505632" w:rsidRDefault="00505632" w:rsidP="00AD4E52">
            <w:pPr>
              <w:pStyle w:val="CellColumn"/>
              <w:jc w:val="right"/>
            </w:pPr>
            <w:r>
              <w:rPr>
                <w:rFonts w:cs="Times New Roman"/>
              </w:rPr>
              <w:t>3.302.712</w:t>
            </w:r>
          </w:p>
        </w:tc>
        <w:tc>
          <w:tcPr>
            <w:tcW w:w="1224" w:type="dxa"/>
            <w:shd w:val="clear" w:color="auto" w:fill="B5C0D8"/>
          </w:tcPr>
          <w:p w:rsidR="00505632" w:rsidRDefault="00505632" w:rsidP="00AD4E52">
            <w:pPr>
              <w:pStyle w:val="CellColumn"/>
              <w:jc w:val="right"/>
            </w:pPr>
            <w:r>
              <w:rPr>
                <w:rFonts w:cs="Times New Roman"/>
              </w:rPr>
              <w:t>93,8</w:t>
            </w:r>
          </w:p>
        </w:tc>
        <w:tc>
          <w:tcPr>
            <w:tcW w:w="1224" w:type="dxa"/>
            <w:shd w:val="clear" w:color="auto" w:fill="B5C0D8"/>
          </w:tcPr>
          <w:p w:rsidR="00505632" w:rsidRDefault="00505632" w:rsidP="00AD4E52">
            <w:pPr>
              <w:pStyle w:val="CellColumn"/>
              <w:jc w:val="right"/>
            </w:pPr>
            <w:r>
              <w:rPr>
                <w:rFonts w:cs="Times New Roman"/>
              </w:rPr>
              <w:t>107,6</w:t>
            </w:r>
          </w:p>
        </w:tc>
      </w:tr>
    </w:tbl>
    <w:p w:rsidR="00505632" w:rsidRDefault="00505632" w:rsidP="00505632">
      <w:pPr>
        <w:jc w:val="left"/>
      </w:pPr>
    </w:p>
    <w:p w:rsidR="00505632" w:rsidRDefault="00505632" w:rsidP="00505632">
      <w:pPr>
        <w:pStyle w:val="Heading2"/>
      </w:pPr>
      <w:r>
        <w:t>12305 Pravobranitelj za osobe s invaliditetom</w:t>
      </w:r>
    </w:p>
    <w:p w:rsidR="00505632" w:rsidRDefault="00505632" w:rsidP="00505632">
      <w:r>
        <w:t>Djelokrug rada Ureda uređen je člancima 6. – 15. Zakona iz kojih proizlazi da pravobranitelj za osobe s invaliditetom: prati usklađenost Zakona i drugih propisa u Republici Hrvatskoj koji se odnose na zaštitu prava i interesa osoba s invaliditetom s odredbama Ustava Republike Hrvatske i međunarodnih dokumenata koji se odnose na zaštitu njihovih prava i interesa; prati izvršavanje obveza Republike Hrvatske koje proizlaze iz tih međunarodnih dokumenata; prati primjenu politika, nacionalnih strategija i programa Republike Hrvatske koji se odnose na zaštitu prava i interesa osoba s invaliditetom; predlaže poduzimanje mjera za poboljšanje njihova položaja nadležnim tijelima državne uprave, tijelima lokalne i područne (regionalne) samouprave, pravnim i fizičkim osobama te zahtijeva izvješća o poduzetim mjerama; skrbi o zaštiti ljudskih prava i temeljnih sloboda osoba s invaliditetom na način da im pruža savjetodavnu pomoć; surađuje s udrugama osoba s invaliditetom i sudjeluje u postupku izrade Nacrta prijedloga propisa; skrbi o suzbijanju svih oblika diskriminacije zbog invaliditeta; razmatra slučajeve povrede prava osoba s invaliditetom i o njima izvještava javnost te poduzima radnje u svrhu njihova sprečavanja; zalaže se za zaštitu i promicanje prava i interesa osoba s invaliditetom; ostvaruje pristup u prostorije i uvid u način ostvarivanja brige o osobama s invaliditetom; predlaže poduzimanje mjera za izgradnju cjelovitog sustava zaštite i promicanja prava i interesa osoba s invaliditetom</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12305-Pravobranitelj za osobe s invaliditetom</w:t>
            </w:r>
          </w:p>
        </w:tc>
        <w:tc>
          <w:tcPr>
            <w:tcW w:w="2041" w:type="dxa"/>
            <w:vAlign w:val="top"/>
          </w:tcPr>
          <w:p w:rsidR="00505632" w:rsidRDefault="00505632" w:rsidP="00AD4E52">
            <w:pPr>
              <w:pStyle w:val="CellColumn"/>
              <w:jc w:val="right"/>
            </w:pPr>
            <w:r>
              <w:rPr>
                <w:rFonts w:cs="Times New Roman"/>
              </w:rPr>
              <w:t>3.069.494</w:t>
            </w:r>
          </w:p>
        </w:tc>
        <w:tc>
          <w:tcPr>
            <w:tcW w:w="2041" w:type="dxa"/>
            <w:vAlign w:val="top"/>
          </w:tcPr>
          <w:p w:rsidR="00505632" w:rsidRDefault="00505632" w:rsidP="00AD4E52">
            <w:pPr>
              <w:pStyle w:val="CellColumn"/>
              <w:jc w:val="right"/>
            </w:pPr>
            <w:r>
              <w:rPr>
                <w:rFonts w:cs="Times New Roman"/>
              </w:rPr>
              <w:t>3.520.916</w:t>
            </w:r>
          </w:p>
        </w:tc>
        <w:tc>
          <w:tcPr>
            <w:tcW w:w="2041" w:type="dxa"/>
            <w:vAlign w:val="top"/>
          </w:tcPr>
          <w:p w:rsidR="00505632" w:rsidRDefault="00505632" w:rsidP="00AD4E52">
            <w:pPr>
              <w:pStyle w:val="CellColumn"/>
              <w:jc w:val="right"/>
            </w:pPr>
            <w:r>
              <w:rPr>
                <w:rFonts w:cs="Times New Roman"/>
              </w:rPr>
              <w:t>3.302.712</w:t>
            </w:r>
          </w:p>
        </w:tc>
        <w:tc>
          <w:tcPr>
            <w:tcW w:w="1224" w:type="dxa"/>
            <w:vAlign w:val="top"/>
          </w:tcPr>
          <w:p w:rsidR="00505632" w:rsidRDefault="00505632" w:rsidP="00AD4E52">
            <w:pPr>
              <w:pStyle w:val="CellColumn"/>
              <w:jc w:val="right"/>
            </w:pPr>
            <w:r>
              <w:rPr>
                <w:rFonts w:cs="Times New Roman"/>
              </w:rPr>
              <w:t>93,8</w:t>
            </w:r>
          </w:p>
        </w:tc>
        <w:tc>
          <w:tcPr>
            <w:tcW w:w="1224" w:type="dxa"/>
            <w:vAlign w:val="top"/>
          </w:tcPr>
          <w:p w:rsidR="00505632" w:rsidRDefault="00505632" w:rsidP="00AD4E52">
            <w:pPr>
              <w:pStyle w:val="CellColumn"/>
              <w:jc w:val="right"/>
            </w:pPr>
            <w:r>
              <w:rPr>
                <w:rFonts w:cs="Times New Roman"/>
              </w:rPr>
              <w:t>107,6</w:t>
            </w:r>
          </w:p>
        </w:tc>
      </w:tr>
      <w:tr w:rsidR="00505632" w:rsidTr="00AD4E52">
        <w:trPr>
          <w:jc w:val="center"/>
        </w:trPr>
        <w:tc>
          <w:tcPr>
            <w:tcW w:w="1632" w:type="dxa"/>
          </w:tcPr>
          <w:p w:rsidR="00505632" w:rsidRDefault="00505632" w:rsidP="00AD4E52">
            <w:pPr>
              <w:jc w:val="left"/>
            </w:pPr>
            <w:r>
              <w:t>2118-ZAŠTITA I PROMICANJE PRAVA I INTERESA OSOBA S INVALIDITETOM</w:t>
            </w:r>
          </w:p>
        </w:tc>
        <w:tc>
          <w:tcPr>
            <w:tcW w:w="2041" w:type="dxa"/>
          </w:tcPr>
          <w:p w:rsidR="00505632" w:rsidRDefault="00505632" w:rsidP="00AD4E52">
            <w:pPr>
              <w:jc w:val="right"/>
            </w:pPr>
            <w:r>
              <w:t>3.069.494</w:t>
            </w:r>
          </w:p>
        </w:tc>
        <w:tc>
          <w:tcPr>
            <w:tcW w:w="2041" w:type="dxa"/>
          </w:tcPr>
          <w:p w:rsidR="00505632" w:rsidRDefault="00505632" w:rsidP="00AD4E52">
            <w:pPr>
              <w:jc w:val="right"/>
            </w:pPr>
            <w:r>
              <w:t>3.520.916</w:t>
            </w:r>
          </w:p>
        </w:tc>
        <w:tc>
          <w:tcPr>
            <w:tcW w:w="2041" w:type="dxa"/>
          </w:tcPr>
          <w:p w:rsidR="00505632" w:rsidRDefault="00505632" w:rsidP="00AD4E52">
            <w:pPr>
              <w:jc w:val="right"/>
            </w:pPr>
            <w:r>
              <w:t>3.302.712</w:t>
            </w:r>
          </w:p>
        </w:tc>
        <w:tc>
          <w:tcPr>
            <w:tcW w:w="1224" w:type="dxa"/>
          </w:tcPr>
          <w:p w:rsidR="00505632" w:rsidRDefault="00505632" w:rsidP="00AD4E52">
            <w:pPr>
              <w:jc w:val="right"/>
            </w:pPr>
            <w:r>
              <w:t>93,8</w:t>
            </w:r>
          </w:p>
        </w:tc>
        <w:tc>
          <w:tcPr>
            <w:tcW w:w="1224" w:type="dxa"/>
          </w:tcPr>
          <w:p w:rsidR="00505632" w:rsidRDefault="00505632" w:rsidP="00AD4E52">
            <w:pPr>
              <w:jc w:val="right"/>
            </w:pPr>
            <w:r>
              <w:t>107,6</w:t>
            </w:r>
          </w:p>
        </w:tc>
      </w:tr>
    </w:tbl>
    <w:p w:rsidR="00505632" w:rsidRDefault="00505632" w:rsidP="00505632">
      <w:pPr>
        <w:jc w:val="left"/>
      </w:pPr>
    </w:p>
    <w:p w:rsidR="00505632" w:rsidRDefault="00505632" w:rsidP="00505632">
      <w:pPr>
        <w:pStyle w:val="Heading3"/>
      </w:pPr>
      <w:r>
        <w:rPr>
          <w:rFonts w:cs="Times New Roman"/>
        </w:rPr>
        <w:t>2118 ZAŠTITA I PROMICANJE PRAVA I INTERESA OSOBA S INVALIDITETOM</w:t>
      </w:r>
    </w:p>
    <w:tbl>
      <w:tblPr>
        <w:tblStyle w:val="StilTablice"/>
        <w:tblW w:w="10206" w:type="dxa"/>
        <w:jc w:val="center"/>
        <w:tblLook w:val="04A0" w:firstRow="1" w:lastRow="0" w:firstColumn="1" w:lastColumn="0" w:noHBand="0" w:noVBand="1"/>
      </w:tblPr>
      <w:tblGrid>
        <w:gridCol w:w="1703"/>
        <w:gridCol w:w="2021"/>
        <w:gridCol w:w="2021"/>
        <w:gridCol w:w="2021"/>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2118-ZAŠTITA I PROMICANJE PRAVA I INTERESA OSOBA S INVALIDITETOM</w:t>
            </w:r>
          </w:p>
        </w:tc>
        <w:tc>
          <w:tcPr>
            <w:tcW w:w="2041" w:type="dxa"/>
          </w:tcPr>
          <w:p w:rsidR="00505632" w:rsidRDefault="00505632" w:rsidP="00AD4E52">
            <w:pPr>
              <w:pStyle w:val="CellColumn"/>
              <w:jc w:val="right"/>
            </w:pPr>
            <w:r>
              <w:rPr>
                <w:rFonts w:cs="Times New Roman"/>
              </w:rPr>
              <w:t>3.069.494</w:t>
            </w:r>
          </w:p>
        </w:tc>
        <w:tc>
          <w:tcPr>
            <w:tcW w:w="2041" w:type="dxa"/>
          </w:tcPr>
          <w:p w:rsidR="00505632" w:rsidRDefault="00505632" w:rsidP="00AD4E52">
            <w:pPr>
              <w:pStyle w:val="CellColumn"/>
              <w:jc w:val="right"/>
            </w:pPr>
            <w:r>
              <w:rPr>
                <w:rFonts w:cs="Times New Roman"/>
              </w:rPr>
              <w:t>3.520.916</w:t>
            </w:r>
          </w:p>
        </w:tc>
        <w:tc>
          <w:tcPr>
            <w:tcW w:w="2041" w:type="dxa"/>
          </w:tcPr>
          <w:p w:rsidR="00505632" w:rsidRDefault="00505632" w:rsidP="00AD4E52">
            <w:pPr>
              <w:pStyle w:val="CellColumn"/>
              <w:jc w:val="right"/>
            </w:pPr>
            <w:r>
              <w:rPr>
                <w:rFonts w:cs="Times New Roman"/>
              </w:rPr>
              <w:t>3.302.712</w:t>
            </w:r>
          </w:p>
        </w:tc>
        <w:tc>
          <w:tcPr>
            <w:tcW w:w="1224" w:type="dxa"/>
          </w:tcPr>
          <w:p w:rsidR="00505632" w:rsidRDefault="00505632" w:rsidP="00AD4E52">
            <w:pPr>
              <w:pStyle w:val="CellColumn"/>
              <w:jc w:val="right"/>
            </w:pPr>
            <w:r>
              <w:rPr>
                <w:rFonts w:cs="Times New Roman"/>
              </w:rPr>
              <w:t>93,8</w:t>
            </w:r>
          </w:p>
        </w:tc>
        <w:tc>
          <w:tcPr>
            <w:tcW w:w="1224" w:type="dxa"/>
          </w:tcPr>
          <w:p w:rsidR="00505632" w:rsidRDefault="00505632" w:rsidP="00AD4E52">
            <w:pPr>
              <w:pStyle w:val="CellColumn"/>
              <w:jc w:val="right"/>
            </w:pPr>
            <w:r>
              <w:rPr>
                <w:rFonts w:cs="Times New Roman"/>
              </w:rPr>
              <w:t>107,6</w:t>
            </w:r>
          </w:p>
        </w:tc>
      </w:tr>
    </w:tbl>
    <w:p w:rsidR="00505632" w:rsidRDefault="00505632" w:rsidP="00505632">
      <w:pPr>
        <w:jc w:val="left"/>
      </w:pPr>
    </w:p>
    <w:p w:rsidR="00505632" w:rsidRDefault="00505632" w:rsidP="00505632">
      <w:r>
        <w:t>Opći cilj strateškog plana za 2016. -2018. godinu je zaštita ljudskih prava osoba s invaliditetom podjednako u svim područjima Republike Hrvatske jer su uočene su velike razlike u položaju osoba s invaliditetom ovisno o području u kojem žive. Razlika je uočljiva kod osoba s invaliditetom koje žive u većim urbanim sredinama u odnosu na one koji žive u manjim, odnosno ruralnim područjima udaljenima od većih gradskih centara. Zbog velike razlike u dostupnosti usluga, informiranju te ostvarivanju određenih prava, cilj Ureda je u sljedećem trogodišnjem razdoblju doprijeti do osoba s invaliditetom u svim područjima RH jednako i poticati ravnomjeran razvoj resursa koji doprinose većoj uključenosti i sigurnosti te na taj način pridonijeti izjednačavanju zaštite prava osoba s invaliditetom neovisno na kojem području žive. Ostvarenje programa ostvarivat će se kroz posebne ciljeve: doprinosa ostvarenju zakonskih prava osoba s invaliditetom, unapređenja informiranosti osoba s invaliditetom o njihovim pravima i načinima njihova ostvarivanja, te doprinos većoj informiranosti institucija i društva u cjelini o pitanjima osoba s invaliditetom.</w:t>
      </w:r>
    </w:p>
    <w:p w:rsidR="00505632" w:rsidRDefault="00505632" w:rsidP="00505632">
      <w:pPr>
        <w:pStyle w:val="Heading8"/>
        <w:jc w:val="left"/>
      </w:pPr>
      <w:r>
        <w:t>Cilj 1. Doprinos ostvarenju zakonskih prava osoba s invaliditetom</w:t>
      </w:r>
    </w:p>
    <w:p w:rsidR="00505632" w:rsidRDefault="00505632" w:rsidP="00505632">
      <w:pPr>
        <w:pStyle w:val="Heading8"/>
        <w:jc w:val="left"/>
      </w:pPr>
      <w:r>
        <w:t>Opis provedbe cilja programa</w:t>
      </w:r>
    </w:p>
    <w:p w:rsidR="00505632" w:rsidRDefault="00505632" w:rsidP="00505632">
      <w:r>
        <w:t>Unatoč brojnim međunarodnim i nacionalnim dokumentima i propisima kojima se štite i promiču prava osoba s invaliditetom, uočava se nedosljednost u njihovoj primjeni. Stoga je zadaća Ureda pratiti, doprinositi i inzistirati na primjeni prava i poštivanju donesenih dokumenata te njihovoj provedbi. Budući da se učinkovitom provedbom mjera ostvaruje zaštita ljudskih prava osoba s invaliditetom, Ured je na temelju pritužbi uočio da su neujednačena postupanja u odnosu na zakonsku regulativu najčešća u područjima socijalne zaštite, pristupačnosti, zdravstvene zaštite, rada i zapošljavanja i mirovinskog osiguranja. Prema ovlaštenjima koja su propisana čl. 26 Zakona o zaštiti osoba s duševnim smetnjama („Narodne novine“, br. 76/14.) pravobraniteljica je dužna provjeravati opravdanost smještaja bez pristanka za sve osobe za koje je pisani pristanak za smještaj u psihijatrijsku ustanovu dao zakonski zastupnik, a u svrhu zaštite ljudskih prava osoba s duševnim smetnjama smještenih u psihijatrijskim ustanovama.</w:t>
      </w:r>
    </w:p>
    <w:p w:rsidR="00505632" w:rsidRDefault="00505632" w:rsidP="00505632">
      <w:pPr>
        <w:pStyle w:val="Heading8"/>
        <w:jc w:val="left"/>
      </w:pPr>
      <w:r>
        <w:t>Cilj 2. Unapređenje informiranosti osoba s invaliditetom o njihovim pravima i načinima njihova ostvarivanja</w:t>
      </w:r>
    </w:p>
    <w:p w:rsidR="00505632" w:rsidRDefault="00505632" w:rsidP="00505632">
      <w:pPr>
        <w:pStyle w:val="Heading8"/>
        <w:jc w:val="left"/>
      </w:pPr>
      <w:r>
        <w:t>Opis provedbe cilja programa</w:t>
      </w:r>
    </w:p>
    <w:p w:rsidR="00505632" w:rsidRDefault="00505632" w:rsidP="00505632">
      <w:r>
        <w:t>Ukoliko su osobe s invaliditetom preko svojih saveza i udruga osoba s invaliditetom, nadležnih tijela na državnoj, regionalnoj i lokalnoj razini te putem nazočnosti na raznim događanjima informirane o svojim pravima i načinima njihova ostvarivanja, povećava se mogućnost za njihovo aktivnije uključivanje u društvo</w:t>
      </w:r>
    </w:p>
    <w:p w:rsidR="00505632" w:rsidRDefault="00505632" w:rsidP="00505632">
      <w:pPr>
        <w:pStyle w:val="Heading8"/>
        <w:jc w:val="left"/>
      </w:pPr>
      <w:r>
        <w:t>Cilj 3. Doprinos većoj informiranosti institucija i društva u cjelini o pitanjima osoba s invaliditetom</w:t>
      </w:r>
    </w:p>
    <w:p w:rsidR="00505632" w:rsidRDefault="00505632" w:rsidP="00505632">
      <w:pPr>
        <w:pStyle w:val="Heading8"/>
        <w:jc w:val="left"/>
      </w:pPr>
      <w:r>
        <w:t>Opis provedbe cilja programa</w:t>
      </w:r>
    </w:p>
    <w:p w:rsidR="00505632" w:rsidRDefault="00505632" w:rsidP="00505632">
      <w:r>
        <w:t>Ukoliko su nadležne institucije za pitanja osoba s invaliditetom kao i društvo u cjelini informirane o potrebama osoba s invaliditetom i načinima njihova rješavanja stvoren je preduvjet da se prava osoba s invaliditetom izjednače na području cijele Hrvatske. Prisutna je nejednakost u postupanju u pojedinim područnim službama i neadekvatan pristup osobama s invaliditetom. Ured će u sljedećem trogodišnjem razdoblju poticati sve dionike na ujednačavanje prakse, educiranje djelatnika koji rade s osobama s invaliditetom i širenje pozitivnih praksi kako iz stranih zemalja tako i između različitih regija u Hrvatskoj.</w:t>
      </w:r>
    </w:p>
    <w:p w:rsidR="00505632" w:rsidRDefault="00505632" w:rsidP="00505632">
      <w:pPr>
        <w:pStyle w:val="Heading8"/>
        <w:jc w:val="left"/>
      </w:pPr>
      <w:r>
        <w:t>Pokazatelji učinka</w:t>
      </w:r>
    </w:p>
    <w:tbl>
      <w:tblPr>
        <w:tblStyle w:val="StilTablice"/>
        <w:tblW w:w="7868" w:type="dxa"/>
        <w:jc w:val="center"/>
        <w:tblLook w:val="04A0" w:firstRow="1" w:lastRow="0" w:firstColumn="1" w:lastColumn="0" w:noHBand="0" w:noVBand="1"/>
      </w:tblPr>
      <w:tblGrid>
        <w:gridCol w:w="2379"/>
        <w:gridCol w:w="988"/>
        <w:gridCol w:w="1006"/>
        <w:gridCol w:w="1481"/>
        <w:gridCol w:w="1006"/>
        <w:gridCol w:w="1008"/>
      </w:tblGrid>
      <w:tr w:rsidR="00505632" w:rsidTr="00AD4E52">
        <w:trPr>
          <w:jc w:val="center"/>
        </w:trPr>
        <w:tc>
          <w:tcPr>
            <w:tcW w:w="2379" w:type="dxa"/>
            <w:shd w:val="clear" w:color="auto" w:fill="B5C0D8"/>
          </w:tcPr>
          <w:p w:rsidR="00505632" w:rsidRDefault="00505632" w:rsidP="00AD4E52">
            <w:pPr>
              <w:jc w:val="center"/>
            </w:pPr>
            <w:r>
              <w:t>Pokazatelj učinka</w:t>
            </w:r>
          </w:p>
        </w:tc>
        <w:tc>
          <w:tcPr>
            <w:tcW w:w="988" w:type="dxa"/>
            <w:shd w:val="clear" w:color="auto" w:fill="B5C0D8"/>
          </w:tcPr>
          <w:p w:rsidR="00505632" w:rsidRDefault="00505632" w:rsidP="00AD4E52">
            <w:pPr>
              <w:pStyle w:val="CellHeader"/>
              <w:jc w:val="center"/>
            </w:pPr>
            <w:r>
              <w:rPr>
                <w:rFonts w:cs="Times New Roman"/>
              </w:rPr>
              <w:t>Jedinica</w:t>
            </w:r>
          </w:p>
        </w:tc>
        <w:tc>
          <w:tcPr>
            <w:tcW w:w="1006" w:type="dxa"/>
            <w:shd w:val="clear" w:color="auto" w:fill="B5C0D8"/>
          </w:tcPr>
          <w:p w:rsidR="00505632" w:rsidRDefault="00505632" w:rsidP="00AD4E52">
            <w:pPr>
              <w:pStyle w:val="CellHeader"/>
              <w:jc w:val="center"/>
            </w:pPr>
            <w:r>
              <w:rPr>
                <w:rFonts w:cs="Times New Roman"/>
              </w:rPr>
              <w:t>Polazna vrijednost</w:t>
            </w:r>
          </w:p>
        </w:tc>
        <w:tc>
          <w:tcPr>
            <w:tcW w:w="1481" w:type="dxa"/>
            <w:shd w:val="clear" w:color="auto" w:fill="B5C0D8"/>
          </w:tcPr>
          <w:p w:rsidR="00505632" w:rsidRDefault="00505632" w:rsidP="00AD4E52">
            <w:pPr>
              <w:pStyle w:val="CellHeader"/>
              <w:jc w:val="center"/>
            </w:pPr>
            <w:r>
              <w:rPr>
                <w:rFonts w:cs="Times New Roman"/>
              </w:rPr>
              <w:t>Izvor podataka</w:t>
            </w:r>
          </w:p>
        </w:tc>
        <w:tc>
          <w:tcPr>
            <w:tcW w:w="1006" w:type="dxa"/>
            <w:shd w:val="clear" w:color="auto" w:fill="B5C0D8"/>
          </w:tcPr>
          <w:p w:rsidR="00505632" w:rsidRDefault="00505632" w:rsidP="00AD4E52">
            <w:pPr>
              <w:pStyle w:val="CellHeader"/>
              <w:jc w:val="center"/>
            </w:pPr>
            <w:r>
              <w:rPr>
                <w:rFonts w:cs="Times New Roman"/>
              </w:rPr>
              <w:t>Ciljana vrijednost (2016.)</w:t>
            </w:r>
          </w:p>
        </w:tc>
        <w:tc>
          <w:tcPr>
            <w:tcW w:w="1008"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379" w:type="dxa"/>
          </w:tcPr>
          <w:p w:rsidR="00505632" w:rsidRDefault="00505632" w:rsidP="00AD4E52">
            <w:pPr>
              <w:pStyle w:val="CellColumn"/>
              <w:jc w:val="left"/>
            </w:pPr>
            <w:r>
              <w:rPr>
                <w:rFonts w:cs="Times New Roman"/>
              </w:rPr>
              <w:t>Broj zaprimljenih pritužbi građana</w:t>
            </w:r>
          </w:p>
        </w:tc>
        <w:tc>
          <w:tcPr>
            <w:tcW w:w="988" w:type="dxa"/>
          </w:tcPr>
          <w:p w:rsidR="00505632" w:rsidRDefault="00505632" w:rsidP="00AD4E52">
            <w:pPr>
              <w:pStyle w:val="CellColumn"/>
              <w:jc w:val="right"/>
            </w:pPr>
            <w:r>
              <w:rPr>
                <w:rFonts w:cs="Times New Roman"/>
              </w:rPr>
              <w:t>broj</w:t>
            </w:r>
          </w:p>
        </w:tc>
        <w:tc>
          <w:tcPr>
            <w:tcW w:w="1006"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6" w:type="dxa"/>
          </w:tcPr>
          <w:p w:rsidR="00505632" w:rsidRDefault="00505632" w:rsidP="00AD4E52">
            <w:pPr>
              <w:pStyle w:val="CellColumn"/>
              <w:jc w:val="right"/>
            </w:pPr>
            <w:r>
              <w:rPr>
                <w:rFonts w:cs="Times New Roman"/>
              </w:rPr>
              <w:t>1000</w:t>
            </w:r>
          </w:p>
        </w:tc>
        <w:tc>
          <w:tcPr>
            <w:tcW w:w="1008" w:type="dxa"/>
          </w:tcPr>
          <w:p w:rsidR="00505632" w:rsidRDefault="00505632" w:rsidP="00AD4E52">
            <w:pPr>
              <w:pStyle w:val="CellColumn"/>
              <w:jc w:val="right"/>
            </w:pPr>
            <w:r>
              <w:rPr>
                <w:rFonts w:cs="Times New Roman"/>
              </w:rPr>
              <w:t>725</w:t>
            </w:r>
          </w:p>
        </w:tc>
      </w:tr>
      <w:tr w:rsidR="00505632" w:rsidTr="00AD4E52">
        <w:trPr>
          <w:jc w:val="center"/>
        </w:trPr>
        <w:tc>
          <w:tcPr>
            <w:tcW w:w="2379" w:type="dxa"/>
          </w:tcPr>
          <w:p w:rsidR="00505632" w:rsidRDefault="00505632" w:rsidP="00AD4E52">
            <w:pPr>
              <w:pStyle w:val="CellColumn"/>
              <w:jc w:val="left"/>
            </w:pPr>
            <w:r>
              <w:rPr>
                <w:rFonts w:cs="Times New Roman"/>
              </w:rPr>
              <w:t>Broj postupanja po predstavkama OSI upućenih POSI</w:t>
            </w:r>
          </w:p>
        </w:tc>
        <w:tc>
          <w:tcPr>
            <w:tcW w:w="988" w:type="dxa"/>
          </w:tcPr>
          <w:p w:rsidR="00505632" w:rsidRDefault="00505632" w:rsidP="00AD4E52">
            <w:pPr>
              <w:pStyle w:val="CellColumn"/>
              <w:jc w:val="right"/>
            </w:pPr>
            <w:r>
              <w:rPr>
                <w:rFonts w:cs="Times New Roman"/>
              </w:rPr>
              <w:t>broj</w:t>
            </w:r>
          </w:p>
        </w:tc>
        <w:tc>
          <w:tcPr>
            <w:tcW w:w="1006"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6" w:type="dxa"/>
          </w:tcPr>
          <w:p w:rsidR="00505632" w:rsidRDefault="00505632" w:rsidP="00AD4E52">
            <w:pPr>
              <w:pStyle w:val="CellColumn"/>
              <w:jc w:val="right"/>
            </w:pPr>
            <w:r>
              <w:rPr>
                <w:rFonts w:cs="Times New Roman"/>
              </w:rPr>
              <w:t>1290</w:t>
            </w:r>
          </w:p>
        </w:tc>
        <w:tc>
          <w:tcPr>
            <w:tcW w:w="1008" w:type="dxa"/>
          </w:tcPr>
          <w:p w:rsidR="00505632" w:rsidRDefault="00505632" w:rsidP="00AD4E52">
            <w:pPr>
              <w:pStyle w:val="CellColumn"/>
              <w:jc w:val="right"/>
            </w:pPr>
            <w:r>
              <w:rPr>
                <w:rFonts w:cs="Times New Roman"/>
              </w:rPr>
              <w:t>1311</w:t>
            </w:r>
          </w:p>
        </w:tc>
      </w:tr>
      <w:tr w:rsidR="00505632" w:rsidTr="00AD4E52">
        <w:trPr>
          <w:jc w:val="center"/>
        </w:trPr>
        <w:tc>
          <w:tcPr>
            <w:tcW w:w="2379" w:type="dxa"/>
          </w:tcPr>
          <w:p w:rsidR="00505632" w:rsidRDefault="00505632" w:rsidP="00AD4E52">
            <w:pPr>
              <w:pStyle w:val="CellColumn"/>
              <w:jc w:val="left"/>
            </w:pPr>
            <w:r>
              <w:rPr>
                <w:rFonts w:cs="Times New Roman"/>
              </w:rPr>
              <w:t>Broj ostvarenih uvida u ustanovama te drugim PIFO</w:t>
            </w:r>
          </w:p>
        </w:tc>
        <w:tc>
          <w:tcPr>
            <w:tcW w:w="988" w:type="dxa"/>
          </w:tcPr>
          <w:p w:rsidR="00505632" w:rsidRDefault="00505632" w:rsidP="00AD4E52">
            <w:pPr>
              <w:pStyle w:val="CellColumn"/>
              <w:jc w:val="right"/>
            </w:pPr>
            <w:r>
              <w:rPr>
                <w:rFonts w:cs="Times New Roman"/>
              </w:rPr>
              <w:t>broj</w:t>
            </w:r>
          </w:p>
        </w:tc>
        <w:tc>
          <w:tcPr>
            <w:tcW w:w="1006"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6" w:type="dxa"/>
          </w:tcPr>
          <w:p w:rsidR="00505632" w:rsidRDefault="00505632" w:rsidP="00AD4E52">
            <w:pPr>
              <w:pStyle w:val="CellColumn"/>
              <w:jc w:val="right"/>
            </w:pPr>
            <w:r>
              <w:rPr>
                <w:rFonts w:cs="Times New Roman"/>
              </w:rPr>
              <w:t>35</w:t>
            </w:r>
          </w:p>
        </w:tc>
        <w:tc>
          <w:tcPr>
            <w:tcW w:w="1008" w:type="dxa"/>
          </w:tcPr>
          <w:p w:rsidR="00505632" w:rsidRDefault="00505632" w:rsidP="00AD4E52">
            <w:pPr>
              <w:pStyle w:val="CellColumn"/>
              <w:jc w:val="right"/>
            </w:pPr>
            <w:r>
              <w:rPr>
                <w:rFonts w:cs="Times New Roman"/>
              </w:rPr>
              <w:t>42</w:t>
            </w:r>
          </w:p>
        </w:tc>
      </w:tr>
      <w:tr w:rsidR="00505632" w:rsidTr="00AD4E52">
        <w:trPr>
          <w:jc w:val="center"/>
        </w:trPr>
        <w:tc>
          <w:tcPr>
            <w:tcW w:w="2379" w:type="dxa"/>
          </w:tcPr>
          <w:p w:rsidR="00505632" w:rsidRDefault="00505632" w:rsidP="00AD4E52">
            <w:pPr>
              <w:pStyle w:val="CellColumn"/>
              <w:jc w:val="left"/>
            </w:pPr>
            <w:r>
              <w:rPr>
                <w:rFonts w:cs="Times New Roman"/>
              </w:rPr>
              <w:t>Broj sudjelovanja na događanjima u organizaciji udruga</w:t>
            </w:r>
          </w:p>
        </w:tc>
        <w:tc>
          <w:tcPr>
            <w:tcW w:w="988" w:type="dxa"/>
          </w:tcPr>
          <w:p w:rsidR="00505632" w:rsidRDefault="00505632" w:rsidP="00AD4E52">
            <w:pPr>
              <w:pStyle w:val="CellColumn"/>
              <w:jc w:val="right"/>
            </w:pPr>
            <w:r>
              <w:rPr>
                <w:rFonts w:cs="Times New Roman"/>
              </w:rPr>
              <w:t>broj</w:t>
            </w:r>
          </w:p>
        </w:tc>
        <w:tc>
          <w:tcPr>
            <w:tcW w:w="1006"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inavliditetom</w:t>
            </w:r>
          </w:p>
        </w:tc>
        <w:tc>
          <w:tcPr>
            <w:tcW w:w="1006" w:type="dxa"/>
          </w:tcPr>
          <w:p w:rsidR="00505632" w:rsidRDefault="00505632" w:rsidP="00AD4E52">
            <w:pPr>
              <w:pStyle w:val="CellColumn"/>
              <w:jc w:val="right"/>
            </w:pPr>
            <w:r>
              <w:rPr>
                <w:rFonts w:cs="Times New Roman"/>
              </w:rPr>
              <w:t>45</w:t>
            </w:r>
          </w:p>
        </w:tc>
        <w:tc>
          <w:tcPr>
            <w:tcW w:w="1008" w:type="dxa"/>
          </w:tcPr>
          <w:p w:rsidR="00505632" w:rsidRDefault="00505632" w:rsidP="00AD4E52">
            <w:pPr>
              <w:pStyle w:val="CellColumn"/>
              <w:jc w:val="right"/>
            </w:pPr>
            <w:r>
              <w:rPr>
                <w:rFonts w:cs="Times New Roman"/>
              </w:rPr>
              <w:t>78</w:t>
            </w:r>
          </w:p>
        </w:tc>
      </w:tr>
      <w:tr w:rsidR="00505632" w:rsidTr="00AD4E52">
        <w:trPr>
          <w:jc w:val="center"/>
        </w:trPr>
        <w:tc>
          <w:tcPr>
            <w:tcW w:w="2379" w:type="dxa"/>
          </w:tcPr>
          <w:p w:rsidR="00505632" w:rsidRDefault="00505632" w:rsidP="00AD4E52">
            <w:pPr>
              <w:pStyle w:val="CellColumn"/>
              <w:jc w:val="left"/>
            </w:pPr>
            <w:r>
              <w:rPr>
                <w:rFonts w:cs="Times New Roman"/>
              </w:rPr>
              <w:t>Postotak zaprimljenih predstavki</w:t>
            </w:r>
          </w:p>
        </w:tc>
        <w:tc>
          <w:tcPr>
            <w:tcW w:w="988" w:type="dxa"/>
          </w:tcPr>
          <w:p w:rsidR="00505632" w:rsidRDefault="00505632" w:rsidP="00AD4E52">
            <w:pPr>
              <w:pStyle w:val="CellColumn"/>
              <w:jc w:val="right"/>
            </w:pPr>
            <w:r>
              <w:rPr>
                <w:rFonts w:cs="Times New Roman"/>
              </w:rPr>
              <w:t>%</w:t>
            </w:r>
          </w:p>
        </w:tc>
        <w:tc>
          <w:tcPr>
            <w:tcW w:w="1006"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6" w:type="dxa"/>
          </w:tcPr>
          <w:p w:rsidR="00505632" w:rsidRDefault="00505632" w:rsidP="00AD4E52">
            <w:pPr>
              <w:pStyle w:val="CellColumn"/>
              <w:jc w:val="right"/>
            </w:pPr>
            <w:r>
              <w:rPr>
                <w:rFonts w:cs="Times New Roman"/>
              </w:rPr>
              <w:t>10%</w:t>
            </w:r>
          </w:p>
        </w:tc>
        <w:tc>
          <w:tcPr>
            <w:tcW w:w="1008" w:type="dxa"/>
          </w:tcPr>
          <w:p w:rsidR="00505632" w:rsidRDefault="00505632" w:rsidP="00AD4E52">
            <w:pPr>
              <w:pStyle w:val="CellColumn"/>
              <w:jc w:val="right"/>
            </w:pPr>
            <w:r>
              <w:rPr>
                <w:rFonts w:cs="Times New Roman"/>
              </w:rPr>
              <w:t>-20%</w:t>
            </w:r>
          </w:p>
        </w:tc>
      </w:tr>
      <w:tr w:rsidR="00505632" w:rsidTr="00AD4E52">
        <w:trPr>
          <w:jc w:val="center"/>
        </w:trPr>
        <w:tc>
          <w:tcPr>
            <w:tcW w:w="2379" w:type="dxa"/>
          </w:tcPr>
          <w:p w:rsidR="00505632" w:rsidRDefault="00505632" w:rsidP="00AD4E52">
            <w:pPr>
              <w:pStyle w:val="CellColumn"/>
              <w:jc w:val="left"/>
            </w:pPr>
            <w:r>
              <w:rPr>
                <w:rFonts w:cs="Times New Roman"/>
              </w:rPr>
              <w:t>Broj događanja organiziranih s TDU, TJLP(R) S i PIFO</w:t>
            </w:r>
          </w:p>
        </w:tc>
        <w:tc>
          <w:tcPr>
            <w:tcW w:w="988" w:type="dxa"/>
          </w:tcPr>
          <w:p w:rsidR="00505632" w:rsidRDefault="00505632" w:rsidP="00AD4E52">
            <w:pPr>
              <w:pStyle w:val="CellColumn"/>
              <w:jc w:val="right"/>
            </w:pPr>
            <w:r>
              <w:rPr>
                <w:rFonts w:cs="Times New Roman"/>
              </w:rPr>
              <w:t>broj</w:t>
            </w:r>
          </w:p>
        </w:tc>
        <w:tc>
          <w:tcPr>
            <w:tcW w:w="1006"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6" w:type="dxa"/>
          </w:tcPr>
          <w:p w:rsidR="00505632" w:rsidRDefault="00505632" w:rsidP="00AD4E52">
            <w:pPr>
              <w:pStyle w:val="CellColumn"/>
              <w:jc w:val="right"/>
            </w:pPr>
            <w:r>
              <w:rPr>
                <w:rFonts w:cs="Times New Roman"/>
              </w:rPr>
              <w:t>35</w:t>
            </w:r>
          </w:p>
        </w:tc>
        <w:tc>
          <w:tcPr>
            <w:tcW w:w="1008" w:type="dxa"/>
          </w:tcPr>
          <w:p w:rsidR="00505632" w:rsidRDefault="00505632" w:rsidP="00AD4E52">
            <w:pPr>
              <w:pStyle w:val="CellColumn"/>
              <w:jc w:val="right"/>
            </w:pPr>
            <w:r>
              <w:rPr>
                <w:rFonts w:cs="Times New Roman"/>
              </w:rPr>
              <w:t>76</w:t>
            </w:r>
          </w:p>
        </w:tc>
      </w:tr>
    </w:tbl>
    <w:p w:rsidR="00505632" w:rsidRDefault="00505632" w:rsidP="00505632">
      <w:pPr>
        <w:jc w:val="left"/>
      </w:pPr>
    </w:p>
    <w:p w:rsidR="00505632" w:rsidRDefault="00505632" w:rsidP="00505632">
      <w:pPr>
        <w:pStyle w:val="Heading4"/>
      </w:pPr>
      <w:r>
        <w:t>A826001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A826001-ADMINISTRACIJA I UPRAVLJANJE</w:t>
            </w:r>
          </w:p>
        </w:tc>
        <w:tc>
          <w:tcPr>
            <w:tcW w:w="2041" w:type="dxa"/>
          </w:tcPr>
          <w:p w:rsidR="00505632" w:rsidRDefault="00505632" w:rsidP="00AD4E52">
            <w:pPr>
              <w:pStyle w:val="CellColumn"/>
              <w:jc w:val="right"/>
            </w:pPr>
            <w:r>
              <w:rPr>
                <w:rFonts w:cs="Times New Roman"/>
              </w:rPr>
              <w:t>3.020.494</w:t>
            </w:r>
          </w:p>
        </w:tc>
        <w:tc>
          <w:tcPr>
            <w:tcW w:w="2041" w:type="dxa"/>
          </w:tcPr>
          <w:p w:rsidR="00505632" w:rsidRDefault="00505632" w:rsidP="00AD4E52">
            <w:pPr>
              <w:pStyle w:val="CellColumn"/>
              <w:jc w:val="right"/>
            </w:pPr>
            <w:r>
              <w:rPr>
                <w:rFonts w:cs="Times New Roman"/>
              </w:rPr>
              <w:t>3.460.516</w:t>
            </w:r>
          </w:p>
        </w:tc>
        <w:tc>
          <w:tcPr>
            <w:tcW w:w="2041" w:type="dxa"/>
          </w:tcPr>
          <w:p w:rsidR="00505632" w:rsidRDefault="00505632" w:rsidP="00AD4E52">
            <w:pPr>
              <w:pStyle w:val="CellColumn"/>
              <w:jc w:val="right"/>
            </w:pPr>
            <w:r>
              <w:rPr>
                <w:rFonts w:cs="Times New Roman"/>
              </w:rPr>
              <w:t>3.243.974</w:t>
            </w:r>
          </w:p>
        </w:tc>
        <w:tc>
          <w:tcPr>
            <w:tcW w:w="1224" w:type="dxa"/>
          </w:tcPr>
          <w:p w:rsidR="00505632" w:rsidRDefault="00505632" w:rsidP="00AD4E52">
            <w:pPr>
              <w:pStyle w:val="CellColumn"/>
              <w:jc w:val="right"/>
            </w:pPr>
            <w:r>
              <w:rPr>
                <w:rFonts w:cs="Times New Roman"/>
              </w:rPr>
              <w:t>93,7</w:t>
            </w:r>
          </w:p>
        </w:tc>
        <w:tc>
          <w:tcPr>
            <w:tcW w:w="1224" w:type="dxa"/>
          </w:tcPr>
          <w:p w:rsidR="00505632" w:rsidRDefault="00505632" w:rsidP="00AD4E52">
            <w:pPr>
              <w:pStyle w:val="CellColumn"/>
              <w:jc w:val="right"/>
            </w:pPr>
            <w:r>
              <w:rPr>
                <w:rFonts w:cs="Times New Roman"/>
              </w:rPr>
              <w:t>107,4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Djelokrug rada Ureda pravobraniteljice za osobe s invaliditetom je propisan Zakonom o pravobranitelju za osobe s invaliditetom („Narodne novine“, br.107/07.) U skladu s Nacionalnom strategijom izjednačavanja mogućnosti za osobe s invaliditetom od 2007. godine do 2015. godine, koju je donio Sabor Republike Hrvatske („Narodne novine“, br.63/07.), te Konvencijom o pravima osoba s invaliditetom koja je stupila na snagu 03. svibnja 2008. Pravobranitelj za osobe s invaliditetom nadležan je i za suzbijanje diskriminacije na osnovi invaliditeta sukladno Zakonu o suzbijanju diskriminacije („Narodne novine“, br. 85/08., 112/12.). Također,  Ured pravobraniteljice za osobe s invaliditetom ima propisane ovlasti sukladno čl. 26 Zakona o zaštiti osoba s duševnim smetnjama („Narodne novine“, br. 76/14.).</w:t>
      </w:r>
    </w:p>
    <w:p w:rsidR="00505632" w:rsidRDefault="00505632" w:rsidP="00505632">
      <w:pPr>
        <w:pStyle w:val="Heading8"/>
        <w:jc w:val="left"/>
      </w:pPr>
      <w:r>
        <w:t>Opis aktivnosti</w:t>
      </w:r>
    </w:p>
    <w:p w:rsidR="00505632" w:rsidRDefault="00505632" w:rsidP="00505632">
      <w:r>
        <w:t xml:space="preserve">Na stavkama za rashode za zaposlene planirano je 2.381.116 kn, a potrošeno je 2.347.586,60 kn ili 98,59 %. Na dan 31.12.2016. u Uredu je bilo zaposleno 11 državnih službenika/ce i 4 dužnosnika/ce, s tim da je jedan od dužnosnika na naknadi 6+6. Iznos na stavkama za materijalne izdatke u 2016. godini iznosio je 1.077.300 kn, a na stavkama za financijske rashode 2.100 kn. Ukupna potrošnja sredstava namijenjenih za materijalne rashode iznosi 894.818,55 ili 83,06 %, a za financijske rashode 1.569.24 kn odnosno 74,72 %. </w:t>
      </w:r>
    </w:p>
    <w:p w:rsidR="00505632" w:rsidRDefault="00505632" w:rsidP="00505632">
      <w:r>
        <w:t xml:space="preserve">U 2016. godini Ured pravobraniteljice za osobe s invaliditetom obavio je tuzemna i inozemna putovanja,  s obzirom da je postao član organizacije Equinet koja svojim članovima snosi dio troškova vezanih za službena putovanja u inozemstvo, time su troškovi na kontu 3211- Službena putovanja smanjeni u odnosu na prethodnu godinu. U 2016. godini zbog članstva u organizaciji Equinet, bilo je potrebno platiti članarinu, a čije plaćanje je povećalo trošak na stavci članarina u odnosu na prethodnu godinu. Uz aktivno sudjelovanje na  međunarodnim  </w:t>
      </w:r>
    </w:p>
    <w:p w:rsidR="00505632" w:rsidRDefault="00505632" w:rsidP="00505632">
      <w:r>
        <w:t xml:space="preserve">događanjima, pravobraniteljica je izvršila 42 obilaska i uvida diljem RH u prostore gdje su smještene, rade ili se obrazuju osobe s invaliditetom.  </w:t>
      </w:r>
    </w:p>
    <w:p w:rsidR="00505632" w:rsidRDefault="00505632" w:rsidP="00505632">
      <w:r>
        <w:t xml:space="preserve">S obzirom da je pravobraniteljici istekao mandat 30. svibnja 2016. te je ponovno izabrana 17. listopada 2016. godine, u razdoblju od četiri i pol mjeseca, došlo je do smanjivanja troškova na sljedećim stavkama:  </w:t>
      </w:r>
    </w:p>
    <w:p w:rsidR="00505632" w:rsidRDefault="00505632" w:rsidP="00505632">
      <w:r>
        <w:t xml:space="preserve">- vezano uz naknadu za prijevoz jer nije bilo troškova prijevoza pravobraniteljice koja je osoba s najtežim stupnjem invaliditeta te koristi prilagođeno kombi vozilo za osobe s invaliditetom. </w:t>
      </w:r>
    </w:p>
    <w:p w:rsidR="00505632" w:rsidRDefault="00505632" w:rsidP="00505632">
      <w:r>
        <w:t xml:space="preserve">- smanjen je rashod vezan za intelektualne usluge jer nije bilo plaćanja po ugovorima za vozača pravobraniteljice i asistente, koji pravobraniteljici pružaju radnu i ostalu potrebnu asistenciju, te medicinsku njegu. Pravobraniteljica je osoba  s najtežim stupnjem invaliditeta i mora imati pomoć pri obavljanju poslova u službene svrhe u uredu i izvan njega. </w:t>
      </w:r>
    </w:p>
    <w:p w:rsidR="00505632" w:rsidRDefault="00505632" w:rsidP="00505632">
      <w:r>
        <w:t xml:space="preserve">Iznosi planirani na stavkama Intelektualne i osobne usluge te Usluge tekućeg i investicijskog održavanja predstavljaju najveće rashode u proračunu. Sa stavke Intelektualne i osobne usluge izvršila su se plaćanja za: vanjske suradnike, poslove asistenata pravobraniteljice, usluge vozača, čišćenja i računovodstvene usluge. Sa stavke Usluge tekućeg i investicijskog održavanja plaćani su troškovi vezani za održavanje radnog prostora Ureda. </w:t>
      </w:r>
    </w:p>
    <w:p w:rsidR="00505632" w:rsidRDefault="00505632" w:rsidP="00505632">
      <w:r>
        <w:t xml:space="preserve">Tijekom 2016. godine objavljena su dva natječaja za zapošljavanje službenika i javni poziv za državne dužnosnike (dva zamjenika pravobraniteljice za osobe s invaliditetom), čime se  povećao rashod na stavci usluge promidžbe i informiranja u odnosu na prethodnu godinu. </w:t>
      </w:r>
    </w:p>
    <w:p w:rsidR="00505632" w:rsidRDefault="00505632" w:rsidP="00505632">
      <w:r>
        <w:t>Povećanje troškova reprezentacije u odnosu na 2015. godinu rezultat je održavanja konferencije povodom osam godina rada Ureda pravobraniteljice za osobe s invaliditetom i organiziranja događanja povodom obilježavanja deset godina Konvencije o pravima osoba s invaliditetom.</w:t>
      </w:r>
    </w:p>
    <w:p w:rsidR="00505632" w:rsidRDefault="00505632" w:rsidP="00505632">
      <w:pPr>
        <w:pStyle w:val="Heading8"/>
        <w:jc w:val="left"/>
      </w:pPr>
      <w:r>
        <w:t>Pokazatelji rezultata</w:t>
      </w:r>
    </w:p>
    <w:tbl>
      <w:tblPr>
        <w:tblStyle w:val="StilTablice"/>
        <w:tblW w:w="7916" w:type="dxa"/>
        <w:jc w:val="center"/>
        <w:tblLook w:val="04A0" w:firstRow="1" w:lastRow="0" w:firstColumn="1" w:lastColumn="0" w:noHBand="0" w:noVBand="1"/>
      </w:tblPr>
      <w:tblGrid>
        <w:gridCol w:w="2413"/>
        <w:gridCol w:w="994"/>
        <w:gridCol w:w="1009"/>
        <w:gridCol w:w="1481"/>
        <w:gridCol w:w="1009"/>
        <w:gridCol w:w="1010"/>
      </w:tblGrid>
      <w:tr w:rsidR="00505632" w:rsidTr="00AD4E52">
        <w:trPr>
          <w:jc w:val="center"/>
        </w:trPr>
        <w:tc>
          <w:tcPr>
            <w:tcW w:w="2413" w:type="dxa"/>
            <w:shd w:val="clear" w:color="auto" w:fill="B5C0D8"/>
          </w:tcPr>
          <w:p w:rsidR="00505632" w:rsidRDefault="00505632" w:rsidP="00AD4E52">
            <w:pPr>
              <w:jc w:val="center"/>
            </w:pPr>
            <w:r>
              <w:t>Pokazatelj rezultata</w:t>
            </w:r>
          </w:p>
        </w:tc>
        <w:tc>
          <w:tcPr>
            <w:tcW w:w="994" w:type="dxa"/>
            <w:shd w:val="clear" w:color="auto" w:fill="B5C0D8"/>
          </w:tcPr>
          <w:p w:rsidR="00505632" w:rsidRDefault="00505632" w:rsidP="00AD4E52">
            <w:pPr>
              <w:pStyle w:val="CellHeader"/>
              <w:jc w:val="center"/>
            </w:pPr>
            <w:r>
              <w:rPr>
                <w:rFonts w:cs="Times New Roman"/>
              </w:rPr>
              <w:t>Jedinica</w:t>
            </w:r>
          </w:p>
        </w:tc>
        <w:tc>
          <w:tcPr>
            <w:tcW w:w="1009" w:type="dxa"/>
            <w:shd w:val="clear" w:color="auto" w:fill="B5C0D8"/>
          </w:tcPr>
          <w:p w:rsidR="00505632" w:rsidRDefault="00505632" w:rsidP="00AD4E52">
            <w:pPr>
              <w:pStyle w:val="CellHeader"/>
              <w:jc w:val="center"/>
            </w:pPr>
            <w:r>
              <w:rPr>
                <w:rFonts w:cs="Times New Roman"/>
              </w:rPr>
              <w:t>Polazna vrijednost</w:t>
            </w:r>
          </w:p>
        </w:tc>
        <w:tc>
          <w:tcPr>
            <w:tcW w:w="1481" w:type="dxa"/>
            <w:shd w:val="clear" w:color="auto" w:fill="B5C0D8"/>
          </w:tcPr>
          <w:p w:rsidR="00505632" w:rsidRDefault="00505632" w:rsidP="00AD4E52">
            <w:pPr>
              <w:pStyle w:val="CellHeader"/>
              <w:jc w:val="center"/>
            </w:pPr>
            <w:r>
              <w:rPr>
                <w:rFonts w:cs="Times New Roman"/>
              </w:rPr>
              <w:t>Izvor podataka</w:t>
            </w:r>
          </w:p>
        </w:tc>
        <w:tc>
          <w:tcPr>
            <w:tcW w:w="1009" w:type="dxa"/>
            <w:shd w:val="clear" w:color="auto" w:fill="B5C0D8"/>
          </w:tcPr>
          <w:p w:rsidR="00505632" w:rsidRDefault="00505632" w:rsidP="00AD4E52">
            <w:pPr>
              <w:pStyle w:val="CellHeader"/>
              <w:jc w:val="center"/>
            </w:pPr>
            <w:r>
              <w:rPr>
                <w:rFonts w:cs="Times New Roman"/>
              </w:rPr>
              <w:t>Ciljana vrijednost (2016.)</w:t>
            </w:r>
          </w:p>
        </w:tc>
        <w:tc>
          <w:tcPr>
            <w:tcW w:w="101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413" w:type="dxa"/>
          </w:tcPr>
          <w:p w:rsidR="00505632" w:rsidRDefault="00505632" w:rsidP="00AD4E52">
            <w:pPr>
              <w:pStyle w:val="CellColumn"/>
              <w:jc w:val="left"/>
            </w:pPr>
            <w:r>
              <w:rPr>
                <w:rFonts w:cs="Times New Roman"/>
              </w:rPr>
              <w:t>Broj danih očitovanja-mišnjenja Ureda na prijedloge nacrta propisa nadležnih institucija</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23</w:t>
            </w:r>
          </w:p>
        </w:tc>
        <w:tc>
          <w:tcPr>
            <w:tcW w:w="1010" w:type="dxa"/>
          </w:tcPr>
          <w:p w:rsidR="00505632" w:rsidRDefault="00505632" w:rsidP="00AD4E52">
            <w:pPr>
              <w:pStyle w:val="CellColumn"/>
              <w:jc w:val="right"/>
            </w:pPr>
            <w:r>
              <w:rPr>
                <w:rFonts w:cs="Times New Roman"/>
              </w:rPr>
              <w:t>27</w:t>
            </w:r>
          </w:p>
        </w:tc>
      </w:tr>
      <w:tr w:rsidR="00505632" w:rsidTr="00AD4E52">
        <w:trPr>
          <w:jc w:val="center"/>
        </w:trPr>
        <w:tc>
          <w:tcPr>
            <w:tcW w:w="2413" w:type="dxa"/>
          </w:tcPr>
          <w:p w:rsidR="00505632" w:rsidRDefault="00505632" w:rsidP="00AD4E52">
            <w:pPr>
              <w:pStyle w:val="CellColumn"/>
              <w:jc w:val="left"/>
            </w:pPr>
            <w:r>
              <w:rPr>
                <w:rFonts w:cs="Times New Roman"/>
              </w:rPr>
              <w:t>Broj sudjelovanja u radu Sabora</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23</w:t>
            </w:r>
          </w:p>
        </w:tc>
        <w:tc>
          <w:tcPr>
            <w:tcW w:w="1010" w:type="dxa"/>
          </w:tcPr>
          <w:p w:rsidR="00505632" w:rsidRDefault="00505632" w:rsidP="00AD4E52">
            <w:pPr>
              <w:pStyle w:val="CellColumn"/>
              <w:jc w:val="right"/>
            </w:pPr>
            <w:r>
              <w:rPr>
                <w:rFonts w:cs="Times New Roman"/>
              </w:rPr>
              <w:t>11</w:t>
            </w:r>
          </w:p>
        </w:tc>
      </w:tr>
      <w:tr w:rsidR="00505632" w:rsidTr="00AD4E52">
        <w:trPr>
          <w:jc w:val="center"/>
        </w:trPr>
        <w:tc>
          <w:tcPr>
            <w:tcW w:w="2413" w:type="dxa"/>
          </w:tcPr>
          <w:p w:rsidR="00505632" w:rsidRDefault="00505632" w:rsidP="00AD4E52">
            <w:pPr>
              <w:pStyle w:val="CellColumn"/>
              <w:jc w:val="left"/>
            </w:pPr>
            <w:r>
              <w:rPr>
                <w:rFonts w:cs="Times New Roman"/>
              </w:rPr>
              <w:t>Broj zaprimljenih pritužbi građana</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inavliditetom</w:t>
            </w:r>
          </w:p>
        </w:tc>
        <w:tc>
          <w:tcPr>
            <w:tcW w:w="1009" w:type="dxa"/>
          </w:tcPr>
          <w:p w:rsidR="00505632" w:rsidRDefault="00505632" w:rsidP="00AD4E52">
            <w:pPr>
              <w:pStyle w:val="CellColumn"/>
              <w:jc w:val="right"/>
            </w:pPr>
            <w:r>
              <w:rPr>
                <w:rFonts w:cs="Times New Roman"/>
              </w:rPr>
              <w:t>1000</w:t>
            </w:r>
          </w:p>
        </w:tc>
        <w:tc>
          <w:tcPr>
            <w:tcW w:w="1010" w:type="dxa"/>
          </w:tcPr>
          <w:p w:rsidR="00505632" w:rsidRDefault="00505632" w:rsidP="00AD4E52">
            <w:pPr>
              <w:pStyle w:val="CellColumn"/>
              <w:jc w:val="right"/>
            </w:pPr>
            <w:r>
              <w:rPr>
                <w:rFonts w:cs="Times New Roman"/>
              </w:rPr>
              <w:t>725</w:t>
            </w:r>
          </w:p>
        </w:tc>
      </w:tr>
      <w:tr w:rsidR="00505632" w:rsidTr="00AD4E52">
        <w:trPr>
          <w:jc w:val="center"/>
        </w:trPr>
        <w:tc>
          <w:tcPr>
            <w:tcW w:w="2413" w:type="dxa"/>
          </w:tcPr>
          <w:p w:rsidR="00505632" w:rsidRDefault="00505632" w:rsidP="00AD4E52">
            <w:pPr>
              <w:pStyle w:val="CellColumn"/>
              <w:jc w:val="left"/>
            </w:pPr>
            <w:r>
              <w:rPr>
                <w:rFonts w:cs="Times New Roman"/>
              </w:rPr>
              <w:t>Broj postupanja po predstavkama OSI upućenih  POSI</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1290</w:t>
            </w:r>
          </w:p>
        </w:tc>
        <w:tc>
          <w:tcPr>
            <w:tcW w:w="1010" w:type="dxa"/>
          </w:tcPr>
          <w:p w:rsidR="00505632" w:rsidRDefault="00505632" w:rsidP="00AD4E52">
            <w:pPr>
              <w:pStyle w:val="CellColumn"/>
              <w:jc w:val="right"/>
            </w:pPr>
            <w:r>
              <w:rPr>
                <w:rFonts w:cs="Times New Roman"/>
              </w:rPr>
              <w:t>1311</w:t>
            </w:r>
          </w:p>
        </w:tc>
      </w:tr>
      <w:tr w:rsidR="00505632" w:rsidTr="00AD4E52">
        <w:trPr>
          <w:jc w:val="center"/>
        </w:trPr>
        <w:tc>
          <w:tcPr>
            <w:tcW w:w="2413" w:type="dxa"/>
          </w:tcPr>
          <w:p w:rsidR="00505632" w:rsidRDefault="00505632" w:rsidP="00AD4E52">
            <w:pPr>
              <w:pStyle w:val="CellColumn"/>
              <w:jc w:val="left"/>
            </w:pPr>
            <w:r>
              <w:rPr>
                <w:rFonts w:cs="Times New Roman"/>
              </w:rPr>
              <w:t>Postotak poslanih preporuka nadležnim tijelima i institucijama</w:t>
            </w:r>
          </w:p>
        </w:tc>
        <w:tc>
          <w:tcPr>
            <w:tcW w:w="994" w:type="dxa"/>
          </w:tcPr>
          <w:p w:rsidR="00505632" w:rsidRDefault="00505632" w:rsidP="00AD4E52">
            <w:pPr>
              <w:pStyle w:val="CellColumn"/>
              <w:jc w:val="right"/>
            </w:pPr>
            <w:r>
              <w:rPr>
                <w:rFonts w:cs="Times New Roman"/>
              </w:rPr>
              <w:t>%</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5%</w:t>
            </w:r>
          </w:p>
        </w:tc>
        <w:tc>
          <w:tcPr>
            <w:tcW w:w="1010" w:type="dxa"/>
          </w:tcPr>
          <w:p w:rsidR="00505632" w:rsidRDefault="00505632" w:rsidP="00AD4E52">
            <w:pPr>
              <w:pStyle w:val="CellColumn"/>
              <w:jc w:val="right"/>
            </w:pPr>
            <w:r>
              <w:rPr>
                <w:rFonts w:cs="Times New Roman"/>
              </w:rPr>
              <w:t>-10%</w:t>
            </w:r>
          </w:p>
        </w:tc>
      </w:tr>
      <w:tr w:rsidR="00505632" w:rsidTr="00AD4E52">
        <w:trPr>
          <w:jc w:val="center"/>
        </w:trPr>
        <w:tc>
          <w:tcPr>
            <w:tcW w:w="2413" w:type="dxa"/>
          </w:tcPr>
          <w:p w:rsidR="00505632" w:rsidRDefault="00505632" w:rsidP="00AD4E52">
            <w:pPr>
              <w:pStyle w:val="CellColumn"/>
              <w:jc w:val="left"/>
            </w:pPr>
            <w:r>
              <w:rPr>
                <w:rFonts w:cs="Times New Roman"/>
              </w:rPr>
              <w:t>Broj predloženih izmjena zakonskih i podzakonskih akata</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inavliditetom</w:t>
            </w:r>
          </w:p>
        </w:tc>
        <w:tc>
          <w:tcPr>
            <w:tcW w:w="1009" w:type="dxa"/>
          </w:tcPr>
          <w:p w:rsidR="00505632" w:rsidRDefault="00505632" w:rsidP="00AD4E52">
            <w:pPr>
              <w:pStyle w:val="CellColumn"/>
              <w:jc w:val="right"/>
            </w:pPr>
            <w:r>
              <w:rPr>
                <w:rFonts w:cs="Times New Roman"/>
              </w:rPr>
              <w:t>25</w:t>
            </w:r>
          </w:p>
        </w:tc>
        <w:tc>
          <w:tcPr>
            <w:tcW w:w="1010" w:type="dxa"/>
          </w:tcPr>
          <w:p w:rsidR="00505632" w:rsidRDefault="00505632" w:rsidP="00AD4E52">
            <w:pPr>
              <w:pStyle w:val="CellColumn"/>
              <w:jc w:val="right"/>
            </w:pPr>
            <w:r>
              <w:rPr>
                <w:rFonts w:cs="Times New Roman"/>
              </w:rPr>
              <w:t>25</w:t>
            </w:r>
          </w:p>
        </w:tc>
      </w:tr>
      <w:tr w:rsidR="00505632" w:rsidTr="00AD4E52">
        <w:trPr>
          <w:jc w:val="center"/>
        </w:trPr>
        <w:tc>
          <w:tcPr>
            <w:tcW w:w="2413" w:type="dxa"/>
          </w:tcPr>
          <w:p w:rsidR="00505632" w:rsidRDefault="00505632" w:rsidP="00AD4E52">
            <w:pPr>
              <w:pStyle w:val="CellColumn"/>
              <w:jc w:val="left"/>
            </w:pPr>
            <w:r>
              <w:rPr>
                <w:rFonts w:cs="Times New Roman"/>
              </w:rPr>
              <w:t>Postotak pritužbi na diskriminaciju</w:t>
            </w:r>
          </w:p>
        </w:tc>
        <w:tc>
          <w:tcPr>
            <w:tcW w:w="994" w:type="dxa"/>
          </w:tcPr>
          <w:p w:rsidR="00505632" w:rsidRDefault="00505632" w:rsidP="00AD4E52">
            <w:pPr>
              <w:pStyle w:val="CellColumn"/>
              <w:jc w:val="right"/>
            </w:pPr>
            <w:r>
              <w:rPr>
                <w:rFonts w:cs="Times New Roman"/>
              </w:rPr>
              <w:t>%</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12</w:t>
            </w:r>
          </w:p>
        </w:tc>
        <w:tc>
          <w:tcPr>
            <w:tcW w:w="1010" w:type="dxa"/>
          </w:tcPr>
          <w:p w:rsidR="00505632" w:rsidRDefault="00505632" w:rsidP="00AD4E52">
            <w:pPr>
              <w:pStyle w:val="CellColumn"/>
              <w:jc w:val="right"/>
            </w:pPr>
            <w:r>
              <w:rPr>
                <w:rFonts w:cs="Times New Roman"/>
              </w:rPr>
              <w:t>6</w:t>
            </w:r>
          </w:p>
        </w:tc>
      </w:tr>
      <w:tr w:rsidR="00505632" w:rsidTr="00AD4E52">
        <w:trPr>
          <w:jc w:val="center"/>
        </w:trPr>
        <w:tc>
          <w:tcPr>
            <w:tcW w:w="2413" w:type="dxa"/>
          </w:tcPr>
          <w:p w:rsidR="00505632" w:rsidRDefault="00505632" w:rsidP="00AD4E52">
            <w:pPr>
              <w:pStyle w:val="CellColumn"/>
              <w:jc w:val="left"/>
            </w:pPr>
            <w:r>
              <w:rPr>
                <w:rFonts w:cs="Times New Roman"/>
              </w:rPr>
              <w:t>U čl. 26 ZOZOSDS POSI ima ovlast provjeravati opravdanost smještaja bez pristanka osoba s duševnim smetnjama, ako je pisani pristanak dao zakonskim zastupnikom, a u svrhu zaštite ljudskih prava osoba s duševnim smetnjama u psihijatrijskim ustanovama</w:t>
            </w:r>
          </w:p>
        </w:tc>
        <w:tc>
          <w:tcPr>
            <w:tcW w:w="994" w:type="dxa"/>
          </w:tcPr>
          <w:p w:rsidR="00505632" w:rsidRDefault="00505632" w:rsidP="00AD4E52">
            <w:pPr>
              <w:pStyle w:val="CellColumn"/>
              <w:jc w:val="right"/>
            </w:pPr>
            <w:r>
              <w:rPr>
                <w:rFonts w:cs="Times New Roman"/>
              </w:rPr>
              <w:t>%</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inavaliditetom</w:t>
            </w:r>
          </w:p>
        </w:tc>
        <w:tc>
          <w:tcPr>
            <w:tcW w:w="1009" w:type="dxa"/>
          </w:tcPr>
          <w:p w:rsidR="00505632" w:rsidRDefault="00505632" w:rsidP="00AD4E52">
            <w:pPr>
              <w:pStyle w:val="CellColumn"/>
              <w:jc w:val="right"/>
            </w:pPr>
            <w:r>
              <w:rPr>
                <w:rFonts w:cs="Times New Roman"/>
              </w:rPr>
              <w:t>10</w:t>
            </w:r>
          </w:p>
        </w:tc>
        <w:tc>
          <w:tcPr>
            <w:tcW w:w="1010" w:type="dxa"/>
          </w:tcPr>
          <w:p w:rsidR="00505632" w:rsidRDefault="00505632" w:rsidP="00AD4E52">
            <w:pPr>
              <w:pStyle w:val="CellColumn"/>
              <w:jc w:val="right"/>
            </w:pPr>
            <w:r>
              <w:rPr>
                <w:rFonts w:cs="Times New Roman"/>
              </w:rPr>
              <w:t>10</w:t>
            </w:r>
          </w:p>
        </w:tc>
      </w:tr>
      <w:tr w:rsidR="00505632" w:rsidTr="00AD4E52">
        <w:trPr>
          <w:jc w:val="center"/>
        </w:trPr>
        <w:tc>
          <w:tcPr>
            <w:tcW w:w="2413" w:type="dxa"/>
          </w:tcPr>
          <w:p w:rsidR="00505632" w:rsidRDefault="00505632" w:rsidP="00AD4E52">
            <w:pPr>
              <w:pStyle w:val="CellColumn"/>
              <w:jc w:val="left"/>
            </w:pPr>
            <w:r>
              <w:rPr>
                <w:rFonts w:cs="Times New Roman"/>
              </w:rPr>
              <w:t>Broj sudjelovanja na događanjima u organizaciji institucija</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15</w:t>
            </w:r>
          </w:p>
        </w:tc>
        <w:tc>
          <w:tcPr>
            <w:tcW w:w="1010" w:type="dxa"/>
          </w:tcPr>
          <w:p w:rsidR="00505632" w:rsidRDefault="00505632" w:rsidP="00AD4E52">
            <w:pPr>
              <w:pStyle w:val="CellColumn"/>
              <w:jc w:val="right"/>
            </w:pPr>
            <w:r>
              <w:rPr>
                <w:rFonts w:cs="Times New Roman"/>
              </w:rPr>
              <w:t>40</w:t>
            </w:r>
          </w:p>
        </w:tc>
      </w:tr>
      <w:tr w:rsidR="00505632" w:rsidTr="00AD4E52">
        <w:trPr>
          <w:jc w:val="center"/>
        </w:trPr>
        <w:tc>
          <w:tcPr>
            <w:tcW w:w="2413" w:type="dxa"/>
          </w:tcPr>
          <w:p w:rsidR="00505632" w:rsidRDefault="00505632" w:rsidP="00AD4E52">
            <w:pPr>
              <w:pStyle w:val="CellColumn"/>
              <w:jc w:val="left"/>
            </w:pPr>
            <w:r>
              <w:rPr>
                <w:rFonts w:cs="Times New Roman"/>
              </w:rPr>
              <w:t>Broj posjeta web stranici POSI</w:t>
            </w:r>
          </w:p>
        </w:tc>
        <w:tc>
          <w:tcPr>
            <w:tcW w:w="994" w:type="dxa"/>
          </w:tcPr>
          <w:p w:rsidR="00505632" w:rsidRDefault="00505632" w:rsidP="00AD4E52">
            <w:pPr>
              <w:pStyle w:val="CellColumn"/>
              <w:jc w:val="right"/>
            </w:pPr>
            <w:r>
              <w:rPr>
                <w:rFonts w:cs="Times New Roman"/>
              </w:rPr>
              <w:t>broj/dan</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200</w:t>
            </w:r>
          </w:p>
        </w:tc>
        <w:tc>
          <w:tcPr>
            <w:tcW w:w="1010" w:type="dxa"/>
          </w:tcPr>
          <w:p w:rsidR="00505632" w:rsidRDefault="00505632" w:rsidP="00AD4E52">
            <w:pPr>
              <w:pStyle w:val="CellColumn"/>
              <w:jc w:val="right"/>
            </w:pPr>
            <w:r>
              <w:rPr>
                <w:rFonts w:cs="Times New Roman"/>
              </w:rPr>
              <w:t>231</w:t>
            </w:r>
          </w:p>
        </w:tc>
      </w:tr>
      <w:tr w:rsidR="00505632" w:rsidTr="00AD4E52">
        <w:trPr>
          <w:jc w:val="center"/>
        </w:trPr>
        <w:tc>
          <w:tcPr>
            <w:tcW w:w="2413" w:type="dxa"/>
          </w:tcPr>
          <w:p w:rsidR="00505632" w:rsidRDefault="00505632" w:rsidP="00AD4E52">
            <w:pPr>
              <w:pStyle w:val="CellColumn"/>
              <w:jc w:val="left"/>
            </w:pPr>
            <w:r>
              <w:rPr>
                <w:rFonts w:cs="Times New Roman"/>
              </w:rPr>
              <w:t>Broj tiskanih publikacija</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2</w:t>
            </w:r>
          </w:p>
        </w:tc>
        <w:tc>
          <w:tcPr>
            <w:tcW w:w="1010" w:type="dxa"/>
          </w:tcPr>
          <w:p w:rsidR="00505632" w:rsidRDefault="00505632" w:rsidP="00AD4E52">
            <w:pPr>
              <w:pStyle w:val="CellColumn"/>
              <w:jc w:val="right"/>
            </w:pPr>
            <w:r>
              <w:rPr>
                <w:rFonts w:cs="Times New Roman"/>
              </w:rPr>
              <w:t>2</w:t>
            </w:r>
          </w:p>
        </w:tc>
      </w:tr>
      <w:tr w:rsidR="00505632" w:rsidTr="00AD4E52">
        <w:trPr>
          <w:jc w:val="center"/>
        </w:trPr>
        <w:tc>
          <w:tcPr>
            <w:tcW w:w="2413" w:type="dxa"/>
          </w:tcPr>
          <w:p w:rsidR="00505632" w:rsidRDefault="00505632" w:rsidP="00AD4E52">
            <w:pPr>
              <w:pStyle w:val="CellColumn"/>
              <w:jc w:val="left"/>
            </w:pPr>
            <w:r>
              <w:rPr>
                <w:rFonts w:cs="Times New Roman"/>
              </w:rPr>
              <w:t>Broj ostvarenih uvida u ustanovama i institucijama te drugim PIFO</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35</w:t>
            </w:r>
          </w:p>
        </w:tc>
        <w:tc>
          <w:tcPr>
            <w:tcW w:w="1010" w:type="dxa"/>
          </w:tcPr>
          <w:p w:rsidR="00505632" w:rsidRDefault="00505632" w:rsidP="00AD4E52">
            <w:pPr>
              <w:pStyle w:val="CellColumn"/>
              <w:jc w:val="right"/>
            </w:pPr>
            <w:r>
              <w:rPr>
                <w:rFonts w:cs="Times New Roman"/>
              </w:rPr>
              <w:t>45</w:t>
            </w:r>
          </w:p>
        </w:tc>
      </w:tr>
      <w:tr w:rsidR="00505632" w:rsidTr="00AD4E52">
        <w:trPr>
          <w:jc w:val="center"/>
        </w:trPr>
        <w:tc>
          <w:tcPr>
            <w:tcW w:w="2413" w:type="dxa"/>
          </w:tcPr>
          <w:p w:rsidR="00505632" w:rsidRDefault="00505632" w:rsidP="00AD4E52">
            <w:pPr>
              <w:pStyle w:val="CellColumn"/>
              <w:jc w:val="left"/>
            </w:pPr>
            <w:r>
              <w:rPr>
                <w:rFonts w:cs="Times New Roman"/>
              </w:rPr>
              <w:t>Broj sudjelovanja na događanjima u organizaciji udruga</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45</w:t>
            </w:r>
          </w:p>
        </w:tc>
        <w:tc>
          <w:tcPr>
            <w:tcW w:w="1010" w:type="dxa"/>
          </w:tcPr>
          <w:p w:rsidR="00505632" w:rsidRDefault="00505632" w:rsidP="00AD4E52">
            <w:pPr>
              <w:pStyle w:val="CellColumn"/>
              <w:jc w:val="right"/>
            </w:pPr>
            <w:r>
              <w:rPr>
                <w:rFonts w:cs="Times New Roman"/>
              </w:rPr>
              <w:t>78</w:t>
            </w:r>
          </w:p>
        </w:tc>
      </w:tr>
      <w:tr w:rsidR="00505632" w:rsidTr="00AD4E52">
        <w:trPr>
          <w:jc w:val="center"/>
        </w:trPr>
        <w:tc>
          <w:tcPr>
            <w:tcW w:w="2413" w:type="dxa"/>
          </w:tcPr>
          <w:p w:rsidR="00505632" w:rsidRDefault="00505632" w:rsidP="00AD4E52">
            <w:pPr>
              <w:pStyle w:val="CellColumn"/>
              <w:jc w:val="left"/>
            </w:pPr>
            <w:r>
              <w:rPr>
                <w:rFonts w:cs="Times New Roman"/>
              </w:rPr>
              <w:t>Broj uspostavljenih međunarodnih kontakata</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30</w:t>
            </w:r>
          </w:p>
        </w:tc>
        <w:tc>
          <w:tcPr>
            <w:tcW w:w="1010" w:type="dxa"/>
          </w:tcPr>
          <w:p w:rsidR="00505632" w:rsidRDefault="00505632" w:rsidP="00AD4E52">
            <w:pPr>
              <w:pStyle w:val="CellColumn"/>
              <w:jc w:val="right"/>
            </w:pPr>
            <w:r>
              <w:rPr>
                <w:rFonts w:cs="Times New Roman"/>
              </w:rPr>
              <w:t>34</w:t>
            </w:r>
          </w:p>
        </w:tc>
      </w:tr>
      <w:tr w:rsidR="00505632" w:rsidTr="00AD4E52">
        <w:trPr>
          <w:jc w:val="center"/>
        </w:trPr>
        <w:tc>
          <w:tcPr>
            <w:tcW w:w="2413" w:type="dxa"/>
          </w:tcPr>
          <w:p w:rsidR="00505632" w:rsidRDefault="00505632" w:rsidP="00AD4E52">
            <w:pPr>
              <w:pStyle w:val="CellColumn"/>
              <w:jc w:val="left"/>
            </w:pPr>
            <w:r>
              <w:rPr>
                <w:rFonts w:cs="Times New Roman"/>
              </w:rPr>
              <w:t>Postotak zaprimljenih predstavki</w:t>
            </w:r>
          </w:p>
        </w:tc>
        <w:tc>
          <w:tcPr>
            <w:tcW w:w="994" w:type="dxa"/>
          </w:tcPr>
          <w:p w:rsidR="00505632" w:rsidRDefault="00505632" w:rsidP="00AD4E52">
            <w:pPr>
              <w:pStyle w:val="CellColumn"/>
              <w:jc w:val="right"/>
            </w:pPr>
            <w:r>
              <w:rPr>
                <w:rFonts w:cs="Times New Roman"/>
              </w:rPr>
              <w:t>%</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10%</w:t>
            </w:r>
          </w:p>
        </w:tc>
        <w:tc>
          <w:tcPr>
            <w:tcW w:w="1010" w:type="dxa"/>
          </w:tcPr>
          <w:p w:rsidR="00505632" w:rsidRDefault="00505632" w:rsidP="00AD4E52">
            <w:pPr>
              <w:pStyle w:val="CellColumn"/>
              <w:jc w:val="right"/>
            </w:pPr>
            <w:r>
              <w:rPr>
                <w:rFonts w:cs="Times New Roman"/>
              </w:rPr>
              <w:t>-20%</w:t>
            </w:r>
          </w:p>
        </w:tc>
      </w:tr>
      <w:tr w:rsidR="00505632" w:rsidTr="00AD4E52">
        <w:trPr>
          <w:jc w:val="center"/>
        </w:trPr>
        <w:tc>
          <w:tcPr>
            <w:tcW w:w="2413" w:type="dxa"/>
          </w:tcPr>
          <w:p w:rsidR="00505632" w:rsidRDefault="00505632" w:rsidP="00AD4E52">
            <w:pPr>
              <w:pStyle w:val="CellColumn"/>
              <w:jc w:val="left"/>
            </w:pPr>
            <w:r>
              <w:rPr>
                <w:rFonts w:cs="Times New Roman"/>
              </w:rPr>
              <w:t>Broj sudjelovanja predstavnika POSI u medijima</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invalidtitetom</w:t>
            </w:r>
          </w:p>
        </w:tc>
        <w:tc>
          <w:tcPr>
            <w:tcW w:w="1009" w:type="dxa"/>
          </w:tcPr>
          <w:p w:rsidR="00505632" w:rsidRDefault="00505632" w:rsidP="00AD4E52">
            <w:pPr>
              <w:pStyle w:val="CellColumn"/>
              <w:jc w:val="right"/>
            </w:pPr>
            <w:r>
              <w:rPr>
                <w:rFonts w:cs="Times New Roman"/>
              </w:rPr>
              <w:t>75</w:t>
            </w:r>
          </w:p>
        </w:tc>
        <w:tc>
          <w:tcPr>
            <w:tcW w:w="1010" w:type="dxa"/>
          </w:tcPr>
          <w:p w:rsidR="00505632" w:rsidRDefault="00505632" w:rsidP="00AD4E52">
            <w:pPr>
              <w:pStyle w:val="CellColumn"/>
              <w:jc w:val="right"/>
            </w:pPr>
            <w:r>
              <w:rPr>
                <w:rFonts w:cs="Times New Roman"/>
              </w:rPr>
              <w:t>134</w:t>
            </w:r>
          </w:p>
        </w:tc>
      </w:tr>
      <w:tr w:rsidR="00505632" w:rsidTr="00AD4E52">
        <w:trPr>
          <w:jc w:val="center"/>
        </w:trPr>
        <w:tc>
          <w:tcPr>
            <w:tcW w:w="2413" w:type="dxa"/>
          </w:tcPr>
          <w:p w:rsidR="00505632" w:rsidRDefault="00505632" w:rsidP="00AD4E52">
            <w:pPr>
              <w:pStyle w:val="CellColumn"/>
              <w:jc w:val="left"/>
            </w:pPr>
            <w:r>
              <w:rPr>
                <w:rFonts w:cs="Times New Roman"/>
              </w:rPr>
              <w:t>Broj reakcija na medijske napise</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10</w:t>
            </w:r>
          </w:p>
        </w:tc>
        <w:tc>
          <w:tcPr>
            <w:tcW w:w="1010" w:type="dxa"/>
          </w:tcPr>
          <w:p w:rsidR="00505632" w:rsidRDefault="00505632" w:rsidP="00AD4E52">
            <w:pPr>
              <w:pStyle w:val="CellColumn"/>
              <w:jc w:val="right"/>
            </w:pPr>
            <w:r>
              <w:rPr>
                <w:rFonts w:cs="Times New Roman"/>
              </w:rPr>
              <w:t>29</w:t>
            </w:r>
          </w:p>
        </w:tc>
      </w:tr>
      <w:tr w:rsidR="00505632" w:rsidTr="00AD4E52">
        <w:trPr>
          <w:jc w:val="center"/>
        </w:trPr>
        <w:tc>
          <w:tcPr>
            <w:tcW w:w="2413" w:type="dxa"/>
          </w:tcPr>
          <w:p w:rsidR="00505632" w:rsidRDefault="00505632" w:rsidP="00AD4E52">
            <w:pPr>
              <w:pStyle w:val="CellColumn"/>
              <w:jc w:val="left"/>
            </w:pPr>
            <w:r>
              <w:rPr>
                <w:rFonts w:cs="Times New Roman"/>
              </w:rPr>
              <w:t>Broj događanja organiziranih s TDU, TJLP (R) S i PIFO</w:t>
            </w:r>
          </w:p>
        </w:tc>
        <w:tc>
          <w:tcPr>
            <w:tcW w:w="994" w:type="dxa"/>
          </w:tcPr>
          <w:p w:rsidR="00505632" w:rsidRDefault="00505632" w:rsidP="00AD4E52">
            <w:pPr>
              <w:pStyle w:val="CellColumn"/>
              <w:jc w:val="right"/>
            </w:pPr>
            <w:r>
              <w:rPr>
                <w:rFonts w:cs="Times New Roman"/>
              </w:rPr>
              <w:t>broj</w:t>
            </w:r>
          </w:p>
        </w:tc>
        <w:tc>
          <w:tcPr>
            <w:tcW w:w="1009" w:type="dxa"/>
          </w:tcPr>
          <w:p w:rsidR="00505632" w:rsidRDefault="00505632" w:rsidP="00AD4E52">
            <w:pPr>
              <w:pStyle w:val="CellColumn"/>
              <w:jc w:val="right"/>
            </w:pPr>
            <w:r>
              <w:rPr>
                <w:rFonts w:cs="Times New Roman"/>
              </w:rPr>
              <w:t>0</w:t>
            </w:r>
          </w:p>
        </w:tc>
        <w:tc>
          <w:tcPr>
            <w:tcW w:w="1481" w:type="dxa"/>
          </w:tcPr>
          <w:p w:rsidR="00505632" w:rsidRDefault="00505632" w:rsidP="00AD4E52">
            <w:pPr>
              <w:pStyle w:val="CellColumn"/>
              <w:jc w:val="right"/>
            </w:pPr>
            <w:r>
              <w:rPr>
                <w:rFonts w:cs="Times New Roman"/>
              </w:rPr>
              <w:t>Pravobraniteljica za osobe s invaliditetom</w:t>
            </w:r>
          </w:p>
        </w:tc>
        <w:tc>
          <w:tcPr>
            <w:tcW w:w="1009" w:type="dxa"/>
          </w:tcPr>
          <w:p w:rsidR="00505632" w:rsidRDefault="00505632" w:rsidP="00AD4E52">
            <w:pPr>
              <w:pStyle w:val="CellColumn"/>
              <w:jc w:val="right"/>
            </w:pPr>
            <w:r>
              <w:rPr>
                <w:rFonts w:cs="Times New Roman"/>
              </w:rPr>
              <w:t>35</w:t>
            </w:r>
          </w:p>
        </w:tc>
        <w:tc>
          <w:tcPr>
            <w:tcW w:w="1010" w:type="dxa"/>
          </w:tcPr>
          <w:p w:rsidR="00505632" w:rsidRDefault="00505632" w:rsidP="00AD4E52">
            <w:pPr>
              <w:pStyle w:val="CellColumn"/>
              <w:jc w:val="right"/>
            </w:pPr>
            <w:r>
              <w:rPr>
                <w:rFonts w:cs="Times New Roman"/>
              </w:rPr>
              <w:t>76</w:t>
            </w:r>
          </w:p>
        </w:tc>
      </w:tr>
    </w:tbl>
    <w:p w:rsidR="00505632" w:rsidRDefault="00505632" w:rsidP="00505632">
      <w:pPr>
        <w:jc w:val="left"/>
      </w:pPr>
    </w:p>
    <w:p w:rsidR="00505632" w:rsidRDefault="00505632" w:rsidP="00505632">
      <w:pPr>
        <w:pStyle w:val="Heading4"/>
      </w:pPr>
      <w:r>
        <w:t>K826002 OPREMANJE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K826002-OPREMANJE</w:t>
            </w:r>
          </w:p>
        </w:tc>
        <w:tc>
          <w:tcPr>
            <w:tcW w:w="2041" w:type="dxa"/>
          </w:tcPr>
          <w:p w:rsidR="00505632" w:rsidRDefault="00505632" w:rsidP="00AD4E52">
            <w:pPr>
              <w:pStyle w:val="CellColumn"/>
              <w:jc w:val="right"/>
            </w:pPr>
            <w:r>
              <w:rPr>
                <w:rFonts w:cs="Times New Roman"/>
              </w:rPr>
              <w:t>49.000</w:t>
            </w:r>
          </w:p>
        </w:tc>
        <w:tc>
          <w:tcPr>
            <w:tcW w:w="2041" w:type="dxa"/>
          </w:tcPr>
          <w:p w:rsidR="00505632" w:rsidRDefault="00505632" w:rsidP="00AD4E52">
            <w:pPr>
              <w:pStyle w:val="CellColumn"/>
              <w:jc w:val="right"/>
            </w:pPr>
            <w:r>
              <w:rPr>
                <w:rFonts w:cs="Times New Roman"/>
              </w:rPr>
              <w:t>60.400</w:t>
            </w:r>
          </w:p>
        </w:tc>
        <w:tc>
          <w:tcPr>
            <w:tcW w:w="2041" w:type="dxa"/>
          </w:tcPr>
          <w:p w:rsidR="00505632" w:rsidRDefault="00505632" w:rsidP="00AD4E52">
            <w:pPr>
              <w:pStyle w:val="CellColumn"/>
              <w:jc w:val="right"/>
            </w:pPr>
            <w:r>
              <w:rPr>
                <w:rFonts w:cs="Times New Roman"/>
              </w:rPr>
              <w:t>58.737</w:t>
            </w:r>
          </w:p>
        </w:tc>
        <w:tc>
          <w:tcPr>
            <w:tcW w:w="1224" w:type="dxa"/>
          </w:tcPr>
          <w:p w:rsidR="00505632" w:rsidRDefault="00505632" w:rsidP="00AD4E52">
            <w:pPr>
              <w:pStyle w:val="CellColumn"/>
              <w:jc w:val="right"/>
            </w:pPr>
            <w:r>
              <w:rPr>
                <w:rFonts w:cs="Times New Roman"/>
              </w:rPr>
              <w:t>97,2</w:t>
            </w:r>
          </w:p>
        </w:tc>
        <w:tc>
          <w:tcPr>
            <w:tcW w:w="1224" w:type="dxa"/>
          </w:tcPr>
          <w:p w:rsidR="00505632" w:rsidRDefault="00505632" w:rsidP="00AD4E52">
            <w:pPr>
              <w:pStyle w:val="CellColumn"/>
              <w:jc w:val="right"/>
            </w:pPr>
            <w:r>
              <w:rPr>
                <w:rFonts w:cs="Times New Roman"/>
              </w:rPr>
              <w:t>119,9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Djelokrug rada Ureda pravobraniteljice za osobe s invaliditetom je propisan Zakonom o pravobranitelju za osobe s invaliditetom („Narodne novine“, br.107/07.) U skladu s Nacionalnom strategijom izjednačavanja mogućnosti za osobe s invaliditetom od 2007. godine do 2015. godine, koju je donio Sabor Republike Hrvatske („Narodne novine“, br.63/07.), te Konvencijom o pravima osoba s invaliditetom koja je stupila na snagu 03. svibnja 2008. Pravobranitelj za osobe s invaliditetom nadležan je i za suzbijanje diskriminacije na osnovi invaliditeta sukladno Zakonu o suzbijanju diskriminacije („Narodne novine“, br. 85/08., 112/12.). Također,  Ured pravobraniteljice za osobe s invaliditetom ima propisane ovlasti sukladno čl. 26 Zakona o zaštiti osoba s duševnim smetnjama („Narodne novine“, br. 76/14.).</w:t>
      </w:r>
    </w:p>
    <w:p w:rsidR="00505632" w:rsidRDefault="00505632" w:rsidP="00505632">
      <w:pPr>
        <w:pStyle w:val="Heading8"/>
        <w:jc w:val="left"/>
      </w:pPr>
      <w:r>
        <w:t>Opis aktivnosti</w:t>
      </w:r>
    </w:p>
    <w:p w:rsidR="00505632" w:rsidRDefault="00505632" w:rsidP="00505632">
      <w:r>
        <w:t>Zbog dotrajalosti informatičke opreme, koja nije mijenjana u proteklih sedam godina, tijekom 2016. godine bilo je potrebno zamijeniti dio računala i računalne opreme, time je trošak na stavci 4221- Uredska oprema i namještaj porastao u odnosu na 2015. godinu.</w:t>
      </w:r>
    </w:p>
    <w:p w:rsidR="00505632" w:rsidRDefault="00505632" w:rsidP="00505632">
      <w:pPr>
        <w:overflowPunct/>
        <w:autoSpaceDE/>
        <w:autoSpaceDN/>
        <w:adjustRightInd/>
        <w:spacing w:after="200" w:line="276" w:lineRule="auto"/>
        <w:jc w:val="left"/>
        <w:textAlignment w:val="auto"/>
      </w:pPr>
      <w:r>
        <w:br w:type="page"/>
      </w:r>
    </w:p>
    <w:p w:rsidR="00505632" w:rsidRDefault="00505632" w:rsidP="00505632">
      <w:pPr>
        <w:pStyle w:val="Heading1"/>
      </w:pPr>
      <w:r>
        <w:t>160 DRŽAVNI ZAVOD ZA STATISTIKU</w:t>
      </w:r>
    </w:p>
    <w:p w:rsidR="00505632" w:rsidRDefault="00505632" w:rsidP="00505632">
      <w:r>
        <w:t xml:space="preserve">Državni zavod za statistiku (u daljnjem tekstu: Zavod) je državna upravna organizacija, glavni nositelj, diseminator i koordinator sustava službene statistike Republike Hrvatske i glavni predstavnik nacionalnog statističkog sustava pred europskim i međunarodnim tijelima nadležnima za statistiku. </w:t>
      </w:r>
    </w:p>
    <w:p w:rsidR="00505632" w:rsidRDefault="00505632" w:rsidP="00505632">
      <w:r>
        <w:t>Službena statistika je neophodan element javnog informacijskog sustava društva potreban za funkcioniranje demokratskog društva kao i temelj za donošenje odluka od strane mjerodavnih tijela. Službena statistika pruža, na nepristranoj osnovi, državi, gospodarstvu i javnosti podatke o gospodarskom, demografskom, socijalnom i ekološkom stanju, djelatnostima ili događajima koji se mogu mjeriti statističkim metodama, te osigurava ispunjavanje međunarodnih obveza Republike Hrvatske koje se odnose na razmjenu statističkih podataka s drugim državama i međunarodnim organizacijama. Svrha službene statistike je proizvodnja i diseminacija reprezentativnih i mjerodavnih statističkih podataka u skladu s temeljnim načelima službene statistike. Pri Zavodu je ustrojen Statistički savjet kao savjetodavno i stručno tijelo za strategijska pitanja službene statistike, te osiguranja utjecaja korisnika, znanosti i šire javnosti na aktivnosti službene statistike.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16005-Državni zavod za statistiku</w:t>
            </w:r>
          </w:p>
        </w:tc>
        <w:tc>
          <w:tcPr>
            <w:tcW w:w="2041" w:type="dxa"/>
            <w:vAlign w:val="top"/>
          </w:tcPr>
          <w:p w:rsidR="00505632" w:rsidRDefault="00505632" w:rsidP="00AD4E52">
            <w:pPr>
              <w:pStyle w:val="CellColumn"/>
              <w:jc w:val="right"/>
            </w:pPr>
            <w:r>
              <w:rPr>
                <w:rFonts w:cs="Times New Roman"/>
              </w:rPr>
              <w:t>86.466.175</w:t>
            </w:r>
          </w:p>
        </w:tc>
        <w:tc>
          <w:tcPr>
            <w:tcW w:w="2041" w:type="dxa"/>
            <w:vAlign w:val="top"/>
          </w:tcPr>
          <w:p w:rsidR="00505632" w:rsidRDefault="00505632" w:rsidP="00AD4E52">
            <w:pPr>
              <w:pStyle w:val="CellColumn"/>
              <w:jc w:val="right"/>
            </w:pPr>
            <w:r>
              <w:rPr>
                <w:rFonts w:cs="Times New Roman"/>
              </w:rPr>
              <w:t>89.285.801</w:t>
            </w:r>
          </w:p>
        </w:tc>
        <w:tc>
          <w:tcPr>
            <w:tcW w:w="2041" w:type="dxa"/>
            <w:vAlign w:val="top"/>
          </w:tcPr>
          <w:p w:rsidR="00505632" w:rsidRDefault="00505632" w:rsidP="00AD4E52">
            <w:pPr>
              <w:pStyle w:val="CellColumn"/>
              <w:jc w:val="right"/>
            </w:pPr>
            <w:r>
              <w:rPr>
                <w:rFonts w:cs="Times New Roman"/>
              </w:rPr>
              <w:t>82.796.018</w:t>
            </w:r>
          </w:p>
        </w:tc>
        <w:tc>
          <w:tcPr>
            <w:tcW w:w="1224" w:type="dxa"/>
            <w:vAlign w:val="top"/>
          </w:tcPr>
          <w:p w:rsidR="00505632" w:rsidRDefault="00505632" w:rsidP="00AD4E52">
            <w:pPr>
              <w:pStyle w:val="CellColumn"/>
              <w:jc w:val="right"/>
            </w:pPr>
            <w:r>
              <w:rPr>
                <w:rFonts w:cs="Times New Roman"/>
              </w:rPr>
              <w:t>92,7</w:t>
            </w:r>
          </w:p>
        </w:tc>
        <w:tc>
          <w:tcPr>
            <w:tcW w:w="1224" w:type="dxa"/>
            <w:vAlign w:val="top"/>
          </w:tcPr>
          <w:p w:rsidR="00505632" w:rsidRDefault="00505632" w:rsidP="00AD4E52">
            <w:pPr>
              <w:pStyle w:val="CellColumn"/>
              <w:jc w:val="right"/>
            </w:pPr>
            <w:r>
              <w:rPr>
                <w:rFonts w:cs="Times New Roman"/>
              </w:rPr>
              <w:t>95,8</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160-DRŽAVNI ZAVOD ZA STATISTIKU</w:t>
            </w:r>
          </w:p>
        </w:tc>
        <w:tc>
          <w:tcPr>
            <w:tcW w:w="2041" w:type="dxa"/>
            <w:shd w:val="clear" w:color="auto" w:fill="B5C0D8"/>
          </w:tcPr>
          <w:p w:rsidR="00505632" w:rsidRDefault="00505632" w:rsidP="00AD4E52">
            <w:pPr>
              <w:pStyle w:val="CellColumn"/>
              <w:jc w:val="right"/>
            </w:pPr>
            <w:r>
              <w:rPr>
                <w:rFonts w:cs="Times New Roman"/>
              </w:rPr>
              <w:t>86.466.175</w:t>
            </w:r>
          </w:p>
        </w:tc>
        <w:tc>
          <w:tcPr>
            <w:tcW w:w="2041" w:type="dxa"/>
            <w:shd w:val="clear" w:color="auto" w:fill="B5C0D8"/>
          </w:tcPr>
          <w:p w:rsidR="00505632" w:rsidRDefault="00505632" w:rsidP="00AD4E52">
            <w:pPr>
              <w:pStyle w:val="CellColumn"/>
              <w:jc w:val="right"/>
            </w:pPr>
            <w:r>
              <w:rPr>
                <w:rFonts w:cs="Times New Roman"/>
              </w:rPr>
              <w:t>89.285.801</w:t>
            </w:r>
          </w:p>
        </w:tc>
        <w:tc>
          <w:tcPr>
            <w:tcW w:w="2041" w:type="dxa"/>
            <w:shd w:val="clear" w:color="auto" w:fill="B5C0D8"/>
          </w:tcPr>
          <w:p w:rsidR="00505632" w:rsidRDefault="00505632" w:rsidP="00AD4E52">
            <w:pPr>
              <w:pStyle w:val="CellColumn"/>
              <w:jc w:val="right"/>
            </w:pPr>
            <w:r>
              <w:rPr>
                <w:rFonts w:cs="Times New Roman"/>
              </w:rPr>
              <w:t>82.796.018</w:t>
            </w:r>
          </w:p>
        </w:tc>
        <w:tc>
          <w:tcPr>
            <w:tcW w:w="1224" w:type="dxa"/>
            <w:shd w:val="clear" w:color="auto" w:fill="B5C0D8"/>
          </w:tcPr>
          <w:p w:rsidR="00505632" w:rsidRDefault="00505632" w:rsidP="00AD4E52">
            <w:pPr>
              <w:pStyle w:val="CellColumn"/>
              <w:jc w:val="right"/>
            </w:pPr>
            <w:r>
              <w:rPr>
                <w:rFonts w:cs="Times New Roman"/>
              </w:rPr>
              <w:t>92,7</w:t>
            </w:r>
          </w:p>
        </w:tc>
        <w:tc>
          <w:tcPr>
            <w:tcW w:w="1224" w:type="dxa"/>
            <w:shd w:val="clear" w:color="auto" w:fill="B5C0D8"/>
          </w:tcPr>
          <w:p w:rsidR="00505632" w:rsidRDefault="00505632" w:rsidP="00AD4E52">
            <w:pPr>
              <w:pStyle w:val="CellColumn"/>
              <w:jc w:val="right"/>
            </w:pPr>
            <w:r>
              <w:rPr>
                <w:rFonts w:cs="Times New Roman"/>
              </w:rPr>
              <w:t>95,8</w:t>
            </w:r>
          </w:p>
        </w:tc>
      </w:tr>
    </w:tbl>
    <w:p w:rsidR="00505632" w:rsidRDefault="00505632" w:rsidP="00505632">
      <w:pPr>
        <w:jc w:val="left"/>
      </w:pPr>
    </w:p>
    <w:p w:rsidR="00505632" w:rsidRDefault="00505632" w:rsidP="00505632">
      <w:pPr>
        <w:pStyle w:val="Heading2"/>
      </w:pPr>
      <w:r>
        <w:t>16005 Državni zavod za statistiku</w:t>
      </w:r>
    </w:p>
    <w:p w:rsidR="00505632" w:rsidRDefault="00505632" w:rsidP="00505632">
      <w:r>
        <w:t xml:space="preserve">Zavod obavlja poslove službene statistike na temelju Zakona o službenoj statistici, Programa statističkih aktivnosti Republike Hrvatske 2013.-2017. i godišnjih provedbenih planova statističkih aktivnosti RH. </w:t>
      </w:r>
    </w:p>
    <w:p w:rsidR="00505632" w:rsidRDefault="00505632" w:rsidP="00505632">
      <w:r>
        <w:t xml:space="preserve">Godišnjim provedbenim planom statističkih aktivnosti Republike Hrvatske 2016. godine planirana je provedba ukupno 292 statističke aktivnosti, od čega je za Zavod planirana provedba 235 aktivnosti (približno 80%). Zavod je od planiranih 235 statističkih aktivnosti u 2016. godini proveo 233 aktivnosti. </w:t>
      </w:r>
    </w:p>
    <w:p w:rsidR="00505632" w:rsidRDefault="00505632" w:rsidP="00505632">
      <w:r>
        <w:t xml:space="preserve">Ukupni planirani rashodi Zavoda na svim izvorima financiranja u 2016. godini iznosili su 89.285.801 kunu. Planirani rashodi financirani iz izvora Opći prihodi i primici nakon Izmjene i dopune Državnog proračuna RH za 2016. godinu i projekcija za 2017. i 2018. godinu (NN, br. 111/16) te nakon preraspodjele sukladno čl. 46 stavak 2. Zakona o proračunu u prosincu 2016., iznosili su 74.389.103 kune.  Od tog iznosa udio sredstava učešća za pomoći (izvor financiranja 12) je 264.244 kuna, pri čemu planirani rashodi poslovanja iznose 73.060.845 kuna, a rashodi za nabavu nefinancijske imovine 1.328.258 kuna. Planirani rashodi financirani iz Vlastitih prihoda iznose 151.000 kuna, a iz izvora Ostale pomoći 507.600 kuna. Planirani rashodi financirani sredstvima EU fondova na izvoru Pomoći EU iznosili su 3.102.475 kuna, na izvoru Inozemne darovnice 2.779.374 kuna, na izvoru Ostale refundacije iz pomoći EU 8.040.365 kuna te na izvoru Europski socijalni fond 315.884 kuna. </w:t>
      </w:r>
    </w:p>
    <w:p w:rsidR="00505632" w:rsidRDefault="00505632" w:rsidP="00505632">
      <w:r>
        <w:t xml:space="preserve">Ukupni izvršeni rashodi financijskog plana Zavoda u 2016. godini iznosili su 82.796.018 kuna što je 4,24% manje od ukupnih rashoda ostvarenih u 2015. godini.  </w:t>
      </w:r>
    </w:p>
    <w:p w:rsidR="00505632" w:rsidRDefault="00505632" w:rsidP="00505632">
      <w:r>
        <w:t xml:space="preserve">Indeks ostvarenja rashoda iz svih izvora financiranja iznosi 92,73%, financiranih iz izvora Opći prihodi i primici iznosi 96,80%, iz Vlastitih prihoda 69,65%, Ostalih pomoći 80,06%, EU pomoći 86,03%, Darovnica 91,52%, Ostalih refundacija iz pomoći EU 62,94%, dok na izvoru Europski socijalni fond u 2016. nije bilo izvršenja. </w:t>
      </w:r>
    </w:p>
    <w:p w:rsidR="00505632" w:rsidRDefault="00505632" w:rsidP="00505632">
      <w:r>
        <w:t xml:space="preserve">Odstupanja u izvršenju financijskog plana u najvećem dijelu odnosi se na izvore financiranja EU Pomoći i Ostale refunadacije iz pomoći EU zbog specifičnog načina izvršavanja pri ugovaranju i implementaciji projekata. Izvršenje je ispod plana iz više razloga. Financijski plan se izrađuje u razdoblju kada dio projekata još nije ugovoren, te specifikacija aktivnosti i troškova nije poznata. Rashodi za usluge se planiraju na temelju ugovorenih proračuna, a cijene postignute tokom postupka nabave su ponekad niže. Dio troškova planiranih u 2016. godini biti će izvršen u 2017. godini.  Zavod nije mogao znatnije utjecati na dinamiku ovih rashoda.  </w:t>
      </w:r>
    </w:p>
    <w:p w:rsidR="00505632" w:rsidRDefault="00505632" w:rsidP="00505632">
      <w:r>
        <w:t>Na izvoru ESF nije bilo izvršenja jer je planiran početak projekata odgođen zbog neispunjenja ex-ante uvjeta (postojanje strateškog okvira - Strategije razvoja javne uprave 2017.-2020.).</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16005-Državni zavod za statistiku</w:t>
            </w:r>
          </w:p>
        </w:tc>
        <w:tc>
          <w:tcPr>
            <w:tcW w:w="2041" w:type="dxa"/>
            <w:vAlign w:val="top"/>
          </w:tcPr>
          <w:p w:rsidR="00505632" w:rsidRDefault="00505632" w:rsidP="00AD4E52">
            <w:pPr>
              <w:pStyle w:val="CellColumn"/>
              <w:jc w:val="right"/>
            </w:pPr>
            <w:r>
              <w:rPr>
                <w:rFonts w:cs="Times New Roman"/>
              </w:rPr>
              <w:t>86.466.175</w:t>
            </w:r>
          </w:p>
        </w:tc>
        <w:tc>
          <w:tcPr>
            <w:tcW w:w="2041" w:type="dxa"/>
            <w:vAlign w:val="top"/>
          </w:tcPr>
          <w:p w:rsidR="00505632" w:rsidRDefault="00505632" w:rsidP="00AD4E52">
            <w:pPr>
              <w:pStyle w:val="CellColumn"/>
              <w:jc w:val="right"/>
            </w:pPr>
            <w:r>
              <w:rPr>
                <w:rFonts w:cs="Times New Roman"/>
              </w:rPr>
              <w:t>89.285.801</w:t>
            </w:r>
          </w:p>
        </w:tc>
        <w:tc>
          <w:tcPr>
            <w:tcW w:w="2041" w:type="dxa"/>
            <w:vAlign w:val="top"/>
          </w:tcPr>
          <w:p w:rsidR="00505632" w:rsidRDefault="00505632" w:rsidP="00AD4E52">
            <w:pPr>
              <w:pStyle w:val="CellColumn"/>
              <w:jc w:val="right"/>
            </w:pPr>
            <w:r>
              <w:rPr>
                <w:rFonts w:cs="Times New Roman"/>
              </w:rPr>
              <w:t>82.796.018</w:t>
            </w:r>
          </w:p>
        </w:tc>
        <w:tc>
          <w:tcPr>
            <w:tcW w:w="1224" w:type="dxa"/>
            <w:vAlign w:val="top"/>
          </w:tcPr>
          <w:p w:rsidR="00505632" w:rsidRDefault="00505632" w:rsidP="00AD4E52">
            <w:pPr>
              <w:pStyle w:val="CellColumn"/>
              <w:jc w:val="right"/>
            </w:pPr>
            <w:r>
              <w:rPr>
                <w:rFonts w:cs="Times New Roman"/>
              </w:rPr>
              <w:t>92,7</w:t>
            </w:r>
          </w:p>
        </w:tc>
        <w:tc>
          <w:tcPr>
            <w:tcW w:w="1224" w:type="dxa"/>
            <w:vAlign w:val="top"/>
          </w:tcPr>
          <w:p w:rsidR="00505632" w:rsidRDefault="00505632" w:rsidP="00AD4E52">
            <w:pPr>
              <w:pStyle w:val="CellColumn"/>
              <w:jc w:val="right"/>
            </w:pPr>
            <w:r>
              <w:rPr>
                <w:rFonts w:cs="Times New Roman"/>
              </w:rPr>
              <w:t>95,8</w:t>
            </w:r>
          </w:p>
        </w:tc>
      </w:tr>
      <w:tr w:rsidR="00505632" w:rsidTr="00AD4E52">
        <w:trPr>
          <w:jc w:val="center"/>
        </w:trPr>
        <w:tc>
          <w:tcPr>
            <w:tcW w:w="1632" w:type="dxa"/>
          </w:tcPr>
          <w:p w:rsidR="00505632" w:rsidRDefault="00505632" w:rsidP="00AD4E52">
            <w:pPr>
              <w:jc w:val="left"/>
            </w:pPr>
            <w:r>
              <w:t>2405-STATISTIČKE USLUGE</w:t>
            </w:r>
          </w:p>
        </w:tc>
        <w:tc>
          <w:tcPr>
            <w:tcW w:w="2041" w:type="dxa"/>
          </w:tcPr>
          <w:p w:rsidR="00505632" w:rsidRDefault="00505632" w:rsidP="00AD4E52">
            <w:pPr>
              <w:jc w:val="right"/>
            </w:pPr>
            <w:r>
              <w:t>86.466.175</w:t>
            </w:r>
          </w:p>
        </w:tc>
        <w:tc>
          <w:tcPr>
            <w:tcW w:w="2041" w:type="dxa"/>
          </w:tcPr>
          <w:p w:rsidR="00505632" w:rsidRDefault="00505632" w:rsidP="00AD4E52">
            <w:pPr>
              <w:jc w:val="right"/>
            </w:pPr>
            <w:r>
              <w:t>89.285.801</w:t>
            </w:r>
          </w:p>
        </w:tc>
        <w:tc>
          <w:tcPr>
            <w:tcW w:w="2041" w:type="dxa"/>
          </w:tcPr>
          <w:p w:rsidR="00505632" w:rsidRDefault="00505632" w:rsidP="00AD4E52">
            <w:pPr>
              <w:jc w:val="right"/>
            </w:pPr>
            <w:r>
              <w:t>82.796.018</w:t>
            </w:r>
          </w:p>
        </w:tc>
        <w:tc>
          <w:tcPr>
            <w:tcW w:w="1224" w:type="dxa"/>
          </w:tcPr>
          <w:p w:rsidR="00505632" w:rsidRDefault="00505632" w:rsidP="00AD4E52">
            <w:pPr>
              <w:jc w:val="right"/>
            </w:pPr>
            <w:r>
              <w:t>92,7</w:t>
            </w:r>
          </w:p>
        </w:tc>
        <w:tc>
          <w:tcPr>
            <w:tcW w:w="1224" w:type="dxa"/>
          </w:tcPr>
          <w:p w:rsidR="00505632" w:rsidRDefault="00505632" w:rsidP="00AD4E52">
            <w:pPr>
              <w:jc w:val="right"/>
            </w:pPr>
            <w:r>
              <w:t>95,8</w:t>
            </w:r>
          </w:p>
        </w:tc>
      </w:tr>
    </w:tbl>
    <w:p w:rsidR="00505632" w:rsidRDefault="00505632" w:rsidP="00505632">
      <w:pPr>
        <w:jc w:val="left"/>
      </w:pPr>
    </w:p>
    <w:p w:rsidR="00505632" w:rsidRDefault="00505632" w:rsidP="00505632">
      <w:pPr>
        <w:pStyle w:val="Heading3"/>
      </w:pPr>
      <w:r>
        <w:rPr>
          <w:rFonts w:cs="Times New Roman"/>
        </w:rPr>
        <w:t>2405 STATISTIČKE USLUGE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2405-STATISTIČKE USLUGE</w:t>
            </w:r>
          </w:p>
        </w:tc>
        <w:tc>
          <w:tcPr>
            <w:tcW w:w="2041" w:type="dxa"/>
          </w:tcPr>
          <w:p w:rsidR="00505632" w:rsidRDefault="00505632" w:rsidP="00AD4E52">
            <w:pPr>
              <w:pStyle w:val="CellColumn"/>
              <w:jc w:val="right"/>
            </w:pPr>
            <w:r>
              <w:rPr>
                <w:rFonts w:cs="Times New Roman"/>
              </w:rPr>
              <w:t>86.466.175</w:t>
            </w:r>
          </w:p>
        </w:tc>
        <w:tc>
          <w:tcPr>
            <w:tcW w:w="2041" w:type="dxa"/>
          </w:tcPr>
          <w:p w:rsidR="00505632" w:rsidRDefault="00505632" w:rsidP="00AD4E52">
            <w:pPr>
              <w:pStyle w:val="CellColumn"/>
              <w:jc w:val="right"/>
            </w:pPr>
            <w:r>
              <w:rPr>
                <w:rFonts w:cs="Times New Roman"/>
              </w:rPr>
              <w:t>89.285.801</w:t>
            </w:r>
          </w:p>
        </w:tc>
        <w:tc>
          <w:tcPr>
            <w:tcW w:w="2041" w:type="dxa"/>
          </w:tcPr>
          <w:p w:rsidR="00505632" w:rsidRDefault="00505632" w:rsidP="00AD4E52">
            <w:pPr>
              <w:pStyle w:val="CellColumn"/>
              <w:jc w:val="right"/>
            </w:pPr>
            <w:r>
              <w:rPr>
                <w:rFonts w:cs="Times New Roman"/>
              </w:rPr>
              <w:t>82.796.018</w:t>
            </w:r>
          </w:p>
        </w:tc>
        <w:tc>
          <w:tcPr>
            <w:tcW w:w="1224" w:type="dxa"/>
          </w:tcPr>
          <w:p w:rsidR="00505632" w:rsidRDefault="00505632" w:rsidP="00AD4E52">
            <w:pPr>
              <w:pStyle w:val="CellColumn"/>
              <w:jc w:val="right"/>
            </w:pPr>
            <w:r>
              <w:rPr>
                <w:rFonts w:cs="Times New Roman"/>
              </w:rPr>
              <w:t>92,7</w:t>
            </w:r>
          </w:p>
        </w:tc>
        <w:tc>
          <w:tcPr>
            <w:tcW w:w="1224" w:type="dxa"/>
          </w:tcPr>
          <w:p w:rsidR="00505632" w:rsidRDefault="00505632" w:rsidP="00AD4E52">
            <w:pPr>
              <w:pStyle w:val="CellColumn"/>
              <w:jc w:val="right"/>
            </w:pPr>
            <w:r>
              <w:rPr>
                <w:rFonts w:cs="Times New Roman"/>
              </w:rPr>
              <w:t>95,8</w:t>
            </w:r>
          </w:p>
        </w:tc>
      </w:tr>
    </w:tbl>
    <w:p w:rsidR="00505632" w:rsidRDefault="00505632" w:rsidP="00505632">
      <w:pPr>
        <w:jc w:val="left"/>
      </w:pPr>
    </w:p>
    <w:p w:rsidR="00505632" w:rsidRDefault="00505632" w:rsidP="00505632">
      <w:r>
        <w:t xml:space="preserve">Program 2405-Statističke usluge obuhvaćao je u 2016. godini 14 Aktivnosti/Kapitalnih projekata i 9 projekata financiranih iz fondova EU. </w:t>
      </w:r>
    </w:p>
    <w:p w:rsidR="00505632" w:rsidRDefault="00505632" w:rsidP="00505632">
      <w:r>
        <w:t xml:space="preserve">Temeljna statistička načela na osnovi kojih se razvija, proizvodi i diseminira službena statistika Republike Hrvatske definirana su Zakonom o službenoj statistici i ona su: stručna neovisnost, nepristranost, objektivnost, pouzdanost, statistička povjerljivost i isplativost.  </w:t>
      </w:r>
    </w:p>
    <w:p w:rsidR="00505632" w:rsidRDefault="00505632" w:rsidP="00505632">
      <w:r>
        <w:t xml:space="preserve">Osim temeljnih statističkih načela vezanih za razvoj, proizvodnju i diseminaciju službene statistike potrebno je primjenjivati i načela iz Kodeksa prakse europske statistike koja se odnose na institucionalno okruženje, statističke proizvodne procese i statističke rezultate te kriterije kvalitete definirane Zakonom o službenoj statistici usklađeno s Uredbom o europskoj statistici 223/2009. </w:t>
      </w:r>
    </w:p>
    <w:p w:rsidR="00505632" w:rsidRDefault="00505632" w:rsidP="00505632">
      <w:r>
        <w:t xml:space="preserve">Glavne zadaće, određene pravnim okvirom hrvatskoga statističkog sustava, jesu: </w:t>
      </w:r>
    </w:p>
    <w:p w:rsidR="00505632" w:rsidRDefault="00505632" w:rsidP="00505632">
      <w:r>
        <w:t xml:space="preserve">- Prikupljanje, obrada i diseminacija statističkih podataka </w:t>
      </w:r>
    </w:p>
    <w:p w:rsidR="00505632" w:rsidRDefault="00505632" w:rsidP="00505632">
      <w:r>
        <w:t xml:space="preserve">Primarna zadaća je prikupljanje i obrada statističkih podataka te izrada i diseminacija statističkih pokazatelja o društvenom i gospodarskom stanju i kretanjima u Republici Hrvatskoj, uključujući pripreme za početak izrade analitičkih komentara i projekcija za javnu uporabu. </w:t>
      </w:r>
    </w:p>
    <w:p w:rsidR="00505632" w:rsidRDefault="00505632" w:rsidP="00505632">
      <w:r>
        <w:t xml:space="preserve">- Čuvanje stručne neovisnosti  hrvatskoga statističkog sustava </w:t>
      </w:r>
    </w:p>
    <w:p w:rsidR="00505632" w:rsidRDefault="00505632" w:rsidP="00505632">
      <w:r>
        <w:t xml:space="preserve">Pojam stručne neovisnosti podrazumijeva potpunu samostalnost u stručnim pitanjima kako bi se osigurao potpuno ravnopravan položaj svih sudionika u hrvatskome statističkom sustavu. To se odnosi i na nositelje statističkih aktivnosti i na davatelje podataka i na korisnike. </w:t>
      </w:r>
    </w:p>
    <w:p w:rsidR="00505632" w:rsidRDefault="00505632" w:rsidP="00505632">
      <w:r>
        <w:t xml:space="preserve">- Povećanje povjerenja javnosti u službenu statistiku </w:t>
      </w:r>
    </w:p>
    <w:p w:rsidR="00505632" w:rsidRDefault="00505632" w:rsidP="00505632">
      <w:r>
        <w:t xml:space="preserve">Za relevantnost podataka statističkog sustava bitno je da javnost percipira, razumije i ima pozitivno iskustvo s načinom na koji nositelji službene statistike štite povjerljivost prikupljenih podataka, s brigom o kvaliteti i pravovremenosti objavljivanja statističkih podataka te o razumljivosti i dostupnosti metodoloških obrazloženja. Iz povećanog povjerenja u službenu statistiku povećava se i spremnost izvještajnih jedinica da točnije opišu mjerene pojave, na osnovi čega raste i kvaliteta tih podataka. </w:t>
      </w:r>
    </w:p>
    <w:p w:rsidR="00505632" w:rsidRDefault="00505632" w:rsidP="00505632">
      <w:r>
        <w:t xml:space="preserve">- Međunarodna suradnja </w:t>
      </w:r>
    </w:p>
    <w:p w:rsidR="00505632" w:rsidRDefault="00505632" w:rsidP="00505632">
      <w:r>
        <w:t>Poseban naglasak je na suradnji u okviru Europske unije, u skladu s pravnom stečevinom EU, te na suradnji s međunarodnim organizacijama poput UN-a, Svjetske banke, Međunarodnoga monetarnog fonda i Svjetske zdravstvene organizacije. Svrha suradnje u okviru EU, kao i s međunarodnim organizacijama odnosno bilateralne suradnje s pojedinim zemljama jest udovoljavanje međunarodnim obvezama Republike Hrvatske, ali i komplementarno podupiranje razvoja hrvatskoga statističkog sustava, koji takvom harmonizacijom osigurava međunarodnu usporedivost statističkih podataka.</w:t>
      </w:r>
    </w:p>
    <w:p w:rsidR="00505632" w:rsidRDefault="00505632" w:rsidP="00505632">
      <w:pPr>
        <w:pStyle w:val="Heading8"/>
        <w:jc w:val="left"/>
      </w:pPr>
      <w:r>
        <w:t>Cilj 1. Kontinuirano unaprjeđenje sustava prikupljanja, proizvodnje i obrade podataka Državnog zavoda za statistiku</w:t>
      </w:r>
    </w:p>
    <w:p w:rsidR="00505632" w:rsidRDefault="00505632" w:rsidP="00505632">
      <w:pPr>
        <w:pStyle w:val="Heading8"/>
        <w:jc w:val="left"/>
      </w:pPr>
      <w:r>
        <w:t>Opis provedbe cilja programa</w:t>
      </w:r>
    </w:p>
    <w:p w:rsidR="00505632" w:rsidRDefault="00505632" w:rsidP="00505632">
      <w:r>
        <w:t xml:space="preserve">Razvoj sustava službene statistike složen je proces koji zahtijeva stalnu suradnju s korisnicima, nositeljima službene statistike te izvještajnim jedinicama uz sustavno praćenje i primjenu međunarodnih standarda. Održivost i razvoj sustava službene statistike Republike Hrvatske postiže se pravodobnim i kontinuiranim osiguravanjem i razvojem ljudskih potencijala putem kontinuirane izobrazbe, uspostavljanja pozitivne organizacijske kulture te učinkovitom organizacijom cjelovitog sustava službene statistike u skladu s korisničkim potrebama i zahtjevima.  </w:t>
      </w:r>
    </w:p>
    <w:p w:rsidR="00505632" w:rsidRDefault="00505632" w:rsidP="00505632">
      <w:r>
        <w:t xml:space="preserve">Koordinacijska uloga Zavoda pravno je regulirana Zakonom o službenoj statistici, a ostvaruje se izradom strateških i programskih dokumenata službene statistike u suradnji s drugim nositeljima službene statistike, radom Statističkog savjeta RH te suradnjom i razmjenom podataka s posjednicima administrativnih izvora podataka. </w:t>
      </w:r>
    </w:p>
    <w:p w:rsidR="00505632" w:rsidRDefault="00505632" w:rsidP="00505632">
      <w:r>
        <w:t xml:space="preserve">U cilju modernizacije statističkog sustava, Zavod kontinuirano nastoji povećati udio statističkih istraživanja koja se temelje na administrativnim izvorima podataka, zatim povećati učinkovitost provedbe statističkih istraživanja i to ponajprije ustrojavanjem i uporabom statističkih i administrativnih registara te unaprjeđenjem svih faza provedbe: prikupljanja, proizvodnje, obrade i diseminacije podataka službene statistike. Sustav prikupljanja, obrade i objave podataka postupno uvodi najbolje prakse koje primjenjuju najrazvijeniji statistički sustavi Europske unije, tehnološka unaprjeđenja koja pojednostavljuju zahtjeve prema izvještajnim jedinicama te povećava fleksibilnost statističkog sustava i njegovu prilagodbu novim zahtjevima vodeći računa o tome da se ne povećava opterećenje izvještajnih jedinica. Uvođenjem novih tehnologija omogućuje se pristup korisnika širem skupu podataka na jednostavan i troškovno učinkovit način vodeći računa o razvitku i primjeni tehnologija kojima se štite povjerljivi statistički podaci. </w:t>
      </w:r>
    </w:p>
    <w:p w:rsidR="00505632" w:rsidRDefault="00505632" w:rsidP="00505632">
      <w:r>
        <w:t xml:space="preserve">U okviru društvenih statistika tijekom 2016. provedena su statistička istraživanja koja obuhvaćaju sljedeća statistička područja: stanovništvo, tržište rada, potrošnju, dohodak, obrazovanje, znanost i tehnologiju, kulturu, kazneno pravosuđe i socijalnu zaštitu. Tijekom 2016. godine, kontinuirano se radilo na aktivnostima vezanim za modernizaciju i unaprjeđenje načina prikupljanja podataka s posebnim naglaskom na preuzimanje podataka iz administrativnih izvora te nastavak modernizacije prikupljanja podataka, što je posljedično rezultiralo smanjenjem troškova istraživanja. U području statistike tržišta rada tijekom 2016. godine implementirane su aktivnosti na preuzimanju podataka o zaposlenosti i plaćama iz JOPPD obrasca ( administrativni izvor za ove podatke je Porezna uprava), čime su ostvareni planovi za smanjenje troškova statističke proizvodnje i unaprjeđenje statistike tržišta rada. Novi način prikupljanja, odnosno preuzimanja podataka je, osim, smanjenja troškova statističke proizvodnje, omogućio i izračun novih pokazatelja, poput medijana, koje zbog prijašnjeg načina prikupljanja podataka nije bilo moguće izračunati. Nadalje, nastavljeno je prikupljanje podataka za Anketu o radnoj snazi na CATI način (putem telefonskog intervjua) i CAPI način (putem prijenosnih računala uz angažman anketara na terenu). U prvom tromjesečju 2016. obavljeno je prikupljanje podataka CAPI načinom za Anketu o potrošnji kućanstava (APK) na terenu uz pomoć vanjskih anketara. No, zbog smanjenja limita za proračunska financijska sredstva Zavodu, nije bilo moguće nastaviti prikupljanje podataka za ovo istraživanje koje se provodi na temelju džentlemenskog sporazuma zemalja članica i Eurostata, zbog nedostatka financijskih sredstava za daljnji rad. U području statistike obrazovanja, po prvi put je 2016. godine provedeno anketno istraživanje o obrazovanju odraslih. Ovo istraživanje se provodi na kućanstvima (četverogodišnja periodika istraživanja), a podaci su prikupljani CAPI metodom. U području statistike stanovništva završene su aktivnosti na unaprjeđenju načina prikupljanja podataka i preuzimanja podataka iz administrativnih izvora (matica rođenih, matica umrlih, sklopljenih brakova). Testirana je kvaliteta podataka i obuhvat podataka te je donesena odluka o potpunom preuzimanju podataka iz administrativnih izvora što smanjuje opterećenost izvještajnih jedinica i smanjuje troškove statističke proizvodnje (nema tiskanja obrazaca, nema troškova poštarine, nema troškova ljudskih resursa za unos i obradu podataka). Nadalje, unaprijeđen je način prikupljanja podataka za šest statističkih istraživanja s područja društvenih statistika za koje su izrađeni web obrasci za prikupljanje podataka što će u budućnosti znatno smanjiti troškove statističke proizvodnje. Riječ je o tri istraživanja s područja statistike obrazovanja (dječji vrtići, osnovne i srednje škole), dva istraživanja s područja kaznenog pravosuđa (prijavljene i optužene maloljetne osobe za kaznena djela) i jedno istraživanje s područja statistike tržišta rada (godišnje istraživanje o plaćama i zaposlenima). Što se tiče projektnih aktivnosti (Eurostat-ove darovnice), uspješno je završen projekt ADMIN I u okviru kojeg su ispitane mogućnosti korištenja administrativnih izvora za potrebe popisa stanovništva, kućanstava i stanova 2021.g. U pripremi su daljnji projekti -  ADMIN II, Unapređivanja načina prikupljanja podataka za popis stanovništva, kućanstava i stanova 2021., razvojne aktivnosti u području statistike tržišta rada (Anketa o radnoj snazi), statistike potrošnje i dohotka (Anketa o dohotku stanovništva) te statistike socijalne zaštite (ESSPROS statistika). </w:t>
      </w:r>
    </w:p>
    <w:p w:rsidR="00505632" w:rsidRDefault="00505632" w:rsidP="00505632">
      <w:r>
        <w:t xml:space="preserve">U okviru ekonomskih statistika, tijekom 2016. u području nacionalnih računa osigurala se primjena unaprijeđenih međunarodnih standarda iz područja nacionalnih računa – ESA 2010. U rujnu 2016. Zavod je objavio bruto domaći proizvod za 2014. g. prema proizvodnoj, rashodnoj i dohodovnoj metodi, u tekućim cijenama, stalnim cijenama prethodne godine, stalnim cijenama referentne 2010=100 i kao realne stope rasta. Nadalje, procjena tromjesečnog bruto domaćeg proizvoda za 2016. godinu objavljena je u zadanim rokovima, te su se održale konferencije za medije u povodu objave procjene tromjesečnog BDP-a. Tijekom 2016. dovršen je GNI Inventory (detaljan opis metoda i izvora obračuna bruto nacionalnog dohotka) prema smjernicama Eurostata. Redovito se objavljuju rezultati godišnjeg istraživanja o investicijama. Nadalje, Zavod je objavio sve tražene pokazatelje u sklopu procedure prekomjernoga deficita (Fiskalno izvješće) u travnju i listopadu 2016., a primijenjenu metodologiju i kvalitetu podataka verificirala su nadležna europska tijela.  Tijekom 2016. kontinuirano se radilo i na unaprjeđenju metodologije te razvitku metoda obračuna na području tromjesečnih nefinancijskih računa države. Tijekom 2016. radilo se i na obračunu povijesne serije kvartalnih nefinancijskih računa države koji se nastavljaju i u 2017., kada je predviđena i transmisija u Eurostat sukladno transmisijskom programu. U vezi s određivanjem vlastitih sredstava temeljenih na porezu na dodanu vrijednost, izrađeno je Izvješće o osnovici za vlastita sredstva od poreza na dodanu vrijednost za 2014. i 2015. godinu, koje je dostavljeno Europskoj komisiji 30. srpnja 2016. U području nacionalnog Indeksa potrošačkih cijena (CPI) i Harmoniziranog indeksa potrošačkih cijena (HICP) postignuta su znatna unapređenja s ciljem podizanja razine kvalitete i usporedivosti oba indeksa. U 2016. prema preporukama Eurostata, nastavljeno je s uvođenjem  metodoloških promjena u pojedinim skupinama proizvoda za praćenje maloprodajnih cijena čime je učinjen veliki iskorak u kvaliteti indeksa.  Nadalje, tijekom 2016. dovršen je Inventory za HICP u skladu sa smjernicama Eurostata, a za CPI i HICP izračunati su ponderi koji se temelje na podacima APK od 2014. i raspoloživim podacima nacionalnih računa prema novoj ECOICOP klasifikaciji te koji se preračunani na cijene prosinca prethodne godine. Prema darovnici Eurostata započet je projekt modernizacije načina prikupljanja podataka o maloprodajnim cijenama s ciljem uvođenja tableta za snimatelje cijena u područnim uredima. </w:t>
      </w:r>
    </w:p>
    <w:p w:rsidR="00505632" w:rsidRDefault="00505632" w:rsidP="00505632">
      <w:r>
        <w:t xml:space="preserve">Tijekom 2016., u području poslovnih statistika kontinuirano su provođene aktivnosti vezane za povećanje stupnja usklađenosti i unaprjeđenje kvalitete statističkih podataka. Nastavljen je rad na razvoju inovativnih načina korištenja administrativnih izvora podataka radi smanjenja opterećenja izvještajnih jedinica. Također su nastavljene aktivnosti modernizacije metoda prikupljanja podataka uvođenjem novih te razvojem i unaprjeđenjem postojećih internetskih aplikacija. U sklopu Eurostatove darovnice Poboljšanje alata i metoda za prikupljanje, obradu, validaciju, izvještavanje kvalitete i diseminaciju statistika o industrijskoj proizvodnji za PRODCOM statistike unaprjeđena je funkcionalnost internetske aplikacije za prikupljanje podataka i izrađena je aplikacija za kombiniranje administrativnih i statističkih izvora za kategoriju malih poduzeća (do 50 zaposlenih) čime se smanjuje opterećenje izvještajnih jedinica. U području kratkoročnih poslovnih statistika industrije, u okviru EU darovnice Metodološka i praktična poboljšanja alata za praćenje cijena hrane u statistici cijena, poboljšana je metodologija za izračun proizvođačkih cijena industrije na domaćem tržištu na nižim razinama klasifikacije za praćenje cijena hrane. U području PRODCOM statistika, Zavod je sudjelovao u radu Eurostatove PRODCOM stručne radne skupine, aktivno sudjelujući u razvoju i integraciji europskoga statističkog sustava za proizvodne poslovne statistike. U statistici građevinarstva nastavljen je rad na povećanju stupnja usklađenosti službene statistike sa statističkim standardima Europske unije i unaprjeđenju kvalitete podataka. U području statistike usluga nastavljen je rad na pripremnim aktivnostima usmjerenima na izmjenu periodike Tromjesečnog izvještaja trgovine i ostalih usluga (USL-1) s tromjesečne na mjesečnu, tj. na mjesečno praćenje varijable prometa. U primjeni je nova aplikacija koja integrira tromjesečne podatke o prometu uslužnih djelatnosti iz dva izvora – klasičnog statističkog istraživanja i administrativnog izvora podataka (datoteka Poreza na dodanu vrijednost Porezne uprave Ministarstva financija). U sklopu Eurostatove darovnice, razvijena su i provedena dva nova istraživanja iz područja indeksa cijena pri pružateljima usluga (SPPI) korištenjem internetske aplikacije za prikupljanje podataka, i to za izdavačke djelatnosti (odjeljak 58 NKD-a 2007.) i djelatnosti putničkih agencija, organizatora putovanja i ostalih rezervacijskih usluga (odjeljak 79 NKD-a 2007.). U sklopu aktivnosti pod nazivom Razvoj statistike uslužnih djelatnosti provedeno je i višegodišnje istraživanje Izvještaj o trgovini motornim vozilima, dijelovima i priborom po skupinama proizvoda za 2015. U području strukturnih poslovnih statistika implementirana je proizvodnja regionalnih serija podataka iz novih dostupnih administrativnih izvora (JOPPD). U području energetskih statistika, u skladu s načelima održivog razvoja i nastojanjem postizanja gospodarstva temeljenog na učinkovitoj raspodjeli resursa i niskoj razini onečišćenja, u sklopu ciljeva zacrtanih Strategijom Europa 2020., Zavod je do kraja 2016., zaključio većinu sporazuma s distributerima električne energije, prirodnog plina i topline o preuzimanju podataka iz administrativnih izvora radi poboljšanja kvalitete energetskih podataka u statističkim izvješćima i smanjenja opterećenosti izvještajnih jedinica. Također, Zavod je bio uključen u Eurostatovu stručnu radnu skupinu za daljnju raščlambu energije u sektoru industrije aktivno sudjelujući u razvoju i integraciji europskoga statističkog sustava za energetske statistike. Tijekom 2016. u području informacijskog društva Zavod je sredstvima Eurostatove darovnice unaprijedio način prikupljanja podataka za dva IKT (informacijsko-komunikacijske tehnologije) istraživanja za 2016., za poduzeća i za kućanstva. Za potrebe prikupljanja podataka u istraživanju za poduzeća prilagođena je internetska aplikacija (CAWI), dok su za prikupljanje podataka u istraživanju za kućanstva razvijene aplikacije u svrhu korištenja CATI i CAPI metode anketiranja. U području transportnih statistika provedeno je daljnje usklađivanje i unaprjeđenje kvalitete statističkih podataka. U sklopu statistike željezničkog prijevoza roba u obuhvat su uključeni svi prijevoznici na željezničkoj mreži Republike Hrvatske te se kontinuirano pratila njihova aktivnost na tržištu. U suradnji s nadležnim ministarstvom analiziraju se mogućnosti korištenja Upisnika brodova za statističke svrhe i to kao administrativnog izvora podataka o registriranim plovilima u svrhu racionalizacije troškova i smanjenja opterećenja davatelja podataka. U sklopu Protokola o suradnji između Zavoda i Ministarstva unutarnjih poslova na području međusobne razmjene podataka, dopunjeni su skupovi podataka koji se dostavljaju Zavodu u svrhu proizvodnje službene statistike, a u skladu s nacionalnim i međunarodnim zahtjevima. Razvojnim aktivnostima u sklopu Eurostatove darovnice uspostavljen je model statistike intermodalnog transporta. U području statistike robne razmjene s državama članicama EU-a, kao i državama nečlanicama EU-a, u 2016. su izrađeni i na internetskim stranicama Zavoda objavljeni rezultati godišnje obrade robne razmjene s inozemstvom prema poslovnim karakteristikama poduzeća, kao i pregled robne razmjene s inozemstvom po županijama. Početkom 2016. provedeno je istraživanje o administrativnom opterećenju izvještajnih jedinica za Intrastat. Nositelj ovog istraživanja bila je Europska komisija (Eurostat) u suradnji s Zavodom i Carinskom upravom RH. Eurostat je analizirao rezultate provedenoga istraživanja u svrhu pronalaženja alternativnih rješenja za smanjenje administrativnog opterećenja izvještajnih jedinica za Intrastat, uz istovremeno zadržavanje sadašnje razine kvalitete statistike robne razmjene među zemljama članicama EU-a. U području statistike turizma Zavod je bio uključen u izradu projekta Jedinstveni hrvatski turistički informacijski sustav prijave i odjave turista eVisitor čiji su nositelji Ministarstvo turizma i Hrvatska turistička zajednica. U 2016. podaci o turističkim smještajnim kapacitetima i turističkom prometu prikupljali su se iz administrativnog izvora (sustav eVisitor) te putem Mjesečnog izvještaja o dolascima i noćenjima turista (TU-11). </w:t>
      </w:r>
    </w:p>
    <w:p w:rsidR="00505632" w:rsidRDefault="00505632" w:rsidP="00505632">
      <w:r>
        <w:t xml:space="preserve">U području statistika poljoprivrede i okoliša u 2016. nastavile su se aktivnosti na integraciji poljoprivrednih statistika i statistika zaštite okoliša u nacionalni statistički sustav, što je rezultiralo većim korištenjem administrativnih podataka za statističke svrhe čime je poslovnim subjektima i obiteljskim poljoprivrednim gospodarstvima smanjen teret izvješćivanja. Tako se većim korištenjem administrativnih izvora podataka nastavio rad na poboljšavanju statistika iz područja stočarstva, biljne proizvodnje, strukturnih statistika poljoprivrede, agromonetarnih statistika i statistika zaštite okoliša. Prelaskom na administrativne izvore postignuto je racionalnije korištenje proračunskih sredstava. Također je nastavljena modernizacija prikupljanja podataka uvođenjem metode anketiranja obiteljskih poljoprivrednih gospodarstava uz pomoć računala (CAPI) za Istraživanje o ostvarenim prirodima kasnih usjeva, voća i grožđa  i  Istraživanje o površinama i nasadima na kraju proljetne sjetve (obrazac PO-22) te modernizacija u sklopu Eurostatove darovnice za provođenje trogodišnjeg Istraživanja o strukturi poljoprivrednih gospodarstava i metodama poljoprivredne proizvodnje –napravljen je elektronski obrazac i aplikacija za prikupljanje i obradu podataka za poslovne subjekte (CAWI - Computer assisted web interviewing) i obiteljska poljoprivredna gospodarstva (CAPI). Na temelju aplikacije za prikupljanje i obradu podataka za istraživanje o strukturi poljoprivrednih gospodarstava razvijena je aplikacija na klijent-server platformi koja sadrži internetski upitnik za istraživanja biljne proizvodnje i stočarstva za poslovne subjekte. Izrađeni su  moduli za objedinjavanje, obradu, ispravljanje te tabeliranje prikupljenih podataka i omogućeno objedinjavanje podataka s elektronskih  upitnika (CAWI, CATI i CAPI) i papirnatih upitnika. Elektronski obrazac je napravljen za istraživanja poslovnih subjekata, koja su se do tada prikupljala na papirnatim obrascima, i to za: Anketa o broju stoke (obrazac PO-51), Istraživanje o površinama i nasadima na kraju proljetne sjetve (obrazac PO-22), Istraživanje o ostvarenim prirodima ranih usjeva i voća (obrazac PO-32), Istraživanje o jesenskoj sjetvi (obrazac PO-21), Istraživanje o ostvarenim prirodima ranih usjeva i voća (obrazac PO-32), Istraživanje o prirodima južnog voća i maslina (obrazac  PO-34). U području statistika poljoprivrede i okoliša kontinuirano su provođene aktivnosti vezane za povećanje stupnja usklađenosti i unaprjeđenje kvalitete statističkih podataka. Istraživanje o strukturi poljoprivrednih gospodarstava provedeno je u lipnju 2016. za sve poslovne subjekte, a temeljem uzorka bilo je obuhvaćeno 20.000 obiteljskih poljoprivrednih gospodarstava. Riječ je o osnovnom istraživanju na području poljoprivrednih statistika. Istraživanje se provodi svakih 10 godina u obliku popisa poljoprivrednih gospodarstava i svake tri godine u obliku istraživanja na uzorku. Rezultati petogodišnjeg istraživanja o strukturi vinograda u 2015., na temelju podataka iz administrativnog izvora, dostavljeni su u Eurostat. U 2016. nastavljen je rad na projektu „Sustav prikupljanja podataka za zemljišne cijene i rente u skladu sa zajedničkom ciljanom metodologijom“ što je rezultiralo korištenjem administrativnih podataka Ministarstva financija – Porezna uprava i većom kvalitetom podataka. U sklopu Eurostatove  darovnice nastavljen je rad na projektu „Pilot-studija o prikupljanju podataka o proizvodnji konzumnih jaja i ostalim potrebnim podacima“, u vezi s unaprjeđenjem metodologije za prikupljanje podataka o konzumnim jajima i ostalim potrebnim podacima. Povećana je ažurnost Statističkog registra poljoprivrednih gospodarstava (SRPG) kao zajedničkog okvira za odabir uzoraka za prikupljanje podataka poljoprivrednih statistika s dostupnim podacima Agencije za plaćanje u poljoprivredi, ribarstvu i ruralnom razvoju (Upisnik poljoprivrednih gospodarstava). Nastavljen je rad na uspostavi i integraciji nacionalnog sustava za praćenje statistike agrookoliša u suradnji s drugim institucijama (Ministarstvo poljoprivrede, Ministarstvo zaštite okoliša i prirode, Agencija za zaštitu okoliša). U 2016. nastavljen je rad na razvoju dva nova modula europskih ekonomskih računa okoliša: izračun izdataka za zaštitu okoliša i dobra i usluge u okolišu, koji su uspostavljeni u sklopu projekta „Pilot studije za razvoj računa okoliša u Europskom statističkom sustavu“u 2015. Nastavljene su aktivnosti na unaprijeđenju izračuna emisija u zrak, ekonomskih računa protoka materijala i ekoloških poreza.   </w:t>
      </w:r>
    </w:p>
    <w:p w:rsidR="00505632" w:rsidRDefault="00505632" w:rsidP="00505632">
      <w:r>
        <w:t xml:space="preserve">Na području upravljanja kvalitetom statističkih proizvoda i procesa, u prijašnjem razdoblju izrađena je baza kvalitete koja služi za dokumentiranje, kontrolu i analizu kvalitete proizvoda i procesa prema standardnim strukturama europskog sustava za izvještavanje o kvaliteti (ESQRS i ESMS). Tijekom 2016. godine održano je više radionica za popunjavanje baze kvalitete te sastavljanje standardnih izvještaja o kvaliteti za različita statistička područja. Nakon održanih radionica, zaposlenici Zavoda su redovito punili bazu informacijama o kvaliteti te je sastavljeno 20-ak izvještaja za različita istraživanja (društvena, poslovna i poljoprivredna) Zavoda. Također, budući da je utemeljena Internet stranica o kvaliteti pomoću koje Zavod informira javnost o ulozi kvalitete u statističkom poslovnom procesu, tijekom 2016. godine objavljeno je 20-ak sastavljenih izvještaja o kvaliteti prema standardnoj strukturi izvještavanja jednakoj za sva istraživanja Zavoda, što je u skladu s Godišnjim provedbenim planom 2016. te Strateškim planom Zavoda za razdoblje 2016.-2018. prema kojima se svake godine treba povećati broj objavljenih izvještaja o kvaliteti za korisnike statističkih proizvoda Zavoda. Tijekom 2015. Zavod je nastavio suradnju s Hrvatskom narodnom bankom u području sezonske i kalendarske prilagodbe za odabrani skup serija iz područja nacionalnih računa, industrije, trgovine i građevinarstva kako bi se postigla usklađenost onih PEEI pokazatelja (Glavni europski ekonomski pokazatelji) koji se objavljuju kao vremenske serije na razini Republike Hrvatske. </w:t>
      </w:r>
    </w:p>
    <w:p w:rsidR="00505632" w:rsidRDefault="00505632" w:rsidP="00505632">
      <w:r>
        <w:t xml:space="preserve">U području klasifikacija nastavljena je primjena relevantnih nacionalnih i međunarodnih klasifikacijskih standarda pri proizvodnji i diseminaciji statističkih podataka. Tijekom 2016. kontinuirano se radilo na održavanju KLASUS-a, te je klasifikacijska baza redovito ažurirana i nadopunjavana u skladu s promjenama klasifikacijskih standarda službene statistike. Korisnicima je tako putem KLASUS-a dostupno preko 80 klasifikacija koje je moguće pregledavati, pretraživati, te preuzeti u više različitih formata. Statistički poslovni registar redovito je ažuriran iz sljedećih izvora: Administrativni poslovni registar, Obrtni registar, Registar poreznih obveznika, Registar godišnjih financijskih izvještaja, Sudski registar, Središnje klirinško depozitarno društvo d.d. te podacima iz statističkih istraživanja koja provodi Zavod. Redovno se provodila razmjena podataka s Europskim registrom grupa poduzeća u svrhu stvaranja multinacionalnih grupa poduzeća i ažuriranja podataka o njima. Podaci poslovne demografije pripremljeni su na razini RH i regija NUTS 2 i NUTS 3 te su dostavljani u Eurostat u zadanim rokovima. Pored priopćenja, podaci poslovne demografije od 2016. godine korisnicima su dostupni i u PC-Axis bazi podataka. Redovito se provodi ažuriranje pripadnosti poslovnih subjekata institucionalnim sektorima u skladu s metodološkim osnovama definiranim u Europskom sustavu računa ESA 2010 te se isti objavljuju na internetskim stranicama Zavoda. U 2016. godini u sklopu Eurostatove darovnice - Improvement of national business registers and testing of European profiling – izvršene su aktivnosti profiliranja 6 velikih grupa poduzeća značajnih za hrvatsko gospodarstvo te 20 multinacionalnih grupa koje imaju sjedište u inozemstvu, a u RH imaju svoje ovisne jedinice. Uspostavljen je sustav geokodiranja adresa u Statističkom poslovnom registru uz primjenu novokreirane aplikacije za šifriranje ulica. U Registru poslovnih subjekata Zavoda (dalje u tekstu: Registar) kontinuirano se provodilo upisivanje i ažuriranje podataka o poslovnim subjektima i njihovih dijelova te njihovo razvrstavanje u skladu s Nacionalnom klasifikacijom djelatnosti 2007. – NKD 2007. Kontinuirano se obavljala dostava podataka iz Registra kao i rješavanje korisničkih zahtjeva uz posebnu obradu. Pripremali su se i objavljivali podaci o broju i strukturi poslovnih subjekata upisanih u Registar, na mjesečnoj, kvartalnoj, polugodišnjoj i godišnjoj razini, kao i u drugim publikacijama Zavoda (Statistika u nizu, Priopćenja, Statističke informacije, Hrvatska u brojkama, Statistički ljetopis). Revidirana je metodologija u vezi podataka Registra. Krajem 2016. napravljena je Funkcionalna specifikacija u vezi projekta nove aplikacije Registra poslovnih subjekata radi poboljšanja funkcionalnosti i kvalitete podataka Registra. Projekt je prethodno upisan u ProDII registar. Radi unapređenja poslovanja, u skladu s Planom normativnih aktivnosti Vlade Republike Hrvatske 2016. donesen je novi Pravilnik o razvrstavanju poslovnih subjekata prema Nacionalnoj klasifikaciji djelatnosti (NN, br. 55/16.). Dostavom traženih očitovanja i PFU obrasca nadležnim tijelima ispunjene su sve tražene aktivnosti u vezi Akcijskog plana Vlade Republike Hrvatske za administrativno rasterećenje gospodarstva, uvođenje elektroničkog postupka za registriranje poslovnog nastana i ishođenju odobrenja za obavljanje uslužne djelatnosti, i razvoj elektroničkih procedura za poslovni nastan putem Jedinstvene kontaktne točke za usluge. U Prostornom statističkom registru, u suradnji sa službenim izvorom prostornih podataka, vodili su se i kontinuirano ažurirali podaci o prostornim jedinicama kao osnova za aktivnosti službene statistike, razvijao se i primjenjivao geografski informacijski sustav (GIS), izrađivali grafički prikazi statističkih podataka, tematske karte i analize, temeljem službenih  statističkih podataka. Obavljala se intenzivna suradnja s nadležnim tijelima i ostalim ustrojstvenim jedinicama Zavoda po pitanju metodološkog pristupa, razmjene podataka i metodološkog usklađivanja s europskim standardima, primjene odgovarajućih nacionalnih i međunarodnih normi i preporuka. Naročita pozornost je posvećena unapređenju i kvaliteti podataka.   </w:t>
      </w:r>
    </w:p>
    <w:p w:rsidR="00505632" w:rsidRDefault="00505632" w:rsidP="00505632">
      <w:r>
        <w:t xml:space="preserve">Unapređenju poslova iz djelokruga doprinijelo je korištenje sredstva darovnica Europske komisije kojima su se financirali projekti. U 2016. završeni su sljedeći projekti: </w:t>
      </w:r>
    </w:p>
    <w:p w:rsidR="00505632" w:rsidRDefault="00505632" w:rsidP="00505632">
      <w:r>
        <w:t xml:space="preserve">1. Merging statistics and geospatial information in member states, 2.1.2014. – 1.1.2016. </w:t>
      </w:r>
    </w:p>
    <w:p w:rsidR="00505632" w:rsidRDefault="00505632" w:rsidP="00505632">
      <w:r>
        <w:t xml:space="preserve">2. Sub-national statistics on NUTS3 and city level, 1.4.2014. – 31.3.2016.  </w:t>
      </w:r>
    </w:p>
    <w:p w:rsidR="00505632" w:rsidRDefault="00505632" w:rsidP="00505632">
      <w:r>
        <w:t xml:space="preserve">U 2016. započeli smo sa radom na dva nova projekta:  </w:t>
      </w:r>
    </w:p>
    <w:p w:rsidR="00505632" w:rsidRDefault="00505632" w:rsidP="00505632">
      <w:r>
        <w:t xml:space="preserve">1. Data collection for sub-national statistics (mainly cities), trajanje od 1.4.2016. do 31.3.2018. </w:t>
      </w:r>
    </w:p>
    <w:p w:rsidR="00505632" w:rsidRDefault="00505632" w:rsidP="00505632">
      <w:r>
        <w:t xml:space="preserve">2. Merging statistics and geospatial information in member states No 2, trajanje od 4.1.2016. do 3.1.2018. </w:t>
      </w:r>
    </w:p>
    <w:p w:rsidR="00505632" w:rsidRDefault="00505632" w:rsidP="00505632">
      <w:r>
        <w:t>Na web stranicama Zavoda u 2016. sadržajno je unaprijeđen GeoStat RH portal koji sadrži prostornu i statističku povezanost. Na GeoStat portalu korisnici su dobili mogućnost praćenja i korištenja službenih statističkih podataka Zavoda na interaktivan način. Ovaj portal omogućava kartografsko prezentiranje službenih statističkih podataka na način da se odabrana prostorna razina kombinira s odabranim službenim statističkim podacima, i to na vrlo detaljnoj razini. Korisnici  mogu neke odabrane službene statističke podatke pratiti čak na mikro razini ćelija 1 km2, uz primjenu načela statističke povjerljivosti. Na taj način, olakšano je i unaprijeđeno praćenje službenih statističkih podataka koji su sada, osim u standardnom obliku putem priopćenja i publikacija, dostupni i putem interaktivnih karti na kojima svi zainteresirani mogu prostorno pratiti pregled rezultata službene statistike. Tijekom 2016. na GeoSTAT portalu Zavoda, uz link koji je vezan za pripadajuću metodologiju i ostale povezane podatke, objavljeni su službeni statistički podaci iz različitih područja.</w:t>
      </w:r>
    </w:p>
    <w:p w:rsidR="00505632" w:rsidRDefault="00505632" w:rsidP="00505632">
      <w:pPr>
        <w:pStyle w:val="Heading8"/>
        <w:jc w:val="left"/>
      </w:pPr>
      <w:r>
        <w:t xml:space="preserve">Cilj 2. Unapređenje diseminacije i kvalitete odnosa s korisnicima </w:t>
      </w:r>
    </w:p>
    <w:p w:rsidR="00505632" w:rsidRDefault="00505632" w:rsidP="00505632">
      <w:pPr>
        <w:pStyle w:val="Heading8"/>
        <w:jc w:val="left"/>
      </w:pPr>
      <w:r>
        <w:t>Opis provedbe cilja programa</w:t>
      </w:r>
    </w:p>
    <w:p w:rsidR="00505632" w:rsidRDefault="00505632" w:rsidP="00505632">
      <w:r>
        <w:t xml:space="preserve">Jedna od dužnosti Zavoda jest učinkovita i pravodobna priprema i diseminacija kvalitetnih statističkih pokazatelja koji korisnicima osiguravaju pouzdan izvor za donošenje odluka i usklađivanje svojih stavova na temelju činjenica. Budući da su potrebe korisnika najvažnije za daljnji razvoj sustava, naglasak je stavljen upravo na zadovoljavanje tih potreba, što se ostvaruje zajedničkim dogovorom korisnika i nositelja službene statistike te izgradnjom odnosa s korisnicima.  </w:t>
      </w:r>
    </w:p>
    <w:p w:rsidR="00505632" w:rsidRDefault="00505632" w:rsidP="00505632">
      <w:r>
        <w:t xml:space="preserve">Na temelju dobrih rezultata iz prethodne godine, u 2016. smo odlučili intenzivirati niz aktivnosti čiji je cilj popularizirati službenu statistiku – pojačali smo aktivnosti na postojećim društvenim mrežama (Facebook, Twitter) koje su postale važan komunikacijski kanal za diseminaciju službenih statističkih podataka, ali smo proširili obuhvat i na nove komunikacijske kanale te uveli nove načine diseminacije statističkih podataka. Pokrenut je YouTube kanal Zavoda na hrvatskom i engleskom jeziku, uvedene su izrade video materijala kao alata za jednostavniji i zanimljiviji grafički prikaz statističkih podataka, sustavno se pristupilo pripremi podataka i pisanju zanimljivih članaka povodom obilježavanja različitih međunarodnih, svjetskih i europskih dana, te je pokrenut projekt povećanja statističke pismenosti pod nazivom Mala škola statistike.  </w:t>
      </w:r>
    </w:p>
    <w:p w:rsidR="00505632" w:rsidRDefault="00505632" w:rsidP="00505632">
      <w:r>
        <w:t xml:space="preserve">Prijavili smo komunikacijski projekt Resta®t na natječaj za dodjelu priznanja najboljim komunikacijskim projektima u 2015. u organizaciji Hrvatske udruge za odnose s javnošću te ušli u finale za kategoriju javne uprave čime smo dokazali ponajprije sebi, ali i drugima da je Zavod prepoznat u javnosti kao institucija državne uprave koja intenzivno radi na razvijanju odnosa sa svojim korisnicima. </w:t>
      </w:r>
    </w:p>
    <w:p w:rsidR="00505632" w:rsidRDefault="00505632" w:rsidP="00505632">
      <w:r>
        <w:t xml:space="preserve">Posebnu smo pažnju posvetili radu s određenim ciljnim skupinama korisnika te osnovali korisnička vijeća za različita statistička područja (statistika stanovništva, tržišta rada, poljoprivrede, robne razmjene, statističkih infrastruktura), kako bi iz prve ruke dobili korisne informacije o potrebama i željama naših korisnika. Kroz organizaciju radionica za učenike srednjih škola i studente nastojali smo educirati mlađu populaciju koja će u skoroj budućnosti koristiti statističke podatke za donošenje važnih poslovnih odluka. </w:t>
      </w:r>
    </w:p>
    <w:p w:rsidR="00505632" w:rsidRDefault="00505632" w:rsidP="00505632">
      <w:r>
        <w:t xml:space="preserve">Uz pomoć vanjskog suradnika održali smo tri edukativne radionice pod nazivom ''Kako podacima dati smisao'' zaposlenicima Zavoda sa svrhom uvođenja jasnijih, informativnijih i zanimljivijih komentara i naslova u što veći broj Priopćenja kako bi korisnike zainteresirali i poticali njihov interes za statističkim podacima. U 2016. uveli smo takav način komunikacije službene statistike u tri priopćenja. </w:t>
      </w:r>
    </w:p>
    <w:p w:rsidR="00505632" w:rsidRDefault="00505632" w:rsidP="00505632">
      <w:r>
        <w:t xml:space="preserve">Nastavljeno je provođenje aktivnosti vezanih za redizajn internetskih stranica Zavoda. Povećao se obuhvat statističkih podataka objavljenih na internetskim stranicama koji su dostupni u formatima prilagođenim potrebama korisnika. Serije podataka u excel tablicama Statistike u nizu proširene su podacima za županije. Na taj je način korisnicima omogućena dostupnost većeg obuhvata statističkih podataka u elektroničkom obliku, dostupnost dužih vremenskih serija podataka te lakše i jednostavnije preuzimanje i korištenje podacima za individualne analize i dodatne izračune. Time se postiglo smanjenje broja upita i zahtjeva korisnika, skraćeno je vrijeme pripremanja podataka za objavljivanje u stručnim službama te istovremeno objavljivanje podataka u Priopćenjima i u Excel tablicama.  </w:t>
      </w:r>
    </w:p>
    <w:p w:rsidR="00505632" w:rsidRDefault="00505632" w:rsidP="00505632">
      <w:r>
        <w:t xml:space="preserve">Objavljivanjem većeg obuhvata podataka u Statistici u nizu, u 2016. ukazala se potreba ukidanja dijela publikacija pa je ukupan broj objavljenih publikacija pao na 423, što čini smanjenje od 11% u odnosu na prethodnu godinu i pridonosi daljnjoj modernizaciji načina na koji korisnici pristupaju podacima. </w:t>
      </w:r>
    </w:p>
    <w:p w:rsidR="00505632" w:rsidRDefault="00505632" w:rsidP="00505632">
      <w:r>
        <w:t xml:space="preserve">GeoStat RH portal koji sadrži prostornu i statističku povezanost proširen je podacima za sedam statističkih područja. Ova aplikacija omogućava kartografsko prezentiranje statističkih podataka na način da se odabrana prostorna razina kombinira s odabranim statističkim podacima, i to na vrlo detaljnoj razini. Korisnici neke odabrane pojave iz Popisa 2011. mogu pratiti čak na mikro razini ćelija 1 km2. Osim u standardnom obliku putem priopćenja i publikacija, statistički pokazatelji dostupni su sada i putem interaktivnih karti na kojima će svi zainteresirani moći prostorno pratiti kako se kreću pojedini statistički pokazatelji. Na taj način, unaprijeđeno je praćenje statističkih pokazatelja i harmonizirana razmjena statističkih pokazatelja s EU. </w:t>
      </w:r>
    </w:p>
    <w:p w:rsidR="00505632" w:rsidRDefault="00505632" w:rsidP="00505632">
      <w:r>
        <w:t xml:space="preserve">Kalendar objavljivanja statističkih podataka, koji sadrži precizne datume objavljivanja publikacija, proširen je datumima objavljivanja podatka u Statistici u nizu, GeoSTAT portalu i bazama podataka za one podatke koji su se objavljivali u 2016. </w:t>
      </w:r>
    </w:p>
    <w:p w:rsidR="00505632" w:rsidRDefault="00505632" w:rsidP="00505632">
      <w:r>
        <w:t xml:space="preserve">Naklada tiskanih obrazaca i uputa u 2016. nastavlja trend smanjivanja i otisnuto je 747.273 primjeraka što je 54% manje u odnosu na prethodnu godinu. Smanjenje naklada posljedica je modernizacije načina prikupljanja rezultata statističkih istraživanja putem obrazaca u elektroničkom obliku, telefonskog anketiranja te anketiranja kućanstava ovlaštenih anketara prijenosnim računalima. Zbog modernizacije načina provođenja statističkih istraživanja te činjenice da se broj tiskanih obrazaca drastično smanjio, ukinuta je offset tiskara. </w:t>
      </w:r>
    </w:p>
    <w:p w:rsidR="00505632" w:rsidRDefault="00505632" w:rsidP="00505632">
      <w:r>
        <w:t xml:space="preserve">Uz postizanje većeg stupnja zadovoljstva korisnika, upotrebom modernih informacijskih tehnologija, smanjenjem potrebe za tiskanjem publikacija te statističkih obrazaca i uputa postiže se daljnja racionalizacija troškova poslovanja. </w:t>
      </w:r>
    </w:p>
    <w:p w:rsidR="00505632" w:rsidRDefault="00505632" w:rsidP="00505632">
      <w:r>
        <w:t>U okviru rada na DIGICOM projektu Zavod je sudjelovao u pokretanju i pripremi sadržaja za Facebook stranicu European Statistics te se uključio u izradu sadržaja na Eurostatovom portalu za popularizaciju statističke pismenosti Staticstics4Beginners, na čijem sadržajnom uređivanju i dalje sudjelujemo.</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320"/>
        <w:gridCol w:w="2475"/>
        <w:gridCol w:w="978"/>
        <w:gridCol w:w="1002"/>
        <w:gridCol w:w="1425"/>
        <w:gridCol w:w="1002"/>
        <w:gridCol w:w="1004"/>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Smanjenjem opterećenosti davatelja podataka povećat će se zadovoljstvo  izvještajnih jedinica</w:t>
            </w:r>
          </w:p>
        </w:tc>
        <w:tc>
          <w:tcPr>
            <w:tcW w:w="2551" w:type="dxa"/>
          </w:tcPr>
          <w:p w:rsidR="00505632" w:rsidRDefault="00505632" w:rsidP="00AD4E52">
            <w:pPr>
              <w:pStyle w:val="CellColumn"/>
              <w:jc w:val="left"/>
            </w:pPr>
            <w:r>
              <w:rPr>
                <w:rFonts w:cs="Times New Roman"/>
              </w:rPr>
              <w:t>Dobivanje statističkih proizvoda na brži, učinkovitiji i usklađeniji način uz manje resursa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DZS i nositelji administrativnih podataka</w:t>
            </w:r>
          </w:p>
        </w:tc>
        <w:tc>
          <w:tcPr>
            <w:tcW w:w="1020" w:type="dxa"/>
          </w:tcPr>
          <w:p w:rsidR="00505632" w:rsidRDefault="00505632" w:rsidP="00AD4E52">
            <w:pPr>
              <w:pStyle w:val="CellColumn"/>
              <w:jc w:val="right"/>
            </w:pPr>
            <w:r>
              <w:rPr>
                <w:rFonts w:cs="Times New Roman"/>
              </w:rPr>
              <w:t>34</w:t>
            </w:r>
          </w:p>
        </w:tc>
        <w:tc>
          <w:tcPr>
            <w:tcW w:w="1020" w:type="dxa"/>
          </w:tcPr>
          <w:p w:rsidR="00505632" w:rsidRDefault="00505632" w:rsidP="00AD4E52">
            <w:pPr>
              <w:pStyle w:val="CellColumn"/>
              <w:jc w:val="right"/>
            </w:pPr>
            <w:r>
              <w:rPr>
                <w:rFonts w:cs="Times New Roman"/>
              </w:rPr>
              <w:t>32</w:t>
            </w:r>
          </w:p>
        </w:tc>
      </w:tr>
      <w:tr w:rsidR="00505632" w:rsidTr="00AD4E52">
        <w:trPr>
          <w:jc w:val="center"/>
        </w:trPr>
        <w:tc>
          <w:tcPr>
            <w:tcW w:w="2551" w:type="dxa"/>
          </w:tcPr>
          <w:p w:rsidR="00505632" w:rsidRDefault="00505632" w:rsidP="00AD4E52">
            <w:pPr>
              <w:pStyle w:val="CellColumn"/>
              <w:jc w:val="left"/>
            </w:pPr>
            <w:r>
              <w:rPr>
                <w:rFonts w:cs="Times New Roman"/>
              </w:rPr>
              <w:t>Porast indeksa zadovoljstva korisnika</w:t>
            </w:r>
          </w:p>
        </w:tc>
        <w:tc>
          <w:tcPr>
            <w:tcW w:w="2551" w:type="dxa"/>
          </w:tcPr>
          <w:p w:rsidR="00505632" w:rsidRDefault="00505632" w:rsidP="00AD4E52">
            <w:pPr>
              <w:pStyle w:val="CellColumn"/>
              <w:jc w:val="left"/>
            </w:pPr>
            <w:r>
              <w:rPr>
                <w:rFonts w:cs="Times New Roman"/>
              </w:rPr>
              <w:t>Provedenim istraživanjem/mjerenjem zadovoljstva korisnika  DZS-a pratiti tendenciju porasta indeksa zadovoljstva korisnika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25</w:t>
            </w:r>
          </w:p>
        </w:tc>
      </w:tr>
    </w:tbl>
    <w:p w:rsidR="00505632" w:rsidRDefault="00505632" w:rsidP="00505632">
      <w:pPr>
        <w:jc w:val="left"/>
      </w:pPr>
    </w:p>
    <w:p w:rsidR="00505632" w:rsidRDefault="00505632" w:rsidP="00505632">
      <w:pPr>
        <w:jc w:val="left"/>
      </w:pPr>
    </w:p>
    <w:p w:rsidR="00505632" w:rsidRDefault="00505632" w:rsidP="00505632">
      <w:pPr>
        <w:pStyle w:val="Heading4"/>
      </w:pPr>
      <w:r>
        <w:t>A658038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A658038-ADMINISTRACIJA I UPRAVLJANJE</w:t>
            </w:r>
          </w:p>
        </w:tc>
        <w:tc>
          <w:tcPr>
            <w:tcW w:w="2041" w:type="dxa"/>
          </w:tcPr>
          <w:p w:rsidR="00505632" w:rsidRDefault="00505632" w:rsidP="00AD4E52">
            <w:pPr>
              <w:pStyle w:val="CellColumn"/>
              <w:jc w:val="right"/>
            </w:pPr>
            <w:r>
              <w:rPr>
                <w:rFonts w:cs="Times New Roman"/>
              </w:rPr>
              <w:t>63.038.401</w:t>
            </w:r>
          </w:p>
        </w:tc>
        <w:tc>
          <w:tcPr>
            <w:tcW w:w="2041" w:type="dxa"/>
          </w:tcPr>
          <w:p w:rsidR="00505632" w:rsidRDefault="00505632" w:rsidP="00AD4E52">
            <w:pPr>
              <w:pStyle w:val="CellColumn"/>
              <w:jc w:val="right"/>
            </w:pPr>
            <w:r>
              <w:rPr>
                <w:rFonts w:cs="Times New Roman"/>
              </w:rPr>
              <w:t>66.585.385</w:t>
            </w:r>
          </w:p>
        </w:tc>
        <w:tc>
          <w:tcPr>
            <w:tcW w:w="2041" w:type="dxa"/>
          </w:tcPr>
          <w:p w:rsidR="00505632" w:rsidRDefault="00505632" w:rsidP="00AD4E52">
            <w:pPr>
              <w:pStyle w:val="CellColumn"/>
              <w:jc w:val="right"/>
            </w:pPr>
            <w:r>
              <w:rPr>
                <w:rFonts w:cs="Times New Roman"/>
              </w:rPr>
              <w:t>65.016.390</w:t>
            </w:r>
          </w:p>
        </w:tc>
        <w:tc>
          <w:tcPr>
            <w:tcW w:w="1224" w:type="dxa"/>
          </w:tcPr>
          <w:p w:rsidR="00505632" w:rsidRDefault="00505632" w:rsidP="00AD4E52">
            <w:pPr>
              <w:pStyle w:val="CellColumn"/>
              <w:jc w:val="right"/>
            </w:pPr>
            <w:r>
              <w:rPr>
                <w:rFonts w:cs="Times New Roman"/>
              </w:rPr>
              <w:t>97,6</w:t>
            </w:r>
          </w:p>
        </w:tc>
        <w:tc>
          <w:tcPr>
            <w:tcW w:w="1224" w:type="dxa"/>
          </w:tcPr>
          <w:p w:rsidR="00505632" w:rsidRDefault="00505632" w:rsidP="00AD4E52">
            <w:pPr>
              <w:pStyle w:val="CellColumn"/>
              <w:jc w:val="right"/>
            </w:pPr>
            <w:r>
              <w:rPr>
                <w:rFonts w:cs="Times New Roman"/>
              </w:rPr>
              <w:t>103,1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službenoj statistici (NN, br.103/03, 75/09, 59/12 i 12/13- pročišćeni tekst)</w:t>
      </w:r>
    </w:p>
    <w:p w:rsidR="00505632" w:rsidRDefault="00505632" w:rsidP="00505632">
      <w:pPr>
        <w:pStyle w:val="Heading8"/>
        <w:jc w:val="left"/>
      </w:pPr>
      <w:r>
        <w:t>Opis aktivnosti</w:t>
      </w:r>
    </w:p>
    <w:p w:rsidR="00505632" w:rsidRDefault="00505632" w:rsidP="00505632">
      <w:r>
        <w:t xml:space="preserve">Administracija i upravljanje osigurava obavljanje funkcionalne djelatnosti Zavoda u cilju harmonizacije statističkog sustava RH s pravnom stečevinom EU, obavljanje poslovanja na pravilan, ekonomičan, učinkovit i djelotvoran  način, usklađenost poslovanja sa zakonima, propisima i planovima, zaštita imovine i drugih resursa, nabavu roba i usluga, pravodobno financijsko izvješćivanje i praćenje rezultata poslovanja. Sredstvima planiranima na ovoj aktivnosti financirani su troškovi obavljanja redovite djelatnosti Zavoda. Najveći dio rashoda odnosi se na rashode za zaposlene, koji u ukupno izvršenim sredstvima aktivnosti iznose 84,20% tj. 54.745.596,98 kuna. Preostala izvršena sredstva odnose se na materijalne rashode potrebne za uredno i redovno obavljanje poslova i zadataka prema Programu statističkih istraživanja RH, naknade troškova zaposlenima (službena putovanja, naknade za prijevoz na posao i s posla, stručno usavršavanje i ostale naknade), rashode za materijal i energiju, uredski  materijal, rashode za usluge, rashode za tekuće i investicijsko održavanje, financijske rashode te rashode za nabavu  proizvedene dugotrajne imovine. </w:t>
      </w:r>
    </w:p>
    <w:p w:rsidR="00505632" w:rsidRDefault="00505632" w:rsidP="00505632">
      <w:r>
        <w:t>U okviru ove aktivnosti izvršeni su i rashodi osoba primljenih na stručno osposobljavanje za rad bez zasnivanja radnog odnosa, financirani iz Ostalih prihoda za posebne namjene.</w:t>
      </w:r>
    </w:p>
    <w:p w:rsidR="00505632" w:rsidRDefault="00505632" w:rsidP="00505632">
      <w:pPr>
        <w:pStyle w:val="Heading4"/>
      </w:pPr>
      <w:r>
        <w:t>A658063 PROCJENA BILJNE PROIZVODNJE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A658063-PROCJENA BILJNE PROIZVODNJE</w:t>
            </w:r>
          </w:p>
        </w:tc>
        <w:tc>
          <w:tcPr>
            <w:tcW w:w="2041" w:type="dxa"/>
          </w:tcPr>
          <w:p w:rsidR="00505632" w:rsidRDefault="00505632" w:rsidP="00AD4E52">
            <w:pPr>
              <w:pStyle w:val="CellColumn"/>
              <w:jc w:val="right"/>
            </w:pPr>
            <w:r>
              <w:rPr>
                <w:rFonts w:cs="Times New Roman"/>
              </w:rPr>
              <w:t>630.000</w:t>
            </w:r>
          </w:p>
        </w:tc>
        <w:tc>
          <w:tcPr>
            <w:tcW w:w="2041" w:type="dxa"/>
          </w:tcPr>
          <w:p w:rsidR="00505632" w:rsidRDefault="00505632" w:rsidP="00AD4E52">
            <w:pPr>
              <w:pStyle w:val="CellColumn"/>
              <w:jc w:val="right"/>
            </w:pPr>
            <w:r>
              <w:rPr>
                <w:rFonts w:cs="Times New Roman"/>
              </w:rPr>
              <w:t>357.113</w:t>
            </w:r>
          </w:p>
        </w:tc>
        <w:tc>
          <w:tcPr>
            <w:tcW w:w="2041" w:type="dxa"/>
          </w:tcPr>
          <w:p w:rsidR="00505632" w:rsidRDefault="00505632" w:rsidP="00AD4E52">
            <w:pPr>
              <w:pStyle w:val="CellColumn"/>
              <w:jc w:val="right"/>
            </w:pPr>
            <w:r>
              <w:rPr>
                <w:rFonts w:cs="Times New Roman"/>
              </w:rPr>
              <w:t>357.113</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56,7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službenoj statistici (Narodne novine, br. 103/03, 75/09, 59/12 i 12/13 - pročišćeni tekst); </w:t>
      </w:r>
    </w:p>
    <w:p w:rsidR="00505632" w:rsidRDefault="00505632" w:rsidP="00505632">
      <w:r>
        <w:t xml:space="preserve">Uredba (EZ) br. 543/2009 Europskog parlamenta i Vijeća od 18. lipnja 2009.o statistici usjeva i stavljanju izvan snage uredaba Vijeća (EEZ) br. 837/90 i (EEZ) br. 959/93;  </w:t>
      </w:r>
    </w:p>
    <w:p w:rsidR="00505632" w:rsidRDefault="00505632" w:rsidP="00505632">
      <w:r>
        <w:t xml:space="preserve">Uredba (EU) br.1337/2011 Europskog parlamenta i Vijeća od 13. prosinca 2011. o europskoj statistici o trajnim nasadima i stavljanju izvan snage Uredbe Vijeća (EEZ) br. 357/79 i Direktive 2001/109/EZ Europskog parlamenta i Vijeća; </w:t>
      </w:r>
    </w:p>
    <w:p w:rsidR="00505632" w:rsidRDefault="00505632" w:rsidP="00505632">
      <w:r>
        <w:t>Uredba Europskog parlamenta i Vijeća  (EZ) br. 1166/2008 o Istraživanju o strukturi  poljoprivrednih gospodarstava i metodama poljoprivredne proizvodnje (FSS i SAPM)</w:t>
      </w:r>
    </w:p>
    <w:p w:rsidR="00505632" w:rsidRDefault="00505632" w:rsidP="00505632">
      <w:pPr>
        <w:pStyle w:val="Heading8"/>
        <w:jc w:val="left"/>
      </w:pPr>
      <w:r>
        <w:t>Opis aktivnosti</w:t>
      </w:r>
    </w:p>
    <w:p w:rsidR="00505632" w:rsidRDefault="00505632" w:rsidP="00505632">
      <w:r>
        <w:t xml:space="preserve">Anketom se prikupljaju podaci o površinama i prirodima na obiteljskim poljoprivrednim gospodarstvima. Podaci koji se dobiju temeljem ankete na uzorku na obiteljskim poljoprivrednim gospodarstvima jedini su podaci s kojima raspolažemo o prirodima ranih i kasnih usjeva, voća, grožđa, maslina i južnog voća i jesenskoj sjetvi na obiteljskim poljoprivrednim gospodarstvima. </w:t>
      </w:r>
    </w:p>
    <w:p w:rsidR="00505632" w:rsidRDefault="00505632" w:rsidP="00505632">
      <w:r>
        <w:t xml:space="preserve">U 2016. godini provedene su sljedeće ankete: istraživanje o prirodima ranih usjeva i voća, prirodima kasnih usjeva i voća te alternativno istraživanje o jesenskoj sjetvi za kontinentalnu Hrvatsku i prirodi južnog voća i maslina za Jadransku regiju. Rashodi se odnose na intelektualne i osobne usluge (vanjski suradnici- anketari). </w:t>
      </w:r>
    </w:p>
    <w:p w:rsidR="00505632" w:rsidRDefault="00505632" w:rsidP="00505632">
      <w:r>
        <w:t>Modernizacijom prikupljanja podataka uvođenjem telefonske metode anketiranja na obiteljskim poljoprivrednim gospodarstvima o požnjevenim površinama i ostvarenim prirodima ranih usjeva i voća, zasijanim površinama u jesenskoj sjetvi i potrošnji mineralnih gnojiva te ostvarenim prirodima južnog voća i maslina u 2014. te modernizacija prikupljanja podataka uvođenjem metode anketiranja obiteljskih poljoprivrednih gospodarstava uz pomoć računala (CAPI - Computer Assisted Personal Interview) za Istraživanje o ostvarenim prirodima kasnih usjeva, voća i grožđa, stanje 10. studenoga 2016. rezultiralo je smanjenjem rashoda za intelektualne i osobne usluge (vanjski suradnici- anketari).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Postotak uspješno anketiranih kućanstava</w:t>
            </w:r>
          </w:p>
        </w:tc>
        <w:tc>
          <w:tcPr>
            <w:tcW w:w="2551" w:type="dxa"/>
          </w:tcPr>
          <w:p w:rsidR="00505632" w:rsidRDefault="00505632" w:rsidP="00AD4E52">
            <w:pPr>
              <w:pStyle w:val="CellColumn"/>
              <w:jc w:val="left"/>
            </w:pPr>
            <w:r>
              <w:rPr>
                <w:rFonts w:cs="Times New Roman"/>
              </w:rPr>
              <w:t>Pouzdani podaci o površinama i prirodima na obiteljskim poljoprivrednim gospodarstvima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85</w:t>
            </w:r>
          </w:p>
        </w:tc>
        <w:tc>
          <w:tcPr>
            <w:tcW w:w="1020" w:type="dxa"/>
          </w:tcPr>
          <w:p w:rsidR="00505632" w:rsidRDefault="00505632" w:rsidP="00AD4E52">
            <w:pPr>
              <w:pStyle w:val="CellColumn"/>
              <w:jc w:val="right"/>
            </w:pPr>
            <w:r>
              <w:rPr>
                <w:rFonts w:cs="Times New Roman"/>
              </w:rPr>
              <w:t>87</w:t>
            </w:r>
          </w:p>
        </w:tc>
      </w:tr>
      <w:tr w:rsidR="00505632" w:rsidTr="00AD4E52">
        <w:trPr>
          <w:jc w:val="center"/>
        </w:trPr>
        <w:tc>
          <w:tcPr>
            <w:tcW w:w="2551" w:type="dxa"/>
          </w:tcPr>
          <w:p w:rsidR="00505632" w:rsidRDefault="00505632" w:rsidP="00AD4E52">
            <w:pPr>
              <w:pStyle w:val="CellColumn"/>
              <w:jc w:val="left"/>
            </w:pPr>
            <w:r>
              <w:rPr>
                <w:rFonts w:cs="Times New Roman"/>
              </w:rPr>
              <w:t>Smanjena stopa neodgovora</w:t>
            </w:r>
          </w:p>
        </w:tc>
        <w:tc>
          <w:tcPr>
            <w:tcW w:w="2551" w:type="dxa"/>
          </w:tcPr>
          <w:p w:rsidR="00505632" w:rsidRDefault="00505632" w:rsidP="00AD4E52">
            <w:pPr>
              <w:pStyle w:val="CellColumn"/>
              <w:jc w:val="left"/>
            </w:pPr>
            <w:r>
              <w:rPr>
                <w:rFonts w:cs="Times New Roman"/>
              </w:rPr>
              <w:t>Radi pouzdanijih podataka smanjiti stopu neodgovora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15</w:t>
            </w:r>
          </w:p>
        </w:tc>
        <w:tc>
          <w:tcPr>
            <w:tcW w:w="1020" w:type="dxa"/>
          </w:tcPr>
          <w:p w:rsidR="00505632" w:rsidRDefault="00505632" w:rsidP="00AD4E52">
            <w:pPr>
              <w:pStyle w:val="CellColumn"/>
              <w:jc w:val="right"/>
            </w:pPr>
            <w:r>
              <w:rPr>
                <w:rFonts w:cs="Times New Roman"/>
              </w:rPr>
              <w:t>13</w:t>
            </w:r>
          </w:p>
        </w:tc>
      </w:tr>
    </w:tbl>
    <w:p w:rsidR="00505632" w:rsidRDefault="00505632" w:rsidP="00505632">
      <w:pPr>
        <w:jc w:val="left"/>
      </w:pPr>
    </w:p>
    <w:p w:rsidR="00505632" w:rsidRDefault="00505632" w:rsidP="00505632">
      <w:pPr>
        <w:pStyle w:val="Heading4"/>
      </w:pPr>
      <w:r>
        <w:t>A658069 STATISTIKA GRAĐEVINARSTVA I STANOVANJA</w:t>
      </w:r>
    </w:p>
    <w:tbl>
      <w:tblPr>
        <w:tblStyle w:val="StilTablice"/>
        <w:tblW w:w="10206" w:type="dxa"/>
        <w:jc w:val="center"/>
        <w:tblLook w:val="04A0" w:firstRow="1" w:lastRow="0" w:firstColumn="1" w:lastColumn="0" w:noHBand="0" w:noVBand="1"/>
      </w:tblPr>
      <w:tblGrid>
        <w:gridCol w:w="1959"/>
        <w:gridCol w:w="1946"/>
        <w:gridCol w:w="1940"/>
        <w:gridCol w:w="1946"/>
        <w:gridCol w:w="1203"/>
        <w:gridCol w:w="121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A658069-STATISTIKA GRAĐEVINARSTVA I STANOVANJA</w:t>
            </w:r>
          </w:p>
        </w:tc>
        <w:tc>
          <w:tcPr>
            <w:tcW w:w="2041" w:type="dxa"/>
          </w:tcPr>
          <w:p w:rsidR="00505632" w:rsidRDefault="00505632" w:rsidP="00AD4E52">
            <w:pPr>
              <w:pStyle w:val="CellColumn"/>
              <w:jc w:val="right"/>
            </w:pPr>
            <w:r>
              <w:rPr>
                <w:rFonts w:cs="Times New Roman"/>
              </w:rPr>
              <w:t>507.719</w:t>
            </w:r>
          </w:p>
        </w:tc>
        <w:tc>
          <w:tcPr>
            <w:tcW w:w="2041" w:type="dxa"/>
          </w:tcPr>
          <w:p w:rsidR="00505632" w:rsidRDefault="00505632" w:rsidP="00AD4E52">
            <w:pPr>
              <w:pStyle w:val="CellColumn"/>
              <w:jc w:val="right"/>
            </w:pPr>
            <w:r>
              <w:rPr>
                <w:rFonts w:cs="Times New Roman"/>
              </w:rPr>
              <w:t>450.000</w:t>
            </w:r>
          </w:p>
        </w:tc>
        <w:tc>
          <w:tcPr>
            <w:tcW w:w="2041" w:type="dxa"/>
          </w:tcPr>
          <w:p w:rsidR="00505632" w:rsidRDefault="00505632" w:rsidP="00AD4E52">
            <w:pPr>
              <w:pStyle w:val="CellColumn"/>
              <w:jc w:val="right"/>
            </w:pPr>
            <w:r>
              <w:rPr>
                <w:rFonts w:cs="Times New Roman"/>
              </w:rPr>
              <w:t>428.339</w:t>
            </w:r>
          </w:p>
        </w:tc>
        <w:tc>
          <w:tcPr>
            <w:tcW w:w="1224" w:type="dxa"/>
          </w:tcPr>
          <w:p w:rsidR="00505632" w:rsidRDefault="00505632" w:rsidP="00AD4E52">
            <w:pPr>
              <w:pStyle w:val="CellColumn"/>
              <w:jc w:val="right"/>
            </w:pPr>
            <w:r>
              <w:rPr>
                <w:rFonts w:cs="Times New Roman"/>
              </w:rPr>
              <w:t>95,2</w:t>
            </w:r>
          </w:p>
        </w:tc>
        <w:tc>
          <w:tcPr>
            <w:tcW w:w="1224" w:type="dxa"/>
          </w:tcPr>
          <w:p w:rsidR="00505632" w:rsidRDefault="00505632" w:rsidP="00AD4E52">
            <w:pPr>
              <w:pStyle w:val="CellColumn"/>
              <w:jc w:val="right"/>
            </w:pPr>
            <w:r>
              <w:rPr>
                <w:rFonts w:cs="Times New Roman"/>
              </w:rPr>
              <w:t>84,4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službenoj statistici (Narodne novine, br. 103/03, 75/09, 59/12 i 12/13 - pročišćeni tekst)</w:t>
      </w:r>
    </w:p>
    <w:p w:rsidR="00505632" w:rsidRDefault="00505632" w:rsidP="00505632">
      <w:pPr>
        <w:pStyle w:val="Heading8"/>
        <w:jc w:val="left"/>
      </w:pPr>
      <w:r>
        <w:t>Opis aktivnosti</w:t>
      </w:r>
    </w:p>
    <w:p w:rsidR="00505632" w:rsidRDefault="00505632" w:rsidP="00505632">
      <w:r>
        <w:t>Glavni cilj ove aktivnosti je dobivanje podataka o završenim zgradama i stanovima, a rashodi se odnose na intelektualne i osobne usluge (vanjski suradnici – sudionici popisa u županijama i Gradu Zagrebu). Kako o toj pojavi nema cjelovitog administrativnog ili nekog drugog izvora podataka, podaci se prikupljaju popisom završenih zgrada na području svake županije i Grada Zagreba. Osnova za popis su podaci o izdanim građevinskim dozvolama. Svi poslovi izvršeni su u cijelosti i u planiranim rokovima.</w:t>
      </w:r>
    </w:p>
    <w:p w:rsidR="00505632" w:rsidRDefault="00505632" w:rsidP="00505632"/>
    <w:p w:rsidR="00505632" w:rsidRDefault="00505632" w:rsidP="00505632"/>
    <w:p w:rsidR="00505632" w:rsidRDefault="00505632" w:rsidP="00505632">
      <w:pPr>
        <w:pStyle w:val="Heading4"/>
      </w:pPr>
      <w:r>
        <w:t>A658107 STATISTIKA TRŽIŠTA RADA I ANKETA O RADNOJ SNAZI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A658107-STATISTIKA TRŽIŠTA RADA I ANKETA O RADNOJ SNAZI</w:t>
            </w:r>
          </w:p>
        </w:tc>
        <w:tc>
          <w:tcPr>
            <w:tcW w:w="2041" w:type="dxa"/>
          </w:tcPr>
          <w:p w:rsidR="00505632" w:rsidRDefault="00505632" w:rsidP="00AD4E52">
            <w:pPr>
              <w:pStyle w:val="CellColumn"/>
              <w:jc w:val="right"/>
            </w:pPr>
            <w:r>
              <w:rPr>
                <w:rFonts w:cs="Times New Roman"/>
              </w:rPr>
              <w:t>652.128</w:t>
            </w:r>
          </w:p>
        </w:tc>
        <w:tc>
          <w:tcPr>
            <w:tcW w:w="2041" w:type="dxa"/>
          </w:tcPr>
          <w:p w:rsidR="00505632" w:rsidRDefault="00505632" w:rsidP="00AD4E52">
            <w:pPr>
              <w:pStyle w:val="CellColumn"/>
              <w:jc w:val="right"/>
            </w:pPr>
            <w:r>
              <w:rPr>
                <w:rFonts w:cs="Times New Roman"/>
              </w:rPr>
              <w:t>619.297</w:t>
            </w:r>
          </w:p>
        </w:tc>
        <w:tc>
          <w:tcPr>
            <w:tcW w:w="2041" w:type="dxa"/>
          </w:tcPr>
          <w:p w:rsidR="00505632" w:rsidRDefault="00505632" w:rsidP="00AD4E52">
            <w:pPr>
              <w:pStyle w:val="CellColumn"/>
              <w:jc w:val="right"/>
            </w:pPr>
            <w:r>
              <w:rPr>
                <w:rFonts w:cs="Times New Roman"/>
              </w:rPr>
              <w:t>619.297</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95,0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službenoj statistici (N.N. 103/03,75/09, 59/12 i 12/13 – pročišćeni tekst)  </w:t>
      </w:r>
    </w:p>
    <w:p w:rsidR="00505632" w:rsidRDefault="00505632" w:rsidP="00505632">
      <w:r>
        <w:t xml:space="preserve">UREDBA Vijeća (EZ) br. 577/98 od 9. ožujka 1998. o organizaciji Ankete o radnoj snazi na uzorku u Zajednici (SL L 77, 14.3.1998.) </w:t>
      </w:r>
    </w:p>
    <w:p w:rsidR="00505632" w:rsidRDefault="00505632" w:rsidP="00505632">
      <w:r>
        <w:t xml:space="preserve">UREDBA Komisije (EZ) br. 377/2008 od 25. travnja 2008.o provedbi Uredbe Vijeća (EZ) br. 577/98 o provedbi ankete o radnoj snazi na uzorku u Zajednici u pogledu šifriranja koje od 2009. treba koristiti za prijenos podataka, korištenju poduzorka za prikupljanje podataka o strukturnim varijablama i definiciji referentnih tromjesečja (SL L 114, 26.4.2008.) </w:t>
      </w:r>
    </w:p>
    <w:p w:rsidR="00505632" w:rsidRDefault="00505632" w:rsidP="00505632">
      <w:r>
        <w:t xml:space="preserve">UREDBA Komisije (EU) br. 318/2013 od 8. travnja 2013. o donošenju programa ad hoc modula za razdoblje od 2016. do 2018. za Anketu o radnoj snazi na uzorku predviđenu Uredbom Vijeća (EZ) br. 577/98 (SL L 99, 9.4.2013.) </w:t>
      </w:r>
    </w:p>
    <w:p w:rsidR="00505632" w:rsidRDefault="00505632" w:rsidP="00505632">
      <w:r>
        <w:t>UREDBA (EU) br. 545/2014 Europskog parlamenta i Vijeća od 15. svibnja 2014. o izmjeni Uredbe Vijeća (EZ) br. 577/98 o organizaciji ankete o radnoj snazi na uzorku u Zajednici (SL L 163, 19.5.2014.)</w:t>
      </w:r>
    </w:p>
    <w:p w:rsidR="00505632" w:rsidRDefault="00505632" w:rsidP="00505632">
      <w:pPr>
        <w:pStyle w:val="Heading8"/>
        <w:jc w:val="left"/>
      </w:pPr>
      <w:r>
        <w:t>Opis aktivnosti</w:t>
      </w:r>
    </w:p>
    <w:p w:rsidR="00505632" w:rsidRDefault="00505632" w:rsidP="00505632">
      <w:r>
        <w:t xml:space="preserve">Anketom o radnoj snazi prikupljamo podatke o ekonomski aktivnom stanovništvu ili o radnoj snazi u Hrvatskoj prema preporukama Međunarodne organizacije rada (International Labour Organisation – ILO). Radnu snagu čine sve osobe koje rade ili traže posao radi stjecanja sredstava za život. Stoga su glavne kategorije koje se istražuju ukupna zaposlenost, nezaposlenost te demografske, obrazovne, socio-ekonomske i druge karakteristike pojedinaca koji se nalaze u svakoj od pojedinih skupina. </w:t>
      </w:r>
    </w:p>
    <w:p w:rsidR="00505632" w:rsidRDefault="00505632" w:rsidP="00505632">
      <w:r>
        <w:t xml:space="preserve">Glavni je cilj ankete dobiti uvid u ponašanje pojedinih skupina na tržištu rada na način koji omogućuje primjenu modernih metoda analize s bilo kojeg znanstvenog područja: ekonomije, sociologije, psihologije i drugih. Jedan je od glavnih ciljeva ankete da se pri definiranju ukupne zaposlenosti i nezaposlenosti primjene međunarodni standardi kako bi se te kategorije mogle uspoređivati s istovjetnim kategorijama u drugim zemljama, osobito europskim zemljama. Anketa se i u postupcima izbora uzorka i pri definiranju upitnika oslanja na preporuke Međunarodne organizacije rada. </w:t>
      </w:r>
    </w:p>
    <w:p w:rsidR="00505632" w:rsidRDefault="00505632" w:rsidP="00505632">
      <w:r>
        <w:t>U 2016. kontinuirano se tijekom cijele godine provodila Anketa o radnoj snazi u skladu s metodološkim pravilima i načelima Međunarodne organizacije rada i Europskoga statističkog ureda (Eurostata). Veličina uzorka je 5.600 izabranih adresa u jednom tromjesečju, odnosno 22.400 izabranih adresa za 2016. godinu. Podaci su redovito prikupljeni, obrađeni i objavljeni prema zadanim rokovima u Programu publiciranja. Rashodi se odnose na intelektualne i osobne usluge (vanjski suradnici - anketari).</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Postotak uspješno anketiranih kućanstava</w:t>
            </w:r>
          </w:p>
        </w:tc>
        <w:tc>
          <w:tcPr>
            <w:tcW w:w="2551" w:type="dxa"/>
          </w:tcPr>
          <w:p w:rsidR="00505632" w:rsidRDefault="00505632" w:rsidP="00AD4E52">
            <w:pPr>
              <w:pStyle w:val="CellColumn"/>
              <w:jc w:val="left"/>
            </w:pPr>
            <w:r>
              <w:rPr>
                <w:rFonts w:cs="Times New Roman"/>
              </w:rPr>
              <w:t>Prikupljanje podataka o ekonomski aktivnom stanovništvu ili o radnoj snazi u Republici Hrvatskoj</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65</w:t>
            </w:r>
          </w:p>
        </w:tc>
        <w:tc>
          <w:tcPr>
            <w:tcW w:w="1020" w:type="dxa"/>
          </w:tcPr>
          <w:p w:rsidR="00505632" w:rsidRDefault="00505632" w:rsidP="00AD4E52">
            <w:pPr>
              <w:pStyle w:val="CellColumn"/>
              <w:jc w:val="right"/>
            </w:pPr>
            <w:r>
              <w:rPr>
                <w:rFonts w:cs="Times New Roman"/>
              </w:rPr>
              <w:t>68</w:t>
            </w:r>
          </w:p>
        </w:tc>
      </w:tr>
      <w:tr w:rsidR="00505632" w:rsidTr="00AD4E52">
        <w:trPr>
          <w:jc w:val="center"/>
        </w:trPr>
        <w:tc>
          <w:tcPr>
            <w:tcW w:w="2551" w:type="dxa"/>
          </w:tcPr>
          <w:p w:rsidR="00505632" w:rsidRDefault="00505632" w:rsidP="00AD4E52">
            <w:pPr>
              <w:pStyle w:val="CellColumn"/>
              <w:jc w:val="left"/>
            </w:pPr>
            <w:r>
              <w:rPr>
                <w:rFonts w:cs="Times New Roman"/>
              </w:rPr>
              <w:t>Smanjiti stopu neodgovora</w:t>
            </w:r>
          </w:p>
        </w:tc>
        <w:tc>
          <w:tcPr>
            <w:tcW w:w="2551" w:type="dxa"/>
          </w:tcPr>
          <w:p w:rsidR="00505632" w:rsidRDefault="00505632" w:rsidP="00AD4E52">
            <w:pPr>
              <w:pStyle w:val="CellColumn"/>
              <w:jc w:val="left"/>
            </w:pPr>
            <w:r>
              <w:rPr>
                <w:rFonts w:cs="Times New Roman"/>
              </w:rPr>
              <w:t>Radi pouzdanijih podataka smanjiti stopu neodgovora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DZS</w:t>
            </w:r>
          </w:p>
        </w:tc>
        <w:tc>
          <w:tcPr>
            <w:tcW w:w="1020" w:type="dxa"/>
          </w:tcPr>
          <w:p w:rsidR="00505632" w:rsidRDefault="00505632" w:rsidP="00AD4E52">
            <w:pPr>
              <w:pStyle w:val="CellColumn"/>
              <w:jc w:val="right"/>
            </w:pPr>
            <w:r>
              <w:rPr>
                <w:rFonts w:cs="Times New Roman"/>
              </w:rPr>
              <w:t>35</w:t>
            </w:r>
          </w:p>
        </w:tc>
        <w:tc>
          <w:tcPr>
            <w:tcW w:w="1020" w:type="dxa"/>
          </w:tcPr>
          <w:p w:rsidR="00505632" w:rsidRDefault="00505632" w:rsidP="00AD4E52">
            <w:pPr>
              <w:pStyle w:val="CellColumn"/>
              <w:jc w:val="right"/>
            </w:pPr>
            <w:r>
              <w:rPr>
                <w:rFonts w:cs="Times New Roman"/>
              </w:rPr>
              <w:t>32</w:t>
            </w:r>
          </w:p>
        </w:tc>
      </w:tr>
    </w:tbl>
    <w:p w:rsidR="00505632" w:rsidRDefault="00505632" w:rsidP="00505632">
      <w:pPr>
        <w:jc w:val="left"/>
      </w:pPr>
    </w:p>
    <w:p w:rsidR="00505632" w:rsidRDefault="00505632" w:rsidP="00505632">
      <w:pPr>
        <w:pStyle w:val="Heading4"/>
      </w:pPr>
      <w:r>
        <w:t>A658151 ISTRAŽIVANJE O OBRAZOVANJU ODRASLIH</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A658151-ISTRAŽIVANJE O OBRAZOVANJU ODRASLIH</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340.000</w:t>
            </w:r>
          </w:p>
        </w:tc>
        <w:tc>
          <w:tcPr>
            <w:tcW w:w="2041" w:type="dxa"/>
          </w:tcPr>
          <w:p w:rsidR="00505632" w:rsidRDefault="00505632" w:rsidP="00AD4E52">
            <w:pPr>
              <w:pStyle w:val="CellColumn"/>
              <w:jc w:val="right"/>
            </w:pPr>
            <w:r>
              <w:rPr>
                <w:rFonts w:cs="Times New Roman"/>
              </w:rPr>
              <w:t>335.242</w:t>
            </w:r>
          </w:p>
        </w:tc>
        <w:tc>
          <w:tcPr>
            <w:tcW w:w="1224" w:type="dxa"/>
          </w:tcPr>
          <w:p w:rsidR="00505632" w:rsidRDefault="00505632" w:rsidP="00AD4E52">
            <w:pPr>
              <w:pStyle w:val="CellColumn"/>
              <w:jc w:val="right"/>
            </w:pPr>
            <w:r>
              <w:rPr>
                <w:rFonts w:cs="Times New Roman"/>
              </w:rPr>
              <w:t>98,6</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službenoj statistici (Narodne novine, br. 103/03, 75/09, 59/12 i 12/13 - pročišćeni tekst) </w:t>
      </w:r>
    </w:p>
    <w:p w:rsidR="00505632" w:rsidRDefault="00505632" w:rsidP="00505632">
      <w:r>
        <w:t>Uredba Komisije br. 823/2010</w:t>
      </w:r>
    </w:p>
    <w:p w:rsidR="00505632" w:rsidRDefault="00505632" w:rsidP="00505632">
      <w:pPr>
        <w:pStyle w:val="Heading8"/>
        <w:jc w:val="left"/>
      </w:pPr>
      <w:r>
        <w:t>Opis aktivnosti</w:t>
      </w:r>
    </w:p>
    <w:p w:rsidR="00505632" w:rsidRDefault="00505632" w:rsidP="00505632">
      <w:r>
        <w:t xml:space="preserve">Cilj istraživanja je prikupiti podatke o sudjelovanju osoba u dobi od 25 do 64 godine u formalnom, neformalnom obrazovanju i informalnom učenju. </w:t>
      </w:r>
    </w:p>
    <w:p w:rsidR="00505632" w:rsidRDefault="00505632" w:rsidP="00505632">
      <w:r>
        <w:t xml:space="preserve">Glavne kategorije koje se istražuju su podaci o kućanstvu, podaci o pojedincu uključujući demografske podatke, uspješno završeno obrazovanje i usavršavanje, nezavršeno obrazovanje i usavršavanje, osnovni podaci o zaposlenosti, karakteristike glavnog posla, prihod, sudjelovanje u obrazovanju i usavršavanju– formalno i neformalno obrazovanje, prepreke sudjelovanju u obrazovanju, informalno učenje, korištenje informacijskih tehnologija, jezične vještine, sudjelovanje u kulturi, stav prema učenju.  </w:t>
      </w:r>
    </w:p>
    <w:p w:rsidR="00505632" w:rsidRDefault="00505632" w:rsidP="00505632">
      <w:r>
        <w:t xml:space="preserve">Istraživanje se provodi prema metodologiji Eurostata (AES Manual), u petogodišnjoj periodici, na uzorku od otprilike 5000 pojedinaca, a obvezujuće je prema Uredbi (EZ) br. 452/2008 o izradi i razvoju statistike o obrazovanju i cjeloživotnom učenju te njezinim izmjenama (EU) br. 823/2010 i (EU) br. 1175/2014. </w:t>
      </w:r>
    </w:p>
    <w:p w:rsidR="00505632" w:rsidRDefault="00505632" w:rsidP="00505632">
      <w:r>
        <w:t>Planirani rashodi odnose se na intelektualne i osobne usluge (vanjski suradnici - anketari).</w:t>
      </w:r>
    </w:p>
    <w:p w:rsidR="00505632" w:rsidRDefault="00505632" w:rsidP="00505632">
      <w:pPr>
        <w:pStyle w:val="Heading4"/>
      </w:pPr>
      <w:r>
        <w:t>K658035 INFORMATIZACIJA ZAVODA</w:t>
      </w:r>
    </w:p>
    <w:tbl>
      <w:tblPr>
        <w:tblStyle w:val="StilTablice"/>
        <w:tblW w:w="10206" w:type="dxa"/>
        <w:jc w:val="center"/>
        <w:tblLook w:val="04A0" w:firstRow="1" w:lastRow="0" w:firstColumn="1" w:lastColumn="0" w:noHBand="0" w:noVBand="1"/>
      </w:tblPr>
      <w:tblGrid>
        <w:gridCol w:w="1914"/>
        <w:gridCol w:w="1958"/>
        <w:gridCol w:w="1958"/>
        <w:gridCol w:w="1958"/>
        <w:gridCol w:w="1205"/>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K658035-INFORMATIZACIJA ZAVODA</w:t>
            </w:r>
          </w:p>
        </w:tc>
        <w:tc>
          <w:tcPr>
            <w:tcW w:w="2041" w:type="dxa"/>
          </w:tcPr>
          <w:p w:rsidR="00505632" w:rsidRDefault="00505632" w:rsidP="00AD4E52">
            <w:pPr>
              <w:pStyle w:val="CellColumn"/>
              <w:jc w:val="right"/>
            </w:pPr>
            <w:r>
              <w:rPr>
                <w:rFonts w:cs="Times New Roman"/>
              </w:rPr>
              <w:t>6.623.986</w:t>
            </w:r>
          </w:p>
        </w:tc>
        <w:tc>
          <w:tcPr>
            <w:tcW w:w="2041" w:type="dxa"/>
          </w:tcPr>
          <w:p w:rsidR="00505632" w:rsidRDefault="00505632" w:rsidP="00AD4E52">
            <w:pPr>
              <w:pStyle w:val="CellColumn"/>
              <w:jc w:val="right"/>
            </w:pPr>
            <w:r>
              <w:rPr>
                <w:rFonts w:cs="Times New Roman"/>
              </w:rPr>
              <w:t>5.428.107</w:t>
            </w:r>
          </w:p>
        </w:tc>
        <w:tc>
          <w:tcPr>
            <w:tcW w:w="2041" w:type="dxa"/>
          </w:tcPr>
          <w:p w:rsidR="00505632" w:rsidRDefault="00505632" w:rsidP="00AD4E52">
            <w:pPr>
              <w:pStyle w:val="CellColumn"/>
              <w:jc w:val="right"/>
            </w:pPr>
            <w:r>
              <w:rPr>
                <w:rFonts w:cs="Times New Roman"/>
              </w:rPr>
              <w:t>4.724.561</w:t>
            </w:r>
          </w:p>
        </w:tc>
        <w:tc>
          <w:tcPr>
            <w:tcW w:w="1224" w:type="dxa"/>
          </w:tcPr>
          <w:p w:rsidR="00505632" w:rsidRDefault="00505632" w:rsidP="00AD4E52">
            <w:pPr>
              <w:pStyle w:val="CellColumn"/>
              <w:jc w:val="right"/>
            </w:pPr>
            <w:r>
              <w:rPr>
                <w:rFonts w:cs="Times New Roman"/>
              </w:rPr>
              <w:t>87,0</w:t>
            </w:r>
          </w:p>
        </w:tc>
        <w:tc>
          <w:tcPr>
            <w:tcW w:w="1224" w:type="dxa"/>
          </w:tcPr>
          <w:p w:rsidR="00505632" w:rsidRDefault="00505632" w:rsidP="00AD4E52">
            <w:pPr>
              <w:pStyle w:val="CellColumn"/>
              <w:jc w:val="right"/>
            </w:pPr>
            <w:r>
              <w:rPr>
                <w:rFonts w:cs="Times New Roman"/>
              </w:rPr>
              <w:t>71,3</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službenoj statistici (N.N. 103/03,75/09, 59/12 i 12/13 – pročišćeni tekst)</w:t>
      </w:r>
    </w:p>
    <w:p w:rsidR="00505632" w:rsidRDefault="00505632" w:rsidP="00505632">
      <w:pPr>
        <w:pStyle w:val="Heading8"/>
        <w:jc w:val="left"/>
      </w:pPr>
      <w:r>
        <w:t>Opis aktivnosti</w:t>
      </w:r>
    </w:p>
    <w:p w:rsidR="00505632" w:rsidRDefault="00505632" w:rsidP="00505632">
      <w:r>
        <w:t>U okviru kapitalnog projekta planirane su usluge tekućeg i investicijskog održavanja aplikacija, sklopovske i programske opreme, informatičke i komunikacijske opreme, računalne usluge, zatim usluge najma licenci, ulaganja u računalne programe i dodatnu nadogradnju programa te rashodi za nabavu informatičke i komunikacijske opreme.</w:t>
      </w:r>
    </w:p>
    <w:p w:rsidR="00505632" w:rsidRDefault="00505632" w:rsidP="00505632">
      <w:pPr>
        <w:pStyle w:val="Heading4"/>
      </w:pPr>
      <w:r>
        <w:t>T658132 IPA I 2011- TEHNIČKA POMOĆ</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T658132-IPA I 2011- TEHNIČKA POMOĆ</w:t>
            </w:r>
          </w:p>
        </w:tc>
        <w:tc>
          <w:tcPr>
            <w:tcW w:w="2041" w:type="dxa"/>
          </w:tcPr>
          <w:p w:rsidR="00505632" w:rsidRDefault="00505632" w:rsidP="00AD4E52">
            <w:pPr>
              <w:pStyle w:val="CellColumn"/>
              <w:jc w:val="right"/>
            </w:pPr>
            <w:r>
              <w:rPr>
                <w:rFonts w:cs="Times New Roman"/>
              </w:rPr>
              <w:t>2.928.110</w:t>
            </w:r>
          </w:p>
        </w:tc>
        <w:tc>
          <w:tcPr>
            <w:tcW w:w="2041" w:type="dxa"/>
          </w:tcPr>
          <w:p w:rsidR="00505632" w:rsidRDefault="00505632" w:rsidP="00AD4E52">
            <w:pPr>
              <w:pStyle w:val="CellColumn"/>
              <w:jc w:val="right"/>
            </w:pPr>
            <w:r>
              <w:rPr>
                <w:rFonts w:cs="Times New Roman"/>
              </w:rPr>
              <w:t>1.151.045</w:t>
            </w:r>
          </w:p>
        </w:tc>
        <w:tc>
          <w:tcPr>
            <w:tcW w:w="2041" w:type="dxa"/>
          </w:tcPr>
          <w:p w:rsidR="00505632" w:rsidRDefault="00505632" w:rsidP="00AD4E52">
            <w:pPr>
              <w:pStyle w:val="CellColumn"/>
              <w:jc w:val="right"/>
            </w:pPr>
            <w:r>
              <w:rPr>
                <w:rFonts w:cs="Times New Roman"/>
              </w:rPr>
              <w:t>974.851</w:t>
            </w:r>
          </w:p>
        </w:tc>
        <w:tc>
          <w:tcPr>
            <w:tcW w:w="1224" w:type="dxa"/>
          </w:tcPr>
          <w:p w:rsidR="00505632" w:rsidRDefault="00505632" w:rsidP="00AD4E52">
            <w:pPr>
              <w:pStyle w:val="CellColumn"/>
              <w:jc w:val="right"/>
            </w:pPr>
            <w:r>
              <w:rPr>
                <w:rFonts w:cs="Times New Roman"/>
              </w:rPr>
              <w:t>84,7</w:t>
            </w:r>
          </w:p>
        </w:tc>
        <w:tc>
          <w:tcPr>
            <w:tcW w:w="1224" w:type="dxa"/>
          </w:tcPr>
          <w:p w:rsidR="00505632" w:rsidRDefault="00505632" w:rsidP="00AD4E52">
            <w:pPr>
              <w:pStyle w:val="CellColumn"/>
              <w:jc w:val="right"/>
            </w:pPr>
            <w:r>
              <w:rPr>
                <w:rFonts w:cs="Times New Roman"/>
              </w:rPr>
              <w:t>33,3</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U studenom 2013. SAFU je sklopila ugovor sa tvrtkom GOPA GmbH, Bad Homburg, Njemačka. Krajnji korisnik po ovom ugovoru je bio Zavod, a cilj ugovora je bila tehnička pomoć u dvije osnovne komponente – „Poslovne statistike“ i „Unapređenje sustava za prikupljanje podataka (Computer Assisted Personal Interviewing – CAPI)“. Ugovorene aktivnosti su uspješno završene i cilj ugovora je ostvaren. Indeks izvršenja je nešto ispod plana jer je završni obračun tvrtke GOPA bio manji od ugovorenog/planiranog iznosa.</w:t>
      </w:r>
    </w:p>
    <w:p w:rsidR="00505632" w:rsidRDefault="00505632" w:rsidP="00505632">
      <w:pPr>
        <w:pStyle w:val="Heading4"/>
      </w:pPr>
      <w:r>
        <w:t>T658142 SUDJELOVANJE U STATISTIČKIM PROGRAMIMA EUROPSKE KOMISIJE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T658142-SUDJELOVANJE U STATISTIČKIM PROGRAMIMA EUROPSKE KOMISIJE</w:t>
            </w:r>
          </w:p>
        </w:tc>
        <w:tc>
          <w:tcPr>
            <w:tcW w:w="2041" w:type="dxa"/>
          </w:tcPr>
          <w:p w:rsidR="00505632" w:rsidRDefault="00505632" w:rsidP="00AD4E52">
            <w:pPr>
              <w:pStyle w:val="CellColumn"/>
              <w:jc w:val="right"/>
            </w:pPr>
            <w:r>
              <w:rPr>
                <w:rFonts w:cs="Times New Roman"/>
              </w:rPr>
              <w:t>3.744.893</w:t>
            </w:r>
          </w:p>
        </w:tc>
        <w:tc>
          <w:tcPr>
            <w:tcW w:w="2041" w:type="dxa"/>
          </w:tcPr>
          <w:p w:rsidR="00505632" w:rsidRDefault="00505632" w:rsidP="00AD4E52">
            <w:pPr>
              <w:pStyle w:val="CellColumn"/>
              <w:jc w:val="right"/>
            </w:pPr>
            <w:r>
              <w:rPr>
                <w:rFonts w:cs="Times New Roman"/>
              </w:rPr>
              <w:t>9.782.002</w:t>
            </w:r>
          </w:p>
        </w:tc>
        <w:tc>
          <w:tcPr>
            <w:tcW w:w="2041" w:type="dxa"/>
          </w:tcPr>
          <w:p w:rsidR="00505632" w:rsidRDefault="00505632" w:rsidP="00AD4E52">
            <w:pPr>
              <w:pStyle w:val="CellColumn"/>
              <w:jc w:val="right"/>
            </w:pPr>
            <w:r>
              <w:rPr>
                <w:rFonts w:cs="Times New Roman"/>
              </w:rPr>
              <w:t>7.310.046</w:t>
            </w:r>
          </w:p>
        </w:tc>
        <w:tc>
          <w:tcPr>
            <w:tcW w:w="1224" w:type="dxa"/>
          </w:tcPr>
          <w:p w:rsidR="00505632" w:rsidRDefault="00505632" w:rsidP="00AD4E52">
            <w:pPr>
              <w:pStyle w:val="CellColumn"/>
              <w:jc w:val="right"/>
            </w:pPr>
            <w:r>
              <w:rPr>
                <w:rFonts w:cs="Times New Roman"/>
              </w:rPr>
              <w:t>74,7</w:t>
            </w:r>
          </w:p>
        </w:tc>
        <w:tc>
          <w:tcPr>
            <w:tcW w:w="1224" w:type="dxa"/>
          </w:tcPr>
          <w:p w:rsidR="00505632" w:rsidRDefault="00505632" w:rsidP="00AD4E52">
            <w:pPr>
              <w:pStyle w:val="CellColumn"/>
              <w:jc w:val="right"/>
            </w:pPr>
            <w:r>
              <w:rPr>
                <w:rFonts w:cs="Times New Roman"/>
              </w:rPr>
              <w:t>195,2</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službenoj statistici (N.N. 103/03,75/09, 59/12 i 12/13 – pročišćeni tekst)</w:t>
      </w:r>
    </w:p>
    <w:p w:rsidR="00505632" w:rsidRDefault="00505632" w:rsidP="00505632">
      <w:pPr>
        <w:pStyle w:val="Heading8"/>
        <w:jc w:val="left"/>
      </w:pPr>
      <w:r>
        <w:t>Opis aktivnosti</w:t>
      </w:r>
    </w:p>
    <w:p w:rsidR="00505632" w:rsidRDefault="00505632" w:rsidP="00505632">
      <w:r>
        <w:t>Zavod je tijekom 2016. godine provodio 38 projekata/darovnica financiranih od strane Europske komisije - Eurostata. Ukupna ugovorena vrijednost ovih aktivnosti, od kojih se neke protežu na više godina, je preko 4 milijuna eura. Cilj darovnica je unapređenje statistike. Aktivnosti se uspješno provode sukladno ugovorenim rokovima. Indeks izvršenja je ispod plana jer se proračun radi u momentu, kada jedan dio aktivnosti još nije ugovoren, te specifikacija aktivnosti i troškova nije poznata. Dio troškova planiranih u 2016. godini će se izvršiti u 2017. godini.</w:t>
      </w:r>
    </w:p>
    <w:p w:rsidR="00505632" w:rsidRDefault="00505632" w:rsidP="00505632"/>
    <w:p w:rsidR="00505632" w:rsidRDefault="00505632" w:rsidP="00505632"/>
    <w:p w:rsidR="00505632" w:rsidRDefault="00505632" w:rsidP="00505632"/>
    <w:p w:rsidR="00505632" w:rsidRDefault="00505632" w:rsidP="00505632"/>
    <w:p w:rsidR="00505632" w:rsidRDefault="00505632" w:rsidP="00505632">
      <w:pPr>
        <w:pStyle w:val="Heading4"/>
      </w:pPr>
      <w:r>
        <w:t>T658143 IPA I 2012 VIŠEKORISNIČKI PROGRAM ZA STATISTIKU</w:t>
      </w:r>
    </w:p>
    <w:tbl>
      <w:tblPr>
        <w:tblStyle w:val="StilTablice"/>
        <w:tblW w:w="10206" w:type="dxa"/>
        <w:jc w:val="center"/>
        <w:tblLook w:val="04A0" w:firstRow="1" w:lastRow="0" w:firstColumn="1" w:lastColumn="0" w:noHBand="0" w:noVBand="1"/>
      </w:tblPr>
      <w:tblGrid>
        <w:gridCol w:w="1714"/>
        <w:gridCol w:w="2017"/>
        <w:gridCol w:w="2018"/>
        <w:gridCol w:w="2017"/>
        <w:gridCol w:w="1219"/>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T658143-IPA I 2012 VIŠEKORISNIČKI PROGRAM ZA STATISTIKU</w:t>
            </w:r>
          </w:p>
        </w:tc>
        <w:tc>
          <w:tcPr>
            <w:tcW w:w="2041" w:type="dxa"/>
          </w:tcPr>
          <w:p w:rsidR="00505632" w:rsidRDefault="00505632" w:rsidP="00AD4E52">
            <w:pPr>
              <w:pStyle w:val="CellColumn"/>
              <w:jc w:val="right"/>
            </w:pPr>
            <w:r>
              <w:rPr>
                <w:rFonts w:cs="Times New Roman"/>
              </w:rPr>
              <w:t>5.317.763</w:t>
            </w:r>
          </w:p>
        </w:tc>
        <w:tc>
          <w:tcPr>
            <w:tcW w:w="2041" w:type="dxa"/>
          </w:tcPr>
          <w:p w:rsidR="00505632" w:rsidRDefault="00505632" w:rsidP="00AD4E52">
            <w:pPr>
              <w:pStyle w:val="CellColumn"/>
              <w:jc w:val="right"/>
            </w:pPr>
            <w:r>
              <w:rPr>
                <w:rFonts w:cs="Times New Roman"/>
              </w:rPr>
              <w:t>1.034.437</w:t>
            </w:r>
          </w:p>
        </w:tc>
        <w:tc>
          <w:tcPr>
            <w:tcW w:w="2041" w:type="dxa"/>
          </w:tcPr>
          <w:p w:rsidR="00505632" w:rsidRDefault="00505632" w:rsidP="00AD4E52">
            <w:pPr>
              <w:pStyle w:val="CellColumn"/>
              <w:jc w:val="right"/>
            </w:pPr>
            <w:r>
              <w:rPr>
                <w:rFonts w:cs="Times New Roman"/>
              </w:rPr>
              <w:t>294.260</w:t>
            </w:r>
          </w:p>
        </w:tc>
        <w:tc>
          <w:tcPr>
            <w:tcW w:w="1224" w:type="dxa"/>
          </w:tcPr>
          <w:p w:rsidR="00505632" w:rsidRDefault="00505632" w:rsidP="00AD4E52">
            <w:pPr>
              <w:pStyle w:val="CellColumn"/>
              <w:jc w:val="right"/>
            </w:pPr>
            <w:r>
              <w:rPr>
                <w:rFonts w:cs="Times New Roman"/>
              </w:rPr>
              <w:t>28,4</w:t>
            </w:r>
          </w:p>
        </w:tc>
        <w:tc>
          <w:tcPr>
            <w:tcW w:w="1224" w:type="dxa"/>
          </w:tcPr>
          <w:p w:rsidR="00505632" w:rsidRDefault="00505632" w:rsidP="00AD4E52">
            <w:pPr>
              <w:pStyle w:val="CellColumn"/>
              <w:jc w:val="right"/>
            </w:pPr>
            <w:r>
              <w:rPr>
                <w:rFonts w:cs="Times New Roman"/>
              </w:rPr>
              <w:t>5,5</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službenoj statistici (Narodne novine, br. 103/03, 75/09, 59/12 i 12/13 - pročišćeni tekst)</w:t>
      </w:r>
    </w:p>
    <w:p w:rsidR="00505632" w:rsidRDefault="00505632" w:rsidP="00505632">
      <w:pPr>
        <w:pStyle w:val="Heading8"/>
        <w:jc w:val="left"/>
      </w:pPr>
      <w:r>
        <w:t>Opis aktivnosti</w:t>
      </w:r>
    </w:p>
    <w:p w:rsidR="00505632" w:rsidRDefault="00505632" w:rsidP="00505632">
      <w:r>
        <w:t>Zavod je 30. listopada 2013. sklopio darovni ugovor „IPA 2013 višekorisnički program za statistiku“ s Europskom komisijom–Eurostatom. Cilj darovnice je unapređenje integracije sustava službene statistike Republike Hrvatske u Europski statistički sustav, izgradnja kapaciteta Zavoda i unapređenje kvalitete statističkih informacija. Aktivnosti su uspješno završene sukladno rokovima iz darovnog ugovora. Završno izvješće je odobreno od donatora. Indeks izvršenja je ispod planiranog jer se odustalo od planirane nabave opreme u vrijednosti 504.000 u 2016. godini.</w:t>
      </w:r>
    </w:p>
    <w:p w:rsidR="00505632" w:rsidRDefault="00505632" w:rsidP="00505632">
      <w:pPr>
        <w:pStyle w:val="Heading4"/>
      </w:pPr>
      <w:r>
        <w:t>T658144 IPA I - TRANZICIJSKI INSTRUMENT, TEHNIČKA POMOĆ U PODRUČJU POSLOVNIH STATISTIKA - STATISTIKA VANJSKO TRGOVINSKE RAZMJENE, INDEKSA CIJENA PRI PRUŽATELJIMA USLUGA - ANKETA O POTROŠNJI ENERGIJE U POLJOPRIVREDI</w:t>
      </w:r>
    </w:p>
    <w:tbl>
      <w:tblPr>
        <w:tblStyle w:val="StilTablice"/>
        <w:tblW w:w="10206" w:type="dxa"/>
        <w:jc w:val="center"/>
        <w:tblLook w:val="04A0" w:firstRow="1" w:lastRow="0" w:firstColumn="1" w:lastColumn="0" w:noHBand="0" w:noVBand="1"/>
      </w:tblPr>
      <w:tblGrid>
        <w:gridCol w:w="1638"/>
        <w:gridCol w:w="2040"/>
        <w:gridCol w:w="2040"/>
        <w:gridCol w:w="2040"/>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T658144-IPA I - TRANZICIJSKI INSTRUMENT, TEHNIČKA POMOĆ U PODRUČJU POSLOVNIH STATISTIKA - STATISTIKA VANJSKO TRGOVINSKE RAZMJENE, INDEKSA CIJENA PRI PRUŽATELJIMA USLUGA - ANKETA O POTROŠNJI ENERGIJE U POLJOPRIVREDI</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1.663.034</w:t>
            </w:r>
          </w:p>
        </w:tc>
        <w:tc>
          <w:tcPr>
            <w:tcW w:w="2041" w:type="dxa"/>
          </w:tcPr>
          <w:p w:rsidR="00505632" w:rsidRDefault="00505632" w:rsidP="00AD4E52">
            <w:pPr>
              <w:pStyle w:val="CellColumn"/>
              <w:jc w:val="right"/>
            </w:pPr>
            <w:r>
              <w:rPr>
                <w:rFonts w:cs="Times New Roman"/>
              </w:rPr>
              <w:t>1.622.341</w:t>
            </w:r>
          </w:p>
        </w:tc>
        <w:tc>
          <w:tcPr>
            <w:tcW w:w="1224" w:type="dxa"/>
          </w:tcPr>
          <w:p w:rsidR="00505632" w:rsidRDefault="00505632" w:rsidP="00AD4E52">
            <w:pPr>
              <w:pStyle w:val="CellColumn"/>
              <w:jc w:val="right"/>
            </w:pPr>
            <w:r>
              <w:rPr>
                <w:rFonts w:cs="Times New Roman"/>
              </w:rPr>
              <w:t>97,6</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službenoj statistici (Narodne novine, br. 103/03, 75/09, 59/12 i 12/13 - pročišćeni tekst)</w:t>
      </w:r>
    </w:p>
    <w:p w:rsidR="00505632" w:rsidRDefault="00505632" w:rsidP="00505632">
      <w:pPr>
        <w:pStyle w:val="Heading8"/>
        <w:jc w:val="left"/>
      </w:pPr>
      <w:r>
        <w:t>Opis aktivnosti</w:t>
      </w:r>
    </w:p>
    <w:p w:rsidR="00505632" w:rsidRDefault="00505632" w:rsidP="00505632">
      <w:r>
        <w:t>U studenom 2016. SAFU je sklopila ugovor s Zajednicom ponuditelja Teched savjetodavne usluge d.o.o., EI Hrvoje Požar, GOPA i IPSOS. Krajnji korisnik po ovom ugovoru je Zavod, a cilj ugovora je bila tehnička pomoć u dvije osnovne komponente – „Kratkoročne statistike“ i „Statistike energije“.  Izvršena je prva uplata sukladno ugovoru.</w:t>
      </w:r>
    </w:p>
    <w:p w:rsidR="00505632" w:rsidRDefault="00505632" w:rsidP="00505632">
      <w:pPr>
        <w:overflowPunct/>
        <w:autoSpaceDE/>
        <w:autoSpaceDN/>
        <w:adjustRightInd/>
        <w:spacing w:after="200" w:line="276" w:lineRule="auto"/>
        <w:jc w:val="left"/>
        <w:textAlignment w:val="auto"/>
      </w:pPr>
      <w:r>
        <w:br w:type="page"/>
      </w:r>
    </w:p>
    <w:p w:rsidR="00505632" w:rsidRDefault="00505632" w:rsidP="00505632">
      <w:pPr>
        <w:pStyle w:val="Heading1"/>
      </w:pPr>
      <w:r>
        <w:t>185 DRŽAVNI URED ZA REVIZIJU</w:t>
      </w:r>
    </w:p>
    <w:p w:rsidR="00505632" w:rsidRDefault="00505632" w:rsidP="00505632">
      <w:r>
        <w:t xml:space="preserve">Prema odredbama članka 54. Ustava Republike Hrvatske (Narodne novine 85/10), Državni ured za reviziju je najviša revizijska institucija Republike Hrvatske, koja je samostalna i neovisna u svom radu. Državnim uredom za reviziju upravlja glavni državni revizor koji o njegovom radu izvješćuje Hrvatski sabor. Osnivanje, ustrojstvo, nadležnost i način rada Državnog ureda za reviziju određuje se Zakonom. </w:t>
      </w:r>
    </w:p>
    <w:p w:rsidR="00505632" w:rsidRDefault="00505632" w:rsidP="00505632">
      <w:r>
        <w:t>Ured ne pripada nijednoj grani državne vlasti, što je vidljivo i iz strukture Ustava, odnosno odredbe o Uredu (Glava III. Ustava) odvojene su od odredaba koje uređuju ustrojstvo državne vlasti zasnovano na načelu diobe vlasti (Glava IV. Ustava). Prema navedenom Ured ne pripada ni sudbenoj ni zakonodavnoj ni izvršnoj grani vlasti. Prema odredbama članka 3. Zakona o državnom uredu za reviziju (Narodne novine 80/11), sredstva za rad Državnog ureda za reviziju osiguravaju se u državnom proračunu Republike Hrvatske. Ured samostalno planira sredstva za svoj rad, a utvrđuje ih Hrvatski sabor u državnom proračunu Republike Hrvatske. Ured može ostvarivati vlastite prihode obavljanjem revizije nacionalnih i međunarodnih sredstava te sudjelovanjem u međunarodnim projektima i programima, a vlastite prihode može koristiti za unapređenje svojega rada. Rad Ureda je usmjeren na reviziju financijskih izvještaja i poslovanja te na poboljšanje zakonitosti, učinkovitosti i djelotvornosti subjekata koji upravljaju javnom imovinom i drugih pravnih osoba određenih zakonom. Također, pridonosi poboljšanju upravljanja javnom imovinom i drugim raspoloživim resursima, informiranosti Hrvatskog sabora, Vlade i građana Republike Hrvatske o načinu i rezultatima upravljanja proračunskim i izvanproračunskim sredstvima, te drugim sredstvima koja su subjektima revidiranja dana na upravljanje i raspolaganje.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18505-Državni ured za reviziju</w:t>
            </w:r>
          </w:p>
        </w:tc>
        <w:tc>
          <w:tcPr>
            <w:tcW w:w="2041" w:type="dxa"/>
            <w:vAlign w:val="top"/>
          </w:tcPr>
          <w:p w:rsidR="00505632" w:rsidRDefault="00505632" w:rsidP="00AD4E52">
            <w:pPr>
              <w:pStyle w:val="CellColumn"/>
              <w:jc w:val="right"/>
            </w:pPr>
            <w:r>
              <w:rPr>
                <w:rFonts w:cs="Times New Roman"/>
              </w:rPr>
              <w:t>49.822.958</w:t>
            </w:r>
          </w:p>
        </w:tc>
        <w:tc>
          <w:tcPr>
            <w:tcW w:w="2041" w:type="dxa"/>
            <w:vAlign w:val="top"/>
          </w:tcPr>
          <w:p w:rsidR="00505632" w:rsidRDefault="00505632" w:rsidP="00AD4E52">
            <w:pPr>
              <w:pStyle w:val="CellColumn"/>
              <w:jc w:val="right"/>
            </w:pPr>
            <w:r>
              <w:rPr>
                <w:rFonts w:cs="Times New Roman"/>
              </w:rPr>
              <w:t>53.397.564</w:t>
            </w:r>
          </w:p>
        </w:tc>
        <w:tc>
          <w:tcPr>
            <w:tcW w:w="2041" w:type="dxa"/>
            <w:vAlign w:val="top"/>
          </w:tcPr>
          <w:p w:rsidR="00505632" w:rsidRDefault="00505632" w:rsidP="00AD4E52">
            <w:pPr>
              <w:pStyle w:val="CellColumn"/>
              <w:jc w:val="right"/>
            </w:pPr>
            <w:r>
              <w:rPr>
                <w:rFonts w:cs="Times New Roman"/>
              </w:rPr>
              <w:t>51.923.160</w:t>
            </w:r>
          </w:p>
        </w:tc>
        <w:tc>
          <w:tcPr>
            <w:tcW w:w="1224" w:type="dxa"/>
            <w:vAlign w:val="top"/>
          </w:tcPr>
          <w:p w:rsidR="00505632" w:rsidRDefault="00505632" w:rsidP="00AD4E52">
            <w:pPr>
              <w:pStyle w:val="CellColumn"/>
              <w:jc w:val="right"/>
            </w:pPr>
            <w:r>
              <w:rPr>
                <w:rFonts w:cs="Times New Roman"/>
              </w:rPr>
              <w:t>97,2</w:t>
            </w:r>
          </w:p>
        </w:tc>
        <w:tc>
          <w:tcPr>
            <w:tcW w:w="1224" w:type="dxa"/>
            <w:vAlign w:val="top"/>
          </w:tcPr>
          <w:p w:rsidR="00505632" w:rsidRDefault="00505632" w:rsidP="00AD4E52">
            <w:pPr>
              <w:pStyle w:val="CellColumn"/>
              <w:jc w:val="right"/>
            </w:pPr>
            <w:r>
              <w:rPr>
                <w:rFonts w:cs="Times New Roman"/>
              </w:rPr>
              <w:t>104,2</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185-DRŽAVNI URED ZA REVIZIJU</w:t>
            </w:r>
          </w:p>
        </w:tc>
        <w:tc>
          <w:tcPr>
            <w:tcW w:w="2041" w:type="dxa"/>
            <w:shd w:val="clear" w:color="auto" w:fill="B5C0D8"/>
          </w:tcPr>
          <w:p w:rsidR="00505632" w:rsidRDefault="00505632" w:rsidP="00AD4E52">
            <w:pPr>
              <w:pStyle w:val="CellColumn"/>
              <w:jc w:val="right"/>
            </w:pPr>
            <w:r>
              <w:rPr>
                <w:rFonts w:cs="Times New Roman"/>
              </w:rPr>
              <w:t>49.822.958</w:t>
            </w:r>
          </w:p>
        </w:tc>
        <w:tc>
          <w:tcPr>
            <w:tcW w:w="2041" w:type="dxa"/>
            <w:shd w:val="clear" w:color="auto" w:fill="B5C0D8"/>
          </w:tcPr>
          <w:p w:rsidR="00505632" w:rsidRDefault="00505632" w:rsidP="00AD4E52">
            <w:pPr>
              <w:pStyle w:val="CellColumn"/>
              <w:jc w:val="right"/>
            </w:pPr>
            <w:r>
              <w:rPr>
                <w:rFonts w:cs="Times New Roman"/>
              </w:rPr>
              <w:t>53.397.564</w:t>
            </w:r>
          </w:p>
        </w:tc>
        <w:tc>
          <w:tcPr>
            <w:tcW w:w="2041" w:type="dxa"/>
            <w:shd w:val="clear" w:color="auto" w:fill="B5C0D8"/>
          </w:tcPr>
          <w:p w:rsidR="00505632" w:rsidRDefault="00505632" w:rsidP="00AD4E52">
            <w:pPr>
              <w:pStyle w:val="CellColumn"/>
              <w:jc w:val="right"/>
            </w:pPr>
            <w:r>
              <w:rPr>
                <w:rFonts w:cs="Times New Roman"/>
              </w:rPr>
              <w:t>51.923.160</w:t>
            </w:r>
          </w:p>
        </w:tc>
        <w:tc>
          <w:tcPr>
            <w:tcW w:w="1224" w:type="dxa"/>
            <w:shd w:val="clear" w:color="auto" w:fill="B5C0D8"/>
          </w:tcPr>
          <w:p w:rsidR="00505632" w:rsidRDefault="00505632" w:rsidP="00AD4E52">
            <w:pPr>
              <w:pStyle w:val="CellColumn"/>
              <w:jc w:val="right"/>
            </w:pPr>
            <w:r>
              <w:rPr>
                <w:rFonts w:cs="Times New Roman"/>
              </w:rPr>
              <w:t>97,2</w:t>
            </w:r>
          </w:p>
        </w:tc>
        <w:tc>
          <w:tcPr>
            <w:tcW w:w="1224" w:type="dxa"/>
            <w:shd w:val="clear" w:color="auto" w:fill="B5C0D8"/>
          </w:tcPr>
          <w:p w:rsidR="00505632" w:rsidRDefault="00505632" w:rsidP="00AD4E52">
            <w:pPr>
              <w:pStyle w:val="CellColumn"/>
              <w:jc w:val="right"/>
            </w:pPr>
            <w:r>
              <w:rPr>
                <w:rFonts w:cs="Times New Roman"/>
              </w:rPr>
              <w:t>104,2</w:t>
            </w:r>
          </w:p>
        </w:tc>
      </w:tr>
    </w:tbl>
    <w:p w:rsidR="00505632" w:rsidRDefault="00505632" w:rsidP="00505632">
      <w:pPr>
        <w:jc w:val="left"/>
      </w:pPr>
    </w:p>
    <w:p w:rsidR="00505632" w:rsidRDefault="00505632" w:rsidP="00505632">
      <w:pPr>
        <w:pStyle w:val="Heading2"/>
      </w:pPr>
      <w:r>
        <w:t>18505 Državni ured za reviziju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18505-Državni ured za reviziju</w:t>
            </w:r>
          </w:p>
        </w:tc>
        <w:tc>
          <w:tcPr>
            <w:tcW w:w="2041" w:type="dxa"/>
            <w:vAlign w:val="top"/>
          </w:tcPr>
          <w:p w:rsidR="00505632" w:rsidRDefault="00505632" w:rsidP="00AD4E52">
            <w:pPr>
              <w:pStyle w:val="CellColumn"/>
              <w:jc w:val="right"/>
            </w:pPr>
            <w:r>
              <w:rPr>
                <w:rFonts w:cs="Times New Roman"/>
              </w:rPr>
              <w:t>49.822.958</w:t>
            </w:r>
          </w:p>
        </w:tc>
        <w:tc>
          <w:tcPr>
            <w:tcW w:w="2041" w:type="dxa"/>
            <w:vAlign w:val="top"/>
          </w:tcPr>
          <w:p w:rsidR="00505632" w:rsidRDefault="00505632" w:rsidP="00AD4E52">
            <w:pPr>
              <w:pStyle w:val="CellColumn"/>
              <w:jc w:val="right"/>
            </w:pPr>
            <w:r>
              <w:rPr>
                <w:rFonts w:cs="Times New Roman"/>
              </w:rPr>
              <w:t>53.397.564</w:t>
            </w:r>
          </w:p>
        </w:tc>
        <w:tc>
          <w:tcPr>
            <w:tcW w:w="2041" w:type="dxa"/>
            <w:vAlign w:val="top"/>
          </w:tcPr>
          <w:p w:rsidR="00505632" w:rsidRDefault="00505632" w:rsidP="00AD4E52">
            <w:pPr>
              <w:pStyle w:val="CellColumn"/>
              <w:jc w:val="right"/>
            </w:pPr>
            <w:r>
              <w:rPr>
                <w:rFonts w:cs="Times New Roman"/>
              </w:rPr>
              <w:t>51.923.160</w:t>
            </w:r>
          </w:p>
        </w:tc>
        <w:tc>
          <w:tcPr>
            <w:tcW w:w="1224" w:type="dxa"/>
            <w:vAlign w:val="top"/>
          </w:tcPr>
          <w:p w:rsidR="00505632" w:rsidRDefault="00505632" w:rsidP="00AD4E52">
            <w:pPr>
              <w:pStyle w:val="CellColumn"/>
              <w:jc w:val="right"/>
            </w:pPr>
            <w:r>
              <w:rPr>
                <w:rFonts w:cs="Times New Roman"/>
              </w:rPr>
              <w:t>97,2</w:t>
            </w:r>
          </w:p>
        </w:tc>
        <w:tc>
          <w:tcPr>
            <w:tcW w:w="1224" w:type="dxa"/>
            <w:vAlign w:val="top"/>
          </w:tcPr>
          <w:p w:rsidR="00505632" w:rsidRDefault="00505632" w:rsidP="00AD4E52">
            <w:pPr>
              <w:pStyle w:val="CellColumn"/>
              <w:jc w:val="right"/>
            </w:pPr>
            <w:r>
              <w:rPr>
                <w:rFonts w:cs="Times New Roman"/>
              </w:rPr>
              <w:t>104,2</w:t>
            </w:r>
          </w:p>
        </w:tc>
      </w:tr>
      <w:tr w:rsidR="00505632" w:rsidTr="00AD4E52">
        <w:trPr>
          <w:jc w:val="center"/>
        </w:trPr>
        <w:tc>
          <w:tcPr>
            <w:tcW w:w="1632" w:type="dxa"/>
          </w:tcPr>
          <w:p w:rsidR="00505632" w:rsidRDefault="00505632" w:rsidP="00AD4E52">
            <w:pPr>
              <w:jc w:val="left"/>
            </w:pPr>
            <w:r>
              <w:t>2208-DJELOVANJE DRŽAVNOG UREDA ZA REVIZIJU</w:t>
            </w:r>
          </w:p>
        </w:tc>
        <w:tc>
          <w:tcPr>
            <w:tcW w:w="2041" w:type="dxa"/>
          </w:tcPr>
          <w:p w:rsidR="00505632" w:rsidRDefault="00505632" w:rsidP="00AD4E52">
            <w:pPr>
              <w:jc w:val="right"/>
            </w:pPr>
            <w:r>
              <w:t>49.822.958</w:t>
            </w:r>
          </w:p>
        </w:tc>
        <w:tc>
          <w:tcPr>
            <w:tcW w:w="2041" w:type="dxa"/>
          </w:tcPr>
          <w:p w:rsidR="00505632" w:rsidRDefault="00505632" w:rsidP="00AD4E52">
            <w:pPr>
              <w:jc w:val="right"/>
            </w:pPr>
            <w:r>
              <w:t>53.397.564</w:t>
            </w:r>
          </w:p>
        </w:tc>
        <w:tc>
          <w:tcPr>
            <w:tcW w:w="2041" w:type="dxa"/>
          </w:tcPr>
          <w:p w:rsidR="00505632" w:rsidRDefault="00505632" w:rsidP="00AD4E52">
            <w:pPr>
              <w:jc w:val="right"/>
            </w:pPr>
            <w:r>
              <w:t>51.923.160</w:t>
            </w:r>
          </w:p>
        </w:tc>
        <w:tc>
          <w:tcPr>
            <w:tcW w:w="1224" w:type="dxa"/>
          </w:tcPr>
          <w:p w:rsidR="00505632" w:rsidRDefault="00505632" w:rsidP="00AD4E52">
            <w:pPr>
              <w:jc w:val="right"/>
            </w:pPr>
            <w:r>
              <w:t>97,2</w:t>
            </w:r>
          </w:p>
        </w:tc>
        <w:tc>
          <w:tcPr>
            <w:tcW w:w="1224" w:type="dxa"/>
          </w:tcPr>
          <w:p w:rsidR="00505632" w:rsidRDefault="00505632" w:rsidP="00AD4E52">
            <w:pPr>
              <w:jc w:val="right"/>
            </w:pPr>
            <w:r>
              <w:t>104,2</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3"/>
      </w:pPr>
      <w:r>
        <w:rPr>
          <w:rFonts w:cs="Times New Roman"/>
        </w:rPr>
        <w:t>2208 DJELOVANJE DRŽAVNOG UREDA ZA REVIZIJU</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2208-DJELOVANJE DRŽAVNOG UREDA ZA REVIZIJU</w:t>
            </w:r>
          </w:p>
        </w:tc>
        <w:tc>
          <w:tcPr>
            <w:tcW w:w="2041" w:type="dxa"/>
          </w:tcPr>
          <w:p w:rsidR="00505632" w:rsidRDefault="00505632" w:rsidP="00AD4E52">
            <w:pPr>
              <w:pStyle w:val="CellColumn"/>
              <w:jc w:val="right"/>
            </w:pPr>
            <w:r>
              <w:rPr>
                <w:rFonts w:cs="Times New Roman"/>
              </w:rPr>
              <w:t>49.822.958</w:t>
            </w:r>
          </w:p>
        </w:tc>
        <w:tc>
          <w:tcPr>
            <w:tcW w:w="2041" w:type="dxa"/>
          </w:tcPr>
          <w:p w:rsidR="00505632" w:rsidRDefault="00505632" w:rsidP="00AD4E52">
            <w:pPr>
              <w:pStyle w:val="CellColumn"/>
              <w:jc w:val="right"/>
            </w:pPr>
            <w:r>
              <w:rPr>
                <w:rFonts w:cs="Times New Roman"/>
              </w:rPr>
              <w:t>53.397.564</w:t>
            </w:r>
          </w:p>
        </w:tc>
        <w:tc>
          <w:tcPr>
            <w:tcW w:w="2041" w:type="dxa"/>
          </w:tcPr>
          <w:p w:rsidR="00505632" w:rsidRDefault="00505632" w:rsidP="00AD4E52">
            <w:pPr>
              <w:pStyle w:val="CellColumn"/>
              <w:jc w:val="right"/>
            </w:pPr>
            <w:r>
              <w:rPr>
                <w:rFonts w:cs="Times New Roman"/>
              </w:rPr>
              <w:t>51.923.160</w:t>
            </w:r>
          </w:p>
        </w:tc>
        <w:tc>
          <w:tcPr>
            <w:tcW w:w="1224" w:type="dxa"/>
          </w:tcPr>
          <w:p w:rsidR="00505632" w:rsidRDefault="00505632" w:rsidP="00AD4E52">
            <w:pPr>
              <w:pStyle w:val="CellColumn"/>
              <w:jc w:val="right"/>
            </w:pPr>
            <w:r>
              <w:rPr>
                <w:rFonts w:cs="Times New Roman"/>
              </w:rPr>
              <w:t>97,2</w:t>
            </w:r>
          </w:p>
        </w:tc>
        <w:tc>
          <w:tcPr>
            <w:tcW w:w="1224" w:type="dxa"/>
          </w:tcPr>
          <w:p w:rsidR="00505632" w:rsidRDefault="00505632" w:rsidP="00AD4E52">
            <w:pPr>
              <w:pStyle w:val="CellColumn"/>
              <w:jc w:val="right"/>
            </w:pPr>
            <w:r>
              <w:rPr>
                <w:rFonts w:cs="Times New Roman"/>
              </w:rPr>
              <w:t>104,2</w:t>
            </w:r>
          </w:p>
        </w:tc>
      </w:tr>
    </w:tbl>
    <w:p w:rsidR="00505632" w:rsidRDefault="00505632" w:rsidP="00505632">
      <w:pPr>
        <w:jc w:val="left"/>
      </w:pPr>
    </w:p>
    <w:p w:rsidR="00505632" w:rsidRDefault="00505632" w:rsidP="00505632">
      <w:r>
        <w:t>Državni ured za reviziju obavlja reviziju državnih prihoda i rashoda, primitaka i izdataka, reviziju financijskih izvještaja i financijskih transakcija jedinica državnog sektora, jedinice lokalne i područne (regionalne) samouprave, pravnih osoba koje se djelomice ili u cijelosti financiraju iz proračuna, javnih poduzeća, društva i drugih pravnih osoba u kojima Republika Hrvatska, odnosno jedinice lokalne i područne(regionalne) samouprave imaju većinsko vlasništvo nad dionicama, odnosno udjelima, te korištenje sredstava Europske unije i drugih međunarodnih organizacija ili institucija za financiranje javnih potreba. Ulaskom Republike Hrvatske u Europsku uniju proširen je opseg poslova Ureda, koji se odnosi na potrebu pojačane zaštite financijskih interesa Europske unije, te jačanje nadzora nad provedbom mjera fiskalne politike i reformskih mjera s ciljem smanjenja prekomjernog deficita. Također,donošenjem Zakona o Državnom uredu za reviziju, povećan je opseg poslova Ureda koji se odnose na provjeru izvršenja naloga i preporuka danih u ranijoj reviziji te provjeru dostave pisanog izvješća o izvršenju naloga i preporuka, kao i provedbu aktivnosti vezanih uz sankcioniranje subjekta revizije i odgovornih osoba subjekta revizije. Prema načinu provedbe postupaka revizije, Državni ured za reviziju u okviru svojih ovlaštenja obavlja: - ispitivanje dokumenata, isprava, izvješća, sustava unutarnje kontrole unutarnje revizije, računovodstvenih i financijskih postupaka te drugih evidencija radi utvrđivanja objektivnosti i istinitosti financijskih aktivnosti, - ispitivanje financijskih transakcija koje predstavljaju državne prihode i rashode u smislu zakonskog korištenja sredstava, - davanje ocjene o djelotvornosti i ekonomičnosti obavljanja djelatnosti, te ocjene o učinkovitosti ostvarenja iz određenih programa. propisima. Osim poslova revizije Ured obavlja i druge poslove vezane uz suradnju s državnim i međunarodnim tijelima i institucijama sudjelovanjem na kongresima i seminarima te radom u odborima i radnim skupinama kao član međunarodne organizacije vrhovnih revizijskih institucija INTOSAI I EUROSAI. Ured je imao i status vanjskog revizora EUROSAI-a od 2015.-2016. Svoju djelatnost Ured ostvaruje kroz jedan program- 2208-Djelovanje Državnog ureda za reviziju, koji se realizira kroz tri podprograma: A665000 Administracija i upravljanje, K665001 Informatizacija i K665002 Obnova voznog parka. Kao mlađi partner, u suradnji s Državnim uredom za reviziju Poljske, Ured sudjeluje u provedbi Twinning projekta AL 13 IB FI 01 "Jačanje kapaciteta vanjske revizije" koji se financira iz sredstava IPA programa.</w:t>
      </w:r>
    </w:p>
    <w:p w:rsidR="00505632" w:rsidRDefault="00505632" w:rsidP="00505632">
      <w:pPr>
        <w:pStyle w:val="Heading8"/>
        <w:jc w:val="left"/>
      </w:pPr>
      <w:r>
        <w:t xml:space="preserve">Cilj 1. Unapređenje metodologije rada Ureda </w:t>
      </w:r>
    </w:p>
    <w:p w:rsidR="00505632" w:rsidRDefault="00505632" w:rsidP="00505632">
      <w:pPr>
        <w:pStyle w:val="Heading8"/>
        <w:jc w:val="left"/>
      </w:pPr>
      <w:r>
        <w:t>Opis provedbe cilja programa</w:t>
      </w:r>
    </w:p>
    <w:p w:rsidR="00505632" w:rsidRDefault="00505632" w:rsidP="00505632">
      <w:r>
        <w:t>Prema odredbama Zakona o Državnom uredu za reviziju, Ured obavlja reviziju na način i prema postupcima utvrđenim okvirom revizijskih standarda Međunarodne organizacije vrhovnih revizijskih institucija (INTOSAI) i Kodeksom profesionalne etike državnih revizora. Navedeni standardi se kontinuirano razvijaju prema razvoju struke i iskustvu vrhovnih revizijskih institucija te je Ured obvezan usklađivati i unapređivati metodologiju rada kako bi osigurao kvalitetno obavljanje svoje temeljne zadaće. Za unapređenje metodologije rada potrebno je ažurirati i testirati Priručnik za financijsku reviziju, ažurirati i testirati Priručnik za reviziju učinkovitosti, donijeti smjernice za reviziju zaštite okoliša, ažurirati i testirati Priručnik za reviziju EU fondova, ažurirati poslovni model Ureda i procese rada te ustrojiti registre i provoditi izobrazbu revizora.</w:t>
      </w:r>
    </w:p>
    <w:p w:rsidR="00505632" w:rsidRDefault="00505632" w:rsidP="00505632">
      <w:pPr>
        <w:pStyle w:val="Heading8"/>
        <w:jc w:val="left"/>
      </w:pPr>
      <w:r>
        <w:t>Cilj 2. Obavljanje revizija</w:t>
      </w:r>
    </w:p>
    <w:p w:rsidR="00505632" w:rsidRDefault="00505632" w:rsidP="00505632">
      <w:pPr>
        <w:pStyle w:val="Heading8"/>
        <w:jc w:val="left"/>
      </w:pPr>
      <w:r>
        <w:t>Opis provedbe cilja programa</w:t>
      </w:r>
    </w:p>
    <w:p w:rsidR="00505632" w:rsidRDefault="00505632" w:rsidP="00505632">
      <w:r>
        <w:t xml:space="preserve">Revizija je, u smislu Zakona o državnom uredu za reviziju, ispitivanje dokumenata, isprava, izvješća, sustava unutarnje kontrole i unutarnje revizije, računovodstvenih i financijskih postupaka te drugih evidencija radi utvrđivanja iskazuju li financijski izvještaji istinit financijski položaj i rezultate financijskih aktivnosti u skladu s </w:t>
      </w:r>
    </w:p>
    <w:p w:rsidR="00505632" w:rsidRDefault="00505632" w:rsidP="00505632">
      <w:r>
        <w:t xml:space="preserve">prihvaćenim računovodstvenim načelima i računovodstvenim standardima. Revizija obuhvaća i postupak ispitivanja financijskih transakcija u smislu zakonskog korištenja sredstava te davanje ocjene o djelotvornosti i ekonomičnosti obavljanja djelatnosti te učinkovitosti ostvarenja ciljeva poslovanja odnosno pojedinih programa </w:t>
      </w:r>
    </w:p>
    <w:p w:rsidR="00505632" w:rsidRDefault="00505632" w:rsidP="00505632">
      <w:r>
        <w:t>ili projekata. U skladu s navedenim Ured će u razdoblju 2016.-2018. obavljati financijsku reviziju i reviziju učinkovitosti.</w:t>
      </w:r>
    </w:p>
    <w:p w:rsidR="00505632" w:rsidRDefault="00505632" w:rsidP="00505632">
      <w:pPr>
        <w:pStyle w:val="Heading8"/>
        <w:jc w:val="left"/>
      </w:pPr>
      <w:r>
        <w:t>Pokazatelji učinka</w:t>
      </w:r>
    </w:p>
    <w:tbl>
      <w:tblPr>
        <w:tblStyle w:val="StilTablice"/>
        <w:tblW w:w="7653" w:type="dxa"/>
        <w:jc w:val="center"/>
        <w:tblLook w:val="04A0" w:firstRow="1" w:lastRow="0" w:firstColumn="1" w:lastColumn="0" w:noHBand="0" w:noVBand="1"/>
      </w:tblPr>
      <w:tblGrid>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učinka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 xml:space="preserve">Obavljanje </w:t>
            </w:r>
          </w:p>
          <w:p w:rsidR="00505632" w:rsidRDefault="00505632" w:rsidP="00AD4E52">
            <w:pPr>
              <w:pStyle w:val="CellColumn"/>
              <w:jc w:val="left"/>
            </w:pPr>
            <w:r>
              <w:rPr>
                <w:rFonts w:cs="Times New Roman"/>
              </w:rPr>
              <w:t xml:space="preserve">financijskih </w:t>
            </w:r>
          </w:p>
          <w:p w:rsidR="00505632" w:rsidRDefault="00505632" w:rsidP="00AD4E52">
            <w:pPr>
              <w:pStyle w:val="CellColumn"/>
              <w:jc w:val="left"/>
            </w:pPr>
            <w:r>
              <w:rPr>
                <w:rFonts w:cs="Times New Roman"/>
              </w:rPr>
              <w:t>revizija</w:t>
            </w:r>
          </w:p>
        </w:tc>
        <w:tc>
          <w:tcPr>
            <w:tcW w:w="1020" w:type="dxa"/>
          </w:tcPr>
          <w:p w:rsidR="00505632" w:rsidRDefault="00505632" w:rsidP="00AD4E52">
            <w:pPr>
              <w:pStyle w:val="CellColumn"/>
              <w:jc w:val="right"/>
            </w:pPr>
            <w:r>
              <w:rPr>
                <w:rFonts w:cs="Times New Roman"/>
              </w:rPr>
              <w:t>Broj revizija</w:t>
            </w:r>
          </w:p>
        </w:tc>
        <w:tc>
          <w:tcPr>
            <w:tcW w:w="1020" w:type="dxa"/>
          </w:tcPr>
          <w:p w:rsidR="00505632" w:rsidRDefault="00505632" w:rsidP="00AD4E52">
            <w:pPr>
              <w:pStyle w:val="CellColumn"/>
              <w:jc w:val="right"/>
            </w:pPr>
            <w:r>
              <w:rPr>
                <w:rFonts w:cs="Times New Roman"/>
              </w:rPr>
              <w:t>255</w:t>
            </w:r>
          </w:p>
        </w:tc>
        <w:tc>
          <w:tcPr>
            <w:tcW w:w="1020" w:type="dxa"/>
          </w:tcPr>
          <w:p w:rsidR="00505632" w:rsidRDefault="00505632" w:rsidP="00AD4E52">
            <w:pPr>
              <w:pStyle w:val="CellColumn"/>
              <w:jc w:val="right"/>
            </w:pPr>
            <w:r>
              <w:rPr>
                <w:rFonts w:cs="Times New Roman"/>
              </w:rPr>
              <w:t>Izvještaj o radu</w:t>
            </w:r>
          </w:p>
        </w:tc>
        <w:tc>
          <w:tcPr>
            <w:tcW w:w="1020" w:type="dxa"/>
          </w:tcPr>
          <w:p w:rsidR="00505632" w:rsidRDefault="00505632" w:rsidP="00AD4E52">
            <w:pPr>
              <w:pStyle w:val="CellColumn"/>
              <w:jc w:val="right"/>
            </w:pPr>
            <w:r>
              <w:rPr>
                <w:rFonts w:cs="Times New Roman"/>
              </w:rPr>
              <w:t>260</w:t>
            </w:r>
          </w:p>
        </w:tc>
        <w:tc>
          <w:tcPr>
            <w:tcW w:w="1020" w:type="dxa"/>
          </w:tcPr>
          <w:p w:rsidR="00505632" w:rsidRDefault="00505632" w:rsidP="00AD4E52">
            <w:pPr>
              <w:pStyle w:val="CellColumn"/>
              <w:jc w:val="right"/>
            </w:pPr>
            <w:r>
              <w:rPr>
                <w:rFonts w:cs="Times New Roman"/>
              </w:rPr>
              <w:t>210</w:t>
            </w:r>
          </w:p>
        </w:tc>
      </w:tr>
      <w:tr w:rsidR="00505632" w:rsidTr="00AD4E52">
        <w:trPr>
          <w:jc w:val="center"/>
        </w:trPr>
        <w:tc>
          <w:tcPr>
            <w:tcW w:w="2553" w:type="dxa"/>
          </w:tcPr>
          <w:p w:rsidR="00505632" w:rsidRDefault="00505632" w:rsidP="00AD4E52">
            <w:pPr>
              <w:pStyle w:val="CellColumn"/>
              <w:jc w:val="left"/>
            </w:pPr>
            <w:r>
              <w:rPr>
                <w:rFonts w:cs="Times New Roman"/>
              </w:rPr>
              <w:t>Obavljanje revizija učinkovitosti</w:t>
            </w:r>
          </w:p>
        </w:tc>
        <w:tc>
          <w:tcPr>
            <w:tcW w:w="1020" w:type="dxa"/>
          </w:tcPr>
          <w:p w:rsidR="00505632" w:rsidRDefault="00505632" w:rsidP="00AD4E52">
            <w:pPr>
              <w:pStyle w:val="CellColumn"/>
              <w:jc w:val="right"/>
            </w:pPr>
            <w:r>
              <w:rPr>
                <w:rFonts w:cs="Times New Roman"/>
              </w:rPr>
              <w:t>Broj revizija</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Izvještaj o radu</w:t>
            </w:r>
          </w:p>
        </w:tc>
        <w:tc>
          <w:tcPr>
            <w:tcW w:w="1020" w:type="dxa"/>
          </w:tcPr>
          <w:p w:rsidR="00505632" w:rsidRDefault="00505632" w:rsidP="00AD4E52">
            <w:pPr>
              <w:pStyle w:val="CellColumn"/>
              <w:jc w:val="right"/>
            </w:pPr>
            <w:r>
              <w:rPr>
                <w:rFonts w:cs="Times New Roman"/>
              </w:rPr>
              <w:t>51</w:t>
            </w:r>
          </w:p>
        </w:tc>
        <w:tc>
          <w:tcPr>
            <w:tcW w:w="1020" w:type="dxa"/>
          </w:tcPr>
          <w:p w:rsidR="00505632" w:rsidRDefault="00505632" w:rsidP="00AD4E52">
            <w:pPr>
              <w:pStyle w:val="CellColumn"/>
              <w:jc w:val="right"/>
            </w:pPr>
            <w:r>
              <w:rPr>
                <w:rFonts w:cs="Times New Roman"/>
              </w:rPr>
              <w:t>85</w:t>
            </w:r>
          </w:p>
        </w:tc>
      </w:tr>
    </w:tbl>
    <w:p w:rsidR="00505632" w:rsidRDefault="00505632" w:rsidP="00505632">
      <w:pPr>
        <w:jc w:val="left"/>
      </w:pPr>
    </w:p>
    <w:p w:rsidR="00505632" w:rsidRDefault="00505632" w:rsidP="00505632">
      <w:pPr>
        <w:pStyle w:val="Heading4"/>
      </w:pPr>
      <w:r>
        <w:t>A665000 ADMINISTRACIJA I UPRAVLJANJE</w:t>
      </w:r>
    </w:p>
    <w:tbl>
      <w:tblPr>
        <w:tblStyle w:val="StilTablice"/>
        <w:tblW w:w="10206" w:type="dxa"/>
        <w:jc w:val="center"/>
        <w:tblLook w:val="04A0" w:firstRow="1" w:lastRow="0" w:firstColumn="1" w:lastColumn="0" w:noHBand="0" w:noVBand="1"/>
      </w:tblPr>
      <w:tblGrid>
        <w:gridCol w:w="1792"/>
        <w:gridCol w:w="1995"/>
        <w:gridCol w:w="1995"/>
        <w:gridCol w:w="1995"/>
        <w:gridCol w:w="1212"/>
        <w:gridCol w:w="1217"/>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A665000-ADMINISTRACIJA I UPRAVLJANJE</w:t>
            </w:r>
          </w:p>
        </w:tc>
        <w:tc>
          <w:tcPr>
            <w:tcW w:w="2041" w:type="dxa"/>
          </w:tcPr>
          <w:p w:rsidR="00505632" w:rsidRDefault="00505632" w:rsidP="00AD4E52">
            <w:pPr>
              <w:pStyle w:val="CellColumn"/>
              <w:jc w:val="right"/>
            </w:pPr>
            <w:r>
              <w:rPr>
                <w:rFonts w:cs="Times New Roman"/>
              </w:rPr>
              <w:t>49.265.593</w:t>
            </w:r>
          </w:p>
        </w:tc>
        <w:tc>
          <w:tcPr>
            <w:tcW w:w="2041" w:type="dxa"/>
          </w:tcPr>
          <w:p w:rsidR="00505632" w:rsidRDefault="00505632" w:rsidP="00AD4E52">
            <w:pPr>
              <w:pStyle w:val="CellColumn"/>
              <w:jc w:val="right"/>
            </w:pPr>
            <w:r>
              <w:rPr>
                <w:rFonts w:cs="Times New Roman"/>
              </w:rPr>
              <w:t>51.827.564</w:t>
            </w:r>
          </w:p>
        </w:tc>
        <w:tc>
          <w:tcPr>
            <w:tcW w:w="2041" w:type="dxa"/>
          </w:tcPr>
          <w:p w:rsidR="00505632" w:rsidRDefault="00505632" w:rsidP="00AD4E52">
            <w:pPr>
              <w:pStyle w:val="CellColumn"/>
              <w:jc w:val="right"/>
            </w:pPr>
            <w:r>
              <w:rPr>
                <w:rFonts w:cs="Times New Roman"/>
              </w:rPr>
              <w:t>50.593.798</w:t>
            </w:r>
          </w:p>
        </w:tc>
        <w:tc>
          <w:tcPr>
            <w:tcW w:w="1224" w:type="dxa"/>
          </w:tcPr>
          <w:p w:rsidR="00505632" w:rsidRDefault="00505632" w:rsidP="00AD4E52">
            <w:pPr>
              <w:pStyle w:val="CellColumn"/>
              <w:jc w:val="right"/>
            </w:pPr>
            <w:r>
              <w:rPr>
                <w:rFonts w:cs="Times New Roman"/>
              </w:rPr>
              <w:t>97,6</w:t>
            </w:r>
          </w:p>
        </w:tc>
        <w:tc>
          <w:tcPr>
            <w:tcW w:w="1224" w:type="dxa"/>
          </w:tcPr>
          <w:p w:rsidR="00505632" w:rsidRDefault="00505632" w:rsidP="00AD4E52">
            <w:pPr>
              <w:pStyle w:val="CellColumn"/>
              <w:jc w:val="right"/>
            </w:pPr>
            <w:r>
              <w:rPr>
                <w:rFonts w:cs="Times New Roman"/>
              </w:rPr>
              <w:t>102,7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 Zakon o Državnom uredu za reviziju (NN 80/11) </w:t>
      </w:r>
    </w:p>
    <w:p w:rsidR="00505632" w:rsidRDefault="00505632" w:rsidP="00505632">
      <w:r>
        <w:t xml:space="preserve">- Zakon o financiranju političkih aktivnosti i izborne promidžbe (NN 24/11, 61/11, 27/13, 2/14) </w:t>
      </w:r>
    </w:p>
    <w:p w:rsidR="00505632" w:rsidRDefault="00505632" w:rsidP="00505632">
      <w:r>
        <w:t xml:space="preserve">- Zakon o lokalnim izborima (NN 146/11) </w:t>
      </w:r>
    </w:p>
    <w:p w:rsidR="00505632" w:rsidRDefault="00505632" w:rsidP="00505632">
      <w:r>
        <w:t xml:space="preserve">- Zakon o plaćama ovlaštenih državnih revizora (NN 86/98, 16701, 150/05) </w:t>
      </w:r>
    </w:p>
    <w:p w:rsidR="00505632" w:rsidRDefault="00505632" w:rsidP="00505632">
      <w:r>
        <w:t xml:space="preserve">- Uredba o nazivima radnih mjesta i koeficijentima složenosti poslova u državnoj službi </w:t>
      </w:r>
    </w:p>
    <w:p w:rsidR="00505632" w:rsidRDefault="00505632" w:rsidP="00505632">
      <w:r>
        <w:t>- Odluka o objavi okvira revizijskih standarda međunarodne organizacije vrhovnih revizijskih institucija-ISSAI (NN146/11)</w:t>
      </w:r>
    </w:p>
    <w:p w:rsidR="00505632" w:rsidRDefault="00505632" w:rsidP="00505632">
      <w:pPr>
        <w:pStyle w:val="Heading8"/>
        <w:jc w:val="left"/>
      </w:pPr>
      <w:r>
        <w:t>Opis aktivnosti</w:t>
      </w:r>
    </w:p>
    <w:p w:rsidR="00505632" w:rsidRDefault="00505632" w:rsidP="00505632">
      <w:r>
        <w:t xml:space="preserve">Aktivnost A665000-Administracija i upravljanje- ima najveći udio u ukupno planiranim i </w:t>
      </w:r>
    </w:p>
    <w:p w:rsidR="00505632" w:rsidRDefault="00505632" w:rsidP="00505632">
      <w:r>
        <w:t xml:space="preserve">izvršenim rashodima Državnog ureda za reviziju i čini 97,4% ukupnih rashoda Ureda. </w:t>
      </w:r>
    </w:p>
    <w:p w:rsidR="00505632" w:rsidRDefault="00505632" w:rsidP="00505632">
      <w:r>
        <w:t xml:space="preserve">Izvršeni rashodi sastoje se od: </w:t>
      </w:r>
    </w:p>
    <w:p w:rsidR="00505632" w:rsidRDefault="00505632" w:rsidP="00505632">
      <w:r>
        <w:t xml:space="preserve">1. Rashoda za zaposlene - 44.350.442 kn </w:t>
      </w:r>
    </w:p>
    <w:p w:rsidR="00505632" w:rsidRDefault="00505632" w:rsidP="00505632">
      <w:r>
        <w:t xml:space="preserve">2. Materijalnih rashoda - 5.979.466 kn </w:t>
      </w:r>
    </w:p>
    <w:p w:rsidR="00505632" w:rsidRDefault="00505632" w:rsidP="00505632">
      <w:r>
        <w:t xml:space="preserve">3. Naknada građanima - 29.900 kn </w:t>
      </w:r>
    </w:p>
    <w:p w:rsidR="00505632" w:rsidRDefault="00505632" w:rsidP="00505632">
      <w:r>
        <w:t xml:space="preserve">4. Financijskih rashoda - 1.800 kn </w:t>
      </w:r>
    </w:p>
    <w:p w:rsidR="00505632" w:rsidRDefault="00505632" w:rsidP="00505632">
      <w:r>
        <w:t xml:space="preserve">5. Rashoda za nabavu dugotrajne imovine - 232.190 kn. </w:t>
      </w:r>
    </w:p>
    <w:p w:rsidR="00505632" w:rsidRDefault="00505632" w:rsidP="00505632">
      <w:r>
        <w:t xml:space="preserve">Plaće zaposlenika obračunate su u skladu sa Zakonom o državnim službenicima i namještenicima, prema koeficijentima utvrđenim Uredbom o nazivima radnih mjesta i koeficijentima složenosti poslova u državnoj službi, te Zakona o plaćama ovlaštenih državnih revizora. </w:t>
      </w:r>
    </w:p>
    <w:p w:rsidR="00505632" w:rsidRDefault="00505632" w:rsidP="00505632">
      <w:r>
        <w:t>Materijalne rashode čine rashodi za materijal i energiju, rashodi za usluge-telefona, tekućeg i investicijskog održavanja, komunalne, računalne i ostale usluge te naknade troškova zaposlenima.</w:t>
      </w:r>
    </w:p>
    <w:p w:rsidR="00505632" w:rsidRDefault="00505632" w:rsidP="00505632">
      <w:pPr>
        <w:pStyle w:val="Heading4"/>
      </w:pPr>
      <w:r>
        <w:t>K665001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K665001-INFORMATIZACIJA</w:t>
            </w:r>
          </w:p>
        </w:tc>
        <w:tc>
          <w:tcPr>
            <w:tcW w:w="2041" w:type="dxa"/>
          </w:tcPr>
          <w:p w:rsidR="00505632" w:rsidRDefault="00505632" w:rsidP="00AD4E52">
            <w:pPr>
              <w:pStyle w:val="CellColumn"/>
              <w:jc w:val="right"/>
            </w:pPr>
            <w:r>
              <w:rPr>
                <w:rFonts w:cs="Times New Roman"/>
              </w:rPr>
              <w:t>502.271</w:t>
            </w:r>
          </w:p>
        </w:tc>
        <w:tc>
          <w:tcPr>
            <w:tcW w:w="2041" w:type="dxa"/>
          </w:tcPr>
          <w:p w:rsidR="00505632" w:rsidRDefault="00505632" w:rsidP="00AD4E52">
            <w:pPr>
              <w:pStyle w:val="CellColumn"/>
              <w:jc w:val="right"/>
            </w:pPr>
            <w:r>
              <w:rPr>
                <w:rFonts w:cs="Times New Roman"/>
              </w:rPr>
              <w:t>795.000</w:t>
            </w:r>
          </w:p>
        </w:tc>
        <w:tc>
          <w:tcPr>
            <w:tcW w:w="2041" w:type="dxa"/>
          </w:tcPr>
          <w:p w:rsidR="00505632" w:rsidRDefault="00505632" w:rsidP="00AD4E52">
            <w:pPr>
              <w:pStyle w:val="CellColumn"/>
              <w:jc w:val="right"/>
            </w:pPr>
            <w:r>
              <w:rPr>
                <w:rFonts w:cs="Times New Roman"/>
              </w:rPr>
              <w:t>791.531</w:t>
            </w:r>
          </w:p>
        </w:tc>
        <w:tc>
          <w:tcPr>
            <w:tcW w:w="1224" w:type="dxa"/>
          </w:tcPr>
          <w:p w:rsidR="00505632" w:rsidRDefault="00505632" w:rsidP="00AD4E52">
            <w:pPr>
              <w:pStyle w:val="CellColumn"/>
              <w:jc w:val="right"/>
            </w:pPr>
            <w:r>
              <w:rPr>
                <w:rFonts w:cs="Times New Roman"/>
              </w:rPr>
              <w:t>99,6</w:t>
            </w:r>
          </w:p>
        </w:tc>
        <w:tc>
          <w:tcPr>
            <w:tcW w:w="1224" w:type="dxa"/>
          </w:tcPr>
          <w:p w:rsidR="00505632" w:rsidRDefault="00505632" w:rsidP="00AD4E52">
            <w:pPr>
              <w:pStyle w:val="CellColumn"/>
              <w:jc w:val="right"/>
            </w:pPr>
            <w:r>
              <w:rPr>
                <w:rFonts w:cs="Times New Roman"/>
              </w:rPr>
              <w:t>157,6</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Aktivnost K665001-Informatizacija, sudjeluje u ukupno izvršenim rashodima ureda s 1,5%, a sredstva su utrošena za plaćanje korištenja licenci MS Office programa i nabavu informatičke opreme kojom je zamijenjena tehnološki zastarjela oprema.</w:t>
      </w:r>
    </w:p>
    <w:p w:rsidR="00505632" w:rsidRDefault="00505632" w:rsidP="00505632">
      <w:pPr>
        <w:pStyle w:val="Heading3"/>
      </w:pPr>
      <w:r>
        <w:rPr>
          <w:rFonts w:cs="Times New Roman"/>
        </w:rPr>
        <w:t>2209 KONTROLA POSTUPAKA JAVNE NABAVE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2209-KONTROLA POSTUPAKA JAVNE NABAVE</w:t>
            </w:r>
          </w:p>
        </w:tc>
        <w:tc>
          <w:tcPr>
            <w:tcW w:w="2041" w:type="dxa"/>
          </w:tcPr>
          <w:p w:rsidR="00505632" w:rsidRDefault="00505632" w:rsidP="00AD4E52">
            <w:pPr>
              <w:pStyle w:val="CellColumn"/>
              <w:jc w:val="right"/>
            </w:pPr>
            <w:r>
              <w:rPr>
                <w:rFonts w:cs="Times New Roman"/>
              </w:rPr>
              <w:t>7.403.706</w:t>
            </w:r>
          </w:p>
        </w:tc>
        <w:tc>
          <w:tcPr>
            <w:tcW w:w="2041" w:type="dxa"/>
          </w:tcPr>
          <w:p w:rsidR="00505632" w:rsidRDefault="00505632" w:rsidP="00AD4E52">
            <w:pPr>
              <w:pStyle w:val="CellColumn"/>
              <w:jc w:val="right"/>
            </w:pPr>
            <w:r>
              <w:rPr>
                <w:rFonts w:cs="Times New Roman"/>
              </w:rPr>
              <w:t>8.699.361</w:t>
            </w:r>
          </w:p>
        </w:tc>
        <w:tc>
          <w:tcPr>
            <w:tcW w:w="2041" w:type="dxa"/>
          </w:tcPr>
          <w:p w:rsidR="00505632" w:rsidRDefault="00505632" w:rsidP="00AD4E52">
            <w:pPr>
              <w:pStyle w:val="CellColumn"/>
              <w:jc w:val="right"/>
            </w:pPr>
            <w:r>
              <w:rPr>
                <w:rFonts w:cs="Times New Roman"/>
              </w:rPr>
              <w:t>8.653.091</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116,9</w:t>
            </w:r>
          </w:p>
        </w:tc>
      </w:tr>
    </w:tbl>
    <w:p w:rsidR="00505632" w:rsidRDefault="00505632" w:rsidP="00505632">
      <w:pPr>
        <w:jc w:val="left"/>
      </w:pPr>
    </w:p>
    <w:p w:rsidR="00505632" w:rsidRDefault="00505632" w:rsidP="00505632">
      <w:r>
        <w:t>Državna komisija ima jedan program: 2209 - Kontrola javne nabave, jednu aktivnost: A744000- Kontrola postupaka javne nabave i dva kapitalna projekta: K744001 - Opremanje uredskog prostora i K744002 - Informatizacija. Ukupan plan za 2016. godinu iznosio je 8.699.361 kuna, a izvršenje je bilo ukupno 8.653.091 kuna. Za plaće je planirano  6.580.561 kunu, a izvršeno je 6.567.887 kuna, za materijalne troškove planirano je 1.912.837 kuna, a izvršeno je 1.888.484 kune, za financijske izdatke planirano je 1.500 kuna, a izvršeno je 400 kuna te je za kapitalne izdatke planirano 204.363 kune, a izvršeno je 196.320 kuna.</w:t>
      </w:r>
    </w:p>
    <w:p w:rsidR="00505632" w:rsidRDefault="00505632" w:rsidP="00505632">
      <w:pPr>
        <w:pStyle w:val="Heading8"/>
        <w:jc w:val="left"/>
      </w:pPr>
      <w:r>
        <w:t>Cilj 1. Podizanje administrativnih kapaciteta Državne komisije</w:t>
      </w:r>
    </w:p>
    <w:p w:rsidR="00505632" w:rsidRDefault="00505632" w:rsidP="00505632">
      <w:pPr>
        <w:pStyle w:val="Heading8"/>
        <w:jc w:val="left"/>
      </w:pPr>
      <w:r>
        <w:t>Opis provedbe cilja programa</w:t>
      </w:r>
    </w:p>
    <w:p w:rsidR="00505632" w:rsidRDefault="00505632" w:rsidP="00505632">
      <w:r>
        <w:t xml:space="preserve">Rješavanje žalbenih predmeta u zakonom predviđenim rokovima od značaja su za sve sudionike postupaka. </w:t>
      </w:r>
    </w:p>
    <w:p w:rsidR="00505632" w:rsidRDefault="00505632" w:rsidP="00505632">
      <w:r>
        <w:t xml:space="preserve">Državna komisija je u 2015. godini zaprimila 1135  žalbenih predmeta.Tijekom 2015. godine donesena je ukupno 1188 odluka. Državna komisija donosi i javno objavljuje odluku u žalbenom postupku u roku od 30 dana urednosti žalbe.   </w:t>
      </w:r>
    </w:p>
    <w:p w:rsidR="00505632" w:rsidRDefault="00505632" w:rsidP="00505632">
      <w:r>
        <w:t xml:space="preserve">Conditio sine qua non za korištenje sredstava ESI fondova su odgovarajući administrativni kapaciteti Državne komisije, budući da je jedino Državna komisija, u žalbenom postupku, ovlaštena kontrolirati zakonitost provedenog postupka javne nabave, koji se sufinancira sredstvima ESI fondova, a koje sufinanciranje iznosi do 85% troškova. </w:t>
      </w:r>
    </w:p>
    <w:p w:rsidR="00505632" w:rsidRDefault="00505632" w:rsidP="00505632">
      <w:r>
        <w:t>Adekvatan odgovor na sve veći broj uloženih žalbi u postupcima javne nabave u širem smislu, kao i kontinuiranog širenja nadležnosti Državne komisije, omogućuje se jačanjem  stručnosti Državne komisije.</w:t>
      </w:r>
    </w:p>
    <w:p w:rsidR="00505632" w:rsidRDefault="00505632" w:rsidP="00505632">
      <w:pPr>
        <w:pStyle w:val="Heading8"/>
        <w:jc w:val="left"/>
      </w:pPr>
      <w:r>
        <w:t>Cilj 2. Jačanje organizacijske strukture Državne komisije</w:t>
      </w:r>
    </w:p>
    <w:p w:rsidR="00505632" w:rsidRDefault="00505632" w:rsidP="00505632">
      <w:pPr>
        <w:pStyle w:val="Heading8"/>
        <w:jc w:val="left"/>
      </w:pPr>
      <w:r>
        <w:t>Opis provedbe cilja programa</w:t>
      </w:r>
    </w:p>
    <w:p w:rsidR="00505632" w:rsidRDefault="00505632" w:rsidP="00505632">
      <w:r>
        <w:t xml:space="preserve">Nadležnosti Državne komisije su se u dvanaest godina njezina rada redovito širile od rješavanja žalbi i drugih zahtjeva u postupcima javne nabave, preko rješavanja žalbi u postupcima davanja koncesija i postupcima odabira privatnog partnera u projektima javno – privatnog partnerstva, te rješavanja žalbi u postupcima javne nabave provedenih temeljem Uredbe o javnoj nabavi za potrebe obrane i sigurnosti. Nadležnost se proteže i na podnošenje optužnih prijedloga za prekršaje propisanih Zakonom o javnoj nabavi i drugim propisima koji uređuju područje javne nabave.  </w:t>
      </w:r>
    </w:p>
    <w:p w:rsidR="00505632" w:rsidRDefault="00505632" w:rsidP="00505632">
      <w:r>
        <w:t xml:space="preserve">Uredbom o unutarnjem ustrojstvu Državne komisije, te Izmjenama i dopuni Uredbe o unutarnjem ustrojstvu Državne komisije, ustroj ovog državnog tijela prilagođen je različitim područjima nadležnosti, na način da su ustrojene tri stručne službe – unutarnje ustrojstvene jedinice: Tajništvo, Stručna služba za rješavanje u žalbenim postupcima i Stručna služba za praćenje prakse i postupanje u sudskim postupcima. </w:t>
      </w:r>
    </w:p>
    <w:p w:rsidR="00505632" w:rsidRDefault="00505632" w:rsidP="00505632">
      <w:r>
        <w:t>Ustrojavanjem i razvojem stručnih službi, radni procesi se preciznije definiraju, pojave se brže uočavaju, pa su i povratne informacije kvalitetnije.</w:t>
      </w:r>
    </w:p>
    <w:p w:rsidR="00505632" w:rsidRDefault="00505632" w:rsidP="00505632">
      <w:pPr>
        <w:pStyle w:val="Heading8"/>
        <w:jc w:val="left"/>
      </w:pPr>
      <w:r>
        <w:t>Cilj 3. Izvješćivanje o podacim avezanim za primjenu propisa o javnoj nabavi i pravnoj zaštiti prikupljanjem, analizom i objavom  podataka</w:t>
      </w:r>
    </w:p>
    <w:p w:rsidR="00505632" w:rsidRDefault="00505632" w:rsidP="00505632">
      <w:pPr>
        <w:pStyle w:val="Heading8"/>
        <w:jc w:val="left"/>
      </w:pPr>
      <w:r>
        <w:t>Opis provedbe cilja programa</w:t>
      </w:r>
    </w:p>
    <w:p w:rsidR="00505632" w:rsidRDefault="00505632" w:rsidP="00505632">
      <w:r>
        <w:t xml:space="preserve">Internet stranica www.dkom.hr predstavlja dvosmjernu komunikaciju između predstavnika javnog i privatnog sektora te Državne komisije. Državna komisija je samostalno i nezavisno državno tijelo, po ustroju slično sudstvu, te zbog svoje osnovne funkcije, rješavanja žalbi, nije u mogućnost davati odgovore na pitanja vezana za primjenu posebnih propisa u postupcima u kojima će odlučivati po žalbi. Upravo objavljivanjem  svih potrebnih informacija na internetskoj stranici, upisnika predmeta upravnog postupka, kao i objavljivanjem svih odluka, razvija se transparentnost rada institucije.  </w:t>
      </w:r>
    </w:p>
    <w:p w:rsidR="00505632" w:rsidRDefault="00505632" w:rsidP="00505632">
      <w:r>
        <w:t>Razvojem Internet stranice pravna praksa Državne komisije postaje dostupnija javnosti, a ista predstavnicima privatnog i javnog sektora omogućuje dobivanje svih relevantnih informacija u realnom  vremenu. Posebna pozornost posvećena je analizi žalbenih predmeta, čije je financiranje vezano uz ESI fondove, te Schengenski sporazum, o čemu je sačinjena zasebna analiza na razini 2015. godine, te su isti podaci uvršteni i u Godišnje izvješće o radu za 2015. godinu.</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497"/>
        <w:gridCol w:w="2510"/>
        <w:gridCol w:w="1137"/>
        <w:gridCol w:w="1016"/>
        <w:gridCol w:w="1013"/>
        <w:gridCol w:w="1016"/>
        <w:gridCol w:w="1017"/>
      </w:tblGrid>
      <w:tr w:rsidR="00505632" w:rsidTr="00AD4E52">
        <w:trPr>
          <w:jc w:val="center"/>
        </w:trPr>
        <w:tc>
          <w:tcPr>
            <w:tcW w:w="2497" w:type="dxa"/>
            <w:shd w:val="clear" w:color="auto" w:fill="B5C0D8"/>
          </w:tcPr>
          <w:p w:rsidR="00505632" w:rsidRDefault="00505632" w:rsidP="00AD4E52">
            <w:pPr>
              <w:jc w:val="center"/>
            </w:pPr>
            <w:r>
              <w:t>Pokazatelj učinka</w:t>
            </w:r>
          </w:p>
        </w:tc>
        <w:tc>
          <w:tcPr>
            <w:tcW w:w="2510" w:type="dxa"/>
            <w:shd w:val="clear" w:color="auto" w:fill="B5C0D8"/>
          </w:tcPr>
          <w:p w:rsidR="00505632" w:rsidRDefault="00505632" w:rsidP="00AD4E52">
            <w:pPr>
              <w:pStyle w:val="CellHeader"/>
              <w:jc w:val="center"/>
            </w:pPr>
            <w:r>
              <w:rPr>
                <w:rFonts w:cs="Times New Roman"/>
              </w:rPr>
              <w:t>Definicija</w:t>
            </w:r>
          </w:p>
        </w:tc>
        <w:tc>
          <w:tcPr>
            <w:tcW w:w="1137" w:type="dxa"/>
            <w:shd w:val="clear" w:color="auto" w:fill="B5C0D8"/>
          </w:tcPr>
          <w:p w:rsidR="00505632" w:rsidRDefault="00505632" w:rsidP="00AD4E52">
            <w:pPr>
              <w:pStyle w:val="CellHeader"/>
              <w:jc w:val="center"/>
            </w:pPr>
            <w:r>
              <w:rPr>
                <w:rFonts w:cs="Times New Roman"/>
              </w:rPr>
              <w:t>Jedinica</w:t>
            </w:r>
          </w:p>
        </w:tc>
        <w:tc>
          <w:tcPr>
            <w:tcW w:w="1016" w:type="dxa"/>
            <w:shd w:val="clear" w:color="auto" w:fill="B5C0D8"/>
          </w:tcPr>
          <w:p w:rsidR="00505632" w:rsidRDefault="00505632" w:rsidP="00AD4E52">
            <w:pPr>
              <w:pStyle w:val="CellHeader"/>
              <w:jc w:val="center"/>
            </w:pPr>
            <w:r>
              <w:rPr>
                <w:rFonts w:cs="Times New Roman"/>
              </w:rPr>
              <w:t>Polazna vrijednost</w:t>
            </w:r>
          </w:p>
        </w:tc>
        <w:tc>
          <w:tcPr>
            <w:tcW w:w="1013" w:type="dxa"/>
            <w:shd w:val="clear" w:color="auto" w:fill="B5C0D8"/>
          </w:tcPr>
          <w:p w:rsidR="00505632" w:rsidRDefault="00505632" w:rsidP="00AD4E52">
            <w:pPr>
              <w:pStyle w:val="CellHeader"/>
              <w:jc w:val="center"/>
            </w:pPr>
            <w:r>
              <w:rPr>
                <w:rFonts w:cs="Times New Roman"/>
              </w:rPr>
              <w:t>Izvor podataka</w:t>
            </w:r>
          </w:p>
        </w:tc>
        <w:tc>
          <w:tcPr>
            <w:tcW w:w="1016" w:type="dxa"/>
            <w:shd w:val="clear" w:color="auto" w:fill="B5C0D8"/>
          </w:tcPr>
          <w:p w:rsidR="00505632" w:rsidRDefault="00505632" w:rsidP="00AD4E52">
            <w:pPr>
              <w:pStyle w:val="CellHeader"/>
              <w:jc w:val="center"/>
            </w:pPr>
            <w:r>
              <w:rPr>
                <w:rFonts w:cs="Times New Roman"/>
              </w:rPr>
              <w:t>Ciljana vrijednost (2016.)</w:t>
            </w:r>
          </w:p>
        </w:tc>
        <w:tc>
          <w:tcPr>
            <w:tcW w:w="1017"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497" w:type="dxa"/>
          </w:tcPr>
          <w:p w:rsidR="00505632" w:rsidRDefault="00505632" w:rsidP="00AD4E52">
            <w:pPr>
              <w:pStyle w:val="CellColumn"/>
              <w:jc w:val="left"/>
            </w:pPr>
            <w:r>
              <w:rPr>
                <w:rFonts w:cs="Times New Roman"/>
              </w:rPr>
              <w:t>Objava podataka na stranici DKOM-a</w:t>
            </w:r>
          </w:p>
        </w:tc>
        <w:tc>
          <w:tcPr>
            <w:tcW w:w="2510" w:type="dxa"/>
          </w:tcPr>
          <w:p w:rsidR="00505632" w:rsidRDefault="00505632" w:rsidP="00AD4E52">
            <w:pPr>
              <w:pStyle w:val="CellColumn"/>
              <w:jc w:val="left"/>
            </w:pPr>
            <w:r>
              <w:rPr>
                <w:rFonts w:cs="Times New Roman"/>
              </w:rPr>
              <w:t>Izvješćivanje o podacima vezanim za primjenu propisa o javnoj nabavi  pravnoj zaštiti prikupljanjem, analizom i objavom podataka</w:t>
            </w:r>
          </w:p>
        </w:tc>
        <w:tc>
          <w:tcPr>
            <w:tcW w:w="1137" w:type="dxa"/>
          </w:tcPr>
          <w:p w:rsidR="00505632" w:rsidRDefault="00505632" w:rsidP="00AD4E52">
            <w:pPr>
              <w:pStyle w:val="CellColumn"/>
              <w:jc w:val="right"/>
            </w:pPr>
            <w:r>
              <w:rPr>
                <w:rFonts w:cs="Times New Roman"/>
              </w:rPr>
              <w:t>broj</w:t>
            </w:r>
          </w:p>
        </w:tc>
        <w:tc>
          <w:tcPr>
            <w:tcW w:w="1016" w:type="dxa"/>
          </w:tcPr>
          <w:p w:rsidR="00505632" w:rsidRDefault="00505632" w:rsidP="00AD4E52">
            <w:pPr>
              <w:pStyle w:val="CellColumn"/>
              <w:jc w:val="right"/>
            </w:pPr>
            <w:r>
              <w:rPr>
                <w:rFonts w:cs="Times New Roman"/>
              </w:rPr>
              <w:t>2</w:t>
            </w:r>
          </w:p>
        </w:tc>
        <w:tc>
          <w:tcPr>
            <w:tcW w:w="1013" w:type="dxa"/>
          </w:tcPr>
          <w:p w:rsidR="00505632" w:rsidRDefault="00505632" w:rsidP="00AD4E52">
            <w:pPr>
              <w:pStyle w:val="CellColumn"/>
              <w:jc w:val="right"/>
            </w:pPr>
            <w:r>
              <w:rPr>
                <w:rFonts w:cs="Times New Roman"/>
              </w:rPr>
              <w:t>DKOM</w:t>
            </w:r>
          </w:p>
        </w:tc>
        <w:tc>
          <w:tcPr>
            <w:tcW w:w="1016" w:type="dxa"/>
          </w:tcPr>
          <w:p w:rsidR="00505632" w:rsidRDefault="00505632" w:rsidP="00AD4E52">
            <w:pPr>
              <w:pStyle w:val="CellColumn"/>
              <w:jc w:val="right"/>
            </w:pPr>
            <w:r>
              <w:rPr>
                <w:rFonts w:cs="Times New Roman"/>
              </w:rPr>
              <w:t>2</w:t>
            </w:r>
          </w:p>
        </w:tc>
        <w:tc>
          <w:tcPr>
            <w:tcW w:w="1017" w:type="dxa"/>
          </w:tcPr>
          <w:p w:rsidR="00505632" w:rsidRDefault="00505632" w:rsidP="00AD4E52">
            <w:pPr>
              <w:pStyle w:val="CellColumn"/>
              <w:jc w:val="right"/>
            </w:pPr>
            <w:r>
              <w:rPr>
                <w:rFonts w:cs="Times New Roman"/>
              </w:rPr>
              <w:t>2</w:t>
            </w:r>
          </w:p>
        </w:tc>
      </w:tr>
      <w:tr w:rsidR="00505632" w:rsidTr="00AD4E52">
        <w:trPr>
          <w:jc w:val="center"/>
        </w:trPr>
        <w:tc>
          <w:tcPr>
            <w:tcW w:w="2497" w:type="dxa"/>
          </w:tcPr>
          <w:p w:rsidR="00505632" w:rsidRDefault="00505632" w:rsidP="00AD4E52">
            <w:pPr>
              <w:pStyle w:val="CellColumn"/>
              <w:jc w:val="left"/>
            </w:pPr>
            <w:r>
              <w:rPr>
                <w:rFonts w:cs="Times New Roman"/>
              </w:rPr>
              <w:t>smanjen postotak presuda upravnih sudova kojima se poništavaju odluke DKOM-a</w:t>
            </w:r>
          </w:p>
        </w:tc>
        <w:tc>
          <w:tcPr>
            <w:tcW w:w="2510" w:type="dxa"/>
          </w:tcPr>
          <w:p w:rsidR="00505632" w:rsidRDefault="00505632" w:rsidP="00AD4E52">
            <w:pPr>
              <w:pStyle w:val="CellColumn"/>
              <w:jc w:val="left"/>
            </w:pPr>
            <w:r>
              <w:rPr>
                <w:rFonts w:cs="Times New Roman"/>
              </w:rPr>
              <w:t>Podizanje administrativnih kapaciteta Državne komisije</w:t>
            </w:r>
          </w:p>
        </w:tc>
        <w:tc>
          <w:tcPr>
            <w:tcW w:w="1137" w:type="dxa"/>
          </w:tcPr>
          <w:p w:rsidR="00505632" w:rsidRDefault="00505632" w:rsidP="00AD4E52">
            <w:pPr>
              <w:pStyle w:val="CellColumn"/>
              <w:jc w:val="right"/>
            </w:pPr>
            <w:r>
              <w:rPr>
                <w:rFonts w:cs="Times New Roman"/>
              </w:rPr>
              <w:t>%</w:t>
            </w:r>
          </w:p>
        </w:tc>
        <w:tc>
          <w:tcPr>
            <w:tcW w:w="1016" w:type="dxa"/>
          </w:tcPr>
          <w:p w:rsidR="00505632" w:rsidRDefault="00505632" w:rsidP="00AD4E52">
            <w:pPr>
              <w:jc w:val="left"/>
            </w:pPr>
          </w:p>
        </w:tc>
        <w:tc>
          <w:tcPr>
            <w:tcW w:w="1013" w:type="dxa"/>
          </w:tcPr>
          <w:p w:rsidR="00505632" w:rsidRDefault="00505632" w:rsidP="00AD4E52">
            <w:pPr>
              <w:pStyle w:val="CellColumn"/>
              <w:jc w:val="right"/>
            </w:pPr>
            <w:r>
              <w:rPr>
                <w:rFonts w:cs="Times New Roman"/>
              </w:rPr>
              <w:t>Godišnje izvješće o radu DKOM-a za 2016</w:t>
            </w:r>
          </w:p>
        </w:tc>
        <w:tc>
          <w:tcPr>
            <w:tcW w:w="1016" w:type="dxa"/>
          </w:tcPr>
          <w:p w:rsidR="00505632" w:rsidRDefault="00505632" w:rsidP="00AD4E52">
            <w:pPr>
              <w:jc w:val="left"/>
            </w:pPr>
          </w:p>
        </w:tc>
        <w:tc>
          <w:tcPr>
            <w:tcW w:w="1017" w:type="dxa"/>
          </w:tcPr>
          <w:p w:rsidR="00505632" w:rsidRDefault="00505632" w:rsidP="00AD4E52">
            <w:pPr>
              <w:jc w:val="left"/>
            </w:pPr>
          </w:p>
        </w:tc>
      </w:tr>
      <w:tr w:rsidR="00505632" w:rsidTr="00AD4E52">
        <w:trPr>
          <w:jc w:val="center"/>
        </w:trPr>
        <w:tc>
          <w:tcPr>
            <w:tcW w:w="2497" w:type="dxa"/>
          </w:tcPr>
          <w:p w:rsidR="00505632" w:rsidRDefault="00505632" w:rsidP="00AD4E52">
            <w:pPr>
              <w:pStyle w:val="CellColumn"/>
              <w:jc w:val="left"/>
            </w:pPr>
            <w:r>
              <w:rPr>
                <w:rFonts w:cs="Times New Roman"/>
              </w:rPr>
              <w:t>Skraćivanje roka za rješavanje žalbenih predmeta</w:t>
            </w:r>
          </w:p>
        </w:tc>
        <w:tc>
          <w:tcPr>
            <w:tcW w:w="2510" w:type="dxa"/>
          </w:tcPr>
          <w:p w:rsidR="00505632" w:rsidRDefault="00505632" w:rsidP="00AD4E52">
            <w:pPr>
              <w:pStyle w:val="CellColumn"/>
              <w:jc w:val="left"/>
            </w:pPr>
            <w:r>
              <w:rPr>
                <w:rFonts w:cs="Times New Roman"/>
              </w:rPr>
              <w:t>Jačanje organizacijske strukture žalbenih predmeta</w:t>
            </w:r>
          </w:p>
        </w:tc>
        <w:tc>
          <w:tcPr>
            <w:tcW w:w="1137" w:type="dxa"/>
          </w:tcPr>
          <w:p w:rsidR="00505632" w:rsidRDefault="00505632" w:rsidP="00AD4E52">
            <w:pPr>
              <w:pStyle w:val="CellColumn"/>
              <w:jc w:val="right"/>
            </w:pPr>
            <w:r>
              <w:rPr>
                <w:rFonts w:cs="Times New Roman"/>
              </w:rPr>
              <w:t>kontinuirano</w:t>
            </w:r>
          </w:p>
        </w:tc>
        <w:tc>
          <w:tcPr>
            <w:tcW w:w="1016" w:type="dxa"/>
          </w:tcPr>
          <w:p w:rsidR="00505632" w:rsidRDefault="00505632" w:rsidP="00AD4E52">
            <w:pPr>
              <w:jc w:val="left"/>
            </w:pPr>
          </w:p>
        </w:tc>
        <w:tc>
          <w:tcPr>
            <w:tcW w:w="1013" w:type="dxa"/>
          </w:tcPr>
          <w:p w:rsidR="00505632" w:rsidRDefault="00505632" w:rsidP="00AD4E52">
            <w:pPr>
              <w:pStyle w:val="CellColumn"/>
              <w:jc w:val="right"/>
            </w:pPr>
            <w:r>
              <w:rPr>
                <w:rFonts w:cs="Times New Roman"/>
              </w:rPr>
              <w:t>Godišnje izvješće o radu DKOM-a za 2016</w:t>
            </w:r>
          </w:p>
        </w:tc>
        <w:tc>
          <w:tcPr>
            <w:tcW w:w="1016" w:type="dxa"/>
          </w:tcPr>
          <w:p w:rsidR="00505632" w:rsidRDefault="00505632" w:rsidP="00AD4E52">
            <w:pPr>
              <w:jc w:val="left"/>
            </w:pPr>
          </w:p>
        </w:tc>
        <w:tc>
          <w:tcPr>
            <w:tcW w:w="1017" w:type="dxa"/>
          </w:tcPr>
          <w:p w:rsidR="00505632" w:rsidRDefault="00505632" w:rsidP="00AD4E52">
            <w:pPr>
              <w:jc w:val="left"/>
            </w:pPr>
          </w:p>
        </w:tc>
      </w:tr>
    </w:tbl>
    <w:p w:rsidR="00505632" w:rsidRDefault="00505632" w:rsidP="00505632"/>
    <w:p w:rsidR="00505632" w:rsidRDefault="00505632" w:rsidP="00505632">
      <w:pPr>
        <w:overflowPunct/>
        <w:autoSpaceDE/>
        <w:autoSpaceDN/>
        <w:adjustRightInd/>
        <w:spacing w:after="200" w:line="276" w:lineRule="auto"/>
        <w:jc w:val="left"/>
        <w:textAlignment w:val="auto"/>
      </w:pPr>
      <w:r>
        <w:br w:type="page"/>
      </w:r>
    </w:p>
    <w:p w:rsidR="00505632" w:rsidRDefault="00505632" w:rsidP="00505632">
      <w:pPr>
        <w:pStyle w:val="Heading1"/>
      </w:pPr>
      <w:r>
        <w:t>196 DRŽAVNA KOMISIJA ZA KONTROLU POSTUPAKA JAVNE NABAVE</w:t>
      </w:r>
    </w:p>
    <w:p w:rsidR="00505632" w:rsidRDefault="00505632" w:rsidP="00505632">
      <w:r>
        <w:t>Državna komiisija za kontrolu postupaka javne nabave (u daljnjem tekstu Državna komisija) samostalno je i neovisno državno tijelo nadležno za rješavanje o žalbama u postupcima javne nabave, davanja koncesija i  odabira privatnog partnera u projektima javno-privatnog partnerstva. Državna komiisija u žalbenog postupku odlučuje o zakonitosti postupaka, radnji, propuštanja radnji i odluka kao pojedinačnih akata u navedenim postupcima, te o drugim zahtjevima koje su u postupku pravne zaštite ovlaštenne postaviti stranke postupaka. Državna komisija podnosi i optužne prijedloge za prekršaje propisane Zakonom o javnoj nabavi. Za svoj rad Državna komiisija odgovara Hrvaskom e saboru te je obvezna jednom godišnje istome podnijeti izvješće o svome radu. Zakonom o DKOM-u (NN 18/13, 127/13 i 74/14) propisano je da Državna komisija ima devet članova od kojih je jedan predsjednik i dva zamjenika, a koji donose odluke u tri vijeća, time da članovi Državne komisije ne mogu biti suzdržani od glasovanja. Imenuje ih Hrvatski sabor na prijedlog Vlade Republike Hrvatske. Pojedinim vijećem predsjedava predsjednik Državne komisije, odnosno jedan od zamjenika predsjednika. Unutarnje ustrojstvo, organizacija, način rada i druga pitanja od značenja za rad Državne komisije uređuje se Uredbom  o unutarnjem ustrojstvu Državne komiisije za kontrolu postupaka javne nabave, koju je donijela Vlada Republike Hrvatske ("Narodne novine", broj 84/13, 145/14). Sukladno organizacijskoj klasifikaciji Državna komisija je razdjel oznake 196, glava 05.</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Index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19605-Državna komisija za kontrolu postupaka javne nabave</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7.403.706</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8.699.361</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8.653.091</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99,5</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116,9</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left"/>
              <w:rPr>
                <w:lang w:eastAsia="en-US"/>
              </w:rPr>
            </w:pPr>
            <w:r>
              <w:rPr>
                <w:rFonts w:cs="Times New Roman"/>
                <w:lang w:eastAsia="en-US"/>
              </w:rPr>
              <w:t>Ukupno 196-DRŽAVNA KOMISIJA ZA KONTROLU POSTUPAKA JAVNE NABAVE</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7.403.706</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8.699.361</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8.653.091</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99,5</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116,9</w:t>
            </w:r>
          </w:p>
        </w:tc>
      </w:tr>
    </w:tbl>
    <w:p w:rsidR="00505632" w:rsidRDefault="00505632" w:rsidP="00505632">
      <w:pPr>
        <w:jc w:val="left"/>
      </w:pPr>
    </w:p>
    <w:p w:rsidR="00505632" w:rsidRDefault="00505632" w:rsidP="00505632">
      <w:pPr>
        <w:pStyle w:val="Heading2"/>
      </w:pPr>
      <w:r>
        <w:t>19605 Državna komisija za kontrolu postupaka javne nabave</w:t>
      </w:r>
    </w:p>
    <w:p w:rsidR="00505632" w:rsidRDefault="00505632" w:rsidP="00505632">
      <w:r>
        <w:t>Sukladno organizacijskoj klasifikaciji Državna komisija je razdjel oznake 195, glava 05. Državna komisija ima jedan program: 2209 - Kontrola javne nabave, jednu aktivnost: A744000- Kontrola postupaka javne nabave i dva kapitalna projekta: K744001 - Opremanje uredskog prostora i K744002 - Informatizacija. Ukupan plan za 2016. godinu iznosi 8.699.361 kuna, a od tog iznosa za plaće je planirano  6.580.561 kunu, a izvršeno je 6.567.887 kuna, za materijalne troškove planirano je 1.912.837 kuna, a izvršeno je 1.888.484 kune, za financijske izdatke planirano je 1.500 kuna, a izvršeno je 400 kuna te za kapitalne izdatke planirano je 204.363 kune, a izvršeno je 196.320 kuna.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19605-Državna komisija za kontrolu postupaka javne nabave</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7.403.706</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8.699.361</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8.653.091</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99,5</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116,9</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left"/>
            </w:pPr>
            <w:r>
              <w:t>2209-KONTROLA POSTUPAKA JAVNE NABAVE</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7.403.706</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8.699.361</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8.653.091</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99,5</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jc w:val="right"/>
            </w:pPr>
            <w:r>
              <w:t>116,9</w:t>
            </w:r>
          </w:p>
        </w:tc>
      </w:tr>
    </w:tbl>
    <w:p w:rsidR="00505632" w:rsidRDefault="00505632" w:rsidP="00505632">
      <w:pPr>
        <w:jc w:val="left"/>
      </w:pPr>
    </w:p>
    <w:p w:rsidR="00505632" w:rsidRDefault="00505632" w:rsidP="00505632">
      <w:pPr>
        <w:pStyle w:val="Heading3"/>
      </w:pPr>
      <w:r>
        <w:rPr>
          <w:rFonts w:cs="Times New Roman"/>
        </w:rPr>
        <w:t>2209 KONTROLA POSTUPAKA JAVNE NABAVE</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Index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2209-KONTROLA POSTUPAKA JAVNE NABAVE</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7.403.706</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8.699.361</w:t>
            </w:r>
          </w:p>
        </w:tc>
        <w:tc>
          <w:tcPr>
            <w:tcW w:w="204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8.653.091</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99,5</w:t>
            </w:r>
          </w:p>
        </w:tc>
        <w:tc>
          <w:tcPr>
            <w:tcW w:w="1224"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116,9</w:t>
            </w:r>
          </w:p>
        </w:tc>
      </w:tr>
    </w:tbl>
    <w:p w:rsidR="00505632" w:rsidRDefault="00505632" w:rsidP="00505632">
      <w:pPr>
        <w:jc w:val="left"/>
      </w:pPr>
    </w:p>
    <w:p w:rsidR="00505632" w:rsidRDefault="00505632" w:rsidP="00505632">
      <w:r>
        <w:t>Državna komisija ima jedan program: 2209 - Kontrola javne nabave, jednu aktivnost: A744000- Kontrola postupaka javne nabave i dva kapitalna projekta: K744001 - Opremanje uredskog prostora i K744002 - Informatizacija. Ukupan plan za 2016. godinu iznosio je 8.699.361 kuna, a izvršenje je bilo ukupno 8.653.091 kuna. Za plaće je planirano  6.580.561 kunu, a izvršeno je 6.567.887 kuna, za materijalne troškove planirano je 1.912.837 kuna, a izvršeno je 1.888.484 kune, za financijske izdatke planirano je 1.500 kuna, a izvršeno je 400 kuna te je za kapitalne izdatke planirano 204.363 kune, a izvršeno je 196.320 kuna.</w:t>
      </w:r>
    </w:p>
    <w:p w:rsidR="00505632" w:rsidRDefault="00505632" w:rsidP="00505632">
      <w:pPr>
        <w:pStyle w:val="Heading8"/>
        <w:jc w:val="left"/>
      </w:pPr>
      <w:r>
        <w:t>Cilj 1. Podizanje administrativnih kapaciteta Državne komisije</w:t>
      </w:r>
    </w:p>
    <w:p w:rsidR="00505632" w:rsidRDefault="00505632" w:rsidP="00505632">
      <w:pPr>
        <w:pStyle w:val="Heading8"/>
        <w:jc w:val="left"/>
      </w:pPr>
      <w:r>
        <w:t>Opis provedbe cilja programa</w:t>
      </w:r>
    </w:p>
    <w:p w:rsidR="00505632" w:rsidRDefault="00505632" w:rsidP="00505632">
      <w:r>
        <w:t xml:space="preserve">Rješavanje žalbenih predmeta u zakonom predviđenim rokovima od značaja su za sve sudionike postupaka. </w:t>
      </w:r>
    </w:p>
    <w:p w:rsidR="00505632" w:rsidRDefault="00505632" w:rsidP="00505632">
      <w:r>
        <w:t xml:space="preserve">Državna komisija je u 2015. godini zaprimila 1135  žalbenih predmeta.Tijekom 2015. godine donesena je ukupno 1188 odluka. Državna komisija donosi i javno objavljuje odluku u žalbenom postupku u roku od 30 dana urednosti žalbe.   </w:t>
      </w:r>
    </w:p>
    <w:p w:rsidR="00505632" w:rsidRDefault="00505632" w:rsidP="00505632">
      <w:r>
        <w:t xml:space="preserve">Conditio sine qua non za korištenje sredstava ESI fondova su odgovarajući administrativni kapaciteti Državne komisije, budući da je jedino Državna komisija, u žalbenom postupku, ovlaštena kontrolirati zakonitost provedenog postupka javne nabave, koji se sufinancira sredstvima ESI fondova, a koje sufinanciranje iznosi do 85% troškova. </w:t>
      </w:r>
    </w:p>
    <w:p w:rsidR="00505632" w:rsidRDefault="00505632" w:rsidP="00505632">
      <w:r>
        <w:t>Adekvatan odgovor na sve veći broj uloženih žalbi u postupcima javne nabave u širem smislu, kao i kontinuiranog širenja nadležnosti Državne komisije, omogućuje se jačanjem  stručnosti Državne komisije.</w:t>
      </w:r>
    </w:p>
    <w:p w:rsidR="00505632" w:rsidRDefault="00505632" w:rsidP="00505632">
      <w:pPr>
        <w:pStyle w:val="Heading8"/>
        <w:jc w:val="left"/>
      </w:pPr>
      <w:r>
        <w:t>Cilj 2. Jačanje organizacijske strukture Državne komisije</w:t>
      </w:r>
    </w:p>
    <w:p w:rsidR="00505632" w:rsidRDefault="00505632" w:rsidP="00505632">
      <w:pPr>
        <w:pStyle w:val="Heading8"/>
        <w:jc w:val="left"/>
      </w:pPr>
      <w:r>
        <w:t>Opis provedbe cilja programa</w:t>
      </w:r>
    </w:p>
    <w:p w:rsidR="00505632" w:rsidRDefault="00505632" w:rsidP="00505632">
      <w:r>
        <w:t xml:space="preserve">Nadležnosti Državne komisije su se u dvanaest godina njezina rada redovito širile od rješavanja žalbi i drugih zahtjeva u postupcima javne nabave, preko rješavanja žalbi u postupcima davanja koncesija i postupcima odabira privatnog partnera u projektima javno – privatnog partnerstva, te rješavanja žalbi u postupcima javne nabave provedenih temeljem Uredbe o javnoj nabavi za potrebe obrane i sigurnosti. Nadležnost se proteže i na podnošenje optužnih prijedloga za prekršaje propisanih Zakonom o javnoj nabavi i drugim propisima koji uređuju područje javne nabave.  </w:t>
      </w:r>
    </w:p>
    <w:p w:rsidR="00505632" w:rsidRDefault="00505632" w:rsidP="00505632">
      <w:r>
        <w:t xml:space="preserve">Uredbom o unutarnjem ustrojstvu Državne komisije, te Izmjenama i dopuni Uredbe o unutarnjem ustrojstvu Državne komisije, ustroj ovog državnog tijela prilagođen je različitim područjima nadležnosti, na način da su ustrojene tri stručne službe – unutarnje ustrojstvene jedinice: Tajništvo, Stručna služba za rješavanje u žalbenim postupcima i Stručna služba za praćenje prakse i postupanje u sudskim postupcima. </w:t>
      </w:r>
    </w:p>
    <w:p w:rsidR="00505632" w:rsidRDefault="00505632" w:rsidP="00505632">
      <w:r>
        <w:t>Ustrojavanjem i razvojem stručnih službi, radni procesi se preciznije definiraju, pojave se brže uočavaju, pa su i povratne informacije kvalitetnije.</w:t>
      </w:r>
    </w:p>
    <w:p w:rsidR="00505632" w:rsidRDefault="00505632" w:rsidP="00505632">
      <w:pPr>
        <w:pStyle w:val="Heading8"/>
        <w:jc w:val="left"/>
      </w:pPr>
      <w:r>
        <w:t>Cilj 3. Izvješćivanje o podacim avezanim za primjenu propisa o javnoj nabavi i pravnoj zaštiti prikupljanjem, analizom i objavom  podataka</w:t>
      </w:r>
    </w:p>
    <w:p w:rsidR="00505632" w:rsidRDefault="00505632" w:rsidP="00505632">
      <w:pPr>
        <w:pStyle w:val="Heading8"/>
        <w:jc w:val="left"/>
      </w:pPr>
      <w:r>
        <w:t>Opis provedbe cilja programa</w:t>
      </w:r>
    </w:p>
    <w:p w:rsidR="00505632" w:rsidRDefault="00505632" w:rsidP="00505632">
      <w:r>
        <w:t xml:space="preserve">Internet stranica www.dkom.hr predstavlja dvosmjernu komunikaciju između predstavnika javnog i privatnog sektora te Državne komisije. Državna komisija je samostalno i nezavisno državno tijelo, po ustroju slično sudstvu, te zbog svoje osnovne funkcije, rješavanja žalbi, nije u mogućnost davati odgovore na pitanja vezana za primjenu posebnih propisa u postupcima u kojima će odlučivati po žalbi. Upravo objavljivanjem  svih potrebnih informacija na internetskoj stranici, upisnika predmeta upravnog postupka, kao i objavljivanjem svih odluka, razvija se transparentnost rada institucije.  </w:t>
      </w:r>
    </w:p>
    <w:p w:rsidR="00505632" w:rsidRDefault="00505632" w:rsidP="00505632">
      <w:r>
        <w:t>Razvojem Internet stranice pravna praksa Državne komisije postaje dostupnija javnosti, a ista predstavnicima privatnog i javnog sektora omogućuje dobivanje svih relevantnih informacija u realnom  vremenu. Posebna pozornost posvećena je analizi žalbenih predmeta, čije je financiranje vezano uz ESI fondove, te Schengenski sporazum, o čemu je sačinjena zasebna analiza na razini 2015. godine, te su isti podaci uvršteni i u Godišnje izvješće o radu za 2015. godinu.</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497"/>
        <w:gridCol w:w="2510"/>
        <w:gridCol w:w="1137"/>
        <w:gridCol w:w="1016"/>
        <w:gridCol w:w="1013"/>
        <w:gridCol w:w="1016"/>
        <w:gridCol w:w="1017"/>
      </w:tblGrid>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jc w:val="center"/>
            </w:pPr>
            <w:r>
              <w:t>Pokazatelj učinka</w:t>
            </w:r>
          </w:p>
        </w:tc>
        <w:tc>
          <w:tcPr>
            <w:tcW w:w="255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Definicija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Jedinica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Polazna vrijednost</w:t>
            </w:r>
          </w:p>
        </w:tc>
        <w:tc>
          <w:tcPr>
            <w:tcW w:w="918"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Izvor podataka</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Ciljana vrijednost (2016.)</w:t>
            </w:r>
          </w:p>
        </w:tc>
        <w:tc>
          <w:tcPr>
            <w:tcW w:w="1020"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Ostvarena vrijednost (2016.)</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Objava podataka na stranici DKOM-a</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Izvješćivanje o podacima vezanim za primjenu propisa o javnoj nabavi  pravnoj zaštiti prikupljanjem, analizom i objavom podataka</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broj</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DKOM</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2</w:t>
            </w: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smanjen postotak presuda upravnih sudova kojima se poništavaju odluke DKOM-a</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Podizanje administrativnih kapaciteta Državne komisije</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w:t>
            </w:r>
          </w:p>
        </w:tc>
        <w:tc>
          <w:tcPr>
            <w:tcW w:w="1020" w:type="dxa"/>
            <w:tcBorders>
              <w:top w:val="single" w:sz="4" w:space="0" w:color="auto"/>
              <w:left w:val="single" w:sz="4" w:space="0" w:color="auto"/>
              <w:bottom w:val="single" w:sz="4" w:space="0" w:color="auto"/>
              <w:right w:val="single" w:sz="4" w:space="0" w:color="auto"/>
            </w:tcBorders>
          </w:tcPr>
          <w:p w:rsidR="00505632" w:rsidRDefault="00505632" w:rsidP="00AD4E52">
            <w:pPr>
              <w:jc w:val="left"/>
            </w:pP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Godišnje izvješće o radu DKOM-a za 2016</w:t>
            </w:r>
          </w:p>
        </w:tc>
        <w:tc>
          <w:tcPr>
            <w:tcW w:w="1020" w:type="dxa"/>
            <w:tcBorders>
              <w:top w:val="single" w:sz="4" w:space="0" w:color="auto"/>
              <w:left w:val="single" w:sz="4" w:space="0" w:color="auto"/>
              <w:bottom w:val="single" w:sz="4" w:space="0" w:color="auto"/>
              <w:right w:val="single" w:sz="4" w:space="0" w:color="auto"/>
            </w:tcBorders>
          </w:tcPr>
          <w:p w:rsidR="00505632" w:rsidRDefault="00505632" w:rsidP="00AD4E52">
            <w:pPr>
              <w:jc w:val="left"/>
            </w:pPr>
          </w:p>
        </w:tc>
        <w:tc>
          <w:tcPr>
            <w:tcW w:w="1020" w:type="dxa"/>
            <w:tcBorders>
              <w:top w:val="single" w:sz="4" w:space="0" w:color="auto"/>
              <w:left w:val="single" w:sz="4" w:space="0" w:color="auto"/>
              <w:bottom w:val="single" w:sz="4" w:space="0" w:color="auto"/>
              <w:right w:val="single" w:sz="4" w:space="0" w:color="auto"/>
            </w:tcBorders>
          </w:tcPr>
          <w:p w:rsidR="00505632" w:rsidRDefault="00505632" w:rsidP="00AD4E52">
            <w:pPr>
              <w:jc w:val="left"/>
            </w:pPr>
          </w:p>
        </w:tc>
      </w:tr>
      <w:tr w:rsidR="00505632" w:rsidTr="00AD4E52">
        <w:trPr>
          <w:jc w:val="center"/>
        </w:trPr>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Skraćivanje roka za rješavanje žalbenih predmeta</w:t>
            </w:r>
          </w:p>
        </w:tc>
        <w:tc>
          <w:tcPr>
            <w:tcW w:w="2551"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left"/>
              <w:rPr>
                <w:lang w:eastAsia="en-US"/>
              </w:rPr>
            </w:pPr>
            <w:r>
              <w:rPr>
                <w:rFonts w:cs="Times New Roman"/>
                <w:lang w:eastAsia="en-US"/>
              </w:rPr>
              <w:t>Jačanje organizacijske strukture žalbenih predmeta</w:t>
            </w: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kontinuirano</w:t>
            </w:r>
          </w:p>
        </w:tc>
        <w:tc>
          <w:tcPr>
            <w:tcW w:w="1020" w:type="dxa"/>
            <w:tcBorders>
              <w:top w:val="single" w:sz="4" w:space="0" w:color="auto"/>
              <w:left w:val="single" w:sz="4" w:space="0" w:color="auto"/>
              <w:bottom w:val="single" w:sz="4" w:space="0" w:color="auto"/>
              <w:right w:val="single" w:sz="4" w:space="0" w:color="auto"/>
            </w:tcBorders>
          </w:tcPr>
          <w:p w:rsidR="00505632" w:rsidRDefault="00505632" w:rsidP="00AD4E52">
            <w:pPr>
              <w:jc w:val="left"/>
            </w:pPr>
          </w:p>
        </w:tc>
        <w:tc>
          <w:tcPr>
            <w:tcW w:w="1020" w:type="dxa"/>
            <w:tcBorders>
              <w:top w:val="single" w:sz="4" w:space="0" w:color="auto"/>
              <w:left w:val="single" w:sz="4" w:space="0" w:color="auto"/>
              <w:bottom w:val="single" w:sz="4" w:space="0" w:color="auto"/>
              <w:right w:val="single" w:sz="4" w:space="0" w:color="auto"/>
            </w:tcBorders>
            <w:hideMark/>
          </w:tcPr>
          <w:p w:rsidR="00505632" w:rsidRDefault="00505632" w:rsidP="00AD4E52">
            <w:pPr>
              <w:pStyle w:val="CellColumn"/>
              <w:jc w:val="right"/>
              <w:rPr>
                <w:lang w:eastAsia="en-US"/>
              </w:rPr>
            </w:pPr>
            <w:r>
              <w:rPr>
                <w:rFonts w:cs="Times New Roman"/>
                <w:lang w:eastAsia="en-US"/>
              </w:rPr>
              <w:t>Godišnje izvješće o radu DKOM-a za 2016</w:t>
            </w:r>
          </w:p>
        </w:tc>
        <w:tc>
          <w:tcPr>
            <w:tcW w:w="1020" w:type="dxa"/>
            <w:tcBorders>
              <w:top w:val="single" w:sz="4" w:space="0" w:color="auto"/>
              <w:left w:val="single" w:sz="4" w:space="0" w:color="auto"/>
              <w:bottom w:val="single" w:sz="4" w:space="0" w:color="auto"/>
              <w:right w:val="single" w:sz="4" w:space="0" w:color="auto"/>
            </w:tcBorders>
          </w:tcPr>
          <w:p w:rsidR="00505632" w:rsidRDefault="00505632" w:rsidP="00AD4E52">
            <w:pPr>
              <w:jc w:val="left"/>
            </w:pPr>
          </w:p>
        </w:tc>
        <w:tc>
          <w:tcPr>
            <w:tcW w:w="1020" w:type="dxa"/>
            <w:tcBorders>
              <w:top w:val="single" w:sz="4" w:space="0" w:color="auto"/>
              <w:left w:val="single" w:sz="4" w:space="0" w:color="auto"/>
              <w:bottom w:val="single" w:sz="4" w:space="0" w:color="auto"/>
              <w:right w:val="single" w:sz="4" w:space="0" w:color="auto"/>
            </w:tcBorders>
          </w:tcPr>
          <w:p w:rsidR="00505632" w:rsidRDefault="00505632" w:rsidP="00AD4E52">
            <w:pPr>
              <w:jc w:val="left"/>
            </w:pPr>
          </w:p>
        </w:tc>
      </w:tr>
    </w:tbl>
    <w:p w:rsidR="00505632" w:rsidRDefault="00505632" w:rsidP="00505632">
      <w:pPr>
        <w:jc w:val="left"/>
      </w:pPr>
    </w:p>
    <w:p w:rsidR="00505632" w:rsidRDefault="00505632" w:rsidP="00505632">
      <w:pPr>
        <w:jc w:val="left"/>
      </w:pPr>
    </w:p>
    <w:p w:rsidR="00505632" w:rsidRDefault="00505632" w:rsidP="00505632">
      <w:pPr>
        <w:overflowPunct/>
        <w:autoSpaceDE/>
        <w:autoSpaceDN/>
        <w:adjustRightInd/>
        <w:spacing w:after="200" w:line="276" w:lineRule="auto"/>
        <w:jc w:val="left"/>
        <w:textAlignment w:val="auto"/>
      </w:pPr>
      <w:r>
        <w:br w:type="page"/>
      </w:r>
    </w:p>
    <w:p w:rsidR="00505632" w:rsidRDefault="00505632" w:rsidP="00505632">
      <w:pPr>
        <w:pStyle w:val="Heading1"/>
      </w:pPr>
      <w:r>
        <w:t>250 AGENCIJA ZA ZAŠTITU OSOBNIH PODATAKA</w:t>
      </w:r>
    </w:p>
    <w:p w:rsidR="00505632" w:rsidRDefault="00505632" w:rsidP="00505632">
      <w:r>
        <w:t>Zakon o zaštiti osobnih podataka ( NN br. 103/03., 118/06., 41/08., 130/11., 106/12  pročišćeni tekst) temeljni je propis koji uređuje zaštitu osobnih podataka fizičkih osoba, te nadzor nad prikupljanjem, obradom i korištenjem osobnih podataka u Republici Hrvatskoj. Zakonom je utvrđeno osnivanje Agencije za zaštitu osobnih podataka kao samostalne pravne osobe odgovorne Hrvatskom saboru, koja dio svojih poslova i zadataka obavlja kao javne ovlasti. Agencija za zaštitu osobnih podataka počela je sa radom krajem 2004. godine. Agencija je uspostavljena i djeluje samostalno i neovisno o izvršnoj i zakonodavnoj vlasti, ne primajući upute i naloge od bilo kojeg državnog tijela, kako je propisano  Direktivom 95/46 Europskog parlamenta i Vijeća od 24. listopada 1995. o zaštiti pojedinaca u vezi s obradom osobnih podataka i o slobodnom protoku takvih podataka. Navedena Direktiva je temeljni europski propis o zaštiti osobnih podataka i implementirana je u svim državama članicama. Direktiva 95/46 izričito propisuje neovisnost svih tijela za zaštitu osobnih podataka na području Europske unije, tako da je čl. 28.  propisano da svaka država članica osigurava da je jedno ili više javnih tijela na njenom području odgovorno za nadzor primjene odredbi koje su donijele države članice u skladu s navedenom Direktivom i da ta tijela u provedbi funkcija koje su im povjerene djeluju potpuno neovisno. Neovisnosti tijela za zaštitu osobnih podataka propisuje osim toga i Konvencija za zaštitu osoba glede automatizirane obrade osobnih podataka (Konvencija 108 Vijeća Europe) i Dodatni protokol uz Konvenciju za zaštitu osoba glede automatizirane obrade osobnih podataka u vezi nadzornih tijela i međunarodne razmjene podataka. Danas je u Agenciji zaposleno 28 djelatnika.  Sredstva za rad Agencije za zaštitu osobnih podataka planirana su u Državnom proračunu RH u okviru odobrenih limita za navedeni period.</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25005-Agencija za zaštitu osobnih podataka</w:t>
            </w:r>
          </w:p>
        </w:tc>
        <w:tc>
          <w:tcPr>
            <w:tcW w:w="2041" w:type="dxa"/>
            <w:vAlign w:val="top"/>
          </w:tcPr>
          <w:p w:rsidR="00505632" w:rsidRDefault="00505632" w:rsidP="00AD4E52">
            <w:pPr>
              <w:pStyle w:val="CellColumn"/>
              <w:jc w:val="right"/>
            </w:pPr>
            <w:r>
              <w:rPr>
                <w:rFonts w:cs="Times New Roman"/>
              </w:rPr>
              <w:t>5.252.676</w:t>
            </w:r>
          </w:p>
        </w:tc>
        <w:tc>
          <w:tcPr>
            <w:tcW w:w="2041" w:type="dxa"/>
            <w:vAlign w:val="top"/>
          </w:tcPr>
          <w:p w:rsidR="00505632" w:rsidRDefault="00505632" w:rsidP="00AD4E52">
            <w:pPr>
              <w:pStyle w:val="CellColumn"/>
              <w:jc w:val="right"/>
            </w:pPr>
            <w:r>
              <w:rPr>
                <w:rFonts w:cs="Times New Roman"/>
              </w:rPr>
              <w:t>5.443.308</w:t>
            </w:r>
          </w:p>
        </w:tc>
        <w:tc>
          <w:tcPr>
            <w:tcW w:w="2041" w:type="dxa"/>
            <w:vAlign w:val="top"/>
          </w:tcPr>
          <w:p w:rsidR="00505632" w:rsidRDefault="00505632" w:rsidP="00AD4E52">
            <w:pPr>
              <w:pStyle w:val="CellColumn"/>
              <w:jc w:val="right"/>
            </w:pPr>
            <w:r>
              <w:rPr>
                <w:rFonts w:cs="Times New Roman"/>
              </w:rPr>
              <w:t>5.333.329</w:t>
            </w:r>
          </w:p>
        </w:tc>
        <w:tc>
          <w:tcPr>
            <w:tcW w:w="1224" w:type="dxa"/>
            <w:vAlign w:val="top"/>
          </w:tcPr>
          <w:p w:rsidR="00505632" w:rsidRDefault="00505632" w:rsidP="00AD4E52">
            <w:pPr>
              <w:pStyle w:val="CellColumn"/>
              <w:jc w:val="right"/>
            </w:pPr>
            <w:r>
              <w:rPr>
                <w:rFonts w:cs="Times New Roman"/>
              </w:rPr>
              <w:t>98,0</w:t>
            </w:r>
          </w:p>
        </w:tc>
        <w:tc>
          <w:tcPr>
            <w:tcW w:w="1224" w:type="dxa"/>
            <w:vAlign w:val="top"/>
          </w:tcPr>
          <w:p w:rsidR="00505632" w:rsidRDefault="00505632" w:rsidP="00AD4E52">
            <w:pPr>
              <w:pStyle w:val="CellColumn"/>
              <w:jc w:val="right"/>
            </w:pPr>
            <w:r>
              <w:rPr>
                <w:rFonts w:cs="Times New Roman"/>
              </w:rPr>
              <w:t>101,5</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250-AGENCIJA ZA ZAŠTITU OSOBNIH PODATAKA</w:t>
            </w:r>
          </w:p>
        </w:tc>
        <w:tc>
          <w:tcPr>
            <w:tcW w:w="2041" w:type="dxa"/>
            <w:shd w:val="clear" w:color="auto" w:fill="B5C0D8"/>
          </w:tcPr>
          <w:p w:rsidR="00505632" w:rsidRDefault="00505632" w:rsidP="00AD4E52">
            <w:pPr>
              <w:pStyle w:val="CellColumn"/>
              <w:jc w:val="right"/>
            </w:pPr>
            <w:r>
              <w:rPr>
                <w:rFonts w:cs="Times New Roman"/>
              </w:rPr>
              <w:t>5.252.676</w:t>
            </w:r>
          </w:p>
        </w:tc>
        <w:tc>
          <w:tcPr>
            <w:tcW w:w="2041" w:type="dxa"/>
            <w:shd w:val="clear" w:color="auto" w:fill="B5C0D8"/>
          </w:tcPr>
          <w:p w:rsidR="00505632" w:rsidRDefault="00505632" w:rsidP="00AD4E52">
            <w:pPr>
              <w:pStyle w:val="CellColumn"/>
              <w:jc w:val="right"/>
            </w:pPr>
            <w:r>
              <w:rPr>
                <w:rFonts w:cs="Times New Roman"/>
              </w:rPr>
              <w:t>5.443.308</w:t>
            </w:r>
          </w:p>
        </w:tc>
        <w:tc>
          <w:tcPr>
            <w:tcW w:w="2041" w:type="dxa"/>
            <w:shd w:val="clear" w:color="auto" w:fill="B5C0D8"/>
          </w:tcPr>
          <w:p w:rsidR="00505632" w:rsidRDefault="00505632" w:rsidP="00AD4E52">
            <w:pPr>
              <w:pStyle w:val="CellColumn"/>
              <w:jc w:val="right"/>
            </w:pPr>
            <w:r>
              <w:rPr>
                <w:rFonts w:cs="Times New Roman"/>
              </w:rPr>
              <w:t>5.333.329</w:t>
            </w:r>
          </w:p>
        </w:tc>
        <w:tc>
          <w:tcPr>
            <w:tcW w:w="1224" w:type="dxa"/>
            <w:shd w:val="clear" w:color="auto" w:fill="B5C0D8"/>
          </w:tcPr>
          <w:p w:rsidR="00505632" w:rsidRDefault="00505632" w:rsidP="00AD4E52">
            <w:pPr>
              <w:pStyle w:val="CellColumn"/>
              <w:jc w:val="right"/>
            </w:pPr>
            <w:r>
              <w:rPr>
                <w:rFonts w:cs="Times New Roman"/>
              </w:rPr>
              <w:t>98,0</w:t>
            </w:r>
          </w:p>
        </w:tc>
        <w:tc>
          <w:tcPr>
            <w:tcW w:w="1224" w:type="dxa"/>
            <w:shd w:val="clear" w:color="auto" w:fill="B5C0D8"/>
          </w:tcPr>
          <w:p w:rsidR="00505632" w:rsidRDefault="00505632" w:rsidP="00AD4E52">
            <w:pPr>
              <w:pStyle w:val="CellColumn"/>
              <w:jc w:val="right"/>
            </w:pPr>
            <w:r>
              <w:rPr>
                <w:rFonts w:cs="Times New Roman"/>
              </w:rPr>
              <w:t>101,5</w:t>
            </w:r>
          </w:p>
        </w:tc>
      </w:tr>
    </w:tbl>
    <w:p w:rsidR="00505632" w:rsidRDefault="00505632" w:rsidP="00505632">
      <w:pPr>
        <w:jc w:val="left"/>
      </w:pPr>
    </w:p>
    <w:p w:rsidR="00505632" w:rsidRDefault="00505632" w:rsidP="00505632">
      <w:pPr>
        <w:pStyle w:val="Heading2"/>
      </w:pPr>
      <w:r>
        <w:t>25005 Agencija za zaštitu osobnih podataka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25005-Agencija za zaštitu osobnih podataka</w:t>
            </w:r>
          </w:p>
        </w:tc>
        <w:tc>
          <w:tcPr>
            <w:tcW w:w="2041" w:type="dxa"/>
            <w:vAlign w:val="top"/>
          </w:tcPr>
          <w:p w:rsidR="00505632" w:rsidRDefault="00505632" w:rsidP="00AD4E52">
            <w:pPr>
              <w:pStyle w:val="CellColumn"/>
              <w:jc w:val="right"/>
            </w:pPr>
            <w:r>
              <w:rPr>
                <w:rFonts w:cs="Times New Roman"/>
              </w:rPr>
              <w:t>5.252.676</w:t>
            </w:r>
          </w:p>
        </w:tc>
        <w:tc>
          <w:tcPr>
            <w:tcW w:w="2041" w:type="dxa"/>
            <w:vAlign w:val="top"/>
          </w:tcPr>
          <w:p w:rsidR="00505632" w:rsidRDefault="00505632" w:rsidP="00AD4E52">
            <w:pPr>
              <w:pStyle w:val="CellColumn"/>
              <w:jc w:val="right"/>
            </w:pPr>
            <w:r>
              <w:rPr>
                <w:rFonts w:cs="Times New Roman"/>
              </w:rPr>
              <w:t>5.443.308</w:t>
            </w:r>
          </w:p>
        </w:tc>
        <w:tc>
          <w:tcPr>
            <w:tcW w:w="2041" w:type="dxa"/>
            <w:vAlign w:val="top"/>
          </w:tcPr>
          <w:p w:rsidR="00505632" w:rsidRDefault="00505632" w:rsidP="00AD4E52">
            <w:pPr>
              <w:pStyle w:val="CellColumn"/>
              <w:jc w:val="right"/>
            </w:pPr>
            <w:r>
              <w:rPr>
                <w:rFonts w:cs="Times New Roman"/>
              </w:rPr>
              <w:t>5.333.329</w:t>
            </w:r>
          </w:p>
        </w:tc>
        <w:tc>
          <w:tcPr>
            <w:tcW w:w="1224" w:type="dxa"/>
            <w:vAlign w:val="top"/>
          </w:tcPr>
          <w:p w:rsidR="00505632" w:rsidRDefault="00505632" w:rsidP="00AD4E52">
            <w:pPr>
              <w:pStyle w:val="CellColumn"/>
              <w:jc w:val="right"/>
            </w:pPr>
            <w:r>
              <w:rPr>
                <w:rFonts w:cs="Times New Roman"/>
              </w:rPr>
              <w:t>98,0</w:t>
            </w:r>
          </w:p>
        </w:tc>
        <w:tc>
          <w:tcPr>
            <w:tcW w:w="1224" w:type="dxa"/>
            <w:vAlign w:val="top"/>
          </w:tcPr>
          <w:p w:rsidR="00505632" w:rsidRDefault="00505632" w:rsidP="00AD4E52">
            <w:pPr>
              <w:pStyle w:val="CellColumn"/>
              <w:jc w:val="right"/>
            </w:pPr>
            <w:r>
              <w:rPr>
                <w:rFonts w:cs="Times New Roman"/>
              </w:rPr>
              <w:t>101,5</w:t>
            </w:r>
          </w:p>
        </w:tc>
      </w:tr>
      <w:tr w:rsidR="00505632" w:rsidTr="00AD4E52">
        <w:trPr>
          <w:jc w:val="center"/>
        </w:trPr>
        <w:tc>
          <w:tcPr>
            <w:tcW w:w="1632" w:type="dxa"/>
          </w:tcPr>
          <w:p w:rsidR="00505632" w:rsidRDefault="00505632" w:rsidP="00AD4E52">
            <w:pPr>
              <w:jc w:val="left"/>
            </w:pPr>
            <w:r>
              <w:t>2814-ZAŠTITA OSOBNIH PODATAKA</w:t>
            </w:r>
          </w:p>
        </w:tc>
        <w:tc>
          <w:tcPr>
            <w:tcW w:w="2041" w:type="dxa"/>
          </w:tcPr>
          <w:p w:rsidR="00505632" w:rsidRDefault="00505632" w:rsidP="00AD4E52">
            <w:pPr>
              <w:jc w:val="right"/>
            </w:pPr>
            <w:r>
              <w:t>5.252.676</w:t>
            </w:r>
          </w:p>
        </w:tc>
        <w:tc>
          <w:tcPr>
            <w:tcW w:w="2041" w:type="dxa"/>
          </w:tcPr>
          <w:p w:rsidR="00505632" w:rsidRDefault="00505632" w:rsidP="00AD4E52">
            <w:pPr>
              <w:jc w:val="right"/>
            </w:pPr>
            <w:r>
              <w:t>5.443.308</w:t>
            </w:r>
          </w:p>
        </w:tc>
        <w:tc>
          <w:tcPr>
            <w:tcW w:w="2041" w:type="dxa"/>
          </w:tcPr>
          <w:p w:rsidR="00505632" w:rsidRDefault="00505632" w:rsidP="00AD4E52">
            <w:pPr>
              <w:jc w:val="right"/>
            </w:pPr>
            <w:r>
              <w:t>5.333.329</w:t>
            </w:r>
          </w:p>
        </w:tc>
        <w:tc>
          <w:tcPr>
            <w:tcW w:w="1224" w:type="dxa"/>
          </w:tcPr>
          <w:p w:rsidR="00505632" w:rsidRDefault="00505632" w:rsidP="00AD4E52">
            <w:pPr>
              <w:jc w:val="right"/>
            </w:pPr>
            <w:r>
              <w:t>98,0</w:t>
            </w:r>
          </w:p>
        </w:tc>
        <w:tc>
          <w:tcPr>
            <w:tcW w:w="1224" w:type="dxa"/>
          </w:tcPr>
          <w:p w:rsidR="00505632" w:rsidRDefault="00505632" w:rsidP="00AD4E52">
            <w:pPr>
              <w:jc w:val="right"/>
            </w:pPr>
            <w:r>
              <w:t>101,5</w:t>
            </w:r>
          </w:p>
        </w:tc>
      </w:tr>
    </w:tbl>
    <w:p w:rsidR="00505632" w:rsidRDefault="00505632" w:rsidP="00505632">
      <w:pPr>
        <w:jc w:val="left"/>
      </w:pPr>
    </w:p>
    <w:p w:rsidR="00505632" w:rsidRDefault="00505632" w:rsidP="00505632">
      <w:pPr>
        <w:jc w:val="left"/>
      </w:pPr>
    </w:p>
    <w:p w:rsidR="00505632" w:rsidRDefault="00505632" w:rsidP="00505632">
      <w:pPr>
        <w:pStyle w:val="Heading3"/>
      </w:pPr>
      <w:r>
        <w:rPr>
          <w:rFonts w:cs="Times New Roman"/>
        </w:rPr>
        <w:t>2814 ZAŠTITA OSOBNIH PODATAKA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2814-ZAŠTITA OSOBNIH PODATAKA</w:t>
            </w:r>
          </w:p>
        </w:tc>
        <w:tc>
          <w:tcPr>
            <w:tcW w:w="2041" w:type="dxa"/>
          </w:tcPr>
          <w:p w:rsidR="00505632" w:rsidRDefault="00505632" w:rsidP="00AD4E52">
            <w:pPr>
              <w:pStyle w:val="CellColumn"/>
              <w:jc w:val="right"/>
            </w:pPr>
            <w:r>
              <w:rPr>
                <w:rFonts w:cs="Times New Roman"/>
              </w:rPr>
              <w:t>5.252.676</w:t>
            </w:r>
          </w:p>
        </w:tc>
        <w:tc>
          <w:tcPr>
            <w:tcW w:w="2041" w:type="dxa"/>
          </w:tcPr>
          <w:p w:rsidR="00505632" w:rsidRDefault="00505632" w:rsidP="00AD4E52">
            <w:pPr>
              <w:pStyle w:val="CellColumn"/>
              <w:jc w:val="right"/>
            </w:pPr>
            <w:r>
              <w:rPr>
                <w:rFonts w:cs="Times New Roman"/>
              </w:rPr>
              <w:t>5.443.308</w:t>
            </w:r>
          </w:p>
        </w:tc>
        <w:tc>
          <w:tcPr>
            <w:tcW w:w="2041" w:type="dxa"/>
          </w:tcPr>
          <w:p w:rsidR="00505632" w:rsidRDefault="00505632" w:rsidP="00AD4E52">
            <w:pPr>
              <w:pStyle w:val="CellColumn"/>
              <w:jc w:val="right"/>
            </w:pPr>
            <w:r>
              <w:rPr>
                <w:rFonts w:cs="Times New Roman"/>
              </w:rPr>
              <w:t>5.333.329</w:t>
            </w:r>
          </w:p>
        </w:tc>
        <w:tc>
          <w:tcPr>
            <w:tcW w:w="1224" w:type="dxa"/>
          </w:tcPr>
          <w:p w:rsidR="00505632" w:rsidRDefault="00505632" w:rsidP="00AD4E52">
            <w:pPr>
              <w:pStyle w:val="CellColumn"/>
              <w:jc w:val="right"/>
            </w:pPr>
            <w:r>
              <w:rPr>
                <w:rFonts w:cs="Times New Roman"/>
              </w:rPr>
              <w:t>98,0</w:t>
            </w:r>
          </w:p>
        </w:tc>
        <w:tc>
          <w:tcPr>
            <w:tcW w:w="1224" w:type="dxa"/>
          </w:tcPr>
          <w:p w:rsidR="00505632" w:rsidRDefault="00505632" w:rsidP="00AD4E52">
            <w:pPr>
              <w:pStyle w:val="CellColumn"/>
              <w:jc w:val="right"/>
            </w:pPr>
            <w:r>
              <w:rPr>
                <w:rFonts w:cs="Times New Roman"/>
              </w:rPr>
              <w:t>101,5</w:t>
            </w:r>
          </w:p>
        </w:tc>
      </w:tr>
    </w:tbl>
    <w:p w:rsidR="00505632" w:rsidRDefault="00505632" w:rsidP="00505632">
      <w:pPr>
        <w:jc w:val="left"/>
      </w:pPr>
    </w:p>
    <w:p w:rsidR="00505632" w:rsidRDefault="00505632" w:rsidP="00505632">
      <w:r>
        <w:t xml:space="preserve">Opis programa </w:t>
      </w:r>
    </w:p>
    <w:p w:rsidR="00505632" w:rsidRDefault="00505632" w:rsidP="00505632">
      <w:r>
        <w:t xml:space="preserve">Zaštita osobnih podataka je ustavna kategorija. Svrha zaštite osobnih podataka je zaštita privatnog života pri obradi osobnih podataka. Stoga je donesen Zakon o zaštiti osobnih podataka. To je temeljni propis koji osigurava zaštitu osobnih podataka prilikom njihovog prikupljanja, obrade i korištenja. Zaštita osobnih podataka u Republici Hrvatskoj osigurana je svakoj fizičkoj osobi bez obzira na državljanstvo i prebivalište, rasno ili etničko podrijetlo, vjerska obilježja, politička ili druga uvjerenja ili bilo koje druge osobine. Republika Hrvatska potpisala je Konvenciju 108 i Dodatni protokol uz konvenciju za zaštitu osoba glede automatizirane obrade osobnih podataka u vezi nadzornih tijela i međunarodne razmjene podataka. Donošenjem Zakona o izmjenama i dopunama Zakona o zaštiti osobnih podataka NN 130/11, Zakon o zaštiti osobni podataka u potpunosti je usklađen sa Direktivom 95/46/EZ. Na temelju svoje nadležnosti iz članka 59. Poslovnika Hrvatskog sabora, Odbor za zakonodavstvo Hrvatskog sabora na 23. sjednici održanoj 17. rujna 2012., utvrdio je pročišćeni tekst Zakona o zaštiti osobnih podataka.  </w:t>
      </w:r>
    </w:p>
    <w:p w:rsidR="00505632" w:rsidRDefault="00505632" w:rsidP="00505632">
      <w:r>
        <w:t xml:space="preserve">Pročišćeni tekst Zakona o zaštiti osobnih podataka obuhvaća ( „Narodne novine“, br. 103/03.) Zakon o dopunama Zakona o zaštiti osobnih podataka („Narodne novine“, br. 118/06.), Zakon o izmjenama i dopunama Zakona o zaštiti osobnih podataka  („Narodne novine“, br. 41/08.)  Zakon o izmjenama i dopunama Zakona o zaštiti osobnih podataka („Narodne novine“, br. 130/11.) u kojima je utvrđeno vrijeme njihova stupanja na snagu.  Citiranim Zakonom utvrđeno je osnivanje Agencije za zaštitu osobnih podataka kao samostalne pravne osobe odgovorne Hrvatskom saboru, koja dio svojih poslova i zadataka obavlja kao javne ovlasti.  </w:t>
      </w:r>
    </w:p>
    <w:p w:rsidR="00505632" w:rsidRDefault="00505632" w:rsidP="00505632">
      <w:r>
        <w:t xml:space="preserve">Agencija nadzire provođenje zaštite osobnih podataka; ukazuje na uočene zloupotrebe prikupljanja osobnih podataka; rješava povodom zahtjeva za utvrđivanje povrede prava zajamčenih ovim Zakonom; vodi središnji registar evidencija o zbirkama osobnih podataka i registar službenika za zaštitu osobnih podataka.  </w:t>
      </w:r>
    </w:p>
    <w:p w:rsidR="00505632" w:rsidRDefault="00505632" w:rsidP="00505632">
      <w:r>
        <w:t xml:space="preserve">Ukoliko prilikom obavljanja nadzora utvrdi da su povrijeđene odredbe zakona kojima se uređuje obrada osobnih podataka, Agencija ima pravo upozoriti ili opomenuti voditelja zbirke osobnih podataka, primatelja i izvršitelja obrade na nezakonitosti u obradi osobnih podataka te rješenjem: narediti da se nepravilnosti uklone u određenom roku, privremeno zabraniti prikupljanje, obradu i korištenje osobnih podataka koji se prikupljaju, obrađuju ili koriste suprotno odredbama zakona, narediti brisanje osobnih podataka prikupljenih bez pravne osnove, zabraniti iznošenje osobnih podataka iz Republike Hrvatske ili davanje na korištenje osobnih podataka drugim primateljima, ako se osobni podaci iznose iz Republike Hrvatske ili se daju na korištenje drugim primateljima suprotno odredbama ovoga Zakona, zabraniti povjeravanje poslova prikupljanja i obrade osobnih podataka izvršiteljima obrade, ako izvršitelj obrade ne ispunjava uvjete u pogledu zaštite osobnih podataka ili je povjeravanje navedenih poslova provedeno suprotno odredbama ovoga Zakona. </w:t>
      </w:r>
    </w:p>
    <w:p w:rsidR="00505632" w:rsidRDefault="00505632" w:rsidP="00505632">
      <w:r>
        <w:t xml:space="preserve">Agencija obavlja i sljedeće poslove: prati uređenje zaštite osobnih podataka u drugim zemljama i surađuje s tijelima nadležnim za nadzor nad zaštitom osobnih podataka u drugim zemljama, nadzire iznošenje osobnih podataka iz Republike Hrvatske, izrađuje metodološke preporuke za unapređenje zaštite osobnih podataka i dostavlja ih voditeljima zbirki osobnih podataka, daje savjete u svezi s uspostavom novih zbirki osobnih podataka, osobito u slučaju uvođenja nove informacijske tehnologije, daje mišljenja u slučaju sumnje smatra li se pojedini skup osobnih podataka zbirkom osobnih podataka u smislu Zakona, prati primjenu organizacijskih i tehničkih mjera za zaštitu podataka te predlaže poboljšanje tih mjera, daje prijedloge i preporuke za unapređenje zaštite osobnih podataka, surađuje s nadležnim državnim tijelima u izradi prijedloga propisa koji se odnose na zaštitu osobnih podataka, po primitku obavijesti voditelja zbirke osobnih podataka daje prethodno mišljenje o tome predstavljaju li određeni načini obrade osobnih podataka specifične rizike za prava i slobode ispitanika. </w:t>
      </w:r>
    </w:p>
    <w:p w:rsidR="00505632" w:rsidRDefault="00505632" w:rsidP="00505632">
      <w:r>
        <w:t xml:space="preserve">Sukladno stavku 2. članka 34. Zakona o zaštiti osobnih podataka protiv rješenja Agencije nije dozvoljena žalba, ali se može pokrenuti upravni spor. Osim navedenih mjera, Agencija može predložiti pokretanje postupka kaznene ili prekršajne odgovornosti pred nadležnim tijelom. </w:t>
      </w:r>
    </w:p>
    <w:p w:rsidR="00505632" w:rsidRDefault="00505632" w:rsidP="00505632">
      <w:r>
        <w:t xml:space="preserve">Također , trajna zadaća Agencije je podizanje razine svijesti najšireg kruga građana, a osobito mladih, o važnosti zaštite osobnih podataka i o njihovim pravima vezano s tim, predlaganje mjera za stručno osposobljavanje i usavršavanje službenika za zaštitu osobnih podataka, te kontinuirana prisutnost Agencije u medijima kao najbrži i najučinkovitiji način podizanja svijesti građana o važnosti područja kojim se Agencija bavi. </w:t>
      </w:r>
    </w:p>
    <w:p w:rsidR="00505632" w:rsidRDefault="00505632" w:rsidP="00505632">
      <w:r>
        <w:t xml:space="preserve">Zakonske i druge pravne osnove </w:t>
      </w:r>
    </w:p>
    <w:p w:rsidR="00505632" w:rsidRDefault="00505632" w:rsidP="00505632">
      <w:r>
        <w:t xml:space="preserve">Zakonodavni okvir u Republici Hrvatskoj koji se odnosi na zaštitu osobnih podataka, obuhvaća niže navedeni sustav propisa: </w:t>
      </w:r>
    </w:p>
    <w:p w:rsidR="00505632" w:rsidRDefault="00505632" w:rsidP="00505632">
      <w:r>
        <w:t xml:space="preserve">Ustav Republike Hrvatske, članak 37. ("Narodne novine" 56/90, 135/97, 8/98, 113/00, 124/00, 28/01, 41/01, 55/01, 76/10, 85/10, 05/14 – pročišćeni tekst). </w:t>
      </w:r>
    </w:p>
    <w:p w:rsidR="00505632" w:rsidRDefault="00505632" w:rsidP="00505632">
      <w:r>
        <w:t xml:space="preserve">Zakon o potvrđivanju konvencije za zaštitu osoba glede automatizirane obrade osobnih podataka i Dodatnog protokola uz Konvenciju za zaštitu osoba glede automatizirane obrade osobnih podataka u vezi nadzornih tijela i međunarodne razmjene podataka („Narodne novine“ - Međunarodni ugovori 4/05). </w:t>
      </w:r>
    </w:p>
    <w:p w:rsidR="00505632" w:rsidRDefault="00505632" w:rsidP="00505632">
      <w:r>
        <w:t xml:space="preserve">Zakon o potvrđivanju izmjena i dopuna Konvencije za zaštitu osoba glede automatizirane obrade osobnih podataka (ETS. br. 108) koje Europskim zajednicama omogućavaju pristupanje („Narodne novine“ - Međunarodni ugovori 12/05). </w:t>
      </w:r>
    </w:p>
    <w:p w:rsidR="00505632" w:rsidRDefault="00505632" w:rsidP="00505632">
      <w:r>
        <w:t xml:space="preserve">Zakon o zaštiti osobnih podataka („Narodne novine“ 103/03, 118/06, 41/08, 130/11 i 106/12 - pročišćeni tekst, nadalje u tekstu: Zakon). </w:t>
      </w:r>
    </w:p>
    <w:p w:rsidR="00505632" w:rsidRDefault="00505632" w:rsidP="00505632">
      <w:r>
        <w:t xml:space="preserve">Kazneni zakon, članak 146. („Narodne novine“ 125/11 i 144/12). </w:t>
      </w:r>
    </w:p>
    <w:p w:rsidR="00505632" w:rsidRDefault="00505632" w:rsidP="00505632">
      <w:r>
        <w:t xml:space="preserve">Uredba o načinu vođenja i obrascu evidencije o zbirkama osobnih podataka („Narodne novine“ 105/04). </w:t>
      </w:r>
    </w:p>
    <w:p w:rsidR="00505632" w:rsidRDefault="00505632" w:rsidP="00505632">
      <w:r>
        <w:t>Uredba o načinu pohranjivanja i posebnim mjerama tehničke zaštite posebnih kategorija osobnih podataka („Narodne novine“ 139/04).</w:t>
      </w:r>
    </w:p>
    <w:p w:rsidR="00505632" w:rsidRDefault="00505632" w:rsidP="00505632">
      <w:pPr>
        <w:pStyle w:val="Heading8"/>
        <w:jc w:val="left"/>
      </w:pPr>
      <w:r>
        <w:t>Cilj 1. Efikasno provođenje zaštite osobnih podataka</w:t>
      </w:r>
    </w:p>
    <w:p w:rsidR="00505632" w:rsidRDefault="00505632" w:rsidP="00505632">
      <w:pPr>
        <w:pStyle w:val="Heading8"/>
        <w:jc w:val="left"/>
      </w:pPr>
      <w:r>
        <w:t>Opis provedbe cilja programa</w:t>
      </w:r>
    </w:p>
    <w:p w:rsidR="00505632" w:rsidRDefault="00505632" w:rsidP="00505632">
      <w:r>
        <w:t xml:space="preserve">Kako bi se postiglo što učinkovitije provođenje odredbi Zakona o zaštiti osobnih podataka i uspostavljenih standarda zaštite osobnih podataka potrebno je staviti naglasak na unaprjeđenje operativnog dijela nadzorne uloge te edukativnih i informativnih aktivnosti Agencije.  </w:t>
      </w:r>
    </w:p>
    <w:p w:rsidR="00505632" w:rsidRDefault="00505632" w:rsidP="00505632">
      <w:r>
        <w:t xml:space="preserve">Nadalje, potrebno je stalno osvješćivati građane o potrebi i važnosti zaštite privatnosti i zaštite osobnih podataka kao temeljnog ljudskog prava, a posebno s obzirom na razvoj novih tehnologija i mrežnog povezivanja ljudi i kolanje podataka. Za ostvarivanje glavnog cilja Agencije od ključne je važnosti i postojanje visokog stupnja informiranosti voditelja zbirke osobnih podataka i izvršitelja obrade, dakle pravnih osoba, državnih tijela i drugih subjekata odgovornih za obradu podataka.  </w:t>
      </w:r>
    </w:p>
    <w:p w:rsidR="00505632" w:rsidRDefault="00505632" w:rsidP="00505632">
      <w:r>
        <w:t xml:space="preserve">S obzirom na stalni razvoj tehničkih mogućnosti obrade osobnih podataka, potrebno je stalno pratiti tehnološka dostignuća primjenjiva u Hrvatskoj kako bi se pravnom praksom Agencije regulirala obrada osobnih podataka, odnosno efikasno provodila zaštita navedenih podataka. S tim u vezi, Agenciji treba osigurati redovitu razmjenu iskustava s drugim tijelima javne vlasti u Hrvatskoj, kao i s međunarodnim tijelima za zaštitu osobnih podataka, u prvom redu iz država članica Europske unije. </w:t>
      </w:r>
    </w:p>
    <w:p w:rsidR="00505632" w:rsidRDefault="00505632" w:rsidP="00505632">
      <w:r>
        <w:t xml:space="preserve">U cilju  objektivne procjene stupnja provođenja zaštite osobnih podataka u Republici Hrvatskoj i percepcije građana o tom području, Agencija će u suradnji s ovlaštenim poslovnim subjektima provesti istraživanje javnog mnijenja, kojim će se nastojati dobiti odgovore na pitanja kao što su: prepoznatljivost i renome Agencije u društvu, zamijećenost njenog djelovanja i prepoznatljivost u medijima, stavovi ispitanika o zaštiti podataka  i o Agenciji  i sl. </w:t>
      </w:r>
    </w:p>
    <w:p w:rsidR="00505632" w:rsidRDefault="00505632" w:rsidP="00505632">
      <w:r>
        <w:t xml:space="preserve">Tijekom narednih godina će Agencija vezano za projekt „Podrška usklađivanju hrvatskog koncepta integriranog upravljanja granicom s konceptom Integriranog upravljanja granicom Europske unije“ izraditi Nacrt akta odnosnog na postupanje s osobnim podacima unutar nacionalnog Schengenskog informacijskog sustava i europskog Schengenskog informacijskog sustava II kojim će obuhvatiti pravnu i tehničku komponentu zaštite osobnih podataka  </w:t>
      </w:r>
    </w:p>
    <w:p w:rsidR="00505632" w:rsidRDefault="00505632" w:rsidP="00505632">
      <w:r>
        <w:t xml:space="preserve">Nadalje, Europska unija ima u planu unaprjeđenje zaštite osobnih podataka i to donošenjem Opće uredbe o zaštiti osobnih podataka (Regulation of the European Parliament and of the Council on the protection of individuals with regard to the processing of personal data and on the free movement of such data – General Data Protection Regulation), o kojoj se trenutno raspravlja, a gdje se među ostalim u obrazloženju Uredbe navodi da je uvedena obveza voditelja zbirke osobnih podataka i izvršitelja obrade na čuvanje dokumentacije odnosne na procese obrade za koje su odgovorni. Također je navedeno da se ta obveza uvodi umjesto obveze obavješćivanja nadzornog tijela za zaštitu osobnih podataka (dostava evidencija o zbirkama osobnih podataka) koja je bila propisana člankom 18. i 19. Direktive 95/46/EZ. U tom pogledu očekuje se smanjenje administrativnih obveza voditelja zbirki osobnih podataka.  S druge strane, trenutnim predloženim tekstom navedene Opće uredbe uvode se dodatne obveze nacionalnim samostalnim nadzornim tijelima (u Republici Hrvatskoj to je Agencija za zaštitu osobnih podataka) i subjektima koji obrađuju osobne podatke, od kojih bismo istaknuli:  </w:t>
      </w:r>
    </w:p>
    <w:p w:rsidR="00505632" w:rsidRDefault="00505632" w:rsidP="00505632">
      <w:r>
        <w:t xml:space="preserve">1. obvezu subjekta koji obrađuje osobne podatke da, prije predviđene obrade podataka koja predstavlja veći stupanj rizika, zatraži od Agencije utvrditi je li osiguran zadovoljavajući stupanj mjera zaštite, </w:t>
      </w:r>
    </w:p>
    <w:p w:rsidR="00505632" w:rsidRDefault="00505632" w:rsidP="00505632">
      <w:r>
        <w:t xml:space="preserve">2. obvezu davanja suglasnosti na sadržaj kodeksa ponašanja odnosnih na zaštitu osobnih podataka slijedom zahtjeva voditelja zbirki osobnih podataka i drugih subjekata koji obrađuju podatke,  </w:t>
      </w:r>
    </w:p>
    <w:p w:rsidR="00505632" w:rsidRDefault="00505632" w:rsidP="00505632">
      <w:r>
        <w:t xml:space="preserve">3. obvezu certificiranja određenih procesa obrade kao sigurne,  </w:t>
      </w:r>
    </w:p>
    <w:p w:rsidR="00505632" w:rsidRDefault="00505632" w:rsidP="00505632">
      <w:r>
        <w:t xml:space="preserve">4. mogućnost sudjelovanja u zajedničkim nadzorima u inozemstvu s drugim nadležnim inozemnim tijelima za zaštitu osobnih podataka, kao i osiguranje takvih nadzora u Hrvatskoj, i </w:t>
      </w:r>
    </w:p>
    <w:p w:rsidR="00505632" w:rsidRDefault="00505632" w:rsidP="00505632">
      <w:r>
        <w:t xml:space="preserve">5. obvezu neposrednog izricanja novčanih kazni za određene povrede odredbi Opće uredbe.   </w:t>
      </w:r>
    </w:p>
    <w:p w:rsidR="00505632" w:rsidRDefault="00505632" w:rsidP="00505632">
      <w:r>
        <w:t xml:space="preserve"> Kao rezultat navedenih očekivanih promjena vezanih za Opću uredbu očekuje se učinkovitija zaštita osobnih podataka, putem većeg stupnja informiranja subjekata nadležnih za obradu podataka te jačanjem preventivnih i korektivnih sredstava koje stoje Agenciji na raspolaganju pri provođenju Zakona.  </w:t>
      </w:r>
    </w:p>
    <w:p w:rsidR="00505632" w:rsidRDefault="00505632" w:rsidP="00505632">
      <w:r>
        <w:t xml:space="preserve">Agencija će nastaviti unaprjeđivati nadzorne aktivnosti na temelju dosadašnjih iskustava i primjeni dobre prakse u provođenju nadzora nad voditeljima zbirki osobnih podataka čime će osiguravati efikasnije provođenje Zakona i podzakonskih propisa o zaštiti osobnih podataka, a što razumijeva i nadzor komponente informacijske sigurnosti pri prikupljanju, obradi i prijenosu osobnih podataka. </w:t>
      </w:r>
    </w:p>
    <w:p w:rsidR="00505632" w:rsidRDefault="00505632" w:rsidP="00505632">
      <w:r>
        <w:t>Za ostvarivanje posebnog cilja posebno se ukazuje na odredbu članka 37. st. 2. Uredbe o Hrvatskom viznom informacijskom sustavu („Narodne novine“, broj 36/13), a kojom je Agencija za zaštitu osobnih podataka obvezna provoditi novu nadzornu zadaću, a to je osiguranje da se nadzor postupaka obrade osobnih podataka obavlja u skladu s mjerodavnim međunarodnim nadzornim standardima najmanje jednom u četiri godine.</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Nadzor provođenja zaštite osobnih podataka</w:t>
            </w:r>
          </w:p>
        </w:tc>
        <w:tc>
          <w:tcPr>
            <w:tcW w:w="2551" w:type="dxa"/>
          </w:tcPr>
          <w:p w:rsidR="00505632" w:rsidRDefault="00505632" w:rsidP="00AD4E52">
            <w:pPr>
              <w:pStyle w:val="CellColumn"/>
              <w:jc w:val="left"/>
            </w:pPr>
            <w:r>
              <w:rPr>
                <w:rFonts w:cs="Times New Roman"/>
              </w:rPr>
              <w:t>Kontinuirana realizacija planiranih nadzora na godišnjoj razini, nadzora iniciranih od Odjela za zaštitu osobnih podataka i nadzora po prijavi</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(kumul.)</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AZOP</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75</w:t>
            </w:r>
          </w:p>
        </w:tc>
      </w:tr>
      <w:tr w:rsidR="00505632" w:rsidTr="00AD4E52">
        <w:trPr>
          <w:jc w:val="center"/>
        </w:trPr>
        <w:tc>
          <w:tcPr>
            <w:tcW w:w="2551" w:type="dxa"/>
          </w:tcPr>
          <w:p w:rsidR="00505632" w:rsidRDefault="00505632" w:rsidP="00AD4E52">
            <w:pPr>
              <w:pStyle w:val="CellColumn"/>
              <w:jc w:val="left"/>
            </w:pPr>
            <w:r>
              <w:rPr>
                <w:rFonts w:cs="Times New Roman"/>
              </w:rPr>
              <w:t>Podizanje razine svijesti građana i popularizacija područja zaštite osobnih podataka</w:t>
            </w:r>
          </w:p>
        </w:tc>
        <w:tc>
          <w:tcPr>
            <w:tcW w:w="2551" w:type="dxa"/>
          </w:tcPr>
          <w:p w:rsidR="00505632" w:rsidRDefault="00505632" w:rsidP="00AD4E52">
            <w:pPr>
              <w:pStyle w:val="CellColumn"/>
              <w:jc w:val="left"/>
            </w:pPr>
            <w:r>
              <w:rPr>
                <w:rFonts w:cs="Times New Roman"/>
              </w:rPr>
              <w:t>Kontinuirano održavanje seminara i radionica za voditelje zbirki osobnih podataka, službenike za zaštitu osobnih podataka i građane</w:t>
            </w:r>
          </w:p>
        </w:tc>
        <w:tc>
          <w:tcPr>
            <w:tcW w:w="1020" w:type="dxa"/>
          </w:tcPr>
          <w:p w:rsidR="00505632" w:rsidRDefault="00505632" w:rsidP="00AD4E52">
            <w:pPr>
              <w:pStyle w:val="CellColumn"/>
              <w:jc w:val="right"/>
            </w:pPr>
            <w:r>
              <w:rPr>
                <w:rFonts w:cs="Times New Roman"/>
              </w:rPr>
              <w:t xml:space="preserve">broj </w:t>
            </w:r>
          </w:p>
          <w:p w:rsidR="00505632" w:rsidRDefault="00505632" w:rsidP="00AD4E52">
            <w:pPr>
              <w:pStyle w:val="CellColumn"/>
              <w:jc w:val="right"/>
            </w:pPr>
            <w:r>
              <w:rPr>
                <w:rFonts w:cs="Times New Roman"/>
              </w:rPr>
              <w:t>(kumul.)</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AZOP</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4</w:t>
            </w:r>
          </w:p>
        </w:tc>
      </w:tr>
      <w:tr w:rsidR="00505632" w:rsidTr="00AD4E52">
        <w:trPr>
          <w:jc w:val="center"/>
        </w:trPr>
        <w:tc>
          <w:tcPr>
            <w:tcW w:w="2551" w:type="dxa"/>
          </w:tcPr>
          <w:p w:rsidR="00505632" w:rsidRDefault="00505632" w:rsidP="00AD4E52">
            <w:pPr>
              <w:pStyle w:val="CellColumn"/>
              <w:jc w:val="left"/>
            </w:pPr>
            <w:r>
              <w:rPr>
                <w:rFonts w:cs="Times New Roman"/>
              </w:rPr>
              <w:t>Rješavanje povodom zahtjeva za utvrđivanje povrede prava zajamčenih Zakonom o zaštiti osobnih podataka</w:t>
            </w:r>
          </w:p>
        </w:tc>
        <w:tc>
          <w:tcPr>
            <w:tcW w:w="2551" w:type="dxa"/>
          </w:tcPr>
          <w:p w:rsidR="00505632" w:rsidRDefault="00505632" w:rsidP="00AD4E52">
            <w:pPr>
              <w:pStyle w:val="CellColumn"/>
              <w:jc w:val="left"/>
            </w:pPr>
            <w:r>
              <w:rPr>
                <w:rFonts w:cs="Times New Roman"/>
              </w:rPr>
              <w:t>Kontinuirano rješavanje neupravnih predmeta u zakonskim rokovima</w:t>
            </w:r>
          </w:p>
        </w:tc>
        <w:tc>
          <w:tcPr>
            <w:tcW w:w="1020" w:type="dxa"/>
          </w:tcPr>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(kumul.)</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AZOP</w:t>
            </w:r>
          </w:p>
        </w:tc>
        <w:tc>
          <w:tcPr>
            <w:tcW w:w="1020" w:type="dxa"/>
          </w:tcPr>
          <w:p w:rsidR="00505632" w:rsidRDefault="00505632" w:rsidP="00AD4E52">
            <w:pPr>
              <w:pStyle w:val="CellColumn"/>
              <w:jc w:val="right"/>
            </w:pPr>
            <w:r>
              <w:rPr>
                <w:rFonts w:cs="Times New Roman"/>
              </w:rPr>
              <w:t>92%</w:t>
            </w:r>
          </w:p>
        </w:tc>
        <w:tc>
          <w:tcPr>
            <w:tcW w:w="1020" w:type="dxa"/>
          </w:tcPr>
          <w:p w:rsidR="00505632" w:rsidRDefault="00505632" w:rsidP="00AD4E52">
            <w:pPr>
              <w:pStyle w:val="CellColumn"/>
              <w:jc w:val="right"/>
            </w:pPr>
            <w:r>
              <w:rPr>
                <w:rFonts w:cs="Times New Roman"/>
              </w:rPr>
              <w:t>92%</w:t>
            </w:r>
          </w:p>
        </w:tc>
      </w:tr>
      <w:tr w:rsidR="00505632" w:rsidTr="00AD4E52">
        <w:trPr>
          <w:jc w:val="center"/>
        </w:trPr>
        <w:tc>
          <w:tcPr>
            <w:tcW w:w="2551" w:type="dxa"/>
          </w:tcPr>
          <w:p w:rsidR="00505632" w:rsidRDefault="00505632" w:rsidP="00AD4E52">
            <w:pPr>
              <w:pStyle w:val="CellColumn"/>
              <w:jc w:val="left"/>
            </w:pPr>
            <w:r>
              <w:rPr>
                <w:rFonts w:cs="Times New Roman"/>
              </w:rPr>
              <w:t>Rješavanje povodom zahtjeva za utvrđivanje povrede prava zajamčenih Zakonom o zaštiti osobnih podataka</w:t>
            </w:r>
          </w:p>
        </w:tc>
        <w:tc>
          <w:tcPr>
            <w:tcW w:w="2551" w:type="dxa"/>
          </w:tcPr>
          <w:p w:rsidR="00505632" w:rsidRDefault="00505632" w:rsidP="00AD4E52">
            <w:pPr>
              <w:pStyle w:val="CellColumn"/>
              <w:jc w:val="left"/>
            </w:pPr>
            <w:r>
              <w:rPr>
                <w:rFonts w:cs="Times New Roman"/>
              </w:rPr>
              <w:t>Kontinuirano praćenje predmeta i njihovo rješavanje u I. stupanjskom upravnom postupku  u zakonskim rokovima</w:t>
            </w:r>
          </w:p>
        </w:tc>
        <w:tc>
          <w:tcPr>
            <w:tcW w:w="1020" w:type="dxa"/>
          </w:tcPr>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(kumul.)</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AZOP</w:t>
            </w:r>
          </w:p>
        </w:tc>
        <w:tc>
          <w:tcPr>
            <w:tcW w:w="1020" w:type="dxa"/>
          </w:tcPr>
          <w:p w:rsidR="00505632" w:rsidRDefault="00505632" w:rsidP="00AD4E52">
            <w:pPr>
              <w:pStyle w:val="CellColumn"/>
              <w:jc w:val="right"/>
            </w:pPr>
            <w:r>
              <w:rPr>
                <w:rFonts w:cs="Times New Roman"/>
              </w:rPr>
              <w:t>92%</w:t>
            </w:r>
          </w:p>
        </w:tc>
        <w:tc>
          <w:tcPr>
            <w:tcW w:w="1020" w:type="dxa"/>
          </w:tcPr>
          <w:p w:rsidR="00505632" w:rsidRDefault="00505632" w:rsidP="00AD4E52">
            <w:pPr>
              <w:pStyle w:val="CellColumn"/>
              <w:jc w:val="right"/>
            </w:pPr>
            <w:r>
              <w:rPr>
                <w:rFonts w:cs="Times New Roman"/>
              </w:rPr>
              <w:t>92%</w:t>
            </w:r>
          </w:p>
        </w:tc>
      </w:tr>
      <w:tr w:rsidR="00505632" w:rsidTr="00AD4E52">
        <w:trPr>
          <w:jc w:val="center"/>
        </w:trPr>
        <w:tc>
          <w:tcPr>
            <w:tcW w:w="2551" w:type="dxa"/>
          </w:tcPr>
          <w:p w:rsidR="00505632" w:rsidRDefault="00505632" w:rsidP="00AD4E52">
            <w:pPr>
              <w:pStyle w:val="CellColumn"/>
              <w:jc w:val="left"/>
            </w:pPr>
            <w:r>
              <w:rPr>
                <w:rFonts w:cs="Times New Roman"/>
              </w:rPr>
              <w:t>Nadzor viznog informacijskog sustava</w:t>
            </w:r>
          </w:p>
        </w:tc>
        <w:tc>
          <w:tcPr>
            <w:tcW w:w="2551" w:type="dxa"/>
          </w:tcPr>
          <w:p w:rsidR="00505632" w:rsidRDefault="00505632" w:rsidP="00AD4E52">
            <w:pPr>
              <w:pStyle w:val="CellColumn"/>
              <w:jc w:val="left"/>
            </w:pPr>
            <w:r>
              <w:rPr>
                <w:rFonts w:cs="Times New Roman"/>
              </w:rPr>
              <w:t>Kontinuirana realizacija planiranih nadzora diplomatskih misija i konzularnih ureda RH u svijetu na godišnjoj razini</w:t>
            </w:r>
          </w:p>
        </w:tc>
        <w:tc>
          <w:tcPr>
            <w:tcW w:w="1020" w:type="dxa"/>
          </w:tcPr>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(kumul.)</w:t>
            </w:r>
          </w:p>
        </w:tc>
        <w:tc>
          <w:tcPr>
            <w:tcW w:w="1020" w:type="dxa"/>
          </w:tcPr>
          <w:p w:rsidR="00505632" w:rsidRDefault="00505632" w:rsidP="00AD4E52">
            <w:pPr>
              <w:pStyle w:val="CellColumn"/>
              <w:jc w:val="right"/>
            </w:pPr>
            <w:r>
              <w:rPr>
                <w:rFonts w:cs="Times New Roman"/>
              </w:rPr>
              <w:t>25%</w:t>
            </w:r>
          </w:p>
        </w:tc>
        <w:tc>
          <w:tcPr>
            <w:tcW w:w="1020" w:type="dxa"/>
          </w:tcPr>
          <w:p w:rsidR="00505632" w:rsidRDefault="00505632" w:rsidP="00AD4E52">
            <w:pPr>
              <w:pStyle w:val="CellColumn"/>
              <w:jc w:val="right"/>
            </w:pPr>
            <w:r>
              <w:rPr>
                <w:rFonts w:cs="Times New Roman"/>
              </w:rPr>
              <w:t>AZOP</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50%</w:t>
            </w:r>
          </w:p>
        </w:tc>
      </w:tr>
      <w:tr w:rsidR="00505632" w:rsidTr="00AD4E52">
        <w:trPr>
          <w:jc w:val="center"/>
        </w:trPr>
        <w:tc>
          <w:tcPr>
            <w:tcW w:w="2551" w:type="dxa"/>
          </w:tcPr>
          <w:p w:rsidR="00505632" w:rsidRDefault="00505632" w:rsidP="00AD4E52">
            <w:pPr>
              <w:pStyle w:val="CellColumn"/>
              <w:jc w:val="left"/>
            </w:pPr>
            <w:r>
              <w:rPr>
                <w:rFonts w:cs="Times New Roman"/>
              </w:rPr>
              <w:t>Donošenje podzakonskih akata odnosnih na područje zaštite osobnih podataka</w:t>
            </w:r>
          </w:p>
        </w:tc>
        <w:tc>
          <w:tcPr>
            <w:tcW w:w="2551" w:type="dxa"/>
          </w:tcPr>
          <w:p w:rsidR="00505632" w:rsidRDefault="00505632" w:rsidP="00AD4E52">
            <w:pPr>
              <w:pStyle w:val="CellColumn"/>
              <w:jc w:val="left"/>
            </w:pPr>
            <w:r>
              <w:rPr>
                <w:rFonts w:cs="Times New Roman"/>
              </w:rPr>
              <w:t>Izmjene i dopune podzakonskih akata  objavljene u Narodnim novinama i stupile na snagu</w:t>
            </w:r>
          </w:p>
        </w:tc>
        <w:tc>
          <w:tcPr>
            <w:tcW w:w="1020" w:type="dxa"/>
          </w:tcPr>
          <w:p w:rsidR="00505632" w:rsidRDefault="00505632" w:rsidP="00AD4E52">
            <w:pPr>
              <w:pStyle w:val="CellColumn"/>
              <w:jc w:val="right"/>
            </w:pPr>
            <w:r>
              <w:rPr>
                <w:rFonts w:cs="Times New Roman"/>
              </w:rPr>
              <w:t xml:space="preserve">% </w:t>
            </w:r>
          </w:p>
          <w:p w:rsidR="00505632" w:rsidRDefault="00505632" w:rsidP="00AD4E52">
            <w:pPr>
              <w:pStyle w:val="CellColumn"/>
              <w:jc w:val="right"/>
            </w:pPr>
            <w:r>
              <w:rPr>
                <w:rFonts w:cs="Times New Roman"/>
              </w:rPr>
              <w:t>(kumul.)</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AZOP</w:t>
            </w:r>
          </w:p>
        </w:tc>
        <w:tc>
          <w:tcPr>
            <w:tcW w:w="1020" w:type="dxa"/>
          </w:tcPr>
          <w:p w:rsidR="00505632" w:rsidRDefault="00505632" w:rsidP="00AD4E52">
            <w:pPr>
              <w:pStyle w:val="CellColumn"/>
              <w:jc w:val="right"/>
            </w:pPr>
            <w:r>
              <w:rPr>
                <w:rFonts w:cs="Times New Roman"/>
              </w:rPr>
              <w:t>50%</w:t>
            </w:r>
          </w:p>
        </w:tc>
        <w:tc>
          <w:tcPr>
            <w:tcW w:w="1020" w:type="dxa"/>
          </w:tcPr>
          <w:p w:rsidR="00505632" w:rsidRDefault="00505632" w:rsidP="00AD4E52">
            <w:pPr>
              <w:pStyle w:val="CellColumn"/>
              <w:jc w:val="right"/>
            </w:pPr>
            <w:r>
              <w:rPr>
                <w:rFonts w:cs="Times New Roman"/>
              </w:rPr>
              <w:t>50%</w:t>
            </w:r>
          </w:p>
        </w:tc>
      </w:tr>
    </w:tbl>
    <w:p w:rsidR="00505632" w:rsidRDefault="00505632" w:rsidP="00505632">
      <w:pPr>
        <w:jc w:val="left"/>
      </w:pPr>
    </w:p>
    <w:p w:rsidR="00505632" w:rsidRDefault="00505632" w:rsidP="00505632">
      <w:pPr>
        <w:pStyle w:val="Heading4"/>
      </w:pPr>
      <w:r>
        <w:t>A765000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A765000-ADMINISTRACIJA I UPRAVLJANJE</w:t>
            </w:r>
          </w:p>
        </w:tc>
        <w:tc>
          <w:tcPr>
            <w:tcW w:w="2041" w:type="dxa"/>
          </w:tcPr>
          <w:p w:rsidR="00505632" w:rsidRDefault="00505632" w:rsidP="00AD4E52">
            <w:pPr>
              <w:pStyle w:val="CellColumn"/>
              <w:jc w:val="right"/>
            </w:pPr>
            <w:r>
              <w:rPr>
                <w:rFonts w:cs="Times New Roman"/>
              </w:rPr>
              <w:t>5.051.698</w:t>
            </w:r>
          </w:p>
        </w:tc>
        <w:tc>
          <w:tcPr>
            <w:tcW w:w="2041" w:type="dxa"/>
          </w:tcPr>
          <w:p w:rsidR="00505632" w:rsidRDefault="00505632" w:rsidP="00AD4E52">
            <w:pPr>
              <w:pStyle w:val="CellColumn"/>
              <w:jc w:val="right"/>
            </w:pPr>
            <w:r>
              <w:rPr>
                <w:rFonts w:cs="Times New Roman"/>
              </w:rPr>
              <w:t>5.363.252</w:t>
            </w:r>
          </w:p>
        </w:tc>
        <w:tc>
          <w:tcPr>
            <w:tcW w:w="2041" w:type="dxa"/>
          </w:tcPr>
          <w:p w:rsidR="00505632" w:rsidRDefault="00505632" w:rsidP="00AD4E52">
            <w:pPr>
              <w:pStyle w:val="CellColumn"/>
              <w:jc w:val="right"/>
            </w:pPr>
            <w:r>
              <w:rPr>
                <w:rFonts w:cs="Times New Roman"/>
              </w:rPr>
              <w:t>5.255.736</w:t>
            </w:r>
          </w:p>
        </w:tc>
        <w:tc>
          <w:tcPr>
            <w:tcW w:w="1224" w:type="dxa"/>
          </w:tcPr>
          <w:p w:rsidR="00505632" w:rsidRDefault="00505632" w:rsidP="00AD4E52">
            <w:pPr>
              <w:pStyle w:val="CellColumn"/>
              <w:jc w:val="right"/>
            </w:pPr>
            <w:r>
              <w:rPr>
                <w:rFonts w:cs="Times New Roman"/>
              </w:rPr>
              <w:t>98,0</w:t>
            </w:r>
          </w:p>
        </w:tc>
        <w:tc>
          <w:tcPr>
            <w:tcW w:w="1224" w:type="dxa"/>
          </w:tcPr>
          <w:p w:rsidR="00505632" w:rsidRDefault="00505632" w:rsidP="00AD4E52">
            <w:pPr>
              <w:pStyle w:val="CellColumn"/>
              <w:jc w:val="right"/>
            </w:pPr>
            <w:r>
              <w:rPr>
                <w:rFonts w:cs="Times New Roman"/>
              </w:rPr>
              <w:t>104,0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Zakonske i druge pravne osnove </w:t>
      </w:r>
    </w:p>
    <w:p w:rsidR="00505632" w:rsidRDefault="00505632" w:rsidP="00505632">
      <w:r>
        <w:t xml:space="preserve">Zakonodavni okvir u Republici Hrvatskoj koji se odnosi na zaštitu osobnih podataka, obuhvaća niže navedeni sustav propisa: </w:t>
      </w:r>
    </w:p>
    <w:p w:rsidR="00505632" w:rsidRDefault="00505632" w:rsidP="00505632">
      <w:r>
        <w:t xml:space="preserve">Ustav Republike Hrvatske, članak 37. ("Narodne novine" 56/90, 135/97, 8/98, 113/00, 124/00, 28/01, 41/01, 55/01, 76/10, 85/10, 05/14 – pročišćeni tekst). </w:t>
      </w:r>
    </w:p>
    <w:p w:rsidR="00505632" w:rsidRDefault="00505632" w:rsidP="00505632">
      <w:r>
        <w:t xml:space="preserve">Zakon o potvrđivanju konvencije za zaštitu osoba glede automatizirane obrade osobnih podataka i Dodatnog protokola uz Konvenciju za zaštitu osoba glede automatizirane obrade osobnih podataka u vezi nadzornih tijela i međunarodne razmjene podataka („Narodne novine“ - Međunarodni ugovori 4/05). </w:t>
      </w:r>
    </w:p>
    <w:p w:rsidR="00505632" w:rsidRDefault="00505632" w:rsidP="00505632">
      <w:r>
        <w:t xml:space="preserve">Zakon o potvrđivanju izmjena i dopuna Konvencije za zaštitu osoba glede automatizirane obrade osobnih podataka (ETS. br. 108) koje Europskim zajednicama omogućavaju pristupanje („Narodne novine“ - Međunarodni ugovori 12/05). </w:t>
      </w:r>
    </w:p>
    <w:p w:rsidR="00505632" w:rsidRDefault="00505632" w:rsidP="00505632">
      <w:r>
        <w:t xml:space="preserve">Zakon o zaštiti osobnih podataka („Narodne novine“ 103/03, 118/06, 41/08, 130/11 i 106/12 - pročišćeni tekst, nadalje u tekstu: Zakon). </w:t>
      </w:r>
    </w:p>
    <w:p w:rsidR="00505632" w:rsidRDefault="00505632" w:rsidP="00505632">
      <w:r>
        <w:t xml:space="preserve">Kazneni zakon, članak 146. („Narodne novine“ 125/11 i 144/12). </w:t>
      </w:r>
    </w:p>
    <w:p w:rsidR="00505632" w:rsidRDefault="00505632" w:rsidP="00505632">
      <w:r>
        <w:t xml:space="preserve">Uredba o načinu vođenja i obrascu evidencije o zbirkama osobnih podataka („Narodne novine“ 105/04). </w:t>
      </w:r>
    </w:p>
    <w:p w:rsidR="00505632" w:rsidRDefault="00505632" w:rsidP="00505632">
      <w:r>
        <w:t>Uredba o načinu pohranjivanja i posebnim mjerama tehničke zaštite posebnih kategorija osobnih podataka („Narodne novine“ 139/04).</w:t>
      </w:r>
    </w:p>
    <w:p w:rsidR="00505632" w:rsidRDefault="00505632" w:rsidP="00505632">
      <w:pPr>
        <w:pStyle w:val="Heading8"/>
        <w:jc w:val="left"/>
      </w:pPr>
      <w:r>
        <w:t>Opis aktivnosti</w:t>
      </w:r>
    </w:p>
    <w:p w:rsidR="00505632" w:rsidRDefault="00505632" w:rsidP="00505632">
      <w:r>
        <w:t xml:space="preserve">Opis provedbe aktivnosti/projekta </w:t>
      </w:r>
    </w:p>
    <w:p w:rsidR="00505632" w:rsidRDefault="00505632" w:rsidP="00505632">
      <w:r>
        <w:t xml:space="preserve">Agencija kao nacionalno nadzorno tijelo odgovorno za zaštitu osobnih podataka sustavno prati uređenje zaštite osobnih podataka u zemlji i inozemstvu i surađuje s tijelima nadležnim za nadzor nad zaštitom osobnih podataka u EU i drugim zemljama. </w:t>
      </w:r>
    </w:p>
    <w:p w:rsidR="00505632" w:rsidRDefault="00505632" w:rsidP="00505632">
      <w:r>
        <w:t xml:space="preserve">Suradnja s nadzornim tijelima za zaštitu osobnih podataka zemalja članica EU je prijemom Republike Hrvatske u punopravno članstvo EU postala obvezujuća, što zahtijeva i veće izdatke iz proračuna Agencije. </w:t>
      </w:r>
    </w:p>
    <w:p w:rsidR="00505632" w:rsidRDefault="00505632" w:rsidP="00505632">
      <w:r>
        <w:t xml:space="preserve">U izvještajnom razdoblju služba za međunarodnu suradnju, EU i pravne poslove je tijekom 2016. godine postupala po ukupno 588 predmeta dok je u 2015. godini taj broj iznosio 512. Od ukupnog broja zaprimljenih predmeta 316 predmeta je iz područja međunarodne suradnje (na primjer, zahtjevi za mišljenja i/ili očitovanja, upitnici, sjednice, radionice, okrugli stolovi i slično) s tijelima nadležnima za nadzor obrade osobnih podataka iz država članica Europske unije, institucijama EU te međunarodnim organizacijama i drugim zemljama, direktno ili putem domaćih nadležnih institucija (poput Ministarstva vanjskih i europskih poslova), dok je u 2015. godini navedena međunarodna suradnja ostvarena kroz ukupno 229 načina suradnje (gore navedena).  </w:t>
      </w:r>
    </w:p>
    <w:p w:rsidR="00505632" w:rsidRDefault="00505632" w:rsidP="00505632">
      <w:r>
        <w:t xml:space="preserve">Suradnja s tijelima EU i nadzornim tijelima za zaštitu osobnih podataka u zemljama članicama EU i drugim zemljama </w:t>
      </w:r>
    </w:p>
    <w:p w:rsidR="00505632" w:rsidRDefault="00505632" w:rsidP="00505632">
      <w:r>
        <w:t xml:space="preserve">Radna skupina iz članka 29. Direktive 95/46/EZ </w:t>
      </w:r>
    </w:p>
    <w:p w:rsidR="00505632" w:rsidRDefault="00505632" w:rsidP="00505632">
      <w:r>
        <w:t xml:space="preserve">Odredbama članka 29. Direktive 95/46/EZ osnovana je Radna skupina za zaštitu pojedinaca u vezi s obradom osobnih podataka (dalje u tekstu: Radna skupina iz članka 29.). Ta Radna skupina je savjetodavno tijelo za područje zaštite osobnih podataka i privatnosti u čijem radu sudjeluju predstavnici neovisnih nadzornih tijela zemalja članica EU i Europskog nadzornika za zaštitu osobnih podataka. Imajući u vidu činjenicu da Direktiva 95/46/EZ egzistira više od 20 godina te da je u tom razdoblju tehnološki progres „prerastao“ ovaj pravni instrument, razumljiv je utjecaj ove radne skupine. Navedena Radna skupina iz članka 29. je u svom radu usmjerena na ujednačavanje postupanja zemalja članica po svim aktualnim pitanjima odnosnim na područje zaštite osobnih podataka te s tim u vezi daje mišljenja za unapređenje zaštite osobnih podataka. </w:t>
      </w:r>
    </w:p>
    <w:p w:rsidR="00505632" w:rsidRDefault="00505632" w:rsidP="00505632">
      <w:r>
        <w:t xml:space="preserve">Sudjelovanje na sjednicama Radne skupine iz članka 29. razumijeva se obveznim, posebno nakon primanja Republike Hrvatske u punopravno članstvo EU. </w:t>
      </w:r>
    </w:p>
    <w:p w:rsidR="00505632" w:rsidRDefault="00505632" w:rsidP="00505632">
      <w:r>
        <w:t xml:space="preserve">Agencija je tijekom 2016. godine, u skladu sa svojim financijskim mogućnostima, nastavila sudjelovati na sastancima Radne skupine iz članka 29. te je sudjelovala na 104, 105., 106. i 107. sastanku na kojima se raspravljalo o aktualnim pitanjima odnosnima na područje zaštite osobnih podataka. Svrha svih sastanaka je iznijeti i raspraviti aktualne teme odnosne na područje zaštite osobnih podataka koje su pripremile podskupine koje djeluju u okviru Radne skupine iz članka 29.  </w:t>
      </w:r>
    </w:p>
    <w:p w:rsidR="00505632" w:rsidRDefault="00505632" w:rsidP="00505632">
      <w:r>
        <w:t xml:space="preserve">Podskupine uspostavljene u okviru Radne skupine iz članka 29.  </w:t>
      </w:r>
    </w:p>
    <w:p w:rsidR="00505632" w:rsidRDefault="00505632" w:rsidP="00505632">
      <w:r>
        <w:t xml:space="preserve">Osim neposrednog sudjelovanja predstavnika Agencije na sjednicama Radne skupine iz čl. 29., Agencija je aktivno sudjelovala i u drugim oblicima suradnje, kao što su razmjena informacija, ispunjavanje upitnika, davanje komentara na kreiranje vodiča/smjernica dostavljenih od strane tajništva Radne skupine iz članka 29. i drugih nacionalnih tijela država članica. Također, Agencija je u skladu s postupovnim pravilima Radne skupine iz članka 29. sudjelovala i u donošenju odluka, bilo glasovanjem na samim sjednicama, bilo glasovanjem elektroničkim putem (tzv. pisanom procedurom) o usvajanju relevantnih dokumenata te je sudjelovala u radu ukupno šest podskupina koje djeluju u okviru navedene Radne skupine: Podskupina za međunarodno iznošenje podataka (International transfer subgroup – ITS), Podskupina za suradnju (Cooperation subgroup), Podskupina za granice, putovanja i provedbu zakona (Border, Travel and Law Enforcement subgroup), Tehnička podskupina (Technical subgroup), Podskupina za budućnost privatnosti (Future of Privacy subgroup), Podskupina za e-Vladu (e-Government subgroup). </w:t>
      </w:r>
    </w:p>
    <w:p w:rsidR="00505632" w:rsidRDefault="00505632" w:rsidP="00505632">
      <w:r>
        <w:t xml:space="preserve">Odbor iz čl. 31 Direktive 95/46/EZ </w:t>
      </w:r>
    </w:p>
    <w:p w:rsidR="00505632" w:rsidRDefault="00505632" w:rsidP="00505632">
      <w:r>
        <w:t xml:space="preserve">U 2016. godini predstavnici Agencije sudjelovali su na ukupno 7 sastanaka Odbora iz čl 31. Direktive 95/46/EZ o zaštiti pojedinaca u vezi s obradom osobnih podataka i o slobodnom protoku takvih podataka, koji se održao u Bruxellesu. Na šest sastanaka se raspravljalo o izmjenama Sporazuma Štita privatnosti koji je u konačnici i usvojen većinom glasova država članica. Tema zadnjeg sastanka Odbora iz čl. 31. u 2016. godini su prijedlozi Komisije odnosni na Odluke o Nacrtu izmjena i dopuna Odluka o adekvatnoj razini zaštite i Odluka o standardnim ugovornim klauzulama (Skupne Odluke). </w:t>
      </w:r>
    </w:p>
    <w:p w:rsidR="00505632" w:rsidRDefault="00505632" w:rsidP="00505632">
      <w:r>
        <w:t xml:space="preserve">EUROPOL (Europski policijski ured) </w:t>
      </w:r>
    </w:p>
    <w:p w:rsidR="00505632" w:rsidRDefault="00505632" w:rsidP="00505632">
      <w:r>
        <w:t xml:space="preserve">Suradnja s Europskim policijskim uredom podrazumijeva sudjelovanje na sjednicama Zajedničkog nadzornog tijela EUROPOL-a – JSB (The Joint Supervisory Body of European Police Office – dalje u tekstu: JSB). Tijekom zadnjeg kvartala 2013. godine, sukladno čl. 4 Akta Vijeća 29/2009 Zajedničkog nadzornog tijela EUROPOL-a, imenovani su predstavnici Agencije kao članovi nacionalne delegacije, koji će sudjelovati u radu Zajedničkog nadzornog tijela EUROPOL-a. </w:t>
      </w:r>
    </w:p>
    <w:p w:rsidR="00505632" w:rsidRDefault="00505632" w:rsidP="00505632">
      <w:r>
        <w:t xml:space="preserve">Putem imenovanih predstavnika, Agencija je kao nacionalno tijelo za zaštitu osobnih podataka, nastavila suradnju s EUROPOL-om i u 2016. godini, i to sudjelovanjem na plenarnim sjednicama, koje se održavaju u Bruxellesu prema zadanom programu četiri puta godišnje. U 2016. godini Agencija je prisustvovala na ukupno dvije sjednice zajedničkog nadzornog tijela EUROPOL-a. </w:t>
      </w:r>
    </w:p>
    <w:p w:rsidR="00505632" w:rsidRDefault="00505632" w:rsidP="00505632">
      <w:r>
        <w:t xml:space="preserve">U 2016. godini predstavnik Agencije, kao član nacionalne delegacije, sudjelovao je u radu zajedničkog nadzornog tijela EUROPOL-a na općoj 79. i 80. sjednici, u sklopu kojih je prisustvovao na sjednicama zajedničkog nadzornog tijela za carinu i koordinacijske grupe za nadzor carinskog informacijskog sustava (pod predsjedavanjem Europskog nadzornika za zaštitu podataka). </w:t>
      </w:r>
    </w:p>
    <w:p w:rsidR="00505632" w:rsidRDefault="00505632" w:rsidP="00505632">
      <w:r>
        <w:t xml:space="preserve">Radna skupina Vijeća Europske unije za razmjenu informacija i zaštitu osobnih podataka (DAPIX) </w:t>
      </w:r>
    </w:p>
    <w:p w:rsidR="00505632" w:rsidRDefault="00505632" w:rsidP="00505632">
      <w:r>
        <w:t xml:space="preserve">Od 2014. godine Agencija aktivno sudjeluje na sastancima Radne skupine Vijeća Europske unije za razmjenu informacija i zaštitu osobnih podataka. Tako je u 2016. godini na ukupno dva sastanka Radne skupine DAPIX predstavnik Agencije sudjelovao je na traženje Stalnog predstavništva Republike Hrvatske pri EU, a tema sastanka je bila modernizacije Konvencije 108, pri čemu je fokus rasprave bilo pitanje glasanja o većini kojom će se usvajati pojedine odluke u Odboru Konvencije koji se uspostavlja Konvencijom 108. </w:t>
      </w:r>
    </w:p>
    <w:p w:rsidR="00505632" w:rsidRDefault="00505632" w:rsidP="00505632">
      <w:r>
        <w:t xml:space="preserve">Suradnja s Vijećem Europe </w:t>
      </w:r>
    </w:p>
    <w:p w:rsidR="00505632" w:rsidRDefault="00505632" w:rsidP="00505632">
      <w:r>
        <w:t xml:space="preserve">Savjetodavni odbor Konvencije 108 – plenarne sjednice </w:t>
      </w:r>
    </w:p>
    <w:p w:rsidR="00505632" w:rsidRDefault="00505632" w:rsidP="00505632">
      <w:r>
        <w:t xml:space="preserve">Tijekom 2016. godine predstavnik Agencije je sudjelovao na 33. plenarnoj sjednici Savjetodavnog odbora iz Konvencije 108 (T-PD). Na istoj se raspravljalo o modernizaciji Konvencije 108.  </w:t>
      </w:r>
    </w:p>
    <w:p w:rsidR="00505632" w:rsidRDefault="00505632" w:rsidP="00505632">
      <w:r>
        <w:t xml:space="preserve">Sastanak CAHDATA u vezi modernizacije Konvencije 108 </w:t>
      </w:r>
    </w:p>
    <w:p w:rsidR="00505632" w:rsidRDefault="00505632" w:rsidP="00505632">
      <w:r>
        <w:t xml:space="preserve">Predstavnik Agencije je u 2016 godini sudjelovao na sastanku CAHDATA-e u Strasbourgu, to jest Odbora koji raspravlja o modernizaciji Konvencije 108. Naime, Konvencija za zaštitu osoba glede automatizirane obrade osobnih podataka (Konvencija 108) koja je dio zakonskog okvira o zaštiti osobnih podataka u RH, a nadzor nad zaštitom osobnih podataka provodi upravo ova Agencija.    </w:t>
      </w:r>
    </w:p>
    <w:p w:rsidR="00505632" w:rsidRDefault="00505632" w:rsidP="00505632">
      <w:r>
        <w:t xml:space="preserve">Europski nadzornik za zaštitu osobnih podataka </w:t>
      </w:r>
    </w:p>
    <w:p w:rsidR="00505632" w:rsidRDefault="00505632" w:rsidP="00505632">
      <w:r>
        <w:t xml:space="preserve">Agencija je u 2016. godini nastavila već započetu suradnju s Europskim nadzornikom za zaštitu osobnih podataka u okviru djelokruga zaštite osobnih podataka, na način da je redovito pratila i uvažavala praksu ove institucije u postupanjima te je istu koristila kao smjernice u poduzimanju najvažnijih aktivnosti iz svoje nadležnosti. Uloga Europskog nadzornika u radu navedenih skupina je da provjerava obradu osobnih podataka u centralnoj bazi i njihov prijenos u ostale države članice, a uloga nacionalnih tijela za zaštitu osobnih podataka u državama članicama je nadzor nad obradom podataka od strane nacionalnih tijela i prijenos tih podataka do centralne baze.  </w:t>
      </w:r>
    </w:p>
    <w:p w:rsidR="00505632" w:rsidRDefault="00505632" w:rsidP="00505632">
      <w:r>
        <w:t xml:space="preserve">Od 2015. godine Agencija je uključena u rad zajedničkih nadzorno-koordinacijskih radnih skupina koje se sastoje od predstavnika nacionalnih tijela za zaštitu osobnih podataka iz država članica i Europskog nadzornika za zaštitu osobnih podataka a u 2016. godini predstavnik Agencije sudjelovao je na dvodnevnom sastanku navedenih radnih skupina odnosnih na sljedeća područja: </w:t>
      </w:r>
    </w:p>
    <w:p w:rsidR="00505632" w:rsidRDefault="00505632" w:rsidP="00505632">
      <w:r>
        <w:t xml:space="preserve">a) Schengesnki informacijski sustav II – SIS II (Supervision Coordination Subgroup SIS, SCG SIS) - SIS II je informacijski sustav koji omogućava mjerodavnim tijelima država članica koje su u Schengenskom prostoru pristup informacijama o određenim osobama i predmetima. </w:t>
      </w:r>
    </w:p>
    <w:p w:rsidR="00505632" w:rsidRDefault="00505632" w:rsidP="00505632">
      <w:r>
        <w:t xml:space="preserve">b) Eurodac (Supervision Coordination Subgroup Eurodac, SCG Eurodac) - Eurodac je sustav za usporedbu otisaka prstiju podnositelja azila i ilegalnih imigranata koji se nalaze unutar EU-a. Cilj ovog sustava je zemljama EU-a olakšati utvrđivanje nadležnosti za provjeru zahtjeva za azil pomoću provjere mjesta registracije tražitelja azila. Također, tijelima kaznenog progona, pod strogim uvjetima omogućava se pristup Eurodac u za potrebe istrage, otkrivanja ili sprečavanja terorizma ili drugih teških kaznenih djela.  </w:t>
      </w:r>
    </w:p>
    <w:p w:rsidR="00505632" w:rsidRDefault="00505632" w:rsidP="00505632">
      <w:r>
        <w:t xml:space="preserve">c) Vizni informacijski sustav ( Supervision Coordination Subgroup Eurodac VIS, SCG VIS) - Vizni informacijski sustav je informacijski sustav za razmjenu viznih podataka između država članica.  </w:t>
      </w:r>
    </w:p>
    <w:p w:rsidR="00505632" w:rsidRDefault="00505632" w:rsidP="00505632">
      <w:r>
        <w:t xml:space="preserve">d) Carinski informacijski sustav (Supervision Coordination Subgroup Eurodac VIS, SCG VIS) - Carinski informacijski sustav je računalni sustav koji objedinjuje carinske informacije u cilju suzbijanja, istrage i kaznenog progona u slučaju kršenja carinskog ili poljoprivrednog zakonodavstva. </w:t>
      </w:r>
    </w:p>
    <w:p w:rsidR="00505632" w:rsidRDefault="00505632" w:rsidP="00505632">
      <w:r>
        <w:t xml:space="preserve">Navedena putovanja se ulaskom Republike Hrvatske u EU smatraju obveznima, te se aktivno sudjelovanje na istima smatra ispunjavanjem obveza preuzetih iz pravne stečevine EU. </w:t>
      </w:r>
    </w:p>
    <w:p w:rsidR="00505632" w:rsidRDefault="00505632" w:rsidP="00505632">
      <w:r>
        <w:t xml:space="preserve">IZNOŠENJE OSOBNIH PODATAKA IZ REPUBLIKE HRVATSKE </w:t>
      </w:r>
    </w:p>
    <w:p w:rsidR="00505632" w:rsidRDefault="00505632" w:rsidP="00505632">
      <w:r>
        <w:t xml:space="preserve">Agencija nadzire iznošenje osobnih podataka iz Republike Hrvatske. U skladu s glavom VI. Zakona, zbirke osobnih podataka, odnosno osobni podaci sadržani u zbirkama osobnih podataka smiju se iznositi iz Republike Hrvatske u svrhu daljnje obrade samo ako država ili međunarodna organizacija u koju se osobni podaci iznose ima odgovarajuće uređenu zaštitu osobnih podataka, odnosno osiguranu adekvatnu razinu zaštite.  </w:t>
      </w:r>
    </w:p>
    <w:p w:rsidR="00505632" w:rsidRDefault="00505632" w:rsidP="00505632">
      <w:r>
        <w:t xml:space="preserve">Kada postoji osnova za sumnju o postojanju odgovarajuće uređene zaštite osobnih podataka, mora se pribaviti mišljenje Agencije. Isto vrijedi i kod iznošenja osobnih podataka u zemlje koje nemaju adekvatnu razinu zaštite, pri čemu se od voditelja zbirke osobnih podataka zahtijeva pružanje dovoljnih jamstava glede zaštite privatnosti i temeljnih prava i sloboda pojedinaca, koja mogu proizlaziti iz ugovornih odredaba koje Agencija mora ocjenjivati. </w:t>
      </w:r>
    </w:p>
    <w:p w:rsidR="00505632" w:rsidRDefault="00505632" w:rsidP="00505632">
      <w:r>
        <w:t xml:space="preserve">Agencija je u 2016. godini zaprimila ukupno 67 upita i izdala isto toliko mišljenja o iznošenju podataka u inozemstvo, dok je u 2015. godini zaprimila i riješila ukupno 76 upita.  </w:t>
      </w:r>
    </w:p>
    <w:p w:rsidR="00505632" w:rsidRDefault="00505632" w:rsidP="00505632">
      <w:r>
        <w:t xml:space="preserve">Prema temi, mišljenja mogu biti: </w:t>
      </w:r>
    </w:p>
    <w:p w:rsidR="00505632" w:rsidRDefault="00505632" w:rsidP="00505632">
      <w:r>
        <w:t xml:space="preserve">a. Mišljenja/suglasnost na upite općenite prirode </w:t>
      </w:r>
    </w:p>
    <w:p w:rsidR="00505632" w:rsidRDefault="00505632" w:rsidP="00505632">
      <w:r>
        <w:t xml:space="preserve">b. Mišljenja/suglasnost na upite o iznošenju osobnih podataka na temelju adekvatnosti </w:t>
      </w:r>
    </w:p>
    <w:p w:rsidR="00505632" w:rsidRDefault="00505632" w:rsidP="00505632">
      <w:r>
        <w:t xml:space="preserve">c. Mišljenja/suglasnost na upite o iznošenju osobnih podataka na temelju standardnih ugovornih klauzula </w:t>
      </w:r>
    </w:p>
    <w:p w:rsidR="00505632" w:rsidRDefault="00505632" w:rsidP="00505632">
      <w:r>
        <w:t xml:space="preserve">d. Mišljenja/suglasnost o iznošenju podataka na temelju obvezujućih korporativnih pravila </w:t>
      </w:r>
    </w:p>
    <w:p w:rsidR="00505632" w:rsidRDefault="00505632" w:rsidP="00505632">
      <w:r>
        <w:t xml:space="preserve">Također, prema glavi VI. Zakona, kada postoji osnova za sumnju o postojanju specifičnih rizika odnosnih na zaštitu osobnih podataka, potrebno je pribaviti mišljenje Agencije. Isto vrijedi i kod iznošenja osobnih podataka u zemlje koje nemaju adekvatnu razinu zaštite, pri čemu se od voditelja zbirke osobnih podataka zahtijeva pružanje dovoljnih jamstava glede zaštite privatnosti i temeljnih prava i sloboda pojedinaca, koja mogu proizlaziti iz ugovornih odredaba koje Agencija mora ocjenjivati.  </w:t>
      </w:r>
    </w:p>
    <w:p w:rsidR="00505632" w:rsidRDefault="00505632" w:rsidP="00505632">
      <w:r>
        <w:t xml:space="preserve">SURADNJA  S  DRŽAVNIM  TIJELIMA,  TIJELIMA  JAVNE UPRAVE  I  PRAVNIM OSOBAMA </w:t>
      </w:r>
    </w:p>
    <w:p w:rsidR="00505632" w:rsidRDefault="00505632" w:rsidP="00505632">
      <w:r>
        <w:t xml:space="preserve">Stručna mišljenja na zakonske i podzakonske akte </w:t>
      </w:r>
    </w:p>
    <w:p w:rsidR="00505632" w:rsidRDefault="00505632" w:rsidP="00505632">
      <w:r>
        <w:t>U 2016. godini Agencija je ostvarila ukupno 118 suradnji odnosnih na davanje prijedloga i preporuka domaćim i međunarodnim institucijama u svrhu unapređenja zaštite osobnih podataka, za razliku od 2015. godine kada ih je bilo 96. Također, valja napomenuti kako je Agencija tijekom izvještajnog razdoblja s navedenim institucijama surađivala i putem drugih načina razmjene iskustava i znanja, konkretno raznim upitnicima, radnim sastancima i slično.</w:t>
      </w:r>
      <w:r>
        <w:tab/>
        <w:t xml:space="preserve"> </w:t>
      </w:r>
    </w:p>
    <w:p w:rsidR="00505632" w:rsidRDefault="00505632" w:rsidP="00505632">
      <w:r>
        <w:t xml:space="preserve">Između ostalog, Agencija je sukladno članku 33. Zakona, dala stručno mišljenje na sljedeće iskazane domaće akte: Nacrt Akcijskog plana o nacionalnom informacijskom sustavu za droge u Republici Hrvatskoj 2016-2017., Nacrt prijedloga Zakona o provedbi Uredbe (EU) br. 98/2013 Europskog parlamenta i Vijeća od 15. siječnja 2013. o stavljanju na tržište i uporabi prekuresora eksploziva s Konačnim prijedlogom Zakona, Nacrt prijedloga Zakona o izmjenama i dopunama Zakona o inspekcijama u gospodarstvu, Prijedlog Zakona o potvrđivanju Sporazuma između Vlade Republike Hrvatske i Vlade Republike Kosovo o predaji i prihvatu osoba kojih je ulazak ili boravak nezakonit, Nacrt prijedloga Zakona o službenoj statistici s Konačnim prijedlogom zakona, Pravilnik o Registru „NE ZOVI“, Nacrt Sporazuma o suradnji između Kraljevine Saudijske Arabije i Centra za provedbu zakona o jugoistočnoj Europi (SELEC) od 15. ožujka 2016. godine, Nacrt prijedloga Zakona o izmjenama i dopunama Zakona o socijalnoj skrbi s Konačnim prijedlogom Zakona, Nacrt prijedloga Zakona o izmjenama Zakona o ravnopravnosti spolova s Konačnim prijedlogom Zakona, Nacrt prijedloga Zakona o izmjenama i dopunama Zakona o socijalnoj skrbi s Konačnim prijedlogom Zakona, Nacrt prijedloga Zakona o izmjenama Zakona o ravnopravnosti spolova, s Konačnim prijedlogom Zakona, Nacrt prijedloga Zakona o potvrđivanju Sporazuma između Vlade Republike Hrvatske i Vijeća ministara Republike Albanije o policijskoj suradnji s Konačnim prijedlogom zakona, Prijedlog Zaključka Vlade RH kojim se zadužuje Ministarstvo da prikuplja OIB-e članova uže obitelji redovitih učenika srednjih škola koji ostvaruju pravo na sufinanciranje, odnosno financiranje prijevoza, Nacrt prijedloga Zakona o provedbi Uredba o elektroničkoj identifikaciji za uspostavljanje jedinstvenog EU digitalnog tržišta, Nacrt prijedloga Zakona o prekršajima protiv javnog reda i mira, Prijedlog Odluke o pokretanju postupka za sklapanje Sporazuma o odnosima i suradnji između Europske unije i njezinih država članica, s jedne strane, i Novog Zelanda, s druge strane, Prijedlog Odluke o pokretanju postupka za sklapanje Sporazuma o odnosima i suradnji između Europske unije i njezinih država članica, s jedne strane, i Australije, s druge strane, Nacrt prijedloga Zakona o sprječavanju pranja novca i financiranja terorizma, Prijedlog Zakona o potvrđivanju sporazuma između Vlade RH i Vlade SAD-a o unapređenju ispunjavanja poreznih obveza na međunarodnoj razini i provedbi FATCA-e s Konačnim prijedlogom Zakona, Nacrt prijedloga Zakona o administrativnoj suradnji na području poreza, Mišljenje na kompromisni prijedlog izmjene IV. Direktive (EU) 2015/849 Europskog parlamenta i Vijeća o sprečavanju korištenja financijskog sustava u svrhu pranja novca ili financiranja terorizma, Nacrt Provedbenog protokola između Vlade RH i Vlade Ruske Federacije o provedbi Sporazuma između Ruske Federacije i Europske zajednice o readmisiji, Početak izrade Programa za preuzimanje i provedbu pravne stečevine za 2017. godinu, Nacrt prijedloga Zakona o službenoj statistici, s konačnim prijedlogom Zakona, Nacrt prijedloga Zakona o službenoj statistici s konačnim prijedlogom Zakona, Prijedlog Uredbe Europske komisije o europskom sustavu za informacije o putovanjima i njihovom odobrenju (ETIAS) u svrhu izrade prijedloga okvirnog stajališta, Nacrt prijedloga Odluke o pokretanju postupka za sklapanje Ugovora između Vlade RH i Vlade Republike Kosova o suradnji i međusobnoj pomoći u carinskim pitanjima, Prijedlozi okvirnih stajališta RH o Europskoj graničnoj i obalnoj straži, Europskom putnom dokumentu i izmjenama i dopunama Uredbe br. 562/2006/EZ o Zakoniku Zajednice o pravilima kojima se uređuje kretanje osoba preko granica, Prijedlozi okvirnih stajališta o Prijedlogu direktive o borbi protiv terorizma i Akcijskom planu o nezakonitom trgovanju vatrenog oružja, Prijedlog okvirnog stajališta o zajedničkim pravilima u području civilnog zrakoplovstva i osnivanju Agencije Europske unije za sigurnost zračnog prometa, Prijedlog okvirnog stajališta RH o Prijedlogu Direktive o trgovini na daljinu i Prijedlogu Direktive o isporuci digitalnog sadržaja, Prijedlog okvirnog stajališta Uredbe Europskog parlamenta i Vijeća o osiguravanju prekogranične prenosivosti usluga internetskog sadržaja na unutarnjem tržištu, Prijedlog Uredbe EP i Vijeća o uspostavljanju programa za potporu provođenju strukturnih reformi, Prijedlog Direktive 10231/16 o određenim aspektima ugovora o isporuci digitalnog sadržaja, Prijedlog  Uredbe 8251/16 o osnivanju Ureda europskog javnog tužitelja, Prijedlog Direktive 9029/16 o pravima dioničara (SHRD), Prijedlog Direktive o autorskim pravima na jedinstvenom digitalnom tržištu, Prijedlog Uredbe i Direktive za usklađivanje zakonodavstva Europske unije sa zahtjevima Ugovora iz Marakeša o lakšem pristupu objavljenim djelima slijepim osobama, slabovidnim osobama i osobama koje imaju teškoće u korištenju tiskovina. </w:t>
      </w:r>
    </w:p>
    <w:p w:rsidR="00505632" w:rsidRDefault="00505632" w:rsidP="00505632">
      <w:r>
        <w:t xml:space="preserve">U 2016. godini ukupno je dano 39 mišljenja na zakonske i podzakonske pravne akte, u odnosu na 2015. godinu, kada ih je bilo 32. Navedeno je pokazatelj da su državna tijela svjesna važnosti da se na svakom posebnom pravnom području uredi pitanje zaštite osobnih podataka na kvalitetan i sveobuhvatan način. </w:t>
      </w:r>
    </w:p>
    <w:p w:rsidR="00505632" w:rsidRDefault="00505632" w:rsidP="00505632">
      <w:r>
        <w:t xml:space="preserve"> U ovom izvještajnom razdoblju Služba za zaštitu osobnih podataka zaprimila je u rad/evidentirala je  ukupno 1167 predmeta od čega 1025 neupravnih predmeta i 142 upravna predmeta. Iz prošlog izvještajnog razdoblja (2015.g.) preneseno je u rješavanje 185 neupravnih predmeta i 24 upravna predmeta. Tako je u rješavanju u ovom izvještajnom razdoblju ukupno evidentirano 1210 neupravnih predmeta i 166 upravnih predmeta.  </w:t>
      </w:r>
    </w:p>
    <w:p w:rsidR="00505632" w:rsidRDefault="00505632" w:rsidP="00505632">
      <w:r>
        <w:t xml:space="preserve">Provođenje upravnog postupka po zahtjevima za zaštitu prava  </w:t>
      </w:r>
    </w:p>
    <w:p w:rsidR="00505632" w:rsidRDefault="00505632" w:rsidP="00505632">
      <w:r>
        <w:t xml:space="preserve">Postupanje po zahtjevima za zaštitu prava  regulirano je člankom 24. i 32. Zakona o zaštiti osobnih podataka budući se po zahtjevima za zaštitu prava odlučuje rješenjem koje se  donosi u upravnom postupku pa se u navedenim postupcima osim Zakona o zaštiti osobnih podataka primjenjuju i odredbe Zakona o općem upravnom postupku („ Narodne novine“ broj 47/0, dalje u tekstu:ZUP), kao opći procesni zakon. S obzirom da u upravnom postupku sudjeluju stranke s protivnim interesima provodi se ispitni postupak  ( čl. 51. ZUP-a) u svrhu utvrđivanja činjenica i okolnosti koje su bitne za razrješenje pravog stanja stvari. Provođenje ispitnog postupka i rješavanje po zahtjevima za zaštitu prava podrazumijeva utvrđivanje svih relevatnih činjenica i dokaza (očitovanje svih stranaka u postupku radi utvrđivanja pravno relevantnih činjenica i dokaza). Važno je istaknuti da se tijekom postupka provode sve radnje nužne za donošenje pravilnog i zakonitog rješenja  i koriste sva dokazna sredstva koja su nužna za utvrđivanje točnog i potpunog činjeničnog stanja (očitovanja stanaka izravni i neizravni nadzori kod voditelja zbirki osobnih podataka  i izvršitelja obrade, očitovanja stanaka) odnosno provodi se dokazni postupak u granicama zakonskih ovlasti uz primjenu načela koja se primjenjuju u  upravnom postupku prvenstveno (načela  materijalne istine,  načela ekonomičnosti i svrhovitosti postupka).   </w:t>
      </w:r>
    </w:p>
    <w:p w:rsidR="00505632" w:rsidRDefault="00505632" w:rsidP="00505632">
      <w:r>
        <w:t xml:space="preserve">U ovom izvještajnom razdoblju zaprimljeno je 142 zahtjeva za zaštitu prava  koji su se odnosili na sljedeće povrede prava: korištenje tuđih osobnih podataka u svrhu sklapanja ugovora o pružanju usluga (krađa identiteta), korištenje tuđih osobnih podataka (OIB-a ) u ovršnim postupcima u svrhu naplate tražbine osoba istog imena i prezimena (zamjena identiteta, obrada osobnih podataka o umrlim osobama), obrada osobnih podataka video-nadzornim sustavima u višestambenim zgradama i u poslovnim prostorijama (na radom mjestu) bez postojanja pravnog temelja, obrada osobnih podataka od strane kreditnih institucija – banaka (u postupku izračuna konverzije kredita u CHF) javna objava osobnih podataka u natječajnim postupcima, obrada osobnih podataka obveznika plaćanja RTV pristojbe, objava osobnih podataka na internetu i dostupnost podataka putem internetskih pretraživača (Google tražilica, objava osobnih podataka mlt. osoba/djece na web-u, objava osobnih podataka o članstvu u političoj stranci, javna objava članova udruge na internetskoj straniciu medijima na internet-portalu), obrada osobnih podataka u svrhe marketinga (slanje propagandnih materijala na adrese prebivališta radnika, kataloška prodaja/ štoviše obrada osobnih podataka mlt. osoba,  slanje marketinških ponuda od strane društava za osiguranje u  svrhu mogućeg sklapanja polica obveznog osiguranja), davanje na korištenje osobnih podataka: ( ustupanje podatka o zdravlju radnika od strane poslodavca, davanje na korištenje osobnih podataka o neto primanju radnika novinarima, davanje na korištenje osobnih podataka o sindikalnom članstvu od strane poslodavca sindikatu, davanje na korištenje osobnih podataka učenika škole drugoj ustanovi - školi bez znanja i privole njihovih zakonskih zastupnika, davanje na korištenje osobnih podataka korisnika usluga trećim osobama od strane komunalnih društava,  davanje na korištenje osobnih podataka iz ugovora o kreditu trećim osobama, objava osobnih podataka o prestanku obavljanja  javne dužnosti, davanje na korištenje osobnih podataka o prekršajnoj i kaznenoj odgovornosti, davanje  objava osobnih podataka o dugovanju suvlasnika na oglasnim pločama višestambenih zgrada.    </w:t>
      </w:r>
    </w:p>
    <w:p w:rsidR="00505632" w:rsidRDefault="00505632" w:rsidP="00505632">
      <w:r>
        <w:t xml:space="preserve">U ovom izvještajnom razdoblju po zahtjevima za zaštitu prava riješeno je ukupno 166 predmeta.  </w:t>
      </w:r>
    </w:p>
    <w:p w:rsidR="00505632" w:rsidRDefault="00505632" w:rsidP="00505632">
      <w:r>
        <w:t xml:space="preserve">UPRAVNI SPOROVI:  </w:t>
      </w:r>
    </w:p>
    <w:p w:rsidR="00505632" w:rsidRDefault="00505632" w:rsidP="00505632">
      <w:r>
        <w:t xml:space="preserve">Tijekom 2016. godine Agencija je zaprimila 15 tužbi protiv donesenih rješenja. U vezi s time izrađeno je 15 odgovora na tužbu.   </w:t>
      </w:r>
    </w:p>
    <w:p w:rsidR="00505632" w:rsidRDefault="00505632" w:rsidP="00505632">
      <w:r>
        <w:t xml:space="preserve"> Postupanja po predstavkama građana i trećih osoba </w:t>
      </w:r>
    </w:p>
    <w:p w:rsidR="00505632" w:rsidRDefault="00505632" w:rsidP="00505632">
      <w:r>
        <w:t xml:space="preserve">Od ukupnog broja evidentiranih predmeta u ovom izvještajnom razdoblju  riješeno je 428 predmeta.  </w:t>
      </w:r>
    </w:p>
    <w:p w:rsidR="00505632" w:rsidRDefault="00505632" w:rsidP="00505632">
      <w:r>
        <w:t xml:space="preserve">Analizirajući strukturu/sadržaj zaprimljenih predstavki građana u ovom izvještajnom razdoblju može se zaključiti da se veći broj odnosio na obradu osobnih podataka na obradu osobnih podataka u svrhu marketinga općenito te političkog marketinga u vrijeme predsjedničkih i parlamentarnih izbora, objavu osobnih podataka na društvenim mrežama (internet, facebook, youtube) na  način da su osobni podaci korišteni u svrhu kreiranja lažnih facebook profila kao i javno objavljivanje osobnih podataka na internetskim stranicama bez opravdane svrhe i zakonske osnove, objava osobnih podataka u medijima, davanje na korištenje osobnih podataka agencijama za naplatu potraživanja (ustup potraživanja - cesija), prikupljanje osobnih podataka korisnika usluga kreditnih institucija, osobito od strane banaka u svrhu dubinske analize klijenata koji nisu propisani  posebnim zakonom (primjerice; dvojno državljanstvo, podaci o politički izloženim osobama, podaci o članovima kućanstva osobito uzdržavanim članovima - djeci) koji nisu korisnici usluga i dr.  </w:t>
      </w:r>
    </w:p>
    <w:p w:rsidR="00505632" w:rsidRDefault="00505632" w:rsidP="00505632">
      <w:r>
        <w:t xml:space="preserve">ZAŠTITA OSOBNIH PODATAKA NA INTERNETU </w:t>
      </w:r>
    </w:p>
    <w:p w:rsidR="00505632" w:rsidRDefault="00505632" w:rsidP="00505632">
      <w:r>
        <w:t xml:space="preserve">Pored navedenih postupanja, unatoč teritorijalnoj nenadležnosti, Agencija se i dalje trudi pružiti zaštitu osobnih podataka građanima na internetu kada te podatke protuzakonito objavljuju pretraživači Google, Youtube ili određene strane domene i servisi kojima Agencija zbog teritorijalne nenadležnosti ne može narediti uklanjanje takvih podataka i sadržaja  (posebno kad je riječ o domenama zemalja koje nisu u EU i koje nemaju uređenu zaštitu osobnih podataka). Međutim, i u takvim slučajevima je Agencija poduzimala određene aktivnosti u svrhu pružanja pomoći strankama na način da je istraživala tko je vlasnik određene domene te se u svezi objave osobnih podataka na internetu obraćala izravno (osim Google-u) i drugim domenama i servisima izvan EU kako bi i na taj način pokušala ukazati da  je obrada osobnih podataka protivna načelima zaštite osobnih podataka i da se grubo krši privatnost građana s ciljem  pružanja prava na  zaštitu osobnih podataka građana.  </w:t>
      </w:r>
    </w:p>
    <w:p w:rsidR="00505632" w:rsidRDefault="00505632" w:rsidP="00505632">
      <w:r>
        <w:t xml:space="preserve">Vezano uz moguću dostupnost osobnih podataka objavljenih na internetu putem internetske tražilice Google potrebno je istaknuti da sukladno zauzetom stajalištu iz presude Suda Europske unije (C-131/12 od 13. svibnja 2014.)  postoji mogućnost brisanja osobnih podataka sa interneta primjenjujući načelo „ pravo na zaborav“ – „Right to be forgoten“  temeljem kojeg određene osobe od internetskih tražilica mogu zatražiti uklanjanje konkretnih rezultata pretraživanja za upite do kojih se dolazi uključujući njihovo ime i prezime, osobito u slučajevima kada pravo na privatnost osobe nadilazi druge interese obrade osobnih podataka. Temeljem citirane presude, odnosno zauzetog stajališta Suda postoji mogućnost podnošenja zahtjeva za uklanjanjem URL-ova  na način da ne budu dostupni putem internetskih tražilica odnosno Europskih rezultata pretraživanja, konkretno tražilice Google. U takvim slučajevima očekuje se da se građani sami obraćaju Google-u, a o načinu obraćanja Agencija daje građanima upute kako je moguće podnijeti takav zahtjev za uklanjanje spornih URL-ova sa Europskih rezultata pretraživanja (navedene upute objavljene su i na web stranici Agencije). U slučaju da Google ne udovolji zahtjevima građana Agencija ima mogućnost zatražiti od Google-a preispitivanje takve odluke, rukovodeći se pri tome prvenstveno načelima zaštite osobnih podataka tj. prava pojedinca na privatnost, u slučajevima kada ona prevladava u odnosu na ostvarivanje prava na javno dostupnu  informaciju i njihovu distribuciju (primjerice u slučajevima kada se radi o zastarjelim informacijama, ako u tim informacijama ne  postoji javni interes koji bi nadilazio pravo na zaštitu privatnosti i sl.). Rukovodeći se načelom prava na zaborav Služba za zaštitu osobnih podataka obraćala se Google-u u svezi brisanja URL-ova koji sadrže osobne podatke, odnosno tražila da se preispitaju razlozi javne objave ukazujući da pravo na zaštitu osobnih podataka prevladava u odnosu na interes javnosti.  </w:t>
      </w:r>
    </w:p>
    <w:p w:rsidR="00505632" w:rsidRDefault="00505632" w:rsidP="00505632">
      <w:r>
        <w:t xml:space="preserve">PREPORUKE ZA UNAPREĐENJE ZAŠTITE OSOBNIH PODATAKA </w:t>
      </w:r>
    </w:p>
    <w:p w:rsidR="00505632" w:rsidRDefault="00505632" w:rsidP="00505632">
      <w:r>
        <w:t xml:space="preserve">Vezano uz prikupljanje i daljnju obradu podataka  sukladno  članku 33. st. 1. podstavku 7.  Zakona o zaštiti osobnih podataka izrađeno je 30 preporuka za unapređenje zaštite osobnih podataka. </w:t>
      </w:r>
      <w:r>
        <w:tab/>
      </w:r>
      <w:r>
        <w:tab/>
        <w:t xml:space="preserve"> </w:t>
      </w:r>
    </w:p>
    <w:p w:rsidR="00505632" w:rsidRDefault="00505632" w:rsidP="00505632">
      <w:r>
        <w:t xml:space="preserve">NEUPRAVNI POSTUPAK/ PRAVNA MIŠLJENJA </w:t>
      </w:r>
    </w:p>
    <w:p w:rsidR="00505632" w:rsidRDefault="00505632" w:rsidP="00505632">
      <w:r>
        <w:t xml:space="preserve">U skladu sa člankom 33. Zakona o zaštiti osobnih podataka u nadležnosti ove Agencije je  i davanje  pravnih mišljenja  vezanih za obradu osobnih podataka i postupanja voditelja zbirki osobnih podataka u primjeni Zakona o zaštiti osobnih podataka. U ovom izvještajnom razdoblju ova Služba evidentirala je 604  predmeta za izdavanjem pravnih mišljenja, dok je u 2015. godini ostalo neriješeno 75 predmeta koji su preneseni u ovo izvještajno razdoblje tako da je u ovom izvještajnom razdoblju evidentirano ukupno 679 predmeta za rješavanje. </w:t>
      </w:r>
    </w:p>
    <w:p w:rsidR="00505632" w:rsidRDefault="00505632" w:rsidP="00505632">
      <w:r>
        <w:t xml:space="preserve">Za izdavanjem pravnim mišljenja Agenciji su se obraćala državna tijela –ministarstva ( Ministarstvo uprave, Ministarstvo znanosti, obrazovanja i spota, Ministarstvo poljoprivrede, Ministarstvo unutarnjih poslova, Ministarstvo zdravlja, Ministarstvo turizma, Ministarstvo regionalnog razvoja i europskih fondova, Ministarstvo kulture),  zatim Pravobranitelj za djecu, Pučki pravobranitelj,  razne ustanove (škole, fakulteti, zdravstvene ustanove, centri za socijalnu skrb, dječji vrtići, domovi za starije i nemoćne osobe, knjižnice, jedinice lokalne i regionalne uprave i samouprave, komunalna društva u vlasništvu jedinica lokalne samouprave, udruge građana i civilnog društva, odvjetnička društva, sindikati kao i  sami  građani.     </w:t>
      </w:r>
    </w:p>
    <w:p w:rsidR="00505632" w:rsidRDefault="00505632" w:rsidP="00505632">
      <w:r>
        <w:t xml:space="preserve">Analizirajući sadržaj zaprimljenih zahtjeva za izdavanjem pravnih mišljenja u ovom izvještajnom razdoblju važno je napomenuti kako se veći broj zahtjeva odnosio na obradu osobnih podataka iz natječajne dokumentacije, uvid u natječajnu dokumentaciju, objavu osobnih podataka radnika na internetu,  objavu osobnih podataka o raznim događanjima u knjižnicama na internetu, objavu kopija osobnih dokumenata na web stranicama, objavu  ispitnih rezultata  studenata na internetu i na oglasnoj ploči, obrada osobnih podataka video nadzornim sustavom (u ustanovi koja se bavi djecom s poteškoćama u razvoju, u više stambenim zgradama, u sportskim objektima i sl.), davanje na korištenje osobnih podataka o zdravlju štićenika njihovim udomiteljima, davanje na korištenje osobnih podataka pacijenata koji su promijenili izabranog doktora, davanje osobnih podataka u svrhu obavljanja liječničkih pregleda, davanje na korištenje osobnih podataka bivših studenata od strane fakulteta, davanje na korištenje osobnih podataka o školovanju bivših učenika, upit o zakonskoj osnovi prikupljanja OIB-a od strane jedinica lokalne samouprave ili komunalnih društava u njihovom vlasništvu, davanje podataka o plaći radnika, davanje na korištenje osobnih podataka o bivšim radnicima, objavu fotografija radnika i naziva radnog mjesta na organigramu, objavu osobnih podataka o otkazivanju ugovora o radu  na oglasnoj ploči poslodavca, upiti o davanju na korištenje osobnih podataka vijećnicima lokalne i regionalne samouprave (dostava podataka o  bolovanju radnika na bolovanju za sjednicu općinskog vijeća), prikupljanje osobnih podataka od strane banaka i drugih kreditnih institucija putem upitnika o klijentima, davanje na korištenje medicinske dokumentacije u sudskom postupku, davanje na korištenje osobnih podataka o korisnicima skloništa i savjetovališta žena žrtava nasilja, davanje osobnih podataka o vlasnicima vozila od strane osiguravajućih društava, davanje na korištenje osobnih podataka o žiteljima grada koji su se nastanili u zadnjih pet godina, davanje na korištenje osobnih podataka članova udruga te brojne druge upite voditelja zbirki koji su se odnosili na obveze voditelja zbirke prema Zakonu o zaštiti osobnih podataka.  </w:t>
      </w:r>
    </w:p>
    <w:p w:rsidR="00505632" w:rsidRDefault="00505632" w:rsidP="00505632">
      <w:r>
        <w:t xml:space="preserve">Od ukupnog broja zaprimljenih zahtjeva za davanjem pravnog mišljenja u ovom izvještajnom razdoblju riješeno je 626 predmeta.  </w:t>
      </w:r>
    </w:p>
    <w:p w:rsidR="00505632" w:rsidRDefault="00505632" w:rsidP="00505632">
      <w:r>
        <w:t xml:space="preserve">U izvještajnom razdoblju Služba za nadzor i središnji registar odradila je : </w:t>
      </w:r>
    </w:p>
    <w:p w:rsidR="00505632" w:rsidRDefault="00505632" w:rsidP="00505632">
      <w:r>
        <w:t xml:space="preserve">Nadzor provođenja zaštite osobnih podataka </w:t>
      </w:r>
    </w:p>
    <w:p w:rsidR="00505632" w:rsidRDefault="00505632" w:rsidP="00505632">
      <w:r>
        <w:t xml:space="preserve">Broj nadzora na zahtjev ispitanika 184 (2016. godina) u odnosu na 327 (2015. godina), broj nadzora na prijedlog treće strane 22 (2016. godina) u odnosu na 25 (2015. godina), broj nadzora po službenoj dužnosti 477 (2016. godina) u odnosu na 62 (2015. godina). Ukupan broj nadzora u 2016. godini iznosi 683 što je porast u odnosu na 414 nadzora 2015. godine pri čemu isti porast u pretežitom dijelu spada u neizravne nadzore po službenoj dužnosti. Također vodi središnji registar evidencija o zbirkama osobnih podataka i registar službenika za zaštitu osobnih podataka. </w:t>
      </w:r>
    </w:p>
    <w:p w:rsidR="00505632" w:rsidRDefault="00505632" w:rsidP="00505632">
      <w:r>
        <w:t xml:space="preserve">Središnji registar evidencija o zbirkama osobnih podataka </w:t>
      </w:r>
    </w:p>
    <w:p w:rsidR="00505632" w:rsidRDefault="00505632" w:rsidP="00505632">
      <w:r>
        <w:t xml:space="preserve">Ukupni broj evidencija, broj evidencija na godišnjoj razini - u 2016. godini dostavljeno je radi objedinjavanja u Središnjem registru AZOP-a 1.931 evidencija o zbirkama osobnih podataka što je porast (cca 25,8 %), (ukupno  27.066 evidencija na 31.12.2016. godine) u  odnosu na 1.535 evidencija o zbirkama osobnih podataka koje su dostavljene 2015. godine (ukupno 25.135 evidencija na 31.12.2015. godine). Također broj registracija voditelja zbirki osobnih podataka u 2016. godini je 828 u odnosu na 825 registracija u 2015. godini. </w:t>
      </w:r>
    </w:p>
    <w:p w:rsidR="00505632" w:rsidRDefault="00505632" w:rsidP="00505632">
      <w:r>
        <w:t xml:space="preserve">Registar službenika za zaštitu osobnih podataka. </w:t>
      </w:r>
    </w:p>
    <w:p w:rsidR="00505632" w:rsidRDefault="00505632" w:rsidP="00505632">
      <w:r>
        <w:t xml:space="preserve">Ukupni broj voditelja s prijavljenim službenicima, broj istih na godišnjoj razini - u 2016. godini dostavljeno je AZOP-u ukupno 684 obavijesti o imenovanju službenika za zaštitu osobnih podataka (ukupno  3.122 registracija imenovanih službenika  na 31.12.2016. godine) u  odnosu na ukupno 594 obavijesti o    imenovanju službenika za zaštitu osobnih podataka dostavljene 2015. godine (ukupno  2.606 registracija imenovanih službenika  na 31.12.2015.godine), pri čemu je razlika u broju dostavljenih obavijesti u odnosu na ukupan broj registracija u dijelu izmjena/novih imenovanja kod voditelja zbirki koji su već imenovanja prethodno bili dostavili AZOP-u. </w:t>
      </w:r>
    </w:p>
    <w:p w:rsidR="00505632" w:rsidRDefault="00505632" w:rsidP="00505632">
      <w:r>
        <w:t xml:space="preserve">Nalozi uklanjanja nepravilnosti </w:t>
      </w:r>
    </w:p>
    <w:p w:rsidR="00505632" w:rsidRDefault="00505632" w:rsidP="00505632">
      <w:r>
        <w:t xml:space="preserve">Opis i broj naloga, te nadzora o uklanjanju nepravilnosti – u 2016. godini pri provedbi nadzora nad obradom i provođenjem zaštite osobnih podataka iskazano je primjedbi i naloženo otklanjanja nedostataka/nepravilnosti u 281 nadzoru u odnosu na 2015. godinu kada je iskazano primjedbi i naloženo otklanjanja nedostataka/nepravilnosti u 167 nadzora. </w:t>
      </w:r>
    </w:p>
    <w:p w:rsidR="00505632" w:rsidRDefault="00505632" w:rsidP="00505632">
      <w:r>
        <w:t xml:space="preserve">Putem elektroničke pošte u 2016. godini odgovoreno je na 286 upita voditelja zbirki osobnih podataka i istima je pružena tehnička pomoć što je porast u  odnosu na 269 upita 2015. godine </w:t>
      </w:r>
    </w:p>
    <w:p w:rsidR="00505632" w:rsidRDefault="00505632" w:rsidP="00505632">
      <w:r>
        <w:t xml:space="preserve">Putem info-telefona za tehnička pitanja Središnjeg registra (davanje ad hoc informacija/tehnička podrška voditeljima zbirki osobnih podataka svakog radnog dana  u terminu od 10 do 12 sati) u 2016. godini ostvareno je i odgovoreno na cca 770  poziva u  odnosu na cca 1074 poziva 2015. godine. </w:t>
      </w:r>
    </w:p>
    <w:p w:rsidR="00505632" w:rsidRDefault="00505632" w:rsidP="00505632">
      <w:r>
        <w:t xml:space="preserve">Prijemom i unosom evidencija o zbirkama osobnih podataka u Središnji registar AZOP-a izvršeno je 2016. godine i 259 neizravne nadzorne provjere (glede odredaba članaka 14., 16. i 16.a ZZOP-a) u odnosu na 274 takve aktivnosti u 2015. godini. </w:t>
      </w:r>
    </w:p>
    <w:p w:rsidR="00505632" w:rsidRDefault="00505632" w:rsidP="00505632">
      <w:r>
        <w:t xml:space="preserve">Glede radnih aktivnosti Službe za nadzor i Središnji registar u 2016. godini kao sastavnica za godišnje izvješće AZOP-a za 2016. godinu  pri provedbi izravnih i neizravnih nadzora i nadzornih aktivnosti te nadzornih provjera kontinuirano se provodila procjena i analitička prosudba te su provođene sukladno utvrđenim činjenicama i relevantnim okolnostima konkretnih slučajeva i odgovarajuće aktivnosti  u dijelu odnosnom  na točke: </w:t>
      </w:r>
    </w:p>
    <w:p w:rsidR="00505632" w:rsidRDefault="00505632" w:rsidP="00505632">
      <w:r>
        <w:t>-</w:t>
      </w:r>
      <w:r>
        <w:tab/>
        <w:t xml:space="preserve"> 17. (izrađuje metodološke preporuke za unaprjeđenje zaštite osobnih podataka i dostavlja ih voditeljima zbirki osobnih podataka); </w:t>
      </w:r>
    </w:p>
    <w:p w:rsidR="00505632" w:rsidRDefault="00505632" w:rsidP="00505632">
      <w:r>
        <w:t>-</w:t>
      </w:r>
      <w:r>
        <w:tab/>
        <w:t xml:space="preserve">18. (daje savjete u svezi s uspostavom novih zbirki osobnih podataka, osobito u slučaju uvođenja nove informacijske tehnologije); </w:t>
      </w:r>
    </w:p>
    <w:p w:rsidR="00505632" w:rsidRDefault="00505632" w:rsidP="00505632">
      <w:r>
        <w:t>-</w:t>
      </w:r>
      <w:r>
        <w:tab/>
        <w:t xml:space="preserve">19. (daje mišljenja, u slučaju sumnje smatra li se pojedini skup osobnih podataka zbirkom osobnih podataka u smislu ovog Zakona); </w:t>
      </w:r>
    </w:p>
    <w:p w:rsidR="00505632" w:rsidRDefault="00505632" w:rsidP="00505632">
      <w:r>
        <w:t>-</w:t>
      </w:r>
      <w:r>
        <w:tab/>
        <w:t xml:space="preserve"> 20. (prati primjenu organizacijskih i tehničkih mjera za zaštitu podataka te predlaže poboljšanje tih mjera); </w:t>
      </w:r>
    </w:p>
    <w:p w:rsidR="00505632" w:rsidRDefault="00505632" w:rsidP="00505632">
      <w:r>
        <w:t>-</w:t>
      </w:r>
      <w:r>
        <w:tab/>
        <w:t xml:space="preserve"> 21. (daje prijedloge i preporuke za unapređenje zaštite osobnih podataka). </w:t>
      </w:r>
    </w:p>
    <w:p w:rsidR="00505632" w:rsidRDefault="00505632" w:rsidP="00505632">
      <w:r>
        <w:t xml:space="preserve">Od posebno značajnih postupanja uputno je istaknuti provedbu izravnih nadzora nad HVIS-om (Hrvatski vizni informacijski sustav) u diplomatskim misijama/konzularnim uredima Republike Hrvatske  (DM/KU) sukladno članku 37. Uredbe o Hrvatskom viznom informacijskom sustavu (HVIS) koji  nadzori su obuhvatili:  </w:t>
      </w:r>
    </w:p>
    <w:p w:rsidR="00505632" w:rsidRDefault="00505632" w:rsidP="00505632">
      <w:r>
        <w:t>-</w:t>
      </w:r>
      <w:r>
        <w:tab/>
        <w:t xml:space="preserve">Veleposlanstvo RH u Prištini (Republika Kosovo), </w:t>
      </w:r>
    </w:p>
    <w:p w:rsidR="00505632" w:rsidRDefault="00505632" w:rsidP="00505632">
      <w:r>
        <w:t>-</w:t>
      </w:r>
      <w:r>
        <w:tab/>
        <w:t xml:space="preserve">Veleposlanstvo RH u Moskvi (Ruska Federacija); </w:t>
      </w:r>
    </w:p>
    <w:p w:rsidR="00505632" w:rsidRDefault="00505632" w:rsidP="00505632">
      <w:r>
        <w:t>-</w:t>
      </w:r>
      <w:r>
        <w:tab/>
        <w:t xml:space="preserve">Veleposlanstvu RH u Jakarti (Indonezija); </w:t>
      </w:r>
    </w:p>
    <w:p w:rsidR="00505632" w:rsidRDefault="00505632" w:rsidP="00505632">
      <w:r>
        <w:t>-</w:t>
      </w:r>
      <w:r>
        <w:tab/>
        <w:t xml:space="preserve">Veleposlanstvu RH u Kijevu (Ukrajina); </w:t>
      </w:r>
    </w:p>
    <w:p w:rsidR="00505632" w:rsidRDefault="00505632" w:rsidP="00505632">
      <w:r>
        <w:t>-</w:t>
      </w:r>
      <w:r>
        <w:tab/>
        <w:t xml:space="preserve">Veleposlanstva RH u Pekingu (Kina) i New Delhiju (Indija). </w:t>
      </w:r>
    </w:p>
    <w:p w:rsidR="00505632" w:rsidRDefault="00505632" w:rsidP="00505632">
      <w:r>
        <w:t xml:space="preserve">Zaposlenici Službe za nadzor i Središnji registar sudjelovali su i u aktivnostima kao što su kako  slijedi: </w:t>
      </w:r>
    </w:p>
    <w:p w:rsidR="00505632" w:rsidRDefault="00505632" w:rsidP="00505632">
      <w:r>
        <w:t xml:space="preserve">Sudjelovanje na stručnim skupovima, seminarima, radionicama, konferencijama, predavanjima kao sudionik </w:t>
      </w:r>
    </w:p>
    <w:p w:rsidR="00505632" w:rsidRDefault="00505632" w:rsidP="00505632">
      <w:r>
        <w:t xml:space="preserve">- Beč, Veleposlanstvo UK - “CEE Cyber and Information Security Showcase“; </w:t>
      </w:r>
    </w:p>
    <w:p w:rsidR="00505632" w:rsidRDefault="00505632" w:rsidP="00505632">
      <w:r>
        <w:t xml:space="preserve">- ZSIS, Hotel Antunović - “5. Savjetovanje o sigurnosti informacijskih sustava“; </w:t>
      </w:r>
    </w:p>
    <w:p w:rsidR="00505632" w:rsidRDefault="00505632" w:rsidP="00505632">
      <w:r>
        <w:t xml:space="preserve">- CS Computer Systems,  Hotel Esplanade - “Cloud Security“; </w:t>
      </w:r>
    </w:p>
    <w:p w:rsidR="00505632" w:rsidRDefault="00505632" w:rsidP="00505632">
      <w:r>
        <w:t xml:space="preserve">- F5 Road Show Adriatic, Tvornica KRAŠ - “Advanced threat protection, Application  </w:t>
      </w:r>
    </w:p>
    <w:p w:rsidR="00505632" w:rsidRDefault="00505632" w:rsidP="00505632">
      <w:r>
        <w:t xml:space="preserve">  security, User authentication as a service“; </w:t>
      </w:r>
    </w:p>
    <w:p w:rsidR="00505632" w:rsidRDefault="00505632" w:rsidP="00505632">
      <w:r>
        <w:t xml:space="preserve">- Smart IS, Hotel Esplanade  - “Digitalna zaštita i sigurnost“; </w:t>
      </w:r>
    </w:p>
    <w:p w:rsidR="00505632" w:rsidRDefault="00505632" w:rsidP="00505632">
      <w:r>
        <w:t xml:space="preserve">- Integra, Hotel Antunović - “Obrana od naprednih prijetnji“; </w:t>
      </w:r>
    </w:p>
    <w:p w:rsidR="00505632" w:rsidRDefault="00505632" w:rsidP="00505632">
      <w:r>
        <w:t xml:space="preserve">- Lošinj, Vojarna Kovčanje - “Cyber Defence Simposium“; </w:t>
      </w:r>
    </w:p>
    <w:p w:rsidR="00505632" w:rsidRDefault="00505632" w:rsidP="00505632">
      <w:r>
        <w:t xml:space="preserve">- Hotel Sheraton – Zagreb, 2nd SEE (South East Europe) Cloud Computing Forum 2016.,   </w:t>
      </w:r>
    </w:p>
    <w:p w:rsidR="00505632" w:rsidRDefault="00505632" w:rsidP="00505632">
      <w:r>
        <w:t xml:space="preserve">  zakonodavstvo, privatnost i sigurnost u području „Cloud computing-a“ i dr.; </w:t>
      </w:r>
    </w:p>
    <w:p w:rsidR="00505632" w:rsidRDefault="00505632" w:rsidP="00505632">
      <w:r>
        <w:t xml:space="preserve">- Hotel Sheraton – Zagreb, Konferencija: Data Protection Day, GDPR, EU i hrvatski zakonodavni  </w:t>
      </w:r>
    </w:p>
    <w:p w:rsidR="00505632" w:rsidRDefault="00505632" w:rsidP="00505632">
      <w:r>
        <w:t xml:space="preserve">  okvir vezano uz zaštitu osobnih podatka, i dr..  </w:t>
      </w:r>
    </w:p>
    <w:p w:rsidR="00505632" w:rsidRDefault="00505632" w:rsidP="00505632">
      <w:r>
        <w:t xml:space="preserve">EU i međunarodne aktivnosti </w:t>
      </w:r>
    </w:p>
    <w:p w:rsidR="00505632" w:rsidRDefault="00505632" w:rsidP="00505632">
      <w:r>
        <w:t xml:space="preserve">- Bruxelles, Tehnička podskupina A29 Europske komisije; Radni sastanak predstavnika agencija za zaštitu osobnih podataka zemalja članica EU u svezi izrade mišljenja: Data Portability, Data Protection Impact Assesment (DPIA), Employee monitoring te rasprava o Microsoft Privacy Policy i WhatsApp privacy policy; </w:t>
      </w:r>
    </w:p>
    <w:p w:rsidR="00505632" w:rsidRDefault="00505632" w:rsidP="00505632">
      <w:r>
        <w:t xml:space="preserve">- u suradnji s partnerima iz Italije, Poljske, Španjolske i Bugarske sudjelovnje na apliciranju projekta Support training activities on the data protection reform prema EU programu REC-DATA-2016 koji ima za cilj osigurati edukaciju nadležnih tijela za zaštitu osobnih podataka te sadašnjih i budućih službenika za zaštitu osobnih podataka s fokusom na praktičnu primjenu i razumijevanje GDPR uz organiziranje lokalnih i transnacionalnih treninga; </w:t>
      </w:r>
    </w:p>
    <w:p w:rsidR="00505632" w:rsidRDefault="00505632" w:rsidP="00505632">
      <w:r>
        <w:t xml:space="preserve">- Bruxelles, nadzorno-koordinacijske skupine (SCG) za SIS II, VIS i Eurodac;  </w:t>
      </w:r>
    </w:p>
    <w:p w:rsidR="00505632" w:rsidRDefault="00505632" w:rsidP="00505632">
      <w:r>
        <w:t>- Bruxelles, Schengenski odbor (Schengen Commettee – SCHEVAL).</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2553"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Postotak provedenih nadzora u odnosu na broj planiranih i iniciranih nadzora i nadzora po zahtjevu za zaštitu prava</w:t>
            </w:r>
          </w:p>
        </w:tc>
        <w:tc>
          <w:tcPr>
            <w:tcW w:w="2553" w:type="dxa"/>
          </w:tcPr>
          <w:p w:rsidR="00505632" w:rsidRDefault="00505632" w:rsidP="00AD4E52">
            <w:pPr>
              <w:pStyle w:val="CellColumn"/>
              <w:jc w:val="left"/>
            </w:pPr>
            <w:r>
              <w:rPr>
                <w:rFonts w:cs="Times New Roman"/>
              </w:rPr>
              <w:t>Agencija će unaprjeđivati nadzorne aktivnosti i praksu provođenja nadzora nad voditeljima zbirki osobnih podataka čime će osiguravati efikasnije provođenje Zakona i podzakonskih propisa o zaštiti osobnih podataka. Agencija će kao i do sada svoje nadzorne aktivnosti provoditi dvojako; sa pravnog i informatičkog stajališta. Slijedom toga biti će potrebno izraditi nadzorne postupke koje pored pravnog nadzora uključuju i nadzor komponente informacijske sigurnosti pri prikupljanju, obradi i prijenosu osobnih podataka.</w:t>
            </w:r>
          </w:p>
        </w:tc>
        <w:tc>
          <w:tcPr>
            <w:tcW w:w="1020" w:type="dxa"/>
          </w:tcPr>
          <w:p w:rsidR="00505632" w:rsidRDefault="00505632" w:rsidP="00AD4E52">
            <w:pPr>
              <w:pStyle w:val="CellColumn"/>
              <w:jc w:val="right"/>
            </w:pPr>
            <w:r>
              <w:rPr>
                <w:rFonts w:cs="Times New Roman"/>
              </w:rPr>
              <w:t>% god</w:t>
            </w:r>
          </w:p>
        </w:tc>
        <w:tc>
          <w:tcPr>
            <w:tcW w:w="1020" w:type="dxa"/>
          </w:tcPr>
          <w:p w:rsidR="00505632" w:rsidRDefault="00505632" w:rsidP="00AD4E52">
            <w:pPr>
              <w:pStyle w:val="CellColumn"/>
              <w:jc w:val="right"/>
            </w:pPr>
            <w:r>
              <w:rPr>
                <w:rFonts w:cs="Times New Roman"/>
              </w:rPr>
              <w:t>92%</w:t>
            </w:r>
          </w:p>
        </w:tc>
        <w:tc>
          <w:tcPr>
            <w:tcW w:w="1020" w:type="dxa"/>
          </w:tcPr>
          <w:p w:rsidR="00505632" w:rsidRDefault="00505632" w:rsidP="00AD4E52">
            <w:pPr>
              <w:pStyle w:val="CellColumn"/>
              <w:jc w:val="right"/>
            </w:pPr>
            <w:r>
              <w:rPr>
                <w:rFonts w:cs="Times New Roman"/>
              </w:rPr>
              <w:t>AZOP</w:t>
            </w:r>
          </w:p>
        </w:tc>
        <w:tc>
          <w:tcPr>
            <w:tcW w:w="1020" w:type="dxa"/>
          </w:tcPr>
          <w:p w:rsidR="00505632" w:rsidRDefault="00505632" w:rsidP="00AD4E52">
            <w:pPr>
              <w:pStyle w:val="CellColumn"/>
              <w:jc w:val="right"/>
            </w:pPr>
            <w:r>
              <w:rPr>
                <w:rFonts w:cs="Times New Roman"/>
              </w:rPr>
              <w:t>92%</w:t>
            </w:r>
          </w:p>
        </w:tc>
        <w:tc>
          <w:tcPr>
            <w:tcW w:w="1020" w:type="dxa"/>
          </w:tcPr>
          <w:p w:rsidR="00505632" w:rsidRDefault="00505632" w:rsidP="00AD4E52">
            <w:pPr>
              <w:pStyle w:val="CellColumn"/>
              <w:jc w:val="right"/>
            </w:pPr>
            <w:r>
              <w:rPr>
                <w:rFonts w:cs="Times New Roman"/>
              </w:rPr>
              <w:t>92%</w:t>
            </w:r>
          </w:p>
        </w:tc>
      </w:tr>
    </w:tbl>
    <w:p w:rsidR="00505632" w:rsidRDefault="00505632" w:rsidP="00505632"/>
    <w:p w:rsidR="00505632" w:rsidRDefault="00505632" w:rsidP="00505632">
      <w:pPr>
        <w:overflowPunct/>
        <w:autoSpaceDE/>
        <w:autoSpaceDN/>
        <w:adjustRightInd/>
        <w:spacing w:after="200" w:line="276" w:lineRule="auto"/>
        <w:jc w:val="left"/>
        <w:textAlignment w:val="auto"/>
      </w:pPr>
      <w:r>
        <w:br w:type="page"/>
      </w:r>
    </w:p>
    <w:p w:rsidR="00505632" w:rsidRDefault="00505632" w:rsidP="00505632">
      <w:pPr>
        <w:pStyle w:val="Heading1"/>
      </w:pPr>
      <w:r>
        <w:t>256 DRŽAVNI ZAVOD ZA RADIOLOŠKU I NUKLEARNU SIGURNOST</w:t>
      </w:r>
    </w:p>
    <w:p w:rsidR="00505632" w:rsidRDefault="00505632" w:rsidP="00505632">
      <w:r>
        <w:t>Državni zavod za radiološku i nuklearnu sigurnost bavi se mjerama radiološke sigurnosti, mjerama fizičkog osiguranja te neširenja nuklearnog oružja pri obavljanju nuklearnih djelatnosti i djelatnosti s izvorima ionizirajućeg zračenja, u svrhu omogućavanja primjerene zaštite pojedinaca, društva i okoliša, u sadašnjosti i budućnosti, od štetnih posljedica ionizirajućeg zračenja i omogućavanja sigurnog obavljanja djelatnosti s izvorima ionizirajućeg zračenja, nuklearnih djelatnosti, zbrinjavanja radioaktivnog otpada i fizičkog osiguranja izvora ionizirajućeg zračenja i nuklearnih postrojenja.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tcPr>
          <w:p w:rsidR="00505632" w:rsidRDefault="00505632" w:rsidP="00AD4E52">
            <w:pPr>
              <w:pStyle w:val="CellHeader"/>
              <w:jc w:val="center"/>
              <w:rPr>
                <w:lang w:eastAsia="en-US"/>
              </w:rPr>
            </w:pP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2015.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Plan 2016. (kn)</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Izvršenje 2016. (kn)</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Indeks izvršenje 2016./plan 2016.</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Header"/>
              <w:jc w:val="center"/>
              <w:rPr>
                <w:lang w:eastAsia="en-US"/>
              </w:rPr>
            </w:pPr>
            <w:r>
              <w:rPr>
                <w:rFonts w:cs="Times New Roman"/>
                <w:lang w:eastAsia="en-US"/>
              </w:rPr>
              <w:t>Index izvršenje 2016./2015.</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left"/>
              <w:rPr>
                <w:lang w:eastAsia="en-US"/>
              </w:rPr>
            </w:pPr>
            <w:r>
              <w:rPr>
                <w:rFonts w:cs="Times New Roman"/>
                <w:lang w:eastAsia="en-US"/>
              </w:rPr>
              <w:t>25605-Državni zavod za radiološku i nuklearnu sigurnost</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11.573.641</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10.341.954</w:t>
            </w:r>
          </w:p>
        </w:tc>
        <w:tc>
          <w:tcPr>
            <w:tcW w:w="2041"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10.548.463</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102,0</w:t>
            </w:r>
          </w:p>
        </w:tc>
        <w:tc>
          <w:tcPr>
            <w:tcW w:w="1224" w:type="dxa"/>
            <w:tcBorders>
              <w:top w:val="single" w:sz="4" w:space="0" w:color="auto"/>
              <w:left w:val="single" w:sz="4" w:space="0" w:color="auto"/>
              <w:bottom w:val="single" w:sz="4" w:space="0" w:color="auto"/>
              <w:right w:val="single" w:sz="4" w:space="0" w:color="auto"/>
            </w:tcBorders>
            <w:vAlign w:val="top"/>
            <w:hideMark/>
          </w:tcPr>
          <w:p w:rsidR="00505632" w:rsidRDefault="00505632" w:rsidP="00AD4E52">
            <w:pPr>
              <w:pStyle w:val="CellColumn"/>
              <w:jc w:val="right"/>
              <w:rPr>
                <w:lang w:eastAsia="en-US"/>
              </w:rPr>
            </w:pPr>
            <w:r>
              <w:rPr>
                <w:rFonts w:cs="Times New Roman"/>
                <w:lang w:eastAsia="en-US"/>
              </w:rPr>
              <w:t>91,1</w:t>
            </w:r>
          </w:p>
        </w:tc>
      </w:tr>
      <w:tr w:rsidR="00505632" w:rsidTr="00AD4E52">
        <w:trPr>
          <w:jc w:val="center"/>
        </w:trPr>
        <w:tc>
          <w:tcPr>
            <w:tcW w:w="1632"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left"/>
              <w:rPr>
                <w:lang w:eastAsia="en-US"/>
              </w:rPr>
            </w:pPr>
            <w:r>
              <w:rPr>
                <w:rFonts w:cs="Times New Roman"/>
                <w:lang w:eastAsia="en-US"/>
              </w:rPr>
              <w:t>Ukupno 256-DRŽAVNI ZAVOD ZA RADIOLOŠKU I NUKLEARNU SIGURNOST</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11.573.641</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10.341.954</w:t>
            </w:r>
          </w:p>
        </w:tc>
        <w:tc>
          <w:tcPr>
            <w:tcW w:w="2041"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10.548.463</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102,0</w:t>
            </w:r>
          </w:p>
        </w:tc>
        <w:tc>
          <w:tcPr>
            <w:tcW w:w="1224" w:type="dxa"/>
            <w:tcBorders>
              <w:top w:val="single" w:sz="4" w:space="0" w:color="auto"/>
              <w:left w:val="single" w:sz="4" w:space="0" w:color="auto"/>
              <w:bottom w:val="single" w:sz="4" w:space="0" w:color="auto"/>
              <w:right w:val="single" w:sz="4" w:space="0" w:color="auto"/>
            </w:tcBorders>
            <w:shd w:val="clear" w:color="auto" w:fill="B5C0D8"/>
            <w:hideMark/>
          </w:tcPr>
          <w:p w:rsidR="00505632" w:rsidRDefault="00505632" w:rsidP="00AD4E52">
            <w:pPr>
              <w:pStyle w:val="CellColumn"/>
              <w:jc w:val="right"/>
              <w:rPr>
                <w:lang w:eastAsia="en-US"/>
              </w:rPr>
            </w:pPr>
            <w:r>
              <w:rPr>
                <w:rFonts w:cs="Times New Roman"/>
                <w:lang w:eastAsia="en-US"/>
              </w:rPr>
              <w:t>91,1</w:t>
            </w:r>
          </w:p>
        </w:tc>
      </w:tr>
    </w:tbl>
    <w:p w:rsidR="00505632" w:rsidRDefault="00505632" w:rsidP="00505632">
      <w:pPr>
        <w:jc w:val="left"/>
      </w:pPr>
    </w:p>
    <w:p w:rsidR="00505632" w:rsidRDefault="00505632" w:rsidP="00505632">
      <w:pPr>
        <w:pStyle w:val="Heading2"/>
      </w:pPr>
      <w:r>
        <w:t>25605 Državni zavod za radiološku i nuklearnu sigurnost</w:t>
      </w:r>
    </w:p>
    <w:p w:rsidR="00505632" w:rsidRDefault="00505632" w:rsidP="00505632">
      <w:r>
        <w:t xml:space="preserve">Državni zavod za radiološku i nuklearnu sigurnost odobrava obavljanje nuklearne djelatnosti, djelatnosti s izvorima ionizirajućeg zračenja, nabavu, uvoz, izvoz, prijevoz i provoz te uporabu  izvora  ionizirajućeg  zračenja;  provodi  nezavisne  analize  sigurnosti  i  izdaje rješenja i suglasnosti za smještaj, projektiranje, gradnju, uporabu te razgradnju objekta u kojem  će  se obavljati  nuklearna  djelatnost;  sudjeluje  u  postupku  izdavanja lokacijske dozvole,građevinske dozvole, dozvole za uklanjanje i postupku izdavanja uporabne dozvole za građevine u kojima su smješteni izvori ionizirajućeg zračenja ili </w:t>
      </w:r>
    </w:p>
    <w:p w:rsidR="00505632" w:rsidRDefault="00505632" w:rsidP="00505632">
      <w:r>
        <w:t xml:space="preserve">se obavlja djelatnost s izvorima ionizirajućeg zračenja u skladu s posebnim propisom; ovlašćuje i nadzire stručni rad ovlaštenih stručnih tehničkih servisa i ovlaštenih izvršitelja za nuklearnu sigurnost; organizirai nadzire, a po potrebi i provodi ispitivanja prisutnosti vrste i jakosti  ionizirajućeg  zračenja  u okolišu,  hrani  i  hrani  za  životinje,  lijekovima  i predmetima opće uporabe u redovitim uvjetima te u slučaju sumnje na izvanredni </w:t>
      </w:r>
    </w:p>
    <w:p w:rsidR="00505632" w:rsidRDefault="00505632" w:rsidP="00505632">
      <w:r>
        <w:t xml:space="preserve">događaj; vodi očevidnike o dozvolama, suglasnostima, rješenjima i potvrdama, koje izdaje  u  okviru  svojih  ovlasti,  te  vodi  i  nadzire očevidnike  o  izvorima  ionizirajućeg zračenja, nositeljima odobrenja za obavljanje djelatnosti s izvorima ionizirajućeg zračenja i nuklearne  djelatnosti,  korisnicima,  izloženim  radnicima, stupnju  ozračenosti  izloženih radnika te stupnju ozračenosti osoba izloženih medicinskom ozračenju i drugih osoba; obavlja inspekcijski nadzor nad provedbom odredbi Zakona o radiološkoj i nuklearnoj sigurnosti (NN141/13, 39/15) (dalje u tekstu: Zakon) i propisa donesenih na temelju Zakona; izrađuje  stručne  podloge  za  nastavne  programe  i  planove  za  redovito  i dopunsko obrazovanje te obnovu znanja iz područja zaštite od ionizirajućeg zračenja;osigurava stručnu pomoć za provođenje državnog plana i programa postupaka u slučaju nuklearne nesreće  i  izvanrednog  događaja  vezanih  uz  izvore  ionizirajućeg  zračenja; </w:t>
      </w:r>
    </w:p>
    <w:p w:rsidR="00505632" w:rsidRDefault="00505632" w:rsidP="00505632">
      <w:r>
        <w:t xml:space="preserve">obavješćuje sredstva javnog informiranja, nadležna tijela, organizacije, udruge i međunarodne institucije  o  izvanrednim  događajima  vezanim  uz  izvore  ionizirajućeg  zračenja; osigurava stručnu   pomoć   i   suradnju   u   poslovima   suzbijanja   nedozvoljenog   prometa nuklearnog i drugog radioaktivnog materijala tijelima državne uprave nadležnim za te poslove; prati stanje sigurnosti nuklearnih elektrana u regiji i provodi procjenu opasnosti </w:t>
      </w:r>
    </w:p>
    <w:p w:rsidR="00505632" w:rsidRDefault="00505632" w:rsidP="00505632">
      <w:r>
        <w:t xml:space="preserve">od  mogućih  nuklearnih nesreća  u  njima,  a  osobito  za  Nuklearnu  elektranu  Krško  u Sloveniji i Nuklearnu elektranu Paks u Mađarskoj; daje dozimetrijske procjene izlaganja ionizirajućem zračenju izloženih radnika, stanovništva od medicinskog ozračenja te od izlaganja ionizirajućem zračenju od radionuklida iz okoliša; provodi obveze koje je Republika  Hrvatska  preuzela  prema međunarodnim  konvencijama,  ugovorima  i sporazumima,  a  odnose  se  na  zaštitu  od ionizirajućeg  zračenja,  nuklearnu  sigurnost  i  primjenu  mjera  zaštite  u  svrhu neširenj anuklearnog oružja; surađuje s međunarodnim i domaćim organizacijama i društvima s područja zaštite od ionizirajućeg zračenja i nuklearne sigurnosti te imenuje svoje stručne predstavnike koji sudjeluju u radu tih organizacija i društava ili prate njihov </w:t>
      </w:r>
    </w:p>
    <w:p w:rsidR="00505632" w:rsidRDefault="00505632" w:rsidP="00505632">
      <w:r>
        <w:t>rad; koordinira poslove tehničke suradnje s Međunarodnom agencijom za atomsku energiju za sve sudionike iz Republike Hrvatske; potiče i podupire znanstveni i razvojno istraživački rad, potiče stručna statistička i druga istraživanja u skladu sa zahtjevima i potrebama razvoja  nuklearne sigurnosti  i  zaštite  od  ionizirajućeg  zračenja  u  Republici Hrvatskoj; izdaje upute za provođenje međunarodnih preporuka i normi u području zaštite od ionizirajućeg zračenja i nuklearne sigurnosti te oblikuje standarde i metode u praćenju  stanja  zaštite  od  ionizirajućeg  zračenja  te  obavlja  i  druge  poslove  iz  svoje nadležnosti na temelju Zakona, propisa donesenih na temelju Zakona i drugih propisa.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25605-Državni zavod za radiološku i nuklearnu sigurnost</w:t>
            </w:r>
          </w:p>
        </w:tc>
        <w:tc>
          <w:tcPr>
            <w:tcW w:w="2041" w:type="dxa"/>
            <w:vAlign w:val="top"/>
          </w:tcPr>
          <w:p w:rsidR="00505632" w:rsidRDefault="00505632" w:rsidP="00AD4E52">
            <w:pPr>
              <w:pStyle w:val="CellColumn"/>
              <w:jc w:val="right"/>
            </w:pPr>
            <w:r>
              <w:rPr>
                <w:rFonts w:cs="Times New Roman"/>
              </w:rPr>
              <w:t>11.573.641</w:t>
            </w:r>
          </w:p>
        </w:tc>
        <w:tc>
          <w:tcPr>
            <w:tcW w:w="2041" w:type="dxa"/>
            <w:vAlign w:val="top"/>
          </w:tcPr>
          <w:p w:rsidR="00505632" w:rsidRDefault="00505632" w:rsidP="00AD4E52">
            <w:pPr>
              <w:pStyle w:val="CellColumn"/>
              <w:jc w:val="right"/>
            </w:pPr>
            <w:r>
              <w:rPr>
                <w:rFonts w:cs="Times New Roman"/>
              </w:rPr>
              <w:t>10.341.954</w:t>
            </w:r>
          </w:p>
        </w:tc>
        <w:tc>
          <w:tcPr>
            <w:tcW w:w="2041" w:type="dxa"/>
            <w:vAlign w:val="top"/>
          </w:tcPr>
          <w:p w:rsidR="00505632" w:rsidRDefault="00505632" w:rsidP="00AD4E52">
            <w:pPr>
              <w:pStyle w:val="CellColumn"/>
              <w:jc w:val="right"/>
            </w:pPr>
            <w:r>
              <w:rPr>
                <w:rFonts w:cs="Times New Roman"/>
              </w:rPr>
              <w:t>10.548.463</w:t>
            </w:r>
          </w:p>
        </w:tc>
        <w:tc>
          <w:tcPr>
            <w:tcW w:w="1224" w:type="dxa"/>
            <w:vAlign w:val="top"/>
          </w:tcPr>
          <w:p w:rsidR="00505632" w:rsidRDefault="00505632" w:rsidP="00AD4E52">
            <w:pPr>
              <w:pStyle w:val="CellColumn"/>
              <w:jc w:val="right"/>
            </w:pPr>
            <w:r>
              <w:rPr>
                <w:rFonts w:cs="Times New Roman"/>
              </w:rPr>
              <w:t>102,0</w:t>
            </w:r>
          </w:p>
        </w:tc>
        <w:tc>
          <w:tcPr>
            <w:tcW w:w="1224" w:type="dxa"/>
            <w:vAlign w:val="top"/>
          </w:tcPr>
          <w:p w:rsidR="00505632" w:rsidRDefault="00505632" w:rsidP="00AD4E52">
            <w:pPr>
              <w:pStyle w:val="CellColumn"/>
              <w:jc w:val="right"/>
            </w:pPr>
            <w:r>
              <w:rPr>
                <w:rFonts w:cs="Times New Roman"/>
              </w:rPr>
              <w:t>91,1</w:t>
            </w:r>
          </w:p>
        </w:tc>
      </w:tr>
      <w:tr w:rsidR="00505632" w:rsidTr="00AD4E52">
        <w:trPr>
          <w:jc w:val="center"/>
        </w:trPr>
        <w:tc>
          <w:tcPr>
            <w:tcW w:w="1632" w:type="dxa"/>
          </w:tcPr>
          <w:p w:rsidR="00505632" w:rsidRDefault="00505632" w:rsidP="00AD4E52">
            <w:pPr>
              <w:jc w:val="left"/>
            </w:pPr>
            <w:r>
              <w:t>3608-RADIOLOŠKA I NUKLEARNA SIGURNOST</w:t>
            </w:r>
          </w:p>
        </w:tc>
        <w:tc>
          <w:tcPr>
            <w:tcW w:w="2041" w:type="dxa"/>
          </w:tcPr>
          <w:p w:rsidR="00505632" w:rsidRDefault="00505632" w:rsidP="00AD4E52">
            <w:pPr>
              <w:jc w:val="right"/>
            </w:pPr>
            <w:r>
              <w:t>11.573.641</w:t>
            </w:r>
          </w:p>
        </w:tc>
        <w:tc>
          <w:tcPr>
            <w:tcW w:w="2041" w:type="dxa"/>
          </w:tcPr>
          <w:p w:rsidR="00505632" w:rsidRDefault="00505632" w:rsidP="00AD4E52">
            <w:pPr>
              <w:jc w:val="right"/>
            </w:pPr>
            <w:r>
              <w:t>10.341.954</w:t>
            </w:r>
          </w:p>
        </w:tc>
        <w:tc>
          <w:tcPr>
            <w:tcW w:w="2041" w:type="dxa"/>
          </w:tcPr>
          <w:p w:rsidR="00505632" w:rsidRDefault="00505632" w:rsidP="00AD4E52">
            <w:pPr>
              <w:jc w:val="right"/>
            </w:pPr>
            <w:r>
              <w:t>10.548.463</w:t>
            </w:r>
          </w:p>
        </w:tc>
        <w:tc>
          <w:tcPr>
            <w:tcW w:w="1224" w:type="dxa"/>
          </w:tcPr>
          <w:p w:rsidR="00505632" w:rsidRDefault="00505632" w:rsidP="00AD4E52">
            <w:pPr>
              <w:jc w:val="right"/>
            </w:pPr>
            <w:r>
              <w:t>102,0</w:t>
            </w:r>
          </w:p>
        </w:tc>
        <w:tc>
          <w:tcPr>
            <w:tcW w:w="1224" w:type="dxa"/>
          </w:tcPr>
          <w:p w:rsidR="00505632" w:rsidRDefault="00505632" w:rsidP="00AD4E52">
            <w:pPr>
              <w:jc w:val="right"/>
            </w:pPr>
            <w:r>
              <w:t>91,1</w:t>
            </w:r>
          </w:p>
        </w:tc>
      </w:tr>
    </w:tbl>
    <w:p w:rsidR="00505632" w:rsidRDefault="00505632" w:rsidP="00505632">
      <w:pPr>
        <w:jc w:val="left"/>
      </w:pPr>
    </w:p>
    <w:p w:rsidR="00505632" w:rsidRDefault="00505632" w:rsidP="00505632">
      <w:pPr>
        <w:pStyle w:val="Heading3"/>
      </w:pPr>
      <w:r>
        <w:rPr>
          <w:rFonts w:cs="Times New Roman"/>
        </w:rPr>
        <w:t>3608 RADIOLOŠKA I NUKLEARNA SIGURNOST</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3608-RADIOLOŠKA I NUKLEARNA SIGURNOST</w:t>
            </w:r>
          </w:p>
        </w:tc>
        <w:tc>
          <w:tcPr>
            <w:tcW w:w="2041" w:type="dxa"/>
          </w:tcPr>
          <w:p w:rsidR="00505632" w:rsidRDefault="00505632" w:rsidP="00AD4E52">
            <w:pPr>
              <w:pStyle w:val="CellColumn"/>
              <w:jc w:val="right"/>
            </w:pPr>
            <w:r>
              <w:rPr>
                <w:rFonts w:cs="Times New Roman"/>
              </w:rPr>
              <w:t>11.573.641</w:t>
            </w:r>
          </w:p>
        </w:tc>
        <w:tc>
          <w:tcPr>
            <w:tcW w:w="2041" w:type="dxa"/>
          </w:tcPr>
          <w:p w:rsidR="00505632" w:rsidRDefault="00505632" w:rsidP="00AD4E52">
            <w:pPr>
              <w:pStyle w:val="CellColumn"/>
              <w:jc w:val="right"/>
            </w:pPr>
            <w:r>
              <w:rPr>
                <w:rFonts w:cs="Times New Roman"/>
              </w:rPr>
              <w:t>10.341.954</w:t>
            </w:r>
          </w:p>
        </w:tc>
        <w:tc>
          <w:tcPr>
            <w:tcW w:w="2041" w:type="dxa"/>
          </w:tcPr>
          <w:p w:rsidR="00505632" w:rsidRDefault="00505632" w:rsidP="00AD4E52">
            <w:pPr>
              <w:pStyle w:val="CellColumn"/>
              <w:jc w:val="right"/>
            </w:pPr>
            <w:r>
              <w:rPr>
                <w:rFonts w:cs="Times New Roman"/>
              </w:rPr>
              <w:t>10.548.463</w:t>
            </w:r>
          </w:p>
        </w:tc>
        <w:tc>
          <w:tcPr>
            <w:tcW w:w="1224" w:type="dxa"/>
          </w:tcPr>
          <w:p w:rsidR="00505632" w:rsidRDefault="00505632" w:rsidP="00AD4E52">
            <w:pPr>
              <w:pStyle w:val="CellColumn"/>
              <w:jc w:val="right"/>
            </w:pPr>
            <w:r>
              <w:rPr>
                <w:rFonts w:cs="Times New Roman"/>
              </w:rPr>
              <w:t>102,0</w:t>
            </w:r>
          </w:p>
        </w:tc>
        <w:tc>
          <w:tcPr>
            <w:tcW w:w="1224" w:type="dxa"/>
          </w:tcPr>
          <w:p w:rsidR="00505632" w:rsidRDefault="00505632" w:rsidP="00AD4E52">
            <w:pPr>
              <w:pStyle w:val="CellColumn"/>
              <w:jc w:val="right"/>
            </w:pPr>
            <w:r>
              <w:rPr>
                <w:rFonts w:cs="Times New Roman"/>
              </w:rPr>
              <w:t>91,1</w:t>
            </w:r>
          </w:p>
        </w:tc>
      </w:tr>
    </w:tbl>
    <w:p w:rsidR="00505632" w:rsidRDefault="00505632" w:rsidP="00505632">
      <w:pPr>
        <w:jc w:val="left"/>
      </w:pPr>
    </w:p>
    <w:p w:rsidR="00505632" w:rsidRDefault="00505632" w:rsidP="00505632">
      <w:r>
        <w:t>– Zaštita zdravlja, radiološka i nuklearna sigurnost</w:t>
      </w:r>
    </w:p>
    <w:p w:rsidR="00505632" w:rsidRDefault="00505632" w:rsidP="00505632">
      <w:pPr>
        <w:pStyle w:val="Heading8"/>
        <w:jc w:val="left"/>
      </w:pPr>
      <w:r>
        <w:t>Cilj 1. Jačanje radiološke i nuklearne sigurnosti</w:t>
      </w:r>
    </w:p>
    <w:p w:rsidR="00505632" w:rsidRDefault="00505632" w:rsidP="00505632"/>
    <w:p w:rsidR="00505632" w:rsidRDefault="00505632" w:rsidP="00505632"/>
    <w:p w:rsidR="00505632" w:rsidRDefault="00505632" w:rsidP="00505632"/>
    <w:p w:rsidR="00505632" w:rsidRPr="004F2320" w:rsidRDefault="00505632" w:rsidP="00505632"/>
    <w:p w:rsidR="00505632" w:rsidRPr="004F2320" w:rsidRDefault="00505632" w:rsidP="00505632"/>
    <w:p w:rsidR="00505632" w:rsidRDefault="00505632" w:rsidP="00505632">
      <w:pPr>
        <w:pStyle w:val="Heading4"/>
      </w:pPr>
      <w:r>
        <w:t>A849003 SUSTAVNO ISPITIVANJE IONIZIRAJUĆIH ZRAČENJA TE VRSTA I AKTIVNOSTI RADIOAKTIVNIH TVARI U OKOLIŠU</w:t>
      </w:r>
    </w:p>
    <w:tbl>
      <w:tblPr>
        <w:tblStyle w:val="StilTablice"/>
        <w:tblW w:w="10206" w:type="dxa"/>
        <w:jc w:val="center"/>
        <w:tblLook w:val="04A0" w:firstRow="1" w:lastRow="0" w:firstColumn="1" w:lastColumn="0" w:noHBand="0" w:noVBand="1"/>
      </w:tblPr>
      <w:tblGrid>
        <w:gridCol w:w="1725"/>
        <w:gridCol w:w="2014"/>
        <w:gridCol w:w="2013"/>
        <w:gridCol w:w="2015"/>
        <w:gridCol w:w="1218"/>
        <w:gridCol w:w="1221"/>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A849003-SUSTAVNO ISPITIVANJE IONIZIRAJUĆIH ZRAČENJA TE VRSTA I AKTIVNOSTI RADIOAKTIVNIH TVARI U OKOLIŠU</w:t>
            </w:r>
          </w:p>
        </w:tc>
        <w:tc>
          <w:tcPr>
            <w:tcW w:w="2041" w:type="dxa"/>
          </w:tcPr>
          <w:p w:rsidR="00505632" w:rsidRDefault="00505632" w:rsidP="00AD4E52">
            <w:pPr>
              <w:pStyle w:val="CellColumn"/>
              <w:jc w:val="right"/>
            </w:pPr>
            <w:r>
              <w:rPr>
                <w:rFonts w:cs="Times New Roman"/>
              </w:rPr>
              <w:t>540.900</w:t>
            </w:r>
          </w:p>
        </w:tc>
        <w:tc>
          <w:tcPr>
            <w:tcW w:w="2041" w:type="dxa"/>
          </w:tcPr>
          <w:p w:rsidR="00505632" w:rsidRDefault="00505632" w:rsidP="00AD4E52">
            <w:pPr>
              <w:pStyle w:val="CellColumn"/>
              <w:jc w:val="right"/>
            </w:pPr>
            <w:r>
              <w:rPr>
                <w:rFonts w:cs="Times New Roman"/>
              </w:rPr>
              <w:t>580.900</w:t>
            </w:r>
          </w:p>
        </w:tc>
        <w:tc>
          <w:tcPr>
            <w:tcW w:w="2041" w:type="dxa"/>
          </w:tcPr>
          <w:p w:rsidR="00505632" w:rsidRDefault="00505632" w:rsidP="00AD4E52">
            <w:pPr>
              <w:pStyle w:val="CellColumn"/>
              <w:jc w:val="right"/>
            </w:pPr>
            <w:r>
              <w:rPr>
                <w:rFonts w:cs="Times New Roman"/>
              </w:rPr>
              <w:t>580.900</w:t>
            </w:r>
          </w:p>
        </w:tc>
        <w:tc>
          <w:tcPr>
            <w:tcW w:w="1224" w:type="dxa"/>
          </w:tcPr>
          <w:p w:rsidR="00505632" w:rsidRDefault="00505632" w:rsidP="00AD4E52">
            <w:pPr>
              <w:pStyle w:val="CellColumn"/>
              <w:jc w:val="right"/>
            </w:pPr>
            <w:r>
              <w:rPr>
                <w:rFonts w:cs="Times New Roman"/>
              </w:rPr>
              <w:t>100,0</w:t>
            </w:r>
          </w:p>
        </w:tc>
        <w:tc>
          <w:tcPr>
            <w:tcW w:w="1224" w:type="dxa"/>
          </w:tcPr>
          <w:p w:rsidR="00505632" w:rsidRDefault="00505632" w:rsidP="00AD4E52">
            <w:pPr>
              <w:pStyle w:val="CellColumn"/>
              <w:jc w:val="right"/>
            </w:pPr>
            <w:r>
              <w:rPr>
                <w:rFonts w:cs="Times New Roman"/>
              </w:rPr>
              <w:t>107,4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radiološkoj i nuklearnoj sigurnosti ( NN 141/13 i 39/15 ) </w:t>
      </w:r>
    </w:p>
    <w:p w:rsidR="00505632" w:rsidRDefault="00505632" w:rsidP="00505632">
      <w:r>
        <w:t>Pravilnik o praćenju stanja radioaktivnosti u okolišu ( NN 121/13 )</w:t>
      </w:r>
    </w:p>
    <w:p w:rsidR="00505632" w:rsidRDefault="00505632" w:rsidP="00505632">
      <w:pPr>
        <w:pStyle w:val="Heading8"/>
        <w:jc w:val="left"/>
      </w:pPr>
      <w:r>
        <w:t>Opis aktivnosti</w:t>
      </w:r>
    </w:p>
    <w:p w:rsidR="00505632" w:rsidRDefault="00505632" w:rsidP="00505632">
      <w:r>
        <w:t>Sustavno praćenje radioaktivnosti u okolišu se u Republici Hrvatskoj provodi dugi niz godina, tako da uglavnom postoje potrebni resursi i dugogodišnji nizovi podataka. Državni zavod za radiološku i nuklearnu sigurnost održao je kontinuitet praćenja radioaktivnosti u okolišu, stambenim i radnim prostorijama te vršio procjenu izloženosti stanovništva u cjelini. U 2016 godini   uspostavio je, u suradnji sa Ericsson Nikola Tesla d.d.,sustav (IT infrastrukturu) za pohranu i prikaz podataka čime se unaprijedila dostupnost podacima. Podaci su zorno prikazani u slojevima, na karti Republike Hrvatske, na javnoj instalaciji GIS (geografski informacijski sustav) preglednika razvijenog u kompaniji Ericsson Nikola Tesla d.d. Analizom postojećih podataka i usporedbom s drugim pokazateljima, provjerava se njihova kvaliteta i relevantnost te osigurava prikladan prikaz podataka.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246"/>
        <w:gridCol w:w="2223"/>
        <w:gridCol w:w="954"/>
        <w:gridCol w:w="992"/>
        <w:gridCol w:w="1804"/>
        <w:gridCol w:w="992"/>
        <w:gridCol w:w="995"/>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Izvješće</w:t>
            </w:r>
            <w:r>
              <w:rPr>
                <w:rFonts w:cs="Times New Roman"/>
              </w:rPr>
              <w:tab/>
              <w:t>o stanju radioaktivnosti u   okolišu   te stambenim</w:t>
            </w:r>
            <w:r>
              <w:rPr>
                <w:rFonts w:cs="Times New Roman"/>
              </w:rPr>
              <w:tab/>
            </w:r>
            <w:r>
              <w:rPr>
                <w:rFonts w:cs="Times New Roman"/>
              </w:rPr>
              <w:tab/>
              <w:t>i radnim prostorijama s procjenom ozračenja stanovništva</w:t>
            </w:r>
          </w:p>
        </w:tc>
        <w:tc>
          <w:tcPr>
            <w:tcW w:w="2551" w:type="dxa"/>
          </w:tcPr>
          <w:p w:rsidR="00505632" w:rsidRDefault="00505632" w:rsidP="00AD4E52">
            <w:pPr>
              <w:pStyle w:val="CellColumn"/>
              <w:jc w:val="left"/>
            </w:pPr>
            <w:r>
              <w:rPr>
                <w:rFonts w:cs="Times New Roman"/>
              </w:rPr>
              <w:t>Izvješće sadržava rezultate</w:t>
            </w:r>
            <w:r>
              <w:rPr>
                <w:rFonts w:cs="Times New Roman"/>
              </w:rPr>
              <w:tab/>
              <w:t>o stanju radioaktivnosti u   okolišu   te stambenim</w:t>
            </w:r>
            <w:r>
              <w:rPr>
                <w:rFonts w:cs="Times New Roman"/>
              </w:rPr>
              <w:tab/>
            </w:r>
            <w:r>
              <w:rPr>
                <w:rFonts w:cs="Times New Roman"/>
              </w:rPr>
              <w:tab/>
              <w:t>i radnim prostorijama s procjenom ozračenja stanovništva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66</w:t>
            </w:r>
          </w:p>
        </w:tc>
        <w:tc>
          <w:tcPr>
            <w:tcW w:w="1020" w:type="dxa"/>
          </w:tcPr>
          <w:p w:rsidR="00505632" w:rsidRDefault="00505632" w:rsidP="00AD4E52">
            <w:pPr>
              <w:pStyle w:val="CellColumn"/>
              <w:jc w:val="right"/>
            </w:pPr>
            <w:r>
              <w:rPr>
                <w:rFonts w:cs="Times New Roman"/>
              </w:rPr>
              <w:t>DZRNS/ ovlašteni stručni tehnički servis</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1" w:type="dxa"/>
          </w:tcPr>
          <w:p w:rsidR="00505632" w:rsidRDefault="00505632" w:rsidP="00AD4E52">
            <w:pPr>
              <w:pStyle w:val="CellColumn"/>
              <w:jc w:val="left"/>
            </w:pPr>
            <w:r>
              <w:rPr>
                <w:rFonts w:cs="Times New Roman"/>
              </w:rPr>
              <w:t>Uspostavljen sustav(IT infrastrukture) za</w:t>
            </w:r>
            <w:r>
              <w:rPr>
                <w:rFonts w:cs="Times New Roman"/>
              </w:rPr>
              <w:tab/>
              <w:t>pohranu, obradu i prezentaciju prikupljenih podataka</w:t>
            </w:r>
          </w:p>
        </w:tc>
        <w:tc>
          <w:tcPr>
            <w:tcW w:w="2551" w:type="dxa"/>
          </w:tcPr>
          <w:p w:rsidR="00505632" w:rsidRDefault="00505632" w:rsidP="00AD4E52">
            <w:pPr>
              <w:pStyle w:val="CellColumn"/>
              <w:jc w:val="left"/>
            </w:pPr>
            <w:r>
              <w:rPr>
                <w:rFonts w:cs="Times New Roman"/>
              </w:rPr>
              <w:t>Postojanjem strukture unaprijedit će se dostupnost podacima, kao i analiza postojećih podataka te usporedba s drugim pokazateljima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DZRNS/JRC/vanjski stučnjaci</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25</w:t>
            </w:r>
          </w:p>
        </w:tc>
      </w:tr>
      <w:tr w:rsidR="00505632" w:rsidTr="00AD4E52">
        <w:trPr>
          <w:jc w:val="center"/>
        </w:trPr>
        <w:tc>
          <w:tcPr>
            <w:tcW w:w="2551" w:type="dxa"/>
          </w:tcPr>
          <w:p w:rsidR="00505632" w:rsidRDefault="00505632" w:rsidP="00AD4E52">
            <w:pPr>
              <w:pStyle w:val="CellColumn"/>
              <w:jc w:val="left"/>
            </w:pPr>
            <w:r>
              <w:rPr>
                <w:rFonts w:cs="Times New Roman"/>
              </w:rPr>
              <w:t>Identificirana radna mjesta i</w:t>
            </w:r>
            <w:r>
              <w:rPr>
                <w:rFonts w:cs="Times New Roman"/>
              </w:rPr>
              <w:tab/>
              <w:t>područja obzirom na izloženost prirodnim izvorima ionizirajućeg zračenja.</w:t>
            </w:r>
          </w:p>
        </w:tc>
        <w:tc>
          <w:tcPr>
            <w:tcW w:w="2551" w:type="dxa"/>
          </w:tcPr>
          <w:p w:rsidR="00505632" w:rsidRDefault="00505632" w:rsidP="00AD4E52">
            <w:pPr>
              <w:pStyle w:val="CellColumn"/>
              <w:jc w:val="left"/>
            </w:pPr>
            <w:r>
              <w:rPr>
                <w:rFonts w:cs="Times New Roman"/>
              </w:rPr>
              <w:t>Na identificiranim radnim mjestima i područjimas povišenom razinom ionizirajućeg zračenja primjenjivat će se mjere zaštite od ionizirajućeg zračenja  čime će se smanjiti doza  radnika, odnosno stanovništva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DZRNS/ovlašteni stručni tehnički servisi/vanjski stručnjaci</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5</w:t>
            </w:r>
          </w:p>
        </w:tc>
      </w:tr>
    </w:tbl>
    <w:p w:rsidR="00505632" w:rsidRDefault="00505632" w:rsidP="00505632">
      <w:pPr>
        <w:jc w:val="left"/>
      </w:pPr>
    </w:p>
    <w:p w:rsidR="00505632" w:rsidRDefault="00505632" w:rsidP="00505632">
      <w:pPr>
        <w:pStyle w:val="Heading4"/>
      </w:pPr>
      <w:r>
        <w:t>A849020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A849020-ADMINISTRACIJA I UPRAVLJANJE</w:t>
            </w:r>
          </w:p>
        </w:tc>
        <w:tc>
          <w:tcPr>
            <w:tcW w:w="2041" w:type="dxa"/>
          </w:tcPr>
          <w:p w:rsidR="00505632" w:rsidRDefault="00505632" w:rsidP="00AD4E52">
            <w:pPr>
              <w:pStyle w:val="CellColumn"/>
              <w:jc w:val="right"/>
            </w:pPr>
            <w:r>
              <w:rPr>
                <w:rFonts w:cs="Times New Roman"/>
              </w:rPr>
              <w:t>6.401.284</w:t>
            </w:r>
          </w:p>
        </w:tc>
        <w:tc>
          <w:tcPr>
            <w:tcW w:w="2041" w:type="dxa"/>
          </w:tcPr>
          <w:p w:rsidR="00505632" w:rsidRDefault="00505632" w:rsidP="00AD4E52">
            <w:pPr>
              <w:pStyle w:val="CellColumn"/>
              <w:jc w:val="right"/>
            </w:pPr>
            <w:r>
              <w:rPr>
                <w:rFonts w:cs="Times New Roman"/>
              </w:rPr>
              <w:t>8.293.844</w:t>
            </w:r>
          </w:p>
        </w:tc>
        <w:tc>
          <w:tcPr>
            <w:tcW w:w="2041" w:type="dxa"/>
          </w:tcPr>
          <w:p w:rsidR="00505632" w:rsidRDefault="00505632" w:rsidP="00AD4E52">
            <w:pPr>
              <w:pStyle w:val="CellColumn"/>
              <w:jc w:val="right"/>
            </w:pPr>
            <w:r>
              <w:rPr>
                <w:rFonts w:cs="Times New Roman"/>
              </w:rPr>
              <w:t>8.058.390</w:t>
            </w:r>
          </w:p>
        </w:tc>
        <w:tc>
          <w:tcPr>
            <w:tcW w:w="1224" w:type="dxa"/>
          </w:tcPr>
          <w:p w:rsidR="00505632" w:rsidRDefault="00505632" w:rsidP="00AD4E52">
            <w:pPr>
              <w:pStyle w:val="CellColumn"/>
              <w:jc w:val="right"/>
            </w:pPr>
            <w:r>
              <w:rPr>
                <w:rFonts w:cs="Times New Roman"/>
              </w:rPr>
              <w:t>97,2</w:t>
            </w:r>
          </w:p>
        </w:tc>
        <w:tc>
          <w:tcPr>
            <w:tcW w:w="1224" w:type="dxa"/>
          </w:tcPr>
          <w:p w:rsidR="00505632" w:rsidRDefault="00505632" w:rsidP="00AD4E52">
            <w:pPr>
              <w:pStyle w:val="CellColumn"/>
              <w:jc w:val="right"/>
            </w:pPr>
            <w:r>
              <w:rPr>
                <w:rFonts w:cs="Times New Roman"/>
              </w:rPr>
              <w:t>125,9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radiološkoj i nuklearnoj sigurnosti (NN141/13 i 39/15) </w:t>
      </w:r>
    </w:p>
    <w:p w:rsidR="00505632" w:rsidRDefault="00505632" w:rsidP="00505632">
      <w:r>
        <w:t xml:space="preserve">Pravilnik o službenoj iskaznici i znački inspektora za radiološku i nuklearnu sigurnost (NN 125/15) </w:t>
      </w:r>
    </w:p>
    <w:p w:rsidR="00505632" w:rsidRDefault="00505632" w:rsidP="00505632">
      <w:r>
        <w:t xml:space="preserve">Pravilnik o obrazovanju potrebnom za rukovanje izvorima ionizirajućeg zračenja i primjenu mjera zaštite od ionizirajućeg zračenja (NN 97/15 i 10/16) </w:t>
      </w:r>
    </w:p>
    <w:p w:rsidR="00505632" w:rsidRDefault="00505632" w:rsidP="00505632">
      <w:r>
        <w:t xml:space="preserve">Pravilnik o ovlašćivanju stručnih tehničkih servisa za obavljanje stručnih poslova zaštite od ionizirajućeg zračenja (NN 72/11) </w:t>
      </w:r>
    </w:p>
    <w:p w:rsidR="00505632" w:rsidRDefault="00505632" w:rsidP="00505632">
      <w:r>
        <w:t xml:space="preserve">Pravilnik o fizičkom osiguranju radioaktivnih izvora, nuklearnog materijala i nuklearnih objekata (NN 38/12) </w:t>
      </w:r>
    </w:p>
    <w:p w:rsidR="00505632" w:rsidRDefault="00505632" w:rsidP="00505632">
      <w:r>
        <w:t xml:space="preserve">Pravilnik o mjerenju osobnog ozračenja, ispitivanju izvora ionizirajućeg zračenja i uvjeta rada te o izvješćima i očevidnicima (NN 41/12, 89/13) </w:t>
      </w:r>
    </w:p>
    <w:p w:rsidR="00505632" w:rsidRDefault="00505632" w:rsidP="00505632">
      <w:r>
        <w:t xml:space="preserve">Pravilnik o odobrenjima i dozvolama za uporabu i promet izvora ionizirajućeg zračenja (NN 71/12, 89/13) </w:t>
      </w:r>
    </w:p>
    <w:p w:rsidR="00505632" w:rsidRDefault="00505632" w:rsidP="00505632">
      <w:r>
        <w:t xml:space="preserve">Pravilnik o opsegu i sadržaju plana i programa mjera za slučaj izvanrednog događaja te izvješćivanja javnosti i nadležnih tijela (123/12) </w:t>
      </w:r>
    </w:p>
    <w:p w:rsidR="00505632" w:rsidRDefault="00505632" w:rsidP="00505632">
      <w:r>
        <w:t xml:space="preserve">Pravilnik o nadzoru i kontroli prekograničnog prijevoza radioaktivnog otpada i istrošenog goriva (NN 11/13) </w:t>
      </w:r>
    </w:p>
    <w:p w:rsidR="00505632" w:rsidRDefault="00505632" w:rsidP="00505632">
      <w:r>
        <w:t xml:space="preserve">Pravilnik o uvjetima i mjerama zaštite od ionizirajućeg zračenja za obavljanje djelatnosti s radioaktivnim izvorima (NN 41/13) </w:t>
      </w:r>
    </w:p>
    <w:p w:rsidR="00505632" w:rsidRDefault="00505632" w:rsidP="00505632">
      <w:r>
        <w:t xml:space="preserve">Pravilnik o uvjetima i mjerama zaštite od ionizirajućeg zračenja za obavljanje djelatnosti s električnim uređajima koji proizvode ionizirajuće zračenje (NN 41/13) </w:t>
      </w:r>
    </w:p>
    <w:p w:rsidR="00505632" w:rsidRDefault="00505632" w:rsidP="00505632">
      <w:r>
        <w:t xml:space="preserve">Pravilnik o uvjetima i načinu izdavanja i oduzimanja odobrenja za ambalažu za prijevoz radioaktivnih i nuklearnih materijala (42/13) </w:t>
      </w:r>
    </w:p>
    <w:p w:rsidR="00505632" w:rsidRDefault="00505632" w:rsidP="00505632">
      <w:r>
        <w:t xml:space="preserve">Pravilnik o granicama ozračenja (NN 59/13) </w:t>
      </w:r>
    </w:p>
    <w:p w:rsidR="00505632" w:rsidRDefault="00505632" w:rsidP="00505632">
      <w:r>
        <w:t xml:space="preserve">Pravilnik o zdravstvenim uvjetima izloženih radnika i osoba koje se obučavaju za rad s izvorima ionizirajućeg zračenja (NN 80/13) </w:t>
      </w:r>
    </w:p>
    <w:p w:rsidR="00505632" w:rsidRDefault="00505632" w:rsidP="00505632">
      <w:r>
        <w:t xml:space="preserve">Pravilnik o uvjetima za primjenu izvora ionizirajućeg zračenja u medicini i dentalnoj medicini (NN 89/13) </w:t>
      </w:r>
    </w:p>
    <w:p w:rsidR="00505632" w:rsidRDefault="00505632" w:rsidP="00505632">
      <w:r>
        <w:t xml:space="preserve">Pravilnik o praćenju stanja radioaktivnosti u okolišu (NN 121/13) </w:t>
      </w:r>
    </w:p>
    <w:p w:rsidR="00505632" w:rsidRDefault="00505632" w:rsidP="00505632">
      <w:r>
        <w:t xml:space="preserve">Pravilnik o načinu i postupku nadzora prilikom uvoza ili izvoza materijala za koji postoji opravdana sumnja da je onečišćen radionuklidima ili sadrži radioaktivne izvore (NN 114/07) </w:t>
      </w:r>
    </w:p>
    <w:p w:rsidR="00505632" w:rsidRDefault="00505632" w:rsidP="00505632">
      <w:r>
        <w:t xml:space="preserve">Pravilnik o načinu uklanjanja radioaktivnog onečišćenja, zbrinjavanja radioaktivnog izvora, odnosno poduzimanja svih drugih prijeko potrebnih mjera radi smanjenja štete za ljude i okoliš ili uklanjanja daljnjih rizika, opasnosti ili šteta (NN 53/08) </w:t>
      </w:r>
    </w:p>
    <w:p w:rsidR="00505632" w:rsidRDefault="00505632" w:rsidP="00505632">
      <w:r>
        <w:t xml:space="preserve">Pravilnik o uvjetima za projektiranje, gradnju te uklanjanje građevina u kojima su smješteni izvori ionizirajućeg zračenja ili se obavljaju djelatnosti s izvorima ionizirajućeg zračenja (NN 99/08) </w:t>
      </w:r>
    </w:p>
    <w:p w:rsidR="00505632" w:rsidRDefault="00505632" w:rsidP="00505632">
      <w:r>
        <w:t xml:space="preserve">Pravilnik o visini naknada, vrstama i visini dodatnih troškova te načinu plaćanja za poslove koje obavlja Državni zavod za zaštitu od zračenja (NN 89/09) </w:t>
      </w:r>
    </w:p>
    <w:p w:rsidR="00505632" w:rsidRDefault="00505632" w:rsidP="00505632">
      <w:r>
        <w:t xml:space="preserve">Pravilnik o obavljanju nuklearne djelatnosti (NN 74/06) </w:t>
      </w:r>
    </w:p>
    <w:p w:rsidR="00505632" w:rsidRDefault="00505632" w:rsidP="00505632">
      <w:r>
        <w:t xml:space="preserve">Pravilnik o posebnim uvjetima koje moraju ispunjavati stručne organizacije za obavljanje određenih poslova iz područja nuklearne sigurnosti (NN 74/06) </w:t>
      </w:r>
    </w:p>
    <w:p w:rsidR="00505632" w:rsidRDefault="00505632" w:rsidP="00505632">
      <w:r>
        <w:t xml:space="preserve">Pravilnik o uvjetima nuklearne sigurnosti i zaštite za smještaj, projektiranje, gradnju, uporabu i razgradnju objekta u kojem se obavlja nuklearna djelatnost (NN 71/08) </w:t>
      </w:r>
    </w:p>
    <w:p w:rsidR="00505632" w:rsidRDefault="00505632" w:rsidP="00505632">
      <w:r>
        <w:t xml:space="preserve">Uredba o uvjetima te načinu zbrinjavanja radioaktivnog otpada, iskorištenih zatvorenih radioaktivnih izvora i izvora ionizirajućeg zračenja koji se ne namjeravaju dalje koristiti (NN 44/08) </w:t>
      </w:r>
    </w:p>
    <w:p w:rsidR="00505632" w:rsidRDefault="00505632" w:rsidP="00505632">
      <w:r>
        <w:t xml:space="preserve">Uredba o mjerama zaštite od ionizirajućeg zračenja te intervencija u slučaju izvanrednog događaja (NN 102/12) </w:t>
      </w:r>
    </w:p>
    <w:p w:rsidR="00505632" w:rsidRDefault="00505632" w:rsidP="00505632">
      <w:r>
        <w:t xml:space="preserve">Strategija zbrinjavanja radioaktivnog otpada, iskorištenih izvora i istrošenog nuklearnog goriva (NN 125/14) </w:t>
      </w:r>
    </w:p>
    <w:p w:rsidR="00505632" w:rsidRDefault="00505632" w:rsidP="00505632">
      <w:r>
        <w:t>Zakon o odgovornosti za nuklearnu štetu (NN 143/98)</w:t>
      </w:r>
    </w:p>
    <w:p w:rsidR="00505632" w:rsidRDefault="00505632" w:rsidP="00505632">
      <w:pPr>
        <w:pStyle w:val="Heading8"/>
        <w:jc w:val="left"/>
      </w:pPr>
      <w:r>
        <w:t>Opis aktivnosti</w:t>
      </w:r>
    </w:p>
    <w:p w:rsidR="00505632" w:rsidRDefault="00505632" w:rsidP="00505632">
      <w:r>
        <w:t xml:space="preserve">U Državnom zavodu za radiološku i nuklearnu sigurnost je trenutno popunjeno 24 radnih mjesta (1 dužnosnik i 23 službenika).  </w:t>
      </w:r>
    </w:p>
    <w:p w:rsidR="00505632" w:rsidRDefault="00505632" w:rsidP="00505632">
      <w:r>
        <w:t xml:space="preserve">Kroz Aktivnost A849020 Administracija i upravljanje tijekom 2016. godine sredstva su utrošena za podmirenje osnovnih potreba za normalno poslovanje i funkcioniranje Državnog zavoda za radiološku i nuklearnu sigurnost u obavljanju stručnih administativnih poslova sukladno Zakonu o radiološkoj i nuklearnoj sigurnosti koji definira djelokrug Zavoda kao i ostalim zakonskim obvezama po kojima Zavod postupa. </w:t>
      </w:r>
    </w:p>
    <w:p w:rsidR="00505632" w:rsidRDefault="00505632" w:rsidP="00505632">
      <w:r>
        <w:t xml:space="preserve">Državni zavod za radiološku i nuklearnu sigurnost je u 2016. godini podmirio i  obvezu plaćanja dijela članarina za sljedeće međunarodne organizacije: </w:t>
      </w:r>
    </w:p>
    <w:p w:rsidR="00505632" w:rsidRDefault="00505632" w:rsidP="00505632">
      <w:r>
        <w:t xml:space="preserve">-          Međunarodna agencija za atomsku energiju ( IAEA ) </w:t>
      </w:r>
    </w:p>
    <w:p w:rsidR="00505632" w:rsidRDefault="00505632" w:rsidP="00505632">
      <w:r>
        <w:t xml:space="preserve">-          Organizacija za provođenje Ugovora o sveobuhvatnoj zabrani nuklearnih pokusa ( CTBTO ) </w:t>
      </w:r>
    </w:p>
    <w:p w:rsidR="00505632" w:rsidRDefault="00505632" w:rsidP="00505632">
      <w:r>
        <w:t xml:space="preserve">-          Nuklearna regulatorna komisija (NRC) temeljem bilateralnog sporazuma. </w:t>
      </w:r>
    </w:p>
    <w:p w:rsidR="00505632" w:rsidRDefault="00505632" w:rsidP="00505632">
      <w:r>
        <w:t>Sve članarine za Zavod predstavljaju izuzetno visoku financijsku stavku u odnosu na ukupni proračun.</w:t>
      </w:r>
    </w:p>
    <w:p w:rsidR="00505632" w:rsidRDefault="00505632" w:rsidP="00505632">
      <w:pPr>
        <w:pStyle w:val="Heading4"/>
      </w:pPr>
      <w:r>
        <w:t>A849021 SUSTAV PRIPRAVNOSTI U SLUČAJU IZVANREDNOG DOGAĐAJA</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A849021-SUSTAV PRIPRAVNOSTI U SLUČAJU IZVANREDNOG DOGAĐAJA</w:t>
            </w:r>
          </w:p>
        </w:tc>
        <w:tc>
          <w:tcPr>
            <w:tcW w:w="2041" w:type="dxa"/>
          </w:tcPr>
          <w:p w:rsidR="00505632" w:rsidRDefault="00505632" w:rsidP="00AD4E52">
            <w:pPr>
              <w:pStyle w:val="CellColumn"/>
              <w:jc w:val="right"/>
            </w:pPr>
            <w:r>
              <w:rPr>
                <w:rFonts w:cs="Times New Roman"/>
              </w:rPr>
              <w:t>503.250</w:t>
            </w:r>
          </w:p>
        </w:tc>
        <w:tc>
          <w:tcPr>
            <w:tcW w:w="2041" w:type="dxa"/>
          </w:tcPr>
          <w:p w:rsidR="00505632" w:rsidRDefault="00505632" w:rsidP="00AD4E52">
            <w:pPr>
              <w:pStyle w:val="CellColumn"/>
              <w:jc w:val="right"/>
            </w:pPr>
            <w:r>
              <w:rPr>
                <w:rFonts w:cs="Times New Roman"/>
              </w:rPr>
              <w:t>523.335</w:t>
            </w:r>
          </w:p>
        </w:tc>
        <w:tc>
          <w:tcPr>
            <w:tcW w:w="2041" w:type="dxa"/>
          </w:tcPr>
          <w:p w:rsidR="00505632" w:rsidRDefault="00505632" w:rsidP="00AD4E52">
            <w:pPr>
              <w:pStyle w:val="CellColumn"/>
              <w:jc w:val="right"/>
            </w:pPr>
            <w:r>
              <w:rPr>
                <w:rFonts w:cs="Times New Roman"/>
              </w:rPr>
              <w:t>520.267</w:t>
            </w:r>
          </w:p>
        </w:tc>
        <w:tc>
          <w:tcPr>
            <w:tcW w:w="1224" w:type="dxa"/>
          </w:tcPr>
          <w:p w:rsidR="00505632" w:rsidRDefault="00505632" w:rsidP="00AD4E52">
            <w:pPr>
              <w:pStyle w:val="CellColumn"/>
              <w:jc w:val="right"/>
            </w:pPr>
            <w:r>
              <w:rPr>
                <w:rFonts w:cs="Times New Roman"/>
              </w:rPr>
              <w:t>99,4</w:t>
            </w:r>
          </w:p>
        </w:tc>
        <w:tc>
          <w:tcPr>
            <w:tcW w:w="1224" w:type="dxa"/>
          </w:tcPr>
          <w:p w:rsidR="00505632" w:rsidRDefault="00505632" w:rsidP="00AD4E52">
            <w:pPr>
              <w:pStyle w:val="CellColumn"/>
              <w:jc w:val="right"/>
            </w:pPr>
            <w:r>
              <w:rPr>
                <w:rFonts w:cs="Times New Roman"/>
              </w:rPr>
              <w:t>103,4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radiološkoj i nuklearnoj sigurnosti (NN141/13 i 39/15) </w:t>
      </w:r>
    </w:p>
    <w:p w:rsidR="00505632" w:rsidRDefault="00505632" w:rsidP="00505632">
      <w:r>
        <w:t xml:space="preserve">Pravilnik o opsegu i sadržaju plana i programa mjera za slučaj izvanrednog događaja te izvješćivanja javnosti i nadležnih tijela (123/12) </w:t>
      </w:r>
    </w:p>
    <w:p w:rsidR="00505632" w:rsidRDefault="00505632" w:rsidP="00505632">
      <w:r>
        <w:t xml:space="preserve">Pravilnik o nadzoru i kontroli prekograničnog prijevoza radioaktivnog otpada i istrošenog goriva (NN 11/13) </w:t>
      </w:r>
    </w:p>
    <w:p w:rsidR="00505632" w:rsidRDefault="00505632" w:rsidP="00505632">
      <w:r>
        <w:t xml:space="preserve">Pravilnik o granicama ozračenja (NN 59/13) </w:t>
      </w:r>
    </w:p>
    <w:p w:rsidR="00505632" w:rsidRDefault="00505632" w:rsidP="00505632">
      <w:r>
        <w:t xml:space="preserve">Pravilnik o načinu i postupku nadzora prilikom uvoza ili izvoza materijala za koji postoji opravdana sumnja da je onečišćen radionuklidima ili sadrži radioaktivne izvore (NN 114/07) </w:t>
      </w:r>
    </w:p>
    <w:p w:rsidR="00505632" w:rsidRDefault="00505632" w:rsidP="00505632">
      <w:r>
        <w:t xml:space="preserve">Pravilnik o načinu uklanjanja radioaktivnog onečišćenja, zbrinjavanja radioaktivnog izvora, odnosno poduzimanja svih drugih prijeko potrebnih mjera radi smanjenja štete za ljude i okoliš ili uklanjanja daljnjih rizika, opasnosti ili šteta (NN 53/08) </w:t>
      </w:r>
    </w:p>
    <w:p w:rsidR="00505632" w:rsidRDefault="00505632" w:rsidP="00505632">
      <w:r>
        <w:t xml:space="preserve">Uredba o uvjetima te načinu zbrinjavanja radioaktivnog otpada, iskorištenih zatvorenih radioaktivnih izvora i izvora ionizirajućeg zračenja koji se ne namjeravaju dalje koristiti (NN 44/08) </w:t>
      </w:r>
    </w:p>
    <w:p w:rsidR="00505632" w:rsidRDefault="00505632" w:rsidP="00505632">
      <w:r>
        <w:t>Uredba o mjerama zaštite od ionizirajućeg zračenja te intervencija u slučaju izvanrednog događaja (NN 102/12)</w:t>
      </w:r>
    </w:p>
    <w:p w:rsidR="00505632" w:rsidRDefault="00505632" w:rsidP="00505632">
      <w:pPr>
        <w:pStyle w:val="Heading8"/>
        <w:jc w:val="left"/>
      </w:pPr>
      <w:r>
        <w:t>Opis aktivnosti</w:t>
      </w:r>
    </w:p>
    <w:p w:rsidR="00505632" w:rsidRDefault="00505632" w:rsidP="00505632">
      <w:r>
        <w:t xml:space="preserve">Jedan od ključnih dijelova radiološke i nuklearne sigurnosti je sustav pripravnosti i odaziva u slučaju izvanrednog događaja. Sustav odaziva u slučaju izvanrednog događaja obuhvaća sve mjere koje se poduzimaju kako bi se štetne posljedice nastalog izvanrednog događaja na ljude i okoliš svele na minimum. Sustav pripravnosti obuhvaća sve potrebne aktivnosti kako bi se izvanredni događaj što prije prepoznao te kako bi se mogao aktivirati sustav odaziva. </w:t>
      </w:r>
    </w:p>
    <w:p w:rsidR="00505632" w:rsidRDefault="00505632" w:rsidP="00505632">
      <w:r>
        <w:t xml:space="preserve">Kako bi se održala učinkovitost sustava, provode se tri bitne skupine aktivnosti. </w:t>
      </w:r>
    </w:p>
    <w:p w:rsidR="00505632" w:rsidRDefault="00505632" w:rsidP="00505632">
      <w:r>
        <w:t xml:space="preserve">Zavod se brine za zakonski okvir koji definira sustav pripravnosti i odaziva na izvanredni događaj. Zakonski je okvir trenutno prvenstveno definiran odredbama Uredbe o mjerama zaštite od ionizirajućeg zračenja te intervencija u slučaju izvanrednoga događaja (dalje u tekstu: Uredba). Zavod provodi usuglašavanje s Europskim zakonodavstvom te uvođenje najboljih općeprihvaćenih svjetskih standarda. U 2016. godini Zavod je prema predviđenom planu izradio koncepte odaziva na različite vrste nuklearnih i radioloških nesreća te Procjenu ugroženosti Republike Hrvatske od ugroza kategorije I. i II., a donio je i Odluku o određivanju područja/zona primjene hitnih mjera zaštite i spašavanja te perimetara ugroženosti. Zavod je također započeo s izradom nacrta nove Uredbe. Planirano je da izrada podzakonskih i drugih akata Zavoda u svrhu usuglašavanja s Europskim zakonodavstvom te uvođenja najboljih općeprihvaćenih svjetskih standarda završi 2018. godine. </w:t>
      </w:r>
    </w:p>
    <w:p w:rsidR="00505632" w:rsidRDefault="00505632" w:rsidP="00505632">
      <w:r>
        <w:t xml:space="preserve">Zavod se koristi alatima za procjenu rizika od izvanrednog događaja te izradu stručnih podloga za donošenje odluka i postupanje. Najvažniji od njih je RODOS, gdje Zavod sudjeluje i u radu stručno – razvojne grupe RODOS User Group. U 2016. godini Zavod je započeo prelazak na novu verziju sustava, jRODOS paralelnim radom na staroj i novoj verziji. Provodi se obuka rada u sustavu jRODOS svih djelatnika koji se u svom radu  njime koriste .  </w:t>
      </w:r>
    </w:p>
    <w:p w:rsidR="00505632" w:rsidRDefault="00505632" w:rsidP="00505632">
      <w:r>
        <w:t xml:space="preserve">Kako bi se mogla pravodobno detektirati povišena razina radioaktivnosti u okolišu, Zavod održava Sustav pravodobnog upozoravanja na nuklearnu nesreću (SPUNN). Sustav se trenutno sastoji od 33 stanice. U 2016. godini je istekao garantni rok za 8 stanica postavljenih u sklopu IPA 2011 projekta te je Zavod postao odgovoran i za njihovo održavanje. Kvarovi na postajama su u 2016. godini bili učestaliji nego inače. Zavod je održao visok stupanj dostupnosti sustava, ali je ukupna dostupnost sa očekivanih 94 – 95% pala na 93%. Osigurana je  nabavka baterija koje će zamijeniti već istrošene baterije na stanicama te je započeo kontinuirani proces umjeravanja mjernih sondi na postajama. Navedeni postupci bi trebali osigurati povećanje stupnja dostupnosti sustava u narednom razdoblju. Umjeravanje će se provoditi kontinuirano, svake godine određen broj sondi. </w:t>
      </w:r>
    </w:p>
    <w:p w:rsidR="00505632" w:rsidRDefault="00505632" w:rsidP="00505632">
      <w:r>
        <w:t xml:space="preserve">Provedena je obnova znanja dijela djelatnika o radu sa sustavima koji se koriste u slučaju izvanrednog događaja, kao što su USIE, ECURIE, RODOS, SPUNN i M-KSID, te o postupanju u slučaju izvanrednog događaja, djelomično vlastitim sredstvima, a djelomično kroz tečajeve, radionice i seminare u organizaciji IAEA i EK. Obnova znanja će se kontinuirano provoditi, ovisno o potrebama. </w:t>
      </w:r>
    </w:p>
    <w:p w:rsidR="00505632" w:rsidRDefault="00505632" w:rsidP="00505632">
      <w:r>
        <w:t>Zavod je sudjelovao u vježbama organiziranim od strane EK, od strane IAEA te u suradnji s OECD-NEA.</w:t>
      </w:r>
    </w:p>
    <w:p w:rsidR="00505632" w:rsidRDefault="00505632" w:rsidP="00505632">
      <w:pPr>
        <w:pStyle w:val="Heading8"/>
        <w:jc w:val="left"/>
      </w:pPr>
      <w:r>
        <w:t>Pokazatelji rezultata</w:t>
      </w:r>
    </w:p>
    <w:tbl>
      <w:tblPr>
        <w:tblStyle w:val="StilTablice"/>
        <w:tblW w:w="6633" w:type="dxa"/>
        <w:jc w:val="center"/>
        <w:tblLook w:val="04A0" w:firstRow="1" w:lastRow="0" w:firstColumn="1" w:lastColumn="0" w:noHBand="0" w:noVBand="1"/>
      </w:tblPr>
      <w:tblGrid>
        <w:gridCol w:w="2553"/>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izrađeni prateći dokumenti (procjene ugroze, koncepti odziva, SOP-ovi i upute)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3</w:t>
            </w:r>
          </w:p>
        </w:tc>
        <w:tc>
          <w:tcPr>
            <w:tcW w:w="1020" w:type="dxa"/>
          </w:tcPr>
          <w:p w:rsidR="00505632" w:rsidRDefault="00505632" w:rsidP="00AD4E52">
            <w:pPr>
              <w:pStyle w:val="CellColumn"/>
              <w:jc w:val="right"/>
            </w:pPr>
            <w:r>
              <w:rPr>
                <w:rFonts w:cs="Times New Roman"/>
              </w:rPr>
              <w:t>7</w:t>
            </w:r>
          </w:p>
        </w:tc>
        <w:tc>
          <w:tcPr>
            <w:tcW w:w="1020" w:type="dxa"/>
          </w:tcPr>
          <w:p w:rsidR="00505632" w:rsidRDefault="00505632" w:rsidP="00AD4E52">
            <w:pPr>
              <w:pStyle w:val="CellColumn"/>
              <w:jc w:val="right"/>
            </w:pPr>
            <w:r>
              <w:rPr>
                <w:rFonts w:cs="Times New Roman"/>
              </w:rPr>
              <w:t>11</w:t>
            </w:r>
          </w:p>
        </w:tc>
      </w:tr>
      <w:tr w:rsidR="00505632" w:rsidTr="00AD4E52">
        <w:trPr>
          <w:jc w:val="center"/>
        </w:trPr>
        <w:tc>
          <w:tcPr>
            <w:tcW w:w="2553" w:type="dxa"/>
          </w:tcPr>
          <w:p w:rsidR="00505632" w:rsidRDefault="00505632" w:rsidP="00AD4E52">
            <w:pPr>
              <w:pStyle w:val="CellColumn"/>
              <w:jc w:val="left"/>
            </w:pPr>
            <w:r>
              <w:rPr>
                <w:rFonts w:cs="Times New Roman"/>
              </w:rPr>
              <w:t>pregledani i odobreni planovi i programi mjera za slučaj izvanrednog događaja za pojedinog nositelja odobrenja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90</w:t>
            </w:r>
          </w:p>
        </w:tc>
        <w:tc>
          <w:tcPr>
            <w:tcW w:w="1020" w:type="dxa"/>
          </w:tcPr>
          <w:p w:rsidR="00505632" w:rsidRDefault="00505632" w:rsidP="00AD4E52">
            <w:pPr>
              <w:pStyle w:val="CellColumn"/>
              <w:jc w:val="right"/>
            </w:pPr>
            <w:r>
              <w:rPr>
                <w:rFonts w:cs="Times New Roman"/>
              </w:rPr>
              <w:t>100</w:t>
            </w:r>
          </w:p>
        </w:tc>
      </w:tr>
      <w:tr w:rsidR="00505632" w:rsidTr="00AD4E52">
        <w:trPr>
          <w:jc w:val="center"/>
        </w:trPr>
        <w:tc>
          <w:tcPr>
            <w:tcW w:w="2553" w:type="dxa"/>
          </w:tcPr>
          <w:p w:rsidR="00505632" w:rsidRDefault="00505632" w:rsidP="00AD4E52">
            <w:pPr>
              <w:pStyle w:val="CellColumn"/>
              <w:jc w:val="left"/>
            </w:pPr>
            <w:r>
              <w:rPr>
                <w:rFonts w:cs="Times New Roman"/>
              </w:rPr>
              <w:t>osigurano funkcioniranje sustava SPUNN</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94</w:t>
            </w:r>
          </w:p>
        </w:tc>
        <w:tc>
          <w:tcPr>
            <w:tcW w:w="1020" w:type="dxa"/>
          </w:tcPr>
          <w:p w:rsidR="00505632" w:rsidRDefault="00505632" w:rsidP="00AD4E52">
            <w:pPr>
              <w:pStyle w:val="CellColumn"/>
              <w:jc w:val="right"/>
            </w:pPr>
            <w:r>
              <w:rPr>
                <w:rFonts w:cs="Times New Roman"/>
              </w:rPr>
              <w:t>95</w:t>
            </w:r>
          </w:p>
        </w:tc>
        <w:tc>
          <w:tcPr>
            <w:tcW w:w="1020" w:type="dxa"/>
          </w:tcPr>
          <w:p w:rsidR="00505632" w:rsidRDefault="00505632" w:rsidP="00AD4E52">
            <w:pPr>
              <w:pStyle w:val="CellColumn"/>
              <w:jc w:val="right"/>
            </w:pPr>
            <w:r>
              <w:rPr>
                <w:rFonts w:cs="Times New Roman"/>
              </w:rPr>
              <w:t>93</w:t>
            </w:r>
          </w:p>
        </w:tc>
      </w:tr>
      <w:tr w:rsidR="00505632" w:rsidTr="00AD4E52">
        <w:trPr>
          <w:jc w:val="center"/>
        </w:trPr>
        <w:tc>
          <w:tcPr>
            <w:tcW w:w="2553" w:type="dxa"/>
          </w:tcPr>
          <w:p w:rsidR="00505632" w:rsidRDefault="00505632" w:rsidP="00AD4E52">
            <w:pPr>
              <w:pStyle w:val="CellColumn"/>
              <w:jc w:val="left"/>
            </w:pPr>
            <w:r>
              <w:rPr>
                <w:rFonts w:cs="Times New Roman"/>
              </w:rPr>
              <w:t>funkcionalnost alata za procjenu rizika</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70</w:t>
            </w:r>
          </w:p>
        </w:tc>
        <w:tc>
          <w:tcPr>
            <w:tcW w:w="1020" w:type="dxa"/>
          </w:tcPr>
          <w:p w:rsidR="00505632" w:rsidRDefault="00505632" w:rsidP="00AD4E52">
            <w:pPr>
              <w:pStyle w:val="CellColumn"/>
              <w:jc w:val="right"/>
            </w:pPr>
            <w:r>
              <w:rPr>
                <w:rFonts w:cs="Times New Roman"/>
              </w:rPr>
              <w:t>80</w:t>
            </w:r>
          </w:p>
        </w:tc>
        <w:tc>
          <w:tcPr>
            <w:tcW w:w="1020" w:type="dxa"/>
          </w:tcPr>
          <w:p w:rsidR="00505632" w:rsidRDefault="00505632" w:rsidP="00AD4E52">
            <w:pPr>
              <w:pStyle w:val="CellColumn"/>
              <w:jc w:val="right"/>
            </w:pPr>
            <w:r>
              <w:rPr>
                <w:rFonts w:cs="Times New Roman"/>
              </w:rPr>
              <w:t>80</w:t>
            </w:r>
          </w:p>
        </w:tc>
      </w:tr>
    </w:tbl>
    <w:p w:rsidR="00505632" w:rsidRDefault="00505632" w:rsidP="00505632">
      <w:pPr>
        <w:jc w:val="left"/>
      </w:pPr>
    </w:p>
    <w:p w:rsidR="00505632" w:rsidRDefault="00505632" w:rsidP="00505632">
      <w:pPr>
        <w:pStyle w:val="Heading4"/>
      </w:pPr>
      <w:r>
        <w:t>A849022 SURADNJA U OKVIRU MEĐUNARODNIH SPORAZUMA</w:t>
      </w:r>
    </w:p>
    <w:tbl>
      <w:tblPr>
        <w:tblStyle w:val="StilTablice"/>
        <w:tblW w:w="10206" w:type="dxa"/>
        <w:jc w:val="center"/>
        <w:tblLook w:val="04A0" w:firstRow="1" w:lastRow="0" w:firstColumn="1" w:lastColumn="0" w:noHBand="0" w:noVBand="1"/>
      </w:tblPr>
      <w:tblGrid>
        <w:gridCol w:w="1770"/>
        <w:gridCol w:w="2002"/>
        <w:gridCol w:w="1997"/>
        <w:gridCol w:w="2002"/>
        <w:gridCol w:w="1216"/>
        <w:gridCol w:w="121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A849022-SURADNJA U OKVIRU MEĐUNARODNIH SPORAZUMA</w:t>
            </w:r>
          </w:p>
        </w:tc>
        <w:tc>
          <w:tcPr>
            <w:tcW w:w="2041" w:type="dxa"/>
          </w:tcPr>
          <w:p w:rsidR="00505632" w:rsidRDefault="00505632" w:rsidP="00AD4E52">
            <w:pPr>
              <w:pStyle w:val="CellColumn"/>
              <w:jc w:val="right"/>
            </w:pPr>
            <w:r>
              <w:rPr>
                <w:rFonts w:cs="Times New Roman"/>
              </w:rPr>
              <w:t>48.097</w:t>
            </w:r>
          </w:p>
        </w:tc>
        <w:tc>
          <w:tcPr>
            <w:tcW w:w="2041" w:type="dxa"/>
          </w:tcPr>
          <w:p w:rsidR="00505632" w:rsidRDefault="00505632" w:rsidP="00AD4E52">
            <w:pPr>
              <w:pStyle w:val="CellColumn"/>
              <w:jc w:val="right"/>
            </w:pPr>
            <w:r>
              <w:rPr>
                <w:rFonts w:cs="Times New Roman"/>
              </w:rPr>
              <w:t>60.000</w:t>
            </w:r>
          </w:p>
        </w:tc>
        <w:tc>
          <w:tcPr>
            <w:tcW w:w="2041" w:type="dxa"/>
          </w:tcPr>
          <w:p w:rsidR="00505632" w:rsidRDefault="00505632" w:rsidP="00AD4E52">
            <w:pPr>
              <w:pStyle w:val="CellColumn"/>
              <w:jc w:val="right"/>
            </w:pPr>
            <w:r>
              <w:rPr>
                <w:rFonts w:cs="Times New Roman"/>
              </w:rPr>
              <w:t>59.692</w:t>
            </w:r>
          </w:p>
        </w:tc>
        <w:tc>
          <w:tcPr>
            <w:tcW w:w="1224" w:type="dxa"/>
          </w:tcPr>
          <w:p w:rsidR="00505632" w:rsidRDefault="00505632" w:rsidP="00AD4E52">
            <w:pPr>
              <w:pStyle w:val="CellColumn"/>
              <w:jc w:val="right"/>
            </w:pPr>
            <w:r>
              <w:rPr>
                <w:rFonts w:cs="Times New Roman"/>
              </w:rPr>
              <w:t>99,5</w:t>
            </w:r>
          </w:p>
        </w:tc>
        <w:tc>
          <w:tcPr>
            <w:tcW w:w="1224" w:type="dxa"/>
          </w:tcPr>
          <w:p w:rsidR="00505632" w:rsidRDefault="00505632" w:rsidP="00AD4E52">
            <w:pPr>
              <w:pStyle w:val="CellColumn"/>
              <w:jc w:val="right"/>
            </w:pPr>
            <w:r>
              <w:rPr>
                <w:rFonts w:cs="Times New Roman"/>
              </w:rPr>
              <w:t>124,1</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w:t>
      </w:r>
      <w:r>
        <w:tab/>
        <w:t xml:space="preserve">Konvencija o nuklearnoj sigurnosti (Narodne novine – Međunarodni ugovori 13/95), </w:t>
      </w:r>
    </w:p>
    <w:p w:rsidR="00505632" w:rsidRDefault="00505632" w:rsidP="00505632">
      <w:r>
        <w:t>-</w:t>
      </w:r>
      <w:r>
        <w:tab/>
        <w:t xml:space="preserve">Revidirani dodatni sporazum o pružanju tehničke pomoći Vladi RH od strane Međunarodne agencije za atomsku energiju (NN MU 9/97), </w:t>
      </w:r>
    </w:p>
    <w:p w:rsidR="00505632" w:rsidRDefault="00505632" w:rsidP="00505632">
      <w:r>
        <w:t>-</w:t>
      </w:r>
      <w:r>
        <w:tab/>
        <w:t xml:space="preserve">Sporazum između Republike Hrvatske i Republike Slovenije o pravodobnoj razmjeni informacija u slučaju radiološke opasnosti (NN MU 9/98 i 3/2000), </w:t>
      </w:r>
    </w:p>
    <w:p w:rsidR="00505632" w:rsidRDefault="00505632" w:rsidP="00505632">
      <w:r>
        <w:t>-</w:t>
      </w:r>
      <w:r>
        <w:tab/>
        <w:t xml:space="preserve">Sporazum između Vlade RH i Vlade Republike Mađarske o pravodobnoj razmjeni informacija u slučaju radiološke opasnosti (NN MU 11/99), </w:t>
      </w:r>
    </w:p>
    <w:p w:rsidR="00505632" w:rsidRDefault="00505632" w:rsidP="00505632">
      <w:r>
        <w:t>-</w:t>
      </w:r>
      <w:r>
        <w:tab/>
        <w:t>Ugovor o osnivanju Europske zajednice za atomsku energiju (EURATOM), 25. ožujka 1957</w:t>
      </w:r>
    </w:p>
    <w:p w:rsidR="00505632" w:rsidRDefault="00505632" w:rsidP="00505632">
      <w:pPr>
        <w:pStyle w:val="Heading8"/>
        <w:jc w:val="left"/>
      </w:pPr>
      <w:r>
        <w:t>Opis aktivnosti</w:t>
      </w:r>
    </w:p>
    <w:p w:rsidR="00505632" w:rsidRDefault="00505632" w:rsidP="00505632">
      <w:r>
        <w:t>Zavod provodi i koordinira provođenje obveza koje je Republika Hrvatska preuzela prema međunarodnim konvencijama i sporazumima, a odnose se na radiološku i nuklearnu sigurnost. Svake godine predstavnici Zavoda sudjeluju  na Generalnoj konferenciji Međunarodne agencije za atomsku energiju, za koju pripremaju nacionalnu izjavu. U 2016. godini pripremljeno je Nacionalno izvješće o primjeni obveza iz Konvencije o nuklearnoj sigurnosti. U 2017. godini predviđa se sudjelovanje predstavnika Zavoda na Redovnom sastanku stranaka Konvencije o nuklearnoj sigurnosti, na kojem će navedeno izvješće biti prezentirano. Zavod također provodi i koordinira provođenje obveza koje je Republika Hrvatska preuzela prema bilateralnim sporazumima, a odnose se na radiološku i nuklearnu sigurnost te surađuje s regulatornim tijelima drugih zemalja nadležnim za poslove s tih područja. Svake godine održavaju se redovni sastanci s regulatornim tijelima iz Slovenije i Mađarske. U 2016. godini nastavili su se dogovori o potpisivanju bilateralnog sporazuma s regulatornim tijelom iz Srbije. Zbog sudjelovanja u provedbi unapređenja radiološke i nuklearne sigurnosti na razini EU, predstavnici Zavoda sudjelovali su na raznim sastancima u organizaciji institucija EU. Otvorenost i transparentnost rada Zavoda postiže se informiranjem javnosti o radu Zavoda putem web stranice Zavoda i provođenjem posebnih projekata (kalendar).</w:t>
      </w:r>
    </w:p>
    <w:p w:rsidR="00505632" w:rsidRDefault="00505632" w:rsidP="00505632">
      <w:pPr>
        <w:pStyle w:val="Heading8"/>
        <w:jc w:val="left"/>
      </w:pPr>
    </w:p>
    <w:p w:rsidR="00505632" w:rsidRDefault="00505632" w:rsidP="00505632">
      <w:pPr>
        <w:pStyle w:val="Heading8"/>
        <w:jc w:val="left"/>
      </w:pPr>
    </w:p>
    <w:p w:rsidR="00505632" w:rsidRDefault="00505632" w:rsidP="00505632">
      <w:pPr>
        <w:pStyle w:val="Heading8"/>
        <w:jc w:val="left"/>
      </w:pPr>
      <w:r>
        <w:t>Pokazatelji rezultata</w:t>
      </w:r>
    </w:p>
    <w:tbl>
      <w:tblPr>
        <w:tblStyle w:val="StilTablice"/>
        <w:tblW w:w="6633" w:type="dxa"/>
        <w:jc w:val="center"/>
        <w:tblLook w:val="04A0" w:firstRow="1" w:lastRow="0" w:firstColumn="1" w:lastColumn="0" w:noHBand="0" w:noVBand="1"/>
      </w:tblPr>
      <w:tblGrid>
        <w:gridCol w:w="2553"/>
        <w:gridCol w:w="1020"/>
        <w:gridCol w:w="1020"/>
        <w:gridCol w:w="1020"/>
        <w:gridCol w:w="1020"/>
      </w:tblGrid>
      <w:tr w:rsidR="00505632" w:rsidTr="00AD4E52">
        <w:trPr>
          <w:jc w:val="center"/>
        </w:trPr>
        <w:tc>
          <w:tcPr>
            <w:tcW w:w="2553" w:type="dxa"/>
            <w:shd w:val="clear" w:color="auto" w:fill="B5C0D8"/>
          </w:tcPr>
          <w:p w:rsidR="00505632" w:rsidRDefault="00505632" w:rsidP="00AD4E52">
            <w:pPr>
              <w:jc w:val="center"/>
            </w:pPr>
            <w:r>
              <w:t>Pokazatelj rezultata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3" w:type="dxa"/>
          </w:tcPr>
          <w:p w:rsidR="00505632" w:rsidRDefault="00505632" w:rsidP="00AD4E52">
            <w:pPr>
              <w:pStyle w:val="CellColumn"/>
              <w:jc w:val="left"/>
            </w:pPr>
            <w:r>
              <w:rPr>
                <w:rFonts w:cs="Times New Roman"/>
              </w:rPr>
              <w:t>Broj izrađenih</w:t>
            </w:r>
            <w:r>
              <w:rPr>
                <w:rFonts w:cs="Times New Roman"/>
              </w:rPr>
              <w:tab/>
              <w:t>i prezentiranih nacionalnih izvješća o provođenju pojedinih konvencija na godinu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3" w:type="dxa"/>
          </w:tcPr>
          <w:p w:rsidR="00505632" w:rsidRDefault="00505632" w:rsidP="00AD4E52">
            <w:pPr>
              <w:pStyle w:val="CellColumn"/>
              <w:jc w:val="left"/>
            </w:pPr>
            <w:r>
              <w:rPr>
                <w:rFonts w:cs="Times New Roman"/>
              </w:rPr>
              <w:t>Broj sastanaka vezano uz bilateralne sporazume s područja radiološke  i nuklearne sigurnosti na godinu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2</w:t>
            </w:r>
          </w:p>
        </w:tc>
      </w:tr>
      <w:tr w:rsidR="00505632" w:rsidTr="00AD4E52">
        <w:trPr>
          <w:jc w:val="center"/>
        </w:trPr>
        <w:tc>
          <w:tcPr>
            <w:tcW w:w="2553" w:type="dxa"/>
          </w:tcPr>
          <w:p w:rsidR="00505632" w:rsidRDefault="00505632" w:rsidP="00AD4E52">
            <w:pPr>
              <w:pStyle w:val="CellColumn"/>
              <w:jc w:val="left"/>
            </w:pPr>
            <w:r>
              <w:rPr>
                <w:rFonts w:cs="Times New Roman"/>
              </w:rPr>
              <w:t>Broj dostavljenih obavijesti  o tehničkoj suradnji</w:t>
            </w:r>
            <w:r>
              <w:rPr>
                <w:rFonts w:cs="Times New Roman"/>
              </w:rPr>
              <w:tab/>
              <w:t>s IAEA svim sudionicima iz RH i prijava kandidata na godinu</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150</w:t>
            </w:r>
          </w:p>
        </w:tc>
        <w:tc>
          <w:tcPr>
            <w:tcW w:w="1020" w:type="dxa"/>
          </w:tcPr>
          <w:p w:rsidR="00505632" w:rsidRDefault="00505632" w:rsidP="00AD4E52">
            <w:pPr>
              <w:pStyle w:val="CellColumn"/>
              <w:jc w:val="right"/>
            </w:pPr>
            <w:r>
              <w:rPr>
                <w:rFonts w:cs="Times New Roman"/>
              </w:rPr>
              <w:t>160</w:t>
            </w:r>
          </w:p>
        </w:tc>
        <w:tc>
          <w:tcPr>
            <w:tcW w:w="1020" w:type="dxa"/>
          </w:tcPr>
          <w:p w:rsidR="00505632" w:rsidRDefault="00505632" w:rsidP="00AD4E52">
            <w:pPr>
              <w:pStyle w:val="CellColumn"/>
              <w:jc w:val="right"/>
            </w:pPr>
            <w:r>
              <w:rPr>
                <w:rFonts w:cs="Times New Roman"/>
              </w:rPr>
              <w:t>142</w:t>
            </w:r>
          </w:p>
        </w:tc>
      </w:tr>
      <w:tr w:rsidR="00505632" w:rsidTr="00AD4E52">
        <w:trPr>
          <w:jc w:val="center"/>
        </w:trPr>
        <w:tc>
          <w:tcPr>
            <w:tcW w:w="2553" w:type="dxa"/>
          </w:tcPr>
          <w:p w:rsidR="00505632" w:rsidRDefault="00505632" w:rsidP="00AD4E52">
            <w:pPr>
              <w:pStyle w:val="CellColumn"/>
              <w:jc w:val="left"/>
            </w:pPr>
            <w:r>
              <w:rPr>
                <w:rFonts w:cs="Times New Roman"/>
              </w:rPr>
              <w:t>Broj učeničkih likovnih radova</w:t>
            </w:r>
            <w:r>
              <w:rPr>
                <w:rFonts w:cs="Times New Roman"/>
              </w:rPr>
              <w:tab/>
              <w:t>u projektu izrade kalendara u svrhu upoznavanj a javnosti s pripravnošć u u Republici Hrvatskoj za slučaj nuklearne nesreće</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115</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116</w:t>
            </w:r>
          </w:p>
        </w:tc>
      </w:tr>
    </w:tbl>
    <w:p w:rsidR="00505632" w:rsidRDefault="00505632" w:rsidP="00505632">
      <w:pPr>
        <w:jc w:val="left"/>
      </w:pPr>
    </w:p>
    <w:p w:rsidR="00505632" w:rsidRDefault="00505632" w:rsidP="00505632">
      <w:pPr>
        <w:pStyle w:val="Heading4"/>
      </w:pPr>
      <w:r>
        <w:t>A849024 STRATEGIJA RADIOLOŠKE I NUKLEARNE SIGURNOSTI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A849024-STRATEGIJA RADIOLOŠKE I NUKLEARNE SIGURNOSTI</w:t>
            </w:r>
          </w:p>
        </w:tc>
        <w:tc>
          <w:tcPr>
            <w:tcW w:w="2041" w:type="dxa"/>
          </w:tcPr>
          <w:p w:rsidR="00505632" w:rsidRDefault="00505632" w:rsidP="00AD4E52">
            <w:pPr>
              <w:pStyle w:val="CellColumn"/>
              <w:jc w:val="right"/>
            </w:pPr>
            <w:r>
              <w:rPr>
                <w:rFonts w:cs="Times New Roman"/>
              </w:rPr>
              <w:t>640.412</w:t>
            </w:r>
          </w:p>
        </w:tc>
        <w:tc>
          <w:tcPr>
            <w:tcW w:w="2041" w:type="dxa"/>
          </w:tcPr>
          <w:p w:rsidR="00505632" w:rsidRDefault="00505632" w:rsidP="00AD4E52">
            <w:pPr>
              <w:pStyle w:val="CellColumn"/>
              <w:jc w:val="right"/>
            </w:pPr>
            <w:r>
              <w:rPr>
                <w:rFonts w:cs="Times New Roman"/>
              </w:rPr>
              <w:t>480.500</w:t>
            </w:r>
          </w:p>
        </w:tc>
        <w:tc>
          <w:tcPr>
            <w:tcW w:w="2041" w:type="dxa"/>
          </w:tcPr>
          <w:p w:rsidR="00505632" w:rsidRDefault="00505632" w:rsidP="00AD4E52">
            <w:pPr>
              <w:pStyle w:val="CellColumn"/>
              <w:jc w:val="right"/>
            </w:pPr>
            <w:r>
              <w:rPr>
                <w:rFonts w:cs="Times New Roman"/>
              </w:rPr>
              <w:t>457.417</w:t>
            </w:r>
          </w:p>
        </w:tc>
        <w:tc>
          <w:tcPr>
            <w:tcW w:w="1224" w:type="dxa"/>
          </w:tcPr>
          <w:p w:rsidR="00505632" w:rsidRDefault="00505632" w:rsidP="00AD4E52">
            <w:pPr>
              <w:pStyle w:val="CellColumn"/>
              <w:jc w:val="right"/>
            </w:pPr>
            <w:r>
              <w:rPr>
                <w:rFonts w:cs="Times New Roman"/>
              </w:rPr>
              <w:t>95,2</w:t>
            </w:r>
          </w:p>
        </w:tc>
        <w:tc>
          <w:tcPr>
            <w:tcW w:w="1224" w:type="dxa"/>
          </w:tcPr>
          <w:p w:rsidR="00505632" w:rsidRDefault="00505632" w:rsidP="00AD4E52">
            <w:pPr>
              <w:pStyle w:val="CellColumn"/>
              <w:jc w:val="right"/>
            </w:pPr>
            <w:r>
              <w:rPr>
                <w:rFonts w:cs="Times New Roman"/>
              </w:rPr>
              <w:t>71,4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radiološkoj i nuklearnoj sigurnosti (NN141/13 i 39/15) </w:t>
      </w:r>
    </w:p>
    <w:p w:rsidR="00505632" w:rsidRDefault="00505632" w:rsidP="00505632">
      <w:r>
        <w:t xml:space="preserve">Pravilnik o službenoj iskaznici i znački inspektora za radiološku i nuklearnu sigurnost </w:t>
      </w:r>
    </w:p>
    <w:p w:rsidR="00505632" w:rsidRDefault="00505632" w:rsidP="00505632">
      <w:r>
        <w:t xml:space="preserve">(NN 125/15) </w:t>
      </w:r>
    </w:p>
    <w:p w:rsidR="00505632" w:rsidRDefault="00505632" w:rsidP="00505632">
      <w:r>
        <w:t xml:space="preserve">Pravilnik o obrazovanju potrebnom za rukovanje izvorima ionizirajućeg zračenja i primjenu mjera zaštite od ionizirajućeg zračenja (NN 97/15 i 10/16) </w:t>
      </w:r>
    </w:p>
    <w:p w:rsidR="00505632" w:rsidRDefault="00505632" w:rsidP="00505632">
      <w:r>
        <w:t xml:space="preserve">Pravilnik o ovlašćivanju stručnih tehničkih servisa za obavljanje stručnih poslova zaštite od ionizirajućeg zračenja (NN 72/11) </w:t>
      </w:r>
    </w:p>
    <w:p w:rsidR="00505632" w:rsidRDefault="00505632" w:rsidP="00505632">
      <w:r>
        <w:t xml:space="preserve">Pravilnik o fizičkom osiguranju radioaktivnih izvora, nuklearnog materijala i nuklearnih objekata (NN 38/12) </w:t>
      </w:r>
    </w:p>
    <w:p w:rsidR="00505632" w:rsidRDefault="00505632" w:rsidP="00505632">
      <w:r>
        <w:t xml:space="preserve">Pravilnik o mjerenju osobnog ozračenja, ispitivanju izvora ionizirajućeg zračenja i uvjeta rada te o izvješćima i očevidnicima (NN 41/12, 89/13) </w:t>
      </w:r>
    </w:p>
    <w:p w:rsidR="00505632" w:rsidRDefault="00505632" w:rsidP="00505632">
      <w:r>
        <w:t xml:space="preserve">Pravilnik o odobrenjima i dozvolama za uporabu i promet izvora ionizirajućeg zračenja (NN 71/12, 89/13) </w:t>
      </w:r>
    </w:p>
    <w:p w:rsidR="00505632" w:rsidRDefault="00505632" w:rsidP="00505632">
      <w:r>
        <w:t xml:space="preserve">Pravilnik o opsegu i sadržaju plana i programa mjera za slučaj izvanrednog događaja te izvješćivanja javnosti i nadležnih tijela (123/12) </w:t>
      </w:r>
    </w:p>
    <w:p w:rsidR="00505632" w:rsidRDefault="00505632" w:rsidP="00505632">
      <w:r>
        <w:t xml:space="preserve">Pravilnik o nadzoru i kontroli prekograničnog prijevoza radioaktivnog otpada i istrošenog goriva (NN 11/13) </w:t>
      </w:r>
    </w:p>
    <w:p w:rsidR="00505632" w:rsidRDefault="00505632" w:rsidP="00505632">
      <w:r>
        <w:t xml:space="preserve">Pravilnik o uvjetima i mjerama zaštite od ionizirajućeg zračenja za obavljanje djelatnosti s radioaktivnim izvorima (NN 41/13) </w:t>
      </w:r>
    </w:p>
    <w:p w:rsidR="00505632" w:rsidRDefault="00505632" w:rsidP="00505632">
      <w:r>
        <w:t xml:space="preserve">Pravilnik o uvjetima i mjerama zaštite od ionizirajućeg zračenja za obavljanje djelatnosti s električnim uređajima koji proizvode ionizirajuće zračenje (NN 41/13) </w:t>
      </w:r>
    </w:p>
    <w:p w:rsidR="00505632" w:rsidRDefault="00505632" w:rsidP="00505632">
      <w:r>
        <w:t xml:space="preserve">Pravilnik o uvjetima i načinu izdavanja i oduzimanja odobrenja za ambalažu za prijevoz radioaktivnih i nuklearnih materijala (42/13) </w:t>
      </w:r>
    </w:p>
    <w:p w:rsidR="00505632" w:rsidRDefault="00505632" w:rsidP="00505632">
      <w:r>
        <w:t xml:space="preserve">Pravilnik o granicama ozračenja (NN 59/13) </w:t>
      </w:r>
    </w:p>
    <w:p w:rsidR="00505632" w:rsidRDefault="00505632" w:rsidP="00505632">
      <w:r>
        <w:t xml:space="preserve">Pravilnik o zdravstvenim uvjetima izloženih radnika i osoba koje se obučavaju za rad s izvorima ionizirajućeg zračenja (NN 80/13) </w:t>
      </w:r>
    </w:p>
    <w:p w:rsidR="00505632" w:rsidRDefault="00505632" w:rsidP="00505632">
      <w:r>
        <w:t xml:space="preserve">Pravilnik o uvjetima za primjenu izvora ionizirajućeg zračenja u medicini i dentalnoj medicini (NN 89/13) </w:t>
      </w:r>
    </w:p>
    <w:p w:rsidR="00505632" w:rsidRDefault="00505632" w:rsidP="00505632">
      <w:r>
        <w:t xml:space="preserve">Pravilnik o praćenju stanja radioaktivnosti u okolišu (NN 121/13) </w:t>
      </w:r>
    </w:p>
    <w:p w:rsidR="00505632" w:rsidRDefault="00505632" w:rsidP="00505632">
      <w:r>
        <w:t xml:space="preserve">Pravilnik o načinu i postupku nadzora prilikom uvoza ili izvoza materijala za koji postoji opravdana sumnja da je onečišćen radionuklidima ili sadrži radioaktivne izvore (NN 114/07) </w:t>
      </w:r>
    </w:p>
    <w:p w:rsidR="00505632" w:rsidRDefault="00505632" w:rsidP="00505632">
      <w:r>
        <w:t xml:space="preserve">Pravilnik o načinu uklanjanja radioaktivnog onečišćenja, zbrinjavanja radioaktivnog izvora, odnosno poduzimanja svih drugih prijeko potrebnih mjera radi smanjenja štete za ljude i okoliš ili uklanjanja daljnjih rizika, opasnosti ili šteta (NN 53/08) </w:t>
      </w:r>
    </w:p>
    <w:p w:rsidR="00505632" w:rsidRDefault="00505632" w:rsidP="00505632">
      <w:r>
        <w:t xml:space="preserve">Pravilnik o uvjetima za projektiranje, gradnju te uklanjanje građevina u kojima su smješteni izvori ionizirajućeg zračenja ili se obavljaju djelatnosti s izvorima ionizirajućeg zračenja (NN 99/08) </w:t>
      </w:r>
    </w:p>
    <w:p w:rsidR="00505632" w:rsidRDefault="00505632" w:rsidP="00505632">
      <w:r>
        <w:t xml:space="preserve">Pravilnik o visini naknada, vrstama i visini dodatnih troškova te načinu plaćanja za poslove koje obavlja Državni zavod za zaštitu od zračenja (NN 89/09) </w:t>
      </w:r>
    </w:p>
    <w:p w:rsidR="00505632" w:rsidRDefault="00505632" w:rsidP="00505632">
      <w:r>
        <w:t xml:space="preserve">Pravilnik o obavljanju nuklearne djelatnosti (NN 74/06) </w:t>
      </w:r>
    </w:p>
    <w:p w:rsidR="00505632" w:rsidRDefault="00505632" w:rsidP="00505632">
      <w:r>
        <w:t xml:space="preserve">Pravilnik o posebnim uvjetima koje moraju ispunjavati stručne organizacije za obavljanje određenih poslova iz područja nuklearne sigurnosti (NN 74/06) </w:t>
      </w:r>
    </w:p>
    <w:p w:rsidR="00505632" w:rsidRDefault="00505632" w:rsidP="00505632">
      <w:r>
        <w:t xml:space="preserve">Pravilnik o uvjetima nuklearne sigurnosti i zaštite za smještaj, projektiranje, gradnju, uporabu i razgradnju objekta u kojem se obavlja nuklearna djelatnost (NN 71/08) </w:t>
      </w:r>
    </w:p>
    <w:p w:rsidR="00505632" w:rsidRDefault="00505632" w:rsidP="00505632">
      <w:r>
        <w:t xml:space="preserve">Uredba o uvjetima te načinu zbrinjavanja radioaktivnog otpada, iskorištenih zatvorenih radioaktivnih izvora i izvora ionizirajućeg zračenja koji se ne namjeravaju dalje koristiti (NN 44/08) </w:t>
      </w:r>
    </w:p>
    <w:p w:rsidR="00505632" w:rsidRDefault="00505632" w:rsidP="00505632">
      <w:r>
        <w:t xml:space="preserve">Uredba o mjerama zaštite od ionizirajućeg zračenja te intervencija u slučaju izvanrednog događaja (NN 102/12) </w:t>
      </w:r>
    </w:p>
    <w:p w:rsidR="00505632" w:rsidRDefault="00505632" w:rsidP="00505632">
      <w:r>
        <w:t xml:space="preserve">Strategija zbrinjavanja radioaktivnog otpada, iskorištenih izvora i istrošenog nuklearnog goriva (NN 125/14) </w:t>
      </w:r>
    </w:p>
    <w:p w:rsidR="00505632" w:rsidRDefault="00505632" w:rsidP="00505632">
      <w:r>
        <w:t>Zakon o odgovornosti za nuklearnu štetu (NN 143/98)</w:t>
      </w:r>
    </w:p>
    <w:p w:rsidR="00505632" w:rsidRDefault="00505632" w:rsidP="00505632">
      <w:pPr>
        <w:pStyle w:val="Heading8"/>
        <w:jc w:val="left"/>
      </w:pPr>
      <w:r>
        <w:t>Opis aktivnosti</w:t>
      </w:r>
    </w:p>
    <w:p w:rsidR="00505632" w:rsidRDefault="00505632" w:rsidP="00505632">
      <w:r>
        <w:t xml:space="preserve">Navedena sredstva utrošit će se na izradu prijedloga pravilnika kojim će se utvrditi popis djelatnosti zbrinjavanja radioaktivnog otpada, iskorištenih izvora i istrošenog nuklearnog goriva, popis dokumenata kojima se u postupku davanja odobrenja za obavljanje navedene djelatnosti te uvjeti obavljanja navedene djelatnosti, a sukladno obvezi koja proizlazi iz članka 50. stavka 4. Zakona o radiološkoj i nuklearnoj sigurnosti (NN 141/13, 39/15). </w:t>
      </w:r>
    </w:p>
    <w:p w:rsidR="00505632" w:rsidRDefault="00505632" w:rsidP="00505632">
      <w:r>
        <w:t>Kao članica Europske unije, Republika Hrvatska je obvezna periodično izrađivati raspodjelu procijenjenih doza pacijenata za stanovništvo, odnosno izraditi procjenu doprinosa medicinskog ozračenja stanovništva. Ova obveza proizlazi iz članka 64. Direktive Vijeća 2013/59/Euratom od 5. prosinca 2013. o osnovnim sigurnosnim standardima za zaštitu od opasnosti koje potječu od izloženosti ionizirajućem zračenju, i o stavljanju izvan snage direktiva 89/618/Euratom, 90/641/Euratom, 96/29/Euratom, 97/43/Euratom i 2003/122/Euratom, a u hrvatsko zakonodavstvo prenesena je člankom 49. Pravilnika o uvjetima za primjenu izvora ionizirajućeg zračenja u medicini i dentalnoj medicini (NN 89/13) sukladno kojem Državni zavod za radiološku i nuklearnu sigurnost mora prvu raspodjelu izraditi za 2015. godinu. Procjena doprinosa medicinskog ozračenja stanovništva i navedena raspodjela obuhvatit će dijagnostičke i intervencijske preglede, odnosno postupke koji se u medicini i dentalnoj medicini provode uporabom rendgenskih uređaja i dijagnostičke preglede u nuklearnoj medicini. Osim za procjenu doprinosa medicinskog ozračenja stanovništva i izradu raspodjele, prikupljeni podaci iskoristit će se i za izradu preporučenih vrijednosti doza (DRL) u medicini i dentalnoj medicini, uključujući i pedijatrijske DRL. DZRNS je, sukladno projektnom zadatku oznake PZ-SRS-IK-14/5,  s postupkom procjene započeo krajem 2014. godine kada su izrađeni upitnici za prikupljanje podataka o broju pojedinih pregleda, odnosno postupaka obavljenih tijekom 2015. godine. . Tijekom 2016. godne prikupljeni su podaci o broju izvršenih dijagnostičkih pregleda i intervencijskih postupaka u medicini i dentalnoj medicini tijekom 2015. godine te je izrađen statistički uzorak zdravstvenih ustanova od kojih će se prikupiti podaci potrebni za procjenu doze pacijenta na temelju kojih će se procijeniti doprinos medicinskog ozračenja ozračenju stanovništva i izraditi preporučene vrijednosti doza.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Izrađena procjena doprinosa medicinskog ozračenja stanovništva</w:t>
            </w:r>
          </w:p>
        </w:tc>
        <w:tc>
          <w:tcPr>
            <w:tcW w:w="2551" w:type="dxa"/>
          </w:tcPr>
          <w:p w:rsidR="00505632" w:rsidRDefault="00505632" w:rsidP="00AD4E52">
            <w:pPr>
              <w:pStyle w:val="CellColumn"/>
              <w:jc w:val="left"/>
            </w:pPr>
            <w:r>
              <w:rPr>
                <w:rFonts w:cs="Times New Roman"/>
              </w:rPr>
              <w:t>Medicinsko ozračenje jest izloženost ionizirajućem zračenju pacijenta tijekom primjene izvora ionizirajućeg zračenja u dijagnostičke ili terapijske svrhe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30</w:t>
            </w:r>
          </w:p>
        </w:tc>
        <w:tc>
          <w:tcPr>
            <w:tcW w:w="1020" w:type="dxa"/>
          </w:tcPr>
          <w:p w:rsidR="00505632" w:rsidRDefault="00505632" w:rsidP="00AD4E52">
            <w:pPr>
              <w:pStyle w:val="CellColumn"/>
              <w:jc w:val="right"/>
            </w:pPr>
            <w:r>
              <w:rPr>
                <w:rFonts w:cs="Times New Roman"/>
              </w:rPr>
              <w:t>DZRNS</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50</w:t>
            </w:r>
          </w:p>
        </w:tc>
      </w:tr>
      <w:tr w:rsidR="00505632" w:rsidTr="00AD4E52">
        <w:trPr>
          <w:jc w:val="center"/>
        </w:trPr>
        <w:tc>
          <w:tcPr>
            <w:tcW w:w="2551" w:type="dxa"/>
          </w:tcPr>
          <w:p w:rsidR="00505632" w:rsidRDefault="00505632" w:rsidP="00AD4E52">
            <w:pPr>
              <w:pStyle w:val="CellColumn"/>
              <w:jc w:val="left"/>
            </w:pPr>
            <w:r>
              <w:rPr>
                <w:rFonts w:cs="Times New Roman"/>
              </w:rPr>
              <w:t>Izrađene preporučene vrijednosti doza (DRL) u medicini i dentalnoj medicini</w:t>
            </w:r>
          </w:p>
        </w:tc>
        <w:tc>
          <w:tcPr>
            <w:tcW w:w="2551" w:type="dxa"/>
          </w:tcPr>
          <w:p w:rsidR="00505632" w:rsidRDefault="00505632" w:rsidP="00AD4E52">
            <w:pPr>
              <w:pStyle w:val="CellColumn"/>
              <w:jc w:val="left"/>
            </w:pPr>
            <w:r>
              <w:rPr>
                <w:rFonts w:cs="Times New Roman"/>
              </w:rPr>
              <w:t>preporučena vrijednost doze jest vrijednost doze ili veličina iz kojih se može procijeniti doza pacijenta za radiološke dijagnostičke preglede ili intervencijske</w:t>
            </w:r>
          </w:p>
        </w:tc>
        <w:tc>
          <w:tcPr>
            <w:tcW w:w="1020" w:type="dxa"/>
          </w:tcPr>
          <w:p w:rsidR="00505632" w:rsidRDefault="00505632" w:rsidP="00AD4E52">
            <w:pPr>
              <w:pStyle w:val="CellColumn"/>
              <w:jc w:val="right"/>
            </w:pPr>
            <w:r>
              <w:rPr>
                <w:rFonts w:cs="Times New Roman"/>
              </w:rPr>
              <w:t>%</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DZRNS</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50</w:t>
            </w:r>
          </w:p>
        </w:tc>
      </w:tr>
    </w:tbl>
    <w:p w:rsidR="00505632" w:rsidRDefault="00505632" w:rsidP="00505632">
      <w:pPr>
        <w:jc w:val="left"/>
      </w:pPr>
    </w:p>
    <w:p w:rsidR="00505632" w:rsidRDefault="00505632" w:rsidP="00505632">
      <w:pPr>
        <w:pStyle w:val="Heading4"/>
      </w:pPr>
      <w:r>
        <w:t>A849029 DOPUNSKA IZOBRAZBA I OBNOVA ZNANJA O PRIMJENI MJERA RADIOLOŠKE SIGURNOSTI</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A849029-DOPUNSKA IZOBRAZBA I OBNOVA ZNANJA O PRIMJENI MJERA RADIOLOŠKE SIGURNOSTI</w:t>
            </w:r>
          </w:p>
        </w:tc>
        <w:tc>
          <w:tcPr>
            <w:tcW w:w="2041" w:type="dxa"/>
          </w:tcPr>
          <w:p w:rsidR="00505632" w:rsidRDefault="00505632" w:rsidP="00AD4E52">
            <w:pPr>
              <w:pStyle w:val="CellColumn"/>
              <w:jc w:val="right"/>
            </w:pPr>
            <w:r>
              <w:rPr>
                <w:rFonts w:cs="Times New Roman"/>
              </w:rPr>
              <w:t>11.226</w:t>
            </w:r>
          </w:p>
        </w:tc>
        <w:tc>
          <w:tcPr>
            <w:tcW w:w="2041" w:type="dxa"/>
          </w:tcPr>
          <w:p w:rsidR="00505632" w:rsidRDefault="00505632" w:rsidP="00AD4E52">
            <w:pPr>
              <w:pStyle w:val="CellColumn"/>
              <w:jc w:val="right"/>
            </w:pPr>
            <w:r>
              <w:rPr>
                <w:rFonts w:cs="Times New Roman"/>
              </w:rPr>
              <w:t>13.000</w:t>
            </w:r>
          </w:p>
        </w:tc>
        <w:tc>
          <w:tcPr>
            <w:tcW w:w="2041" w:type="dxa"/>
          </w:tcPr>
          <w:p w:rsidR="00505632" w:rsidRDefault="00505632" w:rsidP="00AD4E52">
            <w:pPr>
              <w:pStyle w:val="CellColumn"/>
              <w:jc w:val="right"/>
            </w:pPr>
            <w:r>
              <w:rPr>
                <w:rFonts w:cs="Times New Roman"/>
              </w:rPr>
              <w:t>12.960</w:t>
            </w:r>
          </w:p>
        </w:tc>
        <w:tc>
          <w:tcPr>
            <w:tcW w:w="1224" w:type="dxa"/>
          </w:tcPr>
          <w:p w:rsidR="00505632" w:rsidRDefault="00505632" w:rsidP="00AD4E52">
            <w:pPr>
              <w:pStyle w:val="CellColumn"/>
              <w:jc w:val="right"/>
            </w:pPr>
            <w:r>
              <w:rPr>
                <w:rFonts w:cs="Times New Roman"/>
              </w:rPr>
              <w:t>99,7</w:t>
            </w:r>
          </w:p>
        </w:tc>
        <w:tc>
          <w:tcPr>
            <w:tcW w:w="1224" w:type="dxa"/>
          </w:tcPr>
          <w:p w:rsidR="00505632" w:rsidRDefault="00505632" w:rsidP="00AD4E52">
            <w:pPr>
              <w:pStyle w:val="CellColumn"/>
              <w:jc w:val="right"/>
            </w:pPr>
            <w:r>
              <w:rPr>
                <w:rFonts w:cs="Times New Roman"/>
              </w:rPr>
              <w:t>115,4</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radiološkoj i nuklearnoj sigurnosti ( NN 141/13 i 39/15 ) </w:t>
      </w:r>
    </w:p>
    <w:p w:rsidR="00505632" w:rsidRDefault="00505632" w:rsidP="00505632">
      <w:r>
        <w:t>Pravilnik o obrazovanju potrebnom za rukovanje izvorima ionizirajućeg zračenja i primjenu mjera zaštite od ionizirajućeg zračenja ( NN 97/15 i 10/16 )</w:t>
      </w:r>
    </w:p>
    <w:p w:rsidR="00505632" w:rsidRDefault="00505632" w:rsidP="00505632">
      <w:pPr>
        <w:pStyle w:val="Heading8"/>
        <w:jc w:val="left"/>
      </w:pPr>
      <w:r>
        <w:t>Opis aktivnosti</w:t>
      </w:r>
    </w:p>
    <w:p w:rsidR="00505632" w:rsidRDefault="00505632" w:rsidP="00505632">
      <w:r>
        <w:t>Sukladno odredbi članka 47. Zakona o radiološkoj i nuklearnoj sigurnosti (NN 141/13, 39/15), izloženi radnici i radnici koji rukuju izvorima ionizirajućeg zračenja moraju imati posebno stručno obrazovanje o primjeni mjera radiološke sigurnosti koje mogu steći redovnim školovanjem ili dopunskom izobrazbom i obvezni su obnavljati znanje svakih pet godina. U tu svrhu Zavod je izradio portal e-Učenje na kojem su svim obveznicima stjecanja posebnog stručnog obrazovanja o primjeni  mjera radiološke sigurnosti dostupni obrazovni materijali (skripte i prezentacije) i putem kojeg polažu ispit. Tijekom 2016. godine izrađene su dodatna skripta i prezentacija za područje nerazornih ispitivanja.</w:t>
      </w:r>
    </w:p>
    <w:p w:rsidR="00505632" w:rsidRDefault="00505632" w:rsidP="00505632">
      <w:pPr>
        <w:pStyle w:val="Heading4"/>
      </w:pPr>
      <w:r>
        <w:t>K849023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K849023-INFORMATIZACIJA</w:t>
            </w:r>
          </w:p>
        </w:tc>
        <w:tc>
          <w:tcPr>
            <w:tcW w:w="2041" w:type="dxa"/>
          </w:tcPr>
          <w:p w:rsidR="00505632" w:rsidRDefault="00505632" w:rsidP="00AD4E52">
            <w:pPr>
              <w:pStyle w:val="CellColumn"/>
              <w:jc w:val="right"/>
            </w:pPr>
            <w:r>
              <w:rPr>
                <w:rFonts w:cs="Times New Roman"/>
              </w:rPr>
              <w:t>232.853</w:t>
            </w:r>
          </w:p>
        </w:tc>
        <w:tc>
          <w:tcPr>
            <w:tcW w:w="2041" w:type="dxa"/>
          </w:tcPr>
          <w:p w:rsidR="00505632" w:rsidRDefault="00505632" w:rsidP="00AD4E52">
            <w:pPr>
              <w:pStyle w:val="CellColumn"/>
              <w:jc w:val="right"/>
            </w:pPr>
            <w:r>
              <w:rPr>
                <w:rFonts w:cs="Times New Roman"/>
              </w:rPr>
              <w:t>390.375</w:t>
            </w:r>
          </w:p>
        </w:tc>
        <w:tc>
          <w:tcPr>
            <w:tcW w:w="2041" w:type="dxa"/>
          </w:tcPr>
          <w:p w:rsidR="00505632" w:rsidRDefault="00505632" w:rsidP="00AD4E52">
            <w:pPr>
              <w:pStyle w:val="CellColumn"/>
              <w:jc w:val="right"/>
            </w:pPr>
            <w:r>
              <w:rPr>
                <w:rFonts w:cs="Times New Roman"/>
              </w:rPr>
              <w:t>338.774</w:t>
            </w:r>
          </w:p>
        </w:tc>
        <w:tc>
          <w:tcPr>
            <w:tcW w:w="1224" w:type="dxa"/>
          </w:tcPr>
          <w:p w:rsidR="00505632" w:rsidRDefault="00505632" w:rsidP="00AD4E52">
            <w:pPr>
              <w:pStyle w:val="CellColumn"/>
              <w:jc w:val="right"/>
            </w:pPr>
            <w:r>
              <w:rPr>
                <w:rFonts w:cs="Times New Roman"/>
              </w:rPr>
              <w:t>86,8</w:t>
            </w:r>
          </w:p>
        </w:tc>
        <w:tc>
          <w:tcPr>
            <w:tcW w:w="1224" w:type="dxa"/>
          </w:tcPr>
          <w:p w:rsidR="00505632" w:rsidRDefault="00505632" w:rsidP="00AD4E52">
            <w:pPr>
              <w:pStyle w:val="CellColumn"/>
              <w:jc w:val="right"/>
            </w:pPr>
            <w:r>
              <w:rPr>
                <w:rFonts w:cs="Times New Roman"/>
              </w:rPr>
              <w:t>145,5</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Tijekom 2016. unaprijeđena je programska podrška u sustavu ispitivanja izvora ionizirajućeg zračenja i u sustavu provjere zdravstvene sposobnosti izloženih radnika, odnosno unaprijeđena je programska podrška izdavanju odobrenja i dozvola te vođenju evidencija o njima. Nakon što je krajem 2015. instaliran sustav RAIS Međunarodne agencije za atomsku energiju, tijekom 2016. napravljena je potrebna konfiguracija i migracija podataka iz postojećeg sustava. Osigurana je potrebna podrška uspostavi novog sustava za uredsko poslovanje i upravljanje dokumentima te napravljena potrebna migracija podataka. Osigurana je podrška uspostavi sustava za pohranu, obradu i prezentaciju prikupljenih podataka o stanju radioaktivnosti u okolišu. Osigurano je održavanje servera i programske podrške sustava pravodobnog upozoravanja na nuklearnu nesreću, sustava za numeričko modeliranje širenja radioaktivnosti i procjenu izloženosti stanovništva, baza podataka o izvorima i izloženim radnicima i drugih sustava. Izrađena je programaska podrška za izdavanje svjedodžbi u sustavu e-učenja.  Kupljene su i osigurano je održavanje licenci za baze podataka i specifične aplikativne programe te je  osigurana i odgovarajuća stručna podrška.</w:t>
      </w:r>
    </w:p>
    <w:p w:rsidR="00505632" w:rsidRDefault="00505632" w:rsidP="00505632">
      <w:pPr>
        <w:pStyle w:val="Heading4"/>
      </w:pPr>
      <w:r>
        <w:t>K849027 IPA 2011 UNAPREĐENJE SUSTAVA PRAĆENJA RADIOAKTIVNOSTI U OKOLIŠU</w:t>
      </w:r>
    </w:p>
    <w:tbl>
      <w:tblPr>
        <w:tblStyle w:val="StilTablice"/>
        <w:tblW w:w="10206" w:type="dxa"/>
        <w:jc w:val="center"/>
        <w:tblLook w:val="04A0" w:firstRow="1" w:lastRow="0" w:firstColumn="1" w:lastColumn="0" w:noHBand="0" w:noVBand="1"/>
      </w:tblPr>
      <w:tblGrid>
        <w:gridCol w:w="1960"/>
        <w:gridCol w:w="1954"/>
        <w:gridCol w:w="1927"/>
        <w:gridCol w:w="1949"/>
        <w:gridCol w:w="1204"/>
        <w:gridCol w:w="1212"/>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K849027-IPA 2011 UNAPREĐENJE SUSTAVA PRAĆENJA RADIOAKTIVNOSTI U OKOLIŠU</w:t>
            </w:r>
          </w:p>
        </w:tc>
        <w:tc>
          <w:tcPr>
            <w:tcW w:w="2041" w:type="dxa"/>
          </w:tcPr>
          <w:p w:rsidR="00505632" w:rsidRDefault="00505632" w:rsidP="00AD4E52">
            <w:pPr>
              <w:pStyle w:val="CellColumn"/>
              <w:jc w:val="right"/>
            </w:pPr>
            <w:r>
              <w:rPr>
                <w:rFonts w:cs="Times New Roman"/>
              </w:rPr>
              <w:t>2.834.245</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520.064</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18,3</w:t>
            </w:r>
          </w:p>
        </w:tc>
      </w:tr>
    </w:tbl>
    <w:p w:rsidR="00505632" w:rsidRDefault="00505632" w:rsidP="00505632">
      <w:pPr>
        <w:jc w:val="left"/>
      </w:pPr>
    </w:p>
    <w:p w:rsidR="00505632" w:rsidRDefault="00505632" w:rsidP="00505632">
      <w:pPr>
        <w:pStyle w:val="Heading8"/>
        <w:jc w:val="left"/>
      </w:pPr>
      <w:r>
        <w:t>Opis aktivnosti</w:t>
      </w:r>
    </w:p>
    <w:p w:rsidR="00505632" w:rsidRDefault="00505632" w:rsidP="00505632">
      <w:r>
        <w:t>Krajem 2015. godine završila je provedba projekta “Upgrading the systems for the onand off-line monitoring of radioactivity in the environment in Croatia in regular and emergency situations”. Sukladno projektnom prijedlogu provodila se verifikacija on-line sustava, a naplata za taj dio projekta izvršena je početkom 2016. godine.</w:t>
      </w:r>
    </w:p>
    <w:p w:rsidR="00505632" w:rsidRDefault="00505632" w:rsidP="00505632">
      <w:pPr>
        <w:overflowPunct/>
        <w:autoSpaceDE/>
        <w:autoSpaceDN/>
        <w:adjustRightInd/>
        <w:spacing w:after="200" w:line="276" w:lineRule="auto"/>
        <w:jc w:val="left"/>
        <w:textAlignment w:val="auto"/>
      </w:pPr>
      <w:r>
        <w:br w:type="page"/>
      </w:r>
    </w:p>
    <w:p w:rsidR="00505632" w:rsidRDefault="00505632" w:rsidP="00505632">
      <w:pPr>
        <w:pStyle w:val="Heading1"/>
      </w:pPr>
      <w:r>
        <w:t>258 POVJERENIK ZA INFORMIRANJE</w:t>
      </w:r>
    </w:p>
    <w:p w:rsidR="00505632" w:rsidRDefault="00505632" w:rsidP="00505632">
      <w:r>
        <w:t>Povjerenik za informiranje neovisno je tijelo za zaštitu, praćenje i promicanje prava na pristup informacijama i ponovne uporabe informacija. Pravo na pristup informacijama je temeljno pravo građana koje se štiti Ustavom Republike Hrvatske (čl. 38., st. 4), Europskom konvencijom o ljudskim pravima i slobodama, Konvencijom o pristupu informacijama, sudjelovanju javnosti u odlučivanju i pristupu pravosuđu u pitanjima okoliša, NN - MU 1/07 / Aarhuška konvencija, Konvencijom o pristupu informacijama Vijeća Europe, međunarodnim ugovorima i Zakonom o pravu na pristup informacijama (NN 25/13, 85/15) koji je usklađen s propisima Europske unije - Direktivom 2003/98/EZ Europskog parlamenta i Vijeća od 17. studenog 2003. o ponovnoj uporabi informacija javnog sektora, te Direktivom 2013/37/EU kojom je izmijenjena ranija Direktiva 2003/98/EZ o ponovnoj uporabi informacijama, te Uredbom 1049/2001 Europskog parlamenta i Vijeća od 30. svibnja 2001. o javnom pristupu dokumentima Europskog parlamenta, Vijeća i Komisije. Ujedno, Zakonom o zaštiti okoliša (NN 80/13, 153/13) preuzeta je Direktiva o javnom pristupu informacijama o okolišu 2003/4/EZ.</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25805-Povjerenik za informiranje</w:t>
            </w:r>
          </w:p>
        </w:tc>
        <w:tc>
          <w:tcPr>
            <w:tcW w:w="2041" w:type="dxa"/>
            <w:vAlign w:val="top"/>
          </w:tcPr>
          <w:p w:rsidR="00505632" w:rsidRDefault="00505632" w:rsidP="00AD4E52">
            <w:pPr>
              <w:pStyle w:val="CellColumn"/>
              <w:jc w:val="right"/>
            </w:pPr>
            <w:r>
              <w:rPr>
                <w:rFonts w:cs="Times New Roman"/>
              </w:rPr>
              <w:t>2.245.320</w:t>
            </w:r>
          </w:p>
        </w:tc>
        <w:tc>
          <w:tcPr>
            <w:tcW w:w="2041" w:type="dxa"/>
            <w:vAlign w:val="top"/>
          </w:tcPr>
          <w:p w:rsidR="00505632" w:rsidRDefault="00505632" w:rsidP="00AD4E52">
            <w:pPr>
              <w:pStyle w:val="CellColumn"/>
              <w:jc w:val="right"/>
            </w:pPr>
            <w:r>
              <w:rPr>
                <w:rFonts w:cs="Times New Roman"/>
              </w:rPr>
              <w:t>2.926.029</w:t>
            </w:r>
          </w:p>
        </w:tc>
        <w:tc>
          <w:tcPr>
            <w:tcW w:w="2041" w:type="dxa"/>
            <w:vAlign w:val="top"/>
          </w:tcPr>
          <w:p w:rsidR="00505632" w:rsidRDefault="00505632" w:rsidP="00AD4E52">
            <w:pPr>
              <w:pStyle w:val="CellColumn"/>
              <w:jc w:val="right"/>
            </w:pPr>
            <w:r>
              <w:rPr>
                <w:rFonts w:cs="Times New Roman"/>
              </w:rPr>
              <w:t>2.767.101</w:t>
            </w:r>
          </w:p>
        </w:tc>
        <w:tc>
          <w:tcPr>
            <w:tcW w:w="1224" w:type="dxa"/>
            <w:vAlign w:val="top"/>
          </w:tcPr>
          <w:p w:rsidR="00505632" w:rsidRDefault="00505632" w:rsidP="00AD4E52">
            <w:pPr>
              <w:pStyle w:val="CellColumn"/>
              <w:jc w:val="right"/>
            </w:pPr>
            <w:r>
              <w:rPr>
                <w:rFonts w:cs="Times New Roman"/>
              </w:rPr>
              <w:t>94,6</w:t>
            </w:r>
          </w:p>
        </w:tc>
        <w:tc>
          <w:tcPr>
            <w:tcW w:w="1224" w:type="dxa"/>
            <w:vAlign w:val="top"/>
          </w:tcPr>
          <w:p w:rsidR="00505632" w:rsidRDefault="00505632" w:rsidP="00AD4E52">
            <w:pPr>
              <w:pStyle w:val="CellColumn"/>
              <w:jc w:val="right"/>
            </w:pPr>
            <w:r>
              <w:rPr>
                <w:rFonts w:cs="Times New Roman"/>
              </w:rPr>
              <w:t>123,2</w:t>
            </w:r>
          </w:p>
        </w:tc>
      </w:tr>
      <w:tr w:rsidR="00505632" w:rsidTr="00AD4E52">
        <w:trPr>
          <w:jc w:val="center"/>
        </w:trPr>
        <w:tc>
          <w:tcPr>
            <w:tcW w:w="1632" w:type="dxa"/>
            <w:shd w:val="clear" w:color="auto" w:fill="B5C0D8"/>
          </w:tcPr>
          <w:p w:rsidR="00505632" w:rsidRDefault="00505632" w:rsidP="00AD4E52">
            <w:pPr>
              <w:pStyle w:val="CellColumn"/>
              <w:jc w:val="left"/>
            </w:pPr>
            <w:r>
              <w:rPr>
                <w:rFonts w:cs="Times New Roman"/>
              </w:rPr>
              <w:t>Ukupno 258-POVJERENIK ZA INFORMIRANJE</w:t>
            </w:r>
          </w:p>
        </w:tc>
        <w:tc>
          <w:tcPr>
            <w:tcW w:w="2041" w:type="dxa"/>
            <w:shd w:val="clear" w:color="auto" w:fill="B5C0D8"/>
          </w:tcPr>
          <w:p w:rsidR="00505632" w:rsidRDefault="00505632" w:rsidP="00AD4E52">
            <w:pPr>
              <w:pStyle w:val="CellColumn"/>
              <w:jc w:val="right"/>
            </w:pPr>
            <w:r>
              <w:rPr>
                <w:rFonts w:cs="Times New Roman"/>
              </w:rPr>
              <w:t>2.245.320</w:t>
            </w:r>
          </w:p>
        </w:tc>
        <w:tc>
          <w:tcPr>
            <w:tcW w:w="2041" w:type="dxa"/>
            <w:shd w:val="clear" w:color="auto" w:fill="B5C0D8"/>
          </w:tcPr>
          <w:p w:rsidR="00505632" w:rsidRDefault="00505632" w:rsidP="00AD4E52">
            <w:pPr>
              <w:pStyle w:val="CellColumn"/>
              <w:jc w:val="right"/>
            </w:pPr>
            <w:r>
              <w:rPr>
                <w:rFonts w:cs="Times New Roman"/>
              </w:rPr>
              <w:t>2.926.029</w:t>
            </w:r>
          </w:p>
        </w:tc>
        <w:tc>
          <w:tcPr>
            <w:tcW w:w="2041" w:type="dxa"/>
            <w:shd w:val="clear" w:color="auto" w:fill="B5C0D8"/>
          </w:tcPr>
          <w:p w:rsidR="00505632" w:rsidRDefault="00505632" w:rsidP="00AD4E52">
            <w:pPr>
              <w:pStyle w:val="CellColumn"/>
              <w:jc w:val="right"/>
            </w:pPr>
            <w:r>
              <w:rPr>
                <w:rFonts w:cs="Times New Roman"/>
              </w:rPr>
              <w:t>2.767.101</w:t>
            </w:r>
          </w:p>
        </w:tc>
        <w:tc>
          <w:tcPr>
            <w:tcW w:w="1224" w:type="dxa"/>
            <w:shd w:val="clear" w:color="auto" w:fill="B5C0D8"/>
          </w:tcPr>
          <w:p w:rsidR="00505632" w:rsidRDefault="00505632" w:rsidP="00AD4E52">
            <w:pPr>
              <w:pStyle w:val="CellColumn"/>
              <w:jc w:val="right"/>
            </w:pPr>
            <w:r>
              <w:rPr>
                <w:rFonts w:cs="Times New Roman"/>
              </w:rPr>
              <w:t>94,6</w:t>
            </w:r>
          </w:p>
        </w:tc>
        <w:tc>
          <w:tcPr>
            <w:tcW w:w="1224" w:type="dxa"/>
            <w:shd w:val="clear" w:color="auto" w:fill="B5C0D8"/>
          </w:tcPr>
          <w:p w:rsidR="00505632" w:rsidRDefault="00505632" w:rsidP="00AD4E52">
            <w:pPr>
              <w:pStyle w:val="CellColumn"/>
              <w:jc w:val="right"/>
            </w:pPr>
            <w:r>
              <w:rPr>
                <w:rFonts w:cs="Times New Roman"/>
              </w:rPr>
              <w:t>123,2</w:t>
            </w:r>
          </w:p>
        </w:tc>
      </w:tr>
    </w:tbl>
    <w:p w:rsidR="00505632" w:rsidRDefault="00505632" w:rsidP="00505632">
      <w:pPr>
        <w:jc w:val="left"/>
      </w:pPr>
    </w:p>
    <w:p w:rsidR="00505632" w:rsidRDefault="00505632" w:rsidP="00505632">
      <w:pPr>
        <w:pStyle w:val="Heading2"/>
      </w:pPr>
      <w:r>
        <w:t>25805 Povjerenik za informiranje</w:t>
      </w:r>
    </w:p>
    <w:p w:rsidR="00505632" w:rsidRDefault="00505632" w:rsidP="00505632">
      <w:r>
        <w:t xml:space="preserve">Zakonom o pravu na pristup informacijama (NN 25/13, 85/15) kao neovisno tijelo za zaštitu prava na pristup informacijama utemeljena je institucija Povjerenika za informiranje (čl. 35., st. 1). Povjerenik ima Ured kao svoju stručnu službu (čl. 39., st. 1.). Ured povjerenika za informiranje započeo je s radom 25. listopada 2013.  </w:t>
      </w:r>
    </w:p>
    <w:p w:rsidR="00505632" w:rsidRDefault="00505632" w:rsidP="00505632">
      <w:r>
        <w:t xml:space="preserve">Tijekom 2016. broj državnih službenika u Uredu bio je 8 (do 31.3.) odnosno 11 (1.4-31.12.) </w:t>
      </w:r>
    </w:p>
    <w:p w:rsidR="00505632" w:rsidRDefault="00505632" w:rsidP="00505632">
      <w:r>
        <w:t xml:space="preserve">Zakonom o pravu na pristup informacijama  usklađeni su standardi i načela zaštite s europskim standardima te preuzeta pravna stečevina u pogledu prava na ponovnu uporabu informacijama, čime je su ostvarene zakonske pretpostavke za poboljšanje stanja sukladno primjedbama iz ranijih Izvješća Europske komisije o napretku Republike Hrvatske koje su kao nužne navodile jasnije definiranje rokova i postupaka za pristup informacijama te proaktivnu objavu informacija, širenje kruga obveznika, jasnije uređen nadzor nad primjenom Zakona, potrebu provedbe aktivnosti na podizanju svijesti o važnosti prava na pristup informacijama te prava građana u tom smislu, kao i jačanje usavršavanja i edukacije službenika za informiranje u tijelima javne vlasti, a isti su zadaci utvrđeni i u ranijim Izvješćima o provedbi Zakona o pravu na pristup informacijama u razdoblju 2011-2015. </w:t>
      </w:r>
    </w:p>
    <w:p w:rsidR="00505632" w:rsidRDefault="00505632" w:rsidP="00505632">
      <w:r>
        <w:t xml:space="preserve">Osnovni zadaci Povjerenika za informiranje kao neovisne institucije utvrđeni su Zakonom o pravu na pristup informacijama kojim je određen njegov djelokrug i nadležnost. U tom smislu ciljevi Povjerenika poklapaju se s temeljnim zadacima: (a) zaštita prava na pristup informacijama i ponovne uporabe informacija, koju obavlja provedbom žalbenog postupka i inspekcijskog nadzora te pružanjem pomoći tijelima javne vlasti i građanima; provedba žalbenog postupka propisana je i Zakonom o zaštiti okoliša; (b) praćenje ostvarivanja prava na pristup informacijama i ponovne uporabe informacija poduzimanjem stručno-analitičkih postupaka radi prikupljanja i analize podataka koji predstavljaju temelj za izvješćivanje i izradu preporuka za poboljšanje stanja i usklađivanje zakonodavnog okvira; (c) promicanje prava na pristup informacijama i ponovne uporabe informacija, poduzimanjem promotivno- edukativnih aktivnosti radi jačanja svijesti građana i drugih korisnika o njihovom Ustavom zajamčenom pravu na pristup informacijama i načinima njegova ostvarivanja, informiranje javnosti o stupnju transparentnosti i otvorenosti javne vlasti te radu Povjerenika za informiranje, kao i educiranje tijela javne vlasti o provedbi Zakona. </w:t>
      </w:r>
    </w:p>
    <w:p w:rsidR="00505632" w:rsidRDefault="00505632" w:rsidP="00505632">
      <w:r>
        <w:t xml:space="preserve">Ukupna sredstva Povjerenika za informiranje planirana proračunom za 2016. iznosila su prema prvom planu 2.989.029,00 kn no s obzirom da je preraspodjelom radi potreba drugih tijela odnosno sredstava za božićnicu iznos smanjen, konačni plan iznosio je 2.926.029,00 kn, odnosno uz Pomoći EU Izvor 51 (refundacija putnih troškova za sudjelovanje u radu radne skupine Europske komisije u iznosu 5.832.51) i Ostale pomoći Izvor 52 (donacija prijenos iz 2015. u iznosu 109.708,81 kn)  ukupno 3.041.570,32 </w:t>
      </w:r>
    </w:p>
    <w:p w:rsidR="00505632" w:rsidRDefault="00505632" w:rsidP="00505632">
      <w:r>
        <w:t xml:space="preserve">Realizirano je 2.767.101.00 kn proračunskih sredstava odnosno 94,6%. Usporedbe radi, u 2015. realizirano je 2.149.051,44 kn, odnosno 92,04%, a u 2014. realizirano je 1.336.131,50 ili 72,8%. Temeljem povrata EU nadoknađen iznos od 5.832,51 kn utrošen za potrebe sudjelovanja u radu radne skupine Europske komisije. Indeks izvršenja u odnosu na 2015. je 123,2 s obzirom da u 2016. dolazi do porasta broja zaposlenih za 30%, provedbe novih projekata te općenito većeg opsega rada.  </w:t>
      </w:r>
    </w:p>
    <w:p w:rsidR="00505632" w:rsidRDefault="00505632" w:rsidP="00505632">
      <w:r>
        <w:t>Po osnovi pomoći do kraja 2016. potrošeno je ukupno 73.877,73 kn, a preostalo 35.831,00 kn koje će biti izvršene u 2017., s obzirom na preostale projektne aktivnosti.  Iz sredstava donacije financirano je održavanje promotivnih aktivnosti i izrada publikacija (Tražilica odluka i mišljenja, Akademija otvorenih podataka u Puli, vodiči i leci za korisnike i dr.).</w:t>
      </w:r>
    </w:p>
    <w:tbl>
      <w:tblPr>
        <w:tblStyle w:val="StilTablice"/>
        <w:tblW w:w="10206" w:type="dxa"/>
        <w:jc w:val="center"/>
        <w:tblLook w:val="04A0" w:firstRow="1" w:lastRow="0" w:firstColumn="1" w:lastColumn="0" w:noHBand="0" w:noVBand="1"/>
      </w:tblPr>
      <w:tblGrid>
        <w:gridCol w:w="1781"/>
        <w:gridCol w:w="1997"/>
        <w:gridCol w:w="1998"/>
        <w:gridCol w:w="1998"/>
        <w:gridCol w:w="1214"/>
        <w:gridCol w:w="1218"/>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vAlign w:val="top"/>
          </w:tcPr>
          <w:p w:rsidR="00505632" w:rsidRDefault="00505632" w:rsidP="00AD4E52">
            <w:pPr>
              <w:pStyle w:val="CellColumn"/>
              <w:jc w:val="left"/>
            </w:pPr>
            <w:r>
              <w:rPr>
                <w:rFonts w:cs="Times New Roman"/>
              </w:rPr>
              <w:t>25805-Povjerenik za informiranje</w:t>
            </w:r>
          </w:p>
        </w:tc>
        <w:tc>
          <w:tcPr>
            <w:tcW w:w="2041" w:type="dxa"/>
            <w:vAlign w:val="top"/>
          </w:tcPr>
          <w:p w:rsidR="00505632" w:rsidRDefault="00505632" w:rsidP="00AD4E52">
            <w:pPr>
              <w:pStyle w:val="CellColumn"/>
              <w:jc w:val="right"/>
            </w:pPr>
            <w:r>
              <w:rPr>
                <w:rFonts w:cs="Times New Roman"/>
              </w:rPr>
              <w:t>2.245.320</w:t>
            </w:r>
          </w:p>
        </w:tc>
        <w:tc>
          <w:tcPr>
            <w:tcW w:w="2041" w:type="dxa"/>
            <w:vAlign w:val="top"/>
          </w:tcPr>
          <w:p w:rsidR="00505632" w:rsidRDefault="00505632" w:rsidP="00AD4E52">
            <w:pPr>
              <w:pStyle w:val="CellColumn"/>
              <w:jc w:val="right"/>
            </w:pPr>
            <w:r>
              <w:rPr>
                <w:rFonts w:cs="Times New Roman"/>
              </w:rPr>
              <w:t>2.926.029</w:t>
            </w:r>
          </w:p>
        </w:tc>
        <w:tc>
          <w:tcPr>
            <w:tcW w:w="2041" w:type="dxa"/>
            <w:vAlign w:val="top"/>
          </w:tcPr>
          <w:p w:rsidR="00505632" w:rsidRDefault="00505632" w:rsidP="00AD4E52">
            <w:pPr>
              <w:pStyle w:val="CellColumn"/>
              <w:jc w:val="right"/>
            </w:pPr>
            <w:r>
              <w:rPr>
                <w:rFonts w:cs="Times New Roman"/>
              </w:rPr>
              <w:t>2.767.101</w:t>
            </w:r>
          </w:p>
        </w:tc>
        <w:tc>
          <w:tcPr>
            <w:tcW w:w="1224" w:type="dxa"/>
            <w:vAlign w:val="top"/>
          </w:tcPr>
          <w:p w:rsidR="00505632" w:rsidRDefault="00505632" w:rsidP="00AD4E52">
            <w:pPr>
              <w:pStyle w:val="CellColumn"/>
              <w:jc w:val="right"/>
            </w:pPr>
            <w:r>
              <w:rPr>
                <w:rFonts w:cs="Times New Roman"/>
              </w:rPr>
              <w:t>94,6</w:t>
            </w:r>
          </w:p>
        </w:tc>
        <w:tc>
          <w:tcPr>
            <w:tcW w:w="1224" w:type="dxa"/>
            <w:vAlign w:val="top"/>
          </w:tcPr>
          <w:p w:rsidR="00505632" w:rsidRDefault="00505632" w:rsidP="00AD4E52">
            <w:pPr>
              <w:pStyle w:val="CellColumn"/>
              <w:jc w:val="right"/>
            </w:pPr>
            <w:r>
              <w:rPr>
                <w:rFonts w:cs="Times New Roman"/>
              </w:rPr>
              <w:t>123,2</w:t>
            </w:r>
          </w:p>
        </w:tc>
      </w:tr>
      <w:tr w:rsidR="00505632" w:rsidTr="00AD4E52">
        <w:trPr>
          <w:jc w:val="center"/>
        </w:trPr>
        <w:tc>
          <w:tcPr>
            <w:tcW w:w="1632" w:type="dxa"/>
          </w:tcPr>
          <w:p w:rsidR="00505632" w:rsidRDefault="00505632" w:rsidP="00AD4E52">
            <w:pPr>
              <w:jc w:val="left"/>
            </w:pPr>
            <w:r>
              <w:t>2121-ZAŠTITA I PROMICANJE PRAVA NA PRISTUP INFORMACIJAMA</w:t>
            </w:r>
          </w:p>
        </w:tc>
        <w:tc>
          <w:tcPr>
            <w:tcW w:w="2041" w:type="dxa"/>
          </w:tcPr>
          <w:p w:rsidR="00505632" w:rsidRDefault="00505632" w:rsidP="00AD4E52">
            <w:pPr>
              <w:jc w:val="right"/>
            </w:pPr>
            <w:r>
              <w:t>2.245.320</w:t>
            </w:r>
          </w:p>
        </w:tc>
        <w:tc>
          <w:tcPr>
            <w:tcW w:w="2041" w:type="dxa"/>
          </w:tcPr>
          <w:p w:rsidR="00505632" w:rsidRDefault="00505632" w:rsidP="00AD4E52">
            <w:pPr>
              <w:jc w:val="right"/>
            </w:pPr>
            <w:r>
              <w:t>2.926.029</w:t>
            </w:r>
          </w:p>
        </w:tc>
        <w:tc>
          <w:tcPr>
            <w:tcW w:w="2041" w:type="dxa"/>
          </w:tcPr>
          <w:p w:rsidR="00505632" w:rsidRDefault="00505632" w:rsidP="00AD4E52">
            <w:pPr>
              <w:jc w:val="right"/>
            </w:pPr>
            <w:r>
              <w:t>2.767.101</w:t>
            </w:r>
          </w:p>
        </w:tc>
        <w:tc>
          <w:tcPr>
            <w:tcW w:w="1224" w:type="dxa"/>
          </w:tcPr>
          <w:p w:rsidR="00505632" w:rsidRDefault="00505632" w:rsidP="00AD4E52">
            <w:pPr>
              <w:jc w:val="right"/>
            </w:pPr>
            <w:r>
              <w:t>94,6</w:t>
            </w:r>
          </w:p>
        </w:tc>
        <w:tc>
          <w:tcPr>
            <w:tcW w:w="1224" w:type="dxa"/>
          </w:tcPr>
          <w:p w:rsidR="00505632" w:rsidRDefault="00505632" w:rsidP="00AD4E52">
            <w:pPr>
              <w:jc w:val="right"/>
            </w:pPr>
            <w:r>
              <w:t>123,2</w:t>
            </w:r>
          </w:p>
        </w:tc>
      </w:tr>
    </w:tbl>
    <w:p w:rsidR="00505632" w:rsidRDefault="00505632" w:rsidP="00505632">
      <w:pPr>
        <w:jc w:val="left"/>
      </w:pPr>
    </w:p>
    <w:p w:rsidR="00505632" w:rsidRDefault="00505632" w:rsidP="00505632">
      <w:pPr>
        <w:pStyle w:val="Heading3"/>
      </w:pPr>
      <w:r>
        <w:rPr>
          <w:rFonts w:cs="Times New Roman"/>
        </w:rPr>
        <w:t>2121 ZAŠTITA I PROMICANJE PRAVA NA PRISTUP INFORMACIJAMA</w:t>
      </w:r>
    </w:p>
    <w:tbl>
      <w:tblPr>
        <w:tblStyle w:val="StilTablice"/>
        <w:tblW w:w="10206" w:type="dxa"/>
        <w:jc w:val="center"/>
        <w:tblLook w:val="04A0" w:firstRow="1" w:lastRow="0" w:firstColumn="1" w:lastColumn="0" w:noHBand="0" w:noVBand="1"/>
      </w:tblPr>
      <w:tblGrid>
        <w:gridCol w:w="1781"/>
        <w:gridCol w:w="1997"/>
        <w:gridCol w:w="1998"/>
        <w:gridCol w:w="1998"/>
        <w:gridCol w:w="1214"/>
        <w:gridCol w:w="1218"/>
      </w:tblGrid>
      <w:tr w:rsidR="00505632" w:rsidTr="00AD4E52">
        <w:trPr>
          <w:jc w:val="center"/>
        </w:trPr>
        <w:tc>
          <w:tcPr>
            <w:tcW w:w="1632" w:type="dxa"/>
            <w:shd w:val="clear" w:color="auto" w:fill="B5C0D8"/>
          </w:tcPr>
          <w:p w:rsidR="00505632" w:rsidRDefault="00505632" w:rsidP="00AD4E52">
            <w:pPr>
              <w:pStyle w:val="CellHeader"/>
              <w:jc w:val="center"/>
            </w:pP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Index izvršenje 2016./2015.</w:t>
            </w:r>
          </w:p>
        </w:tc>
      </w:tr>
      <w:tr w:rsidR="00505632" w:rsidTr="00AD4E52">
        <w:trPr>
          <w:jc w:val="center"/>
        </w:trPr>
        <w:tc>
          <w:tcPr>
            <w:tcW w:w="1632" w:type="dxa"/>
          </w:tcPr>
          <w:p w:rsidR="00505632" w:rsidRDefault="00505632" w:rsidP="00AD4E52">
            <w:pPr>
              <w:pStyle w:val="CellColumn"/>
              <w:jc w:val="left"/>
            </w:pPr>
            <w:r>
              <w:rPr>
                <w:rFonts w:cs="Times New Roman"/>
              </w:rPr>
              <w:t>2121-ZAŠTITA I PROMICANJE PRAVA NA PRISTUP INFORMACIJAMA</w:t>
            </w:r>
          </w:p>
        </w:tc>
        <w:tc>
          <w:tcPr>
            <w:tcW w:w="2041" w:type="dxa"/>
          </w:tcPr>
          <w:p w:rsidR="00505632" w:rsidRDefault="00505632" w:rsidP="00AD4E52">
            <w:pPr>
              <w:pStyle w:val="CellColumn"/>
              <w:jc w:val="right"/>
            </w:pPr>
            <w:r>
              <w:rPr>
                <w:rFonts w:cs="Times New Roman"/>
              </w:rPr>
              <w:t>2.245.320</w:t>
            </w:r>
          </w:p>
        </w:tc>
        <w:tc>
          <w:tcPr>
            <w:tcW w:w="2041" w:type="dxa"/>
          </w:tcPr>
          <w:p w:rsidR="00505632" w:rsidRDefault="00505632" w:rsidP="00AD4E52">
            <w:pPr>
              <w:pStyle w:val="CellColumn"/>
              <w:jc w:val="right"/>
            </w:pPr>
            <w:r>
              <w:rPr>
                <w:rFonts w:cs="Times New Roman"/>
              </w:rPr>
              <w:t>2.926.029</w:t>
            </w:r>
          </w:p>
        </w:tc>
        <w:tc>
          <w:tcPr>
            <w:tcW w:w="2041" w:type="dxa"/>
          </w:tcPr>
          <w:p w:rsidR="00505632" w:rsidRDefault="00505632" w:rsidP="00AD4E52">
            <w:pPr>
              <w:pStyle w:val="CellColumn"/>
              <w:jc w:val="right"/>
            </w:pPr>
            <w:r>
              <w:rPr>
                <w:rFonts w:cs="Times New Roman"/>
              </w:rPr>
              <w:t>2.767.101</w:t>
            </w:r>
          </w:p>
        </w:tc>
        <w:tc>
          <w:tcPr>
            <w:tcW w:w="1224" w:type="dxa"/>
          </w:tcPr>
          <w:p w:rsidR="00505632" w:rsidRDefault="00505632" w:rsidP="00AD4E52">
            <w:pPr>
              <w:pStyle w:val="CellColumn"/>
              <w:jc w:val="right"/>
            </w:pPr>
            <w:r>
              <w:rPr>
                <w:rFonts w:cs="Times New Roman"/>
              </w:rPr>
              <w:t>94,6</w:t>
            </w:r>
          </w:p>
        </w:tc>
        <w:tc>
          <w:tcPr>
            <w:tcW w:w="1224" w:type="dxa"/>
          </w:tcPr>
          <w:p w:rsidR="00505632" w:rsidRDefault="00505632" w:rsidP="00AD4E52">
            <w:pPr>
              <w:pStyle w:val="CellColumn"/>
              <w:jc w:val="right"/>
            </w:pPr>
            <w:r>
              <w:rPr>
                <w:rFonts w:cs="Times New Roman"/>
              </w:rPr>
              <w:t>123,2</w:t>
            </w:r>
          </w:p>
        </w:tc>
      </w:tr>
    </w:tbl>
    <w:p w:rsidR="00505632" w:rsidRDefault="00505632" w:rsidP="00505632"/>
    <w:p w:rsidR="00505632" w:rsidRDefault="00505632" w:rsidP="00505632">
      <w:r>
        <w:t xml:space="preserve">Pravo na pristup informacijama je temeljno pravo građana koje se štiti Ustavom Republike Hrvatske (čl. 38., st. 4), Europskom konvencijom o ljudskim pravima i slobodama, Konvencijom o pristupu informacijama, sudjelovanju javnosti u odlučivanju i pristupu pravosuđu u pitanjima okoliša, NN – MU 1/07 / Aarhuška konvencija, Konvencijom o pristupu informacijama Vijeća Europe te Uredbom 1049/2001 Europskog parlamenta i Vijeća od 30. svibnja 2001. o javnom pristupu dokumentima Europskog parlamenta, Vijeća i Komisije.  </w:t>
      </w:r>
    </w:p>
    <w:p w:rsidR="00505632" w:rsidRDefault="00505632" w:rsidP="00505632">
      <w:r>
        <w:t xml:space="preserve">Temeljni zakonski propis kojim se štiti pravo na pristup informacijama je Zakon o pravu na pristup informacijama (NN 25/13 i 85/15), a kojim su ujedno preuzete i Direktive 2003/98/EZ i 2013/37/EU Europskog parlamenta i Vijeća o ponovnoj uporabi informacija javnog sektora, kojim se uređuje ponovna uporaba informacija u tijelima javne vlasti.   Ujedno, Zakonom o zaštiti okoliša (NN 80/13, 153/13) preuzeta je Direktiva o javnom pristupu informacijama o okolišu 2003/4/EZ. Zakonom o pravu na pristup informacijama (NN 25/13, 85/15) propisano je da nadzor nad provedbom Zakona provodi Povjerenik za informiranje kao neovisno tijelo za zaštitu, praćenje i promicanje prava na pristup informacijama.  </w:t>
      </w:r>
    </w:p>
    <w:p w:rsidR="00505632" w:rsidRDefault="00505632" w:rsidP="00505632">
      <w:r>
        <w:t xml:space="preserve">Povjerenik za informiranje sukladno čl. 35., st.3. Zakona o pravu na pristup informacijama obavlja poslove drugostupanjskog tijela u rješavanju žalbi o ostvarivanju prava na pristup informacijama i prava na ponovnu uporabu informacija; obavlja nadzor i provodi inspekcijski nadzor nad provedbom Zakona; prati provedbu Zakona i propisa koji uređuju pravo na pristup informacijama te izvješćuje javnost o njihovoj provedbi; predlaže tijelima javne vlasti poduzimanje mjera radi unapređivanja ostvarivanja prava na pristup informacijama, uređenog Zakonom; informira javnost o ostvarivanju prava korisnika na pristup informacijama; predlaže mjere za stručno osposobljavanje i usavršavanje službenika za informiranje u tijelima javne vlasti i upoznavanje s njihovim obvezama u vezi s primjenom Zakona; inicira donošenje ili izmjene propisa radi provedbe i unapređenja prava na pristup informacijama; podnosi Hrvatskom saboru izvješće o provedbi ovog Zakona i druga izvješća kad ocijeni da je to potrebno; podnosi Europskoj komisiji izvješće o provedbi Direktive o ponovnoj uporabi informacija; sudjeluje u radu radnih tijela Hrvatskog sabora i prisustvuje sjednicama Hrvatskog sabora kad su na dnevnom redu pitanja iz njegova djelokruga; podnosi optužni prijedlog i izdaje prekršajni nalog za utvrđene prekršaje. Zakonom o zaštiti okoliša propisano je da je Povjerenik za informiranje drugostupanjsko tijelo u postupcima u vezi pristupa informacijama o okolišu. </w:t>
      </w:r>
    </w:p>
    <w:p w:rsidR="00505632" w:rsidRDefault="00505632" w:rsidP="00505632">
      <w:r>
        <w:t xml:space="preserve">Osnovni zadaci Povjerenika odnose se stoga na provedbu drugostupanjskog postupka u predmetima prava na pristup informacijama, inspekcijski nadzor, nadzor nad provedbom zakona, uspostavljanje međunarodne suradnje i suradnje s tijelima Europske unije te domaće stručne suradnje i suradnje s tijelima javne vlasti, informiranje javnosti i promicanje prava na pristup informacijama, predlaganje mjera i programa za usavršavanje u području prava na pristup informacijama, analitičke poslove usmjerene na praćenje provedbe Zakona te izvješćivanje Hrvatskog sabora, Europske komisije  i javnosti o provedbi Zakona i ostvarivanju prava na pristup informacijama i ponovne uporabe informacija. Stoga se u okviru temeljnog cilja – zaštite, praćenja i promicanja prava na pristup informacijama i ponovne uporabe informacija, kako je on postavljen u Strateškom planu 2016-2017,  definiraju tri podcilja: efikasna zaštita prava na pristup i ponovnu uporabu informacija, edukacija i promocija prava na pristup i ponovnu uporabu informacija  te praćenje i izvještavanje o ostvarivanju prava na pristup i ponovnu uporabu informacija.  </w:t>
      </w:r>
    </w:p>
    <w:p w:rsidR="00505632" w:rsidRDefault="00505632" w:rsidP="00505632">
      <w:r>
        <w:t xml:space="preserve">U razdoblju 2014. i 2015. Ured je bio u procesu ustrojavanja, koji još nije u potpunosti završen, a koji apsorbira dio ionako ograničenih resursa za obavljanje zakonom propisanih zadaća, za što je glavni razlog bio nedovoljan iznos sredstava u proračunu. Godine 2014. osigurani su materijalni uvjeti rada (najam prostora, oprema preuzeta od Državnog ureda za upravljanje imovinom), a tijekom 2015. zaposlena četiri nova državna službenika, od kojih tri premještajem iz drugih tijela, te su obavljani administrativno-tehnički poslovi (jednim dijelom do kolovoza 2015., a u cijelosti od 9.  kolovoza 2015. kada na snagu stupa Zakon o izmjenama i dopunama Zakona o pravu na pristup informacijama i administrativno-tehnički poslovi u cijelosti prelaze u nadležnost Povjerenika za informiranje). Uvjeti za obavljanje inspekcijskih poslova ostvareni su tek u rujnu 2015., a jačanje kapaciteta Ureda nastavljeno je i u 2016. zapošljavanjem 3 službenika </w:t>
      </w:r>
    </w:p>
    <w:p w:rsidR="00505632" w:rsidRDefault="00505632" w:rsidP="00505632">
      <w:r>
        <w:t xml:space="preserve">Zakonske i druge pravne osnove </w:t>
      </w:r>
    </w:p>
    <w:p w:rsidR="00505632" w:rsidRDefault="00505632" w:rsidP="00505632">
      <w:r>
        <w:t xml:space="preserve">Zakon o pravu na pristup informacijama, NN 25/13, 85/15 </w:t>
      </w:r>
    </w:p>
    <w:p w:rsidR="00505632" w:rsidRDefault="00505632" w:rsidP="00505632">
      <w:r>
        <w:t xml:space="preserve">Zakon o zaštiti okoliša, NN 80/13, 153/13 </w:t>
      </w:r>
    </w:p>
    <w:p w:rsidR="00505632" w:rsidRDefault="00505632" w:rsidP="00505632">
      <w:r>
        <w:t xml:space="preserve">EU propisi </w:t>
      </w:r>
    </w:p>
    <w:p w:rsidR="00505632" w:rsidRDefault="00505632" w:rsidP="00505632">
      <w:r>
        <w:t xml:space="preserve">Direktiva 2003/98/EZ iI 2013/13/EU o ponovnoj uporabi informiranja javnog sektora </w:t>
      </w:r>
    </w:p>
    <w:p w:rsidR="00505632" w:rsidRDefault="00505632" w:rsidP="00505632">
      <w:r>
        <w:t xml:space="preserve">Direktiva o javnom pristupu informacija o okolišu 2003/4/EZ, </w:t>
      </w:r>
    </w:p>
    <w:p w:rsidR="00505632" w:rsidRDefault="00505632" w:rsidP="00505632">
      <w:r>
        <w:t xml:space="preserve">Uredba 1049/2001 Europskog parlamenta i Vijeća od 30.05.2001. o javnom pristupu </w:t>
      </w:r>
    </w:p>
    <w:p w:rsidR="00505632" w:rsidRDefault="00505632" w:rsidP="00505632">
      <w:r>
        <w:t xml:space="preserve">dokumentima Europskog parlamenta, Vijeća i Komisije, </w:t>
      </w:r>
    </w:p>
    <w:p w:rsidR="00505632" w:rsidRDefault="00505632" w:rsidP="00505632">
      <w:r>
        <w:t xml:space="preserve">Međunarodni dokumenti </w:t>
      </w:r>
    </w:p>
    <w:p w:rsidR="00505632" w:rsidRDefault="00505632" w:rsidP="00505632">
      <w:r>
        <w:t xml:space="preserve">Konvencija o zaštiti ljudskih prava temeljnih sloboda (NN -MU 18/97) </w:t>
      </w:r>
    </w:p>
    <w:p w:rsidR="00505632" w:rsidRDefault="00505632" w:rsidP="00505632">
      <w:r>
        <w:t xml:space="preserve">Konvencija o pristupu informacijama, sudjelovanju javnosti i pristupu pravosuđu u </w:t>
      </w:r>
    </w:p>
    <w:p w:rsidR="00505632" w:rsidRDefault="00505632" w:rsidP="00505632">
      <w:r>
        <w:t>pitanjima okoliša (NN-MU 1/07).</w:t>
      </w:r>
    </w:p>
    <w:p w:rsidR="00505632" w:rsidRDefault="00505632" w:rsidP="00505632">
      <w:pPr>
        <w:pStyle w:val="Heading8"/>
        <w:jc w:val="left"/>
      </w:pPr>
      <w:r>
        <w:t xml:space="preserve">Cilj 1. Efikasna zaštita prava na pristup i ponovnu uporabu informacij a Opis provedbe cilja programa </w:t>
      </w:r>
    </w:p>
    <w:p w:rsidR="00505632" w:rsidRDefault="00505632" w:rsidP="00505632">
      <w:pPr>
        <w:pStyle w:val="Heading8"/>
        <w:jc w:val="left"/>
      </w:pPr>
      <w:r>
        <w:t>Opis provedbe cilja programa</w:t>
      </w:r>
    </w:p>
    <w:p w:rsidR="00505632" w:rsidRDefault="00505632" w:rsidP="00505632">
      <w:r>
        <w:t xml:space="preserve">Povjerenik za informiranje štiti ostvarivanje prava na pristup informacijama te ponovnu uporabu informacija provedbom žalbenih postupaka, provedbom nadzora odnosno inspekcijskog nadzora te pružanjem pomoći tijelima javne vlasti. </w:t>
      </w:r>
    </w:p>
    <w:p w:rsidR="00505632" w:rsidRDefault="00505632" w:rsidP="00505632">
      <w:r>
        <w:t xml:space="preserve">Povjerenik za informiranje nadležan je za rješavanje o žalbama zbog uskrate (zbog odbijanja ili tzv. šutnje uprave) pristupa informacijama odnosno mogućnosti ponovne uporabe informacijama u odnosu na oko 6.000 tijela javne vlasti, koji su obveznici primjene Zakona o pravu na pristup informacijama. Prema podacima iz izvješća Povjerenika vidljiv je trend porasta broja žalbenih predmeta, a glavni uzrok je nedovoljno poznavanje propisa od strane tijela javne vlasti, te je stoga Povjerenik usmjeren na stalno pružanje pomoći tijelima javne vlasti, kao i edukaciju u sklopu cilja 1.2.. S obzirom da se u primjeni ZPPI-a i propisa iz područja pristupa informacija i ponovne uporabe informacije mogu javiti određene dvojbe oko pravnog okvira i zahtjeva koji različiti propisi traže izrađuju se upute i smjernice za određene standarde kojima se tijela javne vlasti trebaju rukovoditi kod donošenja odluka, kojih je u 2016. izrađeno 5.  Ujedno je objavljena baza podataka svih odluka i mišljenja Povjerenika za informiranje   </w:t>
      </w:r>
    </w:p>
    <w:p w:rsidR="00505632" w:rsidRDefault="00505632" w:rsidP="00505632">
      <w:r>
        <w:t xml:space="preserve">Uočeno je da je najvažniji problem kod rješavanja žalbi od strane Povjerenika u zakonskim rokovima, koji su dvostruko kraći u odnosu rok iz Zakona o općem upravnom postupku, kao i suboptimalan broj službenika za rješavanje žalbi te provedbu inspekcijskog nadzora, a s obzirom na opseg posla. U odnosu na 2015. stanje je poboljšano zapošljavanjem tri državna službenika (od kojih jedan u Službi za zaštitu koja rješava žalbene predmete), ali s obzirom na odsutnost službenika, broj rješavatelja je i dalje bio nedostatan s obzirom na velik broj predmeta. Broj pristiglih i broj riješenih predmeta je porastao – bilježimo povećanje broja pristiglih žalbi (2% više, s time da je broj žalbi u rješavanju bio 1.015, u odnosu na 906 u 2015., što je 10% više), podnesenih tužbi (27% više nego 2015.) te drugih predmeta (predstavke – 42,77% više nego u 2015, inspekcijski nadzor – 150% više nego u 2015., od čega neposrednih inspekcijskih nadzora 40% više).  </w:t>
      </w:r>
    </w:p>
    <w:p w:rsidR="00505632" w:rsidRDefault="00505632" w:rsidP="00505632">
      <w:r>
        <w:t>U odnosu na ukupnost žalbenih predmeta u rješavanju u 2016. koja je iznosila 1.015 žalbi, riješene su 674 žalbe odnosno 66,40 posto, ali ako se promatra broj zaprimljenih žalbi u 2016. koji iznosi 645 žalbi, riješeno je 106% (u odnosu na 2015. kad je stopa rješavanja bila 85%) tako da se cilj može smatrati ostvarenim.</w:t>
      </w:r>
    </w:p>
    <w:p w:rsidR="00505632" w:rsidRDefault="00505632" w:rsidP="00505632">
      <w:pPr>
        <w:pStyle w:val="Heading8"/>
        <w:jc w:val="left"/>
      </w:pPr>
      <w:r>
        <w:t>Cilj 2.  Edukacija i promocija prava na pristup i ponovnu uporabu informacija</w:t>
      </w:r>
    </w:p>
    <w:p w:rsidR="00505632" w:rsidRDefault="00505632" w:rsidP="00505632">
      <w:pPr>
        <w:pStyle w:val="Heading8"/>
        <w:jc w:val="left"/>
      </w:pPr>
      <w:r>
        <w:t>Opis provedbe cilja programa</w:t>
      </w:r>
    </w:p>
    <w:p w:rsidR="00505632" w:rsidRDefault="00505632" w:rsidP="00505632">
      <w:r>
        <w:t xml:space="preserve">Povjerenik za informiranje kontinuirano pruža pomoć građanima i tijelima javne vlasti u svrhu zaštite prava na pristup informacijama, osobito neposrednim kontaktom putem info-telefona, davanjem odgovora i mišljenja na upite tijela javne vlasti i građana, kao i izradom smjernica i uputa, priručnika i drugih oblika informacija, kao što je objava odluka i stavova Povjerenika. </w:t>
      </w:r>
    </w:p>
    <w:p w:rsidR="00505632" w:rsidRDefault="00505632" w:rsidP="00505632">
      <w:r>
        <w:t xml:space="preserve">Povjerenik za informiranje redovito održava edukacije za službenike za informiranje i druge službenike u tijelima javne vlasti, kao i korisnike informacija (građane, udruge, medije). </w:t>
      </w:r>
    </w:p>
    <w:p w:rsidR="00505632" w:rsidRDefault="00505632" w:rsidP="00505632">
      <w:r>
        <w:t xml:space="preserve">U svrhu informiranja javnosti i promicanja prava na pristup i ponovnu uporabu informacija Povjerenik za informiranje osmišljava i organizira javna događanja usmjerena na opću javnost, pojedine skupine građana (mediji, udruge, mladi, itd.) ili stručnu javnost. U tu svrhu planira se organizacija nekoliko javnih događanja godišnje, a osobito skup povodom Međunarodnog dana prava na pristup informacijama 28. rujna te održavanje radionica, seminara ili konferencije za stručnu javnost o pojedinim pitanjima iz područja prava na pristup i ponovnu uporabu informacija. Ujedno, izrađuju se i pripremaju promotivni materijali (5 publikacija u 2016.), pokrenut je dvomjesečni internetski bilten (odaslana dva broja) te je javno objavljena Tražilica odluka i mišljenja s više od 600 dokumenata.  </w:t>
      </w:r>
    </w:p>
    <w:p w:rsidR="00505632" w:rsidRDefault="00505632" w:rsidP="00505632">
      <w:r>
        <w:t xml:space="preserve">Tijekom 2016. održano je 38 edukacija i 6 promotivnih događanja (38 edukacija, 30 promotivnih događanja) uz sudjelovanje na dodatnih 24 javna događanja na kojima je promovirano pravo na pristup informacijama i ponovna uporaba informacija. Putem edukacija educirano je 1.020 osoba, od čega 945 službenika za informiranje u tijelima javne vlasti i 75 korisnika. Odgovoreno je na 912 upita telefonom i pisanim putem davanjem odgovora ili mišljenja, 18% više nego prethodne godine. Broj upita je nije rastao prema očekivanjima s 1000 na 1300  zbog objave Tražilice odluka i mišljenja na kojoj su objavljene sve odluke i mišljenja Povjerenika, i to na pretraživ način, prema ključnim riječima, te zbog toga tijela nemaju u istoj mjeri potrebu tražiti savjet neposredno, kao ni građani. S obzirom na izmijenjeno stanje, bit će potrebno revidirati ciljeve u sljedećem razdoblju, tako da se ne očekuje porast broja upita.   </w:t>
      </w:r>
    </w:p>
    <w:p w:rsidR="00505632" w:rsidRDefault="00505632" w:rsidP="00505632">
      <w:r>
        <w:t>Ukupan broj poništenih rješenja nije se smanjio, odnosno porastao je na 50,44%, iz razloga što se veći dio predmeta riješenih u 2016. odnosio na predmete iz 2015., a ni sam kriterij nije jednoznačan, jer je povezan i s kompleksnošću predmeta, s obzirom da s razvojem svijesti o prava na pristup informacijama raste broj zahtjeva građana za pristup informacijama koje su podložne ograničenjima, zbog čega tijelo javne vlasti treba provesti  test razmjernosti i javnog interesa i time dolazi do više nepravilnih procjena tijela javne vlasti.</w:t>
      </w:r>
    </w:p>
    <w:p w:rsidR="00505632" w:rsidRDefault="00505632" w:rsidP="00505632">
      <w:pPr>
        <w:pStyle w:val="Heading8"/>
        <w:jc w:val="left"/>
      </w:pPr>
      <w:r>
        <w:t xml:space="preserve">Cilj 3. 1.3. Praćenje i izvještavanje o ostvarivanju prava na pristup i ponovnu uporabu informacija </w:t>
      </w:r>
    </w:p>
    <w:p w:rsidR="00505632" w:rsidRDefault="00505632" w:rsidP="00505632">
      <w:pPr>
        <w:pStyle w:val="Heading8"/>
        <w:jc w:val="left"/>
      </w:pPr>
      <w:r>
        <w:t>Opis provedbe cilja programa</w:t>
      </w:r>
    </w:p>
    <w:p w:rsidR="00505632" w:rsidRDefault="00505632" w:rsidP="00505632">
      <w:r>
        <w:t xml:space="preserve">Povjerenik za informiranje ima zadaću praćenja provedbe ZPPI i propisa koji uređuju pravo na pristup informacijama te izvješćivanja javnosti o njihovoj provedbi. Također u svrhu ispunjavanja zakonskih obveza i i usporedbe s dobrom praksom drugih nadzornih tijela za pristup informacijama i ponovne uporabe informacija surađuje s međunarodnim i domaćim tijelima te privatnim i civilnim sektorom. U tu svrhu Povjerenik stručno-analitičkim postupcima prikuplja i analizira podatke koji služe kao temelj za izvješćivanje te davanje preporuka za poboljšanje stanja tijelima javne vlasti i nadležnim institucijama za usklađivanje zakonodavnog okvira. </w:t>
      </w:r>
    </w:p>
    <w:p w:rsidR="00505632" w:rsidRDefault="00505632" w:rsidP="00505632">
      <w:r>
        <w:t xml:space="preserve">U nadležnosti Povjerenika za informiranje je zakonska obveza vođenja registra službenika za informiranje i evidencije isključivih prava na ponovnu uporabu informacija kao i izvještavanje Hrvatskog sabora (o provedbi Zakona u cjelini) te Europske komisije (o ponovnoj uporabi informacija). Povjerenik prikuplja godišnja izvješća o provedbi Zakona od tijela javne vlasti. </w:t>
      </w:r>
    </w:p>
    <w:p w:rsidR="00505632" w:rsidRDefault="00505632" w:rsidP="00505632">
      <w:r>
        <w:t xml:space="preserve">U 2016. u popisu je 5.873 tijela javne vlasti, izrađeno je 6 analitičkih studija kojima je obuhvaćeno preko 1000 tijela javne vlasti, obavljeno 48 nadzora.  </w:t>
      </w:r>
    </w:p>
    <w:p w:rsidR="00505632" w:rsidRDefault="00505632" w:rsidP="00505632">
      <w:r>
        <w:t xml:space="preserve">Web stranica je posjećenja preko 190.000 puta, objavljeno je pet publikacija, Tražilica odluka i mišljenja s preko 600 odluka, objavljen je dvomjesečni bilten, objavljeno je 57 vijesti. Broj objava na portalu otvorenih podataka povećan je za 200%, a razina objavljenih informacija prema članku 10 iznosi oko 70% </w:t>
      </w:r>
    </w:p>
    <w:p w:rsidR="00505632" w:rsidRDefault="00505632" w:rsidP="00505632">
      <w:r>
        <w:t xml:space="preserve">Sudjelovali smo u unaprjeđenju i usklađivanju zakonodavstva, kroz radne skupine za jedan zakon, 1 pravilnik te dali dva mišljenja na pravilnike, te ujedno sudjelovali u jednom savjetovanju. </w:t>
      </w:r>
    </w:p>
    <w:p w:rsidR="00505632" w:rsidRDefault="00505632" w:rsidP="00505632">
      <w:r>
        <w:t>Uvažene su primjedbe Povjerenika i intervencije u akcijske planove strateških dokumenata.</w:t>
      </w:r>
    </w:p>
    <w:p w:rsidR="00505632" w:rsidRDefault="00505632" w:rsidP="00505632">
      <w:pPr>
        <w:pStyle w:val="Heading8"/>
        <w:jc w:val="left"/>
      </w:pPr>
      <w:r>
        <w:t>Pokazatelji učinka</w:t>
      </w:r>
    </w:p>
    <w:tbl>
      <w:tblPr>
        <w:tblStyle w:val="StilTablice"/>
        <w:tblW w:w="10206" w:type="dxa"/>
        <w:jc w:val="center"/>
        <w:tblLook w:val="04A0" w:firstRow="1" w:lastRow="0" w:firstColumn="1" w:lastColumn="0" w:noHBand="0" w:noVBand="1"/>
      </w:tblPr>
      <w:tblGrid>
        <w:gridCol w:w="2323"/>
        <w:gridCol w:w="2322"/>
        <w:gridCol w:w="1036"/>
        <w:gridCol w:w="1137"/>
        <w:gridCol w:w="1114"/>
        <w:gridCol w:w="1137"/>
        <w:gridCol w:w="1137"/>
      </w:tblGrid>
      <w:tr w:rsidR="00505632" w:rsidTr="00AD4E52">
        <w:trPr>
          <w:jc w:val="center"/>
        </w:trPr>
        <w:tc>
          <w:tcPr>
            <w:tcW w:w="2551" w:type="dxa"/>
            <w:shd w:val="clear" w:color="auto" w:fill="B5C0D8"/>
          </w:tcPr>
          <w:p w:rsidR="00505632" w:rsidRDefault="00505632" w:rsidP="00AD4E52">
            <w:pPr>
              <w:jc w:val="center"/>
            </w:pPr>
            <w:r>
              <w:t>Pokazatelj učinka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918"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Povećana razina zaštite prava na pristup i ponovnu uporabu inforamcija pravodobnim i na zakonu utemeljenim postupanjem</w:t>
            </w:r>
          </w:p>
        </w:tc>
        <w:tc>
          <w:tcPr>
            <w:tcW w:w="2551" w:type="dxa"/>
          </w:tcPr>
          <w:p w:rsidR="00505632" w:rsidRDefault="00505632" w:rsidP="00AD4E52">
            <w:pPr>
              <w:pStyle w:val="CellColumn"/>
              <w:jc w:val="left"/>
            </w:pPr>
            <w:r>
              <w:rPr>
                <w:rFonts w:cs="Times New Roman"/>
              </w:rPr>
              <w:t>Broj riješenih žalbenih predmeta  se povećava</w:t>
            </w:r>
          </w:p>
        </w:tc>
        <w:tc>
          <w:tcPr>
            <w:tcW w:w="1020" w:type="dxa"/>
          </w:tcPr>
          <w:p w:rsidR="00505632" w:rsidRDefault="00505632" w:rsidP="00AD4E52">
            <w:pPr>
              <w:pStyle w:val="CellColumn"/>
              <w:jc w:val="right"/>
            </w:pPr>
            <w:r>
              <w:rPr>
                <w:rFonts w:cs="Times New Roman"/>
              </w:rPr>
              <w:t>Udio (postotak %) izvršenih postupaka</w:t>
            </w:r>
          </w:p>
        </w:tc>
        <w:tc>
          <w:tcPr>
            <w:tcW w:w="1020" w:type="dxa"/>
          </w:tcPr>
          <w:p w:rsidR="00505632" w:rsidRDefault="00505632" w:rsidP="00AD4E52">
            <w:pPr>
              <w:pStyle w:val="CellColumn"/>
              <w:jc w:val="right"/>
            </w:pPr>
            <w:r>
              <w:rPr>
                <w:rFonts w:cs="Times New Roman"/>
              </w:rPr>
              <w:t>64,9</w:t>
            </w:r>
          </w:p>
        </w:tc>
        <w:tc>
          <w:tcPr>
            <w:tcW w:w="1020" w:type="dxa"/>
          </w:tcPr>
          <w:p w:rsidR="00505632" w:rsidRDefault="00505632" w:rsidP="00AD4E52">
            <w:pPr>
              <w:pStyle w:val="CellColumn"/>
              <w:jc w:val="right"/>
            </w:pPr>
            <w:r>
              <w:rPr>
                <w:rFonts w:cs="Times New Roman"/>
              </w:rPr>
              <w:t>evidencije Povjerenika</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66,40</w:t>
            </w:r>
          </w:p>
        </w:tc>
      </w:tr>
      <w:tr w:rsidR="00505632" w:rsidTr="00AD4E52">
        <w:trPr>
          <w:jc w:val="center"/>
        </w:trPr>
        <w:tc>
          <w:tcPr>
            <w:tcW w:w="2551" w:type="dxa"/>
          </w:tcPr>
          <w:p w:rsidR="00505632" w:rsidRDefault="00505632" w:rsidP="00AD4E52">
            <w:pPr>
              <w:pStyle w:val="CellColumn"/>
              <w:jc w:val="left"/>
            </w:pPr>
            <w:r>
              <w:rPr>
                <w:rFonts w:cs="Times New Roman"/>
              </w:rPr>
              <w:t>Povećana kompetentnost tijela javne vlasti u rješavanju predmeta</w:t>
            </w:r>
          </w:p>
        </w:tc>
        <w:tc>
          <w:tcPr>
            <w:tcW w:w="2551" w:type="dxa"/>
          </w:tcPr>
          <w:p w:rsidR="00505632" w:rsidRDefault="00505632" w:rsidP="00AD4E52">
            <w:pPr>
              <w:pStyle w:val="CellColumn"/>
              <w:jc w:val="left"/>
            </w:pPr>
            <w:r>
              <w:rPr>
                <w:rFonts w:cs="Times New Roman"/>
              </w:rPr>
              <w:t>Tijela javne vlasti donose na zakonu utemeljena rješenja i odluke</w:t>
            </w:r>
          </w:p>
        </w:tc>
        <w:tc>
          <w:tcPr>
            <w:tcW w:w="1020" w:type="dxa"/>
          </w:tcPr>
          <w:p w:rsidR="00505632" w:rsidRDefault="00505632" w:rsidP="00AD4E52">
            <w:pPr>
              <w:pStyle w:val="CellColumn"/>
              <w:jc w:val="right"/>
            </w:pPr>
            <w:r>
              <w:rPr>
                <w:rFonts w:cs="Times New Roman"/>
              </w:rPr>
              <w:t>Postotak poništenih rješenja temeljem postupanja u drugom stupnju</w:t>
            </w:r>
          </w:p>
        </w:tc>
        <w:tc>
          <w:tcPr>
            <w:tcW w:w="1020" w:type="dxa"/>
          </w:tcPr>
          <w:p w:rsidR="00505632" w:rsidRDefault="00505632" w:rsidP="00AD4E52">
            <w:pPr>
              <w:pStyle w:val="CellColumn"/>
              <w:jc w:val="right"/>
            </w:pPr>
            <w:r>
              <w:rPr>
                <w:rFonts w:cs="Times New Roman"/>
              </w:rPr>
              <w:t>41,61%</w:t>
            </w:r>
          </w:p>
        </w:tc>
        <w:tc>
          <w:tcPr>
            <w:tcW w:w="1020" w:type="dxa"/>
          </w:tcPr>
          <w:p w:rsidR="00505632" w:rsidRDefault="00505632" w:rsidP="00AD4E52">
            <w:pPr>
              <w:pStyle w:val="CellColumn"/>
              <w:jc w:val="right"/>
            </w:pPr>
            <w:r>
              <w:rPr>
                <w:rFonts w:cs="Times New Roman"/>
              </w:rPr>
              <w:t>evidencije Povjerenika za informiranje</w:t>
            </w:r>
          </w:p>
        </w:tc>
        <w:tc>
          <w:tcPr>
            <w:tcW w:w="1020" w:type="dxa"/>
          </w:tcPr>
          <w:p w:rsidR="00505632" w:rsidRDefault="00505632" w:rsidP="00AD4E52">
            <w:pPr>
              <w:pStyle w:val="CellColumn"/>
              <w:jc w:val="right"/>
            </w:pPr>
            <w:r>
              <w:rPr>
                <w:rFonts w:cs="Times New Roman"/>
              </w:rPr>
              <w:t>35%</w:t>
            </w:r>
          </w:p>
        </w:tc>
        <w:tc>
          <w:tcPr>
            <w:tcW w:w="1020" w:type="dxa"/>
          </w:tcPr>
          <w:p w:rsidR="00505632" w:rsidRDefault="00505632" w:rsidP="00AD4E52">
            <w:pPr>
              <w:pStyle w:val="CellColumn"/>
              <w:jc w:val="right"/>
            </w:pPr>
            <w:r>
              <w:rPr>
                <w:rFonts w:cs="Times New Roman"/>
              </w:rPr>
              <w:t>50,44%</w:t>
            </w:r>
          </w:p>
        </w:tc>
      </w:tr>
      <w:tr w:rsidR="00505632" w:rsidTr="00AD4E52">
        <w:trPr>
          <w:jc w:val="center"/>
        </w:trPr>
        <w:tc>
          <w:tcPr>
            <w:tcW w:w="2551" w:type="dxa"/>
          </w:tcPr>
          <w:p w:rsidR="00505632" w:rsidRDefault="00505632" w:rsidP="00AD4E52">
            <w:pPr>
              <w:pStyle w:val="CellColumn"/>
              <w:jc w:val="left"/>
            </w:pPr>
            <w:r>
              <w:rPr>
                <w:rFonts w:cs="Times New Roman"/>
              </w:rPr>
              <w:t>Povećanje svijesti pravnih i fizičkih osoba o pravu na pristup inforamcijama i načinu ostvarenja</w:t>
            </w:r>
          </w:p>
        </w:tc>
        <w:tc>
          <w:tcPr>
            <w:tcW w:w="2551" w:type="dxa"/>
          </w:tcPr>
          <w:p w:rsidR="00505632" w:rsidRDefault="00505632" w:rsidP="00AD4E52">
            <w:pPr>
              <w:pStyle w:val="CellColumn"/>
              <w:jc w:val="left"/>
            </w:pPr>
            <w:r>
              <w:rPr>
                <w:rFonts w:cs="Times New Roman"/>
              </w:rPr>
              <w:t>Građani i pravne osobe su upoznati sa svojim pravima i informiraju se o načinu ostvarivanja</w:t>
            </w:r>
          </w:p>
        </w:tc>
        <w:tc>
          <w:tcPr>
            <w:tcW w:w="1020" w:type="dxa"/>
          </w:tcPr>
          <w:p w:rsidR="00505632" w:rsidRDefault="00505632" w:rsidP="00AD4E52">
            <w:pPr>
              <w:pStyle w:val="CellColumn"/>
              <w:jc w:val="right"/>
            </w:pPr>
            <w:r>
              <w:rPr>
                <w:rFonts w:cs="Times New Roman"/>
              </w:rPr>
              <w:t>Broj upita</w:t>
            </w:r>
          </w:p>
        </w:tc>
        <w:tc>
          <w:tcPr>
            <w:tcW w:w="1020" w:type="dxa"/>
          </w:tcPr>
          <w:p w:rsidR="00505632" w:rsidRDefault="00505632" w:rsidP="00AD4E52">
            <w:pPr>
              <w:pStyle w:val="CellColumn"/>
              <w:jc w:val="right"/>
            </w:pPr>
            <w:r>
              <w:rPr>
                <w:rFonts w:cs="Times New Roman"/>
              </w:rPr>
              <w:t>1033</w:t>
            </w:r>
          </w:p>
        </w:tc>
        <w:tc>
          <w:tcPr>
            <w:tcW w:w="1020" w:type="dxa"/>
          </w:tcPr>
          <w:p w:rsidR="00505632" w:rsidRDefault="00505632" w:rsidP="00AD4E52">
            <w:pPr>
              <w:pStyle w:val="CellColumn"/>
              <w:jc w:val="right"/>
            </w:pPr>
            <w:r>
              <w:rPr>
                <w:rFonts w:cs="Times New Roman"/>
              </w:rPr>
              <w:t>evidencije Povjerenika za informiranje</w:t>
            </w:r>
          </w:p>
        </w:tc>
        <w:tc>
          <w:tcPr>
            <w:tcW w:w="1020" w:type="dxa"/>
          </w:tcPr>
          <w:p w:rsidR="00505632" w:rsidRDefault="00505632" w:rsidP="00AD4E52">
            <w:pPr>
              <w:pStyle w:val="CellColumn"/>
              <w:jc w:val="right"/>
            </w:pPr>
            <w:r>
              <w:rPr>
                <w:rFonts w:cs="Times New Roman"/>
              </w:rPr>
              <w:t>1300</w:t>
            </w:r>
          </w:p>
        </w:tc>
        <w:tc>
          <w:tcPr>
            <w:tcW w:w="1020" w:type="dxa"/>
          </w:tcPr>
          <w:p w:rsidR="00505632" w:rsidRDefault="00505632" w:rsidP="00AD4E52">
            <w:pPr>
              <w:pStyle w:val="CellColumn"/>
              <w:jc w:val="right"/>
            </w:pPr>
            <w:r>
              <w:rPr>
                <w:rFonts w:cs="Times New Roman"/>
              </w:rPr>
              <w:t>912</w:t>
            </w:r>
          </w:p>
        </w:tc>
      </w:tr>
      <w:tr w:rsidR="00505632" w:rsidTr="00AD4E52">
        <w:trPr>
          <w:jc w:val="center"/>
        </w:trPr>
        <w:tc>
          <w:tcPr>
            <w:tcW w:w="2551" w:type="dxa"/>
          </w:tcPr>
          <w:p w:rsidR="00505632" w:rsidRDefault="00505632" w:rsidP="00AD4E52">
            <w:pPr>
              <w:pStyle w:val="CellColumn"/>
              <w:jc w:val="left"/>
            </w:pPr>
            <w:r>
              <w:rPr>
                <w:rFonts w:cs="Times New Roman"/>
              </w:rPr>
              <w:t>Povećan udio proaktivno objavljenih informacija i otvorenih podataka, ažuriran popis tijela javne vlasti</w:t>
            </w:r>
          </w:p>
        </w:tc>
        <w:tc>
          <w:tcPr>
            <w:tcW w:w="2551" w:type="dxa"/>
          </w:tcPr>
          <w:p w:rsidR="00505632" w:rsidRDefault="00505632" w:rsidP="00AD4E52">
            <w:pPr>
              <w:pStyle w:val="CellColumn"/>
              <w:jc w:val="left"/>
            </w:pPr>
            <w:r>
              <w:rPr>
                <w:rFonts w:cs="Times New Roman"/>
              </w:rPr>
              <w:t>Tijela javne vlasti u skladu sa odredbama Zakona objavljuju informacije na svojim web stranicama i portalu otvorenih podataka</w:t>
            </w:r>
          </w:p>
        </w:tc>
        <w:tc>
          <w:tcPr>
            <w:tcW w:w="1020" w:type="dxa"/>
          </w:tcPr>
          <w:p w:rsidR="00505632" w:rsidRDefault="00505632" w:rsidP="00AD4E52">
            <w:pPr>
              <w:pStyle w:val="CellColumn"/>
              <w:jc w:val="right"/>
            </w:pPr>
            <w:r>
              <w:rPr>
                <w:rFonts w:cs="Times New Roman"/>
              </w:rPr>
              <w:t>Udio objavljenih informacija</w:t>
            </w:r>
          </w:p>
        </w:tc>
        <w:tc>
          <w:tcPr>
            <w:tcW w:w="1020" w:type="dxa"/>
          </w:tcPr>
          <w:p w:rsidR="00505632" w:rsidRDefault="00505632" w:rsidP="00AD4E52">
            <w:pPr>
              <w:pStyle w:val="CellColumn"/>
              <w:jc w:val="right"/>
            </w:pPr>
            <w:r>
              <w:rPr>
                <w:rFonts w:cs="Times New Roman"/>
              </w:rPr>
              <w:t>60% kontinuirano</w:t>
            </w:r>
          </w:p>
        </w:tc>
        <w:tc>
          <w:tcPr>
            <w:tcW w:w="1020" w:type="dxa"/>
          </w:tcPr>
          <w:p w:rsidR="00505632" w:rsidRDefault="00505632" w:rsidP="00AD4E52">
            <w:pPr>
              <w:pStyle w:val="CellColumn"/>
              <w:jc w:val="right"/>
            </w:pPr>
            <w:r>
              <w:rPr>
                <w:rFonts w:cs="Times New Roman"/>
              </w:rPr>
              <w:t>Izvješća o provedbi Zakona</w:t>
            </w:r>
          </w:p>
        </w:tc>
        <w:tc>
          <w:tcPr>
            <w:tcW w:w="1020" w:type="dxa"/>
          </w:tcPr>
          <w:p w:rsidR="00505632" w:rsidRDefault="00505632" w:rsidP="00AD4E52">
            <w:pPr>
              <w:pStyle w:val="CellColumn"/>
              <w:jc w:val="right"/>
            </w:pPr>
            <w:r>
              <w:rPr>
                <w:rFonts w:cs="Times New Roman"/>
              </w:rPr>
              <w:t>70% kontinuirano</w:t>
            </w:r>
          </w:p>
        </w:tc>
        <w:tc>
          <w:tcPr>
            <w:tcW w:w="1020" w:type="dxa"/>
          </w:tcPr>
          <w:p w:rsidR="00505632" w:rsidRDefault="00505632" w:rsidP="00AD4E52">
            <w:pPr>
              <w:pStyle w:val="CellColumn"/>
              <w:jc w:val="right"/>
            </w:pPr>
            <w:r>
              <w:rPr>
                <w:rFonts w:cs="Times New Roman"/>
              </w:rPr>
              <w:t>70% kontinuirano</w:t>
            </w:r>
          </w:p>
        </w:tc>
      </w:tr>
      <w:tr w:rsidR="00505632" w:rsidTr="00AD4E52">
        <w:trPr>
          <w:jc w:val="center"/>
        </w:trPr>
        <w:tc>
          <w:tcPr>
            <w:tcW w:w="2551" w:type="dxa"/>
          </w:tcPr>
          <w:p w:rsidR="00505632" w:rsidRDefault="00505632" w:rsidP="00AD4E52">
            <w:pPr>
              <w:pStyle w:val="CellColumn"/>
              <w:jc w:val="left"/>
            </w:pPr>
            <w:r>
              <w:rPr>
                <w:rFonts w:cs="Times New Roman"/>
              </w:rPr>
              <w:t>Unaprjeđenje i usklađivanje postojećeg zakonodavnog i strateškog okvira</w:t>
            </w:r>
          </w:p>
        </w:tc>
        <w:tc>
          <w:tcPr>
            <w:tcW w:w="2551" w:type="dxa"/>
          </w:tcPr>
          <w:p w:rsidR="00505632" w:rsidRDefault="00505632" w:rsidP="00AD4E52">
            <w:pPr>
              <w:pStyle w:val="CellColumn"/>
              <w:jc w:val="left"/>
            </w:pPr>
            <w:r>
              <w:rPr>
                <w:rFonts w:cs="Times New Roman"/>
              </w:rPr>
              <w:t>Usvajanjem odredbi koje su u skladu sa Zakonom o pravu na pristup informacijama te donošenjem podzakonskih akata i uputa olakšava se i omogućava ostvarivanje prava građana na pristup informacijama</w:t>
            </w:r>
          </w:p>
        </w:tc>
        <w:tc>
          <w:tcPr>
            <w:tcW w:w="1020" w:type="dxa"/>
          </w:tcPr>
          <w:p w:rsidR="00505632" w:rsidRDefault="00505632" w:rsidP="00AD4E52">
            <w:pPr>
              <w:pStyle w:val="CellColumn"/>
              <w:jc w:val="right"/>
            </w:pPr>
            <w:r>
              <w:rPr>
                <w:rFonts w:cs="Times New Roman"/>
              </w:rPr>
              <w:t>Postotak uvaženih prijedloga</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Izvješća o provedbi Zakona</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100%</w:t>
            </w:r>
          </w:p>
        </w:tc>
      </w:tr>
    </w:tbl>
    <w:p w:rsidR="00505632" w:rsidRDefault="00505632" w:rsidP="00505632">
      <w:pPr>
        <w:jc w:val="left"/>
      </w:pPr>
    </w:p>
    <w:p w:rsidR="00505632" w:rsidRDefault="00505632" w:rsidP="00505632">
      <w:pPr>
        <w:pStyle w:val="Heading4"/>
      </w:pPr>
      <w:r>
        <w:t>A874001 ADMINISTRACIJA I UPRAVLJANJE</w:t>
      </w:r>
    </w:p>
    <w:tbl>
      <w:tblPr>
        <w:tblStyle w:val="StilTablice"/>
        <w:tblW w:w="10206" w:type="dxa"/>
        <w:jc w:val="center"/>
        <w:tblLook w:val="04A0" w:firstRow="1" w:lastRow="0" w:firstColumn="1" w:lastColumn="0" w:noHBand="0" w:noVBand="1"/>
      </w:tblPr>
      <w:tblGrid>
        <w:gridCol w:w="1793"/>
        <w:gridCol w:w="1994"/>
        <w:gridCol w:w="1994"/>
        <w:gridCol w:w="1994"/>
        <w:gridCol w:w="1213"/>
        <w:gridCol w:w="1218"/>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A874001-ADMINISTRACIJA I UPRAVLJANJE</w:t>
            </w:r>
          </w:p>
        </w:tc>
        <w:tc>
          <w:tcPr>
            <w:tcW w:w="2041" w:type="dxa"/>
          </w:tcPr>
          <w:p w:rsidR="00505632" w:rsidRDefault="00505632" w:rsidP="00AD4E52">
            <w:pPr>
              <w:pStyle w:val="CellColumn"/>
              <w:jc w:val="right"/>
            </w:pPr>
            <w:r>
              <w:rPr>
                <w:rFonts w:cs="Times New Roman"/>
              </w:rPr>
              <w:t>2.162.417</w:t>
            </w:r>
          </w:p>
        </w:tc>
        <w:tc>
          <w:tcPr>
            <w:tcW w:w="2041" w:type="dxa"/>
          </w:tcPr>
          <w:p w:rsidR="00505632" w:rsidRDefault="00505632" w:rsidP="00AD4E52">
            <w:pPr>
              <w:pStyle w:val="CellColumn"/>
              <w:jc w:val="right"/>
            </w:pPr>
            <w:r>
              <w:rPr>
                <w:rFonts w:cs="Times New Roman"/>
              </w:rPr>
              <w:t>2.615.029</w:t>
            </w:r>
          </w:p>
        </w:tc>
        <w:tc>
          <w:tcPr>
            <w:tcW w:w="2041" w:type="dxa"/>
          </w:tcPr>
          <w:p w:rsidR="00505632" w:rsidRDefault="00505632" w:rsidP="00AD4E52">
            <w:pPr>
              <w:pStyle w:val="CellColumn"/>
              <w:jc w:val="right"/>
            </w:pPr>
            <w:r>
              <w:rPr>
                <w:rFonts w:cs="Times New Roman"/>
              </w:rPr>
              <w:t>2.593.057</w:t>
            </w:r>
          </w:p>
        </w:tc>
        <w:tc>
          <w:tcPr>
            <w:tcW w:w="1224" w:type="dxa"/>
          </w:tcPr>
          <w:p w:rsidR="00505632" w:rsidRDefault="00505632" w:rsidP="00AD4E52">
            <w:pPr>
              <w:pStyle w:val="CellColumn"/>
              <w:jc w:val="right"/>
            </w:pPr>
            <w:r>
              <w:rPr>
                <w:rFonts w:cs="Times New Roman"/>
              </w:rPr>
              <w:t>99,2</w:t>
            </w:r>
          </w:p>
        </w:tc>
        <w:tc>
          <w:tcPr>
            <w:tcW w:w="1224" w:type="dxa"/>
          </w:tcPr>
          <w:p w:rsidR="00505632" w:rsidRDefault="00505632" w:rsidP="00AD4E52">
            <w:pPr>
              <w:pStyle w:val="CellColumn"/>
              <w:jc w:val="right"/>
            </w:pPr>
            <w:r>
              <w:rPr>
                <w:rFonts w:cs="Times New Roman"/>
              </w:rPr>
              <w:t>119,9</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pravu na pristup informacijama NN 25/13, 85/15 </w:t>
      </w:r>
    </w:p>
    <w:p w:rsidR="00505632" w:rsidRDefault="00505632" w:rsidP="00505632">
      <w:r>
        <w:t xml:space="preserve">Zakon o zaštiti okoliša, NN 80/13, 153/13 </w:t>
      </w:r>
    </w:p>
    <w:p w:rsidR="00505632" w:rsidRDefault="00505632" w:rsidP="00505632">
      <w:r>
        <w:t xml:space="preserve">EU propisi </w:t>
      </w:r>
    </w:p>
    <w:p w:rsidR="00505632" w:rsidRDefault="00505632" w:rsidP="00505632">
      <w:r>
        <w:t xml:space="preserve">Direktiva 2003/98/EZ i 2013/13/EU o ponovnoj uporabi informiranja javnog sektora </w:t>
      </w:r>
    </w:p>
    <w:p w:rsidR="00505632" w:rsidRDefault="00505632" w:rsidP="00505632">
      <w:r>
        <w:t xml:space="preserve">Direktiva o javnom pristupu informacija o okolišu 2003/4/EZ, </w:t>
      </w:r>
    </w:p>
    <w:p w:rsidR="00505632" w:rsidRDefault="00505632" w:rsidP="00505632">
      <w:r>
        <w:t xml:space="preserve">Uredba 1049/2001 Europskog parlamenta i Vijeća od 30.05.2001. o javnom pristupu </w:t>
      </w:r>
    </w:p>
    <w:p w:rsidR="00505632" w:rsidRDefault="00505632" w:rsidP="00505632">
      <w:r>
        <w:t xml:space="preserve">dokumentima Europskog parlamenta, Vijeća i Komisije, </w:t>
      </w:r>
    </w:p>
    <w:p w:rsidR="00505632" w:rsidRDefault="00505632" w:rsidP="00505632">
      <w:r>
        <w:t xml:space="preserve">Međunarodni dokumenti </w:t>
      </w:r>
    </w:p>
    <w:p w:rsidR="00505632" w:rsidRDefault="00505632" w:rsidP="00505632">
      <w:r>
        <w:t xml:space="preserve">Konvencija o zaštiti ljudskih prava temeljnih sloboda (NN -MU 18/97) </w:t>
      </w:r>
    </w:p>
    <w:p w:rsidR="00505632" w:rsidRDefault="00505632" w:rsidP="00505632">
      <w:r>
        <w:t xml:space="preserve">Konvencija o pristupu informacijama, sudjelovanju javnosti i pristupu pravosuđu u </w:t>
      </w:r>
    </w:p>
    <w:p w:rsidR="00505632" w:rsidRDefault="00505632" w:rsidP="00505632">
      <w:r>
        <w:t>pitanjima okoliša (NN-MU 1/07).</w:t>
      </w:r>
    </w:p>
    <w:p w:rsidR="00505632" w:rsidRDefault="00505632" w:rsidP="00505632">
      <w:pPr>
        <w:pStyle w:val="Heading8"/>
        <w:jc w:val="left"/>
      </w:pPr>
      <w:r>
        <w:t>Opis aktivnosti</w:t>
      </w:r>
    </w:p>
    <w:p w:rsidR="00505632" w:rsidRDefault="00505632" w:rsidP="00505632">
      <w:r>
        <w:t xml:space="preserve">Na stavci Administracija i upravljanje A874001 utrošeno je ukupno 2.593.057 kn odnosno 99,2%, a indeks izvršenja u odnosu na 2015. iznosi 119,9. </w:t>
      </w:r>
    </w:p>
    <w:p w:rsidR="00505632" w:rsidRDefault="00505632" w:rsidP="00505632">
      <w:r>
        <w:t xml:space="preserve">Izvršenje se sastoji od Izvora 11, Izvora 51 i Izvora 52, odnosno uz 2.507.093,96 na izvoru 11, uključuje sredstva Pomoći EU na izvoru 51 u iznosu 12.085,31 kn te sredstva Ostalih pomoći (donacije)  u iznosu 73.877,73  kn na izvoru 52.  </w:t>
      </w:r>
    </w:p>
    <w:p w:rsidR="00505632" w:rsidRDefault="00505632" w:rsidP="00505632">
      <w:r>
        <w:t xml:space="preserve">U okviru izvora 11 utrošeno je: </w:t>
      </w:r>
    </w:p>
    <w:p w:rsidR="00505632" w:rsidRDefault="00505632" w:rsidP="00505632">
      <w:r>
        <w:t xml:space="preserve">31 Rashodi za zaposlene 1.895.440,87 </w:t>
      </w:r>
    </w:p>
    <w:p w:rsidR="00505632" w:rsidRDefault="00505632" w:rsidP="00505632">
      <w:r>
        <w:t xml:space="preserve">32 Materijalni rashodi 611.349,15 kn  </w:t>
      </w:r>
    </w:p>
    <w:p w:rsidR="00505632" w:rsidRDefault="00505632" w:rsidP="00505632">
      <w:r>
        <w:t xml:space="preserve">34 Financijske usluge 303,94 kn </w:t>
      </w:r>
    </w:p>
    <w:p w:rsidR="00505632" w:rsidRDefault="00505632" w:rsidP="00505632">
      <w:r>
        <w:t xml:space="preserve">Na stavci 31 Rashodi za zaposlene izvršeno je 1.895.440,87 (izvršenje 98,9%) uključuje troškove za plaće i propisane doprinose. Uz 1 dužnosnika i 8 državnih službenika koji su bili zaposleni tijekom cijele godine, od 1.4. zaposlena su tri dodatna državna službenika. Planirano zapošljavanje dodatnog službenika u četvrtom kvartalu izvršeno je tek s 3.1.2017., a neutrošena sredstva preusmjerena su za božićnice </w:t>
      </w:r>
    </w:p>
    <w:p w:rsidR="00505632" w:rsidRDefault="00505632" w:rsidP="00505632">
      <w:r>
        <w:t xml:space="preserve">Na stavci 32 Materijalni rashodi utrošeno je ukupno 611.349,15, oko 5% manje nego u 2015., i 87,66%od planiranih 697.429 kn u 2016.   </w:t>
      </w:r>
    </w:p>
    <w:p w:rsidR="00505632" w:rsidRDefault="00505632" w:rsidP="00505632">
      <w:r>
        <w:t xml:space="preserve">Na stavci 321 Naknada troškova zaposlenima od predviđenih 120.000 kn, potrošeno je 106.201 kn (88,51%),  i to 14% manje nego u 2015. Najveći udio odnosi se na sredstva naknada za prijevoz na posao i s posla (49.676 kn ili 47%). Nisu utrošena sva planirana sredstva jer je jedna službenica koja živi izvan Zagreba pretežit dio druge polovice 2016. provela na bolovanju, a kasnije na porodiljinom dopustu.  </w:t>
      </w:r>
    </w:p>
    <w:p w:rsidR="00505632" w:rsidRDefault="00505632" w:rsidP="00505632">
      <w:r>
        <w:t xml:space="preserve">Ostali iznos sredstava – 30.072,59 uz dodatnih 5.832 kn po osnovi refundacije, potrošen je na službena putovanja (inspekcijski nadzor, sudjelovanje u sudskim postupcima, međunarodna suradnja), a dio od 25.576 kn  na edukacije i usavršavanja zaposlenih, osobito novozaposlenih i osobito u područjima ponovne uporabe, s obzirom da je isto novo područje u hrvatskom pravnom sustavu. Na stavci 3214 nije došlo do planiranih troškova. </w:t>
      </w:r>
    </w:p>
    <w:p w:rsidR="00505632" w:rsidRDefault="00505632" w:rsidP="00505632">
      <w:r>
        <w:t xml:space="preserve">Na stavci 322 Rashodi za materijal i energiju utrošeno je 78.281,40  kn odnosno 83,28% od planiranih 94.000,00 kn, a najveći je dio potrošen na povećane potrebe za nabavu uredskog materijala te sitnog inventara, zbog povećanog broja zaposlenih i povećanog opsega poslova. Iznos je manji za oko 4,5% u odnosu na 2015. </w:t>
      </w:r>
    </w:p>
    <w:p w:rsidR="00505632" w:rsidRDefault="00505632" w:rsidP="00505632">
      <w:r>
        <w:t xml:space="preserve">N stavci 323 Rashodi za usluge potrošeno je 415.403,70 kn što je 89,06% iznosa koji je planiran, te dodatna sredstva sa stavke pomoći i donacija zbog provedbe projekata, pri čemu su najveći udjel imali troškovi 3235 Zakupnina i najamnina, s obzirom da Povjerenik plaća najam za poslovni prostor od 154,2 m2 po cijeni od 9 eura, a nije realizirano planirano  preseljenje u državni prostor zbog nedostatka istog. Ipak, planirani iznos na toj stavci potrošen je na razini od 79,02% jer nije realizirana nabava automobila, zbog promjene vlasti (i nemogućnosti ishođenja odobrenja). Povećani trošak učinjen je na stavci 3237 Intelektualne usluge zbog troškova promjene računovodstvenog servisa te povećanih troškova vanjskih usluga (pisarnica, studije IT održavanja).   </w:t>
      </w:r>
    </w:p>
    <w:p w:rsidR="00505632" w:rsidRDefault="00505632" w:rsidP="00505632">
      <w:r>
        <w:t xml:space="preserve">Drugi veći trošak predstavljaju Računalne usluge 71.941,25 kn (95,92%) nastale zbog održavanja web stranice, izrade i održavanja aplikacija Popis tijela javne vlasti, Godišnja izvješća te Tražilici odluka i mišljenja te promjene sustava pisarnice, kao i nabave računovodstvenih programa.  </w:t>
      </w:r>
    </w:p>
    <w:p w:rsidR="00505632" w:rsidRDefault="00505632" w:rsidP="00505632">
      <w:r>
        <w:t xml:space="preserve">Trošak na stavci 3231 za Usluge telefona, pošte i prijevoza 50.729 ili 83,12% podjednak je onome u 2015. od 49.934,32 kn ili 101,67%, usprkos povećanom opsegu poslova, jer se dio otpreme odvijao putem e-pošte, sukladno naputku Vlade (procijenjena ušteda je oko 13.000 kn).   </w:t>
      </w:r>
    </w:p>
    <w:p w:rsidR="00505632" w:rsidRDefault="00505632" w:rsidP="00505632">
      <w:r>
        <w:t xml:space="preserve">Na usluge promidžbe i informiranja stavci 3233 utrošeno je na 12.996,72 kn (81,23%) što je dvostruko manje nego u 2015. (26.166,91 kn), iz razloga što se medijski prilozi nisu pratili nakon travnja 2016., a također nije bilo oglašavanja radnih mjesta u dnevnim listovima.  </w:t>
      </w:r>
    </w:p>
    <w:p w:rsidR="00505632" w:rsidRDefault="00505632" w:rsidP="00505632">
      <w:r>
        <w:t xml:space="preserve">Na stavci 3239 Reprezentacija utrošeno je 11.008,91 kn ili 68,81% i to za organizaciju konferencije, dok su za catering i ostale reprezentativne troškove konferencije u prosincu osigurana sredstva partnera.  </w:t>
      </w:r>
    </w:p>
    <w:p w:rsidR="00505632" w:rsidRDefault="00505632" w:rsidP="00505632">
      <w:r>
        <w:t>Na stavci 34 Financijske usluge utrošeno je za bankarske usluge i usluge platnog prometa ukupno 303,94 kn, za dizanje gotovine u devizama, što je praksa koju smo odlučili napustiti i izvršavati refundacije isključivo na račun.</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Povećan udio završenih žalbenih predmeta</w:t>
            </w:r>
          </w:p>
        </w:tc>
        <w:tc>
          <w:tcPr>
            <w:tcW w:w="2551" w:type="dxa"/>
          </w:tcPr>
          <w:p w:rsidR="00505632" w:rsidRDefault="00505632" w:rsidP="00AD4E52">
            <w:pPr>
              <w:pStyle w:val="CellColumn"/>
              <w:jc w:val="left"/>
            </w:pPr>
            <w:r>
              <w:rPr>
                <w:rFonts w:cs="Times New Roman"/>
              </w:rPr>
              <w:t>Žalbe se rješavaju u zakonskim rokovima i tako omogućavaju ostvarivanje prava građana</w:t>
            </w:r>
          </w:p>
        </w:tc>
        <w:tc>
          <w:tcPr>
            <w:tcW w:w="1020" w:type="dxa"/>
          </w:tcPr>
          <w:p w:rsidR="00505632" w:rsidRDefault="00505632" w:rsidP="00AD4E52">
            <w:pPr>
              <w:pStyle w:val="CellColumn"/>
              <w:jc w:val="right"/>
            </w:pPr>
            <w:r>
              <w:rPr>
                <w:rFonts w:cs="Times New Roman"/>
              </w:rPr>
              <w:t>Udio / postotak</w:t>
            </w:r>
          </w:p>
        </w:tc>
        <w:tc>
          <w:tcPr>
            <w:tcW w:w="1020" w:type="dxa"/>
          </w:tcPr>
          <w:p w:rsidR="00505632" w:rsidRDefault="00505632" w:rsidP="00AD4E52">
            <w:pPr>
              <w:pStyle w:val="CellColumn"/>
              <w:jc w:val="right"/>
            </w:pPr>
            <w:r>
              <w:rPr>
                <w:rFonts w:cs="Times New Roman"/>
              </w:rPr>
              <w:t>64,9%</w:t>
            </w:r>
          </w:p>
        </w:tc>
        <w:tc>
          <w:tcPr>
            <w:tcW w:w="1020" w:type="dxa"/>
          </w:tcPr>
          <w:p w:rsidR="00505632" w:rsidRDefault="00505632" w:rsidP="00AD4E52">
            <w:pPr>
              <w:pStyle w:val="CellColumn"/>
              <w:jc w:val="right"/>
            </w:pPr>
            <w:r>
              <w:rPr>
                <w:rFonts w:cs="Times New Roman"/>
              </w:rPr>
              <w:t>Izvješće PI o provedbi Zakona</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66%</w:t>
            </w:r>
          </w:p>
        </w:tc>
      </w:tr>
      <w:tr w:rsidR="00505632" w:rsidTr="00AD4E52">
        <w:trPr>
          <w:jc w:val="center"/>
        </w:trPr>
        <w:tc>
          <w:tcPr>
            <w:tcW w:w="2551" w:type="dxa"/>
          </w:tcPr>
          <w:p w:rsidR="00505632" w:rsidRDefault="00505632" w:rsidP="00AD4E52">
            <w:pPr>
              <w:pStyle w:val="CellColumn"/>
              <w:jc w:val="left"/>
            </w:pPr>
            <w:r>
              <w:rPr>
                <w:rFonts w:cs="Times New Roman"/>
              </w:rPr>
              <w:t>Povećan broj provedenih inspekcijskih nadzora</w:t>
            </w:r>
          </w:p>
        </w:tc>
        <w:tc>
          <w:tcPr>
            <w:tcW w:w="2551" w:type="dxa"/>
          </w:tcPr>
          <w:p w:rsidR="00505632" w:rsidRDefault="00505632" w:rsidP="00AD4E52">
            <w:pPr>
              <w:pStyle w:val="CellColumn"/>
              <w:jc w:val="left"/>
            </w:pPr>
            <w:r>
              <w:rPr>
                <w:rFonts w:cs="Times New Roman"/>
              </w:rPr>
              <w:t>Inspekcijskim nadzorima omogućuje se ostvarivanje prava građana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Izvješće PI o provedbi Zakona</w:t>
            </w:r>
          </w:p>
        </w:tc>
        <w:tc>
          <w:tcPr>
            <w:tcW w:w="1020" w:type="dxa"/>
          </w:tcPr>
          <w:p w:rsidR="00505632" w:rsidRDefault="00505632" w:rsidP="00AD4E52">
            <w:pPr>
              <w:pStyle w:val="CellColumn"/>
              <w:jc w:val="right"/>
            </w:pPr>
            <w:r>
              <w:rPr>
                <w:rFonts w:cs="Times New Roman"/>
              </w:rPr>
              <w:t>40</w:t>
            </w:r>
          </w:p>
        </w:tc>
        <w:tc>
          <w:tcPr>
            <w:tcW w:w="1020" w:type="dxa"/>
          </w:tcPr>
          <w:p w:rsidR="00505632" w:rsidRDefault="00505632" w:rsidP="00AD4E52">
            <w:pPr>
              <w:pStyle w:val="CellColumn"/>
              <w:jc w:val="right"/>
            </w:pPr>
            <w:r>
              <w:rPr>
                <w:rFonts w:cs="Times New Roman"/>
              </w:rPr>
              <w:t>48</w:t>
            </w:r>
          </w:p>
        </w:tc>
      </w:tr>
      <w:tr w:rsidR="00505632" w:rsidTr="00AD4E52">
        <w:trPr>
          <w:jc w:val="center"/>
        </w:trPr>
        <w:tc>
          <w:tcPr>
            <w:tcW w:w="2551" w:type="dxa"/>
          </w:tcPr>
          <w:p w:rsidR="00505632" w:rsidRDefault="00505632" w:rsidP="00AD4E52">
            <w:pPr>
              <w:pStyle w:val="CellColumn"/>
              <w:jc w:val="left"/>
            </w:pPr>
            <w:r>
              <w:rPr>
                <w:rFonts w:cs="Times New Roman"/>
              </w:rPr>
              <w:t>Objavljene upute za provedbu odredbi Zakona</w:t>
            </w:r>
          </w:p>
        </w:tc>
        <w:tc>
          <w:tcPr>
            <w:tcW w:w="2551" w:type="dxa"/>
          </w:tcPr>
          <w:p w:rsidR="00505632" w:rsidRDefault="00505632" w:rsidP="00AD4E52">
            <w:pPr>
              <w:pStyle w:val="CellColumn"/>
              <w:jc w:val="left"/>
            </w:pPr>
            <w:r>
              <w:rPr>
                <w:rFonts w:cs="Times New Roman"/>
              </w:rPr>
              <w:t>Uputama za provedbu pojedinih zakonskih odredbi olakšava se postupanje tijela javne vlasti te tako ostvarivanje prava građana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Izvješće PI o provedbi Zakona</w:t>
            </w:r>
          </w:p>
        </w:tc>
        <w:tc>
          <w:tcPr>
            <w:tcW w:w="1020" w:type="dxa"/>
          </w:tcPr>
          <w:p w:rsidR="00505632" w:rsidRDefault="00505632" w:rsidP="00AD4E52">
            <w:pPr>
              <w:pStyle w:val="CellColumn"/>
              <w:jc w:val="right"/>
            </w:pPr>
            <w:r>
              <w:rPr>
                <w:rFonts w:cs="Times New Roman"/>
              </w:rPr>
              <w:t>4</w:t>
            </w:r>
          </w:p>
        </w:tc>
        <w:tc>
          <w:tcPr>
            <w:tcW w:w="1020" w:type="dxa"/>
          </w:tcPr>
          <w:p w:rsidR="00505632" w:rsidRDefault="00505632" w:rsidP="00AD4E52">
            <w:pPr>
              <w:pStyle w:val="CellColumn"/>
              <w:jc w:val="right"/>
            </w:pPr>
            <w:r>
              <w:rPr>
                <w:rFonts w:cs="Times New Roman"/>
              </w:rPr>
              <w:t>5</w:t>
            </w:r>
          </w:p>
        </w:tc>
      </w:tr>
      <w:tr w:rsidR="00505632" w:rsidTr="00AD4E52">
        <w:trPr>
          <w:jc w:val="center"/>
        </w:trPr>
        <w:tc>
          <w:tcPr>
            <w:tcW w:w="2551" w:type="dxa"/>
          </w:tcPr>
          <w:p w:rsidR="00505632" w:rsidRDefault="00505632" w:rsidP="00AD4E52">
            <w:pPr>
              <w:pStyle w:val="CellColumn"/>
              <w:jc w:val="left"/>
            </w:pPr>
            <w:r>
              <w:rPr>
                <w:rFonts w:cs="Times New Roman"/>
              </w:rPr>
              <w:t>Povećan postotak prikupljenih godišnjih izvješća</w:t>
            </w:r>
          </w:p>
        </w:tc>
        <w:tc>
          <w:tcPr>
            <w:tcW w:w="2551" w:type="dxa"/>
          </w:tcPr>
          <w:p w:rsidR="00505632" w:rsidRDefault="00505632" w:rsidP="00AD4E52">
            <w:pPr>
              <w:pStyle w:val="CellColumn"/>
              <w:jc w:val="left"/>
            </w:pPr>
            <w:r>
              <w:rPr>
                <w:rFonts w:cs="Times New Roman"/>
              </w:rPr>
              <w:t>Povećan udio tijela javne vlasti koja su dostavila izvješće pokazuje jačanje kapaciteta i svijesti o zakonskim obavezama tijela javne vlasti</w:t>
            </w:r>
          </w:p>
        </w:tc>
        <w:tc>
          <w:tcPr>
            <w:tcW w:w="1020" w:type="dxa"/>
          </w:tcPr>
          <w:p w:rsidR="00505632" w:rsidRDefault="00505632" w:rsidP="00AD4E52">
            <w:pPr>
              <w:pStyle w:val="CellColumn"/>
              <w:jc w:val="right"/>
            </w:pPr>
            <w:r>
              <w:rPr>
                <w:rFonts w:cs="Times New Roman"/>
              </w:rPr>
              <w:t>Udio / postotak</w:t>
            </w:r>
          </w:p>
        </w:tc>
        <w:tc>
          <w:tcPr>
            <w:tcW w:w="1020" w:type="dxa"/>
          </w:tcPr>
          <w:p w:rsidR="00505632" w:rsidRDefault="00505632" w:rsidP="00AD4E52">
            <w:pPr>
              <w:pStyle w:val="CellColumn"/>
              <w:jc w:val="right"/>
            </w:pPr>
            <w:r>
              <w:rPr>
                <w:rFonts w:cs="Times New Roman"/>
              </w:rPr>
              <w:t>71%</w:t>
            </w:r>
          </w:p>
        </w:tc>
        <w:tc>
          <w:tcPr>
            <w:tcW w:w="1020" w:type="dxa"/>
          </w:tcPr>
          <w:p w:rsidR="00505632" w:rsidRDefault="00505632" w:rsidP="00AD4E52">
            <w:pPr>
              <w:pStyle w:val="CellColumn"/>
              <w:jc w:val="right"/>
            </w:pPr>
            <w:r>
              <w:rPr>
                <w:rFonts w:cs="Times New Roman"/>
              </w:rPr>
              <w:t>Izvješće PI o provedbi Zakona</w:t>
            </w:r>
          </w:p>
        </w:tc>
        <w:tc>
          <w:tcPr>
            <w:tcW w:w="1020" w:type="dxa"/>
          </w:tcPr>
          <w:p w:rsidR="00505632" w:rsidRDefault="00505632" w:rsidP="00AD4E52">
            <w:pPr>
              <w:pStyle w:val="CellColumn"/>
              <w:jc w:val="right"/>
            </w:pPr>
            <w:r>
              <w:rPr>
                <w:rFonts w:cs="Times New Roman"/>
              </w:rPr>
              <w:t>75%</w:t>
            </w:r>
          </w:p>
        </w:tc>
        <w:tc>
          <w:tcPr>
            <w:tcW w:w="1020" w:type="dxa"/>
          </w:tcPr>
          <w:p w:rsidR="00505632" w:rsidRDefault="00505632" w:rsidP="00AD4E52">
            <w:pPr>
              <w:pStyle w:val="CellColumn"/>
              <w:jc w:val="right"/>
            </w:pPr>
            <w:r>
              <w:rPr>
                <w:rFonts w:cs="Times New Roman"/>
              </w:rPr>
              <w:t>81%</w:t>
            </w:r>
          </w:p>
        </w:tc>
      </w:tr>
      <w:tr w:rsidR="00505632" w:rsidTr="00AD4E52">
        <w:trPr>
          <w:jc w:val="center"/>
        </w:trPr>
        <w:tc>
          <w:tcPr>
            <w:tcW w:w="2551" w:type="dxa"/>
          </w:tcPr>
          <w:p w:rsidR="00505632" w:rsidRDefault="00505632" w:rsidP="00AD4E52">
            <w:pPr>
              <w:pStyle w:val="CellColumn"/>
              <w:jc w:val="left"/>
            </w:pPr>
            <w:r>
              <w:rPr>
                <w:rFonts w:cs="Times New Roman"/>
              </w:rPr>
              <w:t>Broj tijela obuhvaćenih istraživanjem provedenih istraživanja</w:t>
            </w:r>
          </w:p>
        </w:tc>
        <w:tc>
          <w:tcPr>
            <w:tcW w:w="2551" w:type="dxa"/>
          </w:tcPr>
          <w:p w:rsidR="00505632" w:rsidRDefault="00505632" w:rsidP="00AD4E52">
            <w:pPr>
              <w:pStyle w:val="CellColumn"/>
              <w:jc w:val="left"/>
            </w:pPr>
            <w:r>
              <w:rPr>
                <w:rFonts w:cs="Times New Roman"/>
              </w:rPr>
              <w:t>Jačanje kapaciteta PI odražava se povećanom mogućnošću praćenja tijela putem istraživanja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100</w:t>
            </w:r>
          </w:p>
        </w:tc>
        <w:tc>
          <w:tcPr>
            <w:tcW w:w="1020" w:type="dxa"/>
          </w:tcPr>
          <w:p w:rsidR="00505632" w:rsidRDefault="00505632" w:rsidP="00AD4E52">
            <w:pPr>
              <w:pStyle w:val="CellColumn"/>
              <w:jc w:val="right"/>
            </w:pPr>
            <w:r>
              <w:rPr>
                <w:rFonts w:cs="Times New Roman"/>
              </w:rPr>
              <w:t>zvješće PI o provedbi Zakona</w:t>
            </w:r>
          </w:p>
        </w:tc>
        <w:tc>
          <w:tcPr>
            <w:tcW w:w="1020" w:type="dxa"/>
          </w:tcPr>
          <w:p w:rsidR="00505632" w:rsidRDefault="00505632" w:rsidP="00AD4E52">
            <w:pPr>
              <w:pStyle w:val="CellColumn"/>
              <w:jc w:val="right"/>
            </w:pPr>
            <w:r>
              <w:rPr>
                <w:rFonts w:cs="Times New Roman"/>
              </w:rPr>
              <w:t>250</w:t>
            </w:r>
          </w:p>
        </w:tc>
        <w:tc>
          <w:tcPr>
            <w:tcW w:w="1020" w:type="dxa"/>
          </w:tcPr>
          <w:p w:rsidR="00505632" w:rsidRDefault="00505632" w:rsidP="00AD4E52">
            <w:pPr>
              <w:pStyle w:val="CellColumn"/>
              <w:jc w:val="right"/>
            </w:pPr>
            <w:r>
              <w:rPr>
                <w:rFonts w:cs="Times New Roman"/>
              </w:rPr>
              <w:t>1.000</w:t>
            </w:r>
          </w:p>
        </w:tc>
      </w:tr>
    </w:tbl>
    <w:p w:rsidR="00505632" w:rsidRDefault="00505632" w:rsidP="00505632">
      <w:pPr>
        <w:jc w:val="left"/>
      </w:pPr>
    </w:p>
    <w:p w:rsidR="00505632" w:rsidRDefault="00505632" w:rsidP="00505632">
      <w:pPr>
        <w:pStyle w:val="Heading4"/>
      </w:pPr>
      <w:r>
        <w:t>A874006 PROMICANJE PRAVA NA PRISTUP INFORMACIJAMA I PONOVNU UPORABU INFORMACIJA</w:t>
      </w:r>
    </w:p>
    <w:tbl>
      <w:tblPr>
        <w:tblStyle w:val="StilTablice"/>
        <w:tblW w:w="10206" w:type="dxa"/>
        <w:jc w:val="center"/>
        <w:tblLook w:val="04A0" w:firstRow="1" w:lastRow="0" w:firstColumn="1" w:lastColumn="0" w:noHBand="0" w:noVBand="1"/>
      </w:tblPr>
      <w:tblGrid>
        <w:gridCol w:w="1781"/>
        <w:gridCol w:w="1999"/>
        <w:gridCol w:w="1993"/>
        <w:gridCol w:w="1999"/>
        <w:gridCol w:w="1215"/>
        <w:gridCol w:w="1219"/>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A874006-PROMICANJE PRAVA NA PRISTUP INFORMACIJAMA I PONOVNU UPORABU INFORMACIJA</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92.000</w:t>
            </w:r>
          </w:p>
        </w:tc>
        <w:tc>
          <w:tcPr>
            <w:tcW w:w="2041" w:type="dxa"/>
          </w:tcPr>
          <w:p w:rsidR="00505632" w:rsidRDefault="00505632" w:rsidP="00AD4E52">
            <w:pPr>
              <w:pStyle w:val="CellColumn"/>
              <w:jc w:val="right"/>
            </w:pPr>
            <w:r>
              <w:rPr>
                <w:rFonts w:cs="Times New Roman"/>
              </w:rPr>
              <w:t>78.094</w:t>
            </w:r>
          </w:p>
        </w:tc>
        <w:tc>
          <w:tcPr>
            <w:tcW w:w="1224" w:type="dxa"/>
          </w:tcPr>
          <w:p w:rsidR="00505632" w:rsidRDefault="00505632" w:rsidP="00AD4E52">
            <w:pPr>
              <w:pStyle w:val="CellColumn"/>
              <w:jc w:val="right"/>
            </w:pPr>
            <w:r>
              <w:rPr>
                <w:rFonts w:cs="Times New Roman"/>
              </w:rPr>
              <w:t>84,9</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pravu na pristup informacijama, NN 25/13, 85/15, čl. 35/3 </w:t>
      </w:r>
    </w:p>
    <w:p w:rsidR="00505632" w:rsidRDefault="00505632" w:rsidP="00505632">
      <w:r>
        <w:t xml:space="preserve">Akcijski plan Partnerstvo za otvorenu vlast 2014-2016 </w:t>
      </w:r>
    </w:p>
    <w:p w:rsidR="00505632" w:rsidRDefault="00505632" w:rsidP="00505632">
      <w:r>
        <w:t>Akcijski plan uz Strategiju suzbijanja korupcije 2015-2016</w:t>
      </w:r>
    </w:p>
    <w:p w:rsidR="00505632" w:rsidRDefault="00505632" w:rsidP="00505632">
      <w:pPr>
        <w:pStyle w:val="Heading8"/>
        <w:jc w:val="left"/>
      </w:pPr>
      <w:r>
        <w:t>Opis aktivnosti</w:t>
      </w:r>
    </w:p>
    <w:p w:rsidR="00505632" w:rsidRDefault="00505632" w:rsidP="00505632">
      <w:r>
        <w:t xml:space="preserve">Poseban projekt predviđen je u svrhu provedbe aktivnosti promicanja prava na pristup informacija i ponovne uporabe informacija, i to osobito edukacijskih aktivnosti za tijela javne vlasti i promotivnih i edukacijskih aktivnosti za građane, civilno društvo i medije, informiranje javnosti i javna događanja. U okviru projekta financirane su edukacije i promotivne aktivnosti te izrada publikacija i dvomjesečnog biltena (newslettera). Troškovi provedbe uključuju naknadu troškova za službena putovanja u iznosu od 26.897 kn (92.75%; posljednja edukacija je otkazana zbog vremenskih nepogoda u prosincu te nisu utrošena sredstva), najam prostora u iznosu 3.500 kn i troškove reprezentacije na javnim događanjima (konferencije i okrugli stol) u iznosu 7.031 kn, intelektualne usluge (honorare za stručnjake, izradu promidžbenih materijala) u iznosu 26.468,91 kn te ostale usluge i usluge promidžbe i informiranje (grafički i tiskarski poslovi za publikacije). </w:t>
      </w:r>
    </w:p>
    <w:p w:rsidR="00505632" w:rsidRDefault="00505632" w:rsidP="00505632">
      <w:r>
        <w:t xml:space="preserve">Od planiranih 10 edukacija četiri nisu održane, tri zbog nedovoljnog broja prijavljenih (manje od 5), a jedna zbog vremenskih nepogoda. </w:t>
      </w:r>
    </w:p>
    <w:p w:rsidR="00505632" w:rsidRDefault="00505632" w:rsidP="00505632">
      <w:r>
        <w:t>Izrađene su tri publikacije više od planiranih, zbog osiguranih dodatnih sredstava od partnera i iz donacija.</w:t>
      </w:r>
    </w:p>
    <w:p w:rsidR="00505632" w:rsidRDefault="00505632" w:rsidP="00505632"/>
    <w:p w:rsidR="00505632" w:rsidRDefault="00505632" w:rsidP="00505632"/>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Izrada programa usavršavanja za službenike</w:t>
            </w:r>
          </w:p>
        </w:tc>
        <w:tc>
          <w:tcPr>
            <w:tcW w:w="2551" w:type="dxa"/>
          </w:tcPr>
          <w:p w:rsidR="00505632" w:rsidRDefault="00505632" w:rsidP="00AD4E52">
            <w:pPr>
              <w:pStyle w:val="CellColumn"/>
              <w:jc w:val="left"/>
            </w:pPr>
            <w:r>
              <w:rPr>
                <w:rFonts w:cs="Times New Roman"/>
              </w:rPr>
              <w:t>Jačanje kapaciteta tijela javne vlasti ostvaruje se putem edukacije službenika za provedbu Zakona u okviru pomno osmišljenih i provedenih programa</w:t>
            </w:r>
          </w:p>
        </w:tc>
        <w:tc>
          <w:tcPr>
            <w:tcW w:w="1020" w:type="dxa"/>
          </w:tcPr>
          <w:p w:rsidR="00505632" w:rsidRDefault="00505632" w:rsidP="00AD4E52">
            <w:pPr>
              <w:pStyle w:val="CellColumn"/>
              <w:jc w:val="right"/>
            </w:pPr>
            <w:r>
              <w:rPr>
                <w:rFonts w:cs="Times New Roman"/>
              </w:rPr>
              <w:t>broj edukacija</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Izvješće PI o provedbi Zakona</w:t>
            </w:r>
          </w:p>
        </w:tc>
        <w:tc>
          <w:tcPr>
            <w:tcW w:w="1020" w:type="dxa"/>
          </w:tcPr>
          <w:p w:rsidR="00505632" w:rsidRDefault="00505632" w:rsidP="00AD4E52">
            <w:pPr>
              <w:pStyle w:val="CellColumn"/>
              <w:jc w:val="right"/>
            </w:pPr>
            <w:r>
              <w:rPr>
                <w:rFonts w:cs="Times New Roman"/>
              </w:rPr>
              <w:t>20</w:t>
            </w:r>
          </w:p>
        </w:tc>
        <w:tc>
          <w:tcPr>
            <w:tcW w:w="1020" w:type="dxa"/>
          </w:tcPr>
          <w:p w:rsidR="00505632" w:rsidRDefault="00505632" w:rsidP="00AD4E52">
            <w:pPr>
              <w:pStyle w:val="CellColumn"/>
              <w:jc w:val="right"/>
            </w:pPr>
            <w:r>
              <w:rPr>
                <w:rFonts w:cs="Times New Roman"/>
              </w:rPr>
              <w:t>32</w:t>
            </w:r>
          </w:p>
        </w:tc>
      </w:tr>
      <w:tr w:rsidR="00505632" w:rsidTr="00AD4E52">
        <w:trPr>
          <w:jc w:val="center"/>
        </w:trPr>
        <w:tc>
          <w:tcPr>
            <w:tcW w:w="2551" w:type="dxa"/>
          </w:tcPr>
          <w:p w:rsidR="00505632" w:rsidRDefault="00505632" w:rsidP="00AD4E52">
            <w:pPr>
              <w:pStyle w:val="CellColumn"/>
              <w:jc w:val="left"/>
            </w:pPr>
            <w:r>
              <w:rPr>
                <w:rFonts w:cs="Times New Roman"/>
              </w:rPr>
              <w:t>Održavanje edukativnih  radionica za građane, civilno društvo i medije</w:t>
            </w:r>
          </w:p>
        </w:tc>
        <w:tc>
          <w:tcPr>
            <w:tcW w:w="2551" w:type="dxa"/>
          </w:tcPr>
          <w:p w:rsidR="00505632" w:rsidRDefault="00505632" w:rsidP="00AD4E52">
            <w:pPr>
              <w:pStyle w:val="CellColumn"/>
              <w:jc w:val="left"/>
            </w:pPr>
            <w:r>
              <w:rPr>
                <w:rFonts w:cs="Times New Roman"/>
              </w:rPr>
              <w:t>Jačanje svijesti o pravu na pristup informacijama odvija se putem edukativnih programa na kojima se građani, udruge i mediji educiraju o ostvarivanju njihovih prava</w:t>
            </w:r>
          </w:p>
        </w:tc>
        <w:tc>
          <w:tcPr>
            <w:tcW w:w="1020" w:type="dxa"/>
          </w:tcPr>
          <w:p w:rsidR="00505632" w:rsidRDefault="00505632" w:rsidP="00AD4E52">
            <w:pPr>
              <w:pStyle w:val="CellColumn"/>
              <w:jc w:val="right"/>
            </w:pPr>
            <w:r>
              <w:rPr>
                <w:rFonts w:cs="Times New Roman"/>
              </w:rPr>
              <w:t>Broj edukacija</w:t>
            </w:r>
          </w:p>
        </w:tc>
        <w:tc>
          <w:tcPr>
            <w:tcW w:w="1020" w:type="dxa"/>
          </w:tcPr>
          <w:p w:rsidR="00505632" w:rsidRDefault="00505632" w:rsidP="00AD4E52">
            <w:pPr>
              <w:pStyle w:val="CellColumn"/>
              <w:jc w:val="right"/>
            </w:pPr>
            <w:r>
              <w:rPr>
                <w:rFonts w:cs="Times New Roman"/>
              </w:rPr>
              <w:t>5</w:t>
            </w:r>
          </w:p>
        </w:tc>
        <w:tc>
          <w:tcPr>
            <w:tcW w:w="1020" w:type="dxa"/>
          </w:tcPr>
          <w:p w:rsidR="00505632" w:rsidRDefault="00505632" w:rsidP="00AD4E52">
            <w:pPr>
              <w:pStyle w:val="CellColumn"/>
              <w:jc w:val="right"/>
            </w:pPr>
            <w:r>
              <w:rPr>
                <w:rFonts w:cs="Times New Roman"/>
              </w:rPr>
              <w:t>Izvješće PI o provedbi Zakona</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6</w:t>
            </w:r>
          </w:p>
        </w:tc>
      </w:tr>
      <w:tr w:rsidR="00505632" w:rsidTr="00AD4E52">
        <w:trPr>
          <w:jc w:val="center"/>
        </w:trPr>
        <w:tc>
          <w:tcPr>
            <w:tcW w:w="2551" w:type="dxa"/>
          </w:tcPr>
          <w:p w:rsidR="00505632" w:rsidRDefault="00505632" w:rsidP="00AD4E52">
            <w:pPr>
              <w:pStyle w:val="CellColumn"/>
              <w:jc w:val="left"/>
            </w:pPr>
            <w:r>
              <w:rPr>
                <w:rFonts w:cs="Times New Roman"/>
              </w:rPr>
              <w:t>Izrada i objava publikacija</w:t>
            </w:r>
          </w:p>
        </w:tc>
        <w:tc>
          <w:tcPr>
            <w:tcW w:w="2551" w:type="dxa"/>
          </w:tcPr>
          <w:p w:rsidR="00505632" w:rsidRDefault="00505632" w:rsidP="00AD4E52">
            <w:pPr>
              <w:pStyle w:val="CellColumn"/>
              <w:jc w:val="left"/>
            </w:pPr>
            <w:r>
              <w:rPr>
                <w:rFonts w:cs="Times New Roman"/>
              </w:rPr>
              <w:t>Jačanje kapaciteta za provedbu Zakona ostvaruje se educiranjem tijela javne vlasti i korisnika putem priručnika, letaka, smjernica i drugih publikacija</w:t>
            </w:r>
          </w:p>
        </w:tc>
        <w:tc>
          <w:tcPr>
            <w:tcW w:w="1020" w:type="dxa"/>
          </w:tcPr>
          <w:p w:rsidR="00505632" w:rsidRDefault="00505632" w:rsidP="00AD4E52">
            <w:pPr>
              <w:pStyle w:val="CellColumn"/>
              <w:jc w:val="right"/>
            </w:pPr>
            <w:r>
              <w:rPr>
                <w:rFonts w:cs="Times New Roman"/>
              </w:rPr>
              <w:t>Broj publikacija</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Izvješće PI o provedbi Zakona</w:t>
            </w:r>
          </w:p>
        </w:tc>
        <w:tc>
          <w:tcPr>
            <w:tcW w:w="1020" w:type="dxa"/>
          </w:tcPr>
          <w:p w:rsidR="00505632" w:rsidRDefault="00505632" w:rsidP="00AD4E52">
            <w:pPr>
              <w:pStyle w:val="CellColumn"/>
              <w:jc w:val="right"/>
            </w:pPr>
            <w:r>
              <w:rPr>
                <w:rFonts w:cs="Times New Roman"/>
              </w:rPr>
              <w:t>2</w:t>
            </w:r>
          </w:p>
        </w:tc>
        <w:tc>
          <w:tcPr>
            <w:tcW w:w="1020" w:type="dxa"/>
          </w:tcPr>
          <w:p w:rsidR="00505632" w:rsidRDefault="00505632" w:rsidP="00AD4E52">
            <w:pPr>
              <w:pStyle w:val="CellColumn"/>
              <w:jc w:val="right"/>
            </w:pPr>
            <w:r>
              <w:rPr>
                <w:rFonts w:cs="Times New Roman"/>
              </w:rPr>
              <w:t>5</w:t>
            </w:r>
          </w:p>
        </w:tc>
      </w:tr>
    </w:tbl>
    <w:p w:rsidR="00505632" w:rsidRDefault="00505632" w:rsidP="00505632">
      <w:pPr>
        <w:jc w:val="left"/>
      </w:pPr>
    </w:p>
    <w:p w:rsidR="00505632" w:rsidRDefault="00505632" w:rsidP="00505632">
      <w:pPr>
        <w:pStyle w:val="Heading4"/>
      </w:pPr>
      <w:r>
        <w:t>A874007 OP PROJEKT JAČANJE KAPACITETA TIJELA VLASTI, UDRUGA I MEDIJA ZA PROVEDBU ZAKONA O PRAVU NA PRISTUP INFORMACIJA /ESF</w:t>
      </w:r>
    </w:p>
    <w:tbl>
      <w:tblPr>
        <w:tblStyle w:val="StilTablice"/>
        <w:tblW w:w="10206" w:type="dxa"/>
        <w:jc w:val="center"/>
        <w:tblLook w:val="04A0" w:firstRow="1" w:lastRow="0" w:firstColumn="1" w:lastColumn="0" w:noHBand="0" w:noVBand="1"/>
      </w:tblPr>
      <w:tblGrid>
        <w:gridCol w:w="1632"/>
        <w:gridCol w:w="2042"/>
        <w:gridCol w:w="2042"/>
        <w:gridCol w:w="2042"/>
        <w:gridCol w:w="1224"/>
        <w:gridCol w:w="1224"/>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A874007-OP PROJEKT JAČANJE KAPACITETA TIJELA VLASTI, UDRUGA I MEDIJA ZA PROVEDBU ZAKONA O PRAVU NA PRISTUP INFORMACIJA /ESF</w:t>
            </w:r>
          </w:p>
        </w:tc>
        <w:tc>
          <w:tcPr>
            <w:tcW w:w="2041" w:type="dxa"/>
          </w:tcPr>
          <w:p w:rsidR="00505632" w:rsidRDefault="00505632" w:rsidP="00AD4E52">
            <w:pPr>
              <w:pStyle w:val="CellColumn"/>
              <w:jc w:val="right"/>
            </w:pPr>
            <w:r>
              <w:rPr>
                <w:rFonts w:cs="Times New Roman"/>
              </w:rPr>
              <w:t>00</w:t>
            </w:r>
          </w:p>
        </w:tc>
        <w:tc>
          <w:tcPr>
            <w:tcW w:w="2041" w:type="dxa"/>
          </w:tcPr>
          <w:p w:rsidR="00505632" w:rsidRDefault="00505632" w:rsidP="00AD4E52">
            <w:pPr>
              <w:pStyle w:val="CellColumn"/>
              <w:jc w:val="right"/>
            </w:pPr>
            <w:r>
              <w:rPr>
                <w:rFonts w:cs="Times New Roman"/>
              </w:rPr>
              <w:t>119.000</w:t>
            </w:r>
          </w:p>
        </w:tc>
        <w:tc>
          <w:tcPr>
            <w:tcW w:w="2041"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c>
          <w:tcPr>
            <w:tcW w:w="1224" w:type="dxa"/>
          </w:tcPr>
          <w:p w:rsidR="00505632" w:rsidRDefault="00505632" w:rsidP="00AD4E52">
            <w:pPr>
              <w:pStyle w:val="CellColumn"/>
              <w:jc w:val="right"/>
            </w:pPr>
            <w:r>
              <w:rPr>
                <w:rFonts w:cs="Times New Roman"/>
              </w:rPr>
              <w:t>0,0</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 xml:space="preserve">Zakon o pravu na pristup informacijama, NN 25/13, 85/15, čl. 35/3 </w:t>
      </w:r>
    </w:p>
    <w:p w:rsidR="00505632" w:rsidRDefault="00505632" w:rsidP="00505632">
      <w:r>
        <w:t xml:space="preserve">Akcijski plan Partnerstvo za otvorenu vlast 2014-2016 </w:t>
      </w:r>
    </w:p>
    <w:p w:rsidR="00505632" w:rsidRDefault="00505632" w:rsidP="00505632">
      <w:r>
        <w:t>Akcijski plan uz Strategiju suzbijanja korupcije 2015-2016</w:t>
      </w:r>
    </w:p>
    <w:p w:rsidR="00505632" w:rsidRDefault="00505632" w:rsidP="00505632">
      <w:pPr>
        <w:pStyle w:val="Heading8"/>
        <w:jc w:val="left"/>
      </w:pPr>
      <w:r>
        <w:t>Opis aktivnosti</w:t>
      </w:r>
    </w:p>
    <w:p w:rsidR="00505632" w:rsidRDefault="00505632" w:rsidP="00505632">
      <w:r>
        <w:t xml:space="preserve">U 2016. godini Povjerenik za informiranje planirao je  u okviru Europskog socijalnog fonda (ESF) „Jačanje institucionalnih kapaciteta i učinkovitosti javne uprave“ provesti projekt  Jačanje kapaciteta tijela javne vlasti, udruga i medija za provedbu zakona o pravu na pristup informacijama koji bi kroz 24 mjeseca provedbe aktivnosti doveo do jačanja kapaciteta tijela javne vlasti (službenika za informiranje i drugih) za provedbu Zakona, osobito kroz edukaciju i usavršavanje, te jačanja kapaciteta i javne svijesti građana, udruga i medija o pravu na pristup i ponovnu uporabu informacija. Aktivnosti u projektu obuhvaćat će prvenstveno programe edukacije i usavršavanja te podizanja svijesti i informiranja javnosti putem osmišljavanja i izrade programa edukacije i usavršavanja, programa za trening trenera, izradu edukativnih materijala te jačanja informiranja putem newslettera, publikacija i poboljšanja Internet stranice. Ukupna vrijednost projekta u 24 mjeseca (za razdoblje III. kvartal 2016. do II. kvartal 2018.) planirana je u iznosu 600.000,00 kn, od čega je predviđeno nacionalno sufinanciranje ukupno 90.000,00 kn, a financiranje iz fonda EU (561) 510.000,00 kn. </w:t>
      </w:r>
    </w:p>
    <w:p w:rsidR="00505632" w:rsidRDefault="00505632" w:rsidP="00505632">
      <w:r>
        <w:t>Do realizacije projekta nije došlo isključivo iz vanjskih razloga, odnosno iz razloga nedobivanja odobrenja Europske komisije na Akcijski plan za provedbu Strategije reforme javne uprave 2015-2020, a što je u ingerenciji Vlade RH odnosno Ministarstva uprave. Ex ante uvjet ispunjen je tek u prosincu 2016. Tijekom 2016. Povjerenik za informiranje radio je s nacionalnim tijelom (MRRFEU) na pripremi dokumentacije.</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Jačanje kapaciteta tijela javne vlasti izradom online programa edukacije za  službenike</w:t>
            </w:r>
          </w:p>
        </w:tc>
        <w:tc>
          <w:tcPr>
            <w:tcW w:w="2551" w:type="dxa"/>
          </w:tcPr>
          <w:p w:rsidR="00505632" w:rsidRDefault="00505632" w:rsidP="00AD4E52">
            <w:pPr>
              <w:pStyle w:val="CellColumn"/>
              <w:jc w:val="left"/>
            </w:pPr>
            <w:r>
              <w:rPr>
                <w:rFonts w:cs="Times New Roman"/>
              </w:rPr>
              <w:t>Jačanje kapaciteta tijela javne vlasti ostvaruje se putem edukacije službenika za provedbu Zakona u okviru pomno osmišljenih i provedenih programa koji se radi  olakšane implementacije i nižih troškova  osmišljavaju i provode onl</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Izvješće PI o provedbi Zakona, projektno izvješće PI</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Jačanje svijesti održavanjem edukativnih  radionica za građane, civilno društvo i medije</w:t>
            </w:r>
          </w:p>
        </w:tc>
        <w:tc>
          <w:tcPr>
            <w:tcW w:w="2551" w:type="dxa"/>
          </w:tcPr>
          <w:p w:rsidR="00505632" w:rsidRDefault="00505632" w:rsidP="00AD4E52">
            <w:pPr>
              <w:pStyle w:val="CellColumn"/>
              <w:jc w:val="left"/>
            </w:pPr>
            <w:r>
              <w:rPr>
                <w:rFonts w:cs="Times New Roman"/>
              </w:rPr>
              <w:t>Jačanje svijesti o pravu na pristup informacijama odvija se putem edukativnih programa na kojima se građani, udruge i mediji educiraju o ostvarivanju njihovih prava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Izvješće PI o provedbi Zakona, projektno izvješće PI</w:t>
            </w:r>
          </w:p>
        </w:tc>
        <w:tc>
          <w:tcPr>
            <w:tcW w:w="1020" w:type="dxa"/>
          </w:tcPr>
          <w:p w:rsidR="00505632" w:rsidRDefault="00505632" w:rsidP="00AD4E52">
            <w:pPr>
              <w:pStyle w:val="CellColumn"/>
              <w:jc w:val="right"/>
            </w:pPr>
            <w:r>
              <w:rPr>
                <w:rFonts w:cs="Times New Roman"/>
              </w:rPr>
              <w:t>10</w:t>
            </w:r>
          </w:p>
        </w:tc>
        <w:tc>
          <w:tcPr>
            <w:tcW w:w="1020" w:type="dxa"/>
          </w:tcPr>
          <w:p w:rsidR="00505632" w:rsidRDefault="00505632" w:rsidP="00AD4E52">
            <w:pPr>
              <w:pStyle w:val="CellColumn"/>
              <w:jc w:val="right"/>
            </w:pPr>
            <w:r>
              <w:rPr>
                <w:rFonts w:cs="Times New Roman"/>
              </w:rPr>
              <w:t>0</w:t>
            </w:r>
          </w:p>
        </w:tc>
      </w:tr>
      <w:tr w:rsidR="00505632" w:rsidTr="00AD4E52">
        <w:trPr>
          <w:jc w:val="center"/>
        </w:trPr>
        <w:tc>
          <w:tcPr>
            <w:tcW w:w="2551" w:type="dxa"/>
          </w:tcPr>
          <w:p w:rsidR="00505632" w:rsidRDefault="00505632" w:rsidP="00AD4E52">
            <w:pPr>
              <w:pStyle w:val="CellColumn"/>
              <w:jc w:val="left"/>
            </w:pPr>
            <w:r>
              <w:rPr>
                <w:rFonts w:cs="Times New Roman"/>
              </w:rPr>
              <w:t>Jačanje kapaciteta održavanjem programa za trening trenera</w:t>
            </w:r>
          </w:p>
        </w:tc>
        <w:tc>
          <w:tcPr>
            <w:tcW w:w="2551" w:type="dxa"/>
          </w:tcPr>
          <w:p w:rsidR="00505632" w:rsidRDefault="00505632" w:rsidP="00AD4E52">
            <w:pPr>
              <w:pStyle w:val="CellColumn"/>
              <w:jc w:val="left"/>
            </w:pPr>
            <w:r>
              <w:rPr>
                <w:rFonts w:cs="Times New Roman"/>
              </w:rPr>
              <w:t>Jačanje kapaciteta za provedbu Zakona ostvaruje se jačanjem kapaciteta za provedbu programa, putem educiranja trenera koji će provoditi edukacije na čitavom teritoriju RH</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Izvješće PI o provedbi Zakona, projektno izvješće PI</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0</w:t>
            </w:r>
          </w:p>
        </w:tc>
      </w:tr>
    </w:tbl>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jc w:val="left"/>
      </w:pPr>
    </w:p>
    <w:p w:rsidR="00505632" w:rsidRDefault="00505632" w:rsidP="00505632">
      <w:pPr>
        <w:pStyle w:val="Heading4"/>
      </w:pPr>
      <w:r>
        <w:t>K874004 INFORMATIZACIJA</w:t>
      </w:r>
    </w:p>
    <w:tbl>
      <w:tblPr>
        <w:tblStyle w:val="StilTablice"/>
        <w:tblW w:w="10206" w:type="dxa"/>
        <w:jc w:val="center"/>
        <w:tblLook w:val="04A0" w:firstRow="1" w:lastRow="0" w:firstColumn="1" w:lastColumn="0" w:noHBand="0" w:noVBand="1"/>
      </w:tblPr>
      <w:tblGrid>
        <w:gridCol w:w="1915"/>
        <w:gridCol w:w="1959"/>
        <w:gridCol w:w="1954"/>
        <w:gridCol w:w="1959"/>
        <w:gridCol w:w="1206"/>
        <w:gridCol w:w="1213"/>
      </w:tblGrid>
      <w:tr w:rsidR="00505632" w:rsidTr="00AD4E52">
        <w:trPr>
          <w:jc w:val="center"/>
        </w:trPr>
        <w:tc>
          <w:tcPr>
            <w:tcW w:w="1632" w:type="dxa"/>
            <w:shd w:val="clear" w:color="auto" w:fill="B5C0D8"/>
          </w:tcPr>
          <w:p w:rsidR="00505632" w:rsidRDefault="00505632" w:rsidP="00AD4E52">
            <w:pPr>
              <w:pStyle w:val="CellHeader"/>
              <w:jc w:val="center"/>
            </w:pPr>
            <w:r>
              <w:rPr>
                <w:rFonts w:cs="Times New Roman"/>
              </w:rPr>
              <w:t>Naziv aktivnosti</w:t>
            </w:r>
          </w:p>
        </w:tc>
        <w:tc>
          <w:tcPr>
            <w:tcW w:w="2041" w:type="dxa"/>
            <w:shd w:val="clear" w:color="auto" w:fill="B5C0D8"/>
          </w:tcPr>
          <w:p w:rsidR="00505632" w:rsidRDefault="00505632" w:rsidP="00AD4E52">
            <w:pPr>
              <w:pStyle w:val="CellHeader"/>
              <w:jc w:val="center"/>
            </w:pPr>
            <w:r>
              <w:rPr>
                <w:rFonts w:cs="Times New Roman"/>
              </w:rPr>
              <w:t>Izvršenje 2015. (kn)</w:t>
            </w:r>
          </w:p>
        </w:tc>
        <w:tc>
          <w:tcPr>
            <w:tcW w:w="2041" w:type="dxa"/>
            <w:shd w:val="clear" w:color="auto" w:fill="B5C0D8"/>
          </w:tcPr>
          <w:p w:rsidR="00505632" w:rsidRDefault="00505632" w:rsidP="00AD4E52">
            <w:pPr>
              <w:pStyle w:val="CellHeader"/>
              <w:jc w:val="center"/>
            </w:pPr>
            <w:r>
              <w:rPr>
                <w:rFonts w:cs="Times New Roman"/>
              </w:rPr>
              <w:t>Plan 2016. (kn)</w:t>
            </w:r>
          </w:p>
        </w:tc>
        <w:tc>
          <w:tcPr>
            <w:tcW w:w="2041" w:type="dxa"/>
            <w:shd w:val="clear" w:color="auto" w:fill="B5C0D8"/>
          </w:tcPr>
          <w:p w:rsidR="00505632" w:rsidRDefault="00505632" w:rsidP="00AD4E52">
            <w:pPr>
              <w:pStyle w:val="CellHeader"/>
              <w:jc w:val="center"/>
            </w:pPr>
            <w:r>
              <w:rPr>
                <w:rFonts w:cs="Times New Roman"/>
              </w:rPr>
              <w:t>Izvršenje 2016. (kn)</w:t>
            </w:r>
          </w:p>
        </w:tc>
        <w:tc>
          <w:tcPr>
            <w:tcW w:w="1224" w:type="dxa"/>
            <w:shd w:val="clear" w:color="auto" w:fill="B5C0D8"/>
          </w:tcPr>
          <w:p w:rsidR="00505632" w:rsidRDefault="00505632" w:rsidP="00AD4E52">
            <w:pPr>
              <w:pStyle w:val="CellHeader"/>
              <w:jc w:val="center"/>
            </w:pPr>
            <w:r>
              <w:rPr>
                <w:rFonts w:cs="Times New Roman"/>
              </w:rPr>
              <w:t>Indeks izvršenje 2016./plan 2016.</w:t>
            </w:r>
          </w:p>
        </w:tc>
        <w:tc>
          <w:tcPr>
            <w:tcW w:w="1224" w:type="dxa"/>
            <w:shd w:val="clear" w:color="auto" w:fill="B5C0D8"/>
          </w:tcPr>
          <w:p w:rsidR="00505632" w:rsidRDefault="00505632" w:rsidP="00AD4E52">
            <w:pPr>
              <w:pStyle w:val="CellHeader"/>
              <w:jc w:val="center"/>
            </w:pPr>
            <w:r>
              <w:rPr>
                <w:rFonts w:cs="Times New Roman"/>
              </w:rPr>
              <w:t>Indeks izvršenje 2016./2015.</w:t>
            </w:r>
          </w:p>
        </w:tc>
      </w:tr>
      <w:tr w:rsidR="00505632" w:rsidTr="00AD4E52">
        <w:trPr>
          <w:jc w:val="center"/>
        </w:trPr>
        <w:tc>
          <w:tcPr>
            <w:tcW w:w="1632" w:type="dxa"/>
          </w:tcPr>
          <w:p w:rsidR="00505632" w:rsidRDefault="00505632" w:rsidP="00AD4E52">
            <w:pPr>
              <w:pStyle w:val="CellColumn"/>
              <w:jc w:val="left"/>
            </w:pPr>
            <w:r>
              <w:rPr>
                <w:rFonts w:cs="Times New Roman"/>
              </w:rPr>
              <w:t>K874004-INFORMATIZACIJA</w:t>
            </w:r>
          </w:p>
        </w:tc>
        <w:tc>
          <w:tcPr>
            <w:tcW w:w="2041" w:type="dxa"/>
          </w:tcPr>
          <w:p w:rsidR="00505632" w:rsidRDefault="00505632" w:rsidP="00AD4E52">
            <w:pPr>
              <w:pStyle w:val="CellColumn"/>
              <w:jc w:val="right"/>
            </w:pPr>
            <w:r>
              <w:rPr>
                <w:rFonts w:cs="Times New Roman"/>
              </w:rPr>
              <w:t>82.903</w:t>
            </w:r>
          </w:p>
        </w:tc>
        <w:tc>
          <w:tcPr>
            <w:tcW w:w="2041" w:type="dxa"/>
          </w:tcPr>
          <w:p w:rsidR="00505632" w:rsidRDefault="00505632" w:rsidP="00AD4E52">
            <w:pPr>
              <w:pStyle w:val="CellColumn"/>
              <w:jc w:val="right"/>
            </w:pPr>
            <w:r>
              <w:rPr>
                <w:rFonts w:cs="Times New Roman"/>
              </w:rPr>
              <w:t>100.000</w:t>
            </w:r>
          </w:p>
        </w:tc>
        <w:tc>
          <w:tcPr>
            <w:tcW w:w="2041" w:type="dxa"/>
          </w:tcPr>
          <w:p w:rsidR="00505632" w:rsidRDefault="00505632" w:rsidP="00AD4E52">
            <w:pPr>
              <w:pStyle w:val="CellColumn"/>
              <w:jc w:val="right"/>
            </w:pPr>
            <w:r>
              <w:rPr>
                <w:rFonts w:cs="Times New Roman"/>
              </w:rPr>
              <w:t>95.950</w:t>
            </w:r>
          </w:p>
        </w:tc>
        <w:tc>
          <w:tcPr>
            <w:tcW w:w="1224" w:type="dxa"/>
          </w:tcPr>
          <w:p w:rsidR="00505632" w:rsidRDefault="00505632" w:rsidP="00AD4E52">
            <w:pPr>
              <w:pStyle w:val="CellColumn"/>
              <w:jc w:val="right"/>
            </w:pPr>
            <w:r>
              <w:rPr>
                <w:rFonts w:cs="Times New Roman"/>
              </w:rPr>
              <w:t>95,9</w:t>
            </w:r>
          </w:p>
        </w:tc>
        <w:tc>
          <w:tcPr>
            <w:tcW w:w="1224" w:type="dxa"/>
          </w:tcPr>
          <w:p w:rsidR="00505632" w:rsidRDefault="00505632" w:rsidP="00AD4E52">
            <w:pPr>
              <w:pStyle w:val="CellColumn"/>
              <w:jc w:val="right"/>
            </w:pPr>
            <w:r>
              <w:rPr>
                <w:rFonts w:cs="Times New Roman"/>
              </w:rPr>
              <w:t>115,7</w:t>
            </w:r>
          </w:p>
        </w:tc>
      </w:tr>
    </w:tbl>
    <w:p w:rsidR="00505632" w:rsidRDefault="00505632" w:rsidP="00505632">
      <w:pPr>
        <w:jc w:val="left"/>
      </w:pPr>
    </w:p>
    <w:p w:rsidR="00505632" w:rsidRDefault="00505632" w:rsidP="00505632">
      <w:pPr>
        <w:pStyle w:val="Heading8"/>
        <w:jc w:val="left"/>
      </w:pPr>
      <w:r>
        <w:t>Zakonske i druge pravne osnove</w:t>
      </w:r>
    </w:p>
    <w:p w:rsidR="00505632" w:rsidRDefault="00505632" w:rsidP="00505632">
      <w:r>
        <w:t>Zakon o pravu na pristup informacijama NN 25/13, 85/15</w:t>
      </w:r>
    </w:p>
    <w:p w:rsidR="00505632" w:rsidRDefault="00505632" w:rsidP="00505632">
      <w:pPr>
        <w:pStyle w:val="Heading8"/>
        <w:jc w:val="left"/>
      </w:pPr>
      <w:r>
        <w:t>Opis aktivnosti</w:t>
      </w:r>
    </w:p>
    <w:p w:rsidR="00505632" w:rsidRDefault="00505632" w:rsidP="00505632">
      <w:r>
        <w:t xml:space="preserve">Sredstva za informatizaciju planirana su u iznosu od 100.00,00 kn, a ostvareno je 95.949,51 kn ili 95,95%, što je za oko 10% više nego u 2015. kada je potrošeno 82.903,49.  Najveći dio sredstava potrošen je na nabavu licenci za osnovnu informatičke funkcije (windows, office)  te korištenje računovodstvenih programa (43.594 kn ili 96,88%), nabavu informatičke i uredske opreme 30.137,88 ili 94.18% za novozaposlene službenike, nabavu ormara za arhiv te zamjenu dotrajale opreme;  te ulaganje u računalne programe od 19.025 kn ili 95,13% zbog izrade aplikacija odnosno nabave programa za pisarnicu odnosno nadogradnje programa za prikupljanje godišnjeg izvješća i registra tijela javne vlasti. </w:t>
      </w:r>
    </w:p>
    <w:p w:rsidR="00505632" w:rsidRDefault="00505632" w:rsidP="00505632">
      <w:r>
        <w:t xml:space="preserve">Aplikacija Popis tijela javne vlasti redovito se ažurira (5.873 tijela)  te  od početka 2016. sadrži internu podaplikaciju za dostavu godišnjih izvješća (81% tijela je dostavilo izvješće).  </w:t>
      </w:r>
    </w:p>
    <w:p w:rsidR="00505632" w:rsidRDefault="00505632" w:rsidP="00505632">
      <w:r>
        <w:t>Evidencija isključivih prava nije izrađena u obliku aplikacije, te je za sada u bazičnoj verziji (excel) objavljena na internetskoj stranici, s obzirom da  nema dostavljenih ugovora o isključivim pravima.</w:t>
      </w:r>
    </w:p>
    <w:p w:rsidR="00505632" w:rsidRDefault="00505632" w:rsidP="00505632">
      <w:pPr>
        <w:pStyle w:val="Heading8"/>
        <w:jc w:val="left"/>
      </w:pPr>
      <w:r>
        <w:t>Pokazatelji rezultata</w:t>
      </w:r>
    </w:p>
    <w:tbl>
      <w:tblPr>
        <w:tblStyle w:val="StilTablice"/>
        <w:tblW w:w="10206" w:type="dxa"/>
        <w:jc w:val="center"/>
        <w:tblLook w:val="04A0" w:firstRow="1" w:lastRow="0" w:firstColumn="1" w:lastColumn="0" w:noHBand="0" w:noVBand="1"/>
      </w:tblPr>
      <w:tblGrid>
        <w:gridCol w:w="2553"/>
        <w:gridCol w:w="2553"/>
        <w:gridCol w:w="1020"/>
        <w:gridCol w:w="1020"/>
        <w:gridCol w:w="1020"/>
        <w:gridCol w:w="1020"/>
        <w:gridCol w:w="1020"/>
      </w:tblGrid>
      <w:tr w:rsidR="00505632" w:rsidTr="00AD4E52">
        <w:trPr>
          <w:jc w:val="center"/>
        </w:trPr>
        <w:tc>
          <w:tcPr>
            <w:tcW w:w="2551" w:type="dxa"/>
            <w:shd w:val="clear" w:color="auto" w:fill="B5C0D8"/>
          </w:tcPr>
          <w:p w:rsidR="00505632" w:rsidRDefault="00505632" w:rsidP="00AD4E52">
            <w:pPr>
              <w:jc w:val="center"/>
            </w:pPr>
            <w:r>
              <w:t>Pokazatelj rezultata</w:t>
            </w:r>
          </w:p>
        </w:tc>
        <w:tc>
          <w:tcPr>
            <w:tcW w:w="2551" w:type="dxa"/>
            <w:shd w:val="clear" w:color="auto" w:fill="B5C0D8"/>
          </w:tcPr>
          <w:p w:rsidR="00505632" w:rsidRDefault="00505632" w:rsidP="00AD4E52">
            <w:pPr>
              <w:pStyle w:val="CellHeader"/>
              <w:jc w:val="center"/>
            </w:pPr>
            <w:r>
              <w:rPr>
                <w:rFonts w:cs="Times New Roman"/>
              </w:rPr>
              <w:t>Definicija</w:t>
            </w:r>
          </w:p>
        </w:tc>
        <w:tc>
          <w:tcPr>
            <w:tcW w:w="1020" w:type="dxa"/>
            <w:shd w:val="clear" w:color="auto" w:fill="B5C0D8"/>
          </w:tcPr>
          <w:p w:rsidR="00505632" w:rsidRDefault="00505632" w:rsidP="00AD4E52">
            <w:pPr>
              <w:pStyle w:val="CellHeader"/>
              <w:jc w:val="center"/>
            </w:pPr>
            <w:r>
              <w:rPr>
                <w:rFonts w:cs="Times New Roman"/>
              </w:rPr>
              <w:t>Jedinica</w:t>
            </w:r>
          </w:p>
        </w:tc>
        <w:tc>
          <w:tcPr>
            <w:tcW w:w="1020" w:type="dxa"/>
            <w:shd w:val="clear" w:color="auto" w:fill="B5C0D8"/>
          </w:tcPr>
          <w:p w:rsidR="00505632" w:rsidRDefault="00505632" w:rsidP="00AD4E52">
            <w:pPr>
              <w:pStyle w:val="CellHeader"/>
              <w:jc w:val="center"/>
            </w:pPr>
            <w:r>
              <w:rPr>
                <w:rFonts w:cs="Times New Roman"/>
              </w:rPr>
              <w:t>Polazna vrijednost</w:t>
            </w:r>
          </w:p>
        </w:tc>
        <w:tc>
          <w:tcPr>
            <w:tcW w:w="1020" w:type="dxa"/>
            <w:shd w:val="clear" w:color="auto" w:fill="B5C0D8"/>
          </w:tcPr>
          <w:p w:rsidR="00505632" w:rsidRDefault="00505632" w:rsidP="00AD4E52">
            <w:pPr>
              <w:pStyle w:val="CellHeader"/>
              <w:jc w:val="center"/>
            </w:pPr>
            <w:r>
              <w:rPr>
                <w:rFonts w:cs="Times New Roman"/>
              </w:rPr>
              <w:t>Izvor podataka</w:t>
            </w:r>
          </w:p>
        </w:tc>
        <w:tc>
          <w:tcPr>
            <w:tcW w:w="1020" w:type="dxa"/>
            <w:shd w:val="clear" w:color="auto" w:fill="B5C0D8"/>
          </w:tcPr>
          <w:p w:rsidR="00505632" w:rsidRDefault="00505632" w:rsidP="00AD4E52">
            <w:pPr>
              <w:pStyle w:val="CellHeader"/>
              <w:jc w:val="center"/>
            </w:pPr>
            <w:r>
              <w:rPr>
                <w:rFonts w:cs="Times New Roman"/>
              </w:rPr>
              <w:t>Ciljana vrijednost (2016.)</w:t>
            </w:r>
          </w:p>
        </w:tc>
        <w:tc>
          <w:tcPr>
            <w:tcW w:w="1020" w:type="dxa"/>
            <w:shd w:val="clear" w:color="auto" w:fill="B5C0D8"/>
          </w:tcPr>
          <w:p w:rsidR="00505632" w:rsidRDefault="00505632" w:rsidP="00AD4E52">
            <w:pPr>
              <w:pStyle w:val="CellHeader"/>
              <w:jc w:val="center"/>
            </w:pPr>
            <w:r>
              <w:rPr>
                <w:rFonts w:cs="Times New Roman"/>
              </w:rPr>
              <w:t>Ostvarena vrijednost (2016.)</w:t>
            </w:r>
          </w:p>
        </w:tc>
      </w:tr>
      <w:tr w:rsidR="00505632" w:rsidTr="00AD4E52">
        <w:trPr>
          <w:jc w:val="center"/>
        </w:trPr>
        <w:tc>
          <w:tcPr>
            <w:tcW w:w="2551" w:type="dxa"/>
          </w:tcPr>
          <w:p w:rsidR="00505632" w:rsidRDefault="00505632" w:rsidP="00AD4E52">
            <w:pPr>
              <w:pStyle w:val="CellColumn"/>
              <w:jc w:val="left"/>
            </w:pPr>
            <w:r>
              <w:rPr>
                <w:rFonts w:cs="Times New Roman"/>
              </w:rPr>
              <w:t>Izrađen, objavljen i redovito ažuriran registar službenika za informiranje (popis tijela javne vlasti)</w:t>
            </w:r>
          </w:p>
        </w:tc>
        <w:tc>
          <w:tcPr>
            <w:tcW w:w="2551" w:type="dxa"/>
          </w:tcPr>
          <w:p w:rsidR="00505632" w:rsidRDefault="00505632" w:rsidP="00AD4E52">
            <w:pPr>
              <w:pStyle w:val="CellColumn"/>
              <w:jc w:val="left"/>
            </w:pPr>
            <w:r>
              <w:rPr>
                <w:rFonts w:cs="Times New Roman"/>
              </w:rPr>
              <w:t>Ostvarivanje prava na pristup i ponovna uporaba informacija ostvaruje se putem službenika za informiranje i ostalih informacija o tijelima javne vlasti sadržanih u Popisu tijela javne vlasti (registru službenika za informiranje) koji ujedno služi za prikupljanje godišnjih izvješća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Izvješće PI o provedbi Zakona, Internet stranica PI</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r w:rsidR="00505632" w:rsidTr="00AD4E52">
        <w:trPr>
          <w:jc w:val="center"/>
        </w:trPr>
        <w:tc>
          <w:tcPr>
            <w:tcW w:w="2551" w:type="dxa"/>
          </w:tcPr>
          <w:p w:rsidR="00505632" w:rsidRDefault="00505632" w:rsidP="00AD4E52">
            <w:pPr>
              <w:pStyle w:val="CellColumn"/>
              <w:jc w:val="left"/>
            </w:pPr>
            <w:r>
              <w:rPr>
                <w:rFonts w:cs="Times New Roman"/>
              </w:rPr>
              <w:t>Izrađena, objavljena i redovito ažurirana evidencija isključivih prava</w:t>
            </w:r>
          </w:p>
        </w:tc>
        <w:tc>
          <w:tcPr>
            <w:tcW w:w="2551" w:type="dxa"/>
          </w:tcPr>
          <w:p w:rsidR="00505632" w:rsidRDefault="00505632" w:rsidP="00AD4E52">
            <w:pPr>
              <w:pStyle w:val="CellColumn"/>
              <w:jc w:val="left"/>
            </w:pPr>
            <w:r>
              <w:rPr>
                <w:rFonts w:cs="Times New Roman"/>
              </w:rPr>
              <w:t>Ponovna uporaba informacija u skladu s načelom nediskriminacije i transparentnosti ostvaruje se kroz praćenje i odobravanje ograničenja tih prava utemeljenih na zakonskim odredbama o isključivim pravima</w:t>
            </w:r>
          </w:p>
        </w:tc>
        <w:tc>
          <w:tcPr>
            <w:tcW w:w="1020" w:type="dxa"/>
          </w:tcPr>
          <w:p w:rsidR="00505632" w:rsidRDefault="00505632" w:rsidP="00AD4E52">
            <w:pPr>
              <w:pStyle w:val="CellColumn"/>
              <w:jc w:val="right"/>
            </w:pPr>
            <w:r>
              <w:rPr>
                <w:rFonts w:cs="Times New Roman"/>
              </w:rPr>
              <w:t>broj</w:t>
            </w:r>
          </w:p>
        </w:tc>
        <w:tc>
          <w:tcPr>
            <w:tcW w:w="1020" w:type="dxa"/>
          </w:tcPr>
          <w:p w:rsidR="00505632" w:rsidRDefault="00505632" w:rsidP="00AD4E52">
            <w:pPr>
              <w:pStyle w:val="CellColumn"/>
              <w:jc w:val="right"/>
            </w:pPr>
            <w:r>
              <w:rPr>
                <w:rFonts w:cs="Times New Roman"/>
              </w:rPr>
              <w:t>0</w:t>
            </w:r>
          </w:p>
        </w:tc>
        <w:tc>
          <w:tcPr>
            <w:tcW w:w="1020" w:type="dxa"/>
          </w:tcPr>
          <w:p w:rsidR="00505632" w:rsidRDefault="00505632" w:rsidP="00AD4E52">
            <w:pPr>
              <w:pStyle w:val="CellColumn"/>
              <w:jc w:val="right"/>
            </w:pPr>
            <w:r>
              <w:rPr>
                <w:rFonts w:cs="Times New Roman"/>
              </w:rPr>
              <w:t>Izvješće PI o provedbi Zakona, Internet stranica PI</w:t>
            </w:r>
          </w:p>
        </w:tc>
        <w:tc>
          <w:tcPr>
            <w:tcW w:w="1020" w:type="dxa"/>
          </w:tcPr>
          <w:p w:rsidR="00505632" w:rsidRDefault="00505632" w:rsidP="00AD4E52">
            <w:pPr>
              <w:pStyle w:val="CellColumn"/>
              <w:jc w:val="right"/>
            </w:pPr>
            <w:r>
              <w:rPr>
                <w:rFonts w:cs="Times New Roman"/>
              </w:rPr>
              <w:t>1</w:t>
            </w:r>
          </w:p>
        </w:tc>
        <w:tc>
          <w:tcPr>
            <w:tcW w:w="1020" w:type="dxa"/>
          </w:tcPr>
          <w:p w:rsidR="00505632" w:rsidRDefault="00505632" w:rsidP="00AD4E52">
            <w:pPr>
              <w:pStyle w:val="CellColumn"/>
              <w:jc w:val="right"/>
            </w:pPr>
            <w:r>
              <w:rPr>
                <w:rFonts w:cs="Times New Roman"/>
              </w:rPr>
              <w:t>1</w:t>
            </w:r>
          </w:p>
        </w:tc>
      </w:tr>
    </w:tbl>
    <w:p w:rsidR="00505632" w:rsidRDefault="00505632" w:rsidP="00505632">
      <w:pPr>
        <w:jc w:val="left"/>
      </w:pPr>
    </w:p>
    <w:p w:rsidR="00505632" w:rsidRDefault="00505632">
      <w:pPr>
        <w:overflowPunct/>
        <w:autoSpaceDE/>
        <w:autoSpaceDN/>
        <w:adjustRightInd/>
        <w:spacing w:after="200" w:line="276" w:lineRule="auto"/>
        <w:jc w:val="left"/>
        <w:textAlignment w:val="auto"/>
        <w:rPr>
          <w:b/>
          <w:spacing w:val="20"/>
          <w:sz w:val="32"/>
          <w:szCs w:val="32"/>
        </w:rPr>
      </w:pPr>
    </w:p>
    <w:sectPr w:rsidR="00505632" w:rsidSect="004B4C54">
      <w:headerReference w:type="default" r:id="rId10"/>
      <w:footerReference w:type="default" r:id="rId11"/>
      <w:type w:val="continuous"/>
      <w:pgSz w:w="11906" w:h="16838"/>
      <w:pgMar w:top="85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082" w:rsidRDefault="00A63082" w:rsidP="00F352E6">
      <w:r>
        <w:separator/>
      </w:r>
    </w:p>
  </w:endnote>
  <w:endnote w:type="continuationSeparator" w:id="0">
    <w:p w:rsidR="00A63082" w:rsidRDefault="00A63082" w:rsidP="00F35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505109"/>
      <w:docPartObj>
        <w:docPartGallery w:val="Page Numbers (Bottom of Page)"/>
        <w:docPartUnique/>
      </w:docPartObj>
    </w:sdtPr>
    <w:sdtContent>
      <w:p w:rsidR="00A63082" w:rsidRDefault="00A63082">
        <w:pPr>
          <w:pStyle w:val="Footer"/>
          <w:jc w:val="center"/>
        </w:pPr>
        <w:r>
          <w:fldChar w:fldCharType="begin"/>
        </w:r>
        <w:r>
          <w:instrText>PAGE   \* MERGEFORMAT</w:instrText>
        </w:r>
        <w:r>
          <w:fldChar w:fldCharType="separate"/>
        </w:r>
        <w:r w:rsidRPr="00A63082">
          <w:rPr>
            <w:noProof/>
            <w:lang w:val="hr-HR"/>
          </w:rPr>
          <w:t>1360</w:t>
        </w:r>
        <w:r>
          <w:fldChar w:fldCharType="end"/>
        </w:r>
      </w:p>
    </w:sdtContent>
  </w:sdt>
  <w:p w:rsidR="00A63082" w:rsidRPr="00D769ED" w:rsidRDefault="00A63082" w:rsidP="007D4430">
    <w:pPr>
      <w:pStyle w:val="Footer"/>
      <w:pBdr>
        <w:top w:val="none" w:sz="0" w:space="0" w:color="auto"/>
      </w:pBd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082" w:rsidRDefault="00A63082" w:rsidP="00F352E6">
      <w:r>
        <w:separator/>
      </w:r>
    </w:p>
  </w:footnote>
  <w:footnote w:type="continuationSeparator" w:id="0">
    <w:p w:rsidR="00A63082" w:rsidRDefault="00A63082" w:rsidP="00F352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082" w:rsidRDefault="00A63082" w:rsidP="00A70582">
    <w:pPr>
      <w:pStyle w:val="Header"/>
      <w:pBdr>
        <w:bottom w:val="none" w:sz="0" w:space="0" w:color="auto"/>
      </w:pBdr>
      <w:tabs>
        <w:tab w:val="clear" w:pos="9072"/>
        <w:tab w:val="right" w:pos="9540"/>
      </w:tabs>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C1EEB"/>
    <w:multiLevelType w:val="hybridMultilevel"/>
    <w:tmpl w:val="50C033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16A56CA3"/>
    <w:multiLevelType w:val="hybridMultilevel"/>
    <w:tmpl w:val="B7361CB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24FC0F41"/>
    <w:multiLevelType w:val="hybridMultilevel"/>
    <w:tmpl w:val="1A9E74D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3BFD0D4C"/>
    <w:multiLevelType w:val="hybridMultilevel"/>
    <w:tmpl w:val="C14C16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5F5B6954"/>
    <w:multiLevelType w:val="hybridMultilevel"/>
    <w:tmpl w:val="7AB295E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626217A7"/>
    <w:multiLevelType w:val="hybridMultilevel"/>
    <w:tmpl w:val="1838A622"/>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6BBA163F"/>
    <w:multiLevelType w:val="hybridMultilevel"/>
    <w:tmpl w:val="164EF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75632152"/>
    <w:multiLevelType w:val="hybridMultilevel"/>
    <w:tmpl w:val="EB1E5AC8"/>
    <w:lvl w:ilvl="0" w:tplc="99B8C76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6"/>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C76"/>
    <w:rsid w:val="000068D2"/>
    <w:rsid w:val="00013A1A"/>
    <w:rsid w:val="000202FD"/>
    <w:rsid w:val="0002533C"/>
    <w:rsid w:val="00034B57"/>
    <w:rsid w:val="000352D6"/>
    <w:rsid w:val="00035CBA"/>
    <w:rsid w:val="00055947"/>
    <w:rsid w:val="000810BC"/>
    <w:rsid w:val="00093F0F"/>
    <w:rsid w:val="0009736B"/>
    <w:rsid w:val="000A6D36"/>
    <w:rsid w:val="000B7958"/>
    <w:rsid w:val="000C0A6C"/>
    <w:rsid w:val="000D3E46"/>
    <w:rsid w:val="000F5517"/>
    <w:rsid w:val="0010779D"/>
    <w:rsid w:val="0013155A"/>
    <w:rsid w:val="001323E6"/>
    <w:rsid w:val="00137EE3"/>
    <w:rsid w:val="0016738D"/>
    <w:rsid w:val="0017490A"/>
    <w:rsid w:val="001A3941"/>
    <w:rsid w:val="001E5246"/>
    <w:rsid w:val="00215516"/>
    <w:rsid w:val="0027042C"/>
    <w:rsid w:val="00281D87"/>
    <w:rsid w:val="00290EC0"/>
    <w:rsid w:val="002B042D"/>
    <w:rsid w:val="002B0522"/>
    <w:rsid w:val="002B3703"/>
    <w:rsid w:val="002B7323"/>
    <w:rsid w:val="00311AA1"/>
    <w:rsid w:val="003314EE"/>
    <w:rsid w:val="00382225"/>
    <w:rsid w:val="00386953"/>
    <w:rsid w:val="003A7C09"/>
    <w:rsid w:val="003B4A74"/>
    <w:rsid w:val="004071BD"/>
    <w:rsid w:val="00424090"/>
    <w:rsid w:val="0043450A"/>
    <w:rsid w:val="00463609"/>
    <w:rsid w:val="00480C76"/>
    <w:rsid w:val="00492B40"/>
    <w:rsid w:val="0049544F"/>
    <w:rsid w:val="00497844"/>
    <w:rsid w:val="004B4C54"/>
    <w:rsid w:val="004C01B5"/>
    <w:rsid w:val="004C28EA"/>
    <w:rsid w:val="004D6F9D"/>
    <w:rsid w:val="00505632"/>
    <w:rsid w:val="0052289C"/>
    <w:rsid w:val="00524A66"/>
    <w:rsid w:val="00526A7C"/>
    <w:rsid w:val="0053661E"/>
    <w:rsid w:val="0057389E"/>
    <w:rsid w:val="005A70C0"/>
    <w:rsid w:val="005B6ED7"/>
    <w:rsid w:val="005C2091"/>
    <w:rsid w:val="005C5C4B"/>
    <w:rsid w:val="005E2D85"/>
    <w:rsid w:val="005F4B72"/>
    <w:rsid w:val="005F75C0"/>
    <w:rsid w:val="00633683"/>
    <w:rsid w:val="00674346"/>
    <w:rsid w:val="006A4980"/>
    <w:rsid w:val="006A4CE2"/>
    <w:rsid w:val="006B3283"/>
    <w:rsid w:val="007665AA"/>
    <w:rsid w:val="00786F04"/>
    <w:rsid w:val="0079370A"/>
    <w:rsid w:val="007A7E45"/>
    <w:rsid w:val="007D1C46"/>
    <w:rsid w:val="007D395B"/>
    <w:rsid w:val="007D4430"/>
    <w:rsid w:val="00847495"/>
    <w:rsid w:val="008636E2"/>
    <w:rsid w:val="00884161"/>
    <w:rsid w:val="008846BB"/>
    <w:rsid w:val="008A1BDC"/>
    <w:rsid w:val="008A7E2A"/>
    <w:rsid w:val="008E201B"/>
    <w:rsid w:val="00924825"/>
    <w:rsid w:val="009359F2"/>
    <w:rsid w:val="0094382E"/>
    <w:rsid w:val="00951B1A"/>
    <w:rsid w:val="00981877"/>
    <w:rsid w:val="009A5ACF"/>
    <w:rsid w:val="009C22F9"/>
    <w:rsid w:val="009D6D56"/>
    <w:rsid w:val="009E33D3"/>
    <w:rsid w:val="00A009BC"/>
    <w:rsid w:val="00A021A2"/>
    <w:rsid w:val="00A27470"/>
    <w:rsid w:val="00A320E5"/>
    <w:rsid w:val="00A63082"/>
    <w:rsid w:val="00A70582"/>
    <w:rsid w:val="00A84C0F"/>
    <w:rsid w:val="00A86293"/>
    <w:rsid w:val="00AB5FEA"/>
    <w:rsid w:val="00AB7B4E"/>
    <w:rsid w:val="00AD4E52"/>
    <w:rsid w:val="00B054CF"/>
    <w:rsid w:val="00B07119"/>
    <w:rsid w:val="00B148E9"/>
    <w:rsid w:val="00B15934"/>
    <w:rsid w:val="00B15946"/>
    <w:rsid w:val="00B22329"/>
    <w:rsid w:val="00B24D34"/>
    <w:rsid w:val="00B2737F"/>
    <w:rsid w:val="00B31E2E"/>
    <w:rsid w:val="00B41BF8"/>
    <w:rsid w:val="00B5656C"/>
    <w:rsid w:val="00B629B0"/>
    <w:rsid w:val="00B7677F"/>
    <w:rsid w:val="00BA4370"/>
    <w:rsid w:val="00BA487B"/>
    <w:rsid w:val="00BA7BD1"/>
    <w:rsid w:val="00BB0310"/>
    <w:rsid w:val="00BB642B"/>
    <w:rsid w:val="00BF02E9"/>
    <w:rsid w:val="00BF3F24"/>
    <w:rsid w:val="00C17231"/>
    <w:rsid w:val="00C42C55"/>
    <w:rsid w:val="00C71790"/>
    <w:rsid w:val="00C7470A"/>
    <w:rsid w:val="00CC7C79"/>
    <w:rsid w:val="00CD0930"/>
    <w:rsid w:val="00D01DAA"/>
    <w:rsid w:val="00D05549"/>
    <w:rsid w:val="00D06263"/>
    <w:rsid w:val="00D3530B"/>
    <w:rsid w:val="00D97E1E"/>
    <w:rsid w:val="00DB131A"/>
    <w:rsid w:val="00DE2416"/>
    <w:rsid w:val="00E42E87"/>
    <w:rsid w:val="00E62EF0"/>
    <w:rsid w:val="00E65456"/>
    <w:rsid w:val="00E81F1E"/>
    <w:rsid w:val="00E83401"/>
    <w:rsid w:val="00EA1ADA"/>
    <w:rsid w:val="00EA3CDB"/>
    <w:rsid w:val="00ED0E3A"/>
    <w:rsid w:val="00F24C48"/>
    <w:rsid w:val="00F352E6"/>
    <w:rsid w:val="00F5606E"/>
    <w:rsid w:val="00F67315"/>
    <w:rsid w:val="00F91724"/>
    <w:rsid w:val="00F92AEE"/>
    <w:rsid w:val="00FE4B8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FEA"/>
    <w:pPr>
      <w:overflowPunct w:val="0"/>
      <w:autoSpaceDE w:val="0"/>
      <w:autoSpaceDN w:val="0"/>
      <w:adjustRightInd w:val="0"/>
      <w:spacing w:after="120" w:line="240" w:lineRule="auto"/>
      <w:jc w:val="both"/>
      <w:textAlignment w:val="baseline"/>
    </w:pPr>
    <w:rPr>
      <w:rFonts w:ascii="Times New Roman" w:eastAsia="Times New Roman" w:hAnsi="Times New Roman" w:cs="Times New Roman"/>
      <w:szCs w:val="20"/>
      <w:lang w:val="sl-SI"/>
    </w:rPr>
  </w:style>
  <w:style w:type="paragraph" w:styleId="Heading1">
    <w:name w:val="heading 1"/>
    <w:basedOn w:val="Normal"/>
    <w:next w:val="Normal"/>
    <w:link w:val="Heading1Char"/>
    <w:qFormat/>
    <w:rsid w:val="00951B1A"/>
    <w:pPr>
      <w:keepNext/>
      <w:keepLines/>
      <w:pBdr>
        <w:top w:val="single" w:sz="4" w:space="1" w:color="auto"/>
        <w:bottom w:val="single" w:sz="4" w:space="1" w:color="auto"/>
      </w:pBdr>
      <w:shd w:val="clear" w:color="auto" w:fill="E6E6E6"/>
      <w:jc w:val="left"/>
      <w:outlineLvl w:val="0"/>
    </w:pPr>
    <w:rPr>
      <w:b/>
      <w:spacing w:val="20"/>
      <w:sz w:val="32"/>
      <w:szCs w:val="32"/>
    </w:rPr>
  </w:style>
  <w:style w:type="paragraph" w:styleId="Heading2">
    <w:name w:val="heading 2"/>
    <w:basedOn w:val="Normal"/>
    <w:next w:val="Normal"/>
    <w:link w:val="Heading2Char"/>
    <w:qFormat/>
    <w:rsid w:val="00E62EF0"/>
    <w:pPr>
      <w:keepNext/>
      <w:keepLines/>
      <w:pBdr>
        <w:top w:val="single" w:sz="4" w:space="1" w:color="auto"/>
        <w:bottom w:val="single" w:sz="4" w:space="1" w:color="auto"/>
      </w:pBdr>
      <w:shd w:val="clear" w:color="auto" w:fill="E6E6E6"/>
      <w:jc w:val="left"/>
      <w:outlineLvl w:val="1"/>
    </w:pPr>
    <w:rPr>
      <w:b/>
      <w:spacing w:val="20"/>
      <w:sz w:val="30"/>
      <w:szCs w:val="30"/>
    </w:rPr>
  </w:style>
  <w:style w:type="paragraph" w:styleId="Heading3">
    <w:name w:val="heading 3"/>
    <w:basedOn w:val="Normal"/>
    <w:next w:val="Normal"/>
    <w:link w:val="Heading3Char"/>
    <w:qFormat/>
    <w:rsid w:val="00FE4B89"/>
    <w:pPr>
      <w:keepNext/>
      <w:keepLines/>
      <w:pBdr>
        <w:top w:val="single" w:sz="4" w:space="1" w:color="auto"/>
        <w:bottom w:val="single" w:sz="4" w:space="1" w:color="auto"/>
      </w:pBdr>
      <w:shd w:val="clear" w:color="auto" w:fill="E6E6E6"/>
      <w:overflowPunct/>
      <w:autoSpaceDE/>
      <w:autoSpaceDN/>
      <w:adjustRightInd/>
      <w:spacing w:line="288" w:lineRule="auto"/>
      <w:jc w:val="left"/>
      <w:textAlignment w:val="auto"/>
      <w:outlineLvl w:val="2"/>
    </w:pPr>
    <w:rPr>
      <w:rFonts w:cs="Arial"/>
      <w:b/>
      <w:iCs/>
      <w:spacing w:val="20"/>
      <w:sz w:val="28"/>
      <w:szCs w:val="28"/>
    </w:rPr>
  </w:style>
  <w:style w:type="paragraph" w:styleId="Heading4">
    <w:name w:val="heading 4"/>
    <w:basedOn w:val="Normal"/>
    <w:next w:val="Normal"/>
    <w:link w:val="Heading4Char"/>
    <w:qFormat/>
    <w:rsid w:val="00951B1A"/>
    <w:pPr>
      <w:keepNext/>
      <w:keepLines/>
      <w:pBdr>
        <w:top w:val="single" w:sz="4" w:space="1" w:color="auto"/>
        <w:bottom w:val="single" w:sz="4" w:space="1" w:color="auto"/>
      </w:pBdr>
      <w:overflowPunct/>
      <w:autoSpaceDE/>
      <w:autoSpaceDN/>
      <w:adjustRightInd/>
      <w:jc w:val="left"/>
      <w:textAlignment w:val="auto"/>
      <w:outlineLvl w:val="3"/>
    </w:pPr>
    <w:rPr>
      <w:b/>
      <w:bCs/>
      <w:sz w:val="28"/>
      <w:szCs w:val="28"/>
    </w:rPr>
  </w:style>
  <w:style w:type="paragraph" w:styleId="Heading5">
    <w:name w:val="heading 5"/>
    <w:basedOn w:val="Normal"/>
    <w:next w:val="Normal"/>
    <w:link w:val="Heading5Char"/>
    <w:qFormat/>
    <w:rsid w:val="00E62EF0"/>
    <w:pPr>
      <w:keepNext/>
      <w:keepLines/>
      <w:jc w:val="left"/>
      <w:outlineLvl w:val="4"/>
    </w:pPr>
    <w:rPr>
      <w:b/>
      <w:sz w:val="26"/>
      <w:szCs w:val="26"/>
    </w:rPr>
  </w:style>
  <w:style w:type="paragraph" w:styleId="Heading6">
    <w:name w:val="heading 6"/>
    <w:basedOn w:val="Normal"/>
    <w:next w:val="Normal"/>
    <w:link w:val="Heading6Char"/>
    <w:qFormat/>
    <w:rsid w:val="00E62EF0"/>
    <w:pPr>
      <w:keepNext/>
      <w:keepLines/>
      <w:jc w:val="left"/>
      <w:outlineLvl w:val="5"/>
    </w:pPr>
    <w:rPr>
      <w:b/>
      <w:sz w:val="24"/>
      <w:szCs w:val="24"/>
    </w:rPr>
  </w:style>
  <w:style w:type="paragraph" w:styleId="Heading7">
    <w:name w:val="heading 7"/>
    <w:basedOn w:val="Normal"/>
    <w:next w:val="Normal"/>
    <w:link w:val="Heading7Char"/>
    <w:qFormat/>
    <w:rsid w:val="00E62EF0"/>
    <w:pPr>
      <w:keepNext/>
      <w:jc w:val="left"/>
      <w:outlineLvl w:val="6"/>
    </w:pPr>
    <w:rPr>
      <w:b/>
      <w:spacing w:val="24"/>
      <w:szCs w:val="22"/>
    </w:rPr>
  </w:style>
  <w:style w:type="paragraph" w:styleId="Heading8">
    <w:name w:val="heading 8"/>
    <w:basedOn w:val="Normal6"/>
    <w:next w:val="Normal"/>
    <w:link w:val="Heading8Char"/>
    <w:uiPriority w:val="9"/>
    <w:unhideWhenUsed/>
    <w:qFormat/>
    <w:rsid w:val="00E62EF0"/>
    <w:pPr>
      <w:keepNext/>
      <w:keepLines/>
      <w:ind w:left="0"/>
      <w:outlineLvl w:val="7"/>
    </w:pPr>
    <w:rPr>
      <w:b/>
    </w:rPr>
  </w:style>
  <w:style w:type="paragraph" w:styleId="Heading9">
    <w:name w:val="heading 9"/>
    <w:basedOn w:val="Normal"/>
    <w:next w:val="Normal"/>
    <w:link w:val="Heading9Char"/>
    <w:uiPriority w:val="9"/>
    <w:unhideWhenUsed/>
    <w:qFormat/>
    <w:rsid w:val="00E62EF0"/>
    <w:pPr>
      <w:keepNext/>
      <w:keepLines/>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1B1A"/>
    <w:rPr>
      <w:rFonts w:ascii="Times New Roman" w:eastAsia="Times New Roman" w:hAnsi="Times New Roman" w:cs="Times New Roman"/>
      <w:b/>
      <w:spacing w:val="20"/>
      <w:sz w:val="32"/>
      <w:szCs w:val="32"/>
      <w:shd w:val="clear" w:color="auto" w:fill="E6E6E6"/>
      <w:lang w:val="sl-SI"/>
    </w:rPr>
  </w:style>
  <w:style w:type="character" w:customStyle="1" w:styleId="Heading2Char">
    <w:name w:val="Heading 2 Char"/>
    <w:basedOn w:val="DefaultParagraphFont"/>
    <w:link w:val="Heading2"/>
    <w:rsid w:val="00E62EF0"/>
    <w:rPr>
      <w:rFonts w:ascii="Times New Roman" w:eastAsia="Times New Roman" w:hAnsi="Times New Roman" w:cs="Times New Roman"/>
      <w:b/>
      <w:spacing w:val="20"/>
      <w:sz w:val="30"/>
      <w:szCs w:val="30"/>
      <w:shd w:val="clear" w:color="auto" w:fill="E6E6E6"/>
      <w:lang w:val="sl-SI"/>
    </w:rPr>
  </w:style>
  <w:style w:type="character" w:customStyle="1" w:styleId="Heading3Char">
    <w:name w:val="Heading 3 Char"/>
    <w:basedOn w:val="DefaultParagraphFont"/>
    <w:link w:val="Heading3"/>
    <w:rsid w:val="00FE4B89"/>
    <w:rPr>
      <w:rFonts w:ascii="Times New Roman" w:eastAsia="Times New Roman" w:hAnsi="Times New Roman" w:cs="Arial"/>
      <w:b/>
      <w:iCs/>
      <w:spacing w:val="20"/>
      <w:sz w:val="28"/>
      <w:szCs w:val="28"/>
      <w:shd w:val="clear" w:color="auto" w:fill="E6E6E6"/>
      <w:lang w:val="sl-SI"/>
    </w:rPr>
  </w:style>
  <w:style w:type="character" w:customStyle="1" w:styleId="Heading4Char">
    <w:name w:val="Heading 4 Char"/>
    <w:basedOn w:val="DefaultParagraphFont"/>
    <w:link w:val="Heading4"/>
    <w:rsid w:val="00951B1A"/>
    <w:rPr>
      <w:rFonts w:ascii="Times New Roman" w:eastAsia="Times New Roman" w:hAnsi="Times New Roman" w:cs="Times New Roman"/>
      <w:b/>
      <w:bCs/>
      <w:sz w:val="28"/>
      <w:szCs w:val="28"/>
      <w:lang w:val="sl-SI"/>
    </w:rPr>
  </w:style>
  <w:style w:type="character" w:customStyle="1" w:styleId="Heading5Char">
    <w:name w:val="Heading 5 Char"/>
    <w:basedOn w:val="DefaultParagraphFont"/>
    <w:link w:val="Heading5"/>
    <w:rsid w:val="00E62EF0"/>
    <w:rPr>
      <w:rFonts w:ascii="Times New Roman" w:eastAsia="Times New Roman" w:hAnsi="Times New Roman" w:cs="Times New Roman"/>
      <w:b/>
      <w:sz w:val="26"/>
      <w:szCs w:val="26"/>
      <w:lang w:val="sl-SI"/>
    </w:rPr>
  </w:style>
  <w:style w:type="character" w:customStyle="1" w:styleId="Heading6Char">
    <w:name w:val="Heading 6 Char"/>
    <w:basedOn w:val="DefaultParagraphFont"/>
    <w:link w:val="Heading6"/>
    <w:rsid w:val="00E62EF0"/>
    <w:rPr>
      <w:rFonts w:ascii="Times New Roman" w:eastAsia="Times New Roman" w:hAnsi="Times New Roman" w:cs="Times New Roman"/>
      <w:b/>
      <w:sz w:val="24"/>
      <w:szCs w:val="24"/>
      <w:lang w:val="sl-SI"/>
    </w:rPr>
  </w:style>
  <w:style w:type="character" w:customStyle="1" w:styleId="Heading7Char">
    <w:name w:val="Heading 7 Char"/>
    <w:basedOn w:val="DefaultParagraphFont"/>
    <w:link w:val="Heading7"/>
    <w:rsid w:val="00E62EF0"/>
    <w:rPr>
      <w:rFonts w:ascii="Times New Roman" w:eastAsia="Times New Roman" w:hAnsi="Times New Roman" w:cs="Times New Roman"/>
      <w:b/>
      <w:spacing w:val="24"/>
      <w:lang w:val="sl-SI"/>
    </w:rPr>
  </w:style>
  <w:style w:type="paragraph" w:customStyle="1" w:styleId="Normal6">
    <w:name w:val="Normal 6"/>
    <w:basedOn w:val="Normal"/>
    <w:link w:val="Normal6Char"/>
    <w:rsid w:val="00480C76"/>
    <w:pPr>
      <w:ind w:left="1080"/>
    </w:pPr>
  </w:style>
  <w:style w:type="character" w:customStyle="1" w:styleId="Normal6Char">
    <w:name w:val="Normal 6 Char"/>
    <w:basedOn w:val="DefaultParagraphFont"/>
    <w:link w:val="Normal6"/>
    <w:rsid w:val="00480C76"/>
    <w:rPr>
      <w:rFonts w:ascii="Times New Roman" w:eastAsia="Times New Roman" w:hAnsi="Times New Roman" w:cs="Times New Roman"/>
      <w:szCs w:val="20"/>
      <w:lang w:val="sl-SI"/>
    </w:rPr>
  </w:style>
  <w:style w:type="character" w:customStyle="1" w:styleId="Heading8Char">
    <w:name w:val="Heading 8 Char"/>
    <w:basedOn w:val="DefaultParagraphFont"/>
    <w:link w:val="Heading8"/>
    <w:uiPriority w:val="9"/>
    <w:rsid w:val="00E62EF0"/>
    <w:rPr>
      <w:rFonts w:ascii="Times New Roman" w:eastAsia="Times New Roman" w:hAnsi="Times New Roman" w:cs="Times New Roman"/>
      <w:b/>
      <w:szCs w:val="20"/>
      <w:lang w:val="sl-SI"/>
    </w:rPr>
  </w:style>
  <w:style w:type="character" w:customStyle="1" w:styleId="Heading9Char">
    <w:name w:val="Heading 9 Char"/>
    <w:basedOn w:val="DefaultParagraphFont"/>
    <w:link w:val="Heading9"/>
    <w:uiPriority w:val="9"/>
    <w:rsid w:val="00E62EF0"/>
    <w:rPr>
      <w:rFonts w:asciiTheme="majorHAnsi" w:eastAsiaTheme="majorEastAsia" w:hAnsiTheme="majorHAnsi" w:cstheme="majorBidi"/>
      <w:i/>
      <w:iCs/>
      <w:color w:val="272727" w:themeColor="text1" w:themeTint="D8"/>
      <w:sz w:val="21"/>
      <w:szCs w:val="21"/>
      <w:lang w:val="sl-SI"/>
    </w:rPr>
  </w:style>
  <w:style w:type="paragraph" w:customStyle="1" w:styleId="KAZALO">
    <w:name w:val="KAZALO"/>
    <w:basedOn w:val="Normal"/>
    <w:rsid w:val="00480C76"/>
    <w:pPr>
      <w:keepNext/>
      <w:spacing w:after="240"/>
      <w:jc w:val="center"/>
    </w:pPr>
    <w:rPr>
      <w:b/>
      <w:bCs/>
      <w:sz w:val="32"/>
      <w:szCs w:val="32"/>
    </w:rPr>
  </w:style>
  <w:style w:type="paragraph" w:styleId="Header">
    <w:name w:val="header"/>
    <w:basedOn w:val="Normal"/>
    <w:link w:val="HeaderChar"/>
    <w:semiHidden/>
    <w:rsid w:val="00480C76"/>
    <w:pPr>
      <w:pBdr>
        <w:bottom w:val="single" w:sz="4" w:space="1" w:color="auto"/>
      </w:pBdr>
      <w:tabs>
        <w:tab w:val="center" w:pos="4536"/>
        <w:tab w:val="right" w:pos="9072"/>
      </w:tabs>
    </w:pPr>
    <w:rPr>
      <w:sz w:val="16"/>
    </w:rPr>
  </w:style>
  <w:style w:type="character" w:customStyle="1" w:styleId="HeaderChar">
    <w:name w:val="Header Char"/>
    <w:basedOn w:val="DefaultParagraphFont"/>
    <w:link w:val="Header"/>
    <w:semiHidden/>
    <w:rsid w:val="00480C76"/>
    <w:rPr>
      <w:rFonts w:ascii="Times New Roman" w:eastAsia="Times New Roman" w:hAnsi="Times New Roman" w:cs="Times New Roman"/>
      <w:sz w:val="16"/>
      <w:szCs w:val="20"/>
      <w:lang w:val="sl-SI"/>
    </w:rPr>
  </w:style>
  <w:style w:type="paragraph" w:styleId="Footer">
    <w:name w:val="footer"/>
    <w:basedOn w:val="Normal"/>
    <w:link w:val="FooterChar"/>
    <w:uiPriority w:val="99"/>
    <w:rsid w:val="00480C76"/>
    <w:pPr>
      <w:pBdr>
        <w:top w:val="single" w:sz="4" w:space="1" w:color="auto"/>
      </w:pBdr>
      <w:tabs>
        <w:tab w:val="right" w:pos="9540"/>
      </w:tabs>
      <w:ind w:right="-21"/>
      <w:jc w:val="left"/>
    </w:pPr>
    <w:rPr>
      <w:sz w:val="20"/>
    </w:rPr>
  </w:style>
  <w:style w:type="character" w:customStyle="1" w:styleId="FooterChar">
    <w:name w:val="Footer Char"/>
    <w:basedOn w:val="DefaultParagraphFont"/>
    <w:link w:val="Footer"/>
    <w:uiPriority w:val="99"/>
    <w:rsid w:val="00480C76"/>
    <w:rPr>
      <w:rFonts w:ascii="Times New Roman" w:eastAsia="Times New Roman" w:hAnsi="Times New Roman" w:cs="Times New Roman"/>
      <w:sz w:val="20"/>
      <w:szCs w:val="20"/>
      <w:lang w:val="sl-SI"/>
    </w:rPr>
  </w:style>
  <w:style w:type="character" w:styleId="PageNumber">
    <w:name w:val="page number"/>
    <w:basedOn w:val="DefaultParagraphFont"/>
    <w:semiHidden/>
    <w:rsid w:val="00480C76"/>
  </w:style>
  <w:style w:type="paragraph" w:customStyle="1" w:styleId="Normal3">
    <w:name w:val="Normal 3"/>
    <w:basedOn w:val="Normal"/>
    <w:link w:val="Normal3Char"/>
    <w:rsid w:val="00480C76"/>
    <w:pPr>
      <w:ind w:left="360"/>
    </w:pPr>
  </w:style>
  <w:style w:type="character" w:customStyle="1" w:styleId="Normal3Char">
    <w:name w:val="Normal 3 Char"/>
    <w:basedOn w:val="DefaultParagraphFont"/>
    <w:link w:val="Normal3"/>
    <w:rsid w:val="00480C76"/>
    <w:rPr>
      <w:rFonts w:ascii="Times New Roman" w:eastAsia="Times New Roman" w:hAnsi="Times New Roman" w:cs="Times New Roman"/>
      <w:szCs w:val="20"/>
      <w:lang w:val="sl-SI"/>
    </w:rPr>
  </w:style>
  <w:style w:type="paragraph" w:customStyle="1" w:styleId="Normal4">
    <w:name w:val="Normal 4"/>
    <w:basedOn w:val="Normal"/>
    <w:link w:val="Normal4Char"/>
    <w:rsid w:val="00480C76"/>
    <w:pPr>
      <w:ind w:left="540"/>
    </w:pPr>
  </w:style>
  <w:style w:type="character" w:customStyle="1" w:styleId="Normal4Char">
    <w:name w:val="Normal 4 Char"/>
    <w:basedOn w:val="DefaultParagraphFont"/>
    <w:link w:val="Normal4"/>
    <w:rsid w:val="00480C76"/>
    <w:rPr>
      <w:rFonts w:ascii="Times New Roman" w:eastAsia="Times New Roman" w:hAnsi="Times New Roman" w:cs="Times New Roman"/>
      <w:szCs w:val="20"/>
      <w:lang w:val="sl-SI"/>
    </w:rPr>
  </w:style>
  <w:style w:type="paragraph" w:customStyle="1" w:styleId="Normal5">
    <w:name w:val="Normal 5"/>
    <w:basedOn w:val="Normal"/>
    <w:link w:val="Normal5Char"/>
    <w:rsid w:val="00480C76"/>
    <w:pPr>
      <w:ind w:left="720"/>
    </w:pPr>
  </w:style>
  <w:style w:type="character" w:customStyle="1" w:styleId="Normal5Char">
    <w:name w:val="Normal 5 Char"/>
    <w:basedOn w:val="DefaultParagraphFont"/>
    <w:link w:val="Normal5"/>
    <w:rsid w:val="00480C76"/>
    <w:rPr>
      <w:rFonts w:ascii="Times New Roman" w:eastAsia="Times New Roman" w:hAnsi="Times New Roman" w:cs="Times New Roman"/>
      <w:szCs w:val="20"/>
      <w:lang w:val="sl-SI"/>
    </w:rPr>
  </w:style>
  <w:style w:type="character" w:styleId="Emphasis">
    <w:name w:val="Emphasis"/>
    <w:basedOn w:val="DefaultParagraphFont"/>
    <w:qFormat/>
    <w:rsid w:val="00480C76"/>
    <w:rPr>
      <w:b/>
      <w:bCs/>
      <w:i w:val="0"/>
      <w:iCs w:val="0"/>
    </w:rPr>
  </w:style>
  <w:style w:type="character" w:styleId="Strong">
    <w:name w:val="Strong"/>
    <w:basedOn w:val="DefaultParagraphFont"/>
    <w:qFormat/>
    <w:rsid w:val="00480C76"/>
    <w:rPr>
      <w:b/>
      <w:bCs/>
    </w:rPr>
  </w:style>
  <w:style w:type="character" w:styleId="Hyperlink">
    <w:name w:val="Hyperlink"/>
    <w:basedOn w:val="DefaultParagraphFont"/>
    <w:rsid w:val="00480C76"/>
    <w:rPr>
      <w:color w:val="0000FF"/>
      <w:u w:val="single"/>
    </w:rPr>
  </w:style>
  <w:style w:type="table" w:styleId="TableGrid">
    <w:name w:val="Table Grid"/>
    <w:basedOn w:val="TableNormal"/>
    <w:rsid w:val="00480C76"/>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Header">
    <w:name w:val="CellHeader"/>
    <w:basedOn w:val="Normal"/>
    <w:qFormat/>
    <w:rsid w:val="00BB642B"/>
    <w:rPr>
      <w:rFonts w:cs="Arial"/>
      <w:bCs/>
      <w:sz w:val="20"/>
      <w:szCs w:val="22"/>
      <w:lang w:eastAsia="hr-HR"/>
    </w:rPr>
  </w:style>
  <w:style w:type="paragraph" w:customStyle="1" w:styleId="CellColumn">
    <w:name w:val="CellColumn"/>
    <w:basedOn w:val="CellHeader"/>
    <w:qFormat/>
    <w:rsid w:val="00BB642B"/>
  </w:style>
  <w:style w:type="table" w:customStyle="1" w:styleId="Style1">
    <w:name w:val="Style1"/>
    <w:basedOn w:val="TableNormal"/>
    <w:uiPriority w:val="99"/>
    <w:rsid w:val="007A7E45"/>
    <w:pPr>
      <w:keepLines/>
      <w:spacing w:after="0" w:line="240" w:lineRule="auto"/>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cPr>
      <w:vAlign w:val="center"/>
    </w:tcPr>
    <w:tblStylePr w:type="firstRow">
      <w:pPr>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table" w:customStyle="1" w:styleId="StilTablice">
    <w:name w:val="StilTablice"/>
    <w:basedOn w:val="TableNormal"/>
    <w:uiPriority w:val="99"/>
    <w:rsid w:val="00ED0E3A"/>
    <w:pPr>
      <w:spacing w:after="120" w:line="240" w:lineRule="auto"/>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cPr>
      <w:vAlign w:val="center"/>
    </w:tcPr>
  </w:style>
  <w:style w:type="paragraph" w:customStyle="1" w:styleId="NormalSpecial">
    <w:name w:val="NormalSpecial"/>
    <w:basedOn w:val="Normal"/>
    <w:next w:val="Normal"/>
    <w:qFormat/>
    <w:rsid w:val="0027042C"/>
    <w:pPr>
      <w:keepNext/>
      <w:spacing w:after="0"/>
    </w:pPr>
    <w:rPr>
      <w:sz w:val="20"/>
    </w:rPr>
  </w:style>
  <w:style w:type="paragraph" w:styleId="ListParagraph">
    <w:name w:val="List Paragraph"/>
    <w:basedOn w:val="Normal"/>
    <w:uiPriority w:val="34"/>
    <w:qFormat/>
    <w:rsid w:val="000F5517"/>
    <w:pPr>
      <w:ind w:left="720"/>
      <w:contextualSpacing/>
    </w:pPr>
  </w:style>
  <w:style w:type="character" w:customStyle="1" w:styleId="CommentTextChar">
    <w:name w:val="Comment Text Char"/>
    <w:basedOn w:val="DefaultParagraphFont"/>
    <w:link w:val="CommentText"/>
    <w:uiPriority w:val="99"/>
    <w:semiHidden/>
    <w:rsid w:val="00505632"/>
    <w:rPr>
      <w:rFonts w:ascii="Times New Roman" w:eastAsia="Times New Roman" w:hAnsi="Times New Roman" w:cs="Times New Roman"/>
      <w:sz w:val="20"/>
      <w:szCs w:val="20"/>
      <w:lang w:val="sl-SI"/>
    </w:rPr>
  </w:style>
  <w:style w:type="paragraph" w:styleId="CommentText">
    <w:name w:val="annotation text"/>
    <w:basedOn w:val="Normal"/>
    <w:link w:val="CommentTextChar"/>
    <w:uiPriority w:val="99"/>
    <w:semiHidden/>
    <w:unhideWhenUsed/>
    <w:rsid w:val="00505632"/>
    <w:rPr>
      <w:sz w:val="20"/>
    </w:rPr>
  </w:style>
  <w:style w:type="character" w:customStyle="1" w:styleId="CommentSubjectChar">
    <w:name w:val="Comment Subject Char"/>
    <w:basedOn w:val="CommentTextChar"/>
    <w:link w:val="CommentSubject"/>
    <w:uiPriority w:val="99"/>
    <w:semiHidden/>
    <w:rsid w:val="00505632"/>
    <w:rPr>
      <w:rFonts w:ascii="Times New Roman" w:eastAsia="Times New Roman" w:hAnsi="Times New Roman" w:cs="Times New Roman"/>
      <w:b/>
      <w:bCs/>
      <w:sz w:val="20"/>
      <w:szCs w:val="20"/>
      <w:lang w:val="sl-SI"/>
    </w:rPr>
  </w:style>
  <w:style w:type="paragraph" w:styleId="CommentSubject">
    <w:name w:val="annotation subject"/>
    <w:basedOn w:val="CommentText"/>
    <w:next w:val="CommentText"/>
    <w:link w:val="CommentSubjectChar"/>
    <w:uiPriority w:val="99"/>
    <w:semiHidden/>
    <w:unhideWhenUsed/>
    <w:rsid w:val="00505632"/>
    <w:rPr>
      <w:b/>
      <w:bCs/>
    </w:rPr>
  </w:style>
  <w:style w:type="character" w:customStyle="1" w:styleId="BalloonTextChar">
    <w:name w:val="Balloon Text Char"/>
    <w:basedOn w:val="DefaultParagraphFont"/>
    <w:link w:val="BalloonText"/>
    <w:uiPriority w:val="99"/>
    <w:semiHidden/>
    <w:rsid w:val="00505632"/>
    <w:rPr>
      <w:rFonts w:ascii="Tahoma" w:eastAsia="Times New Roman" w:hAnsi="Tahoma" w:cs="Tahoma"/>
      <w:sz w:val="16"/>
      <w:szCs w:val="16"/>
      <w:lang w:val="sl-SI"/>
    </w:rPr>
  </w:style>
  <w:style w:type="paragraph" w:styleId="BalloonText">
    <w:name w:val="Balloon Text"/>
    <w:basedOn w:val="Normal"/>
    <w:link w:val="BalloonTextChar"/>
    <w:uiPriority w:val="99"/>
    <w:semiHidden/>
    <w:unhideWhenUsed/>
    <w:rsid w:val="00505632"/>
    <w:pPr>
      <w:spacing w:after="0"/>
    </w:pPr>
    <w:rPr>
      <w:rFonts w:ascii="Tahoma" w:hAnsi="Tahoma" w:cs="Tahoma"/>
      <w:sz w:val="16"/>
      <w:szCs w:val="16"/>
    </w:rPr>
  </w:style>
  <w:style w:type="paragraph" w:styleId="NoSpacing">
    <w:name w:val="No Spacing"/>
    <w:link w:val="NoSpacingChar"/>
    <w:uiPriority w:val="1"/>
    <w:qFormat/>
    <w:rsid w:val="004B4C54"/>
    <w:pPr>
      <w:spacing w:after="0" w:line="240" w:lineRule="auto"/>
    </w:pPr>
    <w:rPr>
      <w:rFonts w:eastAsiaTheme="minorEastAsia"/>
      <w:lang w:eastAsia="hr-HR"/>
    </w:rPr>
  </w:style>
  <w:style w:type="character" w:customStyle="1" w:styleId="NoSpacingChar">
    <w:name w:val="No Spacing Char"/>
    <w:basedOn w:val="DefaultParagraphFont"/>
    <w:link w:val="NoSpacing"/>
    <w:uiPriority w:val="1"/>
    <w:rsid w:val="004B4C54"/>
    <w:rPr>
      <w:rFonts w:eastAsiaTheme="minorEastAsia"/>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FEA"/>
    <w:pPr>
      <w:overflowPunct w:val="0"/>
      <w:autoSpaceDE w:val="0"/>
      <w:autoSpaceDN w:val="0"/>
      <w:adjustRightInd w:val="0"/>
      <w:spacing w:after="120" w:line="240" w:lineRule="auto"/>
      <w:jc w:val="both"/>
      <w:textAlignment w:val="baseline"/>
    </w:pPr>
    <w:rPr>
      <w:rFonts w:ascii="Times New Roman" w:eastAsia="Times New Roman" w:hAnsi="Times New Roman" w:cs="Times New Roman"/>
      <w:szCs w:val="20"/>
      <w:lang w:val="sl-SI"/>
    </w:rPr>
  </w:style>
  <w:style w:type="paragraph" w:styleId="Heading1">
    <w:name w:val="heading 1"/>
    <w:basedOn w:val="Normal"/>
    <w:next w:val="Normal"/>
    <w:link w:val="Heading1Char"/>
    <w:qFormat/>
    <w:rsid w:val="00951B1A"/>
    <w:pPr>
      <w:keepNext/>
      <w:keepLines/>
      <w:pBdr>
        <w:top w:val="single" w:sz="4" w:space="1" w:color="auto"/>
        <w:bottom w:val="single" w:sz="4" w:space="1" w:color="auto"/>
      </w:pBdr>
      <w:shd w:val="clear" w:color="auto" w:fill="E6E6E6"/>
      <w:jc w:val="left"/>
      <w:outlineLvl w:val="0"/>
    </w:pPr>
    <w:rPr>
      <w:b/>
      <w:spacing w:val="20"/>
      <w:sz w:val="32"/>
      <w:szCs w:val="32"/>
    </w:rPr>
  </w:style>
  <w:style w:type="paragraph" w:styleId="Heading2">
    <w:name w:val="heading 2"/>
    <w:basedOn w:val="Normal"/>
    <w:next w:val="Normal"/>
    <w:link w:val="Heading2Char"/>
    <w:qFormat/>
    <w:rsid w:val="00E62EF0"/>
    <w:pPr>
      <w:keepNext/>
      <w:keepLines/>
      <w:pBdr>
        <w:top w:val="single" w:sz="4" w:space="1" w:color="auto"/>
        <w:bottom w:val="single" w:sz="4" w:space="1" w:color="auto"/>
      </w:pBdr>
      <w:shd w:val="clear" w:color="auto" w:fill="E6E6E6"/>
      <w:jc w:val="left"/>
      <w:outlineLvl w:val="1"/>
    </w:pPr>
    <w:rPr>
      <w:b/>
      <w:spacing w:val="20"/>
      <w:sz w:val="30"/>
      <w:szCs w:val="30"/>
    </w:rPr>
  </w:style>
  <w:style w:type="paragraph" w:styleId="Heading3">
    <w:name w:val="heading 3"/>
    <w:basedOn w:val="Normal"/>
    <w:next w:val="Normal"/>
    <w:link w:val="Heading3Char"/>
    <w:qFormat/>
    <w:rsid w:val="00FE4B89"/>
    <w:pPr>
      <w:keepNext/>
      <w:keepLines/>
      <w:pBdr>
        <w:top w:val="single" w:sz="4" w:space="1" w:color="auto"/>
        <w:bottom w:val="single" w:sz="4" w:space="1" w:color="auto"/>
      </w:pBdr>
      <w:shd w:val="clear" w:color="auto" w:fill="E6E6E6"/>
      <w:overflowPunct/>
      <w:autoSpaceDE/>
      <w:autoSpaceDN/>
      <w:adjustRightInd/>
      <w:spacing w:line="288" w:lineRule="auto"/>
      <w:jc w:val="left"/>
      <w:textAlignment w:val="auto"/>
      <w:outlineLvl w:val="2"/>
    </w:pPr>
    <w:rPr>
      <w:rFonts w:cs="Arial"/>
      <w:b/>
      <w:iCs/>
      <w:spacing w:val="20"/>
      <w:sz w:val="28"/>
      <w:szCs w:val="28"/>
    </w:rPr>
  </w:style>
  <w:style w:type="paragraph" w:styleId="Heading4">
    <w:name w:val="heading 4"/>
    <w:basedOn w:val="Normal"/>
    <w:next w:val="Normal"/>
    <w:link w:val="Heading4Char"/>
    <w:qFormat/>
    <w:rsid w:val="00951B1A"/>
    <w:pPr>
      <w:keepNext/>
      <w:keepLines/>
      <w:pBdr>
        <w:top w:val="single" w:sz="4" w:space="1" w:color="auto"/>
        <w:bottom w:val="single" w:sz="4" w:space="1" w:color="auto"/>
      </w:pBdr>
      <w:overflowPunct/>
      <w:autoSpaceDE/>
      <w:autoSpaceDN/>
      <w:adjustRightInd/>
      <w:jc w:val="left"/>
      <w:textAlignment w:val="auto"/>
      <w:outlineLvl w:val="3"/>
    </w:pPr>
    <w:rPr>
      <w:b/>
      <w:bCs/>
      <w:sz w:val="28"/>
      <w:szCs w:val="28"/>
    </w:rPr>
  </w:style>
  <w:style w:type="paragraph" w:styleId="Heading5">
    <w:name w:val="heading 5"/>
    <w:basedOn w:val="Normal"/>
    <w:next w:val="Normal"/>
    <w:link w:val="Heading5Char"/>
    <w:qFormat/>
    <w:rsid w:val="00E62EF0"/>
    <w:pPr>
      <w:keepNext/>
      <w:keepLines/>
      <w:jc w:val="left"/>
      <w:outlineLvl w:val="4"/>
    </w:pPr>
    <w:rPr>
      <w:b/>
      <w:sz w:val="26"/>
      <w:szCs w:val="26"/>
    </w:rPr>
  </w:style>
  <w:style w:type="paragraph" w:styleId="Heading6">
    <w:name w:val="heading 6"/>
    <w:basedOn w:val="Normal"/>
    <w:next w:val="Normal"/>
    <w:link w:val="Heading6Char"/>
    <w:qFormat/>
    <w:rsid w:val="00E62EF0"/>
    <w:pPr>
      <w:keepNext/>
      <w:keepLines/>
      <w:jc w:val="left"/>
      <w:outlineLvl w:val="5"/>
    </w:pPr>
    <w:rPr>
      <w:b/>
      <w:sz w:val="24"/>
      <w:szCs w:val="24"/>
    </w:rPr>
  </w:style>
  <w:style w:type="paragraph" w:styleId="Heading7">
    <w:name w:val="heading 7"/>
    <w:basedOn w:val="Normal"/>
    <w:next w:val="Normal"/>
    <w:link w:val="Heading7Char"/>
    <w:qFormat/>
    <w:rsid w:val="00E62EF0"/>
    <w:pPr>
      <w:keepNext/>
      <w:jc w:val="left"/>
      <w:outlineLvl w:val="6"/>
    </w:pPr>
    <w:rPr>
      <w:b/>
      <w:spacing w:val="24"/>
      <w:szCs w:val="22"/>
    </w:rPr>
  </w:style>
  <w:style w:type="paragraph" w:styleId="Heading8">
    <w:name w:val="heading 8"/>
    <w:basedOn w:val="Normal6"/>
    <w:next w:val="Normal"/>
    <w:link w:val="Heading8Char"/>
    <w:uiPriority w:val="9"/>
    <w:unhideWhenUsed/>
    <w:qFormat/>
    <w:rsid w:val="00E62EF0"/>
    <w:pPr>
      <w:keepNext/>
      <w:keepLines/>
      <w:ind w:left="0"/>
      <w:outlineLvl w:val="7"/>
    </w:pPr>
    <w:rPr>
      <w:b/>
    </w:rPr>
  </w:style>
  <w:style w:type="paragraph" w:styleId="Heading9">
    <w:name w:val="heading 9"/>
    <w:basedOn w:val="Normal"/>
    <w:next w:val="Normal"/>
    <w:link w:val="Heading9Char"/>
    <w:uiPriority w:val="9"/>
    <w:unhideWhenUsed/>
    <w:qFormat/>
    <w:rsid w:val="00E62EF0"/>
    <w:pPr>
      <w:keepNext/>
      <w:keepLines/>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1B1A"/>
    <w:rPr>
      <w:rFonts w:ascii="Times New Roman" w:eastAsia="Times New Roman" w:hAnsi="Times New Roman" w:cs="Times New Roman"/>
      <w:b/>
      <w:spacing w:val="20"/>
      <w:sz w:val="32"/>
      <w:szCs w:val="32"/>
      <w:shd w:val="clear" w:color="auto" w:fill="E6E6E6"/>
      <w:lang w:val="sl-SI"/>
    </w:rPr>
  </w:style>
  <w:style w:type="character" w:customStyle="1" w:styleId="Heading2Char">
    <w:name w:val="Heading 2 Char"/>
    <w:basedOn w:val="DefaultParagraphFont"/>
    <w:link w:val="Heading2"/>
    <w:rsid w:val="00E62EF0"/>
    <w:rPr>
      <w:rFonts w:ascii="Times New Roman" w:eastAsia="Times New Roman" w:hAnsi="Times New Roman" w:cs="Times New Roman"/>
      <w:b/>
      <w:spacing w:val="20"/>
      <w:sz w:val="30"/>
      <w:szCs w:val="30"/>
      <w:shd w:val="clear" w:color="auto" w:fill="E6E6E6"/>
      <w:lang w:val="sl-SI"/>
    </w:rPr>
  </w:style>
  <w:style w:type="character" w:customStyle="1" w:styleId="Heading3Char">
    <w:name w:val="Heading 3 Char"/>
    <w:basedOn w:val="DefaultParagraphFont"/>
    <w:link w:val="Heading3"/>
    <w:rsid w:val="00FE4B89"/>
    <w:rPr>
      <w:rFonts w:ascii="Times New Roman" w:eastAsia="Times New Roman" w:hAnsi="Times New Roman" w:cs="Arial"/>
      <w:b/>
      <w:iCs/>
      <w:spacing w:val="20"/>
      <w:sz w:val="28"/>
      <w:szCs w:val="28"/>
      <w:shd w:val="clear" w:color="auto" w:fill="E6E6E6"/>
      <w:lang w:val="sl-SI"/>
    </w:rPr>
  </w:style>
  <w:style w:type="character" w:customStyle="1" w:styleId="Heading4Char">
    <w:name w:val="Heading 4 Char"/>
    <w:basedOn w:val="DefaultParagraphFont"/>
    <w:link w:val="Heading4"/>
    <w:rsid w:val="00951B1A"/>
    <w:rPr>
      <w:rFonts w:ascii="Times New Roman" w:eastAsia="Times New Roman" w:hAnsi="Times New Roman" w:cs="Times New Roman"/>
      <w:b/>
      <w:bCs/>
      <w:sz w:val="28"/>
      <w:szCs w:val="28"/>
      <w:lang w:val="sl-SI"/>
    </w:rPr>
  </w:style>
  <w:style w:type="character" w:customStyle="1" w:styleId="Heading5Char">
    <w:name w:val="Heading 5 Char"/>
    <w:basedOn w:val="DefaultParagraphFont"/>
    <w:link w:val="Heading5"/>
    <w:rsid w:val="00E62EF0"/>
    <w:rPr>
      <w:rFonts w:ascii="Times New Roman" w:eastAsia="Times New Roman" w:hAnsi="Times New Roman" w:cs="Times New Roman"/>
      <w:b/>
      <w:sz w:val="26"/>
      <w:szCs w:val="26"/>
      <w:lang w:val="sl-SI"/>
    </w:rPr>
  </w:style>
  <w:style w:type="character" w:customStyle="1" w:styleId="Heading6Char">
    <w:name w:val="Heading 6 Char"/>
    <w:basedOn w:val="DefaultParagraphFont"/>
    <w:link w:val="Heading6"/>
    <w:rsid w:val="00E62EF0"/>
    <w:rPr>
      <w:rFonts w:ascii="Times New Roman" w:eastAsia="Times New Roman" w:hAnsi="Times New Roman" w:cs="Times New Roman"/>
      <w:b/>
      <w:sz w:val="24"/>
      <w:szCs w:val="24"/>
      <w:lang w:val="sl-SI"/>
    </w:rPr>
  </w:style>
  <w:style w:type="character" w:customStyle="1" w:styleId="Heading7Char">
    <w:name w:val="Heading 7 Char"/>
    <w:basedOn w:val="DefaultParagraphFont"/>
    <w:link w:val="Heading7"/>
    <w:rsid w:val="00E62EF0"/>
    <w:rPr>
      <w:rFonts w:ascii="Times New Roman" w:eastAsia="Times New Roman" w:hAnsi="Times New Roman" w:cs="Times New Roman"/>
      <w:b/>
      <w:spacing w:val="24"/>
      <w:lang w:val="sl-SI"/>
    </w:rPr>
  </w:style>
  <w:style w:type="paragraph" w:customStyle="1" w:styleId="Normal6">
    <w:name w:val="Normal 6"/>
    <w:basedOn w:val="Normal"/>
    <w:link w:val="Normal6Char"/>
    <w:rsid w:val="00480C76"/>
    <w:pPr>
      <w:ind w:left="1080"/>
    </w:pPr>
  </w:style>
  <w:style w:type="character" w:customStyle="1" w:styleId="Normal6Char">
    <w:name w:val="Normal 6 Char"/>
    <w:basedOn w:val="DefaultParagraphFont"/>
    <w:link w:val="Normal6"/>
    <w:rsid w:val="00480C76"/>
    <w:rPr>
      <w:rFonts w:ascii="Times New Roman" w:eastAsia="Times New Roman" w:hAnsi="Times New Roman" w:cs="Times New Roman"/>
      <w:szCs w:val="20"/>
      <w:lang w:val="sl-SI"/>
    </w:rPr>
  </w:style>
  <w:style w:type="character" w:customStyle="1" w:styleId="Heading8Char">
    <w:name w:val="Heading 8 Char"/>
    <w:basedOn w:val="DefaultParagraphFont"/>
    <w:link w:val="Heading8"/>
    <w:uiPriority w:val="9"/>
    <w:rsid w:val="00E62EF0"/>
    <w:rPr>
      <w:rFonts w:ascii="Times New Roman" w:eastAsia="Times New Roman" w:hAnsi="Times New Roman" w:cs="Times New Roman"/>
      <w:b/>
      <w:szCs w:val="20"/>
      <w:lang w:val="sl-SI"/>
    </w:rPr>
  </w:style>
  <w:style w:type="character" w:customStyle="1" w:styleId="Heading9Char">
    <w:name w:val="Heading 9 Char"/>
    <w:basedOn w:val="DefaultParagraphFont"/>
    <w:link w:val="Heading9"/>
    <w:uiPriority w:val="9"/>
    <w:rsid w:val="00E62EF0"/>
    <w:rPr>
      <w:rFonts w:asciiTheme="majorHAnsi" w:eastAsiaTheme="majorEastAsia" w:hAnsiTheme="majorHAnsi" w:cstheme="majorBidi"/>
      <w:i/>
      <w:iCs/>
      <w:color w:val="272727" w:themeColor="text1" w:themeTint="D8"/>
      <w:sz w:val="21"/>
      <w:szCs w:val="21"/>
      <w:lang w:val="sl-SI"/>
    </w:rPr>
  </w:style>
  <w:style w:type="paragraph" w:customStyle="1" w:styleId="KAZALO">
    <w:name w:val="KAZALO"/>
    <w:basedOn w:val="Normal"/>
    <w:rsid w:val="00480C76"/>
    <w:pPr>
      <w:keepNext/>
      <w:spacing w:after="240"/>
      <w:jc w:val="center"/>
    </w:pPr>
    <w:rPr>
      <w:b/>
      <w:bCs/>
      <w:sz w:val="32"/>
      <w:szCs w:val="32"/>
    </w:rPr>
  </w:style>
  <w:style w:type="paragraph" w:styleId="Header">
    <w:name w:val="header"/>
    <w:basedOn w:val="Normal"/>
    <w:link w:val="HeaderChar"/>
    <w:semiHidden/>
    <w:rsid w:val="00480C76"/>
    <w:pPr>
      <w:pBdr>
        <w:bottom w:val="single" w:sz="4" w:space="1" w:color="auto"/>
      </w:pBdr>
      <w:tabs>
        <w:tab w:val="center" w:pos="4536"/>
        <w:tab w:val="right" w:pos="9072"/>
      </w:tabs>
    </w:pPr>
    <w:rPr>
      <w:sz w:val="16"/>
    </w:rPr>
  </w:style>
  <w:style w:type="character" w:customStyle="1" w:styleId="HeaderChar">
    <w:name w:val="Header Char"/>
    <w:basedOn w:val="DefaultParagraphFont"/>
    <w:link w:val="Header"/>
    <w:semiHidden/>
    <w:rsid w:val="00480C76"/>
    <w:rPr>
      <w:rFonts w:ascii="Times New Roman" w:eastAsia="Times New Roman" w:hAnsi="Times New Roman" w:cs="Times New Roman"/>
      <w:sz w:val="16"/>
      <w:szCs w:val="20"/>
      <w:lang w:val="sl-SI"/>
    </w:rPr>
  </w:style>
  <w:style w:type="paragraph" w:styleId="Footer">
    <w:name w:val="footer"/>
    <w:basedOn w:val="Normal"/>
    <w:link w:val="FooterChar"/>
    <w:uiPriority w:val="99"/>
    <w:rsid w:val="00480C76"/>
    <w:pPr>
      <w:pBdr>
        <w:top w:val="single" w:sz="4" w:space="1" w:color="auto"/>
      </w:pBdr>
      <w:tabs>
        <w:tab w:val="right" w:pos="9540"/>
      </w:tabs>
      <w:ind w:right="-21"/>
      <w:jc w:val="left"/>
    </w:pPr>
    <w:rPr>
      <w:sz w:val="20"/>
    </w:rPr>
  </w:style>
  <w:style w:type="character" w:customStyle="1" w:styleId="FooterChar">
    <w:name w:val="Footer Char"/>
    <w:basedOn w:val="DefaultParagraphFont"/>
    <w:link w:val="Footer"/>
    <w:uiPriority w:val="99"/>
    <w:rsid w:val="00480C76"/>
    <w:rPr>
      <w:rFonts w:ascii="Times New Roman" w:eastAsia="Times New Roman" w:hAnsi="Times New Roman" w:cs="Times New Roman"/>
      <w:sz w:val="20"/>
      <w:szCs w:val="20"/>
      <w:lang w:val="sl-SI"/>
    </w:rPr>
  </w:style>
  <w:style w:type="character" w:styleId="PageNumber">
    <w:name w:val="page number"/>
    <w:basedOn w:val="DefaultParagraphFont"/>
    <w:semiHidden/>
    <w:rsid w:val="00480C76"/>
  </w:style>
  <w:style w:type="paragraph" w:customStyle="1" w:styleId="Normal3">
    <w:name w:val="Normal 3"/>
    <w:basedOn w:val="Normal"/>
    <w:link w:val="Normal3Char"/>
    <w:rsid w:val="00480C76"/>
    <w:pPr>
      <w:ind w:left="360"/>
    </w:pPr>
  </w:style>
  <w:style w:type="character" w:customStyle="1" w:styleId="Normal3Char">
    <w:name w:val="Normal 3 Char"/>
    <w:basedOn w:val="DefaultParagraphFont"/>
    <w:link w:val="Normal3"/>
    <w:rsid w:val="00480C76"/>
    <w:rPr>
      <w:rFonts w:ascii="Times New Roman" w:eastAsia="Times New Roman" w:hAnsi="Times New Roman" w:cs="Times New Roman"/>
      <w:szCs w:val="20"/>
      <w:lang w:val="sl-SI"/>
    </w:rPr>
  </w:style>
  <w:style w:type="paragraph" w:customStyle="1" w:styleId="Normal4">
    <w:name w:val="Normal 4"/>
    <w:basedOn w:val="Normal"/>
    <w:link w:val="Normal4Char"/>
    <w:rsid w:val="00480C76"/>
    <w:pPr>
      <w:ind w:left="540"/>
    </w:pPr>
  </w:style>
  <w:style w:type="character" w:customStyle="1" w:styleId="Normal4Char">
    <w:name w:val="Normal 4 Char"/>
    <w:basedOn w:val="DefaultParagraphFont"/>
    <w:link w:val="Normal4"/>
    <w:rsid w:val="00480C76"/>
    <w:rPr>
      <w:rFonts w:ascii="Times New Roman" w:eastAsia="Times New Roman" w:hAnsi="Times New Roman" w:cs="Times New Roman"/>
      <w:szCs w:val="20"/>
      <w:lang w:val="sl-SI"/>
    </w:rPr>
  </w:style>
  <w:style w:type="paragraph" w:customStyle="1" w:styleId="Normal5">
    <w:name w:val="Normal 5"/>
    <w:basedOn w:val="Normal"/>
    <w:link w:val="Normal5Char"/>
    <w:rsid w:val="00480C76"/>
    <w:pPr>
      <w:ind w:left="720"/>
    </w:pPr>
  </w:style>
  <w:style w:type="character" w:customStyle="1" w:styleId="Normal5Char">
    <w:name w:val="Normal 5 Char"/>
    <w:basedOn w:val="DefaultParagraphFont"/>
    <w:link w:val="Normal5"/>
    <w:rsid w:val="00480C76"/>
    <w:rPr>
      <w:rFonts w:ascii="Times New Roman" w:eastAsia="Times New Roman" w:hAnsi="Times New Roman" w:cs="Times New Roman"/>
      <w:szCs w:val="20"/>
      <w:lang w:val="sl-SI"/>
    </w:rPr>
  </w:style>
  <w:style w:type="character" w:styleId="Emphasis">
    <w:name w:val="Emphasis"/>
    <w:basedOn w:val="DefaultParagraphFont"/>
    <w:qFormat/>
    <w:rsid w:val="00480C76"/>
    <w:rPr>
      <w:b/>
      <w:bCs/>
      <w:i w:val="0"/>
      <w:iCs w:val="0"/>
    </w:rPr>
  </w:style>
  <w:style w:type="character" w:styleId="Strong">
    <w:name w:val="Strong"/>
    <w:basedOn w:val="DefaultParagraphFont"/>
    <w:qFormat/>
    <w:rsid w:val="00480C76"/>
    <w:rPr>
      <w:b/>
      <w:bCs/>
    </w:rPr>
  </w:style>
  <w:style w:type="character" w:styleId="Hyperlink">
    <w:name w:val="Hyperlink"/>
    <w:basedOn w:val="DefaultParagraphFont"/>
    <w:rsid w:val="00480C76"/>
    <w:rPr>
      <w:color w:val="0000FF"/>
      <w:u w:val="single"/>
    </w:rPr>
  </w:style>
  <w:style w:type="table" w:styleId="TableGrid">
    <w:name w:val="Table Grid"/>
    <w:basedOn w:val="TableNormal"/>
    <w:rsid w:val="00480C76"/>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lHeader">
    <w:name w:val="CellHeader"/>
    <w:basedOn w:val="Normal"/>
    <w:qFormat/>
    <w:rsid w:val="00BB642B"/>
    <w:rPr>
      <w:rFonts w:cs="Arial"/>
      <w:bCs/>
      <w:sz w:val="20"/>
      <w:szCs w:val="22"/>
      <w:lang w:eastAsia="hr-HR"/>
    </w:rPr>
  </w:style>
  <w:style w:type="paragraph" w:customStyle="1" w:styleId="CellColumn">
    <w:name w:val="CellColumn"/>
    <w:basedOn w:val="CellHeader"/>
    <w:qFormat/>
    <w:rsid w:val="00BB642B"/>
  </w:style>
  <w:style w:type="table" w:customStyle="1" w:styleId="Style1">
    <w:name w:val="Style1"/>
    <w:basedOn w:val="TableNormal"/>
    <w:uiPriority w:val="99"/>
    <w:rsid w:val="007A7E45"/>
    <w:pPr>
      <w:keepLines/>
      <w:spacing w:after="0" w:line="240" w:lineRule="auto"/>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cPr>
      <w:vAlign w:val="center"/>
    </w:tcPr>
    <w:tblStylePr w:type="firstRow">
      <w:pPr>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table" w:customStyle="1" w:styleId="StilTablice">
    <w:name w:val="StilTablice"/>
    <w:basedOn w:val="TableNormal"/>
    <w:uiPriority w:val="99"/>
    <w:rsid w:val="00ED0E3A"/>
    <w:pPr>
      <w:spacing w:after="120" w:line="240" w:lineRule="auto"/>
      <w:jc w:val="center"/>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cPr>
      <w:vAlign w:val="center"/>
    </w:tcPr>
  </w:style>
  <w:style w:type="paragraph" w:customStyle="1" w:styleId="NormalSpecial">
    <w:name w:val="NormalSpecial"/>
    <w:basedOn w:val="Normal"/>
    <w:next w:val="Normal"/>
    <w:qFormat/>
    <w:rsid w:val="0027042C"/>
    <w:pPr>
      <w:keepNext/>
      <w:spacing w:after="0"/>
    </w:pPr>
    <w:rPr>
      <w:sz w:val="20"/>
    </w:rPr>
  </w:style>
  <w:style w:type="paragraph" w:styleId="ListParagraph">
    <w:name w:val="List Paragraph"/>
    <w:basedOn w:val="Normal"/>
    <w:uiPriority w:val="34"/>
    <w:qFormat/>
    <w:rsid w:val="000F5517"/>
    <w:pPr>
      <w:ind w:left="720"/>
      <w:contextualSpacing/>
    </w:pPr>
  </w:style>
  <w:style w:type="character" w:customStyle="1" w:styleId="CommentTextChar">
    <w:name w:val="Comment Text Char"/>
    <w:basedOn w:val="DefaultParagraphFont"/>
    <w:link w:val="CommentText"/>
    <w:uiPriority w:val="99"/>
    <w:semiHidden/>
    <w:rsid w:val="00505632"/>
    <w:rPr>
      <w:rFonts w:ascii="Times New Roman" w:eastAsia="Times New Roman" w:hAnsi="Times New Roman" w:cs="Times New Roman"/>
      <w:sz w:val="20"/>
      <w:szCs w:val="20"/>
      <w:lang w:val="sl-SI"/>
    </w:rPr>
  </w:style>
  <w:style w:type="paragraph" w:styleId="CommentText">
    <w:name w:val="annotation text"/>
    <w:basedOn w:val="Normal"/>
    <w:link w:val="CommentTextChar"/>
    <w:uiPriority w:val="99"/>
    <w:semiHidden/>
    <w:unhideWhenUsed/>
    <w:rsid w:val="00505632"/>
    <w:rPr>
      <w:sz w:val="20"/>
    </w:rPr>
  </w:style>
  <w:style w:type="character" w:customStyle="1" w:styleId="CommentSubjectChar">
    <w:name w:val="Comment Subject Char"/>
    <w:basedOn w:val="CommentTextChar"/>
    <w:link w:val="CommentSubject"/>
    <w:uiPriority w:val="99"/>
    <w:semiHidden/>
    <w:rsid w:val="00505632"/>
    <w:rPr>
      <w:rFonts w:ascii="Times New Roman" w:eastAsia="Times New Roman" w:hAnsi="Times New Roman" w:cs="Times New Roman"/>
      <w:b/>
      <w:bCs/>
      <w:sz w:val="20"/>
      <w:szCs w:val="20"/>
      <w:lang w:val="sl-SI"/>
    </w:rPr>
  </w:style>
  <w:style w:type="paragraph" w:styleId="CommentSubject">
    <w:name w:val="annotation subject"/>
    <w:basedOn w:val="CommentText"/>
    <w:next w:val="CommentText"/>
    <w:link w:val="CommentSubjectChar"/>
    <w:uiPriority w:val="99"/>
    <w:semiHidden/>
    <w:unhideWhenUsed/>
    <w:rsid w:val="00505632"/>
    <w:rPr>
      <w:b/>
      <w:bCs/>
    </w:rPr>
  </w:style>
  <w:style w:type="character" w:customStyle="1" w:styleId="BalloonTextChar">
    <w:name w:val="Balloon Text Char"/>
    <w:basedOn w:val="DefaultParagraphFont"/>
    <w:link w:val="BalloonText"/>
    <w:uiPriority w:val="99"/>
    <w:semiHidden/>
    <w:rsid w:val="00505632"/>
    <w:rPr>
      <w:rFonts w:ascii="Tahoma" w:eastAsia="Times New Roman" w:hAnsi="Tahoma" w:cs="Tahoma"/>
      <w:sz w:val="16"/>
      <w:szCs w:val="16"/>
      <w:lang w:val="sl-SI"/>
    </w:rPr>
  </w:style>
  <w:style w:type="paragraph" w:styleId="BalloonText">
    <w:name w:val="Balloon Text"/>
    <w:basedOn w:val="Normal"/>
    <w:link w:val="BalloonTextChar"/>
    <w:uiPriority w:val="99"/>
    <w:semiHidden/>
    <w:unhideWhenUsed/>
    <w:rsid w:val="00505632"/>
    <w:pPr>
      <w:spacing w:after="0"/>
    </w:pPr>
    <w:rPr>
      <w:rFonts w:ascii="Tahoma" w:hAnsi="Tahoma" w:cs="Tahoma"/>
      <w:sz w:val="16"/>
      <w:szCs w:val="16"/>
    </w:rPr>
  </w:style>
  <w:style w:type="paragraph" w:styleId="NoSpacing">
    <w:name w:val="No Spacing"/>
    <w:link w:val="NoSpacingChar"/>
    <w:uiPriority w:val="1"/>
    <w:qFormat/>
    <w:rsid w:val="004B4C54"/>
    <w:pPr>
      <w:spacing w:after="0" w:line="240" w:lineRule="auto"/>
    </w:pPr>
    <w:rPr>
      <w:rFonts w:eastAsiaTheme="minorEastAsia"/>
      <w:lang w:eastAsia="hr-HR"/>
    </w:rPr>
  </w:style>
  <w:style w:type="character" w:customStyle="1" w:styleId="NoSpacingChar">
    <w:name w:val="No Spacing Char"/>
    <w:basedOn w:val="DefaultParagraphFont"/>
    <w:link w:val="NoSpacing"/>
    <w:uiPriority w:val="1"/>
    <w:rsid w:val="004B4C54"/>
    <w:rPr>
      <w:rFonts w:eastAsiaTheme="minorEastAsia"/>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nvoo.h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BEBA3-C4E3-4367-942B-F5A618047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1361</Pages>
  <Words>553067</Words>
  <Characters>3152488</Characters>
  <Application>Microsoft Office Word</Application>
  <DocSecurity>0</DocSecurity>
  <Lines>26270</Lines>
  <Paragraphs>7396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3698159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Mirta Odak</dc:creator>
  <cp:lastModifiedBy>Anita Memić</cp:lastModifiedBy>
  <cp:revision>68</cp:revision>
  <cp:lastPrinted>2017-05-19T09:33:00Z</cp:lastPrinted>
  <dcterms:created xsi:type="dcterms:W3CDTF">2017-04-26T11:04:00Z</dcterms:created>
  <dcterms:modified xsi:type="dcterms:W3CDTF">2017-05-19T09:33:00Z</dcterms:modified>
</cp:coreProperties>
</file>